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D777A9">
      <w:pPr>
        <w:spacing w:line="258" w:lineRule="auto"/>
        <w:rPr>
          <w:rFonts w:ascii="Arial"/>
          <w:sz w:val="21"/>
        </w:rPr>
      </w:pPr>
      <w:r>
        <w:pict>
          <v:shape id="_x0000_s1026" o:spid="_x0000_s1026" style="position:absolute;left:0pt;margin-left:90pt;margin-top:57.35pt;height:0.75pt;width:415.3pt;mso-position-horizontal-relative:page;mso-position-vertical-relative:page;z-index:251660288;mso-width-relative:page;mso-height-relative:page;" fillcolor="#000000" filled="t" stroked="f" coordsize="8305,15" o:allowincell="f" path="m0,0l8305,0,8305,14,0,14,0,0xe">
            <v:path/>
            <v:fill on="t" focussize="0,0"/>
            <v:stroke on="f"/>
            <v:imagedata o:title=""/>
            <o:lock v:ext="edit"/>
          </v:shape>
        </w:pict>
      </w:r>
    </w:p>
    <w:sdt>
      <w:sdtPr>
        <w:rPr>
          <w:rFonts w:ascii="宋体" w:hAnsi="宋体" w:eastAsia="宋体" w:cs="宋体"/>
          <w:sz w:val="43"/>
          <w:szCs w:val="43"/>
        </w:rPr>
        <w:id w:val="1"/>
        <w:docPartObj>
          <w:docPartGallery w:val="Table of Contents"/>
          <w:docPartUnique/>
        </w:docPartObj>
      </w:sdtPr>
      <w:sdtEndPr>
        <w:rPr>
          <w:rFonts w:ascii="Times New Roman" w:hAnsi="Times New Roman" w:eastAsia="Times New Roman" w:cs="Times New Roman"/>
          <w:sz w:val="23"/>
          <w:szCs w:val="23"/>
        </w:rPr>
      </w:sdtEndPr>
      <w:sdtContent>
        <w:p w14:paraId="2A1A4E51">
          <w:pPr>
            <w:spacing w:before="140" w:line="225" w:lineRule="auto"/>
            <w:ind w:left="3607"/>
            <w:rPr>
              <w:rFonts w:ascii="宋体" w:hAnsi="宋体" w:eastAsia="宋体" w:cs="宋体"/>
              <w:sz w:val="43"/>
              <w:szCs w:val="43"/>
            </w:rPr>
          </w:pPr>
          <w:r>
            <w:rPr>
              <w:rFonts w:ascii="宋体" w:hAnsi="宋体" w:eastAsia="宋体" w:cs="宋体"/>
              <w:spacing w:val="-17"/>
              <w:sz w:val="43"/>
              <w:szCs w:val="43"/>
              <w14:textOutline w14:w="7972" w14:cap="sq" w14:cmpd="sng">
                <w14:solidFill>
                  <w14:srgbClr w14:val="000000"/>
                </w14:solidFill>
                <w14:prstDash w14:val="solid"/>
                <w14:bevel/>
              </w14:textOutline>
            </w:rPr>
            <w:t>目</w:t>
          </w:r>
          <w:r>
            <w:rPr>
              <w:rFonts w:ascii="宋体" w:hAnsi="宋体" w:eastAsia="宋体" w:cs="宋体"/>
              <w:spacing w:val="-15"/>
              <w:sz w:val="43"/>
              <w:szCs w:val="43"/>
            </w:rPr>
            <w:t xml:space="preserve">  </w:t>
          </w:r>
          <w:r>
            <w:rPr>
              <w:rFonts w:ascii="宋体" w:hAnsi="宋体" w:eastAsia="宋体" w:cs="宋体"/>
              <w:spacing w:val="-15"/>
              <w:sz w:val="43"/>
              <w:szCs w:val="43"/>
              <w14:textOutline w14:w="7972" w14:cap="sq" w14:cmpd="sng">
                <w14:solidFill>
                  <w14:srgbClr w14:val="000000"/>
                </w14:solidFill>
                <w14:prstDash w14:val="solid"/>
                <w14:bevel/>
              </w14:textOutline>
            </w:rPr>
            <w:t>录</w:t>
          </w:r>
        </w:p>
        <w:p w14:paraId="1D63322D">
          <w:pPr>
            <w:tabs>
              <w:tab w:val="right" w:leader="dot" w:pos="8320"/>
            </w:tabs>
            <w:spacing w:before="155" w:line="227" w:lineRule="auto"/>
            <w:ind w:left="29"/>
            <w:rPr>
              <w:rFonts w:ascii="Times New Roman" w:hAnsi="Times New Roman" w:eastAsia="Times New Roman" w:cs="Times New Roman"/>
              <w:sz w:val="23"/>
              <w:szCs w:val="23"/>
            </w:rPr>
          </w:pPr>
          <w:r>
            <w:fldChar w:fldCharType="begin"/>
          </w:r>
          <w:r>
            <w:instrText xml:space="preserve"> HYPERLINK \l "_bookmark1" </w:instrText>
          </w:r>
          <w:r>
            <w:fldChar w:fldCharType="separate"/>
          </w:r>
          <w:r>
            <w:rPr>
              <w:rFonts w:ascii="Times New Roman" w:hAnsi="Times New Roman" w:eastAsia="Times New Roman" w:cs="Times New Roman"/>
              <w:b/>
              <w:bCs/>
              <w:spacing w:val="10"/>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概述</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7"/>
              <w:sz w:val="23"/>
              <w:szCs w:val="23"/>
            </w:rPr>
            <w:t>1</w:t>
          </w:r>
          <w:r>
            <w:rPr>
              <w:rFonts w:ascii="Times New Roman" w:hAnsi="Times New Roman" w:eastAsia="Times New Roman" w:cs="Times New Roman"/>
              <w:b/>
              <w:bCs/>
              <w:spacing w:val="7"/>
              <w:sz w:val="23"/>
              <w:szCs w:val="23"/>
            </w:rPr>
            <w:fldChar w:fldCharType="end"/>
          </w:r>
        </w:p>
        <w:p w14:paraId="65EFE54C">
          <w:pPr>
            <w:tabs>
              <w:tab w:val="right" w:leader="dot" w:pos="8320"/>
            </w:tabs>
            <w:spacing w:before="156" w:line="227" w:lineRule="auto"/>
            <w:ind w:left="462"/>
            <w:rPr>
              <w:rFonts w:ascii="Times New Roman" w:hAnsi="Times New Roman" w:eastAsia="Times New Roman" w:cs="Times New Roman"/>
              <w:sz w:val="23"/>
              <w:szCs w:val="23"/>
            </w:rPr>
          </w:pPr>
          <w:r>
            <w:fldChar w:fldCharType="begin"/>
          </w:r>
          <w:r>
            <w:instrText xml:space="preserve"> HYPERLINK \l "_bookmark2" </w:instrText>
          </w:r>
          <w:r>
            <w:fldChar w:fldCharType="separate"/>
          </w:r>
          <w:r>
            <w:rPr>
              <w:rFonts w:ascii="Times New Roman" w:hAnsi="Times New Roman" w:eastAsia="Times New Roman" w:cs="Times New Roman"/>
              <w:spacing w:val="12"/>
              <w:sz w:val="23"/>
              <w:szCs w:val="23"/>
            </w:rPr>
            <w:t>1</w:t>
          </w:r>
          <w:r>
            <w:rPr>
              <w:rFonts w:ascii="Times New Roman" w:hAnsi="Times New Roman" w:eastAsia="Times New Roman" w:cs="Times New Roman"/>
              <w:spacing w:val="8"/>
              <w:sz w:val="23"/>
              <w:szCs w:val="23"/>
            </w:rPr>
            <w:t>.</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建设项目特点</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1</w:t>
          </w:r>
          <w:r>
            <w:rPr>
              <w:rFonts w:ascii="Times New Roman" w:hAnsi="Times New Roman" w:eastAsia="Times New Roman" w:cs="Times New Roman"/>
              <w:spacing w:val="6"/>
              <w:sz w:val="23"/>
              <w:szCs w:val="23"/>
            </w:rPr>
            <w:fldChar w:fldCharType="end"/>
          </w:r>
        </w:p>
        <w:p w14:paraId="7CA5F2D2">
          <w:pPr>
            <w:tabs>
              <w:tab w:val="right" w:leader="dot" w:pos="8320"/>
            </w:tabs>
            <w:spacing w:before="156" w:line="228" w:lineRule="auto"/>
            <w:ind w:left="462"/>
            <w:rPr>
              <w:rFonts w:ascii="Times New Roman" w:hAnsi="Times New Roman" w:eastAsia="Times New Roman" w:cs="Times New Roman"/>
              <w:sz w:val="23"/>
              <w:szCs w:val="23"/>
            </w:rPr>
          </w:pPr>
          <w:r>
            <w:fldChar w:fldCharType="begin"/>
          </w:r>
          <w:r>
            <w:instrText xml:space="preserve"> HYPERLINK \l "_bookmark3" </w:instrText>
          </w:r>
          <w:r>
            <w:fldChar w:fldCharType="separate"/>
          </w:r>
          <w:r>
            <w:rPr>
              <w:rFonts w:ascii="Times New Roman" w:hAnsi="Times New Roman" w:eastAsia="Times New Roman" w:cs="Times New Roman"/>
              <w:spacing w:val="12"/>
              <w:sz w:val="23"/>
              <w:szCs w:val="23"/>
            </w:rPr>
            <w:t>1</w:t>
          </w:r>
          <w:r>
            <w:rPr>
              <w:rFonts w:ascii="Times New Roman" w:hAnsi="Times New Roman" w:eastAsia="Times New Roman" w:cs="Times New Roman"/>
              <w:spacing w:val="8"/>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环评工作过程</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2</w:t>
          </w:r>
          <w:r>
            <w:rPr>
              <w:rFonts w:ascii="Times New Roman" w:hAnsi="Times New Roman" w:eastAsia="Times New Roman" w:cs="Times New Roman"/>
              <w:spacing w:val="6"/>
              <w:sz w:val="23"/>
              <w:szCs w:val="23"/>
            </w:rPr>
            <w:fldChar w:fldCharType="end"/>
          </w:r>
        </w:p>
        <w:p w14:paraId="6A39CFD7">
          <w:pPr>
            <w:tabs>
              <w:tab w:val="right" w:leader="dot" w:pos="8320"/>
            </w:tabs>
            <w:spacing w:before="157" w:line="228" w:lineRule="auto"/>
            <w:ind w:left="462"/>
            <w:rPr>
              <w:rFonts w:ascii="Times New Roman" w:hAnsi="Times New Roman" w:eastAsia="Times New Roman" w:cs="Times New Roman"/>
              <w:sz w:val="23"/>
              <w:szCs w:val="23"/>
            </w:rPr>
          </w:pPr>
          <w:r>
            <w:fldChar w:fldCharType="begin"/>
          </w:r>
          <w:r>
            <w:instrText xml:space="preserve"> HYPERLINK \l "_bookmark4" </w:instrText>
          </w:r>
          <w:r>
            <w:fldChar w:fldCharType="separate"/>
          </w:r>
          <w:r>
            <w:rPr>
              <w:rFonts w:ascii="Times New Roman" w:hAnsi="Times New Roman" w:eastAsia="Times New Roman" w:cs="Times New Roman"/>
              <w:spacing w:val="12"/>
              <w:sz w:val="23"/>
              <w:szCs w:val="23"/>
            </w:rPr>
            <w:t>1</w:t>
          </w:r>
          <w:r>
            <w:rPr>
              <w:rFonts w:ascii="Times New Roman" w:hAnsi="Times New Roman" w:eastAsia="Times New Roman" w:cs="Times New Roman"/>
              <w:spacing w:val="8"/>
              <w:sz w:val="23"/>
              <w:szCs w:val="23"/>
            </w:rPr>
            <w:t>.</w:t>
          </w:r>
          <w:r>
            <w:rPr>
              <w:rFonts w:ascii="Times New Roman" w:hAnsi="Times New Roman" w:eastAsia="Times New Roman" w:cs="Times New Roman"/>
              <w:spacing w:val="6"/>
              <w:sz w:val="23"/>
              <w:szCs w:val="23"/>
            </w:rPr>
            <w:t xml:space="preserve">3  </w:t>
          </w:r>
          <w:r>
            <w:rPr>
              <w:rFonts w:ascii="宋体" w:hAnsi="宋体" w:eastAsia="宋体" w:cs="宋体"/>
              <w:spacing w:val="6"/>
              <w:sz w:val="23"/>
              <w:szCs w:val="23"/>
            </w:rPr>
            <w:t>主要环境问题</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3</w:t>
          </w:r>
          <w:r>
            <w:rPr>
              <w:rFonts w:ascii="Times New Roman" w:hAnsi="Times New Roman" w:eastAsia="Times New Roman" w:cs="Times New Roman"/>
              <w:spacing w:val="6"/>
              <w:sz w:val="23"/>
              <w:szCs w:val="23"/>
            </w:rPr>
            <w:fldChar w:fldCharType="end"/>
          </w:r>
        </w:p>
        <w:p w14:paraId="303C0425">
          <w:pPr>
            <w:tabs>
              <w:tab w:val="right" w:leader="dot" w:pos="8320"/>
            </w:tabs>
            <w:spacing w:before="155" w:line="228" w:lineRule="auto"/>
            <w:ind w:left="462"/>
            <w:rPr>
              <w:rFonts w:ascii="Times New Roman" w:hAnsi="Times New Roman" w:eastAsia="Times New Roman" w:cs="Times New Roman"/>
              <w:sz w:val="23"/>
              <w:szCs w:val="23"/>
            </w:rPr>
          </w:pPr>
          <w:r>
            <w:fldChar w:fldCharType="begin"/>
          </w:r>
          <w:r>
            <w:instrText xml:space="preserve"> HYPERLINK \l "_bookmark5" </w:instrText>
          </w:r>
          <w:r>
            <w:fldChar w:fldCharType="separate"/>
          </w:r>
          <w:r>
            <w:rPr>
              <w:rFonts w:ascii="Times New Roman" w:hAnsi="Times New Roman" w:eastAsia="Times New Roman" w:cs="Times New Roman"/>
              <w:spacing w:val="9"/>
              <w:sz w:val="23"/>
              <w:szCs w:val="23"/>
            </w:rPr>
            <w:t>1</w:t>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分析判定相关情况</w:t>
          </w:r>
          <w:r>
            <w:rPr>
              <w:rFonts w:ascii="Times New Roman" w:hAnsi="Times New Roman" w:eastAsia="Times New Roman" w:cs="Times New Roman"/>
              <w:sz w:val="23"/>
              <w:szCs w:val="23"/>
            </w:rPr>
            <w:tab/>
          </w:r>
          <w:bookmarkStart w:id="50" w:name="_GoBack"/>
          <w:bookmarkEnd w:id="50"/>
          <w:r>
            <w:rPr>
              <w:rFonts w:ascii="Times New Roman" w:hAnsi="Times New Roman" w:eastAsia="Times New Roman" w:cs="Times New Roman"/>
              <w:spacing w:val="7"/>
              <w:sz w:val="23"/>
              <w:szCs w:val="23"/>
            </w:rPr>
            <w:t>4</w:t>
          </w:r>
          <w:r>
            <w:rPr>
              <w:rFonts w:ascii="Times New Roman" w:hAnsi="Times New Roman" w:eastAsia="Times New Roman" w:cs="Times New Roman"/>
              <w:spacing w:val="7"/>
              <w:sz w:val="23"/>
              <w:szCs w:val="23"/>
            </w:rPr>
            <w:fldChar w:fldCharType="end"/>
          </w:r>
        </w:p>
        <w:p w14:paraId="343F5C78">
          <w:pPr>
            <w:tabs>
              <w:tab w:val="right" w:leader="dot" w:pos="8320"/>
            </w:tabs>
            <w:spacing w:before="154" w:line="226" w:lineRule="auto"/>
            <w:ind w:left="462"/>
            <w:rPr>
              <w:rFonts w:ascii="Times New Roman" w:hAnsi="Times New Roman" w:eastAsia="Times New Roman" w:cs="Times New Roman"/>
              <w:sz w:val="23"/>
              <w:szCs w:val="23"/>
            </w:rPr>
          </w:pPr>
          <w:r>
            <w:fldChar w:fldCharType="begin"/>
          </w:r>
          <w:r>
            <w:instrText xml:space="preserve"> HYPERLINK \l "_bookmark6" </w:instrText>
          </w:r>
          <w:r>
            <w:fldChar w:fldCharType="separate"/>
          </w:r>
          <w:r>
            <w:rPr>
              <w:rFonts w:ascii="Times New Roman" w:hAnsi="Times New Roman" w:eastAsia="Times New Roman" w:cs="Times New Roman"/>
              <w:spacing w:val="7"/>
              <w:sz w:val="23"/>
              <w:szCs w:val="23"/>
            </w:rPr>
            <w:t xml:space="preserve">1.5  </w:t>
          </w:r>
          <w:r>
            <w:rPr>
              <w:rFonts w:ascii="宋体" w:hAnsi="宋体" w:eastAsia="宋体" w:cs="宋体"/>
              <w:spacing w:val="7"/>
              <w:sz w:val="23"/>
              <w:szCs w:val="23"/>
            </w:rPr>
            <w:t>环境影响评价结论</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w:t>
          </w:r>
          <w:r>
            <w:rPr>
              <w:rFonts w:ascii="Times New Roman" w:hAnsi="Times New Roman" w:eastAsia="Times New Roman" w:cs="Times New Roman"/>
              <w:spacing w:val="7"/>
              <w:sz w:val="23"/>
              <w:szCs w:val="23"/>
            </w:rPr>
            <w:fldChar w:fldCharType="end"/>
          </w:r>
        </w:p>
        <w:p w14:paraId="23250ECC">
          <w:pPr>
            <w:tabs>
              <w:tab w:val="right" w:leader="dot" w:pos="8320"/>
            </w:tabs>
            <w:spacing w:before="160" w:line="228" w:lineRule="auto"/>
            <w:ind w:left="19"/>
            <w:rPr>
              <w:rFonts w:ascii="Times New Roman" w:hAnsi="Times New Roman" w:eastAsia="Times New Roman" w:cs="Times New Roman"/>
              <w:sz w:val="23"/>
              <w:szCs w:val="23"/>
            </w:rPr>
          </w:pPr>
          <w:r>
            <w:fldChar w:fldCharType="begin"/>
          </w:r>
          <w:r>
            <w:instrText xml:space="preserve"> HYPERLINK \l "_bookmark7" </w:instrText>
          </w:r>
          <w:r>
            <w:fldChar w:fldCharType="separate"/>
          </w:r>
          <w:r>
            <w:rPr>
              <w:rFonts w:ascii="Times New Roman" w:hAnsi="Times New Roman" w:eastAsia="Times New Roman" w:cs="Times New Roman"/>
              <w:b/>
              <w:bCs/>
              <w:spacing w:val="12"/>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总则</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8"/>
              <w:sz w:val="23"/>
              <w:szCs w:val="23"/>
            </w:rPr>
            <w:t>18</w:t>
          </w:r>
          <w:r>
            <w:rPr>
              <w:rFonts w:ascii="Times New Roman" w:hAnsi="Times New Roman" w:eastAsia="Times New Roman" w:cs="Times New Roman"/>
              <w:b/>
              <w:bCs/>
              <w:spacing w:val="8"/>
              <w:sz w:val="23"/>
              <w:szCs w:val="23"/>
            </w:rPr>
            <w:fldChar w:fldCharType="end"/>
          </w:r>
        </w:p>
        <w:p w14:paraId="11E83BE0">
          <w:pPr>
            <w:tabs>
              <w:tab w:val="right" w:leader="dot" w:pos="8320"/>
            </w:tabs>
            <w:spacing w:before="155" w:line="226" w:lineRule="auto"/>
            <w:ind w:left="439"/>
            <w:rPr>
              <w:rFonts w:ascii="Times New Roman" w:hAnsi="Times New Roman" w:eastAsia="Times New Roman" w:cs="Times New Roman"/>
              <w:sz w:val="23"/>
              <w:szCs w:val="23"/>
            </w:rPr>
          </w:pPr>
          <w:r>
            <w:fldChar w:fldCharType="begin"/>
          </w:r>
          <w:r>
            <w:instrText xml:space="preserve"> HYPERLINK \l "_bookmark8" </w:instrText>
          </w:r>
          <w:r>
            <w:fldChar w:fldCharType="separate"/>
          </w:r>
          <w:r>
            <w:rPr>
              <w:rFonts w:ascii="Times New Roman" w:hAnsi="Times New Roman" w:eastAsia="Times New Roman" w:cs="Times New Roman"/>
              <w:spacing w:val="14"/>
              <w:sz w:val="23"/>
              <w:szCs w:val="23"/>
            </w:rPr>
            <w:t>2</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评价目的与原则</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18</w:t>
          </w:r>
          <w:r>
            <w:rPr>
              <w:rFonts w:ascii="Times New Roman" w:hAnsi="Times New Roman" w:eastAsia="Times New Roman" w:cs="Times New Roman"/>
              <w:spacing w:val="8"/>
              <w:sz w:val="23"/>
              <w:szCs w:val="23"/>
            </w:rPr>
            <w:fldChar w:fldCharType="end"/>
          </w:r>
        </w:p>
        <w:p w14:paraId="6669A4B1">
          <w:pPr>
            <w:tabs>
              <w:tab w:val="right" w:leader="dot" w:pos="8320"/>
            </w:tabs>
            <w:spacing w:before="158" w:line="227" w:lineRule="auto"/>
            <w:ind w:left="439"/>
            <w:rPr>
              <w:rFonts w:ascii="Times New Roman" w:hAnsi="Times New Roman" w:eastAsia="Times New Roman" w:cs="Times New Roman"/>
              <w:sz w:val="23"/>
              <w:szCs w:val="23"/>
            </w:rPr>
          </w:pPr>
          <w:r>
            <w:fldChar w:fldCharType="begin"/>
          </w:r>
          <w:r>
            <w:instrText xml:space="preserve"> HYPERLINK \l "_bookmark9" </w:instrText>
          </w:r>
          <w:r>
            <w:fldChar w:fldCharType="separate"/>
          </w:r>
          <w:r>
            <w:rPr>
              <w:rFonts w:ascii="Times New Roman" w:hAnsi="Times New Roman" w:eastAsia="Times New Roman" w:cs="Times New Roman"/>
              <w:spacing w:val="8"/>
              <w:sz w:val="23"/>
              <w:szCs w:val="23"/>
            </w:rPr>
            <w:t xml:space="preserve">2.2  </w:t>
          </w:r>
          <w:r>
            <w:rPr>
              <w:rFonts w:ascii="宋体" w:hAnsi="宋体" w:eastAsia="宋体" w:cs="宋体"/>
              <w:spacing w:val="8"/>
              <w:sz w:val="23"/>
              <w:szCs w:val="23"/>
            </w:rPr>
            <w:t>编制依据</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19</w:t>
          </w:r>
          <w:r>
            <w:rPr>
              <w:rFonts w:ascii="Times New Roman" w:hAnsi="Times New Roman" w:eastAsia="Times New Roman" w:cs="Times New Roman"/>
              <w:spacing w:val="8"/>
              <w:sz w:val="23"/>
              <w:szCs w:val="23"/>
            </w:rPr>
            <w:fldChar w:fldCharType="end"/>
          </w:r>
        </w:p>
        <w:p w14:paraId="19B38B81">
          <w:pPr>
            <w:tabs>
              <w:tab w:val="right" w:leader="dot" w:pos="8320"/>
            </w:tabs>
            <w:spacing w:before="159" w:line="226" w:lineRule="auto"/>
            <w:ind w:left="439"/>
            <w:rPr>
              <w:rFonts w:ascii="Times New Roman" w:hAnsi="Times New Roman" w:eastAsia="Times New Roman" w:cs="Times New Roman"/>
              <w:sz w:val="23"/>
              <w:szCs w:val="23"/>
            </w:rPr>
          </w:pPr>
          <w:r>
            <w:fldChar w:fldCharType="begin"/>
          </w:r>
          <w:r>
            <w:instrText xml:space="preserve"> HYPERLINK \l "_bookmark10" </w:instrText>
          </w:r>
          <w:r>
            <w:fldChar w:fldCharType="separate"/>
          </w:r>
          <w:r>
            <w:rPr>
              <w:rFonts w:ascii="Times New Roman" w:hAnsi="Times New Roman" w:eastAsia="Times New Roman" w:cs="Times New Roman"/>
              <w:spacing w:val="16"/>
              <w:sz w:val="23"/>
              <w:szCs w:val="23"/>
            </w:rPr>
            <w:t>2</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评价内容及评价重点</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23</w:t>
          </w:r>
          <w:r>
            <w:rPr>
              <w:rFonts w:ascii="Times New Roman" w:hAnsi="Times New Roman" w:eastAsia="Times New Roman" w:cs="Times New Roman"/>
              <w:spacing w:val="8"/>
              <w:sz w:val="23"/>
              <w:szCs w:val="23"/>
            </w:rPr>
            <w:fldChar w:fldCharType="end"/>
          </w:r>
        </w:p>
        <w:p w14:paraId="1517A507">
          <w:pPr>
            <w:tabs>
              <w:tab w:val="right" w:leader="dot" w:pos="8320"/>
            </w:tabs>
            <w:spacing w:before="158" w:line="228" w:lineRule="auto"/>
            <w:ind w:left="439"/>
            <w:rPr>
              <w:rFonts w:ascii="Times New Roman" w:hAnsi="Times New Roman" w:eastAsia="Times New Roman" w:cs="Times New Roman"/>
              <w:sz w:val="23"/>
              <w:szCs w:val="23"/>
            </w:rPr>
          </w:pPr>
          <w:r>
            <w:fldChar w:fldCharType="begin"/>
          </w:r>
          <w:r>
            <w:instrText xml:space="preserve"> HYPERLINK \l "_bookmark11" </w:instrText>
          </w:r>
          <w:r>
            <w:fldChar w:fldCharType="separate"/>
          </w:r>
          <w:r>
            <w:rPr>
              <w:rFonts w:ascii="Times New Roman" w:hAnsi="Times New Roman" w:eastAsia="Times New Roman" w:cs="Times New Roman"/>
              <w:spacing w:val="12"/>
              <w:sz w:val="23"/>
              <w:szCs w:val="23"/>
            </w:rPr>
            <w:t>2</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环境功能区划</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23</w:t>
          </w:r>
          <w:r>
            <w:rPr>
              <w:rFonts w:ascii="Times New Roman" w:hAnsi="Times New Roman" w:eastAsia="Times New Roman" w:cs="Times New Roman"/>
              <w:spacing w:val="8"/>
              <w:sz w:val="23"/>
              <w:szCs w:val="23"/>
            </w:rPr>
            <w:fldChar w:fldCharType="end"/>
          </w:r>
        </w:p>
        <w:p w14:paraId="669718D8">
          <w:pPr>
            <w:tabs>
              <w:tab w:val="right" w:leader="dot" w:pos="8320"/>
            </w:tabs>
            <w:spacing w:before="155" w:line="226" w:lineRule="auto"/>
            <w:ind w:left="439"/>
            <w:rPr>
              <w:rFonts w:ascii="Times New Roman" w:hAnsi="Times New Roman" w:eastAsia="Times New Roman" w:cs="Times New Roman"/>
              <w:sz w:val="23"/>
              <w:szCs w:val="23"/>
            </w:rPr>
          </w:pPr>
          <w:r>
            <w:fldChar w:fldCharType="begin"/>
          </w:r>
          <w:r>
            <w:instrText xml:space="preserve"> HYPERLINK \l "_bookmark12" </w:instrText>
          </w:r>
          <w:r>
            <w:fldChar w:fldCharType="separate"/>
          </w:r>
          <w:r>
            <w:rPr>
              <w:rFonts w:ascii="Times New Roman" w:hAnsi="Times New Roman" w:eastAsia="Times New Roman" w:cs="Times New Roman"/>
              <w:spacing w:val="16"/>
              <w:sz w:val="23"/>
              <w:szCs w:val="23"/>
            </w:rPr>
            <w:t>2</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8"/>
              <w:sz w:val="23"/>
              <w:szCs w:val="23"/>
            </w:rPr>
            <w:t xml:space="preserve">5  </w:t>
          </w:r>
          <w:r>
            <w:rPr>
              <w:rFonts w:ascii="宋体" w:hAnsi="宋体" w:eastAsia="宋体" w:cs="宋体"/>
              <w:spacing w:val="8"/>
              <w:sz w:val="23"/>
              <w:szCs w:val="23"/>
            </w:rPr>
            <w:t>评价因子与评价标准</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24</w:t>
          </w:r>
          <w:r>
            <w:rPr>
              <w:rFonts w:ascii="Times New Roman" w:hAnsi="Times New Roman" w:eastAsia="Times New Roman" w:cs="Times New Roman"/>
              <w:spacing w:val="8"/>
              <w:sz w:val="23"/>
              <w:szCs w:val="23"/>
            </w:rPr>
            <w:fldChar w:fldCharType="end"/>
          </w:r>
        </w:p>
        <w:p w14:paraId="702A0A4D">
          <w:pPr>
            <w:tabs>
              <w:tab w:val="right" w:leader="dot" w:pos="8320"/>
            </w:tabs>
            <w:spacing w:before="160" w:line="226" w:lineRule="auto"/>
            <w:ind w:left="439"/>
            <w:rPr>
              <w:rFonts w:ascii="Times New Roman" w:hAnsi="Times New Roman" w:eastAsia="Times New Roman" w:cs="Times New Roman"/>
              <w:sz w:val="23"/>
              <w:szCs w:val="23"/>
            </w:rPr>
          </w:pPr>
          <w:r>
            <w:fldChar w:fldCharType="begin"/>
          </w:r>
          <w:r>
            <w:instrText xml:space="preserve"> HYPERLINK \l "_bookmark13" </w:instrText>
          </w:r>
          <w:r>
            <w:fldChar w:fldCharType="separate"/>
          </w:r>
          <w:r>
            <w:rPr>
              <w:rFonts w:ascii="Times New Roman" w:hAnsi="Times New Roman" w:eastAsia="Times New Roman" w:cs="Times New Roman"/>
              <w:spacing w:val="9"/>
              <w:sz w:val="23"/>
              <w:szCs w:val="23"/>
            </w:rPr>
            <w:t xml:space="preserve">2.6  </w:t>
          </w:r>
          <w:r>
            <w:rPr>
              <w:rFonts w:ascii="宋体" w:hAnsi="宋体" w:eastAsia="宋体" w:cs="宋体"/>
              <w:spacing w:val="9"/>
              <w:sz w:val="23"/>
              <w:szCs w:val="23"/>
            </w:rPr>
            <w:t>评价工作等级与评价范围</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3</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5"/>
              <w:sz w:val="23"/>
              <w:szCs w:val="23"/>
            </w:rPr>
            <w:fldChar w:fldCharType="end"/>
          </w:r>
        </w:p>
        <w:p w14:paraId="28FD07C3">
          <w:pPr>
            <w:tabs>
              <w:tab w:val="right" w:leader="dot" w:pos="8320"/>
            </w:tabs>
            <w:spacing w:before="158" w:line="228" w:lineRule="auto"/>
            <w:ind w:left="439"/>
            <w:rPr>
              <w:rFonts w:ascii="Times New Roman" w:hAnsi="Times New Roman" w:eastAsia="Times New Roman" w:cs="Times New Roman"/>
              <w:sz w:val="23"/>
              <w:szCs w:val="23"/>
            </w:rPr>
          </w:pPr>
          <w:r>
            <w:fldChar w:fldCharType="begin"/>
          </w:r>
          <w:r>
            <w:instrText xml:space="preserve"> HYPERLINK \l "_bookmark14" </w:instrText>
          </w:r>
          <w:r>
            <w:fldChar w:fldCharType="separate"/>
          </w:r>
          <w:r>
            <w:rPr>
              <w:rFonts w:ascii="Times New Roman" w:hAnsi="Times New Roman" w:eastAsia="Times New Roman" w:cs="Times New Roman"/>
              <w:spacing w:val="12"/>
              <w:sz w:val="23"/>
              <w:szCs w:val="23"/>
            </w:rPr>
            <w:t>2</w:t>
          </w:r>
          <w:r>
            <w:rPr>
              <w:rFonts w:ascii="Times New Roman" w:hAnsi="Times New Roman" w:eastAsia="Times New Roman" w:cs="Times New Roman"/>
              <w:spacing w:val="8"/>
              <w:sz w:val="23"/>
              <w:szCs w:val="23"/>
            </w:rPr>
            <w:t xml:space="preserve">.7  </w:t>
          </w:r>
          <w:r>
            <w:rPr>
              <w:rFonts w:ascii="宋体" w:hAnsi="宋体" w:eastAsia="宋体" w:cs="宋体"/>
              <w:spacing w:val="8"/>
              <w:sz w:val="23"/>
              <w:szCs w:val="23"/>
            </w:rPr>
            <w:t>环境保护目标</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38</w:t>
          </w:r>
          <w:r>
            <w:rPr>
              <w:rFonts w:ascii="Times New Roman" w:hAnsi="Times New Roman" w:eastAsia="Times New Roman" w:cs="Times New Roman"/>
              <w:spacing w:val="8"/>
              <w:sz w:val="23"/>
              <w:szCs w:val="23"/>
            </w:rPr>
            <w:fldChar w:fldCharType="end"/>
          </w:r>
        </w:p>
        <w:p w14:paraId="000CCAE1">
          <w:pPr>
            <w:tabs>
              <w:tab w:val="right" w:leader="dot" w:pos="8320"/>
            </w:tabs>
            <w:spacing w:before="155" w:line="228" w:lineRule="auto"/>
            <w:ind w:left="17"/>
            <w:rPr>
              <w:rFonts w:ascii="Times New Roman" w:hAnsi="Times New Roman" w:eastAsia="Times New Roman" w:cs="Times New Roman"/>
              <w:sz w:val="23"/>
              <w:szCs w:val="23"/>
            </w:rPr>
          </w:pPr>
          <w:r>
            <w:fldChar w:fldCharType="begin"/>
          </w:r>
          <w:r>
            <w:instrText xml:space="preserve"> HYPERLINK \l "_bookmark15" </w:instrText>
          </w:r>
          <w:r>
            <w:fldChar w:fldCharType="separate"/>
          </w:r>
          <w:r>
            <w:rPr>
              <w:rFonts w:ascii="Times New Roman" w:hAnsi="Times New Roman" w:eastAsia="Times New Roman" w:cs="Times New Roman"/>
              <w:b/>
              <w:bCs/>
              <w:spacing w:val="14"/>
              <w:sz w:val="23"/>
              <w:szCs w:val="23"/>
            </w:rPr>
            <w:t>3</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建设项目工程分析</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9"/>
              <w:sz w:val="23"/>
              <w:szCs w:val="23"/>
            </w:rPr>
            <w:t>41</w:t>
          </w:r>
          <w:r>
            <w:rPr>
              <w:rFonts w:ascii="Times New Roman" w:hAnsi="Times New Roman" w:eastAsia="Times New Roman" w:cs="Times New Roman"/>
              <w:b/>
              <w:bCs/>
              <w:spacing w:val="9"/>
              <w:sz w:val="23"/>
              <w:szCs w:val="23"/>
            </w:rPr>
            <w:fldChar w:fldCharType="end"/>
          </w:r>
        </w:p>
        <w:p w14:paraId="2039875C">
          <w:pPr>
            <w:tabs>
              <w:tab w:val="right" w:leader="dot" w:pos="8320"/>
            </w:tabs>
            <w:spacing w:before="158" w:line="227" w:lineRule="auto"/>
            <w:ind w:left="443"/>
            <w:rPr>
              <w:rFonts w:ascii="Times New Roman" w:hAnsi="Times New Roman" w:eastAsia="Times New Roman" w:cs="Times New Roman"/>
              <w:sz w:val="23"/>
              <w:szCs w:val="23"/>
            </w:rPr>
          </w:pPr>
          <w:r>
            <w:fldChar w:fldCharType="begin"/>
          </w:r>
          <w:r>
            <w:instrText xml:space="preserve"> HYPERLINK \l "_bookmark16" </w:instrText>
          </w:r>
          <w:r>
            <w:fldChar w:fldCharType="separate"/>
          </w:r>
          <w:r>
            <w:rPr>
              <w:rFonts w:ascii="Times New Roman" w:hAnsi="Times New Roman" w:eastAsia="Times New Roman" w:cs="Times New Roman"/>
              <w:spacing w:val="14"/>
              <w:sz w:val="23"/>
              <w:szCs w:val="23"/>
            </w:rPr>
            <w:t>3</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项目概况</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41</w:t>
          </w:r>
          <w:r>
            <w:rPr>
              <w:rFonts w:ascii="Times New Roman" w:hAnsi="Times New Roman" w:eastAsia="Times New Roman" w:cs="Times New Roman"/>
              <w:spacing w:val="7"/>
              <w:sz w:val="23"/>
              <w:szCs w:val="23"/>
            </w:rPr>
            <w:fldChar w:fldCharType="end"/>
          </w:r>
        </w:p>
        <w:p w14:paraId="36F76C6B">
          <w:pPr>
            <w:tabs>
              <w:tab w:val="right" w:leader="dot" w:pos="8320"/>
            </w:tabs>
            <w:spacing w:before="156" w:line="228" w:lineRule="auto"/>
            <w:ind w:left="443"/>
            <w:rPr>
              <w:rFonts w:ascii="Times New Roman" w:hAnsi="Times New Roman" w:eastAsia="Times New Roman" w:cs="Times New Roman"/>
              <w:sz w:val="23"/>
              <w:szCs w:val="23"/>
            </w:rPr>
          </w:pPr>
          <w:r>
            <w:fldChar w:fldCharType="begin"/>
          </w:r>
          <w:r>
            <w:instrText xml:space="preserve"> HYPERLINK \l "_bookmark17" </w:instrText>
          </w:r>
          <w:r>
            <w:fldChar w:fldCharType="separate"/>
          </w:r>
          <w:r>
            <w:rPr>
              <w:rFonts w:ascii="Times New Roman" w:hAnsi="Times New Roman" w:eastAsia="Times New Roman" w:cs="Times New Roman"/>
              <w:spacing w:val="14"/>
              <w:sz w:val="23"/>
              <w:szCs w:val="23"/>
            </w:rPr>
            <w:t>3</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工程分析</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51</w:t>
          </w:r>
          <w:r>
            <w:rPr>
              <w:rFonts w:ascii="Times New Roman" w:hAnsi="Times New Roman" w:eastAsia="Times New Roman" w:cs="Times New Roman"/>
              <w:spacing w:val="7"/>
              <w:sz w:val="23"/>
              <w:szCs w:val="23"/>
            </w:rPr>
            <w:fldChar w:fldCharType="end"/>
          </w:r>
        </w:p>
        <w:p w14:paraId="30AAB223">
          <w:pPr>
            <w:tabs>
              <w:tab w:val="right" w:leader="dot" w:pos="8320"/>
            </w:tabs>
            <w:spacing w:before="155" w:line="228" w:lineRule="auto"/>
            <w:ind w:left="443"/>
            <w:rPr>
              <w:rFonts w:ascii="Times New Roman" w:hAnsi="Times New Roman" w:eastAsia="Times New Roman" w:cs="Times New Roman"/>
              <w:sz w:val="23"/>
              <w:szCs w:val="23"/>
            </w:rPr>
          </w:pPr>
          <w:r>
            <w:fldChar w:fldCharType="begin"/>
          </w:r>
          <w:r>
            <w:instrText xml:space="preserve"> HYPERLINK \l "_bookmark18" </w:instrText>
          </w:r>
          <w:r>
            <w:fldChar w:fldCharType="separate"/>
          </w:r>
          <w:r>
            <w:rPr>
              <w:rFonts w:ascii="Times New Roman" w:hAnsi="Times New Roman" w:eastAsia="Times New Roman" w:cs="Times New Roman"/>
              <w:spacing w:val="14"/>
              <w:sz w:val="23"/>
              <w:szCs w:val="23"/>
            </w:rPr>
            <w:t>3</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污染物排放总量控制</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73</w:t>
          </w:r>
          <w:r>
            <w:rPr>
              <w:rFonts w:ascii="Times New Roman" w:hAnsi="Times New Roman" w:eastAsia="Times New Roman" w:cs="Times New Roman"/>
              <w:spacing w:val="8"/>
              <w:sz w:val="23"/>
              <w:szCs w:val="23"/>
            </w:rPr>
            <w:fldChar w:fldCharType="end"/>
          </w:r>
        </w:p>
        <w:p w14:paraId="06AE122A">
          <w:pPr>
            <w:tabs>
              <w:tab w:val="right" w:leader="dot" w:pos="8320"/>
            </w:tabs>
            <w:spacing w:before="157" w:line="226" w:lineRule="auto"/>
            <w:ind w:left="20"/>
            <w:rPr>
              <w:rFonts w:ascii="Times New Roman" w:hAnsi="Times New Roman" w:eastAsia="Times New Roman" w:cs="Times New Roman"/>
              <w:sz w:val="23"/>
              <w:szCs w:val="23"/>
            </w:rPr>
          </w:pPr>
          <w:r>
            <w:fldChar w:fldCharType="begin"/>
          </w:r>
          <w:r>
            <w:instrText xml:space="preserve"> HYPERLINK \l "_bookmark19" </w:instrText>
          </w:r>
          <w:r>
            <w:fldChar w:fldCharType="separate"/>
          </w:r>
          <w:r>
            <w:rPr>
              <w:rFonts w:ascii="Times New Roman" w:hAnsi="Times New Roman" w:eastAsia="Times New Roman" w:cs="Times New Roman"/>
              <w:b/>
              <w:bCs/>
              <w:spacing w:val="13"/>
              <w:sz w:val="23"/>
              <w:szCs w:val="23"/>
            </w:rPr>
            <w:t>4</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环境现状调查与评价</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9"/>
              <w:sz w:val="23"/>
              <w:szCs w:val="23"/>
            </w:rPr>
            <w:t>75</w:t>
          </w:r>
          <w:r>
            <w:rPr>
              <w:rFonts w:ascii="Times New Roman" w:hAnsi="Times New Roman" w:eastAsia="Times New Roman" w:cs="Times New Roman"/>
              <w:b/>
              <w:bCs/>
              <w:spacing w:val="9"/>
              <w:sz w:val="23"/>
              <w:szCs w:val="23"/>
            </w:rPr>
            <w:fldChar w:fldCharType="end"/>
          </w:r>
        </w:p>
        <w:p w14:paraId="606887C8">
          <w:pPr>
            <w:tabs>
              <w:tab w:val="right" w:leader="dot" w:pos="8320"/>
            </w:tabs>
            <w:spacing w:before="158" w:line="227" w:lineRule="auto"/>
            <w:ind w:left="437"/>
            <w:rPr>
              <w:rFonts w:ascii="Times New Roman" w:hAnsi="Times New Roman" w:eastAsia="Times New Roman" w:cs="Times New Roman"/>
              <w:sz w:val="23"/>
              <w:szCs w:val="23"/>
            </w:rPr>
          </w:pPr>
          <w:r>
            <w:fldChar w:fldCharType="begin"/>
          </w:r>
          <w:r>
            <w:instrText xml:space="preserve"> HYPERLINK \l "_bookmark20" </w:instrText>
          </w:r>
          <w:r>
            <w:fldChar w:fldCharType="separate"/>
          </w:r>
          <w:r>
            <w:rPr>
              <w:rFonts w:ascii="Times New Roman" w:hAnsi="Times New Roman" w:eastAsia="Times New Roman" w:cs="Times New Roman"/>
              <w:spacing w:val="14"/>
              <w:sz w:val="23"/>
              <w:szCs w:val="23"/>
            </w:rPr>
            <w:t>4</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自然环境概况</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75</w:t>
          </w:r>
          <w:r>
            <w:rPr>
              <w:rFonts w:ascii="Times New Roman" w:hAnsi="Times New Roman" w:eastAsia="Times New Roman" w:cs="Times New Roman"/>
              <w:spacing w:val="8"/>
              <w:sz w:val="23"/>
              <w:szCs w:val="23"/>
            </w:rPr>
            <w:fldChar w:fldCharType="end"/>
          </w:r>
        </w:p>
        <w:p w14:paraId="293AC981">
          <w:pPr>
            <w:tabs>
              <w:tab w:val="right" w:leader="dot" w:pos="8320"/>
            </w:tabs>
            <w:spacing w:before="156" w:line="227" w:lineRule="auto"/>
            <w:ind w:left="437"/>
            <w:rPr>
              <w:rFonts w:ascii="Times New Roman" w:hAnsi="Times New Roman" w:eastAsia="Times New Roman" w:cs="Times New Roman"/>
              <w:sz w:val="23"/>
              <w:szCs w:val="23"/>
            </w:rPr>
          </w:pPr>
          <w:r>
            <w:fldChar w:fldCharType="begin"/>
          </w:r>
          <w:r>
            <w:instrText xml:space="preserve"> HYPERLINK \l "_bookmark21" </w:instrText>
          </w:r>
          <w:r>
            <w:fldChar w:fldCharType="separate"/>
          </w:r>
          <w:r>
            <w:rPr>
              <w:rFonts w:ascii="Times New Roman" w:hAnsi="Times New Roman" w:eastAsia="Times New Roman" w:cs="Times New Roman"/>
              <w:spacing w:val="14"/>
              <w:sz w:val="23"/>
              <w:szCs w:val="23"/>
            </w:rPr>
            <w:t>4</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社会环境概况</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77</w:t>
          </w:r>
          <w:r>
            <w:rPr>
              <w:rFonts w:ascii="Times New Roman" w:hAnsi="Times New Roman" w:eastAsia="Times New Roman" w:cs="Times New Roman"/>
              <w:spacing w:val="8"/>
              <w:sz w:val="23"/>
              <w:szCs w:val="23"/>
            </w:rPr>
            <w:fldChar w:fldCharType="end"/>
          </w:r>
        </w:p>
        <w:p w14:paraId="063C374F">
          <w:pPr>
            <w:tabs>
              <w:tab w:val="right" w:leader="dot" w:pos="8320"/>
            </w:tabs>
            <w:spacing w:before="159" w:line="226" w:lineRule="auto"/>
            <w:ind w:left="437"/>
            <w:rPr>
              <w:rFonts w:ascii="Times New Roman" w:hAnsi="Times New Roman" w:eastAsia="Times New Roman" w:cs="Times New Roman"/>
              <w:sz w:val="23"/>
              <w:szCs w:val="23"/>
            </w:rPr>
          </w:pPr>
          <w:r>
            <w:fldChar w:fldCharType="begin"/>
          </w:r>
          <w:r>
            <w:instrText xml:space="preserve"> HYPERLINK \l "_bookmark22" </w:instrText>
          </w:r>
          <w:r>
            <w:fldChar w:fldCharType="separate"/>
          </w:r>
          <w:r>
            <w:rPr>
              <w:rFonts w:ascii="Times New Roman" w:hAnsi="Times New Roman" w:eastAsia="Times New Roman" w:cs="Times New Roman"/>
              <w:spacing w:val="9"/>
              <w:sz w:val="23"/>
              <w:szCs w:val="23"/>
            </w:rPr>
            <w:t xml:space="preserve">4.3  </w:t>
          </w:r>
          <w:r>
            <w:rPr>
              <w:rFonts w:ascii="宋体" w:hAnsi="宋体" w:eastAsia="宋体" w:cs="宋体"/>
              <w:spacing w:val="9"/>
              <w:sz w:val="23"/>
              <w:szCs w:val="23"/>
            </w:rPr>
            <w:t>环境质量现状调查与评价</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7</w:t>
          </w:r>
          <w:r>
            <w:rPr>
              <w:rFonts w:ascii="Times New Roman" w:hAnsi="Times New Roman" w:eastAsia="Times New Roman" w:cs="Times New Roman"/>
              <w:spacing w:val="7"/>
              <w:sz w:val="23"/>
              <w:szCs w:val="23"/>
            </w:rPr>
            <w:t>8</w:t>
          </w:r>
          <w:r>
            <w:rPr>
              <w:rFonts w:ascii="Times New Roman" w:hAnsi="Times New Roman" w:eastAsia="Times New Roman" w:cs="Times New Roman"/>
              <w:spacing w:val="7"/>
              <w:sz w:val="23"/>
              <w:szCs w:val="23"/>
            </w:rPr>
            <w:fldChar w:fldCharType="end"/>
          </w:r>
        </w:p>
        <w:p w14:paraId="4005E7FC">
          <w:pPr>
            <w:tabs>
              <w:tab w:val="right" w:leader="dot" w:pos="8320"/>
            </w:tabs>
            <w:spacing w:before="158" w:line="226" w:lineRule="auto"/>
            <w:ind w:left="22"/>
            <w:rPr>
              <w:rFonts w:ascii="Times New Roman" w:hAnsi="Times New Roman" w:eastAsia="Times New Roman" w:cs="Times New Roman"/>
              <w:sz w:val="23"/>
              <w:szCs w:val="23"/>
            </w:rPr>
          </w:pPr>
          <w:r>
            <w:fldChar w:fldCharType="begin"/>
          </w:r>
          <w:r>
            <w:instrText xml:space="preserve"> HYPERLINK \l "_bookmark23" </w:instrText>
          </w:r>
          <w:r>
            <w:fldChar w:fldCharType="separate"/>
          </w:r>
          <w:r>
            <w:rPr>
              <w:rFonts w:ascii="Times New Roman" w:hAnsi="Times New Roman" w:eastAsia="Times New Roman" w:cs="Times New Roman"/>
              <w:b/>
              <w:bCs/>
              <w:spacing w:val="9"/>
              <w:sz w:val="23"/>
              <w:szCs w:val="23"/>
            </w:rPr>
            <w:t>5</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环境影响预测与评价</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9"/>
              <w:sz w:val="23"/>
              <w:szCs w:val="23"/>
            </w:rPr>
            <w:t>10</w:t>
          </w:r>
          <w:r>
            <w:rPr>
              <w:rFonts w:ascii="Times New Roman" w:hAnsi="Times New Roman" w:eastAsia="Times New Roman" w:cs="Times New Roman"/>
              <w:b/>
              <w:bCs/>
              <w:spacing w:val="7"/>
              <w:sz w:val="23"/>
              <w:szCs w:val="23"/>
            </w:rPr>
            <w:t>0</w:t>
          </w:r>
          <w:r>
            <w:rPr>
              <w:rFonts w:ascii="Times New Roman" w:hAnsi="Times New Roman" w:eastAsia="Times New Roman" w:cs="Times New Roman"/>
              <w:b/>
              <w:bCs/>
              <w:spacing w:val="7"/>
              <w:sz w:val="23"/>
              <w:szCs w:val="23"/>
            </w:rPr>
            <w:fldChar w:fldCharType="end"/>
          </w:r>
        </w:p>
        <w:p w14:paraId="267EB9B3">
          <w:pPr>
            <w:tabs>
              <w:tab w:val="right" w:leader="dot" w:pos="8320"/>
            </w:tabs>
            <w:spacing w:before="157" w:line="226" w:lineRule="auto"/>
            <w:ind w:left="445"/>
            <w:rPr>
              <w:rFonts w:ascii="Times New Roman" w:hAnsi="Times New Roman" w:eastAsia="Times New Roman" w:cs="Times New Roman"/>
              <w:sz w:val="23"/>
              <w:szCs w:val="23"/>
            </w:rPr>
          </w:pPr>
          <w:r>
            <w:fldChar w:fldCharType="begin"/>
          </w:r>
          <w:r>
            <w:instrText xml:space="preserve"> HYPERLINK \l "_bookmark24" </w:instrText>
          </w:r>
          <w:r>
            <w:fldChar w:fldCharType="separate"/>
          </w:r>
          <w:r>
            <w:rPr>
              <w:rFonts w:ascii="Times New Roman" w:hAnsi="Times New Roman" w:eastAsia="Times New Roman" w:cs="Times New Roman"/>
              <w:spacing w:val="14"/>
              <w:sz w:val="23"/>
              <w:szCs w:val="23"/>
            </w:rPr>
            <w:t>5</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施工期环境影响评价</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100</w:t>
          </w:r>
          <w:r>
            <w:rPr>
              <w:rFonts w:ascii="Times New Roman" w:hAnsi="Times New Roman" w:eastAsia="Times New Roman" w:cs="Times New Roman"/>
              <w:spacing w:val="8"/>
              <w:sz w:val="23"/>
              <w:szCs w:val="23"/>
            </w:rPr>
            <w:fldChar w:fldCharType="end"/>
          </w:r>
        </w:p>
        <w:p w14:paraId="0575C1A5">
          <w:pPr>
            <w:tabs>
              <w:tab w:val="right" w:leader="dot" w:pos="8320"/>
            </w:tabs>
            <w:spacing w:before="160" w:line="226" w:lineRule="auto"/>
            <w:ind w:left="445"/>
            <w:rPr>
              <w:rFonts w:ascii="Times New Roman" w:hAnsi="Times New Roman" w:eastAsia="Times New Roman" w:cs="Times New Roman"/>
              <w:sz w:val="23"/>
              <w:szCs w:val="23"/>
            </w:rPr>
          </w:pPr>
          <w:r>
            <w:fldChar w:fldCharType="begin"/>
          </w:r>
          <w:r>
            <w:instrText xml:space="preserve"> HYPERLINK \l "_bookmark25" </w:instrText>
          </w:r>
          <w:r>
            <w:fldChar w:fldCharType="separate"/>
          </w:r>
          <w:r>
            <w:rPr>
              <w:rFonts w:ascii="Times New Roman" w:hAnsi="Times New Roman" w:eastAsia="Times New Roman" w:cs="Times New Roman"/>
              <w:spacing w:val="14"/>
              <w:sz w:val="23"/>
              <w:szCs w:val="23"/>
            </w:rPr>
            <w:t>5</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营运期环境影响评价</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104</w:t>
          </w:r>
          <w:r>
            <w:rPr>
              <w:rFonts w:ascii="Times New Roman" w:hAnsi="Times New Roman" w:eastAsia="Times New Roman" w:cs="Times New Roman"/>
              <w:spacing w:val="8"/>
              <w:sz w:val="23"/>
              <w:szCs w:val="23"/>
            </w:rPr>
            <w:fldChar w:fldCharType="end"/>
          </w:r>
        </w:p>
        <w:p w14:paraId="5B9B414A">
          <w:pPr>
            <w:tabs>
              <w:tab w:val="right" w:leader="dot" w:pos="8320"/>
            </w:tabs>
            <w:spacing w:before="158" w:line="228" w:lineRule="auto"/>
            <w:ind w:left="22"/>
            <w:rPr>
              <w:rFonts w:ascii="Times New Roman" w:hAnsi="Times New Roman" w:eastAsia="Times New Roman" w:cs="Times New Roman"/>
              <w:sz w:val="23"/>
              <w:szCs w:val="23"/>
            </w:rPr>
          </w:pPr>
          <w:r>
            <w:fldChar w:fldCharType="begin"/>
          </w:r>
          <w:r>
            <w:instrText xml:space="preserve"> HYPERLINK \l "_bookmark26" </w:instrText>
          </w:r>
          <w:r>
            <w:fldChar w:fldCharType="separate"/>
          </w:r>
          <w:r>
            <w:rPr>
              <w:rFonts w:ascii="Times New Roman" w:hAnsi="Times New Roman" w:eastAsia="Times New Roman" w:cs="Times New Roman"/>
              <w:b/>
              <w:bCs/>
              <w:spacing w:val="10"/>
              <w:sz w:val="23"/>
              <w:szCs w:val="23"/>
            </w:rPr>
            <w:t>6</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污染防治措施及其可行性论证</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9"/>
              <w:sz w:val="23"/>
              <w:szCs w:val="23"/>
            </w:rPr>
            <w:t>132</w:t>
          </w:r>
          <w:r>
            <w:rPr>
              <w:rFonts w:ascii="Times New Roman" w:hAnsi="Times New Roman" w:eastAsia="Times New Roman" w:cs="Times New Roman"/>
              <w:b/>
              <w:bCs/>
              <w:spacing w:val="9"/>
              <w:sz w:val="23"/>
              <w:szCs w:val="23"/>
            </w:rPr>
            <w:fldChar w:fldCharType="end"/>
          </w:r>
        </w:p>
        <w:p w14:paraId="5DD734CC">
          <w:pPr>
            <w:tabs>
              <w:tab w:val="right" w:leader="dot" w:pos="8320"/>
            </w:tabs>
            <w:spacing w:before="155" w:line="228" w:lineRule="auto"/>
            <w:ind w:left="444"/>
            <w:rPr>
              <w:rFonts w:ascii="Times New Roman" w:hAnsi="Times New Roman" w:eastAsia="Times New Roman" w:cs="Times New Roman"/>
              <w:sz w:val="23"/>
              <w:szCs w:val="23"/>
            </w:rPr>
          </w:pPr>
          <w:r>
            <w:fldChar w:fldCharType="begin"/>
          </w:r>
          <w:r>
            <w:instrText xml:space="preserve"> HYPERLINK \l "_bookmark27" </w:instrText>
          </w:r>
          <w:r>
            <w:fldChar w:fldCharType="separate"/>
          </w:r>
          <w:r>
            <w:rPr>
              <w:rFonts w:ascii="Times New Roman" w:hAnsi="Times New Roman" w:eastAsia="Times New Roman" w:cs="Times New Roman"/>
              <w:spacing w:val="16"/>
              <w:sz w:val="23"/>
              <w:szCs w:val="23"/>
            </w:rPr>
            <w:t>6</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施工期污染防治措施</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132</w:t>
          </w:r>
          <w:r>
            <w:rPr>
              <w:rFonts w:ascii="Times New Roman" w:hAnsi="Times New Roman" w:eastAsia="Times New Roman" w:cs="Times New Roman"/>
              <w:spacing w:val="8"/>
              <w:sz w:val="23"/>
              <w:szCs w:val="23"/>
            </w:rPr>
            <w:fldChar w:fldCharType="end"/>
          </w:r>
        </w:p>
        <w:p w14:paraId="295F33E6">
          <w:pPr>
            <w:tabs>
              <w:tab w:val="right" w:leader="dot" w:pos="8320"/>
            </w:tabs>
            <w:spacing w:before="158" w:line="228" w:lineRule="auto"/>
            <w:ind w:left="444"/>
            <w:rPr>
              <w:rFonts w:ascii="Times New Roman" w:hAnsi="Times New Roman" w:eastAsia="Times New Roman" w:cs="Times New Roman"/>
              <w:sz w:val="23"/>
              <w:szCs w:val="23"/>
            </w:rPr>
          </w:pPr>
          <w:r>
            <w:fldChar w:fldCharType="begin"/>
          </w:r>
          <w:r>
            <w:instrText xml:space="preserve"> HYPERLINK \l "_bookmark28" </w:instrText>
          </w:r>
          <w:r>
            <w:fldChar w:fldCharType="separate"/>
          </w:r>
          <w:r>
            <w:rPr>
              <w:rFonts w:ascii="Times New Roman" w:hAnsi="Times New Roman" w:eastAsia="Times New Roman" w:cs="Times New Roman"/>
              <w:spacing w:val="16"/>
              <w:sz w:val="23"/>
              <w:szCs w:val="23"/>
            </w:rPr>
            <w:t>6</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运营期污染防治措施</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137</w:t>
          </w:r>
          <w:r>
            <w:rPr>
              <w:rFonts w:ascii="Times New Roman" w:hAnsi="Times New Roman" w:eastAsia="Times New Roman" w:cs="Times New Roman"/>
              <w:spacing w:val="8"/>
              <w:sz w:val="23"/>
              <w:szCs w:val="23"/>
            </w:rPr>
            <w:fldChar w:fldCharType="end"/>
          </w:r>
        </w:p>
        <w:p w14:paraId="2E5EBE65">
          <w:pPr>
            <w:tabs>
              <w:tab w:val="right" w:leader="dot" w:pos="8320"/>
            </w:tabs>
            <w:spacing w:before="155" w:line="226" w:lineRule="auto"/>
            <w:ind w:left="22"/>
            <w:rPr>
              <w:rFonts w:ascii="Times New Roman" w:hAnsi="Times New Roman" w:eastAsia="Times New Roman" w:cs="Times New Roman"/>
              <w:sz w:val="23"/>
              <w:szCs w:val="23"/>
            </w:rPr>
          </w:pPr>
          <w:r>
            <w:fldChar w:fldCharType="begin"/>
          </w:r>
          <w:r>
            <w:instrText xml:space="preserve"> HYPERLINK \l "_bookmark29" </w:instrText>
          </w:r>
          <w:r>
            <w:fldChar w:fldCharType="separate"/>
          </w:r>
          <w:r>
            <w:rPr>
              <w:rFonts w:ascii="Times New Roman" w:hAnsi="Times New Roman" w:eastAsia="Times New Roman" w:cs="Times New Roman"/>
              <w:b/>
              <w:bCs/>
              <w:spacing w:val="16"/>
              <w:sz w:val="23"/>
              <w:szCs w:val="23"/>
            </w:rPr>
            <w:t>7</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环境风险评价</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8"/>
              <w:sz w:val="23"/>
              <w:szCs w:val="23"/>
            </w:rPr>
            <w:t>149</w:t>
          </w:r>
          <w:r>
            <w:rPr>
              <w:rFonts w:ascii="Times New Roman" w:hAnsi="Times New Roman" w:eastAsia="Times New Roman" w:cs="Times New Roman"/>
              <w:b/>
              <w:bCs/>
              <w:spacing w:val="8"/>
              <w:sz w:val="23"/>
              <w:szCs w:val="23"/>
            </w:rPr>
            <w:fldChar w:fldCharType="end"/>
          </w:r>
        </w:p>
        <w:p w14:paraId="45980B06">
          <w:pPr>
            <w:tabs>
              <w:tab w:val="right" w:leader="dot" w:pos="8320"/>
            </w:tabs>
            <w:spacing w:before="157" w:line="226" w:lineRule="auto"/>
            <w:ind w:left="442"/>
            <w:rPr>
              <w:rFonts w:ascii="Times New Roman" w:hAnsi="Times New Roman" w:eastAsia="Times New Roman" w:cs="Times New Roman"/>
              <w:sz w:val="23"/>
              <w:szCs w:val="23"/>
            </w:rPr>
          </w:pPr>
          <w:r>
            <w:fldChar w:fldCharType="begin"/>
          </w:r>
          <w:r>
            <w:instrText xml:space="preserve"> HYPERLINK \l "_bookmark30" </w:instrText>
          </w:r>
          <w:r>
            <w:fldChar w:fldCharType="separate"/>
          </w:r>
          <w:r>
            <w:rPr>
              <w:rFonts w:ascii="Times New Roman" w:hAnsi="Times New Roman" w:eastAsia="Times New Roman" w:cs="Times New Roman"/>
              <w:spacing w:val="10"/>
              <w:sz w:val="23"/>
              <w:szCs w:val="23"/>
            </w:rPr>
            <w:t>7</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环境风险评价依据</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149</w:t>
          </w:r>
          <w:r>
            <w:rPr>
              <w:rFonts w:ascii="Times New Roman" w:hAnsi="Times New Roman" w:eastAsia="Times New Roman" w:cs="Times New Roman"/>
              <w:spacing w:val="8"/>
              <w:sz w:val="23"/>
              <w:szCs w:val="23"/>
            </w:rPr>
            <w:fldChar w:fldCharType="end"/>
          </w:r>
        </w:p>
      </w:sdtContent>
    </w:sdt>
    <w:p w14:paraId="3BF351F8">
      <w:pPr>
        <w:sectPr>
          <w:headerReference r:id="rId5" w:type="default"/>
          <w:footerReference r:id="rId6" w:type="default"/>
          <w:pgSz w:w="11906" w:h="16839"/>
          <w:pgMar w:top="1132" w:right="1785" w:bottom="897" w:left="1785" w:header="878" w:footer="739" w:gutter="0"/>
          <w:cols w:space="720" w:num="1"/>
        </w:sectPr>
      </w:pPr>
    </w:p>
    <w:p w14:paraId="6A3767B4">
      <w:pPr>
        <w:spacing w:line="378" w:lineRule="auto"/>
        <w:rPr>
          <w:rFonts w:ascii="Arial"/>
          <w:sz w:val="21"/>
        </w:rPr>
      </w:pPr>
      <w:r>
        <w:pict>
          <v:shape id="_x0000_s1027" o:spid="_x0000_s1027" style="position:absolute;left:0pt;margin-left:90pt;margin-top:57.35pt;height:0.75pt;width:415.3pt;mso-position-horizontal-relative:page;mso-position-vertical-relative:page;z-index:251661312;mso-width-relative:page;mso-height-relative:page;" fillcolor="#000000" filled="t" stroked="f" coordsize="8305,15" o:allowincell="f" path="m0,0l8305,0,8305,14,0,14,0,0xe">
            <v:path/>
            <v:fill on="t" focussize="0,0"/>
            <v:stroke on="f"/>
            <v:imagedata o:title=""/>
            <o:lock v:ext="edit"/>
          </v:shape>
        </w:pict>
      </w:r>
    </w:p>
    <w:sdt>
      <w:sdtPr>
        <w:rPr>
          <w:rFonts w:ascii="Times New Roman" w:hAnsi="Times New Roman" w:eastAsia="Times New Roman" w:cs="Times New Roman"/>
          <w:sz w:val="23"/>
          <w:szCs w:val="23"/>
        </w:rPr>
        <w:id w:val="2"/>
        <w:docPartObj>
          <w:docPartGallery w:val="Table of Contents"/>
          <w:docPartUnique/>
        </w:docPartObj>
      </w:sdtPr>
      <w:sdtEndPr>
        <w:rPr>
          <w:rFonts w:ascii="Times New Roman" w:hAnsi="Times New Roman" w:eastAsia="Times New Roman" w:cs="Times New Roman"/>
          <w:sz w:val="23"/>
          <w:szCs w:val="23"/>
        </w:rPr>
      </w:sdtEndPr>
      <w:sdtContent>
        <w:p w14:paraId="452228F6">
          <w:pPr>
            <w:tabs>
              <w:tab w:val="right" w:leader="dot" w:pos="8320"/>
            </w:tabs>
            <w:spacing w:before="74" w:line="227" w:lineRule="auto"/>
            <w:ind w:left="442"/>
            <w:rPr>
              <w:rFonts w:ascii="Times New Roman" w:hAnsi="Times New Roman" w:eastAsia="Times New Roman" w:cs="Times New Roman"/>
              <w:sz w:val="23"/>
              <w:szCs w:val="23"/>
            </w:rPr>
          </w:pPr>
          <w:r>
            <w:fldChar w:fldCharType="begin"/>
          </w:r>
          <w:r>
            <w:instrText xml:space="preserve"> HYPERLINK \l "_bookmark31" </w:instrText>
          </w:r>
          <w:r>
            <w:fldChar w:fldCharType="separate"/>
          </w:r>
          <w:r>
            <w:rPr>
              <w:rFonts w:ascii="Times New Roman" w:hAnsi="Times New Roman" w:eastAsia="Times New Roman" w:cs="Times New Roman"/>
              <w:spacing w:val="10"/>
              <w:sz w:val="23"/>
              <w:szCs w:val="23"/>
            </w:rPr>
            <w:t>7</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环境敏感目标概况</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151</w:t>
          </w:r>
          <w:r>
            <w:rPr>
              <w:rFonts w:ascii="Times New Roman" w:hAnsi="Times New Roman" w:eastAsia="Times New Roman" w:cs="Times New Roman"/>
              <w:spacing w:val="8"/>
              <w:sz w:val="23"/>
              <w:szCs w:val="23"/>
            </w:rPr>
            <w:fldChar w:fldCharType="end"/>
          </w:r>
        </w:p>
        <w:p w14:paraId="39F5F921">
          <w:pPr>
            <w:tabs>
              <w:tab w:val="right" w:leader="dot" w:pos="8320"/>
            </w:tabs>
            <w:spacing w:before="156" w:line="228" w:lineRule="auto"/>
            <w:ind w:left="442"/>
            <w:rPr>
              <w:rFonts w:ascii="Times New Roman" w:hAnsi="Times New Roman" w:eastAsia="Times New Roman" w:cs="Times New Roman"/>
              <w:sz w:val="23"/>
              <w:szCs w:val="23"/>
            </w:rPr>
          </w:pPr>
          <w:r>
            <w:fldChar w:fldCharType="begin"/>
          </w:r>
          <w:r>
            <w:instrText xml:space="preserve"> HYPERLINK \l "_bookmark32" </w:instrText>
          </w:r>
          <w:r>
            <w:fldChar w:fldCharType="separate"/>
          </w:r>
          <w:r>
            <w:rPr>
              <w:rFonts w:ascii="Times New Roman" w:hAnsi="Times New Roman" w:eastAsia="Times New Roman" w:cs="Times New Roman"/>
              <w:spacing w:val="8"/>
              <w:sz w:val="23"/>
              <w:szCs w:val="23"/>
            </w:rPr>
            <w:t xml:space="preserve">7.3  </w:t>
          </w:r>
          <w:r>
            <w:rPr>
              <w:rFonts w:ascii="宋体" w:hAnsi="宋体" w:eastAsia="宋体" w:cs="宋体"/>
              <w:spacing w:val="8"/>
              <w:sz w:val="23"/>
              <w:szCs w:val="23"/>
            </w:rPr>
            <w:t>环境风险识别</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6"/>
              <w:sz w:val="23"/>
              <w:szCs w:val="23"/>
            </w:rPr>
            <w:fldChar w:fldCharType="end"/>
          </w:r>
        </w:p>
        <w:p w14:paraId="18988D1F">
          <w:pPr>
            <w:tabs>
              <w:tab w:val="right" w:leader="dot" w:pos="8320"/>
            </w:tabs>
            <w:spacing w:before="155" w:line="227" w:lineRule="auto"/>
            <w:ind w:left="442"/>
            <w:rPr>
              <w:rFonts w:ascii="Times New Roman" w:hAnsi="Times New Roman" w:eastAsia="Times New Roman" w:cs="Times New Roman"/>
              <w:sz w:val="23"/>
              <w:szCs w:val="23"/>
            </w:rPr>
          </w:pPr>
          <w:r>
            <w:fldChar w:fldCharType="begin"/>
          </w:r>
          <w:r>
            <w:instrText xml:space="preserve"> HYPERLINK \l "_bookmark33" </w:instrText>
          </w:r>
          <w:r>
            <w:fldChar w:fldCharType="separate"/>
          </w:r>
          <w:r>
            <w:rPr>
              <w:rFonts w:ascii="Times New Roman" w:hAnsi="Times New Roman" w:eastAsia="Times New Roman" w:cs="Times New Roman"/>
              <w:spacing w:val="16"/>
              <w:sz w:val="23"/>
              <w:szCs w:val="23"/>
            </w:rPr>
            <w:t>7</w:t>
          </w:r>
          <w:r>
            <w:rPr>
              <w:rFonts w:ascii="Times New Roman" w:hAnsi="Times New Roman" w:eastAsia="Times New Roman" w:cs="Times New Roman"/>
              <w:spacing w:val="14"/>
              <w:sz w:val="23"/>
              <w:szCs w:val="23"/>
            </w:rPr>
            <w:t>.</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事故风险类型及危害方式、途径</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153</w:t>
          </w:r>
          <w:r>
            <w:rPr>
              <w:rFonts w:ascii="Times New Roman" w:hAnsi="Times New Roman" w:eastAsia="Times New Roman" w:cs="Times New Roman"/>
              <w:spacing w:val="8"/>
              <w:sz w:val="23"/>
              <w:szCs w:val="23"/>
            </w:rPr>
            <w:fldChar w:fldCharType="end"/>
          </w:r>
        </w:p>
        <w:p w14:paraId="46B59594">
          <w:pPr>
            <w:tabs>
              <w:tab w:val="right" w:leader="dot" w:pos="8320"/>
            </w:tabs>
            <w:spacing w:before="158" w:line="228" w:lineRule="auto"/>
            <w:ind w:left="442"/>
            <w:rPr>
              <w:rFonts w:ascii="Times New Roman" w:hAnsi="Times New Roman" w:eastAsia="Times New Roman" w:cs="Times New Roman"/>
              <w:sz w:val="23"/>
              <w:szCs w:val="23"/>
            </w:rPr>
          </w:pPr>
          <w:r>
            <w:fldChar w:fldCharType="begin"/>
          </w:r>
          <w:r>
            <w:instrText xml:space="preserve"> HYPERLINK \l "_bookmark34" </w:instrText>
          </w:r>
          <w:r>
            <w:fldChar w:fldCharType="separate"/>
          </w:r>
          <w:r>
            <w:rPr>
              <w:rFonts w:ascii="Times New Roman" w:hAnsi="Times New Roman" w:eastAsia="Times New Roman" w:cs="Times New Roman"/>
              <w:spacing w:val="8"/>
              <w:sz w:val="23"/>
              <w:szCs w:val="23"/>
            </w:rPr>
            <w:t xml:space="preserve">7.5  </w:t>
          </w:r>
          <w:r>
            <w:rPr>
              <w:rFonts w:ascii="宋体" w:hAnsi="宋体" w:eastAsia="宋体" w:cs="宋体"/>
              <w:spacing w:val="8"/>
              <w:sz w:val="23"/>
              <w:szCs w:val="23"/>
            </w:rPr>
            <w:t>环境风险分析</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6"/>
              <w:sz w:val="23"/>
              <w:szCs w:val="23"/>
            </w:rPr>
            <w:fldChar w:fldCharType="end"/>
          </w:r>
        </w:p>
        <w:p w14:paraId="1CF3A531">
          <w:pPr>
            <w:tabs>
              <w:tab w:val="right" w:leader="dot" w:pos="8320"/>
            </w:tabs>
            <w:spacing w:before="155" w:line="228" w:lineRule="auto"/>
            <w:ind w:left="442"/>
            <w:rPr>
              <w:rFonts w:ascii="Times New Roman" w:hAnsi="Times New Roman" w:eastAsia="Times New Roman" w:cs="Times New Roman"/>
              <w:sz w:val="23"/>
              <w:szCs w:val="23"/>
            </w:rPr>
          </w:pPr>
          <w:r>
            <w:fldChar w:fldCharType="begin"/>
          </w:r>
          <w:r>
            <w:instrText xml:space="preserve"> HYPERLINK \l "_bookmark35" </w:instrText>
          </w:r>
          <w:r>
            <w:fldChar w:fldCharType="separate"/>
          </w:r>
          <w:r>
            <w:rPr>
              <w:rFonts w:ascii="Times New Roman" w:hAnsi="Times New Roman" w:eastAsia="Times New Roman" w:cs="Times New Roman"/>
              <w:spacing w:val="16"/>
              <w:sz w:val="23"/>
              <w:szCs w:val="23"/>
            </w:rPr>
            <w:t>7</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8"/>
              <w:sz w:val="23"/>
              <w:szCs w:val="23"/>
            </w:rPr>
            <w:t xml:space="preserve">6  </w:t>
          </w:r>
          <w:r>
            <w:rPr>
              <w:rFonts w:ascii="宋体" w:hAnsi="宋体" w:eastAsia="宋体" w:cs="宋体"/>
              <w:spacing w:val="8"/>
              <w:sz w:val="23"/>
              <w:szCs w:val="23"/>
            </w:rPr>
            <w:t>环境风险防范措施及应急要求</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157</w:t>
          </w:r>
          <w:r>
            <w:rPr>
              <w:rFonts w:ascii="Times New Roman" w:hAnsi="Times New Roman" w:eastAsia="Times New Roman" w:cs="Times New Roman"/>
              <w:spacing w:val="8"/>
              <w:sz w:val="23"/>
              <w:szCs w:val="23"/>
            </w:rPr>
            <w:fldChar w:fldCharType="end"/>
          </w:r>
        </w:p>
        <w:p w14:paraId="35412012">
          <w:pPr>
            <w:tabs>
              <w:tab w:val="right" w:leader="dot" w:pos="8320"/>
            </w:tabs>
            <w:spacing w:before="155" w:line="228" w:lineRule="auto"/>
            <w:ind w:left="442"/>
            <w:rPr>
              <w:rFonts w:ascii="Times New Roman" w:hAnsi="Times New Roman" w:eastAsia="Times New Roman" w:cs="Times New Roman"/>
              <w:sz w:val="23"/>
              <w:szCs w:val="23"/>
            </w:rPr>
          </w:pPr>
          <w:r>
            <w:fldChar w:fldCharType="begin"/>
          </w:r>
          <w:r>
            <w:instrText xml:space="preserve"> HYPERLINK \l "_bookmark36" </w:instrText>
          </w:r>
          <w:r>
            <w:fldChar w:fldCharType="separate"/>
          </w:r>
          <w:r>
            <w:rPr>
              <w:rFonts w:ascii="Times New Roman" w:hAnsi="Times New Roman" w:eastAsia="Times New Roman" w:cs="Times New Roman"/>
              <w:spacing w:val="8"/>
              <w:sz w:val="23"/>
              <w:szCs w:val="23"/>
            </w:rPr>
            <w:t xml:space="preserve">7.7  </w:t>
          </w:r>
          <w:r>
            <w:rPr>
              <w:rFonts w:ascii="宋体" w:hAnsi="宋体" w:eastAsia="宋体" w:cs="宋体"/>
              <w:spacing w:val="8"/>
              <w:sz w:val="23"/>
              <w:szCs w:val="23"/>
            </w:rPr>
            <w:t>风险分析结论</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w:t>
          </w:r>
          <w:r>
            <w:rPr>
              <w:rFonts w:ascii="Times New Roman" w:hAnsi="Times New Roman" w:eastAsia="Times New Roman" w:cs="Times New Roman"/>
              <w:spacing w:val="6"/>
              <w:sz w:val="23"/>
              <w:szCs w:val="23"/>
            </w:rPr>
            <w:t>8</w:t>
          </w:r>
          <w:r>
            <w:rPr>
              <w:rFonts w:ascii="Times New Roman" w:hAnsi="Times New Roman" w:eastAsia="Times New Roman" w:cs="Times New Roman"/>
              <w:spacing w:val="6"/>
              <w:sz w:val="23"/>
              <w:szCs w:val="23"/>
            </w:rPr>
            <w:fldChar w:fldCharType="end"/>
          </w:r>
        </w:p>
        <w:p w14:paraId="402D04F4">
          <w:pPr>
            <w:tabs>
              <w:tab w:val="right" w:leader="dot" w:pos="8320"/>
            </w:tabs>
            <w:spacing w:before="157" w:line="228" w:lineRule="auto"/>
            <w:ind w:left="22"/>
            <w:rPr>
              <w:rFonts w:ascii="Times New Roman" w:hAnsi="Times New Roman" w:eastAsia="Times New Roman" w:cs="Times New Roman"/>
              <w:sz w:val="23"/>
              <w:szCs w:val="23"/>
            </w:rPr>
          </w:pPr>
          <w:r>
            <w:fldChar w:fldCharType="begin"/>
          </w:r>
          <w:r>
            <w:instrText xml:space="preserve"> HYPERLINK \l "_bookmark37" </w:instrText>
          </w:r>
          <w:r>
            <w:fldChar w:fldCharType="separate"/>
          </w:r>
          <w:r>
            <w:rPr>
              <w:rFonts w:ascii="Times New Roman" w:hAnsi="Times New Roman" w:eastAsia="Times New Roman" w:cs="Times New Roman"/>
              <w:b/>
              <w:bCs/>
              <w:spacing w:val="9"/>
              <w:sz w:val="23"/>
              <w:szCs w:val="23"/>
            </w:rPr>
            <w:t>8</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环境影响经济损益分析</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9"/>
              <w:sz w:val="23"/>
              <w:szCs w:val="23"/>
            </w:rPr>
            <w:t>16</w:t>
          </w:r>
          <w:r>
            <w:rPr>
              <w:rFonts w:ascii="Times New Roman" w:hAnsi="Times New Roman" w:eastAsia="Times New Roman" w:cs="Times New Roman"/>
              <w:b/>
              <w:bCs/>
              <w:spacing w:val="8"/>
              <w:sz w:val="23"/>
              <w:szCs w:val="23"/>
            </w:rPr>
            <w:t>1</w:t>
          </w:r>
          <w:r>
            <w:rPr>
              <w:rFonts w:ascii="Times New Roman" w:hAnsi="Times New Roman" w:eastAsia="Times New Roman" w:cs="Times New Roman"/>
              <w:b/>
              <w:bCs/>
              <w:spacing w:val="8"/>
              <w:sz w:val="23"/>
              <w:szCs w:val="23"/>
            </w:rPr>
            <w:fldChar w:fldCharType="end"/>
          </w:r>
        </w:p>
        <w:p w14:paraId="7EF70846">
          <w:pPr>
            <w:tabs>
              <w:tab w:val="right" w:leader="dot" w:pos="8320"/>
            </w:tabs>
            <w:spacing w:before="155" w:line="226" w:lineRule="auto"/>
            <w:ind w:left="448"/>
            <w:rPr>
              <w:rFonts w:ascii="Times New Roman" w:hAnsi="Times New Roman" w:eastAsia="Times New Roman" w:cs="Times New Roman"/>
              <w:sz w:val="23"/>
              <w:szCs w:val="23"/>
            </w:rPr>
          </w:pPr>
          <w:r>
            <w:fldChar w:fldCharType="begin"/>
          </w:r>
          <w:r>
            <w:instrText xml:space="preserve"> HYPERLINK \l "_bookmark38" </w:instrText>
          </w:r>
          <w:r>
            <w:fldChar w:fldCharType="separate"/>
          </w:r>
          <w:r>
            <w:rPr>
              <w:rFonts w:ascii="Times New Roman" w:hAnsi="Times New Roman" w:eastAsia="Times New Roman" w:cs="Times New Roman"/>
              <w:spacing w:val="7"/>
              <w:sz w:val="23"/>
              <w:szCs w:val="23"/>
            </w:rPr>
            <w:t xml:space="preserve">8.1  </w:t>
          </w:r>
          <w:r>
            <w:rPr>
              <w:rFonts w:ascii="宋体" w:hAnsi="宋体" w:eastAsia="宋体" w:cs="宋体"/>
              <w:spacing w:val="7"/>
              <w:sz w:val="23"/>
              <w:szCs w:val="23"/>
            </w:rPr>
            <w:t>评价目的</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161</w:t>
          </w:r>
          <w:r>
            <w:rPr>
              <w:rFonts w:ascii="Times New Roman" w:hAnsi="Times New Roman" w:eastAsia="Times New Roman" w:cs="Times New Roman"/>
              <w:spacing w:val="7"/>
              <w:sz w:val="23"/>
              <w:szCs w:val="23"/>
            </w:rPr>
            <w:fldChar w:fldCharType="end"/>
          </w:r>
        </w:p>
        <w:p w14:paraId="4A9902EA">
          <w:pPr>
            <w:tabs>
              <w:tab w:val="right" w:leader="dot" w:pos="8320"/>
            </w:tabs>
            <w:spacing w:before="158" w:line="227" w:lineRule="auto"/>
            <w:ind w:left="448"/>
            <w:rPr>
              <w:rFonts w:ascii="Times New Roman" w:hAnsi="Times New Roman" w:eastAsia="Times New Roman" w:cs="Times New Roman"/>
              <w:sz w:val="23"/>
              <w:szCs w:val="23"/>
            </w:rPr>
          </w:pPr>
          <w:r>
            <w:fldChar w:fldCharType="begin"/>
          </w:r>
          <w:r>
            <w:instrText xml:space="preserve"> HYPERLINK \l "_bookmark39" </w:instrText>
          </w:r>
          <w:r>
            <w:fldChar w:fldCharType="separate"/>
          </w:r>
          <w:r>
            <w:rPr>
              <w:rFonts w:ascii="Times New Roman" w:hAnsi="Times New Roman" w:eastAsia="Times New Roman" w:cs="Times New Roman"/>
              <w:spacing w:val="14"/>
              <w:sz w:val="23"/>
              <w:szCs w:val="23"/>
            </w:rPr>
            <w:t>8</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项目社会效益情况</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161</w:t>
          </w:r>
          <w:r>
            <w:rPr>
              <w:rFonts w:ascii="Times New Roman" w:hAnsi="Times New Roman" w:eastAsia="Times New Roman" w:cs="Times New Roman"/>
              <w:spacing w:val="7"/>
              <w:sz w:val="23"/>
              <w:szCs w:val="23"/>
            </w:rPr>
            <w:fldChar w:fldCharType="end"/>
          </w:r>
        </w:p>
        <w:p w14:paraId="1FE112AC">
          <w:pPr>
            <w:tabs>
              <w:tab w:val="right" w:leader="dot" w:pos="8320"/>
            </w:tabs>
            <w:spacing w:before="159" w:line="228" w:lineRule="auto"/>
            <w:ind w:left="448"/>
            <w:rPr>
              <w:rFonts w:ascii="Times New Roman" w:hAnsi="Times New Roman" w:eastAsia="Times New Roman" w:cs="Times New Roman"/>
              <w:sz w:val="23"/>
              <w:szCs w:val="23"/>
            </w:rPr>
          </w:pPr>
          <w:r>
            <w:fldChar w:fldCharType="begin"/>
          </w:r>
          <w:r>
            <w:instrText xml:space="preserve"> HYPERLINK \l "_bookmark40" </w:instrText>
          </w:r>
          <w:r>
            <w:fldChar w:fldCharType="separate"/>
          </w:r>
          <w:r>
            <w:rPr>
              <w:rFonts w:ascii="Times New Roman" w:hAnsi="Times New Roman" w:eastAsia="Times New Roman" w:cs="Times New Roman"/>
              <w:spacing w:val="14"/>
              <w:sz w:val="23"/>
              <w:szCs w:val="23"/>
            </w:rPr>
            <w:t>8</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7"/>
              <w:sz w:val="23"/>
              <w:szCs w:val="23"/>
            </w:rPr>
            <w:t xml:space="preserve">3  </w:t>
          </w:r>
          <w:r>
            <w:rPr>
              <w:rFonts w:ascii="宋体" w:hAnsi="宋体" w:eastAsia="宋体" w:cs="宋体"/>
              <w:spacing w:val="7"/>
              <w:sz w:val="23"/>
              <w:szCs w:val="23"/>
            </w:rPr>
            <w:t>项目经济效益情况</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162</w:t>
          </w:r>
          <w:r>
            <w:rPr>
              <w:rFonts w:ascii="Times New Roman" w:hAnsi="Times New Roman" w:eastAsia="Times New Roman" w:cs="Times New Roman"/>
              <w:spacing w:val="7"/>
              <w:sz w:val="23"/>
              <w:szCs w:val="23"/>
            </w:rPr>
            <w:fldChar w:fldCharType="end"/>
          </w:r>
        </w:p>
        <w:p w14:paraId="1C6AFA60">
          <w:pPr>
            <w:tabs>
              <w:tab w:val="right" w:leader="dot" w:pos="8320"/>
            </w:tabs>
            <w:spacing w:before="155" w:line="228" w:lineRule="auto"/>
            <w:ind w:left="448"/>
            <w:rPr>
              <w:rFonts w:ascii="Times New Roman" w:hAnsi="Times New Roman" w:eastAsia="Times New Roman" w:cs="Times New Roman"/>
              <w:sz w:val="23"/>
              <w:szCs w:val="23"/>
            </w:rPr>
          </w:pPr>
          <w:r>
            <w:fldChar w:fldCharType="begin"/>
          </w:r>
          <w:r>
            <w:instrText xml:space="preserve"> HYPERLINK \l "_bookmark41" </w:instrText>
          </w:r>
          <w:r>
            <w:fldChar w:fldCharType="separate"/>
          </w:r>
          <w:r>
            <w:rPr>
              <w:rFonts w:ascii="Times New Roman" w:hAnsi="Times New Roman" w:eastAsia="Times New Roman" w:cs="Times New Roman"/>
              <w:spacing w:val="14"/>
              <w:sz w:val="23"/>
              <w:szCs w:val="23"/>
            </w:rPr>
            <w:t>8</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项目环境效益分析</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162</w:t>
          </w:r>
          <w:r>
            <w:rPr>
              <w:rFonts w:ascii="Times New Roman" w:hAnsi="Times New Roman" w:eastAsia="Times New Roman" w:cs="Times New Roman"/>
              <w:spacing w:val="7"/>
              <w:sz w:val="23"/>
              <w:szCs w:val="23"/>
            </w:rPr>
            <w:fldChar w:fldCharType="end"/>
          </w:r>
        </w:p>
        <w:p w14:paraId="38757154">
          <w:pPr>
            <w:tabs>
              <w:tab w:val="right" w:leader="dot" w:pos="8320"/>
            </w:tabs>
            <w:spacing w:before="155" w:line="228" w:lineRule="auto"/>
            <w:ind w:left="448"/>
            <w:rPr>
              <w:rFonts w:ascii="Times New Roman" w:hAnsi="Times New Roman" w:eastAsia="Times New Roman" w:cs="Times New Roman"/>
              <w:sz w:val="23"/>
              <w:szCs w:val="23"/>
            </w:rPr>
          </w:pPr>
          <w:r>
            <w:fldChar w:fldCharType="begin"/>
          </w:r>
          <w:r>
            <w:instrText xml:space="preserve"> HYPERLINK \l "_bookmark42" </w:instrText>
          </w:r>
          <w:r>
            <w:fldChar w:fldCharType="separate"/>
          </w:r>
          <w:r>
            <w:rPr>
              <w:rFonts w:ascii="Times New Roman" w:hAnsi="Times New Roman" w:eastAsia="Times New Roman" w:cs="Times New Roman"/>
              <w:spacing w:val="8"/>
              <w:sz w:val="23"/>
              <w:szCs w:val="23"/>
            </w:rPr>
            <w:t xml:space="preserve">8.5  </w:t>
          </w:r>
          <w:r>
            <w:rPr>
              <w:rFonts w:ascii="宋体" w:hAnsi="宋体" w:eastAsia="宋体" w:cs="宋体"/>
              <w:spacing w:val="8"/>
              <w:sz w:val="23"/>
              <w:szCs w:val="23"/>
            </w:rPr>
            <w:t>环境经济损益分析结论</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163</w:t>
          </w:r>
          <w:r>
            <w:rPr>
              <w:rFonts w:ascii="Times New Roman" w:hAnsi="Times New Roman" w:eastAsia="Times New Roman" w:cs="Times New Roman"/>
              <w:spacing w:val="8"/>
              <w:sz w:val="23"/>
              <w:szCs w:val="23"/>
            </w:rPr>
            <w:fldChar w:fldCharType="end"/>
          </w:r>
        </w:p>
        <w:p w14:paraId="0338BCEF">
          <w:pPr>
            <w:tabs>
              <w:tab w:val="right" w:leader="dot" w:pos="8320"/>
            </w:tabs>
            <w:spacing w:before="158" w:line="227" w:lineRule="auto"/>
            <w:ind w:left="21"/>
            <w:rPr>
              <w:rFonts w:ascii="Times New Roman" w:hAnsi="Times New Roman" w:eastAsia="Times New Roman" w:cs="Times New Roman"/>
              <w:sz w:val="23"/>
              <w:szCs w:val="23"/>
            </w:rPr>
          </w:pPr>
          <w:r>
            <w:fldChar w:fldCharType="begin"/>
          </w:r>
          <w:r>
            <w:instrText xml:space="preserve"> HYPERLINK \l "_bookmark43" </w:instrText>
          </w:r>
          <w:r>
            <w:fldChar w:fldCharType="separate"/>
          </w:r>
          <w:r>
            <w:rPr>
              <w:rFonts w:ascii="Times New Roman" w:hAnsi="Times New Roman" w:eastAsia="Times New Roman" w:cs="Times New Roman"/>
              <w:b/>
              <w:bCs/>
              <w:spacing w:val="9"/>
              <w:sz w:val="23"/>
              <w:szCs w:val="23"/>
            </w:rPr>
            <w:t>9</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环境管理与监测计划</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9"/>
              <w:sz w:val="23"/>
              <w:szCs w:val="23"/>
            </w:rPr>
            <w:t>16</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8"/>
              <w:sz w:val="23"/>
              <w:szCs w:val="23"/>
            </w:rPr>
            <w:fldChar w:fldCharType="end"/>
          </w:r>
        </w:p>
        <w:p w14:paraId="692F0F6B">
          <w:pPr>
            <w:tabs>
              <w:tab w:val="right" w:leader="dot" w:pos="8320"/>
            </w:tabs>
            <w:spacing w:before="156" w:line="227" w:lineRule="auto"/>
            <w:ind w:left="443"/>
            <w:rPr>
              <w:rFonts w:ascii="Times New Roman" w:hAnsi="Times New Roman" w:eastAsia="Times New Roman" w:cs="Times New Roman"/>
              <w:sz w:val="23"/>
              <w:szCs w:val="23"/>
            </w:rPr>
          </w:pPr>
          <w:r>
            <w:fldChar w:fldCharType="begin"/>
          </w:r>
          <w:r>
            <w:instrText xml:space="preserve"> HYPERLINK \l "_bookmark44" </w:instrText>
          </w:r>
          <w:r>
            <w:fldChar w:fldCharType="separate"/>
          </w:r>
          <w:r>
            <w:rPr>
              <w:rFonts w:ascii="Times New Roman" w:hAnsi="Times New Roman" w:eastAsia="Times New Roman" w:cs="Times New Roman"/>
              <w:spacing w:val="12"/>
              <w:sz w:val="23"/>
              <w:szCs w:val="23"/>
            </w:rPr>
            <w:t>9</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环境管理</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164</w:t>
          </w:r>
          <w:r>
            <w:rPr>
              <w:rFonts w:ascii="Times New Roman" w:hAnsi="Times New Roman" w:eastAsia="Times New Roman" w:cs="Times New Roman"/>
              <w:spacing w:val="7"/>
              <w:sz w:val="23"/>
              <w:szCs w:val="23"/>
            </w:rPr>
            <w:fldChar w:fldCharType="end"/>
          </w:r>
        </w:p>
        <w:p w14:paraId="77D162D6">
          <w:pPr>
            <w:tabs>
              <w:tab w:val="right" w:leader="dot" w:pos="8320"/>
            </w:tabs>
            <w:spacing w:before="157" w:line="228" w:lineRule="auto"/>
            <w:ind w:left="443"/>
            <w:rPr>
              <w:rFonts w:ascii="Times New Roman" w:hAnsi="Times New Roman" w:eastAsia="Times New Roman" w:cs="Times New Roman"/>
              <w:sz w:val="23"/>
              <w:szCs w:val="23"/>
            </w:rPr>
          </w:pPr>
          <w:r>
            <w:fldChar w:fldCharType="begin"/>
          </w:r>
          <w:r>
            <w:instrText xml:space="preserve"> HYPERLINK \l "_bookmark45" </w:instrText>
          </w:r>
          <w:r>
            <w:fldChar w:fldCharType="separate"/>
          </w:r>
          <w:r>
            <w:rPr>
              <w:rFonts w:ascii="Times New Roman" w:hAnsi="Times New Roman" w:eastAsia="Times New Roman" w:cs="Times New Roman"/>
              <w:spacing w:val="12"/>
              <w:sz w:val="23"/>
              <w:szCs w:val="23"/>
            </w:rPr>
            <w:t>9</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环境监测</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168</w:t>
          </w:r>
          <w:r>
            <w:rPr>
              <w:rFonts w:ascii="Times New Roman" w:hAnsi="Times New Roman" w:eastAsia="Times New Roman" w:cs="Times New Roman"/>
              <w:spacing w:val="7"/>
              <w:sz w:val="23"/>
              <w:szCs w:val="23"/>
            </w:rPr>
            <w:fldChar w:fldCharType="end"/>
          </w:r>
        </w:p>
        <w:p w14:paraId="2221480E">
          <w:pPr>
            <w:tabs>
              <w:tab w:val="right" w:leader="dot" w:pos="8320"/>
            </w:tabs>
            <w:spacing w:before="157" w:line="227" w:lineRule="auto"/>
            <w:ind w:left="443"/>
            <w:rPr>
              <w:rFonts w:ascii="Times New Roman" w:hAnsi="Times New Roman" w:eastAsia="Times New Roman" w:cs="Times New Roman"/>
              <w:sz w:val="23"/>
              <w:szCs w:val="23"/>
            </w:rPr>
          </w:pPr>
          <w:r>
            <w:fldChar w:fldCharType="begin"/>
          </w:r>
          <w:r>
            <w:instrText xml:space="preserve"> HYPERLINK \l "_bookmark46" </w:instrText>
          </w:r>
          <w:r>
            <w:fldChar w:fldCharType="separate"/>
          </w:r>
          <w:r>
            <w:rPr>
              <w:rFonts w:ascii="Times New Roman" w:hAnsi="Times New Roman" w:eastAsia="Times New Roman" w:cs="Times New Roman"/>
              <w:spacing w:val="8"/>
              <w:sz w:val="23"/>
              <w:szCs w:val="23"/>
            </w:rPr>
            <w:t xml:space="preserve">9.3  </w:t>
          </w:r>
          <w:r>
            <w:rPr>
              <w:rFonts w:ascii="宋体" w:hAnsi="宋体" w:eastAsia="宋体" w:cs="宋体"/>
              <w:spacing w:val="8"/>
              <w:sz w:val="23"/>
              <w:szCs w:val="23"/>
            </w:rPr>
            <w:t>环境保护验收</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17</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5"/>
              <w:sz w:val="23"/>
              <w:szCs w:val="23"/>
            </w:rPr>
            <w:fldChar w:fldCharType="end"/>
          </w:r>
        </w:p>
        <w:p w14:paraId="32CBB965">
          <w:pPr>
            <w:tabs>
              <w:tab w:val="right" w:leader="dot" w:pos="8320"/>
            </w:tabs>
            <w:spacing w:before="156" w:line="226" w:lineRule="auto"/>
            <w:ind w:left="29"/>
            <w:rPr>
              <w:rFonts w:ascii="Times New Roman" w:hAnsi="Times New Roman" w:eastAsia="Times New Roman" w:cs="Times New Roman"/>
              <w:sz w:val="23"/>
              <w:szCs w:val="23"/>
            </w:rPr>
          </w:pPr>
          <w:r>
            <w:fldChar w:fldCharType="begin"/>
          </w:r>
          <w:r>
            <w:instrText xml:space="preserve"> HYPERLINK \l "_bookmark47" </w:instrText>
          </w:r>
          <w:r>
            <w:fldChar w:fldCharType="separate"/>
          </w:r>
          <w:r>
            <w:rPr>
              <w:rFonts w:ascii="Times New Roman" w:hAnsi="Times New Roman" w:eastAsia="Times New Roman" w:cs="Times New Roman"/>
              <w:b/>
              <w:bCs/>
              <w:spacing w:val="15"/>
              <w:sz w:val="23"/>
              <w:szCs w:val="23"/>
            </w:rPr>
            <w:t>1</w:t>
          </w:r>
          <w:r>
            <w:rPr>
              <w:rFonts w:ascii="Times New Roman" w:hAnsi="Times New Roman" w:eastAsia="Times New Roman" w:cs="Times New Roman"/>
              <w:b/>
              <w:bCs/>
              <w:spacing w:val="8"/>
              <w:sz w:val="23"/>
              <w:szCs w:val="23"/>
            </w:rPr>
            <w:t>0</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环境影响评价结论与建议</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8"/>
              <w:sz w:val="23"/>
              <w:szCs w:val="23"/>
            </w:rPr>
            <w:t>172</w:t>
          </w:r>
          <w:r>
            <w:rPr>
              <w:rFonts w:ascii="Times New Roman" w:hAnsi="Times New Roman" w:eastAsia="Times New Roman" w:cs="Times New Roman"/>
              <w:b/>
              <w:bCs/>
              <w:spacing w:val="8"/>
              <w:sz w:val="23"/>
              <w:szCs w:val="23"/>
            </w:rPr>
            <w:fldChar w:fldCharType="end"/>
          </w:r>
        </w:p>
        <w:p w14:paraId="5B0A824F">
          <w:pPr>
            <w:tabs>
              <w:tab w:val="right" w:leader="dot" w:pos="8320"/>
            </w:tabs>
            <w:spacing w:before="158" w:line="229" w:lineRule="auto"/>
            <w:ind w:left="462"/>
            <w:rPr>
              <w:rFonts w:ascii="Times New Roman" w:hAnsi="Times New Roman" w:eastAsia="Times New Roman" w:cs="Times New Roman"/>
              <w:sz w:val="23"/>
              <w:szCs w:val="23"/>
            </w:rPr>
          </w:pPr>
          <w:r>
            <w:fldChar w:fldCharType="begin"/>
          </w:r>
          <w:r>
            <w:instrText xml:space="preserve"> HYPERLINK \l "_bookmark48" </w:instrText>
          </w:r>
          <w:r>
            <w:fldChar w:fldCharType="separate"/>
          </w:r>
          <w:r>
            <w:rPr>
              <w:rFonts w:ascii="Times New Roman" w:hAnsi="Times New Roman" w:eastAsia="Times New Roman" w:cs="Times New Roman"/>
              <w:spacing w:val="5"/>
              <w:sz w:val="23"/>
              <w:szCs w:val="23"/>
            </w:rPr>
            <w:t xml:space="preserve">10.1  </w:t>
          </w:r>
          <w:r>
            <w:rPr>
              <w:rFonts w:ascii="宋体" w:hAnsi="宋体" w:eastAsia="宋体" w:cs="宋体"/>
              <w:spacing w:val="5"/>
              <w:sz w:val="23"/>
              <w:szCs w:val="23"/>
            </w:rPr>
            <w:t>结论</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172</w:t>
          </w:r>
          <w:r>
            <w:rPr>
              <w:rFonts w:ascii="Times New Roman" w:hAnsi="Times New Roman" w:eastAsia="Times New Roman" w:cs="Times New Roman"/>
              <w:spacing w:val="5"/>
              <w:sz w:val="23"/>
              <w:szCs w:val="23"/>
            </w:rPr>
            <w:fldChar w:fldCharType="end"/>
          </w:r>
        </w:p>
        <w:p w14:paraId="176FBFBB">
          <w:pPr>
            <w:tabs>
              <w:tab w:val="right" w:leader="dot" w:pos="8320"/>
            </w:tabs>
            <w:spacing w:before="156" w:line="228" w:lineRule="auto"/>
            <w:ind w:left="462"/>
            <w:rPr>
              <w:rFonts w:ascii="Times New Roman" w:hAnsi="Times New Roman" w:eastAsia="Times New Roman" w:cs="Times New Roman"/>
              <w:sz w:val="23"/>
              <w:szCs w:val="23"/>
            </w:rPr>
          </w:pPr>
          <w:r>
            <w:fldChar w:fldCharType="begin"/>
          </w:r>
          <w:r>
            <w:instrText xml:space="preserve"> HYPERLINK \l "_bookmark49" </w:instrText>
          </w:r>
          <w:r>
            <w:fldChar w:fldCharType="separate"/>
          </w:r>
          <w:r>
            <w:rPr>
              <w:rFonts w:ascii="Times New Roman" w:hAnsi="Times New Roman" w:eastAsia="Times New Roman" w:cs="Times New Roman"/>
              <w:spacing w:val="5"/>
              <w:sz w:val="23"/>
              <w:szCs w:val="23"/>
            </w:rPr>
            <w:t xml:space="preserve">10.2  </w:t>
          </w:r>
          <w:r>
            <w:rPr>
              <w:rFonts w:ascii="宋体" w:hAnsi="宋体" w:eastAsia="宋体" w:cs="宋体"/>
              <w:spacing w:val="5"/>
              <w:sz w:val="23"/>
              <w:szCs w:val="23"/>
            </w:rPr>
            <w:t>建议</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177</w:t>
          </w:r>
          <w:r>
            <w:rPr>
              <w:rFonts w:ascii="Times New Roman" w:hAnsi="Times New Roman" w:eastAsia="Times New Roman" w:cs="Times New Roman"/>
              <w:spacing w:val="5"/>
              <w:sz w:val="23"/>
              <w:szCs w:val="23"/>
            </w:rPr>
            <w:fldChar w:fldCharType="end"/>
          </w:r>
        </w:p>
        <w:p w14:paraId="2D5FE970">
          <w:pPr>
            <w:tabs>
              <w:tab w:val="right" w:leader="dot" w:pos="8320"/>
            </w:tabs>
            <w:spacing w:before="155" w:line="227" w:lineRule="auto"/>
            <w:ind w:left="29"/>
            <w:rPr>
              <w:rFonts w:ascii="Times New Roman" w:hAnsi="Times New Roman" w:eastAsia="Times New Roman" w:cs="Times New Roman"/>
              <w:sz w:val="23"/>
              <w:szCs w:val="23"/>
            </w:rPr>
          </w:pPr>
          <w:r>
            <w:fldChar w:fldCharType="begin"/>
          </w:r>
          <w:r>
            <w:instrText xml:space="preserve"> HYPERLINK \l "_bookmark50" </w:instrText>
          </w:r>
          <w:r>
            <w:fldChar w:fldCharType="separate"/>
          </w:r>
          <w:r>
            <w:rPr>
              <w:rFonts w:ascii="Times New Roman" w:hAnsi="Times New Roman" w:eastAsia="Times New Roman" w:cs="Times New Roman"/>
              <w:b/>
              <w:bCs/>
              <w:spacing w:val="9"/>
              <w:sz w:val="23"/>
              <w:szCs w:val="23"/>
            </w:rPr>
            <w:t>1</w:t>
          </w:r>
          <w:r>
            <w:rPr>
              <w:rFonts w:ascii="Times New Roman" w:hAnsi="Times New Roman" w:eastAsia="Times New Roman" w:cs="Times New Roman"/>
              <w:b/>
              <w:bCs/>
              <w:spacing w:val="7"/>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附件</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7"/>
              <w:sz w:val="23"/>
              <w:szCs w:val="23"/>
            </w:rPr>
            <w:t>178</w:t>
          </w:r>
          <w:r>
            <w:rPr>
              <w:rFonts w:ascii="Times New Roman" w:hAnsi="Times New Roman" w:eastAsia="Times New Roman" w:cs="Times New Roman"/>
              <w:b/>
              <w:bCs/>
              <w:spacing w:val="7"/>
              <w:sz w:val="23"/>
              <w:szCs w:val="23"/>
            </w:rPr>
            <w:fldChar w:fldCharType="end"/>
          </w:r>
        </w:p>
      </w:sdtContent>
    </w:sdt>
    <w:p w14:paraId="244D8E1E">
      <w:pPr>
        <w:sectPr>
          <w:footerReference r:id="rId7" w:type="default"/>
          <w:pgSz w:w="11906" w:h="16839"/>
          <w:pgMar w:top="1132" w:right="1785" w:bottom="897" w:left="1785" w:header="878" w:footer="739" w:gutter="0"/>
          <w:cols w:space="720" w:num="1"/>
        </w:sectPr>
      </w:pPr>
    </w:p>
    <w:p w14:paraId="03F41FBA">
      <w:pPr>
        <w:spacing w:line="436" w:lineRule="auto"/>
        <w:rPr>
          <w:rFonts w:ascii="Arial"/>
          <w:sz w:val="21"/>
        </w:rPr>
      </w:pPr>
      <w:r>
        <w:pict>
          <v:shape id="_x0000_s1028" o:spid="_x0000_s1028" style="position:absolute;left:0pt;margin-left:90pt;margin-top:57.35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p w14:paraId="596DABB0">
      <w:pPr>
        <w:spacing w:before="113" w:line="225" w:lineRule="auto"/>
        <w:ind w:left="37"/>
        <w:outlineLvl w:val="0"/>
        <w:rPr>
          <w:rFonts w:ascii="宋体" w:hAnsi="宋体" w:eastAsia="宋体" w:cs="宋体"/>
          <w:sz w:val="35"/>
          <w:szCs w:val="35"/>
        </w:rPr>
      </w:pPr>
      <w:bookmarkStart w:id="0" w:name="_bookmark1"/>
      <w:bookmarkEnd w:id="0"/>
      <w:r>
        <w:rPr>
          <w:rFonts w:ascii="Times New Roman" w:hAnsi="Times New Roman" w:eastAsia="Times New Roman" w:cs="Times New Roman"/>
          <w:b/>
          <w:bCs/>
          <w:spacing w:val="2"/>
          <w:sz w:val="35"/>
          <w:szCs w:val="35"/>
        </w:rPr>
        <w:t>1</w:t>
      </w:r>
      <w:r>
        <w:rPr>
          <w:rFonts w:ascii="Times New Roman" w:hAnsi="Times New Roman" w:eastAsia="Times New Roman" w:cs="Times New Roman"/>
          <w:spacing w:val="2"/>
          <w:sz w:val="35"/>
          <w:szCs w:val="35"/>
        </w:rPr>
        <w:t xml:space="preserve">  </w:t>
      </w:r>
      <w:r>
        <w:rPr>
          <w:rFonts w:ascii="宋体" w:hAnsi="宋体" w:eastAsia="宋体" w:cs="宋体"/>
          <w:spacing w:val="1"/>
          <w:sz w:val="35"/>
          <w:szCs w:val="35"/>
          <w14:textOutline w14:w="6537" w14:cap="sq" w14:cmpd="sng">
            <w14:solidFill>
              <w14:srgbClr w14:val="000000"/>
            </w14:solidFill>
            <w14:prstDash w14:val="solid"/>
            <w14:bevel/>
          </w14:textOutline>
        </w:rPr>
        <w:t>概述</w:t>
      </w:r>
    </w:p>
    <w:p w14:paraId="0A8B9D75">
      <w:pPr>
        <w:spacing w:before="266" w:line="225" w:lineRule="auto"/>
        <w:ind w:left="35"/>
        <w:outlineLvl w:val="1"/>
        <w:rPr>
          <w:rFonts w:ascii="宋体" w:hAnsi="宋体" w:eastAsia="宋体" w:cs="宋体"/>
          <w:sz w:val="31"/>
          <w:szCs w:val="31"/>
        </w:rPr>
      </w:pPr>
      <w:bookmarkStart w:id="1" w:name="_bookmark2"/>
      <w:bookmarkEnd w:id="1"/>
      <w:r>
        <w:rPr>
          <w:rFonts w:ascii="Times New Roman" w:hAnsi="Times New Roman" w:eastAsia="Times New Roman" w:cs="Times New Roman"/>
          <w:b/>
          <w:bCs/>
          <w:spacing w:val="10"/>
          <w:sz w:val="31"/>
          <w:szCs w:val="31"/>
        </w:rPr>
        <w:t>1</w:t>
      </w:r>
      <w:r>
        <w:rPr>
          <w:rFonts w:ascii="Times New Roman" w:hAnsi="Times New Roman" w:eastAsia="Times New Roman" w:cs="Times New Roman"/>
          <w:b/>
          <w:bCs/>
          <w:spacing w:val="5"/>
          <w:sz w:val="31"/>
          <w:szCs w:val="31"/>
        </w:rPr>
        <w:t>.1</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建设项目特点</w:t>
      </w:r>
    </w:p>
    <w:p w14:paraId="5F07CE31">
      <w:pPr>
        <w:spacing w:line="269" w:lineRule="auto"/>
        <w:rPr>
          <w:rFonts w:ascii="Arial"/>
          <w:sz w:val="21"/>
        </w:rPr>
      </w:pPr>
    </w:p>
    <w:p w14:paraId="7F734751">
      <w:pPr>
        <w:spacing w:before="75" w:line="405" w:lineRule="auto"/>
        <w:ind w:left="22" w:right="113" w:firstLine="492"/>
        <w:rPr>
          <w:rFonts w:ascii="宋体" w:hAnsi="宋体" w:eastAsia="宋体" w:cs="宋体"/>
          <w:sz w:val="23"/>
          <w:szCs w:val="23"/>
        </w:rPr>
      </w:pPr>
      <w:r>
        <w:rPr>
          <w:rFonts w:ascii="宋体" w:hAnsi="宋体" w:eastAsia="宋体" w:cs="宋体"/>
          <w:spacing w:val="12"/>
          <w:sz w:val="23"/>
          <w:szCs w:val="23"/>
        </w:rPr>
        <w:t>塑料</w:t>
      </w:r>
      <w:r>
        <w:rPr>
          <w:rFonts w:ascii="宋体" w:hAnsi="宋体" w:eastAsia="宋体" w:cs="宋体"/>
          <w:spacing w:val="11"/>
          <w:sz w:val="23"/>
          <w:szCs w:val="23"/>
        </w:rPr>
        <w:t>具</w:t>
      </w:r>
      <w:r>
        <w:rPr>
          <w:rFonts w:ascii="宋体" w:hAnsi="宋体" w:eastAsia="宋体" w:cs="宋体"/>
          <w:spacing w:val="6"/>
          <w:sz w:val="23"/>
          <w:szCs w:val="23"/>
        </w:rPr>
        <w:t>有材料综合性能优异、加工方便、生产和使用中可以显著节约能源等</w:t>
      </w:r>
      <w:r>
        <w:rPr>
          <w:rFonts w:ascii="宋体" w:hAnsi="宋体" w:eastAsia="宋体" w:cs="宋体"/>
          <w:sz w:val="23"/>
          <w:szCs w:val="23"/>
        </w:rPr>
        <w:t xml:space="preserve"> </w:t>
      </w:r>
      <w:r>
        <w:rPr>
          <w:rFonts w:ascii="宋体" w:hAnsi="宋体" w:eastAsia="宋体" w:cs="宋体"/>
          <w:spacing w:val="9"/>
          <w:sz w:val="23"/>
          <w:szCs w:val="23"/>
        </w:rPr>
        <w:t>优</w:t>
      </w:r>
      <w:r>
        <w:rPr>
          <w:rFonts w:ascii="宋体" w:hAnsi="宋体" w:eastAsia="宋体" w:cs="宋体"/>
          <w:spacing w:val="7"/>
          <w:sz w:val="23"/>
          <w:szCs w:val="23"/>
        </w:rPr>
        <w:t>点，与钢铁、木材、水泥一起共同构成了现代工业四大基础材料，被广泛应用</w:t>
      </w:r>
      <w:r>
        <w:rPr>
          <w:rFonts w:ascii="宋体" w:hAnsi="宋体" w:eastAsia="宋体" w:cs="宋体"/>
          <w:sz w:val="23"/>
          <w:szCs w:val="23"/>
        </w:rPr>
        <w:t xml:space="preserve"> </w:t>
      </w:r>
      <w:r>
        <w:rPr>
          <w:rFonts w:ascii="宋体" w:hAnsi="宋体" w:eastAsia="宋体" w:cs="宋体"/>
          <w:spacing w:val="9"/>
          <w:sz w:val="23"/>
          <w:szCs w:val="23"/>
        </w:rPr>
        <w:t>于</w:t>
      </w:r>
      <w:r>
        <w:rPr>
          <w:rFonts w:ascii="宋体" w:hAnsi="宋体" w:eastAsia="宋体" w:cs="宋体"/>
          <w:spacing w:val="7"/>
          <w:sz w:val="23"/>
          <w:szCs w:val="23"/>
        </w:rPr>
        <w:t>工农业及人民的日常生活之中，给人类带来巨大好处，同时也留下无穷的后患</w:t>
      </w:r>
      <w:r>
        <w:rPr>
          <w:rFonts w:ascii="宋体" w:hAnsi="宋体" w:eastAsia="宋体" w:cs="宋体"/>
          <w:sz w:val="23"/>
          <w:szCs w:val="23"/>
        </w:rPr>
        <w:t xml:space="preserve"> </w:t>
      </w:r>
      <w:r>
        <w:rPr>
          <w:rFonts w:ascii="Times New Roman" w:hAnsi="Times New Roman" w:eastAsia="Times New Roman" w:cs="Times New Roman"/>
          <w:spacing w:val="-4"/>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2"/>
          <w:sz w:val="23"/>
          <w:szCs w:val="23"/>
        </w:rPr>
        <w:t>白色污染。</w:t>
      </w:r>
    </w:p>
    <w:p w14:paraId="4F549522">
      <w:pPr>
        <w:spacing w:before="140" w:line="405" w:lineRule="auto"/>
        <w:ind w:left="24" w:right="113" w:firstLine="525"/>
        <w:rPr>
          <w:rFonts w:ascii="宋体" w:hAnsi="宋体" w:eastAsia="宋体" w:cs="宋体"/>
          <w:sz w:val="23"/>
          <w:szCs w:val="23"/>
        </w:rPr>
      </w:pPr>
      <w:r>
        <w:rPr>
          <w:rFonts w:ascii="宋体" w:hAnsi="宋体" w:eastAsia="宋体" w:cs="宋体"/>
          <w:spacing w:val="10"/>
          <w:sz w:val="23"/>
          <w:szCs w:val="23"/>
        </w:rPr>
        <w:t>自从有</w:t>
      </w:r>
      <w:r>
        <w:rPr>
          <w:rFonts w:ascii="宋体" w:hAnsi="宋体" w:eastAsia="宋体" w:cs="宋体"/>
          <w:spacing w:val="5"/>
          <w:sz w:val="23"/>
          <w:szCs w:val="23"/>
        </w:rPr>
        <w:t>了塑料制品，就不可避免的产生废旧塑料，并且随着时间推移，更多</w:t>
      </w:r>
      <w:r>
        <w:rPr>
          <w:rFonts w:ascii="宋体" w:hAnsi="宋体" w:eastAsia="宋体" w:cs="宋体"/>
          <w:sz w:val="23"/>
          <w:szCs w:val="23"/>
        </w:rPr>
        <w:t xml:space="preserve"> </w:t>
      </w:r>
      <w:r>
        <w:rPr>
          <w:rFonts w:ascii="宋体" w:hAnsi="宋体" w:eastAsia="宋体" w:cs="宋体"/>
          <w:spacing w:val="8"/>
          <w:sz w:val="23"/>
          <w:szCs w:val="23"/>
        </w:rPr>
        <w:t>新</w:t>
      </w:r>
      <w:r>
        <w:rPr>
          <w:rFonts w:ascii="宋体" w:hAnsi="宋体" w:eastAsia="宋体" w:cs="宋体"/>
          <w:spacing w:val="7"/>
          <w:sz w:val="23"/>
          <w:szCs w:val="23"/>
        </w:rPr>
        <w:t>原料投入使用，使得废旧塑料呈大幅度上升，由于废旧塑料体积庞大，在常温</w:t>
      </w:r>
      <w:r>
        <w:rPr>
          <w:rFonts w:ascii="宋体" w:hAnsi="宋体" w:eastAsia="宋体" w:cs="宋体"/>
          <w:sz w:val="23"/>
          <w:szCs w:val="23"/>
        </w:rPr>
        <w:t xml:space="preserve"> </w:t>
      </w:r>
      <w:r>
        <w:rPr>
          <w:rFonts w:ascii="宋体" w:hAnsi="宋体" w:eastAsia="宋体" w:cs="宋体"/>
          <w:spacing w:val="18"/>
          <w:sz w:val="23"/>
          <w:szCs w:val="23"/>
        </w:rPr>
        <w:t>下</w:t>
      </w:r>
      <w:r>
        <w:rPr>
          <w:rFonts w:ascii="宋体" w:hAnsi="宋体" w:eastAsia="宋体" w:cs="宋体"/>
          <w:spacing w:val="13"/>
          <w:sz w:val="23"/>
          <w:szCs w:val="23"/>
        </w:rPr>
        <w:t>不</w:t>
      </w:r>
      <w:r>
        <w:rPr>
          <w:rFonts w:ascii="宋体" w:hAnsi="宋体" w:eastAsia="宋体" w:cs="宋体"/>
          <w:spacing w:val="9"/>
          <w:sz w:val="23"/>
          <w:szCs w:val="23"/>
        </w:rPr>
        <w:t>易老化降解，从而形成与日俱增的白色污染，使生态环境遭受严重破坏。</w:t>
      </w:r>
    </w:p>
    <w:p w14:paraId="6B5A2775">
      <w:pPr>
        <w:spacing w:before="140" w:line="404" w:lineRule="auto"/>
        <w:ind w:left="22" w:right="52" w:firstLine="488"/>
        <w:rPr>
          <w:rFonts w:ascii="宋体" w:hAnsi="宋体" w:eastAsia="宋体" w:cs="宋体"/>
          <w:sz w:val="23"/>
          <w:szCs w:val="23"/>
        </w:rPr>
      </w:pPr>
      <w:r>
        <w:rPr>
          <w:rFonts w:ascii="宋体" w:hAnsi="宋体" w:eastAsia="宋体" w:cs="宋体"/>
          <w:spacing w:val="16"/>
          <w:sz w:val="23"/>
          <w:szCs w:val="23"/>
        </w:rPr>
        <w:t>事实</w:t>
      </w:r>
      <w:r>
        <w:rPr>
          <w:rFonts w:ascii="宋体" w:hAnsi="宋体" w:eastAsia="宋体" w:cs="宋体"/>
          <w:spacing w:val="8"/>
          <w:sz w:val="23"/>
          <w:szCs w:val="23"/>
        </w:rPr>
        <w:t>上，废旧塑料仍具有良好的综合材料性能，可满足吹膜、拉丝、拉管、</w:t>
      </w:r>
      <w:r>
        <w:rPr>
          <w:rFonts w:ascii="宋体" w:hAnsi="宋体" w:eastAsia="宋体" w:cs="宋体"/>
          <w:sz w:val="23"/>
          <w:szCs w:val="23"/>
        </w:rPr>
        <w:t xml:space="preserve"> </w:t>
      </w:r>
      <w:r>
        <w:rPr>
          <w:rFonts w:ascii="宋体" w:hAnsi="宋体" w:eastAsia="宋体" w:cs="宋体"/>
          <w:spacing w:val="9"/>
          <w:sz w:val="23"/>
          <w:szCs w:val="23"/>
        </w:rPr>
        <w:t>注</w:t>
      </w:r>
      <w:r>
        <w:rPr>
          <w:rFonts w:ascii="宋体" w:hAnsi="宋体" w:eastAsia="宋体" w:cs="宋体"/>
          <w:spacing w:val="7"/>
          <w:sz w:val="23"/>
          <w:szCs w:val="23"/>
        </w:rPr>
        <w:t>塑、挤出型材等技术要求。为了消除或减少废旧塑料造成的污染，该项目将废</w:t>
      </w:r>
      <w:r>
        <w:rPr>
          <w:rFonts w:ascii="宋体" w:hAnsi="宋体" w:eastAsia="宋体" w:cs="宋体"/>
          <w:sz w:val="23"/>
          <w:szCs w:val="23"/>
        </w:rPr>
        <w:t xml:space="preserve"> </w:t>
      </w:r>
      <w:r>
        <w:rPr>
          <w:rFonts w:ascii="宋体" w:hAnsi="宋体" w:eastAsia="宋体" w:cs="宋体"/>
          <w:spacing w:val="9"/>
          <w:sz w:val="23"/>
          <w:szCs w:val="23"/>
        </w:rPr>
        <w:t>旧</w:t>
      </w:r>
      <w:r>
        <w:rPr>
          <w:rFonts w:ascii="宋体" w:hAnsi="宋体" w:eastAsia="宋体" w:cs="宋体"/>
          <w:spacing w:val="7"/>
          <w:sz w:val="23"/>
          <w:szCs w:val="23"/>
        </w:rPr>
        <w:t>塑料加工成塑料颗粒，用于生产非食品类包装袋、塑料玩具、模型、电动车塑</w:t>
      </w:r>
      <w:r>
        <w:rPr>
          <w:rFonts w:ascii="宋体" w:hAnsi="宋体" w:eastAsia="宋体" w:cs="宋体"/>
          <w:sz w:val="23"/>
          <w:szCs w:val="23"/>
        </w:rPr>
        <w:t xml:space="preserve"> </w:t>
      </w:r>
      <w:r>
        <w:rPr>
          <w:rFonts w:ascii="宋体" w:hAnsi="宋体" w:eastAsia="宋体" w:cs="宋体"/>
          <w:spacing w:val="9"/>
          <w:sz w:val="23"/>
          <w:szCs w:val="23"/>
        </w:rPr>
        <w:t>料</w:t>
      </w:r>
      <w:r>
        <w:rPr>
          <w:rFonts w:ascii="宋体" w:hAnsi="宋体" w:eastAsia="宋体" w:cs="宋体"/>
          <w:spacing w:val="7"/>
          <w:sz w:val="23"/>
          <w:szCs w:val="23"/>
        </w:rPr>
        <w:t>零件，不仅解决塑料垃圾，保护环境，又可以节约能源，变废为宝，还可以创</w:t>
      </w:r>
      <w:r>
        <w:rPr>
          <w:rFonts w:ascii="宋体" w:hAnsi="宋体" w:eastAsia="宋体" w:cs="宋体"/>
          <w:sz w:val="23"/>
          <w:szCs w:val="23"/>
        </w:rPr>
        <w:t xml:space="preserve"> </w:t>
      </w:r>
      <w:r>
        <w:rPr>
          <w:rFonts w:ascii="宋体" w:hAnsi="宋体" w:eastAsia="宋体" w:cs="宋体"/>
          <w:spacing w:val="15"/>
          <w:sz w:val="23"/>
          <w:szCs w:val="23"/>
        </w:rPr>
        <w:t>造</w:t>
      </w:r>
      <w:r>
        <w:rPr>
          <w:rFonts w:ascii="宋体" w:hAnsi="宋体" w:eastAsia="宋体" w:cs="宋体"/>
          <w:spacing w:val="8"/>
          <w:sz w:val="23"/>
          <w:szCs w:val="23"/>
        </w:rPr>
        <w:t>巨大经济效益和社会效益。</w:t>
      </w:r>
    </w:p>
    <w:p w14:paraId="3A8B197D">
      <w:pPr>
        <w:spacing w:before="140" w:line="402" w:lineRule="auto"/>
        <w:ind w:left="19" w:firstLine="423"/>
        <w:rPr>
          <w:rFonts w:ascii="宋体" w:hAnsi="宋体" w:eastAsia="宋体" w:cs="宋体"/>
          <w:sz w:val="23"/>
          <w:szCs w:val="23"/>
        </w:rPr>
      </w:pPr>
      <w:r>
        <w:rPr>
          <w:rFonts w:ascii="宋体" w:hAnsi="宋体" w:eastAsia="宋体" w:cs="宋体"/>
          <w:spacing w:val="18"/>
          <w:sz w:val="23"/>
          <w:szCs w:val="23"/>
        </w:rPr>
        <w:t>在此</w:t>
      </w:r>
      <w:r>
        <w:rPr>
          <w:rFonts w:ascii="宋体" w:hAnsi="宋体" w:eastAsia="宋体" w:cs="宋体"/>
          <w:spacing w:val="10"/>
          <w:sz w:val="23"/>
          <w:szCs w:val="23"/>
        </w:rPr>
        <w:t>背</w:t>
      </w:r>
      <w:r>
        <w:rPr>
          <w:rFonts w:ascii="宋体" w:hAnsi="宋体" w:eastAsia="宋体" w:cs="宋体"/>
          <w:spacing w:val="9"/>
          <w:sz w:val="23"/>
          <w:szCs w:val="23"/>
        </w:rPr>
        <w:t xml:space="preserve">景下，本溪弘福塑业有限公司拟投资 </w:t>
      </w:r>
      <w:r>
        <w:rPr>
          <w:rFonts w:ascii="Times New Roman" w:hAnsi="Times New Roman" w:eastAsia="Times New Roman" w:cs="Times New Roman"/>
          <w:spacing w:val="9"/>
          <w:sz w:val="23"/>
          <w:szCs w:val="23"/>
        </w:rPr>
        <w:t xml:space="preserve">4300 </w:t>
      </w:r>
      <w:r>
        <w:rPr>
          <w:rFonts w:ascii="宋体" w:hAnsi="宋体" w:eastAsia="宋体" w:cs="宋体"/>
          <w:spacing w:val="9"/>
          <w:sz w:val="23"/>
          <w:szCs w:val="23"/>
        </w:rPr>
        <w:t>万元在辽宁省本溪市溪湖</w:t>
      </w:r>
      <w:r>
        <w:rPr>
          <w:rFonts w:ascii="宋体" w:hAnsi="宋体" w:eastAsia="宋体" w:cs="宋体"/>
          <w:sz w:val="23"/>
          <w:szCs w:val="23"/>
        </w:rPr>
        <w:t xml:space="preserve"> </w:t>
      </w:r>
      <w:r>
        <w:rPr>
          <w:rFonts w:ascii="宋体" w:hAnsi="宋体" w:eastAsia="宋体" w:cs="宋体"/>
          <w:spacing w:val="6"/>
          <w:sz w:val="23"/>
          <w:szCs w:val="23"/>
        </w:rPr>
        <w:t>区火连寨镇火</w:t>
      </w:r>
      <w:r>
        <w:rPr>
          <w:rFonts w:ascii="宋体" w:hAnsi="宋体" w:eastAsia="宋体" w:cs="宋体"/>
          <w:spacing w:val="3"/>
          <w:sz w:val="23"/>
          <w:szCs w:val="23"/>
        </w:rPr>
        <w:t xml:space="preserve">连寨村建设本溪弘福塑业有限公司新建项目 (租地协议见附件 </w:t>
      </w:r>
      <w:r>
        <w:rPr>
          <w:rFonts w:ascii="Times New Roman" w:hAnsi="Times New Roman" w:eastAsia="Times New Roman" w:cs="Times New Roman"/>
          <w:spacing w:val="3"/>
          <w:sz w:val="23"/>
          <w:szCs w:val="23"/>
        </w:rPr>
        <w:t>2</w:t>
      </w:r>
      <w:r>
        <w:rPr>
          <w:rFonts w:ascii="宋体" w:hAnsi="宋体" w:eastAsia="宋体" w:cs="宋体"/>
          <w:spacing w:val="3"/>
          <w:sz w:val="23"/>
          <w:szCs w:val="23"/>
        </w:rPr>
        <w:t>) 。</w:t>
      </w:r>
      <w:r>
        <w:rPr>
          <w:rFonts w:ascii="宋体" w:hAnsi="宋体" w:eastAsia="宋体" w:cs="宋体"/>
          <w:sz w:val="23"/>
          <w:szCs w:val="23"/>
        </w:rPr>
        <w:t xml:space="preserve"> </w:t>
      </w:r>
      <w:r>
        <w:rPr>
          <w:rFonts w:ascii="宋体" w:hAnsi="宋体" w:eastAsia="宋体" w:cs="宋体"/>
          <w:spacing w:val="12"/>
          <w:sz w:val="23"/>
          <w:szCs w:val="23"/>
        </w:rPr>
        <w:t>该</w:t>
      </w:r>
      <w:r>
        <w:rPr>
          <w:rFonts w:ascii="宋体" w:hAnsi="宋体" w:eastAsia="宋体" w:cs="宋体"/>
          <w:spacing w:val="8"/>
          <w:sz w:val="23"/>
          <w:szCs w:val="23"/>
        </w:rPr>
        <w:t xml:space="preserve">项目地块原为辽宁公路水泥厂劳动服务公司，该地块从 </w:t>
      </w:r>
      <w:r>
        <w:rPr>
          <w:rFonts w:ascii="Times New Roman" w:hAnsi="Times New Roman" w:eastAsia="Times New Roman" w:cs="Times New Roman"/>
          <w:spacing w:val="8"/>
          <w:sz w:val="23"/>
          <w:szCs w:val="23"/>
        </w:rPr>
        <w:t xml:space="preserve">2000 </w:t>
      </w:r>
      <w:r>
        <w:rPr>
          <w:rFonts w:ascii="宋体" w:hAnsi="宋体" w:eastAsia="宋体" w:cs="宋体"/>
          <w:spacing w:val="8"/>
          <w:sz w:val="23"/>
          <w:szCs w:val="23"/>
        </w:rPr>
        <w:t>年闲置至今，总</w:t>
      </w:r>
      <w:r>
        <w:rPr>
          <w:rFonts w:ascii="宋体" w:hAnsi="宋体" w:eastAsia="宋体" w:cs="宋体"/>
          <w:sz w:val="23"/>
          <w:szCs w:val="23"/>
        </w:rPr>
        <w:t xml:space="preserve"> </w:t>
      </w:r>
      <w:r>
        <w:rPr>
          <w:rFonts w:ascii="宋体" w:hAnsi="宋体" w:eastAsia="宋体" w:cs="宋体"/>
          <w:spacing w:val="8"/>
          <w:sz w:val="23"/>
          <w:szCs w:val="23"/>
        </w:rPr>
        <w:t xml:space="preserve">占地面积为 </w:t>
      </w:r>
      <w:r>
        <w:rPr>
          <w:rFonts w:ascii="Times New Roman" w:hAnsi="Times New Roman" w:eastAsia="Times New Roman" w:cs="Times New Roman"/>
          <w:spacing w:val="8"/>
          <w:sz w:val="23"/>
          <w:szCs w:val="23"/>
        </w:rPr>
        <w:t>7000</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7"/>
          <w:sz w:val="15"/>
          <w:szCs w:val="15"/>
        </w:rPr>
        <w:t xml:space="preserve">2 </w:t>
      </w:r>
      <w:r>
        <w:rPr>
          <w:rFonts w:ascii="宋体" w:hAnsi="宋体" w:eastAsia="宋体" w:cs="宋体"/>
          <w:spacing w:val="8"/>
          <w:sz w:val="23"/>
          <w:szCs w:val="23"/>
        </w:rPr>
        <w:t>。该项目利用厂区内原有闲置辅助用房作为办公用房及成品</w:t>
      </w:r>
      <w:r>
        <w:rPr>
          <w:rFonts w:ascii="宋体" w:hAnsi="宋体" w:eastAsia="宋体" w:cs="宋体"/>
          <w:sz w:val="23"/>
          <w:szCs w:val="23"/>
        </w:rPr>
        <w:t xml:space="preserve"> </w:t>
      </w:r>
      <w:r>
        <w:rPr>
          <w:rFonts w:ascii="宋体" w:hAnsi="宋体" w:eastAsia="宋体" w:cs="宋体"/>
          <w:spacing w:val="11"/>
          <w:sz w:val="23"/>
          <w:szCs w:val="23"/>
        </w:rPr>
        <w:t>库</w:t>
      </w:r>
      <w:r>
        <w:rPr>
          <w:rFonts w:ascii="宋体" w:hAnsi="宋体" w:eastAsia="宋体" w:cs="宋体"/>
          <w:spacing w:val="8"/>
          <w:sz w:val="23"/>
          <w:szCs w:val="23"/>
        </w:rPr>
        <w:t xml:space="preserve">，并将原有生产厂房扩大作为该项目生产用房，总建筑面积为 </w:t>
      </w:r>
      <w:r>
        <w:rPr>
          <w:rFonts w:ascii="Times New Roman" w:hAnsi="Times New Roman" w:eastAsia="Times New Roman" w:cs="Times New Roman"/>
          <w:spacing w:val="8"/>
          <w:sz w:val="23"/>
          <w:szCs w:val="23"/>
        </w:rPr>
        <w:t>1600</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3"/>
          <w:szCs w:val="23"/>
        </w:rPr>
        <w:t>，主要</w:t>
      </w:r>
      <w:r>
        <w:rPr>
          <w:rFonts w:ascii="宋体" w:hAnsi="宋体" w:eastAsia="宋体" w:cs="宋体"/>
          <w:sz w:val="23"/>
          <w:szCs w:val="23"/>
        </w:rPr>
        <w:t xml:space="preserve"> </w:t>
      </w:r>
      <w:r>
        <w:rPr>
          <w:rFonts w:ascii="宋体" w:hAnsi="宋体" w:eastAsia="宋体" w:cs="宋体"/>
          <w:spacing w:val="-2"/>
          <w:sz w:val="23"/>
          <w:szCs w:val="23"/>
        </w:rPr>
        <w:t xml:space="preserve">建筑物为：生产厂房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栋，建筑面积为</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600m</w:t>
      </w:r>
      <w:r>
        <w:rPr>
          <w:rFonts w:ascii="Times New Roman" w:hAnsi="Times New Roman" w:eastAsia="Times New Roman" w:cs="Times New Roman"/>
          <w:spacing w:val="-1"/>
          <w:position w:val="8"/>
          <w:sz w:val="15"/>
          <w:szCs w:val="15"/>
        </w:rPr>
        <w:t>2</w:t>
      </w:r>
      <w:r>
        <w:rPr>
          <w:rFonts w:ascii="宋体" w:hAnsi="宋体" w:eastAsia="宋体" w:cs="宋体"/>
          <w:spacing w:val="-1"/>
          <w:sz w:val="23"/>
          <w:szCs w:val="23"/>
        </w:rPr>
        <w:t xml:space="preserve">；成品库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栋，建筑面积为 </w:t>
      </w:r>
      <w:r>
        <w:rPr>
          <w:rFonts w:ascii="Times New Roman" w:hAnsi="Times New Roman" w:eastAsia="Times New Roman" w:cs="Times New Roman"/>
          <w:spacing w:val="-1"/>
          <w:sz w:val="23"/>
          <w:szCs w:val="23"/>
        </w:rPr>
        <w:t>200m</w:t>
      </w:r>
      <w:r>
        <w:rPr>
          <w:rFonts w:ascii="Times New Roman" w:hAnsi="Times New Roman" w:eastAsia="Times New Roman" w:cs="Times New Roman"/>
          <w:spacing w:val="-1"/>
          <w:position w:val="8"/>
          <w:sz w:val="15"/>
          <w:szCs w:val="15"/>
        </w:rPr>
        <w:t xml:space="preserve">2 </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
          <w:sz w:val="23"/>
          <w:szCs w:val="23"/>
        </w:rPr>
        <w:t xml:space="preserve">原料库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栋，建筑面积为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00m</w:t>
      </w:r>
      <w:r>
        <w:rPr>
          <w:rFonts w:ascii="Times New Roman" w:hAnsi="Times New Roman" w:eastAsia="Times New Roman" w:cs="Times New Roman"/>
          <w:position w:val="7"/>
          <w:sz w:val="15"/>
          <w:szCs w:val="15"/>
        </w:rPr>
        <w:t xml:space="preserve">2 </w:t>
      </w:r>
      <w:r>
        <w:rPr>
          <w:rFonts w:ascii="宋体" w:hAnsi="宋体" w:eastAsia="宋体" w:cs="宋体"/>
          <w:sz w:val="23"/>
          <w:szCs w:val="23"/>
        </w:rPr>
        <w:t xml:space="preserve">；办公室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栋，建筑面积为 </w:t>
      </w:r>
      <w:r>
        <w:rPr>
          <w:rFonts w:ascii="Times New Roman" w:hAnsi="Times New Roman" w:eastAsia="Times New Roman" w:cs="Times New Roman"/>
          <w:sz w:val="23"/>
          <w:szCs w:val="23"/>
        </w:rPr>
        <w:t>245m</w:t>
      </w:r>
      <w:r>
        <w:rPr>
          <w:rFonts w:ascii="Times New Roman" w:hAnsi="Times New Roman" w:eastAsia="Times New Roman" w:cs="Times New Roman"/>
          <w:position w:val="7"/>
          <w:sz w:val="15"/>
          <w:szCs w:val="15"/>
        </w:rPr>
        <w:t xml:space="preserve">2 </w:t>
      </w:r>
      <w:r>
        <w:rPr>
          <w:rFonts w:ascii="宋体" w:hAnsi="宋体" w:eastAsia="宋体" w:cs="宋体"/>
          <w:sz w:val="23"/>
          <w:szCs w:val="23"/>
        </w:rPr>
        <w:t xml:space="preserve">；员工休息室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栋，其中 </w:t>
      </w:r>
      <w:r>
        <w:rPr>
          <w:rFonts w:ascii="Times New Roman" w:hAnsi="Times New Roman" w:eastAsia="Times New Roman" w:cs="Times New Roman"/>
          <w:spacing w:val="4"/>
          <w:sz w:val="23"/>
          <w:szCs w:val="23"/>
        </w:rPr>
        <w:t>1#</w:t>
      </w:r>
      <w:r>
        <w:rPr>
          <w:rFonts w:ascii="宋体" w:hAnsi="宋体" w:eastAsia="宋体" w:cs="宋体"/>
          <w:spacing w:val="4"/>
          <w:sz w:val="23"/>
          <w:szCs w:val="23"/>
        </w:rPr>
        <w:t>员工休</w:t>
      </w:r>
      <w:r>
        <w:rPr>
          <w:rFonts w:ascii="宋体" w:hAnsi="宋体" w:eastAsia="宋体" w:cs="宋体"/>
          <w:spacing w:val="3"/>
          <w:sz w:val="23"/>
          <w:szCs w:val="23"/>
        </w:rPr>
        <w:t>息</w:t>
      </w:r>
      <w:r>
        <w:rPr>
          <w:rFonts w:ascii="宋体" w:hAnsi="宋体" w:eastAsia="宋体" w:cs="宋体"/>
          <w:spacing w:val="2"/>
          <w:sz w:val="23"/>
          <w:szCs w:val="23"/>
        </w:rPr>
        <w:t xml:space="preserve">室建筑面积为 </w:t>
      </w:r>
      <w:r>
        <w:rPr>
          <w:rFonts w:ascii="Times New Roman" w:hAnsi="Times New Roman" w:eastAsia="Times New Roman" w:cs="Times New Roman"/>
          <w:spacing w:val="2"/>
          <w:sz w:val="23"/>
          <w:szCs w:val="23"/>
        </w:rPr>
        <w:t>150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xml:space="preserve">员工休息室建筑面积为 </w:t>
      </w:r>
      <w:r>
        <w:rPr>
          <w:rFonts w:ascii="Times New Roman" w:hAnsi="Times New Roman" w:eastAsia="Times New Roman" w:cs="Times New Roman"/>
          <w:spacing w:val="2"/>
          <w:sz w:val="23"/>
          <w:szCs w:val="23"/>
        </w:rPr>
        <w:t>175</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8"/>
          <w:sz w:val="23"/>
          <w:szCs w:val="23"/>
        </w:rPr>
        <w:t xml:space="preserve">备品备件库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栋，建筑面积为 </w:t>
      </w:r>
      <w:r>
        <w:rPr>
          <w:rFonts w:ascii="Times New Roman" w:hAnsi="Times New Roman" w:eastAsia="Times New Roman" w:cs="Times New Roman"/>
          <w:spacing w:val="4"/>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2 </w:t>
      </w:r>
      <w:r>
        <w:rPr>
          <w:rFonts w:ascii="宋体" w:hAnsi="宋体" w:eastAsia="宋体" w:cs="宋体"/>
          <w:spacing w:val="4"/>
          <w:sz w:val="23"/>
          <w:szCs w:val="23"/>
        </w:rPr>
        <w:t xml:space="preserve">；主要构筑物包括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个用于处理该项目生产</w:t>
      </w:r>
      <w:r>
        <w:rPr>
          <w:rFonts w:ascii="宋体" w:hAnsi="宋体" w:eastAsia="宋体" w:cs="宋体"/>
          <w:sz w:val="23"/>
          <w:szCs w:val="23"/>
        </w:rPr>
        <w:t xml:space="preserve"> </w:t>
      </w:r>
      <w:r>
        <w:rPr>
          <w:rFonts w:ascii="宋体" w:hAnsi="宋体" w:eastAsia="宋体" w:cs="宋体"/>
          <w:spacing w:val="18"/>
          <w:sz w:val="23"/>
          <w:szCs w:val="23"/>
        </w:rPr>
        <w:t>废</w:t>
      </w:r>
      <w:r>
        <w:rPr>
          <w:rFonts w:ascii="宋体" w:hAnsi="宋体" w:eastAsia="宋体" w:cs="宋体"/>
          <w:spacing w:val="17"/>
          <w:sz w:val="23"/>
          <w:szCs w:val="23"/>
        </w:rPr>
        <w:t>水</w:t>
      </w:r>
      <w:r>
        <w:rPr>
          <w:rFonts w:ascii="宋体" w:hAnsi="宋体" w:eastAsia="宋体" w:cs="宋体"/>
          <w:spacing w:val="9"/>
          <w:sz w:val="23"/>
          <w:szCs w:val="23"/>
        </w:rPr>
        <w:t>的三级沉淀池 (</w:t>
      </w:r>
      <w:r>
        <w:rPr>
          <w:rFonts w:ascii="Times New Roman" w:hAnsi="Times New Roman" w:eastAsia="Times New Roman" w:cs="Times New Roman"/>
          <w:spacing w:val="9"/>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×4.5</w:t>
      </w:r>
      <w:r>
        <w:rPr>
          <w:rFonts w:ascii="Times New Roman" w:hAnsi="Times New Roman" w:eastAsia="Times New Roman" w:cs="Times New Roman"/>
          <w:sz w:val="23"/>
          <w:szCs w:val="23"/>
        </w:rPr>
        <w:t>m</w:t>
      </w:r>
      <w:r>
        <w:rPr>
          <w:rFonts w:ascii="宋体" w:hAnsi="宋体" w:eastAsia="宋体" w:cs="宋体"/>
          <w:spacing w:val="9"/>
          <w:sz w:val="23"/>
          <w:szCs w:val="23"/>
        </w:rPr>
        <w:t xml:space="preserve">) ，同时配套设有 </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台一体化污水预处理设</w:t>
      </w:r>
      <w:r>
        <w:rPr>
          <w:rFonts w:ascii="宋体" w:hAnsi="宋体" w:eastAsia="宋体" w:cs="宋体"/>
          <w:sz w:val="23"/>
          <w:szCs w:val="23"/>
        </w:rPr>
        <w:t xml:space="preserve"> </w:t>
      </w:r>
      <w:r>
        <w:rPr>
          <w:rFonts w:ascii="宋体" w:hAnsi="宋体" w:eastAsia="宋体" w:cs="宋体"/>
          <w:spacing w:val="9"/>
          <w:sz w:val="23"/>
          <w:szCs w:val="23"/>
        </w:rPr>
        <w:t xml:space="preserve">备。该项目主要建设废旧塑料加工生产线 </w:t>
      </w:r>
      <w:r>
        <w:rPr>
          <w:rFonts w:ascii="Times New Roman" w:hAnsi="Times New Roman" w:eastAsia="Times New Roman" w:cs="Times New Roman"/>
          <w:spacing w:val="9"/>
          <w:sz w:val="23"/>
          <w:szCs w:val="23"/>
        </w:rPr>
        <w:t xml:space="preserve">10 </w:t>
      </w:r>
      <w:r>
        <w:rPr>
          <w:rFonts w:ascii="宋体" w:hAnsi="宋体" w:eastAsia="宋体" w:cs="宋体"/>
          <w:spacing w:val="9"/>
          <w:sz w:val="23"/>
          <w:szCs w:val="23"/>
        </w:rPr>
        <w:t>条，用于生产废旧塑料再生颗粒</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该项目建成后预计年产废旧塑料再生颗粒 </w:t>
      </w:r>
      <w:r>
        <w:rPr>
          <w:rFonts w:ascii="Times New Roman" w:hAnsi="Times New Roman" w:eastAsia="Times New Roman" w:cs="Times New Roman"/>
          <w:spacing w:val="6"/>
          <w:sz w:val="23"/>
          <w:szCs w:val="23"/>
        </w:rPr>
        <w:t xml:space="preserve">50000 </w:t>
      </w:r>
      <w:r>
        <w:rPr>
          <w:rFonts w:ascii="宋体" w:hAnsi="宋体" w:eastAsia="宋体" w:cs="宋体"/>
          <w:spacing w:val="6"/>
          <w:sz w:val="23"/>
          <w:szCs w:val="23"/>
        </w:rPr>
        <w:t>吨</w:t>
      </w:r>
      <w:r>
        <w:rPr>
          <w:rFonts w:ascii="宋体" w:hAnsi="宋体" w:eastAsia="宋体" w:cs="宋体"/>
          <w:spacing w:val="1"/>
          <w:sz w:val="23"/>
          <w:szCs w:val="23"/>
        </w:rPr>
        <w:t>。</w:t>
      </w:r>
    </w:p>
    <w:p w14:paraId="7C692E77">
      <w:pPr>
        <w:sectPr>
          <w:headerReference r:id="rId8" w:type="default"/>
          <w:footerReference r:id="rId9" w:type="default"/>
          <w:pgSz w:w="11906" w:h="16839"/>
          <w:pgMar w:top="1132" w:right="1685" w:bottom="899" w:left="1785" w:header="878" w:footer="739" w:gutter="0"/>
          <w:cols w:space="720" w:num="1"/>
        </w:sectPr>
      </w:pPr>
    </w:p>
    <w:p w14:paraId="6952E11E">
      <w:pPr>
        <w:spacing w:line="425" w:lineRule="auto"/>
        <w:rPr>
          <w:rFonts w:ascii="Arial"/>
          <w:sz w:val="21"/>
        </w:rPr>
      </w:pPr>
      <w:r>
        <w:pict>
          <v:shape id="_x0000_s1029" o:spid="_x0000_s1029" style="position:absolute;left:0pt;margin-left:90pt;margin-top:57.35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p w14:paraId="65921DC1">
      <w:pPr>
        <w:spacing w:before="75" w:line="403" w:lineRule="auto"/>
        <w:ind w:left="22" w:right="11" w:firstLine="510"/>
        <w:rPr>
          <w:rFonts w:ascii="宋体" w:hAnsi="宋体" w:eastAsia="宋体" w:cs="宋体"/>
          <w:sz w:val="23"/>
          <w:szCs w:val="23"/>
        </w:rPr>
      </w:pPr>
      <w:r>
        <w:rPr>
          <w:rFonts w:ascii="宋体" w:hAnsi="宋体" w:eastAsia="宋体" w:cs="宋体"/>
          <w:spacing w:val="6"/>
          <w:sz w:val="23"/>
          <w:szCs w:val="23"/>
        </w:rPr>
        <w:t>由于项目施工期及运营期将产生废气、废水、噪声及固体废物等环境污染</w:t>
      </w:r>
      <w:r>
        <w:rPr>
          <w:rFonts w:ascii="宋体" w:hAnsi="宋体" w:eastAsia="宋体" w:cs="宋体"/>
          <w:spacing w:val="5"/>
          <w:sz w:val="23"/>
          <w:szCs w:val="23"/>
        </w:rPr>
        <w:t>因</w:t>
      </w:r>
      <w:r>
        <w:rPr>
          <w:rFonts w:ascii="宋体" w:hAnsi="宋体" w:eastAsia="宋体" w:cs="宋体"/>
          <w:sz w:val="23"/>
          <w:szCs w:val="23"/>
        </w:rPr>
        <w:t xml:space="preserve"> </w:t>
      </w:r>
      <w:r>
        <w:rPr>
          <w:rFonts w:ascii="宋体" w:hAnsi="宋体" w:eastAsia="宋体" w:cs="宋体"/>
          <w:spacing w:val="9"/>
          <w:sz w:val="23"/>
          <w:szCs w:val="23"/>
        </w:rPr>
        <w:t>素</w:t>
      </w:r>
      <w:r>
        <w:rPr>
          <w:rFonts w:ascii="宋体" w:hAnsi="宋体" w:eastAsia="宋体" w:cs="宋体"/>
          <w:spacing w:val="7"/>
          <w:sz w:val="23"/>
          <w:szCs w:val="23"/>
        </w:rPr>
        <w:t>，为使项目建成后及建设过程中可能产生的污染尽可能避免和削减对周围环境</w:t>
      </w:r>
      <w:r>
        <w:rPr>
          <w:rFonts w:ascii="宋体" w:hAnsi="宋体" w:eastAsia="宋体" w:cs="宋体"/>
          <w:sz w:val="23"/>
          <w:szCs w:val="23"/>
        </w:rPr>
        <w:t xml:space="preserve"> </w:t>
      </w:r>
      <w:r>
        <w:rPr>
          <w:rFonts w:ascii="宋体" w:hAnsi="宋体" w:eastAsia="宋体" w:cs="宋体"/>
          <w:spacing w:val="1"/>
          <w:sz w:val="23"/>
          <w:szCs w:val="23"/>
        </w:rPr>
        <w:t>造成的影响，同时减缓和防范周围环境</w:t>
      </w:r>
      <w:r>
        <w:rPr>
          <w:rFonts w:ascii="宋体" w:hAnsi="宋体" w:eastAsia="宋体" w:cs="宋体"/>
          <w:sz w:val="23"/>
          <w:szCs w:val="23"/>
        </w:rPr>
        <w:t xml:space="preserve">可能对建设项目造成的环境影响，根据《中 </w:t>
      </w:r>
      <w:r>
        <w:rPr>
          <w:rFonts w:ascii="宋体" w:hAnsi="宋体" w:eastAsia="宋体" w:cs="宋体"/>
          <w:spacing w:val="9"/>
          <w:sz w:val="23"/>
          <w:szCs w:val="23"/>
        </w:rPr>
        <w:t>华</w:t>
      </w:r>
      <w:r>
        <w:rPr>
          <w:rFonts w:ascii="宋体" w:hAnsi="宋体" w:eastAsia="宋体" w:cs="宋体"/>
          <w:spacing w:val="7"/>
          <w:sz w:val="23"/>
          <w:szCs w:val="23"/>
        </w:rPr>
        <w:t>人民共和国环境保护法》、《中华人民共和国环境影响评价法》、《建设项目</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境影响评价分类管理目录》等有关规定及环保主管部门的要求，该项目建成后</w:t>
      </w:r>
      <w:r>
        <w:rPr>
          <w:rFonts w:ascii="宋体" w:hAnsi="宋体" w:eastAsia="宋体" w:cs="宋体"/>
          <w:sz w:val="23"/>
          <w:szCs w:val="23"/>
        </w:rPr>
        <w:t xml:space="preserve"> </w:t>
      </w:r>
      <w:r>
        <w:rPr>
          <w:rFonts w:ascii="宋体" w:hAnsi="宋体" w:eastAsia="宋体" w:cs="宋体"/>
          <w:spacing w:val="5"/>
          <w:sz w:val="23"/>
          <w:szCs w:val="23"/>
        </w:rPr>
        <w:t xml:space="preserve">预计年产废旧塑料再生颗粒 </w:t>
      </w:r>
      <w:r>
        <w:rPr>
          <w:rFonts w:ascii="Times New Roman" w:hAnsi="Times New Roman" w:eastAsia="Times New Roman" w:cs="Times New Roman"/>
          <w:spacing w:val="5"/>
          <w:sz w:val="23"/>
          <w:szCs w:val="23"/>
        </w:rPr>
        <w:t xml:space="preserve">50000 </w:t>
      </w:r>
      <w:r>
        <w:rPr>
          <w:rFonts w:ascii="宋体" w:hAnsi="宋体" w:eastAsia="宋体" w:cs="宋体"/>
          <w:spacing w:val="5"/>
          <w:sz w:val="23"/>
          <w:szCs w:val="23"/>
        </w:rPr>
        <w:t>吨，属于《建设项目环境影响评价分类管理</w:t>
      </w:r>
      <w:r>
        <w:rPr>
          <w:rFonts w:ascii="宋体" w:hAnsi="宋体" w:eastAsia="宋体" w:cs="宋体"/>
          <w:sz w:val="23"/>
          <w:szCs w:val="23"/>
        </w:rPr>
        <w:t xml:space="preserve">目 </w:t>
      </w:r>
      <w:r>
        <w:rPr>
          <w:rFonts w:ascii="宋体" w:hAnsi="宋体" w:eastAsia="宋体" w:cs="宋体"/>
          <w:spacing w:val="6"/>
          <w:sz w:val="23"/>
          <w:szCs w:val="23"/>
        </w:rPr>
        <w:t>录》中</w:t>
      </w:r>
      <w:r>
        <w:rPr>
          <w:rFonts w:ascii="Times New Roman" w:hAnsi="Times New Roman" w:eastAsia="Times New Roman" w:cs="Times New Roman"/>
          <w:spacing w:val="6"/>
          <w:sz w:val="23"/>
          <w:szCs w:val="23"/>
        </w:rPr>
        <w:t>“</w:t>
      </w:r>
      <w:r>
        <w:rPr>
          <w:rFonts w:ascii="宋体" w:hAnsi="宋体" w:eastAsia="宋体" w:cs="宋体"/>
          <w:spacing w:val="6"/>
          <w:sz w:val="23"/>
          <w:szCs w:val="23"/>
        </w:rPr>
        <w:t>三十、废</w:t>
      </w:r>
      <w:r>
        <w:rPr>
          <w:rFonts w:ascii="宋体" w:hAnsi="宋体" w:eastAsia="宋体" w:cs="宋体"/>
          <w:spacing w:val="4"/>
          <w:sz w:val="23"/>
          <w:szCs w:val="23"/>
        </w:rPr>
        <w:t>弃</w:t>
      </w:r>
      <w:r>
        <w:rPr>
          <w:rFonts w:ascii="宋体" w:hAnsi="宋体" w:eastAsia="宋体" w:cs="宋体"/>
          <w:spacing w:val="3"/>
          <w:sz w:val="23"/>
          <w:szCs w:val="23"/>
        </w:rPr>
        <w:t xml:space="preserve">资源综合利用类 </w:t>
      </w:r>
      <w:r>
        <w:rPr>
          <w:rFonts w:ascii="Times New Roman" w:hAnsi="Times New Roman" w:eastAsia="Times New Roman" w:cs="Times New Roman"/>
          <w:spacing w:val="3"/>
          <w:sz w:val="23"/>
          <w:szCs w:val="23"/>
        </w:rPr>
        <w:t xml:space="preserve">86  </w:t>
      </w:r>
      <w:r>
        <w:rPr>
          <w:rFonts w:ascii="宋体" w:hAnsi="宋体" w:eastAsia="宋体" w:cs="宋体"/>
          <w:spacing w:val="3"/>
          <w:sz w:val="23"/>
          <w:szCs w:val="23"/>
        </w:rPr>
        <w:t>废旧资源(含生物质) 加工、再生利用 废</w:t>
      </w:r>
      <w:r>
        <w:rPr>
          <w:rFonts w:ascii="宋体" w:hAnsi="宋体" w:eastAsia="宋体" w:cs="宋体"/>
          <w:sz w:val="23"/>
          <w:szCs w:val="23"/>
        </w:rPr>
        <w:t xml:space="preserve"> </w:t>
      </w:r>
      <w:r>
        <w:rPr>
          <w:rFonts w:ascii="宋体" w:hAnsi="宋体" w:eastAsia="宋体" w:cs="宋体"/>
          <w:spacing w:val="12"/>
          <w:sz w:val="23"/>
          <w:szCs w:val="23"/>
        </w:rPr>
        <w:t>塑料 (</w:t>
      </w:r>
      <w:r>
        <w:rPr>
          <w:rFonts w:ascii="宋体" w:hAnsi="宋体" w:eastAsia="宋体" w:cs="宋体"/>
          <w:spacing w:val="9"/>
          <w:sz w:val="23"/>
          <w:szCs w:val="23"/>
        </w:rPr>
        <w:t>除</w:t>
      </w:r>
      <w:r>
        <w:rPr>
          <w:rFonts w:ascii="宋体" w:hAnsi="宋体" w:eastAsia="宋体" w:cs="宋体"/>
          <w:spacing w:val="6"/>
          <w:sz w:val="23"/>
          <w:szCs w:val="23"/>
        </w:rPr>
        <w:t>分拣清洗工艺的) 加工、再生利用</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，应编制环境影响报告书。</w:t>
      </w:r>
    </w:p>
    <w:p w14:paraId="1B40664A">
      <w:pPr>
        <w:spacing w:before="70" w:line="225" w:lineRule="auto"/>
        <w:ind w:left="35"/>
        <w:outlineLvl w:val="1"/>
        <w:rPr>
          <w:rFonts w:ascii="宋体" w:hAnsi="宋体" w:eastAsia="宋体" w:cs="宋体"/>
          <w:sz w:val="31"/>
          <w:szCs w:val="31"/>
        </w:rPr>
      </w:pPr>
      <w:bookmarkStart w:id="2" w:name="_bookmark3"/>
      <w:bookmarkEnd w:id="2"/>
      <w:r>
        <w:rPr>
          <w:rFonts w:ascii="Times New Roman" w:hAnsi="Times New Roman" w:eastAsia="Times New Roman" w:cs="Times New Roman"/>
          <w:b/>
          <w:bCs/>
          <w:spacing w:val="10"/>
          <w:sz w:val="31"/>
          <w:szCs w:val="31"/>
        </w:rPr>
        <w:t>1</w:t>
      </w:r>
      <w:r>
        <w:rPr>
          <w:rFonts w:ascii="Times New Roman" w:hAnsi="Times New Roman" w:eastAsia="Times New Roman" w:cs="Times New Roman"/>
          <w:b/>
          <w:bCs/>
          <w:spacing w:val="5"/>
          <w:sz w:val="31"/>
          <w:szCs w:val="31"/>
        </w:rPr>
        <w:t>.2</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环评工作过程</w:t>
      </w:r>
    </w:p>
    <w:p w14:paraId="3764DB3A">
      <w:pPr>
        <w:spacing w:line="276" w:lineRule="auto"/>
        <w:rPr>
          <w:rFonts w:ascii="Arial"/>
          <w:sz w:val="21"/>
        </w:rPr>
      </w:pPr>
    </w:p>
    <w:p w14:paraId="5B3CB0B6">
      <w:pPr>
        <w:spacing w:before="74" w:line="402" w:lineRule="auto"/>
        <w:ind w:left="22" w:right="13" w:firstLine="481"/>
        <w:rPr>
          <w:rFonts w:ascii="宋体" w:hAnsi="宋体" w:eastAsia="宋体" w:cs="宋体"/>
          <w:sz w:val="23"/>
          <w:szCs w:val="23"/>
        </w:rPr>
      </w:pPr>
      <w:r>
        <w:rPr>
          <w:rFonts w:ascii="宋体" w:hAnsi="宋体" w:eastAsia="宋体" w:cs="宋体"/>
          <w:spacing w:val="7"/>
          <w:sz w:val="23"/>
          <w:szCs w:val="23"/>
        </w:rPr>
        <w:t>本溪弘福塑业有限公司根据环境保护有关法律、法规和条例，委托我公司</w:t>
      </w:r>
      <w:r>
        <w:rPr>
          <w:rFonts w:ascii="宋体" w:hAnsi="宋体" w:eastAsia="宋体" w:cs="宋体"/>
          <w:spacing w:val="2"/>
          <w:sz w:val="23"/>
          <w:szCs w:val="23"/>
        </w:rPr>
        <w:t>对</w:t>
      </w:r>
      <w:r>
        <w:rPr>
          <w:rFonts w:ascii="宋体" w:hAnsi="宋体" w:eastAsia="宋体" w:cs="宋体"/>
          <w:sz w:val="23"/>
          <w:szCs w:val="23"/>
        </w:rPr>
        <w:t xml:space="preserve"> </w:t>
      </w:r>
      <w:r>
        <w:rPr>
          <w:rFonts w:ascii="宋体" w:hAnsi="宋体" w:eastAsia="宋体" w:cs="宋体"/>
          <w:spacing w:val="10"/>
          <w:sz w:val="23"/>
          <w:szCs w:val="23"/>
        </w:rPr>
        <w:t>该项目进行环境影响评价工作 (委托书见附件</w:t>
      </w:r>
      <w:r>
        <w:rPr>
          <w:rFonts w:ascii="Times New Roman" w:hAnsi="Times New Roman" w:eastAsia="Times New Roman" w:cs="Times New Roman"/>
          <w:spacing w:val="10"/>
          <w:sz w:val="23"/>
          <w:szCs w:val="23"/>
        </w:rPr>
        <w:t>3</w:t>
      </w:r>
      <w:r>
        <w:rPr>
          <w:rFonts w:ascii="宋体" w:hAnsi="宋体" w:eastAsia="宋体" w:cs="宋体"/>
          <w:spacing w:val="10"/>
          <w:sz w:val="23"/>
          <w:szCs w:val="23"/>
        </w:rPr>
        <w:t>) 。接受委托后，我公司有关</w:t>
      </w:r>
      <w:r>
        <w:rPr>
          <w:rFonts w:ascii="宋体" w:hAnsi="宋体" w:eastAsia="宋体" w:cs="宋体"/>
          <w:spacing w:val="2"/>
          <w:sz w:val="23"/>
          <w:szCs w:val="23"/>
        </w:rPr>
        <w:t>环</w:t>
      </w:r>
      <w:r>
        <w:rPr>
          <w:rFonts w:ascii="宋体" w:hAnsi="宋体" w:eastAsia="宋体" w:cs="宋体"/>
          <w:sz w:val="23"/>
          <w:szCs w:val="23"/>
        </w:rPr>
        <w:t xml:space="preserve"> </w:t>
      </w:r>
      <w:r>
        <w:rPr>
          <w:rFonts w:ascii="宋体" w:hAnsi="宋体" w:eastAsia="宋体" w:cs="宋体"/>
          <w:spacing w:val="9"/>
          <w:sz w:val="23"/>
          <w:szCs w:val="23"/>
        </w:rPr>
        <w:t>评</w:t>
      </w:r>
      <w:r>
        <w:rPr>
          <w:rFonts w:ascii="宋体" w:hAnsi="宋体" w:eastAsia="宋体" w:cs="宋体"/>
          <w:spacing w:val="7"/>
          <w:sz w:val="23"/>
          <w:szCs w:val="23"/>
        </w:rPr>
        <w:t>工作人员积极开展现场调查，收集有关资料，了解厂区附近的自然社会环境概</w:t>
      </w:r>
      <w:r>
        <w:rPr>
          <w:rFonts w:ascii="宋体" w:hAnsi="宋体" w:eastAsia="宋体" w:cs="宋体"/>
          <w:sz w:val="23"/>
          <w:szCs w:val="23"/>
        </w:rPr>
        <w:t xml:space="preserve"> </w:t>
      </w:r>
      <w:r>
        <w:rPr>
          <w:rFonts w:ascii="宋体" w:hAnsi="宋体" w:eastAsia="宋体" w:cs="宋体"/>
          <w:spacing w:val="12"/>
          <w:sz w:val="23"/>
          <w:szCs w:val="23"/>
        </w:rPr>
        <w:t>况。根</w:t>
      </w:r>
      <w:r>
        <w:rPr>
          <w:rFonts w:ascii="宋体" w:hAnsi="宋体" w:eastAsia="宋体" w:cs="宋体"/>
          <w:spacing w:val="7"/>
          <w:sz w:val="23"/>
          <w:szCs w:val="23"/>
        </w:rPr>
        <w:t>据</w:t>
      </w:r>
      <w:r>
        <w:rPr>
          <w:rFonts w:ascii="宋体" w:hAnsi="宋体" w:eastAsia="宋体" w:cs="宋体"/>
          <w:spacing w:val="6"/>
          <w:sz w:val="23"/>
          <w:szCs w:val="23"/>
        </w:rPr>
        <w:t xml:space="preserve">调查结果，该项目距离最近居民点为项目厂区西北侧 </w:t>
      </w:r>
      <w:r>
        <w:rPr>
          <w:rFonts w:ascii="Times New Roman" w:hAnsi="Times New Roman" w:eastAsia="Times New Roman" w:cs="Times New Roman"/>
          <w:spacing w:val="6"/>
          <w:sz w:val="23"/>
          <w:szCs w:val="23"/>
        </w:rPr>
        <w:t>330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处的榆树底</w:t>
      </w:r>
      <w:r>
        <w:rPr>
          <w:rFonts w:ascii="宋体" w:hAnsi="宋体" w:eastAsia="宋体" w:cs="宋体"/>
          <w:sz w:val="23"/>
          <w:szCs w:val="23"/>
        </w:rPr>
        <w:t xml:space="preserve"> </w:t>
      </w:r>
      <w:r>
        <w:rPr>
          <w:rFonts w:ascii="宋体" w:hAnsi="宋体" w:eastAsia="宋体" w:cs="宋体"/>
          <w:spacing w:val="9"/>
          <w:sz w:val="23"/>
          <w:szCs w:val="23"/>
        </w:rPr>
        <w:t>村</w:t>
      </w:r>
      <w:r>
        <w:rPr>
          <w:rFonts w:ascii="宋体" w:hAnsi="宋体" w:eastAsia="宋体" w:cs="宋体"/>
          <w:spacing w:val="7"/>
          <w:sz w:val="23"/>
          <w:szCs w:val="23"/>
        </w:rPr>
        <w:t>，项目用地不占用基本农田，不干扰周边农田的耕种和作业，所在区域范围内</w:t>
      </w:r>
      <w:r>
        <w:rPr>
          <w:rFonts w:ascii="宋体" w:hAnsi="宋体" w:eastAsia="宋体" w:cs="宋体"/>
          <w:sz w:val="23"/>
          <w:szCs w:val="23"/>
        </w:rPr>
        <w:t xml:space="preserve"> </w:t>
      </w:r>
      <w:r>
        <w:rPr>
          <w:rFonts w:ascii="宋体" w:hAnsi="宋体" w:eastAsia="宋体" w:cs="宋体"/>
          <w:spacing w:val="9"/>
          <w:sz w:val="23"/>
          <w:szCs w:val="23"/>
        </w:rPr>
        <w:t>无</w:t>
      </w:r>
      <w:r>
        <w:rPr>
          <w:rFonts w:ascii="宋体" w:hAnsi="宋体" w:eastAsia="宋体" w:cs="宋体"/>
          <w:spacing w:val="7"/>
          <w:sz w:val="23"/>
          <w:szCs w:val="23"/>
        </w:rPr>
        <w:t>自然保护区、风景名胜区、重要水源地和其他需要特殊保护的区域，从区域土</w:t>
      </w:r>
      <w:r>
        <w:rPr>
          <w:rFonts w:ascii="宋体" w:hAnsi="宋体" w:eastAsia="宋体" w:cs="宋体"/>
          <w:sz w:val="23"/>
          <w:szCs w:val="23"/>
        </w:rPr>
        <w:t xml:space="preserve"> </w:t>
      </w:r>
      <w:r>
        <w:rPr>
          <w:rFonts w:ascii="宋体" w:hAnsi="宋体" w:eastAsia="宋体" w:cs="宋体"/>
          <w:spacing w:val="9"/>
          <w:sz w:val="23"/>
          <w:szCs w:val="23"/>
        </w:rPr>
        <w:t>地</w:t>
      </w:r>
      <w:r>
        <w:rPr>
          <w:rFonts w:ascii="宋体" w:hAnsi="宋体" w:eastAsia="宋体" w:cs="宋体"/>
          <w:spacing w:val="7"/>
          <w:sz w:val="23"/>
          <w:szCs w:val="23"/>
        </w:rPr>
        <w:t>利用方面分析，选址可以满足规划要求。在此基础上，进一步对环境特征和工</w:t>
      </w:r>
      <w:r>
        <w:rPr>
          <w:rFonts w:ascii="宋体" w:hAnsi="宋体" w:eastAsia="宋体" w:cs="宋体"/>
          <w:sz w:val="23"/>
          <w:szCs w:val="23"/>
        </w:rPr>
        <w:t xml:space="preserve"> </w:t>
      </w:r>
      <w:r>
        <w:rPr>
          <w:rFonts w:ascii="宋体" w:hAnsi="宋体" w:eastAsia="宋体" w:cs="宋体"/>
          <w:spacing w:val="9"/>
          <w:sz w:val="23"/>
          <w:szCs w:val="23"/>
        </w:rPr>
        <w:t>程</w:t>
      </w:r>
      <w:r>
        <w:rPr>
          <w:rFonts w:ascii="宋体" w:hAnsi="宋体" w:eastAsia="宋体" w:cs="宋体"/>
          <w:spacing w:val="7"/>
          <w:sz w:val="23"/>
          <w:szCs w:val="23"/>
        </w:rPr>
        <w:t>特征进行分析；对环境影响因子和评价因子进行了识别和筛选；根据环境影响</w:t>
      </w:r>
      <w:r>
        <w:rPr>
          <w:rFonts w:ascii="宋体" w:hAnsi="宋体" w:eastAsia="宋体" w:cs="宋体"/>
          <w:sz w:val="23"/>
          <w:szCs w:val="23"/>
        </w:rPr>
        <w:t xml:space="preserve"> </w:t>
      </w:r>
      <w:r>
        <w:rPr>
          <w:rFonts w:ascii="宋体" w:hAnsi="宋体" w:eastAsia="宋体" w:cs="宋体"/>
          <w:spacing w:val="9"/>
          <w:sz w:val="23"/>
          <w:szCs w:val="23"/>
        </w:rPr>
        <w:t>评</w:t>
      </w:r>
      <w:r>
        <w:rPr>
          <w:rFonts w:ascii="宋体" w:hAnsi="宋体" w:eastAsia="宋体" w:cs="宋体"/>
          <w:spacing w:val="7"/>
          <w:sz w:val="23"/>
          <w:szCs w:val="23"/>
        </w:rPr>
        <w:t>价技术导则进行了评价等级确定；结合有关环境保护法规和地方实际情况，确</w:t>
      </w:r>
      <w:r>
        <w:rPr>
          <w:rFonts w:ascii="宋体" w:hAnsi="宋体" w:eastAsia="宋体" w:cs="宋体"/>
          <w:sz w:val="23"/>
          <w:szCs w:val="23"/>
        </w:rPr>
        <w:t xml:space="preserve"> </w:t>
      </w:r>
      <w:r>
        <w:rPr>
          <w:rFonts w:ascii="宋体" w:hAnsi="宋体" w:eastAsia="宋体" w:cs="宋体"/>
          <w:spacing w:val="9"/>
          <w:sz w:val="23"/>
          <w:szCs w:val="23"/>
        </w:rPr>
        <w:t>定</w:t>
      </w:r>
      <w:r>
        <w:rPr>
          <w:rFonts w:ascii="宋体" w:hAnsi="宋体" w:eastAsia="宋体" w:cs="宋体"/>
          <w:spacing w:val="7"/>
          <w:sz w:val="23"/>
          <w:szCs w:val="23"/>
        </w:rPr>
        <w:t>了本次评价的评价标准、评价范围和深度，编制完成了《本溪弘福塑业有限公</w:t>
      </w:r>
      <w:r>
        <w:rPr>
          <w:rFonts w:ascii="宋体" w:hAnsi="宋体" w:eastAsia="宋体" w:cs="宋体"/>
          <w:sz w:val="23"/>
          <w:szCs w:val="23"/>
        </w:rPr>
        <w:t xml:space="preserve"> </w:t>
      </w:r>
      <w:r>
        <w:rPr>
          <w:rFonts w:ascii="宋体" w:hAnsi="宋体" w:eastAsia="宋体" w:cs="宋体"/>
          <w:spacing w:val="8"/>
          <w:sz w:val="23"/>
          <w:szCs w:val="23"/>
        </w:rPr>
        <w:t>司新建项目环境影响报告书》</w:t>
      </w:r>
      <w:r>
        <w:rPr>
          <w:rFonts w:ascii="宋体" w:hAnsi="宋体" w:eastAsia="宋体" w:cs="宋体"/>
          <w:spacing w:val="7"/>
          <w:sz w:val="23"/>
          <w:szCs w:val="23"/>
        </w:rPr>
        <w:t>。</w:t>
      </w:r>
    </w:p>
    <w:p w14:paraId="1CFF4F5D">
      <w:pPr>
        <w:spacing w:before="139" w:line="226" w:lineRule="auto"/>
        <w:ind w:left="504"/>
        <w:rPr>
          <w:rFonts w:ascii="宋体" w:hAnsi="宋体" w:eastAsia="宋体" w:cs="宋体"/>
          <w:sz w:val="23"/>
          <w:szCs w:val="23"/>
        </w:rPr>
      </w:pPr>
      <w:r>
        <w:rPr>
          <w:rFonts w:ascii="宋体" w:hAnsi="宋体" w:eastAsia="宋体" w:cs="宋体"/>
          <w:spacing w:val="-24"/>
          <w:sz w:val="23"/>
          <w:szCs w:val="23"/>
        </w:rPr>
        <w:t>本</w:t>
      </w:r>
      <w:r>
        <w:rPr>
          <w:rFonts w:ascii="宋体" w:hAnsi="宋体" w:eastAsia="宋体" w:cs="宋体"/>
          <w:spacing w:val="-16"/>
          <w:sz w:val="23"/>
          <w:szCs w:val="23"/>
        </w:rPr>
        <w:t>次</w:t>
      </w:r>
      <w:r>
        <w:rPr>
          <w:rFonts w:ascii="宋体" w:hAnsi="宋体" w:eastAsia="宋体" w:cs="宋体"/>
          <w:spacing w:val="-12"/>
          <w:sz w:val="23"/>
          <w:szCs w:val="23"/>
        </w:rPr>
        <w:t xml:space="preserve">环评报告的环境影响评价工作大致分为三个阶段，具体工作程序图见图 </w:t>
      </w:r>
      <w:r>
        <w:rPr>
          <w:rFonts w:ascii="Times New Roman" w:hAnsi="Times New Roman" w:eastAsia="Times New Roman" w:cs="Times New Roman"/>
          <w:spacing w:val="-12"/>
          <w:sz w:val="23"/>
          <w:szCs w:val="23"/>
        </w:rPr>
        <w:t>1-1</w:t>
      </w:r>
      <w:r>
        <w:rPr>
          <w:rFonts w:ascii="宋体" w:hAnsi="宋体" w:eastAsia="宋体" w:cs="宋体"/>
          <w:spacing w:val="-12"/>
          <w:sz w:val="23"/>
          <w:szCs w:val="23"/>
        </w:rPr>
        <w:t>。</w:t>
      </w:r>
    </w:p>
    <w:p w14:paraId="5C51D6B2">
      <w:pPr>
        <w:sectPr>
          <w:headerReference r:id="rId10" w:type="default"/>
          <w:footerReference r:id="rId11" w:type="default"/>
          <w:pgSz w:w="11906" w:h="16839"/>
          <w:pgMar w:top="1132" w:right="1785" w:bottom="899" w:left="1785" w:header="878" w:footer="739" w:gutter="0"/>
          <w:cols w:space="720" w:num="1"/>
        </w:sectPr>
      </w:pPr>
    </w:p>
    <w:p w14:paraId="118B42AA">
      <w:pPr>
        <w:spacing w:line="153" w:lineRule="exact"/>
      </w:pPr>
      <w:r>
        <w:pict>
          <v:rect id="_x0000_s1030" o:spid="_x0000_s1030" o:spt="1" style="position:absolute;left:0pt;margin-left:200.95pt;margin-top:288.3pt;height:0.85pt;width:181.4pt;mso-position-horizontal-relative:page;mso-position-vertical-relative:page;z-index:251669504;mso-width-relative:page;mso-height-relative:page;" fillcolor="#000000" filled="t" stroked="f" coordsize="21600,21600" o:allowincell="f">
            <v:path/>
            <v:fill on="t" focussize="0,0"/>
            <v:stroke on="f"/>
            <v:imagedata o:title=""/>
            <o:lock v:ext="edit"/>
          </v:rect>
        </w:pict>
      </w:r>
      <w:r>
        <w:pict>
          <v:shape id="_x0000_s1031" o:spid="_x0000_s1031" style="position:absolute;left:0pt;margin-left:90pt;margin-top:57.35pt;height:0.75pt;width:415.3pt;mso-position-horizontal-relative:page;mso-position-vertical-relative:page;z-index:251667456;mso-width-relative:page;mso-height-relative:page;" fillcolor="#000000" filled="t" stroked="f" coordsize="8305,15" o:allowincell="f" path="m0,0l8305,0,8305,14,0,14,0,0xe">
            <v:path/>
            <v:fill on="t" focussize="0,0"/>
            <v:stroke on="f"/>
            <v:imagedata o:title=""/>
            <o:lock v:ext="edit"/>
          </v:shape>
        </w:pict>
      </w:r>
      <w:r>
        <w:pict>
          <v:shape id="_x0000_s1032" o:spid="_x0000_s1032" o:spt="202" type="#_x0000_t202" style="position:absolute;left:0pt;margin-left:157.45pt;margin-top:304.05pt;height:40.35pt;width:87.8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14:paraId="755919BE">
                  <w:pPr>
                    <w:spacing w:line="20" w:lineRule="exact"/>
                  </w:pPr>
                </w:p>
                <w:tbl>
                  <w:tblPr>
                    <w:tblStyle w:val="4"/>
                    <w:tblW w:w="1691" w:type="dxa"/>
                    <w:tblInd w:w="32" w:type="dxa"/>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91"/>
                  </w:tblGrid>
                  <w:tr w14:paraId="78E668BB">
                    <w:tblPrEx>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26" w:hRule="atLeast"/>
                    </w:trPr>
                    <w:tc>
                      <w:tcPr>
                        <w:tcW w:w="1691" w:type="dxa"/>
                        <w:vAlign w:val="top"/>
                      </w:tcPr>
                      <w:p w14:paraId="7D1F8A69">
                        <w:pPr>
                          <w:spacing w:before="120" w:line="257" w:lineRule="auto"/>
                          <w:ind w:left="315" w:right="206" w:hanging="106"/>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境现状调查</w:t>
                        </w:r>
                        <w:r>
                          <w:rPr>
                            <w:rFonts w:ascii="宋体" w:hAnsi="宋体" w:eastAsia="宋体" w:cs="宋体"/>
                            <w:sz w:val="20"/>
                            <w:szCs w:val="20"/>
                          </w:rPr>
                          <w:t xml:space="preserve"> </w:t>
                        </w:r>
                        <w:r>
                          <w:rPr>
                            <w:rFonts w:ascii="宋体" w:hAnsi="宋体" w:eastAsia="宋体" w:cs="宋体"/>
                            <w:spacing w:val="8"/>
                            <w:sz w:val="20"/>
                            <w:szCs w:val="20"/>
                          </w:rPr>
                          <w:t>监测与评</w:t>
                        </w:r>
                        <w:r>
                          <w:rPr>
                            <w:rFonts w:ascii="宋体" w:hAnsi="宋体" w:eastAsia="宋体" w:cs="宋体"/>
                            <w:spacing w:val="7"/>
                            <w:sz w:val="20"/>
                            <w:szCs w:val="20"/>
                          </w:rPr>
                          <w:t>价</w:t>
                        </w:r>
                      </w:p>
                    </w:tc>
                  </w:tr>
                </w:tbl>
                <w:p w14:paraId="57FBEEF6">
                  <w:pPr>
                    <w:rPr>
                      <w:rFonts w:ascii="Arial"/>
                      <w:sz w:val="21"/>
                    </w:rPr>
                  </w:pPr>
                </w:p>
              </w:txbxContent>
            </v:textbox>
          </v:shape>
        </w:pict>
      </w:r>
      <w:r>
        <w:drawing>
          <wp:anchor distT="0" distB="0" distL="0" distR="0" simplePos="0" relativeHeight="251664384" behindDoc="1" locked="0" layoutInCell="0" allowOverlap="1">
            <wp:simplePos x="0" y="0"/>
            <wp:positionH relativeFrom="page">
              <wp:posOffset>2506980</wp:posOffset>
            </wp:positionH>
            <wp:positionV relativeFrom="page">
              <wp:posOffset>4310380</wp:posOffset>
            </wp:positionV>
            <wp:extent cx="2305050" cy="14732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381"/>
                    <a:stretch>
                      <a:fillRect/>
                    </a:stretch>
                  </pic:blipFill>
                  <pic:spPr>
                    <a:xfrm>
                      <a:off x="0" y="0"/>
                      <a:ext cx="2305049" cy="147637"/>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4814570</wp:posOffset>
            </wp:positionH>
            <wp:positionV relativeFrom="page">
              <wp:posOffset>3675380</wp:posOffset>
            </wp:positionV>
            <wp:extent cx="76200" cy="2159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82"/>
                    <a:stretch>
                      <a:fillRect/>
                    </a:stretch>
                  </pic:blipFill>
                  <pic:spPr>
                    <a:xfrm>
                      <a:off x="0" y="0"/>
                      <a:ext cx="76200" cy="215912"/>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2519045</wp:posOffset>
            </wp:positionH>
            <wp:positionV relativeFrom="page">
              <wp:posOffset>3665855</wp:posOffset>
            </wp:positionV>
            <wp:extent cx="76200" cy="21590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82"/>
                    <a:stretch>
                      <a:fillRect/>
                    </a:stretch>
                  </pic:blipFill>
                  <pic:spPr>
                    <a:xfrm>
                      <a:off x="0" y="0"/>
                      <a:ext cx="76200" cy="215913"/>
                    </a:xfrm>
                    <a:prstGeom prst="rect">
                      <a:avLst/>
                    </a:prstGeom>
                  </pic:spPr>
                </pic:pic>
              </a:graphicData>
            </a:graphic>
          </wp:anchor>
        </w:drawing>
      </w:r>
    </w:p>
    <w:tbl>
      <w:tblPr>
        <w:tblStyle w:val="4"/>
        <w:tblW w:w="4350" w:type="dxa"/>
        <w:tblInd w:w="187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350"/>
      </w:tblGrid>
      <w:tr w14:paraId="20A48F5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8" w:hRule="atLeast"/>
        </w:trPr>
        <w:tc>
          <w:tcPr>
            <w:tcW w:w="4350" w:type="dxa"/>
            <w:vAlign w:val="top"/>
          </w:tcPr>
          <w:p w14:paraId="5C01C572">
            <w:pPr>
              <w:spacing w:before="123" w:line="226" w:lineRule="auto"/>
              <w:ind w:left="286"/>
              <w:rPr>
                <w:rFonts w:ascii="宋体" w:hAnsi="宋体" w:eastAsia="宋体" w:cs="宋体"/>
                <w:sz w:val="20"/>
                <w:szCs w:val="20"/>
              </w:rPr>
            </w:pPr>
            <w:r>
              <w:rPr>
                <w:rFonts w:ascii="宋体" w:hAnsi="宋体" w:eastAsia="宋体" w:cs="宋体"/>
                <w:spacing w:val="14"/>
                <w:sz w:val="20"/>
                <w:szCs w:val="20"/>
              </w:rPr>
              <w:t>依</w:t>
            </w:r>
            <w:r>
              <w:rPr>
                <w:rFonts w:ascii="宋体" w:hAnsi="宋体" w:eastAsia="宋体" w:cs="宋体"/>
                <w:spacing w:val="9"/>
                <w:sz w:val="20"/>
                <w:szCs w:val="20"/>
              </w:rPr>
              <w:t>据相关规定确定环境影响评价文件类型</w:t>
            </w:r>
          </w:p>
        </w:tc>
      </w:tr>
    </w:tbl>
    <w:p w14:paraId="518BFDAB">
      <w:pPr>
        <w:spacing w:line="327" w:lineRule="exact"/>
        <w:ind w:firstLine="3986"/>
        <w:textAlignment w:val="center"/>
      </w:pPr>
      <w:r>
        <w:drawing>
          <wp:inline distT="0" distB="0" distL="0" distR="0">
            <wp:extent cx="76200" cy="2076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83"/>
                    <a:stretch>
                      <a:fillRect/>
                    </a:stretch>
                  </pic:blipFill>
                  <pic:spPr>
                    <a:xfrm>
                      <a:off x="0" y="0"/>
                      <a:ext cx="76200" cy="207969"/>
                    </a:xfrm>
                    <a:prstGeom prst="rect">
                      <a:avLst/>
                    </a:prstGeom>
                  </pic:spPr>
                </pic:pic>
              </a:graphicData>
            </a:graphic>
          </wp:inline>
        </w:drawing>
      </w:r>
    </w:p>
    <w:tbl>
      <w:tblPr>
        <w:tblStyle w:val="4"/>
        <w:tblW w:w="4345" w:type="dxa"/>
        <w:tblInd w:w="187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345"/>
      </w:tblGrid>
      <w:tr w14:paraId="662BFED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42" w:hRule="atLeast"/>
        </w:trPr>
        <w:tc>
          <w:tcPr>
            <w:tcW w:w="4345" w:type="dxa"/>
            <w:vAlign w:val="top"/>
          </w:tcPr>
          <w:p w14:paraId="52725A10">
            <w:pPr>
              <w:spacing w:before="113" w:line="227" w:lineRule="auto"/>
              <w:ind w:left="480"/>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10"/>
                <w:sz w:val="20"/>
                <w:szCs w:val="20"/>
              </w:rPr>
              <w:t>.</w:t>
            </w:r>
            <w:r>
              <w:rPr>
                <w:rFonts w:ascii="宋体" w:hAnsi="宋体" w:eastAsia="宋体" w:cs="宋体"/>
                <w:spacing w:val="7"/>
                <w:sz w:val="20"/>
                <w:szCs w:val="20"/>
              </w:rPr>
              <w:t>研究相关技术文件 和其他有关文件</w:t>
            </w:r>
          </w:p>
          <w:p w14:paraId="29F2A341">
            <w:pPr>
              <w:spacing w:before="65" w:line="228" w:lineRule="auto"/>
              <w:ind w:left="1247"/>
              <w:rPr>
                <w:rFonts w:ascii="宋体" w:hAnsi="宋体" w:eastAsia="宋体" w:cs="宋体"/>
                <w:sz w:val="20"/>
                <w:szCs w:val="20"/>
              </w:rPr>
            </w:pPr>
            <w:r>
              <w:rPr>
                <w:rFonts w:ascii="Times New Roman" w:hAnsi="Times New Roman" w:eastAsia="Times New Roman" w:cs="Times New Roman"/>
                <w:spacing w:val="8"/>
                <w:sz w:val="20"/>
                <w:szCs w:val="20"/>
              </w:rPr>
              <w:t>2.</w:t>
            </w:r>
            <w:r>
              <w:rPr>
                <w:rFonts w:ascii="宋体" w:hAnsi="宋体" w:eastAsia="宋体" w:cs="宋体"/>
                <w:spacing w:val="8"/>
                <w:sz w:val="20"/>
                <w:szCs w:val="20"/>
              </w:rPr>
              <w:t>进行初步工程分</w:t>
            </w:r>
            <w:r>
              <w:rPr>
                <w:rFonts w:ascii="宋体" w:hAnsi="宋体" w:eastAsia="宋体" w:cs="宋体"/>
                <w:spacing w:val="7"/>
                <w:sz w:val="20"/>
                <w:szCs w:val="20"/>
              </w:rPr>
              <w:t>析</w:t>
            </w:r>
          </w:p>
          <w:p w14:paraId="1E7C4AC9">
            <w:pPr>
              <w:spacing w:before="64" w:line="228" w:lineRule="auto"/>
              <w:ind w:left="937"/>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8"/>
                <w:sz w:val="20"/>
                <w:szCs w:val="20"/>
              </w:rPr>
              <w:t>.</w:t>
            </w:r>
            <w:r>
              <w:rPr>
                <w:rFonts w:ascii="宋体" w:hAnsi="宋体" w:eastAsia="宋体" w:cs="宋体"/>
                <w:spacing w:val="8"/>
                <w:sz w:val="20"/>
                <w:szCs w:val="20"/>
              </w:rPr>
              <w:t>开展初步的环境现状调查</w:t>
            </w:r>
          </w:p>
        </w:tc>
      </w:tr>
    </w:tbl>
    <w:p w14:paraId="08D9D797">
      <w:pPr>
        <w:spacing w:line="327" w:lineRule="exact"/>
        <w:ind w:firstLine="3986"/>
        <w:textAlignment w:val="center"/>
      </w:pPr>
      <w:r>
        <w:drawing>
          <wp:inline distT="0" distB="0" distL="0" distR="0">
            <wp:extent cx="76200" cy="20764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383"/>
                    <a:stretch>
                      <a:fillRect/>
                    </a:stretch>
                  </pic:blipFill>
                  <pic:spPr>
                    <a:xfrm>
                      <a:off x="0" y="0"/>
                      <a:ext cx="76200" cy="207969"/>
                    </a:xfrm>
                    <a:prstGeom prst="rect">
                      <a:avLst/>
                    </a:prstGeom>
                  </pic:spPr>
                </pic:pic>
              </a:graphicData>
            </a:graphic>
          </wp:inline>
        </w:drawing>
      </w:r>
    </w:p>
    <w:tbl>
      <w:tblPr>
        <w:tblStyle w:val="4"/>
        <w:tblW w:w="4345" w:type="dxa"/>
        <w:tblInd w:w="187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345"/>
      </w:tblGrid>
      <w:tr w14:paraId="4939853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48" w:hRule="atLeast"/>
        </w:trPr>
        <w:tc>
          <w:tcPr>
            <w:tcW w:w="4345" w:type="dxa"/>
            <w:vAlign w:val="top"/>
          </w:tcPr>
          <w:p w14:paraId="41CA5080">
            <w:pPr>
              <w:spacing w:before="112" w:line="226" w:lineRule="auto"/>
              <w:ind w:left="742"/>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7"/>
                <w:sz w:val="20"/>
                <w:szCs w:val="20"/>
              </w:rPr>
              <w:t>.</w:t>
            </w:r>
            <w:r>
              <w:rPr>
                <w:rFonts w:ascii="宋体" w:hAnsi="宋体" w:eastAsia="宋体" w:cs="宋体"/>
                <w:spacing w:val="7"/>
                <w:sz w:val="20"/>
                <w:szCs w:val="20"/>
              </w:rPr>
              <w:t>环境影响识别和评价因子筛选</w:t>
            </w:r>
          </w:p>
          <w:p w14:paraId="40E8B062">
            <w:pPr>
              <w:spacing w:before="67" w:line="226" w:lineRule="auto"/>
              <w:ind w:left="722"/>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明确评价重点和环境保护目标</w:t>
            </w:r>
          </w:p>
          <w:p w14:paraId="14A8207B">
            <w:pPr>
              <w:spacing w:before="66" w:line="228" w:lineRule="auto"/>
              <w:ind w:left="411"/>
              <w:rPr>
                <w:rFonts w:ascii="宋体" w:hAnsi="宋体" w:eastAsia="宋体" w:cs="宋体"/>
                <w:sz w:val="20"/>
                <w:szCs w:val="20"/>
              </w:rPr>
            </w:pPr>
            <w:r>
              <w:rPr>
                <w:rFonts w:ascii="Times New Roman" w:hAnsi="Times New Roman" w:eastAsia="Times New Roman" w:cs="Times New Roman"/>
                <w:spacing w:val="16"/>
                <w:sz w:val="20"/>
                <w:szCs w:val="20"/>
              </w:rPr>
              <w:t>3</w:t>
            </w:r>
            <w:r>
              <w:rPr>
                <w:rFonts w:ascii="Times New Roman" w:hAnsi="Times New Roman" w:eastAsia="Times New Roman" w:cs="Times New Roman"/>
                <w:spacing w:val="11"/>
                <w:sz w:val="20"/>
                <w:szCs w:val="20"/>
              </w:rPr>
              <w:t>.</w:t>
            </w:r>
            <w:r>
              <w:rPr>
                <w:rFonts w:ascii="宋体" w:hAnsi="宋体" w:eastAsia="宋体" w:cs="宋体"/>
                <w:spacing w:val="8"/>
                <w:sz w:val="20"/>
                <w:szCs w:val="20"/>
              </w:rPr>
              <w:t>确定工作等级、评价范围和评价标准</w:t>
            </w:r>
          </w:p>
        </w:tc>
      </w:tr>
    </w:tbl>
    <w:p w14:paraId="2C6D990A">
      <w:pPr>
        <w:spacing w:before="17" w:line="334" w:lineRule="exact"/>
        <w:ind w:firstLine="3986"/>
        <w:textAlignment w:val="center"/>
      </w:pPr>
      <w:r>
        <w:drawing>
          <wp:inline distT="0" distB="0" distL="0" distR="0">
            <wp:extent cx="76200" cy="2114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83"/>
                    <a:stretch>
                      <a:fillRect/>
                    </a:stretch>
                  </pic:blipFill>
                  <pic:spPr>
                    <a:xfrm>
                      <a:off x="0" y="0"/>
                      <a:ext cx="76200" cy="211944"/>
                    </a:xfrm>
                    <a:prstGeom prst="rect">
                      <a:avLst/>
                    </a:prstGeom>
                  </pic:spPr>
                </pic:pic>
              </a:graphicData>
            </a:graphic>
          </wp:inline>
        </w:drawing>
      </w:r>
    </w:p>
    <w:tbl>
      <w:tblPr>
        <w:tblStyle w:val="4"/>
        <w:tblW w:w="4340" w:type="dxa"/>
        <w:tblInd w:w="1876"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340"/>
      </w:tblGrid>
      <w:tr w14:paraId="2D1C32A1">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438" w:hRule="atLeast"/>
        </w:trPr>
        <w:tc>
          <w:tcPr>
            <w:tcW w:w="4340" w:type="dxa"/>
            <w:vAlign w:val="top"/>
          </w:tcPr>
          <w:p w14:paraId="7C56D300">
            <w:pPr>
              <w:spacing w:before="107" w:line="228" w:lineRule="auto"/>
              <w:ind w:left="1535"/>
              <w:rPr>
                <w:rFonts w:ascii="宋体" w:hAnsi="宋体" w:eastAsia="宋体" w:cs="宋体"/>
                <w:sz w:val="20"/>
                <w:szCs w:val="20"/>
              </w:rPr>
            </w:pPr>
            <w:r>
              <w:rPr>
                <w:rFonts w:ascii="宋体" w:hAnsi="宋体" w:eastAsia="宋体" w:cs="宋体"/>
                <w:spacing w:val="8"/>
                <w:sz w:val="20"/>
                <w:szCs w:val="20"/>
              </w:rPr>
              <w:t>制定工作方案</w:t>
            </w:r>
          </w:p>
        </w:tc>
      </w:tr>
    </w:tbl>
    <w:p w14:paraId="421A09DD">
      <w:pPr>
        <w:spacing w:before="2" w:line="340" w:lineRule="exact"/>
        <w:ind w:firstLine="3986"/>
        <w:textAlignment w:val="center"/>
      </w:pPr>
      <w:r>
        <w:drawing>
          <wp:inline distT="0" distB="0" distL="0" distR="0">
            <wp:extent cx="76200" cy="21590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383"/>
                    <a:stretch>
                      <a:fillRect/>
                    </a:stretch>
                  </pic:blipFill>
                  <pic:spPr>
                    <a:xfrm>
                      <a:off x="0" y="0"/>
                      <a:ext cx="76200" cy="215913"/>
                    </a:xfrm>
                    <a:prstGeom prst="rect">
                      <a:avLst/>
                    </a:prstGeom>
                  </pic:spPr>
                </pic:pic>
              </a:graphicData>
            </a:graphic>
          </wp:inline>
        </w:drawing>
      </w:r>
    </w:p>
    <w:p w14:paraId="582FC2A9"/>
    <w:p w14:paraId="5176C875">
      <w:pPr>
        <w:spacing w:line="91" w:lineRule="exact"/>
      </w:pPr>
    </w:p>
    <w:tbl>
      <w:tblPr>
        <w:tblStyle w:val="4"/>
        <w:tblW w:w="1693" w:type="dxa"/>
        <w:tblInd w:w="5011"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693"/>
      </w:tblGrid>
      <w:tr w14:paraId="42AF01D2">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17" w:hRule="atLeast"/>
        </w:trPr>
        <w:tc>
          <w:tcPr>
            <w:tcW w:w="1693" w:type="dxa"/>
            <w:vAlign w:val="top"/>
          </w:tcPr>
          <w:p w14:paraId="1D658EC1">
            <w:pPr>
              <w:spacing w:before="114" w:line="312" w:lineRule="exact"/>
              <w:ind w:left="422"/>
              <w:rPr>
                <w:rFonts w:ascii="宋体" w:hAnsi="宋体" w:eastAsia="宋体" w:cs="宋体"/>
                <w:sz w:val="20"/>
                <w:szCs w:val="20"/>
              </w:rPr>
            </w:pPr>
            <w:r>
              <w:rPr>
                <w:rFonts w:ascii="宋体" w:hAnsi="宋体" w:eastAsia="宋体" w:cs="宋体"/>
                <w:spacing w:val="9"/>
                <w:position w:val="7"/>
                <w:sz w:val="20"/>
                <w:szCs w:val="20"/>
              </w:rPr>
              <w:t>建</w:t>
            </w:r>
            <w:r>
              <w:rPr>
                <w:rFonts w:ascii="宋体" w:hAnsi="宋体" w:eastAsia="宋体" w:cs="宋体"/>
                <w:spacing w:val="6"/>
                <w:position w:val="7"/>
                <w:sz w:val="20"/>
                <w:szCs w:val="20"/>
              </w:rPr>
              <w:t>设项目</w:t>
            </w:r>
          </w:p>
          <w:p w14:paraId="18FFC3BD">
            <w:pPr>
              <w:spacing w:line="228" w:lineRule="auto"/>
              <w:ind w:left="422"/>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程分析</w:t>
            </w:r>
          </w:p>
        </w:tc>
      </w:tr>
    </w:tbl>
    <w:p w14:paraId="59F724C3">
      <w:pPr>
        <w:spacing w:line="304" w:lineRule="auto"/>
        <w:rPr>
          <w:rFonts w:ascii="Arial"/>
          <w:sz w:val="21"/>
        </w:rPr>
      </w:pPr>
    </w:p>
    <w:p w14:paraId="780DEA4D">
      <w:pPr>
        <w:spacing w:line="305" w:lineRule="auto"/>
        <w:rPr>
          <w:rFonts w:ascii="Arial"/>
          <w:sz w:val="21"/>
        </w:rPr>
      </w:pPr>
    </w:p>
    <w:p w14:paraId="4C373F8E">
      <w:pPr>
        <w:spacing w:before="65" w:line="312" w:lineRule="exact"/>
        <w:ind w:left="2522"/>
        <w:rPr>
          <w:rFonts w:ascii="宋体" w:hAnsi="宋体" w:eastAsia="宋体" w:cs="宋体"/>
          <w:sz w:val="20"/>
          <w:szCs w:val="20"/>
        </w:rPr>
      </w:pPr>
      <w:r>
        <w:drawing>
          <wp:anchor distT="0" distB="0" distL="0" distR="0" simplePos="0" relativeHeight="251665408" behindDoc="1" locked="0" layoutInCell="1" allowOverlap="1">
            <wp:simplePos x="0" y="0"/>
            <wp:positionH relativeFrom="column">
              <wp:posOffset>1183005</wp:posOffset>
            </wp:positionH>
            <wp:positionV relativeFrom="paragraph">
              <wp:posOffset>-255270</wp:posOffset>
            </wp:positionV>
            <wp:extent cx="2771775" cy="69659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84"/>
                    <a:stretch>
                      <a:fillRect/>
                    </a:stretch>
                  </pic:blipFill>
                  <pic:spPr>
                    <a:xfrm>
                      <a:off x="0" y="0"/>
                      <a:ext cx="2771775" cy="696290"/>
                    </a:xfrm>
                    <a:prstGeom prst="rect">
                      <a:avLst/>
                    </a:prstGeom>
                  </pic:spPr>
                </pic:pic>
              </a:graphicData>
            </a:graphic>
          </wp:anchor>
        </w:drawing>
      </w:r>
      <w:r>
        <w:rPr>
          <w:rFonts w:ascii="Times New Roman" w:hAnsi="Times New Roman" w:eastAsia="Times New Roman" w:cs="Times New Roman"/>
          <w:spacing w:val="14"/>
          <w:position w:val="7"/>
          <w:sz w:val="20"/>
          <w:szCs w:val="20"/>
        </w:rPr>
        <w:t>1</w:t>
      </w:r>
      <w:r>
        <w:rPr>
          <w:rFonts w:ascii="Times New Roman" w:hAnsi="Times New Roman" w:eastAsia="Times New Roman" w:cs="Times New Roman"/>
          <w:spacing w:val="7"/>
          <w:position w:val="7"/>
          <w:sz w:val="20"/>
          <w:szCs w:val="20"/>
        </w:rPr>
        <w:t>.</w:t>
      </w:r>
      <w:r>
        <w:rPr>
          <w:rFonts w:ascii="宋体" w:hAnsi="宋体" w:eastAsia="宋体" w:cs="宋体"/>
          <w:spacing w:val="7"/>
          <w:position w:val="7"/>
          <w:sz w:val="20"/>
          <w:szCs w:val="20"/>
        </w:rPr>
        <w:t>各环境要素环境影响预测与评价</w:t>
      </w:r>
    </w:p>
    <w:p w14:paraId="29877568">
      <w:pPr>
        <w:spacing w:line="226" w:lineRule="auto"/>
        <w:ind w:left="2711"/>
        <w:rPr>
          <w:rFonts w:ascii="宋体" w:hAnsi="宋体" w:eastAsia="宋体" w:cs="宋体"/>
          <w:sz w:val="20"/>
          <w:szCs w:val="20"/>
        </w:rPr>
      </w:pPr>
      <w:r>
        <w:rPr>
          <w:rFonts w:ascii="Times New Roman" w:hAnsi="Times New Roman" w:eastAsia="Times New Roman" w:cs="Times New Roman"/>
          <w:spacing w:val="15"/>
          <w:sz w:val="20"/>
          <w:szCs w:val="20"/>
        </w:rPr>
        <w:t>2</w:t>
      </w:r>
      <w:r>
        <w:rPr>
          <w:rFonts w:ascii="Times New Roman" w:hAnsi="Times New Roman" w:eastAsia="Times New Roman" w:cs="Times New Roman"/>
          <w:spacing w:val="8"/>
          <w:sz w:val="20"/>
          <w:szCs w:val="20"/>
        </w:rPr>
        <w:t>.</w:t>
      </w:r>
      <w:r>
        <w:rPr>
          <w:rFonts w:ascii="宋体" w:hAnsi="宋体" w:eastAsia="宋体" w:cs="宋体"/>
          <w:spacing w:val="8"/>
          <w:sz w:val="20"/>
          <w:szCs w:val="20"/>
        </w:rPr>
        <w:t>各专题环境影响分析与评价</w:t>
      </w:r>
    </w:p>
    <w:p w14:paraId="457D5B36">
      <w:pPr>
        <w:spacing w:before="86" w:line="340" w:lineRule="exact"/>
        <w:ind w:firstLine="3986"/>
        <w:textAlignment w:val="center"/>
      </w:pPr>
      <w:r>
        <w:drawing>
          <wp:inline distT="0" distB="0" distL="0" distR="0">
            <wp:extent cx="76200" cy="21590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383"/>
                    <a:stretch>
                      <a:fillRect/>
                    </a:stretch>
                  </pic:blipFill>
                  <pic:spPr>
                    <a:xfrm>
                      <a:off x="0" y="0"/>
                      <a:ext cx="76200" cy="215912"/>
                    </a:xfrm>
                    <a:prstGeom prst="rect">
                      <a:avLst/>
                    </a:prstGeom>
                  </pic:spPr>
                </pic:pic>
              </a:graphicData>
            </a:graphic>
          </wp:inline>
        </w:drawing>
      </w:r>
    </w:p>
    <w:p w14:paraId="5EEBC34D">
      <w:pPr>
        <w:spacing w:line="30" w:lineRule="auto"/>
        <w:rPr>
          <w:rFonts w:ascii="Arial"/>
          <w:sz w:val="2"/>
        </w:rPr>
      </w:pPr>
    </w:p>
    <w:tbl>
      <w:tblPr>
        <w:tblStyle w:val="4"/>
        <w:tblW w:w="4345" w:type="dxa"/>
        <w:tblInd w:w="187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345"/>
      </w:tblGrid>
      <w:tr w14:paraId="544696A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55" w:hRule="atLeast"/>
        </w:trPr>
        <w:tc>
          <w:tcPr>
            <w:tcW w:w="4345" w:type="dxa"/>
            <w:vAlign w:val="top"/>
          </w:tcPr>
          <w:p w14:paraId="5770BF3E">
            <w:pPr>
              <w:spacing w:before="118" w:line="228" w:lineRule="auto"/>
              <w:ind w:left="322"/>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提出环境保护措施，进行技术经济论证</w:t>
            </w:r>
          </w:p>
          <w:p w14:paraId="63CAC293">
            <w:pPr>
              <w:spacing w:before="64" w:line="228" w:lineRule="auto"/>
              <w:ind w:left="1142"/>
              <w:rPr>
                <w:rFonts w:ascii="宋体" w:hAnsi="宋体" w:eastAsia="宋体" w:cs="宋体"/>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spacing w:val="8"/>
                <w:sz w:val="20"/>
                <w:szCs w:val="20"/>
              </w:rPr>
              <w:t>.</w:t>
            </w:r>
            <w:r>
              <w:rPr>
                <w:rFonts w:ascii="宋体" w:hAnsi="宋体" w:eastAsia="宋体" w:cs="宋体"/>
                <w:spacing w:val="8"/>
                <w:sz w:val="20"/>
                <w:szCs w:val="20"/>
              </w:rPr>
              <w:t>给出污染物排放清单</w:t>
            </w:r>
          </w:p>
          <w:p w14:paraId="6B82602D">
            <w:pPr>
              <w:spacing w:before="64" w:line="226" w:lineRule="auto"/>
              <w:ind w:left="623"/>
              <w:rPr>
                <w:rFonts w:ascii="宋体" w:hAnsi="宋体" w:eastAsia="宋体" w:cs="宋体"/>
                <w:sz w:val="20"/>
                <w:szCs w:val="20"/>
              </w:rPr>
            </w:pPr>
            <w:r>
              <w:rPr>
                <w:rFonts w:ascii="Times New Roman" w:hAnsi="Times New Roman" w:eastAsia="Times New Roman" w:cs="Times New Roman"/>
                <w:spacing w:val="15"/>
                <w:sz w:val="20"/>
                <w:szCs w:val="20"/>
              </w:rPr>
              <w:t>3</w:t>
            </w:r>
            <w:r>
              <w:rPr>
                <w:rFonts w:ascii="Times New Roman" w:hAnsi="Times New Roman" w:eastAsia="Times New Roman" w:cs="Times New Roman"/>
                <w:spacing w:val="8"/>
                <w:sz w:val="20"/>
                <w:szCs w:val="20"/>
              </w:rPr>
              <w:t>.</w:t>
            </w:r>
            <w:r>
              <w:rPr>
                <w:rFonts w:ascii="宋体" w:hAnsi="宋体" w:eastAsia="宋体" w:cs="宋体"/>
                <w:spacing w:val="8"/>
                <w:sz w:val="20"/>
                <w:szCs w:val="20"/>
              </w:rPr>
              <w:t>给出建设项目环境影响评价结论</w:t>
            </w:r>
          </w:p>
        </w:tc>
      </w:tr>
    </w:tbl>
    <w:p w14:paraId="730FD5E3">
      <w:pPr>
        <w:spacing w:before="2" w:line="340" w:lineRule="exact"/>
        <w:ind w:firstLine="3986"/>
        <w:textAlignment w:val="center"/>
      </w:pPr>
      <w:r>
        <w:drawing>
          <wp:inline distT="0" distB="0" distL="0" distR="0">
            <wp:extent cx="76200" cy="2159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83"/>
                    <a:stretch>
                      <a:fillRect/>
                    </a:stretch>
                  </pic:blipFill>
                  <pic:spPr>
                    <a:xfrm>
                      <a:off x="0" y="0"/>
                      <a:ext cx="76200" cy="215912"/>
                    </a:xfrm>
                    <a:prstGeom prst="rect">
                      <a:avLst/>
                    </a:prstGeom>
                  </pic:spPr>
                </pic:pic>
              </a:graphicData>
            </a:graphic>
          </wp:inline>
        </w:drawing>
      </w:r>
    </w:p>
    <w:p w14:paraId="43B23EED">
      <w:pPr>
        <w:spacing w:line="31" w:lineRule="auto"/>
        <w:rPr>
          <w:rFonts w:ascii="Arial"/>
          <w:sz w:val="2"/>
        </w:rPr>
      </w:pPr>
    </w:p>
    <w:tbl>
      <w:tblPr>
        <w:tblStyle w:val="4"/>
        <w:tblW w:w="4340" w:type="dxa"/>
        <w:tblInd w:w="1876"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340"/>
      </w:tblGrid>
      <w:tr w14:paraId="4BBB770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45" w:hRule="atLeast"/>
        </w:trPr>
        <w:tc>
          <w:tcPr>
            <w:tcW w:w="4340" w:type="dxa"/>
            <w:vAlign w:val="top"/>
          </w:tcPr>
          <w:p w14:paraId="4F3DC5A6">
            <w:pPr>
              <w:spacing w:before="113" w:line="226" w:lineRule="auto"/>
              <w:ind w:left="1221"/>
              <w:rPr>
                <w:rFonts w:ascii="宋体" w:hAnsi="宋体" w:eastAsia="宋体" w:cs="宋体"/>
                <w:sz w:val="20"/>
                <w:szCs w:val="20"/>
              </w:rPr>
            </w:pPr>
            <w:r>
              <w:rPr>
                <w:rFonts w:ascii="宋体" w:hAnsi="宋体" w:eastAsia="宋体" w:cs="宋体"/>
                <w:spacing w:val="15"/>
                <w:sz w:val="20"/>
                <w:szCs w:val="20"/>
              </w:rPr>
              <w:t>编</w:t>
            </w:r>
            <w:r>
              <w:rPr>
                <w:rFonts w:ascii="宋体" w:hAnsi="宋体" w:eastAsia="宋体" w:cs="宋体"/>
                <w:spacing w:val="8"/>
                <w:sz w:val="20"/>
                <w:szCs w:val="20"/>
              </w:rPr>
              <w:t>制环境影响报告书</w:t>
            </w:r>
          </w:p>
        </w:tc>
      </w:tr>
    </w:tbl>
    <w:p w14:paraId="4AD9C024">
      <w:pPr>
        <w:spacing w:before="185" w:line="226" w:lineRule="auto"/>
        <w:ind w:left="1849"/>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图</w:t>
      </w:r>
      <w:r>
        <w:rPr>
          <w:rFonts w:ascii="宋体" w:hAnsi="宋体" w:eastAsia="宋体" w:cs="宋体"/>
          <w:spacing w:val="7"/>
          <w:sz w:val="23"/>
          <w:szCs w:val="23"/>
        </w:rPr>
        <w:t xml:space="preserve"> </w:t>
      </w:r>
      <w:r>
        <w:rPr>
          <w:rFonts w:ascii="Times New Roman" w:hAnsi="Times New Roman" w:eastAsia="Times New Roman" w:cs="Times New Roman"/>
          <w:b/>
          <w:bCs/>
          <w:spacing w:val="4"/>
          <w:sz w:val="23"/>
          <w:szCs w:val="23"/>
        </w:rPr>
        <w:t>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建设项目环境影响评价工作程序图</w:t>
      </w:r>
    </w:p>
    <w:p w14:paraId="2D13B284">
      <w:pPr>
        <w:spacing w:before="268" w:line="225" w:lineRule="auto"/>
        <w:ind w:left="35"/>
        <w:outlineLvl w:val="1"/>
        <w:rPr>
          <w:rFonts w:ascii="宋体" w:hAnsi="宋体" w:eastAsia="宋体" w:cs="宋体"/>
          <w:sz w:val="31"/>
          <w:szCs w:val="31"/>
        </w:rPr>
      </w:pPr>
      <w:bookmarkStart w:id="3" w:name="_bookmark4"/>
      <w:bookmarkEnd w:id="3"/>
      <w:r>
        <w:rPr>
          <w:rFonts w:ascii="Times New Roman" w:hAnsi="Times New Roman" w:eastAsia="Times New Roman" w:cs="Times New Roman"/>
          <w:b/>
          <w:bCs/>
          <w:spacing w:val="10"/>
          <w:sz w:val="31"/>
          <w:szCs w:val="31"/>
        </w:rPr>
        <w:t>1</w:t>
      </w:r>
      <w:r>
        <w:rPr>
          <w:rFonts w:ascii="Times New Roman" w:hAnsi="Times New Roman" w:eastAsia="Times New Roman" w:cs="Times New Roman"/>
          <w:b/>
          <w:bCs/>
          <w:spacing w:val="5"/>
          <w:sz w:val="31"/>
          <w:szCs w:val="31"/>
        </w:rPr>
        <w:t>.3</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主要环境问题</w:t>
      </w:r>
    </w:p>
    <w:p w14:paraId="18E353BA">
      <w:pPr>
        <w:spacing w:line="245" w:lineRule="auto"/>
        <w:rPr>
          <w:rFonts w:ascii="Arial"/>
          <w:sz w:val="21"/>
        </w:rPr>
      </w:pPr>
    </w:p>
    <w:p w14:paraId="57ACFBDD">
      <w:pPr>
        <w:spacing w:before="75" w:line="386" w:lineRule="auto"/>
        <w:ind w:left="22" w:firstLine="484"/>
        <w:rPr>
          <w:rFonts w:ascii="宋体" w:hAnsi="宋体" w:eastAsia="宋体" w:cs="宋体"/>
          <w:sz w:val="23"/>
          <w:szCs w:val="23"/>
        </w:rPr>
      </w:pPr>
      <w:r>
        <w:rPr>
          <w:rFonts w:ascii="宋体" w:hAnsi="宋体" w:eastAsia="宋体" w:cs="宋体"/>
          <w:spacing w:val="2"/>
          <w:sz w:val="23"/>
          <w:szCs w:val="23"/>
        </w:rPr>
        <w:t>项目施工期主要产生施工扬尘、施工噪声、施</w:t>
      </w:r>
      <w:r>
        <w:rPr>
          <w:rFonts w:ascii="宋体" w:hAnsi="宋体" w:eastAsia="宋体" w:cs="宋体"/>
          <w:spacing w:val="1"/>
          <w:sz w:val="23"/>
          <w:szCs w:val="23"/>
        </w:rPr>
        <w:t>工尾气、施工废水等污染因素，</w:t>
      </w:r>
      <w:r>
        <w:rPr>
          <w:rFonts w:ascii="宋体" w:hAnsi="宋体" w:eastAsia="宋体" w:cs="宋体"/>
          <w:sz w:val="23"/>
          <w:szCs w:val="23"/>
        </w:rPr>
        <w:t xml:space="preserve"> </w:t>
      </w:r>
      <w:r>
        <w:rPr>
          <w:rFonts w:ascii="宋体" w:hAnsi="宋体" w:eastAsia="宋体" w:cs="宋体"/>
          <w:spacing w:val="9"/>
          <w:sz w:val="23"/>
          <w:szCs w:val="23"/>
        </w:rPr>
        <w:t>施</w:t>
      </w:r>
      <w:r>
        <w:rPr>
          <w:rFonts w:ascii="宋体" w:hAnsi="宋体" w:eastAsia="宋体" w:cs="宋体"/>
          <w:spacing w:val="7"/>
          <w:sz w:val="23"/>
          <w:szCs w:val="23"/>
        </w:rPr>
        <w:t>工车辆和施工机械等将不可避免的对区域水环境、大气环境、声环境、社会环</w:t>
      </w:r>
      <w:r>
        <w:rPr>
          <w:rFonts w:ascii="宋体" w:hAnsi="宋体" w:eastAsia="宋体" w:cs="宋体"/>
          <w:sz w:val="23"/>
          <w:szCs w:val="23"/>
        </w:rPr>
        <w:t xml:space="preserve"> </w:t>
      </w:r>
      <w:r>
        <w:rPr>
          <w:rFonts w:ascii="宋体" w:hAnsi="宋体" w:eastAsia="宋体" w:cs="宋体"/>
          <w:spacing w:val="9"/>
          <w:sz w:val="23"/>
          <w:szCs w:val="23"/>
        </w:rPr>
        <w:t>境</w:t>
      </w:r>
      <w:r>
        <w:rPr>
          <w:rFonts w:ascii="宋体" w:hAnsi="宋体" w:eastAsia="宋体" w:cs="宋体"/>
          <w:spacing w:val="7"/>
          <w:sz w:val="23"/>
          <w:szCs w:val="23"/>
        </w:rPr>
        <w:t>产生影响，在施工单位严格落实了相关规定和相应环保措施后，施工环境影响</w:t>
      </w:r>
      <w:r>
        <w:rPr>
          <w:rFonts w:ascii="宋体" w:hAnsi="宋体" w:eastAsia="宋体" w:cs="宋体"/>
          <w:sz w:val="23"/>
          <w:szCs w:val="23"/>
        </w:rPr>
        <w:t xml:space="preserve"> </w:t>
      </w:r>
      <w:r>
        <w:rPr>
          <w:rFonts w:ascii="宋体" w:hAnsi="宋体" w:eastAsia="宋体" w:cs="宋体"/>
          <w:spacing w:val="7"/>
          <w:sz w:val="23"/>
          <w:szCs w:val="23"/>
        </w:rPr>
        <w:t>总</w:t>
      </w:r>
      <w:r>
        <w:rPr>
          <w:rFonts w:ascii="宋体" w:hAnsi="宋体" w:eastAsia="宋体" w:cs="宋体"/>
          <w:spacing w:val="6"/>
          <w:sz w:val="23"/>
          <w:szCs w:val="23"/>
        </w:rPr>
        <w:t>体可控。</w:t>
      </w:r>
    </w:p>
    <w:p w14:paraId="2D32E264">
      <w:pPr>
        <w:spacing w:before="134" w:line="227" w:lineRule="auto"/>
        <w:ind w:left="507"/>
        <w:rPr>
          <w:rFonts w:ascii="宋体" w:hAnsi="宋体" w:eastAsia="宋体" w:cs="宋体"/>
          <w:sz w:val="23"/>
          <w:szCs w:val="23"/>
        </w:rPr>
      </w:pPr>
      <w:r>
        <w:rPr>
          <w:rFonts w:ascii="宋体" w:hAnsi="宋体" w:eastAsia="宋体" w:cs="宋体"/>
          <w:spacing w:val="17"/>
          <w:sz w:val="23"/>
          <w:szCs w:val="23"/>
        </w:rPr>
        <w:t>该</w:t>
      </w:r>
      <w:r>
        <w:rPr>
          <w:rFonts w:ascii="宋体" w:hAnsi="宋体" w:eastAsia="宋体" w:cs="宋体"/>
          <w:spacing w:val="9"/>
          <w:sz w:val="23"/>
          <w:szCs w:val="23"/>
        </w:rPr>
        <w:t>项目营运期对周围环境会产生一定的影响，主要表现为以下几个方面：</w:t>
      </w:r>
    </w:p>
    <w:p w14:paraId="536C1AA2">
      <w:pPr>
        <w:spacing w:line="275" w:lineRule="auto"/>
        <w:rPr>
          <w:rFonts w:ascii="Arial"/>
          <w:sz w:val="21"/>
        </w:rPr>
      </w:pPr>
    </w:p>
    <w:p w14:paraId="66312D47">
      <w:pPr>
        <w:spacing w:before="76" w:line="389" w:lineRule="auto"/>
        <w:ind w:left="23" w:right="61" w:firstLine="479"/>
        <w:rPr>
          <w:rFonts w:ascii="宋体" w:hAnsi="宋体" w:eastAsia="宋体" w:cs="宋体"/>
          <w:sz w:val="23"/>
          <w:szCs w:val="23"/>
        </w:rPr>
      </w:pPr>
      <w:r>
        <w:rPr>
          <w:rFonts w:ascii="宋体" w:hAnsi="宋体" w:eastAsia="宋体" w:cs="宋体"/>
          <w:spacing w:val="7"/>
          <w:sz w:val="23"/>
          <w:szCs w:val="23"/>
        </w:rPr>
        <w:t>废气：该项目运营期大气污染物主要有洗字工序所用热风炉产生的烟气、</w:t>
      </w:r>
      <w:r>
        <w:rPr>
          <w:rFonts w:ascii="宋体" w:hAnsi="宋体" w:eastAsia="宋体" w:cs="宋体"/>
          <w:spacing w:val="3"/>
          <w:sz w:val="23"/>
          <w:szCs w:val="23"/>
        </w:rPr>
        <w:t>分</w:t>
      </w:r>
      <w:r>
        <w:rPr>
          <w:rFonts w:ascii="宋体" w:hAnsi="宋体" w:eastAsia="宋体" w:cs="宋体"/>
          <w:sz w:val="23"/>
          <w:szCs w:val="23"/>
        </w:rPr>
        <w:t xml:space="preserve"> </w:t>
      </w:r>
      <w:r>
        <w:rPr>
          <w:rFonts w:ascii="宋体" w:hAnsi="宋体" w:eastAsia="宋体" w:cs="宋体"/>
          <w:spacing w:val="9"/>
          <w:sz w:val="23"/>
          <w:szCs w:val="23"/>
        </w:rPr>
        <w:t xml:space="preserve">拣工序产生粉尘以及热熔、造粒工序产生挥发性有机物 (以非甲烷总烃计) </w:t>
      </w:r>
      <w:r>
        <w:rPr>
          <w:rFonts w:ascii="宋体" w:hAnsi="宋体" w:eastAsia="宋体" w:cs="宋体"/>
          <w:spacing w:val="7"/>
          <w:sz w:val="23"/>
          <w:szCs w:val="23"/>
        </w:rPr>
        <w:t>。</w:t>
      </w:r>
    </w:p>
    <w:p w14:paraId="06660742">
      <w:pPr>
        <w:sectPr>
          <w:headerReference r:id="rId12" w:type="default"/>
          <w:footerReference r:id="rId13" w:type="default"/>
          <w:pgSz w:w="11906" w:h="16839"/>
          <w:pgMar w:top="1132" w:right="1738" w:bottom="899" w:left="1785" w:header="878" w:footer="739" w:gutter="0"/>
          <w:cols w:space="720" w:num="1"/>
        </w:sectPr>
      </w:pPr>
    </w:p>
    <w:p w14:paraId="4F2DCB67">
      <w:pPr>
        <w:spacing w:line="402" w:lineRule="auto"/>
        <w:rPr>
          <w:rFonts w:ascii="Arial"/>
          <w:sz w:val="21"/>
        </w:rPr>
      </w:pPr>
      <w:r>
        <w:pict>
          <v:shape id="_x0000_s1033" o:spid="_x0000_s1033" style="position:absolute;left:0pt;margin-left:90pt;margin-top:57.35pt;height:0.75pt;width:415.3pt;mso-position-horizontal-relative:page;mso-position-vertical-relative:page;z-index:251671552;mso-width-relative:page;mso-height-relative:page;" fillcolor="#000000" filled="t" stroked="f" coordsize="8305,15" o:allowincell="f" path="m0,0l8305,0,8305,14,0,14,0,0xe">
            <v:path/>
            <v:fill on="t" focussize="0,0"/>
            <v:stroke on="f"/>
            <v:imagedata o:title=""/>
            <o:lock v:ext="edit"/>
          </v:shape>
        </w:pict>
      </w:r>
    </w:p>
    <w:p w14:paraId="7F20868F">
      <w:pPr>
        <w:spacing w:before="75" w:line="388" w:lineRule="auto"/>
        <w:ind w:left="51" w:right="26" w:firstLine="480"/>
        <w:rPr>
          <w:rFonts w:ascii="宋体" w:hAnsi="宋体" w:eastAsia="宋体" w:cs="宋体"/>
          <w:sz w:val="23"/>
          <w:szCs w:val="23"/>
        </w:rPr>
      </w:pPr>
      <w:r>
        <w:rPr>
          <w:rFonts w:ascii="宋体" w:hAnsi="宋体" w:eastAsia="宋体" w:cs="宋体"/>
          <w:spacing w:val="7"/>
          <w:sz w:val="23"/>
          <w:szCs w:val="23"/>
        </w:rPr>
        <w:t>废水：该项目废水主要为生活污水以及生产废水，其中生产废水主要包括</w:t>
      </w:r>
      <w:r>
        <w:rPr>
          <w:rFonts w:ascii="宋体" w:hAnsi="宋体" w:eastAsia="宋体" w:cs="宋体"/>
          <w:spacing w:val="3"/>
          <w:sz w:val="23"/>
          <w:szCs w:val="23"/>
        </w:rPr>
        <w:t>破</w:t>
      </w:r>
      <w:r>
        <w:rPr>
          <w:rFonts w:ascii="宋体" w:hAnsi="宋体" w:eastAsia="宋体" w:cs="宋体"/>
          <w:sz w:val="23"/>
          <w:szCs w:val="23"/>
        </w:rPr>
        <w:t xml:space="preserve"> </w:t>
      </w:r>
      <w:r>
        <w:rPr>
          <w:rFonts w:ascii="宋体" w:hAnsi="宋体" w:eastAsia="宋体" w:cs="宋体"/>
          <w:spacing w:val="16"/>
          <w:sz w:val="23"/>
          <w:szCs w:val="23"/>
        </w:rPr>
        <w:t>碎工</w:t>
      </w:r>
      <w:r>
        <w:rPr>
          <w:rFonts w:ascii="宋体" w:hAnsi="宋体" w:eastAsia="宋体" w:cs="宋体"/>
          <w:spacing w:val="13"/>
          <w:sz w:val="23"/>
          <w:szCs w:val="23"/>
        </w:rPr>
        <w:t>序</w:t>
      </w:r>
      <w:r>
        <w:rPr>
          <w:rFonts w:ascii="宋体" w:hAnsi="宋体" w:eastAsia="宋体" w:cs="宋体"/>
          <w:spacing w:val="8"/>
          <w:sz w:val="23"/>
          <w:szCs w:val="23"/>
        </w:rPr>
        <w:t>产生的废水，原料初洗工序、洗字工序、二次清洗工序产生的清洗废水、</w:t>
      </w:r>
      <w:r>
        <w:rPr>
          <w:rFonts w:ascii="宋体" w:hAnsi="宋体" w:eastAsia="宋体" w:cs="宋体"/>
          <w:sz w:val="23"/>
          <w:szCs w:val="23"/>
        </w:rPr>
        <w:t xml:space="preserve"> </w:t>
      </w:r>
      <w:r>
        <w:rPr>
          <w:rFonts w:ascii="宋体" w:hAnsi="宋体" w:eastAsia="宋体" w:cs="宋体"/>
          <w:spacing w:val="9"/>
          <w:sz w:val="23"/>
          <w:szCs w:val="23"/>
        </w:rPr>
        <w:t>脱水工序产生的废水以及循环冷却废水</w:t>
      </w:r>
      <w:r>
        <w:rPr>
          <w:rFonts w:ascii="宋体" w:hAnsi="宋体" w:eastAsia="宋体" w:cs="宋体"/>
          <w:spacing w:val="8"/>
          <w:sz w:val="23"/>
          <w:szCs w:val="23"/>
        </w:rPr>
        <w:t>。</w:t>
      </w:r>
    </w:p>
    <w:p w14:paraId="3FFEE0E3">
      <w:pPr>
        <w:spacing w:before="135" w:line="228" w:lineRule="auto"/>
        <w:ind w:left="543"/>
        <w:rPr>
          <w:rFonts w:ascii="宋体" w:hAnsi="宋体" w:eastAsia="宋体" w:cs="宋体"/>
          <w:sz w:val="23"/>
          <w:szCs w:val="23"/>
        </w:rPr>
      </w:pPr>
      <w:r>
        <w:rPr>
          <w:rFonts w:ascii="宋体" w:hAnsi="宋体" w:eastAsia="宋体" w:cs="宋体"/>
          <w:spacing w:val="16"/>
          <w:sz w:val="23"/>
          <w:szCs w:val="23"/>
        </w:rPr>
        <w:t>噪</w:t>
      </w:r>
      <w:r>
        <w:rPr>
          <w:rFonts w:ascii="宋体" w:hAnsi="宋体" w:eastAsia="宋体" w:cs="宋体"/>
          <w:spacing w:val="11"/>
          <w:sz w:val="23"/>
          <w:szCs w:val="23"/>
        </w:rPr>
        <w:t>声</w:t>
      </w:r>
      <w:r>
        <w:rPr>
          <w:rFonts w:ascii="宋体" w:hAnsi="宋体" w:eastAsia="宋体" w:cs="宋体"/>
          <w:spacing w:val="8"/>
          <w:sz w:val="23"/>
          <w:szCs w:val="23"/>
        </w:rPr>
        <w:t>：主要为生产过程中各种设备产生的噪声。</w:t>
      </w:r>
    </w:p>
    <w:p w14:paraId="5A7C8C24">
      <w:pPr>
        <w:spacing w:line="272" w:lineRule="auto"/>
        <w:rPr>
          <w:rFonts w:ascii="Arial"/>
          <w:sz w:val="21"/>
        </w:rPr>
      </w:pPr>
    </w:p>
    <w:p w14:paraId="3C252BBF">
      <w:pPr>
        <w:spacing w:before="74" w:line="387" w:lineRule="auto"/>
        <w:ind w:left="52" w:right="80" w:firstLine="500"/>
        <w:rPr>
          <w:rFonts w:ascii="宋体" w:hAnsi="宋体" w:eastAsia="宋体" w:cs="宋体"/>
          <w:sz w:val="23"/>
          <w:szCs w:val="23"/>
        </w:rPr>
      </w:pPr>
      <w:r>
        <w:rPr>
          <w:rFonts w:ascii="宋体" w:hAnsi="宋体" w:eastAsia="宋体" w:cs="宋体"/>
          <w:spacing w:val="12"/>
          <w:sz w:val="23"/>
          <w:szCs w:val="23"/>
        </w:rPr>
        <w:t>固</w:t>
      </w:r>
      <w:r>
        <w:rPr>
          <w:rFonts w:ascii="宋体" w:hAnsi="宋体" w:eastAsia="宋体" w:cs="宋体"/>
          <w:spacing w:val="8"/>
          <w:sz w:val="23"/>
          <w:szCs w:val="23"/>
        </w:rPr>
        <w:t>废</w:t>
      </w:r>
      <w:r>
        <w:rPr>
          <w:rFonts w:ascii="宋体" w:hAnsi="宋体" w:eastAsia="宋体" w:cs="宋体"/>
          <w:spacing w:val="6"/>
          <w:sz w:val="23"/>
          <w:szCs w:val="23"/>
        </w:rPr>
        <w:t>：该项目固体废物主要为员工产生的生活垃圾、危险废物以及一般工业</w:t>
      </w:r>
      <w:r>
        <w:rPr>
          <w:rFonts w:ascii="宋体" w:hAnsi="宋体" w:eastAsia="宋体" w:cs="宋体"/>
          <w:sz w:val="23"/>
          <w:szCs w:val="23"/>
        </w:rPr>
        <w:t xml:space="preserve"> </w:t>
      </w:r>
      <w:r>
        <w:rPr>
          <w:rFonts w:ascii="宋体" w:hAnsi="宋体" w:eastAsia="宋体" w:cs="宋体"/>
          <w:spacing w:val="26"/>
          <w:sz w:val="23"/>
          <w:szCs w:val="23"/>
        </w:rPr>
        <w:t>固</w:t>
      </w:r>
      <w:r>
        <w:rPr>
          <w:rFonts w:ascii="宋体" w:hAnsi="宋体" w:eastAsia="宋体" w:cs="宋体"/>
          <w:spacing w:val="23"/>
          <w:sz w:val="23"/>
          <w:szCs w:val="23"/>
        </w:rPr>
        <w:t>体</w:t>
      </w:r>
      <w:r>
        <w:rPr>
          <w:rFonts w:ascii="宋体" w:hAnsi="宋体" w:eastAsia="宋体" w:cs="宋体"/>
          <w:spacing w:val="13"/>
          <w:sz w:val="23"/>
          <w:szCs w:val="23"/>
        </w:rPr>
        <w:t>废物，其中一般工业固体废物包括杂质、沉淀池污泥、废滤网、热风炉炉</w:t>
      </w:r>
      <w:r>
        <w:rPr>
          <w:rFonts w:ascii="宋体" w:hAnsi="宋体" w:eastAsia="宋体" w:cs="宋体"/>
          <w:sz w:val="23"/>
          <w:szCs w:val="23"/>
        </w:rPr>
        <w:t xml:space="preserve"> </w:t>
      </w:r>
      <w:r>
        <w:rPr>
          <w:rFonts w:ascii="宋体" w:hAnsi="宋体" w:eastAsia="宋体" w:cs="宋体"/>
          <w:spacing w:val="22"/>
          <w:sz w:val="23"/>
          <w:szCs w:val="23"/>
        </w:rPr>
        <w:t>渣</w:t>
      </w:r>
      <w:r>
        <w:rPr>
          <w:rFonts w:ascii="宋体" w:hAnsi="宋体" w:eastAsia="宋体" w:cs="宋体"/>
          <w:spacing w:val="18"/>
          <w:sz w:val="23"/>
          <w:szCs w:val="23"/>
        </w:rPr>
        <w:t>以</w:t>
      </w:r>
      <w:r>
        <w:rPr>
          <w:rFonts w:ascii="宋体" w:hAnsi="宋体" w:eastAsia="宋体" w:cs="宋体"/>
          <w:spacing w:val="11"/>
          <w:sz w:val="23"/>
          <w:szCs w:val="23"/>
        </w:rPr>
        <w:t xml:space="preserve">及除尘器收集的粉尘，危险废物主要为废活性炭、废 </w:t>
      </w:r>
      <w:r>
        <w:rPr>
          <w:rFonts w:ascii="Times New Roman" w:hAnsi="Times New Roman" w:eastAsia="Times New Roman" w:cs="Times New Roman"/>
          <w:sz w:val="23"/>
          <w:szCs w:val="23"/>
        </w:rPr>
        <w:t>uv</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光解灯管。</w:t>
      </w:r>
    </w:p>
    <w:p w14:paraId="772BE894">
      <w:pPr>
        <w:spacing w:before="94" w:line="394" w:lineRule="auto"/>
        <w:ind w:left="53" w:right="80" w:firstLine="479"/>
        <w:rPr>
          <w:rFonts w:ascii="宋体" w:hAnsi="宋体" w:eastAsia="宋体" w:cs="宋体"/>
          <w:sz w:val="23"/>
          <w:szCs w:val="23"/>
        </w:rPr>
      </w:pPr>
      <w:r>
        <w:rPr>
          <w:rFonts w:ascii="宋体" w:hAnsi="宋体" w:eastAsia="宋体" w:cs="宋体"/>
          <w:spacing w:val="16"/>
          <w:sz w:val="23"/>
          <w:szCs w:val="23"/>
        </w:rPr>
        <w:t>通过</w:t>
      </w:r>
      <w:r>
        <w:rPr>
          <w:rFonts w:ascii="宋体" w:hAnsi="宋体" w:eastAsia="宋体" w:cs="宋体"/>
          <w:spacing w:val="8"/>
          <w:sz w:val="23"/>
          <w:szCs w:val="23"/>
        </w:rPr>
        <w:t xml:space="preserve">加强绿化、设置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光氧催化废气处理装置</w:t>
      </w:r>
      <w:r>
        <w:rPr>
          <w:rFonts w:ascii="Times New Roman" w:hAnsi="Times New Roman" w:eastAsia="Times New Roman" w:cs="Times New Roman"/>
          <w:spacing w:val="8"/>
          <w:sz w:val="23"/>
          <w:szCs w:val="23"/>
        </w:rPr>
        <w:t>+</w:t>
      </w:r>
      <w:r>
        <w:rPr>
          <w:rFonts w:ascii="宋体" w:hAnsi="宋体" w:eastAsia="宋体" w:cs="宋体"/>
          <w:spacing w:val="8"/>
          <w:sz w:val="23"/>
          <w:szCs w:val="23"/>
        </w:rPr>
        <w:t>活性炭吸附装置、布袋除</w:t>
      </w:r>
      <w:r>
        <w:rPr>
          <w:rFonts w:ascii="宋体" w:hAnsi="宋体" w:eastAsia="宋体" w:cs="宋体"/>
          <w:sz w:val="23"/>
          <w:szCs w:val="23"/>
        </w:rPr>
        <w:t xml:space="preserve"> </w:t>
      </w:r>
      <w:r>
        <w:rPr>
          <w:rFonts w:ascii="宋体" w:hAnsi="宋体" w:eastAsia="宋体" w:cs="宋体"/>
          <w:spacing w:val="8"/>
          <w:sz w:val="23"/>
          <w:szCs w:val="23"/>
        </w:rPr>
        <w:t>尘</w:t>
      </w:r>
      <w:r>
        <w:rPr>
          <w:rFonts w:ascii="宋体" w:hAnsi="宋体" w:eastAsia="宋体" w:cs="宋体"/>
          <w:spacing w:val="7"/>
          <w:sz w:val="23"/>
          <w:szCs w:val="23"/>
        </w:rPr>
        <w:t>器、排气筒、一体化污水预处理设备、三级沉淀池、隔声等措施后，运营期环</w:t>
      </w:r>
      <w:r>
        <w:rPr>
          <w:rFonts w:ascii="宋体" w:hAnsi="宋体" w:eastAsia="宋体" w:cs="宋体"/>
          <w:sz w:val="23"/>
          <w:szCs w:val="23"/>
        </w:rPr>
        <w:t xml:space="preserve"> </w:t>
      </w:r>
      <w:r>
        <w:rPr>
          <w:rFonts w:ascii="宋体" w:hAnsi="宋体" w:eastAsia="宋体" w:cs="宋体"/>
          <w:spacing w:val="15"/>
          <w:sz w:val="23"/>
          <w:szCs w:val="23"/>
        </w:rPr>
        <w:t>境</w:t>
      </w:r>
      <w:r>
        <w:rPr>
          <w:rFonts w:ascii="宋体" w:hAnsi="宋体" w:eastAsia="宋体" w:cs="宋体"/>
          <w:spacing w:val="8"/>
          <w:sz w:val="23"/>
          <w:szCs w:val="23"/>
        </w:rPr>
        <w:t>影响可得到有效控制和减缓。</w:t>
      </w:r>
    </w:p>
    <w:p w14:paraId="56A61A3A">
      <w:pPr>
        <w:spacing w:before="88" w:line="225" w:lineRule="auto"/>
        <w:ind w:left="64"/>
        <w:outlineLvl w:val="1"/>
        <w:rPr>
          <w:rFonts w:ascii="宋体" w:hAnsi="宋体" w:eastAsia="宋体" w:cs="宋体"/>
          <w:sz w:val="31"/>
          <w:szCs w:val="31"/>
        </w:rPr>
      </w:pPr>
      <w:bookmarkStart w:id="4" w:name="_bookmark5"/>
      <w:bookmarkEnd w:id="4"/>
      <w:r>
        <w:rPr>
          <w:rFonts w:ascii="Times New Roman" w:hAnsi="Times New Roman" w:eastAsia="Times New Roman" w:cs="Times New Roman"/>
          <w:b/>
          <w:bCs/>
          <w:spacing w:val="11"/>
          <w:sz w:val="31"/>
          <w:szCs w:val="31"/>
        </w:rPr>
        <w:t>1</w:t>
      </w:r>
      <w:r>
        <w:rPr>
          <w:rFonts w:ascii="Times New Roman" w:hAnsi="Times New Roman" w:eastAsia="Times New Roman" w:cs="Times New Roman"/>
          <w:b/>
          <w:bCs/>
          <w:spacing w:val="6"/>
          <w:sz w:val="31"/>
          <w:szCs w:val="31"/>
        </w:rPr>
        <w:t>.4</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分析判定相关情况</w:t>
      </w:r>
    </w:p>
    <w:p w14:paraId="22AC9263">
      <w:pPr>
        <w:spacing w:before="268" w:line="226" w:lineRule="auto"/>
        <w:ind w:left="62"/>
        <w:outlineLvl w:val="2"/>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7"/>
          <w:sz w:val="29"/>
          <w:szCs w:val="29"/>
        </w:rPr>
        <w:t>.</w:t>
      </w:r>
      <w:r>
        <w:rPr>
          <w:rFonts w:ascii="Times New Roman" w:hAnsi="Times New Roman" w:eastAsia="Times New Roman" w:cs="Times New Roman"/>
          <w:b/>
          <w:bCs/>
          <w:spacing w:val="6"/>
          <w:sz w:val="29"/>
          <w:szCs w:val="29"/>
        </w:rPr>
        <w:t>4.1</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产业政策符合性分析</w:t>
      </w:r>
    </w:p>
    <w:p w14:paraId="1C64BD4D">
      <w:pPr>
        <w:spacing w:line="249" w:lineRule="auto"/>
        <w:rPr>
          <w:rFonts w:ascii="Arial"/>
          <w:sz w:val="21"/>
        </w:rPr>
      </w:pPr>
    </w:p>
    <w:p w14:paraId="2ABF6C05">
      <w:pPr>
        <w:spacing w:before="75" w:line="386" w:lineRule="auto"/>
        <w:ind w:left="53" w:right="77" w:firstLine="479"/>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7"/>
          <w:sz w:val="23"/>
          <w:szCs w:val="23"/>
        </w:rPr>
        <w:t>产</w:t>
      </w:r>
      <w:r>
        <w:rPr>
          <w:rFonts w:ascii="宋体" w:hAnsi="宋体" w:eastAsia="宋体" w:cs="宋体"/>
          <w:spacing w:val="5"/>
          <w:sz w:val="23"/>
          <w:szCs w:val="23"/>
        </w:rPr>
        <w:t>业结构调整指导目录 (</w:t>
      </w:r>
      <w:r>
        <w:rPr>
          <w:rFonts w:ascii="Times New Roman" w:hAnsi="Times New Roman" w:eastAsia="Times New Roman" w:cs="Times New Roman"/>
          <w:spacing w:val="5"/>
          <w:sz w:val="23"/>
          <w:szCs w:val="23"/>
        </w:rPr>
        <w:t xml:space="preserve">2011 </w:t>
      </w:r>
      <w:r>
        <w:rPr>
          <w:rFonts w:ascii="宋体" w:hAnsi="宋体" w:eastAsia="宋体" w:cs="宋体"/>
          <w:spacing w:val="5"/>
          <w:sz w:val="23"/>
          <w:szCs w:val="23"/>
        </w:rPr>
        <w:t>年本，</w:t>
      </w:r>
      <w:r>
        <w:rPr>
          <w:rFonts w:ascii="Times New Roman" w:hAnsi="Times New Roman" w:eastAsia="Times New Roman" w:cs="Times New Roman"/>
          <w:spacing w:val="5"/>
          <w:sz w:val="23"/>
          <w:szCs w:val="23"/>
        </w:rPr>
        <w:t xml:space="preserve">2016 </w:t>
      </w:r>
      <w:r>
        <w:rPr>
          <w:rFonts w:ascii="宋体" w:hAnsi="宋体" w:eastAsia="宋体" w:cs="宋体"/>
          <w:spacing w:val="5"/>
          <w:sz w:val="23"/>
          <w:szCs w:val="23"/>
        </w:rPr>
        <w:t>年修订) 》  (中华人民共</w:t>
      </w:r>
      <w:r>
        <w:rPr>
          <w:rFonts w:ascii="宋体" w:hAnsi="宋体" w:eastAsia="宋体" w:cs="宋体"/>
          <w:sz w:val="23"/>
          <w:szCs w:val="23"/>
        </w:rPr>
        <w:t xml:space="preserve"> </w:t>
      </w:r>
      <w:r>
        <w:rPr>
          <w:rFonts w:ascii="宋体" w:hAnsi="宋体" w:eastAsia="宋体" w:cs="宋体"/>
          <w:spacing w:val="10"/>
          <w:sz w:val="23"/>
          <w:szCs w:val="23"/>
        </w:rPr>
        <w:t>和国国</w:t>
      </w:r>
      <w:r>
        <w:rPr>
          <w:rFonts w:ascii="宋体" w:hAnsi="宋体" w:eastAsia="宋体" w:cs="宋体"/>
          <w:spacing w:val="8"/>
          <w:sz w:val="23"/>
          <w:szCs w:val="23"/>
        </w:rPr>
        <w:t>家</w:t>
      </w:r>
      <w:r>
        <w:rPr>
          <w:rFonts w:ascii="宋体" w:hAnsi="宋体" w:eastAsia="宋体" w:cs="宋体"/>
          <w:spacing w:val="5"/>
          <w:sz w:val="23"/>
          <w:szCs w:val="23"/>
        </w:rPr>
        <w:t xml:space="preserve">发展和改革委员会第 </w:t>
      </w:r>
      <w:r>
        <w:rPr>
          <w:rFonts w:ascii="Times New Roman" w:hAnsi="Times New Roman" w:eastAsia="Times New Roman" w:cs="Times New Roman"/>
          <w:spacing w:val="5"/>
          <w:sz w:val="23"/>
          <w:szCs w:val="23"/>
        </w:rPr>
        <w:t xml:space="preserve">36 </w:t>
      </w:r>
      <w:r>
        <w:rPr>
          <w:rFonts w:ascii="宋体" w:hAnsi="宋体" w:eastAsia="宋体" w:cs="宋体"/>
          <w:spacing w:val="5"/>
          <w:sz w:val="23"/>
          <w:szCs w:val="23"/>
        </w:rPr>
        <w:t>号令，</w:t>
      </w:r>
      <w:r>
        <w:rPr>
          <w:rFonts w:ascii="Times New Roman" w:hAnsi="Times New Roman" w:eastAsia="Times New Roman" w:cs="Times New Roman"/>
          <w:spacing w:val="5"/>
          <w:sz w:val="23"/>
          <w:szCs w:val="23"/>
        </w:rPr>
        <w:t xml:space="preserve">2016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月 </w:t>
      </w:r>
      <w:r>
        <w:rPr>
          <w:rFonts w:ascii="Times New Roman" w:hAnsi="Times New Roman" w:eastAsia="Times New Roman" w:cs="Times New Roman"/>
          <w:spacing w:val="5"/>
          <w:sz w:val="23"/>
          <w:szCs w:val="23"/>
        </w:rPr>
        <w:t xml:space="preserve">25 </w:t>
      </w:r>
      <w:r>
        <w:rPr>
          <w:rFonts w:ascii="宋体" w:hAnsi="宋体" w:eastAsia="宋体" w:cs="宋体"/>
          <w:spacing w:val="5"/>
          <w:sz w:val="23"/>
          <w:szCs w:val="23"/>
        </w:rPr>
        <w:t>日) 中相关内容，该项</w:t>
      </w:r>
      <w:r>
        <w:rPr>
          <w:rFonts w:ascii="宋体" w:hAnsi="宋体" w:eastAsia="宋体" w:cs="宋体"/>
          <w:sz w:val="23"/>
          <w:szCs w:val="23"/>
        </w:rPr>
        <w:t xml:space="preserve"> </w:t>
      </w:r>
      <w:r>
        <w:rPr>
          <w:rFonts w:ascii="宋体" w:hAnsi="宋体" w:eastAsia="宋体" w:cs="宋体"/>
          <w:spacing w:val="9"/>
          <w:sz w:val="23"/>
          <w:szCs w:val="23"/>
        </w:rPr>
        <w:t>目属于</w:t>
      </w:r>
      <w:r>
        <w:rPr>
          <w:rFonts w:ascii="Times New Roman" w:hAnsi="Times New Roman" w:eastAsia="Times New Roman" w:cs="Times New Roman"/>
          <w:spacing w:val="9"/>
          <w:sz w:val="23"/>
          <w:szCs w:val="23"/>
        </w:rPr>
        <w:t>“</w:t>
      </w:r>
      <w:r>
        <w:rPr>
          <w:rFonts w:ascii="宋体" w:hAnsi="宋体" w:eastAsia="宋体" w:cs="宋体"/>
          <w:spacing w:val="9"/>
          <w:sz w:val="23"/>
          <w:szCs w:val="23"/>
        </w:rPr>
        <w:t>三十八、环境保护与资源节约综合利用产业</w:t>
      </w:r>
      <w:r>
        <w:rPr>
          <w:rFonts w:ascii="Times New Roman" w:hAnsi="Times New Roman" w:eastAsia="Times New Roman" w:cs="Times New Roman"/>
          <w:spacing w:val="9"/>
          <w:sz w:val="23"/>
          <w:szCs w:val="23"/>
        </w:rPr>
        <w:t>”</w:t>
      </w:r>
      <w:r>
        <w:rPr>
          <w:rFonts w:ascii="宋体" w:hAnsi="宋体" w:eastAsia="宋体" w:cs="宋体"/>
          <w:spacing w:val="9"/>
          <w:sz w:val="23"/>
          <w:szCs w:val="23"/>
        </w:rPr>
        <w:t>中的</w:t>
      </w:r>
      <w:r>
        <w:rPr>
          <w:rFonts w:ascii="Times New Roman" w:hAnsi="Times New Roman" w:eastAsia="Times New Roman" w:cs="Times New Roman"/>
          <w:spacing w:val="9"/>
          <w:sz w:val="23"/>
          <w:szCs w:val="23"/>
        </w:rPr>
        <w:t xml:space="preserve">“29 </w:t>
      </w:r>
      <w:r>
        <w:rPr>
          <w:rFonts w:ascii="宋体" w:hAnsi="宋体" w:eastAsia="宋体" w:cs="宋体"/>
          <w:spacing w:val="9"/>
          <w:sz w:val="23"/>
          <w:szCs w:val="23"/>
        </w:rPr>
        <w:t>、废旧电器电子产</w:t>
      </w:r>
      <w:r>
        <w:rPr>
          <w:rFonts w:ascii="宋体" w:hAnsi="宋体" w:eastAsia="宋体" w:cs="宋体"/>
          <w:sz w:val="23"/>
          <w:szCs w:val="23"/>
        </w:rPr>
        <w:t xml:space="preserve"> </w:t>
      </w:r>
      <w:r>
        <w:rPr>
          <w:rFonts w:ascii="宋体" w:hAnsi="宋体" w:eastAsia="宋体" w:cs="宋体"/>
          <w:spacing w:val="10"/>
          <w:sz w:val="23"/>
          <w:szCs w:val="23"/>
        </w:rPr>
        <w:t>品</w:t>
      </w:r>
      <w:r>
        <w:rPr>
          <w:rFonts w:ascii="宋体" w:hAnsi="宋体" w:eastAsia="宋体" w:cs="宋体"/>
          <w:spacing w:val="7"/>
          <w:sz w:val="23"/>
          <w:szCs w:val="23"/>
        </w:rPr>
        <w:t>、废印刷电路板、废旧电池、废旧船舶、废旧农机、废塑料、废橡胶、废弃油</w:t>
      </w:r>
      <w:r>
        <w:rPr>
          <w:rFonts w:ascii="宋体" w:hAnsi="宋体" w:eastAsia="宋体" w:cs="宋体"/>
          <w:sz w:val="23"/>
          <w:szCs w:val="23"/>
        </w:rPr>
        <w:t xml:space="preserve"> </w:t>
      </w:r>
      <w:r>
        <w:rPr>
          <w:rFonts w:ascii="宋体" w:hAnsi="宋体" w:eastAsia="宋体" w:cs="宋体"/>
          <w:spacing w:val="15"/>
          <w:sz w:val="23"/>
          <w:szCs w:val="23"/>
        </w:rPr>
        <w:t>脂</w:t>
      </w:r>
      <w:r>
        <w:rPr>
          <w:rFonts w:ascii="宋体" w:hAnsi="宋体" w:eastAsia="宋体" w:cs="宋体"/>
          <w:spacing w:val="9"/>
          <w:sz w:val="23"/>
          <w:szCs w:val="23"/>
        </w:rPr>
        <w:t>等再生资源循环利用</w:t>
      </w:r>
      <w:r>
        <w:rPr>
          <w:rFonts w:ascii="Times New Roman" w:hAnsi="Times New Roman" w:eastAsia="Times New Roman" w:cs="Times New Roman"/>
          <w:spacing w:val="9"/>
          <w:sz w:val="23"/>
          <w:szCs w:val="23"/>
        </w:rPr>
        <w:t>”</w:t>
      </w:r>
      <w:r>
        <w:rPr>
          <w:rFonts w:ascii="宋体" w:hAnsi="宋体" w:eastAsia="宋体" w:cs="宋体"/>
          <w:spacing w:val="9"/>
          <w:sz w:val="23"/>
          <w:szCs w:val="23"/>
        </w:rPr>
        <w:t>项目，为鼓励类项目，符合国家的相关产业政策。</w:t>
      </w:r>
    </w:p>
    <w:p w14:paraId="3824D006">
      <w:pPr>
        <w:spacing w:before="135" w:line="388" w:lineRule="auto"/>
        <w:ind w:firstLine="532"/>
        <w:rPr>
          <w:rFonts w:ascii="宋体" w:hAnsi="宋体" w:eastAsia="宋体" w:cs="宋体"/>
          <w:sz w:val="23"/>
          <w:szCs w:val="23"/>
        </w:rPr>
      </w:pPr>
      <w:r>
        <w:rPr>
          <w:rFonts w:ascii="宋体" w:hAnsi="宋体" w:eastAsia="宋体" w:cs="宋体"/>
          <w:spacing w:val="8"/>
          <w:sz w:val="23"/>
          <w:szCs w:val="23"/>
        </w:rPr>
        <w:t>根</w:t>
      </w:r>
      <w:r>
        <w:rPr>
          <w:rFonts w:ascii="宋体" w:hAnsi="宋体" w:eastAsia="宋体" w:cs="宋体"/>
          <w:spacing w:val="7"/>
          <w:sz w:val="23"/>
          <w:szCs w:val="23"/>
        </w:rPr>
        <w:t>据</w:t>
      </w:r>
      <w:r>
        <w:rPr>
          <w:rFonts w:ascii="宋体" w:hAnsi="宋体" w:eastAsia="宋体" w:cs="宋体"/>
          <w:spacing w:val="4"/>
          <w:sz w:val="23"/>
          <w:szCs w:val="23"/>
        </w:rPr>
        <w:t>《辽宁省产业发展指导目录 (</w:t>
      </w:r>
      <w:r>
        <w:rPr>
          <w:rFonts w:ascii="Times New Roman" w:hAnsi="Times New Roman" w:eastAsia="Times New Roman" w:cs="Times New Roman"/>
          <w:spacing w:val="4"/>
          <w:sz w:val="23"/>
          <w:szCs w:val="23"/>
        </w:rPr>
        <w:t xml:space="preserve">2008 </w:t>
      </w:r>
      <w:r>
        <w:rPr>
          <w:rFonts w:ascii="宋体" w:hAnsi="宋体" w:eastAsia="宋体" w:cs="宋体"/>
          <w:spacing w:val="4"/>
          <w:sz w:val="23"/>
          <w:szCs w:val="23"/>
        </w:rPr>
        <w:t>年本) 》 (辽宁省经济委员会，</w:t>
      </w:r>
      <w:r>
        <w:rPr>
          <w:rFonts w:ascii="Times New Roman" w:hAnsi="Times New Roman" w:eastAsia="Times New Roman" w:cs="Times New Roman"/>
          <w:spacing w:val="4"/>
          <w:sz w:val="23"/>
          <w:szCs w:val="23"/>
        </w:rPr>
        <w:t>2008</w:t>
      </w:r>
      <w:r>
        <w:rPr>
          <w:rFonts w:ascii="Times New Roman" w:hAnsi="Times New Roman" w:eastAsia="Times New Roman" w:cs="Times New Roman"/>
          <w:sz w:val="23"/>
          <w:szCs w:val="23"/>
        </w:rPr>
        <w:t xml:space="preserve">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18 </w:t>
      </w:r>
      <w:r>
        <w:rPr>
          <w:rFonts w:ascii="宋体" w:hAnsi="宋体" w:eastAsia="宋体" w:cs="宋体"/>
          <w:spacing w:val="4"/>
          <w:sz w:val="23"/>
          <w:szCs w:val="23"/>
        </w:rPr>
        <w:t>日) ，该项目属于</w:t>
      </w:r>
      <w:r>
        <w:rPr>
          <w:rFonts w:ascii="Times New Roman" w:hAnsi="Times New Roman" w:eastAsia="Times New Roman" w:cs="Times New Roman"/>
          <w:spacing w:val="4"/>
          <w:sz w:val="23"/>
          <w:szCs w:val="23"/>
        </w:rPr>
        <w:t>“</w:t>
      </w:r>
      <w:r>
        <w:rPr>
          <w:rFonts w:ascii="宋体" w:hAnsi="宋体" w:eastAsia="宋体" w:cs="宋体"/>
          <w:spacing w:val="4"/>
          <w:sz w:val="23"/>
          <w:szCs w:val="23"/>
        </w:rPr>
        <w:t>第十二类环境保护与资源节约综合利用</w:t>
      </w:r>
      <w:r>
        <w:rPr>
          <w:rFonts w:ascii="Times New Roman" w:hAnsi="Times New Roman" w:eastAsia="Times New Roman" w:cs="Times New Roman"/>
          <w:spacing w:val="4"/>
          <w:sz w:val="23"/>
          <w:szCs w:val="23"/>
        </w:rPr>
        <w:t>”</w:t>
      </w:r>
      <w:r>
        <w:rPr>
          <w:rFonts w:ascii="宋体" w:hAnsi="宋体" w:eastAsia="宋体" w:cs="宋体"/>
          <w:spacing w:val="4"/>
          <w:sz w:val="23"/>
          <w:szCs w:val="23"/>
        </w:rPr>
        <w:t>中的</w:t>
      </w:r>
      <w:r>
        <w:rPr>
          <w:rFonts w:ascii="Times New Roman" w:hAnsi="Times New Roman" w:eastAsia="Times New Roman" w:cs="Times New Roman"/>
          <w:spacing w:val="4"/>
          <w:sz w:val="23"/>
          <w:szCs w:val="23"/>
        </w:rPr>
        <w:t>“32</w:t>
      </w:r>
      <w:r>
        <w:rPr>
          <w:rFonts w:ascii="宋体" w:hAnsi="宋体" w:eastAsia="宋体" w:cs="宋体"/>
          <w:spacing w:val="4"/>
          <w:sz w:val="23"/>
          <w:szCs w:val="23"/>
        </w:rPr>
        <w:t>、</w:t>
      </w:r>
      <w:r>
        <w:rPr>
          <w:rFonts w:ascii="宋体" w:hAnsi="宋体" w:eastAsia="宋体" w:cs="宋体"/>
          <w:sz w:val="23"/>
          <w:szCs w:val="23"/>
        </w:rPr>
        <w:t xml:space="preserve"> </w:t>
      </w:r>
      <w:r>
        <w:rPr>
          <w:rFonts w:ascii="Times New Roman" w:hAnsi="Times New Roman" w:eastAsia="Times New Roman" w:cs="Times New Roman"/>
          <w:spacing w:val="20"/>
          <w:sz w:val="23"/>
          <w:szCs w:val="23"/>
        </w:rPr>
        <w:t>“</w:t>
      </w:r>
      <w:r>
        <w:rPr>
          <w:rFonts w:ascii="宋体" w:hAnsi="宋体" w:eastAsia="宋体" w:cs="宋体"/>
          <w:spacing w:val="16"/>
          <w:sz w:val="23"/>
          <w:szCs w:val="23"/>
        </w:rPr>
        <w:t>三</w:t>
      </w:r>
      <w:r>
        <w:rPr>
          <w:rFonts w:ascii="宋体" w:hAnsi="宋体" w:eastAsia="宋体" w:cs="宋体"/>
          <w:spacing w:val="10"/>
          <w:sz w:val="23"/>
          <w:szCs w:val="23"/>
        </w:rPr>
        <w:t>废</w:t>
      </w:r>
      <w:r>
        <w:rPr>
          <w:rFonts w:ascii="Times New Roman" w:hAnsi="Times New Roman" w:eastAsia="Times New Roman" w:cs="Times New Roman"/>
          <w:spacing w:val="10"/>
          <w:sz w:val="23"/>
          <w:szCs w:val="23"/>
        </w:rPr>
        <w:t>”</w:t>
      </w:r>
      <w:r>
        <w:rPr>
          <w:rFonts w:ascii="宋体" w:hAnsi="宋体" w:eastAsia="宋体" w:cs="宋体"/>
          <w:spacing w:val="10"/>
          <w:sz w:val="23"/>
          <w:szCs w:val="23"/>
        </w:rPr>
        <w:t>综合利用及治理工程</w:t>
      </w:r>
      <w:r>
        <w:rPr>
          <w:rFonts w:ascii="Times New Roman" w:hAnsi="Times New Roman" w:eastAsia="Times New Roman" w:cs="Times New Roman"/>
          <w:spacing w:val="10"/>
          <w:sz w:val="23"/>
          <w:szCs w:val="23"/>
        </w:rPr>
        <w:t>”</w:t>
      </w:r>
      <w:r>
        <w:rPr>
          <w:rFonts w:ascii="宋体" w:hAnsi="宋体" w:eastAsia="宋体" w:cs="宋体"/>
          <w:spacing w:val="10"/>
          <w:sz w:val="23"/>
          <w:szCs w:val="23"/>
        </w:rPr>
        <w:t>项目，为鼓励类项目，符合辽宁省产业政策。</w:t>
      </w:r>
    </w:p>
    <w:p w14:paraId="1FD07214">
      <w:pPr>
        <w:spacing w:before="138" w:line="393" w:lineRule="auto"/>
        <w:ind w:left="50" w:right="80" w:firstLine="482"/>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溪市溪湖区发展和改革局以溪发改备【</w:t>
      </w:r>
      <w:r>
        <w:rPr>
          <w:rFonts w:ascii="Times New Roman" w:hAnsi="Times New Roman" w:eastAsia="Times New Roman" w:cs="Times New Roman"/>
          <w:spacing w:val="11"/>
          <w:sz w:val="23"/>
          <w:szCs w:val="23"/>
        </w:rPr>
        <w:t>2019</w:t>
      </w:r>
      <w:r>
        <w:rPr>
          <w:rFonts w:ascii="宋体" w:hAnsi="宋体" w:eastAsia="宋体" w:cs="宋体"/>
          <w:spacing w:val="11"/>
          <w:sz w:val="23"/>
          <w:szCs w:val="23"/>
        </w:rPr>
        <w:t>】</w:t>
      </w:r>
      <w:r>
        <w:rPr>
          <w:rFonts w:ascii="Times New Roman" w:hAnsi="Times New Roman" w:eastAsia="Times New Roman" w:cs="Times New Roman"/>
          <w:spacing w:val="11"/>
          <w:sz w:val="23"/>
          <w:szCs w:val="23"/>
        </w:rPr>
        <w:t xml:space="preserve">42 </w:t>
      </w:r>
      <w:r>
        <w:rPr>
          <w:rFonts w:ascii="宋体" w:hAnsi="宋体" w:eastAsia="宋体" w:cs="宋体"/>
          <w:spacing w:val="11"/>
          <w:sz w:val="23"/>
          <w:szCs w:val="23"/>
        </w:rPr>
        <w:t>号文件对该项目的建设</w:t>
      </w:r>
      <w:r>
        <w:rPr>
          <w:rFonts w:ascii="宋体" w:hAnsi="宋体" w:eastAsia="宋体" w:cs="宋体"/>
          <w:sz w:val="23"/>
          <w:szCs w:val="23"/>
        </w:rPr>
        <w:t xml:space="preserve"> </w:t>
      </w:r>
      <w:r>
        <w:rPr>
          <w:rFonts w:ascii="宋体" w:hAnsi="宋体" w:eastAsia="宋体" w:cs="宋体"/>
          <w:spacing w:val="8"/>
          <w:sz w:val="23"/>
          <w:szCs w:val="23"/>
        </w:rPr>
        <w:t>进</w:t>
      </w:r>
      <w:r>
        <w:rPr>
          <w:rFonts w:ascii="宋体" w:hAnsi="宋体" w:eastAsia="宋体" w:cs="宋体"/>
          <w:spacing w:val="7"/>
          <w:sz w:val="23"/>
          <w:szCs w:val="23"/>
        </w:rPr>
        <w:t>行</w:t>
      </w:r>
      <w:r>
        <w:rPr>
          <w:rFonts w:ascii="宋体" w:hAnsi="宋体" w:eastAsia="宋体" w:cs="宋体"/>
          <w:spacing w:val="4"/>
          <w:sz w:val="23"/>
          <w:szCs w:val="23"/>
        </w:rPr>
        <w:t xml:space="preserve">了备案确认 (文件见附件 </w:t>
      </w:r>
      <w:r>
        <w:rPr>
          <w:rFonts w:ascii="Times New Roman" w:hAnsi="Times New Roman" w:eastAsia="Times New Roman" w:cs="Times New Roman"/>
          <w:spacing w:val="4"/>
          <w:sz w:val="23"/>
          <w:szCs w:val="23"/>
        </w:rPr>
        <w:t>4</w:t>
      </w:r>
      <w:r>
        <w:rPr>
          <w:rFonts w:ascii="宋体" w:hAnsi="宋体" w:eastAsia="宋体" w:cs="宋体"/>
          <w:spacing w:val="4"/>
          <w:sz w:val="23"/>
          <w:szCs w:val="23"/>
        </w:rPr>
        <w:t>) 。</w:t>
      </w:r>
    </w:p>
    <w:p w14:paraId="1D54A364">
      <w:pPr>
        <w:spacing w:before="81" w:line="226" w:lineRule="auto"/>
        <w:ind w:left="62"/>
        <w:outlineLvl w:val="2"/>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7"/>
          <w:sz w:val="29"/>
          <w:szCs w:val="29"/>
        </w:rPr>
        <w:t>.</w:t>
      </w:r>
      <w:r>
        <w:rPr>
          <w:rFonts w:ascii="Times New Roman" w:hAnsi="Times New Roman" w:eastAsia="Times New Roman" w:cs="Times New Roman"/>
          <w:b/>
          <w:bCs/>
          <w:spacing w:val="6"/>
          <w:sz w:val="29"/>
          <w:szCs w:val="29"/>
        </w:rPr>
        <w:t>4.2</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行业规范相符性分析</w:t>
      </w:r>
    </w:p>
    <w:p w14:paraId="7D791DAD">
      <w:pPr>
        <w:spacing w:before="293" w:line="222" w:lineRule="auto"/>
        <w:ind w:left="61"/>
        <w:outlineLvl w:val="3"/>
        <w:rPr>
          <w:rFonts w:ascii="宋体" w:hAnsi="宋体" w:eastAsia="宋体" w:cs="宋体"/>
          <w:sz w:val="28"/>
          <w:szCs w:val="28"/>
        </w:rPr>
      </w:pPr>
      <w:r>
        <w:rPr>
          <w:rFonts w:ascii="Times New Roman" w:hAnsi="Times New Roman" w:eastAsia="Times New Roman" w:cs="Times New Roman"/>
          <w:b/>
          <w:bCs/>
          <w:spacing w:val="10"/>
          <w:sz w:val="28"/>
          <w:szCs w:val="28"/>
        </w:rPr>
        <w:t>1.4.2.1</w:t>
      </w:r>
      <w:r>
        <w:rPr>
          <w:rFonts w:ascii="Times New Roman" w:hAnsi="Times New Roman" w:eastAsia="Times New Roman" w:cs="Times New Roman"/>
          <w:spacing w:val="10"/>
          <w:sz w:val="28"/>
          <w:szCs w:val="28"/>
        </w:rPr>
        <w:t xml:space="preserve"> </w:t>
      </w:r>
      <w:r>
        <w:rPr>
          <w:rFonts w:ascii="宋体" w:hAnsi="宋体" w:eastAsia="宋体" w:cs="宋体"/>
          <w:spacing w:val="10"/>
          <w:sz w:val="28"/>
          <w:szCs w:val="28"/>
          <w14:textOutline w14:w="5103" w14:cap="sq" w14:cmpd="sng">
            <w14:solidFill>
              <w14:srgbClr w14:val="000000"/>
            </w14:solidFill>
            <w14:prstDash w14:val="solid"/>
            <w14:bevel/>
          </w14:textOutline>
        </w:rPr>
        <w:t>与《废塑料综合利用行业规范条件》相符性分</w:t>
      </w:r>
      <w:r>
        <w:rPr>
          <w:rFonts w:ascii="宋体" w:hAnsi="宋体" w:eastAsia="宋体" w:cs="宋体"/>
          <w:spacing w:val="8"/>
          <w:sz w:val="28"/>
          <w:szCs w:val="28"/>
          <w14:textOutline w14:w="5103" w14:cap="sq" w14:cmpd="sng">
            <w14:solidFill>
              <w14:srgbClr w14:val="000000"/>
            </w14:solidFill>
            <w14:prstDash w14:val="solid"/>
            <w14:bevel/>
          </w14:textOutline>
        </w:rPr>
        <w:t>析</w:t>
      </w:r>
    </w:p>
    <w:p w14:paraId="4A5011DC">
      <w:pPr>
        <w:spacing w:line="256" w:lineRule="auto"/>
        <w:rPr>
          <w:rFonts w:ascii="Arial"/>
          <w:sz w:val="21"/>
        </w:rPr>
      </w:pPr>
    </w:p>
    <w:p w14:paraId="028F6FA3">
      <w:pPr>
        <w:spacing w:before="75" w:line="227" w:lineRule="auto"/>
        <w:ind w:left="535"/>
        <w:rPr>
          <w:rFonts w:ascii="宋体" w:hAnsi="宋体" w:eastAsia="宋体" w:cs="宋体"/>
          <w:sz w:val="23"/>
          <w:szCs w:val="23"/>
        </w:rPr>
      </w:pPr>
      <w:r>
        <w:rPr>
          <w:rFonts w:ascii="宋体" w:hAnsi="宋体" w:eastAsia="宋体" w:cs="宋体"/>
          <w:spacing w:val="8"/>
          <w:sz w:val="23"/>
          <w:szCs w:val="23"/>
        </w:rPr>
        <w:t>为贯彻落实《循环经济促进法》，规范废塑料资源综合利用行业发展秩序</w:t>
      </w:r>
      <w:r>
        <w:rPr>
          <w:rFonts w:ascii="宋体" w:hAnsi="宋体" w:eastAsia="宋体" w:cs="宋体"/>
          <w:spacing w:val="3"/>
          <w:sz w:val="23"/>
          <w:szCs w:val="23"/>
        </w:rPr>
        <w:t>，</w:t>
      </w:r>
    </w:p>
    <w:p w14:paraId="7529078C">
      <w:pPr>
        <w:sectPr>
          <w:headerReference r:id="rId14" w:type="default"/>
          <w:footerReference r:id="rId15" w:type="default"/>
          <w:pgSz w:w="11906" w:h="16839"/>
          <w:pgMar w:top="1132" w:right="1719" w:bottom="899" w:left="1756" w:header="878" w:footer="739" w:gutter="0"/>
          <w:cols w:space="720" w:num="1"/>
        </w:sectPr>
      </w:pPr>
    </w:p>
    <w:p w14:paraId="53B57F84">
      <w:pPr>
        <w:spacing w:line="404" w:lineRule="auto"/>
        <w:rPr>
          <w:rFonts w:ascii="Arial"/>
          <w:sz w:val="21"/>
        </w:rPr>
      </w:pPr>
      <w:r>
        <w:pict>
          <v:shape id="_x0000_s1034" o:spid="_x0000_s1034" style="position:absolute;left:0pt;margin-left:90pt;margin-top:57.35pt;height:0.75pt;width:415.3pt;mso-position-horizontal-relative:page;mso-position-vertical-relative:page;z-index:251672576;mso-width-relative:page;mso-height-relative:page;" fillcolor="#000000" filled="t" stroked="f" coordsize="8305,15" o:allowincell="f" path="m0,0l8305,0,8305,14,0,14,0,0xe">
            <v:path/>
            <v:fill on="t" focussize="0,0"/>
            <v:stroke on="f"/>
            <v:imagedata o:title=""/>
            <o:lock v:ext="edit"/>
          </v:shape>
        </w:pict>
      </w:r>
    </w:p>
    <w:p w14:paraId="047EE3FF">
      <w:pPr>
        <w:spacing w:before="75" w:line="391" w:lineRule="auto"/>
        <w:ind w:left="116" w:right="107" w:firstLine="1"/>
        <w:rPr>
          <w:rFonts w:ascii="宋体" w:hAnsi="宋体" w:eastAsia="宋体" w:cs="宋体"/>
          <w:sz w:val="23"/>
          <w:szCs w:val="23"/>
        </w:rPr>
      </w:pPr>
      <w:r>
        <w:rPr>
          <w:rFonts w:ascii="宋体" w:hAnsi="宋体" w:eastAsia="宋体" w:cs="宋体"/>
          <w:spacing w:val="8"/>
          <w:sz w:val="23"/>
          <w:szCs w:val="23"/>
        </w:rPr>
        <w:t>促</w:t>
      </w:r>
      <w:r>
        <w:rPr>
          <w:rFonts w:ascii="宋体" w:hAnsi="宋体" w:eastAsia="宋体" w:cs="宋体"/>
          <w:spacing w:val="7"/>
          <w:sz w:val="23"/>
          <w:szCs w:val="23"/>
        </w:rPr>
        <w:t>进企业优化升级，加强环境保护，提高资源综合利用技术和管理水平，引导行</w:t>
      </w:r>
      <w:r>
        <w:rPr>
          <w:rFonts w:ascii="宋体" w:hAnsi="宋体" w:eastAsia="宋体" w:cs="宋体"/>
          <w:sz w:val="23"/>
          <w:szCs w:val="23"/>
        </w:rPr>
        <w:t xml:space="preserve"> </w:t>
      </w:r>
      <w:r>
        <w:rPr>
          <w:rFonts w:ascii="宋体" w:hAnsi="宋体" w:eastAsia="宋体" w:cs="宋体"/>
          <w:spacing w:val="14"/>
          <w:sz w:val="23"/>
          <w:szCs w:val="23"/>
        </w:rPr>
        <w:t>业</w:t>
      </w:r>
      <w:r>
        <w:rPr>
          <w:rFonts w:ascii="宋体" w:hAnsi="宋体" w:eastAsia="宋体" w:cs="宋体"/>
          <w:spacing w:val="9"/>
          <w:sz w:val="23"/>
          <w:szCs w:val="23"/>
        </w:rPr>
        <w:t>健康持续发展，工业和信息化部制定了《废塑料综合利用行业规范条件》。</w:t>
      </w:r>
    </w:p>
    <w:p w14:paraId="62CF56C2">
      <w:pPr>
        <w:spacing w:before="133" w:line="389" w:lineRule="auto"/>
        <w:ind w:left="124" w:right="107" w:firstLine="473"/>
        <w:rPr>
          <w:rFonts w:ascii="宋体" w:hAnsi="宋体" w:eastAsia="宋体" w:cs="宋体"/>
          <w:sz w:val="23"/>
          <w:szCs w:val="23"/>
        </w:rPr>
      </w:pPr>
      <w:r>
        <w:rPr>
          <w:rFonts w:ascii="宋体" w:hAnsi="宋体" w:eastAsia="宋体" w:cs="宋体"/>
          <w:spacing w:val="12"/>
          <w:sz w:val="23"/>
          <w:szCs w:val="23"/>
        </w:rPr>
        <w:t>本项目</w:t>
      </w:r>
      <w:r>
        <w:rPr>
          <w:rFonts w:ascii="宋体" w:hAnsi="宋体" w:eastAsia="宋体" w:cs="宋体"/>
          <w:spacing w:val="10"/>
          <w:sz w:val="23"/>
          <w:szCs w:val="23"/>
        </w:rPr>
        <w:t>与</w:t>
      </w:r>
      <w:r>
        <w:rPr>
          <w:rFonts w:ascii="宋体" w:hAnsi="宋体" w:eastAsia="宋体" w:cs="宋体"/>
          <w:spacing w:val="6"/>
          <w:sz w:val="23"/>
          <w:szCs w:val="23"/>
        </w:rPr>
        <w:t>《废塑料综合利用行业规范条件》 (中华人民共和国工业和信息</w:t>
      </w:r>
      <w:r>
        <w:rPr>
          <w:rFonts w:hint="eastAsia" w:ascii="宋体" w:hAnsi="宋体" w:eastAsia="宋体" w:cs="宋体"/>
          <w:spacing w:val="6"/>
          <w:sz w:val="23"/>
          <w:szCs w:val="23"/>
          <w:lang w:val="en-US" w:eastAsia="zh-CN"/>
        </w:rPr>
        <w:t>化</w:t>
      </w:r>
      <w:r>
        <w:rPr>
          <w:rFonts w:ascii="宋体" w:hAnsi="宋体" w:eastAsia="宋体" w:cs="宋体"/>
          <w:spacing w:val="6"/>
          <w:sz w:val="23"/>
          <w:szCs w:val="23"/>
        </w:rPr>
        <w:t>部</w:t>
      </w:r>
      <w:r>
        <w:rPr>
          <w:rFonts w:ascii="宋体" w:hAnsi="宋体" w:eastAsia="宋体" w:cs="宋体"/>
          <w:sz w:val="23"/>
          <w:szCs w:val="23"/>
        </w:rPr>
        <w:t xml:space="preserve"> </w:t>
      </w:r>
      <w:r>
        <w:rPr>
          <w:rFonts w:ascii="宋体" w:hAnsi="宋体" w:eastAsia="宋体" w:cs="宋体"/>
          <w:spacing w:val="2"/>
          <w:sz w:val="23"/>
          <w:szCs w:val="23"/>
        </w:rPr>
        <w:t xml:space="preserve">公告 </w:t>
      </w:r>
      <w:r>
        <w:rPr>
          <w:rFonts w:ascii="Times New Roman" w:hAnsi="Times New Roman" w:eastAsia="Times New Roman" w:cs="Times New Roman"/>
          <w:spacing w:val="2"/>
          <w:sz w:val="23"/>
          <w:szCs w:val="23"/>
        </w:rPr>
        <w:t>2</w:t>
      </w:r>
      <w:r>
        <w:rPr>
          <w:rFonts w:ascii="Times New Roman" w:hAnsi="Times New Roman" w:eastAsia="Times New Roman" w:cs="Times New Roman"/>
          <w:spacing w:val="1"/>
          <w:sz w:val="23"/>
          <w:szCs w:val="23"/>
        </w:rPr>
        <w:t xml:space="preserve">015 </w:t>
      </w:r>
      <w:r>
        <w:rPr>
          <w:rFonts w:ascii="宋体" w:hAnsi="宋体" w:eastAsia="宋体" w:cs="宋体"/>
          <w:spacing w:val="1"/>
          <w:sz w:val="23"/>
          <w:szCs w:val="23"/>
        </w:rPr>
        <w:t xml:space="preserve">年第 </w:t>
      </w:r>
      <w:r>
        <w:rPr>
          <w:rFonts w:ascii="Times New Roman" w:hAnsi="Times New Roman" w:eastAsia="Times New Roman" w:cs="Times New Roman"/>
          <w:spacing w:val="1"/>
          <w:sz w:val="23"/>
          <w:szCs w:val="23"/>
        </w:rPr>
        <w:t xml:space="preserve">81 </w:t>
      </w:r>
      <w:r>
        <w:rPr>
          <w:rFonts w:ascii="宋体" w:hAnsi="宋体" w:eastAsia="宋体" w:cs="宋体"/>
          <w:spacing w:val="1"/>
          <w:sz w:val="23"/>
          <w:szCs w:val="23"/>
        </w:rPr>
        <w:t>号) 符合性见下表。</w:t>
      </w:r>
    </w:p>
    <w:p w14:paraId="07F9CCD6">
      <w:pPr>
        <w:spacing w:before="142" w:line="228" w:lineRule="auto"/>
        <w:ind w:left="119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项目与《废塑料综合利用行业规范条件》符合性</w:t>
      </w:r>
    </w:p>
    <w:p w14:paraId="3E1EDB85">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4268"/>
        <w:gridCol w:w="2943"/>
        <w:gridCol w:w="751"/>
      </w:tblGrid>
      <w:tr w14:paraId="2FF9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4" w:hRule="atLeast"/>
        </w:trPr>
        <w:tc>
          <w:tcPr>
            <w:tcW w:w="560" w:type="dxa"/>
            <w:tcBorders>
              <w:left w:val="nil"/>
            </w:tcBorders>
            <w:vAlign w:val="top"/>
          </w:tcPr>
          <w:p w14:paraId="4E838962">
            <w:pPr>
              <w:spacing w:before="139" w:line="228" w:lineRule="auto"/>
              <w:ind w:left="7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4268" w:type="dxa"/>
            <w:vAlign w:val="top"/>
          </w:tcPr>
          <w:p w14:paraId="11E2E756">
            <w:pPr>
              <w:spacing w:before="139" w:line="229" w:lineRule="auto"/>
              <w:ind w:left="171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规</w:t>
            </w:r>
            <w:r>
              <w:rPr>
                <w:rFonts w:ascii="宋体" w:hAnsi="宋体" w:eastAsia="宋体" w:cs="宋体"/>
                <w:spacing w:val="8"/>
                <w:sz w:val="20"/>
                <w:szCs w:val="20"/>
                <w14:textOutline w14:w="3795" w14:cap="sq" w14:cmpd="sng">
                  <w14:solidFill>
                    <w14:srgbClr w14:val="000000"/>
                  </w14:solidFill>
                  <w14:prstDash w14:val="solid"/>
                  <w14:bevel/>
                </w14:textOutline>
              </w:rPr>
              <w:t>范要求</w:t>
            </w:r>
          </w:p>
        </w:tc>
        <w:tc>
          <w:tcPr>
            <w:tcW w:w="2943" w:type="dxa"/>
            <w:vAlign w:val="top"/>
          </w:tcPr>
          <w:p w14:paraId="56C6FA37">
            <w:pPr>
              <w:spacing w:before="139" w:line="227" w:lineRule="auto"/>
              <w:ind w:left="95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本</w:t>
            </w:r>
            <w:r>
              <w:rPr>
                <w:rFonts w:ascii="宋体" w:hAnsi="宋体" w:eastAsia="宋体" w:cs="宋体"/>
                <w:spacing w:val="8"/>
                <w:sz w:val="20"/>
                <w:szCs w:val="20"/>
                <w14:textOutline w14:w="3795" w14:cap="sq" w14:cmpd="sng">
                  <w14:solidFill>
                    <w14:srgbClr w14:val="000000"/>
                  </w14:solidFill>
                  <w14:prstDash w14:val="solid"/>
                  <w14:bevel/>
                </w14:textOutline>
              </w:rPr>
              <w:t>项目情况</w:t>
            </w:r>
          </w:p>
        </w:tc>
        <w:tc>
          <w:tcPr>
            <w:tcW w:w="751" w:type="dxa"/>
            <w:tcBorders>
              <w:right w:val="nil"/>
            </w:tcBorders>
            <w:vAlign w:val="top"/>
          </w:tcPr>
          <w:p w14:paraId="3DD7370E">
            <w:pPr>
              <w:spacing w:before="139" w:line="228" w:lineRule="auto"/>
              <w:ind w:left="6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符合性</w:t>
            </w:r>
          </w:p>
        </w:tc>
      </w:tr>
      <w:tr w14:paraId="1C467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2" w:hRule="atLeast"/>
        </w:trPr>
        <w:tc>
          <w:tcPr>
            <w:tcW w:w="560" w:type="dxa"/>
            <w:tcBorders>
              <w:left w:val="nil"/>
            </w:tcBorders>
            <w:vAlign w:val="top"/>
          </w:tcPr>
          <w:p w14:paraId="0FE52A7E">
            <w:pPr>
              <w:spacing w:line="262" w:lineRule="auto"/>
              <w:rPr>
                <w:rFonts w:ascii="Arial"/>
                <w:sz w:val="21"/>
              </w:rPr>
            </w:pPr>
          </w:p>
          <w:p w14:paraId="23D2C935">
            <w:pPr>
              <w:spacing w:line="262" w:lineRule="auto"/>
              <w:rPr>
                <w:rFonts w:ascii="Arial"/>
                <w:sz w:val="21"/>
              </w:rPr>
            </w:pPr>
          </w:p>
          <w:p w14:paraId="66B059C0">
            <w:pPr>
              <w:spacing w:line="262" w:lineRule="auto"/>
              <w:rPr>
                <w:rFonts w:ascii="Arial"/>
                <w:sz w:val="21"/>
              </w:rPr>
            </w:pPr>
          </w:p>
          <w:p w14:paraId="7C6E6608">
            <w:pPr>
              <w:spacing w:line="262" w:lineRule="auto"/>
              <w:rPr>
                <w:rFonts w:ascii="Arial"/>
                <w:sz w:val="21"/>
              </w:rPr>
            </w:pPr>
          </w:p>
          <w:p w14:paraId="3F7EFA21">
            <w:pPr>
              <w:spacing w:line="262" w:lineRule="auto"/>
              <w:rPr>
                <w:rFonts w:ascii="Arial"/>
                <w:sz w:val="21"/>
              </w:rPr>
            </w:pPr>
          </w:p>
          <w:p w14:paraId="05508781">
            <w:pPr>
              <w:spacing w:line="262" w:lineRule="auto"/>
              <w:rPr>
                <w:rFonts w:ascii="Arial"/>
                <w:sz w:val="21"/>
              </w:rPr>
            </w:pPr>
          </w:p>
          <w:p w14:paraId="47EEB9B3">
            <w:pPr>
              <w:spacing w:line="263" w:lineRule="auto"/>
              <w:rPr>
                <w:rFonts w:ascii="Arial"/>
                <w:sz w:val="21"/>
              </w:rPr>
            </w:pPr>
          </w:p>
          <w:p w14:paraId="27CFADCB">
            <w:pPr>
              <w:spacing w:line="263" w:lineRule="auto"/>
              <w:rPr>
                <w:rFonts w:ascii="Arial"/>
                <w:sz w:val="21"/>
              </w:rPr>
            </w:pPr>
          </w:p>
          <w:p w14:paraId="761F38C8">
            <w:pPr>
              <w:spacing w:line="263" w:lineRule="auto"/>
              <w:rPr>
                <w:rFonts w:ascii="Arial"/>
                <w:sz w:val="21"/>
              </w:rPr>
            </w:pPr>
          </w:p>
          <w:p w14:paraId="0B813722">
            <w:pPr>
              <w:spacing w:line="263" w:lineRule="auto"/>
              <w:rPr>
                <w:rFonts w:ascii="Arial"/>
                <w:sz w:val="21"/>
              </w:rPr>
            </w:pPr>
          </w:p>
          <w:p w14:paraId="38B4B498">
            <w:pPr>
              <w:spacing w:before="65" w:line="292" w:lineRule="auto"/>
              <w:ind w:left="77" w:right="70" w:firstLine="3"/>
              <w:rPr>
                <w:rFonts w:ascii="宋体" w:hAnsi="宋体" w:eastAsia="宋体" w:cs="宋体"/>
                <w:sz w:val="20"/>
                <w:szCs w:val="20"/>
              </w:rPr>
            </w:pPr>
            <w:r>
              <w:rPr>
                <w:rFonts w:ascii="宋体" w:hAnsi="宋体" w:eastAsia="宋体" w:cs="宋体"/>
                <w:spacing w:val="3"/>
                <w:sz w:val="20"/>
                <w:szCs w:val="20"/>
              </w:rPr>
              <w:t>企业</w:t>
            </w:r>
            <w:r>
              <w:rPr>
                <w:rFonts w:ascii="宋体" w:hAnsi="宋体" w:eastAsia="宋体" w:cs="宋体"/>
                <w:sz w:val="20"/>
                <w:szCs w:val="20"/>
              </w:rPr>
              <w:t xml:space="preserve"> </w:t>
            </w:r>
            <w:r>
              <w:rPr>
                <w:rFonts w:ascii="宋体" w:hAnsi="宋体" w:eastAsia="宋体" w:cs="宋体"/>
                <w:spacing w:val="5"/>
                <w:sz w:val="20"/>
                <w:szCs w:val="20"/>
              </w:rPr>
              <w:t>的</w:t>
            </w:r>
            <w:r>
              <w:rPr>
                <w:rFonts w:ascii="宋体" w:hAnsi="宋体" w:eastAsia="宋体" w:cs="宋体"/>
                <w:spacing w:val="4"/>
                <w:sz w:val="20"/>
                <w:szCs w:val="20"/>
              </w:rPr>
              <w:t>设</w:t>
            </w:r>
            <w:r>
              <w:rPr>
                <w:rFonts w:ascii="宋体" w:hAnsi="宋体" w:eastAsia="宋体" w:cs="宋体"/>
                <w:sz w:val="20"/>
                <w:szCs w:val="20"/>
              </w:rPr>
              <w:t xml:space="preserve"> </w:t>
            </w:r>
            <w:r>
              <w:rPr>
                <w:rFonts w:ascii="宋体" w:hAnsi="宋体" w:eastAsia="宋体" w:cs="宋体"/>
                <w:spacing w:val="5"/>
                <w:sz w:val="20"/>
                <w:szCs w:val="20"/>
              </w:rPr>
              <w:t>立</w:t>
            </w:r>
            <w:r>
              <w:rPr>
                <w:rFonts w:ascii="宋体" w:hAnsi="宋体" w:eastAsia="宋体" w:cs="宋体"/>
                <w:spacing w:val="4"/>
                <w:sz w:val="20"/>
                <w:szCs w:val="20"/>
              </w:rPr>
              <w:t>和</w:t>
            </w:r>
            <w:r>
              <w:rPr>
                <w:rFonts w:ascii="宋体" w:hAnsi="宋体" w:eastAsia="宋体" w:cs="宋体"/>
                <w:sz w:val="20"/>
                <w:szCs w:val="20"/>
              </w:rPr>
              <w:t xml:space="preserve"> </w:t>
            </w:r>
            <w:r>
              <w:rPr>
                <w:rFonts w:ascii="宋体" w:hAnsi="宋体" w:eastAsia="宋体" w:cs="宋体"/>
                <w:spacing w:val="5"/>
                <w:sz w:val="20"/>
                <w:szCs w:val="20"/>
              </w:rPr>
              <w:t>布</w:t>
            </w:r>
            <w:r>
              <w:rPr>
                <w:rFonts w:ascii="宋体" w:hAnsi="宋体" w:eastAsia="宋体" w:cs="宋体"/>
                <w:spacing w:val="4"/>
                <w:sz w:val="20"/>
                <w:szCs w:val="20"/>
              </w:rPr>
              <w:t>局</w:t>
            </w:r>
          </w:p>
        </w:tc>
        <w:tc>
          <w:tcPr>
            <w:tcW w:w="4268" w:type="dxa"/>
            <w:vAlign w:val="top"/>
          </w:tcPr>
          <w:p w14:paraId="490E2F73">
            <w:pPr>
              <w:spacing w:before="232" w:line="287" w:lineRule="auto"/>
              <w:ind w:left="24" w:firstLine="20"/>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、废塑料综合利用企业是指采用物理机械法对</w:t>
            </w:r>
            <w:r>
              <w:rPr>
                <w:rFonts w:ascii="宋体" w:hAnsi="宋体" w:eastAsia="宋体" w:cs="宋体"/>
                <w:spacing w:val="-4"/>
                <w:sz w:val="20"/>
                <w:szCs w:val="20"/>
              </w:rPr>
              <w:t>热</w:t>
            </w:r>
            <w:r>
              <w:rPr>
                <w:rFonts w:ascii="宋体" w:hAnsi="宋体" w:eastAsia="宋体" w:cs="宋体"/>
                <w:sz w:val="20"/>
                <w:szCs w:val="20"/>
              </w:rPr>
              <w:t xml:space="preserve"> </w:t>
            </w:r>
            <w:r>
              <w:rPr>
                <w:rFonts w:ascii="宋体" w:hAnsi="宋体" w:eastAsia="宋体" w:cs="宋体"/>
                <w:spacing w:val="-1"/>
                <w:sz w:val="20"/>
                <w:szCs w:val="20"/>
              </w:rPr>
              <w:t>塑性废塑料进</w:t>
            </w:r>
            <w:r>
              <w:rPr>
                <w:rFonts w:ascii="宋体" w:hAnsi="宋体" w:eastAsia="宋体" w:cs="宋体"/>
                <w:sz w:val="20"/>
                <w:szCs w:val="20"/>
              </w:rPr>
              <w:t xml:space="preserve">行再生加工的企业，企业类型主要 </w:t>
            </w:r>
            <w:r>
              <w:rPr>
                <w:rFonts w:ascii="宋体" w:hAnsi="宋体" w:eastAsia="宋体" w:cs="宋体"/>
                <w:spacing w:val="-8"/>
                <w:sz w:val="20"/>
                <w:szCs w:val="20"/>
              </w:rPr>
              <w:t xml:space="preserve">包括 </w:t>
            </w:r>
            <w:r>
              <w:rPr>
                <w:rFonts w:ascii="Times New Roman" w:hAnsi="Times New Roman" w:eastAsia="Times New Roman" w:cs="Times New Roman"/>
                <w:spacing w:val="-4"/>
                <w:sz w:val="20"/>
                <w:szCs w:val="20"/>
              </w:rPr>
              <w:t>PET</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再生瓶片类企业、废塑料破碎清洗分选</w:t>
            </w:r>
            <w:r>
              <w:rPr>
                <w:rFonts w:ascii="宋体" w:hAnsi="宋体" w:eastAsia="宋体" w:cs="宋体"/>
                <w:sz w:val="20"/>
                <w:szCs w:val="20"/>
              </w:rPr>
              <w:t xml:space="preserve"> </w:t>
            </w:r>
            <w:r>
              <w:rPr>
                <w:rFonts w:ascii="宋体" w:hAnsi="宋体" w:eastAsia="宋体" w:cs="宋体"/>
                <w:spacing w:val="-2"/>
                <w:sz w:val="20"/>
                <w:szCs w:val="20"/>
              </w:rPr>
              <w:t>类企业以及塑料再生造粒类</w:t>
            </w:r>
            <w:r>
              <w:rPr>
                <w:rFonts w:ascii="宋体" w:hAnsi="宋体" w:eastAsia="宋体" w:cs="宋体"/>
                <w:spacing w:val="-1"/>
                <w:sz w:val="20"/>
                <w:szCs w:val="20"/>
              </w:rPr>
              <w:t>企业。</w:t>
            </w:r>
            <w:r>
              <w:rPr>
                <w:rFonts w:ascii="宋体" w:hAnsi="宋体" w:eastAsia="宋体" w:cs="宋体"/>
                <w:sz w:val="20"/>
                <w:szCs w:val="20"/>
              </w:rPr>
              <w:t xml:space="preserve">             </w:t>
            </w:r>
            <w:r>
              <w:rPr>
                <w:rFonts w:ascii="Times New Roman" w:hAnsi="Times New Roman" w:eastAsia="Times New Roman" w:cs="Times New Roman"/>
                <w:spacing w:val="-5"/>
                <w:sz w:val="20"/>
                <w:szCs w:val="20"/>
              </w:rPr>
              <w:t>2</w:t>
            </w:r>
            <w:r>
              <w:rPr>
                <w:rFonts w:ascii="宋体" w:hAnsi="宋体" w:eastAsia="宋体" w:cs="宋体"/>
                <w:spacing w:val="-5"/>
                <w:sz w:val="20"/>
                <w:szCs w:val="20"/>
              </w:rPr>
              <w:t>、废塑料综合利用企业所涉及的热塑性废塑料</w:t>
            </w:r>
            <w:r>
              <w:rPr>
                <w:rFonts w:ascii="宋体" w:hAnsi="宋体" w:eastAsia="宋体" w:cs="宋体"/>
                <w:spacing w:val="-4"/>
                <w:sz w:val="20"/>
                <w:szCs w:val="20"/>
              </w:rPr>
              <w:t>原</w:t>
            </w:r>
            <w:r>
              <w:rPr>
                <w:rFonts w:ascii="宋体" w:hAnsi="宋体" w:eastAsia="宋体" w:cs="宋体"/>
                <w:sz w:val="20"/>
                <w:szCs w:val="20"/>
              </w:rPr>
              <w:t xml:space="preserve"> </w:t>
            </w:r>
            <w:r>
              <w:rPr>
                <w:rFonts w:ascii="宋体" w:hAnsi="宋体" w:eastAsia="宋体" w:cs="宋体"/>
                <w:spacing w:val="-1"/>
                <w:sz w:val="20"/>
                <w:szCs w:val="20"/>
              </w:rPr>
              <w:t>料，不包括受</w:t>
            </w:r>
            <w:r>
              <w:rPr>
                <w:rFonts w:ascii="宋体" w:hAnsi="宋体" w:eastAsia="宋体" w:cs="宋体"/>
                <w:sz w:val="20"/>
                <w:szCs w:val="20"/>
              </w:rPr>
              <w:t xml:space="preserve">到危险化学品、农药等污染的废弃 </w:t>
            </w:r>
            <w:r>
              <w:rPr>
                <w:rFonts w:ascii="宋体" w:hAnsi="宋体" w:eastAsia="宋体" w:cs="宋体"/>
                <w:spacing w:val="-1"/>
                <w:sz w:val="20"/>
                <w:szCs w:val="20"/>
              </w:rPr>
              <w:t>塑料包装物、</w:t>
            </w:r>
            <w:r>
              <w:rPr>
                <w:rFonts w:ascii="宋体" w:hAnsi="宋体" w:eastAsia="宋体" w:cs="宋体"/>
                <w:sz w:val="20"/>
                <w:szCs w:val="20"/>
              </w:rPr>
              <w:t xml:space="preserve">废弃一次性医疗用塑料制品等塑料 </w:t>
            </w:r>
            <w:r>
              <w:rPr>
                <w:rFonts w:ascii="宋体" w:hAnsi="宋体" w:eastAsia="宋体" w:cs="宋体"/>
                <w:spacing w:val="-4"/>
                <w:sz w:val="20"/>
                <w:szCs w:val="20"/>
              </w:rPr>
              <w:t>类危</w:t>
            </w:r>
            <w:r>
              <w:rPr>
                <w:rFonts w:ascii="宋体" w:hAnsi="宋体" w:eastAsia="宋体" w:cs="宋体"/>
                <w:spacing w:val="-2"/>
                <w:sz w:val="20"/>
                <w:szCs w:val="20"/>
              </w:rPr>
              <w:t>险废物，以及氟塑料等特种工程塑料。</w:t>
            </w:r>
            <w:r>
              <w:rPr>
                <w:rFonts w:ascii="宋体" w:hAnsi="宋体" w:eastAsia="宋体" w:cs="宋体"/>
                <w:sz w:val="20"/>
                <w:szCs w:val="20"/>
              </w:rPr>
              <w:t xml:space="preserve">     </w:t>
            </w:r>
            <w:r>
              <w:rPr>
                <w:rFonts w:ascii="Times New Roman" w:hAnsi="Times New Roman" w:eastAsia="Times New Roman" w:cs="Times New Roman"/>
                <w:spacing w:val="-5"/>
                <w:sz w:val="20"/>
                <w:szCs w:val="20"/>
              </w:rPr>
              <w:t>3</w:t>
            </w:r>
            <w:r>
              <w:rPr>
                <w:rFonts w:ascii="宋体" w:hAnsi="宋体" w:eastAsia="宋体" w:cs="宋体"/>
                <w:spacing w:val="-5"/>
                <w:sz w:val="20"/>
                <w:szCs w:val="20"/>
              </w:rPr>
              <w:t>、新建及改造、扩建废塑料加工企业应符合国</w:t>
            </w:r>
            <w:r>
              <w:rPr>
                <w:rFonts w:ascii="宋体" w:hAnsi="宋体" w:eastAsia="宋体" w:cs="宋体"/>
                <w:spacing w:val="-1"/>
                <w:sz w:val="20"/>
                <w:szCs w:val="20"/>
              </w:rPr>
              <w:t>家</w:t>
            </w:r>
            <w:r>
              <w:rPr>
                <w:rFonts w:ascii="宋体" w:hAnsi="宋体" w:eastAsia="宋体" w:cs="宋体"/>
                <w:sz w:val="20"/>
                <w:szCs w:val="20"/>
              </w:rPr>
              <w:t xml:space="preserve"> </w:t>
            </w:r>
            <w:r>
              <w:rPr>
                <w:rFonts w:ascii="宋体" w:hAnsi="宋体" w:eastAsia="宋体" w:cs="宋体"/>
                <w:spacing w:val="-1"/>
                <w:sz w:val="20"/>
                <w:szCs w:val="20"/>
              </w:rPr>
              <w:t>产业政策及所</w:t>
            </w:r>
            <w:r>
              <w:rPr>
                <w:rFonts w:ascii="宋体" w:hAnsi="宋体" w:eastAsia="宋体" w:cs="宋体"/>
                <w:sz w:val="20"/>
                <w:szCs w:val="20"/>
              </w:rPr>
              <w:t xml:space="preserve">在地区土地利用总体规划、城乡建 </w:t>
            </w:r>
            <w:r>
              <w:rPr>
                <w:rFonts w:ascii="宋体" w:hAnsi="宋体" w:eastAsia="宋体" w:cs="宋体"/>
                <w:spacing w:val="-1"/>
                <w:sz w:val="20"/>
                <w:szCs w:val="20"/>
              </w:rPr>
              <w:t>设规划、环境</w:t>
            </w:r>
            <w:r>
              <w:rPr>
                <w:rFonts w:ascii="宋体" w:hAnsi="宋体" w:eastAsia="宋体" w:cs="宋体"/>
                <w:sz w:val="20"/>
                <w:szCs w:val="20"/>
              </w:rPr>
              <w:t xml:space="preserve">保护、污染防治规划。企业建设应 </w:t>
            </w:r>
            <w:r>
              <w:rPr>
                <w:rFonts w:ascii="宋体" w:hAnsi="宋体" w:eastAsia="宋体" w:cs="宋体"/>
                <w:spacing w:val="-1"/>
                <w:sz w:val="20"/>
                <w:szCs w:val="20"/>
              </w:rPr>
              <w:t>有规范化设计</w:t>
            </w:r>
            <w:r>
              <w:rPr>
                <w:rFonts w:ascii="宋体" w:hAnsi="宋体" w:eastAsia="宋体" w:cs="宋体"/>
                <w:sz w:val="20"/>
                <w:szCs w:val="20"/>
              </w:rPr>
              <w:t xml:space="preserve">要求，采用节能环保技术及生产装 </w:t>
            </w:r>
            <w:r>
              <w:rPr>
                <w:rFonts w:ascii="宋体" w:hAnsi="宋体" w:eastAsia="宋体" w:cs="宋体"/>
                <w:spacing w:val="10"/>
                <w:sz w:val="20"/>
                <w:szCs w:val="20"/>
              </w:rPr>
              <w:t>备。</w:t>
            </w:r>
            <w:r>
              <w:rPr>
                <w:rFonts w:ascii="宋体" w:hAnsi="宋体" w:eastAsia="宋体" w:cs="宋体"/>
                <w:sz w:val="20"/>
                <w:szCs w:val="20"/>
              </w:rPr>
              <w:t xml:space="preserve">                                      </w:t>
            </w:r>
            <w:r>
              <w:rPr>
                <w:rFonts w:ascii="Times New Roman" w:hAnsi="Times New Roman" w:eastAsia="Times New Roman" w:cs="Times New Roman"/>
                <w:spacing w:val="-5"/>
                <w:sz w:val="20"/>
                <w:szCs w:val="20"/>
              </w:rPr>
              <w:t>4</w:t>
            </w:r>
            <w:r>
              <w:rPr>
                <w:rFonts w:ascii="宋体" w:hAnsi="宋体" w:eastAsia="宋体" w:cs="宋体"/>
                <w:spacing w:val="-5"/>
                <w:sz w:val="20"/>
                <w:szCs w:val="20"/>
              </w:rPr>
              <w:t>、在国家法律、法规、规章和规划确定或县级</w:t>
            </w:r>
            <w:r>
              <w:rPr>
                <w:rFonts w:ascii="宋体" w:hAnsi="宋体" w:eastAsia="宋体" w:cs="宋体"/>
                <w:spacing w:val="-1"/>
                <w:sz w:val="20"/>
                <w:szCs w:val="20"/>
              </w:rPr>
              <w:t>及</w:t>
            </w:r>
            <w:r>
              <w:rPr>
                <w:rFonts w:ascii="宋体" w:hAnsi="宋体" w:eastAsia="宋体" w:cs="宋体"/>
                <w:sz w:val="20"/>
                <w:szCs w:val="20"/>
              </w:rPr>
              <w:t xml:space="preserve"> </w:t>
            </w:r>
            <w:r>
              <w:rPr>
                <w:rFonts w:ascii="宋体" w:hAnsi="宋体" w:eastAsia="宋体" w:cs="宋体"/>
                <w:spacing w:val="1"/>
                <w:sz w:val="20"/>
                <w:szCs w:val="20"/>
              </w:rPr>
              <w:t>以上人民政府规定的</w:t>
            </w:r>
            <w:r>
              <w:rPr>
                <w:rFonts w:ascii="宋体" w:hAnsi="宋体" w:eastAsia="宋体" w:cs="宋体"/>
                <w:sz w:val="20"/>
                <w:szCs w:val="20"/>
              </w:rPr>
              <w:t xml:space="preserve">自然保护区、风景名胜区、 </w:t>
            </w:r>
            <w:r>
              <w:rPr>
                <w:rFonts w:ascii="宋体" w:hAnsi="宋体" w:eastAsia="宋体" w:cs="宋体"/>
                <w:spacing w:val="-1"/>
                <w:sz w:val="20"/>
                <w:szCs w:val="20"/>
              </w:rPr>
              <w:t>饮用水源保护</w:t>
            </w:r>
            <w:r>
              <w:rPr>
                <w:rFonts w:ascii="宋体" w:hAnsi="宋体" w:eastAsia="宋体" w:cs="宋体"/>
                <w:sz w:val="20"/>
                <w:szCs w:val="20"/>
              </w:rPr>
              <w:t xml:space="preserve">区、基本农田保护区和其他需要特 </w:t>
            </w:r>
            <w:r>
              <w:rPr>
                <w:rFonts w:ascii="宋体" w:hAnsi="宋体" w:eastAsia="宋体" w:cs="宋体"/>
                <w:spacing w:val="-14"/>
                <w:sz w:val="20"/>
                <w:szCs w:val="20"/>
              </w:rPr>
              <w:t>别</w:t>
            </w:r>
            <w:r>
              <w:rPr>
                <w:rFonts w:ascii="宋体" w:hAnsi="宋体" w:eastAsia="宋体" w:cs="宋体"/>
                <w:spacing w:val="-8"/>
                <w:sz w:val="20"/>
                <w:szCs w:val="20"/>
              </w:rPr>
              <w:t>保</w:t>
            </w:r>
            <w:r>
              <w:rPr>
                <w:rFonts w:ascii="宋体" w:hAnsi="宋体" w:eastAsia="宋体" w:cs="宋体"/>
                <w:spacing w:val="-7"/>
                <w:sz w:val="20"/>
                <w:szCs w:val="20"/>
              </w:rPr>
              <w:t>护的区域内，不得新建废塑料综合利用企业；</w:t>
            </w:r>
            <w:r>
              <w:rPr>
                <w:rFonts w:ascii="宋体" w:hAnsi="宋体" w:eastAsia="宋体" w:cs="宋体"/>
                <w:sz w:val="20"/>
                <w:szCs w:val="20"/>
              </w:rPr>
              <w:t xml:space="preserve"> </w:t>
            </w:r>
            <w:r>
              <w:rPr>
                <w:rFonts w:ascii="宋体" w:hAnsi="宋体" w:eastAsia="宋体" w:cs="宋体"/>
                <w:spacing w:val="1"/>
                <w:sz w:val="20"/>
                <w:szCs w:val="20"/>
              </w:rPr>
              <w:t>已在上述区域投产运营的废</w:t>
            </w:r>
            <w:r>
              <w:rPr>
                <w:rFonts w:ascii="宋体" w:hAnsi="宋体" w:eastAsia="宋体" w:cs="宋体"/>
                <w:sz w:val="20"/>
                <w:szCs w:val="20"/>
              </w:rPr>
              <w:t xml:space="preserve">塑料综合利用企业， </w:t>
            </w:r>
            <w:r>
              <w:rPr>
                <w:rFonts w:ascii="宋体" w:hAnsi="宋体" w:eastAsia="宋体" w:cs="宋体"/>
                <w:spacing w:val="-1"/>
                <w:sz w:val="20"/>
                <w:szCs w:val="20"/>
              </w:rPr>
              <w:t>要根据该区域</w:t>
            </w:r>
            <w:r>
              <w:rPr>
                <w:rFonts w:ascii="宋体" w:hAnsi="宋体" w:eastAsia="宋体" w:cs="宋体"/>
                <w:sz w:val="20"/>
                <w:szCs w:val="20"/>
              </w:rPr>
              <w:t xml:space="preserve">规划要求，依法通过搬迁、转产等 </w:t>
            </w:r>
            <w:r>
              <w:rPr>
                <w:rFonts w:ascii="宋体" w:hAnsi="宋体" w:eastAsia="宋体" w:cs="宋体"/>
                <w:spacing w:val="-4"/>
                <w:sz w:val="20"/>
                <w:szCs w:val="20"/>
              </w:rPr>
              <w:t>方</w:t>
            </w:r>
            <w:r>
              <w:rPr>
                <w:rFonts w:ascii="宋体" w:hAnsi="宋体" w:eastAsia="宋体" w:cs="宋体"/>
                <w:spacing w:val="-2"/>
                <w:sz w:val="20"/>
                <w:szCs w:val="20"/>
              </w:rPr>
              <w:t>式逐步退出。</w:t>
            </w:r>
          </w:p>
        </w:tc>
        <w:tc>
          <w:tcPr>
            <w:tcW w:w="2943" w:type="dxa"/>
            <w:vAlign w:val="top"/>
          </w:tcPr>
          <w:p w14:paraId="040F00E8">
            <w:pPr>
              <w:spacing w:before="73" w:line="283" w:lineRule="auto"/>
              <w:ind w:left="27" w:right="21" w:firstLine="4"/>
              <w:rPr>
                <w:rFonts w:ascii="宋体" w:hAnsi="宋体" w:eastAsia="宋体" w:cs="宋体"/>
                <w:sz w:val="20"/>
                <w:szCs w:val="20"/>
              </w:rPr>
            </w:pPr>
            <w:r>
              <w:rPr>
                <w:rFonts w:ascii="宋体" w:hAnsi="宋体" w:eastAsia="宋体" w:cs="宋体"/>
                <w:spacing w:val="30"/>
                <w:sz w:val="20"/>
                <w:szCs w:val="20"/>
              </w:rPr>
              <w:t>该</w:t>
            </w:r>
            <w:r>
              <w:rPr>
                <w:rFonts w:ascii="宋体" w:hAnsi="宋体" w:eastAsia="宋体" w:cs="宋体"/>
                <w:spacing w:val="21"/>
                <w:sz w:val="20"/>
                <w:szCs w:val="20"/>
              </w:rPr>
              <w:t>项目属于塑料再生造粒类企</w:t>
            </w:r>
            <w:r>
              <w:rPr>
                <w:rFonts w:ascii="宋体" w:hAnsi="宋体" w:eastAsia="宋体" w:cs="宋体"/>
                <w:sz w:val="20"/>
                <w:szCs w:val="20"/>
              </w:rPr>
              <w:t xml:space="preserve"> </w:t>
            </w:r>
            <w:r>
              <w:rPr>
                <w:rFonts w:ascii="宋体" w:hAnsi="宋体" w:eastAsia="宋体" w:cs="宋体"/>
                <w:spacing w:val="11"/>
                <w:sz w:val="20"/>
                <w:szCs w:val="20"/>
              </w:rPr>
              <w:t>业</w:t>
            </w:r>
            <w:r>
              <w:rPr>
                <w:rFonts w:ascii="宋体" w:hAnsi="宋体" w:eastAsia="宋体" w:cs="宋体"/>
                <w:spacing w:val="6"/>
                <w:sz w:val="20"/>
                <w:szCs w:val="20"/>
              </w:rPr>
              <w:t>，所用原料为废塑料编织袋，</w:t>
            </w:r>
            <w:r>
              <w:rPr>
                <w:rFonts w:ascii="宋体" w:hAnsi="宋体" w:eastAsia="宋体" w:cs="宋体"/>
                <w:sz w:val="20"/>
                <w:szCs w:val="20"/>
              </w:rPr>
              <w:t xml:space="preserve"> </w:t>
            </w:r>
            <w:r>
              <w:rPr>
                <w:rFonts w:ascii="宋体" w:hAnsi="宋体" w:eastAsia="宋体" w:cs="宋体"/>
                <w:spacing w:val="25"/>
                <w:sz w:val="20"/>
                <w:szCs w:val="20"/>
              </w:rPr>
              <w:t>均</w:t>
            </w:r>
            <w:r>
              <w:rPr>
                <w:rFonts w:ascii="宋体" w:hAnsi="宋体" w:eastAsia="宋体" w:cs="宋体"/>
                <w:spacing w:val="22"/>
                <w:sz w:val="20"/>
                <w:szCs w:val="20"/>
              </w:rPr>
              <w:t>外购于本溪宏远集团北台再</w:t>
            </w:r>
            <w:r>
              <w:rPr>
                <w:rFonts w:ascii="宋体" w:hAnsi="宋体" w:eastAsia="宋体" w:cs="宋体"/>
                <w:sz w:val="20"/>
                <w:szCs w:val="20"/>
              </w:rPr>
              <w:t xml:space="preserve"> </w:t>
            </w:r>
            <w:r>
              <w:rPr>
                <w:rFonts w:ascii="宋体" w:hAnsi="宋体" w:eastAsia="宋体" w:cs="宋体"/>
                <w:spacing w:val="25"/>
                <w:sz w:val="20"/>
                <w:szCs w:val="20"/>
              </w:rPr>
              <w:t>生</w:t>
            </w:r>
            <w:r>
              <w:rPr>
                <w:rFonts w:ascii="宋体" w:hAnsi="宋体" w:eastAsia="宋体" w:cs="宋体"/>
                <w:spacing w:val="22"/>
                <w:sz w:val="20"/>
                <w:szCs w:val="20"/>
              </w:rPr>
              <w:t>资源有限责任公司及平山区</w:t>
            </w:r>
            <w:r>
              <w:rPr>
                <w:rFonts w:ascii="宋体" w:hAnsi="宋体" w:eastAsia="宋体" w:cs="宋体"/>
                <w:sz w:val="20"/>
                <w:szCs w:val="20"/>
              </w:rPr>
              <w:t xml:space="preserve"> </w:t>
            </w:r>
            <w:r>
              <w:rPr>
                <w:rFonts w:ascii="宋体" w:hAnsi="宋体" w:eastAsia="宋体" w:cs="宋体"/>
                <w:spacing w:val="9"/>
                <w:sz w:val="20"/>
                <w:szCs w:val="20"/>
              </w:rPr>
              <w:t>利</w:t>
            </w:r>
            <w:r>
              <w:rPr>
                <w:rFonts w:ascii="宋体" w:hAnsi="宋体" w:eastAsia="宋体" w:cs="宋体"/>
                <w:spacing w:val="6"/>
                <w:sz w:val="20"/>
                <w:szCs w:val="20"/>
              </w:rPr>
              <w:t>安建材城，为本溪宏远集团北</w:t>
            </w:r>
            <w:r>
              <w:rPr>
                <w:rFonts w:ascii="宋体" w:hAnsi="宋体" w:eastAsia="宋体" w:cs="宋体"/>
                <w:sz w:val="20"/>
                <w:szCs w:val="20"/>
              </w:rPr>
              <w:t xml:space="preserve"> </w:t>
            </w:r>
            <w:r>
              <w:rPr>
                <w:rFonts w:ascii="宋体" w:hAnsi="宋体" w:eastAsia="宋体" w:cs="宋体"/>
                <w:spacing w:val="25"/>
                <w:sz w:val="20"/>
                <w:szCs w:val="20"/>
              </w:rPr>
              <w:t>台</w:t>
            </w:r>
            <w:r>
              <w:rPr>
                <w:rFonts w:ascii="宋体" w:hAnsi="宋体" w:eastAsia="宋体" w:cs="宋体"/>
                <w:spacing w:val="22"/>
                <w:sz w:val="20"/>
                <w:szCs w:val="20"/>
              </w:rPr>
              <w:t>再生资源有限责任公司收购</w:t>
            </w:r>
            <w:r>
              <w:rPr>
                <w:rFonts w:ascii="宋体" w:hAnsi="宋体" w:eastAsia="宋体" w:cs="宋体"/>
                <w:sz w:val="20"/>
                <w:szCs w:val="20"/>
              </w:rPr>
              <w:t xml:space="preserve"> </w:t>
            </w:r>
            <w:r>
              <w:rPr>
                <w:rFonts w:ascii="宋体" w:hAnsi="宋体" w:eastAsia="宋体" w:cs="宋体"/>
                <w:spacing w:val="10"/>
                <w:sz w:val="20"/>
                <w:szCs w:val="20"/>
              </w:rPr>
              <w:t>北</w:t>
            </w:r>
            <w:r>
              <w:rPr>
                <w:rFonts w:ascii="宋体" w:hAnsi="宋体" w:eastAsia="宋体" w:cs="宋体"/>
                <w:spacing w:val="9"/>
                <w:sz w:val="20"/>
                <w:szCs w:val="20"/>
              </w:rPr>
              <w:t>台</w:t>
            </w:r>
            <w:r>
              <w:rPr>
                <w:rFonts w:ascii="宋体" w:hAnsi="宋体" w:eastAsia="宋体" w:cs="宋体"/>
                <w:spacing w:val="5"/>
                <w:sz w:val="20"/>
                <w:szCs w:val="20"/>
              </w:rPr>
              <w:t>钢铁 (集团) 有限责任公司</w:t>
            </w:r>
            <w:r>
              <w:rPr>
                <w:rFonts w:ascii="宋体" w:hAnsi="宋体" w:eastAsia="宋体" w:cs="宋体"/>
                <w:sz w:val="20"/>
                <w:szCs w:val="20"/>
              </w:rPr>
              <w:t xml:space="preserve"> </w:t>
            </w:r>
            <w:r>
              <w:rPr>
                <w:rFonts w:ascii="宋体" w:hAnsi="宋体" w:eastAsia="宋体" w:cs="宋体"/>
                <w:spacing w:val="25"/>
                <w:sz w:val="20"/>
                <w:szCs w:val="20"/>
              </w:rPr>
              <w:t>所</w:t>
            </w:r>
            <w:r>
              <w:rPr>
                <w:rFonts w:ascii="宋体" w:hAnsi="宋体" w:eastAsia="宋体" w:cs="宋体"/>
                <w:spacing w:val="22"/>
                <w:sz w:val="20"/>
                <w:szCs w:val="20"/>
              </w:rPr>
              <w:t>用原料合金铁及铝锭的废包</w:t>
            </w:r>
            <w:r>
              <w:rPr>
                <w:rFonts w:ascii="宋体" w:hAnsi="宋体" w:eastAsia="宋体" w:cs="宋体"/>
                <w:sz w:val="20"/>
                <w:szCs w:val="20"/>
              </w:rPr>
              <w:t xml:space="preserve"> </w:t>
            </w:r>
            <w:r>
              <w:rPr>
                <w:rFonts w:ascii="宋体" w:hAnsi="宋体" w:eastAsia="宋体" w:cs="宋体"/>
                <w:spacing w:val="25"/>
                <w:sz w:val="20"/>
                <w:szCs w:val="20"/>
              </w:rPr>
              <w:t>装</w:t>
            </w:r>
            <w:r>
              <w:rPr>
                <w:rFonts w:ascii="宋体" w:hAnsi="宋体" w:eastAsia="宋体" w:cs="宋体"/>
                <w:spacing w:val="22"/>
                <w:sz w:val="20"/>
                <w:szCs w:val="20"/>
              </w:rPr>
              <w:t>袋及平山区利安建材城所销</w:t>
            </w:r>
            <w:r>
              <w:rPr>
                <w:rFonts w:ascii="宋体" w:hAnsi="宋体" w:eastAsia="宋体" w:cs="宋体"/>
                <w:sz w:val="20"/>
                <w:szCs w:val="20"/>
              </w:rPr>
              <w:t xml:space="preserve"> </w:t>
            </w:r>
            <w:r>
              <w:rPr>
                <w:rFonts w:ascii="宋体" w:hAnsi="宋体" w:eastAsia="宋体" w:cs="宋体"/>
                <w:spacing w:val="11"/>
                <w:sz w:val="20"/>
                <w:szCs w:val="20"/>
              </w:rPr>
              <w:t>售</w:t>
            </w:r>
            <w:r>
              <w:rPr>
                <w:rFonts w:ascii="宋体" w:hAnsi="宋体" w:eastAsia="宋体" w:cs="宋体"/>
                <w:spacing w:val="6"/>
                <w:sz w:val="20"/>
                <w:szCs w:val="20"/>
              </w:rPr>
              <w:t>砂子的废包装袋，主要成分为</w:t>
            </w:r>
            <w:r>
              <w:rPr>
                <w:rFonts w:ascii="宋体" w:hAnsi="宋体" w:eastAsia="宋体" w:cs="宋体"/>
                <w:sz w:val="20"/>
                <w:szCs w:val="20"/>
              </w:rPr>
              <w:t xml:space="preserve"> </w:t>
            </w:r>
            <w:r>
              <w:rPr>
                <w:rFonts w:ascii="宋体" w:hAnsi="宋体" w:eastAsia="宋体" w:cs="宋体"/>
                <w:spacing w:val="11"/>
                <w:sz w:val="20"/>
                <w:szCs w:val="20"/>
              </w:rPr>
              <w:t>聚</w:t>
            </w:r>
            <w:r>
              <w:rPr>
                <w:rFonts w:ascii="宋体" w:hAnsi="宋体" w:eastAsia="宋体" w:cs="宋体"/>
                <w:spacing w:val="6"/>
                <w:sz w:val="20"/>
                <w:szCs w:val="20"/>
              </w:rPr>
              <w:t>乙烯、聚丙烯。该项目所用原</w:t>
            </w:r>
            <w:r>
              <w:rPr>
                <w:rFonts w:ascii="宋体" w:hAnsi="宋体" w:eastAsia="宋体" w:cs="宋体"/>
                <w:sz w:val="20"/>
                <w:szCs w:val="20"/>
              </w:rPr>
              <w:t xml:space="preserve"> </w:t>
            </w:r>
            <w:r>
              <w:rPr>
                <w:rFonts w:ascii="宋体" w:hAnsi="宋体" w:eastAsia="宋体" w:cs="宋体"/>
                <w:spacing w:val="9"/>
                <w:sz w:val="20"/>
                <w:szCs w:val="20"/>
              </w:rPr>
              <w:t>料</w:t>
            </w:r>
            <w:r>
              <w:rPr>
                <w:rFonts w:ascii="宋体" w:hAnsi="宋体" w:eastAsia="宋体" w:cs="宋体"/>
                <w:spacing w:val="6"/>
                <w:sz w:val="20"/>
                <w:szCs w:val="20"/>
              </w:rPr>
              <w:t>不包括受到危险化学品、农药</w:t>
            </w:r>
            <w:r>
              <w:rPr>
                <w:rFonts w:ascii="宋体" w:hAnsi="宋体" w:eastAsia="宋体" w:cs="宋体"/>
                <w:sz w:val="20"/>
                <w:szCs w:val="20"/>
              </w:rPr>
              <w:t xml:space="preserve"> </w:t>
            </w:r>
            <w:r>
              <w:rPr>
                <w:rFonts w:ascii="宋体" w:hAnsi="宋体" w:eastAsia="宋体" w:cs="宋体"/>
                <w:spacing w:val="9"/>
                <w:sz w:val="20"/>
                <w:szCs w:val="20"/>
              </w:rPr>
              <w:t>等</w:t>
            </w:r>
            <w:r>
              <w:rPr>
                <w:rFonts w:ascii="宋体" w:hAnsi="宋体" w:eastAsia="宋体" w:cs="宋体"/>
                <w:spacing w:val="6"/>
                <w:sz w:val="20"/>
                <w:szCs w:val="20"/>
              </w:rPr>
              <w:t>污染的废弃塑料包装物、废弃</w:t>
            </w:r>
            <w:r>
              <w:rPr>
                <w:rFonts w:ascii="宋体" w:hAnsi="宋体" w:eastAsia="宋体" w:cs="宋体"/>
                <w:sz w:val="20"/>
                <w:szCs w:val="20"/>
              </w:rPr>
              <w:t xml:space="preserve"> </w:t>
            </w:r>
            <w:r>
              <w:rPr>
                <w:rFonts w:ascii="宋体" w:hAnsi="宋体" w:eastAsia="宋体" w:cs="宋体"/>
                <w:spacing w:val="25"/>
                <w:sz w:val="20"/>
                <w:szCs w:val="20"/>
              </w:rPr>
              <w:t>一</w:t>
            </w:r>
            <w:r>
              <w:rPr>
                <w:rFonts w:ascii="宋体" w:hAnsi="宋体" w:eastAsia="宋体" w:cs="宋体"/>
                <w:spacing w:val="22"/>
                <w:sz w:val="20"/>
                <w:szCs w:val="20"/>
              </w:rPr>
              <w:t>次性医疗用塑料制品等塑料</w:t>
            </w:r>
            <w:r>
              <w:rPr>
                <w:rFonts w:ascii="宋体" w:hAnsi="宋体" w:eastAsia="宋体" w:cs="宋体"/>
                <w:sz w:val="20"/>
                <w:szCs w:val="20"/>
              </w:rPr>
              <w:t xml:space="preserve"> </w:t>
            </w:r>
            <w:r>
              <w:rPr>
                <w:rFonts w:ascii="宋体" w:hAnsi="宋体" w:eastAsia="宋体" w:cs="宋体"/>
                <w:spacing w:val="9"/>
                <w:sz w:val="20"/>
                <w:szCs w:val="20"/>
              </w:rPr>
              <w:t>类</w:t>
            </w:r>
            <w:r>
              <w:rPr>
                <w:rFonts w:ascii="宋体" w:hAnsi="宋体" w:eastAsia="宋体" w:cs="宋体"/>
                <w:spacing w:val="6"/>
                <w:sz w:val="20"/>
                <w:szCs w:val="20"/>
              </w:rPr>
              <w:t>危险废物，以及氟塑料等特种</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6"/>
                <w:sz w:val="20"/>
                <w:szCs w:val="20"/>
              </w:rPr>
              <w:t>程塑料。项目位于本溪市溪湖</w:t>
            </w:r>
            <w:r>
              <w:rPr>
                <w:rFonts w:ascii="宋体" w:hAnsi="宋体" w:eastAsia="宋体" w:cs="宋体"/>
                <w:sz w:val="20"/>
                <w:szCs w:val="20"/>
              </w:rPr>
              <w:t xml:space="preserve"> </w:t>
            </w:r>
            <w:r>
              <w:rPr>
                <w:rFonts w:ascii="宋体" w:hAnsi="宋体" w:eastAsia="宋体" w:cs="宋体"/>
                <w:spacing w:val="9"/>
                <w:sz w:val="20"/>
                <w:szCs w:val="20"/>
              </w:rPr>
              <w:t>区</w:t>
            </w:r>
            <w:r>
              <w:rPr>
                <w:rFonts w:ascii="宋体" w:hAnsi="宋体" w:eastAsia="宋体" w:cs="宋体"/>
                <w:spacing w:val="6"/>
                <w:sz w:val="20"/>
                <w:szCs w:val="20"/>
              </w:rPr>
              <w:t>火连寨镇火连寨村，根据本溪</w:t>
            </w:r>
            <w:r>
              <w:rPr>
                <w:rFonts w:ascii="宋体" w:hAnsi="宋体" w:eastAsia="宋体" w:cs="宋体"/>
                <w:sz w:val="20"/>
                <w:szCs w:val="20"/>
              </w:rPr>
              <w:t xml:space="preserve"> </w:t>
            </w:r>
            <w:r>
              <w:rPr>
                <w:rFonts w:ascii="宋体" w:hAnsi="宋体" w:eastAsia="宋体" w:cs="宋体"/>
                <w:spacing w:val="25"/>
                <w:sz w:val="20"/>
                <w:szCs w:val="20"/>
              </w:rPr>
              <w:t>市</w:t>
            </w:r>
            <w:r>
              <w:rPr>
                <w:rFonts w:ascii="宋体" w:hAnsi="宋体" w:eastAsia="宋体" w:cs="宋体"/>
                <w:spacing w:val="22"/>
                <w:sz w:val="20"/>
                <w:szCs w:val="20"/>
              </w:rPr>
              <w:t>溪湖区火连寨镇火连寨村村</w:t>
            </w:r>
            <w:r>
              <w:rPr>
                <w:rFonts w:ascii="宋体" w:hAnsi="宋体" w:eastAsia="宋体" w:cs="宋体"/>
                <w:sz w:val="20"/>
                <w:szCs w:val="20"/>
              </w:rPr>
              <w:t xml:space="preserve"> </w:t>
            </w:r>
            <w:r>
              <w:rPr>
                <w:rFonts w:ascii="宋体" w:hAnsi="宋体" w:eastAsia="宋体" w:cs="宋体"/>
                <w:spacing w:val="9"/>
                <w:sz w:val="20"/>
                <w:szCs w:val="20"/>
              </w:rPr>
              <w:t>委</w:t>
            </w:r>
            <w:r>
              <w:rPr>
                <w:rFonts w:ascii="宋体" w:hAnsi="宋体" w:eastAsia="宋体" w:cs="宋体"/>
                <w:spacing w:val="6"/>
                <w:sz w:val="20"/>
                <w:szCs w:val="20"/>
              </w:rPr>
              <w:t>会出具的证明，该地块现用地</w:t>
            </w:r>
            <w:r>
              <w:rPr>
                <w:rFonts w:ascii="宋体" w:hAnsi="宋体" w:eastAsia="宋体" w:cs="宋体"/>
                <w:sz w:val="20"/>
                <w:szCs w:val="20"/>
              </w:rPr>
              <w:t xml:space="preserve"> </w:t>
            </w:r>
            <w:r>
              <w:rPr>
                <w:rFonts w:ascii="宋体" w:hAnsi="宋体" w:eastAsia="宋体" w:cs="宋体"/>
                <w:spacing w:val="11"/>
                <w:sz w:val="20"/>
                <w:szCs w:val="20"/>
              </w:rPr>
              <w:t>性</w:t>
            </w:r>
            <w:r>
              <w:rPr>
                <w:rFonts w:ascii="宋体" w:hAnsi="宋体" w:eastAsia="宋体" w:cs="宋体"/>
                <w:spacing w:val="6"/>
                <w:sz w:val="20"/>
                <w:szCs w:val="20"/>
              </w:rPr>
              <w:t>质属于工业用地，不涉及环境</w:t>
            </w:r>
            <w:r>
              <w:rPr>
                <w:rFonts w:ascii="宋体" w:hAnsi="宋体" w:eastAsia="宋体" w:cs="宋体"/>
                <w:sz w:val="20"/>
                <w:szCs w:val="20"/>
              </w:rPr>
              <w:t xml:space="preserve"> </w:t>
            </w:r>
            <w:r>
              <w:rPr>
                <w:rFonts w:ascii="宋体" w:hAnsi="宋体" w:eastAsia="宋体" w:cs="宋体"/>
                <w:spacing w:val="6"/>
                <w:sz w:val="20"/>
                <w:szCs w:val="20"/>
              </w:rPr>
              <w:t>敏</w:t>
            </w:r>
            <w:r>
              <w:rPr>
                <w:rFonts w:ascii="宋体" w:hAnsi="宋体" w:eastAsia="宋体" w:cs="宋体"/>
                <w:spacing w:val="5"/>
                <w:sz w:val="20"/>
                <w:szCs w:val="20"/>
              </w:rPr>
              <w:t>感区。</w:t>
            </w:r>
          </w:p>
        </w:tc>
        <w:tc>
          <w:tcPr>
            <w:tcW w:w="751" w:type="dxa"/>
            <w:tcBorders>
              <w:right w:val="nil"/>
            </w:tcBorders>
            <w:vAlign w:val="top"/>
          </w:tcPr>
          <w:p w14:paraId="2BA42EE2">
            <w:pPr>
              <w:spacing w:line="257" w:lineRule="auto"/>
              <w:rPr>
                <w:rFonts w:ascii="Arial"/>
                <w:sz w:val="21"/>
              </w:rPr>
            </w:pPr>
          </w:p>
          <w:p w14:paraId="00457E61">
            <w:pPr>
              <w:spacing w:line="257" w:lineRule="auto"/>
              <w:rPr>
                <w:rFonts w:ascii="Arial"/>
                <w:sz w:val="21"/>
              </w:rPr>
            </w:pPr>
          </w:p>
          <w:p w14:paraId="5D495C78">
            <w:pPr>
              <w:spacing w:line="257" w:lineRule="auto"/>
              <w:rPr>
                <w:rFonts w:ascii="Arial"/>
                <w:sz w:val="21"/>
              </w:rPr>
            </w:pPr>
          </w:p>
          <w:p w14:paraId="6A108871">
            <w:pPr>
              <w:spacing w:line="257" w:lineRule="auto"/>
              <w:rPr>
                <w:rFonts w:ascii="Arial"/>
                <w:sz w:val="21"/>
              </w:rPr>
            </w:pPr>
          </w:p>
          <w:p w14:paraId="2E7186AC">
            <w:pPr>
              <w:spacing w:line="257" w:lineRule="auto"/>
              <w:rPr>
                <w:rFonts w:ascii="Arial"/>
                <w:sz w:val="21"/>
              </w:rPr>
            </w:pPr>
          </w:p>
          <w:p w14:paraId="4AE765F5">
            <w:pPr>
              <w:spacing w:line="257" w:lineRule="auto"/>
              <w:rPr>
                <w:rFonts w:ascii="Arial"/>
                <w:sz w:val="21"/>
              </w:rPr>
            </w:pPr>
          </w:p>
          <w:p w14:paraId="7DF00AE0">
            <w:pPr>
              <w:spacing w:line="257" w:lineRule="auto"/>
              <w:rPr>
                <w:rFonts w:ascii="Arial"/>
                <w:sz w:val="21"/>
              </w:rPr>
            </w:pPr>
          </w:p>
          <w:p w14:paraId="5395069B">
            <w:pPr>
              <w:spacing w:line="257" w:lineRule="auto"/>
              <w:rPr>
                <w:rFonts w:ascii="Arial"/>
                <w:sz w:val="21"/>
              </w:rPr>
            </w:pPr>
          </w:p>
          <w:p w14:paraId="1F818BE2">
            <w:pPr>
              <w:spacing w:line="257" w:lineRule="auto"/>
              <w:rPr>
                <w:rFonts w:ascii="Arial"/>
                <w:sz w:val="21"/>
              </w:rPr>
            </w:pPr>
          </w:p>
          <w:p w14:paraId="1BDB2462">
            <w:pPr>
              <w:spacing w:line="257" w:lineRule="auto"/>
              <w:rPr>
                <w:rFonts w:ascii="Arial"/>
                <w:sz w:val="21"/>
              </w:rPr>
            </w:pPr>
          </w:p>
          <w:p w14:paraId="71AF54B2">
            <w:pPr>
              <w:spacing w:line="257" w:lineRule="auto"/>
              <w:rPr>
                <w:rFonts w:ascii="Arial"/>
                <w:sz w:val="21"/>
              </w:rPr>
            </w:pPr>
          </w:p>
          <w:p w14:paraId="596CEB45">
            <w:pPr>
              <w:spacing w:line="257" w:lineRule="auto"/>
              <w:rPr>
                <w:rFonts w:ascii="Arial"/>
                <w:sz w:val="21"/>
              </w:rPr>
            </w:pPr>
          </w:p>
          <w:p w14:paraId="2BE3B368">
            <w:pPr>
              <w:spacing w:before="65" w:line="228" w:lineRule="auto"/>
              <w:ind w:left="17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0ABD0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560" w:type="dxa"/>
            <w:tcBorders>
              <w:left w:val="nil"/>
            </w:tcBorders>
            <w:vAlign w:val="top"/>
          </w:tcPr>
          <w:p w14:paraId="742FA130">
            <w:pPr>
              <w:spacing w:line="470" w:lineRule="auto"/>
              <w:rPr>
                <w:rFonts w:ascii="Arial"/>
                <w:sz w:val="21"/>
              </w:rPr>
            </w:pPr>
          </w:p>
          <w:p w14:paraId="0B8CB307">
            <w:pPr>
              <w:spacing w:before="65" w:line="294" w:lineRule="auto"/>
              <w:ind w:left="78" w:right="70"/>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4"/>
                <w:sz w:val="20"/>
                <w:szCs w:val="20"/>
              </w:rPr>
              <w:t>经营</w:t>
            </w:r>
            <w:r>
              <w:rPr>
                <w:rFonts w:ascii="宋体" w:hAnsi="宋体" w:eastAsia="宋体" w:cs="宋体"/>
                <w:sz w:val="20"/>
                <w:szCs w:val="20"/>
              </w:rPr>
              <w:t xml:space="preserve"> </w:t>
            </w:r>
            <w:r>
              <w:rPr>
                <w:rFonts w:ascii="宋体" w:hAnsi="宋体" w:eastAsia="宋体" w:cs="宋体"/>
                <w:spacing w:val="4"/>
                <w:sz w:val="20"/>
                <w:szCs w:val="20"/>
              </w:rPr>
              <w:t>规模</w:t>
            </w:r>
          </w:p>
        </w:tc>
        <w:tc>
          <w:tcPr>
            <w:tcW w:w="4268" w:type="dxa"/>
            <w:vAlign w:val="top"/>
          </w:tcPr>
          <w:p w14:paraId="5105A1D7">
            <w:pPr>
              <w:spacing w:before="69" w:line="276" w:lineRule="auto"/>
              <w:ind w:left="25" w:right="8" w:firstLine="20"/>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4"/>
                <w:sz w:val="20"/>
                <w:szCs w:val="20"/>
              </w:rPr>
              <w:t>、废塑料破碎、清洗、分选类企业：新建企业年</w:t>
            </w:r>
            <w:r>
              <w:rPr>
                <w:rFonts w:ascii="宋体" w:hAnsi="宋体" w:eastAsia="宋体" w:cs="宋体"/>
                <w:sz w:val="20"/>
                <w:szCs w:val="20"/>
              </w:rPr>
              <w:t xml:space="preserve"> </w:t>
            </w:r>
            <w:r>
              <w:rPr>
                <w:rFonts w:ascii="宋体" w:hAnsi="宋体" w:eastAsia="宋体" w:cs="宋体"/>
                <w:spacing w:val="-1"/>
                <w:sz w:val="20"/>
                <w:szCs w:val="20"/>
              </w:rPr>
              <w:t xml:space="preserve">废塑料处理能力不低于 </w:t>
            </w:r>
            <w:r>
              <w:rPr>
                <w:rFonts w:ascii="Times New Roman" w:hAnsi="Times New Roman" w:eastAsia="Times New Roman" w:cs="Times New Roman"/>
                <w:spacing w:val="-1"/>
                <w:sz w:val="20"/>
                <w:szCs w:val="20"/>
              </w:rPr>
              <w:t xml:space="preserve">30000 </w:t>
            </w:r>
            <w:r>
              <w:rPr>
                <w:rFonts w:ascii="宋体" w:hAnsi="宋体" w:eastAsia="宋体" w:cs="宋体"/>
                <w:spacing w:val="-1"/>
                <w:sz w:val="20"/>
                <w:szCs w:val="20"/>
              </w:rPr>
              <w:t>吨；已建</w:t>
            </w:r>
            <w:r>
              <w:rPr>
                <w:rFonts w:ascii="宋体" w:hAnsi="宋体" w:eastAsia="宋体" w:cs="宋体"/>
                <w:sz w:val="20"/>
                <w:szCs w:val="20"/>
              </w:rPr>
              <w:t xml:space="preserve">企业年废 </w:t>
            </w:r>
            <w:r>
              <w:rPr>
                <w:rFonts w:ascii="宋体" w:hAnsi="宋体" w:eastAsia="宋体" w:cs="宋体"/>
                <w:spacing w:val="-3"/>
                <w:sz w:val="20"/>
                <w:szCs w:val="20"/>
              </w:rPr>
              <w:t xml:space="preserve">塑料处理能力不低于 </w:t>
            </w:r>
            <w:r>
              <w:rPr>
                <w:rFonts w:ascii="Times New Roman" w:hAnsi="Times New Roman" w:eastAsia="Times New Roman" w:cs="Times New Roman"/>
                <w:spacing w:val="-3"/>
                <w:sz w:val="20"/>
                <w:szCs w:val="20"/>
              </w:rPr>
              <w:t xml:space="preserve">20000 </w:t>
            </w:r>
            <w:r>
              <w:rPr>
                <w:rFonts w:ascii="宋体" w:hAnsi="宋体" w:eastAsia="宋体" w:cs="宋体"/>
                <w:spacing w:val="-3"/>
                <w:sz w:val="20"/>
                <w:szCs w:val="20"/>
              </w:rPr>
              <w:t>吨</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2</w:t>
            </w:r>
            <w:r>
              <w:rPr>
                <w:rFonts w:ascii="宋体" w:hAnsi="宋体" w:eastAsia="宋体" w:cs="宋体"/>
                <w:spacing w:val="-6"/>
                <w:sz w:val="20"/>
                <w:szCs w:val="20"/>
              </w:rPr>
              <w:t>、</w:t>
            </w:r>
            <w:r>
              <w:rPr>
                <w:rFonts w:ascii="宋体" w:hAnsi="宋体" w:eastAsia="宋体" w:cs="宋体"/>
                <w:spacing w:val="-5"/>
                <w:sz w:val="20"/>
                <w:szCs w:val="20"/>
              </w:rPr>
              <w:t>塑</w:t>
            </w:r>
            <w:r>
              <w:rPr>
                <w:rFonts w:ascii="宋体" w:hAnsi="宋体" w:eastAsia="宋体" w:cs="宋体"/>
                <w:spacing w:val="-3"/>
                <w:sz w:val="20"/>
                <w:szCs w:val="20"/>
              </w:rPr>
              <w:t>料再生造粒类企业：新建企业年废塑料处理</w:t>
            </w:r>
            <w:r>
              <w:rPr>
                <w:rFonts w:ascii="宋体" w:hAnsi="宋体" w:eastAsia="宋体" w:cs="宋体"/>
                <w:sz w:val="20"/>
                <w:szCs w:val="20"/>
              </w:rPr>
              <w:t xml:space="preserve"> </w:t>
            </w:r>
            <w:r>
              <w:rPr>
                <w:rFonts w:ascii="宋体" w:hAnsi="宋体" w:eastAsia="宋体" w:cs="宋体"/>
                <w:spacing w:val="-5"/>
                <w:sz w:val="20"/>
                <w:szCs w:val="20"/>
              </w:rPr>
              <w:t xml:space="preserve">能力不低于 </w:t>
            </w:r>
            <w:r>
              <w:rPr>
                <w:rFonts w:ascii="Times New Roman" w:hAnsi="Times New Roman" w:eastAsia="Times New Roman" w:cs="Times New Roman"/>
                <w:spacing w:val="-5"/>
                <w:sz w:val="20"/>
                <w:szCs w:val="20"/>
              </w:rPr>
              <w:t xml:space="preserve">5000 </w:t>
            </w:r>
            <w:r>
              <w:rPr>
                <w:rFonts w:ascii="宋体" w:hAnsi="宋体" w:eastAsia="宋体" w:cs="宋体"/>
                <w:spacing w:val="-5"/>
                <w:sz w:val="20"/>
                <w:szCs w:val="20"/>
              </w:rPr>
              <w:t>吨；已建企业年废塑料处理能</w:t>
            </w:r>
            <w:r>
              <w:rPr>
                <w:rFonts w:ascii="宋体" w:hAnsi="宋体" w:eastAsia="宋体" w:cs="宋体"/>
                <w:spacing w:val="-1"/>
                <w:sz w:val="20"/>
                <w:szCs w:val="20"/>
              </w:rPr>
              <w:t>力</w:t>
            </w:r>
            <w:r>
              <w:rPr>
                <w:rFonts w:ascii="宋体" w:hAnsi="宋体" w:eastAsia="宋体" w:cs="宋体"/>
                <w:sz w:val="20"/>
                <w:szCs w:val="20"/>
              </w:rPr>
              <w:t xml:space="preserve"> </w:t>
            </w:r>
            <w:r>
              <w:rPr>
                <w:rFonts w:ascii="宋体" w:hAnsi="宋体" w:eastAsia="宋体" w:cs="宋体"/>
                <w:spacing w:val="-6"/>
                <w:sz w:val="20"/>
                <w:szCs w:val="20"/>
              </w:rPr>
              <w:t>不</w:t>
            </w:r>
            <w:r>
              <w:rPr>
                <w:rFonts w:ascii="宋体" w:hAnsi="宋体" w:eastAsia="宋体" w:cs="宋体"/>
                <w:spacing w:val="-5"/>
                <w:sz w:val="20"/>
                <w:szCs w:val="20"/>
              </w:rPr>
              <w:t xml:space="preserve">低于 </w:t>
            </w:r>
            <w:r>
              <w:rPr>
                <w:rFonts w:ascii="Times New Roman" w:hAnsi="Times New Roman" w:eastAsia="Times New Roman" w:cs="Times New Roman"/>
                <w:spacing w:val="-5"/>
                <w:sz w:val="20"/>
                <w:szCs w:val="20"/>
              </w:rPr>
              <w:t xml:space="preserve">3000 </w:t>
            </w:r>
            <w:r>
              <w:rPr>
                <w:rFonts w:ascii="宋体" w:hAnsi="宋体" w:eastAsia="宋体" w:cs="宋体"/>
                <w:spacing w:val="-5"/>
                <w:sz w:val="20"/>
                <w:szCs w:val="20"/>
              </w:rPr>
              <w:t>吨。</w:t>
            </w:r>
          </w:p>
        </w:tc>
        <w:tc>
          <w:tcPr>
            <w:tcW w:w="2943" w:type="dxa"/>
            <w:vAlign w:val="top"/>
          </w:tcPr>
          <w:p w14:paraId="21FCA929">
            <w:pPr>
              <w:spacing w:line="312" w:lineRule="auto"/>
              <w:rPr>
                <w:rFonts w:ascii="Arial"/>
                <w:sz w:val="21"/>
              </w:rPr>
            </w:pPr>
          </w:p>
          <w:p w14:paraId="7DA08E8E">
            <w:pPr>
              <w:spacing w:line="312" w:lineRule="auto"/>
              <w:rPr>
                <w:rFonts w:ascii="Arial"/>
                <w:sz w:val="21"/>
              </w:rPr>
            </w:pPr>
          </w:p>
          <w:p w14:paraId="002E2AF6">
            <w:pPr>
              <w:spacing w:before="65" w:line="299" w:lineRule="auto"/>
              <w:ind w:left="29" w:firstLine="1"/>
              <w:rPr>
                <w:rFonts w:ascii="宋体" w:hAnsi="宋体" w:eastAsia="宋体" w:cs="宋体"/>
                <w:sz w:val="20"/>
                <w:szCs w:val="20"/>
              </w:rPr>
            </w:pPr>
            <w:r>
              <w:rPr>
                <w:rFonts w:ascii="宋体" w:hAnsi="宋体" w:eastAsia="宋体" w:cs="宋体"/>
                <w:spacing w:val="-10"/>
                <w:sz w:val="20"/>
                <w:szCs w:val="20"/>
              </w:rPr>
              <w:t>该</w:t>
            </w:r>
            <w:r>
              <w:rPr>
                <w:rFonts w:ascii="宋体" w:hAnsi="宋体" w:eastAsia="宋体" w:cs="宋体"/>
                <w:spacing w:val="-6"/>
                <w:sz w:val="20"/>
                <w:szCs w:val="20"/>
              </w:rPr>
              <w:t>项目为新建项目，破碎、清洗、</w:t>
            </w:r>
            <w:r>
              <w:rPr>
                <w:rFonts w:ascii="宋体" w:hAnsi="宋体" w:eastAsia="宋体" w:cs="宋体"/>
                <w:sz w:val="20"/>
                <w:szCs w:val="20"/>
              </w:rPr>
              <w:t xml:space="preserve"> </w:t>
            </w:r>
            <w:r>
              <w:rPr>
                <w:rFonts w:ascii="宋体" w:hAnsi="宋体" w:eastAsia="宋体" w:cs="宋体"/>
                <w:spacing w:val="1"/>
                <w:sz w:val="20"/>
                <w:szCs w:val="20"/>
              </w:rPr>
              <w:t xml:space="preserve">再生造粒生产能力 </w:t>
            </w:r>
            <w:r>
              <w:rPr>
                <w:rFonts w:ascii="Times New Roman" w:hAnsi="Times New Roman" w:eastAsia="Times New Roman" w:cs="Times New Roman"/>
                <w:spacing w:val="1"/>
                <w:sz w:val="20"/>
                <w:szCs w:val="20"/>
              </w:rPr>
              <w:t>50000</w:t>
            </w:r>
            <w:r>
              <w:rPr>
                <w:rFonts w:ascii="Times New Roman" w:hAnsi="Times New Roman" w:eastAsia="Times New Roman" w:cs="Times New Roman"/>
                <w:sz w:val="20"/>
                <w:szCs w:val="20"/>
              </w:rPr>
              <w:t>t</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a</w:t>
            </w:r>
            <w:r>
              <w:rPr>
                <w:rFonts w:ascii="宋体" w:hAnsi="宋体" w:eastAsia="宋体" w:cs="宋体"/>
                <w:sz w:val="20"/>
                <w:szCs w:val="20"/>
              </w:rPr>
              <w:t>。</w:t>
            </w:r>
          </w:p>
        </w:tc>
        <w:tc>
          <w:tcPr>
            <w:tcW w:w="751" w:type="dxa"/>
            <w:tcBorders>
              <w:right w:val="nil"/>
            </w:tcBorders>
            <w:vAlign w:val="top"/>
          </w:tcPr>
          <w:p w14:paraId="0BA9CCA9">
            <w:pPr>
              <w:spacing w:line="258" w:lineRule="auto"/>
              <w:rPr>
                <w:rFonts w:ascii="Arial"/>
                <w:sz w:val="21"/>
              </w:rPr>
            </w:pPr>
          </w:p>
          <w:p w14:paraId="10E828CC">
            <w:pPr>
              <w:spacing w:line="259" w:lineRule="auto"/>
              <w:rPr>
                <w:rFonts w:ascii="Arial"/>
                <w:sz w:val="21"/>
              </w:rPr>
            </w:pPr>
          </w:p>
          <w:p w14:paraId="7FBB550A">
            <w:pPr>
              <w:spacing w:line="259" w:lineRule="auto"/>
              <w:rPr>
                <w:rFonts w:ascii="Arial"/>
                <w:sz w:val="21"/>
              </w:rPr>
            </w:pPr>
          </w:p>
          <w:p w14:paraId="03960464">
            <w:pPr>
              <w:spacing w:before="65" w:line="228" w:lineRule="auto"/>
              <w:ind w:left="17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7F293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560" w:type="dxa"/>
            <w:tcBorders>
              <w:left w:val="nil"/>
            </w:tcBorders>
            <w:vAlign w:val="top"/>
          </w:tcPr>
          <w:p w14:paraId="06F7966F">
            <w:pPr>
              <w:spacing w:line="317" w:lineRule="auto"/>
              <w:rPr>
                <w:rFonts w:ascii="Arial"/>
                <w:sz w:val="21"/>
              </w:rPr>
            </w:pPr>
          </w:p>
          <w:p w14:paraId="4BBB1918">
            <w:pPr>
              <w:spacing w:before="65" w:line="229" w:lineRule="auto"/>
              <w:ind w:left="86"/>
              <w:rPr>
                <w:rFonts w:ascii="宋体" w:hAnsi="宋体" w:eastAsia="宋体" w:cs="宋体"/>
                <w:sz w:val="20"/>
                <w:szCs w:val="20"/>
              </w:rPr>
            </w:pPr>
            <w:r>
              <w:rPr>
                <w:rFonts w:ascii="宋体" w:hAnsi="宋体" w:eastAsia="宋体" w:cs="宋体"/>
                <w:sz w:val="20"/>
                <w:szCs w:val="20"/>
              </w:rPr>
              <w:t>资源</w:t>
            </w:r>
          </w:p>
          <w:p w14:paraId="7FBBD979">
            <w:pPr>
              <w:spacing w:before="61" w:line="228" w:lineRule="auto"/>
              <w:ind w:left="80"/>
              <w:rPr>
                <w:rFonts w:ascii="宋体" w:hAnsi="宋体" w:eastAsia="宋体" w:cs="宋体"/>
                <w:sz w:val="20"/>
                <w:szCs w:val="20"/>
              </w:rPr>
            </w:pPr>
            <w:r>
              <w:rPr>
                <w:rFonts w:ascii="宋体" w:hAnsi="宋体" w:eastAsia="宋体" w:cs="宋体"/>
                <w:spacing w:val="4"/>
                <w:sz w:val="20"/>
                <w:szCs w:val="20"/>
              </w:rPr>
              <w:t>综</w:t>
            </w:r>
            <w:r>
              <w:rPr>
                <w:rFonts w:ascii="宋体" w:hAnsi="宋体" w:eastAsia="宋体" w:cs="宋体"/>
                <w:spacing w:val="3"/>
                <w:sz w:val="20"/>
                <w:szCs w:val="20"/>
              </w:rPr>
              <w:t>合</w:t>
            </w:r>
          </w:p>
          <w:p w14:paraId="24C79C12">
            <w:pPr>
              <w:spacing w:before="62" w:line="229" w:lineRule="auto"/>
              <w:ind w:left="78"/>
              <w:rPr>
                <w:rFonts w:ascii="宋体" w:hAnsi="宋体" w:eastAsia="宋体" w:cs="宋体"/>
                <w:sz w:val="20"/>
                <w:szCs w:val="20"/>
              </w:rPr>
            </w:pPr>
            <w:r>
              <w:rPr>
                <w:rFonts w:ascii="宋体" w:hAnsi="宋体" w:eastAsia="宋体" w:cs="宋体"/>
                <w:spacing w:val="4"/>
                <w:sz w:val="20"/>
                <w:szCs w:val="20"/>
              </w:rPr>
              <w:t>利用</w:t>
            </w:r>
          </w:p>
          <w:p w14:paraId="7859AFC4">
            <w:pPr>
              <w:spacing w:before="61" w:line="229" w:lineRule="auto"/>
              <w:ind w:left="76"/>
              <w:rPr>
                <w:rFonts w:ascii="宋体" w:hAnsi="宋体" w:eastAsia="宋体" w:cs="宋体"/>
                <w:sz w:val="20"/>
                <w:szCs w:val="20"/>
              </w:rPr>
            </w:pPr>
            <w:r>
              <w:rPr>
                <w:rFonts w:ascii="宋体" w:hAnsi="宋体" w:eastAsia="宋体" w:cs="宋体"/>
                <w:spacing w:val="5"/>
                <w:sz w:val="20"/>
                <w:szCs w:val="20"/>
              </w:rPr>
              <w:t>及能</w:t>
            </w:r>
          </w:p>
          <w:p w14:paraId="23EB9D33">
            <w:pPr>
              <w:spacing w:before="61" w:line="228" w:lineRule="auto"/>
              <w:ind w:left="184"/>
              <w:rPr>
                <w:rFonts w:ascii="宋体" w:hAnsi="宋体" w:eastAsia="宋体" w:cs="宋体"/>
                <w:sz w:val="20"/>
                <w:szCs w:val="20"/>
              </w:rPr>
            </w:pPr>
            <w:r>
              <w:rPr>
                <w:rFonts w:ascii="宋体" w:hAnsi="宋体" w:eastAsia="宋体" w:cs="宋体"/>
                <w:sz w:val="20"/>
                <w:szCs w:val="20"/>
              </w:rPr>
              <w:t>耗</w:t>
            </w:r>
          </w:p>
        </w:tc>
        <w:tc>
          <w:tcPr>
            <w:tcW w:w="4268" w:type="dxa"/>
            <w:vAlign w:val="top"/>
          </w:tcPr>
          <w:p w14:paraId="52D2EB44">
            <w:pPr>
              <w:spacing w:before="71" w:line="258" w:lineRule="auto"/>
              <w:ind w:left="27" w:right="8" w:firstLine="17"/>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4"/>
                <w:sz w:val="20"/>
                <w:szCs w:val="20"/>
              </w:rPr>
              <w:t>、企业应对收集的废塑料进行充分利用，提高资</w:t>
            </w:r>
            <w:r>
              <w:rPr>
                <w:rFonts w:ascii="宋体" w:hAnsi="宋体" w:eastAsia="宋体" w:cs="宋体"/>
                <w:sz w:val="20"/>
                <w:szCs w:val="20"/>
              </w:rPr>
              <w:t xml:space="preserve"> </w:t>
            </w:r>
            <w:r>
              <w:rPr>
                <w:rFonts w:ascii="宋体" w:hAnsi="宋体" w:eastAsia="宋体" w:cs="宋体"/>
                <w:spacing w:val="-2"/>
                <w:sz w:val="20"/>
                <w:szCs w:val="20"/>
              </w:rPr>
              <w:t>源回收利用效率，不得倾倒、焚烧</w:t>
            </w:r>
            <w:r>
              <w:rPr>
                <w:rFonts w:ascii="宋体" w:hAnsi="宋体" w:eastAsia="宋体" w:cs="宋体"/>
                <w:spacing w:val="-1"/>
                <w:sz w:val="20"/>
                <w:szCs w:val="20"/>
              </w:rPr>
              <w:t>与填埋。</w:t>
            </w:r>
          </w:p>
          <w:p w14:paraId="79A287CF">
            <w:pPr>
              <w:spacing w:before="62" w:line="264" w:lineRule="exact"/>
              <w:ind w:left="25"/>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w:t>
            </w:r>
            <w:r>
              <w:rPr>
                <w:rFonts w:ascii="宋体" w:hAnsi="宋体" w:eastAsia="宋体" w:cs="宋体"/>
                <w:spacing w:val="5"/>
                <w:position w:val="1"/>
                <w:sz w:val="20"/>
                <w:szCs w:val="20"/>
              </w:rPr>
              <w:t>塑</w:t>
            </w:r>
            <w:r>
              <w:rPr>
                <w:rFonts w:ascii="宋体" w:hAnsi="宋体" w:eastAsia="宋体" w:cs="宋体"/>
                <w:spacing w:val="3"/>
                <w:position w:val="1"/>
                <w:sz w:val="20"/>
                <w:szCs w:val="20"/>
              </w:rPr>
              <w:t>料再生加工相关生产环节的综合电耗低于</w:t>
            </w:r>
          </w:p>
          <w:p w14:paraId="3C2EC367">
            <w:pPr>
              <w:spacing w:before="8" w:line="281" w:lineRule="exact"/>
              <w:ind w:left="30"/>
              <w:rPr>
                <w:rFonts w:ascii="宋体" w:hAnsi="宋体" w:eastAsia="宋体" w:cs="宋体"/>
                <w:sz w:val="20"/>
                <w:szCs w:val="20"/>
              </w:rPr>
            </w:pPr>
            <w:r>
              <w:rPr>
                <w:rFonts w:ascii="Times New Roman" w:hAnsi="Times New Roman" w:eastAsia="Times New Roman" w:cs="Times New Roman"/>
                <w:spacing w:val="-2"/>
                <w:position w:val="1"/>
                <w:sz w:val="20"/>
                <w:szCs w:val="20"/>
              </w:rPr>
              <w:t xml:space="preserve">500 </w:t>
            </w:r>
            <w:r>
              <w:rPr>
                <w:rFonts w:ascii="宋体" w:hAnsi="宋体" w:eastAsia="宋体" w:cs="宋体"/>
                <w:spacing w:val="-2"/>
                <w:position w:val="1"/>
                <w:sz w:val="20"/>
                <w:szCs w:val="20"/>
              </w:rPr>
              <w:t>千瓦时</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吨废</w:t>
            </w:r>
            <w:r>
              <w:rPr>
                <w:rFonts w:ascii="宋体" w:hAnsi="宋体" w:eastAsia="宋体" w:cs="宋体"/>
                <w:spacing w:val="-1"/>
                <w:position w:val="1"/>
                <w:sz w:val="20"/>
                <w:szCs w:val="20"/>
              </w:rPr>
              <w:t>塑料。</w:t>
            </w:r>
          </w:p>
          <w:p w14:paraId="64FE0B97">
            <w:pPr>
              <w:spacing w:before="66" w:line="273" w:lineRule="auto"/>
              <w:ind w:left="38" w:right="14" w:hanging="9"/>
              <w:rPr>
                <w:rFonts w:ascii="宋体" w:hAnsi="宋体" w:eastAsia="宋体" w:cs="宋体"/>
                <w:sz w:val="20"/>
                <w:szCs w:val="20"/>
              </w:rPr>
            </w:pPr>
            <w:r>
              <w:rPr>
                <w:rFonts w:ascii="Times New Roman" w:hAnsi="Times New Roman" w:eastAsia="Times New Roman" w:cs="Times New Roman"/>
                <w:spacing w:val="-2"/>
                <w:sz w:val="20"/>
                <w:szCs w:val="20"/>
              </w:rPr>
              <w:t>3</w:t>
            </w:r>
            <w:r>
              <w:rPr>
                <w:rFonts w:ascii="宋体" w:hAnsi="宋体" w:eastAsia="宋体" w:cs="宋体"/>
                <w:spacing w:val="-2"/>
                <w:sz w:val="20"/>
                <w:szCs w:val="20"/>
              </w:rPr>
              <w:t>、塑料再生造</w:t>
            </w:r>
            <w:r>
              <w:rPr>
                <w:rFonts w:ascii="宋体" w:hAnsi="宋体" w:eastAsia="宋体" w:cs="宋体"/>
                <w:spacing w:val="-1"/>
                <w:sz w:val="20"/>
                <w:szCs w:val="20"/>
              </w:rPr>
              <w:t xml:space="preserve">粒类企业的综合新水消耗低于 </w:t>
            </w:r>
            <w:r>
              <w:rPr>
                <w:rFonts w:ascii="Times New Roman" w:hAnsi="Times New Roman" w:eastAsia="Times New Roman" w:cs="Times New Roman"/>
                <w:spacing w:val="-1"/>
                <w:sz w:val="20"/>
                <w:szCs w:val="20"/>
              </w:rPr>
              <w:t>0.2</w:t>
            </w:r>
            <w:r>
              <w:rPr>
                <w:rFonts w:ascii="Times New Roman" w:hAnsi="Times New Roman" w:eastAsia="Times New Roman" w:cs="Times New Roman"/>
                <w:sz w:val="20"/>
                <w:szCs w:val="20"/>
              </w:rPr>
              <w:t xml:space="preserve"> </w:t>
            </w:r>
            <w:r>
              <w:rPr>
                <w:rFonts w:ascii="宋体" w:hAnsi="宋体" w:eastAsia="宋体" w:cs="宋体"/>
                <w:spacing w:val="-5"/>
                <w:sz w:val="20"/>
                <w:szCs w:val="20"/>
              </w:rPr>
              <w:t>吨</w:t>
            </w:r>
            <w:r>
              <w:rPr>
                <w:rFonts w:ascii="Times New Roman" w:hAnsi="Times New Roman" w:eastAsia="Times New Roman" w:cs="Times New Roman"/>
                <w:spacing w:val="-3"/>
                <w:sz w:val="20"/>
                <w:szCs w:val="20"/>
              </w:rPr>
              <w:t>/</w:t>
            </w:r>
            <w:r>
              <w:rPr>
                <w:rFonts w:ascii="宋体" w:hAnsi="宋体" w:eastAsia="宋体" w:cs="宋体"/>
                <w:spacing w:val="-3"/>
                <w:sz w:val="20"/>
                <w:szCs w:val="20"/>
              </w:rPr>
              <w:t>吨废塑料。</w:t>
            </w:r>
          </w:p>
          <w:p w14:paraId="61B25EA3">
            <w:pPr>
              <w:spacing w:before="27" w:line="264" w:lineRule="exact"/>
              <w:ind w:left="24"/>
              <w:rPr>
                <w:rFonts w:ascii="宋体" w:hAnsi="宋体" w:eastAsia="宋体" w:cs="宋体"/>
                <w:sz w:val="20"/>
                <w:szCs w:val="20"/>
              </w:rPr>
            </w:pPr>
            <w:r>
              <w:rPr>
                <w:rFonts w:ascii="Times New Roman" w:hAnsi="Times New Roman" w:eastAsia="Times New Roman" w:cs="Times New Roman"/>
                <w:spacing w:val="-2"/>
                <w:position w:val="1"/>
                <w:sz w:val="20"/>
                <w:szCs w:val="20"/>
              </w:rPr>
              <w:t>4</w:t>
            </w:r>
            <w:r>
              <w:rPr>
                <w:rFonts w:ascii="宋体" w:hAnsi="宋体" w:eastAsia="宋体" w:cs="宋体"/>
                <w:spacing w:val="-2"/>
                <w:position w:val="1"/>
                <w:sz w:val="20"/>
                <w:szCs w:val="20"/>
              </w:rPr>
              <w:t>、其他生产单耗需满</w:t>
            </w:r>
            <w:r>
              <w:rPr>
                <w:rFonts w:ascii="宋体" w:hAnsi="宋体" w:eastAsia="宋体" w:cs="宋体"/>
                <w:spacing w:val="-1"/>
                <w:position w:val="1"/>
                <w:sz w:val="20"/>
                <w:szCs w:val="20"/>
              </w:rPr>
              <w:t>足国家相关标准。</w:t>
            </w:r>
          </w:p>
        </w:tc>
        <w:tc>
          <w:tcPr>
            <w:tcW w:w="2943" w:type="dxa"/>
            <w:vAlign w:val="top"/>
          </w:tcPr>
          <w:p w14:paraId="4A0D67AE">
            <w:pPr>
              <w:spacing w:line="315" w:lineRule="auto"/>
              <w:rPr>
                <w:rFonts w:ascii="Arial"/>
                <w:sz w:val="21"/>
              </w:rPr>
            </w:pPr>
          </w:p>
          <w:p w14:paraId="21E0BD87">
            <w:pPr>
              <w:spacing w:before="65" w:line="293" w:lineRule="auto"/>
              <w:ind w:left="29" w:right="21" w:firstLine="1"/>
              <w:rPr>
                <w:rFonts w:ascii="宋体" w:hAnsi="宋体" w:eastAsia="宋体" w:cs="宋体"/>
                <w:sz w:val="20"/>
                <w:szCs w:val="20"/>
              </w:rPr>
            </w:pPr>
            <w:r>
              <w:rPr>
                <w:rFonts w:ascii="宋体" w:hAnsi="宋体" w:eastAsia="宋体" w:cs="宋体"/>
                <w:spacing w:val="22"/>
                <w:sz w:val="20"/>
                <w:szCs w:val="20"/>
              </w:rPr>
              <w:t>该项目原料中的杂质由环卫</w:t>
            </w:r>
            <w:r>
              <w:rPr>
                <w:rFonts w:ascii="宋体" w:hAnsi="宋体" w:eastAsia="宋体" w:cs="宋体"/>
                <w:spacing w:val="21"/>
                <w:sz w:val="20"/>
                <w:szCs w:val="20"/>
              </w:rPr>
              <w:t>部</w:t>
            </w:r>
            <w:r>
              <w:rPr>
                <w:rFonts w:ascii="宋体" w:hAnsi="宋体" w:eastAsia="宋体" w:cs="宋体"/>
                <w:sz w:val="20"/>
                <w:szCs w:val="20"/>
              </w:rPr>
              <w:t xml:space="preserve"> </w:t>
            </w:r>
            <w:r>
              <w:rPr>
                <w:rFonts w:ascii="宋体" w:hAnsi="宋体" w:eastAsia="宋体" w:cs="宋体"/>
                <w:spacing w:val="6"/>
                <w:sz w:val="20"/>
                <w:szCs w:val="20"/>
              </w:rPr>
              <w:t>门统一处理，废旧塑料全部用于</w:t>
            </w:r>
            <w:r>
              <w:rPr>
                <w:rFonts w:ascii="宋体" w:hAnsi="宋体" w:eastAsia="宋体" w:cs="宋体"/>
                <w:sz w:val="20"/>
                <w:szCs w:val="20"/>
              </w:rPr>
              <w:t xml:space="preserve"> </w:t>
            </w:r>
            <w:r>
              <w:rPr>
                <w:rFonts w:ascii="宋体" w:hAnsi="宋体" w:eastAsia="宋体" w:cs="宋体"/>
                <w:spacing w:val="4"/>
                <w:sz w:val="20"/>
                <w:szCs w:val="20"/>
              </w:rPr>
              <w:t>再</w:t>
            </w:r>
            <w:r>
              <w:rPr>
                <w:rFonts w:ascii="宋体" w:hAnsi="宋体" w:eastAsia="宋体" w:cs="宋体"/>
                <w:spacing w:val="3"/>
                <w:sz w:val="20"/>
                <w:szCs w:val="20"/>
              </w:rPr>
              <w:t>生</w:t>
            </w:r>
            <w:r>
              <w:rPr>
                <w:rFonts w:ascii="宋体" w:hAnsi="宋体" w:eastAsia="宋体" w:cs="宋体"/>
                <w:spacing w:val="2"/>
                <w:sz w:val="20"/>
                <w:szCs w:val="20"/>
              </w:rPr>
              <w:t xml:space="preserve">造粒，综合电耗为 </w:t>
            </w:r>
            <w:r>
              <w:rPr>
                <w:rFonts w:ascii="Times New Roman" w:hAnsi="Times New Roman" w:eastAsia="Times New Roman" w:cs="Times New Roman"/>
                <w:spacing w:val="2"/>
                <w:sz w:val="20"/>
                <w:szCs w:val="20"/>
              </w:rPr>
              <w:t xml:space="preserve">260 </w:t>
            </w:r>
            <w:r>
              <w:rPr>
                <w:rFonts w:ascii="宋体" w:hAnsi="宋体" w:eastAsia="宋体" w:cs="宋体"/>
                <w:spacing w:val="2"/>
                <w:sz w:val="20"/>
                <w:szCs w:val="20"/>
              </w:rPr>
              <w:t>千瓦</w:t>
            </w:r>
            <w:r>
              <w:rPr>
                <w:rFonts w:ascii="宋体" w:hAnsi="宋体" w:eastAsia="宋体" w:cs="宋体"/>
                <w:sz w:val="20"/>
                <w:szCs w:val="20"/>
              </w:rPr>
              <w:t xml:space="preserve"> </w:t>
            </w:r>
            <w:r>
              <w:rPr>
                <w:rFonts w:ascii="宋体" w:hAnsi="宋体" w:eastAsia="宋体" w:cs="宋体"/>
                <w:spacing w:val="3"/>
                <w:sz w:val="20"/>
                <w:szCs w:val="20"/>
              </w:rPr>
              <w:t>时</w:t>
            </w:r>
            <w:r>
              <w:rPr>
                <w:rFonts w:ascii="Times New Roman" w:hAnsi="Times New Roman" w:eastAsia="Times New Roman" w:cs="Times New Roman"/>
                <w:spacing w:val="2"/>
                <w:sz w:val="20"/>
                <w:szCs w:val="20"/>
              </w:rPr>
              <w:t>/</w:t>
            </w:r>
            <w:r>
              <w:rPr>
                <w:rFonts w:ascii="宋体" w:hAnsi="宋体" w:eastAsia="宋体" w:cs="宋体"/>
                <w:spacing w:val="2"/>
                <w:sz w:val="20"/>
                <w:szCs w:val="20"/>
              </w:rPr>
              <w:t>吨废塑料，项目生产过程新水</w:t>
            </w:r>
            <w:r>
              <w:rPr>
                <w:rFonts w:ascii="宋体" w:hAnsi="宋体" w:eastAsia="宋体" w:cs="宋体"/>
                <w:sz w:val="20"/>
                <w:szCs w:val="20"/>
              </w:rPr>
              <w:t xml:space="preserve"> </w:t>
            </w:r>
            <w:r>
              <w:rPr>
                <w:rFonts w:ascii="宋体" w:hAnsi="宋体" w:eastAsia="宋体" w:cs="宋体"/>
                <w:spacing w:val="-2"/>
                <w:sz w:val="20"/>
                <w:szCs w:val="20"/>
              </w:rPr>
              <w:t xml:space="preserve">消耗 </w:t>
            </w:r>
            <w:r>
              <w:rPr>
                <w:rFonts w:ascii="Times New Roman" w:hAnsi="Times New Roman" w:eastAsia="Times New Roman" w:cs="Times New Roman"/>
                <w:spacing w:val="-2"/>
                <w:sz w:val="20"/>
                <w:szCs w:val="20"/>
              </w:rPr>
              <w:t>0. 1</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吨</w:t>
            </w:r>
            <w:r>
              <w:rPr>
                <w:rFonts w:ascii="Times New Roman" w:hAnsi="Times New Roman" w:eastAsia="Times New Roman" w:cs="Times New Roman"/>
                <w:spacing w:val="-1"/>
                <w:sz w:val="20"/>
                <w:szCs w:val="20"/>
              </w:rPr>
              <w:t>/</w:t>
            </w:r>
            <w:r>
              <w:rPr>
                <w:rFonts w:ascii="宋体" w:hAnsi="宋体" w:eastAsia="宋体" w:cs="宋体"/>
                <w:spacing w:val="-1"/>
                <w:sz w:val="20"/>
                <w:szCs w:val="20"/>
              </w:rPr>
              <w:t>吨废塑料。</w:t>
            </w:r>
          </w:p>
        </w:tc>
        <w:tc>
          <w:tcPr>
            <w:tcW w:w="751" w:type="dxa"/>
            <w:tcBorders>
              <w:right w:val="nil"/>
            </w:tcBorders>
            <w:vAlign w:val="top"/>
          </w:tcPr>
          <w:p w14:paraId="373310A3">
            <w:pPr>
              <w:spacing w:line="310" w:lineRule="auto"/>
              <w:rPr>
                <w:rFonts w:ascii="Arial"/>
                <w:sz w:val="21"/>
              </w:rPr>
            </w:pPr>
          </w:p>
          <w:p w14:paraId="03BF1F69">
            <w:pPr>
              <w:spacing w:line="311" w:lineRule="auto"/>
              <w:rPr>
                <w:rFonts w:ascii="Arial"/>
                <w:sz w:val="21"/>
              </w:rPr>
            </w:pPr>
          </w:p>
          <w:p w14:paraId="105CA2C7">
            <w:pPr>
              <w:spacing w:line="311" w:lineRule="auto"/>
              <w:rPr>
                <w:rFonts w:ascii="Arial"/>
                <w:sz w:val="21"/>
              </w:rPr>
            </w:pPr>
          </w:p>
          <w:p w14:paraId="245AE451">
            <w:pPr>
              <w:spacing w:before="65" w:line="228" w:lineRule="auto"/>
              <w:ind w:left="17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14:paraId="6F43986C">
      <w:pPr>
        <w:rPr>
          <w:rFonts w:ascii="Arial"/>
          <w:sz w:val="21"/>
        </w:rPr>
      </w:pPr>
    </w:p>
    <w:p w14:paraId="5091F023">
      <w:pPr>
        <w:sectPr>
          <w:headerReference r:id="rId16" w:type="default"/>
          <w:footerReference r:id="rId17" w:type="default"/>
          <w:pgSz w:w="11906" w:h="16839"/>
          <w:pgMar w:top="1132" w:right="1691" w:bottom="897" w:left="1691" w:header="878" w:footer="739" w:gutter="0"/>
          <w:cols w:space="720" w:num="1"/>
        </w:sectPr>
      </w:pPr>
    </w:p>
    <w:p w14:paraId="65DC23E8">
      <w:r>
        <w:pict>
          <v:rect id="_x0000_s1035" o:spid="_x0000_s1035" o:spt="1" style="position:absolute;left:0pt;margin-left:90pt;margin-top:57.35pt;height:0.75pt;width:415.3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p w14:paraId="04B998E8">
      <w:pPr>
        <w:spacing w:line="65"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4268"/>
        <w:gridCol w:w="2943"/>
        <w:gridCol w:w="751"/>
      </w:tblGrid>
      <w:tr w14:paraId="0F1CC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98" w:hRule="atLeast"/>
        </w:trPr>
        <w:tc>
          <w:tcPr>
            <w:tcW w:w="560" w:type="dxa"/>
            <w:tcBorders>
              <w:left w:val="nil"/>
            </w:tcBorders>
            <w:vAlign w:val="top"/>
          </w:tcPr>
          <w:p w14:paraId="509D666A">
            <w:pPr>
              <w:spacing w:line="322" w:lineRule="auto"/>
              <w:rPr>
                <w:rFonts w:ascii="Arial"/>
                <w:sz w:val="21"/>
              </w:rPr>
            </w:pPr>
          </w:p>
          <w:p w14:paraId="2DA8D17A">
            <w:pPr>
              <w:spacing w:line="322" w:lineRule="auto"/>
              <w:rPr>
                <w:rFonts w:ascii="Arial"/>
                <w:sz w:val="21"/>
              </w:rPr>
            </w:pPr>
          </w:p>
          <w:p w14:paraId="65A4610F">
            <w:pPr>
              <w:spacing w:before="65" w:line="238" w:lineRule="auto"/>
              <w:ind w:left="80"/>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艺</w:t>
            </w:r>
          </w:p>
          <w:p w14:paraId="4CCAFD14">
            <w:pPr>
              <w:spacing w:before="52" w:line="228" w:lineRule="auto"/>
              <w:ind w:left="81"/>
              <w:rPr>
                <w:rFonts w:ascii="宋体" w:hAnsi="宋体" w:eastAsia="宋体" w:cs="宋体"/>
                <w:sz w:val="20"/>
                <w:szCs w:val="20"/>
              </w:rPr>
            </w:pPr>
            <w:r>
              <w:rPr>
                <w:rFonts w:ascii="宋体" w:hAnsi="宋体" w:eastAsia="宋体" w:cs="宋体"/>
                <w:spacing w:val="3"/>
                <w:sz w:val="20"/>
                <w:szCs w:val="20"/>
              </w:rPr>
              <w:t>与</w:t>
            </w:r>
            <w:r>
              <w:rPr>
                <w:rFonts w:ascii="宋体" w:hAnsi="宋体" w:eastAsia="宋体" w:cs="宋体"/>
                <w:spacing w:val="2"/>
                <w:sz w:val="20"/>
                <w:szCs w:val="20"/>
              </w:rPr>
              <w:t>装</w:t>
            </w:r>
          </w:p>
          <w:p w14:paraId="7B89AB0F">
            <w:pPr>
              <w:spacing w:before="62" w:line="229" w:lineRule="auto"/>
              <w:ind w:left="185"/>
              <w:rPr>
                <w:rFonts w:ascii="宋体" w:hAnsi="宋体" w:eastAsia="宋体" w:cs="宋体"/>
                <w:sz w:val="20"/>
                <w:szCs w:val="20"/>
              </w:rPr>
            </w:pPr>
            <w:r>
              <w:rPr>
                <w:rFonts w:ascii="宋体" w:hAnsi="宋体" w:eastAsia="宋体" w:cs="宋体"/>
                <w:sz w:val="20"/>
                <w:szCs w:val="20"/>
              </w:rPr>
              <w:t>备</w:t>
            </w:r>
          </w:p>
        </w:tc>
        <w:tc>
          <w:tcPr>
            <w:tcW w:w="4268" w:type="dxa"/>
            <w:vAlign w:val="top"/>
          </w:tcPr>
          <w:p w14:paraId="0F84C18C">
            <w:pPr>
              <w:spacing w:line="337" w:lineRule="auto"/>
              <w:rPr>
                <w:rFonts w:ascii="Arial"/>
                <w:sz w:val="21"/>
              </w:rPr>
            </w:pPr>
          </w:p>
          <w:p w14:paraId="70D54F88">
            <w:pPr>
              <w:spacing w:before="65" w:line="291" w:lineRule="auto"/>
              <w:ind w:left="28" w:right="8" w:firstLine="4"/>
              <w:rPr>
                <w:rFonts w:ascii="宋体" w:hAnsi="宋体" w:eastAsia="宋体" w:cs="宋体"/>
                <w:sz w:val="20"/>
                <w:szCs w:val="20"/>
              </w:rPr>
            </w:pPr>
            <w:r>
              <w:rPr>
                <w:rFonts w:ascii="宋体" w:hAnsi="宋体" w:eastAsia="宋体" w:cs="宋体"/>
                <w:spacing w:val="1"/>
                <w:sz w:val="20"/>
                <w:szCs w:val="20"/>
              </w:rPr>
              <w:t>塑料再生造粒类企业：应具有与加工利用能力相</w:t>
            </w:r>
            <w:r>
              <w:rPr>
                <w:rFonts w:ascii="宋体" w:hAnsi="宋体" w:eastAsia="宋体" w:cs="宋体"/>
                <w:sz w:val="20"/>
                <w:szCs w:val="20"/>
              </w:rPr>
              <w:t xml:space="preserve"> </w:t>
            </w:r>
            <w:r>
              <w:rPr>
                <w:rFonts w:ascii="宋体" w:hAnsi="宋体" w:eastAsia="宋体" w:cs="宋体"/>
                <w:spacing w:val="2"/>
                <w:sz w:val="20"/>
                <w:szCs w:val="20"/>
              </w:rPr>
              <w:t>适应的预</w:t>
            </w:r>
            <w:r>
              <w:rPr>
                <w:rFonts w:ascii="宋体" w:hAnsi="宋体" w:eastAsia="宋体" w:cs="宋体"/>
                <w:spacing w:val="1"/>
                <w:sz w:val="20"/>
                <w:szCs w:val="20"/>
              </w:rPr>
              <w:t>处理设备和造粒设备。其中，造粒设备</w:t>
            </w:r>
            <w:r>
              <w:rPr>
                <w:rFonts w:ascii="宋体" w:hAnsi="宋体" w:eastAsia="宋体" w:cs="宋体"/>
                <w:sz w:val="20"/>
                <w:szCs w:val="20"/>
              </w:rPr>
              <w:t xml:space="preserve"> </w:t>
            </w:r>
            <w:r>
              <w:rPr>
                <w:rFonts w:ascii="宋体" w:hAnsi="宋体" w:eastAsia="宋体" w:cs="宋体"/>
                <w:spacing w:val="2"/>
                <w:sz w:val="20"/>
                <w:szCs w:val="20"/>
              </w:rPr>
              <w:t>应具有强</w:t>
            </w:r>
            <w:r>
              <w:rPr>
                <w:rFonts w:ascii="宋体" w:hAnsi="宋体" w:eastAsia="宋体" w:cs="宋体"/>
                <w:spacing w:val="1"/>
                <w:sz w:val="20"/>
                <w:szCs w:val="20"/>
              </w:rPr>
              <w:t>制排气系统，通过集气装置实现废气的</w:t>
            </w:r>
            <w:r>
              <w:rPr>
                <w:rFonts w:ascii="宋体" w:hAnsi="宋体" w:eastAsia="宋体" w:cs="宋体"/>
                <w:sz w:val="20"/>
                <w:szCs w:val="20"/>
              </w:rPr>
              <w:t xml:space="preserve"> </w:t>
            </w:r>
            <w:r>
              <w:rPr>
                <w:rFonts w:ascii="宋体" w:hAnsi="宋体" w:eastAsia="宋体" w:cs="宋体"/>
                <w:spacing w:val="2"/>
                <w:sz w:val="20"/>
                <w:szCs w:val="20"/>
              </w:rPr>
              <w:t>集中处理</w:t>
            </w:r>
            <w:r>
              <w:rPr>
                <w:rFonts w:ascii="宋体" w:hAnsi="宋体" w:eastAsia="宋体" w:cs="宋体"/>
                <w:spacing w:val="1"/>
                <w:sz w:val="20"/>
                <w:szCs w:val="20"/>
              </w:rPr>
              <w:t>；过滤装置的废弃过滤网应按照环境保</w:t>
            </w:r>
            <w:r>
              <w:rPr>
                <w:rFonts w:ascii="宋体" w:hAnsi="宋体" w:eastAsia="宋体" w:cs="宋体"/>
                <w:sz w:val="20"/>
                <w:szCs w:val="20"/>
              </w:rPr>
              <w:t xml:space="preserve"> </w:t>
            </w:r>
            <w:r>
              <w:rPr>
                <w:rFonts w:ascii="宋体" w:hAnsi="宋体" w:eastAsia="宋体" w:cs="宋体"/>
                <w:spacing w:val="-2"/>
                <w:sz w:val="20"/>
                <w:szCs w:val="20"/>
              </w:rPr>
              <w:t>护有关规定处理，禁止露天</w:t>
            </w:r>
            <w:r>
              <w:rPr>
                <w:rFonts w:ascii="宋体" w:hAnsi="宋体" w:eastAsia="宋体" w:cs="宋体"/>
                <w:spacing w:val="-1"/>
                <w:sz w:val="20"/>
                <w:szCs w:val="20"/>
              </w:rPr>
              <w:t>焚烧。</w:t>
            </w:r>
          </w:p>
        </w:tc>
        <w:tc>
          <w:tcPr>
            <w:tcW w:w="2943" w:type="dxa"/>
            <w:vAlign w:val="top"/>
          </w:tcPr>
          <w:p w14:paraId="7DD3055F">
            <w:pPr>
              <w:spacing w:before="89" w:line="278" w:lineRule="auto"/>
              <w:ind w:left="28" w:right="18" w:firstLine="3"/>
              <w:rPr>
                <w:rFonts w:ascii="宋体" w:hAnsi="宋体" w:eastAsia="宋体" w:cs="宋体"/>
                <w:sz w:val="20"/>
                <w:szCs w:val="20"/>
              </w:rPr>
            </w:pPr>
            <w:r>
              <w:rPr>
                <w:rFonts w:ascii="宋体" w:hAnsi="宋体" w:eastAsia="宋体" w:cs="宋体"/>
                <w:spacing w:val="31"/>
                <w:sz w:val="20"/>
                <w:szCs w:val="20"/>
              </w:rPr>
              <w:t>该</w:t>
            </w:r>
            <w:r>
              <w:rPr>
                <w:rFonts w:ascii="宋体" w:hAnsi="宋体" w:eastAsia="宋体" w:cs="宋体"/>
                <w:spacing w:val="21"/>
                <w:sz w:val="20"/>
                <w:szCs w:val="20"/>
              </w:rPr>
              <w:t>项目有机废气经集气罩收集</w:t>
            </w:r>
            <w:r>
              <w:rPr>
                <w:rFonts w:ascii="宋体" w:hAnsi="宋体" w:eastAsia="宋体" w:cs="宋体"/>
                <w:sz w:val="20"/>
                <w:szCs w:val="20"/>
              </w:rPr>
              <w:t xml:space="preserve"> </w:t>
            </w:r>
            <w:r>
              <w:rPr>
                <w:rFonts w:ascii="宋体" w:hAnsi="宋体" w:eastAsia="宋体" w:cs="宋体"/>
                <w:spacing w:val="24"/>
                <w:sz w:val="20"/>
                <w:szCs w:val="20"/>
              </w:rPr>
              <w:t>后</w:t>
            </w:r>
            <w:r>
              <w:rPr>
                <w:rFonts w:ascii="宋体" w:hAnsi="宋体" w:eastAsia="宋体" w:cs="宋体"/>
                <w:spacing w:val="22"/>
                <w:sz w:val="20"/>
                <w:szCs w:val="20"/>
              </w:rPr>
              <w:t>由引风机抽入废气治理装置</w:t>
            </w:r>
            <w:r>
              <w:rPr>
                <w:rFonts w:ascii="宋体" w:hAnsi="宋体" w:eastAsia="宋体" w:cs="宋体"/>
                <w:sz w:val="20"/>
                <w:szCs w:val="20"/>
              </w:rPr>
              <w:t xml:space="preserve"> </w:t>
            </w:r>
            <w:r>
              <w:rPr>
                <w:rFonts w:ascii="宋体" w:hAnsi="宋体" w:eastAsia="宋体" w:cs="宋体"/>
                <w:spacing w:val="6"/>
                <w:sz w:val="20"/>
                <w:szCs w:val="20"/>
              </w:rPr>
              <w:t>中，</w:t>
            </w:r>
            <w:r>
              <w:rPr>
                <w:rFonts w:ascii="宋体" w:hAnsi="宋体" w:eastAsia="宋体" w:cs="宋体"/>
                <w:spacing w:val="4"/>
                <w:sz w:val="20"/>
                <w:szCs w:val="20"/>
              </w:rPr>
              <w:t>经</w:t>
            </w:r>
            <w:r>
              <w:rPr>
                <w:rFonts w:ascii="宋体" w:hAnsi="宋体" w:eastAsia="宋体" w:cs="宋体"/>
                <w:spacing w:val="3"/>
                <w:sz w:val="20"/>
                <w:szCs w:val="20"/>
              </w:rPr>
              <w:t xml:space="preserve">过 </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光氧催化废气处理</w:t>
            </w:r>
            <w:r>
              <w:rPr>
                <w:rFonts w:ascii="宋体" w:hAnsi="宋体" w:eastAsia="宋体" w:cs="宋体"/>
                <w:sz w:val="20"/>
                <w:szCs w:val="20"/>
              </w:rPr>
              <w:t xml:space="preserve"> </w:t>
            </w:r>
            <w:r>
              <w:rPr>
                <w:rFonts w:ascii="宋体" w:hAnsi="宋体" w:eastAsia="宋体" w:cs="宋体"/>
                <w:spacing w:val="20"/>
                <w:sz w:val="20"/>
                <w:szCs w:val="20"/>
              </w:rPr>
              <w:t>装</w:t>
            </w:r>
            <w:r>
              <w:rPr>
                <w:rFonts w:ascii="宋体" w:hAnsi="宋体" w:eastAsia="宋体" w:cs="宋体"/>
                <w:spacing w:val="12"/>
                <w:sz w:val="20"/>
                <w:szCs w:val="20"/>
              </w:rPr>
              <w:t>置</w:t>
            </w:r>
            <w:r>
              <w:rPr>
                <w:rFonts w:ascii="Times New Roman" w:hAnsi="Times New Roman" w:eastAsia="Times New Roman" w:cs="Times New Roman"/>
                <w:spacing w:val="12"/>
                <w:sz w:val="20"/>
                <w:szCs w:val="20"/>
              </w:rPr>
              <w:t>+</w:t>
            </w:r>
            <w:r>
              <w:rPr>
                <w:rFonts w:ascii="宋体" w:hAnsi="宋体" w:eastAsia="宋体" w:cs="宋体"/>
                <w:spacing w:val="12"/>
                <w:sz w:val="20"/>
                <w:szCs w:val="20"/>
              </w:rPr>
              <w:t>活性炭吸附装置处理后通</w:t>
            </w:r>
            <w:r>
              <w:rPr>
                <w:rFonts w:ascii="宋体" w:hAnsi="宋体" w:eastAsia="宋体" w:cs="宋体"/>
                <w:sz w:val="20"/>
                <w:szCs w:val="20"/>
              </w:rPr>
              <w:t xml:space="preserve"> </w:t>
            </w:r>
            <w:r>
              <w:rPr>
                <w:rFonts w:ascii="宋体" w:hAnsi="宋体" w:eastAsia="宋体" w:cs="宋体"/>
                <w:spacing w:val="-1"/>
                <w:sz w:val="20"/>
                <w:szCs w:val="20"/>
              </w:rPr>
              <w:t xml:space="preserve">过 </w:t>
            </w: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高排气筒有组织排放。</w:t>
            </w:r>
            <w:r>
              <w:rPr>
                <w:rFonts w:ascii="宋体" w:hAnsi="宋体" w:eastAsia="宋体" w:cs="宋体"/>
                <w:sz w:val="20"/>
                <w:szCs w:val="20"/>
              </w:rPr>
              <w:t xml:space="preserve">废 </w:t>
            </w:r>
            <w:r>
              <w:rPr>
                <w:rFonts w:ascii="宋体" w:hAnsi="宋体" w:eastAsia="宋体" w:cs="宋体"/>
                <w:spacing w:val="8"/>
                <w:sz w:val="20"/>
                <w:szCs w:val="20"/>
              </w:rPr>
              <w:t>弃</w:t>
            </w:r>
            <w:r>
              <w:rPr>
                <w:rFonts w:ascii="宋体" w:hAnsi="宋体" w:eastAsia="宋体" w:cs="宋体"/>
                <w:spacing w:val="6"/>
                <w:sz w:val="20"/>
                <w:szCs w:val="20"/>
              </w:rPr>
              <w:t>过滤网定期由厂家回收，不自</w:t>
            </w:r>
            <w:r>
              <w:rPr>
                <w:rFonts w:ascii="宋体" w:hAnsi="宋体" w:eastAsia="宋体" w:cs="宋体"/>
                <w:sz w:val="20"/>
                <w:szCs w:val="20"/>
              </w:rPr>
              <w:t xml:space="preserve"> </w:t>
            </w:r>
            <w:r>
              <w:rPr>
                <w:rFonts w:ascii="宋体" w:hAnsi="宋体" w:eastAsia="宋体" w:cs="宋体"/>
                <w:spacing w:val="5"/>
                <w:sz w:val="20"/>
                <w:szCs w:val="20"/>
              </w:rPr>
              <w:t>行处置。</w:t>
            </w:r>
          </w:p>
        </w:tc>
        <w:tc>
          <w:tcPr>
            <w:tcW w:w="751" w:type="dxa"/>
            <w:tcBorders>
              <w:right w:val="nil"/>
            </w:tcBorders>
            <w:vAlign w:val="top"/>
          </w:tcPr>
          <w:p w14:paraId="0958418D">
            <w:pPr>
              <w:spacing w:line="317" w:lineRule="auto"/>
              <w:rPr>
                <w:rFonts w:ascii="Arial"/>
                <w:sz w:val="21"/>
              </w:rPr>
            </w:pPr>
          </w:p>
          <w:p w14:paraId="76C2E6CC">
            <w:pPr>
              <w:spacing w:line="317" w:lineRule="auto"/>
              <w:rPr>
                <w:rFonts w:ascii="Arial"/>
                <w:sz w:val="21"/>
              </w:rPr>
            </w:pPr>
          </w:p>
          <w:p w14:paraId="3976D1C7">
            <w:pPr>
              <w:spacing w:line="318" w:lineRule="auto"/>
              <w:rPr>
                <w:rFonts w:ascii="Arial"/>
                <w:sz w:val="21"/>
              </w:rPr>
            </w:pPr>
          </w:p>
          <w:p w14:paraId="73D0B751">
            <w:pPr>
              <w:spacing w:before="65" w:line="228" w:lineRule="auto"/>
              <w:ind w:left="17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0E32B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560" w:type="dxa"/>
            <w:tcBorders>
              <w:left w:val="nil"/>
            </w:tcBorders>
            <w:vAlign w:val="top"/>
          </w:tcPr>
          <w:p w14:paraId="2A1D8F00">
            <w:pPr>
              <w:spacing w:line="309" w:lineRule="auto"/>
              <w:rPr>
                <w:rFonts w:ascii="Arial"/>
                <w:sz w:val="21"/>
              </w:rPr>
            </w:pPr>
          </w:p>
          <w:p w14:paraId="0A19DD98">
            <w:pPr>
              <w:spacing w:line="310" w:lineRule="auto"/>
              <w:rPr>
                <w:rFonts w:ascii="Arial"/>
                <w:sz w:val="21"/>
              </w:rPr>
            </w:pPr>
          </w:p>
          <w:p w14:paraId="18AB66EB">
            <w:pPr>
              <w:spacing w:line="310" w:lineRule="auto"/>
              <w:rPr>
                <w:rFonts w:ascii="Arial"/>
                <w:sz w:val="21"/>
              </w:rPr>
            </w:pPr>
          </w:p>
          <w:p w14:paraId="218495DF">
            <w:pPr>
              <w:spacing w:before="65" w:line="299" w:lineRule="auto"/>
              <w:ind w:left="77" w:right="70"/>
              <w:rPr>
                <w:rFonts w:ascii="宋体" w:hAnsi="宋体" w:eastAsia="宋体" w:cs="宋体"/>
                <w:sz w:val="20"/>
                <w:szCs w:val="20"/>
              </w:rPr>
            </w:pPr>
            <w:r>
              <w:rPr>
                <w:rFonts w:ascii="宋体" w:hAnsi="宋体" w:eastAsia="宋体" w:cs="宋体"/>
                <w:spacing w:val="5"/>
                <w:sz w:val="20"/>
                <w:szCs w:val="20"/>
              </w:rPr>
              <w:t>环</w:t>
            </w:r>
            <w:r>
              <w:rPr>
                <w:rFonts w:ascii="宋体" w:hAnsi="宋体" w:eastAsia="宋体" w:cs="宋体"/>
                <w:spacing w:val="4"/>
                <w:sz w:val="20"/>
                <w:szCs w:val="20"/>
              </w:rPr>
              <w:t>境</w:t>
            </w:r>
            <w:r>
              <w:rPr>
                <w:rFonts w:ascii="宋体" w:hAnsi="宋体" w:eastAsia="宋体" w:cs="宋体"/>
                <w:sz w:val="20"/>
                <w:szCs w:val="20"/>
              </w:rPr>
              <w:t xml:space="preserve"> </w:t>
            </w:r>
            <w:r>
              <w:rPr>
                <w:rFonts w:ascii="宋体" w:hAnsi="宋体" w:eastAsia="宋体" w:cs="宋体"/>
                <w:spacing w:val="4"/>
                <w:sz w:val="20"/>
                <w:szCs w:val="20"/>
              </w:rPr>
              <w:t>保护</w:t>
            </w:r>
          </w:p>
        </w:tc>
        <w:tc>
          <w:tcPr>
            <w:tcW w:w="4268" w:type="dxa"/>
            <w:vAlign w:val="top"/>
          </w:tcPr>
          <w:p w14:paraId="1DF03CD6">
            <w:pPr>
              <w:spacing w:before="73" w:line="278" w:lineRule="auto"/>
              <w:ind w:left="25" w:right="8" w:firstLine="20"/>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4"/>
                <w:sz w:val="20"/>
                <w:szCs w:val="20"/>
              </w:rPr>
              <w:t>、企业加工存储场地应建有围墙，在园区内的企</w:t>
            </w:r>
            <w:r>
              <w:rPr>
                <w:rFonts w:ascii="宋体" w:hAnsi="宋体" w:eastAsia="宋体" w:cs="宋体"/>
                <w:sz w:val="20"/>
                <w:szCs w:val="20"/>
              </w:rPr>
              <w:t xml:space="preserve"> </w:t>
            </w:r>
            <w:r>
              <w:rPr>
                <w:rFonts w:ascii="宋体" w:hAnsi="宋体" w:eastAsia="宋体" w:cs="宋体"/>
                <w:spacing w:val="2"/>
                <w:sz w:val="20"/>
                <w:szCs w:val="20"/>
              </w:rPr>
              <w:t>业可为单独厂房，</w:t>
            </w:r>
            <w:r>
              <w:rPr>
                <w:rFonts w:ascii="宋体" w:hAnsi="宋体" w:eastAsia="宋体" w:cs="宋体"/>
                <w:spacing w:val="1"/>
                <w:sz w:val="20"/>
                <w:szCs w:val="20"/>
              </w:rPr>
              <w:t>地面全部硬化且无明显破损现</w:t>
            </w:r>
            <w:r>
              <w:rPr>
                <w:rFonts w:ascii="宋体" w:hAnsi="宋体" w:eastAsia="宋体" w:cs="宋体"/>
                <w:sz w:val="20"/>
                <w:szCs w:val="20"/>
              </w:rPr>
              <w:t xml:space="preserve"> </w:t>
            </w:r>
            <w:r>
              <w:rPr>
                <w:rFonts w:ascii="宋体" w:hAnsi="宋体" w:eastAsia="宋体" w:cs="宋体"/>
                <w:spacing w:val="11"/>
                <w:sz w:val="20"/>
                <w:szCs w:val="20"/>
              </w:rPr>
              <w:t>象</w:t>
            </w:r>
            <w:r>
              <w:rPr>
                <w:rFonts w:ascii="宋体" w:hAnsi="宋体" w:eastAsia="宋体" w:cs="宋体"/>
                <w:spacing w:val="10"/>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2</w:t>
            </w:r>
            <w:r>
              <w:rPr>
                <w:rFonts w:ascii="宋体" w:hAnsi="宋体" w:eastAsia="宋体" w:cs="宋体"/>
                <w:spacing w:val="-5"/>
                <w:sz w:val="20"/>
                <w:szCs w:val="20"/>
              </w:rPr>
              <w:t>、</w:t>
            </w:r>
            <w:r>
              <w:rPr>
                <w:rFonts w:ascii="宋体" w:hAnsi="宋体" w:eastAsia="宋体" w:cs="宋体"/>
                <w:spacing w:val="-3"/>
                <w:sz w:val="20"/>
                <w:szCs w:val="20"/>
              </w:rPr>
              <w:t>企业必须配备废塑料分类存放场所。原料、产</w:t>
            </w:r>
            <w:r>
              <w:rPr>
                <w:rFonts w:ascii="宋体" w:hAnsi="宋体" w:eastAsia="宋体" w:cs="宋体"/>
                <w:sz w:val="20"/>
                <w:szCs w:val="20"/>
              </w:rPr>
              <w:t xml:space="preserve"> </w:t>
            </w:r>
            <w:r>
              <w:rPr>
                <w:rFonts w:ascii="宋体" w:hAnsi="宋体" w:eastAsia="宋体" w:cs="宋体"/>
                <w:spacing w:val="2"/>
                <w:sz w:val="20"/>
                <w:szCs w:val="20"/>
              </w:rPr>
              <w:t>品、本企业不能利</w:t>
            </w:r>
            <w:r>
              <w:rPr>
                <w:rFonts w:ascii="宋体" w:hAnsi="宋体" w:eastAsia="宋体" w:cs="宋体"/>
                <w:spacing w:val="1"/>
                <w:sz w:val="20"/>
                <w:szCs w:val="20"/>
              </w:rPr>
              <w:t>用废塑料及不可利用废物贮存</w:t>
            </w:r>
            <w:r>
              <w:rPr>
                <w:rFonts w:ascii="宋体" w:hAnsi="宋体" w:eastAsia="宋体" w:cs="宋体"/>
                <w:sz w:val="20"/>
                <w:szCs w:val="20"/>
              </w:rPr>
              <w:t xml:space="preserve"> </w:t>
            </w:r>
            <w:r>
              <w:rPr>
                <w:rFonts w:ascii="宋体" w:hAnsi="宋体" w:eastAsia="宋体" w:cs="宋体"/>
                <w:spacing w:val="2"/>
                <w:sz w:val="20"/>
                <w:szCs w:val="20"/>
              </w:rPr>
              <w:t>在具有防雨、防风</w:t>
            </w:r>
            <w:r>
              <w:rPr>
                <w:rFonts w:ascii="宋体" w:hAnsi="宋体" w:eastAsia="宋体" w:cs="宋体"/>
                <w:spacing w:val="1"/>
                <w:sz w:val="20"/>
                <w:szCs w:val="20"/>
              </w:rPr>
              <w:t>、防渗等功能的厂房或加盖雨</w:t>
            </w:r>
            <w:r>
              <w:rPr>
                <w:rFonts w:ascii="宋体" w:hAnsi="宋体" w:eastAsia="宋体" w:cs="宋体"/>
                <w:sz w:val="20"/>
                <w:szCs w:val="20"/>
              </w:rPr>
              <w:t xml:space="preserve"> </w:t>
            </w:r>
            <w:r>
              <w:rPr>
                <w:rFonts w:ascii="宋体" w:hAnsi="宋体" w:eastAsia="宋体" w:cs="宋体"/>
                <w:spacing w:val="2"/>
                <w:sz w:val="20"/>
                <w:szCs w:val="20"/>
              </w:rPr>
              <w:t>棚的专门贮存场地</w:t>
            </w:r>
            <w:r>
              <w:rPr>
                <w:rFonts w:ascii="宋体" w:hAnsi="宋体" w:eastAsia="宋体" w:cs="宋体"/>
                <w:spacing w:val="1"/>
                <w:sz w:val="20"/>
                <w:szCs w:val="20"/>
              </w:rPr>
              <w:t>内，无露天堆放现象。企业厂</w:t>
            </w:r>
            <w:r>
              <w:rPr>
                <w:rFonts w:ascii="宋体" w:hAnsi="宋体" w:eastAsia="宋体" w:cs="宋体"/>
                <w:sz w:val="20"/>
                <w:szCs w:val="20"/>
              </w:rPr>
              <w:t xml:space="preserve"> </w:t>
            </w:r>
            <w:r>
              <w:rPr>
                <w:rFonts w:ascii="宋体" w:hAnsi="宋体" w:eastAsia="宋体" w:cs="宋体"/>
                <w:spacing w:val="-2"/>
                <w:sz w:val="20"/>
                <w:szCs w:val="20"/>
              </w:rPr>
              <w:t>区管网建设应达到</w:t>
            </w:r>
            <w:r>
              <w:rPr>
                <w:rFonts w:ascii="Times New Roman" w:hAnsi="Times New Roman" w:eastAsia="Times New Roman" w:cs="Times New Roman"/>
                <w:spacing w:val="-2"/>
                <w:sz w:val="20"/>
                <w:szCs w:val="20"/>
              </w:rPr>
              <w:t>“</w:t>
            </w:r>
            <w:r>
              <w:rPr>
                <w:rFonts w:ascii="宋体" w:hAnsi="宋体" w:eastAsia="宋体" w:cs="宋体"/>
                <w:spacing w:val="-2"/>
                <w:sz w:val="20"/>
                <w:szCs w:val="20"/>
              </w:rPr>
              <w:t>雨污</w:t>
            </w:r>
            <w:r>
              <w:rPr>
                <w:rFonts w:ascii="宋体" w:hAnsi="宋体" w:eastAsia="宋体" w:cs="宋体"/>
                <w:spacing w:val="-1"/>
                <w:sz w:val="20"/>
                <w:szCs w:val="20"/>
              </w:rPr>
              <w:t>分流</w:t>
            </w:r>
            <w:r>
              <w:rPr>
                <w:rFonts w:ascii="Times New Roman" w:hAnsi="Times New Roman" w:eastAsia="Times New Roman" w:cs="Times New Roman"/>
                <w:spacing w:val="-1"/>
                <w:sz w:val="20"/>
                <w:szCs w:val="20"/>
              </w:rPr>
              <w:t>”</w:t>
            </w:r>
            <w:r>
              <w:rPr>
                <w:rFonts w:ascii="宋体" w:hAnsi="宋体" w:eastAsia="宋体" w:cs="宋体"/>
                <w:spacing w:val="-1"/>
                <w:sz w:val="20"/>
                <w:szCs w:val="20"/>
              </w:rPr>
              <w:t>要求。</w:t>
            </w:r>
          </w:p>
        </w:tc>
        <w:tc>
          <w:tcPr>
            <w:tcW w:w="2943" w:type="dxa"/>
            <w:vAlign w:val="top"/>
          </w:tcPr>
          <w:p w14:paraId="62FEEFCB">
            <w:pPr>
              <w:spacing w:before="223" w:line="290" w:lineRule="auto"/>
              <w:ind w:left="28" w:firstLine="3"/>
              <w:rPr>
                <w:rFonts w:ascii="宋体" w:hAnsi="宋体" w:eastAsia="宋体" w:cs="宋体"/>
                <w:sz w:val="20"/>
                <w:szCs w:val="20"/>
              </w:rPr>
            </w:pPr>
            <w:r>
              <w:rPr>
                <w:rFonts w:ascii="宋体" w:hAnsi="宋体" w:eastAsia="宋体" w:cs="宋体"/>
                <w:spacing w:val="20"/>
                <w:sz w:val="20"/>
                <w:szCs w:val="20"/>
              </w:rPr>
              <w:t>该项目位于本溪市溪湖区火</w:t>
            </w:r>
            <w:r>
              <w:rPr>
                <w:rFonts w:ascii="宋体" w:hAnsi="宋体" w:eastAsia="宋体" w:cs="宋体"/>
                <w:spacing w:val="18"/>
                <w:sz w:val="20"/>
                <w:szCs w:val="20"/>
              </w:rPr>
              <w:t>连</w:t>
            </w:r>
            <w:r>
              <w:rPr>
                <w:rFonts w:ascii="宋体" w:hAnsi="宋体" w:eastAsia="宋体" w:cs="宋体"/>
                <w:sz w:val="20"/>
                <w:szCs w:val="20"/>
              </w:rPr>
              <w:t xml:space="preserve"> </w:t>
            </w:r>
            <w:r>
              <w:rPr>
                <w:rFonts w:ascii="宋体" w:hAnsi="宋体" w:eastAsia="宋体" w:cs="宋体"/>
                <w:spacing w:val="8"/>
                <w:sz w:val="20"/>
                <w:szCs w:val="20"/>
              </w:rPr>
              <w:t>寨镇</w:t>
            </w:r>
            <w:r>
              <w:rPr>
                <w:rFonts w:ascii="宋体" w:hAnsi="宋体" w:eastAsia="宋体" w:cs="宋体"/>
                <w:spacing w:val="4"/>
                <w:sz w:val="20"/>
                <w:szCs w:val="20"/>
              </w:rPr>
              <w:t>火连寨村，厂区内设有封闭</w:t>
            </w:r>
            <w:r>
              <w:rPr>
                <w:rFonts w:ascii="宋体" w:hAnsi="宋体" w:eastAsia="宋体" w:cs="宋体"/>
                <w:sz w:val="20"/>
                <w:szCs w:val="20"/>
              </w:rPr>
              <w:t xml:space="preserve"> </w:t>
            </w:r>
            <w:r>
              <w:rPr>
                <w:rFonts w:ascii="宋体" w:hAnsi="宋体" w:eastAsia="宋体" w:cs="宋体"/>
                <w:spacing w:val="8"/>
                <w:sz w:val="20"/>
                <w:szCs w:val="20"/>
              </w:rPr>
              <w:t>式生产厂房、成品库及原料库</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具有防雨、防风、防渗等功能</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无</w:t>
            </w:r>
            <w:r>
              <w:rPr>
                <w:rFonts w:ascii="宋体" w:hAnsi="宋体" w:eastAsia="宋体" w:cs="宋体"/>
                <w:spacing w:val="6"/>
                <w:sz w:val="20"/>
                <w:szCs w:val="20"/>
              </w:rPr>
              <w:t>露</w:t>
            </w:r>
            <w:r>
              <w:rPr>
                <w:rFonts w:ascii="宋体" w:hAnsi="宋体" w:eastAsia="宋体" w:cs="宋体"/>
                <w:spacing w:val="4"/>
                <w:sz w:val="20"/>
                <w:szCs w:val="20"/>
              </w:rPr>
              <w:t>天堆放现象。厂区地面均进</w:t>
            </w:r>
            <w:r>
              <w:rPr>
                <w:rFonts w:ascii="宋体" w:hAnsi="宋体" w:eastAsia="宋体" w:cs="宋体"/>
                <w:sz w:val="20"/>
                <w:szCs w:val="20"/>
              </w:rPr>
              <w:t xml:space="preserve"> </w:t>
            </w:r>
            <w:r>
              <w:rPr>
                <w:rFonts w:ascii="宋体" w:hAnsi="宋体" w:eastAsia="宋体" w:cs="宋体"/>
                <w:spacing w:val="33"/>
                <w:sz w:val="20"/>
                <w:szCs w:val="20"/>
              </w:rPr>
              <w:t>行</w:t>
            </w:r>
            <w:r>
              <w:rPr>
                <w:rFonts w:ascii="宋体" w:hAnsi="宋体" w:eastAsia="宋体" w:cs="宋体"/>
                <w:spacing w:val="23"/>
                <w:sz w:val="20"/>
                <w:szCs w:val="20"/>
              </w:rPr>
              <w:t>硬化，排水实施</w:t>
            </w:r>
            <w:r>
              <w:rPr>
                <w:rFonts w:ascii="Times New Roman" w:hAnsi="Times New Roman" w:eastAsia="Times New Roman" w:cs="Times New Roman"/>
                <w:spacing w:val="23"/>
                <w:sz w:val="20"/>
                <w:szCs w:val="20"/>
              </w:rPr>
              <w:t>“</w:t>
            </w:r>
            <w:r>
              <w:rPr>
                <w:rFonts w:ascii="宋体" w:hAnsi="宋体" w:eastAsia="宋体" w:cs="宋体"/>
                <w:spacing w:val="23"/>
                <w:sz w:val="20"/>
                <w:szCs w:val="20"/>
              </w:rPr>
              <w:t>雨污分流</w:t>
            </w:r>
            <w:r>
              <w:rPr>
                <w:rFonts w:ascii="Times New Roman" w:hAnsi="Times New Roman" w:eastAsia="Times New Roman" w:cs="Times New Roman"/>
                <w:spacing w:val="23"/>
                <w:sz w:val="20"/>
                <w:szCs w:val="20"/>
              </w:rPr>
              <w:t>”</w:t>
            </w:r>
            <w:r>
              <w:rPr>
                <w:rFonts w:ascii="Times New Roman" w:hAnsi="Times New Roman" w:eastAsia="Times New Roman" w:cs="Times New Roman"/>
                <w:sz w:val="20"/>
                <w:szCs w:val="20"/>
              </w:rPr>
              <w:t xml:space="preserve"> </w:t>
            </w:r>
            <w:r>
              <w:rPr>
                <w:rFonts w:ascii="宋体" w:hAnsi="宋体" w:eastAsia="宋体" w:cs="宋体"/>
                <w:spacing w:val="7"/>
                <w:sz w:val="20"/>
                <w:szCs w:val="20"/>
              </w:rPr>
              <w:t>制，雨水排口位于厂区东侧</w:t>
            </w:r>
            <w:r>
              <w:rPr>
                <w:rFonts w:ascii="宋体" w:hAnsi="宋体" w:eastAsia="宋体" w:cs="宋体"/>
                <w:spacing w:val="4"/>
                <w:sz w:val="20"/>
                <w:szCs w:val="20"/>
              </w:rPr>
              <w:t>。</w:t>
            </w:r>
          </w:p>
        </w:tc>
        <w:tc>
          <w:tcPr>
            <w:tcW w:w="751" w:type="dxa"/>
            <w:tcBorders>
              <w:right w:val="nil"/>
            </w:tcBorders>
            <w:vAlign w:val="top"/>
          </w:tcPr>
          <w:p w14:paraId="15C340B2">
            <w:pPr>
              <w:spacing w:line="270" w:lineRule="auto"/>
              <w:rPr>
                <w:rFonts w:ascii="Arial"/>
                <w:sz w:val="21"/>
              </w:rPr>
            </w:pPr>
          </w:p>
          <w:p w14:paraId="61E11871">
            <w:pPr>
              <w:spacing w:line="271" w:lineRule="auto"/>
              <w:rPr>
                <w:rFonts w:ascii="Arial"/>
                <w:sz w:val="21"/>
              </w:rPr>
            </w:pPr>
          </w:p>
          <w:p w14:paraId="1BCC8AAB">
            <w:pPr>
              <w:spacing w:line="271" w:lineRule="auto"/>
              <w:rPr>
                <w:rFonts w:ascii="Arial"/>
                <w:sz w:val="21"/>
              </w:rPr>
            </w:pPr>
          </w:p>
          <w:p w14:paraId="75360694">
            <w:pPr>
              <w:spacing w:line="271" w:lineRule="auto"/>
              <w:rPr>
                <w:rFonts w:ascii="Arial"/>
                <w:sz w:val="21"/>
              </w:rPr>
            </w:pPr>
          </w:p>
          <w:p w14:paraId="3B671B8C">
            <w:pPr>
              <w:spacing w:before="65" w:line="228" w:lineRule="auto"/>
              <w:ind w:left="17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56E4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560" w:type="dxa"/>
            <w:tcBorders>
              <w:left w:val="nil"/>
            </w:tcBorders>
            <w:vAlign w:val="top"/>
          </w:tcPr>
          <w:p w14:paraId="673376D3">
            <w:pPr>
              <w:spacing w:line="470" w:lineRule="auto"/>
              <w:rPr>
                <w:rFonts w:ascii="Arial"/>
                <w:sz w:val="21"/>
              </w:rPr>
            </w:pPr>
          </w:p>
          <w:p w14:paraId="02875248">
            <w:pPr>
              <w:spacing w:before="65" w:line="299" w:lineRule="auto"/>
              <w:ind w:left="81" w:right="70" w:firstLine="8"/>
              <w:rPr>
                <w:rFonts w:ascii="宋体" w:hAnsi="宋体" w:eastAsia="宋体" w:cs="宋体"/>
                <w:sz w:val="20"/>
                <w:szCs w:val="20"/>
              </w:rPr>
            </w:pPr>
            <w:r>
              <w:rPr>
                <w:rFonts w:ascii="宋体" w:hAnsi="宋体" w:eastAsia="宋体" w:cs="宋体"/>
                <w:spacing w:val="-2"/>
                <w:sz w:val="20"/>
                <w:szCs w:val="20"/>
              </w:rPr>
              <w:t>防火</w:t>
            </w:r>
            <w:r>
              <w:rPr>
                <w:rFonts w:ascii="宋体" w:hAnsi="宋体" w:eastAsia="宋体" w:cs="宋体"/>
                <w:sz w:val="20"/>
                <w:szCs w:val="20"/>
              </w:rPr>
              <w:t xml:space="preserve"> </w:t>
            </w:r>
            <w:r>
              <w:rPr>
                <w:rFonts w:ascii="宋体" w:hAnsi="宋体" w:eastAsia="宋体" w:cs="宋体"/>
                <w:spacing w:val="3"/>
                <w:sz w:val="20"/>
                <w:szCs w:val="20"/>
              </w:rPr>
              <w:t>安</w:t>
            </w:r>
            <w:r>
              <w:rPr>
                <w:rFonts w:ascii="宋体" w:hAnsi="宋体" w:eastAsia="宋体" w:cs="宋体"/>
                <w:spacing w:val="2"/>
                <w:sz w:val="20"/>
                <w:szCs w:val="20"/>
              </w:rPr>
              <w:t>全</w:t>
            </w:r>
          </w:p>
        </w:tc>
        <w:tc>
          <w:tcPr>
            <w:tcW w:w="4268" w:type="dxa"/>
            <w:vAlign w:val="top"/>
          </w:tcPr>
          <w:p w14:paraId="1206CE5C">
            <w:pPr>
              <w:spacing w:before="227" w:line="270" w:lineRule="auto"/>
              <w:ind w:left="32" w:right="8" w:firstLine="12"/>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4"/>
                <w:sz w:val="20"/>
                <w:szCs w:val="20"/>
              </w:rPr>
              <w:t>、生产厂房、仓库、堆场等场所内应严禁烟火，</w:t>
            </w:r>
            <w:r>
              <w:rPr>
                <w:rFonts w:ascii="宋体" w:hAnsi="宋体" w:eastAsia="宋体" w:cs="宋体"/>
                <w:sz w:val="20"/>
                <w:szCs w:val="20"/>
              </w:rPr>
              <w:t xml:space="preserve"> </w:t>
            </w:r>
            <w:r>
              <w:rPr>
                <w:rFonts w:ascii="宋体" w:hAnsi="宋体" w:eastAsia="宋体" w:cs="宋体"/>
                <w:spacing w:val="2"/>
                <w:sz w:val="20"/>
                <w:szCs w:val="20"/>
              </w:rPr>
              <w:t>不</w:t>
            </w:r>
            <w:r>
              <w:rPr>
                <w:rFonts w:ascii="宋体" w:hAnsi="宋体" w:eastAsia="宋体" w:cs="宋体"/>
                <w:spacing w:val="1"/>
                <w:sz w:val="20"/>
                <w:szCs w:val="20"/>
              </w:rPr>
              <w:t>可存放任何易燃性物质，并应设置严禁烟火标</w:t>
            </w:r>
            <w:r>
              <w:rPr>
                <w:rFonts w:ascii="宋体" w:hAnsi="宋体" w:eastAsia="宋体" w:cs="宋体"/>
                <w:sz w:val="20"/>
                <w:szCs w:val="20"/>
              </w:rPr>
              <w:t xml:space="preserve"> </w:t>
            </w:r>
            <w:r>
              <w:rPr>
                <w:rFonts w:ascii="宋体" w:hAnsi="宋体" w:eastAsia="宋体" w:cs="宋体"/>
                <w:spacing w:val="-2"/>
                <w:sz w:val="20"/>
                <w:szCs w:val="20"/>
              </w:rPr>
              <w:t>志</w:t>
            </w:r>
            <w:r>
              <w:rPr>
                <w:rFonts w:ascii="宋体" w:hAnsi="宋体" w:eastAsia="宋体" w:cs="宋体"/>
                <w:spacing w:val="-1"/>
                <w:sz w:val="20"/>
                <w:szCs w:val="20"/>
              </w:rPr>
              <w:t>。</w:t>
            </w:r>
          </w:p>
          <w:p w14:paraId="7E823796">
            <w:pPr>
              <w:spacing w:before="52" w:line="263" w:lineRule="exact"/>
              <w:ind w:left="25"/>
              <w:rPr>
                <w:rFonts w:ascii="宋体" w:hAnsi="宋体" w:eastAsia="宋体" w:cs="宋体"/>
                <w:sz w:val="20"/>
                <w:szCs w:val="20"/>
              </w:rPr>
            </w:pPr>
            <w:r>
              <w:rPr>
                <w:rFonts w:ascii="Times New Roman" w:hAnsi="Times New Roman" w:eastAsia="Times New Roman" w:cs="Times New Roman"/>
                <w:spacing w:val="-2"/>
                <w:position w:val="1"/>
                <w:sz w:val="20"/>
                <w:szCs w:val="20"/>
              </w:rPr>
              <w:t>2</w:t>
            </w:r>
            <w:r>
              <w:rPr>
                <w:rFonts w:ascii="宋体" w:hAnsi="宋体" w:eastAsia="宋体" w:cs="宋体"/>
                <w:spacing w:val="-2"/>
                <w:position w:val="1"/>
                <w:sz w:val="20"/>
                <w:szCs w:val="20"/>
              </w:rPr>
              <w:t>、生产区域应符合相关防火</w:t>
            </w:r>
            <w:r>
              <w:rPr>
                <w:rFonts w:ascii="宋体" w:hAnsi="宋体" w:eastAsia="宋体" w:cs="宋体"/>
                <w:spacing w:val="-1"/>
                <w:position w:val="1"/>
                <w:sz w:val="20"/>
                <w:szCs w:val="20"/>
              </w:rPr>
              <w:t>、防爆的要求。</w:t>
            </w:r>
          </w:p>
        </w:tc>
        <w:tc>
          <w:tcPr>
            <w:tcW w:w="2943" w:type="dxa"/>
            <w:vAlign w:val="top"/>
          </w:tcPr>
          <w:p w14:paraId="65E36358">
            <w:pPr>
              <w:spacing w:before="73" w:line="274" w:lineRule="auto"/>
              <w:ind w:left="28" w:firstLine="2"/>
              <w:rPr>
                <w:rFonts w:ascii="宋体" w:hAnsi="宋体" w:eastAsia="宋体" w:cs="宋体"/>
                <w:sz w:val="20"/>
                <w:szCs w:val="20"/>
              </w:rPr>
            </w:pPr>
            <w:r>
              <w:rPr>
                <w:rFonts w:ascii="宋体" w:hAnsi="宋体" w:eastAsia="宋体" w:cs="宋体"/>
                <w:spacing w:val="-16"/>
                <w:sz w:val="20"/>
                <w:szCs w:val="20"/>
              </w:rPr>
              <w:t>该</w:t>
            </w:r>
            <w:r>
              <w:rPr>
                <w:rFonts w:ascii="宋体" w:hAnsi="宋体" w:eastAsia="宋体" w:cs="宋体"/>
                <w:spacing w:val="-11"/>
                <w:sz w:val="20"/>
                <w:szCs w:val="20"/>
              </w:rPr>
              <w:t>项</w:t>
            </w:r>
            <w:r>
              <w:rPr>
                <w:rFonts w:ascii="宋体" w:hAnsi="宋体" w:eastAsia="宋体" w:cs="宋体"/>
                <w:spacing w:val="-8"/>
                <w:sz w:val="20"/>
                <w:szCs w:val="20"/>
              </w:rPr>
              <w:t>目生产厂房、原料库、成品库</w:t>
            </w:r>
            <w:r>
              <w:rPr>
                <w:rFonts w:ascii="宋体" w:hAnsi="宋体" w:eastAsia="宋体" w:cs="宋体"/>
                <w:sz w:val="20"/>
                <w:szCs w:val="20"/>
              </w:rPr>
              <w:t xml:space="preserve"> </w:t>
            </w:r>
            <w:r>
              <w:rPr>
                <w:rFonts w:ascii="宋体" w:hAnsi="宋体" w:eastAsia="宋体" w:cs="宋体"/>
                <w:spacing w:val="-16"/>
                <w:sz w:val="20"/>
                <w:szCs w:val="20"/>
              </w:rPr>
              <w:t>等</w:t>
            </w:r>
            <w:r>
              <w:rPr>
                <w:rFonts w:ascii="宋体" w:hAnsi="宋体" w:eastAsia="宋体" w:cs="宋体"/>
                <w:spacing w:val="-8"/>
                <w:sz w:val="20"/>
                <w:szCs w:val="20"/>
              </w:rPr>
              <w:t>场所内应严禁烟火，不可存放任</w:t>
            </w:r>
            <w:r>
              <w:rPr>
                <w:rFonts w:ascii="宋体" w:hAnsi="宋体" w:eastAsia="宋体" w:cs="宋体"/>
                <w:sz w:val="20"/>
                <w:szCs w:val="20"/>
              </w:rPr>
              <w:t xml:space="preserve"> </w:t>
            </w:r>
            <w:r>
              <w:rPr>
                <w:rFonts w:ascii="宋体" w:hAnsi="宋体" w:eastAsia="宋体" w:cs="宋体"/>
                <w:spacing w:val="-16"/>
                <w:sz w:val="20"/>
                <w:szCs w:val="20"/>
              </w:rPr>
              <w:t>何</w:t>
            </w:r>
            <w:r>
              <w:rPr>
                <w:rFonts w:ascii="宋体" w:hAnsi="宋体" w:eastAsia="宋体" w:cs="宋体"/>
                <w:spacing w:val="-11"/>
                <w:sz w:val="20"/>
                <w:szCs w:val="20"/>
              </w:rPr>
              <w:t>易</w:t>
            </w:r>
            <w:r>
              <w:rPr>
                <w:rFonts w:ascii="宋体" w:hAnsi="宋体" w:eastAsia="宋体" w:cs="宋体"/>
                <w:spacing w:val="-8"/>
                <w:sz w:val="20"/>
                <w:szCs w:val="20"/>
              </w:rPr>
              <w:t>燃性物质，并应设置严禁烟火</w:t>
            </w:r>
            <w:r>
              <w:rPr>
                <w:rFonts w:ascii="宋体" w:hAnsi="宋体" w:eastAsia="宋体" w:cs="宋体"/>
                <w:sz w:val="20"/>
                <w:szCs w:val="20"/>
              </w:rPr>
              <w:t xml:space="preserve"> </w:t>
            </w:r>
            <w:r>
              <w:rPr>
                <w:rFonts w:ascii="宋体" w:hAnsi="宋体" w:eastAsia="宋体" w:cs="宋体"/>
                <w:spacing w:val="-7"/>
                <w:sz w:val="20"/>
                <w:szCs w:val="20"/>
              </w:rPr>
              <w:t>标</w:t>
            </w:r>
            <w:r>
              <w:rPr>
                <w:rFonts w:ascii="宋体" w:hAnsi="宋体" w:eastAsia="宋体" w:cs="宋体"/>
                <w:spacing w:val="-6"/>
                <w:sz w:val="20"/>
                <w:szCs w:val="20"/>
              </w:rPr>
              <w:t>志。生产区域应符合相关防火、</w:t>
            </w:r>
            <w:r>
              <w:rPr>
                <w:rFonts w:ascii="宋体" w:hAnsi="宋体" w:eastAsia="宋体" w:cs="宋体"/>
                <w:sz w:val="20"/>
                <w:szCs w:val="20"/>
              </w:rPr>
              <w:t xml:space="preserve"> </w:t>
            </w:r>
            <w:r>
              <w:rPr>
                <w:rFonts w:ascii="宋体" w:hAnsi="宋体" w:eastAsia="宋体" w:cs="宋体"/>
                <w:spacing w:val="-3"/>
                <w:sz w:val="20"/>
                <w:szCs w:val="20"/>
              </w:rPr>
              <w:t>防爆的要求。</w:t>
            </w:r>
          </w:p>
        </w:tc>
        <w:tc>
          <w:tcPr>
            <w:tcW w:w="751" w:type="dxa"/>
            <w:tcBorders>
              <w:right w:val="nil"/>
            </w:tcBorders>
            <w:vAlign w:val="top"/>
          </w:tcPr>
          <w:p w14:paraId="199B8AAC">
            <w:pPr>
              <w:spacing w:line="312" w:lineRule="auto"/>
              <w:rPr>
                <w:rFonts w:ascii="Arial"/>
                <w:sz w:val="21"/>
              </w:rPr>
            </w:pPr>
          </w:p>
          <w:p w14:paraId="1269A541">
            <w:pPr>
              <w:spacing w:line="312" w:lineRule="auto"/>
              <w:rPr>
                <w:rFonts w:ascii="Arial"/>
                <w:sz w:val="21"/>
              </w:rPr>
            </w:pPr>
          </w:p>
          <w:p w14:paraId="2D63ED6B">
            <w:pPr>
              <w:spacing w:before="65" w:line="228" w:lineRule="auto"/>
              <w:ind w:left="17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14:paraId="546710D9">
      <w:pPr>
        <w:spacing w:line="260" w:lineRule="auto"/>
        <w:rPr>
          <w:rFonts w:ascii="Arial"/>
          <w:sz w:val="21"/>
        </w:rPr>
      </w:pPr>
    </w:p>
    <w:p w14:paraId="3B32C1A4">
      <w:pPr>
        <w:spacing w:before="74" w:line="229" w:lineRule="auto"/>
        <w:ind w:left="626"/>
        <w:rPr>
          <w:rFonts w:ascii="宋体" w:hAnsi="宋体" w:eastAsia="宋体" w:cs="宋体"/>
          <w:sz w:val="23"/>
          <w:szCs w:val="23"/>
        </w:rPr>
      </w:pPr>
      <w:r>
        <w:rPr>
          <w:rFonts w:ascii="宋体" w:hAnsi="宋体" w:eastAsia="宋体" w:cs="宋体"/>
          <w:spacing w:val="16"/>
          <w:sz w:val="23"/>
          <w:szCs w:val="23"/>
        </w:rPr>
        <w:t>由</w:t>
      </w:r>
      <w:r>
        <w:rPr>
          <w:rFonts w:ascii="宋体" w:hAnsi="宋体" w:eastAsia="宋体" w:cs="宋体"/>
          <w:spacing w:val="15"/>
          <w:sz w:val="23"/>
          <w:szCs w:val="23"/>
        </w:rPr>
        <w:t>上</w:t>
      </w:r>
      <w:r>
        <w:rPr>
          <w:rFonts w:ascii="宋体" w:hAnsi="宋体" w:eastAsia="宋体" w:cs="宋体"/>
          <w:spacing w:val="8"/>
          <w:sz w:val="23"/>
          <w:szCs w:val="23"/>
        </w:rPr>
        <w:t>表可知，项目符合《废塑料综合利用行业规范条件》中的相关要求。</w:t>
      </w:r>
    </w:p>
    <w:p w14:paraId="39677E8E">
      <w:pPr>
        <w:spacing w:before="315" w:line="220" w:lineRule="auto"/>
        <w:ind w:left="126"/>
        <w:outlineLvl w:val="3"/>
        <w:rPr>
          <w:rFonts w:ascii="宋体" w:hAnsi="宋体" w:eastAsia="宋体" w:cs="宋体"/>
          <w:sz w:val="28"/>
          <w:szCs w:val="28"/>
        </w:rPr>
      </w:pPr>
      <w:r>
        <w:rPr>
          <w:rFonts w:ascii="Times New Roman" w:hAnsi="Times New Roman" w:eastAsia="Times New Roman" w:cs="Times New Roman"/>
          <w:b/>
          <w:bCs/>
          <w:spacing w:val="-46"/>
          <w:sz w:val="28"/>
          <w:szCs w:val="28"/>
        </w:rPr>
        <w:t>1</w:t>
      </w:r>
      <w:r>
        <w:rPr>
          <w:rFonts w:ascii="Times New Roman" w:hAnsi="Times New Roman" w:eastAsia="Times New Roman" w:cs="Times New Roman"/>
          <w:b/>
          <w:bCs/>
          <w:spacing w:val="-25"/>
          <w:sz w:val="28"/>
          <w:szCs w:val="28"/>
        </w:rPr>
        <w:t>.4.2.2</w:t>
      </w:r>
      <w:r>
        <w:rPr>
          <w:rFonts w:ascii="宋体" w:hAnsi="宋体" w:eastAsia="宋体" w:cs="宋体"/>
          <w:spacing w:val="-25"/>
          <w:sz w:val="28"/>
          <w:szCs w:val="28"/>
          <w14:textOutline w14:w="5103" w14:cap="sq" w14:cmpd="sng">
            <w14:solidFill>
              <w14:srgbClr w14:val="000000"/>
            </w14:solidFill>
            <w14:prstDash w14:val="solid"/>
            <w14:bevel/>
          </w14:textOutline>
        </w:rPr>
        <w:t>与《废塑料回收与再生利用污染控制技术规范</w:t>
      </w:r>
      <w:r>
        <w:rPr>
          <w:rFonts w:ascii="宋体" w:hAnsi="宋体" w:eastAsia="宋体" w:cs="宋体"/>
          <w:spacing w:val="-25"/>
          <w:sz w:val="28"/>
          <w:szCs w:val="28"/>
        </w:rPr>
        <w:t xml:space="preserve"> </w:t>
      </w:r>
      <w:r>
        <w:rPr>
          <w:rFonts w:ascii="宋体" w:hAnsi="宋体" w:eastAsia="宋体" w:cs="宋体"/>
          <w:spacing w:val="-25"/>
          <w:sz w:val="28"/>
          <w:szCs w:val="28"/>
          <w14:textOutline w14:w="5103" w14:cap="sq" w14:cmpd="sng">
            <w14:solidFill>
              <w14:srgbClr w14:val="000000"/>
            </w14:solidFill>
            <w14:prstDash w14:val="solid"/>
            <w14:bevel/>
          </w14:textOutline>
        </w:rPr>
        <w:t>(试行)</w:t>
      </w:r>
      <w:r>
        <w:rPr>
          <w:rFonts w:ascii="宋体" w:hAnsi="宋体" w:eastAsia="宋体" w:cs="宋体"/>
          <w:spacing w:val="-25"/>
          <w:sz w:val="28"/>
          <w:szCs w:val="28"/>
        </w:rPr>
        <w:t xml:space="preserve"> </w:t>
      </w:r>
      <w:r>
        <w:rPr>
          <w:rFonts w:ascii="宋体" w:hAnsi="宋体" w:eastAsia="宋体" w:cs="宋体"/>
          <w:spacing w:val="-25"/>
          <w:sz w:val="28"/>
          <w:szCs w:val="28"/>
          <w14:textOutline w14:w="5103" w14:cap="sq" w14:cmpd="sng">
            <w14:solidFill>
              <w14:srgbClr w14:val="000000"/>
            </w14:solidFill>
            <w14:prstDash w14:val="solid"/>
            <w14:bevel/>
          </w14:textOutline>
        </w:rPr>
        <w:t>》相符性分析</w:t>
      </w:r>
    </w:p>
    <w:p w14:paraId="07826479">
      <w:pPr>
        <w:spacing w:line="260" w:lineRule="auto"/>
        <w:rPr>
          <w:rFonts w:ascii="Arial"/>
          <w:sz w:val="21"/>
        </w:rPr>
      </w:pPr>
    </w:p>
    <w:p w14:paraId="7707F9C5">
      <w:pPr>
        <w:spacing w:before="75" w:line="392" w:lineRule="auto"/>
        <w:ind w:left="128" w:right="207" w:firstLine="472"/>
        <w:rPr>
          <w:rFonts w:ascii="宋体" w:hAnsi="宋体" w:eastAsia="宋体" w:cs="宋体"/>
          <w:sz w:val="23"/>
          <w:szCs w:val="23"/>
        </w:rPr>
      </w:pPr>
      <w:r>
        <w:rPr>
          <w:rFonts w:ascii="宋体" w:hAnsi="宋体" w:eastAsia="宋体" w:cs="宋体"/>
          <w:spacing w:val="38"/>
          <w:sz w:val="23"/>
          <w:szCs w:val="23"/>
        </w:rPr>
        <w:t>该</w:t>
      </w:r>
      <w:r>
        <w:rPr>
          <w:rFonts w:ascii="宋体" w:hAnsi="宋体" w:eastAsia="宋体" w:cs="宋体"/>
          <w:spacing w:val="22"/>
          <w:sz w:val="23"/>
          <w:szCs w:val="23"/>
        </w:rPr>
        <w:t>项</w:t>
      </w:r>
      <w:r>
        <w:rPr>
          <w:rFonts w:ascii="宋体" w:hAnsi="宋体" w:eastAsia="宋体" w:cs="宋体"/>
          <w:spacing w:val="19"/>
          <w:sz w:val="23"/>
          <w:szCs w:val="23"/>
        </w:rPr>
        <w:t xml:space="preserve"> 目项 目与《废塑料回收与再生利用污染控制技术规范 (试行) 》</w:t>
      </w:r>
      <w:r>
        <w:rPr>
          <w:rFonts w:ascii="宋体" w:hAnsi="宋体" w:eastAsia="宋体" w:cs="宋体"/>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2"/>
          <w:sz w:val="23"/>
          <w:szCs w:val="23"/>
        </w:rPr>
        <w:t>/364-2007</w:t>
      </w:r>
      <w:r>
        <w:rPr>
          <w:rFonts w:ascii="宋体" w:hAnsi="宋体" w:eastAsia="宋体" w:cs="宋体"/>
          <w:spacing w:val="12"/>
          <w:sz w:val="23"/>
          <w:szCs w:val="23"/>
        </w:rPr>
        <w:t>) 符合性见下表</w:t>
      </w:r>
      <w:r>
        <w:rPr>
          <w:rFonts w:ascii="宋体" w:hAnsi="宋体" w:eastAsia="宋体" w:cs="宋体"/>
          <w:spacing w:val="9"/>
          <w:sz w:val="23"/>
          <w:szCs w:val="23"/>
        </w:rPr>
        <w:t>。</w:t>
      </w:r>
    </w:p>
    <w:p w14:paraId="089D49AC">
      <w:pPr>
        <w:spacing w:before="141" w:line="227" w:lineRule="auto"/>
        <w:ind w:left="83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1</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6"/>
          <w:sz w:val="23"/>
          <w:szCs w:val="23"/>
        </w:rPr>
        <w:t>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项目与废塑料回收与再生利用污染控制技术规范符合性</w:t>
      </w:r>
    </w:p>
    <w:p w14:paraId="4E5EC6A8">
      <w:pPr>
        <w:spacing w:line="17" w:lineRule="exact"/>
      </w:pPr>
    </w:p>
    <w:tbl>
      <w:tblPr>
        <w:tblStyle w:val="4"/>
        <w:tblW w:w="8521"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4310"/>
        <w:gridCol w:w="2980"/>
        <w:gridCol w:w="679"/>
      </w:tblGrid>
      <w:tr w14:paraId="65224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trPr>
        <w:tc>
          <w:tcPr>
            <w:tcW w:w="552" w:type="dxa"/>
            <w:tcBorders>
              <w:left w:val="nil"/>
            </w:tcBorders>
            <w:vAlign w:val="top"/>
          </w:tcPr>
          <w:p w14:paraId="2D496637">
            <w:pPr>
              <w:spacing w:before="57" w:line="225" w:lineRule="auto"/>
              <w:ind w:left="7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4310" w:type="dxa"/>
            <w:vAlign w:val="top"/>
          </w:tcPr>
          <w:p w14:paraId="25159F6A">
            <w:pPr>
              <w:spacing w:before="57" w:line="225" w:lineRule="auto"/>
              <w:ind w:left="174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规</w:t>
            </w:r>
            <w:r>
              <w:rPr>
                <w:rFonts w:ascii="宋体" w:hAnsi="宋体" w:eastAsia="宋体" w:cs="宋体"/>
                <w:spacing w:val="8"/>
                <w:sz w:val="20"/>
                <w:szCs w:val="20"/>
                <w14:textOutline w14:w="3795" w14:cap="sq" w14:cmpd="sng">
                  <w14:solidFill>
                    <w14:srgbClr w14:val="000000"/>
                  </w14:solidFill>
                  <w14:prstDash w14:val="solid"/>
                  <w14:bevel/>
                </w14:textOutline>
              </w:rPr>
              <w:t>范要求</w:t>
            </w:r>
          </w:p>
        </w:tc>
        <w:tc>
          <w:tcPr>
            <w:tcW w:w="2980" w:type="dxa"/>
            <w:vAlign w:val="top"/>
          </w:tcPr>
          <w:p w14:paraId="32F12F86">
            <w:pPr>
              <w:spacing w:before="57" w:line="225" w:lineRule="auto"/>
              <w:ind w:left="97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本</w:t>
            </w:r>
            <w:r>
              <w:rPr>
                <w:rFonts w:ascii="宋体" w:hAnsi="宋体" w:eastAsia="宋体" w:cs="宋体"/>
                <w:spacing w:val="8"/>
                <w:sz w:val="20"/>
                <w:szCs w:val="20"/>
                <w14:textOutline w14:w="3795" w14:cap="sq" w14:cmpd="sng">
                  <w14:solidFill>
                    <w14:srgbClr w14:val="000000"/>
                  </w14:solidFill>
                  <w14:prstDash w14:val="solid"/>
                  <w14:bevel/>
                </w14:textOutline>
              </w:rPr>
              <w:t>项目情况</w:t>
            </w:r>
          </w:p>
        </w:tc>
        <w:tc>
          <w:tcPr>
            <w:tcW w:w="679" w:type="dxa"/>
            <w:tcBorders>
              <w:right w:val="nil"/>
            </w:tcBorders>
            <w:vAlign w:val="top"/>
          </w:tcPr>
          <w:p w14:paraId="755EDE71">
            <w:pPr>
              <w:spacing w:before="57" w:line="225" w:lineRule="auto"/>
              <w:ind w:left="3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符合性</w:t>
            </w:r>
          </w:p>
        </w:tc>
      </w:tr>
      <w:tr w14:paraId="37E82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552" w:type="dxa"/>
            <w:tcBorders>
              <w:left w:val="nil"/>
            </w:tcBorders>
            <w:vAlign w:val="top"/>
          </w:tcPr>
          <w:p w14:paraId="396E39C6">
            <w:pPr>
              <w:spacing w:line="263" w:lineRule="auto"/>
              <w:rPr>
                <w:rFonts w:ascii="Arial"/>
                <w:sz w:val="21"/>
              </w:rPr>
            </w:pPr>
          </w:p>
          <w:p w14:paraId="0D27D756">
            <w:pPr>
              <w:spacing w:line="264" w:lineRule="auto"/>
              <w:rPr>
                <w:rFonts w:ascii="Arial"/>
                <w:sz w:val="21"/>
              </w:rPr>
            </w:pPr>
          </w:p>
          <w:p w14:paraId="252777D0">
            <w:pPr>
              <w:spacing w:line="264" w:lineRule="auto"/>
              <w:rPr>
                <w:rFonts w:ascii="Arial"/>
                <w:sz w:val="21"/>
              </w:rPr>
            </w:pPr>
          </w:p>
          <w:p w14:paraId="1C496314">
            <w:pPr>
              <w:spacing w:line="264" w:lineRule="auto"/>
              <w:rPr>
                <w:rFonts w:ascii="Arial"/>
                <w:sz w:val="21"/>
              </w:rPr>
            </w:pPr>
          </w:p>
          <w:p w14:paraId="15710466">
            <w:pPr>
              <w:spacing w:line="264" w:lineRule="auto"/>
              <w:rPr>
                <w:rFonts w:ascii="Arial"/>
                <w:sz w:val="21"/>
              </w:rPr>
            </w:pPr>
          </w:p>
          <w:p w14:paraId="00F8D43B">
            <w:pPr>
              <w:spacing w:before="65" w:line="228" w:lineRule="auto"/>
              <w:ind w:left="94"/>
              <w:rPr>
                <w:rFonts w:ascii="宋体" w:hAnsi="宋体" w:eastAsia="宋体" w:cs="宋体"/>
                <w:sz w:val="20"/>
                <w:szCs w:val="20"/>
              </w:rPr>
            </w:pPr>
            <w:r>
              <w:rPr>
                <w:rFonts w:ascii="宋体" w:hAnsi="宋体" w:eastAsia="宋体" w:cs="宋体"/>
                <w:spacing w:val="-6"/>
                <w:sz w:val="20"/>
                <w:szCs w:val="20"/>
              </w:rPr>
              <w:t>回</w:t>
            </w:r>
            <w:r>
              <w:rPr>
                <w:rFonts w:ascii="宋体" w:hAnsi="宋体" w:eastAsia="宋体" w:cs="宋体"/>
                <w:spacing w:val="-5"/>
                <w:sz w:val="20"/>
                <w:szCs w:val="20"/>
              </w:rPr>
              <w:t>收</w:t>
            </w:r>
          </w:p>
        </w:tc>
        <w:tc>
          <w:tcPr>
            <w:tcW w:w="4310" w:type="dxa"/>
            <w:vAlign w:val="top"/>
          </w:tcPr>
          <w:p w14:paraId="1E91B25A">
            <w:pPr>
              <w:spacing w:line="261" w:lineRule="auto"/>
              <w:rPr>
                <w:rFonts w:ascii="Arial"/>
                <w:sz w:val="21"/>
              </w:rPr>
            </w:pPr>
          </w:p>
          <w:p w14:paraId="0BCE2255">
            <w:pPr>
              <w:spacing w:line="262" w:lineRule="auto"/>
              <w:rPr>
                <w:rFonts w:ascii="Arial"/>
                <w:sz w:val="21"/>
              </w:rPr>
            </w:pPr>
          </w:p>
          <w:p w14:paraId="3C063809">
            <w:pPr>
              <w:spacing w:line="262" w:lineRule="auto"/>
              <w:rPr>
                <w:rFonts w:ascii="Arial"/>
                <w:sz w:val="21"/>
              </w:rPr>
            </w:pPr>
          </w:p>
          <w:p w14:paraId="7964513E">
            <w:pPr>
              <w:spacing w:line="262" w:lineRule="auto"/>
              <w:rPr>
                <w:rFonts w:ascii="Arial"/>
                <w:sz w:val="21"/>
              </w:rPr>
            </w:pPr>
          </w:p>
          <w:p w14:paraId="1B681E64">
            <w:pPr>
              <w:spacing w:before="65" w:line="241" w:lineRule="auto"/>
              <w:ind w:left="27" w:right="19" w:firstLine="17"/>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、按原料树脂种类分类回收，严格区分原料来</w:t>
            </w:r>
            <w:r>
              <w:rPr>
                <w:rFonts w:ascii="宋体" w:hAnsi="宋体" w:eastAsia="宋体" w:cs="宋体"/>
                <w:sz w:val="20"/>
                <w:szCs w:val="20"/>
              </w:rPr>
              <w:t xml:space="preserve"> </w:t>
            </w:r>
            <w:r>
              <w:rPr>
                <w:rFonts w:ascii="宋体" w:hAnsi="宋体" w:eastAsia="宋体" w:cs="宋体"/>
                <w:spacing w:val="7"/>
                <w:sz w:val="20"/>
                <w:szCs w:val="20"/>
              </w:rPr>
              <w:t>源及原用途</w:t>
            </w:r>
            <w:r>
              <w:rPr>
                <w:rFonts w:ascii="宋体" w:hAnsi="宋体" w:eastAsia="宋体" w:cs="宋体"/>
                <w:spacing w:val="6"/>
                <w:sz w:val="20"/>
                <w:szCs w:val="20"/>
              </w:rPr>
              <w:t>。</w:t>
            </w:r>
          </w:p>
          <w:p w14:paraId="3A3F721C">
            <w:pPr>
              <w:spacing w:before="23" w:line="263" w:lineRule="exact"/>
              <w:ind w:left="24"/>
              <w:rPr>
                <w:rFonts w:ascii="宋体" w:hAnsi="宋体" w:eastAsia="宋体" w:cs="宋体"/>
                <w:sz w:val="20"/>
                <w:szCs w:val="20"/>
              </w:rPr>
            </w:pPr>
            <w:r>
              <w:rPr>
                <w:rFonts w:ascii="Times New Roman" w:hAnsi="Times New Roman" w:eastAsia="Times New Roman" w:cs="Times New Roman"/>
                <w:spacing w:val="10"/>
                <w:position w:val="1"/>
                <w:sz w:val="20"/>
                <w:szCs w:val="20"/>
              </w:rPr>
              <w:t>2</w:t>
            </w:r>
            <w:r>
              <w:rPr>
                <w:rFonts w:ascii="Times New Roman" w:hAnsi="Times New Roman" w:eastAsia="Times New Roman" w:cs="Times New Roman"/>
                <w:spacing w:val="6"/>
                <w:position w:val="1"/>
                <w:sz w:val="20"/>
                <w:szCs w:val="20"/>
              </w:rPr>
              <w:t xml:space="preserve"> </w:t>
            </w:r>
            <w:r>
              <w:rPr>
                <w:rFonts w:ascii="宋体" w:hAnsi="宋体" w:eastAsia="宋体" w:cs="宋体"/>
                <w:spacing w:val="5"/>
                <w:position w:val="1"/>
                <w:sz w:val="20"/>
                <w:szCs w:val="20"/>
              </w:rPr>
              <w:t>、不得回收医疗废物和危险废物。</w:t>
            </w:r>
          </w:p>
        </w:tc>
        <w:tc>
          <w:tcPr>
            <w:tcW w:w="2980" w:type="dxa"/>
            <w:vAlign w:val="top"/>
          </w:tcPr>
          <w:p w14:paraId="5C84424E">
            <w:pPr>
              <w:spacing w:before="29" w:line="249" w:lineRule="auto"/>
              <w:ind w:left="27" w:right="21" w:firstLine="1"/>
              <w:rPr>
                <w:rFonts w:ascii="宋体" w:hAnsi="宋体" w:eastAsia="宋体" w:cs="宋体"/>
                <w:sz w:val="20"/>
                <w:szCs w:val="20"/>
              </w:rPr>
            </w:pPr>
            <w:r>
              <w:rPr>
                <w:rFonts w:ascii="宋体" w:hAnsi="宋体" w:eastAsia="宋体" w:cs="宋体"/>
                <w:spacing w:val="9"/>
                <w:sz w:val="20"/>
                <w:szCs w:val="20"/>
              </w:rPr>
              <w:t>所用原料为废塑料编织袋，均</w:t>
            </w:r>
            <w:r>
              <w:rPr>
                <w:rFonts w:ascii="宋体" w:hAnsi="宋体" w:eastAsia="宋体" w:cs="宋体"/>
                <w:spacing w:val="7"/>
                <w:sz w:val="20"/>
                <w:szCs w:val="20"/>
              </w:rPr>
              <w:t>外</w:t>
            </w:r>
            <w:r>
              <w:rPr>
                <w:rFonts w:ascii="宋体" w:hAnsi="宋体" w:eastAsia="宋体" w:cs="宋体"/>
                <w:sz w:val="20"/>
                <w:szCs w:val="20"/>
              </w:rPr>
              <w:t xml:space="preserve"> </w:t>
            </w:r>
            <w:r>
              <w:rPr>
                <w:rFonts w:ascii="宋体" w:hAnsi="宋体" w:eastAsia="宋体" w:cs="宋体"/>
                <w:spacing w:val="26"/>
                <w:sz w:val="20"/>
                <w:szCs w:val="20"/>
              </w:rPr>
              <w:t>购</w:t>
            </w:r>
            <w:r>
              <w:rPr>
                <w:rFonts w:ascii="宋体" w:hAnsi="宋体" w:eastAsia="宋体" w:cs="宋体"/>
                <w:spacing w:val="25"/>
                <w:sz w:val="20"/>
                <w:szCs w:val="20"/>
              </w:rPr>
              <w:t>于本溪宏远集团北台再生资</w:t>
            </w:r>
            <w:r>
              <w:rPr>
                <w:rFonts w:ascii="宋体" w:hAnsi="宋体" w:eastAsia="宋体" w:cs="宋体"/>
                <w:sz w:val="20"/>
                <w:szCs w:val="20"/>
              </w:rPr>
              <w:t xml:space="preserve"> </w:t>
            </w:r>
            <w:r>
              <w:rPr>
                <w:rFonts w:ascii="宋体" w:hAnsi="宋体" w:eastAsia="宋体" w:cs="宋体"/>
                <w:spacing w:val="26"/>
                <w:sz w:val="20"/>
                <w:szCs w:val="20"/>
              </w:rPr>
              <w:t>源</w:t>
            </w:r>
            <w:r>
              <w:rPr>
                <w:rFonts w:ascii="宋体" w:hAnsi="宋体" w:eastAsia="宋体" w:cs="宋体"/>
                <w:spacing w:val="25"/>
                <w:sz w:val="20"/>
                <w:szCs w:val="20"/>
              </w:rPr>
              <w:t>有限责任公司及平山区利安</w:t>
            </w:r>
            <w:r>
              <w:rPr>
                <w:rFonts w:ascii="宋体" w:hAnsi="宋体" w:eastAsia="宋体" w:cs="宋体"/>
                <w:sz w:val="20"/>
                <w:szCs w:val="20"/>
              </w:rPr>
              <w:t xml:space="preserve"> </w:t>
            </w:r>
            <w:r>
              <w:rPr>
                <w:rFonts w:ascii="宋体" w:hAnsi="宋体" w:eastAsia="宋体" w:cs="宋体"/>
                <w:spacing w:val="9"/>
                <w:sz w:val="20"/>
                <w:szCs w:val="20"/>
              </w:rPr>
              <w:t>建材城，为本溪宏远集团北台再</w:t>
            </w:r>
            <w:r>
              <w:rPr>
                <w:rFonts w:ascii="宋体" w:hAnsi="宋体" w:eastAsia="宋体" w:cs="宋体"/>
                <w:sz w:val="20"/>
                <w:szCs w:val="20"/>
              </w:rPr>
              <w:t xml:space="preserve"> </w:t>
            </w:r>
            <w:r>
              <w:rPr>
                <w:rFonts w:ascii="宋体" w:hAnsi="宋体" w:eastAsia="宋体" w:cs="宋体"/>
                <w:spacing w:val="26"/>
                <w:sz w:val="20"/>
                <w:szCs w:val="20"/>
              </w:rPr>
              <w:t>生</w:t>
            </w:r>
            <w:r>
              <w:rPr>
                <w:rFonts w:ascii="宋体" w:hAnsi="宋体" w:eastAsia="宋体" w:cs="宋体"/>
                <w:spacing w:val="25"/>
                <w:sz w:val="20"/>
                <w:szCs w:val="20"/>
              </w:rPr>
              <w:t>资源有限责任公司收购北台</w:t>
            </w:r>
            <w:r>
              <w:rPr>
                <w:rFonts w:ascii="宋体" w:hAnsi="宋体" w:eastAsia="宋体" w:cs="宋体"/>
                <w:sz w:val="20"/>
                <w:szCs w:val="20"/>
              </w:rPr>
              <w:t xml:space="preserve"> </w:t>
            </w:r>
            <w:r>
              <w:rPr>
                <w:rFonts w:ascii="宋体" w:hAnsi="宋体" w:eastAsia="宋体" w:cs="宋体"/>
                <w:spacing w:val="8"/>
                <w:sz w:val="20"/>
                <w:szCs w:val="20"/>
              </w:rPr>
              <w:t>钢铁 (集团) 有限责任公司所</w:t>
            </w:r>
            <w:r>
              <w:rPr>
                <w:rFonts w:ascii="宋体" w:hAnsi="宋体" w:eastAsia="宋体" w:cs="宋体"/>
                <w:spacing w:val="6"/>
                <w:sz w:val="20"/>
                <w:szCs w:val="20"/>
              </w:rPr>
              <w:t>用</w:t>
            </w:r>
            <w:r>
              <w:rPr>
                <w:rFonts w:ascii="宋体" w:hAnsi="宋体" w:eastAsia="宋体" w:cs="宋体"/>
                <w:sz w:val="20"/>
                <w:szCs w:val="20"/>
              </w:rPr>
              <w:t xml:space="preserve"> </w:t>
            </w:r>
            <w:r>
              <w:rPr>
                <w:rFonts w:ascii="宋体" w:hAnsi="宋体" w:eastAsia="宋体" w:cs="宋体"/>
                <w:spacing w:val="26"/>
                <w:sz w:val="20"/>
                <w:szCs w:val="20"/>
              </w:rPr>
              <w:t>原</w:t>
            </w:r>
            <w:r>
              <w:rPr>
                <w:rFonts w:ascii="宋体" w:hAnsi="宋体" w:eastAsia="宋体" w:cs="宋体"/>
                <w:spacing w:val="25"/>
                <w:sz w:val="20"/>
                <w:szCs w:val="20"/>
              </w:rPr>
              <w:t>料合金铁及铝锭的废包装袋</w:t>
            </w:r>
            <w:r>
              <w:rPr>
                <w:rFonts w:ascii="宋体" w:hAnsi="宋体" w:eastAsia="宋体" w:cs="宋体"/>
                <w:sz w:val="20"/>
                <w:szCs w:val="20"/>
              </w:rPr>
              <w:t xml:space="preserve"> </w:t>
            </w:r>
            <w:r>
              <w:rPr>
                <w:rFonts w:ascii="宋体" w:hAnsi="宋体" w:eastAsia="宋体" w:cs="宋体"/>
                <w:spacing w:val="26"/>
                <w:sz w:val="20"/>
                <w:szCs w:val="20"/>
              </w:rPr>
              <w:t>及</w:t>
            </w:r>
            <w:r>
              <w:rPr>
                <w:rFonts w:ascii="宋体" w:hAnsi="宋体" w:eastAsia="宋体" w:cs="宋体"/>
                <w:spacing w:val="25"/>
                <w:sz w:val="20"/>
                <w:szCs w:val="20"/>
              </w:rPr>
              <w:t>平山区利安建材城所销售砂</w:t>
            </w:r>
            <w:r>
              <w:rPr>
                <w:rFonts w:ascii="宋体" w:hAnsi="宋体" w:eastAsia="宋体" w:cs="宋体"/>
                <w:sz w:val="20"/>
                <w:szCs w:val="20"/>
              </w:rPr>
              <w:t xml:space="preserve"> </w:t>
            </w:r>
            <w:r>
              <w:rPr>
                <w:rFonts w:ascii="宋体" w:hAnsi="宋体" w:eastAsia="宋体" w:cs="宋体"/>
                <w:spacing w:val="9"/>
                <w:sz w:val="20"/>
                <w:szCs w:val="20"/>
              </w:rPr>
              <w:t>子的废包装袋，主要成分为聚乙</w:t>
            </w:r>
            <w:r>
              <w:rPr>
                <w:rFonts w:ascii="宋体" w:hAnsi="宋体" w:eastAsia="宋体" w:cs="宋体"/>
                <w:sz w:val="20"/>
                <w:szCs w:val="20"/>
              </w:rPr>
              <w:t xml:space="preserve"> </w:t>
            </w:r>
            <w:r>
              <w:rPr>
                <w:rFonts w:ascii="宋体" w:hAnsi="宋体" w:eastAsia="宋体" w:cs="宋体"/>
                <w:spacing w:val="9"/>
                <w:sz w:val="20"/>
                <w:szCs w:val="20"/>
              </w:rPr>
              <w:t>烯、聚丙烯，不涉及医疗废物、</w:t>
            </w:r>
            <w:r>
              <w:rPr>
                <w:rFonts w:ascii="宋体" w:hAnsi="宋体" w:eastAsia="宋体" w:cs="宋体"/>
                <w:sz w:val="20"/>
                <w:szCs w:val="20"/>
              </w:rPr>
              <w:t xml:space="preserve"> </w:t>
            </w:r>
            <w:r>
              <w:rPr>
                <w:rFonts w:ascii="宋体" w:hAnsi="宋体" w:eastAsia="宋体" w:cs="宋体"/>
                <w:spacing w:val="7"/>
                <w:sz w:val="20"/>
                <w:szCs w:val="20"/>
              </w:rPr>
              <w:t>危</w:t>
            </w:r>
            <w:r>
              <w:rPr>
                <w:rFonts w:ascii="宋体" w:hAnsi="宋体" w:eastAsia="宋体" w:cs="宋体"/>
                <w:spacing w:val="6"/>
                <w:sz w:val="20"/>
                <w:szCs w:val="20"/>
              </w:rPr>
              <w:t>险废物。</w:t>
            </w:r>
          </w:p>
        </w:tc>
        <w:tc>
          <w:tcPr>
            <w:tcW w:w="679" w:type="dxa"/>
            <w:tcBorders>
              <w:right w:val="nil"/>
            </w:tcBorders>
            <w:vAlign w:val="top"/>
          </w:tcPr>
          <w:p w14:paraId="16011BA6">
            <w:pPr>
              <w:spacing w:line="263" w:lineRule="auto"/>
              <w:rPr>
                <w:rFonts w:ascii="Arial"/>
                <w:sz w:val="21"/>
              </w:rPr>
            </w:pPr>
          </w:p>
          <w:p w14:paraId="5A883F7A">
            <w:pPr>
              <w:spacing w:line="264" w:lineRule="auto"/>
              <w:rPr>
                <w:rFonts w:ascii="Arial"/>
                <w:sz w:val="21"/>
              </w:rPr>
            </w:pPr>
          </w:p>
          <w:p w14:paraId="1B878BD4">
            <w:pPr>
              <w:spacing w:line="264" w:lineRule="auto"/>
              <w:rPr>
                <w:rFonts w:ascii="Arial"/>
                <w:sz w:val="21"/>
              </w:rPr>
            </w:pPr>
          </w:p>
          <w:p w14:paraId="6185DCA2">
            <w:pPr>
              <w:spacing w:line="264" w:lineRule="auto"/>
              <w:rPr>
                <w:rFonts w:ascii="Arial"/>
                <w:sz w:val="21"/>
              </w:rPr>
            </w:pPr>
          </w:p>
          <w:p w14:paraId="4F4FAC6A">
            <w:pPr>
              <w:spacing w:line="264" w:lineRule="auto"/>
              <w:rPr>
                <w:rFonts w:ascii="Arial"/>
                <w:sz w:val="21"/>
              </w:rPr>
            </w:pPr>
          </w:p>
          <w:p w14:paraId="045660B7">
            <w:pPr>
              <w:spacing w:before="65" w:line="228" w:lineRule="auto"/>
              <w:ind w:left="13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642A7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552" w:type="dxa"/>
            <w:tcBorders>
              <w:left w:val="nil"/>
            </w:tcBorders>
            <w:vAlign w:val="top"/>
          </w:tcPr>
          <w:p w14:paraId="04A3B293">
            <w:pPr>
              <w:spacing w:line="377" w:lineRule="auto"/>
              <w:rPr>
                <w:rFonts w:ascii="Arial"/>
                <w:sz w:val="21"/>
              </w:rPr>
            </w:pPr>
          </w:p>
          <w:p w14:paraId="4043FC27">
            <w:pPr>
              <w:spacing w:before="65" w:line="228" w:lineRule="auto"/>
              <w:ind w:left="75"/>
              <w:rPr>
                <w:rFonts w:ascii="宋体" w:hAnsi="宋体" w:eastAsia="宋体" w:cs="宋体"/>
                <w:sz w:val="20"/>
                <w:szCs w:val="20"/>
              </w:rPr>
            </w:pPr>
            <w:r>
              <w:rPr>
                <w:rFonts w:ascii="宋体" w:hAnsi="宋体" w:eastAsia="宋体" w:cs="宋体"/>
                <w:spacing w:val="4"/>
                <w:sz w:val="20"/>
                <w:szCs w:val="20"/>
              </w:rPr>
              <w:t>贮存</w:t>
            </w:r>
          </w:p>
        </w:tc>
        <w:tc>
          <w:tcPr>
            <w:tcW w:w="4310" w:type="dxa"/>
            <w:vAlign w:val="top"/>
          </w:tcPr>
          <w:p w14:paraId="1FE75835">
            <w:pPr>
              <w:spacing w:before="37" w:line="264" w:lineRule="exact"/>
              <w:ind w:left="44"/>
              <w:rPr>
                <w:rFonts w:ascii="宋体" w:hAnsi="宋体" w:eastAsia="宋体" w:cs="宋体"/>
                <w:sz w:val="20"/>
                <w:szCs w:val="20"/>
              </w:rPr>
            </w:pPr>
            <w:r>
              <w:rPr>
                <w:rFonts w:ascii="Times New Roman" w:hAnsi="Times New Roman" w:eastAsia="Times New Roman" w:cs="Times New Roman"/>
                <w:spacing w:val="-20"/>
                <w:position w:val="1"/>
                <w:sz w:val="20"/>
                <w:szCs w:val="20"/>
              </w:rPr>
              <w:t>1</w:t>
            </w:r>
            <w:r>
              <w:rPr>
                <w:rFonts w:ascii="宋体" w:hAnsi="宋体" w:eastAsia="宋体" w:cs="宋体"/>
                <w:spacing w:val="-10"/>
                <w:position w:val="1"/>
                <w:sz w:val="20"/>
                <w:szCs w:val="20"/>
              </w:rPr>
              <w:t>、废塑料贮存在通过环保审批的专门贮存场所内。</w:t>
            </w:r>
          </w:p>
          <w:p w14:paraId="63880298">
            <w:pPr>
              <w:spacing w:before="7" w:line="239" w:lineRule="auto"/>
              <w:ind w:left="40" w:hanging="16"/>
              <w:rPr>
                <w:rFonts w:ascii="宋体" w:hAnsi="宋体" w:eastAsia="宋体" w:cs="宋体"/>
                <w:sz w:val="20"/>
                <w:szCs w:val="20"/>
              </w:rPr>
            </w:pPr>
            <w:r>
              <w:rPr>
                <w:rFonts w:ascii="Times New Roman" w:hAnsi="Times New Roman" w:eastAsia="Times New Roman" w:cs="Times New Roman"/>
                <w:spacing w:val="-18"/>
                <w:sz w:val="20"/>
                <w:szCs w:val="20"/>
              </w:rPr>
              <w:t>2</w:t>
            </w:r>
            <w:r>
              <w:rPr>
                <w:rFonts w:ascii="宋体" w:hAnsi="宋体" w:eastAsia="宋体" w:cs="宋体"/>
                <w:spacing w:val="-13"/>
                <w:sz w:val="20"/>
                <w:szCs w:val="20"/>
              </w:rPr>
              <w:t>、</w:t>
            </w:r>
            <w:r>
              <w:rPr>
                <w:rFonts w:ascii="宋体" w:hAnsi="宋体" w:eastAsia="宋体" w:cs="宋体"/>
                <w:spacing w:val="-9"/>
                <w:sz w:val="20"/>
                <w:szCs w:val="20"/>
              </w:rPr>
              <w:t>贮存场所封闭或半封闭，有防雨、防晒、防尘、</w:t>
            </w:r>
            <w:r>
              <w:rPr>
                <w:rFonts w:ascii="宋体" w:hAnsi="宋体" w:eastAsia="宋体" w:cs="宋体"/>
                <w:sz w:val="20"/>
                <w:szCs w:val="20"/>
              </w:rPr>
              <w:t xml:space="preserve"> </w:t>
            </w:r>
            <w:r>
              <w:rPr>
                <w:rFonts w:ascii="宋体" w:hAnsi="宋体" w:eastAsia="宋体" w:cs="宋体"/>
                <w:spacing w:val="-8"/>
                <w:sz w:val="20"/>
                <w:szCs w:val="20"/>
              </w:rPr>
              <w:t>防</w:t>
            </w:r>
            <w:r>
              <w:rPr>
                <w:rFonts w:ascii="宋体" w:hAnsi="宋体" w:eastAsia="宋体" w:cs="宋体"/>
                <w:spacing w:val="-5"/>
                <w:sz w:val="20"/>
                <w:szCs w:val="20"/>
              </w:rPr>
              <w:t>扬散、防火措施。</w:t>
            </w:r>
          </w:p>
          <w:p w14:paraId="19277BC6">
            <w:pPr>
              <w:spacing w:before="27" w:line="262" w:lineRule="exact"/>
              <w:ind w:left="29"/>
              <w:rPr>
                <w:rFonts w:ascii="宋体" w:hAnsi="宋体" w:eastAsia="宋体" w:cs="宋体"/>
                <w:sz w:val="20"/>
                <w:szCs w:val="20"/>
              </w:rPr>
            </w:pPr>
            <w:r>
              <w:rPr>
                <w:rFonts w:ascii="Times New Roman" w:hAnsi="Times New Roman" w:eastAsia="Times New Roman" w:cs="Times New Roman"/>
                <w:spacing w:val="-2"/>
                <w:position w:val="1"/>
                <w:sz w:val="20"/>
                <w:szCs w:val="20"/>
              </w:rPr>
              <w:t>3</w:t>
            </w:r>
            <w:r>
              <w:rPr>
                <w:rFonts w:ascii="宋体" w:hAnsi="宋体" w:eastAsia="宋体" w:cs="宋体"/>
                <w:spacing w:val="-2"/>
                <w:position w:val="1"/>
                <w:sz w:val="20"/>
                <w:szCs w:val="20"/>
              </w:rPr>
              <w:t>、废塑料按种类、来源</w:t>
            </w:r>
            <w:r>
              <w:rPr>
                <w:rFonts w:ascii="宋体" w:hAnsi="宋体" w:eastAsia="宋体" w:cs="宋体"/>
                <w:spacing w:val="-1"/>
                <w:position w:val="1"/>
                <w:sz w:val="20"/>
                <w:szCs w:val="20"/>
              </w:rPr>
              <w:t>分开存放。</w:t>
            </w:r>
          </w:p>
        </w:tc>
        <w:tc>
          <w:tcPr>
            <w:tcW w:w="2980" w:type="dxa"/>
            <w:vAlign w:val="top"/>
          </w:tcPr>
          <w:p w14:paraId="1D65B322">
            <w:pPr>
              <w:spacing w:before="38" w:line="245" w:lineRule="auto"/>
              <w:ind w:left="28" w:right="9" w:firstLine="4"/>
              <w:rPr>
                <w:rFonts w:ascii="宋体" w:hAnsi="宋体" w:eastAsia="宋体" w:cs="宋体"/>
                <w:sz w:val="20"/>
                <w:szCs w:val="20"/>
              </w:rPr>
            </w:pPr>
            <w:r>
              <w:rPr>
                <w:rFonts w:ascii="宋体" w:hAnsi="宋体" w:eastAsia="宋体" w:cs="宋体"/>
                <w:spacing w:val="16"/>
                <w:sz w:val="20"/>
                <w:szCs w:val="20"/>
              </w:rPr>
              <w:t>该</w:t>
            </w:r>
            <w:r>
              <w:rPr>
                <w:rFonts w:ascii="宋体" w:hAnsi="宋体" w:eastAsia="宋体" w:cs="宋体"/>
                <w:spacing w:val="9"/>
                <w:sz w:val="20"/>
                <w:szCs w:val="20"/>
              </w:rPr>
              <w:t>项目设有封闭式原料库、成品</w:t>
            </w:r>
            <w:r>
              <w:rPr>
                <w:rFonts w:ascii="宋体" w:hAnsi="宋体" w:eastAsia="宋体" w:cs="宋体"/>
                <w:sz w:val="20"/>
                <w:szCs w:val="20"/>
              </w:rPr>
              <w:t xml:space="preserve"> </w:t>
            </w:r>
            <w:r>
              <w:rPr>
                <w:rFonts w:ascii="宋体" w:hAnsi="宋体" w:eastAsia="宋体" w:cs="宋体"/>
                <w:spacing w:val="-7"/>
                <w:sz w:val="20"/>
                <w:szCs w:val="20"/>
              </w:rPr>
              <w:t>库</w:t>
            </w:r>
            <w:r>
              <w:rPr>
                <w:rFonts w:ascii="宋体" w:hAnsi="宋体" w:eastAsia="宋体" w:cs="宋体"/>
                <w:spacing w:val="-4"/>
                <w:sz w:val="20"/>
                <w:szCs w:val="20"/>
              </w:rPr>
              <w:t>，具备防雨、防晒、防尘、防扬</w:t>
            </w:r>
            <w:r>
              <w:rPr>
                <w:rFonts w:ascii="宋体" w:hAnsi="宋体" w:eastAsia="宋体" w:cs="宋体"/>
                <w:sz w:val="20"/>
                <w:szCs w:val="20"/>
              </w:rPr>
              <w:t xml:space="preserve"> </w:t>
            </w:r>
            <w:r>
              <w:rPr>
                <w:rFonts w:ascii="宋体" w:hAnsi="宋体" w:eastAsia="宋体" w:cs="宋体"/>
                <w:spacing w:val="-7"/>
                <w:sz w:val="20"/>
                <w:szCs w:val="20"/>
              </w:rPr>
              <w:t>散</w:t>
            </w:r>
            <w:r>
              <w:rPr>
                <w:rFonts w:ascii="宋体" w:hAnsi="宋体" w:eastAsia="宋体" w:cs="宋体"/>
                <w:spacing w:val="-4"/>
                <w:sz w:val="20"/>
                <w:szCs w:val="20"/>
              </w:rPr>
              <w:t>、防火等措施；进场原料按照成</w:t>
            </w:r>
            <w:r>
              <w:rPr>
                <w:rFonts w:ascii="宋体" w:hAnsi="宋体" w:eastAsia="宋体" w:cs="宋体"/>
                <w:sz w:val="20"/>
                <w:szCs w:val="20"/>
              </w:rPr>
              <w:t xml:space="preserve"> </w:t>
            </w:r>
            <w:r>
              <w:rPr>
                <w:rFonts w:ascii="宋体" w:hAnsi="宋体" w:eastAsia="宋体" w:cs="宋体"/>
                <w:spacing w:val="-2"/>
                <w:sz w:val="20"/>
                <w:szCs w:val="20"/>
              </w:rPr>
              <w:t>分、颜色进行分类，</w:t>
            </w:r>
            <w:r>
              <w:rPr>
                <w:rFonts w:ascii="宋体" w:hAnsi="宋体" w:eastAsia="宋体" w:cs="宋体"/>
                <w:spacing w:val="-1"/>
                <w:sz w:val="20"/>
                <w:szCs w:val="20"/>
              </w:rPr>
              <w:t>分开存放。</w:t>
            </w:r>
          </w:p>
        </w:tc>
        <w:tc>
          <w:tcPr>
            <w:tcW w:w="679" w:type="dxa"/>
            <w:tcBorders>
              <w:right w:val="nil"/>
            </w:tcBorders>
            <w:vAlign w:val="top"/>
          </w:tcPr>
          <w:p w14:paraId="1F8BEF6F">
            <w:pPr>
              <w:spacing w:line="377" w:lineRule="auto"/>
              <w:rPr>
                <w:rFonts w:ascii="Arial"/>
                <w:sz w:val="21"/>
              </w:rPr>
            </w:pPr>
          </w:p>
          <w:p w14:paraId="57A94D07">
            <w:pPr>
              <w:spacing w:before="65" w:line="228" w:lineRule="auto"/>
              <w:ind w:left="13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14:paraId="79F213E3">
      <w:pPr>
        <w:rPr>
          <w:rFonts w:ascii="Arial"/>
          <w:sz w:val="21"/>
        </w:rPr>
      </w:pPr>
    </w:p>
    <w:p w14:paraId="3B0D3F4A">
      <w:pPr>
        <w:sectPr>
          <w:headerReference r:id="rId18" w:type="default"/>
          <w:footerReference r:id="rId19" w:type="default"/>
          <w:pgSz w:w="11906" w:h="16839"/>
          <w:pgMar w:top="1132" w:right="1606" w:bottom="899" w:left="1691" w:header="878" w:footer="739" w:gutter="0"/>
          <w:cols w:space="720" w:num="1"/>
        </w:sectPr>
      </w:pPr>
    </w:p>
    <w:p w14:paraId="1139CEBB">
      <w:r>
        <w:pict>
          <v:shape id="_x0000_s1036" o:spid="_x0000_s1036" style="position:absolute;left:0pt;margin-left:90pt;margin-top:57.35pt;height:0.75pt;width:415.3pt;mso-position-horizontal-relative:page;mso-position-vertical-relative:page;z-index:251674624;mso-width-relative:page;mso-height-relative:page;" fillcolor="#000000" filled="t" stroked="f" coordsize="8305,15" o:allowincell="f" path="m0,0l8305,0,8305,14,0,14,0,0xe">
            <v:path/>
            <v:fill on="t" focussize="0,0"/>
            <v:stroke on="f"/>
            <v:imagedata o:title=""/>
            <o:lock v:ext="edit"/>
          </v:shape>
        </w:pict>
      </w:r>
    </w:p>
    <w:p w14:paraId="52BE4CAE">
      <w:pPr>
        <w:spacing w:line="65"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4310"/>
        <w:gridCol w:w="2980"/>
        <w:gridCol w:w="679"/>
      </w:tblGrid>
      <w:tr w14:paraId="039C6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4" w:hRule="atLeast"/>
        </w:trPr>
        <w:tc>
          <w:tcPr>
            <w:tcW w:w="552" w:type="dxa"/>
            <w:tcBorders>
              <w:left w:val="nil"/>
            </w:tcBorders>
            <w:textDirection w:val="tbRlV"/>
            <w:vAlign w:val="top"/>
          </w:tcPr>
          <w:p w14:paraId="4D846545">
            <w:pPr>
              <w:spacing w:before="168" w:line="215" w:lineRule="auto"/>
              <w:ind w:left="1143"/>
              <w:rPr>
                <w:rFonts w:ascii="宋体" w:hAnsi="宋体" w:eastAsia="宋体" w:cs="宋体"/>
                <w:sz w:val="20"/>
                <w:szCs w:val="20"/>
              </w:rPr>
            </w:pPr>
            <w:r>
              <w:rPr>
                <w:rFonts w:ascii="宋体" w:hAnsi="宋体" w:eastAsia="宋体" w:cs="宋体"/>
                <w:spacing w:val="-11"/>
                <w:sz w:val="20"/>
                <w:szCs w:val="20"/>
              </w:rPr>
              <w:t>预</w:t>
            </w:r>
            <w:r>
              <w:rPr>
                <w:rFonts w:ascii="宋体" w:hAnsi="宋体" w:eastAsia="宋体" w:cs="宋体"/>
                <w:spacing w:val="-9"/>
                <w:sz w:val="20"/>
                <w:szCs w:val="20"/>
              </w:rPr>
              <w:t xml:space="preserve"> 处 理</w:t>
            </w:r>
          </w:p>
        </w:tc>
        <w:tc>
          <w:tcPr>
            <w:tcW w:w="4310" w:type="dxa"/>
            <w:vAlign w:val="top"/>
          </w:tcPr>
          <w:p w14:paraId="158031F8">
            <w:pPr>
              <w:spacing w:before="57" w:line="243" w:lineRule="auto"/>
              <w:ind w:left="27" w:right="19" w:firstLine="17"/>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、预处理工艺遵循先进、稳定、无二次污染的</w:t>
            </w:r>
            <w:r>
              <w:rPr>
                <w:rFonts w:ascii="宋体" w:hAnsi="宋体" w:eastAsia="宋体" w:cs="宋体"/>
                <w:sz w:val="20"/>
                <w:szCs w:val="20"/>
              </w:rPr>
              <w:t xml:space="preserve"> </w:t>
            </w:r>
            <w:r>
              <w:rPr>
                <w:rFonts w:ascii="宋体" w:hAnsi="宋体" w:eastAsia="宋体" w:cs="宋体"/>
                <w:spacing w:val="13"/>
                <w:sz w:val="20"/>
                <w:szCs w:val="20"/>
              </w:rPr>
              <w:t>原</w:t>
            </w:r>
            <w:r>
              <w:rPr>
                <w:rFonts w:ascii="宋体" w:hAnsi="宋体" w:eastAsia="宋体" w:cs="宋体"/>
                <w:spacing w:val="12"/>
                <w:sz w:val="20"/>
                <w:szCs w:val="20"/>
              </w:rPr>
              <w:t>则，采用节能、高效、低污染的技术设备；</w:t>
            </w:r>
            <w:r>
              <w:rPr>
                <w:rFonts w:ascii="宋体" w:hAnsi="宋体" w:eastAsia="宋体" w:cs="宋体"/>
                <w:sz w:val="20"/>
                <w:szCs w:val="20"/>
              </w:rPr>
              <w:t xml:space="preserve"> </w:t>
            </w:r>
            <w:r>
              <w:rPr>
                <w:rFonts w:ascii="宋体" w:hAnsi="宋体" w:eastAsia="宋体" w:cs="宋体"/>
                <w:spacing w:val="9"/>
                <w:sz w:val="20"/>
                <w:szCs w:val="20"/>
              </w:rPr>
              <w:t>机械化和自动化作业，减少手工操作</w:t>
            </w:r>
            <w:r>
              <w:rPr>
                <w:rFonts w:ascii="宋体" w:hAnsi="宋体" w:eastAsia="宋体" w:cs="宋体"/>
                <w:spacing w:val="6"/>
                <w:sz w:val="20"/>
                <w:szCs w:val="20"/>
              </w:rPr>
              <w:t>。</w:t>
            </w:r>
          </w:p>
          <w:p w14:paraId="21A08680">
            <w:pPr>
              <w:spacing w:before="25" w:line="244" w:lineRule="auto"/>
              <w:ind w:left="27" w:right="22" w:hanging="3"/>
              <w:rPr>
                <w:rFonts w:ascii="宋体" w:hAnsi="宋体" w:eastAsia="宋体" w:cs="宋体"/>
                <w:sz w:val="20"/>
                <w:szCs w:val="20"/>
              </w:rPr>
            </w:pPr>
            <w:r>
              <w:rPr>
                <w:rFonts w:ascii="Times New Roman" w:hAnsi="Times New Roman" w:eastAsia="Times New Roman" w:cs="Times New Roman"/>
                <w:spacing w:val="28"/>
                <w:sz w:val="20"/>
                <w:szCs w:val="20"/>
              </w:rPr>
              <w:t>2</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、废塑料人工分选确保操作人员的健康和安</w:t>
            </w:r>
            <w:r>
              <w:rPr>
                <w:rFonts w:ascii="宋体" w:hAnsi="宋体" w:eastAsia="宋体" w:cs="宋体"/>
                <w:sz w:val="20"/>
                <w:szCs w:val="20"/>
              </w:rPr>
              <w:t xml:space="preserve"> 全。</w:t>
            </w:r>
          </w:p>
          <w:p w14:paraId="5F915164">
            <w:pPr>
              <w:spacing w:before="15"/>
              <w:ind w:left="32" w:right="19" w:hanging="3"/>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、根据塑料来源和污染情况选择清洗工艺，</w:t>
            </w:r>
            <w:r>
              <w:rPr>
                <w:rFonts w:ascii="宋体" w:hAnsi="宋体" w:eastAsia="宋体" w:cs="宋体"/>
                <w:spacing w:val="1"/>
                <w:sz w:val="20"/>
                <w:szCs w:val="20"/>
              </w:rPr>
              <w:t>化</w:t>
            </w:r>
            <w:r>
              <w:rPr>
                <w:rFonts w:ascii="宋体" w:hAnsi="宋体" w:eastAsia="宋体" w:cs="宋体"/>
                <w:sz w:val="20"/>
                <w:szCs w:val="20"/>
              </w:rPr>
              <w:t xml:space="preserve"> </w:t>
            </w:r>
            <w:r>
              <w:rPr>
                <w:rFonts w:ascii="宋体" w:hAnsi="宋体" w:eastAsia="宋体" w:cs="宋体"/>
                <w:spacing w:val="16"/>
                <w:sz w:val="20"/>
                <w:szCs w:val="20"/>
              </w:rPr>
              <w:t>学</w:t>
            </w:r>
            <w:r>
              <w:rPr>
                <w:rFonts w:ascii="宋体" w:hAnsi="宋体" w:eastAsia="宋体" w:cs="宋体"/>
                <w:spacing w:val="9"/>
                <w:sz w:val="20"/>
                <w:szCs w:val="20"/>
              </w:rPr>
              <w:t>清</w:t>
            </w:r>
            <w:r>
              <w:rPr>
                <w:rFonts w:ascii="宋体" w:hAnsi="宋体" w:eastAsia="宋体" w:cs="宋体"/>
                <w:spacing w:val="8"/>
                <w:sz w:val="20"/>
                <w:szCs w:val="20"/>
              </w:rPr>
              <w:t>洗不得使用有毒有害化学清洗剂。</w:t>
            </w:r>
          </w:p>
          <w:p w14:paraId="740F5819">
            <w:pPr>
              <w:spacing w:before="24"/>
              <w:ind w:left="30" w:right="22" w:hanging="7"/>
              <w:rPr>
                <w:rFonts w:ascii="宋体" w:hAnsi="宋体" w:eastAsia="宋体" w:cs="宋体"/>
                <w:sz w:val="20"/>
                <w:szCs w:val="20"/>
              </w:rPr>
            </w:pPr>
            <w:r>
              <w:rPr>
                <w:rFonts w:ascii="Times New Roman" w:hAnsi="Times New Roman" w:eastAsia="Times New Roman" w:cs="Times New Roman"/>
                <w:spacing w:val="28"/>
                <w:sz w:val="20"/>
                <w:szCs w:val="20"/>
              </w:rPr>
              <w:t>4</w:t>
            </w:r>
            <w:r>
              <w:rPr>
                <w:rFonts w:ascii="Times New Roman" w:hAnsi="Times New Roman" w:eastAsia="Times New Roman" w:cs="Times New Roman"/>
                <w:spacing w:val="15"/>
                <w:sz w:val="20"/>
                <w:szCs w:val="20"/>
              </w:rPr>
              <w:t xml:space="preserve"> </w:t>
            </w:r>
            <w:r>
              <w:rPr>
                <w:rFonts w:ascii="宋体" w:hAnsi="宋体" w:eastAsia="宋体" w:cs="宋体"/>
                <w:spacing w:val="14"/>
                <w:sz w:val="20"/>
                <w:szCs w:val="20"/>
              </w:rPr>
              <w:t>、塑料破碎应配有防治粉尘和噪声污染的设</w:t>
            </w:r>
            <w:r>
              <w:rPr>
                <w:rFonts w:ascii="宋体" w:hAnsi="宋体" w:eastAsia="宋体" w:cs="宋体"/>
                <w:sz w:val="20"/>
                <w:szCs w:val="20"/>
              </w:rPr>
              <w:t xml:space="preserve"> </w:t>
            </w:r>
            <w:r>
              <w:rPr>
                <w:rFonts w:ascii="宋体" w:hAnsi="宋体" w:eastAsia="宋体" w:cs="宋体"/>
                <w:spacing w:val="-1"/>
                <w:sz w:val="20"/>
                <w:szCs w:val="20"/>
              </w:rPr>
              <w:t>备。</w:t>
            </w:r>
          </w:p>
          <w:p w14:paraId="55B7D81B">
            <w:pPr>
              <w:spacing w:before="24" w:line="239" w:lineRule="auto"/>
              <w:ind w:left="27" w:right="19" w:firstLine="2"/>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、人</w:t>
            </w:r>
            <w:r>
              <w:rPr>
                <w:rFonts w:ascii="宋体" w:hAnsi="宋体" w:eastAsia="宋体" w:cs="宋体"/>
                <w:spacing w:val="4"/>
                <w:sz w:val="20"/>
                <w:szCs w:val="20"/>
              </w:rPr>
              <w:t>工干燥宜采用节能高效技术，自然干燥应</w:t>
            </w:r>
            <w:r>
              <w:rPr>
                <w:rFonts w:ascii="宋体" w:hAnsi="宋体" w:eastAsia="宋体" w:cs="宋体"/>
                <w:sz w:val="20"/>
                <w:szCs w:val="20"/>
              </w:rPr>
              <w:t xml:space="preserve"> </w:t>
            </w:r>
            <w:r>
              <w:rPr>
                <w:rFonts w:ascii="宋体" w:hAnsi="宋体" w:eastAsia="宋体" w:cs="宋体"/>
                <w:spacing w:val="8"/>
                <w:sz w:val="20"/>
                <w:szCs w:val="20"/>
              </w:rPr>
              <w:t>采</w:t>
            </w:r>
            <w:r>
              <w:rPr>
                <w:rFonts w:ascii="宋体" w:hAnsi="宋体" w:eastAsia="宋体" w:cs="宋体"/>
                <w:spacing w:val="7"/>
                <w:sz w:val="20"/>
                <w:szCs w:val="20"/>
              </w:rPr>
              <w:t>取防风措施。</w:t>
            </w:r>
          </w:p>
        </w:tc>
        <w:tc>
          <w:tcPr>
            <w:tcW w:w="2980" w:type="dxa"/>
            <w:vAlign w:val="top"/>
          </w:tcPr>
          <w:p w14:paraId="4B8689D5">
            <w:pPr>
              <w:spacing w:before="192" w:line="254" w:lineRule="auto"/>
              <w:ind w:left="28" w:right="21" w:firstLine="4"/>
              <w:rPr>
                <w:rFonts w:ascii="宋体" w:hAnsi="宋体" w:eastAsia="宋体" w:cs="宋体"/>
                <w:sz w:val="20"/>
                <w:szCs w:val="20"/>
              </w:rPr>
            </w:pPr>
            <w:r>
              <w:rPr>
                <w:rFonts w:ascii="宋体" w:hAnsi="宋体" w:eastAsia="宋体" w:cs="宋体"/>
                <w:spacing w:val="16"/>
                <w:sz w:val="20"/>
                <w:szCs w:val="20"/>
              </w:rPr>
              <w:t>该</w:t>
            </w:r>
            <w:r>
              <w:rPr>
                <w:rFonts w:ascii="宋体" w:hAnsi="宋体" w:eastAsia="宋体" w:cs="宋体"/>
                <w:spacing w:val="9"/>
                <w:sz w:val="20"/>
                <w:szCs w:val="20"/>
              </w:rPr>
              <w:t>项</w:t>
            </w:r>
            <w:r>
              <w:rPr>
                <w:rFonts w:ascii="宋体" w:hAnsi="宋体" w:eastAsia="宋体" w:cs="宋体"/>
                <w:spacing w:val="8"/>
                <w:sz w:val="20"/>
                <w:szCs w:val="20"/>
              </w:rPr>
              <w:t>目破碎、清洗工序均采用自</w:t>
            </w:r>
            <w:r>
              <w:rPr>
                <w:rFonts w:ascii="宋体" w:hAnsi="宋体" w:eastAsia="宋体" w:cs="宋体"/>
                <w:sz w:val="20"/>
                <w:szCs w:val="20"/>
              </w:rPr>
              <w:t xml:space="preserve"> </w:t>
            </w:r>
            <w:r>
              <w:rPr>
                <w:rFonts w:ascii="宋体" w:hAnsi="宋体" w:eastAsia="宋体" w:cs="宋体"/>
                <w:spacing w:val="16"/>
                <w:sz w:val="20"/>
                <w:szCs w:val="20"/>
              </w:rPr>
              <w:t>动</w:t>
            </w:r>
            <w:r>
              <w:rPr>
                <w:rFonts w:ascii="宋体" w:hAnsi="宋体" w:eastAsia="宋体" w:cs="宋体"/>
                <w:spacing w:val="9"/>
                <w:sz w:val="20"/>
                <w:szCs w:val="20"/>
              </w:rPr>
              <w:t>化</w:t>
            </w:r>
            <w:r>
              <w:rPr>
                <w:rFonts w:ascii="宋体" w:hAnsi="宋体" w:eastAsia="宋体" w:cs="宋体"/>
                <w:spacing w:val="8"/>
                <w:sz w:val="20"/>
                <w:szCs w:val="20"/>
              </w:rPr>
              <w:t>机械作业，无需手工操作；</w:t>
            </w:r>
            <w:r>
              <w:rPr>
                <w:rFonts w:ascii="宋体" w:hAnsi="宋体" w:eastAsia="宋体" w:cs="宋体"/>
                <w:sz w:val="20"/>
                <w:szCs w:val="20"/>
              </w:rPr>
              <w:t xml:space="preserve"> </w:t>
            </w:r>
            <w:r>
              <w:rPr>
                <w:rFonts w:ascii="宋体" w:hAnsi="宋体" w:eastAsia="宋体" w:cs="宋体"/>
                <w:spacing w:val="9"/>
                <w:sz w:val="20"/>
                <w:szCs w:val="20"/>
              </w:rPr>
              <w:t>人工分选工序人员佩戴口罩、</w:t>
            </w:r>
            <w:r>
              <w:rPr>
                <w:rFonts w:ascii="宋体" w:hAnsi="宋体" w:eastAsia="宋体" w:cs="宋体"/>
                <w:spacing w:val="8"/>
                <w:sz w:val="20"/>
                <w:szCs w:val="20"/>
              </w:rPr>
              <w:t>手</w:t>
            </w:r>
            <w:r>
              <w:rPr>
                <w:rFonts w:ascii="宋体" w:hAnsi="宋体" w:eastAsia="宋体" w:cs="宋体"/>
                <w:sz w:val="20"/>
                <w:szCs w:val="20"/>
              </w:rPr>
              <w:t xml:space="preserve"> </w:t>
            </w:r>
            <w:r>
              <w:rPr>
                <w:rFonts w:ascii="宋体" w:hAnsi="宋体" w:eastAsia="宋体" w:cs="宋体"/>
                <w:spacing w:val="17"/>
                <w:sz w:val="20"/>
                <w:szCs w:val="20"/>
              </w:rPr>
              <w:t>套</w:t>
            </w:r>
            <w:r>
              <w:rPr>
                <w:rFonts w:ascii="宋体" w:hAnsi="宋体" w:eastAsia="宋体" w:cs="宋体"/>
                <w:spacing w:val="16"/>
                <w:sz w:val="20"/>
                <w:szCs w:val="20"/>
              </w:rPr>
              <w:t>等防护措施 ，确保健康和安</w:t>
            </w:r>
            <w:r>
              <w:rPr>
                <w:rFonts w:ascii="宋体" w:hAnsi="宋体" w:eastAsia="宋体" w:cs="宋体"/>
                <w:sz w:val="20"/>
                <w:szCs w:val="20"/>
              </w:rPr>
              <w:t xml:space="preserve"> </w:t>
            </w:r>
            <w:r>
              <w:rPr>
                <w:rFonts w:ascii="宋体" w:hAnsi="宋体" w:eastAsia="宋体" w:cs="宋体"/>
                <w:spacing w:val="9"/>
                <w:sz w:val="20"/>
                <w:szCs w:val="20"/>
              </w:rPr>
              <w:t>全；清洗工序不使用有毒有害</w:t>
            </w:r>
            <w:r>
              <w:rPr>
                <w:rFonts w:ascii="宋体" w:hAnsi="宋体" w:eastAsia="宋体" w:cs="宋体"/>
                <w:spacing w:val="8"/>
                <w:sz w:val="20"/>
                <w:szCs w:val="20"/>
              </w:rPr>
              <w:t>化</w:t>
            </w:r>
            <w:r>
              <w:rPr>
                <w:rFonts w:ascii="宋体" w:hAnsi="宋体" w:eastAsia="宋体" w:cs="宋体"/>
                <w:sz w:val="20"/>
                <w:szCs w:val="20"/>
              </w:rPr>
              <w:t xml:space="preserve"> </w:t>
            </w:r>
            <w:r>
              <w:rPr>
                <w:rFonts w:ascii="宋体" w:hAnsi="宋体" w:eastAsia="宋体" w:cs="宋体"/>
                <w:spacing w:val="9"/>
                <w:sz w:val="20"/>
                <w:szCs w:val="20"/>
              </w:rPr>
              <w:t>学清洗剂；破碎工艺采用湿式</w:t>
            </w:r>
            <w:r>
              <w:rPr>
                <w:rFonts w:ascii="宋体" w:hAnsi="宋体" w:eastAsia="宋体" w:cs="宋体"/>
                <w:spacing w:val="8"/>
                <w:sz w:val="20"/>
                <w:szCs w:val="20"/>
              </w:rPr>
              <w:t>破</w:t>
            </w:r>
            <w:r>
              <w:rPr>
                <w:rFonts w:ascii="宋体" w:hAnsi="宋体" w:eastAsia="宋体" w:cs="宋体"/>
                <w:sz w:val="20"/>
                <w:szCs w:val="20"/>
              </w:rPr>
              <w:t xml:space="preserve"> </w:t>
            </w:r>
            <w:r>
              <w:rPr>
                <w:rFonts w:ascii="宋体" w:hAnsi="宋体" w:eastAsia="宋体" w:cs="宋体"/>
                <w:spacing w:val="9"/>
                <w:sz w:val="20"/>
                <w:szCs w:val="20"/>
              </w:rPr>
              <w:t>碎，不会产生粉尘，冷却采用</w:t>
            </w:r>
            <w:r>
              <w:rPr>
                <w:rFonts w:ascii="宋体" w:hAnsi="宋体" w:eastAsia="宋体" w:cs="宋体"/>
                <w:spacing w:val="8"/>
                <w:sz w:val="20"/>
                <w:szCs w:val="20"/>
              </w:rPr>
              <w:t>水</w:t>
            </w:r>
            <w:r>
              <w:rPr>
                <w:rFonts w:ascii="宋体" w:hAnsi="宋体" w:eastAsia="宋体" w:cs="宋体"/>
                <w:sz w:val="20"/>
                <w:szCs w:val="20"/>
              </w:rPr>
              <w:t xml:space="preserve"> </w:t>
            </w:r>
            <w:r>
              <w:rPr>
                <w:rFonts w:ascii="宋体" w:hAnsi="宋体" w:eastAsia="宋体" w:cs="宋体"/>
                <w:spacing w:val="13"/>
                <w:sz w:val="20"/>
                <w:szCs w:val="20"/>
              </w:rPr>
              <w:t>冷</w:t>
            </w:r>
            <w:r>
              <w:rPr>
                <w:rFonts w:ascii="宋体" w:hAnsi="宋体" w:eastAsia="宋体" w:cs="宋体"/>
                <w:spacing w:val="8"/>
                <w:sz w:val="20"/>
                <w:szCs w:val="20"/>
              </w:rPr>
              <w:t xml:space="preserve"> 。该项 目各产噪设备采取减</w:t>
            </w:r>
            <w:r>
              <w:rPr>
                <w:rFonts w:ascii="宋体" w:hAnsi="宋体" w:eastAsia="宋体" w:cs="宋体"/>
                <w:sz w:val="20"/>
                <w:szCs w:val="20"/>
              </w:rPr>
              <w:t xml:space="preserve"> </w:t>
            </w:r>
            <w:r>
              <w:rPr>
                <w:rFonts w:ascii="宋体" w:hAnsi="宋体" w:eastAsia="宋体" w:cs="宋体"/>
                <w:spacing w:val="9"/>
                <w:sz w:val="20"/>
                <w:szCs w:val="20"/>
              </w:rPr>
              <w:t>振、隔声措施，干燥采取立式</w:t>
            </w:r>
            <w:r>
              <w:rPr>
                <w:rFonts w:ascii="宋体" w:hAnsi="宋体" w:eastAsia="宋体" w:cs="宋体"/>
                <w:spacing w:val="8"/>
                <w:sz w:val="20"/>
                <w:szCs w:val="20"/>
              </w:rPr>
              <w:t>脱</w:t>
            </w:r>
            <w:r>
              <w:rPr>
                <w:rFonts w:ascii="宋体" w:hAnsi="宋体" w:eastAsia="宋体" w:cs="宋体"/>
                <w:sz w:val="20"/>
                <w:szCs w:val="20"/>
              </w:rPr>
              <w:t xml:space="preserve"> </w:t>
            </w:r>
            <w:r>
              <w:rPr>
                <w:rFonts w:ascii="宋体" w:hAnsi="宋体" w:eastAsia="宋体" w:cs="宋体"/>
                <w:spacing w:val="12"/>
                <w:sz w:val="20"/>
                <w:szCs w:val="20"/>
              </w:rPr>
              <w:t>水</w:t>
            </w:r>
            <w:r>
              <w:rPr>
                <w:rFonts w:ascii="宋体" w:hAnsi="宋体" w:eastAsia="宋体" w:cs="宋体"/>
                <w:spacing w:val="7"/>
                <w:sz w:val="20"/>
                <w:szCs w:val="20"/>
              </w:rPr>
              <w:t>机，高效节能。</w:t>
            </w:r>
          </w:p>
        </w:tc>
        <w:tc>
          <w:tcPr>
            <w:tcW w:w="679" w:type="dxa"/>
            <w:tcBorders>
              <w:right w:val="nil"/>
            </w:tcBorders>
            <w:vAlign w:val="top"/>
          </w:tcPr>
          <w:p w14:paraId="4C89BC39">
            <w:pPr>
              <w:spacing w:line="268" w:lineRule="auto"/>
              <w:rPr>
                <w:rFonts w:ascii="Arial"/>
                <w:sz w:val="21"/>
              </w:rPr>
            </w:pPr>
          </w:p>
          <w:p w14:paraId="4E3B5264">
            <w:pPr>
              <w:spacing w:line="268" w:lineRule="auto"/>
              <w:rPr>
                <w:rFonts w:ascii="Arial"/>
                <w:sz w:val="21"/>
              </w:rPr>
            </w:pPr>
          </w:p>
          <w:p w14:paraId="2EFE0A2E">
            <w:pPr>
              <w:spacing w:line="269" w:lineRule="auto"/>
              <w:rPr>
                <w:rFonts w:ascii="Arial"/>
                <w:sz w:val="21"/>
              </w:rPr>
            </w:pPr>
          </w:p>
          <w:p w14:paraId="0BBD2A51">
            <w:pPr>
              <w:spacing w:line="269" w:lineRule="auto"/>
              <w:rPr>
                <w:rFonts w:ascii="Arial"/>
                <w:sz w:val="21"/>
              </w:rPr>
            </w:pPr>
          </w:p>
          <w:p w14:paraId="595CBAE5">
            <w:pPr>
              <w:spacing w:line="269" w:lineRule="auto"/>
              <w:rPr>
                <w:rFonts w:ascii="Arial"/>
                <w:sz w:val="21"/>
              </w:rPr>
            </w:pPr>
          </w:p>
          <w:p w14:paraId="572ADEFF">
            <w:pPr>
              <w:spacing w:before="65" w:line="228" w:lineRule="auto"/>
              <w:ind w:left="13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7CFFA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1" w:hRule="atLeast"/>
        </w:trPr>
        <w:tc>
          <w:tcPr>
            <w:tcW w:w="552" w:type="dxa"/>
            <w:tcBorders>
              <w:left w:val="nil"/>
            </w:tcBorders>
            <w:vAlign w:val="top"/>
          </w:tcPr>
          <w:p w14:paraId="68E72C95">
            <w:pPr>
              <w:spacing w:line="296" w:lineRule="auto"/>
              <w:rPr>
                <w:rFonts w:ascii="Arial"/>
                <w:sz w:val="21"/>
              </w:rPr>
            </w:pPr>
          </w:p>
          <w:p w14:paraId="3D4CB3AE">
            <w:pPr>
              <w:spacing w:line="296" w:lineRule="auto"/>
              <w:rPr>
                <w:rFonts w:ascii="Arial"/>
                <w:sz w:val="21"/>
              </w:rPr>
            </w:pPr>
          </w:p>
          <w:p w14:paraId="138D5A0C">
            <w:pPr>
              <w:spacing w:line="296" w:lineRule="auto"/>
              <w:rPr>
                <w:rFonts w:ascii="Arial"/>
                <w:sz w:val="21"/>
              </w:rPr>
            </w:pPr>
          </w:p>
          <w:p w14:paraId="06451E14">
            <w:pPr>
              <w:spacing w:line="297" w:lineRule="auto"/>
              <w:rPr>
                <w:rFonts w:ascii="Arial"/>
                <w:sz w:val="21"/>
              </w:rPr>
            </w:pPr>
          </w:p>
          <w:p w14:paraId="429B1E44">
            <w:pPr>
              <w:spacing w:before="65" w:line="261" w:lineRule="auto"/>
              <w:ind w:left="74" w:right="65" w:firstLine="2"/>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r>
              <w:rPr>
                <w:rFonts w:ascii="宋体" w:hAnsi="宋体" w:eastAsia="宋体" w:cs="宋体"/>
                <w:sz w:val="20"/>
                <w:szCs w:val="20"/>
              </w:rPr>
              <w:t xml:space="preserve"> </w:t>
            </w:r>
            <w:r>
              <w:rPr>
                <w:rFonts w:ascii="宋体" w:hAnsi="宋体" w:eastAsia="宋体" w:cs="宋体"/>
                <w:spacing w:val="5"/>
                <w:sz w:val="20"/>
                <w:szCs w:val="20"/>
              </w:rPr>
              <w:t>环</w:t>
            </w:r>
            <w:r>
              <w:rPr>
                <w:rFonts w:ascii="宋体" w:hAnsi="宋体" w:eastAsia="宋体" w:cs="宋体"/>
                <w:spacing w:val="4"/>
                <w:sz w:val="20"/>
                <w:szCs w:val="20"/>
              </w:rPr>
              <w:t>境</w:t>
            </w:r>
            <w:r>
              <w:rPr>
                <w:rFonts w:ascii="宋体" w:hAnsi="宋体" w:eastAsia="宋体" w:cs="宋体"/>
                <w:sz w:val="20"/>
                <w:szCs w:val="20"/>
              </w:rPr>
              <w:t xml:space="preserve"> </w:t>
            </w:r>
            <w:r>
              <w:rPr>
                <w:rFonts w:ascii="宋体" w:hAnsi="宋体" w:eastAsia="宋体" w:cs="宋体"/>
                <w:spacing w:val="5"/>
                <w:sz w:val="20"/>
                <w:szCs w:val="20"/>
              </w:rPr>
              <w:t>保</w:t>
            </w:r>
            <w:r>
              <w:rPr>
                <w:rFonts w:ascii="宋体" w:hAnsi="宋体" w:eastAsia="宋体" w:cs="宋体"/>
                <w:spacing w:val="4"/>
                <w:sz w:val="20"/>
                <w:szCs w:val="20"/>
              </w:rPr>
              <w:t>护</w:t>
            </w:r>
          </w:p>
        </w:tc>
        <w:tc>
          <w:tcPr>
            <w:tcW w:w="4310" w:type="dxa"/>
            <w:vAlign w:val="top"/>
          </w:tcPr>
          <w:p w14:paraId="5F4FC840">
            <w:pPr>
              <w:spacing w:before="33" w:line="249" w:lineRule="auto"/>
              <w:ind w:left="23" w:firstLine="20"/>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6"/>
                <w:sz w:val="20"/>
                <w:szCs w:val="20"/>
              </w:rPr>
              <w:t>、</w:t>
            </w:r>
            <w:r>
              <w:rPr>
                <w:rFonts w:ascii="宋体" w:hAnsi="宋体" w:eastAsia="宋体" w:cs="宋体"/>
                <w:spacing w:val="4"/>
                <w:sz w:val="20"/>
                <w:szCs w:val="20"/>
              </w:rPr>
              <w:t>废塑料再生利用项目必须经过县级以上地方</w:t>
            </w:r>
            <w:r>
              <w:rPr>
                <w:rFonts w:ascii="宋体" w:hAnsi="宋体" w:eastAsia="宋体" w:cs="宋体"/>
                <w:sz w:val="20"/>
                <w:szCs w:val="20"/>
              </w:rPr>
              <w:t xml:space="preserve"> </w:t>
            </w:r>
            <w:r>
              <w:rPr>
                <w:rFonts w:ascii="宋体" w:hAnsi="宋体" w:eastAsia="宋体" w:cs="宋体"/>
                <w:spacing w:val="18"/>
                <w:sz w:val="20"/>
                <w:szCs w:val="20"/>
              </w:rPr>
              <w:t>人</w:t>
            </w:r>
            <w:r>
              <w:rPr>
                <w:rFonts w:ascii="宋体" w:hAnsi="宋体" w:eastAsia="宋体" w:cs="宋体"/>
                <w:spacing w:val="10"/>
                <w:sz w:val="20"/>
                <w:szCs w:val="20"/>
              </w:rPr>
              <w:t>民政府环境保护行政主管部门的审批，严格</w:t>
            </w:r>
            <w:r>
              <w:rPr>
                <w:rFonts w:ascii="宋体" w:hAnsi="宋体" w:eastAsia="宋体" w:cs="宋体"/>
                <w:sz w:val="20"/>
                <w:szCs w:val="20"/>
              </w:rPr>
              <w:t xml:space="preserve"> </w:t>
            </w:r>
            <w:r>
              <w:rPr>
                <w:rFonts w:ascii="宋体" w:hAnsi="宋体" w:eastAsia="宋体" w:cs="宋体"/>
                <w:spacing w:val="14"/>
                <w:sz w:val="20"/>
                <w:szCs w:val="20"/>
              </w:rPr>
              <w:t>执</w:t>
            </w:r>
            <w:r>
              <w:rPr>
                <w:rFonts w:ascii="宋体" w:hAnsi="宋体" w:eastAsia="宋体" w:cs="宋体"/>
                <w:spacing w:val="10"/>
                <w:sz w:val="20"/>
                <w:szCs w:val="20"/>
              </w:rPr>
              <w:t>行</w:t>
            </w:r>
            <w:r>
              <w:rPr>
                <w:rFonts w:ascii="宋体" w:hAnsi="宋体" w:eastAsia="宋体" w:cs="宋体"/>
                <w:spacing w:val="7"/>
                <w:sz w:val="20"/>
                <w:szCs w:val="20"/>
              </w:rPr>
              <w:t xml:space="preserve">环境影响评价和 </w:t>
            </w:r>
            <w:r>
              <w:rPr>
                <w:rFonts w:ascii="Times New Roman" w:hAnsi="Times New Roman" w:eastAsia="Times New Roman" w:cs="Times New Roman"/>
                <w:spacing w:val="7"/>
                <w:sz w:val="20"/>
                <w:szCs w:val="20"/>
              </w:rPr>
              <w:t>“</w:t>
            </w:r>
            <w:r>
              <w:rPr>
                <w:rFonts w:ascii="宋体" w:hAnsi="宋体" w:eastAsia="宋体" w:cs="宋体"/>
                <w:spacing w:val="7"/>
                <w:sz w:val="20"/>
                <w:szCs w:val="20"/>
              </w:rPr>
              <w:t xml:space="preserve">三同时 </w:t>
            </w:r>
            <w:r>
              <w:rPr>
                <w:rFonts w:ascii="Times New Roman" w:hAnsi="Times New Roman" w:eastAsia="Times New Roman" w:cs="Times New Roman"/>
                <w:spacing w:val="7"/>
                <w:sz w:val="20"/>
                <w:szCs w:val="20"/>
              </w:rPr>
              <w:t>”</w:t>
            </w:r>
            <w:r>
              <w:rPr>
                <w:rFonts w:ascii="宋体" w:hAnsi="宋体" w:eastAsia="宋体" w:cs="宋体"/>
                <w:spacing w:val="7"/>
                <w:sz w:val="20"/>
                <w:szCs w:val="20"/>
              </w:rPr>
              <w:t>制度。</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2</w:t>
            </w:r>
            <w:r>
              <w:rPr>
                <w:rFonts w:ascii="宋体" w:hAnsi="宋体" w:eastAsia="宋体" w:cs="宋体"/>
                <w:spacing w:val="6"/>
                <w:sz w:val="20"/>
                <w:szCs w:val="20"/>
              </w:rPr>
              <w:t>、</w:t>
            </w:r>
            <w:r>
              <w:rPr>
                <w:rFonts w:ascii="宋体" w:hAnsi="宋体" w:eastAsia="宋体" w:cs="宋体"/>
                <w:spacing w:val="5"/>
                <w:sz w:val="20"/>
                <w:szCs w:val="20"/>
              </w:rPr>
              <w:t>进口塑料作为生产原料的企业应具有固体废</w:t>
            </w:r>
            <w:r>
              <w:rPr>
                <w:rFonts w:ascii="宋体" w:hAnsi="宋体" w:eastAsia="宋体" w:cs="宋体"/>
                <w:sz w:val="20"/>
                <w:szCs w:val="20"/>
              </w:rPr>
              <w:t xml:space="preserve"> </w:t>
            </w:r>
            <w:r>
              <w:rPr>
                <w:rFonts w:ascii="宋体" w:hAnsi="宋体" w:eastAsia="宋体" w:cs="宋体"/>
                <w:spacing w:val="10"/>
                <w:sz w:val="20"/>
                <w:szCs w:val="20"/>
              </w:rPr>
              <w:t>物进口许可证。</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、新建项目选</w:t>
            </w:r>
            <w:r>
              <w:rPr>
                <w:rFonts w:ascii="宋体" w:hAnsi="宋体" w:eastAsia="宋体" w:cs="宋体"/>
                <w:spacing w:val="3"/>
                <w:sz w:val="20"/>
                <w:szCs w:val="20"/>
              </w:rPr>
              <w:t>址</w:t>
            </w:r>
            <w:r>
              <w:rPr>
                <w:rFonts w:ascii="宋体" w:hAnsi="宋体" w:eastAsia="宋体" w:cs="宋体"/>
                <w:spacing w:val="2"/>
                <w:sz w:val="20"/>
                <w:szCs w:val="20"/>
              </w:rPr>
              <w:t>应符合环境保护要求，不得建</w:t>
            </w:r>
            <w:r>
              <w:rPr>
                <w:rFonts w:ascii="宋体" w:hAnsi="宋体" w:eastAsia="宋体" w:cs="宋体"/>
                <w:sz w:val="20"/>
                <w:szCs w:val="20"/>
              </w:rPr>
              <w:t xml:space="preserve"> </w:t>
            </w:r>
            <w:r>
              <w:rPr>
                <w:rFonts w:ascii="宋体" w:hAnsi="宋体" w:eastAsia="宋体" w:cs="宋体"/>
                <w:spacing w:val="18"/>
                <w:sz w:val="20"/>
                <w:szCs w:val="20"/>
              </w:rPr>
              <w:t>在</w:t>
            </w:r>
            <w:r>
              <w:rPr>
                <w:rFonts w:ascii="宋体" w:hAnsi="宋体" w:eastAsia="宋体" w:cs="宋体"/>
                <w:spacing w:val="11"/>
                <w:sz w:val="20"/>
                <w:szCs w:val="20"/>
              </w:rPr>
              <w:t>城市居民区、商业区及其他环境敏感区内，</w:t>
            </w:r>
            <w:r>
              <w:rPr>
                <w:rFonts w:ascii="宋体" w:hAnsi="宋体" w:eastAsia="宋体" w:cs="宋体"/>
                <w:sz w:val="20"/>
                <w:szCs w:val="20"/>
              </w:rPr>
              <w:t xml:space="preserve"> </w:t>
            </w:r>
            <w:r>
              <w:rPr>
                <w:rFonts w:ascii="宋体" w:hAnsi="宋体" w:eastAsia="宋体" w:cs="宋体"/>
                <w:spacing w:val="13"/>
                <w:sz w:val="20"/>
                <w:szCs w:val="20"/>
              </w:rPr>
              <w:t>若</w:t>
            </w:r>
            <w:r>
              <w:rPr>
                <w:rFonts w:ascii="宋体" w:hAnsi="宋体" w:eastAsia="宋体" w:cs="宋体"/>
                <w:spacing w:val="9"/>
                <w:sz w:val="20"/>
                <w:szCs w:val="20"/>
              </w:rPr>
              <w:t>在，需限期迁址。</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4</w:t>
            </w:r>
            <w:r>
              <w:rPr>
                <w:rFonts w:ascii="宋体" w:hAnsi="宋体" w:eastAsia="宋体" w:cs="宋体"/>
                <w:spacing w:val="6"/>
                <w:sz w:val="20"/>
                <w:szCs w:val="20"/>
              </w:rPr>
              <w:t>、</w:t>
            </w:r>
            <w:r>
              <w:rPr>
                <w:rFonts w:ascii="宋体" w:hAnsi="宋体" w:eastAsia="宋体" w:cs="宋体"/>
                <w:spacing w:val="5"/>
                <w:sz w:val="20"/>
                <w:szCs w:val="20"/>
              </w:rPr>
              <w:t>再生利用项目必须建有围墙并按功能划分厂</w:t>
            </w:r>
            <w:r>
              <w:rPr>
                <w:rFonts w:ascii="宋体" w:hAnsi="宋体" w:eastAsia="宋体" w:cs="宋体"/>
                <w:sz w:val="20"/>
                <w:szCs w:val="20"/>
              </w:rPr>
              <w:t xml:space="preserve"> </w:t>
            </w:r>
            <w:r>
              <w:rPr>
                <w:rFonts w:ascii="宋体" w:hAnsi="宋体" w:eastAsia="宋体" w:cs="宋体"/>
                <w:spacing w:val="16"/>
                <w:sz w:val="20"/>
                <w:szCs w:val="20"/>
              </w:rPr>
              <w:t>区</w:t>
            </w:r>
            <w:r>
              <w:rPr>
                <w:rFonts w:ascii="宋体" w:hAnsi="宋体" w:eastAsia="宋体" w:cs="宋体"/>
                <w:spacing w:val="9"/>
                <w:sz w:val="20"/>
                <w:szCs w:val="20"/>
              </w:rPr>
              <w:t>，</w:t>
            </w:r>
            <w:r>
              <w:rPr>
                <w:rFonts w:ascii="宋体" w:hAnsi="宋体" w:eastAsia="宋体" w:cs="宋体"/>
                <w:spacing w:val="8"/>
                <w:sz w:val="20"/>
                <w:szCs w:val="20"/>
              </w:rPr>
              <w:t>各功能区应有明显的界线和标志。</w:t>
            </w:r>
            <w:r>
              <w:rPr>
                <w:rFonts w:ascii="宋体" w:hAnsi="宋体" w:eastAsia="宋体" w:cs="宋体"/>
                <w:sz w:val="20"/>
                <w:szCs w:val="20"/>
              </w:rPr>
              <w:t xml:space="preserve">        </w:t>
            </w:r>
            <w:r>
              <w:rPr>
                <w:rFonts w:ascii="Times New Roman" w:hAnsi="Times New Roman" w:eastAsia="Times New Roman" w:cs="Times New Roman"/>
                <w:spacing w:val="-1"/>
                <w:sz w:val="20"/>
                <w:szCs w:val="20"/>
              </w:rPr>
              <w:t>5</w:t>
            </w:r>
            <w:r>
              <w:rPr>
                <w:rFonts w:ascii="宋体" w:hAnsi="宋体" w:eastAsia="宋体" w:cs="宋体"/>
                <w:spacing w:val="-1"/>
                <w:sz w:val="20"/>
                <w:szCs w:val="20"/>
              </w:rPr>
              <w:t>、功能区设施封闭或半封闭，采取防风、</w:t>
            </w:r>
            <w:r>
              <w:rPr>
                <w:rFonts w:ascii="宋体" w:hAnsi="宋体" w:eastAsia="宋体" w:cs="宋体"/>
                <w:sz w:val="20"/>
                <w:szCs w:val="20"/>
              </w:rPr>
              <w:t xml:space="preserve">防雨、 </w:t>
            </w:r>
            <w:r>
              <w:rPr>
                <w:rFonts w:ascii="宋体" w:hAnsi="宋体" w:eastAsia="宋体" w:cs="宋体"/>
                <w:spacing w:val="7"/>
                <w:sz w:val="20"/>
                <w:szCs w:val="20"/>
              </w:rPr>
              <w:t>防渗、防火等措施，有足够的疏散通道</w:t>
            </w:r>
            <w:r>
              <w:rPr>
                <w:rFonts w:ascii="宋体" w:hAnsi="宋体" w:eastAsia="宋体" w:cs="宋体"/>
                <w:spacing w:val="4"/>
                <w:sz w:val="20"/>
                <w:szCs w:val="20"/>
              </w:rPr>
              <w:t>。</w:t>
            </w:r>
          </w:p>
        </w:tc>
        <w:tc>
          <w:tcPr>
            <w:tcW w:w="2980" w:type="dxa"/>
            <w:vAlign w:val="top"/>
          </w:tcPr>
          <w:p w14:paraId="6C3BFD7B">
            <w:pPr>
              <w:spacing w:before="174" w:line="254" w:lineRule="auto"/>
              <w:ind w:left="28" w:right="18" w:firstLine="1"/>
              <w:rPr>
                <w:rFonts w:ascii="宋体" w:hAnsi="宋体" w:eastAsia="宋体" w:cs="宋体"/>
                <w:sz w:val="20"/>
                <w:szCs w:val="20"/>
              </w:rPr>
            </w:pPr>
            <w:r>
              <w:rPr>
                <w:rFonts w:ascii="宋体" w:hAnsi="宋体" w:eastAsia="宋体" w:cs="宋体"/>
                <w:spacing w:val="25"/>
                <w:sz w:val="20"/>
                <w:szCs w:val="20"/>
              </w:rPr>
              <w:t>本次环评要求企业严格执行</w:t>
            </w:r>
            <w:r>
              <w:rPr>
                <w:rFonts w:ascii="宋体" w:hAnsi="宋体" w:eastAsia="宋体" w:cs="宋体"/>
                <w:spacing w:val="23"/>
                <w:sz w:val="20"/>
                <w:szCs w:val="20"/>
              </w:rPr>
              <w:t>环</w:t>
            </w:r>
            <w:r>
              <w:rPr>
                <w:rFonts w:ascii="宋体" w:hAnsi="宋体" w:eastAsia="宋体" w:cs="宋体"/>
                <w:sz w:val="20"/>
                <w:szCs w:val="20"/>
              </w:rPr>
              <w:t xml:space="preserve"> </w:t>
            </w:r>
            <w:r>
              <w:rPr>
                <w:rFonts w:ascii="宋体" w:hAnsi="宋体" w:eastAsia="宋体" w:cs="宋体"/>
                <w:spacing w:val="10"/>
                <w:sz w:val="20"/>
                <w:szCs w:val="20"/>
              </w:rPr>
              <w:t>境影响评价和</w:t>
            </w:r>
            <w:r>
              <w:rPr>
                <w:rFonts w:ascii="Times New Roman" w:hAnsi="Times New Roman" w:eastAsia="Times New Roman" w:cs="Times New Roman"/>
                <w:spacing w:val="10"/>
                <w:sz w:val="20"/>
                <w:szCs w:val="20"/>
              </w:rPr>
              <w:t>“</w:t>
            </w:r>
            <w:r>
              <w:rPr>
                <w:rFonts w:ascii="宋体" w:hAnsi="宋体" w:eastAsia="宋体" w:cs="宋体"/>
                <w:spacing w:val="10"/>
                <w:sz w:val="20"/>
                <w:szCs w:val="20"/>
              </w:rPr>
              <w:t>三同时</w:t>
            </w:r>
            <w:r>
              <w:rPr>
                <w:rFonts w:ascii="Times New Roman" w:hAnsi="Times New Roman" w:eastAsia="Times New Roman" w:cs="Times New Roman"/>
                <w:spacing w:val="10"/>
                <w:sz w:val="20"/>
                <w:szCs w:val="20"/>
              </w:rPr>
              <w:t>”</w:t>
            </w:r>
            <w:r>
              <w:rPr>
                <w:rFonts w:ascii="宋体" w:hAnsi="宋体" w:eastAsia="宋体" w:cs="宋体"/>
                <w:spacing w:val="10"/>
                <w:sz w:val="20"/>
                <w:szCs w:val="20"/>
              </w:rPr>
              <w:t>制度；</w:t>
            </w:r>
            <w:r>
              <w:rPr>
                <w:rFonts w:ascii="宋体" w:hAnsi="宋体" w:eastAsia="宋体" w:cs="宋体"/>
                <w:spacing w:val="8"/>
                <w:sz w:val="20"/>
                <w:szCs w:val="20"/>
              </w:rPr>
              <w:t>该</w:t>
            </w:r>
            <w:r>
              <w:rPr>
                <w:rFonts w:ascii="宋体" w:hAnsi="宋体" w:eastAsia="宋体" w:cs="宋体"/>
                <w:sz w:val="20"/>
                <w:szCs w:val="20"/>
              </w:rPr>
              <w:t xml:space="preserve"> </w:t>
            </w:r>
            <w:r>
              <w:rPr>
                <w:rFonts w:ascii="宋体" w:hAnsi="宋体" w:eastAsia="宋体" w:cs="宋体"/>
                <w:spacing w:val="9"/>
                <w:sz w:val="20"/>
                <w:szCs w:val="20"/>
              </w:rPr>
              <w:t>项目不使用进口塑料，未建在</w:t>
            </w:r>
            <w:r>
              <w:rPr>
                <w:rFonts w:ascii="宋体" w:hAnsi="宋体" w:eastAsia="宋体" w:cs="宋体"/>
                <w:spacing w:val="8"/>
                <w:sz w:val="20"/>
                <w:szCs w:val="20"/>
              </w:rPr>
              <w:t>城</w:t>
            </w:r>
            <w:r>
              <w:rPr>
                <w:rFonts w:ascii="宋体" w:hAnsi="宋体" w:eastAsia="宋体" w:cs="宋体"/>
                <w:sz w:val="20"/>
                <w:szCs w:val="20"/>
              </w:rPr>
              <w:t xml:space="preserve"> </w:t>
            </w:r>
            <w:r>
              <w:rPr>
                <w:rFonts w:ascii="宋体" w:hAnsi="宋体" w:eastAsia="宋体" w:cs="宋体"/>
                <w:spacing w:val="9"/>
                <w:sz w:val="20"/>
                <w:szCs w:val="20"/>
              </w:rPr>
              <w:t>市居民区、商业区及其他环境</w:t>
            </w:r>
            <w:r>
              <w:rPr>
                <w:rFonts w:ascii="宋体" w:hAnsi="宋体" w:eastAsia="宋体" w:cs="宋体"/>
                <w:spacing w:val="8"/>
                <w:sz w:val="20"/>
                <w:szCs w:val="20"/>
              </w:rPr>
              <w:t>敏</w:t>
            </w:r>
            <w:r>
              <w:rPr>
                <w:rFonts w:ascii="宋体" w:hAnsi="宋体" w:eastAsia="宋体" w:cs="宋体"/>
                <w:sz w:val="20"/>
                <w:szCs w:val="20"/>
              </w:rPr>
              <w:t xml:space="preserve"> </w:t>
            </w:r>
            <w:r>
              <w:rPr>
                <w:rFonts w:ascii="宋体" w:hAnsi="宋体" w:eastAsia="宋体" w:cs="宋体"/>
                <w:spacing w:val="9"/>
                <w:sz w:val="20"/>
                <w:szCs w:val="20"/>
              </w:rPr>
              <w:t>感区内；该项目将生产区、原</w:t>
            </w:r>
            <w:r>
              <w:rPr>
                <w:rFonts w:ascii="宋体" w:hAnsi="宋体" w:eastAsia="宋体" w:cs="宋体"/>
                <w:spacing w:val="8"/>
                <w:sz w:val="20"/>
                <w:szCs w:val="20"/>
              </w:rPr>
              <w:t>料</w:t>
            </w:r>
            <w:r>
              <w:rPr>
                <w:rFonts w:ascii="宋体" w:hAnsi="宋体" w:eastAsia="宋体" w:cs="宋体"/>
                <w:sz w:val="20"/>
                <w:szCs w:val="20"/>
              </w:rPr>
              <w:t xml:space="preserve"> </w:t>
            </w:r>
            <w:r>
              <w:rPr>
                <w:rFonts w:ascii="宋体" w:hAnsi="宋体" w:eastAsia="宋体" w:cs="宋体"/>
                <w:spacing w:val="9"/>
                <w:sz w:val="20"/>
                <w:szCs w:val="20"/>
              </w:rPr>
              <w:t>区、产品区按功能划分区域，</w:t>
            </w:r>
            <w:r>
              <w:rPr>
                <w:rFonts w:ascii="宋体" w:hAnsi="宋体" w:eastAsia="宋体" w:cs="宋体"/>
                <w:spacing w:val="8"/>
                <w:sz w:val="20"/>
                <w:szCs w:val="20"/>
              </w:rPr>
              <w:t>并</w:t>
            </w:r>
            <w:r>
              <w:rPr>
                <w:rFonts w:ascii="宋体" w:hAnsi="宋体" w:eastAsia="宋体" w:cs="宋体"/>
                <w:sz w:val="20"/>
                <w:szCs w:val="20"/>
              </w:rPr>
              <w:t xml:space="preserve"> </w:t>
            </w:r>
            <w:r>
              <w:rPr>
                <w:rFonts w:ascii="宋体" w:hAnsi="宋体" w:eastAsia="宋体" w:cs="宋体"/>
                <w:spacing w:val="9"/>
                <w:sz w:val="20"/>
                <w:szCs w:val="20"/>
              </w:rPr>
              <w:t>配有明显的界线和标志；该项</w:t>
            </w:r>
            <w:r>
              <w:rPr>
                <w:rFonts w:ascii="宋体" w:hAnsi="宋体" w:eastAsia="宋体" w:cs="宋体"/>
                <w:spacing w:val="8"/>
                <w:sz w:val="20"/>
                <w:szCs w:val="20"/>
              </w:rPr>
              <w:t>目</w:t>
            </w:r>
            <w:r>
              <w:rPr>
                <w:rFonts w:ascii="宋体" w:hAnsi="宋体" w:eastAsia="宋体" w:cs="宋体"/>
                <w:sz w:val="20"/>
                <w:szCs w:val="20"/>
              </w:rPr>
              <w:t xml:space="preserve"> </w:t>
            </w:r>
            <w:r>
              <w:rPr>
                <w:rFonts w:ascii="宋体" w:hAnsi="宋体" w:eastAsia="宋体" w:cs="宋体"/>
                <w:spacing w:val="11"/>
                <w:sz w:val="20"/>
                <w:szCs w:val="20"/>
              </w:rPr>
              <w:t>均</w:t>
            </w:r>
            <w:r>
              <w:rPr>
                <w:rFonts w:ascii="宋体" w:hAnsi="宋体" w:eastAsia="宋体" w:cs="宋体"/>
                <w:spacing w:val="9"/>
                <w:sz w:val="20"/>
                <w:szCs w:val="20"/>
              </w:rPr>
              <w:t>为封闭式生产厂房、原料库、</w:t>
            </w:r>
            <w:r>
              <w:rPr>
                <w:rFonts w:ascii="宋体" w:hAnsi="宋体" w:eastAsia="宋体" w:cs="宋体"/>
                <w:sz w:val="20"/>
                <w:szCs w:val="20"/>
              </w:rPr>
              <w:t xml:space="preserve"> </w:t>
            </w:r>
            <w:r>
              <w:rPr>
                <w:rFonts w:ascii="宋体" w:hAnsi="宋体" w:eastAsia="宋体" w:cs="宋体"/>
                <w:spacing w:val="11"/>
                <w:sz w:val="20"/>
                <w:szCs w:val="20"/>
              </w:rPr>
              <w:t>成</w:t>
            </w:r>
            <w:r>
              <w:rPr>
                <w:rFonts w:ascii="宋体" w:hAnsi="宋体" w:eastAsia="宋体" w:cs="宋体"/>
                <w:spacing w:val="9"/>
                <w:sz w:val="20"/>
                <w:szCs w:val="20"/>
              </w:rPr>
              <w:t>品库，防风、防雨、防渗、防</w:t>
            </w:r>
            <w:r>
              <w:rPr>
                <w:rFonts w:ascii="宋体" w:hAnsi="宋体" w:eastAsia="宋体" w:cs="宋体"/>
                <w:sz w:val="20"/>
                <w:szCs w:val="20"/>
              </w:rPr>
              <w:t xml:space="preserve"> </w:t>
            </w:r>
            <w:r>
              <w:rPr>
                <w:rFonts w:ascii="宋体" w:hAnsi="宋体" w:eastAsia="宋体" w:cs="宋体"/>
                <w:spacing w:val="9"/>
                <w:sz w:val="20"/>
                <w:szCs w:val="20"/>
              </w:rPr>
              <w:t>火等措施齐全，有足够的疏散</w:t>
            </w:r>
            <w:r>
              <w:rPr>
                <w:rFonts w:ascii="宋体" w:hAnsi="宋体" w:eastAsia="宋体" w:cs="宋体"/>
                <w:spacing w:val="8"/>
                <w:sz w:val="20"/>
                <w:szCs w:val="20"/>
              </w:rPr>
              <w:t>通</w:t>
            </w:r>
            <w:r>
              <w:rPr>
                <w:rFonts w:ascii="宋体" w:hAnsi="宋体" w:eastAsia="宋体" w:cs="宋体"/>
                <w:sz w:val="20"/>
                <w:szCs w:val="20"/>
              </w:rPr>
              <w:t xml:space="preserve"> </w:t>
            </w:r>
            <w:r>
              <w:rPr>
                <w:rFonts w:ascii="宋体" w:hAnsi="宋体" w:eastAsia="宋体" w:cs="宋体"/>
                <w:spacing w:val="1"/>
                <w:sz w:val="20"/>
                <w:szCs w:val="20"/>
              </w:rPr>
              <w:t>道</w:t>
            </w:r>
            <w:r>
              <w:rPr>
                <w:rFonts w:ascii="宋体" w:hAnsi="宋体" w:eastAsia="宋体" w:cs="宋体"/>
                <w:sz w:val="20"/>
                <w:szCs w:val="20"/>
              </w:rPr>
              <w:t>。</w:t>
            </w:r>
          </w:p>
        </w:tc>
        <w:tc>
          <w:tcPr>
            <w:tcW w:w="679" w:type="dxa"/>
            <w:tcBorders>
              <w:right w:val="nil"/>
            </w:tcBorders>
            <w:vAlign w:val="top"/>
          </w:tcPr>
          <w:p w14:paraId="63F28A70">
            <w:pPr>
              <w:spacing w:line="242" w:lineRule="auto"/>
              <w:rPr>
                <w:rFonts w:ascii="Arial"/>
                <w:sz w:val="21"/>
              </w:rPr>
            </w:pPr>
          </w:p>
          <w:p w14:paraId="166C7A4D">
            <w:pPr>
              <w:spacing w:line="242" w:lineRule="auto"/>
              <w:rPr>
                <w:rFonts w:ascii="Arial"/>
                <w:sz w:val="21"/>
              </w:rPr>
            </w:pPr>
          </w:p>
          <w:p w14:paraId="6E2F41B3">
            <w:pPr>
              <w:spacing w:line="242" w:lineRule="auto"/>
              <w:rPr>
                <w:rFonts w:ascii="Arial"/>
                <w:sz w:val="21"/>
              </w:rPr>
            </w:pPr>
          </w:p>
          <w:p w14:paraId="790FAC12">
            <w:pPr>
              <w:spacing w:line="243" w:lineRule="auto"/>
              <w:rPr>
                <w:rFonts w:ascii="Arial"/>
                <w:sz w:val="21"/>
              </w:rPr>
            </w:pPr>
          </w:p>
          <w:p w14:paraId="26E66477">
            <w:pPr>
              <w:spacing w:line="243" w:lineRule="auto"/>
              <w:rPr>
                <w:rFonts w:ascii="Arial"/>
                <w:sz w:val="21"/>
              </w:rPr>
            </w:pPr>
          </w:p>
          <w:p w14:paraId="0F9F7499">
            <w:pPr>
              <w:spacing w:line="243" w:lineRule="auto"/>
              <w:rPr>
                <w:rFonts w:ascii="Arial"/>
                <w:sz w:val="21"/>
              </w:rPr>
            </w:pPr>
          </w:p>
          <w:p w14:paraId="6EB2D702">
            <w:pPr>
              <w:spacing w:before="65" w:line="228" w:lineRule="auto"/>
              <w:ind w:left="13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18D41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552" w:type="dxa"/>
            <w:tcBorders>
              <w:left w:val="nil"/>
            </w:tcBorders>
            <w:vAlign w:val="top"/>
          </w:tcPr>
          <w:p w14:paraId="5F1B5946">
            <w:pPr>
              <w:spacing w:line="264" w:lineRule="auto"/>
              <w:rPr>
                <w:rFonts w:ascii="Arial"/>
                <w:sz w:val="21"/>
              </w:rPr>
            </w:pPr>
          </w:p>
          <w:p w14:paraId="777B241C">
            <w:pPr>
              <w:spacing w:line="264" w:lineRule="auto"/>
              <w:rPr>
                <w:rFonts w:ascii="Arial"/>
                <w:sz w:val="21"/>
              </w:rPr>
            </w:pPr>
          </w:p>
          <w:p w14:paraId="60FEB838">
            <w:pPr>
              <w:spacing w:line="264" w:lineRule="auto"/>
              <w:rPr>
                <w:rFonts w:ascii="Arial"/>
                <w:sz w:val="21"/>
              </w:rPr>
            </w:pPr>
          </w:p>
          <w:p w14:paraId="6F1C68FA">
            <w:pPr>
              <w:spacing w:line="265" w:lineRule="auto"/>
              <w:rPr>
                <w:rFonts w:ascii="Arial"/>
                <w:sz w:val="21"/>
              </w:rPr>
            </w:pPr>
          </w:p>
          <w:p w14:paraId="16C6FBBD">
            <w:pPr>
              <w:spacing w:line="265" w:lineRule="auto"/>
              <w:rPr>
                <w:rFonts w:ascii="Arial"/>
                <w:sz w:val="21"/>
              </w:rPr>
            </w:pPr>
          </w:p>
          <w:p w14:paraId="343A8C1C">
            <w:pPr>
              <w:spacing w:before="65" w:line="265" w:lineRule="auto"/>
              <w:ind w:left="73" w:right="65" w:firstLine="2"/>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r>
              <w:rPr>
                <w:rFonts w:ascii="宋体" w:hAnsi="宋体" w:eastAsia="宋体" w:cs="宋体"/>
                <w:sz w:val="20"/>
                <w:szCs w:val="20"/>
              </w:rPr>
              <w:t xml:space="preserve"> </w:t>
            </w:r>
            <w:r>
              <w:rPr>
                <w:rFonts w:ascii="宋体" w:hAnsi="宋体" w:eastAsia="宋体" w:cs="宋体"/>
                <w:spacing w:val="5"/>
                <w:sz w:val="20"/>
                <w:szCs w:val="20"/>
              </w:rPr>
              <w:t>控制</w:t>
            </w:r>
          </w:p>
        </w:tc>
        <w:tc>
          <w:tcPr>
            <w:tcW w:w="4310" w:type="dxa"/>
            <w:vAlign w:val="top"/>
          </w:tcPr>
          <w:p w14:paraId="7A984501">
            <w:pPr>
              <w:spacing w:line="255" w:lineRule="auto"/>
              <w:rPr>
                <w:rFonts w:ascii="Arial"/>
                <w:sz w:val="21"/>
              </w:rPr>
            </w:pPr>
          </w:p>
          <w:p w14:paraId="1DE88DB0">
            <w:pPr>
              <w:spacing w:line="256" w:lineRule="auto"/>
              <w:rPr>
                <w:rFonts w:ascii="Arial"/>
                <w:sz w:val="21"/>
              </w:rPr>
            </w:pPr>
          </w:p>
          <w:p w14:paraId="12320354">
            <w:pPr>
              <w:spacing w:before="65" w:line="239" w:lineRule="auto"/>
              <w:ind w:left="28" w:right="19" w:firstLine="1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、企业应有废水收集设施，宜在厂区内处理并</w:t>
            </w:r>
            <w:r>
              <w:rPr>
                <w:rFonts w:ascii="宋体" w:hAnsi="宋体" w:eastAsia="宋体" w:cs="宋体"/>
                <w:sz w:val="20"/>
                <w:szCs w:val="20"/>
              </w:rPr>
              <w:t xml:space="preserve"> </w:t>
            </w:r>
            <w:r>
              <w:rPr>
                <w:rFonts w:ascii="宋体" w:hAnsi="宋体" w:eastAsia="宋体" w:cs="宋体"/>
                <w:spacing w:val="6"/>
                <w:sz w:val="20"/>
                <w:szCs w:val="20"/>
              </w:rPr>
              <w:t>循环利用</w:t>
            </w:r>
            <w:r>
              <w:rPr>
                <w:rFonts w:ascii="宋体" w:hAnsi="宋体" w:eastAsia="宋体" w:cs="宋体"/>
                <w:spacing w:val="5"/>
                <w:sz w:val="20"/>
                <w:szCs w:val="20"/>
              </w:rPr>
              <w:t>。</w:t>
            </w:r>
          </w:p>
          <w:p w14:paraId="7E7A1EDD">
            <w:pPr>
              <w:spacing w:before="24" w:line="264" w:lineRule="exact"/>
              <w:ind w:left="24"/>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2 </w:t>
            </w:r>
            <w:r>
              <w:rPr>
                <w:rFonts w:ascii="宋体" w:hAnsi="宋体" w:eastAsia="宋体" w:cs="宋体"/>
                <w:spacing w:val="5"/>
                <w:position w:val="1"/>
                <w:sz w:val="20"/>
                <w:szCs w:val="20"/>
              </w:rPr>
              <w:t>、企业应有集气装置收集废气。</w:t>
            </w:r>
          </w:p>
          <w:p w14:paraId="22B988B4">
            <w:pPr>
              <w:spacing w:before="10" w:line="239" w:lineRule="auto"/>
              <w:ind w:left="27" w:right="19" w:firstLine="1"/>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、其他气体净化装置收集的固废，应按国际</w:t>
            </w:r>
            <w:r>
              <w:rPr>
                <w:rFonts w:ascii="宋体" w:hAnsi="宋体" w:eastAsia="宋体" w:cs="宋体"/>
                <w:spacing w:val="1"/>
                <w:sz w:val="20"/>
                <w:szCs w:val="20"/>
              </w:rPr>
              <w:t>危</w:t>
            </w:r>
            <w:r>
              <w:rPr>
                <w:rFonts w:ascii="宋体" w:hAnsi="宋体" w:eastAsia="宋体" w:cs="宋体"/>
                <w:sz w:val="20"/>
                <w:szCs w:val="20"/>
              </w:rPr>
              <w:t xml:space="preserve"> </w:t>
            </w:r>
            <w:r>
              <w:rPr>
                <w:rFonts w:ascii="宋体" w:hAnsi="宋体" w:eastAsia="宋体" w:cs="宋体"/>
                <w:spacing w:val="12"/>
                <w:sz w:val="20"/>
                <w:szCs w:val="20"/>
              </w:rPr>
              <w:t>废</w:t>
            </w:r>
            <w:r>
              <w:rPr>
                <w:rFonts w:ascii="宋体" w:hAnsi="宋体" w:eastAsia="宋体" w:cs="宋体"/>
                <w:spacing w:val="7"/>
                <w:sz w:val="20"/>
                <w:szCs w:val="20"/>
              </w:rPr>
              <w:t>鉴别标准鉴别。</w:t>
            </w:r>
          </w:p>
          <w:p w14:paraId="18A1DD02">
            <w:pPr>
              <w:spacing w:before="26" w:line="264" w:lineRule="exact"/>
              <w:ind w:left="23"/>
              <w:rPr>
                <w:rFonts w:ascii="宋体" w:hAnsi="宋体" w:eastAsia="宋体" w:cs="宋体"/>
                <w:sz w:val="20"/>
                <w:szCs w:val="20"/>
              </w:rPr>
            </w:pPr>
            <w:r>
              <w:rPr>
                <w:rFonts w:ascii="Times New Roman" w:hAnsi="Times New Roman" w:eastAsia="Times New Roman" w:cs="Times New Roman"/>
                <w:spacing w:val="9"/>
                <w:position w:val="1"/>
                <w:sz w:val="20"/>
                <w:szCs w:val="20"/>
              </w:rPr>
              <w:t>4</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、预处理和再生利用过程应控制噪声污染。</w:t>
            </w:r>
          </w:p>
          <w:p w14:paraId="6D75F4E4">
            <w:pPr>
              <w:spacing w:before="8"/>
              <w:ind w:left="30" w:right="19"/>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、废</w:t>
            </w:r>
            <w:r>
              <w:rPr>
                <w:rFonts w:ascii="宋体" w:hAnsi="宋体" w:eastAsia="宋体" w:cs="宋体"/>
                <w:spacing w:val="4"/>
                <w:sz w:val="20"/>
                <w:szCs w:val="20"/>
              </w:rPr>
              <w:t>塑料预处理、再生过程产生的固废，应按</w:t>
            </w:r>
            <w:r>
              <w:rPr>
                <w:rFonts w:ascii="宋体" w:hAnsi="宋体" w:eastAsia="宋体" w:cs="宋体"/>
                <w:sz w:val="20"/>
                <w:szCs w:val="20"/>
              </w:rPr>
              <w:t xml:space="preserve"> </w:t>
            </w:r>
            <w:r>
              <w:rPr>
                <w:rFonts w:ascii="宋体" w:hAnsi="宋体" w:eastAsia="宋体" w:cs="宋体"/>
                <w:spacing w:val="16"/>
                <w:sz w:val="20"/>
                <w:szCs w:val="20"/>
              </w:rPr>
              <w:t>工</w:t>
            </w:r>
            <w:r>
              <w:rPr>
                <w:rFonts w:ascii="宋体" w:hAnsi="宋体" w:eastAsia="宋体" w:cs="宋体"/>
                <w:spacing w:val="11"/>
                <w:sz w:val="20"/>
                <w:szCs w:val="20"/>
              </w:rPr>
              <w:t>业</w:t>
            </w:r>
            <w:r>
              <w:rPr>
                <w:rFonts w:ascii="宋体" w:hAnsi="宋体" w:eastAsia="宋体" w:cs="宋体"/>
                <w:spacing w:val="8"/>
                <w:sz w:val="20"/>
                <w:szCs w:val="20"/>
              </w:rPr>
              <w:t>固废处理，并执行相关环保标准。</w:t>
            </w:r>
          </w:p>
        </w:tc>
        <w:tc>
          <w:tcPr>
            <w:tcW w:w="2980" w:type="dxa"/>
            <w:vAlign w:val="top"/>
          </w:tcPr>
          <w:p w14:paraId="0A0C8B0F">
            <w:pPr>
              <w:tabs>
                <w:tab w:val="left" w:pos="138"/>
              </w:tabs>
              <w:spacing w:before="35" w:line="249" w:lineRule="auto"/>
              <w:ind w:left="29" w:right="16" w:firstLine="3"/>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 xml:space="preserve"> 目采用湿式破碎 ，不产生粉</w:t>
            </w:r>
            <w:r>
              <w:rPr>
                <w:rFonts w:ascii="宋体" w:hAnsi="宋体" w:eastAsia="宋体" w:cs="宋体"/>
                <w:sz w:val="20"/>
                <w:szCs w:val="20"/>
              </w:rPr>
              <w:t xml:space="preserve"> </w:t>
            </w:r>
            <w:r>
              <w:rPr>
                <w:rFonts w:ascii="宋体" w:hAnsi="宋体" w:eastAsia="宋体" w:cs="宋体"/>
                <w:spacing w:val="9"/>
                <w:sz w:val="20"/>
                <w:szCs w:val="20"/>
              </w:rPr>
              <w:t>尘，热熔有机废气经集气罩收</w:t>
            </w:r>
            <w:r>
              <w:rPr>
                <w:rFonts w:ascii="宋体" w:hAnsi="宋体" w:eastAsia="宋体" w:cs="宋体"/>
                <w:spacing w:val="7"/>
                <w:sz w:val="20"/>
                <w:szCs w:val="20"/>
              </w:rPr>
              <w:t>集</w:t>
            </w:r>
            <w:r>
              <w:rPr>
                <w:rFonts w:ascii="宋体" w:hAnsi="宋体" w:eastAsia="宋体" w:cs="宋体"/>
                <w:sz w:val="20"/>
                <w:szCs w:val="20"/>
              </w:rPr>
              <w:t xml:space="preserve"> </w:t>
            </w:r>
            <w:r>
              <w:rPr>
                <w:rFonts w:ascii="宋体" w:hAnsi="宋体" w:eastAsia="宋体" w:cs="宋体"/>
                <w:spacing w:val="25"/>
                <w:sz w:val="20"/>
                <w:szCs w:val="20"/>
              </w:rPr>
              <w:t>后由引风机抽入废气治理装</w:t>
            </w:r>
            <w:r>
              <w:rPr>
                <w:rFonts w:ascii="宋体" w:hAnsi="宋体" w:eastAsia="宋体" w:cs="宋体"/>
                <w:spacing w:val="24"/>
                <w:sz w:val="20"/>
                <w:szCs w:val="20"/>
              </w:rPr>
              <w:t>置</w:t>
            </w:r>
            <w:r>
              <w:rPr>
                <w:rFonts w:ascii="宋体" w:hAnsi="宋体" w:eastAsia="宋体" w:cs="宋体"/>
                <w:sz w:val="20"/>
                <w:szCs w:val="20"/>
              </w:rPr>
              <w:t xml:space="preserve"> </w:t>
            </w:r>
            <w:r>
              <w:rPr>
                <w:rFonts w:ascii="宋体" w:hAnsi="宋体" w:eastAsia="宋体" w:cs="宋体"/>
                <w:spacing w:val="7"/>
                <w:sz w:val="20"/>
                <w:szCs w:val="20"/>
              </w:rPr>
              <w:t>中</w:t>
            </w:r>
            <w:r>
              <w:rPr>
                <w:rFonts w:ascii="宋体" w:hAnsi="宋体" w:eastAsia="宋体" w:cs="宋体"/>
                <w:spacing w:val="6"/>
                <w:sz w:val="20"/>
                <w:szCs w:val="20"/>
              </w:rPr>
              <w:t xml:space="preserve">，经过 </w:t>
            </w:r>
            <w:r>
              <w:rPr>
                <w:rFonts w:ascii="Times New Roman" w:hAnsi="Times New Roman" w:eastAsia="Times New Roman" w:cs="Times New Roman"/>
                <w:sz w:val="20"/>
                <w:szCs w:val="20"/>
              </w:rPr>
              <w:t>UV</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光氧催化废气处理</w:t>
            </w:r>
            <w:r>
              <w:rPr>
                <w:rFonts w:ascii="宋体" w:hAnsi="宋体" w:eastAsia="宋体" w:cs="宋体"/>
                <w:sz w:val="20"/>
                <w:szCs w:val="20"/>
              </w:rPr>
              <w:t xml:space="preserve"> </w:t>
            </w:r>
            <w:r>
              <w:rPr>
                <w:rFonts w:ascii="宋体" w:hAnsi="宋体" w:eastAsia="宋体" w:cs="宋体"/>
                <w:spacing w:val="17"/>
                <w:sz w:val="20"/>
                <w:szCs w:val="20"/>
              </w:rPr>
              <w:t>装</w:t>
            </w:r>
            <w:r>
              <w:rPr>
                <w:rFonts w:ascii="宋体" w:hAnsi="宋体" w:eastAsia="宋体" w:cs="宋体"/>
                <w:spacing w:val="15"/>
                <w:sz w:val="20"/>
                <w:szCs w:val="20"/>
              </w:rPr>
              <w:t>置</w:t>
            </w:r>
            <w:r>
              <w:rPr>
                <w:rFonts w:ascii="Times New Roman" w:hAnsi="Times New Roman" w:eastAsia="Times New Roman" w:cs="Times New Roman"/>
                <w:spacing w:val="15"/>
                <w:sz w:val="20"/>
                <w:szCs w:val="20"/>
              </w:rPr>
              <w:t>+</w:t>
            </w:r>
            <w:r>
              <w:rPr>
                <w:rFonts w:ascii="宋体" w:hAnsi="宋体" w:eastAsia="宋体" w:cs="宋体"/>
                <w:spacing w:val="15"/>
                <w:sz w:val="20"/>
                <w:szCs w:val="20"/>
              </w:rPr>
              <w:t>活性炭吸附装置处理后通</w:t>
            </w:r>
            <w:r>
              <w:rPr>
                <w:rFonts w:ascii="宋体" w:hAnsi="宋体" w:eastAsia="宋体" w:cs="宋体"/>
                <w:sz w:val="20"/>
                <w:szCs w:val="20"/>
              </w:rPr>
              <w:t xml:space="preserve"> </w:t>
            </w:r>
            <w:r>
              <w:rPr>
                <w:rFonts w:ascii="宋体" w:hAnsi="宋体" w:eastAsia="宋体" w:cs="宋体"/>
                <w:spacing w:val="2"/>
                <w:sz w:val="20"/>
                <w:szCs w:val="20"/>
              </w:rPr>
              <w:t xml:space="preserve">过 </w:t>
            </w:r>
            <w:r>
              <w:rPr>
                <w:rFonts w:ascii="Times New Roman" w:hAnsi="Times New Roman" w:eastAsia="Times New Roman" w:cs="Times New Roman"/>
                <w:spacing w:val="2"/>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1"/>
                <w:sz w:val="20"/>
                <w:szCs w:val="20"/>
              </w:rPr>
              <w:t>高排气筒有组织排放；生</w:t>
            </w:r>
            <w:r>
              <w:rPr>
                <w:rFonts w:ascii="宋体" w:hAnsi="宋体" w:eastAsia="宋体" w:cs="宋体"/>
                <w:sz w:val="20"/>
                <w:szCs w:val="20"/>
              </w:rPr>
              <w:t xml:space="preserve"> </w:t>
            </w:r>
            <w:r>
              <w:rPr>
                <w:rFonts w:ascii="宋体" w:hAnsi="宋体" w:eastAsia="宋体" w:cs="宋体"/>
                <w:spacing w:val="27"/>
                <w:sz w:val="20"/>
                <w:szCs w:val="20"/>
              </w:rPr>
              <w:t>产</w:t>
            </w:r>
            <w:r>
              <w:rPr>
                <w:rFonts w:ascii="宋体" w:hAnsi="宋体" w:eastAsia="宋体" w:cs="宋体"/>
                <w:spacing w:val="25"/>
                <w:sz w:val="20"/>
                <w:szCs w:val="20"/>
              </w:rPr>
              <w:t>废水经一体化污水预处理设</w:t>
            </w:r>
            <w:r>
              <w:rPr>
                <w:rFonts w:ascii="宋体" w:hAnsi="宋体" w:eastAsia="宋体" w:cs="宋体"/>
                <w:sz w:val="20"/>
                <w:szCs w:val="20"/>
              </w:rPr>
              <w:t xml:space="preserve"> </w:t>
            </w:r>
            <w:r>
              <w:rPr>
                <w:rFonts w:ascii="宋体" w:hAnsi="宋体" w:eastAsia="宋体" w:cs="宋体"/>
                <w:spacing w:val="-16"/>
                <w:sz w:val="20"/>
                <w:szCs w:val="20"/>
              </w:rPr>
              <w:t>备</w:t>
            </w:r>
            <w:r>
              <w:rPr>
                <w:rFonts w:ascii="宋体" w:hAnsi="宋体" w:eastAsia="宋体" w:cs="宋体"/>
                <w:spacing w:val="-13"/>
                <w:sz w:val="20"/>
                <w:szCs w:val="20"/>
              </w:rPr>
              <w:t xml:space="preserve"> 处 理 后 排 入 三 级 沉 淀 池</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×4.5</w:t>
            </w:r>
            <w:r>
              <w:rPr>
                <w:rFonts w:ascii="Times New Roman" w:hAnsi="Times New Roman" w:eastAsia="Times New Roman" w:cs="Times New Roman"/>
                <w:sz w:val="20"/>
                <w:szCs w:val="20"/>
              </w:rPr>
              <w:t>m</w:t>
            </w:r>
            <w:r>
              <w:rPr>
                <w:rFonts w:ascii="宋体" w:hAnsi="宋体" w:eastAsia="宋体" w:cs="宋体"/>
                <w:spacing w:val="4"/>
                <w:sz w:val="20"/>
                <w:szCs w:val="20"/>
              </w:rPr>
              <w:t>) 沉淀处理，随</w:t>
            </w:r>
            <w:r>
              <w:rPr>
                <w:rFonts w:ascii="宋体" w:hAnsi="宋体" w:eastAsia="宋体" w:cs="宋体"/>
                <w:sz w:val="20"/>
                <w:szCs w:val="20"/>
              </w:rPr>
              <w:t xml:space="preserve"> </w:t>
            </w:r>
            <w:r>
              <w:rPr>
                <w:rFonts w:ascii="宋体" w:hAnsi="宋体" w:eastAsia="宋体" w:cs="宋体"/>
                <w:spacing w:val="9"/>
                <w:sz w:val="20"/>
                <w:szCs w:val="20"/>
              </w:rPr>
              <w:t>后循环使用；固废均按要求进</w:t>
            </w:r>
            <w:r>
              <w:rPr>
                <w:rFonts w:ascii="宋体" w:hAnsi="宋体" w:eastAsia="宋体" w:cs="宋体"/>
                <w:spacing w:val="7"/>
                <w:sz w:val="20"/>
                <w:szCs w:val="20"/>
              </w:rPr>
              <w:t>行</w:t>
            </w:r>
            <w:r>
              <w:rPr>
                <w:rFonts w:ascii="宋体" w:hAnsi="宋体" w:eastAsia="宋体" w:cs="宋体"/>
                <w:sz w:val="20"/>
                <w:szCs w:val="20"/>
              </w:rPr>
              <w:t xml:space="preserve"> </w:t>
            </w:r>
            <w:r>
              <w:rPr>
                <w:rFonts w:ascii="宋体" w:hAnsi="宋体" w:eastAsia="宋体" w:cs="宋体"/>
                <w:spacing w:val="9"/>
                <w:sz w:val="20"/>
                <w:szCs w:val="20"/>
              </w:rPr>
              <w:t>相应处理，不外排环境；企业</w:t>
            </w:r>
            <w:r>
              <w:rPr>
                <w:rFonts w:ascii="宋体" w:hAnsi="宋体" w:eastAsia="宋体" w:cs="宋体"/>
                <w:spacing w:val="7"/>
                <w:sz w:val="20"/>
                <w:szCs w:val="20"/>
              </w:rPr>
              <w:t>配</w:t>
            </w:r>
            <w:r>
              <w:rPr>
                <w:rFonts w:ascii="宋体" w:hAnsi="宋体" w:eastAsia="宋体" w:cs="宋体"/>
                <w:sz w:val="20"/>
                <w:szCs w:val="20"/>
              </w:rPr>
              <w:t xml:space="preserve"> </w:t>
            </w:r>
            <w:r>
              <w:rPr>
                <w:rFonts w:ascii="宋体" w:hAnsi="宋体" w:eastAsia="宋体" w:cs="宋体"/>
                <w:spacing w:val="9"/>
                <w:sz w:val="20"/>
                <w:szCs w:val="20"/>
              </w:rPr>
              <w:t>有</w:t>
            </w:r>
            <w:r>
              <w:rPr>
                <w:rFonts w:ascii="宋体" w:hAnsi="宋体" w:eastAsia="宋体" w:cs="宋体"/>
                <w:spacing w:val="8"/>
                <w:sz w:val="20"/>
                <w:szCs w:val="20"/>
              </w:rPr>
              <w:t>相应的噪声防治措施。</w:t>
            </w:r>
          </w:p>
        </w:tc>
        <w:tc>
          <w:tcPr>
            <w:tcW w:w="679" w:type="dxa"/>
            <w:tcBorders>
              <w:right w:val="nil"/>
            </w:tcBorders>
            <w:vAlign w:val="top"/>
          </w:tcPr>
          <w:p w14:paraId="22F1DAD1">
            <w:pPr>
              <w:spacing w:line="242" w:lineRule="auto"/>
              <w:rPr>
                <w:rFonts w:ascii="Arial"/>
                <w:sz w:val="21"/>
              </w:rPr>
            </w:pPr>
          </w:p>
          <w:p w14:paraId="537DD65A">
            <w:pPr>
              <w:spacing w:line="243" w:lineRule="auto"/>
              <w:rPr>
                <w:rFonts w:ascii="Arial"/>
                <w:sz w:val="21"/>
              </w:rPr>
            </w:pPr>
          </w:p>
          <w:p w14:paraId="2571E757">
            <w:pPr>
              <w:spacing w:line="243" w:lineRule="auto"/>
              <w:rPr>
                <w:rFonts w:ascii="Arial"/>
                <w:sz w:val="21"/>
              </w:rPr>
            </w:pPr>
          </w:p>
          <w:p w14:paraId="23494262">
            <w:pPr>
              <w:spacing w:line="243" w:lineRule="auto"/>
              <w:rPr>
                <w:rFonts w:ascii="Arial"/>
                <w:sz w:val="21"/>
              </w:rPr>
            </w:pPr>
          </w:p>
          <w:p w14:paraId="63014431">
            <w:pPr>
              <w:spacing w:line="243" w:lineRule="auto"/>
              <w:rPr>
                <w:rFonts w:ascii="Arial"/>
                <w:sz w:val="21"/>
              </w:rPr>
            </w:pPr>
          </w:p>
          <w:p w14:paraId="776785D3">
            <w:pPr>
              <w:spacing w:line="243" w:lineRule="auto"/>
              <w:rPr>
                <w:rFonts w:ascii="Arial"/>
                <w:sz w:val="21"/>
              </w:rPr>
            </w:pPr>
          </w:p>
          <w:p w14:paraId="18DF2CEB">
            <w:pPr>
              <w:spacing w:before="65" w:line="228" w:lineRule="auto"/>
              <w:ind w:left="13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0FAC3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4" w:hRule="atLeast"/>
        </w:trPr>
        <w:tc>
          <w:tcPr>
            <w:tcW w:w="552" w:type="dxa"/>
            <w:tcBorders>
              <w:left w:val="nil"/>
            </w:tcBorders>
            <w:vAlign w:val="top"/>
          </w:tcPr>
          <w:p w14:paraId="7305A995">
            <w:pPr>
              <w:spacing w:line="264" w:lineRule="auto"/>
              <w:rPr>
                <w:rFonts w:ascii="Arial"/>
                <w:sz w:val="21"/>
              </w:rPr>
            </w:pPr>
          </w:p>
          <w:p w14:paraId="30586D28">
            <w:pPr>
              <w:spacing w:line="264" w:lineRule="auto"/>
              <w:rPr>
                <w:rFonts w:ascii="Arial"/>
                <w:sz w:val="21"/>
              </w:rPr>
            </w:pPr>
          </w:p>
          <w:p w14:paraId="789157C6">
            <w:pPr>
              <w:spacing w:line="265" w:lineRule="auto"/>
              <w:rPr>
                <w:rFonts w:ascii="Arial"/>
                <w:sz w:val="21"/>
              </w:rPr>
            </w:pPr>
          </w:p>
          <w:p w14:paraId="2CAAA3B8">
            <w:pPr>
              <w:spacing w:line="265" w:lineRule="auto"/>
              <w:rPr>
                <w:rFonts w:ascii="Arial"/>
                <w:sz w:val="21"/>
              </w:rPr>
            </w:pPr>
          </w:p>
          <w:p w14:paraId="36EB068F">
            <w:pPr>
              <w:spacing w:line="265" w:lineRule="auto"/>
              <w:rPr>
                <w:rFonts w:ascii="Arial"/>
                <w:sz w:val="21"/>
              </w:rPr>
            </w:pPr>
          </w:p>
          <w:p w14:paraId="5E55F3E9">
            <w:pPr>
              <w:spacing w:before="65" w:line="228" w:lineRule="auto"/>
              <w:ind w:left="79"/>
              <w:rPr>
                <w:rFonts w:ascii="宋体" w:hAnsi="宋体" w:eastAsia="宋体" w:cs="宋体"/>
                <w:sz w:val="20"/>
                <w:szCs w:val="20"/>
              </w:rPr>
            </w:pPr>
            <w:r>
              <w:rPr>
                <w:rFonts w:ascii="宋体" w:hAnsi="宋体" w:eastAsia="宋体" w:cs="宋体"/>
                <w:spacing w:val="2"/>
                <w:sz w:val="20"/>
                <w:szCs w:val="20"/>
              </w:rPr>
              <w:t>管理</w:t>
            </w:r>
          </w:p>
        </w:tc>
        <w:tc>
          <w:tcPr>
            <w:tcW w:w="4310" w:type="dxa"/>
            <w:vAlign w:val="top"/>
          </w:tcPr>
          <w:p w14:paraId="58ECC13C">
            <w:pPr>
              <w:spacing w:before="34" w:line="244" w:lineRule="auto"/>
              <w:ind w:left="30" w:right="19" w:firstLine="14"/>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、企业应建立、健全环保管理制度，设置环保</w:t>
            </w:r>
            <w:r>
              <w:rPr>
                <w:rFonts w:ascii="宋体" w:hAnsi="宋体" w:eastAsia="宋体" w:cs="宋体"/>
                <w:sz w:val="20"/>
                <w:szCs w:val="20"/>
              </w:rPr>
              <w:t xml:space="preserve"> </w:t>
            </w:r>
            <w:r>
              <w:rPr>
                <w:rFonts w:ascii="宋体" w:hAnsi="宋体" w:eastAsia="宋体" w:cs="宋体"/>
                <w:spacing w:val="24"/>
                <w:sz w:val="20"/>
                <w:szCs w:val="20"/>
              </w:rPr>
              <w:t>部</w:t>
            </w:r>
            <w:r>
              <w:rPr>
                <w:rFonts w:ascii="宋体" w:hAnsi="宋体" w:eastAsia="宋体" w:cs="宋体"/>
                <w:spacing w:val="12"/>
                <w:sz w:val="20"/>
                <w:szCs w:val="20"/>
              </w:rPr>
              <w:t>门或专职人员，负责监督塑料回收与再生利</w:t>
            </w:r>
            <w:r>
              <w:rPr>
                <w:rFonts w:ascii="宋体" w:hAnsi="宋体" w:eastAsia="宋体" w:cs="宋体"/>
                <w:sz w:val="20"/>
                <w:szCs w:val="20"/>
              </w:rPr>
              <w:t xml:space="preserve"> </w:t>
            </w:r>
            <w:r>
              <w:rPr>
                <w:rFonts w:ascii="宋体" w:hAnsi="宋体" w:eastAsia="宋体" w:cs="宋体"/>
                <w:spacing w:val="15"/>
                <w:sz w:val="20"/>
                <w:szCs w:val="20"/>
              </w:rPr>
              <w:t>用</w:t>
            </w:r>
            <w:r>
              <w:rPr>
                <w:rFonts w:ascii="宋体" w:hAnsi="宋体" w:eastAsia="宋体" w:cs="宋体"/>
                <w:spacing w:val="8"/>
                <w:sz w:val="20"/>
                <w:szCs w:val="20"/>
              </w:rPr>
              <w:t>过程中的环境保护和管理工作。</w:t>
            </w:r>
          </w:p>
          <w:p w14:paraId="5AEB1AE3">
            <w:pPr>
              <w:spacing w:before="26" w:line="264" w:lineRule="exact"/>
              <w:ind w:left="24"/>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、企业应对所有工作人员进行环保培训。</w:t>
            </w:r>
          </w:p>
          <w:p w14:paraId="5A473076">
            <w:pPr>
              <w:spacing w:before="8" w:line="239" w:lineRule="auto"/>
              <w:ind w:left="29" w:right="19"/>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宋体" w:hAnsi="宋体" w:eastAsia="宋体" w:cs="宋体"/>
                <w:spacing w:val="9"/>
                <w:sz w:val="20"/>
                <w:szCs w:val="20"/>
              </w:rPr>
              <w:t>、</w:t>
            </w:r>
            <w:r>
              <w:rPr>
                <w:rFonts w:ascii="宋体" w:hAnsi="宋体" w:eastAsia="宋体" w:cs="宋体"/>
                <w:spacing w:val="7"/>
                <w:sz w:val="20"/>
                <w:szCs w:val="20"/>
              </w:rPr>
              <w:t>企业应建立废塑料回收和再生利用情况记录</w:t>
            </w:r>
            <w:r>
              <w:rPr>
                <w:rFonts w:ascii="宋体" w:hAnsi="宋体" w:eastAsia="宋体" w:cs="宋体"/>
                <w:sz w:val="20"/>
                <w:szCs w:val="20"/>
              </w:rPr>
              <w:t xml:space="preserve"> </w:t>
            </w:r>
            <w:r>
              <w:rPr>
                <w:rFonts w:ascii="宋体" w:hAnsi="宋体" w:eastAsia="宋体" w:cs="宋体"/>
                <w:spacing w:val="3"/>
                <w:sz w:val="20"/>
                <w:szCs w:val="20"/>
              </w:rPr>
              <w:t>制度</w:t>
            </w:r>
            <w:r>
              <w:rPr>
                <w:rFonts w:ascii="宋体" w:hAnsi="宋体" w:eastAsia="宋体" w:cs="宋体"/>
                <w:spacing w:val="2"/>
                <w:sz w:val="20"/>
                <w:szCs w:val="20"/>
              </w:rPr>
              <w:t>。</w:t>
            </w:r>
          </w:p>
          <w:p w14:paraId="3191787C">
            <w:pPr>
              <w:spacing w:before="26" w:line="264" w:lineRule="exact"/>
              <w:ind w:left="23"/>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4 </w:t>
            </w:r>
            <w:r>
              <w:rPr>
                <w:rFonts w:ascii="宋体" w:hAnsi="宋体" w:eastAsia="宋体" w:cs="宋体"/>
                <w:spacing w:val="5"/>
                <w:position w:val="1"/>
                <w:sz w:val="20"/>
                <w:szCs w:val="20"/>
              </w:rPr>
              <w:t>、</w:t>
            </w:r>
            <w:r>
              <w:rPr>
                <w:rFonts w:ascii="宋体" w:hAnsi="宋体" w:eastAsia="宋体" w:cs="宋体"/>
                <w:spacing w:val="4"/>
                <w:position w:val="1"/>
                <w:sz w:val="20"/>
                <w:szCs w:val="20"/>
              </w:rPr>
              <w:t>企业应建立环保监测制度。</w:t>
            </w:r>
          </w:p>
          <w:p w14:paraId="46840508">
            <w:pPr>
              <w:spacing w:before="8"/>
              <w:ind w:left="31" w:right="19" w:hanging="1"/>
              <w:rPr>
                <w:rFonts w:ascii="宋体" w:hAnsi="宋体" w:eastAsia="宋体" w:cs="宋体"/>
                <w:sz w:val="20"/>
                <w:szCs w:val="20"/>
              </w:rPr>
            </w:pPr>
            <w:r>
              <w:rPr>
                <w:rFonts w:ascii="Times New Roman" w:hAnsi="Times New Roman" w:eastAsia="Times New Roman" w:cs="Times New Roman"/>
                <w:spacing w:val="14"/>
                <w:sz w:val="20"/>
                <w:szCs w:val="20"/>
              </w:rPr>
              <w:t>5</w:t>
            </w:r>
            <w:r>
              <w:rPr>
                <w:rFonts w:ascii="宋体" w:hAnsi="宋体" w:eastAsia="宋体" w:cs="宋体"/>
                <w:spacing w:val="7"/>
                <w:sz w:val="20"/>
                <w:szCs w:val="20"/>
              </w:rPr>
              <w:t>、企业应建立污染预防机制和处理环境污染事</w:t>
            </w:r>
            <w:r>
              <w:rPr>
                <w:rFonts w:ascii="宋体" w:hAnsi="宋体" w:eastAsia="宋体" w:cs="宋体"/>
                <w:sz w:val="20"/>
                <w:szCs w:val="20"/>
              </w:rPr>
              <w:t xml:space="preserve"> </w:t>
            </w:r>
            <w:r>
              <w:rPr>
                <w:rFonts w:ascii="宋体" w:hAnsi="宋体" w:eastAsia="宋体" w:cs="宋体"/>
                <w:spacing w:val="10"/>
                <w:sz w:val="20"/>
                <w:szCs w:val="20"/>
              </w:rPr>
              <w:t>故</w:t>
            </w:r>
            <w:r>
              <w:rPr>
                <w:rFonts w:ascii="宋体" w:hAnsi="宋体" w:eastAsia="宋体" w:cs="宋体"/>
                <w:spacing w:val="6"/>
                <w:sz w:val="20"/>
                <w:szCs w:val="20"/>
              </w:rPr>
              <w:t>的应急预案。</w:t>
            </w:r>
          </w:p>
          <w:p w14:paraId="385F2906">
            <w:pPr>
              <w:spacing w:before="24"/>
              <w:ind w:left="29" w:right="1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、企业应认真执行排污申报登记，按时缴纳</w:t>
            </w:r>
            <w:r>
              <w:rPr>
                <w:rFonts w:ascii="宋体" w:hAnsi="宋体" w:eastAsia="宋体" w:cs="宋体"/>
                <w:sz w:val="20"/>
                <w:szCs w:val="20"/>
              </w:rPr>
              <w:t xml:space="preserve">排 </w:t>
            </w:r>
            <w:r>
              <w:rPr>
                <w:rFonts w:ascii="宋体" w:hAnsi="宋体" w:eastAsia="宋体" w:cs="宋体"/>
                <w:spacing w:val="3"/>
                <w:sz w:val="20"/>
                <w:szCs w:val="20"/>
              </w:rPr>
              <w:t>污</w:t>
            </w:r>
            <w:r>
              <w:rPr>
                <w:rFonts w:ascii="宋体" w:hAnsi="宋体" w:eastAsia="宋体" w:cs="宋体"/>
                <w:spacing w:val="2"/>
                <w:sz w:val="20"/>
                <w:szCs w:val="20"/>
              </w:rPr>
              <w:t>费。</w:t>
            </w:r>
          </w:p>
        </w:tc>
        <w:tc>
          <w:tcPr>
            <w:tcW w:w="2980" w:type="dxa"/>
            <w:vAlign w:val="top"/>
          </w:tcPr>
          <w:p w14:paraId="699323D7">
            <w:pPr>
              <w:spacing w:before="175" w:line="254" w:lineRule="auto"/>
              <w:ind w:left="28" w:right="9" w:firstLine="1"/>
              <w:rPr>
                <w:rFonts w:ascii="宋体" w:hAnsi="宋体" w:eastAsia="宋体" w:cs="宋体"/>
                <w:sz w:val="20"/>
                <w:szCs w:val="20"/>
              </w:rPr>
            </w:pPr>
            <w:r>
              <w:rPr>
                <w:rFonts w:ascii="宋体" w:hAnsi="宋体" w:eastAsia="宋体" w:cs="宋体"/>
                <w:spacing w:val="18"/>
                <w:sz w:val="20"/>
                <w:szCs w:val="20"/>
              </w:rPr>
              <w:t>本</w:t>
            </w:r>
            <w:r>
              <w:rPr>
                <w:rFonts w:ascii="宋体" w:hAnsi="宋体" w:eastAsia="宋体" w:cs="宋体"/>
                <w:spacing w:val="9"/>
                <w:sz w:val="20"/>
                <w:szCs w:val="20"/>
              </w:rPr>
              <w:t>次环评要求企业建立健全环保</w:t>
            </w:r>
            <w:r>
              <w:rPr>
                <w:rFonts w:ascii="宋体" w:hAnsi="宋体" w:eastAsia="宋体" w:cs="宋体"/>
                <w:sz w:val="20"/>
                <w:szCs w:val="20"/>
              </w:rPr>
              <w:t xml:space="preserve"> </w:t>
            </w:r>
            <w:r>
              <w:rPr>
                <w:rFonts w:ascii="宋体" w:hAnsi="宋体" w:eastAsia="宋体" w:cs="宋体"/>
                <w:spacing w:val="-7"/>
                <w:sz w:val="20"/>
                <w:szCs w:val="20"/>
              </w:rPr>
              <w:t>管</w:t>
            </w:r>
            <w:r>
              <w:rPr>
                <w:rFonts w:ascii="宋体" w:hAnsi="宋体" w:eastAsia="宋体" w:cs="宋体"/>
                <w:spacing w:val="-4"/>
                <w:sz w:val="20"/>
                <w:szCs w:val="20"/>
              </w:rPr>
              <w:t>理制度，厂区内设置环保专员负</w:t>
            </w:r>
            <w:r>
              <w:rPr>
                <w:rFonts w:ascii="宋体" w:hAnsi="宋体" w:eastAsia="宋体" w:cs="宋体"/>
                <w:sz w:val="20"/>
                <w:szCs w:val="20"/>
              </w:rPr>
              <w:t xml:space="preserve"> </w:t>
            </w:r>
            <w:r>
              <w:rPr>
                <w:rFonts w:ascii="宋体" w:hAnsi="宋体" w:eastAsia="宋体" w:cs="宋体"/>
                <w:spacing w:val="-7"/>
                <w:sz w:val="20"/>
                <w:szCs w:val="20"/>
              </w:rPr>
              <w:t>责</w:t>
            </w:r>
            <w:r>
              <w:rPr>
                <w:rFonts w:ascii="宋体" w:hAnsi="宋体" w:eastAsia="宋体" w:cs="宋体"/>
                <w:spacing w:val="-4"/>
                <w:sz w:val="20"/>
                <w:szCs w:val="20"/>
              </w:rPr>
              <w:t>厂区生产过程的环保工作；招收</w:t>
            </w:r>
            <w:r>
              <w:rPr>
                <w:rFonts w:ascii="宋体" w:hAnsi="宋体" w:eastAsia="宋体" w:cs="宋体"/>
                <w:sz w:val="20"/>
                <w:szCs w:val="20"/>
              </w:rPr>
              <w:t xml:space="preserve"> </w:t>
            </w:r>
            <w:r>
              <w:rPr>
                <w:rFonts w:ascii="宋体" w:hAnsi="宋体" w:eastAsia="宋体" w:cs="宋体"/>
                <w:spacing w:val="-7"/>
                <w:sz w:val="20"/>
                <w:szCs w:val="20"/>
              </w:rPr>
              <w:t>员</w:t>
            </w:r>
            <w:r>
              <w:rPr>
                <w:rFonts w:ascii="宋体" w:hAnsi="宋体" w:eastAsia="宋体" w:cs="宋体"/>
                <w:spacing w:val="-4"/>
                <w:sz w:val="20"/>
                <w:szCs w:val="20"/>
              </w:rPr>
              <w:t>工后对员工进行环保培训；由环</w:t>
            </w:r>
            <w:r>
              <w:rPr>
                <w:rFonts w:ascii="宋体" w:hAnsi="宋体" w:eastAsia="宋体" w:cs="宋体"/>
                <w:sz w:val="20"/>
                <w:szCs w:val="20"/>
              </w:rPr>
              <w:t xml:space="preserve"> </w:t>
            </w:r>
            <w:r>
              <w:rPr>
                <w:rFonts w:ascii="宋体" w:hAnsi="宋体" w:eastAsia="宋体" w:cs="宋体"/>
                <w:spacing w:val="-7"/>
                <w:sz w:val="20"/>
                <w:szCs w:val="20"/>
              </w:rPr>
              <w:t>保</w:t>
            </w:r>
            <w:r>
              <w:rPr>
                <w:rFonts w:ascii="宋体" w:hAnsi="宋体" w:eastAsia="宋体" w:cs="宋体"/>
                <w:spacing w:val="-4"/>
                <w:sz w:val="20"/>
                <w:szCs w:val="20"/>
              </w:rPr>
              <w:t>专员对生产过程进行记录；定期</w:t>
            </w:r>
            <w:r>
              <w:rPr>
                <w:rFonts w:ascii="宋体" w:hAnsi="宋体" w:eastAsia="宋体" w:cs="宋体"/>
                <w:sz w:val="20"/>
                <w:szCs w:val="20"/>
              </w:rPr>
              <w:t xml:space="preserve"> </w:t>
            </w:r>
            <w:r>
              <w:rPr>
                <w:rFonts w:ascii="宋体" w:hAnsi="宋体" w:eastAsia="宋体" w:cs="宋体"/>
                <w:spacing w:val="-7"/>
                <w:sz w:val="20"/>
                <w:szCs w:val="20"/>
              </w:rPr>
              <w:t>委</w:t>
            </w:r>
            <w:r>
              <w:rPr>
                <w:rFonts w:ascii="宋体" w:hAnsi="宋体" w:eastAsia="宋体" w:cs="宋体"/>
                <w:spacing w:val="-4"/>
                <w:sz w:val="20"/>
                <w:szCs w:val="20"/>
              </w:rPr>
              <w:t>托当地环保部门进行环保监测；</w:t>
            </w:r>
            <w:r>
              <w:rPr>
                <w:rFonts w:ascii="宋体" w:hAnsi="宋体" w:eastAsia="宋体" w:cs="宋体"/>
                <w:sz w:val="20"/>
                <w:szCs w:val="20"/>
              </w:rPr>
              <w:t xml:space="preserve"> </w:t>
            </w:r>
            <w:r>
              <w:rPr>
                <w:rFonts w:ascii="宋体" w:hAnsi="宋体" w:eastAsia="宋体" w:cs="宋体"/>
                <w:spacing w:val="10"/>
                <w:sz w:val="20"/>
                <w:szCs w:val="20"/>
              </w:rPr>
              <w:t>委托相关单位进行编制污染预</w:t>
            </w:r>
            <w:r>
              <w:rPr>
                <w:rFonts w:ascii="宋体" w:hAnsi="宋体" w:eastAsia="宋体" w:cs="宋体"/>
                <w:spacing w:val="7"/>
                <w:sz w:val="20"/>
                <w:szCs w:val="20"/>
              </w:rPr>
              <w:t>防</w:t>
            </w:r>
            <w:r>
              <w:rPr>
                <w:rFonts w:ascii="宋体" w:hAnsi="宋体" w:eastAsia="宋体" w:cs="宋体"/>
                <w:sz w:val="20"/>
                <w:szCs w:val="20"/>
              </w:rPr>
              <w:t xml:space="preserve"> </w:t>
            </w:r>
            <w:r>
              <w:rPr>
                <w:rFonts w:ascii="宋体" w:hAnsi="宋体" w:eastAsia="宋体" w:cs="宋体"/>
                <w:spacing w:val="10"/>
                <w:sz w:val="20"/>
                <w:szCs w:val="20"/>
              </w:rPr>
              <w:t>机制和处理环境污染事故的应</w:t>
            </w:r>
            <w:r>
              <w:rPr>
                <w:rFonts w:ascii="宋体" w:hAnsi="宋体" w:eastAsia="宋体" w:cs="宋体"/>
                <w:spacing w:val="7"/>
                <w:sz w:val="20"/>
                <w:szCs w:val="20"/>
              </w:rPr>
              <w:t>急</w:t>
            </w:r>
            <w:r>
              <w:rPr>
                <w:rFonts w:ascii="宋体" w:hAnsi="宋体" w:eastAsia="宋体" w:cs="宋体"/>
                <w:sz w:val="20"/>
                <w:szCs w:val="20"/>
              </w:rPr>
              <w:t xml:space="preserve"> </w:t>
            </w:r>
            <w:r>
              <w:rPr>
                <w:rFonts w:ascii="宋体" w:hAnsi="宋体" w:eastAsia="宋体" w:cs="宋体"/>
                <w:spacing w:val="-7"/>
                <w:sz w:val="20"/>
                <w:szCs w:val="20"/>
              </w:rPr>
              <w:t>预</w:t>
            </w:r>
            <w:r>
              <w:rPr>
                <w:rFonts w:ascii="宋体" w:hAnsi="宋体" w:eastAsia="宋体" w:cs="宋体"/>
                <w:spacing w:val="-4"/>
                <w:sz w:val="20"/>
                <w:szCs w:val="20"/>
              </w:rPr>
              <w:t>案；按当地环保部门要求进行排</w:t>
            </w:r>
            <w:r>
              <w:rPr>
                <w:rFonts w:ascii="宋体" w:hAnsi="宋体" w:eastAsia="宋体" w:cs="宋体"/>
                <w:sz w:val="20"/>
                <w:szCs w:val="20"/>
              </w:rPr>
              <w:t xml:space="preserve"> </w:t>
            </w:r>
            <w:r>
              <w:rPr>
                <w:rFonts w:ascii="宋体" w:hAnsi="宋体" w:eastAsia="宋体" w:cs="宋体"/>
                <w:spacing w:val="-2"/>
                <w:sz w:val="20"/>
                <w:szCs w:val="20"/>
              </w:rPr>
              <w:t>污申报登记，按时缴</w:t>
            </w:r>
            <w:r>
              <w:rPr>
                <w:rFonts w:ascii="宋体" w:hAnsi="宋体" w:eastAsia="宋体" w:cs="宋体"/>
                <w:spacing w:val="-1"/>
                <w:sz w:val="20"/>
                <w:szCs w:val="20"/>
              </w:rPr>
              <w:t>纳排污费。</w:t>
            </w:r>
          </w:p>
        </w:tc>
        <w:tc>
          <w:tcPr>
            <w:tcW w:w="679" w:type="dxa"/>
            <w:tcBorders>
              <w:right w:val="nil"/>
            </w:tcBorders>
            <w:vAlign w:val="top"/>
          </w:tcPr>
          <w:p w14:paraId="71B414D9">
            <w:pPr>
              <w:spacing w:line="264" w:lineRule="auto"/>
              <w:rPr>
                <w:rFonts w:ascii="Arial"/>
                <w:sz w:val="21"/>
              </w:rPr>
            </w:pPr>
          </w:p>
          <w:p w14:paraId="78F31377">
            <w:pPr>
              <w:spacing w:line="264" w:lineRule="auto"/>
              <w:rPr>
                <w:rFonts w:ascii="Arial"/>
                <w:sz w:val="21"/>
              </w:rPr>
            </w:pPr>
          </w:p>
          <w:p w14:paraId="2380FC3B">
            <w:pPr>
              <w:spacing w:line="265" w:lineRule="auto"/>
              <w:rPr>
                <w:rFonts w:ascii="Arial"/>
                <w:sz w:val="21"/>
              </w:rPr>
            </w:pPr>
          </w:p>
          <w:p w14:paraId="01055ECB">
            <w:pPr>
              <w:spacing w:line="265" w:lineRule="auto"/>
              <w:rPr>
                <w:rFonts w:ascii="Arial"/>
                <w:sz w:val="21"/>
              </w:rPr>
            </w:pPr>
          </w:p>
          <w:p w14:paraId="4390EAD9">
            <w:pPr>
              <w:spacing w:line="265" w:lineRule="auto"/>
              <w:rPr>
                <w:rFonts w:ascii="Arial"/>
                <w:sz w:val="21"/>
              </w:rPr>
            </w:pPr>
          </w:p>
          <w:p w14:paraId="5D99FF38">
            <w:pPr>
              <w:spacing w:before="65" w:line="228" w:lineRule="auto"/>
              <w:ind w:left="13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14:paraId="4FFFBA25">
      <w:pPr>
        <w:spacing w:line="258" w:lineRule="auto"/>
        <w:rPr>
          <w:rFonts w:ascii="Arial"/>
          <w:sz w:val="21"/>
        </w:rPr>
      </w:pPr>
    </w:p>
    <w:p w14:paraId="69C19763">
      <w:pPr>
        <w:spacing w:before="74" w:line="394" w:lineRule="auto"/>
        <w:ind w:left="43" w:right="86" w:firstLine="497"/>
        <w:rPr>
          <w:rFonts w:ascii="宋体" w:hAnsi="宋体" w:eastAsia="宋体" w:cs="宋体"/>
          <w:sz w:val="23"/>
          <w:szCs w:val="23"/>
        </w:rPr>
      </w:pPr>
      <w:r>
        <w:rPr>
          <w:rFonts w:ascii="宋体" w:hAnsi="宋体" w:eastAsia="宋体" w:cs="宋体"/>
          <w:spacing w:val="4"/>
          <w:sz w:val="23"/>
          <w:szCs w:val="23"/>
        </w:rPr>
        <w:t>由</w:t>
      </w:r>
      <w:r>
        <w:rPr>
          <w:rFonts w:ascii="宋体" w:hAnsi="宋体" w:eastAsia="宋体" w:cs="宋体"/>
          <w:spacing w:val="3"/>
          <w:sz w:val="23"/>
          <w:szCs w:val="23"/>
        </w:rPr>
        <w:t>上</w:t>
      </w:r>
      <w:r>
        <w:rPr>
          <w:rFonts w:ascii="宋体" w:hAnsi="宋体" w:eastAsia="宋体" w:cs="宋体"/>
          <w:spacing w:val="2"/>
          <w:sz w:val="23"/>
          <w:szCs w:val="23"/>
        </w:rPr>
        <w:t>表可知，本项目符合《废塑料回收与再生利用污染控制技术规范(试行)》</w:t>
      </w:r>
      <w:r>
        <w:rPr>
          <w:rFonts w:ascii="宋体" w:hAnsi="宋体" w:eastAsia="宋体" w:cs="宋体"/>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2"/>
          <w:sz w:val="23"/>
          <w:szCs w:val="23"/>
        </w:rPr>
        <w:t>/364-2007</w:t>
      </w:r>
      <w:r>
        <w:rPr>
          <w:rFonts w:ascii="宋体" w:hAnsi="宋体" w:eastAsia="宋体" w:cs="宋体"/>
          <w:spacing w:val="12"/>
          <w:sz w:val="23"/>
          <w:szCs w:val="23"/>
        </w:rPr>
        <w:t>) 中的相关要求</w:t>
      </w:r>
      <w:r>
        <w:rPr>
          <w:rFonts w:ascii="宋体" w:hAnsi="宋体" w:eastAsia="宋体" w:cs="宋体"/>
          <w:spacing w:val="9"/>
          <w:sz w:val="23"/>
          <w:szCs w:val="23"/>
        </w:rPr>
        <w:t>。</w:t>
      </w:r>
    </w:p>
    <w:p w14:paraId="3BCBB22B">
      <w:pPr>
        <w:sectPr>
          <w:headerReference r:id="rId20" w:type="default"/>
          <w:footerReference r:id="rId21" w:type="default"/>
          <w:pgSz w:w="11906" w:h="16839"/>
          <w:pgMar w:top="1132" w:right="1606" w:bottom="897" w:left="1777" w:header="878" w:footer="739" w:gutter="0"/>
          <w:cols w:space="720" w:num="1"/>
        </w:sectPr>
      </w:pPr>
    </w:p>
    <w:p w14:paraId="71563D40">
      <w:pPr>
        <w:spacing w:line="357" w:lineRule="auto"/>
        <w:rPr>
          <w:rFonts w:ascii="Arial"/>
          <w:sz w:val="21"/>
        </w:rPr>
      </w:pPr>
      <w:r>
        <w:pict>
          <v:shape id="_x0000_s1037" o:spid="_x0000_s1037" style="position:absolute;left:0pt;margin-left:90pt;margin-top:57.35pt;height:0.75pt;width:415.3pt;mso-position-horizontal-relative:page;mso-position-vertical-relative:page;z-index:251675648;mso-width-relative:page;mso-height-relative:page;" fillcolor="#000000" filled="t" stroked="f" coordsize="8305,15" o:allowincell="f" path="m0,0l8305,0,8305,14,0,14,0,0xe">
            <v:path/>
            <v:fill on="t" focussize="0,0"/>
            <v:stroke on="f"/>
            <v:imagedata o:title=""/>
            <o:lock v:ext="edit"/>
          </v:shape>
        </w:pict>
      </w:r>
    </w:p>
    <w:p w14:paraId="1F045057">
      <w:pPr>
        <w:spacing w:before="91" w:line="222" w:lineRule="auto"/>
        <w:ind w:left="69"/>
        <w:outlineLvl w:val="3"/>
        <w:rPr>
          <w:rFonts w:ascii="宋体" w:hAnsi="宋体" w:eastAsia="宋体" w:cs="宋体"/>
          <w:sz w:val="28"/>
          <w:szCs w:val="28"/>
        </w:rPr>
      </w:pPr>
      <w:r>
        <w:rPr>
          <w:rFonts w:ascii="Times New Roman" w:hAnsi="Times New Roman" w:eastAsia="Times New Roman" w:cs="Times New Roman"/>
          <w:b/>
          <w:bCs/>
          <w:spacing w:val="16"/>
          <w:sz w:val="28"/>
          <w:szCs w:val="28"/>
        </w:rPr>
        <w:t>1</w:t>
      </w:r>
      <w:r>
        <w:rPr>
          <w:rFonts w:ascii="Times New Roman" w:hAnsi="Times New Roman" w:eastAsia="Times New Roman" w:cs="Times New Roman"/>
          <w:b/>
          <w:bCs/>
          <w:spacing w:val="10"/>
          <w:sz w:val="28"/>
          <w:szCs w:val="28"/>
        </w:rPr>
        <w:t>.4.2.3</w:t>
      </w:r>
      <w:r>
        <w:rPr>
          <w:rFonts w:ascii="Times New Roman" w:hAnsi="Times New Roman" w:eastAsia="Times New Roman" w:cs="Times New Roman"/>
          <w:spacing w:val="10"/>
          <w:sz w:val="28"/>
          <w:szCs w:val="28"/>
        </w:rPr>
        <w:t xml:space="preserve"> </w:t>
      </w:r>
      <w:r>
        <w:rPr>
          <w:rFonts w:ascii="宋体" w:hAnsi="宋体" w:eastAsia="宋体" w:cs="宋体"/>
          <w:spacing w:val="10"/>
          <w:sz w:val="28"/>
          <w:szCs w:val="28"/>
          <w14:textOutline w14:w="5103" w14:cap="sq" w14:cmpd="sng">
            <w14:solidFill>
              <w14:srgbClr w14:val="000000"/>
            </w14:solidFill>
            <w14:prstDash w14:val="solid"/>
            <w14:bevel/>
          </w14:textOutline>
        </w:rPr>
        <w:t>与《废塑料加工利用污染防治管理规定》相符性分析</w:t>
      </w:r>
    </w:p>
    <w:p w14:paraId="3F02B038">
      <w:pPr>
        <w:spacing w:line="259" w:lineRule="auto"/>
        <w:rPr>
          <w:rFonts w:ascii="Arial"/>
          <w:sz w:val="21"/>
        </w:rPr>
      </w:pPr>
    </w:p>
    <w:p w14:paraId="4D9AA186">
      <w:pPr>
        <w:spacing w:before="75" w:line="390" w:lineRule="auto"/>
        <w:ind w:left="63" w:right="103" w:firstLine="477"/>
        <w:rPr>
          <w:rFonts w:ascii="宋体" w:hAnsi="宋体" w:eastAsia="宋体" w:cs="宋体"/>
          <w:sz w:val="23"/>
          <w:szCs w:val="23"/>
        </w:rPr>
      </w:pPr>
      <w:r>
        <w:rPr>
          <w:rFonts w:ascii="宋体" w:hAnsi="宋体" w:eastAsia="宋体" w:cs="宋体"/>
          <w:spacing w:val="8"/>
          <w:sz w:val="23"/>
          <w:szCs w:val="23"/>
        </w:rPr>
        <w:t xml:space="preserve">环保部、发改委、商务部 </w:t>
      </w:r>
      <w:r>
        <w:rPr>
          <w:rFonts w:ascii="Times New Roman" w:hAnsi="Times New Roman" w:eastAsia="Times New Roman" w:cs="Times New Roman"/>
          <w:spacing w:val="8"/>
          <w:sz w:val="23"/>
          <w:szCs w:val="23"/>
        </w:rPr>
        <w:t xml:space="preserve">2012 </w:t>
      </w:r>
      <w:r>
        <w:rPr>
          <w:rFonts w:ascii="宋体" w:hAnsi="宋体" w:eastAsia="宋体" w:cs="宋体"/>
          <w:spacing w:val="8"/>
          <w:sz w:val="23"/>
          <w:szCs w:val="23"/>
        </w:rPr>
        <w:t>年联合制定了《废塑料加工利用污染防治</w:t>
      </w:r>
      <w:r>
        <w:rPr>
          <w:rFonts w:ascii="宋体" w:hAnsi="宋体" w:eastAsia="宋体" w:cs="宋体"/>
          <w:spacing w:val="2"/>
          <w:sz w:val="23"/>
          <w:szCs w:val="23"/>
        </w:rPr>
        <w:t>管</w:t>
      </w:r>
      <w:r>
        <w:rPr>
          <w:rFonts w:ascii="宋体" w:hAnsi="宋体" w:eastAsia="宋体" w:cs="宋体"/>
          <w:sz w:val="23"/>
          <w:szCs w:val="23"/>
        </w:rPr>
        <w:t xml:space="preserve"> </w:t>
      </w:r>
      <w:r>
        <w:rPr>
          <w:rFonts w:ascii="宋体" w:hAnsi="宋体" w:eastAsia="宋体" w:cs="宋体"/>
          <w:spacing w:val="2"/>
          <w:sz w:val="23"/>
          <w:szCs w:val="23"/>
        </w:rPr>
        <w:t>理规定》 (</w:t>
      </w:r>
      <w:r>
        <w:rPr>
          <w:rFonts w:ascii="Times New Roman" w:hAnsi="Times New Roman" w:eastAsia="Times New Roman" w:cs="Times New Roman"/>
          <w:spacing w:val="2"/>
          <w:sz w:val="23"/>
          <w:szCs w:val="23"/>
        </w:rPr>
        <w:t xml:space="preserve">2012 </w:t>
      </w:r>
      <w:r>
        <w:rPr>
          <w:rFonts w:ascii="宋体" w:hAnsi="宋体" w:eastAsia="宋体" w:cs="宋体"/>
          <w:spacing w:val="2"/>
          <w:sz w:val="23"/>
          <w:szCs w:val="23"/>
        </w:rPr>
        <w:t xml:space="preserve">年第 </w:t>
      </w:r>
      <w:r>
        <w:rPr>
          <w:rFonts w:ascii="Times New Roman" w:hAnsi="Times New Roman" w:eastAsia="Times New Roman" w:cs="Times New Roman"/>
          <w:spacing w:val="2"/>
          <w:sz w:val="23"/>
          <w:szCs w:val="23"/>
        </w:rPr>
        <w:t xml:space="preserve">55 </w:t>
      </w:r>
      <w:r>
        <w:rPr>
          <w:rFonts w:ascii="宋体" w:hAnsi="宋体" w:eastAsia="宋体" w:cs="宋体"/>
          <w:spacing w:val="2"/>
          <w:sz w:val="23"/>
          <w:szCs w:val="23"/>
        </w:rPr>
        <w:t>号) ，该规定对废旧塑料加工利</w:t>
      </w:r>
      <w:r>
        <w:rPr>
          <w:rFonts w:ascii="宋体" w:hAnsi="宋体" w:eastAsia="宋体" w:cs="宋体"/>
          <w:spacing w:val="1"/>
          <w:sz w:val="23"/>
          <w:szCs w:val="23"/>
        </w:rPr>
        <w:t>用过程进行了相关规定，</w:t>
      </w:r>
      <w:r>
        <w:rPr>
          <w:rFonts w:ascii="宋体" w:hAnsi="宋体" w:eastAsia="宋体" w:cs="宋体"/>
          <w:sz w:val="23"/>
          <w:szCs w:val="23"/>
        </w:rPr>
        <w:t xml:space="preserve"> </w:t>
      </w:r>
      <w:r>
        <w:rPr>
          <w:rFonts w:ascii="宋体" w:hAnsi="宋体" w:eastAsia="宋体" w:cs="宋体"/>
          <w:spacing w:val="13"/>
          <w:sz w:val="23"/>
          <w:szCs w:val="23"/>
        </w:rPr>
        <w:t>该</w:t>
      </w:r>
      <w:r>
        <w:rPr>
          <w:rFonts w:ascii="宋体" w:hAnsi="宋体" w:eastAsia="宋体" w:cs="宋体"/>
          <w:spacing w:val="8"/>
          <w:sz w:val="23"/>
          <w:szCs w:val="23"/>
        </w:rPr>
        <w:t>项目与其符合性分析见下表。</w:t>
      </w:r>
    </w:p>
    <w:p w14:paraId="0B2EEE85">
      <w:pPr>
        <w:spacing w:before="136" w:line="227" w:lineRule="auto"/>
        <w:ind w:left="114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1-3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项目与废塑料加工利用污染防治管理规定符合性</w:t>
      </w:r>
    </w:p>
    <w:p w14:paraId="4A3EF2D1">
      <w:pPr>
        <w:spacing w:line="18"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6"/>
        <w:gridCol w:w="3210"/>
        <w:gridCol w:w="755"/>
      </w:tblGrid>
      <w:tr w14:paraId="4883B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556" w:type="dxa"/>
            <w:tcBorders>
              <w:left w:val="nil"/>
            </w:tcBorders>
            <w:vAlign w:val="top"/>
          </w:tcPr>
          <w:p w14:paraId="726EA382">
            <w:pPr>
              <w:spacing w:before="92" w:line="228" w:lineRule="auto"/>
              <w:ind w:left="187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管</w:t>
            </w:r>
            <w:r>
              <w:rPr>
                <w:rFonts w:ascii="宋体" w:hAnsi="宋体" w:eastAsia="宋体" w:cs="宋体"/>
                <w:spacing w:val="7"/>
                <w:sz w:val="20"/>
                <w:szCs w:val="20"/>
                <w14:textOutline w14:w="3795" w14:cap="sq" w14:cmpd="sng">
                  <w14:solidFill>
                    <w14:srgbClr w14:val="000000"/>
                  </w14:solidFill>
                  <w14:prstDash w14:val="solid"/>
                  <w14:bevel/>
                </w14:textOutline>
              </w:rPr>
              <w:t>理规定</w:t>
            </w:r>
          </w:p>
        </w:tc>
        <w:tc>
          <w:tcPr>
            <w:tcW w:w="3210" w:type="dxa"/>
            <w:vAlign w:val="top"/>
          </w:tcPr>
          <w:p w14:paraId="27354314">
            <w:pPr>
              <w:spacing w:before="92" w:line="227" w:lineRule="auto"/>
              <w:ind w:left="108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本</w:t>
            </w:r>
            <w:r>
              <w:rPr>
                <w:rFonts w:ascii="宋体" w:hAnsi="宋体" w:eastAsia="宋体" w:cs="宋体"/>
                <w:spacing w:val="8"/>
                <w:sz w:val="20"/>
                <w:szCs w:val="20"/>
                <w14:textOutline w14:w="3795" w14:cap="sq" w14:cmpd="sng">
                  <w14:solidFill>
                    <w14:srgbClr w14:val="000000"/>
                  </w14:solidFill>
                  <w14:prstDash w14:val="solid"/>
                  <w14:bevel/>
                </w14:textOutline>
              </w:rPr>
              <w:t>项目情况</w:t>
            </w:r>
          </w:p>
        </w:tc>
        <w:tc>
          <w:tcPr>
            <w:tcW w:w="755" w:type="dxa"/>
            <w:tcBorders>
              <w:right w:val="nil"/>
            </w:tcBorders>
            <w:vAlign w:val="top"/>
          </w:tcPr>
          <w:p w14:paraId="5DFC2B23">
            <w:pPr>
              <w:spacing w:before="92" w:line="228" w:lineRule="auto"/>
              <w:ind w:left="7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符合性</w:t>
            </w:r>
          </w:p>
        </w:tc>
      </w:tr>
      <w:tr w14:paraId="534FD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4556" w:type="dxa"/>
            <w:tcBorders>
              <w:left w:val="nil"/>
            </w:tcBorders>
            <w:vAlign w:val="top"/>
          </w:tcPr>
          <w:p w14:paraId="6CADDF33">
            <w:pPr>
              <w:spacing w:line="311" w:lineRule="auto"/>
              <w:rPr>
                <w:rFonts w:ascii="Arial"/>
                <w:sz w:val="21"/>
              </w:rPr>
            </w:pPr>
          </w:p>
          <w:p w14:paraId="18BB419B">
            <w:pPr>
              <w:spacing w:before="65" w:line="228" w:lineRule="auto"/>
              <w:ind w:left="59"/>
              <w:rPr>
                <w:rFonts w:ascii="宋体" w:hAnsi="宋体" w:eastAsia="宋体" w:cs="宋体"/>
                <w:sz w:val="20"/>
                <w:szCs w:val="20"/>
              </w:rPr>
            </w:pPr>
            <w:r>
              <w:rPr>
                <w:rFonts w:ascii="宋体" w:hAnsi="宋体" w:eastAsia="宋体" w:cs="宋体"/>
                <w:spacing w:val="16"/>
                <w:sz w:val="20"/>
                <w:szCs w:val="20"/>
              </w:rPr>
              <w:t>禁</w:t>
            </w:r>
            <w:r>
              <w:rPr>
                <w:rFonts w:ascii="宋体" w:hAnsi="宋体" w:eastAsia="宋体" w:cs="宋体"/>
                <w:spacing w:val="8"/>
                <w:sz w:val="20"/>
                <w:szCs w:val="20"/>
              </w:rPr>
              <w:t>止在居民区加工利用废塑料。</w:t>
            </w:r>
          </w:p>
        </w:tc>
        <w:tc>
          <w:tcPr>
            <w:tcW w:w="3210" w:type="dxa"/>
            <w:vAlign w:val="top"/>
          </w:tcPr>
          <w:p w14:paraId="466C132C">
            <w:pPr>
              <w:spacing w:before="69" w:line="266" w:lineRule="auto"/>
              <w:ind w:left="55" w:right="49" w:firstLine="3"/>
              <w:rPr>
                <w:rFonts w:ascii="宋体" w:hAnsi="宋体" w:eastAsia="宋体" w:cs="宋体"/>
                <w:sz w:val="20"/>
                <w:szCs w:val="20"/>
              </w:rPr>
            </w:pPr>
            <w:r>
              <w:rPr>
                <w:rFonts w:ascii="宋体" w:hAnsi="宋体" w:eastAsia="宋体" w:cs="宋体"/>
                <w:spacing w:val="21"/>
                <w:sz w:val="20"/>
                <w:szCs w:val="20"/>
              </w:rPr>
              <w:t>项目选址位于本溪市溪湖区火连</w:t>
            </w:r>
            <w:r>
              <w:rPr>
                <w:rFonts w:ascii="宋体" w:hAnsi="宋体" w:eastAsia="宋体" w:cs="宋体"/>
                <w:sz w:val="20"/>
                <w:szCs w:val="20"/>
              </w:rPr>
              <w:t xml:space="preserve"> </w:t>
            </w:r>
            <w:r>
              <w:rPr>
                <w:rFonts w:ascii="宋体" w:hAnsi="宋体" w:eastAsia="宋体" w:cs="宋体"/>
                <w:spacing w:val="12"/>
                <w:sz w:val="20"/>
                <w:szCs w:val="20"/>
              </w:rPr>
              <w:t>寨</w:t>
            </w:r>
            <w:r>
              <w:rPr>
                <w:rFonts w:ascii="宋体" w:hAnsi="宋体" w:eastAsia="宋体" w:cs="宋体"/>
                <w:spacing w:val="10"/>
                <w:sz w:val="20"/>
                <w:szCs w:val="20"/>
              </w:rPr>
              <w:t>镇</w:t>
            </w:r>
            <w:r>
              <w:rPr>
                <w:rFonts w:ascii="宋体" w:hAnsi="宋体" w:eastAsia="宋体" w:cs="宋体"/>
                <w:spacing w:val="6"/>
                <w:sz w:val="20"/>
                <w:szCs w:val="20"/>
              </w:rPr>
              <w:t>火连寨村内，周边均为工业厂</w:t>
            </w:r>
            <w:r>
              <w:rPr>
                <w:rFonts w:ascii="宋体" w:hAnsi="宋体" w:eastAsia="宋体" w:cs="宋体"/>
                <w:sz w:val="20"/>
                <w:szCs w:val="20"/>
              </w:rPr>
              <w:t xml:space="preserve"> </w:t>
            </w:r>
            <w:r>
              <w:rPr>
                <w:rFonts w:ascii="宋体" w:hAnsi="宋体" w:eastAsia="宋体" w:cs="宋体"/>
                <w:spacing w:val="5"/>
                <w:sz w:val="20"/>
                <w:szCs w:val="20"/>
              </w:rPr>
              <w:t xml:space="preserve">房，最近居民点距离项目 </w:t>
            </w:r>
            <w:r>
              <w:rPr>
                <w:rFonts w:ascii="Times New Roman" w:hAnsi="Times New Roman" w:eastAsia="Times New Roman" w:cs="Times New Roman"/>
                <w:spacing w:val="5"/>
                <w:sz w:val="20"/>
                <w:szCs w:val="20"/>
              </w:rPr>
              <w:t>330</w:t>
            </w:r>
            <w:r>
              <w:rPr>
                <w:rFonts w:ascii="Times New Roman" w:hAnsi="Times New Roman" w:eastAsia="Times New Roman" w:cs="Times New Roman"/>
                <w:sz w:val="20"/>
                <w:szCs w:val="20"/>
              </w:rPr>
              <w:t>m</w:t>
            </w:r>
            <w:r>
              <w:rPr>
                <w:rFonts w:ascii="宋体" w:hAnsi="宋体" w:eastAsia="宋体" w:cs="宋体"/>
                <w:spacing w:val="2"/>
                <w:sz w:val="20"/>
                <w:szCs w:val="20"/>
              </w:rPr>
              <w:t>。</w:t>
            </w:r>
          </w:p>
        </w:tc>
        <w:tc>
          <w:tcPr>
            <w:tcW w:w="755" w:type="dxa"/>
            <w:tcBorders>
              <w:right w:val="nil"/>
            </w:tcBorders>
            <w:vAlign w:val="top"/>
          </w:tcPr>
          <w:p w14:paraId="74864555">
            <w:pPr>
              <w:spacing w:line="311" w:lineRule="auto"/>
              <w:rPr>
                <w:rFonts w:ascii="Arial"/>
                <w:sz w:val="21"/>
              </w:rPr>
            </w:pPr>
          </w:p>
          <w:p w14:paraId="4CE26D37">
            <w:pPr>
              <w:spacing w:before="65" w:line="228" w:lineRule="auto"/>
              <w:ind w:left="176"/>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61E1A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556" w:type="dxa"/>
            <w:tcBorders>
              <w:left w:val="nil"/>
            </w:tcBorders>
            <w:vAlign w:val="top"/>
          </w:tcPr>
          <w:p w14:paraId="6DB75600">
            <w:pPr>
              <w:spacing w:before="224" w:line="228" w:lineRule="auto"/>
              <w:ind w:left="59"/>
              <w:rPr>
                <w:rFonts w:ascii="宋体" w:hAnsi="宋体" w:eastAsia="宋体" w:cs="宋体"/>
                <w:sz w:val="20"/>
                <w:szCs w:val="20"/>
              </w:rPr>
            </w:pPr>
            <w:r>
              <w:rPr>
                <w:rFonts w:ascii="宋体" w:hAnsi="宋体" w:eastAsia="宋体" w:cs="宋体"/>
                <w:spacing w:val="16"/>
                <w:sz w:val="20"/>
                <w:szCs w:val="20"/>
              </w:rPr>
              <w:t>禁</w:t>
            </w:r>
            <w:r>
              <w:rPr>
                <w:rFonts w:ascii="宋体" w:hAnsi="宋体" w:eastAsia="宋体" w:cs="宋体"/>
                <w:spacing w:val="12"/>
                <w:sz w:val="20"/>
                <w:szCs w:val="20"/>
              </w:rPr>
              <w:t>止</w:t>
            </w:r>
            <w:r>
              <w:rPr>
                <w:rFonts w:ascii="宋体" w:hAnsi="宋体" w:eastAsia="宋体" w:cs="宋体"/>
                <w:spacing w:val="8"/>
                <w:sz w:val="20"/>
                <w:szCs w:val="20"/>
              </w:rPr>
              <w:t>利用废旧塑料加工食用塑料袋。</w:t>
            </w:r>
          </w:p>
        </w:tc>
        <w:tc>
          <w:tcPr>
            <w:tcW w:w="3210" w:type="dxa"/>
            <w:vAlign w:val="top"/>
          </w:tcPr>
          <w:p w14:paraId="5D1E6B0F">
            <w:pPr>
              <w:spacing w:before="69" w:line="256" w:lineRule="auto"/>
              <w:ind w:left="55" w:right="51" w:firstLine="3"/>
              <w:rPr>
                <w:rFonts w:ascii="宋体" w:hAnsi="宋体" w:eastAsia="宋体" w:cs="宋体"/>
                <w:sz w:val="20"/>
                <w:szCs w:val="20"/>
              </w:rPr>
            </w:pPr>
            <w:r>
              <w:rPr>
                <w:rFonts w:ascii="宋体" w:hAnsi="宋体" w:eastAsia="宋体" w:cs="宋体"/>
                <w:spacing w:val="21"/>
                <w:sz w:val="20"/>
                <w:szCs w:val="20"/>
              </w:rPr>
              <w:t>项目利用废塑料加工塑料再生颗</w:t>
            </w:r>
            <w:r>
              <w:rPr>
                <w:rFonts w:ascii="宋体" w:hAnsi="宋体" w:eastAsia="宋体" w:cs="宋体"/>
                <w:sz w:val="20"/>
                <w:szCs w:val="20"/>
              </w:rPr>
              <w:t xml:space="preserve"> </w:t>
            </w:r>
            <w:r>
              <w:rPr>
                <w:rFonts w:ascii="宋体" w:hAnsi="宋体" w:eastAsia="宋体" w:cs="宋体"/>
                <w:spacing w:val="13"/>
                <w:sz w:val="20"/>
                <w:szCs w:val="20"/>
              </w:rPr>
              <w:t>粒</w:t>
            </w:r>
            <w:r>
              <w:rPr>
                <w:rFonts w:ascii="宋体" w:hAnsi="宋体" w:eastAsia="宋体" w:cs="宋体"/>
                <w:spacing w:val="8"/>
                <w:sz w:val="20"/>
                <w:szCs w:val="20"/>
              </w:rPr>
              <w:t>，不用于加工食品塑料袋。</w:t>
            </w:r>
          </w:p>
        </w:tc>
        <w:tc>
          <w:tcPr>
            <w:tcW w:w="755" w:type="dxa"/>
            <w:tcBorders>
              <w:right w:val="nil"/>
            </w:tcBorders>
            <w:vAlign w:val="top"/>
          </w:tcPr>
          <w:p w14:paraId="088DF8EF">
            <w:pPr>
              <w:spacing w:before="224" w:line="228" w:lineRule="auto"/>
              <w:ind w:left="176"/>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3421F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4556" w:type="dxa"/>
            <w:tcBorders>
              <w:left w:val="nil"/>
            </w:tcBorders>
            <w:vAlign w:val="top"/>
          </w:tcPr>
          <w:p w14:paraId="0F02BA23">
            <w:pPr>
              <w:spacing w:before="69" w:line="266" w:lineRule="auto"/>
              <w:ind w:left="76" w:right="38" w:hanging="17"/>
              <w:rPr>
                <w:rFonts w:ascii="宋体" w:hAnsi="宋体" w:eastAsia="宋体" w:cs="宋体"/>
                <w:sz w:val="20"/>
                <w:szCs w:val="20"/>
              </w:rPr>
            </w:pPr>
            <w:r>
              <w:rPr>
                <w:rFonts w:ascii="宋体" w:hAnsi="宋体" w:eastAsia="宋体" w:cs="宋体"/>
                <w:spacing w:val="4"/>
                <w:sz w:val="20"/>
                <w:szCs w:val="20"/>
              </w:rPr>
              <w:t>禁止无危险</w:t>
            </w:r>
            <w:r>
              <w:rPr>
                <w:rFonts w:ascii="宋体" w:hAnsi="宋体" w:eastAsia="宋体" w:cs="宋体"/>
                <w:spacing w:val="3"/>
                <w:sz w:val="20"/>
                <w:szCs w:val="20"/>
              </w:rPr>
              <w:t>废</w:t>
            </w:r>
            <w:r>
              <w:rPr>
                <w:rFonts w:ascii="宋体" w:hAnsi="宋体" w:eastAsia="宋体" w:cs="宋体"/>
                <w:spacing w:val="2"/>
                <w:sz w:val="20"/>
                <w:szCs w:val="20"/>
              </w:rPr>
              <w:t>物经营许可证从事废塑料类维修废物</w:t>
            </w:r>
            <w:r>
              <w:rPr>
                <w:rFonts w:ascii="宋体" w:hAnsi="宋体" w:eastAsia="宋体" w:cs="宋体"/>
                <w:sz w:val="20"/>
                <w:szCs w:val="20"/>
              </w:rPr>
              <w:t xml:space="preserve"> </w:t>
            </w:r>
            <w:r>
              <w:rPr>
                <w:rFonts w:ascii="宋体" w:hAnsi="宋体" w:eastAsia="宋体" w:cs="宋体"/>
                <w:spacing w:val="2"/>
                <w:sz w:val="20"/>
                <w:szCs w:val="20"/>
              </w:rPr>
              <w:t>的回收利用活动，包括被危险化学品</w:t>
            </w:r>
            <w:r>
              <w:rPr>
                <w:rFonts w:ascii="宋体" w:hAnsi="宋体" w:eastAsia="宋体" w:cs="宋体"/>
                <w:spacing w:val="1"/>
                <w:sz w:val="20"/>
                <w:szCs w:val="20"/>
              </w:rPr>
              <w:t>、农药等污染</w:t>
            </w:r>
            <w:r>
              <w:rPr>
                <w:rFonts w:ascii="宋体" w:hAnsi="宋体" w:eastAsia="宋体" w:cs="宋体"/>
                <w:sz w:val="20"/>
                <w:szCs w:val="20"/>
              </w:rPr>
              <w:t xml:space="preserve"> </w:t>
            </w:r>
            <w:r>
              <w:rPr>
                <w:rFonts w:ascii="宋体" w:hAnsi="宋体" w:eastAsia="宋体" w:cs="宋体"/>
                <w:spacing w:val="-4"/>
                <w:sz w:val="20"/>
                <w:szCs w:val="20"/>
              </w:rPr>
              <w:t>的废弃塑料包</w:t>
            </w:r>
            <w:r>
              <w:rPr>
                <w:rFonts w:ascii="宋体" w:hAnsi="宋体" w:eastAsia="宋体" w:cs="宋体"/>
                <w:spacing w:val="-3"/>
                <w:sz w:val="20"/>
                <w:szCs w:val="20"/>
              </w:rPr>
              <w:t>装</w:t>
            </w:r>
            <w:r>
              <w:rPr>
                <w:rFonts w:ascii="宋体" w:hAnsi="宋体" w:eastAsia="宋体" w:cs="宋体"/>
                <w:spacing w:val="-2"/>
                <w:sz w:val="20"/>
                <w:szCs w:val="20"/>
              </w:rPr>
              <w:t>，废弃的一次性医疗用塑料制品。</w:t>
            </w:r>
          </w:p>
        </w:tc>
        <w:tc>
          <w:tcPr>
            <w:tcW w:w="3210" w:type="dxa"/>
            <w:vAlign w:val="top"/>
          </w:tcPr>
          <w:p w14:paraId="07E8821D">
            <w:pPr>
              <w:spacing w:before="223" w:line="301" w:lineRule="auto"/>
              <w:ind w:left="62" w:right="49" w:hanging="3"/>
              <w:rPr>
                <w:rFonts w:ascii="宋体" w:hAnsi="宋体" w:eastAsia="宋体" w:cs="宋体"/>
                <w:sz w:val="20"/>
                <w:szCs w:val="20"/>
              </w:rPr>
            </w:pPr>
            <w:r>
              <w:rPr>
                <w:rFonts w:ascii="宋体" w:hAnsi="宋体" w:eastAsia="宋体" w:cs="宋体"/>
                <w:spacing w:val="12"/>
                <w:sz w:val="20"/>
                <w:szCs w:val="20"/>
              </w:rPr>
              <w:t>项</w:t>
            </w:r>
            <w:r>
              <w:rPr>
                <w:rFonts w:ascii="宋体" w:hAnsi="宋体" w:eastAsia="宋体" w:cs="宋体"/>
                <w:spacing w:val="6"/>
                <w:sz w:val="20"/>
                <w:szCs w:val="20"/>
              </w:rPr>
              <w:t>目不涉及医疗废物、危险废物回</w:t>
            </w:r>
            <w:r>
              <w:rPr>
                <w:rFonts w:ascii="宋体" w:hAnsi="宋体" w:eastAsia="宋体" w:cs="宋体"/>
                <w:sz w:val="20"/>
                <w:szCs w:val="20"/>
              </w:rPr>
              <w:t xml:space="preserve"> </w:t>
            </w:r>
            <w:r>
              <w:rPr>
                <w:rFonts w:ascii="宋体" w:hAnsi="宋体" w:eastAsia="宋体" w:cs="宋体"/>
                <w:spacing w:val="4"/>
                <w:sz w:val="20"/>
                <w:szCs w:val="20"/>
              </w:rPr>
              <w:t>收</w:t>
            </w:r>
            <w:r>
              <w:rPr>
                <w:rFonts w:ascii="宋体" w:hAnsi="宋体" w:eastAsia="宋体" w:cs="宋体"/>
                <w:spacing w:val="3"/>
                <w:sz w:val="20"/>
                <w:szCs w:val="20"/>
              </w:rPr>
              <w:t>利用。</w:t>
            </w:r>
          </w:p>
        </w:tc>
        <w:tc>
          <w:tcPr>
            <w:tcW w:w="755" w:type="dxa"/>
            <w:tcBorders>
              <w:right w:val="nil"/>
            </w:tcBorders>
            <w:vAlign w:val="top"/>
          </w:tcPr>
          <w:p w14:paraId="4A8737B0">
            <w:pPr>
              <w:spacing w:line="312" w:lineRule="auto"/>
              <w:rPr>
                <w:rFonts w:ascii="Arial"/>
                <w:sz w:val="21"/>
              </w:rPr>
            </w:pPr>
          </w:p>
          <w:p w14:paraId="0B2623F3">
            <w:pPr>
              <w:spacing w:before="65" w:line="228" w:lineRule="auto"/>
              <w:ind w:left="176"/>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3C4AF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4556" w:type="dxa"/>
            <w:tcBorders>
              <w:left w:val="nil"/>
            </w:tcBorders>
            <w:vAlign w:val="top"/>
          </w:tcPr>
          <w:p w14:paraId="1A23473D">
            <w:pPr>
              <w:spacing w:before="227" w:line="294" w:lineRule="auto"/>
              <w:ind w:left="60" w:right="50"/>
              <w:rPr>
                <w:rFonts w:ascii="宋体" w:hAnsi="宋体" w:eastAsia="宋体" w:cs="宋体"/>
                <w:sz w:val="20"/>
                <w:szCs w:val="20"/>
              </w:rPr>
            </w:pPr>
            <w:r>
              <w:rPr>
                <w:rFonts w:ascii="宋体" w:hAnsi="宋体" w:eastAsia="宋体" w:cs="宋体"/>
                <w:spacing w:val="22"/>
                <w:sz w:val="20"/>
                <w:szCs w:val="20"/>
              </w:rPr>
              <w:t>无</w:t>
            </w:r>
            <w:r>
              <w:rPr>
                <w:rFonts w:ascii="宋体" w:hAnsi="宋体" w:eastAsia="宋体" w:cs="宋体"/>
                <w:spacing w:val="11"/>
                <w:sz w:val="20"/>
                <w:szCs w:val="20"/>
              </w:rPr>
              <w:t>符合环保要求污水治理设施的，禁止从事废编</w:t>
            </w:r>
            <w:r>
              <w:rPr>
                <w:rFonts w:ascii="宋体" w:hAnsi="宋体" w:eastAsia="宋体" w:cs="宋体"/>
                <w:sz w:val="20"/>
                <w:szCs w:val="20"/>
              </w:rPr>
              <w:t xml:space="preserve"> </w:t>
            </w:r>
            <w:r>
              <w:rPr>
                <w:rFonts w:ascii="宋体" w:hAnsi="宋体" w:eastAsia="宋体" w:cs="宋体"/>
                <w:spacing w:val="22"/>
                <w:sz w:val="20"/>
                <w:szCs w:val="20"/>
              </w:rPr>
              <w:t>织</w:t>
            </w:r>
            <w:r>
              <w:rPr>
                <w:rFonts w:ascii="宋体" w:hAnsi="宋体" w:eastAsia="宋体" w:cs="宋体"/>
                <w:spacing w:val="11"/>
                <w:sz w:val="20"/>
                <w:szCs w:val="20"/>
              </w:rPr>
              <w:t>袋造粒、缸脚料淘洗、废塑料退涂、盐卤分拣</w:t>
            </w:r>
            <w:r>
              <w:rPr>
                <w:rFonts w:ascii="宋体" w:hAnsi="宋体" w:eastAsia="宋体" w:cs="宋体"/>
                <w:sz w:val="20"/>
                <w:szCs w:val="20"/>
              </w:rPr>
              <w:t xml:space="preserve"> </w:t>
            </w:r>
            <w:r>
              <w:rPr>
                <w:rFonts w:ascii="宋体" w:hAnsi="宋体" w:eastAsia="宋体" w:cs="宋体"/>
                <w:spacing w:val="9"/>
                <w:sz w:val="20"/>
                <w:szCs w:val="20"/>
              </w:rPr>
              <w:t>等</w:t>
            </w:r>
            <w:r>
              <w:rPr>
                <w:rFonts w:ascii="宋体" w:hAnsi="宋体" w:eastAsia="宋体" w:cs="宋体"/>
                <w:spacing w:val="6"/>
                <w:sz w:val="20"/>
                <w:szCs w:val="20"/>
              </w:rPr>
              <w:t>加工活动。</w:t>
            </w:r>
          </w:p>
        </w:tc>
        <w:tc>
          <w:tcPr>
            <w:tcW w:w="3210" w:type="dxa"/>
            <w:vAlign w:val="top"/>
          </w:tcPr>
          <w:p w14:paraId="12203D92">
            <w:pPr>
              <w:tabs>
                <w:tab w:val="left" w:pos="165"/>
              </w:tabs>
              <w:spacing w:before="74" w:line="270" w:lineRule="auto"/>
              <w:ind w:left="55" w:right="37" w:firstLine="3"/>
              <w:rPr>
                <w:rFonts w:ascii="宋体" w:hAnsi="宋体" w:eastAsia="宋体" w:cs="宋体"/>
                <w:sz w:val="20"/>
                <w:szCs w:val="20"/>
              </w:rPr>
            </w:pPr>
            <w:r>
              <w:rPr>
                <w:rFonts w:ascii="宋体" w:hAnsi="宋体" w:eastAsia="宋体" w:cs="宋体"/>
                <w:spacing w:val="21"/>
                <w:sz w:val="20"/>
                <w:szCs w:val="20"/>
              </w:rPr>
              <w:t>项目生产废水经一体化污水预处</w:t>
            </w:r>
            <w:r>
              <w:rPr>
                <w:rFonts w:ascii="宋体" w:hAnsi="宋体" w:eastAsia="宋体" w:cs="宋体"/>
                <w:sz w:val="20"/>
                <w:szCs w:val="20"/>
              </w:rPr>
              <w:t xml:space="preserve"> </w:t>
            </w:r>
            <w:r>
              <w:rPr>
                <w:rFonts w:ascii="宋体" w:hAnsi="宋体" w:eastAsia="宋体" w:cs="宋体"/>
                <w:spacing w:val="-26"/>
                <w:sz w:val="20"/>
                <w:szCs w:val="20"/>
              </w:rPr>
              <w:t>理</w:t>
            </w:r>
            <w:r>
              <w:rPr>
                <w:rFonts w:ascii="宋体" w:hAnsi="宋体" w:eastAsia="宋体" w:cs="宋体"/>
                <w:spacing w:val="-15"/>
                <w:sz w:val="20"/>
                <w:szCs w:val="20"/>
              </w:rPr>
              <w:t xml:space="preserve"> </w:t>
            </w:r>
            <w:r>
              <w:rPr>
                <w:rFonts w:ascii="宋体" w:hAnsi="宋体" w:eastAsia="宋体" w:cs="宋体"/>
                <w:spacing w:val="-13"/>
                <w:sz w:val="20"/>
                <w:szCs w:val="20"/>
              </w:rPr>
              <w:t>设 备 处 理 后 排 入 三级沉淀池</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3"/>
                <w:sz w:val="20"/>
                <w:szCs w:val="20"/>
              </w:rPr>
              <w:t>(</w:t>
            </w:r>
            <w:r>
              <w:rPr>
                <w:rFonts w:ascii="Times New Roman" w:hAnsi="Times New Roman" w:eastAsia="Times New Roman" w:cs="Times New Roman"/>
                <w:spacing w:val="3"/>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×4.5</w:t>
            </w:r>
            <w:r>
              <w:rPr>
                <w:rFonts w:ascii="Times New Roman" w:hAnsi="Times New Roman" w:eastAsia="Times New Roman" w:cs="Times New Roman"/>
                <w:sz w:val="20"/>
                <w:szCs w:val="20"/>
              </w:rPr>
              <w:t>m</w:t>
            </w:r>
            <w:r>
              <w:rPr>
                <w:rFonts w:ascii="宋体" w:hAnsi="宋体" w:eastAsia="宋体" w:cs="宋体"/>
                <w:spacing w:val="3"/>
                <w:sz w:val="20"/>
                <w:szCs w:val="20"/>
              </w:rPr>
              <w:t>) 沉淀处理，随</w:t>
            </w:r>
            <w:r>
              <w:rPr>
                <w:rFonts w:ascii="宋体" w:hAnsi="宋体" w:eastAsia="宋体" w:cs="宋体"/>
                <w:spacing w:val="2"/>
                <w:sz w:val="20"/>
                <w:szCs w:val="20"/>
              </w:rPr>
              <w:t>后</w:t>
            </w:r>
            <w:r>
              <w:rPr>
                <w:rFonts w:ascii="宋体" w:hAnsi="宋体" w:eastAsia="宋体" w:cs="宋体"/>
                <w:sz w:val="20"/>
                <w:szCs w:val="20"/>
              </w:rPr>
              <w:t xml:space="preserve"> </w:t>
            </w:r>
            <w:r>
              <w:rPr>
                <w:rFonts w:ascii="宋体" w:hAnsi="宋体" w:eastAsia="宋体" w:cs="宋体"/>
                <w:spacing w:val="-2"/>
                <w:sz w:val="20"/>
                <w:szCs w:val="20"/>
              </w:rPr>
              <w:t>循环</w:t>
            </w:r>
            <w:r>
              <w:rPr>
                <w:rFonts w:ascii="宋体" w:hAnsi="宋体" w:eastAsia="宋体" w:cs="宋体"/>
                <w:spacing w:val="-1"/>
                <w:sz w:val="20"/>
                <w:szCs w:val="20"/>
              </w:rPr>
              <w:t>使用。</w:t>
            </w:r>
          </w:p>
        </w:tc>
        <w:tc>
          <w:tcPr>
            <w:tcW w:w="755" w:type="dxa"/>
            <w:tcBorders>
              <w:right w:val="nil"/>
            </w:tcBorders>
            <w:vAlign w:val="top"/>
          </w:tcPr>
          <w:p w14:paraId="4742D102">
            <w:pPr>
              <w:spacing w:line="467" w:lineRule="auto"/>
              <w:rPr>
                <w:rFonts w:ascii="Arial"/>
                <w:sz w:val="21"/>
              </w:rPr>
            </w:pPr>
          </w:p>
          <w:p w14:paraId="0431F364">
            <w:pPr>
              <w:spacing w:before="65" w:line="228" w:lineRule="auto"/>
              <w:ind w:left="176"/>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52BB9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556" w:type="dxa"/>
            <w:tcBorders>
              <w:left w:val="nil"/>
            </w:tcBorders>
            <w:vAlign w:val="top"/>
          </w:tcPr>
          <w:p w14:paraId="3C5A9769">
            <w:pPr>
              <w:spacing w:before="71" w:line="255" w:lineRule="auto"/>
              <w:ind w:left="60" w:right="50" w:hanging="1"/>
              <w:rPr>
                <w:rFonts w:ascii="宋体" w:hAnsi="宋体" w:eastAsia="宋体" w:cs="宋体"/>
                <w:sz w:val="20"/>
                <w:szCs w:val="20"/>
              </w:rPr>
            </w:pPr>
            <w:r>
              <w:rPr>
                <w:rFonts w:ascii="宋体" w:hAnsi="宋体" w:eastAsia="宋体" w:cs="宋体"/>
                <w:spacing w:val="22"/>
                <w:sz w:val="20"/>
                <w:szCs w:val="20"/>
              </w:rPr>
              <w:t>禁</w:t>
            </w:r>
            <w:r>
              <w:rPr>
                <w:rFonts w:ascii="宋体" w:hAnsi="宋体" w:eastAsia="宋体" w:cs="宋体"/>
                <w:spacing w:val="12"/>
                <w:sz w:val="20"/>
                <w:szCs w:val="20"/>
              </w:rPr>
              <w:t>止</w:t>
            </w:r>
            <w:r>
              <w:rPr>
                <w:rFonts w:ascii="宋体" w:hAnsi="宋体" w:eastAsia="宋体" w:cs="宋体"/>
                <w:spacing w:val="11"/>
                <w:sz w:val="20"/>
                <w:szCs w:val="20"/>
              </w:rPr>
              <w:t>露天焚烧废塑料及加工利用过程产生的残余</w:t>
            </w:r>
            <w:r>
              <w:rPr>
                <w:rFonts w:ascii="宋体" w:hAnsi="宋体" w:eastAsia="宋体" w:cs="宋体"/>
                <w:sz w:val="20"/>
                <w:szCs w:val="20"/>
              </w:rPr>
              <w:t xml:space="preserve"> </w:t>
            </w:r>
            <w:r>
              <w:rPr>
                <w:rFonts w:ascii="宋体" w:hAnsi="宋体" w:eastAsia="宋体" w:cs="宋体"/>
                <w:spacing w:val="9"/>
                <w:sz w:val="20"/>
                <w:szCs w:val="20"/>
              </w:rPr>
              <w:t>垃</w:t>
            </w:r>
            <w:r>
              <w:rPr>
                <w:rFonts w:ascii="宋体" w:hAnsi="宋体" w:eastAsia="宋体" w:cs="宋体"/>
                <w:spacing w:val="6"/>
                <w:sz w:val="20"/>
                <w:szCs w:val="20"/>
              </w:rPr>
              <w:t>圾、滤网。</w:t>
            </w:r>
          </w:p>
        </w:tc>
        <w:tc>
          <w:tcPr>
            <w:tcW w:w="3210" w:type="dxa"/>
            <w:vAlign w:val="top"/>
          </w:tcPr>
          <w:p w14:paraId="7785A27D">
            <w:pPr>
              <w:spacing w:before="227" w:line="227" w:lineRule="auto"/>
              <w:ind w:left="59"/>
              <w:rPr>
                <w:rFonts w:ascii="宋体" w:hAnsi="宋体" w:eastAsia="宋体" w:cs="宋体"/>
                <w:sz w:val="20"/>
                <w:szCs w:val="20"/>
              </w:rPr>
            </w:pPr>
            <w:r>
              <w:rPr>
                <w:rFonts w:ascii="宋体" w:hAnsi="宋体" w:eastAsia="宋体" w:cs="宋体"/>
                <w:spacing w:val="10"/>
                <w:sz w:val="20"/>
                <w:szCs w:val="20"/>
              </w:rPr>
              <w:t>项</w:t>
            </w:r>
            <w:r>
              <w:rPr>
                <w:rFonts w:ascii="宋体" w:hAnsi="宋体" w:eastAsia="宋体" w:cs="宋体"/>
                <w:spacing w:val="8"/>
                <w:sz w:val="20"/>
                <w:szCs w:val="20"/>
              </w:rPr>
              <w:t>目不对固体废物进行焚烧。</w:t>
            </w:r>
          </w:p>
        </w:tc>
        <w:tc>
          <w:tcPr>
            <w:tcW w:w="755" w:type="dxa"/>
            <w:tcBorders>
              <w:right w:val="nil"/>
            </w:tcBorders>
            <w:vAlign w:val="top"/>
          </w:tcPr>
          <w:p w14:paraId="69F8A275">
            <w:pPr>
              <w:spacing w:before="227" w:line="228" w:lineRule="auto"/>
              <w:ind w:left="176"/>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14:paraId="180DC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4556" w:type="dxa"/>
            <w:tcBorders>
              <w:left w:val="nil"/>
            </w:tcBorders>
            <w:vAlign w:val="top"/>
          </w:tcPr>
          <w:p w14:paraId="5978CF11">
            <w:pPr>
              <w:spacing w:before="74" w:line="266" w:lineRule="auto"/>
              <w:ind w:left="58" w:right="50" w:hanging="1"/>
              <w:rPr>
                <w:rFonts w:ascii="宋体" w:hAnsi="宋体" w:eastAsia="宋体" w:cs="宋体"/>
                <w:sz w:val="20"/>
                <w:szCs w:val="20"/>
              </w:rPr>
            </w:pPr>
            <w:r>
              <w:rPr>
                <w:rFonts w:ascii="宋体" w:hAnsi="宋体" w:eastAsia="宋体" w:cs="宋体"/>
                <w:spacing w:val="22"/>
                <w:sz w:val="20"/>
                <w:szCs w:val="20"/>
              </w:rPr>
              <w:t>进</w:t>
            </w:r>
            <w:r>
              <w:rPr>
                <w:rFonts w:ascii="宋体" w:hAnsi="宋体" w:eastAsia="宋体" w:cs="宋体"/>
                <w:spacing w:val="14"/>
                <w:sz w:val="20"/>
                <w:szCs w:val="20"/>
              </w:rPr>
              <w:t>口</w:t>
            </w:r>
            <w:r>
              <w:rPr>
                <w:rFonts w:ascii="宋体" w:hAnsi="宋体" w:eastAsia="宋体" w:cs="宋体"/>
                <w:spacing w:val="11"/>
                <w:sz w:val="20"/>
                <w:szCs w:val="20"/>
              </w:rPr>
              <w:t>废塑料应符合《固体废物进口管理办法》及</w:t>
            </w:r>
            <w:r>
              <w:rPr>
                <w:rFonts w:ascii="宋体" w:hAnsi="宋体" w:eastAsia="宋体" w:cs="宋体"/>
                <w:sz w:val="20"/>
                <w:szCs w:val="20"/>
              </w:rPr>
              <w:t xml:space="preserve"> </w:t>
            </w:r>
            <w:r>
              <w:rPr>
                <w:rFonts w:ascii="宋体" w:hAnsi="宋体" w:eastAsia="宋体" w:cs="宋体"/>
                <w:spacing w:val="22"/>
                <w:sz w:val="20"/>
                <w:szCs w:val="20"/>
              </w:rPr>
              <w:t>环</w:t>
            </w:r>
            <w:r>
              <w:rPr>
                <w:rFonts w:ascii="宋体" w:hAnsi="宋体" w:eastAsia="宋体" w:cs="宋体"/>
                <w:spacing w:val="12"/>
                <w:sz w:val="20"/>
                <w:szCs w:val="20"/>
              </w:rPr>
              <w:t>境</w:t>
            </w:r>
            <w:r>
              <w:rPr>
                <w:rFonts w:ascii="宋体" w:hAnsi="宋体" w:eastAsia="宋体" w:cs="宋体"/>
                <w:spacing w:val="11"/>
                <w:sz w:val="20"/>
                <w:szCs w:val="20"/>
              </w:rPr>
              <w:t>保护部关于进口可用作原料的固体废物和废</w:t>
            </w:r>
            <w:r>
              <w:rPr>
                <w:rFonts w:ascii="宋体" w:hAnsi="宋体" w:eastAsia="宋体" w:cs="宋体"/>
                <w:sz w:val="20"/>
                <w:szCs w:val="20"/>
              </w:rPr>
              <w:t xml:space="preserve"> </w:t>
            </w:r>
            <w:r>
              <w:rPr>
                <w:rFonts w:ascii="宋体" w:hAnsi="宋体" w:eastAsia="宋体" w:cs="宋体"/>
                <w:spacing w:val="13"/>
                <w:sz w:val="20"/>
                <w:szCs w:val="20"/>
              </w:rPr>
              <w:t>塑</w:t>
            </w:r>
            <w:r>
              <w:rPr>
                <w:rFonts w:ascii="宋体" w:hAnsi="宋体" w:eastAsia="宋体" w:cs="宋体"/>
                <w:spacing w:val="8"/>
                <w:sz w:val="20"/>
                <w:szCs w:val="20"/>
              </w:rPr>
              <w:t>料环境保护管理相关规定。</w:t>
            </w:r>
          </w:p>
        </w:tc>
        <w:tc>
          <w:tcPr>
            <w:tcW w:w="3210" w:type="dxa"/>
            <w:vAlign w:val="top"/>
          </w:tcPr>
          <w:p w14:paraId="755252BD">
            <w:pPr>
              <w:spacing w:line="316" w:lineRule="auto"/>
              <w:rPr>
                <w:rFonts w:ascii="Arial"/>
                <w:sz w:val="21"/>
              </w:rPr>
            </w:pPr>
          </w:p>
          <w:p w14:paraId="4CCEE331">
            <w:pPr>
              <w:spacing w:before="65" w:line="228" w:lineRule="auto"/>
              <w:ind w:left="59"/>
              <w:rPr>
                <w:rFonts w:ascii="宋体" w:hAnsi="宋体" w:eastAsia="宋体" w:cs="宋体"/>
                <w:sz w:val="20"/>
                <w:szCs w:val="20"/>
              </w:rPr>
            </w:pPr>
            <w:r>
              <w:rPr>
                <w:rFonts w:ascii="宋体" w:hAnsi="宋体" w:eastAsia="宋体" w:cs="宋体"/>
                <w:spacing w:val="8"/>
                <w:sz w:val="20"/>
                <w:szCs w:val="20"/>
              </w:rPr>
              <w:t>项目不涉及进口废塑料</w:t>
            </w:r>
            <w:r>
              <w:rPr>
                <w:rFonts w:ascii="宋体" w:hAnsi="宋体" w:eastAsia="宋体" w:cs="宋体"/>
                <w:spacing w:val="6"/>
                <w:sz w:val="20"/>
                <w:szCs w:val="20"/>
              </w:rPr>
              <w:t>。</w:t>
            </w:r>
          </w:p>
        </w:tc>
        <w:tc>
          <w:tcPr>
            <w:tcW w:w="755" w:type="dxa"/>
            <w:tcBorders>
              <w:right w:val="nil"/>
            </w:tcBorders>
            <w:vAlign w:val="top"/>
          </w:tcPr>
          <w:p w14:paraId="40EA08BC">
            <w:pPr>
              <w:spacing w:line="315" w:lineRule="auto"/>
              <w:rPr>
                <w:rFonts w:ascii="Arial"/>
                <w:sz w:val="21"/>
              </w:rPr>
            </w:pPr>
          </w:p>
          <w:p w14:paraId="6AE66F22">
            <w:pPr>
              <w:spacing w:before="65" w:line="228" w:lineRule="auto"/>
              <w:ind w:left="176"/>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14:paraId="136FAC4D">
      <w:pPr>
        <w:spacing w:line="260" w:lineRule="auto"/>
        <w:rPr>
          <w:rFonts w:ascii="Arial"/>
          <w:sz w:val="21"/>
        </w:rPr>
      </w:pPr>
    </w:p>
    <w:p w14:paraId="799472D4">
      <w:pPr>
        <w:spacing w:before="75" w:line="227" w:lineRule="auto"/>
        <w:ind w:left="569"/>
        <w:rPr>
          <w:rFonts w:ascii="宋体" w:hAnsi="宋体" w:eastAsia="宋体" w:cs="宋体"/>
          <w:sz w:val="23"/>
          <w:szCs w:val="23"/>
        </w:rPr>
      </w:pPr>
      <w:r>
        <w:rPr>
          <w:rFonts w:ascii="宋体" w:hAnsi="宋体" w:eastAsia="宋体" w:cs="宋体"/>
          <w:spacing w:val="7"/>
          <w:sz w:val="23"/>
          <w:szCs w:val="23"/>
        </w:rPr>
        <w:t>由上表可知，该项目符合《废塑料加工利用污染防治管理规定》  (</w:t>
      </w:r>
      <w:r>
        <w:rPr>
          <w:rFonts w:ascii="Times New Roman" w:hAnsi="Times New Roman" w:eastAsia="Times New Roman" w:cs="Times New Roman"/>
          <w:spacing w:val="7"/>
          <w:sz w:val="23"/>
          <w:szCs w:val="23"/>
        </w:rPr>
        <w:t xml:space="preserve">2012 </w:t>
      </w:r>
      <w:r>
        <w:rPr>
          <w:rFonts w:ascii="宋体" w:hAnsi="宋体" w:eastAsia="宋体" w:cs="宋体"/>
          <w:spacing w:val="1"/>
          <w:sz w:val="23"/>
          <w:szCs w:val="23"/>
        </w:rPr>
        <w:t>年</w:t>
      </w:r>
    </w:p>
    <w:p w14:paraId="3CBEF250">
      <w:pPr>
        <w:spacing w:before="197" w:line="227" w:lineRule="auto"/>
        <w:ind w:left="60"/>
        <w:rPr>
          <w:rFonts w:ascii="宋体" w:hAnsi="宋体" w:eastAsia="宋体" w:cs="宋体"/>
          <w:sz w:val="23"/>
          <w:szCs w:val="23"/>
        </w:rPr>
      </w:pPr>
      <w:r>
        <w:rPr>
          <w:rFonts w:ascii="宋体" w:hAnsi="宋体" w:eastAsia="宋体" w:cs="宋体"/>
          <w:spacing w:val="2"/>
          <w:sz w:val="23"/>
          <w:szCs w:val="23"/>
        </w:rPr>
        <w:t xml:space="preserve">第 </w:t>
      </w:r>
      <w:r>
        <w:rPr>
          <w:rFonts w:ascii="Times New Roman" w:hAnsi="Times New Roman" w:eastAsia="Times New Roman" w:cs="Times New Roman"/>
          <w:spacing w:val="2"/>
          <w:sz w:val="23"/>
          <w:szCs w:val="23"/>
        </w:rPr>
        <w:t xml:space="preserve">55 </w:t>
      </w:r>
      <w:r>
        <w:rPr>
          <w:rFonts w:ascii="宋体" w:hAnsi="宋体" w:eastAsia="宋体" w:cs="宋体"/>
          <w:spacing w:val="1"/>
          <w:sz w:val="23"/>
          <w:szCs w:val="23"/>
        </w:rPr>
        <w:t>号) 相关要求。</w:t>
      </w:r>
    </w:p>
    <w:p w14:paraId="56DC3DEC">
      <w:pPr>
        <w:spacing w:line="279" w:lineRule="auto"/>
        <w:rPr>
          <w:rFonts w:ascii="Arial"/>
          <w:sz w:val="21"/>
        </w:rPr>
      </w:pPr>
    </w:p>
    <w:p w14:paraId="755E3C8C">
      <w:pPr>
        <w:spacing w:before="75" w:line="387" w:lineRule="auto"/>
        <w:ind w:left="60" w:right="132" w:firstLine="480"/>
        <w:rPr>
          <w:rFonts w:ascii="宋体" w:hAnsi="宋体" w:eastAsia="宋体" w:cs="宋体"/>
          <w:sz w:val="23"/>
          <w:szCs w:val="23"/>
        </w:rPr>
      </w:pPr>
      <w:r>
        <w:rPr>
          <w:rFonts w:ascii="宋体" w:hAnsi="宋体" w:eastAsia="宋体" w:cs="宋体"/>
          <w:spacing w:val="7"/>
          <w:sz w:val="23"/>
          <w:szCs w:val="23"/>
        </w:rPr>
        <w:t>根据环境保护部、发展改革委、工业和信息化部、公安部、商务部、工商</w:t>
      </w:r>
      <w:r>
        <w:rPr>
          <w:rFonts w:ascii="宋体" w:hAnsi="宋体" w:eastAsia="宋体" w:cs="宋体"/>
          <w:spacing w:val="3"/>
          <w:sz w:val="23"/>
          <w:szCs w:val="23"/>
        </w:rPr>
        <w:t>总</w:t>
      </w:r>
      <w:r>
        <w:rPr>
          <w:rFonts w:ascii="宋体" w:hAnsi="宋体" w:eastAsia="宋体" w:cs="宋体"/>
          <w:sz w:val="23"/>
          <w:szCs w:val="23"/>
        </w:rPr>
        <w:t xml:space="preserve"> </w:t>
      </w:r>
      <w:r>
        <w:rPr>
          <w:rFonts w:ascii="宋体" w:hAnsi="宋体" w:eastAsia="宋体" w:cs="宋体"/>
          <w:spacing w:val="9"/>
          <w:sz w:val="23"/>
          <w:szCs w:val="23"/>
        </w:rPr>
        <w:t>局</w:t>
      </w:r>
      <w:r>
        <w:rPr>
          <w:rFonts w:ascii="宋体" w:hAnsi="宋体" w:eastAsia="宋体" w:cs="宋体"/>
          <w:spacing w:val="7"/>
          <w:sz w:val="23"/>
          <w:szCs w:val="23"/>
        </w:rPr>
        <w:t>《关于联合开展电子废物、废轮胎、废塑料、废旧衣服、废家电拆解等再生利</w:t>
      </w:r>
      <w:r>
        <w:rPr>
          <w:rFonts w:ascii="宋体" w:hAnsi="宋体" w:eastAsia="宋体" w:cs="宋体"/>
          <w:sz w:val="23"/>
          <w:szCs w:val="23"/>
        </w:rPr>
        <w:t xml:space="preserve"> </w:t>
      </w:r>
      <w:r>
        <w:rPr>
          <w:rFonts w:ascii="宋体" w:hAnsi="宋体" w:eastAsia="宋体" w:cs="宋体"/>
          <w:spacing w:val="1"/>
          <w:sz w:val="23"/>
          <w:szCs w:val="23"/>
        </w:rPr>
        <w:t>用行业清理整顿的通知》，重点完成以</w:t>
      </w:r>
      <w:r>
        <w:rPr>
          <w:rFonts w:ascii="宋体" w:hAnsi="宋体" w:eastAsia="宋体" w:cs="宋体"/>
          <w:sz w:val="23"/>
          <w:szCs w:val="23"/>
        </w:rPr>
        <w:t xml:space="preserve">下三个方面任务。  ( 一) 依法取缔一批污 </w:t>
      </w:r>
      <w:r>
        <w:rPr>
          <w:rFonts w:ascii="宋体" w:hAnsi="宋体" w:eastAsia="宋体" w:cs="宋体"/>
          <w:spacing w:val="1"/>
          <w:sz w:val="23"/>
          <w:szCs w:val="23"/>
        </w:rPr>
        <w:t>染严重的非法再生利用企业。  (二</w:t>
      </w:r>
      <w:r>
        <w:rPr>
          <w:rFonts w:ascii="宋体" w:hAnsi="宋体" w:eastAsia="宋体" w:cs="宋体"/>
          <w:sz w:val="23"/>
          <w:szCs w:val="23"/>
        </w:rPr>
        <w:t xml:space="preserve">) 重点整治加工利用集散地。  (三) 规范引导 </w:t>
      </w:r>
      <w:r>
        <w:rPr>
          <w:rFonts w:ascii="宋体" w:hAnsi="宋体" w:eastAsia="宋体" w:cs="宋体"/>
          <w:spacing w:val="14"/>
          <w:sz w:val="23"/>
          <w:szCs w:val="23"/>
        </w:rPr>
        <w:t>一批再</w:t>
      </w:r>
      <w:r>
        <w:rPr>
          <w:rFonts w:ascii="宋体" w:hAnsi="宋体" w:eastAsia="宋体" w:cs="宋体"/>
          <w:spacing w:val="9"/>
          <w:sz w:val="23"/>
          <w:szCs w:val="23"/>
        </w:rPr>
        <w:t>生</w:t>
      </w:r>
      <w:r>
        <w:rPr>
          <w:rFonts w:ascii="宋体" w:hAnsi="宋体" w:eastAsia="宋体" w:cs="宋体"/>
          <w:spacing w:val="7"/>
          <w:sz w:val="23"/>
          <w:szCs w:val="23"/>
        </w:rPr>
        <w:t>利用企业健康发展。发挥</w:t>
      </w:r>
      <w:r>
        <w:rPr>
          <w:rFonts w:ascii="Times New Roman" w:hAnsi="Times New Roman" w:eastAsia="Times New Roman" w:cs="Times New Roman"/>
          <w:spacing w:val="7"/>
          <w:sz w:val="23"/>
          <w:szCs w:val="23"/>
        </w:rPr>
        <w:t>“</w:t>
      </w:r>
      <w:r>
        <w:rPr>
          <w:rFonts w:ascii="宋体" w:hAnsi="宋体" w:eastAsia="宋体" w:cs="宋体"/>
          <w:spacing w:val="7"/>
          <w:sz w:val="23"/>
          <w:szCs w:val="23"/>
        </w:rPr>
        <w:t>城市矿产</w:t>
      </w:r>
      <w:r>
        <w:rPr>
          <w:rFonts w:ascii="Times New Roman" w:hAnsi="Times New Roman" w:eastAsia="Times New Roman" w:cs="Times New Roman"/>
          <w:spacing w:val="7"/>
          <w:sz w:val="23"/>
          <w:szCs w:val="23"/>
        </w:rPr>
        <w:t>”</w:t>
      </w:r>
      <w:r>
        <w:rPr>
          <w:rFonts w:ascii="宋体" w:hAnsi="宋体" w:eastAsia="宋体" w:cs="宋体"/>
          <w:spacing w:val="7"/>
          <w:sz w:val="23"/>
          <w:szCs w:val="23"/>
        </w:rPr>
        <w:t>示范基地、再生资源示范工程、循</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经济示范园区的引领作用和回收利用骨干企业的带动作用；完善再生资源回收</w:t>
      </w:r>
      <w:r>
        <w:rPr>
          <w:rFonts w:ascii="宋体" w:hAnsi="宋体" w:eastAsia="宋体" w:cs="宋体"/>
          <w:sz w:val="23"/>
          <w:szCs w:val="23"/>
        </w:rPr>
        <w:t xml:space="preserve"> </w:t>
      </w:r>
      <w:r>
        <w:rPr>
          <w:rFonts w:ascii="宋体" w:hAnsi="宋体" w:eastAsia="宋体" w:cs="宋体"/>
          <w:spacing w:val="9"/>
          <w:sz w:val="23"/>
          <w:szCs w:val="23"/>
        </w:rPr>
        <w:t>利</w:t>
      </w:r>
      <w:r>
        <w:rPr>
          <w:rFonts w:ascii="宋体" w:hAnsi="宋体" w:eastAsia="宋体" w:cs="宋体"/>
          <w:spacing w:val="7"/>
          <w:sz w:val="23"/>
          <w:szCs w:val="23"/>
        </w:rPr>
        <w:t>用基础设施，促进有关企业采用先进适用加工工艺，集聚发展，集中建设和运</w:t>
      </w:r>
      <w:r>
        <w:rPr>
          <w:rFonts w:ascii="宋体" w:hAnsi="宋体" w:eastAsia="宋体" w:cs="宋体"/>
          <w:sz w:val="23"/>
          <w:szCs w:val="23"/>
        </w:rPr>
        <w:t xml:space="preserve"> </w:t>
      </w:r>
      <w:r>
        <w:rPr>
          <w:rFonts w:ascii="宋体" w:hAnsi="宋体" w:eastAsia="宋体" w:cs="宋体"/>
          <w:spacing w:val="8"/>
          <w:sz w:val="23"/>
          <w:szCs w:val="23"/>
        </w:rPr>
        <w:t>营污染治理设施；推动国内废物再生利用集散地园区化、规模化和清洁化发展</w:t>
      </w:r>
      <w:r>
        <w:rPr>
          <w:rFonts w:ascii="宋体" w:hAnsi="宋体" w:eastAsia="宋体" w:cs="宋体"/>
          <w:spacing w:val="7"/>
          <w:sz w:val="23"/>
          <w:szCs w:val="23"/>
        </w:rPr>
        <w:t>；</w:t>
      </w:r>
    </w:p>
    <w:p w14:paraId="54C53AF4">
      <w:pPr>
        <w:sectPr>
          <w:headerReference r:id="rId22" w:type="default"/>
          <w:footerReference r:id="rId23" w:type="default"/>
          <w:pgSz w:w="11906" w:h="16839"/>
          <w:pgMar w:top="1132" w:right="1635" w:bottom="899" w:left="1749" w:header="878" w:footer="739" w:gutter="0"/>
          <w:cols w:space="720" w:num="1"/>
        </w:sectPr>
      </w:pPr>
    </w:p>
    <w:p w14:paraId="2DBDE204">
      <w:pPr>
        <w:spacing w:line="409" w:lineRule="auto"/>
        <w:rPr>
          <w:rFonts w:ascii="Arial"/>
          <w:sz w:val="21"/>
        </w:rPr>
      </w:pPr>
      <w:r>
        <w:pict>
          <v:shape id="_x0000_s1038" o:spid="_x0000_s1038" style="position:absolute;left:0pt;margin-left:90pt;margin-top:57.35pt;height:0.75pt;width:415.3pt;mso-position-horizontal-relative:page;mso-position-vertical-relative:page;z-index:251676672;mso-width-relative:page;mso-height-relative:page;" fillcolor="#000000" filled="t" stroked="f" coordsize="8305,15" o:allowincell="f" path="m0,0l8305,0,8305,14,0,14,0,0xe">
            <v:path/>
            <v:fill on="t" focussize="0,0"/>
            <v:stroke on="f"/>
            <v:imagedata o:title=""/>
            <o:lock v:ext="edit"/>
          </v:shape>
        </w:pict>
      </w:r>
    </w:p>
    <w:p w14:paraId="00242946">
      <w:pPr>
        <w:spacing w:before="75" w:line="393" w:lineRule="auto"/>
        <w:ind w:left="23" w:right="7" w:firstLine="1"/>
        <w:rPr>
          <w:rFonts w:ascii="宋体" w:hAnsi="宋体" w:eastAsia="宋体" w:cs="宋体"/>
          <w:sz w:val="23"/>
          <w:szCs w:val="23"/>
        </w:rPr>
      </w:pPr>
      <w:r>
        <w:rPr>
          <w:rFonts w:ascii="宋体" w:hAnsi="宋体" w:eastAsia="宋体" w:cs="宋体"/>
          <w:spacing w:val="7"/>
          <w:sz w:val="23"/>
          <w:szCs w:val="23"/>
        </w:rPr>
        <w:t>鼓励合法合规再生利用企业联合、重组，做大做强。该项目为新建再生塑料颗粒</w:t>
      </w:r>
      <w:r>
        <w:rPr>
          <w:rFonts w:ascii="宋体" w:hAnsi="宋体" w:eastAsia="宋体" w:cs="宋体"/>
          <w:sz w:val="23"/>
          <w:szCs w:val="23"/>
        </w:rPr>
        <w:t xml:space="preserve"> </w:t>
      </w:r>
      <w:r>
        <w:rPr>
          <w:rFonts w:ascii="宋体" w:hAnsi="宋体" w:eastAsia="宋体" w:cs="宋体"/>
          <w:spacing w:val="4"/>
          <w:sz w:val="23"/>
          <w:szCs w:val="23"/>
        </w:rPr>
        <w:t>加工项目，厂区所在地为本</w:t>
      </w:r>
      <w:r>
        <w:rPr>
          <w:rFonts w:ascii="宋体" w:hAnsi="宋体" w:eastAsia="宋体" w:cs="宋体"/>
          <w:spacing w:val="3"/>
          <w:sz w:val="23"/>
          <w:szCs w:val="23"/>
        </w:rPr>
        <w:t>溪</w:t>
      </w:r>
      <w:r>
        <w:rPr>
          <w:rFonts w:ascii="宋体" w:hAnsi="宋体" w:eastAsia="宋体" w:cs="宋体"/>
          <w:spacing w:val="2"/>
          <w:sz w:val="23"/>
          <w:szCs w:val="23"/>
        </w:rPr>
        <w:t>市溪湖区火连寨镇火连寨村，不在清理整顿范围内。</w:t>
      </w:r>
    </w:p>
    <w:p w14:paraId="7BE1B296">
      <w:pPr>
        <w:spacing w:before="83" w:line="226" w:lineRule="auto"/>
        <w:ind w:left="33"/>
        <w:outlineLvl w:val="2"/>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7"/>
          <w:sz w:val="29"/>
          <w:szCs w:val="29"/>
        </w:rPr>
        <w:t>4</w:t>
      </w:r>
      <w:r>
        <w:rPr>
          <w:rFonts w:ascii="Times New Roman" w:hAnsi="Times New Roman" w:eastAsia="Times New Roman" w:cs="Times New Roman"/>
          <w:b/>
          <w:bCs/>
          <w:spacing w:val="6"/>
          <w:sz w:val="29"/>
          <w:szCs w:val="29"/>
        </w:rPr>
        <w:t>.3</w:t>
      </w:r>
      <w:r>
        <w:rPr>
          <w:rFonts w:ascii="Times New Roman" w:hAnsi="Times New Roman" w:eastAsia="Times New Roman" w:cs="Times New Roman"/>
          <w:spacing w:val="6"/>
          <w:sz w:val="29"/>
          <w:szCs w:val="29"/>
        </w:rPr>
        <w:t xml:space="preserve"> </w:t>
      </w:r>
      <w:r>
        <w:rPr>
          <w:rFonts w:ascii="Times New Roman" w:hAnsi="Times New Roman" w:eastAsia="Times New Roman" w:cs="Times New Roman"/>
          <w:b/>
          <w:bCs/>
          <w:spacing w:val="6"/>
          <w:sz w:val="29"/>
          <w:szCs w:val="29"/>
        </w:rPr>
        <w:t>“</w:t>
      </w:r>
      <w:r>
        <w:rPr>
          <w:rFonts w:ascii="宋体" w:hAnsi="宋体" w:eastAsia="宋体" w:cs="宋体"/>
          <w:spacing w:val="6"/>
          <w:sz w:val="29"/>
          <w:szCs w:val="29"/>
          <w14:textOutline w14:w="5448" w14:cap="sq" w14:cmpd="sng">
            <w14:solidFill>
              <w14:srgbClr w14:val="000000"/>
            </w14:solidFill>
            <w14:prstDash w14:val="solid"/>
            <w14:bevel/>
          </w14:textOutline>
        </w:rPr>
        <w:t>三线一单</w:t>
      </w:r>
      <w:r>
        <w:rPr>
          <w:rFonts w:ascii="Times New Roman" w:hAnsi="Times New Roman" w:eastAsia="Times New Roman" w:cs="Times New Roman"/>
          <w:b/>
          <w:bCs/>
          <w:spacing w:val="6"/>
          <w:sz w:val="29"/>
          <w:szCs w:val="29"/>
        </w:rPr>
        <w:t>”</w:t>
      </w:r>
      <w:r>
        <w:rPr>
          <w:rFonts w:ascii="宋体" w:hAnsi="宋体" w:eastAsia="宋体" w:cs="宋体"/>
          <w:spacing w:val="6"/>
          <w:sz w:val="29"/>
          <w:szCs w:val="29"/>
          <w14:textOutline w14:w="5448" w14:cap="sq" w14:cmpd="sng">
            <w14:solidFill>
              <w14:srgbClr w14:val="000000"/>
            </w14:solidFill>
            <w14:prstDash w14:val="solid"/>
            <w14:bevel/>
          </w14:textOutline>
        </w:rPr>
        <w:t>的符合性分析</w:t>
      </w:r>
    </w:p>
    <w:p w14:paraId="54B8EE20">
      <w:pPr>
        <w:spacing w:line="254" w:lineRule="auto"/>
        <w:rPr>
          <w:rFonts w:ascii="Arial"/>
          <w:sz w:val="21"/>
        </w:rPr>
      </w:pPr>
    </w:p>
    <w:p w14:paraId="1F761C1A">
      <w:pPr>
        <w:spacing w:before="75" w:line="390" w:lineRule="auto"/>
        <w:ind w:left="23" w:right="52" w:firstLine="49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环境质量底线：环境质量底线是国家和地方设置的大气、水和土壤环</w:t>
      </w:r>
      <w:r>
        <w:rPr>
          <w:rFonts w:ascii="宋体" w:hAnsi="宋体" w:eastAsia="宋体" w:cs="宋体"/>
          <w:sz w:val="23"/>
          <w:szCs w:val="23"/>
        </w:rPr>
        <w:t xml:space="preserve"> </w:t>
      </w:r>
      <w:r>
        <w:rPr>
          <w:rFonts w:ascii="宋体" w:hAnsi="宋体" w:eastAsia="宋体" w:cs="宋体"/>
          <w:spacing w:val="10"/>
          <w:sz w:val="23"/>
          <w:szCs w:val="23"/>
        </w:rPr>
        <w:t>境</w:t>
      </w:r>
      <w:r>
        <w:rPr>
          <w:rFonts w:ascii="宋体" w:hAnsi="宋体" w:eastAsia="宋体" w:cs="宋体"/>
          <w:spacing w:val="8"/>
          <w:sz w:val="23"/>
          <w:szCs w:val="23"/>
        </w:rPr>
        <w:t>质量目标，也是改善环境质量的基准线。项目环评应对照区域环境质量目标，</w:t>
      </w:r>
      <w:r>
        <w:rPr>
          <w:rFonts w:ascii="宋体" w:hAnsi="宋体" w:eastAsia="宋体" w:cs="宋体"/>
          <w:sz w:val="23"/>
          <w:szCs w:val="23"/>
        </w:rPr>
        <w:t xml:space="preserve"> </w:t>
      </w:r>
      <w:r>
        <w:rPr>
          <w:rFonts w:ascii="宋体" w:hAnsi="宋体" w:eastAsia="宋体" w:cs="宋体"/>
          <w:spacing w:val="9"/>
          <w:sz w:val="23"/>
          <w:szCs w:val="23"/>
        </w:rPr>
        <w:t>深</w:t>
      </w:r>
      <w:r>
        <w:rPr>
          <w:rFonts w:ascii="宋体" w:hAnsi="宋体" w:eastAsia="宋体" w:cs="宋体"/>
          <w:spacing w:val="7"/>
          <w:sz w:val="23"/>
          <w:szCs w:val="23"/>
        </w:rPr>
        <w:t>入分析预测项目建设对环境质量的影响，强化污染防治措施和污染物排放控制</w:t>
      </w:r>
      <w:r>
        <w:rPr>
          <w:rFonts w:ascii="宋体" w:hAnsi="宋体" w:eastAsia="宋体" w:cs="宋体"/>
          <w:sz w:val="23"/>
          <w:szCs w:val="23"/>
        </w:rPr>
        <w:t xml:space="preserve"> </w:t>
      </w:r>
      <w:r>
        <w:rPr>
          <w:rFonts w:ascii="宋体" w:hAnsi="宋体" w:eastAsia="宋体" w:cs="宋体"/>
          <w:spacing w:val="4"/>
          <w:sz w:val="23"/>
          <w:szCs w:val="23"/>
        </w:rPr>
        <w:t>要</w:t>
      </w:r>
      <w:r>
        <w:rPr>
          <w:rFonts w:ascii="宋体" w:hAnsi="宋体" w:eastAsia="宋体" w:cs="宋体"/>
          <w:spacing w:val="3"/>
          <w:sz w:val="23"/>
          <w:szCs w:val="23"/>
        </w:rPr>
        <w:t>求。</w:t>
      </w:r>
    </w:p>
    <w:p w14:paraId="1EC17437">
      <w:pPr>
        <w:spacing w:before="136" w:line="388" w:lineRule="auto"/>
        <w:ind w:left="22" w:right="75" w:firstLine="480"/>
        <w:rPr>
          <w:rFonts w:ascii="宋体" w:hAnsi="宋体" w:eastAsia="宋体" w:cs="宋体"/>
          <w:sz w:val="23"/>
          <w:szCs w:val="23"/>
        </w:rPr>
      </w:pPr>
      <w:r>
        <w:rPr>
          <w:rFonts w:ascii="宋体" w:hAnsi="宋体" w:eastAsia="宋体" w:cs="宋体"/>
          <w:spacing w:val="7"/>
          <w:sz w:val="23"/>
          <w:szCs w:val="23"/>
        </w:rPr>
        <w:t>①地表水环境质量底线：根据现场调查，该项目地块原为辽宁公路水泥厂</w:t>
      </w:r>
      <w:r>
        <w:rPr>
          <w:rFonts w:ascii="宋体" w:hAnsi="宋体" w:eastAsia="宋体" w:cs="宋体"/>
          <w:spacing w:val="3"/>
          <w:sz w:val="23"/>
          <w:szCs w:val="23"/>
        </w:rPr>
        <w:t>劳</w:t>
      </w:r>
      <w:r>
        <w:rPr>
          <w:rFonts w:ascii="宋体" w:hAnsi="宋体" w:eastAsia="宋体" w:cs="宋体"/>
          <w:sz w:val="23"/>
          <w:szCs w:val="23"/>
        </w:rPr>
        <w:t xml:space="preserve"> </w:t>
      </w:r>
      <w:r>
        <w:rPr>
          <w:rFonts w:ascii="宋体" w:hAnsi="宋体" w:eastAsia="宋体" w:cs="宋体"/>
          <w:spacing w:val="9"/>
          <w:sz w:val="23"/>
          <w:szCs w:val="23"/>
        </w:rPr>
        <w:t>动</w:t>
      </w:r>
      <w:r>
        <w:rPr>
          <w:rFonts w:ascii="宋体" w:hAnsi="宋体" w:eastAsia="宋体" w:cs="宋体"/>
          <w:spacing w:val="8"/>
          <w:sz w:val="23"/>
          <w:szCs w:val="23"/>
        </w:rPr>
        <w:t xml:space="preserve">服务公司，该地块从 </w:t>
      </w:r>
      <w:r>
        <w:rPr>
          <w:rFonts w:ascii="Times New Roman" w:hAnsi="Times New Roman" w:eastAsia="Times New Roman" w:cs="Times New Roman"/>
          <w:spacing w:val="8"/>
          <w:sz w:val="23"/>
          <w:szCs w:val="23"/>
        </w:rPr>
        <w:t xml:space="preserve">2000 </w:t>
      </w:r>
      <w:r>
        <w:rPr>
          <w:rFonts w:ascii="宋体" w:hAnsi="宋体" w:eastAsia="宋体" w:cs="宋体"/>
          <w:spacing w:val="8"/>
          <w:sz w:val="23"/>
          <w:szCs w:val="23"/>
        </w:rPr>
        <w:t>年闲置至今，无废水外排。本项目为新建再生塑料</w:t>
      </w:r>
      <w:r>
        <w:rPr>
          <w:rFonts w:ascii="宋体" w:hAnsi="宋体" w:eastAsia="宋体" w:cs="宋体"/>
          <w:sz w:val="23"/>
          <w:szCs w:val="23"/>
        </w:rPr>
        <w:t xml:space="preserve"> </w:t>
      </w:r>
      <w:r>
        <w:rPr>
          <w:rFonts w:ascii="宋体" w:hAnsi="宋体" w:eastAsia="宋体" w:cs="宋体"/>
          <w:spacing w:val="26"/>
          <w:sz w:val="23"/>
          <w:szCs w:val="23"/>
        </w:rPr>
        <w:t>颗</w:t>
      </w:r>
      <w:r>
        <w:rPr>
          <w:rFonts w:ascii="宋体" w:hAnsi="宋体" w:eastAsia="宋体" w:cs="宋体"/>
          <w:spacing w:val="24"/>
          <w:sz w:val="23"/>
          <w:szCs w:val="23"/>
        </w:rPr>
        <w:t>粒</w:t>
      </w:r>
      <w:r>
        <w:rPr>
          <w:rFonts w:ascii="宋体" w:hAnsi="宋体" w:eastAsia="宋体" w:cs="宋体"/>
          <w:spacing w:val="13"/>
          <w:sz w:val="23"/>
          <w:szCs w:val="23"/>
        </w:rPr>
        <w:t>加工项目，排水主要包括生活污水以及生产废水。该项目在厂区东南侧设</w:t>
      </w:r>
      <w:r>
        <w:rPr>
          <w:rFonts w:ascii="宋体" w:hAnsi="宋体" w:eastAsia="宋体" w:cs="宋体"/>
          <w:sz w:val="23"/>
          <w:szCs w:val="23"/>
        </w:rPr>
        <w:t xml:space="preserve"> </w:t>
      </w:r>
      <w:r>
        <w:rPr>
          <w:rFonts w:ascii="宋体" w:hAnsi="宋体" w:eastAsia="宋体" w:cs="宋体"/>
          <w:spacing w:val="20"/>
          <w:sz w:val="23"/>
          <w:szCs w:val="23"/>
        </w:rPr>
        <w:t>有旱</w:t>
      </w:r>
      <w:r>
        <w:rPr>
          <w:rFonts w:ascii="宋体" w:hAnsi="宋体" w:eastAsia="宋体" w:cs="宋体"/>
          <w:spacing w:val="12"/>
          <w:sz w:val="23"/>
          <w:szCs w:val="23"/>
        </w:rPr>
        <w:t>厕</w:t>
      </w:r>
      <w:r>
        <w:rPr>
          <w:rFonts w:ascii="宋体" w:hAnsi="宋体" w:eastAsia="宋体" w:cs="宋体"/>
          <w:spacing w:val="10"/>
          <w:sz w:val="23"/>
          <w:szCs w:val="23"/>
        </w:rPr>
        <w:t xml:space="preserve">，员工使用防渗旱厕，定期清掏，不外排；项目设有 </w:t>
      </w: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 xml:space="preserve">座容积为 </w:t>
      </w:r>
      <w:r>
        <w:rPr>
          <w:rFonts w:ascii="Times New Roman" w:hAnsi="Times New Roman" w:eastAsia="Times New Roman" w:cs="Times New Roman"/>
          <w:spacing w:val="10"/>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10"/>
          <w:position w:val="8"/>
          <w:sz w:val="15"/>
          <w:szCs w:val="15"/>
        </w:rPr>
        <w:t>3</w:t>
      </w:r>
      <w:r>
        <w:rPr>
          <w:rFonts w:ascii="Times New Roman" w:hAnsi="Times New Roman" w:eastAsia="Times New Roman" w:cs="Times New Roman"/>
          <w:position w:val="8"/>
          <w:sz w:val="15"/>
          <w:szCs w:val="15"/>
        </w:rPr>
        <w:t xml:space="preserve"> </w:t>
      </w:r>
      <w:r>
        <w:rPr>
          <w:rFonts w:ascii="宋体" w:hAnsi="宋体" w:eastAsia="宋体" w:cs="宋体"/>
          <w:spacing w:val="6"/>
          <w:sz w:val="23"/>
          <w:szCs w:val="23"/>
        </w:rPr>
        <w:t xml:space="preserve">的三级沉淀池 </w:t>
      </w:r>
      <w:r>
        <w:rPr>
          <w:rFonts w:ascii="宋体" w:hAnsi="宋体" w:eastAsia="宋体" w:cs="宋体"/>
          <w:spacing w:val="5"/>
          <w:sz w:val="23"/>
          <w:szCs w:val="23"/>
        </w:rPr>
        <w:t>(</w:t>
      </w:r>
      <w:r>
        <w:rPr>
          <w:rFonts w:ascii="Times New Roman" w:hAnsi="Times New Roman" w:eastAsia="Times New Roman" w:cs="Times New Roman"/>
          <w:spacing w:val="3"/>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×4.5</w:t>
      </w:r>
      <w:r>
        <w:rPr>
          <w:rFonts w:ascii="Times New Roman" w:hAnsi="Times New Roman" w:eastAsia="Times New Roman" w:cs="Times New Roman"/>
          <w:sz w:val="23"/>
          <w:szCs w:val="23"/>
        </w:rPr>
        <w:t>m</w:t>
      </w:r>
      <w:r>
        <w:rPr>
          <w:rFonts w:ascii="宋体" w:hAnsi="宋体" w:eastAsia="宋体" w:cs="宋体"/>
          <w:spacing w:val="3"/>
          <w:sz w:val="23"/>
          <w:szCs w:val="23"/>
        </w:rPr>
        <w:t xml:space="preserve">) ，同时配套设有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台一体化污水预处理设备，均</w:t>
      </w:r>
      <w:r>
        <w:rPr>
          <w:rFonts w:ascii="宋体" w:hAnsi="宋体" w:eastAsia="宋体" w:cs="宋体"/>
          <w:sz w:val="23"/>
          <w:szCs w:val="23"/>
        </w:rPr>
        <w:t xml:space="preserve"> </w:t>
      </w:r>
      <w:r>
        <w:rPr>
          <w:rFonts w:ascii="宋体" w:hAnsi="宋体" w:eastAsia="宋体" w:cs="宋体"/>
          <w:spacing w:val="14"/>
          <w:sz w:val="23"/>
          <w:szCs w:val="23"/>
        </w:rPr>
        <w:t>位于</w:t>
      </w:r>
      <w:r>
        <w:rPr>
          <w:rFonts w:ascii="宋体" w:hAnsi="宋体" w:eastAsia="宋体" w:cs="宋体"/>
          <w:spacing w:val="7"/>
          <w:sz w:val="23"/>
          <w:szCs w:val="23"/>
        </w:rPr>
        <w:t>生产厂房西南侧，产生的生产废水经一体化污水预处理设备处理后排入三级</w:t>
      </w:r>
      <w:r>
        <w:rPr>
          <w:rFonts w:ascii="宋体" w:hAnsi="宋体" w:eastAsia="宋体" w:cs="宋体"/>
          <w:sz w:val="23"/>
          <w:szCs w:val="23"/>
        </w:rPr>
        <w:t xml:space="preserve"> </w:t>
      </w:r>
      <w:r>
        <w:rPr>
          <w:rFonts w:ascii="宋体" w:hAnsi="宋体" w:eastAsia="宋体" w:cs="宋体"/>
          <w:spacing w:val="8"/>
          <w:sz w:val="23"/>
          <w:szCs w:val="23"/>
        </w:rPr>
        <w:t>沉淀池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×4.5</w:t>
      </w:r>
      <w:r>
        <w:rPr>
          <w:rFonts w:ascii="Times New Roman" w:hAnsi="Times New Roman" w:eastAsia="Times New Roman" w:cs="Times New Roman"/>
          <w:sz w:val="23"/>
          <w:szCs w:val="23"/>
        </w:rPr>
        <w:t>m</w:t>
      </w:r>
      <w:r>
        <w:rPr>
          <w:rFonts w:ascii="宋体" w:hAnsi="宋体" w:eastAsia="宋体" w:cs="宋体"/>
          <w:spacing w:val="4"/>
          <w:sz w:val="23"/>
          <w:szCs w:val="23"/>
        </w:rPr>
        <w:t>) 沉淀处理，随后循环使用。污水处理设施废水每月更换</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次，更换过程产</w:t>
      </w:r>
      <w:r>
        <w:rPr>
          <w:rFonts w:ascii="宋体" w:hAnsi="宋体" w:eastAsia="宋体" w:cs="宋体"/>
          <w:spacing w:val="-5"/>
          <w:sz w:val="23"/>
          <w:szCs w:val="23"/>
        </w:rPr>
        <w:t>生</w:t>
      </w:r>
      <w:r>
        <w:rPr>
          <w:rFonts w:ascii="宋体" w:hAnsi="宋体" w:eastAsia="宋体" w:cs="宋体"/>
          <w:spacing w:val="-3"/>
          <w:sz w:val="23"/>
          <w:szCs w:val="23"/>
        </w:rPr>
        <w:t>的废水经吸污车运送至本溪市科态污水处理有限责任公司统一处</w:t>
      </w:r>
      <w:r>
        <w:rPr>
          <w:rFonts w:ascii="宋体" w:hAnsi="宋体" w:eastAsia="宋体" w:cs="宋体"/>
          <w:sz w:val="23"/>
          <w:szCs w:val="23"/>
        </w:rPr>
        <w:t xml:space="preserve"> </w:t>
      </w:r>
      <w:r>
        <w:rPr>
          <w:rFonts w:ascii="宋体" w:hAnsi="宋体" w:eastAsia="宋体" w:cs="宋体"/>
          <w:spacing w:val="11"/>
          <w:sz w:val="23"/>
          <w:szCs w:val="23"/>
        </w:rPr>
        <w:t>理</w:t>
      </w:r>
      <w:r>
        <w:rPr>
          <w:rFonts w:ascii="宋体" w:hAnsi="宋体" w:eastAsia="宋体" w:cs="宋体"/>
          <w:spacing w:val="8"/>
          <w:sz w:val="23"/>
          <w:szCs w:val="23"/>
        </w:rPr>
        <w:t>，对当地地表水环境质量影响不大。</w:t>
      </w:r>
    </w:p>
    <w:p w14:paraId="57C66FE9">
      <w:pPr>
        <w:spacing w:before="124" w:line="225" w:lineRule="auto"/>
        <w:ind w:left="477"/>
        <w:rPr>
          <w:rFonts w:ascii="宋体" w:hAnsi="宋体" w:eastAsia="宋体" w:cs="宋体"/>
          <w:sz w:val="23"/>
          <w:szCs w:val="23"/>
        </w:rPr>
      </w:pPr>
      <w:r>
        <w:rPr>
          <w:rFonts w:ascii="宋体" w:hAnsi="宋体" w:eastAsia="宋体" w:cs="宋体"/>
          <w:spacing w:val="10"/>
          <w:sz w:val="23"/>
          <w:szCs w:val="23"/>
        </w:rPr>
        <w:t>②大气环境</w:t>
      </w:r>
      <w:r>
        <w:rPr>
          <w:rFonts w:ascii="宋体" w:hAnsi="宋体" w:eastAsia="宋体" w:cs="宋体"/>
          <w:spacing w:val="9"/>
          <w:sz w:val="23"/>
          <w:szCs w:val="23"/>
        </w:rPr>
        <w:t>质</w:t>
      </w:r>
      <w:r>
        <w:rPr>
          <w:rFonts w:ascii="宋体" w:hAnsi="宋体" w:eastAsia="宋体" w:cs="宋体"/>
          <w:spacing w:val="5"/>
          <w:sz w:val="23"/>
          <w:szCs w:val="23"/>
        </w:rPr>
        <w:t>量底线：本次优先采用《本溪市环境质量简报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年) 》中</w:t>
      </w:r>
    </w:p>
    <w:p w14:paraId="10F9460B">
      <w:pPr>
        <w:spacing w:before="199" w:line="359" w:lineRule="auto"/>
        <w:ind w:left="22" w:hanging="3"/>
        <w:rPr>
          <w:rFonts w:ascii="宋体" w:hAnsi="宋体" w:eastAsia="宋体" w:cs="宋体"/>
          <w:sz w:val="23"/>
          <w:szCs w:val="23"/>
        </w:rPr>
      </w:pP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 xml:space="preserve">年本溪市环境质量的相关数据进行评价，监测项目为 </w:t>
      </w:r>
      <w:r>
        <w:rPr>
          <w:rFonts w:ascii="Times New Roman" w:hAnsi="Times New Roman" w:eastAsia="Times New Roman" w:cs="Times New Roman"/>
          <w:spacing w:val="-5"/>
          <w:sz w:val="23"/>
          <w:szCs w:val="23"/>
        </w:rPr>
        <w:t>SO</w:t>
      </w:r>
      <w:r>
        <w:rPr>
          <w:rFonts w:ascii="Times New Roman" w:hAnsi="Times New Roman" w:eastAsia="Times New Roman" w:cs="Times New Roman"/>
          <w:spacing w:val="-5"/>
          <w:position w:val="-1"/>
          <w:sz w:val="15"/>
          <w:szCs w:val="15"/>
        </w:rPr>
        <w:t>2</w:t>
      </w:r>
      <w:r>
        <w:rPr>
          <w:rFonts w:ascii="宋体" w:hAnsi="宋体" w:eastAsia="宋体" w:cs="宋体"/>
          <w:spacing w:val="-5"/>
          <w:sz w:val="23"/>
          <w:szCs w:val="23"/>
        </w:rPr>
        <w:t>、</w:t>
      </w:r>
      <w:r>
        <w:rPr>
          <w:rFonts w:ascii="Times New Roman" w:hAnsi="Times New Roman" w:eastAsia="Times New Roman" w:cs="Times New Roman"/>
          <w:spacing w:val="-5"/>
          <w:sz w:val="23"/>
          <w:szCs w:val="23"/>
        </w:rPr>
        <w:t>NO</w:t>
      </w:r>
      <w:r>
        <w:rPr>
          <w:rFonts w:ascii="Times New Roman" w:hAnsi="Times New Roman" w:eastAsia="Times New Roman" w:cs="Times New Roman"/>
          <w:spacing w:val="-5"/>
          <w:position w:val="-1"/>
          <w:sz w:val="15"/>
          <w:szCs w:val="15"/>
        </w:rPr>
        <w:t>2</w:t>
      </w:r>
      <w:r>
        <w:rPr>
          <w:rFonts w:ascii="宋体" w:hAnsi="宋体" w:eastAsia="宋体" w:cs="宋体"/>
          <w:spacing w:val="-5"/>
          <w:sz w:val="23"/>
          <w:szCs w:val="23"/>
        </w:rPr>
        <w:t>、</w:t>
      </w:r>
      <w:r>
        <w:rPr>
          <w:rFonts w:ascii="Times New Roman" w:hAnsi="Times New Roman" w:eastAsia="Times New Roman" w:cs="Times New Roman"/>
          <w:spacing w:val="-5"/>
          <w:sz w:val="23"/>
          <w:szCs w:val="23"/>
        </w:rPr>
        <w:t>PM</w:t>
      </w:r>
      <w:r>
        <w:rPr>
          <w:rFonts w:ascii="Times New Roman" w:hAnsi="Times New Roman" w:eastAsia="Times New Roman" w:cs="Times New Roman"/>
          <w:spacing w:val="-5"/>
          <w:position w:val="-1"/>
          <w:sz w:val="15"/>
          <w:szCs w:val="15"/>
        </w:rPr>
        <w:t>10</w:t>
      </w:r>
      <w:r>
        <w:rPr>
          <w:rFonts w:ascii="宋体" w:hAnsi="宋体" w:eastAsia="宋体" w:cs="宋体"/>
          <w:spacing w:val="-5"/>
          <w:sz w:val="23"/>
          <w:szCs w:val="23"/>
        </w:rPr>
        <w:t>、</w:t>
      </w:r>
      <w:r>
        <w:rPr>
          <w:rFonts w:ascii="Times New Roman" w:hAnsi="Times New Roman" w:eastAsia="Times New Roman" w:cs="Times New Roman"/>
          <w:spacing w:val="-3"/>
          <w:sz w:val="23"/>
          <w:szCs w:val="23"/>
        </w:rPr>
        <w:t>P</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1"/>
          <w:sz w:val="15"/>
          <w:szCs w:val="15"/>
        </w:rPr>
        <w:t>2.5</w:t>
      </w:r>
      <w:r>
        <w:rPr>
          <w:rFonts w:ascii="宋体" w:hAnsi="宋体" w:eastAsia="宋体" w:cs="宋体"/>
          <w:spacing w:val="-5"/>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O</w:t>
      </w:r>
      <w:r>
        <w:rPr>
          <w:rFonts w:ascii="Times New Roman" w:hAnsi="Times New Roman" w:eastAsia="Times New Roman" w:cs="Times New Roman"/>
          <w:spacing w:val="10"/>
          <w:position w:val="-1"/>
          <w:sz w:val="15"/>
          <w:szCs w:val="15"/>
        </w:rPr>
        <w:t xml:space="preserve">3 </w:t>
      </w:r>
      <w:r>
        <w:rPr>
          <w:rFonts w:ascii="宋体" w:hAnsi="宋体" w:eastAsia="宋体" w:cs="宋体"/>
          <w:spacing w:val="10"/>
          <w:sz w:val="23"/>
          <w:szCs w:val="23"/>
        </w:rPr>
        <w:t>。</w:t>
      </w:r>
      <w:r>
        <w:rPr>
          <w:rFonts w:ascii="Times New Roman" w:hAnsi="Times New Roman" w:eastAsia="Times New Roman" w:cs="Times New Roman"/>
          <w:spacing w:val="10"/>
          <w:sz w:val="23"/>
          <w:szCs w:val="23"/>
        </w:rPr>
        <w:t>2</w:t>
      </w:r>
      <w:r>
        <w:rPr>
          <w:rFonts w:ascii="Times New Roman" w:hAnsi="Times New Roman" w:eastAsia="Times New Roman" w:cs="Times New Roman"/>
          <w:spacing w:val="8"/>
          <w:sz w:val="23"/>
          <w:szCs w:val="23"/>
        </w:rPr>
        <w:t>0</w:t>
      </w:r>
      <w:r>
        <w:rPr>
          <w:rFonts w:ascii="Times New Roman" w:hAnsi="Times New Roman" w:eastAsia="Times New Roman" w:cs="Times New Roman"/>
          <w:spacing w:val="5"/>
          <w:sz w:val="23"/>
          <w:szCs w:val="23"/>
        </w:rPr>
        <w:t xml:space="preserve">18 </w:t>
      </w:r>
      <w:r>
        <w:rPr>
          <w:rFonts w:ascii="宋体" w:hAnsi="宋体" w:eastAsia="宋体" w:cs="宋体"/>
          <w:spacing w:val="5"/>
          <w:sz w:val="23"/>
          <w:szCs w:val="23"/>
        </w:rPr>
        <w:t>年本溪市城区环境空气质量达</w:t>
      </w:r>
      <w:r>
        <w:rPr>
          <w:rFonts w:ascii="Times New Roman" w:hAnsi="Times New Roman" w:eastAsia="Times New Roman" w:cs="Times New Roman"/>
          <w:spacing w:val="5"/>
          <w:sz w:val="23"/>
          <w:szCs w:val="23"/>
        </w:rPr>
        <w:t>Ⅱ</w:t>
      </w:r>
      <w:r>
        <w:rPr>
          <w:rFonts w:ascii="宋体" w:hAnsi="宋体" w:eastAsia="宋体" w:cs="宋体"/>
          <w:spacing w:val="5"/>
          <w:sz w:val="23"/>
          <w:szCs w:val="23"/>
        </w:rPr>
        <w:t xml:space="preserve">级 (良) 以上天数为 </w:t>
      </w:r>
      <w:r>
        <w:rPr>
          <w:rFonts w:ascii="Times New Roman" w:hAnsi="Times New Roman" w:eastAsia="Times New Roman" w:cs="Times New Roman"/>
          <w:spacing w:val="5"/>
          <w:sz w:val="23"/>
          <w:szCs w:val="23"/>
        </w:rPr>
        <w:t xml:space="preserve">331 </w:t>
      </w:r>
      <w:r>
        <w:rPr>
          <w:rFonts w:ascii="宋体" w:hAnsi="宋体" w:eastAsia="宋体" w:cs="宋体"/>
          <w:spacing w:val="5"/>
          <w:sz w:val="23"/>
          <w:szCs w:val="23"/>
        </w:rPr>
        <w:t>天，达</w:t>
      </w:r>
      <w:r>
        <w:rPr>
          <w:rFonts w:ascii="宋体" w:hAnsi="宋体" w:eastAsia="宋体" w:cs="宋体"/>
          <w:sz w:val="23"/>
          <w:szCs w:val="23"/>
        </w:rPr>
        <w:t xml:space="preserve"> </w:t>
      </w:r>
      <w:r>
        <w:rPr>
          <w:rFonts w:ascii="宋体" w:hAnsi="宋体" w:eastAsia="宋体" w:cs="宋体"/>
          <w:spacing w:val="1"/>
          <w:sz w:val="23"/>
          <w:szCs w:val="23"/>
        </w:rPr>
        <w:t xml:space="preserve">标率为 </w:t>
      </w:r>
      <w:r>
        <w:rPr>
          <w:rFonts w:ascii="Times New Roman" w:hAnsi="Times New Roman" w:eastAsia="Times New Roman" w:cs="Times New Roman"/>
          <w:spacing w:val="1"/>
          <w:sz w:val="23"/>
          <w:szCs w:val="23"/>
        </w:rPr>
        <w:t xml:space="preserve">90.7% </w:t>
      </w:r>
      <w:r>
        <w:rPr>
          <w:rFonts w:ascii="宋体" w:hAnsi="宋体" w:eastAsia="宋体" w:cs="宋体"/>
          <w:spacing w:val="1"/>
          <w:sz w:val="23"/>
          <w:szCs w:val="23"/>
        </w:rPr>
        <w:t xml:space="preserve">。 自然降尘平均浓度为 </w:t>
      </w:r>
      <w:r>
        <w:rPr>
          <w:rFonts w:ascii="Times New Roman" w:hAnsi="Times New Roman" w:eastAsia="Times New Roman" w:cs="Times New Roman"/>
          <w:spacing w:val="1"/>
          <w:sz w:val="23"/>
          <w:szCs w:val="23"/>
        </w:rPr>
        <w:t xml:space="preserve">10.3 </w:t>
      </w:r>
      <w:r>
        <w:rPr>
          <w:rFonts w:ascii="宋体" w:hAnsi="宋体" w:eastAsia="宋体" w:cs="宋体"/>
          <w:spacing w:val="1"/>
          <w:sz w:val="23"/>
          <w:szCs w:val="23"/>
        </w:rPr>
        <w:t>吨</w:t>
      </w:r>
      <w:r>
        <w:rPr>
          <w:rFonts w:ascii="Times New Roman" w:hAnsi="Times New Roman" w:eastAsia="Times New Roman" w:cs="Times New Roman"/>
          <w:spacing w:val="1"/>
          <w:sz w:val="23"/>
          <w:szCs w:val="23"/>
        </w:rPr>
        <w:t>/</w:t>
      </w:r>
      <w:r>
        <w:rPr>
          <w:rFonts w:ascii="宋体" w:hAnsi="宋体" w:eastAsia="宋体" w:cs="宋体"/>
          <w:spacing w:val="1"/>
          <w:sz w:val="23"/>
          <w:szCs w:val="23"/>
        </w:rPr>
        <w:t>平方公里</w:t>
      </w:r>
      <w:r>
        <w:rPr>
          <w:rFonts w:ascii="Times New Roman" w:hAnsi="Times New Roman" w:eastAsia="Times New Roman" w:cs="Times New Roman"/>
          <w:sz w:val="23"/>
          <w:szCs w:val="23"/>
        </w:rPr>
        <w:t xml:space="preserve">· </w:t>
      </w:r>
      <w:r>
        <w:rPr>
          <w:rFonts w:ascii="宋体" w:hAnsi="宋体" w:eastAsia="宋体" w:cs="宋体"/>
          <w:sz w:val="23"/>
          <w:szCs w:val="23"/>
        </w:rPr>
        <w:t>月，</w:t>
      </w:r>
      <w:r>
        <w:rPr>
          <w:rFonts w:ascii="Times New Roman" w:hAnsi="Times New Roman" w:eastAsia="Times New Roman" w:cs="Times New Roman"/>
          <w:sz w:val="23"/>
          <w:szCs w:val="23"/>
        </w:rPr>
        <w:t xml:space="preserve">6 </w:t>
      </w:r>
      <w:r>
        <w:rPr>
          <w:rFonts w:ascii="宋体" w:hAnsi="宋体" w:eastAsia="宋体" w:cs="宋体"/>
          <w:sz w:val="23"/>
          <w:szCs w:val="23"/>
        </w:rPr>
        <w:t xml:space="preserve">项污染物年均浓度 </w:t>
      </w:r>
      <w:r>
        <w:rPr>
          <w:rFonts w:ascii="宋体" w:hAnsi="宋体" w:eastAsia="宋体" w:cs="宋体"/>
          <w:spacing w:val="6"/>
          <w:sz w:val="23"/>
          <w:szCs w:val="23"/>
        </w:rPr>
        <w:t>全部达标，</w:t>
      </w:r>
      <w:r>
        <w:rPr>
          <w:rFonts w:ascii="Times New Roman" w:hAnsi="Times New Roman" w:eastAsia="Times New Roman" w:cs="Times New Roman"/>
          <w:sz w:val="23"/>
          <w:szCs w:val="23"/>
        </w:rPr>
        <w:t>PM</w:t>
      </w:r>
      <w:r>
        <w:rPr>
          <w:rFonts w:ascii="Times New Roman" w:hAnsi="Times New Roman" w:eastAsia="Times New Roman" w:cs="Times New Roman"/>
          <w:spacing w:val="6"/>
          <w:sz w:val="23"/>
          <w:szCs w:val="23"/>
        </w:rPr>
        <w:t>10</w:t>
      </w:r>
      <w:r>
        <w:rPr>
          <w:rFonts w:ascii="宋体" w:hAnsi="宋体" w:eastAsia="宋体" w:cs="宋体"/>
          <w:spacing w:val="5"/>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3"/>
          <w:sz w:val="23"/>
          <w:szCs w:val="23"/>
        </w:rPr>
        <w:t xml:space="preserve">2.5 </w:t>
      </w:r>
      <w:r>
        <w:rPr>
          <w:rFonts w:ascii="宋体" w:hAnsi="宋体" w:eastAsia="宋体" w:cs="宋体"/>
          <w:spacing w:val="3"/>
          <w:sz w:val="23"/>
          <w:szCs w:val="23"/>
        </w:rPr>
        <w:t xml:space="preserve">年均浓度分别为 </w:t>
      </w:r>
      <w:r>
        <w:rPr>
          <w:rFonts w:ascii="Times New Roman" w:hAnsi="Times New Roman" w:eastAsia="Times New Roman" w:cs="Times New Roman"/>
          <w:spacing w:val="3"/>
          <w:sz w:val="23"/>
          <w:szCs w:val="23"/>
        </w:rPr>
        <w:t xml:space="preserve">65 </w:t>
      </w:r>
      <w:r>
        <w:rPr>
          <w:rFonts w:ascii="宋体" w:hAnsi="宋体" w:eastAsia="宋体" w:cs="宋体"/>
          <w:spacing w:val="3"/>
          <w:sz w:val="23"/>
          <w:szCs w:val="23"/>
        </w:rPr>
        <w:t>微克</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立方米和 </w:t>
      </w:r>
      <w:r>
        <w:rPr>
          <w:rFonts w:ascii="Times New Roman" w:hAnsi="Times New Roman" w:eastAsia="Times New Roman" w:cs="Times New Roman"/>
          <w:spacing w:val="3"/>
          <w:sz w:val="23"/>
          <w:szCs w:val="23"/>
        </w:rPr>
        <w:t xml:space="preserve">34 </w:t>
      </w:r>
      <w:r>
        <w:rPr>
          <w:rFonts w:ascii="宋体" w:hAnsi="宋体" w:eastAsia="宋体" w:cs="宋体"/>
          <w:spacing w:val="3"/>
          <w:sz w:val="23"/>
          <w:szCs w:val="23"/>
        </w:rPr>
        <w:t>微克</w:t>
      </w:r>
      <w:r>
        <w:rPr>
          <w:rFonts w:ascii="Times New Roman" w:hAnsi="Times New Roman" w:eastAsia="Times New Roman" w:cs="Times New Roman"/>
          <w:spacing w:val="3"/>
          <w:sz w:val="23"/>
          <w:szCs w:val="23"/>
        </w:rPr>
        <w:t>/</w:t>
      </w:r>
      <w:r>
        <w:rPr>
          <w:rFonts w:ascii="宋体" w:hAnsi="宋体" w:eastAsia="宋体" w:cs="宋体"/>
          <w:spacing w:val="3"/>
          <w:sz w:val="23"/>
          <w:szCs w:val="23"/>
        </w:rPr>
        <w:t>立方米。统</w:t>
      </w:r>
      <w:r>
        <w:rPr>
          <w:rFonts w:ascii="宋体" w:hAnsi="宋体" w:eastAsia="宋体" w:cs="宋体"/>
          <w:sz w:val="23"/>
          <w:szCs w:val="23"/>
        </w:rPr>
        <w:t xml:space="preserve"> </w:t>
      </w:r>
      <w:r>
        <w:rPr>
          <w:rFonts w:ascii="宋体" w:hAnsi="宋体" w:eastAsia="宋体" w:cs="宋体"/>
          <w:spacing w:val="1"/>
          <w:sz w:val="23"/>
          <w:szCs w:val="23"/>
        </w:rPr>
        <w:t>计结果可知，</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2</w:t>
      </w:r>
      <w:r>
        <w:rPr>
          <w:rFonts w:ascii="宋体" w:hAnsi="宋体" w:eastAsia="宋体" w:cs="宋体"/>
          <w:spacing w:val="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1"/>
          <w:position w:val="-1"/>
          <w:sz w:val="15"/>
          <w:szCs w:val="15"/>
        </w:rPr>
        <w:t xml:space="preserve">2 </w:t>
      </w:r>
      <w:r>
        <w:rPr>
          <w:rFonts w:ascii="宋体" w:hAnsi="宋体" w:eastAsia="宋体" w:cs="宋体"/>
          <w:spacing w:val="1"/>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1"/>
          <w:position w:val="-1"/>
          <w:sz w:val="15"/>
          <w:szCs w:val="15"/>
        </w:rPr>
        <w:t xml:space="preserve">10 </w:t>
      </w:r>
      <w:r>
        <w:rPr>
          <w:rFonts w:ascii="宋体" w:hAnsi="宋体" w:eastAsia="宋体" w:cs="宋体"/>
          <w:spacing w:val="1"/>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1"/>
          <w:position w:val="-1"/>
          <w:sz w:val="15"/>
          <w:szCs w:val="15"/>
        </w:rPr>
        <w:t xml:space="preserve">2.5 </w:t>
      </w:r>
      <w:r>
        <w:rPr>
          <w:rFonts w:ascii="宋体" w:hAnsi="宋体" w:eastAsia="宋体" w:cs="宋体"/>
          <w:spacing w:val="1"/>
          <w:sz w:val="23"/>
          <w:szCs w:val="23"/>
        </w:rPr>
        <w:t>年均值、</w:t>
      </w:r>
      <w:r>
        <w:rPr>
          <w:rFonts w:ascii="Times New Roman" w:hAnsi="Times New Roman" w:eastAsia="Times New Roman" w:cs="Times New Roman"/>
          <w:sz w:val="23"/>
          <w:szCs w:val="23"/>
        </w:rPr>
        <w:t>CO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日均值和 </w:t>
      </w:r>
      <w:r>
        <w:rPr>
          <w:rFonts w:ascii="Times New Roman" w:hAnsi="Times New Roman" w:eastAsia="Times New Roman" w:cs="Times New Roman"/>
          <w:sz w:val="23"/>
          <w:szCs w:val="23"/>
        </w:rPr>
        <w:t>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position w:val="-1"/>
          <w:sz w:val="15"/>
          <w:szCs w:val="15"/>
        </w:rPr>
        <w:t xml:space="preserve">  </w:t>
      </w:r>
      <w:r>
        <w:rPr>
          <w:rFonts w:ascii="宋体" w:hAnsi="宋体" w:eastAsia="宋体" w:cs="宋体"/>
          <w:sz w:val="23"/>
          <w:szCs w:val="23"/>
        </w:rPr>
        <w:t xml:space="preserve">日最大 </w:t>
      </w:r>
      <w:r>
        <w:rPr>
          <w:rFonts w:ascii="Times New Roman" w:hAnsi="Times New Roman" w:eastAsia="Times New Roman" w:cs="Times New Roman"/>
          <w:sz w:val="23"/>
          <w:szCs w:val="23"/>
        </w:rPr>
        <w:t xml:space="preserve">8 </w:t>
      </w:r>
      <w:r>
        <w:rPr>
          <w:rFonts w:ascii="宋体" w:hAnsi="宋体" w:eastAsia="宋体" w:cs="宋体"/>
          <w:sz w:val="23"/>
          <w:szCs w:val="23"/>
        </w:rPr>
        <w:t xml:space="preserve">小时均 </w:t>
      </w:r>
      <w:r>
        <w:rPr>
          <w:rFonts w:ascii="宋体" w:hAnsi="宋体" w:eastAsia="宋体" w:cs="宋体"/>
          <w:spacing w:val="8"/>
          <w:sz w:val="23"/>
          <w:szCs w:val="23"/>
        </w:rPr>
        <w:t>值浓度均符合国家</w:t>
      </w:r>
      <w:r>
        <w:rPr>
          <w:rFonts w:ascii="宋体" w:hAnsi="宋体" w:eastAsia="宋体" w:cs="宋体"/>
          <w:spacing w:val="4"/>
          <w:sz w:val="23"/>
          <w:szCs w:val="23"/>
        </w:rPr>
        <w:t>《环境空气质量标准》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3095-2012</w:t>
      </w:r>
      <w:r>
        <w:rPr>
          <w:rFonts w:ascii="宋体" w:hAnsi="宋体" w:eastAsia="宋体" w:cs="宋体"/>
          <w:spacing w:val="4"/>
          <w:sz w:val="23"/>
          <w:szCs w:val="23"/>
        </w:rPr>
        <w:t>) 修改单中二级浓度限</w:t>
      </w:r>
    </w:p>
    <w:p w14:paraId="427E2E0C">
      <w:pPr>
        <w:spacing w:before="197" w:line="227" w:lineRule="auto"/>
        <w:ind w:left="23"/>
        <w:rPr>
          <w:rFonts w:ascii="宋体" w:hAnsi="宋体" w:eastAsia="宋体" w:cs="宋体"/>
          <w:sz w:val="23"/>
          <w:szCs w:val="23"/>
        </w:rPr>
      </w:pPr>
      <w:r>
        <w:rPr>
          <w:rFonts w:ascii="宋体" w:hAnsi="宋体" w:eastAsia="宋体" w:cs="宋体"/>
          <w:spacing w:val="5"/>
          <w:sz w:val="23"/>
          <w:szCs w:val="23"/>
        </w:rPr>
        <w:t>值要求。</w:t>
      </w:r>
    </w:p>
    <w:p w14:paraId="50A4BB31">
      <w:pPr>
        <w:spacing w:line="278" w:lineRule="auto"/>
        <w:rPr>
          <w:rFonts w:ascii="Arial"/>
          <w:sz w:val="21"/>
        </w:rPr>
      </w:pPr>
    </w:p>
    <w:p w14:paraId="4A83D292">
      <w:pPr>
        <w:spacing w:before="75" w:line="390" w:lineRule="auto"/>
        <w:ind w:left="25" w:right="82" w:firstLine="478"/>
        <w:rPr>
          <w:rFonts w:ascii="宋体" w:hAnsi="宋体" w:eastAsia="宋体" w:cs="宋体"/>
          <w:sz w:val="23"/>
          <w:szCs w:val="23"/>
        </w:rPr>
      </w:pPr>
      <w:r>
        <w:rPr>
          <w:rFonts w:ascii="宋体" w:hAnsi="宋体" w:eastAsia="宋体" w:cs="宋体"/>
          <w:spacing w:val="8"/>
          <w:sz w:val="23"/>
          <w:szCs w:val="23"/>
        </w:rPr>
        <w:t>根据《环境影响</w:t>
      </w:r>
      <w:r>
        <w:rPr>
          <w:rFonts w:ascii="宋体" w:hAnsi="宋体" w:eastAsia="宋体" w:cs="宋体"/>
          <w:spacing w:val="7"/>
          <w:sz w:val="23"/>
          <w:szCs w:val="23"/>
        </w:rPr>
        <w:t>评</w:t>
      </w:r>
      <w:r>
        <w:rPr>
          <w:rFonts w:ascii="宋体" w:hAnsi="宋体" w:eastAsia="宋体" w:cs="宋体"/>
          <w:spacing w:val="4"/>
          <w:sz w:val="23"/>
          <w:szCs w:val="23"/>
        </w:rPr>
        <w:t>价技术导则</w:t>
      </w:r>
      <w:r>
        <w:rPr>
          <w:rFonts w:ascii="Times New Roman" w:hAnsi="Times New Roman" w:eastAsia="Times New Roman" w:cs="Times New Roman"/>
          <w:spacing w:val="4"/>
          <w:sz w:val="23"/>
          <w:szCs w:val="23"/>
        </w:rPr>
        <w:t>—</w:t>
      </w:r>
      <w:r>
        <w:rPr>
          <w:rFonts w:ascii="宋体" w:hAnsi="宋体" w:eastAsia="宋体" w:cs="宋体"/>
          <w:spacing w:val="4"/>
          <w:sz w:val="23"/>
          <w:szCs w:val="23"/>
        </w:rPr>
        <w:t>大气环境》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2.2-2018</w:t>
      </w:r>
      <w:r>
        <w:rPr>
          <w:rFonts w:ascii="宋体" w:hAnsi="宋体" w:eastAsia="宋体" w:cs="宋体"/>
          <w:spacing w:val="4"/>
          <w:sz w:val="23"/>
          <w:szCs w:val="23"/>
        </w:rPr>
        <w:t>) 要求，六项基本</w:t>
      </w:r>
      <w:r>
        <w:rPr>
          <w:rFonts w:ascii="宋体" w:hAnsi="宋体" w:eastAsia="宋体" w:cs="宋体"/>
          <w:sz w:val="23"/>
          <w:szCs w:val="23"/>
        </w:rPr>
        <w:t xml:space="preserve"> </w:t>
      </w:r>
      <w:r>
        <w:rPr>
          <w:rFonts w:ascii="宋体" w:hAnsi="宋体" w:eastAsia="宋体" w:cs="宋体"/>
          <w:spacing w:val="11"/>
          <w:sz w:val="23"/>
          <w:szCs w:val="23"/>
        </w:rPr>
        <w:t>污染物全部达标为区域环境质量达标，从《本溪市环境质量简报 (</w:t>
      </w:r>
      <w:r>
        <w:rPr>
          <w:rFonts w:ascii="Times New Roman" w:hAnsi="Times New Roman" w:eastAsia="Times New Roman" w:cs="Times New Roman"/>
          <w:spacing w:val="11"/>
          <w:sz w:val="23"/>
          <w:szCs w:val="23"/>
        </w:rPr>
        <w:t xml:space="preserve">2018 </w:t>
      </w:r>
      <w:r>
        <w:rPr>
          <w:rFonts w:ascii="宋体" w:hAnsi="宋体" w:eastAsia="宋体" w:cs="宋体"/>
          <w:spacing w:val="11"/>
          <w:sz w:val="23"/>
          <w:szCs w:val="23"/>
        </w:rPr>
        <w:t xml:space="preserve">年)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9"/>
          <w:sz w:val="23"/>
          <w:szCs w:val="23"/>
        </w:rPr>
        <w:t>结论可以看出该项目所在区域为达标区</w:t>
      </w:r>
      <w:r>
        <w:rPr>
          <w:rFonts w:ascii="宋体" w:hAnsi="宋体" w:eastAsia="宋体" w:cs="宋体"/>
          <w:spacing w:val="5"/>
          <w:sz w:val="23"/>
          <w:szCs w:val="23"/>
        </w:rPr>
        <w:t>。</w:t>
      </w:r>
    </w:p>
    <w:p w14:paraId="2417B861">
      <w:pPr>
        <w:sectPr>
          <w:headerReference r:id="rId24" w:type="default"/>
          <w:footerReference r:id="rId25" w:type="default"/>
          <w:pgSz w:w="11906" w:h="16839"/>
          <w:pgMar w:top="1132" w:right="1712" w:bottom="899" w:left="1785" w:header="878" w:footer="739" w:gutter="0"/>
          <w:cols w:space="720" w:num="1"/>
        </w:sectPr>
      </w:pPr>
    </w:p>
    <w:p w14:paraId="168C87D2">
      <w:pPr>
        <w:spacing w:line="405" w:lineRule="auto"/>
        <w:rPr>
          <w:rFonts w:ascii="Arial"/>
          <w:sz w:val="21"/>
        </w:rPr>
      </w:pPr>
      <w:r>
        <w:pict>
          <v:shape id="_x0000_s1039" o:spid="_x0000_s1039" style="position:absolute;left:0pt;margin-left:90pt;margin-top:57.35pt;height:0.75pt;width:415.3pt;mso-position-horizontal-relative:page;mso-position-vertical-relative:page;z-index:251677696;mso-width-relative:page;mso-height-relative:page;" fillcolor="#000000" filled="t" stroked="f" coordsize="8305,15" o:allowincell="f" path="m0,0l8305,0,8305,14,0,14,0,0xe">
            <v:path/>
            <v:fill on="t" focussize="0,0"/>
            <v:stroke on="f"/>
            <v:imagedata o:title=""/>
            <o:lock v:ext="edit"/>
          </v:shape>
        </w:pict>
      </w:r>
    </w:p>
    <w:p w14:paraId="709B8CD3">
      <w:pPr>
        <w:spacing w:before="75" w:line="388" w:lineRule="auto"/>
        <w:ind w:left="23" w:right="63" w:firstLine="467"/>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生态保护红线：根据环评【</w:t>
      </w:r>
      <w:r>
        <w:rPr>
          <w:rFonts w:ascii="Times New Roman" w:hAnsi="Times New Roman" w:eastAsia="Times New Roman" w:cs="Times New Roman"/>
          <w:spacing w:val="2"/>
          <w:sz w:val="23"/>
          <w:szCs w:val="23"/>
        </w:rPr>
        <w:t>2016</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150 </w:t>
      </w:r>
      <w:r>
        <w:rPr>
          <w:rFonts w:ascii="宋体" w:hAnsi="宋体" w:eastAsia="宋体" w:cs="宋体"/>
          <w:spacing w:val="2"/>
          <w:sz w:val="23"/>
          <w:szCs w:val="23"/>
        </w:rPr>
        <w:t>号文，生态保护红线是生态空</w:t>
      </w:r>
      <w:r>
        <w:rPr>
          <w:rFonts w:ascii="宋体" w:hAnsi="宋体" w:eastAsia="宋体" w:cs="宋体"/>
          <w:sz w:val="23"/>
          <w:szCs w:val="23"/>
        </w:rPr>
        <w:t xml:space="preserve">间范 </w:t>
      </w:r>
      <w:r>
        <w:rPr>
          <w:rFonts w:ascii="宋体" w:hAnsi="宋体" w:eastAsia="宋体" w:cs="宋体"/>
          <w:spacing w:val="1"/>
          <w:sz w:val="23"/>
          <w:szCs w:val="23"/>
        </w:rPr>
        <w:t>围内具有特殊重要生态功能必须实行强制性严格保护的区域。除</w:t>
      </w:r>
      <w:r>
        <w:rPr>
          <w:rFonts w:ascii="宋体" w:hAnsi="宋体" w:eastAsia="宋体" w:cs="宋体"/>
          <w:sz w:val="23"/>
          <w:szCs w:val="23"/>
        </w:rPr>
        <w:t xml:space="preserve">受自然条件限制、 </w:t>
      </w:r>
      <w:r>
        <w:rPr>
          <w:rFonts w:ascii="宋体" w:hAnsi="宋体" w:eastAsia="宋体" w:cs="宋体"/>
          <w:spacing w:val="1"/>
          <w:sz w:val="23"/>
          <w:szCs w:val="23"/>
        </w:rPr>
        <w:t>确实无法避让的铁路、公路、航道、防洪、管道、干渠、通讯、</w:t>
      </w:r>
      <w:r>
        <w:rPr>
          <w:rFonts w:ascii="宋体" w:hAnsi="宋体" w:eastAsia="宋体" w:cs="宋体"/>
          <w:sz w:val="23"/>
          <w:szCs w:val="23"/>
        </w:rPr>
        <w:t xml:space="preserve">输变电等重要基础 </w:t>
      </w:r>
      <w:r>
        <w:rPr>
          <w:rFonts w:ascii="宋体" w:hAnsi="宋体" w:eastAsia="宋体" w:cs="宋体"/>
          <w:spacing w:val="1"/>
          <w:sz w:val="23"/>
          <w:szCs w:val="23"/>
        </w:rPr>
        <w:t>设施项目外，在生态保护红线范围内，严控各类开发建设活动，</w:t>
      </w:r>
      <w:r>
        <w:rPr>
          <w:rFonts w:ascii="宋体" w:hAnsi="宋体" w:eastAsia="宋体" w:cs="宋体"/>
          <w:sz w:val="23"/>
          <w:szCs w:val="23"/>
        </w:rPr>
        <w:t xml:space="preserve">依法不予审批新建 </w:t>
      </w:r>
      <w:r>
        <w:rPr>
          <w:rFonts w:ascii="宋体" w:hAnsi="宋体" w:eastAsia="宋体" w:cs="宋体"/>
          <w:spacing w:val="8"/>
          <w:sz w:val="23"/>
          <w:szCs w:val="23"/>
        </w:rPr>
        <w:t>工</w:t>
      </w:r>
      <w:r>
        <w:rPr>
          <w:rFonts w:ascii="宋体" w:hAnsi="宋体" w:eastAsia="宋体" w:cs="宋体"/>
          <w:spacing w:val="7"/>
          <w:sz w:val="23"/>
          <w:szCs w:val="23"/>
        </w:rPr>
        <w:t>业项目和矿产开发项目的环评文件。该项目位于辽宁省本溪市溪湖区火连寨镇</w:t>
      </w:r>
      <w:r>
        <w:rPr>
          <w:rFonts w:ascii="宋体" w:hAnsi="宋体" w:eastAsia="宋体" w:cs="宋体"/>
          <w:sz w:val="23"/>
          <w:szCs w:val="23"/>
        </w:rPr>
        <w:t xml:space="preserve"> </w:t>
      </w:r>
      <w:r>
        <w:rPr>
          <w:rFonts w:ascii="宋体" w:hAnsi="宋体" w:eastAsia="宋体" w:cs="宋体"/>
          <w:spacing w:val="8"/>
          <w:sz w:val="23"/>
          <w:szCs w:val="23"/>
        </w:rPr>
        <w:t>火连寨村，</w:t>
      </w:r>
      <w:r>
        <w:rPr>
          <w:rFonts w:ascii="宋体" w:hAnsi="宋体" w:eastAsia="宋体" w:cs="宋体"/>
          <w:spacing w:val="4"/>
          <w:sz w:val="23"/>
          <w:szCs w:val="23"/>
        </w:rPr>
        <w:t xml:space="preserve">地理位置坐标为 </w:t>
      </w:r>
      <w:r>
        <w:rPr>
          <w:rFonts w:ascii="Times New Roman" w:hAnsi="Times New Roman" w:eastAsia="Times New Roman" w:cs="Times New Roman"/>
          <w:sz w:val="23"/>
          <w:szCs w:val="23"/>
        </w:rPr>
        <w:t>N</w:t>
      </w:r>
      <w:r>
        <w:rPr>
          <w:rFonts w:ascii="Times New Roman" w:hAnsi="Times New Roman" w:eastAsia="Times New Roman" w:cs="Times New Roman"/>
          <w:spacing w:val="4"/>
          <w:sz w:val="23"/>
          <w:szCs w:val="23"/>
        </w:rPr>
        <w:t>41°21′55.05927″</w:t>
      </w:r>
      <w:r>
        <w:rPr>
          <w:rFonts w:ascii="Times New Roman" w:hAnsi="Times New Roman" w:eastAsia="Times New Roman" w:cs="Times New Roman"/>
          <w:sz w:val="23"/>
          <w:szCs w:val="23"/>
        </w:rPr>
        <w:t>E</w:t>
      </w:r>
      <w:r>
        <w:rPr>
          <w:rFonts w:ascii="Times New Roman" w:hAnsi="Times New Roman" w:eastAsia="Times New Roman" w:cs="Times New Roman"/>
          <w:spacing w:val="4"/>
          <w:sz w:val="23"/>
          <w:szCs w:val="23"/>
        </w:rPr>
        <w:t xml:space="preserve">123°42′32.05640″ </w:t>
      </w:r>
      <w:r>
        <w:rPr>
          <w:rFonts w:ascii="宋体" w:hAnsi="宋体" w:eastAsia="宋体" w:cs="宋体"/>
          <w:spacing w:val="4"/>
          <w:sz w:val="23"/>
          <w:szCs w:val="23"/>
        </w:rPr>
        <w:t>，在生态保护红</w:t>
      </w:r>
      <w:r>
        <w:rPr>
          <w:rFonts w:ascii="宋体" w:hAnsi="宋体" w:eastAsia="宋体" w:cs="宋体"/>
          <w:sz w:val="23"/>
          <w:szCs w:val="23"/>
        </w:rPr>
        <w:t xml:space="preserve"> </w:t>
      </w:r>
      <w:r>
        <w:rPr>
          <w:rFonts w:ascii="宋体" w:hAnsi="宋体" w:eastAsia="宋体" w:cs="宋体"/>
          <w:spacing w:val="-2"/>
          <w:sz w:val="23"/>
          <w:szCs w:val="23"/>
        </w:rPr>
        <w:t>线范</w:t>
      </w:r>
      <w:r>
        <w:rPr>
          <w:rFonts w:ascii="宋体" w:hAnsi="宋体" w:eastAsia="宋体" w:cs="宋体"/>
          <w:spacing w:val="-1"/>
          <w:sz w:val="23"/>
          <w:szCs w:val="23"/>
        </w:rPr>
        <w:t>围之外。</w:t>
      </w:r>
    </w:p>
    <w:p w14:paraId="08844313">
      <w:pPr>
        <w:tabs>
          <w:tab w:val="left" w:pos="148"/>
        </w:tabs>
        <w:spacing w:before="132" w:line="388" w:lineRule="auto"/>
        <w:ind w:left="22" w:firstLine="492"/>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5"/>
          <w:sz w:val="23"/>
          <w:szCs w:val="23"/>
        </w:rPr>
        <w:t>3</w:t>
      </w:r>
      <w:r>
        <w:rPr>
          <w:rFonts w:ascii="宋体" w:hAnsi="宋体" w:eastAsia="宋体" w:cs="宋体"/>
          <w:spacing w:val="8"/>
          <w:sz w:val="23"/>
          <w:szCs w:val="23"/>
        </w:rPr>
        <w:t>) 资源利用上线：资源是环境的载体，资源利用上线是各地区能源、水、</w:t>
      </w:r>
      <w:r>
        <w:rPr>
          <w:rFonts w:ascii="宋体" w:hAnsi="宋体" w:eastAsia="宋体" w:cs="宋体"/>
          <w:sz w:val="23"/>
          <w:szCs w:val="23"/>
        </w:rPr>
        <w:t xml:space="preserve"> </w:t>
      </w:r>
      <w:r>
        <w:rPr>
          <w:rFonts w:ascii="宋体" w:hAnsi="宋体" w:eastAsia="宋体" w:cs="宋体"/>
          <w:spacing w:val="8"/>
          <w:sz w:val="23"/>
          <w:szCs w:val="23"/>
        </w:rPr>
        <w:t>土地等资源消耗不得突破的</w:t>
      </w:r>
      <w:r>
        <w:rPr>
          <w:rFonts w:ascii="Times New Roman" w:hAnsi="Times New Roman" w:eastAsia="Times New Roman" w:cs="Times New Roman"/>
          <w:spacing w:val="8"/>
          <w:sz w:val="23"/>
          <w:szCs w:val="23"/>
        </w:rPr>
        <w:t>“</w:t>
      </w:r>
      <w:r>
        <w:rPr>
          <w:rFonts w:ascii="宋体" w:hAnsi="宋体" w:eastAsia="宋体" w:cs="宋体"/>
          <w:spacing w:val="8"/>
          <w:sz w:val="23"/>
          <w:szCs w:val="23"/>
        </w:rPr>
        <w:t>天花板</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。该项目属于新建再生塑料颗粒加工项目，</w:t>
      </w:r>
      <w:r>
        <w:rPr>
          <w:rFonts w:ascii="宋体" w:hAnsi="宋体" w:eastAsia="宋体" w:cs="宋体"/>
          <w:sz w:val="23"/>
          <w:szCs w:val="23"/>
        </w:rPr>
        <w:t xml:space="preserve"> </w:t>
      </w:r>
      <w:r>
        <w:rPr>
          <w:rFonts w:ascii="宋体" w:hAnsi="宋体" w:eastAsia="宋体" w:cs="宋体"/>
          <w:spacing w:val="9"/>
          <w:sz w:val="23"/>
          <w:szCs w:val="23"/>
        </w:rPr>
        <w:t>所</w:t>
      </w:r>
      <w:r>
        <w:rPr>
          <w:rFonts w:ascii="宋体" w:hAnsi="宋体" w:eastAsia="宋体" w:cs="宋体"/>
          <w:spacing w:val="7"/>
          <w:sz w:val="23"/>
          <w:szCs w:val="23"/>
        </w:rPr>
        <w:t>用原料为废塑料编织袋，均外购于本溪宏远集团北台再生资源有限责任公司及</w:t>
      </w:r>
      <w:r>
        <w:rPr>
          <w:rFonts w:ascii="宋体" w:hAnsi="宋体" w:eastAsia="宋体" w:cs="宋体"/>
          <w:sz w:val="23"/>
          <w:szCs w:val="23"/>
        </w:rPr>
        <w:t xml:space="preserve"> </w:t>
      </w:r>
      <w:r>
        <w:rPr>
          <w:rFonts w:ascii="宋体" w:hAnsi="宋体" w:eastAsia="宋体" w:cs="宋体"/>
          <w:spacing w:val="15"/>
          <w:sz w:val="23"/>
          <w:szCs w:val="23"/>
        </w:rPr>
        <w:t>平</w:t>
      </w:r>
      <w:r>
        <w:rPr>
          <w:rFonts w:ascii="宋体" w:hAnsi="宋体" w:eastAsia="宋体" w:cs="宋体"/>
          <w:spacing w:val="14"/>
          <w:sz w:val="23"/>
          <w:szCs w:val="23"/>
        </w:rPr>
        <w:t>山区利安建材城，为本溪宏远集团北台再生资源有限责任公司收购北台钢铁</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1"/>
          <w:sz w:val="23"/>
          <w:szCs w:val="23"/>
        </w:rPr>
        <w:t>(</w:t>
      </w:r>
      <w:r>
        <w:rPr>
          <w:rFonts w:ascii="宋体" w:hAnsi="宋体" w:eastAsia="宋体" w:cs="宋体"/>
          <w:spacing w:val="10"/>
          <w:sz w:val="23"/>
          <w:szCs w:val="23"/>
        </w:rPr>
        <w:t>集团)有限责任公司所用原料合金铁及铝锭的废包装袋及平山区利安建材城所</w:t>
      </w:r>
      <w:r>
        <w:rPr>
          <w:rFonts w:ascii="宋体" w:hAnsi="宋体" w:eastAsia="宋体" w:cs="宋体"/>
          <w:sz w:val="23"/>
          <w:szCs w:val="23"/>
        </w:rPr>
        <w:t xml:space="preserve"> </w:t>
      </w:r>
      <w:r>
        <w:rPr>
          <w:rFonts w:ascii="宋体" w:hAnsi="宋体" w:eastAsia="宋体" w:cs="宋体"/>
          <w:spacing w:val="9"/>
          <w:sz w:val="23"/>
          <w:szCs w:val="23"/>
        </w:rPr>
        <w:t>销</w:t>
      </w:r>
      <w:r>
        <w:rPr>
          <w:rFonts w:ascii="宋体" w:hAnsi="宋体" w:eastAsia="宋体" w:cs="宋体"/>
          <w:spacing w:val="7"/>
          <w:sz w:val="23"/>
          <w:szCs w:val="23"/>
        </w:rPr>
        <w:t>售砂子的废包装袋，主要成分为聚乙烯、聚丙烯，能耗主要为电、水，不直接</w:t>
      </w:r>
      <w:r>
        <w:rPr>
          <w:rFonts w:ascii="宋体" w:hAnsi="宋体" w:eastAsia="宋体" w:cs="宋体"/>
          <w:sz w:val="23"/>
          <w:szCs w:val="23"/>
        </w:rPr>
        <w:t xml:space="preserve"> </w:t>
      </w:r>
      <w:r>
        <w:rPr>
          <w:rFonts w:ascii="宋体" w:hAnsi="宋体" w:eastAsia="宋体" w:cs="宋体"/>
          <w:spacing w:val="18"/>
          <w:sz w:val="23"/>
          <w:szCs w:val="23"/>
        </w:rPr>
        <w:t>利</w:t>
      </w:r>
      <w:r>
        <w:rPr>
          <w:rFonts w:ascii="宋体" w:hAnsi="宋体" w:eastAsia="宋体" w:cs="宋体"/>
          <w:spacing w:val="11"/>
          <w:sz w:val="23"/>
          <w:szCs w:val="23"/>
        </w:rPr>
        <w:t>用</w:t>
      </w:r>
      <w:r>
        <w:rPr>
          <w:rFonts w:ascii="宋体" w:hAnsi="宋体" w:eastAsia="宋体" w:cs="宋体"/>
          <w:spacing w:val="9"/>
          <w:sz w:val="23"/>
          <w:szCs w:val="23"/>
        </w:rPr>
        <w:t>自然资源，不构成自然资源大量损耗，满足资源利用上线要求。</w:t>
      </w:r>
    </w:p>
    <w:p w14:paraId="0760AB48">
      <w:pPr>
        <w:spacing w:before="133" w:line="387" w:lineRule="auto"/>
        <w:ind w:left="22" w:right="13" w:firstLine="492"/>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环境准入负面清单：环境准入负面清单是基于生态保护红线、环境质</w:t>
      </w:r>
      <w:r>
        <w:rPr>
          <w:rFonts w:ascii="宋体" w:hAnsi="宋体" w:eastAsia="宋体" w:cs="宋体"/>
          <w:sz w:val="23"/>
          <w:szCs w:val="23"/>
        </w:rPr>
        <w:t xml:space="preserve"> </w:t>
      </w:r>
      <w:r>
        <w:rPr>
          <w:rFonts w:ascii="宋体" w:hAnsi="宋体" w:eastAsia="宋体" w:cs="宋体"/>
          <w:spacing w:val="9"/>
          <w:sz w:val="23"/>
          <w:szCs w:val="23"/>
        </w:rPr>
        <w:t>量</w:t>
      </w:r>
      <w:r>
        <w:rPr>
          <w:rFonts w:ascii="宋体" w:hAnsi="宋体" w:eastAsia="宋体" w:cs="宋体"/>
          <w:spacing w:val="7"/>
          <w:sz w:val="23"/>
          <w:szCs w:val="23"/>
        </w:rPr>
        <w:t>底线和资源利用上线，以清单方式列出的禁止、限制等差别化环境准入条件和</w:t>
      </w:r>
      <w:r>
        <w:rPr>
          <w:rFonts w:ascii="宋体" w:hAnsi="宋体" w:eastAsia="宋体" w:cs="宋体"/>
          <w:sz w:val="23"/>
          <w:szCs w:val="23"/>
        </w:rPr>
        <w:t xml:space="preserve"> </w:t>
      </w:r>
      <w:r>
        <w:rPr>
          <w:rFonts w:ascii="宋体" w:hAnsi="宋体" w:eastAsia="宋体" w:cs="宋体"/>
          <w:spacing w:val="9"/>
          <w:sz w:val="23"/>
          <w:szCs w:val="23"/>
        </w:rPr>
        <w:t>要</w:t>
      </w:r>
      <w:r>
        <w:rPr>
          <w:rFonts w:ascii="宋体" w:hAnsi="宋体" w:eastAsia="宋体" w:cs="宋体"/>
          <w:spacing w:val="7"/>
          <w:sz w:val="23"/>
          <w:szCs w:val="23"/>
        </w:rPr>
        <w:t>求。要在规划环评清单式管理试点的基础上，从布局选址、资源利用效率、资</w:t>
      </w:r>
      <w:r>
        <w:rPr>
          <w:rFonts w:ascii="宋体" w:hAnsi="宋体" w:eastAsia="宋体" w:cs="宋体"/>
          <w:sz w:val="23"/>
          <w:szCs w:val="23"/>
        </w:rPr>
        <w:t xml:space="preserve"> </w:t>
      </w:r>
      <w:r>
        <w:rPr>
          <w:rFonts w:ascii="宋体" w:hAnsi="宋体" w:eastAsia="宋体" w:cs="宋体"/>
          <w:spacing w:val="9"/>
          <w:sz w:val="23"/>
          <w:szCs w:val="23"/>
        </w:rPr>
        <w:t>源</w:t>
      </w:r>
      <w:r>
        <w:rPr>
          <w:rFonts w:ascii="宋体" w:hAnsi="宋体" w:eastAsia="宋体" w:cs="宋体"/>
          <w:spacing w:val="7"/>
          <w:sz w:val="23"/>
          <w:szCs w:val="23"/>
        </w:rPr>
        <w:t>配置方式等方面入手，制定环境准入负面清单，充分发挥负面清单对产业发展</w:t>
      </w:r>
      <w:r>
        <w:rPr>
          <w:rFonts w:ascii="宋体" w:hAnsi="宋体" w:eastAsia="宋体" w:cs="宋体"/>
          <w:sz w:val="23"/>
          <w:szCs w:val="23"/>
        </w:rPr>
        <w:t xml:space="preserve"> </w:t>
      </w:r>
      <w:r>
        <w:rPr>
          <w:rFonts w:ascii="宋体" w:hAnsi="宋体" w:eastAsia="宋体" w:cs="宋体"/>
          <w:spacing w:val="1"/>
          <w:sz w:val="23"/>
          <w:szCs w:val="23"/>
        </w:rPr>
        <w:t>和项目准入的指导和约束作用。该项目</w:t>
      </w:r>
      <w:r>
        <w:rPr>
          <w:rFonts w:ascii="宋体" w:hAnsi="宋体" w:eastAsia="宋体" w:cs="宋体"/>
          <w:sz w:val="23"/>
          <w:szCs w:val="23"/>
        </w:rPr>
        <w:t xml:space="preserve">属于新建再生塑料颗粒加工项目，根据《产 </w:t>
      </w:r>
      <w:r>
        <w:rPr>
          <w:rFonts w:ascii="宋体" w:hAnsi="宋体" w:eastAsia="宋体" w:cs="宋体"/>
          <w:spacing w:val="11"/>
          <w:sz w:val="23"/>
          <w:szCs w:val="23"/>
        </w:rPr>
        <w:t>业</w:t>
      </w:r>
      <w:r>
        <w:rPr>
          <w:rFonts w:ascii="宋体" w:hAnsi="宋体" w:eastAsia="宋体" w:cs="宋体"/>
          <w:spacing w:val="7"/>
          <w:sz w:val="23"/>
          <w:szCs w:val="23"/>
        </w:rPr>
        <w:t>结构调整指导目录 (</w:t>
      </w:r>
      <w:r>
        <w:rPr>
          <w:rFonts w:ascii="Times New Roman" w:hAnsi="Times New Roman" w:eastAsia="Times New Roman" w:cs="Times New Roman"/>
          <w:spacing w:val="7"/>
          <w:sz w:val="23"/>
          <w:szCs w:val="23"/>
        </w:rPr>
        <w:t>2011</w:t>
      </w:r>
      <w:r>
        <w:rPr>
          <w:rFonts w:ascii="宋体" w:hAnsi="宋体" w:eastAsia="宋体" w:cs="宋体"/>
          <w:spacing w:val="7"/>
          <w:sz w:val="23"/>
          <w:szCs w:val="23"/>
        </w:rPr>
        <w:t>年本，</w:t>
      </w:r>
      <w:r>
        <w:rPr>
          <w:rFonts w:ascii="Times New Roman" w:hAnsi="Times New Roman" w:eastAsia="Times New Roman" w:cs="Times New Roman"/>
          <w:spacing w:val="7"/>
          <w:sz w:val="23"/>
          <w:szCs w:val="23"/>
        </w:rPr>
        <w:t xml:space="preserve">2016 </w:t>
      </w:r>
      <w:r>
        <w:rPr>
          <w:rFonts w:ascii="宋体" w:hAnsi="宋体" w:eastAsia="宋体" w:cs="宋体"/>
          <w:spacing w:val="7"/>
          <w:sz w:val="23"/>
          <w:szCs w:val="23"/>
        </w:rPr>
        <w:t>年修订) 》  (中华人民共和国国家发展</w:t>
      </w:r>
      <w:r>
        <w:rPr>
          <w:rFonts w:ascii="宋体" w:hAnsi="宋体" w:eastAsia="宋体" w:cs="宋体"/>
          <w:sz w:val="23"/>
          <w:szCs w:val="23"/>
        </w:rPr>
        <w:t xml:space="preserve"> </w:t>
      </w:r>
      <w:r>
        <w:rPr>
          <w:rFonts w:ascii="宋体" w:hAnsi="宋体" w:eastAsia="宋体" w:cs="宋体"/>
          <w:spacing w:val="1"/>
          <w:sz w:val="23"/>
          <w:szCs w:val="23"/>
        </w:rPr>
        <w:t xml:space="preserve">和改革委员会第 </w:t>
      </w:r>
      <w:r>
        <w:rPr>
          <w:rFonts w:ascii="Times New Roman" w:hAnsi="Times New Roman" w:eastAsia="Times New Roman" w:cs="Times New Roman"/>
          <w:spacing w:val="1"/>
          <w:sz w:val="23"/>
          <w:szCs w:val="23"/>
        </w:rPr>
        <w:t xml:space="preserve">36 </w:t>
      </w:r>
      <w:r>
        <w:rPr>
          <w:rFonts w:ascii="宋体" w:hAnsi="宋体" w:eastAsia="宋体" w:cs="宋体"/>
          <w:spacing w:val="1"/>
          <w:sz w:val="23"/>
          <w:szCs w:val="23"/>
        </w:rPr>
        <w:t>号令，</w:t>
      </w:r>
      <w:r>
        <w:rPr>
          <w:rFonts w:ascii="Times New Roman" w:hAnsi="Times New Roman" w:eastAsia="Times New Roman" w:cs="Times New Roman"/>
          <w:spacing w:val="1"/>
          <w:sz w:val="23"/>
          <w:szCs w:val="23"/>
        </w:rPr>
        <w:t xml:space="preserve">2016 </w:t>
      </w:r>
      <w:r>
        <w:rPr>
          <w:rFonts w:ascii="宋体" w:hAnsi="宋体" w:eastAsia="宋体" w:cs="宋体"/>
          <w:spacing w:val="1"/>
          <w:sz w:val="23"/>
          <w:szCs w:val="23"/>
        </w:rPr>
        <w:t>年</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3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25 </w:t>
      </w:r>
      <w:r>
        <w:rPr>
          <w:rFonts w:ascii="宋体" w:hAnsi="宋体" w:eastAsia="宋体" w:cs="宋体"/>
          <w:sz w:val="23"/>
          <w:szCs w:val="23"/>
        </w:rPr>
        <w:t>日)及《辽宁省产业发展指导目录(</w:t>
      </w:r>
      <w:r>
        <w:rPr>
          <w:rFonts w:ascii="Times New Roman" w:hAnsi="Times New Roman" w:eastAsia="Times New Roman" w:cs="Times New Roman"/>
          <w:sz w:val="23"/>
          <w:szCs w:val="23"/>
        </w:rPr>
        <w:t xml:space="preserve">2008 </w:t>
      </w:r>
      <w:r>
        <w:rPr>
          <w:rFonts w:ascii="宋体" w:hAnsi="宋体" w:eastAsia="宋体" w:cs="宋体"/>
          <w:spacing w:val="2"/>
          <w:sz w:val="23"/>
          <w:szCs w:val="23"/>
        </w:rPr>
        <w:t xml:space="preserve">年本) </w:t>
      </w:r>
      <w:r>
        <w:rPr>
          <w:rFonts w:ascii="宋体" w:hAnsi="宋体" w:eastAsia="宋体" w:cs="宋体"/>
          <w:spacing w:val="1"/>
          <w:sz w:val="23"/>
          <w:szCs w:val="23"/>
        </w:rPr>
        <w:t>》  (辽宁省经济委员会，</w:t>
      </w:r>
      <w:r>
        <w:rPr>
          <w:rFonts w:ascii="Times New Roman" w:hAnsi="Times New Roman" w:eastAsia="Times New Roman" w:cs="Times New Roman"/>
          <w:spacing w:val="1"/>
          <w:sz w:val="23"/>
          <w:szCs w:val="23"/>
        </w:rPr>
        <w:t xml:space="preserve">2008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12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18 </w:t>
      </w:r>
      <w:r>
        <w:rPr>
          <w:rFonts w:ascii="宋体" w:hAnsi="宋体" w:eastAsia="宋体" w:cs="宋体"/>
          <w:spacing w:val="1"/>
          <w:sz w:val="23"/>
          <w:szCs w:val="23"/>
        </w:rPr>
        <w:t>日) ，该项目为</w:t>
      </w:r>
      <w:r>
        <w:rPr>
          <w:rFonts w:ascii="Times New Roman" w:hAnsi="Times New Roman" w:eastAsia="Times New Roman" w:cs="Times New Roman"/>
          <w:spacing w:val="1"/>
          <w:sz w:val="23"/>
          <w:szCs w:val="23"/>
        </w:rPr>
        <w:t>“</w:t>
      </w:r>
      <w:r>
        <w:rPr>
          <w:rFonts w:ascii="宋体" w:hAnsi="宋体" w:eastAsia="宋体" w:cs="宋体"/>
          <w:spacing w:val="1"/>
          <w:sz w:val="23"/>
          <w:szCs w:val="23"/>
        </w:rPr>
        <w:t>鼓励类</w:t>
      </w:r>
      <w:r>
        <w:rPr>
          <w:rFonts w:ascii="Times New Roman" w:hAnsi="Times New Roman" w:eastAsia="Times New Roman" w:cs="Times New Roman"/>
          <w:spacing w:val="1"/>
          <w:sz w:val="23"/>
          <w:szCs w:val="23"/>
        </w:rPr>
        <w:t>”</w:t>
      </w:r>
      <w:r>
        <w:rPr>
          <w:rFonts w:ascii="宋体" w:hAnsi="宋体" w:eastAsia="宋体" w:cs="宋体"/>
          <w:spacing w:val="1"/>
          <w:sz w:val="23"/>
          <w:szCs w:val="23"/>
        </w:rPr>
        <w:t>项目，</w:t>
      </w:r>
      <w:r>
        <w:rPr>
          <w:rFonts w:ascii="宋体" w:hAnsi="宋体" w:eastAsia="宋体" w:cs="宋体"/>
          <w:sz w:val="23"/>
          <w:szCs w:val="23"/>
        </w:rPr>
        <w:t xml:space="preserve"> </w:t>
      </w:r>
      <w:r>
        <w:rPr>
          <w:rFonts w:ascii="宋体" w:hAnsi="宋体" w:eastAsia="宋体" w:cs="宋体"/>
          <w:spacing w:val="9"/>
          <w:sz w:val="23"/>
          <w:szCs w:val="23"/>
        </w:rPr>
        <w:t>符</w:t>
      </w:r>
      <w:r>
        <w:rPr>
          <w:rFonts w:ascii="宋体" w:hAnsi="宋体" w:eastAsia="宋体" w:cs="宋体"/>
          <w:spacing w:val="7"/>
          <w:sz w:val="23"/>
          <w:szCs w:val="23"/>
        </w:rPr>
        <w:t>合国家的相关产业政策及辽宁省产业政策。本溪市溪湖区发展和改革局以溪发</w:t>
      </w:r>
      <w:r>
        <w:rPr>
          <w:rFonts w:ascii="宋体" w:hAnsi="宋体" w:eastAsia="宋体" w:cs="宋体"/>
          <w:sz w:val="23"/>
          <w:szCs w:val="23"/>
        </w:rPr>
        <w:t xml:space="preserve"> </w:t>
      </w:r>
      <w:r>
        <w:rPr>
          <w:rFonts w:ascii="宋体" w:hAnsi="宋体" w:eastAsia="宋体" w:cs="宋体"/>
          <w:spacing w:val="10"/>
          <w:sz w:val="23"/>
          <w:szCs w:val="23"/>
        </w:rPr>
        <w:t>改</w:t>
      </w:r>
      <w:r>
        <w:rPr>
          <w:rFonts w:ascii="宋体" w:hAnsi="宋体" w:eastAsia="宋体" w:cs="宋体"/>
          <w:spacing w:val="8"/>
          <w:sz w:val="23"/>
          <w:szCs w:val="23"/>
        </w:rPr>
        <w:t>备【</w:t>
      </w:r>
      <w:r>
        <w:rPr>
          <w:rFonts w:ascii="Times New Roman" w:hAnsi="Times New Roman" w:eastAsia="Times New Roman" w:cs="Times New Roman"/>
          <w:spacing w:val="8"/>
          <w:sz w:val="23"/>
          <w:szCs w:val="23"/>
        </w:rPr>
        <w:t>2019</w:t>
      </w:r>
      <w:r>
        <w:rPr>
          <w:rFonts w:ascii="宋体" w:hAnsi="宋体" w:eastAsia="宋体" w:cs="宋体"/>
          <w:spacing w:val="8"/>
          <w:sz w:val="23"/>
          <w:szCs w:val="23"/>
        </w:rPr>
        <w:t>】</w:t>
      </w:r>
      <w:r>
        <w:rPr>
          <w:rFonts w:ascii="Times New Roman" w:hAnsi="Times New Roman" w:eastAsia="Times New Roman" w:cs="Times New Roman"/>
          <w:spacing w:val="8"/>
          <w:sz w:val="23"/>
          <w:szCs w:val="23"/>
        </w:rPr>
        <w:t xml:space="preserve">42 </w:t>
      </w:r>
      <w:r>
        <w:rPr>
          <w:rFonts w:ascii="宋体" w:hAnsi="宋体" w:eastAsia="宋体" w:cs="宋体"/>
          <w:spacing w:val="8"/>
          <w:sz w:val="23"/>
          <w:szCs w:val="23"/>
        </w:rPr>
        <w:t>号文件对该项目的建设进行了备案确认。</w:t>
      </w:r>
    </w:p>
    <w:p w14:paraId="25B6F5B6">
      <w:pPr>
        <w:spacing w:before="136" w:line="228" w:lineRule="auto"/>
        <w:ind w:left="506"/>
        <w:rPr>
          <w:rFonts w:ascii="宋体" w:hAnsi="宋体" w:eastAsia="宋体" w:cs="宋体"/>
          <w:sz w:val="23"/>
          <w:szCs w:val="23"/>
        </w:rPr>
      </w:pPr>
      <w:r>
        <w:rPr>
          <w:rFonts w:ascii="宋体" w:hAnsi="宋体" w:eastAsia="宋体" w:cs="宋体"/>
          <w:spacing w:val="16"/>
          <w:sz w:val="23"/>
          <w:szCs w:val="23"/>
        </w:rPr>
        <w:t>综</w:t>
      </w:r>
      <w:r>
        <w:rPr>
          <w:rFonts w:ascii="宋体" w:hAnsi="宋体" w:eastAsia="宋体" w:cs="宋体"/>
          <w:spacing w:val="11"/>
          <w:sz w:val="23"/>
          <w:szCs w:val="23"/>
        </w:rPr>
        <w:t>上</w:t>
      </w:r>
      <w:r>
        <w:rPr>
          <w:rFonts w:ascii="宋体" w:hAnsi="宋体" w:eastAsia="宋体" w:cs="宋体"/>
          <w:spacing w:val="8"/>
          <w:sz w:val="23"/>
          <w:szCs w:val="23"/>
        </w:rPr>
        <w:t>，该项目满足三线一单规划内容。</w:t>
      </w:r>
    </w:p>
    <w:p w14:paraId="61953321">
      <w:pPr>
        <w:spacing w:before="300" w:line="226" w:lineRule="auto"/>
        <w:ind w:left="33"/>
        <w:outlineLvl w:val="2"/>
        <w:rPr>
          <w:rFonts w:ascii="宋体" w:hAnsi="宋体" w:eastAsia="宋体" w:cs="宋体"/>
          <w:sz w:val="29"/>
          <w:szCs w:val="29"/>
        </w:rPr>
      </w:pPr>
      <w:r>
        <w:rPr>
          <w:rFonts w:ascii="Times New Roman" w:hAnsi="Times New Roman" w:eastAsia="Times New Roman" w:cs="Times New Roman"/>
          <w:b/>
          <w:bCs/>
          <w:spacing w:val="10"/>
          <w:sz w:val="29"/>
          <w:szCs w:val="29"/>
        </w:rPr>
        <w:t>1.</w:t>
      </w:r>
      <w:r>
        <w:rPr>
          <w:rFonts w:ascii="Times New Roman" w:hAnsi="Times New Roman" w:eastAsia="Times New Roman" w:cs="Times New Roman"/>
          <w:b/>
          <w:bCs/>
          <w:spacing w:val="6"/>
          <w:sz w:val="29"/>
          <w:szCs w:val="29"/>
        </w:rPr>
        <w:t>4</w:t>
      </w:r>
      <w:r>
        <w:rPr>
          <w:rFonts w:ascii="Times New Roman" w:hAnsi="Times New Roman" w:eastAsia="Times New Roman" w:cs="Times New Roman"/>
          <w:b/>
          <w:bCs/>
          <w:spacing w:val="5"/>
          <w:sz w:val="29"/>
          <w:szCs w:val="29"/>
        </w:rPr>
        <w:t>.4</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环境可行性分析</w:t>
      </w:r>
    </w:p>
    <w:p w14:paraId="5E86B1E2">
      <w:pPr>
        <w:spacing w:line="255" w:lineRule="auto"/>
        <w:rPr>
          <w:rFonts w:ascii="Arial"/>
          <w:sz w:val="21"/>
        </w:rPr>
      </w:pPr>
    </w:p>
    <w:p w14:paraId="5028DD83">
      <w:pPr>
        <w:spacing w:before="76" w:line="228" w:lineRule="auto"/>
        <w:ind w:left="527"/>
        <w:rPr>
          <w:rFonts w:ascii="宋体" w:hAnsi="宋体" w:eastAsia="宋体" w:cs="宋体"/>
          <w:sz w:val="23"/>
          <w:szCs w:val="23"/>
        </w:rPr>
      </w:pPr>
      <w:r>
        <w:rPr>
          <w:rFonts w:ascii="宋体" w:hAnsi="宋体" w:eastAsia="宋体" w:cs="宋体"/>
          <w:spacing w:val="26"/>
          <w:sz w:val="23"/>
          <w:szCs w:val="23"/>
        </w:rPr>
        <w:t>通</w:t>
      </w:r>
      <w:r>
        <w:rPr>
          <w:rFonts w:ascii="宋体" w:hAnsi="宋体" w:eastAsia="宋体" w:cs="宋体"/>
          <w:spacing w:val="17"/>
          <w:sz w:val="23"/>
          <w:szCs w:val="23"/>
        </w:rPr>
        <w:t>过</w:t>
      </w:r>
      <w:r>
        <w:rPr>
          <w:rFonts w:ascii="宋体" w:hAnsi="宋体" w:eastAsia="宋体" w:cs="宋体"/>
          <w:spacing w:val="13"/>
          <w:sz w:val="23"/>
          <w:szCs w:val="23"/>
        </w:rPr>
        <w:t>工程污染分析可知，项目主要污染物是洗字工序所用热风炉产生的烟</w:t>
      </w:r>
    </w:p>
    <w:p w14:paraId="6D75032F">
      <w:pPr>
        <w:sectPr>
          <w:headerReference r:id="rId26" w:type="default"/>
          <w:footerReference r:id="rId27" w:type="default"/>
          <w:pgSz w:w="11906" w:h="16839"/>
          <w:pgMar w:top="1132" w:right="1719" w:bottom="899" w:left="1785" w:header="878" w:footer="739" w:gutter="0"/>
          <w:cols w:space="720" w:num="1"/>
        </w:sectPr>
      </w:pPr>
    </w:p>
    <w:p w14:paraId="39D20A6E">
      <w:pPr>
        <w:spacing w:line="408" w:lineRule="auto"/>
        <w:rPr>
          <w:rFonts w:ascii="Arial"/>
          <w:sz w:val="21"/>
        </w:rPr>
      </w:pPr>
      <w:r>
        <w:pict>
          <v:shape id="_x0000_s1040" o:spid="_x0000_s1040" style="position:absolute;left:0pt;margin-left:90pt;margin-top:57.35pt;height:0.75pt;width:415.3pt;mso-position-horizontal-relative:page;mso-position-vertical-relative:page;z-index:251678720;mso-width-relative:page;mso-height-relative:page;" fillcolor="#000000" filled="t" stroked="f" coordsize="8305,15" o:allowincell="f" path="m0,0l8305,0,8305,14,0,14,0,0xe">
            <v:path/>
            <v:fill on="t" focussize="0,0"/>
            <v:stroke on="f"/>
            <v:imagedata o:title=""/>
            <o:lock v:ext="edit"/>
          </v:shape>
        </w:pict>
      </w:r>
    </w:p>
    <w:p w14:paraId="356C2601">
      <w:pPr>
        <w:spacing w:before="74" w:line="393" w:lineRule="auto"/>
        <w:ind w:left="23" w:right="7"/>
        <w:rPr>
          <w:rFonts w:ascii="宋体" w:hAnsi="宋体" w:eastAsia="宋体" w:cs="宋体"/>
          <w:sz w:val="23"/>
          <w:szCs w:val="23"/>
        </w:rPr>
      </w:pPr>
      <w:r>
        <w:rPr>
          <w:rFonts w:ascii="宋体" w:hAnsi="宋体" w:eastAsia="宋体" w:cs="宋体"/>
          <w:spacing w:val="4"/>
          <w:sz w:val="23"/>
          <w:szCs w:val="23"/>
        </w:rPr>
        <w:t>气、分拣工序产生</w:t>
      </w:r>
      <w:r>
        <w:rPr>
          <w:rFonts w:ascii="宋体" w:hAnsi="宋体" w:eastAsia="宋体" w:cs="宋体"/>
          <w:spacing w:val="3"/>
          <w:sz w:val="23"/>
          <w:szCs w:val="23"/>
        </w:rPr>
        <w:t>粉</w:t>
      </w:r>
      <w:r>
        <w:rPr>
          <w:rFonts w:ascii="宋体" w:hAnsi="宋体" w:eastAsia="宋体" w:cs="宋体"/>
          <w:spacing w:val="2"/>
          <w:sz w:val="23"/>
          <w:szCs w:val="23"/>
        </w:rPr>
        <w:t>尘以及热熔、造粒工序产生挥发性有机物(以非甲烷总烃计)。</w:t>
      </w:r>
      <w:r>
        <w:rPr>
          <w:rFonts w:ascii="宋体" w:hAnsi="宋体" w:eastAsia="宋体" w:cs="宋体"/>
          <w:sz w:val="23"/>
          <w:szCs w:val="23"/>
        </w:rPr>
        <w:t xml:space="preserve"> </w:t>
      </w:r>
      <w:r>
        <w:rPr>
          <w:rFonts w:ascii="宋体" w:hAnsi="宋体" w:eastAsia="宋体" w:cs="宋体"/>
          <w:spacing w:val="18"/>
          <w:sz w:val="23"/>
          <w:szCs w:val="23"/>
        </w:rPr>
        <w:t>拟采取的污染防治措施：</w:t>
      </w:r>
    </w:p>
    <w:p w14:paraId="7D3BA6D8">
      <w:pPr>
        <w:spacing w:before="139" w:line="389" w:lineRule="auto"/>
        <w:ind w:left="22" w:right="82" w:firstLine="492"/>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该项目项目无组织废气主要是生产过程中未被集气罩收集到而逸散到</w:t>
      </w:r>
      <w:r>
        <w:rPr>
          <w:rFonts w:ascii="宋体" w:hAnsi="宋体" w:eastAsia="宋体" w:cs="宋体"/>
          <w:sz w:val="23"/>
          <w:szCs w:val="23"/>
        </w:rPr>
        <w:t xml:space="preserve"> </w:t>
      </w:r>
      <w:r>
        <w:rPr>
          <w:rFonts w:ascii="宋体" w:hAnsi="宋体" w:eastAsia="宋体" w:cs="宋体"/>
          <w:spacing w:val="9"/>
          <w:sz w:val="23"/>
          <w:szCs w:val="23"/>
        </w:rPr>
        <w:t>空</w:t>
      </w:r>
      <w:r>
        <w:rPr>
          <w:rFonts w:ascii="宋体" w:hAnsi="宋体" w:eastAsia="宋体" w:cs="宋体"/>
          <w:spacing w:val="7"/>
          <w:sz w:val="23"/>
          <w:szCs w:val="23"/>
        </w:rPr>
        <w:t>气中的有机废气和颗粒物，废气以无组织的形式扩散到周围大气中。对于无组</w:t>
      </w:r>
      <w:r>
        <w:rPr>
          <w:rFonts w:ascii="宋体" w:hAnsi="宋体" w:eastAsia="宋体" w:cs="宋体"/>
          <w:sz w:val="23"/>
          <w:szCs w:val="23"/>
        </w:rPr>
        <w:t xml:space="preserve"> </w:t>
      </w:r>
      <w:r>
        <w:rPr>
          <w:rFonts w:ascii="宋体" w:hAnsi="宋体" w:eastAsia="宋体" w:cs="宋体"/>
          <w:spacing w:val="9"/>
          <w:sz w:val="23"/>
          <w:szCs w:val="23"/>
        </w:rPr>
        <w:t>织</w:t>
      </w:r>
      <w:r>
        <w:rPr>
          <w:rFonts w:ascii="宋体" w:hAnsi="宋体" w:eastAsia="宋体" w:cs="宋体"/>
          <w:spacing w:val="7"/>
          <w:sz w:val="23"/>
          <w:szCs w:val="23"/>
        </w:rPr>
        <w:t>废气，要求加强车间通风，所有操作严格按照既定的规程进行，以减少无组织</w:t>
      </w:r>
      <w:r>
        <w:rPr>
          <w:rFonts w:ascii="宋体" w:hAnsi="宋体" w:eastAsia="宋体" w:cs="宋体"/>
          <w:sz w:val="23"/>
          <w:szCs w:val="23"/>
        </w:rPr>
        <w:t xml:space="preserve"> </w:t>
      </w:r>
      <w:r>
        <w:rPr>
          <w:rFonts w:ascii="宋体" w:hAnsi="宋体" w:eastAsia="宋体" w:cs="宋体"/>
          <w:spacing w:val="7"/>
          <w:sz w:val="23"/>
          <w:szCs w:val="23"/>
        </w:rPr>
        <w:t>废</w:t>
      </w:r>
      <w:r>
        <w:rPr>
          <w:rFonts w:ascii="宋体" w:hAnsi="宋体" w:eastAsia="宋体" w:cs="宋体"/>
          <w:spacing w:val="6"/>
          <w:sz w:val="23"/>
          <w:szCs w:val="23"/>
        </w:rPr>
        <w:t>气排放。</w:t>
      </w:r>
    </w:p>
    <w:p w14:paraId="078365F6">
      <w:pPr>
        <w:spacing w:before="135" w:line="380" w:lineRule="auto"/>
        <w:ind w:left="23" w:right="80" w:firstLine="49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该项目使用的原料均为无毒、无害物质，建设单位在熔融挤出设备上</w:t>
      </w:r>
      <w:r>
        <w:rPr>
          <w:rFonts w:ascii="宋体" w:hAnsi="宋体" w:eastAsia="宋体" w:cs="宋体"/>
          <w:sz w:val="23"/>
          <w:szCs w:val="23"/>
        </w:rPr>
        <w:t xml:space="preserve"> </w:t>
      </w:r>
      <w:r>
        <w:rPr>
          <w:rFonts w:ascii="宋体" w:hAnsi="宋体" w:eastAsia="宋体" w:cs="宋体"/>
          <w:spacing w:val="8"/>
          <w:sz w:val="23"/>
          <w:szCs w:val="23"/>
        </w:rPr>
        <w:t>方设置集气</w:t>
      </w:r>
      <w:r>
        <w:rPr>
          <w:rFonts w:ascii="宋体" w:hAnsi="宋体" w:eastAsia="宋体" w:cs="宋体"/>
          <w:spacing w:val="6"/>
          <w:sz w:val="23"/>
          <w:szCs w:val="23"/>
        </w:rPr>
        <w:t>罩</w:t>
      </w:r>
      <w:r>
        <w:rPr>
          <w:rFonts w:ascii="宋体" w:hAnsi="宋体" w:eastAsia="宋体" w:cs="宋体"/>
          <w:spacing w:val="4"/>
          <w:sz w:val="23"/>
          <w:szCs w:val="23"/>
        </w:rPr>
        <w:t xml:space="preserve">，集气罩捕集效率 </w:t>
      </w:r>
      <w:r>
        <w:rPr>
          <w:rFonts w:ascii="Times New Roman" w:hAnsi="Times New Roman" w:eastAsia="Times New Roman" w:cs="Times New Roman"/>
          <w:spacing w:val="4"/>
          <w:sz w:val="23"/>
          <w:szCs w:val="23"/>
        </w:rPr>
        <w:t>90%</w:t>
      </w:r>
      <w:r>
        <w:rPr>
          <w:rFonts w:ascii="宋体" w:hAnsi="宋体" w:eastAsia="宋体" w:cs="宋体"/>
          <w:spacing w:val="4"/>
          <w:sz w:val="23"/>
          <w:szCs w:val="23"/>
        </w:rPr>
        <w:t>；生产过程中产生的废气污染物经集气罩捕</w:t>
      </w:r>
      <w:r>
        <w:rPr>
          <w:rFonts w:ascii="宋体" w:hAnsi="宋体" w:eastAsia="宋体" w:cs="宋体"/>
          <w:sz w:val="23"/>
          <w:szCs w:val="23"/>
        </w:rPr>
        <w:t xml:space="preserve"> </w:t>
      </w:r>
      <w:r>
        <w:rPr>
          <w:rFonts w:ascii="宋体" w:hAnsi="宋体" w:eastAsia="宋体" w:cs="宋体"/>
          <w:spacing w:val="10"/>
          <w:sz w:val="23"/>
          <w:szCs w:val="23"/>
        </w:rPr>
        <w:t>集，在风机的作用下经烟道送至废气净化设施，废气净化设施采用</w:t>
      </w:r>
      <w:r>
        <w:rPr>
          <w:rFonts w:ascii="Times New Roman" w:hAnsi="Times New Roman" w:eastAsia="Times New Roman" w:cs="Times New Roman"/>
          <w:spacing w:val="10"/>
          <w:sz w:val="23"/>
          <w:szCs w:val="23"/>
        </w:rPr>
        <w:t>“</w:t>
      </w:r>
      <w:r>
        <w:rPr>
          <w:rFonts w:ascii="宋体" w:hAnsi="宋体" w:eastAsia="宋体" w:cs="宋体"/>
          <w:spacing w:val="10"/>
          <w:sz w:val="23"/>
          <w:szCs w:val="23"/>
        </w:rPr>
        <w:t>集气罩</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 xml:space="preserve">UV </w:t>
      </w:r>
      <w:r>
        <w:rPr>
          <w:rFonts w:ascii="宋体" w:hAnsi="宋体" w:eastAsia="宋体" w:cs="宋体"/>
          <w:spacing w:val="18"/>
          <w:sz w:val="23"/>
          <w:szCs w:val="23"/>
        </w:rPr>
        <w:t>光氧</w:t>
      </w:r>
      <w:r>
        <w:rPr>
          <w:rFonts w:ascii="宋体" w:hAnsi="宋体" w:eastAsia="宋体" w:cs="宋体"/>
          <w:spacing w:val="11"/>
          <w:sz w:val="23"/>
          <w:szCs w:val="23"/>
        </w:rPr>
        <w:t>催</w:t>
      </w:r>
      <w:r>
        <w:rPr>
          <w:rFonts w:ascii="宋体" w:hAnsi="宋体" w:eastAsia="宋体" w:cs="宋体"/>
          <w:spacing w:val="9"/>
          <w:sz w:val="23"/>
          <w:szCs w:val="23"/>
        </w:rPr>
        <w:t>化废气处理装置</w:t>
      </w:r>
      <w:r>
        <w:rPr>
          <w:rFonts w:ascii="Times New Roman" w:hAnsi="Times New Roman" w:eastAsia="Times New Roman" w:cs="Times New Roman"/>
          <w:spacing w:val="9"/>
          <w:sz w:val="23"/>
          <w:szCs w:val="23"/>
        </w:rPr>
        <w:t>+</w:t>
      </w:r>
      <w:r>
        <w:rPr>
          <w:rFonts w:ascii="宋体" w:hAnsi="宋体" w:eastAsia="宋体" w:cs="宋体"/>
          <w:spacing w:val="9"/>
          <w:sz w:val="23"/>
          <w:szCs w:val="23"/>
        </w:rPr>
        <w:t>活性炭吸附装置</w:t>
      </w:r>
      <w:r>
        <w:rPr>
          <w:rFonts w:ascii="Times New Roman" w:hAnsi="Times New Roman" w:eastAsia="Times New Roman" w:cs="Times New Roman"/>
          <w:spacing w:val="9"/>
          <w:sz w:val="23"/>
          <w:szCs w:val="23"/>
        </w:rPr>
        <w:t>”</w:t>
      </w:r>
      <w:r>
        <w:rPr>
          <w:rFonts w:ascii="宋体" w:hAnsi="宋体" w:eastAsia="宋体" w:cs="宋体"/>
          <w:spacing w:val="9"/>
          <w:sz w:val="23"/>
          <w:szCs w:val="23"/>
        </w:rPr>
        <w:t xml:space="preserve">工艺，净化后的废气由 </w:t>
      </w:r>
      <w:r>
        <w:rPr>
          <w:rFonts w:ascii="Times New Roman" w:hAnsi="Times New Roman" w:eastAsia="Times New Roman" w:cs="Times New Roman"/>
          <w:spacing w:val="9"/>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高排气筒</w:t>
      </w:r>
      <w:r>
        <w:rPr>
          <w:rFonts w:ascii="宋体" w:hAnsi="宋体" w:eastAsia="宋体" w:cs="宋体"/>
          <w:sz w:val="23"/>
          <w:szCs w:val="23"/>
        </w:rPr>
        <w:t xml:space="preserve"> </w:t>
      </w:r>
      <w:r>
        <w:rPr>
          <w:rFonts w:ascii="宋体" w:hAnsi="宋体" w:eastAsia="宋体" w:cs="宋体"/>
          <w:spacing w:val="8"/>
          <w:sz w:val="23"/>
          <w:szCs w:val="23"/>
        </w:rPr>
        <w:t>排放，设计净</w:t>
      </w:r>
      <w:r>
        <w:rPr>
          <w:rFonts w:ascii="宋体" w:hAnsi="宋体" w:eastAsia="宋体" w:cs="宋体"/>
          <w:spacing w:val="4"/>
          <w:sz w:val="23"/>
          <w:szCs w:val="23"/>
        </w:rPr>
        <w:t xml:space="preserve">化效率 </w:t>
      </w:r>
      <w:r>
        <w:rPr>
          <w:rFonts w:ascii="Times New Roman" w:hAnsi="Times New Roman" w:eastAsia="Times New Roman" w:cs="Times New Roman"/>
          <w:spacing w:val="4"/>
          <w:sz w:val="23"/>
          <w:szCs w:val="23"/>
        </w:rPr>
        <w:t>85%</w:t>
      </w:r>
      <w:r>
        <w:rPr>
          <w:rFonts w:ascii="宋体" w:hAnsi="宋体" w:eastAsia="宋体" w:cs="宋体"/>
          <w:spacing w:val="4"/>
          <w:sz w:val="23"/>
          <w:szCs w:val="23"/>
        </w:rPr>
        <w:t>。废气处理后，非甲烷总烃排放浓度均满足《合成树脂</w:t>
      </w:r>
      <w:r>
        <w:rPr>
          <w:rFonts w:ascii="宋体" w:hAnsi="宋体" w:eastAsia="宋体" w:cs="宋体"/>
          <w:sz w:val="23"/>
          <w:szCs w:val="23"/>
        </w:rPr>
        <w:t xml:space="preserve"> </w:t>
      </w:r>
      <w:r>
        <w:rPr>
          <w:rFonts w:ascii="宋体" w:hAnsi="宋体" w:eastAsia="宋体" w:cs="宋体"/>
          <w:spacing w:val="4"/>
          <w:sz w:val="23"/>
          <w:szCs w:val="23"/>
        </w:rPr>
        <w:t>工业污染物排放标准》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31572-2015</w:t>
      </w:r>
      <w:r>
        <w:rPr>
          <w:rFonts w:ascii="宋体" w:hAnsi="宋体" w:eastAsia="宋体" w:cs="宋体"/>
          <w:spacing w:val="4"/>
          <w:sz w:val="23"/>
          <w:szCs w:val="23"/>
        </w:rPr>
        <w:t>) 相关标准的要</w:t>
      </w:r>
      <w:r>
        <w:rPr>
          <w:rFonts w:ascii="宋体" w:hAnsi="宋体" w:eastAsia="宋体" w:cs="宋体"/>
          <w:spacing w:val="3"/>
          <w:sz w:val="23"/>
          <w:szCs w:val="23"/>
        </w:rPr>
        <w:t>求</w:t>
      </w:r>
      <w:r>
        <w:rPr>
          <w:rFonts w:ascii="宋体" w:hAnsi="宋体" w:eastAsia="宋体" w:cs="宋体"/>
          <w:sz w:val="23"/>
          <w:szCs w:val="23"/>
        </w:rPr>
        <w:t>。</w:t>
      </w:r>
    </w:p>
    <w:p w14:paraId="05627FC4">
      <w:pPr>
        <w:spacing w:before="154" w:line="395" w:lineRule="auto"/>
        <w:ind w:left="24" w:right="80" w:firstLine="490"/>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9"/>
          <w:sz w:val="23"/>
          <w:szCs w:val="23"/>
        </w:rPr>
        <w:t>3</w:t>
      </w:r>
      <w:r>
        <w:rPr>
          <w:rFonts w:ascii="宋体" w:hAnsi="宋体" w:eastAsia="宋体" w:cs="宋体"/>
          <w:spacing w:val="6"/>
          <w:sz w:val="23"/>
          <w:szCs w:val="23"/>
        </w:rPr>
        <w:t xml:space="preserve">) 该项目新建的 </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的热风炉配备布袋除尘器，除尘效率大于 </w:t>
      </w:r>
      <w:r>
        <w:rPr>
          <w:rFonts w:ascii="Times New Roman" w:hAnsi="Times New Roman" w:eastAsia="Times New Roman" w:cs="Times New Roman"/>
          <w:spacing w:val="6"/>
          <w:sz w:val="23"/>
          <w:szCs w:val="23"/>
        </w:rPr>
        <w:t xml:space="preserve">99% </w:t>
      </w:r>
      <w:r>
        <w:rPr>
          <w:rFonts w:ascii="宋体" w:hAnsi="宋体" w:eastAsia="宋体" w:cs="宋体"/>
          <w:spacing w:val="6"/>
          <w:sz w:val="23"/>
          <w:szCs w:val="23"/>
        </w:rPr>
        <w:t>，热</w:t>
      </w:r>
      <w:r>
        <w:rPr>
          <w:rFonts w:ascii="宋体" w:hAnsi="宋体" w:eastAsia="宋体" w:cs="宋体"/>
          <w:sz w:val="23"/>
          <w:szCs w:val="23"/>
        </w:rPr>
        <w:t xml:space="preserve"> </w:t>
      </w:r>
      <w:r>
        <w:rPr>
          <w:rFonts w:ascii="宋体" w:hAnsi="宋体" w:eastAsia="宋体" w:cs="宋体"/>
          <w:spacing w:val="34"/>
          <w:sz w:val="23"/>
          <w:szCs w:val="23"/>
        </w:rPr>
        <w:t>风</w:t>
      </w:r>
      <w:r>
        <w:rPr>
          <w:rFonts w:ascii="宋体" w:hAnsi="宋体" w:eastAsia="宋体" w:cs="宋体"/>
          <w:spacing w:val="18"/>
          <w:sz w:val="23"/>
          <w:szCs w:val="23"/>
        </w:rPr>
        <w:t xml:space="preserve">炉产生的废气通过布袋除尘器处理后通过 </w:t>
      </w:r>
      <w:r>
        <w:rPr>
          <w:rFonts w:ascii="Times New Roman" w:hAnsi="Times New Roman" w:eastAsia="Times New Roman" w:cs="Times New Roman"/>
          <w:spacing w:val="18"/>
          <w:sz w:val="23"/>
          <w:szCs w:val="23"/>
        </w:rPr>
        <w:t xml:space="preserve">1 </w:t>
      </w:r>
      <w:r>
        <w:rPr>
          <w:rFonts w:ascii="宋体" w:hAnsi="宋体" w:eastAsia="宋体" w:cs="宋体"/>
          <w:spacing w:val="18"/>
          <w:sz w:val="23"/>
          <w:szCs w:val="23"/>
        </w:rPr>
        <w:t>个排气筒进行排放，设计排气</w:t>
      </w:r>
      <w:r>
        <w:rPr>
          <w:rFonts w:ascii="宋体" w:hAnsi="宋体" w:eastAsia="宋体" w:cs="宋体"/>
          <w:sz w:val="23"/>
          <w:szCs w:val="23"/>
        </w:rPr>
        <w:t xml:space="preserve"> </w:t>
      </w:r>
      <w:r>
        <w:rPr>
          <w:rFonts w:ascii="宋体" w:hAnsi="宋体" w:eastAsia="宋体" w:cs="宋体"/>
          <w:spacing w:val="14"/>
          <w:sz w:val="23"/>
          <w:szCs w:val="23"/>
        </w:rPr>
        <w:t>筒高度</w:t>
      </w:r>
      <w:r>
        <w:rPr>
          <w:rFonts w:ascii="宋体" w:hAnsi="宋体" w:eastAsia="宋体" w:cs="宋体"/>
          <w:spacing w:val="10"/>
          <w:sz w:val="23"/>
          <w:szCs w:val="23"/>
        </w:rPr>
        <w:t>为</w:t>
      </w:r>
      <w:r>
        <w:rPr>
          <w:rFonts w:ascii="宋体" w:hAnsi="宋体" w:eastAsia="宋体" w:cs="宋体"/>
          <w:spacing w:val="7"/>
          <w:sz w:val="23"/>
          <w:szCs w:val="23"/>
        </w:rPr>
        <w:t xml:space="preserve"> </w:t>
      </w:r>
      <w:r>
        <w:rPr>
          <w:rFonts w:ascii="Times New Roman" w:hAnsi="Times New Roman" w:eastAsia="Times New Roman" w:cs="Times New Roman"/>
          <w:spacing w:val="7"/>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(新建锅炉房的烟囱周围半径 </w:t>
      </w:r>
      <w:r>
        <w:rPr>
          <w:rFonts w:ascii="Times New Roman" w:hAnsi="Times New Roman" w:eastAsia="Times New Roman" w:cs="Times New Roman"/>
          <w:spacing w:val="7"/>
          <w:sz w:val="23"/>
          <w:szCs w:val="23"/>
        </w:rPr>
        <w:t>200</w:t>
      </w:r>
      <w:r>
        <w:rPr>
          <w:rFonts w:ascii="Times New Roman" w:hAnsi="Times New Roman" w:eastAsia="Times New Roman" w:cs="Times New Roman"/>
          <w:sz w:val="23"/>
          <w:szCs w:val="23"/>
        </w:rPr>
        <w:t>m</w:t>
      </w:r>
      <w:r>
        <w:rPr>
          <w:rFonts w:ascii="宋体" w:hAnsi="宋体" w:eastAsia="宋体" w:cs="宋体"/>
          <w:spacing w:val="7"/>
          <w:sz w:val="23"/>
          <w:szCs w:val="23"/>
        </w:rPr>
        <w:t>距离内有建筑物时，其烟囱应</w:t>
      </w:r>
      <w:r>
        <w:rPr>
          <w:rFonts w:ascii="宋体" w:hAnsi="宋体" w:eastAsia="宋体" w:cs="宋体"/>
          <w:sz w:val="23"/>
          <w:szCs w:val="23"/>
        </w:rPr>
        <w:t xml:space="preserve"> </w:t>
      </w:r>
      <w:r>
        <w:rPr>
          <w:rFonts w:ascii="宋体" w:hAnsi="宋体" w:eastAsia="宋体" w:cs="宋体"/>
          <w:spacing w:val="6"/>
          <w:sz w:val="23"/>
          <w:szCs w:val="23"/>
        </w:rPr>
        <w:t>高</w:t>
      </w:r>
      <w:r>
        <w:rPr>
          <w:rFonts w:ascii="宋体" w:hAnsi="宋体" w:eastAsia="宋体" w:cs="宋体"/>
          <w:spacing w:val="4"/>
          <w:sz w:val="23"/>
          <w:szCs w:val="23"/>
        </w:rPr>
        <w:t>出</w:t>
      </w:r>
      <w:r>
        <w:rPr>
          <w:rFonts w:ascii="宋体" w:hAnsi="宋体" w:eastAsia="宋体" w:cs="宋体"/>
          <w:spacing w:val="3"/>
          <w:sz w:val="23"/>
          <w:szCs w:val="23"/>
        </w:rPr>
        <w:t xml:space="preserve">最高建筑物 </w:t>
      </w:r>
      <w:r>
        <w:rPr>
          <w:rFonts w:ascii="Times New Roman" w:hAnsi="Times New Roman" w:eastAsia="Times New Roman" w:cs="Times New Roman"/>
          <w:spacing w:val="3"/>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以上) 。</w:t>
      </w:r>
    </w:p>
    <w:p w14:paraId="76E3F760">
      <w:pPr>
        <w:spacing w:before="144" w:line="386" w:lineRule="auto"/>
        <w:ind w:left="22" w:firstLine="492"/>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该项目排水主要包括生活污水以及生产废水，其中生产废水主要包括</w:t>
      </w:r>
      <w:r>
        <w:rPr>
          <w:rFonts w:ascii="宋体" w:hAnsi="宋体" w:eastAsia="宋体" w:cs="宋体"/>
          <w:sz w:val="23"/>
          <w:szCs w:val="23"/>
        </w:rPr>
        <w:t xml:space="preserve"> </w:t>
      </w:r>
      <w:r>
        <w:rPr>
          <w:rFonts w:ascii="宋体" w:hAnsi="宋体" w:eastAsia="宋体" w:cs="宋体"/>
          <w:spacing w:val="4"/>
          <w:sz w:val="23"/>
          <w:szCs w:val="23"/>
        </w:rPr>
        <w:t>破碎工序产生的废水，原料初洗</w:t>
      </w:r>
      <w:r>
        <w:rPr>
          <w:rFonts w:ascii="宋体" w:hAnsi="宋体" w:eastAsia="宋体" w:cs="宋体"/>
          <w:spacing w:val="2"/>
          <w:sz w:val="23"/>
          <w:szCs w:val="23"/>
        </w:rPr>
        <w:t>工序、洗字工序、二次清洗工序产生的清洗废水、</w:t>
      </w:r>
      <w:r>
        <w:rPr>
          <w:rFonts w:ascii="宋体" w:hAnsi="宋体" w:eastAsia="宋体" w:cs="宋体"/>
          <w:sz w:val="23"/>
          <w:szCs w:val="23"/>
        </w:rPr>
        <w:t xml:space="preserve"> </w:t>
      </w:r>
      <w:r>
        <w:rPr>
          <w:rFonts w:ascii="宋体" w:hAnsi="宋体" w:eastAsia="宋体" w:cs="宋体"/>
          <w:spacing w:val="7"/>
          <w:sz w:val="23"/>
          <w:szCs w:val="23"/>
        </w:rPr>
        <w:t xml:space="preserve">脱水工序产生的废水以及循环冷却废水，总排水量为 </w:t>
      </w:r>
      <w:r>
        <w:rPr>
          <w:rFonts w:ascii="Times New Roman" w:hAnsi="Times New Roman" w:eastAsia="Times New Roman" w:cs="Times New Roman"/>
          <w:spacing w:val="7"/>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。该项目在</w:t>
      </w:r>
      <w:r>
        <w:rPr>
          <w:rFonts w:ascii="宋体" w:hAnsi="宋体" w:eastAsia="宋体" w:cs="宋体"/>
          <w:spacing w:val="5"/>
          <w:sz w:val="23"/>
          <w:szCs w:val="23"/>
        </w:rPr>
        <w:t>厂</w:t>
      </w:r>
      <w:r>
        <w:rPr>
          <w:rFonts w:ascii="宋体" w:hAnsi="宋体" w:eastAsia="宋体" w:cs="宋体"/>
          <w:sz w:val="23"/>
          <w:szCs w:val="23"/>
        </w:rPr>
        <w:t xml:space="preserve"> </w:t>
      </w:r>
      <w:r>
        <w:rPr>
          <w:rFonts w:ascii="宋体" w:hAnsi="宋体" w:eastAsia="宋体" w:cs="宋体"/>
          <w:spacing w:val="14"/>
          <w:sz w:val="23"/>
          <w:szCs w:val="23"/>
        </w:rPr>
        <w:t>区</w:t>
      </w:r>
      <w:r>
        <w:rPr>
          <w:rFonts w:ascii="宋体" w:hAnsi="宋体" w:eastAsia="宋体" w:cs="宋体"/>
          <w:spacing w:val="12"/>
          <w:sz w:val="23"/>
          <w:szCs w:val="23"/>
        </w:rPr>
        <w:t xml:space="preserve">东南侧设有旱厕，员工使用防渗旱厕，定期清掏，不外排；项目设有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座容</w:t>
      </w:r>
      <w:r>
        <w:rPr>
          <w:rFonts w:ascii="宋体" w:hAnsi="宋体" w:eastAsia="宋体" w:cs="宋体"/>
          <w:sz w:val="23"/>
          <w:szCs w:val="23"/>
        </w:rPr>
        <w:t xml:space="preserve"> </w:t>
      </w:r>
      <w:r>
        <w:rPr>
          <w:rFonts w:ascii="宋体" w:hAnsi="宋体" w:eastAsia="宋体" w:cs="宋体"/>
          <w:spacing w:val="2"/>
          <w:sz w:val="23"/>
          <w:szCs w:val="23"/>
        </w:rPr>
        <w:t xml:space="preserve">积为 </w:t>
      </w:r>
      <w:r>
        <w:rPr>
          <w:rFonts w:ascii="Times New Roman" w:hAnsi="Times New Roman" w:eastAsia="Times New Roman" w:cs="Times New Roman"/>
          <w:spacing w:val="2"/>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的三级沉淀池 (</w:t>
      </w:r>
      <w:r>
        <w:rPr>
          <w:rFonts w:ascii="Times New Roman" w:hAnsi="Times New Roman" w:eastAsia="Times New Roman" w:cs="Times New Roman"/>
          <w:spacing w:val="2"/>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×4.5</w:t>
      </w:r>
      <w:r>
        <w:rPr>
          <w:rFonts w:ascii="Times New Roman" w:hAnsi="Times New Roman" w:eastAsia="Times New Roman" w:cs="Times New Roman"/>
          <w:sz w:val="23"/>
          <w:szCs w:val="23"/>
        </w:rPr>
        <w:t>m</w:t>
      </w:r>
      <w:r>
        <w:rPr>
          <w:rFonts w:ascii="宋体" w:hAnsi="宋体" w:eastAsia="宋体" w:cs="宋体"/>
          <w:spacing w:val="2"/>
          <w:sz w:val="23"/>
          <w:szCs w:val="23"/>
        </w:rPr>
        <w:t xml:space="preserve">) ，同时配套设有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台一体化污水</w:t>
      </w:r>
      <w:r>
        <w:rPr>
          <w:rFonts w:ascii="宋体" w:hAnsi="宋体" w:eastAsia="宋体" w:cs="宋体"/>
          <w:spacing w:val="1"/>
          <w:sz w:val="23"/>
          <w:szCs w:val="23"/>
        </w:rPr>
        <w:t>预</w:t>
      </w:r>
      <w:r>
        <w:rPr>
          <w:rFonts w:ascii="宋体" w:hAnsi="宋体" w:eastAsia="宋体" w:cs="宋体"/>
          <w:sz w:val="23"/>
          <w:szCs w:val="23"/>
        </w:rPr>
        <w:t xml:space="preserve">处 </w:t>
      </w:r>
      <w:r>
        <w:rPr>
          <w:rFonts w:ascii="宋体" w:hAnsi="宋体" w:eastAsia="宋体" w:cs="宋体"/>
          <w:spacing w:val="9"/>
          <w:sz w:val="23"/>
          <w:szCs w:val="23"/>
        </w:rPr>
        <w:t>理</w:t>
      </w:r>
      <w:r>
        <w:rPr>
          <w:rFonts w:ascii="宋体" w:hAnsi="宋体" w:eastAsia="宋体" w:cs="宋体"/>
          <w:spacing w:val="7"/>
          <w:sz w:val="23"/>
          <w:szCs w:val="23"/>
        </w:rPr>
        <w:t>设备，均位于生产厂房西南侧，产生的生产废水经一体化污水预处理设备处理</w:t>
      </w:r>
      <w:r>
        <w:rPr>
          <w:rFonts w:ascii="宋体" w:hAnsi="宋体" w:eastAsia="宋体" w:cs="宋体"/>
          <w:sz w:val="23"/>
          <w:szCs w:val="23"/>
        </w:rPr>
        <w:t xml:space="preserve"> </w:t>
      </w:r>
      <w:r>
        <w:rPr>
          <w:rFonts w:ascii="宋体" w:hAnsi="宋体" w:eastAsia="宋体" w:cs="宋体"/>
          <w:spacing w:val="10"/>
          <w:sz w:val="23"/>
          <w:szCs w:val="23"/>
        </w:rPr>
        <w:t>后排入三</w:t>
      </w:r>
      <w:r>
        <w:rPr>
          <w:rFonts w:ascii="宋体" w:hAnsi="宋体" w:eastAsia="宋体" w:cs="宋体"/>
          <w:spacing w:val="6"/>
          <w:sz w:val="23"/>
          <w:szCs w:val="23"/>
        </w:rPr>
        <w:t>级</w:t>
      </w:r>
      <w:r>
        <w:rPr>
          <w:rFonts w:ascii="宋体" w:hAnsi="宋体" w:eastAsia="宋体" w:cs="宋体"/>
          <w:spacing w:val="5"/>
          <w:sz w:val="23"/>
          <w:szCs w:val="23"/>
        </w:rPr>
        <w:t>沉淀池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pacing w:val="5"/>
          <w:sz w:val="23"/>
          <w:szCs w:val="23"/>
        </w:rPr>
        <w:t>) 沉淀处理，随后循环使用。污水处理设施废</w:t>
      </w:r>
      <w:r>
        <w:rPr>
          <w:rFonts w:ascii="宋体" w:hAnsi="宋体" w:eastAsia="宋体" w:cs="宋体"/>
          <w:sz w:val="23"/>
          <w:szCs w:val="23"/>
        </w:rPr>
        <w:t xml:space="preserve"> </w:t>
      </w:r>
      <w:r>
        <w:rPr>
          <w:rFonts w:ascii="宋体" w:hAnsi="宋体" w:eastAsia="宋体" w:cs="宋体"/>
          <w:spacing w:val="-1"/>
          <w:sz w:val="23"/>
          <w:szCs w:val="23"/>
        </w:rPr>
        <w:t xml:space="preserve">水每月更换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次，则该项目全年更换废水量为 </w:t>
      </w:r>
      <w:r>
        <w:rPr>
          <w:rFonts w:ascii="Times New Roman" w:hAnsi="Times New Roman" w:eastAsia="Times New Roman" w:cs="Times New Roman"/>
          <w:spacing w:val="-1"/>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z w:val="23"/>
          <w:szCs w:val="23"/>
        </w:rPr>
        <w:t xml:space="preserve">，更换过程产生的废水经 </w:t>
      </w:r>
      <w:r>
        <w:rPr>
          <w:rFonts w:ascii="宋体" w:hAnsi="宋体" w:eastAsia="宋体" w:cs="宋体"/>
          <w:spacing w:val="1"/>
          <w:sz w:val="23"/>
          <w:szCs w:val="23"/>
        </w:rPr>
        <w:t>吸污车运送至本溪市科态污水处理有限</w:t>
      </w:r>
      <w:r>
        <w:rPr>
          <w:rFonts w:ascii="宋体" w:hAnsi="宋体" w:eastAsia="宋体" w:cs="宋体"/>
          <w:sz w:val="23"/>
          <w:szCs w:val="23"/>
        </w:rPr>
        <w:t xml:space="preserve">责任公司统一处理，能够达到《辽宁省污水 </w:t>
      </w:r>
      <w:r>
        <w:rPr>
          <w:rFonts w:ascii="宋体" w:hAnsi="宋体" w:eastAsia="宋体" w:cs="宋体"/>
          <w:spacing w:val="8"/>
          <w:sz w:val="23"/>
          <w:szCs w:val="23"/>
        </w:rPr>
        <w:t>综合排放标</w:t>
      </w:r>
      <w:r>
        <w:rPr>
          <w:rFonts w:ascii="宋体" w:hAnsi="宋体" w:eastAsia="宋体" w:cs="宋体"/>
          <w:spacing w:val="4"/>
          <w:sz w:val="23"/>
          <w:szCs w:val="23"/>
        </w:rPr>
        <w:t>准》 (</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21/ 1627-2008</w:t>
      </w:r>
      <w:r>
        <w:rPr>
          <w:rFonts w:ascii="宋体" w:hAnsi="宋体" w:eastAsia="宋体" w:cs="宋体"/>
          <w:spacing w:val="4"/>
          <w:sz w:val="23"/>
          <w:szCs w:val="23"/>
        </w:rPr>
        <w:t>) 中排入污水处理厂的水污染物最高允许排放</w:t>
      </w:r>
      <w:r>
        <w:rPr>
          <w:rFonts w:ascii="宋体" w:hAnsi="宋体" w:eastAsia="宋体" w:cs="宋体"/>
          <w:sz w:val="23"/>
          <w:szCs w:val="23"/>
        </w:rPr>
        <w:t xml:space="preserve"> </w:t>
      </w:r>
      <w:r>
        <w:rPr>
          <w:rFonts w:ascii="宋体" w:hAnsi="宋体" w:eastAsia="宋体" w:cs="宋体"/>
          <w:spacing w:val="12"/>
          <w:sz w:val="23"/>
          <w:szCs w:val="23"/>
        </w:rPr>
        <w:t>浓</w:t>
      </w:r>
      <w:r>
        <w:rPr>
          <w:rFonts w:ascii="宋体" w:hAnsi="宋体" w:eastAsia="宋体" w:cs="宋体"/>
          <w:spacing w:val="9"/>
          <w:sz w:val="23"/>
          <w:szCs w:val="23"/>
        </w:rPr>
        <w:t>度限制要求，对当地地表水环境质量影响不大。</w:t>
      </w:r>
    </w:p>
    <w:p w14:paraId="52982041">
      <w:pPr>
        <w:sectPr>
          <w:headerReference r:id="rId28" w:type="default"/>
          <w:footerReference r:id="rId29" w:type="default"/>
          <w:pgSz w:w="11906" w:h="16839"/>
          <w:pgMar w:top="1132" w:right="1716" w:bottom="899" w:left="1785" w:header="878" w:footer="739" w:gutter="0"/>
          <w:cols w:space="720" w:num="1"/>
        </w:sectPr>
      </w:pPr>
    </w:p>
    <w:p w14:paraId="30639B3C">
      <w:pPr>
        <w:spacing w:line="410" w:lineRule="auto"/>
        <w:rPr>
          <w:rFonts w:ascii="Arial"/>
          <w:sz w:val="21"/>
        </w:rPr>
      </w:pPr>
      <w:r>
        <w:pict>
          <v:shape id="_x0000_s1041" o:spid="_x0000_s1041" style="position:absolute;left:0pt;margin-left:90pt;margin-top:57.35pt;height:0.75pt;width:415.3pt;mso-position-horizontal-relative:page;mso-position-vertical-relative:page;z-index:251679744;mso-width-relative:page;mso-height-relative:page;" fillcolor="#000000" filled="t" stroked="f" coordsize="8305,15" o:allowincell="f" path="m0,0l8305,0,8305,14,0,14,0,0xe">
            <v:path/>
            <v:fill on="t" focussize="0,0"/>
            <v:stroke on="f"/>
            <v:imagedata o:title=""/>
            <o:lock v:ext="edit"/>
          </v:shape>
        </w:pict>
      </w:r>
    </w:p>
    <w:p w14:paraId="522E65E5">
      <w:pPr>
        <w:spacing w:before="75" w:line="390" w:lineRule="auto"/>
        <w:ind w:left="24" w:right="44" w:firstLine="490"/>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5</w:t>
      </w:r>
      <w:r>
        <w:rPr>
          <w:rFonts w:ascii="宋体" w:hAnsi="宋体" w:eastAsia="宋体" w:cs="宋体"/>
          <w:spacing w:val="13"/>
          <w:sz w:val="23"/>
          <w:szCs w:val="23"/>
        </w:rPr>
        <w:t>) 项目噪声主要为生产设备运行中辐射噪声，产生较大噪声的噪声源主</w:t>
      </w:r>
      <w:r>
        <w:rPr>
          <w:rFonts w:ascii="宋体" w:hAnsi="宋体" w:eastAsia="宋体" w:cs="宋体"/>
          <w:sz w:val="23"/>
          <w:szCs w:val="23"/>
        </w:rPr>
        <w:t xml:space="preserve"> </w:t>
      </w:r>
      <w:r>
        <w:rPr>
          <w:rFonts w:ascii="宋体" w:hAnsi="宋体" w:eastAsia="宋体" w:cs="宋体"/>
          <w:spacing w:val="16"/>
          <w:sz w:val="23"/>
          <w:szCs w:val="23"/>
        </w:rPr>
        <w:t>要有</w:t>
      </w:r>
      <w:r>
        <w:rPr>
          <w:rFonts w:ascii="宋体" w:hAnsi="宋体" w:eastAsia="宋体" w:cs="宋体"/>
          <w:spacing w:val="14"/>
          <w:sz w:val="23"/>
          <w:szCs w:val="23"/>
        </w:rPr>
        <w:t>各</w:t>
      </w:r>
      <w:r>
        <w:rPr>
          <w:rFonts w:ascii="宋体" w:hAnsi="宋体" w:eastAsia="宋体" w:cs="宋体"/>
          <w:spacing w:val="8"/>
          <w:sz w:val="23"/>
          <w:szCs w:val="23"/>
        </w:rPr>
        <w:t>喂料机、偏心清洗机、粉碎机等设备。项目所有设备噪声源均置于室内，</w:t>
      </w:r>
      <w:r>
        <w:rPr>
          <w:rFonts w:ascii="宋体" w:hAnsi="宋体" w:eastAsia="宋体" w:cs="宋体"/>
          <w:sz w:val="23"/>
          <w:szCs w:val="23"/>
        </w:rPr>
        <w:t xml:space="preserve"> </w:t>
      </w:r>
      <w:r>
        <w:rPr>
          <w:rFonts w:ascii="宋体" w:hAnsi="宋体" w:eastAsia="宋体" w:cs="宋体"/>
          <w:spacing w:val="28"/>
          <w:sz w:val="23"/>
          <w:szCs w:val="23"/>
        </w:rPr>
        <w:t>首</w:t>
      </w:r>
      <w:r>
        <w:rPr>
          <w:rFonts w:ascii="宋体" w:hAnsi="宋体" w:eastAsia="宋体" w:cs="宋体"/>
          <w:spacing w:val="18"/>
          <w:sz w:val="23"/>
          <w:szCs w:val="23"/>
        </w:rPr>
        <w:t>选</w:t>
      </w:r>
      <w:r>
        <w:rPr>
          <w:rFonts w:ascii="宋体" w:hAnsi="宋体" w:eastAsia="宋体" w:cs="宋体"/>
          <w:spacing w:val="14"/>
          <w:sz w:val="23"/>
          <w:szCs w:val="23"/>
        </w:rPr>
        <w:t>低噪声设备，通过减振、隔声， 以达到降噪目的。</w:t>
      </w:r>
    </w:p>
    <w:p w14:paraId="351F7795">
      <w:pPr>
        <w:spacing w:before="138" w:line="390" w:lineRule="auto"/>
        <w:ind w:left="23" w:right="101" w:firstLine="491"/>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6</w:t>
      </w:r>
      <w:r>
        <w:rPr>
          <w:rFonts w:ascii="宋体" w:hAnsi="宋体" w:eastAsia="宋体" w:cs="宋体"/>
          <w:spacing w:val="13"/>
          <w:sz w:val="23"/>
          <w:szCs w:val="23"/>
        </w:rPr>
        <w:t>) 该项目固体废物主要为员工产生的生活垃圾、危险废物以及一般工业</w:t>
      </w:r>
      <w:r>
        <w:rPr>
          <w:rFonts w:ascii="宋体" w:hAnsi="宋体" w:eastAsia="宋体" w:cs="宋体"/>
          <w:sz w:val="23"/>
          <w:szCs w:val="23"/>
        </w:rPr>
        <w:t xml:space="preserve"> </w:t>
      </w:r>
      <w:r>
        <w:rPr>
          <w:rFonts w:ascii="宋体" w:hAnsi="宋体" w:eastAsia="宋体" w:cs="宋体"/>
          <w:spacing w:val="26"/>
          <w:sz w:val="23"/>
          <w:szCs w:val="23"/>
        </w:rPr>
        <w:t>固</w:t>
      </w:r>
      <w:r>
        <w:rPr>
          <w:rFonts w:ascii="宋体" w:hAnsi="宋体" w:eastAsia="宋体" w:cs="宋体"/>
          <w:spacing w:val="23"/>
          <w:sz w:val="23"/>
          <w:szCs w:val="23"/>
        </w:rPr>
        <w:t>体</w:t>
      </w:r>
      <w:r>
        <w:rPr>
          <w:rFonts w:ascii="宋体" w:hAnsi="宋体" w:eastAsia="宋体" w:cs="宋体"/>
          <w:spacing w:val="13"/>
          <w:sz w:val="23"/>
          <w:szCs w:val="23"/>
        </w:rPr>
        <w:t>废物，其中一般工业固体废物包括杂质、沉淀池污泥、废滤网、热风炉炉</w:t>
      </w:r>
      <w:r>
        <w:rPr>
          <w:rFonts w:ascii="宋体" w:hAnsi="宋体" w:eastAsia="宋体" w:cs="宋体"/>
          <w:sz w:val="23"/>
          <w:szCs w:val="23"/>
        </w:rPr>
        <w:t xml:space="preserve"> </w:t>
      </w:r>
      <w:r>
        <w:rPr>
          <w:rFonts w:ascii="宋体" w:hAnsi="宋体" w:eastAsia="宋体" w:cs="宋体"/>
          <w:spacing w:val="22"/>
          <w:sz w:val="23"/>
          <w:szCs w:val="23"/>
        </w:rPr>
        <w:t>渣</w:t>
      </w:r>
      <w:r>
        <w:rPr>
          <w:rFonts w:ascii="宋体" w:hAnsi="宋体" w:eastAsia="宋体" w:cs="宋体"/>
          <w:spacing w:val="18"/>
          <w:sz w:val="23"/>
          <w:szCs w:val="23"/>
        </w:rPr>
        <w:t>以</w:t>
      </w:r>
      <w:r>
        <w:rPr>
          <w:rFonts w:ascii="宋体" w:hAnsi="宋体" w:eastAsia="宋体" w:cs="宋体"/>
          <w:spacing w:val="11"/>
          <w:sz w:val="23"/>
          <w:szCs w:val="23"/>
        </w:rPr>
        <w:t xml:space="preserve">及除尘器收集的粉尘，危险废物主要为废活性炭、废 </w:t>
      </w:r>
      <w:r>
        <w:rPr>
          <w:rFonts w:ascii="Times New Roman" w:hAnsi="Times New Roman" w:eastAsia="Times New Roman" w:cs="Times New Roman"/>
          <w:sz w:val="23"/>
          <w:szCs w:val="23"/>
        </w:rPr>
        <w:t>uv</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光解灯管。</w:t>
      </w:r>
    </w:p>
    <w:p w14:paraId="40BB6401">
      <w:pPr>
        <w:spacing w:before="131" w:line="387" w:lineRule="auto"/>
        <w:ind w:left="22" w:right="16" w:firstLine="484"/>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1"/>
          <w:sz w:val="23"/>
          <w:szCs w:val="23"/>
        </w:rPr>
        <w:t>项</w:t>
      </w:r>
      <w:r>
        <w:rPr>
          <w:rFonts w:ascii="宋体" w:hAnsi="宋体" w:eastAsia="宋体" w:cs="宋体"/>
          <w:spacing w:val="9"/>
          <w:sz w:val="23"/>
          <w:szCs w:val="23"/>
        </w:rPr>
        <w:t>目在厂区内设置集中收集垃圾箱，员工生活垃圾收集到指定垃圾箱内，</w:t>
      </w:r>
      <w:r>
        <w:rPr>
          <w:rFonts w:ascii="宋体" w:hAnsi="宋体" w:eastAsia="宋体" w:cs="宋体"/>
          <w:sz w:val="23"/>
          <w:szCs w:val="23"/>
        </w:rPr>
        <w:t xml:space="preserve"> </w:t>
      </w:r>
      <w:r>
        <w:rPr>
          <w:rFonts w:ascii="宋体" w:hAnsi="宋体" w:eastAsia="宋体" w:cs="宋体"/>
          <w:spacing w:val="9"/>
          <w:sz w:val="23"/>
          <w:szCs w:val="23"/>
        </w:rPr>
        <w:t>随</w:t>
      </w:r>
      <w:r>
        <w:rPr>
          <w:rFonts w:ascii="宋体" w:hAnsi="宋体" w:eastAsia="宋体" w:cs="宋体"/>
          <w:spacing w:val="7"/>
          <w:sz w:val="23"/>
          <w:szCs w:val="23"/>
        </w:rPr>
        <w:t>后运送至环卫部门指定地点统一处理；产生的杂质集中收集后，与生活垃圾统</w:t>
      </w:r>
      <w:r>
        <w:rPr>
          <w:rFonts w:ascii="宋体" w:hAnsi="宋体" w:eastAsia="宋体" w:cs="宋体"/>
          <w:sz w:val="23"/>
          <w:szCs w:val="23"/>
        </w:rPr>
        <w:t xml:space="preserve"> </w:t>
      </w:r>
      <w:r>
        <w:rPr>
          <w:rFonts w:ascii="宋体" w:hAnsi="宋体" w:eastAsia="宋体" w:cs="宋体"/>
          <w:spacing w:val="9"/>
          <w:sz w:val="23"/>
          <w:szCs w:val="23"/>
        </w:rPr>
        <w:t>一</w:t>
      </w:r>
      <w:r>
        <w:rPr>
          <w:rFonts w:ascii="宋体" w:hAnsi="宋体" w:eastAsia="宋体" w:cs="宋体"/>
          <w:spacing w:val="7"/>
          <w:sz w:val="23"/>
          <w:szCs w:val="23"/>
        </w:rPr>
        <w:t>运送至环卫部门指定地点统一处理；生产废水处理过程中产生的污泥经压滤后</w:t>
      </w:r>
      <w:r>
        <w:rPr>
          <w:rFonts w:ascii="宋体" w:hAnsi="宋体" w:eastAsia="宋体" w:cs="宋体"/>
          <w:sz w:val="23"/>
          <w:szCs w:val="23"/>
        </w:rPr>
        <w:t xml:space="preserve"> </w:t>
      </w:r>
      <w:r>
        <w:rPr>
          <w:rFonts w:ascii="宋体" w:hAnsi="宋体" w:eastAsia="宋体" w:cs="宋体"/>
          <w:spacing w:val="26"/>
          <w:sz w:val="23"/>
          <w:szCs w:val="23"/>
        </w:rPr>
        <w:t>可</w:t>
      </w:r>
      <w:r>
        <w:rPr>
          <w:rFonts w:ascii="宋体" w:hAnsi="宋体" w:eastAsia="宋体" w:cs="宋体"/>
          <w:spacing w:val="23"/>
          <w:sz w:val="23"/>
          <w:szCs w:val="23"/>
        </w:rPr>
        <w:t>与</w:t>
      </w:r>
      <w:r>
        <w:rPr>
          <w:rFonts w:ascii="宋体" w:hAnsi="宋体" w:eastAsia="宋体" w:cs="宋体"/>
          <w:spacing w:val="13"/>
          <w:sz w:val="23"/>
          <w:szCs w:val="23"/>
        </w:rPr>
        <w:t>生活垃圾一起运送至环卫部门指定地点统一处理；热风炉燃烧生物质产生</w:t>
      </w:r>
      <w:r>
        <w:rPr>
          <w:rFonts w:ascii="宋体" w:hAnsi="宋体" w:eastAsia="宋体" w:cs="宋体"/>
          <w:sz w:val="23"/>
          <w:szCs w:val="23"/>
        </w:rPr>
        <w:t xml:space="preserve"> </w:t>
      </w:r>
      <w:r>
        <w:rPr>
          <w:rFonts w:ascii="宋体" w:hAnsi="宋体" w:eastAsia="宋体" w:cs="宋体"/>
          <w:spacing w:val="35"/>
          <w:sz w:val="23"/>
          <w:szCs w:val="23"/>
        </w:rPr>
        <w:t>的</w:t>
      </w:r>
      <w:r>
        <w:rPr>
          <w:rFonts w:ascii="宋体" w:hAnsi="宋体" w:eastAsia="宋体" w:cs="宋体"/>
          <w:spacing w:val="21"/>
          <w:sz w:val="23"/>
          <w:szCs w:val="23"/>
        </w:rPr>
        <w:t>炉渣及及除尘器收集的粉尘定期外卖给农肥厂进行综合利用；产生的废滤</w:t>
      </w:r>
      <w:r>
        <w:rPr>
          <w:rFonts w:ascii="宋体" w:hAnsi="宋体" w:eastAsia="宋体" w:cs="宋体"/>
          <w:sz w:val="23"/>
          <w:szCs w:val="23"/>
        </w:rPr>
        <w:t xml:space="preserve"> </w:t>
      </w:r>
      <w:r>
        <w:rPr>
          <w:rFonts w:ascii="宋体" w:hAnsi="宋体" w:eastAsia="宋体" w:cs="宋体"/>
          <w:spacing w:val="34"/>
          <w:sz w:val="23"/>
          <w:szCs w:val="23"/>
        </w:rPr>
        <w:t>网</w:t>
      </w:r>
      <w:r>
        <w:rPr>
          <w:rFonts w:ascii="宋体" w:hAnsi="宋体" w:eastAsia="宋体" w:cs="宋体"/>
          <w:spacing w:val="26"/>
          <w:sz w:val="23"/>
          <w:szCs w:val="23"/>
        </w:rPr>
        <w:t>均</w:t>
      </w:r>
      <w:r>
        <w:rPr>
          <w:rFonts w:ascii="宋体" w:hAnsi="宋体" w:eastAsia="宋体" w:cs="宋体"/>
          <w:spacing w:val="17"/>
          <w:sz w:val="23"/>
          <w:szCs w:val="23"/>
        </w:rPr>
        <w:t>由厂家定期回收；产生的废活性炭属于</w:t>
      </w:r>
      <w:r>
        <w:rPr>
          <w:rFonts w:ascii="Times New Roman" w:hAnsi="Times New Roman" w:eastAsia="Times New Roman" w:cs="Times New Roman"/>
          <w:spacing w:val="17"/>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17"/>
          <w:sz w:val="23"/>
          <w:szCs w:val="23"/>
        </w:rPr>
        <w:t xml:space="preserve">49  </w:t>
      </w:r>
      <w:r>
        <w:rPr>
          <w:rFonts w:ascii="宋体" w:hAnsi="宋体" w:eastAsia="宋体" w:cs="宋体"/>
          <w:spacing w:val="17"/>
          <w:sz w:val="23"/>
          <w:szCs w:val="23"/>
        </w:rPr>
        <w:t>其他废物</w:t>
      </w:r>
      <w:r>
        <w:rPr>
          <w:rFonts w:ascii="Times New Roman" w:hAnsi="Times New Roman" w:eastAsia="Times New Roman" w:cs="Times New Roman"/>
          <w:spacing w:val="17"/>
          <w:sz w:val="23"/>
          <w:szCs w:val="23"/>
        </w:rPr>
        <w:t xml:space="preserve">” </w:t>
      </w:r>
      <w:r>
        <w:rPr>
          <w:rFonts w:ascii="宋体" w:hAnsi="宋体" w:eastAsia="宋体" w:cs="宋体"/>
          <w:spacing w:val="17"/>
          <w:sz w:val="23"/>
          <w:szCs w:val="23"/>
        </w:rPr>
        <w:t>，废物代码为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9</w:t>
      </w:r>
      <w:r>
        <w:rPr>
          <w:rFonts w:ascii="Times New Roman" w:hAnsi="Times New Roman" w:eastAsia="Times New Roman" w:cs="Times New Roman"/>
          <w:spacing w:val="4"/>
          <w:sz w:val="23"/>
          <w:szCs w:val="23"/>
        </w:rPr>
        <w:t xml:space="preserve">00-041-49 </w:t>
      </w:r>
      <w:r>
        <w:rPr>
          <w:rFonts w:ascii="宋体" w:hAnsi="宋体" w:eastAsia="宋体" w:cs="宋体"/>
          <w:spacing w:val="4"/>
          <w:sz w:val="23"/>
          <w:szCs w:val="23"/>
        </w:rPr>
        <w:t>，即</w:t>
      </w:r>
      <w:r>
        <w:rPr>
          <w:rFonts w:ascii="Times New Roman" w:hAnsi="Times New Roman" w:eastAsia="Times New Roman" w:cs="Times New Roman"/>
          <w:spacing w:val="4"/>
          <w:sz w:val="23"/>
          <w:szCs w:val="23"/>
        </w:rPr>
        <w:t>“</w:t>
      </w:r>
      <w:r>
        <w:rPr>
          <w:rFonts w:ascii="宋体" w:hAnsi="宋体" w:eastAsia="宋体" w:cs="宋体"/>
          <w:spacing w:val="4"/>
          <w:sz w:val="23"/>
          <w:szCs w:val="23"/>
        </w:rPr>
        <w:t>含有或沾染毒性、感染性危险废物的废弃包装物、容器、过滤吸</w:t>
      </w:r>
      <w:r>
        <w:rPr>
          <w:rFonts w:ascii="宋体" w:hAnsi="宋体" w:eastAsia="宋体" w:cs="宋体"/>
          <w:sz w:val="23"/>
          <w:szCs w:val="23"/>
        </w:rPr>
        <w:t xml:space="preserve"> </w:t>
      </w:r>
      <w:r>
        <w:rPr>
          <w:rFonts w:ascii="宋体" w:hAnsi="宋体" w:eastAsia="宋体" w:cs="宋体"/>
          <w:spacing w:val="4"/>
          <w:sz w:val="23"/>
          <w:szCs w:val="23"/>
        </w:rPr>
        <w:t>附介质</w:t>
      </w:r>
      <w:r>
        <w:rPr>
          <w:rFonts w:ascii="Times New Roman" w:hAnsi="Times New Roman" w:eastAsia="Times New Roman" w:cs="Times New Roman"/>
          <w:spacing w:val="4"/>
          <w:sz w:val="23"/>
          <w:szCs w:val="23"/>
        </w:rPr>
        <w:t>”</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(毒性) ，</w:t>
      </w:r>
      <w:r>
        <w:rPr>
          <w:rFonts w:ascii="Times New Roman" w:hAnsi="Times New Roman" w:eastAsia="Times New Roman" w:cs="Times New Roman"/>
          <w:sz w:val="23"/>
          <w:szCs w:val="23"/>
        </w:rPr>
        <w:t>In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(感染性) </w:t>
      </w:r>
      <w:r>
        <w:rPr>
          <w:rFonts w:ascii="Times New Roman" w:hAnsi="Times New Roman" w:eastAsia="Times New Roman" w:cs="Times New Roman"/>
          <w:spacing w:val="2"/>
          <w:sz w:val="23"/>
          <w:szCs w:val="23"/>
        </w:rPr>
        <w:t>”</w:t>
      </w:r>
      <w:r>
        <w:rPr>
          <w:rFonts w:ascii="宋体" w:hAnsi="宋体" w:eastAsia="宋体" w:cs="宋体"/>
          <w:spacing w:val="2"/>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光解灯管属于</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2"/>
          <w:sz w:val="23"/>
          <w:szCs w:val="23"/>
        </w:rPr>
        <w:t xml:space="preserve">29  </w:t>
      </w:r>
      <w:r>
        <w:rPr>
          <w:rFonts w:ascii="宋体" w:hAnsi="宋体" w:eastAsia="宋体" w:cs="宋体"/>
          <w:spacing w:val="2"/>
          <w:sz w:val="23"/>
          <w:szCs w:val="23"/>
        </w:rPr>
        <w:t>含</w:t>
      </w:r>
      <w:r>
        <w:rPr>
          <w:rFonts w:ascii="宋体" w:hAnsi="宋体" w:eastAsia="宋体" w:cs="宋体"/>
          <w:sz w:val="23"/>
          <w:szCs w:val="23"/>
        </w:rPr>
        <w:t xml:space="preserve"> </w:t>
      </w:r>
      <w:r>
        <w:rPr>
          <w:rFonts w:ascii="宋体" w:hAnsi="宋体" w:eastAsia="宋体" w:cs="宋体"/>
          <w:spacing w:val="3"/>
          <w:sz w:val="23"/>
          <w:szCs w:val="23"/>
        </w:rPr>
        <w:t>汞废物</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，废物代码为 </w:t>
      </w:r>
      <w:r>
        <w:rPr>
          <w:rFonts w:ascii="Times New Roman" w:hAnsi="Times New Roman" w:eastAsia="Times New Roman" w:cs="Times New Roman"/>
          <w:spacing w:val="3"/>
          <w:sz w:val="23"/>
          <w:szCs w:val="23"/>
        </w:rPr>
        <w:t xml:space="preserve">900-023-29 </w:t>
      </w:r>
      <w:r>
        <w:rPr>
          <w:rFonts w:ascii="宋体" w:hAnsi="宋体" w:eastAsia="宋体" w:cs="宋体"/>
          <w:spacing w:val="3"/>
          <w:sz w:val="23"/>
          <w:szCs w:val="23"/>
        </w:rPr>
        <w:t>，即</w:t>
      </w:r>
      <w:r>
        <w:rPr>
          <w:rFonts w:ascii="Times New Roman" w:hAnsi="Times New Roman" w:eastAsia="Times New Roman" w:cs="Times New Roman"/>
          <w:spacing w:val="3"/>
          <w:sz w:val="23"/>
          <w:szCs w:val="23"/>
        </w:rPr>
        <w:t>“</w:t>
      </w:r>
      <w:r>
        <w:rPr>
          <w:rFonts w:ascii="宋体" w:hAnsi="宋体" w:eastAsia="宋体" w:cs="宋体"/>
          <w:spacing w:val="3"/>
          <w:sz w:val="23"/>
          <w:szCs w:val="23"/>
        </w:rPr>
        <w:t>生产、销售及使用过程中产生的废</w:t>
      </w:r>
      <w:r>
        <w:rPr>
          <w:rFonts w:ascii="宋体" w:hAnsi="宋体" w:eastAsia="宋体" w:cs="宋体"/>
          <w:spacing w:val="2"/>
          <w:sz w:val="23"/>
          <w:szCs w:val="23"/>
        </w:rPr>
        <w:t>含</w:t>
      </w:r>
      <w:r>
        <w:rPr>
          <w:rFonts w:ascii="宋体" w:hAnsi="宋体" w:eastAsia="宋体" w:cs="宋体"/>
          <w:sz w:val="23"/>
          <w:szCs w:val="23"/>
        </w:rPr>
        <w:t xml:space="preserve">汞荧 </w:t>
      </w:r>
      <w:r>
        <w:rPr>
          <w:rFonts w:ascii="宋体" w:hAnsi="宋体" w:eastAsia="宋体" w:cs="宋体"/>
          <w:spacing w:val="8"/>
          <w:sz w:val="23"/>
          <w:szCs w:val="23"/>
        </w:rPr>
        <w:t>光灯管及</w:t>
      </w:r>
      <w:r>
        <w:rPr>
          <w:rFonts w:ascii="宋体" w:hAnsi="宋体" w:eastAsia="宋体" w:cs="宋体"/>
          <w:spacing w:val="5"/>
          <w:sz w:val="23"/>
          <w:szCs w:val="23"/>
        </w:rPr>
        <w:t>其</w:t>
      </w:r>
      <w:r>
        <w:rPr>
          <w:rFonts w:ascii="宋体" w:hAnsi="宋体" w:eastAsia="宋体" w:cs="宋体"/>
          <w:spacing w:val="4"/>
          <w:sz w:val="23"/>
          <w:szCs w:val="23"/>
        </w:rPr>
        <w:t>他废含汞电光源</w:t>
      </w:r>
      <w:r>
        <w:rPr>
          <w:rFonts w:ascii="Times New Roman" w:hAnsi="Times New Roman" w:eastAsia="Times New Roman" w:cs="Times New Roman"/>
          <w:spacing w:val="4"/>
          <w:sz w:val="23"/>
          <w:szCs w:val="23"/>
        </w:rPr>
        <w:t>”</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(毒性) </w:t>
      </w:r>
      <w:r>
        <w:rPr>
          <w:rFonts w:ascii="Times New Roman" w:hAnsi="Times New Roman" w:eastAsia="Times New Roman" w:cs="Times New Roman"/>
          <w:spacing w:val="4"/>
          <w:sz w:val="23"/>
          <w:szCs w:val="23"/>
        </w:rPr>
        <w:t>”</w:t>
      </w:r>
      <w:r>
        <w:rPr>
          <w:rFonts w:ascii="宋体" w:hAnsi="宋体" w:eastAsia="宋体" w:cs="宋体"/>
          <w:spacing w:val="4"/>
          <w:sz w:val="23"/>
          <w:szCs w:val="23"/>
        </w:rPr>
        <w:t>，建设单位应将废活性炭、</w:t>
      </w:r>
      <w:r>
        <w:rPr>
          <w:rFonts w:ascii="宋体" w:hAnsi="宋体" w:eastAsia="宋体" w:cs="宋体"/>
          <w:sz w:val="23"/>
          <w:szCs w:val="23"/>
        </w:rPr>
        <w:t xml:space="preserve"> </w:t>
      </w:r>
      <w:r>
        <w:rPr>
          <w:rFonts w:ascii="宋体" w:hAnsi="宋体" w:eastAsia="宋体" w:cs="宋体"/>
          <w:spacing w:val="16"/>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16"/>
          <w:sz w:val="23"/>
          <w:szCs w:val="23"/>
        </w:rPr>
        <w:t xml:space="preserve"> </w:t>
      </w:r>
      <w:r>
        <w:rPr>
          <w:rFonts w:ascii="宋体" w:hAnsi="宋体" w:eastAsia="宋体" w:cs="宋体"/>
          <w:spacing w:val="9"/>
          <w:sz w:val="23"/>
          <w:szCs w:val="23"/>
        </w:rPr>
        <w:t>光</w:t>
      </w:r>
      <w:r>
        <w:rPr>
          <w:rFonts w:ascii="宋体" w:hAnsi="宋体" w:eastAsia="宋体" w:cs="宋体"/>
          <w:spacing w:val="8"/>
          <w:sz w:val="23"/>
          <w:szCs w:val="23"/>
        </w:rPr>
        <w:t>解灯管集中收集后存放在固定容器中单独存放，积攒到一定数量后交由</w:t>
      </w:r>
      <w:r>
        <w:rPr>
          <w:rFonts w:ascii="宋体" w:hAnsi="宋体" w:eastAsia="宋体" w:cs="宋体"/>
          <w:sz w:val="23"/>
          <w:szCs w:val="23"/>
        </w:rPr>
        <w:t xml:space="preserve"> </w:t>
      </w:r>
      <w:r>
        <w:rPr>
          <w:rFonts w:ascii="宋体" w:hAnsi="宋体" w:eastAsia="宋体" w:cs="宋体"/>
          <w:spacing w:val="15"/>
          <w:sz w:val="23"/>
          <w:szCs w:val="23"/>
        </w:rPr>
        <w:t>有</w:t>
      </w:r>
      <w:r>
        <w:rPr>
          <w:rFonts w:ascii="宋体" w:hAnsi="宋体" w:eastAsia="宋体" w:cs="宋体"/>
          <w:spacing w:val="9"/>
          <w:sz w:val="23"/>
          <w:szCs w:val="23"/>
        </w:rPr>
        <w:t>资质单位处理，禁止作为一般固体废物随意丢弃排放。</w:t>
      </w:r>
    </w:p>
    <w:p w14:paraId="69E47FB7">
      <w:pPr>
        <w:spacing w:before="138" w:line="385" w:lineRule="auto"/>
        <w:ind w:left="22" w:firstLine="480"/>
        <w:rPr>
          <w:rFonts w:ascii="宋体" w:hAnsi="宋体" w:eastAsia="宋体" w:cs="宋体"/>
          <w:sz w:val="23"/>
          <w:szCs w:val="23"/>
        </w:rPr>
      </w:pPr>
      <w:r>
        <w:rPr>
          <w:rFonts w:ascii="宋体" w:hAnsi="宋体" w:eastAsia="宋体" w:cs="宋体"/>
          <w:spacing w:val="7"/>
          <w:sz w:val="23"/>
          <w:szCs w:val="23"/>
        </w:rPr>
        <w:t>在采取有效的防治措施的基础上，项目运营期间产生的颗粒物和非甲烷总</w:t>
      </w:r>
      <w:r>
        <w:rPr>
          <w:rFonts w:ascii="宋体" w:hAnsi="宋体" w:eastAsia="宋体" w:cs="宋体"/>
          <w:spacing w:val="3"/>
          <w:sz w:val="23"/>
          <w:szCs w:val="23"/>
        </w:rPr>
        <w:t>烃</w:t>
      </w:r>
      <w:r>
        <w:rPr>
          <w:rFonts w:ascii="宋体" w:hAnsi="宋体" w:eastAsia="宋体" w:cs="宋体"/>
          <w:sz w:val="23"/>
          <w:szCs w:val="23"/>
        </w:rPr>
        <w:t xml:space="preserve"> </w:t>
      </w:r>
      <w:r>
        <w:rPr>
          <w:rFonts w:ascii="宋体" w:hAnsi="宋体" w:eastAsia="宋体" w:cs="宋体"/>
          <w:spacing w:val="14"/>
          <w:sz w:val="23"/>
          <w:szCs w:val="23"/>
        </w:rPr>
        <w:t>排放浓</w:t>
      </w:r>
      <w:r>
        <w:rPr>
          <w:rFonts w:ascii="宋体" w:hAnsi="宋体" w:eastAsia="宋体" w:cs="宋体"/>
          <w:spacing w:val="10"/>
          <w:sz w:val="23"/>
          <w:szCs w:val="23"/>
        </w:rPr>
        <w:t>度</w:t>
      </w:r>
      <w:r>
        <w:rPr>
          <w:rFonts w:ascii="宋体" w:hAnsi="宋体" w:eastAsia="宋体" w:cs="宋体"/>
          <w:spacing w:val="7"/>
          <w:sz w:val="23"/>
          <w:szCs w:val="23"/>
        </w:rPr>
        <w:t>均满足《合成树脂工业污染物排放标准》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31572-2015</w:t>
      </w:r>
      <w:r>
        <w:rPr>
          <w:rFonts w:ascii="宋体" w:hAnsi="宋体" w:eastAsia="宋体" w:cs="宋体"/>
          <w:spacing w:val="7"/>
          <w:sz w:val="23"/>
          <w:szCs w:val="23"/>
        </w:rPr>
        <w:t>) 相关标准</w:t>
      </w:r>
      <w:r>
        <w:rPr>
          <w:rFonts w:ascii="宋体" w:hAnsi="宋体" w:eastAsia="宋体" w:cs="宋体"/>
          <w:sz w:val="23"/>
          <w:szCs w:val="23"/>
        </w:rPr>
        <w:t xml:space="preserve"> </w:t>
      </w:r>
      <w:r>
        <w:rPr>
          <w:rFonts w:ascii="宋体" w:hAnsi="宋体" w:eastAsia="宋体" w:cs="宋体"/>
          <w:spacing w:val="26"/>
          <w:sz w:val="23"/>
          <w:szCs w:val="23"/>
        </w:rPr>
        <w:t>的</w:t>
      </w:r>
      <w:r>
        <w:rPr>
          <w:rFonts w:ascii="宋体" w:hAnsi="宋体" w:eastAsia="宋体" w:cs="宋体"/>
          <w:spacing w:val="23"/>
          <w:sz w:val="23"/>
          <w:szCs w:val="23"/>
        </w:rPr>
        <w:t>要</w:t>
      </w:r>
      <w:r>
        <w:rPr>
          <w:rFonts w:ascii="宋体" w:hAnsi="宋体" w:eastAsia="宋体" w:cs="宋体"/>
          <w:spacing w:val="13"/>
          <w:sz w:val="23"/>
          <w:szCs w:val="23"/>
        </w:rPr>
        <w:t>求，不会对周围环境造成明显影响，不会改变项目所在地的环境空气质量</w:t>
      </w:r>
      <w:r>
        <w:rPr>
          <w:rFonts w:ascii="宋体" w:hAnsi="宋体" w:eastAsia="宋体" w:cs="宋体"/>
          <w:sz w:val="23"/>
          <w:szCs w:val="23"/>
        </w:rPr>
        <w:t xml:space="preserve"> </w:t>
      </w:r>
      <w:r>
        <w:rPr>
          <w:rFonts w:ascii="宋体" w:hAnsi="宋体" w:eastAsia="宋体" w:cs="宋体"/>
          <w:spacing w:val="26"/>
          <w:sz w:val="23"/>
          <w:szCs w:val="23"/>
        </w:rPr>
        <w:t>规</w:t>
      </w:r>
      <w:r>
        <w:rPr>
          <w:rFonts w:ascii="宋体" w:hAnsi="宋体" w:eastAsia="宋体" w:cs="宋体"/>
          <w:spacing w:val="16"/>
          <w:sz w:val="23"/>
          <w:szCs w:val="23"/>
        </w:rPr>
        <w:t>划</w:t>
      </w:r>
      <w:r>
        <w:rPr>
          <w:rFonts w:ascii="宋体" w:hAnsi="宋体" w:eastAsia="宋体" w:cs="宋体"/>
          <w:spacing w:val="13"/>
          <w:sz w:val="23"/>
          <w:szCs w:val="23"/>
        </w:rPr>
        <w:t>类别；热风炉烟气可满足《锅炉大气污染物排放标准》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13"/>
          <w:sz w:val="23"/>
          <w:szCs w:val="23"/>
        </w:rPr>
        <w:t>13271-2014</w:t>
      </w:r>
      <w:r>
        <w:rPr>
          <w:rFonts w:ascii="宋体" w:hAnsi="宋体" w:eastAsia="宋体" w:cs="宋体"/>
          <w:spacing w:val="13"/>
          <w:sz w:val="23"/>
          <w:szCs w:val="23"/>
        </w:rPr>
        <w:t>)</w:t>
      </w:r>
      <w:r>
        <w:rPr>
          <w:rFonts w:ascii="宋体" w:hAnsi="宋体" w:eastAsia="宋体" w:cs="宋体"/>
          <w:sz w:val="23"/>
          <w:szCs w:val="23"/>
        </w:rPr>
        <w:t xml:space="preserve"> </w:t>
      </w:r>
      <w:r>
        <w:rPr>
          <w:rFonts w:ascii="宋体" w:hAnsi="宋体" w:eastAsia="宋体" w:cs="宋体"/>
          <w:spacing w:val="4"/>
          <w:sz w:val="23"/>
          <w:szCs w:val="23"/>
        </w:rPr>
        <w:t xml:space="preserve">表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 xml:space="preserve">中标准要求；项目排放的废水中 </w:t>
      </w:r>
      <w:r>
        <w:rPr>
          <w:rFonts w:ascii="Times New Roman" w:hAnsi="Times New Roman" w:eastAsia="Times New Roman" w:cs="Times New Roman"/>
          <w:sz w:val="23"/>
          <w:szCs w:val="23"/>
        </w:rPr>
        <w:t>COD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、氨氮、石油类可以达到《辽</w:t>
      </w:r>
      <w:r>
        <w:rPr>
          <w:rFonts w:ascii="宋体" w:hAnsi="宋体" w:eastAsia="宋体" w:cs="宋体"/>
          <w:spacing w:val="1"/>
          <w:sz w:val="23"/>
          <w:szCs w:val="23"/>
        </w:rPr>
        <w:t>宁</w:t>
      </w:r>
      <w:r>
        <w:rPr>
          <w:rFonts w:ascii="宋体" w:hAnsi="宋体" w:eastAsia="宋体" w:cs="宋体"/>
          <w:sz w:val="23"/>
          <w:szCs w:val="23"/>
        </w:rPr>
        <w:t xml:space="preserve"> </w:t>
      </w:r>
      <w:r>
        <w:rPr>
          <w:rFonts w:ascii="宋体" w:hAnsi="宋体" w:eastAsia="宋体" w:cs="宋体"/>
          <w:spacing w:val="8"/>
          <w:sz w:val="23"/>
          <w:szCs w:val="23"/>
        </w:rPr>
        <w:t>省污水综合</w:t>
      </w:r>
      <w:r>
        <w:rPr>
          <w:rFonts w:ascii="宋体" w:hAnsi="宋体" w:eastAsia="宋体" w:cs="宋体"/>
          <w:spacing w:val="4"/>
          <w:sz w:val="23"/>
          <w:szCs w:val="23"/>
        </w:rPr>
        <w:t>排放标准》 (</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21/ 1627-2008</w:t>
      </w:r>
      <w:r>
        <w:rPr>
          <w:rFonts w:ascii="宋体" w:hAnsi="宋体" w:eastAsia="宋体" w:cs="宋体"/>
          <w:spacing w:val="4"/>
          <w:sz w:val="23"/>
          <w:szCs w:val="23"/>
        </w:rPr>
        <w:t>) 中排入污水处理厂的水污染物最高允</w:t>
      </w:r>
      <w:r>
        <w:rPr>
          <w:rFonts w:ascii="宋体" w:hAnsi="宋体" w:eastAsia="宋体" w:cs="宋体"/>
          <w:sz w:val="23"/>
          <w:szCs w:val="23"/>
        </w:rPr>
        <w:t xml:space="preserve"> </w:t>
      </w:r>
      <w:r>
        <w:rPr>
          <w:rFonts w:ascii="宋体" w:hAnsi="宋体" w:eastAsia="宋体" w:cs="宋体"/>
          <w:spacing w:val="9"/>
          <w:sz w:val="23"/>
          <w:szCs w:val="23"/>
        </w:rPr>
        <w:t>许</w:t>
      </w:r>
      <w:r>
        <w:rPr>
          <w:rFonts w:ascii="宋体" w:hAnsi="宋体" w:eastAsia="宋体" w:cs="宋体"/>
          <w:spacing w:val="7"/>
          <w:sz w:val="23"/>
          <w:szCs w:val="23"/>
        </w:rPr>
        <w:t>排放浓度限制要求，可以做到达标排放，对地表水影响较小；项目产生的噪声</w:t>
      </w:r>
      <w:r>
        <w:rPr>
          <w:rFonts w:ascii="宋体" w:hAnsi="宋体" w:eastAsia="宋体" w:cs="宋体"/>
          <w:sz w:val="23"/>
          <w:szCs w:val="23"/>
        </w:rPr>
        <w:t xml:space="preserve"> </w:t>
      </w:r>
      <w:r>
        <w:rPr>
          <w:rFonts w:ascii="宋体" w:hAnsi="宋体" w:eastAsia="宋体" w:cs="宋体"/>
          <w:spacing w:val="8"/>
          <w:sz w:val="23"/>
          <w:szCs w:val="23"/>
        </w:rPr>
        <w:t>经降噪措</w:t>
      </w:r>
      <w:r>
        <w:rPr>
          <w:rFonts w:ascii="宋体" w:hAnsi="宋体" w:eastAsia="宋体" w:cs="宋体"/>
          <w:spacing w:val="7"/>
          <w:sz w:val="23"/>
          <w:szCs w:val="23"/>
        </w:rPr>
        <w:t>施</w:t>
      </w:r>
      <w:r>
        <w:rPr>
          <w:rFonts w:ascii="宋体" w:hAnsi="宋体" w:eastAsia="宋体" w:cs="宋体"/>
          <w:spacing w:val="4"/>
          <w:sz w:val="23"/>
          <w:szCs w:val="23"/>
        </w:rPr>
        <w:t>治理后可达到《工业企业厂界环境噪声排放标准》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12348-2008</w:t>
      </w:r>
      <w:r>
        <w:rPr>
          <w:rFonts w:ascii="宋体" w:hAnsi="宋体" w:eastAsia="宋体" w:cs="宋体"/>
          <w:spacing w:val="4"/>
          <w:sz w:val="23"/>
          <w:szCs w:val="23"/>
        </w:rPr>
        <w:t>)</w:t>
      </w:r>
    </w:p>
    <w:p w14:paraId="1A39C0ED">
      <w:pPr>
        <w:spacing w:line="227" w:lineRule="auto"/>
        <w:ind w:left="23"/>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类标准要求，从环境空气质量、声环境质量可受性角度分析，项目选址合理。</w:t>
      </w:r>
    </w:p>
    <w:p w14:paraId="459A6011">
      <w:pPr>
        <w:sectPr>
          <w:headerReference r:id="rId30" w:type="default"/>
          <w:footerReference r:id="rId31" w:type="default"/>
          <w:pgSz w:w="11906" w:h="16839"/>
          <w:pgMar w:top="1132" w:right="1698" w:bottom="899" w:left="1785" w:header="878" w:footer="739" w:gutter="0"/>
          <w:cols w:space="720" w:num="1"/>
        </w:sectPr>
      </w:pPr>
    </w:p>
    <w:p w14:paraId="2925B01C">
      <w:pPr>
        <w:spacing w:line="338" w:lineRule="auto"/>
        <w:rPr>
          <w:rFonts w:ascii="Arial"/>
          <w:sz w:val="21"/>
        </w:rPr>
      </w:pPr>
      <w:r>
        <w:pict>
          <v:shape id="_x0000_s1042" o:spid="_x0000_s1042" style="position:absolute;left:0pt;margin-left:90pt;margin-top:57.35pt;height:0.75pt;width:415.3pt;mso-position-horizontal-relative:page;mso-position-vertical-relative:page;z-index:251680768;mso-width-relative:page;mso-height-relative:page;" fillcolor="#000000" filled="t" stroked="f" coordsize="8305,15" o:allowincell="f" path="m0,0l8305,0,8305,14,0,14,0,0xe">
            <v:path/>
            <v:fill on="t" focussize="0,0"/>
            <v:stroke on="f"/>
            <v:imagedata o:title=""/>
            <o:lock v:ext="edit"/>
          </v:shape>
        </w:pict>
      </w:r>
    </w:p>
    <w:p w14:paraId="244FCE24">
      <w:pPr>
        <w:spacing w:before="95" w:line="226" w:lineRule="auto"/>
        <w:ind w:left="33"/>
        <w:outlineLvl w:val="2"/>
        <w:rPr>
          <w:rFonts w:ascii="宋体" w:hAnsi="宋体" w:eastAsia="宋体" w:cs="宋体"/>
          <w:sz w:val="29"/>
          <w:szCs w:val="29"/>
        </w:rPr>
      </w:pPr>
      <w:r>
        <w:rPr>
          <w:rFonts w:ascii="Times New Roman" w:hAnsi="Times New Roman" w:eastAsia="Times New Roman" w:cs="Times New Roman"/>
          <w:b/>
          <w:bCs/>
          <w:spacing w:val="10"/>
          <w:sz w:val="29"/>
          <w:szCs w:val="29"/>
        </w:rPr>
        <w:t>1.</w:t>
      </w:r>
      <w:r>
        <w:rPr>
          <w:rFonts w:ascii="Times New Roman" w:hAnsi="Times New Roman" w:eastAsia="Times New Roman" w:cs="Times New Roman"/>
          <w:b/>
          <w:bCs/>
          <w:spacing w:val="6"/>
          <w:sz w:val="29"/>
          <w:szCs w:val="29"/>
        </w:rPr>
        <w:t>4</w:t>
      </w:r>
      <w:r>
        <w:rPr>
          <w:rFonts w:ascii="Times New Roman" w:hAnsi="Times New Roman" w:eastAsia="Times New Roman" w:cs="Times New Roman"/>
          <w:b/>
          <w:bCs/>
          <w:spacing w:val="5"/>
          <w:sz w:val="29"/>
          <w:szCs w:val="29"/>
        </w:rPr>
        <w:t>.5</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选址合理性分析</w:t>
      </w:r>
    </w:p>
    <w:p w14:paraId="72D7A955">
      <w:pPr>
        <w:spacing w:line="256" w:lineRule="auto"/>
        <w:rPr>
          <w:rFonts w:ascii="Arial"/>
          <w:sz w:val="21"/>
        </w:rPr>
      </w:pPr>
    </w:p>
    <w:p w14:paraId="7E251625">
      <w:pPr>
        <w:spacing w:before="75" w:line="390" w:lineRule="auto"/>
        <w:ind w:left="24" w:right="84" w:firstLine="482"/>
        <w:rPr>
          <w:rFonts w:ascii="宋体" w:hAnsi="宋体" w:eastAsia="宋体" w:cs="宋体"/>
          <w:sz w:val="23"/>
          <w:szCs w:val="23"/>
        </w:rPr>
      </w:pPr>
      <w:r>
        <w:rPr>
          <w:rFonts w:ascii="宋体" w:hAnsi="宋体" w:eastAsia="宋体" w:cs="宋体"/>
          <w:spacing w:val="12"/>
          <w:sz w:val="23"/>
          <w:szCs w:val="23"/>
        </w:rPr>
        <w:t>该项目选</w:t>
      </w:r>
      <w:r>
        <w:rPr>
          <w:rFonts w:ascii="宋体" w:hAnsi="宋体" w:eastAsia="宋体" w:cs="宋体"/>
          <w:spacing w:val="7"/>
          <w:sz w:val="23"/>
          <w:szCs w:val="23"/>
        </w:rPr>
        <w:t>址</w:t>
      </w:r>
      <w:r>
        <w:rPr>
          <w:rFonts w:ascii="宋体" w:hAnsi="宋体" w:eastAsia="宋体" w:cs="宋体"/>
          <w:spacing w:val="6"/>
          <w:sz w:val="23"/>
          <w:szCs w:val="23"/>
        </w:rPr>
        <w:t>用地不涉及自然保护区、风景名胜区、饮用水源保护区和其他需</w:t>
      </w:r>
      <w:r>
        <w:rPr>
          <w:rFonts w:ascii="宋体" w:hAnsi="宋体" w:eastAsia="宋体" w:cs="宋体"/>
          <w:sz w:val="23"/>
          <w:szCs w:val="23"/>
        </w:rPr>
        <w:t xml:space="preserve"> </w:t>
      </w:r>
      <w:r>
        <w:rPr>
          <w:rFonts w:ascii="宋体" w:hAnsi="宋体" w:eastAsia="宋体" w:cs="宋体"/>
          <w:spacing w:val="7"/>
          <w:sz w:val="23"/>
          <w:szCs w:val="23"/>
        </w:rPr>
        <w:t>要特殊保护的区域。根据本溪市溪湖区火连寨镇火连寨村村委会出具的证明 (</w:t>
      </w:r>
      <w:r>
        <w:rPr>
          <w:rFonts w:ascii="宋体" w:hAnsi="宋体" w:eastAsia="宋体" w:cs="宋体"/>
          <w:spacing w:val="1"/>
          <w:sz w:val="23"/>
          <w:szCs w:val="23"/>
        </w:rPr>
        <w:t>见</w:t>
      </w:r>
      <w:r>
        <w:rPr>
          <w:rFonts w:ascii="宋体" w:hAnsi="宋体" w:eastAsia="宋体" w:cs="宋体"/>
          <w:sz w:val="23"/>
          <w:szCs w:val="23"/>
        </w:rPr>
        <w:t xml:space="preserve"> </w:t>
      </w:r>
      <w:r>
        <w:rPr>
          <w:rFonts w:ascii="宋体" w:hAnsi="宋体" w:eastAsia="宋体" w:cs="宋体"/>
          <w:spacing w:val="11"/>
          <w:sz w:val="23"/>
          <w:szCs w:val="23"/>
        </w:rPr>
        <w:t>附件</w:t>
      </w:r>
      <w:r>
        <w:rPr>
          <w:rFonts w:ascii="Times New Roman" w:hAnsi="Times New Roman" w:eastAsia="Times New Roman" w:cs="Times New Roman"/>
          <w:spacing w:val="11"/>
          <w:sz w:val="23"/>
          <w:szCs w:val="23"/>
        </w:rPr>
        <w:t>6</w:t>
      </w:r>
      <w:r>
        <w:rPr>
          <w:rFonts w:ascii="宋体" w:hAnsi="宋体" w:eastAsia="宋体" w:cs="宋体"/>
          <w:spacing w:val="11"/>
          <w:sz w:val="23"/>
          <w:szCs w:val="23"/>
        </w:rPr>
        <w:t>) ，该地块现用地性质属于工业用地，符合当地规划要求</w:t>
      </w:r>
      <w:r>
        <w:rPr>
          <w:rFonts w:ascii="宋体" w:hAnsi="宋体" w:eastAsia="宋体" w:cs="宋体"/>
          <w:spacing w:val="5"/>
          <w:sz w:val="23"/>
          <w:szCs w:val="23"/>
        </w:rPr>
        <w:t>。</w:t>
      </w:r>
    </w:p>
    <w:p w14:paraId="0B385608">
      <w:pPr>
        <w:spacing w:before="136" w:line="391" w:lineRule="auto"/>
        <w:ind w:left="27" w:right="31" w:firstLine="480"/>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13"/>
          <w:sz w:val="23"/>
          <w:szCs w:val="23"/>
        </w:rPr>
        <w:t>目</w:t>
      </w:r>
      <w:r>
        <w:rPr>
          <w:rFonts w:ascii="宋体" w:hAnsi="宋体" w:eastAsia="宋体" w:cs="宋体"/>
          <w:spacing w:val="8"/>
          <w:sz w:val="23"/>
          <w:szCs w:val="23"/>
        </w:rPr>
        <w:t>选址综合考虑了场地地形、地势、水源、当地气候条件、原材料供应、</w:t>
      </w:r>
      <w:r>
        <w:rPr>
          <w:rFonts w:ascii="宋体" w:hAnsi="宋体" w:eastAsia="宋体" w:cs="宋体"/>
          <w:sz w:val="23"/>
          <w:szCs w:val="23"/>
        </w:rPr>
        <w:t xml:space="preserve"> </w:t>
      </w:r>
      <w:r>
        <w:rPr>
          <w:rFonts w:ascii="宋体" w:hAnsi="宋体" w:eastAsia="宋体" w:cs="宋体"/>
          <w:spacing w:val="7"/>
          <w:sz w:val="23"/>
          <w:szCs w:val="23"/>
        </w:rPr>
        <w:t>交通运输及与周围居民点的距离，满足卫生防护距离要求，通过以上分析，拟</w:t>
      </w:r>
      <w:r>
        <w:rPr>
          <w:rFonts w:ascii="宋体" w:hAnsi="宋体" w:eastAsia="宋体" w:cs="宋体"/>
          <w:spacing w:val="5"/>
          <w:sz w:val="23"/>
          <w:szCs w:val="23"/>
        </w:rPr>
        <w:t>建</w:t>
      </w:r>
      <w:r>
        <w:rPr>
          <w:rFonts w:ascii="宋体" w:hAnsi="宋体" w:eastAsia="宋体" w:cs="宋体"/>
          <w:sz w:val="23"/>
          <w:szCs w:val="23"/>
        </w:rPr>
        <w:t xml:space="preserve"> </w:t>
      </w:r>
      <w:r>
        <w:rPr>
          <w:rFonts w:ascii="宋体" w:hAnsi="宋体" w:eastAsia="宋体" w:cs="宋体"/>
          <w:spacing w:val="10"/>
          <w:sz w:val="23"/>
          <w:szCs w:val="23"/>
        </w:rPr>
        <w:t>项</w:t>
      </w:r>
      <w:r>
        <w:rPr>
          <w:rFonts w:ascii="宋体" w:hAnsi="宋体" w:eastAsia="宋体" w:cs="宋体"/>
          <w:spacing w:val="7"/>
          <w:sz w:val="23"/>
          <w:szCs w:val="23"/>
        </w:rPr>
        <w:t>目选址是合理的。</w:t>
      </w:r>
    </w:p>
    <w:p w14:paraId="2C6C378B">
      <w:pPr>
        <w:spacing w:before="84" w:line="225" w:lineRule="auto"/>
        <w:ind w:left="33"/>
        <w:outlineLvl w:val="2"/>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7"/>
          <w:sz w:val="29"/>
          <w:szCs w:val="29"/>
        </w:rPr>
        <w:t>.4.6</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项目平面布局合理性分析</w:t>
      </w:r>
    </w:p>
    <w:p w14:paraId="43E413FF">
      <w:pPr>
        <w:spacing w:line="257" w:lineRule="auto"/>
        <w:rPr>
          <w:rFonts w:ascii="Arial"/>
          <w:sz w:val="21"/>
        </w:rPr>
      </w:pPr>
    </w:p>
    <w:p w14:paraId="08F503E3">
      <w:pPr>
        <w:spacing w:before="75" w:line="228"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周围环</w:t>
      </w:r>
      <w:r>
        <w:rPr>
          <w:rFonts w:ascii="宋体" w:hAnsi="宋体" w:eastAsia="宋体" w:cs="宋体"/>
          <w:spacing w:val="19"/>
          <w:sz w:val="23"/>
          <w:szCs w:val="23"/>
        </w:rPr>
        <w:t>境</w:t>
      </w:r>
    </w:p>
    <w:p w14:paraId="69A42862">
      <w:pPr>
        <w:spacing w:line="277" w:lineRule="auto"/>
        <w:rPr>
          <w:rFonts w:ascii="Arial"/>
          <w:sz w:val="21"/>
        </w:rPr>
      </w:pPr>
    </w:p>
    <w:p w14:paraId="377B48E9">
      <w:pPr>
        <w:spacing w:before="74" w:line="390" w:lineRule="auto"/>
        <w:ind w:left="11" w:firstLine="496"/>
        <w:rPr>
          <w:rFonts w:ascii="宋体" w:hAnsi="宋体" w:eastAsia="宋体" w:cs="宋体"/>
          <w:sz w:val="23"/>
          <w:szCs w:val="23"/>
        </w:rPr>
      </w:pPr>
      <w:r>
        <w:rPr>
          <w:rFonts w:ascii="宋体" w:hAnsi="宋体" w:eastAsia="宋体" w:cs="宋体"/>
          <w:spacing w:val="32"/>
          <w:sz w:val="23"/>
          <w:szCs w:val="23"/>
        </w:rPr>
        <w:t>该</w:t>
      </w:r>
      <w:r>
        <w:rPr>
          <w:rFonts w:ascii="宋体" w:hAnsi="宋体" w:eastAsia="宋体" w:cs="宋体"/>
          <w:spacing w:val="21"/>
          <w:sz w:val="23"/>
          <w:szCs w:val="23"/>
        </w:rPr>
        <w:t>项 目位于辽宁省本溪市溪湖区火连寨镇火连寨村 ，地理位置坐标为</w:t>
      </w:r>
      <w:r>
        <w:rPr>
          <w:rFonts w:ascii="宋体" w:hAnsi="宋体" w:eastAsia="宋体" w:cs="宋体"/>
          <w:sz w:val="23"/>
          <w:szCs w:val="23"/>
        </w:rPr>
        <w:t xml:space="preserve"> </w:t>
      </w: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41°21′55.05927″</w:t>
      </w: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123°42′32.05640″</w:t>
      </w:r>
      <w:r>
        <w:rPr>
          <w:rFonts w:ascii="宋体" w:hAnsi="宋体" w:eastAsia="宋体" w:cs="宋体"/>
          <w:spacing w:val="5"/>
          <w:sz w:val="23"/>
          <w:szCs w:val="23"/>
        </w:rPr>
        <w:t>。其东侧为辽宁公路水泥厂废旧厂区，西侧</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1"/>
          <w:sz w:val="23"/>
          <w:szCs w:val="23"/>
        </w:rPr>
        <w:t>南</w:t>
      </w:r>
      <w:r>
        <w:rPr>
          <w:rFonts w:ascii="宋体" w:hAnsi="宋体" w:eastAsia="宋体" w:cs="宋体"/>
          <w:spacing w:val="9"/>
          <w:sz w:val="23"/>
          <w:szCs w:val="23"/>
        </w:rPr>
        <w:t>侧、北侧均为空地。</w:t>
      </w:r>
    </w:p>
    <w:p w14:paraId="22F7D8A0">
      <w:pPr>
        <w:spacing w:before="136" w:line="227" w:lineRule="auto"/>
        <w:ind w:left="514"/>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2</w:t>
      </w:r>
      <w:r>
        <w:rPr>
          <w:rFonts w:ascii="宋体" w:hAnsi="宋体" w:eastAsia="宋体" w:cs="宋体"/>
          <w:spacing w:val="17"/>
          <w:sz w:val="23"/>
          <w:szCs w:val="23"/>
        </w:rPr>
        <w:t>) 总平面布置原则</w:t>
      </w:r>
    </w:p>
    <w:p w14:paraId="3FCB388E">
      <w:pPr>
        <w:spacing w:line="277" w:lineRule="auto"/>
        <w:rPr>
          <w:rFonts w:ascii="Arial"/>
          <w:sz w:val="21"/>
        </w:rPr>
      </w:pPr>
    </w:p>
    <w:p w14:paraId="6C3F6F8A">
      <w:pPr>
        <w:spacing w:before="75" w:line="225" w:lineRule="auto"/>
        <w:ind w:left="502"/>
        <w:rPr>
          <w:rFonts w:ascii="宋体" w:hAnsi="宋体" w:eastAsia="宋体" w:cs="宋体"/>
          <w:sz w:val="23"/>
          <w:szCs w:val="23"/>
        </w:rPr>
      </w:pPr>
      <w:r>
        <w:rPr>
          <w:rFonts w:ascii="宋体" w:hAnsi="宋体" w:eastAsia="宋体" w:cs="宋体"/>
          <w:spacing w:val="11"/>
          <w:sz w:val="23"/>
          <w:szCs w:val="23"/>
        </w:rPr>
        <w:t>①</w:t>
      </w:r>
      <w:r>
        <w:rPr>
          <w:rFonts w:ascii="宋体" w:hAnsi="宋体" w:eastAsia="宋体" w:cs="宋体"/>
          <w:spacing w:val="9"/>
          <w:sz w:val="23"/>
          <w:szCs w:val="23"/>
        </w:rPr>
        <w:t>严格执行国家颁布的有关规范、规定和标准。</w:t>
      </w:r>
    </w:p>
    <w:p w14:paraId="00A526F2">
      <w:pPr>
        <w:spacing w:line="279" w:lineRule="auto"/>
        <w:rPr>
          <w:rFonts w:ascii="Arial"/>
          <w:sz w:val="21"/>
        </w:rPr>
      </w:pPr>
    </w:p>
    <w:p w14:paraId="764DF5F8">
      <w:pPr>
        <w:spacing w:before="75" w:line="225" w:lineRule="auto"/>
        <w:ind w:left="501"/>
        <w:rPr>
          <w:rFonts w:ascii="宋体" w:hAnsi="宋体" w:eastAsia="宋体" w:cs="宋体"/>
          <w:sz w:val="23"/>
          <w:szCs w:val="23"/>
        </w:rPr>
      </w:pPr>
      <w:r>
        <w:rPr>
          <w:rFonts w:ascii="宋体" w:hAnsi="宋体" w:eastAsia="宋体" w:cs="宋体"/>
          <w:spacing w:val="7"/>
          <w:sz w:val="23"/>
          <w:szCs w:val="23"/>
        </w:rPr>
        <w:t>②根据生产要求，结合场地的地形、地质、气象等自然条件，就建筑物、</w:t>
      </w:r>
      <w:r>
        <w:rPr>
          <w:rFonts w:ascii="宋体" w:hAnsi="宋体" w:eastAsia="宋体" w:cs="宋体"/>
          <w:spacing w:val="4"/>
          <w:sz w:val="23"/>
          <w:szCs w:val="23"/>
        </w:rPr>
        <w:t>运</w:t>
      </w:r>
    </w:p>
    <w:p w14:paraId="0D2F50FB">
      <w:pPr>
        <w:spacing w:before="200" w:line="227" w:lineRule="auto"/>
        <w:ind w:left="22"/>
        <w:rPr>
          <w:rFonts w:ascii="宋体" w:hAnsi="宋体" w:eastAsia="宋体" w:cs="宋体"/>
          <w:sz w:val="23"/>
          <w:szCs w:val="23"/>
        </w:rPr>
      </w:pPr>
      <w:r>
        <w:rPr>
          <w:rFonts w:ascii="宋体" w:hAnsi="宋体" w:eastAsia="宋体" w:cs="宋体"/>
          <w:spacing w:val="18"/>
          <w:sz w:val="23"/>
          <w:szCs w:val="23"/>
        </w:rPr>
        <w:t>输</w:t>
      </w:r>
      <w:r>
        <w:rPr>
          <w:rFonts w:ascii="宋体" w:hAnsi="宋体" w:eastAsia="宋体" w:cs="宋体"/>
          <w:spacing w:val="14"/>
          <w:sz w:val="23"/>
          <w:szCs w:val="23"/>
        </w:rPr>
        <w:t>路</w:t>
      </w:r>
      <w:r>
        <w:rPr>
          <w:rFonts w:ascii="宋体" w:hAnsi="宋体" w:eastAsia="宋体" w:cs="宋体"/>
          <w:spacing w:val="9"/>
          <w:sz w:val="23"/>
          <w:szCs w:val="23"/>
        </w:rPr>
        <w:t>线，工程管线等因素综合考虑，统筹安排，合理紧凑地进行总图布置。</w:t>
      </w:r>
    </w:p>
    <w:p w14:paraId="6C00A2A6">
      <w:pPr>
        <w:spacing w:line="275" w:lineRule="auto"/>
        <w:rPr>
          <w:rFonts w:ascii="Arial"/>
          <w:sz w:val="21"/>
        </w:rPr>
      </w:pPr>
    </w:p>
    <w:p w14:paraId="5AD06ACE">
      <w:pPr>
        <w:spacing w:before="76" w:line="394" w:lineRule="auto"/>
        <w:ind w:left="43" w:right="84" w:firstLine="458"/>
        <w:rPr>
          <w:rFonts w:ascii="宋体" w:hAnsi="宋体" w:eastAsia="宋体" w:cs="宋体"/>
          <w:sz w:val="23"/>
          <w:szCs w:val="23"/>
        </w:rPr>
      </w:pPr>
      <w:r>
        <w:rPr>
          <w:rFonts w:ascii="宋体" w:hAnsi="宋体" w:eastAsia="宋体" w:cs="宋体"/>
          <w:spacing w:val="7"/>
          <w:sz w:val="23"/>
          <w:szCs w:val="23"/>
        </w:rPr>
        <w:t>③工艺生产流程通畅，物料运输路线短捷方便。避免频繁的物流与主要人</w:t>
      </w:r>
      <w:r>
        <w:rPr>
          <w:rFonts w:ascii="宋体" w:hAnsi="宋体" w:eastAsia="宋体" w:cs="宋体"/>
          <w:spacing w:val="4"/>
          <w:sz w:val="23"/>
          <w:szCs w:val="23"/>
        </w:rPr>
        <w:t>流</w:t>
      </w:r>
      <w:r>
        <w:rPr>
          <w:rFonts w:ascii="宋体" w:hAnsi="宋体" w:eastAsia="宋体" w:cs="宋体"/>
          <w:sz w:val="23"/>
          <w:szCs w:val="23"/>
        </w:rPr>
        <w:t xml:space="preserve"> </w:t>
      </w:r>
      <w:r>
        <w:rPr>
          <w:rFonts w:ascii="宋体" w:hAnsi="宋体" w:eastAsia="宋体" w:cs="宋体"/>
          <w:spacing w:val="9"/>
          <w:sz w:val="23"/>
          <w:szCs w:val="23"/>
        </w:rPr>
        <w:t>的交叉，实行人流和货流分离的原则，使人流和货流互不干扰，合理通畅</w:t>
      </w:r>
      <w:r>
        <w:rPr>
          <w:rFonts w:ascii="宋体" w:hAnsi="宋体" w:eastAsia="宋体" w:cs="宋体"/>
          <w:spacing w:val="2"/>
          <w:sz w:val="23"/>
          <w:szCs w:val="23"/>
        </w:rPr>
        <w:t>。</w:t>
      </w:r>
    </w:p>
    <w:p w14:paraId="4285D4BE">
      <w:pPr>
        <w:spacing w:before="134" w:line="393" w:lineRule="auto"/>
        <w:ind w:left="26" w:right="134" w:firstLine="451"/>
        <w:rPr>
          <w:rFonts w:ascii="宋体" w:hAnsi="宋体" w:eastAsia="宋体" w:cs="宋体"/>
          <w:sz w:val="23"/>
          <w:szCs w:val="23"/>
        </w:rPr>
      </w:pPr>
      <w:r>
        <w:rPr>
          <w:rFonts w:ascii="宋体" w:hAnsi="宋体" w:eastAsia="宋体" w:cs="宋体"/>
          <w:spacing w:val="-1"/>
          <w:sz w:val="23"/>
          <w:szCs w:val="23"/>
        </w:rPr>
        <w:t>④满足功能分区的要求，各种辅助和附属设施应尽可能地靠近</w:t>
      </w:r>
      <w:r>
        <w:rPr>
          <w:rFonts w:ascii="宋体" w:hAnsi="宋体" w:eastAsia="宋体" w:cs="宋体"/>
          <w:sz w:val="23"/>
          <w:szCs w:val="23"/>
        </w:rPr>
        <w:t xml:space="preserve">所服务的车间， </w:t>
      </w:r>
      <w:r>
        <w:rPr>
          <w:rFonts w:ascii="宋体" w:hAnsi="宋体" w:eastAsia="宋体" w:cs="宋体"/>
          <w:spacing w:val="-2"/>
          <w:sz w:val="23"/>
          <w:szCs w:val="23"/>
        </w:rPr>
        <w:t>各种动力供应设施应尽量布置在负荷中心，且要充分利用现有的资源，节约投资</w:t>
      </w:r>
      <w:r>
        <w:rPr>
          <w:rFonts w:ascii="宋体" w:hAnsi="宋体" w:eastAsia="宋体" w:cs="宋体"/>
          <w:spacing w:val="-1"/>
          <w:sz w:val="23"/>
          <w:szCs w:val="23"/>
        </w:rPr>
        <w:t>。</w:t>
      </w:r>
    </w:p>
    <w:p w14:paraId="44F41EF6">
      <w:pPr>
        <w:spacing w:before="137" w:line="225" w:lineRule="auto"/>
        <w:ind w:left="501"/>
        <w:rPr>
          <w:rFonts w:ascii="宋体" w:hAnsi="宋体" w:eastAsia="宋体" w:cs="宋体"/>
          <w:sz w:val="23"/>
          <w:szCs w:val="23"/>
        </w:rPr>
      </w:pPr>
      <w:r>
        <w:rPr>
          <w:rFonts w:ascii="宋体" w:hAnsi="宋体" w:eastAsia="宋体" w:cs="宋体"/>
          <w:spacing w:val="10"/>
          <w:sz w:val="23"/>
          <w:szCs w:val="23"/>
        </w:rPr>
        <w:t>⑤</w:t>
      </w:r>
      <w:r>
        <w:rPr>
          <w:rFonts w:ascii="宋体" w:hAnsi="宋体" w:eastAsia="宋体" w:cs="宋体"/>
          <w:spacing w:val="9"/>
          <w:sz w:val="23"/>
          <w:szCs w:val="23"/>
        </w:rPr>
        <w:t>总图布置充分考虑规划厂址的风向因素。</w:t>
      </w:r>
    </w:p>
    <w:p w14:paraId="50A8F1B9">
      <w:pPr>
        <w:spacing w:line="278" w:lineRule="auto"/>
        <w:rPr>
          <w:rFonts w:ascii="Arial"/>
          <w:sz w:val="21"/>
        </w:rPr>
      </w:pPr>
    </w:p>
    <w:p w14:paraId="323204C3">
      <w:pPr>
        <w:spacing w:before="76"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3</w:t>
      </w:r>
      <w:r>
        <w:rPr>
          <w:rFonts w:ascii="宋体" w:hAnsi="宋体" w:eastAsia="宋体" w:cs="宋体"/>
          <w:spacing w:val="15"/>
          <w:sz w:val="23"/>
          <w:szCs w:val="23"/>
        </w:rPr>
        <w:t>) 总平面布置合理性分析</w:t>
      </w:r>
    </w:p>
    <w:p w14:paraId="3491E6EE">
      <w:pPr>
        <w:spacing w:line="277" w:lineRule="auto"/>
        <w:rPr>
          <w:rFonts w:ascii="Arial"/>
          <w:sz w:val="21"/>
        </w:rPr>
      </w:pPr>
    </w:p>
    <w:p w14:paraId="40A6C181">
      <w:pPr>
        <w:spacing w:before="75" w:line="225" w:lineRule="auto"/>
        <w:ind w:left="502"/>
        <w:rPr>
          <w:rFonts w:ascii="宋体" w:hAnsi="宋体" w:eastAsia="宋体" w:cs="宋体"/>
          <w:sz w:val="23"/>
          <w:szCs w:val="23"/>
        </w:rPr>
      </w:pPr>
      <w:r>
        <w:rPr>
          <w:rFonts w:ascii="宋体" w:hAnsi="宋体" w:eastAsia="宋体" w:cs="宋体"/>
          <w:spacing w:val="25"/>
          <w:sz w:val="23"/>
          <w:szCs w:val="23"/>
        </w:rPr>
        <w:t>①</w:t>
      </w:r>
      <w:r>
        <w:rPr>
          <w:rFonts w:ascii="宋体" w:hAnsi="宋体" w:eastAsia="宋体" w:cs="宋体"/>
          <w:spacing w:val="22"/>
          <w:sz w:val="23"/>
          <w:szCs w:val="23"/>
        </w:rPr>
        <w:t>该项目位于辽宁省本溪市溪湖区火连寨镇火连寨村，地理位置坐标为</w:t>
      </w:r>
    </w:p>
    <w:p w14:paraId="11955766">
      <w:pPr>
        <w:spacing w:before="199" w:line="239" w:lineRule="auto"/>
        <w:ind w:left="11"/>
        <w:rPr>
          <w:rFonts w:ascii="宋体" w:hAnsi="宋体" w:eastAsia="宋体" w:cs="宋体"/>
          <w:sz w:val="23"/>
          <w:szCs w:val="23"/>
        </w:rPr>
      </w:pP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4</w:t>
      </w:r>
      <w:r>
        <w:rPr>
          <w:rFonts w:ascii="Times New Roman" w:hAnsi="Times New Roman" w:eastAsia="Times New Roman" w:cs="Times New Roman"/>
          <w:spacing w:val="3"/>
          <w:sz w:val="23"/>
          <w:szCs w:val="23"/>
        </w:rPr>
        <w:t>1°21′55.05927″</w:t>
      </w:r>
      <w:r>
        <w:rPr>
          <w:rFonts w:ascii="Times New Roman" w:hAnsi="Times New Roman" w:eastAsia="Times New Roman" w:cs="Times New Roman"/>
          <w:sz w:val="23"/>
          <w:szCs w:val="23"/>
        </w:rPr>
        <w:t>E</w:t>
      </w:r>
      <w:r>
        <w:rPr>
          <w:rFonts w:ascii="Times New Roman" w:hAnsi="Times New Roman" w:eastAsia="Times New Roman" w:cs="Times New Roman"/>
          <w:spacing w:val="3"/>
          <w:sz w:val="23"/>
          <w:szCs w:val="23"/>
        </w:rPr>
        <w:t xml:space="preserve">123°42′32.05640″ </w:t>
      </w:r>
      <w:r>
        <w:rPr>
          <w:rFonts w:ascii="宋体" w:hAnsi="宋体" w:eastAsia="宋体" w:cs="宋体"/>
          <w:spacing w:val="3"/>
          <w:sz w:val="23"/>
          <w:szCs w:val="23"/>
        </w:rPr>
        <w:t xml:space="preserve">，总占地面积为 </w:t>
      </w:r>
      <w:r>
        <w:rPr>
          <w:rFonts w:ascii="Times New Roman" w:hAnsi="Times New Roman" w:eastAsia="Times New Roman" w:cs="Times New Roman"/>
          <w:spacing w:val="3"/>
          <w:sz w:val="23"/>
          <w:szCs w:val="23"/>
        </w:rPr>
        <w:t>7000</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3"/>
          <w:szCs w:val="23"/>
        </w:rPr>
        <w:t>。该项目利用厂区内</w:t>
      </w:r>
    </w:p>
    <w:p w14:paraId="31AE016A">
      <w:pPr>
        <w:sectPr>
          <w:headerReference r:id="rId32" w:type="default"/>
          <w:footerReference r:id="rId33" w:type="default"/>
          <w:pgSz w:w="11906" w:h="16839"/>
          <w:pgMar w:top="1132" w:right="1714" w:bottom="899" w:left="1785" w:header="878" w:footer="739" w:gutter="0"/>
          <w:cols w:space="720" w:num="1"/>
        </w:sectPr>
      </w:pPr>
    </w:p>
    <w:p w14:paraId="31A4335B">
      <w:pPr>
        <w:spacing w:line="409" w:lineRule="auto"/>
        <w:rPr>
          <w:rFonts w:ascii="Arial"/>
          <w:sz w:val="21"/>
        </w:rPr>
      </w:pPr>
      <w:r>
        <w:pict>
          <v:shape id="_x0000_s1043" o:spid="_x0000_s1043" style="position:absolute;left:0pt;margin-left:90pt;margin-top:57.35pt;height:0.75pt;width:415.3pt;mso-position-horizontal-relative:page;mso-position-vertical-relative:page;z-index:251681792;mso-width-relative:page;mso-height-relative:page;" fillcolor="#000000" filled="t" stroked="f" coordsize="8305,15" o:allowincell="f" path="m0,0l8305,0,8305,14,0,14,0,0xe">
            <v:path/>
            <v:fill on="t" focussize="0,0"/>
            <v:stroke on="f"/>
            <v:imagedata o:title=""/>
            <o:lock v:ext="edit"/>
          </v:shape>
        </w:pict>
      </w:r>
    </w:p>
    <w:p w14:paraId="6802C850">
      <w:pPr>
        <w:spacing w:before="75" w:line="385" w:lineRule="auto"/>
        <w:ind w:left="23" w:right="18" w:firstLine="5"/>
        <w:rPr>
          <w:rFonts w:ascii="宋体" w:hAnsi="宋体" w:eastAsia="宋体" w:cs="宋体"/>
          <w:sz w:val="23"/>
          <w:szCs w:val="23"/>
        </w:rPr>
      </w:pPr>
      <w:r>
        <w:rPr>
          <w:rFonts w:ascii="宋体" w:hAnsi="宋体" w:eastAsia="宋体" w:cs="宋体"/>
          <w:spacing w:val="7"/>
          <w:sz w:val="23"/>
          <w:szCs w:val="23"/>
        </w:rPr>
        <w:t>原有闲置辅助用房作为办公用房及成品库，并将原有生产厂房扩大作为该项目</w:t>
      </w:r>
      <w:r>
        <w:rPr>
          <w:rFonts w:ascii="宋体" w:hAnsi="宋体" w:eastAsia="宋体" w:cs="宋体"/>
          <w:spacing w:val="3"/>
          <w:sz w:val="23"/>
          <w:szCs w:val="23"/>
        </w:rPr>
        <w:t>生</w:t>
      </w:r>
      <w:r>
        <w:rPr>
          <w:rFonts w:ascii="宋体" w:hAnsi="宋体" w:eastAsia="宋体" w:cs="宋体"/>
          <w:sz w:val="23"/>
          <w:szCs w:val="23"/>
        </w:rPr>
        <w:t xml:space="preserve"> </w:t>
      </w:r>
      <w:r>
        <w:rPr>
          <w:rFonts w:ascii="宋体" w:hAnsi="宋体" w:eastAsia="宋体" w:cs="宋体"/>
          <w:spacing w:val="-13"/>
          <w:sz w:val="23"/>
          <w:szCs w:val="23"/>
        </w:rPr>
        <w:t>产</w:t>
      </w:r>
      <w:r>
        <w:rPr>
          <w:rFonts w:ascii="宋体" w:hAnsi="宋体" w:eastAsia="宋体" w:cs="宋体"/>
          <w:spacing w:val="-8"/>
          <w:sz w:val="23"/>
          <w:szCs w:val="23"/>
        </w:rPr>
        <w:t xml:space="preserve">用房，总建筑面积为 </w:t>
      </w:r>
      <w:r>
        <w:rPr>
          <w:rFonts w:ascii="Times New Roman" w:hAnsi="Times New Roman" w:eastAsia="Times New Roman" w:cs="Times New Roman"/>
          <w:spacing w:val="-8"/>
          <w:sz w:val="23"/>
          <w:szCs w:val="23"/>
        </w:rPr>
        <w:t>1600m</w:t>
      </w:r>
      <w:r>
        <w:rPr>
          <w:rFonts w:ascii="Times New Roman" w:hAnsi="Times New Roman" w:eastAsia="Times New Roman" w:cs="Times New Roman"/>
          <w:spacing w:val="-8"/>
          <w:position w:val="8"/>
          <w:sz w:val="15"/>
          <w:szCs w:val="15"/>
        </w:rPr>
        <w:t>2</w:t>
      </w:r>
      <w:r>
        <w:rPr>
          <w:rFonts w:ascii="宋体" w:hAnsi="宋体" w:eastAsia="宋体" w:cs="宋体"/>
          <w:spacing w:val="-8"/>
          <w:sz w:val="23"/>
          <w:szCs w:val="23"/>
        </w:rPr>
        <w:t xml:space="preserve">，主要建筑物为：生产厂房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栋，建筑面积为 </w:t>
      </w:r>
      <w:r>
        <w:rPr>
          <w:rFonts w:ascii="Times New Roman" w:hAnsi="Times New Roman" w:eastAsia="Times New Roman" w:cs="Times New Roman"/>
          <w:spacing w:val="-8"/>
          <w:sz w:val="23"/>
          <w:szCs w:val="23"/>
        </w:rPr>
        <w:t>600m</w:t>
      </w:r>
      <w:r>
        <w:rPr>
          <w:rFonts w:ascii="Times New Roman" w:hAnsi="Times New Roman" w:eastAsia="Times New Roman" w:cs="Times New Roman"/>
          <w:spacing w:val="-8"/>
          <w:position w:val="8"/>
          <w:sz w:val="15"/>
          <w:szCs w:val="15"/>
        </w:rPr>
        <w:t>2</w:t>
      </w:r>
      <w:r>
        <w:rPr>
          <w:rFonts w:ascii="宋体" w:hAnsi="宋体" w:eastAsia="宋体" w:cs="宋体"/>
          <w:spacing w:val="-8"/>
          <w:sz w:val="23"/>
          <w:szCs w:val="23"/>
        </w:rPr>
        <w:t>；</w:t>
      </w:r>
    </w:p>
    <w:p w14:paraId="4EE4E546">
      <w:pPr>
        <w:tabs>
          <w:tab w:val="left" w:pos="148"/>
        </w:tabs>
        <w:spacing w:before="5" w:line="388" w:lineRule="auto"/>
        <w:ind w:left="19" w:firstLine="6"/>
        <w:rPr>
          <w:rFonts w:ascii="宋体" w:hAnsi="宋体" w:eastAsia="宋体" w:cs="宋体"/>
          <w:sz w:val="23"/>
          <w:szCs w:val="23"/>
        </w:rPr>
      </w:pPr>
      <w:r>
        <w:rPr>
          <w:rFonts w:ascii="宋体" w:hAnsi="宋体" w:eastAsia="宋体" w:cs="宋体"/>
          <w:spacing w:val="-4"/>
          <w:sz w:val="23"/>
          <w:szCs w:val="23"/>
        </w:rPr>
        <w:t xml:space="preserve">成品库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栋，建筑面积为 </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2"/>
          <w:sz w:val="23"/>
          <w:szCs w:val="23"/>
        </w:rPr>
        <w:t>00m</w:t>
      </w:r>
      <w:r>
        <w:rPr>
          <w:rFonts w:ascii="Times New Roman" w:hAnsi="Times New Roman" w:eastAsia="Times New Roman" w:cs="Times New Roman"/>
          <w:spacing w:val="-2"/>
          <w:position w:val="8"/>
          <w:sz w:val="15"/>
          <w:szCs w:val="15"/>
        </w:rPr>
        <w:t>2</w:t>
      </w:r>
      <w:r>
        <w:rPr>
          <w:rFonts w:ascii="宋体" w:hAnsi="宋体" w:eastAsia="宋体" w:cs="宋体"/>
          <w:spacing w:val="-2"/>
          <w:sz w:val="23"/>
          <w:szCs w:val="23"/>
        </w:rPr>
        <w:t xml:space="preserve">；原料库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栋，建筑面积为 </w:t>
      </w:r>
      <w:r>
        <w:rPr>
          <w:rFonts w:ascii="Times New Roman" w:hAnsi="Times New Roman" w:eastAsia="Times New Roman" w:cs="Times New Roman"/>
          <w:spacing w:val="-2"/>
          <w:sz w:val="23"/>
          <w:szCs w:val="23"/>
        </w:rPr>
        <w:t>200m</w:t>
      </w:r>
      <w:r>
        <w:rPr>
          <w:rFonts w:ascii="Times New Roman" w:hAnsi="Times New Roman" w:eastAsia="Times New Roman" w:cs="Times New Roman"/>
          <w:spacing w:val="-2"/>
          <w:position w:val="8"/>
          <w:sz w:val="15"/>
          <w:szCs w:val="15"/>
        </w:rPr>
        <w:t>2</w:t>
      </w:r>
      <w:r>
        <w:rPr>
          <w:rFonts w:ascii="宋体" w:hAnsi="宋体" w:eastAsia="宋体" w:cs="宋体"/>
          <w:spacing w:val="-2"/>
          <w:sz w:val="23"/>
          <w:szCs w:val="23"/>
        </w:rPr>
        <w:t xml:space="preserve">；办公室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栋，</w:t>
      </w:r>
      <w:r>
        <w:rPr>
          <w:rFonts w:ascii="宋体" w:hAnsi="宋体" w:eastAsia="宋体" w:cs="宋体"/>
          <w:sz w:val="23"/>
          <w:szCs w:val="23"/>
        </w:rPr>
        <w:t xml:space="preserve"> </w:t>
      </w:r>
      <w:r>
        <w:rPr>
          <w:rFonts w:ascii="宋体" w:hAnsi="宋体" w:eastAsia="宋体" w:cs="宋体"/>
          <w:spacing w:val="-1"/>
          <w:sz w:val="23"/>
          <w:szCs w:val="23"/>
        </w:rPr>
        <w:t>建筑面积为</w:t>
      </w:r>
      <w:r>
        <w:rPr>
          <w:rFonts w:ascii="宋体" w:hAnsi="宋体" w:eastAsia="宋体" w:cs="宋体"/>
          <w:sz w:val="23"/>
          <w:szCs w:val="23"/>
        </w:rPr>
        <w:t xml:space="preserve"> </w:t>
      </w:r>
      <w:r>
        <w:rPr>
          <w:rFonts w:ascii="Times New Roman" w:hAnsi="Times New Roman" w:eastAsia="Times New Roman" w:cs="Times New Roman"/>
          <w:sz w:val="23"/>
          <w:szCs w:val="23"/>
        </w:rPr>
        <w:t>245m</w:t>
      </w:r>
      <w:r>
        <w:rPr>
          <w:rFonts w:ascii="Times New Roman" w:hAnsi="Times New Roman" w:eastAsia="Times New Roman" w:cs="Times New Roman"/>
          <w:position w:val="8"/>
          <w:sz w:val="15"/>
          <w:szCs w:val="15"/>
        </w:rPr>
        <w:t xml:space="preserve">2 </w:t>
      </w:r>
      <w:r>
        <w:rPr>
          <w:rFonts w:ascii="宋体" w:hAnsi="宋体" w:eastAsia="宋体" w:cs="宋体"/>
          <w:sz w:val="23"/>
          <w:szCs w:val="23"/>
        </w:rPr>
        <w:t xml:space="preserve">；员工休息室 </w:t>
      </w:r>
      <w:r>
        <w:rPr>
          <w:rFonts w:ascii="Times New Roman" w:hAnsi="Times New Roman" w:eastAsia="Times New Roman" w:cs="Times New Roman"/>
          <w:sz w:val="23"/>
          <w:szCs w:val="23"/>
        </w:rPr>
        <w:t xml:space="preserve">2 </w:t>
      </w:r>
      <w:r>
        <w:rPr>
          <w:rFonts w:ascii="宋体" w:hAnsi="宋体" w:eastAsia="宋体" w:cs="宋体"/>
          <w:sz w:val="23"/>
          <w:szCs w:val="23"/>
        </w:rPr>
        <w:t xml:space="preserve">栋，其中 </w:t>
      </w:r>
      <w:r>
        <w:rPr>
          <w:rFonts w:ascii="Times New Roman" w:hAnsi="Times New Roman" w:eastAsia="Times New Roman" w:cs="Times New Roman"/>
          <w:sz w:val="23"/>
          <w:szCs w:val="23"/>
        </w:rPr>
        <w:t>1#</w:t>
      </w:r>
      <w:r>
        <w:rPr>
          <w:rFonts w:ascii="宋体" w:hAnsi="宋体" w:eastAsia="宋体" w:cs="宋体"/>
          <w:sz w:val="23"/>
          <w:szCs w:val="23"/>
        </w:rPr>
        <w:t xml:space="preserve">员工休息室建筑面积为 </w:t>
      </w:r>
      <w:r>
        <w:rPr>
          <w:rFonts w:ascii="Times New Roman" w:hAnsi="Times New Roman" w:eastAsia="Times New Roman" w:cs="Times New Roman"/>
          <w:sz w:val="23"/>
          <w:szCs w:val="23"/>
        </w:rPr>
        <w:t>150m</w:t>
      </w:r>
      <w:r>
        <w:rPr>
          <w:rFonts w:ascii="Times New Roman" w:hAnsi="Times New Roman" w:eastAsia="Times New Roman" w:cs="Times New Roman"/>
          <w:position w:val="8"/>
          <w:sz w:val="15"/>
          <w:szCs w:val="15"/>
        </w:rPr>
        <w:t>2</w:t>
      </w:r>
      <w:r>
        <w:rPr>
          <w:rFonts w:ascii="宋体" w:hAnsi="宋体" w:eastAsia="宋体" w:cs="宋体"/>
          <w:sz w:val="23"/>
          <w:szCs w:val="23"/>
        </w:rPr>
        <w:t>，</w:t>
      </w:r>
      <w:r>
        <w:rPr>
          <w:rFonts w:ascii="Times New Roman" w:hAnsi="Times New Roman" w:eastAsia="Times New Roman" w:cs="Times New Roman"/>
          <w:sz w:val="23"/>
          <w:szCs w:val="23"/>
        </w:rPr>
        <w:t xml:space="preserve">2# </w:t>
      </w:r>
      <w:r>
        <w:rPr>
          <w:rFonts w:ascii="宋体" w:hAnsi="宋体" w:eastAsia="宋体" w:cs="宋体"/>
          <w:spacing w:val="8"/>
          <w:sz w:val="23"/>
          <w:szCs w:val="23"/>
        </w:rPr>
        <w:t>员工休息</w:t>
      </w:r>
      <w:r>
        <w:rPr>
          <w:rFonts w:ascii="宋体" w:hAnsi="宋体" w:eastAsia="宋体" w:cs="宋体"/>
          <w:spacing w:val="6"/>
          <w:sz w:val="23"/>
          <w:szCs w:val="23"/>
        </w:rPr>
        <w:t>室</w:t>
      </w:r>
      <w:r>
        <w:rPr>
          <w:rFonts w:ascii="宋体" w:hAnsi="宋体" w:eastAsia="宋体" w:cs="宋体"/>
          <w:spacing w:val="4"/>
          <w:sz w:val="23"/>
          <w:szCs w:val="23"/>
        </w:rPr>
        <w:t xml:space="preserve">建筑面积为 </w:t>
      </w:r>
      <w:r>
        <w:rPr>
          <w:rFonts w:ascii="Times New Roman" w:hAnsi="Times New Roman" w:eastAsia="Times New Roman" w:cs="Times New Roman"/>
          <w:spacing w:val="4"/>
          <w:sz w:val="23"/>
          <w:szCs w:val="23"/>
        </w:rPr>
        <w:t>175</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2 </w:t>
      </w:r>
      <w:r>
        <w:rPr>
          <w:rFonts w:ascii="宋体" w:hAnsi="宋体" w:eastAsia="宋体" w:cs="宋体"/>
          <w:spacing w:val="4"/>
          <w:sz w:val="23"/>
          <w:szCs w:val="23"/>
        </w:rPr>
        <w:t xml:space="preserve">；备品备件库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栋，建筑面积为 </w:t>
      </w:r>
      <w:r>
        <w:rPr>
          <w:rFonts w:ascii="Times New Roman" w:hAnsi="Times New Roman" w:eastAsia="Times New Roman" w:cs="Times New Roman"/>
          <w:spacing w:val="4"/>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2 </w:t>
      </w:r>
      <w:r>
        <w:rPr>
          <w:rFonts w:ascii="宋体" w:hAnsi="宋体" w:eastAsia="宋体" w:cs="宋体"/>
          <w:spacing w:val="4"/>
          <w:sz w:val="23"/>
          <w:szCs w:val="23"/>
        </w:rPr>
        <w:t>。该项目共</w:t>
      </w:r>
      <w:r>
        <w:rPr>
          <w:rFonts w:ascii="宋体" w:hAnsi="宋体" w:eastAsia="宋体" w:cs="宋体"/>
          <w:sz w:val="23"/>
          <w:szCs w:val="23"/>
        </w:rPr>
        <w:t xml:space="preserve"> </w:t>
      </w:r>
      <w:r>
        <w:rPr>
          <w:rFonts w:ascii="宋体" w:hAnsi="宋体" w:eastAsia="宋体" w:cs="宋体"/>
          <w:spacing w:val="16"/>
          <w:sz w:val="23"/>
          <w:szCs w:val="23"/>
        </w:rPr>
        <w:t>计</w:t>
      </w:r>
      <w:r>
        <w:rPr>
          <w:rFonts w:ascii="宋体" w:hAnsi="宋体" w:eastAsia="宋体" w:cs="宋体"/>
          <w:spacing w:val="12"/>
          <w:sz w:val="23"/>
          <w:szCs w:val="23"/>
        </w:rPr>
        <w:t xml:space="preserve"> </w:t>
      </w:r>
      <w:r>
        <w:rPr>
          <w:rFonts w:ascii="Times New Roman" w:hAnsi="Times New Roman" w:eastAsia="Times New Roman" w:cs="Times New Roman"/>
          <w:spacing w:val="8"/>
          <w:sz w:val="23"/>
          <w:szCs w:val="23"/>
        </w:rPr>
        <w:t xml:space="preserve">10 </w:t>
      </w:r>
      <w:r>
        <w:rPr>
          <w:rFonts w:ascii="宋体" w:hAnsi="宋体" w:eastAsia="宋体" w:cs="宋体"/>
          <w:spacing w:val="8"/>
          <w:sz w:val="23"/>
          <w:szCs w:val="23"/>
        </w:rPr>
        <w:t>条废旧塑料再生颗粒生产线，均布置在生产厂房内，生产厂房北侧即为建</w:t>
      </w:r>
      <w:r>
        <w:rPr>
          <w:rFonts w:ascii="宋体" w:hAnsi="宋体" w:eastAsia="宋体" w:cs="宋体"/>
          <w:sz w:val="23"/>
          <w:szCs w:val="23"/>
        </w:rPr>
        <w:t xml:space="preserve"> </w:t>
      </w:r>
      <w:r>
        <w:rPr>
          <w:rFonts w:ascii="宋体" w:hAnsi="宋体" w:eastAsia="宋体" w:cs="宋体"/>
          <w:spacing w:val="6"/>
          <w:sz w:val="23"/>
          <w:szCs w:val="23"/>
        </w:rPr>
        <w:t xml:space="preserve">筑面积 </w:t>
      </w:r>
      <w:r>
        <w:rPr>
          <w:rFonts w:ascii="Times New Roman" w:hAnsi="Times New Roman" w:eastAsia="Times New Roman" w:cs="Times New Roman"/>
          <w:spacing w:val="6"/>
          <w:sz w:val="23"/>
          <w:szCs w:val="23"/>
        </w:rPr>
        <w:t>200</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 xml:space="preserve">的成品库，用于存放 </w:t>
      </w:r>
      <w:r>
        <w:rPr>
          <w:rFonts w:ascii="Times New Roman" w:hAnsi="Times New Roman" w:eastAsia="Times New Roman" w:cs="Times New Roman"/>
          <w:spacing w:val="6"/>
          <w:sz w:val="23"/>
          <w:szCs w:val="23"/>
        </w:rPr>
        <w:t xml:space="preserve">10 </w:t>
      </w:r>
      <w:r>
        <w:rPr>
          <w:rFonts w:ascii="宋体" w:hAnsi="宋体" w:eastAsia="宋体" w:cs="宋体"/>
          <w:spacing w:val="6"/>
          <w:sz w:val="23"/>
          <w:szCs w:val="23"/>
        </w:rPr>
        <w:t>条生产线生产的成品废旧塑料再生颗粒</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2"/>
          <w:sz w:val="23"/>
          <w:szCs w:val="23"/>
        </w:rPr>
        <w:t>生</w:t>
      </w:r>
      <w:r>
        <w:rPr>
          <w:rFonts w:ascii="宋体" w:hAnsi="宋体" w:eastAsia="宋体" w:cs="宋体"/>
          <w:spacing w:val="7"/>
          <w:sz w:val="23"/>
          <w:szCs w:val="23"/>
        </w:rPr>
        <w:t>产</w:t>
      </w:r>
      <w:r>
        <w:rPr>
          <w:rFonts w:ascii="宋体" w:hAnsi="宋体" w:eastAsia="宋体" w:cs="宋体"/>
          <w:spacing w:val="6"/>
          <w:sz w:val="23"/>
          <w:szCs w:val="23"/>
        </w:rPr>
        <w:t xml:space="preserve">厂房东北侧即为建筑面积 </w:t>
      </w:r>
      <w:r>
        <w:rPr>
          <w:rFonts w:ascii="Times New Roman" w:hAnsi="Times New Roman" w:eastAsia="Times New Roman" w:cs="Times New Roman"/>
          <w:spacing w:val="6"/>
          <w:sz w:val="23"/>
          <w:szCs w:val="23"/>
        </w:rPr>
        <w:t>200</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 xml:space="preserve">的原料库，用于存储 </w:t>
      </w:r>
      <w:r>
        <w:rPr>
          <w:rFonts w:ascii="Times New Roman" w:hAnsi="Times New Roman" w:eastAsia="Times New Roman" w:cs="Times New Roman"/>
          <w:spacing w:val="6"/>
          <w:sz w:val="23"/>
          <w:szCs w:val="23"/>
        </w:rPr>
        <w:t xml:space="preserve">10 </w:t>
      </w:r>
      <w:r>
        <w:rPr>
          <w:rFonts w:ascii="宋体" w:hAnsi="宋体" w:eastAsia="宋体" w:cs="宋体"/>
          <w:spacing w:val="6"/>
          <w:sz w:val="23"/>
          <w:szCs w:val="23"/>
        </w:rPr>
        <w:t>条生产线所用原料</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0"/>
          <w:sz w:val="23"/>
          <w:szCs w:val="23"/>
        </w:rPr>
        <w:t>(废旧塑料编</w:t>
      </w:r>
      <w:r>
        <w:rPr>
          <w:rFonts w:ascii="宋体" w:hAnsi="宋体" w:eastAsia="宋体" w:cs="宋体"/>
          <w:spacing w:val="6"/>
          <w:sz w:val="23"/>
          <w:szCs w:val="23"/>
        </w:rPr>
        <w:t>织</w:t>
      </w:r>
      <w:r>
        <w:rPr>
          <w:rFonts w:ascii="宋体" w:hAnsi="宋体" w:eastAsia="宋体" w:cs="宋体"/>
          <w:spacing w:val="5"/>
          <w:sz w:val="23"/>
          <w:szCs w:val="23"/>
        </w:rPr>
        <w:t xml:space="preserve">袋) ；生产厂房西侧设有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栋 </w:t>
      </w:r>
      <w:r>
        <w:rPr>
          <w:rFonts w:ascii="Times New Roman" w:hAnsi="Times New Roman" w:eastAsia="Times New Roman" w:cs="Times New Roman"/>
          <w:spacing w:val="5"/>
          <w:sz w:val="23"/>
          <w:szCs w:val="23"/>
        </w:rPr>
        <w:t>1#</w:t>
      </w:r>
      <w:r>
        <w:rPr>
          <w:rFonts w:ascii="宋体" w:hAnsi="宋体" w:eastAsia="宋体" w:cs="宋体"/>
          <w:spacing w:val="5"/>
          <w:sz w:val="23"/>
          <w:szCs w:val="23"/>
        </w:rPr>
        <w:t xml:space="preserve">员工休息室，西北侧设有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栋</w:t>
      </w:r>
      <w:r>
        <w:rPr>
          <w:rFonts w:ascii="宋体" w:hAnsi="宋体" w:eastAsia="宋体" w:cs="宋体"/>
          <w:sz w:val="23"/>
          <w:szCs w:val="23"/>
        </w:rPr>
        <w:t xml:space="preserve"> </w:t>
      </w:r>
      <w:r>
        <w:rPr>
          <w:rFonts w:ascii="Times New Roman" w:hAnsi="Times New Roman" w:eastAsia="Times New Roman" w:cs="Times New Roman"/>
          <w:spacing w:val="2"/>
          <w:sz w:val="23"/>
          <w:szCs w:val="23"/>
        </w:rPr>
        <w:t>2#</w:t>
      </w:r>
      <w:r>
        <w:rPr>
          <w:rFonts w:ascii="宋体" w:hAnsi="宋体" w:eastAsia="宋体" w:cs="宋体"/>
          <w:spacing w:val="2"/>
          <w:sz w:val="23"/>
          <w:szCs w:val="23"/>
        </w:rPr>
        <w:t>休息室</w:t>
      </w:r>
      <w:r>
        <w:rPr>
          <w:rFonts w:ascii="宋体" w:hAnsi="宋体" w:eastAsia="宋体" w:cs="宋体"/>
          <w:spacing w:val="1"/>
          <w:sz w:val="23"/>
          <w:szCs w:val="23"/>
        </w:rPr>
        <w:t xml:space="preserve">以及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栋办公室。拟建项目厂区平面布置功能分区明确，工艺流程合理。</w:t>
      </w:r>
    </w:p>
    <w:p w14:paraId="0BA05DB1">
      <w:pPr>
        <w:spacing w:before="124" w:line="384" w:lineRule="auto"/>
        <w:ind w:left="24" w:right="80" w:firstLine="477"/>
        <w:rPr>
          <w:rFonts w:ascii="宋体" w:hAnsi="宋体" w:eastAsia="宋体" w:cs="宋体"/>
          <w:sz w:val="23"/>
          <w:szCs w:val="23"/>
        </w:rPr>
      </w:pPr>
      <w:r>
        <w:rPr>
          <w:rFonts w:ascii="宋体" w:hAnsi="宋体" w:eastAsia="宋体" w:cs="宋体"/>
          <w:spacing w:val="7"/>
          <w:sz w:val="23"/>
          <w:szCs w:val="23"/>
        </w:rPr>
        <w:t>②该项目生产厂房位于厂区东侧中部，生产厂房东北侧即为原料库，北侧</w:t>
      </w:r>
      <w:r>
        <w:rPr>
          <w:rFonts w:ascii="宋体" w:hAnsi="宋体" w:eastAsia="宋体" w:cs="宋体"/>
          <w:spacing w:val="4"/>
          <w:sz w:val="23"/>
          <w:szCs w:val="23"/>
        </w:rPr>
        <w:t>即</w:t>
      </w:r>
      <w:r>
        <w:rPr>
          <w:rFonts w:ascii="宋体" w:hAnsi="宋体" w:eastAsia="宋体" w:cs="宋体"/>
          <w:sz w:val="23"/>
          <w:szCs w:val="23"/>
        </w:rPr>
        <w:t xml:space="preserve"> </w:t>
      </w:r>
      <w:r>
        <w:rPr>
          <w:rFonts w:ascii="宋体" w:hAnsi="宋体" w:eastAsia="宋体" w:cs="宋体"/>
          <w:spacing w:val="12"/>
          <w:sz w:val="23"/>
          <w:szCs w:val="23"/>
        </w:rPr>
        <w:t>为成</w:t>
      </w:r>
      <w:r>
        <w:rPr>
          <w:rFonts w:ascii="宋体" w:hAnsi="宋体" w:eastAsia="宋体" w:cs="宋体"/>
          <w:spacing w:val="9"/>
          <w:sz w:val="23"/>
          <w:szCs w:val="23"/>
        </w:rPr>
        <w:t>品</w:t>
      </w:r>
      <w:r>
        <w:rPr>
          <w:rFonts w:ascii="宋体" w:hAnsi="宋体" w:eastAsia="宋体" w:cs="宋体"/>
          <w:spacing w:val="6"/>
          <w:sz w:val="23"/>
          <w:szCs w:val="23"/>
        </w:rPr>
        <w:t xml:space="preserve">库，厂区西南侧为 </w:t>
      </w:r>
      <w:r>
        <w:rPr>
          <w:rFonts w:ascii="Times New Roman" w:hAnsi="Times New Roman" w:eastAsia="Times New Roman" w:cs="Times New Roman"/>
          <w:spacing w:val="6"/>
          <w:sz w:val="23"/>
          <w:szCs w:val="23"/>
        </w:rPr>
        <w:t>1#</w:t>
      </w:r>
      <w:r>
        <w:rPr>
          <w:rFonts w:ascii="宋体" w:hAnsi="宋体" w:eastAsia="宋体" w:cs="宋体"/>
          <w:spacing w:val="6"/>
          <w:sz w:val="23"/>
          <w:szCs w:val="23"/>
        </w:rPr>
        <w:t xml:space="preserve">员工休息室，西北侧为 </w:t>
      </w:r>
      <w:r>
        <w:rPr>
          <w:rFonts w:ascii="Times New Roman" w:hAnsi="Times New Roman" w:eastAsia="Times New Roman" w:cs="Times New Roman"/>
          <w:spacing w:val="6"/>
          <w:sz w:val="23"/>
          <w:szCs w:val="23"/>
        </w:rPr>
        <w:t>2#</w:t>
      </w:r>
      <w:r>
        <w:rPr>
          <w:rFonts w:ascii="宋体" w:hAnsi="宋体" w:eastAsia="宋体" w:cs="宋体"/>
          <w:spacing w:val="6"/>
          <w:sz w:val="23"/>
          <w:szCs w:val="23"/>
        </w:rPr>
        <w:t>员工休息室、办公室，员</w:t>
      </w:r>
      <w:r>
        <w:rPr>
          <w:rFonts w:ascii="宋体" w:hAnsi="宋体" w:eastAsia="宋体" w:cs="宋体"/>
          <w:sz w:val="23"/>
          <w:szCs w:val="23"/>
        </w:rPr>
        <w:t xml:space="preserve"> </w:t>
      </w:r>
      <w:r>
        <w:rPr>
          <w:rFonts w:ascii="宋体" w:hAnsi="宋体" w:eastAsia="宋体" w:cs="宋体"/>
          <w:spacing w:val="8"/>
          <w:sz w:val="23"/>
          <w:szCs w:val="23"/>
        </w:rPr>
        <w:t>工</w:t>
      </w:r>
      <w:r>
        <w:rPr>
          <w:rFonts w:ascii="宋体" w:hAnsi="宋体" w:eastAsia="宋体" w:cs="宋体"/>
          <w:spacing w:val="7"/>
          <w:sz w:val="23"/>
          <w:szCs w:val="23"/>
        </w:rPr>
        <w:t>休息室、办公室与生产厂房之间仅隔厂区现状道路，距离较近，便于人员及物</w:t>
      </w:r>
      <w:r>
        <w:rPr>
          <w:rFonts w:ascii="宋体" w:hAnsi="宋体" w:eastAsia="宋体" w:cs="宋体"/>
          <w:sz w:val="23"/>
          <w:szCs w:val="23"/>
        </w:rPr>
        <w:t xml:space="preserve"> </w:t>
      </w:r>
      <w:r>
        <w:rPr>
          <w:rFonts w:ascii="宋体" w:hAnsi="宋体" w:eastAsia="宋体" w:cs="宋体"/>
          <w:spacing w:val="6"/>
          <w:sz w:val="23"/>
          <w:szCs w:val="23"/>
        </w:rPr>
        <w:t>质的管理</w:t>
      </w:r>
      <w:r>
        <w:rPr>
          <w:rFonts w:ascii="宋体" w:hAnsi="宋体" w:eastAsia="宋体" w:cs="宋体"/>
          <w:spacing w:val="5"/>
          <w:sz w:val="23"/>
          <w:szCs w:val="23"/>
        </w:rPr>
        <w:t>。</w:t>
      </w:r>
    </w:p>
    <w:p w14:paraId="1FB9BBE5">
      <w:pPr>
        <w:spacing w:before="161" w:line="225" w:lineRule="auto"/>
        <w:ind w:left="501"/>
        <w:rPr>
          <w:rFonts w:ascii="宋体" w:hAnsi="宋体" w:eastAsia="宋体" w:cs="宋体"/>
          <w:sz w:val="23"/>
          <w:szCs w:val="23"/>
        </w:rPr>
      </w:pPr>
      <w:r>
        <w:rPr>
          <w:rFonts w:ascii="宋体" w:hAnsi="宋体" w:eastAsia="宋体" w:cs="宋体"/>
          <w:spacing w:val="18"/>
          <w:sz w:val="23"/>
          <w:szCs w:val="23"/>
        </w:rPr>
        <w:t>③</w:t>
      </w:r>
      <w:r>
        <w:rPr>
          <w:rFonts w:ascii="宋体" w:hAnsi="宋体" w:eastAsia="宋体" w:cs="宋体"/>
          <w:spacing w:val="13"/>
          <w:sz w:val="23"/>
          <w:szCs w:val="23"/>
        </w:rPr>
        <w:t>产</w:t>
      </w:r>
      <w:r>
        <w:rPr>
          <w:rFonts w:ascii="宋体" w:hAnsi="宋体" w:eastAsia="宋体" w:cs="宋体"/>
          <w:spacing w:val="9"/>
          <w:sz w:val="23"/>
          <w:szCs w:val="23"/>
        </w:rPr>
        <w:t>品存放区与生产区联系紧密，缩短了物料运输距离，节省了能源。</w:t>
      </w:r>
    </w:p>
    <w:p w14:paraId="2F069A48">
      <w:pPr>
        <w:spacing w:line="279" w:lineRule="auto"/>
        <w:rPr>
          <w:rFonts w:ascii="Arial"/>
          <w:sz w:val="21"/>
        </w:rPr>
      </w:pPr>
    </w:p>
    <w:p w14:paraId="377CA9AE">
      <w:pPr>
        <w:spacing w:before="74" w:line="225" w:lineRule="auto"/>
        <w:ind w:left="501"/>
        <w:rPr>
          <w:rFonts w:ascii="宋体" w:hAnsi="宋体" w:eastAsia="宋体" w:cs="宋体"/>
          <w:sz w:val="23"/>
          <w:szCs w:val="23"/>
        </w:rPr>
      </w:pPr>
      <w:r>
        <w:rPr>
          <w:rFonts w:ascii="宋体" w:hAnsi="宋体" w:eastAsia="宋体" w:cs="宋体"/>
          <w:spacing w:val="36"/>
          <w:sz w:val="23"/>
          <w:szCs w:val="23"/>
        </w:rPr>
        <w:t>④</w:t>
      </w:r>
      <w:r>
        <w:rPr>
          <w:rFonts w:ascii="宋体" w:hAnsi="宋体" w:eastAsia="宋体" w:cs="宋体"/>
          <w:spacing w:val="19"/>
          <w:sz w:val="23"/>
          <w:szCs w:val="23"/>
        </w:rPr>
        <w:t>该</w:t>
      </w:r>
      <w:r>
        <w:rPr>
          <w:rFonts w:ascii="宋体" w:hAnsi="宋体" w:eastAsia="宋体" w:cs="宋体"/>
          <w:spacing w:val="18"/>
          <w:sz w:val="23"/>
          <w:szCs w:val="23"/>
        </w:rPr>
        <w:t xml:space="preserve">项 目主要构筑物包括 </w:t>
      </w:r>
      <w:r>
        <w:rPr>
          <w:rFonts w:ascii="Times New Roman" w:hAnsi="Times New Roman" w:eastAsia="Times New Roman" w:cs="Times New Roman"/>
          <w:spacing w:val="18"/>
          <w:sz w:val="23"/>
          <w:szCs w:val="23"/>
        </w:rPr>
        <w:t xml:space="preserve">1 </w:t>
      </w:r>
      <w:r>
        <w:rPr>
          <w:rFonts w:ascii="宋体" w:hAnsi="宋体" w:eastAsia="宋体" w:cs="宋体"/>
          <w:spacing w:val="18"/>
          <w:sz w:val="23"/>
          <w:szCs w:val="23"/>
        </w:rPr>
        <w:t>个用于处理该项 目生产废水的三级沉淀池</w:t>
      </w:r>
    </w:p>
    <w:p w14:paraId="05592AE3">
      <w:pPr>
        <w:spacing w:before="200" w:line="393" w:lineRule="auto"/>
        <w:ind w:left="24" w:right="77" w:firstLine="10"/>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12"/>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12"/>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12"/>
          <w:sz w:val="23"/>
          <w:szCs w:val="23"/>
        </w:rPr>
        <w:t>×4.5</w:t>
      </w:r>
      <w:r>
        <w:rPr>
          <w:rFonts w:ascii="Times New Roman" w:hAnsi="Times New Roman" w:eastAsia="Times New Roman" w:cs="Times New Roman"/>
          <w:sz w:val="23"/>
          <w:szCs w:val="23"/>
        </w:rPr>
        <w:t>m</w:t>
      </w:r>
      <w:r>
        <w:rPr>
          <w:rFonts w:ascii="宋体" w:hAnsi="宋体" w:eastAsia="宋体" w:cs="宋体"/>
          <w:spacing w:val="12"/>
          <w:sz w:val="23"/>
          <w:szCs w:val="23"/>
        </w:rPr>
        <w:t xml:space="preserve">) ，同时配套设有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台一体化污水预处理设备，均位于生产厂</w:t>
      </w:r>
      <w:r>
        <w:rPr>
          <w:rFonts w:ascii="宋体" w:hAnsi="宋体" w:eastAsia="宋体" w:cs="宋体"/>
          <w:sz w:val="23"/>
          <w:szCs w:val="23"/>
        </w:rPr>
        <w:t xml:space="preserve"> </w:t>
      </w:r>
      <w:r>
        <w:rPr>
          <w:rFonts w:ascii="宋体" w:hAnsi="宋体" w:eastAsia="宋体" w:cs="宋体"/>
          <w:spacing w:val="14"/>
          <w:sz w:val="23"/>
          <w:szCs w:val="23"/>
        </w:rPr>
        <w:t>房</w:t>
      </w:r>
      <w:r>
        <w:rPr>
          <w:rFonts w:ascii="宋体" w:hAnsi="宋体" w:eastAsia="宋体" w:cs="宋体"/>
          <w:spacing w:val="9"/>
          <w:sz w:val="23"/>
          <w:szCs w:val="23"/>
        </w:rPr>
        <w:t>西南侧距离生产厂房较近，便于生产废水的处理及回用。</w:t>
      </w:r>
    </w:p>
    <w:p w14:paraId="1333BF25">
      <w:pPr>
        <w:spacing w:before="137" w:line="393" w:lineRule="auto"/>
        <w:ind w:left="24" w:right="77" w:firstLine="481"/>
        <w:rPr>
          <w:rFonts w:ascii="宋体" w:hAnsi="宋体" w:eastAsia="宋体" w:cs="宋体"/>
          <w:sz w:val="23"/>
          <w:szCs w:val="23"/>
        </w:rPr>
      </w:pPr>
      <w:r>
        <w:rPr>
          <w:rFonts w:ascii="宋体" w:hAnsi="宋体" w:eastAsia="宋体" w:cs="宋体"/>
          <w:spacing w:val="7"/>
          <w:sz w:val="23"/>
          <w:szCs w:val="23"/>
        </w:rPr>
        <w:t>综上所述，本工程厂区平面布置既考虑了厂区内生产、办公环境，因此，</w:t>
      </w:r>
      <w:r>
        <w:rPr>
          <w:rFonts w:ascii="宋体" w:hAnsi="宋体" w:eastAsia="宋体" w:cs="宋体"/>
          <w:spacing w:val="2"/>
          <w:sz w:val="23"/>
          <w:szCs w:val="23"/>
        </w:rPr>
        <w:t>从</w:t>
      </w:r>
      <w:r>
        <w:rPr>
          <w:rFonts w:ascii="宋体" w:hAnsi="宋体" w:eastAsia="宋体" w:cs="宋体"/>
          <w:sz w:val="23"/>
          <w:szCs w:val="23"/>
        </w:rPr>
        <w:t xml:space="preserve"> </w:t>
      </w:r>
      <w:r>
        <w:rPr>
          <w:rFonts w:ascii="宋体" w:hAnsi="宋体" w:eastAsia="宋体" w:cs="宋体"/>
          <w:spacing w:val="12"/>
          <w:sz w:val="23"/>
          <w:szCs w:val="23"/>
        </w:rPr>
        <w:t>方</w:t>
      </w:r>
      <w:r>
        <w:rPr>
          <w:rFonts w:ascii="宋体" w:hAnsi="宋体" w:eastAsia="宋体" w:cs="宋体"/>
          <w:spacing w:val="9"/>
          <w:sz w:val="23"/>
          <w:szCs w:val="23"/>
        </w:rPr>
        <w:t>便生产、安全管理、保护环境角度考虑，布局合理。</w:t>
      </w:r>
    </w:p>
    <w:p w14:paraId="0A920370">
      <w:pPr>
        <w:spacing w:before="136" w:line="227" w:lineRule="auto"/>
        <w:ind w:left="507"/>
        <w:rPr>
          <w:rFonts w:ascii="宋体" w:hAnsi="宋体" w:eastAsia="宋体" w:cs="宋体"/>
          <w:sz w:val="23"/>
          <w:szCs w:val="23"/>
        </w:rPr>
      </w:pPr>
      <w:r>
        <w:rPr>
          <w:rFonts w:ascii="宋体" w:hAnsi="宋体" w:eastAsia="宋体" w:cs="宋体"/>
          <w:spacing w:val="5"/>
          <w:sz w:val="23"/>
          <w:szCs w:val="23"/>
        </w:rPr>
        <w:t xml:space="preserve">该项目建成后厂区平面布置情况见图 </w:t>
      </w:r>
      <w:r>
        <w:rPr>
          <w:rFonts w:ascii="Times New Roman" w:hAnsi="Times New Roman" w:eastAsia="Times New Roman" w:cs="Times New Roman"/>
          <w:spacing w:val="5"/>
          <w:sz w:val="23"/>
          <w:szCs w:val="23"/>
        </w:rPr>
        <w:t>1-2</w:t>
      </w:r>
      <w:r>
        <w:rPr>
          <w:rFonts w:ascii="宋体" w:hAnsi="宋体" w:eastAsia="宋体" w:cs="宋体"/>
          <w:spacing w:val="4"/>
          <w:sz w:val="23"/>
          <w:szCs w:val="23"/>
        </w:rPr>
        <w:t>。</w:t>
      </w:r>
    </w:p>
    <w:p w14:paraId="429B23C3">
      <w:pPr>
        <w:spacing w:before="302" w:line="228" w:lineRule="auto"/>
        <w:ind w:left="33"/>
        <w:outlineLvl w:val="2"/>
        <w:rPr>
          <w:rFonts w:ascii="宋体" w:hAnsi="宋体" w:eastAsia="宋体" w:cs="宋体"/>
          <w:sz w:val="29"/>
          <w:szCs w:val="29"/>
        </w:rPr>
      </w:pPr>
      <w:r>
        <w:rPr>
          <w:rFonts w:ascii="Times New Roman" w:hAnsi="Times New Roman" w:eastAsia="Times New Roman" w:cs="Times New Roman"/>
          <w:b/>
          <w:bCs/>
          <w:spacing w:val="16"/>
          <w:sz w:val="29"/>
          <w:szCs w:val="29"/>
        </w:rPr>
        <w:t>1.</w:t>
      </w:r>
      <w:r>
        <w:rPr>
          <w:rFonts w:ascii="Times New Roman" w:hAnsi="Times New Roman" w:eastAsia="Times New Roman" w:cs="Times New Roman"/>
          <w:b/>
          <w:bCs/>
          <w:spacing w:val="14"/>
          <w:sz w:val="29"/>
          <w:szCs w:val="29"/>
        </w:rPr>
        <w:t>4</w:t>
      </w:r>
      <w:r>
        <w:rPr>
          <w:rFonts w:ascii="Times New Roman" w:hAnsi="Times New Roman" w:eastAsia="Times New Roman" w:cs="Times New Roman"/>
          <w:b/>
          <w:bCs/>
          <w:spacing w:val="8"/>
          <w:sz w:val="29"/>
          <w:szCs w:val="29"/>
        </w:rPr>
        <w:t>.7</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与《辽宁省打赢蓝天保卫战三年行动方案》相符性分析</w:t>
      </w:r>
    </w:p>
    <w:p w14:paraId="44BF735A">
      <w:pPr>
        <w:spacing w:line="252" w:lineRule="auto"/>
        <w:rPr>
          <w:rFonts w:ascii="Arial"/>
          <w:sz w:val="21"/>
        </w:rPr>
      </w:pPr>
    </w:p>
    <w:p w14:paraId="1EBE225A">
      <w:pPr>
        <w:spacing w:before="75" w:line="227" w:lineRule="auto"/>
        <w:ind w:left="504"/>
        <w:rPr>
          <w:rFonts w:ascii="宋体" w:hAnsi="宋体" w:eastAsia="宋体" w:cs="宋体"/>
          <w:sz w:val="23"/>
          <w:szCs w:val="23"/>
        </w:rPr>
      </w:pPr>
      <w:r>
        <w:rPr>
          <w:rFonts w:ascii="宋体" w:hAnsi="宋体" w:eastAsia="宋体" w:cs="宋体"/>
          <w:spacing w:val="5"/>
          <w:sz w:val="23"/>
          <w:szCs w:val="23"/>
        </w:rPr>
        <w:t>本项目与《辽宁省打赢蓝天保卫战三年行动方案 (</w:t>
      </w:r>
      <w:r>
        <w:rPr>
          <w:rFonts w:ascii="Times New Roman" w:hAnsi="Times New Roman" w:eastAsia="Times New Roman" w:cs="Times New Roman"/>
          <w:spacing w:val="5"/>
          <w:sz w:val="23"/>
          <w:szCs w:val="23"/>
        </w:rPr>
        <w:t xml:space="preserve">2018-2020 </w:t>
      </w:r>
      <w:r>
        <w:rPr>
          <w:rFonts w:ascii="宋体" w:hAnsi="宋体" w:eastAsia="宋体" w:cs="宋体"/>
          <w:spacing w:val="5"/>
          <w:sz w:val="23"/>
          <w:szCs w:val="23"/>
        </w:rPr>
        <w:t>年) 》  (辽</w:t>
      </w:r>
      <w:r>
        <w:rPr>
          <w:rFonts w:ascii="宋体" w:hAnsi="宋体" w:eastAsia="宋体" w:cs="宋体"/>
          <w:spacing w:val="1"/>
          <w:sz w:val="23"/>
          <w:szCs w:val="23"/>
        </w:rPr>
        <w:t>政</w:t>
      </w:r>
    </w:p>
    <w:p w14:paraId="7452C212">
      <w:pPr>
        <w:spacing w:before="198" w:line="227" w:lineRule="auto"/>
        <w:ind w:left="27"/>
        <w:rPr>
          <w:rFonts w:ascii="宋体" w:hAnsi="宋体" w:eastAsia="宋体" w:cs="宋体"/>
          <w:sz w:val="23"/>
          <w:szCs w:val="23"/>
        </w:rPr>
      </w:pPr>
      <w:r>
        <w:rPr>
          <w:rFonts w:ascii="宋体" w:hAnsi="宋体" w:eastAsia="宋体" w:cs="宋体"/>
          <w:spacing w:val="12"/>
          <w:sz w:val="23"/>
          <w:szCs w:val="23"/>
        </w:rPr>
        <w:t>发</w:t>
      </w:r>
      <w:r>
        <w:rPr>
          <w:rFonts w:ascii="宋体" w:hAnsi="宋体" w:eastAsia="宋体" w:cs="宋体"/>
          <w:spacing w:val="9"/>
          <w:sz w:val="23"/>
          <w:szCs w:val="23"/>
        </w:rPr>
        <w:t>【</w:t>
      </w:r>
      <w:r>
        <w:rPr>
          <w:rFonts w:ascii="Times New Roman" w:hAnsi="Times New Roman" w:eastAsia="Times New Roman" w:cs="Times New Roman"/>
          <w:spacing w:val="6"/>
          <w:sz w:val="23"/>
          <w:szCs w:val="23"/>
        </w:rPr>
        <w:t>2018</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31 </w:t>
      </w:r>
      <w:r>
        <w:rPr>
          <w:rFonts w:ascii="宋体" w:hAnsi="宋体" w:eastAsia="宋体" w:cs="宋体"/>
          <w:spacing w:val="6"/>
          <w:sz w:val="23"/>
          <w:szCs w:val="23"/>
        </w:rPr>
        <w:t>号) 符合性见下表。</w:t>
      </w:r>
    </w:p>
    <w:p w14:paraId="56DE76C7">
      <w:pPr>
        <w:sectPr>
          <w:headerReference r:id="rId34" w:type="default"/>
          <w:footerReference r:id="rId35" w:type="default"/>
          <w:pgSz w:w="11906" w:h="16839"/>
          <w:pgMar w:top="1132" w:right="1719" w:bottom="899" w:left="1785" w:header="878" w:footer="739" w:gutter="0"/>
          <w:cols w:space="720" w:num="1"/>
        </w:sectPr>
      </w:pPr>
    </w:p>
    <w:p w14:paraId="01BE7D04">
      <w:pPr>
        <w:spacing w:line="409" w:lineRule="auto"/>
        <w:rPr>
          <w:rFonts w:ascii="Arial"/>
          <w:sz w:val="21"/>
        </w:rPr>
      </w:pPr>
      <w:r>
        <w:pict>
          <v:shape id="_x0000_s1044" o:spid="_x0000_s1044" style="position:absolute;left:0pt;margin-left:90pt;margin-top:57.35pt;height:0.75pt;width:415.3pt;mso-position-horizontal-relative:page;mso-position-vertical-relative:page;z-index:251682816;mso-width-relative:page;mso-height-relative:page;" fillcolor="#000000" filled="t" stroked="f" coordsize="8305,15" o:allowincell="f" path="m0,0l8305,0,8305,14,0,14,0,0xe">
            <v:path/>
            <v:fill on="t" focussize="0,0"/>
            <v:stroke on="f"/>
            <v:imagedata o:title=""/>
            <o:lock v:ext="edit"/>
          </v:shape>
        </w:pict>
      </w:r>
    </w:p>
    <w:p w14:paraId="593B544C">
      <w:pPr>
        <w:spacing w:before="74" w:line="227" w:lineRule="auto"/>
        <w:ind w:left="45"/>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9"/>
          <w:sz w:val="23"/>
          <w:szCs w:val="23"/>
        </w:rPr>
        <w:t>1-4</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项目与《辽宁省打赢蓝天保卫战三年行动方案</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9"/>
          <w:sz w:val="23"/>
          <w:szCs w:val="23"/>
        </w:rPr>
        <w:t>2018-2020</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年)</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》符合性分析表</w:t>
      </w:r>
    </w:p>
    <w:p w14:paraId="3EEC53C4">
      <w:pPr>
        <w:spacing w:line="17"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7"/>
        <w:gridCol w:w="3616"/>
        <w:gridCol w:w="1048"/>
      </w:tblGrid>
      <w:tr w14:paraId="44070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6" w:hRule="atLeast"/>
        </w:trPr>
        <w:tc>
          <w:tcPr>
            <w:tcW w:w="3687" w:type="dxa"/>
            <w:tcBorders>
              <w:left w:val="nil"/>
              <w:right w:val="single" w:color="000000" w:sz="4" w:space="0"/>
            </w:tcBorders>
            <w:vAlign w:val="top"/>
          </w:tcPr>
          <w:p w14:paraId="13324F2E">
            <w:pPr>
              <w:spacing w:before="75" w:line="228" w:lineRule="auto"/>
              <w:ind w:left="1408"/>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文件要求</w:t>
            </w:r>
          </w:p>
        </w:tc>
        <w:tc>
          <w:tcPr>
            <w:tcW w:w="3616" w:type="dxa"/>
            <w:tcBorders>
              <w:left w:val="single" w:color="000000" w:sz="4" w:space="0"/>
              <w:right w:val="single" w:color="000000" w:sz="4" w:space="0"/>
            </w:tcBorders>
            <w:vAlign w:val="top"/>
          </w:tcPr>
          <w:p w14:paraId="7D7BDEC7">
            <w:pPr>
              <w:spacing w:before="76" w:line="228" w:lineRule="auto"/>
              <w:ind w:left="1370"/>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项</w:t>
            </w:r>
            <w:r>
              <w:rPr>
                <w:rFonts w:ascii="宋体" w:hAnsi="宋体" w:eastAsia="宋体" w:cs="宋体"/>
                <w:spacing w:val="16"/>
                <w:sz w:val="20"/>
                <w:szCs w:val="20"/>
                <w14:textOutline w14:w="3795" w14:cap="sq" w14:cmpd="sng">
                  <w14:solidFill>
                    <w14:srgbClr w14:val="000000"/>
                  </w14:solidFill>
                  <w14:prstDash w14:val="solid"/>
                  <w14:bevel/>
                </w14:textOutline>
              </w:rPr>
              <w:t>目情况</w:t>
            </w:r>
          </w:p>
        </w:tc>
        <w:tc>
          <w:tcPr>
            <w:tcW w:w="1048" w:type="dxa"/>
            <w:tcBorders>
              <w:left w:val="single" w:color="000000" w:sz="4" w:space="0"/>
              <w:right w:val="nil"/>
            </w:tcBorders>
            <w:vAlign w:val="top"/>
          </w:tcPr>
          <w:p w14:paraId="70BA9CE1">
            <w:pPr>
              <w:spacing w:before="75" w:line="228" w:lineRule="auto"/>
              <w:ind w:left="85"/>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符合情况</w:t>
            </w:r>
          </w:p>
        </w:tc>
      </w:tr>
    </w:tbl>
    <w:p w14:paraId="4EB50222">
      <w:pPr>
        <w:spacing w:before="53" w:line="228" w:lineRule="auto"/>
        <w:ind w:left="4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一</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深入调整能源结构</w:t>
      </w:r>
      <w:r>
        <w:rPr>
          <w:rFonts w:ascii="宋体" w:hAnsi="宋体" w:eastAsia="宋体" w:cs="宋体"/>
          <w:spacing w:val="5"/>
          <w:sz w:val="20"/>
          <w:szCs w:val="20"/>
          <w14:textOutline w14:w="3795" w14:cap="sq" w14:cmpd="sng">
            <w14:solidFill>
              <w14:srgbClr w14:val="000000"/>
            </w14:solidFill>
            <w14:prstDash w14:val="solid"/>
            <w14:bevel/>
          </w14:textOutline>
        </w:rPr>
        <w:t>。</w:t>
      </w:r>
    </w:p>
    <w:p w14:paraId="45B947F0">
      <w:pPr>
        <w:spacing w:line="130" w:lineRule="auto"/>
        <w:rPr>
          <w:rFonts w:ascii="Arial"/>
          <w:sz w:val="2"/>
        </w:rPr>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6"/>
        <w:gridCol w:w="3617"/>
        <w:gridCol w:w="1048"/>
      </w:tblGrid>
      <w:tr w14:paraId="1C4D5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3686" w:type="dxa"/>
            <w:tcBorders>
              <w:left w:val="nil"/>
              <w:right w:val="single" w:color="000000" w:sz="4" w:space="0"/>
            </w:tcBorders>
            <w:vAlign w:val="top"/>
          </w:tcPr>
          <w:p w14:paraId="78458476">
            <w:pPr>
              <w:spacing w:line="308" w:lineRule="auto"/>
              <w:rPr>
                <w:rFonts w:ascii="Arial"/>
                <w:sz w:val="21"/>
              </w:rPr>
            </w:pPr>
          </w:p>
          <w:p w14:paraId="07D2D687">
            <w:pPr>
              <w:spacing w:line="309" w:lineRule="auto"/>
              <w:rPr>
                <w:rFonts w:ascii="Arial"/>
                <w:sz w:val="21"/>
              </w:rPr>
            </w:pPr>
          </w:p>
          <w:p w14:paraId="4B8CE62E">
            <w:pPr>
              <w:spacing w:before="65" w:line="228" w:lineRule="auto"/>
              <w:ind w:left="47"/>
              <w:rPr>
                <w:rFonts w:ascii="宋体" w:hAnsi="宋体" w:eastAsia="宋体" w:cs="宋体"/>
                <w:sz w:val="20"/>
                <w:szCs w:val="20"/>
              </w:rPr>
            </w:pPr>
            <w:r>
              <w:rPr>
                <w:rFonts w:ascii="Times New Roman" w:hAnsi="Times New Roman" w:eastAsia="Times New Roman" w:cs="Times New Roman"/>
                <w:spacing w:val="15"/>
                <w:sz w:val="20"/>
                <w:szCs w:val="20"/>
              </w:rPr>
              <w:t>1</w:t>
            </w:r>
            <w:r>
              <w:rPr>
                <w:rFonts w:ascii="Times New Roman" w:hAnsi="Times New Roman" w:eastAsia="Times New Roman" w:cs="Times New Roman"/>
                <w:spacing w:val="12"/>
                <w:sz w:val="20"/>
                <w:szCs w:val="20"/>
              </w:rPr>
              <w:t>.</w:t>
            </w:r>
            <w:r>
              <w:rPr>
                <w:rFonts w:ascii="宋体" w:hAnsi="宋体" w:eastAsia="宋体" w:cs="宋体"/>
                <w:spacing w:val="12"/>
                <w:sz w:val="20"/>
                <w:szCs w:val="20"/>
              </w:rPr>
              <w:t>推进清洁取暖。</w:t>
            </w:r>
          </w:p>
        </w:tc>
        <w:tc>
          <w:tcPr>
            <w:tcW w:w="3617" w:type="dxa"/>
            <w:tcBorders>
              <w:left w:val="single" w:color="000000" w:sz="4" w:space="0"/>
              <w:right w:val="single" w:color="000000" w:sz="4" w:space="0"/>
            </w:tcBorders>
            <w:vAlign w:val="top"/>
          </w:tcPr>
          <w:p w14:paraId="6FCA681D">
            <w:pPr>
              <w:spacing w:before="62" w:line="276" w:lineRule="auto"/>
              <w:ind w:left="25" w:right="17" w:firstLine="4"/>
              <w:rPr>
                <w:rFonts w:ascii="宋体" w:hAnsi="宋体" w:eastAsia="宋体" w:cs="宋体"/>
                <w:sz w:val="20"/>
                <w:szCs w:val="20"/>
              </w:rPr>
            </w:pPr>
            <w:r>
              <w:rPr>
                <w:rFonts w:ascii="宋体" w:hAnsi="宋体" w:eastAsia="宋体" w:cs="宋体"/>
                <w:spacing w:val="13"/>
                <w:sz w:val="20"/>
                <w:szCs w:val="20"/>
              </w:rPr>
              <w:t>该</w:t>
            </w:r>
            <w:r>
              <w:rPr>
                <w:rFonts w:ascii="宋体" w:hAnsi="宋体" w:eastAsia="宋体" w:cs="宋体"/>
                <w:spacing w:val="9"/>
                <w:sz w:val="20"/>
                <w:szCs w:val="20"/>
              </w:rPr>
              <w:t>项目不新建燃煤锅炉，冬季生产厂房</w:t>
            </w:r>
            <w:r>
              <w:rPr>
                <w:rFonts w:ascii="宋体" w:hAnsi="宋体" w:eastAsia="宋体" w:cs="宋体"/>
                <w:sz w:val="20"/>
                <w:szCs w:val="20"/>
              </w:rPr>
              <w:t xml:space="preserve"> </w:t>
            </w:r>
            <w:r>
              <w:rPr>
                <w:rFonts w:ascii="宋体" w:hAnsi="宋体" w:eastAsia="宋体" w:cs="宋体"/>
                <w:spacing w:val="17"/>
                <w:sz w:val="20"/>
                <w:szCs w:val="20"/>
              </w:rPr>
              <w:t>不</w:t>
            </w:r>
            <w:r>
              <w:rPr>
                <w:rFonts w:ascii="宋体" w:hAnsi="宋体" w:eastAsia="宋体" w:cs="宋体"/>
                <w:spacing w:val="9"/>
                <w:sz w:val="20"/>
                <w:szCs w:val="20"/>
              </w:rPr>
              <w:t>取暖，办公室及员工休息室均采用电</w:t>
            </w:r>
            <w:r>
              <w:rPr>
                <w:rFonts w:ascii="宋体" w:hAnsi="宋体" w:eastAsia="宋体" w:cs="宋体"/>
                <w:sz w:val="20"/>
                <w:szCs w:val="20"/>
              </w:rPr>
              <w:t xml:space="preserve"> </w:t>
            </w:r>
            <w:r>
              <w:rPr>
                <w:rFonts w:ascii="宋体" w:hAnsi="宋体" w:eastAsia="宋体" w:cs="宋体"/>
                <w:spacing w:val="1"/>
                <w:sz w:val="20"/>
                <w:szCs w:val="20"/>
              </w:rPr>
              <w:t>取暖；该项目仅新</w:t>
            </w:r>
            <w:r>
              <w:rPr>
                <w:rFonts w:ascii="宋体" w:hAnsi="宋体" w:eastAsia="宋体" w:cs="宋体"/>
                <w:sz w:val="20"/>
                <w:szCs w:val="20"/>
              </w:rPr>
              <w:t xml:space="preserve">建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台 </w:t>
            </w:r>
            <w:r>
              <w:rPr>
                <w:rFonts w:ascii="Times New Roman" w:hAnsi="Times New Roman" w:eastAsia="Times New Roman" w:cs="Times New Roman"/>
                <w:sz w:val="20"/>
                <w:szCs w:val="20"/>
              </w:rPr>
              <w:t xml:space="preserve">2t </w:t>
            </w:r>
            <w:r>
              <w:rPr>
                <w:rFonts w:ascii="宋体" w:hAnsi="宋体" w:eastAsia="宋体" w:cs="宋体"/>
                <w:sz w:val="20"/>
                <w:szCs w:val="20"/>
              </w:rPr>
              <w:t xml:space="preserve">热风炉用于 </w:t>
            </w:r>
            <w:r>
              <w:rPr>
                <w:rFonts w:ascii="宋体" w:hAnsi="宋体" w:eastAsia="宋体" w:cs="宋体"/>
                <w:spacing w:val="17"/>
                <w:sz w:val="20"/>
                <w:szCs w:val="20"/>
              </w:rPr>
              <w:t>洗</w:t>
            </w:r>
            <w:r>
              <w:rPr>
                <w:rFonts w:ascii="宋体" w:hAnsi="宋体" w:eastAsia="宋体" w:cs="宋体"/>
                <w:spacing w:val="9"/>
                <w:sz w:val="20"/>
                <w:szCs w:val="20"/>
              </w:rPr>
              <w:t>字槽加热，热风炉采用成型生物质燃</w:t>
            </w:r>
            <w:r>
              <w:rPr>
                <w:rFonts w:ascii="宋体" w:hAnsi="宋体" w:eastAsia="宋体" w:cs="宋体"/>
                <w:sz w:val="20"/>
                <w:szCs w:val="20"/>
              </w:rPr>
              <w:t xml:space="preserve"> </w:t>
            </w:r>
            <w:r>
              <w:rPr>
                <w:rFonts w:ascii="宋体" w:hAnsi="宋体" w:eastAsia="宋体" w:cs="宋体"/>
                <w:spacing w:val="6"/>
                <w:sz w:val="20"/>
                <w:szCs w:val="20"/>
              </w:rPr>
              <w:t>料为燃料。</w:t>
            </w:r>
          </w:p>
        </w:tc>
        <w:tc>
          <w:tcPr>
            <w:tcW w:w="1048" w:type="dxa"/>
            <w:tcBorders>
              <w:left w:val="single" w:color="000000" w:sz="4" w:space="0"/>
              <w:right w:val="nil"/>
            </w:tcBorders>
            <w:vAlign w:val="top"/>
          </w:tcPr>
          <w:p w14:paraId="21E61655">
            <w:pPr>
              <w:spacing w:line="257" w:lineRule="auto"/>
              <w:rPr>
                <w:rFonts w:ascii="Arial"/>
                <w:sz w:val="21"/>
              </w:rPr>
            </w:pPr>
          </w:p>
          <w:p w14:paraId="2B706724">
            <w:pPr>
              <w:spacing w:line="257" w:lineRule="auto"/>
              <w:rPr>
                <w:rFonts w:ascii="Arial"/>
                <w:sz w:val="21"/>
              </w:rPr>
            </w:pPr>
          </w:p>
          <w:p w14:paraId="47A4D0D0">
            <w:pPr>
              <w:spacing w:line="257" w:lineRule="auto"/>
              <w:rPr>
                <w:rFonts w:ascii="Arial"/>
                <w:sz w:val="21"/>
              </w:rPr>
            </w:pPr>
          </w:p>
          <w:p w14:paraId="38188C8C">
            <w:pPr>
              <w:spacing w:before="65" w:line="228" w:lineRule="auto"/>
              <w:ind w:left="308"/>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w:t>
            </w:r>
          </w:p>
        </w:tc>
      </w:tr>
      <w:tr w14:paraId="58CFE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6" w:type="dxa"/>
            <w:tcBorders>
              <w:left w:val="nil"/>
              <w:right w:val="single" w:color="000000" w:sz="4" w:space="0"/>
            </w:tcBorders>
            <w:vAlign w:val="top"/>
          </w:tcPr>
          <w:p w14:paraId="0664274F">
            <w:pPr>
              <w:spacing w:before="56" w:line="228" w:lineRule="auto"/>
              <w:ind w:left="27"/>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宋体" w:hAnsi="宋体" w:eastAsia="宋体" w:cs="宋体"/>
                <w:spacing w:val="16"/>
                <w:sz w:val="20"/>
                <w:szCs w:val="20"/>
              </w:rPr>
              <w:t>控制煤炭消费总量</w:t>
            </w:r>
            <w:r>
              <w:rPr>
                <w:rFonts w:ascii="宋体" w:hAnsi="宋体" w:eastAsia="宋体" w:cs="宋体"/>
                <w:spacing w:val="15"/>
                <w:sz w:val="20"/>
                <w:szCs w:val="20"/>
              </w:rPr>
              <w:t>。</w:t>
            </w:r>
          </w:p>
        </w:tc>
        <w:tc>
          <w:tcPr>
            <w:tcW w:w="3617" w:type="dxa"/>
            <w:tcBorders>
              <w:left w:val="single" w:color="000000" w:sz="4" w:space="0"/>
              <w:right w:val="single" w:color="000000" w:sz="4" w:space="0"/>
            </w:tcBorders>
            <w:vAlign w:val="top"/>
          </w:tcPr>
          <w:p w14:paraId="08D5B00A">
            <w:pPr>
              <w:spacing w:before="181" w:line="139"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3375DB6E">
            <w:pPr>
              <w:spacing w:before="181" w:line="139"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1C0F1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6" w:type="dxa"/>
            <w:tcBorders>
              <w:left w:val="nil"/>
              <w:right w:val="single" w:color="000000" w:sz="4" w:space="0"/>
            </w:tcBorders>
            <w:vAlign w:val="top"/>
          </w:tcPr>
          <w:p w14:paraId="281054D6">
            <w:pPr>
              <w:spacing w:before="57" w:line="228" w:lineRule="auto"/>
              <w:ind w:left="31"/>
              <w:rPr>
                <w:rFonts w:ascii="宋体" w:hAnsi="宋体" w:eastAsia="宋体" w:cs="宋体"/>
                <w:sz w:val="20"/>
                <w:szCs w:val="20"/>
              </w:rPr>
            </w:pPr>
            <w:r>
              <w:rPr>
                <w:rFonts w:ascii="Times New Roman" w:hAnsi="Times New Roman" w:eastAsia="Times New Roman" w:cs="Times New Roman"/>
                <w:spacing w:val="23"/>
                <w:sz w:val="20"/>
                <w:szCs w:val="20"/>
              </w:rPr>
              <w:t>3</w:t>
            </w:r>
            <w:r>
              <w:rPr>
                <w:rFonts w:ascii="Times New Roman" w:hAnsi="Times New Roman" w:eastAsia="Times New Roman" w:cs="Times New Roman"/>
                <w:spacing w:val="16"/>
                <w:sz w:val="20"/>
                <w:szCs w:val="20"/>
              </w:rPr>
              <w:t>.</w:t>
            </w:r>
            <w:r>
              <w:rPr>
                <w:rFonts w:ascii="宋体" w:hAnsi="宋体" w:eastAsia="宋体" w:cs="宋体"/>
                <w:spacing w:val="16"/>
                <w:sz w:val="20"/>
                <w:szCs w:val="20"/>
              </w:rPr>
              <w:t>深入实施燃煤锅炉治理。</w:t>
            </w:r>
          </w:p>
        </w:tc>
        <w:tc>
          <w:tcPr>
            <w:tcW w:w="3617" w:type="dxa"/>
            <w:tcBorders>
              <w:left w:val="single" w:color="000000" w:sz="4" w:space="0"/>
              <w:right w:val="single" w:color="000000" w:sz="4" w:space="0"/>
            </w:tcBorders>
            <w:vAlign w:val="top"/>
          </w:tcPr>
          <w:p w14:paraId="33FA65C0">
            <w:pPr>
              <w:spacing w:before="181" w:line="139"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161408A2">
            <w:pPr>
              <w:spacing w:before="181" w:line="139"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0C095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6" w:type="dxa"/>
            <w:tcBorders>
              <w:left w:val="nil"/>
              <w:right w:val="single" w:color="000000" w:sz="4" w:space="0"/>
            </w:tcBorders>
            <w:vAlign w:val="top"/>
          </w:tcPr>
          <w:p w14:paraId="12C179A0">
            <w:pPr>
              <w:spacing w:before="59" w:line="228" w:lineRule="auto"/>
              <w:ind w:left="26"/>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实施散煤替代。</w:t>
            </w:r>
          </w:p>
        </w:tc>
        <w:tc>
          <w:tcPr>
            <w:tcW w:w="3617" w:type="dxa"/>
            <w:tcBorders>
              <w:left w:val="single" w:color="000000" w:sz="4" w:space="0"/>
              <w:right w:val="single" w:color="000000" w:sz="4" w:space="0"/>
            </w:tcBorders>
            <w:vAlign w:val="top"/>
          </w:tcPr>
          <w:p w14:paraId="2246FB40">
            <w:pPr>
              <w:spacing w:before="184" w:line="136"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0B1DDD68">
            <w:pPr>
              <w:spacing w:before="184" w:line="136"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166C0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686" w:type="dxa"/>
            <w:tcBorders>
              <w:left w:val="nil"/>
              <w:right w:val="single" w:color="000000" w:sz="4" w:space="0"/>
            </w:tcBorders>
            <w:vAlign w:val="top"/>
          </w:tcPr>
          <w:p w14:paraId="4B29E616">
            <w:pPr>
              <w:spacing w:before="59" w:line="228" w:lineRule="auto"/>
              <w:ind w:left="33"/>
              <w:rPr>
                <w:rFonts w:ascii="宋体" w:hAnsi="宋体" w:eastAsia="宋体" w:cs="宋体"/>
                <w:sz w:val="20"/>
                <w:szCs w:val="20"/>
              </w:rPr>
            </w:pPr>
            <w:r>
              <w:rPr>
                <w:rFonts w:ascii="Times New Roman" w:hAnsi="Times New Roman" w:eastAsia="Times New Roman" w:cs="Times New Roman"/>
                <w:spacing w:val="19"/>
                <w:sz w:val="20"/>
                <w:szCs w:val="20"/>
              </w:rPr>
              <w:t>5</w:t>
            </w:r>
            <w:r>
              <w:rPr>
                <w:rFonts w:ascii="Times New Roman" w:hAnsi="Times New Roman" w:eastAsia="Times New Roman" w:cs="Times New Roman"/>
                <w:spacing w:val="15"/>
                <w:sz w:val="20"/>
                <w:szCs w:val="20"/>
              </w:rPr>
              <w:t>.</w:t>
            </w:r>
            <w:r>
              <w:rPr>
                <w:rFonts w:ascii="宋体" w:hAnsi="宋体" w:eastAsia="宋体" w:cs="宋体"/>
                <w:spacing w:val="15"/>
                <w:sz w:val="20"/>
                <w:szCs w:val="20"/>
              </w:rPr>
              <w:t>提高能源利用效率。</w:t>
            </w:r>
          </w:p>
        </w:tc>
        <w:tc>
          <w:tcPr>
            <w:tcW w:w="3617" w:type="dxa"/>
            <w:tcBorders>
              <w:left w:val="single" w:color="000000" w:sz="4" w:space="0"/>
              <w:right w:val="single" w:color="000000" w:sz="4" w:space="0"/>
            </w:tcBorders>
            <w:vAlign w:val="top"/>
          </w:tcPr>
          <w:p w14:paraId="146D1561">
            <w:pPr>
              <w:spacing w:before="59" w:line="228" w:lineRule="auto"/>
              <w:ind w:left="483"/>
              <w:rPr>
                <w:rFonts w:ascii="宋体" w:hAnsi="宋体" w:eastAsia="宋体" w:cs="宋体"/>
                <w:sz w:val="20"/>
                <w:szCs w:val="20"/>
              </w:rPr>
            </w:pPr>
            <w:r>
              <w:rPr>
                <w:rFonts w:ascii="宋体" w:hAnsi="宋体" w:eastAsia="宋体" w:cs="宋体"/>
                <w:spacing w:val="18"/>
                <w:sz w:val="20"/>
                <w:szCs w:val="20"/>
              </w:rPr>
              <w:t>该项目不属于高耗能行业</w:t>
            </w:r>
            <w:r>
              <w:rPr>
                <w:rFonts w:ascii="宋体" w:hAnsi="宋体" w:eastAsia="宋体" w:cs="宋体"/>
                <w:spacing w:val="17"/>
                <w:sz w:val="20"/>
                <w:szCs w:val="20"/>
              </w:rPr>
              <w:t>。</w:t>
            </w:r>
          </w:p>
        </w:tc>
        <w:tc>
          <w:tcPr>
            <w:tcW w:w="1048" w:type="dxa"/>
            <w:tcBorders>
              <w:left w:val="single" w:color="000000" w:sz="4" w:space="0"/>
              <w:right w:val="nil"/>
            </w:tcBorders>
            <w:vAlign w:val="top"/>
          </w:tcPr>
          <w:p w14:paraId="7A0BA4CC">
            <w:pPr>
              <w:spacing w:before="59" w:line="228" w:lineRule="auto"/>
              <w:ind w:left="308"/>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w:t>
            </w:r>
          </w:p>
        </w:tc>
      </w:tr>
      <w:tr w14:paraId="5ACB9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686" w:type="dxa"/>
            <w:tcBorders>
              <w:left w:val="nil"/>
              <w:right w:val="single" w:color="000000" w:sz="4" w:space="0"/>
            </w:tcBorders>
            <w:vAlign w:val="top"/>
          </w:tcPr>
          <w:p w14:paraId="51C62A4C">
            <w:pPr>
              <w:spacing w:before="59" w:line="228" w:lineRule="auto"/>
              <w:ind w:left="31"/>
              <w:rPr>
                <w:rFonts w:ascii="宋体" w:hAnsi="宋体" w:eastAsia="宋体" w:cs="宋体"/>
                <w:sz w:val="20"/>
                <w:szCs w:val="20"/>
              </w:rPr>
            </w:pPr>
            <w:r>
              <w:rPr>
                <w:rFonts w:ascii="Times New Roman" w:hAnsi="Times New Roman" w:eastAsia="Times New Roman" w:cs="Times New Roman"/>
                <w:spacing w:val="20"/>
                <w:sz w:val="20"/>
                <w:szCs w:val="20"/>
              </w:rPr>
              <w:t>6</w:t>
            </w:r>
            <w:r>
              <w:rPr>
                <w:rFonts w:ascii="Times New Roman" w:hAnsi="Times New Roman" w:eastAsia="Times New Roman" w:cs="Times New Roman"/>
                <w:spacing w:val="17"/>
                <w:sz w:val="20"/>
                <w:szCs w:val="20"/>
              </w:rPr>
              <w:t>.</w:t>
            </w:r>
            <w:r>
              <w:rPr>
                <w:rFonts w:ascii="宋体" w:hAnsi="宋体" w:eastAsia="宋体" w:cs="宋体"/>
                <w:spacing w:val="17"/>
                <w:sz w:val="20"/>
                <w:szCs w:val="20"/>
              </w:rPr>
              <w:t>加快发展清洁能源和新能源。</w:t>
            </w:r>
          </w:p>
        </w:tc>
        <w:tc>
          <w:tcPr>
            <w:tcW w:w="3617" w:type="dxa"/>
            <w:tcBorders>
              <w:left w:val="single" w:color="000000" w:sz="4" w:space="0"/>
              <w:right w:val="single" w:color="000000" w:sz="4" w:space="0"/>
            </w:tcBorders>
            <w:vAlign w:val="top"/>
          </w:tcPr>
          <w:p w14:paraId="7C94735A">
            <w:pPr>
              <w:spacing w:before="184" w:line="142"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023FC937">
            <w:pPr>
              <w:spacing w:before="184"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bl>
    <w:p w14:paraId="7734C029">
      <w:pPr>
        <w:spacing w:before="50" w:line="228" w:lineRule="auto"/>
        <w:ind w:left="41"/>
        <w:rPr>
          <w:rFonts w:ascii="宋体" w:hAnsi="宋体" w:eastAsia="宋体" w:cs="宋体"/>
          <w:sz w:val="20"/>
          <w:szCs w:val="20"/>
        </w:rPr>
      </w:pPr>
      <w:r>
        <w:rPr>
          <w:rFonts w:ascii="宋体" w:hAnsi="宋体" w:eastAsia="宋体" w:cs="宋体"/>
          <w:spacing w:val="24"/>
          <w:sz w:val="20"/>
          <w:szCs w:val="20"/>
        </w:rPr>
        <w:t>(二) 推进调整产业结构</w:t>
      </w:r>
      <w:r>
        <w:rPr>
          <w:rFonts w:ascii="宋体" w:hAnsi="宋体" w:eastAsia="宋体" w:cs="宋体"/>
          <w:spacing w:val="22"/>
          <w:sz w:val="20"/>
          <w:szCs w:val="20"/>
        </w:rPr>
        <w:t>。</w:t>
      </w:r>
    </w:p>
    <w:p w14:paraId="240F324D">
      <w:pPr>
        <w:spacing w:line="1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7"/>
        <w:gridCol w:w="3616"/>
        <w:gridCol w:w="1048"/>
      </w:tblGrid>
      <w:tr w14:paraId="02266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687" w:type="dxa"/>
            <w:tcBorders>
              <w:left w:val="nil"/>
              <w:right w:val="single" w:color="000000" w:sz="4" w:space="0"/>
            </w:tcBorders>
            <w:vAlign w:val="top"/>
          </w:tcPr>
          <w:p w14:paraId="10134601">
            <w:pPr>
              <w:spacing w:before="62" w:line="227" w:lineRule="auto"/>
              <w:ind w:left="30"/>
              <w:rPr>
                <w:rFonts w:ascii="宋体" w:hAnsi="宋体" w:eastAsia="宋体" w:cs="宋体"/>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6"/>
                <w:sz w:val="20"/>
                <w:szCs w:val="20"/>
              </w:rPr>
              <w:t>.</w:t>
            </w:r>
            <w:r>
              <w:rPr>
                <w:rFonts w:ascii="宋体" w:hAnsi="宋体" w:eastAsia="宋体" w:cs="宋体"/>
                <w:spacing w:val="6"/>
                <w:sz w:val="20"/>
                <w:szCs w:val="20"/>
              </w:rPr>
              <w:t>优化产业布局。</w:t>
            </w:r>
          </w:p>
        </w:tc>
        <w:tc>
          <w:tcPr>
            <w:tcW w:w="3616" w:type="dxa"/>
            <w:tcBorders>
              <w:left w:val="single" w:color="000000" w:sz="4" w:space="0"/>
              <w:right w:val="single" w:color="000000" w:sz="4" w:space="0"/>
            </w:tcBorders>
            <w:vAlign w:val="top"/>
          </w:tcPr>
          <w:p w14:paraId="5B3C6A2E">
            <w:pPr>
              <w:spacing w:before="187" w:line="142"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57B11E5C">
            <w:pPr>
              <w:spacing w:before="187"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13239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7" w:type="dxa"/>
            <w:tcBorders>
              <w:left w:val="nil"/>
              <w:right w:val="single" w:color="000000" w:sz="4" w:space="0"/>
            </w:tcBorders>
            <w:vAlign w:val="top"/>
          </w:tcPr>
          <w:p w14:paraId="65613626">
            <w:pPr>
              <w:spacing w:before="54" w:line="228" w:lineRule="auto"/>
              <w:ind w:left="35"/>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6"/>
                <w:sz w:val="20"/>
                <w:szCs w:val="20"/>
              </w:rPr>
              <w:t>.</w:t>
            </w:r>
            <w:r>
              <w:rPr>
                <w:rFonts w:ascii="宋体" w:hAnsi="宋体" w:eastAsia="宋体" w:cs="宋体"/>
                <w:spacing w:val="6"/>
                <w:sz w:val="20"/>
                <w:szCs w:val="20"/>
              </w:rPr>
              <w:t>严控</w:t>
            </w:r>
            <w:r>
              <w:rPr>
                <w:rFonts w:ascii="Times New Roman" w:hAnsi="Times New Roman" w:eastAsia="Times New Roman" w:cs="Times New Roman"/>
                <w:spacing w:val="6"/>
                <w:sz w:val="20"/>
                <w:szCs w:val="20"/>
              </w:rPr>
              <w:t>“</w:t>
            </w:r>
            <w:r>
              <w:rPr>
                <w:rFonts w:ascii="宋体" w:hAnsi="宋体" w:eastAsia="宋体" w:cs="宋体"/>
                <w:spacing w:val="6"/>
                <w:sz w:val="20"/>
                <w:szCs w:val="20"/>
              </w:rPr>
              <w:t>两高</w:t>
            </w:r>
            <w:r>
              <w:rPr>
                <w:rFonts w:ascii="Times New Roman" w:hAnsi="Times New Roman" w:eastAsia="Times New Roman" w:cs="Times New Roman"/>
                <w:spacing w:val="6"/>
                <w:sz w:val="20"/>
                <w:szCs w:val="20"/>
              </w:rPr>
              <w:t>”</w:t>
            </w:r>
            <w:r>
              <w:rPr>
                <w:rFonts w:ascii="宋体" w:hAnsi="宋体" w:eastAsia="宋体" w:cs="宋体"/>
                <w:spacing w:val="6"/>
                <w:sz w:val="20"/>
                <w:szCs w:val="20"/>
              </w:rPr>
              <w:t>行业产能。</w:t>
            </w:r>
          </w:p>
        </w:tc>
        <w:tc>
          <w:tcPr>
            <w:tcW w:w="3616" w:type="dxa"/>
            <w:tcBorders>
              <w:left w:val="single" w:color="000000" w:sz="4" w:space="0"/>
              <w:right w:val="single" w:color="000000" w:sz="4" w:space="0"/>
            </w:tcBorders>
            <w:vAlign w:val="top"/>
          </w:tcPr>
          <w:p w14:paraId="4D4C9E6C">
            <w:pPr>
              <w:spacing w:before="54" w:line="228" w:lineRule="auto"/>
              <w:ind w:left="715"/>
              <w:rPr>
                <w:rFonts w:ascii="宋体" w:hAnsi="宋体" w:eastAsia="宋体" w:cs="宋体"/>
                <w:sz w:val="20"/>
                <w:szCs w:val="20"/>
              </w:rPr>
            </w:pPr>
            <w:r>
              <w:rPr>
                <w:rFonts w:ascii="宋体" w:hAnsi="宋体" w:eastAsia="宋体" w:cs="宋体"/>
                <w:spacing w:val="21"/>
                <w:sz w:val="20"/>
                <w:szCs w:val="20"/>
              </w:rPr>
              <w:t>该</w:t>
            </w:r>
            <w:r>
              <w:rPr>
                <w:rFonts w:ascii="宋体" w:hAnsi="宋体" w:eastAsia="宋体" w:cs="宋体"/>
                <w:spacing w:val="15"/>
                <w:sz w:val="20"/>
                <w:szCs w:val="20"/>
              </w:rPr>
              <w:t>项目非</w:t>
            </w:r>
            <w:r>
              <w:rPr>
                <w:rFonts w:ascii="Times New Roman" w:hAnsi="Times New Roman" w:eastAsia="Times New Roman" w:cs="Times New Roman"/>
                <w:spacing w:val="15"/>
                <w:sz w:val="20"/>
                <w:szCs w:val="20"/>
              </w:rPr>
              <w:t>“</w:t>
            </w:r>
            <w:r>
              <w:rPr>
                <w:rFonts w:ascii="宋体" w:hAnsi="宋体" w:eastAsia="宋体" w:cs="宋体"/>
                <w:spacing w:val="15"/>
                <w:sz w:val="20"/>
                <w:szCs w:val="20"/>
              </w:rPr>
              <w:t>两高</w:t>
            </w:r>
            <w:r>
              <w:rPr>
                <w:rFonts w:ascii="Times New Roman" w:hAnsi="Times New Roman" w:eastAsia="Times New Roman" w:cs="Times New Roman"/>
                <w:spacing w:val="15"/>
                <w:sz w:val="20"/>
                <w:szCs w:val="20"/>
              </w:rPr>
              <w:t>”</w:t>
            </w:r>
            <w:r>
              <w:rPr>
                <w:rFonts w:ascii="宋体" w:hAnsi="宋体" w:eastAsia="宋体" w:cs="宋体"/>
                <w:spacing w:val="15"/>
                <w:sz w:val="20"/>
                <w:szCs w:val="20"/>
              </w:rPr>
              <w:t>行业。</w:t>
            </w:r>
          </w:p>
        </w:tc>
        <w:tc>
          <w:tcPr>
            <w:tcW w:w="1048" w:type="dxa"/>
            <w:tcBorders>
              <w:left w:val="single" w:color="000000" w:sz="4" w:space="0"/>
              <w:right w:val="nil"/>
            </w:tcBorders>
            <w:vAlign w:val="top"/>
          </w:tcPr>
          <w:p w14:paraId="422D7450">
            <w:pPr>
              <w:spacing w:before="54" w:line="228" w:lineRule="auto"/>
              <w:ind w:left="308"/>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w:t>
            </w:r>
          </w:p>
        </w:tc>
      </w:tr>
      <w:tr w14:paraId="00353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687" w:type="dxa"/>
            <w:tcBorders>
              <w:left w:val="nil"/>
              <w:right w:val="single" w:color="000000" w:sz="4" w:space="0"/>
            </w:tcBorders>
            <w:vAlign w:val="top"/>
          </w:tcPr>
          <w:p w14:paraId="478E42FD">
            <w:pPr>
              <w:spacing w:before="54" w:line="228" w:lineRule="auto"/>
              <w:ind w:left="31"/>
              <w:rPr>
                <w:rFonts w:ascii="宋体" w:hAnsi="宋体" w:eastAsia="宋体" w:cs="宋体"/>
                <w:sz w:val="20"/>
                <w:szCs w:val="20"/>
              </w:rPr>
            </w:pPr>
            <w:r>
              <w:rPr>
                <w:rFonts w:ascii="Times New Roman" w:hAnsi="Times New Roman" w:eastAsia="Times New Roman" w:cs="Times New Roman"/>
                <w:spacing w:val="8"/>
                <w:sz w:val="20"/>
                <w:szCs w:val="20"/>
              </w:rPr>
              <w:t>9</w:t>
            </w:r>
            <w:r>
              <w:rPr>
                <w:rFonts w:ascii="Times New Roman" w:hAnsi="Times New Roman" w:eastAsia="Times New Roman" w:cs="Times New Roman"/>
                <w:spacing w:val="7"/>
                <w:sz w:val="20"/>
                <w:szCs w:val="20"/>
              </w:rPr>
              <w:t>.</w:t>
            </w:r>
            <w:r>
              <w:rPr>
                <w:rFonts w:ascii="宋体" w:hAnsi="宋体" w:eastAsia="宋体" w:cs="宋体"/>
                <w:spacing w:val="7"/>
                <w:sz w:val="20"/>
                <w:szCs w:val="20"/>
              </w:rPr>
              <w:t>深入开展</w:t>
            </w:r>
            <w:r>
              <w:rPr>
                <w:rFonts w:ascii="Times New Roman" w:hAnsi="Times New Roman" w:eastAsia="Times New Roman" w:cs="Times New Roman"/>
                <w:spacing w:val="7"/>
                <w:sz w:val="20"/>
                <w:szCs w:val="20"/>
              </w:rPr>
              <w:t>“</w:t>
            </w:r>
            <w:r>
              <w:rPr>
                <w:rFonts w:ascii="宋体" w:hAnsi="宋体" w:eastAsia="宋体" w:cs="宋体"/>
                <w:spacing w:val="7"/>
                <w:sz w:val="20"/>
                <w:szCs w:val="20"/>
              </w:rPr>
              <w:t>散乱污</w:t>
            </w:r>
            <w:r>
              <w:rPr>
                <w:rFonts w:ascii="Times New Roman" w:hAnsi="Times New Roman" w:eastAsia="Times New Roman" w:cs="Times New Roman"/>
                <w:spacing w:val="7"/>
                <w:sz w:val="20"/>
                <w:szCs w:val="20"/>
              </w:rPr>
              <w:t>”</w:t>
            </w:r>
            <w:r>
              <w:rPr>
                <w:rFonts w:ascii="宋体" w:hAnsi="宋体" w:eastAsia="宋体" w:cs="宋体"/>
                <w:spacing w:val="7"/>
                <w:sz w:val="20"/>
                <w:szCs w:val="20"/>
              </w:rPr>
              <w:t>企业整治。</w:t>
            </w:r>
          </w:p>
        </w:tc>
        <w:tc>
          <w:tcPr>
            <w:tcW w:w="3616" w:type="dxa"/>
            <w:tcBorders>
              <w:left w:val="single" w:color="000000" w:sz="4" w:space="0"/>
              <w:right w:val="single" w:color="000000" w:sz="4" w:space="0"/>
            </w:tcBorders>
            <w:vAlign w:val="top"/>
          </w:tcPr>
          <w:p w14:paraId="168DCE77">
            <w:pPr>
              <w:spacing w:before="180" w:line="142"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7AEB6D05">
            <w:pPr>
              <w:spacing w:before="180"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7D987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3687" w:type="dxa"/>
            <w:tcBorders>
              <w:left w:val="nil"/>
              <w:right w:val="single" w:color="000000" w:sz="4" w:space="0"/>
            </w:tcBorders>
            <w:vAlign w:val="top"/>
          </w:tcPr>
          <w:p w14:paraId="1F6E4B7C">
            <w:pPr>
              <w:spacing w:line="300" w:lineRule="auto"/>
              <w:rPr>
                <w:rFonts w:ascii="Arial"/>
                <w:sz w:val="21"/>
              </w:rPr>
            </w:pPr>
          </w:p>
          <w:p w14:paraId="6C67ABC7">
            <w:pPr>
              <w:spacing w:before="65" w:line="228" w:lineRule="auto"/>
              <w:ind w:left="47"/>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0.</w:t>
            </w:r>
            <w:r>
              <w:rPr>
                <w:rFonts w:ascii="宋体" w:hAnsi="宋体" w:eastAsia="宋体" w:cs="宋体"/>
                <w:spacing w:val="5"/>
                <w:sz w:val="20"/>
                <w:szCs w:val="20"/>
              </w:rPr>
              <w:t>深化工业污染治理。</w:t>
            </w:r>
          </w:p>
        </w:tc>
        <w:tc>
          <w:tcPr>
            <w:tcW w:w="3616" w:type="dxa"/>
            <w:tcBorders>
              <w:left w:val="single" w:color="000000" w:sz="4" w:space="0"/>
              <w:right w:val="single" w:color="000000" w:sz="4" w:space="0"/>
            </w:tcBorders>
            <w:vAlign w:val="top"/>
          </w:tcPr>
          <w:p w14:paraId="4160035C">
            <w:pPr>
              <w:spacing w:before="17" w:line="281" w:lineRule="exact"/>
              <w:ind w:left="26"/>
              <w:rPr>
                <w:rFonts w:ascii="宋体" w:hAnsi="宋体" w:eastAsia="宋体" w:cs="宋体"/>
                <w:sz w:val="20"/>
                <w:szCs w:val="20"/>
              </w:rPr>
            </w:pPr>
            <w:r>
              <w:rPr>
                <w:rFonts w:ascii="宋体" w:hAnsi="宋体" w:eastAsia="宋体" w:cs="宋体"/>
                <w:spacing w:val="10"/>
                <w:position w:val="1"/>
                <w:sz w:val="20"/>
                <w:szCs w:val="20"/>
              </w:rPr>
              <w:t>本</w:t>
            </w:r>
            <w:r>
              <w:rPr>
                <w:rFonts w:ascii="宋体" w:hAnsi="宋体" w:eastAsia="宋体" w:cs="宋体"/>
                <w:spacing w:val="6"/>
                <w:position w:val="1"/>
                <w:sz w:val="20"/>
                <w:szCs w:val="20"/>
              </w:rPr>
              <w:t>项</w:t>
            </w:r>
            <w:r>
              <w:rPr>
                <w:rFonts w:ascii="宋体" w:hAnsi="宋体" w:eastAsia="宋体" w:cs="宋体"/>
                <w:spacing w:val="5"/>
                <w:position w:val="1"/>
                <w:sz w:val="20"/>
                <w:szCs w:val="20"/>
              </w:rPr>
              <w:t xml:space="preserve">目新建 </w:t>
            </w:r>
            <w:r>
              <w:rPr>
                <w:rFonts w:ascii="Times New Roman" w:hAnsi="Times New Roman" w:eastAsia="Times New Roman" w:cs="Times New Roman"/>
                <w:spacing w:val="5"/>
                <w:position w:val="1"/>
                <w:sz w:val="20"/>
                <w:szCs w:val="20"/>
              </w:rPr>
              <w:t xml:space="preserve">1 </w:t>
            </w:r>
            <w:r>
              <w:rPr>
                <w:rFonts w:ascii="宋体" w:hAnsi="宋体" w:eastAsia="宋体" w:cs="宋体"/>
                <w:spacing w:val="5"/>
                <w:position w:val="1"/>
                <w:sz w:val="20"/>
                <w:szCs w:val="20"/>
              </w:rPr>
              <w:t>台</w:t>
            </w: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热风炉用于洗字槽加</w:t>
            </w:r>
          </w:p>
          <w:p w14:paraId="4075F7C2">
            <w:pPr>
              <w:spacing w:before="68" w:line="258" w:lineRule="auto"/>
              <w:ind w:left="856" w:hanging="827"/>
              <w:rPr>
                <w:rFonts w:ascii="宋体" w:hAnsi="宋体" w:eastAsia="宋体" w:cs="宋体"/>
                <w:sz w:val="20"/>
                <w:szCs w:val="20"/>
              </w:rPr>
            </w:pPr>
            <w:r>
              <w:rPr>
                <w:rFonts w:ascii="宋体" w:hAnsi="宋体" w:eastAsia="宋体" w:cs="宋体"/>
                <w:spacing w:val="-2"/>
                <w:sz w:val="20"/>
                <w:szCs w:val="20"/>
              </w:rPr>
              <w:t>热，热风炉采</w:t>
            </w:r>
            <w:r>
              <w:rPr>
                <w:rFonts w:ascii="宋体" w:hAnsi="宋体" w:eastAsia="宋体" w:cs="宋体"/>
                <w:spacing w:val="-1"/>
                <w:sz w:val="20"/>
                <w:szCs w:val="20"/>
              </w:rPr>
              <w:t>用成型生物质燃料为燃料，</w:t>
            </w:r>
            <w:r>
              <w:rPr>
                <w:rFonts w:ascii="宋体" w:hAnsi="宋体" w:eastAsia="宋体" w:cs="宋体"/>
                <w:sz w:val="20"/>
                <w:szCs w:val="20"/>
              </w:rPr>
              <w:t xml:space="preserve"> </w:t>
            </w:r>
            <w:r>
              <w:rPr>
                <w:rFonts w:ascii="宋体" w:hAnsi="宋体" w:eastAsia="宋体" w:cs="宋体"/>
                <w:spacing w:val="6"/>
                <w:sz w:val="20"/>
                <w:szCs w:val="20"/>
              </w:rPr>
              <w:t>执行特别排放限值</w:t>
            </w:r>
            <w:r>
              <w:rPr>
                <w:rFonts w:ascii="宋体" w:hAnsi="宋体" w:eastAsia="宋体" w:cs="宋体"/>
                <w:spacing w:val="5"/>
                <w:sz w:val="20"/>
                <w:szCs w:val="20"/>
              </w:rPr>
              <w:t>。</w:t>
            </w:r>
          </w:p>
        </w:tc>
        <w:tc>
          <w:tcPr>
            <w:tcW w:w="1048" w:type="dxa"/>
            <w:tcBorders>
              <w:left w:val="single" w:color="000000" w:sz="4" w:space="0"/>
              <w:right w:val="nil"/>
            </w:tcBorders>
            <w:vAlign w:val="top"/>
          </w:tcPr>
          <w:p w14:paraId="151CC9D9">
            <w:pPr>
              <w:spacing w:line="299" w:lineRule="auto"/>
              <w:rPr>
                <w:rFonts w:ascii="Arial"/>
                <w:sz w:val="21"/>
              </w:rPr>
            </w:pPr>
          </w:p>
          <w:p w14:paraId="03D61933">
            <w:pPr>
              <w:spacing w:before="65" w:line="228" w:lineRule="auto"/>
              <w:ind w:left="308"/>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w:t>
            </w:r>
          </w:p>
        </w:tc>
      </w:tr>
      <w:tr w14:paraId="5452C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7" w:type="dxa"/>
            <w:tcBorders>
              <w:left w:val="nil"/>
              <w:right w:val="single" w:color="000000" w:sz="4" w:space="0"/>
            </w:tcBorders>
            <w:vAlign w:val="top"/>
          </w:tcPr>
          <w:p w14:paraId="42537A53">
            <w:pPr>
              <w:spacing w:before="57" w:line="228" w:lineRule="auto"/>
              <w:ind w:left="47"/>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1.</w:t>
            </w:r>
            <w:r>
              <w:rPr>
                <w:rFonts w:ascii="宋体" w:hAnsi="宋体" w:eastAsia="宋体" w:cs="宋体"/>
                <w:spacing w:val="6"/>
                <w:sz w:val="20"/>
                <w:szCs w:val="20"/>
              </w:rPr>
              <w:t>开展工业炉窑治理专项行动。</w:t>
            </w:r>
          </w:p>
        </w:tc>
        <w:tc>
          <w:tcPr>
            <w:tcW w:w="3616" w:type="dxa"/>
            <w:tcBorders>
              <w:left w:val="single" w:color="000000" w:sz="4" w:space="0"/>
              <w:right w:val="single" w:color="000000" w:sz="4" w:space="0"/>
            </w:tcBorders>
            <w:vAlign w:val="top"/>
          </w:tcPr>
          <w:p w14:paraId="456FF00E">
            <w:pPr>
              <w:spacing w:before="182" w:line="138"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47326938">
            <w:pPr>
              <w:spacing w:before="182" w:line="138"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502F1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7" w:type="dxa"/>
            <w:tcBorders>
              <w:left w:val="nil"/>
              <w:right w:val="single" w:color="000000" w:sz="4" w:space="0"/>
            </w:tcBorders>
            <w:vAlign w:val="top"/>
          </w:tcPr>
          <w:p w14:paraId="7D96FF3C">
            <w:pPr>
              <w:spacing w:before="58" w:line="228" w:lineRule="auto"/>
              <w:ind w:left="47"/>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2.</w:t>
            </w:r>
            <w:r>
              <w:rPr>
                <w:rFonts w:ascii="宋体" w:hAnsi="宋体" w:eastAsia="宋体" w:cs="宋体"/>
                <w:spacing w:val="7"/>
                <w:sz w:val="20"/>
                <w:szCs w:val="20"/>
              </w:rPr>
              <w:t>强化重点污染源自动监控体系建设。</w:t>
            </w:r>
          </w:p>
        </w:tc>
        <w:tc>
          <w:tcPr>
            <w:tcW w:w="3616" w:type="dxa"/>
            <w:tcBorders>
              <w:left w:val="single" w:color="000000" w:sz="4" w:space="0"/>
              <w:right w:val="single" w:color="000000" w:sz="4" w:space="0"/>
            </w:tcBorders>
            <w:vAlign w:val="top"/>
          </w:tcPr>
          <w:p w14:paraId="10C66183">
            <w:pPr>
              <w:spacing w:before="182" w:line="138"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78BE80A0">
            <w:pPr>
              <w:spacing w:before="182" w:line="138"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5243A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7" w:type="dxa"/>
            <w:tcBorders>
              <w:left w:val="nil"/>
              <w:right w:val="single" w:color="000000" w:sz="4" w:space="0"/>
            </w:tcBorders>
            <w:vAlign w:val="top"/>
          </w:tcPr>
          <w:p w14:paraId="3EF44B64">
            <w:pPr>
              <w:spacing w:before="57" w:line="228" w:lineRule="auto"/>
              <w:ind w:left="47"/>
              <w:rPr>
                <w:rFonts w:ascii="宋体" w:hAnsi="宋体" w:eastAsia="宋体" w:cs="宋体"/>
                <w:sz w:val="20"/>
                <w:szCs w:val="20"/>
              </w:rPr>
            </w:pPr>
            <w:r>
              <w:rPr>
                <w:rFonts w:ascii="Times New Roman" w:hAnsi="Times New Roman" w:eastAsia="Times New Roman" w:cs="Times New Roman"/>
                <w:spacing w:val="6"/>
                <w:sz w:val="20"/>
                <w:szCs w:val="20"/>
              </w:rPr>
              <w:t>13.</w:t>
            </w:r>
            <w:r>
              <w:rPr>
                <w:rFonts w:ascii="宋体" w:hAnsi="宋体" w:eastAsia="宋体" w:cs="宋体"/>
                <w:spacing w:val="6"/>
                <w:sz w:val="20"/>
                <w:szCs w:val="20"/>
              </w:rPr>
              <w:t>整治镁产业区域污染</w:t>
            </w:r>
            <w:r>
              <w:rPr>
                <w:rFonts w:ascii="宋体" w:hAnsi="宋体" w:eastAsia="宋体" w:cs="宋体"/>
                <w:spacing w:val="4"/>
                <w:sz w:val="20"/>
                <w:szCs w:val="20"/>
              </w:rPr>
              <w:t>。</w:t>
            </w:r>
          </w:p>
        </w:tc>
        <w:tc>
          <w:tcPr>
            <w:tcW w:w="3616" w:type="dxa"/>
            <w:tcBorders>
              <w:left w:val="single" w:color="000000" w:sz="4" w:space="0"/>
              <w:right w:val="single" w:color="000000" w:sz="4" w:space="0"/>
            </w:tcBorders>
            <w:vAlign w:val="top"/>
          </w:tcPr>
          <w:p w14:paraId="2A81BC23">
            <w:pPr>
              <w:spacing w:before="183" w:line="137"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1C584329">
            <w:pPr>
              <w:spacing w:before="183" w:line="137"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5F48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687" w:type="dxa"/>
            <w:tcBorders>
              <w:left w:val="nil"/>
              <w:right w:val="single" w:color="000000" w:sz="4" w:space="0"/>
            </w:tcBorders>
            <w:vAlign w:val="top"/>
          </w:tcPr>
          <w:p w14:paraId="22802C1B">
            <w:pPr>
              <w:spacing w:before="58" w:line="228" w:lineRule="auto"/>
              <w:ind w:left="47"/>
              <w:rPr>
                <w:rFonts w:ascii="宋体" w:hAnsi="宋体" w:eastAsia="宋体" w:cs="宋体"/>
                <w:sz w:val="20"/>
                <w:szCs w:val="20"/>
              </w:rPr>
            </w:pPr>
            <w:r>
              <w:rPr>
                <w:rFonts w:ascii="Times New Roman" w:hAnsi="Times New Roman" w:eastAsia="Times New Roman" w:cs="Times New Roman"/>
                <w:spacing w:val="6"/>
                <w:sz w:val="20"/>
                <w:szCs w:val="20"/>
              </w:rPr>
              <w:t>14.</w:t>
            </w:r>
            <w:r>
              <w:rPr>
                <w:rFonts w:ascii="宋体" w:hAnsi="宋体" w:eastAsia="宋体" w:cs="宋体"/>
                <w:spacing w:val="6"/>
                <w:sz w:val="20"/>
                <w:szCs w:val="20"/>
              </w:rPr>
              <w:t>大力培育绿色环保产业。</w:t>
            </w:r>
          </w:p>
        </w:tc>
        <w:tc>
          <w:tcPr>
            <w:tcW w:w="3616" w:type="dxa"/>
            <w:tcBorders>
              <w:left w:val="single" w:color="000000" w:sz="4" w:space="0"/>
              <w:right w:val="single" w:color="000000" w:sz="4" w:space="0"/>
            </w:tcBorders>
            <w:vAlign w:val="top"/>
          </w:tcPr>
          <w:p w14:paraId="22CEC21D">
            <w:pPr>
              <w:spacing w:before="183" w:line="142"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7741AE92">
            <w:pPr>
              <w:spacing w:before="183"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bl>
    <w:p w14:paraId="464531AD">
      <w:pPr>
        <w:spacing w:before="53" w:line="228" w:lineRule="auto"/>
        <w:ind w:left="41"/>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三) 积极调整交通运输结构，促进绿色低碳出行。</w:t>
      </w:r>
    </w:p>
    <w:p w14:paraId="4614B4CF">
      <w:pPr>
        <w:spacing w:line="137" w:lineRule="auto"/>
        <w:rPr>
          <w:rFonts w:ascii="Arial"/>
          <w:sz w:val="2"/>
        </w:rPr>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6"/>
        <w:gridCol w:w="3617"/>
        <w:gridCol w:w="1048"/>
      </w:tblGrid>
      <w:tr w14:paraId="76830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3686" w:type="dxa"/>
            <w:tcBorders>
              <w:left w:val="nil"/>
              <w:right w:val="single" w:color="000000" w:sz="4" w:space="0"/>
            </w:tcBorders>
            <w:vAlign w:val="top"/>
          </w:tcPr>
          <w:p w14:paraId="00B4917D">
            <w:pPr>
              <w:spacing w:before="186" w:line="227" w:lineRule="auto"/>
              <w:ind w:left="47"/>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4"/>
                <w:sz w:val="20"/>
                <w:szCs w:val="20"/>
              </w:rPr>
              <w:t>5.</w:t>
            </w:r>
            <w:r>
              <w:rPr>
                <w:rFonts w:ascii="宋体" w:hAnsi="宋体" w:eastAsia="宋体" w:cs="宋体"/>
                <w:spacing w:val="4"/>
                <w:sz w:val="20"/>
                <w:szCs w:val="20"/>
              </w:rPr>
              <w:t>改善货运结构。</w:t>
            </w:r>
          </w:p>
        </w:tc>
        <w:tc>
          <w:tcPr>
            <w:tcW w:w="3617" w:type="dxa"/>
            <w:tcBorders>
              <w:left w:val="single" w:color="000000" w:sz="4" w:space="0"/>
              <w:right w:val="single" w:color="000000" w:sz="4" w:space="0"/>
            </w:tcBorders>
            <w:vAlign w:val="top"/>
          </w:tcPr>
          <w:p w14:paraId="66F8347F">
            <w:pPr>
              <w:spacing w:line="252" w:lineRule="auto"/>
              <w:rPr>
                <w:rFonts w:ascii="Arial"/>
                <w:sz w:val="21"/>
              </w:rPr>
            </w:pPr>
          </w:p>
          <w:p w14:paraId="0692ED28">
            <w:pPr>
              <w:spacing w:before="58" w:line="142"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6DA3F8AB">
            <w:pPr>
              <w:spacing w:line="252" w:lineRule="auto"/>
              <w:rPr>
                <w:rFonts w:ascii="Arial"/>
                <w:sz w:val="21"/>
              </w:rPr>
            </w:pPr>
          </w:p>
          <w:p w14:paraId="60722843">
            <w:pPr>
              <w:spacing w:before="58"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04512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6" w:type="dxa"/>
            <w:tcBorders>
              <w:left w:val="nil"/>
              <w:right w:val="single" w:color="000000" w:sz="4" w:space="0"/>
            </w:tcBorders>
            <w:vAlign w:val="top"/>
          </w:tcPr>
          <w:p w14:paraId="5E3E8D0C">
            <w:pPr>
              <w:spacing w:before="54" w:line="228" w:lineRule="auto"/>
              <w:ind w:left="47"/>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6.</w:t>
            </w:r>
            <w:r>
              <w:rPr>
                <w:rFonts w:ascii="宋体" w:hAnsi="宋体" w:eastAsia="宋体" w:cs="宋体"/>
                <w:spacing w:val="5"/>
                <w:sz w:val="20"/>
                <w:szCs w:val="20"/>
              </w:rPr>
              <w:t>加强油品质量管理。</w:t>
            </w:r>
          </w:p>
        </w:tc>
        <w:tc>
          <w:tcPr>
            <w:tcW w:w="3617" w:type="dxa"/>
            <w:tcBorders>
              <w:left w:val="single" w:color="000000" w:sz="4" w:space="0"/>
              <w:right w:val="single" w:color="000000" w:sz="4" w:space="0"/>
            </w:tcBorders>
            <w:vAlign w:val="top"/>
          </w:tcPr>
          <w:p w14:paraId="4EF4036C">
            <w:pPr>
              <w:spacing w:before="180" w:line="140"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0D47FB09">
            <w:pPr>
              <w:spacing w:before="180" w:line="140"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32D5D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686" w:type="dxa"/>
            <w:tcBorders>
              <w:left w:val="nil"/>
              <w:right w:val="single" w:color="000000" w:sz="4" w:space="0"/>
            </w:tcBorders>
            <w:vAlign w:val="top"/>
          </w:tcPr>
          <w:p w14:paraId="06393008">
            <w:pPr>
              <w:spacing w:before="56" w:line="228" w:lineRule="auto"/>
              <w:ind w:left="47"/>
              <w:rPr>
                <w:rFonts w:ascii="宋体" w:hAnsi="宋体" w:eastAsia="宋体" w:cs="宋体"/>
                <w:sz w:val="20"/>
                <w:szCs w:val="20"/>
              </w:rPr>
            </w:pPr>
            <w:r>
              <w:rPr>
                <w:rFonts w:ascii="Times New Roman" w:hAnsi="Times New Roman" w:eastAsia="Times New Roman" w:cs="Times New Roman"/>
                <w:spacing w:val="6"/>
                <w:sz w:val="20"/>
                <w:szCs w:val="20"/>
              </w:rPr>
              <w:t>17.</w:t>
            </w:r>
            <w:r>
              <w:rPr>
                <w:rFonts w:ascii="宋体" w:hAnsi="宋体" w:eastAsia="宋体" w:cs="宋体"/>
                <w:spacing w:val="6"/>
                <w:sz w:val="20"/>
                <w:szCs w:val="20"/>
              </w:rPr>
              <w:t>加强移动源污染防治</w:t>
            </w:r>
            <w:r>
              <w:rPr>
                <w:rFonts w:ascii="宋体" w:hAnsi="宋体" w:eastAsia="宋体" w:cs="宋体"/>
                <w:spacing w:val="4"/>
                <w:sz w:val="20"/>
                <w:szCs w:val="20"/>
              </w:rPr>
              <w:t>。</w:t>
            </w:r>
          </w:p>
        </w:tc>
        <w:tc>
          <w:tcPr>
            <w:tcW w:w="3617" w:type="dxa"/>
            <w:tcBorders>
              <w:left w:val="single" w:color="000000" w:sz="4" w:space="0"/>
              <w:right w:val="single" w:color="000000" w:sz="4" w:space="0"/>
            </w:tcBorders>
            <w:vAlign w:val="top"/>
          </w:tcPr>
          <w:p w14:paraId="1E42C932">
            <w:pPr>
              <w:spacing w:before="180" w:line="140"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76B5E5D8">
            <w:pPr>
              <w:spacing w:before="180" w:line="140"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0D5CC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686" w:type="dxa"/>
            <w:tcBorders>
              <w:left w:val="nil"/>
              <w:right w:val="single" w:color="000000" w:sz="4" w:space="0"/>
            </w:tcBorders>
            <w:vAlign w:val="top"/>
          </w:tcPr>
          <w:p w14:paraId="16B64B14">
            <w:pPr>
              <w:spacing w:before="59" w:line="260" w:lineRule="auto"/>
              <w:ind w:left="36" w:right="19" w:firstLine="11"/>
              <w:rPr>
                <w:rFonts w:ascii="宋体" w:hAnsi="宋体" w:eastAsia="宋体" w:cs="宋体"/>
                <w:sz w:val="20"/>
                <w:szCs w:val="20"/>
              </w:rPr>
            </w:pPr>
            <w:r>
              <w:rPr>
                <w:rFonts w:ascii="Times New Roman" w:hAnsi="Times New Roman" w:eastAsia="Times New Roman" w:cs="Times New Roman"/>
                <w:spacing w:val="26"/>
                <w:sz w:val="20"/>
                <w:szCs w:val="20"/>
              </w:rPr>
              <w:t>1</w:t>
            </w:r>
            <w:r>
              <w:rPr>
                <w:rFonts w:ascii="Times New Roman" w:hAnsi="Times New Roman" w:eastAsia="Times New Roman" w:cs="Times New Roman"/>
                <w:spacing w:val="16"/>
                <w:sz w:val="20"/>
                <w:szCs w:val="20"/>
              </w:rPr>
              <w:t xml:space="preserve">8. </w:t>
            </w:r>
            <w:r>
              <w:rPr>
                <w:rFonts w:ascii="宋体" w:hAnsi="宋体" w:eastAsia="宋体" w:cs="宋体"/>
                <w:spacing w:val="16"/>
                <w:sz w:val="20"/>
                <w:szCs w:val="20"/>
              </w:rPr>
              <w:t>加强非道路移动机械和船舶污染防</w:t>
            </w:r>
            <w:r>
              <w:rPr>
                <w:rFonts w:ascii="宋体" w:hAnsi="宋体" w:eastAsia="宋体" w:cs="宋体"/>
                <w:sz w:val="20"/>
                <w:szCs w:val="20"/>
              </w:rPr>
              <w:t xml:space="preserve"> </w:t>
            </w:r>
            <w:r>
              <w:rPr>
                <w:rFonts w:ascii="宋体" w:hAnsi="宋体" w:eastAsia="宋体" w:cs="宋体"/>
                <w:spacing w:val="-3"/>
                <w:sz w:val="20"/>
                <w:szCs w:val="20"/>
              </w:rPr>
              <w:t>治</w:t>
            </w:r>
            <w:r>
              <w:rPr>
                <w:rFonts w:ascii="宋体" w:hAnsi="宋体" w:eastAsia="宋体" w:cs="宋体"/>
                <w:spacing w:val="-2"/>
                <w:sz w:val="20"/>
                <w:szCs w:val="20"/>
              </w:rPr>
              <w:t>。</w:t>
            </w:r>
          </w:p>
        </w:tc>
        <w:tc>
          <w:tcPr>
            <w:tcW w:w="3617" w:type="dxa"/>
            <w:tcBorders>
              <w:left w:val="single" w:color="000000" w:sz="4" w:space="0"/>
              <w:right w:val="single" w:color="000000" w:sz="4" w:space="0"/>
            </w:tcBorders>
            <w:vAlign w:val="top"/>
          </w:tcPr>
          <w:p w14:paraId="67BA3AA1">
            <w:pPr>
              <w:spacing w:line="280" w:lineRule="auto"/>
              <w:rPr>
                <w:rFonts w:ascii="Arial"/>
                <w:sz w:val="21"/>
              </w:rPr>
            </w:pPr>
          </w:p>
          <w:p w14:paraId="6CCD34D6">
            <w:pPr>
              <w:spacing w:before="57" w:line="142"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7DC3E718">
            <w:pPr>
              <w:spacing w:line="280" w:lineRule="auto"/>
              <w:rPr>
                <w:rFonts w:ascii="Arial"/>
                <w:sz w:val="21"/>
              </w:rPr>
            </w:pPr>
          </w:p>
          <w:p w14:paraId="4DB0BCEC">
            <w:pPr>
              <w:spacing w:before="57"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5E16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3686" w:type="dxa"/>
            <w:tcBorders>
              <w:left w:val="nil"/>
              <w:right w:val="single" w:color="000000" w:sz="4" w:space="0"/>
            </w:tcBorders>
            <w:vAlign w:val="top"/>
          </w:tcPr>
          <w:p w14:paraId="18A8F7FB">
            <w:pPr>
              <w:spacing w:before="58" w:line="228" w:lineRule="auto"/>
              <w:ind w:left="47"/>
              <w:rPr>
                <w:rFonts w:ascii="宋体" w:hAnsi="宋体" w:eastAsia="宋体" w:cs="宋体"/>
                <w:sz w:val="20"/>
                <w:szCs w:val="20"/>
              </w:rPr>
            </w:pPr>
            <w:r>
              <w:rPr>
                <w:rFonts w:ascii="Times New Roman" w:hAnsi="Times New Roman" w:eastAsia="Times New Roman" w:cs="Times New Roman"/>
                <w:spacing w:val="7"/>
                <w:sz w:val="20"/>
                <w:szCs w:val="20"/>
              </w:rPr>
              <w:t>19.</w:t>
            </w:r>
            <w:r>
              <w:rPr>
                <w:rFonts w:ascii="宋体" w:hAnsi="宋体" w:eastAsia="宋体" w:cs="宋体"/>
                <w:spacing w:val="7"/>
                <w:sz w:val="20"/>
                <w:szCs w:val="20"/>
              </w:rPr>
              <w:t>实施超标排放车辆全治理工程</w:t>
            </w:r>
            <w:r>
              <w:rPr>
                <w:rFonts w:ascii="宋体" w:hAnsi="宋体" w:eastAsia="宋体" w:cs="宋体"/>
                <w:spacing w:val="4"/>
                <w:sz w:val="20"/>
                <w:szCs w:val="20"/>
              </w:rPr>
              <w:t>。</w:t>
            </w:r>
          </w:p>
        </w:tc>
        <w:tc>
          <w:tcPr>
            <w:tcW w:w="3617" w:type="dxa"/>
            <w:tcBorders>
              <w:left w:val="single" w:color="000000" w:sz="4" w:space="0"/>
              <w:right w:val="single" w:color="000000" w:sz="4" w:space="0"/>
            </w:tcBorders>
            <w:vAlign w:val="top"/>
          </w:tcPr>
          <w:p w14:paraId="54123D08">
            <w:pPr>
              <w:spacing w:before="183" w:line="142" w:lineRule="exact"/>
              <w:ind w:left="1694"/>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6F880BF1">
            <w:pPr>
              <w:spacing w:before="183"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bl>
    <w:p w14:paraId="3E76669D">
      <w:pPr>
        <w:spacing w:before="52" w:line="228" w:lineRule="auto"/>
        <w:ind w:left="41"/>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4"/>
          <w:sz w:val="20"/>
          <w:szCs w:val="20"/>
        </w:rPr>
        <w:t>四) 深入治理扬尘污染。</w:t>
      </w:r>
    </w:p>
    <w:p w14:paraId="54062CE2">
      <w:pPr>
        <w:spacing w:line="142" w:lineRule="auto"/>
        <w:rPr>
          <w:rFonts w:ascii="Arial"/>
          <w:sz w:val="2"/>
        </w:rPr>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7"/>
        <w:gridCol w:w="3616"/>
        <w:gridCol w:w="1048"/>
      </w:tblGrid>
      <w:tr w14:paraId="756FF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3687" w:type="dxa"/>
            <w:tcBorders>
              <w:left w:val="nil"/>
              <w:right w:val="single" w:color="000000" w:sz="4" w:space="0"/>
            </w:tcBorders>
            <w:vAlign w:val="top"/>
          </w:tcPr>
          <w:p w14:paraId="1B31A921">
            <w:pPr>
              <w:spacing w:line="306" w:lineRule="auto"/>
              <w:rPr>
                <w:rFonts w:ascii="Arial"/>
                <w:sz w:val="21"/>
              </w:rPr>
            </w:pPr>
          </w:p>
          <w:p w14:paraId="44C498C1">
            <w:pPr>
              <w:spacing w:before="65" w:line="228" w:lineRule="auto"/>
              <w:ind w:left="27"/>
              <w:rPr>
                <w:rFonts w:ascii="宋体" w:hAnsi="宋体" w:eastAsia="宋体" w:cs="宋体"/>
                <w:sz w:val="20"/>
                <w:szCs w:val="20"/>
              </w:rPr>
            </w:pPr>
            <w:r>
              <w:rPr>
                <w:rFonts w:ascii="Times New Roman" w:hAnsi="Times New Roman" w:eastAsia="Times New Roman" w:cs="Times New Roman"/>
                <w:spacing w:val="7"/>
                <w:sz w:val="20"/>
                <w:szCs w:val="20"/>
              </w:rPr>
              <w:t>20.</w:t>
            </w:r>
            <w:r>
              <w:rPr>
                <w:rFonts w:ascii="宋体" w:hAnsi="宋体" w:eastAsia="宋体" w:cs="宋体"/>
                <w:spacing w:val="7"/>
                <w:sz w:val="20"/>
                <w:szCs w:val="20"/>
              </w:rPr>
              <w:t>加强扬尘综合治理。</w:t>
            </w:r>
          </w:p>
        </w:tc>
        <w:tc>
          <w:tcPr>
            <w:tcW w:w="3616" w:type="dxa"/>
            <w:tcBorders>
              <w:left w:val="single" w:color="000000" w:sz="4" w:space="0"/>
              <w:right w:val="single" w:color="000000" w:sz="4" w:space="0"/>
            </w:tcBorders>
            <w:vAlign w:val="top"/>
          </w:tcPr>
          <w:p w14:paraId="4FBE3921">
            <w:pPr>
              <w:spacing w:before="60" w:line="270" w:lineRule="auto"/>
              <w:ind w:left="26" w:right="31"/>
              <w:rPr>
                <w:rFonts w:ascii="宋体" w:hAnsi="宋体" w:eastAsia="宋体" w:cs="宋体"/>
                <w:sz w:val="20"/>
                <w:szCs w:val="20"/>
              </w:rPr>
            </w:pPr>
            <w:r>
              <w:rPr>
                <w:rFonts w:ascii="宋体" w:hAnsi="宋体" w:eastAsia="宋体" w:cs="宋体"/>
                <w:spacing w:val="32"/>
                <w:sz w:val="20"/>
                <w:szCs w:val="20"/>
              </w:rPr>
              <w:t>本</w:t>
            </w:r>
            <w:r>
              <w:rPr>
                <w:rFonts w:ascii="宋体" w:hAnsi="宋体" w:eastAsia="宋体" w:cs="宋体"/>
                <w:spacing w:val="21"/>
                <w:sz w:val="20"/>
                <w:szCs w:val="20"/>
              </w:rPr>
              <w:t>项目施工期按照本次环评提出的相</w:t>
            </w:r>
            <w:r>
              <w:rPr>
                <w:rFonts w:ascii="宋体" w:hAnsi="宋体" w:eastAsia="宋体" w:cs="宋体"/>
                <w:sz w:val="20"/>
                <w:szCs w:val="20"/>
              </w:rPr>
              <w:t xml:space="preserve"> </w:t>
            </w:r>
            <w:r>
              <w:rPr>
                <w:rFonts w:ascii="宋体" w:hAnsi="宋体" w:eastAsia="宋体" w:cs="宋体"/>
                <w:spacing w:val="31"/>
                <w:sz w:val="20"/>
                <w:szCs w:val="20"/>
              </w:rPr>
              <w:t>关</w:t>
            </w:r>
            <w:r>
              <w:rPr>
                <w:rFonts w:ascii="宋体" w:hAnsi="宋体" w:eastAsia="宋体" w:cs="宋体"/>
                <w:spacing w:val="21"/>
                <w:sz w:val="20"/>
                <w:szCs w:val="20"/>
              </w:rPr>
              <w:t>措施实施，可有效的减少施工期扬</w:t>
            </w:r>
            <w:r>
              <w:rPr>
                <w:rFonts w:ascii="宋体" w:hAnsi="宋体" w:eastAsia="宋体" w:cs="宋体"/>
                <w:sz w:val="20"/>
                <w:szCs w:val="20"/>
              </w:rPr>
              <w:t xml:space="preserve"> </w:t>
            </w:r>
            <w:r>
              <w:rPr>
                <w:rFonts w:ascii="宋体" w:hAnsi="宋体" w:eastAsia="宋体" w:cs="宋体"/>
                <w:spacing w:val="21"/>
                <w:sz w:val="20"/>
                <w:szCs w:val="20"/>
              </w:rPr>
              <w:t>尘</w:t>
            </w:r>
            <w:r>
              <w:rPr>
                <w:rFonts w:ascii="宋体" w:hAnsi="宋体" w:eastAsia="宋体" w:cs="宋体"/>
                <w:spacing w:val="18"/>
                <w:sz w:val="20"/>
                <w:szCs w:val="20"/>
              </w:rPr>
              <w:t>，对周围环境影响较小。</w:t>
            </w:r>
          </w:p>
        </w:tc>
        <w:tc>
          <w:tcPr>
            <w:tcW w:w="1048" w:type="dxa"/>
            <w:tcBorders>
              <w:left w:val="single" w:color="000000" w:sz="4" w:space="0"/>
              <w:right w:val="nil"/>
            </w:tcBorders>
            <w:vAlign w:val="top"/>
          </w:tcPr>
          <w:p w14:paraId="4F05DC81">
            <w:pPr>
              <w:spacing w:line="305" w:lineRule="auto"/>
              <w:rPr>
                <w:rFonts w:ascii="Arial"/>
                <w:sz w:val="21"/>
              </w:rPr>
            </w:pPr>
          </w:p>
          <w:p w14:paraId="3BAAEBE6">
            <w:pPr>
              <w:spacing w:before="65" w:line="228" w:lineRule="auto"/>
              <w:ind w:left="308"/>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w:t>
            </w:r>
          </w:p>
        </w:tc>
      </w:tr>
      <w:tr w14:paraId="7E333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3687" w:type="dxa"/>
            <w:tcBorders>
              <w:left w:val="nil"/>
              <w:right w:val="single" w:color="000000" w:sz="4" w:space="0"/>
            </w:tcBorders>
            <w:vAlign w:val="top"/>
          </w:tcPr>
          <w:p w14:paraId="34AE443F">
            <w:pPr>
              <w:spacing w:before="59" w:line="228" w:lineRule="auto"/>
              <w:ind w:left="27"/>
              <w:rPr>
                <w:rFonts w:ascii="宋体" w:hAnsi="宋体" w:eastAsia="宋体" w:cs="宋体"/>
                <w:sz w:val="20"/>
                <w:szCs w:val="20"/>
              </w:rPr>
            </w:pPr>
            <w:r>
              <w:rPr>
                <w:rFonts w:ascii="Times New Roman" w:hAnsi="Times New Roman" w:eastAsia="Times New Roman" w:cs="Times New Roman"/>
                <w:spacing w:val="13"/>
                <w:sz w:val="20"/>
                <w:szCs w:val="20"/>
              </w:rPr>
              <w:t>2</w:t>
            </w:r>
            <w:r>
              <w:rPr>
                <w:rFonts w:ascii="Times New Roman" w:hAnsi="Times New Roman" w:eastAsia="Times New Roman" w:cs="Times New Roman"/>
                <w:spacing w:val="7"/>
                <w:sz w:val="20"/>
                <w:szCs w:val="20"/>
              </w:rPr>
              <w:t>1.</w:t>
            </w:r>
            <w:r>
              <w:rPr>
                <w:rFonts w:ascii="宋体" w:hAnsi="宋体" w:eastAsia="宋体" w:cs="宋体"/>
                <w:spacing w:val="7"/>
                <w:sz w:val="20"/>
                <w:szCs w:val="20"/>
              </w:rPr>
              <w:t>推进露天矿山综合整治。</w:t>
            </w:r>
          </w:p>
        </w:tc>
        <w:tc>
          <w:tcPr>
            <w:tcW w:w="3616" w:type="dxa"/>
            <w:tcBorders>
              <w:left w:val="single" w:color="000000" w:sz="4" w:space="0"/>
              <w:right w:val="single" w:color="000000" w:sz="4" w:space="0"/>
            </w:tcBorders>
            <w:vAlign w:val="top"/>
          </w:tcPr>
          <w:p w14:paraId="55A6B042">
            <w:pPr>
              <w:spacing w:before="184" w:line="142"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8" w:type="dxa"/>
            <w:tcBorders>
              <w:left w:val="single" w:color="000000" w:sz="4" w:space="0"/>
              <w:right w:val="nil"/>
            </w:tcBorders>
            <w:vAlign w:val="top"/>
          </w:tcPr>
          <w:p w14:paraId="26F1304C">
            <w:pPr>
              <w:spacing w:before="184" w:line="142"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bl>
    <w:p w14:paraId="72537E2B">
      <w:pPr>
        <w:spacing w:before="52" w:line="228" w:lineRule="auto"/>
        <w:ind w:left="41"/>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五) 推进秸秆管控和氨排放控制。</w:t>
      </w:r>
    </w:p>
    <w:p w14:paraId="3B9A63A0">
      <w:pPr>
        <w:spacing w:line="142" w:lineRule="auto"/>
        <w:rPr>
          <w:rFonts w:ascii="Arial"/>
          <w:sz w:val="2"/>
        </w:rPr>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7"/>
        <w:gridCol w:w="3617"/>
        <w:gridCol w:w="1047"/>
      </w:tblGrid>
      <w:tr w14:paraId="3143D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3687" w:type="dxa"/>
            <w:tcBorders>
              <w:left w:val="nil"/>
              <w:right w:val="single" w:color="000000" w:sz="4" w:space="0"/>
            </w:tcBorders>
            <w:vAlign w:val="top"/>
          </w:tcPr>
          <w:p w14:paraId="576B9A26">
            <w:pPr>
              <w:spacing w:before="60" w:line="228" w:lineRule="auto"/>
              <w:ind w:left="27"/>
              <w:rPr>
                <w:rFonts w:ascii="宋体" w:hAnsi="宋体" w:eastAsia="宋体" w:cs="宋体"/>
                <w:sz w:val="20"/>
                <w:szCs w:val="20"/>
              </w:rPr>
            </w:pPr>
            <w:r>
              <w:rPr>
                <w:rFonts w:ascii="Times New Roman" w:hAnsi="Times New Roman" w:eastAsia="Times New Roman" w:cs="Times New Roman"/>
                <w:spacing w:val="8"/>
                <w:sz w:val="20"/>
                <w:szCs w:val="20"/>
              </w:rPr>
              <w:t>22.</w:t>
            </w:r>
            <w:r>
              <w:rPr>
                <w:rFonts w:ascii="宋体" w:hAnsi="宋体" w:eastAsia="宋体" w:cs="宋体"/>
                <w:spacing w:val="8"/>
                <w:sz w:val="20"/>
                <w:szCs w:val="20"/>
              </w:rPr>
              <w:t>深入推进农作物秸秆综合利用。</w:t>
            </w:r>
          </w:p>
        </w:tc>
        <w:tc>
          <w:tcPr>
            <w:tcW w:w="3617" w:type="dxa"/>
            <w:tcBorders>
              <w:left w:val="single" w:color="000000" w:sz="4" w:space="0"/>
              <w:right w:val="single" w:color="000000" w:sz="4" w:space="0"/>
            </w:tcBorders>
            <w:vAlign w:val="top"/>
          </w:tcPr>
          <w:p w14:paraId="59CE3A10">
            <w:pPr>
              <w:spacing w:before="186" w:line="141"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7" w:type="dxa"/>
            <w:tcBorders>
              <w:left w:val="single" w:color="000000" w:sz="4" w:space="0"/>
              <w:right w:val="nil"/>
            </w:tcBorders>
            <w:vAlign w:val="top"/>
          </w:tcPr>
          <w:p w14:paraId="6836A2C6">
            <w:pPr>
              <w:spacing w:before="186" w:line="141"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7B949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687" w:type="dxa"/>
            <w:tcBorders>
              <w:left w:val="nil"/>
              <w:right w:val="single" w:color="000000" w:sz="4" w:space="0"/>
            </w:tcBorders>
            <w:vAlign w:val="top"/>
          </w:tcPr>
          <w:p w14:paraId="19674BE2">
            <w:pPr>
              <w:spacing w:before="55" w:line="227" w:lineRule="auto"/>
              <w:ind w:left="27"/>
              <w:rPr>
                <w:rFonts w:ascii="宋体" w:hAnsi="宋体" w:eastAsia="宋体" w:cs="宋体"/>
                <w:sz w:val="20"/>
                <w:szCs w:val="20"/>
              </w:rPr>
            </w:pPr>
            <w:r>
              <w:rPr>
                <w:rFonts w:ascii="Times New Roman" w:hAnsi="Times New Roman" w:eastAsia="Times New Roman" w:cs="Times New Roman"/>
                <w:spacing w:val="13"/>
                <w:sz w:val="20"/>
                <w:szCs w:val="20"/>
              </w:rPr>
              <w:t>2</w:t>
            </w:r>
            <w:r>
              <w:rPr>
                <w:rFonts w:ascii="Times New Roman" w:hAnsi="Times New Roman" w:eastAsia="Times New Roman" w:cs="Times New Roman"/>
                <w:spacing w:val="7"/>
                <w:sz w:val="20"/>
                <w:szCs w:val="20"/>
              </w:rPr>
              <w:t>3.</w:t>
            </w:r>
            <w:r>
              <w:rPr>
                <w:rFonts w:ascii="宋体" w:hAnsi="宋体" w:eastAsia="宋体" w:cs="宋体"/>
                <w:spacing w:val="7"/>
                <w:sz w:val="20"/>
                <w:szCs w:val="20"/>
              </w:rPr>
              <w:t>加强秸秆焚烧综合管控。</w:t>
            </w:r>
          </w:p>
        </w:tc>
        <w:tc>
          <w:tcPr>
            <w:tcW w:w="3617" w:type="dxa"/>
            <w:tcBorders>
              <w:left w:val="single" w:color="000000" w:sz="4" w:space="0"/>
              <w:right w:val="single" w:color="000000" w:sz="4" w:space="0"/>
            </w:tcBorders>
            <w:vAlign w:val="top"/>
          </w:tcPr>
          <w:p w14:paraId="0F838146">
            <w:pPr>
              <w:spacing w:before="180" w:line="140"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7" w:type="dxa"/>
            <w:tcBorders>
              <w:left w:val="single" w:color="000000" w:sz="4" w:space="0"/>
              <w:right w:val="nil"/>
            </w:tcBorders>
            <w:vAlign w:val="top"/>
          </w:tcPr>
          <w:p w14:paraId="30CBCD29">
            <w:pPr>
              <w:spacing w:before="180" w:line="140"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r w14:paraId="509C0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687" w:type="dxa"/>
            <w:tcBorders>
              <w:left w:val="nil"/>
              <w:right w:val="single" w:color="000000" w:sz="4" w:space="0"/>
            </w:tcBorders>
            <w:vAlign w:val="top"/>
          </w:tcPr>
          <w:p w14:paraId="349EBD4D">
            <w:pPr>
              <w:spacing w:before="59" w:line="264" w:lineRule="exact"/>
              <w:ind w:left="27"/>
              <w:rPr>
                <w:rFonts w:ascii="宋体" w:hAnsi="宋体" w:eastAsia="宋体" w:cs="宋体"/>
                <w:sz w:val="20"/>
                <w:szCs w:val="20"/>
              </w:rPr>
            </w:pPr>
            <w:r>
              <w:rPr>
                <w:rFonts w:ascii="Times New Roman" w:hAnsi="Times New Roman" w:eastAsia="Times New Roman" w:cs="Times New Roman"/>
                <w:spacing w:val="6"/>
                <w:position w:val="1"/>
                <w:sz w:val="20"/>
                <w:szCs w:val="20"/>
              </w:rPr>
              <w:t>2</w:t>
            </w:r>
            <w:r>
              <w:rPr>
                <w:rFonts w:ascii="Times New Roman" w:hAnsi="Times New Roman" w:eastAsia="Times New Roman" w:cs="Times New Roman"/>
                <w:spacing w:val="4"/>
                <w:position w:val="1"/>
                <w:sz w:val="20"/>
                <w:szCs w:val="20"/>
              </w:rPr>
              <w:t>4</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、控制农业氨源排放。</w:t>
            </w:r>
          </w:p>
        </w:tc>
        <w:tc>
          <w:tcPr>
            <w:tcW w:w="3617" w:type="dxa"/>
            <w:tcBorders>
              <w:left w:val="single" w:color="000000" w:sz="4" w:space="0"/>
              <w:right w:val="single" w:color="000000" w:sz="4" w:space="0"/>
            </w:tcBorders>
            <w:vAlign w:val="top"/>
          </w:tcPr>
          <w:p w14:paraId="3E24870C">
            <w:pPr>
              <w:spacing w:before="184" w:line="142" w:lineRule="exact"/>
              <w:ind w:left="1693"/>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c>
          <w:tcPr>
            <w:tcW w:w="1047" w:type="dxa"/>
            <w:tcBorders>
              <w:left w:val="single" w:color="000000" w:sz="4" w:space="0"/>
              <w:right w:val="nil"/>
            </w:tcBorders>
            <w:vAlign w:val="top"/>
          </w:tcPr>
          <w:p w14:paraId="1E543155">
            <w:pPr>
              <w:spacing w:before="184" w:line="142"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2"/>
                <w:position w:val="-1"/>
                <w:sz w:val="20"/>
                <w:szCs w:val="20"/>
              </w:rPr>
              <w:t>—</w:t>
            </w:r>
          </w:p>
        </w:tc>
      </w:tr>
    </w:tbl>
    <w:p w14:paraId="0FFC58ED">
      <w:pPr>
        <w:spacing w:before="52" w:line="227" w:lineRule="auto"/>
        <w:ind w:left="31"/>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注</w:t>
      </w:r>
      <w:r>
        <w:rPr>
          <w:rFonts w:ascii="宋体" w:hAnsi="宋体" w:eastAsia="宋体" w:cs="宋体"/>
          <w:spacing w:val="18"/>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w:t>
      </w:r>
      <w:r>
        <w:rPr>
          <w:rFonts w:ascii="宋体" w:hAnsi="宋体" w:eastAsia="宋体" w:cs="宋体"/>
          <w:spacing w:val="9"/>
          <w:sz w:val="20"/>
          <w:szCs w:val="20"/>
        </w:rPr>
        <w:t xml:space="preserve"> </w:t>
      </w:r>
      <w:r>
        <w:rPr>
          <w:rFonts w:ascii="Times New Roman" w:hAnsi="Times New Roman" w:eastAsia="Times New Roman" w:cs="Times New Roman"/>
          <w:b/>
          <w:bCs/>
          <w:spacing w:val="9"/>
          <w:sz w:val="20"/>
          <w:szCs w:val="20"/>
        </w:rPr>
        <w:t>“—</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b/>
          <w:bCs/>
          <w:spacing w:val="9"/>
          <w:sz w:val="20"/>
          <w:szCs w:val="20"/>
        </w:rPr>
        <w:t>”</w:t>
      </w:r>
      <w:r>
        <w:rPr>
          <w:rFonts w:ascii="宋体" w:hAnsi="宋体" w:eastAsia="宋体" w:cs="宋体"/>
          <w:spacing w:val="9"/>
          <w:sz w:val="20"/>
          <w:szCs w:val="20"/>
          <w14:textOutline w14:w="3795" w14:cap="sq" w14:cmpd="sng">
            <w14:solidFill>
              <w14:srgbClr w14:val="000000"/>
            </w14:solidFill>
            <w14:prstDash w14:val="solid"/>
            <w14:bevel/>
          </w14:textOutline>
        </w:rPr>
        <w:t>表示本项目不涉及；</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其他与本项目不相关的条款未罗列在本表格中。</w:t>
      </w:r>
    </w:p>
    <w:p w14:paraId="7751AAB7">
      <w:pPr>
        <w:sectPr>
          <w:headerReference r:id="rId36" w:type="default"/>
          <w:footerReference r:id="rId37" w:type="default"/>
          <w:pgSz w:w="11906" w:h="16839"/>
          <w:pgMar w:top="1132" w:right="1766" w:bottom="899" w:left="1777" w:header="878" w:footer="739" w:gutter="0"/>
          <w:cols w:space="720" w:num="1"/>
        </w:sectPr>
      </w:pPr>
    </w:p>
    <w:p w14:paraId="4111D6F4">
      <w:pPr>
        <w:spacing w:line="408" w:lineRule="auto"/>
        <w:rPr>
          <w:rFonts w:ascii="Arial"/>
          <w:sz w:val="21"/>
        </w:rPr>
      </w:pPr>
      <w:r>
        <w:pict>
          <v:shape id="_x0000_s1045" o:spid="_x0000_s1045" style="position:absolute;left:0pt;margin-left:90pt;margin-top:57.35pt;height:0.75pt;width:415.3pt;mso-position-horizontal-relative:page;mso-position-vertical-relative:page;z-index:251683840;mso-width-relative:page;mso-height-relative:page;" fillcolor="#000000" filled="t" stroked="f" coordsize="8305,15" o:allowincell="f" path="m0,0l8305,0,8305,14,0,14,0,0xe">
            <v:path/>
            <v:fill on="t" focussize="0,0"/>
            <v:stroke on="f"/>
            <v:imagedata o:title=""/>
            <o:lock v:ext="edit"/>
          </v:shape>
        </w:pict>
      </w:r>
    </w:p>
    <w:p w14:paraId="7376DAF8">
      <w:pPr>
        <w:spacing w:before="75" w:line="229" w:lineRule="auto"/>
        <w:ind w:left="532"/>
        <w:rPr>
          <w:rFonts w:ascii="Times New Roman" w:hAnsi="Times New Roman" w:eastAsia="Times New Roman" w:cs="Times New Roman"/>
          <w:sz w:val="23"/>
          <w:szCs w:val="23"/>
        </w:rPr>
      </w:pPr>
      <w:r>
        <w:rPr>
          <w:rFonts w:ascii="宋体" w:hAnsi="宋体" w:eastAsia="宋体" w:cs="宋体"/>
          <w:spacing w:val="18"/>
          <w:sz w:val="23"/>
          <w:szCs w:val="23"/>
        </w:rPr>
        <w:t>由</w:t>
      </w:r>
      <w:r>
        <w:rPr>
          <w:rFonts w:ascii="宋体" w:hAnsi="宋体" w:eastAsia="宋体" w:cs="宋体"/>
          <w:spacing w:val="9"/>
          <w:sz w:val="23"/>
          <w:szCs w:val="23"/>
        </w:rPr>
        <w:t>上表可知，项目符合《辽宁省打赢蓝天保卫战三年行动方案 (</w:t>
      </w:r>
      <w:r>
        <w:rPr>
          <w:rFonts w:ascii="Times New Roman" w:hAnsi="Times New Roman" w:eastAsia="Times New Roman" w:cs="Times New Roman"/>
          <w:spacing w:val="9"/>
          <w:sz w:val="23"/>
          <w:szCs w:val="23"/>
        </w:rPr>
        <w:t>2018-2020</w:t>
      </w:r>
    </w:p>
    <w:p w14:paraId="73274C7E">
      <w:pPr>
        <w:spacing w:before="195" w:line="227" w:lineRule="auto"/>
        <w:ind w:left="24"/>
        <w:rPr>
          <w:rFonts w:ascii="宋体" w:hAnsi="宋体" w:eastAsia="宋体" w:cs="宋体"/>
          <w:sz w:val="23"/>
          <w:szCs w:val="23"/>
        </w:rPr>
      </w:pPr>
      <w:r>
        <w:rPr>
          <w:rFonts w:ascii="宋体" w:hAnsi="宋体" w:eastAsia="宋体" w:cs="宋体"/>
          <w:spacing w:val="4"/>
          <w:sz w:val="23"/>
          <w:szCs w:val="23"/>
        </w:rPr>
        <w:t>年) 》  (辽政</w:t>
      </w:r>
      <w:r>
        <w:rPr>
          <w:rFonts w:ascii="宋体" w:hAnsi="宋体" w:eastAsia="宋体" w:cs="宋体"/>
          <w:spacing w:val="3"/>
          <w:sz w:val="23"/>
          <w:szCs w:val="23"/>
        </w:rPr>
        <w:t>发</w:t>
      </w:r>
      <w:r>
        <w:rPr>
          <w:rFonts w:ascii="宋体" w:hAnsi="宋体" w:eastAsia="宋体" w:cs="宋体"/>
          <w:spacing w:val="2"/>
          <w:sz w:val="23"/>
          <w:szCs w:val="23"/>
        </w:rPr>
        <w:t>【</w:t>
      </w:r>
      <w:r>
        <w:rPr>
          <w:rFonts w:ascii="Times New Roman" w:hAnsi="Times New Roman" w:eastAsia="Times New Roman" w:cs="Times New Roman"/>
          <w:spacing w:val="2"/>
          <w:sz w:val="23"/>
          <w:szCs w:val="23"/>
        </w:rPr>
        <w:t>2018</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31 </w:t>
      </w:r>
      <w:r>
        <w:rPr>
          <w:rFonts w:ascii="宋体" w:hAnsi="宋体" w:eastAsia="宋体" w:cs="宋体"/>
          <w:spacing w:val="2"/>
          <w:sz w:val="23"/>
          <w:szCs w:val="23"/>
        </w:rPr>
        <w:t>号) 中的相关要求。</w:t>
      </w:r>
    </w:p>
    <w:p w14:paraId="0F17DDA5">
      <w:pPr>
        <w:spacing w:before="285" w:line="223" w:lineRule="auto"/>
        <w:ind w:left="35"/>
        <w:outlineLvl w:val="1"/>
        <w:rPr>
          <w:rFonts w:ascii="宋体" w:hAnsi="宋体" w:eastAsia="宋体" w:cs="宋体"/>
          <w:sz w:val="31"/>
          <w:szCs w:val="31"/>
        </w:rPr>
      </w:pPr>
      <w:bookmarkStart w:id="5" w:name="_bookmark6"/>
      <w:bookmarkEnd w:id="5"/>
      <w:r>
        <w:rPr>
          <w:rFonts w:ascii="Times New Roman" w:hAnsi="Times New Roman" w:eastAsia="Times New Roman" w:cs="Times New Roman"/>
          <w:b/>
          <w:bCs/>
          <w:spacing w:val="11"/>
          <w:sz w:val="31"/>
          <w:szCs w:val="31"/>
        </w:rPr>
        <w:t>1</w:t>
      </w:r>
      <w:r>
        <w:rPr>
          <w:rFonts w:ascii="Times New Roman" w:hAnsi="Times New Roman" w:eastAsia="Times New Roman" w:cs="Times New Roman"/>
          <w:b/>
          <w:bCs/>
          <w:spacing w:val="6"/>
          <w:sz w:val="31"/>
          <w:szCs w:val="31"/>
        </w:rPr>
        <w:t>.5</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环境影响评价结论</w:t>
      </w:r>
    </w:p>
    <w:p w14:paraId="4061B16F">
      <w:pPr>
        <w:spacing w:line="249" w:lineRule="auto"/>
        <w:rPr>
          <w:rFonts w:ascii="Arial"/>
          <w:sz w:val="21"/>
        </w:rPr>
      </w:pPr>
    </w:p>
    <w:p w14:paraId="304A6EAF">
      <w:pPr>
        <w:spacing w:before="75" w:line="389" w:lineRule="auto"/>
        <w:ind w:left="23" w:firstLine="483"/>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13"/>
          <w:sz w:val="23"/>
          <w:szCs w:val="23"/>
        </w:rPr>
        <w:t>目</w:t>
      </w:r>
      <w:r>
        <w:rPr>
          <w:rFonts w:ascii="宋体" w:hAnsi="宋体" w:eastAsia="宋体" w:cs="宋体"/>
          <w:spacing w:val="8"/>
          <w:sz w:val="23"/>
          <w:szCs w:val="23"/>
        </w:rPr>
        <w:t>符合国家现行产业政策要求，项目的建设具有明显的社会和经济效益。</w:t>
      </w:r>
      <w:r>
        <w:rPr>
          <w:rFonts w:ascii="宋体" w:hAnsi="宋体" w:eastAsia="宋体" w:cs="宋体"/>
          <w:sz w:val="23"/>
          <w:szCs w:val="23"/>
        </w:rPr>
        <w:t xml:space="preserve"> </w:t>
      </w:r>
      <w:r>
        <w:rPr>
          <w:rFonts w:ascii="宋体" w:hAnsi="宋体" w:eastAsia="宋体" w:cs="宋体"/>
          <w:spacing w:val="9"/>
          <w:sz w:val="23"/>
          <w:szCs w:val="23"/>
        </w:rPr>
        <w:t>为</w:t>
      </w:r>
      <w:r>
        <w:rPr>
          <w:rFonts w:ascii="宋体" w:hAnsi="宋体" w:eastAsia="宋体" w:cs="宋体"/>
          <w:spacing w:val="7"/>
          <w:sz w:val="23"/>
          <w:szCs w:val="23"/>
        </w:rPr>
        <w:t>了进一步减免项目运营对周边环境产生的环境影响，建议企业认真执行国家环</w:t>
      </w:r>
      <w:r>
        <w:rPr>
          <w:rFonts w:ascii="宋体" w:hAnsi="宋体" w:eastAsia="宋体" w:cs="宋体"/>
          <w:sz w:val="23"/>
          <w:szCs w:val="23"/>
        </w:rPr>
        <w:t xml:space="preserve"> </w:t>
      </w:r>
      <w:r>
        <w:rPr>
          <w:rFonts w:ascii="宋体" w:hAnsi="宋体" w:eastAsia="宋体" w:cs="宋体"/>
          <w:spacing w:val="14"/>
          <w:sz w:val="23"/>
          <w:szCs w:val="23"/>
        </w:rPr>
        <w:t>境保</w:t>
      </w:r>
      <w:r>
        <w:rPr>
          <w:rFonts w:ascii="宋体" w:hAnsi="宋体" w:eastAsia="宋体" w:cs="宋体"/>
          <w:spacing w:val="13"/>
          <w:sz w:val="23"/>
          <w:szCs w:val="23"/>
        </w:rPr>
        <w:t>护</w:t>
      </w:r>
      <w:r>
        <w:rPr>
          <w:rFonts w:ascii="宋体" w:hAnsi="宋体" w:eastAsia="宋体" w:cs="宋体"/>
          <w:spacing w:val="7"/>
          <w:sz w:val="23"/>
          <w:szCs w:val="23"/>
        </w:rPr>
        <w:t>法律法规的</w:t>
      </w:r>
      <w:r>
        <w:rPr>
          <w:rFonts w:ascii="Times New Roman" w:hAnsi="Times New Roman" w:eastAsia="Times New Roman" w:cs="Times New Roman"/>
          <w:spacing w:val="7"/>
          <w:sz w:val="23"/>
          <w:szCs w:val="23"/>
        </w:rPr>
        <w:t>“</w:t>
      </w:r>
      <w:r>
        <w:rPr>
          <w:rFonts w:ascii="宋体" w:hAnsi="宋体" w:eastAsia="宋体" w:cs="宋体"/>
          <w:spacing w:val="7"/>
          <w:sz w:val="23"/>
          <w:szCs w:val="23"/>
        </w:rPr>
        <w:t>三同时</w:t>
      </w:r>
      <w:r>
        <w:rPr>
          <w:rFonts w:ascii="Times New Roman" w:hAnsi="Times New Roman" w:eastAsia="Times New Roman" w:cs="Times New Roman"/>
          <w:spacing w:val="7"/>
          <w:sz w:val="23"/>
          <w:szCs w:val="23"/>
        </w:rPr>
        <w:t>”</w:t>
      </w:r>
      <w:r>
        <w:rPr>
          <w:rFonts w:ascii="宋体" w:hAnsi="宋体" w:eastAsia="宋体" w:cs="宋体"/>
          <w:spacing w:val="7"/>
          <w:sz w:val="23"/>
          <w:szCs w:val="23"/>
        </w:rPr>
        <w:t>制度；落实相应的污染防治措施，并加强环保设施的</w:t>
      </w:r>
      <w:r>
        <w:rPr>
          <w:rFonts w:ascii="宋体" w:hAnsi="宋体" w:eastAsia="宋体" w:cs="宋体"/>
          <w:sz w:val="23"/>
          <w:szCs w:val="23"/>
        </w:rPr>
        <w:t xml:space="preserve"> </w:t>
      </w:r>
      <w:r>
        <w:rPr>
          <w:rFonts w:ascii="宋体" w:hAnsi="宋体" w:eastAsia="宋体" w:cs="宋体"/>
          <w:spacing w:val="9"/>
          <w:sz w:val="23"/>
          <w:szCs w:val="23"/>
        </w:rPr>
        <w:t>日</w:t>
      </w:r>
      <w:r>
        <w:rPr>
          <w:rFonts w:ascii="宋体" w:hAnsi="宋体" w:eastAsia="宋体" w:cs="宋体"/>
          <w:spacing w:val="7"/>
          <w:sz w:val="23"/>
          <w:szCs w:val="23"/>
        </w:rPr>
        <w:t>常维护和管理，保证各类污染治理设施稳定运行；持续实行清洁生产，贯彻循</w:t>
      </w:r>
      <w:r>
        <w:rPr>
          <w:rFonts w:ascii="宋体" w:hAnsi="宋体" w:eastAsia="宋体" w:cs="宋体"/>
          <w:sz w:val="23"/>
          <w:szCs w:val="23"/>
        </w:rPr>
        <w:t xml:space="preserve"> </w:t>
      </w:r>
      <w:r>
        <w:rPr>
          <w:rFonts w:ascii="宋体" w:hAnsi="宋体" w:eastAsia="宋体" w:cs="宋体"/>
          <w:spacing w:val="9"/>
          <w:sz w:val="23"/>
          <w:szCs w:val="23"/>
        </w:rPr>
        <w:t>环经济有关原则，实现经济可持续发展</w:t>
      </w:r>
      <w:r>
        <w:rPr>
          <w:rFonts w:ascii="宋体" w:hAnsi="宋体" w:eastAsia="宋体" w:cs="宋体"/>
          <w:spacing w:val="7"/>
          <w:sz w:val="23"/>
          <w:szCs w:val="23"/>
        </w:rPr>
        <w:t>。</w:t>
      </w:r>
    </w:p>
    <w:p w14:paraId="059BE4E5">
      <w:pPr>
        <w:spacing w:before="135" w:line="393" w:lineRule="auto"/>
        <w:ind w:left="27" w:firstLine="480"/>
        <w:rPr>
          <w:rFonts w:ascii="宋体" w:hAnsi="宋体" w:eastAsia="宋体" w:cs="宋体"/>
          <w:sz w:val="23"/>
          <w:szCs w:val="23"/>
        </w:rPr>
      </w:pPr>
      <w:r>
        <w:rPr>
          <w:rFonts w:ascii="宋体" w:hAnsi="宋体" w:eastAsia="宋体" w:cs="宋体"/>
          <w:spacing w:val="12"/>
          <w:sz w:val="23"/>
          <w:szCs w:val="23"/>
        </w:rPr>
        <w:t>项目在采</w:t>
      </w:r>
      <w:r>
        <w:rPr>
          <w:rFonts w:ascii="宋体" w:hAnsi="宋体" w:eastAsia="宋体" w:cs="宋体"/>
          <w:spacing w:val="7"/>
          <w:sz w:val="23"/>
          <w:szCs w:val="23"/>
        </w:rPr>
        <w:t>取</w:t>
      </w:r>
      <w:r>
        <w:rPr>
          <w:rFonts w:ascii="宋体" w:hAnsi="宋体" w:eastAsia="宋体" w:cs="宋体"/>
          <w:spacing w:val="6"/>
          <w:sz w:val="23"/>
          <w:szCs w:val="23"/>
        </w:rPr>
        <w:t>相应的污染防治措施后，可最大限度的减少污染物的排放，避免</w:t>
      </w:r>
      <w:r>
        <w:rPr>
          <w:rFonts w:ascii="宋体" w:hAnsi="宋体" w:eastAsia="宋体" w:cs="宋体"/>
          <w:sz w:val="23"/>
          <w:szCs w:val="23"/>
        </w:rPr>
        <w:t xml:space="preserve"> </w:t>
      </w:r>
      <w:r>
        <w:rPr>
          <w:rFonts w:ascii="宋体" w:hAnsi="宋体" w:eastAsia="宋体" w:cs="宋体"/>
          <w:spacing w:val="16"/>
          <w:sz w:val="23"/>
          <w:szCs w:val="23"/>
        </w:rPr>
        <w:t>项目</w:t>
      </w:r>
      <w:r>
        <w:rPr>
          <w:rFonts w:ascii="宋体" w:hAnsi="宋体" w:eastAsia="宋体" w:cs="宋体"/>
          <w:spacing w:val="9"/>
          <w:sz w:val="23"/>
          <w:szCs w:val="23"/>
        </w:rPr>
        <w:t>运</w:t>
      </w:r>
      <w:r>
        <w:rPr>
          <w:rFonts w:ascii="宋体" w:hAnsi="宋体" w:eastAsia="宋体" w:cs="宋体"/>
          <w:spacing w:val="8"/>
          <w:sz w:val="23"/>
          <w:szCs w:val="23"/>
        </w:rPr>
        <w:t>营对周围环境产生较大的不利影响。从环境保护的角度考虑，项目可行。</w:t>
      </w:r>
    </w:p>
    <w:p w14:paraId="3F900753">
      <w:pPr>
        <w:sectPr>
          <w:headerReference r:id="rId38" w:type="default"/>
          <w:footerReference r:id="rId39" w:type="default"/>
          <w:pgSz w:w="11906" w:h="16839"/>
          <w:pgMar w:top="1132" w:right="1745" w:bottom="899" w:left="1785" w:header="878" w:footer="739" w:gutter="0"/>
          <w:cols w:space="720" w:num="1"/>
        </w:sectPr>
      </w:pPr>
    </w:p>
    <w:p w14:paraId="12F53E1E">
      <w:pPr>
        <w:spacing w:line="243" w:lineRule="auto"/>
        <w:rPr>
          <w:rFonts w:ascii="Arial"/>
          <w:sz w:val="21"/>
        </w:rPr>
      </w:pPr>
      <w:r>
        <w:pict>
          <v:shape id="_x0000_s1046" o:spid="_x0000_s1046" style="position:absolute;left:0pt;margin-left:72pt;margin-top:57.35pt;height:0.75pt;width:697.95pt;mso-position-horizontal-relative:page;mso-position-vertical-relative:page;z-index:251686912;mso-width-relative:page;mso-height-relative:page;" fillcolor="#000000" filled="t" stroked="f" coordsize="13959,15" o:allowincell="f" path="m0,0l13958,0,13958,14,0,14,0,0xe">
            <v:path/>
            <v:fill on="t" focussize="0,0"/>
            <v:stroke on="f"/>
            <v:imagedata o:title=""/>
            <o:lock v:ext="edit"/>
          </v:shape>
        </w:pict>
      </w:r>
      <w:r>
        <w:pict>
          <v:shape id="_x0000_s1047" o:spid="_x0000_s1047" o:spt="202" type="#_x0000_t202" style="position:absolute;left:0pt;margin-left:727.7pt;margin-top:206.65pt;height:170pt;width:15.9pt;mso-position-horizontal-relative:page;mso-position-vertical-relative:page;z-index:251698176;mso-width-relative:page;mso-height-relative:page;" filled="f" stroked="f" coordsize="21600,21600" o:allowincell="f">
            <v:path/>
            <v:fill on="f" focussize="0,0"/>
            <v:stroke on="f"/>
            <v:imagedata o:title=""/>
            <o:lock v:ext="edit" aspectratio="f"/>
            <v:textbox inset="0mm,0mm,0mm,0mm" style="layout-flow:vertical-ideographic;">
              <w:txbxContent>
                <w:p w14:paraId="616DD2E6">
                  <w:pPr>
                    <w:spacing w:before="20" w:line="208" w:lineRule="auto"/>
                    <w:ind w:left="20"/>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辽</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宁</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公</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路</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水</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泥</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厂</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废</w:t>
                  </w:r>
                  <w:r>
                    <w:rPr>
                      <w:rFonts w:ascii="宋体" w:hAnsi="宋体" w:eastAsia="宋体" w:cs="宋体"/>
                      <w:spacing w:val="-15"/>
                      <w:sz w:val="23"/>
                      <w:szCs w:val="23"/>
                    </w:rPr>
                    <w:t xml:space="preserve"> </w:t>
                  </w:r>
                  <w:r>
                    <w:rPr>
                      <w:rFonts w:ascii="宋体" w:hAnsi="宋体" w:eastAsia="宋体" w:cs="宋体"/>
                      <w:spacing w:val="-15"/>
                      <w:position w:val="1"/>
                      <w:sz w:val="23"/>
                      <w:szCs w:val="23"/>
                      <w14:textOutline w14:w="4358" w14:cap="sq" w14:cmpd="sng">
                        <w14:solidFill>
                          <w14:srgbClr w14:val="000000"/>
                        </w14:solidFill>
                        <w14:prstDash w14:val="solid"/>
                        <w14:bevel/>
                      </w14:textOutline>
                    </w:rPr>
                    <w:t>旧</w:t>
                  </w:r>
                  <w:r>
                    <w:rPr>
                      <w:rFonts w:ascii="宋体" w:hAnsi="宋体" w:eastAsia="宋体" w:cs="宋体"/>
                      <w:spacing w:val="-15"/>
                      <w:position w:val="1"/>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厂</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区</w:t>
                  </w:r>
                </w:p>
              </w:txbxContent>
            </v:textbox>
          </v:shape>
        </w:pict>
      </w:r>
      <w:r>
        <w:pict>
          <v:shape id="_x0000_s1048" o:spid="_x0000_s1048" o:spt="202" type="#_x0000_t202" style="position:absolute;left:0pt;margin-left:105.15pt;margin-top:220.9pt;height:76.4pt;width:16.3pt;mso-position-horizontal-relative:page;mso-position-vertical-relative:page;z-index:251697152;mso-width-relative:page;mso-height-relative:page;" filled="f" stroked="f" coordsize="21600,21600" o:allowincell="f">
            <v:path/>
            <v:fill on="f" focussize="0,0"/>
            <v:stroke on="f"/>
            <v:imagedata o:title=""/>
            <o:lock v:ext="edit" aspectratio="f"/>
            <v:textbox inset="0mm,0mm,0mm,0mm" style="layout-flow:vertical-ideographic;">
              <w:txbxContent>
                <w:p w14:paraId="18BA07E4">
                  <w:pPr>
                    <w:spacing w:before="20" w:line="223" w:lineRule="auto"/>
                    <w:ind w:left="20"/>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空</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地</w:t>
                  </w:r>
                </w:p>
              </w:txbxContent>
            </v:textbox>
          </v:shape>
        </w:pict>
      </w:r>
      <w:r>
        <w:drawing>
          <wp:anchor distT="0" distB="0" distL="0" distR="0" simplePos="0" relativeHeight="251684864" behindDoc="1" locked="0" layoutInCell="0" allowOverlap="1">
            <wp:simplePos x="0" y="0"/>
            <wp:positionH relativeFrom="page">
              <wp:posOffset>9280525</wp:posOffset>
            </wp:positionH>
            <wp:positionV relativeFrom="page">
              <wp:posOffset>1384300</wp:posOffset>
            </wp:positionV>
            <wp:extent cx="614680" cy="55435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385"/>
                    <a:stretch>
                      <a:fillRect/>
                    </a:stretch>
                  </pic:blipFill>
                  <pic:spPr>
                    <a:xfrm>
                      <a:off x="0" y="0"/>
                      <a:ext cx="614781" cy="554126"/>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8917305</wp:posOffset>
            </wp:positionH>
            <wp:positionV relativeFrom="page">
              <wp:posOffset>1670050</wp:posOffset>
            </wp:positionV>
            <wp:extent cx="621665" cy="61214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86"/>
                    <a:stretch>
                      <a:fillRect/>
                    </a:stretch>
                  </pic:blipFill>
                  <pic:spPr>
                    <a:xfrm>
                      <a:off x="0" y="0"/>
                      <a:ext cx="621512" cy="611937"/>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890905</wp:posOffset>
            </wp:positionH>
            <wp:positionV relativeFrom="page">
              <wp:posOffset>1356995</wp:posOffset>
            </wp:positionV>
            <wp:extent cx="8801100" cy="469900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387"/>
                    <a:stretch>
                      <a:fillRect/>
                    </a:stretch>
                  </pic:blipFill>
                  <pic:spPr>
                    <a:xfrm>
                      <a:off x="0" y="0"/>
                      <a:ext cx="8801099" cy="4699000"/>
                    </a:xfrm>
                    <a:prstGeom prst="rect">
                      <a:avLst/>
                    </a:prstGeom>
                  </pic:spPr>
                </pic:pic>
              </a:graphicData>
            </a:graphic>
          </wp:anchor>
        </w:drawing>
      </w:r>
      <w:r>
        <w:pict>
          <v:group id="_x0000_s1049" o:spid="_x0000_s1049" o:spt="203" style="position:absolute;left:0pt;margin-left:94.15pt;margin-top:308.3pt;height:28pt;width:124.8pt;mso-position-horizontal-relative:page;mso-position-vertical-relative:page;z-index:251700224;mso-width-relative:page;mso-height-relative:page;" coordsize="2496,560" o:allowincell="f">
            <o:lock v:ext="edit"/>
            <v:shape id="_x0000_s1050" o:spid="_x0000_s1050" o:spt="75" type="#_x0000_t75" style="position:absolute;left:0;top:0;height:560;width:2496;" filled="f" stroked="f" coordsize="21600,21600">
              <v:path/>
              <v:fill on="f" focussize="0,0"/>
              <v:stroke on="f"/>
              <v:imagedata r:id="rId388" o:title=""/>
              <o:lock v:ext="edit" aspectratio="t"/>
            </v:shape>
            <v:shape id="_x0000_s1051" o:spid="_x0000_s1051" o:spt="202" type="#_x0000_t202" style="position:absolute;left:-20;top:-20;height:637;width:2536;" filled="f" stroked="f" coordsize="21600,21600">
              <v:path/>
              <v:fill on="f" focussize="0,0"/>
              <v:stroke on="f"/>
              <v:imagedata o:title=""/>
              <o:lock v:ext="edit" aspectratio="f"/>
              <v:textbox inset="0mm,0mm,0mm,0mm">
                <w:txbxContent>
                  <w:p w14:paraId="764EB626">
                    <w:pPr>
                      <w:spacing w:before="279" w:line="228" w:lineRule="auto"/>
                      <w:ind w:left="189"/>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7"/>
                        <w:sz w:val="20"/>
                        <w:szCs w:val="20"/>
                      </w:rPr>
                      <w:t>废暂存间</w:t>
                    </w:r>
                  </w:p>
                </w:txbxContent>
              </v:textbox>
            </v:shape>
          </v:group>
        </w:pict>
      </w:r>
      <w:r>
        <w:pict>
          <v:group id="_x0000_s1052" o:spid="_x0000_s1052" o:spt="203" style="position:absolute;left:0pt;margin-left:77.65pt;margin-top:329.05pt;height:34.2pt;width:125.9pt;mso-position-horizontal-relative:page;mso-position-vertical-relative:page;z-index:251701248;mso-width-relative:page;mso-height-relative:page;" coordsize="2518,684" o:allowincell="f">
            <o:lock v:ext="edit"/>
            <v:shape id="_x0000_s1053" o:spid="_x0000_s1053" o:spt="75" type="#_x0000_t75" style="position:absolute;left:0;top:0;height:684;width:2518;" filled="f" stroked="f" coordsize="21600,21600">
              <v:path/>
              <v:fill on="f" focussize="0,0"/>
              <v:stroke on="f"/>
              <v:imagedata r:id="rId389" o:title=""/>
              <o:lock v:ext="edit" aspectratio="t"/>
            </v:shape>
            <v:shape id="_x0000_s1054" o:spid="_x0000_s1054" o:spt="202" type="#_x0000_t202" style="position:absolute;left:-20;top:-20;height:761;width:2558;" filled="f" stroked="f" coordsize="21600,21600">
              <v:path/>
              <v:fill on="f" focussize="0,0"/>
              <v:stroke on="f"/>
              <v:imagedata o:title=""/>
              <o:lock v:ext="edit" aspectratio="f"/>
              <v:textbox inset="0mm,0mm,0mm,0mm">
                <w:txbxContent>
                  <w:p w14:paraId="35ED4A23">
                    <w:pPr>
                      <w:spacing w:line="337" w:lineRule="auto"/>
                      <w:rPr>
                        <w:rFonts w:ascii="Arial"/>
                        <w:sz w:val="21"/>
                      </w:rPr>
                    </w:pPr>
                  </w:p>
                  <w:p w14:paraId="3AB54703">
                    <w:pPr>
                      <w:spacing w:before="65" w:line="228" w:lineRule="auto"/>
                      <w:ind w:left="202"/>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7"/>
                        <w:sz w:val="20"/>
                        <w:szCs w:val="20"/>
                      </w:rPr>
                      <w:t>品备件库</w:t>
                    </w:r>
                  </w:p>
                </w:txbxContent>
              </v:textbox>
            </v:shape>
          </v:group>
        </w:pict>
      </w:r>
      <w:r>
        <w:pict>
          <v:shape id="_x0000_s1055" o:spid="_x0000_s1055" o:spt="202" type="#_x0000_t202" style="position:absolute;left:0pt;margin-left:702.3pt;margin-top:339.85pt;height:14.55pt;width:10.9pt;mso-position-horizontal-relative:page;mso-position-vertical-relative:page;z-index:251694080;mso-width-relative:page;mso-height-relative:page;" filled="f" stroked="f" coordsize="21600,21600" o:allowincell="f">
            <v:path/>
            <v:fill on="f" focussize="0,0"/>
            <v:stroke on="f"/>
            <v:imagedata o:title=""/>
            <o:lock v:ext="edit" aspectratio="f"/>
            <v:textbox inset="0mm,0mm,0mm,0mm">
              <w:txbxContent>
                <w:p w14:paraId="52ED5CDE">
                  <w:pPr>
                    <w:spacing w:before="20" w:line="231" w:lineRule="auto"/>
                    <w:ind w:left="20"/>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门</w:t>
                  </w:r>
                </w:p>
              </w:txbxContent>
            </v:textbox>
          </v:shape>
        </w:pict>
      </w:r>
      <w:r>
        <w:pict>
          <v:group id="_x0000_s1056" o:spid="_x0000_s1056" o:spt="203" style="position:absolute;left:0pt;margin-left:445.45pt;margin-top:397pt;height:41.3pt;width:81.95pt;mso-position-horizontal-relative:page;mso-position-vertical-relative:page;z-index:251714560;mso-width-relative:page;mso-height-relative:page;" coordsize="1638,825" o:allowincell="f">
            <o:lock v:ext="edit"/>
            <v:shape id="_x0000_s1057" o:spid="_x0000_s1057" o:spt="75" type="#_x0000_t75" style="position:absolute;left:0;top:0;height:825;width:1638;" filled="f" stroked="f" coordsize="21600,21600">
              <v:path/>
              <v:fill on="f" focussize="0,0"/>
              <v:stroke on="f"/>
              <v:imagedata r:id="rId390" o:title=""/>
              <o:lock v:ext="edit" aspectratio="t"/>
            </v:shape>
            <v:shape id="_x0000_s1058" o:spid="_x0000_s1058" o:spt="202" type="#_x0000_t202" style="position:absolute;left:-20;top:-20;height:865;width:1678;" filled="f" stroked="f" coordsize="21600,21600">
              <v:path/>
              <v:fill on="f" focussize="0,0"/>
              <v:stroke on="f"/>
              <v:imagedata o:title=""/>
              <o:lock v:ext="edit" aspectratio="f"/>
              <v:textbox inset="0mm,0mm,0mm,0mm">
                <w:txbxContent>
                  <w:p w14:paraId="51899DB3">
                    <w:pPr>
                      <w:spacing w:line="439" w:lineRule="auto"/>
                      <w:rPr>
                        <w:rFonts w:ascii="Arial"/>
                        <w:sz w:val="21"/>
                      </w:rPr>
                    </w:pPr>
                  </w:p>
                  <w:p w14:paraId="6AC4FED3">
                    <w:pPr>
                      <w:spacing w:before="65" w:line="289" w:lineRule="exact"/>
                      <w:ind w:left="685"/>
                      <w:rPr>
                        <w:rFonts w:ascii="宋体" w:hAnsi="宋体" w:eastAsia="宋体" w:cs="宋体"/>
                        <w:sz w:val="20"/>
                        <w:szCs w:val="20"/>
                      </w:rPr>
                    </w:pPr>
                    <w:r>
                      <w:rPr>
                        <w:rFonts w:ascii="Times New Roman" w:hAnsi="Times New Roman" w:eastAsia="Times New Roman" w:cs="Times New Roman"/>
                        <w:b/>
                        <w:bCs/>
                        <w:spacing w:val="8"/>
                        <w:position w:val="1"/>
                        <w:sz w:val="20"/>
                        <w:szCs w:val="20"/>
                      </w:rPr>
                      <w:t>3</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95" w14:cap="sq" w14:cmpd="sng">
                          <w14:solidFill>
                            <w14:srgbClr w14:val="000000"/>
                          </w14:solidFill>
                          <w14:prstDash w14:val="solid"/>
                          <w14:bevel/>
                        </w14:textOutline>
                      </w:rPr>
                      <w:t>排气筒</w:t>
                    </w:r>
                  </w:p>
                </w:txbxContent>
              </v:textbox>
            </v:shape>
          </v:group>
        </w:pict>
      </w:r>
      <w:r>
        <w:drawing>
          <wp:anchor distT="0" distB="0" distL="0" distR="0" simplePos="0" relativeHeight="251706368" behindDoc="0" locked="0" layoutInCell="0" allowOverlap="1">
            <wp:simplePos x="0" y="0"/>
            <wp:positionH relativeFrom="page">
              <wp:posOffset>2207895</wp:posOffset>
            </wp:positionH>
            <wp:positionV relativeFrom="page">
              <wp:posOffset>4738370</wp:posOffset>
            </wp:positionV>
            <wp:extent cx="768350" cy="79883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91"/>
                    <a:stretch>
                      <a:fillRect/>
                    </a:stretch>
                  </pic:blipFill>
                  <pic:spPr>
                    <a:xfrm>
                      <a:off x="0" y="0"/>
                      <a:ext cx="768350" cy="798829"/>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5081905</wp:posOffset>
            </wp:positionH>
            <wp:positionV relativeFrom="page">
              <wp:posOffset>5039360</wp:posOffset>
            </wp:positionV>
            <wp:extent cx="771525" cy="523875"/>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392"/>
                    <a:stretch>
                      <a:fillRect/>
                    </a:stretch>
                  </pic:blipFill>
                  <pic:spPr>
                    <a:xfrm>
                      <a:off x="0" y="0"/>
                      <a:ext cx="771537" cy="523888"/>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5634355</wp:posOffset>
            </wp:positionH>
            <wp:positionV relativeFrom="page">
              <wp:posOffset>5035550</wp:posOffset>
            </wp:positionV>
            <wp:extent cx="81280" cy="8128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93"/>
                    <a:stretch>
                      <a:fillRect/>
                    </a:stretch>
                  </pic:blipFill>
                  <pic:spPr>
                    <a:xfrm>
                      <a:off x="0" y="0"/>
                      <a:ext cx="81292" cy="81279"/>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8772525</wp:posOffset>
            </wp:positionH>
            <wp:positionV relativeFrom="page">
              <wp:posOffset>4210685</wp:posOffset>
            </wp:positionV>
            <wp:extent cx="215900" cy="39751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394"/>
                    <a:stretch>
                      <a:fillRect/>
                    </a:stretch>
                  </pic:blipFill>
                  <pic:spPr>
                    <a:xfrm>
                      <a:off x="0" y="0"/>
                      <a:ext cx="215950" cy="397509"/>
                    </a:xfrm>
                    <a:prstGeom prst="rect">
                      <a:avLst/>
                    </a:prstGeom>
                  </pic:spPr>
                </pic:pic>
              </a:graphicData>
            </a:graphic>
          </wp:anchor>
        </w:drawing>
      </w:r>
      <w:r>
        <w:pict>
          <v:group id="_x0000_s1059" o:spid="_x0000_s1059" o:spt="203" style="position:absolute;left:0pt;margin-left:70.85pt;margin-top:418.1pt;height:57.9pt;width:97.5pt;mso-position-horizontal-relative:page;mso-position-vertical-relative:page;z-index:251687936;mso-width-relative:page;mso-height-relative:page;" coordsize="1950,1158" o:allowincell="f">
            <o:lock v:ext="edit"/>
            <v:shape id="_x0000_s1060" o:spid="_x0000_s1060" o:spt="75" type="#_x0000_t75" style="position:absolute;left:0;top:0;height:1158;width:1950;" filled="f" stroked="f" coordsize="21600,21600">
              <v:path/>
              <v:fill on="f" focussize="0,0"/>
              <v:stroke on="f"/>
              <v:imagedata r:id="rId395" o:title=""/>
              <o:lock v:ext="edit" aspectratio="t"/>
            </v:shape>
            <v:shape id="_x0000_s1061" o:spid="_x0000_s1061" o:spt="202" type="#_x0000_t202" style="position:absolute;left:134;top:119;height:1023;width:1303;" filled="f" stroked="f" coordsize="21600,21600">
              <v:path/>
              <v:fill on="f" focussize="0,0"/>
              <v:stroke on="f"/>
              <v:imagedata o:title=""/>
              <o:lock v:ext="edit" aspectratio="f"/>
              <v:textbox inset="0mm,0mm,0mm,0mm">
                <w:txbxContent>
                  <w:p w14:paraId="17757120">
                    <w:pPr>
                      <w:spacing w:before="20" w:line="229" w:lineRule="auto"/>
                      <w:ind w:left="449"/>
                      <w:rPr>
                        <w:rFonts w:ascii="宋体" w:hAnsi="宋体" w:eastAsia="宋体" w:cs="宋体"/>
                        <w:sz w:val="20"/>
                        <w:szCs w:val="20"/>
                      </w:rPr>
                    </w:pPr>
                    <w:r>
                      <w:rPr>
                        <w:rFonts w:ascii="宋体" w:hAnsi="宋体" w:eastAsia="宋体" w:cs="宋体"/>
                        <w:spacing w:val="2"/>
                        <w:sz w:val="20"/>
                        <w:szCs w:val="20"/>
                        <w:u w:val="single" w:color="auto"/>
                        <w14:textOutline w14:w="3795" w14:cap="sq" w14:cmpd="sng">
                          <w14:solidFill>
                            <w14:srgbClr w14:val="000000"/>
                          </w14:solidFill>
                          <w14:prstDash w14:val="solid"/>
                          <w14:bevel/>
                        </w14:textOutline>
                      </w:rPr>
                      <w:t>图</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1"/>
                        <w:sz w:val="20"/>
                        <w:szCs w:val="20"/>
                        <w:u w:val="single" w:color="auto"/>
                        <w14:textOutline w14:w="3795" w14:cap="sq" w14:cmpd="sng">
                          <w14:solidFill>
                            <w14:srgbClr w14:val="000000"/>
                          </w14:solidFill>
                          <w14:prstDash w14:val="solid"/>
                          <w14:bevel/>
                        </w14:textOutline>
                      </w:rPr>
                      <w:t>例</w:t>
                    </w:r>
                  </w:p>
                  <w:p w14:paraId="437B7F92">
                    <w:pPr>
                      <w:spacing w:before="57" w:line="234" w:lineRule="auto"/>
                      <w:ind w:left="20"/>
                      <w:rPr>
                        <w:rFonts w:ascii="宋体" w:hAnsi="宋体" w:eastAsia="宋体" w:cs="宋体"/>
                        <w:sz w:val="20"/>
                        <w:szCs w:val="20"/>
                      </w:rPr>
                    </w:pPr>
                    <w:r>
                      <w:rPr>
                        <w:rFonts w:ascii="宋体" w:hAnsi="宋体" w:eastAsia="宋体" w:cs="宋体"/>
                        <w:position w:val="-1"/>
                        <w:sz w:val="20"/>
                        <w:szCs w:val="20"/>
                      </w:rPr>
                      <w:drawing>
                        <wp:inline distT="0" distB="0" distL="0" distR="0">
                          <wp:extent cx="198755" cy="1270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96"/>
                                  <a:stretch>
                                    <a:fillRect/>
                                  </a:stretch>
                                </pic:blipFill>
                                <pic:spPr>
                                  <a:xfrm>
                                    <a:off x="0" y="0"/>
                                    <a:ext cx="198755" cy="127000"/>
                                  </a:xfrm>
                                  <a:prstGeom prst="rect">
                                    <a:avLst/>
                                  </a:prstGeom>
                                </pic:spPr>
                              </pic:pic>
                            </a:graphicData>
                          </a:graphic>
                        </wp:inline>
                      </w:drawing>
                    </w:r>
                    <w:r>
                      <w:rPr>
                        <w:rFonts w:ascii="宋体" w:hAnsi="宋体" w:eastAsia="宋体" w:cs="宋体"/>
                        <w:spacing w:val="10"/>
                        <w:sz w:val="20"/>
                        <w:szCs w:val="20"/>
                      </w:rPr>
                      <w:t xml:space="preserve"> 厂区边</w:t>
                    </w:r>
                    <w:r>
                      <w:rPr>
                        <w:rFonts w:ascii="宋体" w:hAnsi="宋体" w:eastAsia="宋体" w:cs="宋体"/>
                        <w:spacing w:val="9"/>
                        <w:sz w:val="20"/>
                        <w:szCs w:val="20"/>
                      </w:rPr>
                      <w:t>界</w:t>
                    </w:r>
                  </w:p>
                  <w:p w14:paraId="4EEEDD80">
                    <w:pPr>
                      <w:spacing w:before="138" w:line="196" w:lineRule="auto"/>
                      <w:ind w:left="223"/>
                      <w:rPr>
                        <w:sz w:val="20"/>
                        <w:szCs w:val="20"/>
                      </w:rPr>
                    </w:pPr>
                    <w:r>
                      <w:rPr>
                        <w:rFonts w:ascii="Times New Roman" w:hAnsi="Times New Roman" w:eastAsia="Times New Roman" w:cs="Times New Roman"/>
                        <w:position w:val="-12"/>
                        <w:sz w:val="20"/>
                        <w:szCs w:val="20"/>
                      </w:rPr>
                      <w:drawing>
                        <wp:inline distT="0" distB="0" distL="0" distR="0">
                          <wp:extent cx="19685" cy="12954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97"/>
                                  <a:stretch>
                                    <a:fillRect/>
                                  </a:stretch>
                                </pic:blipFill>
                                <pic:spPr>
                                  <a:xfrm>
                                    <a:off x="0" y="0"/>
                                    <a:ext cx="19685" cy="129641"/>
                                  </a:xfrm>
                                  <a:prstGeom prst="rect">
                                    <a:avLst/>
                                  </a:prstGeom>
                                </pic:spPr>
                              </pic:pic>
                            </a:graphicData>
                          </a:graphic>
                        </wp:inline>
                      </w:drawing>
                    </w:r>
                    <w:r>
                      <w:rPr>
                        <w:rFonts w:ascii="Times New Roman" w:hAnsi="Times New Roman" w:eastAsia="Times New Roman" w:cs="Times New Roman"/>
                        <w:spacing w:val="7"/>
                        <w:sz w:val="20"/>
                        <w:szCs w:val="20"/>
                        <w:u w:val="single" w:color="auto"/>
                      </w:rPr>
                      <w:t xml:space="preserve"> </w:t>
                    </w:r>
                    <w:r>
                      <w:rPr>
                        <w:rFonts w:ascii="Times New Roman" w:hAnsi="Times New Roman" w:eastAsia="Times New Roman" w:cs="Times New Roman"/>
                        <w:spacing w:val="6"/>
                        <w:sz w:val="20"/>
                        <w:szCs w:val="20"/>
                        <w:u w:val="single" w:color="auto"/>
                      </w:rPr>
                      <w:t xml:space="preserve">    </w:t>
                    </w:r>
                    <w:r>
                      <w:rPr>
                        <w:rFonts w:ascii="Times New Roman" w:hAnsi="Times New Roman" w:eastAsia="Times New Roman" w:cs="Times New Roman"/>
                        <w:b/>
                        <w:bCs/>
                        <w:spacing w:val="6"/>
                        <w:sz w:val="20"/>
                        <w:szCs w:val="20"/>
                        <w:u w:val="single" w:color="auto"/>
                      </w:rPr>
                      <w:t>10</w:t>
                    </w:r>
                    <w:r>
                      <w:rPr>
                        <w:rFonts w:ascii="Times New Roman" w:hAnsi="Times New Roman" w:eastAsia="Times New Roman" w:cs="Times New Roman"/>
                        <w:b/>
                        <w:bCs/>
                        <w:sz w:val="20"/>
                        <w:szCs w:val="20"/>
                        <w:u w:val="single" w:color="auto"/>
                      </w:rPr>
                      <w:t>m</w:t>
                    </w:r>
                    <w:r>
                      <w:rPr>
                        <w:rFonts w:ascii="Times New Roman" w:hAnsi="Times New Roman" w:eastAsia="Times New Roman" w:cs="Times New Roman"/>
                        <w:spacing w:val="6"/>
                        <w:sz w:val="20"/>
                        <w:szCs w:val="20"/>
                        <w:u w:val="single" w:color="auto"/>
                      </w:rPr>
                      <w:t xml:space="preserve">     </w:t>
                    </w:r>
                    <w:r>
                      <w:rPr>
                        <w:position w:val="-11"/>
                        <w:sz w:val="20"/>
                        <w:szCs w:val="20"/>
                      </w:rPr>
                      <w:drawing>
                        <wp:inline distT="0" distB="0" distL="0" distR="0">
                          <wp:extent cx="19685" cy="1295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98"/>
                                  <a:stretch>
                                    <a:fillRect/>
                                  </a:stretch>
                                </pic:blipFill>
                                <pic:spPr>
                                  <a:xfrm>
                                    <a:off x="0" y="0"/>
                                    <a:ext cx="19685" cy="129641"/>
                                  </a:xfrm>
                                  <a:prstGeom prst="rect">
                                    <a:avLst/>
                                  </a:prstGeom>
                                </pic:spPr>
                              </pic:pic>
                            </a:graphicData>
                          </a:graphic>
                        </wp:inline>
                      </w:drawing>
                    </w:r>
                  </w:p>
                </w:txbxContent>
              </v:textbox>
            </v:shape>
          </v:group>
        </w:pict>
      </w:r>
      <w:r>
        <w:pict>
          <v:shape id="_x0000_s1062" o:spid="_x0000_s1062" o:spt="202" type="#_x0000_t202" style="position:absolute;left:0pt;margin-left:411.3pt;margin-top:420.25pt;height:16.45pt;width:43.9pt;mso-position-horizontal-relative:page;mso-position-vertical-relative:page;z-index:251710464;mso-width-relative:page;mso-height-relative:page;" filled="f" stroked="f" coordsize="21600,21600" o:allowincell="f">
            <v:path/>
            <v:fill on="f" focussize="0,0"/>
            <v:stroke on="f"/>
            <v:imagedata o:title=""/>
            <o:lock v:ext="edit" aspectratio="f"/>
            <v:textbox inset="0mm,0mm,0mm,0mm">
              <w:txbxContent>
                <w:p w14:paraId="2C2489CE">
                  <w:pPr>
                    <w:spacing w:before="20" w:line="288" w:lineRule="exact"/>
                    <w:ind w:left="20"/>
                    <w:rPr>
                      <w:rFonts w:ascii="宋体" w:hAnsi="宋体" w:eastAsia="宋体" w:cs="宋体"/>
                      <w:sz w:val="20"/>
                      <w:szCs w:val="20"/>
                    </w:rPr>
                  </w:pPr>
                  <w:r>
                    <w:rPr>
                      <w:rFonts w:ascii="Times New Roman" w:hAnsi="Times New Roman" w:eastAsia="Times New Roman" w:cs="Times New Roman"/>
                      <w:b/>
                      <w:bCs/>
                      <w:spacing w:val="9"/>
                      <w:position w:val="1"/>
                      <w:sz w:val="20"/>
                      <w:szCs w:val="20"/>
                    </w:rPr>
                    <w:t>2</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95" w14:cap="sq" w14:cmpd="sng">
                        <w14:solidFill>
                          <w14:srgbClr w14:val="000000"/>
                        </w14:solidFill>
                        <w14:prstDash w14:val="solid"/>
                        <w14:bevel/>
                      </w14:textOutline>
                    </w:rPr>
                    <w:t>排气筒</w:t>
                  </w:r>
                </w:p>
              </w:txbxContent>
            </v:textbox>
          </v:shape>
        </w:pict>
      </w:r>
      <w:r>
        <w:pict>
          <v:shape id="_x0000_s1063" o:spid="_x0000_s1063" o:spt="202" type="#_x0000_t202" style="position:absolute;left:0pt;margin-left:377.55pt;margin-top:134.65pt;height:16.7pt;width:115.2pt;mso-position-horizontal-relative:page;mso-position-vertical-relative:page;z-index:251689984;mso-width-relative:page;mso-height-relative:page;" filled="f" stroked="f" coordsize="21600,21600" o:allowincell="f">
            <v:path/>
            <v:fill on="f" focussize="0,0"/>
            <v:stroke on="f"/>
            <v:imagedata o:title=""/>
            <o:lock v:ext="edit" aspectratio="f"/>
            <v:textbox inset="0mm,0mm,0mm,0mm">
              <w:txbxContent>
                <w:p w14:paraId="503FBA57">
                  <w:pPr>
                    <w:spacing w:before="20" w:line="235" w:lineRule="auto"/>
                    <w:ind w:left="2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空</w:t>
                  </w:r>
                  <w:r>
                    <w:rPr>
                      <w:rFonts w:ascii="宋体" w:hAnsi="宋体" w:eastAsia="宋体" w:cs="宋体"/>
                      <w:spacing w:val="8"/>
                      <w:sz w:val="23"/>
                      <w:szCs w:val="23"/>
                    </w:rPr>
                    <w:t xml:space="preserve"> </w:t>
                  </w:r>
                  <w:r>
                    <w:rPr>
                      <w:rFonts w:ascii="宋体" w:hAnsi="宋体" w:eastAsia="宋体" w:cs="宋体"/>
                      <w:spacing w:val="6"/>
                      <w:sz w:val="23"/>
                      <w:szCs w:val="23"/>
                    </w:rPr>
                    <w:t xml:space="preserve"> </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w:t>
                  </w:r>
                </w:p>
              </w:txbxContent>
            </v:textbox>
          </v:shape>
        </w:pict>
      </w:r>
      <w:r>
        <w:pict>
          <v:shape id="_x0000_s1064" o:spid="_x0000_s1064" o:spt="202" type="#_x0000_t202" style="position:absolute;left:0pt;margin-left:376.85pt;margin-top:450.35pt;height:16.7pt;width:115.2pt;mso-position-horizontal-relative:page;mso-position-vertical-relative:page;z-index:251688960;mso-width-relative:page;mso-height-relative:page;" filled="f" stroked="f" coordsize="21600,21600" o:allowincell="f">
            <v:path/>
            <v:fill on="f" focussize="0,0"/>
            <v:stroke on="f"/>
            <v:imagedata o:title=""/>
            <o:lock v:ext="edit" aspectratio="f"/>
            <v:textbox inset="0mm,0mm,0mm,0mm">
              <w:txbxContent>
                <w:p w14:paraId="628699FE">
                  <w:pPr>
                    <w:spacing w:before="20" w:line="235" w:lineRule="auto"/>
                    <w:ind w:left="2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空</w:t>
                  </w:r>
                  <w:r>
                    <w:rPr>
                      <w:rFonts w:ascii="宋体" w:hAnsi="宋体" w:eastAsia="宋体" w:cs="宋体"/>
                      <w:spacing w:val="8"/>
                      <w:sz w:val="23"/>
                      <w:szCs w:val="23"/>
                    </w:rPr>
                    <w:t xml:space="preserve"> </w:t>
                  </w:r>
                  <w:r>
                    <w:rPr>
                      <w:rFonts w:ascii="宋体" w:hAnsi="宋体" w:eastAsia="宋体" w:cs="宋体"/>
                      <w:spacing w:val="6"/>
                      <w:sz w:val="23"/>
                      <w:szCs w:val="23"/>
                    </w:rPr>
                    <w:t xml:space="preserve"> </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w:t>
                  </w:r>
                </w:p>
              </w:txbxContent>
            </v:textbox>
          </v:shape>
        </w:pict>
      </w:r>
      <w:r>
        <mc:AlternateContent>
          <mc:Choice Requires="wps">
            <w:drawing>
              <wp:anchor distT="0" distB="0" distL="0" distR="0" simplePos="0" relativeHeight="251705344" behindDoc="0" locked="0" layoutInCell="0" allowOverlap="1">
                <wp:simplePos x="0" y="0"/>
                <wp:positionH relativeFrom="page">
                  <wp:posOffset>2865755</wp:posOffset>
                </wp:positionH>
                <wp:positionV relativeFrom="page">
                  <wp:posOffset>4353560</wp:posOffset>
                </wp:positionV>
                <wp:extent cx="287655" cy="209550"/>
                <wp:effectExtent l="0" t="0" r="0" b="0"/>
                <wp:wrapNone/>
                <wp:docPr id="21" name="TextBox 21"/>
                <wp:cNvGraphicFramePr/>
                <a:graphic xmlns:a="http://schemas.openxmlformats.org/drawingml/2006/main">
                  <a:graphicData uri="http://schemas.microsoft.com/office/word/2010/wordprocessingShape">
                    <wps:wsp>
                      <wps:cNvSpPr txBox="1"/>
                      <wps:spPr>
                        <a:xfrm rot="5400000">
                          <a:off x="2866210" y="4353570"/>
                          <a:ext cx="287654" cy="2095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6366239">
                            <w:pPr>
                              <w:spacing w:before="19" w:line="230" w:lineRule="auto"/>
                              <w:ind w:left="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三级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 o:spid="_x0000_s1026" o:spt="202" type="#_x0000_t202" style="position:absolute;left:0pt;margin-left:225.65pt;margin-top:342.8pt;height:16.5pt;width:22.65pt;mso-position-horizontal-relative:page;mso-position-vertical-relative:page;rotation:5898240f;z-index:251705344;mso-width-relative:page;mso-height-relative:page;" filled="f" stroked="f" coordsize="21600,21600" o:allowincell="f" o:gfxdata="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qNjRdcAAAALAQAADwAAAAAAAAABACAAAAAiAAAAZHJzL2Rvd25yZXYueG1s&#10;UEsBAhQAFAAAAAgAh07iQBxJdPMyAgAAbAQAAA4AAAAAAAAAAQAgAAAAJgEAAGRycy9lMm9Eb2Mu&#10;eG1sUEsFBgAAAAAGAAYAWQEAAMoFAAAAAA==&#10;">
                <v:fill on="f" focussize="0,0"/>
                <v:stroke on="f" weight="0pt"/>
                <v:imagedata o:title=""/>
                <o:lock v:ext="edit" aspectratio="f"/>
                <v:textbox inset="0mm,0mm,0mm,0mm">
                  <w:txbxContent>
                    <w:p w14:paraId="26366239">
                      <w:pPr>
                        <w:spacing w:before="19" w:line="230" w:lineRule="auto"/>
                        <w:ind w:left="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三级</w:t>
                      </w:r>
                    </w:p>
                  </w:txbxContent>
                </v:textbox>
              </v:shape>
            </w:pict>
          </mc:Fallback>
        </mc:AlternateContent>
      </w:r>
      <w:r>
        <mc:AlternateContent>
          <mc:Choice Requires="wps">
            <w:drawing>
              <wp:anchor distT="0" distB="0" distL="0" distR="0" simplePos="0" relativeHeight="251711488" behindDoc="0" locked="0" layoutInCell="0" allowOverlap="1">
                <wp:simplePos x="0" y="0"/>
                <wp:positionH relativeFrom="page">
                  <wp:posOffset>2867660</wp:posOffset>
                </wp:positionH>
                <wp:positionV relativeFrom="page">
                  <wp:posOffset>4756150</wp:posOffset>
                </wp:positionV>
                <wp:extent cx="284480" cy="208280"/>
                <wp:effectExtent l="0" t="0" r="0" b="0"/>
                <wp:wrapNone/>
                <wp:docPr id="22" name="TextBox 22"/>
                <wp:cNvGraphicFramePr/>
                <a:graphic xmlns:a="http://schemas.openxmlformats.org/drawingml/2006/main">
                  <a:graphicData uri="http://schemas.microsoft.com/office/word/2010/wordprocessingShape">
                    <wps:wsp>
                      <wps:cNvSpPr txBox="1"/>
                      <wps:spPr>
                        <a:xfrm rot="5400000">
                          <a:off x="2867765" y="4756417"/>
                          <a:ext cx="284479" cy="2082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E4343E6">
                            <w:pPr>
                              <w:spacing w:before="20" w:line="229" w:lineRule="auto"/>
                              <w:ind w:left="2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淀</w:t>
                            </w:r>
                            <w:r>
                              <w:rPr>
                                <w:rFonts w:ascii="宋体" w:hAnsi="宋体" w:eastAsia="宋体" w:cs="宋体"/>
                                <w:spacing w:val="3"/>
                                <w:sz w:val="20"/>
                                <w:szCs w:val="20"/>
                                <w14:textOutline w14:w="3795" w14:cap="sq" w14:cmpd="sng">
                                  <w14:solidFill>
                                    <w14:srgbClr w14:val="000000"/>
                                  </w14:solidFill>
                                  <w14:prstDash w14:val="solid"/>
                                  <w14:bevel/>
                                </w14:textOutline>
                              </w:rPr>
                              <w:t>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225.8pt;margin-top:374.5pt;height:16.4pt;width:22.4pt;mso-position-horizontal-relative:page;mso-position-vertical-relative:page;rotation:5898240f;z-index:251711488;mso-width-relative:page;mso-height-relative:page;" filled="f" stroked="f" coordsize="21600,21600" o:allowincell="f" o:gfxdata="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oT6bE1gAAAAsBAAAPAAAAAAAAAAEAIAAAACIAAABkcnMvZG93bnJldi54bWxQ&#10;SwECFAAUAAAACACHTuJACJTsDTICAABsBAAADgAAAAAAAAABACAAAAAlAQAAZHJzL2Uyb0RvYy54&#10;bWxQSwUGAAAAAAYABgBZAQAAyQUAAAAA&#10;">
                <v:fill on="f" focussize="0,0"/>
                <v:stroke on="f" weight="0pt"/>
                <v:imagedata o:title=""/>
                <o:lock v:ext="edit" aspectratio="f"/>
                <v:textbox inset="0mm,0mm,0mm,0mm">
                  <w:txbxContent>
                    <w:p w14:paraId="3E4343E6">
                      <w:pPr>
                        <w:spacing w:before="20" w:line="229" w:lineRule="auto"/>
                        <w:ind w:left="2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淀</w:t>
                      </w:r>
                      <w:r>
                        <w:rPr>
                          <w:rFonts w:ascii="宋体" w:hAnsi="宋体" w:eastAsia="宋体" w:cs="宋体"/>
                          <w:spacing w:val="3"/>
                          <w:sz w:val="20"/>
                          <w:szCs w:val="20"/>
                          <w14:textOutline w14:w="3795" w14:cap="sq" w14:cmpd="sng">
                            <w14:solidFill>
                              <w14:srgbClr w14:val="000000"/>
                            </w14:solidFill>
                            <w14:prstDash w14:val="solid"/>
                            <w14:bevel/>
                          </w14:textOutline>
                        </w:rPr>
                        <w:t>池</w:t>
                      </w:r>
                    </w:p>
                  </w:txbxContent>
                </v:textbox>
              </v:shape>
            </w:pict>
          </mc:Fallback>
        </mc:AlternateContent>
      </w:r>
      <w:r>
        <w:pict>
          <v:rect id="_x0000_s1065" o:spid="_x0000_s1065" o:spt="1" style="position:absolute;left:0pt;margin-left:697.55pt;margin-top:332.6pt;height:28.7pt;width:3.05pt;mso-position-horizontal-relative:page;mso-position-vertical-relative:page;z-index:251716608;mso-width-relative:page;mso-height-relative:page;" fillcolor="#FFFFFF" filled="t" stroked="f" coordsize="21600,21600" o:allowincell="f">
            <v:path/>
            <v:fill on="t" focussize="0,0"/>
            <v:stroke on="f"/>
            <v:imagedata o:title=""/>
            <o:lock v:ext="edit"/>
          </v:rect>
        </w:pict>
      </w:r>
      <w:r>
        <w:pict>
          <v:shape id="_x0000_s1066" o:spid="_x0000_s1066" o:spt="202" type="#_x0000_t202" style="position:absolute;left:0pt;margin-left:188.3pt;margin-top:186.55pt;height:147.25pt;width:32.5pt;mso-position-horizontal-relative:page;mso-position-vertical-relative:page;z-index:251696128;mso-width-relative:page;mso-height-relative:page;" filled="f" stroked="f" coordsize="21600,21600" o:allowincell="f">
            <v:path/>
            <v:fill on="f" focussize="0,0"/>
            <v:stroke on="f"/>
            <v:imagedata o:title=""/>
            <o:lock v:ext="edit" aspectratio="f"/>
            <v:textbox inset="0mm,0mm,0mm,0mm">
              <w:txbxContent>
                <w:p w14:paraId="44858B71">
                  <w:pPr>
                    <w:spacing w:line="20" w:lineRule="exact"/>
                  </w:pPr>
                </w:p>
                <w:tbl>
                  <w:tblPr>
                    <w:tblStyle w:val="4"/>
                    <w:tblW w:w="585"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tblGrid>
                  <w:tr w14:paraId="58B47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585" w:type="dxa"/>
                        <w:tcBorders>
                          <w:left w:val="single" w:color="000000" w:sz="8" w:space="0"/>
                          <w:right w:val="single" w:color="000000" w:sz="10" w:space="0"/>
                        </w:tcBorders>
                        <w:shd w:val="clear" w:color="auto" w:fill="F79646"/>
                        <w:textDirection w:val="tbRlV"/>
                        <w:vAlign w:val="top"/>
                      </w:tcPr>
                      <w:p w14:paraId="1618F2B7">
                        <w:pPr>
                          <w:spacing w:before="136" w:line="289" w:lineRule="exact"/>
                          <w:ind w:left="541"/>
                          <w:rPr>
                            <w:rFonts w:ascii="宋体" w:hAnsi="宋体" w:eastAsia="宋体" w:cs="宋体"/>
                            <w:sz w:val="20"/>
                            <w:szCs w:val="20"/>
                          </w:rPr>
                        </w:pPr>
                        <w:r>
                          <w:rPr>
                            <w:rFonts w:ascii="Times New Roman" w:hAnsi="Times New Roman" w:eastAsia="Times New Roman" w:cs="Times New Roman"/>
                            <w:b/>
                            <w:bCs/>
                            <w:spacing w:val="10"/>
                            <w:position w:val="1"/>
                            <w:sz w:val="20"/>
                            <w:szCs w:val="20"/>
                          </w:rPr>
                          <w:t>1</w:t>
                        </w:r>
                        <w:r>
                          <w:rPr>
                            <w:rFonts w:ascii="Times New Roman" w:hAnsi="Times New Roman" w:eastAsia="Times New Roman" w:cs="Times New Roman"/>
                            <w:b/>
                            <w:bCs/>
                            <w:spacing w:val="6"/>
                            <w:position w:val="1"/>
                            <w:sz w:val="20"/>
                            <w:szCs w:val="20"/>
                          </w:rPr>
                          <w:t>#</w:t>
                        </w:r>
                        <w:r>
                          <w:rPr>
                            <w:rFonts w:ascii="宋体" w:hAnsi="宋体" w:eastAsia="宋体" w:cs="宋体"/>
                            <w:spacing w:val="6"/>
                            <w:position w:val="1"/>
                            <w:sz w:val="20"/>
                            <w:szCs w:val="20"/>
                            <w14:textOutline w14:w="3795" w14:cap="sq" w14:cmpd="sng">
                              <w14:solidFill>
                                <w14:srgbClr w14:val="000000"/>
                              </w14:solidFill>
                              <w14:prstDash w14:val="solid"/>
                              <w14:bevel/>
                            </w14:textOutline>
                          </w:rPr>
                          <w:t>员工休息室</w:t>
                        </w:r>
                      </w:p>
                    </w:tc>
                  </w:tr>
                  <w:tr w14:paraId="2D95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5" w:type="dxa"/>
                        <w:tcBorders>
                          <w:left w:val="single" w:color="000000" w:sz="10" w:space="0"/>
                          <w:right w:val="single" w:color="000000" w:sz="10" w:space="0"/>
                        </w:tcBorders>
                        <w:shd w:val="clear" w:color="auto" w:fill="D7E4BD"/>
                        <w:vAlign w:val="top"/>
                      </w:tcPr>
                      <w:p w14:paraId="0560853E">
                        <w:pPr>
                          <w:rPr>
                            <w:rFonts w:ascii="Arial"/>
                            <w:sz w:val="21"/>
                          </w:rPr>
                        </w:pPr>
                      </w:p>
                    </w:tc>
                  </w:tr>
                </w:tbl>
                <w:p w14:paraId="632A57D5">
                  <w:pPr>
                    <w:rPr>
                      <w:rFonts w:ascii="Arial"/>
                      <w:sz w:val="21"/>
                    </w:rPr>
                  </w:pPr>
                </w:p>
              </w:txbxContent>
            </v:textbox>
          </v:shape>
        </w:pict>
      </w:r>
      <w:r>
        <w:pict>
          <v:shape id="_x0000_s1067" o:spid="_x0000_s1067" o:spt="202" type="#_x0000_t202" style="position:absolute;left:0pt;margin-left:642.15pt;margin-top:205.4pt;height:99.2pt;width:51pt;mso-position-horizontal-relative:page;mso-position-vertical-relative:page;z-index:251695104;mso-width-relative:page;mso-height-relative:page;" filled="f" stroked="f" coordsize="21600,21600" o:allowincell="f">
            <v:path/>
            <v:fill on="f" focussize="0,0"/>
            <v:stroke on="f"/>
            <v:imagedata o:title=""/>
            <o:lock v:ext="edit" aspectratio="f"/>
            <v:textbox inset="0mm,0mm,0mm,0mm">
              <w:txbxContent>
                <w:p w14:paraId="6E9FED1F">
                  <w:pPr>
                    <w:spacing w:line="20" w:lineRule="exact"/>
                  </w:pPr>
                </w:p>
                <w:tbl>
                  <w:tblPr>
                    <w:tblStyle w:val="4"/>
                    <w:tblW w:w="95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54"/>
                  </w:tblGrid>
                  <w:tr w14:paraId="1BA0C7E8">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893" w:hRule="atLeast"/>
                    </w:trPr>
                    <w:tc>
                      <w:tcPr>
                        <w:tcW w:w="954" w:type="dxa"/>
                        <w:shd w:val="clear" w:color="auto" w:fill="C4BD97"/>
                        <w:vAlign w:val="top"/>
                      </w:tcPr>
                      <w:p w14:paraId="2612E9C3">
                        <w:pPr>
                          <w:spacing w:line="270" w:lineRule="auto"/>
                          <w:rPr>
                            <w:rFonts w:ascii="Arial"/>
                            <w:sz w:val="21"/>
                          </w:rPr>
                        </w:pPr>
                      </w:p>
                      <w:p w14:paraId="16113EC5">
                        <w:pPr>
                          <w:spacing w:line="271" w:lineRule="auto"/>
                          <w:rPr>
                            <w:rFonts w:ascii="Arial"/>
                            <w:sz w:val="21"/>
                          </w:rPr>
                        </w:pPr>
                      </w:p>
                      <w:p w14:paraId="34F395BA">
                        <w:pPr>
                          <w:spacing w:line="271" w:lineRule="auto"/>
                          <w:rPr>
                            <w:rFonts w:ascii="Arial"/>
                            <w:sz w:val="21"/>
                          </w:rPr>
                        </w:pPr>
                      </w:p>
                      <w:p w14:paraId="521C8CB5">
                        <w:pPr>
                          <w:spacing w:before="65" w:line="228" w:lineRule="auto"/>
                          <w:ind w:left="18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成品库</w:t>
                        </w:r>
                      </w:p>
                    </w:tc>
                  </w:tr>
                </w:tbl>
                <w:p w14:paraId="7446DF12">
                  <w:pPr>
                    <w:rPr>
                      <w:rFonts w:ascii="Arial"/>
                      <w:sz w:val="21"/>
                    </w:rPr>
                  </w:pPr>
                </w:p>
              </w:txbxContent>
            </v:textbox>
          </v:shape>
        </w:pict>
      </w:r>
      <w:r>
        <w:pict>
          <v:group id="_x0000_s1068" o:spid="_x0000_s1068" o:spt="203" style="position:absolute;left:0pt;margin-left:230.8pt;margin-top:291.3pt;height:41.4pt;width:107.8pt;mso-position-horizontal-relative:page;mso-position-vertical-relative:page;z-index:251712512;mso-width-relative:page;mso-height-relative:page;" coordsize="2156,828" o:allowincell="f">
            <o:lock v:ext="edit"/>
            <v:shape id="_x0000_s1069" o:spid="_x0000_s1069" o:spt="75" type="#_x0000_t75" style="position:absolute;left:0;top:0;height:828;width:2156;" filled="f" stroked="f" coordsize="21600,21600">
              <v:path/>
              <v:fill on="f" focussize="0,0"/>
              <v:stroke on="f"/>
              <v:imagedata r:id="rId399" o:title=""/>
              <o:lock v:ext="edit" aspectratio="t"/>
            </v:shape>
            <v:rect id="_x0000_s1070" o:spid="_x0000_s1070" o:spt="1" style="position:absolute;left:159;top:87;height:272;width:1800;" fillcolor="#FFFF00" filled="t" stroked="f" coordsize="21600,21600">
              <v:path/>
              <v:fill on="t" focussize="0,0"/>
              <v:stroke on="f"/>
              <v:imagedata o:title=""/>
              <o:lock v:ext="edit"/>
            </v:rect>
            <v:shape id="_x0000_s1071" o:spid="_x0000_s1071" o:spt="202" type="#_x0000_t202" style="position:absolute;left:149;top:134;height:252;width:1831;" filled="f" stroked="f" coordsize="21600,21600">
              <v:path/>
              <v:fill on="f" focussize="0,0"/>
              <v:stroke on="f"/>
              <v:imagedata o:title=""/>
              <o:lock v:ext="edit" aspectratio="f"/>
              <v:textbox inset="0mm,0mm,0mm,0mm">
                <w:txbxContent>
                  <w:p w14:paraId="5BDF83A1">
                    <w:pPr>
                      <w:spacing w:before="20" w:line="230" w:lineRule="auto"/>
                      <w:ind w:left="20"/>
                      <w:rPr>
                        <w:rFonts w:ascii="宋体" w:hAnsi="宋体" w:eastAsia="宋体" w:cs="宋体"/>
                        <w:sz w:val="17"/>
                        <w:szCs w:val="17"/>
                      </w:rPr>
                    </w:pPr>
                    <w:r>
                      <w:rPr>
                        <w:rFonts w:ascii="宋体" w:hAnsi="宋体" w:eastAsia="宋体" w:cs="宋体"/>
                        <w:spacing w:val="9"/>
                        <w:sz w:val="17"/>
                        <w:szCs w:val="17"/>
                      </w:rPr>
                      <w:t>一体化污水预处理设备</w:t>
                    </w:r>
                  </w:p>
                </w:txbxContent>
              </v:textbox>
            </v:shape>
          </v:group>
        </w:pict>
      </w:r>
      <w:r>
        <w:drawing>
          <wp:anchor distT="0" distB="0" distL="0" distR="0" simplePos="0" relativeHeight="251704320" behindDoc="0" locked="0" layoutInCell="0" allowOverlap="1">
            <wp:simplePos x="0" y="0"/>
            <wp:positionH relativeFrom="page">
              <wp:posOffset>5081905</wp:posOffset>
            </wp:positionH>
            <wp:positionV relativeFrom="page">
              <wp:posOffset>4015105</wp:posOffset>
            </wp:positionV>
            <wp:extent cx="81280" cy="8128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400"/>
                    <a:stretch>
                      <a:fillRect/>
                    </a:stretch>
                  </pic:blipFill>
                  <pic:spPr>
                    <a:xfrm>
                      <a:off x="0" y="0"/>
                      <a:ext cx="81292" cy="81292"/>
                    </a:xfrm>
                    <a:prstGeom prst="rect">
                      <a:avLst/>
                    </a:prstGeom>
                  </pic:spPr>
                </pic:pic>
              </a:graphicData>
            </a:graphic>
          </wp:anchor>
        </w:drawing>
      </w:r>
      <w:r>
        <mc:AlternateContent>
          <mc:Choice Requires="wps">
            <w:drawing>
              <wp:anchor distT="0" distB="0" distL="0" distR="0" simplePos="0" relativeHeight="251713536" behindDoc="0" locked="0" layoutInCell="0" allowOverlap="1">
                <wp:simplePos x="0" y="0"/>
                <wp:positionH relativeFrom="page">
                  <wp:posOffset>2933065</wp:posOffset>
                </wp:positionH>
                <wp:positionV relativeFrom="page">
                  <wp:posOffset>4555490</wp:posOffset>
                </wp:positionV>
                <wp:extent cx="153035" cy="207010"/>
                <wp:effectExtent l="0" t="0" r="0" b="0"/>
                <wp:wrapNone/>
                <wp:docPr id="24" name="TextBox 24"/>
                <wp:cNvGraphicFramePr/>
                <a:graphic xmlns:a="http://schemas.openxmlformats.org/drawingml/2006/main">
                  <a:graphicData uri="http://schemas.microsoft.com/office/word/2010/wordprocessingShape">
                    <wps:wsp>
                      <wps:cNvSpPr txBox="1"/>
                      <wps:spPr>
                        <a:xfrm rot="5400000">
                          <a:off x="2933262" y="4555719"/>
                          <a:ext cx="153035"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3C35179">
                            <w:pPr>
                              <w:spacing w:before="20" w:line="228"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沉</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230.95pt;margin-top:358.7pt;height:16.3pt;width:12.05pt;mso-position-horizontal-relative:page;mso-position-vertical-relative:page;rotation:5898240f;z-index:251713536;mso-width-relative:page;mso-height-relative:page;" filled="f" stroked="f" coordsize="21600,21600" o:allowincell="f" o:gfxdata="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Xkl91QAAAAsBAAAPAAAAAAAAAAEAIAAAACIAAABkcnMvZG93bnJldi54bWxQ&#10;SwECFAAUAAAACACHTuJAhHkCszMCAABsBAAADgAAAAAAAAABACAAAAAkAQAAZHJzL2Uyb0RvYy54&#10;bWxQSwUGAAAAAAYABgBZAQAAyQUAAAAA&#10;">
                <v:fill on="f" focussize="0,0"/>
                <v:stroke on="f" weight="0pt"/>
                <v:imagedata o:title=""/>
                <o:lock v:ext="edit" aspectratio="f"/>
                <v:textbox inset="0mm,0mm,0mm,0mm">
                  <w:txbxContent>
                    <w:p w14:paraId="13C35179">
                      <w:pPr>
                        <w:spacing w:before="20" w:line="228"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沉</w:t>
                      </w:r>
                    </w:p>
                  </w:txbxContent>
                </v:textbox>
              </v:shape>
            </w:pict>
          </mc:Fallback>
        </mc:AlternateContent>
      </w:r>
      <w:r>
        <w:pict>
          <v:shape id="_x0000_s1072" o:spid="_x0000_s1072" o:spt="202" type="#_x0000_t202" style="position:absolute;left:0pt;margin-left:220.35pt;margin-top:335.55pt;height:60.65pt;width:31.65pt;mso-position-horizontal-relative:page;mso-position-vertical-relative:page;z-index:251693056;mso-width-relative:page;mso-height-relative:page;" filled="f" stroked="f" coordsize="21600,21600" o:allowincell="f">
            <v:path/>
            <v:fill on="f" focussize="0,0"/>
            <v:stroke on="f"/>
            <v:imagedata o:title=""/>
            <o:lock v:ext="edit" aspectratio="f"/>
            <v:textbox inset="0mm,0mm,0mm,0mm">
              <w:txbxContent>
                <w:p w14:paraId="6A4A4860">
                  <w:pPr>
                    <w:spacing w:line="20" w:lineRule="exact"/>
                  </w:pPr>
                </w:p>
                <w:tbl>
                  <w:tblPr>
                    <w:tblStyle w:val="4"/>
                    <w:tblW w:w="56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67"/>
                  </w:tblGrid>
                  <w:tr w14:paraId="5EADBA3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122" w:hRule="atLeast"/>
                    </w:trPr>
                    <w:tc>
                      <w:tcPr>
                        <w:tcW w:w="567" w:type="dxa"/>
                        <w:shd w:val="clear" w:color="auto" w:fill="00B0F0"/>
                        <w:vAlign w:val="top"/>
                      </w:tcPr>
                      <w:p w14:paraId="18E08CD5">
                        <w:pPr>
                          <w:rPr>
                            <w:rFonts w:ascii="Arial"/>
                            <w:sz w:val="21"/>
                          </w:rPr>
                        </w:pPr>
                      </w:p>
                    </w:tc>
                  </w:tr>
                </w:tbl>
                <w:p w14:paraId="282CFA0E">
                  <w:pPr>
                    <w:rPr>
                      <w:rFonts w:ascii="Arial"/>
                      <w:sz w:val="21"/>
                    </w:rPr>
                  </w:pPr>
                </w:p>
              </w:txbxContent>
            </v:textbox>
          </v:shape>
        </w:pict>
      </w:r>
      <w:r>
        <w:pict>
          <v:shape id="_x0000_s1073" o:spid="_x0000_s1073" o:spt="202" type="#_x0000_t202" style="position:absolute;left:0pt;margin-left:524.45pt;margin-top:346.4pt;height:51pt;width:99.15pt;mso-position-horizontal-relative:page;mso-position-vertical-relative:page;z-index:251692032;mso-width-relative:page;mso-height-relative:page;" filled="f" stroked="f" coordsize="21600,21600" o:allowincell="f">
            <v:path/>
            <v:fill on="f" focussize="0,0"/>
            <v:stroke on="f"/>
            <v:imagedata o:title=""/>
            <o:lock v:ext="edit" aspectratio="f"/>
            <v:textbox inset="0mm,0mm,0mm,0mm">
              <w:txbxContent>
                <w:p w14:paraId="2249A052">
                  <w:pPr>
                    <w:spacing w:line="20" w:lineRule="exact"/>
                  </w:pPr>
                </w:p>
                <w:tbl>
                  <w:tblPr>
                    <w:tblStyle w:val="4"/>
                    <w:tblW w:w="191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917"/>
                  </w:tblGrid>
                  <w:tr w14:paraId="7F7398E3">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929" w:hRule="atLeast"/>
                    </w:trPr>
                    <w:tc>
                      <w:tcPr>
                        <w:tcW w:w="1917" w:type="dxa"/>
                        <w:shd w:val="clear" w:color="auto" w:fill="B7DEE8"/>
                        <w:vAlign w:val="top"/>
                      </w:tcPr>
                      <w:p w14:paraId="7DCB3DCB">
                        <w:pPr>
                          <w:spacing w:line="295" w:lineRule="auto"/>
                          <w:rPr>
                            <w:rFonts w:ascii="Arial"/>
                            <w:sz w:val="21"/>
                          </w:rPr>
                        </w:pPr>
                      </w:p>
                      <w:p w14:paraId="1CA9D7CA">
                        <w:pPr>
                          <w:spacing w:before="65" w:line="228" w:lineRule="auto"/>
                          <w:ind w:left="69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原料库</w:t>
                        </w:r>
                      </w:p>
                    </w:tc>
                  </w:tr>
                </w:tbl>
                <w:p w14:paraId="53D35D27">
                  <w:pPr>
                    <w:rPr>
                      <w:rFonts w:ascii="Arial"/>
                      <w:sz w:val="21"/>
                    </w:rPr>
                  </w:pPr>
                </w:p>
              </w:txbxContent>
            </v:textbox>
          </v:shape>
        </w:pict>
      </w:r>
      <w:r>
        <w:drawing>
          <wp:anchor distT="0" distB="0" distL="0" distR="0" simplePos="0" relativeHeight="251702272" behindDoc="0" locked="0" layoutInCell="0" allowOverlap="1">
            <wp:simplePos x="0" y="0"/>
            <wp:positionH relativeFrom="page">
              <wp:posOffset>3074035</wp:posOffset>
            </wp:positionH>
            <wp:positionV relativeFrom="page">
              <wp:posOffset>4175760</wp:posOffset>
            </wp:positionV>
            <wp:extent cx="117475" cy="117475"/>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401"/>
                    <a:stretch>
                      <a:fillRect/>
                    </a:stretch>
                  </pic:blipFill>
                  <pic:spPr>
                    <a:xfrm>
                      <a:off x="0" y="0"/>
                      <a:ext cx="117475" cy="117475"/>
                    </a:xfrm>
                    <a:prstGeom prst="rect">
                      <a:avLst/>
                    </a:prstGeom>
                  </pic:spPr>
                </pic:pic>
              </a:graphicData>
            </a:graphic>
          </wp:anchor>
        </w:drawing>
      </w:r>
      <w:r>
        <w:pict>
          <v:group id="_x0000_s1074" o:spid="_x0000_s1074" o:spt="203" style="position:absolute;left:0pt;margin-left:402.4pt;margin-top:284pt;height:36.05pt;width:51pt;mso-position-horizontal-relative:page;mso-position-vertical-relative:page;z-index:251703296;mso-width-relative:page;mso-height-relative:page;" coordsize="1020,720" o:allowincell="f">
            <o:lock v:ext="edit"/>
            <v:shape id="_x0000_s1075" o:spid="_x0000_s1075" o:spt="75" type="#_x0000_t75" style="position:absolute;left:0;top:0;height:720;width:1020;" filled="f" stroked="f" coordsize="21600,21600">
              <v:path/>
              <v:fill on="f" focussize="0,0"/>
              <v:stroke on="f"/>
              <v:imagedata r:id="rId402" o:title=""/>
              <o:lock v:ext="edit" aspectratio="t"/>
            </v:shape>
            <v:shape id="_x0000_s1076" o:spid="_x0000_s1076" o:spt="202" type="#_x0000_t202" style="position:absolute;left:-20;top:-20;height:760;width:1060;" filled="f" stroked="f" coordsize="21600,21600">
              <v:path/>
              <v:fill on="f" focussize="0,0"/>
              <v:stroke on="f"/>
              <v:imagedata o:title=""/>
              <o:lock v:ext="edit" aspectratio="f"/>
              <v:textbox inset="0mm,0mm,0mm,0mm">
                <w:txbxContent>
                  <w:p w14:paraId="6C7FC596">
                    <w:pPr>
                      <w:spacing w:before="117" w:line="289" w:lineRule="exact"/>
                      <w:ind w:left="78"/>
                      <w:rPr>
                        <w:rFonts w:ascii="宋体" w:hAnsi="宋体" w:eastAsia="宋体" w:cs="宋体"/>
                        <w:sz w:val="20"/>
                        <w:szCs w:val="20"/>
                      </w:rPr>
                    </w:pPr>
                    <w:r>
                      <w:rPr>
                        <w:rFonts w:ascii="Times New Roman" w:hAnsi="Times New Roman" w:eastAsia="Times New Roman" w:cs="Times New Roman"/>
                        <w:b/>
                        <w:bCs/>
                        <w:spacing w:val="6"/>
                        <w:position w:val="1"/>
                        <w:sz w:val="20"/>
                        <w:szCs w:val="20"/>
                      </w:rPr>
                      <w:t>1</w:t>
                    </w:r>
                    <w:r>
                      <w:rPr>
                        <w:rFonts w:ascii="Times New Roman" w:hAnsi="Times New Roman" w:eastAsia="Times New Roman" w:cs="Times New Roman"/>
                        <w:b/>
                        <w:bCs/>
                        <w:spacing w:val="5"/>
                        <w:position w:val="1"/>
                        <w:sz w:val="20"/>
                        <w:szCs w:val="20"/>
                      </w:rPr>
                      <w:t>#</w:t>
                    </w:r>
                    <w:r>
                      <w:rPr>
                        <w:rFonts w:ascii="宋体" w:hAnsi="宋体" w:eastAsia="宋体" w:cs="宋体"/>
                        <w:spacing w:val="5"/>
                        <w:position w:val="1"/>
                        <w:sz w:val="20"/>
                        <w:szCs w:val="20"/>
                        <w14:textOutline w14:w="3795" w14:cap="sq" w14:cmpd="sng">
                          <w14:solidFill>
                            <w14:srgbClr w14:val="000000"/>
                          </w14:solidFill>
                          <w14:prstDash w14:val="solid"/>
                          <w14:bevel/>
                        </w14:textOutline>
                      </w:rPr>
                      <w:t>排气筒</w:t>
                    </w:r>
                  </w:p>
                </w:txbxContent>
              </v:textbox>
            </v:shape>
          </v:group>
        </w:pict>
      </w:r>
      <w:r>
        <w:pict>
          <v:shape id="_x0000_s1077" o:spid="_x0000_s1077" o:spt="202" type="#_x0000_t202" style="position:absolute;left:0pt;margin-left:167.9pt;margin-top:162.25pt;height:244.2pt;width:533.7pt;mso-position-horizontal-relative:page;mso-position-vertical-relative:page;z-index:251691008;mso-width-relative:page;mso-height-relative:page;" filled="f" stroked="f" coordsize="21600,21600" o:allowincell="f">
            <v:path/>
            <v:fill on="f" focussize="0,0"/>
            <v:stroke on="f"/>
            <v:imagedata o:title=""/>
            <o:lock v:ext="edit" aspectratio="f"/>
            <v:textbox inset="0mm,0mm,0mm,0mm">
              <w:txbxContent>
                <w:p w14:paraId="36313F6F">
                  <w:pPr>
                    <w:spacing w:line="20" w:lineRule="exact"/>
                  </w:pPr>
                </w:p>
                <w:tbl>
                  <w:tblPr>
                    <w:tblStyle w:val="4"/>
                    <w:tblW w:w="10613" w:type="dxa"/>
                    <w:tblInd w:w="30" w:type="dxa"/>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Layout w:type="fixed"/>
                    <w:tblCellMar>
                      <w:top w:w="0" w:type="dxa"/>
                      <w:left w:w="0" w:type="dxa"/>
                      <w:bottom w:w="0" w:type="dxa"/>
                      <w:right w:w="0" w:type="dxa"/>
                    </w:tblCellMar>
                  </w:tblPr>
                  <w:tblGrid>
                    <w:gridCol w:w="10613"/>
                  </w:tblGrid>
                  <w:tr w14:paraId="5F5121BA">
                    <w:tblPrEx>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CellMar>
                        <w:top w:w="0" w:type="dxa"/>
                        <w:left w:w="0" w:type="dxa"/>
                        <w:bottom w:w="0" w:type="dxa"/>
                        <w:right w:w="0" w:type="dxa"/>
                      </w:tblCellMar>
                    </w:tblPrEx>
                    <w:trPr>
                      <w:trHeight w:val="4803" w:hRule="atLeast"/>
                    </w:trPr>
                    <w:tc>
                      <w:tcPr>
                        <w:tcW w:w="10613" w:type="dxa"/>
                        <w:vAlign w:val="top"/>
                      </w:tcPr>
                      <w:p w14:paraId="139EF828">
                        <w:pPr>
                          <w:spacing w:line="240" w:lineRule="exact"/>
                        </w:pPr>
                      </w:p>
                      <w:tbl>
                        <w:tblPr>
                          <w:tblStyle w:val="4"/>
                          <w:tblW w:w="5778"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9"/>
                          <w:gridCol w:w="3369"/>
                        </w:tblGrid>
                        <w:tr w14:paraId="43032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409" w:type="dxa"/>
                              <w:tcBorders>
                                <w:left w:val="single" w:color="000000" w:sz="10" w:space="0"/>
                                <w:right w:val="single" w:color="000000" w:sz="8" w:space="0"/>
                              </w:tcBorders>
                              <w:shd w:val="clear" w:color="auto" w:fill="F79646"/>
                              <w:vAlign w:val="top"/>
                            </w:tcPr>
                            <w:p w14:paraId="7C4449DA">
                              <w:pPr>
                                <w:spacing w:before="204" w:line="289" w:lineRule="exact"/>
                                <w:ind w:left="481"/>
                                <w:rPr>
                                  <w:rFonts w:ascii="宋体" w:hAnsi="宋体" w:eastAsia="宋体" w:cs="宋体"/>
                                  <w:sz w:val="20"/>
                                  <w:szCs w:val="20"/>
                                </w:rPr>
                              </w:pPr>
                              <w:r>
                                <w:rPr>
                                  <w:rFonts w:ascii="Times New Roman" w:hAnsi="Times New Roman" w:eastAsia="Times New Roman" w:cs="Times New Roman"/>
                                  <w:b/>
                                  <w:bCs/>
                                  <w:spacing w:val="8"/>
                                  <w:position w:val="1"/>
                                  <w:sz w:val="20"/>
                                  <w:szCs w:val="20"/>
                                </w:rPr>
                                <w:t>2#</w:t>
                              </w:r>
                              <w:r>
                                <w:rPr>
                                  <w:rFonts w:ascii="宋体" w:hAnsi="宋体" w:eastAsia="宋体" w:cs="宋体"/>
                                  <w:spacing w:val="8"/>
                                  <w:position w:val="1"/>
                                  <w:sz w:val="20"/>
                                  <w:szCs w:val="20"/>
                                  <w14:textOutline w14:w="3795" w14:cap="sq" w14:cmpd="sng">
                                    <w14:solidFill>
                                      <w14:srgbClr w14:val="000000"/>
                                    </w14:solidFill>
                                    <w14:prstDash w14:val="solid"/>
                                    <w14:bevel/>
                                  </w14:textOutline>
                                </w:rPr>
                                <w:t>员工休息</w:t>
                              </w:r>
                              <w:r>
                                <w:rPr>
                                  <w:rFonts w:ascii="宋体" w:hAnsi="宋体" w:eastAsia="宋体" w:cs="宋体"/>
                                  <w:spacing w:val="7"/>
                                  <w:position w:val="1"/>
                                  <w:sz w:val="20"/>
                                  <w:szCs w:val="20"/>
                                  <w14:textOutline w14:w="3795" w14:cap="sq" w14:cmpd="sng">
                                    <w14:solidFill>
                                      <w14:srgbClr w14:val="000000"/>
                                    </w14:solidFill>
                                    <w14:prstDash w14:val="solid"/>
                                    <w14:bevel/>
                                  </w14:textOutline>
                                </w:rPr>
                                <w:t>室</w:t>
                              </w:r>
                            </w:p>
                          </w:tc>
                          <w:tc>
                            <w:tcPr>
                              <w:tcW w:w="3369" w:type="dxa"/>
                              <w:tcBorders>
                                <w:left w:val="single" w:color="000000" w:sz="8" w:space="0"/>
                                <w:right w:val="single" w:color="000000" w:sz="10" w:space="0"/>
                              </w:tcBorders>
                              <w:shd w:val="clear" w:color="auto" w:fill="9BBB59"/>
                              <w:vAlign w:val="top"/>
                            </w:tcPr>
                            <w:p w14:paraId="17A04855">
                              <w:pPr>
                                <w:spacing w:before="251" w:line="228" w:lineRule="auto"/>
                                <w:ind w:left="137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办</w:t>
                              </w:r>
                              <w:r>
                                <w:rPr>
                                  <w:rFonts w:ascii="宋体" w:hAnsi="宋体" w:eastAsia="宋体" w:cs="宋体"/>
                                  <w:spacing w:val="6"/>
                                  <w:sz w:val="20"/>
                                  <w:szCs w:val="20"/>
                                  <w14:textOutline w14:w="3795" w14:cap="sq" w14:cmpd="sng">
                                    <w14:solidFill>
                                      <w14:srgbClr w14:val="000000"/>
                                    </w14:solidFill>
                                    <w14:prstDash w14:val="solid"/>
                                    <w14:bevel/>
                                  </w14:textOutline>
                                </w:rPr>
                                <w:t>公室</w:t>
                              </w:r>
                            </w:p>
                          </w:tc>
                        </w:tr>
                      </w:tbl>
                      <w:p w14:paraId="6F74B4A1"/>
                      <w:p w14:paraId="21D9B0C7"/>
                      <w:p w14:paraId="20F73482"/>
                      <w:p w14:paraId="66B1047C"/>
                      <w:p w14:paraId="0C08393B"/>
                      <w:p w14:paraId="29A2D660"/>
                      <w:p w14:paraId="36829149"/>
                      <w:p w14:paraId="0EAB45EA"/>
                      <w:p w14:paraId="346321C5"/>
                      <w:p w14:paraId="56A11F97">
                        <w:pPr>
                          <w:spacing w:line="62" w:lineRule="exact"/>
                        </w:pPr>
                      </w:p>
                      <w:tbl>
                        <w:tblPr>
                          <w:tblStyle w:val="4"/>
                          <w:tblW w:w="3850" w:type="dxa"/>
                          <w:tblInd w:w="1749"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850"/>
                        </w:tblGrid>
                        <w:tr w14:paraId="3B20BBF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421" w:hRule="atLeast"/>
                          </w:trPr>
                          <w:tc>
                            <w:tcPr>
                              <w:tcW w:w="3850" w:type="dxa"/>
                              <w:shd w:val="clear" w:color="auto" w:fill="CCC1DA"/>
                              <w:vAlign w:val="top"/>
                            </w:tcPr>
                            <w:p w14:paraId="3A38F445">
                              <w:pPr>
                                <w:spacing w:line="271" w:lineRule="auto"/>
                                <w:rPr>
                                  <w:rFonts w:ascii="Arial"/>
                                  <w:sz w:val="21"/>
                                </w:rPr>
                              </w:pPr>
                            </w:p>
                            <w:p w14:paraId="378D1CBE">
                              <w:pPr>
                                <w:spacing w:line="271" w:lineRule="auto"/>
                                <w:rPr>
                                  <w:rFonts w:ascii="Arial"/>
                                  <w:sz w:val="21"/>
                                </w:rPr>
                              </w:pPr>
                            </w:p>
                            <w:p w14:paraId="7ACFAB8C">
                              <w:pPr>
                                <w:spacing w:before="65" w:line="228" w:lineRule="auto"/>
                                <w:ind w:left="145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生产厂房</w:t>
                              </w:r>
                            </w:p>
                          </w:tc>
                        </w:tr>
                      </w:tbl>
                      <w:p w14:paraId="7A9A654D">
                        <w:pPr>
                          <w:spacing w:line="175" w:lineRule="exact"/>
                          <w:rPr>
                            <w:rFonts w:ascii="Arial"/>
                            <w:sz w:val="15"/>
                          </w:rPr>
                        </w:pPr>
                      </w:p>
                    </w:tc>
                  </w:tr>
                </w:tbl>
                <w:p w14:paraId="1363FC66">
                  <w:pPr>
                    <w:rPr>
                      <w:rFonts w:ascii="Arial"/>
                      <w:sz w:val="21"/>
                    </w:rPr>
                  </w:pPr>
                </w:p>
              </w:txbxContent>
            </v:textbox>
          </v:shape>
        </w:pict>
      </w:r>
      <w:r>
        <w:pict>
          <v:shape id="_x0000_s1078" o:spid="_x0000_s1078" o:spt="202" type="#_x0000_t202" style="position:absolute;left:0pt;margin-left:202.3pt;margin-top:420pt;height:14.45pt;width:22.4pt;mso-position-horizontal-relative:page;mso-position-vertical-relative:page;z-index:251707392;mso-width-relative:page;mso-height-relative:page;" filled="f" stroked="f" coordsize="21600,21600" o:allowincell="f">
            <v:path/>
            <v:fill on="f" focussize="0,0"/>
            <v:stroke on="f"/>
            <v:imagedata o:title=""/>
            <o:lock v:ext="edit" aspectratio="f"/>
            <v:textbox inset="0mm,0mm,0mm,0mm">
              <w:txbxContent>
                <w:p w14:paraId="0A2014B8">
                  <w:pPr>
                    <w:spacing w:before="20" w:line="229" w:lineRule="auto"/>
                    <w:ind w:left="20"/>
                    <w:rPr>
                      <w:rFonts w:ascii="宋体" w:hAnsi="宋体" w:eastAsia="宋体" w:cs="宋体"/>
                      <w:sz w:val="20"/>
                      <w:szCs w:val="20"/>
                    </w:rPr>
                  </w:pPr>
                  <w:r>
                    <w:rPr>
                      <w:rFonts w:ascii="宋体" w:hAnsi="宋体" w:eastAsia="宋体" w:cs="宋体"/>
                      <w:spacing w:val="4"/>
                      <w:sz w:val="20"/>
                      <w:szCs w:val="20"/>
                    </w:rPr>
                    <w:t>旱</w:t>
                  </w:r>
                  <w:r>
                    <w:rPr>
                      <w:rFonts w:ascii="宋体" w:hAnsi="宋体" w:eastAsia="宋体" w:cs="宋体"/>
                      <w:spacing w:val="3"/>
                      <w:sz w:val="20"/>
                      <w:szCs w:val="20"/>
                    </w:rPr>
                    <w:t>厕</w:t>
                  </w:r>
                </w:p>
              </w:txbxContent>
            </v:textbox>
          </v:shape>
        </w:pict>
      </w:r>
    </w:p>
    <w:p w14:paraId="6C5669B1">
      <w:pPr>
        <w:spacing w:line="243" w:lineRule="auto"/>
        <w:rPr>
          <w:rFonts w:ascii="Arial"/>
          <w:sz w:val="21"/>
        </w:rPr>
      </w:pPr>
    </w:p>
    <w:p w14:paraId="3B2A72E6">
      <w:pPr>
        <w:spacing w:line="243" w:lineRule="auto"/>
        <w:rPr>
          <w:rFonts w:ascii="Arial"/>
          <w:sz w:val="21"/>
        </w:rPr>
      </w:pPr>
    </w:p>
    <w:p w14:paraId="5E8124B2">
      <w:pPr>
        <w:spacing w:line="243" w:lineRule="auto"/>
        <w:rPr>
          <w:rFonts w:ascii="Arial"/>
          <w:sz w:val="21"/>
        </w:rPr>
      </w:pPr>
    </w:p>
    <w:p w14:paraId="0902BCA6">
      <w:pPr>
        <w:spacing w:line="243" w:lineRule="auto"/>
        <w:rPr>
          <w:rFonts w:ascii="Arial"/>
          <w:sz w:val="21"/>
        </w:rPr>
      </w:pPr>
    </w:p>
    <w:p w14:paraId="2F58812E">
      <w:pPr>
        <w:spacing w:line="243" w:lineRule="auto"/>
        <w:rPr>
          <w:rFonts w:ascii="Arial"/>
          <w:sz w:val="21"/>
        </w:rPr>
      </w:pPr>
    </w:p>
    <w:p w14:paraId="634A0FDF">
      <w:pPr>
        <w:spacing w:line="243" w:lineRule="auto"/>
        <w:rPr>
          <w:rFonts w:ascii="Arial"/>
          <w:sz w:val="21"/>
        </w:rPr>
      </w:pPr>
    </w:p>
    <w:p w14:paraId="6165DC83">
      <w:pPr>
        <w:spacing w:line="243" w:lineRule="auto"/>
        <w:rPr>
          <w:rFonts w:ascii="Arial"/>
          <w:sz w:val="21"/>
        </w:rPr>
      </w:pPr>
    </w:p>
    <w:p w14:paraId="1B4FC733">
      <w:pPr>
        <w:spacing w:line="243" w:lineRule="auto"/>
        <w:rPr>
          <w:rFonts w:ascii="Arial"/>
          <w:sz w:val="21"/>
        </w:rPr>
      </w:pPr>
    </w:p>
    <w:p w14:paraId="2CC2FF2B">
      <w:pPr>
        <w:spacing w:line="243" w:lineRule="auto"/>
        <w:rPr>
          <w:rFonts w:ascii="Arial"/>
          <w:sz w:val="21"/>
        </w:rPr>
      </w:pPr>
    </w:p>
    <w:p w14:paraId="167315D1">
      <w:pPr>
        <w:spacing w:line="243" w:lineRule="auto"/>
        <w:rPr>
          <w:rFonts w:ascii="Arial"/>
          <w:sz w:val="21"/>
        </w:rPr>
      </w:pPr>
    </w:p>
    <w:p w14:paraId="01DBF7E6">
      <w:pPr>
        <w:spacing w:line="243" w:lineRule="auto"/>
        <w:rPr>
          <w:rFonts w:ascii="Arial"/>
          <w:sz w:val="21"/>
        </w:rPr>
      </w:pPr>
    </w:p>
    <w:p w14:paraId="1CC5E6E4">
      <w:pPr>
        <w:spacing w:line="243" w:lineRule="auto"/>
        <w:rPr>
          <w:rFonts w:ascii="Arial"/>
          <w:sz w:val="21"/>
        </w:rPr>
      </w:pPr>
    </w:p>
    <w:p w14:paraId="317896E6">
      <w:pPr>
        <w:spacing w:line="243" w:lineRule="auto"/>
        <w:rPr>
          <w:rFonts w:ascii="Arial"/>
          <w:sz w:val="21"/>
        </w:rPr>
      </w:pPr>
    </w:p>
    <w:p w14:paraId="1BA8C280">
      <w:pPr>
        <w:spacing w:line="243" w:lineRule="auto"/>
        <w:rPr>
          <w:rFonts w:ascii="Arial"/>
          <w:sz w:val="21"/>
        </w:rPr>
      </w:pPr>
    </w:p>
    <w:p w14:paraId="60F97806">
      <w:pPr>
        <w:spacing w:line="243" w:lineRule="auto"/>
        <w:rPr>
          <w:rFonts w:ascii="Arial"/>
          <w:sz w:val="21"/>
        </w:rPr>
      </w:pPr>
    </w:p>
    <w:p w14:paraId="4E062097">
      <w:pPr>
        <w:spacing w:line="243" w:lineRule="auto"/>
        <w:rPr>
          <w:rFonts w:ascii="Arial"/>
          <w:sz w:val="21"/>
        </w:rPr>
      </w:pPr>
    </w:p>
    <w:p w14:paraId="3DF24E51">
      <w:pPr>
        <w:spacing w:line="243" w:lineRule="auto"/>
        <w:rPr>
          <w:rFonts w:ascii="Arial"/>
          <w:sz w:val="21"/>
        </w:rPr>
      </w:pPr>
    </w:p>
    <w:p w14:paraId="249FF6F1">
      <w:pPr>
        <w:spacing w:line="243" w:lineRule="auto"/>
        <w:rPr>
          <w:rFonts w:ascii="Arial"/>
          <w:sz w:val="21"/>
        </w:rPr>
      </w:pPr>
    </w:p>
    <w:p w14:paraId="19A18FDA">
      <w:pPr>
        <w:spacing w:line="243" w:lineRule="auto"/>
        <w:rPr>
          <w:rFonts w:ascii="Arial"/>
          <w:sz w:val="21"/>
        </w:rPr>
      </w:pPr>
    </w:p>
    <w:p w14:paraId="3F633B83">
      <w:pPr>
        <w:spacing w:line="243" w:lineRule="auto"/>
        <w:rPr>
          <w:rFonts w:ascii="Arial"/>
          <w:sz w:val="21"/>
        </w:rPr>
      </w:pPr>
    </w:p>
    <w:p w14:paraId="1E843A83">
      <w:pPr>
        <w:spacing w:line="243" w:lineRule="auto"/>
        <w:rPr>
          <w:rFonts w:ascii="Arial"/>
          <w:sz w:val="21"/>
        </w:rPr>
      </w:pPr>
    </w:p>
    <w:p w14:paraId="78E2E177">
      <w:pPr>
        <w:spacing w:line="244" w:lineRule="auto"/>
        <w:rPr>
          <w:rFonts w:ascii="Arial"/>
          <w:sz w:val="21"/>
        </w:rPr>
      </w:pPr>
    </w:p>
    <w:p w14:paraId="0A444175">
      <w:pPr>
        <w:spacing w:line="244" w:lineRule="auto"/>
        <w:rPr>
          <w:rFonts w:ascii="Arial"/>
          <w:sz w:val="21"/>
        </w:rPr>
      </w:pPr>
    </w:p>
    <w:p w14:paraId="64787AAA">
      <w:pPr>
        <w:spacing w:line="244" w:lineRule="auto"/>
        <w:rPr>
          <w:rFonts w:ascii="Arial"/>
          <w:sz w:val="21"/>
        </w:rPr>
      </w:pPr>
    </w:p>
    <w:p w14:paraId="14FDF6D5">
      <w:pPr>
        <w:spacing w:line="244" w:lineRule="auto"/>
        <w:rPr>
          <w:rFonts w:ascii="Arial"/>
          <w:sz w:val="21"/>
        </w:rPr>
      </w:pPr>
    </w:p>
    <w:p w14:paraId="06287FF3">
      <w:pPr>
        <w:spacing w:line="244" w:lineRule="auto"/>
        <w:rPr>
          <w:rFonts w:ascii="Arial"/>
          <w:sz w:val="21"/>
        </w:rPr>
      </w:pPr>
    </w:p>
    <w:p w14:paraId="4C1FFCA8">
      <w:pPr>
        <w:spacing w:line="244" w:lineRule="auto"/>
        <w:rPr>
          <w:rFonts w:ascii="Arial"/>
          <w:sz w:val="21"/>
        </w:rPr>
      </w:pPr>
    </w:p>
    <w:p w14:paraId="30FE26CF">
      <w:pPr>
        <w:spacing w:line="244" w:lineRule="auto"/>
        <w:rPr>
          <w:rFonts w:ascii="Arial"/>
          <w:sz w:val="21"/>
        </w:rPr>
      </w:pPr>
    </w:p>
    <w:p w14:paraId="748C5733">
      <w:pPr>
        <w:spacing w:line="244" w:lineRule="auto"/>
        <w:rPr>
          <w:rFonts w:ascii="Arial"/>
          <w:sz w:val="21"/>
        </w:rPr>
      </w:pPr>
    </w:p>
    <w:p w14:paraId="18858C27">
      <w:pPr>
        <w:spacing w:line="244" w:lineRule="auto"/>
        <w:rPr>
          <w:rFonts w:ascii="Arial"/>
          <w:sz w:val="21"/>
        </w:rPr>
      </w:pPr>
    </w:p>
    <w:p w14:paraId="1F59DD73">
      <w:pPr>
        <w:spacing w:line="244" w:lineRule="auto"/>
        <w:rPr>
          <w:rFonts w:ascii="Arial"/>
          <w:sz w:val="21"/>
        </w:rPr>
      </w:pPr>
    </w:p>
    <w:p w14:paraId="29CCA542">
      <w:pPr>
        <w:spacing w:line="244" w:lineRule="auto"/>
        <w:rPr>
          <w:rFonts w:ascii="Arial"/>
          <w:sz w:val="21"/>
        </w:rPr>
      </w:pPr>
    </w:p>
    <w:p w14:paraId="426EF54B">
      <w:pPr>
        <w:spacing w:line="244" w:lineRule="auto"/>
        <w:rPr>
          <w:rFonts w:ascii="Arial"/>
          <w:sz w:val="21"/>
        </w:rPr>
      </w:pPr>
    </w:p>
    <w:p w14:paraId="2A7AEC78">
      <w:pPr>
        <w:spacing w:line="540" w:lineRule="exact"/>
        <w:ind w:firstLine="5245"/>
        <w:textAlignment w:val="center"/>
      </w:pPr>
      <w:r>
        <w:pict>
          <v:shape id="_x0000_s1079" o:spid="_x0000_s1079" o:spt="202" type="#_x0000_t202" style="height:27pt;width:198.25pt;" fillcolor="#FFFF00" filled="t" stroked="f" coordsize="21600,21600">
            <v:path/>
            <v:fill on="t" focussize="0,0"/>
            <v:stroke on="f"/>
            <v:imagedata o:title=""/>
            <o:lock v:ext="edit" aspectratio="f"/>
            <v:textbox inset="0mm,0mm,0mm,0mm">
              <w:txbxContent>
                <w:p w14:paraId="7913C28D">
                  <w:pPr>
                    <w:spacing w:before="226" w:line="227" w:lineRule="auto"/>
                    <w:ind w:left="3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图</w:t>
                  </w:r>
                  <w:r>
                    <w:rPr>
                      <w:rFonts w:ascii="宋体" w:hAnsi="宋体" w:eastAsia="宋体" w:cs="宋体"/>
                      <w:spacing w:val="9"/>
                      <w:sz w:val="23"/>
                      <w:szCs w:val="23"/>
                    </w:rPr>
                    <w:t xml:space="preserve"> </w:t>
                  </w:r>
                  <w:r>
                    <w:rPr>
                      <w:rFonts w:ascii="Times New Roman" w:hAnsi="Times New Roman" w:eastAsia="Times New Roman" w:cs="Times New Roman"/>
                      <w:b/>
                      <w:bCs/>
                      <w:spacing w:val="9"/>
                      <w:sz w:val="23"/>
                      <w:szCs w:val="23"/>
                    </w:rPr>
                    <w:t>1-2</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建设项目厂区平面布置</w:t>
                  </w:r>
                  <w:r>
                    <w:rPr>
                      <w:rFonts w:ascii="宋体" w:hAnsi="宋体" w:eastAsia="宋体" w:cs="宋体"/>
                      <w:spacing w:val="4"/>
                      <w:sz w:val="23"/>
                      <w:szCs w:val="23"/>
                      <w14:textOutline w14:w="4358" w14:cap="sq" w14:cmpd="sng">
                        <w14:solidFill>
                          <w14:srgbClr w14:val="000000"/>
                        </w14:solidFill>
                        <w14:prstDash w14:val="solid"/>
                        <w14:bevel/>
                      </w14:textOutline>
                    </w:rPr>
                    <w:t>图</w:t>
                  </w:r>
                </w:p>
              </w:txbxContent>
            </v:textbox>
            <w10:wrap type="none"/>
            <w10:anchorlock/>
          </v:shape>
        </w:pict>
      </w:r>
    </w:p>
    <w:p w14:paraId="53A8F6F9">
      <w:pPr>
        <w:sectPr>
          <w:headerReference r:id="rId40" w:type="default"/>
          <w:footerReference r:id="rId41" w:type="default"/>
          <w:pgSz w:w="16839" w:h="11906"/>
          <w:pgMar w:top="1132" w:right="1253" w:bottom="899" w:left="1403" w:header="878" w:footer="739" w:gutter="0"/>
          <w:cols w:space="720" w:num="1"/>
        </w:sectPr>
      </w:pPr>
    </w:p>
    <w:p w14:paraId="349185BD">
      <w:pPr>
        <w:spacing w:line="432" w:lineRule="auto"/>
        <w:rPr>
          <w:rFonts w:ascii="Arial"/>
          <w:sz w:val="21"/>
        </w:rPr>
      </w:pPr>
      <w:r>
        <w:pict>
          <v:shape id="_x0000_s1080" o:spid="_x0000_s1080" style="position:absolute;left:0pt;margin-left:90pt;margin-top:57.35pt;height:0.75pt;width:415.3pt;mso-position-horizontal-relative:page;mso-position-vertical-relative:page;z-index:251717632;mso-width-relative:page;mso-height-relative:page;" fillcolor="#000000" filled="t" stroked="f" coordsize="8305,15" o:allowincell="f" path="m0,0l8305,0,8305,14,0,14,0,0xe">
            <v:path/>
            <v:fill on="t" focussize="0,0"/>
            <v:stroke on="f"/>
            <v:imagedata o:title=""/>
            <o:lock v:ext="edit"/>
          </v:shape>
        </w:pict>
      </w:r>
    </w:p>
    <w:p w14:paraId="26D4C5D1">
      <w:pPr>
        <w:spacing w:before="114" w:line="225" w:lineRule="auto"/>
        <w:ind w:left="22"/>
        <w:outlineLvl w:val="0"/>
        <w:rPr>
          <w:rFonts w:ascii="宋体" w:hAnsi="宋体" w:eastAsia="宋体" w:cs="宋体"/>
          <w:sz w:val="35"/>
          <w:szCs w:val="35"/>
        </w:rPr>
      </w:pPr>
      <w:bookmarkStart w:id="6" w:name="_bookmark7"/>
      <w:bookmarkEnd w:id="6"/>
      <w:r>
        <w:rPr>
          <w:rFonts w:ascii="Times New Roman" w:hAnsi="Times New Roman" w:eastAsia="Times New Roman" w:cs="Times New Roman"/>
          <w:b/>
          <w:bCs/>
          <w:spacing w:val="-1"/>
          <w:sz w:val="35"/>
          <w:szCs w:val="35"/>
        </w:rPr>
        <w:t>2</w:t>
      </w:r>
      <w:r>
        <w:rPr>
          <w:rFonts w:ascii="Times New Roman" w:hAnsi="Times New Roman" w:eastAsia="Times New Roman" w:cs="Times New Roman"/>
          <w:spacing w:val="-1"/>
          <w:sz w:val="35"/>
          <w:szCs w:val="35"/>
        </w:rPr>
        <w:t xml:space="preserve">  </w:t>
      </w:r>
      <w:r>
        <w:rPr>
          <w:rFonts w:ascii="宋体" w:hAnsi="宋体" w:eastAsia="宋体" w:cs="宋体"/>
          <w:spacing w:val="-1"/>
          <w:sz w:val="35"/>
          <w:szCs w:val="35"/>
          <w14:textOutline w14:w="6537" w14:cap="sq" w14:cmpd="sng">
            <w14:solidFill>
              <w14:srgbClr w14:val="000000"/>
            </w14:solidFill>
            <w14:prstDash w14:val="solid"/>
            <w14:bevel/>
          </w14:textOutline>
        </w:rPr>
        <w:t>总</w:t>
      </w:r>
      <w:r>
        <w:rPr>
          <w:rFonts w:ascii="宋体" w:hAnsi="宋体" w:eastAsia="宋体" w:cs="宋体"/>
          <w:sz w:val="35"/>
          <w:szCs w:val="35"/>
          <w14:textOutline w14:w="6537" w14:cap="sq" w14:cmpd="sng">
            <w14:solidFill>
              <w14:srgbClr w14:val="000000"/>
            </w14:solidFill>
            <w14:prstDash w14:val="solid"/>
            <w14:bevel/>
          </w14:textOutline>
        </w:rPr>
        <w:t>则</w:t>
      </w:r>
    </w:p>
    <w:p w14:paraId="14A23876">
      <w:pPr>
        <w:spacing w:before="256" w:line="223" w:lineRule="auto"/>
        <w:ind w:left="21"/>
        <w:outlineLvl w:val="1"/>
        <w:rPr>
          <w:rFonts w:ascii="宋体" w:hAnsi="宋体" w:eastAsia="宋体" w:cs="宋体"/>
          <w:sz w:val="31"/>
          <w:szCs w:val="31"/>
        </w:rPr>
      </w:pPr>
      <w:bookmarkStart w:id="7" w:name="_bookmark8"/>
      <w:bookmarkEnd w:id="7"/>
      <w:r>
        <w:rPr>
          <w:rFonts w:ascii="Times New Roman" w:hAnsi="Times New Roman" w:eastAsia="Times New Roman" w:cs="Times New Roman"/>
          <w:b/>
          <w:bCs/>
          <w:spacing w:val="9"/>
          <w:sz w:val="31"/>
          <w:szCs w:val="31"/>
        </w:rPr>
        <w:t>2</w:t>
      </w:r>
      <w:r>
        <w:rPr>
          <w:rFonts w:ascii="Times New Roman" w:hAnsi="Times New Roman" w:eastAsia="Times New Roman" w:cs="Times New Roman"/>
          <w:b/>
          <w:bCs/>
          <w:spacing w:val="5"/>
          <w:sz w:val="31"/>
          <w:szCs w:val="31"/>
        </w:rPr>
        <w:t>.1</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评价目的与原则</w:t>
      </w:r>
    </w:p>
    <w:p w14:paraId="6BEFEBD5">
      <w:pPr>
        <w:spacing w:before="289" w:line="224" w:lineRule="auto"/>
        <w:ind w:left="21"/>
        <w:outlineLvl w:val="2"/>
        <w:rPr>
          <w:rFonts w:ascii="宋体" w:hAnsi="宋体" w:eastAsia="宋体" w:cs="宋体"/>
          <w:sz w:val="29"/>
          <w:szCs w:val="29"/>
        </w:rPr>
      </w:pPr>
      <w:r>
        <w:rPr>
          <w:rFonts w:ascii="Times New Roman" w:hAnsi="Times New Roman" w:eastAsia="Times New Roman" w:cs="Times New Roman"/>
          <w:b/>
          <w:bCs/>
          <w:spacing w:val="10"/>
          <w:sz w:val="29"/>
          <w:szCs w:val="29"/>
        </w:rPr>
        <w:t>2</w:t>
      </w:r>
      <w:r>
        <w:rPr>
          <w:rFonts w:ascii="Times New Roman" w:hAnsi="Times New Roman" w:eastAsia="Times New Roman" w:cs="Times New Roman"/>
          <w:b/>
          <w:bCs/>
          <w:spacing w:val="6"/>
          <w:sz w:val="29"/>
          <w:szCs w:val="29"/>
        </w:rPr>
        <w:t>.</w:t>
      </w:r>
      <w:r>
        <w:rPr>
          <w:rFonts w:ascii="Times New Roman" w:hAnsi="Times New Roman" w:eastAsia="Times New Roman" w:cs="Times New Roman"/>
          <w:b/>
          <w:bCs/>
          <w:spacing w:val="5"/>
          <w:sz w:val="29"/>
          <w:szCs w:val="29"/>
        </w:rPr>
        <w:t>1.1</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评价目的</w:t>
      </w:r>
    </w:p>
    <w:p w14:paraId="2F90810D">
      <w:pPr>
        <w:spacing w:line="272" w:lineRule="auto"/>
        <w:rPr>
          <w:rFonts w:ascii="Arial"/>
          <w:sz w:val="21"/>
        </w:rPr>
      </w:pPr>
    </w:p>
    <w:p w14:paraId="21B96648">
      <w:pPr>
        <w:spacing w:before="74" w:line="387" w:lineRule="auto"/>
        <w:ind w:left="22" w:right="16" w:firstLine="452"/>
        <w:rPr>
          <w:rFonts w:ascii="宋体" w:hAnsi="宋体" w:eastAsia="宋体" w:cs="宋体"/>
          <w:sz w:val="23"/>
          <w:szCs w:val="23"/>
        </w:rPr>
      </w:pPr>
      <w:r>
        <w:rPr>
          <w:rFonts w:ascii="宋体" w:hAnsi="宋体" w:eastAsia="宋体" w:cs="宋体"/>
          <w:spacing w:val="1"/>
          <w:sz w:val="23"/>
          <w:szCs w:val="23"/>
        </w:rPr>
        <w:t>针对项目的特点，对项目所在区域环境概况进行现场</w:t>
      </w:r>
      <w:r>
        <w:rPr>
          <w:rFonts w:ascii="宋体" w:hAnsi="宋体" w:eastAsia="宋体" w:cs="宋体"/>
          <w:sz w:val="23"/>
          <w:szCs w:val="23"/>
        </w:rPr>
        <w:t xml:space="preserve">调查，在明确项目污染源 </w:t>
      </w:r>
      <w:r>
        <w:rPr>
          <w:rFonts w:ascii="宋体" w:hAnsi="宋体" w:eastAsia="宋体" w:cs="宋体"/>
          <w:spacing w:val="1"/>
          <w:sz w:val="23"/>
          <w:szCs w:val="23"/>
        </w:rPr>
        <w:t>及受纳环境本底情况的基础上，按</w:t>
      </w:r>
      <w:r>
        <w:rPr>
          <w:rFonts w:ascii="宋体" w:hAnsi="宋体" w:eastAsia="宋体" w:cs="宋体"/>
          <w:sz w:val="23"/>
          <w:szCs w:val="23"/>
        </w:rPr>
        <w:t xml:space="preserve">照国家和地方的有关法律、法规、标准的要求以 </w:t>
      </w:r>
      <w:r>
        <w:rPr>
          <w:rFonts w:ascii="宋体" w:hAnsi="宋体" w:eastAsia="宋体" w:cs="宋体"/>
          <w:spacing w:val="1"/>
          <w:sz w:val="23"/>
          <w:szCs w:val="23"/>
        </w:rPr>
        <w:t>及环保部对建设项目环境影响评价</w:t>
      </w:r>
      <w:r>
        <w:rPr>
          <w:rFonts w:ascii="宋体" w:hAnsi="宋体" w:eastAsia="宋体" w:cs="宋体"/>
          <w:sz w:val="23"/>
          <w:szCs w:val="23"/>
        </w:rPr>
        <w:t xml:space="preserve">报告书编制内容的规定编制科学合理、更具针对 </w:t>
      </w:r>
      <w:r>
        <w:rPr>
          <w:rFonts w:ascii="宋体" w:hAnsi="宋体" w:eastAsia="宋体" w:cs="宋体"/>
          <w:spacing w:val="1"/>
          <w:sz w:val="23"/>
          <w:szCs w:val="23"/>
        </w:rPr>
        <w:t>性和可操作性的环境影响报告书。</w:t>
      </w:r>
      <w:r>
        <w:rPr>
          <w:rFonts w:ascii="宋体" w:hAnsi="宋体" w:eastAsia="宋体" w:cs="宋体"/>
          <w:sz w:val="23"/>
          <w:szCs w:val="23"/>
        </w:rPr>
        <w:t xml:space="preserve">通过实地考察、环境质量现状监测、污染源调查 </w:t>
      </w:r>
      <w:r>
        <w:rPr>
          <w:rFonts w:ascii="宋体" w:hAnsi="宋体" w:eastAsia="宋体" w:cs="宋体"/>
          <w:spacing w:val="1"/>
          <w:sz w:val="23"/>
          <w:szCs w:val="23"/>
        </w:rPr>
        <w:t>以及环境影响预测等系统工作，全</w:t>
      </w:r>
      <w:r>
        <w:rPr>
          <w:rFonts w:ascii="宋体" w:hAnsi="宋体" w:eastAsia="宋体" w:cs="宋体"/>
          <w:sz w:val="23"/>
          <w:szCs w:val="23"/>
        </w:rPr>
        <w:t xml:space="preserve">面分析该项目在施工期、运营期的环境影响特点 </w:t>
      </w:r>
      <w:r>
        <w:rPr>
          <w:rFonts w:ascii="宋体" w:hAnsi="宋体" w:eastAsia="宋体" w:cs="宋体"/>
          <w:spacing w:val="1"/>
          <w:sz w:val="23"/>
          <w:szCs w:val="23"/>
        </w:rPr>
        <w:t>及影响范围、程度。从环境角度评</w:t>
      </w:r>
      <w:r>
        <w:rPr>
          <w:rFonts w:ascii="宋体" w:hAnsi="宋体" w:eastAsia="宋体" w:cs="宋体"/>
          <w:sz w:val="23"/>
          <w:szCs w:val="23"/>
        </w:rPr>
        <w:t xml:space="preserve">价工程的可行性，为建设单位和环境管理部门提 </w:t>
      </w:r>
      <w:r>
        <w:rPr>
          <w:rFonts w:ascii="宋体" w:hAnsi="宋体" w:eastAsia="宋体" w:cs="宋体"/>
          <w:spacing w:val="-2"/>
          <w:sz w:val="23"/>
          <w:szCs w:val="23"/>
        </w:rPr>
        <w:t>供科学依据。</w:t>
      </w:r>
    </w:p>
    <w:p w14:paraId="06D2EEBF">
      <w:pPr>
        <w:spacing w:before="98" w:line="224" w:lineRule="auto"/>
        <w:ind w:left="21"/>
        <w:outlineLvl w:val="2"/>
        <w:rPr>
          <w:rFonts w:ascii="宋体" w:hAnsi="宋体" w:eastAsia="宋体" w:cs="宋体"/>
          <w:sz w:val="29"/>
          <w:szCs w:val="29"/>
        </w:rPr>
      </w:pPr>
      <w:r>
        <w:rPr>
          <w:rFonts w:ascii="Times New Roman" w:hAnsi="Times New Roman" w:eastAsia="Times New Roman" w:cs="Times New Roman"/>
          <w:b/>
          <w:bCs/>
          <w:spacing w:val="10"/>
          <w:sz w:val="29"/>
          <w:szCs w:val="29"/>
        </w:rPr>
        <w:t>2</w:t>
      </w:r>
      <w:r>
        <w:rPr>
          <w:rFonts w:ascii="Times New Roman" w:hAnsi="Times New Roman" w:eastAsia="Times New Roman" w:cs="Times New Roman"/>
          <w:b/>
          <w:bCs/>
          <w:spacing w:val="6"/>
          <w:sz w:val="29"/>
          <w:szCs w:val="29"/>
        </w:rPr>
        <w:t>.</w:t>
      </w:r>
      <w:r>
        <w:rPr>
          <w:rFonts w:ascii="Times New Roman" w:hAnsi="Times New Roman" w:eastAsia="Times New Roman" w:cs="Times New Roman"/>
          <w:b/>
          <w:bCs/>
          <w:spacing w:val="5"/>
          <w:sz w:val="29"/>
          <w:szCs w:val="29"/>
        </w:rPr>
        <w:t>1.2</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评价原则</w:t>
      </w:r>
    </w:p>
    <w:p w14:paraId="274DF137">
      <w:pPr>
        <w:spacing w:line="269" w:lineRule="auto"/>
        <w:rPr>
          <w:rFonts w:ascii="Arial"/>
          <w:sz w:val="21"/>
        </w:rPr>
      </w:pPr>
    </w:p>
    <w:p w14:paraId="78381749">
      <w:pPr>
        <w:spacing w:before="76" w:line="392" w:lineRule="auto"/>
        <w:ind w:left="30" w:right="16" w:firstLine="445"/>
        <w:rPr>
          <w:rFonts w:ascii="宋体" w:hAnsi="宋体" w:eastAsia="宋体" w:cs="宋体"/>
          <w:sz w:val="23"/>
          <w:szCs w:val="23"/>
        </w:rPr>
      </w:pPr>
      <w:r>
        <w:rPr>
          <w:rFonts w:ascii="宋体" w:hAnsi="宋体" w:eastAsia="宋体" w:cs="宋体"/>
          <w:spacing w:val="1"/>
          <w:sz w:val="23"/>
          <w:szCs w:val="23"/>
        </w:rPr>
        <w:t>按照以人为本、建设资源节约型、环境友好型社</w:t>
      </w:r>
      <w:r>
        <w:rPr>
          <w:rFonts w:ascii="宋体" w:hAnsi="宋体" w:eastAsia="宋体" w:cs="宋体"/>
          <w:sz w:val="23"/>
          <w:szCs w:val="23"/>
        </w:rPr>
        <w:t xml:space="preserve">会和科学发展的要求，遵循以 </w:t>
      </w:r>
      <w:r>
        <w:rPr>
          <w:rFonts w:ascii="宋体" w:hAnsi="宋体" w:eastAsia="宋体" w:cs="宋体"/>
          <w:spacing w:val="-6"/>
          <w:sz w:val="23"/>
          <w:szCs w:val="23"/>
        </w:rPr>
        <w:t>下</w:t>
      </w:r>
      <w:r>
        <w:rPr>
          <w:rFonts w:ascii="宋体" w:hAnsi="宋体" w:eastAsia="宋体" w:cs="宋体"/>
          <w:spacing w:val="-4"/>
          <w:sz w:val="23"/>
          <w:szCs w:val="23"/>
        </w:rPr>
        <w:t>原</w:t>
      </w:r>
      <w:r>
        <w:rPr>
          <w:rFonts w:ascii="宋体" w:hAnsi="宋体" w:eastAsia="宋体" w:cs="宋体"/>
          <w:spacing w:val="-3"/>
          <w:sz w:val="23"/>
          <w:szCs w:val="23"/>
        </w:rPr>
        <w:t>则开展环境影响评价工作：</w:t>
      </w:r>
    </w:p>
    <w:p w14:paraId="38F1A996">
      <w:pPr>
        <w:spacing w:before="150" w:line="226"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1</w:t>
      </w:r>
      <w:r>
        <w:rPr>
          <w:rFonts w:ascii="宋体" w:hAnsi="宋体" w:eastAsia="宋体" w:cs="宋体"/>
          <w:spacing w:val="8"/>
          <w:sz w:val="23"/>
          <w:szCs w:val="23"/>
        </w:rPr>
        <w:t>) 依法评价原则</w:t>
      </w:r>
    </w:p>
    <w:p w14:paraId="0503C024">
      <w:pPr>
        <w:spacing w:line="290" w:lineRule="auto"/>
        <w:rPr>
          <w:rFonts w:ascii="Arial"/>
          <w:sz w:val="21"/>
        </w:rPr>
      </w:pPr>
    </w:p>
    <w:p w14:paraId="4FD3660C">
      <w:pPr>
        <w:spacing w:before="75" w:line="393" w:lineRule="auto"/>
        <w:ind w:left="23" w:right="74" w:firstLine="456"/>
        <w:rPr>
          <w:rFonts w:ascii="宋体" w:hAnsi="宋体" w:eastAsia="宋体" w:cs="宋体"/>
          <w:sz w:val="23"/>
          <w:szCs w:val="23"/>
        </w:rPr>
      </w:pPr>
      <w:r>
        <w:rPr>
          <w:rFonts w:ascii="宋体" w:hAnsi="宋体" w:eastAsia="宋体" w:cs="宋体"/>
          <w:spacing w:val="-2"/>
          <w:sz w:val="23"/>
          <w:szCs w:val="23"/>
        </w:rPr>
        <w:t>贯彻执行我国环境</w:t>
      </w:r>
      <w:r>
        <w:rPr>
          <w:rFonts w:ascii="宋体" w:hAnsi="宋体" w:eastAsia="宋体" w:cs="宋体"/>
          <w:spacing w:val="-1"/>
          <w:sz w:val="23"/>
          <w:szCs w:val="23"/>
        </w:rPr>
        <w:t>保护相关法律法规、标准、政策和规划等，优化项目建设，</w:t>
      </w:r>
      <w:r>
        <w:rPr>
          <w:rFonts w:ascii="宋体" w:hAnsi="宋体" w:eastAsia="宋体" w:cs="宋体"/>
          <w:sz w:val="23"/>
          <w:szCs w:val="23"/>
        </w:rPr>
        <w:t xml:space="preserve"> </w:t>
      </w:r>
      <w:r>
        <w:rPr>
          <w:rFonts w:ascii="宋体" w:hAnsi="宋体" w:eastAsia="宋体" w:cs="宋体"/>
          <w:spacing w:val="-4"/>
          <w:sz w:val="23"/>
          <w:szCs w:val="23"/>
        </w:rPr>
        <w:t>服</w:t>
      </w:r>
      <w:r>
        <w:rPr>
          <w:rFonts w:ascii="宋体" w:hAnsi="宋体" w:eastAsia="宋体" w:cs="宋体"/>
          <w:spacing w:val="-3"/>
          <w:sz w:val="23"/>
          <w:szCs w:val="23"/>
        </w:rPr>
        <w:t>务</w:t>
      </w:r>
      <w:r>
        <w:rPr>
          <w:rFonts w:ascii="宋体" w:hAnsi="宋体" w:eastAsia="宋体" w:cs="宋体"/>
          <w:spacing w:val="-2"/>
          <w:sz w:val="23"/>
          <w:szCs w:val="23"/>
        </w:rPr>
        <w:t>环境管理。</w:t>
      </w:r>
    </w:p>
    <w:p w14:paraId="26BD7161">
      <w:pPr>
        <w:spacing w:before="146" w:line="226"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2</w:t>
      </w:r>
      <w:r>
        <w:rPr>
          <w:rFonts w:ascii="宋体" w:hAnsi="宋体" w:eastAsia="宋体" w:cs="宋体"/>
          <w:spacing w:val="8"/>
          <w:sz w:val="23"/>
          <w:szCs w:val="23"/>
        </w:rPr>
        <w:t>) 科学评价原则</w:t>
      </w:r>
    </w:p>
    <w:p w14:paraId="1F7BB77D">
      <w:pPr>
        <w:spacing w:line="289" w:lineRule="auto"/>
        <w:rPr>
          <w:rFonts w:ascii="Arial"/>
          <w:sz w:val="21"/>
        </w:rPr>
      </w:pPr>
    </w:p>
    <w:p w14:paraId="58341675">
      <w:pPr>
        <w:spacing w:before="75" w:line="226" w:lineRule="auto"/>
        <w:ind w:left="475"/>
        <w:rPr>
          <w:rFonts w:ascii="宋体" w:hAnsi="宋体" w:eastAsia="宋体" w:cs="宋体"/>
          <w:sz w:val="23"/>
          <w:szCs w:val="23"/>
        </w:rPr>
      </w:pPr>
      <w:r>
        <w:rPr>
          <w:rFonts w:ascii="宋体" w:hAnsi="宋体" w:eastAsia="宋体" w:cs="宋体"/>
          <w:spacing w:val="-6"/>
          <w:sz w:val="23"/>
          <w:szCs w:val="23"/>
        </w:rPr>
        <w:t>规</w:t>
      </w:r>
      <w:r>
        <w:rPr>
          <w:rFonts w:ascii="宋体" w:hAnsi="宋体" w:eastAsia="宋体" w:cs="宋体"/>
          <w:spacing w:val="-3"/>
          <w:sz w:val="23"/>
          <w:szCs w:val="23"/>
        </w:rPr>
        <w:t>范环境影响评价方法，科学分析项目建设对环境质量的影响。</w:t>
      </w:r>
    </w:p>
    <w:p w14:paraId="13FEA69F">
      <w:pPr>
        <w:spacing w:line="287" w:lineRule="auto"/>
        <w:rPr>
          <w:rFonts w:ascii="Arial"/>
          <w:sz w:val="21"/>
        </w:rPr>
      </w:pPr>
    </w:p>
    <w:p w14:paraId="09B9DC3B">
      <w:pPr>
        <w:spacing w:before="76" w:line="228"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3</w:t>
      </w:r>
      <w:r>
        <w:rPr>
          <w:rFonts w:ascii="宋体" w:hAnsi="宋体" w:eastAsia="宋体" w:cs="宋体"/>
          <w:spacing w:val="8"/>
          <w:sz w:val="23"/>
          <w:szCs w:val="23"/>
        </w:rPr>
        <w:t>) 突出重点原则</w:t>
      </w:r>
    </w:p>
    <w:p w14:paraId="6251E9AE">
      <w:pPr>
        <w:spacing w:line="287" w:lineRule="auto"/>
        <w:rPr>
          <w:rFonts w:ascii="Arial"/>
          <w:sz w:val="21"/>
        </w:rPr>
      </w:pPr>
    </w:p>
    <w:p w14:paraId="47C30B12">
      <w:pPr>
        <w:spacing w:before="75" w:line="393" w:lineRule="auto"/>
        <w:ind w:left="24" w:right="16" w:firstLine="450"/>
        <w:rPr>
          <w:rFonts w:ascii="宋体" w:hAnsi="宋体" w:eastAsia="宋体" w:cs="宋体"/>
          <w:sz w:val="23"/>
          <w:szCs w:val="23"/>
        </w:rPr>
      </w:pPr>
      <w:r>
        <w:rPr>
          <w:rFonts w:ascii="宋体" w:hAnsi="宋体" w:eastAsia="宋体" w:cs="宋体"/>
          <w:spacing w:val="1"/>
          <w:sz w:val="23"/>
          <w:szCs w:val="23"/>
        </w:rPr>
        <w:t>根据建设项目的工程内容及其特点，明确与环境要素</w:t>
      </w:r>
      <w:r>
        <w:rPr>
          <w:rFonts w:ascii="宋体" w:hAnsi="宋体" w:eastAsia="宋体" w:cs="宋体"/>
          <w:sz w:val="23"/>
          <w:szCs w:val="23"/>
        </w:rPr>
        <w:t xml:space="preserve">间的作用效应关系，充分 </w:t>
      </w:r>
      <w:r>
        <w:rPr>
          <w:rFonts w:ascii="宋体" w:hAnsi="宋体" w:eastAsia="宋体" w:cs="宋体"/>
          <w:spacing w:val="-6"/>
          <w:sz w:val="23"/>
          <w:szCs w:val="23"/>
        </w:rPr>
        <w:t>利</w:t>
      </w:r>
      <w:r>
        <w:rPr>
          <w:rFonts w:ascii="宋体" w:hAnsi="宋体" w:eastAsia="宋体" w:cs="宋体"/>
          <w:spacing w:val="-4"/>
          <w:sz w:val="23"/>
          <w:szCs w:val="23"/>
        </w:rPr>
        <w:t>用</w:t>
      </w:r>
      <w:r>
        <w:rPr>
          <w:rFonts w:ascii="宋体" w:hAnsi="宋体" w:eastAsia="宋体" w:cs="宋体"/>
          <w:spacing w:val="-3"/>
          <w:sz w:val="23"/>
          <w:szCs w:val="23"/>
        </w:rPr>
        <w:t>符合时效的数据资料及成果，对建设项目主要环境影响予以重点分析和评价。</w:t>
      </w:r>
    </w:p>
    <w:p w14:paraId="1D4A21DC">
      <w:pPr>
        <w:spacing w:before="98" w:line="224" w:lineRule="auto"/>
        <w:ind w:left="21"/>
        <w:outlineLvl w:val="2"/>
        <w:rPr>
          <w:rFonts w:ascii="宋体" w:hAnsi="宋体" w:eastAsia="宋体" w:cs="宋体"/>
          <w:sz w:val="29"/>
          <w:szCs w:val="29"/>
        </w:rPr>
      </w:pPr>
      <w:r>
        <w:rPr>
          <w:rFonts w:ascii="Times New Roman" w:hAnsi="Times New Roman" w:eastAsia="Times New Roman" w:cs="Times New Roman"/>
          <w:b/>
          <w:bCs/>
          <w:spacing w:val="10"/>
          <w:sz w:val="29"/>
          <w:szCs w:val="29"/>
        </w:rPr>
        <w:t>2</w:t>
      </w:r>
      <w:r>
        <w:rPr>
          <w:rFonts w:ascii="Times New Roman" w:hAnsi="Times New Roman" w:eastAsia="Times New Roman" w:cs="Times New Roman"/>
          <w:b/>
          <w:bCs/>
          <w:spacing w:val="6"/>
          <w:sz w:val="29"/>
          <w:szCs w:val="29"/>
        </w:rPr>
        <w:t>.</w:t>
      </w:r>
      <w:r>
        <w:rPr>
          <w:rFonts w:ascii="Times New Roman" w:hAnsi="Times New Roman" w:eastAsia="Times New Roman" w:cs="Times New Roman"/>
          <w:b/>
          <w:bCs/>
          <w:spacing w:val="5"/>
          <w:sz w:val="29"/>
          <w:szCs w:val="29"/>
        </w:rPr>
        <w:t>1.3</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评价时段</w:t>
      </w:r>
    </w:p>
    <w:p w14:paraId="2386D88B">
      <w:pPr>
        <w:spacing w:line="268" w:lineRule="auto"/>
        <w:rPr>
          <w:rFonts w:ascii="Arial"/>
          <w:sz w:val="21"/>
        </w:rPr>
      </w:pPr>
    </w:p>
    <w:p w14:paraId="61FA9903">
      <w:pPr>
        <w:spacing w:before="75" w:line="227" w:lineRule="auto"/>
        <w:ind w:left="474"/>
        <w:rPr>
          <w:rFonts w:ascii="宋体" w:hAnsi="宋体" w:eastAsia="宋体" w:cs="宋体"/>
          <w:sz w:val="23"/>
          <w:szCs w:val="23"/>
        </w:rPr>
      </w:pPr>
      <w:r>
        <w:rPr>
          <w:rFonts w:ascii="宋体" w:hAnsi="宋体" w:eastAsia="宋体" w:cs="宋体"/>
          <w:spacing w:val="-3"/>
          <w:sz w:val="23"/>
          <w:szCs w:val="23"/>
        </w:rPr>
        <w:t>根据对环境影响要素分析，评价时段为施工期、运营期。</w:t>
      </w:r>
    </w:p>
    <w:p w14:paraId="7BE70CB3">
      <w:pPr>
        <w:sectPr>
          <w:headerReference r:id="rId42" w:type="default"/>
          <w:footerReference r:id="rId43" w:type="default"/>
          <w:pgSz w:w="11906" w:h="16839"/>
          <w:pgMar w:top="1132" w:right="1785" w:bottom="1156" w:left="1785" w:header="878" w:footer="996" w:gutter="0"/>
          <w:cols w:space="720" w:num="1"/>
        </w:sectPr>
      </w:pPr>
    </w:p>
    <w:p w14:paraId="21E3D544">
      <w:pPr>
        <w:spacing w:line="315" w:lineRule="auto"/>
        <w:rPr>
          <w:rFonts w:ascii="Arial"/>
          <w:sz w:val="21"/>
        </w:rPr>
      </w:pPr>
      <w:r>
        <w:pict>
          <v:shape id="_x0000_s1081" o:spid="_x0000_s1081" style="position:absolute;left:0pt;margin-left:90pt;margin-top:57.35pt;height:0.75pt;width:415.3pt;mso-position-horizontal-relative:page;mso-position-vertical-relative:page;z-index:251718656;mso-width-relative:page;mso-height-relative:page;" fillcolor="#000000" filled="t" stroked="f" coordsize="8305,15" o:allowincell="f" path="m0,0l8305,0,8305,14,0,14,0,0xe">
            <v:path/>
            <v:fill on="t" focussize="0,0"/>
            <v:stroke on="f"/>
            <v:imagedata o:title=""/>
            <o:lock v:ext="edit"/>
          </v:shape>
        </w:pict>
      </w:r>
    </w:p>
    <w:p w14:paraId="34D17E87">
      <w:pPr>
        <w:spacing w:before="101" w:line="224" w:lineRule="auto"/>
        <w:ind w:left="21"/>
        <w:outlineLvl w:val="1"/>
        <w:rPr>
          <w:rFonts w:ascii="宋体" w:hAnsi="宋体" w:eastAsia="宋体" w:cs="宋体"/>
          <w:sz w:val="31"/>
          <w:szCs w:val="31"/>
        </w:rPr>
      </w:pPr>
      <w:bookmarkStart w:id="8" w:name="_bookmark9"/>
      <w:bookmarkEnd w:id="8"/>
      <w:r>
        <w:rPr>
          <w:rFonts w:ascii="Times New Roman" w:hAnsi="Times New Roman" w:eastAsia="Times New Roman" w:cs="Times New Roman"/>
          <w:b/>
          <w:bCs/>
          <w:spacing w:val="-2"/>
          <w:sz w:val="31"/>
          <w:szCs w:val="31"/>
        </w:rPr>
        <w:t>2.2</w:t>
      </w:r>
      <w:r>
        <w:rPr>
          <w:rFonts w:ascii="Times New Roman" w:hAnsi="Times New Roman" w:eastAsia="Times New Roman" w:cs="Times New Roman"/>
          <w:spacing w:val="-1"/>
          <w:sz w:val="31"/>
          <w:szCs w:val="31"/>
        </w:rPr>
        <w:t xml:space="preserve">  </w:t>
      </w:r>
      <w:r>
        <w:rPr>
          <w:rFonts w:ascii="宋体" w:hAnsi="宋体" w:eastAsia="宋体" w:cs="宋体"/>
          <w:spacing w:val="-1"/>
          <w:sz w:val="31"/>
          <w:szCs w:val="31"/>
          <w14:textOutline w14:w="5793" w14:cap="sq" w14:cmpd="sng">
            <w14:solidFill>
              <w14:srgbClr w14:val="000000"/>
            </w14:solidFill>
            <w14:prstDash w14:val="solid"/>
            <w14:bevel/>
          </w14:textOutline>
        </w:rPr>
        <w:t>编制依据</w:t>
      </w:r>
    </w:p>
    <w:p w14:paraId="5418A6B5">
      <w:pPr>
        <w:spacing w:before="288" w:line="224" w:lineRule="auto"/>
        <w:ind w:left="21"/>
        <w:outlineLvl w:val="2"/>
        <w:rPr>
          <w:rFonts w:ascii="宋体" w:hAnsi="宋体" w:eastAsia="宋体" w:cs="宋体"/>
          <w:sz w:val="29"/>
          <w:szCs w:val="29"/>
        </w:rPr>
      </w:pPr>
      <w:r>
        <w:rPr>
          <w:rFonts w:ascii="Times New Roman" w:hAnsi="Times New Roman" w:eastAsia="Times New Roman" w:cs="Times New Roman"/>
          <w:b/>
          <w:bCs/>
          <w:spacing w:val="-2"/>
          <w:sz w:val="29"/>
          <w:szCs w:val="29"/>
        </w:rPr>
        <w:t>2.2.1</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建设项目环境影响评价</w:t>
      </w:r>
      <w:r>
        <w:rPr>
          <w:rFonts w:ascii="宋体" w:hAnsi="宋体" w:eastAsia="宋体" w:cs="宋体"/>
          <w:spacing w:val="-1"/>
          <w:sz w:val="29"/>
          <w:szCs w:val="29"/>
          <w14:textOutline w14:w="5448" w14:cap="sq" w14:cmpd="sng">
            <w14:solidFill>
              <w14:srgbClr w14:val="000000"/>
            </w14:solidFill>
            <w14:prstDash w14:val="solid"/>
            <w14:bevel/>
          </w14:textOutline>
        </w:rPr>
        <w:t>的法律、法规</w:t>
      </w:r>
    </w:p>
    <w:p w14:paraId="486E5807">
      <w:pPr>
        <w:spacing w:line="268" w:lineRule="auto"/>
        <w:rPr>
          <w:rFonts w:ascii="Arial"/>
          <w:sz w:val="21"/>
        </w:rPr>
      </w:pPr>
    </w:p>
    <w:p w14:paraId="2D151D31">
      <w:pPr>
        <w:spacing w:before="75" w:line="227" w:lineRule="auto"/>
        <w:ind w:left="486"/>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1</w:t>
      </w:r>
      <w:r>
        <w:rPr>
          <w:rFonts w:ascii="宋体" w:hAnsi="宋体" w:eastAsia="宋体" w:cs="宋体"/>
          <w:spacing w:val="-8"/>
          <w:sz w:val="23"/>
          <w:szCs w:val="23"/>
        </w:rPr>
        <w:t>)  《</w:t>
      </w:r>
      <w:r>
        <w:rPr>
          <w:rFonts w:ascii="宋体" w:hAnsi="宋体" w:eastAsia="宋体" w:cs="宋体"/>
          <w:spacing w:val="-4"/>
          <w:sz w:val="23"/>
          <w:szCs w:val="23"/>
        </w:rPr>
        <w:t>中华人民共和国环境保护法》，</w:t>
      </w:r>
      <w:r>
        <w:rPr>
          <w:rFonts w:ascii="Times New Roman" w:hAnsi="Times New Roman" w:eastAsia="Times New Roman" w:cs="Times New Roman"/>
          <w:spacing w:val="-4"/>
          <w:sz w:val="23"/>
          <w:szCs w:val="23"/>
        </w:rPr>
        <w:t xml:space="preserve">2015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日起施行；</w:t>
      </w:r>
    </w:p>
    <w:p w14:paraId="3CBA43B1">
      <w:pPr>
        <w:spacing w:line="288" w:lineRule="auto"/>
        <w:rPr>
          <w:rFonts w:ascii="Arial"/>
          <w:sz w:val="21"/>
        </w:rPr>
      </w:pPr>
    </w:p>
    <w:p w14:paraId="0BD3E8B5">
      <w:pPr>
        <w:spacing w:before="74"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《中华人民共和国环境影响评价法》，</w:t>
      </w:r>
      <w:r>
        <w:rPr>
          <w:rFonts w:ascii="Times New Roman" w:hAnsi="Times New Roman" w:eastAsia="Times New Roman" w:cs="Times New Roman"/>
          <w:spacing w:val="-2"/>
          <w:sz w:val="23"/>
          <w:szCs w:val="23"/>
        </w:rPr>
        <w:t xml:space="preserve">2018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月</w:t>
      </w:r>
      <w:r>
        <w:rPr>
          <w:rFonts w:ascii="Times New Roman" w:hAnsi="Times New Roman" w:eastAsia="Times New Roman" w:cs="Times New Roman"/>
          <w:spacing w:val="-1"/>
          <w:sz w:val="23"/>
          <w:szCs w:val="23"/>
        </w:rPr>
        <w:t xml:space="preserve">29 </w:t>
      </w:r>
      <w:r>
        <w:rPr>
          <w:rFonts w:ascii="宋体" w:hAnsi="宋体" w:eastAsia="宋体" w:cs="宋体"/>
          <w:spacing w:val="-1"/>
          <w:sz w:val="23"/>
          <w:szCs w:val="23"/>
        </w:rPr>
        <w:t>日起施行；</w:t>
      </w:r>
    </w:p>
    <w:p w14:paraId="5C635330">
      <w:pPr>
        <w:spacing w:line="288" w:lineRule="auto"/>
        <w:rPr>
          <w:rFonts w:ascii="Arial"/>
          <w:sz w:val="21"/>
        </w:rPr>
      </w:pPr>
    </w:p>
    <w:p w14:paraId="47824309">
      <w:pPr>
        <w:spacing w:before="75" w:line="227" w:lineRule="auto"/>
        <w:ind w:left="486"/>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3</w:t>
      </w:r>
      <w:r>
        <w:rPr>
          <w:rFonts w:ascii="宋体" w:hAnsi="宋体" w:eastAsia="宋体" w:cs="宋体"/>
          <w:spacing w:val="-8"/>
          <w:sz w:val="23"/>
          <w:szCs w:val="23"/>
        </w:rPr>
        <w:t>)  《</w:t>
      </w:r>
      <w:r>
        <w:rPr>
          <w:rFonts w:ascii="宋体" w:hAnsi="宋体" w:eastAsia="宋体" w:cs="宋体"/>
          <w:spacing w:val="-4"/>
          <w:sz w:val="23"/>
          <w:szCs w:val="23"/>
        </w:rPr>
        <w:t>中华人民共和国水污染防治法》，</w:t>
      </w:r>
      <w:r>
        <w:rPr>
          <w:rFonts w:ascii="Times New Roman" w:hAnsi="Times New Roman" w:eastAsia="Times New Roman" w:cs="Times New Roman"/>
          <w:spacing w:val="-4"/>
          <w:sz w:val="23"/>
          <w:szCs w:val="23"/>
        </w:rPr>
        <w:t xml:space="preserve">2018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日起施行；</w:t>
      </w:r>
    </w:p>
    <w:p w14:paraId="5803AAF4">
      <w:pPr>
        <w:spacing w:line="288" w:lineRule="auto"/>
        <w:rPr>
          <w:rFonts w:ascii="Arial"/>
          <w:sz w:val="21"/>
        </w:rPr>
      </w:pPr>
    </w:p>
    <w:p w14:paraId="039B4797">
      <w:pPr>
        <w:spacing w:before="75" w:line="227" w:lineRule="auto"/>
        <w:ind w:left="486"/>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4</w:t>
      </w:r>
      <w:r>
        <w:rPr>
          <w:rFonts w:ascii="宋体" w:hAnsi="宋体" w:eastAsia="宋体" w:cs="宋体"/>
          <w:spacing w:val="-8"/>
          <w:sz w:val="23"/>
          <w:szCs w:val="23"/>
        </w:rPr>
        <w:t>)  《</w:t>
      </w:r>
      <w:r>
        <w:rPr>
          <w:rFonts w:ascii="宋体" w:hAnsi="宋体" w:eastAsia="宋体" w:cs="宋体"/>
          <w:spacing w:val="-6"/>
          <w:sz w:val="23"/>
          <w:szCs w:val="23"/>
        </w:rPr>
        <w:t>中</w:t>
      </w:r>
      <w:r>
        <w:rPr>
          <w:rFonts w:ascii="宋体" w:hAnsi="宋体" w:eastAsia="宋体" w:cs="宋体"/>
          <w:spacing w:val="-4"/>
          <w:sz w:val="23"/>
          <w:szCs w:val="23"/>
        </w:rPr>
        <w:t>华人民共和国固体废物污染环境防治法》，</w:t>
      </w:r>
      <w:r>
        <w:rPr>
          <w:rFonts w:ascii="Times New Roman" w:hAnsi="Times New Roman" w:eastAsia="Times New Roman" w:cs="Times New Roman"/>
          <w:spacing w:val="-4"/>
          <w:sz w:val="23"/>
          <w:szCs w:val="23"/>
        </w:rPr>
        <w:t xml:space="preserve">2016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11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日修订；</w:t>
      </w:r>
    </w:p>
    <w:p w14:paraId="05BDFC3F">
      <w:pPr>
        <w:spacing w:line="286" w:lineRule="auto"/>
        <w:rPr>
          <w:rFonts w:ascii="Arial"/>
          <w:sz w:val="21"/>
        </w:rPr>
      </w:pPr>
    </w:p>
    <w:p w14:paraId="7DACB3D9">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5</w:t>
      </w:r>
      <w:r>
        <w:rPr>
          <w:rFonts w:ascii="宋体" w:hAnsi="宋体" w:eastAsia="宋体" w:cs="宋体"/>
          <w:spacing w:val="-2"/>
          <w:sz w:val="23"/>
          <w:szCs w:val="23"/>
        </w:rPr>
        <w:t>)  《中华人民共和国大气污染防治法》，</w:t>
      </w:r>
      <w:r>
        <w:rPr>
          <w:rFonts w:ascii="Times New Roman" w:hAnsi="Times New Roman" w:eastAsia="Times New Roman" w:cs="Times New Roman"/>
          <w:spacing w:val="-2"/>
          <w:sz w:val="23"/>
          <w:szCs w:val="23"/>
        </w:rPr>
        <w:t xml:space="preserve">2018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1"/>
          <w:sz w:val="23"/>
          <w:szCs w:val="23"/>
        </w:rPr>
        <w:t xml:space="preserve">0 </w:t>
      </w:r>
      <w:r>
        <w:rPr>
          <w:rFonts w:ascii="宋体" w:hAnsi="宋体" w:eastAsia="宋体" w:cs="宋体"/>
          <w:spacing w:val="-1"/>
          <w:sz w:val="23"/>
          <w:szCs w:val="23"/>
        </w:rPr>
        <w:t>月</w:t>
      </w:r>
      <w:r>
        <w:rPr>
          <w:rFonts w:ascii="Times New Roman" w:hAnsi="Times New Roman" w:eastAsia="Times New Roman" w:cs="Times New Roman"/>
          <w:spacing w:val="-1"/>
          <w:sz w:val="23"/>
          <w:szCs w:val="23"/>
        </w:rPr>
        <w:t xml:space="preserve">26 </w:t>
      </w:r>
      <w:r>
        <w:rPr>
          <w:rFonts w:ascii="宋体" w:hAnsi="宋体" w:eastAsia="宋体" w:cs="宋体"/>
          <w:spacing w:val="-1"/>
          <w:sz w:val="23"/>
          <w:szCs w:val="23"/>
        </w:rPr>
        <w:t>日起施行；</w:t>
      </w:r>
    </w:p>
    <w:p w14:paraId="637AFFAC">
      <w:pPr>
        <w:spacing w:line="288" w:lineRule="auto"/>
        <w:rPr>
          <w:rFonts w:ascii="Arial"/>
          <w:sz w:val="21"/>
        </w:rPr>
      </w:pPr>
    </w:p>
    <w:p w14:paraId="4DC748B9">
      <w:pPr>
        <w:spacing w:before="76" w:line="227" w:lineRule="auto"/>
        <w:ind w:left="486"/>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6</w:t>
      </w:r>
      <w:r>
        <w:rPr>
          <w:rFonts w:ascii="宋体" w:hAnsi="宋体" w:eastAsia="宋体" w:cs="宋体"/>
          <w:spacing w:val="-8"/>
          <w:sz w:val="23"/>
          <w:szCs w:val="23"/>
        </w:rPr>
        <w:t xml:space="preserve">) </w:t>
      </w:r>
      <w:r>
        <w:rPr>
          <w:rFonts w:ascii="宋体" w:hAnsi="宋体" w:eastAsia="宋体" w:cs="宋体"/>
          <w:spacing w:val="-4"/>
          <w:sz w:val="23"/>
          <w:szCs w:val="23"/>
        </w:rPr>
        <w:t xml:space="preserve"> 《中华人民共和国环境噪声污染防治法》，</w:t>
      </w:r>
      <w:r>
        <w:rPr>
          <w:rFonts w:ascii="Times New Roman" w:hAnsi="Times New Roman" w:eastAsia="Times New Roman" w:cs="Times New Roman"/>
          <w:spacing w:val="-4"/>
          <w:sz w:val="23"/>
          <w:szCs w:val="23"/>
        </w:rPr>
        <w:t xml:space="preserve">2018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12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29 </w:t>
      </w:r>
      <w:r>
        <w:rPr>
          <w:rFonts w:ascii="宋体" w:hAnsi="宋体" w:eastAsia="宋体" w:cs="宋体"/>
          <w:spacing w:val="-4"/>
          <w:sz w:val="23"/>
          <w:szCs w:val="23"/>
        </w:rPr>
        <w:t>日修订；</w:t>
      </w:r>
    </w:p>
    <w:p w14:paraId="0928AB77">
      <w:pPr>
        <w:spacing w:line="288" w:lineRule="auto"/>
        <w:rPr>
          <w:rFonts w:ascii="Arial"/>
          <w:sz w:val="21"/>
        </w:rPr>
      </w:pPr>
    </w:p>
    <w:p w14:paraId="7C49F87C">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7</w:t>
      </w:r>
      <w:r>
        <w:rPr>
          <w:rFonts w:ascii="宋体" w:hAnsi="宋体" w:eastAsia="宋体" w:cs="宋体"/>
          <w:spacing w:val="-2"/>
          <w:sz w:val="23"/>
          <w:szCs w:val="23"/>
        </w:rPr>
        <w:t>)  《中华人民共和国水法》</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2016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7 </w:t>
      </w:r>
      <w:r>
        <w:rPr>
          <w:rFonts w:ascii="宋体" w:hAnsi="宋体" w:eastAsia="宋体" w:cs="宋体"/>
          <w:spacing w:val="-1"/>
          <w:sz w:val="23"/>
          <w:szCs w:val="23"/>
        </w:rPr>
        <w:t>月</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日起施行；</w:t>
      </w:r>
    </w:p>
    <w:p w14:paraId="0E55D668">
      <w:pPr>
        <w:spacing w:line="285" w:lineRule="auto"/>
        <w:rPr>
          <w:rFonts w:ascii="Arial"/>
          <w:sz w:val="21"/>
        </w:rPr>
      </w:pPr>
    </w:p>
    <w:p w14:paraId="073E7B1F">
      <w:pPr>
        <w:spacing w:before="75" w:line="227" w:lineRule="auto"/>
        <w:ind w:left="486"/>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8</w:t>
      </w:r>
      <w:r>
        <w:rPr>
          <w:rFonts w:ascii="宋体" w:hAnsi="宋体" w:eastAsia="宋体" w:cs="宋体"/>
          <w:spacing w:val="-8"/>
          <w:sz w:val="23"/>
          <w:szCs w:val="23"/>
        </w:rPr>
        <w:t xml:space="preserve">)  </w:t>
      </w:r>
      <w:r>
        <w:rPr>
          <w:rFonts w:ascii="宋体" w:hAnsi="宋体" w:eastAsia="宋体" w:cs="宋体"/>
          <w:spacing w:val="-6"/>
          <w:sz w:val="23"/>
          <w:szCs w:val="23"/>
        </w:rPr>
        <w:t>《</w:t>
      </w:r>
      <w:r>
        <w:rPr>
          <w:rFonts w:ascii="宋体" w:hAnsi="宋体" w:eastAsia="宋体" w:cs="宋体"/>
          <w:spacing w:val="-4"/>
          <w:sz w:val="23"/>
          <w:szCs w:val="23"/>
        </w:rPr>
        <w:t>中华人民共和国清洁生产促进法》，</w:t>
      </w:r>
      <w:r>
        <w:rPr>
          <w:rFonts w:ascii="Times New Roman" w:hAnsi="Times New Roman" w:eastAsia="Times New Roman" w:cs="Times New Roman"/>
          <w:spacing w:val="-4"/>
          <w:sz w:val="23"/>
          <w:szCs w:val="23"/>
        </w:rPr>
        <w:t xml:space="preserve">2012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日起施行；</w:t>
      </w:r>
    </w:p>
    <w:p w14:paraId="6755FAE9">
      <w:pPr>
        <w:spacing w:line="288" w:lineRule="auto"/>
        <w:rPr>
          <w:rFonts w:ascii="Arial"/>
          <w:sz w:val="21"/>
        </w:rPr>
      </w:pPr>
    </w:p>
    <w:p w14:paraId="690022F2">
      <w:pPr>
        <w:spacing w:before="76" w:line="227" w:lineRule="auto"/>
        <w:ind w:left="486"/>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9</w:t>
      </w:r>
      <w:r>
        <w:rPr>
          <w:rFonts w:ascii="宋体" w:hAnsi="宋体" w:eastAsia="宋体" w:cs="宋体"/>
          <w:spacing w:val="-8"/>
          <w:sz w:val="23"/>
          <w:szCs w:val="23"/>
        </w:rPr>
        <w:t xml:space="preserve">)  </w:t>
      </w:r>
      <w:r>
        <w:rPr>
          <w:rFonts w:ascii="宋体" w:hAnsi="宋体" w:eastAsia="宋体" w:cs="宋体"/>
          <w:spacing w:val="-6"/>
          <w:sz w:val="23"/>
          <w:szCs w:val="23"/>
        </w:rPr>
        <w:t>《</w:t>
      </w:r>
      <w:r>
        <w:rPr>
          <w:rFonts w:ascii="宋体" w:hAnsi="宋体" w:eastAsia="宋体" w:cs="宋体"/>
          <w:spacing w:val="-4"/>
          <w:sz w:val="23"/>
          <w:szCs w:val="23"/>
        </w:rPr>
        <w:t>中华人民共和国循环经济促进法》，</w:t>
      </w:r>
      <w:r>
        <w:rPr>
          <w:rFonts w:ascii="Times New Roman" w:hAnsi="Times New Roman" w:eastAsia="Times New Roman" w:cs="Times New Roman"/>
          <w:spacing w:val="-4"/>
          <w:sz w:val="23"/>
          <w:szCs w:val="23"/>
        </w:rPr>
        <w:t xml:space="preserve">2012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日起实施；</w:t>
      </w:r>
    </w:p>
    <w:p w14:paraId="5E423B95">
      <w:pPr>
        <w:spacing w:line="287" w:lineRule="auto"/>
        <w:rPr>
          <w:rFonts w:ascii="Arial"/>
          <w:sz w:val="21"/>
        </w:rPr>
      </w:pPr>
    </w:p>
    <w:p w14:paraId="6ABF78EC">
      <w:pPr>
        <w:spacing w:before="74"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10</w:t>
      </w:r>
      <w:r>
        <w:rPr>
          <w:rFonts w:ascii="宋体" w:hAnsi="宋体" w:eastAsia="宋体" w:cs="宋体"/>
          <w:spacing w:val="-2"/>
          <w:sz w:val="23"/>
          <w:szCs w:val="23"/>
        </w:rPr>
        <w:t>)  《中华人民共和国</w:t>
      </w:r>
      <w:r>
        <w:rPr>
          <w:rFonts w:ascii="宋体" w:hAnsi="宋体" w:eastAsia="宋体" w:cs="宋体"/>
          <w:spacing w:val="-1"/>
          <w:sz w:val="23"/>
          <w:szCs w:val="23"/>
        </w:rPr>
        <w:t>节约能源法》，</w:t>
      </w:r>
      <w:r>
        <w:rPr>
          <w:rFonts w:ascii="Times New Roman" w:hAnsi="Times New Roman" w:eastAsia="Times New Roman" w:cs="Times New Roman"/>
          <w:spacing w:val="-1"/>
          <w:sz w:val="23"/>
          <w:szCs w:val="23"/>
        </w:rPr>
        <w:t xml:space="preserve">2016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7 </w:t>
      </w:r>
      <w:r>
        <w:rPr>
          <w:rFonts w:ascii="宋体" w:hAnsi="宋体" w:eastAsia="宋体" w:cs="宋体"/>
          <w:spacing w:val="-1"/>
          <w:sz w:val="23"/>
          <w:szCs w:val="23"/>
        </w:rPr>
        <w:t>月</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日修订；</w:t>
      </w:r>
    </w:p>
    <w:p w14:paraId="3CE3EEEC">
      <w:pPr>
        <w:spacing w:line="288" w:lineRule="auto"/>
        <w:rPr>
          <w:rFonts w:ascii="Arial"/>
          <w:sz w:val="21"/>
        </w:rPr>
      </w:pPr>
    </w:p>
    <w:p w14:paraId="4CDEBF02">
      <w:pPr>
        <w:spacing w:before="76"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11</w:t>
      </w:r>
      <w:r>
        <w:rPr>
          <w:rFonts w:ascii="宋体" w:hAnsi="宋体" w:eastAsia="宋体" w:cs="宋体"/>
          <w:spacing w:val="-2"/>
          <w:sz w:val="23"/>
          <w:szCs w:val="23"/>
        </w:rPr>
        <w:t>)  《中华人民共和国土地管理法》，</w:t>
      </w:r>
      <w:r>
        <w:rPr>
          <w:rFonts w:ascii="Times New Roman" w:hAnsi="Times New Roman" w:eastAsia="Times New Roman" w:cs="Times New Roman"/>
          <w:spacing w:val="-2"/>
          <w:sz w:val="23"/>
          <w:szCs w:val="23"/>
        </w:rPr>
        <w:t xml:space="preserve">2004 </w:t>
      </w:r>
      <w:r>
        <w:rPr>
          <w:rFonts w:ascii="宋体" w:hAnsi="宋体" w:eastAsia="宋体" w:cs="宋体"/>
          <w:spacing w:val="-2"/>
          <w:sz w:val="23"/>
          <w:szCs w:val="23"/>
        </w:rPr>
        <w:t xml:space="preserve">年 </w:t>
      </w:r>
      <w:r>
        <w:rPr>
          <w:rFonts w:ascii="Times New Roman" w:hAnsi="Times New Roman" w:eastAsia="Times New Roman" w:cs="Times New Roman"/>
          <w:spacing w:val="-1"/>
          <w:sz w:val="23"/>
          <w:szCs w:val="23"/>
        </w:rPr>
        <w:t xml:space="preserve">8 </w:t>
      </w:r>
      <w:r>
        <w:rPr>
          <w:rFonts w:ascii="宋体" w:hAnsi="宋体" w:eastAsia="宋体" w:cs="宋体"/>
          <w:spacing w:val="-1"/>
          <w:sz w:val="23"/>
          <w:szCs w:val="23"/>
        </w:rPr>
        <w:t>月</w:t>
      </w:r>
      <w:r>
        <w:rPr>
          <w:rFonts w:ascii="Times New Roman" w:hAnsi="Times New Roman" w:eastAsia="Times New Roman" w:cs="Times New Roman"/>
          <w:spacing w:val="-1"/>
          <w:sz w:val="23"/>
          <w:szCs w:val="23"/>
        </w:rPr>
        <w:t xml:space="preserve">28 </w:t>
      </w:r>
      <w:r>
        <w:rPr>
          <w:rFonts w:ascii="宋体" w:hAnsi="宋体" w:eastAsia="宋体" w:cs="宋体"/>
          <w:spacing w:val="-1"/>
          <w:sz w:val="23"/>
          <w:szCs w:val="23"/>
        </w:rPr>
        <w:t>日起实施；</w:t>
      </w:r>
    </w:p>
    <w:p w14:paraId="29CC9B49">
      <w:pPr>
        <w:spacing w:line="288" w:lineRule="auto"/>
        <w:rPr>
          <w:rFonts w:ascii="Arial"/>
          <w:sz w:val="21"/>
        </w:rPr>
      </w:pPr>
    </w:p>
    <w:p w14:paraId="6FE5FF87">
      <w:pPr>
        <w:spacing w:before="75" w:line="227" w:lineRule="auto"/>
        <w:ind w:left="486"/>
        <w:rPr>
          <w:rFonts w:ascii="Times New Roman" w:hAnsi="Times New Roman" w:eastAsia="Times New Roman" w:cs="Times New Roman"/>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12</w:t>
      </w:r>
      <w:r>
        <w:rPr>
          <w:rFonts w:ascii="宋体" w:hAnsi="宋体" w:eastAsia="宋体" w:cs="宋体"/>
          <w:spacing w:val="-2"/>
          <w:sz w:val="23"/>
          <w:szCs w:val="23"/>
        </w:rPr>
        <w:t>)  《</w:t>
      </w:r>
      <w:r>
        <w:rPr>
          <w:rFonts w:ascii="宋体" w:hAnsi="宋体" w:eastAsia="宋体" w:cs="宋体"/>
          <w:spacing w:val="-1"/>
          <w:sz w:val="23"/>
          <w:szCs w:val="23"/>
        </w:rPr>
        <w:t xml:space="preserve">建设项目环境保护管理条例》，国务院令第 </w:t>
      </w:r>
      <w:r>
        <w:rPr>
          <w:rFonts w:ascii="Times New Roman" w:hAnsi="Times New Roman" w:eastAsia="Times New Roman" w:cs="Times New Roman"/>
          <w:spacing w:val="-1"/>
          <w:sz w:val="23"/>
          <w:szCs w:val="23"/>
        </w:rPr>
        <w:t xml:space="preserve">682 </w:t>
      </w:r>
      <w:r>
        <w:rPr>
          <w:rFonts w:ascii="宋体" w:hAnsi="宋体" w:eastAsia="宋体" w:cs="宋体"/>
          <w:spacing w:val="-1"/>
          <w:sz w:val="23"/>
          <w:szCs w:val="23"/>
        </w:rPr>
        <w:t>号，</w:t>
      </w:r>
      <w:r>
        <w:rPr>
          <w:rFonts w:ascii="Times New Roman" w:hAnsi="Times New Roman" w:eastAsia="Times New Roman" w:cs="Times New Roman"/>
          <w:spacing w:val="-1"/>
          <w:sz w:val="23"/>
          <w:szCs w:val="23"/>
        </w:rPr>
        <w:t xml:space="preserve">2017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7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16</w:t>
      </w:r>
    </w:p>
    <w:p w14:paraId="566BFB29">
      <w:pPr>
        <w:spacing w:before="197" w:line="227" w:lineRule="auto"/>
        <w:ind w:left="64"/>
        <w:rPr>
          <w:rFonts w:ascii="宋体" w:hAnsi="宋体" w:eastAsia="宋体" w:cs="宋体"/>
          <w:sz w:val="23"/>
          <w:szCs w:val="23"/>
        </w:rPr>
      </w:pPr>
      <w:r>
        <w:rPr>
          <w:rFonts w:ascii="宋体" w:hAnsi="宋体" w:eastAsia="宋体" w:cs="宋体"/>
          <w:spacing w:val="-15"/>
          <w:sz w:val="23"/>
          <w:szCs w:val="23"/>
        </w:rPr>
        <w:t>日</w:t>
      </w:r>
      <w:r>
        <w:rPr>
          <w:rFonts w:ascii="宋体" w:hAnsi="宋体" w:eastAsia="宋体" w:cs="宋体"/>
          <w:spacing w:val="-11"/>
          <w:sz w:val="23"/>
          <w:szCs w:val="23"/>
        </w:rPr>
        <w:t>修订；</w:t>
      </w:r>
    </w:p>
    <w:p w14:paraId="438650C6">
      <w:pPr>
        <w:spacing w:line="285" w:lineRule="auto"/>
        <w:rPr>
          <w:rFonts w:ascii="Arial"/>
          <w:sz w:val="21"/>
        </w:rPr>
      </w:pPr>
    </w:p>
    <w:p w14:paraId="35D77A09">
      <w:pPr>
        <w:spacing w:before="76" w:line="226" w:lineRule="auto"/>
        <w:ind w:left="486"/>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6"/>
          <w:sz w:val="23"/>
          <w:szCs w:val="23"/>
        </w:rPr>
        <w:t>13</w:t>
      </w:r>
      <w:r>
        <w:rPr>
          <w:rFonts w:ascii="宋体" w:hAnsi="宋体" w:eastAsia="宋体" w:cs="宋体"/>
          <w:spacing w:val="-6"/>
          <w:sz w:val="23"/>
          <w:szCs w:val="23"/>
        </w:rPr>
        <w:t xml:space="preserve">)  《建设项目环境影响评价分类管理名录》，部令第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号，自 </w:t>
      </w:r>
      <w:r>
        <w:rPr>
          <w:rFonts w:ascii="Times New Roman" w:hAnsi="Times New Roman" w:eastAsia="Times New Roman" w:cs="Times New Roman"/>
          <w:spacing w:val="-6"/>
          <w:sz w:val="23"/>
          <w:szCs w:val="23"/>
        </w:rPr>
        <w:t xml:space="preserve">2018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月</w:t>
      </w:r>
    </w:p>
    <w:p w14:paraId="62B7DFAD">
      <w:pPr>
        <w:spacing w:before="199" w:line="227" w:lineRule="auto"/>
        <w:ind w:left="19"/>
        <w:rPr>
          <w:rFonts w:ascii="宋体" w:hAnsi="宋体" w:eastAsia="宋体" w:cs="宋体"/>
          <w:sz w:val="23"/>
          <w:szCs w:val="23"/>
        </w:rPr>
      </w:pPr>
      <w:r>
        <w:rPr>
          <w:rFonts w:ascii="Times New Roman" w:hAnsi="Times New Roman" w:eastAsia="Times New Roman" w:cs="Times New Roman"/>
          <w:spacing w:val="-1"/>
          <w:sz w:val="23"/>
          <w:szCs w:val="23"/>
        </w:rPr>
        <w:t xml:space="preserve">28 </w:t>
      </w:r>
      <w:r>
        <w:rPr>
          <w:rFonts w:ascii="宋体" w:hAnsi="宋体" w:eastAsia="宋体" w:cs="宋体"/>
          <w:spacing w:val="-1"/>
          <w:sz w:val="23"/>
          <w:szCs w:val="23"/>
        </w:rPr>
        <w:t>日</w:t>
      </w:r>
      <w:r>
        <w:rPr>
          <w:rFonts w:ascii="宋体" w:hAnsi="宋体" w:eastAsia="宋体" w:cs="宋体"/>
          <w:sz w:val="23"/>
          <w:szCs w:val="23"/>
        </w:rPr>
        <w:t>修订；</w:t>
      </w:r>
    </w:p>
    <w:p w14:paraId="0DCE342C">
      <w:pPr>
        <w:spacing w:line="288" w:lineRule="auto"/>
        <w:rPr>
          <w:rFonts w:ascii="Arial"/>
          <w:sz w:val="21"/>
        </w:rPr>
      </w:pPr>
    </w:p>
    <w:p w14:paraId="627CB860">
      <w:pPr>
        <w:spacing w:before="75" w:line="227"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9"/>
          <w:sz w:val="23"/>
          <w:szCs w:val="23"/>
        </w:rPr>
        <w:t>1</w:t>
      </w:r>
      <w:r>
        <w:rPr>
          <w:rFonts w:ascii="Times New Roman" w:hAnsi="Times New Roman" w:eastAsia="Times New Roman" w:cs="Times New Roman"/>
          <w:spacing w:val="-5"/>
          <w:sz w:val="23"/>
          <w:szCs w:val="23"/>
        </w:rPr>
        <w:t>4</w:t>
      </w:r>
      <w:r>
        <w:rPr>
          <w:rFonts w:ascii="宋体" w:hAnsi="宋体" w:eastAsia="宋体" w:cs="宋体"/>
          <w:spacing w:val="-5"/>
          <w:sz w:val="23"/>
          <w:szCs w:val="23"/>
        </w:rPr>
        <w:t>)  《国务院关于印发大气污染防治行动计划的通知》(国发〔</w:t>
      </w:r>
      <w:r>
        <w:rPr>
          <w:rFonts w:ascii="Times New Roman" w:hAnsi="Times New Roman" w:eastAsia="Times New Roman" w:cs="Times New Roman"/>
          <w:spacing w:val="-5"/>
          <w:sz w:val="23"/>
          <w:szCs w:val="23"/>
        </w:rPr>
        <w:t>2013</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37 </w:t>
      </w:r>
      <w:r>
        <w:rPr>
          <w:rFonts w:ascii="宋体" w:hAnsi="宋体" w:eastAsia="宋体" w:cs="宋体"/>
          <w:spacing w:val="-5"/>
          <w:sz w:val="23"/>
          <w:szCs w:val="23"/>
        </w:rPr>
        <w:t>号)，</w:t>
      </w:r>
    </w:p>
    <w:p w14:paraId="21C1A85B">
      <w:pPr>
        <w:spacing w:before="198" w:line="227" w:lineRule="auto"/>
        <w:ind w:left="19"/>
        <w:rPr>
          <w:rFonts w:ascii="宋体" w:hAnsi="宋体" w:eastAsia="宋体" w:cs="宋体"/>
          <w:sz w:val="23"/>
          <w:szCs w:val="23"/>
        </w:rPr>
      </w:pPr>
      <w:r>
        <w:rPr>
          <w:rFonts w:ascii="Times New Roman" w:hAnsi="Times New Roman" w:eastAsia="Times New Roman" w:cs="Times New Roman"/>
          <w:spacing w:val="-8"/>
          <w:sz w:val="23"/>
          <w:szCs w:val="23"/>
        </w:rPr>
        <w:t xml:space="preserve">2013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 xml:space="preserve">9 </w:t>
      </w:r>
      <w:r>
        <w:rPr>
          <w:rFonts w:ascii="宋体" w:hAnsi="宋体" w:eastAsia="宋体" w:cs="宋体"/>
          <w:spacing w:val="-8"/>
          <w:sz w:val="23"/>
          <w:szCs w:val="23"/>
        </w:rPr>
        <w:t xml:space="preserve">月 </w:t>
      </w:r>
      <w:r>
        <w:rPr>
          <w:rFonts w:ascii="Times New Roman" w:hAnsi="Times New Roman" w:eastAsia="Times New Roman" w:cs="Times New Roman"/>
          <w:spacing w:val="-8"/>
          <w:sz w:val="23"/>
          <w:szCs w:val="23"/>
        </w:rPr>
        <w:t xml:space="preserve">10 </w:t>
      </w:r>
      <w:r>
        <w:rPr>
          <w:rFonts w:ascii="宋体" w:hAnsi="宋体" w:eastAsia="宋体" w:cs="宋体"/>
          <w:spacing w:val="-8"/>
          <w:sz w:val="23"/>
          <w:szCs w:val="23"/>
        </w:rPr>
        <w:t>日</w:t>
      </w:r>
      <w:r>
        <w:rPr>
          <w:rFonts w:ascii="宋体" w:hAnsi="宋体" w:eastAsia="宋体" w:cs="宋体"/>
          <w:spacing w:val="-7"/>
          <w:sz w:val="23"/>
          <w:szCs w:val="23"/>
        </w:rPr>
        <w:t>；</w:t>
      </w:r>
    </w:p>
    <w:p w14:paraId="65F7A742">
      <w:pPr>
        <w:spacing w:line="286" w:lineRule="auto"/>
        <w:rPr>
          <w:rFonts w:ascii="Arial"/>
          <w:sz w:val="21"/>
        </w:rPr>
      </w:pPr>
    </w:p>
    <w:p w14:paraId="7A58A9D9">
      <w:pPr>
        <w:spacing w:before="75" w:line="227"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5"/>
          <w:sz w:val="23"/>
          <w:szCs w:val="23"/>
        </w:rPr>
        <w:t>5</w:t>
      </w:r>
      <w:r>
        <w:rPr>
          <w:rFonts w:ascii="宋体" w:hAnsi="宋体" w:eastAsia="宋体" w:cs="宋体"/>
          <w:spacing w:val="-5"/>
          <w:sz w:val="23"/>
          <w:szCs w:val="23"/>
        </w:rPr>
        <w:t>)  《国务院关于印发水污染防治行动计划的通知》 (国发〔</w:t>
      </w:r>
      <w:r>
        <w:rPr>
          <w:rFonts w:ascii="Times New Roman" w:hAnsi="Times New Roman" w:eastAsia="Times New Roman" w:cs="Times New Roman"/>
          <w:spacing w:val="-5"/>
          <w:sz w:val="23"/>
          <w:szCs w:val="23"/>
        </w:rPr>
        <w:t>2015</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17 </w:t>
      </w:r>
      <w:r>
        <w:rPr>
          <w:rFonts w:ascii="宋体" w:hAnsi="宋体" w:eastAsia="宋体" w:cs="宋体"/>
          <w:spacing w:val="-5"/>
          <w:sz w:val="23"/>
          <w:szCs w:val="23"/>
        </w:rPr>
        <w:t>号) ，</w:t>
      </w:r>
    </w:p>
    <w:p w14:paraId="7C992499">
      <w:pPr>
        <w:spacing w:before="197" w:line="227" w:lineRule="auto"/>
        <w:ind w:left="19"/>
        <w:rPr>
          <w:rFonts w:ascii="宋体" w:hAnsi="宋体" w:eastAsia="宋体" w:cs="宋体"/>
          <w:sz w:val="23"/>
          <w:szCs w:val="23"/>
        </w:rPr>
      </w:pPr>
      <w:r>
        <w:rPr>
          <w:rFonts w:ascii="Times New Roman" w:hAnsi="Times New Roman" w:eastAsia="Times New Roman" w:cs="Times New Roman"/>
          <w:spacing w:val="-15"/>
          <w:sz w:val="23"/>
          <w:szCs w:val="23"/>
        </w:rPr>
        <w:t>2</w:t>
      </w:r>
      <w:r>
        <w:rPr>
          <w:rFonts w:ascii="Times New Roman" w:hAnsi="Times New Roman" w:eastAsia="Times New Roman" w:cs="Times New Roman"/>
          <w:spacing w:val="-8"/>
          <w:sz w:val="23"/>
          <w:szCs w:val="23"/>
        </w:rPr>
        <w:t xml:space="preserve">015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 xml:space="preserve">月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日；</w:t>
      </w:r>
    </w:p>
    <w:p w14:paraId="4ED25E0A">
      <w:pPr>
        <w:spacing w:line="287" w:lineRule="auto"/>
        <w:rPr>
          <w:rFonts w:ascii="Arial"/>
          <w:sz w:val="21"/>
        </w:rPr>
      </w:pPr>
    </w:p>
    <w:p w14:paraId="0EF664EA">
      <w:pPr>
        <w:spacing w:before="75" w:line="227" w:lineRule="auto"/>
        <w:ind w:left="483"/>
        <w:rPr>
          <w:rFonts w:ascii="Times New Roman" w:hAnsi="Times New Roman" w:eastAsia="Times New Roman" w:cs="Times New Roman"/>
          <w:sz w:val="23"/>
          <w:szCs w:val="23"/>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16</w:t>
      </w:r>
      <w:r>
        <w:rPr>
          <w:rFonts w:ascii="宋体" w:hAnsi="宋体" w:eastAsia="宋体" w:cs="宋体"/>
          <w:spacing w:val="-10"/>
          <w:sz w:val="20"/>
          <w:szCs w:val="20"/>
        </w:rPr>
        <w:t xml:space="preserve">) </w:t>
      </w:r>
      <w:r>
        <w:rPr>
          <w:rFonts w:ascii="宋体" w:hAnsi="宋体" w:eastAsia="宋体" w:cs="宋体"/>
          <w:spacing w:val="-8"/>
          <w:sz w:val="20"/>
          <w:szCs w:val="20"/>
        </w:rPr>
        <w:t xml:space="preserve"> </w:t>
      </w:r>
      <w:r>
        <w:rPr>
          <w:rFonts w:ascii="宋体" w:hAnsi="宋体" w:eastAsia="宋体" w:cs="宋体"/>
          <w:spacing w:val="-5"/>
          <w:sz w:val="23"/>
          <w:szCs w:val="23"/>
        </w:rPr>
        <w:t>《危险化学品安全管理条例》(</w:t>
      </w:r>
      <w:r>
        <w:rPr>
          <w:rFonts w:ascii="Times New Roman" w:hAnsi="Times New Roman" w:eastAsia="Times New Roman" w:cs="Times New Roman"/>
          <w:spacing w:val="-5"/>
          <w:sz w:val="23"/>
          <w:szCs w:val="23"/>
        </w:rPr>
        <w:t xml:space="preserve">2002.01.26 </w:t>
      </w:r>
      <w:r>
        <w:rPr>
          <w:rFonts w:ascii="宋体" w:hAnsi="宋体" w:eastAsia="宋体" w:cs="宋体"/>
          <w:spacing w:val="-5"/>
          <w:sz w:val="23"/>
          <w:szCs w:val="23"/>
        </w:rPr>
        <w:t xml:space="preserve">国务院令第 </w:t>
      </w:r>
      <w:r>
        <w:rPr>
          <w:rFonts w:ascii="Times New Roman" w:hAnsi="Times New Roman" w:eastAsia="Times New Roman" w:cs="Times New Roman"/>
          <w:spacing w:val="-5"/>
          <w:sz w:val="23"/>
          <w:szCs w:val="23"/>
        </w:rPr>
        <w:t xml:space="preserve">344 </w:t>
      </w:r>
      <w:r>
        <w:rPr>
          <w:rFonts w:ascii="宋体" w:hAnsi="宋体" w:eastAsia="宋体" w:cs="宋体"/>
          <w:spacing w:val="-5"/>
          <w:sz w:val="23"/>
          <w:szCs w:val="23"/>
        </w:rPr>
        <w:t>号) ，</w:t>
      </w:r>
      <w:r>
        <w:rPr>
          <w:rFonts w:ascii="Times New Roman" w:hAnsi="Times New Roman" w:eastAsia="Times New Roman" w:cs="Times New Roman"/>
          <w:spacing w:val="-5"/>
          <w:sz w:val="23"/>
          <w:szCs w:val="23"/>
        </w:rPr>
        <w:t>2013. 12.7</w:t>
      </w:r>
    </w:p>
    <w:p w14:paraId="4985572D">
      <w:pPr>
        <w:spacing w:before="198" w:line="227" w:lineRule="auto"/>
        <w:ind w:left="23"/>
        <w:rPr>
          <w:rFonts w:ascii="宋体" w:hAnsi="宋体" w:eastAsia="宋体" w:cs="宋体"/>
          <w:sz w:val="23"/>
          <w:szCs w:val="23"/>
        </w:rPr>
      </w:pPr>
      <w:r>
        <w:rPr>
          <w:rFonts w:ascii="宋体" w:hAnsi="宋体" w:eastAsia="宋体" w:cs="宋体"/>
          <w:spacing w:val="-2"/>
          <w:sz w:val="23"/>
          <w:szCs w:val="23"/>
        </w:rPr>
        <w:t>修</w:t>
      </w:r>
      <w:r>
        <w:rPr>
          <w:rFonts w:ascii="宋体" w:hAnsi="宋体" w:eastAsia="宋体" w:cs="宋体"/>
          <w:spacing w:val="-1"/>
          <w:sz w:val="23"/>
          <w:szCs w:val="23"/>
        </w:rPr>
        <w:t>订；</w:t>
      </w:r>
    </w:p>
    <w:p w14:paraId="6CB64658">
      <w:pPr>
        <w:sectPr>
          <w:headerReference r:id="rId44" w:type="default"/>
          <w:footerReference r:id="rId45" w:type="default"/>
          <w:pgSz w:w="11906" w:h="16839"/>
          <w:pgMar w:top="1132" w:right="1750" w:bottom="1156" w:left="1785" w:header="878" w:footer="996" w:gutter="0"/>
          <w:cols w:space="720" w:num="1"/>
        </w:sectPr>
      </w:pPr>
    </w:p>
    <w:p w14:paraId="7A8F72A7">
      <w:pPr>
        <w:spacing w:line="408" w:lineRule="auto"/>
        <w:rPr>
          <w:rFonts w:ascii="Arial"/>
          <w:sz w:val="21"/>
        </w:rPr>
      </w:pPr>
      <w:r>
        <w:pict>
          <v:shape id="_x0000_s1082" o:spid="_x0000_s1082" style="position:absolute;left:0pt;margin-left:90pt;margin-top:57.35pt;height:0.75pt;width:415.3pt;mso-position-horizontal-relative:page;mso-position-vertical-relative:page;z-index:251719680;mso-width-relative:page;mso-height-relative:page;" fillcolor="#000000" filled="t" stroked="f" coordsize="8305,15" o:allowincell="f" path="m0,0l8305,0,8305,14,0,14,0,0xe">
            <v:path/>
            <v:fill on="t" focussize="0,0"/>
            <v:stroke on="f"/>
            <v:imagedata o:title=""/>
            <o:lock v:ext="edit"/>
          </v:shape>
        </w:pict>
      </w:r>
    </w:p>
    <w:p w14:paraId="1D2EC5EB">
      <w:pPr>
        <w:spacing w:before="75" w:line="227" w:lineRule="auto"/>
        <w:ind w:left="462"/>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4"/>
          <w:sz w:val="23"/>
          <w:szCs w:val="23"/>
        </w:rPr>
        <w:t>1</w:t>
      </w:r>
      <w:r>
        <w:rPr>
          <w:rFonts w:ascii="Times New Roman" w:hAnsi="Times New Roman" w:eastAsia="Times New Roman" w:cs="Times New Roman"/>
          <w:spacing w:val="-17"/>
          <w:sz w:val="23"/>
          <w:szCs w:val="23"/>
        </w:rPr>
        <w:t>7</w:t>
      </w:r>
      <w:r>
        <w:rPr>
          <w:rFonts w:ascii="宋体" w:hAnsi="宋体" w:eastAsia="宋体" w:cs="宋体"/>
          <w:spacing w:val="-12"/>
          <w:sz w:val="23"/>
          <w:szCs w:val="23"/>
        </w:rPr>
        <w:t>)  《国家危险废物名录》  (环境保护部令第</w:t>
      </w:r>
      <w:r>
        <w:rPr>
          <w:rFonts w:ascii="Times New Roman" w:hAnsi="Times New Roman" w:eastAsia="Times New Roman" w:cs="Times New Roman"/>
          <w:spacing w:val="-12"/>
          <w:sz w:val="23"/>
          <w:szCs w:val="23"/>
        </w:rPr>
        <w:t xml:space="preserve">39 </w:t>
      </w:r>
      <w:r>
        <w:rPr>
          <w:rFonts w:ascii="宋体" w:hAnsi="宋体" w:eastAsia="宋体" w:cs="宋体"/>
          <w:spacing w:val="-12"/>
          <w:sz w:val="23"/>
          <w:szCs w:val="23"/>
        </w:rPr>
        <w:t>号) ，</w:t>
      </w:r>
      <w:r>
        <w:rPr>
          <w:rFonts w:ascii="Times New Roman" w:hAnsi="Times New Roman" w:eastAsia="Times New Roman" w:cs="Times New Roman"/>
          <w:spacing w:val="-12"/>
          <w:sz w:val="23"/>
          <w:szCs w:val="23"/>
        </w:rPr>
        <w:t xml:space="preserve">2016 </w:t>
      </w:r>
      <w:r>
        <w:rPr>
          <w:rFonts w:ascii="宋体" w:hAnsi="宋体" w:eastAsia="宋体" w:cs="宋体"/>
          <w:spacing w:val="-12"/>
          <w:sz w:val="23"/>
          <w:szCs w:val="23"/>
        </w:rPr>
        <w:t>年</w:t>
      </w:r>
      <w:r>
        <w:rPr>
          <w:rFonts w:ascii="Times New Roman" w:hAnsi="Times New Roman" w:eastAsia="Times New Roman" w:cs="Times New Roman"/>
          <w:spacing w:val="-12"/>
          <w:sz w:val="23"/>
          <w:szCs w:val="23"/>
        </w:rPr>
        <w:t xml:space="preserve">8 </w:t>
      </w:r>
      <w:r>
        <w:rPr>
          <w:rFonts w:ascii="宋体" w:hAnsi="宋体" w:eastAsia="宋体" w:cs="宋体"/>
          <w:spacing w:val="-12"/>
          <w:sz w:val="23"/>
          <w:szCs w:val="23"/>
        </w:rPr>
        <w:t xml:space="preserve">月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日起实施；</w:t>
      </w:r>
    </w:p>
    <w:p w14:paraId="72515B37">
      <w:pPr>
        <w:spacing w:line="289" w:lineRule="auto"/>
        <w:rPr>
          <w:rFonts w:ascii="Arial"/>
          <w:sz w:val="21"/>
        </w:rPr>
      </w:pPr>
    </w:p>
    <w:p w14:paraId="0C095639">
      <w:pPr>
        <w:spacing w:before="74" w:line="226" w:lineRule="auto"/>
        <w:ind w:left="462"/>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3"/>
          <w:sz w:val="23"/>
          <w:szCs w:val="23"/>
        </w:rPr>
        <w:t>18</w:t>
      </w:r>
      <w:r>
        <w:rPr>
          <w:rFonts w:ascii="宋体" w:hAnsi="宋体" w:eastAsia="宋体" w:cs="宋体"/>
          <w:spacing w:val="-13"/>
          <w:sz w:val="23"/>
          <w:szCs w:val="23"/>
        </w:rPr>
        <w:t>)  《环境影响评价公众参与办法》  (部令第</w:t>
      </w:r>
      <w:r>
        <w:rPr>
          <w:rFonts w:ascii="Times New Roman" w:hAnsi="Times New Roman" w:eastAsia="Times New Roman" w:cs="Times New Roman"/>
          <w:spacing w:val="-13"/>
          <w:sz w:val="23"/>
          <w:szCs w:val="23"/>
        </w:rPr>
        <w:t xml:space="preserve">4 </w:t>
      </w:r>
      <w:r>
        <w:rPr>
          <w:rFonts w:ascii="宋体" w:hAnsi="宋体" w:eastAsia="宋体" w:cs="宋体"/>
          <w:spacing w:val="-13"/>
          <w:sz w:val="23"/>
          <w:szCs w:val="23"/>
        </w:rPr>
        <w:t>号) ，</w:t>
      </w:r>
      <w:r>
        <w:rPr>
          <w:rFonts w:ascii="Times New Roman" w:hAnsi="Times New Roman" w:eastAsia="Times New Roman" w:cs="Times New Roman"/>
          <w:spacing w:val="-13"/>
          <w:sz w:val="23"/>
          <w:szCs w:val="23"/>
        </w:rPr>
        <w:t xml:space="preserve">2019 </w:t>
      </w:r>
      <w:r>
        <w:rPr>
          <w:rFonts w:ascii="宋体" w:hAnsi="宋体" w:eastAsia="宋体" w:cs="宋体"/>
          <w:spacing w:val="-13"/>
          <w:sz w:val="23"/>
          <w:szCs w:val="23"/>
        </w:rPr>
        <w:t xml:space="preserve">年 </w:t>
      </w:r>
      <w:r>
        <w:rPr>
          <w:rFonts w:ascii="Times New Roman" w:hAnsi="Times New Roman" w:eastAsia="Times New Roman" w:cs="Times New Roman"/>
          <w:spacing w:val="-13"/>
          <w:sz w:val="23"/>
          <w:szCs w:val="23"/>
        </w:rPr>
        <w:t xml:space="preserve">1 </w:t>
      </w:r>
      <w:r>
        <w:rPr>
          <w:rFonts w:ascii="宋体" w:hAnsi="宋体" w:eastAsia="宋体" w:cs="宋体"/>
          <w:spacing w:val="-13"/>
          <w:sz w:val="23"/>
          <w:szCs w:val="23"/>
        </w:rPr>
        <w:t xml:space="preserve">月 </w:t>
      </w:r>
      <w:r>
        <w:rPr>
          <w:rFonts w:ascii="Times New Roman" w:hAnsi="Times New Roman" w:eastAsia="Times New Roman" w:cs="Times New Roman"/>
          <w:spacing w:val="-13"/>
          <w:sz w:val="23"/>
          <w:szCs w:val="23"/>
        </w:rPr>
        <w:t xml:space="preserve">1 </w:t>
      </w:r>
      <w:r>
        <w:rPr>
          <w:rFonts w:ascii="宋体" w:hAnsi="宋体" w:eastAsia="宋体" w:cs="宋体"/>
          <w:spacing w:val="-13"/>
          <w:sz w:val="23"/>
          <w:szCs w:val="23"/>
        </w:rPr>
        <w:t>日起施行；</w:t>
      </w:r>
    </w:p>
    <w:p w14:paraId="48B27D9F">
      <w:pPr>
        <w:spacing w:line="244" w:lineRule="auto"/>
        <w:rPr>
          <w:rFonts w:ascii="Arial"/>
          <w:sz w:val="21"/>
        </w:rPr>
      </w:pPr>
    </w:p>
    <w:p w14:paraId="5D416052">
      <w:pPr>
        <w:spacing w:before="75" w:line="323" w:lineRule="exact"/>
        <w:ind w:left="486"/>
        <w:rPr>
          <w:rFonts w:ascii="宋体" w:hAnsi="宋体" w:eastAsia="宋体" w:cs="宋体"/>
          <w:sz w:val="23"/>
          <w:szCs w:val="23"/>
        </w:rPr>
      </w:pPr>
      <w:r>
        <w:rPr>
          <w:rFonts w:ascii="宋体" w:hAnsi="宋体" w:eastAsia="宋体" w:cs="宋体"/>
          <w:spacing w:val="-10"/>
          <w:position w:val="1"/>
          <w:sz w:val="23"/>
          <w:szCs w:val="23"/>
        </w:rPr>
        <w:t>(</w:t>
      </w:r>
      <w:r>
        <w:rPr>
          <w:rFonts w:ascii="Times New Roman" w:hAnsi="Times New Roman" w:eastAsia="Times New Roman" w:cs="Times New Roman"/>
          <w:spacing w:val="-7"/>
          <w:position w:val="1"/>
          <w:sz w:val="23"/>
          <w:szCs w:val="23"/>
        </w:rPr>
        <w:t>19</w:t>
      </w:r>
      <w:r>
        <w:rPr>
          <w:rFonts w:ascii="宋体" w:hAnsi="宋体" w:eastAsia="宋体" w:cs="宋体"/>
          <w:spacing w:val="-7"/>
          <w:position w:val="1"/>
          <w:sz w:val="23"/>
          <w:szCs w:val="23"/>
        </w:rPr>
        <w:t>)  《关于启用</w:t>
      </w:r>
      <w:r>
        <w:rPr>
          <w:rFonts w:ascii="Times New Roman" w:hAnsi="Times New Roman" w:eastAsia="Times New Roman" w:cs="Times New Roman"/>
          <w:spacing w:val="-7"/>
          <w:position w:val="1"/>
          <w:sz w:val="23"/>
          <w:szCs w:val="23"/>
        </w:rPr>
        <w:t>&lt;</w:t>
      </w:r>
      <w:r>
        <w:rPr>
          <w:rFonts w:ascii="宋体" w:hAnsi="宋体" w:eastAsia="宋体" w:cs="宋体"/>
          <w:spacing w:val="-7"/>
          <w:position w:val="1"/>
          <w:sz w:val="23"/>
          <w:szCs w:val="23"/>
        </w:rPr>
        <w:t>建设项目环评审批基础信息表</w:t>
      </w:r>
      <w:r>
        <w:rPr>
          <w:rFonts w:ascii="Times New Roman" w:hAnsi="Times New Roman" w:eastAsia="Times New Roman" w:cs="Times New Roman"/>
          <w:spacing w:val="-7"/>
          <w:position w:val="1"/>
          <w:sz w:val="23"/>
          <w:szCs w:val="23"/>
        </w:rPr>
        <w:t>&gt;</w:t>
      </w:r>
      <w:r>
        <w:rPr>
          <w:rFonts w:ascii="宋体" w:hAnsi="宋体" w:eastAsia="宋体" w:cs="宋体"/>
          <w:spacing w:val="-7"/>
          <w:position w:val="1"/>
          <w:sz w:val="23"/>
          <w:szCs w:val="23"/>
        </w:rPr>
        <w:t>的通知》(环办环评函〔</w:t>
      </w:r>
      <w:r>
        <w:rPr>
          <w:rFonts w:ascii="Times New Roman" w:hAnsi="Times New Roman" w:eastAsia="Times New Roman" w:cs="Times New Roman"/>
          <w:spacing w:val="-7"/>
          <w:position w:val="1"/>
          <w:sz w:val="23"/>
          <w:szCs w:val="23"/>
        </w:rPr>
        <w:t>2017</w:t>
      </w:r>
      <w:r>
        <w:rPr>
          <w:rFonts w:ascii="宋体" w:hAnsi="宋体" w:eastAsia="宋体" w:cs="宋体"/>
          <w:spacing w:val="-7"/>
          <w:position w:val="1"/>
          <w:sz w:val="23"/>
          <w:szCs w:val="23"/>
        </w:rPr>
        <w:t>〕</w:t>
      </w:r>
    </w:p>
    <w:p w14:paraId="35D8A5AD">
      <w:pPr>
        <w:spacing w:before="200" w:line="228" w:lineRule="auto"/>
        <w:ind w:left="23"/>
        <w:rPr>
          <w:rFonts w:ascii="宋体" w:hAnsi="宋体" w:eastAsia="宋体" w:cs="宋体"/>
          <w:sz w:val="23"/>
          <w:szCs w:val="23"/>
        </w:rPr>
      </w:pPr>
      <w:r>
        <w:rPr>
          <w:rFonts w:ascii="Times New Roman" w:hAnsi="Times New Roman" w:eastAsia="Times New Roman" w:cs="Times New Roman"/>
          <w:spacing w:val="-2"/>
          <w:sz w:val="23"/>
          <w:szCs w:val="23"/>
        </w:rPr>
        <w:t xml:space="preserve">905 </w:t>
      </w:r>
      <w:r>
        <w:rPr>
          <w:rFonts w:ascii="宋体" w:hAnsi="宋体" w:eastAsia="宋体" w:cs="宋体"/>
          <w:spacing w:val="-2"/>
          <w:sz w:val="23"/>
          <w:szCs w:val="23"/>
        </w:rPr>
        <w:t>号) ，</w:t>
      </w:r>
      <w:r>
        <w:rPr>
          <w:rFonts w:ascii="Times New Roman" w:hAnsi="Times New Roman" w:eastAsia="Times New Roman" w:cs="Times New Roman"/>
          <w:spacing w:val="-2"/>
          <w:sz w:val="23"/>
          <w:szCs w:val="23"/>
        </w:rPr>
        <w:t>2017.6.12</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起施行；</w:t>
      </w:r>
    </w:p>
    <w:p w14:paraId="18537D64">
      <w:pPr>
        <w:spacing w:line="241" w:lineRule="auto"/>
        <w:rPr>
          <w:rFonts w:ascii="Arial"/>
          <w:sz w:val="21"/>
        </w:rPr>
      </w:pPr>
    </w:p>
    <w:p w14:paraId="67899C09">
      <w:pPr>
        <w:spacing w:before="75" w:line="323" w:lineRule="exact"/>
        <w:ind w:left="486"/>
        <w:rPr>
          <w:rFonts w:ascii="宋体" w:hAnsi="宋体" w:eastAsia="宋体" w:cs="宋体"/>
          <w:sz w:val="23"/>
          <w:szCs w:val="23"/>
        </w:rPr>
      </w:pPr>
      <w:r>
        <w:rPr>
          <w:rFonts w:ascii="宋体" w:hAnsi="宋体" w:eastAsia="宋体" w:cs="宋体"/>
          <w:spacing w:val="-6"/>
          <w:position w:val="1"/>
          <w:sz w:val="23"/>
          <w:szCs w:val="23"/>
        </w:rPr>
        <w:t>(</w:t>
      </w:r>
      <w:r>
        <w:rPr>
          <w:rFonts w:ascii="Times New Roman" w:hAnsi="Times New Roman" w:eastAsia="Times New Roman" w:cs="Times New Roman"/>
          <w:spacing w:val="-6"/>
          <w:position w:val="1"/>
          <w:sz w:val="23"/>
          <w:szCs w:val="23"/>
        </w:rPr>
        <w:t>20</w:t>
      </w:r>
      <w:r>
        <w:rPr>
          <w:rFonts w:ascii="宋体" w:hAnsi="宋体" w:eastAsia="宋体" w:cs="宋体"/>
          <w:spacing w:val="-6"/>
          <w:position w:val="1"/>
          <w:sz w:val="23"/>
          <w:szCs w:val="23"/>
        </w:rPr>
        <w:t xml:space="preserve">) </w:t>
      </w:r>
      <w:r>
        <w:rPr>
          <w:rFonts w:ascii="宋体" w:hAnsi="宋体" w:eastAsia="宋体" w:cs="宋体"/>
          <w:spacing w:val="-4"/>
          <w:position w:val="1"/>
          <w:sz w:val="23"/>
          <w:szCs w:val="23"/>
        </w:rPr>
        <w:t xml:space="preserve"> </w:t>
      </w:r>
      <w:r>
        <w:rPr>
          <w:rFonts w:ascii="宋体" w:hAnsi="宋体" w:eastAsia="宋体" w:cs="宋体"/>
          <w:spacing w:val="-3"/>
          <w:position w:val="1"/>
          <w:sz w:val="23"/>
          <w:szCs w:val="23"/>
        </w:rPr>
        <w:t>《关于发布</w:t>
      </w:r>
      <w:r>
        <w:rPr>
          <w:rFonts w:ascii="Times New Roman" w:hAnsi="Times New Roman" w:eastAsia="Times New Roman" w:cs="Times New Roman"/>
          <w:spacing w:val="-3"/>
          <w:position w:val="1"/>
          <w:sz w:val="23"/>
          <w:szCs w:val="23"/>
        </w:rPr>
        <w:t>&lt;</w:t>
      </w:r>
      <w:r>
        <w:rPr>
          <w:rFonts w:ascii="宋体" w:hAnsi="宋体" w:eastAsia="宋体" w:cs="宋体"/>
          <w:spacing w:val="-3"/>
          <w:position w:val="1"/>
          <w:sz w:val="23"/>
          <w:szCs w:val="23"/>
        </w:rPr>
        <w:t>废塑料加工利用污染防治管理规定</w:t>
      </w:r>
      <w:r>
        <w:rPr>
          <w:rFonts w:ascii="Times New Roman" w:hAnsi="Times New Roman" w:eastAsia="Times New Roman" w:cs="Times New Roman"/>
          <w:spacing w:val="-3"/>
          <w:position w:val="1"/>
          <w:sz w:val="23"/>
          <w:szCs w:val="23"/>
        </w:rPr>
        <w:t>&gt;</w:t>
      </w:r>
      <w:r>
        <w:rPr>
          <w:rFonts w:ascii="宋体" w:hAnsi="宋体" w:eastAsia="宋体" w:cs="宋体"/>
          <w:spacing w:val="-3"/>
          <w:position w:val="1"/>
          <w:sz w:val="23"/>
          <w:szCs w:val="23"/>
        </w:rPr>
        <w:t>的公告》 ，环境保护部</w:t>
      </w:r>
    </w:p>
    <w:p w14:paraId="74750B72">
      <w:pPr>
        <w:spacing w:before="202" w:line="226" w:lineRule="auto"/>
        <w:ind w:left="30"/>
        <w:rPr>
          <w:rFonts w:ascii="宋体" w:hAnsi="宋体" w:eastAsia="宋体" w:cs="宋体"/>
          <w:sz w:val="23"/>
          <w:szCs w:val="23"/>
        </w:rPr>
      </w:pPr>
      <w:r>
        <w:rPr>
          <w:rFonts w:ascii="宋体" w:hAnsi="宋体" w:eastAsia="宋体" w:cs="宋体"/>
          <w:spacing w:val="-11"/>
          <w:sz w:val="23"/>
          <w:szCs w:val="23"/>
        </w:rPr>
        <w:t>公</w:t>
      </w:r>
      <w:r>
        <w:rPr>
          <w:rFonts w:ascii="宋体" w:hAnsi="宋体" w:eastAsia="宋体" w:cs="宋体"/>
          <w:spacing w:val="-9"/>
          <w:sz w:val="23"/>
          <w:szCs w:val="23"/>
        </w:rPr>
        <w:t xml:space="preserve">告 </w:t>
      </w:r>
      <w:r>
        <w:rPr>
          <w:rFonts w:ascii="Times New Roman" w:hAnsi="Times New Roman" w:eastAsia="Times New Roman" w:cs="Times New Roman"/>
          <w:spacing w:val="-9"/>
          <w:sz w:val="23"/>
          <w:szCs w:val="23"/>
        </w:rPr>
        <w:t xml:space="preserve">2012 </w:t>
      </w:r>
      <w:r>
        <w:rPr>
          <w:rFonts w:ascii="宋体" w:hAnsi="宋体" w:eastAsia="宋体" w:cs="宋体"/>
          <w:spacing w:val="-9"/>
          <w:sz w:val="23"/>
          <w:szCs w:val="23"/>
        </w:rPr>
        <w:t xml:space="preserve">年第 </w:t>
      </w:r>
      <w:r>
        <w:rPr>
          <w:rFonts w:ascii="Times New Roman" w:hAnsi="Times New Roman" w:eastAsia="Times New Roman" w:cs="Times New Roman"/>
          <w:spacing w:val="-9"/>
          <w:sz w:val="23"/>
          <w:szCs w:val="23"/>
        </w:rPr>
        <w:t xml:space="preserve">55 </w:t>
      </w:r>
      <w:r>
        <w:rPr>
          <w:rFonts w:ascii="宋体" w:hAnsi="宋体" w:eastAsia="宋体" w:cs="宋体"/>
          <w:spacing w:val="-9"/>
          <w:sz w:val="23"/>
          <w:szCs w:val="23"/>
        </w:rPr>
        <w:t>号；</w:t>
      </w:r>
    </w:p>
    <w:p w14:paraId="1196B336">
      <w:pPr>
        <w:spacing w:line="245" w:lineRule="auto"/>
        <w:rPr>
          <w:rFonts w:ascii="Arial"/>
          <w:sz w:val="21"/>
        </w:rPr>
      </w:pPr>
    </w:p>
    <w:p w14:paraId="463052FF">
      <w:pPr>
        <w:spacing w:before="76" w:line="387" w:lineRule="auto"/>
        <w:ind w:left="24" w:right="66" w:firstLine="461"/>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21</w:t>
      </w:r>
      <w:r>
        <w:rPr>
          <w:rFonts w:ascii="宋体" w:hAnsi="宋体" w:eastAsia="宋体" w:cs="宋体"/>
          <w:spacing w:val="1"/>
          <w:sz w:val="23"/>
          <w:szCs w:val="23"/>
        </w:rPr>
        <w:t>)  《关</w:t>
      </w:r>
      <w:r>
        <w:rPr>
          <w:rFonts w:ascii="宋体" w:hAnsi="宋体" w:eastAsia="宋体" w:cs="宋体"/>
          <w:sz w:val="23"/>
          <w:szCs w:val="23"/>
        </w:rPr>
        <w:t>于印发</w:t>
      </w:r>
      <w:r>
        <w:rPr>
          <w:rFonts w:ascii="Times New Roman" w:hAnsi="Times New Roman" w:eastAsia="Times New Roman" w:cs="Times New Roman"/>
          <w:sz w:val="23"/>
          <w:szCs w:val="23"/>
        </w:rPr>
        <w:t>&lt;“</w:t>
      </w:r>
      <w:r>
        <w:rPr>
          <w:rFonts w:ascii="宋体" w:hAnsi="宋体" w:eastAsia="宋体" w:cs="宋体"/>
          <w:sz w:val="23"/>
          <w:szCs w:val="23"/>
        </w:rPr>
        <w:t>十三五</w:t>
      </w:r>
      <w:r>
        <w:rPr>
          <w:rFonts w:ascii="Times New Roman" w:hAnsi="Times New Roman" w:eastAsia="Times New Roman" w:cs="Times New Roman"/>
          <w:sz w:val="23"/>
          <w:szCs w:val="23"/>
        </w:rPr>
        <w:t>”</w:t>
      </w:r>
      <w:r>
        <w:rPr>
          <w:rFonts w:ascii="宋体" w:hAnsi="宋体" w:eastAsia="宋体" w:cs="宋体"/>
          <w:sz w:val="23"/>
          <w:szCs w:val="23"/>
        </w:rPr>
        <w:t>挥发性有机物污染防治工作方案</w:t>
      </w:r>
      <w:r>
        <w:rPr>
          <w:rFonts w:ascii="Times New Roman" w:hAnsi="Times New Roman" w:eastAsia="Times New Roman" w:cs="Times New Roman"/>
          <w:sz w:val="23"/>
          <w:szCs w:val="23"/>
        </w:rPr>
        <w:t>&gt;</w:t>
      </w:r>
      <w:r>
        <w:rPr>
          <w:rFonts w:ascii="宋体" w:hAnsi="宋体" w:eastAsia="宋体" w:cs="宋体"/>
          <w:sz w:val="23"/>
          <w:szCs w:val="23"/>
        </w:rPr>
        <w:t xml:space="preserve">的通知》，环大 </w:t>
      </w:r>
      <w:r>
        <w:rPr>
          <w:rFonts w:ascii="宋体" w:hAnsi="宋体" w:eastAsia="宋体" w:cs="宋体"/>
          <w:spacing w:val="-2"/>
          <w:sz w:val="23"/>
          <w:szCs w:val="23"/>
        </w:rPr>
        <w:t>气</w:t>
      </w:r>
      <w:r>
        <w:rPr>
          <w:rFonts w:ascii="Times New Roman" w:hAnsi="Times New Roman" w:eastAsia="Times New Roman" w:cs="Times New Roman"/>
          <w:spacing w:val="-2"/>
          <w:sz w:val="23"/>
          <w:szCs w:val="23"/>
        </w:rPr>
        <w:t>[2017]121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号；</w:t>
      </w:r>
    </w:p>
    <w:p w14:paraId="7400D78F">
      <w:pPr>
        <w:spacing w:before="206" w:line="226" w:lineRule="auto"/>
        <w:ind w:left="486"/>
        <w:rPr>
          <w:rFonts w:ascii="Times New Roman" w:hAnsi="Times New Roman" w:eastAsia="Times New Roman" w:cs="Times New Roman"/>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22</w:t>
      </w:r>
      <w:r>
        <w:rPr>
          <w:rFonts w:ascii="宋体" w:hAnsi="宋体" w:eastAsia="宋体" w:cs="宋体"/>
          <w:spacing w:val="-4"/>
          <w:sz w:val="23"/>
          <w:szCs w:val="23"/>
        </w:rPr>
        <w:t>)  《挥发</w:t>
      </w:r>
      <w:r>
        <w:rPr>
          <w:rFonts w:ascii="宋体" w:hAnsi="宋体" w:eastAsia="宋体" w:cs="宋体"/>
          <w:spacing w:val="-3"/>
          <w:sz w:val="23"/>
          <w:szCs w:val="23"/>
        </w:rPr>
        <w:t>性</w:t>
      </w:r>
      <w:r>
        <w:rPr>
          <w:rFonts w:ascii="宋体" w:hAnsi="宋体" w:eastAsia="宋体" w:cs="宋体"/>
          <w:spacing w:val="-2"/>
          <w:sz w:val="23"/>
          <w:szCs w:val="23"/>
        </w:rPr>
        <w:t>有机物 (</w:t>
      </w:r>
      <w:r>
        <w:rPr>
          <w:rFonts w:ascii="Times New Roman" w:hAnsi="Times New Roman" w:eastAsia="Times New Roman" w:cs="Times New Roman"/>
          <w:spacing w:val="-2"/>
          <w:sz w:val="23"/>
          <w:szCs w:val="23"/>
        </w:rPr>
        <w:t>VOCs</w:t>
      </w:r>
      <w:r>
        <w:rPr>
          <w:rFonts w:ascii="宋体" w:hAnsi="宋体" w:eastAsia="宋体" w:cs="宋体"/>
          <w:spacing w:val="-2"/>
          <w:sz w:val="23"/>
          <w:szCs w:val="23"/>
        </w:rPr>
        <w:t xml:space="preserve">) 污染防治技术政策》  (环境保护部公告 </w:t>
      </w:r>
      <w:r>
        <w:rPr>
          <w:rFonts w:ascii="Times New Roman" w:hAnsi="Times New Roman" w:eastAsia="Times New Roman" w:cs="Times New Roman"/>
          <w:spacing w:val="-2"/>
          <w:sz w:val="23"/>
          <w:szCs w:val="23"/>
        </w:rPr>
        <w:t>2013</w:t>
      </w:r>
    </w:p>
    <w:p w14:paraId="035FE4F3">
      <w:pPr>
        <w:spacing w:before="199" w:line="227" w:lineRule="auto"/>
        <w:ind w:left="24"/>
        <w:rPr>
          <w:rFonts w:ascii="宋体" w:hAnsi="宋体" w:eastAsia="宋体" w:cs="宋体"/>
          <w:sz w:val="23"/>
          <w:szCs w:val="23"/>
        </w:rPr>
      </w:pPr>
      <w:r>
        <w:rPr>
          <w:rFonts w:ascii="宋体" w:hAnsi="宋体" w:eastAsia="宋体" w:cs="宋体"/>
          <w:spacing w:val="-8"/>
          <w:sz w:val="23"/>
          <w:szCs w:val="23"/>
        </w:rPr>
        <w:t>年</w:t>
      </w:r>
      <w:r>
        <w:rPr>
          <w:rFonts w:ascii="宋体" w:hAnsi="宋体" w:eastAsia="宋体" w:cs="宋体"/>
          <w:spacing w:val="-6"/>
          <w:sz w:val="23"/>
          <w:szCs w:val="23"/>
        </w:rPr>
        <w:t>第</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xml:space="preserve">31 </w:t>
      </w:r>
      <w:r>
        <w:rPr>
          <w:rFonts w:ascii="宋体" w:hAnsi="宋体" w:eastAsia="宋体" w:cs="宋体"/>
          <w:spacing w:val="-4"/>
          <w:sz w:val="23"/>
          <w:szCs w:val="23"/>
        </w:rPr>
        <w:t>号) ，</w:t>
      </w:r>
      <w:r>
        <w:rPr>
          <w:rFonts w:ascii="Times New Roman" w:hAnsi="Times New Roman" w:eastAsia="Times New Roman" w:cs="Times New Roman"/>
          <w:spacing w:val="-4"/>
          <w:sz w:val="23"/>
          <w:szCs w:val="23"/>
        </w:rPr>
        <w:t xml:space="preserve">2013.05.24 </w:t>
      </w:r>
      <w:r>
        <w:rPr>
          <w:rFonts w:ascii="宋体" w:hAnsi="宋体" w:eastAsia="宋体" w:cs="宋体"/>
          <w:spacing w:val="-4"/>
          <w:sz w:val="23"/>
          <w:szCs w:val="23"/>
        </w:rPr>
        <w:t>起施行。</w:t>
      </w:r>
    </w:p>
    <w:p w14:paraId="6155D3DC">
      <w:pPr>
        <w:spacing w:before="311" w:line="224" w:lineRule="auto"/>
        <w:ind w:left="21"/>
        <w:outlineLvl w:val="2"/>
        <w:rPr>
          <w:rFonts w:ascii="宋体" w:hAnsi="宋体" w:eastAsia="宋体" w:cs="宋体"/>
          <w:sz w:val="29"/>
          <w:szCs w:val="29"/>
        </w:rPr>
      </w:pPr>
      <w:r>
        <w:rPr>
          <w:rFonts w:ascii="Times New Roman" w:hAnsi="Times New Roman" w:eastAsia="Times New Roman" w:cs="Times New Roman"/>
          <w:b/>
          <w:bCs/>
          <w:spacing w:val="-2"/>
          <w:sz w:val="29"/>
          <w:szCs w:val="29"/>
        </w:rPr>
        <w:t>2.2.2</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建设项目环境影响评价的地方性法规和</w:t>
      </w:r>
      <w:r>
        <w:rPr>
          <w:rFonts w:ascii="宋体" w:hAnsi="宋体" w:eastAsia="宋体" w:cs="宋体"/>
          <w:spacing w:val="-1"/>
          <w:sz w:val="29"/>
          <w:szCs w:val="29"/>
          <w14:textOutline w14:w="5448" w14:cap="sq" w14:cmpd="sng">
            <w14:solidFill>
              <w14:srgbClr w14:val="000000"/>
            </w14:solidFill>
            <w14:prstDash w14:val="solid"/>
            <w14:bevel/>
          </w14:textOutline>
        </w:rPr>
        <w:t>规</w:t>
      </w:r>
      <w:r>
        <w:rPr>
          <w:rFonts w:ascii="宋体" w:hAnsi="宋体" w:eastAsia="宋体" w:cs="宋体"/>
          <w:sz w:val="29"/>
          <w:szCs w:val="29"/>
          <w14:textOutline w14:w="5448" w14:cap="sq" w14:cmpd="sng">
            <w14:solidFill>
              <w14:srgbClr w14:val="000000"/>
            </w14:solidFill>
            <w14:prstDash w14:val="solid"/>
            <w14:bevel/>
          </w14:textOutline>
        </w:rPr>
        <w:t>章</w:t>
      </w:r>
    </w:p>
    <w:p w14:paraId="6BCB9AB5">
      <w:pPr>
        <w:spacing w:line="270" w:lineRule="auto"/>
        <w:rPr>
          <w:rFonts w:ascii="Arial"/>
          <w:sz w:val="21"/>
        </w:rPr>
      </w:pPr>
    </w:p>
    <w:p w14:paraId="122C7972">
      <w:pPr>
        <w:spacing w:before="75" w:line="393" w:lineRule="auto"/>
        <w:ind w:left="29" w:right="75" w:firstLine="456"/>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 xml:space="preserve">)  《辽宁省环境保护条例》，辽宁省第十二届人民代表大会常务委员会第 </w:t>
      </w:r>
      <w:r>
        <w:rPr>
          <w:rFonts w:ascii="Times New Roman" w:hAnsi="Times New Roman" w:eastAsia="Times New Roman" w:cs="Times New Roman"/>
          <w:spacing w:val="-6"/>
          <w:sz w:val="23"/>
          <w:szCs w:val="23"/>
        </w:rPr>
        <w:t>3</w:t>
      </w:r>
      <w:r>
        <w:rPr>
          <w:rFonts w:ascii="Times New Roman" w:hAnsi="Times New Roman" w:eastAsia="Times New Roman" w:cs="Times New Roman"/>
          <w:sz w:val="23"/>
          <w:szCs w:val="23"/>
        </w:rPr>
        <w:t xml:space="preserve">8 </w:t>
      </w:r>
      <w:r>
        <w:rPr>
          <w:rFonts w:ascii="宋体" w:hAnsi="宋体" w:eastAsia="宋体" w:cs="宋体"/>
          <w:spacing w:val="-12"/>
          <w:sz w:val="23"/>
          <w:szCs w:val="23"/>
        </w:rPr>
        <w:t>次会议</w:t>
      </w:r>
      <w:r>
        <w:rPr>
          <w:rFonts w:ascii="宋体" w:hAnsi="宋体" w:eastAsia="宋体" w:cs="宋体"/>
          <w:spacing w:val="-6"/>
          <w:sz w:val="23"/>
          <w:szCs w:val="23"/>
        </w:rPr>
        <w:t>审议通过，</w:t>
      </w:r>
      <w:r>
        <w:rPr>
          <w:rFonts w:ascii="Times New Roman" w:hAnsi="Times New Roman" w:eastAsia="Times New Roman" w:cs="Times New Roman"/>
          <w:spacing w:val="-6"/>
          <w:sz w:val="23"/>
          <w:szCs w:val="23"/>
        </w:rPr>
        <w:t xml:space="preserve">2018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日起施行；</w:t>
      </w:r>
    </w:p>
    <w:p w14:paraId="1CA2FBE0">
      <w:pPr>
        <w:spacing w:before="149" w:line="227" w:lineRule="auto"/>
        <w:ind w:left="486"/>
        <w:rPr>
          <w:rFonts w:ascii="Times New Roman" w:hAnsi="Times New Roman" w:eastAsia="Times New Roman" w:cs="Times New Roman"/>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《辽宁省产业发展指导目录 (</w:t>
      </w:r>
      <w:r>
        <w:rPr>
          <w:rFonts w:ascii="Times New Roman" w:hAnsi="Times New Roman" w:eastAsia="Times New Roman" w:cs="Times New Roman"/>
          <w:spacing w:val="2"/>
          <w:sz w:val="23"/>
          <w:szCs w:val="23"/>
        </w:rPr>
        <w:t>2008</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年本) 》，辽宁省经济委员会，</w:t>
      </w:r>
      <w:r>
        <w:rPr>
          <w:rFonts w:ascii="Times New Roman" w:hAnsi="Times New Roman" w:eastAsia="Times New Roman" w:cs="Times New Roman"/>
          <w:spacing w:val="1"/>
          <w:sz w:val="23"/>
          <w:szCs w:val="23"/>
        </w:rPr>
        <w:t>2008</w:t>
      </w:r>
    </w:p>
    <w:p w14:paraId="5D894F3F">
      <w:pPr>
        <w:spacing w:before="198" w:line="227" w:lineRule="auto"/>
        <w:ind w:left="24"/>
        <w:rPr>
          <w:rFonts w:ascii="宋体" w:hAnsi="宋体" w:eastAsia="宋体" w:cs="宋体"/>
          <w:sz w:val="23"/>
          <w:szCs w:val="23"/>
        </w:rPr>
      </w:pPr>
      <w:r>
        <w:rPr>
          <w:rFonts w:ascii="宋体" w:hAnsi="宋体" w:eastAsia="宋体" w:cs="宋体"/>
          <w:spacing w:val="-11"/>
          <w:sz w:val="23"/>
          <w:szCs w:val="23"/>
        </w:rPr>
        <w:t>年</w:t>
      </w:r>
      <w:r>
        <w:rPr>
          <w:rFonts w:ascii="宋体" w:hAnsi="宋体" w:eastAsia="宋体" w:cs="宋体"/>
          <w:spacing w:val="-9"/>
          <w:sz w:val="23"/>
          <w:szCs w:val="23"/>
        </w:rPr>
        <w:t xml:space="preserve"> </w:t>
      </w:r>
      <w:r>
        <w:rPr>
          <w:rFonts w:ascii="Times New Roman" w:hAnsi="Times New Roman" w:eastAsia="Times New Roman" w:cs="Times New Roman"/>
          <w:spacing w:val="-9"/>
          <w:sz w:val="23"/>
          <w:szCs w:val="23"/>
        </w:rPr>
        <w:t xml:space="preserve">12 </w:t>
      </w:r>
      <w:r>
        <w:rPr>
          <w:rFonts w:ascii="宋体" w:hAnsi="宋体" w:eastAsia="宋体" w:cs="宋体"/>
          <w:spacing w:val="-9"/>
          <w:sz w:val="23"/>
          <w:szCs w:val="23"/>
        </w:rPr>
        <w:t>月；</w:t>
      </w:r>
    </w:p>
    <w:p w14:paraId="1AECAE01">
      <w:pPr>
        <w:spacing w:line="284" w:lineRule="auto"/>
        <w:rPr>
          <w:rFonts w:ascii="Arial"/>
          <w:sz w:val="21"/>
        </w:rPr>
      </w:pPr>
    </w:p>
    <w:p w14:paraId="151B035E">
      <w:pPr>
        <w:spacing w:before="75" w:line="385" w:lineRule="auto"/>
        <w:ind w:left="33" w:right="68" w:firstLine="452"/>
        <w:rPr>
          <w:rFonts w:ascii="宋体" w:hAnsi="宋体" w:eastAsia="宋体" w:cs="宋体"/>
          <w:sz w:val="23"/>
          <w:szCs w:val="23"/>
        </w:rPr>
      </w:pPr>
      <w:r>
        <w:rPr>
          <w:rFonts w:ascii="宋体" w:hAnsi="宋体" w:eastAsia="宋体" w:cs="宋体"/>
          <w:spacing w:val="-3"/>
          <w:sz w:val="23"/>
          <w:szCs w:val="23"/>
        </w:rPr>
        <w:t>(</w:t>
      </w:r>
      <w:r>
        <w:rPr>
          <w:rFonts w:ascii="Times New Roman" w:hAnsi="Times New Roman" w:eastAsia="Times New Roman" w:cs="Times New Roman"/>
          <w:spacing w:val="-3"/>
          <w:sz w:val="23"/>
          <w:szCs w:val="23"/>
        </w:rPr>
        <w:t>3</w:t>
      </w:r>
      <w:r>
        <w:rPr>
          <w:rFonts w:ascii="宋体" w:hAnsi="宋体" w:eastAsia="宋体" w:cs="宋体"/>
          <w:spacing w:val="-3"/>
          <w:sz w:val="23"/>
          <w:szCs w:val="23"/>
        </w:rPr>
        <w:t>)  《辽宁省建设项目环境监理管理办法》，辽宁省环境保护厅文件，辽</w:t>
      </w:r>
      <w:r>
        <w:rPr>
          <w:rFonts w:ascii="宋体" w:hAnsi="宋体" w:eastAsia="宋体" w:cs="宋体"/>
          <w:spacing w:val="-1"/>
          <w:sz w:val="23"/>
          <w:szCs w:val="23"/>
        </w:rPr>
        <w:t>环</w:t>
      </w:r>
      <w:r>
        <w:rPr>
          <w:rFonts w:ascii="宋体" w:hAnsi="宋体" w:eastAsia="宋体" w:cs="宋体"/>
          <w:sz w:val="23"/>
          <w:szCs w:val="23"/>
        </w:rPr>
        <w:t xml:space="preserve">发 </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6"/>
          <w:sz w:val="23"/>
          <w:szCs w:val="23"/>
        </w:rPr>
        <w:t xml:space="preserve">016]8 </w:t>
      </w:r>
      <w:r>
        <w:rPr>
          <w:rFonts w:ascii="宋体" w:hAnsi="宋体" w:eastAsia="宋体" w:cs="宋体"/>
          <w:spacing w:val="-6"/>
          <w:sz w:val="23"/>
          <w:szCs w:val="23"/>
        </w:rPr>
        <w:t>号，</w:t>
      </w:r>
      <w:r>
        <w:rPr>
          <w:rFonts w:ascii="Times New Roman" w:hAnsi="Times New Roman" w:eastAsia="Times New Roman" w:cs="Times New Roman"/>
          <w:spacing w:val="-6"/>
          <w:sz w:val="23"/>
          <w:szCs w:val="23"/>
        </w:rPr>
        <w:t xml:space="preserve">2016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3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25 </w:t>
      </w:r>
      <w:r>
        <w:rPr>
          <w:rFonts w:ascii="宋体" w:hAnsi="宋体" w:eastAsia="宋体" w:cs="宋体"/>
          <w:spacing w:val="-6"/>
          <w:sz w:val="23"/>
          <w:szCs w:val="23"/>
        </w:rPr>
        <w:t>日；</w:t>
      </w:r>
    </w:p>
    <w:p w14:paraId="7970BD7D">
      <w:pPr>
        <w:spacing w:before="169" w:line="383" w:lineRule="auto"/>
        <w:ind w:left="26" w:right="68" w:firstLine="459"/>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4</w:t>
      </w:r>
      <w:r>
        <w:rPr>
          <w:rFonts w:ascii="宋体" w:hAnsi="宋体" w:eastAsia="宋体" w:cs="宋体"/>
          <w:spacing w:val="6"/>
          <w:sz w:val="23"/>
          <w:szCs w:val="23"/>
        </w:rPr>
        <w:t xml:space="preserve">)  </w:t>
      </w:r>
      <w:r>
        <w:rPr>
          <w:rFonts w:ascii="宋体" w:hAnsi="宋体" w:eastAsia="宋体" w:cs="宋体"/>
          <w:spacing w:val="4"/>
          <w:sz w:val="23"/>
          <w:szCs w:val="23"/>
        </w:rPr>
        <w:t>《</w:t>
      </w:r>
      <w:r>
        <w:rPr>
          <w:rFonts w:ascii="宋体" w:hAnsi="宋体" w:eastAsia="宋体" w:cs="宋体"/>
          <w:spacing w:val="3"/>
          <w:sz w:val="23"/>
          <w:szCs w:val="23"/>
        </w:rPr>
        <w:t>辽宁省环境保护厅关于贯彻执行环保部建设项目主要污染物排放总量</w:t>
      </w:r>
      <w:r>
        <w:rPr>
          <w:rFonts w:ascii="宋体" w:hAnsi="宋体" w:eastAsia="宋体" w:cs="宋体"/>
          <w:sz w:val="23"/>
          <w:szCs w:val="23"/>
        </w:rPr>
        <w:t xml:space="preserve"> </w:t>
      </w:r>
      <w:r>
        <w:rPr>
          <w:rFonts w:ascii="宋体" w:hAnsi="宋体" w:eastAsia="宋体" w:cs="宋体"/>
          <w:spacing w:val="-8"/>
          <w:sz w:val="23"/>
          <w:szCs w:val="23"/>
        </w:rPr>
        <w:t>指标审核及管理暂行</w:t>
      </w:r>
      <w:r>
        <w:rPr>
          <w:rFonts w:ascii="宋体" w:hAnsi="宋体" w:eastAsia="宋体" w:cs="宋体"/>
          <w:spacing w:val="-4"/>
          <w:sz w:val="23"/>
          <w:szCs w:val="23"/>
        </w:rPr>
        <w:t>办法的通知》，辽环发</w:t>
      </w:r>
      <w:r>
        <w:rPr>
          <w:rFonts w:ascii="Times New Roman" w:hAnsi="Times New Roman" w:eastAsia="Times New Roman" w:cs="Times New Roman"/>
          <w:spacing w:val="-4"/>
          <w:sz w:val="23"/>
          <w:szCs w:val="23"/>
        </w:rPr>
        <w:t xml:space="preserve">[2015]17 </w:t>
      </w:r>
      <w:r>
        <w:rPr>
          <w:rFonts w:ascii="宋体" w:hAnsi="宋体" w:eastAsia="宋体" w:cs="宋体"/>
          <w:spacing w:val="-4"/>
          <w:sz w:val="23"/>
          <w:szCs w:val="23"/>
        </w:rPr>
        <w:t>号，</w:t>
      </w:r>
      <w:r>
        <w:rPr>
          <w:rFonts w:ascii="Times New Roman" w:hAnsi="Times New Roman" w:eastAsia="Times New Roman" w:cs="Times New Roman"/>
          <w:spacing w:val="-4"/>
          <w:sz w:val="23"/>
          <w:szCs w:val="23"/>
        </w:rPr>
        <w:t xml:space="preserve">2015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13 </w:t>
      </w:r>
      <w:r>
        <w:rPr>
          <w:rFonts w:ascii="宋体" w:hAnsi="宋体" w:eastAsia="宋体" w:cs="宋体"/>
          <w:spacing w:val="-4"/>
          <w:sz w:val="23"/>
          <w:szCs w:val="23"/>
        </w:rPr>
        <w:t>日；</w:t>
      </w:r>
    </w:p>
    <w:p w14:paraId="118DBAB1">
      <w:pPr>
        <w:spacing w:before="173" w:line="393" w:lineRule="auto"/>
        <w:ind w:left="24" w:right="75" w:firstLine="46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4"/>
          <w:sz w:val="23"/>
          <w:szCs w:val="23"/>
        </w:rPr>
        <w:t>5</w:t>
      </w:r>
      <w:r>
        <w:rPr>
          <w:rFonts w:ascii="宋体" w:hAnsi="宋体" w:eastAsia="宋体" w:cs="宋体"/>
          <w:spacing w:val="-9"/>
          <w:sz w:val="23"/>
          <w:szCs w:val="23"/>
        </w:rPr>
        <w:t xml:space="preserve">)  《辽宁省固体废物污染环境防治办法》，辽宁省人民政府令第 </w:t>
      </w:r>
      <w:r>
        <w:rPr>
          <w:rFonts w:ascii="Times New Roman" w:hAnsi="Times New Roman" w:eastAsia="Times New Roman" w:cs="Times New Roman"/>
          <w:spacing w:val="-9"/>
          <w:sz w:val="23"/>
          <w:szCs w:val="23"/>
        </w:rPr>
        <w:t xml:space="preserve">311 </w:t>
      </w:r>
      <w:r>
        <w:rPr>
          <w:rFonts w:ascii="宋体" w:hAnsi="宋体" w:eastAsia="宋体" w:cs="宋体"/>
          <w:spacing w:val="-9"/>
          <w:sz w:val="23"/>
          <w:szCs w:val="23"/>
        </w:rPr>
        <w:t>号，</w:t>
      </w:r>
      <w:r>
        <w:rPr>
          <w:rFonts w:ascii="Times New Roman" w:hAnsi="Times New Roman" w:eastAsia="Times New Roman" w:cs="Times New Roman"/>
          <w:spacing w:val="-9"/>
          <w:sz w:val="23"/>
          <w:szCs w:val="23"/>
        </w:rPr>
        <w:t>2017</w:t>
      </w:r>
      <w:r>
        <w:rPr>
          <w:rFonts w:ascii="Times New Roman" w:hAnsi="Times New Roman" w:eastAsia="Times New Roman" w:cs="Times New Roman"/>
          <w:sz w:val="23"/>
          <w:szCs w:val="23"/>
        </w:rPr>
        <w:t xml:space="preserve"> </w:t>
      </w:r>
      <w:r>
        <w:rPr>
          <w:rFonts w:ascii="宋体" w:hAnsi="宋体" w:eastAsia="宋体" w:cs="宋体"/>
          <w:spacing w:val="-14"/>
          <w:sz w:val="23"/>
          <w:szCs w:val="23"/>
        </w:rPr>
        <w:t>年</w:t>
      </w:r>
      <w:r>
        <w:rPr>
          <w:rFonts w:ascii="宋体" w:hAnsi="宋体" w:eastAsia="宋体" w:cs="宋体"/>
          <w:spacing w:val="-10"/>
          <w:sz w:val="23"/>
          <w:szCs w:val="23"/>
        </w:rPr>
        <w:t xml:space="preserve"> </w:t>
      </w:r>
      <w:r>
        <w:rPr>
          <w:rFonts w:ascii="Times New Roman" w:hAnsi="Times New Roman" w:eastAsia="Times New Roman" w:cs="Times New Roman"/>
          <w:spacing w:val="-10"/>
          <w:sz w:val="23"/>
          <w:szCs w:val="23"/>
        </w:rPr>
        <w:t xml:space="preserve">11 </w:t>
      </w:r>
      <w:r>
        <w:rPr>
          <w:rFonts w:ascii="宋体" w:hAnsi="宋体" w:eastAsia="宋体" w:cs="宋体"/>
          <w:spacing w:val="-10"/>
          <w:sz w:val="23"/>
          <w:szCs w:val="23"/>
        </w:rPr>
        <w:t xml:space="preserve">月 </w:t>
      </w:r>
      <w:r>
        <w:rPr>
          <w:rFonts w:ascii="Times New Roman" w:hAnsi="Times New Roman" w:eastAsia="Times New Roman" w:cs="Times New Roman"/>
          <w:spacing w:val="-10"/>
          <w:sz w:val="23"/>
          <w:szCs w:val="23"/>
        </w:rPr>
        <w:t xml:space="preserve">29 </w:t>
      </w:r>
      <w:r>
        <w:rPr>
          <w:rFonts w:ascii="宋体" w:hAnsi="宋体" w:eastAsia="宋体" w:cs="宋体"/>
          <w:spacing w:val="-10"/>
          <w:sz w:val="23"/>
          <w:szCs w:val="23"/>
        </w:rPr>
        <w:t>日修订；</w:t>
      </w:r>
    </w:p>
    <w:p w14:paraId="52E221EC">
      <w:pPr>
        <w:spacing w:before="149" w:line="227" w:lineRule="auto"/>
        <w:ind w:left="486"/>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6</w:t>
      </w:r>
      <w:r>
        <w:rPr>
          <w:rFonts w:ascii="宋体" w:hAnsi="宋体" w:eastAsia="宋体" w:cs="宋体"/>
          <w:spacing w:val="-4"/>
          <w:sz w:val="23"/>
          <w:szCs w:val="23"/>
        </w:rPr>
        <w:t>)  《辽宁省大气污染物防</w:t>
      </w:r>
      <w:r>
        <w:rPr>
          <w:rFonts w:ascii="宋体" w:hAnsi="宋体" w:eastAsia="宋体" w:cs="宋体"/>
          <w:spacing w:val="-2"/>
          <w:sz w:val="23"/>
          <w:szCs w:val="23"/>
        </w:rPr>
        <w:t>治条例》，辽宁省人民代表大会常务委员会公告第</w:t>
      </w:r>
    </w:p>
    <w:p w14:paraId="6A3BD01D">
      <w:pPr>
        <w:spacing w:before="197" w:line="227" w:lineRule="auto"/>
        <w:ind w:left="22"/>
        <w:rPr>
          <w:rFonts w:ascii="宋体" w:hAnsi="宋体" w:eastAsia="宋体" w:cs="宋体"/>
          <w:sz w:val="23"/>
          <w:szCs w:val="23"/>
        </w:rPr>
      </w:pPr>
      <w:r>
        <w:rPr>
          <w:rFonts w:ascii="Times New Roman" w:hAnsi="Times New Roman" w:eastAsia="Times New Roman" w:cs="Times New Roman"/>
          <w:spacing w:val="-12"/>
          <w:sz w:val="23"/>
          <w:szCs w:val="23"/>
        </w:rPr>
        <w:t>71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号，</w:t>
      </w:r>
      <w:r>
        <w:rPr>
          <w:rFonts w:ascii="Times New Roman" w:hAnsi="Times New Roman" w:eastAsia="Times New Roman" w:cs="Times New Roman"/>
          <w:spacing w:val="-6"/>
          <w:sz w:val="23"/>
          <w:szCs w:val="23"/>
        </w:rPr>
        <w:t xml:space="preserve">2017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8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日起施行；</w:t>
      </w:r>
    </w:p>
    <w:p w14:paraId="0F1DF814">
      <w:pPr>
        <w:spacing w:line="288" w:lineRule="auto"/>
        <w:rPr>
          <w:rFonts w:ascii="Arial"/>
          <w:sz w:val="21"/>
        </w:rPr>
      </w:pPr>
    </w:p>
    <w:p w14:paraId="44385DBF">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7</w:t>
      </w:r>
      <w:r>
        <w:rPr>
          <w:rFonts w:ascii="宋体" w:hAnsi="宋体" w:eastAsia="宋体" w:cs="宋体"/>
          <w:spacing w:val="-2"/>
          <w:sz w:val="23"/>
          <w:szCs w:val="23"/>
        </w:rPr>
        <w:t xml:space="preserve">) </w:t>
      </w:r>
      <w:r>
        <w:rPr>
          <w:rFonts w:ascii="宋体" w:hAnsi="宋体" w:eastAsia="宋体" w:cs="宋体"/>
          <w:spacing w:val="-1"/>
          <w:sz w:val="23"/>
          <w:szCs w:val="23"/>
        </w:rPr>
        <w:t xml:space="preserve"> 《辽宁省辽河流域水污染防治条例》，辽宁省十一届人大常委会第 </w:t>
      </w:r>
      <w:r>
        <w:rPr>
          <w:rFonts w:ascii="Times New Roman" w:hAnsi="Times New Roman" w:eastAsia="Times New Roman" w:cs="Times New Roman"/>
          <w:spacing w:val="-1"/>
          <w:sz w:val="23"/>
          <w:szCs w:val="23"/>
        </w:rPr>
        <w:t xml:space="preserve">21 </w:t>
      </w:r>
      <w:r>
        <w:rPr>
          <w:rFonts w:ascii="宋体" w:hAnsi="宋体" w:eastAsia="宋体" w:cs="宋体"/>
          <w:spacing w:val="-1"/>
          <w:sz w:val="23"/>
          <w:szCs w:val="23"/>
        </w:rPr>
        <w:t>次</w:t>
      </w:r>
    </w:p>
    <w:p w14:paraId="0ACE8905">
      <w:pPr>
        <w:sectPr>
          <w:headerReference r:id="rId46" w:type="default"/>
          <w:footerReference r:id="rId47" w:type="default"/>
          <w:pgSz w:w="11906" w:h="16839"/>
          <w:pgMar w:top="1132" w:right="1735" w:bottom="1156" w:left="1785" w:header="878" w:footer="996" w:gutter="0"/>
          <w:cols w:space="720" w:num="1"/>
        </w:sectPr>
      </w:pPr>
    </w:p>
    <w:p w14:paraId="2B527D13">
      <w:pPr>
        <w:spacing w:line="408" w:lineRule="auto"/>
        <w:rPr>
          <w:rFonts w:ascii="Arial"/>
          <w:sz w:val="21"/>
        </w:rPr>
      </w:pPr>
      <w:r>
        <w:pict>
          <v:shape id="_x0000_s1083" o:spid="_x0000_s1083" style="position:absolute;left:0pt;margin-left:90pt;margin-top:57.35pt;height:0.75pt;width:415.3pt;mso-position-horizontal-relative:page;mso-position-vertical-relative:page;z-index:251720704;mso-width-relative:page;mso-height-relative:page;" fillcolor="#000000" filled="t" stroked="f" coordsize="8305,15" o:allowincell="f" path="m0,0l8305,0,8305,14,0,14,0,0xe">
            <v:path/>
            <v:fill on="t" focussize="0,0"/>
            <v:stroke on="f"/>
            <v:imagedata o:title=""/>
            <o:lock v:ext="edit"/>
          </v:shape>
        </w:pict>
      </w:r>
    </w:p>
    <w:p w14:paraId="381E76C5">
      <w:pPr>
        <w:spacing w:before="75" w:line="227" w:lineRule="auto"/>
        <w:ind w:left="22"/>
        <w:rPr>
          <w:rFonts w:ascii="宋体" w:hAnsi="宋体" w:eastAsia="宋体" w:cs="宋体"/>
          <w:sz w:val="23"/>
          <w:szCs w:val="23"/>
        </w:rPr>
      </w:pPr>
      <w:r>
        <w:rPr>
          <w:rFonts w:ascii="宋体" w:hAnsi="宋体" w:eastAsia="宋体" w:cs="宋体"/>
          <w:spacing w:val="-7"/>
          <w:sz w:val="23"/>
          <w:szCs w:val="23"/>
        </w:rPr>
        <w:t>会议审议通过，</w:t>
      </w:r>
      <w:r>
        <w:rPr>
          <w:rFonts w:ascii="Times New Roman" w:hAnsi="Times New Roman" w:eastAsia="Times New Roman" w:cs="Times New Roman"/>
          <w:spacing w:val="-7"/>
          <w:sz w:val="23"/>
          <w:szCs w:val="23"/>
        </w:rPr>
        <w:t xml:space="preserve">2011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日起施行</w:t>
      </w:r>
      <w:r>
        <w:rPr>
          <w:rFonts w:ascii="宋体" w:hAnsi="宋体" w:eastAsia="宋体" w:cs="宋体"/>
          <w:spacing w:val="-4"/>
          <w:sz w:val="23"/>
          <w:szCs w:val="23"/>
        </w:rPr>
        <w:t>；</w:t>
      </w:r>
    </w:p>
    <w:p w14:paraId="15E71807">
      <w:pPr>
        <w:spacing w:line="243" w:lineRule="auto"/>
        <w:rPr>
          <w:rFonts w:ascii="Arial"/>
          <w:sz w:val="21"/>
        </w:rPr>
      </w:pPr>
    </w:p>
    <w:p w14:paraId="4944A9D8">
      <w:pPr>
        <w:spacing w:before="75" w:line="323" w:lineRule="exact"/>
        <w:ind w:left="486"/>
        <w:rPr>
          <w:rFonts w:ascii="宋体" w:hAnsi="宋体" w:eastAsia="宋体" w:cs="宋体"/>
          <w:sz w:val="23"/>
          <w:szCs w:val="23"/>
        </w:rPr>
      </w:pPr>
      <w:r>
        <w:rPr>
          <w:rFonts w:ascii="宋体" w:hAnsi="宋体" w:eastAsia="宋体" w:cs="宋体"/>
          <w:spacing w:val="-8"/>
          <w:position w:val="2"/>
          <w:sz w:val="23"/>
          <w:szCs w:val="23"/>
        </w:rPr>
        <w:t>(</w:t>
      </w:r>
      <w:r>
        <w:rPr>
          <w:rFonts w:ascii="Times New Roman" w:hAnsi="Times New Roman" w:eastAsia="Times New Roman" w:cs="Times New Roman"/>
          <w:spacing w:val="-6"/>
          <w:position w:val="2"/>
          <w:sz w:val="23"/>
          <w:szCs w:val="23"/>
        </w:rPr>
        <w:t>8</w:t>
      </w:r>
      <w:r>
        <w:rPr>
          <w:rFonts w:ascii="宋体" w:hAnsi="宋体" w:eastAsia="宋体" w:cs="宋体"/>
          <w:spacing w:val="-6"/>
          <w:position w:val="2"/>
          <w:sz w:val="23"/>
          <w:szCs w:val="23"/>
        </w:rPr>
        <w:t>)  《关于做好全省大气污染联防联控工作的意见》，辽政办发</w:t>
      </w:r>
      <w:r>
        <w:rPr>
          <w:rFonts w:ascii="Times New Roman" w:hAnsi="Times New Roman" w:eastAsia="Times New Roman" w:cs="Times New Roman"/>
          <w:spacing w:val="-6"/>
          <w:position w:val="2"/>
          <w:sz w:val="23"/>
          <w:szCs w:val="23"/>
        </w:rPr>
        <w:t xml:space="preserve">[2011]23 </w:t>
      </w:r>
      <w:r>
        <w:rPr>
          <w:rFonts w:ascii="宋体" w:hAnsi="宋体" w:eastAsia="宋体" w:cs="宋体"/>
          <w:spacing w:val="-6"/>
          <w:position w:val="2"/>
          <w:sz w:val="23"/>
          <w:szCs w:val="23"/>
        </w:rPr>
        <w:t>号文，</w:t>
      </w:r>
    </w:p>
    <w:p w14:paraId="64120075">
      <w:pPr>
        <w:spacing w:before="203" w:line="227" w:lineRule="auto"/>
        <w:ind w:left="19"/>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Times New Roman" w:hAnsi="Times New Roman" w:eastAsia="Times New Roman" w:cs="Times New Roman"/>
          <w:spacing w:val="-9"/>
          <w:sz w:val="23"/>
          <w:szCs w:val="23"/>
        </w:rPr>
        <w:t>0</w:t>
      </w:r>
      <w:r>
        <w:rPr>
          <w:rFonts w:ascii="Times New Roman" w:hAnsi="Times New Roman" w:eastAsia="Times New Roman" w:cs="Times New Roman"/>
          <w:spacing w:val="-8"/>
          <w:sz w:val="23"/>
          <w:szCs w:val="23"/>
        </w:rPr>
        <w:t xml:space="preserve">11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 xml:space="preserve">月 </w:t>
      </w:r>
      <w:r>
        <w:rPr>
          <w:rFonts w:ascii="Times New Roman" w:hAnsi="Times New Roman" w:eastAsia="Times New Roman" w:cs="Times New Roman"/>
          <w:spacing w:val="-8"/>
          <w:sz w:val="23"/>
          <w:szCs w:val="23"/>
        </w:rPr>
        <w:t xml:space="preserve">15 </w:t>
      </w:r>
      <w:r>
        <w:rPr>
          <w:rFonts w:ascii="宋体" w:hAnsi="宋体" w:eastAsia="宋体" w:cs="宋体"/>
          <w:spacing w:val="-8"/>
          <w:sz w:val="23"/>
          <w:szCs w:val="23"/>
        </w:rPr>
        <w:t>日；</w:t>
      </w:r>
    </w:p>
    <w:p w14:paraId="708C70AA">
      <w:pPr>
        <w:spacing w:line="242" w:lineRule="auto"/>
        <w:rPr>
          <w:rFonts w:ascii="Arial"/>
          <w:sz w:val="21"/>
        </w:rPr>
      </w:pPr>
    </w:p>
    <w:p w14:paraId="24AF8269">
      <w:pPr>
        <w:spacing w:before="75" w:line="323" w:lineRule="exact"/>
        <w:ind w:left="483"/>
        <w:rPr>
          <w:rFonts w:ascii="宋体" w:hAnsi="宋体" w:eastAsia="宋体" w:cs="宋体"/>
          <w:sz w:val="23"/>
          <w:szCs w:val="23"/>
        </w:rPr>
      </w:pP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9</w:t>
      </w:r>
      <w:r>
        <w:rPr>
          <w:rFonts w:ascii="宋体" w:hAnsi="宋体" w:eastAsia="宋体" w:cs="宋体"/>
          <w:spacing w:val="-2"/>
          <w:position w:val="2"/>
          <w:sz w:val="20"/>
          <w:szCs w:val="20"/>
        </w:rPr>
        <w:t xml:space="preserve">)  </w:t>
      </w:r>
      <w:r>
        <w:rPr>
          <w:rFonts w:ascii="宋体" w:hAnsi="宋体" w:eastAsia="宋体" w:cs="宋体"/>
          <w:spacing w:val="-2"/>
          <w:position w:val="2"/>
          <w:sz w:val="23"/>
          <w:szCs w:val="23"/>
        </w:rPr>
        <w:t>《辽宁省大气污染防治行动计划实施方案》，辽政发</w:t>
      </w:r>
      <w:r>
        <w:rPr>
          <w:rFonts w:ascii="Times New Roman" w:hAnsi="Times New Roman" w:eastAsia="Times New Roman" w:cs="Times New Roman"/>
          <w:spacing w:val="-2"/>
          <w:position w:val="2"/>
          <w:sz w:val="23"/>
          <w:szCs w:val="23"/>
        </w:rPr>
        <w:t>[2014]8</w:t>
      </w:r>
      <w:r>
        <w:rPr>
          <w:rFonts w:ascii="Times New Roman" w:hAnsi="Times New Roman" w:eastAsia="Times New Roman" w:cs="Times New Roman"/>
          <w:spacing w:val="-1"/>
          <w:position w:val="2"/>
          <w:sz w:val="23"/>
          <w:szCs w:val="23"/>
        </w:rPr>
        <w:t xml:space="preserve"> </w:t>
      </w:r>
      <w:r>
        <w:rPr>
          <w:rFonts w:ascii="宋体" w:hAnsi="宋体" w:eastAsia="宋体" w:cs="宋体"/>
          <w:position w:val="2"/>
          <w:sz w:val="23"/>
          <w:szCs w:val="23"/>
        </w:rPr>
        <w:t>号；</w:t>
      </w:r>
    </w:p>
    <w:p w14:paraId="629A93EE">
      <w:pPr>
        <w:spacing w:line="291" w:lineRule="auto"/>
        <w:rPr>
          <w:rFonts w:ascii="Arial"/>
          <w:sz w:val="21"/>
        </w:rPr>
      </w:pPr>
    </w:p>
    <w:p w14:paraId="77D6F411">
      <w:pPr>
        <w:spacing w:before="75" w:line="227" w:lineRule="auto"/>
        <w:ind w:left="486"/>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10</w:t>
      </w:r>
      <w:r>
        <w:rPr>
          <w:rFonts w:ascii="宋体" w:hAnsi="宋体" w:eastAsia="宋体" w:cs="宋体"/>
          <w:spacing w:val="1"/>
          <w:sz w:val="23"/>
          <w:szCs w:val="23"/>
        </w:rPr>
        <w:t>)  《辽宁</w:t>
      </w:r>
      <w:r>
        <w:rPr>
          <w:rFonts w:ascii="宋体" w:hAnsi="宋体" w:eastAsia="宋体" w:cs="宋体"/>
          <w:sz w:val="23"/>
          <w:szCs w:val="23"/>
        </w:rPr>
        <w:t>省人民政府关于印发辽宁省水污染防治工作方案的通知》辽政发</w:t>
      </w:r>
    </w:p>
    <w:p w14:paraId="462824C3">
      <w:pPr>
        <w:spacing w:before="152" w:line="322" w:lineRule="exact"/>
        <w:ind w:left="33"/>
        <w:rPr>
          <w:rFonts w:ascii="宋体" w:hAnsi="宋体" w:eastAsia="宋体" w:cs="宋体"/>
          <w:sz w:val="23"/>
          <w:szCs w:val="23"/>
        </w:rPr>
      </w:pPr>
      <w:r>
        <w:rPr>
          <w:rFonts w:ascii="Times New Roman" w:hAnsi="Times New Roman" w:eastAsia="Times New Roman" w:cs="Times New Roman"/>
          <w:spacing w:val="-4"/>
          <w:position w:val="3"/>
          <w:sz w:val="23"/>
          <w:szCs w:val="23"/>
        </w:rPr>
        <w:t>[</w:t>
      </w:r>
      <w:r>
        <w:rPr>
          <w:rFonts w:ascii="Times New Roman" w:hAnsi="Times New Roman" w:eastAsia="Times New Roman" w:cs="Times New Roman"/>
          <w:spacing w:val="-3"/>
          <w:position w:val="3"/>
          <w:sz w:val="23"/>
          <w:szCs w:val="23"/>
        </w:rPr>
        <w:t>2</w:t>
      </w:r>
      <w:r>
        <w:rPr>
          <w:rFonts w:ascii="Times New Roman" w:hAnsi="Times New Roman" w:eastAsia="Times New Roman" w:cs="Times New Roman"/>
          <w:spacing w:val="-2"/>
          <w:position w:val="3"/>
          <w:sz w:val="23"/>
          <w:szCs w:val="23"/>
        </w:rPr>
        <w:t xml:space="preserve">015]79 </w:t>
      </w:r>
      <w:r>
        <w:rPr>
          <w:rFonts w:ascii="宋体" w:hAnsi="宋体" w:eastAsia="宋体" w:cs="宋体"/>
          <w:spacing w:val="-2"/>
          <w:position w:val="3"/>
          <w:sz w:val="23"/>
          <w:szCs w:val="23"/>
        </w:rPr>
        <w:t>号；</w:t>
      </w:r>
    </w:p>
    <w:p w14:paraId="49412765">
      <w:pPr>
        <w:spacing w:line="292" w:lineRule="auto"/>
        <w:rPr>
          <w:rFonts w:ascii="Arial"/>
          <w:sz w:val="21"/>
        </w:rPr>
      </w:pPr>
    </w:p>
    <w:p w14:paraId="11278E96">
      <w:pPr>
        <w:spacing w:before="75" w:line="393" w:lineRule="auto"/>
        <w:ind w:left="22" w:right="103" w:firstLine="463"/>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11</w:t>
      </w:r>
      <w:r>
        <w:rPr>
          <w:rFonts w:ascii="宋体" w:hAnsi="宋体" w:eastAsia="宋体" w:cs="宋体"/>
          <w:spacing w:val="1"/>
          <w:sz w:val="23"/>
          <w:szCs w:val="23"/>
        </w:rPr>
        <w:t>)  《辽宁</w:t>
      </w:r>
      <w:r>
        <w:rPr>
          <w:rFonts w:ascii="宋体" w:hAnsi="宋体" w:eastAsia="宋体" w:cs="宋体"/>
          <w:sz w:val="23"/>
          <w:szCs w:val="23"/>
        </w:rPr>
        <w:t xml:space="preserve">省人民政府关于印发辽宁省土壤污染防治工作方案的通知》，辽 </w:t>
      </w:r>
      <w:r>
        <w:rPr>
          <w:rFonts w:ascii="宋体" w:hAnsi="宋体" w:eastAsia="宋体" w:cs="宋体"/>
          <w:spacing w:val="-2"/>
          <w:sz w:val="23"/>
          <w:szCs w:val="23"/>
        </w:rPr>
        <w:t>政发〔</w:t>
      </w:r>
      <w:r>
        <w:rPr>
          <w:rFonts w:ascii="Times New Roman" w:hAnsi="Times New Roman" w:eastAsia="Times New Roman" w:cs="Times New Roman"/>
          <w:spacing w:val="-2"/>
          <w:sz w:val="23"/>
          <w:szCs w:val="23"/>
        </w:rPr>
        <w:t>2016</w:t>
      </w:r>
      <w:r>
        <w:rPr>
          <w:rFonts w:ascii="宋体" w:hAnsi="宋体" w:eastAsia="宋体" w:cs="宋体"/>
          <w:spacing w:val="-2"/>
          <w:sz w:val="23"/>
          <w:szCs w:val="23"/>
        </w:rPr>
        <w:t>〕</w:t>
      </w:r>
      <w:r>
        <w:rPr>
          <w:rFonts w:ascii="Times New Roman" w:hAnsi="Times New Roman" w:eastAsia="Times New Roman" w:cs="Times New Roman"/>
          <w:spacing w:val="-2"/>
          <w:sz w:val="23"/>
          <w:szCs w:val="23"/>
        </w:rPr>
        <w:t>5</w:t>
      </w:r>
      <w:r>
        <w:rPr>
          <w:rFonts w:ascii="Times New Roman" w:hAnsi="Times New Roman" w:eastAsia="Times New Roman" w:cs="Times New Roman"/>
          <w:spacing w:val="-1"/>
          <w:sz w:val="23"/>
          <w:szCs w:val="23"/>
        </w:rPr>
        <w:t xml:space="preserve">8 </w:t>
      </w:r>
      <w:r>
        <w:rPr>
          <w:rFonts w:ascii="宋体" w:hAnsi="宋体" w:eastAsia="宋体" w:cs="宋体"/>
          <w:spacing w:val="-1"/>
          <w:sz w:val="23"/>
          <w:szCs w:val="23"/>
        </w:rPr>
        <w:t>号；</w:t>
      </w:r>
    </w:p>
    <w:p w14:paraId="717ADBEE">
      <w:pPr>
        <w:spacing w:before="148" w:line="227" w:lineRule="auto"/>
        <w:ind w:left="486"/>
        <w:rPr>
          <w:rFonts w:ascii="宋体" w:hAnsi="宋体" w:eastAsia="宋体" w:cs="宋体"/>
          <w:sz w:val="23"/>
          <w:szCs w:val="23"/>
        </w:rPr>
      </w:pPr>
      <w:r>
        <w:rPr>
          <w:rFonts w:ascii="宋体" w:hAnsi="宋体" w:eastAsia="宋体" w:cs="宋体"/>
          <w:spacing w:val="-3"/>
          <w:sz w:val="23"/>
          <w:szCs w:val="23"/>
        </w:rPr>
        <w:t>(</w:t>
      </w:r>
      <w:r>
        <w:rPr>
          <w:rFonts w:ascii="Times New Roman" w:hAnsi="Times New Roman" w:eastAsia="Times New Roman" w:cs="Times New Roman"/>
          <w:spacing w:val="-3"/>
          <w:sz w:val="23"/>
          <w:szCs w:val="23"/>
        </w:rPr>
        <w:t>12</w:t>
      </w:r>
      <w:r>
        <w:rPr>
          <w:rFonts w:ascii="宋体" w:hAnsi="宋体" w:eastAsia="宋体" w:cs="宋体"/>
          <w:spacing w:val="-3"/>
          <w:sz w:val="23"/>
          <w:szCs w:val="23"/>
        </w:rPr>
        <w:t>)  《辽宁省打赢蓝天保卫战三年行动方案(</w:t>
      </w:r>
      <w:r>
        <w:rPr>
          <w:rFonts w:ascii="Times New Roman" w:hAnsi="Times New Roman" w:eastAsia="Times New Roman" w:cs="Times New Roman"/>
          <w:spacing w:val="-3"/>
          <w:sz w:val="23"/>
          <w:szCs w:val="23"/>
        </w:rPr>
        <w:t xml:space="preserve">2018-2020 </w:t>
      </w:r>
      <w:r>
        <w:rPr>
          <w:rFonts w:ascii="宋体" w:hAnsi="宋体" w:eastAsia="宋体" w:cs="宋体"/>
          <w:spacing w:val="-3"/>
          <w:sz w:val="23"/>
          <w:szCs w:val="23"/>
        </w:rPr>
        <w:t>年)》(辽政发【</w:t>
      </w:r>
      <w:r>
        <w:rPr>
          <w:rFonts w:ascii="Times New Roman" w:hAnsi="Times New Roman" w:eastAsia="Times New Roman" w:cs="Times New Roman"/>
          <w:spacing w:val="-3"/>
          <w:sz w:val="23"/>
          <w:szCs w:val="23"/>
        </w:rPr>
        <w:t>201</w:t>
      </w:r>
      <w:r>
        <w:rPr>
          <w:rFonts w:ascii="Times New Roman" w:hAnsi="Times New Roman" w:eastAsia="Times New Roman" w:cs="Times New Roman"/>
          <w:spacing w:val="-2"/>
          <w:sz w:val="23"/>
          <w:szCs w:val="23"/>
        </w:rPr>
        <w:t>8</w:t>
      </w:r>
      <w:r>
        <w:rPr>
          <w:rFonts w:ascii="宋体" w:hAnsi="宋体" w:eastAsia="宋体" w:cs="宋体"/>
          <w:sz w:val="23"/>
          <w:szCs w:val="23"/>
        </w:rPr>
        <w:t>】</w:t>
      </w:r>
    </w:p>
    <w:p w14:paraId="026AED7B">
      <w:pPr>
        <w:spacing w:before="198" w:line="227" w:lineRule="auto"/>
        <w:ind w:left="23"/>
        <w:rPr>
          <w:rFonts w:ascii="宋体" w:hAnsi="宋体" w:eastAsia="宋体" w:cs="宋体"/>
          <w:sz w:val="23"/>
          <w:szCs w:val="23"/>
        </w:rPr>
      </w:pPr>
      <w:r>
        <w:rPr>
          <w:rFonts w:ascii="Times New Roman" w:hAnsi="Times New Roman" w:eastAsia="Times New Roman" w:cs="Times New Roman"/>
          <w:spacing w:val="-9"/>
          <w:sz w:val="23"/>
          <w:szCs w:val="23"/>
        </w:rPr>
        <w:t>3</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号) ，</w:t>
      </w:r>
      <w:r>
        <w:rPr>
          <w:rFonts w:ascii="Times New Roman" w:hAnsi="Times New Roman" w:eastAsia="Times New Roman" w:cs="Times New Roman"/>
          <w:spacing w:val="-6"/>
          <w:sz w:val="23"/>
          <w:szCs w:val="23"/>
        </w:rPr>
        <w:t xml:space="preserve">2018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10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13 </w:t>
      </w:r>
      <w:r>
        <w:rPr>
          <w:rFonts w:ascii="宋体" w:hAnsi="宋体" w:eastAsia="宋体" w:cs="宋体"/>
          <w:spacing w:val="-6"/>
          <w:sz w:val="23"/>
          <w:szCs w:val="23"/>
        </w:rPr>
        <w:t>日；</w:t>
      </w:r>
    </w:p>
    <w:p w14:paraId="43D5EC36">
      <w:pPr>
        <w:spacing w:line="242" w:lineRule="auto"/>
        <w:rPr>
          <w:rFonts w:ascii="Arial"/>
          <w:sz w:val="21"/>
        </w:rPr>
      </w:pPr>
    </w:p>
    <w:p w14:paraId="5F562B0F">
      <w:pPr>
        <w:spacing w:before="75" w:line="323" w:lineRule="exact"/>
        <w:ind w:left="486"/>
        <w:rPr>
          <w:rFonts w:ascii="宋体" w:hAnsi="宋体" w:eastAsia="宋体" w:cs="宋体"/>
          <w:sz w:val="23"/>
          <w:szCs w:val="23"/>
        </w:rPr>
      </w:pPr>
      <w:r>
        <w:rPr>
          <w:rFonts w:ascii="宋体" w:hAnsi="宋体" w:eastAsia="宋体" w:cs="宋体"/>
          <w:spacing w:val="-2"/>
          <w:position w:val="1"/>
          <w:sz w:val="23"/>
          <w:szCs w:val="23"/>
        </w:rPr>
        <w:t>(</w:t>
      </w:r>
      <w:r>
        <w:rPr>
          <w:rFonts w:ascii="Times New Roman" w:hAnsi="Times New Roman" w:eastAsia="Times New Roman" w:cs="Times New Roman"/>
          <w:spacing w:val="-2"/>
          <w:position w:val="1"/>
          <w:sz w:val="23"/>
          <w:szCs w:val="23"/>
        </w:rPr>
        <w:t>13</w:t>
      </w:r>
      <w:r>
        <w:rPr>
          <w:rFonts w:ascii="宋体" w:hAnsi="宋体" w:eastAsia="宋体" w:cs="宋体"/>
          <w:spacing w:val="-2"/>
          <w:position w:val="1"/>
          <w:sz w:val="23"/>
          <w:szCs w:val="23"/>
        </w:rPr>
        <w:t>)  《防治城市扬尘污染技术规范</w:t>
      </w:r>
      <w:r>
        <w:rPr>
          <w:rFonts w:ascii="宋体" w:hAnsi="宋体" w:eastAsia="宋体" w:cs="宋体"/>
          <w:spacing w:val="-1"/>
          <w:position w:val="1"/>
          <w:sz w:val="23"/>
          <w:szCs w:val="23"/>
        </w:rPr>
        <w:t>》，</w:t>
      </w:r>
      <w:r>
        <w:rPr>
          <w:rFonts w:ascii="Times New Roman" w:hAnsi="Times New Roman" w:eastAsia="Times New Roman" w:cs="Times New Roman"/>
          <w:spacing w:val="-1"/>
          <w:position w:val="1"/>
          <w:sz w:val="23"/>
          <w:szCs w:val="23"/>
        </w:rPr>
        <w:t>HJ/T393-2007</w:t>
      </w:r>
      <w:r>
        <w:rPr>
          <w:rFonts w:ascii="宋体" w:hAnsi="宋体" w:eastAsia="宋体" w:cs="宋体"/>
          <w:spacing w:val="-1"/>
          <w:position w:val="1"/>
          <w:sz w:val="23"/>
          <w:szCs w:val="23"/>
        </w:rPr>
        <w:t>；</w:t>
      </w:r>
    </w:p>
    <w:p w14:paraId="36F88F7F">
      <w:pPr>
        <w:spacing w:line="291" w:lineRule="auto"/>
        <w:rPr>
          <w:rFonts w:ascii="Arial"/>
          <w:sz w:val="21"/>
        </w:rPr>
      </w:pPr>
    </w:p>
    <w:p w14:paraId="2BA880F4">
      <w:pPr>
        <w:spacing w:before="75" w:line="227" w:lineRule="auto"/>
        <w:ind w:left="486"/>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14</w:t>
      </w:r>
      <w:r>
        <w:rPr>
          <w:rFonts w:ascii="宋体" w:hAnsi="宋体" w:eastAsia="宋体" w:cs="宋体"/>
          <w:spacing w:val="-4"/>
          <w:sz w:val="23"/>
          <w:szCs w:val="23"/>
        </w:rPr>
        <w:t xml:space="preserve">)  《本溪市 </w:t>
      </w:r>
      <w:r>
        <w:rPr>
          <w:rFonts w:ascii="Times New Roman" w:hAnsi="Times New Roman" w:eastAsia="Times New Roman" w:cs="Times New Roman"/>
          <w:spacing w:val="-4"/>
          <w:sz w:val="23"/>
          <w:szCs w:val="23"/>
        </w:rPr>
        <w:t xml:space="preserve">2015 </w:t>
      </w:r>
      <w:r>
        <w:rPr>
          <w:rFonts w:ascii="宋体" w:hAnsi="宋体" w:eastAsia="宋体" w:cs="宋体"/>
          <w:spacing w:val="-4"/>
          <w:sz w:val="23"/>
          <w:szCs w:val="23"/>
        </w:rPr>
        <w:t>年度蓝天工程暨大气污染防治行动计划实施方案》 (本</w:t>
      </w:r>
      <w:r>
        <w:rPr>
          <w:rFonts w:ascii="宋体" w:hAnsi="宋体" w:eastAsia="宋体" w:cs="宋体"/>
          <w:sz w:val="23"/>
          <w:szCs w:val="23"/>
        </w:rPr>
        <w:t>蓝</w:t>
      </w:r>
    </w:p>
    <w:p w14:paraId="5D60F26C">
      <w:pPr>
        <w:spacing w:before="155" w:line="323" w:lineRule="exact"/>
        <w:ind w:left="28"/>
        <w:rPr>
          <w:rFonts w:ascii="宋体" w:hAnsi="宋体" w:eastAsia="宋体" w:cs="宋体"/>
          <w:sz w:val="23"/>
          <w:szCs w:val="23"/>
        </w:rPr>
      </w:pPr>
      <w:r>
        <w:rPr>
          <w:rFonts w:ascii="宋体" w:hAnsi="宋体" w:eastAsia="宋体" w:cs="宋体"/>
          <w:spacing w:val="-10"/>
          <w:position w:val="2"/>
          <w:sz w:val="23"/>
          <w:szCs w:val="23"/>
        </w:rPr>
        <w:t>天办</w:t>
      </w:r>
      <w:r>
        <w:rPr>
          <w:rFonts w:ascii="Times New Roman" w:hAnsi="Times New Roman" w:eastAsia="Times New Roman" w:cs="Times New Roman"/>
          <w:spacing w:val="-10"/>
          <w:position w:val="2"/>
          <w:sz w:val="23"/>
          <w:szCs w:val="23"/>
        </w:rPr>
        <w:t>[</w:t>
      </w:r>
      <w:r>
        <w:rPr>
          <w:rFonts w:ascii="Times New Roman" w:hAnsi="Times New Roman" w:eastAsia="Times New Roman" w:cs="Times New Roman"/>
          <w:spacing w:val="-6"/>
          <w:position w:val="2"/>
          <w:sz w:val="23"/>
          <w:szCs w:val="23"/>
        </w:rPr>
        <w:t>2</w:t>
      </w:r>
      <w:r>
        <w:rPr>
          <w:rFonts w:ascii="Times New Roman" w:hAnsi="Times New Roman" w:eastAsia="Times New Roman" w:cs="Times New Roman"/>
          <w:spacing w:val="-5"/>
          <w:position w:val="2"/>
          <w:sz w:val="23"/>
          <w:szCs w:val="23"/>
        </w:rPr>
        <w:t xml:space="preserve">015]1 </w:t>
      </w:r>
      <w:r>
        <w:rPr>
          <w:rFonts w:ascii="宋体" w:hAnsi="宋体" w:eastAsia="宋体" w:cs="宋体"/>
          <w:spacing w:val="-5"/>
          <w:position w:val="2"/>
          <w:sz w:val="23"/>
          <w:szCs w:val="23"/>
        </w:rPr>
        <w:t>号) ，</w:t>
      </w:r>
      <w:r>
        <w:rPr>
          <w:rFonts w:ascii="Times New Roman" w:hAnsi="Times New Roman" w:eastAsia="Times New Roman" w:cs="Times New Roman"/>
          <w:spacing w:val="-5"/>
          <w:position w:val="2"/>
          <w:sz w:val="23"/>
          <w:szCs w:val="23"/>
        </w:rPr>
        <w:t xml:space="preserve">2015 </w:t>
      </w:r>
      <w:r>
        <w:rPr>
          <w:rFonts w:ascii="宋体" w:hAnsi="宋体" w:eastAsia="宋体" w:cs="宋体"/>
          <w:spacing w:val="-5"/>
          <w:position w:val="2"/>
          <w:sz w:val="23"/>
          <w:szCs w:val="23"/>
        </w:rPr>
        <w:t xml:space="preserve">年 </w:t>
      </w:r>
      <w:r>
        <w:rPr>
          <w:rFonts w:ascii="Times New Roman" w:hAnsi="Times New Roman" w:eastAsia="Times New Roman" w:cs="Times New Roman"/>
          <w:spacing w:val="-5"/>
          <w:position w:val="2"/>
          <w:sz w:val="23"/>
          <w:szCs w:val="23"/>
        </w:rPr>
        <w:t xml:space="preserve">2 </w:t>
      </w:r>
      <w:r>
        <w:rPr>
          <w:rFonts w:ascii="宋体" w:hAnsi="宋体" w:eastAsia="宋体" w:cs="宋体"/>
          <w:spacing w:val="-5"/>
          <w:position w:val="2"/>
          <w:sz w:val="23"/>
          <w:szCs w:val="23"/>
        </w:rPr>
        <w:t xml:space="preserve">月 </w:t>
      </w:r>
      <w:r>
        <w:rPr>
          <w:rFonts w:ascii="Times New Roman" w:hAnsi="Times New Roman" w:eastAsia="Times New Roman" w:cs="Times New Roman"/>
          <w:spacing w:val="-5"/>
          <w:position w:val="2"/>
          <w:sz w:val="23"/>
          <w:szCs w:val="23"/>
        </w:rPr>
        <w:t xml:space="preserve">15 </w:t>
      </w:r>
      <w:r>
        <w:rPr>
          <w:rFonts w:ascii="宋体" w:hAnsi="宋体" w:eastAsia="宋体" w:cs="宋体"/>
          <w:spacing w:val="-5"/>
          <w:position w:val="2"/>
          <w:sz w:val="23"/>
          <w:szCs w:val="23"/>
        </w:rPr>
        <w:t>日；</w:t>
      </w:r>
    </w:p>
    <w:p w14:paraId="0BBD8CF5">
      <w:pPr>
        <w:spacing w:line="291" w:lineRule="auto"/>
        <w:rPr>
          <w:rFonts w:ascii="Arial"/>
          <w:sz w:val="21"/>
        </w:rPr>
      </w:pPr>
    </w:p>
    <w:p w14:paraId="676AFCD2">
      <w:pPr>
        <w:spacing w:before="75" w:line="227" w:lineRule="auto"/>
        <w:ind w:left="486"/>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15</w:t>
      </w:r>
      <w:r>
        <w:rPr>
          <w:rFonts w:ascii="宋体" w:hAnsi="宋体" w:eastAsia="宋体" w:cs="宋体"/>
          <w:spacing w:val="-4"/>
          <w:sz w:val="23"/>
          <w:szCs w:val="23"/>
        </w:rPr>
        <w:t>)  《本溪市人民政府</w:t>
      </w:r>
      <w:r>
        <w:rPr>
          <w:rFonts w:ascii="宋体" w:hAnsi="宋体" w:eastAsia="宋体" w:cs="宋体"/>
          <w:spacing w:val="-2"/>
          <w:sz w:val="23"/>
          <w:szCs w:val="23"/>
        </w:rPr>
        <w:t>关于印发本溪市水污染防治工作方案的通知》  (本政</w:t>
      </w:r>
    </w:p>
    <w:p w14:paraId="72CB2FCB">
      <w:pPr>
        <w:spacing w:before="198" w:line="227" w:lineRule="auto"/>
        <w:ind w:left="27"/>
        <w:rPr>
          <w:rFonts w:ascii="宋体" w:hAnsi="宋体" w:eastAsia="宋体" w:cs="宋体"/>
          <w:sz w:val="23"/>
          <w:szCs w:val="23"/>
        </w:rPr>
      </w:pPr>
      <w:r>
        <w:rPr>
          <w:rFonts w:ascii="宋体" w:hAnsi="宋体" w:eastAsia="宋体" w:cs="宋体"/>
          <w:spacing w:val="-6"/>
          <w:sz w:val="23"/>
          <w:szCs w:val="23"/>
        </w:rPr>
        <w:t>发〔</w:t>
      </w:r>
      <w:r>
        <w:rPr>
          <w:rFonts w:ascii="Times New Roman" w:hAnsi="Times New Roman" w:eastAsia="Times New Roman" w:cs="Times New Roman"/>
          <w:spacing w:val="-6"/>
          <w:sz w:val="23"/>
          <w:szCs w:val="23"/>
        </w:rPr>
        <w:t>2016</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7 </w:t>
      </w:r>
      <w:r>
        <w:rPr>
          <w:rFonts w:ascii="宋体" w:hAnsi="宋体" w:eastAsia="宋体" w:cs="宋体"/>
          <w:spacing w:val="-6"/>
          <w:sz w:val="23"/>
          <w:szCs w:val="23"/>
        </w:rPr>
        <w:t>号) ，</w:t>
      </w:r>
      <w:r>
        <w:rPr>
          <w:rFonts w:ascii="Times New Roman" w:hAnsi="Times New Roman" w:eastAsia="Times New Roman" w:cs="Times New Roman"/>
          <w:spacing w:val="-6"/>
          <w:sz w:val="23"/>
          <w:szCs w:val="23"/>
        </w:rPr>
        <w:t xml:space="preserve">2016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11 </w:t>
      </w:r>
      <w:r>
        <w:rPr>
          <w:rFonts w:ascii="宋体" w:hAnsi="宋体" w:eastAsia="宋体" w:cs="宋体"/>
          <w:spacing w:val="-6"/>
          <w:sz w:val="23"/>
          <w:szCs w:val="23"/>
        </w:rPr>
        <w:t>日</w:t>
      </w:r>
      <w:r>
        <w:rPr>
          <w:rFonts w:ascii="宋体" w:hAnsi="宋体" w:eastAsia="宋体" w:cs="宋体"/>
          <w:spacing w:val="-5"/>
          <w:sz w:val="23"/>
          <w:szCs w:val="23"/>
        </w:rPr>
        <w:t>；</w:t>
      </w:r>
    </w:p>
    <w:p w14:paraId="62562855">
      <w:pPr>
        <w:spacing w:line="285" w:lineRule="auto"/>
        <w:rPr>
          <w:rFonts w:ascii="Arial"/>
          <w:sz w:val="21"/>
        </w:rPr>
      </w:pPr>
    </w:p>
    <w:p w14:paraId="0BDC1E4A">
      <w:pPr>
        <w:spacing w:before="75" w:line="393" w:lineRule="auto"/>
        <w:ind w:left="28" w:right="103" w:firstLine="457"/>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16</w:t>
      </w:r>
      <w:r>
        <w:rPr>
          <w:rFonts w:ascii="宋体" w:hAnsi="宋体" w:eastAsia="宋体" w:cs="宋体"/>
          <w:spacing w:val="1"/>
          <w:sz w:val="23"/>
          <w:szCs w:val="23"/>
        </w:rPr>
        <w:t>)  《本溪</w:t>
      </w:r>
      <w:r>
        <w:rPr>
          <w:rFonts w:ascii="宋体" w:hAnsi="宋体" w:eastAsia="宋体" w:cs="宋体"/>
          <w:sz w:val="23"/>
          <w:szCs w:val="23"/>
        </w:rPr>
        <w:t xml:space="preserve">市人民政府关于印发本溪市大气污染防治行动计划实施方案的通 </w:t>
      </w:r>
      <w:r>
        <w:rPr>
          <w:rFonts w:ascii="宋体" w:hAnsi="宋体" w:eastAsia="宋体" w:cs="宋体"/>
          <w:spacing w:val="-16"/>
          <w:sz w:val="23"/>
          <w:szCs w:val="23"/>
        </w:rPr>
        <w:t>知</w:t>
      </w:r>
      <w:r>
        <w:rPr>
          <w:rFonts w:ascii="宋体" w:hAnsi="宋体" w:eastAsia="宋体" w:cs="宋体"/>
          <w:spacing w:val="-8"/>
          <w:sz w:val="23"/>
          <w:szCs w:val="23"/>
        </w:rPr>
        <w:t>》  (本政发〔</w:t>
      </w:r>
      <w:r>
        <w:rPr>
          <w:rFonts w:ascii="Times New Roman" w:hAnsi="Times New Roman" w:eastAsia="Times New Roman" w:cs="Times New Roman"/>
          <w:spacing w:val="-8"/>
          <w:sz w:val="23"/>
          <w:szCs w:val="23"/>
        </w:rPr>
        <w:t>2015</w:t>
      </w:r>
      <w:r>
        <w:rPr>
          <w:rFonts w:ascii="宋体" w:hAnsi="宋体" w:eastAsia="宋体" w:cs="宋体"/>
          <w:spacing w:val="-8"/>
          <w:sz w:val="23"/>
          <w:szCs w:val="23"/>
        </w:rPr>
        <w:t>〕</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号) ，</w:t>
      </w:r>
      <w:r>
        <w:rPr>
          <w:rFonts w:ascii="Times New Roman" w:hAnsi="Times New Roman" w:eastAsia="Times New Roman" w:cs="Times New Roman"/>
          <w:spacing w:val="-8"/>
          <w:sz w:val="23"/>
          <w:szCs w:val="23"/>
        </w:rPr>
        <w:t xml:space="preserve">2015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月 </w:t>
      </w:r>
      <w:r>
        <w:rPr>
          <w:rFonts w:ascii="Times New Roman" w:hAnsi="Times New Roman" w:eastAsia="Times New Roman" w:cs="Times New Roman"/>
          <w:spacing w:val="-8"/>
          <w:sz w:val="23"/>
          <w:szCs w:val="23"/>
        </w:rPr>
        <w:t xml:space="preserve">27 </w:t>
      </w:r>
      <w:r>
        <w:rPr>
          <w:rFonts w:ascii="宋体" w:hAnsi="宋体" w:eastAsia="宋体" w:cs="宋体"/>
          <w:spacing w:val="-8"/>
          <w:sz w:val="23"/>
          <w:szCs w:val="23"/>
        </w:rPr>
        <w:t>日；</w:t>
      </w:r>
    </w:p>
    <w:p w14:paraId="75385935">
      <w:pPr>
        <w:spacing w:before="148" w:line="393" w:lineRule="auto"/>
        <w:ind w:left="34" w:right="106" w:firstLine="451"/>
        <w:rPr>
          <w:rFonts w:ascii="宋体" w:hAnsi="宋体" w:eastAsia="宋体" w:cs="宋体"/>
          <w:sz w:val="23"/>
          <w:szCs w:val="23"/>
        </w:rPr>
      </w:pPr>
      <w:r>
        <w:rPr>
          <w:rFonts w:ascii="宋体" w:hAnsi="宋体" w:eastAsia="宋体" w:cs="宋体"/>
          <w:spacing w:val="36"/>
          <w:sz w:val="23"/>
          <w:szCs w:val="23"/>
        </w:rPr>
        <w:t>(</w:t>
      </w:r>
      <w:r>
        <w:rPr>
          <w:rFonts w:ascii="Times New Roman" w:hAnsi="Times New Roman" w:eastAsia="Times New Roman" w:cs="Times New Roman"/>
          <w:spacing w:val="20"/>
          <w:sz w:val="23"/>
          <w:szCs w:val="23"/>
        </w:rPr>
        <w:t>17</w:t>
      </w:r>
      <w:r>
        <w:rPr>
          <w:rFonts w:ascii="宋体" w:hAnsi="宋体" w:eastAsia="宋体" w:cs="宋体"/>
          <w:spacing w:val="20"/>
          <w:sz w:val="23"/>
          <w:szCs w:val="23"/>
        </w:rPr>
        <w:t>)  《本溪市人民政府关于印发本溪市打赢蓝天保卫战三年行动方案</w:t>
      </w:r>
      <w:r>
        <w:rPr>
          <w:rFonts w:ascii="宋体" w:hAnsi="宋体" w:eastAsia="宋体" w:cs="宋体"/>
          <w:sz w:val="23"/>
          <w:szCs w:val="23"/>
        </w:rPr>
        <w:t xml:space="preserve"> </w:t>
      </w:r>
      <w:r>
        <w:rPr>
          <w:rFonts w:ascii="宋体" w:hAnsi="宋体" w:eastAsia="宋体" w:cs="宋体"/>
          <w:spacing w:val="-8"/>
          <w:sz w:val="23"/>
          <w:szCs w:val="23"/>
        </w:rPr>
        <w:t>(</w:t>
      </w:r>
      <w:r>
        <w:rPr>
          <w:rFonts w:ascii="Times New Roman" w:hAnsi="Times New Roman" w:eastAsia="Times New Roman" w:cs="Times New Roman"/>
          <w:spacing w:val="-4"/>
          <w:sz w:val="23"/>
          <w:szCs w:val="23"/>
        </w:rPr>
        <w:t xml:space="preserve">2018—2020 </w:t>
      </w:r>
      <w:r>
        <w:rPr>
          <w:rFonts w:ascii="宋体" w:hAnsi="宋体" w:eastAsia="宋体" w:cs="宋体"/>
          <w:spacing w:val="-4"/>
          <w:sz w:val="23"/>
          <w:szCs w:val="23"/>
        </w:rPr>
        <w:t>年) 的通知》  (本政发〔</w:t>
      </w:r>
      <w:r>
        <w:rPr>
          <w:rFonts w:ascii="Times New Roman" w:hAnsi="Times New Roman" w:eastAsia="Times New Roman" w:cs="Times New Roman"/>
          <w:spacing w:val="-4"/>
          <w:sz w:val="23"/>
          <w:szCs w:val="23"/>
        </w:rPr>
        <w:t>2019</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号) ，</w:t>
      </w:r>
      <w:r>
        <w:rPr>
          <w:rFonts w:ascii="Times New Roman" w:hAnsi="Times New Roman" w:eastAsia="Times New Roman" w:cs="Times New Roman"/>
          <w:spacing w:val="-4"/>
          <w:sz w:val="23"/>
          <w:szCs w:val="23"/>
        </w:rPr>
        <w:t xml:space="preserve">2019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31 </w:t>
      </w:r>
      <w:r>
        <w:rPr>
          <w:rFonts w:ascii="宋体" w:hAnsi="宋体" w:eastAsia="宋体" w:cs="宋体"/>
          <w:spacing w:val="-4"/>
          <w:sz w:val="23"/>
          <w:szCs w:val="23"/>
        </w:rPr>
        <w:t>日。</w:t>
      </w:r>
    </w:p>
    <w:p w14:paraId="01C08D89">
      <w:pPr>
        <w:spacing w:before="96" w:line="224" w:lineRule="auto"/>
        <w:ind w:left="21"/>
        <w:outlineLvl w:val="2"/>
        <w:rPr>
          <w:rFonts w:ascii="宋体" w:hAnsi="宋体" w:eastAsia="宋体" w:cs="宋体"/>
          <w:sz w:val="29"/>
          <w:szCs w:val="29"/>
        </w:rPr>
      </w:pPr>
      <w:r>
        <w:rPr>
          <w:rFonts w:ascii="Times New Roman" w:hAnsi="Times New Roman" w:eastAsia="Times New Roman" w:cs="Times New Roman"/>
          <w:b/>
          <w:bCs/>
          <w:spacing w:val="-2"/>
          <w:sz w:val="29"/>
          <w:szCs w:val="29"/>
        </w:rPr>
        <w:t>2.2.3</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建设项目环境影响评价的相关政策及</w:t>
      </w:r>
      <w:r>
        <w:rPr>
          <w:rFonts w:ascii="宋体" w:hAnsi="宋体" w:eastAsia="宋体" w:cs="宋体"/>
          <w:spacing w:val="-1"/>
          <w:sz w:val="29"/>
          <w:szCs w:val="29"/>
          <w14:textOutline w14:w="5448" w14:cap="sq" w14:cmpd="sng">
            <w14:solidFill>
              <w14:srgbClr w14:val="000000"/>
            </w14:solidFill>
            <w14:prstDash w14:val="solid"/>
            <w14:bevel/>
          </w14:textOutline>
        </w:rPr>
        <w:t>规</w:t>
      </w:r>
      <w:r>
        <w:rPr>
          <w:rFonts w:ascii="宋体" w:hAnsi="宋体" w:eastAsia="宋体" w:cs="宋体"/>
          <w:sz w:val="29"/>
          <w:szCs w:val="29"/>
          <w14:textOutline w14:w="5448" w14:cap="sq" w14:cmpd="sng">
            <w14:solidFill>
              <w14:srgbClr w14:val="000000"/>
            </w14:solidFill>
            <w14:prstDash w14:val="solid"/>
            <w14:bevel/>
          </w14:textOutline>
        </w:rPr>
        <w:t>划</w:t>
      </w:r>
    </w:p>
    <w:p w14:paraId="6494FBFC">
      <w:pPr>
        <w:spacing w:before="304" w:line="323" w:lineRule="exact"/>
        <w:ind w:left="462"/>
        <w:rPr>
          <w:rFonts w:ascii="宋体" w:hAnsi="宋体" w:eastAsia="宋体" w:cs="宋体"/>
          <w:sz w:val="23"/>
          <w:szCs w:val="23"/>
        </w:rPr>
      </w:pPr>
      <w:r>
        <w:rPr>
          <w:rFonts w:ascii="宋体" w:hAnsi="宋体" w:eastAsia="宋体" w:cs="宋体"/>
          <w:spacing w:val="-28"/>
          <w:position w:val="2"/>
          <w:sz w:val="23"/>
          <w:szCs w:val="23"/>
        </w:rPr>
        <w:t>(</w:t>
      </w:r>
      <w:r>
        <w:rPr>
          <w:rFonts w:ascii="Times New Roman" w:hAnsi="Times New Roman" w:eastAsia="Times New Roman" w:cs="Times New Roman"/>
          <w:spacing w:val="-26"/>
          <w:position w:val="2"/>
          <w:sz w:val="23"/>
          <w:szCs w:val="23"/>
        </w:rPr>
        <w:t>1</w:t>
      </w:r>
      <w:r>
        <w:rPr>
          <w:rFonts w:ascii="宋体" w:hAnsi="宋体" w:eastAsia="宋体" w:cs="宋体"/>
          <w:spacing w:val="-14"/>
          <w:position w:val="2"/>
          <w:sz w:val="23"/>
          <w:szCs w:val="23"/>
        </w:rPr>
        <w:t>)  《关于进一步加强环境影响评价管理防范环境风险的通知》(环发</w:t>
      </w:r>
      <w:r>
        <w:rPr>
          <w:rFonts w:ascii="Times New Roman" w:hAnsi="Times New Roman" w:eastAsia="Times New Roman" w:cs="Times New Roman"/>
          <w:spacing w:val="-14"/>
          <w:position w:val="2"/>
          <w:sz w:val="23"/>
          <w:szCs w:val="23"/>
        </w:rPr>
        <w:t xml:space="preserve">[2012]77 </w:t>
      </w:r>
      <w:r>
        <w:rPr>
          <w:rFonts w:ascii="宋体" w:hAnsi="宋体" w:eastAsia="宋体" w:cs="宋体"/>
          <w:spacing w:val="-14"/>
          <w:position w:val="2"/>
          <w:sz w:val="23"/>
          <w:szCs w:val="23"/>
        </w:rPr>
        <w:t>号)；</w:t>
      </w:r>
    </w:p>
    <w:p w14:paraId="7747F20A">
      <w:pPr>
        <w:spacing w:line="245" w:lineRule="auto"/>
        <w:rPr>
          <w:rFonts w:ascii="Arial"/>
          <w:sz w:val="21"/>
        </w:rPr>
      </w:pPr>
    </w:p>
    <w:p w14:paraId="10571D49">
      <w:pPr>
        <w:spacing w:before="75" w:line="398" w:lineRule="auto"/>
        <w:ind w:left="46" w:right="162" w:firstLine="439"/>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3"/>
          <w:sz w:val="23"/>
          <w:szCs w:val="23"/>
        </w:rPr>
        <w:t>2</w:t>
      </w:r>
      <w:r>
        <w:rPr>
          <w:rFonts w:ascii="宋体" w:hAnsi="宋体" w:eastAsia="宋体" w:cs="宋体"/>
          <w:spacing w:val="-3"/>
          <w:sz w:val="23"/>
          <w:szCs w:val="23"/>
        </w:rPr>
        <w:t>)  《产业结构调整指导目录</w:t>
      </w:r>
      <w:r>
        <w:rPr>
          <w:rFonts w:ascii="Times New Roman" w:hAnsi="Times New Roman" w:eastAsia="Times New Roman" w:cs="Times New Roman"/>
          <w:spacing w:val="-3"/>
          <w:sz w:val="23"/>
          <w:szCs w:val="23"/>
        </w:rPr>
        <w:t xml:space="preserve">(2011 </w:t>
      </w:r>
      <w:r>
        <w:rPr>
          <w:rFonts w:ascii="宋体" w:hAnsi="宋体" w:eastAsia="宋体" w:cs="宋体"/>
          <w:spacing w:val="-3"/>
          <w:sz w:val="23"/>
          <w:szCs w:val="23"/>
        </w:rPr>
        <w:t>年本，</w:t>
      </w:r>
      <w:r>
        <w:rPr>
          <w:rFonts w:ascii="Times New Roman" w:hAnsi="Times New Roman" w:eastAsia="Times New Roman" w:cs="Times New Roman"/>
          <w:spacing w:val="-3"/>
          <w:sz w:val="23"/>
          <w:szCs w:val="23"/>
        </w:rPr>
        <w:t xml:space="preserve">2013 </w:t>
      </w:r>
      <w:r>
        <w:rPr>
          <w:rFonts w:ascii="宋体" w:hAnsi="宋体" w:eastAsia="宋体" w:cs="宋体"/>
          <w:spacing w:val="-3"/>
          <w:sz w:val="23"/>
          <w:szCs w:val="23"/>
        </w:rPr>
        <w:t>年修订</w:t>
      </w:r>
      <w:r>
        <w:rPr>
          <w:rFonts w:ascii="Times New Roman" w:hAnsi="Times New Roman" w:eastAsia="Times New Roman" w:cs="Times New Roman"/>
          <w:spacing w:val="-3"/>
          <w:sz w:val="23"/>
          <w:szCs w:val="23"/>
        </w:rPr>
        <w:t>)</w:t>
      </w:r>
      <w:r>
        <w:rPr>
          <w:rFonts w:ascii="宋体" w:hAnsi="宋体" w:eastAsia="宋体" w:cs="宋体"/>
          <w:spacing w:val="-3"/>
          <w:sz w:val="23"/>
          <w:szCs w:val="23"/>
        </w:rPr>
        <w:t>》  (</w:t>
      </w:r>
      <w:r>
        <w:rPr>
          <w:rFonts w:ascii="Times New Roman" w:hAnsi="Times New Roman" w:eastAsia="Times New Roman" w:cs="Times New Roman"/>
          <w:spacing w:val="-3"/>
          <w:sz w:val="23"/>
          <w:szCs w:val="23"/>
        </w:rPr>
        <w:t xml:space="preserve">2013 </w:t>
      </w:r>
      <w:r>
        <w:rPr>
          <w:rFonts w:ascii="宋体" w:hAnsi="宋体" w:eastAsia="宋体" w:cs="宋体"/>
          <w:spacing w:val="-3"/>
          <w:sz w:val="23"/>
          <w:szCs w:val="23"/>
        </w:rPr>
        <w:t>年修改版，</w:t>
      </w:r>
      <w:r>
        <w:rPr>
          <w:rFonts w:ascii="宋体" w:hAnsi="宋体" w:eastAsia="宋体" w:cs="宋体"/>
          <w:sz w:val="23"/>
          <w:szCs w:val="23"/>
        </w:rPr>
        <w:t xml:space="preserve"> </w:t>
      </w:r>
      <w:r>
        <w:rPr>
          <w:rFonts w:ascii="宋体" w:hAnsi="宋体" w:eastAsia="宋体" w:cs="宋体"/>
          <w:spacing w:val="-12"/>
          <w:sz w:val="23"/>
          <w:szCs w:val="23"/>
        </w:rPr>
        <w:t>国</w:t>
      </w:r>
      <w:r>
        <w:rPr>
          <w:rFonts w:ascii="宋体" w:hAnsi="宋体" w:eastAsia="宋体" w:cs="宋体"/>
          <w:spacing w:val="-6"/>
          <w:sz w:val="23"/>
          <w:szCs w:val="23"/>
        </w:rPr>
        <w:t xml:space="preserve">家发展和改革委员会令第 </w:t>
      </w:r>
      <w:r>
        <w:rPr>
          <w:rFonts w:ascii="Times New Roman" w:hAnsi="Times New Roman" w:eastAsia="Times New Roman" w:cs="Times New Roman"/>
          <w:spacing w:val="-6"/>
          <w:sz w:val="23"/>
          <w:szCs w:val="23"/>
        </w:rPr>
        <w:t>21</w:t>
      </w:r>
      <w:r>
        <w:rPr>
          <w:rFonts w:ascii="宋体" w:hAnsi="宋体" w:eastAsia="宋体" w:cs="宋体"/>
          <w:spacing w:val="-6"/>
          <w:sz w:val="23"/>
          <w:szCs w:val="23"/>
        </w:rPr>
        <w:t>号，</w:t>
      </w:r>
      <w:r>
        <w:rPr>
          <w:rFonts w:ascii="Times New Roman" w:hAnsi="Times New Roman" w:eastAsia="Times New Roman" w:cs="Times New Roman"/>
          <w:spacing w:val="-6"/>
          <w:sz w:val="23"/>
          <w:szCs w:val="23"/>
        </w:rPr>
        <w:t xml:space="preserve">2013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5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日起施行) ；</w:t>
      </w:r>
    </w:p>
    <w:p w14:paraId="5B7F5B7F">
      <w:pPr>
        <w:spacing w:before="181" w:line="227" w:lineRule="auto"/>
        <w:ind w:left="442"/>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6"/>
          <w:sz w:val="23"/>
          <w:szCs w:val="23"/>
        </w:rPr>
        <w:t>3</w:t>
      </w:r>
      <w:r>
        <w:rPr>
          <w:rFonts w:ascii="宋体" w:hAnsi="宋体" w:eastAsia="宋体" w:cs="宋体"/>
          <w:spacing w:val="-16"/>
          <w:sz w:val="23"/>
          <w:szCs w:val="23"/>
        </w:rPr>
        <w:t>)  《本溪市土地利用总体规划 (</w:t>
      </w:r>
      <w:r>
        <w:rPr>
          <w:rFonts w:ascii="Times New Roman" w:hAnsi="Times New Roman" w:eastAsia="Times New Roman" w:cs="Times New Roman"/>
          <w:spacing w:val="-16"/>
          <w:sz w:val="23"/>
          <w:szCs w:val="23"/>
        </w:rPr>
        <w:t xml:space="preserve">2006-2020 </w:t>
      </w:r>
      <w:r>
        <w:rPr>
          <w:rFonts w:ascii="宋体" w:hAnsi="宋体" w:eastAsia="宋体" w:cs="宋体"/>
          <w:spacing w:val="-16"/>
          <w:sz w:val="23"/>
          <w:szCs w:val="23"/>
        </w:rPr>
        <w:t>年) 》本溪市人民政府，</w:t>
      </w:r>
      <w:r>
        <w:rPr>
          <w:rFonts w:ascii="Times New Roman" w:hAnsi="Times New Roman" w:eastAsia="Times New Roman" w:cs="Times New Roman"/>
          <w:spacing w:val="-16"/>
          <w:sz w:val="23"/>
          <w:szCs w:val="23"/>
        </w:rPr>
        <w:t xml:space="preserve">2011 </w:t>
      </w:r>
      <w:r>
        <w:rPr>
          <w:rFonts w:ascii="宋体" w:hAnsi="宋体" w:eastAsia="宋体" w:cs="宋体"/>
          <w:spacing w:val="-16"/>
          <w:sz w:val="23"/>
          <w:szCs w:val="23"/>
        </w:rPr>
        <w:t>年</w:t>
      </w:r>
      <w:r>
        <w:rPr>
          <w:rFonts w:ascii="Times New Roman" w:hAnsi="Times New Roman" w:eastAsia="Times New Roman" w:cs="Times New Roman"/>
          <w:spacing w:val="-16"/>
          <w:sz w:val="23"/>
          <w:szCs w:val="23"/>
        </w:rPr>
        <w:t xml:space="preserve">12 </w:t>
      </w:r>
      <w:r>
        <w:rPr>
          <w:rFonts w:ascii="宋体" w:hAnsi="宋体" w:eastAsia="宋体" w:cs="宋体"/>
          <w:spacing w:val="-16"/>
          <w:sz w:val="23"/>
          <w:szCs w:val="23"/>
        </w:rPr>
        <w:t>月；</w:t>
      </w:r>
    </w:p>
    <w:p w14:paraId="2A133A36">
      <w:pPr>
        <w:sectPr>
          <w:headerReference r:id="rId48" w:type="default"/>
          <w:footerReference r:id="rId49" w:type="default"/>
          <w:pgSz w:w="11906" w:h="16839"/>
          <w:pgMar w:top="1132" w:right="1700" w:bottom="1156" w:left="1785" w:header="878" w:footer="996" w:gutter="0"/>
          <w:cols w:space="720" w:num="1"/>
        </w:sectPr>
      </w:pPr>
    </w:p>
    <w:p w14:paraId="191241CF">
      <w:pPr>
        <w:spacing w:line="408" w:lineRule="auto"/>
        <w:rPr>
          <w:rFonts w:ascii="Arial"/>
          <w:sz w:val="21"/>
        </w:rPr>
      </w:pPr>
      <w:r>
        <w:pict>
          <v:shape id="_x0000_s1084" o:spid="_x0000_s1084" style="position:absolute;left:0pt;margin-left:90pt;margin-top:57.35pt;height:0.75pt;width:415.3pt;mso-position-horizontal-relative:page;mso-position-vertical-relative:page;z-index:251721728;mso-width-relative:page;mso-height-relative:page;" fillcolor="#000000" filled="t" stroked="f" coordsize="8305,15" o:allowincell="f" path="m0,0l8305,0,8305,14,0,14,0,0xe">
            <v:path/>
            <v:fill on="t" focussize="0,0"/>
            <v:stroke on="f"/>
            <v:imagedata o:title=""/>
            <o:lock v:ext="edit"/>
          </v:shape>
        </w:pict>
      </w:r>
    </w:p>
    <w:p w14:paraId="0DF285C7">
      <w:pPr>
        <w:spacing w:before="75" w:line="227"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7"/>
          <w:sz w:val="23"/>
          <w:szCs w:val="23"/>
        </w:rPr>
        <w:t>4</w:t>
      </w:r>
      <w:r>
        <w:rPr>
          <w:rFonts w:ascii="宋体" w:hAnsi="宋体" w:eastAsia="宋体" w:cs="宋体"/>
          <w:spacing w:val="-5"/>
          <w:sz w:val="23"/>
          <w:szCs w:val="23"/>
        </w:rPr>
        <w:t>)  《本溪市城市总体规划》  (</w:t>
      </w:r>
      <w:r>
        <w:rPr>
          <w:rFonts w:ascii="Times New Roman" w:hAnsi="Times New Roman" w:eastAsia="Times New Roman" w:cs="Times New Roman"/>
          <w:spacing w:val="-5"/>
          <w:sz w:val="23"/>
          <w:szCs w:val="23"/>
        </w:rPr>
        <w:t xml:space="preserve">2013-2020 </w:t>
      </w:r>
      <w:r>
        <w:rPr>
          <w:rFonts w:ascii="宋体" w:hAnsi="宋体" w:eastAsia="宋体" w:cs="宋体"/>
          <w:spacing w:val="-5"/>
          <w:sz w:val="23"/>
          <w:szCs w:val="23"/>
        </w:rPr>
        <w:t>年) ；</w:t>
      </w:r>
    </w:p>
    <w:p w14:paraId="71060C31">
      <w:pPr>
        <w:spacing w:line="288" w:lineRule="auto"/>
        <w:rPr>
          <w:rFonts w:ascii="Arial"/>
          <w:sz w:val="21"/>
        </w:rPr>
      </w:pPr>
    </w:p>
    <w:p w14:paraId="56CE6E1C">
      <w:pPr>
        <w:spacing w:before="75" w:line="227" w:lineRule="auto"/>
        <w:ind w:left="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7"/>
          <w:sz w:val="23"/>
          <w:szCs w:val="23"/>
        </w:rPr>
        <w:t>5</w:t>
      </w:r>
      <w:r>
        <w:rPr>
          <w:rFonts w:ascii="宋体" w:hAnsi="宋体" w:eastAsia="宋体" w:cs="宋体"/>
          <w:spacing w:val="-5"/>
          <w:sz w:val="23"/>
          <w:szCs w:val="23"/>
        </w:rPr>
        <w:t>)  《本溪市环境总体规划》  (</w:t>
      </w:r>
      <w:r>
        <w:rPr>
          <w:rFonts w:ascii="Times New Roman" w:hAnsi="Times New Roman" w:eastAsia="Times New Roman" w:cs="Times New Roman"/>
          <w:spacing w:val="-5"/>
          <w:sz w:val="23"/>
          <w:szCs w:val="23"/>
        </w:rPr>
        <w:t xml:space="preserve">2015-2030 </w:t>
      </w:r>
      <w:r>
        <w:rPr>
          <w:rFonts w:ascii="宋体" w:hAnsi="宋体" w:eastAsia="宋体" w:cs="宋体"/>
          <w:spacing w:val="-5"/>
          <w:sz w:val="23"/>
          <w:szCs w:val="23"/>
        </w:rPr>
        <w:t>年) 。</w:t>
      </w:r>
    </w:p>
    <w:p w14:paraId="5E6E463D">
      <w:pPr>
        <w:spacing w:before="312" w:line="224" w:lineRule="auto"/>
        <w:ind w:left="21"/>
        <w:outlineLvl w:val="2"/>
        <w:rPr>
          <w:rFonts w:ascii="宋体" w:hAnsi="宋体" w:eastAsia="宋体" w:cs="宋体"/>
          <w:sz w:val="29"/>
          <w:szCs w:val="29"/>
        </w:rPr>
      </w:pPr>
      <w:r>
        <w:rPr>
          <w:rFonts w:ascii="Times New Roman" w:hAnsi="Times New Roman" w:eastAsia="Times New Roman" w:cs="Times New Roman"/>
          <w:b/>
          <w:bCs/>
          <w:spacing w:val="-2"/>
          <w:sz w:val="29"/>
          <w:szCs w:val="29"/>
        </w:rPr>
        <w:t>2.2.4</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建设项目环境影响评价的相关导则及技术</w:t>
      </w:r>
      <w:r>
        <w:rPr>
          <w:rFonts w:ascii="宋体" w:hAnsi="宋体" w:eastAsia="宋体" w:cs="宋体"/>
          <w:spacing w:val="-1"/>
          <w:sz w:val="29"/>
          <w:szCs w:val="29"/>
          <w14:textOutline w14:w="5448" w14:cap="sq" w14:cmpd="sng">
            <w14:solidFill>
              <w14:srgbClr w14:val="000000"/>
            </w14:solidFill>
            <w14:prstDash w14:val="solid"/>
            <w14:bevel/>
          </w14:textOutline>
        </w:rPr>
        <w:t>规</w:t>
      </w:r>
      <w:r>
        <w:rPr>
          <w:rFonts w:ascii="宋体" w:hAnsi="宋体" w:eastAsia="宋体" w:cs="宋体"/>
          <w:sz w:val="29"/>
          <w:szCs w:val="29"/>
          <w14:textOutline w14:w="5448" w14:cap="sq" w14:cmpd="sng">
            <w14:solidFill>
              <w14:srgbClr w14:val="000000"/>
            </w14:solidFill>
            <w14:prstDash w14:val="solid"/>
            <w14:bevel/>
          </w14:textOutline>
        </w:rPr>
        <w:t>范</w:t>
      </w:r>
    </w:p>
    <w:p w14:paraId="44B85399">
      <w:pPr>
        <w:spacing w:line="270" w:lineRule="auto"/>
        <w:rPr>
          <w:rFonts w:ascii="Arial"/>
          <w:sz w:val="21"/>
        </w:rPr>
      </w:pPr>
    </w:p>
    <w:p w14:paraId="4C463AD3">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w:t>
      </w:r>
      <w:r>
        <w:rPr>
          <w:rFonts w:ascii="宋体" w:hAnsi="宋体" w:eastAsia="宋体" w:cs="宋体"/>
          <w:spacing w:val="-2"/>
          <w:sz w:val="23"/>
          <w:szCs w:val="23"/>
        </w:rPr>
        <w:t>)  《建设项目环境影响评价技术导则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总纲》，</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 xml:space="preserve"> 2.1-2016</w:t>
      </w:r>
      <w:r>
        <w:rPr>
          <w:rFonts w:ascii="宋体" w:hAnsi="宋体" w:eastAsia="宋体" w:cs="宋体"/>
          <w:spacing w:val="-2"/>
          <w:sz w:val="23"/>
          <w:szCs w:val="23"/>
        </w:rPr>
        <w:t>；</w:t>
      </w:r>
    </w:p>
    <w:p w14:paraId="053B5C93">
      <w:pPr>
        <w:spacing w:line="287" w:lineRule="auto"/>
        <w:rPr>
          <w:rFonts w:ascii="Arial"/>
          <w:sz w:val="21"/>
        </w:rPr>
      </w:pPr>
    </w:p>
    <w:p w14:paraId="63F32283">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大气环境》，</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 xml:space="preserve"> 2.2-2018</w:t>
      </w:r>
      <w:r>
        <w:rPr>
          <w:rFonts w:ascii="宋体" w:hAnsi="宋体" w:eastAsia="宋体" w:cs="宋体"/>
          <w:spacing w:val="-2"/>
          <w:sz w:val="23"/>
          <w:szCs w:val="23"/>
        </w:rPr>
        <w:t>；</w:t>
      </w:r>
    </w:p>
    <w:p w14:paraId="6657C377">
      <w:pPr>
        <w:spacing w:line="289" w:lineRule="auto"/>
        <w:rPr>
          <w:rFonts w:ascii="Arial"/>
          <w:sz w:val="21"/>
        </w:rPr>
      </w:pPr>
    </w:p>
    <w:p w14:paraId="3B373E14">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3</w:t>
      </w:r>
      <w:r>
        <w:rPr>
          <w:rFonts w:ascii="宋体" w:hAnsi="宋体" w:eastAsia="宋体" w:cs="宋体"/>
          <w:spacing w:val="-2"/>
          <w:sz w:val="23"/>
          <w:szCs w:val="23"/>
        </w:rPr>
        <w:t>)  《环境影响评价技术导则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地表水环境》，</w:t>
      </w:r>
      <w:r>
        <w:rPr>
          <w:rFonts w:ascii="Times New Roman" w:hAnsi="Times New Roman" w:eastAsia="Times New Roman" w:cs="Times New Roman"/>
          <w:spacing w:val="-1"/>
          <w:sz w:val="23"/>
          <w:szCs w:val="23"/>
        </w:rPr>
        <w:t>HJ</w:t>
      </w:r>
      <w:r>
        <w:rPr>
          <w:rFonts w:ascii="Times New Roman" w:hAnsi="Times New Roman" w:eastAsia="Times New Roman" w:cs="Times New Roman"/>
          <w:spacing w:val="-2"/>
          <w:sz w:val="23"/>
          <w:szCs w:val="23"/>
        </w:rPr>
        <w:t xml:space="preserve"> 2.3-</w:t>
      </w:r>
      <w:r>
        <w:rPr>
          <w:rFonts w:ascii="Times New Roman" w:hAnsi="Times New Roman" w:eastAsia="Times New Roman" w:cs="Times New Roman"/>
          <w:spacing w:val="-1"/>
          <w:sz w:val="23"/>
          <w:szCs w:val="23"/>
        </w:rPr>
        <w:t>2018</w:t>
      </w:r>
      <w:r>
        <w:rPr>
          <w:rFonts w:ascii="宋体" w:hAnsi="宋体" w:eastAsia="宋体" w:cs="宋体"/>
          <w:spacing w:val="-1"/>
          <w:sz w:val="23"/>
          <w:szCs w:val="23"/>
        </w:rPr>
        <w:t>；</w:t>
      </w:r>
    </w:p>
    <w:p w14:paraId="6474518A">
      <w:pPr>
        <w:spacing w:line="287" w:lineRule="auto"/>
        <w:rPr>
          <w:rFonts w:ascii="Arial"/>
          <w:sz w:val="21"/>
        </w:rPr>
      </w:pPr>
    </w:p>
    <w:p w14:paraId="3FE9C985">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4</w:t>
      </w:r>
      <w:r>
        <w:rPr>
          <w:rFonts w:ascii="宋体" w:hAnsi="宋体" w:eastAsia="宋体" w:cs="宋体"/>
          <w:spacing w:val="-2"/>
          <w:sz w:val="23"/>
          <w:szCs w:val="23"/>
        </w:rPr>
        <w:t>)  《环境影响评价技术导则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地下水环境》，</w:t>
      </w:r>
      <w:r>
        <w:rPr>
          <w:rFonts w:ascii="Times New Roman" w:hAnsi="Times New Roman" w:eastAsia="Times New Roman" w:cs="Times New Roman"/>
          <w:spacing w:val="-1"/>
          <w:sz w:val="23"/>
          <w:szCs w:val="23"/>
        </w:rPr>
        <w:t>HJ</w:t>
      </w:r>
      <w:r>
        <w:rPr>
          <w:rFonts w:ascii="Times New Roman" w:hAnsi="Times New Roman" w:eastAsia="Times New Roman" w:cs="Times New Roman"/>
          <w:spacing w:val="-2"/>
          <w:sz w:val="23"/>
          <w:szCs w:val="23"/>
        </w:rPr>
        <w:t xml:space="preserve"> 61</w:t>
      </w:r>
      <w:r>
        <w:rPr>
          <w:rFonts w:ascii="Times New Roman" w:hAnsi="Times New Roman" w:eastAsia="Times New Roman" w:cs="Times New Roman"/>
          <w:spacing w:val="-1"/>
          <w:sz w:val="23"/>
          <w:szCs w:val="23"/>
        </w:rPr>
        <w:t>0-2016</w:t>
      </w:r>
      <w:r>
        <w:rPr>
          <w:rFonts w:ascii="宋体" w:hAnsi="宋体" w:eastAsia="宋体" w:cs="宋体"/>
          <w:spacing w:val="-1"/>
          <w:sz w:val="23"/>
          <w:szCs w:val="23"/>
        </w:rPr>
        <w:t>；</w:t>
      </w:r>
    </w:p>
    <w:p w14:paraId="23246A68">
      <w:pPr>
        <w:spacing w:line="289" w:lineRule="auto"/>
        <w:rPr>
          <w:rFonts w:ascii="Arial"/>
          <w:sz w:val="21"/>
        </w:rPr>
      </w:pPr>
    </w:p>
    <w:p w14:paraId="325D33EC">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5</w:t>
      </w:r>
      <w:r>
        <w:rPr>
          <w:rFonts w:ascii="宋体" w:hAnsi="宋体" w:eastAsia="宋体" w:cs="宋体"/>
          <w:spacing w:val="-2"/>
          <w:sz w:val="23"/>
          <w:szCs w:val="23"/>
        </w:rPr>
        <w:t>)  《环境影响评价技术导则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声环境》，</w:t>
      </w:r>
      <w:r>
        <w:rPr>
          <w:rFonts w:ascii="Times New Roman" w:hAnsi="Times New Roman" w:eastAsia="Times New Roman" w:cs="Times New Roman"/>
          <w:spacing w:val="-1"/>
          <w:sz w:val="23"/>
          <w:szCs w:val="23"/>
        </w:rPr>
        <w:t>HJ</w:t>
      </w:r>
      <w:r>
        <w:rPr>
          <w:rFonts w:ascii="Times New Roman" w:hAnsi="Times New Roman" w:eastAsia="Times New Roman" w:cs="Times New Roman"/>
          <w:spacing w:val="-2"/>
          <w:sz w:val="23"/>
          <w:szCs w:val="23"/>
        </w:rPr>
        <w:t xml:space="preserve"> 2.</w:t>
      </w:r>
      <w:r>
        <w:rPr>
          <w:rFonts w:ascii="Times New Roman" w:hAnsi="Times New Roman" w:eastAsia="Times New Roman" w:cs="Times New Roman"/>
          <w:spacing w:val="-1"/>
          <w:sz w:val="23"/>
          <w:szCs w:val="23"/>
        </w:rPr>
        <w:t>4-2009</w:t>
      </w:r>
      <w:r>
        <w:rPr>
          <w:rFonts w:ascii="宋体" w:hAnsi="宋体" w:eastAsia="宋体" w:cs="宋体"/>
          <w:spacing w:val="-1"/>
          <w:sz w:val="23"/>
          <w:szCs w:val="23"/>
        </w:rPr>
        <w:t>；</w:t>
      </w:r>
    </w:p>
    <w:p w14:paraId="3AE68DC3">
      <w:pPr>
        <w:spacing w:line="289" w:lineRule="auto"/>
        <w:rPr>
          <w:rFonts w:ascii="Arial"/>
          <w:sz w:val="21"/>
        </w:rPr>
      </w:pPr>
    </w:p>
    <w:p w14:paraId="42A6A401">
      <w:pPr>
        <w:spacing w:before="76"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6</w:t>
      </w:r>
      <w:r>
        <w:rPr>
          <w:rFonts w:ascii="宋体" w:hAnsi="宋体" w:eastAsia="宋体" w:cs="宋体"/>
          <w:spacing w:val="-2"/>
          <w:sz w:val="23"/>
          <w:szCs w:val="23"/>
        </w:rPr>
        <w:t>)  《环境影响评价技术导则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生态影响》，</w:t>
      </w:r>
      <w:r>
        <w:rPr>
          <w:rFonts w:ascii="Times New Roman" w:hAnsi="Times New Roman" w:eastAsia="Times New Roman" w:cs="Times New Roman"/>
          <w:spacing w:val="-1"/>
          <w:sz w:val="23"/>
          <w:szCs w:val="23"/>
        </w:rPr>
        <w:t>HJ</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19-2018</w:t>
      </w:r>
      <w:r>
        <w:rPr>
          <w:rFonts w:ascii="宋体" w:hAnsi="宋体" w:eastAsia="宋体" w:cs="宋体"/>
          <w:spacing w:val="-1"/>
          <w:sz w:val="23"/>
          <w:szCs w:val="23"/>
        </w:rPr>
        <w:t>；</w:t>
      </w:r>
    </w:p>
    <w:p w14:paraId="14593151">
      <w:pPr>
        <w:spacing w:line="287" w:lineRule="auto"/>
        <w:rPr>
          <w:rFonts w:ascii="Arial"/>
          <w:sz w:val="21"/>
        </w:rPr>
      </w:pPr>
    </w:p>
    <w:p w14:paraId="776B2F5D">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7</w:t>
      </w:r>
      <w:r>
        <w:rPr>
          <w:rFonts w:ascii="宋体" w:hAnsi="宋体" w:eastAsia="宋体" w:cs="宋体"/>
          <w:spacing w:val="-2"/>
          <w:sz w:val="23"/>
          <w:szCs w:val="23"/>
        </w:rPr>
        <w:t>)  《环境影响评价技术导则</w:t>
      </w:r>
      <w:r>
        <w:rPr>
          <w:rFonts w:ascii="Times New Roman" w:hAnsi="Times New Roman" w:eastAsia="Times New Roman" w:cs="Times New Roman"/>
          <w:spacing w:val="-2"/>
          <w:sz w:val="23"/>
          <w:szCs w:val="23"/>
        </w:rPr>
        <w:t>—</w:t>
      </w:r>
      <w:r>
        <w:rPr>
          <w:rFonts w:ascii="宋体" w:hAnsi="宋体" w:eastAsia="宋体" w:cs="宋体"/>
          <w:spacing w:val="-2"/>
          <w:sz w:val="23"/>
          <w:szCs w:val="23"/>
        </w:rPr>
        <w:t>土壤环境 (试行)</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HJ964-2018</w:t>
      </w:r>
      <w:r>
        <w:rPr>
          <w:rFonts w:ascii="宋体" w:hAnsi="宋体" w:eastAsia="宋体" w:cs="宋体"/>
          <w:spacing w:val="-1"/>
          <w:sz w:val="23"/>
          <w:szCs w:val="23"/>
        </w:rPr>
        <w:t>；</w:t>
      </w:r>
    </w:p>
    <w:p w14:paraId="6F62FF88">
      <w:pPr>
        <w:spacing w:line="289" w:lineRule="auto"/>
        <w:rPr>
          <w:rFonts w:ascii="Arial"/>
          <w:sz w:val="21"/>
        </w:rPr>
      </w:pPr>
    </w:p>
    <w:p w14:paraId="1EB2D5C1">
      <w:pPr>
        <w:spacing w:before="76"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8</w:t>
      </w:r>
      <w:r>
        <w:rPr>
          <w:rFonts w:ascii="宋体" w:hAnsi="宋体" w:eastAsia="宋体" w:cs="宋体"/>
          <w:spacing w:val="-2"/>
          <w:sz w:val="23"/>
          <w:szCs w:val="23"/>
        </w:rPr>
        <w:t>)  《建设项目环境风险评价技术导则》，</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 xml:space="preserve"> 169-2018</w:t>
      </w:r>
      <w:r>
        <w:rPr>
          <w:rFonts w:ascii="宋体" w:hAnsi="宋体" w:eastAsia="宋体" w:cs="宋体"/>
          <w:spacing w:val="-1"/>
          <w:sz w:val="23"/>
          <w:szCs w:val="23"/>
        </w:rPr>
        <w:t>；</w:t>
      </w:r>
    </w:p>
    <w:p w14:paraId="1A88319A">
      <w:pPr>
        <w:spacing w:line="288" w:lineRule="auto"/>
        <w:rPr>
          <w:rFonts w:ascii="Arial"/>
          <w:sz w:val="21"/>
        </w:rPr>
      </w:pPr>
    </w:p>
    <w:p w14:paraId="2D870DF7">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9</w:t>
      </w:r>
      <w:r>
        <w:rPr>
          <w:rFonts w:ascii="宋体" w:hAnsi="宋体" w:eastAsia="宋体" w:cs="宋体"/>
          <w:spacing w:val="-2"/>
          <w:sz w:val="23"/>
          <w:szCs w:val="23"/>
        </w:rPr>
        <w:t>)  《危险废物处置工程技术导则》，</w:t>
      </w:r>
      <w:r>
        <w:rPr>
          <w:rFonts w:ascii="Times New Roman" w:hAnsi="Times New Roman" w:eastAsia="Times New Roman" w:cs="Times New Roman"/>
          <w:spacing w:val="-1"/>
          <w:sz w:val="23"/>
          <w:szCs w:val="23"/>
        </w:rPr>
        <w:t>HJ</w:t>
      </w:r>
      <w:r>
        <w:rPr>
          <w:rFonts w:ascii="Times New Roman" w:hAnsi="Times New Roman" w:eastAsia="Times New Roman" w:cs="Times New Roman"/>
          <w:spacing w:val="-2"/>
          <w:sz w:val="23"/>
          <w:szCs w:val="23"/>
        </w:rPr>
        <w:t xml:space="preserve"> 204</w:t>
      </w:r>
      <w:r>
        <w:rPr>
          <w:rFonts w:ascii="Times New Roman" w:hAnsi="Times New Roman" w:eastAsia="Times New Roman" w:cs="Times New Roman"/>
          <w:spacing w:val="-1"/>
          <w:sz w:val="23"/>
          <w:szCs w:val="23"/>
        </w:rPr>
        <w:t>2-2014</w:t>
      </w:r>
      <w:r>
        <w:rPr>
          <w:rFonts w:ascii="宋体" w:hAnsi="宋体" w:eastAsia="宋体" w:cs="宋体"/>
          <w:spacing w:val="-1"/>
          <w:sz w:val="23"/>
          <w:szCs w:val="23"/>
        </w:rPr>
        <w:t>；</w:t>
      </w:r>
    </w:p>
    <w:p w14:paraId="1B21F7FF">
      <w:pPr>
        <w:spacing w:line="288" w:lineRule="auto"/>
        <w:rPr>
          <w:rFonts w:ascii="Arial"/>
          <w:sz w:val="21"/>
        </w:rPr>
      </w:pPr>
    </w:p>
    <w:p w14:paraId="467ABB25">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10</w:t>
      </w:r>
      <w:r>
        <w:rPr>
          <w:rFonts w:ascii="宋体" w:hAnsi="宋体" w:eastAsia="宋体" w:cs="宋体"/>
          <w:spacing w:val="-2"/>
          <w:sz w:val="23"/>
          <w:szCs w:val="23"/>
        </w:rPr>
        <w:t>)  《地下工程</w:t>
      </w:r>
      <w:r>
        <w:rPr>
          <w:rFonts w:ascii="宋体" w:hAnsi="宋体" w:eastAsia="宋体" w:cs="宋体"/>
          <w:spacing w:val="-1"/>
          <w:sz w:val="23"/>
          <w:szCs w:val="23"/>
        </w:rPr>
        <w:t>防水技术规范》，</w:t>
      </w:r>
      <w:r>
        <w:rPr>
          <w:rFonts w:ascii="Times New Roman" w:hAnsi="Times New Roman" w:eastAsia="Times New Roman" w:cs="Times New Roman"/>
          <w:spacing w:val="-1"/>
          <w:sz w:val="23"/>
          <w:szCs w:val="23"/>
        </w:rPr>
        <w:t>GB 50108-2008</w:t>
      </w:r>
      <w:r>
        <w:rPr>
          <w:rFonts w:ascii="宋体" w:hAnsi="宋体" w:eastAsia="宋体" w:cs="宋体"/>
          <w:spacing w:val="-1"/>
          <w:sz w:val="23"/>
          <w:szCs w:val="23"/>
        </w:rPr>
        <w:t>；</w:t>
      </w:r>
    </w:p>
    <w:p w14:paraId="343499D7">
      <w:pPr>
        <w:spacing w:line="288" w:lineRule="auto"/>
        <w:rPr>
          <w:rFonts w:ascii="Arial"/>
          <w:sz w:val="21"/>
        </w:rPr>
      </w:pPr>
    </w:p>
    <w:p w14:paraId="27B44031">
      <w:pPr>
        <w:spacing w:before="76"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11</w:t>
      </w:r>
      <w:r>
        <w:rPr>
          <w:rFonts w:ascii="宋体" w:hAnsi="宋体" w:eastAsia="宋体" w:cs="宋体"/>
          <w:spacing w:val="-2"/>
          <w:sz w:val="23"/>
          <w:szCs w:val="23"/>
        </w:rPr>
        <w:t>)  《大气污染治理工程技术导则》，</w:t>
      </w:r>
      <w:r>
        <w:rPr>
          <w:rFonts w:ascii="Times New Roman" w:hAnsi="Times New Roman" w:eastAsia="Times New Roman" w:cs="Times New Roman"/>
          <w:spacing w:val="-1"/>
          <w:sz w:val="23"/>
          <w:szCs w:val="23"/>
        </w:rPr>
        <w:t>HJ</w:t>
      </w:r>
      <w:r>
        <w:rPr>
          <w:rFonts w:ascii="Times New Roman" w:hAnsi="Times New Roman" w:eastAsia="Times New Roman" w:cs="Times New Roman"/>
          <w:spacing w:val="-2"/>
          <w:sz w:val="23"/>
          <w:szCs w:val="23"/>
        </w:rPr>
        <w:t xml:space="preserve"> 2000-</w:t>
      </w:r>
      <w:r>
        <w:rPr>
          <w:rFonts w:ascii="Times New Roman" w:hAnsi="Times New Roman" w:eastAsia="Times New Roman" w:cs="Times New Roman"/>
          <w:spacing w:val="-1"/>
          <w:sz w:val="23"/>
          <w:szCs w:val="23"/>
        </w:rPr>
        <w:t>2010</w:t>
      </w:r>
      <w:r>
        <w:rPr>
          <w:rFonts w:ascii="宋体" w:hAnsi="宋体" w:eastAsia="宋体" w:cs="宋体"/>
          <w:spacing w:val="-1"/>
          <w:sz w:val="23"/>
          <w:szCs w:val="23"/>
        </w:rPr>
        <w:t>；</w:t>
      </w:r>
    </w:p>
    <w:p w14:paraId="26D4C5B1">
      <w:pPr>
        <w:spacing w:line="285" w:lineRule="auto"/>
        <w:rPr>
          <w:rFonts w:ascii="Arial"/>
          <w:sz w:val="21"/>
        </w:rPr>
      </w:pPr>
    </w:p>
    <w:p w14:paraId="19BE68E4">
      <w:pPr>
        <w:spacing w:before="75" w:line="226" w:lineRule="auto"/>
        <w:ind w:left="486"/>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12</w:t>
      </w:r>
      <w:r>
        <w:rPr>
          <w:rFonts w:ascii="宋体" w:hAnsi="宋体" w:eastAsia="宋体" w:cs="宋体"/>
          <w:spacing w:val="1"/>
          <w:sz w:val="23"/>
          <w:szCs w:val="23"/>
        </w:rPr>
        <w:t>)  《关于</w:t>
      </w:r>
      <w:r>
        <w:rPr>
          <w:rFonts w:ascii="宋体" w:hAnsi="宋体" w:eastAsia="宋体" w:cs="宋体"/>
          <w:sz w:val="23"/>
          <w:szCs w:val="23"/>
        </w:rPr>
        <w:t>做好环境影响评价制度与排污许可制衔接相关工作的通知》，环</w:t>
      </w:r>
    </w:p>
    <w:p w14:paraId="4E3A5D4E">
      <w:pPr>
        <w:spacing w:before="156" w:line="322" w:lineRule="exact"/>
        <w:ind w:left="23"/>
        <w:rPr>
          <w:rFonts w:ascii="宋体" w:hAnsi="宋体" w:eastAsia="宋体" w:cs="宋体"/>
          <w:sz w:val="23"/>
          <w:szCs w:val="23"/>
        </w:rPr>
      </w:pPr>
      <w:r>
        <w:rPr>
          <w:rFonts w:ascii="宋体" w:hAnsi="宋体" w:eastAsia="宋体" w:cs="宋体"/>
          <w:spacing w:val="-2"/>
          <w:position w:val="3"/>
          <w:sz w:val="23"/>
          <w:szCs w:val="23"/>
        </w:rPr>
        <w:t>环评</w:t>
      </w:r>
      <w:r>
        <w:rPr>
          <w:rFonts w:ascii="Times New Roman" w:hAnsi="Times New Roman" w:eastAsia="Times New Roman" w:cs="Times New Roman"/>
          <w:spacing w:val="-2"/>
          <w:position w:val="3"/>
          <w:sz w:val="23"/>
          <w:szCs w:val="23"/>
        </w:rPr>
        <w:t>[2016]15</w:t>
      </w:r>
      <w:r>
        <w:rPr>
          <w:rFonts w:ascii="Times New Roman" w:hAnsi="Times New Roman" w:eastAsia="Times New Roman" w:cs="Times New Roman"/>
          <w:spacing w:val="-1"/>
          <w:position w:val="3"/>
          <w:sz w:val="23"/>
          <w:szCs w:val="23"/>
        </w:rPr>
        <w:t xml:space="preserve">0 </w:t>
      </w:r>
      <w:r>
        <w:rPr>
          <w:rFonts w:ascii="宋体" w:hAnsi="宋体" w:eastAsia="宋体" w:cs="宋体"/>
          <w:spacing w:val="-1"/>
          <w:position w:val="3"/>
          <w:sz w:val="23"/>
          <w:szCs w:val="23"/>
        </w:rPr>
        <w:t>号；</w:t>
      </w:r>
    </w:p>
    <w:p w14:paraId="6BAE7345">
      <w:pPr>
        <w:spacing w:line="292" w:lineRule="auto"/>
        <w:rPr>
          <w:rFonts w:ascii="Arial"/>
          <w:sz w:val="21"/>
        </w:rPr>
      </w:pPr>
    </w:p>
    <w:p w14:paraId="4D9244F3">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13</w:t>
      </w:r>
      <w:r>
        <w:rPr>
          <w:rFonts w:ascii="宋体" w:hAnsi="宋体" w:eastAsia="宋体" w:cs="宋体"/>
          <w:spacing w:val="-2"/>
          <w:sz w:val="23"/>
          <w:szCs w:val="23"/>
        </w:rPr>
        <w:t>)  《固体废物处理处置工程技术导则》</w:t>
      </w:r>
      <w:r>
        <w:rPr>
          <w:rFonts w:ascii="宋体" w:hAnsi="宋体" w:eastAsia="宋体" w:cs="宋体"/>
          <w:spacing w:val="-1"/>
          <w:sz w:val="23"/>
          <w:szCs w:val="23"/>
        </w:rPr>
        <w:t>，</w:t>
      </w:r>
      <w:r>
        <w:rPr>
          <w:rFonts w:ascii="Times New Roman" w:hAnsi="Times New Roman" w:eastAsia="Times New Roman" w:cs="Times New Roman"/>
          <w:spacing w:val="-1"/>
          <w:sz w:val="23"/>
          <w:szCs w:val="23"/>
        </w:rPr>
        <w:t>HJ 2035-2013</w:t>
      </w:r>
      <w:r>
        <w:rPr>
          <w:rFonts w:ascii="宋体" w:hAnsi="宋体" w:eastAsia="宋体" w:cs="宋体"/>
          <w:spacing w:val="-1"/>
          <w:sz w:val="23"/>
          <w:szCs w:val="23"/>
        </w:rPr>
        <w:t>；</w:t>
      </w:r>
    </w:p>
    <w:p w14:paraId="3CA7924C">
      <w:pPr>
        <w:spacing w:line="286" w:lineRule="auto"/>
        <w:rPr>
          <w:rFonts w:ascii="Arial"/>
          <w:sz w:val="21"/>
        </w:rPr>
      </w:pPr>
    </w:p>
    <w:p w14:paraId="504660F3">
      <w:pPr>
        <w:spacing w:before="75" w:line="227"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14</w:t>
      </w:r>
      <w:r>
        <w:rPr>
          <w:rFonts w:ascii="宋体" w:hAnsi="宋体" w:eastAsia="宋体" w:cs="宋体"/>
          <w:spacing w:val="-2"/>
          <w:sz w:val="23"/>
          <w:szCs w:val="23"/>
        </w:rPr>
        <w:t>)  《危险化学品重大</w:t>
      </w:r>
      <w:r>
        <w:rPr>
          <w:rFonts w:ascii="宋体" w:hAnsi="宋体" w:eastAsia="宋体" w:cs="宋体"/>
          <w:spacing w:val="-1"/>
          <w:sz w:val="23"/>
          <w:szCs w:val="23"/>
        </w:rPr>
        <w:t>危险源辨识》，</w:t>
      </w:r>
      <w:r>
        <w:rPr>
          <w:rFonts w:ascii="Times New Roman" w:hAnsi="Times New Roman" w:eastAsia="Times New Roman" w:cs="Times New Roman"/>
          <w:spacing w:val="-1"/>
          <w:sz w:val="23"/>
          <w:szCs w:val="23"/>
        </w:rPr>
        <w:t>GB18218-2009</w:t>
      </w:r>
      <w:r>
        <w:rPr>
          <w:rFonts w:ascii="宋体" w:hAnsi="宋体" w:eastAsia="宋体" w:cs="宋体"/>
          <w:spacing w:val="-1"/>
          <w:sz w:val="23"/>
          <w:szCs w:val="23"/>
        </w:rPr>
        <w:t>；</w:t>
      </w:r>
    </w:p>
    <w:p w14:paraId="31A6D513">
      <w:pPr>
        <w:spacing w:line="242" w:lineRule="auto"/>
        <w:rPr>
          <w:rFonts w:ascii="Arial"/>
          <w:sz w:val="21"/>
        </w:rPr>
      </w:pPr>
    </w:p>
    <w:p w14:paraId="68B0B3D6">
      <w:pPr>
        <w:spacing w:before="76" w:line="323" w:lineRule="exact"/>
        <w:ind w:left="486"/>
        <w:rPr>
          <w:rFonts w:ascii="宋体" w:hAnsi="宋体" w:eastAsia="宋体" w:cs="宋体"/>
          <w:sz w:val="23"/>
          <w:szCs w:val="23"/>
        </w:rPr>
      </w:pPr>
      <w:r>
        <w:rPr>
          <w:rFonts w:ascii="宋体" w:hAnsi="宋体" w:eastAsia="宋体" w:cs="宋体"/>
          <w:spacing w:val="-2"/>
          <w:position w:val="1"/>
          <w:sz w:val="23"/>
          <w:szCs w:val="23"/>
        </w:rPr>
        <w:t>(</w:t>
      </w:r>
      <w:r>
        <w:rPr>
          <w:rFonts w:ascii="Times New Roman" w:hAnsi="Times New Roman" w:eastAsia="Times New Roman" w:cs="Times New Roman"/>
          <w:spacing w:val="-2"/>
          <w:position w:val="1"/>
          <w:sz w:val="23"/>
          <w:szCs w:val="23"/>
        </w:rPr>
        <w:t>15</w:t>
      </w:r>
      <w:r>
        <w:rPr>
          <w:rFonts w:ascii="宋体" w:hAnsi="宋体" w:eastAsia="宋体" w:cs="宋体"/>
          <w:spacing w:val="-2"/>
          <w:position w:val="1"/>
          <w:sz w:val="23"/>
          <w:szCs w:val="23"/>
        </w:rPr>
        <w:t>)  《危险废物鉴别技</w:t>
      </w:r>
      <w:r>
        <w:rPr>
          <w:rFonts w:ascii="宋体" w:hAnsi="宋体" w:eastAsia="宋体" w:cs="宋体"/>
          <w:spacing w:val="-1"/>
          <w:position w:val="1"/>
          <w:sz w:val="23"/>
          <w:szCs w:val="23"/>
        </w:rPr>
        <w:t>术规范》，</w:t>
      </w:r>
      <w:r>
        <w:rPr>
          <w:rFonts w:ascii="Times New Roman" w:hAnsi="Times New Roman" w:eastAsia="Times New Roman" w:cs="Times New Roman"/>
          <w:spacing w:val="-1"/>
          <w:position w:val="1"/>
          <w:sz w:val="23"/>
          <w:szCs w:val="23"/>
        </w:rPr>
        <w:t>HJ/T298-2007</w:t>
      </w:r>
      <w:r>
        <w:rPr>
          <w:rFonts w:ascii="宋体" w:hAnsi="宋体" w:eastAsia="宋体" w:cs="宋体"/>
          <w:spacing w:val="-1"/>
          <w:position w:val="1"/>
          <w:sz w:val="23"/>
          <w:szCs w:val="23"/>
        </w:rPr>
        <w:t>；</w:t>
      </w:r>
    </w:p>
    <w:p w14:paraId="3FCEDD63">
      <w:pPr>
        <w:spacing w:line="291" w:lineRule="auto"/>
        <w:rPr>
          <w:rFonts w:ascii="Arial"/>
          <w:sz w:val="21"/>
        </w:rPr>
      </w:pPr>
    </w:p>
    <w:p w14:paraId="14C593B7">
      <w:pPr>
        <w:spacing w:before="76" w:line="228"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16</w:t>
      </w:r>
      <w:r>
        <w:rPr>
          <w:rFonts w:ascii="宋体" w:hAnsi="宋体" w:eastAsia="宋体" w:cs="宋体"/>
          <w:spacing w:val="-2"/>
          <w:sz w:val="23"/>
          <w:szCs w:val="23"/>
        </w:rPr>
        <w:t>)  《固体废物鉴别</w:t>
      </w:r>
      <w:r>
        <w:rPr>
          <w:rFonts w:ascii="宋体" w:hAnsi="宋体" w:eastAsia="宋体" w:cs="宋体"/>
          <w:spacing w:val="-1"/>
          <w:sz w:val="23"/>
          <w:szCs w:val="23"/>
        </w:rPr>
        <w:t>标准 通则》，</w:t>
      </w:r>
      <w:r>
        <w:rPr>
          <w:rFonts w:ascii="Times New Roman" w:hAnsi="Times New Roman" w:eastAsia="Times New Roman" w:cs="Times New Roman"/>
          <w:spacing w:val="-1"/>
          <w:sz w:val="23"/>
          <w:szCs w:val="23"/>
        </w:rPr>
        <w:t>GB5085.7-2007</w:t>
      </w:r>
      <w:r>
        <w:rPr>
          <w:rFonts w:ascii="宋体" w:hAnsi="宋体" w:eastAsia="宋体" w:cs="宋体"/>
          <w:spacing w:val="-1"/>
          <w:sz w:val="23"/>
          <w:szCs w:val="23"/>
        </w:rPr>
        <w:t>；</w:t>
      </w:r>
    </w:p>
    <w:p w14:paraId="2F9B3D89">
      <w:pPr>
        <w:spacing w:line="287" w:lineRule="auto"/>
        <w:rPr>
          <w:rFonts w:ascii="Arial"/>
          <w:sz w:val="21"/>
        </w:rPr>
      </w:pPr>
    </w:p>
    <w:p w14:paraId="26A28400">
      <w:pPr>
        <w:spacing w:before="75" w:line="227" w:lineRule="auto"/>
        <w:ind w:left="486"/>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17</w:t>
      </w:r>
      <w:r>
        <w:rPr>
          <w:rFonts w:ascii="宋体" w:hAnsi="宋体" w:eastAsia="宋体" w:cs="宋体"/>
          <w:spacing w:val="1"/>
          <w:sz w:val="23"/>
          <w:szCs w:val="23"/>
        </w:rPr>
        <w:t>)  《废塑</w:t>
      </w:r>
      <w:r>
        <w:rPr>
          <w:rFonts w:ascii="宋体" w:hAnsi="宋体" w:eastAsia="宋体" w:cs="宋体"/>
          <w:sz w:val="23"/>
          <w:szCs w:val="23"/>
        </w:rPr>
        <w:t>料综合利用行业规范条件》，中华人民共和国工业和信息</w:t>
      </w:r>
      <w:r>
        <w:rPr>
          <w:rFonts w:hint="eastAsia" w:ascii="宋体" w:hAnsi="宋体" w:eastAsia="宋体" w:cs="宋体"/>
          <w:sz w:val="23"/>
          <w:szCs w:val="23"/>
          <w:lang w:val="en-US" w:eastAsia="zh-CN"/>
        </w:rPr>
        <w:t>化</w:t>
      </w:r>
      <w:r>
        <w:rPr>
          <w:rFonts w:ascii="宋体" w:hAnsi="宋体" w:eastAsia="宋体" w:cs="宋体"/>
          <w:sz w:val="23"/>
          <w:szCs w:val="23"/>
        </w:rPr>
        <w:t>部公告</w:t>
      </w:r>
    </w:p>
    <w:p w14:paraId="175B8722">
      <w:pPr>
        <w:spacing w:before="197" w:line="227" w:lineRule="auto"/>
        <w:ind w:left="19"/>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5"/>
          <w:sz w:val="23"/>
          <w:szCs w:val="23"/>
        </w:rPr>
        <w:t xml:space="preserve">015 </w:t>
      </w:r>
      <w:r>
        <w:rPr>
          <w:rFonts w:ascii="宋体" w:hAnsi="宋体" w:eastAsia="宋体" w:cs="宋体"/>
          <w:spacing w:val="-5"/>
          <w:sz w:val="23"/>
          <w:szCs w:val="23"/>
        </w:rPr>
        <w:t xml:space="preserve">年第 </w:t>
      </w:r>
      <w:r>
        <w:rPr>
          <w:rFonts w:ascii="Times New Roman" w:hAnsi="Times New Roman" w:eastAsia="Times New Roman" w:cs="Times New Roman"/>
          <w:spacing w:val="-5"/>
          <w:sz w:val="23"/>
          <w:szCs w:val="23"/>
        </w:rPr>
        <w:t xml:space="preserve">81 </w:t>
      </w:r>
      <w:r>
        <w:rPr>
          <w:rFonts w:ascii="宋体" w:hAnsi="宋体" w:eastAsia="宋体" w:cs="宋体"/>
          <w:spacing w:val="-5"/>
          <w:sz w:val="23"/>
          <w:szCs w:val="23"/>
        </w:rPr>
        <w:t>号；</w:t>
      </w:r>
    </w:p>
    <w:p w14:paraId="5C74C300">
      <w:pPr>
        <w:sectPr>
          <w:headerReference r:id="rId50" w:type="default"/>
          <w:footerReference r:id="rId51" w:type="default"/>
          <w:pgSz w:w="11906" w:h="16839"/>
          <w:pgMar w:top="1132" w:right="1785" w:bottom="1156" w:left="1785" w:header="878" w:footer="996" w:gutter="0"/>
          <w:cols w:space="720" w:num="1"/>
        </w:sectPr>
      </w:pPr>
    </w:p>
    <w:p w14:paraId="078DC287">
      <w:pPr>
        <w:spacing w:line="365" w:lineRule="auto"/>
        <w:rPr>
          <w:rFonts w:ascii="Arial"/>
          <w:sz w:val="21"/>
        </w:rPr>
      </w:pPr>
      <w:r>
        <w:pict>
          <v:shape id="_x0000_s1085" o:spid="_x0000_s1085" style="position:absolute;left:0pt;margin-left:90pt;margin-top:57.35pt;height:0.75pt;width:415.3pt;mso-position-horizontal-relative:page;mso-position-vertical-relative:page;z-index:251722752;mso-width-relative:page;mso-height-relative:page;" fillcolor="#000000" filled="t" stroked="f" coordsize="8305,15" o:allowincell="f" path="m0,0l8305,0,8305,14,0,14,0,0xe">
            <v:path/>
            <v:fill on="t" focussize="0,0"/>
            <v:stroke on="f"/>
            <v:imagedata o:title=""/>
            <o:lock v:ext="edit"/>
          </v:shape>
        </w:pict>
      </w:r>
    </w:p>
    <w:p w14:paraId="642501CE">
      <w:pPr>
        <w:spacing w:before="75" w:line="323" w:lineRule="exact"/>
        <w:ind w:left="486"/>
        <w:rPr>
          <w:rFonts w:ascii="宋体" w:hAnsi="宋体" w:eastAsia="宋体" w:cs="宋体"/>
          <w:sz w:val="23"/>
          <w:szCs w:val="23"/>
        </w:rPr>
      </w:pPr>
      <w:r>
        <w:rPr>
          <w:rFonts w:ascii="宋体" w:hAnsi="宋体" w:eastAsia="宋体" w:cs="宋体"/>
          <w:spacing w:val="-10"/>
          <w:position w:val="1"/>
          <w:sz w:val="23"/>
          <w:szCs w:val="23"/>
        </w:rPr>
        <w:t>(</w:t>
      </w:r>
      <w:r>
        <w:rPr>
          <w:rFonts w:ascii="Times New Roman" w:hAnsi="Times New Roman" w:eastAsia="Times New Roman" w:cs="Times New Roman"/>
          <w:spacing w:val="-10"/>
          <w:position w:val="1"/>
          <w:sz w:val="23"/>
          <w:szCs w:val="23"/>
        </w:rPr>
        <w:t>18</w:t>
      </w:r>
      <w:r>
        <w:rPr>
          <w:rFonts w:ascii="宋体" w:hAnsi="宋体" w:eastAsia="宋体" w:cs="宋体"/>
          <w:spacing w:val="-9"/>
          <w:position w:val="1"/>
          <w:sz w:val="23"/>
          <w:szCs w:val="23"/>
        </w:rPr>
        <w:t>)</w:t>
      </w:r>
      <w:r>
        <w:rPr>
          <w:rFonts w:ascii="宋体" w:hAnsi="宋体" w:eastAsia="宋体" w:cs="宋体"/>
          <w:spacing w:val="-5"/>
          <w:position w:val="1"/>
          <w:sz w:val="23"/>
          <w:szCs w:val="23"/>
        </w:rPr>
        <w:t xml:space="preserve">  《废旧塑料回收与再生利用污染控制技术规范(试行) 》，</w:t>
      </w:r>
      <w:r>
        <w:rPr>
          <w:rFonts w:ascii="Times New Roman" w:hAnsi="Times New Roman" w:eastAsia="Times New Roman" w:cs="Times New Roman"/>
          <w:spacing w:val="-5"/>
          <w:position w:val="1"/>
          <w:sz w:val="23"/>
          <w:szCs w:val="23"/>
        </w:rPr>
        <w:t>HJ/T364-2007</w:t>
      </w:r>
      <w:r>
        <w:rPr>
          <w:rFonts w:ascii="宋体" w:hAnsi="宋体" w:eastAsia="宋体" w:cs="宋体"/>
          <w:spacing w:val="-5"/>
          <w:position w:val="1"/>
          <w:sz w:val="23"/>
          <w:szCs w:val="23"/>
        </w:rPr>
        <w:t>。</w:t>
      </w:r>
    </w:p>
    <w:p w14:paraId="1620FF6E">
      <w:pPr>
        <w:spacing w:before="317" w:line="224" w:lineRule="auto"/>
        <w:ind w:left="21"/>
        <w:outlineLvl w:val="2"/>
        <w:rPr>
          <w:rFonts w:ascii="宋体" w:hAnsi="宋体" w:eastAsia="宋体" w:cs="宋体"/>
          <w:sz w:val="29"/>
          <w:szCs w:val="29"/>
        </w:rPr>
      </w:pPr>
      <w:r>
        <w:rPr>
          <w:rFonts w:ascii="Times New Roman" w:hAnsi="Times New Roman" w:eastAsia="Times New Roman" w:cs="Times New Roman"/>
          <w:b/>
          <w:bCs/>
          <w:spacing w:val="-2"/>
          <w:sz w:val="29"/>
          <w:szCs w:val="29"/>
        </w:rPr>
        <w:t>2.2.5</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建设项目环境影响评价的其它相关</w:t>
      </w:r>
      <w:r>
        <w:rPr>
          <w:rFonts w:ascii="宋体" w:hAnsi="宋体" w:eastAsia="宋体" w:cs="宋体"/>
          <w:spacing w:val="-1"/>
          <w:sz w:val="29"/>
          <w:szCs w:val="29"/>
          <w14:textOutline w14:w="5448" w14:cap="sq" w14:cmpd="sng">
            <w14:solidFill>
              <w14:srgbClr w14:val="000000"/>
            </w14:solidFill>
            <w14:prstDash w14:val="solid"/>
            <w14:bevel/>
          </w14:textOutline>
        </w:rPr>
        <w:t>依</w:t>
      </w:r>
      <w:r>
        <w:rPr>
          <w:rFonts w:ascii="宋体" w:hAnsi="宋体" w:eastAsia="宋体" w:cs="宋体"/>
          <w:sz w:val="29"/>
          <w:szCs w:val="29"/>
          <w14:textOutline w14:w="5448" w14:cap="sq" w14:cmpd="sng">
            <w14:solidFill>
              <w14:srgbClr w14:val="000000"/>
            </w14:solidFill>
            <w14:prstDash w14:val="solid"/>
            <w14:bevel/>
          </w14:textOutline>
        </w:rPr>
        <w:t>据</w:t>
      </w:r>
    </w:p>
    <w:p w14:paraId="7C69808A">
      <w:pPr>
        <w:spacing w:line="268" w:lineRule="auto"/>
        <w:rPr>
          <w:rFonts w:ascii="Arial"/>
          <w:sz w:val="21"/>
        </w:rPr>
      </w:pPr>
    </w:p>
    <w:p w14:paraId="17C39DAE">
      <w:pPr>
        <w:spacing w:before="74" w:line="227" w:lineRule="auto"/>
        <w:ind w:left="486"/>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1</w:t>
      </w:r>
      <w:r>
        <w:rPr>
          <w:rFonts w:ascii="宋体" w:hAnsi="宋体" w:eastAsia="宋体" w:cs="宋体"/>
          <w:spacing w:val="-4"/>
          <w:sz w:val="23"/>
          <w:szCs w:val="23"/>
        </w:rPr>
        <w:t>)</w:t>
      </w:r>
      <w:r>
        <w:rPr>
          <w:rFonts w:ascii="宋体" w:hAnsi="宋体" w:eastAsia="宋体" w:cs="宋体"/>
          <w:spacing w:val="-2"/>
          <w:sz w:val="23"/>
          <w:szCs w:val="23"/>
        </w:rPr>
        <w:t xml:space="preserve">  《本溪弘福塑业有限公司新建项目》环境影响评价工作委托书；</w:t>
      </w:r>
    </w:p>
    <w:p w14:paraId="4A0F1956">
      <w:pPr>
        <w:spacing w:line="288" w:lineRule="auto"/>
        <w:rPr>
          <w:rFonts w:ascii="Arial"/>
          <w:sz w:val="21"/>
        </w:rPr>
      </w:pPr>
    </w:p>
    <w:p w14:paraId="5E6CBEE3">
      <w:pPr>
        <w:spacing w:before="75" w:line="227" w:lineRule="auto"/>
        <w:ind w:left="486"/>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4"/>
          <w:sz w:val="23"/>
          <w:szCs w:val="23"/>
        </w:rPr>
        <w:t>2</w:t>
      </w:r>
      <w:r>
        <w:rPr>
          <w:rFonts w:ascii="宋体" w:hAnsi="宋体" w:eastAsia="宋体" w:cs="宋体"/>
          <w:spacing w:val="3"/>
          <w:sz w:val="23"/>
          <w:szCs w:val="23"/>
        </w:rPr>
        <w:t>) 建设单位提供的相关技术资料及情况说明。</w:t>
      </w:r>
    </w:p>
    <w:p w14:paraId="23914DA3">
      <w:pPr>
        <w:spacing w:before="295" w:line="223" w:lineRule="auto"/>
        <w:ind w:left="21"/>
        <w:outlineLvl w:val="1"/>
        <w:rPr>
          <w:rFonts w:ascii="宋体" w:hAnsi="宋体" w:eastAsia="宋体" w:cs="宋体"/>
          <w:sz w:val="31"/>
          <w:szCs w:val="31"/>
        </w:rPr>
      </w:pPr>
      <w:bookmarkStart w:id="9" w:name="_bookmark10"/>
      <w:bookmarkEnd w:id="9"/>
      <w:r>
        <w:rPr>
          <w:rFonts w:ascii="Times New Roman" w:hAnsi="Times New Roman" w:eastAsia="Times New Roman" w:cs="Times New Roman"/>
          <w:b/>
          <w:bCs/>
          <w:spacing w:val="6"/>
          <w:sz w:val="31"/>
          <w:szCs w:val="31"/>
        </w:rPr>
        <w:t>2</w:t>
      </w:r>
      <w:r>
        <w:rPr>
          <w:rFonts w:ascii="Times New Roman" w:hAnsi="Times New Roman" w:eastAsia="Times New Roman" w:cs="Times New Roman"/>
          <w:b/>
          <w:bCs/>
          <w:spacing w:val="4"/>
          <w:sz w:val="31"/>
          <w:szCs w:val="31"/>
        </w:rPr>
        <w:t>.3</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评价内容及评价重点</w:t>
      </w:r>
    </w:p>
    <w:p w14:paraId="69568D3D">
      <w:pPr>
        <w:spacing w:before="290" w:line="224" w:lineRule="auto"/>
        <w:ind w:left="21"/>
        <w:outlineLvl w:val="2"/>
        <w:rPr>
          <w:rFonts w:ascii="宋体" w:hAnsi="宋体" w:eastAsia="宋体" w:cs="宋体"/>
          <w:sz w:val="29"/>
          <w:szCs w:val="29"/>
        </w:rPr>
      </w:pPr>
      <w:r>
        <w:rPr>
          <w:rFonts w:ascii="Times New Roman" w:hAnsi="Times New Roman" w:eastAsia="Times New Roman" w:cs="Times New Roman"/>
          <w:b/>
          <w:bCs/>
          <w:spacing w:val="10"/>
          <w:sz w:val="29"/>
          <w:szCs w:val="29"/>
        </w:rPr>
        <w:t>2</w:t>
      </w:r>
      <w:r>
        <w:rPr>
          <w:rFonts w:ascii="Times New Roman" w:hAnsi="Times New Roman" w:eastAsia="Times New Roman" w:cs="Times New Roman"/>
          <w:b/>
          <w:bCs/>
          <w:spacing w:val="6"/>
          <w:sz w:val="29"/>
          <w:szCs w:val="29"/>
        </w:rPr>
        <w:t>.</w:t>
      </w:r>
      <w:r>
        <w:rPr>
          <w:rFonts w:ascii="Times New Roman" w:hAnsi="Times New Roman" w:eastAsia="Times New Roman" w:cs="Times New Roman"/>
          <w:b/>
          <w:bCs/>
          <w:spacing w:val="5"/>
          <w:sz w:val="29"/>
          <w:szCs w:val="29"/>
        </w:rPr>
        <w:t>3.1</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评价内容</w:t>
      </w:r>
    </w:p>
    <w:p w14:paraId="630CC46D">
      <w:pPr>
        <w:spacing w:line="268" w:lineRule="auto"/>
        <w:rPr>
          <w:rFonts w:ascii="Arial"/>
          <w:sz w:val="21"/>
        </w:rPr>
      </w:pPr>
    </w:p>
    <w:p w14:paraId="57FA7D34">
      <w:pPr>
        <w:spacing w:before="76" w:line="227" w:lineRule="auto"/>
        <w:ind w:left="474"/>
        <w:rPr>
          <w:rFonts w:ascii="宋体" w:hAnsi="宋体" w:eastAsia="宋体" w:cs="宋体"/>
          <w:sz w:val="23"/>
          <w:szCs w:val="23"/>
        </w:rPr>
      </w:pPr>
      <w:r>
        <w:rPr>
          <w:rFonts w:ascii="宋体" w:hAnsi="宋体" w:eastAsia="宋体" w:cs="宋体"/>
          <w:spacing w:val="-10"/>
          <w:sz w:val="23"/>
          <w:szCs w:val="23"/>
        </w:rPr>
        <w:t>根</w:t>
      </w:r>
      <w:r>
        <w:rPr>
          <w:rFonts w:ascii="宋体" w:hAnsi="宋体" w:eastAsia="宋体" w:cs="宋体"/>
          <w:spacing w:val="-6"/>
          <w:sz w:val="23"/>
          <w:szCs w:val="23"/>
        </w:rPr>
        <w:t>据</w:t>
      </w:r>
      <w:r>
        <w:rPr>
          <w:rFonts w:ascii="宋体" w:hAnsi="宋体" w:eastAsia="宋体" w:cs="宋体"/>
          <w:spacing w:val="-5"/>
          <w:sz w:val="23"/>
          <w:szCs w:val="23"/>
        </w:rPr>
        <w:t>项目特点及项目所在区域环境概况，确定本次环境影响评价的主要内容为：</w:t>
      </w:r>
    </w:p>
    <w:p w14:paraId="0DA36E95">
      <w:pPr>
        <w:spacing w:line="288" w:lineRule="auto"/>
        <w:rPr>
          <w:rFonts w:ascii="Arial"/>
          <w:sz w:val="21"/>
        </w:rPr>
      </w:pPr>
    </w:p>
    <w:p w14:paraId="7977FF73">
      <w:pPr>
        <w:spacing w:before="75" w:line="226"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w:t>
      </w:r>
      <w:r>
        <w:rPr>
          <w:rFonts w:ascii="宋体" w:hAnsi="宋体" w:eastAsia="宋体" w:cs="宋体"/>
          <w:spacing w:val="-2"/>
          <w:sz w:val="23"/>
          <w:szCs w:val="23"/>
        </w:rPr>
        <w:t>)对项目所在区域的环境质量现状进行评价</w:t>
      </w:r>
      <w:r>
        <w:rPr>
          <w:rFonts w:ascii="宋体" w:hAnsi="宋体" w:eastAsia="宋体" w:cs="宋体"/>
          <w:spacing w:val="-1"/>
          <w:sz w:val="23"/>
          <w:szCs w:val="23"/>
        </w:rPr>
        <w:t>，作为环境影响预测评价的依据。</w:t>
      </w:r>
    </w:p>
    <w:p w14:paraId="1CEEA3CB">
      <w:pPr>
        <w:spacing w:line="291" w:lineRule="auto"/>
        <w:rPr>
          <w:rFonts w:ascii="Arial"/>
          <w:sz w:val="21"/>
        </w:rPr>
      </w:pPr>
    </w:p>
    <w:p w14:paraId="6C242932">
      <w:pPr>
        <w:spacing w:before="74" w:line="393" w:lineRule="auto"/>
        <w:ind w:left="44" w:right="46" w:firstLine="44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w:t>
      </w:r>
      <w:r>
        <w:rPr>
          <w:rFonts w:ascii="宋体" w:hAnsi="宋体" w:eastAsia="宋体" w:cs="宋体"/>
          <w:spacing w:val="1"/>
          <w:sz w:val="23"/>
          <w:szCs w:val="23"/>
        </w:rPr>
        <w:t>) 针对项目的建设特点及排污特征，贯彻污染源治理</w:t>
      </w:r>
      <w:r>
        <w:rPr>
          <w:rFonts w:ascii="Times New Roman" w:hAnsi="Times New Roman" w:eastAsia="Times New Roman" w:cs="Times New Roman"/>
          <w:spacing w:val="1"/>
          <w:sz w:val="23"/>
          <w:szCs w:val="23"/>
        </w:rPr>
        <w:t>“</w:t>
      </w:r>
      <w:r>
        <w:rPr>
          <w:rFonts w:ascii="宋体" w:hAnsi="宋体" w:eastAsia="宋体" w:cs="宋体"/>
          <w:spacing w:val="1"/>
          <w:sz w:val="23"/>
          <w:szCs w:val="23"/>
        </w:rPr>
        <w:t>达标排放</w:t>
      </w:r>
      <w:r>
        <w:rPr>
          <w:rFonts w:ascii="Times New Roman" w:hAnsi="Times New Roman" w:eastAsia="Times New Roman" w:cs="Times New Roman"/>
          <w:spacing w:val="1"/>
          <w:sz w:val="23"/>
          <w:szCs w:val="23"/>
        </w:rPr>
        <w:t>”</w:t>
      </w:r>
      <w:r>
        <w:rPr>
          <w:rFonts w:ascii="宋体" w:hAnsi="宋体" w:eastAsia="宋体" w:cs="宋体"/>
          <w:spacing w:val="1"/>
          <w:sz w:val="23"/>
          <w:szCs w:val="23"/>
        </w:rPr>
        <w:t>的原则，提</w:t>
      </w:r>
      <w:r>
        <w:rPr>
          <w:rFonts w:ascii="宋体" w:hAnsi="宋体" w:eastAsia="宋体" w:cs="宋体"/>
          <w:sz w:val="23"/>
          <w:szCs w:val="23"/>
        </w:rPr>
        <w:t xml:space="preserve"> </w:t>
      </w:r>
      <w:r>
        <w:rPr>
          <w:rFonts w:ascii="宋体" w:hAnsi="宋体" w:eastAsia="宋体" w:cs="宋体"/>
          <w:spacing w:val="-4"/>
          <w:sz w:val="23"/>
          <w:szCs w:val="23"/>
        </w:rPr>
        <w:t>出经济合理、技术可行的污染防治措施。</w:t>
      </w:r>
    </w:p>
    <w:p w14:paraId="20674634">
      <w:pPr>
        <w:spacing w:before="147" w:line="393" w:lineRule="auto"/>
        <w:ind w:left="24" w:right="46" w:firstLine="461"/>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3</w:t>
      </w:r>
      <w:r>
        <w:rPr>
          <w:rFonts w:ascii="宋体" w:hAnsi="宋体" w:eastAsia="宋体" w:cs="宋体"/>
          <w:spacing w:val="1"/>
          <w:sz w:val="23"/>
          <w:szCs w:val="23"/>
        </w:rPr>
        <w:t>) 预测项目投产后</w:t>
      </w:r>
      <w:r>
        <w:rPr>
          <w:rFonts w:ascii="宋体" w:hAnsi="宋体" w:eastAsia="宋体" w:cs="宋体"/>
          <w:sz w:val="23"/>
          <w:szCs w:val="23"/>
        </w:rPr>
        <w:t xml:space="preserve">所排污染物对评价区环境质量和敏感目标产生影响的范围 </w:t>
      </w:r>
      <w:r>
        <w:rPr>
          <w:rFonts w:ascii="宋体" w:hAnsi="宋体" w:eastAsia="宋体" w:cs="宋体"/>
          <w:spacing w:val="-3"/>
          <w:sz w:val="23"/>
          <w:szCs w:val="23"/>
        </w:rPr>
        <w:t>和程度，从环保角度论证项目选址的可行性</w:t>
      </w:r>
      <w:r>
        <w:rPr>
          <w:rFonts w:ascii="宋体" w:hAnsi="宋体" w:eastAsia="宋体" w:cs="宋体"/>
          <w:spacing w:val="-1"/>
          <w:sz w:val="23"/>
          <w:szCs w:val="23"/>
        </w:rPr>
        <w:t>。</w:t>
      </w:r>
    </w:p>
    <w:p w14:paraId="6E9FCE72">
      <w:pPr>
        <w:spacing w:before="148" w:line="228" w:lineRule="auto"/>
        <w:ind w:left="486"/>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4</w:t>
      </w:r>
      <w:r>
        <w:rPr>
          <w:rFonts w:ascii="宋体" w:hAnsi="宋体" w:eastAsia="宋体" w:cs="宋体"/>
          <w:spacing w:val="-2"/>
          <w:sz w:val="23"/>
          <w:szCs w:val="23"/>
        </w:rPr>
        <w:t>)对项目环境经济损益进行分析，提出相应</w:t>
      </w:r>
      <w:r>
        <w:rPr>
          <w:rFonts w:ascii="宋体" w:hAnsi="宋体" w:eastAsia="宋体" w:cs="宋体"/>
          <w:spacing w:val="-1"/>
          <w:sz w:val="23"/>
          <w:szCs w:val="23"/>
        </w:rPr>
        <w:t>的环境管理计划与环境监测计划。</w:t>
      </w:r>
    </w:p>
    <w:p w14:paraId="7CAB8427">
      <w:pPr>
        <w:spacing w:before="310" w:line="224" w:lineRule="auto"/>
        <w:ind w:left="21"/>
        <w:outlineLvl w:val="2"/>
        <w:rPr>
          <w:rFonts w:ascii="宋体" w:hAnsi="宋体" w:eastAsia="宋体" w:cs="宋体"/>
          <w:sz w:val="29"/>
          <w:szCs w:val="29"/>
        </w:rPr>
      </w:pPr>
      <w:r>
        <w:rPr>
          <w:rFonts w:ascii="Times New Roman" w:hAnsi="Times New Roman" w:eastAsia="Times New Roman" w:cs="Times New Roman"/>
          <w:b/>
          <w:bCs/>
          <w:spacing w:val="10"/>
          <w:sz w:val="29"/>
          <w:szCs w:val="29"/>
        </w:rPr>
        <w:t>2</w:t>
      </w:r>
      <w:r>
        <w:rPr>
          <w:rFonts w:ascii="Times New Roman" w:hAnsi="Times New Roman" w:eastAsia="Times New Roman" w:cs="Times New Roman"/>
          <w:b/>
          <w:bCs/>
          <w:spacing w:val="6"/>
          <w:sz w:val="29"/>
          <w:szCs w:val="29"/>
        </w:rPr>
        <w:t>.</w:t>
      </w:r>
      <w:r>
        <w:rPr>
          <w:rFonts w:ascii="Times New Roman" w:hAnsi="Times New Roman" w:eastAsia="Times New Roman" w:cs="Times New Roman"/>
          <w:b/>
          <w:bCs/>
          <w:spacing w:val="5"/>
          <w:sz w:val="29"/>
          <w:szCs w:val="29"/>
        </w:rPr>
        <w:t>3.2</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评价重点</w:t>
      </w:r>
    </w:p>
    <w:p w14:paraId="38068306">
      <w:pPr>
        <w:spacing w:line="270" w:lineRule="auto"/>
        <w:rPr>
          <w:rFonts w:ascii="Arial"/>
          <w:sz w:val="21"/>
        </w:rPr>
      </w:pPr>
    </w:p>
    <w:p w14:paraId="7736806E">
      <w:pPr>
        <w:spacing w:before="75" w:line="390" w:lineRule="auto"/>
        <w:ind w:left="24" w:right="46" w:firstLine="450"/>
        <w:rPr>
          <w:rFonts w:ascii="宋体" w:hAnsi="宋体" w:eastAsia="宋体" w:cs="宋体"/>
          <w:sz w:val="23"/>
          <w:szCs w:val="23"/>
        </w:rPr>
      </w:pPr>
      <w:r>
        <w:rPr>
          <w:rFonts w:ascii="宋体" w:hAnsi="宋体" w:eastAsia="宋体" w:cs="宋体"/>
          <w:spacing w:val="1"/>
          <w:sz w:val="23"/>
          <w:szCs w:val="23"/>
        </w:rPr>
        <w:t>根据项目的排污特点及所在区域的环境特征，本评价</w:t>
      </w:r>
      <w:r>
        <w:rPr>
          <w:rFonts w:ascii="宋体" w:hAnsi="宋体" w:eastAsia="宋体" w:cs="宋体"/>
          <w:sz w:val="23"/>
          <w:szCs w:val="23"/>
        </w:rPr>
        <w:t xml:space="preserve">在工程分析的基础上，以 </w:t>
      </w:r>
      <w:r>
        <w:rPr>
          <w:rFonts w:ascii="宋体" w:hAnsi="宋体" w:eastAsia="宋体" w:cs="宋体"/>
          <w:spacing w:val="1"/>
          <w:sz w:val="23"/>
          <w:szCs w:val="23"/>
        </w:rPr>
        <w:t>大气环境影响评价、产业政策</w:t>
      </w:r>
      <w:r>
        <w:rPr>
          <w:rFonts w:ascii="宋体" w:hAnsi="宋体" w:eastAsia="宋体" w:cs="宋体"/>
          <w:sz w:val="23"/>
          <w:szCs w:val="23"/>
        </w:rPr>
        <w:t xml:space="preserve">分析和污染防治措施评价分析为重点，兼顾地下水环 </w:t>
      </w:r>
      <w:r>
        <w:rPr>
          <w:rFonts w:ascii="宋体" w:hAnsi="宋体" w:eastAsia="宋体" w:cs="宋体"/>
          <w:spacing w:val="-4"/>
          <w:sz w:val="23"/>
          <w:szCs w:val="23"/>
        </w:rPr>
        <w:t>境影响评价</w:t>
      </w:r>
      <w:r>
        <w:rPr>
          <w:rFonts w:ascii="宋体" w:hAnsi="宋体" w:eastAsia="宋体" w:cs="宋体"/>
          <w:spacing w:val="-3"/>
          <w:sz w:val="23"/>
          <w:szCs w:val="23"/>
        </w:rPr>
        <w:t>和</w:t>
      </w:r>
      <w:r>
        <w:rPr>
          <w:rFonts w:ascii="宋体" w:hAnsi="宋体" w:eastAsia="宋体" w:cs="宋体"/>
          <w:spacing w:val="-2"/>
          <w:sz w:val="23"/>
          <w:szCs w:val="23"/>
        </w:rPr>
        <w:t>声环境影响分析。</w:t>
      </w:r>
    </w:p>
    <w:p w14:paraId="7E9EC1B5">
      <w:pPr>
        <w:spacing w:before="84" w:line="225" w:lineRule="auto"/>
        <w:ind w:left="21"/>
        <w:outlineLvl w:val="1"/>
        <w:rPr>
          <w:rFonts w:ascii="宋体" w:hAnsi="宋体" w:eastAsia="宋体" w:cs="宋体"/>
          <w:sz w:val="31"/>
          <w:szCs w:val="31"/>
        </w:rPr>
      </w:pPr>
      <w:bookmarkStart w:id="10" w:name="_bookmark11"/>
      <w:bookmarkEnd w:id="10"/>
      <w:r>
        <w:rPr>
          <w:rFonts w:ascii="Times New Roman" w:hAnsi="Times New Roman" w:eastAsia="Times New Roman" w:cs="Times New Roman"/>
          <w:b/>
          <w:bCs/>
          <w:spacing w:val="-2"/>
          <w:sz w:val="31"/>
          <w:szCs w:val="31"/>
        </w:rPr>
        <w:t>2.4</w:t>
      </w:r>
      <w:r>
        <w:rPr>
          <w:rFonts w:ascii="Times New Roman" w:hAnsi="Times New Roman" w:eastAsia="Times New Roman" w:cs="Times New Roman"/>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环境</w:t>
      </w:r>
      <w:r>
        <w:rPr>
          <w:rFonts w:ascii="宋体" w:hAnsi="宋体" w:eastAsia="宋体" w:cs="宋体"/>
          <w:spacing w:val="-1"/>
          <w:sz w:val="31"/>
          <w:szCs w:val="31"/>
          <w14:textOutline w14:w="5793" w14:cap="sq" w14:cmpd="sng">
            <w14:solidFill>
              <w14:srgbClr w14:val="000000"/>
            </w14:solidFill>
            <w14:prstDash w14:val="solid"/>
            <w14:bevel/>
          </w14:textOutline>
        </w:rPr>
        <w:t>功能区划</w:t>
      </w:r>
    </w:p>
    <w:p w14:paraId="134E2A92">
      <w:pPr>
        <w:spacing w:before="282" w:line="219" w:lineRule="auto"/>
        <w:ind w:left="21"/>
        <w:outlineLvl w:val="2"/>
        <w:rPr>
          <w:rFonts w:ascii="Times New Roman" w:hAnsi="Times New Roman" w:eastAsia="Times New Roman" w:cs="Times New Roman"/>
          <w:sz w:val="29"/>
          <w:szCs w:val="29"/>
        </w:rPr>
      </w:pPr>
      <w:r>
        <w:rPr>
          <w:rFonts w:ascii="Times New Roman" w:hAnsi="Times New Roman" w:eastAsia="Times New Roman" w:cs="Times New Roman"/>
          <w:b/>
          <w:bCs/>
          <w:spacing w:val="-2"/>
          <w:sz w:val="29"/>
          <w:szCs w:val="29"/>
        </w:rPr>
        <w:t>2.4.1</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大气环</w:t>
      </w:r>
      <w:r>
        <w:rPr>
          <w:rFonts w:ascii="宋体" w:hAnsi="宋体" w:eastAsia="宋体" w:cs="宋体"/>
          <w:spacing w:val="-1"/>
          <w:sz w:val="29"/>
          <w:szCs w:val="29"/>
          <w14:textOutline w14:w="5448" w14:cap="sq" w14:cmpd="sng">
            <w14:solidFill>
              <w14:srgbClr w14:val="000000"/>
            </w14:solidFill>
            <w14:prstDash w14:val="solid"/>
            <w14:bevel/>
          </w14:textOutline>
        </w:rPr>
        <w:t>境功能区划</w:t>
      </w:r>
      <w:r>
        <w:rPr>
          <w:rFonts w:ascii="Times New Roman" w:hAnsi="Times New Roman" w:eastAsia="Times New Roman" w:cs="Times New Roman"/>
          <w:b/>
          <w:bCs/>
          <w:spacing w:val="-1"/>
          <w:sz w:val="29"/>
          <w:szCs w:val="29"/>
        </w:rPr>
        <w:t>,</w:t>
      </w:r>
    </w:p>
    <w:p w14:paraId="331D4FBE">
      <w:pPr>
        <w:spacing w:line="281" w:lineRule="auto"/>
        <w:rPr>
          <w:rFonts w:ascii="Arial"/>
          <w:sz w:val="21"/>
        </w:rPr>
      </w:pPr>
    </w:p>
    <w:p w14:paraId="7434E59A">
      <w:pPr>
        <w:spacing w:before="76" w:line="389" w:lineRule="auto"/>
        <w:ind w:left="11" w:right="46" w:firstLine="467"/>
        <w:rPr>
          <w:rFonts w:ascii="宋体" w:hAnsi="宋体" w:eastAsia="宋体" w:cs="宋体"/>
          <w:sz w:val="23"/>
          <w:szCs w:val="23"/>
        </w:rPr>
      </w:pPr>
      <w:r>
        <w:rPr>
          <w:rFonts w:ascii="宋体" w:hAnsi="宋体" w:eastAsia="宋体" w:cs="宋体"/>
          <w:spacing w:val="22"/>
          <w:sz w:val="23"/>
          <w:szCs w:val="23"/>
        </w:rPr>
        <w:t>该项 目位于辽宁省本溪市溪湖区火连寨镇火连寨村 ，地理位置坐标为</w:t>
      </w:r>
      <w:r>
        <w:rPr>
          <w:rFonts w:ascii="宋体" w:hAnsi="宋体" w:eastAsia="宋体" w:cs="宋体"/>
          <w:sz w:val="23"/>
          <w:szCs w:val="23"/>
        </w:rPr>
        <w:t xml:space="preserve"> </w:t>
      </w:r>
      <w:r>
        <w:rPr>
          <w:rFonts w:ascii="Times New Roman" w:hAnsi="Times New Roman" w:eastAsia="Times New Roman" w:cs="Times New Roman"/>
          <w:spacing w:val="-3"/>
          <w:sz w:val="23"/>
          <w:szCs w:val="23"/>
        </w:rPr>
        <w:t>N</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 xml:space="preserve">°21′55.05927″E123°42′32.05640″ </w:t>
      </w:r>
      <w:r>
        <w:rPr>
          <w:rFonts w:ascii="宋体" w:hAnsi="宋体" w:eastAsia="宋体" w:cs="宋体"/>
          <w:spacing w:val="-3"/>
          <w:sz w:val="23"/>
          <w:szCs w:val="23"/>
        </w:rPr>
        <w:t>，根据《环境空气质量标准》  (</w:t>
      </w:r>
      <w:r>
        <w:rPr>
          <w:rFonts w:ascii="Times New Roman" w:hAnsi="Times New Roman" w:eastAsia="Times New Roman" w:cs="Times New Roman"/>
          <w:spacing w:val="-3"/>
          <w:sz w:val="23"/>
          <w:szCs w:val="23"/>
        </w:rPr>
        <w:t>GB3095-2012</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10"/>
          <w:sz w:val="23"/>
          <w:szCs w:val="23"/>
        </w:rPr>
        <w:t>中环境</w:t>
      </w:r>
      <w:r>
        <w:rPr>
          <w:rFonts w:ascii="宋体" w:hAnsi="宋体" w:eastAsia="宋体" w:cs="宋体"/>
          <w:spacing w:val="-9"/>
          <w:sz w:val="23"/>
          <w:szCs w:val="23"/>
        </w:rPr>
        <w:t>空</w:t>
      </w:r>
      <w:r>
        <w:rPr>
          <w:rFonts w:ascii="宋体" w:hAnsi="宋体" w:eastAsia="宋体" w:cs="宋体"/>
          <w:spacing w:val="-5"/>
          <w:sz w:val="23"/>
          <w:szCs w:val="23"/>
        </w:rPr>
        <w:t>气质量功能区分类，该项目评价区域为环境空气质量二类功能区，执行《环</w:t>
      </w:r>
      <w:r>
        <w:rPr>
          <w:rFonts w:ascii="宋体" w:hAnsi="宋体" w:eastAsia="宋体" w:cs="宋体"/>
          <w:sz w:val="23"/>
          <w:szCs w:val="23"/>
        </w:rPr>
        <w:t xml:space="preserve"> </w:t>
      </w:r>
      <w:r>
        <w:rPr>
          <w:rFonts w:ascii="宋体" w:hAnsi="宋体" w:eastAsia="宋体" w:cs="宋体"/>
          <w:spacing w:val="-10"/>
          <w:sz w:val="23"/>
          <w:szCs w:val="23"/>
        </w:rPr>
        <w:t>境空</w:t>
      </w:r>
      <w:r>
        <w:rPr>
          <w:rFonts w:ascii="宋体" w:hAnsi="宋体" w:eastAsia="宋体" w:cs="宋体"/>
          <w:spacing w:val="-7"/>
          <w:sz w:val="23"/>
          <w:szCs w:val="23"/>
        </w:rPr>
        <w:t>气</w:t>
      </w:r>
      <w:r>
        <w:rPr>
          <w:rFonts w:ascii="宋体" w:hAnsi="宋体" w:eastAsia="宋体" w:cs="宋体"/>
          <w:spacing w:val="-5"/>
          <w:sz w:val="23"/>
          <w:szCs w:val="23"/>
        </w:rPr>
        <w:t>质量标准》  (</w:t>
      </w:r>
      <w:r>
        <w:rPr>
          <w:rFonts w:ascii="Times New Roman" w:hAnsi="Times New Roman" w:eastAsia="Times New Roman" w:cs="Times New Roman"/>
          <w:spacing w:val="-5"/>
          <w:sz w:val="23"/>
          <w:szCs w:val="23"/>
        </w:rPr>
        <w:t>GB3095-2012</w:t>
      </w:r>
      <w:r>
        <w:rPr>
          <w:rFonts w:ascii="宋体" w:hAnsi="宋体" w:eastAsia="宋体" w:cs="宋体"/>
          <w:spacing w:val="-5"/>
          <w:sz w:val="23"/>
          <w:szCs w:val="23"/>
        </w:rPr>
        <w:t>) 中的二级标准。</w:t>
      </w:r>
    </w:p>
    <w:p w14:paraId="4A64A338">
      <w:pPr>
        <w:sectPr>
          <w:headerReference r:id="rId52" w:type="default"/>
          <w:footerReference r:id="rId53" w:type="default"/>
          <w:pgSz w:w="11906" w:h="16839"/>
          <w:pgMar w:top="1132" w:right="1755" w:bottom="1156" w:left="1785" w:header="878" w:footer="996" w:gutter="0"/>
          <w:cols w:space="720" w:num="1"/>
        </w:sectPr>
      </w:pPr>
    </w:p>
    <w:p w14:paraId="7E1D4FE0">
      <w:pPr>
        <w:spacing w:line="337" w:lineRule="auto"/>
        <w:rPr>
          <w:rFonts w:ascii="Arial"/>
          <w:sz w:val="21"/>
        </w:rPr>
      </w:pPr>
      <w:r>
        <w:pict>
          <v:shape id="_x0000_s1086" o:spid="_x0000_s1086" style="position:absolute;left:0pt;margin-left:90pt;margin-top:57.35pt;height:0.75pt;width:415.3pt;mso-position-horizontal-relative:page;mso-position-vertical-relative:page;z-index:251723776;mso-width-relative:page;mso-height-relative:page;" fillcolor="#000000" filled="t" stroked="f" coordsize="8305,15" o:allowincell="f" path="m0,0l8305,0,8305,14,0,14,0,0xe">
            <v:path/>
            <v:fill on="t" focussize="0,0"/>
            <v:stroke on="f"/>
            <v:imagedata o:title=""/>
            <o:lock v:ext="edit"/>
          </v:shape>
        </w:pict>
      </w:r>
    </w:p>
    <w:p w14:paraId="2E78F5E1">
      <w:pPr>
        <w:spacing w:before="94" w:line="226" w:lineRule="auto"/>
        <w:ind w:left="30"/>
        <w:outlineLvl w:val="2"/>
        <w:rPr>
          <w:rFonts w:ascii="宋体" w:hAnsi="宋体" w:eastAsia="宋体" w:cs="宋体"/>
          <w:sz w:val="29"/>
          <w:szCs w:val="29"/>
        </w:rPr>
      </w:pPr>
      <w:r>
        <w:rPr>
          <w:rFonts w:ascii="Times New Roman" w:hAnsi="Times New Roman" w:eastAsia="Times New Roman" w:cs="Times New Roman"/>
          <w:b/>
          <w:bCs/>
          <w:spacing w:val="4"/>
          <w:sz w:val="29"/>
          <w:szCs w:val="29"/>
        </w:rPr>
        <w:t>2</w:t>
      </w:r>
      <w:r>
        <w:rPr>
          <w:rFonts w:ascii="Times New Roman" w:hAnsi="Times New Roman" w:eastAsia="Times New Roman" w:cs="Times New Roman"/>
          <w:b/>
          <w:bCs/>
          <w:spacing w:val="3"/>
          <w:sz w:val="29"/>
          <w:szCs w:val="29"/>
        </w:rPr>
        <w:t>.4.2</w:t>
      </w:r>
      <w:r>
        <w:rPr>
          <w:rFonts w:ascii="Times New Roman" w:hAnsi="Times New Roman" w:eastAsia="Times New Roman" w:cs="Times New Roman"/>
          <w:spacing w:val="3"/>
          <w:sz w:val="29"/>
          <w:szCs w:val="29"/>
        </w:rPr>
        <w:t xml:space="preserve"> </w:t>
      </w:r>
      <w:r>
        <w:rPr>
          <w:rFonts w:ascii="宋体" w:hAnsi="宋体" w:eastAsia="宋体" w:cs="宋体"/>
          <w:spacing w:val="3"/>
          <w:sz w:val="29"/>
          <w:szCs w:val="29"/>
          <w14:textOutline w14:w="5448" w14:cap="sq" w14:cmpd="sng">
            <w14:solidFill>
              <w14:srgbClr w14:val="000000"/>
            </w14:solidFill>
            <w14:prstDash w14:val="solid"/>
            <w14:bevel/>
          </w14:textOutline>
        </w:rPr>
        <w:t>地下水环境功能区划</w:t>
      </w:r>
    </w:p>
    <w:p w14:paraId="32FE43EA">
      <w:pPr>
        <w:spacing w:line="269" w:lineRule="auto"/>
        <w:rPr>
          <w:rFonts w:ascii="Arial"/>
          <w:sz w:val="21"/>
        </w:rPr>
      </w:pPr>
    </w:p>
    <w:p w14:paraId="36076843">
      <w:pPr>
        <w:spacing w:before="74" w:line="378" w:lineRule="auto"/>
        <w:ind w:left="36" w:right="195" w:firstLine="451"/>
        <w:rPr>
          <w:rFonts w:ascii="宋体" w:hAnsi="宋体" w:eastAsia="宋体" w:cs="宋体"/>
          <w:sz w:val="23"/>
          <w:szCs w:val="23"/>
        </w:rPr>
      </w:pPr>
      <w:r>
        <w:rPr>
          <w:rFonts w:ascii="宋体" w:hAnsi="宋体" w:eastAsia="宋体" w:cs="宋体"/>
          <w:spacing w:val="1"/>
          <w:sz w:val="23"/>
          <w:szCs w:val="23"/>
        </w:rPr>
        <w:t>该项目评价区域地下水主要适用于集中式生</w:t>
      </w:r>
      <w:r>
        <w:rPr>
          <w:rFonts w:ascii="宋体" w:hAnsi="宋体" w:eastAsia="宋体" w:cs="宋体"/>
          <w:sz w:val="23"/>
          <w:szCs w:val="23"/>
        </w:rPr>
        <w:t xml:space="preserve">活饮用水水源及工、农业水，根据 </w:t>
      </w:r>
      <w:r>
        <w:rPr>
          <w:rFonts w:ascii="宋体" w:hAnsi="宋体" w:eastAsia="宋体" w:cs="宋体"/>
          <w:spacing w:val="-6"/>
          <w:sz w:val="23"/>
          <w:szCs w:val="23"/>
        </w:rPr>
        <w:t>《地下水质量标准》  (</w:t>
      </w:r>
      <w:r>
        <w:rPr>
          <w:rFonts w:ascii="Times New Roman" w:hAnsi="Times New Roman" w:eastAsia="Times New Roman" w:cs="Times New Roman"/>
          <w:spacing w:val="-3"/>
          <w:sz w:val="23"/>
          <w:szCs w:val="23"/>
        </w:rPr>
        <w:t>GB</w:t>
      </w:r>
      <w:r>
        <w:rPr>
          <w:rFonts w:ascii="Times New Roman" w:hAnsi="Times New Roman" w:eastAsia="Times New Roman" w:cs="Times New Roman"/>
          <w:spacing w:val="-4"/>
          <w:sz w:val="23"/>
          <w:szCs w:val="23"/>
        </w:rPr>
        <w:t>/</w:t>
      </w:r>
      <w:r>
        <w:rPr>
          <w:rFonts w:ascii="Times New Roman" w:hAnsi="Times New Roman" w:eastAsia="Times New Roman" w:cs="Times New Roman"/>
          <w:spacing w:val="-3"/>
          <w:sz w:val="23"/>
          <w:szCs w:val="23"/>
        </w:rPr>
        <w:t>T 14848-2017</w:t>
      </w:r>
      <w:r>
        <w:rPr>
          <w:rFonts w:ascii="宋体" w:hAnsi="宋体" w:eastAsia="宋体" w:cs="宋体"/>
          <w:spacing w:val="-3"/>
          <w:sz w:val="23"/>
          <w:szCs w:val="23"/>
        </w:rPr>
        <w:t>) 分类，确定该项目评价区域地下水为</w:t>
      </w:r>
      <w:r>
        <w:rPr>
          <w:rFonts w:ascii="Times New Roman" w:hAnsi="Times New Roman" w:eastAsia="Times New Roman" w:cs="Times New Roman"/>
          <w:spacing w:val="-3"/>
          <w:sz w:val="23"/>
          <w:szCs w:val="23"/>
        </w:rPr>
        <w:t>Ⅲ</w:t>
      </w:r>
      <w:r>
        <w:rPr>
          <w:rFonts w:ascii="宋体" w:hAnsi="宋体" w:eastAsia="宋体" w:cs="宋体"/>
          <w:spacing w:val="-3"/>
          <w:sz w:val="23"/>
          <w:szCs w:val="23"/>
        </w:rPr>
        <w:t>类</w:t>
      </w:r>
      <w:r>
        <w:rPr>
          <w:rFonts w:ascii="宋体" w:hAnsi="宋体" w:eastAsia="宋体" w:cs="宋体"/>
          <w:sz w:val="23"/>
          <w:szCs w:val="23"/>
        </w:rPr>
        <w:t xml:space="preserve"> </w:t>
      </w:r>
      <w:r>
        <w:rPr>
          <w:rFonts w:ascii="宋体" w:hAnsi="宋体" w:eastAsia="宋体" w:cs="宋体"/>
          <w:spacing w:val="-4"/>
          <w:sz w:val="23"/>
          <w:szCs w:val="23"/>
        </w:rPr>
        <w:t>功能区，执行《地</w:t>
      </w:r>
      <w:r>
        <w:rPr>
          <w:rFonts w:ascii="宋体" w:hAnsi="宋体" w:eastAsia="宋体" w:cs="宋体"/>
          <w:spacing w:val="-3"/>
          <w:sz w:val="23"/>
          <w:szCs w:val="23"/>
        </w:rPr>
        <w:t>下</w:t>
      </w:r>
      <w:r>
        <w:rPr>
          <w:rFonts w:ascii="宋体" w:hAnsi="宋体" w:eastAsia="宋体" w:cs="宋体"/>
          <w:spacing w:val="-2"/>
          <w:sz w:val="23"/>
          <w:szCs w:val="23"/>
        </w:rPr>
        <w:t>水质量标准》</w:t>
      </w:r>
      <w:r>
        <w:rPr>
          <w:rFonts w:ascii="Times New Roman" w:hAnsi="Times New Roman" w:eastAsia="Times New Roman" w:cs="Times New Roman"/>
          <w:spacing w:val="-2"/>
          <w:sz w:val="23"/>
          <w:szCs w:val="23"/>
        </w:rPr>
        <w:t xml:space="preserve">(GB/T14848-2017)III </w:t>
      </w:r>
      <w:r>
        <w:rPr>
          <w:rFonts w:ascii="宋体" w:hAnsi="宋体" w:eastAsia="宋体" w:cs="宋体"/>
          <w:spacing w:val="-2"/>
          <w:sz w:val="23"/>
          <w:szCs w:val="23"/>
        </w:rPr>
        <w:t>类。</w:t>
      </w:r>
    </w:p>
    <w:p w14:paraId="75727158">
      <w:pPr>
        <w:spacing w:before="141" w:line="226" w:lineRule="auto"/>
        <w:ind w:left="30"/>
        <w:outlineLvl w:val="2"/>
        <w:rPr>
          <w:rFonts w:ascii="宋体" w:hAnsi="宋体" w:eastAsia="宋体" w:cs="宋体"/>
          <w:sz w:val="29"/>
          <w:szCs w:val="29"/>
        </w:rPr>
      </w:pPr>
      <w:r>
        <w:rPr>
          <w:rFonts w:ascii="Times New Roman" w:hAnsi="Times New Roman" w:eastAsia="Times New Roman" w:cs="Times New Roman"/>
          <w:b/>
          <w:bCs/>
          <w:spacing w:val="-2"/>
          <w:sz w:val="29"/>
          <w:szCs w:val="29"/>
        </w:rPr>
        <w:t>2.4.3</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声</w:t>
      </w:r>
      <w:r>
        <w:rPr>
          <w:rFonts w:ascii="宋体" w:hAnsi="宋体" w:eastAsia="宋体" w:cs="宋体"/>
          <w:spacing w:val="-1"/>
          <w:sz w:val="29"/>
          <w:szCs w:val="29"/>
          <w14:textOutline w14:w="5448" w14:cap="sq" w14:cmpd="sng">
            <w14:solidFill>
              <w14:srgbClr w14:val="000000"/>
            </w14:solidFill>
            <w14:prstDash w14:val="solid"/>
            <w14:bevel/>
          </w14:textOutline>
        </w:rPr>
        <w:t>环境功能区划</w:t>
      </w:r>
    </w:p>
    <w:p w14:paraId="775C8145">
      <w:pPr>
        <w:spacing w:line="270" w:lineRule="auto"/>
        <w:rPr>
          <w:rFonts w:ascii="Arial"/>
          <w:sz w:val="21"/>
        </w:rPr>
      </w:pPr>
    </w:p>
    <w:p w14:paraId="6BBE1285">
      <w:pPr>
        <w:spacing w:before="74" w:line="385" w:lineRule="auto"/>
        <w:ind w:left="20" w:right="190" w:firstLine="467"/>
        <w:rPr>
          <w:rFonts w:ascii="宋体" w:hAnsi="宋体" w:eastAsia="宋体" w:cs="宋体"/>
          <w:sz w:val="23"/>
          <w:szCs w:val="23"/>
        </w:rPr>
      </w:pPr>
      <w:r>
        <w:rPr>
          <w:rFonts w:ascii="宋体" w:hAnsi="宋体" w:eastAsia="宋体" w:cs="宋体"/>
          <w:spacing w:val="22"/>
          <w:sz w:val="23"/>
          <w:szCs w:val="23"/>
        </w:rPr>
        <w:t>该项 目位于辽宁省本溪市溪湖区火连寨镇火连寨村 ，地理位置坐标为</w:t>
      </w:r>
      <w:r>
        <w:rPr>
          <w:rFonts w:ascii="宋体" w:hAnsi="宋体" w:eastAsia="宋体" w:cs="宋体"/>
          <w:sz w:val="23"/>
          <w:szCs w:val="23"/>
        </w:rPr>
        <w:t xml:space="preserve"> </w:t>
      </w:r>
      <w:r>
        <w:rPr>
          <w:rFonts w:ascii="Times New Roman" w:hAnsi="Times New Roman" w:eastAsia="Times New Roman" w:cs="Times New Roman"/>
          <w:spacing w:val="-2"/>
          <w:sz w:val="23"/>
          <w:szCs w:val="23"/>
        </w:rPr>
        <w:t>N</w:t>
      </w:r>
      <w:r>
        <w:rPr>
          <w:rFonts w:ascii="Times New Roman" w:hAnsi="Times New Roman" w:eastAsia="Times New Roman" w:cs="Times New Roman"/>
          <w:spacing w:val="-4"/>
          <w:sz w:val="23"/>
          <w:szCs w:val="23"/>
        </w:rPr>
        <w:t>41°21′55.05927″</w:t>
      </w:r>
      <w:r>
        <w:rPr>
          <w:rFonts w:ascii="Times New Roman" w:hAnsi="Times New Roman" w:eastAsia="Times New Roman" w:cs="Times New Roman"/>
          <w:spacing w:val="-2"/>
          <w:sz w:val="23"/>
          <w:szCs w:val="23"/>
        </w:rPr>
        <w:t>E</w:t>
      </w:r>
      <w:r>
        <w:rPr>
          <w:rFonts w:ascii="Times New Roman" w:hAnsi="Times New Roman" w:eastAsia="Times New Roman" w:cs="Times New Roman"/>
          <w:spacing w:val="-4"/>
          <w:sz w:val="23"/>
          <w:szCs w:val="23"/>
        </w:rPr>
        <w:t>123°42′</w:t>
      </w:r>
      <w:r>
        <w:rPr>
          <w:rFonts w:ascii="Times New Roman" w:hAnsi="Times New Roman" w:eastAsia="Times New Roman" w:cs="Times New Roman"/>
          <w:spacing w:val="-2"/>
          <w:sz w:val="23"/>
          <w:szCs w:val="23"/>
        </w:rPr>
        <w:t xml:space="preserve">32.05640″ </w:t>
      </w:r>
      <w:r>
        <w:rPr>
          <w:rFonts w:ascii="宋体" w:hAnsi="宋体" w:eastAsia="宋体" w:cs="宋体"/>
          <w:spacing w:val="-2"/>
          <w:sz w:val="23"/>
          <w:szCs w:val="23"/>
        </w:rPr>
        <w:t>，根据《声环境质量标准》  (</w:t>
      </w:r>
      <w:r>
        <w:rPr>
          <w:rFonts w:ascii="Times New Roman" w:hAnsi="Times New Roman" w:eastAsia="Times New Roman" w:cs="Times New Roman"/>
          <w:spacing w:val="-2"/>
          <w:sz w:val="23"/>
          <w:szCs w:val="23"/>
        </w:rPr>
        <w:t>GB3096-2008</w:t>
      </w:r>
      <w:r>
        <w:rPr>
          <w:rFonts w:ascii="宋体" w:hAnsi="宋体" w:eastAsia="宋体" w:cs="宋体"/>
          <w:spacing w:val="-2"/>
          <w:sz w:val="23"/>
          <w:szCs w:val="23"/>
        </w:rPr>
        <w:t>) 及</w:t>
      </w:r>
      <w:r>
        <w:rPr>
          <w:rFonts w:ascii="宋体" w:hAnsi="宋体" w:eastAsia="宋体" w:cs="宋体"/>
          <w:sz w:val="23"/>
          <w:szCs w:val="23"/>
        </w:rPr>
        <w:t xml:space="preserve"> </w:t>
      </w:r>
      <w:r>
        <w:rPr>
          <w:rFonts w:ascii="宋体" w:hAnsi="宋体" w:eastAsia="宋体" w:cs="宋体"/>
          <w:spacing w:val="-4"/>
          <w:sz w:val="23"/>
          <w:szCs w:val="23"/>
        </w:rPr>
        <w:t>《声环境功能区划分技</w:t>
      </w:r>
      <w:r>
        <w:rPr>
          <w:rFonts w:ascii="宋体" w:hAnsi="宋体" w:eastAsia="宋体" w:cs="宋体"/>
          <w:spacing w:val="-2"/>
          <w:sz w:val="23"/>
          <w:szCs w:val="23"/>
        </w:rPr>
        <w:t>术规范》  (</w:t>
      </w:r>
      <w:r>
        <w:rPr>
          <w:rFonts w:ascii="Times New Roman" w:hAnsi="Times New Roman" w:eastAsia="Times New Roman" w:cs="Times New Roman"/>
          <w:spacing w:val="-2"/>
          <w:sz w:val="23"/>
          <w:szCs w:val="23"/>
        </w:rPr>
        <w:t>GB/T15190-2014</w:t>
      </w:r>
      <w:r>
        <w:rPr>
          <w:rFonts w:ascii="宋体" w:hAnsi="宋体" w:eastAsia="宋体" w:cs="宋体"/>
          <w:spacing w:val="-2"/>
          <w:sz w:val="23"/>
          <w:szCs w:val="23"/>
        </w:rPr>
        <w:t>) 中声环境功能区分类，该项目</w:t>
      </w:r>
      <w:r>
        <w:rPr>
          <w:rFonts w:ascii="宋体" w:hAnsi="宋体" w:eastAsia="宋体" w:cs="宋体"/>
          <w:sz w:val="23"/>
          <w:szCs w:val="23"/>
        </w:rPr>
        <w:t xml:space="preserve"> </w:t>
      </w:r>
      <w:r>
        <w:rPr>
          <w:rFonts w:ascii="宋体" w:hAnsi="宋体" w:eastAsia="宋体" w:cs="宋体"/>
          <w:spacing w:val="-10"/>
          <w:sz w:val="23"/>
          <w:szCs w:val="23"/>
        </w:rPr>
        <w:t>评价区</w:t>
      </w:r>
      <w:r>
        <w:rPr>
          <w:rFonts w:ascii="宋体" w:hAnsi="宋体" w:eastAsia="宋体" w:cs="宋体"/>
          <w:spacing w:val="-7"/>
          <w:sz w:val="23"/>
          <w:szCs w:val="23"/>
        </w:rPr>
        <w:t>域</w:t>
      </w:r>
      <w:r>
        <w:rPr>
          <w:rFonts w:ascii="宋体" w:hAnsi="宋体" w:eastAsia="宋体" w:cs="宋体"/>
          <w:spacing w:val="-5"/>
          <w:sz w:val="23"/>
          <w:szCs w:val="23"/>
        </w:rPr>
        <w:t xml:space="preserve">属于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类声环境功能区，执行《声环境质量标准》 (</w:t>
      </w:r>
      <w:r>
        <w:rPr>
          <w:rFonts w:ascii="Times New Roman" w:hAnsi="Times New Roman" w:eastAsia="Times New Roman" w:cs="Times New Roman"/>
          <w:spacing w:val="-5"/>
          <w:sz w:val="23"/>
          <w:szCs w:val="23"/>
        </w:rPr>
        <w:t>GB3096-2008</w:t>
      </w:r>
      <w:r>
        <w:rPr>
          <w:rFonts w:ascii="宋体" w:hAnsi="宋体" w:eastAsia="宋体" w:cs="宋体"/>
          <w:spacing w:val="-5"/>
          <w:sz w:val="23"/>
          <w:szCs w:val="23"/>
        </w:rPr>
        <w:t xml:space="preserve">) 中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类</w:t>
      </w:r>
      <w:r>
        <w:rPr>
          <w:rFonts w:ascii="宋体" w:hAnsi="宋体" w:eastAsia="宋体" w:cs="宋体"/>
          <w:sz w:val="23"/>
          <w:szCs w:val="23"/>
        </w:rPr>
        <w:t xml:space="preserve"> </w:t>
      </w:r>
      <w:r>
        <w:rPr>
          <w:rFonts w:ascii="宋体" w:hAnsi="宋体" w:eastAsia="宋体" w:cs="宋体"/>
          <w:spacing w:val="-1"/>
          <w:sz w:val="23"/>
          <w:szCs w:val="23"/>
        </w:rPr>
        <w:t>声环境标准限值</w:t>
      </w:r>
      <w:r>
        <w:rPr>
          <w:rFonts w:ascii="宋体" w:hAnsi="宋体" w:eastAsia="宋体" w:cs="宋体"/>
          <w:sz w:val="23"/>
          <w:szCs w:val="23"/>
        </w:rPr>
        <w:t>。</w:t>
      </w:r>
    </w:p>
    <w:p w14:paraId="2E1D1D22">
      <w:pPr>
        <w:spacing w:before="98" w:line="223" w:lineRule="auto"/>
        <w:ind w:left="30"/>
        <w:outlineLvl w:val="1"/>
        <w:rPr>
          <w:rFonts w:ascii="宋体" w:hAnsi="宋体" w:eastAsia="宋体" w:cs="宋体"/>
          <w:sz w:val="31"/>
          <w:szCs w:val="31"/>
        </w:rPr>
      </w:pPr>
      <w:bookmarkStart w:id="11" w:name="_bookmark12"/>
      <w:bookmarkEnd w:id="11"/>
      <w:r>
        <w:rPr>
          <w:rFonts w:ascii="Times New Roman" w:hAnsi="Times New Roman" w:eastAsia="Times New Roman" w:cs="Times New Roman"/>
          <w:b/>
          <w:bCs/>
          <w:spacing w:val="-2"/>
          <w:sz w:val="31"/>
          <w:szCs w:val="31"/>
        </w:rPr>
        <w:t>2.5</w:t>
      </w:r>
      <w:r>
        <w:rPr>
          <w:rFonts w:ascii="Times New Roman" w:hAnsi="Times New Roman" w:eastAsia="Times New Roman" w:cs="Times New Roman"/>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评价因子与</w:t>
      </w:r>
      <w:r>
        <w:rPr>
          <w:rFonts w:ascii="宋体" w:hAnsi="宋体" w:eastAsia="宋体" w:cs="宋体"/>
          <w:spacing w:val="-1"/>
          <w:sz w:val="31"/>
          <w:szCs w:val="31"/>
          <w14:textOutline w14:w="5793" w14:cap="sq" w14:cmpd="sng">
            <w14:solidFill>
              <w14:srgbClr w14:val="000000"/>
            </w14:solidFill>
            <w14:prstDash w14:val="solid"/>
            <w14:bevel/>
          </w14:textOutline>
        </w:rPr>
        <w:t>评价标准</w:t>
      </w:r>
    </w:p>
    <w:p w14:paraId="33C837D4">
      <w:pPr>
        <w:spacing w:before="290" w:line="224" w:lineRule="auto"/>
        <w:ind w:left="30"/>
        <w:outlineLvl w:val="2"/>
        <w:rPr>
          <w:rFonts w:ascii="宋体" w:hAnsi="宋体" w:eastAsia="宋体" w:cs="宋体"/>
          <w:sz w:val="29"/>
          <w:szCs w:val="29"/>
        </w:rPr>
      </w:pPr>
      <w:r>
        <w:rPr>
          <w:rFonts w:ascii="Times New Roman" w:hAnsi="Times New Roman" w:eastAsia="Times New Roman" w:cs="Times New Roman"/>
          <w:b/>
          <w:bCs/>
          <w:spacing w:val="8"/>
          <w:sz w:val="29"/>
          <w:szCs w:val="29"/>
        </w:rPr>
        <w:t>2</w:t>
      </w:r>
      <w:r>
        <w:rPr>
          <w:rFonts w:ascii="Times New Roman" w:hAnsi="Times New Roman" w:eastAsia="Times New Roman" w:cs="Times New Roman"/>
          <w:b/>
          <w:bCs/>
          <w:spacing w:val="4"/>
          <w:sz w:val="29"/>
          <w:szCs w:val="29"/>
        </w:rPr>
        <w:t>.5.1</w:t>
      </w:r>
      <w:r>
        <w:rPr>
          <w:rFonts w:ascii="Times New Roman" w:hAnsi="Times New Roman" w:eastAsia="Times New Roman" w:cs="Times New Roman"/>
          <w:spacing w:val="4"/>
          <w:sz w:val="29"/>
          <w:szCs w:val="29"/>
        </w:rPr>
        <w:t xml:space="preserve"> </w:t>
      </w:r>
      <w:r>
        <w:rPr>
          <w:rFonts w:ascii="宋体" w:hAnsi="宋体" w:eastAsia="宋体" w:cs="宋体"/>
          <w:spacing w:val="4"/>
          <w:sz w:val="29"/>
          <w:szCs w:val="29"/>
          <w14:textOutline w14:w="5448" w14:cap="sq" w14:cmpd="sng">
            <w14:solidFill>
              <w14:srgbClr w14:val="000000"/>
            </w14:solidFill>
            <w14:prstDash w14:val="solid"/>
            <w14:bevel/>
          </w14:textOutline>
        </w:rPr>
        <w:t>评价因子筛选</w:t>
      </w:r>
    </w:p>
    <w:p w14:paraId="749F379B">
      <w:pPr>
        <w:spacing w:line="268" w:lineRule="auto"/>
        <w:rPr>
          <w:rFonts w:ascii="Arial"/>
          <w:sz w:val="21"/>
        </w:rPr>
      </w:pPr>
    </w:p>
    <w:p w14:paraId="20610E32">
      <w:pPr>
        <w:spacing w:before="75" w:line="227" w:lineRule="auto"/>
        <w:ind w:left="495"/>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9"/>
          <w:sz w:val="23"/>
          <w:szCs w:val="23"/>
        </w:rPr>
        <w:t>1</w:t>
      </w:r>
      <w:r>
        <w:rPr>
          <w:rFonts w:ascii="宋体" w:hAnsi="宋体" w:eastAsia="宋体" w:cs="宋体"/>
          <w:spacing w:val="9"/>
          <w:sz w:val="23"/>
          <w:szCs w:val="23"/>
        </w:rPr>
        <w:t>) 环境影响要素识别</w:t>
      </w:r>
    </w:p>
    <w:p w14:paraId="5CF39DC3">
      <w:pPr>
        <w:spacing w:line="287" w:lineRule="auto"/>
        <w:rPr>
          <w:rFonts w:ascii="Arial"/>
          <w:sz w:val="21"/>
        </w:rPr>
      </w:pPr>
    </w:p>
    <w:p w14:paraId="32BB9162">
      <w:pPr>
        <w:spacing w:before="75" w:line="391" w:lineRule="auto"/>
        <w:ind w:left="32" w:right="195" w:firstLine="451"/>
        <w:rPr>
          <w:rFonts w:ascii="宋体" w:hAnsi="宋体" w:eastAsia="宋体" w:cs="宋体"/>
          <w:sz w:val="23"/>
          <w:szCs w:val="23"/>
        </w:rPr>
      </w:pPr>
      <w:r>
        <w:rPr>
          <w:rFonts w:ascii="宋体" w:hAnsi="宋体" w:eastAsia="宋体" w:cs="宋体"/>
          <w:spacing w:val="1"/>
          <w:sz w:val="23"/>
          <w:szCs w:val="23"/>
        </w:rPr>
        <w:t>根据该项目工程概况、主要污染源及污染物的排放情</w:t>
      </w:r>
      <w:r>
        <w:rPr>
          <w:rFonts w:ascii="宋体" w:hAnsi="宋体" w:eastAsia="宋体" w:cs="宋体"/>
          <w:sz w:val="23"/>
          <w:szCs w:val="23"/>
        </w:rPr>
        <w:t xml:space="preserve">况，结合建设地区的自然 </w:t>
      </w:r>
      <w:r>
        <w:rPr>
          <w:rFonts w:ascii="宋体" w:hAnsi="宋体" w:eastAsia="宋体" w:cs="宋体"/>
          <w:spacing w:val="1"/>
          <w:sz w:val="23"/>
          <w:szCs w:val="23"/>
        </w:rPr>
        <w:t>环境概况和环境质量概况，以及</w:t>
      </w:r>
      <w:r>
        <w:rPr>
          <w:rFonts w:ascii="宋体" w:hAnsi="宋体" w:eastAsia="宋体" w:cs="宋体"/>
          <w:sz w:val="23"/>
          <w:szCs w:val="23"/>
        </w:rPr>
        <w:t xml:space="preserve">建设项目对周围环境的影响程度、影响性质和影响 </w:t>
      </w:r>
      <w:r>
        <w:rPr>
          <w:rFonts w:ascii="宋体" w:hAnsi="宋体" w:eastAsia="宋体" w:cs="宋体"/>
          <w:spacing w:val="-1"/>
          <w:sz w:val="23"/>
          <w:szCs w:val="23"/>
        </w:rPr>
        <w:t>范围，综合分析，本项目环境影响因素识别见</w:t>
      </w:r>
      <w:r>
        <w:rPr>
          <w:rFonts w:ascii="宋体" w:hAnsi="宋体" w:eastAsia="宋体" w:cs="宋体"/>
          <w:sz w:val="23"/>
          <w:szCs w:val="23"/>
        </w:rPr>
        <w:t>表</w:t>
      </w:r>
      <w:r>
        <w:rPr>
          <w:rFonts w:ascii="Times New Roman" w:hAnsi="Times New Roman" w:eastAsia="Times New Roman" w:cs="Times New Roman"/>
          <w:sz w:val="23"/>
          <w:szCs w:val="23"/>
        </w:rPr>
        <w:t>2-1</w:t>
      </w:r>
      <w:r>
        <w:rPr>
          <w:rFonts w:ascii="宋体" w:hAnsi="宋体" w:eastAsia="宋体" w:cs="宋体"/>
          <w:sz w:val="23"/>
          <w:szCs w:val="23"/>
        </w:rPr>
        <w:t>。</w:t>
      </w:r>
    </w:p>
    <w:p w14:paraId="4CA00F3F">
      <w:pPr>
        <w:spacing w:before="148" w:line="227" w:lineRule="auto"/>
        <w:ind w:left="2397"/>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环境</w:t>
      </w:r>
      <w:r>
        <w:rPr>
          <w:rFonts w:ascii="宋体" w:hAnsi="宋体" w:eastAsia="宋体" w:cs="宋体"/>
          <w:spacing w:val="-1"/>
          <w:sz w:val="23"/>
          <w:szCs w:val="23"/>
          <w14:textOutline w14:w="4358" w14:cap="sq" w14:cmpd="sng">
            <w14:solidFill>
              <w14:srgbClr w14:val="000000"/>
            </w14:solidFill>
            <w14:prstDash w14:val="solid"/>
            <w14:bevel/>
          </w14:textOutline>
        </w:rPr>
        <w:t>影响要素识别矩阵表</w:t>
      </w:r>
    </w:p>
    <w:p w14:paraId="24844F58">
      <w:pPr>
        <w:spacing w:line="18"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1079"/>
        <w:gridCol w:w="1145"/>
        <w:gridCol w:w="1145"/>
        <w:gridCol w:w="1145"/>
        <w:gridCol w:w="1145"/>
        <w:gridCol w:w="1105"/>
        <w:gridCol w:w="1106"/>
      </w:tblGrid>
      <w:tr w14:paraId="42F8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51" w:type="dxa"/>
            <w:vMerge w:val="restart"/>
            <w:tcBorders>
              <w:left w:val="nil"/>
              <w:bottom w:val="nil"/>
            </w:tcBorders>
            <w:vAlign w:val="top"/>
          </w:tcPr>
          <w:p w14:paraId="60C1322B">
            <w:pPr>
              <w:spacing w:before="87" w:line="268" w:lineRule="auto"/>
              <w:ind w:left="135" w:right="114" w:hanging="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项</w:t>
            </w:r>
            <w:r>
              <w:rPr>
                <w:rFonts w:ascii="宋体" w:hAnsi="宋体" w:eastAsia="宋体" w:cs="宋体"/>
                <w:spacing w:val="1"/>
                <w:sz w:val="20"/>
                <w:szCs w:val="20"/>
                <w14:textOutline w14:w="3795" w14:cap="sq" w14:cmpd="sng">
                  <w14:solidFill>
                    <w14:srgbClr w14:val="000000"/>
                  </w14:solidFill>
                  <w14:prstDash w14:val="solid"/>
                  <w14:bevel/>
                </w14:textOutline>
              </w:rPr>
              <w:t>目</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阶段</w:t>
            </w:r>
          </w:p>
        </w:tc>
        <w:tc>
          <w:tcPr>
            <w:tcW w:w="1079" w:type="dxa"/>
            <w:vMerge w:val="restart"/>
            <w:tcBorders>
              <w:bottom w:val="nil"/>
            </w:tcBorders>
            <w:vAlign w:val="top"/>
          </w:tcPr>
          <w:p w14:paraId="67A56209">
            <w:pPr>
              <w:spacing w:before="244" w:line="228" w:lineRule="auto"/>
              <w:ind w:left="34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类</w:t>
            </w:r>
            <w:r>
              <w:rPr>
                <w:rFonts w:ascii="宋体" w:hAnsi="宋体" w:eastAsia="宋体" w:cs="宋体"/>
                <w:spacing w:val="3"/>
                <w:sz w:val="20"/>
                <w:szCs w:val="20"/>
                <w14:textOutline w14:w="3795" w14:cap="sq" w14:cmpd="sng">
                  <w14:solidFill>
                    <w14:srgbClr w14:val="000000"/>
                  </w14:solidFill>
                  <w14:prstDash w14:val="solid"/>
                  <w14:bevel/>
                </w14:textOutline>
              </w:rPr>
              <w:t>别</w:t>
            </w:r>
          </w:p>
        </w:tc>
        <w:tc>
          <w:tcPr>
            <w:tcW w:w="4580" w:type="dxa"/>
            <w:gridSpan w:val="4"/>
            <w:vAlign w:val="top"/>
          </w:tcPr>
          <w:p w14:paraId="241EB3CD">
            <w:pPr>
              <w:spacing w:before="85" w:line="228" w:lineRule="auto"/>
              <w:ind w:left="171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自</w:t>
            </w:r>
            <w:r>
              <w:rPr>
                <w:rFonts w:ascii="宋体" w:hAnsi="宋体" w:eastAsia="宋体" w:cs="宋体"/>
                <w:spacing w:val="-1"/>
                <w:sz w:val="20"/>
                <w:szCs w:val="20"/>
                <w14:textOutline w14:w="3795" w14:cap="sq" w14:cmpd="sng">
                  <w14:solidFill>
                    <w14:srgbClr w14:val="000000"/>
                  </w14:solidFill>
                  <w14:prstDash w14:val="solid"/>
                  <w14:bevel/>
                </w14:textOutline>
              </w:rPr>
              <w:t>然环境要素</w:t>
            </w:r>
          </w:p>
        </w:tc>
        <w:tc>
          <w:tcPr>
            <w:tcW w:w="2211" w:type="dxa"/>
            <w:gridSpan w:val="2"/>
            <w:tcBorders>
              <w:right w:val="nil"/>
            </w:tcBorders>
            <w:vAlign w:val="top"/>
          </w:tcPr>
          <w:p w14:paraId="376D41F2">
            <w:pPr>
              <w:spacing w:before="85" w:line="227" w:lineRule="auto"/>
              <w:ind w:left="49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社</w:t>
            </w:r>
            <w:r>
              <w:rPr>
                <w:rFonts w:ascii="宋体" w:hAnsi="宋体" w:eastAsia="宋体" w:cs="宋体"/>
                <w:spacing w:val="4"/>
                <w:sz w:val="20"/>
                <w:szCs w:val="20"/>
                <w14:textOutline w14:w="3795" w14:cap="sq" w14:cmpd="sng">
                  <w14:solidFill>
                    <w14:srgbClr w14:val="000000"/>
                  </w14:solidFill>
                  <w14:prstDash w14:val="solid"/>
                  <w14:bevel/>
                </w14:textOutline>
              </w:rPr>
              <w:t>会环境要素</w:t>
            </w:r>
          </w:p>
        </w:tc>
      </w:tr>
      <w:tr w14:paraId="139CA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51" w:type="dxa"/>
            <w:vMerge w:val="continue"/>
            <w:tcBorders>
              <w:top w:val="nil"/>
              <w:left w:val="nil"/>
            </w:tcBorders>
            <w:vAlign w:val="top"/>
          </w:tcPr>
          <w:p w14:paraId="4D87425D">
            <w:pPr>
              <w:rPr>
                <w:rFonts w:ascii="Arial"/>
                <w:sz w:val="21"/>
              </w:rPr>
            </w:pPr>
          </w:p>
        </w:tc>
        <w:tc>
          <w:tcPr>
            <w:tcW w:w="1079" w:type="dxa"/>
            <w:vMerge w:val="continue"/>
            <w:tcBorders>
              <w:top w:val="nil"/>
            </w:tcBorders>
            <w:vAlign w:val="top"/>
          </w:tcPr>
          <w:p w14:paraId="1F882C44">
            <w:pPr>
              <w:rPr>
                <w:rFonts w:ascii="Arial"/>
                <w:sz w:val="21"/>
              </w:rPr>
            </w:pPr>
          </w:p>
        </w:tc>
        <w:tc>
          <w:tcPr>
            <w:tcW w:w="1145" w:type="dxa"/>
            <w:vAlign w:val="top"/>
          </w:tcPr>
          <w:p w14:paraId="4D8CC592">
            <w:pPr>
              <w:spacing w:before="60" w:line="228" w:lineRule="auto"/>
              <w:ind w:left="6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地表水水</w:t>
            </w:r>
            <w:r>
              <w:rPr>
                <w:rFonts w:ascii="宋体" w:hAnsi="宋体" w:eastAsia="宋体" w:cs="宋体"/>
                <w:spacing w:val="4"/>
                <w:sz w:val="20"/>
                <w:szCs w:val="20"/>
                <w14:textOutline w14:w="3795" w14:cap="sq" w14:cmpd="sng">
                  <w14:solidFill>
                    <w14:srgbClr w14:val="000000"/>
                  </w14:solidFill>
                  <w14:prstDash w14:val="solid"/>
                  <w14:bevel/>
                </w14:textOutline>
              </w:rPr>
              <w:t>质</w:t>
            </w:r>
          </w:p>
        </w:tc>
        <w:tc>
          <w:tcPr>
            <w:tcW w:w="1145" w:type="dxa"/>
            <w:vAlign w:val="top"/>
          </w:tcPr>
          <w:p w14:paraId="162097BC">
            <w:pPr>
              <w:spacing w:before="60" w:line="228" w:lineRule="auto"/>
              <w:ind w:left="6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地下水水</w:t>
            </w:r>
            <w:r>
              <w:rPr>
                <w:rFonts w:ascii="宋体" w:hAnsi="宋体" w:eastAsia="宋体" w:cs="宋体"/>
                <w:spacing w:val="4"/>
                <w:sz w:val="20"/>
                <w:szCs w:val="20"/>
                <w14:textOutline w14:w="3795" w14:cap="sq" w14:cmpd="sng">
                  <w14:solidFill>
                    <w14:srgbClr w14:val="000000"/>
                  </w14:solidFill>
                  <w14:prstDash w14:val="solid"/>
                  <w14:bevel/>
                </w14:textOutline>
              </w:rPr>
              <w:t>质</w:t>
            </w:r>
          </w:p>
        </w:tc>
        <w:tc>
          <w:tcPr>
            <w:tcW w:w="1145" w:type="dxa"/>
            <w:vAlign w:val="top"/>
          </w:tcPr>
          <w:p w14:paraId="675DADB2">
            <w:pPr>
              <w:spacing w:before="61" w:line="228" w:lineRule="auto"/>
              <w:ind w:left="275"/>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声</w:t>
            </w:r>
            <w:r>
              <w:rPr>
                <w:rFonts w:ascii="宋体" w:hAnsi="宋体" w:eastAsia="宋体" w:cs="宋体"/>
                <w:spacing w:val="2"/>
                <w:sz w:val="20"/>
                <w:szCs w:val="20"/>
                <w14:textOutline w14:w="3795" w14:cap="sq" w14:cmpd="sng">
                  <w14:solidFill>
                    <w14:srgbClr w14:val="000000"/>
                  </w14:solidFill>
                  <w14:prstDash w14:val="solid"/>
                  <w14:bevel/>
                </w14:textOutline>
              </w:rPr>
              <w:t>环境</w:t>
            </w:r>
          </w:p>
        </w:tc>
        <w:tc>
          <w:tcPr>
            <w:tcW w:w="1145" w:type="dxa"/>
            <w:vAlign w:val="top"/>
          </w:tcPr>
          <w:p w14:paraId="7D296B35">
            <w:pPr>
              <w:spacing w:before="61" w:line="228" w:lineRule="auto"/>
              <w:ind w:left="17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空</w:t>
            </w:r>
            <w:r>
              <w:rPr>
                <w:rFonts w:ascii="宋体" w:hAnsi="宋体" w:eastAsia="宋体" w:cs="宋体"/>
                <w:spacing w:val="3"/>
                <w:sz w:val="20"/>
                <w:szCs w:val="20"/>
                <w14:textOutline w14:w="3795" w14:cap="sq" w14:cmpd="sng">
                  <w14:solidFill>
                    <w14:srgbClr w14:val="000000"/>
                  </w14:solidFill>
                  <w14:prstDash w14:val="solid"/>
                  <w14:bevel/>
                </w14:textOutline>
              </w:rPr>
              <w:t>气</w:t>
            </w:r>
            <w:r>
              <w:rPr>
                <w:rFonts w:ascii="宋体" w:hAnsi="宋体" w:eastAsia="宋体" w:cs="宋体"/>
                <w:spacing w:val="2"/>
                <w:sz w:val="20"/>
                <w:szCs w:val="20"/>
                <w14:textOutline w14:w="3795" w14:cap="sq" w14:cmpd="sng">
                  <w14:solidFill>
                    <w14:srgbClr w14:val="000000"/>
                  </w14:solidFill>
                  <w14:prstDash w14:val="solid"/>
                  <w14:bevel/>
                </w14:textOutline>
              </w:rPr>
              <w:t>质量</w:t>
            </w:r>
          </w:p>
        </w:tc>
        <w:tc>
          <w:tcPr>
            <w:tcW w:w="1105" w:type="dxa"/>
            <w:vAlign w:val="top"/>
          </w:tcPr>
          <w:p w14:paraId="09271FF2">
            <w:pPr>
              <w:spacing w:before="60" w:line="228" w:lineRule="auto"/>
              <w:ind w:left="149"/>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人群健</w:t>
            </w:r>
            <w:r>
              <w:rPr>
                <w:rFonts w:ascii="宋体" w:hAnsi="宋体" w:eastAsia="宋体" w:cs="宋体"/>
                <w:spacing w:val="3"/>
                <w:sz w:val="20"/>
                <w:szCs w:val="20"/>
                <w14:textOutline w14:w="3795" w14:cap="sq" w14:cmpd="sng">
                  <w14:solidFill>
                    <w14:srgbClr w14:val="000000"/>
                  </w14:solidFill>
                  <w14:prstDash w14:val="solid"/>
                  <w14:bevel/>
                </w14:textOutline>
              </w:rPr>
              <w:t>康</w:t>
            </w:r>
          </w:p>
        </w:tc>
        <w:tc>
          <w:tcPr>
            <w:tcW w:w="1106" w:type="dxa"/>
            <w:tcBorders>
              <w:right w:val="nil"/>
            </w:tcBorders>
            <w:vAlign w:val="top"/>
          </w:tcPr>
          <w:p w14:paraId="37039076">
            <w:pPr>
              <w:spacing w:before="61" w:line="228" w:lineRule="auto"/>
              <w:ind w:left="15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经济发</w:t>
            </w:r>
            <w:r>
              <w:rPr>
                <w:rFonts w:ascii="宋体" w:hAnsi="宋体" w:eastAsia="宋体" w:cs="宋体"/>
                <w:spacing w:val="3"/>
                <w:sz w:val="20"/>
                <w:szCs w:val="20"/>
                <w14:textOutline w14:w="3795" w14:cap="sq" w14:cmpd="sng">
                  <w14:solidFill>
                    <w14:srgbClr w14:val="000000"/>
                  </w14:solidFill>
                  <w14:prstDash w14:val="solid"/>
                  <w14:bevel/>
                </w14:textOutline>
              </w:rPr>
              <w:t>展</w:t>
            </w:r>
          </w:p>
        </w:tc>
      </w:tr>
      <w:tr w14:paraId="50DF2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51" w:type="dxa"/>
            <w:vMerge w:val="restart"/>
            <w:tcBorders>
              <w:left w:val="nil"/>
              <w:bottom w:val="nil"/>
            </w:tcBorders>
            <w:textDirection w:val="tbRlV"/>
            <w:vAlign w:val="top"/>
          </w:tcPr>
          <w:p w14:paraId="38D975F6">
            <w:pPr>
              <w:spacing w:before="217" w:line="217" w:lineRule="auto"/>
              <w:ind w:left="67"/>
              <w:rPr>
                <w:rFonts w:ascii="宋体" w:hAnsi="宋体" w:eastAsia="宋体" w:cs="宋体"/>
                <w:sz w:val="20"/>
                <w:szCs w:val="20"/>
              </w:rPr>
            </w:pPr>
            <w:r>
              <w:rPr>
                <w:rFonts w:ascii="宋体" w:hAnsi="宋体" w:eastAsia="宋体" w:cs="宋体"/>
                <w:spacing w:val="16"/>
                <w:sz w:val="20"/>
                <w:szCs w:val="20"/>
              </w:rPr>
              <w:t>施</w:t>
            </w:r>
            <w:r>
              <w:rPr>
                <w:rFonts w:ascii="宋体" w:hAnsi="宋体" w:eastAsia="宋体" w:cs="宋体"/>
                <w:spacing w:val="15"/>
                <w:sz w:val="20"/>
                <w:szCs w:val="20"/>
              </w:rPr>
              <w:t xml:space="preserve"> 工 期</w:t>
            </w:r>
          </w:p>
        </w:tc>
        <w:tc>
          <w:tcPr>
            <w:tcW w:w="1079" w:type="dxa"/>
            <w:vAlign w:val="top"/>
          </w:tcPr>
          <w:p w14:paraId="2301FC32">
            <w:pPr>
              <w:spacing w:before="63" w:line="228" w:lineRule="auto"/>
              <w:ind w:left="138"/>
              <w:rPr>
                <w:rFonts w:ascii="宋体" w:hAnsi="宋体" w:eastAsia="宋体" w:cs="宋体"/>
                <w:sz w:val="20"/>
                <w:szCs w:val="20"/>
              </w:rPr>
            </w:pPr>
            <w:r>
              <w:rPr>
                <w:rFonts w:ascii="宋体" w:hAnsi="宋体" w:eastAsia="宋体" w:cs="宋体"/>
                <w:spacing w:val="4"/>
                <w:sz w:val="20"/>
                <w:szCs w:val="20"/>
              </w:rPr>
              <w:t>影响程</w:t>
            </w:r>
            <w:r>
              <w:rPr>
                <w:rFonts w:ascii="宋体" w:hAnsi="宋体" w:eastAsia="宋体" w:cs="宋体"/>
                <w:spacing w:val="3"/>
                <w:sz w:val="20"/>
                <w:szCs w:val="20"/>
              </w:rPr>
              <w:t>度</w:t>
            </w:r>
          </w:p>
        </w:tc>
        <w:tc>
          <w:tcPr>
            <w:tcW w:w="1145" w:type="dxa"/>
            <w:vAlign w:val="top"/>
          </w:tcPr>
          <w:p w14:paraId="301A4051">
            <w:pPr>
              <w:spacing w:before="99"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3ED8BE4C">
            <w:pPr>
              <w:spacing w:before="9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5D35F668">
            <w:pPr>
              <w:spacing w:before="9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145" w:type="dxa"/>
            <w:vAlign w:val="top"/>
          </w:tcPr>
          <w:p w14:paraId="25357F35">
            <w:pPr>
              <w:spacing w:before="9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105" w:type="dxa"/>
            <w:vAlign w:val="top"/>
          </w:tcPr>
          <w:p w14:paraId="4D9D335C">
            <w:pPr>
              <w:spacing w:before="99"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06" w:type="dxa"/>
            <w:tcBorders>
              <w:right w:val="nil"/>
            </w:tcBorders>
            <w:vAlign w:val="top"/>
          </w:tcPr>
          <w:p w14:paraId="66D3DCE5">
            <w:pPr>
              <w:spacing w:before="25" w:line="281"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2</w:t>
            </w:r>
          </w:p>
        </w:tc>
      </w:tr>
      <w:tr w14:paraId="0CEC8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51" w:type="dxa"/>
            <w:vMerge w:val="continue"/>
            <w:tcBorders>
              <w:top w:val="nil"/>
              <w:left w:val="nil"/>
              <w:bottom w:val="nil"/>
            </w:tcBorders>
            <w:textDirection w:val="tbRlV"/>
            <w:vAlign w:val="top"/>
          </w:tcPr>
          <w:p w14:paraId="16FB6CF4">
            <w:pPr>
              <w:rPr>
                <w:rFonts w:ascii="Arial"/>
                <w:sz w:val="21"/>
              </w:rPr>
            </w:pPr>
          </w:p>
        </w:tc>
        <w:tc>
          <w:tcPr>
            <w:tcW w:w="1079" w:type="dxa"/>
            <w:vAlign w:val="top"/>
          </w:tcPr>
          <w:p w14:paraId="4CBF10FF">
            <w:pPr>
              <w:spacing w:before="65" w:line="228" w:lineRule="auto"/>
              <w:ind w:left="138"/>
              <w:rPr>
                <w:rFonts w:ascii="宋体" w:hAnsi="宋体" w:eastAsia="宋体" w:cs="宋体"/>
                <w:sz w:val="20"/>
                <w:szCs w:val="20"/>
              </w:rPr>
            </w:pPr>
            <w:r>
              <w:rPr>
                <w:rFonts w:ascii="宋体" w:hAnsi="宋体" w:eastAsia="宋体" w:cs="宋体"/>
                <w:spacing w:val="4"/>
                <w:sz w:val="20"/>
                <w:szCs w:val="20"/>
              </w:rPr>
              <w:t>影响性</w:t>
            </w:r>
            <w:r>
              <w:rPr>
                <w:rFonts w:ascii="宋体" w:hAnsi="宋体" w:eastAsia="宋体" w:cs="宋体"/>
                <w:spacing w:val="3"/>
                <w:sz w:val="20"/>
                <w:szCs w:val="20"/>
              </w:rPr>
              <w:t>质</w:t>
            </w:r>
          </w:p>
        </w:tc>
        <w:tc>
          <w:tcPr>
            <w:tcW w:w="1145" w:type="dxa"/>
            <w:vAlign w:val="top"/>
          </w:tcPr>
          <w:p w14:paraId="13CD1A7D">
            <w:pPr>
              <w:spacing w:before="64" w:line="229" w:lineRule="auto"/>
              <w:ind w:left="376"/>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45" w:type="dxa"/>
            <w:vAlign w:val="top"/>
          </w:tcPr>
          <w:p w14:paraId="69BAB295">
            <w:pPr>
              <w:spacing w:before="64" w:line="229" w:lineRule="auto"/>
              <w:ind w:left="376"/>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45" w:type="dxa"/>
            <w:vAlign w:val="top"/>
          </w:tcPr>
          <w:p w14:paraId="07A39B8B">
            <w:pPr>
              <w:spacing w:before="64" w:line="229" w:lineRule="auto"/>
              <w:ind w:left="375"/>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45" w:type="dxa"/>
            <w:vAlign w:val="top"/>
          </w:tcPr>
          <w:p w14:paraId="6098BC78">
            <w:pPr>
              <w:spacing w:before="64" w:line="229" w:lineRule="auto"/>
              <w:ind w:left="375"/>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05" w:type="dxa"/>
            <w:vAlign w:val="top"/>
          </w:tcPr>
          <w:p w14:paraId="723399D8">
            <w:pPr>
              <w:spacing w:before="64" w:line="229" w:lineRule="auto"/>
              <w:ind w:left="370"/>
              <w:rPr>
                <w:rFonts w:ascii="宋体" w:hAnsi="宋体" w:eastAsia="宋体" w:cs="宋体"/>
                <w:sz w:val="20"/>
                <w:szCs w:val="20"/>
              </w:rPr>
            </w:pPr>
            <w:r>
              <w:rPr>
                <w:rFonts w:ascii="宋体" w:hAnsi="宋体" w:eastAsia="宋体" w:cs="宋体"/>
                <w:spacing w:val="-7"/>
                <w:sz w:val="20"/>
                <w:szCs w:val="20"/>
              </w:rPr>
              <w:t>间</w:t>
            </w:r>
            <w:r>
              <w:rPr>
                <w:rFonts w:ascii="宋体" w:hAnsi="宋体" w:eastAsia="宋体" w:cs="宋体"/>
                <w:spacing w:val="-5"/>
                <w:sz w:val="20"/>
                <w:szCs w:val="20"/>
              </w:rPr>
              <w:t>接</w:t>
            </w:r>
          </w:p>
        </w:tc>
        <w:tc>
          <w:tcPr>
            <w:tcW w:w="1106" w:type="dxa"/>
            <w:tcBorders>
              <w:right w:val="nil"/>
            </w:tcBorders>
            <w:vAlign w:val="top"/>
          </w:tcPr>
          <w:p w14:paraId="6F7A268F">
            <w:pPr>
              <w:spacing w:before="64" w:line="229" w:lineRule="auto"/>
              <w:ind w:left="372"/>
              <w:rPr>
                <w:rFonts w:ascii="宋体" w:hAnsi="宋体" w:eastAsia="宋体" w:cs="宋体"/>
                <w:sz w:val="20"/>
                <w:szCs w:val="20"/>
              </w:rPr>
            </w:pPr>
            <w:r>
              <w:rPr>
                <w:rFonts w:ascii="宋体" w:hAnsi="宋体" w:eastAsia="宋体" w:cs="宋体"/>
                <w:spacing w:val="-7"/>
                <w:sz w:val="20"/>
                <w:szCs w:val="20"/>
              </w:rPr>
              <w:t>间</w:t>
            </w:r>
            <w:r>
              <w:rPr>
                <w:rFonts w:ascii="宋体" w:hAnsi="宋体" w:eastAsia="宋体" w:cs="宋体"/>
                <w:spacing w:val="-5"/>
                <w:sz w:val="20"/>
                <w:szCs w:val="20"/>
              </w:rPr>
              <w:t>接</w:t>
            </w:r>
          </w:p>
        </w:tc>
      </w:tr>
      <w:tr w14:paraId="6E567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51" w:type="dxa"/>
            <w:vMerge w:val="continue"/>
            <w:tcBorders>
              <w:top w:val="nil"/>
              <w:left w:val="nil"/>
            </w:tcBorders>
            <w:textDirection w:val="tbRlV"/>
            <w:vAlign w:val="top"/>
          </w:tcPr>
          <w:p w14:paraId="778B74DB">
            <w:pPr>
              <w:rPr>
                <w:rFonts w:ascii="Arial"/>
                <w:sz w:val="21"/>
              </w:rPr>
            </w:pPr>
          </w:p>
        </w:tc>
        <w:tc>
          <w:tcPr>
            <w:tcW w:w="1079" w:type="dxa"/>
            <w:vAlign w:val="top"/>
          </w:tcPr>
          <w:p w14:paraId="5E289CE1">
            <w:pPr>
              <w:spacing w:before="64" w:line="228" w:lineRule="auto"/>
              <w:ind w:left="138"/>
              <w:rPr>
                <w:rFonts w:ascii="宋体" w:hAnsi="宋体" w:eastAsia="宋体" w:cs="宋体"/>
                <w:sz w:val="20"/>
                <w:szCs w:val="20"/>
              </w:rPr>
            </w:pPr>
            <w:r>
              <w:rPr>
                <w:rFonts w:ascii="宋体" w:hAnsi="宋体" w:eastAsia="宋体" w:cs="宋体"/>
                <w:spacing w:val="4"/>
                <w:sz w:val="20"/>
                <w:szCs w:val="20"/>
              </w:rPr>
              <w:t>影响范</w:t>
            </w:r>
            <w:r>
              <w:rPr>
                <w:rFonts w:ascii="宋体" w:hAnsi="宋体" w:eastAsia="宋体" w:cs="宋体"/>
                <w:spacing w:val="3"/>
                <w:sz w:val="20"/>
                <w:szCs w:val="20"/>
              </w:rPr>
              <w:t>围</w:t>
            </w:r>
          </w:p>
        </w:tc>
        <w:tc>
          <w:tcPr>
            <w:tcW w:w="1145" w:type="dxa"/>
            <w:vAlign w:val="top"/>
          </w:tcPr>
          <w:p w14:paraId="23070B01">
            <w:pPr>
              <w:spacing w:before="100"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6CE675D2">
            <w:pPr>
              <w:spacing w:before="10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6B24BA42">
            <w:pPr>
              <w:spacing w:before="10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145" w:type="dxa"/>
            <w:vAlign w:val="top"/>
          </w:tcPr>
          <w:p w14:paraId="32EA1DC9">
            <w:pPr>
              <w:spacing w:before="10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105" w:type="dxa"/>
            <w:vAlign w:val="top"/>
          </w:tcPr>
          <w:p w14:paraId="1ADE0BC1">
            <w:pPr>
              <w:spacing w:before="100"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06" w:type="dxa"/>
            <w:tcBorders>
              <w:right w:val="nil"/>
            </w:tcBorders>
            <w:vAlign w:val="top"/>
          </w:tcPr>
          <w:p w14:paraId="1CA79ADC">
            <w:pPr>
              <w:spacing w:before="26" w:line="281"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2</w:t>
            </w:r>
          </w:p>
        </w:tc>
      </w:tr>
      <w:tr w14:paraId="6ED22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51" w:type="dxa"/>
            <w:vMerge w:val="restart"/>
            <w:tcBorders>
              <w:left w:val="nil"/>
              <w:bottom w:val="nil"/>
            </w:tcBorders>
            <w:textDirection w:val="tbRlV"/>
            <w:vAlign w:val="top"/>
          </w:tcPr>
          <w:p w14:paraId="375B996C">
            <w:pPr>
              <w:spacing w:before="217" w:line="216" w:lineRule="auto"/>
              <w:ind w:left="70"/>
              <w:rPr>
                <w:rFonts w:ascii="宋体" w:hAnsi="宋体" w:eastAsia="宋体" w:cs="宋体"/>
                <w:sz w:val="20"/>
                <w:szCs w:val="20"/>
              </w:rPr>
            </w:pPr>
            <w:r>
              <w:rPr>
                <w:rFonts w:ascii="宋体" w:hAnsi="宋体" w:eastAsia="宋体" w:cs="宋体"/>
                <w:spacing w:val="16"/>
                <w:sz w:val="20"/>
                <w:szCs w:val="20"/>
              </w:rPr>
              <w:t>营</w:t>
            </w:r>
            <w:r>
              <w:rPr>
                <w:rFonts w:ascii="宋体" w:hAnsi="宋体" w:eastAsia="宋体" w:cs="宋体"/>
                <w:spacing w:val="15"/>
                <w:sz w:val="20"/>
                <w:szCs w:val="20"/>
              </w:rPr>
              <w:t xml:space="preserve"> 运 期</w:t>
            </w:r>
          </w:p>
        </w:tc>
        <w:tc>
          <w:tcPr>
            <w:tcW w:w="1079" w:type="dxa"/>
            <w:vAlign w:val="top"/>
          </w:tcPr>
          <w:p w14:paraId="352790B3">
            <w:pPr>
              <w:spacing w:before="66" w:line="228" w:lineRule="auto"/>
              <w:ind w:left="138"/>
              <w:rPr>
                <w:rFonts w:ascii="宋体" w:hAnsi="宋体" w:eastAsia="宋体" w:cs="宋体"/>
                <w:sz w:val="20"/>
                <w:szCs w:val="20"/>
              </w:rPr>
            </w:pPr>
            <w:r>
              <w:rPr>
                <w:rFonts w:ascii="宋体" w:hAnsi="宋体" w:eastAsia="宋体" w:cs="宋体"/>
                <w:spacing w:val="4"/>
                <w:sz w:val="20"/>
                <w:szCs w:val="20"/>
              </w:rPr>
              <w:t>影响程</w:t>
            </w:r>
            <w:r>
              <w:rPr>
                <w:rFonts w:ascii="宋体" w:hAnsi="宋体" w:eastAsia="宋体" w:cs="宋体"/>
                <w:spacing w:val="3"/>
                <w:sz w:val="20"/>
                <w:szCs w:val="20"/>
              </w:rPr>
              <w:t>度</w:t>
            </w:r>
          </w:p>
        </w:tc>
        <w:tc>
          <w:tcPr>
            <w:tcW w:w="1145" w:type="dxa"/>
            <w:vAlign w:val="top"/>
          </w:tcPr>
          <w:p w14:paraId="42BEA184">
            <w:pPr>
              <w:spacing w:before="10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2BAA0ADC">
            <w:pPr>
              <w:spacing w:before="102"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3C45B38B">
            <w:pPr>
              <w:spacing w:before="102"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1CDA8D0A">
            <w:pPr>
              <w:spacing w:before="102"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105" w:type="dxa"/>
            <w:vAlign w:val="top"/>
          </w:tcPr>
          <w:p w14:paraId="6DB50F02">
            <w:pPr>
              <w:spacing w:before="102"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06" w:type="dxa"/>
            <w:tcBorders>
              <w:right w:val="nil"/>
            </w:tcBorders>
            <w:vAlign w:val="top"/>
          </w:tcPr>
          <w:p w14:paraId="4A036059">
            <w:pPr>
              <w:spacing w:before="28" w:line="281"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3</w:t>
            </w:r>
          </w:p>
        </w:tc>
      </w:tr>
      <w:tr w14:paraId="4F69B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51" w:type="dxa"/>
            <w:vMerge w:val="continue"/>
            <w:tcBorders>
              <w:top w:val="nil"/>
              <w:left w:val="nil"/>
              <w:bottom w:val="nil"/>
            </w:tcBorders>
            <w:textDirection w:val="tbRlV"/>
            <w:vAlign w:val="top"/>
          </w:tcPr>
          <w:p w14:paraId="5F5C7C99">
            <w:pPr>
              <w:rPr>
                <w:rFonts w:ascii="Arial"/>
                <w:sz w:val="21"/>
              </w:rPr>
            </w:pPr>
          </w:p>
        </w:tc>
        <w:tc>
          <w:tcPr>
            <w:tcW w:w="1079" w:type="dxa"/>
            <w:vAlign w:val="top"/>
          </w:tcPr>
          <w:p w14:paraId="29E05618">
            <w:pPr>
              <w:spacing w:before="67" w:line="228" w:lineRule="auto"/>
              <w:ind w:left="138"/>
              <w:rPr>
                <w:rFonts w:ascii="宋体" w:hAnsi="宋体" w:eastAsia="宋体" w:cs="宋体"/>
                <w:sz w:val="20"/>
                <w:szCs w:val="20"/>
              </w:rPr>
            </w:pPr>
            <w:r>
              <w:rPr>
                <w:rFonts w:ascii="宋体" w:hAnsi="宋体" w:eastAsia="宋体" w:cs="宋体"/>
                <w:spacing w:val="4"/>
                <w:sz w:val="20"/>
                <w:szCs w:val="20"/>
              </w:rPr>
              <w:t>影响性</w:t>
            </w:r>
            <w:r>
              <w:rPr>
                <w:rFonts w:ascii="宋体" w:hAnsi="宋体" w:eastAsia="宋体" w:cs="宋体"/>
                <w:spacing w:val="3"/>
                <w:sz w:val="20"/>
                <w:szCs w:val="20"/>
              </w:rPr>
              <w:t>质</w:t>
            </w:r>
          </w:p>
        </w:tc>
        <w:tc>
          <w:tcPr>
            <w:tcW w:w="1145" w:type="dxa"/>
            <w:vAlign w:val="top"/>
          </w:tcPr>
          <w:p w14:paraId="48D2DCCD">
            <w:pPr>
              <w:spacing w:before="66" w:line="229" w:lineRule="auto"/>
              <w:ind w:left="390"/>
              <w:rPr>
                <w:rFonts w:ascii="宋体" w:hAnsi="宋体" w:eastAsia="宋体" w:cs="宋体"/>
                <w:sz w:val="20"/>
                <w:szCs w:val="20"/>
              </w:rPr>
            </w:pPr>
            <w:r>
              <w:rPr>
                <w:rFonts w:ascii="宋体" w:hAnsi="宋体" w:eastAsia="宋体" w:cs="宋体"/>
                <w:spacing w:val="-7"/>
                <w:sz w:val="20"/>
                <w:szCs w:val="20"/>
              </w:rPr>
              <w:t>间</w:t>
            </w:r>
            <w:r>
              <w:rPr>
                <w:rFonts w:ascii="宋体" w:hAnsi="宋体" w:eastAsia="宋体" w:cs="宋体"/>
                <w:spacing w:val="-5"/>
                <w:sz w:val="20"/>
                <w:szCs w:val="20"/>
              </w:rPr>
              <w:t>接</w:t>
            </w:r>
          </w:p>
        </w:tc>
        <w:tc>
          <w:tcPr>
            <w:tcW w:w="1145" w:type="dxa"/>
            <w:vAlign w:val="top"/>
          </w:tcPr>
          <w:p w14:paraId="6ACEFF1B">
            <w:pPr>
              <w:spacing w:before="66" w:line="229" w:lineRule="auto"/>
              <w:ind w:left="376"/>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45" w:type="dxa"/>
            <w:vAlign w:val="top"/>
          </w:tcPr>
          <w:p w14:paraId="20F449CD">
            <w:pPr>
              <w:spacing w:before="66" w:line="229" w:lineRule="auto"/>
              <w:ind w:left="375"/>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45" w:type="dxa"/>
            <w:vAlign w:val="top"/>
          </w:tcPr>
          <w:p w14:paraId="3C5A0D95">
            <w:pPr>
              <w:spacing w:before="66" w:line="229" w:lineRule="auto"/>
              <w:ind w:left="375"/>
              <w:rPr>
                <w:rFonts w:ascii="宋体" w:hAnsi="宋体" w:eastAsia="宋体" w:cs="宋体"/>
                <w:sz w:val="20"/>
                <w:szCs w:val="20"/>
              </w:rPr>
            </w:pPr>
            <w:r>
              <w:rPr>
                <w:rFonts w:ascii="宋体" w:hAnsi="宋体" w:eastAsia="宋体" w:cs="宋体"/>
                <w:spacing w:val="2"/>
                <w:sz w:val="20"/>
                <w:szCs w:val="20"/>
              </w:rPr>
              <w:t>直</w:t>
            </w:r>
            <w:r>
              <w:rPr>
                <w:rFonts w:ascii="宋体" w:hAnsi="宋体" w:eastAsia="宋体" w:cs="宋体"/>
                <w:spacing w:val="1"/>
                <w:sz w:val="20"/>
                <w:szCs w:val="20"/>
              </w:rPr>
              <w:t>接</w:t>
            </w:r>
          </w:p>
        </w:tc>
        <w:tc>
          <w:tcPr>
            <w:tcW w:w="1105" w:type="dxa"/>
            <w:vAlign w:val="top"/>
          </w:tcPr>
          <w:p w14:paraId="22B83B33">
            <w:pPr>
              <w:spacing w:before="66" w:line="229" w:lineRule="auto"/>
              <w:ind w:left="370"/>
              <w:rPr>
                <w:rFonts w:ascii="宋体" w:hAnsi="宋体" w:eastAsia="宋体" w:cs="宋体"/>
                <w:sz w:val="20"/>
                <w:szCs w:val="20"/>
              </w:rPr>
            </w:pPr>
            <w:r>
              <w:rPr>
                <w:rFonts w:ascii="宋体" w:hAnsi="宋体" w:eastAsia="宋体" w:cs="宋体"/>
                <w:spacing w:val="-7"/>
                <w:sz w:val="20"/>
                <w:szCs w:val="20"/>
              </w:rPr>
              <w:t>间</w:t>
            </w:r>
            <w:r>
              <w:rPr>
                <w:rFonts w:ascii="宋体" w:hAnsi="宋体" w:eastAsia="宋体" w:cs="宋体"/>
                <w:spacing w:val="-5"/>
                <w:sz w:val="20"/>
                <w:szCs w:val="20"/>
              </w:rPr>
              <w:t>接</w:t>
            </w:r>
          </w:p>
        </w:tc>
        <w:tc>
          <w:tcPr>
            <w:tcW w:w="1106" w:type="dxa"/>
            <w:tcBorders>
              <w:right w:val="nil"/>
            </w:tcBorders>
            <w:vAlign w:val="top"/>
          </w:tcPr>
          <w:p w14:paraId="0860FBED">
            <w:pPr>
              <w:spacing w:before="66" w:line="229" w:lineRule="auto"/>
              <w:ind w:left="372"/>
              <w:rPr>
                <w:rFonts w:ascii="宋体" w:hAnsi="宋体" w:eastAsia="宋体" w:cs="宋体"/>
                <w:sz w:val="20"/>
                <w:szCs w:val="20"/>
              </w:rPr>
            </w:pPr>
            <w:r>
              <w:rPr>
                <w:rFonts w:ascii="宋体" w:hAnsi="宋体" w:eastAsia="宋体" w:cs="宋体"/>
                <w:spacing w:val="-7"/>
                <w:sz w:val="20"/>
                <w:szCs w:val="20"/>
              </w:rPr>
              <w:t>间</w:t>
            </w:r>
            <w:r>
              <w:rPr>
                <w:rFonts w:ascii="宋体" w:hAnsi="宋体" w:eastAsia="宋体" w:cs="宋体"/>
                <w:spacing w:val="-5"/>
                <w:sz w:val="20"/>
                <w:szCs w:val="20"/>
              </w:rPr>
              <w:t>接</w:t>
            </w:r>
          </w:p>
        </w:tc>
      </w:tr>
      <w:tr w14:paraId="534E3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51" w:type="dxa"/>
            <w:vMerge w:val="continue"/>
            <w:tcBorders>
              <w:top w:val="nil"/>
              <w:left w:val="nil"/>
            </w:tcBorders>
            <w:textDirection w:val="tbRlV"/>
            <w:vAlign w:val="top"/>
          </w:tcPr>
          <w:p w14:paraId="7127263D">
            <w:pPr>
              <w:rPr>
                <w:rFonts w:ascii="Arial"/>
                <w:sz w:val="21"/>
              </w:rPr>
            </w:pPr>
          </w:p>
        </w:tc>
        <w:tc>
          <w:tcPr>
            <w:tcW w:w="1079" w:type="dxa"/>
            <w:vAlign w:val="top"/>
          </w:tcPr>
          <w:p w14:paraId="1480BDCD">
            <w:pPr>
              <w:spacing w:before="65" w:line="228" w:lineRule="auto"/>
              <w:ind w:left="138"/>
              <w:rPr>
                <w:rFonts w:ascii="宋体" w:hAnsi="宋体" w:eastAsia="宋体" w:cs="宋体"/>
                <w:sz w:val="20"/>
                <w:szCs w:val="20"/>
              </w:rPr>
            </w:pPr>
            <w:r>
              <w:rPr>
                <w:rFonts w:ascii="宋体" w:hAnsi="宋体" w:eastAsia="宋体" w:cs="宋体"/>
                <w:spacing w:val="4"/>
                <w:sz w:val="20"/>
                <w:szCs w:val="20"/>
              </w:rPr>
              <w:t>影响范</w:t>
            </w:r>
            <w:r>
              <w:rPr>
                <w:rFonts w:ascii="宋体" w:hAnsi="宋体" w:eastAsia="宋体" w:cs="宋体"/>
                <w:spacing w:val="3"/>
                <w:sz w:val="20"/>
                <w:szCs w:val="20"/>
              </w:rPr>
              <w:t>围</w:t>
            </w:r>
          </w:p>
        </w:tc>
        <w:tc>
          <w:tcPr>
            <w:tcW w:w="1145" w:type="dxa"/>
            <w:vAlign w:val="top"/>
          </w:tcPr>
          <w:p w14:paraId="52D8374E">
            <w:pPr>
              <w:spacing w:before="10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3C592159">
            <w:pPr>
              <w:spacing w:before="101"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7B2E766F">
            <w:pPr>
              <w:spacing w:before="101"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45" w:type="dxa"/>
            <w:vAlign w:val="top"/>
          </w:tcPr>
          <w:p w14:paraId="334A4F1C">
            <w:pPr>
              <w:spacing w:before="101"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05" w:type="dxa"/>
            <w:vAlign w:val="top"/>
          </w:tcPr>
          <w:p w14:paraId="234B9C46">
            <w:pPr>
              <w:spacing w:before="101"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1"/>
                <w:sz w:val="20"/>
                <w:szCs w:val="20"/>
              </w:rPr>
              <w:t xml:space="preserve"> 1</w:t>
            </w:r>
          </w:p>
        </w:tc>
        <w:tc>
          <w:tcPr>
            <w:tcW w:w="1106" w:type="dxa"/>
            <w:tcBorders>
              <w:right w:val="nil"/>
            </w:tcBorders>
            <w:vAlign w:val="top"/>
          </w:tcPr>
          <w:p w14:paraId="4C74070A">
            <w:pPr>
              <w:spacing w:before="27" w:line="281"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3</w:t>
            </w:r>
          </w:p>
        </w:tc>
      </w:tr>
    </w:tbl>
    <w:p w14:paraId="2669F886">
      <w:pPr>
        <w:spacing w:before="44" w:line="242" w:lineRule="exact"/>
        <w:ind w:left="30"/>
        <w:rPr>
          <w:rFonts w:ascii="宋体" w:hAnsi="宋体" w:eastAsia="宋体" w:cs="宋体"/>
          <w:sz w:val="17"/>
          <w:szCs w:val="17"/>
        </w:rPr>
      </w:pPr>
      <w:r>
        <w:rPr>
          <w:rFonts w:ascii="宋体" w:hAnsi="宋体" w:eastAsia="宋体" w:cs="宋体"/>
          <w:spacing w:val="-4"/>
          <w:position w:val="1"/>
          <w:sz w:val="17"/>
          <w:szCs w:val="17"/>
        </w:rPr>
        <w:t>注：</w:t>
      </w:r>
      <w:r>
        <w:rPr>
          <w:rFonts w:ascii="Times New Roman" w:hAnsi="Times New Roman" w:eastAsia="Times New Roman" w:cs="Times New Roman"/>
          <w:spacing w:val="-4"/>
          <w:position w:val="1"/>
          <w:sz w:val="17"/>
          <w:szCs w:val="17"/>
        </w:rPr>
        <w:t>“1”</w:t>
      </w:r>
      <w:r>
        <w:rPr>
          <w:rFonts w:ascii="宋体" w:hAnsi="宋体" w:eastAsia="宋体" w:cs="宋体"/>
          <w:spacing w:val="-4"/>
          <w:position w:val="1"/>
          <w:sz w:val="17"/>
          <w:szCs w:val="17"/>
        </w:rPr>
        <w:t>影响较小；</w:t>
      </w:r>
      <w:r>
        <w:rPr>
          <w:rFonts w:ascii="Times New Roman" w:hAnsi="Times New Roman" w:eastAsia="Times New Roman" w:cs="Times New Roman"/>
          <w:spacing w:val="-4"/>
          <w:position w:val="1"/>
          <w:sz w:val="17"/>
          <w:szCs w:val="17"/>
        </w:rPr>
        <w:t>“2”</w:t>
      </w:r>
      <w:r>
        <w:rPr>
          <w:rFonts w:ascii="宋体" w:hAnsi="宋体" w:eastAsia="宋体" w:cs="宋体"/>
          <w:spacing w:val="-4"/>
          <w:position w:val="1"/>
          <w:sz w:val="17"/>
          <w:szCs w:val="17"/>
        </w:rPr>
        <w:t>影响一般</w:t>
      </w:r>
      <w:r>
        <w:rPr>
          <w:rFonts w:ascii="宋体" w:hAnsi="宋体" w:eastAsia="宋体" w:cs="宋体"/>
          <w:spacing w:val="-2"/>
          <w:position w:val="1"/>
          <w:sz w:val="17"/>
          <w:szCs w:val="17"/>
        </w:rPr>
        <w:t>；</w:t>
      </w:r>
      <w:r>
        <w:rPr>
          <w:rFonts w:ascii="Times New Roman" w:hAnsi="Times New Roman" w:eastAsia="Times New Roman" w:cs="Times New Roman"/>
          <w:spacing w:val="-2"/>
          <w:position w:val="1"/>
          <w:sz w:val="17"/>
          <w:szCs w:val="17"/>
        </w:rPr>
        <w:t>“3”</w:t>
      </w:r>
      <w:r>
        <w:rPr>
          <w:rFonts w:ascii="宋体" w:hAnsi="宋体" w:eastAsia="宋体" w:cs="宋体"/>
          <w:spacing w:val="-2"/>
          <w:position w:val="1"/>
          <w:sz w:val="17"/>
          <w:szCs w:val="17"/>
        </w:rPr>
        <w:t>影响较大；</w:t>
      </w:r>
      <w:r>
        <w:rPr>
          <w:rFonts w:ascii="Times New Roman" w:hAnsi="Times New Roman" w:eastAsia="Times New Roman" w:cs="Times New Roman"/>
          <w:spacing w:val="-2"/>
          <w:position w:val="1"/>
          <w:sz w:val="17"/>
          <w:szCs w:val="17"/>
        </w:rPr>
        <w:t>“-”</w:t>
      </w:r>
      <w:r>
        <w:rPr>
          <w:rFonts w:ascii="宋体" w:hAnsi="宋体" w:eastAsia="宋体" w:cs="宋体"/>
          <w:spacing w:val="-2"/>
          <w:position w:val="1"/>
          <w:sz w:val="17"/>
          <w:szCs w:val="17"/>
        </w:rPr>
        <w:t>表示负面影响；</w:t>
      </w:r>
      <w:r>
        <w:rPr>
          <w:rFonts w:ascii="Times New Roman" w:hAnsi="Times New Roman" w:eastAsia="Times New Roman" w:cs="Times New Roman"/>
          <w:spacing w:val="-2"/>
          <w:position w:val="1"/>
          <w:sz w:val="17"/>
          <w:szCs w:val="17"/>
        </w:rPr>
        <w:t>“+”</w:t>
      </w:r>
      <w:r>
        <w:rPr>
          <w:rFonts w:ascii="宋体" w:hAnsi="宋体" w:eastAsia="宋体" w:cs="宋体"/>
          <w:spacing w:val="-2"/>
          <w:position w:val="1"/>
          <w:sz w:val="17"/>
          <w:szCs w:val="17"/>
        </w:rPr>
        <w:t>表示正面影响。</w:t>
      </w:r>
    </w:p>
    <w:p w14:paraId="294D67AA">
      <w:pPr>
        <w:spacing w:line="318" w:lineRule="auto"/>
        <w:rPr>
          <w:rFonts w:ascii="Arial"/>
          <w:sz w:val="21"/>
        </w:rPr>
      </w:pPr>
    </w:p>
    <w:p w14:paraId="15A0C78A">
      <w:pPr>
        <w:spacing w:before="75" w:line="393" w:lineRule="auto"/>
        <w:ind w:left="38" w:right="195" w:firstLine="474"/>
        <w:rPr>
          <w:rFonts w:ascii="宋体" w:hAnsi="宋体" w:eastAsia="宋体" w:cs="宋体"/>
          <w:sz w:val="23"/>
          <w:szCs w:val="23"/>
        </w:rPr>
      </w:pPr>
      <w:r>
        <w:rPr>
          <w:rFonts w:ascii="宋体" w:hAnsi="宋体" w:eastAsia="宋体" w:cs="宋体"/>
          <w:spacing w:val="-12"/>
          <w:sz w:val="23"/>
          <w:szCs w:val="23"/>
        </w:rPr>
        <w:t xml:space="preserve">由表 </w:t>
      </w:r>
      <w:r>
        <w:rPr>
          <w:rFonts w:ascii="Times New Roman" w:hAnsi="Times New Roman" w:eastAsia="Times New Roman" w:cs="Times New Roman"/>
          <w:spacing w:val="-12"/>
          <w:sz w:val="23"/>
          <w:szCs w:val="23"/>
        </w:rPr>
        <w:t>2</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可以看出，该项目施工期和营运期将对当地自然环境和社会环境产生一</w:t>
      </w:r>
      <w:r>
        <w:rPr>
          <w:rFonts w:ascii="宋体" w:hAnsi="宋体" w:eastAsia="宋体" w:cs="宋体"/>
          <w:sz w:val="23"/>
          <w:szCs w:val="23"/>
        </w:rPr>
        <w:t xml:space="preserve"> </w:t>
      </w:r>
      <w:r>
        <w:rPr>
          <w:rFonts w:ascii="宋体" w:hAnsi="宋体" w:eastAsia="宋体" w:cs="宋体"/>
          <w:spacing w:val="-6"/>
          <w:sz w:val="23"/>
          <w:szCs w:val="23"/>
        </w:rPr>
        <w:t>定</w:t>
      </w:r>
      <w:r>
        <w:rPr>
          <w:rFonts w:ascii="宋体" w:hAnsi="宋体" w:eastAsia="宋体" w:cs="宋体"/>
          <w:spacing w:val="-5"/>
          <w:sz w:val="23"/>
          <w:szCs w:val="23"/>
        </w:rPr>
        <w:t>程</w:t>
      </w:r>
      <w:r>
        <w:rPr>
          <w:rFonts w:ascii="宋体" w:hAnsi="宋体" w:eastAsia="宋体" w:cs="宋体"/>
          <w:spacing w:val="-3"/>
          <w:sz w:val="23"/>
          <w:szCs w:val="23"/>
        </w:rPr>
        <w:t>度的不利影响，主要影响因素是环境空气。</w:t>
      </w:r>
    </w:p>
    <w:p w14:paraId="391605A1">
      <w:pPr>
        <w:sectPr>
          <w:headerReference r:id="rId54" w:type="default"/>
          <w:footerReference r:id="rId55" w:type="default"/>
          <w:pgSz w:w="11906" w:h="16839"/>
          <w:pgMar w:top="1132" w:right="1606" w:bottom="1156" w:left="1777" w:header="878" w:footer="996" w:gutter="0"/>
          <w:cols w:space="720" w:num="1"/>
        </w:sectPr>
      </w:pPr>
    </w:p>
    <w:p w14:paraId="42748649">
      <w:pPr>
        <w:spacing w:line="408" w:lineRule="auto"/>
        <w:rPr>
          <w:rFonts w:ascii="Arial"/>
          <w:sz w:val="21"/>
        </w:rPr>
      </w:pPr>
      <w:r>
        <w:pict>
          <v:shape id="_x0000_s1087" o:spid="_x0000_s1087" style="position:absolute;left:0pt;margin-left:90pt;margin-top:57.35pt;height:0.75pt;width:415.3pt;mso-position-horizontal-relative:page;mso-position-vertical-relative:page;z-index:251724800;mso-width-relative:page;mso-height-relative:page;" fillcolor="#000000" filled="t" stroked="f" coordsize="8305,15" o:allowincell="f" path="m0,0l8305,0,8305,14,0,14,0,0xe">
            <v:path/>
            <v:fill on="t" focussize="0,0"/>
            <v:stroke on="f"/>
            <v:imagedata o:title=""/>
            <o:lock v:ext="edit"/>
          </v:shape>
        </w:pict>
      </w:r>
    </w:p>
    <w:p w14:paraId="3F53BE91">
      <w:pPr>
        <w:spacing w:before="75" w:line="226" w:lineRule="auto"/>
        <w:ind w:left="523"/>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2</w:t>
      </w:r>
      <w:r>
        <w:rPr>
          <w:rFonts w:ascii="宋体" w:hAnsi="宋体" w:eastAsia="宋体" w:cs="宋体"/>
          <w:spacing w:val="8"/>
          <w:sz w:val="23"/>
          <w:szCs w:val="23"/>
        </w:rPr>
        <w:t>) 评价因子筛选</w:t>
      </w:r>
    </w:p>
    <w:p w14:paraId="041B4DED">
      <w:pPr>
        <w:spacing w:line="290" w:lineRule="auto"/>
        <w:rPr>
          <w:rFonts w:ascii="Arial"/>
          <w:sz w:val="21"/>
        </w:rPr>
      </w:pPr>
    </w:p>
    <w:p w14:paraId="73A5A713">
      <w:pPr>
        <w:spacing w:before="74" w:line="390" w:lineRule="auto"/>
        <w:ind w:left="59" w:right="167" w:firstLine="452"/>
        <w:rPr>
          <w:rFonts w:ascii="宋体" w:hAnsi="宋体" w:eastAsia="宋体" w:cs="宋体"/>
          <w:sz w:val="23"/>
          <w:szCs w:val="23"/>
        </w:rPr>
      </w:pPr>
      <w:r>
        <w:rPr>
          <w:rFonts w:ascii="宋体" w:hAnsi="宋体" w:eastAsia="宋体" w:cs="宋体"/>
          <w:spacing w:val="1"/>
          <w:sz w:val="23"/>
          <w:szCs w:val="23"/>
        </w:rPr>
        <w:t>根据环境影响要素识别结果，结合建设项目工程特征</w:t>
      </w:r>
      <w:r>
        <w:rPr>
          <w:rFonts w:ascii="宋体" w:hAnsi="宋体" w:eastAsia="宋体" w:cs="宋体"/>
          <w:sz w:val="23"/>
          <w:szCs w:val="23"/>
        </w:rPr>
        <w:t xml:space="preserve">、污染物种类、污染物排 </w:t>
      </w:r>
      <w:r>
        <w:rPr>
          <w:rFonts w:ascii="宋体" w:hAnsi="宋体" w:eastAsia="宋体" w:cs="宋体"/>
          <w:spacing w:val="1"/>
          <w:sz w:val="23"/>
          <w:szCs w:val="23"/>
        </w:rPr>
        <w:t>放去向及周围地区环境质量概况，</w:t>
      </w:r>
      <w:r>
        <w:rPr>
          <w:rFonts w:ascii="宋体" w:hAnsi="宋体" w:eastAsia="宋体" w:cs="宋体"/>
          <w:sz w:val="23"/>
          <w:szCs w:val="23"/>
        </w:rPr>
        <w:t xml:space="preserve">确定本评价因子包括污染源评价因子、环境质量 </w:t>
      </w:r>
      <w:r>
        <w:rPr>
          <w:rFonts w:ascii="宋体" w:hAnsi="宋体" w:eastAsia="宋体" w:cs="宋体"/>
          <w:spacing w:val="-10"/>
          <w:sz w:val="23"/>
          <w:szCs w:val="23"/>
        </w:rPr>
        <w:t>评</w:t>
      </w:r>
      <w:r>
        <w:rPr>
          <w:rFonts w:ascii="宋体" w:hAnsi="宋体" w:eastAsia="宋体" w:cs="宋体"/>
          <w:spacing w:val="-8"/>
          <w:sz w:val="23"/>
          <w:szCs w:val="23"/>
        </w:rPr>
        <w:t>价</w:t>
      </w:r>
      <w:r>
        <w:rPr>
          <w:rFonts w:ascii="宋体" w:hAnsi="宋体" w:eastAsia="宋体" w:cs="宋体"/>
          <w:spacing w:val="-5"/>
          <w:sz w:val="23"/>
          <w:szCs w:val="23"/>
        </w:rPr>
        <w:t xml:space="preserve">因子和影响分析因子，评价因子见表 </w:t>
      </w:r>
      <w:r>
        <w:rPr>
          <w:rFonts w:ascii="Times New Roman" w:hAnsi="Times New Roman" w:eastAsia="Times New Roman" w:cs="Times New Roman"/>
          <w:spacing w:val="-5"/>
          <w:sz w:val="23"/>
          <w:szCs w:val="23"/>
        </w:rPr>
        <w:t>2-2</w:t>
      </w:r>
      <w:r>
        <w:rPr>
          <w:rFonts w:ascii="宋体" w:hAnsi="宋体" w:eastAsia="宋体" w:cs="宋体"/>
          <w:spacing w:val="-5"/>
          <w:sz w:val="23"/>
          <w:szCs w:val="23"/>
        </w:rPr>
        <w:t>。</w:t>
      </w:r>
    </w:p>
    <w:p w14:paraId="760BD8E2">
      <w:pPr>
        <w:spacing w:before="147" w:line="226" w:lineRule="auto"/>
        <w:ind w:left="287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评价因子一览表</w:t>
      </w:r>
    </w:p>
    <w:p w14:paraId="6BD6A089">
      <w:pPr>
        <w:spacing w:line="20"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710"/>
        <w:gridCol w:w="6173"/>
      </w:tblGrid>
      <w:tr w14:paraId="3F61C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38" w:type="dxa"/>
            <w:tcBorders>
              <w:left w:val="nil"/>
            </w:tcBorders>
            <w:vAlign w:val="top"/>
          </w:tcPr>
          <w:p w14:paraId="18ADA2F3">
            <w:pPr>
              <w:spacing w:before="87" w:line="228" w:lineRule="auto"/>
              <w:ind w:left="134"/>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项</w:t>
            </w:r>
            <w:r>
              <w:rPr>
                <w:rFonts w:ascii="宋体" w:hAnsi="宋体" w:eastAsia="宋体" w:cs="宋体"/>
                <w:spacing w:val="-1"/>
                <w:sz w:val="20"/>
                <w:szCs w:val="20"/>
                <w14:textOutline w14:w="3795" w14:cap="sq" w14:cmpd="sng">
                  <w14:solidFill>
                    <w14:srgbClr w14:val="000000"/>
                  </w14:solidFill>
                  <w14:prstDash w14:val="solid"/>
                  <w14:bevel/>
                </w14:textOutline>
              </w:rPr>
              <w:t>目</w:t>
            </w:r>
          </w:p>
        </w:tc>
        <w:tc>
          <w:tcPr>
            <w:tcW w:w="1710" w:type="dxa"/>
            <w:vAlign w:val="top"/>
          </w:tcPr>
          <w:p w14:paraId="51AE070C">
            <w:pPr>
              <w:spacing w:before="86" w:line="228" w:lineRule="auto"/>
              <w:ind w:left="664"/>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类别</w:t>
            </w:r>
          </w:p>
        </w:tc>
        <w:tc>
          <w:tcPr>
            <w:tcW w:w="6173" w:type="dxa"/>
            <w:tcBorders>
              <w:right w:val="nil"/>
            </w:tcBorders>
            <w:vAlign w:val="top"/>
          </w:tcPr>
          <w:p w14:paraId="5D81CC09">
            <w:pPr>
              <w:spacing w:before="87" w:line="226" w:lineRule="auto"/>
              <w:ind w:left="2697"/>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评价因</w:t>
            </w:r>
            <w:r>
              <w:rPr>
                <w:rFonts w:ascii="宋体" w:hAnsi="宋体" w:eastAsia="宋体" w:cs="宋体"/>
                <w:sz w:val="20"/>
                <w:szCs w:val="20"/>
                <w14:textOutline w14:w="3795" w14:cap="sq" w14:cmpd="sng">
                  <w14:solidFill>
                    <w14:srgbClr w14:val="000000"/>
                  </w14:solidFill>
                  <w14:prstDash w14:val="solid"/>
                  <w14:bevel/>
                </w14:textOutline>
              </w:rPr>
              <w:t>子</w:t>
            </w:r>
          </w:p>
        </w:tc>
      </w:tr>
      <w:tr w14:paraId="3F7A3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restart"/>
            <w:tcBorders>
              <w:left w:val="nil"/>
              <w:bottom w:val="nil"/>
            </w:tcBorders>
            <w:vAlign w:val="top"/>
          </w:tcPr>
          <w:p w14:paraId="16AEDD46">
            <w:pPr>
              <w:spacing w:before="238" w:line="320" w:lineRule="auto"/>
              <w:ind w:left="131" w:right="106" w:firstLine="6"/>
              <w:rPr>
                <w:rFonts w:ascii="宋体" w:hAnsi="宋体" w:eastAsia="宋体" w:cs="宋体"/>
                <w:sz w:val="20"/>
                <w:szCs w:val="20"/>
              </w:rPr>
            </w:pPr>
            <w:r>
              <w:rPr>
                <w:rFonts w:ascii="宋体" w:hAnsi="宋体" w:eastAsia="宋体" w:cs="宋体"/>
                <w:spacing w:val="-5"/>
                <w:sz w:val="20"/>
                <w:szCs w:val="20"/>
              </w:rPr>
              <w:t>空</w:t>
            </w:r>
            <w:r>
              <w:rPr>
                <w:rFonts w:ascii="宋体" w:hAnsi="宋体" w:eastAsia="宋体" w:cs="宋体"/>
                <w:spacing w:val="-4"/>
                <w:sz w:val="20"/>
                <w:szCs w:val="20"/>
              </w:rPr>
              <w:t>气</w:t>
            </w:r>
            <w:r>
              <w:rPr>
                <w:rFonts w:ascii="宋体" w:hAnsi="宋体" w:eastAsia="宋体" w:cs="宋体"/>
                <w:sz w:val="20"/>
                <w:szCs w:val="20"/>
              </w:rPr>
              <w:t xml:space="preserve"> </w:t>
            </w:r>
            <w:r>
              <w:rPr>
                <w:rFonts w:ascii="宋体" w:hAnsi="宋体" w:eastAsia="宋体" w:cs="宋体"/>
                <w:spacing w:val="-2"/>
                <w:sz w:val="20"/>
                <w:szCs w:val="20"/>
              </w:rPr>
              <w:t>环</w:t>
            </w:r>
            <w:r>
              <w:rPr>
                <w:rFonts w:ascii="宋体" w:hAnsi="宋体" w:eastAsia="宋体" w:cs="宋体"/>
                <w:spacing w:val="-1"/>
                <w:sz w:val="20"/>
                <w:szCs w:val="20"/>
              </w:rPr>
              <w:t>境</w:t>
            </w:r>
          </w:p>
        </w:tc>
        <w:tc>
          <w:tcPr>
            <w:tcW w:w="1710" w:type="dxa"/>
            <w:vAlign w:val="top"/>
          </w:tcPr>
          <w:p w14:paraId="28AEEF13">
            <w:pPr>
              <w:spacing w:before="63" w:line="228" w:lineRule="auto"/>
              <w:ind w:left="17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r>
              <w:rPr>
                <w:rFonts w:ascii="宋体" w:hAnsi="宋体" w:eastAsia="宋体" w:cs="宋体"/>
                <w:spacing w:val="-2"/>
                <w:sz w:val="20"/>
                <w:szCs w:val="20"/>
              </w:rPr>
              <w:t>源排放因子</w:t>
            </w:r>
          </w:p>
        </w:tc>
        <w:tc>
          <w:tcPr>
            <w:tcW w:w="6173" w:type="dxa"/>
            <w:tcBorders>
              <w:right w:val="nil"/>
            </w:tcBorders>
            <w:vAlign w:val="top"/>
          </w:tcPr>
          <w:p w14:paraId="33B5D1D7">
            <w:pPr>
              <w:spacing w:before="99" w:line="192" w:lineRule="auto"/>
              <w:ind w:left="1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r>
              <w:rPr>
                <w:rFonts w:ascii="宋体" w:hAnsi="宋体" w:eastAsia="宋体" w:cs="宋体"/>
                <w:spacing w:val="-4"/>
                <w:sz w:val="20"/>
                <w:szCs w:val="20"/>
              </w:rPr>
              <w:t>、</w:t>
            </w:r>
            <w:r>
              <w:rPr>
                <w:rFonts w:ascii="Times New Roman" w:hAnsi="Times New Roman" w:eastAsia="Times New Roman" w:cs="Times New Roman"/>
                <w:spacing w:val="-2"/>
                <w:sz w:val="20"/>
                <w:szCs w:val="20"/>
              </w:rPr>
              <w:t>PM</w:t>
            </w:r>
            <w:r>
              <w:rPr>
                <w:rFonts w:ascii="Times New Roman" w:hAnsi="Times New Roman" w:eastAsia="Times New Roman" w:cs="Times New Roman"/>
                <w:spacing w:val="-4"/>
                <w:position w:val="-1"/>
                <w:sz w:val="13"/>
                <w:szCs w:val="13"/>
              </w:rPr>
              <w:t>10</w:t>
            </w:r>
            <w:r>
              <w:rPr>
                <w:rFonts w:ascii="宋体" w:hAnsi="宋体" w:eastAsia="宋体" w:cs="宋体"/>
                <w:spacing w:val="-4"/>
                <w:sz w:val="20"/>
                <w:szCs w:val="20"/>
              </w:rPr>
              <w:t>、</w:t>
            </w:r>
            <w:r>
              <w:rPr>
                <w:rFonts w:ascii="Times New Roman" w:hAnsi="Times New Roman" w:eastAsia="Times New Roman" w:cs="Times New Roman"/>
                <w:spacing w:val="-2"/>
                <w:sz w:val="20"/>
                <w:szCs w:val="20"/>
              </w:rPr>
              <w:t>SO</w:t>
            </w:r>
            <w:r>
              <w:rPr>
                <w:rFonts w:ascii="Times New Roman" w:hAnsi="Times New Roman" w:eastAsia="Times New Roman" w:cs="Times New Roman"/>
                <w:spacing w:val="-4"/>
                <w:position w:val="-1"/>
                <w:sz w:val="13"/>
                <w:szCs w:val="13"/>
              </w:rPr>
              <w:t>2</w:t>
            </w:r>
            <w:r>
              <w:rPr>
                <w:rFonts w:ascii="宋体" w:hAnsi="宋体" w:eastAsia="宋体" w:cs="宋体"/>
                <w:spacing w:val="-2"/>
                <w:sz w:val="20"/>
                <w:szCs w:val="20"/>
              </w:rPr>
              <w:t>、</w:t>
            </w:r>
            <w:r>
              <w:rPr>
                <w:rFonts w:ascii="Times New Roman" w:hAnsi="Times New Roman" w:eastAsia="Times New Roman" w:cs="Times New Roman"/>
                <w:spacing w:val="-2"/>
                <w:sz w:val="20"/>
                <w:szCs w:val="20"/>
              </w:rPr>
              <w:t>NO</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0"/>
                <w:szCs w:val="20"/>
              </w:rPr>
              <w:t>、</w:t>
            </w:r>
            <w:r>
              <w:rPr>
                <w:rFonts w:ascii="Times New Roman" w:hAnsi="Times New Roman" w:eastAsia="Times New Roman" w:cs="Times New Roman"/>
                <w:spacing w:val="-2"/>
                <w:sz w:val="20"/>
                <w:szCs w:val="20"/>
              </w:rPr>
              <w:t>NMHC</w:t>
            </w:r>
          </w:p>
        </w:tc>
      </w:tr>
      <w:tr w14:paraId="6215F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continue"/>
            <w:tcBorders>
              <w:top w:val="nil"/>
              <w:left w:val="nil"/>
              <w:bottom w:val="nil"/>
            </w:tcBorders>
            <w:vAlign w:val="top"/>
          </w:tcPr>
          <w:p w14:paraId="49DEAFFB">
            <w:pPr>
              <w:rPr>
                <w:rFonts w:ascii="Arial"/>
                <w:sz w:val="21"/>
              </w:rPr>
            </w:pPr>
          </w:p>
        </w:tc>
        <w:tc>
          <w:tcPr>
            <w:tcW w:w="1710" w:type="dxa"/>
            <w:vAlign w:val="top"/>
          </w:tcPr>
          <w:p w14:paraId="13338C00">
            <w:pPr>
              <w:spacing w:before="61" w:line="226"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质量评价因子</w:t>
            </w:r>
          </w:p>
        </w:tc>
        <w:tc>
          <w:tcPr>
            <w:tcW w:w="6173" w:type="dxa"/>
            <w:tcBorders>
              <w:right w:val="nil"/>
            </w:tcBorders>
            <w:vAlign w:val="top"/>
          </w:tcPr>
          <w:p w14:paraId="20DE2972">
            <w:pPr>
              <w:spacing w:before="97" w:line="195" w:lineRule="auto"/>
              <w:ind w:left="119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PM</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5"/>
                <w:position w:val="-1"/>
                <w:sz w:val="13"/>
                <w:szCs w:val="13"/>
              </w:rPr>
              <w:t xml:space="preserve">.5 </w:t>
            </w:r>
            <w:r>
              <w:rPr>
                <w:rFonts w:ascii="宋体" w:hAnsi="宋体" w:eastAsia="宋体" w:cs="宋体"/>
                <w:spacing w:val="-5"/>
                <w:sz w:val="20"/>
                <w:szCs w:val="20"/>
              </w:rPr>
              <w:t>、</w:t>
            </w:r>
            <w:r>
              <w:rPr>
                <w:rFonts w:ascii="Times New Roman" w:hAnsi="Times New Roman" w:eastAsia="Times New Roman" w:cs="Times New Roman"/>
                <w:spacing w:val="-5"/>
                <w:sz w:val="20"/>
                <w:szCs w:val="20"/>
              </w:rPr>
              <w:t>PM</w:t>
            </w:r>
            <w:r>
              <w:rPr>
                <w:rFonts w:ascii="Times New Roman" w:hAnsi="Times New Roman" w:eastAsia="Times New Roman" w:cs="Times New Roman"/>
                <w:spacing w:val="-5"/>
                <w:position w:val="-1"/>
                <w:sz w:val="13"/>
                <w:szCs w:val="13"/>
              </w:rPr>
              <w:t>10</w:t>
            </w:r>
            <w:r>
              <w:rPr>
                <w:rFonts w:ascii="宋体" w:hAnsi="宋体" w:eastAsia="宋体" w:cs="宋体"/>
                <w:spacing w:val="-5"/>
                <w:sz w:val="20"/>
                <w:szCs w:val="20"/>
              </w:rPr>
              <w:t>、</w:t>
            </w:r>
            <w:r>
              <w:rPr>
                <w:rFonts w:ascii="Times New Roman" w:hAnsi="Times New Roman" w:eastAsia="Times New Roman" w:cs="Times New Roman"/>
                <w:spacing w:val="-5"/>
                <w:sz w:val="20"/>
                <w:szCs w:val="20"/>
              </w:rPr>
              <w:t>SO</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w:t>
            </w:r>
            <w:r>
              <w:rPr>
                <w:rFonts w:ascii="Times New Roman" w:hAnsi="Times New Roman" w:eastAsia="Times New Roman" w:cs="Times New Roman"/>
                <w:spacing w:val="-5"/>
                <w:sz w:val="20"/>
                <w:szCs w:val="20"/>
              </w:rPr>
              <w:t>NO</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w:t>
            </w:r>
            <w:r>
              <w:rPr>
                <w:rFonts w:ascii="Times New Roman" w:hAnsi="Times New Roman" w:eastAsia="Times New Roman" w:cs="Times New Roman"/>
                <w:spacing w:val="-5"/>
                <w:sz w:val="20"/>
                <w:szCs w:val="20"/>
              </w:rPr>
              <w:t>O</w:t>
            </w:r>
            <w:r>
              <w:rPr>
                <w:rFonts w:ascii="Times New Roman" w:hAnsi="Times New Roman" w:eastAsia="Times New Roman" w:cs="Times New Roman"/>
                <w:spacing w:val="-5"/>
                <w:position w:val="-1"/>
                <w:sz w:val="13"/>
                <w:szCs w:val="13"/>
              </w:rPr>
              <w:t xml:space="preserve">3 </w:t>
            </w:r>
            <w:r>
              <w:rPr>
                <w:rFonts w:ascii="宋体" w:hAnsi="宋体" w:eastAsia="宋体" w:cs="宋体"/>
                <w:spacing w:val="-5"/>
                <w:sz w:val="20"/>
                <w:szCs w:val="20"/>
              </w:rPr>
              <w:t>、</w:t>
            </w:r>
            <w:r>
              <w:rPr>
                <w:rFonts w:ascii="Times New Roman" w:hAnsi="Times New Roman" w:eastAsia="Times New Roman" w:cs="Times New Roman"/>
                <w:spacing w:val="-5"/>
                <w:sz w:val="20"/>
                <w:szCs w:val="20"/>
              </w:rPr>
              <w:t>CO</w:t>
            </w:r>
            <w:r>
              <w:rPr>
                <w:rFonts w:ascii="宋体" w:hAnsi="宋体" w:eastAsia="宋体" w:cs="宋体"/>
                <w:spacing w:val="-5"/>
                <w:sz w:val="20"/>
                <w:szCs w:val="20"/>
              </w:rPr>
              <w:t>、</w:t>
            </w:r>
            <w:r>
              <w:rPr>
                <w:rFonts w:ascii="Times New Roman" w:hAnsi="Times New Roman" w:eastAsia="Times New Roman" w:cs="Times New Roman"/>
                <w:spacing w:val="-5"/>
                <w:sz w:val="20"/>
                <w:szCs w:val="20"/>
              </w:rPr>
              <w:t>NMHC</w:t>
            </w:r>
          </w:p>
        </w:tc>
      </w:tr>
      <w:tr w14:paraId="210D2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continue"/>
            <w:tcBorders>
              <w:top w:val="nil"/>
              <w:left w:val="nil"/>
            </w:tcBorders>
            <w:vAlign w:val="top"/>
          </w:tcPr>
          <w:p w14:paraId="67F5CC4C">
            <w:pPr>
              <w:rPr>
                <w:rFonts w:ascii="Arial"/>
                <w:sz w:val="21"/>
              </w:rPr>
            </w:pPr>
          </w:p>
        </w:tc>
        <w:tc>
          <w:tcPr>
            <w:tcW w:w="1710" w:type="dxa"/>
            <w:vAlign w:val="top"/>
          </w:tcPr>
          <w:p w14:paraId="3D6B119D">
            <w:pPr>
              <w:spacing w:before="61" w:line="228"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影响预测因子</w:t>
            </w:r>
          </w:p>
        </w:tc>
        <w:tc>
          <w:tcPr>
            <w:tcW w:w="6173" w:type="dxa"/>
            <w:tcBorders>
              <w:right w:val="nil"/>
            </w:tcBorders>
            <w:vAlign w:val="top"/>
          </w:tcPr>
          <w:p w14:paraId="097863AC">
            <w:pPr>
              <w:spacing w:before="97" w:line="192" w:lineRule="auto"/>
              <w:ind w:left="1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r>
              <w:rPr>
                <w:rFonts w:ascii="宋体" w:hAnsi="宋体" w:eastAsia="宋体" w:cs="宋体"/>
                <w:spacing w:val="-4"/>
                <w:sz w:val="20"/>
                <w:szCs w:val="20"/>
              </w:rPr>
              <w:t>、</w:t>
            </w:r>
            <w:r>
              <w:rPr>
                <w:rFonts w:ascii="Times New Roman" w:hAnsi="Times New Roman" w:eastAsia="Times New Roman" w:cs="Times New Roman"/>
                <w:spacing w:val="-2"/>
                <w:sz w:val="20"/>
                <w:szCs w:val="20"/>
              </w:rPr>
              <w:t>PM</w:t>
            </w:r>
            <w:r>
              <w:rPr>
                <w:rFonts w:ascii="Times New Roman" w:hAnsi="Times New Roman" w:eastAsia="Times New Roman" w:cs="Times New Roman"/>
                <w:spacing w:val="-4"/>
                <w:position w:val="-1"/>
                <w:sz w:val="13"/>
                <w:szCs w:val="13"/>
              </w:rPr>
              <w:t>10</w:t>
            </w:r>
            <w:r>
              <w:rPr>
                <w:rFonts w:ascii="宋体" w:hAnsi="宋体" w:eastAsia="宋体" w:cs="宋体"/>
                <w:spacing w:val="-4"/>
                <w:sz w:val="20"/>
                <w:szCs w:val="20"/>
              </w:rPr>
              <w:t>、</w:t>
            </w:r>
            <w:r>
              <w:rPr>
                <w:rFonts w:ascii="Times New Roman" w:hAnsi="Times New Roman" w:eastAsia="Times New Roman" w:cs="Times New Roman"/>
                <w:spacing w:val="-2"/>
                <w:sz w:val="20"/>
                <w:szCs w:val="20"/>
              </w:rPr>
              <w:t>SO</w:t>
            </w:r>
            <w:r>
              <w:rPr>
                <w:rFonts w:ascii="Times New Roman" w:hAnsi="Times New Roman" w:eastAsia="Times New Roman" w:cs="Times New Roman"/>
                <w:spacing w:val="-4"/>
                <w:position w:val="-1"/>
                <w:sz w:val="13"/>
                <w:szCs w:val="13"/>
              </w:rPr>
              <w:t>2</w:t>
            </w:r>
            <w:r>
              <w:rPr>
                <w:rFonts w:ascii="宋体" w:hAnsi="宋体" w:eastAsia="宋体" w:cs="宋体"/>
                <w:spacing w:val="-2"/>
                <w:sz w:val="20"/>
                <w:szCs w:val="20"/>
              </w:rPr>
              <w:t>、</w:t>
            </w:r>
            <w:r>
              <w:rPr>
                <w:rFonts w:ascii="Times New Roman" w:hAnsi="Times New Roman" w:eastAsia="Times New Roman" w:cs="Times New Roman"/>
                <w:spacing w:val="-2"/>
                <w:sz w:val="20"/>
                <w:szCs w:val="20"/>
              </w:rPr>
              <w:t>NO</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0"/>
                <w:szCs w:val="20"/>
              </w:rPr>
              <w:t>、</w:t>
            </w:r>
            <w:r>
              <w:rPr>
                <w:rFonts w:ascii="Times New Roman" w:hAnsi="Times New Roman" w:eastAsia="Times New Roman" w:cs="Times New Roman"/>
                <w:spacing w:val="-2"/>
                <w:sz w:val="20"/>
                <w:szCs w:val="20"/>
              </w:rPr>
              <w:t>NMHC</w:t>
            </w:r>
          </w:p>
        </w:tc>
      </w:tr>
      <w:tr w14:paraId="30CA2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8" w:type="dxa"/>
            <w:vMerge w:val="restart"/>
            <w:tcBorders>
              <w:left w:val="nil"/>
              <w:bottom w:val="nil"/>
            </w:tcBorders>
            <w:vAlign w:val="top"/>
          </w:tcPr>
          <w:p w14:paraId="6F02D22C">
            <w:pPr>
              <w:spacing w:before="71" w:line="229" w:lineRule="auto"/>
              <w:ind w:left="131"/>
              <w:rPr>
                <w:rFonts w:ascii="宋体" w:hAnsi="宋体" w:eastAsia="宋体" w:cs="宋体"/>
                <w:sz w:val="20"/>
                <w:szCs w:val="20"/>
              </w:rPr>
            </w:pPr>
            <w:r>
              <w:rPr>
                <w:rFonts w:ascii="宋体" w:hAnsi="宋体" w:eastAsia="宋体" w:cs="宋体"/>
                <w:sz w:val="20"/>
                <w:szCs w:val="20"/>
              </w:rPr>
              <w:t>地表</w:t>
            </w:r>
          </w:p>
          <w:p w14:paraId="0F17A903">
            <w:pPr>
              <w:spacing w:before="85" w:line="228" w:lineRule="auto"/>
              <w:ind w:left="133"/>
              <w:rPr>
                <w:rFonts w:ascii="宋体" w:hAnsi="宋体" w:eastAsia="宋体" w:cs="宋体"/>
                <w:sz w:val="20"/>
                <w:szCs w:val="20"/>
              </w:rPr>
            </w:pPr>
            <w:r>
              <w:rPr>
                <w:rFonts w:ascii="宋体" w:hAnsi="宋体" w:eastAsia="宋体" w:cs="宋体"/>
                <w:spacing w:val="-1"/>
                <w:sz w:val="20"/>
                <w:szCs w:val="20"/>
              </w:rPr>
              <w:t>水环</w:t>
            </w:r>
          </w:p>
          <w:p w14:paraId="6AC025DF">
            <w:pPr>
              <w:spacing w:before="87" w:line="228" w:lineRule="auto"/>
              <w:ind w:left="230"/>
              <w:rPr>
                <w:rFonts w:ascii="宋体" w:hAnsi="宋体" w:eastAsia="宋体" w:cs="宋体"/>
                <w:sz w:val="20"/>
                <w:szCs w:val="20"/>
              </w:rPr>
            </w:pPr>
            <w:r>
              <w:rPr>
                <w:rFonts w:ascii="宋体" w:hAnsi="宋体" w:eastAsia="宋体" w:cs="宋体"/>
                <w:sz w:val="20"/>
                <w:szCs w:val="20"/>
              </w:rPr>
              <w:t>境</w:t>
            </w:r>
          </w:p>
        </w:tc>
        <w:tc>
          <w:tcPr>
            <w:tcW w:w="1710" w:type="dxa"/>
            <w:vAlign w:val="top"/>
          </w:tcPr>
          <w:p w14:paraId="733F3FF8">
            <w:pPr>
              <w:spacing w:before="62" w:line="228" w:lineRule="auto"/>
              <w:ind w:left="17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r>
              <w:rPr>
                <w:rFonts w:ascii="宋体" w:hAnsi="宋体" w:eastAsia="宋体" w:cs="宋体"/>
                <w:spacing w:val="-2"/>
                <w:sz w:val="20"/>
                <w:szCs w:val="20"/>
              </w:rPr>
              <w:t>源排放因子</w:t>
            </w:r>
          </w:p>
        </w:tc>
        <w:tc>
          <w:tcPr>
            <w:tcW w:w="6173" w:type="dxa"/>
            <w:tcBorders>
              <w:right w:val="nil"/>
            </w:tcBorders>
            <w:vAlign w:val="top"/>
          </w:tcPr>
          <w:p w14:paraId="16F652C4">
            <w:pPr>
              <w:spacing w:before="61" w:line="264" w:lineRule="exact"/>
              <w:ind w:left="2068"/>
              <w:rPr>
                <w:rFonts w:ascii="宋体" w:hAnsi="宋体" w:eastAsia="宋体" w:cs="宋体"/>
                <w:sz w:val="20"/>
                <w:szCs w:val="20"/>
              </w:rPr>
            </w:pPr>
            <w:r>
              <w:rPr>
                <w:rFonts w:ascii="Times New Roman" w:hAnsi="Times New Roman" w:eastAsia="Times New Roman" w:cs="Times New Roman"/>
                <w:spacing w:val="-1"/>
                <w:position w:val="1"/>
                <w:sz w:val="20"/>
                <w:szCs w:val="20"/>
              </w:rPr>
              <w:t>COD</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BO</w:t>
            </w:r>
            <w:r>
              <w:rPr>
                <w:rFonts w:ascii="Times New Roman" w:hAnsi="Times New Roman" w:eastAsia="Times New Roman" w:cs="Times New Roman"/>
                <w:position w:val="1"/>
                <w:sz w:val="20"/>
                <w:szCs w:val="20"/>
              </w:rPr>
              <w:t>D</w:t>
            </w:r>
            <w:r>
              <w:rPr>
                <w:rFonts w:ascii="宋体" w:hAnsi="宋体" w:eastAsia="宋体" w:cs="宋体"/>
                <w:spacing w:val="-1"/>
                <w:position w:val="1"/>
                <w:sz w:val="20"/>
                <w:szCs w:val="20"/>
              </w:rPr>
              <w:t>、</w:t>
            </w:r>
            <w:r>
              <w:rPr>
                <w:rFonts w:ascii="Times New Roman" w:hAnsi="Times New Roman" w:eastAsia="Times New Roman" w:cs="Times New Roman"/>
                <w:position w:val="1"/>
                <w:sz w:val="20"/>
                <w:szCs w:val="20"/>
              </w:rPr>
              <w:t>SS</w:t>
            </w:r>
            <w:r>
              <w:rPr>
                <w:rFonts w:ascii="宋体" w:hAnsi="宋体" w:eastAsia="宋体" w:cs="宋体"/>
                <w:spacing w:val="-1"/>
                <w:position w:val="1"/>
                <w:sz w:val="20"/>
                <w:szCs w:val="20"/>
              </w:rPr>
              <w:t>、氨氮</w:t>
            </w:r>
          </w:p>
        </w:tc>
      </w:tr>
      <w:tr w14:paraId="17DFB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8" w:type="dxa"/>
            <w:vMerge w:val="continue"/>
            <w:tcBorders>
              <w:top w:val="nil"/>
              <w:left w:val="nil"/>
              <w:bottom w:val="nil"/>
            </w:tcBorders>
            <w:vAlign w:val="top"/>
          </w:tcPr>
          <w:p w14:paraId="1676D285">
            <w:pPr>
              <w:rPr>
                <w:rFonts w:ascii="Arial"/>
                <w:sz w:val="21"/>
              </w:rPr>
            </w:pPr>
          </w:p>
        </w:tc>
        <w:tc>
          <w:tcPr>
            <w:tcW w:w="1710" w:type="dxa"/>
            <w:vAlign w:val="top"/>
          </w:tcPr>
          <w:p w14:paraId="139E98D5">
            <w:pPr>
              <w:spacing w:before="63" w:line="226"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质量评价因子</w:t>
            </w:r>
          </w:p>
        </w:tc>
        <w:tc>
          <w:tcPr>
            <w:tcW w:w="6173" w:type="dxa"/>
            <w:tcBorders>
              <w:right w:val="nil"/>
            </w:tcBorders>
            <w:vAlign w:val="top"/>
          </w:tcPr>
          <w:p w14:paraId="5EEF023E">
            <w:pPr>
              <w:spacing w:before="187" w:line="142" w:lineRule="exact"/>
              <w:ind w:left="2880"/>
              <w:rPr>
                <w:rFonts w:ascii="Times New Roman" w:hAnsi="Times New Roman" w:eastAsia="Times New Roman" w:cs="Times New Roman"/>
                <w:sz w:val="20"/>
                <w:szCs w:val="20"/>
              </w:rPr>
            </w:pPr>
            <w:r>
              <w:rPr>
                <w:rFonts w:ascii="Times New Roman" w:hAnsi="Times New Roman" w:eastAsia="Times New Roman" w:cs="Times New Roman"/>
                <w:spacing w:val="9"/>
                <w:position w:val="-1"/>
                <w:sz w:val="20"/>
                <w:szCs w:val="20"/>
              </w:rPr>
              <w:t>——</w:t>
            </w:r>
          </w:p>
        </w:tc>
      </w:tr>
      <w:tr w14:paraId="5E893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continue"/>
            <w:tcBorders>
              <w:top w:val="nil"/>
              <w:left w:val="nil"/>
            </w:tcBorders>
            <w:vAlign w:val="top"/>
          </w:tcPr>
          <w:p w14:paraId="39325F2B">
            <w:pPr>
              <w:rPr>
                <w:rFonts w:ascii="Arial"/>
                <w:sz w:val="21"/>
              </w:rPr>
            </w:pPr>
          </w:p>
        </w:tc>
        <w:tc>
          <w:tcPr>
            <w:tcW w:w="1710" w:type="dxa"/>
            <w:vAlign w:val="top"/>
          </w:tcPr>
          <w:p w14:paraId="68FDD5D4">
            <w:pPr>
              <w:spacing w:before="64" w:line="228"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影响预测因子</w:t>
            </w:r>
          </w:p>
        </w:tc>
        <w:tc>
          <w:tcPr>
            <w:tcW w:w="6173" w:type="dxa"/>
            <w:tcBorders>
              <w:right w:val="nil"/>
            </w:tcBorders>
            <w:vAlign w:val="top"/>
          </w:tcPr>
          <w:p w14:paraId="00A6080F">
            <w:pPr>
              <w:spacing w:before="189" w:line="142" w:lineRule="exact"/>
              <w:ind w:left="2880"/>
              <w:rPr>
                <w:rFonts w:ascii="Times New Roman" w:hAnsi="Times New Roman" w:eastAsia="Times New Roman" w:cs="Times New Roman"/>
                <w:sz w:val="20"/>
                <w:szCs w:val="20"/>
              </w:rPr>
            </w:pPr>
            <w:r>
              <w:rPr>
                <w:rFonts w:ascii="Times New Roman" w:hAnsi="Times New Roman" w:eastAsia="Times New Roman" w:cs="Times New Roman"/>
                <w:spacing w:val="9"/>
                <w:position w:val="-1"/>
                <w:sz w:val="20"/>
                <w:szCs w:val="20"/>
              </w:rPr>
              <w:t>——</w:t>
            </w:r>
          </w:p>
        </w:tc>
      </w:tr>
      <w:tr w14:paraId="7B354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restart"/>
            <w:tcBorders>
              <w:left w:val="nil"/>
              <w:bottom w:val="nil"/>
            </w:tcBorders>
            <w:vAlign w:val="top"/>
          </w:tcPr>
          <w:p w14:paraId="1F537032">
            <w:pPr>
              <w:spacing w:before="239" w:line="229" w:lineRule="auto"/>
              <w:ind w:left="131"/>
              <w:rPr>
                <w:rFonts w:ascii="宋体" w:hAnsi="宋体" w:eastAsia="宋体" w:cs="宋体"/>
                <w:sz w:val="20"/>
                <w:szCs w:val="20"/>
              </w:rPr>
            </w:pPr>
            <w:r>
              <w:rPr>
                <w:rFonts w:ascii="宋体" w:hAnsi="宋体" w:eastAsia="宋体" w:cs="宋体"/>
                <w:sz w:val="20"/>
                <w:szCs w:val="20"/>
              </w:rPr>
              <w:t>地下</w:t>
            </w:r>
          </w:p>
          <w:p w14:paraId="755E7FAC">
            <w:pPr>
              <w:spacing w:before="85" w:line="228" w:lineRule="auto"/>
              <w:ind w:left="133"/>
              <w:rPr>
                <w:rFonts w:ascii="宋体" w:hAnsi="宋体" w:eastAsia="宋体" w:cs="宋体"/>
                <w:sz w:val="20"/>
                <w:szCs w:val="20"/>
              </w:rPr>
            </w:pPr>
            <w:r>
              <w:rPr>
                <w:rFonts w:ascii="宋体" w:hAnsi="宋体" w:eastAsia="宋体" w:cs="宋体"/>
                <w:spacing w:val="-1"/>
                <w:sz w:val="20"/>
                <w:szCs w:val="20"/>
              </w:rPr>
              <w:t>水环</w:t>
            </w:r>
          </w:p>
          <w:p w14:paraId="44B80243">
            <w:pPr>
              <w:spacing w:before="87" w:line="228" w:lineRule="auto"/>
              <w:ind w:left="230"/>
              <w:rPr>
                <w:rFonts w:ascii="宋体" w:hAnsi="宋体" w:eastAsia="宋体" w:cs="宋体"/>
                <w:sz w:val="20"/>
                <w:szCs w:val="20"/>
              </w:rPr>
            </w:pPr>
            <w:r>
              <w:rPr>
                <w:rFonts w:ascii="宋体" w:hAnsi="宋体" w:eastAsia="宋体" w:cs="宋体"/>
                <w:sz w:val="20"/>
                <w:szCs w:val="20"/>
              </w:rPr>
              <w:t>境</w:t>
            </w:r>
          </w:p>
        </w:tc>
        <w:tc>
          <w:tcPr>
            <w:tcW w:w="1710" w:type="dxa"/>
            <w:vAlign w:val="top"/>
          </w:tcPr>
          <w:p w14:paraId="77DC5971">
            <w:pPr>
              <w:spacing w:before="64" w:line="228" w:lineRule="auto"/>
              <w:ind w:left="17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r>
              <w:rPr>
                <w:rFonts w:ascii="宋体" w:hAnsi="宋体" w:eastAsia="宋体" w:cs="宋体"/>
                <w:spacing w:val="-2"/>
                <w:sz w:val="20"/>
                <w:szCs w:val="20"/>
              </w:rPr>
              <w:t>源排放因子</w:t>
            </w:r>
          </w:p>
        </w:tc>
        <w:tc>
          <w:tcPr>
            <w:tcW w:w="6173" w:type="dxa"/>
            <w:tcBorders>
              <w:right w:val="nil"/>
            </w:tcBorders>
            <w:vAlign w:val="top"/>
          </w:tcPr>
          <w:p w14:paraId="5456CD3E">
            <w:pPr>
              <w:spacing w:before="64" w:line="264" w:lineRule="exact"/>
              <w:ind w:left="2068"/>
              <w:rPr>
                <w:rFonts w:ascii="宋体" w:hAnsi="宋体" w:eastAsia="宋体" w:cs="宋体"/>
                <w:sz w:val="20"/>
                <w:szCs w:val="20"/>
              </w:rPr>
            </w:pPr>
            <w:r>
              <w:rPr>
                <w:rFonts w:ascii="Times New Roman" w:hAnsi="Times New Roman" w:eastAsia="Times New Roman" w:cs="Times New Roman"/>
                <w:spacing w:val="-1"/>
                <w:position w:val="1"/>
                <w:sz w:val="20"/>
                <w:szCs w:val="20"/>
              </w:rPr>
              <w:t>COD</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BO</w:t>
            </w:r>
            <w:r>
              <w:rPr>
                <w:rFonts w:ascii="Times New Roman" w:hAnsi="Times New Roman" w:eastAsia="Times New Roman" w:cs="Times New Roman"/>
                <w:position w:val="1"/>
                <w:sz w:val="20"/>
                <w:szCs w:val="20"/>
              </w:rPr>
              <w:t>D</w:t>
            </w:r>
            <w:r>
              <w:rPr>
                <w:rFonts w:ascii="宋体" w:hAnsi="宋体" w:eastAsia="宋体" w:cs="宋体"/>
                <w:spacing w:val="-1"/>
                <w:position w:val="1"/>
                <w:sz w:val="20"/>
                <w:szCs w:val="20"/>
              </w:rPr>
              <w:t>、</w:t>
            </w:r>
            <w:r>
              <w:rPr>
                <w:rFonts w:ascii="Times New Roman" w:hAnsi="Times New Roman" w:eastAsia="Times New Roman" w:cs="Times New Roman"/>
                <w:position w:val="1"/>
                <w:sz w:val="20"/>
                <w:szCs w:val="20"/>
              </w:rPr>
              <w:t>SS</w:t>
            </w:r>
            <w:r>
              <w:rPr>
                <w:rFonts w:ascii="宋体" w:hAnsi="宋体" w:eastAsia="宋体" w:cs="宋体"/>
                <w:spacing w:val="-1"/>
                <w:position w:val="1"/>
                <w:sz w:val="20"/>
                <w:szCs w:val="20"/>
              </w:rPr>
              <w:t>、氨氮</w:t>
            </w:r>
          </w:p>
        </w:tc>
      </w:tr>
      <w:tr w14:paraId="02394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38" w:type="dxa"/>
            <w:vMerge w:val="continue"/>
            <w:tcBorders>
              <w:top w:val="nil"/>
              <w:left w:val="nil"/>
              <w:bottom w:val="nil"/>
            </w:tcBorders>
            <w:vAlign w:val="top"/>
          </w:tcPr>
          <w:p w14:paraId="593502E5">
            <w:pPr>
              <w:rPr>
                <w:rFonts w:ascii="Arial"/>
                <w:sz w:val="21"/>
              </w:rPr>
            </w:pPr>
          </w:p>
        </w:tc>
        <w:tc>
          <w:tcPr>
            <w:tcW w:w="1710" w:type="dxa"/>
            <w:vAlign w:val="top"/>
          </w:tcPr>
          <w:p w14:paraId="5B715B28">
            <w:pPr>
              <w:spacing w:before="230" w:line="226"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质量评价因子</w:t>
            </w:r>
          </w:p>
        </w:tc>
        <w:tc>
          <w:tcPr>
            <w:tcW w:w="6173" w:type="dxa"/>
            <w:tcBorders>
              <w:right w:val="nil"/>
            </w:tcBorders>
            <w:vAlign w:val="top"/>
          </w:tcPr>
          <w:p w14:paraId="0777D37B">
            <w:pPr>
              <w:spacing w:before="63" w:line="269" w:lineRule="auto"/>
              <w:ind w:left="151" w:right="29" w:hanging="95"/>
              <w:rPr>
                <w:rFonts w:ascii="宋体" w:hAnsi="宋体" w:eastAsia="宋体" w:cs="宋体"/>
                <w:sz w:val="20"/>
                <w:szCs w:val="20"/>
              </w:rPr>
            </w:pPr>
            <w:r>
              <w:rPr>
                <w:rFonts w:ascii="Times New Roman" w:hAnsi="Times New Roman" w:eastAsia="Times New Roman" w:cs="Times New Roman"/>
                <w:spacing w:val="-5"/>
                <w:sz w:val="20"/>
                <w:szCs w:val="20"/>
              </w:rPr>
              <w:t>pH</w:t>
            </w:r>
            <w:r>
              <w:rPr>
                <w:rFonts w:ascii="宋体" w:hAnsi="宋体" w:eastAsia="宋体" w:cs="宋体"/>
                <w:spacing w:val="-5"/>
                <w:sz w:val="20"/>
                <w:szCs w:val="20"/>
              </w:rPr>
              <w:t>、浑浊度、耗氧量、氨氮、总硬度、硫酸盐、硝酸盐、亚硝酸盐、氯</w:t>
            </w:r>
            <w:r>
              <w:rPr>
                <w:rFonts w:ascii="宋体" w:hAnsi="宋体" w:eastAsia="宋体" w:cs="宋体"/>
                <w:sz w:val="20"/>
                <w:szCs w:val="20"/>
              </w:rPr>
              <w:t xml:space="preserve"> </w:t>
            </w:r>
            <w:r>
              <w:rPr>
                <w:rFonts w:ascii="宋体" w:hAnsi="宋体" w:eastAsia="宋体" w:cs="宋体"/>
                <w:spacing w:val="-5"/>
                <w:sz w:val="20"/>
                <w:szCs w:val="20"/>
              </w:rPr>
              <w:t>化</w:t>
            </w:r>
            <w:r>
              <w:rPr>
                <w:rFonts w:ascii="宋体" w:hAnsi="宋体" w:eastAsia="宋体" w:cs="宋体"/>
                <w:spacing w:val="-3"/>
                <w:sz w:val="20"/>
                <w:szCs w:val="20"/>
              </w:rPr>
              <w:t>物、钾、钙、钠、镁、碳酸根、碳酸氢根、细菌总数和总大肠菌群</w:t>
            </w:r>
          </w:p>
        </w:tc>
      </w:tr>
      <w:tr w14:paraId="59442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continue"/>
            <w:tcBorders>
              <w:top w:val="nil"/>
              <w:left w:val="nil"/>
            </w:tcBorders>
            <w:vAlign w:val="top"/>
          </w:tcPr>
          <w:p w14:paraId="4F9C15C0">
            <w:pPr>
              <w:rPr>
                <w:rFonts w:ascii="Arial"/>
                <w:sz w:val="21"/>
              </w:rPr>
            </w:pPr>
          </w:p>
        </w:tc>
        <w:tc>
          <w:tcPr>
            <w:tcW w:w="1710" w:type="dxa"/>
            <w:vAlign w:val="top"/>
          </w:tcPr>
          <w:p w14:paraId="4EAC1916">
            <w:pPr>
              <w:spacing w:before="66" w:line="228"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影响预测因子</w:t>
            </w:r>
          </w:p>
        </w:tc>
        <w:tc>
          <w:tcPr>
            <w:tcW w:w="6173" w:type="dxa"/>
            <w:tcBorders>
              <w:right w:val="nil"/>
            </w:tcBorders>
            <w:vAlign w:val="top"/>
          </w:tcPr>
          <w:p w14:paraId="3A5838AD">
            <w:pPr>
              <w:spacing w:before="66" w:line="227" w:lineRule="auto"/>
              <w:ind w:left="2897"/>
              <w:rPr>
                <w:rFonts w:ascii="宋体" w:hAnsi="宋体" w:eastAsia="宋体" w:cs="宋体"/>
                <w:sz w:val="20"/>
                <w:szCs w:val="20"/>
              </w:rPr>
            </w:pPr>
            <w:r>
              <w:rPr>
                <w:rFonts w:ascii="宋体" w:hAnsi="宋体" w:eastAsia="宋体" w:cs="宋体"/>
                <w:sz w:val="20"/>
                <w:szCs w:val="20"/>
              </w:rPr>
              <w:t>氨氮</w:t>
            </w:r>
          </w:p>
        </w:tc>
      </w:tr>
      <w:tr w14:paraId="58185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restart"/>
            <w:tcBorders>
              <w:left w:val="nil"/>
              <w:bottom w:val="nil"/>
            </w:tcBorders>
            <w:vAlign w:val="top"/>
          </w:tcPr>
          <w:p w14:paraId="4A25300B">
            <w:pPr>
              <w:spacing w:before="241" w:line="320" w:lineRule="auto"/>
              <w:ind w:left="230" w:right="106" w:hanging="95"/>
              <w:rPr>
                <w:rFonts w:ascii="宋体" w:hAnsi="宋体" w:eastAsia="宋体" w:cs="宋体"/>
                <w:sz w:val="20"/>
                <w:szCs w:val="20"/>
              </w:rPr>
            </w:pPr>
            <w:r>
              <w:rPr>
                <w:rFonts w:ascii="宋体" w:hAnsi="宋体" w:eastAsia="宋体" w:cs="宋体"/>
                <w:spacing w:val="-4"/>
                <w:sz w:val="20"/>
                <w:szCs w:val="20"/>
              </w:rPr>
              <w:t>声</w:t>
            </w:r>
            <w:r>
              <w:rPr>
                <w:rFonts w:ascii="宋体" w:hAnsi="宋体" w:eastAsia="宋体" w:cs="宋体"/>
                <w:spacing w:val="-3"/>
                <w:sz w:val="20"/>
                <w:szCs w:val="20"/>
              </w:rPr>
              <w:t>环</w:t>
            </w:r>
            <w:r>
              <w:rPr>
                <w:rFonts w:ascii="宋体" w:hAnsi="宋体" w:eastAsia="宋体" w:cs="宋体"/>
                <w:sz w:val="20"/>
                <w:szCs w:val="20"/>
              </w:rPr>
              <w:t xml:space="preserve"> 境</w:t>
            </w:r>
          </w:p>
        </w:tc>
        <w:tc>
          <w:tcPr>
            <w:tcW w:w="1710" w:type="dxa"/>
            <w:vAlign w:val="top"/>
          </w:tcPr>
          <w:p w14:paraId="156AC750">
            <w:pPr>
              <w:spacing w:before="66" w:line="228" w:lineRule="auto"/>
              <w:ind w:left="17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r>
              <w:rPr>
                <w:rFonts w:ascii="宋体" w:hAnsi="宋体" w:eastAsia="宋体" w:cs="宋体"/>
                <w:spacing w:val="-2"/>
                <w:sz w:val="20"/>
                <w:szCs w:val="20"/>
              </w:rPr>
              <w:t>源排放因子</w:t>
            </w:r>
          </w:p>
        </w:tc>
        <w:tc>
          <w:tcPr>
            <w:tcW w:w="6173" w:type="dxa"/>
            <w:tcBorders>
              <w:right w:val="nil"/>
            </w:tcBorders>
            <w:vAlign w:val="top"/>
          </w:tcPr>
          <w:p w14:paraId="23D5F597">
            <w:pPr>
              <w:spacing w:before="66" w:line="228" w:lineRule="auto"/>
              <w:ind w:left="2383"/>
              <w:rPr>
                <w:rFonts w:ascii="宋体" w:hAnsi="宋体" w:eastAsia="宋体" w:cs="宋体"/>
                <w:sz w:val="20"/>
                <w:szCs w:val="20"/>
              </w:rPr>
            </w:pPr>
            <w:r>
              <w:rPr>
                <w:rFonts w:ascii="宋体" w:hAnsi="宋体" w:eastAsia="宋体" w:cs="宋体"/>
                <w:spacing w:val="6"/>
                <w:sz w:val="20"/>
                <w:szCs w:val="20"/>
              </w:rPr>
              <w:t>等</w:t>
            </w:r>
            <w:r>
              <w:rPr>
                <w:rFonts w:ascii="宋体" w:hAnsi="宋体" w:eastAsia="宋体" w:cs="宋体"/>
                <w:spacing w:val="5"/>
                <w:sz w:val="20"/>
                <w:szCs w:val="20"/>
              </w:rPr>
              <w:t>效连续</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声级</w:t>
            </w:r>
          </w:p>
        </w:tc>
      </w:tr>
      <w:tr w14:paraId="6E1DE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continue"/>
            <w:tcBorders>
              <w:top w:val="nil"/>
              <w:left w:val="nil"/>
              <w:bottom w:val="nil"/>
            </w:tcBorders>
            <w:vAlign w:val="top"/>
          </w:tcPr>
          <w:p w14:paraId="24D848C8">
            <w:pPr>
              <w:rPr>
                <w:rFonts w:ascii="Arial"/>
                <w:sz w:val="21"/>
              </w:rPr>
            </w:pPr>
          </w:p>
        </w:tc>
        <w:tc>
          <w:tcPr>
            <w:tcW w:w="1710" w:type="dxa"/>
            <w:vAlign w:val="top"/>
          </w:tcPr>
          <w:p w14:paraId="036CFE05">
            <w:pPr>
              <w:spacing w:before="64" w:line="226"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质量评价因子</w:t>
            </w:r>
          </w:p>
        </w:tc>
        <w:tc>
          <w:tcPr>
            <w:tcW w:w="6173" w:type="dxa"/>
            <w:tcBorders>
              <w:right w:val="nil"/>
            </w:tcBorders>
            <w:vAlign w:val="top"/>
          </w:tcPr>
          <w:p w14:paraId="0F71DAF1">
            <w:pPr>
              <w:spacing w:before="63" w:line="228" w:lineRule="auto"/>
              <w:ind w:left="2383"/>
              <w:rPr>
                <w:rFonts w:ascii="宋体" w:hAnsi="宋体" w:eastAsia="宋体" w:cs="宋体"/>
                <w:sz w:val="20"/>
                <w:szCs w:val="20"/>
              </w:rPr>
            </w:pPr>
            <w:r>
              <w:rPr>
                <w:rFonts w:ascii="宋体" w:hAnsi="宋体" w:eastAsia="宋体" w:cs="宋体"/>
                <w:spacing w:val="6"/>
                <w:sz w:val="20"/>
                <w:szCs w:val="20"/>
              </w:rPr>
              <w:t>等</w:t>
            </w:r>
            <w:r>
              <w:rPr>
                <w:rFonts w:ascii="宋体" w:hAnsi="宋体" w:eastAsia="宋体" w:cs="宋体"/>
                <w:spacing w:val="5"/>
                <w:sz w:val="20"/>
                <w:szCs w:val="20"/>
              </w:rPr>
              <w:t>效连续</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声级</w:t>
            </w:r>
          </w:p>
        </w:tc>
      </w:tr>
      <w:tr w14:paraId="41029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8" w:type="dxa"/>
            <w:vMerge w:val="continue"/>
            <w:tcBorders>
              <w:top w:val="nil"/>
              <w:left w:val="nil"/>
            </w:tcBorders>
            <w:vAlign w:val="top"/>
          </w:tcPr>
          <w:p w14:paraId="176D2DE6">
            <w:pPr>
              <w:rPr>
                <w:rFonts w:ascii="Arial"/>
                <w:sz w:val="21"/>
              </w:rPr>
            </w:pPr>
          </w:p>
        </w:tc>
        <w:tc>
          <w:tcPr>
            <w:tcW w:w="1710" w:type="dxa"/>
            <w:vAlign w:val="top"/>
          </w:tcPr>
          <w:p w14:paraId="4B623005">
            <w:pPr>
              <w:spacing w:before="64" w:line="228"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影响预测因子</w:t>
            </w:r>
          </w:p>
        </w:tc>
        <w:tc>
          <w:tcPr>
            <w:tcW w:w="6173" w:type="dxa"/>
            <w:tcBorders>
              <w:right w:val="nil"/>
            </w:tcBorders>
            <w:vAlign w:val="top"/>
          </w:tcPr>
          <w:p w14:paraId="2063900A">
            <w:pPr>
              <w:spacing w:before="64" w:line="228" w:lineRule="auto"/>
              <w:ind w:left="2383"/>
              <w:rPr>
                <w:rFonts w:ascii="宋体" w:hAnsi="宋体" w:eastAsia="宋体" w:cs="宋体"/>
                <w:sz w:val="20"/>
                <w:szCs w:val="20"/>
              </w:rPr>
            </w:pPr>
            <w:r>
              <w:rPr>
                <w:rFonts w:ascii="宋体" w:hAnsi="宋体" w:eastAsia="宋体" w:cs="宋体"/>
                <w:spacing w:val="6"/>
                <w:sz w:val="20"/>
                <w:szCs w:val="20"/>
              </w:rPr>
              <w:t>等</w:t>
            </w:r>
            <w:r>
              <w:rPr>
                <w:rFonts w:ascii="宋体" w:hAnsi="宋体" w:eastAsia="宋体" w:cs="宋体"/>
                <w:spacing w:val="5"/>
                <w:sz w:val="20"/>
                <w:szCs w:val="20"/>
              </w:rPr>
              <w:t>效连续</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声级</w:t>
            </w:r>
          </w:p>
        </w:tc>
      </w:tr>
      <w:tr w14:paraId="1D560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38" w:type="dxa"/>
            <w:vMerge w:val="restart"/>
            <w:tcBorders>
              <w:left w:val="nil"/>
              <w:bottom w:val="nil"/>
            </w:tcBorders>
            <w:vAlign w:val="top"/>
          </w:tcPr>
          <w:p w14:paraId="79D895A9">
            <w:pPr>
              <w:spacing w:line="335" w:lineRule="auto"/>
              <w:rPr>
                <w:rFonts w:ascii="Arial"/>
                <w:sz w:val="21"/>
              </w:rPr>
            </w:pPr>
          </w:p>
          <w:p w14:paraId="59BF83A1">
            <w:pPr>
              <w:spacing w:before="65" w:line="320" w:lineRule="auto"/>
              <w:ind w:left="130" w:right="106" w:firstLine="18"/>
              <w:rPr>
                <w:rFonts w:ascii="宋体" w:hAnsi="宋体" w:eastAsia="宋体" w:cs="宋体"/>
                <w:sz w:val="20"/>
                <w:szCs w:val="20"/>
              </w:rPr>
            </w:pPr>
            <w:r>
              <w:rPr>
                <w:rFonts w:ascii="宋体" w:hAnsi="宋体" w:eastAsia="宋体" w:cs="宋体"/>
                <w:spacing w:val="-11"/>
                <w:sz w:val="20"/>
                <w:szCs w:val="20"/>
              </w:rPr>
              <w:t>固</w:t>
            </w:r>
            <w:r>
              <w:rPr>
                <w:rFonts w:ascii="宋体" w:hAnsi="宋体" w:eastAsia="宋体" w:cs="宋体"/>
                <w:spacing w:val="-10"/>
                <w:sz w:val="20"/>
                <w:szCs w:val="20"/>
              </w:rPr>
              <w:t>体</w:t>
            </w:r>
            <w:r>
              <w:rPr>
                <w:rFonts w:ascii="宋体" w:hAnsi="宋体" w:eastAsia="宋体" w:cs="宋体"/>
                <w:sz w:val="20"/>
                <w:szCs w:val="20"/>
              </w:rPr>
              <w:t xml:space="preserve"> </w:t>
            </w:r>
            <w:r>
              <w:rPr>
                <w:rFonts w:ascii="宋体" w:hAnsi="宋体" w:eastAsia="宋体" w:cs="宋体"/>
                <w:spacing w:val="-1"/>
                <w:sz w:val="20"/>
                <w:szCs w:val="20"/>
              </w:rPr>
              <w:t>废物</w:t>
            </w:r>
          </w:p>
        </w:tc>
        <w:tc>
          <w:tcPr>
            <w:tcW w:w="1710" w:type="dxa"/>
            <w:vAlign w:val="top"/>
          </w:tcPr>
          <w:p w14:paraId="61876BD4">
            <w:pPr>
              <w:spacing w:before="230" w:line="228" w:lineRule="auto"/>
              <w:ind w:left="17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r>
              <w:rPr>
                <w:rFonts w:ascii="宋体" w:hAnsi="宋体" w:eastAsia="宋体" w:cs="宋体"/>
                <w:spacing w:val="-2"/>
                <w:sz w:val="20"/>
                <w:szCs w:val="20"/>
              </w:rPr>
              <w:t>源排放因子</w:t>
            </w:r>
          </w:p>
        </w:tc>
        <w:tc>
          <w:tcPr>
            <w:tcW w:w="6173" w:type="dxa"/>
            <w:tcBorders>
              <w:right w:val="nil"/>
            </w:tcBorders>
            <w:vAlign w:val="top"/>
          </w:tcPr>
          <w:p w14:paraId="762448BD">
            <w:pPr>
              <w:spacing w:before="64" w:line="268" w:lineRule="auto"/>
              <w:ind w:left="1475" w:right="35" w:hanging="1406"/>
              <w:rPr>
                <w:rFonts w:ascii="宋体" w:hAnsi="宋体" w:eastAsia="宋体" w:cs="宋体"/>
                <w:sz w:val="20"/>
                <w:szCs w:val="20"/>
              </w:rPr>
            </w:pPr>
            <w:r>
              <w:rPr>
                <w:rFonts w:ascii="宋体" w:hAnsi="宋体" w:eastAsia="宋体" w:cs="宋体"/>
                <w:spacing w:val="-8"/>
                <w:sz w:val="20"/>
                <w:szCs w:val="20"/>
              </w:rPr>
              <w:t>杂质</w:t>
            </w:r>
            <w:r>
              <w:rPr>
                <w:rFonts w:ascii="宋体" w:hAnsi="宋体" w:eastAsia="宋体" w:cs="宋体"/>
                <w:spacing w:val="-7"/>
                <w:sz w:val="20"/>
                <w:szCs w:val="20"/>
              </w:rPr>
              <w:t>、</w:t>
            </w:r>
            <w:r>
              <w:rPr>
                <w:rFonts w:ascii="宋体" w:hAnsi="宋体" w:eastAsia="宋体" w:cs="宋体"/>
                <w:spacing w:val="-4"/>
                <w:sz w:val="20"/>
                <w:szCs w:val="20"/>
              </w:rPr>
              <w:t>废滤网、污水沉淀池沉淀物、热风炉炉渣、除尘器收集的粉尘、</w:t>
            </w:r>
            <w:r>
              <w:rPr>
                <w:rFonts w:ascii="宋体" w:hAnsi="宋体" w:eastAsia="宋体" w:cs="宋体"/>
                <w:sz w:val="20"/>
                <w:szCs w:val="20"/>
              </w:rPr>
              <w:t xml:space="preserve"> </w:t>
            </w:r>
            <w:r>
              <w:rPr>
                <w:rFonts w:ascii="宋体" w:hAnsi="宋体" w:eastAsia="宋体" w:cs="宋体"/>
                <w:spacing w:val="1"/>
                <w:sz w:val="20"/>
                <w:szCs w:val="20"/>
              </w:rPr>
              <w:t>生活</w:t>
            </w:r>
            <w:r>
              <w:rPr>
                <w:rFonts w:ascii="宋体" w:hAnsi="宋体" w:eastAsia="宋体" w:cs="宋体"/>
                <w:sz w:val="20"/>
                <w:szCs w:val="20"/>
              </w:rPr>
              <w:t>垃圾、废</w:t>
            </w:r>
            <w:r>
              <w:rPr>
                <w:rFonts w:ascii="Times New Roman" w:hAnsi="Times New Roman" w:eastAsia="Times New Roman" w:cs="Times New Roman"/>
                <w:sz w:val="20"/>
                <w:szCs w:val="20"/>
              </w:rPr>
              <w:t xml:space="preserve">uv </w:t>
            </w:r>
            <w:r>
              <w:rPr>
                <w:rFonts w:ascii="宋体" w:hAnsi="宋体" w:eastAsia="宋体" w:cs="宋体"/>
                <w:sz w:val="20"/>
                <w:szCs w:val="20"/>
              </w:rPr>
              <w:t>光解灯管及废活性炭</w:t>
            </w:r>
          </w:p>
        </w:tc>
      </w:tr>
      <w:tr w14:paraId="67DB1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638" w:type="dxa"/>
            <w:vMerge w:val="continue"/>
            <w:tcBorders>
              <w:top w:val="nil"/>
              <w:left w:val="nil"/>
            </w:tcBorders>
            <w:vAlign w:val="top"/>
          </w:tcPr>
          <w:p w14:paraId="296FEF73">
            <w:pPr>
              <w:rPr>
                <w:rFonts w:ascii="Arial"/>
                <w:sz w:val="21"/>
              </w:rPr>
            </w:pPr>
          </w:p>
        </w:tc>
        <w:tc>
          <w:tcPr>
            <w:tcW w:w="1710" w:type="dxa"/>
            <w:vAlign w:val="top"/>
          </w:tcPr>
          <w:p w14:paraId="57352ABB">
            <w:pPr>
              <w:spacing w:before="232" w:line="228" w:lineRule="auto"/>
              <w:ind w:left="76"/>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影响预测因子</w:t>
            </w:r>
          </w:p>
        </w:tc>
        <w:tc>
          <w:tcPr>
            <w:tcW w:w="6173" w:type="dxa"/>
            <w:tcBorders>
              <w:right w:val="nil"/>
            </w:tcBorders>
            <w:vAlign w:val="top"/>
          </w:tcPr>
          <w:p w14:paraId="074A326B">
            <w:pPr>
              <w:spacing w:before="66" w:line="268" w:lineRule="auto"/>
              <w:ind w:left="1475" w:right="35" w:hanging="1406"/>
              <w:rPr>
                <w:rFonts w:ascii="宋体" w:hAnsi="宋体" w:eastAsia="宋体" w:cs="宋体"/>
                <w:sz w:val="20"/>
                <w:szCs w:val="20"/>
              </w:rPr>
            </w:pPr>
            <w:r>
              <w:rPr>
                <w:rFonts w:ascii="宋体" w:hAnsi="宋体" w:eastAsia="宋体" w:cs="宋体"/>
                <w:spacing w:val="-8"/>
                <w:sz w:val="20"/>
                <w:szCs w:val="20"/>
              </w:rPr>
              <w:t>杂质</w:t>
            </w:r>
            <w:r>
              <w:rPr>
                <w:rFonts w:ascii="宋体" w:hAnsi="宋体" w:eastAsia="宋体" w:cs="宋体"/>
                <w:spacing w:val="-7"/>
                <w:sz w:val="20"/>
                <w:szCs w:val="20"/>
              </w:rPr>
              <w:t>、</w:t>
            </w:r>
            <w:r>
              <w:rPr>
                <w:rFonts w:ascii="宋体" w:hAnsi="宋体" w:eastAsia="宋体" w:cs="宋体"/>
                <w:spacing w:val="-4"/>
                <w:sz w:val="20"/>
                <w:szCs w:val="20"/>
              </w:rPr>
              <w:t>废滤网、污水沉淀池沉淀物、热风炉炉渣、除尘器收集的粉尘、</w:t>
            </w:r>
            <w:r>
              <w:rPr>
                <w:rFonts w:ascii="宋体" w:hAnsi="宋体" w:eastAsia="宋体" w:cs="宋体"/>
                <w:sz w:val="20"/>
                <w:szCs w:val="20"/>
              </w:rPr>
              <w:t xml:space="preserve"> </w:t>
            </w:r>
            <w:r>
              <w:rPr>
                <w:rFonts w:ascii="宋体" w:hAnsi="宋体" w:eastAsia="宋体" w:cs="宋体"/>
                <w:spacing w:val="1"/>
                <w:sz w:val="20"/>
                <w:szCs w:val="20"/>
              </w:rPr>
              <w:t>生活</w:t>
            </w:r>
            <w:r>
              <w:rPr>
                <w:rFonts w:ascii="宋体" w:hAnsi="宋体" w:eastAsia="宋体" w:cs="宋体"/>
                <w:sz w:val="20"/>
                <w:szCs w:val="20"/>
              </w:rPr>
              <w:t>垃圾、废</w:t>
            </w:r>
            <w:r>
              <w:rPr>
                <w:rFonts w:ascii="Times New Roman" w:hAnsi="Times New Roman" w:eastAsia="Times New Roman" w:cs="Times New Roman"/>
                <w:sz w:val="20"/>
                <w:szCs w:val="20"/>
              </w:rPr>
              <w:t xml:space="preserve">uv </w:t>
            </w:r>
            <w:r>
              <w:rPr>
                <w:rFonts w:ascii="宋体" w:hAnsi="宋体" w:eastAsia="宋体" w:cs="宋体"/>
                <w:sz w:val="20"/>
                <w:szCs w:val="20"/>
              </w:rPr>
              <w:t>光解灯管及废活性炭</w:t>
            </w:r>
          </w:p>
        </w:tc>
      </w:tr>
    </w:tbl>
    <w:p w14:paraId="037F3AF4">
      <w:pPr>
        <w:spacing w:before="297" w:line="224" w:lineRule="auto"/>
        <w:ind w:left="58"/>
        <w:outlineLvl w:val="2"/>
        <w:rPr>
          <w:rFonts w:ascii="宋体" w:hAnsi="宋体" w:eastAsia="宋体" w:cs="宋体"/>
          <w:sz w:val="29"/>
          <w:szCs w:val="29"/>
        </w:rPr>
      </w:pPr>
      <w:r>
        <w:rPr>
          <w:rFonts w:ascii="Times New Roman" w:hAnsi="Times New Roman" w:eastAsia="Times New Roman" w:cs="Times New Roman"/>
          <w:b/>
          <w:bCs/>
          <w:spacing w:val="8"/>
          <w:sz w:val="29"/>
          <w:szCs w:val="29"/>
        </w:rPr>
        <w:t>2</w:t>
      </w:r>
      <w:r>
        <w:rPr>
          <w:rFonts w:ascii="Times New Roman" w:hAnsi="Times New Roman" w:eastAsia="Times New Roman" w:cs="Times New Roman"/>
          <w:b/>
          <w:bCs/>
          <w:spacing w:val="5"/>
          <w:sz w:val="29"/>
          <w:szCs w:val="29"/>
        </w:rPr>
        <w:t>.5.2</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评价标准</w:t>
      </w:r>
    </w:p>
    <w:p w14:paraId="202CD444">
      <w:pPr>
        <w:spacing w:before="309" w:line="221" w:lineRule="auto"/>
        <w:ind w:left="57"/>
        <w:outlineLvl w:val="3"/>
        <w:rPr>
          <w:rFonts w:ascii="宋体" w:hAnsi="宋体" w:eastAsia="宋体" w:cs="宋体"/>
          <w:sz w:val="28"/>
          <w:szCs w:val="28"/>
        </w:rPr>
      </w:pPr>
      <w:r>
        <w:rPr>
          <w:rFonts w:ascii="Times New Roman" w:hAnsi="Times New Roman" w:eastAsia="Times New Roman" w:cs="Times New Roman"/>
          <w:b/>
          <w:bCs/>
          <w:spacing w:val="-1"/>
          <w:sz w:val="28"/>
          <w:szCs w:val="28"/>
        </w:rPr>
        <w:t>2.5.2.1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环境质量标准</w:t>
      </w:r>
    </w:p>
    <w:p w14:paraId="224E3A9C">
      <w:pPr>
        <w:spacing w:line="272" w:lineRule="auto"/>
        <w:rPr>
          <w:rFonts w:ascii="Arial"/>
          <w:sz w:val="21"/>
        </w:rPr>
      </w:pPr>
    </w:p>
    <w:p w14:paraId="2FADCBC0">
      <w:pPr>
        <w:spacing w:before="75" w:line="228" w:lineRule="auto"/>
        <w:ind w:left="523"/>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1</w:t>
      </w:r>
      <w:r>
        <w:rPr>
          <w:rFonts w:ascii="宋体" w:hAnsi="宋体" w:eastAsia="宋体" w:cs="宋体"/>
          <w:spacing w:val="8"/>
          <w:sz w:val="23"/>
          <w:szCs w:val="23"/>
        </w:rPr>
        <w:t>) 环境质量标准</w:t>
      </w:r>
    </w:p>
    <w:p w14:paraId="3A48BD87">
      <w:pPr>
        <w:spacing w:line="285" w:lineRule="auto"/>
        <w:rPr>
          <w:rFonts w:ascii="Arial"/>
          <w:sz w:val="21"/>
        </w:rPr>
      </w:pPr>
    </w:p>
    <w:p w14:paraId="6B372576">
      <w:pPr>
        <w:spacing w:before="75" w:line="225" w:lineRule="auto"/>
        <w:ind w:left="510"/>
        <w:rPr>
          <w:rFonts w:ascii="宋体" w:hAnsi="宋体" w:eastAsia="宋体" w:cs="宋体"/>
          <w:sz w:val="23"/>
          <w:szCs w:val="23"/>
        </w:rPr>
      </w:pPr>
      <w:r>
        <w:rPr>
          <w:rFonts w:ascii="宋体" w:hAnsi="宋体" w:eastAsia="宋体" w:cs="宋体"/>
          <w:spacing w:val="-2"/>
          <w:sz w:val="23"/>
          <w:szCs w:val="23"/>
        </w:rPr>
        <w:t>① 环境空气质</w:t>
      </w:r>
      <w:r>
        <w:rPr>
          <w:rFonts w:ascii="宋体" w:hAnsi="宋体" w:eastAsia="宋体" w:cs="宋体"/>
          <w:spacing w:val="-1"/>
          <w:sz w:val="23"/>
          <w:szCs w:val="23"/>
        </w:rPr>
        <w:t>量标准</w:t>
      </w:r>
    </w:p>
    <w:p w14:paraId="2C2E01BB">
      <w:pPr>
        <w:spacing w:line="292" w:lineRule="auto"/>
        <w:rPr>
          <w:rFonts w:ascii="Arial"/>
          <w:sz w:val="21"/>
        </w:rPr>
      </w:pPr>
    </w:p>
    <w:p w14:paraId="034C73EC">
      <w:pPr>
        <w:spacing w:before="75" w:line="389" w:lineRule="auto"/>
        <w:ind w:left="56" w:right="106" w:firstLine="459"/>
        <w:rPr>
          <w:rFonts w:ascii="宋体" w:hAnsi="宋体" w:eastAsia="宋体" w:cs="宋体"/>
          <w:sz w:val="23"/>
          <w:szCs w:val="23"/>
        </w:rPr>
      </w:pPr>
      <w:r>
        <w:rPr>
          <w:rFonts w:ascii="宋体" w:hAnsi="宋体" w:eastAsia="宋体" w:cs="宋体"/>
          <w:spacing w:val="-7"/>
          <w:sz w:val="23"/>
          <w:szCs w:val="23"/>
        </w:rPr>
        <w:t xml:space="preserve">项目建设地区 </w:t>
      </w:r>
      <w:r>
        <w:rPr>
          <w:rFonts w:ascii="Times New Roman" w:hAnsi="Times New Roman" w:eastAsia="Times New Roman" w:cs="Times New Roman"/>
          <w:spacing w:val="-7"/>
          <w:sz w:val="23"/>
          <w:szCs w:val="23"/>
        </w:rPr>
        <w:t>PM</w:t>
      </w:r>
      <w:r>
        <w:rPr>
          <w:rFonts w:ascii="Times New Roman" w:hAnsi="Times New Roman" w:eastAsia="Times New Roman" w:cs="Times New Roman"/>
          <w:spacing w:val="-7"/>
          <w:position w:val="-1"/>
          <w:sz w:val="15"/>
          <w:szCs w:val="15"/>
        </w:rPr>
        <w:t xml:space="preserve">2.5 </w:t>
      </w:r>
      <w:r>
        <w:rPr>
          <w:rFonts w:ascii="宋体" w:hAnsi="宋体" w:eastAsia="宋体" w:cs="宋体"/>
          <w:spacing w:val="-7"/>
          <w:sz w:val="23"/>
          <w:szCs w:val="23"/>
        </w:rPr>
        <w:t>、</w:t>
      </w:r>
      <w:r>
        <w:rPr>
          <w:rFonts w:ascii="Times New Roman" w:hAnsi="Times New Roman" w:eastAsia="Times New Roman" w:cs="Times New Roman"/>
          <w:spacing w:val="-7"/>
          <w:sz w:val="23"/>
          <w:szCs w:val="23"/>
        </w:rPr>
        <w:t>PM</w:t>
      </w:r>
      <w:r>
        <w:rPr>
          <w:rFonts w:ascii="Times New Roman" w:hAnsi="Times New Roman" w:eastAsia="Times New Roman" w:cs="Times New Roman"/>
          <w:spacing w:val="-7"/>
          <w:position w:val="-1"/>
          <w:sz w:val="15"/>
          <w:szCs w:val="15"/>
        </w:rPr>
        <w:t xml:space="preserve">10 </w:t>
      </w:r>
      <w:r>
        <w:rPr>
          <w:rFonts w:ascii="宋体" w:hAnsi="宋体" w:eastAsia="宋体" w:cs="宋体"/>
          <w:spacing w:val="-7"/>
          <w:sz w:val="23"/>
          <w:szCs w:val="23"/>
        </w:rPr>
        <w:t>、</w:t>
      </w:r>
      <w:r>
        <w:rPr>
          <w:rFonts w:ascii="Times New Roman" w:hAnsi="Times New Roman" w:eastAsia="Times New Roman" w:cs="Times New Roman"/>
          <w:spacing w:val="-7"/>
          <w:sz w:val="23"/>
          <w:szCs w:val="23"/>
        </w:rPr>
        <w:t>SO</w:t>
      </w:r>
      <w:r>
        <w:rPr>
          <w:rFonts w:ascii="Times New Roman" w:hAnsi="Times New Roman" w:eastAsia="Times New Roman" w:cs="Times New Roman"/>
          <w:spacing w:val="-7"/>
          <w:position w:val="-1"/>
          <w:sz w:val="15"/>
          <w:szCs w:val="15"/>
        </w:rPr>
        <w:t>2</w:t>
      </w:r>
      <w:r>
        <w:rPr>
          <w:rFonts w:ascii="宋体" w:hAnsi="宋体" w:eastAsia="宋体" w:cs="宋体"/>
          <w:spacing w:val="-7"/>
          <w:sz w:val="23"/>
          <w:szCs w:val="23"/>
        </w:rPr>
        <w:t>、</w:t>
      </w:r>
      <w:r>
        <w:rPr>
          <w:rFonts w:ascii="Times New Roman" w:hAnsi="Times New Roman" w:eastAsia="Times New Roman" w:cs="Times New Roman"/>
          <w:spacing w:val="-7"/>
          <w:sz w:val="23"/>
          <w:szCs w:val="23"/>
        </w:rPr>
        <w:t>NO</w:t>
      </w:r>
      <w:r>
        <w:rPr>
          <w:rFonts w:ascii="Times New Roman" w:hAnsi="Times New Roman" w:eastAsia="Times New Roman" w:cs="Times New Roman"/>
          <w:spacing w:val="-7"/>
          <w:position w:val="-1"/>
          <w:sz w:val="15"/>
          <w:szCs w:val="15"/>
        </w:rPr>
        <w:t xml:space="preserve">2 </w:t>
      </w:r>
      <w:r>
        <w:rPr>
          <w:rFonts w:ascii="宋体" w:hAnsi="宋体" w:eastAsia="宋体" w:cs="宋体"/>
          <w:spacing w:val="-7"/>
          <w:sz w:val="23"/>
          <w:szCs w:val="23"/>
        </w:rPr>
        <w:t>、</w:t>
      </w:r>
      <w:r>
        <w:rPr>
          <w:rFonts w:ascii="Times New Roman" w:hAnsi="Times New Roman" w:eastAsia="Times New Roman" w:cs="Times New Roman"/>
          <w:spacing w:val="-7"/>
          <w:sz w:val="23"/>
          <w:szCs w:val="23"/>
        </w:rPr>
        <w:t>O</w:t>
      </w:r>
      <w:r>
        <w:rPr>
          <w:rFonts w:ascii="Times New Roman" w:hAnsi="Times New Roman" w:eastAsia="Times New Roman" w:cs="Times New Roman"/>
          <w:spacing w:val="-7"/>
          <w:position w:val="-1"/>
          <w:sz w:val="15"/>
          <w:szCs w:val="15"/>
        </w:rPr>
        <w:t xml:space="preserve">3 </w:t>
      </w:r>
      <w:r>
        <w:rPr>
          <w:rFonts w:ascii="宋体" w:hAnsi="宋体" w:eastAsia="宋体" w:cs="宋体"/>
          <w:spacing w:val="-7"/>
          <w:sz w:val="23"/>
          <w:szCs w:val="23"/>
        </w:rPr>
        <w:t>、</w:t>
      </w:r>
      <w:r>
        <w:rPr>
          <w:rFonts w:ascii="Times New Roman" w:hAnsi="Times New Roman" w:eastAsia="Times New Roman" w:cs="Times New Roman"/>
          <w:spacing w:val="-6"/>
          <w:sz w:val="23"/>
          <w:szCs w:val="23"/>
        </w:rPr>
        <w:t>C</w:t>
      </w:r>
      <w:r>
        <w:rPr>
          <w:rFonts w:ascii="Times New Roman" w:hAnsi="Times New Roman" w:eastAsia="Times New Roman" w:cs="Times New Roman"/>
          <w:sz w:val="23"/>
          <w:szCs w:val="23"/>
        </w:rPr>
        <w:t>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浓度值执行《环境空气质量标</w:t>
      </w:r>
      <w:r>
        <w:rPr>
          <w:rFonts w:ascii="宋体" w:hAnsi="宋体" w:eastAsia="宋体" w:cs="宋体"/>
          <w:sz w:val="23"/>
          <w:szCs w:val="23"/>
        </w:rPr>
        <w:t xml:space="preserve"> </w:t>
      </w:r>
      <w:r>
        <w:rPr>
          <w:rFonts w:ascii="宋体" w:hAnsi="宋体" w:eastAsia="宋体" w:cs="宋体"/>
          <w:spacing w:val="-12"/>
          <w:sz w:val="23"/>
          <w:szCs w:val="23"/>
        </w:rPr>
        <w:t>准</w:t>
      </w:r>
      <w:r>
        <w:rPr>
          <w:rFonts w:ascii="宋体" w:hAnsi="宋体" w:eastAsia="宋体" w:cs="宋体"/>
          <w:spacing w:val="-6"/>
          <w:sz w:val="23"/>
          <w:szCs w:val="23"/>
        </w:rPr>
        <w:t>》  (</w:t>
      </w:r>
      <w:r>
        <w:rPr>
          <w:rFonts w:ascii="Times New Roman" w:hAnsi="Times New Roman" w:eastAsia="Times New Roman" w:cs="Times New Roman"/>
          <w:spacing w:val="-6"/>
          <w:sz w:val="23"/>
          <w:szCs w:val="23"/>
        </w:rPr>
        <w:t>GB3095-2012</w:t>
      </w:r>
      <w:r>
        <w:rPr>
          <w:rFonts w:ascii="宋体" w:hAnsi="宋体" w:eastAsia="宋体" w:cs="宋体"/>
          <w:spacing w:val="-6"/>
          <w:sz w:val="23"/>
          <w:szCs w:val="23"/>
        </w:rPr>
        <w:t xml:space="preserve">) 及其修改单的公告 (生态环境部公告，公告 </w:t>
      </w:r>
      <w:r>
        <w:rPr>
          <w:rFonts w:ascii="Times New Roman" w:hAnsi="Times New Roman" w:eastAsia="Times New Roman" w:cs="Times New Roman"/>
          <w:spacing w:val="-6"/>
          <w:sz w:val="23"/>
          <w:szCs w:val="23"/>
        </w:rPr>
        <w:t xml:space="preserve">2018 </w:t>
      </w:r>
      <w:r>
        <w:rPr>
          <w:rFonts w:ascii="宋体" w:hAnsi="宋体" w:eastAsia="宋体" w:cs="宋体"/>
          <w:spacing w:val="-6"/>
          <w:sz w:val="23"/>
          <w:szCs w:val="23"/>
        </w:rPr>
        <w:t xml:space="preserve">年第 </w:t>
      </w:r>
      <w:r>
        <w:rPr>
          <w:rFonts w:ascii="Times New Roman" w:hAnsi="Times New Roman" w:eastAsia="Times New Roman" w:cs="Times New Roman"/>
          <w:spacing w:val="-6"/>
          <w:sz w:val="23"/>
          <w:szCs w:val="23"/>
        </w:rPr>
        <w:t xml:space="preserve">29 </w:t>
      </w:r>
      <w:r>
        <w:rPr>
          <w:rFonts w:ascii="宋体" w:hAnsi="宋体" w:eastAsia="宋体" w:cs="宋体"/>
          <w:spacing w:val="-6"/>
          <w:sz w:val="23"/>
          <w:szCs w:val="23"/>
        </w:rPr>
        <w:t>号，</w:t>
      </w:r>
      <w:r>
        <w:rPr>
          <w:rFonts w:ascii="宋体" w:hAnsi="宋体" w:eastAsia="宋体" w:cs="宋体"/>
          <w:sz w:val="23"/>
          <w:szCs w:val="23"/>
        </w:rPr>
        <w:t xml:space="preserve"> </w:t>
      </w:r>
      <w:r>
        <w:rPr>
          <w:rFonts w:ascii="Times New Roman" w:hAnsi="Times New Roman" w:eastAsia="Times New Roman" w:cs="Times New Roman"/>
          <w:spacing w:val="-8"/>
          <w:sz w:val="23"/>
          <w:szCs w:val="23"/>
        </w:rPr>
        <w:t xml:space="preserve">2018 </w:t>
      </w:r>
      <w:r>
        <w:rPr>
          <w:rFonts w:ascii="宋体" w:hAnsi="宋体" w:eastAsia="宋体" w:cs="宋体"/>
          <w:spacing w:val="-8"/>
          <w:sz w:val="23"/>
          <w:szCs w:val="23"/>
        </w:rPr>
        <w:t xml:space="preserve">年 </w:t>
      </w:r>
      <w:r>
        <w:rPr>
          <w:rFonts w:ascii="Times New Roman" w:hAnsi="Times New Roman" w:eastAsia="Times New Roman" w:cs="Times New Roman"/>
          <w:spacing w:val="-5"/>
          <w:sz w:val="23"/>
          <w:szCs w:val="23"/>
        </w:rPr>
        <w:t>8</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13 </w:t>
      </w:r>
      <w:r>
        <w:rPr>
          <w:rFonts w:ascii="宋体" w:hAnsi="宋体" w:eastAsia="宋体" w:cs="宋体"/>
          <w:spacing w:val="-4"/>
          <w:sz w:val="23"/>
          <w:szCs w:val="23"/>
        </w:rPr>
        <w:t>日) 中二级标准。非甲烷总烃执行《大气污染物综合排放标准详解》</w:t>
      </w:r>
      <w:r>
        <w:rPr>
          <w:rFonts w:ascii="宋体" w:hAnsi="宋体" w:eastAsia="宋体" w:cs="宋体"/>
          <w:sz w:val="23"/>
          <w:szCs w:val="23"/>
        </w:rPr>
        <w:t xml:space="preserve"> </w:t>
      </w:r>
      <w:r>
        <w:rPr>
          <w:rFonts w:ascii="宋体" w:hAnsi="宋体" w:eastAsia="宋体" w:cs="宋体"/>
          <w:spacing w:val="2"/>
          <w:sz w:val="23"/>
          <w:szCs w:val="23"/>
        </w:rPr>
        <w:t>中</w:t>
      </w:r>
      <w:r>
        <w:rPr>
          <w:rFonts w:ascii="宋体" w:hAnsi="宋体" w:eastAsia="宋体" w:cs="宋体"/>
          <w:spacing w:val="1"/>
          <w:sz w:val="23"/>
          <w:szCs w:val="23"/>
        </w:rPr>
        <w:t>浓度要求。标准详见表</w:t>
      </w:r>
      <w:r>
        <w:rPr>
          <w:rFonts w:ascii="Times New Roman" w:hAnsi="Times New Roman" w:eastAsia="Times New Roman" w:cs="Times New Roman"/>
          <w:spacing w:val="1"/>
          <w:sz w:val="23"/>
          <w:szCs w:val="23"/>
        </w:rPr>
        <w:t>2-3</w:t>
      </w:r>
      <w:r>
        <w:rPr>
          <w:rFonts w:ascii="宋体" w:hAnsi="宋体" w:eastAsia="宋体" w:cs="宋体"/>
          <w:spacing w:val="1"/>
          <w:sz w:val="23"/>
          <w:szCs w:val="23"/>
        </w:rPr>
        <w:t>。</w:t>
      </w:r>
    </w:p>
    <w:p w14:paraId="7EE8E655">
      <w:pPr>
        <w:sectPr>
          <w:headerReference r:id="rId56" w:type="default"/>
          <w:footerReference r:id="rId57" w:type="default"/>
          <w:pgSz w:w="11906" w:h="16839"/>
          <w:pgMar w:top="1132" w:right="1635" w:bottom="1156" w:left="1749" w:header="878" w:footer="996" w:gutter="0"/>
          <w:cols w:space="720" w:num="1"/>
        </w:sectPr>
      </w:pPr>
    </w:p>
    <w:p w14:paraId="4EF6A7B4">
      <w:pPr>
        <w:spacing w:line="408" w:lineRule="auto"/>
        <w:rPr>
          <w:rFonts w:ascii="Arial"/>
          <w:sz w:val="21"/>
        </w:rPr>
      </w:pPr>
      <w:r>
        <w:pict>
          <v:shape id="_x0000_s1088" o:spid="_x0000_s1088" style="position:absolute;left:0pt;margin-left:90pt;margin-top:57.35pt;height:0.75pt;width:415.3pt;mso-position-horizontal-relative:page;mso-position-vertical-relative:page;z-index:251725824;mso-width-relative:page;mso-height-relative:page;" fillcolor="#000000" filled="t" stroked="f" coordsize="8305,15" o:allowincell="f" path="m0,0l8305,0,8305,14,0,14,0,0xe">
            <v:path/>
            <v:fill on="t" focussize="0,0"/>
            <v:stroke on="f"/>
            <v:imagedata o:title=""/>
            <o:lock v:ext="edit"/>
          </v:shape>
        </w:pict>
      </w:r>
    </w:p>
    <w:p w14:paraId="1B442F0C">
      <w:pPr>
        <w:spacing w:before="75" w:line="228" w:lineRule="auto"/>
        <w:ind w:left="282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2-3</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环境空气质量标准</w:t>
      </w:r>
    </w:p>
    <w:p w14:paraId="03D980B5">
      <w:pPr>
        <w:spacing w:line="17" w:lineRule="exact"/>
      </w:pPr>
    </w:p>
    <w:tbl>
      <w:tblPr>
        <w:tblStyle w:val="4"/>
        <w:tblW w:w="8351" w:type="dxa"/>
        <w:tblInd w:w="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735"/>
        <w:gridCol w:w="1710"/>
        <w:gridCol w:w="1155"/>
        <w:gridCol w:w="3026"/>
        <w:gridCol w:w="624"/>
      </w:tblGrid>
      <w:tr w14:paraId="0DD8D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1" w:type="dxa"/>
            <w:vMerge w:val="restart"/>
            <w:tcBorders>
              <w:left w:val="nil"/>
              <w:bottom w:val="nil"/>
            </w:tcBorders>
            <w:vAlign w:val="top"/>
          </w:tcPr>
          <w:p w14:paraId="059F42E2">
            <w:pPr>
              <w:spacing w:before="258" w:line="228" w:lineRule="auto"/>
              <w:ind w:left="68"/>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污染物名</w:t>
            </w:r>
            <w:r>
              <w:rPr>
                <w:rFonts w:ascii="宋体" w:hAnsi="宋体" w:eastAsia="宋体" w:cs="宋体"/>
                <w:spacing w:val="-1"/>
                <w:sz w:val="20"/>
                <w:szCs w:val="20"/>
                <w14:textOutline w14:w="3795" w14:cap="sq" w14:cmpd="sng">
                  <w14:solidFill>
                    <w14:srgbClr w14:val="000000"/>
                  </w14:solidFill>
                  <w14:prstDash w14:val="solid"/>
                  <w14:bevel/>
                </w14:textOutline>
              </w:rPr>
              <w:t>称</w:t>
            </w:r>
          </w:p>
        </w:tc>
        <w:tc>
          <w:tcPr>
            <w:tcW w:w="3600" w:type="dxa"/>
            <w:gridSpan w:val="3"/>
            <w:vAlign w:val="top"/>
          </w:tcPr>
          <w:p w14:paraId="476E11F2">
            <w:pPr>
              <w:spacing w:before="84" w:line="228" w:lineRule="auto"/>
              <w:ind w:left="1118"/>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污染物浓度限</w:t>
            </w:r>
            <w:r>
              <w:rPr>
                <w:rFonts w:ascii="宋体" w:hAnsi="宋体" w:eastAsia="宋体" w:cs="宋体"/>
                <w:spacing w:val="-1"/>
                <w:sz w:val="20"/>
                <w:szCs w:val="20"/>
                <w14:textOutline w14:w="3795" w14:cap="sq" w14:cmpd="sng">
                  <w14:solidFill>
                    <w14:srgbClr w14:val="000000"/>
                  </w14:solidFill>
                  <w14:prstDash w14:val="solid"/>
                  <w14:bevel/>
                </w14:textOutline>
              </w:rPr>
              <w:t>值</w:t>
            </w:r>
          </w:p>
        </w:tc>
        <w:tc>
          <w:tcPr>
            <w:tcW w:w="3026" w:type="dxa"/>
            <w:vMerge w:val="restart"/>
            <w:tcBorders>
              <w:bottom w:val="nil"/>
            </w:tcBorders>
            <w:vAlign w:val="top"/>
          </w:tcPr>
          <w:p w14:paraId="7FFB0C39">
            <w:pPr>
              <w:spacing w:before="258" w:line="228" w:lineRule="auto"/>
              <w:ind w:left="1323"/>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标准</w:t>
            </w:r>
          </w:p>
        </w:tc>
        <w:tc>
          <w:tcPr>
            <w:tcW w:w="624" w:type="dxa"/>
            <w:vMerge w:val="restart"/>
            <w:tcBorders>
              <w:bottom w:val="nil"/>
              <w:right w:val="nil"/>
            </w:tcBorders>
            <w:vAlign w:val="top"/>
          </w:tcPr>
          <w:p w14:paraId="3333D3BD">
            <w:pPr>
              <w:spacing w:before="258" w:line="228" w:lineRule="auto"/>
              <w:ind w:left="12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单</w:t>
            </w:r>
            <w:r>
              <w:rPr>
                <w:rFonts w:ascii="宋体" w:hAnsi="宋体" w:eastAsia="宋体" w:cs="宋体"/>
                <w:sz w:val="20"/>
                <w:szCs w:val="20"/>
                <w14:textOutline w14:w="3795" w14:cap="sq" w14:cmpd="sng">
                  <w14:solidFill>
                    <w14:srgbClr w14:val="000000"/>
                  </w14:solidFill>
                  <w14:prstDash w14:val="solid"/>
                  <w14:bevel/>
                </w14:textOutline>
              </w:rPr>
              <w:t>位</w:t>
            </w:r>
          </w:p>
        </w:tc>
      </w:tr>
      <w:tr w14:paraId="2DFEC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1" w:type="dxa"/>
            <w:vMerge w:val="continue"/>
            <w:tcBorders>
              <w:top w:val="nil"/>
              <w:left w:val="nil"/>
            </w:tcBorders>
            <w:vAlign w:val="top"/>
          </w:tcPr>
          <w:p w14:paraId="723AB363">
            <w:pPr>
              <w:rPr>
                <w:rFonts w:ascii="Arial"/>
                <w:sz w:val="21"/>
              </w:rPr>
            </w:pPr>
          </w:p>
        </w:tc>
        <w:tc>
          <w:tcPr>
            <w:tcW w:w="735" w:type="dxa"/>
            <w:vAlign w:val="top"/>
          </w:tcPr>
          <w:p w14:paraId="55D41BFB">
            <w:pPr>
              <w:spacing w:before="61" w:line="228" w:lineRule="auto"/>
              <w:ind w:left="8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年</w:t>
            </w:r>
            <w:r>
              <w:rPr>
                <w:rFonts w:ascii="宋体" w:hAnsi="宋体" w:eastAsia="宋体" w:cs="宋体"/>
                <w:spacing w:val="-1"/>
                <w:sz w:val="20"/>
                <w:szCs w:val="20"/>
                <w14:textOutline w14:w="3795" w14:cap="sq" w14:cmpd="sng">
                  <w14:solidFill>
                    <w14:srgbClr w14:val="000000"/>
                  </w14:solidFill>
                  <w14:prstDash w14:val="solid"/>
                  <w14:bevel/>
                </w14:textOutline>
              </w:rPr>
              <w:t>平均</w:t>
            </w:r>
          </w:p>
        </w:tc>
        <w:tc>
          <w:tcPr>
            <w:tcW w:w="1710" w:type="dxa"/>
            <w:vAlign w:val="top"/>
          </w:tcPr>
          <w:p w14:paraId="1033A3B5">
            <w:pPr>
              <w:spacing w:before="61" w:line="228" w:lineRule="auto"/>
              <w:ind w:left="339"/>
              <w:rPr>
                <w:rFonts w:ascii="宋体" w:hAnsi="宋体" w:eastAsia="宋体" w:cs="宋体"/>
                <w:sz w:val="20"/>
                <w:szCs w:val="20"/>
              </w:rPr>
            </w:pPr>
            <w:r>
              <w:rPr>
                <w:rFonts w:ascii="Times New Roman" w:hAnsi="Times New Roman" w:eastAsia="Times New Roman" w:cs="Times New Roman"/>
                <w:b/>
                <w:bCs/>
                <w:spacing w:val="-1"/>
                <w:sz w:val="20"/>
                <w:szCs w:val="20"/>
              </w:rPr>
              <w:t>24</w:t>
            </w:r>
            <w:r>
              <w:rPr>
                <w:rFonts w:ascii="Times New Roman" w:hAnsi="Times New Roman" w:eastAsia="Times New Roman" w:cs="Times New Roman"/>
                <w:spacing w:val="-1"/>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小时平均</w:t>
            </w:r>
          </w:p>
        </w:tc>
        <w:tc>
          <w:tcPr>
            <w:tcW w:w="1155" w:type="dxa"/>
            <w:vAlign w:val="top"/>
          </w:tcPr>
          <w:p w14:paraId="60FC35F0">
            <w:pPr>
              <w:spacing w:before="61" w:line="228" w:lineRule="auto"/>
              <w:ind w:left="121"/>
              <w:rPr>
                <w:rFonts w:ascii="宋体" w:hAnsi="宋体" w:eastAsia="宋体" w:cs="宋体"/>
                <w:sz w:val="20"/>
                <w:szCs w:val="20"/>
              </w:rPr>
            </w:pPr>
            <w:r>
              <w:rPr>
                <w:rFonts w:ascii="Times New Roman" w:hAnsi="Times New Roman" w:eastAsia="Times New Roman" w:cs="Times New Roman"/>
                <w:b/>
                <w:bCs/>
                <w:spacing w:val="-2"/>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小时平</w:t>
            </w:r>
            <w:r>
              <w:rPr>
                <w:rFonts w:ascii="宋体" w:hAnsi="宋体" w:eastAsia="宋体" w:cs="宋体"/>
                <w:spacing w:val="-1"/>
                <w:sz w:val="20"/>
                <w:szCs w:val="20"/>
                <w14:textOutline w14:w="3795" w14:cap="sq" w14:cmpd="sng">
                  <w14:solidFill>
                    <w14:srgbClr w14:val="000000"/>
                  </w14:solidFill>
                  <w14:prstDash w14:val="solid"/>
                  <w14:bevel/>
                </w14:textOutline>
              </w:rPr>
              <w:t>均</w:t>
            </w:r>
          </w:p>
        </w:tc>
        <w:tc>
          <w:tcPr>
            <w:tcW w:w="3026" w:type="dxa"/>
            <w:vMerge w:val="continue"/>
            <w:tcBorders>
              <w:top w:val="nil"/>
            </w:tcBorders>
            <w:vAlign w:val="top"/>
          </w:tcPr>
          <w:p w14:paraId="62F71799">
            <w:pPr>
              <w:rPr>
                <w:rFonts w:ascii="Arial"/>
                <w:sz w:val="21"/>
              </w:rPr>
            </w:pPr>
          </w:p>
        </w:tc>
        <w:tc>
          <w:tcPr>
            <w:tcW w:w="624" w:type="dxa"/>
            <w:vMerge w:val="continue"/>
            <w:tcBorders>
              <w:top w:val="nil"/>
              <w:right w:val="nil"/>
            </w:tcBorders>
            <w:vAlign w:val="top"/>
          </w:tcPr>
          <w:p w14:paraId="4E48B8D6">
            <w:pPr>
              <w:rPr>
                <w:rFonts w:ascii="Arial"/>
                <w:sz w:val="21"/>
              </w:rPr>
            </w:pPr>
          </w:p>
        </w:tc>
      </w:tr>
      <w:tr w14:paraId="0B87E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1" w:type="dxa"/>
            <w:tcBorders>
              <w:left w:val="nil"/>
            </w:tcBorders>
            <w:vAlign w:val="top"/>
          </w:tcPr>
          <w:p w14:paraId="2E677F57">
            <w:pPr>
              <w:spacing w:before="100" w:line="201" w:lineRule="auto"/>
              <w:ind w:left="333"/>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position w:val="-1"/>
                <w:sz w:val="13"/>
                <w:szCs w:val="13"/>
              </w:rPr>
              <w:t>.5</w:t>
            </w:r>
          </w:p>
        </w:tc>
        <w:tc>
          <w:tcPr>
            <w:tcW w:w="735" w:type="dxa"/>
            <w:vAlign w:val="top"/>
          </w:tcPr>
          <w:p w14:paraId="5EA41661">
            <w:pPr>
              <w:spacing w:before="24"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710" w:type="dxa"/>
            <w:vAlign w:val="top"/>
          </w:tcPr>
          <w:p w14:paraId="0F9F12A1">
            <w:pPr>
              <w:spacing w:before="100" w:line="192"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5</w:t>
            </w:r>
          </w:p>
        </w:tc>
        <w:tc>
          <w:tcPr>
            <w:tcW w:w="1155" w:type="dxa"/>
            <w:vAlign w:val="top"/>
          </w:tcPr>
          <w:p w14:paraId="118D1417">
            <w:pPr>
              <w:spacing w:before="9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w:t>
            </w:r>
          </w:p>
        </w:tc>
        <w:tc>
          <w:tcPr>
            <w:tcW w:w="3026" w:type="dxa"/>
            <w:vMerge w:val="restart"/>
            <w:tcBorders>
              <w:bottom w:val="nil"/>
            </w:tcBorders>
            <w:vAlign w:val="top"/>
          </w:tcPr>
          <w:p w14:paraId="5892E413">
            <w:pPr>
              <w:spacing w:line="257" w:lineRule="auto"/>
              <w:rPr>
                <w:rFonts w:ascii="Arial"/>
                <w:sz w:val="21"/>
              </w:rPr>
            </w:pPr>
          </w:p>
          <w:p w14:paraId="482C67C6">
            <w:pPr>
              <w:spacing w:line="257" w:lineRule="auto"/>
              <w:rPr>
                <w:rFonts w:ascii="Arial"/>
                <w:sz w:val="21"/>
              </w:rPr>
            </w:pPr>
          </w:p>
          <w:p w14:paraId="745CDC76">
            <w:pPr>
              <w:spacing w:before="65" w:line="228" w:lineRule="auto"/>
              <w:ind w:left="545"/>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环境空气质量标准》</w:t>
            </w:r>
          </w:p>
          <w:p w14:paraId="3DFC7774">
            <w:pPr>
              <w:spacing w:before="46" w:line="281" w:lineRule="exact"/>
              <w:ind w:left="695"/>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GB</w:t>
            </w:r>
            <w:r>
              <w:rPr>
                <w:rFonts w:ascii="Times New Roman" w:hAnsi="Times New Roman" w:eastAsia="Times New Roman" w:cs="Times New Roman"/>
                <w:spacing w:val="-2"/>
                <w:position w:val="3"/>
                <w:sz w:val="20"/>
                <w:szCs w:val="20"/>
              </w:rPr>
              <w:t>3095-</w:t>
            </w:r>
            <w:r>
              <w:rPr>
                <w:rFonts w:ascii="Times New Roman" w:hAnsi="Times New Roman" w:eastAsia="Times New Roman" w:cs="Times New Roman"/>
                <w:spacing w:val="-1"/>
                <w:position w:val="3"/>
                <w:sz w:val="20"/>
                <w:szCs w:val="20"/>
              </w:rPr>
              <w:t>2012(</w:t>
            </w:r>
            <w:r>
              <w:rPr>
                <w:rFonts w:ascii="宋体" w:hAnsi="宋体" w:eastAsia="宋体" w:cs="宋体"/>
                <w:spacing w:val="-1"/>
                <w:position w:val="3"/>
                <w:sz w:val="20"/>
                <w:szCs w:val="20"/>
              </w:rPr>
              <w:t>二级</w:t>
            </w:r>
            <w:r>
              <w:rPr>
                <w:rFonts w:ascii="Times New Roman" w:hAnsi="Times New Roman" w:eastAsia="Times New Roman" w:cs="Times New Roman"/>
                <w:spacing w:val="-1"/>
                <w:position w:val="3"/>
                <w:sz w:val="20"/>
                <w:szCs w:val="20"/>
              </w:rPr>
              <w:t>)</w:t>
            </w:r>
          </w:p>
        </w:tc>
        <w:tc>
          <w:tcPr>
            <w:tcW w:w="624" w:type="dxa"/>
            <w:vMerge w:val="restart"/>
            <w:tcBorders>
              <w:bottom w:val="nil"/>
              <w:right w:val="nil"/>
            </w:tcBorders>
            <w:vAlign w:val="top"/>
          </w:tcPr>
          <w:p w14:paraId="192776BC">
            <w:pPr>
              <w:spacing w:line="477" w:lineRule="auto"/>
              <w:rPr>
                <w:rFonts w:ascii="Arial"/>
                <w:sz w:val="21"/>
              </w:rPr>
            </w:pPr>
          </w:p>
          <w:p w14:paraId="0FCC0BAA">
            <w:pPr>
              <w:spacing w:before="57" w:line="281" w:lineRule="exact"/>
              <w:ind w:left="86"/>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μg/</w:t>
            </w:r>
            <w:r>
              <w:rPr>
                <w:rFonts w:ascii="Times New Roman" w:hAnsi="Times New Roman" w:eastAsia="Times New Roman" w:cs="Times New Roman"/>
                <w:spacing w:val="-1"/>
                <w:position w:val="3"/>
                <w:sz w:val="20"/>
                <w:szCs w:val="20"/>
              </w:rPr>
              <w:t>m</w:t>
            </w:r>
            <w:r>
              <w:rPr>
                <w:rFonts w:ascii="Times New Roman" w:hAnsi="Times New Roman" w:eastAsia="Times New Roman" w:cs="Times New Roman"/>
                <w:spacing w:val="-2"/>
                <w:position w:val="9"/>
                <w:sz w:val="13"/>
                <w:szCs w:val="13"/>
              </w:rPr>
              <w:t>3</w:t>
            </w:r>
          </w:p>
        </w:tc>
      </w:tr>
      <w:tr w14:paraId="62C38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1" w:type="dxa"/>
            <w:tcBorders>
              <w:left w:val="nil"/>
            </w:tcBorders>
            <w:vAlign w:val="top"/>
          </w:tcPr>
          <w:p w14:paraId="2CB78FBC">
            <w:pPr>
              <w:spacing w:before="101" w:line="199" w:lineRule="auto"/>
              <w:ind w:left="348"/>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1"/>
                <w:position w:val="-1"/>
                <w:sz w:val="13"/>
                <w:szCs w:val="13"/>
              </w:rPr>
              <w:t>1</w:t>
            </w:r>
            <w:r>
              <w:rPr>
                <w:rFonts w:ascii="Times New Roman" w:hAnsi="Times New Roman" w:eastAsia="Times New Roman" w:cs="Times New Roman"/>
                <w:position w:val="-1"/>
                <w:sz w:val="13"/>
                <w:szCs w:val="13"/>
              </w:rPr>
              <w:t>0</w:t>
            </w:r>
          </w:p>
        </w:tc>
        <w:tc>
          <w:tcPr>
            <w:tcW w:w="735" w:type="dxa"/>
            <w:vAlign w:val="top"/>
          </w:tcPr>
          <w:p w14:paraId="60870017">
            <w:pPr>
              <w:spacing w:before="9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0</w:t>
            </w:r>
          </w:p>
        </w:tc>
        <w:tc>
          <w:tcPr>
            <w:tcW w:w="1710" w:type="dxa"/>
            <w:vAlign w:val="top"/>
          </w:tcPr>
          <w:p w14:paraId="5BA33727">
            <w:pPr>
              <w:spacing w:before="98"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50</w:t>
            </w:r>
          </w:p>
        </w:tc>
        <w:tc>
          <w:tcPr>
            <w:tcW w:w="1155" w:type="dxa"/>
            <w:vAlign w:val="top"/>
          </w:tcPr>
          <w:p w14:paraId="0137CAF4">
            <w:pPr>
              <w:spacing w:before="25" w:line="281"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026" w:type="dxa"/>
            <w:vMerge w:val="continue"/>
            <w:tcBorders>
              <w:top w:val="nil"/>
              <w:bottom w:val="nil"/>
            </w:tcBorders>
            <w:vAlign w:val="top"/>
          </w:tcPr>
          <w:p w14:paraId="21B0EA27">
            <w:pPr>
              <w:rPr>
                <w:rFonts w:ascii="Arial"/>
                <w:sz w:val="21"/>
              </w:rPr>
            </w:pPr>
          </w:p>
        </w:tc>
        <w:tc>
          <w:tcPr>
            <w:tcW w:w="624" w:type="dxa"/>
            <w:vMerge w:val="continue"/>
            <w:tcBorders>
              <w:top w:val="nil"/>
              <w:bottom w:val="nil"/>
              <w:right w:val="nil"/>
            </w:tcBorders>
            <w:vAlign w:val="top"/>
          </w:tcPr>
          <w:p w14:paraId="6E62BE44">
            <w:pPr>
              <w:rPr>
                <w:rFonts w:ascii="Arial"/>
                <w:sz w:val="21"/>
              </w:rPr>
            </w:pPr>
          </w:p>
        </w:tc>
      </w:tr>
      <w:tr w14:paraId="54D85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1" w:type="dxa"/>
            <w:tcBorders>
              <w:left w:val="nil"/>
            </w:tcBorders>
            <w:vAlign w:val="top"/>
          </w:tcPr>
          <w:p w14:paraId="44E9642A">
            <w:pPr>
              <w:spacing w:before="100" w:line="202" w:lineRule="auto"/>
              <w:ind w:left="405"/>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SO</w:t>
            </w:r>
            <w:r>
              <w:rPr>
                <w:rFonts w:ascii="Times New Roman" w:hAnsi="Times New Roman" w:eastAsia="Times New Roman" w:cs="Times New Roman"/>
                <w:spacing w:val="-2"/>
                <w:position w:val="-1"/>
                <w:sz w:val="13"/>
                <w:szCs w:val="13"/>
              </w:rPr>
              <w:t>2</w:t>
            </w:r>
          </w:p>
        </w:tc>
        <w:tc>
          <w:tcPr>
            <w:tcW w:w="735" w:type="dxa"/>
            <w:vAlign w:val="top"/>
          </w:tcPr>
          <w:p w14:paraId="051314E5">
            <w:pPr>
              <w:spacing w:before="9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w:t>
            </w:r>
          </w:p>
        </w:tc>
        <w:tc>
          <w:tcPr>
            <w:tcW w:w="1710" w:type="dxa"/>
            <w:vAlign w:val="top"/>
          </w:tcPr>
          <w:p w14:paraId="4ED2FF3B">
            <w:pPr>
              <w:spacing w:before="99"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50</w:t>
            </w:r>
          </w:p>
        </w:tc>
        <w:tc>
          <w:tcPr>
            <w:tcW w:w="1155" w:type="dxa"/>
            <w:vAlign w:val="top"/>
          </w:tcPr>
          <w:p w14:paraId="212D9C57">
            <w:pPr>
              <w:spacing w:before="99"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3026" w:type="dxa"/>
            <w:vMerge w:val="continue"/>
            <w:tcBorders>
              <w:top w:val="nil"/>
              <w:bottom w:val="nil"/>
            </w:tcBorders>
            <w:vAlign w:val="top"/>
          </w:tcPr>
          <w:p w14:paraId="366EED51">
            <w:pPr>
              <w:rPr>
                <w:rFonts w:ascii="Arial"/>
                <w:sz w:val="21"/>
              </w:rPr>
            </w:pPr>
          </w:p>
        </w:tc>
        <w:tc>
          <w:tcPr>
            <w:tcW w:w="624" w:type="dxa"/>
            <w:vMerge w:val="continue"/>
            <w:tcBorders>
              <w:top w:val="nil"/>
              <w:bottom w:val="nil"/>
              <w:right w:val="nil"/>
            </w:tcBorders>
            <w:vAlign w:val="top"/>
          </w:tcPr>
          <w:p w14:paraId="7BF7A8EE">
            <w:pPr>
              <w:rPr>
                <w:rFonts w:ascii="Arial"/>
                <w:sz w:val="21"/>
              </w:rPr>
            </w:pPr>
          </w:p>
        </w:tc>
      </w:tr>
      <w:tr w14:paraId="7A403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1" w:type="dxa"/>
            <w:tcBorders>
              <w:left w:val="nil"/>
            </w:tcBorders>
            <w:vAlign w:val="top"/>
          </w:tcPr>
          <w:p w14:paraId="0F1F9A0A">
            <w:pPr>
              <w:spacing w:before="101" w:line="202" w:lineRule="auto"/>
              <w:ind w:left="373"/>
              <w:rPr>
                <w:rFonts w:ascii="Times New Roman" w:hAnsi="Times New Roman" w:eastAsia="Times New Roman" w:cs="Times New Roman"/>
                <w:sz w:val="13"/>
                <w:szCs w:val="13"/>
              </w:rPr>
            </w:pPr>
            <w:r>
              <w:rPr>
                <w:rFonts w:ascii="Times New Roman" w:hAnsi="Times New Roman" w:eastAsia="Times New Roman" w:cs="Times New Roman"/>
                <w:sz w:val="20"/>
                <w:szCs w:val="20"/>
              </w:rPr>
              <w:t>NO</w:t>
            </w:r>
            <w:r>
              <w:rPr>
                <w:rFonts w:ascii="Times New Roman" w:hAnsi="Times New Roman" w:eastAsia="Times New Roman" w:cs="Times New Roman"/>
                <w:spacing w:val="13"/>
                <w:position w:val="-1"/>
                <w:sz w:val="13"/>
                <w:szCs w:val="13"/>
              </w:rPr>
              <w:t>2</w:t>
            </w:r>
          </w:p>
        </w:tc>
        <w:tc>
          <w:tcPr>
            <w:tcW w:w="735" w:type="dxa"/>
            <w:vAlign w:val="top"/>
          </w:tcPr>
          <w:p w14:paraId="1018009A">
            <w:pPr>
              <w:spacing w:before="10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0</w:t>
            </w:r>
          </w:p>
        </w:tc>
        <w:tc>
          <w:tcPr>
            <w:tcW w:w="1710" w:type="dxa"/>
            <w:vAlign w:val="top"/>
          </w:tcPr>
          <w:p w14:paraId="515870D6">
            <w:pPr>
              <w:spacing w:before="101"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3"/>
                <w:sz w:val="20"/>
                <w:szCs w:val="20"/>
              </w:rPr>
              <w:t>0</w:t>
            </w:r>
          </w:p>
        </w:tc>
        <w:tc>
          <w:tcPr>
            <w:tcW w:w="1155" w:type="dxa"/>
            <w:vAlign w:val="top"/>
          </w:tcPr>
          <w:p w14:paraId="2F396CF0">
            <w:pPr>
              <w:spacing w:before="101"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3026" w:type="dxa"/>
            <w:vMerge w:val="continue"/>
            <w:tcBorders>
              <w:top w:val="nil"/>
              <w:bottom w:val="nil"/>
            </w:tcBorders>
            <w:vAlign w:val="top"/>
          </w:tcPr>
          <w:p w14:paraId="6381DD40">
            <w:pPr>
              <w:rPr>
                <w:rFonts w:ascii="Arial"/>
                <w:sz w:val="21"/>
              </w:rPr>
            </w:pPr>
          </w:p>
        </w:tc>
        <w:tc>
          <w:tcPr>
            <w:tcW w:w="624" w:type="dxa"/>
            <w:vMerge w:val="continue"/>
            <w:tcBorders>
              <w:top w:val="nil"/>
              <w:right w:val="nil"/>
            </w:tcBorders>
            <w:vAlign w:val="top"/>
          </w:tcPr>
          <w:p w14:paraId="3C01D282">
            <w:pPr>
              <w:rPr>
                <w:rFonts w:ascii="Arial"/>
                <w:sz w:val="21"/>
              </w:rPr>
            </w:pPr>
          </w:p>
        </w:tc>
      </w:tr>
      <w:tr w14:paraId="15987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1" w:type="dxa"/>
            <w:tcBorders>
              <w:left w:val="nil"/>
            </w:tcBorders>
            <w:vAlign w:val="top"/>
          </w:tcPr>
          <w:p w14:paraId="01A97697">
            <w:pPr>
              <w:spacing w:before="101"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w:t>
            </w:r>
          </w:p>
        </w:tc>
        <w:tc>
          <w:tcPr>
            <w:tcW w:w="735" w:type="dxa"/>
            <w:vAlign w:val="top"/>
          </w:tcPr>
          <w:p w14:paraId="53411FA0">
            <w:pPr>
              <w:spacing w:before="27"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710" w:type="dxa"/>
            <w:vAlign w:val="top"/>
          </w:tcPr>
          <w:p w14:paraId="1B58975D">
            <w:pPr>
              <w:spacing w:before="101" w:line="195" w:lineRule="auto"/>
              <w:ind w:left="8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55" w:type="dxa"/>
            <w:vAlign w:val="top"/>
          </w:tcPr>
          <w:p w14:paraId="5D7E40BD">
            <w:pPr>
              <w:spacing w:before="10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0</w:t>
            </w:r>
          </w:p>
        </w:tc>
        <w:tc>
          <w:tcPr>
            <w:tcW w:w="3026" w:type="dxa"/>
            <w:tcBorders>
              <w:top w:val="nil"/>
            </w:tcBorders>
            <w:vAlign w:val="top"/>
          </w:tcPr>
          <w:p w14:paraId="5F7EB143">
            <w:pPr>
              <w:rPr>
                <w:rFonts w:ascii="Arial"/>
                <w:sz w:val="21"/>
              </w:rPr>
            </w:pPr>
          </w:p>
        </w:tc>
        <w:tc>
          <w:tcPr>
            <w:tcW w:w="624" w:type="dxa"/>
            <w:tcBorders>
              <w:right w:val="nil"/>
            </w:tcBorders>
            <w:vAlign w:val="top"/>
          </w:tcPr>
          <w:p w14:paraId="713C670E">
            <w:pPr>
              <w:spacing w:before="27" w:line="281" w:lineRule="exact"/>
              <w:ind w:left="51"/>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
                <w:position w:val="9"/>
                <w:sz w:val="13"/>
                <w:szCs w:val="13"/>
              </w:rPr>
              <w:t>3</w:t>
            </w:r>
          </w:p>
        </w:tc>
      </w:tr>
      <w:tr w14:paraId="67512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1" w:type="dxa"/>
            <w:tcBorders>
              <w:left w:val="nil"/>
            </w:tcBorders>
            <w:vAlign w:val="top"/>
          </w:tcPr>
          <w:p w14:paraId="25EEB49A">
            <w:pPr>
              <w:spacing w:before="10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NMH</w:t>
            </w:r>
            <w:r>
              <w:rPr>
                <w:rFonts w:ascii="Times New Roman" w:hAnsi="Times New Roman" w:eastAsia="Times New Roman" w:cs="Times New Roman"/>
                <w:spacing w:val="3"/>
                <w:sz w:val="20"/>
                <w:szCs w:val="20"/>
              </w:rPr>
              <w:t>C</w:t>
            </w:r>
          </w:p>
        </w:tc>
        <w:tc>
          <w:tcPr>
            <w:tcW w:w="735" w:type="dxa"/>
            <w:vAlign w:val="top"/>
          </w:tcPr>
          <w:p w14:paraId="33B2D090">
            <w:pPr>
              <w:spacing w:before="28"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710" w:type="dxa"/>
            <w:vAlign w:val="top"/>
          </w:tcPr>
          <w:p w14:paraId="6A25D4D9">
            <w:pPr>
              <w:spacing w:before="28" w:line="281" w:lineRule="exact"/>
              <w:ind w:left="8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55" w:type="dxa"/>
            <w:vAlign w:val="top"/>
          </w:tcPr>
          <w:p w14:paraId="4FAC8343">
            <w:pPr>
              <w:spacing w:before="101" w:line="195" w:lineRule="auto"/>
              <w:ind w:left="53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26" w:type="dxa"/>
            <w:vAlign w:val="top"/>
          </w:tcPr>
          <w:p w14:paraId="69668575">
            <w:pPr>
              <w:spacing w:before="66" w:line="228" w:lineRule="auto"/>
              <w:ind w:left="39"/>
              <w:rPr>
                <w:rFonts w:ascii="Times New Roman" w:hAnsi="Times New Roman" w:eastAsia="Times New Roman" w:cs="Times New Roman"/>
                <w:sz w:val="20"/>
                <w:szCs w:val="20"/>
              </w:rPr>
            </w:pPr>
            <w:r>
              <w:rPr>
                <w:rFonts w:ascii="宋体" w:hAnsi="宋体" w:eastAsia="宋体" w:cs="宋体"/>
                <w:spacing w:val="-8"/>
                <w:sz w:val="20"/>
                <w:szCs w:val="20"/>
              </w:rPr>
              <w:t>《大气污染物综合排放标准详解》</w:t>
            </w:r>
            <w:r>
              <w:rPr>
                <w:rFonts w:ascii="Times New Roman" w:hAnsi="Times New Roman" w:eastAsia="Times New Roman" w:cs="Times New Roman"/>
                <w:spacing w:val="-7"/>
                <w:sz w:val="20"/>
                <w:szCs w:val="20"/>
              </w:rPr>
              <w:t>*</w:t>
            </w:r>
          </w:p>
        </w:tc>
        <w:tc>
          <w:tcPr>
            <w:tcW w:w="624" w:type="dxa"/>
            <w:tcBorders>
              <w:right w:val="nil"/>
            </w:tcBorders>
            <w:vAlign w:val="top"/>
          </w:tcPr>
          <w:p w14:paraId="1BCA1AC6">
            <w:pPr>
              <w:spacing w:before="28" w:line="281" w:lineRule="exact"/>
              <w:ind w:left="51"/>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
                <w:position w:val="9"/>
                <w:sz w:val="13"/>
                <w:szCs w:val="13"/>
              </w:rPr>
              <w:t>3</w:t>
            </w:r>
          </w:p>
        </w:tc>
      </w:tr>
      <w:tr w14:paraId="2EB84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1" w:type="dxa"/>
            <w:tcBorders>
              <w:left w:val="nil"/>
            </w:tcBorders>
            <w:vAlign w:val="top"/>
          </w:tcPr>
          <w:p w14:paraId="2719469D">
            <w:pPr>
              <w:spacing w:before="67" w:line="228" w:lineRule="auto"/>
              <w:ind w:left="68"/>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污染物名</w:t>
            </w:r>
            <w:r>
              <w:rPr>
                <w:rFonts w:ascii="宋体" w:hAnsi="宋体" w:eastAsia="宋体" w:cs="宋体"/>
                <w:spacing w:val="-1"/>
                <w:sz w:val="20"/>
                <w:szCs w:val="20"/>
                <w14:textOutline w14:w="3795" w14:cap="sq" w14:cmpd="sng">
                  <w14:solidFill>
                    <w14:srgbClr w14:val="000000"/>
                  </w14:solidFill>
                  <w14:prstDash w14:val="solid"/>
                  <w14:bevel/>
                </w14:textOutline>
              </w:rPr>
              <w:t>称</w:t>
            </w:r>
          </w:p>
        </w:tc>
        <w:tc>
          <w:tcPr>
            <w:tcW w:w="735" w:type="dxa"/>
            <w:vAlign w:val="top"/>
          </w:tcPr>
          <w:p w14:paraId="3BA6ACB9">
            <w:pPr>
              <w:spacing w:before="66" w:line="228" w:lineRule="auto"/>
              <w:ind w:left="8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年</w:t>
            </w:r>
            <w:r>
              <w:rPr>
                <w:rFonts w:ascii="宋体" w:hAnsi="宋体" w:eastAsia="宋体" w:cs="宋体"/>
                <w:spacing w:val="-1"/>
                <w:sz w:val="20"/>
                <w:szCs w:val="20"/>
                <w14:textOutline w14:w="3795" w14:cap="sq" w14:cmpd="sng">
                  <w14:solidFill>
                    <w14:srgbClr w14:val="000000"/>
                  </w14:solidFill>
                  <w14:prstDash w14:val="solid"/>
                  <w14:bevel/>
                </w14:textOutline>
              </w:rPr>
              <w:t>平均</w:t>
            </w:r>
          </w:p>
        </w:tc>
        <w:tc>
          <w:tcPr>
            <w:tcW w:w="1710" w:type="dxa"/>
            <w:vAlign w:val="top"/>
          </w:tcPr>
          <w:p w14:paraId="70225D76">
            <w:pPr>
              <w:spacing w:before="66" w:line="228" w:lineRule="auto"/>
              <w:ind w:left="10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日</w:t>
            </w:r>
            <w:r>
              <w:rPr>
                <w:rFonts w:ascii="宋体" w:hAnsi="宋体" w:eastAsia="宋体" w:cs="宋体"/>
                <w:spacing w:val="-9"/>
                <w:sz w:val="20"/>
                <w:szCs w:val="20"/>
                <w14:textOutline w14:w="3795" w14:cap="sq" w14:cmpd="sng">
                  <w14:solidFill>
                    <w14:srgbClr w14:val="000000"/>
                  </w14:solidFill>
                  <w14:prstDash w14:val="solid"/>
                  <w14:bevel/>
                </w14:textOutline>
              </w:rPr>
              <w:t>最大</w:t>
            </w:r>
            <w:r>
              <w:rPr>
                <w:rFonts w:ascii="宋体" w:hAnsi="宋体" w:eastAsia="宋体" w:cs="宋体"/>
                <w:spacing w:val="-9"/>
                <w:sz w:val="20"/>
                <w:szCs w:val="20"/>
              </w:rPr>
              <w:t xml:space="preserve"> </w:t>
            </w:r>
            <w:r>
              <w:rPr>
                <w:rFonts w:ascii="Times New Roman" w:hAnsi="Times New Roman" w:eastAsia="Times New Roman" w:cs="Times New Roman"/>
                <w:b/>
                <w:bCs/>
                <w:spacing w:val="-9"/>
                <w:sz w:val="20"/>
                <w:szCs w:val="20"/>
              </w:rPr>
              <w:t>8</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小时平均</w:t>
            </w:r>
          </w:p>
        </w:tc>
        <w:tc>
          <w:tcPr>
            <w:tcW w:w="1155" w:type="dxa"/>
            <w:vAlign w:val="top"/>
          </w:tcPr>
          <w:p w14:paraId="4A64D851">
            <w:pPr>
              <w:spacing w:before="67" w:line="228" w:lineRule="auto"/>
              <w:ind w:left="121"/>
              <w:rPr>
                <w:rFonts w:ascii="宋体" w:hAnsi="宋体" w:eastAsia="宋体" w:cs="宋体"/>
                <w:sz w:val="20"/>
                <w:szCs w:val="20"/>
              </w:rPr>
            </w:pPr>
            <w:r>
              <w:rPr>
                <w:rFonts w:ascii="Times New Roman" w:hAnsi="Times New Roman" w:eastAsia="Times New Roman" w:cs="Times New Roman"/>
                <w:b/>
                <w:bCs/>
                <w:spacing w:val="-2"/>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小时平</w:t>
            </w:r>
            <w:r>
              <w:rPr>
                <w:rFonts w:ascii="宋体" w:hAnsi="宋体" w:eastAsia="宋体" w:cs="宋体"/>
                <w:spacing w:val="-1"/>
                <w:sz w:val="20"/>
                <w:szCs w:val="20"/>
                <w14:textOutline w14:w="3795" w14:cap="sq" w14:cmpd="sng">
                  <w14:solidFill>
                    <w14:srgbClr w14:val="000000"/>
                  </w14:solidFill>
                  <w14:prstDash w14:val="solid"/>
                  <w14:bevel/>
                </w14:textOutline>
              </w:rPr>
              <w:t>均</w:t>
            </w:r>
          </w:p>
        </w:tc>
        <w:tc>
          <w:tcPr>
            <w:tcW w:w="3026" w:type="dxa"/>
            <w:vAlign w:val="top"/>
          </w:tcPr>
          <w:p w14:paraId="1D8CD6A6">
            <w:pPr>
              <w:spacing w:before="67" w:line="228" w:lineRule="auto"/>
              <w:ind w:left="1323"/>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标准</w:t>
            </w:r>
          </w:p>
        </w:tc>
        <w:tc>
          <w:tcPr>
            <w:tcW w:w="624" w:type="dxa"/>
            <w:tcBorders>
              <w:right w:val="nil"/>
            </w:tcBorders>
            <w:vAlign w:val="top"/>
          </w:tcPr>
          <w:p w14:paraId="608FDF68">
            <w:pPr>
              <w:spacing w:before="67" w:line="228" w:lineRule="auto"/>
              <w:ind w:left="12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单</w:t>
            </w:r>
            <w:r>
              <w:rPr>
                <w:rFonts w:ascii="宋体" w:hAnsi="宋体" w:eastAsia="宋体" w:cs="宋体"/>
                <w:sz w:val="20"/>
                <w:szCs w:val="20"/>
                <w14:textOutline w14:w="3795" w14:cap="sq" w14:cmpd="sng">
                  <w14:solidFill>
                    <w14:srgbClr w14:val="000000"/>
                  </w14:solidFill>
                  <w14:prstDash w14:val="solid"/>
                  <w14:bevel/>
                </w14:textOutline>
              </w:rPr>
              <w:t>位</w:t>
            </w:r>
          </w:p>
        </w:tc>
      </w:tr>
      <w:tr w14:paraId="7A45C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101" w:type="dxa"/>
            <w:tcBorders>
              <w:left w:val="nil"/>
            </w:tcBorders>
            <w:vAlign w:val="top"/>
          </w:tcPr>
          <w:p w14:paraId="3884AFCE">
            <w:pPr>
              <w:spacing w:before="268" w:line="202" w:lineRule="auto"/>
              <w:ind w:left="455"/>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spacing w:val="-1"/>
                <w:position w:val="-1"/>
                <w:sz w:val="13"/>
                <w:szCs w:val="13"/>
              </w:rPr>
              <w:t>3</w:t>
            </w:r>
          </w:p>
        </w:tc>
        <w:tc>
          <w:tcPr>
            <w:tcW w:w="735" w:type="dxa"/>
            <w:vAlign w:val="top"/>
          </w:tcPr>
          <w:p w14:paraId="0A6E25D3">
            <w:pPr>
              <w:spacing w:before="195" w:line="281"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710" w:type="dxa"/>
            <w:vAlign w:val="top"/>
          </w:tcPr>
          <w:p w14:paraId="7F12BEC7">
            <w:pPr>
              <w:spacing w:before="268"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60</w:t>
            </w:r>
          </w:p>
        </w:tc>
        <w:tc>
          <w:tcPr>
            <w:tcW w:w="1155" w:type="dxa"/>
            <w:vAlign w:val="top"/>
          </w:tcPr>
          <w:p w14:paraId="39DB8AC1">
            <w:pPr>
              <w:spacing w:before="268"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3026" w:type="dxa"/>
            <w:vAlign w:val="top"/>
          </w:tcPr>
          <w:p w14:paraId="37BE8253">
            <w:pPr>
              <w:spacing w:before="67" w:line="228" w:lineRule="auto"/>
              <w:ind w:left="545"/>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环境空气质量标准》</w:t>
            </w:r>
          </w:p>
          <w:p w14:paraId="147EACC4">
            <w:pPr>
              <w:spacing w:before="46" w:line="281" w:lineRule="exact"/>
              <w:ind w:left="695"/>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GB</w:t>
            </w:r>
            <w:r>
              <w:rPr>
                <w:rFonts w:ascii="Times New Roman" w:hAnsi="Times New Roman" w:eastAsia="Times New Roman" w:cs="Times New Roman"/>
                <w:spacing w:val="-2"/>
                <w:position w:val="3"/>
                <w:sz w:val="20"/>
                <w:szCs w:val="20"/>
              </w:rPr>
              <w:t>3095-</w:t>
            </w:r>
            <w:r>
              <w:rPr>
                <w:rFonts w:ascii="Times New Roman" w:hAnsi="Times New Roman" w:eastAsia="Times New Roman" w:cs="Times New Roman"/>
                <w:spacing w:val="-1"/>
                <w:position w:val="3"/>
                <w:sz w:val="20"/>
                <w:szCs w:val="20"/>
              </w:rPr>
              <w:t>2012(</w:t>
            </w:r>
            <w:r>
              <w:rPr>
                <w:rFonts w:ascii="宋体" w:hAnsi="宋体" w:eastAsia="宋体" w:cs="宋体"/>
                <w:spacing w:val="-1"/>
                <w:position w:val="3"/>
                <w:sz w:val="20"/>
                <w:szCs w:val="20"/>
              </w:rPr>
              <w:t>二级</w:t>
            </w:r>
            <w:r>
              <w:rPr>
                <w:rFonts w:ascii="Times New Roman" w:hAnsi="Times New Roman" w:eastAsia="Times New Roman" w:cs="Times New Roman"/>
                <w:spacing w:val="-1"/>
                <w:position w:val="3"/>
                <w:sz w:val="20"/>
                <w:szCs w:val="20"/>
              </w:rPr>
              <w:t>)</w:t>
            </w:r>
          </w:p>
        </w:tc>
        <w:tc>
          <w:tcPr>
            <w:tcW w:w="624" w:type="dxa"/>
            <w:tcBorders>
              <w:right w:val="nil"/>
            </w:tcBorders>
            <w:vAlign w:val="top"/>
          </w:tcPr>
          <w:p w14:paraId="3F50FB28">
            <w:pPr>
              <w:spacing w:before="195" w:line="281" w:lineRule="exact"/>
              <w:ind w:left="86"/>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μg/</w:t>
            </w:r>
            <w:r>
              <w:rPr>
                <w:rFonts w:ascii="Times New Roman" w:hAnsi="Times New Roman" w:eastAsia="Times New Roman" w:cs="Times New Roman"/>
                <w:spacing w:val="-1"/>
                <w:position w:val="3"/>
                <w:sz w:val="20"/>
                <w:szCs w:val="20"/>
              </w:rPr>
              <w:t>m</w:t>
            </w:r>
            <w:r>
              <w:rPr>
                <w:rFonts w:ascii="Times New Roman" w:hAnsi="Times New Roman" w:eastAsia="Times New Roman" w:cs="Times New Roman"/>
                <w:spacing w:val="-2"/>
                <w:position w:val="9"/>
                <w:sz w:val="13"/>
                <w:szCs w:val="13"/>
              </w:rPr>
              <w:t>3</w:t>
            </w:r>
          </w:p>
        </w:tc>
      </w:tr>
    </w:tbl>
    <w:p w14:paraId="0133F32D">
      <w:pPr>
        <w:spacing w:before="78" w:line="355" w:lineRule="auto"/>
        <w:ind w:left="120" w:right="119"/>
        <w:rPr>
          <w:rFonts w:ascii="Times New Roman" w:hAnsi="Times New Roman" w:eastAsia="Times New Roman" w:cs="Times New Roman"/>
          <w:sz w:val="17"/>
          <w:szCs w:val="17"/>
        </w:rPr>
      </w:pPr>
      <w:r>
        <w:rPr>
          <w:rFonts w:ascii="宋体" w:hAnsi="宋体" w:eastAsia="宋体" w:cs="宋体"/>
          <w:spacing w:val="-1"/>
          <w:sz w:val="17"/>
          <w:szCs w:val="17"/>
          <w14:textOutline w14:w="3268" w14:cap="sq" w14:cmpd="sng">
            <w14:solidFill>
              <w14:srgbClr w14:val="000000"/>
            </w14:solidFill>
            <w14:prstDash w14:val="solid"/>
            <w14:bevel/>
          </w14:textOutline>
        </w:rPr>
        <w:t>注：</w:t>
      </w:r>
      <w:r>
        <w:rPr>
          <w:rFonts w:ascii="Times New Roman" w:hAnsi="Times New Roman" w:eastAsia="Times New Roman" w:cs="Times New Roman"/>
          <w:b/>
          <w:bCs/>
          <w:spacing w:val="-1"/>
          <w:sz w:val="17"/>
          <w:szCs w:val="17"/>
        </w:rPr>
        <w:t>“*”</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14:textOutline w14:w="3268" w14:cap="sq" w14:cmpd="sng">
            <w14:solidFill>
              <w14:srgbClr w14:val="000000"/>
            </w14:solidFill>
            <w14:prstDash w14:val="solid"/>
            <w14:bevel/>
          </w14:textOutline>
        </w:rPr>
        <w:t>由于我国目前没有</w:t>
      </w:r>
      <w:r>
        <w:rPr>
          <w:rFonts w:ascii="Times New Roman" w:hAnsi="Times New Roman" w:eastAsia="Times New Roman" w:cs="Times New Roman"/>
          <w:b/>
          <w:bCs/>
          <w:spacing w:val="-1"/>
          <w:sz w:val="17"/>
          <w:szCs w:val="17"/>
        </w:rPr>
        <w:t>“</w:t>
      </w:r>
      <w:r>
        <w:rPr>
          <w:rFonts w:ascii="宋体" w:hAnsi="宋体" w:eastAsia="宋体" w:cs="宋体"/>
          <w:spacing w:val="-1"/>
          <w:sz w:val="17"/>
          <w:szCs w:val="17"/>
          <w14:textOutline w14:w="3268" w14:cap="sq" w14:cmpd="sng">
            <w14:solidFill>
              <w14:srgbClr w14:val="000000"/>
            </w14:solidFill>
            <w14:prstDash w14:val="solid"/>
            <w14:bevel/>
          </w14:textOutline>
        </w:rPr>
        <w:t>非甲烷总烃</w:t>
      </w:r>
      <w:r>
        <w:rPr>
          <w:rFonts w:ascii="Times New Roman" w:hAnsi="Times New Roman" w:eastAsia="Times New Roman" w:cs="Times New Roman"/>
          <w:b/>
          <w:bCs/>
          <w:spacing w:val="-1"/>
          <w:sz w:val="17"/>
          <w:szCs w:val="17"/>
        </w:rPr>
        <w:t>”</w:t>
      </w:r>
      <w:r>
        <w:rPr>
          <w:rFonts w:ascii="宋体" w:hAnsi="宋体" w:eastAsia="宋体" w:cs="宋体"/>
          <w:spacing w:val="-1"/>
          <w:sz w:val="17"/>
          <w:szCs w:val="17"/>
          <w14:textOutline w14:w="3268" w14:cap="sq" w14:cmpd="sng">
            <w14:solidFill>
              <w14:srgbClr w14:val="000000"/>
            </w14:solidFill>
            <w14:prstDash w14:val="solid"/>
            <w14:bevel/>
          </w14:textOutline>
        </w:rPr>
        <w:t>的环境质量标准，美国的同类标准已</w:t>
      </w:r>
      <w:r>
        <w:rPr>
          <w:rFonts w:ascii="宋体" w:hAnsi="宋体" w:eastAsia="宋体" w:cs="宋体"/>
          <w:sz w:val="17"/>
          <w:szCs w:val="17"/>
          <w14:textOutline w14:w="3268" w14:cap="sq" w14:cmpd="sng">
            <w14:solidFill>
              <w14:srgbClr w14:val="000000"/>
            </w14:solidFill>
            <w14:prstDash w14:val="solid"/>
            <w14:bevel/>
          </w14:textOutline>
        </w:rPr>
        <w:t>废除，故我国石化部门和若干地区</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通常</w:t>
      </w:r>
      <w:r>
        <w:rPr>
          <w:rFonts w:ascii="宋体" w:hAnsi="宋体" w:eastAsia="宋体" w:cs="宋体"/>
          <w:spacing w:val="-4"/>
          <w:sz w:val="17"/>
          <w:szCs w:val="17"/>
          <w14:textOutline w14:w="3268" w14:cap="sq" w14:cmpd="sng">
            <w14:solidFill>
              <w14:srgbClr w14:val="000000"/>
            </w14:solidFill>
            <w14:prstDash w14:val="solid"/>
            <w14:bevel/>
          </w14:textOutline>
        </w:rPr>
        <w:t>采</w:t>
      </w:r>
      <w:r>
        <w:rPr>
          <w:rFonts w:ascii="宋体" w:hAnsi="宋体" w:eastAsia="宋体" w:cs="宋体"/>
          <w:spacing w:val="-3"/>
          <w:sz w:val="17"/>
          <w:szCs w:val="17"/>
          <w14:textOutline w14:w="3268" w14:cap="sq" w14:cmpd="sng">
            <w14:solidFill>
              <w14:srgbClr w14:val="000000"/>
            </w14:solidFill>
            <w14:prstDash w14:val="solid"/>
            <w14:bevel/>
          </w14:textOutline>
        </w:rPr>
        <w:t>用以色列同类标准的短期平均值，为</w:t>
      </w:r>
      <w:r>
        <w:rPr>
          <w:rFonts w:ascii="宋体" w:hAnsi="宋体" w:eastAsia="宋体" w:cs="宋体"/>
          <w:spacing w:val="-3"/>
          <w:sz w:val="17"/>
          <w:szCs w:val="17"/>
        </w:rPr>
        <w:t xml:space="preserve"> </w:t>
      </w:r>
      <w:r>
        <w:rPr>
          <w:rFonts w:ascii="Times New Roman" w:hAnsi="Times New Roman" w:eastAsia="Times New Roman" w:cs="Times New Roman"/>
          <w:b/>
          <w:bCs/>
          <w:spacing w:val="-3"/>
          <w:sz w:val="17"/>
          <w:szCs w:val="17"/>
        </w:rPr>
        <w:t>5mg/m</w:t>
      </w:r>
      <w:r>
        <w:rPr>
          <w:rFonts w:ascii="Times New Roman" w:hAnsi="Times New Roman" w:eastAsia="Times New Roman" w:cs="Times New Roman"/>
          <w:b/>
          <w:bCs/>
          <w:spacing w:val="-3"/>
          <w:position w:val="6"/>
          <w:sz w:val="11"/>
          <w:szCs w:val="11"/>
        </w:rPr>
        <w:t>3</w:t>
      </w:r>
      <w:r>
        <w:rPr>
          <w:rFonts w:ascii="宋体" w:hAnsi="宋体" w:eastAsia="宋体" w:cs="宋体"/>
          <w:spacing w:val="-3"/>
          <w:sz w:val="17"/>
          <w:szCs w:val="17"/>
          <w14:textOutline w14:w="3268" w14:cap="sq" w14:cmpd="sng">
            <w14:solidFill>
              <w14:srgbClr w14:val="000000"/>
            </w14:solidFill>
            <w14:prstDash w14:val="solid"/>
            <w14:bevel/>
          </w14:textOutline>
        </w:rPr>
        <w:t>。但考虑到我国多数地区的实测值，</w:t>
      </w:r>
      <w:r>
        <w:rPr>
          <w:rFonts w:ascii="Times New Roman" w:hAnsi="Times New Roman" w:eastAsia="Times New Roman" w:cs="Times New Roman"/>
          <w:b/>
          <w:bCs/>
          <w:spacing w:val="-3"/>
          <w:sz w:val="17"/>
          <w:szCs w:val="17"/>
        </w:rPr>
        <w:t>“</w:t>
      </w:r>
      <w:r>
        <w:rPr>
          <w:rFonts w:ascii="宋体" w:hAnsi="宋体" w:eastAsia="宋体" w:cs="宋体"/>
          <w:spacing w:val="-3"/>
          <w:sz w:val="17"/>
          <w:szCs w:val="17"/>
          <w14:textOutline w14:w="3268" w14:cap="sq" w14:cmpd="sng">
            <w14:solidFill>
              <w14:srgbClr w14:val="000000"/>
            </w14:solidFill>
            <w14:prstDash w14:val="solid"/>
            <w14:bevel/>
          </w14:textOutline>
        </w:rPr>
        <w:t>非甲烷总烃</w:t>
      </w:r>
      <w:r>
        <w:rPr>
          <w:rFonts w:ascii="Times New Roman" w:hAnsi="Times New Roman" w:eastAsia="Times New Roman" w:cs="Times New Roman"/>
          <w:b/>
          <w:bCs/>
          <w:spacing w:val="-3"/>
          <w:sz w:val="17"/>
          <w:szCs w:val="17"/>
        </w:rPr>
        <w:t>”</w:t>
      </w:r>
      <w:r>
        <w:rPr>
          <w:rFonts w:ascii="宋体" w:hAnsi="宋体" w:eastAsia="宋体" w:cs="宋体"/>
          <w:spacing w:val="-3"/>
          <w:sz w:val="17"/>
          <w:szCs w:val="17"/>
          <w14:textOutline w14:w="3268" w14:cap="sq" w14:cmpd="sng">
            <w14:solidFill>
              <w14:srgbClr w14:val="000000"/>
            </w14:solidFill>
            <w14:prstDash w14:val="solid"/>
            <w14:bevel/>
          </w14:textOutline>
        </w:rPr>
        <w:t>的环境浓度</w:t>
      </w:r>
      <w:r>
        <w:rPr>
          <w:rFonts w:ascii="宋体" w:hAnsi="宋体" w:eastAsia="宋体" w:cs="宋体"/>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一般不超过</w:t>
      </w:r>
      <w:r>
        <w:rPr>
          <w:rFonts w:ascii="宋体" w:hAnsi="宋体" w:eastAsia="宋体" w:cs="宋体"/>
          <w:spacing w:val="-4"/>
          <w:sz w:val="17"/>
          <w:szCs w:val="17"/>
        </w:rPr>
        <w:t xml:space="preserve"> </w:t>
      </w:r>
      <w:r>
        <w:rPr>
          <w:rFonts w:ascii="Times New Roman" w:hAnsi="Times New Roman" w:eastAsia="Times New Roman" w:cs="Times New Roman"/>
          <w:b/>
          <w:bCs/>
          <w:spacing w:val="-4"/>
          <w:sz w:val="17"/>
          <w:szCs w:val="17"/>
        </w:rPr>
        <w:t>1.0</w:t>
      </w:r>
      <w:r>
        <w:rPr>
          <w:rFonts w:ascii="Times New Roman" w:hAnsi="Times New Roman" w:eastAsia="Times New Roman" w:cs="Times New Roman"/>
          <w:b/>
          <w:bCs/>
          <w:spacing w:val="-2"/>
          <w:sz w:val="17"/>
          <w:szCs w:val="17"/>
        </w:rPr>
        <w:t>mg</w:t>
      </w:r>
      <w:r>
        <w:rPr>
          <w:rFonts w:ascii="Times New Roman" w:hAnsi="Times New Roman" w:eastAsia="Times New Roman" w:cs="Times New Roman"/>
          <w:b/>
          <w:bCs/>
          <w:spacing w:val="-4"/>
          <w:sz w:val="17"/>
          <w:szCs w:val="17"/>
        </w:rPr>
        <w:t>/</w:t>
      </w:r>
      <w:r>
        <w:rPr>
          <w:rFonts w:ascii="Times New Roman" w:hAnsi="Times New Roman" w:eastAsia="Times New Roman" w:cs="Times New Roman"/>
          <w:b/>
          <w:bCs/>
          <w:spacing w:val="-2"/>
          <w:sz w:val="17"/>
          <w:szCs w:val="17"/>
        </w:rPr>
        <w:t>m</w:t>
      </w:r>
      <w:r>
        <w:rPr>
          <w:rFonts w:ascii="Times New Roman" w:hAnsi="Times New Roman" w:eastAsia="Times New Roman" w:cs="Times New Roman"/>
          <w:b/>
          <w:bCs/>
          <w:spacing w:val="-4"/>
          <w:position w:val="5"/>
          <w:sz w:val="11"/>
          <w:szCs w:val="11"/>
        </w:rPr>
        <w:t>3</w:t>
      </w:r>
      <w:r>
        <w:rPr>
          <w:rFonts w:ascii="Times New Roman" w:hAnsi="Times New Roman" w:eastAsia="Times New Roman" w:cs="Times New Roman"/>
          <w:spacing w:val="-4"/>
          <w:position w:val="5"/>
          <w:sz w:val="11"/>
          <w:szCs w:val="11"/>
        </w:rPr>
        <w:t xml:space="preserve"> </w:t>
      </w:r>
      <w:r>
        <w:rPr>
          <w:rFonts w:ascii="宋体" w:hAnsi="宋体" w:eastAsia="宋体" w:cs="宋体"/>
          <w:spacing w:val="-2"/>
          <w:sz w:val="17"/>
          <w:szCs w:val="17"/>
          <w14:textOutline w14:w="3268" w14:cap="sq" w14:cmpd="sng">
            <w14:solidFill>
              <w14:srgbClr w14:val="000000"/>
            </w14:solidFill>
            <w14:prstDash w14:val="solid"/>
            <w14:bevel/>
          </w14:textOutline>
        </w:rPr>
        <w:t>，因此选用</w:t>
      </w:r>
      <w:r>
        <w:rPr>
          <w:rFonts w:ascii="Times New Roman" w:hAnsi="Times New Roman" w:eastAsia="Times New Roman" w:cs="Times New Roman"/>
          <w:b/>
          <w:bCs/>
          <w:spacing w:val="-2"/>
          <w:sz w:val="17"/>
          <w:szCs w:val="17"/>
        </w:rPr>
        <w:t>2mg/m</w:t>
      </w:r>
      <w:r>
        <w:rPr>
          <w:rFonts w:ascii="Times New Roman" w:hAnsi="Times New Roman" w:eastAsia="Times New Roman" w:cs="Times New Roman"/>
          <w:b/>
          <w:bCs/>
          <w:spacing w:val="-2"/>
          <w:position w:val="5"/>
          <w:sz w:val="11"/>
          <w:szCs w:val="11"/>
        </w:rPr>
        <w:t>3</w:t>
      </w:r>
      <w:r>
        <w:rPr>
          <w:rFonts w:ascii="Times New Roman" w:hAnsi="Times New Roman" w:eastAsia="Times New Roman" w:cs="Times New Roman"/>
          <w:spacing w:val="-2"/>
          <w:position w:val="5"/>
          <w:sz w:val="11"/>
          <w:szCs w:val="11"/>
        </w:rPr>
        <w:t xml:space="preserve"> </w:t>
      </w:r>
      <w:r>
        <w:rPr>
          <w:rFonts w:ascii="宋体" w:hAnsi="宋体" w:eastAsia="宋体" w:cs="宋体"/>
          <w:spacing w:val="-2"/>
          <w:sz w:val="17"/>
          <w:szCs w:val="17"/>
          <w14:textOutline w14:w="3268" w14:cap="sq" w14:cmpd="sng">
            <w14:solidFill>
              <w14:srgbClr w14:val="000000"/>
            </w14:solidFill>
            <w14:prstDash w14:val="solid"/>
            <w14:bevel/>
          </w14:textOutline>
        </w:rPr>
        <w:t>作为计算依据。摘自</w:t>
      </w:r>
      <w:r>
        <w:rPr>
          <w:rFonts w:ascii="Times New Roman" w:hAnsi="Times New Roman" w:eastAsia="Times New Roman" w:cs="Times New Roman"/>
          <w:b/>
          <w:bCs/>
          <w:spacing w:val="-2"/>
          <w:sz w:val="17"/>
          <w:szCs w:val="17"/>
        </w:rPr>
        <w:t>“</w:t>
      </w:r>
      <w:r>
        <w:rPr>
          <w:rFonts w:ascii="宋体" w:hAnsi="宋体" w:eastAsia="宋体" w:cs="宋体"/>
          <w:spacing w:val="-2"/>
          <w:sz w:val="17"/>
          <w:szCs w:val="17"/>
          <w14:textOutline w14:w="3268" w14:cap="sq" w14:cmpd="sng">
            <w14:solidFill>
              <w14:srgbClr w14:val="000000"/>
            </w14:solidFill>
            <w14:prstDash w14:val="solid"/>
            <w14:bevel/>
          </w14:textOutline>
        </w:rPr>
        <w:t>由中国环境科学出版社出版的国家环境保护局科技</w:t>
      </w:r>
      <w:r>
        <w:rPr>
          <w:rFonts w:ascii="宋体" w:hAnsi="宋体" w:eastAsia="宋体" w:cs="宋体"/>
          <w:sz w:val="17"/>
          <w:szCs w:val="17"/>
        </w:rPr>
        <w:t xml:space="preserve"> </w:t>
      </w:r>
      <w:r>
        <w:rPr>
          <w:rFonts w:ascii="宋体" w:hAnsi="宋体" w:eastAsia="宋体" w:cs="宋体"/>
          <w:spacing w:val="1"/>
          <w:sz w:val="17"/>
          <w:szCs w:val="17"/>
          <w14:textOutline w14:w="3268" w14:cap="sq" w14:cmpd="sng">
            <w14:solidFill>
              <w14:srgbClr w14:val="000000"/>
            </w14:solidFill>
            <w14:prstDash w14:val="solid"/>
            <w14:bevel/>
          </w14:textOutline>
        </w:rPr>
        <w:t>标准司的《大气污染物综合排放标准详解》第</w:t>
      </w:r>
      <w:r>
        <w:rPr>
          <w:rFonts w:ascii="Times New Roman" w:hAnsi="Times New Roman" w:eastAsia="Times New Roman" w:cs="Times New Roman"/>
          <w:b/>
          <w:bCs/>
          <w:spacing w:val="1"/>
          <w:sz w:val="17"/>
          <w:szCs w:val="17"/>
        </w:rPr>
        <w:t>24</w:t>
      </w:r>
      <w:r>
        <w:rPr>
          <w:rFonts w:ascii="Times New Roman" w:hAnsi="Times New Roman" w:eastAsia="Times New Roman" w:cs="Times New Roman"/>
          <w:b/>
          <w:bCs/>
          <w:sz w:val="17"/>
          <w:szCs w:val="17"/>
        </w:rPr>
        <w:t>4</w:t>
      </w:r>
      <w:r>
        <w:rPr>
          <w:rFonts w:ascii="Times New Roman" w:hAnsi="Times New Roman" w:eastAsia="Times New Roman" w:cs="Times New Roman"/>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页。</w:t>
      </w:r>
      <w:r>
        <w:rPr>
          <w:rFonts w:ascii="Times New Roman" w:hAnsi="Times New Roman" w:eastAsia="Times New Roman" w:cs="Times New Roman"/>
          <w:b/>
          <w:bCs/>
          <w:sz w:val="17"/>
          <w:szCs w:val="17"/>
        </w:rPr>
        <w:t>”</w:t>
      </w:r>
    </w:p>
    <w:p w14:paraId="67EA3C42">
      <w:pPr>
        <w:spacing w:before="292" w:line="225" w:lineRule="auto"/>
        <w:ind w:left="571"/>
        <w:rPr>
          <w:rFonts w:ascii="宋体" w:hAnsi="宋体" w:eastAsia="宋体" w:cs="宋体"/>
          <w:sz w:val="23"/>
          <w:szCs w:val="23"/>
        </w:rPr>
      </w:pPr>
      <w:r>
        <w:rPr>
          <w:rFonts w:ascii="宋体" w:hAnsi="宋体" w:eastAsia="宋体" w:cs="宋体"/>
          <w:spacing w:val="-2"/>
          <w:sz w:val="23"/>
          <w:szCs w:val="23"/>
        </w:rPr>
        <w:t>② 地下水环境质量标</w:t>
      </w:r>
      <w:r>
        <w:rPr>
          <w:rFonts w:ascii="宋体" w:hAnsi="宋体" w:eastAsia="宋体" w:cs="宋体"/>
          <w:spacing w:val="-1"/>
          <w:sz w:val="23"/>
          <w:szCs w:val="23"/>
        </w:rPr>
        <w:t>准</w:t>
      </w:r>
    </w:p>
    <w:p w14:paraId="3BC729CB">
      <w:pPr>
        <w:spacing w:line="245" w:lineRule="auto"/>
        <w:rPr>
          <w:rFonts w:ascii="Arial"/>
          <w:sz w:val="21"/>
        </w:rPr>
      </w:pPr>
    </w:p>
    <w:p w14:paraId="1551A122">
      <w:pPr>
        <w:spacing w:before="75" w:line="323" w:lineRule="exact"/>
        <w:ind w:left="577"/>
        <w:rPr>
          <w:rFonts w:ascii="宋体" w:hAnsi="宋体" w:eastAsia="宋体" w:cs="宋体"/>
          <w:sz w:val="23"/>
          <w:szCs w:val="23"/>
        </w:rPr>
      </w:pPr>
      <w:r>
        <w:rPr>
          <w:rFonts w:ascii="宋体" w:hAnsi="宋体" w:eastAsia="宋体" w:cs="宋体"/>
          <w:spacing w:val="-5"/>
          <w:position w:val="1"/>
          <w:sz w:val="23"/>
          <w:szCs w:val="23"/>
        </w:rPr>
        <w:t>项目所在区域地下水执行《地下水质量标准》  (</w:t>
      </w:r>
      <w:r>
        <w:rPr>
          <w:rFonts w:ascii="Times New Roman" w:hAnsi="Times New Roman" w:eastAsia="Times New Roman" w:cs="Times New Roman"/>
          <w:spacing w:val="-5"/>
          <w:position w:val="1"/>
          <w:sz w:val="23"/>
          <w:szCs w:val="23"/>
        </w:rPr>
        <w:t>GB/T 14848-2017</w:t>
      </w:r>
      <w:r>
        <w:rPr>
          <w:rFonts w:ascii="宋体" w:hAnsi="宋体" w:eastAsia="宋体" w:cs="宋体"/>
          <w:spacing w:val="-5"/>
          <w:position w:val="1"/>
          <w:sz w:val="23"/>
          <w:szCs w:val="23"/>
        </w:rPr>
        <w:t xml:space="preserve">) </w:t>
      </w:r>
      <w:r>
        <w:rPr>
          <w:rFonts w:ascii="Times New Roman" w:hAnsi="Times New Roman" w:eastAsia="Times New Roman" w:cs="Times New Roman"/>
          <w:spacing w:val="-5"/>
          <w:position w:val="1"/>
          <w:sz w:val="23"/>
          <w:szCs w:val="23"/>
        </w:rPr>
        <w:t>I</w:t>
      </w:r>
      <w:r>
        <w:rPr>
          <w:rFonts w:ascii="Times New Roman" w:hAnsi="Times New Roman" w:eastAsia="Times New Roman" w:cs="Times New Roman"/>
          <w:spacing w:val="-2"/>
          <w:position w:val="1"/>
          <w:sz w:val="23"/>
          <w:szCs w:val="23"/>
        </w:rPr>
        <w:t>I</w:t>
      </w:r>
      <w:r>
        <w:rPr>
          <w:rFonts w:ascii="Times New Roman" w:hAnsi="Times New Roman" w:eastAsia="Times New Roman" w:cs="Times New Roman"/>
          <w:position w:val="1"/>
          <w:sz w:val="23"/>
          <w:szCs w:val="23"/>
        </w:rPr>
        <w:t>I</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类水质标</w:t>
      </w:r>
    </w:p>
    <w:p w14:paraId="33FE5F5A">
      <w:pPr>
        <w:spacing w:before="202" w:line="229" w:lineRule="auto"/>
        <w:ind w:left="124"/>
        <w:rPr>
          <w:rFonts w:ascii="宋体" w:hAnsi="宋体" w:eastAsia="宋体" w:cs="宋体"/>
          <w:sz w:val="23"/>
          <w:szCs w:val="23"/>
        </w:rPr>
      </w:pPr>
      <w:r>
        <w:rPr>
          <w:rFonts w:ascii="宋体" w:hAnsi="宋体" w:eastAsia="宋体" w:cs="宋体"/>
          <w:spacing w:val="-10"/>
          <w:sz w:val="23"/>
          <w:szCs w:val="23"/>
        </w:rPr>
        <w:t>准</w:t>
      </w:r>
      <w:r>
        <w:rPr>
          <w:rFonts w:ascii="宋体" w:hAnsi="宋体" w:eastAsia="宋体" w:cs="宋体"/>
          <w:spacing w:val="-8"/>
          <w:sz w:val="23"/>
          <w:szCs w:val="23"/>
        </w:rPr>
        <w:t xml:space="preserve">，具体见表 </w:t>
      </w:r>
      <w:r>
        <w:rPr>
          <w:rFonts w:ascii="Times New Roman" w:hAnsi="Times New Roman" w:eastAsia="Times New Roman" w:cs="Times New Roman"/>
          <w:spacing w:val="-8"/>
          <w:sz w:val="23"/>
          <w:szCs w:val="23"/>
        </w:rPr>
        <w:t>2-4</w:t>
      </w:r>
      <w:r>
        <w:rPr>
          <w:rFonts w:ascii="宋体" w:hAnsi="宋体" w:eastAsia="宋体" w:cs="宋体"/>
          <w:spacing w:val="-8"/>
          <w:sz w:val="23"/>
          <w:szCs w:val="23"/>
        </w:rPr>
        <w:t>：</w:t>
      </w:r>
    </w:p>
    <w:p w14:paraId="7534F998">
      <w:pPr>
        <w:spacing w:line="284" w:lineRule="auto"/>
        <w:rPr>
          <w:rFonts w:ascii="Arial"/>
          <w:sz w:val="21"/>
        </w:rPr>
      </w:pPr>
    </w:p>
    <w:p w14:paraId="4818E896">
      <w:pPr>
        <w:spacing w:before="75" w:line="227" w:lineRule="auto"/>
        <w:ind w:left="294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2-4</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地下水质量标准</w:t>
      </w:r>
    </w:p>
    <w:p w14:paraId="69A1F379">
      <w:pPr>
        <w:spacing w:line="19" w:lineRule="exact"/>
      </w:pPr>
    </w:p>
    <w:tbl>
      <w:tblPr>
        <w:tblStyle w:val="4"/>
        <w:tblW w:w="85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2183"/>
        <w:gridCol w:w="1400"/>
        <w:gridCol w:w="2626"/>
        <w:gridCol w:w="1426"/>
      </w:tblGrid>
      <w:tr w14:paraId="624C8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896" w:type="dxa"/>
            <w:tcBorders>
              <w:left w:val="nil"/>
            </w:tcBorders>
            <w:vAlign w:val="top"/>
          </w:tcPr>
          <w:p w14:paraId="2FF6E0A3">
            <w:pPr>
              <w:spacing w:before="86" w:line="223" w:lineRule="auto"/>
              <w:ind w:left="257"/>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序</w:t>
            </w:r>
            <w:r>
              <w:rPr>
                <w:rFonts w:ascii="宋体" w:hAnsi="宋体" w:eastAsia="宋体" w:cs="宋体"/>
                <w:sz w:val="20"/>
                <w:szCs w:val="20"/>
                <w14:textOutline w14:w="3795" w14:cap="sq" w14:cmpd="sng">
                  <w14:solidFill>
                    <w14:srgbClr w14:val="000000"/>
                  </w14:solidFill>
                  <w14:prstDash w14:val="solid"/>
                  <w14:bevel/>
                </w14:textOutline>
              </w:rPr>
              <w:t>号</w:t>
            </w:r>
          </w:p>
        </w:tc>
        <w:tc>
          <w:tcPr>
            <w:tcW w:w="2183" w:type="dxa"/>
            <w:vAlign w:val="top"/>
          </w:tcPr>
          <w:p w14:paraId="4485CD40">
            <w:pPr>
              <w:spacing w:before="86" w:line="223" w:lineRule="auto"/>
              <w:ind w:left="80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w:t>
            </w:r>
            <w:r>
              <w:rPr>
                <w:rFonts w:ascii="宋体" w:hAnsi="宋体" w:eastAsia="宋体" w:cs="宋体"/>
                <w:spacing w:val="-1"/>
                <w:sz w:val="20"/>
                <w:szCs w:val="20"/>
                <w14:textOutline w14:w="3795" w14:cap="sq" w14:cmpd="sng">
                  <w14:solidFill>
                    <w14:srgbClr w14:val="000000"/>
                  </w14:solidFill>
                  <w14:prstDash w14:val="solid"/>
                  <w14:bevel/>
                </w14:textOutline>
              </w:rPr>
              <w:t>物</w:t>
            </w:r>
          </w:p>
        </w:tc>
        <w:tc>
          <w:tcPr>
            <w:tcW w:w="1400" w:type="dxa"/>
            <w:vAlign w:val="top"/>
          </w:tcPr>
          <w:p w14:paraId="3F6CECA8">
            <w:pPr>
              <w:spacing w:before="86" w:line="223" w:lineRule="auto"/>
              <w:ind w:left="41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标</w:t>
            </w:r>
            <w:r>
              <w:rPr>
                <w:rFonts w:ascii="宋体" w:hAnsi="宋体" w:eastAsia="宋体" w:cs="宋体"/>
                <w:spacing w:val="-1"/>
                <w:sz w:val="20"/>
                <w:szCs w:val="20"/>
                <w14:textOutline w14:w="3795" w14:cap="sq" w14:cmpd="sng">
                  <w14:solidFill>
                    <w14:srgbClr w14:val="000000"/>
                  </w14:solidFill>
                  <w14:prstDash w14:val="solid"/>
                  <w14:bevel/>
                </w14:textOutline>
              </w:rPr>
              <w:t>准值</w:t>
            </w:r>
          </w:p>
        </w:tc>
        <w:tc>
          <w:tcPr>
            <w:tcW w:w="2626" w:type="dxa"/>
            <w:vAlign w:val="top"/>
          </w:tcPr>
          <w:p w14:paraId="78EEFD76">
            <w:pPr>
              <w:spacing w:before="86" w:line="223" w:lineRule="auto"/>
              <w:ind w:left="1024"/>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w:t>
            </w:r>
            <w:r>
              <w:rPr>
                <w:rFonts w:ascii="宋体" w:hAnsi="宋体" w:eastAsia="宋体" w:cs="宋体"/>
                <w:spacing w:val="-1"/>
                <w:sz w:val="20"/>
                <w:szCs w:val="20"/>
                <w14:textOutline w14:w="3795" w14:cap="sq" w14:cmpd="sng">
                  <w14:solidFill>
                    <w14:srgbClr w14:val="000000"/>
                  </w14:solidFill>
                  <w14:prstDash w14:val="solid"/>
                  <w14:bevel/>
                </w14:textOutline>
              </w:rPr>
              <w:t>物</w:t>
            </w:r>
          </w:p>
        </w:tc>
        <w:tc>
          <w:tcPr>
            <w:tcW w:w="1426" w:type="dxa"/>
            <w:tcBorders>
              <w:right w:val="nil"/>
            </w:tcBorders>
            <w:vAlign w:val="top"/>
          </w:tcPr>
          <w:p w14:paraId="3AA94950">
            <w:pPr>
              <w:spacing w:before="86" w:line="223" w:lineRule="auto"/>
              <w:ind w:left="42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标</w:t>
            </w:r>
            <w:r>
              <w:rPr>
                <w:rFonts w:ascii="宋体" w:hAnsi="宋体" w:eastAsia="宋体" w:cs="宋体"/>
                <w:spacing w:val="-1"/>
                <w:sz w:val="20"/>
                <w:szCs w:val="20"/>
                <w14:textOutline w14:w="3795" w14:cap="sq" w14:cmpd="sng">
                  <w14:solidFill>
                    <w14:srgbClr w14:val="000000"/>
                  </w14:solidFill>
                  <w14:prstDash w14:val="solid"/>
                  <w14:bevel/>
                </w14:textOutline>
              </w:rPr>
              <w:t>准值</w:t>
            </w:r>
          </w:p>
        </w:tc>
      </w:tr>
      <w:tr w14:paraId="7FFA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96" w:type="dxa"/>
            <w:tcBorders>
              <w:left w:val="nil"/>
            </w:tcBorders>
            <w:vAlign w:val="top"/>
          </w:tcPr>
          <w:p w14:paraId="219C589E">
            <w:pPr>
              <w:spacing w:before="99"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3" w:type="dxa"/>
            <w:vAlign w:val="top"/>
          </w:tcPr>
          <w:p w14:paraId="68AB236B">
            <w:pPr>
              <w:spacing w:before="63" w:line="221" w:lineRule="auto"/>
              <w:ind w:left="354"/>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值 (无量</w:t>
            </w:r>
            <w:r>
              <w:rPr>
                <w:rFonts w:ascii="宋体" w:hAnsi="宋体" w:eastAsia="宋体" w:cs="宋体"/>
                <w:sz w:val="20"/>
                <w:szCs w:val="20"/>
              </w:rPr>
              <w:t>纲)</w:t>
            </w:r>
          </w:p>
        </w:tc>
        <w:tc>
          <w:tcPr>
            <w:tcW w:w="1400" w:type="dxa"/>
            <w:vAlign w:val="top"/>
          </w:tcPr>
          <w:p w14:paraId="09093073">
            <w:pPr>
              <w:spacing w:before="93" w:line="189"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6</w:t>
            </w:r>
            <w:r>
              <w:rPr>
                <w:rFonts w:ascii="Times New Roman" w:hAnsi="Times New Roman" w:eastAsia="Times New Roman" w:cs="Times New Roman"/>
                <w:spacing w:val="-5"/>
                <w:sz w:val="22"/>
                <w:szCs w:val="22"/>
              </w:rPr>
              <w:t>.5-8.5</w:t>
            </w:r>
          </w:p>
        </w:tc>
        <w:tc>
          <w:tcPr>
            <w:tcW w:w="2626" w:type="dxa"/>
            <w:vAlign w:val="top"/>
          </w:tcPr>
          <w:p w14:paraId="248762D4">
            <w:pPr>
              <w:spacing w:before="62" w:line="228" w:lineRule="auto"/>
              <w:ind w:left="626"/>
              <w:rPr>
                <w:rFonts w:ascii="宋体" w:hAnsi="宋体" w:eastAsia="宋体" w:cs="宋体"/>
                <w:sz w:val="20"/>
                <w:szCs w:val="20"/>
              </w:rPr>
            </w:pPr>
            <w:r>
              <w:rPr>
                <w:rFonts w:ascii="宋体" w:hAnsi="宋体" w:eastAsia="宋体" w:cs="宋体"/>
                <w:spacing w:val="-2"/>
                <w:sz w:val="20"/>
                <w:szCs w:val="20"/>
              </w:rPr>
              <w:t>浑浊度 (</w:t>
            </w:r>
            <w:r>
              <w:rPr>
                <w:rFonts w:ascii="Times New Roman" w:hAnsi="Times New Roman" w:eastAsia="Times New Roman" w:cs="Times New Roman"/>
                <w:spacing w:val="-1"/>
                <w:sz w:val="20"/>
                <w:szCs w:val="20"/>
              </w:rPr>
              <w:t>NTU</w:t>
            </w:r>
            <w:r>
              <w:rPr>
                <w:rFonts w:ascii="宋体" w:hAnsi="宋体" w:eastAsia="宋体" w:cs="宋体"/>
                <w:spacing w:val="-1"/>
                <w:sz w:val="20"/>
                <w:szCs w:val="20"/>
              </w:rPr>
              <w:t>)</w:t>
            </w:r>
          </w:p>
        </w:tc>
        <w:tc>
          <w:tcPr>
            <w:tcW w:w="1426" w:type="dxa"/>
            <w:tcBorders>
              <w:right w:val="nil"/>
            </w:tcBorders>
            <w:vAlign w:val="top"/>
          </w:tcPr>
          <w:p w14:paraId="0F04C6A9">
            <w:pPr>
              <w:spacing w:before="93" w:line="189" w:lineRule="auto"/>
              <w:ind w:left="66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r>
      <w:tr w14:paraId="2804C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96" w:type="dxa"/>
            <w:tcBorders>
              <w:left w:val="nil"/>
            </w:tcBorders>
            <w:vAlign w:val="top"/>
          </w:tcPr>
          <w:p w14:paraId="59026116">
            <w:pPr>
              <w:spacing w:before="99"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3" w:type="dxa"/>
            <w:vAlign w:val="top"/>
          </w:tcPr>
          <w:p w14:paraId="10801B14">
            <w:pPr>
              <w:spacing w:before="26" w:line="281" w:lineRule="exact"/>
              <w:ind w:left="399"/>
              <w:rPr>
                <w:rFonts w:ascii="宋体" w:hAnsi="宋体" w:eastAsia="宋体" w:cs="宋体"/>
                <w:sz w:val="20"/>
                <w:szCs w:val="20"/>
              </w:rPr>
            </w:pPr>
            <w:r>
              <w:rPr>
                <w:rFonts w:ascii="宋体" w:hAnsi="宋体" w:eastAsia="宋体" w:cs="宋体"/>
                <w:spacing w:val="-4"/>
                <w:position w:val="2"/>
                <w:sz w:val="20"/>
                <w:szCs w:val="20"/>
              </w:rPr>
              <w:t>总硬度</w:t>
            </w:r>
            <w:r>
              <w:rPr>
                <w:rFonts w:ascii="宋体" w:hAnsi="宋体" w:eastAsia="宋体" w:cs="宋体"/>
                <w:spacing w:val="-2"/>
                <w:position w:val="2"/>
                <w:sz w:val="20"/>
                <w:szCs w:val="20"/>
              </w:rPr>
              <w:t xml:space="preserve"> (</w:t>
            </w:r>
            <w:r>
              <w:rPr>
                <w:rFonts w:ascii="Times New Roman" w:hAnsi="Times New Roman" w:eastAsia="Times New Roman" w:cs="Times New Roman"/>
                <w:spacing w:val="-2"/>
                <w:position w:val="2"/>
                <w:sz w:val="20"/>
                <w:szCs w:val="20"/>
              </w:rPr>
              <w:t>mg/L</w:t>
            </w:r>
            <w:r>
              <w:rPr>
                <w:rFonts w:ascii="宋体" w:hAnsi="宋体" w:eastAsia="宋体" w:cs="宋体"/>
                <w:spacing w:val="-2"/>
                <w:position w:val="2"/>
                <w:sz w:val="20"/>
                <w:szCs w:val="20"/>
              </w:rPr>
              <w:t>)</w:t>
            </w:r>
          </w:p>
        </w:tc>
        <w:tc>
          <w:tcPr>
            <w:tcW w:w="1400" w:type="dxa"/>
            <w:vAlign w:val="top"/>
          </w:tcPr>
          <w:p w14:paraId="7F6463C8">
            <w:pPr>
              <w:spacing w:before="94" w:line="189" w:lineRule="auto"/>
              <w:ind w:left="54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w:t>
            </w:r>
            <w:r>
              <w:rPr>
                <w:rFonts w:ascii="Times New Roman" w:hAnsi="Times New Roman" w:eastAsia="Times New Roman" w:cs="Times New Roman"/>
                <w:spacing w:val="-2"/>
                <w:sz w:val="22"/>
                <w:szCs w:val="22"/>
              </w:rPr>
              <w:t>50</w:t>
            </w:r>
          </w:p>
        </w:tc>
        <w:tc>
          <w:tcPr>
            <w:tcW w:w="2626" w:type="dxa"/>
            <w:vAlign w:val="top"/>
          </w:tcPr>
          <w:p w14:paraId="45700C0F">
            <w:pPr>
              <w:spacing w:before="26" w:line="281" w:lineRule="exact"/>
              <w:ind w:left="615"/>
              <w:rPr>
                <w:rFonts w:ascii="宋体" w:hAnsi="宋体" w:eastAsia="宋体" w:cs="宋体"/>
                <w:sz w:val="20"/>
                <w:szCs w:val="20"/>
              </w:rPr>
            </w:pPr>
            <w:r>
              <w:rPr>
                <w:rFonts w:ascii="宋体" w:hAnsi="宋体" w:eastAsia="宋体" w:cs="宋体"/>
                <w:spacing w:val="-2"/>
                <w:position w:val="2"/>
                <w:sz w:val="20"/>
                <w:szCs w:val="20"/>
              </w:rPr>
              <w:t>耗氧量 (</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1"/>
                <w:position w:val="2"/>
                <w:sz w:val="20"/>
                <w:szCs w:val="20"/>
              </w:rPr>
              <w:t>g</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
                <w:position w:val="2"/>
                <w:sz w:val="20"/>
                <w:szCs w:val="20"/>
              </w:rPr>
              <w:t>L</w:t>
            </w:r>
            <w:r>
              <w:rPr>
                <w:rFonts w:ascii="宋体" w:hAnsi="宋体" w:eastAsia="宋体" w:cs="宋体"/>
                <w:spacing w:val="-2"/>
                <w:position w:val="2"/>
                <w:sz w:val="20"/>
                <w:szCs w:val="20"/>
              </w:rPr>
              <w:t>)</w:t>
            </w:r>
          </w:p>
        </w:tc>
        <w:tc>
          <w:tcPr>
            <w:tcW w:w="1426" w:type="dxa"/>
            <w:tcBorders>
              <w:right w:val="nil"/>
            </w:tcBorders>
            <w:vAlign w:val="top"/>
          </w:tcPr>
          <w:p w14:paraId="798B4D19">
            <w:pPr>
              <w:spacing w:before="94"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4"/>
                <w:sz w:val="22"/>
                <w:szCs w:val="22"/>
              </w:rPr>
              <w:t>.0</w:t>
            </w:r>
          </w:p>
        </w:tc>
      </w:tr>
      <w:tr w14:paraId="66FDE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96" w:type="dxa"/>
            <w:tcBorders>
              <w:left w:val="nil"/>
            </w:tcBorders>
            <w:vAlign w:val="top"/>
          </w:tcPr>
          <w:p w14:paraId="2E5330C3">
            <w:pPr>
              <w:spacing w:before="100" w:line="195"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3" w:type="dxa"/>
            <w:vAlign w:val="top"/>
          </w:tcPr>
          <w:p w14:paraId="68A5D276">
            <w:pPr>
              <w:spacing w:before="27" w:line="281" w:lineRule="exact"/>
              <w:ind w:left="492"/>
              <w:rPr>
                <w:rFonts w:ascii="宋体" w:hAnsi="宋体" w:eastAsia="宋体" w:cs="宋体"/>
                <w:sz w:val="20"/>
                <w:szCs w:val="20"/>
              </w:rPr>
            </w:pPr>
            <w:r>
              <w:rPr>
                <w:rFonts w:ascii="宋体" w:hAnsi="宋体" w:eastAsia="宋体" w:cs="宋体"/>
                <w:spacing w:val="-2"/>
                <w:position w:val="2"/>
                <w:sz w:val="20"/>
                <w:szCs w:val="20"/>
              </w:rPr>
              <w:t>氨氮 (</w:t>
            </w:r>
            <w:r>
              <w:rPr>
                <w:rFonts w:ascii="Times New Roman" w:hAnsi="Times New Roman" w:eastAsia="Times New Roman" w:cs="Times New Roman"/>
                <w:spacing w:val="-1"/>
                <w:position w:val="2"/>
                <w:sz w:val="20"/>
                <w:szCs w:val="20"/>
              </w:rPr>
              <w:t>mg</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
                <w:position w:val="2"/>
                <w:sz w:val="20"/>
                <w:szCs w:val="20"/>
              </w:rPr>
              <w:t>L</w:t>
            </w:r>
            <w:r>
              <w:rPr>
                <w:rFonts w:ascii="宋体" w:hAnsi="宋体" w:eastAsia="宋体" w:cs="宋体"/>
                <w:spacing w:val="-1"/>
                <w:position w:val="2"/>
                <w:sz w:val="20"/>
                <w:szCs w:val="20"/>
              </w:rPr>
              <w:t>)</w:t>
            </w:r>
          </w:p>
        </w:tc>
        <w:tc>
          <w:tcPr>
            <w:tcW w:w="1400" w:type="dxa"/>
            <w:vAlign w:val="top"/>
          </w:tcPr>
          <w:p w14:paraId="40415834">
            <w:pPr>
              <w:spacing w:before="97" w:line="189" w:lineRule="auto"/>
              <w:ind w:left="52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w:t>
            </w:r>
            <w:r>
              <w:rPr>
                <w:rFonts w:ascii="Times New Roman" w:hAnsi="Times New Roman" w:eastAsia="Times New Roman" w:cs="Times New Roman"/>
                <w:spacing w:val="-4"/>
                <w:sz w:val="22"/>
                <w:szCs w:val="22"/>
              </w:rPr>
              <w:t>.50</w:t>
            </w:r>
          </w:p>
        </w:tc>
        <w:tc>
          <w:tcPr>
            <w:tcW w:w="2626" w:type="dxa"/>
            <w:vAlign w:val="top"/>
          </w:tcPr>
          <w:p w14:paraId="0A766C0C">
            <w:pPr>
              <w:spacing w:before="27" w:line="281" w:lineRule="exact"/>
              <w:ind w:left="518"/>
              <w:rPr>
                <w:rFonts w:ascii="宋体" w:hAnsi="宋体" w:eastAsia="宋体" w:cs="宋体"/>
                <w:sz w:val="20"/>
                <w:szCs w:val="20"/>
              </w:rPr>
            </w:pPr>
            <w:r>
              <w:rPr>
                <w:rFonts w:ascii="宋体" w:hAnsi="宋体" w:eastAsia="宋体" w:cs="宋体"/>
                <w:spacing w:val="-3"/>
                <w:position w:val="2"/>
                <w:sz w:val="20"/>
                <w:szCs w:val="20"/>
              </w:rPr>
              <w:t>亚</w:t>
            </w:r>
            <w:r>
              <w:rPr>
                <w:rFonts w:ascii="宋体" w:hAnsi="宋体" w:eastAsia="宋体" w:cs="宋体"/>
                <w:spacing w:val="-2"/>
                <w:position w:val="2"/>
                <w:sz w:val="20"/>
                <w:szCs w:val="20"/>
              </w:rPr>
              <w:t>硝酸盐 (</w:t>
            </w:r>
            <w:r>
              <w:rPr>
                <w:rFonts w:ascii="Times New Roman" w:hAnsi="Times New Roman" w:eastAsia="Times New Roman" w:cs="Times New Roman"/>
                <w:spacing w:val="-2"/>
                <w:position w:val="2"/>
                <w:sz w:val="20"/>
                <w:szCs w:val="20"/>
              </w:rPr>
              <w:t>mg/L</w:t>
            </w:r>
            <w:r>
              <w:rPr>
                <w:rFonts w:ascii="宋体" w:hAnsi="宋体" w:eastAsia="宋体" w:cs="宋体"/>
                <w:spacing w:val="-2"/>
                <w:position w:val="2"/>
                <w:sz w:val="20"/>
                <w:szCs w:val="20"/>
              </w:rPr>
              <w:t>)</w:t>
            </w:r>
          </w:p>
        </w:tc>
        <w:tc>
          <w:tcPr>
            <w:tcW w:w="1426" w:type="dxa"/>
            <w:tcBorders>
              <w:right w:val="nil"/>
            </w:tcBorders>
            <w:vAlign w:val="top"/>
          </w:tcPr>
          <w:p w14:paraId="76AE223D">
            <w:pPr>
              <w:spacing w:before="97" w:line="192" w:lineRule="auto"/>
              <w:ind w:left="557"/>
              <w:rPr>
                <w:rFonts w:ascii="Times New Roman" w:hAnsi="Times New Roman" w:eastAsia="Times New Roman" w:cs="Times New Roman"/>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8"/>
                <w:sz w:val="22"/>
                <w:szCs w:val="22"/>
              </w:rPr>
              <w:t>.00</w:t>
            </w:r>
          </w:p>
        </w:tc>
      </w:tr>
      <w:tr w14:paraId="48881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96" w:type="dxa"/>
            <w:tcBorders>
              <w:left w:val="nil"/>
            </w:tcBorders>
            <w:vAlign w:val="top"/>
          </w:tcPr>
          <w:p w14:paraId="636AF769">
            <w:pPr>
              <w:spacing w:before="10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3" w:type="dxa"/>
            <w:vAlign w:val="top"/>
          </w:tcPr>
          <w:p w14:paraId="149C5592">
            <w:pPr>
              <w:spacing w:before="27" w:line="281" w:lineRule="exact"/>
              <w:ind w:left="397"/>
              <w:rPr>
                <w:rFonts w:ascii="宋体" w:hAnsi="宋体" w:eastAsia="宋体" w:cs="宋体"/>
                <w:sz w:val="20"/>
                <w:szCs w:val="20"/>
              </w:rPr>
            </w:pPr>
            <w:r>
              <w:rPr>
                <w:rFonts w:ascii="宋体" w:hAnsi="宋体" w:eastAsia="宋体" w:cs="宋体"/>
                <w:spacing w:val="-4"/>
                <w:position w:val="2"/>
                <w:sz w:val="20"/>
                <w:szCs w:val="20"/>
              </w:rPr>
              <w:t>氯</w:t>
            </w:r>
            <w:r>
              <w:rPr>
                <w:rFonts w:ascii="宋体" w:hAnsi="宋体" w:eastAsia="宋体" w:cs="宋体"/>
                <w:spacing w:val="-3"/>
                <w:position w:val="2"/>
                <w:sz w:val="20"/>
                <w:szCs w:val="20"/>
              </w:rPr>
              <w:t>化</w:t>
            </w:r>
            <w:r>
              <w:rPr>
                <w:rFonts w:ascii="宋体" w:hAnsi="宋体" w:eastAsia="宋体" w:cs="宋体"/>
                <w:spacing w:val="-2"/>
                <w:position w:val="2"/>
                <w:sz w:val="20"/>
                <w:szCs w:val="20"/>
              </w:rPr>
              <w:t>物 (</w:t>
            </w:r>
            <w:r>
              <w:rPr>
                <w:rFonts w:ascii="Times New Roman" w:hAnsi="Times New Roman" w:eastAsia="Times New Roman" w:cs="Times New Roman"/>
                <w:spacing w:val="-2"/>
                <w:position w:val="2"/>
                <w:sz w:val="20"/>
                <w:szCs w:val="20"/>
              </w:rPr>
              <w:t>mg/L</w:t>
            </w:r>
            <w:r>
              <w:rPr>
                <w:rFonts w:ascii="宋体" w:hAnsi="宋体" w:eastAsia="宋体" w:cs="宋体"/>
                <w:spacing w:val="-2"/>
                <w:position w:val="2"/>
                <w:sz w:val="20"/>
                <w:szCs w:val="20"/>
              </w:rPr>
              <w:t>)</w:t>
            </w:r>
          </w:p>
        </w:tc>
        <w:tc>
          <w:tcPr>
            <w:tcW w:w="1400" w:type="dxa"/>
            <w:vAlign w:val="top"/>
          </w:tcPr>
          <w:p w14:paraId="1D49A2D3">
            <w:pPr>
              <w:spacing w:before="98" w:line="189" w:lineRule="auto"/>
              <w:ind w:left="5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250</w:t>
            </w:r>
          </w:p>
        </w:tc>
        <w:tc>
          <w:tcPr>
            <w:tcW w:w="2626" w:type="dxa"/>
            <w:vAlign w:val="top"/>
          </w:tcPr>
          <w:p w14:paraId="0E989A40">
            <w:pPr>
              <w:spacing w:before="27" w:line="281" w:lineRule="exact"/>
              <w:ind w:left="810"/>
              <w:rPr>
                <w:rFonts w:ascii="宋体" w:hAnsi="宋体" w:eastAsia="宋体" w:cs="宋体"/>
                <w:sz w:val="20"/>
                <w:szCs w:val="20"/>
              </w:rPr>
            </w:pPr>
            <w:r>
              <w:rPr>
                <w:rFonts w:ascii="宋体" w:hAnsi="宋体" w:eastAsia="宋体" w:cs="宋体"/>
                <w:spacing w:val="-2"/>
                <w:position w:val="2"/>
                <w:sz w:val="20"/>
                <w:szCs w:val="20"/>
              </w:rPr>
              <w:t xml:space="preserve">钠 </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mg/L</w:t>
            </w:r>
            <w:r>
              <w:rPr>
                <w:rFonts w:ascii="宋体" w:hAnsi="宋体" w:eastAsia="宋体" w:cs="宋体"/>
                <w:spacing w:val="-1"/>
                <w:position w:val="2"/>
                <w:sz w:val="20"/>
                <w:szCs w:val="20"/>
              </w:rPr>
              <w:t>)</w:t>
            </w:r>
          </w:p>
        </w:tc>
        <w:tc>
          <w:tcPr>
            <w:tcW w:w="1426" w:type="dxa"/>
            <w:tcBorders>
              <w:right w:val="nil"/>
            </w:tcBorders>
            <w:vAlign w:val="top"/>
          </w:tcPr>
          <w:p w14:paraId="4274D67D">
            <w:pPr>
              <w:spacing w:before="98" w:line="189" w:lineRule="auto"/>
              <w:ind w:left="5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
                <w:sz w:val="22"/>
                <w:szCs w:val="22"/>
              </w:rPr>
              <w:t>00</w:t>
            </w:r>
          </w:p>
        </w:tc>
      </w:tr>
      <w:tr w14:paraId="7C98E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96" w:type="dxa"/>
            <w:tcBorders>
              <w:left w:val="nil"/>
            </w:tcBorders>
            <w:vAlign w:val="top"/>
          </w:tcPr>
          <w:p w14:paraId="2BDCEE94">
            <w:pPr>
              <w:spacing w:before="104" w:line="192"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83" w:type="dxa"/>
            <w:vAlign w:val="top"/>
          </w:tcPr>
          <w:p w14:paraId="070F1C36">
            <w:pPr>
              <w:spacing w:before="27" w:line="281" w:lineRule="exact"/>
              <w:ind w:left="392"/>
              <w:rPr>
                <w:rFonts w:ascii="宋体" w:hAnsi="宋体" w:eastAsia="宋体" w:cs="宋体"/>
                <w:sz w:val="20"/>
                <w:szCs w:val="20"/>
              </w:rPr>
            </w:pPr>
            <w:r>
              <w:rPr>
                <w:rFonts w:ascii="宋体" w:hAnsi="宋体" w:eastAsia="宋体" w:cs="宋体"/>
                <w:spacing w:val="-2"/>
                <w:position w:val="2"/>
                <w:sz w:val="20"/>
                <w:szCs w:val="20"/>
              </w:rPr>
              <w:t>硫酸盐 (</w:t>
            </w:r>
            <w:r>
              <w:rPr>
                <w:rFonts w:ascii="Times New Roman" w:hAnsi="Times New Roman" w:eastAsia="Times New Roman" w:cs="Times New Roman"/>
                <w:spacing w:val="-2"/>
                <w:position w:val="2"/>
                <w:sz w:val="20"/>
                <w:szCs w:val="20"/>
              </w:rPr>
              <w:t>mg/</w:t>
            </w:r>
            <w:r>
              <w:rPr>
                <w:rFonts w:ascii="Times New Roman" w:hAnsi="Times New Roman" w:eastAsia="Times New Roman" w:cs="Times New Roman"/>
                <w:spacing w:val="-1"/>
                <w:position w:val="2"/>
                <w:sz w:val="20"/>
                <w:szCs w:val="20"/>
              </w:rPr>
              <w:t>L</w:t>
            </w:r>
            <w:r>
              <w:rPr>
                <w:rFonts w:ascii="宋体" w:hAnsi="宋体" w:eastAsia="宋体" w:cs="宋体"/>
                <w:spacing w:val="-2"/>
                <w:position w:val="2"/>
                <w:sz w:val="20"/>
                <w:szCs w:val="20"/>
              </w:rPr>
              <w:t>)</w:t>
            </w:r>
          </w:p>
        </w:tc>
        <w:tc>
          <w:tcPr>
            <w:tcW w:w="1400" w:type="dxa"/>
            <w:vAlign w:val="top"/>
          </w:tcPr>
          <w:p w14:paraId="7945C750">
            <w:pPr>
              <w:spacing w:before="97" w:line="189" w:lineRule="auto"/>
              <w:ind w:left="54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250</w:t>
            </w:r>
          </w:p>
        </w:tc>
        <w:tc>
          <w:tcPr>
            <w:tcW w:w="2626" w:type="dxa"/>
            <w:vAlign w:val="top"/>
          </w:tcPr>
          <w:p w14:paraId="2C97EC24">
            <w:pPr>
              <w:spacing w:before="27" w:line="281" w:lineRule="exact"/>
              <w:ind w:left="373"/>
              <w:rPr>
                <w:rFonts w:ascii="宋体" w:hAnsi="宋体" w:eastAsia="宋体" w:cs="宋体"/>
                <w:sz w:val="20"/>
                <w:szCs w:val="20"/>
              </w:rPr>
            </w:pPr>
            <w:r>
              <w:rPr>
                <w:rFonts w:ascii="宋体" w:hAnsi="宋体" w:eastAsia="宋体" w:cs="宋体"/>
                <w:spacing w:val="-2"/>
                <w:position w:val="1"/>
                <w:sz w:val="20"/>
                <w:szCs w:val="20"/>
              </w:rPr>
              <w:t>细菌总数 (</w:t>
            </w:r>
            <w:r>
              <w:rPr>
                <w:rFonts w:ascii="Times New Roman" w:hAnsi="Times New Roman" w:eastAsia="Times New Roman" w:cs="Times New Roman"/>
                <w:spacing w:val="-2"/>
                <w:position w:val="1"/>
                <w:sz w:val="20"/>
                <w:szCs w:val="20"/>
              </w:rPr>
              <w:t>CFU/m</w:t>
            </w:r>
            <w:r>
              <w:rPr>
                <w:rFonts w:ascii="Times New Roman" w:hAnsi="Times New Roman" w:eastAsia="Times New Roman" w:cs="Times New Roman"/>
                <w:spacing w:val="-1"/>
                <w:position w:val="1"/>
                <w:sz w:val="20"/>
                <w:szCs w:val="20"/>
              </w:rPr>
              <w:t>L</w:t>
            </w:r>
            <w:r>
              <w:rPr>
                <w:rFonts w:ascii="宋体" w:hAnsi="宋体" w:eastAsia="宋体" w:cs="宋体"/>
                <w:spacing w:val="-2"/>
                <w:position w:val="1"/>
                <w:sz w:val="20"/>
                <w:szCs w:val="20"/>
              </w:rPr>
              <w:t>)</w:t>
            </w:r>
          </w:p>
        </w:tc>
        <w:tc>
          <w:tcPr>
            <w:tcW w:w="1426" w:type="dxa"/>
            <w:tcBorders>
              <w:right w:val="nil"/>
            </w:tcBorders>
            <w:vAlign w:val="top"/>
          </w:tcPr>
          <w:p w14:paraId="2C4CB25E">
            <w:pPr>
              <w:spacing w:before="97" w:line="189" w:lineRule="auto"/>
              <w:ind w:left="581"/>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9"/>
                <w:sz w:val="22"/>
                <w:szCs w:val="22"/>
              </w:rPr>
              <w:t>00</w:t>
            </w:r>
          </w:p>
        </w:tc>
      </w:tr>
      <w:tr w14:paraId="70C9E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96" w:type="dxa"/>
            <w:tcBorders>
              <w:left w:val="nil"/>
            </w:tcBorders>
            <w:vAlign w:val="top"/>
          </w:tcPr>
          <w:p w14:paraId="14F6F718">
            <w:pPr>
              <w:spacing w:before="101" w:line="195"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3" w:type="dxa"/>
            <w:vAlign w:val="top"/>
          </w:tcPr>
          <w:p w14:paraId="09904CB0">
            <w:pPr>
              <w:spacing w:before="28" w:line="281" w:lineRule="exact"/>
              <w:ind w:left="297"/>
              <w:rPr>
                <w:rFonts w:ascii="宋体" w:hAnsi="宋体" w:eastAsia="宋体" w:cs="宋体"/>
                <w:sz w:val="20"/>
                <w:szCs w:val="20"/>
              </w:rPr>
            </w:pPr>
            <w:r>
              <w:rPr>
                <w:rFonts w:ascii="宋体" w:hAnsi="宋体" w:eastAsia="宋体" w:cs="宋体"/>
                <w:spacing w:val="-3"/>
                <w:position w:val="2"/>
                <w:sz w:val="20"/>
                <w:szCs w:val="20"/>
              </w:rPr>
              <w:t>硝</w:t>
            </w:r>
            <w:r>
              <w:rPr>
                <w:rFonts w:ascii="宋体" w:hAnsi="宋体" w:eastAsia="宋体" w:cs="宋体"/>
                <w:spacing w:val="-2"/>
                <w:position w:val="2"/>
                <w:sz w:val="20"/>
                <w:szCs w:val="20"/>
              </w:rPr>
              <w:t>酸盐氮 (</w:t>
            </w:r>
            <w:r>
              <w:rPr>
                <w:rFonts w:ascii="Times New Roman" w:hAnsi="Times New Roman" w:eastAsia="Times New Roman" w:cs="Times New Roman"/>
                <w:spacing w:val="-2"/>
                <w:position w:val="2"/>
                <w:sz w:val="20"/>
                <w:szCs w:val="20"/>
              </w:rPr>
              <w:t>mg/L</w:t>
            </w:r>
            <w:r>
              <w:rPr>
                <w:rFonts w:ascii="宋体" w:hAnsi="宋体" w:eastAsia="宋体" w:cs="宋体"/>
                <w:spacing w:val="-2"/>
                <w:position w:val="2"/>
                <w:sz w:val="20"/>
                <w:szCs w:val="20"/>
              </w:rPr>
              <w:t>)</w:t>
            </w:r>
          </w:p>
        </w:tc>
        <w:tc>
          <w:tcPr>
            <w:tcW w:w="1400" w:type="dxa"/>
            <w:vAlign w:val="top"/>
          </w:tcPr>
          <w:p w14:paraId="54505C4E">
            <w:pPr>
              <w:spacing w:before="99" w:line="189" w:lineRule="auto"/>
              <w:ind w:left="52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3"/>
                <w:sz w:val="22"/>
                <w:szCs w:val="22"/>
              </w:rPr>
              <w:t>0.0</w:t>
            </w:r>
          </w:p>
        </w:tc>
        <w:tc>
          <w:tcPr>
            <w:tcW w:w="2626" w:type="dxa"/>
            <w:vAlign w:val="top"/>
          </w:tcPr>
          <w:p w14:paraId="4FFD00A0">
            <w:pPr>
              <w:spacing w:before="28" w:line="281" w:lineRule="exact"/>
              <w:ind w:left="123"/>
              <w:rPr>
                <w:rFonts w:ascii="宋体" w:hAnsi="宋体" w:eastAsia="宋体" w:cs="宋体"/>
                <w:sz w:val="20"/>
                <w:szCs w:val="20"/>
              </w:rPr>
            </w:pPr>
            <w:r>
              <w:rPr>
                <w:rFonts w:ascii="宋体" w:hAnsi="宋体" w:eastAsia="宋体" w:cs="宋体"/>
                <w:spacing w:val="-2"/>
                <w:position w:val="1"/>
                <w:sz w:val="20"/>
                <w:szCs w:val="20"/>
              </w:rPr>
              <w:t>总大肠菌群 (</w:t>
            </w:r>
            <w:r>
              <w:rPr>
                <w:rFonts w:ascii="Times New Roman" w:hAnsi="Times New Roman" w:eastAsia="Times New Roman" w:cs="Times New Roman"/>
                <w:spacing w:val="-2"/>
                <w:position w:val="1"/>
                <w:sz w:val="20"/>
                <w:szCs w:val="20"/>
              </w:rPr>
              <w:t>MPN/100mL</w:t>
            </w:r>
            <w:r>
              <w:rPr>
                <w:rFonts w:ascii="宋体" w:hAnsi="宋体" w:eastAsia="宋体" w:cs="宋体"/>
                <w:spacing w:val="-2"/>
                <w:position w:val="1"/>
                <w:sz w:val="20"/>
                <w:szCs w:val="20"/>
              </w:rPr>
              <w:t>)</w:t>
            </w:r>
          </w:p>
        </w:tc>
        <w:tc>
          <w:tcPr>
            <w:tcW w:w="1426" w:type="dxa"/>
            <w:tcBorders>
              <w:right w:val="nil"/>
            </w:tcBorders>
            <w:vAlign w:val="top"/>
          </w:tcPr>
          <w:p w14:paraId="00D7FB80">
            <w:pPr>
              <w:spacing w:before="99"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4"/>
                <w:sz w:val="22"/>
                <w:szCs w:val="22"/>
              </w:rPr>
              <w:t>.0</w:t>
            </w:r>
          </w:p>
        </w:tc>
      </w:tr>
    </w:tbl>
    <w:p w14:paraId="0AB465FB">
      <w:pPr>
        <w:spacing w:line="270" w:lineRule="auto"/>
        <w:rPr>
          <w:rFonts w:ascii="Arial"/>
          <w:sz w:val="21"/>
        </w:rPr>
      </w:pPr>
    </w:p>
    <w:p w14:paraId="62679DE7">
      <w:pPr>
        <w:spacing w:before="75" w:line="225" w:lineRule="auto"/>
        <w:ind w:left="571"/>
        <w:rPr>
          <w:rFonts w:ascii="宋体" w:hAnsi="宋体" w:eastAsia="宋体" w:cs="宋体"/>
          <w:sz w:val="23"/>
          <w:szCs w:val="23"/>
        </w:rPr>
      </w:pPr>
      <w:r>
        <w:rPr>
          <w:rFonts w:ascii="宋体" w:hAnsi="宋体" w:eastAsia="宋体" w:cs="宋体"/>
          <w:spacing w:val="-2"/>
          <w:sz w:val="23"/>
          <w:szCs w:val="23"/>
        </w:rPr>
        <w:t>③ 声环境质</w:t>
      </w:r>
      <w:r>
        <w:rPr>
          <w:rFonts w:ascii="宋体" w:hAnsi="宋体" w:eastAsia="宋体" w:cs="宋体"/>
          <w:spacing w:val="-1"/>
          <w:sz w:val="23"/>
          <w:szCs w:val="23"/>
        </w:rPr>
        <w:t>量标准</w:t>
      </w:r>
    </w:p>
    <w:p w14:paraId="396081C7">
      <w:pPr>
        <w:spacing w:line="291" w:lineRule="auto"/>
        <w:rPr>
          <w:rFonts w:ascii="Arial"/>
          <w:sz w:val="21"/>
        </w:rPr>
      </w:pPr>
    </w:p>
    <w:p w14:paraId="473EE589">
      <w:pPr>
        <w:spacing w:before="75" w:line="227" w:lineRule="auto"/>
        <w:ind w:left="577"/>
        <w:rPr>
          <w:rFonts w:ascii="宋体" w:hAnsi="宋体" w:eastAsia="宋体" w:cs="宋体"/>
          <w:sz w:val="23"/>
          <w:szCs w:val="23"/>
        </w:rPr>
      </w:pPr>
      <w:r>
        <w:rPr>
          <w:rFonts w:ascii="宋体" w:hAnsi="宋体" w:eastAsia="宋体" w:cs="宋体"/>
          <w:spacing w:val="-8"/>
          <w:sz w:val="23"/>
          <w:szCs w:val="23"/>
        </w:rPr>
        <w:t>该项目所在区域及</w:t>
      </w:r>
      <w:r>
        <w:rPr>
          <w:rFonts w:ascii="宋体" w:hAnsi="宋体" w:eastAsia="宋体" w:cs="宋体"/>
          <w:spacing w:val="-4"/>
          <w:sz w:val="23"/>
          <w:szCs w:val="23"/>
        </w:rPr>
        <w:t>敏感点声环境质量执行《声环境质量标准》  (</w:t>
      </w:r>
      <w:r>
        <w:rPr>
          <w:rFonts w:ascii="Times New Roman" w:hAnsi="Times New Roman" w:eastAsia="Times New Roman" w:cs="Times New Roman"/>
          <w:spacing w:val="-4"/>
          <w:sz w:val="23"/>
          <w:szCs w:val="23"/>
        </w:rPr>
        <w:t>GB3096-2008</w:t>
      </w:r>
      <w:r>
        <w:rPr>
          <w:rFonts w:ascii="宋体" w:hAnsi="宋体" w:eastAsia="宋体" w:cs="宋体"/>
          <w:spacing w:val="-4"/>
          <w:sz w:val="23"/>
          <w:szCs w:val="23"/>
        </w:rPr>
        <w:t>)</w:t>
      </w:r>
    </w:p>
    <w:p w14:paraId="19A16470">
      <w:pPr>
        <w:spacing w:before="198" w:line="227" w:lineRule="auto"/>
        <w:ind w:left="144"/>
        <w:rPr>
          <w:rFonts w:ascii="宋体" w:hAnsi="宋体" w:eastAsia="宋体" w:cs="宋体"/>
          <w:sz w:val="23"/>
          <w:szCs w:val="23"/>
        </w:rPr>
      </w:pPr>
      <w:r>
        <w:rPr>
          <w:rFonts w:ascii="宋体" w:hAnsi="宋体" w:eastAsia="宋体" w:cs="宋体"/>
          <w:spacing w:val="-10"/>
          <w:sz w:val="23"/>
          <w:szCs w:val="23"/>
        </w:rPr>
        <w:t xml:space="preserve">中的 </w:t>
      </w:r>
      <w:r>
        <w:rPr>
          <w:rFonts w:ascii="Times New Roman" w:hAnsi="Times New Roman" w:eastAsia="Times New Roman" w:cs="Times New Roman"/>
          <w:spacing w:val="-10"/>
          <w:sz w:val="23"/>
          <w:szCs w:val="23"/>
        </w:rPr>
        <w:t xml:space="preserve">3 </w:t>
      </w:r>
      <w:r>
        <w:rPr>
          <w:rFonts w:ascii="宋体" w:hAnsi="宋体" w:eastAsia="宋体" w:cs="宋体"/>
          <w:spacing w:val="-10"/>
          <w:sz w:val="23"/>
          <w:szCs w:val="23"/>
        </w:rPr>
        <w:t xml:space="preserve">类区标准，具体见表 </w:t>
      </w:r>
      <w:r>
        <w:rPr>
          <w:rFonts w:ascii="Times New Roman" w:hAnsi="Times New Roman" w:eastAsia="Times New Roman" w:cs="Times New Roman"/>
          <w:spacing w:val="-10"/>
          <w:sz w:val="23"/>
          <w:szCs w:val="23"/>
        </w:rPr>
        <w:t>2-5</w:t>
      </w:r>
      <w:r>
        <w:rPr>
          <w:rFonts w:ascii="宋体" w:hAnsi="宋体" w:eastAsia="宋体" w:cs="宋体"/>
          <w:spacing w:val="-8"/>
          <w:sz w:val="23"/>
          <w:szCs w:val="23"/>
        </w:rPr>
        <w:t>：</w:t>
      </w:r>
    </w:p>
    <w:p w14:paraId="7B3B308A">
      <w:pPr>
        <w:spacing w:before="315" w:line="332" w:lineRule="exact"/>
        <w:ind w:left="2077"/>
        <w:rPr>
          <w:rFonts w:ascii="宋体" w:hAnsi="宋体" w:eastAsia="宋体" w:cs="宋体"/>
          <w:sz w:val="23"/>
          <w:szCs w:val="23"/>
        </w:rPr>
      </w:pPr>
      <w:r>
        <w:rPr>
          <w:rFonts w:ascii="宋体" w:hAnsi="宋体" w:eastAsia="宋体" w:cs="宋体"/>
          <w:spacing w:val="-2"/>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2"/>
          <w:position w:val="3"/>
          <w:sz w:val="23"/>
          <w:szCs w:val="23"/>
        </w:rPr>
        <w:t xml:space="preserve"> </w:t>
      </w:r>
      <w:r>
        <w:rPr>
          <w:rFonts w:ascii="Times New Roman" w:hAnsi="Times New Roman" w:eastAsia="Times New Roman" w:cs="Times New Roman"/>
          <w:b/>
          <w:bCs/>
          <w:spacing w:val="-2"/>
          <w:position w:val="3"/>
          <w:sz w:val="23"/>
          <w:szCs w:val="23"/>
        </w:rPr>
        <w:t>2-5</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14:textOutline w14:w="4358" w14:cap="sq" w14:cmpd="sng">
            <w14:solidFill>
              <w14:srgbClr w14:val="000000"/>
            </w14:solidFill>
            <w14:prstDash w14:val="solid"/>
            <w14:bevel/>
          </w14:textOutline>
        </w:rPr>
        <w:t>声环境质量标</w:t>
      </w:r>
      <w:r>
        <w:rPr>
          <w:rFonts w:ascii="宋体" w:hAnsi="宋体" w:eastAsia="宋体" w:cs="宋体"/>
          <w:spacing w:val="-1"/>
          <w:position w:val="3"/>
          <w:sz w:val="23"/>
          <w:szCs w:val="23"/>
          <w14:textOutline w14:w="4358" w14:cap="sq" w14:cmpd="sng">
            <w14:solidFill>
              <w14:srgbClr w14:val="000000"/>
            </w14:solidFill>
            <w14:prstDash w14:val="solid"/>
            <w14:bevel/>
          </w14:textOutline>
        </w:rPr>
        <w:t>准</w:t>
      </w:r>
      <w:r>
        <w:rPr>
          <w:rFonts w:ascii="宋体" w:hAnsi="宋体" w:eastAsia="宋体" w:cs="宋体"/>
          <w:spacing w:val="-1"/>
          <w:position w:val="3"/>
          <w:sz w:val="23"/>
          <w:szCs w:val="23"/>
        </w:rPr>
        <w:t xml:space="preserve"> </w:t>
      </w:r>
      <w:r>
        <w:rPr>
          <w:rFonts w:ascii="宋体" w:hAnsi="宋体" w:eastAsia="宋体" w:cs="宋体"/>
          <w:spacing w:val="-1"/>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position w:val="3"/>
          <w:sz w:val="23"/>
          <w:szCs w:val="23"/>
        </w:rPr>
        <w:t>dB(A)</w:t>
      </w:r>
      <w:r>
        <w:rPr>
          <w:rFonts w:ascii="宋体" w:hAnsi="宋体" w:eastAsia="宋体" w:cs="宋体"/>
          <w:spacing w:val="-1"/>
          <w:position w:val="3"/>
          <w:sz w:val="23"/>
          <w:szCs w:val="23"/>
          <w14:textOutline w14:w="4358" w14:cap="sq" w14:cmpd="sng">
            <w14:solidFill>
              <w14:srgbClr w14:val="000000"/>
            </w14:solidFill>
            <w14:prstDash w14:val="solid"/>
            <w14:bevel/>
          </w14:textOutline>
        </w:rPr>
        <w:t>)</w:t>
      </w:r>
    </w:p>
    <w:p w14:paraId="0C85ADA7">
      <w:pPr>
        <w:spacing w:line="17" w:lineRule="exact"/>
      </w:pPr>
    </w:p>
    <w:tbl>
      <w:tblPr>
        <w:tblStyle w:val="4"/>
        <w:tblW w:w="8522"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6"/>
        <w:gridCol w:w="2669"/>
        <w:gridCol w:w="3107"/>
      </w:tblGrid>
      <w:tr w14:paraId="0B6CB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746" w:type="dxa"/>
            <w:tcBorders>
              <w:left w:val="nil"/>
              <w:right w:val="single" w:color="000000" w:sz="4" w:space="0"/>
            </w:tcBorders>
            <w:vAlign w:val="top"/>
          </w:tcPr>
          <w:p w14:paraId="5786E1C0">
            <w:pPr>
              <w:spacing w:before="86" w:line="228" w:lineRule="auto"/>
              <w:ind w:left="1184"/>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类别</w:t>
            </w:r>
          </w:p>
        </w:tc>
        <w:tc>
          <w:tcPr>
            <w:tcW w:w="2669" w:type="dxa"/>
            <w:tcBorders>
              <w:left w:val="single" w:color="000000" w:sz="4" w:space="0"/>
              <w:right w:val="single" w:color="000000" w:sz="4" w:space="0"/>
            </w:tcBorders>
            <w:vAlign w:val="top"/>
          </w:tcPr>
          <w:p w14:paraId="5C4C6ECF">
            <w:pPr>
              <w:spacing w:before="86" w:line="231" w:lineRule="auto"/>
              <w:ind w:left="1139"/>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昼</w:t>
            </w:r>
            <w:r>
              <w:rPr>
                <w:rFonts w:ascii="宋体" w:hAnsi="宋体" w:eastAsia="宋体" w:cs="宋体"/>
                <w:sz w:val="20"/>
                <w:szCs w:val="20"/>
                <w14:textOutline w14:w="3795" w14:cap="sq" w14:cmpd="sng">
                  <w14:solidFill>
                    <w14:srgbClr w14:val="000000"/>
                  </w14:solidFill>
                  <w14:prstDash w14:val="solid"/>
                  <w14:bevel/>
                </w14:textOutline>
              </w:rPr>
              <w:t>间</w:t>
            </w:r>
          </w:p>
        </w:tc>
        <w:tc>
          <w:tcPr>
            <w:tcW w:w="3107" w:type="dxa"/>
            <w:tcBorders>
              <w:left w:val="single" w:color="000000" w:sz="4" w:space="0"/>
              <w:right w:val="nil"/>
            </w:tcBorders>
            <w:vAlign w:val="top"/>
          </w:tcPr>
          <w:p w14:paraId="55A4FDF2">
            <w:pPr>
              <w:spacing w:before="86" w:line="228" w:lineRule="auto"/>
              <w:ind w:left="136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夜</w:t>
            </w:r>
            <w:r>
              <w:rPr>
                <w:rFonts w:ascii="宋体" w:hAnsi="宋体" w:eastAsia="宋体" w:cs="宋体"/>
                <w:spacing w:val="-1"/>
                <w:sz w:val="20"/>
                <w:szCs w:val="20"/>
                <w14:textOutline w14:w="3795" w14:cap="sq" w14:cmpd="sng">
                  <w14:solidFill>
                    <w14:srgbClr w14:val="000000"/>
                  </w14:solidFill>
                  <w14:prstDash w14:val="solid"/>
                  <w14:bevel/>
                </w14:textOutline>
              </w:rPr>
              <w:t>间</w:t>
            </w:r>
          </w:p>
        </w:tc>
      </w:tr>
      <w:tr w14:paraId="007DC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746" w:type="dxa"/>
            <w:tcBorders>
              <w:left w:val="nil"/>
              <w:right w:val="single" w:color="000000" w:sz="4" w:space="0"/>
            </w:tcBorders>
            <w:vAlign w:val="top"/>
          </w:tcPr>
          <w:p w14:paraId="40B656AC">
            <w:pPr>
              <w:spacing w:before="67" w:line="228" w:lineRule="auto"/>
              <w:ind w:left="45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4"/>
                <w:sz w:val="20"/>
                <w:szCs w:val="20"/>
              </w:rPr>
              <w:t>096-2008</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类</w:t>
            </w:r>
          </w:p>
        </w:tc>
        <w:tc>
          <w:tcPr>
            <w:tcW w:w="2669" w:type="dxa"/>
            <w:tcBorders>
              <w:left w:val="single" w:color="000000" w:sz="4" w:space="0"/>
              <w:right w:val="single" w:color="000000" w:sz="4" w:space="0"/>
            </w:tcBorders>
            <w:vAlign w:val="top"/>
          </w:tcPr>
          <w:p w14:paraId="2927D521">
            <w:pPr>
              <w:spacing w:before="103" w:line="195" w:lineRule="auto"/>
              <w:ind w:left="1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w:t>
            </w:r>
          </w:p>
        </w:tc>
        <w:tc>
          <w:tcPr>
            <w:tcW w:w="3107" w:type="dxa"/>
            <w:tcBorders>
              <w:left w:val="single" w:color="000000" w:sz="4" w:space="0"/>
              <w:right w:val="nil"/>
            </w:tcBorders>
            <w:vAlign w:val="top"/>
          </w:tcPr>
          <w:p w14:paraId="1A2871A8">
            <w:pPr>
              <w:spacing w:before="106" w:line="192" w:lineRule="auto"/>
              <w:ind w:left="1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5</w:t>
            </w:r>
          </w:p>
        </w:tc>
      </w:tr>
    </w:tbl>
    <w:p w14:paraId="7F000EE5">
      <w:pPr>
        <w:rPr>
          <w:rFonts w:ascii="Arial"/>
          <w:sz w:val="21"/>
        </w:rPr>
      </w:pPr>
    </w:p>
    <w:p w14:paraId="0760B7C2">
      <w:pPr>
        <w:sectPr>
          <w:headerReference r:id="rId58" w:type="default"/>
          <w:footerReference r:id="rId59" w:type="default"/>
          <w:pgSz w:w="11906" w:h="16839"/>
          <w:pgMar w:top="1132" w:right="1687" w:bottom="1156" w:left="1687" w:header="878" w:footer="996" w:gutter="0"/>
          <w:cols w:space="720" w:num="1"/>
        </w:sectPr>
      </w:pPr>
    </w:p>
    <w:p w14:paraId="57321C43">
      <w:pPr>
        <w:spacing w:line="409" w:lineRule="auto"/>
        <w:rPr>
          <w:rFonts w:ascii="Arial"/>
          <w:sz w:val="21"/>
        </w:rPr>
      </w:pPr>
      <w:r>
        <w:pict>
          <v:shape id="_x0000_s1089" o:spid="_x0000_s1089" style="position:absolute;left:0pt;margin-left:90pt;margin-top:57.35pt;height:0.75pt;width:415.3pt;mso-position-horizontal-relative:page;mso-position-vertical-relative:page;z-index:251726848;mso-width-relative:page;mso-height-relative:page;" fillcolor="#000000" filled="t" stroked="f" coordsize="8305,15" o:allowincell="f" path="m0,0l8305,0,8305,14,0,14,0,0xe">
            <v:path/>
            <v:fill on="t" focussize="0,0"/>
            <v:stroke on="f"/>
            <v:imagedata o:title=""/>
            <o:lock v:ext="edit"/>
          </v:shape>
        </w:pict>
      </w:r>
    </w:p>
    <w:p w14:paraId="23939AEC">
      <w:pPr>
        <w:spacing w:before="74" w:line="225" w:lineRule="auto"/>
        <w:ind w:left="566"/>
        <w:rPr>
          <w:rFonts w:ascii="宋体" w:hAnsi="宋体" w:eastAsia="宋体" w:cs="宋体"/>
          <w:sz w:val="23"/>
          <w:szCs w:val="23"/>
        </w:rPr>
      </w:pPr>
      <w:r>
        <w:rPr>
          <w:rFonts w:ascii="宋体" w:hAnsi="宋体" w:eastAsia="宋体" w:cs="宋体"/>
          <w:spacing w:val="-2"/>
          <w:sz w:val="23"/>
          <w:szCs w:val="23"/>
        </w:rPr>
        <w:t>④ 土壤</w:t>
      </w:r>
      <w:r>
        <w:rPr>
          <w:rFonts w:ascii="宋体" w:hAnsi="宋体" w:eastAsia="宋体" w:cs="宋体"/>
          <w:spacing w:val="-1"/>
          <w:sz w:val="23"/>
          <w:szCs w:val="23"/>
        </w:rPr>
        <w:t>环境质量标准</w:t>
      </w:r>
    </w:p>
    <w:p w14:paraId="1A4DAEF9">
      <w:pPr>
        <w:spacing w:line="291" w:lineRule="auto"/>
        <w:rPr>
          <w:rFonts w:ascii="Arial"/>
          <w:sz w:val="21"/>
        </w:rPr>
      </w:pPr>
    </w:p>
    <w:p w14:paraId="763310E0">
      <w:pPr>
        <w:spacing w:before="74" w:line="381" w:lineRule="auto"/>
        <w:ind w:left="119" w:right="110" w:firstLine="453"/>
        <w:rPr>
          <w:rFonts w:ascii="宋体" w:hAnsi="宋体" w:eastAsia="宋体" w:cs="宋体"/>
          <w:sz w:val="23"/>
          <w:szCs w:val="23"/>
        </w:rPr>
      </w:pPr>
      <w:r>
        <w:rPr>
          <w:rFonts w:ascii="宋体" w:hAnsi="宋体" w:eastAsia="宋体" w:cs="宋体"/>
          <w:spacing w:val="-4"/>
          <w:sz w:val="23"/>
          <w:szCs w:val="23"/>
        </w:rPr>
        <w:t>项目所在区域土壤环境质量执</w:t>
      </w:r>
      <w:r>
        <w:rPr>
          <w:rFonts w:ascii="宋体" w:hAnsi="宋体" w:eastAsia="宋体" w:cs="宋体"/>
          <w:spacing w:val="-2"/>
          <w:sz w:val="23"/>
          <w:szCs w:val="23"/>
        </w:rPr>
        <w:t>行《土壤环境质量 建设用地土壤污染风险管控标</w:t>
      </w:r>
      <w:r>
        <w:rPr>
          <w:rFonts w:ascii="宋体" w:hAnsi="宋体" w:eastAsia="宋体" w:cs="宋体"/>
          <w:sz w:val="23"/>
          <w:szCs w:val="23"/>
        </w:rPr>
        <w:t xml:space="preserve"> </w:t>
      </w:r>
      <w:r>
        <w:rPr>
          <w:rFonts w:ascii="宋体" w:hAnsi="宋体" w:eastAsia="宋体" w:cs="宋体"/>
          <w:spacing w:val="-12"/>
          <w:sz w:val="23"/>
          <w:szCs w:val="23"/>
        </w:rPr>
        <w:t>准 (试行</w:t>
      </w:r>
      <w:r>
        <w:rPr>
          <w:rFonts w:ascii="宋体" w:hAnsi="宋体" w:eastAsia="宋体" w:cs="宋体"/>
          <w:spacing w:val="-8"/>
          <w:sz w:val="23"/>
          <w:szCs w:val="23"/>
        </w:rPr>
        <w:t>)</w:t>
      </w:r>
      <w:r>
        <w:rPr>
          <w:rFonts w:ascii="宋体" w:hAnsi="宋体" w:eastAsia="宋体" w:cs="宋体"/>
          <w:spacing w:val="-6"/>
          <w:sz w:val="23"/>
          <w:szCs w:val="23"/>
        </w:rPr>
        <w:t xml:space="preserve"> 》  (单位：</w:t>
      </w:r>
      <w:r>
        <w:rPr>
          <w:rFonts w:ascii="Times New Roman" w:hAnsi="Times New Roman" w:eastAsia="Times New Roman" w:cs="Times New Roman"/>
          <w:spacing w:val="-6"/>
          <w:sz w:val="23"/>
          <w:szCs w:val="23"/>
        </w:rPr>
        <w:t>mg/kg</w:t>
      </w:r>
      <w:r>
        <w:rPr>
          <w:rFonts w:ascii="宋体" w:hAnsi="宋体" w:eastAsia="宋体" w:cs="宋体"/>
          <w:spacing w:val="-6"/>
          <w:sz w:val="23"/>
          <w:szCs w:val="23"/>
        </w:rPr>
        <w:t xml:space="preserve">) 中筛选值第二类标准，具体见表 </w:t>
      </w:r>
      <w:r>
        <w:rPr>
          <w:rFonts w:ascii="Times New Roman" w:hAnsi="Times New Roman" w:eastAsia="Times New Roman" w:cs="Times New Roman"/>
          <w:spacing w:val="-6"/>
          <w:sz w:val="23"/>
          <w:szCs w:val="23"/>
        </w:rPr>
        <w:t>2-6</w:t>
      </w:r>
      <w:r>
        <w:rPr>
          <w:rFonts w:ascii="宋体" w:hAnsi="宋体" w:eastAsia="宋体" w:cs="宋体"/>
          <w:spacing w:val="-6"/>
          <w:sz w:val="23"/>
          <w:szCs w:val="23"/>
        </w:rPr>
        <w:t>：</w:t>
      </w:r>
    </w:p>
    <w:p w14:paraId="7D135209">
      <w:pPr>
        <w:spacing w:before="128" w:line="332" w:lineRule="exact"/>
        <w:ind w:left="116"/>
        <w:rPr>
          <w:rFonts w:ascii="宋体" w:hAnsi="宋体" w:eastAsia="宋体" w:cs="宋体"/>
          <w:sz w:val="23"/>
          <w:szCs w:val="23"/>
        </w:rPr>
      </w:pPr>
      <w:r>
        <w:rPr>
          <w:rFonts w:ascii="宋体" w:hAnsi="宋体" w:eastAsia="宋体" w:cs="宋体"/>
          <w:spacing w:val="-10"/>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10"/>
          <w:position w:val="3"/>
          <w:sz w:val="23"/>
          <w:szCs w:val="23"/>
        </w:rPr>
        <w:t xml:space="preserve"> </w:t>
      </w:r>
      <w:r>
        <w:rPr>
          <w:rFonts w:ascii="Times New Roman" w:hAnsi="Times New Roman" w:eastAsia="Times New Roman" w:cs="Times New Roman"/>
          <w:b/>
          <w:bCs/>
          <w:spacing w:val="-10"/>
          <w:position w:val="3"/>
          <w:sz w:val="23"/>
          <w:szCs w:val="23"/>
        </w:rPr>
        <w:t>2-6</w:t>
      </w:r>
      <w:r>
        <w:rPr>
          <w:rFonts w:ascii="宋体" w:hAnsi="宋体" w:eastAsia="宋体" w:cs="宋体"/>
          <w:spacing w:val="-8"/>
          <w:position w:val="3"/>
          <w:sz w:val="23"/>
          <w:szCs w:val="23"/>
          <w14:textOutline w14:w="4358" w14:cap="sq" w14:cmpd="sng">
            <w14:solidFill>
              <w14:srgbClr w14:val="000000"/>
            </w14:solidFill>
            <w14:prstDash w14:val="solid"/>
            <w14:bevel/>
          </w14:textOutline>
        </w:rPr>
        <w:t>《</w:t>
      </w:r>
      <w:r>
        <w:rPr>
          <w:rFonts w:ascii="宋体" w:hAnsi="宋体" w:eastAsia="宋体" w:cs="宋体"/>
          <w:spacing w:val="-5"/>
          <w:position w:val="3"/>
          <w:sz w:val="23"/>
          <w:szCs w:val="23"/>
          <w14:textOutline w14:w="4358" w14:cap="sq" w14:cmpd="sng">
            <w14:solidFill>
              <w14:srgbClr w14:val="000000"/>
            </w14:solidFill>
            <w14:prstDash w14:val="solid"/>
            <w14:bevel/>
          </w14:textOutline>
        </w:rPr>
        <w:t>土壤环境质量</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建设用地土壤污染风险管控标准</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(试行)</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5"/>
          <w:position w:val="3"/>
          <w:sz w:val="23"/>
          <w:szCs w:val="23"/>
        </w:rPr>
        <w:t>mg/kg</w:t>
      </w:r>
      <w:r>
        <w:rPr>
          <w:rFonts w:ascii="宋体" w:hAnsi="宋体" w:eastAsia="宋体" w:cs="宋体"/>
          <w:spacing w:val="-5"/>
          <w:position w:val="3"/>
          <w:sz w:val="23"/>
          <w:szCs w:val="23"/>
          <w14:textOutline w14:w="4358" w14:cap="sq" w14:cmpd="sng">
            <w14:solidFill>
              <w14:srgbClr w14:val="000000"/>
            </w14:solidFill>
            <w14:prstDash w14:val="solid"/>
            <w14:bevel/>
          </w14:textOutline>
        </w:rPr>
        <w:t>)</w:t>
      </w:r>
    </w:p>
    <w:p w14:paraId="58797AA9">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2130"/>
        <w:gridCol w:w="2130"/>
        <w:gridCol w:w="2132"/>
      </w:tblGrid>
      <w:tr w14:paraId="66F0A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130" w:type="dxa"/>
            <w:tcBorders>
              <w:left w:val="nil"/>
              <w:right w:val="single" w:color="000000" w:sz="4" w:space="0"/>
            </w:tcBorders>
            <w:vAlign w:val="top"/>
          </w:tcPr>
          <w:p w14:paraId="3750EC47">
            <w:pPr>
              <w:spacing w:before="87" w:line="228" w:lineRule="auto"/>
              <w:ind w:left="58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污染物项</w:t>
            </w:r>
            <w:r>
              <w:rPr>
                <w:rFonts w:ascii="宋体" w:hAnsi="宋体" w:eastAsia="宋体" w:cs="宋体"/>
                <w:spacing w:val="-1"/>
                <w:sz w:val="20"/>
                <w:szCs w:val="20"/>
                <w14:textOutline w14:w="3795" w14:cap="sq" w14:cmpd="sng">
                  <w14:solidFill>
                    <w14:srgbClr w14:val="000000"/>
                  </w14:solidFill>
                  <w14:prstDash w14:val="solid"/>
                  <w14:bevel/>
                </w14:textOutline>
              </w:rPr>
              <w:t>目</w:t>
            </w:r>
          </w:p>
        </w:tc>
        <w:tc>
          <w:tcPr>
            <w:tcW w:w="2130" w:type="dxa"/>
            <w:tcBorders>
              <w:left w:val="single" w:color="000000" w:sz="4" w:space="0"/>
              <w:right w:val="single" w:color="000000" w:sz="4" w:space="0"/>
            </w:tcBorders>
            <w:vAlign w:val="top"/>
          </w:tcPr>
          <w:p w14:paraId="31CCD345">
            <w:pPr>
              <w:spacing w:before="86" w:line="228" w:lineRule="auto"/>
              <w:ind w:left="11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筛选值</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(第二类用</w:t>
            </w:r>
            <w:r>
              <w:rPr>
                <w:rFonts w:ascii="宋体" w:hAnsi="宋体" w:eastAsia="宋体" w:cs="宋体"/>
                <w:spacing w:val="-1"/>
                <w:sz w:val="20"/>
                <w:szCs w:val="20"/>
                <w14:textOutline w14:w="3795" w14:cap="sq" w14:cmpd="sng">
                  <w14:solidFill>
                    <w14:srgbClr w14:val="000000"/>
                  </w14:solidFill>
                  <w14:prstDash w14:val="solid"/>
                  <w14:bevel/>
                </w14:textOutline>
              </w:rPr>
              <w:t>地)</w:t>
            </w:r>
          </w:p>
        </w:tc>
        <w:tc>
          <w:tcPr>
            <w:tcW w:w="2130" w:type="dxa"/>
            <w:tcBorders>
              <w:left w:val="single" w:color="000000" w:sz="4" w:space="0"/>
              <w:right w:val="single" w:color="000000" w:sz="4" w:space="0"/>
            </w:tcBorders>
            <w:vAlign w:val="top"/>
          </w:tcPr>
          <w:p w14:paraId="7B9578AB">
            <w:pPr>
              <w:spacing w:before="87" w:line="228" w:lineRule="auto"/>
              <w:ind w:left="57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污染物项</w:t>
            </w:r>
            <w:r>
              <w:rPr>
                <w:rFonts w:ascii="宋体" w:hAnsi="宋体" w:eastAsia="宋体" w:cs="宋体"/>
                <w:spacing w:val="-1"/>
                <w:sz w:val="20"/>
                <w:szCs w:val="20"/>
                <w14:textOutline w14:w="3795" w14:cap="sq" w14:cmpd="sng">
                  <w14:solidFill>
                    <w14:srgbClr w14:val="000000"/>
                  </w14:solidFill>
                  <w14:prstDash w14:val="solid"/>
                  <w14:bevel/>
                </w14:textOutline>
              </w:rPr>
              <w:t>目</w:t>
            </w:r>
          </w:p>
        </w:tc>
        <w:tc>
          <w:tcPr>
            <w:tcW w:w="2132" w:type="dxa"/>
            <w:tcBorders>
              <w:left w:val="single" w:color="000000" w:sz="4" w:space="0"/>
              <w:right w:val="nil"/>
            </w:tcBorders>
            <w:vAlign w:val="top"/>
          </w:tcPr>
          <w:p w14:paraId="0809DD0C">
            <w:pPr>
              <w:spacing w:before="86" w:line="228" w:lineRule="auto"/>
              <w:ind w:left="11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筛选值</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(第二类用</w:t>
            </w:r>
            <w:r>
              <w:rPr>
                <w:rFonts w:ascii="宋体" w:hAnsi="宋体" w:eastAsia="宋体" w:cs="宋体"/>
                <w:spacing w:val="-1"/>
                <w:sz w:val="20"/>
                <w:szCs w:val="20"/>
                <w14:textOutline w14:w="3795" w14:cap="sq" w14:cmpd="sng">
                  <w14:solidFill>
                    <w14:srgbClr w14:val="000000"/>
                  </w14:solidFill>
                  <w14:prstDash w14:val="solid"/>
                  <w14:bevel/>
                </w14:textOutline>
              </w:rPr>
              <w:t>地)</w:t>
            </w:r>
          </w:p>
        </w:tc>
      </w:tr>
      <w:tr w14:paraId="55BA2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0" w:type="dxa"/>
            <w:tcBorders>
              <w:left w:val="nil"/>
              <w:right w:val="single" w:color="000000" w:sz="4" w:space="0"/>
            </w:tcBorders>
            <w:vAlign w:val="top"/>
          </w:tcPr>
          <w:p w14:paraId="6D542FFD">
            <w:pPr>
              <w:spacing w:before="65" w:line="228" w:lineRule="auto"/>
              <w:ind w:left="974"/>
              <w:rPr>
                <w:rFonts w:ascii="宋体" w:hAnsi="宋体" w:eastAsia="宋体" w:cs="宋体"/>
                <w:sz w:val="20"/>
                <w:szCs w:val="20"/>
              </w:rPr>
            </w:pPr>
            <w:r>
              <w:rPr>
                <w:rFonts w:ascii="宋体" w:hAnsi="宋体" w:eastAsia="宋体" w:cs="宋体"/>
                <w:spacing w:val="1"/>
                <w:sz w:val="20"/>
                <w:szCs w:val="20"/>
              </w:rPr>
              <w:t>砷</w:t>
            </w:r>
          </w:p>
        </w:tc>
        <w:tc>
          <w:tcPr>
            <w:tcW w:w="2130" w:type="dxa"/>
            <w:tcBorders>
              <w:left w:val="single" w:color="000000" w:sz="4" w:space="0"/>
              <w:right w:val="single" w:color="000000" w:sz="4" w:space="0"/>
            </w:tcBorders>
            <w:vAlign w:val="top"/>
          </w:tcPr>
          <w:p w14:paraId="741AE14E">
            <w:pPr>
              <w:spacing w:before="101"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w:t>
            </w:r>
          </w:p>
        </w:tc>
        <w:tc>
          <w:tcPr>
            <w:tcW w:w="2130" w:type="dxa"/>
            <w:tcBorders>
              <w:left w:val="single" w:color="000000" w:sz="4" w:space="0"/>
              <w:right w:val="single" w:color="000000" w:sz="4" w:space="0"/>
            </w:tcBorders>
            <w:vAlign w:val="top"/>
          </w:tcPr>
          <w:p w14:paraId="7BBC7094">
            <w:pPr>
              <w:spacing w:before="64" w:line="228" w:lineRule="auto"/>
              <w:ind w:left="675"/>
              <w:rPr>
                <w:rFonts w:ascii="宋体" w:hAnsi="宋体" w:eastAsia="宋体" w:cs="宋体"/>
                <w:sz w:val="20"/>
                <w:szCs w:val="20"/>
              </w:rPr>
            </w:pPr>
            <w:r>
              <w:rPr>
                <w:rFonts w:ascii="宋体" w:hAnsi="宋体" w:eastAsia="宋体" w:cs="宋体"/>
                <w:spacing w:val="-2"/>
                <w:sz w:val="20"/>
                <w:szCs w:val="20"/>
              </w:rPr>
              <w:t>三氯</w:t>
            </w:r>
            <w:r>
              <w:rPr>
                <w:rFonts w:ascii="宋体" w:hAnsi="宋体" w:eastAsia="宋体" w:cs="宋体"/>
                <w:spacing w:val="-1"/>
                <w:sz w:val="20"/>
                <w:szCs w:val="20"/>
              </w:rPr>
              <w:t>乙烯</w:t>
            </w:r>
          </w:p>
        </w:tc>
        <w:tc>
          <w:tcPr>
            <w:tcW w:w="2132" w:type="dxa"/>
            <w:tcBorders>
              <w:left w:val="single" w:color="000000" w:sz="4" w:space="0"/>
              <w:right w:val="nil"/>
            </w:tcBorders>
            <w:vAlign w:val="top"/>
          </w:tcPr>
          <w:p w14:paraId="12BB027E">
            <w:pPr>
              <w:spacing w:before="101" w:line="198"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r>
      <w:tr w14:paraId="1AC41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0" w:type="dxa"/>
            <w:tcBorders>
              <w:left w:val="nil"/>
              <w:right w:val="single" w:color="000000" w:sz="4" w:space="0"/>
            </w:tcBorders>
            <w:vAlign w:val="top"/>
          </w:tcPr>
          <w:p w14:paraId="0B759210">
            <w:pPr>
              <w:spacing w:before="65" w:line="231" w:lineRule="auto"/>
              <w:ind w:left="973"/>
              <w:rPr>
                <w:rFonts w:ascii="宋体" w:hAnsi="宋体" w:eastAsia="宋体" w:cs="宋体"/>
                <w:sz w:val="20"/>
                <w:szCs w:val="20"/>
              </w:rPr>
            </w:pPr>
            <w:r>
              <w:rPr>
                <w:rFonts w:ascii="宋体" w:hAnsi="宋体" w:eastAsia="宋体" w:cs="宋体"/>
                <w:spacing w:val="2"/>
                <w:sz w:val="20"/>
                <w:szCs w:val="20"/>
              </w:rPr>
              <w:t>镉</w:t>
            </w:r>
          </w:p>
        </w:tc>
        <w:tc>
          <w:tcPr>
            <w:tcW w:w="2130" w:type="dxa"/>
            <w:tcBorders>
              <w:left w:val="single" w:color="000000" w:sz="4" w:space="0"/>
              <w:right w:val="single" w:color="000000" w:sz="4" w:space="0"/>
            </w:tcBorders>
            <w:vAlign w:val="top"/>
          </w:tcPr>
          <w:p w14:paraId="6085BEF1">
            <w:pPr>
              <w:spacing w:before="102"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w:t>
            </w:r>
          </w:p>
        </w:tc>
        <w:tc>
          <w:tcPr>
            <w:tcW w:w="2130" w:type="dxa"/>
            <w:tcBorders>
              <w:left w:val="single" w:color="000000" w:sz="4" w:space="0"/>
              <w:right w:val="single" w:color="000000" w:sz="4" w:space="0"/>
            </w:tcBorders>
            <w:vAlign w:val="top"/>
          </w:tcPr>
          <w:p w14:paraId="0DB72542">
            <w:pPr>
              <w:spacing w:before="65" w:line="221" w:lineRule="auto"/>
              <w:ind w:left="468"/>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w:t>
            </w:r>
            <w:r>
              <w:rPr>
                <w:rFonts w:ascii="宋体" w:hAnsi="宋体" w:eastAsia="宋体" w:cs="宋体"/>
                <w:spacing w:val="-3"/>
                <w:sz w:val="20"/>
                <w:szCs w:val="20"/>
              </w:rPr>
              <w:t>三氯丙烷</w:t>
            </w:r>
          </w:p>
        </w:tc>
        <w:tc>
          <w:tcPr>
            <w:tcW w:w="2132" w:type="dxa"/>
            <w:tcBorders>
              <w:left w:val="single" w:color="000000" w:sz="4" w:space="0"/>
              <w:right w:val="nil"/>
            </w:tcBorders>
            <w:vAlign w:val="top"/>
          </w:tcPr>
          <w:p w14:paraId="4DF8AD79">
            <w:pPr>
              <w:spacing w:before="102"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5</w:t>
            </w:r>
          </w:p>
        </w:tc>
      </w:tr>
      <w:tr w14:paraId="3893F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30A37238">
            <w:pPr>
              <w:spacing w:before="67" w:line="226" w:lineRule="auto"/>
              <w:ind w:left="583"/>
              <w:rPr>
                <w:rFonts w:ascii="宋体" w:hAnsi="宋体" w:eastAsia="宋体" w:cs="宋体"/>
                <w:sz w:val="20"/>
                <w:szCs w:val="20"/>
              </w:rPr>
            </w:pPr>
            <w:r>
              <w:rPr>
                <w:rFonts w:ascii="宋体" w:hAnsi="宋体" w:eastAsia="宋体" w:cs="宋体"/>
                <w:spacing w:val="-2"/>
                <w:sz w:val="20"/>
                <w:szCs w:val="20"/>
              </w:rPr>
              <w:t xml:space="preserve">铬 </w:t>
            </w:r>
            <w:r>
              <w:rPr>
                <w:rFonts w:ascii="宋体" w:hAnsi="宋体" w:eastAsia="宋体" w:cs="宋体"/>
                <w:spacing w:val="-1"/>
                <w:sz w:val="20"/>
                <w:szCs w:val="20"/>
              </w:rPr>
              <w:t>(六价)</w:t>
            </w:r>
          </w:p>
        </w:tc>
        <w:tc>
          <w:tcPr>
            <w:tcW w:w="2130" w:type="dxa"/>
            <w:tcBorders>
              <w:left w:val="single" w:color="000000" w:sz="4" w:space="0"/>
              <w:right w:val="single" w:color="000000" w:sz="4" w:space="0"/>
            </w:tcBorders>
            <w:vAlign w:val="top"/>
          </w:tcPr>
          <w:p w14:paraId="5B054B01">
            <w:pPr>
              <w:spacing w:before="106" w:line="192" w:lineRule="auto"/>
              <w:ind w:left="9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.7</w:t>
            </w:r>
          </w:p>
        </w:tc>
        <w:tc>
          <w:tcPr>
            <w:tcW w:w="2130" w:type="dxa"/>
            <w:tcBorders>
              <w:left w:val="single" w:color="000000" w:sz="4" w:space="0"/>
              <w:right w:val="single" w:color="000000" w:sz="4" w:space="0"/>
            </w:tcBorders>
            <w:vAlign w:val="top"/>
          </w:tcPr>
          <w:p w14:paraId="40E83701">
            <w:pPr>
              <w:spacing w:before="66" w:line="228" w:lineRule="auto"/>
              <w:ind w:left="776"/>
              <w:rPr>
                <w:rFonts w:ascii="宋体" w:hAnsi="宋体" w:eastAsia="宋体" w:cs="宋体"/>
                <w:sz w:val="20"/>
                <w:szCs w:val="20"/>
              </w:rPr>
            </w:pPr>
            <w:r>
              <w:rPr>
                <w:rFonts w:ascii="宋体" w:hAnsi="宋体" w:eastAsia="宋体" w:cs="宋体"/>
                <w:spacing w:val="-2"/>
                <w:sz w:val="20"/>
                <w:szCs w:val="20"/>
              </w:rPr>
              <w:t>氯乙烯</w:t>
            </w:r>
          </w:p>
        </w:tc>
        <w:tc>
          <w:tcPr>
            <w:tcW w:w="2132" w:type="dxa"/>
            <w:tcBorders>
              <w:left w:val="single" w:color="000000" w:sz="4" w:space="0"/>
              <w:right w:val="nil"/>
            </w:tcBorders>
            <w:vAlign w:val="top"/>
          </w:tcPr>
          <w:p w14:paraId="4123F0D0">
            <w:pPr>
              <w:spacing w:before="103" w:line="195" w:lineRule="auto"/>
              <w:ind w:left="8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w:t>
            </w:r>
            <w:r>
              <w:rPr>
                <w:rFonts w:ascii="Times New Roman" w:hAnsi="Times New Roman" w:eastAsia="Times New Roman" w:cs="Times New Roman"/>
                <w:spacing w:val="-1"/>
                <w:sz w:val="20"/>
                <w:szCs w:val="20"/>
              </w:rPr>
              <w:t>3</w:t>
            </w:r>
          </w:p>
        </w:tc>
      </w:tr>
      <w:tr w14:paraId="069DB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6D972A30">
            <w:pPr>
              <w:spacing w:before="67" w:line="229" w:lineRule="auto"/>
              <w:ind w:left="975"/>
              <w:rPr>
                <w:rFonts w:ascii="宋体" w:hAnsi="宋体" w:eastAsia="宋体" w:cs="宋体"/>
                <w:sz w:val="20"/>
                <w:szCs w:val="20"/>
              </w:rPr>
            </w:pPr>
            <w:r>
              <w:rPr>
                <w:rFonts w:ascii="宋体" w:hAnsi="宋体" w:eastAsia="宋体" w:cs="宋体"/>
                <w:sz w:val="20"/>
                <w:szCs w:val="20"/>
              </w:rPr>
              <w:t>铜</w:t>
            </w:r>
          </w:p>
        </w:tc>
        <w:tc>
          <w:tcPr>
            <w:tcW w:w="2130" w:type="dxa"/>
            <w:tcBorders>
              <w:left w:val="single" w:color="000000" w:sz="4" w:space="0"/>
              <w:right w:val="single" w:color="000000" w:sz="4" w:space="0"/>
            </w:tcBorders>
            <w:vAlign w:val="top"/>
          </w:tcPr>
          <w:p w14:paraId="3D6B75D7">
            <w:pPr>
              <w:spacing w:before="103"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8000</w:t>
            </w:r>
          </w:p>
        </w:tc>
        <w:tc>
          <w:tcPr>
            <w:tcW w:w="2130" w:type="dxa"/>
            <w:tcBorders>
              <w:left w:val="single" w:color="000000" w:sz="4" w:space="0"/>
              <w:right w:val="single" w:color="000000" w:sz="4" w:space="0"/>
            </w:tcBorders>
            <w:vAlign w:val="top"/>
          </w:tcPr>
          <w:p w14:paraId="7B447669">
            <w:pPr>
              <w:spacing w:before="67" w:line="227" w:lineRule="auto"/>
              <w:ind w:left="972"/>
              <w:rPr>
                <w:rFonts w:ascii="宋体" w:hAnsi="宋体" w:eastAsia="宋体" w:cs="宋体"/>
                <w:sz w:val="20"/>
                <w:szCs w:val="20"/>
              </w:rPr>
            </w:pPr>
            <w:r>
              <w:rPr>
                <w:rFonts w:ascii="宋体" w:hAnsi="宋体" w:eastAsia="宋体" w:cs="宋体"/>
                <w:sz w:val="20"/>
                <w:szCs w:val="20"/>
              </w:rPr>
              <w:t>苯</w:t>
            </w:r>
          </w:p>
        </w:tc>
        <w:tc>
          <w:tcPr>
            <w:tcW w:w="2132" w:type="dxa"/>
            <w:tcBorders>
              <w:left w:val="single" w:color="000000" w:sz="4" w:space="0"/>
              <w:right w:val="nil"/>
            </w:tcBorders>
            <w:vAlign w:val="top"/>
          </w:tcPr>
          <w:p w14:paraId="694D6E9A">
            <w:pPr>
              <w:spacing w:before="103" w:line="195" w:lineRule="auto"/>
              <w:ind w:left="10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177D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7A394D58">
            <w:pPr>
              <w:spacing w:before="67" w:line="232" w:lineRule="auto"/>
              <w:ind w:left="975"/>
              <w:rPr>
                <w:rFonts w:ascii="宋体" w:hAnsi="宋体" w:eastAsia="宋体" w:cs="宋体"/>
                <w:sz w:val="20"/>
                <w:szCs w:val="20"/>
              </w:rPr>
            </w:pPr>
            <w:r>
              <w:rPr>
                <w:rFonts w:ascii="宋体" w:hAnsi="宋体" w:eastAsia="宋体" w:cs="宋体"/>
                <w:sz w:val="20"/>
                <w:szCs w:val="20"/>
              </w:rPr>
              <w:t>铅</w:t>
            </w:r>
          </w:p>
        </w:tc>
        <w:tc>
          <w:tcPr>
            <w:tcW w:w="2130" w:type="dxa"/>
            <w:tcBorders>
              <w:left w:val="single" w:color="000000" w:sz="4" w:space="0"/>
              <w:right w:val="single" w:color="000000" w:sz="4" w:space="0"/>
            </w:tcBorders>
            <w:vAlign w:val="top"/>
          </w:tcPr>
          <w:p w14:paraId="6C3D06C2">
            <w:pPr>
              <w:spacing w:before="103" w:line="195" w:lineRule="auto"/>
              <w:ind w:left="9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00</w:t>
            </w:r>
          </w:p>
        </w:tc>
        <w:tc>
          <w:tcPr>
            <w:tcW w:w="2130" w:type="dxa"/>
            <w:tcBorders>
              <w:left w:val="single" w:color="000000" w:sz="4" w:space="0"/>
              <w:right w:val="single" w:color="000000" w:sz="4" w:space="0"/>
            </w:tcBorders>
            <w:vAlign w:val="top"/>
          </w:tcPr>
          <w:p w14:paraId="1A697A74">
            <w:pPr>
              <w:spacing w:before="67" w:line="227" w:lineRule="auto"/>
              <w:ind w:left="875"/>
              <w:rPr>
                <w:rFonts w:ascii="宋体" w:hAnsi="宋体" w:eastAsia="宋体" w:cs="宋体"/>
                <w:sz w:val="20"/>
                <w:szCs w:val="20"/>
              </w:rPr>
            </w:pPr>
            <w:r>
              <w:rPr>
                <w:rFonts w:ascii="宋体" w:hAnsi="宋体" w:eastAsia="宋体" w:cs="宋体"/>
                <w:spacing w:val="-2"/>
                <w:sz w:val="20"/>
                <w:szCs w:val="20"/>
              </w:rPr>
              <w:t>氯</w:t>
            </w:r>
            <w:r>
              <w:rPr>
                <w:rFonts w:ascii="宋体" w:hAnsi="宋体" w:eastAsia="宋体" w:cs="宋体"/>
                <w:spacing w:val="-1"/>
                <w:sz w:val="20"/>
                <w:szCs w:val="20"/>
              </w:rPr>
              <w:t>苯</w:t>
            </w:r>
          </w:p>
        </w:tc>
        <w:tc>
          <w:tcPr>
            <w:tcW w:w="2132" w:type="dxa"/>
            <w:tcBorders>
              <w:left w:val="single" w:color="000000" w:sz="4" w:space="0"/>
              <w:right w:val="nil"/>
            </w:tcBorders>
            <w:vAlign w:val="top"/>
          </w:tcPr>
          <w:p w14:paraId="577B08C0">
            <w:pPr>
              <w:spacing w:before="103" w:line="195" w:lineRule="auto"/>
              <w:ind w:left="917"/>
              <w:rPr>
                <w:rFonts w:ascii="Times New Roman" w:hAnsi="Times New Roman" w:eastAsia="Times New Roman" w:cs="Times New Roman"/>
                <w:sz w:val="20"/>
                <w:szCs w:val="20"/>
              </w:rPr>
            </w:pPr>
            <w:r>
              <w:rPr>
                <w:rFonts w:ascii="Times New Roman" w:hAnsi="Times New Roman" w:eastAsia="Times New Roman" w:cs="Times New Roman"/>
                <w:sz w:val="20"/>
                <w:szCs w:val="20"/>
              </w:rPr>
              <w:t>270</w:t>
            </w:r>
          </w:p>
        </w:tc>
      </w:tr>
      <w:tr w14:paraId="0CAD9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16F6A8BE">
            <w:pPr>
              <w:spacing w:before="67" w:line="228" w:lineRule="auto"/>
              <w:ind w:left="976"/>
              <w:rPr>
                <w:rFonts w:ascii="宋体" w:hAnsi="宋体" w:eastAsia="宋体" w:cs="宋体"/>
                <w:sz w:val="20"/>
                <w:szCs w:val="20"/>
              </w:rPr>
            </w:pPr>
            <w:r>
              <w:rPr>
                <w:rFonts w:ascii="宋体" w:hAnsi="宋体" w:eastAsia="宋体" w:cs="宋体"/>
                <w:sz w:val="20"/>
                <w:szCs w:val="20"/>
              </w:rPr>
              <w:t>汞</w:t>
            </w:r>
          </w:p>
        </w:tc>
        <w:tc>
          <w:tcPr>
            <w:tcW w:w="2130" w:type="dxa"/>
            <w:tcBorders>
              <w:left w:val="single" w:color="000000" w:sz="4" w:space="0"/>
              <w:right w:val="single" w:color="000000" w:sz="4" w:space="0"/>
            </w:tcBorders>
            <w:vAlign w:val="top"/>
          </w:tcPr>
          <w:p w14:paraId="120DD2F8">
            <w:pPr>
              <w:spacing w:before="103"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w:t>
            </w:r>
          </w:p>
        </w:tc>
        <w:tc>
          <w:tcPr>
            <w:tcW w:w="2130" w:type="dxa"/>
            <w:tcBorders>
              <w:left w:val="single" w:color="000000" w:sz="4" w:space="0"/>
              <w:right w:val="single" w:color="000000" w:sz="4" w:space="0"/>
            </w:tcBorders>
            <w:vAlign w:val="top"/>
          </w:tcPr>
          <w:p w14:paraId="5D790872">
            <w:pPr>
              <w:spacing w:before="66" w:line="221" w:lineRule="auto"/>
              <w:ind w:left="638"/>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,2-</w:t>
            </w:r>
            <w:r>
              <w:rPr>
                <w:rFonts w:ascii="宋体" w:hAnsi="宋体" w:eastAsia="宋体" w:cs="宋体"/>
                <w:spacing w:val="-4"/>
                <w:sz w:val="20"/>
                <w:szCs w:val="20"/>
              </w:rPr>
              <w:t>二氯苯</w:t>
            </w:r>
          </w:p>
        </w:tc>
        <w:tc>
          <w:tcPr>
            <w:tcW w:w="2132" w:type="dxa"/>
            <w:tcBorders>
              <w:left w:val="single" w:color="000000" w:sz="4" w:space="0"/>
              <w:right w:val="nil"/>
            </w:tcBorders>
            <w:vAlign w:val="top"/>
          </w:tcPr>
          <w:p w14:paraId="3C4615A6">
            <w:pPr>
              <w:spacing w:before="103"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r>
      <w:tr w14:paraId="02203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10444D8B">
            <w:pPr>
              <w:spacing w:before="67" w:line="228" w:lineRule="auto"/>
              <w:ind w:left="974"/>
              <w:rPr>
                <w:rFonts w:ascii="宋体" w:hAnsi="宋体" w:eastAsia="宋体" w:cs="宋体"/>
                <w:sz w:val="20"/>
                <w:szCs w:val="20"/>
              </w:rPr>
            </w:pPr>
            <w:r>
              <w:rPr>
                <w:rFonts w:ascii="宋体" w:hAnsi="宋体" w:eastAsia="宋体" w:cs="宋体"/>
                <w:spacing w:val="1"/>
                <w:sz w:val="20"/>
                <w:szCs w:val="20"/>
              </w:rPr>
              <w:t>镍</w:t>
            </w:r>
          </w:p>
        </w:tc>
        <w:tc>
          <w:tcPr>
            <w:tcW w:w="2130" w:type="dxa"/>
            <w:tcBorders>
              <w:left w:val="single" w:color="000000" w:sz="4" w:space="0"/>
              <w:right w:val="single" w:color="000000" w:sz="4" w:space="0"/>
            </w:tcBorders>
            <w:vAlign w:val="top"/>
          </w:tcPr>
          <w:p w14:paraId="41B5DB09">
            <w:pPr>
              <w:spacing w:before="103"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1"/>
                <w:sz w:val="20"/>
                <w:szCs w:val="20"/>
              </w:rPr>
              <w:t>00</w:t>
            </w:r>
          </w:p>
        </w:tc>
        <w:tc>
          <w:tcPr>
            <w:tcW w:w="2130" w:type="dxa"/>
            <w:tcBorders>
              <w:left w:val="single" w:color="000000" w:sz="4" w:space="0"/>
              <w:right w:val="single" w:color="000000" w:sz="4" w:space="0"/>
            </w:tcBorders>
            <w:vAlign w:val="top"/>
          </w:tcPr>
          <w:p w14:paraId="7C958F99">
            <w:pPr>
              <w:spacing w:before="66" w:line="221" w:lineRule="auto"/>
              <w:ind w:left="638"/>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,4-</w:t>
            </w:r>
            <w:r>
              <w:rPr>
                <w:rFonts w:ascii="宋体" w:hAnsi="宋体" w:eastAsia="宋体" w:cs="宋体"/>
                <w:spacing w:val="-4"/>
                <w:sz w:val="20"/>
                <w:szCs w:val="20"/>
              </w:rPr>
              <w:t>二氯苯</w:t>
            </w:r>
          </w:p>
        </w:tc>
        <w:tc>
          <w:tcPr>
            <w:tcW w:w="2132" w:type="dxa"/>
            <w:tcBorders>
              <w:left w:val="single" w:color="000000" w:sz="4" w:space="0"/>
              <w:right w:val="nil"/>
            </w:tcBorders>
            <w:vAlign w:val="top"/>
          </w:tcPr>
          <w:p w14:paraId="2183FF7B">
            <w:pPr>
              <w:spacing w:before="103" w:line="195" w:lineRule="auto"/>
              <w:ind w:left="967"/>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r>
      <w:tr w14:paraId="3AA0D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78D012D1">
            <w:pPr>
              <w:spacing w:before="67" w:line="228" w:lineRule="auto"/>
              <w:ind w:left="699"/>
              <w:rPr>
                <w:rFonts w:ascii="宋体" w:hAnsi="宋体" w:eastAsia="宋体" w:cs="宋体"/>
                <w:sz w:val="20"/>
                <w:szCs w:val="20"/>
              </w:rPr>
            </w:pPr>
            <w:r>
              <w:rPr>
                <w:rFonts w:ascii="宋体" w:hAnsi="宋体" w:eastAsia="宋体" w:cs="宋体"/>
                <w:spacing w:val="-8"/>
                <w:sz w:val="20"/>
                <w:szCs w:val="20"/>
              </w:rPr>
              <w:t>四</w:t>
            </w:r>
            <w:r>
              <w:rPr>
                <w:rFonts w:ascii="宋体" w:hAnsi="宋体" w:eastAsia="宋体" w:cs="宋体"/>
                <w:spacing w:val="-6"/>
                <w:sz w:val="20"/>
                <w:szCs w:val="20"/>
              </w:rPr>
              <w:t>氯化碳</w:t>
            </w:r>
          </w:p>
        </w:tc>
        <w:tc>
          <w:tcPr>
            <w:tcW w:w="2130" w:type="dxa"/>
            <w:tcBorders>
              <w:left w:val="single" w:color="000000" w:sz="4" w:space="0"/>
              <w:right w:val="single" w:color="000000" w:sz="4" w:space="0"/>
            </w:tcBorders>
            <w:vAlign w:val="top"/>
          </w:tcPr>
          <w:p w14:paraId="7E66341B">
            <w:pPr>
              <w:spacing w:before="103" w:line="198"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8</w:t>
            </w:r>
          </w:p>
        </w:tc>
        <w:tc>
          <w:tcPr>
            <w:tcW w:w="2130" w:type="dxa"/>
            <w:tcBorders>
              <w:left w:val="single" w:color="000000" w:sz="4" w:space="0"/>
              <w:right w:val="single" w:color="000000" w:sz="4" w:space="0"/>
            </w:tcBorders>
            <w:vAlign w:val="top"/>
          </w:tcPr>
          <w:p w14:paraId="3BB05AFE">
            <w:pPr>
              <w:spacing w:before="67" w:line="227" w:lineRule="auto"/>
              <w:ind w:left="892"/>
              <w:rPr>
                <w:rFonts w:ascii="宋体" w:hAnsi="宋体" w:eastAsia="宋体" w:cs="宋体"/>
                <w:sz w:val="20"/>
                <w:szCs w:val="20"/>
              </w:rPr>
            </w:pPr>
            <w:r>
              <w:rPr>
                <w:rFonts w:ascii="宋体" w:hAnsi="宋体" w:eastAsia="宋体" w:cs="宋体"/>
                <w:spacing w:val="-10"/>
                <w:sz w:val="20"/>
                <w:szCs w:val="20"/>
              </w:rPr>
              <w:t>乙苯</w:t>
            </w:r>
          </w:p>
        </w:tc>
        <w:tc>
          <w:tcPr>
            <w:tcW w:w="2132" w:type="dxa"/>
            <w:tcBorders>
              <w:left w:val="single" w:color="000000" w:sz="4" w:space="0"/>
              <w:right w:val="nil"/>
            </w:tcBorders>
            <w:vAlign w:val="top"/>
          </w:tcPr>
          <w:p w14:paraId="0BE79F8A">
            <w:pPr>
              <w:spacing w:before="103" w:line="195" w:lineRule="auto"/>
              <w:ind w:left="967"/>
              <w:rPr>
                <w:rFonts w:ascii="Times New Roman" w:hAnsi="Times New Roman" w:eastAsia="Times New Roman" w:cs="Times New Roman"/>
                <w:sz w:val="20"/>
                <w:szCs w:val="20"/>
              </w:rPr>
            </w:pPr>
            <w:r>
              <w:rPr>
                <w:rFonts w:ascii="Times New Roman" w:hAnsi="Times New Roman" w:eastAsia="Times New Roman" w:cs="Times New Roman"/>
                <w:sz w:val="20"/>
                <w:szCs w:val="20"/>
              </w:rPr>
              <w:t>28</w:t>
            </w:r>
          </w:p>
        </w:tc>
      </w:tr>
      <w:tr w14:paraId="24734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361A9774">
            <w:pPr>
              <w:spacing w:before="67" w:line="228" w:lineRule="auto"/>
              <w:ind w:left="880"/>
              <w:rPr>
                <w:rFonts w:ascii="宋体" w:hAnsi="宋体" w:eastAsia="宋体" w:cs="宋体"/>
                <w:sz w:val="20"/>
                <w:szCs w:val="20"/>
              </w:rPr>
            </w:pPr>
            <w:r>
              <w:rPr>
                <w:rFonts w:ascii="宋体" w:hAnsi="宋体" w:eastAsia="宋体" w:cs="宋体"/>
                <w:spacing w:val="-2"/>
                <w:sz w:val="20"/>
                <w:szCs w:val="20"/>
              </w:rPr>
              <w:t>氯</w:t>
            </w:r>
            <w:r>
              <w:rPr>
                <w:rFonts w:ascii="宋体" w:hAnsi="宋体" w:eastAsia="宋体" w:cs="宋体"/>
                <w:spacing w:val="-1"/>
                <w:sz w:val="20"/>
                <w:szCs w:val="20"/>
              </w:rPr>
              <w:t>仿</w:t>
            </w:r>
          </w:p>
        </w:tc>
        <w:tc>
          <w:tcPr>
            <w:tcW w:w="2130" w:type="dxa"/>
            <w:tcBorders>
              <w:left w:val="single" w:color="000000" w:sz="4" w:space="0"/>
              <w:right w:val="single" w:color="000000" w:sz="4" w:space="0"/>
            </w:tcBorders>
            <w:vAlign w:val="top"/>
          </w:tcPr>
          <w:p w14:paraId="4EF80E26">
            <w:pPr>
              <w:spacing w:before="103"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9</w:t>
            </w:r>
          </w:p>
        </w:tc>
        <w:tc>
          <w:tcPr>
            <w:tcW w:w="2130" w:type="dxa"/>
            <w:tcBorders>
              <w:left w:val="single" w:color="000000" w:sz="4" w:space="0"/>
              <w:right w:val="single" w:color="000000" w:sz="4" w:space="0"/>
            </w:tcBorders>
            <w:vAlign w:val="top"/>
          </w:tcPr>
          <w:p w14:paraId="0DF57C08">
            <w:pPr>
              <w:spacing w:before="67" w:line="227" w:lineRule="auto"/>
              <w:ind w:left="776"/>
              <w:rPr>
                <w:rFonts w:ascii="宋体" w:hAnsi="宋体" w:eastAsia="宋体" w:cs="宋体"/>
                <w:sz w:val="20"/>
                <w:szCs w:val="20"/>
              </w:rPr>
            </w:pPr>
            <w:r>
              <w:rPr>
                <w:rFonts w:ascii="宋体" w:hAnsi="宋体" w:eastAsia="宋体" w:cs="宋体"/>
                <w:spacing w:val="-2"/>
                <w:sz w:val="20"/>
                <w:szCs w:val="20"/>
              </w:rPr>
              <w:t>苯乙</w:t>
            </w:r>
            <w:r>
              <w:rPr>
                <w:rFonts w:ascii="宋体" w:hAnsi="宋体" w:eastAsia="宋体" w:cs="宋体"/>
                <w:spacing w:val="-1"/>
                <w:sz w:val="20"/>
                <w:szCs w:val="20"/>
              </w:rPr>
              <w:t>烯</w:t>
            </w:r>
          </w:p>
        </w:tc>
        <w:tc>
          <w:tcPr>
            <w:tcW w:w="2132" w:type="dxa"/>
            <w:tcBorders>
              <w:left w:val="single" w:color="000000" w:sz="4" w:space="0"/>
              <w:right w:val="nil"/>
            </w:tcBorders>
            <w:vAlign w:val="top"/>
          </w:tcPr>
          <w:p w14:paraId="0BA81672">
            <w:pPr>
              <w:spacing w:before="103" w:line="195" w:lineRule="auto"/>
              <w:ind w:left="88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290</w:t>
            </w:r>
          </w:p>
        </w:tc>
      </w:tr>
      <w:tr w14:paraId="72278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6DE6E25C">
            <w:pPr>
              <w:spacing w:before="67" w:line="228" w:lineRule="auto"/>
              <w:ind w:left="781"/>
              <w:rPr>
                <w:rFonts w:ascii="宋体" w:hAnsi="宋体" w:eastAsia="宋体" w:cs="宋体"/>
                <w:sz w:val="20"/>
                <w:szCs w:val="20"/>
              </w:rPr>
            </w:pPr>
            <w:r>
              <w:rPr>
                <w:rFonts w:ascii="宋体" w:hAnsi="宋体" w:eastAsia="宋体" w:cs="宋体"/>
                <w:spacing w:val="-2"/>
                <w:sz w:val="20"/>
                <w:szCs w:val="20"/>
              </w:rPr>
              <w:t>氯甲烷</w:t>
            </w:r>
          </w:p>
        </w:tc>
        <w:tc>
          <w:tcPr>
            <w:tcW w:w="2130" w:type="dxa"/>
            <w:tcBorders>
              <w:left w:val="single" w:color="000000" w:sz="4" w:space="0"/>
              <w:right w:val="single" w:color="000000" w:sz="4" w:space="0"/>
            </w:tcBorders>
            <w:vAlign w:val="top"/>
          </w:tcPr>
          <w:p w14:paraId="223FE2F6">
            <w:pPr>
              <w:spacing w:before="103"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w:t>
            </w:r>
          </w:p>
        </w:tc>
        <w:tc>
          <w:tcPr>
            <w:tcW w:w="2130" w:type="dxa"/>
            <w:tcBorders>
              <w:left w:val="single" w:color="000000" w:sz="4" w:space="0"/>
              <w:right w:val="single" w:color="000000" w:sz="4" w:space="0"/>
            </w:tcBorders>
            <w:vAlign w:val="top"/>
          </w:tcPr>
          <w:p w14:paraId="554911F2">
            <w:pPr>
              <w:spacing w:before="67" w:line="227" w:lineRule="auto"/>
              <w:ind w:left="898"/>
              <w:rPr>
                <w:rFonts w:ascii="宋体" w:hAnsi="宋体" w:eastAsia="宋体" w:cs="宋体"/>
                <w:sz w:val="20"/>
                <w:szCs w:val="20"/>
              </w:rPr>
            </w:pPr>
            <w:r>
              <w:rPr>
                <w:rFonts w:ascii="宋体" w:hAnsi="宋体" w:eastAsia="宋体" w:cs="宋体"/>
                <w:spacing w:val="-14"/>
                <w:sz w:val="20"/>
                <w:szCs w:val="20"/>
              </w:rPr>
              <w:t>甲</w:t>
            </w:r>
            <w:r>
              <w:rPr>
                <w:rFonts w:ascii="宋体" w:hAnsi="宋体" w:eastAsia="宋体" w:cs="宋体"/>
                <w:spacing w:val="-13"/>
                <w:sz w:val="20"/>
                <w:szCs w:val="20"/>
              </w:rPr>
              <w:t>苯</w:t>
            </w:r>
          </w:p>
        </w:tc>
        <w:tc>
          <w:tcPr>
            <w:tcW w:w="2132" w:type="dxa"/>
            <w:tcBorders>
              <w:left w:val="single" w:color="000000" w:sz="4" w:space="0"/>
              <w:right w:val="nil"/>
            </w:tcBorders>
            <w:vAlign w:val="top"/>
          </w:tcPr>
          <w:p w14:paraId="3B40CA31">
            <w:pPr>
              <w:spacing w:before="103" w:line="195" w:lineRule="auto"/>
              <w:ind w:left="88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200</w:t>
            </w:r>
          </w:p>
        </w:tc>
      </w:tr>
      <w:tr w14:paraId="50C30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6AFA5CF0">
            <w:pPr>
              <w:spacing w:before="66" w:line="221" w:lineRule="auto"/>
              <w:ind w:left="545"/>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9"/>
                <w:sz w:val="20"/>
                <w:szCs w:val="20"/>
              </w:rPr>
              <w:t>, 1-</w:t>
            </w:r>
            <w:r>
              <w:rPr>
                <w:rFonts w:ascii="宋体" w:hAnsi="宋体" w:eastAsia="宋体" w:cs="宋体"/>
                <w:spacing w:val="-9"/>
                <w:sz w:val="20"/>
                <w:szCs w:val="20"/>
              </w:rPr>
              <w:t>二氯乙烷</w:t>
            </w:r>
          </w:p>
        </w:tc>
        <w:tc>
          <w:tcPr>
            <w:tcW w:w="2130" w:type="dxa"/>
            <w:tcBorders>
              <w:left w:val="single" w:color="000000" w:sz="4" w:space="0"/>
              <w:right w:val="single" w:color="000000" w:sz="4" w:space="0"/>
            </w:tcBorders>
            <w:vAlign w:val="top"/>
          </w:tcPr>
          <w:p w14:paraId="640C62EB">
            <w:pPr>
              <w:spacing w:before="103"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0" w:type="dxa"/>
            <w:tcBorders>
              <w:left w:val="single" w:color="000000" w:sz="4" w:space="0"/>
              <w:right w:val="single" w:color="000000" w:sz="4" w:space="0"/>
            </w:tcBorders>
            <w:vAlign w:val="top"/>
          </w:tcPr>
          <w:p w14:paraId="76BC7866">
            <w:pPr>
              <w:spacing w:before="29" w:line="281" w:lineRule="exact"/>
              <w:ind w:left="245"/>
              <w:rPr>
                <w:rFonts w:ascii="宋体" w:hAnsi="宋体" w:eastAsia="宋体" w:cs="宋体"/>
                <w:sz w:val="20"/>
                <w:szCs w:val="20"/>
              </w:rPr>
            </w:pPr>
            <w:r>
              <w:rPr>
                <w:rFonts w:ascii="宋体" w:hAnsi="宋体" w:eastAsia="宋体" w:cs="宋体"/>
                <w:spacing w:val="-6"/>
                <w:position w:val="1"/>
                <w:sz w:val="20"/>
                <w:szCs w:val="20"/>
              </w:rPr>
              <w:t>间</w:t>
            </w:r>
            <w:r>
              <w:rPr>
                <w:rFonts w:ascii="宋体" w:hAnsi="宋体" w:eastAsia="宋体" w:cs="宋体"/>
                <w:spacing w:val="-4"/>
                <w:position w:val="1"/>
                <w:sz w:val="20"/>
                <w:szCs w:val="20"/>
              </w:rPr>
              <w:t>二甲苯</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对二甲苯</w:t>
            </w:r>
          </w:p>
        </w:tc>
        <w:tc>
          <w:tcPr>
            <w:tcW w:w="2132" w:type="dxa"/>
            <w:tcBorders>
              <w:left w:val="single" w:color="000000" w:sz="4" w:space="0"/>
              <w:right w:val="nil"/>
            </w:tcBorders>
            <w:vAlign w:val="top"/>
          </w:tcPr>
          <w:p w14:paraId="513561A8">
            <w:pPr>
              <w:spacing w:before="103"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r>
              <w:rPr>
                <w:rFonts w:ascii="Times New Roman" w:hAnsi="Times New Roman" w:eastAsia="Times New Roman" w:cs="Times New Roman"/>
                <w:spacing w:val="-1"/>
                <w:sz w:val="20"/>
                <w:szCs w:val="20"/>
              </w:rPr>
              <w:t>0</w:t>
            </w:r>
          </w:p>
        </w:tc>
      </w:tr>
      <w:tr w14:paraId="40D79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0" w:type="dxa"/>
            <w:tcBorders>
              <w:left w:val="nil"/>
              <w:right w:val="single" w:color="000000" w:sz="4" w:space="0"/>
            </w:tcBorders>
            <w:vAlign w:val="top"/>
          </w:tcPr>
          <w:p w14:paraId="5F1882F0">
            <w:pPr>
              <w:spacing w:before="66" w:line="221" w:lineRule="auto"/>
              <w:ind w:left="545"/>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,2-</w:t>
            </w:r>
            <w:r>
              <w:rPr>
                <w:rFonts w:ascii="宋体" w:hAnsi="宋体" w:eastAsia="宋体" w:cs="宋体"/>
                <w:spacing w:val="-4"/>
                <w:sz w:val="20"/>
                <w:szCs w:val="20"/>
              </w:rPr>
              <w:t>二氯乙烷</w:t>
            </w:r>
          </w:p>
        </w:tc>
        <w:tc>
          <w:tcPr>
            <w:tcW w:w="2130" w:type="dxa"/>
            <w:tcBorders>
              <w:left w:val="single" w:color="000000" w:sz="4" w:space="0"/>
              <w:right w:val="single" w:color="000000" w:sz="4" w:space="0"/>
            </w:tcBorders>
            <w:vAlign w:val="top"/>
          </w:tcPr>
          <w:p w14:paraId="38CF1259">
            <w:pPr>
              <w:spacing w:before="106" w:line="192" w:lineRule="auto"/>
              <w:ind w:left="10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0" w:type="dxa"/>
            <w:tcBorders>
              <w:left w:val="single" w:color="000000" w:sz="4" w:space="0"/>
              <w:right w:val="single" w:color="000000" w:sz="4" w:space="0"/>
            </w:tcBorders>
            <w:vAlign w:val="top"/>
          </w:tcPr>
          <w:p w14:paraId="7282E89A">
            <w:pPr>
              <w:spacing w:before="67" w:line="227" w:lineRule="auto"/>
              <w:ind w:left="674"/>
              <w:rPr>
                <w:rFonts w:ascii="宋体" w:hAnsi="宋体" w:eastAsia="宋体" w:cs="宋体"/>
                <w:sz w:val="20"/>
                <w:szCs w:val="20"/>
              </w:rPr>
            </w:pPr>
            <w:r>
              <w:rPr>
                <w:rFonts w:ascii="宋体" w:hAnsi="宋体" w:eastAsia="宋体" w:cs="宋体"/>
                <w:spacing w:val="-2"/>
                <w:sz w:val="20"/>
                <w:szCs w:val="20"/>
              </w:rPr>
              <w:t>邻</w:t>
            </w:r>
            <w:r>
              <w:rPr>
                <w:rFonts w:ascii="宋体" w:hAnsi="宋体" w:eastAsia="宋体" w:cs="宋体"/>
                <w:spacing w:val="-1"/>
                <w:sz w:val="20"/>
                <w:szCs w:val="20"/>
              </w:rPr>
              <w:t>二甲苯</w:t>
            </w:r>
          </w:p>
        </w:tc>
        <w:tc>
          <w:tcPr>
            <w:tcW w:w="2132" w:type="dxa"/>
            <w:tcBorders>
              <w:left w:val="single" w:color="000000" w:sz="4" w:space="0"/>
              <w:right w:val="nil"/>
            </w:tcBorders>
            <w:vAlign w:val="top"/>
          </w:tcPr>
          <w:p w14:paraId="35FF7223">
            <w:pPr>
              <w:spacing w:before="103"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40</w:t>
            </w:r>
          </w:p>
        </w:tc>
      </w:tr>
      <w:tr w14:paraId="16E19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443765F6">
            <w:pPr>
              <w:spacing w:before="67" w:line="221" w:lineRule="auto"/>
              <w:ind w:left="545"/>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9"/>
                <w:sz w:val="20"/>
                <w:szCs w:val="20"/>
              </w:rPr>
              <w:t>, 1-</w:t>
            </w:r>
            <w:r>
              <w:rPr>
                <w:rFonts w:ascii="宋体" w:hAnsi="宋体" w:eastAsia="宋体" w:cs="宋体"/>
                <w:spacing w:val="-9"/>
                <w:sz w:val="20"/>
                <w:szCs w:val="20"/>
              </w:rPr>
              <w:t>二氯乙烯</w:t>
            </w:r>
          </w:p>
        </w:tc>
        <w:tc>
          <w:tcPr>
            <w:tcW w:w="2130" w:type="dxa"/>
            <w:tcBorders>
              <w:left w:val="single" w:color="000000" w:sz="4" w:space="0"/>
              <w:right w:val="single" w:color="000000" w:sz="4" w:space="0"/>
            </w:tcBorders>
            <w:vAlign w:val="top"/>
          </w:tcPr>
          <w:p w14:paraId="4E101BE0">
            <w:pPr>
              <w:spacing w:before="104"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w:t>
            </w:r>
          </w:p>
        </w:tc>
        <w:tc>
          <w:tcPr>
            <w:tcW w:w="2130" w:type="dxa"/>
            <w:tcBorders>
              <w:left w:val="single" w:color="000000" w:sz="4" w:space="0"/>
              <w:right w:val="single" w:color="000000" w:sz="4" w:space="0"/>
            </w:tcBorders>
            <w:vAlign w:val="top"/>
          </w:tcPr>
          <w:p w14:paraId="01349081">
            <w:pPr>
              <w:spacing w:before="68" w:line="227" w:lineRule="auto"/>
              <w:ind w:left="775"/>
              <w:rPr>
                <w:rFonts w:ascii="宋体" w:hAnsi="宋体" w:eastAsia="宋体" w:cs="宋体"/>
                <w:sz w:val="20"/>
                <w:szCs w:val="20"/>
              </w:rPr>
            </w:pPr>
            <w:r>
              <w:rPr>
                <w:rFonts w:ascii="宋体" w:hAnsi="宋体" w:eastAsia="宋体" w:cs="宋体"/>
                <w:spacing w:val="-2"/>
                <w:sz w:val="20"/>
                <w:szCs w:val="20"/>
              </w:rPr>
              <w:t>硝基</w:t>
            </w:r>
            <w:r>
              <w:rPr>
                <w:rFonts w:ascii="宋体" w:hAnsi="宋体" w:eastAsia="宋体" w:cs="宋体"/>
                <w:spacing w:val="-1"/>
                <w:sz w:val="20"/>
                <w:szCs w:val="20"/>
              </w:rPr>
              <w:t>苯</w:t>
            </w:r>
          </w:p>
        </w:tc>
        <w:tc>
          <w:tcPr>
            <w:tcW w:w="2132" w:type="dxa"/>
            <w:tcBorders>
              <w:left w:val="single" w:color="000000" w:sz="4" w:space="0"/>
              <w:right w:val="nil"/>
            </w:tcBorders>
            <w:vAlign w:val="top"/>
          </w:tcPr>
          <w:p w14:paraId="234E1B68">
            <w:pPr>
              <w:spacing w:before="104"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6</w:t>
            </w:r>
          </w:p>
        </w:tc>
      </w:tr>
      <w:tr w14:paraId="28842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7EC19980">
            <w:pPr>
              <w:spacing w:before="67" w:line="233" w:lineRule="auto"/>
              <w:ind w:left="400"/>
              <w:rPr>
                <w:rFonts w:ascii="宋体" w:hAnsi="宋体" w:eastAsia="宋体" w:cs="宋体"/>
                <w:sz w:val="20"/>
                <w:szCs w:val="20"/>
              </w:rPr>
            </w:pPr>
            <w:r>
              <w:rPr>
                <w:rFonts w:ascii="宋体" w:hAnsi="宋体" w:eastAsia="宋体" w:cs="宋体"/>
                <w:spacing w:val="-4"/>
                <w:sz w:val="20"/>
                <w:szCs w:val="20"/>
              </w:rPr>
              <w:t>顺</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,2-</w:t>
            </w:r>
            <w:r>
              <w:rPr>
                <w:rFonts w:ascii="宋体" w:hAnsi="宋体" w:eastAsia="宋体" w:cs="宋体"/>
                <w:spacing w:val="-2"/>
                <w:sz w:val="20"/>
                <w:szCs w:val="20"/>
              </w:rPr>
              <w:t>二氯乙烯</w:t>
            </w:r>
          </w:p>
        </w:tc>
        <w:tc>
          <w:tcPr>
            <w:tcW w:w="2130" w:type="dxa"/>
            <w:tcBorders>
              <w:left w:val="single" w:color="000000" w:sz="4" w:space="0"/>
              <w:right w:val="single" w:color="000000" w:sz="4" w:space="0"/>
            </w:tcBorders>
            <w:vAlign w:val="top"/>
          </w:tcPr>
          <w:p w14:paraId="6D344B6B">
            <w:pPr>
              <w:spacing w:before="104"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6</w:t>
            </w:r>
          </w:p>
        </w:tc>
        <w:tc>
          <w:tcPr>
            <w:tcW w:w="2130" w:type="dxa"/>
            <w:tcBorders>
              <w:left w:val="single" w:color="000000" w:sz="4" w:space="0"/>
              <w:right w:val="single" w:color="000000" w:sz="4" w:space="0"/>
            </w:tcBorders>
            <w:vAlign w:val="top"/>
          </w:tcPr>
          <w:p w14:paraId="5172D7F9">
            <w:pPr>
              <w:spacing w:before="68" w:line="227" w:lineRule="auto"/>
              <w:ind w:left="874"/>
              <w:rPr>
                <w:rFonts w:ascii="宋体" w:hAnsi="宋体" w:eastAsia="宋体" w:cs="宋体"/>
                <w:sz w:val="20"/>
                <w:szCs w:val="20"/>
              </w:rPr>
            </w:pPr>
            <w:r>
              <w:rPr>
                <w:rFonts w:ascii="宋体" w:hAnsi="宋体" w:eastAsia="宋体" w:cs="宋体"/>
                <w:spacing w:val="-1"/>
                <w:sz w:val="20"/>
                <w:szCs w:val="20"/>
              </w:rPr>
              <w:t>苯胺</w:t>
            </w:r>
          </w:p>
        </w:tc>
        <w:tc>
          <w:tcPr>
            <w:tcW w:w="2132" w:type="dxa"/>
            <w:tcBorders>
              <w:left w:val="single" w:color="000000" w:sz="4" w:space="0"/>
              <w:right w:val="nil"/>
            </w:tcBorders>
            <w:vAlign w:val="top"/>
          </w:tcPr>
          <w:p w14:paraId="42CF6C93">
            <w:pPr>
              <w:spacing w:before="104" w:line="195" w:lineRule="auto"/>
              <w:ind w:left="917"/>
              <w:rPr>
                <w:rFonts w:ascii="Times New Roman" w:hAnsi="Times New Roman" w:eastAsia="Times New Roman" w:cs="Times New Roman"/>
                <w:sz w:val="20"/>
                <w:szCs w:val="20"/>
              </w:rPr>
            </w:pPr>
            <w:r>
              <w:rPr>
                <w:rFonts w:ascii="Times New Roman" w:hAnsi="Times New Roman" w:eastAsia="Times New Roman" w:cs="Times New Roman"/>
                <w:sz w:val="20"/>
                <w:szCs w:val="20"/>
              </w:rPr>
              <w:t>260</w:t>
            </w:r>
          </w:p>
        </w:tc>
      </w:tr>
      <w:tr w14:paraId="6EDD4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3D644731">
            <w:pPr>
              <w:spacing w:before="67" w:line="233" w:lineRule="auto"/>
              <w:ind w:left="400"/>
              <w:rPr>
                <w:rFonts w:ascii="宋体" w:hAnsi="宋体" w:eastAsia="宋体" w:cs="宋体"/>
                <w:sz w:val="20"/>
                <w:szCs w:val="20"/>
              </w:rPr>
            </w:pPr>
            <w:r>
              <w:rPr>
                <w:rFonts w:ascii="宋体" w:hAnsi="宋体" w:eastAsia="宋体" w:cs="宋体"/>
                <w:spacing w:val="-4"/>
                <w:sz w:val="20"/>
                <w:szCs w:val="20"/>
              </w:rPr>
              <w:t>反</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,2-</w:t>
            </w:r>
            <w:r>
              <w:rPr>
                <w:rFonts w:ascii="宋体" w:hAnsi="宋体" w:eastAsia="宋体" w:cs="宋体"/>
                <w:spacing w:val="-2"/>
                <w:sz w:val="20"/>
                <w:szCs w:val="20"/>
              </w:rPr>
              <w:t>二氯乙烯</w:t>
            </w:r>
          </w:p>
        </w:tc>
        <w:tc>
          <w:tcPr>
            <w:tcW w:w="2130" w:type="dxa"/>
            <w:tcBorders>
              <w:left w:val="single" w:color="000000" w:sz="4" w:space="0"/>
              <w:right w:val="single" w:color="000000" w:sz="4" w:space="0"/>
            </w:tcBorders>
            <w:vAlign w:val="top"/>
          </w:tcPr>
          <w:p w14:paraId="69F0E705">
            <w:pPr>
              <w:spacing w:before="104"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4</w:t>
            </w:r>
          </w:p>
        </w:tc>
        <w:tc>
          <w:tcPr>
            <w:tcW w:w="2130" w:type="dxa"/>
            <w:tcBorders>
              <w:left w:val="single" w:color="000000" w:sz="4" w:space="0"/>
              <w:right w:val="single" w:color="000000" w:sz="4" w:space="0"/>
            </w:tcBorders>
            <w:vAlign w:val="top"/>
          </w:tcPr>
          <w:p w14:paraId="7DE1D81B">
            <w:pPr>
              <w:spacing w:before="68" w:line="229" w:lineRule="auto"/>
              <w:ind w:left="786"/>
              <w:rPr>
                <w:rFonts w:ascii="宋体" w:hAnsi="宋体" w:eastAsia="宋体" w:cs="宋体"/>
                <w:sz w:val="20"/>
                <w:szCs w:val="20"/>
              </w:rPr>
            </w:pPr>
            <w:r>
              <w:rPr>
                <w:rFonts w:ascii="Times New Roman" w:hAnsi="Times New Roman" w:eastAsia="Times New Roman" w:cs="Times New Roman"/>
                <w:spacing w:val="-1"/>
                <w:sz w:val="20"/>
                <w:szCs w:val="20"/>
              </w:rPr>
              <w:t>2-</w:t>
            </w:r>
            <w:r>
              <w:rPr>
                <w:rFonts w:ascii="宋体" w:hAnsi="宋体" w:eastAsia="宋体" w:cs="宋体"/>
                <w:sz w:val="20"/>
                <w:szCs w:val="20"/>
              </w:rPr>
              <w:t>氯酚</w:t>
            </w:r>
          </w:p>
        </w:tc>
        <w:tc>
          <w:tcPr>
            <w:tcW w:w="2132" w:type="dxa"/>
            <w:tcBorders>
              <w:left w:val="single" w:color="000000" w:sz="4" w:space="0"/>
              <w:right w:val="nil"/>
            </w:tcBorders>
            <w:vAlign w:val="top"/>
          </w:tcPr>
          <w:p w14:paraId="7D06EFDC">
            <w:pPr>
              <w:spacing w:before="104"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256</w:t>
            </w:r>
          </w:p>
        </w:tc>
      </w:tr>
      <w:tr w14:paraId="3B124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79B9DA90">
            <w:pPr>
              <w:spacing w:before="68" w:line="228" w:lineRule="auto"/>
              <w:ind w:left="683"/>
              <w:rPr>
                <w:rFonts w:ascii="宋体" w:hAnsi="宋体" w:eastAsia="宋体" w:cs="宋体"/>
                <w:sz w:val="20"/>
                <w:szCs w:val="20"/>
              </w:rPr>
            </w:pPr>
            <w:r>
              <w:rPr>
                <w:rFonts w:ascii="宋体" w:hAnsi="宋体" w:eastAsia="宋体" w:cs="宋体"/>
                <w:spacing w:val="-3"/>
                <w:sz w:val="20"/>
                <w:szCs w:val="20"/>
              </w:rPr>
              <w:t>二</w:t>
            </w:r>
            <w:r>
              <w:rPr>
                <w:rFonts w:ascii="宋体" w:hAnsi="宋体" w:eastAsia="宋体" w:cs="宋体"/>
                <w:spacing w:val="-2"/>
                <w:sz w:val="20"/>
                <w:szCs w:val="20"/>
              </w:rPr>
              <w:t>氯甲烷</w:t>
            </w:r>
          </w:p>
        </w:tc>
        <w:tc>
          <w:tcPr>
            <w:tcW w:w="2130" w:type="dxa"/>
            <w:tcBorders>
              <w:left w:val="single" w:color="000000" w:sz="4" w:space="0"/>
              <w:right w:val="single" w:color="000000" w:sz="4" w:space="0"/>
            </w:tcBorders>
            <w:vAlign w:val="top"/>
          </w:tcPr>
          <w:p w14:paraId="12CAE5B9">
            <w:pPr>
              <w:spacing w:before="104"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16</w:t>
            </w:r>
          </w:p>
        </w:tc>
        <w:tc>
          <w:tcPr>
            <w:tcW w:w="2130" w:type="dxa"/>
            <w:tcBorders>
              <w:left w:val="single" w:color="000000" w:sz="4" w:space="0"/>
              <w:right w:val="single" w:color="000000" w:sz="4" w:space="0"/>
            </w:tcBorders>
            <w:vAlign w:val="top"/>
          </w:tcPr>
          <w:p w14:paraId="49A3279E">
            <w:pPr>
              <w:spacing w:before="30" w:line="281" w:lineRule="exact"/>
              <w:ind w:left="670"/>
              <w:rPr>
                <w:rFonts w:ascii="宋体" w:hAnsi="宋体" w:eastAsia="宋体" w:cs="宋体"/>
                <w:sz w:val="20"/>
                <w:szCs w:val="20"/>
              </w:rPr>
            </w:pPr>
            <w:r>
              <w:rPr>
                <w:rFonts w:ascii="宋体" w:hAnsi="宋体" w:eastAsia="宋体" w:cs="宋体"/>
                <w:spacing w:val="-4"/>
                <w:position w:val="2"/>
                <w:sz w:val="20"/>
                <w:szCs w:val="20"/>
              </w:rPr>
              <w:t>苯并</w:t>
            </w:r>
            <w:r>
              <w:rPr>
                <w:rFonts w:ascii="Times New Roman" w:hAnsi="Times New Roman" w:eastAsia="Times New Roman" w:cs="Times New Roman"/>
                <w:spacing w:val="-2"/>
                <w:position w:val="2"/>
                <w:sz w:val="20"/>
                <w:szCs w:val="20"/>
              </w:rPr>
              <w:t>[a]</w:t>
            </w:r>
            <w:r>
              <w:rPr>
                <w:rFonts w:ascii="宋体" w:hAnsi="宋体" w:eastAsia="宋体" w:cs="宋体"/>
                <w:spacing w:val="-2"/>
                <w:position w:val="2"/>
                <w:sz w:val="20"/>
                <w:szCs w:val="20"/>
              </w:rPr>
              <w:t>蒽</w:t>
            </w:r>
          </w:p>
        </w:tc>
        <w:tc>
          <w:tcPr>
            <w:tcW w:w="2132" w:type="dxa"/>
            <w:tcBorders>
              <w:left w:val="single" w:color="000000" w:sz="4" w:space="0"/>
              <w:right w:val="nil"/>
            </w:tcBorders>
            <w:vAlign w:val="top"/>
          </w:tcPr>
          <w:p w14:paraId="04A37474">
            <w:pPr>
              <w:spacing w:before="104" w:line="195" w:lineRule="auto"/>
              <w:ind w:left="987"/>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5</w:t>
            </w:r>
          </w:p>
        </w:tc>
      </w:tr>
      <w:tr w14:paraId="2130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720746AC">
            <w:pPr>
              <w:spacing w:before="67" w:line="221" w:lineRule="auto"/>
              <w:ind w:left="545"/>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,2-</w:t>
            </w:r>
            <w:r>
              <w:rPr>
                <w:rFonts w:ascii="宋体" w:hAnsi="宋体" w:eastAsia="宋体" w:cs="宋体"/>
                <w:spacing w:val="-4"/>
                <w:sz w:val="20"/>
                <w:szCs w:val="20"/>
              </w:rPr>
              <w:t>二氯丙烷</w:t>
            </w:r>
          </w:p>
        </w:tc>
        <w:tc>
          <w:tcPr>
            <w:tcW w:w="2130" w:type="dxa"/>
            <w:tcBorders>
              <w:left w:val="single" w:color="000000" w:sz="4" w:space="0"/>
              <w:right w:val="single" w:color="000000" w:sz="4" w:space="0"/>
            </w:tcBorders>
            <w:vAlign w:val="top"/>
          </w:tcPr>
          <w:p w14:paraId="7AB70A1E">
            <w:pPr>
              <w:spacing w:before="107" w:line="192" w:lineRule="auto"/>
              <w:ind w:left="10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0" w:type="dxa"/>
            <w:tcBorders>
              <w:left w:val="single" w:color="000000" w:sz="4" w:space="0"/>
              <w:right w:val="single" w:color="000000" w:sz="4" w:space="0"/>
            </w:tcBorders>
            <w:vAlign w:val="top"/>
          </w:tcPr>
          <w:p w14:paraId="4C84CA3D">
            <w:pPr>
              <w:spacing w:before="30" w:line="281" w:lineRule="exact"/>
              <w:ind w:left="670"/>
              <w:rPr>
                <w:rFonts w:ascii="宋体" w:hAnsi="宋体" w:eastAsia="宋体" w:cs="宋体"/>
                <w:sz w:val="20"/>
                <w:szCs w:val="20"/>
              </w:rPr>
            </w:pPr>
            <w:r>
              <w:rPr>
                <w:rFonts w:ascii="宋体" w:hAnsi="宋体" w:eastAsia="宋体" w:cs="宋体"/>
                <w:spacing w:val="-4"/>
                <w:position w:val="2"/>
                <w:sz w:val="20"/>
                <w:szCs w:val="20"/>
              </w:rPr>
              <w:t>苯并</w:t>
            </w:r>
            <w:r>
              <w:rPr>
                <w:rFonts w:ascii="Times New Roman" w:hAnsi="Times New Roman" w:eastAsia="Times New Roman" w:cs="Times New Roman"/>
                <w:spacing w:val="-2"/>
                <w:position w:val="2"/>
                <w:sz w:val="20"/>
                <w:szCs w:val="20"/>
              </w:rPr>
              <w:t>[a]</w:t>
            </w:r>
            <w:r>
              <w:rPr>
                <w:rFonts w:ascii="宋体" w:hAnsi="宋体" w:eastAsia="宋体" w:cs="宋体"/>
                <w:spacing w:val="-2"/>
                <w:position w:val="2"/>
                <w:sz w:val="20"/>
                <w:szCs w:val="20"/>
              </w:rPr>
              <w:t>芘</w:t>
            </w:r>
          </w:p>
        </w:tc>
        <w:tc>
          <w:tcPr>
            <w:tcW w:w="2132" w:type="dxa"/>
            <w:tcBorders>
              <w:left w:val="single" w:color="000000" w:sz="4" w:space="0"/>
              <w:right w:val="nil"/>
            </w:tcBorders>
            <w:vAlign w:val="top"/>
          </w:tcPr>
          <w:p w14:paraId="6B7D2895">
            <w:pPr>
              <w:spacing w:before="104" w:line="198"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14:paraId="53DA8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0A7A63D7">
            <w:pPr>
              <w:spacing w:before="67" w:line="221" w:lineRule="auto"/>
              <w:ind w:left="401"/>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1,1,2-</w:t>
            </w:r>
            <w:r>
              <w:rPr>
                <w:rFonts w:ascii="宋体" w:hAnsi="宋体" w:eastAsia="宋体" w:cs="宋体"/>
                <w:spacing w:val="-7"/>
                <w:sz w:val="20"/>
                <w:szCs w:val="20"/>
              </w:rPr>
              <w:t>四氯乙烷</w:t>
            </w:r>
          </w:p>
        </w:tc>
        <w:tc>
          <w:tcPr>
            <w:tcW w:w="2130" w:type="dxa"/>
            <w:tcBorders>
              <w:left w:val="single" w:color="000000" w:sz="4" w:space="0"/>
              <w:right w:val="single" w:color="000000" w:sz="4" w:space="0"/>
            </w:tcBorders>
            <w:vAlign w:val="top"/>
          </w:tcPr>
          <w:p w14:paraId="2EC6F282">
            <w:pPr>
              <w:spacing w:before="104" w:line="195" w:lineRule="auto"/>
              <w:ind w:left="98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0</w:t>
            </w:r>
          </w:p>
        </w:tc>
        <w:tc>
          <w:tcPr>
            <w:tcW w:w="2130" w:type="dxa"/>
            <w:tcBorders>
              <w:left w:val="single" w:color="000000" w:sz="4" w:space="0"/>
              <w:right w:val="single" w:color="000000" w:sz="4" w:space="0"/>
            </w:tcBorders>
            <w:vAlign w:val="top"/>
          </w:tcPr>
          <w:p w14:paraId="5E0FFE12">
            <w:pPr>
              <w:spacing w:before="30" w:line="281" w:lineRule="exact"/>
              <w:ind w:left="567"/>
              <w:rPr>
                <w:rFonts w:ascii="宋体" w:hAnsi="宋体" w:eastAsia="宋体" w:cs="宋体"/>
                <w:sz w:val="20"/>
                <w:szCs w:val="20"/>
              </w:rPr>
            </w:pPr>
            <w:r>
              <w:rPr>
                <w:rFonts w:ascii="宋体" w:hAnsi="宋体" w:eastAsia="宋体" w:cs="宋体"/>
                <w:spacing w:val="-4"/>
                <w:position w:val="2"/>
                <w:sz w:val="20"/>
                <w:szCs w:val="20"/>
              </w:rPr>
              <w:t>苯并</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b]</w:t>
            </w:r>
            <w:r>
              <w:rPr>
                <w:rFonts w:ascii="宋体" w:hAnsi="宋体" w:eastAsia="宋体" w:cs="宋体"/>
                <w:spacing w:val="-2"/>
                <w:position w:val="2"/>
                <w:sz w:val="20"/>
                <w:szCs w:val="20"/>
              </w:rPr>
              <w:t>荧蒽</w:t>
            </w:r>
          </w:p>
        </w:tc>
        <w:tc>
          <w:tcPr>
            <w:tcW w:w="2132" w:type="dxa"/>
            <w:tcBorders>
              <w:left w:val="single" w:color="000000" w:sz="4" w:space="0"/>
              <w:right w:val="nil"/>
            </w:tcBorders>
            <w:vAlign w:val="top"/>
          </w:tcPr>
          <w:p w14:paraId="30A94610">
            <w:pPr>
              <w:spacing w:before="104" w:line="195" w:lineRule="auto"/>
              <w:ind w:left="987"/>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5</w:t>
            </w:r>
          </w:p>
        </w:tc>
      </w:tr>
      <w:tr w14:paraId="250B2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0" w:type="dxa"/>
            <w:tcBorders>
              <w:left w:val="nil"/>
              <w:right w:val="single" w:color="000000" w:sz="4" w:space="0"/>
            </w:tcBorders>
            <w:vAlign w:val="top"/>
          </w:tcPr>
          <w:p w14:paraId="3E40D24E">
            <w:pPr>
              <w:spacing w:before="67" w:line="221" w:lineRule="auto"/>
              <w:ind w:left="401"/>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1,2,2-</w:t>
            </w:r>
            <w:r>
              <w:rPr>
                <w:rFonts w:ascii="宋体" w:hAnsi="宋体" w:eastAsia="宋体" w:cs="宋体"/>
                <w:spacing w:val="-7"/>
                <w:sz w:val="20"/>
                <w:szCs w:val="20"/>
              </w:rPr>
              <w:t>四氯乙烷</w:t>
            </w:r>
          </w:p>
        </w:tc>
        <w:tc>
          <w:tcPr>
            <w:tcW w:w="2130" w:type="dxa"/>
            <w:tcBorders>
              <w:left w:val="single" w:color="000000" w:sz="4" w:space="0"/>
              <w:right w:val="single" w:color="000000" w:sz="4" w:space="0"/>
            </w:tcBorders>
            <w:vAlign w:val="top"/>
          </w:tcPr>
          <w:p w14:paraId="7CC9AE90">
            <w:pPr>
              <w:spacing w:before="104" w:line="195" w:lineRule="auto"/>
              <w:ind w:left="9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w:t>
            </w:r>
          </w:p>
        </w:tc>
        <w:tc>
          <w:tcPr>
            <w:tcW w:w="2130" w:type="dxa"/>
            <w:tcBorders>
              <w:left w:val="single" w:color="000000" w:sz="4" w:space="0"/>
              <w:right w:val="single" w:color="000000" w:sz="4" w:space="0"/>
            </w:tcBorders>
            <w:vAlign w:val="top"/>
          </w:tcPr>
          <w:p w14:paraId="2C9FDA5B">
            <w:pPr>
              <w:spacing w:before="30" w:line="281" w:lineRule="exact"/>
              <w:ind w:left="567"/>
              <w:rPr>
                <w:rFonts w:ascii="宋体" w:hAnsi="宋体" w:eastAsia="宋体" w:cs="宋体"/>
                <w:sz w:val="20"/>
                <w:szCs w:val="20"/>
              </w:rPr>
            </w:pPr>
            <w:r>
              <w:rPr>
                <w:rFonts w:ascii="宋体" w:hAnsi="宋体" w:eastAsia="宋体" w:cs="宋体"/>
                <w:spacing w:val="-4"/>
                <w:position w:val="2"/>
                <w:sz w:val="20"/>
                <w:szCs w:val="20"/>
              </w:rPr>
              <w:t>苯并</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k]</w:t>
            </w:r>
            <w:r>
              <w:rPr>
                <w:rFonts w:ascii="宋体" w:hAnsi="宋体" w:eastAsia="宋体" w:cs="宋体"/>
                <w:spacing w:val="-2"/>
                <w:position w:val="2"/>
                <w:sz w:val="20"/>
                <w:szCs w:val="20"/>
              </w:rPr>
              <w:t>荧蒽</w:t>
            </w:r>
          </w:p>
        </w:tc>
        <w:tc>
          <w:tcPr>
            <w:tcW w:w="2132" w:type="dxa"/>
            <w:tcBorders>
              <w:left w:val="single" w:color="000000" w:sz="4" w:space="0"/>
              <w:right w:val="nil"/>
            </w:tcBorders>
            <w:vAlign w:val="top"/>
          </w:tcPr>
          <w:p w14:paraId="14C4135A">
            <w:pPr>
              <w:spacing w:before="10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51</w:t>
            </w:r>
          </w:p>
        </w:tc>
      </w:tr>
      <w:tr w14:paraId="36FFE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46DE99D8">
            <w:pPr>
              <w:spacing w:before="68" w:line="228" w:lineRule="auto"/>
              <w:ind w:left="699"/>
              <w:rPr>
                <w:rFonts w:ascii="宋体" w:hAnsi="宋体" w:eastAsia="宋体" w:cs="宋体"/>
                <w:sz w:val="20"/>
                <w:szCs w:val="20"/>
              </w:rPr>
            </w:pPr>
            <w:r>
              <w:rPr>
                <w:rFonts w:ascii="宋体" w:hAnsi="宋体" w:eastAsia="宋体" w:cs="宋体"/>
                <w:spacing w:val="-8"/>
                <w:sz w:val="20"/>
                <w:szCs w:val="20"/>
              </w:rPr>
              <w:t>四</w:t>
            </w:r>
            <w:r>
              <w:rPr>
                <w:rFonts w:ascii="宋体" w:hAnsi="宋体" w:eastAsia="宋体" w:cs="宋体"/>
                <w:spacing w:val="-6"/>
                <w:sz w:val="20"/>
                <w:szCs w:val="20"/>
              </w:rPr>
              <w:t>氯乙烯</w:t>
            </w:r>
          </w:p>
        </w:tc>
        <w:tc>
          <w:tcPr>
            <w:tcW w:w="2130" w:type="dxa"/>
            <w:tcBorders>
              <w:left w:val="single" w:color="000000" w:sz="4" w:space="0"/>
              <w:right w:val="single" w:color="000000" w:sz="4" w:space="0"/>
            </w:tcBorders>
            <w:vAlign w:val="top"/>
          </w:tcPr>
          <w:p w14:paraId="2EA07737">
            <w:pPr>
              <w:spacing w:before="105"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3</w:t>
            </w:r>
          </w:p>
        </w:tc>
        <w:tc>
          <w:tcPr>
            <w:tcW w:w="2130" w:type="dxa"/>
            <w:tcBorders>
              <w:left w:val="single" w:color="000000" w:sz="4" w:space="0"/>
              <w:right w:val="single" w:color="000000" w:sz="4" w:space="0"/>
            </w:tcBorders>
            <w:vAlign w:val="top"/>
          </w:tcPr>
          <w:p w14:paraId="16E27B1A">
            <w:pPr>
              <w:spacing w:before="69" w:line="229" w:lineRule="auto"/>
              <w:ind w:left="968"/>
              <w:rPr>
                <w:rFonts w:ascii="宋体" w:hAnsi="宋体" w:eastAsia="宋体" w:cs="宋体"/>
                <w:sz w:val="20"/>
                <w:szCs w:val="20"/>
              </w:rPr>
            </w:pPr>
            <w:r>
              <w:rPr>
                <w:rFonts w:ascii="宋体" w:hAnsi="宋体" w:eastAsia="宋体" w:cs="宋体"/>
                <w:spacing w:val="2"/>
                <w:sz w:val="20"/>
                <w:szCs w:val="20"/>
              </w:rPr>
              <w:t>䓛</w:t>
            </w:r>
          </w:p>
        </w:tc>
        <w:tc>
          <w:tcPr>
            <w:tcW w:w="2132" w:type="dxa"/>
            <w:tcBorders>
              <w:left w:val="single" w:color="000000" w:sz="4" w:space="0"/>
              <w:right w:val="nil"/>
            </w:tcBorders>
            <w:vAlign w:val="top"/>
          </w:tcPr>
          <w:p w14:paraId="05B5B064">
            <w:pPr>
              <w:spacing w:before="105" w:line="195" w:lineRule="auto"/>
              <w:ind w:left="88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293</w:t>
            </w:r>
          </w:p>
        </w:tc>
      </w:tr>
      <w:tr w14:paraId="41F80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0" w:type="dxa"/>
            <w:tcBorders>
              <w:left w:val="nil"/>
              <w:right w:val="single" w:color="000000" w:sz="4" w:space="0"/>
            </w:tcBorders>
            <w:vAlign w:val="top"/>
          </w:tcPr>
          <w:p w14:paraId="40B8EC1B">
            <w:pPr>
              <w:spacing w:before="68" w:line="221" w:lineRule="auto"/>
              <w:ind w:left="473"/>
              <w:rPr>
                <w:rFonts w:ascii="宋体" w:hAnsi="宋体" w:eastAsia="宋体" w:cs="宋体"/>
                <w:sz w:val="20"/>
                <w:szCs w:val="20"/>
              </w:rPr>
            </w:pPr>
            <w:r>
              <w:rPr>
                <w:rFonts w:ascii="Times New Roman" w:hAnsi="Times New Roman" w:eastAsia="Times New Roman" w:cs="Times New Roman"/>
                <w:spacing w:val="-8"/>
                <w:sz w:val="20"/>
                <w:szCs w:val="20"/>
              </w:rPr>
              <w:t>1, 1,1-</w:t>
            </w:r>
            <w:r>
              <w:rPr>
                <w:rFonts w:ascii="宋体" w:hAnsi="宋体" w:eastAsia="宋体" w:cs="宋体"/>
                <w:spacing w:val="-8"/>
                <w:sz w:val="20"/>
                <w:szCs w:val="20"/>
              </w:rPr>
              <w:t>三氯乙烷</w:t>
            </w:r>
          </w:p>
        </w:tc>
        <w:tc>
          <w:tcPr>
            <w:tcW w:w="2130" w:type="dxa"/>
            <w:tcBorders>
              <w:left w:val="single" w:color="000000" w:sz="4" w:space="0"/>
              <w:right w:val="single" w:color="000000" w:sz="4" w:space="0"/>
            </w:tcBorders>
            <w:vAlign w:val="top"/>
          </w:tcPr>
          <w:p w14:paraId="55E005D0">
            <w:pPr>
              <w:spacing w:before="105" w:line="195" w:lineRule="auto"/>
              <w:ind w:left="9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40</w:t>
            </w:r>
          </w:p>
        </w:tc>
        <w:tc>
          <w:tcPr>
            <w:tcW w:w="2130" w:type="dxa"/>
            <w:tcBorders>
              <w:left w:val="single" w:color="000000" w:sz="4" w:space="0"/>
              <w:right w:val="single" w:color="000000" w:sz="4" w:space="0"/>
            </w:tcBorders>
            <w:vAlign w:val="top"/>
          </w:tcPr>
          <w:p w14:paraId="59941CD4">
            <w:pPr>
              <w:spacing w:before="31" w:line="281" w:lineRule="exact"/>
              <w:ind w:left="426"/>
              <w:rPr>
                <w:rFonts w:ascii="宋体" w:hAnsi="宋体" w:eastAsia="宋体" w:cs="宋体"/>
                <w:sz w:val="20"/>
                <w:szCs w:val="20"/>
              </w:rPr>
            </w:pPr>
            <w:r>
              <w:rPr>
                <w:rFonts w:ascii="宋体" w:hAnsi="宋体" w:eastAsia="宋体" w:cs="宋体"/>
                <w:spacing w:val="-4"/>
                <w:position w:val="2"/>
                <w:sz w:val="20"/>
                <w:szCs w:val="20"/>
              </w:rPr>
              <w:t>二</w:t>
            </w:r>
            <w:r>
              <w:rPr>
                <w:rFonts w:ascii="宋体" w:hAnsi="宋体" w:eastAsia="宋体" w:cs="宋体"/>
                <w:spacing w:val="-3"/>
                <w:position w:val="2"/>
                <w:sz w:val="20"/>
                <w:szCs w:val="20"/>
              </w:rPr>
              <w:t>苯并</w:t>
            </w:r>
            <w:r>
              <w:rPr>
                <w:rFonts w:ascii="Times New Roman" w:hAnsi="Times New Roman" w:eastAsia="Times New Roman" w:cs="Times New Roman"/>
                <w:spacing w:val="-3"/>
                <w:position w:val="2"/>
                <w:sz w:val="20"/>
                <w:szCs w:val="20"/>
              </w:rPr>
              <w:t>[a</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h]</w:t>
            </w:r>
            <w:r>
              <w:rPr>
                <w:rFonts w:ascii="宋体" w:hAnsi="宋体" w:eastAsia="宋体" w:cs="宋体"/>
                <w:spacing w:val="-3"/>
                <w:position w:val="2"/>
                <w:sz w:val="20"/>
                <w:szCs w:val="20"/>
              </w:rPr>
              <w:t>蒽</w:t>
            </w:r>
          </w:p>
        </w:tc>
        <w:tc>
          <w:tcPr>
            <w:tcW w:w="2132" w:type="dxa"/>
            <w:tcBorders>
              <w:left w:val="single" w:color="000000" w:sz="4" w:space="0"/>
              <w:right w:val="nil"/>
            </w:tcBorders>
            <w:vAlign w:val="top"/>
          </w:tcPr>
          <w:p w14:paraId="5B0AAF9C">
            <w:pPr>
              <w:spacing w:before="105" w:line="198"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14:paraId="249A4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06258A6F">
            <w:pPr>
              <w:spacing w:before="69" w:line="221" w:lineRule="auto"/>
              <w:ind w:left="473"/>
              <w:rPr>
                <w:rFonts w:ascii="宋体" w:hAnsi="宋体" w:eastAsia="宋体" w:cs="宋体"/>
                <w:sz w:val="20"/>
                <w:szCs w:val="20"/>
              </w:rPr>
            </w:pPr>
            <w:r>
              <w:rPr>
                <w:rFonts w:ascii="Times New Roman" w:hAnsi="Times New Roman" w:eastAsia="Times New Roman" w:cs="Times New Roman"/>
                <w:spacing w:val="-8"/>
                <w:sz w:val="20"/>
                <w:szCs w:val="20"/>
              </w:rPr>
              <w:t>1, 1,2-</w:t>
            </w:r>
            <w:r>
              <w:rPr>
                <w:rFonts w:ascii="宋体" w:hAnsi="宋体" w:eastAsia="宋体" w:cs="宋体"/>
                <w:spacing w:val="-8"/>
                <w:sz w:val="20"/>
                <w:szCs w:val="20"/>
              </w:rPr>
              <w:t>三氯乙烷</w:t>
            </w:r>
          </w:p>
        </w:tc>
        <w:tc>
          <w:tcPr>
            <w:tcW w:w="2130" w:type="dxa"/>
            <w:tcBorders>
              <w:left w:val="single" w:color="000000" w:sz="4" w:space="0"/>
              <w:right w:val="single" w:color="000000" w:sz="4" w:space="0"/>
            </w:tcBorders>
            <w:vAlign w:val="top"/>
          </w:tcPr>
          <w:p w14:paraId="305C624C">
            <w:pPr>
              <w:spacing w:before="106" w:line="198"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8</w:t>
            </w:r>
          </w:p>
        </w:tc>
        <w:tc>
          <w:tcPr>
            <w:tcW w:w="2130" w:type="dxa"/>
            <w:tcBorders>
              <w:left w:val="single" w:color="000000" w:sz="4" w:space="0"/>
              <w:right w:val="single" w:color="000000" w:sz="4" w:space="0"/>
            </w:tcBorders>
            <w:vAlign w:val="top"/>
          </w:tcPr>
          <w:p w14:paraId="2EFD2B0A">
            <w:pPr>
              <w:spacing w:before="32" w:line="281" w:lineRule="exact"/>
              <w:ind w:left="398"/>
              <w:rPr>
                <w:rFonts w:ascii="宋体" w:hAnsi="宋体" w:eastAsia="宋体" w:cs="宋体"/>
                <w:sz w:val="20"/>
                <w:szCs w:val="20"/>
              </w:rPr>
            </w:pPr>
            <w:r>
              <w:rPr>
                <w:rFonts w:ascii="宋体" w:hAnsi="宋体" w:eastAsia="宋体" w:cs="宋体"/>
                <w:spacing w:val="-4"/>
                <w:position w:val="2"/>
                <w:sz w:val="20"/>
                <w:szCs w:val="20"/>
              </w:rPr>
              <w:t>茚并</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2,3-cd]</w:t>
            </w:r>
            <w:r>
              <w:rPr>
                <w:rFonts w:ascii="宋体" w:hAnsi="宋体" w:eastAsia="宋体" w:cs="宋体"/>
                <w:spacing w:val="-2"/>
                <w:position w:val="2"/>
                <w:sz w:val="20"/>
                <w:szCs w:val="20"/>
              </w:rPr>
              <w:t>芘</w:t>
            </w:r>
          </w:p>
        </w:tc>
        <w:tc>
          <w:tcPr>
            <w:tcW w:w="2132" w:type="dxa"/>
            <w:tcBorders>
              <w:left w:val="single" w:color="000000" w:sz="4" w:space="0"/>
              <w:right w:val="nil"/>
            </w:tcBorders>
            <w:vAlign w:val="top"/>
          </w:tcPr>
          <w:p w14:paraId="5A777AA1">
            <w:pPr>
              <w:spacing w:before="106" w:line="195" w:lineRule="auto"/>
              <w:ind w:left="987"/>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5</w:t>
            </w:r>
          </w:p>
        </w:tc>
      </w:tr>
      <w:tr w14:paraId="23FD8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30" w:type="dxa"/>
            <w:tcBorders>
              <w:left w:val="nil"/>
              <w:right w:val="single" w:color="000000" w:sz="4" w:space="0"/>
            </w:tcBorders>
            <w:vAlign w:val="top"/>
          </w:tcPr>
          <w:p w14:paraId="34CE4C1F">
            <w:pPr>
              <w:spacing w:before="70" w:line="228" w:lineRule="auto"/>
              <w:ind w:left="976"/>
              <w:rPr>
                <w:rFonts w:ascii="宋体" w:hAnsi="宋体" w:eastAsia="宋体" w:cs="宋体"/>
                <w:sz w:val="20"/>
                <w:szCs w:val="20"/>
              </w:rPr>
            </w:pPr>
            <w:r>
              <w:rPr>
                <w:rFonts w:ascii="宋体" w:hAnsi="宋体" w:eastAsia="宋体" w:cs="宋体"/>
                <w:sz w:val="20"/>
                <w:szCs w:val="20"/>
              </w:rPr>
              <w:t>萘</w:t>
            </w:r>
          </w:p>
        </w:tc>
        <w:tc>
          <w:tcPr>
            <w:tcW w:w="2130" w:type="dxa"/>
            <w:tcBorders>
              <w:left w:val="single" w:color="000000" w:sz="4" w:space="0"/>
              <w:right w:val="single" w:color="000000" w:sz="4" w:space="0"/>
            </w:tcBorders>
            <w:vAlign w:val="top"/>
          </w:tcPr>
          <w:p w14:paraId="671C3478">
            <w:pPr>
              <w:spacing w:before="106"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0</w:t>
            </w:r>
          </w:p>
        </w:tc>
        <w:tc>
          <w:tcPr>
            <w:tcW w:w="4262" w:type="dxa"/>
            <w:gridSpan w:val="2"/>
            <w:tcBorders>
              <w:left w:val="single" w:color="000000" w:sz="4" w:space="0"/>
              <w:right w:val="nil"/>
            </w:tcBorders>
            <w:vAlign w:val="top"/>
          </w:tcPr>
          <w:p w14:paraId="351E43C8">
            <w:pPr>
              <w:rPr>
                <w:rFonts w:ascii="Arial"/>
                <w:sz w:val="21"/>
              </w:rPr>
            </w:pPr>
          </w:p>
        </w:tc>
      </w:tr>
    </w:tbl>
    <w:p w14:paraId="46B896DD">
      <w:pPr>
        <w:spacing w:before="245" w:line="221" w:lineRule="auto"/>
        <w:ind w:left="114"/>
        <w:outlineLvl w:val="3"/>
        <w:rPr>
          <w:rFonts w:ascii="宋体" w:hAnsi="宋体" w:eastAsia="宋体" w:cs="宋体"/>
          <w:sz w:val="28"/>
          <w:szCs w:val="28"/>
        </w:rPr>
      </w:pPr>
      <w:r>
        <w:rPr>
          <w:rFonts w:ascii="Times New Roman" w:hAnsi="Times New Roman" w:eastAsia="Times New Roman" w:cs="Times New Roman"/>
          <w:b/>
          <w:bCs/>
          <w:spacing w:val="-1"/>
          <w:sz w:val="28"/>
          <w:szCs w:val="28"/>
        </w:rPr>
        <w:t>2.5.2.2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污染物排放标准</w:t>
      </w:r>
    </w:p>
    <w:p w14:paraId="57BEA416">
      <w:pPr>
        <w:spacing w:before="279" w:line="228" w:lineRule="auto"/>
        <w:ind w:left="60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2"/>
          <w:sz w:val="23"/>
          <w:szCs w:val="23"/>
        </w:rPr>
        <w:t>1</w:t>
      </w:r>
      <w:r>
        <w:rPr>
          <w:rFonts w:ascii="宋体" w:hAnsi="宋体" w:eastAsia="宋体" w:cs="宋体"/>
          <w:spacing w:val="22"/>
          <w:sz w:val="23"/>
          <w:szCs w:val="23"/>
        </w:rPr>
        <w:t>) 废气</w:t>
      </w:r>
    </w:p>
    <w:p w14:paraId="31334456">
      <w:pPr>
        <w:spacing w:before="298" w:line="393" w:lineRule="auto"/>
        <w:ind w:left="121" w:right="124" w:firstLine="470"/>
        <w:rPr>
          <w:rFonts w:ascii="宋体" w:hAnsi="宋体" w:eastAsia="宋体" w:cs="宋体"/>
          <w:sz w:val="23"/>
          <w:szCs w:val="23"/>
        </w:rPr>
      </w:pPr>
      <w:r>
        <w:rPr>
          <w:rFonts w:ascii="宋体" w:hAnsi="宋体" w:eastAsia="宋体" w:cs="宋体"/>
          <w:spacing w:val="12"/>
          <w:sz w:val="23"/>
          <w:szCs w:val="23"/>
        </w:rPr>
        <w:t>①施工</w:t>
      </w:r>
      <w:r>
        <w:rPr>
          <w:rFonts w:ascii="宋体" w:hAnsi="宋体" w:eastAsia="宋体" w:cs="宋体"/>
          <w:spacing w:val="6"/>
          <w:sz w:val="23"/>
          <w:szCs w:val="23"/>
        </w:rPr>
        <w:t>期施工场地扬尘及堆料场扬尘为无组织排放，厂界颗粒物排放浓度执</w:t>
      </w:r>
      <w:r>
        <w:rPr>
          <w:rFonts w:ascii="宋体" w:hAnsi="宋体" w:eastAsia="宋体" w:cs="宋体"/>
          <w:sz w:val="23"/>
          <w:szCs w:val="23"/>
        </w:rPr>
        <w:t xml:space="preserve"> </w:t>
      </w:r>
      <w:r>
        <w:rPr>
          <w:rFonts w:ascii="宋体" w:hAnsi="宋体" w:eastAsia="宋体" w:cs="宋体"/>
          <w:spacing w:val="2"/>
          <w:sz w:val="23"/>
          <w:szCs w:val="23"/>
        </w:rPr>
        <w:t>行</w:t>
      </w:r>
      <w:r>
        <w:rPr>
          <w:rFonts w:ascii="宋体" w:hAnsi="宋体" w:eastAsia="宋体" w:cs="宋体"/>
          <w:spacing w:val="1"/>
          <w:sz w:val="23"/>
          <w:szCs w:val="23"/>
        </w:rPr>
        <w:t>《辽宁省施工及堆料场地扬尘排放标准》  (</w:t>
      </w:r>
      <w:r>
        <w:rPr>
          <w:rFonts w:ascii="Times New Roman" w:hAnsi="Times New Roman" w:eastAsia="Times New Roman" w:cs="Times New Roman"/>
          <w:sz w:val="23"/>
          <w:szCs w:val="23"/>
        </w:rPr>
        <w:t>DB</w:t>
      </w:r>
      <w:r>
        <w:rPr>
          <w:rFonts w:ascii="Times New Roman" w:hAnsi="Times New Roman" w:eastAsia="Times New Roman" w:cs="Times New Roman"/>
          <w:spacing w:val="1"/>
          <w:sz w:val="23"/>
          <w:szCs w:val="23"/>
        </w:rPr>
        <w:t>212642-2016</w:t>
      </w:r>
      <w:r>
        <w:rPr>
          <w:rFonts w:ascii="宋体" w:hAnsi="宋体" w:eastAsia="宋体" w:cs="宋体"/>
          <w:spacing w:val="1"/>
          <w:sz w:val="23"/>
          <w:szCs w:val="23"/>
        </w:rPr>
        <w:t xml:space="preserve">) ，见表 </w:t>
      </w:r>
      <w:r>
        <w:rPr>
          <w:rFonts w:ascii="Times New Roman" w:hAnsi="Times New Roman" w:eastAsia="Times New Roman" w:cs="Times New Roman"/>
          <w:spacing w:val="1"/>
          <w:sz w:val="23"/>
          <w:szCs w:val="23"/>
        </w:rPr>
        <w:t>2-7</w:t>
      </w:r>
      <w:r>
        <w:rPr>
          <w:rFonts w:ascii="宋体" w:hAnsi="宋体" w:eastAsia="宋体" w:cs="宋体"/>
          <w:spacing w:val="1"/>
          <w:sz w:val="23"/>
          <w:szCs w:val="23"/>
        </w:rPr>
        <w:t>。</w:t>
      </w:r>
    </w:p>
    <w:p w14:paraId="3D345DE2">
      <w:pPr>
        <w:sectPr>
          <w:headerReference r:id="rId60" w:type="default"/>
          <w:footerReference r:id="rId61" w:type="default"/>
          <w:pgSz w:w="11906" w:h="16839"/>
          <w:pgMar w:top="1132" w:right="1691" w:bottom="1156" w:left="1691" w:header="878" w:footer="996" w:gutter="0"/>
          <w:cols w:space="720" w:num="1"/>
        </w:sectPr>
      </w:pPr>
    </w:p>
    <w:p w14:paraId="69C1A1C1">
      <w:pPr>
        <w:spacing w:line="409" w:lineRule="auto"/>
        <w:rPr>
          <w:rFonts w:ascii="Arial"/>
          <w:sz w:val="21"/>
        </w:rPr>
      </w:pPr>
      <w:r>
        <w:pict>
          <v:shape id="_x0000_s1090" o:spid="_x0000_s1090" style="position:absolute;left:0pt;margin-left:90pt;margin-top:57.35pt;height:0.75pt;width:415.3pt;mso-position-horizontal-relative:page;mso-position-vertical-relative:page;z-index:251727872;mso-width-relative:page;mso-height-relative:page;" fillcolor="#000000" filled="t" stroked="f" coordsize="8305,15" o:allowincell="f" path="m0,0l8305,0,8305,14,0,14,0,0xe">
            <v:path/>
            <v:fill on="t" focussize="0,0"/>
            <v:stroke on="f"/>
            <v:imagedata o:title=""/>
            <o:lock v:ext="edit"/>
          </v:shape>
        </w:pict>
      </w:r>
    </w:p>
    <w:p w14:paraId="14CA94A7">
      <w:pPr>
        <w:spacing w:before="74" w:line="227" w:lineRule="auto"/>
        <w:ind w:left="738"/>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表</w:t>
      </w:r>
      <w:r>
        <w:rPr>
          <w:rFonts w:ascii="宋体" w:hAnsi="宋体" w:eastAsia="宋体" w:cs="宋体"/>
          <w:spacing w:val="1"/>
          <w:sz w:val="23"/>
          <w:szCs w:val="23"/>
        </w:rPr>
        <w:t xml:space="preserve"> </w:t>
      </w:r>
      <w:r>
        <w:rPr>
          <w:rFonts w:ascii="Times New Roman" w:hAnsi="Times New Roman" w:eastAsia="Times New Roman" w:cs="Times New Roman"/>
          <w:b/>
          <w:bCs/>
          <w:spacing w:val="1"/>
          <w:sz w:val="23"/>
          <w:szCs w:val="23"/>
        </w:rPr>
        <w:t>2-7</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《辽宁省施工及堆料场地扬尘排放标准》</w:t>
      </w:r>
      <w:r>
        <w:rPr>
          <w:rFonts w:ascii="宋体" w:hAnsi="宋体" w:eastAsia="宋体" w:cs="宋体"/>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DB212642-2016</w:t>
      </w:r>
      <w:r>
        <w:rPr>
          <w:rFonts w:ascii="宋体" w:hAnsi="宋体" w:eastAsia="宋体" w:cs="宋体"/>
          <w:sz w:val="23"/>
          <w:szCs w:val="23"/>
          <w14:textOutline w14:w="4358" w14:cap="sq" w14:cmpd="sng">
            <w14:solidFill>
              <w14:srgbClr w14:val="000000"/>
            </w14:solidFill>
            <w14:prstDash w14:val="solid"/>
            <w14:bevel/>
          </w14:textOutline>
        </w:rPr>
        <w:t>)</w:t>
      </w:r>
    </w:p>
    <w:p w14:paraId="728F4C87">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0"/>
        <w:gridCol w:w="3535"/>
        <w:gridCol w:w="2317"/>
      </w:tblGrid>
      <w:tr w14:paraId="6C903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670" w:type="dxa"/>
            <w:vMerge w:val="restart"/>
            <w:tcBorders>
              <w:left w:val="nil"/>
              <w:bottom w:val="nil"/>
            </w:tcBorders>
            <w:vAlign w:val="top"/>
          </w:tcPr>
          <w:p w14:paraId="2A04F6E5">
            <w:pPr>
              <w:spacing w:before="258" w:line="228" w:lineRule="auto"/>
              <w:ind w:left="102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w:t>
            </w:r>
            <w:r>
              <w:rPr>
                <w:rFonts w:ascii="宋体" w:hAnsi="宋体" w:eastAsia="宋体" w:cs="宋体"/>
                <w:spacing w:val="6"/>
                <w:sz w:val="20"/>
                <w:szCs w:val="20"/>
                <w14:textOutline w14:w="3795" w14:cap="sq" w14:cmpd="sng">
                  <w14:solidFill>
                    <w14:srgbClr w14:val="000000"/>
                  </w14:solidFill>
                  <w14:prstDash w14:val="solid"/>
                  <w14:bevel/>
                </w14:textOutline>
              </w:rPr>
              <w:t>染物</w:t>
            </w:r>
          </w:p>
        </w:tc>
        <w:tc>
          <w:tcPr>
            <w:tcW w:w="5852" w:type="dxa"/>
            <w:gridSpan w:val="2"/>
            <w:tcBorders>
              <w:right w:val="nil"/>
            </w:tcBorders>
            <w:vAlign w:val="top"/>
          </w:tcPr>
          <w:p w14:paraId="6081B936">
            <w:pPr>
              <w:spacing w:before="44" w:line="289" w:lineRule="exact"/>
              <w:ind w:left="1285"/>
              <w:rPr>
                <w:rFonts w:ascii="宋体" w:hAnsi="宋体" w:eastAsia="宋体" w:cs="宋体"/>
                <w:sz w:val="20"/>
                <w:szCs w:val="20"/>
              </w:rPr>
            </w:pPr>
            <w:r>
              <w:rPr>
                <w:rFonts w:ascii="宋体" w:hAnsi="宋体" w:eastAsia="宋体" w:cs="宋体"/>
                <w:spacing w:val="14"/>
                <w:position w:val="3"/>
                <w:sz w:val="20"/>
                <w:szCs w:val="20"/>
                <w14:textOutline w14:w="3795" w14:cap="sq" w14:cmpd="sng">
                  <w14:solidFill>
                    <w14:srgbClr w14:val="000000"/>
                  </w14:solidFill>
                  <w14:prstDash w14:val="solid"/>
                  <w14:bevel/>
                </w14:textOutline>
              </w:rPr>
              <w:t>无</w:t>
            </w:r>
            <w:r>
              <w:rPr>
                <w:rFonts w:ascii="宋体" w:hAnsi="宋体" w:eastAsia="宋体" w:cs="宋体"/>
                <w:spacing w:val="8"/>
                <w:position w:val="3"/>
                <w:sz w:val="20"/>
                <w:szCs w:val="20"/>
                <w14:textOutline w14:w="3795" w14:cap="sq" w14:cmpd="sng">
                  <w14:solidFill>
                    <w14:srgbClr w14:val="000000"/>
                  </w14:solidFill>
                  <w14:prstDash w14:val="solid"/>
                  <w14:bevel/>
                </w14:textOutline>
              </w:rPr>
              <w:t>组</w:t>
            </w:r>
            <w:r>
              <w:rPr>
                <w:rFonts w:ascii="宋体" w:hAnsi="宋体" w:eastAsia="宋体" w:cs="宋体"/>
                <w:spacing w:val="7"/>
                <w:position w:val="3"/>
                <w:sz w:val="20"/>
                <w:szCs w:val="20"/>
                <w14:textOutline w14:w="3795" w14:cap="sq" w14:cmpd="sng">
                  <w14:solidFill>
                    <w14:srgbClr w14:val="000000"/>
                  </w14:solidFill>
                  <w14:prstDash w14:val="solid"/>
                  <w14:bevel/>
                </w14:textOutline>
              </w:rPr>
              <w:t>织排放监控浓度限值</w:t>
            </w:r>
            <w:r>
              <w:rPr>
                <w:rFonts w:ascii="宋体" w:hAnsi="宋体" w:eastAsia="宋体" w:cs="宋体"/>
                <w:spacing w:val="7"/>
                <w:position w:val="3"/>
                <w:sz w:val="20"/>
                <w:szCs w:val="20"/>
              </w:rPr>
              <w:t xml:space="preserve"> </w:t>
            </w:r>
            <w:r>
              <w:rPr>
                <w:rFonts w:ascii="宋体" w:hAnsi="宋体" w:eastAsia="宋体" w:cs="宋体"/>
                <w:spacing w:val="7"/>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3"/>
                <w:sz w:val="20"/>
                <w:szCs w:val="20"/>
              </w:rPr>
              <w:t>mg</w:t>
            </w:r>
            <w:r>
              <w:rPr>
                <w:rFonts w:ascii="Times New Roman" w:hAnsi="Times New Roman" w:eastAsia="Times New Roman" w:cs="Times New Roman"/>
                <w:b/>
                <w:bCs/>
                <w:spacing w:val="7"/>
                <w:position w:val="3"/>
                <w:sz w:val="20"/>
                <w:szCs w:val="20"/>
              </w:rPr>
              <w:t>/</w:t>
            </w:r>
            <w:r>
              <w:rPr>
                <w:rFonts w:ascii="Times New Roman" w:hAnsi="Times New Roman" w:eastAsia="Times New Roman" w:cs="Times New Roman"/>
                <w:b/>
                <w:bCs/>
                <w:position w:val="3"/>
                <w:sz w:val="20"/>
                <w:szCs w:val="20"/>
              </w:rPr>
              <w:t>m</w:t>
            </w:r>
            <w:r>
              <w:rPr>
                <w:rFonts w:ascii="Times New Roman" w:hAnsi="Times New Roman" w:eastAsia="Times New Roman" w:cs="Times New Roman"/>
                <w:b/>
                <w:bCs/>
                <w:spacing w:val="7"/>
                <w:position w:val="9"/>
                <w:sz w:val="13"/>
                <w:szCs w:val="13"/>
              </w:rPr>
              <w:t>3</w:t>
            </w:r>
            <w:r>
              <w:rPr>
                <w:rFonts w:ascii="Times New Roman" w:hAnsi="Times New Roman" w:eastAsia="Times New Roman" w:cs="Times New Roman"/>
                <w:spacing w:val="7"/>
                <w:position w:val="9"/>
                <w:sz w:val="13"/>
                <w:szCs w:val="13"/>
              </w:rPr>
              <w:t xml:space="preserve"> </w:t>
            </w:r>
            <w:r>
              <w:rPr>
                <w:rFonts w:ascii="宋体" w:hAnsi="宋体" w:eastAsia="宋体" w:cs="宋体"/>
                <w:spacing w:val="7"/>
                <w:position w:val="3"/>
                <w:sz w:val="20"/>
                <w:szCs w:val="20"/>
                <w14:textOutline w14:w="3795" w14:cap="sq" w14:cmpd="sng">
                  <w14:solidFill>
                    <w14:srgbClr w14:val="000000"/>
                  </w14:solidFill>
                  <w14:prstDash w14:val="solid"/>
                  <w14:bevel/>
                </w14:textOutline>
              </w:rPr>
              <w:t>)</w:t>
            </w:r>
          </w:p>
        </w:tc>
      </w:tr>
      <w:tr w14:paraId="1BBF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670" w:type="dxa"/>
            <w:vMerge w:val="continue"/>
            <w:tcBorders>
              <w:top w:val="nil"/>
              <w:left w:val="nil"/>
            </w:tcBorders>
            <w:vAlign w:val="top"/>
          </w:tcPr>
          <w:p w14:paraId="30E97EE9">
            <w:pPr>
              <w:rPr>
                <w:rFonts w:ascii="Arial"/>
                <w:sz w:val="21"/>
              </w:rPr>
            </w:pPr>
          </w:p>
        </w:tc>
        <w:tc>
          <w:tcPr>
            <w:tcW w:w="3535" w:type="dxa"/>
            <w:vAlign w:val="top"/>
          </w:tcPr>
          <w:p w14:paraId="2815F158">
            <w:pPr>
              <w:spacing w:before="62" w:line="228" w:lineRule="auto"/>
              <w:ind w:left="145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监</w:t>
            </w:r>
            <w:r>
              <w:rPr>
                <w:rFonts w:ascii="宋体" w:hAnsi="宋体" w:eastAsia="宋体" w:cs="宋体"/>
                <w:spacing w:val="6"/>
                <w:sz w:val="20"/>
                <w:szCs w:val="20"/>
                <w14:textOutline w14:w="3795" w14:cap="sq" w14:cmpd="sng">
                  <w14:solidFill>
                    <w14:srgbClr w14:val="000000"/>
                  </w14:solidFill>
                  <w14:prstDash w14:val="solid"/>
                  <w14:bevel/>
                </w14:textOutline>
              </w:rPr>
              <w:t>控点</w:t>
            </w:r>
          </w:p>
        </w:tc>
        <w:tc>
          <w:tcPr>
            <w:tcW w:w="2317" w:type="dxa"/>
            <w:tcBorders>
              <w:right w:val="nil"/>
            </w:tcBorders>
            <w:vAlign w:val="top"/>
          </w:tcPr>
          <w:p w14:paraId="7CF5ECF1">
            <w:pPr>
              <w:spacing w:before="62" w:line="228" w:lineRule="auto"/>
              <w:ind w:left="95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浓</w:t>
            </w:r>
            <w:r>
              <w:rPr>
                <w:rFonts w:ascii="宋体" w:hAnsi="宋体" w:eastAsia="宋体" w:cs="宋体"/>
                <w:spacing w:val="4"/>
                <w:sz w:val="20"/>
                <w:szCs w:val="20"/>
                <w14:textOutline w14:w="3795" w14:cap="sq" w14:cmpd="sng">
                  <w14:solidFill>
                    <w14:srgbClr w14:val="000000"/>
                  </w14:solidFill>
                  <w14:prstDash w14:val="solid"/>
                  <w14:bevel/>
                </w14:textOutline>
              </w:rPr>
              <w:t>度</w:t>
            </w:r>
          </w:p>
        </w:tc>
      </w:tr>
      <w:tr w14:paraId="4661A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670" w:type="dxa"/>
            <w:tcBorders>
              <w:left w:val="nil"/>
            </w:tcBorders>
            <w:vAlign w:val="top"/>
          </w:tcPr>
          <w:p w14:paraId="583D0164">
            <w:pPr>
              <w:spacing w:before="100" w:line="195" w:lineRule="auto"/>
              <w:ind w:left="1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pacing w:val="2"/>
                <w:sz w:val="20"/>
                <w:szCs w:val="20"/>
              </w:rPr>
              <w:t>SP</w:t>
            </w:r>
          </w:p>
        </w:tc>
        <w:tc>
          <w:tcPr>
            <w:tcW w:w="3535" w:type="dxa"/>
            <w:vAlign w:val="top"/>
          </w:tcPr>
          <w:p w14:paraId="17602A29">
            <w:pPr>
              <w:spacing w:before="64" w:line="228" w:lineRule="auto"/>
              <w:ind w:left="941"/>
              <w:rPr>
                <w:rFonts w:ascii="宋体" w:hAnsi="宋体" w:eastAsia="宋体" w:cs="宋体"/>
                <w:sz w:val="20"/>
                <w:szCs w:val="20"/>
              </w:rPr>
            </w:pPr>
            <w:r>
              <w:rPr>
                <w:rFonts w:ascii="宋体" w:hAnsi="宋体" w:eastAsia="宋体" w:cs="宋体"/>
                <w:spacing w:val="12"/>
                <w:sz w:val="20"/>
                <w:szCs w:val="20"/>
              </w:rPr>
              <w:t>周</w:t>
            </w:r>
            <w:r>
              <w:rPr>
                <w:rFonts w:ascii="宋体" w:hAnsi="宋体" w:eastAsia="宋体" w:cs="宋体"/>
                <w:spacing w:val="7"/>
                <w:sz w:val="20"/>
                <w:szCs w:val="20"/>
              </w:rPr>
              <w:t>围外浓度最高点</w:t>
            </w:r>
          </w:p>
        </w:tc>
        <w:tc>
          <w:tcPr>
            <w:tcW w:w="2317" w:type="dxa"/>
            <w:tcBorders>
              <w:right w:val="nil"/>
            </w:tcBorders>
            <w:vAlign w:val="top"/>
          </w:tcPr>
          <w:p w14:paraId="7FBCCF1F">
            <w:pPr>
              <w:spacing w:before="100" w:line="198" w:lineRule="auto"/>
              <w:ind w:left="10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bl>
    <w:p w14:paraId="2BCFF269">
      <w:pPr>
        <w:spacing w:before="263" w:line="375" w:lineRule="auto"/>
        <w:ind w:left="117" w:right="124" w:firstLine="473"/>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6"/>
          <w:sz w:val="23"/>
          <w:szCs w:val="23"/>
        </w:rPr>
        <w:t>项目生产过程中产生的颗粒物、有机废气 (以非甲烷总烃计) 执行《合成</w:t>
      </w:r>
      <w:r>
        <w:rPr>
          <w:rFonts w:ascii="宋体" w:hAnsi="宋体" w:eastAsia="宋体" w:cs="宋体"/>
          <w:sz w:val="23"/>
          <w:szCs w:val="23"/>
        </w:rPr>
        <w:t xml:space="preserve"> </w:t>
      </w:r>
      <w:r>
        <w:rPr>
          <w:rFonts w:ascii="宋体" w:hAnsi="宋体" w:eastAsia="宋体" w:cs="宋体"/>
          <w:spacing w:val="2"/>
          <w:sz w:val="23"/>
          <w:szCs w:val="23"/>
        </w:rPr>
        <w:t>树脂工业污染物排放标准》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31572</w:t>
      </w:r>
      <w:r>
        <w:rPr>
          <w:rFonts w:ascii="Times New Roman" w:hAnsi="Times New Roman" w:eastAsia="Times New Roman" w:cs="Times New Roman"/>
          <w:spacing w:val="1"/>
          <w:sz w:val="23"/>
          <w:szCs w:val="23"/>
        </w:rPr>
        <w:t>-2015</w:t>
      </w:r>
      <w:r>
        <w:rPr>
          <w:rFonts w:ascii="宋体" w:hAnsi="宋体" w:eastAsia="宋体" w:cs="宋体"/>
          <w:spacing w:val="1"/>
          <w:sz w:val="23"/>
          <w:szCs w:val="23"/>
        </w:rPr>
        <w:t xml:space="preserve">) 表 </w:t>
      </w:r>
      <w:r>
        <w:rPr>
          <w:rFonts w:ascii="Times New Roman" w:hAnsi="Times New Roman" w:eastAsia="Times New Roman" w:cs="Times New Roman"/>
          <w:spacing w:val="1"/>
          <w:sz w:val="23"/>
          <w:szCs w:val="23"/>
        </w:rPr>
        <w:t xml:space="preserve">4 </w:t>
      </w:r>
      <w:r>
        <w:rPr>
          <w:rFonts w:ascii="宋体" w:hAnsi="宋体" w:eastAsia="宋体" w:cs="宋体"/>
          <w:spacing w:val="1"/>
          <w:sz w:val="23"/>
          <w:szCs w:val="23"/>
        </w:rPr>
        <w:t xml:space="preserve">、表 </w:t>
      </w:r>
      <w:r>
        <w:rPr>
          <w:rFonts w:ascii="Times New Roman" w:hAnsi="Times New Roman" w:eastAsia="Times New Roman" w:cs="Times New Roman"/>
          <w:spacing w:val="1"/>
          <w:sz w:val="23"/>
          <w:szCs w:val="23"/>
        </w:rPr>
        <w:t xml:space="preserve">9 </w:t>
      </w:r>
      <w:r>
        <w:rPr>
          <w:rFonts w:ascii="宋体" w:hAnsi="宋体" w:eastAsia="宋体" w:cs="宋体"/>
          <w:spacing w:val="1"/>
          <w:sz w:val="23"/>
          <w:szCs w:val="23"/>
        </w:rPr>
        <w:t>中标准限值要求，具体</w:t>
      </w:r>
      <w:r>
        <w:rPr>
          <w:rFonts w:ascii="宋体" w:hAnsi="宋体" w:eastAsia="宋体" w:cs="宋体"/>
          <w:sz w:val="23"/>
          <w:szCs w:val="23"/>
        </w:rPr>
        <w:t xml:space="preserve"> </w:t>
      </w:r>
      <w:r>
        <w:rPr>
          <w:rFonts w:ascii="宋体" w:hAnsi="宋体" w:eastAsia="宋体" w:cs="宋体"/>
          <w:spacing w:val="-5"/>
          <w:sz w:val="23"/>
          <w:szCs w:val="23"/>
        </w:rPr>
        <w:t xml:space="preserve">见表 </w:t>
      </w:r>
      <w:r>
        <w:rPr>
          <w:rFonts w:ascii="Times New Roman" w:hAnsi="Times New Roman" w:eastAsia="Times New Roman" w:cs="Times New Roman"/>
          <w:spacing w:val="-5"/>
          <w:sz w:val="23"/>
          <w:szCs w:val="23"/>
        </w:rPr>
        <w:t>2-8</w:t>
      </w:r>
      <w:r>
        <w:rPr>
          <w:rFonts w:ascii="宋体" w:hAnsi="宋体" w:eastAsia="宋体" w:cs="宋体"/>
          <w:spacing w:val="-5"/>
          <w:sz w:val="23"/>
          <w:szCs w:val="23"/>
        </w:rPr>
        <w:t>。</w:t>
      </w:r>
    </w:p>
    <w:p w14:paraId="67C2D911">
      <w:pPr>
        <w:spacing w:before="78" w:line="228" w:lineRule="auto"/>
        <w:ind w:left="304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2-8</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废气排放标准</w:t>
      </w:r>
    </w:p>
    <w:p w14:paraId="688B511A">
      <w:pPr>
        <w:spacing w:line="14"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3"/>
        <w:gridCol w:w="1935"/>
        <w:gridCol w:w="2520"/>
        <w:gridCol w:w="2104"/>
      </w:tblGrid>
      <w:tr w14:paraId="1265B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963" w:type="dxa"/>
            <w:vMerge w:val="restart"/>
            <w:tcBorders>
              <w:left w:val="nil"/>
              <w:bottom w:val="nil"/>
            </w:tcBorders>
            <w:vAlign w:val="top"/>
          </w:tcPr>
          <w:p w14:paraId="424CD130">
            <w:pPr>
              <w:spacing w:before="197" w:line="228" w:lineRule="auto"/>
              <w:ind w:left="69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w:t>
            </w:r>
            <w:r>
              <w:rPr>
                <w:rFonts w:ascii="宋体" w:hAnsi="宋体" w:eastAsia="宋体" w:cs="宋体"/>
                <w:spacing w:val="-1"/>
                <w:sz w:val="20"/>
                <w:szCs w:val="20"/>
                <w14:textOutline w14:w="3795" w14:cap="sq" w14:cmpd="sng">
                  <w14:solidFill>
                    <w14:srgbClr w14:val="000000"/>
                  </w14:solidFill>
                  <w14:prstDash w14:val="solid"/>
                  <w14:bevel/>
                </w14:textOutline>
              </w:rPr>
              <w:t>物</w:t>
            </w:r>
          </w:p>
        </w:tc>
        <w:tc>
          <w:tcPr>
            <w:tcW w:w="1935" w:type="dxa"/>
            <w:vMerge w:val="restart"/>
            <w:tcBorders>
              <w:bottom w:val="nil"/>
            </w:tcBorders>
            <w:vAlign w:val="top"/>
          </w:tcPr>
          <w:p w14:paraId="3EF57ADE">
            <w:pPr>
              <w:spacing w:before="155" w:line="289" w:lineRule="exact"/>
              <w:ind w:left="109"/>
              <w:rPr>
                <w:rFonts w:ascii="宋体" w:hAnsi="宋体" w:eastAsia="宋体" w:cs="宋体"/>
                <w:sz w:val="20"/>
                <w:szCs w:val="20"/>
              </w:rPr>
            </w:pPr>
            <w:r>
              <w:rPr>
                <w:rFonts w:ascii="宋体" w:hAnsi="宋体" w:eastAsia="宋体" w:cs="宋体"/>
                <w:spacing w:val="-4"/>
                <w:position w:val="3"/>
                <w:sz w:val="20"/>
                <w:szCs w:val="20"/>
                <w14:textOutline w14:w="3795" w14:cap="sq" w14:cmpd="sng">
                  <w14:solidFill>
                    <w14:srgbClr w14:val="000000"/>
                  </w14:solidFill>
                  <w14:prstDash w14:val="solid"/>
                  <w14:bevel/>
                </w14:textOutline>
              </w:rPr>
              <w:t>排放</w:t>
            </w:r>
            <w:r>
              <w:rPr>
                <w:rFonts w:ascii="宋体" w:hAnsi="宋体" w:eastAsia="宋体" w:cs="宋体"/>
                <w:spacing w:val="-3"/>
                <w:position w:val="3"/>
                <w:sz w:val="20"/>
                <w:szCs w:val="20"/>
                <w14:textOutline w14:w="3795" w14:cap="sq" w14:cmpd="sng">
                  <w14:solidFill>
                    <w14:srgbClr w14:val="000000"/>
                  </w14:solidFill>
                  <w14:prstDash w14:val="solid"/>
                  <w14:bevel/>
                </w14:textOutline>
              </w:rPr>
              <w:t>限</w:t>
            </w:r>
            <w:r>
              <w:rPr>
                <w:rFonts w:ascii="宋体" w:hAnsi="宋体" w:eastAsia="宋体" w:cs="宋体"/>
                <w:spacing w:val="-2"/>
                <w:position w:val="3"/>
                <w:sz w:val="20"/>
                <w:szCs w:val="20"/>
                <w14:textOutline w14:w="3795" w14:cap="sq" w14:cmpd="sng">
                  <w14:solidFill>
                    <w14:srgbClr w14:val="000000"/>
                  </w14:solidFill>
                  <w14:prstDash w14:val="solid"/>
                  <w14:bevel/>
                </w14:textOutline>
              </w:rPr>
              <w:t>值</w:t>
            </w:r>
            <w:r>
              <w:rPr>
                <w:rFonts w:ascii="宋体" w:hAnsi="宋体" w:eastAsia="宋体" w:cs="宋体"/>
                <w:spacing w:val="-2"/>
                <w:position w:val="3"/>
                <w:sz w:val="20"/>
                <w:szCs w:val="20"/>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
                <w:position w:val="3"/>
                <w:sz w:val="20"/>
                <w:szCs w:val="20"/>
              </w:rPr>
              <w:t>mg/m</w:t>
            </w:r>
            <w:r>
              <w:rPr>
                <w:rFonts w:ascii="Times New Roman" w:hAnsi="Times New Roman" w:eastAsia="Times New Roman" w:cs="Times New Roman"/>
                <w:b/>
                <w:bCs/>
                <w:spacing w:val="-2"/>
                <w:position w:val="9"/>
                <w:sz w:val="13"/>
                <w:szCs w:val="13"/>
              </w:rPr>
              <w:t>3</w:t>
            </w:r>
            <w:r>
              <w:rPr>
                <w:rFonts w:ascii="Times New Roman" w:hAnsi="Times New Roman" w:eastAsia="Times New Roman" w:cs="Times New Roman"/>
                <w:spacing w:val="-2"/>
                <w:position w:val="9"/>
                <w:sz w:val="13"/>
                <w:szCs w:val="13"/>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p>
        </w:tc>
        <w:tc>
          <w:tcPr>
            <w:tcW w:w="2520" w:type="dxa"/>
            <w:vAlign w:val="top"/>
          </w:tcPr>
          <w:p w14:paraId="653040DC">
            <w:pPr>
              <w:spacing w:before="57" w:line="225" w:lineRule="auto"/>
              <w:ind w:left="182"/>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无</w:t>
            </w:r>
            <w:r>
              <w:rPr>
                <w:rFonts w:ascii="宋体" w:hAnsi="宋体" w:eastAsia="宋体" w:cs="宋体"/>
                <w:spacing w:val="-2"/>
                <w:sz w:val="20"/>
                <w:szCs w:val="20"/>
                <w14:textOutline w14:w="3795" w14:cap="sq" w14:cmpd="sng">
                  <w14:solidFill>
                    <w14:srgbClr w14:val="000000"/>
                  </w14:solidFill>
                  <w14:prstDash w14:val="solid"/>
                  <w14:bevel/>
                </w14:textOutline>
              </w:rPr>
              <w:t>组织排放监控浓度限值</w:t>
            </w:r>
          </w:p>
        </w:tc>
        <w:tc>
          <w:tcPr>
            <w:tcW w:w="2104" w:type="dxa"/>
            <w:vMerge w:val="restart"/>
            <w:tcBorders>
              <w:bottom w:val="nil"/>
              <w:right w:val="nil"/>
            </w:tcBorders>
            <w:vAlign w:val="top"/>
          </w:tcPr>
          <w:p w14:paraId="1E0D5E17">
            <w:pPr>
              <w:spacing w:before="196" w:line="228" w:lineRule="auto"/>
              <w:ind w:left="17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适合的合成树脂类</w:t>
            </w:r>
            <w:r>
              <w:rPr>
                <w:rFonts w:ascii="宋体" w:hAnsi="宋体" w:eastAsia="宋体" w:cs="宋体"/>
                <w:spacing w:val="-1"/>
                <w:sz w:val="20"/>
                <w:szCs w:val="20"/>
                <w14:textOutline w14:w="3795" w14:cap="sq" w14:cmpd="sng">
                  <w14:solidFill>
                    <w14:srgbClr w14:val="000000"/>
                  </w14:solidFill>
                  <w14:prstDash w14:val="solid"/>
                  <w14:bevel/>
                </w14:textOutline>
              </w:rPr>
              <w:t>型</w:t>
            </w:r>
          </w:p>
        </w:tc>
      </w:tr>
      <w:tr w14:paraId="3B31B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963" w:type="dxa"/>
            <w:vMerge w:val="continue"/>
            <w:tcBorders>
              <w:top w:val="nil"/>
              <w:left w:val="nil"/>
            </w:tcBorders>
            <w:vAlign w:val="top"/>
          </w:tcPr>
          <w:p w14:paraId="3982A7F7">
            <w:pPr>
              <w:rPr>
                <w:rFonts w:ascii="Arial"/>
                <w:sz w:val="21"/>
              </w:rPr>
            </w:pPr>
          </w:p>
        </w:tc>
        <w:tc>
          <w:tcPr>
            <w:tcW w:w="1935" w:type="dxa"/>
            <w:vMerge w:val="continue"/>
            <w:tcBorders>
              <w:top w:val="nil"/>
            </w:tcBorders>
            <w:vAlign w:val="top"/>
          </w:tcPr>
          <w:p w14:paraId="69F7BBFC">
            <w:pPr>
              <w:rPr>
                <w:rFonts w:ascii="Arial"/>
                <w:sz w:val="21"/>
              </w:rPr>
            </w:pPr>
          </w:p>
        </w:tc>
        <w:tc>
          <w:tcPr>
            <w:tcW w:w="2520" w:type="dxa"/>
            <w:vAlign w:val="top"/>
          </w:tcPr>
          <w:p w14:paraId="2BEC562D">
            <w:pPr>
              <w:spacing w:line="275" w:lineRule="exact"/>
              <w:ind w:left="34"/>
              <w:rPr>
                <w:rFonts w:ascii="宋体" w:hAnsi="宋体" w:eastAsia="宋体" w:cs="宋体"/>
                <w:sz w:val="20"/>
                <w:szCs w:val="20"/>
              </w:rPr>
            </w:pPr>
            <w:r>
              <w:rPr>
                <w:rFonts w:ascii="宋体" w:hAnsi="宋体" w:eastAsia="宋体" w:cs="宋体"/>
                <w:spacing w:val="-9"/>
                <w:position w:val="2"/>
                <w:sz w:val="20"/>
                <w:szCs w:val="20"/>
              </w:rPr>
              <w:t>周</w:t>
            </w:r>
            <w:r>
              <w:rPr>
                <w:rFonts w:ascii="宋体" w:hAnsi="宋体" w:eastAsia="宋体" w:cs="宋体"/>
                <w:spacing w:val="-5"/>
                <w:position w:val="2"/>
                <w:sz w:val="20"/>
                <w:szCs w:val="20"/>
              </w:rPr>
              <w:t>界外浓度最高点 (</w:t>
            </w:r>
            <w:r>
              <w:rPr>
                <w:rFonts w:ascii="Times New Roman" w:hAnsi="Times New Roman" w:eastAsia="Times New Roman" w:cs="Times New Roman"/>
                <w:spacing w:val="-5"/>
                <w:position w:val="2"/>
                <w:sz w:val="20"/>
                <w:szCs w:val="20"/>
              </w:rPr>
              <w:t>mg/m</w:t>
            </w:r>
            <w:r>
              <w:rPr>
                <w:rFonts w:ascii="Times New Roman" w:hAnsi="Times New Roman" w:eastAsia="Times New Roman" w:cs="Times New Roman"/>
                <w:spacing w:val="-5"/>
                <w:position w:val="8"/>
                <w:sz w:val="13"/>
                <w:szCs w:val="13"/>
              </w:rPr>
              <w:t xml:space="preserve">3 </w:t>
            </w:r>
            <w:r>
              <w:rPr>
                <w:rFonts w:ascii="宋体" w:hAnsi="宋体" w:eastAsia="宋体" w:cs="宋体"/>
                <w:spacing w:val="-5"/>
                <w:position w:val="2"/>
                <w:sz w:val="20"/>
                <w:szCs w:val="20"/>
              </w:rPr>
              <w:t>)</w:t>
            </w:r>
          </w:p>
        </w:tc>
        <w:tc>
          <w:tcPr>
            <w:tcW w:w="2104" w:type="dxa"/>
            <w:vMerge w:val="continue"/>
            <w:tcBorders>
              <w:top w:val="nil"/>
              <w:right w:val="nil"/>
            </w:tcBorders>
            <w:vAlign w:val="top"/>
          </w:tcPr>
          <w:p w14:paraId="30D7C47A">
            <w:pPr>
              <w:rPr>
                <w:rFonts w:ascii="Arial"/>
                <w:sz w:val="21"/>
              </w:rPr>
            </w:pPr>
          </w:p>
        </w:tc>
      </w:tr>
      <w:tr w14:paraId="3B1B2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963" w:type="dxa"/>
            <w:tcBorders>
              <w:left w:val="nil"/>
            </w:tcBorders>
            <w:vAlign w:val="top"/>
          </w:tcPr>
          <w:p w14:paraId="5E0846F8">
            <w:pPr>
              <w:spacing w:before="33" w:line="224" w:lineRule="auto"/>
              <w:ind w:left="693"/>
              <w:rPr>
                <w:rFonts w:ascii="宋体" w:hAnsi="宋体" w:eastAsia="宋体" w:cs="宋体"/>
                <w:sz w:val="20"/>
                <w:szCs w:val="20"/>
              </w:rPr>
            </w:pPr>
            <w:r>
              <w:rPr>
                <w:rFonts w:ascii="宋体" w:hAnsi="宋体" w:eastAsia="宋体" w:cs="宋体"/>
                <w:spacing w:val="-1"/>
                <w:sz w:val="20"/>
                <w:szCs w:val="20"/>
              </w:rPr>
              <w:t>颗粒</w:t>
            </w:r>
            <w:r>
              <w:rPr>
                <w:rFonts w:ascii="宋体" w:hAnsi="宋体" w:eastAsia="宋体" w:cs="宋体"/>
                <w:sz w:val="20"/>
                <w:szCs w:val="20"/>
              </w:rPr>
              <w:t>物</w:t>
            </w:r>
          </w:p>
        </w:tc>
        <w:tc>
          <w:tcPr>
            <w:tcW w:w="1935" w:type="dxa"/>
            <w:vAlign w:val="top"/>
          </w:tcPr>
          <w:p w14:paraId="43515C69">
            <w:pPr>
              <w:spacing w:before="69"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2520" w:type="dxa"/>
            <w:vAlign w:val="top"/>
          </w:tcPr>
          <w:p w14:paraId="38ADD95A">
            <w:pPr>
              <w:spacing w:before="69" w:line="198"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04" w:type="dxa"/>
            <w:vMerge w:val="restart"/>
            <w:tcBorders>
              <w:bottom w:val="nil"/>
              <w:right w:val="nil"/>
            </w:tcBorders>
            <w:vAlign w:val="top"/>
          </w:tcPr>
          <w:p w14:paraId="1357F003">
            <w:pPr>
              <w:spacing w:before="172" w:line="228" w:lineRule="auto"/>
              <w:ind w:left="468"/>
              <w:rPr>
                <w:rFonts w:ascii="宋体" w:hAnsi="宋体" w:eastAsia="宋体" w:cs="宋体"/>
                <w:sz w:val="20"/>
                <w:szCs w:val="20"/>
              </w:rPr>
            </w:pPr>
            <w:r>
              <w:rPr>
                <w:rFonts w:ascii="宋体" w:hAnsi="宋体" w:eastAsia="宋体" w:cs="宋体"/>
                <w:spacing w:val="-2"/>
                <w:sz w:val="20"/>
                <w:szCs w:val="20"/>
              </w:rPr>
              <w:t>所有合成树脂</w:t>
            </w:r>
          </w:p>
        </w:tc>
      </w:tr>
      <w:tr w14:paraId="36AF9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963" w:type="dxa"/>
            <w:tcBorders>
              <w:left w:val="nil"/>
            </w:tcBorders>
            <w:vAlign w:val="top"/>
          </w:tcPr>
          <w:p w14:paraId="42F8BC66">
            <w:pPr>
              <w:spacing w:before="33" w:line="214" w:lineRule="auto"/>
              <w:ind w:left="503"/>
              <w:rPr>
                <w:rFonts w:ascii="宋体" w:hAnsi="宋体" w:eastAsia="宋体" w:cs="宋体"/>
                <w:sz w:val="20"/>
                <w:szCs w:val="20"/>
              </w:rPr>
            </w:pPr>
            <w:r>
              <w:rPr>
                <w:rFonts w:ascii="宋体" w:hAnsi="宋体" w:eastAsia="宋体" w:cs="宋体"/>
                <w:spacing w:val="-4"/>
                <w:sz w:val="20"/>
                <w:szCs w:val="20"/>
              </w:rPr>
              <w:t>非</w:t>
            </w:r>
            <w:r>
              <w:rPr>
                <w:rFonts w:ascii="宋体" w:hAnsi="宋体" w:eastAsia="宋体" w:cs="宋体"/>
                <w:spacing w:val="-3"/>
                <w:sz w:val="20"/>
                <w:szCs w:val="20"/>
              </w:rPr>
              <w:t>甲</w:t>
            </w:r>
            <w:r>
              <w:rPr>
                <w:rFonts w:ascii="宋体" w:hAnsi="宋体" w:eastAsia="宋体" w:cs="宋体"/>
                <w:spacing w:val="-2"/>
                <w:sz w:val="20"/>
                <w:szCs w:val="20"/>
              </w:rPr>
              <w:t>烷总烃</w:t>
            </w:r>
          </w:p>
        </w:tc>
        <w:tc>
          <w:tcPr>
            <w:tcW w:w="1935" w:type="dxa"/>
            <w:vAlign w:val="top"/>
          </w:tcPr>
          <w:p w14:paraId="446EC0AC">
            <w:pPr>
              <w:spacing w:before="69" w:line="195"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00</w:t>
            </w:r>
          </w:p>
        </w:tc>
        <w:tc>
          <w:tcPr>
            <w:tcW w:w="2520" w:type="dxa"/>
            <w:vAlign w:val="top"/>
          </w:tcPr>
          <w:p w14:paraId="1EC5B0D9">
            <w:pPr>
              <w:spacing w:before="69" w:line="195" w:lineRule="auto"/>
              <w:ind w:left="1140"/>
              <w:rPr>
                <w:rFonts w:ascii="Times New Roman" w:hAnsi="Times New Roman" w:eastAsia="Times New Roman" w:cs="Times New Roman"/>
                <w:sz w:val="20"/>
                <w:szCs w:val="20"/>
              </w:rPr>
            </w:pPr>
            <w:r>
              <w:rPr>
                <w:rFonts w:ascii="Times New Roman" w:hAnsi="Times New Roman" w:eastAsia="Times New Roman" w:cs="Times New Roman"/>
                <w:sz w:val="20"/>
                <w:szCs w:val="20"/>
              </w:rPr>
              <w:t>4 0</w:t>
            </w:r>
          </w:p>
        </w:tc>
        <w:tc>
          <w:tcPr>
            <w:tcW w:w="2104" w:type="dxa"/>
            <w:vMerge w:val="continue"/>
            <w:tcBorders>
              <w:top w:val="nil"/>
              <w:right w:val="nil"/>
            </w:tcBorders>
            <w:vAlign w:val="top"/>
          </w:tcPr>
          <w:p w14:paraId="25008C77">
            <w:pPr>
              <w:rPr>
                <w:rFonts w:ascii="Arial"/>
                <w:sz w:val="21"/>
              </w:rPr>
            </w:pPr>
          </w:p>
        </w:tc>
      </w:tr>
      <w:tr w14:paraId="586E5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963" w:type="dxa"/>
            <w:tcBorders>
              <w:left w:val="nil"/>
            </w:tcBorders>
            <w:vAlign w:val="top"/>
          </w:tcPr>
          <w:p w14:paraId="74E805CB">
            <w:pPr>
              <w:spacing w:before="47" w:line="244" w:lineRule="auto"/>
              <w:ind w:left="127" w:right="78" w:hanging="19"/>
              <w:rPr>
                <w:rFonts w:ascii="宋体" w:hAnsi="宋体" w:eastAsia="宋体" w:cs="宋体"/>
                <w:sz w:val="20"/>
                <w:szCs w:val="20"/>
              </w:rPr>
            </w:pPr>
            <w:r>
              <w:rPr>
                <w:rFonts w:ascii="宋体" w:hAnsi="宋体" w:eastAsia="宋体" w:cs="宋体"/>
                <w:spacing w:val="-3"/>
                <w:sz w:val="20"/>
                <w:szCs w:val="20"/>
              </w:rPr>
              <w:t>单位产品非甲烷总烃</w:t>
            </w:r>
            <w:r>
              <w:rPr>
                <w:rFonts w:ascii="宋体" w:hAnsi="宋体" w:eastAsia="宋体" w:cs="宋体"/>
                <w:sz w:val="20"/>
                <w:szCs w:val="20"/>
              </w:rPr>
              <w:t xml:space="preserve"> </w:t>
            </w:r>
            <w:r>
              <w:rPr>
                <w:rFonts w:ascii="宋体" w:hAnsi="宋体" w:eastAsia="宋体" w:cs="宋体"/>
                <w:spacing w:val="-2"/>
                <w:sz w:val="20"/>
                <w:szCs w:val="20"/>
              </w:rPr>
              <w:t>排放量 (</w:t>
            </w:r>
            <w:r>
              <w:rPr>
                <w:rFonts w:ascii="Times New Roman" w:hAnsi="Times New Roman" w:eastAsia="Times New Roman" w:cs="Times New Roman"/>
                <w:spacing w:val="-2"/>
                <w:sz w:val="20"/>
                <w:szCs w:val="20"/>
              </w:rPr>
              <w:t>kg/</w:t>
            </w:r>
            <w:r>
              <w:rPr>
                <w:rFonts w:ascii="Times New Roman" w:hAnsi="Times New Roman" w:eastAsia="Times New Roman" w:cs="Times New Roman"/>
                <w:sz w:val="20"/>
                <w:szCs w:val="20"/>
              </w:rPr>
              <w:t>t</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产品)</w:t>
            </w:r>
          </w:p>
        </w:tc>
        <w:tc>
          <w:tcPr>
            <w:tcW w:w="4455" w:type="dxa"/>
            <w:gridSpan w:val="2"/>
            <w:vAlign w:val="top"/>
          </w:tcPr>
          <w:p w14:paraId="5941F60A">
            <w:pPr>
              <w:spacing w:before="219" w:line="195" w:lineRule="auto"/>
              <w:ind w:left="2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5</w:t>
            </w:r>
          </w:p>
        </w:tc>
        <w:tc>
          <w:tcPr>
            <w:tcW w:w="2104" w:type="dxa"/>
            <w:tcBorders>
              <w:right w:val="nil"/>
            </w:tcBorders>
            <w:vAlign w:val="top"/>
          </w:tcPr>
          <w:p w14:paraId="24DD3324">
            <w:pPr>
              <w:spacing w:before="45" w:line="248" w:lineRule="auto"/>
              <w:ind w:left="185" w:right="168" w:firstLine="282"/>
              <w:rPr>
                <w:rFonts w:ascii="宋体" w:hAnsi="宋体" w:eastAsia="宋体" w:cs="宋体"/>
                <w:sz w:val="20"/>
                <w:szCs w:val="20"/>
              </w:rPr>
            </w:pPr>
            <w:r>
              <w:rPr>
                <w:rFonts w:ascii="宋体" w:hAnsi="宋体" w:eastAsia="宋体" w:cs="宋体"/>
                <w:spacing w:val="-4"/>
                <w:sz w:val="20"/>
                <w:szCs w:val="20"/>
              </w:rPr>
              <w:t>所有</w:t>
            </w:r>
            <w:r>
              <w:rPr>
                <w:rFonts w:ascii="宋体" w:hAnsi="宋体" w:eastAsia="宋体" w:cs="宋体"/>
                <w:spacing w:val="-2"/>
                <w:sz w:val="20"/>
                <w:szCs w:val="20"/>
              </w:rPr>
              <w:t>合成树脂</w:t>
            </w:r>
            <w:r>
              <w:rPr>
                <w:rFonts w:ascii="宋体" w:hAnsi="宋体" w:eastAsia="宋体" w:cs="宋体"/>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有机硅树脂除外)</w:t>
            </w:r>
          </w:p>
        </w:tc>
      </w:tr>
    </w:tbl>
    <w:p w14:paraId="1032894D">
      <w:pPr>
        <w:spacing w:before="264" w:line="378" w:lineRule="auto"/>
        <w:ind w:left="119" w:right="124" w:firstLine="453"/>
        <w:rPr>
          <w:rFonts w:ascii="宋体" w:hAnsi="宋体" w:eastAsia="宋体" w:cs="宋体"/>
          <w:sz w:val="23"/>
          <w:szCs w:val="23"/>
        </w:rPr>
      </w:pPr>
      <w:r>
        <w:rPr>
          <w:rFonts w:ascii="宋体" w:hAnsi="宋体" w:eastAsia="宋体" w:cs="宋体"/>
          <w:spacing w:val="1"/>
          <w:sz w:val="23"/>
          <w:szCs w:val="23"/>
        </w:rPr>
        <w:t>企业厂区内</w:t>
      </w:r>
      <w:r>
        <w:rPr>
          <w:rFonts w:ascii="宋体" w:hAnsi="宋体" w:eastAsia="宋体" w:cs="宋体"/>
          <w:sz w:val="23"/>
          <w:szCs w:val="23"/>
        </w:rPr>
        <w:t xml:space="preserve">无组织排放的挥发性有机物执行《挥发性有机物无组织排放控制标 </w:t>
      </w:r>
      <w:r>
        <w:rPr>
          <w:rFonts w:ascii="宋体" w:hAnsi="宋体" w:eastAsia="宋体" w:cs="宋体"/>
          <w:spacing w:val="-1"/>
          <w:sz w:val="23"/>
          <w:szCs w:val="23"/>
        </w:rPr>
        <w:t>准》</w:t>
      </w:r>
      <w:r>
        <w:rPr>
          <w:rFonts w:ascii="宋体" w:hAnsi="宋体" w:eastAsia="宋体" w:cs="宋体"/>
          <w:sz w:val="23"/>
          <w:szCs w:val="23"/>
        </w:rPr>
        <w:t xml:space="preserve">  (</w:t>
      </w:r>
      <w:r>
        <w:rPr>
          <w:rFonts w:ascii="Times New Roman" w:hAnsi="Times New Roman" w:eastAsia="Times New Roman" w:cs="Times New Roman"/>
          <w:sz w:val="23"/>
          <w:szCs w:val="23"/>
        </w:rPr>
        <w:t>GB37822-2019</w:t>
      </w:r>
      <w:r>
        <w:rPr>
          <w:rFonts w:ascii="宋体" w:hAnsi="宋体" w:eastAsia="宋体" w:cs="宋体"/>
          <w:sz w:val="23"/>
          <w:szCs w:val="23"/>
        </w:rPr>
        <w:t xml:space="preserve">) 附录 </w:t>
      </w:r>
      <w:r>
        <w:rPr>
          <w:rFonts w:ascii="Times New Roman" w:hAnsi="Times New Roman" w:eastAsia="Times New Roman" w:cs="Times New Roman"/>
          <w:sz w:val="23"/>
          <w:szCs w:val="23"/>
        </w:rPr>
        <w:t xml:space="preserve">A </w:t>
      </w:r>
      <w:r>
        <w:rPr>
          <w:rFonts w:ascii="宋体" w:hAnsi="宋体" w:eastAsia="宋体" w:cs="宋体"/>
          <w:sz w:val="23"/>
          <w:szCs w:val="23"/>
        </w:rPr>
        <w:t xml:space="preserve">中标准限值要求，具体见表 </w:t>
      </w:r>
      <w:r>
        <w:rPr>
          <w:rFonts w:ascii="Times New Roman" w:hAnsi="Times New Roman" w:eastAsia="Times New Roman" w:cs="Times New Roman"/>
          <w:sz w:val="23"/>
          <w:szCs w:val="23"/>
        </w:rPr>
        <w:t>2-9</w:t>
      </w:r>
      <w:r>
        <w:rPr>
          <w:rFonts w:ascii="宋体" w:hAnsi="宋体" w:eastAsia="宋体" w:cs="宋体"/>
          <w:sz w:val="23"/>
          <w:szCs w:val="23"/>
        </w:rPr>
        <w:t>。</w:t>
      </w:r>
    </w:p>
    <w:p w14:paraId="193E8A65">
      <w:pPr>
        <w:spacing w:before="77" w:line="227" w:lineRule="auto"/>
        <w:ind w:left="862"/>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2-</w:t>
      </w:r>
      <w:r>
        <w:rPr>
          <w:rFonts w:ascii="Times New Roman" w:hAnsi="Times New Roman" w:eastAsia="Times New Roman" w:cs="Times New Roman"/>
          <w:b/>
          <w:bCs/>
          <w:spacing w:val="-6"/>
          <w:sz w:val="23"/>
          <w:szCs w:val="23"/>
        </w:rPr>
        <w:t>9</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《挥发性有机物无组织排放控制标准》</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6"/>
          <w:sz w:val="23"/>
          <w:szCs w:val="23"/>
        </w:rPr>
        <w:t>GB37822-2019</w:t>
      </w:r>
      <w:r>
        <w:rPr>
          <w:rFonts w:ascii="宋体" w:hAnsi="宋体" w:eastAsia="宋体" w:cs="宋体"/>
          <w:spacing w:val="-6"/>
          <w:sz w:val="23"/>
          <w:szCs w:val="23"/>
          <w14:textOutline w14:w="4358" w14:cap="sq" w14:cmpd="sng">
            <w14:solidFill>
              <w14:srgbClr w14:val="000000"/>
            </w14:solidFill>
            <w14:prstDash w14:val="solid"/>
            <w14:bevel/>
          </w14:textOutline>
        </w:rPr>
        <w:t>)</w:t>
      </w:r>
    </w:p>
    <w:p w14:paraId="5FA93950">
      <w:pPr>
        <w:spacing w:line="16"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3"/>
        <w:gridCol w:w="1935"/>
        <w:gridCol w:w="2520"/>
        <w:gridCol w:w="2104"/>
      </w:tblGrid>
      <w:tr w14:paraId="78273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963" w:type="dxa"/>
            <w:tcBorders>
              <w:left w:val="nil"/>
            </w:tcBorders>
            <w:vAlign w:val="top"/>
          </w:tcPr>
          <w:p w14:paraId="3B9D40DE">
            <w:pPr>
              <w:spacing w:before="187" w:line="228" w:lineRule="auto"/>
              <w:ind w:left="69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w:t>
            </w:r>
            <w:r>
              <w:rPr>
                <w:rFonts w:ascii="宋体" w:hAnsi="宋体" w:eastAsia="宋体" w:cs="宋体"/>
                <w:spacing w:val="-1"/>
                <w:sz w:val="20"/>
                <w:szCs w:val="20"/>
                <w14:textOutline w14:w="3795" w14:cap="sq" w14:cmpd="sng">
                  <w14:solidFill>
                    <w14:srgbClr w14:val="000000"/>
                  </w14:solidFill>
                  <w14:prstDash w14:val="solid"/>
                  <w14:bevel/>
                </w14:textOutline>
              </w:rPr>
              <w:t>物</w:t>
            </w:r>
          </w:p>
        </w:tc>
        <w:tc>
          <w:tcPr>
            <w:tcW w:w="1935" w:type="dxa"/>
            <w:vAlign w:val="top"/>
          </w:tcPr>
          <w:p w14:paraId="478AF768">
            <w:pPr>
              <w:spacing w:before="146" w:line="289" w:lineRule="exact"/>
              <w:ind w:left="109"/>
              <w:rPr>
                <w:rFonts w:ascii="宋体" w:hAnsi="宋体" w:eastAsia="宋体" w:cs="宋体"/>
                <w:sz w:val="20"/>
                <w:szCs w:val="20"/>
              </w:rPr>
            </w:pPr>
            <w:r>
              <w:rPr>
                <w:rFonts w:ascii="宋体" w:hAnsi="宋体" w:eastAsia="宋体" w:cs="宋体"/>
                <w:spacing w:val="-4"/>
                <w:position w:val="3"/>
                <w:sz w:val="20"/>
                <w:szCs w:val="20"/>
                <w14:textOutline w14:w="3795" w14:cap="sq" w14:cmpd="sng">
                  <w14:solidFill>
                    <w14:srgbClr w14:val="000000"/>
                  </w14:solidFill>
                  <w14:prstDash w14:val="solid"/>
                  <w14:bevel/>
                </w14:textOutline>
              </w:rPr>
              <w:t>排放</w:t>
            </w:r>
            <w:r>
              <w:rPr>
                <w:rFonts w:ascii="宋体" w:hAnsi="宋体" w:eastAsia="宋体" w:cs="宋体"/>
                <w:spacing w:val="-3"/>
                <w:position w:val="3"/>
                <w:sz w:val="20"/>
                <w:szCs w:val="20"/>
                <w14:textOutline w14:w="3795" w14:cap="sq" w14:cmpd="sng">
                  <w14:solidFill>
                    <w14:srgbClr w14:val="000000"/>
                  </w14:solidFill>
                  <w14:prstDash w14:val="solid"/>
                  <w14:bevel/>
                </w14:textOutline>
              </w:rPr>
              <w:t>限</w:t>
            </w:r>
            <w:r>
              <w:rPr>
                <w:rFonts w:ascii="宋体" w:hAnsi="宋体" w:eastAsia="宋体" w:cs="宋体"/>
                <w:spacing w:val="-2"/>
                <w:position w:val="3"/>
                <w:sz w:val="20"/>
                <w:szCs w:val="20"/>
                <w14:textOutline w14:w="3795" w14:cap="sq" w14:cmpd="sng">
                  <w14:solidFill>
                    <w14:srgbClr w14:val="000000"/>
                  </w14:solidFill>
                  <w14:prstDash w14:val="solid"/>
                  <w14:bevel/>
                </w14:textOutline>
              </w:rPr>
              <w:t>值</w:t>
            </w:r>
            <w:r>
              <w:rPr>
                <w:rFonts w:ascii="宋体" w:hAnsi="宋体" w:eastAsia="宋体" w:cs="宋体"/>
                <w:spacing w:val="-2"/>
                <w:position w:val="3"/>
                <w:sz w:val="20"/>
                <w:szCs w:val="20"/>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
                <w:position w:val="3"/>
                <w:sz w:val="20"/>
                <w:szCs w:val="20"/>
              </w:rPr>
              <w:t>mg/m</w:t>
            </w:r>
            <w:r>
              <w:rPr>
                <w:rFonts w:ascii="Times New Roman" w:hAnsi="Times New Roman" w:eastAsia="Times New Roman" w:cs="Times New Roman"/>
                <w:b/>
                <w:bCs/>
                <w:spacing w:val="-2"/>
                <w:position w:val="9"/>
                <w:sz w:val="13"/>
                <w:szCs w:val="13"/>
              </w:rPr>
              <w:t>3</w:t>
            </w:r>
            <w:r>
              <w:rPr>
                <w:rFonts w:ascii="Times New Roman" w:hAnsi="Times New Roman" w:eastAsia="Times New Roman" w:cs="Times New Roman"/>
                <w:spacing w:val="-2"/>
                <w:position w:val="9"/>
                <w:sz w:val="13"/>
                <w:szCs w:val="13"/>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p>
        </w:tc>
        <w:tc>
          <w:tcPr>
            <w:tcW w:w="2520" w:type="dxa"/>
            <w:vAlign w:val="top"/>
          </w:tcPr>
          <w:p w14:paraId="467C5DF2">
            <w:pPr>
              <w:spacing w:before="187" w:line="228" w:lineRule="auto"/>
              <w:ind w:left="88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限</w:t>
            </w:r>
            <w:r>
              <w:rPr>
                <w:rFonts w:ascii="宋体" w:hAnsi="宋体" w:eastAsia="宋体" w:cs="宋体"/>
                <w:spacing w:val="-4"/>
                <w:sz w:val="20"/>
                <w:szCs w:val="20"/>
                <w14:textOutline w14:w="3795" w14:cap="sq" w14:cmpd="sng">
                  <w14:solidFill>
                    <w14:srgbClr w14:val="000000"/>
                  </w14:solidFill>
                  <w14:prstDash w14:val="solid"/>
                  <w14:bevel/>
                </w14:textOutline>
              </w:rPr>
              <w:t>值含义</w:t>
            </w:r>
          </w:p>
        </w:tc>
        <w:tc>
          <w:tcPr>
            <w:tcW w:w="2104" w:type="dxa"/>
            <w:tcBorders>
              <w:right w:val="nil"/>
            </w:tcBorders>
            <w:vAlign w:val="top"/>
          </w:tcPr>
          <w:p w14:paraId="5D3A1ED8">
            <w:pPr>
              <w:spacing w:before="187" w:line="228" w:lineRule="auto"/>
              <w:ind w:left="172"/>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无</w:t>
            </w:r>
            <w:r>
              <w:rPr>
                <w:rFonts w:ascii="宋体" w:hAnsi="宋体" w:eastAsia="宋体" w:cs="宋体"/>
                <w:spacing w:val="-2"/>
                <w:sz w:val="20"/>
                <w:szCs w:val="20"/>
                <w14:textOutline w14:w="3795" w14:cap="sq" w14:cmpd="sng">
                  <w14:solidFill>
                    <w14:srgbClr w14:val="000000"/>
                  </w14:solidFill>
                  <w14:prstDash w14:val="solid"/>
                  <w14:bevel/>
                </w14:textOutline>
              </w:rPr>
              <w:t>组织排放监控位置</w:t>
            </w:r>
          </w:p>
        </w:tc>
      </w:tr>
      <w:tr w14:paraId="5310C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963" w:type="dxa"/>
            <w:vMerge w:val="restart"/>
            <w:tcBorders>
              <w:left w:val="nil"/>
              <w:bottom w:val="nil"/>
            </w:tcBorders>
            <w:vAlign w:val="top"/>
          </w:tcPr>
          <w:p w14:paraId="42097CB3">
            <w:pPr>
              <w:spacing w:before="211"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NMH</w:t>
            </w:r>
            <w:r>
              <w:rPr>
                <w:rFonts w:ascii="Times New Roman" w:hAnsi="Times New Roman" w:eastAsia="Times New Roman" w:cs="Times New Roman"/>
                <w:spacing w:val="3"/>
                <w:sz w:val="20"/>
                <w:szCs w:val="20"/>
              </w:rPr>
              <w:t>C</w:t>
            </w:r>
          </w:p>
        </w:tc>
        <w:tc>
          <w:tcPr>
            <w:tcW w:w="1935" w:type="dxa"/>
            <w:vAlign w:val="top"/>
          </w:tcPr>
          <w:p w14:paraId="740F2A0E">
            <w:pPr>
              <w:spacing w:before="70" w:line="195"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0</w:t>
            </w:r>
          </w:p>
        </w:tc>
        <w:tc>
          <w:tcPr>
            <w:tcW w:w="2520" w:type="dxa"/>
            <w:vAlign w:val="top"/>
          </w:tcPr>
          <w:p w14:paraId="236013BE">
            <w:pPr>
              <w:spacing w:line="275" w:lineRule="exact"/>
              <w:ind w:left="236"/>
              <w:rPr>
                <w:rFonts w:ascii="宋体" w:hAnsi="宋体" w:eastAsia="宋体" w:cs="宋体"/>
                <w:sz w:val="20"/>
                <w:szCs w:val="20"/>
              </w:rPr>
            </w:pPr>
            <w:r>
              <w:rPr>
                <w:rFonts w:ascii="宋体" w:hAnsi="宋体" w:eastAsia="宋体" w:cs="宋体"/>
                <w:spacing w:val="-6"/>
                <w:position w:val="1"/>
                <w:sz w:val="20"/>
                <w:szCs w:val="20"/>
              </w:rPr>
              <w:t xml:space="preserve">监控点处 </w:t>
            </w:r>
            <w:r>
              <w:rPr>
                <w:rFonts w:ascii="Times New Roman" w:hAnsi="Times New Roman" w:eastAsia="Times New Roman" w:cs="Times New Roman"/>
                <w:spacing w:val="-6"/>
                <w:position w:val="1"/>
                <w:sz w:val="20"/>
                <w:szCs w:val="20"/>
              </w:rPr>
              <w:t xml:space="preserve">1h </w:t>
            </w:r>
            <w:r>
              <w:rPr>
                <w:rFonts w:ascii="宋体" w:hAnsi="宋体" w:eastAsia="宋体" w:cs="宋体"/>
                <w:spacing w:val="-6"/>
                <w:position w:val="1"/>
                <w:sz w:val="20"/>
                <w:szCs w:val="20"/>
              </w:rPr>
              <w:t>平均浓度值</w:t>
            </w:r>
          </w:p>
        </w:tc>
        <w:tc>
          <w:tcPr>
            <w:tcW w:w="2104" w:type="dxa"/>
            <w:vMerge w:val="restart"/>
            <w:tcBorders>
              <w:bottom w:val="nil"/>
              <w:right w:val="nil"/>
            </w:tcBorders>
            <w:vAlign w:val="top"/>
          </w:tcPr>
          <w:p w14:paraId="42D1CC90">
            <w:pPr>
              <w:spacing w:before="173" w:line="228" w:lineRule="auto"/>
              <w:ind w:left="174"/>
              <w:rPr>
                <w:rFonts w:ascii="宋体" w:hAnsi="宋体" w:eastAsia="宋体" w:cs="宋体"/>
                <w:sz w:val="20"/>
                <w:szCs w:val="20"/>
              </w:rPr>
            </w:pPr>
            <w:r>
              <w:rPr>
                <w:rFonts w:ascii="宋体" w:hAnsi="宋体" w:eastAsia="宋体" w:cs="宋体"/>
                <w:spacing w:val="-4"/>
                <w:sz w:val="20"/>
                <w:szCs w:val="20"/>
              </w:rPr>
              <w:t>在</w:t>
            </w:r>
            <w:r>
              <w:rPr>
                <w:rFonts w:ascii="宋体" w:hAnsi="宋体" w:eastAsia="宋体" w:cs="宋体"/>
                <w:spacing w:val="-3"/>
                <w:sz w:val="20"/>
                <w:szCs w:val="20"/>
              </w:rPr>
              <w:t>厂</w:t>
            </w:r>
            <w:r>
              <w:rPr>
                <w:rFonts w:ascii="宋体" w:hAnsi="宋体" w:eastAsia="宋体" w:cs="宋体"/>
                <w:spacing w:val="-2"/>
                <w:sz w:val="20"/>
                <w:szCs w:val="20"/>
              </w:rPr>
              <w:t>房外设置监控点</w:t>
            </w:r>
          </w:p>
        </w:tc>
      </w:tr>
      <w:tr w14:paraId="5DA15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963" w:type="dxa"/>
            <w:vMerge w:val="continue"/>
            <w:tcBorders>
              <w:top w:val="nil"/>
              <w:left w:val="nil"/>
            </w:tcBorders>
            <w:vAlign w:val="top"/>
          </w:tcPr>
          <w:p w14:paraId="46920241">
            <w:pPr>
              <w:rPr>
                <w:rFonts w:ascii="Arial"/>
                <w:sz w:val="21"/>
              </w:rPr>
            </w:pPr>
          </w:p>
        </w:tc>
        <w:tc>
          <w:tcPr>
            <w:tcW w:w="1935" w:type="dxa"/>
            <w:vAlign w:val="top"/>
          </w:tcPr>
          <w:p w14:paraId="0A7BECA3">
            <w:pPr>
              <w:spacing w:before="72"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2520" w:type="dxa"/>
            <w:vAlign w:val="top"/>
          </w:tcPr>
          <w:p w14:paraId="6F429913">
            <w:pPr>
              <w:spacing w:before="36" w:line="228" w:lineRule="auto"/>
              <w:ind w:left="188"/>
              <w:rPr>
                <w:rFonts w:ascii="宋体" w:hAnsi="宋体" w:eastAsia="宋体" w:cs="宋体"/>
                <w:sz w:val="20"/>
                <w:szCs w:val="20"/>
              </w:rPr>
            </w:pPr>
            <w:r>
              <w:rPr>
                <w:rFonts w:ascii="宋体" w:hAnsi="宋体" w:eastAsia="宋体" w:cs="宋体"/>
                <w:spacing w:val="-4"/>
                <w:sz w:val="20"/>
                <w:szCs w:val="20"/>
              </w:rPr>
              <w:t>监控点</w:t>
            </w:r>
            <w:r>
              <w:rPr>
                <w:rFonts w:ascii="宋体" w:hAnsi="宋体" w:eastAsia="宋体" w:cs="宋体"/>
                <w:spacing w:val="-3"/>
                <w:sz w:val="20"/>
                <w:szCs w:val="20"/>
              </w:rPr>
              <w:t>处</w:t>
            </w:r>
            <w:r>
              <w:rPr>
                <w:rFonts w:ascii="宋体" w:hAnsi="宋体" w:eastAsia="宋体" w:cs="宋体"/>
                <w:spacing w:val="-2"/>
                <w:sz w:val="20"/>
                <w:szCs w:val="20"/>
              </w:rPr>
              <w:t>任意一次浓度值</w:t>
            </w:r>
          </w:p>
        </w:tc>
        <w:tc>
          <w:tcPr>
            <w:tcW w:w="2104" w:type="dxa"/>
            <w:vMerge w:val="continue"/>
            <w:tcBorders>
              <w:top w:val="nil"/>
              <w:right w:val="nil"/>
            </w:tcBorders>
            <w:vAlign w:val="top"/>
          </w:tcPr>
          <w:p w14:paraId="2DFEB94A">
            <w:pPr>
              <w:rPr>
                <w:rFonts w:ascii="Arial"/>
                <w:sz w:val="21"/>
              </w:rPr>
            </w:pPr>
          </w:p>
        </w:tc>
      </w:tr>
    </w:tbl>
    <w:p w14:paraId="51629DFD">
      <w:pPr>
        <w:spacing w:before="303" w:line="395" w:lineRule="auto"/>
        <w:ind w:left="115" w:right="110" w:firstLine="456"/>
        <w:rPr>
          <w:rFonts w:ascii="宋体" w:hAnsi="宋体" w:eastAsia="宋体" w:cs="宋体"/>
          <w:sz w:val="23"/>
          <w:szCs w:val="23"/>
        </w:rPr>
      </w:pPr>
      <w:r>
        <w:rPr>
          <w:rFonts w:ascii="宋体" w:hAnsi="宋体" w:eastAsia="宋体" w:cs="宋体"/>
          <w:spacing w:val="-4"/>
          <w:sz w:val="23"/>
          <w:szCs w:val="23"/>
        </w:rPr>
        <w:t xml:space="preserve">项目洗字工序由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台 </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2"/>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pacing w:val="-2"/>
          <w:sz w:val="23"/>
          <w:szCs w:val="23"/>
        </w:rPr>
        <w:t>h</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的</w:t>
      </w:r>
      <w:r>
        <w:rPr>
          <w:rFonts w:ascii="宋体" w:hAnsi="宋体" w:eastAsia="宋体" w:cs="宋体"/>
          <w:spacing w:val="-2"/>
          <w:sz w:val="23"/>
          <w:szCs w:val="23"/>
        </w:rPr>
        <w:t>热风炉供热，放置于生产厂房内，锅炉房位于生产</w:t>
      </w:r>
      <w:r>
        <w:rPr>
          <w:rFonts w:ascii="宋体" w:hAnsi="宋体" w:eastAsia="宋体" w:cs="宋体"/>
          <w:sz w:val="23"/>
          <w:szCs w:val="23"/>
        </w:rPr>
        <w:t xml:space="preserve"> </w:t>
      </w:r>
      <w:r>
        <w:rPr>
          <w:rFonts w:ascii="宋体" w:hAnsi="宋体" w:eastAsia="宋体" w:cs="宋体"/>
          <w:spacing w:val="-4"/>
          <w:sz w:val="23"/>
          <w:szCs w:val="23"/>
        </w:rPr>
        <w:t>厂房内东北侧，热风炉产生</w:t>
      </w:r>
      <w:r>
        <w:rPr>
          <w:rFonts w:ascii="宋体" w:hAnsi="宋体" w:eastAsia="宋体" w:cs="宋体"/>
          <w:spacing w:val="-3"/>
          <w:sz w:val="23"/>
          <w:szCs w:val="23"/>
        </w:rPr>
        <w:t>的</w:t>
      </w:r>
      <w:r>
        <w:rPr>
          <w:rFonts w:ascii="宋体" w:hAnsi="宋体" w:eastAsia="宋体" w:cs="宋体"/>
          <w:spacing w:val="-2"/>
          <w:sz w:val="23"/>
          <w:szCs w:val="23"/>
        </w:rPr>
        <w:t xml:space="preserve">废气经配套的除尘器处理后，通过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个 </w:t>
      </w:r>
      <w:r>
        <w:rPr>
          <w:rFonts w:ascii="Times New Roman" w:hAnsi="Times New Roman" w:eastAsia="Times New Roman" w:cs="Times New Roman"/>
          <w:spacing w:val="-2"/>
          <w:sz w:val="23"/>
          <w:szCs w:val="23"/>
        </w:rPr>
        <w:t>30m</w:t>
      </w:r>
      <w:r>
        <w:rPr>
          <w:rFonts w:ascii="宋体" w:hAnsi="宋体" w:eastAsia="宋体" w:cs="宋体"/>
          <w:spacing w:val="-2"/>
          <w:sz w:val="23"/>
          <w:szCs w:val="23"/>
        </w:rPr>
        <w:t>高排气筒</w:t>
      </w:r>
      <w:r>
        <w:rPr>
          <w:rFonts w:ascii="宋体" w:hAnsi="宋体" w:eastAsia="宋体" w:cs="宋体"/>
          <w:sz w:val="23"/>
          <w:szCs w:val="23"/>
        </w:rPr>
        <w:t xml:space="preserve"> </w:t>
      </w:r>
      <w:r>
        <w:rPr>
          <w:rFonts w:ascii="宋体" w:hAnsi="宋体" w:eastAsia="宋体" w:cs="宋体"/>
          <w:spacing w:val="-6"/>
          <w:sz w:val="23"/>
          <w:szCs w:val="23"/>
        </w:rPr>
        <w:t>进行排放。</w:t>
      </w:r>
      <w:r>
        <w:rPr>
          <w:rFonts w:ascii="宋体" w:hAnsi="宋体" w:eastAsia="宋体" w:cs="宋体"/>
          <w:spacing w:val="-3"/>
          <w:sz w:val="23"/>
          <w:szCs w:val="23"/>
        </w:rPr>
        <w:t>根据《锅炉大气污染物排放标准》  (</w:t>
      </w:r>
      <w:r>
        <w:rPr>
          <w:rFonts w:ascii="Times New Roman" w:hAnsi="Times New Roman" w:eastAsia="Times New Roman" w:cs="Times New Roman"/>
          <w:spacing w:val="-3"/>
          <w:sz w:val="23"/>
          <w:szCs w:val="23"/>
        </w:rPr>
        <w:t>GB13271-2014</w:t>
      </w:r>
      <w:r>
        <w:rPr>
          <w:rFonts w:ascii="宋体" w:hAnsi="宋体" w:eastAsia="宋体" w:cs="宋体"/>
          <w:spacing w:val="-3"/>
          <w:sz w:val="23"/>
          <w:szCs w:val="23"/>
        </w:rPr>
        <w:t>) 适用范围中规定：</w:t>
      </w:r>
      <w:r>
        <w:rPr>
          <w:rFonts w:ascii="宋体" w:hAnsi="宋体" w:eastAsia="宋体" w:cs="宋体"/>
          <w:sz w:val="23"/>
          <w:szCs w:val="23"/>
        </w:rPr>
        <w:t xml:space="preserve"> </w:t>
      </w:r>
      <w:r>
        <w:rPr>
          <w:rFonts w:ascii="宋体" w:hAnsi="宋体" w:eastAsia="宋体" w:cs="宋体"/>
          <w:spacing w:val="-3"/>
          <w:sz w:val="23"/>
          <w:szCs w:val="23"/>
        </w:rPr>
        <w:t>使用生物质成型燃料的锅炉，参照标准中燃煤锅炉排放控制要求执行</w:t>
      </w:r>
      <w:r>
        <w:rPr>
          <w:rFonts w:ascii="宋体" w:hAnsi="宋体" w:eastAsia="宋体" w:cs="宋体"/>
          <w:spacing w:val="-2"/>
          <w:sz w:val="23"/>
          <w:szCs w:val="23"/>
        </w:rPr>
        <w:t>。</w:t>
      </w:r>
    </w:p>
    <w:p w14:paraId="2A4469F8">
      <w:pPr>
        <w:tabs>
          <w:tab w:val="left" w:pos="242"/>
        </w:tabs>
        <w:spacing w:before="163" w:line="388" w:lineRule="auto"/>
        <w:ind w:left="117" w:right="110" w:firstLine="450"/>
        <w:rPr>
          <w:rFonts w:ascii="宋体" w:hAnsi="宋体" w:eastAsia="宋体" w:cs="宋体"/>
          <w:sz w:val="23"/>
          <w:szCs w:val="23"/>
        </w:rPr>
      </w:pPr>
      <w:r>
        <w:rPr>
          <w:rFonts w:ascii="宋体" w:hAnsi="宋体" w:eastAsia="宋体" w:cs="宋体"/>
          <w:spacing w:val="41"/>
          <w:sz w:val="23"/>
          <w:szCs w:val="23"/>
        </w:rPr>
        <w:t>根</w:t>
      </w:r>
      <w:r>
        <w:rPr>
          <w:rFonts w:ascii="宋体" w:hAnsi="宋体" w:eastAsia="宋体" w:cs="宋体"/>
          <w:spacing w:val="31"/>
          <w:sz w:val="23"/>
          <w:szCs w:val="23"/>
        </w:rPr>
        <w:t>据《本溪市人民政府关于印发本溪市打赢蓝天保卫战三年行动方案</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2"/>
          <w:sz w:val="23"/>
          <w:szCs w:val="23"/>
        </w:rPr>
        <w:t>(</w:t>
      </w:r>
      <w:r>
        <w:rPr>
          <w:rFonts w:ascii="Times New Roman" w:hAnsi="Times New Roman" w:eastAsia="Times New Roman" w:cs="Times New Roman"/>
          <w:spacing w:val="-12"/>
          <w:sz w:val="23"/>
          <w:szCs w:val="23"/>
        </w:rPr>
        <w:t>2018</w:t>
      </w:r>
      <w:r>
        <w:rPr>
          <w:rFonts w:ascii="Times New Roman" w:hAnsi="Times New Roman" w:eastAsia="Times New Roman" w:cs="Times New Roman"/>
          <w:spacing w:val="-6"/>
          <w:sz w:val="23"/>
          <w:szCs w:val="23"/>
        </w:rPr>
        <w:t xml:space="preserve">—2020 </w:t>
      </w:r>
      <w:r>
        <w:rPr>
          <w:rFonts w:ascii="宋体" w:hAnsi="宋体" w:eastAsia="宋体" w:cs="宋体"/>
          <w:spacing w:val="-6"/>
          <w:sz w:val="23"/>
          <w:szCs w:val="23"/>
        </w:rPr>
        <w:t>年) 的通知》 (本政发〔</w:t>
      </w:r>
      <w:r>
        <w:rPr>
          <w:rFonts w:ascii="Times New Roman" w:hAnsi="Times New Roman" w:eastAsia="Times New Roman" w:cs="Times New Roman"/>
          <w:spacing w:val="-6"/>
          <w:sz w:val="23"/>
          <w:szCs w:val="23"/>
        </w:rPr>
        <w:t>2019</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3 </w:t>
      </w:r>
      <w:r>
        <w:rPr>
          <w:rFonts w:ascii="宋体" w:hAnsi="宋体" w:eastAsia="宋体" w:cs="宋体"/>
          <w:spacing w:val="-6"/>
          <w:sz w:val="23"/>
          <w:szCs w:val="23"/>
        </w:rPr>
        <w:t>号) 中</w:t>
      </w:r>
      <w:r>
        <w:rPr>
          <w:rFonts w:ascii="Times New Roman" w:hAnsi="Times New Roman" w:eastAsia="Times New Roman" w:cs="Times New Roman"/>
          <w:spacing w:val="-6"/>
          <w:sz w:val="23"/>
          <w:szCs w:val="23"/>
        </w:rPr>
        <w:t>“</w:t>
      </w:r>
      <w:r>
        <w:rPr>
          <w:rFonts w:ascii="宋体" w:hAnsi="宋体" w:eastAsia="宋体" w:cs="宋体"/>
          <w:spacing w:val="-6"/>
          <w:sz w:val="23"/>
          <w:szCs w:val="23"/>
        </w:rPr>
        <w:t>推进实行特别排放限值。</w:t>
      </w:r>
      <w:r>
        <w:rPr>
          <w:rFonts w:ascii="Times New Roman" w:hAnsi="Times New Roman" w:eastAsia="Times New Roman" w:cs="Times New Roman"/>
          <w:spacing w:val="-6"/>
          <w:sz w:val="23"/>
          <w:szCs w:val="23"/>
        </w:rPr>
        <w:t>2019</w:t>
      </w:r>
      <w:r>
        <w:rPr>
          <w:rFonts w:ascii="Times New Roman" w:hAnsi="Times New Roman" w:eastAsia="Times New Roman" w:cs="Times New Roman"/>
          <w:sz w:val="23"/>
          <w:szCs w:val="23"/>
        </w:rPr>
        <w:t xml:space="preserve"> </w:t>
      </w:r>
      <w:r>
        <w:rPr>
          <w:rFonts w:ascii="宋体" w:hAnsi="宋体" w:eastAsia="宋体" w:cs="宋体"/>
          <w:spacing w:val="-6"/>
          <w:sz w:val="23"/>
          <w:szCs w:val="23"/>
        </w:rPr>
        <w:t>年，全市新改扩建项</w:t>
      </w:r>
      <w:r>
        <w:rPr>
          <w:rFonts w:ascii="宋体" w:hAnsi="宋体" w:eastAsia="宋体" w:cs="宋体"/>
          <w:spacing w:val="-3"/>
          <w:sz w:val="23"/>
          <w:szCs w:val="23"/>
        </w:rPr>
        <w:t>目执行特别排放限值；</w:t>
      </w:r>
      <w:r>
        <w:rPr>
          <w:rFonts w:ascii="Times New Roman" w:hAnsi="Times New Roman" w:eastAsia="Times New Roman" w:cs="Times New Roman"/>
          <w:spacing w:val="-3"/>
          <w:sz w:val="23"/>
          <w:szCs w:val="23"/>
        </w:rPr>
        <w:t xml:space="preserve">2021 </w:t>
      </w:r>
      <w:r>
        <w:rPr>
          <w:rFonts w:ascii="宋体" w:hAnsi="宋体" w:eastAsia="宋体" w:cs="宋体"/>
          <w:spacing w:val="-3"/>
          <w:sz w:val="23"/>
          <w:szCs w:val="23"/>
        </w:rPr>
        <w:t>年起，全市执行特别排放限值。</w:t>
      </w:r>
      <w:r>
        <w:rPr>
          <w:rFonts w:ascii="Times New Roman" w:hAnsi="Times New Roman" w:eastAsia="Times New Roman" w:cs="Times New Roman"/>
          <w:spacing w:val="-3"/>
          <w:sz w:val="23"/>
          <w:szCs w:val="23"/>
        </w:rPr>
        <w:t>”</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8"/>
          <w:sz w:val="23"/>
          <w:szCs w:val="23"/>
        </w:rPr>
        <w:t>因此本项目</w:t>
      </w:r>
      <w:r>
        <w:rPr>
          <w:rFonts w:ascii="宋体" w:hAnsi="宋体" w:eastAsia="宋体" w:cs="宋体"/>
          <w:spacing w:val="-4"/>
          <w:sz w:val="23"/>
          <w:szCs w:val="23"/>
        </w:rPr>
        <w:t>热风炉烟气排放执行《锅炉大气污染物排放标准》  (</w:t>
      </w:r>
      <w:r>
        <w:rPr>
          <w:rFonts w:ascii="Times New Roman" w:hAnsi="Times New Roman" w:eastAsia="Times New Roman" w:cs="Times New Roman"/>
          <w:spacing w:val="-4"/>
          <w:sz w:val="23"/>
          <w:szCs w:val="23"/>
        </w:rPr>
        <w:t>GB13271-2014</w:t>
      </w:r>
      <w:r>
        <w:rPr>
          <w:rFonts w:ascii="宋体" w:hAnsi="宋体" w:eastAsia="宋体" w:cs="宋体"/>
          <w:spacing w:val="-4"/>
          <w:sz w:val="23"/>
          <w:szCs w:val="23"/>
        </w:rPr>
        <w:t>) 表</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5"/>
          <w:sz w:val="23"/>
          <w:szCs w:val="23"/>
        </w:rPr>
        <w:t xml:space="preserve">中特别排放限值要求，见表 </w:t>
      </w:r>
      <w:r>
        <w:rPr>
          <w:rFonts w:ascii="Times New Roman" w:hAnsi="Times New Roman" w:eastAsia="Times New Roman" w:cs="Times New Roman"/>
          <w:spacing w:val="-5"/>
          <w:sz w:val="23"/>
          <w:szCs w:val="23"/>
        </w:rPr>
        <w:t>2-10</w:t>
      </w:r>
      <w:r>
        <w:rPr>
          <w:rFonts w:ascii="宋体" w:hAnsi="宋体" w:eastAsia="宋体" w:cs="宋体"/>
          <w:spacing w:val="-5"/>
          <w:sz w:val="23"/>
          <w:szCs w:val="23"/>
        </w:rPr>
        <w:t>。</w:t>
      </w:r>
    </w:p>
    <w:p w14:paraId="2C977675">
      <w:pPr>
        <w:sectPr>
          <w:headerReference r:id="rId62" w:type="default"/>
          <w:footerReference r:id="rId63" w:type="default"/>
          <w:pgSz w:w="11906" w:h="16839"/>
          <w:pgMar w:top="1132" w:right="1691" w:bottom="1156" w:left="1691" w:header="878" w:footer="996" w:gutter="0"/>
          <w:cols w:space="720" w:num="1"/>
        </w:sectPr>
      </w:pPr>
    </w:p>
    <w:p w14:paraId="0E2A85AD">
      <w:pPr>
        <w:spacing w:line="362" w:lineRule="auto"/>
        <w:rPr>
          <w:rFonts w:ascii="Arial"/>
          <w:sz w:val="21"/>
        </w:rPr>
      </w:pPr>
      <w:r>
        <w:pict>
          <v:shape id="_x0000_s1091" o:spid="_x0000_s1091" style="position:absolute;left:0pt;margin-left:90pt;margin-top:57.35pt;height:0.75pt;width:415.3pt;mso-position-horizontal-relative:page;mso-position-vertical-relative:page;z-index:251728896;mso-width-relative:page;mso-height-relative:page;" fillcolor="#000000" filled="t" stroked="f" coordsize="8305,15" o:allowincell="f" path="m0,0l8305,0,8305,14,0,14,0,0xe">
            <v:path/>
            <v:fill on="t" focussize="0,0"/>
            <v:stroke on="f"/>
            <v:imagedata o:title=""/>
            <o:lock v:ext="edit"/>
          </v:shape>
        </w:pict>
      </w:r>
    </w:p>
    <w:p w14:paraId="05018FFA">
      <w:pPr>
        <w:spacing w:before="74" w:line="332" w:lineRule="exact"/>
        <w:ind w:left="411"/>
        <w:rPr>
          <w:rFonts w:ascii="宋体" w:hAnsi="宋体" w:eastAsia="宋体" w:cs="宋体"/>
          <w:sz w:val="23"/>
          <w:szCs w:val="23"/>
        </w:rPr>
      </w:pPr>
      <w:r>
        <w:rPr>
          <w:rFonts w:ascii="宋体" w:hAnsi="宋体" w:eastAsia="宋体" w:cs="宋体"/>
          <w:spacing w:val="-6"/>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6"/>
          <w:position w:val="3"/>
          <w:sz w:val="23"/>
          <w:szCs w:val="23"/>
        </w:rPr>
        <w:t xml:space="preserve"> </w:t>
      </w:r>
      <w:r>
        <w:rPr>
          <w:rFonts w:ascii="Times New Roman" w:hAnsi="Times New Roman" w:eastAsia="Times New Roman" w:cs="Times New Roman"/>
          <w:b/>
          <w:bCs/>
          <w:spacing w:val="-6"/>
          <w:position w:val="3"/>
          <w:sz w:val="23"/>
          <w:szCs w:val="23"/>
        </w:rPr>
        <w:t>2-10</w:t>
      </w:r>
      <w:r>
        <w:rPr>
          <w:rFonts w:ascii="Times New Roman" w:hAnsi="Times New Roman" w:eastAsia="Times New Roman" w:cs="Times New Roman"/>
          <w:spacing w:val="-6"/>
          <w:position w:val="3"/>
          <w:sz w:val="23"/>
          <w:szCs w:val="23"/>
        </w:rPr>
        <w:t xml:space="preserve">        </w:t>
      </w:r>
      <w:r>
        <w:rPr>
          <w:rFonts w:ascii="宋体" w:hAnsi="宋体" w:eastAsia="宋体" w:cs="宋体"/>
          <w:spacing w:val="-6"/>
          <w:position w:val="3"/>
          <w:sz w:val="23"/>
          <w:szCs w:val="23"/>
          <w14:textOutline w14:w="4358" w14:cap="sq" w14:cmpd="sng">
            <w14:solidFill>
              <w14:srgbClr w14:val="000000"/>
            </w14:solidFill>
            <w14:prstDash w14:val="solid"/>
            <w14:bevel/>
          </w14:textOutline>
        </w:rPr>
        <w:t>《锅炉大气污染物排放标准》</w:t>
      </w:r>
      <w:r>
        <w:rPr>
          <w:rFonts w:ascii="宋体" w:hAnsi="宋体" w:eastAsia="宋体" w:cs="宋体"/>
          <w:spacing w:val="-6"/>
          <w:position w:val="3"/>
          <w:sz w:val="23"/>
          <w:szCs w:val="23"/>
        </w:rPr>
        <w:t xml:space="preserve">  </w:t>
      </w:r>
      <w:r>
        <w:rPr>
          <w:rFonts w:ascii="宋体" w:hAnsi="宋体" w:eastAsia="宋体" w:cs="宋体"/>
          <w:spacing w:val="-6"/>
          <w:position w:val="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6"/>
          <w:position w:val="3"/>
          <w:sz w:val="23"/>
          <w:szCs w:val="23"/>
        </w:rPr>
        <w:t>GB13271-2014</w:t>
      </w:r>
      <w:r>
        <w:rPr>
          <w:rFonts w:ascii="宋体" w:hAnsi="宋体" w:eastAsia="宋体" w:cs="宋体"/>
          <w:spacing w:val="-6"/>
          <w:position w:val="3"/>
          <w:sz w:val="23"/>
          <w:szCs w:val="23"/>
          <w14:textOutline w14:w="4358" w14:cap="sq" w14:cmpd="sng">
            <w14:solidFill>
              <w14:srgbClr w14:val="000000"/>
            </w14:solidFill>
            <w14:prstDash w14:val="solid"/>
            <w14:bevel/>
          </w14:textOutline>
        </w:rPr>
        <w:t>)</w:t>
      </w:r>
      <w:r>
        <w:rPr>
          <w:rFonts w:ascii="宋体" w:hAnsi="宋体" w:eastAsia="宋体" w:cs="宋体"/>
          <w:spacing w:val="-6"/>
          <w:position w:val="3"/>
          <w:sz w:val="23"/>
          <w:szCs w:val="23"/>
        </w:rPr>
        <w:t xml:space="preserve">  </w:t>
      </w:r>
      <w:r>
        <w:rPr>
          <w:rFonts w:ascii="宋体" w:hAnsi="宋体" w:eastAsia="宋体" w:cs="宋体"/>
          <w:spacing w:val="-6"/>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6"/>
          <w:position w:val="3"/>
          <w:sz w:val="23"/>
          <w:szCs w:val="23"/>
        </w:rPr>
        <w:t>mg/</w:t>
      </w:r>
      <w:r>
        <w:rPr>
          <w:rFonts w:ascii="Times New Roman" w:hAnsi="Times New Roman" w:eastAsia="Times New Roman" w:cs="Times New Roman"/>
          <w:b/>
          <w:bCs/>
          <w:spacing w:val="-5"/>
          <w:position w:val="3"/>
          <w:sz w:val="23"/>
          <w:szCs w:val="23"/>
        </w:rPr>
        <w:t>m</w:t>
      </w:r>
      <w:r>
        <w:rPr>
          <w:rFonts w:ascii="Times New Roman" w:hAnsi="Times New Roman" w:eastAsia="Times New Roman" w:cs="Times New Roman"/>
          <w:b/>
          <w:bCs/>
          <w:spacing w:val="-6"/>
          <w:position w:val="11"/>
          <w:sz w:val="15"/>
          <w:szCs w:val="15"/>
        </w:rPr>
        <w:t>3</w:t>
      </w:r>
      <w:r>
        <w:rPr>
          <w:rFonts w:ascii="Times New Roman" w:hAnsi="Times New Roman" w:eastAsia="Times New Roman" w:cs="Times New Roman"/>
          <w:spacing w:val="-6"/>
          <w:position w:val="11"/>
          <w:sz w:val="15"/>
          <w:szCs w:val="15"/>
        </w:rPr>
        <w:t xml:space="preserve"> </w:t>
      </w:r>
      <w:r>
        <w:rPr>
          <w:rFonts w:ascii="宋体" w:hAnsi="宋体" w:eastAsia="宋体" w:cs="宋体"/>
          <w:spacing w:val="-6"/>
          <w:position w:val="3"/>
          <w:sz w:val="23"/>
          <w:szCs w:val="23"/>
          <w14:textOutline w14:w="4358" w14:cap="sq" w14:cmpd="sng">
            <w14:solidFill>
              <w14:srgbClr w14:val="000000"/>
            </w14:solidFill>
            <w14:prstDash w14:val="solid"/>
            <w14:bevel/>
          </w14:textOutline>
        </w:rPr>
        <w:t>)</w:t>
      </w:r>
    </w:p>
    <w:p w14:paraId="1A1ACC93">
      <w:pPr>
        <w:spacing w:line="16"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908"/>
        <w:gridCol w:w="906"/>
        <w:gridCol w:w="908"/>
        <w:gridCol w:w="4892"/>
      </w:tblGrid>
      <w:tr w14:paraId="6DFA8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07" w:type="dxa"/>
            <w:tcBorders>
              <w:left w:val="nil"/>
            </w:tcBorders>
            <w:vAlign w:val="top"/>
          </w:tcPr>
          <w:p w14:paraId="34D44FFB">
            <w:pPr>
              <w:spacing w:before="107" w:line="228" w:lineRule="auto"/>
              <w:ind w:left="168"/>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w:t>
            </w:r>
            <w:r>
              <w:rPr>
                <w:rFonts w:ascii="宋体" w:hAnsi="宋体" w:eastAsia="宋体" w:cs="宋体"/>
                <w:spacing w:val="-1"/>
                <w:sz w:val="20"/>
                <w:szCs w:val="20"/>
                <w14:textOutline w14:w="3795" w14:cap="sq" w14:cmpd="sng">
                  <w14:solidFill>
                    <w14:srgbClr w14:val="000000"/>
                  </w14:solidFill>
                  <w14:prstDash w14:val="solid"/>
                  <w14:bevel/>
                </w14:textOutline>
              </w:rPr>
              <w:t>物</w:t>
            </w:r>
          </w:p>
        </w:tc>
        <w:tc>
          <w:tcPr>
            <w:tcW w:w="908" w:type="dxa"/>
            <w:vAlign w:val="top"/>
          </w:tcPr>
          <w:p w14:paraId="350C339D">
            <w:pPr>
              <w:spacing w:before="107" w:line="228" w:lineRule="auto"/>
              <w:ind w:left="163"/>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颗粒</w:t>
            </w:r>
            <w:r>
              <w:rPr>
                <w:rFonts w:ascii="宋体" w:hAnsi="宋体" w:eastAsia="宋体" w:cs="宋体"/>
                <w:sz w:val="20"/>
                <w:szCs w:val="20"/>
                <w14:textOutline w14:w="3795" w14:cap="sq" w14:cmpd="sng">
                  <w14:solidFill>
                    <w14:srgbClr w14:val="000000"/>
                  </w14:solidFill>
                  <w14:prstDash w14:val="solid"/>
                  <w14:bevel/>
                </w14:textOutline>
              </w:rPr>
              <w:t>物</w:t>
            </w:r>
          </w:p>
        </w:tc>
        <w:tc>
          <w:tcPr>
            <w:tcW w:w="906" w:type="dxa"/>
            <w:vAlign w:val="top"/>
          </w:tcPr>
          <w:p w14:paraId="462F71F4">
            <w:pPr>
              <w:spacing w:before="142" w:line="202" w:lineRule="auto"/>
              <w:ind w:left="298"/>
              <w:rPr>
                <w:rFonts w:ascii="Times New Roman" w:hAnsi="Times New Roman" w:eastAsia="Times New Roman" w:cs="Times New Roman"/>
                <w:sz w:val="13"/>
                <w:szCs w:val="13"/>
              </w:rPr>
            </w:pPr>
            <w:r>
              <w:rPr>
                <w:rFonts w:ascii="Times New Roman" w:hAnsi="Times New Roman" w:eastAsia="Times New Roman" w:cs="Times New Roman"/>
                <w:b/>
                <w:bCs/>
                <w:spacing w:val="-1"/>
                <w:sz w:val="20"/>
                <w:szCs w:val="20"/>
              </w:rPr>
              <w:t>SO</w:t>
            </w:r>
            <w:r>
              <w:rPr>
                <w:rFonts w:ascii="Times New Roman" w:hAnsi="Times New Roman" w:eastAsia="Times New Roman" w:cs="Times New Roman"/>
                <w:b/>
                <w:bCs/>
                <w:spacing w:val="-1"/>
                <w:position w:val="-1"/>
                <w:sz w:val="13"/>
                <w:szCs w:val="13"/>
              </w:rPr>
              <w:t>2</w:t>
            </w:r>
          </w:p>
        </w:tc>
        <w:tc>
          <w:tcPr>
            <w:tcW w:w="908" w:type="dxa"/>
            <w:vAlign w:val="top"/>
          </w:tcPr>
          <w:p w14:paraId="4E05C5D0">
            <w:pPr>
              <w:spacing w:before="142" w:line="202" w:lineRule="auto"/>
              <w:ind w:left="260"/>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N</w:t>
            </w:r>
            <w:r>
              <w:rPr>
                <w:rFonts w:ascii="Times New Roman" w:hAnsi="Times New Roman" w:eastAsia="Times New Roman" w:cs="Times New Roman"/>
                <w:b/>
                <w:bCs/>
                <w:spacing w:val="2"/>
                <w:sz w:val="20"/>
                <w:szCs w:val="20"/>
              </w:rPr>
              <w:t>O</w:t>
            </w:r>
            <w:r>
              <w:rPr>
                <w:rFonts w:ascii="Times New Roman" w:hAnsi="Times New Roman" w:eastAsia="Times New Roman" w:cs="Times New Roman"/>
                <w:b/>
                <w:bCs/>
                <w:spacing w:val="2"/>
                <w:position w:val="-1"/>
                <w:sz w:val="13"/>
                <w:szCs w:val="13"/>
              </w:rPr>
              <w:t>X</w:t>
            </w:r>
          </w:p>
        </w:tc>
        <w:tc>
          <w:tcPr>
            <w:tcW w:w="4892" w:type="dxa"/>
            <w:tcBorders>
              <w:right w:val="nil"/>
            </w:tcBorders>
            <w:vAlign w:val="top"/>
          </w:tcPr>
          <w:p w14:paraId="7FCD7D8D">
            <w:pPr>
              <w:spacing w:before="106" w:line="228" w:lineRule="auto"/>
              <w:ind w:left="1664"/>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烟囱最低允许高</w:t>
            </w:r>
            <w:r>
              <w:rPr>
                <w:rFonts w:ascii="宋体" w:hAnsi="宋体" w:eastAsia="宋体" w:cs="宋体"/>
                <w:spacing w:val="-1"/>
                <w:sz w:val="20"/>
                <w:szCs w:val="20"/>
                <w14:textOutline w14:w="3795" w14:cap="sq" w14:cmpd="sng">
                  <w14:solidFill>
                    <w14:srgbClr w14:val="000000"/>
                  </w14:solidFill>
                  <w14:prstDash w14:val="solid"/>
                  <w14:bevel/>
                </w14:textOutline>
              </w:rPr>
              <w:t>度</w:t>
            </w:r>
          </w:p>
        </w:tc>
      </w:tr>
      <w:tr w14:paraId="3979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07" w:type="dxa"/>
            <w:tcBorders>
              <w:left w:val="nil"/>
            </w:tcBorders>
            <w:vAlign w:val="top"/>
          </w:tcPr>
          <w:p w14:paraId="360DE1FD">
            <w:pPr>
              <w:spacing w:before="161" w:line="228" w:lineRule="auto"/>
              <w:ind w:left="167"/>
              <w:rPr>
                <w:rFonts w:ascii="宋体" w:hAnsi="宋体" w:eastAsia="宋体" w:cs="宋体"/>
                <w:sz w:val="20"/>
                <w:szCs w:val="20"/>
              </w:rPr>
            </w:pPr>
            <w:r>
              <w:rPr>
                <w:rFonts w:ascii="宋体" w:hAnsi="宋体" w:eastAsia="宋体" w:cs="宋体"/>
                <w:spacing w:val="-2"/>
                <w:sz w:val="20"/>
                <w:szCs w:val="20"/>
              </w:rPr>
              <w:t>标</w:t>
            </w:r>
            <w:r>
              <w:rPr>
                <w:rFonts w:ascii="宋体" w:hAnsi="宋体" w:eastAsia="宋体" w:cs="宋体"/>
                <w:spacing w:val="-1"/>
                <w:sz w:val="20"/>
                <w:szCs w:val="20"/>
              </w:rPr>
              <w:t>准值</w:t>
            </w:r>
          </w:p>
        </w:tc>
        <w:tc>
          <w:tcPr>
            <w:tcW w:w="908" w:type="dxa"/>
            <w:vAlign w:val="top"/>
          </w:tcPr>
          <w:p w14:paraId="53DDD840">
            <w:pPr>
              <w:spacing w:before="19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906" w:type="dxa"/>
            <w:vAlign w:val="top"/>
          </w:tcPr>
          <w:p w14:paraId="0B07E992">
            <w:pPr>
              <w:spacing w:before="19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908" w:type="dxa"/>
            <w:vAlign w:val="top"/>
          </w:tcPr>
          <w:p w14:paraId="6B8F049C">
            <w:pPr>
              <w:spacing w:before="19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4892" w:type="dxa"/>
            <w:tcBorders>
              <w:right w:val="nil"/>
            </w:tcBorders>
            <w:vAlign w:val="top"/>
          </w:tcPr>
          <w:p w14:paraId="29FA8342">
            <w:pPr>
              <w:spacing w:before="32" w:line="237" w:lineRule="auto"/>
              <w:ind w:left="708" w:right="101" w:hanging="568"/>
              <w:rPr>
                <w:rFonts w:ascii="宋体" w:hAnsi="宋体" w:eastAsia="宋体" w:cs="宋体"/>
                <w:sz w:val="20"/>
                <w:szCs w:val="20"/>
              </w:rPr>
            </w:pPr>
            <w:r>
              <w:rPr>
                <w:rFonts w:ascii="Times New Roman" w:hAnsi="Times New Roman" w:eastAsia="Times New Roman" w:cs="Times New Roman"/>
                <w:spacing w:val="-4"/>
                <w:sz w:val="20"/>
                <w:szCs w:val="20"/>
              </w:rPr>
              <w:t>30</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(新建锅炉房的烟囱周围半径 </w:t>
            </w:r>
            <w:r>
              <w:rPr>
                <w:rFonts w:ascii="Times New Roman" w:hAnsi="Times New Roman" w:eastAsia="Times New Roman" w:cs="Times New Roman"/>
                <w:spacing w:val="-2"/>
                <w:sz w:val="20"/>
                <w:szCs w:val="20"/>
              </w:rPr>
              <w:t>200m</w:t>
            </w:r>
            <w:r>
              <w:rPr>
                <w:rFonts w:ascii="宋体" w:hAnsi="宋体" w:eastAsia="宋体" w:cs="宋体"/>
                <w:spacing w:val="-2"/>
                <w:sz w:val="20"/>
                <w:szCs w:val="20"/>
              </w:rPr>
              <w:t>距离内有建筑</w:t>
            </w:r>
            <w:r>
              <w:rPr>
                <w:rFonts w:ascii="宋体" w:hAnsi="宋体" w:eastAsia="宋体" w:cs="宋体"/>
                <w:sz w:val="20"/>
                <w:szCs w:val="20"/>
              </w:rPr>
              <w:t xml:space="preserve"> </w:t>
            </w:r>
            <w:r>
              <w:rPr>
                <w:rFonts w:ascii="宋体" w:hAnsi="宋体" w:eastAsia="宋体" w:cs="宋体"/>
                <w:spacing w:val="-8"/>
                <w:sz w:val="20"/>
                <w:szCs w:val="20"/>
              </w:rPr>
              <w:t>物</w:t>
            </w:r>
            <w:r>
              <w:rPr>
                <w:rFonts w:ascii="宋体" w:hAnsi="宋体" w:eastAsia="宋体" w:cs="宋体"/>
                <w:spacing w:val="-5"/>
                <w:sz w:val="20"/>
                <w:szCs w:val="20"/>
              </w:rPr>
              <w:t xml:space="preserve">时，其烟囱应高出建筑物 </w:t>
            </w:r>
            <w:r>
              <w:rPr>
                <w:rFonts w:ascii="Times New Roman" w:hAnsi="Times New Roman" w:eastAsia="Times New Roman" w:cs="Times New Roman"/>
                <w:spacing w:val="-5"/>
                <w:sz w:val="20"/>
                <w:szCs w:val="20"/>
              </w:rPr>
              <w:t xml:space="preserve">3m </w:t>
            </w:r>
            <w:r>
              <w:rPr>
                <w:rFonts w:ascii="宋体" w:hAnsi="宋体" w:eastAsia="宋体" w:cs="宋体"/>
                <w:spacing w:val="-5"/>
                <w:sz w:val="20"/>
                <w:szCs w:val="20"/>
              </w:rPr>
              <w:t>以上) 。</w:t>
            </w:r>
          </w:p>
        </w:tc>
      </w:tr>
    </w:tbl>
    <w:p w14:paraId="6CF39D6C">
      <w:pPr>
        <w:spacing w:line="270" w:lineRule="auto"/>
        <w:rPr>
          <w:rFonts w:ascii="Arial"/>
          <w:sz w:val="21"/>
        </w:rPr>
      </w:pPr>
    </w:p>
    <w:p w14:paraId="72F6AF37">
      <w:pPr>
        <w:spacing w:before="74" w:line="227" w:lineRule="auto"/>
        <w:ind w:left="580"/>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7"/>
          <w:sz w:val="23"/>
          <w:szCs w:val="23"/>
        </w:rPr>
        <w:t>2</w:t>
      </w:r>
      <w:r>
        <w:rPr>
          <w:rFonts w:ascii="宋体" w:hAnsi="宋体" w:eastAsia="宋体" w:cs="宋体"/>
          <w:spacing w:val="17"/>
          <w:sz w:val="23"/>
          <w:szCs w:val="23"/>
        </w:rPr>
        <w:t>) 废水</w:t>
      </w:r>
    </w:p>
    <w:p w14:paraId="63767CF8">
      <w:pPr>
        <w:spacing w:line="288" w:lineRule="auto"/>
        <w:rPr>
          <w:rFonts w:ascii="Arial"/>
          <w:sz w:val="21"/>
        </w:rPr>
      </w:pPr>
    </w:p>
    <w:p w14:paraId="44A4656F">
      <w:pPr>
        <w:spacing w:before="75" w:line="386" w:lineRule="auto"/>
        <w:ind w:left="116" w:right="95" w:firstLine="455"/>
        <w:rPr>
          <w:rFonts w:ascii="宋体" w:hAnsi="宋体" w:eastAsia="宋体" w:cs="宋体"/>
          <w:sz w:val="23"/>
          <w:szCs w:val="23"/>
        </w:rPr>
      </w:pPr>
      <w:r>
        <w:rPr>
          <w:rFonts w:ascii="宋体" w:hAnsi="宋体" w:eastAsia="宋体" w:cs="宋体"/>
          <w:spacing w:val="-10"/>
          <w:sz w:val="23"/>
          <w:szCs w:val="23"/>
        </w:rPr>
        <w:t xml:space="preserve">该项目设有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座容积为</w:t>
      </w:r>
      <w:r>
        <w:rPr>
          <w:rFonts w:ascii="Times New Roman" w:hAnsi="Times New Roman" w:eastAsia="Times New Roman" w:cs="Times New Roman"/>
          <w:spacing w:val="-5"/>
          <w:sz w:val="23"/>
          <w:szCs w:val="23"/>
        </w:rPr>
        <w:t>324m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的三级沉淀池 (</w:t>
      </w:r>
      <w:r>
        <w:rPr>
          <w:rFonts w:ascii="Times New Roman" w:hAnsi="Times New Roman" w:eastAsia="Times New Roman" w:cs="Times New Roman"/>
          <w:spacing w:val="-5"/>
          <w:sz w:val="23"/>
          <w:szCs w:val="23"/>
        </w:rPr>
        <w:t>12m×6m×4.5m</w:t>
      </w:r>
      <w:r>
        <w:rPr>
          <w:rFonts w:ascii="宋体" w:hAnsi="宋体" w:eastAsia="宋体" w:cs="宋体"/>
          <w:spacing w:val="-5"/>
          <w:sz w:val="23"/>
          <w:szCs w:val="23"/>
        </w:rPr>
        <w:t xml:space="preserve">) ，同时配套设有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 xml:space="preserve"> </w:t>
      </w:r>
      <w:r>
        <w:rPr>
          <w:rFonts w:ascii="宋体" w:hAnsi="宋体" w:eastAsia="宋体" w:cs="宋体"/>
          <w:spacing w:val="1"/>
          <w:sz w:val="23"/>
          <w:szCs w:val="23"/>
        </w:rPr>
        <w:t>台一体化污水预处理设备，均位于</w:t>
      </w:r>
      <w:r>
        <w:rPr>
          <w:rFonts w:ascii="宋体" w:hAnsi="宋体" w:eastAsia="宋体" w:cs="宋体"/>
          <w:sz w:val="23"/>
          <w:szCs w:val="23"/>
        </w:rPr>
        <w:t xml:space="preserve">生产厂房西南侧，产生的生产废水经一体化污水 </w:t>
      </w:r>
      <w:r>
        <w:rPr>
          <w:rFonts w:ascii="宋体" w:hAnsi="宋体" w:eastAsia="宋体" w:cs="宋体"/>
          <w:spacing w:val="-6"/>
          <w:sz w:val="23"/>
          <w:szCs w:val="23"/>
        </w:rPr>
        <w:t>预处理设备处理后排入三级沉淀池 (</w:t>
      </w:r>
      <w:r>
        <w:rPr>
          <w:rFonts w:ascii="Times New Roman" w:hAnsi="Times New Roman" w:eastAsia="Times New Roman" w:cs="Times New Roman"/>
          <w:spacing w:val="-6"/>
          <w:sz w:val="23"/>
          <w:szCs w:val="23"/>
        </w:rPr>
        <w:t>12m×6m×4.5m</w:t>
      </w:r>
      <w:r>
        <w:rPr>
          <w:rFonts w:ascii="宋体" w:hAnsi="宋体" w:eastAsia="宋体" w:cs="宋体"/>
          <w:spacing w:val="-6"/>
          <w:sz w:val="23"/>
          <w:szCs w:val="23"/>
        </w:rPr>
        <w:t>) 沉淀处理，随后循环使用。污水</w:t>
      </w:r>
      <w:r>
        <w:rPr>
          <w:rFonts w:ascii="宋体" w:hAnsi="宋体" w:eastAsia="宋体" w:cs="宋体"/>
          <w:sz w:val="23"/>
          <w:szCs w:val="23"/>
        </w:rPr>
        <w:t xml:space="preserve"> </w:t>
      </w:r>
      <w:r>
        <w:rPr>
          <w:rFonts w:ascii="宋体" w:hAnsi="宋体" w:eastAsia="宋体" w:cs="宋体"/>
          <w:spacing w:val="-20"/>
          <w:sz w:val="23"/>
          <w:szCs w:val="23"/>
        </w:rPr>
        <w:t>处</w:t>
      </w:r>
      <w:r>
        <w:rPr>
          <w:rFonts w:ascii="宋体" w:hAnsi="宋体" w:eastAsia="宋体" w:cs="宋体"/>
          <w:spacing w:val="-12"/>
          <w:sz w:val="23"/>
          <w:szCs w:val="23"/>
        </w:rPr>
        <w:t xml:space="preserve">理设施废水每月更换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次，更换过程产生的废水经吸污车运送至本溪市科态污水处理</w:t>
      </w:r>
      <w:r>
        <w:rPr>
          <w:rFonts w:ascii="宋体" w:hAnsi="宋体" w:eastAsia="宋体" w:cs="宋体"/>
          <w:sz w:val="23"/>
          <w:szCs w:val="23"/>
        </w:rPr>
        <w:t xml:space="preserve"> </w:t>
      </w:r>
      <w:r>
        <w:rPr>
          <w:rFonts w:ascii="宋体" w:hAnsi="宋体" w:eastAsia="宋体" w:cs="宋体"/>
          <w:spacing w:val="-12"/>
          <w:sz w:val="23"/>
          <w:szCs w:val="23"/>
        </w:rPr>
        <w:t>有</w:t>
      </w:r>
      <w:r>
        <w:rPr>
          <w:rFonts w:ascii="宋体" w:hAnsi="宋体" w:eastAsia="宋体" w:cs="宋体"/>
          <w:spacing w:val="-8"/>
          <w:sz w:val="23"/>
          <w:szCs w:val="23"/>
        </w:rPr>
        <w:t>限责任公司统一处理，废水排放执行《辽宁省污水综合排放标准》</w:t>
      </w:r>
      <w:r>
        <w:rPr>
          <w:rFonts w:ascii="Times New Roman" w:hAnsi="Times New Roman" w:eastAsia="Times New Roman" w:cs="Times New Roman"/>
          <w:spacing w:val="-8"/>
          <w:sz w:val="23"/>
          <w:szCs w:val="23"/>
        </w:rPr>
        <w:t>(DB21/1627-2008)</w:t>
      </w:r>
      <w:r>
        <w:rPr>
          <w:rFonts w:ascii="Times New Roman" w:hAnsi="Times New Roman" w:eastAsia="Times New Roman" w:cs="Times New Roman"/>
          <w:sz w:val="23"/>
          <w:szCs w:val="23"/>
        </w:rPr>
        <w:t xml:space="preserve"> </w:t>
      </w:r>
      <w:r>
        <w:rPr>
          <w:rFonts w:ascii="宋体" w:hAnsi="宋体" w:eastAsia="宋体" w:cs="宋体"/>
          <w:spacing w:val="-16"/>
          <w:sz w:val="23"/>
          <w:szCs w:val="23"/>
        </w:rPr>
        <w:t>表</w:t>
      </w:r>
      <w:r>
        <w:rPr>
          <w:rFonts w:ascii="宋体" w:hAnsi="宋体" w:eastAsia="宋体" w:cs="宋体"/>
          <w:spacing w:val="-11"/>
          <w:sz w:val="23"/>
          <w:szCs w:val="23"/>
        </w:rPr>
        <w:t xml:space="preserve">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 xml:space="preserve">中标准，具体见表 </w:t>
      </w:r>
      <w:r>
        <w:rPr>
          <w:rFonts w:ascii="Times New Roman" w:hAnsi="Times New Roman" w:eastAsia="Times New Roman" w:cs="Times New Roman"/>
          <w:spacing w:val="-8"/>
          <w:sz w:val="23"/>
          <w:szCs w:val="23"/>
        </w:rPr>
        <w:t>2-11</w:t>
      </w:r>
      <w:r>
        <w:rPr>
          <w:rFonts w:ascii="宋体" w:hAnsi="宋体" w:eastAsia="宋体" w:cs="宋体"/>
          <w:spacing w:val="-8"/>
          <w:sz w:val="23"/>
          <w:szCs w:val="23"/>
        </w:rPr>
        <w:t>。</w:t>
      </w:r>
    </w:p>
    <w:p w14:paraId="5DA6DE71">
      <w:pPr>
        <w:spacing w:before="113" w:line="331" w:lineRule="exact"/>
        <w:ind w:left="1832"/>
        <w:rPr>
          <w:rFonts w:ascii="Times New Roman" w:hAnsi="Times New Roman" w:eastAsia="Times New Roman" w:cs="Times New Roman"/>
          <w:sz w:val="23"/>
          <w:szCs w:val="23"/>
        </w:rPr>
      </w:pPr>
      <w:r>
        <w:rPr>
          <w:rFonts w:ascii="宋体" w:hAnsi="宋体" w:eastAsia="宋体" w:cs="宋体"/>
          <w:spacing w:val="2"/>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2"/>
          <w:position w:val="3"/>
          <w:sz w:val="23"/>
          <w:szCs w:val="23"/>
        </w:rPr>
        <w:t xml:space="preserve"> </w:t>
      </w:r>
      <w:r>
        <w:rPr>
          <w:rFonts w:ascii="Times New Roman" w:hAnsi="Times New Roman" w:eastAsia="Times New Roman" w:cs="Times New Roman"/>
          <w:b/>
          <w:bCs/>
          <w:spacing w:val="2"/>
          <w:position w:val="3"/>
          <w:sz w:val="23"/>
          <w:szCs w:val="23"/>
        </w:rPr>
        <w:t>2-11</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14:textOutline w14:w="4358" w14:cap="sq" w14:cmpd="sng">
            <w14:solidFill>
              <w14:srgbClr w14:val="000000"/>
            </w14:solidFill>
            <w14:prstDash w14:val="solid"/>
            <w14:bevel/>
          </w14:textOutline>
        </w:rPr>
        <w:t>废水污染物排</w:t>
      </w:r>
      <w:r>
        <w:rPr>
          <w:rFonts w:ascii="宋体" w:hAnsi="宋体" w:eastAsia="宋体" w:cs="宋体"/>
          <w:spacing w:val="1"/>
          <w:position w:val="3"/>
          <w:sz w:val="23"/>
          <w:szCs w:val="23"/>
          <w14:textOutline w14:w="4358" w14:cap="sq" w14:cmpd="sng">
            <w14:solidFill>
              <w14:srgbClr w14:val="000000"/>
            </w14:solidFill>
            <w14:prstDash w14:val="solid"/>
            <w14:bevel/>
          </w14:textOutline>
        </w:rPr>
        <w:t>放标准</w:t>
      </w:r>
      <w:r>
        <w:rPr>
          <w:rFonts w:ascii="宋体" w:hAnsi="宋体" w:eastAsia="宋体" w:cs="宋体"/>
          <w:spacing w:val="1"/>
          <w:position w:val="3"/>
          <w:sz w:val="23"/>
          <w:szCs w:val="23"/>
        </w:rPr>
        <w:t xml:space="preserve">   </w:t>
      </w:r>
      <w:r>
        <w:rPr>
          <w:rFonts w:ascii="宋体" w:hAnsi="宋体" w:eastAsia="宋体" w:cs="宋体"/>
          <w:spacing w:val="1"/>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3"/>
          <w:sz w:val="23"/>
          <w:szCs w:val="23"/>
        </w:rPr>
        <w:t>mg</w:t>
      </w:r>
      <w:r>
        <w:rPr>
          <w:rFonts w:ascii="Times New Roman" w:hAnsi="Times New Roman" w:eastAsia="Times New Roman" w:cs="Times New Roman"/>
          <w:b/>
          <w:bCs/>
          <w:spacing w:val="1"/>
          <w:position w:val="3"/>
          <w:sz w:val="23"/>
          <w:szCs w:val="23"/>
        </w:rPr>
        <w:t>/</w:t>
      </w:r>
      <w:r>
        <w:rPr>
          <w:rFonts w:ascii="Times New Roman" w:hAnsi="Times New Roman" w:eastAsia="Times New Roman" w:cs="Times New Roman"/>
          <w:b/>
          <w:bCs/>
          <w:position w:val="3"/>
          <w:sz w:val="23"/>
          <w:szCs w:val="23"/>
        </w:rPr>
        <w:t>L</w:t>
      </w:r>
    </w:p>
    <w:p w14:paraId="5232C253">
      <w:pPr>
        <w:spacing w:before="18" w:line="29" w:lineRule="exact"/>
        <w:textAlignment w:val="center"/>
      </w:pPr>
      <w:r>
        <w:pict>
          <v:shape id="_x0000_s1092" o:spid="_x0000_s1092" style="height:1.45pt;width:426.15pt;" filled="f" stroked="t" coordsize="8522,29" path="m0,14l8522,14e">
            <v:fill on="f" focussize="0,0"/>
            <v:stroke weight="1.44pt" color="#000000" miterlimit="2" joinstyle="bevel"/>
            <v:imagedata o:title=""/>
            <o:lock v:ext="edit"/>
            <w10:wrap type="none"/>
            <w10:anchorlock/>
          </v:shape>
        </w:pict>
      </w:r>
    </w:p>
    <w:p w14:paraId="1D9235E8">
      <w:pPr>
        <w:spacing w:before="24" w:line="289" w:lineRule="exact"/>
        <w:ind w:left="2111"/>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辽</w:t>
      </w:r>
      <w:r>
        <w:rPr>
          <w:rFonts w:ascii="宋体" w:hAnsi="宋体" w:eastAsia="宋体" w:cs="宋体"/>
          <w:spacing w:val="-5"/>
          <w:position w:val="1"/>
          <w:sz w:val="20"/>
          <w:szCs w:val="20"/>
          <w14:textOutline w14:w="3795" w14:cap="sq" w14:cmpd="sng">
            <w14:solidFill>
              <w14:srgbClr w14:val="000000"/>
            </w14:solidFill>
            <w14:prstDash w14:val="solid"/>
            <w14:bevel/>
          </w14:textOutline>
        </w:rPr>
        <w:t>宁省污水综合排放标准》</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0"/>
          <w:szCs w:val="20"/>
        </w:rPr>
        <w:t>DB21/1627-2008</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p>
    <w:p w14:paraId="10E5474B">
      <w:pPr>
        <w:spacing w:line="2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4"/>
        <w:gridCol w:w="1704"/>
        <w:gridCol w:w="1704"/>
        <w:gridCol w:w="1704"/>
        <w:gridCol w:w="1706"/>
      </w:tblGrid>
      <w:tr w14:paraId="32539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4" w:type="dxa"/>
            <w:tcBorders>
              <w:left w:val="nil"/>
            </w:tcBorders>
            <w:vAlign w:val="top"/>
          </w:tcPr>
          <w:p w14:paraId="2C9976AD">
            <w:pPr>
              <w:spacing w:before="80" w:line="228" w:lineRule="auto"/>
              <w:ind w:left="56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污染</w:t>
            </w:r>
            <w:r>
              <w:rPr>
                <w:rFonts w:ascii="宋体" w:hAnsi="宋体" w:eastAsia="宋体" w:cs="宋体"/>
                <w:spacing w:val="-1"/>
                <w:sz w:val="20"/>
                <w:szCs w:val="20"/>
                <w14:textOutline w14:w="3795" w14:cap="sq" w14:cmpd="sng">
                  <w14:solidFill>
                    <w14:srgbClr w14:val="000000"/>
                  </w14:solidFill>
                  <w14:prstDash w14:val="solid"/>
                  <w14:bevel/>
                </w14:textOutline>
              </w:rPr>
              <w:t>物</w:t>
            </w:r>
          </w:p>
        </w:tc>
        <w:tc>
          <w:tcPr>
            <w:tcW w:w="1704" w:type="dxa"/>
            <w:vAlign w:val="top"/>
          </w:tcPr>
          <w:p w14:paraId="1A5CEA34">
            <w:pPr>
              <w:spacing w:before="115" w:line="195" w:lineRule="auto"/>
              <w:ind w:left="749"/>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S</w:t>
            </w:r>
            <w:r>
              <w:rPr>
                <w:rFonts w:ascii="Times New Roman" w:hAnsi="Times New Roman" w:eastAsia="Times New Roman" w:cs="Times New Roman"/>
                <w:b/>
                <w:bCs/>
                <w:spacing w:val="-2"/>
                <w:sz w:val="20"/>
                <w:szCs w:val="20"/>
              </w:rPr>
              <w:t>S</w:t>
            </w:r>
          </w:p>
        </w:tc>
        <w:tc>
          <w:tcPr>
            <w:tcW w:w="1704" w:type="dxa"/>
            <w:vAlign w:val="top"/>
          </w:tcPr>
          <w:p w14:paraId="4981E3BC">
            <w:pPr>
              <w:spacing w:before="115" w:line="195" w:lineRule="auto"/>
              <w:ind w:left="54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CO</w:t>
            </w:r>
            <w:r>
              <w:rPr>
                <w:rFonts w:ascii="Times New Roman" w:hAnsi="Times New Roman" w:eastAsia="Times New Roman" w:cs="Times New Roman"/>
                <w:b/>
                <w:bCs/>
                <w:sz w:val="20"/>
                <w:szCs w:val="20"/>
              </w:rPr>
              <w:t>Dcr</w:t>
            </w:r>
          </w:p>
        </w:tc>
        <w:tc>
          <w:tcPr>
            <w:tcW w:w="1704" w:type="dxa"/>
            <w:vAlign w:val="top"/>
          </w:tcPr>
          <w:p w14:paraId="736D21BB">
            <w:pPr>
              <w:spacing w:before="79" w:line="228" w:lineRule="auto"/>
              <w:ind w:left="56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石</w:t>
            </w:r>
            <w:r>
              <w:rPr>
                <w:rFonts w:ascii="宋体" w:hAnsi="宋体" w:eastAsia="宋体" w:cs="宋体"/>
                <w:spacing w:val="-1"/>
                <w:sz w:val="20"/>
                <w:szCs w:val="20"/>
                <w14:textOutline w14:w="3795" w14:cap="sq" w14:cmpd="sng">
                  <w14:solidFill>
                    <w14:srgbClr w14:val="000000"/>
                  </w14:solidFill>
                  <w14:prstDash w14:val="solid"/>
                  <w14:bevel/>
                </w14:textOutline>
              </w:rPr>
              <w:t>油类</w:t>
            </w:r>
          </w:p>
        </w:tc>
        <w:tc>
          <w:tcPr>
            <w:tcW w:w="1706" w:type="dxa"/>
            <w:tcBorders>
              <w:right w:val="nil"/>
            </w:tcBorders>
            <w:vAlign w:val="top"/>
          </w:tcPr>
          <w:p w14:paraId="09952FC2">
            <w:pPr>
              <w:spacing w:before="118" w:line="199" w:lineRule="auto"/>
              <w:ind w:left="56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
                <w:position w:val="-1"/>
                <w:sz w:val="13"/>
                <w:szCs w:val="13"/>
              </w:rPr>
              <w:t>3</w:t>
            </w:r>
            <w:r>
              <w:rPr>
                <w:rFonts w:ascii="Times New Roman" w:hAnsi="Times New Roman" w:eastAsia="Times New Roman" w:cs="Times New Roman"/>
                <w:b/>
                <w:bCs/>
                <w:sz w:val="20"/>
                <w:szCs w:val="20"/>
              </w:rPr>
              <w:t>-N</w:t>
            </w:r>
          </w:p>
        </w:tc>
      </w:tr>
      <w:tr w14:paraId="06CF6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04" w:type="dxa"/>
            <w:tcBorders>
              <w:left w:val="nil"/>
            </w:tcBorders>
            <w:vAlign w:val="top"/>
          </w:tcPr>
          <w:p w14:paraId="432A5D36">
            <w:pPr>
              <w:spacing w:before="78" w:line="228" w:lineRule="auto"/>
              <w:ind w:left="56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标</w:t>
            </w:r>
            <w:r>
              <w:rPr>
                <w:rFonts w:ascii="宋体" w:hAnsi="宋体" w:eastAsia="宋体" w:cs="宋体"/>
                <w:spacing w:val="-1"/>
                <w:sz w:val="20"/>
                <w:szCs w:val="20"/>
                <w14:textOutline w14:w="3795" w14:cap="sq" w14:cmpd="sng">
                  <w14:solidFill>
                    <w14:srgbClr w14:val="000000"/>
                  </w14:solidFill>
                  <w14:prstDash w14:val="solid"/>
                  <w14:bevel/>
                </w14:textOutline>
              </w:rPr>
              <w:t>准值</w:t>
            </w:r>
          </w:p>
        </w:tc>
        <w:tc>
          <w:tcPr>
            <w:tcW w:w="1704" w:type="dxa"/>
            <w:vAlign w:val="top"/>
          </w:tcPr>
          <w:p w14:paraId="13F0141A">
            <w:pPr>
              <w:spacing w:before="114"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00</w:t>
            </w:r>
          </w:p>
        </w:tc>
        <w:tc>
          <w:tcPr>
            <w:tcW w:w="1704" w:type="dxa"/>
            <w:vAlign w:val="top"/>
          </w:tcPr>
          <w:p w14:paraId="0272448F">
            <w:pPr>
              <w:spacing w:before="114"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00</w:t>
            </w:r>
          </w:p>
        </w:tc>
        <w:tc>
          <w:tcPr>
            <w:tcW w:w="1704" w:type="dxa"/>
            <w:vAlign w:val="top"/>
          </w:tcPr>
          <w:p w14:paraId="4B4645B1">
            <w:pPr>
              <w:spacing w:before="114" w:line="195" w:lineRule="auto"/>
              <w:ind w:left="755"/>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c>
          <w:tcPr>
            <w:tcW w:w="1706" w:type="dxa"/>
            <w:tcBorders>
              <w:right w:val="nil"/>
            </w:tcBorders>
            <w:vAlign w:val="top"/>
          </w:tcPr>
          <w:p w14:paraId="6209102C">
            <w:pPr>
              <w:spacing w:before="114" w:line="195" w:lineRule="auto"/>
              <w:ind w:left="7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r>
    </w:tbl>
    <w:p w14:paraId="30F86122">
      <w:pPr>
        <w:spacing w:line="254" w:lineRule="auto"/>
        <w:rPr>
          <w:rFonts w:ascii="Arial"/>
          <w:sz w:val="21"/>
        </w:rPr>
      </w:pPr>
    </w:p>
    <w:p w14:paraId="5CE7EF87">
      <w:pPr>
        <w:spacing w:before="75" w:line="228" w:lineRule="auto"/>
        <w:ind w:left="60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2"/>
          <w:sz w:val="23"/>
          <w:szCs w:val="23"/>
        </w:rPr>
        <w:t>3</w:t>
      </w:r>
      <w:r>
        <w:rPr>
          <w:rFonts w:ascii="宋体" w:hAnsi="宋体" w:eastAsia="宋体" w:cs="宋体"/>
          <w:spacing w:val="22"/>
          <w:sz w:val="23"/>
          <w:szCs w:val="23"/>
        </w:rPr>
        <w:t>) 噪声</w:t>
      </w:r>
    </w:p>
    <w:p w14:paraId="2EC8EF1E">
      <w:pPr>
        <w:spacing w:line="266" w:lineRule="auto"/>
        <w:rPr>
          <w:rFonts w:ascii="Arial"/>
          <w:sz w:val="21"/>
        </w:rPr>
      </w:pPr>
    </w:p>
    <w:p w14:paraId="4DF73D65">
      <w:pPr>
        <w:spacing w:before="76" w:line="378" w:lineRule="auto"/>
        <w:ind w:left="118" w:right="55" w:firstLine="449"/>
        <w:rPr>
          <w:rFonts w:ascii="宋体" w:hAnsi="宋体" w:eastAsia="宋体" w:cs="宋体"/>
          <w:sz w:val="23"/>
          <w:szCs w:val="23"/>
        </w:rPr>
      </w:pPr>
      <w:r>
        <w:rPr>
          <w:rFonts w:ascii="宋体" w:hAnsi="宋体" w:eastAsia="宋体" w:cs="宋体"/>
          <w:spacing w:val="-8"/>
          <w:sz w:val="23"/>
          <w:szCs w:val="23"/>
        </w:rPr>
        <w:t>①项目施工期噪</w:t>
      </w:r>
      <w:r>
        <w:rPr>
          <w:rFonts w:ascii="宋体" w:hAnsi="宋体" w:eastAsia="宋体" w:cs="宋体"/>
          <w:spacing w:val="-7"/>
          <w:sz w:val="23"/>
          <w:szCs w:val="23"/>
        </w:rPr>
        <w:t>声</w:t>
      </w:r>
      <w:r>
        <w:rPr>
          <w:rFonts w:ascii="宋体" w:hAnsi="宋体" w:eastAsia="宋体" w:cs="宋体"/>
          <w:spacing w:val="-4"/>
          <w:sz w:val="23"/>
          <w:szCs w:val="23"/>
        </w:rPr>
        <w:t>执行《建筑施工场界环境噪声排放限值》 (</w:t>
      </w:r>
      <w:r>
        <w:rPr>
          <w:rFonts w:ascii="Times New Roman" w:hAnsi="Times New Roman" w:eastAsia="Times New Roman" w:cs="Times New Roman"/>
          <w:spacing w:val="-4"/>
          <w:sz w:val="23"/>
          <w:szCs w:val="23"/>
        </w:rPr>
        <w:t>GB12523-2011</w:t>
      </w:r>
      <w:r>
        <w:rPr>
          <w:rFonts w:ascii="宋体" w:hAnsi="宋体" w:eastAsia="宋体" w:cs="宋体"/>
          <w:spacing w:val="-4"/>
          <w:sz w:val="23"/>
          <w:szCs w:val="23"/>
        </w:rPr>
        <w:t>) ，</w:t>
      </w:r>
      <w:r>
        <w:rPr>
          <w:rFonts w:ascii="宋体" w:hAnsi="宋体" w:eastAsia="宋体" w:cs="宋体"/>
          <w:sz w:val="23"/>
          <w:szCs w:val="23"/>
        </w:rPr>
        <w:t xml:space="preserve"> </w:t>
      </w:r>
      <w:r>
        <w:rPr>
          <w:rFonts w:ascii="宋体" w:hAnsi="宋体" w:eastAsia="宋体" w:cs="宋体"/>
          <w:spacing w:val="-8"/>
          <w:sz w:val="23"/>
          <w:szCs w:val="23"/>
        </w:rPr>
        <w:t xml:space="preserve">标准值见表 </w:t>
      </w:r>
      <w:r>
        <w:rPr>
          <w:rFonts w:ascii="Times New Roman" w:hAnsi="Times New Roman" w:eastAsia="Times New Roman" w:cs="Times New Roman"/>
          <w:spacing w:val="-8"/>
          <w:sz w:val="23"/>
          <w:szCs w:val="23"/>
        </w:rPr>
        <w:t>2-12</w:t>
      </w:r>
      <w:r>
        <w:rPr>
          <w:rFonts w:ascii="宋体" w:hAnsi="宋体" w:eastAsia="宋体" w:cs="宋体"/>
          <w:spacing w:val="-7"/>
          <w:sz w:val="23"/>
          <w:szCs w:val="23"/>
        </w:rPr>
        <w:t>。</w:t>
      </w:r>
    </w:p>
    <w:p w14:paraId="302701D3">
      <w:pPr>
        <w:spacing w:before="97" w:line="332" w:lineRule="exact"/>
        <w:ind w:left="1222"/>
        <w:rPr>
          <w:rFonts w:ascii="宋体" w:hAnsi="宋体" w:eastAsia="宋体" w:cs="宋体"/>
          <w:sz w:val="23"/>
          <w:szCs w:val="23"/>
        </w:rPr>
      </w:pPr>
      <w:r>
        <w:rPr>
          <w:rFonts w:ascii="宋体" w:hAnsi="宋体" w:eastAsia="宋体" w:cs="宋体"/>
          <w:spacing w:val="-2"/>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2"/>
          <w:position w:val="3"/>
          <w:sz w:val="23"/>
          <w:szCs w:val="23"/>
        </w:rPr>
        <w:t xml:space="preserve"> </w:t>
      </w:r>
      <w:r>
        <w:rPr>
          <w:rFonts w:ascii="Times New Roman" w:hAnsi="Times New Roman" w:eastAsia="Times New Roman" w:cs="Times New Roman"/>
          <w:b/>
          <w:bCs/>
          <w:spacing w:val="-2"/>
          <w:position w:val="3"/>
          <w:sz w:val="23"/>
          <w:szCs w:val="23"/>
        </w:rPr>
        <w:t>2-12</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14:textOutline w14:w="4358" w14:cap="sq" w14:cmpd="sng">
            <w14:solidFill>
              <w14:srgbClr w14:val="000000"/>
            </w14:solidFill>
            <w14:prstDash w14:val="solid"/>
            <w14:bevel/>
          </w14:textOutline>
        </w:rPr>
        <w:t>建筑施工场界环境噪声排放标准</w:t>
      </w:r>
      <w:r>
        <w:rPr>
          <w:rFonts w:ascii="宋体" w:hAnsi="宋体" w:eastAsia="宋体" w:cs="宋体"/>
          <w:spacing w:val="-2"/>
          <w:position w:val="3"/>
          <w:sz w:val="23"/>
          <w:szCs w:val="23"/>
        </w:rPr>
        <w:t xml:space="preserve"> </w:t>
      </w:r>
      <w:r>
        <w:rPr>
          <w:rFonts w:ascii="宋体" w:hAnsi="宋体" w:eastAsia="宋体" w:cs="宋体"/>
          <w:spacing w:val="-2"/>
          <w:position w:val="3"/>
          <w:sz w:val="23"/>
          <w:szCs w:val="23"/>
          <w14:textOutline w14:w="4358" w14:cap="sq" w14:cmpd="sng">
            <w14:solidFill>
              <w14:srgbClr w14:val="000000"/>
            </w14:solidFill>
            <w14:prstDash w14:val="solid"/>
            <w14:bevel/>
          </w14:textOutline>
        </w:rPr>
        <w:t>(</w:t>
      </w:r>
      <w:r>
        <w:rPr>
          <w:rFonts w:ascii="宋体" w:hAnsi="宋体" w:eastAsia="宋体" w:cs="宋体"/>
          <w:spacing w:val="-1"/>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position w:val="3"/>
          <w:sz w:val="23"/>
          <w:szCs w:val="23"/>
        </w:rPr>
        <w:t>dB(A)</w:t>
      </w:r>
      <w:r>
        <w:rPr>
          <w:rFonts w:ascii="宋体" w:hAnsi="宋体" w:eastAsia="宋体" w:cs="宋体"/>
          <w:spacing w:val="-1"/>
          <w:position w:val="3"/>
          <w:sz w:val="23"/>
          <w:szCs w:val="23"/>
          <w14:textOutline w14:w="4358" w14:cap="sq" w14:cmpd="sng">
            <w14:solidFill>
              <w14:srgbClr w14:val="000000"/>
            </w14:solidFill>
            <w14:prstDash w14:val="solid"/>
            <w14:bevel/>
          </w14:textOutline>
        </w:rPr>
        <w:t>)</w:t>
      </w:r>
    </w:p>
    <w:p w14:paraId="3D7391FC">
      <w:pPr>
        <w:spacing w:line="142" w:lineRule="auto"/>
        <w:rPr>
          <w:rFonts w:ascii="Arial"/>
          <w:sz w:val="2"/>
        </w:rPr>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0"/>
        <w:gridCol w:w="2840"/>
        <w:gridCol w:w="2842"/>
      </w:tblGrid>
      <w:tr w14:paraId="6483B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40" w:type="dxa"/>
            <w:tcBorders>
              <w:left w:val="nil"/>
              <w:right w:val="single" w:color="000000" w:sz="4" w:space="0"/>
            </w:tcBorders>
            <w:vAlign w:val="top"/>
          </w:tcPr>
          <w:p w14:paraId="18204E84">
            <w:pPr>
              <w:spacing w:before="85" w:line="228" w:lineRule="auto"/>
              <w:ind w:left="123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类别</w:t>
            </w:r>
          </w:p>
        </w:tc>
        <w:tc>
          <w:tcPr>
            <w:tcW w:w="2840" w:type="dxa"/>
            <w:tcBorders>
              <w:left w:val="single" w:color="000000" w:sz="4" w:space="0"/>
              <w:right w:val="single" w:color="000000" w:sz="4" w:space="0"/>
            </w:tcBorders>
            <w:vAlign w:val="top"/>
          </w:tcPr>
          <w:p w14:paraId="1BB3388F">
            <w:pPr>
              <w:spacing w:before="85" w:line="231" w:lineRule="auto"/>
              <w:ind w:left="122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昼</w:t>
            </w:r>
            <w:r>
              <w:rPr>
                <w:rFonts w:ascii="宋体" w:hAnsi="宋体" w:eastAsia="宋体" w:cs="宋体"/>
                <w:sz w:val="20"/>
                <w:szCs w:val="20"/>
                <w14:textOutline w14:w="3795" w14:cap="sq" w14:cmpd="sng">
                  <w14:solidFill>
                    <w14:srgbClr w14:val="000000"/>
                  </w14:solidFill>
                  <w14:prstDash w14:val="solid"/>
                  <w14:bevel/>
                </w14:textOutline>
              </w:rPr>
              <w:t>间</w:t>
            </w:r>
          </w:p>
        </w:tc>
        <w:tc>
          <w:tcPr>
            <w:tcW w:w="2842" w:type="dxa"/>
            <w:tcBorders>
              <w:left w:val="single" w:color="000000" w:sz="4" w:space="0"/>
              <w:right w:val="nil"/>
            </w:tcBorders>
            <w:vAlign w:val="top"/>
          </w:tcPr>
          <w:p w14:paraId="040EAC5E">
            <w:pPr>
              <w:spacing w:before="85" w:line="228" w:lineRule="auto"/>
              <w:ind w:left="123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夜</w:t>
            </w:r>
            <w:r>
              <w:rPr>
                <w:rFonts w:ascii="宋体" w:hAnsi="宋体" w:eastAsia="宋体" w:cs="宋体"/>
                <w:spacing w:val="-1"/>
                <w:sz w:val="20"/>
                <w:szCs w:val="20"/>
                <w14:textOutline w14:w="3795" w14:cap="sq" w14:cmpd="sng">
                  <w14:solidFill>
                    <w14:srgbClr w14:val="000000"/>
                  </w14:solidFill>
                  <w14:prstDash w14:val="solid"/>
                  <w14:bevel/>
                </w14:textOutline>
              </w:rPr>
              <w:t>间</w:t>
            </w:r>
          </w:p>
        </w:tc>
      </w:tr>
      <w:tr w14:paraId="3F9C8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40" w:type="dxa"/>
            <w:tcBorders>
              <w:left w:val="nil"/>
              <w:right w:val="single" w:color="000000" w:sz="4" w:space="0"/>
            </w:tcBorders>
            <w:vAlign w:val="top"/>
          </w:tcPr>
          <w:p w14:paraId="1049485F">
            <w:pPr>
              <w:spacing w:before="66" w:line="228" w:lineRule="auto"/>
              <w:ind w:left="1134"/>
              <w:rPr>
                <w:rFonts w:ascii="宋体" w:hAnsi="宋体" w:eastAsia="宋体" w:cs="宋体"/>
                <w:sz w:val="20"/>
                <w:szCs w:val="20"/>
              </w:rPr>
            </w:pPr>
            <w:r>
              <w:rPr>
                <w:rFonts w:ascii="宋体" w:hAnsi="宋体" w:eastAsia="宋体" w:cs="宋体"/>
                <w:spacing w:val="-2"/>
                <w:sz w:val="20"/>
                <w:szCs w:val="20"/>
              </w:rPr>
              <w:t>标</w:t>
            </w:r>
            <w:r>
              <w:rPr>
                <w:rFonts w:ascii="宋体" w:hAnsi="宋体" w:eastAsia="宋体" w:cs="宋体"/>
                <w:spacing w:val="-1"/>
                <w:sz w:val="20"/>
                <w:szCs w:val="20"/>
              </w:rPr>
              <w:t>准值</w:t>
            </w:r>
          </w:p>
        </w:tc>
        <w:tc>
          <w:tcPr>
            <w:tcW w:w="2840" w:type="dxa"/>
            <w:tcBorders>
              <w:left w:val="single" w:color="000000" w:sz="4" w:space="0"/>
              <w:right w:val="single" w:color="000000" w:sz="4" w:space="0"/>
            </w:tcBorders>
            <w:vAlign w:val="top"/>
          </w:tcPr>
          <w:p w14:paraId="2B928472">
            <w:pPr>
              <w:spacing w:before="102" w:line="195" w:lineRule="auto"/>
              <w:ind w:left="1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0</w:t>
            </w:r>
          </w:p>
        </w:tc>
        <w:tc>
          <w:tcPr>
            <w:tcW w:w="2842" w:type="dxa"/>
            <w:tcBorders>
              <w:left w:val="single" w:color="000000" w:sz="4" w:space="0"/>
              <w:right w:val="nil"/>
            </w:tcBorders>
            <w:vAlign w:val="top"/>
          </w:tcPr>
          <w:p w14:paraId="5450504A">
            <w:pPr>
              <w:spacing w:before="105" w:line="192" w:lineRule="auto"/>
              <w:ind w:left="1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5</w:t>
            </w:r>
          </w:p>
        </w:tc>
      </w:tr>
    </w:tbl>
    <w:p w14:paraId="64872DB1">
      <w:pPr>
        <w:spacing w:line="270" w:lineRule="auto"/>
        <w:rPr>
          <w:rFonts w:ascii="Arial"/>
          <w:sz w:val="21"/>
        </w:rPr>
      </w:pPr>
    </w:p>
    <w:p w14:paraId="6E19C893">
      <w:pPr>
        <w:spacing w:before="75" w:line="393" w:lineRule="auto"/>
        <w:ind w:left="139" w:right="18" w:firstLine="426"/>
        <w:rPr>
          <w:rFonts w:ascii="宋体" w:hAnsi="宋体" w:eastAsia="宋体" w:cs="宋体"/>
          <w:sz w:val="23"/>
          <w:szCs w:val="23"/>
        </w:rPr>
      </w:pPr>
      <w:r>
        <w:rPr>
          <w:rFonts w:ascii="宋体" w:hAnsi="宋体" w:eastAsia="宋体" w:cs="宋体"/>
          <w:spacing w:val="-12"/>
          <w:sz w:val="23"/>
          <w:szCs w:val="23"/>
        </w:rPr>
        <w:t>②项目运</w:t>
      </w:r>
      <w:r>
        <w:rPr>
          <w:rFonts w:ascii="宋体" w:hAnsi="宋体" w:eastAsia="宋体" w:cs="宋体"/>
          <w:spacing w:val="-9"/>
          <w:sz w:val="23"/>
          <w:szCs w:val="23"/>
        </w:rPr>
        <w:t>营</w:t>
      </w:r>
      <w:r>
        <w:rPr>
          <w:rFonts w:ascii="宋体" w:hAnsi="宋体" w:eastAsia="宋体" w:cs="宋体"/>
          <w:spacing w:val="-6"/>
          <w:sz w:val="23"/>
          <w:szCs w:val="23"/>
        </w:rPr>
        <w:t>期厂界噪声执行《工业企业厂界环境噪声排放标准》(</w:t>
      </w:r>
      <w:r>
        <w:rPr>
          <w:rFonts w:ascii="Times New Roman" w:hAnsi="Times New Roman" w:eastAsia="Times New Roman" w:cs="Times New Roman"/>
          <w:spacing w:val="-6"/>
          <w:sz w:val="23"/>
          <w:szCs w:val="23"/>
        </w:rPr>
        <w:t>GB12348-2008</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4"/>
          <w:sz w:val="23"/>
          <w:szCs w:val="23"/>
        </w:rPr>
        <w:t xml:space="preserve">中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类标准，具体标准值见表</w:t>
      </w:r>
      <w:r>
        <w:rPr>
          <w:rFonts w:ascii="Times New Roman" w:hAnsi="Times New Roman" w:eastAsia="Times New Roman" w:cs="Times New Roman"/>
          <w:spacing w:val="-4"/>
          <w:sz w:val="23"/>
          <w:szCs w:val="23"/>
        </w:rPr>
        <w:t>2-13</w:t>
      </w:r>
      <w:r>
        <w:rPr>
          <w:rFonts w:ascii="宋体" w:hAnsi="宋体" w:eastAsia="宋体" w:cs="宋体"/>
          <w:spacing w:val="-1"/>
          <w:sz w:val="23"/>
          <w:szCs w:val="23"/>
        </w:rPr>
        <w:t>。</w:t>
      </w:r>
    </w:p>
    <w:p w14:paraId="6F40EC91">
      <w:pPr>
        <w:spacing w:before="99" w:line="332" w:lineRule="exact"/>
        <w:ind w:left="1222"/>
        <w:rPr>
          <w:rFonts w:ascii="宋体" w:hAnsi="宋体" w:eastAsia="宋体" w:cs="宋体"/>
          <w:sz w:val="23"/>
          <w:szCs w:val="23"/>
        </w:rPr>
      </w:pPr>
      <w:r>
        <w:rPr>
          <w:rFonts w:ascii="宋体" w:hAnsi="宋体" w:eastAsia="宋体" w:cs="宋体"/>
          <w:spacing w:val="-2"/>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2"/>
          <w:position w:val="3"/>
          <w:sz w:val="23"/>
          <w:szCs w:val="23"/>
        </w:rPr>
        <w:t xml:space="preserve"> </w:t>
      </w:r>
      <w:r>
        <w:rPr>
          <w:rFonts w:ascii="Times New Roman" w:hAnsi="Times New Roman" w:eastAsia="Times New Roman" w:cs="Times New Roman"/>
          <w:b/>
          <w:bCs/>
          <w:spacing w:val="-2"/>
          <w:position w:val="3"/>
          <w:sz w:val="23"/>
          <w:szCs w:val="23"/>
        </w:rPr>
        <w:t>2-13</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14:textOutline w14:w="4358" w14:cap="sq" w14:cmpd="sng">
            <w14:solidFill>
              <w14:srgbClr w14:val="000000"/>
            </w14:solidFill>
            <w14:prstDash w14:val="solid"/>
            <w14:bevel/>
          </w14:textOutline>
        </w:rPr>
        <w:t>工业企业厂界环境噪声排放标准</w:t>
      </w:r>
      <w:r>
        <w:rPr>
          <w:rFonts w:ascii="宋体" w:hAnsi="宋体" w:eastAsia="宋体" w:cs="宋体"/>
          <w:spacing w:val="-2"/>
          <w:position w:val="3"/>
          <w:sz w:val="23"/>
          <w:szCs w:val="23"/>
        </w:rPr>
        <w:t xml:space="preserve"> </w:t>
      </w:r>
      <w:r>
        <w:rPr>
          <w:rFonts w:ascii="宋体" w:hAnsi="宋体" w:eastAsia="宋体" w:cs="宋体"/>
          <w:spacing w:val="-2"/>
          <w:position w:val="3"/>
          <w:sz w:val="23"/>
          <w:szCs w:val="23"/>
          <w14:textOutline w14:w="4358" w14:cap="sq" w14:cmpd="sng">
            <w14:solidFill>
              <w14:srgbClr w14:val="000000"/>
            </w14:solidFill>
            <w14:prstDash w14:val="solid"/>
            <w14:bevel/>
          </w14:textOutline>
        </w:rPr>
        <w:t>(</w:t>
      </w:r>
      <w:r>
        <w:rPr>
          <w:rFonts w:ascii="宋体" w:hAnsi="宋体" w:eastAsia="宋体" w:cs="宋体"/>
          <w:spacing w:val="-1"/>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position w:val="3"/>
          <w:sz w:val="23"/>
          <w:szCs w:val="23"/>
        </w:rPr>
        <w:t>dB(A)</w:t>
      </w:r>
      <w:r>
        <w:rPr>
          <w:rFonts w:ascii="宋体" w:hAnsi="宋体" w:eastAsia="宋体" w:cs="宋体"/>
          <w:spacing w:val="-1"/>
          <w:position w:val="3"/>
          <w:sz w:val="23"/>
          <w:szCs w:val="23"/>
          <w14:textOutline w14:w="4358" w14:cap="sq" w14:cmpd="sng">
            <w14:solidFill>
              <w14:srgbClr w14:val="000000"/>
            </w14:solidFill>
            <w14:prstDash w14:val="solid"/>
            <w14:bevel/>
          </w14:textOutline>
        </w:rPr>
        <w:t>)</w:t>
      </w:r>
    </w:p>
    <w:p w14:paraId="41A69CA3">
      <w:pPr>
        <w:spacing w:line="18"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0"/>
        <w:gridCol w:w="2840"/>
        <w:gridCol w:w="2842"/>
      </w:tblGrid>
      <w:tr w14:paraId="3ADFA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40" w:type="dxa"/>
            <w:tcBorders>
              <w:left w:val="nil"/>
              <w:right w:val="single" w:color="000000" w:sz="4" w:space="0"/>
            </w:tcBorders>
            <w:vAlign w:val="top"/>
          </w:tcPr>
          <w:p w14:paraId="645DA01C">
            <w:pPr>
              <w:spacing w:before="85" w:line="228" w:lineRule="auto"/>
              <w:ind w:left="123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类别</w:t>
            </w:r>
          </w:p>
        </w:tc>
        <w:tc>
          <w:tcPr>
            <w:tcW w:w="2840" w:type="dxa"/>
            <w:tcBorders>
              <w:left w:val="single" w:color="000000" w:sz="4" w:space="0"/>
              <w:right w:val="single" w:color="000000" w:sz="4" w:space="0"/>
            </w:tcBorders>
            <w:vAlign w:val="top"/>
          </w:tcPr>
          <w:p w14:paraId="44E42F84">
            <w:pPr>
              <w:spacing w:before="85" w:line="231" w:lineRule="auto"/>
              <w:ind w:left="122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昼</w:t>
            </w:r>
            <w:r>
              <w:rPr>
                <w:rFonts w:ascii="宋体" w:hAnsi="宋体" w:eastAsia="宋体" w:cs="宋体"/>
                <w:sz w:val="20"/>
                <w:szCs w:val="20"/>
                <w14:textOutline w14:w="3795" w14:cap="sq" w14:cmpd="sng">
                  <w14:solidFill>
                    <w14:srgbClr w14:val="000000"/>
                  </w14:solidFill>
                  <w14:prstDash w14:val="solid"/>
                  <w14:bevel/>
                </w14:textOutline>
              </w:rPr>
              <w:t>间</w:t>
            </w:r>
          </w:p>
        </w:tc>
        <w:tc>
          <w:tcPr>
            <w:tcW w:w="2842" w:type="dxa"/>
            <w:tcBorders>
              <w:left w:val="single" w:color="000000" w:sz="4" w:space="0"/>
              <w:right w:val="nil"/>
            </w:tcBorders>
            <w:vAlign w:val="top"/>
          </w:tcPr>
          <w:p w14:paraId="02398758">
            <w:pPr>
              <w:spacing w:before="85" w:line="228" w:lineRule="auto"/>
              <w:ind w:left="123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夜</w:t>
            </w:r>
            <w:r>
              <w:rPr>
                <w:rFonts w:ascii="宋体" w:hAnsi="宋体" w:eastAsia="宋体" w:cs="宋体"/>
                <w:spacing w:val="-1"/>
                <w:sz w:val="20"/>
                <w:szCs w:val="20"/>
                <w14:textOutline w14:w="3795" w14:cap="sq" w14:cmpd="sng">
                  <w14:solidFill>
                    <w14:srgbClr w14:val="000000"/>
                  </w14:solidFill>
                  <w14:prstDash w14:val="solid"/>
                  <w14:bevel/>
                </w14:textOutline>
              </w:rPr>
              <w:t>间</w:t>
            </w:r>
          </w:p>
        </w:tc>
      </w:tr>
      <w:tr w14:paraId="58D1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40" w:type="dxa"/>
            <w:tcBorders>
              <w:left w:val="nil"/>
              <w:right w:val="single" w:color="000000" w:sz="4" w:space="0"/>
            </w:tcBorders>
            <w:vAlign w:val="top"/>
          </w:tcPr>
          <w:p w14:paraId="1AD2595F">
            <w:pPr>
              <w:spacing w:before="66" w:line="228" w:lineRule="auto"/>
              <w:ind w:left="457"/>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12348-2008</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类</w:t>
            </w:r>
          </w:p>
        </w:tc>
        <w:tc>
          <w:tcPr>
            <w:tcW w:w="2840" w:type="dxa"/>
            <w:tcBorders>
              <w:left w:val="single" w:color="000000" w:sz="4" w:space="0"/>
              <w:right w:val="single" w:color="000000" w:sz="4" w:space="0"/>
            </w:tcBorders>
            <w:vAlign w:val="top"/>
          </w:tcPr>
          <w:p w14:paraId="3F41E371">
            <w:pPr>
              <w:spacing w:before="103" w:line="195" w:lineRule="auto"/>
              <w:ind w:left="1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w:t>
            </w:r>
          </w:p>
        </w:tc>
        <w:tc>
          <w:tcPr>
            <w:tcW w:w="2842" w:type="dxa"/>
            <w:tcBorders>
              <w:left w:val="single" w:color="000000" w:sz="4" w:space="0"/>
              <w:right w:val="nil"/>
            </w:tcBorders>
            <w:vAlign w:val="top"/>
          </w:tcPr>
          <w:p w14:paraId="7DF551E9">
            <w:pPr>
              <w:spacing w:before="106" w:line="192" w:lineRule="auto"/>
              <w:ind w:left="1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5</w:t>
            </w:r>
          </w:p>
        </w:tc>
      </w:tr>
    </w:tbl>
    <w:p w14:paraId="6907567C">
      <w:pPr>
        <w:spacing w:line="270" w:lineRule="auto"/>
        <w:rPr>
          <w:rFonts w:ascii="Arial"/>
          <w:sz w:val="21"/>
        </w:rPr>
      </w:pPr>
    </w:p>
    <w:p w14:paraId="64BFCB67">
      <w:pPr>
        <w:spacing w:before="76" w:line="228" w:lineRule="auto"/>
        <w:ind w:left="580"/>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1"/>
          <w:sz w:val="23"/>
          <w:szCs w:val="23"/>
        </w:rPr>
        <w:t>4</w:t>
      </w:r>
      <w:r>
        <w:rPr>
          <w:rFonts w:ascii="宋体" w:hAnsi="宋体" w:eastAsia="宋体" w:cs="宋体"/>
          <w:spacing w:val="11"/>
          <w:sz w:val="23"/>
          <w:szCs w:val="23"/>
        </w:rPr>
        <w:t>) 固体废物</w:t>
      </w:r>
    </w:p>
    <w:p w14:paraId="0B03B809">
      <w:pPr>
        <w:spacing w:line="242" w:lineRule="auto"/>
        <w:rPr>
          <w:rFonts w:ascii="Arial"/>
          <w:sz w:val="21"/>
        </w:rPr>
      </w:pPr>
    </w:p>
    <w:p w14:paraId="62B1C064">
      <w:pPr>
        <w:spacing w:before="74" w:line="323" w:lineRule="exact"/>
        <w:ind w:left="596"/>
        <w:rPr>
          <w:rFonts w:ascii="宋体" w:hAnsi="宋体" w:eastAsia="宋体" w:cs="宋体"/>
          <w:sz w:val="23"/>
          <w:szCs w:val="23"/>
        </w:rPr>
      </w:pPr>
      <w:r>
        <w:rPr>
          <w:rFonts w:ascii="宋体" w:hAnsi="宋体" w:eastAsia="宋体" w:cs="宋体"/>
          <w:spacing w:val="-2"/>
          <w:position w:val="2"/>
          <w:sz w:val="23"/>
          <w:szCs w:val="23"/>
        </w:rPr>
        <w:t>①施工期：一般废物的处理</w:t>
      </w:r>
      <w:r>
        <w:rPr>
          <w:rFonts w:ascii="Times New Roman" w:hAnsi="Times New Roman" w:eastAsia="Times New Roman" w:cs="Times New Roman"/>
          <w:spacing w:val="-2"/>
          <w:position w:val="2"/>
          <w:sz w:val="23"/>
          <w:szCs w:val="23"/>
        </w:rPr>
        <w:t>/</w:t>
      </w:r>
      <w:r>
        <w:rPr>
          <w:rFonts w:ascii="宋体" w:hAnsi="宋体" w:eastAsia="宋体" w:cs="宋体"/>
          <w:spacing w:val="-2"/>
          <w:position w:val="2"/>
          <w:sz w:val="23"/>
          <w:szCs w:val="23"/>
        </w:rPr>
        <w:t>处置执行《一般工业固体废物贮存、处置场污</w:t>
      </w:r>
      <w:r>
        <w:rPr>
          <w:rFonts w:ascii="宋体" w:hAnsi="宋体" w:eastAsia="宋体" w:cs="宋体"/>
          <w:spacing w:val="-1"/>
          <w:position w:val="2"/>
          <w:sz w:val="23"/>
          <w:szCs w:val="23"/>
        </w:rPr>
        <w:t>染</w:t>
      </w:r>
      <w:r>
        <w:rPr>
          <w:rFonts w:ascii="宋体" w:hAnsi="宋体" w:eastAsia="宋体" w:cs="宋体"/>
          <w:position w:val="2"/>
          <w:sz w:val="23"/>
          <w:szCs w:val="23"/>
        </w:rPr>
        <w:t>控</w:t>
      </w:r>
    </w:p>
    <w:p w14:paraId="1FDA55BD">
      <w:pPr>
        <w:sectPr>
          <w:headerReference r:id="rId64" w:type="default"/>
          <w:footerReference r:id="rId65" w:type="default"/>
          <w:pgSz w:w="11906" w:h="16839"/>
          <w:pgMar w:top="1132" w:right="1691" w:bottom="1156" w:left="1691" w:header="878" w:footer="996" w:gutter="0"/>
          <w:cols w:space="720" w:num="1"/>
        </w:sectPr>
      </w:pPr>
    </w:p>
    <w:p w14:paraId="5F7FD7E1">
      <w:pPr>
        <w:spacing w:line="409" w:lineRule="auto"/>
        <w:rPr>
          <w:rFonts w:ascii="Arial"/>
          <w:sz w:val="21"/>
        </w:rPr>
      </w:pPr>
      <w:r>
        <w:pict>
          <v:shape id="_x0000_s1093" o:spid="_x0000_s1093" style="position:absolute;left:0pt;margin-left:90pt;margin-top:57.35pt;height:0.75pt;width:415.3pt;mso-position-horizontal-relative:page;mso-position-vertical-relative:page;z-index:251729920;mso-width-relative:page;mso-height-relative:page;" fillcolor="#000000" filled="t" stroked="f" coordsize="8305,15" o:allowincell="f" path="m0,0l8305,0,8305,14,0,14,0,0xe">
            <v:path/>
            <v:fill on="t" focussize="0,0"/>
            <v:stroke on="f"/>
            <v:imagedata o:title=""/>
            <o:lock v:ext="edit"/>
          </v:shape>
        </w:pict>
      </w:r>
    </w:p>
    <w:p w14:paraId="472F7767">
      <w:pPr>
        <w:spacing w:before="74" w:line="227" w:lineRule="auto"/>
        <w:ind w:left="118"/>
        <w:rPr>
          <w:rFonts w:ascii="宋体" w:hAnsi="宋体" w:eastAsia="宋体" w:cs="宋体"/>
          <w:sz w:val="23"/>
          <w:szCs w:val="23"/>
        </w:rPr>
      </w:pPr>
      <w:r>
        <w:rPr>
          <w:rFonts w:ascii="宋体" w:hAnsi="宋体" w:eastAsia="宋体" w:cs="宋体"/>
          <w:spacing w:val="-7"/>
          <w:sz w:val="23"/>
          <w:szCs w:val="23"/>
        </w:rPr>
        <w:t>制标准》  (</w:t>
      </w:r>
      <w:r>
        <w:rPr>
          <w:rFonts w:ascii="Times New Roman" w:hAnsi="Times New Roman" w:eastAsia="Times New Roman" w:cs="Times New Roman"/>
          <w:spacing w:val="-7"/>
          <w:sz w:val="23"/>
          <w:szCs w:val="23"/>
        </w:rPr>
        <w:t>GB18599-2001</w:t>
      </w:r>
      <w:r>
        <w:rPr>
          <w:rFonts w:ascii="宋体" w:hAnsi="宋体" w:eastAsia="宋体" w:cs="宋体"/>
          <w:spacing w:val="-7"/>
          <w:sz w:val="23"/>
          <w:szCs w:val="23"/>
        </w:rPr>
        <w:t xml:space="preserve">) 及 </w:t>
      </w:r>
      <w:r>
        <w:rPr>
          <w:rFonts w:ascii="Times New Roman" w:hAnsi="Times New Roman" w:eastAsia="Times New Roman" w:cs="Times New Roman"/>
          <w:spacing w:val="-7"/>
          <w:sz w:val="23"/>
          <w:szCs w:val="23"/>
        </w:rPr>
        <w:t xml:space="preserve">2013 </w:t>
      </w:r>
      <w:r>
        <w:rPr>
          <w:rFonts w:ascii="宋体" w:hAnsi="宋体" w:eastAsia="宋体" w:cs="宋体"/>
          <w:spacing w:val="-7"/>
          <w:sz w:val="23"/>
          <w:szCs w:val="23"/>
        </w:rPr>
        <w:t>年修改单。</w:t>
      </w:r>
    </w:p>
    <w:p w14:paraId="08443250">
      <w:pPr>
        <w:spacing w:line="288" w:lineRule="auto"/>
        <w:rPr>
          <w:rFonts w:ascii="Arial"/>
          <w:sz w:val="21"/>
        </w:rPr>
      </w:pPr>
    </w:p>
    <w:p w14:paraId="4E96B42F">
      <w:pPr>
        <w:spacing w:before="75" w:line="389" w:lineRule="auto"/>
        <w:ind w:left="116" w:right="110" w:firstLine="479"/>
        <w:rPr>
          <w:rFonts w:ascii="宋体" w:hAnsi="宋体" w:eastAsia="宋体" w:cs="宋体"/>
          <w:sz w:val="23"/>
          <w:szCs w:val="23"/>
        </w:rPr>
      </w:pPr>
      <w:r>
        <w:rPr>
          <w:rFonts w:ascii="宋体" w:hAnsi="宋体" w:eastAsia="宋体" w:cs="宋体"/>
          <w:spacing w:val="-1"/>
          <w:sz w:val="23"/>
          <w:szCs w:val="23"/>
        </w:rPr>
        <w:t>②运营期：一般</w:t>
      </w:r>
      <w:r>
        <w:rPr>
          <w:rFonts w:ascii="宋体" w:hAnsi="宋体" w:eastAsia="宋体" w:cs="宋体"/>
          <w:sz w:val="23"/>
          <w:szCs w:val="23"/>
        </w:rPr>
        <w:t xml:space="preserve">工业固体废物贮存、处置执行《一般工业固体废物贮存、处置 </w:t>
      </w:r>
      <w:r>
        <w:rPr>
          <w:rFonts w:ascii="宋体" w:hAnsi="宋体" w:eastAsia="宋体" w:cs="宋体"/>
          <w:spacing w:val="-10"/>
          <w:sz w:val="23"/>
          <w:szCs w:val="23"/>
        </w:rPr>
        <w:t>场污染控制标</w:t>
      </w:r>
      <w:r>
        <w:rPr>
          <w:rFonts w:ascii="宋体" w:hAnsi="宋体" w:eastAsia="宋体" w:cs="宋体"/>
          <w:spacing w:val="-6"/>
          <w:sz w:val="23"/>
          <w:szCs w:val="23"/>
        </w:rPr>
        <w:t>准</w:t>
      </w:r>
      <w:r>
        <w:rPr>
          <w:rFonts w:ascii="宋体" w:hAnsi="宋体" w:eastAsia="宋体" w:cs="宋体"/>
          <w:spacing w:val="-5"/>
          <w:sz w:val="23"/>
          <w:szCs w:val="23"/>
        </w:rPr>
        <w:t>》(</w:t>
      </w:r>
      <w:r>
        <w:rPr>
          <w:rFonts w:ascii="Times New Roman" w:hAnsi="Times New Roman" w:eastAsia="Times New Roman" w:cs="Times New Roman"/>
          <w:spacing w:val="-5"/>
          <w:sz w:val="23"/>
          <w:szCs w:val="23"/>
        </w:rPr>
        <w:t>GB18599-2001</w:t>
      </w:r>
      <w:r>
        <w:rPr>
          <w:rFonts w:ascii="宋体" w:hAnsi="宋体" w:eastAsia="宋体" w:cs="宋体"/>
          <w:spacing w:val="-5"/>
          <w:sz w:val="23"/>
          <w:szCs w:val="23"/>
        </w:rPr>
        <w:t xml:space="preserve">) 及其修改单的公告 (环境保护部公告，公告 </w:t>
      </w:r>
      <w:r>
        <w:rPr>
          <w:rFonts w:ascii="Times New Roman" w:hAnsi="Times New Roman" w:eastAsia="Times New Roman" w:cs="Times New Roman"/>
          <w:spacing w:val="-5"/>
          <w:sz w:val="23"/>
          <w:szCs w:val="23"/>
        </w:rPr>
        <w:t>2013</w:t>
      </w:r>
      <w:r>
        <w:rPr>
          <w:rFonts w:ascii="Times New Roman" w:hAnsi="Times New Roman" w:eastAsia="Times New Roman" w:cs="Times New Roman"/>
          <w:sz w:val="23"/>
          <w:szCs w:val="23"/>
        </w:rPr>
        <w:t xml:space="preserve"> </w:t>
      </w:r>
      <w:r>
        <w:rPr>
          <w:rFonts w:ascii="宋体" w:hAnsi="宋体" w:eastAsia="宋体" w:cs="宋体"/>
          <w:spacing w:val="-7"/>
          <w:sz w:val="23"/>
          <w:szCs w:val="23"/>
        </w:rPr>
        <w:t xml:space="preserve">年第 </w:t>
      </w:r>
      <w:r>
        <w:rPr>
          <w:rFonts w:ascii="Times New Roman" w:hAnsi="Times New Roman" w:eastAsia="Times New Roman" w:cs="Times New Roman"/>
          <w:spacing w:val="-7"/>
          <w:sz w:val="23"/>
          <w:szCs w:val="23"/>
        </w:rPr>
        <w:t xml:space="preserve">36 </w:t>
      </w:r>
      <w:r>
        <w:rPr>
          <w:rFonts w:ascii="宋体" w:hAnsi="宋体" w:eastAsia="宋体" w:cs="宋体"/>
          <w:spacing w:val="-7"/>
          <w:sz w:val="23"/>
          <w:szCs w:val="23"/>
        </w:rPr>
        <w:t>号，</w:t>
      </w:r>
      <w:r>
        <w:rPr>
          <w:rFonts w:ascii="Times New Roman" w:hAnsi="Times New Roman" w:eastAsia="Times New Roman" w:cs="Times New Roman"/>
          <w:spacing w:val="-7"/>
          <w:sz w:val="23"/>
          <w:szCs w:val="23"/>
        </w:rPr>
        <w:t xml:space="preserve">2013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6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8 </w:t>
      </w:r>
      <w:r>
        <w:rPr>
          <w:rFonts w:ascii="宋体" w:hAnsi="宋体" w:eastAsia="宋体" w:cs="宋体"/>
          <w:spacing w:val="-7"/>
          <w:sz w:val="23"/>
          <w:szCs w:val="23"/>
        </w:rPr>
        <w:t>日) ；生活垃圾执行《城市生活垃圾管理办法》 (中华</w:t>
      </w:r>
      <w:r>
        <w:rPr>
          <w:rFonts w:ascii="宋体" w:hAnsi="宋体" w:eastAsia="宋体" w:cs="宋体"/>
          <w:spacing w:val="-1"/>
          <w:sz w:val="23"/>
          <w:szCs w:val="23"/>
        </w:rPr>
        <w:t>人</w:t>
      </w:r>
      <w:r>
        <w:rPr>
          <w:rFonts w:ascii="宋体" w:hAnsi="宋体" w:eastAsia="宋体" w:cs="宋体"/>
          <w:sz w:val="23"/>
          <w:szCs w:val="23"/>
        </w:rPr>
        <w:t xml:space="preserve"> </w:t>
      </w:r>
      <w:r>
        <w:rPr>
          <w:rFonts w:ascii="宋体" w:hAnsi="宋体" w:eastAsia="宋体" w:cs="宋体"/>
          <w:spacing w:val="-14"/>
          <w:sz w:val="23"/>
          <w:szCs w:val="23"/>
        </w:rPr>
        <w:t>民</w:t>
      </w:r>
      <w:r>
        <w:rPr>
          <w:rFonts w:ascii="宋体" w:hAnsi="宋体" w:eastAsia="宋体" w:cs="宋体"/>
          <w:spacing w:val="-12"/>
          <w:sz w:val="23"/>
          <w:szCs w:val="23"/>
        </w:rPr>
        <w:t>共</w:t>
      </w:r>
      <w:r>
        <w:rPr>
          <w:rFonts w:ascii="宋体" w:hAnsi="宋体" w:eastAsia="宋体" w:cs="宋体"/>
          <w:spacing w:val="-7"/>
          <w:sz w:val="23"/>
          <w:szCs w:val="23"/>
        </w:rPr>
        <w:t xml:space="preserve">和国建设部令第 </w:t>
      </w:r>
      <w:r>
        <w:rPr>
          <w:rFonts w:ascii="Times New Roman" w:hAnsi="Times New Roman" w:eastAsia="Times New Roman" w:cs="Times New Roman"/>
          <w:spacing w:val="-7"/>
          <w:sz w:val="23"/>
          <w:szCs w:val="23"/>
        </w:rPr>
        <w:t xml:space="preserve">157 </w:t>
      </w:r>
      <w:r>
        <w:rPr>
          <w:rFonts w:ascii="宋体" w:hAnsi="宋体" w:eastAsia="宋体" w:cs="宋体"/>
          <w:spacing w:val="-7"/>
          <w:sz w:val="23"/>
          <w:szCs w:val="23"/>
        </w:rPr>
        <w:t>号，</w:t>
      </w:r>
      <w:r>
        <w:rPr>
          <w:rFonts w:ascii="Times New Roman" w:hAnsi="Times New Roman" w:eastAsia="Times New Roman" w:cs="Times New Roman"/>
          <w:spacing w:val="-7"/>
          <w:sz w:val="23"/>
          <w:szCs w:val="23"/>
        </w:rPr>
        <w:t xml:space="preserve">2007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7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日) 。</w:t>
      </w:r>
    </w:p>
    <w:p w14:paraId="2F5E25DD">
      <w:pPr>
        <w:spacing w:before="148" w:line="390" w:lineRule="auto"/>
        <w:ind w:left="117" w:right="110" w:firstLine="482"/>
        <w:rPr>
          <w:rFonts w:ascii="宋体" w:hAnsi="宋体" w:eastAsia="宋体" w:cs="宋体"/>
          <w:sz w:val="23"/>
          <w:szCs w:val="23"/>
        </w:rPr>
      </w:pPr>
      <w:r>
        <w:rPr>
          <w:rFonts w:ascii="宋体" w:hAnsi="宋体" w:eastAsia="宋体" w:cs="宋体"/>
          <w:spacing w:val="-7"/>
          <w:sz w:val="23"/>
          <w:szCs w:val="23"/>
        </w:rPr>
        <w:t>危险废物分类按照环境保护部、国家发展和改革委员会及公安部修订发布的《</w:t>
      </w:r>
      <w:r>
        <w:rPr>
          <w:rFonts w:ascii="宋体" w:hAnsi="宋体" w:eastAsia="宋体" w:cs="宋体"/>
          <w:spacing w:val="-1"/>
          <w:sz w:val="23"/>
          <w:szCs w:val="23"/>
        </w:rPr>
        <w:t>国</w:t>
      </w:r>
      <w:r>
        <w:rPr>
          <w:rFonts w:ascii="宋体" w:hAnsi="宋体" w:eastAsia="宋体" w:cs="宋体"/>
          <w:sz w:val="23"/>
          <w:szCs w:val="23"/>
        </w:rPr>
        <w:t xml:space="preserve"> </w:t>
      </w:r>
      <w:r>
        <w:rPr>
          <w:rFonts w:ascii="宋体" w:hAnsi="宋体" w:eastAsia="宋体" w:cs="宋体"/>
          <w:spacing w:val="-12"/>
          <w:sz w:val="23"/>
          <w:szCs w:val="23"/>
        </w:rPr>
        <w:t>家危险废物名</w:t>
      </w:r>
      <w:r>
        <w:rPr>
          <w:rFonts w:ascii="宋体" w:hAnsi="宋体" w:eastAsia="宋体" w:cs="宋体"/>
          <w:spacing w:val="-7"/>
          <w:sz w:val="23"/>
          <w:szCs w:val="23"/>
        </w:rPr>
        <w:t>录</w:t>
      </w:r>
      <w:r>
        <w:rPr>
          <w:rFonts w:ascii="宋体" w:hAnsi="宋体" w:eastAsia="宋体" w:cs="宋体"/>
          <w:spacing w:val="-6"/>
          <w:sz w:val="23"/>
          <w:szCs w:val="23"/>
        </w:rPr>
        <w:t>》 (</w:t>
      </w:r>
      <w:r>
        <w:rPr>
          <w:rFonts w:ascii="Times New Roman" w:hAnsi="Times New Roman" w:eastAsia="Times New Roman" w:cs="Times New Roman"/>
          <w:spacing w:val="-6"/>
          <w:sz w:val="23"/>
          <w:szCs w:val="23"/>
        </w:rPr>
        <w:t xml:space="preserve">2016 </w:t>
      </w:r>
      <w:r>
        <w:rPr>
          <w:rFonts w:ascii="宋体" w:hAnsi="宋体" w:eastAsia="宋体" w:cs="宋体"/>
          <w:spacing w:val="-6"/>
          <w:sz w:val="23"/>
          <w:szCs w:val="23"/>
        </w:rPr>
        <w:t xml:space="preserve">版) ，自 </w:t>
      </w:r>
      <w:r>
        <w:rPr>
          <w:rFonts w:ascii="Times New Roman" w:hAnsi="Times New Roman" w:eastAsia="Times New Roman" w:cs="Times New Roman"/>
          <w:spacing w:val="-6"/>
          <w:sz w:val="23"/>
          <w:szCs w:val="23"/>
        </w:rPr>
        <w:t xml:space="preserve">2016 </w:t>
      </w:r>
      <w:r>
        <w:rPr>
          <w:rFonts w:ascii="宋体" w:hAnsi="宋体" w:eastAsia="宋体" w:cs="宋体"/>
          <w:spacing w:val="-6"/>
          <w:sz w:val="23"/>
          <w:szCs w:val="23"/>
        </w:rPr>
        <w:t xml:space="preserve">年 </w:t>
      </w:r>
      <w:r>
        <w:rPr>
          <w:rFonts w:ascii="Times New Roman" w:hAnsi="Times New Roman" w:eastAsia="Times New Roman" w:cs="Times New Roman"/>
          <w:spacing w:val="-6"/>
          <w:sz w:val="23"/>
          <w:szCs w:val="23"/>
        </w:rPr>
        <w:t xml:space="preserve">8 </w:t>
      </w:r>
      <w:r>
        <w:rPr>
          <w:rFonts w:ascii="宋体" w:hAnsi="宋体" w:eastAsia="宋体" w:cs="宋体"/>
          <w:spacing w:val="-6"/>
          <w:sz w:val="23"/>
          <w:szCs w:val="23"/>
        </w:rPr>
        <w:t xml:space="preserve">月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日起实施；临时储存执行《危险废</w:t>
      </w:r>
      <w:r>
        <w:rPr>
          <w:rFonts w:ascii="宋体" w:hAnsi="宋体" w:eastAsia="宋体" w:cs="宋体"/>
          <w:sz w:val="23"/>
          <w:szCs w:val="23"/>
        </w:rPr>
        <w:t xml:space="preserve"> </w:t>
      </w:r>
      <w:r>
        <w:rPr>
          <w:rFonts w:ascii="宋体" w:hAnsi="宋体" w:eastAsia="宋体" w:cs="宋体"/>
          <w:spacing w:val="-5"/>
          <w:sz w:val="23"/>
          <w:szCs w:val="23"/>
        </w:rPr>
        <w:t>物贮存污染控制标准》  (</w:t>
      </w:r>
      <w:r>
        <w:rPr>
          <w:rFonts w:ascii="Times New Roman" w:hAnsi="Times New Roman" w:eastAsia="Times New Roman" w:cs="Times New Roman"/>
          <w:spacing w:val="-2"/>
          <w:sz w:val="23"/>
          <w:szCs w:val="23"/>
        </w:rPr>
        <w:t>G</w:t>
      </w:r>
      <w:r>
        <w:rPr>
          <w:rFonts w:ascii="Times New Roman" w:hAnsi="Times New Roman" w:eastAsia="Times New Roman" w:cs="Times New Roman"/>
          <w:sz w:val="23"/>
          <w:szCs w:val="23"/>
        </w:rPr>
        <w:t>B</w:t>
      </w:r>
      <w:r>
        <w:rPr>
          <w:rFonts w:ascii="Times New Roman" w:hAnsi="Times New Roman" w:eastAsia="Times New Roman" w:cs="Times New Roman"/>
          <w:spacing w:val="-5"/>
          <w:sz w:val="23"/>
          <w:szCs w:val="23"/>
        </w:rPr>
        <w:t>18597-2001</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2013 </w:t>
      </w:r>
      <w:r>
        <w:rPr>
          <w:rFonts w:ascii="宋体" w:hAnsi="宋体" w:eastAsia="宋体" w:cs="宋体"/>
          <w:spacing w:val="-5"/>
          <w:sz w:val="23"/>
          <w:szCs w:val="23"/>
        </w:rPr>
        <w:t>年修订) 中的相关要求。</w:t>
      </w:r>
    </w:p>
    <w:p w14:paraId="35B1FF03">
      <w:pPr>
        <w:spacing w:before="81" w:line="223" w:lineRule="auto"/>
        <w:ind w:left="115"/>
        <w:outlineLvl w:val="1"/>
        <w:rPr>
          <w:rFonts w:ascii="宋体" w:hAnsi="宋体" w:eastAsia="宋体" w:cs="宋体"/>
          <w:sz w:val="31"/>
          <w:szCs w:val="31"/>
        </w:rPr>
      </w:pPr>
      <w:bookmarkStart w:id="12" w:name="_bookmark13"/>
      <w:bookmarkEnd w:id="12"/>
      <w:r>
        <w:rPr>
          <w:rFonts w:ascii="Times New Roman" w:hAnsi="Times New Roman" w:eastAsia="Times New Roman" w:cs="Times New Roman"/>
          <w:b/>
          <w:bCs/>
          <w:spacing w:val="-2"/>
          <w:sz w:val="31"/>
          <w:szCs w:val="31"/>
        </w:rPr>
        <w:t>2.6</w:t>
      </w:r>
      <w:r>
        <w:rPr>
          <w:rFonts w:ascii="Times New Roman" w:hAnsi="Times New Roman" w:eastAsia="Times New Roman" w:cs="Times New Roman"/>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评价工作等级</w:t>
      </w:r>
      <w:r>
        <w:rPr>
          <w:rFonts w:ascii="宋体" w:hAnsi="宋体" w:eastAsia="宋体" w:cs="宋体"/>
          <w:spacing w:val="-1"/>
          <w:sz w:val="31"/>
          <w:szCs w:val="31"/>
          <w14:textOutline w14:w="5793" w14:cap="sq" w14:cmpd="sng">
            <w14:solidFill>
              <w14:srgbClr w14:val="000000"/>
            </w14:solidFill>
            <w14:prstDash w14:val="solid"/>
            <w14:bevel/>
          </w14:textOutline>
        </w:rPr>
        <w:t>与评价范围</w:t>
      </w:r>
    </w:p>
    <w:p w14:paraId="54348D45">
      <w:pPr>
        <w:spacing w:before="287" w:line="224" w:lineRule="auto"/>
        <w:ind w:left="115"/>
        <w:outlineLvl w:val="2"/>
        <w:rPr>
          <w:rFonts w:ascii="宋体" w:hAnsi="宋体" w:eastAsia="宋体" w:cs="宋体"/>
          <w:sz w:val="29"/>
          <w:szCs w:val="29"/>
        </w:rPr>
      </w:pPr>
      <w:r>
        <w:rPr>
          <w:rFonts w:ascii="Times New Roman" w:hAnsi="Times New Roman" w:eastAsia="Times New Roman" w:cs="Times New Roman"/>
          <w:b/>
          <w:bCs/>
          <w:spacing w:val="8"/>
          <w:sz w:val="29"/>
          <w:szCs w:val="29"/>
        </w:rPr>
        <w:t>2</w:t>
      </w:r>
      <w:r>
        <w:rPr>
          <w:rFonts w:ascii="Times New Roman" w:hAnsi="Times New Roman" w:eastAsia="Times New Roman" w:cs="Times New Roman"/>
          <w:b/>
          <w:bCs/>
          <w:spacing w:val="4"/>
          <w:sz w:val="29"/>
          <w:szCs w:val="29"/>
        </w:rPr>
        <w:t>.6.1</w:t>
      </w:r>
      <w:r>
        <w:rPr>
          <w:rFonts w:ascii="Times New Roman" w:hAnsi="Times New Roman" w:eastAsia="Times New Roman" w:cs="Times New Roman"/>
          <w:spacing w:val="4"/>
          <w:sz w:val="29"/>
          <w:szCs w:val="29"/>
        </w:rPr>
        <w:t xml:space="preserve"> </w:t>
      </w:r>
      <w:r>
        <w:rPr>
          <w:rFonts w:ascii="宋体" w:hAnsi="宋体" w:eastAsia="宋体" w:cs="宋体"/>
          <w:spacing w:val="4"/>
          <w:sz w:val="29"/>
          <w:szCs w:val="29"/>
          <w14:textOutline w14:w="5448" w14:cap="sq" w14:cmpd="sng">
            <w14:solidFill>
              <w14:srgbClr w14:val="000000"/>
            </w14:solidFill>
            <w14:prstDash w14:val="solid"/>
            <w14:bevel/>
          </w14:textOutline>
        </w:rPr>
        <w:t>评价工作等级</w:t>
      </w:r>
    </w:p>
    <w:p w14:paraId="0BB5AA14">
      <w:pPr>
        <w:spacing w:before="311" w:line="219" w:lineRule="auto"/>
        <w:ind w:left="114"/>
        <w:outlineLvl w:val="3"/>
        <w:rPr>
          <w:rFonts w:ascii="宋体" w:hAnsi="宋体" w:eastAsia="宋体" w:cs="宋体"/>
          <w:sz w:val="28"/>
          <w:szCs w:val="28"/>
        </w:rPr>
      </w:pPr>
      <w:r>
        <w:rPr>
          <w:rFonts w:ascii="Times New Roman" w:hAnsi="Times New Roman" w:eastAsia="Times New Roman" w:cs="Times New Roman"/>
          <w:b/>
          <w:bCs/>
          <w:spacing w:val="-1"/>
          <w:sz w:val="28"/>
          <w:szCs w:val="28"/>
        </w:rPr>
        <w:t>2.6.1.1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环境空气评价工作等级</w:t>
      </w:r>
    </w:p>
    <w:p w14:paraId="0D9C74ED">
      <w:pPr>
        <w:spacing w:line="273" w:lineRule="auto"/>
        <w:rPr>
          <w:rFonts w:ascii="Arial"/>
          <w:sz w:val="21"/>
        </w:rPr>
      </w:pPr>
    </w:p>
    <w:p w14:paraId="2DF53DDF">
      <w:pPr>
        <w:spacing w:before="76" w:line="392" w:lineRule="auto"/>
        <w:ind w:left="118" w:right="110" w:firstLine="450"/>
        <w:rPr>
          <w:rFonts w:ascii="宋体" w:hAnsi="宋体" w:eastAsia="宋体" w:cs="宋体"/>
          <w:sz w:val="23"/>
          <w:szCs w:val="23"/>
        </w:rPr>
      </w:pPr>
      <w:r>
        <w:rPr>
          <w:rFonts w:ascii="宋体" w:hAnsi="宋体" w:eastAsia="宋体" w:cs="宋体"/>
          <w:spacing w:val="-6"/>
          <w:sz w:val="23"/>
          <w:szCs w:val="23"/>
        </w:rPr>
        <w:t>根据</w:t>
      </w:r>
      <w:r>
        <w:rPr>
          <w:rFonts w:ascii="宋体" w:hAnsi="宋体" w:eastAsia="宋体" w:cs="宋体"/>
          <w:spacing w:val="-5"/>
          <w:sz w:val="23"/>
          <w:szCs w:val="23"/>
        </w:rPr>
        <w:t>《</w:t>
      </w:r>
      <w:r>
        <w:rPr>
          <w:rFonts w:ascii="宋体" w:hAnsi="宋体" w:eastAsia="宋体" w:cs="宋体"/>
          <w:spacing w:val="-3"/>
          <w:sz w:val="23"/>
          <w:szCs w:val="23"/>
        </w:rPr>
        <w:t>环境影响评价技术导则 大气环境》  (</w:t>
      </w:r>
      <w:r>
        <w:rPr>
          <w:rFonts w:ascii="Times New Roman" w:hAnsi="Times New Roman" w:eastAsia="Times New Roman" w:cs="Times New Roman"/>
          <w:spacing w:val="-3"/>
          <w:sz w:val="23"/>
          <w:szCs w:val="23"/>
        </w:rPr>
        <w:t>HJ2.2-2018</w:t>
      </w:r>
      <w:r>
        <w:rPr>
          <w:rFonts w:ascii="宋体" w:hAnsi="宋体" w:eastAsia="宋体" w:cs="宋体"/>
          <w:spacing w:val="-3"/>
          <w:sz w:val="23"/>
          <w:szCs w:val="23"/>
        </w:rPr>
        <w:t>) 有关规定，将大气环</w:t>
      </w:r>
      <w:r>
        <w:rPr>
          <w:rFonts w:ascii="宋体" w:hAnsi="宋体" w:eastAsia="宋体" w:cs="宋体"/>
          <w:sz w:val="23"/>
          <w:szCs w:val="23"/>
        </w:rPr>
        <w:t xml:space="preserve"> </w:t>
      </w:r>
      <w:r>
        <w:rPr>
          <w:rFonts w:ascii="宋体" w:hAnsi="宋体" w:eastAsia="宋体" w:cs="宋体"/>
          <w:spacing w:val="-5"/>
          <w:sz w:val="23"/>
          <w:szCs w:val="23"/>
        </w:rPr>
        <w:t xml:space="preserve">境影响评价工作等级分为一、二、三级，划分依据见表 </w:t>
      </w:r>
      <w:r>
        <w:rPr>
          <w:rFonts w:ascii="Times New Roman" w:hAnsi="Times New Roman" w:eastAsia="Times New Roman" w:cs="Times New Roman"/>
          <w:spacing w:val="-5"/>
          <w:sz w:val="23"/>
          <w:szCs w:val="23"/>
        </w:rPr>
        <w:t>2-14</w:t>
      </w:r>
      <w:r>
        <w:rPr>
          <w:rFonts w:ascii="宋体" w:hAnsi="宋体" w:eastAsia="宋体" w:cs="宋体"/>
          <w:spacing w:val="-4"/>
          <w:sz w:val="23"/>
          <w:szCs w:val="23"/>
        </w:rPr>
        <w:t>。</w:t>
      </w:r>
    </w:p>
    <w:p w14:paraId="7C22AFE4">
      <w:pPr>
        <w:spacing w:before="150" w:line="226" w:lineRule="auto"/>
        <w:ind w:left="287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2-14</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大气评价等级确定表</w:t>
      </w:r>
    </w:p>
    <w:p w14:paraId="5DD30D98">
      <w:pPr>
        <w:spacing w:line="20"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1"/>
        <w:gridCol w:w="4261"/>
      </w:tblGrid>
      <w:tr w14:paraId="3CBC8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61" w:type="dxa"/>
            <w:tcBorders>
              <w:left w:val="nil"/>
            </w:tcBorders>
            <w:vAlign w:val="top"/>
          </w:tcPr>
          <w:p w14:paraId="7BEABE67">
            <w:pPr>
              <w:spacing w:before="87" w:line="226" w:lineRule="auto"/>
              <w:ind w:left="130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评</w:t>
            </w:r>
            <w:r>
              <w:rPr>
                <w:rFonts w:ascii="宋体" w:hAnsi="宋体" w:eastAsia="宋体" w:cs="宋体"/>
                <w:spacing w:val="8"/>
                <w:sz w:val="20"/>
                <w:szCs w:val="20"/>
                <w14:textOutline w14:w="3795" w14:cap="sq" w14:cmpd="sng">
                  <w14:solidFill>
                    <w14:srgbClr w14:val="000000"/>
                  </w14:solidFill>
                  <w14:prstDash w14:val="solid"/>
                  <w14:bevel/>
                </w14:textOutline>
              </w:rPr>
              <w:t>价工作等级判据</w:t>
            </w:r>
          </w:p>
        </w:tc>
        <w:tc>
          <w:tcPr>
            <w:tcW w:w="4261" w:type="dxa"/>
            <w:tcBorders>
              <w:right w:val="nil"/>
            </w:tcBorders>
            <w:vAlign w:val="top"/>
          </w:tcPr>
          <w:p w14:paraId="4C401E2C">
            <w:pPr>
              <w:spacing w:before="87" w:line="226" w:lineRule="auto"/>
              <w:ind w:left="150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评</w:t>
            </w:r>
            <w:r>
              <w:rPr>
                <w:rFonts w:ascii="宋体" w:hAnsi="宋体" w:eastAsia="宋体" w:cs="宋体"/>
                <w:spacing w:val="8"/>
                <w:sz w:val="20"/>
                <w:szCs w:val="20"/>
                <w14:textOutline w14:w="3795" w14:cap="sq" w14:cmpd="sng">
                  <w14:solidFill>
                    <w14:srgbClr w14:val="000000"/>
                  </w14:solidFill>
                  <w14:prstDash w14:val="solid"/>
                  <w14:bevel/>
                </w14:textOutline>
              </w:rPr>
              <w:t>价工作等级</w:t>
            </w:r>
          </w:p>
        </w:tc>
      </w:tr>
      <w:tr w14:paraId="62018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261" w:type="dxa"/>
            <w:tcBorders>
              <w:left w:val="nil"/>
            </w:tcBorders>
            <w:vAlign w:val="top"/>
          </w:tcPr>
          <w:p w14:paraId="1B07E6C7">
            <w:pPr>
              <w:spacing w:before="26" w:line="281" w:lineRule="exact"/>
              <w:ind w:left="17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P</w:t>
            </w:r>
            <w:r>
              <w:rPr>
                <w:rFonts w:ascii="Times New Roman" w:hAnsi="Times New Roman" w:eastAsia="Times New Roman" w:cs="Times New Roman"/>
                <w:spacing w:val="-2"/>
                <w:position w:val="1"/>
                <w:sz w:val="13"/>
                <w:szCs w:val="13"/>
              </w:rPr>
              <w:t>max</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 xml:space="preserve"> 10%</w:t>
            </w:r>
          </w:p>
        </w:tc>
        <w:tc>
          <w:tcPr>
            <w:tcW w:w="4261" w:type="dxa"/>
            <w:tcBorders>
              <w:right w:val="nil"/>
            </w:tcBorders>
            <w:vAlign w:val="top"/>
          </w:tcPr>
          <w:p w14:paraId="0FB06FF4">
            <w:pPr>
              <w:spacing w:before="63" w:line="271" w:lineRule="exact"/>
              <w:ind w:left="1930"/>
              <w:rPr>
                <w:rFonts w:ascii="宋体" w:hAnsi="宋体" w:eastAsia="宋体" w:cs="宋体"/>
                <w:sz w:val="20"/>
                <w:szCs w:val="20"/>
              </w:rPr>
            </w:pPr>
            <w:r>
              <w:rPr>
                <w:rFonts w:ascii="宋体" w:hAnsi="宋体" w:eastAsia="宋体" w:cs="宋体"/>
                <w:spacing w:val="4"/>
                <w:sz w:val="20"/>
                <w:szCs w:val="20"/>
              </w:rPr>
              <w:t>一级</w:t>
            </w:r>
          </w:p>
        </w:tc>
      </w:tr>
      <w:tr w14:paraId="7F994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261" w:type="dxa"/>
            <w:tcBorders>
              <w:left w:val="nil"/>
            </w:tcBorders>
            <w:vAlign w:val="top"/>
          </w:tcPr>
          <w:p w14:paraId="36B367AF">
            <w:pPr>
              <w:spacing w:before="27" w:line="281" w:lineRule="exact"/>
              <w:ind w:left="1490"/>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10%</w:t>
            </w:r>
          </w:p>
        </w:tc>
        <w:tc>
          <w:tcPr>
            <w:tcW w:w="4261" w:type="dxa"/>
            <w:tcBorders>
              <w:right w:val="nil"/>
            </w:tcBorders>
            <w:vAlign w:val="top"/>
          </w:tcPr>
          <w:p w14:paraId="10D4300D">
            <w:pPr>
              <w:spacing w:before="65" w:line="230" w:lineRule="auto"/>
              <w:ind w:left="1930"/>
              <w:rPr>
                <w:rFonts w:ascii="宋体" w:hAnsi="宋体" w:eastAsia="宋体" w:cs="宋体"/>
                <w:sz w:val="20"/>
                <w:szCs w:val="20"/>
              </w:rPr>
            </w:pPr>
            <w:r>
              <w:rPr>
                <w:rFonts w:ascii="宋体" w:hAnsi="宋体" w:eastAsia="宋体" w:cs="宋体"/>
                <w:spacing w:val="3"/>
                <w:sz w:val="20"/>
                <w:szCs w:val="20"/>
              </w:rPr>
              <w:t>二级</w:t>
            </w:r>
          </w:p>
        </w:tc>
      </w:tr>
      <w:tr w14:paraId="2127B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261" w:type="dxa"/>
            <w:tcBorders>
              <w:left w:val="nil"/>
            </w:tcBorders>
            <w:vAlign w:val="top"/>
          </w:tcPr>
          <w:p w14:paraId="569DB779">
            <w:pPr>
              <w:spacing w:before="27" w:line="281" w:lineRule="exact"/>
              <w:ind w:left="17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宋体" w:hAnsi="宋体" w:eastAsia="宋体" w:cs="宋体"/>
                <w:spacing w:val="11"/>
                <w:position w:val="2"/>
                <w:sz w:val="20"/>
                <w:szCs w:val="20"/>
              </w:rPr>
              <w:t>＜</w:t>
            </w:r>
            <w:r>
              <w:rPr>
                <w:rFonts w:ascii="Times New Roman" w:hAnsi="Times New Roman" w:eastAsia="Times New Roman" w:cs="Times New Roman"/>
                <w:spacing w:val="10"/>
                <w:position w:val="2"/>
                <w:sz w:val="20"/>
                <w:szCs w:val="20"/>
              </w:rPr>
              <w:t>1%</w:t>
            </w:r>
          </w:p>
        </w:tc>
        <w:tc>
          <w:tcPr>
            <w:tcW w:w="4261" w:type="dxa"/>
            <w:tcBorders>
              <w:right w:val="nil"/>
            </w:tcBorders>
            <w:vAlign w:val="top"/>
          </w:tcPr>
          <w:p w14:paraId="1CBF9428">
            <w:pPr>
              <w:spacing w:before="64" w:line="230" w:lineRule="auto"/>
              <w:ind w:left="1927"/>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r>
    </w:tbl>
    <w:p w14:paraId="474F9595">
      <w:pPr>
        <w:spacing w:before="301" w:line="398" w:lineRule="auto"/>
        <w:ind w:left="117" w:right="107" w:firstLine="450"/>
        <w:rPr>
          <w:rFonts w:ascii="宋体" w:hAnsi="宋体" w:eastAsia="宋体" w:cs="宋体"/>
          <w:sz w:val="23"/>
          <w:szCs w:val="23"/>
        </w:rPr>
      </w:pPr>
      <w:r>
        <w:rPr>
          <w:rFonts w:ascii="宋体" w:hAnsi="宋体" w:eastAsia="宋体" w:cs="宋体"/>
          <w:spacing w:val="-8"/>
          <w:sz w:val="23"/>
          <w:szCs w:val="23"/>
        </w:rPr>
        <w:t xml:space="preserve">评价工作等级按表 </w:t>
      </w:r>
      <w:r>
        <w:rPr>
          <w:rFonts w:ascii="Times New Roman" w:hAnsi="Times New Roman" w:eastAsia="Times New Roman" w:cs="Times New Roman"/>
          <w:spacing w:val="-8"/>
          <w:sz w:val="23"/>
          <w:szCs w:val="23"/>
        </w:rPr>
        <w:t xml:space="preserve">2- 14 </w:t>
      </w:r>
      <w:r>
        <w:rPr>
          <w:rFonts w:ascii="宋体" w:hAnsi="宋体" w:eastAsia="宋体" w:cs="宋体"/>
          <w:spacing w:val="-8"/>
          <w:sz w:val="23"/>
          <w:szCs w:val="23"/>
        </w:rPr>
        <w:t xml:space="preserve">的分级判据进行划分，如污染物 </w:t>
      </w:r>
      <w:r>
        <w:rPr>
          <w:rFonts w:ascii="Times New Roman" w:hAnsi="Times New Roman" w:eastAsia="Times New Roman" w:cs="Times New Roman"/>
          <w:spacing w:val="-8"/>
          <w:sz w:val="23"/>
          <w:szCs w:val="23"/>
        </w:rPr>
        <w:t xml:space="preserve">i </w:t>
      </w:r>
      <w:r>
        <w:rPr>
          <w:rFonts w:ascii="宋体" w:hAnsi="宋体" w:eastAsia="宋体" w:cs="宋体"/>
          <w:spacing w:val="-8"/>
          <w:sz w:val="23"/>
          <w:szCs w:val="23"/>
        </w:rPr>
        <w:t xml:space="preserve">大于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，取 </w:t>
      </w:r>
      <w:r>
        <w:rPr>
          <w:rFonts w:ascii="Times New Roman" w:hAnsi="Times New Roman" w:eastAsia="Times New Roman" w:cs="Times New Roman"/>
          <w:spacing w:val="-8"/>
          <w:sz w:val="23"/>
          <w:szCs w:val="23"/>
        </w:rPr>
        <w:t xml:space="preserve">Pi </w:t>
      </w:r>
      <w:r>
        <w:rPr>
          <w:rFonts w:ascii="宋体" w:hAnsi="宋体" w:eastAsia="宋体" w:cs="宋体"/>
          <w:spacing w:val="-8"/>
          <w:sz w:val="23"/>
          <w:szCs w:val="23"/>
        </w:rPr>
        <w:t>值最大</w:t>
      </w:r>
      <w:r>
        <w:rPr>
          <w:rFonts w:ascii="宋体" w:hAnsi="宋体" w:eastAsia="宋体" w:cs="宋体"/>
          <w:sz w:val="23"/>
          <w:szCs w:val="23"/>
        </w:rPr>
        <w:t xml:space="preserve"> </w:t>
      </w:r>
      <w:r>
        <w:rPr>
          <w:rFonts w:ascii="宋体" w:hAnsi="宋体" w:eastAsia="宋体" w:cs="宋体"/>
          <w:spacing w:val="-2"/>
          <w:sz w:val="23"/>
          <w:szCs w:val="23"/>
        </w:rPr>
        <w:t>者 (</w:t>
      </w:r>
      <w:r>
        <w:rPr>
          <w:rFonts w:ascii="Times New Roman" w:hAnsi="Times New Roman" w:eastAsia="Times New Roman" w:cs="Times New Roman"/>
          <w:spacing w:val="-1"/>
          <w:sz w:val="23"/>
          <w:szCs w:val="23"/>
        </w:rPr>
        <w:t>Pmax</w:t>
      </w:r>
      <w:r>
        <w:rPr>
          <w:rFonts w:ascii="宋体" w:hAnsi="宋体" w:eastAsia="宋体" w:cs="宋体"/>
          <w:spacing w:val="-2"/>
          <w:sz w:val="23"/>
          <w:szCs w:val="23"/>
        </w:rPr>
        <w:t xml:space="preserve">) </w:t>
      </w:r>
      <w:r>
        <w:rPr>
          <w:rFonts w:ascii="宋体" w:hAnsi="宋体" w:eastAsia="宋体" w:cs="宋体"/>
          <w:spacing w:val="-1"/>
          <w:sz w:val="23"/>
          <w:szCs w:val="23"/>
        </w:rPr>
        <w:t>。同一项目有多个 (两个以上，含两个) 污染源时，则按各污染源分别</w:t>
      </w:r>
      <w:r>
        <w:rPr>
          <w:rFonts w:ascii="宋体" w:hAnsi="宋体" w:eastAsia="宋体" w:cs="宋体"/>
          <w:sz w:val="23"/>
          <w:szCs w:val="23"/>
        </w:rPr>
        <w:t xml:space="preserve"> </w:t>
      </w:r>
      <w:r>
        <w:rPr>
          <w:rFonts w:ascii="宋体" w:hAnsi="宋体" w:eastAsia="宋体" w:cs="宋体"/>
          <w:spacing w:val="-3"/>
          <w:sz w:val="23"/>
          <w:szCs w:val="23"/>
        </w:rPr>
        <w:t>确定其评价等级，并取评价级别最高者作为项目的评价等级。</w:t>
      </w:r>
    </w:p>
    <w:p w14:paraId="04E172C1">
      <w:pPr>
        <w:spacing w:before="162" w:line="390" w:lineRule="auto"/>
        <w:ind w:left="115" w:right="95" w:firstLine="429"/>
        <w:rPr>
          <w:rFonts w:ascii="宋体" w:hAnsi="宋体" w:eastAsia="宋体" w:cs="宋体"/>
          <w:sz w:val="23"/>
          <w:szCs w:val="23"/>
        </w:rPr>
      </w:pPr>
      <w:r>
        <w:rPr>
          <w:rFonts w:ascii="宋体" w:hAnsi="宋体" w:eastAsia="宋体" w:cs="宋体"/>
          <w:spacing w:val="-24"/>
          <w:sz w:val="23"/>
          <w:szCs w:val="23"/>
        </w:rPr>
        <w:t>根据</w:t>
      </w:r>
      <w:r>
        <w:rPr>
          <w:rFonts w:ascii="宋体" w:hAnsi="宋体" w:eastAsia="宋体" w:cs="宋体"/>
          <w:spacing w:val="-23"/>
          <w:sz w:val="23"/>
          <w:szCs w:val="23"/>
        </w:rPr>
        <w:t>《</w:t>
      </w:r>
      <w:r>
        <w:rPr>
          <w:rFonts w:ascii="宋体" w:hAnsi="宋体" w:eastAsia="宋体" w:cs="宋体"/>
          <w:spacing w:val="-12"/>
          <w:sz w:val="23"/>
          <w:szCs w:val="23"/>
        </w:rPr>
        <w:t>环境影响评价技术导则</w:t>
      </w:r>
      <w:r>
        <w:rPr>
          <w:rFonts w:ascii="Times New Roman" w:hAnsi="Times New Roman" w:eastAsia="Times New Roman" w:cs="Times New Roman"/>
          <w:spacing w:val="-12"/>
          <w:sz w:val="23"/>
          <w:szCs w:val="23"/>
        </w:rPr>
        <w:t>—</w:t>
      </w:r>
      <w:r>
        <w:rPr>
          <w:rFonts w:ascii="宋体" w:hAnsi="宋体" w:eastAsia="宋体" w:cs="宋体"/>
          <w:spacing w:val="-12"/>
          <w:sz w:val="23"/>
          <w:szCs w:val="23"/>
        </w:rPr>
        <w:t>大气环境》 (</w:t>
      </w:r>
      <w:r>
        <w:rPr>
          <w:rFonts w:ascii="Times New Roman" w:hAnsi="Times New Roman" w:eastAsia="Times New Roman" w:cs="Times New Roman"/>
          <w:spacing w:val="-12"/>
          <w:sz w:val="23"/>
          <w:szCs w:val="23"/>
        </w:rPr>
        <w:t>HJ2.2-2018</w:t>
      </w:r>
      <w:r>
        <w:rPr>
          <w:rFonts w:ascii="宋体" w:hAnsi="宋体" w:eastAsia="宋体" w:cs="宋体"/>
          <w:spacing w:val="-12"/>
          <w:sz w:val="23"/>
          <w:szCs w:val="23"/>
        </w:rPr>
        <w:t>) ，大气评价工作等级采用</w:t>
      </w:r>
      <w:r>
        <w:rPr>
          <w:rFonts w:ascii="宋体" w:hAnsi="宋体" w:eastAsia="宋体" w:cs="宋体"/>
          <w:sz w:val="23"/>
          <w:szCs w:val="23"/>
        </w:rPr>
        <w:t xml:space="preserve"> </w:t>
      </w:r>
      <w:r>
        <w:rPr>
          <w:rFonts w:ascii="宋体" w:hAnsi="宋体" w:eastAsia="宋体" w:cs="宋体"/>
          <w:spacing w:val="-11"/>
          <w:sz w:val="23"/>
          <w:szCs w:val="23"/>
        </w:rPr>
        <w:t>附录</w:t>
      </w:r>
      <w:r>
        <w:rPr>
          <w:rFonts w:ascii="Times New Roman" w:hAnsi="Times New Roman" w:eastAsia="Times New Roman" w:cs="Times New Roman"/>
          <w:spacing w:val="-5"/>
          <w:sz w:val="23"/>
          <w:szCs w:val="23"/>
        </w:rPr>
        <w:t>A</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推荐模型中估算模型计算项目污染源的最大环境影响，然后按评价工作分级判据</w:t>
      </w:r>
      <w:r>
        <w:rPr>
          <w:rFonts w:ascii="宋体" w:hAnsi="宋体" w:eastAsia="宋体" w:cs="宋体"/>
          <w:sz w:val="23"/>
          <w:szCs w:val="23"/>
        </w:rPr>
        <w:t xml:space="preserve"> </w:t>
      </w:r>
      <w:r>
        <w:rPr>
          <w:rFonts w:ascii="宋体" w:hAnsi="宋体" w:eastAsia="宋体" w:cs="宋体"/>
          <w:spacing w:val="-16"/>
          <w:sz w:val="23"/>
          <w:szCs w:val="23"/>
        </w:rPr>
        <w:t>进</w:t>
      </w:r>
      <w:r>
        <w:rPr>
          <w:rFonts w:ascii="宋体" w:hAnsi="宋体" w:eastAsia="宋体" w:cs="宋体"/>
          <w:spacing w:val="-15"/>
          <w:sz w:val="23"/>
          <w:szCs w:val="23"/>
        </w:rPr>
        <w:t>行</w:t>
      </w:r>
      <w:r>
        <w:rPr>
          <w:rFonts w:ascii="宋体" w:hAnsi="宋体" w:eastAsia="宋体" w:cs="宋体"/>
          <w:spacing w:val="-8"/>
          <w:sz w:val="23"/>
          <w:szCs w:val="23"/>
        </w:rPr>
        <w:t>分级。由工程分析计算结果，计算最大地面空气质量浓度占标</w:t>
      </w:r>
      <w:r>
        <w:rPr>
          <w:rFonts w:ascii="Times New Roman" w:hAnsi="Times New Roman" w:eastAsia="Times New Roman" w:cs="Times New Roman"/>
          <w:spacing w:val="-8"/>
          <w:sz w:val="23"/>
          <w:szCs w:val="23"/>
        </w:rPr>
        <w:t xml:space="preserve">Pi </w:t>
      </w:r>
      <w:r>
        <w:rPr>
          <w:rFonts w:ascii="宋体" w:hAnsi="宋体" w:eastAsia="宋体" w:cs="宋体"/>
          <w:spacing w:val="-8"/>
          <w:sz w:val="23"/>
          <w:szCs w:val="23"/>
        </w:rPr>
        <w:t>及第</w:t>
      </w:r>
      <w:r>
        <w:rPr>
          <w:rFonts w:ascii="Times New Roman" w:hAnsi="Times New Roman" w:eastAsia="Times New Roman" w:cs="Times New Roman"/>
          <w:spacing w:val="-8"/>
          <w:sz w:val="23"/>
          <w:szCs w:val="23"/>
        </w:rPr>
        <w:t xml:space="preserve">i </w:t>
      </w:r>
      <w:r>
        <w:rPr>
          <w:rFonts w:ascii="宋体" w:hAnsi="宋体" w:eastAsia="宋体" w:cs="宋体"/>
          <w:spacing w:val="-8"/>
          <w:sz w:val="23"/>
          <w:szCs w:val="23"/>
        </w:rPr>
        <w:t>个污染物的</w:t>
      </w:r>
      <w:r>
        <w:rPr>
          <w:rFonts w:ascii="宋体" w:hAnsi="宋体" w:eastAsia="宋体" w:cs="宋体"/>
          <w:sz w:val="23"/>
          <w:szCs w:val="23"/>
        </w:rPr>
        <w:t xml:space="preserve"> </w:t>
      </w:r>
      <w:r>
        <w:rPr>
          <w:rFonts w:ascii="宋体" w:hAnsi="宋体" w:eastAsia="宋体" w:cs="宋体"/>
          <w:spacing w:val="-12"/>
          <w:sz w:val="23"/>
          <w:szCs w:val="23"/>
        </w:rPr>
        <w:t>地</w:t>
      </w:r>
      <w:r>
        <w:rPr>
          <w:rFonts w:ascii="宋体" w:hAnsi="宋体" w:eastAsia="宋体" w:cs="宋体"/>
          <w:spacing w:val="-8"/>
          <w:sz w:val="23"/>
          <w:szCs w:val="23"/>
        </w:rPr>
        <w:t>面空气质量浓度达标准值</w:t>
      </w:r>
      <w:r>
        <w:rPr>
          <w:rFonts w:ascii="Times New Roman" w:hAnsi="Times New Roman" w:eastAsia="Times New Roman" w:cs="Times New Roman"/>
          <w:spacing w:val="-8"/>
          <w:sz w:val="23"/>
          <w:szCs w:val="23"/>
        </w:rPr>
        <w:t>10%</w:t>
      </w:r>
      <w:r>
        <w:rPr>
          <w:rFonts w:ascii="宋体" w:hAnsi="宋体" w:eastAsia="宋体" w:cs="宋体"/>
          <w:spacing w:val="-8"/>
          <w:sz w:val="23"/>
          <w:szCs w:val="23"/>
        </w:rPr>
        <w:t>时所对应的最远距离</w:t>
      </w:r>
      <w:r>
        <w:rPr>
          <w:rFonts w:ascii="Times New Roman" w:hAnsi="Times New Roman" w:eastAsia="Times New Roman" w:cs="Times New Roman"/>
          <w:spacing w:val="-8"/>
          <w:sz w:val="23"/>
          <w:szCs w:val="23"/>
        </w:rPr>
        <w:t>D</w:t>
      </w:r>
      <w:r>
        <w:rPr>
          <w:rFonts w:ascii="Times New Roman" w:hAnsi="Times New Roman" w:eastAsia="Times New Roman" w:cs="Times New Roman"/>
          <w:spacing w:val="-8"/>
          <w:position w:val="-1"/>
          <w:sz w:val="15"/>
          <w:szCs w:val="15"/>
        </w:rPr>
        <w:t>10%</w:t>
      </w:r>
      <w:r>
        <w:rPr>
          <w:rFonts w:ascii="宋体" w:hAnsi="宋体" w:eastAsia="宋体" w:cs="宋体"/>
          <w:spacing w:val="-8"/>
          <w:sz w:val="23"/>
          <w:szCs w:val="23"/>
        </w:rPr>
        <w:t>。其中</w:t>
      </w:r>
      <w:r>
        <w:rPr>
          <w:rFonts w:ascii="Times New Roman" w:hAnsi="Times New Roman" w:eastAsia="Times New Roman" w:cs="Times New Roman"/>
          <w:spacing w:val="-8"/>
          <w:sz w:val="23"/>
          <w:szCs w:val="23"/>
        </w:rPr>
        <w:t>P</w:t>
      </w:r>
      <w:r>
        <w:rPr>
          <w:rFonts w:ascii="Times New Roman" w:hAnsi="Times New Roman" w:eastAsia="Times New Roman" w:cs="Times New Roman"/>
          <w:spacing w:val="-8"/>
          <w:position w:val="-1"/>
          <w:sz w:val="15"/>
          <w:szCs w:val="15"/>
        </w:rPr>
        <w:t xml:space="preserve">i </w:t>
      </w:r>
      <w:r>
        <w:rPr>
          <w:rFonts w:ascii="宋体" w:hAnsi="宋体" w:eastAsia="宋体" w:cs="宋体"/>
          <w:spacing w:val="-8"/>
          <w:sz w:val="23"/>
          <w:szCs w:val="23"/>
        </w:rPr>
        <w:t>定义为：</w:t>
      </w:r>
    </w:p>
    <w:p w14:paraId="6E67D2B6">
      <w:pPr>
        <w:spacing w:before="104" w:line="323" w:lineRule="exact"/>
        <w:ind w:left="3414"/>
        <w:rPr>
          <w:rFonts w:ascii="Times New Roman" w:hAnsi="Times New Roman" w:eastAsia="Times New Roman" w:cs="Times New Roman"/>
          <w:sz w:val="23"/>
          <w:szCs w:val="23"/>
        </w:rPr>
      </w:pPr>
      <w:r>
        <w:rPr>
          <w:rFonts w:ascii="Times New Roman" w:hAnsi="Times New Roman" w:eastAsia="Times New Roman" w:cs="Times New Roman"/>
          <w:position w:val="2"/>
          <w:sz w:val="23"/>
          <w:szCs w:val="23"/>
        </w:rPr>
        <w:t>P</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6"/>
          <w:position w:val="1"/>
          <w:sz w:val="15"/>
          <w:szCs w:val="15"/>
        </w:rPr>
        <w:t xml:space="preserve"> </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spacing w:val="3"/>
          <w:position w:val="2"/>
          <w:sz w:val="23"/>
          <w:szCs w:val="23"/>
        </w:rPr>
        <w:t xml:space="preserve"> </w:t>
      </w:r>
      <w:r>
        <w:rPr>
          <w:rFonts w:ascii="Times New Roman" w:hAnsi="Times New Roman" w:eastAsia="Times New Roman" w:cs="Times New Roman"/>
          <w:position w:val="2"/>
          <w:sz w:val="23"/>
          <w:szCs w:val="23"/>
        </w:rPr>
        <w:t>C</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3"/>
          <w:position w:val="2"/>
          <w:sz w:val="23"/>
          <w:szCs w:val="23"/>
        </w:rPr>
        <w:t>/</w:t>
      </w:r>
      <w:r>
        <w:rPr>
          <w:rFonts w:ascii="Times New Roman" w:hAnsi="Times New Roman" w:eastAsia="Times New Roman" w:cs="Times New Roman"/>
          <w:position w:val="2"/>
          <w:sz w:val="23"/>
          <w:szCs w:val="23"/>
        </w:rPr>
        <w:t>C</w:t>
      </w:r>
      <w:r>
        <w:rPr>
          <w:rFonts w:ascii="Times New Roman" w:hAnsi="Times New Roman" w:eastAsia="Times New Roman" w:cs="Times New Roman"/>
          <w:spacing w:val="3"/>
          <w:position w:val="1"/>
          <w:sz w:val="15"/>
          <w:szCs w:val="15"/>
        </w:rPr>
        <w:t>0</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3"/>
          <w:position w:val="1"/>
          <w:sz w:val="15"/>
          <w:szCs w:val="15"/>
        </w:rPr>
        <w:t xml:space="preserve"> </w:t>
      </w:r>
      <w:r>
        <w:rPr>
          <w:rFonts w:ascii="Times New Roman" w:hAnsi="Times New Roman" w:eastAsia="Times New Roman" w:cs="Times New Roman"/>
          <w:spacing w:val="3"/>
          <w:position w:val="2"/>
          <w:sz w:val="23"/>
          <w:szCs w:val="23"/>
        </w:rPr>
        <w:t>×100%</w:t>
      </w:r>
    </w:p>
    <w:p w14:paraId="1C836438">
      <w:pPr>
        <w:sectPr>
          <w:footerReference r:id="rId66" w:type="default"/>
          <w:pgSz w:w="11906" w:h="16839"/>
          <w:pgMar w:top="1132" w:right="1691" w:bottom="1156" w:left="1691" w:header="878" w:footer="996" w:gutter="0"/>
          <w:cols w:space="720" w:num="1"/>
        </w:sectPr>
      </w:pPr>
    </w:p>
    <w:p w14:paraId="38C19F32">
      <w:pPr>
        <w:spacing w:line="365" w:lineRule="auto"/>
        <w:rPr>
          <w:rFonts w:ascii="Arial"/>
          <w:sz w:val="21"/>
        </w:rPr>
      </w:pPr>
      <w:r>
        <w:pict>
          <v:shape id="_x0000_s1094" o:spid="_x0000_s1094" style="position:absolute;left:0pt;margin-left:90pt;margin-top:57.35pt;height:0.75pt;width:415.3pt;mso-position-horizontal-relative:page;mso-position-vertical-relative:page;z-index:251730944;mso-width-relative:page;mso-height-relative:page;" fillcolor="#000000" filled="t" stroked="f" coordsize="8305,15" o:allowincell="f" path="m0,0l8305,0,8305,14,0,14,0,0xe">
            <v:path/>
            <v:fill on="t" focussize="0,0"/>
            <v:stroke on="f"/>
            <v:imagedata o:title=""/>
            <o:lock v:ext="edit"/>
          </v:shape>
        </w:pict>
      </w:r>
    </w:p>
    <w:p w14:paraId="40059915">
      <w:pPr>
        <w:spacing w:before="75" w:line="323" w:lineRule="exact"/>
        <w:ind w:left="573"/>
        <w:rPr>
          <w:rFonts w:ascii="宋体" w:hAnsi="宋体" w:eastAsia="宋体" w:cs="宋体"/>
          <w:sz w:val="23"/>
          <w:szCs w:val="23"/>
        </w:rPr>
      </w:pPr>
      <w:r>
        <w:rPr>
          <w:rFonts w:ascii="宋体" w:hAnsi="宋体" w:eastAsia="宋体" w:cs="宋体"/>
          <w:spacing w:val="-8"/>
          <w:position w:val="1"/>
          <w:sz w:val="23"/>
          <w:szCs w:val="23"/>
        </w:rPr>
        <w:t>式中：</w:t>
      </w:r>
      <w:r>
        <w:rPr>
          <w:rFonts w:ascii="Times New Roman" w:hAnsi="Times New Roman" w:eastAsia="Times New Roman" w:cs="Times New Roman"/>
          <w:spacing w:val="-4"/>
          <w:position w:val="1"/>
          <w:sz w:val="23"/>
          <w:szCs w:val="23"/>
        </w:rPr>
        <w:t>P</w:t>
      </w:r>
      <w:r>
        <w:rPr>
          <w:rFonts w:ascii="Times New Roman" w:hAnsi="Times New Roman" w:eastAsia="Times New Roman" w:cs="Times New Roman"/>
          <w:spacing w:val="-4"/>
          <w:sz w:val="15"/>
          <w:szCs w:val="15"/>
        </w:rPr>
        <w:t>i</w:t>
      </w:r>
      <w:r>
        <w:rPr>
          <w:rFonts w:ascii="Times New Roman" w:hAnsi="Times New Roman" w:eastAsia="Times New Roman" w:cs="Times New Roman"/>
          <w:spacing w:val="-8"/>
          <w:position w:val="1"/>
          <w:sz w:val="23"/>
          <w:szCs w:val="23"/>
        </w:rPr>
        <w:t>—</w:t>
      </w:r>
      <w:r>
        <w:rPr>
          <w:rFonts w:ascii="宋体" w:hAnsi="宋体" w:eastAsia="宋体" w:cs="宋体"/>
          <w:spacing w:val="-8"/>
          <w:position w:val="1"/>
          <w:sz w:val="23"/>
          <w:szCs w:val="23"/>
        </w:rPr>
        <w:t>第</w:t>
      </w:r>
      <w:r>
        <w:rPr>
          <w:rFonts w:ascii="宋体" w:hAnsi="宋体" w:eastAsia="宋体" w:cs="宋体"/>
          <w:spacing w:val="-6"/>
          <w:position w:val="1"/>
          <w:sz w:val="23"/>
          <w:szCs w:val="23"/>
        </w:rPr>
        <w:t xml:space="preserve"> </w:t>
      </w:r>
      <w:r>
        <w:rPr>
          <w:rFonts w:ascii="Times New Roman" w:hAnsi="Times New Roman" w:eastAsia="Times New Roman" w:cs="Times New Roman"/>
          <w:spacing w:val="-4"/>
          <w:position w:val="1"/>
          <w:sz w:val="23"/>
          <w:szCs w:val="23"/>
        </w:rPr>
        <w:t xml:space="preserve">i </w:t>
      </w:r>
      <w:r>
        <w:rPr>
          <w:rFonts w:ascii="宋体" w:hAnsi="宋体" w:eastAsia="宋体" w:cs="宋体"/>
          <w:spacing w:val="-4"/>
          <w:position w:val="1"/>
          <w:sz w:val="23"/>
          <w:szCs w:val="23"/>
        </w:rPr>
        <w:t>个污染物的最大地面空气质量浓度占标率，</w:t>
      </w:r>
      <w:r>
        <w:rPr>
          <w:rFonts w:ascii="Times New Roman" w:hAnsi="Times New Roman" w:eastAsia="Times New Roman" w:cs="Times New Roman"/>
          <w:spacing w:val="-4"/>
          <w:position w:val="1"/>
          <w:sz w:val="23"/>
          <w:szCs w:val="23"/>
        </w:rPr>
        <w:t>%</w:t>
      </w:r>
      <w:r>
        <w:rPr>
          <w:rFonts w:ascii="宋体" w:hAnsi="宋体" w:eastAsia="宋体" w:cs="宋体"/>
          <w:spacing w:val="-4"/>
          <w:position w:val="1"/>
          <w:sz w:val="23"/>
          <w:szCs w:val="23"/>
        </w:rPr>
        <w:t>；</w:t>
      </w:r>
    </w:p>
    <w:p w14:paraId="1348D955">
      <w:pPr>
        <w:spacing w:before="157" w:line="322" w:lineRule="exact"/>
        <w:ind w:right="13"/>
        <w:jc w:val="right"/>
        <w:rPr>
          <w:rFonts w:ascii="宋体" w:hAnsi="宋体" w:eastAsia="宋体" w:cs="宋体"/>
          <w:sz w:val="23"/>
          <w:szCs w:val="23"/>
        </w:rPr>
      </w:pPr>
      <w:r>
        <w:rPr>
          <w:rFonts w:ascii="Times New Roman" w:hAnsi="Times New Roman" w:eastAsia="Times New Roman" w:cs="Times New Roman"/>
          <w:spacing w:val="-11"/>
          <w:position w:val="3"/>
          <w:sz w:val="23"/>
          <w:szCs w:val="23"/>
        </w:rPr>
        <w:t>C</w:t>
      </w:r>
      <w:r>
        <w:rPr>
          <w:rFonts w:ascii="Times New Roman" w:hAnsi="Times New Roman" w:eastAsia="Times New Roman" w:cs="Times New Roman"/>
          <w:spacing w:val="-11"/>
          <w:position w:val="2"/>
          <w:sz w:val="15"/>
          <w:szCs w:val="15"/>
        </w:rPr>
        <w:t>i</w:t>
      </w:r>
      <w:r>
        <w:rPr>
          <w:rFonts w:ascii="Times New Roman" w:hAnsi="Times New Roman" w:eastAsia="Times New Roman" w:cs="Times New Roman"/>
          <w:spacing w:val="-22"/>
          <w:position w:val="3"/>
          <w:sz w:val="23"/>
          <w:szCs w:val="23"/>
        </w:rPr>
        <w:t>—</w:t>
      </w:r>
      <w:r>
        <w:rPr>
          <w:rFonts w:ascii="宋体" w:hAnsi="宋体" w:eastAsia="宋体" w:cs="宋体"/>
          <w:spacing w:val="-22"/>
          <w:position w:val="3"/>
          <w:sz w:val="23"/>
          <w:szCs w:val="23"/>
        </w:rPr>
        <w:t>采</w:t>
      </w:r>
      <w:r>
        <w:rPr>
          <w:rFonts w:ascii="宋体" w:hAnsi="宋体" w:eastAsia="宋体" w:cs="宋体"/>
          <w:spacing w:val="-14"/>
          <w:position w:val="3"/>
          <w:sz w:val="23"/>
          <w:szCs w:val="23"/>
        </w:rPr>
        <w:t>用</w:t>
      </w:r>
      <w:r>
        <w:rPr>
          <w:rFonts w:ascii="宋体" w:hAnsi="宋体" w:eastAsia="宋体" w:cs="宋体"/>
          <w:spacing w:val="-11"/>
          <w:position w:val="3"/>
          <w:sz w:val="23"/>
          <w:szCs w:val="23"/>
        </w:rPr>
        <w:t>估算模型计算出的第</w:t>
      </w:r>
      <w:r>
        <w:rPr>
          <w:rFonts w:ascii="Times New Roman" w:hAnsi="Times New Roman" w:eastAsia="Times New Roman" w:cs="Times New Roman"/>
          <w:spacing w:val="-11"/>
          <w:position w:val="3"/>
          <w:sz w:val="23"/>
          <w:szCs w:val="23"/>
        </w:rPr>
        <w:t>i</w:t>
      </w:r>
      <w:r>
        <w:rPr>
          <w:rFonts w:ascii="宋体" w:hAnsi="宋体" w:eastAsia="宋体" w:cs="宋体"/>
          <w:spacing w:val="-11"/>
          <w:position w:val="3"/>
          <w:sz w:val="23"/>
          <w:szCs w:val="23"/>
        </w:rPr>
        <w:t>个污染物的最大</w:t>
      </w:r>
      <w:r>
        <w:rPr>
          <w:rFonts w:ascii="Times New Roman" w:hAnsi="Times New Roman" w:eastAsia="Times New Roman" w:cs="Times New Roman"/>
          <w:spacing w:val="-11"/>
          <w:position w:val="3"/>
          <w:sz w:val="23"/>
          <w:szCs w:val="23"/>
        </w:rPr>
        <w:t>1h</w:t>
      </w:r>
      <w:r>
        <w:rPr>
          <w:rFonts w:ascii="宋体" w:hAnsi="宋体" w:eastAsia="宋体" w:cs="宋体"/>
          <w:spacing w:val="-11"/>
          <w:position w:val="3"/>
          <w:sz w:val="23"/>
          <w:szCs w:val="23"/>
        </w:rPr>
        <w:t>地面空气质量浓度，</w:t>
      </w:r>
      <w:r>
        <w:rPr>
          <w:rFonts w:ascii="Times New Roman" w:hAnsi="Times New Roman" w:eastAsia="Times New Roman" w:cs="Times New Roman"/>
          <w:spacing w:val="-11"/>
          <w:position w:val="3"/>
          <w:sz w:val="23"/>
          <w:szCs w:val="23"/>
        </w:rPr>
        <w:t>μg/m</w:t>
      </w:r>
      <w:r>
        <w:rPr>
          <w:rFonts w:ascii="Times New Roman" w:hAnsi="Times New Roman" w:eastAsia="Times New Roman" w:cs="Times New Roman"/>
          <w:spacing w:val="-11"/>
          <w:position w:val="11"/>
          <w:sz w:val="15"/>
          <w:szCs w:val="15"/>
        </w:rPr>
        <w:t>3</w:t>
      </w:r>
      <w:r>
        <w:rPr>
          <w:rFonts w:ascii="宋体" w:hAnsi="宋体" w:eastAsia="宋体" w:cs="宋体"/>
          <w:spacing w:val="-11"/>
          <w:position w:val="3"/>
          <w:sz w:val="23"/>
          <w:szCs w:val="23"/>
        </w:rPr>
        <w:t>；</w:t>
      </w:r>
    </w:p>
    <w:p w14:paraId="0CAA2730">
      <w:pPr>
        <w:spacing w:before="157" w:line="395" w:lineRule="auto"/>
        <w:ind w:left="116" w:right="37" w:firstLine="1130"/>
        <w:rPr>
          <w:rFonts w:ascii="宋体" w:hAnsi="宋体" w:eastAsia="宋体" w:cs="宋体"/>
          <w:sz w:val="23"/>
          <w:szCs w:val="23"/>
        </w:rPr>
      </w:pPr>
      <w:r>
        <w:rPr>
          <w:rFonts w:ascii="Times New Roman" w:hAnsi="Times New Roman" w:eastAsia="Times New Roman" w:cs="Times New Roman"/>
          <w:spacing w:val="-10"/>
          <w:sz w:val="23"/>
          <w:szCs w:val="23"/>
        </w:rPr>
        <w:t>C</w:t>
      </w:r>
      <w:r>
        <w:rPr>
          <w:rFonts w:ascii="Times New Roman" w:hAnsi="Times New Roman" w:eastAsia="Times New Roman" w:cs="Times New Roman"/>
          <w:spacing w:val="-10"/>
          <w:position w:val="-1"/>
          <w:sz w:val="15"/>
          <w:szCs w:val="15"/>
        </w:rPr>
        <w:t>0i</w:t>
      </w:r>
      <w:r>
        <w:rPr>
          <w:rFonts w:ascii="Times New Roman" w:hAnsi="Times New Roman" w:eastAsia="Times New Roman" w:cs="Times New Roman"/>
          <w:spacing w:val="-10"/>
          <w:sz w:val="23"/>
          <w:szCs w:val="23"/>
        </w:rPr>
        <w:t>—</w:t>
      </w:r>
      <w:r>
        <w:rPr>
          <w:rFonts w:ascii="宋体" w:hAnsi="宋体" w:eastAsia="宋体" w:cs="宋体"/>
          <w:spacing w:val="-10"/>
          <w:sz w:val="23"/>
          <w:szCs w:val="23"/>
        </w:rPr>
        <w:t xml:space="preserve">第 </w:t>
      </w:r>
      <w:r>
        <w:rPr>
          <w:rFonts w:ascii="Times New Roman" w:hAnsi="Times New Roman" w:eastAsia="Times New Roman" w:cs="Times New Roman"/>
          <w:spacing w:val="-10"/>
          <w:sz w:val="23"/>
          <w:szCs w:val="23"/>
        </w:rPr>
        <w:t xml:space="preserve">i </w:t>
      </w:r>
      <w:r>
        <w:rPr>
          <w:rFonts w:ascii="宋体" w:hAnsi="宋体" w:eastAsia="宋体" w:cs="宋体"/>
          <w:spacing w:val="-10"/>
          <w:sz w:val="23"/>
          <w:szCs w:val="23"/>
        </w:rPr>
        <w:t>个污染物的环境空气质量浓度标准，</w:t>
      </w:r>
      <w:r>
        <w:rPr>
          <w:rFonts w:ascii="Times New Roman" w:hAnsi="Times New Roman" w:eastAsia="Times New Roman" w:cs="Times New Roman"/>
          <w:spacing w:val="-10"/>
          <w:sz w:val="23"/>
          <w:szCs w:val="23"/>
        </w:rPr>
        <w:t>μg/m</w:t>
      </w:r>
      <w:r>
        <w:rPr>
          <w:rFonts w:ascii="Times New Roman" w:hAnsi="Times New Roman" w:eastAsia="Times New Roman" w:cs="Times New Roman"/>
          <w:spacing w:val="-10"/>
          <w:position w:val="8"/>
          <w:sz w:val="15"/>
          <w:szCs w:val="15"/>
        </w:rPr>
        <w:t>3</w:t>
      </w:r>
      <w:r>
        <w:rPr>
          <w:rFonts w:ascii="宋体" w:hAnsi="宋体" w:eastAsia="宋体" w:cs="宋体"/>
          <w:spacing w:val="-10"/>
          <w:sz w:val="23"/>
          <w:szCs w:val="23"/>
        </w:rPr>
        <w:t xml:space="preserve">；一般选取 </w:t>
      </w:r>
      <w:r>
        <w:rPr>
          <w:rFonts w:ascii="Times New Roman" w:hAnsi="Times New Roman" w:eastAsia="Times New Roman" w:cs="Times New Roman"/>
          <w:spacing w:val="-10"/>
          <w:sz w:val="23"/>
          <w:szCs w:val="23"/>
        </w:rPr>
        <w:t>G</w:t>
      </w:r>
      <w:r>
        <w:rPr>
          <w:rFonts w:ascii="Times New Roman" w:hAnsi="Times New Roman" w:eastAsia="Times New Roman" w:cs="Times New Roman"/>
          <w:spacing w:val="-2"/>
          <w:sz w:val="23"/>
          <w:szCs w:val="23"/>
        </w:rPr>
        <w:t>B</w:t>
      </w:r>
      <w:r>
        <w:rPr>
          <w:rFonts w:ascii="Times New Roman" w:hAnsi="Times New Roman" w:eastAsia="Times New Roman" w:cs="Times New Roman"/>
          <w:spacing w:val="-10"/>
          <w:sz w:val="23"/>
          <w:szCs w:val="23"/>
        </w:rPr>
        <w:t xml:space="preserve">3095  </w:t>
      </w:r>
      <w:r>
        <w:rPr>
          <w:rFonts w:ascii="宋体" w:hAnsi="宋体" w:eastAsia="宋体" w:cs="宋体"/>
          <w:spacing w:val="-10"/>
          <w:sz w:val="23"/>
          <w:szCs w:val="23"/>
        </w:rPr>
        <w:t>中</w:t>
      </w:r>
      <w:r>
        <w:rPr>
          <w:rFonts w:ascii="宋体" w:hAnsi="宋体" w:eastAsia="宋体" w:cs="宋体"/>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小时平均取样时间的二级标准的浓度限值，如项目位于一类环境空气功能区，应选</w:t>
      </w:r>
      <w:r>
        <w:rPr>
          <w:rFonts w:ascii="宋体" w:hAnsi="宋体" w:eastAsia="宋体" w:cs="宋体"/>
          <w:sz w:val="23"/>
          <w:szCs w:val="23"/>
        </w:rPr>
        <w:t xml:space="preserve"> </w:t>
      </w:r>
      <w:r>
        <w:rPr>
          <w:rFonts w:ascii="宋体" w:hAnsi="宋体" w:eastAsia="宋体" w:cs="宋体"/>
          <w:spacing w:val="1"/>
          <w:sz w:val="23"/>
          <w:szCs w:val="23"/>
        </w:rPr>
        <w:t>择相应的一级浓度限值；对该标准</w:t>
      </w:r>
      <w:r>
        <w:rPr>
          <w:rFonts w:ascii="宋体" w:hAnsi="宋体" w:eastAsia="宋体" w:cs="宋体"/>
          <w:sz w:val="23"/>
          <w:szCs w:val="23"/>
        </w:rPr>
        <w:t xml:space="preserve">中未包含的污染物，使用《环境影响评价技术导 </w:t>
      </w:r>
      <w:r>
        <w:rPr>
          <w:rFonts w:ascii="宋体" w:hAnsi="宋体" w:eastAsia="宋体" w:cs="宋体"/>
          <w:spacing w:val="-12"/>
          <w:sz w:val="23"/>
          <w:szCs w:val="23"/>
        </w:rPr>
        <w:t>则大</w:t>
      </w:r>
      <w:r>
        <w:rPr>
          <w:rFonts w:ascii="宋体" w:hAnsi="宋体" w:eastAsia="宋体" w:cs="宋体"/>
          <w:spacing w:val="-10"/>
          <w:sz w:val="23"/>
          <w:szCs w:val="23"/>
        </w:rPr>
        <w:t>气</w:t>
      </w:r>
      <w:r>
        <w:rPr>
          <w:rFonts w:ascii="宋体" w:hAnsi="宋体" w:eastAsia="宋体" w:cs="宋体"/>
          <w:spacing w:val="-6"/>
          <w:sz w:val="23"/>
          <w:szCs w:val="23"/>
        </w:rPr>
        <w:t>环境》 (</w:t>
      </w:r>
      <w:r>
        <w:rPr>
          <w:rFonts w:ascii="Times New Roman" w:hAnsi="Times New Roman" w:eastAsia="Times New Roman" w:cs="Times New Roman"/>
          <w:spacing w:val="-6"/>
          <w:sz w:val="23"/>
          <w:szCs w:val="23"/>
        </w:rPr>
        <w:t>HJ2.2-2018</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 xml:space="preserve">5.2 </w:t>
      </w:r>
      <w:r>
        <w:rPr>
          <w:rFonts w:ascii="宋体" w:hAnsi="宋体" w:eastAsia="宋体" w:cs="宋体"/>
          <w:spacing w:val="-6"/>
          <w:sz w:val="23"/>
          <w:szCs w:val="23"/>
        </w:rPr>
        <w:t xml:space="preserve">确定的各评价因子 </w:t>
      </w:r>
      <w:r>
        <w:rPr>
          <w:rFonts w:ascii="Times New Roman" w:hAnsi="Times New Roman" w:eastAsia="Times New Roman" w:cs="Times New Roman"/>
          <w:spacing w:val="-6"/>
          <w:sz w:val="23"/>
          <w:szCs w:val="23"/>
        </w:rPr>
        <w:t xml:space="preserve">1h </w:t>
      </w:r>
      <w:r>
        <w:rPr>
          <w:rFonts w:ascii="宋体" w:hAnsi="宋体" w:eastAsia="宋体" w:cs="宋体"/>
          <w:spacing w:val="-6"/>
          <w:sz w:val="23"/>
          <w:szCs w:val="23"/>
        </w:rPr>
        <w:t xml:space="preserve">平均质量浓度限值。对仅有 </w:t>
      </w:r>
      <w:r>
        <w:rPr>
          <w:rFonts w:ascii="Times New Roman" w:hAnsi="Times New Roman" w:eastAsia="Times New Roman" w:cs="Times New Roman"/>
          <w:spacing w:val="-6"/>
          <w:sz w:val="23"/>
          <w:szCs w:val="23"/>
        </w:rPr>
        <w:t>8h</w:t>
      </w:r>
      <w:r>
        <w:rPr>
          <w:rFonts w:ascii="Times New Roman" w:hAnsi="Times New Roman" w:eastAsia="Times New Roman" w:cs="Times New Roman"/>
          <w:sz w:val="23"/>
          <w:szCs w:val="23"/>
        </w:rPr>
        <w:t xml:space="preserve"> </w:t>
      </w:r>
      <w:r>
        <w:rPr>
          <w:rFonts w:ascii="宋体" w:hAnsi="宋体" w:eastAsia="宋体" w:cs="宋体"/>
          <w:spacing w:val="-9"/>
          <w:sz w:val="23"/>
          <w:szCs w:val="23"/>
        </w:rPr>
        <w:t>平</w:t>
      </w:r>
      <w:r>
        <w:rPr>
          <w:rFonts w:ascii="宋体" w:hAnsi="宋体" w:eastAsia="宋体" w:cs="宋体"/>
          <w:spacing w:val="-5"/>
          <w:sz w:val="23"/>
          <w:szCs w:val="23"/>
        </w:rPr>
        <w:t xml:space="preserve">均质量浓度限值、日平均质量浓度限值或年平均质量浓度限值的，可分别按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倍、</w:t>
      </w:r>
      <w:r>
        <w:rPr>
          <w:rFonts w:ascii="宋体" w:hAnsi="宋体" w:eastAsia="宋体" w:cs="宋体"/>
          <w:sz w:val="23"/>
          <w:szCs w:val="23"/>
        </w:rPr>
        <w:t xml:space="preserve"> </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倍</w:t>
      </w:r>
      <w:r>
        <w:rPr>
          <w:rFonts w:ascii="宋体" w:hAnsi="宋体" w:eastAsia="宋体" w:cs="宋体"/>
          <w:spacing w:val="-5"/>
          <w:sz w:val="23"/>
          <w:szCs w:val="23"/>
        </w:rPr>
        <w:t>、</w:t>
      </w:r>
      <w:r>
        <w:rPr>
          <w:rFonts w:ascii="Times New Roman" w:hAnsi="Times New Roman" w:eastAsia="Times New Roman" w:cs="Times New Roman"/>
          <w:spacing w:val="-4"/>
          <w:sz w:val="23"/>
          <w:szCs w:val="23"/>
        </w:rPr>
        <w:t xml:space="preserve">6 </w:t>
      </w:r>
      <w:r>
        <w:rPr>
          <w:rFonts w:ascii="宋体" w:hAnsi="宋体" w:eastAsia="宋体" w:cs="宋体"/>
          <w:spacing w:val="-4"/>
          <w:sz w:val="23"/>
          <w:szCs w:val="23"/>
        </w:rPr>
        <w:t xml:space="preserve">倍折算为 </w:t>
      </w:r>
      <w:r>
        <w:rPr>
          <w:rFonts w:ascii="Times New Roman" w:hAnsi="Times New Roman" w:eastAsia="Times New Roman" w:cs="Times New Roman"/>
          <w:spacing w:val="-4"/>
          <w:sz w:val="23"/>
          <w:szCs w:val="23"/>
        </w:rPr>
        <w:t xml:space="preserve">1h </w:t>
      </w:r>
      <w:r>
        <w:rPr>
          <w:rFonts w:ascii="宋体" w:hAnsi="宋体" w:eastAsia="宋体" w:cs="宋体"/>
          <w:spacing w:val="-4"/>
          <w:sz w:val="23"/>
          <w:szCs w:val="23"/>
        </w:rPr>
        <w:t>平均质量浓度限值。</w:t>
      </w:r>
    </w:p>
    <w:p w14:paraId="6B1DE599">
      <w:pPr>
        <w:spacing w:before="139" w:line="393" w:lineRule="auto"/>
        <w:ind w:left="117" w:right="107" w:firstLine="452"/>
        <w:rPr>
          <w:rFonts w:ascii="宋体" w:hAnsi="宋体" w:eastAsia="宋体" w:cs="宋体"/>
          <w:sz w:val="23"/>
          <w:szCs w:val="23"/>
        </w:rPr>
      </w:pPr>
      <w:r>
        <w:rPr>
          <w:rFonts w:ascii="宋体" w:hAnsi="宋体" w:eastAsia="宋体" w:cs="宋体"/>
          <w:spacing w:val="-3"/>
          <w:sz w:val="23"/>
          <w:szCs w:val="23"/>
        </w:rPr>
        <w:t xml:space="preserve">本次大气环境影响评价采用估算模式 </w:t>
      </w:r>
      <w:r>
        <w:rPr>
          <w:rFonts w:ascii="Times New Roman" w:hAnsi="Times New Roman" w:eastAsia="Times New Roman" w:cs="Times New Roman"/>
          <w:spacing w:val="-3"/>
          <w:sz w:val="23"/>
          <w:szCs w:val="23"/>
        </w:rPr>
        <w:t>AERSCR</w:t>
      </w:r>
      <w:r>
        <w:rPr>
          <w:rFonts w:ascii="Times New Roman" w:hAnsi="Times New Roman" w:eastAsia="Times New Roman" w:cs="Times New Roman"/>
          <w:spacing w:val="-2"/>
          <w:sz w:val="23"/>
          <w:szCs w:val="23"/>
        </w:rPr>
        <w:t>E</w:t>
      </w:r>
      <w:r>
        <w:rPr>
          <w:rFonts w:ascii="Times New Roman" w:hAnsi="Times New Roman" w:eastAsia="Times New Roman" w:cs="Times New Roman"/>
          <w:sz w:val="23"/>
          <w:szCs w:val="23"/>
        </w:rPr>
        <w:t>EN</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，对项目产生的废气对大气</w:t>
      </w:r>
      <w:r>
        <w:rPr>
          <w:rFonts w:ascii="宋体" w:hAnsi="宋体" w:eastAsia="宋体" w:cs="宋体"/>
          <w:sz w:val="23"/>
          <w:szCs w:val="23"/>
        </w:rPr>
        <w:t xml:space="preserve"> </w:t>
      </w:r>
      <w:r>
        <w:rPr>
          <w:rFonts w:ascii="宋体" w:hAnsi="宋体" w:eastAsia="宋体" w:cs="宋体"/>
          <w:spacing w:val="-10"/>
          <w:sz w:val="23"/>
          <w:szCs w:val="23"/>
        </w:rPr>
        <w:t>环</w:t>
      </w:r>
      <w:r>
        <w:rPr>
          <w:rFonts w:ascii="宋体" w:hAnsi="宋体" w:eastAsia="宋体" w:cs="宋体"/>
          <w:spacing w:val="-9"/>
          <w:sz w:val="23"/>
          <w:szCs w:val="23"/>
        </w:rPr>
        <w:t>境</w:t>
      </w:r>
      <w:r>
        <w:rPr>
          <w:rFonts w:ascii="宋体" w:hAnsi="宋体" w:eastAsia="宋体" w:cs="宋体"/>
          <w:spacing w:val="-5"/>
          <w:sz w:val="23"/>
          <w:szCs w:val="23"/>
        </w:rPr>
        <w:t xml:space="preserve">的影响进行预测。估算模型参数见表 </w:t>
      </w:r>
      <w:r>
        <w:rPr>
          <w:rFonts w:ascii="Times New Roman" w:hAnsi="Times New Roman" w:eastAsia="Times New Roman" w:cs="Times New Roman"/>
          <w:spacing w:val="-5"/>
          <w:sz w:val="23"/>
          <w:szCs w:val="23"/>
        </w:rPr>
        <w:t>2-15</w:t>
      </w:r>
      <w:r>
        <w:rPr>
          <w:rFonts w:ascii="宋体" w:hAnsi="宋体" w:eastAsia="宋体" w:cs="宋体"/>
          <w:spacing w:val="-5"/>
          <w:sz w:val="23"/>
          <w:szCs w:val="23"/>
        </w:rPr>
        <w:t>。</w:t>
      </w:r>
    </w:p>
    <w:p w14:paraId="63189081">
      <w:pPr>
        <w:spacing w:before="145" w:line="226" w:lineRule="auto"/>
        <w:ind w:left="288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2-15</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估算模型参数表</w:t>
      </w:r>
    </w:p>
    <w:p w14:paraId="7A94B18F">
      <w:pPr>
        <w:spacing w:line="20"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0"/>
        <w:gridCol w:w="2841"/>
        <w:gridCol w:w="2841"/>
      </w:tblGrid>
      <w:tr w14:paraId="42719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5681" w:type="dxa"/>
            <w:gridSpan w:val="2"/>
            <w:tcBorders>
              <w:left w:val="nil"/>
            </w:tcBorders>
            <w:vAlign w:val="top"/>
          </w:tcPr>
          <w:p w14:paraId="30DC866A">
            <w:pPr>
              <w:spacing w:before="86" w:line="207" w:lineRule="auto"/>
              <w:ind w:left="265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参</w:t>
            </w:r>
            <w:r>
              <w:rPr>
                <w:rFonts w:ascii="宋体" w:hAnsi="宋体" w:eastAsia="宋体" w:cs="宋体"/>
                <w:sz w:val="20"/>
                <w:szCs w:val="20"/>
                <w14:textOutline w14:w="3795" w14:cap="sq" w14:cmpd="sng">
                  <w14:solidFill>
                    <w14:srgbClr w14:val="000000"/>
                  </w14:solidFill>
                  <w14:prstDash w14:val="solid"/>
                  <w14:bevel/>
                </w14:textOutline>
              </w:rPr>
              <w:t>数</w:t>
            </w:r>
          </w:p>
        </w:tc>
        <w:tc>
          <w:tcPr>
            <w:tcW w:w="2841" w:type="dxa"/>
            <w:tcBorders>
              <w:right w:val="nil"/>
            </w:tcBorders>
            <w:vAlign w:val="top"/>
          </w:tcPr>
          <w:p w14:paraId="0BEA9A50">
            <w:pPr>
              <w:spacing w:before="86" w:line="207" w:lineRule="auto"/>
              <w:ind w:left="1231"/>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取值</w:t>
            </w:r>
          </w:p>
        </w:tc>
      </w:tr>
      <w:tr w14:paraId="12AEE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840" w:type="dxa"/>
            <w:vMerge w:val="restart"/>
            <w:tcBorders>
              <w:left w:val="nil"/>
              <w:bottom w:val="nil"/>
            </w:tcBorders>
            <w:vAlign w:val="top"/>
          </w:tcPr>
          <w:p w14:paraId="3188DF9E">
            <w:pPr>
              <w:spacing w:before="165" w:line="281" w:lineRule="exact"/>
              <w:ind w:left="814"/>
              <w:rPr>
                <w:rFonts w:ascii="宋体" w:hAnsi="宋体" w:eastAsia="宋体" w:cs="宋体"/>
                <w:sz w:val="20"/>
                <w:szCs w:val="20"/>
              </w:rPr>
            </w:pPr>
            <w:r>
              <w:rPr>
                <w:rFonts w:ascii="宋体" w:hAnsi="宋体" w:eastAsia="宋体" w:cs="宋体"/>
                <w:spacing w:val="-4"/>
                <w:position w:val="1"/>
                <w:sz w:val="20"/>
                <w:szCs w:val="20"/>
              </w:rPr>
              <w:t>农村</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城市选项</w:t>
            </w:r>
          </w:p>
        </w:tc>
        <w:tc>
          <w:tcPr>
            <w:tcW w:w="2841" w:type="dxa"/>
            <w:vAlign w:val="top"/>
          </w:tcPr>
          <w:p w14:paraId="31636697">
            <w:pPr>
              <w:spacing w:before="24" w:line="281" w:lineRule="exact"/>
              <w:ind w:left="1008"/>
              <w:rPr>
                <w:rFonts w:ascii="宋体" w:hAnsi="宋体" w:eastAsia="宋体" w:cs="宋体"/>
                <w:sz w:val="20"/>
                <w:szCs w:val="20"/>
              </w:rPr>
            </w:pPr>
            <w:r>
              <w:rPr>
                <w:rFonts w:ascii="宋体" w:hAnsi="宋体" w:eastAsia="宋体" w:cs="宋体"/>
                <w:spacing w:val="-2"/>
                <w:position w:val="1"/>
                <w:sz w:val="20"/>
                <w:szCs w:val="20"/>
              </w:rPr>
              <w:t>城市</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农</w:t>
            </w:r>
            <w:r>
              <w:rPr>
                <w:rFonts w:ascii="宋体" w:hAnsi="宋体" w:eastAsia="宋体" w:cs="宋体"/>
                <w:spacing w:val="-1"/>
                <w:position w:val="1"/>
                <w:sz w:val="20"/>
                <w:szCs w:val="20"/>
              </w:rPr>
              <w:t>村</w:t>
            </w:r>
          </w:p>
        </w:tc>
        <w:tc>
          <w:tcPr>
            <w:tcW w:w="2841" w:type="dxa"/>
            <w:tcBorders>
              <w:right w:val="nil"/>
            </w:tcBorders>
            <w:vAlign w:val="top"/>
          </w:tcPr>
          <w:p w14:paraId="32B48709">
            <w:pPr>
              <w:spacing w:before="61" w:line="226" w:lineRule="auto"/>
              <w:ind w:left="1229"/>
              <w:rPr>
                <w:rFonts w:ascii="宋体" w:hAnsi="宋体" w:eastAsia="宋体" w:cs="宋体"/>
                <w:sz w:val="20"/>
                <w:szCs w:val="20"/>
              </w:rPr>
            </w:pPr>
            <w:r>
              <w:rPr>
                <w:rFonts w:ascii="宋体" w:hAnsi="宋体" w:eastAsia="宋体" w:cs="宋体"/>
                <w:sz w:val="20"/>
                <w:szCs w:val="20"/>
              </w:rPr>
              <w:t>农村</w:t>
            </w:r>
          </w:p>
        </w:tc>
      </w:tr>
      <w:tr w14:paraId="34009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840" w:type="dxa"/>
            <w:vMerge w:val="continue"/>
            <w:tcBorders>
              <w:top w:val="nil"/>
              <w:left w:val="nil"/>
            </w:tcBorders>
            <w:vAlign w:val="top"/>
          </w:tcPr>
          <w:p w14:paraId="74067DF7">
            <w:pPr>
              <w:rPr>
                <w:rFonts w:ascii="Arial"/>
                <w:sz w:val="21"/>
              </w:rPr>
            </w:pPr>
          </w:p>
        </w:tc>
        <w:tc>
          <w:tcPr>
            <w:tcW w:w="2841" w:type="dxa"/>
            <w:vAlign w:val="top"/>
          </w:tcPr>
          <w:p w14:paraId="149539FE">
            <w:pPr>
              <w:spacing w:before="62" w:line="226" w:lineRule="auto"/>
              <w:ind w:left="448"/>
              <w:rPr>
                <w:rFonts w:ascii="宋体" w:hAnsi="宋体" w:eastAsia="宋体" w:cs="宋体"/>
                <w:sz w:val="20"/>
                <w:szCs w:val="20"/>
              </w:rPr>
            </w:pPr>
            <w:r>
              <w:rPr>
                <w:rFonts w:ascii="宋体" w:hAnsi="宋体" w:eastAsia="宋体" w:cs="宋体"/>
                <w:spacing w:val="-4"/>
                <w:sz w:val="20"/>
                <w:szCs w:val="20"/>
              </w:rPr>
              <w:t>人口</w:t>
            </w:r>
            <w:r>
              <w:rPr>
                <w:rFonts w:ascii="宋体" w:hAnsi="宋体" w:eastAsia="宋体" w:cs="宋体"/>
                <w:spacing w:val="-3"/>
                <w:sz w:val="20"/>
                <w:szCs w:val="20"/>
              </w:rPr>
              <w:t>数</w:t>
            </w:r>
            <w:r>
              <w:rPr>
                <w:rFonts w:ascii="宋体" w:hAnsi="宋体" w:eastAsia="宋体" w:cs="宋体"/>
                <w:spacing w:val="-2"/>
                <w:sz w:val="20"/>
                <w:szCs w:val="20"/>
              </w:rPr>
              <w:t xml:space="preserve"> (城市选项时)</w:t>
            </w:r>
          </w:p>
        </w:tc>
        <w:tc>
          <w:tcPr>
            <w:tcW w:w="2841" w:type="dxa"/>
            <w:tcBorders>
              <w:right w:val="nil"/>
            </w:tcBorders>
            <w:vAlign w:val="top"/>
          </w:tcPr>
          <w:p w14:paraId="179C8B3A">
            <w:pPr>
              <w:spacing w:before="25" w:line="281" w:lineRule="exact"/>
              <w:ind w:left="13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446CC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681" w:type="dxa"/>
            <w:gridSpan w:val="2"/>
            <w:tcBorders>
              <w:left w:val="nil"/>
            </w:tcBorders>
            <w:vAlign w:val="top"/>
          </w:tcPr>
          <w:p w14:paraId="2AF76F31">
            <w:pPr>
              <w:spacing w:before="25" w:line="280" w:lineRule="exact"/>
              <w:ind w:left="2134"/>
              <w:rPr>
                <w:rFonts w:ascii="Times New Roman" w:hAnsi="Times New Roman" w:eastAsia="Times New Roman" w:cs="Times New Roman"/>
                <w:sz w:val="20"/>
                <w:szCs w:val="20"/>
              </w:rPr>
            </w:pPr>
            <w:r>
              <w:rPr>
                <w:rFonts w:ascii="宋体" w:hAnsi="宋体" w:eastAsia="宋体" w:cs="宋体"/>
                <w:spacing w:val="-6"/>
                <w:position w:val="1"/>
                <w:sz w:val="20"/>
                <w:szCs w:val="20"/>
              </w:rPr>
              <w:t>最</w:t>
            </w:r>
            <w:r>
              <w:rPr>
                <w:rFonts w:ascii="宋体" w:hAnsi="宋体" w:eastAsia="宋体" w:cs="宋体"/>
                <w:spacing w:val="-3"/>
                <w:position w:val="1"/>
                <w:sz w:val="20"/>
                <w:szCs w:val="20"/>
              </w:rPr>
              <w:t>高环境温度</w:t>
            </w:r>
            <w:r>
              <w:rPr>
                <w:rFonts w:ascii="Times New Roman" w:hAnsi="Times New Roman" w:eastAsia="Times New Roman" w:cs="Times New Roman"/>
                <w:spacing w:val="-3"/>
                <w:position w:val="1"/>
                <w:sz w:val="20"/>
                <w:szCs w:val="20"/>
              </w:rPr>
              <w:t>/℃</w:t>
            </w:r>
          </w:p>
        </w:tc>
        <w:tc>
          <w:tcPr>
            <w:tcW w:w="2841" w:type="dxa"/>
            <w:tcBorders>
              <w:right w:val="nil"/>
            </w:tcBorders>
            <w:vAlign w:val="top"/>
          </w:tcPr>
          <w:p w14:paraId="236F042B">
            <w:pPr>
              <w:spacing w:before="98"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37 </w:t>
            </w:r>
            <w:r>
              <w:rPr>
                <w:rFonts w:ascii="Times New Roman" w:hAnsi="Times New Roman" w:eastAsia="Times New Roman" w:cs="Times New Roman"/>
                <w:sz w:val="20"/>
                <w:szCs w:val="20"/>
              </w:rPr>
              <w:t>3</w:t>
            </w:r>
          </w:p>
        </w:tc>
      </w:tr>
      <w:tr w14:paraId="1F29E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681" w:type="dxa"/>
            <w:gridSpan w:val="2"/>
            <w:tcBorders>
              <w:left w:val="nil"/>
            </w:tcBorders>
            <w:vAlign w:val="top"/>
          </w:tcPr>
          <w:p w14:paraId="23791213">
            <w:pPr>
              <w:spacing w:before="26" w:line="281" w:lineRule="exact"/>
              <w:ind w:left="2134"/>
              <w:rPr>
                <w:rFonts w:ascii="Times New Roman" w:hAnsi="Times New Roman" w:eastAsia="Times New Roman" w:cs="Times New Roman"/>
                <w:sz w:val="20"/>
                <w:szCs w:val="20"/>
              </w:rPr>
            </w:pPr>
            <w:r>
              <w:rPr>
                <w:rFonts w:ascii="宋体" w:hAnsi="宋体" w:eastAsia="宋体" w:cs="宋体"/>
                <w:spacing w:val="-6"/>
                <w:position w:val="1"/>
                <w:sz w:val="20"/>
                <w:szCs w:val="20"/>
              </w:rPr>
              <w:t>最</w:t>
            </w:r>
            <w:r>
              <w:rPr>
                <w:rFonts w:ascii="宋体" w:hAnsi="宋体" w:eastAsia="宋体" w:cs="宋体"/>
                <w:spacing w:val="-3"/>
                <w:position w:val="1"/>
                <w:sz w:val="20"/>
                <w:szCs w:val="20"/>
              </w:rPr>
              <w:t>低环境温度</w:t>
            </w:r>
            <w:r>
              <w:rPr>
                <w:rFonts w:ascii="Times New Roman" w:hAnsi="Times New Roman" w:eastAsia="Times New Roman" w:cs="Times New Roman"/>
                <w:spacing w:val="-3"/>
                <w:position w:val="1"/>
                <w:sz w:val="20"/>
                <w:szCs w:val="20"/>
              </w:rPr>
              <w:t>/℃</w:t>
            </w:r>
          </w:p>
        </w:tc>
        <w:tc>
          <w:tcPr>
            <w:tcW w:w="2841" w:type="dxa"/>
            <w:tcBorders>
              <w:right w:val="nil"/>
            </w:tcBorders>
            <w:vAlign w:val="top"/>
          </w:tcPr>
          <w:p w14:paraId="1CD17ED9">
            <w:pPr>
              <w:spacing w:before="99" w:line="195"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5 6</w:t>
            </w:r>
          </w:p>
        </w:tc>
      </w:tr>
      <w:tr w14:paraId="62F87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681" w:type="dxa"/>
            <w:gridSpan w:val="2"/>
            <w:tcBorders>
              <w:left w:val="nil"/>
            </w:tcBorders>
            <w:vAlign w:val="top"/>
          </w:tcPr>
          <w:p w14:paraId="21B2D3E9">
            <w:pPr>
              <w:spacing w:before="63" w:line="225" w:lineRule="auto"/>
              <w:ind w:left="2260"/>
              <w:rPr>
                <w:rFonts w:ascii="宋体" w:hAnsi="宋体" w:eastAsia="宋体" w:cs="宋体"/>
                <w:sz w:val="20"/>
                <w:szCs w:val="20"/>
              </w:rPr>
            </w:pPr>
            <w:r>
              <w:rPr>
                <w:rFonts w:ascii="宋体" w:hAnsi="宋体" w:eastAsia="宋体" w:cs="宋体"/>
                <w:spacing w:val="-3"/>
                <w:sz w:val="20"/>
                <w:szCs w:val="20"/>
              </w:rPr>
              <w:t>土</w:t>
            </w:r>
            <w:r>
              <w:rPr>
                <w:rFonts w:ascii="宋体" w:hAnsi="宋体" w:eastAsia="宋体" w:cs="宋体"/>
                <w:spacing w:val="-2"/>
                <w:sz w:val="20"/>
                <w:szCs w:val="20"/>
              </w:rPr>
              <w:t>地利用类型</w:t>
            </w:r>
          </w:p>
        </w:tc>
        <w:tc>
          <w:tcPr>
            <w:tcW w:w="2841" w:type="dxa"/>
            <w:tcBorders>
              <w:right w:val="nil"/>
            </w:tcBorders>
            <w:vAlign w:val="top"/>
          </w:tcPr>
          <w:p w14:paraId="78A6B868">
            <w:pPr>
              <w:spacing w:before="63" w:line="225" w:lineRule="auto"/>
              <w:ind w:left="1131"/>
              <w:rPr>
                <w:rFonts w:ascii="宋体" w:hAnsi="宋体" w:eastAsia="宋体" w:cs="宋体"/>
                <w:sz w:val="20"/>
                <w:szCs w:val="20"/>
              </w:rPr>
            </w:pPr>
            <w:r>
              <w:rPr>
                <w:rFonts w:ascii="宋体" w:hAnsi="宋体" w:eastAsia="宋体" w:cs="宋体"/>
                <w:spacing w:val="-1"/>
                <w:sz w:val="20"/>
                <w:szCs w:val="20"/>
              </w:rPr>
              <w:t>农作地</w:t>
            </w:r>
          </w:p>
        </w:tc>
      </w:tr>
      <w:tr w14:paraId="4434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681" w:type="dxa"/>
            <w:gridSpan w:val="2"/>
            <w:tcBorders>
              <w:left w:val="nil"/>
            </w:tcBorders>
            <w:vAlign w:val="top"/>
          </w:tcPr>
          <w:p w14:paraId="16902324">
            <w:pPr>
              <w:spacing w:before="63" w:line="225" w:lineRule="auto"/>
              <w:ind w:left="2274"/>
              <w:rPr>
                <w:rFonts w:ascii="宋体" w:hAnsi="宋体" w:eastAsia="宋体" w:cs="宋体"/>
                <w:sz w:val="20"/>
                <w:szCs w:val="20"/>
              </w:rPr>
            </w:pPr>
            <w:r>
              <w:rPr>
                <w:rFonts w:ascii="宋体" w:hAnsi="宋体" w:eastAsia="宋体" w:cs="宋体"/>
                <w:spacing w:val="-8"/>
                <w:sz w:val="20"/>
                <w:szCs w:val="20"/>
              </w:rPr>
              <w:t>区</w:t>
            </w:r>
            <w:r>
              <w:rPr>
                <w:rFonts w:ascii="宋体" w:hAnsi="宋体" w:eastAsia="宋体" w:cs="宋体"/>
                <w:spacing w:val="-4"/>
                <w:sz w:val="20"/>
                <w:szCs w:val="20"/>
              </w:rPr>
              <w:t>域湿度条件</w:t>
            </w:r>
          </w:p>
        </w:tc>
        <w:tc>
          <w:tcPr>
            <w:tcW w:w="2841" w:type="dxa"/>
            <w:tcBorders>
              <w:right w:val="nil"/>
            </w:tcBorders>
            <w:vAlign w:val="top"/>
          </w:tcPr>
          <w:p w14:paraId="214310AE">
            <w:pPr>
              <w:spacing w:before="63" w:line="225" w:lineRule="auto"/>
              <w:ind w:left="857"/>
              <w:rPr>
                <w:rFonts w:ascii="宋体" w:hAnsi="宋体" w:eastAsia="宋体" w:cs="宋体"/>
                <w:sz w:val="20"/>
                <w:szCs w:val="20"/>
              </w:rPr>
            </w:pPr>
            <w:r>
              <w:rPr>
                <w:rFonts w:ascii="宋体" w:hAnsi="宋体" w:eastAsia="宋体" w:cs="宋体"/>
                <w:spacing w:val="-7"/>
                <w:sz w:val="20"/>
                <w:szCs w:val="20"/>
              </w:rPr>
              <w:t>中</w:t>
            </w:r>
            <w:r>
              <w:rPr>
                <w:rFonts w:ascii="宋体" w:hAnsi="宋体" w:eastAsia="宋体" w:cs="宋体"/>
                <w:spacing w:val="-5"/>
                <w:sz w:val="20"/>
                <w:szCs w:val="20"/>
              </w:rPr>
              <w:t>等湿度气候</w:t>
            </w:r>
          </w:p>
        </w:tc>
      </w:tr>
      <w:tr w14:paraId="0B66F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840" w:type="dxa"/>
            <w:vMerge w:val="restart"/>
            <w:tcBorders>
              <w:left w:val="nil"/>
              <w:bottom w:val="nil"/>
            </w:tcBorders>
            <w:vAlign w:val="top"/>
          </w:tcPr>
          <w:p w14:paraId="69C4BC8D">
            <w:pPr>
              <w:spacing w:before="205" w:line="227" w:lineRule="auto"/>
              <w:ind w:left="844"/>
              <w:rPr>
                <w:rFonts w:ascii="宋体" w:hAnsi="宋体" w:eastAsia="宋体" w:cs="宋体"/>
                <w:sz w:val="20"/>
                <w:szCs w:val="20"/>
              </w:rPr>
            </w:pPr>
            <w:r>
              <w:rPr>
                <w:rFonts w:ascii="宋体" w:hAnsi="宋体" w:eastAsia="宋体" w:cs="宋体"/>
                <w:spacing w:val="-4"/>
                <w:sz w:val="20"/>
                <w:szCs w:val="20"/>
              </w:rPr>
              <w:t>是否</w:t>
            </w:r>
            <w:r>
              <w:rPr>
                <w:rFonts w:ascii="宋体" w:hAnsi="宋体" w:eastAsia="宋体" w:cs="宋体"/>
                <w:spacing w:val="-2"/>
                <w:sz w:val="20"/>
                <w:szCs w:val="20"/>
              </w:rPr>
              <w:t>考虑地形</w:t>
            </w:r>
          </w:p>
        </w:tc>
        <w:tc>
          <w:tcPr>
            <w:tcW w:w="2841" w:type="dxa"/>
            <w:vAlign w:val="top"/>
          </w:tcPr>
          <w:p w14:paraId="131361C8">
            <w:pPr>
              <w:spacing w:before="63" w:line="225" w:lineRule="auto"/>
              <w:ind w:left="1034"/>
              <w:rPr>
                <w:rFonts w:ascii="宋体" w:hAnsi="宋体" w:eastAsia="宋体" w:cs="宋体"/>
                <w:sz w:val="20"/>
                <w:szCs w:val="20"/>
              </w:rPr>
            </w:pPr>
            <w:r>
              <w:rPr>
                <w:rFonts w:ascii="宋体" w:hAnsi="宋体" w:eastAsia="宋体" w:cs="宋体"/>
                <w:spacing w:val="-2"/>
                <w:sz w:val="20"/>
                <w:szCs w:val="20"/>
              </w:rPr>
              <w:t>考虑</w:t>
            </w:r>
            <w:r>
              <w:rPr>
                <w:rFonts w:ascii="宋体" w:hAnsi="宋体" w:eastAsia="宋体" w:cs="宋体"/>
                <w:spacing w:val="-1"/>
                <w:sz w:val="20"/>
                <w:szCs w:val="20"/>
              </w:rPr>
              <w:t>地形</w:t>
            </w:r>
          </w:p>
        </w:tc>
        <w:tc>
          <w:tcPr>
            <w:tcW w:w="2841" w:type="dxa"/>
            <w:tcBorders>
              <w:right w:val="nil"/>
            </w:tcBorders>
            <w:vAlign w:val="top"/>
          </w:tcPr>
          <w:p w14:paraId="6FE12D2C">
            <w:pPr>
              <w:spacing w:before="63" w:line="225" w:lineRule="auto"/>
              <w:ind w:left="976"/>
              <w:rPr>
                <w:rFonts w:ascii="宋体" w:hAnsi="宋体" w:eastAsia="宋体" w:cs="宋体"/>
                <w:sz w:val="20"/>
                <w:szCs w:val="20"/>
              </w:rPr>
            </w:pP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是  </w:t>
            </w:r>
            <w:r>
              <w:rPr>
                <w:rFonts w:ascii="MS UI Gothic" w:hAnsi="MS UI Gothic" w:eastAsia="MS UI Gothic" w:cs="MS UI Gothic"/>
                <w:spacing w:val="-1"/>
                <w:sz w:val="20"/>
                <w:szCs w:val="20"/>
              </w:rPr>
              <w:t>☑</w:t>
            </w:r>
            <w:r>
              <w:rPr>
                <w:rFonts w:ascii="宋体" w:hAnsi="宋体" w:eastAsia="宋体" w:cs="宋体"/>
                <w:spacing w:val="-1"/>
                <w:sz w:val="20"/>
                <w:szCs w:val="20"/>
              </w:rPr>
              <w:t>否</w:t>
            </w:r>
          </w:p>
        </w:tc>
      </w:tr>
      <w:tr w14:paraId="4C865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840" w:type="dxa"/>
            <w:vMerge w:val="continue"/>
            <w:tcBorders>
              <w:top w:val="nil"/>
              <w:left w:val="nil"/>
            </w:tcBorders>
            <w:vAlign w:val="top"/>
          </w:tcPr>
          <w:p w14:paraId="78854292">
            <w:pPr>
              <w:rPr>
                <w:rFonts w:ascii="Arial"/>
                <w:sz w:val="21"/>
              </w:rPr>
            </w:pPr>
          </w:p>
        </w:tc>
        <w:tc>
          <w:tcPr>
            <w:tcW w:w="2841" w:type="dxa"/>
            <w:vAlign w:val="top"/>
          </w:tcPr>
          <w:p w14:paraId="3E388DA2">
            <w:pPr>
              <w:spacing w:before="26" w:line="279" w:lineRule="exact"/>
              <w:ind w:left="636"/>
              <w:rPr>
                <w:rFonts w:ascii="Times New Roman" w:hAnsi="Times New Roman" w:eastAsia="Times New Roman" w:cs="Times New Roman"/>
                <w:sz w:val="20"/>
                <w:szCs w:val="20"/>
              </w:rPr>
            </w:pPr>
            <w:r>
              <w:rPr>
                <w:rFonts w:ascii="宋体" w:hAnsi="宋体" w:eastAsia="宋体" w:cs="宋体"/>
                <w:spacing w:val="-4"/>
                <w:position w:val="1"/>
                <w:sz w:val="20"/>
                <w:szCs w:val="20"/>
              </w:rPr>
              <w:t>地形数</w:t>
            </w:r>
            <w:r>
              <w:rPr>
                <w:rFonts w:ascii="宋体" w:hAnsi="宋体" w:eastAsia="宋体" w:cs="宋体"/>
                <w:spacing w:val="-3"/>
                <w:position w:val="1"/>
                <w:sz w:val="20"/>
                <w:szCs w:val="20"/>
              </w:rPr>
              <w:t>据</w:t>
            </w:r>
            <w:r>
              <w:rPr>
                <w:rFonts w:ascii="宋体" w:hAnsi="宋体" w:eastAsia="宋体" w:cs="宋体"/>
                <w:spacing w:val="-2"/>
                <w:position w:val="1"/>
                <w:sz w:val="20"/>
                <w:szCs w:val="20"/>
              </w:rPr>
              <w:t>分辨率</w:t>
            </w:r>
            <w:r>
              <w:rPr>
                <w:rFonts w:ascii="Times New Roman" w:hAnsi="Times New Roman" w:eastAsia="Times New Roman" w:cs="Times New Roman"/>
                <w:spacing w:val="-2"/>
                <w:position w:val="1"/>
                <w:sz w:val="20"/>
                <w:szCs w:val="20"/>
              </w:rPr>
              <w:t>/m</w:t>
            </w:r>
          </w:p>
        </w:tc>
        <w:tc>
          <w:tcPr>
            <w:tcW w:w="2841" w:type="dxa"/>
            <w:tcBorders>
              <w:right w:val="nil"/>
            </w:tcBorders>
            <w:vAlign w:val="top"/>
          </w:tcPr>
          <w:p w14:paraId="7D009BD1">
            <w:pPr>
              <w:spacing w:before="26" w:line="279" w:lineRule="exact"/>
              <w:ind w:left="13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9A9A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840" w:type="dxa"/>
            <w:vMerge w:val="restart"/>
            <w:tcBorders>
              <w:left w:val="nil"/>
              <w:bottom w:val="nil"/>
            </w:tcBorders>
            <w:vAlign w:val="top"/>
          </w:tcPr>
          <w:p w14:paraId="30129668">
            <w:pPr>
              <w:spacing w:line="295" w:lineRule="auto"/>
              <w:rPr>
                <w:rFonts w:ascii="Arial"/>
                <w:sz w:val="21"/>
              </w:rPr>
            </w:pPr>
          </w:p>
          <w:p w14:paraId="228709FD">
            <w:pPr>
              <w:spacing w:before="65" w:line="227" w:lineRule="auto"/>
              <w:ind w:left="647"/>
              <w:rPr>
                <w:rFonts w:ascii="宋体" w:hAnsi="宋体" w:eastAsia="宋体" w:cs="宋体"/>
                <w:sz w:val="20"/>
                <w:szCs w:val="20"/>
              </w:rPr>
            </w:pPr>
            <w:r>
              <w:rPr>
                <w:rFonts w:ascii="宋体" w:hAnsi="宋体" w:eastAsia="宋体" w:cs="宋体"/>
                <w:spacing w:val="-4"/>
                <w:sz w:val="20"/>
                <w:szCs w:val="20"/>
              </w:rPr>
              <w:t>是否考</w:t>
            </w:r>
            <w:r>
              <w:rPr>
                <w:rFonts w:ascii="宋体" w:hAnsi="宋体" w:eastAsia="宋体" w:cs="宋体"/>
                <w:spacing w:val="-2"/>
                <w:sz w:val="20"/>
                <w:szCs w:val="20"/>
              </w:rPr>
              <w:t>虑岸线熏烟</w:t>
            </w:r>
          </w:p>
        </w:tc>
        <w:tc>
          <w:tcPr>
            <w:tcW w:w="2841" w:type="dxa"/>
            <w:vAlign w:val="top"/>
          </w:tcPr>
          <w:p w14:paraId="4AB5C778">
            <w:pPr>
              <w:spacing w:before="64" w:line="224" w:lineRule="auto"/>
              <w:ind w:left="837"/>
              <w:rPr>
                <w:rFonts w:ascii="宋体" w:hAnsi="宋体" w:eastAsia="宋体" w:cs="宋体"/>
                <w:sz w:val="20"/>
                <w:szCs w:val="20"/>
              </w:rPr>
            </w:pPr>
            <w:r>
              <w:rPr>
                <w:rFonts w:ascii="宋体" w:hAnsi="宋体" w:eastAsia="宋体" w:cs="宋体"/>
                <w:spacing w:val="-2"/>
                <w:sz w:val="20"/>
                <w:szCs w:val="20"/>
              </w:rPr>
              <w:t>考虑岸线熏烟</w:t>
            </w:r>
          </w:p>
        </w:tc>
        <w:tc>
          <w:tcPr>
            <w:tcW w:w="2841" w:type="dxa"/>
            <w:tcBorders>
              <w:right w:val="nil"/>
            </w:tcBorders>
            <w:vAlign w:val="top"/>
          </w:tcPr>
          <w:p w14:paraId="16359C4B">
            <w:pPr>
              <w:spacing w:before="64" w:line="224" w:lineRule="auto"/>
              <w:ind w:left="976"/>
              <w:rPr>
                <w:rFonts w:ascii="宋体" w:hAnsi="宋体" w:eastAsia="宋体" w:cs="宋体"/>
                <w:sz w:val="20"/>
                <w:szCs w:val="20"/>
              </w:rPr>
            </w:pP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是  </w:t>
            </w:r>
            <w:r>
              <w:rPr>
                <w:rFonts w:ascii="MS UI Gothic" w:hAnsi="MS UI Gothic" w:eastAsia="MS UI Gothic" w:cs="MS UI Gothic"/>
                <w:spacing w:val="-1"/>
                <w:sz w:val="20"/>
                <w:szCs w:val="20"/>
              </w:rPr>
              <w:t>☑</w:t>
            </w:r>
            <w:r>
              <w:rPr>
                <w:rFonts w:ascii="宋体" w:hAnsi="宋体" w:eastAsia="宋体" w:cs="宋体"/>
                <w:spacing w:val="-1"/>
                <w:sz w:val="20"/>
                <w:szCs w:val="20"/>
              </w:rPr>
              <w:t>否</w:t>
            </w:r>
          </w:p>
        </w:tc>
      </w:tr>
      <w:tr w14:paraId="53463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840" w:type="dxa"/>
            <w:vMerge w:val="continue"/>
            <w:tcBorders>
              <w:top w:val="nil"/>
              <w:left w:val="nil"/>
              <w:bottom w:val="nil"/>
            </w:tcBorders>
            <w:vAlign w:val="top"/>
          </w:tcPr>
          <w:p w14:paraId="0A5C8C58">
            <w:pPr>
              <w:rPr>
                <w:rFonts w:ascii="Arial"/>
                <w:sz w:val="21"/>
              </w:rPr>
            </w:pPr>
          </w:p>
        </w:tc>
        <w:tc>
          <w:tcPr>
            <w:tcW w:w="2841" w:type="dxa"/>
            <w:vAlign w:val="top"/>
          </w:tcPr>
          <w:p w14:paraId="70B7071F">
            <w:pPr>
              <w:spacing w:before="27" w:line="278" w:lineRule="exact"/>
              <w:ind w:left="931"/>
              <w:rPr>
                <w:rFonts w:ascii="Times New Roman" w:hAnsi="Times New Roman" w:eastAsia="Times New Roman" w:cs="Times New Roman"/>
                <w:sz w:val="20"/>
                <w:szCs w:val="20"/>
              </w:rPr>
            </w:pPr>
            <w:r>
              <w:rPr>
                <w:rFonts w:ascii="宋体" w:hAnsi="宋体" w:eastAsia="宋体" w:cs="宋体"/>
                <w:spacing w:val="-3"/>
                <w:position w:val="1"/>
                <w:sz w:val="20"/>
                <w:szCs w:val="20"/>
              </w:rPr>
              <w:t>岸线距离</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spacing w:val="-2"/>
                <w:position w:val="1"/>
                <w:sz w:val="20"/>
                <w:szCs w:val="20"/>
              </w:rPr>
              <w:t>m</w:t>
            </w:r>
          </w:p>
        </w:tc>
        <w:tc>
          <w:tcPr>
            <w:tcW w:w="2841" w:type="dxa"/>
            <w:tcBorders>
              <w:right w:val="nil"/>
            </w:tcBorders>
            <w:vAlign w:val="top"/>
          </w:tcPr>
          <w:p w14:paraId="0FEE9841">
            <w:pPr>
              <w:spacing w:before="27" w:line="278" w:lineRule="exact"/>
              <w:ind w:left="13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57F5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40" w:type="dxa"/>
            <w:vMerge w:val="continue"/>
            <w:tcBorders>
              <w:top w:val="nil"/>
              <w:left w:val="nil"/>
            </w:tcBorders>
            <w:vAlign w:val="top"/>
          </w:tcPr>
          <w:p w14:paraId="6105DA31">
            <w:pPr>
              <w:rPr>
                <w:rFonts w:ascii="Arial"/>
                <w:sz w:val="21"/>
              </w:rPr>
            </w:pPr>
          </w:p>
        </w:tc>
        <w:tc>
          <w:tcPr>
            <w:tcW w:w="2841" w:type="dxa"/>
            <w:vAlign w:val="top"/>
          </w:tcPr>
          <w:p w14:paraId="1EC7DB8D">
            <w:pPr>
              <w:spacing w:before="28" w:line="281" w:lineRule="exact"/>
              <w:ind w:left="969"/>
              <w:rPr>
                <w:rFonts w:ascii="Times New Roman" w:hAnsi="Times New Roman" w:eastAsia="Times New Roman" w:cs="Times New Roman"/>
                <w:sz w:val="20"/>
                <w:szCs w:val="20"/>
              </w:rPr>
            </w:pPr>
            <w:r>
              <w:rPr>
                <w:rFonts w:ascii="宋体" w:hAnsi="宋体" w:eastAsia="宋体" w:cs="宋体"/>
                <w:spacing w:val="-6"/>
                <w:position w:val="1"/>
                <w:sz w:val="20"/>
                <w:szCs w:val="20"/>
              </w:rPr>
              <w:t>岸</w:t>
            </w:r>
            <w:r>
              <w:rPr>
                <w:rFonts w:ascii="宋体" w:hAnsi="宋体" w:eastAsia="宋体" w:cs="宋体"/>
                <w:spacing w:val="-3"/>
                <w:position w:val="1"/>
                <w:sz w:val="20"/>
                <w:szCs w:val="20"/>
              </w:rPr>
              <w:t>线方向</w:t>
            </w:r>
            <w:r>
              <w:rPr>
                <w:rFonts w:ascii="Times New Roman" w:hAnsi="Times New Roman" w:eastAsia="Times New Roman" w:cs="Times New Roman"/>
                <w:spacing w:val="-3"/>
                <w:position w:val="1"/>
                <w:sz w:val="20"/>
                <w:szCs w:val="20"/>
              </w:rPr>
              <w:t>/°</w:t>
            </w:r>
          </w:p>
        </w:tc>
        <w:tc>
          <w:tcPr>
            <w:tcW w:w="2841" w:type="dxa"/>
            <w:tcBorders>
              <w:right w:val="nil"/>
            </w:tcBorders>
            <w:vAlign w:val="top"/>
          </w:tcPr>
          <w:p w14:paraId="4212C568">
            <w:pPr>
              <w:spacing w:before="28" w:line="281" w:lineRule="exact"/>
              <w:ind w:left="13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14:paraId="6AE2E455">
      <w:pPr>
        <w:spacing w:before="303" w:line="323" w:lineRule="exact"/>
        <w:ind w:left="568"/>
        <w:rPr>
          <w:rFonts w:ascii="宋体" w:hAnsi="宋体" w:eastAsia="宋体" w:cs="宋体"/>
          <w:sz w:val="23"/>
          <w:szCs w:val="23"/>
        </w:rPr>
      </w:pPr>
      <w:r>
        <w:rPr>
          <w:rFonts w:ascii="宋体" w:hAnsi="宋体" w:eastAsia="宋体" w:cs="宋体"/>
          <w:spacing w:val="-6"/>
          <w:position w:val="1"/>
          <w:sz w:val="23"/>
          <w:szCs w:val="23"/>
        </w:rPr>
        <w:t xml:space="preserve">根据工程分析结果，该项目污染源最大地面浓度占标率 </w:t>
      </w:r>
      <w:r>
        <w:rPr>
          <w:rFonts w:ascii="Times New Roman" w:hAnsi="Times New Roman" w:eastAsia="Times New Roman" w:cs="Times New Roman"/>
          <w:spacing w:val="-6"/>
          <w:position w:val="1"/>
          <w:sz w:val="23"/>
          <w:szCs w:val="23"/>
        </w:rPr>
        <w:t xml:space="preserve">Pi </w:t>
      </w:r>
      <w:r>
        <w:rPr>
          <w:rFonts w:ascii="宋体" w:hAnsi="宋体" w:eastAsia="宋体" w:cs="宋体"/>
          <w:spacing w:val="-6"/>
          <w:position w:val="1"/>
          <w:sz w:val="23"/>
          <w:szCs w:val="23"/>
        </w:rPr>
        <w:t xml:space="preserve">见表 </w:t>
      </w:r>
      <w:r>
        <w:rPr>
          <w:rFonts w:ascii="Times New Roman" w:hAnsi="Times New Roman" w:eastAsia="Times New Roman" w:cs="Times New Roman"/>
          <w:spacing w:val="-6"/>
          <w:position w:val="1"/>
          <w:sz w:val="23"/>
          <w:szCs w:val="23"/>
        </w:rPr>
        <w:t>2-16</w:t>
      </w:r>
      <w:r>
        <w:rPr>
          <w:rFonts w:ascii="宋体" w:hAnsi="宋体" w:eastAsia="宋体" w:cs="宋体"/>
          <w:spacing w:val="-6"/>
          <w:position w:val="1"/>
          <w:sz w:val="23"/>
          <w:szCs w:val="23"/>
        </w:rPr>
        <w:t>。</w:t>
      </w:r>
    </w:p>
    <w:p w14:paraId="0B15D21E">
      <w:pPr>
        <w:spacing w:line="292" w:lineRule="auto"/>
        <w:rPr>
          <w:rFonts w:ascii="Arial"/>
          <w:sz w:val="21"/>
        </w:rPr>
      </w:pPr>
    </w:p>
    <w:p w14:paraId="7900DEF5">
      <w:pPr>
        <w:spacing w:before="75" w:line="227" w:lineRule="auto"/>
        <w:ind w:left="197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2-16</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项目主要污染物最大浓</w:t>
      </w:r>
      <w:r>
        <w:rPr>
          <w:rFonts w:ascii="宋体" w:hAnsi="宋体" w:eastAsia="宋体" w:cs="宋体"/>
          <w:spacing w:val="-1"/>
          <w:sz w:val="23"/>
          <w:szCs w:val="23"/>
          <w14:textOutline w14:w="4358" w14:cap="sq" w14:cmpd="sng">
            <w14:solidFill>
              <w14:srgbClr w14:val="000000"/>
            </w14:solidFill>
            <w14:prstDash w14:val="solid"/>
            <w14:bevel/>
          </w14:textOutline>
        </w:rPr>
        <w:t>度及浓度占标率</w:t>
      </w:r>
    </w:p>
    <w:p w14:paraId="3F551A74">
      <w:pPr>
        <w:spacing w:line="18" w:lineRule="exact"/>
      </w:pPr>
    </w:p>
    <w:tbl>
      <w:tblPr>
        <w:tblStyle w:val="4"/>
        <w:tblW w:w="830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1110"/>
        <w:gridCol w:w="1678"/>
        <w:gridCol w:w="1678"/>
        <w:gridCol w:w="1678"/>
        <w:gridCol w:w="1125"/>
      </w:tblGrid>
      <w:tr w14:paraId="3FB3D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147" w:type="dxa"/>
            <w:gridSpan w:val="2"/>
            <w:tcBorders>
              <w:left w:val="nil"/>
            </w:tcBorders>
            <w:vAlign w:val="top"/>
          </w:tcPr>
          <w:p w14:paraId="13C38796">
            <w:pPr>
              <w:spacing w:before="114" w:line="207" w:lineRule="auto"/>
              <w:ind w:left="7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w:t>
            </w:r>
            <w:r>
              <w:rPr>
                <w:rFonts w:ascii="宋体" w:hAnsi="宋体" w:eastAsia="宋体" w:cs="宋体"/>
                <w:spacing w:val="6"/>
                <w:sz w:val="20"/>
                <w:szCs w:val="20"/>
                <w14:textOutline w14:w="3795" w14:cap="sq" w14:cmpd="sng">
                  <w14:solidFill>
                    <w14:srgbClr w14:val="000000"/>
                  </w14:solidFill>
                  <w14:prstDash w14:val="solid"/>
                  <w14:bevel/>
                </w14:textOutline>
              </w:rPr>
              <w:t>染物</w:t>
            </w:r>
          </w:p>
        </w:tc>
        <w:tc>
          <w:tcPr>
            <w:tcW w:w="1678" w:type="dxa"/>
            <w:vAlign w:val="top"/>
          </w:tcPr>
          <w:p w14:paraId="474665BB">
            <w:pPr>
              <w:spacing w:before="42" w:line="289" w:lineRule="exact"/>
              <w:ind w:left="69"/>
              <w:rPr>
                <w:rFonts w:ascii="宋体" w:hAnsi="宋体" w:eastAsia="宋体" w:cs="宋体"/>
                <w:sz w:val="20"/>
                <w:szCs w:val="20"/>
              </w:rPr>
            </w:pPr>
            <w:r>
              <w:rPr>
                <w:rFonts w:ascii="宋体" w:hAnsi="宋体" w:eastAsia="宋体" w:cs="宋体"/>
                <w:spacing w:val="-2"/>
                <w:position w:val="3"/>
                <w:sz w:val="20"/>
                <w:szCs w:val="20"/>
                <w14:textOutline w14:w="3795" w14:cap="sq" w14:cmpd="sng">
                  <w14:solidFill>
                    <w14:srgbClr w14:val="000000"/>
                  </w14:solidFill>
                  <w14:prstDash w14:val="solid"/>
                  <w14:bevel/>
                </w14:textOutline>
              </w:rPr>
              <w:t>排放速率</w:t>
            </w:r>
            <w:r>
              <w:rPr>
                <w:rFonts w:ascii="宋体" w:hAnsi="宋体" w:eastAsia="宋体" w:cs="宋体"/>
                <w:spacing w:val="-2"/>
                <w:position w:val="3"/>
                <w:sz w:val="20"/>
                <w:szCs w:val="20"/>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
                <w:position w:val="3"/>
                <w:sz w:val="20"/>
                <w:szCs w:val="20"/>
              </w:rPr>
              <w:t>k</w:t>
            </w:r>
            <w:r>
              <w:rPr>
                <w:rFonts w:ascii="Times New Roman" w:hAnsi="Times New Roman" w:eastAsia="Times New Roman" w:cs="Times New Roman"/>
                <w:b/>
                <w:bCs/>
                <w:spacing w:val="-1"/>
                <w:position w:val="3"/>
                <w:sz w:val="20"/>
                <w:szCs w:val="20"/>
              </w:rPr>
              <w:t>g</w:t>
            </w:r>
            <w:r>
              <w:rPr>
                <w:rFonts w:ascii="Times New Roman" w:hAnsi="Times New Roman" w:eastAsia="Times New Roman" w:cs="Times New Roman"/>
                <w:b/>
                <w:bCs/>
                <w:spacing w:val="-2"/>
                <w:position w:val="3"/>
                <w:sz w:val="20"/>
                <w:szCs w:val="20"/>
              </w:rPr>
              <w:t>/</w:t>
            </w:r>
            <w:r>
              <w:rPr>
                <w:rFonts w:ascii="Times New Roman" w:hAnsi="Times New Roman" w:eastAsia="Times New Roman" w:cs="Times New Roman"/>
                <w:b/>
                <w:bCs/>
                <w:spacing w:val="-1"/>
                <w:position w:val="3"/>
                <w:sz w:val="20"/>
                <w:szCs w:val="20"/>
              </w:rPr>
              <w:t>h</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p>
        </w:tc>
        <w:tc>
          <w:tcPr>
            <w:tcW w:w="1678" w:type="dxa"/>
            <w:vAlign w:val="top"/>
          </w:tcPr>
          <w:p w14:paraId="6562384C">
            <w:pPr>
              <w:spacing w:before="42" w:line="289" w:lineRule="exact"/>
              <w:ind w:left="215"/>
              <w:rPr>
                <w:rFonts w:ascii="宋体" w:hAnsi="宋体" w:eastAsia="宋体" w:cs="宋体"/>
                <w:sz w:val="20"/>
                <w:szCs w:val="20"/>
              </w:rPr>
            </w:pPr>
            <w:r>
              <w:rPr>
                <w:rFonts w:ascii="Times New Roman" w:hAnsi="Times New Roman" w:eastAsia="Times New Roman" w:cs="Times New Roman"/>
                <w:b/>
                <w:bCs/>
                <w:spacing w:val="-2"/>
                <w:position w:val="3"/>
                <w:sz w:val="20"/>
                <w:szCs w:val="20"/>
              </w:rPr>
              <w:t>C</w:t>
            </w:r>
            <w:r>
              <w:rPr>
                <w:rFonts w:ascii="Times New Roman" w:hAnsi="Times New Roman" w:eastAsia="Times New Roman" w:cs="Times New Roman"/>
                <w:b/>
                <w:bCs/>
                <w:spacing w:val="-2"/>
                <w:position w:val="1"/>
                <w:sz w:val="13"/>
                <w:szCs w:val="13"/>
              </w:rPr>
              <w:t>m</w:t>
            </w:r>
            <w:r>
              <w:rPr>
                <w:rFonts w:ascii="Times New Roman" w:hAnsi="Times New Roman" w:eastAsia="Times New Roman" w:cs="Times New Roman"/>
                <w:b/>
                <w:bCs/>
                <w:spacing w:val="-1"/>
                <w:position w:val="1"/>
                <w:sz w:val="13"/>
                <w:szCs w:val="13"/>
              </w:rPr>
              <w:t>ax</w:t>
            </w:r>
            <w:r>
              <w:rPr>
                <w:rFonts w:ascii="Times New Roman" w:hAnsi="Times New Roman" w:eastAsia="Times New Roman" w:cs="Times New Roman"/>
                <w:spacing w:val="-2"/>
                <w:position w:val="1"/>
                <w:sz w:val="13"/>
                <w:szCs w:val="13"/>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
                <w:position w:val="3"/>
                <w:sz w:val="20"/>
                <w:szCs w:val="20"/>
              </w:rPr>
              <w:t>μ</w:t>
            </w:r>
            <w:r>
              <w:rPr>
                <w:rFonts w:ascii="Times New Roman" w:hAnsi="Times New Roman" w:eastAsia="Times New Roman" w:cs="Times New Roman"/>
                <w:b/>
                <w:bCs/>
                <w:spacing w:val="-1"/>
                <w:position w:val="3"/>
                <w:sz w:val="20"/>
                <w:szCs w:val="20"/>
              </w:rPr>
              <w:t>g</w:t>
            </w:r>
            <w:r>
              <w:rPr>
                <w:rFonts w:ascii="Times New Roman" w:hAnsi="Times New Roman" w:eastAsia="Times New Roman" w:cs="Times New Roman"/>
                <w:b/>
                <w:bCs/>
                <w:spacing w:val="-2"/>
                <w:position w:val="3"/>
                <w:sz w:val="20"/>
                <w:szCs w:val="20"/>
              </w:rPr>
              <w:t>/</w:t>
            </w:r>
            <w:r>
              <w:rPr>
                <w:rFonts w:ascii="Times New Roman" w:hAnsi="Times New Roman" w:eastAsia="Times New Roman" w:cs="Times New Roman"/>
                <w:b/>
                <w:bCs/>
                <w:spacing w:val="-1"/>
                <w:position w:val="3"/>
                <w:sz w:val="20"/>
                <w:szCs w:val="20"/>
              </w:rPr>
              <w:t>m</w:t>
            </w:r>
            <w:r>
              <w:rPr>
                <w:rFonts w:ascii="Times New Roman" w:hAnsi="Times New Roman" w:eastAsia="Times New Roman" w:cs="Times New Roman"/>
                <w:b/>
                <w:bCs/>
                <w:spacing w:val="-2"/>
                <w:position w:val="9"/>
                <w:sz w:val="13"/>
                <w:szCs w:val="13"/>
              </w:rPr>
              <w:t>3</w:t>
            </w:r>
            <w:r>
              <w:rPr>
                <w:rFonts w:ascii="Times New Roman" w:hAnsi="Times New Roman" w:eastAsia="Times New Roman" w:cs="Times New Roman"/>
                <w:spacing w:val="-2"/>
                <w:position w:val="9"/>
                <w:sz w:val="13"/>
                <w:szCs w:val="13"/>
              </w:rPr>
              <w:t xml:space="preserve"> </w:t>
            </w:r>
            <w:r>
              <w:rPr>
                <w:rFonts w:ascii="宋体" w:hAnsi="宋体" w:eastAsia="宋体" w:cs="宋体"/>
                <w:spacing w:val="-2"/>
                <w:position w:val="3"/>
                <w:sz w:val="20"/>
                <w:szCs w:val="20"/>
                <w14:textOutline w14:w="3795" w14:cap="sq" w14:cmpd="sng">
                  <w14:solidFill>
                    <w14:srgbClr w14:val="000000"/>
                  </w14:solidFill>
                  <w14:prstDash w14:val="solid"/>
                  <w14:bevel/>
                </w14:textOutline>
              </w:rPr>
              <w:t>)</w:t>
            </w:r>
          </w:p>
        </w:tc>
        <w:tc>
          <w:tcPr>
            <w:tcW w:w="1678" w:type="dxa"/>
            <w:vAlign w:val="top"/>
          </w:tcPr>
          <w:p w14:paraId="724AEB00">
            <w:pPr>
              <w:spacing w:before="42" w:line="289" w:lineRule="exact"/>
              <w:ind w:left="367"/>
              <w:rPr>
                <w:rFonts w:ascii="宋体" w:hAnsi="宋体" w:eastAsia="宋体" w:cs="宋体"/>
                <w:sz w:val="20"/>
                <w:szCs w:val="20"/>
              </w:rPr>
            </w:pPr>
            <w:r>
              <w:rPr>
                <w:rFonts w:ascii="Times New Roman" w:hAnsi="Times New Roman" w:eastAsia="Times New Roman" w:cs="Times New Roman"/>
                <w:b/>
                <w:bCs/>
                <w:position w:val="1"/>
                <w:sz w:val="20"/>
                <w:szCs w:val="20"/>
              </w:rPr>
              <w:t>P</w:t>
            </w:r>
            <w:r>
              <w:rPr>
                <w:rFonts w:ascii="Times New Roman" w:hAnsi="Times New Roman" w:eastAsia="Times New Roman" w:cs="Times New Roman"/>
                <w:b/>
                <w:bCs/>
                <w:sz w:val="13"/>
                <w:szCs w:val="13"/>
              </w:rPr>
              <w:t>max</w:t>
            </w:r>
            <w:r>
              <w:rPr>
                <w:rFonts w:ascii="Times New Roman" w:hAnsi="Times New Roman" w:eastAsia="Times New Roman" w:cs="Times New Roman"/>
                <w:spacing w:val="-1"/>
                <w:sz w:val="13"/>
                <w:szCs w:val="13"/>
              </w:rPr>
              <w:t xml:space="preserve">   </w:t>
            </w:r>
            <w:r>
              <w:rPr>
                <w:rFonts w:ascii="宋体" w:hAnsi="宋体" w:eastAsia="宋体" w:cs="宋体"/>
                <w:spacing w:val="-1"/>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position w:val="1"/>
                <w:sz w:val="20"/>
                <w:szCs w:val="20"/>
              </w:rPr>
              <w:t>%</w:t>
            </w:r>
            <w:r>
              <w:rPr>
                <w:rFonts w:ascii="宋体" w:hAnsi="宋体" w:eastAsia="宋体" w:cs="宋体"/>
                <w:position w:val="1"/>
                <w:sz w:val="20"/>
                <w:szCs w:val="20"/>
                <w14:textOutline w14:w="3795" w14:cap="sq" w14:cmpd="sng">
                  <w14:solidFill>
                    <w14:srgbClr w14:val="000000"/>
                  </w14:solidFill>
                  <w14:prstDash w14:val="solid"/>
                  <w14:bevel/>
                </w14:textOutline>
              </w:rPr>
              <w:t>)</w:t>
            </w:r>
          </w:p>
        </w:tc>
        <w:tc>
          <w:tcPr>
            <w:tcW w:w="1125" w:type="dxa"/>
            <w:tcBorders>
              <w:right w:val="nil"/>
            </w:tcBorders>
            <w:vAlign w:val="top"/>
          </w:tcPr>
          <w:p w14:paraId="0760064A">
            <w:pPr>
              <w:spacing w:before="83" w:line="226" w:lineRule="auto"/>
              <w:ind w:left="17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评价等</w:t>
            </w:r>
            <w:r>
              <w:rPr>
                <w:rFonts w:ascii="宋体" w:hAnsi="宋体" w:eastAsia="宋体" w:cs="宋体"/>
                <w:sz w:val="20"/>
                <w:szCs w:val="20"/>
                <w14:textOutline w14:w="3795" w14:cap="sq" w14:cmpd="sng">
                  <w14:solidFill>
                    <w14:srgbClr w14:val="000000"/>
                  </w14:solidFill>
                  <w14:prstDash w14:val="solid"/>
                  <w14:bevel/>
                </w14:textOutline>
              </w:rPr>
              <w:t>级</w:t>
            </w:r>
          </w:p>
        </w:tc>
      </w:tr>
      <w:tr w14:paraId="14B8C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37" w:type="dxa"/>
            <w:vMerge w:val="restart"/>
            <w:tcBorders>
              <w:left w:val="nil"/>
              <w:bottom w:val="nil"/>
            </w:tcBorders>
            <w:vAlign w:val="top"/>
          </w:tcPr>
          <w:p w14:paraId="23507702">
            <w:pPr>
              <w:spacing w:before="230" w:line="228" w:lineRule="auto"/>
              <w:ind w:left="110"/>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5"/>
                <w:sz w:val="20"/>
                <w:szCs w:val="20"/>
              </w:rPr>
              <w:t>产厂房</w:t>
            </w:r>
          </w:p>
        </w:tc>
        <w:tc>
          <w:tcPr>
            <w:tcW w:w="1110" w:type="dxa"/>
            <w:vAlign w:val="top"/>
          </w:tcPr>
          <w:p w14:paraId="1DB1E85F">
            <w:pPr>
              <w:spacing w:before="125"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678" w:type="dxa"/>
            <w:vAlign w:val="top"/>
          </w:tcPr>
          <w:p w14:paraId="3A33C6BA">
            <w:pPr>
              <w:spacing w:before="125"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678" w:type="dxa"/>
            <w:vAlign w:val="top"/>
          </w:tcPr>
          <w:p w14:paraId="3A2D6051">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.08286</w:t>
            </w:r>
          </w:p>
        </w:tc>
        <w:tc>
          <w:tcPr>
            <w:tcW w:w="1678" w:type="dxa"/>
            <w:vAlign w:val="top"/>
          </w:tcPr>
          <w:p w14:paraId="59560E2D">
            <w:pPr>
              <w:spacing w:before="125"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w:t>
            </w:r>
            <w:r>
              <w:rPr>
                <w:rFonts w:ascii="Times New Roman" w:hAnsi="Times New Roman" w:eastAsia="Times New Roman" w:cs="Times New Roman"/>
                <w:spacing w:val="1"/>
                <w:sz w:val="20"/>
                <w:szCs w:val="20"/>
              </w:rPr>
              <w:t>1</w:t>
            </w:r>
          </w:p>
        </w:tc>
        <w:tc>
          <w:tcPr>
            <w:tcW w:w="1125" w:type="dxa"/>
            <w:tcBorders>
              <w:right w:val="nil"/>
            </w:tcBorders>
            <w:vAlign w:val="top"/>
          </w:tcPr>
          <w:p w14:paraId="68A79EC8">
            <w:pPr>
              <w:spacing w:before="89" w:line="226" w:lineRule="auto"/>
              <w:ind w:left="366"/>
              <w:rPr>
                <w:rFonts w:ascii="宋体" w:hAnsi="宋体" w:eastAsia="宋体" w:cs="宋体"/>
                <w:sz w:val="20"/>
                <w:szCs w:val="20"/>
              </w:rPr>
            </w:pPr>
            <w:r>
              <w:rPr>
                <w:rFonts w:ascii="宋体" w:hAnsi="宋体" w:eastAsia="宋体" w:cs="宋体"/>
                <w:spacing w:val="3"/>
                <w:sz w:val="20"/>
                <w:szCs w:val="20"/>
              </w:rPr>
              <w:t>二级</w:t>
            </w:r>
          </w:p>
        </w:tc>
      </w:tr>
      <w:tr w14:paraId="3429F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37" w:type="dxa"/>
            <w:vMerge w:val="continue"/>
            <w:tcBorders>
              <w:top w:val="nil"/>
              <w:left w:val="nil"/>
            </w:tcBorders>
            <w:vAlign w:val="top"/>
          </w:tcPr>
          <w:p w14:paraId="3CBD1A1C">
            <w:pPr>
              <w:rPr>
                <w:rFonts w:ascii="Arial"/>
                <w:sz w:val="21"/>
              </w:rPr>
            </w:pPr>
          </w:p>
        </w:tc>
        <w:tc>
          <w:tcPr>
            <w:tcW w:w="1110" w:type="dxa"/>
            <w:vAlign w:val="top"/>
          </w:tcPr>
          <w:p w14:paraId="3DD437C1">
            <w:pPr>
              <w:spacing w:before="127"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pacing w:val="2"/>
                <w:sz w:val="20"/>
                <w:szCs w:val="20"/>
              </w:rPr>
              <w:t>SP</w:t>
            </w:r>
          </w:p>
        </w:tc>
        <w:tc>
          <w:tcPr>
            <w:tcW w:w="1678" w:type="dxa"/>
            <w:vAlign w:val="top"/>
          </w:tcPr>
          <w:p w14:paraId="07672531">
            <w:pPr>
              <w:spacing w:before="127"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0</w:t>
            </w:r>
            <w:r>
              <w:rPr>
                <w:rFonts w:ascii="Times New Roman" w:hAnsi="Times New Roman" w:eastAsia="Times New Roman" w:cs="Times New Roman"/>
                <w:spacing w:val="-8"/>
                <w:sz w:val="20"/>
                <w:szCs w:val="20"/>
              </w:rPr>
              <w:t>. 14</w:t>
            </w:r>
          </w:p>
        </w:tc>
        <w:tc>
          <w:tcPr>
            <w:tcW w:w="1678" w:type="dxa"/>
            <w:vAlign w:val="top"/>
          </w:tcPr>
          <w:p w14:paraId="7C4252BA">
            <w:pPr>
              <w:spacing w:before="127"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1749</w:t>
            </w:r>
          </w:p>
        </w:tc>
        <w:tc>
          <w:tcPr>
            <w:tcW w:w="1678" w:type="dxa"/>
            <w:vAlign w:val="top"/>
          </w:tcPr>
          <w:p w14:paraId="38237FD3">
            <w:pPr>
              <w:spacing w:before="127"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w:t>
            </w:r>
            <w:r>
              <w:rPr>
                <w:rFonts w:ascii="Times New Roman" w:hAnsi="Times New Roman" w:eastAsia="Times New Roman" w:cs="Times New Roman"/>
                <w:sz w:val="20"/>
                <w:szCs w:val="20"/>
              </w:rPr>
              <w:t>5</w:t>
            </w:r>
          </w:p>
        </w:tc>
        <w:tc>
          <w:tcPr>
            <w:tcW w:w="1125" w:type="dxa"/>
            <w:tcBorders>
              <w:right w:val="nil"/>
            </w:tcBorders>
            <w:vAlign w:val="top"/>
          </w:tcPr>
          <w:p w14:paraId="3B364A31">
            <w:pPr>
              <w:spacing w:before="91" w:line="224" w:lineRule="auto"/>
              <w:ind w:left="366"/>
              <w:rPr>
                <w:rFonts w:ascii="宋体" w:hAnsi="宋体" w:eastAsia="宋体" w:cs="宋体"/>
                <w:sz w:val="20"/>
                <w:szCs w:val="20"/>
              </w:rPr>
            </w:pPr>
            <w:r>
              <w:rPr>
                <w:rFonts w:ascii="宋体" w:hAnsi="宋体" w:eastAsia="宋体" w:cs="宋体"/>
                <w:spacing w:val="3"/>
                <w:sz w:val="20"/>
                <w:szCs w:val="20"/>
              </w:rPr>
              <w:t>二级</w:t>
            </w:r>
          </w:p>
        </w:tc>
      </w:tr>
      <w:tr w14:paraId="10CFB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37" w:type="dxa"/>
            <w:tcBorders>
              <w:left w:val="nil"/>
            </w:tcBorders>
            <w:vAlign w:val="top"/>
          </w:tcPr>
          <w:p w14:paraId="10DDCE7B">
            <w:pPr>
              <w:spacing w:before="55" w:line="278" w:lineRule="exact"/>
              <w:ind w:left="149"/>
              <w:rPr>
                <w:rFonts w:ascii="宋体" w:hAnsi="宋体" w:eastAsia="宋体" w:cs="宋体"/>
                <w:sz w:val="20"/>
                <w:szCs w:val="20"/>
              </w:rPr>
            </w:pPr>
            <w:r>
              <w:rPr>
                <w:rFonts w:ascii="Times New Roman" w:hAnsi="Times New Roman" w:eastAsia="Times New Roman" w:cs="Times New Roman"/>
                <w:spacing w:val="-5"/>
                <w:position w:val="1"/>
                <w:sz w:val="20"/>
                <w:szCs w:val="20"/>
              </w:rPr>
              <w:t>1#</w:t>
            </w:r>
            <w:r>
              <w:rPr>
                <w:rFonts w:ascii="宋体" w:hAnsi="宋体" w:eastAsia="宋体" w:cs="宋体"/>
                <w:spacing w:val="-5"/>
                <w:position w:val="1"/>
                <w:sz w:val="20"/>
                <w:szCs w:val="20"/>
              </w:rPr>
              <w:t>排气筒</w:t>
            </w:r>
          </w:p>
        </w:tc>
        <w:tc>
          <w:tcPr>
            <w:tcW w:w="1110" w:type="dxa"/>
            <w:vAlign w:val="top"/>
          </w:tcPr>
          <w:p w14:paraId="7E063FE1">
            <w:pPr>
              <w:spacing w:before="12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678" w:type="dxa"/>
            <w:vAlign w:val="top"/>
          </w:tcPr>
          <w:p w14:paraId="4D13E006">
            <w:pPr>
              <w:spacing w:before="12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.16</w:t>
            </w:r>
          </w:p>
        </w:tc>
        <w:tc>
          <w:tcPr>
            <w:tcW w:w="1678" w:type="dxa"/>
            <w:vAlign w:val="top"/>
          </w:tcPr>
          <w:p w14:paraId="3E92ED23">
            <w:pPr>
              <w:spacing w:before="129"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3"/>
                <w:sz w:val="20"/>
                <w:szCs w:val="20"/>
              </w:rPr>
              <w:t>.004065</w:t>
            </w:r>
          </w:p>
        </w:tc>
        <w:tc>
          <w:tcPr>
            <w:tcW w:w="1678" w:type="dxa"/>
            <w:vAlign w:val="top"/>
          </w:tcPr>
          <w:p w14:paraId="14266852">
            <w:pPr>
              <w:spacing w:before="129"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25" w:type="dxa"/>
            <w:tcBorders>
              <w:right w:val="nil"/>
            </w:tcBorders>
            <w:vAlign w:val="top"/>
          </w:tcPr>
          <w:p w14:paraId="2CC419C6">
            <w:pPr>
              <w:spacing w:before="93" w:line="222" w:lineRule="auto"/>
              <w:ind w:left="363"/>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r>
      <w:tr w14:paraId="2F829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37" w:type="dxa"/>
            <w:tcBorders>
              <w:left w:val="nil"/>
            </w:tcBorders>
            <w:vAlign w:val="top"/>
          </w:tcPr>
          <w:p w14:paraId="2BC1A142">
            <w:pPr>
              <w:spacing w:before="55" w:line="278" w:lineRule="exact"/>
              <w:ind w:left="129"/>
              <w:rPr>
                <w:rFonts w:ascii="宋体" w:hAnsi="宋体" w:eastAsia="宋体" w:cs="宋体"/>
                <w:sz w:val="20"/>
                <w:szCs w:val="20"/>
              </w:rPr>
            </w:pPr>
            <w:r>
              <w:rPr>
                <w:rFonts w:ascii="Times New Roman" w:hAnsi="Times New Roman" w:eastAsia="Times New Roman" w:cs="Times New Roman"/>
                <w:spacing w:val="-1"/>
                <w:position w:val="1"/>
                <w:sz w:val="20"/>
                <w:szCs w:val="20"/>
              </w:rPr>
              <w:t>2#</w:t>
            </w:r>
            <w:r>
              <w:rPr>
                <w:rFonts w:ascii="宋体" w:hAnsi="宋体" w:eastAsia="宋体" w:cs="宋体"/>
                <w:spacing w:val="-1"/>
                <w:position w:val="1"/>
                <w:sz w:val="20"/>
                <w:szCs w:val="20"/>
              </w:rPr>
              <w:t>排气筒</w:t>
            </w:r>
          </w:p>
        </w:tc>
        <w:tc>
          <w:tcPr>
            <w:tcW w:w="1110" w:type="dxa"/>
            <w:vAlign w:val="top"/>
          </w:tcPr>
          <w:p w14:paraId="77477662">
            <w:pPr>
              <w:spacing w:before="12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678" w:type="dxa"/>
            <w:vAlign w:val="top"/>
          </w:tcPr>
          <w:p w14:paraId="22B5A556">
            <w:pPr>
              <w:spacing w:before="12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.16</w:t>
            </w:r>
          </w:p>
        </w:tc>
        <w:tc>
          <w:tcPr>
            <w:tcW w:w="1678" w:type="dxa"/>
            <w:vAlign w:val="top"/>
          </w:tcPr>
          <w:p w14:paraId="02CCE661">
            <w:pPr>
              <w:spacing w:before="128"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3"/>
                <w:sz w:val="20"/>
                <w:szCs w:val="20"/>
              </w:rPr>
              <w:t>.004065</w:t>
            </w:r>
          </w:p>
        </w:tc>
        <w:tc>
          <w:tcPr>
            <w:tcW w:w="1678" w:type="dxa"/>
            <w:vAlign w:val="top"/>
          </w:tcPr>
          <w:p w14:paraId="7767D406">
            <w:pPr>
              <w:spacing w:before="128"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25" w:type="dxa"/>
            <w:tcBorders>
              <w:right w:val="nil"/>
            </w:tcBorders>
            <w:vAlign w:val="top"/>
          </w:tcPr>
          <w:p w14:paraId="033DC1F5">
            <w:pPr>
              <w:spacing w:before="92" w:line="223" w:lineRule="auto"/>
              <w:ind w:left="363"/>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r>
      <w:tr w14:paraId="56F83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037" w:type="dxa"/>
            <w:vMerge w:val="restart"/>
            <w:tcBorders>
              <w:left w:val="nil"/>
              <w:bottom w:val="nil"/>
            </w:tcBorders>
            <w:vAlign w:val="top"/>
          </w:tcPr>
          <w:p w14:paraId="342AC9B7">
            <w:pPr>
              <w:spacing w:line="299" w:lineRule="auto"/>
              <w:rPr>
                <w:rFonts w:ascii="Arial"/>
                <w:sz w:val="21"/>
              </w:rPr>
            </w:pPr>
          </w:p>
          <w:p w14:paraId="0792CF4B">
            <w:pPr>
              <w:spacing w:before="65" w:line="281" w:lineRule="exact"/>
              <w:ind w:left="133"/>
              <w:rPr>
                <w:rFonts w:ascii="宋体" w:hAnsi="宋体" w:eastAsia="宋体" w:cs="宋体"/>
                <w:sz w:val="20"/>
                <w:szCs w:val="20"/>
              </w:rPr>
            </w:pPr>
            <w:r>
              <w:rPr>
                <w:rFonts w:ascii="Times New Roman" w:hAnsi="Times New Roman" w:eastAsia="Times New Roman" w:cs="Times New Roman"/>
                <w:spacing w:val="-2"/>
                <w:position w:val="1"/>
                <w:sz w:val="20"/>
                <w:szCs w:val="20"/>
              </w:rPr>
              <w:t>3#</w:t>
            </w:r>
            <w:r>
              <w:rPr>
                <w:rFonts w:ascii="宋体" w:hAnsi="宋体" w:eastAsia="宋体" w:cs="宋体"/>
                <w:spacing w:val="-2"/>
                <w:position w:val="1"/>
                <w:sz w:val="20"/>
                <w:szCs w:val="20"/>
              </w:rPr>
              <w:t>排气</w:t>
            </w:r>
            <w:r>
              <w:rPr>
                <w:rFonts w:ascii="宋体" w:hAnsi="宋体" w:eastAsia="宋体" w:cs="宋体"/>
                <w:spacing w:val="-1"/>
                <w:position w:val="1"/>
                <w:sz w:val="20"/>
                <w:szCs w:val="20"/>
              </w:rPr>
              <w:t>筒</w:t>
            </w:r>
          </w:p>
        </w:tc>
        <w:tc>
          <w:tcPr>
            <w:tcW w:w="1110" w:type="dxa"/>
            <w:vAlign w:val="top"/>
          </w:tcPr>
          <w:p w14:paraId="45FEAC63">
            <w:pPr>
              <w:spacing w:before="133" w:line="199" w:lineRule="auto"/>
              <w:ind w:left="33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9"/>
                <w:position w:val="-1"/>
                <w:sz w:val="13"/>
                <w:szCs w:val="13"/>
              </w:rPr>
              <w:t>1</w:t>
            </w:r>
            <w:r>
              <w:rPr>
                <w:rFonts w:ascii="Times New Roman" w:hAnsi="Times New Roman" w:eastAsia="Times New Roman" w:cs="Times New Roman"/>
                <w:spacing w:val="8"/>
                <w:position w:val="-1"/>
                <w:sz w:val="13"/>
                <w:szCs w:val="13"/>
              </w:rPr>
              <w:t>0</w:t>
            </w:r>
          </w:p>
        </w:tc>
        <w:tc>
          <w:tcPr>
            <w:tcW w:w="1678" w:type="dxa"/>
            <w:vAlign w:val="top"/>
          </w:tcPr>
          <w:p w14:paraId="66D46718">
            <w:pPr>
              <w:spacing w:before="130"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.001</w:t>
            </w:r>
          </w:p>
        </w:tc>
        <w:tc>
          <w:tcPr>
            <w:tcW w:w="1678" w:type="dxa"/>
            <w:vAlign w:val="top"/>
          </w:tcPr>
          <w:p w14:paraId="4CFDABEF">
            <w:pPr>
              <w:spacing w:before="130"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r>
              <w:rPr>
                <w:rFonts w:ascii="Times New Roman" w:hAnsi="Times New Roman" w:eastAsia="Times New Roman" w:cs="Times New Roman"/>
                <w:spacing w:val="-1"/>
                <w:sz w:val="20"/>
                <w:szCs w:val="20"/>
              </w:rPr>
              <w:t>01027</w:t>
            </w:r>
          </w:p>
        </w:tc>
        <w:tc>
          <w:tcPr>
            <w:tcW w:w="1678" w:type="dxa"/>
            <w:vAlign w:val="top"/>
          </w:tcPr>
          <w:p w14:paraId="6BD6855E">
            <w:pPr>
              <w:spacing w:before="130"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w:t>
            </w:r>
            <w:r>
              <w:rPr>
                <w:rFonts w:ascii="Times New Roman" w:hAnsi="Times New Roman" w:eastAsia="Times New Roman" w:cs="Times New Roman"/>
                <w:spacing w:val="-1"/>
                <w:sz w:val="20"/>
                <w:szCs w:val="20"/>
              </w:rPr>
              <w:t>2</w:t>
            </w:r>
          </w:p>
        </w:tc>
        <w:tc>
          <w:tcPr>
            <w:tcW w:w="1125" w:type="dxa"/>
            <w:tcBorders>
              <w:right w:val="nil"/>
            </w:tcBorders>
            <w:vAlign w:val="top"/>
          </w:tcPr>
          <w:p w14:paraId="37AB84B3">
            <w:pPr>
              <w:spacing w:before="94" w:line="222" w:lineRule="auto"/>
              <w:ind w:left="363"/>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r>
      <w:tr w14:paraId="12AAB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037" w:type="dxa"/>
            <w:vMerge w:val="continue"/>
            <w:tcBorders>
              <w:top w:val="nil"/>
              <w:left w:val="nil"/>
              <w:bottom w:val="nil"/>
            </w:tcBorders>
            <w:vAlign w:val="top"/>
          </w:tcPr>
          <w:p w14:paraId="53DB2C8B">
            <w:pPr>
              <w:rPr>
                <w:rFonts w:ascii="Arial"/>
                <w:sz w:val="21"/>
              </w:rPr>
            </w:pPr>
          </w:p>
        </w:tc>
        <w:tc>
          <w:tcPr>
            <w:tcW w:w="1110" w:type="dxa"/>
            <w:vAlign w:val="top"/>
          </w:tcPr>
          <w:p w14:paraId="790AE064">
            <w:pPr>
              <w:spacing w:before="130" w:line="189" w:lineRule="auto"/>
              <w:ind w:left="39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678" w:type="dxa"/>
            <w:vAlign w:val="top"/>
          </w:tcPr>
          <w:p w14:paraId="663615D9">
            <w:pPr>
              <w:spacing w:before="131" w:line="188"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0 63</w:t>
            </w:r>
          </w:p>
        </w:tc>
        <w:tc>
          <w:tcPr>
            <w:tcW w:w="1678" w:type="dxa"/>
            <w:vAlign w:val="top"/>
          </w:tcPr>
          <w:p w14:paraId="472E8B4C">
            <w:pPr>
              <w:spacing w:before="131" w:line="188"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0 0</w:t>
            </w:r>
            <w:r>
              <w:rPr>
                <w:rFonts w:ascii="Times New Roman" w:hAnsi="Times New Roman" w:eastAsia="Times New Roman" w:cs="Times New Roman"/>
                <w:spacing w:val="-1"/>
                <w:sz w:val="20"/>
                <w:szCs w:val="20"/>
              </w:rPr>
              <w:t>2157</w:t>
            </w:r>
          </w:p>
        </w:tc>
        <w:tc>
          <w:tcPr>
            <w:tcW w:w="1678" w:type="dxa"/>
            <w:vAlign w:val="top"/>
          </w:tcPr>
          <w:p w14:paraId="03CC6AB3">
            <w:pPr>
              <w:spacing w:before="131" w:line="188"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4 3</w:t>
            </w:r>
            <w:r>
              <w:rPr>
                <w:rFonts w:ascii="Times New Roman" w:hAnsi="Times New Roman" w:eastAsia="Times New Roman" w:cs="Times New Roman"/>
                <w:sz w:val="20"/>
                <w:szCs w:val="20"/>
              </w:rPr>
              <w:t>1</w:t>
            </w:r>
          </w:p>
        </w:tc>
        <w:tc>
          <w:tcPr>
            <w:tcW w:w="1125" w:type="dxa"/>
            <w:tcBorders>
              <w:right w:val="nil"/>
            </w:tcBorders>
            <w:vAlign w:val="top"/>
          </w:tcPr>
          <w:p w14:paraId="2D2CFF93">
            <w:pPr>
              <w:spacing w:before="95" w:line="200" w:lineRule="auto"/>
              <w:ind w:left="366"/>
              <w:rPr>
                <w:rFonts w:ascii="宋体" w:hAnsi="宋体" w:eastAsia="宋体" w:cs="宋体"/>
                <w:sz w:val="20"/>
                <w:szCs w:val="20"/>
              </w:rPr>
            </w:pPr>
            <w:r>
              <w:rPr>
                <w:rFonts w:ascii="宋体" w:hAnsi="宋体" w:eastAsia="宋体" w:cs="宋体"/>
                <w:spacing w:val="3"/>
                <w:sz w:val="20"/>
                <w:szCs w:val="20"/>
              </w:rPr>
              <w:t>二级</w:t>
            </w:r>
          </w:p>
        </w:tc>
      </w:tr>
      <w:tr w14:paraId="587E6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037" w:type="dxa"/>
            <w:vMerge w:val="continue"/>
            <w:tcBorders>
              <w:top w:val="nil"/>
              <w:left w:val="nil"/>
            </w:tcBorders>
            <w:vAlign w:val="top"/>
          </w:tcPr>
          <w:p w14:paraId="73809743">
            <w:pPr>
              <w:rPr>
                <w:rFonts w:ascii="Arial"/>
                <w:sz w:val="21"/>
              </w:rPr>
            </w:pPr>
          </w:p>
        </w:tc>
        <w:tc>
          <w:tcPr>
            <w:tcW w:w="1110" w:type="dxa"/>
            <w:vAlign w:val="top"/>
          </w:tcPr>
          <w:p w14:paraId="110E7EED">
            <w:pPr>
              <w:spacing w:before="152"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6"/>
                <w:sz w:val="20"/>
                <w:szCs w:val="20"/>
              </w:rPr>
              <w:t>x</w:t>
            </w:r>
          </w:p>
        </w:tc>
        <w:tc>
          <w:tcPr>
            <w:tcW w:w="1678" w:type="dxa"/>
            <w:vAlign w:val="top"/>
          </w:tcPr>
          <w:p w14:paraId="1FFD46F3">
            <w:pPr>
              <w:spacing w:before="152"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1678" w:type="dxa"/>
            <w:vAlign w:val="top"/>
          </w:tcPr>
          <w:p w14:paraId="2C1DF0CA">
            <w:pPr>
              <w:spacing w:before="15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w:t>
            </w:r>
            <w:r>
              <w:rPr>
                <w:rFonts w:ascii="Times New Roman" w:hAnsi="Times New Roman" w:eastAsia="Times New Roman" w:cs="Times New Roman"/>
                <w:spacing w:val="-1"/>
                <w:sz w:val="20"/>
                <w:szCs w:val="20"/>
              </w:rPr>
              <w:t>1301</w:t>
            </w:r>
          </w:p>
        </w:tc>
        <w:tc>
          <w:tcPr>
            <w:tcW w:w="1678" w:type="dxa"/>
            <w:vAlign w:val="top"/>
          </w:tcPr>
          <w:p w14:paraId="2AF36DF9">
            <w:pPr>
              <w:spacing w:before="152"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.50</w:t>
            </w:r>
          </w:p>
        </w:tc>
        <w:tc>
          <w:tcPr>
            <w:tcW w:w="1125" w:type="dxa"/>
            <w:tcBorders>
              <w:right w:val="nil"/>
            </w:tcBorders>
            <w:vAlign w:val="top"/>
          </w:tcPr>
          <w:p w14:paraId="65304810">
            <w:pPr>
              <w:spacing w:before="116" w:line="230" w:lineRule="auto"/>
              <w:ind w:left="366"/>
              <w:rPr>
                <w:rFonts w:ascii="宋体" w:hAnsi="宋体" w:eastAsia="宋体" w:cs="宋体"/>
                <w:sz w:val="20"/>
                <w:szCs w:val="20"/>
              </w:rPr>
            </w:pPr>
            <w:r>
              <w:rPr>
                <w:rFonts w:ascii="宋体" w:hAnsi="宋体" w:eastAsia="宋体" w:cs="宋体"/>
                <w:spacing w:val="3"/>
                <w:sz w:val="20"/>
                <w:szCs w:val="20"/>
              </w:rPr>
              <w:t>二级</w:t>
            </w:r>
          </w:p>
        </w:tc>
      </w:tr>
    </w:tbl>
    <w:p w14:paraId="1EC89F9C">
      <w:pPr>
        <w:rPr>
          <w:rFonts w:ascii="Arial"/>
          <w:sz w:val="21"/>
        </w:rPr>
      </w:pPr>
    </w:p>
    <w:p w14:paraId="2E9BED2C">
      <w:pPr>
        <w:sectPr>
          <w:headerReference r:id="rId67" w:type="default"/>
          <w:footerReference r:id="rId68" w:type="default"/>
          <w:pgSz w:w="11906" w:h="16839"/>
          <w:pgMar w:top="1132" w:right="1691" w:bottom="1156" w:left="1691" w:header="878" w:footer="996" w:gutter="0"/>
          <w:cols w:space="720" w:num="1"/>
        </w:sectPr>
      </w:pPr>
    </w:p>
    <w:p w14:paraId="3997021F">
      <w:pPr>
        <w:spacing w:line="408" w:lineRule="auto"/>
        <w:rPr>
          <w:rFonts w:ascii="Arial"/>
          <w:sz w:val="21"/>
        </w:rPr>
      </w:pPr>
      <w:r>
        <w:pict>
          <v:shape id="_x0000_s1095" o:spid="_x0000_s1095" style="position:absolute;left:0pt;margin-left:90pt;margin-top:57.35pt;height:0.75pt;width:415.3pt;mso-position-horizontal-relative:page;mso-position-vertical-relative:page;z-index:251731968;mso-width-relative:page;mso-height-relative:page;" fillcolor="#000000" filled="t" stroked="f" coordsize="8305,15" o:allowincell="f" path="m0,0l8305,0,8305,14,0,14,0,0xe">
            <v:path/>
            <v:fill on="t" focussize="0,0"/>
            <v:stroke on="f"/>
            <v:imagedata o:title=""/>
            <o:lock v:ext="edit"/>
          </v:shape>
        </w:pict>
      </w:r>
    </w:p>
    <w:p w14:paraId="79808EF3">
      <w:pPr>
        <w:spacing w:before="75" w:line="380" w:lineRule="auto"/>
        <w:ind w:left="116" w:right="110" w:firstLine="452"/>
        <w:rPr>
          <w:rFonts w:ascii="宋体" w:hAnsi="宋体" w:eastAsia="宋体" w:cs="宋体"/>
          <w:sz w:val="23"/>
          <w:szCs w:val="23"/>
        </w:rPr>
      </w:pPr>
      <w:r>
        <w:rPr>
          <w:rFonts w:ascii="宋体" w:hAnsi="宋体" w:eastAsia="宋体" w:cs="宋体"/>
          <w:spacing w:val="1"/>
          <w:sz w:val="23"/>
          <w:szCs w:val="23"/>
        </w:rPr>
        <w:t>根据上表，估算模式计算得到正常工况下本项目大气</w:t>
      </w:r>
      <w:r>
        <w:rPr>
          <w:rFonts w:ascii="宋体" w:hAnsi="宋体" w:eastAsia="宋体" w:cs="宋体"/>
          <w:sz w:val="23"/>
          <w:szCs w:val="23"/>
        </w:rPr>
        <w:t xml:space="preserve">污染物最大地面浓度占标 </w:t>
      </w:r>
      <w:r>
        <w:rPr>
          <w:rFonts w:ascii="宋体" w:hAnsi="宋体" w:eastAsia="宋体" w:cs="宋体"/>
          <w:spacing w:val="-14"/>
          <w:sz w:val="23"/>
          <w:szCs w:val="23"/>
        </w:rPr>
        <w:t xml:space="preserve">率 </w:t>
      </w:r>
      <w:r>
        <w:rPr>
          <w:rFonts w:ascii="Times New Roman" w:hAnsi="Times New Roman" w:eastAsia="Times New Roman" w:cs="Times New Roman"/>
          <w:spacing w:val="-7"/>
          <w:sz w:val="23"/>
          <w:szCs w:val="23"/>
        </w:rPr>
        <w:t>Pi</w:t>
      </w:r>
      <w:r>
        <w:rPr>
          <w:rFonts w:ascii="Times New Roman" w:hAnsi="Times New Roman" w:eastAsia="Times New Roman" w:cs="Times New Roman"/>
          <w:spacing w:val="-14"/>
          <w:sz w:val="23"/>
          <w:szCs w:val="23"/>
        </w:rPr>
        <w:t xml:space="preserve"> </w:t>
      </w:r>
      <w:r>
        <w:rPr>
          <w:rFonts w:ascii="宋体" w:hAnsi="宋体" w:eastAsia="宋体" w:cs="宋体"/>
          <w:spacing w:val="-7"/>
          <w:sz w:val="23"/>
          <w:szCs w:val="23"/>
        </w:rPr>
        <w:t xml:space="preserve">最大值为 </w:t>
      </w:r>
      <w:r>
        <w:rPr>
          <w:rFonts w:ascii="Times New Roman" w:hAnsi="Times New Roman" w:eastAsia="Times New Roman" w:cs="Times New Roman"/>
          <w:spacing w:val="-7"/>
          <w:sz w:val="23"/>
          <w:szCs w:val="23"/>
        </w:rPr>
        <w:t xml:space="preserve">9.21% </w:t>
      </w:r>
      <w:r>
        <w:rPr>
          <w:rFonts w:ascii="宋体" w:hAnsi="宋体" w:eastAsia="宋体" w:cs="宋体"/>
          <w:spacing w:val="-7"/>
          <w:sz w:val="23"/>
          <w:szCs w:val="23"/>
        </w:rPr>
        <w:t xml:space="preserve">，大于 </w:t>
      </w:r>
      <w:r>
        <w:rPr>
          <w:rFonts w:ascii="Times New Roman" w:hAnsi="Times New Roman" w:eastAsia="Times New Roman" w:cs="Times New Roman"/>
          <w:spacing w:val="-7"/>
          <w:sz w:val="23"/>
          <w:szCs w:val="23"/>
        </w:rPr>
        <w:t>1%</w:t>
      </w:r>
      <w:r>
        <w:rPr>
          <w:rFonts w:ascii="宋体" w:hAnsi="宋体" w:eastAsia="宋体" w:cs="宋体"/>
          <w:spacing w:val="-7"/>
          <w:sz w:val="23"/>
          <w:szCs w:val="23"/>
        </w:rPr>
        <w:t xml:space="preserve">，小于 </w:t>
      </w:r>
      <w:r>
        <w:rPr>
          <w:rFonts w:ascii="Times New Roman" w:hAnsi="Times New Roman" w:eastAsia="Times New Roman" w:cs="Times New Roman"/>
          <w:spacing w:val="-7"/>
          <w:sz w:val="23"/>
          <w:szCs w:val="23"/>
        </w:rPr>
        <w:t>10%</w:t>
      </w:r>
      <w:r>
        <w:rPr>
          <w:rFonts w:ascii="宋体" w:hAnsi="宋体" w:eastAsia="宋体" w:cs="宋体"/>
          <w:spacing w:val="-7"/>
          <w:sz w:val="23"/>
          <w:szCs w:val="23"/>
        </w:rPr>
        <w:t xml:space="preserve">；根据表 </w:t>
      </w:r>
      <w:r>
        <w:rPr>
          <w:rFonts w:ascii="Times New Roman" w:hAnsi="Times New Roman" w:eastAsia="Times New Roman" w:cs="Times New Roman"/>
          <w:spacing w:val="-7"/>
          <w:sz w:val="23"/>
          <w:szCs w:val="23"/>
        </w:rPr>
        <w:t xml:space="preserve">2-14 </w:t>
      </w:r>
      <w:r>
        <w:rPr>
          <w:rFonts w:ascii="宋体" w:hAnsi="宋体" w:eastAsia="宋体" w:cs="宋体"/>
          <w:spacing w:val="-7"/>
          <w:sz w:val="23"/>
          <w:szCs w:val="23"/>
        </w:rPr>
        <w:t>确定本项目环境空气影响</w:t>
      </w:r>
      <w:r>
        <w:rPr>
          <w:rFonts w:ascii="宋体" w:hAnsi="宋体" w:eastAsia="宋体" w:cs="宋体"/>
          <w:sz w:val="23"/>
          <w:szCs w:val="23"/>
        </w:rPr>
        <w:t xml:space="preserve"> </w:t>
      </w:r>
      <w:r>
        <w:rPr>
          <w:rFonts w:ascii="宋体" w:hAnsi="宋体" w:eastAsia="宋体" w:cs="宋体"/>
          <w:spacing w:val="-4"/>
          <w:sz w:val="23"/>
          <w:szCs w:val="23"/>
        </w:rPr>
        <w:t>评价工</w:t>
      </w:r>
      <w:r>
        <w:rPr>
          <w:rFonts w:ascii="宋体" w:hAnsi="宋体" w:eastAsia="宋体" w:cs="宋体"/>
          <w:spacing w:val="-3"/>
          <w:sz w:val="23"/>
          <w:szCs w:val="23"/>
        </w:rPr>
        <w:t>作</w:t>
      </w:r>
      <w:r>
        <w:rPr>
          <w:rFonts w:ascii="宋体" w:hAnsi="宋体" w:eastAsia="宋体" w:cs="宋体"/>
          <w:spacing w:val="-2"/>
          <w:sz w:val="23"/>
          <w:szCs w:val="23"/>
        </w:rPr>
        <w:t>等级应定为二级。</w:t>
      </w:r>
    </w:p>
    <w:p w14:paraId="08A5B3B7">
      <w:pPr>
        <w:spacing w:before="152" w:line="220" w:lineRule="auto"/>
        <w:ind w:left="114"/>
        <w:outlineLvl w:val="3"/>
        <w:rPr>
          <w:rFonts w:ascii="宋体" w:hAnsi="宋体" w:eastAsia="宋体" w:cs="宋体"/>
          <w:sz w:val="28"/>
          <w:szCs w:val="28"/>
        </w:rPr>
      </w:pPr>
      <w:r>
        <w:rPr>
          <w:rFonts w:ascii="Times New Roman" w:hAnsi="Times New Roman" w:eastAsia="Times New Roman" w:cs="Times New Roman"/>
          <w:b/>
          <w:bCs/>
          <w:spacing w:val="-1"/>
          <w:sz w:val="28"/>
          <w:szCs w:val="28"/>
        </w:rPr>
        <w:t>2.6.1.2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地表水环境</w:t>
      </w:r>
    </w:p>
    <w:p w14:paraId="5C8973AE">
      <w:pPr>
        <w:spacing w:line="270" w:lineRule="auto"/>
        <w:rPr>
          <w:rFonts w:ascii="Arial"/>
          <w:sz w:val="21"/>
        </w:rPr>
      </w:pPr>
    </w:p>
    <w:p w14:paraId="437408B7">
      <w:pPr>
        <w:spacing w:before="75" w:line="389" w:lineRule="auto"/>
        <w:ind w:left="117" w:right="48" w:firstLine="431"/>
        <w:rPr>
          <w:rFonts w:ascii="宋体" w:hAnsi="宋体" w:eastAsia="宋体" w:cs="宋体"/>
          <w:sz w:val="23"/>
          <w:szCs w:val="23"/>
        </w:rPr>
      </w:pPr>
      <w:r>
        <w:rPr>
          <w:rFonts w:ascii="宋体" w:hAnsi="宋体" w:eastAsia="宋体" w:cs="宋体"/>
          <w:spacing w:val="15"/>
          <w:sz w:val="23"/>
          <w:szCs w:val="23"/>
        </w:rPr>
        <w:t>该</w:t>
      </w:r>
      <w:r>
        <w:rPr>
          <w:rFonts w:ascii="宋体" w:hAnsi="宋体" w:eastAsia="宋体" w:cs="宋体"/>
          <w:spacing w:val="8"/>
          <w:sz w:val="23"/>
          <w:szCs w:val="23"/>
        </w:rPr>
        <w:t>项目在厂区东南侧设有旱厕，员工使用防渗旱厕，定期清掏，不外排；生</w:t>
      </w:r>
      <w:r>
        <w:rPr>
          <w:rFonts w:ascii="宋体" w:hAnsi="宋体" w:eastAsia="宋体" w:cs="宋体"/>
          <w:sz w:val="23"/>
          <w:szCs w:val="23"/>
        </w:rPr>
        <w:t xml:space="preserve"> </w:t>
      </w:r>
      <w:r>
        <w:rPr>
          <w:rFonts w:ascii="宋体" w:hAnsi="宋体" w:eastAsia="宋体" w:cs="宋体"/>
          <w:spacing w:val="-8"/>
          <w:sz w:val="23"/>
          <w:szCs w:val="23"/>
        </w:rPr>
        <w:t>产废水经一体</w:t>
      </w:r>
      <w:r>
        <w:rPr>
          <w:rFonts w:ascii="宋体" w:hAnsi="宋体" w:eastAsia="宋体" w:cs="宋体"/>
          <w:spacing w:val="-7"/>
          <w:sz w:val="23"/>
          <w:szCs w:val="23"/>
        </w:rPr>
        <w:t>化</w:t>
      </w:r>
      <w:r>
        <w:rPr>
          <w:rFonts w:ascii="宋体" w:hAnsi="宋体" w:eastAsia="宋体" w:cs="宋体"/>
          <w:spacing w:val="-4"/>
          <w:sz w:val="23"/>
          <w:szCs w:val="23"/>
        </w:rPr>
        <w:t>污水预处理设备处理后排入三级沉淀池 (</w:t>
      </w:r>
      <w:r>
        <w:rPr>
          <w:rFonts w:ascii="Times New Roman" w:hAnsi="Times New Roman" w:eastAsia="Times New Roman" w:cs="Times New Roman"/>
          <w:spacing w:val="-4"/>
          <w:sz w:val="23"/>
          <w:szCs w:val="23"/>
        </w:rPr>
        <w:t>12m×6m×4.5m</w:t>
      </w:r>
      <w:r>
        <w:rPr>
          <w:rFonts w:ascii="宋体" w:hAnsi="宋体" w:eastAsia="宋体" w:cs="宋体"/>
          <w:spacing w:val="-4"/>
          <w:sz w:val="23"/>
          <w:szCs w:val="23"/>
        </w:rPr>
        <w:t>) 沉淀处理，</w:t>
      </w:r>
      <w:r>
        <w:rPr>
          <w:rFonts w:ascii="宋体" w:hAnsi="宋体" w:eastAsia="宋体" w:cs="宋体"/>
          <w:sz w:val="23"/>
          <w:szCs w:val="23"/>
        </w:rPr>
        <w:t xml:space="preserve"> </w:t>
      </w:r>
      <w:r>
        <w:rPr>
          <w:rFonts w:ascii="宋体" w:hAnsi="宋体" w:eastAsia="宋体" w:cs="宋体"/>
          <w:spacing w:val="-21"/>
          <w:sz w:val="23"/>
          <w:szCs w:val="23"/>
        </w:rPr>
        <w:t>随</w:t>
      </w:r>
      <w:r>
        <w:rPr>
          <w:rFonts w:ascii="宋体" w:hAnsi="宋体" w:eastAsia="宋体" w:cs="宋体"/>
          <w:spacing w:val="-12"/>
          <w:sz w:val="23"/>
          <w:szCs w:val="23"/>
        </w:rPr>
        <w:t xml:space="preserve">后循环使用，污水处理设施废水每月更换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次，更换过程产生的废水经吸污车运送至</w:t>
      </w:r>
      <w:r>
        <w:rPr>
          <w:rFonts w:ascii="宋体" w:hAnsi="宋体" w:eastAsia="宋体" w:cs="宋体"/>
          <w:sz w:val="23"/>
          <w:szCs w:val="23"/>
        </w:rPr>
        <w:t xml:space="preserve"> </w:t>
      </w:r>
      <w:r>
        <w:rPr>
          <w:rFonts w:ascii="宋体" w:hAnsi="宋体" w:eastAsia="宋体" w:cs="宋体"/>
          <w:spacing w:val="-26"/>
          <w:sz w:val="23"/>
          <w:szCs w:val="23"/>
        </w:rPr>
        <w:t>本</w:t>
      </w:r>
      <w:r>
        <w:rPr>
          <w:rFonts w:ascii="宋体" w:hAnsi="宋体" w:eastAsia="宋体" w:cs="宋体"/>
          <w:spacing w:val="-14"/>
          <w:sz w:val="23"/>
          <w:szCs w:val="23"/>
        </w:rPr>
        <w:t>溪</w:t>
      </w:r>
      <w:r>
        <w:rPr>
          <w:rFonts w:ascii="宋体" w:hAnsi="宋体" w:eastAsia="宋体" w:cs="宋体"/>
          <w:spacing w:val="-13"/>
          <w:sz w:val="23"/>
          <w:szCs w:val="23"/>
        </w:rPr>
        <w:t>市科态污水处理有限责任公司统一处理。</w:t>
      </w:r>
    </w:p>
    <w:p w14:paraId="142E3F29">
      <w:pPr>
        <w:spacing w:before="149" w:line="226" w:lineRule="auto"/>
        <w:ind w:left="544"/>
        <w:rPr>
          <w:rFonts w:ascii="宋体" w:hAnsi="宋体" w:eastAsia="宋体" w:cs="宋体"/>
          <w:sz w:val="23"/>
          <w:szCs w:val="23"/>
        </w:rPr>
      </w:pPr>
      <w:r>
        <w:rPr>
          <w:rFonts w:ascii="宋体" w:hAnsi="宋体" w:eastAsia="宋体" w:cs="宋体"/>
          <w:spacing w:val="-20"/>
          <w:sz w:val="23"/>
          <w:szCs w:val="23"/>
        </w:rPr>
        <w:t>根据《</w:t>
      </w:r>
      <w:r>
        <w:rPr>
          <w:rFonts w:ascii="宋体" w:hAnsi="宋体" w:eastAsia="宋体" w:cs="宋体"/>
          <w:spacing w:val="-14"/>
          <w:sz w:val="23"/>
          <w:szCs w:val="23"/>
        </w:rPr>
        <w:t>环</w:t>
      </w:r>
      <w:r>
        <w:rPr>
          <w:rFonts w:ascii="宋体" w:hAnsi="宋体" w:eastAsia="宋体" w:cs="宋体"/>
          <w:spacing w:val="-10"/>
          <w:sz w:val="23"/>
          <w:szCs w:val="23"/>
        </w:rPr>
        <w:t>境影响评价技术导则地表水环境》(</w:t>
      </w:r>
      <w:r>
        <w:rPr>
          <w:rFonts w:ascii="Times New Roman" w:hAnsi="Times New Roman" w:eastAsia="Times New Roman" w:cs="Times New Roman"/>
          <w:spacing w:val="-10"/>
          <w:sz w:val="23"/>
          <w:szCs w:val="23"/>
        </w:rPr>
        <w:t>HJ 2.3-2018</w:t>
      </w:r>
      <w:r>
        <w:rPr>
          <w:rFonts w:ascii="宋体" w:hAnsi="宋体" w:eastAsia="宋体" w:cs="宋体"/>
          <w:spacing w:val="-10"/>
          <w:sz w:val="23"/>
          <w:szCs w:val="23"/>
        </w:rPr>
        <w:t>)评价等级确定根据表</w:t>
      </w:r>
      <w:r>
        <w:rPr>
          <w:rFonts w:ascii="Times New Roman" w:hAnsi="Times New Roman" w:eastAsia="Times New Roman" w:cs="Times New Roman"/>
          <w:spacing w:val="-10"/>
          <w:sz w:val="23"/>
          <w:szCs w:val="23"/>
        </w:rPr>
        <w:t>2-17</w:t>
      </w:r>
      <w:r>
        <w:rPr>
          <w:rFonts w:ascii="宋体" w:hAnsi="宋体" w:eastAsia="宋体" w:cs="宋体"/>
          <w:spacing w:val="-10"/>
          <w:sz w:val="23"/>
          <w:szCs w:val="23"/>
        </w:rPr>
        <w:t>。</w:t>
      </w:r>
    </w:p>
    <w:p w14:paraId="0023878E">
      <w:pPr>
        <w:spacing w:line="287" w:lineRule="auto"/>
        <w:rPr>
          <w:rFonts w:ascii="Arial"/>
          <w:sz w:val="21"/>
        </w:rPr>
      </w:pPr>
    </w:p>
    <w:p w14:paraId="0D0697D5">
      <w:pPr>
        <w:spacing w:before="75" w:line="226" w:lineRule="auto"/>
        <w:ind w:left="2084"/>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2-1</w:t>
      </w:r>
      <w:r>
        <w:rPr>
          <w:rFonts w:ascii="Times New Roman" w:hAnsi="Times New Roman" w:eastAsia="Times New Roman" w:cs="Times New Roman"/>
          <w:b/>
          <w:bCs/>
          <w:spacing w:val="-4"/>
          <w:sz w:val="23"/>
          <w:szCs w:val="23"/>
        </w:rPr>
        <w:t>7</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水污染影响型建设项目评价等级判定</w:t>
      </w:r>
    </w:p>
    <w:p w14:paraId="7EA21FC4">
      <w:pPr>
        <w:spacing w:line="20"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0"/>
        <w:gridCol w:w="1517"/>
        <w:gridCol w:w="5075"/>
      </w:tblGrid>
      <w:tr w14:paraId="3C22A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930" w:type="dxa"/>
            <w:vMerge w:val="restart"/>
            <w:tcBorders>
              <w:left w:val="nil"/>
              <w:bottom w:val="nil"/>
            </w:tcBorders>
            <w:vAlign w:val="top"/>
          </w:tcPr>
          <w:p w14:paraId="14E711E3">
            <w:pPr>
              <w:spacing w:before="216" w:line="226" w:lineRule="auto"/>
              <w:ind w:left="578"/>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评价等</w:t>
            </w:r>
            <w:r>
              <w:rPr>
                <w:rFonts w:ascii="宋体" w:hAnsi="宋体" w:eastAsia="宋体" w:cs="宋体"/>
                <w:sz w:val="20"/>
                <w:szCs w:val="20"/>
                <w14:textOutline w14:w="3795" w14:cap="sq" w14:cmpd="sng">
                  <w14:solidFill>
                    <w14:srgbClr w14:val="000000"/>
                  </w14:solidFill>
                  <w14:prstDash w14:val="solid"/>
                  <w14:bevel/>
                </w14:textOutline>
              </w:rPr>
              <w:t>级</w:t>
            </w:r>
          </w:p>
        </w:tc>
        <w:tc>
          <w:tcPr>
            <w:tcW w:w="6592" w:type="dxa"/>
            <w:gridSpan w:val="2"/>
            <w:tcBorders>
              <w:right w:val="nil"/>
            </w:tcBorders>
            <w:vAlign w:val="top"/>
          </w:tcPr>
          <w:p w14:paraId="6C2657F1">
            <w:pPr>
              <w:spacing w:before="74" w:line="227" w:lineRule="auto"/>
              <w:ind w:left="290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判定依据</w:t>
            </w:r>
          </w:p>
        </w:tc>
      </w:tr>
      <w:tr w14:paraId="0DFE8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930" w:type="dxa"/>
            <w:vMerge w:val="continue"/>
            <w:tcBorders>
              <w:top w:val="nil"/>
              <w:left w:val="nil"/>
            </w:tcBorders>
            <w:vAlign w:val="top"/>
          </w:tcPr>
          <w:p w14:paraId="56823F38">
            <w:pPr>
              <w:rPr>
                <w:rFonts w:ascii="Arial"/>
                <w:sz w:val="21"/>
              </w:rPr>
            </w:pPr>
          </w:p>
        </w:tc>
        <w:tc>
          <w:tcPr>
            <w:tcW w:w="1517" w:type="dxa"/>
            <w:vAlign w:val="top"/>
          </w:tcPr>
          <w:p w14:paraId="4C016161">
            <w:pPr>
              <w:spacing w:before="33" w:line="224" w:lineRule="auto"/>
              <w:ind w:left="37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排放方式</w:t>
            </w:r>
          </w:p>
        </w:tc>
        <w:tc>
          <w:tcPr>
            <w:tcW w:w="5075" w:type="dxa"/>
            <w:tcBorders>
              <w:right w:val="nil"/>
            </w:tcBorders>
            <w:vAlign w:val="top"/>
          </w:tcPr>
          <w:p w14:paraId="351E46D3">
            <w:pPr>
              <w:spacing w:line="275" w:lineRule="exact"/>
              <w:ind w:left="121"/>
              <w:rPr>
                <w:rFonts w:ascii="宋体" w:hAnsi="宋体" w:eastAsia="宋体" w:cs="宋体"/>
                <w:sz w:val="19"/>
                <w:szCs w:val="19"/>
              </w:rPr>
            </w:pPr>
            <w:r>
              <w:rPr>
                <w:rFonts w:ascii="宋体" w:hAnsi="宋体" w:eastAsia="宋体" w:cs="宋体"/>
                <w:spacing w:val="6"/>
                <w:position w:val="2"/>
                <w:sz w:val="19"/>
                <w:szCs w:val="19"/>
                <w14:textOutline w14:w="3626" w14:cap="sq" w14:cmpd="sng">
                  <w14:solidFill>
                    <w14:srgbClr w14:val="000000"/>
                  </w14:solidFill>
                  <w14:prstDash w14:val="solid"/>
                  <w14:bevel/>
                </w14:textOutline>
              </w:rPr>
              <w:t>废水排放量</w:t>
            </w:r>
            <w:r>
              <w:rPr>
                <w:rFonts w:ascii="宋体" w:hAnsi="宋体" w:eastAsia="宋体" w:cs="宋体"/>
                <w:spacing w:val="6"/>
                <w:position w:val="2"/>
                <w:sz w:val="19"/>
                <w:szCs w:val="19"/>
              </w:rPr>
              <w:t xml:space="preserve"> </w:t>
            </w:r>
            <w:r>
              <w:rPr>
                <w:rFonts w:ascii="Times New Roman" w:hAnsi="Times New Roman" w:eastAsia="Times New Roman" w:cs="Times New Roman"/>
                <w:b/>
                <w:bCs/>
                <w:position w:val="2"/>
                <w:sz w:val="19"/>
                <w:szCs w:val="19"/>
              </w:rPr>
              <w:t>Q</w:t>
            </w:r>
            <w:r>
              <w:rPr>
                <w:rFonts w:ascii="Times New Roman" w:hAnsi="Times New Roman" w:eastAsia="Times New Roman" w:cs="Times New Roman"/>
                <w:b/>
                <w:bCs/>
                <w:spacing w:val="6"/>
                <w:position w:val="2"/>
                <w:sz w:val="19"/>
                <w:szCs w:val="19"/>
              </w:rPr>
              <w:t>/</w:t>
            </w:r>
            <w:r>
              <w:rPr>
                <w:rFonts w:ascii="Times New Roman" w:hAnsi="Times New Roman" w:eastAsia="Times New Roman" w:cs="Times New Roman"/>
                <w:spacing w:val="6"/>
                <w:position w:val="2"/>
                <w:sz w:val="19"/>
                <w:szCs w:val="19"/>
              </w:rPr>
              <w:t xml:space="preserve">  </w:t>
            </w:r>
            <w:r>
              <w:rPr>
                <w:rFonts w:ascii="宋体" w:hAnsi="宋体" w:eastAsia="宋体" w:cs="宋体"/>
                <w:spacing w:val="6"/>
                <w:position w:val="2"/>
                <w:sz w:val="19"/>
                <w:szCs w:val="19"/>
                <w14:textOutline w14:w="3626" w14:cap="sq" w14:cmpd="sng">
                  <w14:solidFill>
                    <w14:srgbClr w14:val="000000"/>
                  </w14:solidFill>
                  <w14:prstDash w14:val="solid"/>
                  <w14:bevel/>
                </w14:textOutline>
              </w:rPr>
              <w:t>(</w:t>
            </w:r>
            <w:r>
              <w:rPr>
                <w:rFonts w:ascii="Times New Roman" w:hAnsi="Times New Roman" w:eastAsia="Times New Roman" w:cs="Times New Roman"/>
                <w:b/>
                <w:bCs/>
                <w:position w:val="2"/>
                <w:sz w:val="19"/>
                <w:szCs w:val="19"/>
              </w:rPr>
              <w:t>m</w:t>
            </w:r>
            <w:r>
              <w:rPr>
                <w:rFonts w:ascii="Times New Roman" w:hAnsi="Times New Roman" w:eastAsia="Times New Roman" w:cs="Times New Roman"/>
                <w:b/>
                <w:bCs/>
                <w:spacing w:val="6"/>
                <w:position w:val="8"/>
                <w:sz w:val="13"/>
                <w:szCs w:val="13"/>
              </w:rPr>
              <w:t>3</w:t>
            </w:r>
            <w:r>
              <w:rPr>
                <w:rFonts w:ascii="Times New Roman" w:hAnsi="Times New Roman" w:eastAsia="Times New Roman" w:cs="Times New Roman"/>
                <w:b/>
                <w:bCs/>
                <w:spacing w:val="6"/>
                <w:position w:val="2"/>
                <w:sz w:val="19"/>
                <w:szCs w:val="19"/>
              </w:rPr>
              <w:t>/</w:t>
            </w:r>
            <w:r>
              <w:rPr>
                <w:rFonts w:ascii="Times New Roman" w:hAnsi="Times New Roman" w:eastAsia="Times New Roman" w:cs="Times New Roman"/>
                <w:b/>
                <w:bCs/>
                <w:position w:val="2"/>
                <w:sz w:val="19"/>
                <w:szCs w:val="19"/>
              </w:rPr>
              <w:t>d</w:t>
            </w:r>
            <w:r>
              <w:rPr>
                <w:rFonts w:ascii="宋体" w:hAnsi="宋体" w:eastAsia="宋体" w:cs="宋体"/>
                <w:spacing w:val="6"/>
                <w:position w:val="2"/>
                <w:sz w:val="19"/>
                <w:szCs w:val="19"/>
                <w14:textOutline w14:w="3626" w14:cap="sq" w14:cmpd="sng">
                  <w14:solidFill>
                    <w14:srgbClr w14:val="000000"/>
                  </w14:solidFill>
                  <w14:prstDash w14:val="solid"/>
                  <w14:bevel/>
                </w14:textOutline>
              </w:rPr>
              <w:t>)</w:t>
            </w:r>
            <w:r>
              <w:rPr>
                <w:rFonts w:ascii="宋体" w:hAnsi="宋体" w:eastAsia="宋体" w:cs="宋体"/>
                <w:spacing w:val="6"/>
                <w:position w:val="2"/>
                <w:sz w:val="19"/>
                <w:szCs w:val="19"/>
              </w:rPr>
              <w:t xml:space="preserve"> </w:t>
            </w:r>
            <w:r>
              <w:rPr>
                <w:rFonts w:ascii="宋体" w:hAnsi="宋体" w:eastAsia="宋体" w:cs="宋体"/>
                <w:spacing w:val="6"/>
                <w:position w:val="2"/>
                <w:sz w:val="19"/>
                <w:szCs w:val="19"/>
                <w14:textOutline w14:w="3626" w14:cap="sq" w14:cmpd="sng">
                  <w14:solidFill>
                    <w14:srgbClr w14:val="000000"/>
                  </w14:solidFill>
                  <w14:prstDash w14:val="solid"/>
                  <w14:bevel/>
                </w14:textOutline>
              </w:rPr>
              <w:t>；水污染物当量数</w:t>
            </w:r>
            <w:r>
              <w:rPr>
                <w:rFonts w:ascii="Times New Roman" w:hAnsi="Times New Roman" w:eastAsia="Times New Roman" w:cs="Times New Roman"/>
                <w:b/>
                <w:bCs/>
                <w:position w:val="2"/>
                <w:sz w:val="19"/>
                <w:szCs w:val="19"/>
              </w:rPr>
              <w:t>W</w:t>
            </w:r>
            <w:r>
              <w:rPr>
                <w:rFonts w:ascii="Times New Roman" w:hAnsi="Times New Roman" w:eastAsia="Times New Roman" w:cs="Times New Roman"/>
                <w:b/>
                <w:bCs/>
                <w:spacing w:val="6"/>
                <w:position w:val="2"/>
                <w:sz w:val="19"/>
                <w:szCs w:val="19"/>
              </w:rPr>
              <w:t>/</w:t>
            </w:r>
            <w:r>
              <w:rPr>
                <w:rFonts w:ascii="Times New Roman" w:hAnsi="Times New Roman" w:eastAsia="Times New Roman" w:cs="Times New Roman"/>
                <w:spacing w:val="6"/>
                <w:position w:val="2"/>
                <w:sz w:val="19"/>
                <w:szCs w:val="19"/>
              </w:rPr>
              <w:t xml:space="preserve">  </w:t>
            </w:r>
            <w:r>
              <w:rPr>
                <w:rFonts w:ascii="宋体" w:hAnsi="宋体" w:eastAsia="宋体" w:cs="宋体"/>
                <w:spacing w:val="6"/>
                <w:position w:val="2"/>
                <w:sz w:val="19"/>
                <w:szCs w:val="19"/>
                <w14:textOutline w14:w="3626" w14:cap="sq" w14:cmpd="sng">
                  <w14:solidFill>
                    <w14:srgbClr w14:val="000000"/>
                  </w14:solidFill>
                  <w14:prstDash w14:val="solid"/>
                  <w14:bevel/>
                </w14:textOutline>
              </w:rPr>
              <w:t>(无量纲</w:t>
            </w:r>
            <w:r>
              <w:rPr>
                <w:rFonts w:ascii="宋体" w:hAnsi="宋体" w:eastAsia="宋体" w:cs="宋体"/>
                <w:spacing w:val="4"/>
                <w:position w:val="2"/>
                <w:sz w:val="19"/>
                <w:szCs w:val="19"/>
                <w14:textOutline w14:w="3626" w14:cap="sq" w14:cmpd="sng">
                  <w14:solidFill>
                    <w14:srgbClr w14:val="000000"/>
                  </w14:solidFill>
                  <w14:prstDash w14:val="solid"/>
                  <w14:bevel/>
                </w14:textOutline>
              </w:rPr>
              <w:t>)</w:t>
            </w:r>
          </w:p>
        </w:tc>
      </w:tr>
      <w:tr w14:paraId="18291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30" w:type="dxa"/>
            <w:tcBorders>
              <w:left w:val="nil"/>
            </w:tcBorders>
            <w:vAlign w:val="top"/>
          </w:tcPr>
          <w:p w14:paraId="72A82FEF">
            <w:pPr>
              <w:spacing w:before="61" w:line="230" w:lineRule="auto"/>
              <w:ind w:left="779"/>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1517" w:type="dxa"/>
            <w:vAlign w:val="top"/>
          </w:tcPr>
          <w:p w14:paraId="6B912C99">
            <w:pPr>
              <w:spacing w:before="61" w:line="229" w:lineRule="auto"/>
              <w:ind w:left="374"/>
              <w:rPr>
                <w:rFonts w:ascii="宋体" w:hAnsi="宋体" w:eastAsia="宋体" w:cs="宋体"/>
                <w:sz w:val="20"/>
                <w:szCs w:val="20"/>
              </w:rPr>
            </w:pPr>
            <w:r>
              <w:rPr>
                <w:rFonts w:ascii="宋体" w:hAnsi="宋体" w:eastAsia="宋体" w:cs="宋体"/>
                <w:spacing w:val="-2"/>
                <w:sz w:val="20"/>
                <w:szCs w:val="20"/>
              </w:rPr>
              <w:t>直接排放</w:t>
            </w:r>
          </w:p>
        </w:tc>
        <w:tc>
          <w:tcPr>
            <w:tcW w:w="5075" w:type="dxa"/>
            <w:tcBorders>
              <w:right w:val="nil"/>
            </w:tcBorders>
            <w:vAlign w:val="top"/>
          </w:tcPr>
          <w:p w14:paraId="262B168B">
            <w:pPr>
              <w:spacing w:before="24" w:line="281" w:lineRule="exact"/>
              <w:ind w:left="15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Q</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2"/>
                <w:position w:val="2"/>
                <w:sz w:val="20"/>
                <w:szCs w:val="20"/>
              </w:rPr>
              <w:t xml:space="preserve">20000 </w:t>
            </w:r>
            <w:r>
              <w:rPr>
                <w:rFonts w:ascii="宋体" w:hAnsi="宋体" w:eastAsia="宋体" w:cs="宋体"/>
                <w:spacing w:val="2"/>
                <w:position w:val="2"/>
                <w:sz w:val="20"/>
                <w:szCs w:val="20"/>
              </w:rPr>
              <w:t>或</w:t>
            </w:r>
            <w:r>
              <w:rPr>
                <w:rFonts w:ascii="Times New Roman" w:hAnsi="Times New Roman" w:eastAsia="Times New Roman" w:cs="Times New Roman"/>
                <w:position w:val="2"/>
                <w:sz w:val="20"/>
                <w:szCs w:val="20"/>
              </w:rPr>
              <w:t>W</w:t>
            </w:r>
            <w:r>
              <w:rPr>
                <w:rFonts w:ascii="Times New Roman" w:hAnsi="Times New Roman" w:eastAsia="Times New Roman" w:cs="Times New Roman"/>
                <w:spacing w:val="2"/>
                <w:position w:val="2"/>
                <w:sz w:val="20"/>
                <w:szCs w:val="20"/>
              </w:rPr>
              <w:t>≥600000</w:t>
            </w:r>
          </w:p>
        </w:tc>
      </w:tr>
      <w:tr w14:paraId="444D0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30" w:type="dxa"/>
            <w:tcBorders>
              <w:left w:val="nil"/>
            </w:tcBorders>
            <w:vAlign w:val="top"/>
          </w:tcPr>
          <w:p w14:paraId="14A1839F">
            <w:pPr>
              <w:spacing w:before="61" w:line="230" w:lineRule="auto"/>
              <w:ind w:left="779"/>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1517" w:type="dxa"/>
            <w:vAlign w:val="top"/>
          </w:tcPr>
          <w:p w14:paraId="5DDC3D4D">
            <w:pPr>
              <w:spacing w:before="61" w:line="229" w:lineRule="auto"/>
              <w:ind w:left="374"/>
              <w:rPr>
                <w:rFonts w:ascii="宋体" w:hAnsi="宋体" w:eastAsia="宋体" w:cs="宋体"/>
                <w:sz w:val="20"/>
                <w:szCs w:val="20"/>
              </w:rPr>
            </w:pPr>
            <w:r>
              <w:rPr>
                <w:rFonts w:ascii="宋体" w:hAnsi="宋体" w:eastAsia="宋体" w:cs="宋体"/>
                <w:spacing w:val="-2"/>
                <w:sz w:val="20"/>
                <w:szCs w:val="20"/>
              </w:rPr>
              <w:t>直接排放</w:t>
            </w:r>
          </w:p>
        </w:tc>
        <w:tc>
          <w:tcPr>
            <w:tcW w:w="5075" w:type="dxa"/>
            <w:tcBorders>
              <w:right w:val="nil"/>
            </w:tcBorders>
            <w:vAlign w:val="top"/>
          </w:tcPr>
          <w:p w14:paraId="331EA2A0">
            <w:pPr>
              <w:spacing w:before="61" w:line="228" w:lineRule="auto"/>
              <w:ind w:left="2348"/>
              <w:rPr>
                <w:rFonts w:ascii="宋体" w:hAnsi="宋体" w:eastAsia="宋体" w:cs="宋体"/>
                <w:sz w:val="20"/>
                <w:szCs w:val="20"/>
              </w:rPr>
            </w:pPr>
            <w:r>
              <w:rPr>
                <w:rFonts w:ascii="宋体" w:hAnsi="宋体" w:eastAsia="宋体" w:cs="宋体"/>
                <w:sz w:val="20"/>
                <w:szCs w:val="20"/>
              </w:rPr>
              <w:t>其他</w:t>
            </w:r>
          </w:p>
        </w:tc>
      </w:tr>
      <w:tr w14:paraId="0AB79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30" w:type="dxa"/>
            <w:tcBorders>
              <w:left w:val="nil"/>
            </w:tcBorders>
            <w:vAlign w:val="top"/>
          </w:tcPr>
          <w:p w14:paraId="0C18101B">
            <w:pPr>
              <w:spacing w:before="62" w:line="230" w:lineRule="auto"/>
              <w:ind w:left="680"/>
              <w:rPr>
                <w:rFonts w:ascii="Times New Roman" w:hAnsi="Times New Roman" w:eastAsia="Times New Roman" w:cs="Times New Roman"/>
                <w:sz w:val="20"/>
                <w:szCs w:val="20"/>
              </w:rPr>
            </w:pPr>
            <w:r>
              <w:rPr>
                <w:rFonts w:ascii="宋体" w:hAnsi="宋体" w:eastAsia="宋体" w:cs="宋体"/>
                <w:spacing w:val="20"/>
                <w:sz w:val="20"/>
                <w:szCs w:val="20"/>
              </w:rPr>
              <w:t>三</w:t>
            </w:r>
            <w:r>
              <w:rPr>
                <w:rFonts w:ascii="宋体" w:hAnsi="宋体" w:eastAsia="宋体" w:cs="宋体"/>
                <w:spacing w:val="19"/>
                <w:sz w:val="20"/>
                <w:szCs w:val="20"/>
              </w:rPr>
              <w:t>级</w:t>
            </w:r>
            <w:r>
              <w:rPr>
                <w:rFonts w:ascii="Times New Roman" w:hAnsi="Times New Roman" w:eastAsia="Times New Roman" w:cs="Times New Roman"/>
                <w:sz w:val="20"/>
                <w:szCs w:val="20"/>
              </w:rPr>
              <w:t>A</w:t>
            </w:r>
          </w:p>
        </w:tc>
        <w:tc>
          <w:tcPr>
            <w:tcW w:w="1517" w:type="dxa"/>
            <w:vAlign w:val="top"/>
          </w:tcPr>
          <w:p w14:paraId="63373286">
            <w:pPr>
              <w:spacing w:before="63" w:line="229" w:lineRule="auto"/>
              <w:ind w:left="374"/>
              <w:rPr>
                <w:rFonts w:ascii="宋体" w:hAnsi="宋体" w:eastAsia="宋体" w:cs="宋体"/>
                <w:sz w:val="20"/>
                <w:szCs w:val="20"/>
              </w:rPr>
            </w:pPr>
            <w:r>
              <w:rPr>
                <w:rFonts w:ascii="宋体" w:hAnsi="宋体" w:eastAsia="宋体" w:cs="宋体"/>
                <w:spacing w:val="-2"/>
                <w:sz w:val="20"/>
                <w:szCs w:val="20"/>
              </w:rPr>
              <w:t>直接排放</w:t>
            </w:r>
          </w:p>
        </w:tc>
        <w:tc>
          <w:tcPr>
            <w:tcW w:w="5075" w:type="dxa"/>
            <w:tcBorders>
              <w:right w:val="nil"/>
            </w:tcBorders>
            <w:vAlign w:val="top"/>
          </w:tcPr>
          <w:p w14:paraId="54C66007">
            <w:pPr>
              <w:spacing w:before="62" w:line="221" w:lineRule="auto"/>
              <w:ind w:left="1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Q</w:t>
            </w:r>
            <w:r>
              <w:rPr>
                <w:rFonts w:ascii="宋体" w:hAnsi="宋体" w:eastAsia="宋体" w:cs="宋体"/>
                <w:spacing w:val="-8"/>
                <w:sz w:val="20"/>
                <w:szCs w:val="20"/>
              </w:rPr>
              <w:t>＜</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 xml:space="preserve">且 </w:t>
            </w:r>
            <w:r>
              <w:rPr>
                <w:rFonts w:ascii="Times New Roman" w:hAnsi="Times New Roman" w:eastAsia="Times New Roman" w:cs="Times New Roman"/>
                <w:spacing w:val="-4"/>
                <w:sz w:val="20"/>
                <w:szCs w:val="20"/>
              </w:rPr>
              <w:t>W</w:t>
            </w:r>
            <w:r>
              <w:rPr>
                <w:rFonts w:ascii="宋体" w:hAnsi="宋体" w:eastAsia="宋体" w:cs="宋体"/>
                <w:spacing w:val="-4"/>
                <w:sz w:val="20"/>
                <w:szCs w:val="20"/>
              </w:rPr>
              <w:t>＜</w:t>
            </w:r>
            <w:r>
              <w:rPr>
                <w:rFonts w:ascii="Times New Roman" w:hAnsi="Times New Roman" w:eastAsia="Times New Roman" w:cs="Times New Roman"/>
                <w:spacing w:val="-4"/>
                <w:sz w:val="20"/>
                <w:szCs w:val="20"/>
              </w:rPr>
              <w:t>6000</w:t>
            </w:r>
          </w:p>
        </w:tc>
      </w:tr>
      <w:tr w14:paraId="7090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930" w:type="dxa"/>
            <w:tcBorders>
              <w:left w:val="nil"/>
            </w:tcBorders>
            <w:vAlign w:val="top"/>
          </w:tcPr>
          <w:p w14:paraId="5BC1A814">
            <w:pPr>
              <w:spacing w:before="64" w:line="230" w:lineRule="auto"/>
              <w:ind w:left="684"/>
              <w:rPr>
                <w:rFonts w:ascii="Times New Roman" w:hAnsi="Times New Roman" w:eastAsia="Times New Roman" w:cs="Times New Roman"/>
                <w:sz w:val="20"/>
                <w:szCs w:val="20"/>
              </w:rPr>
            </w:pPr>
            <w:r>
              <w:rPr>
                <w:rFonts w:ascii="宋体" w:hAnsi="宋体" w:eastAsia="宋体" w:cs="宋体"/>
                <w:spacing w:val="-17"/>
                <w:sz w:val="20"/>
                <w:szCs w:val="20"/>
              </w:rPr>
              <w:t>三</w:t>
            </w:r>
            <w:r>
              <w:rPr>
                <w:rFonts w:ascii="宋体" w:hAnsi="宋体" w:eastAsia="宋体" w:cs="宋体"/>
                <w:spacing w:val="-14"/>
                <w:sz w:val="20"/>
                <w:szCs w:val="20"/>
              </w:rPr>
              <w:t xml:space="preserve">级 </w:t>
            </w:r>
            <w:r>
              <w:rPr>
                <w:rFonts w:ascii="Times New Roman" w:hAnsi="Times New Roman" w:eastAsia="Times New Roman" w:cs="Times New Roman"/>
                <w:spacing w:val="-14"/>
                <w:sz w:val="20"/>
                <w:szCs w:val="20"/>
              </w:rPr>
              <w:t>B</w:t>
            </w:r>
          </w:p>
        </w:tc>
        <w:tc>
          <w:tcPr>
            <w:tcW w:w="1517" w:type="dxa"/>
            <w:vAlign w:val="top"/>
          </w:tcPr>
          <w:p w14:paraId="70A9CED2">
            <w:pPr>
              <w:spacing w:before="64" w:line="229" w:lineRule="auto"/>
              <w:ind w:left="388"/>
              <w:rPr>
                <w:rFonts w:ascii="宋体" w:hAnsi="宋体" w:eastAsia="宋体" w:cs="宋体"/>
                <w:sz w:val="20"/>
                <w:szCs w:val="20"/>
              </w:rPr>
            </w:pPr>
            <w:r>
              <w:rPr>
                <w:rFonts w:ascii="宋体" w:hAnsi="宋体" w:eastAsia="宋体" w:cs="宋体"/>
                <w:spacing w:val="-7"/>
                <w:sz w:val="20"/>
                <w:szCs w:val="20"/>
              </w:rPr>
              <w:t>间</w:t>
            </w:r>
            <w:r>
              <w:rPr>
                <w:rFonts w:ascii="宋体" w:hAnsi="宋体" w:eastAsia="宋体" w:cs="宋体"/>
                <w:spacing w:val="-5"/>
                <w:sz w:val="20"/>
                <w:szCs w:val="20"/>
              </w:rPr>
              <w:t>接排放</w:t>
            </w:r>
          </w:p>
        </w:tc>
        <w:tc>
          <w:tcPr>
            <w:tcW w:w="5075" w:type="dxa"/>
            <w:tcBorders>
              <w:right w:val="nil"/>
            </w:tcBorders>
            <w:vAlign w:val="top"/>
          </w:tcPr>
          <w:p w14:paraId="750C268B">
            <w:pPr>
              <w:spacing w:before="189" w:line="142" w:lineRule="exact"/>
              <w:ind w:left="2330"/>
              <w:rPr>
                <w:rFonts w:ascii="Times New Roman" w:hAnsi="Times New Roman" w:eastAsia="Times New Roman" w:cs="Times New Roman"/>
                <w:sz w:val="20"/>
                <w:szCs w:val="20"/>
              </w:rPr>
            </w:pPr>
            <w:r>
              <w:rPr>
                <w:rFonts w:ascii="Times New Roman" w:hAnsi="Times New Roman" w:eastAsia="Times New Roman" w:cs="Times New Roman"/>
                <w:spacing w:val="9"/>
                <w:position w:val="-1"/>
                <w:sz w:val="20"/>
                <w:szCs w:val="20"/>
              </w:rPr>
              <w:t>——</w:t>
            </w:r>
          </w:p>
        </w:tc>
      </w:tr>
    </w:tbl>
    <w:p w14:paraId="5E9CD95A">
      <w:pPr>
        <w:spacing w:line="269" w:lineRule="auto"/>
        <w:rPr>
          <w:rFonts w:ascii="Arial"/>
          <w:sz w:val="21"/>
        </w:rPr>
      </w:pPr>
    </w:p>
    <w:p w14:paraId="3B4321A4">
      <w:pPr>
        <w:spacing w:before="76" w:line="226" w:lineRule="auto"/>
        <w:ind w:left="568"/>
        <w:rPr>
          <w:rFonts w:ascii="宋体" w:hAnsi="宋体" w:eastAsia="宋体" w:cs="宋体"/>
          <w:sz w:val="23"/>
          <w:szCs w:val="23"/>
        </w:rPr>
      </w:pPr>
      <w:r>
        <w:rPr>
          <w:rFonts w:ascii="宋体" w:hAnsi="宋体" w:eastAsia="宋体" w:cs="宋体"/>
          <w:spacing w:val="-6"/>
          <w:sz w:val="23"/>
          <w:szCs w:val="23"/>
        </w:rPr>
        <w:t xml:space="preserve">确定本项目的地表水评价等级为三级 </w:t>
      </w:r>
      <w:r>
        <w:rPr>
          <w:rFonts w:ascii="Times New Roman" w:hAnsi="Times New Roman" w:eastAsia="Times New Roman" w:cs="Times New Roman"/>
          <w:spacing w:val="-6"/>
          <w:sz w:val="23"/>
          <w:szCs w:val="23"/>
        </w:rPr>
        <w:t>B</w:t>
      </w:r>
      <w:r>
        <w:rPr>
          <w:rFonts w:ascii="宋体" w:hAnsi="宋体" w:eastAsia="宋体" w:cs="宋体"/>
          <w:spacing w:val="-6"/>
          <w:sz w:val="23"/>
          <w:szCs w:val="23"/>
        </w:rPr>
        <w:t>。</w:t>
      </w:r>
    </w:p>
    <w:p w14:paraId="49B20127">
      <w:pPr>
        <w:spacing w:line="289" w:lineRule="auto"/>
        <w:rPr>
          <w:rFonts w:ascii="Arial"/>
          <w:sz w:val="21"/>
        </w:rPr>
      </w:pPr>
    </w:p>
    <w:p w14:paraId="41DC5EEA">
      <w:pPr>
        <w:spacing w:before="76" w:line="226" w:lineRule="auto"/>
        <w:ind w:left="568"/>
        <w:rPr>
          <w:rFonts w:ascii="宋体" w:hAnsi="宋体" w:eastAsia="宋体" w:cs="宋体"/>
          <w:sz w:val="23"/>
          <w:szCs w:val="23"/>
        </w:rPr>
      </w:pPr>
      <w:r>
        <w:rPr>
          <w:rFonts w:ascii="宋体" w:hAnsi="宋体" w:eastAsia="宋体" w:cs="宋体"/>
          <w:spacing w:val="-8"/>
          <w:sz w:val="23"/>
          <w:szCs w:val="23"/>
        </w:rPr>
        <w:t>根据地表水</w:t>
      </w:r>
      <w:r>
        <w:rPr>
          <w:rFonts w:ascii="宋体" w:hAnsi="宋体" w:eastAsia="宋体" w:cs="宋体"/>
          <w:spacing w:val="-4"/>
          <w:sz w:val="23"/>
          <w:szCs w:val="23"/>
        </w:rPr>
        <w:t xml:space="preserve">导则，等级为三级 </w:t>
      </w:r>
      <w:r>
        <w:rPr>
          <w:rFonts w:ascii="Times New Roman" w:hAnsi="Times New Roman" w:eastAsia="Times New Roman" w:cs="Times New Roman"/>
          <w:spacing w:val="-4"/>
          <w:sz w:val="23"/>
          <w:szCs w:val="23"/>
        </w:rPr>
        <w:t xml:space="preserve">B </w:t>
      </w:r>
      <w:r>
        <w:rPr>
          <w:rFonts w:ascii="宋体" w:hAnsi="宋体" w:eastAsia="宋体" w:cs="宋体"/>
          <w:spacing w:val="-4"/>
          <w:sz w:val="23"/>
          <w:szCs w:val="23"/>
        </w:rPr>
        <w:t>其评价范围应符合以下要求：</w:t>
      </w:r>
    </w:p>
    <w:p w14:paraId="30CE4986">
      <w:pPr>
        <w:spacing w:line="244" w:lineRule="auto"/>
        <w:rPr>
          <w:rFonts w:ascii="Arial"/>
          <w:sz w:val="21"/>
        </w:rPr>
      </w:pPr>
    </w:p>
    <w:p w14:paraId="6F0E1D2D">
      <w:pPr>
        <w:spacing w:before="75" w:line="323" w:lineRule="exact"/>
        <w:ind w:left="567"/>
        <w:rPr>
          <w:rFonts w:ascii="宋体" w:hAnsi="宋体" w:eastAsia="宋体" w:cs="宋体"/>
          <w:sz w:val="23"/>
          <w:szCs w:val="23"/>
        </w:rPr>
      </w:pPr>
      <w:r>
        <w:rPr>
          <w:rFonts w:ascii="Times New Roman" w:hAnsi="Times New Roman" w:eastAsia="Times New Roman" w:cs="Times New Roman"/>
          <w:position w:val="3"/>
          <w:sz w:val="23"/>
          <w:szCs w:val="23"/>
        </w:rPr>
        <w:t>a</w:t>
      </w:r>
      <w:r>
        <w:rPr>
          <w:rFonts w:ascii="Times New Roman" w:hAnsi="Times New Roman" w:eastAsia="Times New Roman" w:cs="Times New Roman"/>
          <w:spacing w:val="-1"/>
          <w:position w:val="3"/>
          <w:sz w:val="23"/>
          <w:szCs w:val="23"/>
        </w:rPr>
        <w:t xml:space="preserve">) </w:t>
      </w:r>
      <w:r>
        <w:rPr>
          <w:rFonts w:ascii="宋体" w:hAnsi="宋体" w:eastAsia="宋体" w:cs="宋体"/>
          <w:spacing w:val="-1"/>
          <w:position w:val="3"/>
          <w:sz w:val="23"/>
          <w:szCs w:val="23"/>
        </w:rPr>
        <w:t>应满足其依托污水处理设施环境可行</w:t>
      </w:r>
      <w:r>
        <w:rPr>
          <w:rFonts w:ascii="宋体" w:hAnsi="宋体" w:eastAsia="宋体" w:cs="宋体"/>
          <w:position w:val="3"/>
          <w:sz w:val="23"/>
          <w:szCs w:val="23"/>
        </w:rPr>
        <w:t>性分析的要求；</w:t>
      </w:r>
    </w:p>
    <w:p w14:paraId="7867D8A0">
      <w:pPr>
        <w:spacing w:before="157" w:line="323" w:lineRule="exact"/>
        <w:ind w:left="534"/>
        <w:rPr>
          <w:rFonts w:ascii="宋体" w:hAnsi="宋体" w:eastAsia="宋体" w:cs="宋体"/>
          <w:sz w:val="23"/>
          <w:szCs w:val="23"/>
        </w:rPr>
      </w:pPr>
      <w:r>
        <w:rPr>
          <w:rFonts w:ascii="Times New Roman" w:hAnsi="Times New Roman" w:eastAsia="Times New Roman" w:cs="Times New Roman"/>
          <w:spacing w:val="-12"/>
          <w:position w:val="3"/>
          <w:sz w:val="23"/>
          <w:szCs w:val="23"/>
        </w:rPr>
        <w:t>b</w:t>
      </w:r>
      <w:r>
        <w:rPr>
          <w:rFonts w:ascii="Times New Roman" w:hAnsi="Times New Roman" w:eastAsia="Times New Roman" w:cs="Times New Roman"/>
          <w:spacing w:val="-22"/>
          <w:position w:val="3"/>
          <w:sz w:val="23"/>
          <w:szCs w:val="23"/>
        </w:rPr>
        <w:t>)</w:t>
      </w:r>
      <w:r>
        <w:rPr>
          <w:rFonts w:ascii="Times New Roman" w:hAnsi="Times New Roman" w:eastAsia="Times New Roman" w:cs="Times New Roman"/>
          <w:spacing w:val="-12"/>
          <w:position w:val="3"/>
          <w:sz w:val="23"/>
          <w:szCs w:val="23"/>
        </w:rPr>
        <w:t xml:space="preserve"> </w:t>
      </w:r>
      <w:r>
        <w:rPr>
          <w:rFonts w:ascii="宋体" w:hAnsi="宋体" w:eastAsia="宋体" w:cs="宋体"/>
          <w:spacing w:val="-12"/>
          <w:position w:val="3"/>
          <w:sz w:val="23"/>
          <w:szCs w:val="23"/>
        </w:rPr>
        <w:t>涉及地表水环境风险的，应覆盖环境风险影响范围所及的水环境保护目标水域。</w:t>
      </w:r>
    </w:p>
    <w:p w14:paraId="074E9411">
      <w:pPr>
        <w:spacing w:line="291" w:lineRule="auto"/>
        <w:rPr>
          <w:rFonts w:ascii="Arial"/>
          <w:sz w:val="21"/>
        </w:rPr>
      </w:pPr>
    </w:p>
    <w:p w14:paraId="65B17F15">
      <w:pPr>
        <w:spacing w:before="75" w:line="393" w:lineRule="auto"/>
        <w:ind w:left="120" w:right="98" w:firstLine="452"/>
        <w:rPr>
          <w:rFonts w:ascii="宋体" w:hAnsi="宋体" w:eastAsia="宋体" w:cs="宋体"/>
          <w:sz w:val="23"/>
          <w:szCs w:val="23"/>
        </w:rPr>
      </w:pPr>
      <w:r>
        <w:rPr>
          <w:rFonts w:ascii="宋体" w:hAnsi="宋体" w:eastAsia="宋体" w:cs="宋体"/>
          <w:spacing w:val="-10"/>
          <w:sz w:val="23"/>
          <w:szCs w:val="23"/>
        </w:rPr>
        <w:t>该项目地</w:t>
      </w:r>
      <w:r>
        <w:rPr>
          <w:rFonts w:ascii="宋体" w:hAnsi="宋体" w:eastAsia="宋体" w:cs="宋体"/>
          <w:spacing w:val="-9"/>
          <w:sz w:val="23"/>
          <w:szCs w:val="23"/>
        </w:rPr>
        <w:t>表</w:t>
      </w:r>
      <w:r>
        <w:rPr>
          <w:rFonts w:ascii="宋体" w:hAnsi="宋体" w:eastAsia="宋体" w:cs="宋体"/>
          <w:spacing w:val="-5"/>
          <w:sz w:val="23"/>
          <w:szCs w:val="23"/>
        </w:rPr>
        <w:t>水评价仅分析该项目生产废水排入本溪市科态污水处理有限责任公司</w:t>
      </w:r>
      <w:r>
        <w:rPr>
          <w:rFonts w:ascii="宋体" w:hAnsi="宋体" w:eastAsia="宋体" w:cs="宋体"/>
          <w:sz w:val="23"/>
          <w:szCs w:val="23"/>
        </w:rPr>
        <w:t xml:space="preserve"> </w:t>
      </w:r>
      <w:r>
        <w:rPr>
          <w:rFonts w:ascii="宋体" w:hAnsi="宋体" w:eastAsia="宋体" w:cs="宋体"/>
          <w:spacing w:val="-3"/>
          <w:sz w:val="23"/>
          <w:szCs w:val="23"/>
        </w:rPr>
        <w:t>水质依托可行性。不再确定地表水评价范围。</w:t>
      </w:r>
    </w:p>
    <w:p w14:paraId="5AAC8290">
      <w:pPr>
        <w:spacing w:before="113" w:line="219" w:lineRule="auto"/>
        <w:ind w:left="114"/>
        <w:outlineLvl w:val="3"/>
        <w:rPr>
          <w:rFonts w:ascii="宋体" w:hAnsi="宋体" w:eastAsia="宋体" w:cs="宋体"/>
          <w:sz w:val="28"/>
          <w:szCs w:val="28"/>
        </w:rPr>
      </w:pPr>
      <w:r>
        <w:rPr>
          <w:rFonts w:ascii="Times New Roman" w:hAnsi="Times New Roman" w:eastAsia="Times New Roman" w:cs="Times New Roman"/>
          <w:b/>
          <w:bCs/>
          <w:spacing w:val="-1"/>
          <w:sz w:val="28"/>
          <w:szCs w:val="28"/>
        </w:rPr>
        <w:t>2.6.1.3</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地下水环境评价工作等级</w:t>
      </w:r>
    </w:p>
    <w:p w14:paraId="7CCE7410">
      <w:pPr>
        <w:spacing w:line="272" w:lineRule="auto"/>
        <w:rPr>
          <w:rFonts w:ascii="Arial"/>
          <w:sz w:val="21"/>
        </w:rPr>
      </w:pPr>
    </w:p>
    <w:p w14:paraId="596AF915">
      <w:pPr>
        <w:spacing w:before="75" w:line="393" w:lineRule="auto"/>
        <w:ind w:left="120" w:right="110" w:firstLine="448"/>
        <w:rPr>
          <w:rFonts w:ascii="宋体" w:hAnsi="宋体" w:eastAsia="宋体" w:cs="宋体"/>
          <w:sz w:val="23"/>
          <w:szCs w:val="23"/>
        </w:rPr>
      </w:pPr>
      <w:r>
        <w:rPr>
          <w:rFonts w:ascii="宋体" w:hAnsi="宋体" w:eastAsia="宋体" w:cs="宋体"/>
          <w:spacing w:val="-2"/>
          <w:sz w:val="23"/>
          <w:szCs w:val="23"/>
        </w:rPr>
        <w:t>根据《环境影响评价技术导则 地下水环境》 (</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610-2016</w:t>
      </w:r>
      <w:r>
        <w:rPr>
          <w:rFonts w:ascii="宋体" w:hAnsi="宋体" w:eastAsia="宋体" w:cs="宋体"/>
          <w:spacing w:val="-2"/>
          <w:sz w:val="23"/>
          <w:szCs w:val="23"/>
        </w:rPr>
        <w:t>) 评价工作等级的</w:t>
      </w:r>
      <w:r>
        <w:rPr>
          <w:rFonts w:ascii="宋体" w:hAnsi="宋体" w:eastAsia="宋体" w:cs="宋体"/>
          <w:spacing w:val="-1"/>
          <w:sz w:val="23"/>
          <w:szCs w:val="23"/>
        </w:rPr>
        <w:t>划</w:t>
      </w:r>
      <w:r>
        <w:rPr>
          <w:rFonts w:ascii="宋体" w:hAnsi="宋体" w:eastAsia="宋体" w:cs="宋体"/>
          <w:sz w:val="23"/>
          <w:szCs w:val="23"/>
        </w:rPr>
        <w:t xml:space="preserve"> </w:t>
      </w:r>
      <w:r>
        <w:rPr>
          <w:rFonts w:ascii="宋体" w:hAnsi="宋体" w:eastAsia="宋体" w:cs="宋体"/>
          <w:spacing w:val="-6"/>
          <w:sz w:val="23"/>
          <w:szCs w:val="23"/>
        </w:rPr>
        <w:t>分</w:t>
      </w:r>
      <w:r>
        <w:rPr>
          <w:rFonts w:ascii="宋体" w:hAnsi="宋体" w:eastAsia="宋体" w:cs="宋体"/>
          <w:spacing w:val="-3"/>
          <w:sz w:val="23"/>
          <w:szCs w:val="23"/>
        </w:rPr>
        <w:t>应依据建设项目行业分类和地下水环境敏感程度分级进行判定。</w:t>
      </w:r>
    </w:p>
    <w:p w14:paraId="51304660">
      <w:pPr>
        <w:spacing w:before="151" w:line="392" w:lineRule="auto"/>
        <w:ind w:left="124" w:right="112" w:firstLine="455"/>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w:t>
      </w:r>
      <w:r>
        <w:rPr>
          <w:rFonts w:ascii="宋体" w:hAnsi="宋体" w:eastAsia="宋体" w:cs="宋体"/>
          <w:spacing w:val="1"/>
          <w:sz w:val="23"/>
          <w:szCs w:val="23"/>
        </w:rPr>
        <w:t>) 根据《环境影响评价技术导则 地下水环境》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61</w:t>
      </w:r>
      <w:r>
        <w:rPr>
          <w:rFonts w:ascii="Times New Roman" w:hAnsi="Times New Roman" w:eastAsia="Times New Roman" w:cs="Times New Roman"/>
          <w:sz w:val="23"/>
          <w:szCs w:val="23"/>
        </w:rPr>
        <w:t>0-2016</w:t>
      </w:r>
      <w:r>
        <w:rPr>
          <w:rFonts w:ascii="宋体" w:hAnsi="宋体" w:eastAsia="宋体" w:cs="宋体"/>
          <w:sz w:val="23"/>
          <w:szCs w:val="23"/>
        </w:rPr>
        <w:t xml:space="preserve">) 附录 </w:t>
      </w:r>
      <w:r>
        <w:rPr>
          <w:rFonts w:ascii="Times New Roman" w:hAnsi="Times New Roman" w:eastAsia="Times New Roman" w:cs="Times New Roman"/>
          <w:sz w:val="23"/>
          <w:szCs w:val="23"/>
        </w:rPr>
        <w:t xml:space="preserve">A </w:t>
      </w:r>
      <w:r>
        <w:rPr>
          <w:rFonts w:ascii="宋体" w:hAnsi="宋体" w:eastAsia="宋体" w:cs="宋体"/>
          <w:sz w:val="23"/>
          <w:szCs w:val="23"/>
        </w:rPr>
        <w:t xml:space="preserve">中地 </w:t>
      </w:r>
      <w:r>
        <w:rPr>
          <w:rFonts w:ascii="宋体" w:hAnsi="宋体" w:eastAsia="宋体" w:cs="宋体"/>
          <w:spacing w:val="-2"/>
          <w:sz w:val="23"/>
          <w:szCs w:val="23"/>
        </w:rPr>
        <w:t>下水</w:t>
      </w:r>
      <w:r>
        <w:rPr>
          <w:rFonts w:ascii="宋体" w:hAnsi="宋体" w:eastAsia="宋体" w:cs="宋体"/>
          <w:spacing w:val="-1"/>
          <w:sz w:val="23"/>
          <w:szCs w:val="23"/>
        </w:rPr>
        <w:t>环境影响评价行业分类表，具体见下表</w:t>
      </w:r>
      <w:r>
        <w:rPr>
          <w:rFonts w:ascii="Times New Roman" w:hAnsi="Times New Roman" w:eastAsia="Times New Roman" w:cs="Times New Roman"/>
          <w:spacing w:val="-1"/>
          <w:sz w:val="23"/>
          <w:szCs w:val="23"/>
        </w:rPr>
        <w:t>2-18</w:t>
      </w:r>
      <w:r>
        <w:rPr>
          <w:rFonts w:ascii="宋体" w:hAnsi="宋体" w:eastAsia="宋体" w:cs="宋体"/>
          <w:spacing w:val="-1"/>
          <w:sz w:val="23"/>
          <w:szCs w:val="23"/>
        </w:rPr>
        <w:t>。</w:t>
      </w:r>
    </w:p>
    <w:p w14:paraId="0C1A8182">
      <w:pPr>
        <w:sectPr>
          <w:headerReference r:id="rId69" w:type="default"/>
          <w:footerReference r:id="rId70" w:type="default"/>
          <w:pgSz w:w="11906" w:h="16839"/>
          <w:pgMar w:top="1132" w:right="1691" w:bottom="1156" w:left="1691" w:header="878" w:footer="996" w:gutter="0"/>
          <w:cols w:space="720" w:num="1"/>
        </w:sectPr>
      </w:pPr>
    </w:p>
    <w:p w14:paraId="7DA05BA7">
      <w:pPr>
        <w:spacing w:line="408" w:lineRule="auto"/>
        <w:rPr>
          <w:rFonts w:ascii="Arial"/>
          <w:sz w:val="21"/>
        </w:rPr>
      </w:pPr>
      <w:r>
        <w:pict>
          <v:shape id="_x0000_s1096" o:spid="_x0000_s1096" style="position:absolute;left:0pt;margin-left:90pt;margin-top:57.35pt;height:0.75pt;width:415.3pt;mso-position-horizontal-relative:page;mso-position-vertical-relative:page;z-index:251732992;mso-width-relative:page;mso-height-relative:page;" fillcolor="#000000" filled="t" stroked="f" coordsize="8305,15" o:allowincell="f" path="m0,0l8305,0,8305,14,0,14,0,0xe">
            <v:path/>
            <v:fill on="t" focussize="0,0"/>
            <v:stroke on="f"/>
            <v:imagedata o:title=""/>
            <o:lock v:ext="edit"/>
          </v:shape>
        </w:pict>
      </w:r>
    </w:p>
    <w:p w14:paraId="59FC7FAE">
      <w:pPr>
        <w:spacing w:before="75" w:line="226" w:lineRule="auto"/>
        <w:ind w:left="231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2-18</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地下水环境影响</w:t>
      </w:r>
      <w:r>
        <w:rPr>
          <w:rFonts w:ascii="宋体" w:hAnsi="宋体" w:eastAsia="宋体" w:cs="宋体"/>
          <w:spacing w:val="-1"/>
          <w:sz w:val="23"/>
          <w:szCs w:val="23"/>
          <w14:textOutline w14:w="4358" w14:cap="sq" w14:cmpd="sng">
            <w14:solidFill>
              <w14:srgbClr w14:val="000000"/>
            </w14:solidFill>
            <w14:prstDash w14:val="solid"/>
            <w14:bevel/>
          </w14:textOutline>
        </w:rPr>
        <w:t>评价行业分类表</w:t>
      </w:r>
    </w:p>
    <w:p w14:paraId="4FAFCADD">
      <w:pPr>
        <w:spacing w:line="19"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7"/>
        <w:gridCol w:w="2909"/>
        <w:gridCol w:w="1018"/>
        <w:gridCol w:w="1333"/>
        <w:gridCol w:w="1334"/>
      </w:tblGrid>
      <w:tr w14:paraId="41E40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927" w:type="dxa"/>
            <w:vMerge w:val="restart"/>
            <w:tcBorders>
              <w:left w:val="nil"/>
              <w:bottom w:val="nil"/>
              <w:tl2br w:val="single" w:color="000000" w:sz="4" w:space="0"/>
            </w:tcBorders>
            <w:vAlign w:val="top"/>
          </w:tcPr>
          <w:p w14:paraId="012F10D5">
            <w:pPr>
              <w:spacing w:before="116" w:line="228" w:lineRule="auto"/>
              <w:ind w:right="58"/>
              <w:jc w:val="right"/>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环评类型</w:t>
            </w:r>
          </w:p>
          <w:p w14:paraId="30249E08">
            <w:pPr>
              <w:spacing w:before="24" w:line="228" w:lineRule="auto"/>
              <w:ind w:left="3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项目类</w:t>
            </w:r>
            <w:r>
              <w:rPr>
                <w:rFonts w:ascii="宋体" w:hAnsi="宋体" w:eastAsia="宋体" w:cs="宋体"/>
                <w:spacing w:val="-1"/>
                <w:sz w:val="20"/>
                <w:szCs w:val="20"/>
                <w14:textOutline w14:w="3795" w14:cap="sq" w14:cmpd="sng">
                  <w14:solidFill>
                    <w14:srgbClr w14:val="000000"/>
                  </w14:solidFill>
                  <w14:prstDash w14:val="solid"/>
                  <w14:bevel/>
                </w14:textOutline>
              </w:rPr>
              <w:t>型</w:t>
            </w:r>
          </w:p>
        </w:tc>
        <w:tc>
          <w:tcPr>
            <w:tcW w:w="2909" w:type="dxa"/>
            <w:vMerge w:val="restart"/>
            <w:tcBorders>
              <w:bottom w:val="nil"/>
            </w:tcBorders>
            <w:vAlign w:val="top"/>
          </w:tcPr>
          <w:p w14:paraId="1BB1516F">
            <w:pPr>
              <w:spacing w:before="253" w:line="226" w:lineRule="auto"/>
              <w:ind w:left="1163"/>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报</w:t>
            </w:r>
            <w:r>
              <w:rPr>
                <w:rFonts w:ascii="宋体" w:hAnsi="宋体" w:eastAsia="宋体" w:cs="宋体"/>
                <w:sz w:val="20"/>
                <w:szCs w:val="20"/>
                <w14:textOutline w14:w="3795" w14:cap="sq" w14:cmpd="sng">
                  <w14:solidFill>
                    <w14:srgbClr w14:val="000000"/>
                  </w14:solidFill>
                  <w14:prstDash w14:val="solid"/>
                  <w14:bevel/>
                </w14:textOutline>
              </w:rPr>
              <w:t>告书</w:t>
            </w:r>
          </w:p>
        </w:tc>
        <w:tc>
          <w:tcPr>
            <w:tcW w:w="1018" w:type="dxa"/>
            <w:vMerge w:val="restart"/>
            <w:tcBorders>
              <w:bottom w:val="nil"/>
            </w:tcBorders>
            <w:vAlign w:val="top"/>
          </w:tcPr>
          <w:p w14:paraId="1BEB5B1D">
            <w:pPr>
              <w:spacing w:before="253" w:line="226" w:lineRule="auto"/>
              <w:ind w:left="217"/>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报</w:t>
            </w:r>
            <w:r>
              <w:rPr>
                <w:rFonts w:ascii="宋体" w:hAnsi="宋体" w:eastAsia="宋体" w:cs="宋体"/>
                <w:sz w:val="20"/>
                <w:szCs w:val="20"/>
                <w14:textOutline w14:w="3795" w14:cap="sq" w14:cmpd="sng">
                  <w14:solidFill>
                    <w14:srgbClr w14:val="000000"/>
                  </w14:solidFill>
                  <w14:prstDash w14:val="solid"/>
                  <w14:bevel/>
                </w14:textOutline>
              </w:rPr>
              <w:t>告表</w:t>
            </w:r>
          </w:p>
        </w:tc>
        <w:tc>
          <w:tcPr>
            <w:tcW w:w="2667" w:type="dxa"/>
            <w:gridSpan w:val="2"/>
            <w:tcBorders>
              <w:right w:val="nil"/>
            </w:tcBorders>
            <w:vAlign w:val="top"/>
          </w:tcPr>
          <w:p w14:paraId="7FB59EFB">
            <w:pPr>
              <w:spacing w:before="85" w:line="226" w:lineRule="auto"/>
              <w:ind w:left="6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地下水环境影响评价项目类</w:t>
            </w:r>
            <w:r>
              <w:rPr>
                <w:rFonts w:ascii="宋体" w:hAnsi="宋体" w:eastAsia="宋体" w:cs="宋体"/>
                <w:spacing w:val="-1"/>
                <w:sz w:val="20"/>
                <w:szCs w:val="20"/>
                <w14:textOutline w14:w="3795" w14:cap="sq" w14:cmpd="sng">
                  <w14:solidFill>
                    <w14:srgbClr w14:val="000000"/>
                  </w14:solidFill>
                  <w14:prstDash w14:val="solid"/>
                  <w14:bevel/>
                </w14:textOutline>
              </w:rPr>
              <w:t>别</w:t>
            </w:r>
          </w:p>
        </w:tc>
      </w:tr>
      <w:tr w14:paraId="7754B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27" w:type="dxa"/>
            <w:vMerge w:val="continue"/>
            <w:tcBorders>
              <w:top w:val="nil"/>
              <w:left w:val="nil"/>
              <w:tl2br w:val="single" w:color="000000" w:sz="4" w:space="0"/>
            </w:tcBorders>
            <w:vAlign w:val="top"/>
          </w:tcPr>
          <w:p w14:paraId="281C049D">
            <w:pPr>
              <w:rPr>
                <w:rFonts w:ascii="Arial"/>
                <w:sz w:val="21"/>
              </w:rPr>
            </w:pPr>
          </w:p>
        </w:tc>
        <w:tc>
          <w:tcPr>
            <w:tcW w:w="2909" w:type="dxa"/>
            <w:vMerge w:val="continue"/>
            <w:tcBorders>
              <w:top w:val="nil"/>
            </w:tcBorders>
            <w:vAlign w:val="top"/>
          </w:tcPr>
          <w:p w14:paraId="1D1C6C5F">
            <w:pPr>
              <w:rPr>
                <w:rFonts w:ascii="Arial"/>
                <w:sz w:val="21"/>
              </w:rPr>
            </w:pPr>
          </w:p>
        </w:tc>
        <w:tc>
          <w:tcPr>
            <w:tcW w:w="1018" w:type="dxa"/>
            <w:vMerge w:val="continue"/>
            <w:tcBorders>
              <w:top w:val="nil"/>
            </w:tcBorders>
            <w:vAlign w:val="top"/>
          </w:tcPr>
          <w:p w14:paraId="2700B218">
            <w:pPr>
              <w:rPr>
                <w:rFonts w:ascii="Arial"/>
                <w:sz w:val="21"/>
              </w:rPr>
            </w:pPr>
          </w:p>
        </w:tc>
        <w:tc>
          <w:tcPr>
            <w:tcW w:w="1333" w:type="dxa"/>
            <w:vAlign w:val="top"/>
          </w:tcPr>
          <w:p w14:paraId="121E08C5">
            <w:pPr>
              <w:spacing w:before="61" w:line="226" w:lineRule="auto"/>
              <w:ind w:left="37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报</w:t>
            </w:r>
            <w:r>
              <w:rPr>
                <w:rFonts w:ascii="宋体" w:hAnsi="宋体" w:eastAsia="宋体" w:cs="宋体"/>
                <w:sz w:val="20"/>
                <w:szCs w:val="20"/>
                <w14:textOutline w14:w="3795" w14:cap="sq" w14:cmpd="sng">
                  <w14:solidFill>
                    <w14:srgbClr w14:val="000000"/>
                  </w14:solidFill>
                  <w14:prstDash w14:val="solid"/>
                  <w14:bevel/>
                </w14:textOutline>
              </w:rPr>
              <w:t>告书</w:t>
            </w:r>
          </w:p>
        </w:tc>
        <w:tc>
          <w:tcPr>
            <w:tcW w:w="1334" w:type="dxa"/>
            <w:tcBorders>
              <w:right w:val="nil"/>
            </w:tcBorders>
            <w:vAlign w:val="top"/>
          </w:tcPr>
          <w:p w14:paraId="3C37F00B">
            <w:pPr>
              <w:spacing w:before="61" w:line="226" w:lineRule="auto"/>
              <w:ind w:left="37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报</w:t>
            </w:r>
            <w:r>
              <w:rPr>
                <w:rFonts w:ascii="宋体" w:hAnsi="宋体" w:eastAsia="宋体" w:cs="宋体"/>
                <w:sz w:val="20"/>
                <w:szCs w:val="20"/>
                <w14:textOutline w14:w="3795" w14:cap="sq" w14:cmpd="sng">
                  <w14:solidFill>
                    <w14:srgbClr w14:val="000000"/>
                  </w14:solidFill>
                  <w14:prstDash w14:val="solid"/>
                  <w14:bevel/>
                </w14:textOutline>
              </w:rPr>
              <w:t>告表</w:t>
            </w:r>
          </w:p>
        </w:tc>
      </w:tr>
    </w:tbl>
    <w:p w14:paraId="18CF6FFD">
      <w:pPr>
        <w:spacing w:before="57" w:line="228" w:lineRule="auto"/>
        <w:ind w:left="25"/>
        <w:rPr>
          <w:rFonts w:ascii="宋体" w:hAnsi="宋体" w:eastAsia="宋体" w:cs="宋体"/>
          <w:sz w:val="20"/>
          <w:szCs w:val="20"/>
        </w:rPr>
      </w:pPr>
      <w:r>
        <w:rPr>
          <w:rFonts w:ascii="Times New Roman" w:hAnsi="Times New Roman" w:eastAsia="Times New Roman" w:cs="Times New Roman"/>
          <w:sz w:val="20"/>
          <w:szCs w:val="20"/>
        </w:rPr>
        <w:t>U</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城镇基</w:t>
      </w:r>
      <w:r>
        <w:rPr>
          <w:rFonts w:ascii="宋体" w:hAnsi="宋体" w:eastAsia="宋体" w:cs="宋体"/>
          <w:spacing w:val="2"/>
          <w:sz w:val="20"/>
          <w:szCs w:val="20"/>
        </w:rPr>
        <w:t>础设施及房地产</w:t>
      </w:r>
    </w:p>
    <w:p w14:paraId="0D576D70">
      <w:pPr>
        <w:spacing w:line="23"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7"/>
        <w:gridCol w:w="2909"/>
        <w:gridCol w:w="1018"/>
        <w:gridCol w:w="1333"/>
        <w:gridCol w:w="1334"/>
      </w:tblGrid>
      <w:tr w14:paraId="782E1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1927" w:type="dxa"/>
            <w:tcBorders>
              <w:left w:val="nil"/>
            </w:tcBorders>
            <w:vAlign w:val="top"/>
          </w:tcPr>
          <w:p w14:paraId="3D6BDD42">
            <w:pPr>
              <w:spacing w:before="259" w:line="320" w:lineRule="auto"/>
              <w:ind w:left="34" w:right="4" w:firstLine="21"/>
              <w:rPr>
                <w:rFonts w:ascii="宋体" w:hAnsi="宋体" w:eastAsia="宋体" w:cs="宋体"/>
                <w:sz w:val="20"/>
                <w:szCs w:val="20"/>
              </w:rPr>
            </w:pPr>
            <w:r>
              <w:rPr>
                <w:rFonts w:ascii="Times New Roman" w:hAnsi="Times New Roman" w:eastAsia="Times New Roman" w:cs="Times New Roman"/>
                <w:spacing w:val="-6"/>
                <w:sz w:val="20"/>
                <w:szCs w:val="20"/>
              </w:rPr>
              <w:t>15</w:t>
            </w:r>
            <w:r>
              <w:rPr>
                <w:rFonts w:ascii="Times New Roman" w:hAnsi="Times New Roman" w:eastAsia="Times New Roman" w:cs="Times New Roman"/>
                <w:spacing w:val="-4"/>
                <w:sz w:val="20"/>
                <w:szCs w:val="20"/>
              </w:rPr>
              <w:t>5</w:t>
            </w:r>
            <w:r>
              <w:rPr>
                <w:rFonts w:ascii="宋体" w:hAnsi="宋体" w:eastAsia="宋体" w:cs="宋体"/>
                <w:spacing w:val="-3"/>
                <w:sz w:val="20"/>
                <w:szCs w:val="20"/>
              </w:rPr>
              <w:t>、废旧资源 (含生</w:t>
            </w:r>
            <w:r>
              <w:rPr>
                <w:rFonts w:ascii="宋体" w:hAnsi="宋体" w:eastAsia="宋体" w:cs="宋体"/>
                <w:sz w:val="20"/>
                <w:szCs w:val="20"/>
              </w:rPr>
              <w:t xml:space="preserve"> </w:t>
            </w:r>
            <w:r>
              <w:rPr>
                <w:rFonts w:ascii="宋体" w:hAnsi="宋体" w:eastAsia="宋体" w:cs="宋体"/>
                <w:spacing w:val="-15"/>
                <w:sz w:val="20"/>
                <w:szCs w:val="20"/>
              </w:rPr>
              <w:t>物</w:t>
            </w:r>
            <w:r>
              <w:rPr>
                <w:rFonts w:ascii="宋体" w:hAnsi="宋体" w:eastAsia="宋体" w:cs="宋体"/>
                <w:spacing w:val="-10"/>
                <w:sz w:val="20"/>
                <w:szCs w:val="20"/>
              </w:rPr>
              <w:t>质) 加工、再生利用</w:t>
            </w:r>
          </w:p>
        </w:tc>
        <w:tc>
          <w:tcPr>
            <w:tcW w:w="2909" w:type="dxa"/>
            <w:vAlign w:val="top"/>
          </w:tcPr>
          <w:p w14:paraId="2F38237D">
            <w:pPr>
              <w:spacing w:before="95" w:line="304" w:lineRule="auto"/>
              <w:ind w:left="33"/>
              <w:rPr>
                <w:rFonts w:ascii="宋体" w:hAnsi="宋体" w:eastAsia="宋体" w:cs="宋体"/>
                <w:sz w:val="20"/>
                <w:szCs w:val="20"/>
              </w:rPr>
            </w:pPr>
            <w:r>
              <w:rPr>
                <w:rFonts w:ascii="宋体" w:hAnsi="宋体" w:eastAsia="宋体" w:cs="宋体"/>
                <w:spacing w:val="-30"/>
                <w:sz w:val="20"/>
                <w:szCs w:val="20"/>
              </w:rPr>
              <w:t>废</w:t>
            </w:r>
            <w:r>
              <w:rPr>
                <w:rFonts w:ascii="宋体" w:hAnsi="宋体" w:eastAsia="宋体" w:cs="宋体"/>
                <w:spacing w:val="-20"/>
                <w:sz w:val="20"/>
                <w:szCs w:val="20"/>
              </w:rPr>
              <w:t>电子电器产品、废电池、废汽车、</w:t>
            </w:r>
            <w:r>
              <w:rPr>
                <w:rFonts w:ascii="宋体" w:hAnsi="宋体" w:eastAsia="宋体" w:cs="宋体"/>
                <w:sz w:val="20"/>
                <w:szCs w:val="20"/>
              </w:rPr>
              <w:t xml:space="preserve"> </w:t>
            </w:r>
            <w:r>
              <w:rPr>
                <w:rFonts w:ascii="宋体" w:hAnsi="宋体" w:eastAsia="宋体" w:cs="宋体"/>
                <w:spacing w:val="-16"/>
                <w:sz w:val="20"/>
                <w:szCs w:val="20"/>
              </w:rPr>
              <w:t>废</w:t>
            </w:r>
            <w:r>
              <w:rPr>
                <w:rFonts w:ascii="宋体" w:hAnsi="宋体" w:eastAsia="宋体" w:cs="宋体"/>
                <w:spacing w:val="-10"/>
                <w:sz w:val="20"/>
                <w:szCs w:val="20"/>
              </w:rPr>
              <w:t>电</w:t>
            </w:r>
            <w:r>
              <w:rPr>
                <w:rFonts w:ascii="宋体" w:hAnsi="宋体" w:eastAsia="宋体" w:cs="宋体"/>
                <w:spacing w:val="-8"/>
                <w:sz w:val="20"/>
                <w:szCs w:val="20"/>
              </w:rPr>
              <w:t>机、废五金、废塑料、废油、</w:t>
            </w:r>
            <w:r>
              <w:rPr>
                <w:rFonts w:ascii="宋体" w:hAnsi="宋体" w:eastAsia="宋体" w:cs="宋体"/>
                <w:sz w:val="20"/>
                <w:szCs w:val="20"/>
              </w:rPr>
              <w:t xml:space="preserve"> </w:t>
            </w:r>
            <w:r>
              <w:rPr>
                <w:rFonts w:ascii="宋体" w:hAnsi="宋体" w:eastAsia="宋体" w:cs="宋体"/>
                <w:spacing w:val="-18"/>
                <w:sz w:val="20"/>
                <w:szCs w:val="20"/>
              </w:rPr>
              <w:t>废</w:t>
            </w:r>
            <w:r>
              <w:rPr>
                <w:rFonts w:ascii="宋体" w:hAnsi="宋体" w:eastAsia="宋体" w:cs="宋体"/>
                <w:spacing w:val="-10"/>
                <w:sz w:val="20"/>
                <w:szCs w:val="20"/>
              </w:rPr>
              <w:t>船、废轮胎等加工、再生利用；</w:t>
            </w:r>
          </w:p>
        </w:tc>
        <w:tc>
          <w:tcPr>
            <w:tcW w:w="1018" w:type="dxa"/>
            <w:vAlign w:val="top"/>
          </w:tcPr>
          <w:p w14:paraId="04645C0A">
            <w:pPr>
              <w:spacing w:line="361" w:lineRule="auto"/>
              <w:rPr>
                <w:rFonts w:ascii="Arial"/>
                <w:sz w:val="21"/>
              </w:rPr>
            </w:pPr>
          </w:p>
          <w:p w14:paraId="06F0B101">
            <w:pPr>
              <w:spacing w:before="65" w:line="228" w:lineRule="auto"/>
              <w:ind w:left="320"/>
              <w:rPr>
                <w:rFonts w:ascii="宋体" w:hAnsi="宋体" w:eastAsia="宋体" w:cs="宋体"/>
                <w:sz w:val="20"/>
                <w:szCs w:val="20"/>
              </w:rPr>
            </w:pPr>
            <w:r>
              <w:rPr>
                <w:rFonts w:ascii="宋体" w:hAnsi="宋体" w:eastAsia="宋体" w:cs="宋体"/>
                <w:sz w:val="20"/>
                <w:szCs w:val="20"/>
              </w:rPr>
              <w:t>其他</w:t>
            </w:r>
          </w:p>
        </w:tc>
        <w:tc>
          <w:tcPr>
            <w:tcW w:w="1333" w:type="dxa"/>
            <w:vAlign w:val="top"/>
          </w:tcPr>
          <w:p w14:paraId="23D7DCB9">
            <w:pPr>
              <w:spacing w:before="259" w:line="320" w:lineRule="auto"/>
              <w:ind w:left="474" w:right="27" w:hanging="419"/>
              <w:rPr>
                <w:rFonts w:ascii="宋体" w:hAnsi="宋体" w:eastAsia="宋体" w:cs="宋体"/>
                <w:sz w:val="20"/>
                <w:szCs w:val="20"/>
              </w:rPr>
            </w:pPr>
            <w:r>
              <w:rPr>
                <w:rFonts w:ascii="宋体" w:hAnsi="宋体" w:eastAsia="宋体" w:cs="宋体"/>
                <w:spacing w:val="-4"/>
                <w:sz w:val="20"/>
                <w:szCs w:val="20"/>
              </w:rPr>
              <w:t>危</w:t>
            </w:r>
            <w:r>
              <w:rPr>
                <w:rFonts w:ascii="宋体" w:hAnsi="宋体" w:eastAsia="宋体" w:cs="宋体"/>
                <w:spacing w:val="-3"/>
                <w:sz w:val="20"/>
                <w:szCs w:val="20"/>
              </w:rPr>
              <w:t>废</w:t>
            </w:r>
            <w:r>
              <w:rPr>
                <w:rFonts w:ascii="Times New Roman" w:hAnsi="Times New Roman" w:eastAsia="Times New Roman" w:cs="Times New Roman"/>
                <w:spacing w:val="-3"/>
                <w:sz w:val="20"/>
                <w:szCs w:val="20"/>
              </w:rPr>
              <w:t>Ⅰ</w:t>
            </w:r>
            <w:r>
              <w:rPr>
                <w:rFonts w:ascii="宋体" w:hAnsi="宋体" w:eastAsia="宋体" w:cs="宋体"/>
                <w:spacing w:val="-3"/>
                <w:sz w:val="20"/>
                <w:szCs w:val="20"/>
              </w:rPr>
              <w:t>类，其余</w:t>
            </w:r>
            <w:r>
              <w:rPr>
                <w:rFonts w:ascii="宋体" w:hAnsi="宋体" w:eastAsia="宋体" w:cs="宋体"/>
                <w:sz w:val="20"/>
                <w:szCs w:val="20"/>
              </w:rPr>
              <w:t xml:space="preserve"> </w:t>
            </w:r>
            <w:r>
              <w:rPr>
                <w:rFonts w:ascii="Times New Roman" w:hAnsi="Times New Roman" w:eastAsia="Times New Roman" w:cs="Times New Roman"/>
                <w:spacing w:val="3"/>
                <w:sz w:val="20"/>
                <w:szCs w:val="20"/>
              </w:rPr>
              <w:t>Ⅲ</w:t>
            </w:r>
            <w:r>
              <w:rPr>
                <w:rFonts w:ascii="宋体" w:hAnsi="宋体" w:eastAsia="宋体" w:cs="宋体"/>
                <w:spacing w:val="3"/>
                <w:sz w:val="20"/>
                <w:szCs w:val="20"/>
              </w:rPr>
              <w:t>类</w:t>
            </w:r>
          </w:p>
        </w:tc>
        <w:tc>
          <w:tcPr>
            <w:tcW w:w="1334" w:type="dxa"/>
            <w:tcBorders>
              <w:right w:val="nil"/>
            </w:tcBorders>
            <w:vAlign w:val="top"/>
          </w:tcPr>
          <w:p w14:paraId="3A06377F">
            <w:pPr>
              <w:spacing w:line="360" w:lineRule="auto"/>
              <w:rPr>
                <w:rFonts w:ascii="Arial"/>
                <w:sz w:val="21"/>
              </w:rPr>
            </w:pPr>
          </w:p>
          <w:p w14:paraId="25F5DC5C">
            <w:pPr>
              <w:spacing w:before="65" w:line="228" w:lineRule="auto"/>
              <w:ind w:left="464"/>
              <w:rPr>
                <w:rFonts w:ascii="宋体" w:hAnsi="宋体" w:eastAsia="宋体" w:cs="宋体"/>
                <w:sz w:val="20"/>
                <w:szCs w:val="20"/>
              </w:rPr>
            </w:pPr>
            <w:r>
              <w:rPr>
                <w:rFonts w:ascii="Times New Roman" w:hAnsi="Times New Roman" w:eastAsia="Times New Roman" w:cs="Times New Roman"/>
                <w:spacing w:val="5"/>
                <w:sz w:val="20"/>
                <w:szCs w:val="20"/>
              </w:rPr>
              <w:t>Ⅳ</w:t>
            </w:r>
            <w:r>
              <w:rPr>
                <w:rFonts w:ascii="宋体" w:hAnsi="宋体" w:eastAsia="宋体" w:cs="宋体"/>
                <w:spacing w:val="4"/>
                <w:sz w:val="20"/>
                <w:szCs w:val="20"/>
              </w:rPr>
              <w:t>类</w:t>
            </w:r>
          </w:p>
        </w:tc>
      </w:tr>
    </w:tbl>
    <w:p w14:paraId="75802F08">
      <w:pPr>
        <w:spacing w:line="270" w:lineRule="auto"/>
        <w:rPr>
          <w:rFonts w:ascii="Arial"/>
          <w:sz w:val="21"/>
        </w:rPr>
      </w:pPr>
    </w:p>
    <w:p w14:paraId="6D475A2A">
      <w:pPr>
        <w:spacing w:before="76" w:line="227" w:lineRule="auto"/>
        <w:ind w:left="548"/>
        <w:rPr>
          <w:rFonts w:ascii="宋体" w:hAnsi="宋体" w:eastAsia="宋体" w:cs="宋体"/>
          <w:sz w:val="23"/>
          <w:szCs w:val="23"/>
        </w:rPr>
      </w:pPr>
      <w:r>
        <w:rPr>
          <w:rFonts w:ascii="宋体" w:hAnsi="宋体" w:eastAsia="宋体" w:cs="宋体"/>
          <w:spacing w:val="-19"/>
          <w:sz w:val="23"/>
          <w:szCs w:val="23"/>
        </w:rPr>
        <w:t>该</w:t>
      </w:r>
      <w:r>
        <w:rPr>
          <w:rFonts w:ascii="宋体" w:hAnsi="宋体" w:eastAsia="宋体" w:cs="宋体"/>
          <w:spacing w:val="-14"/>
          <w:sz w:val="23"/>
          <w:szCs w:val="23"/>
        </w:rPr>
        <w:t>项目为废塑料加工、再生利用项目，根据上表可知，该项目属于</w:t>
      </w:r>
      <w:r>
        <w:rPr>
          <w:rFonts w:ascii="Times New Roman" w:hAnsi="Times New Roman" w:eastAsia="Times New Roman" w:cs="Times New Roman"/>
          <w:spacing w:val="-14"/>
          <w:sz w:val="23"/>
          <w:szCs w:val="23"/>
        </w:rPr>
        <w:t>Ⅲ</w:t>
      </w:r>
      <w:r>
        <w:rPr>
          <w:rFonts w:ascii="宋体" w:hAnsi="宋体" w:eastAsia="宋体" w:cs="宋体"/>
          <w:spacing w:val="-14"/>
          <w:sz w:val="23"/>
          <w:szCs w:val="23"/>
        </w:rPr>
        <w:t>类建设项目。</w:t>
      </w:r>
    </w:p>
    <w:p w14:paraId="663AD818">
      <w:pPr>
        <w:spacing w:line="288" w:lineRule="auto"/>
        <w:rPr>
          <w:rFonts w:ascii="Arial"/>
          <w:sz w:val="21"/>
        </w:rPr>
      </w:pPr>
    </w:p>
    <w:p w14:paraId="22DADF55">
      <w:pPr>
        <w:spacing w:before="75" w:line="393" w:lineRule="auto"/>
        <w:ind w:left="117" w:right="68" w:firstLine="486"/>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2</w:t>
      </w:r>
      <w:r>
        <w:rPr>
          <w:rFonts w:ascii="宋体" w:hAnsi="宋体" w:eastAsia="宋体" w:cs="宋体"/>
          <w:spacing w:val="5"/>
          <w:sz w:val="23"/>
          <w:szCs w:val="23"/>
        </w:rPr>
        <w:t>) 根据《环境影响评价技术导则 地下水环境》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610-2016</w:t>
      </w:r>
      <w:r>
        <w:rPr>
          <w:rFonts w:ascii="宋体" w:hAnsi="宋体" w:eastAsia="宋体" w:cs="宋体"/>
          <w:spacing w:val="5"/>
          <w:sz w:val="23"/>
          <w:szCs w:val="23"/>
        </w:rPr>
        <w:t>) ，项目场</w:t>
      </w:r>
      <w:r>
        <w:rPr>
          <w:rFonts w:ascii="宋体" w:hAnsi="宋体" w:eastAsia="宋体" w:cs="宋体"/>
          <w:sz w:val="23"/>
          <w:szCs w:val="23"/>
        </w:rPr>
        <w:t xml:space="preserve"> </w:t>
      </w:r>
      <w:r>
        <w:rPr>
          <w:rFonts w:ascii="宋体" w:hAnsi="宋体" w:eastAsia="宋体" w:cs="宋体"/>
          <w:spacing w:val="-2"/>
          <w:sz w:val="23"/>
          <w:szCs w:val="23"/>
        </w:rPr>
        <w:t xml:space="preserve">地的地下水环境敏感程度可分为敏感、较敏感、不敏感三级，分级原则见表 </w:t>
      </w:r>
      <w:r>
        <w:rPr>
          <w:rFonts w:ascii="Times New Roman" w:hAnsi="Times New Roman" w:eastAsia="Times New Roman" w:cs="Times New Roman"/>
          <w:spacing w:val="-2"/>
          <w:sz w:val="23"/>
          <w:szCs w:val="23"/>
        </w:rPr>
        <w:t>2- 19</w:t>
      </w:r>
      <w:r>
        <w:rPr>
          <w:rFonts w:ascii="宋体" w:hAnsi="宋体" w:eastAsia="宋体" w:cs="宋体"/>
          <w:sz w:val="23"/>
          <w:szCs w:val="23"/>
        </w:rPr>
        <w:t>。</w:t>
      </w:r>
    </w:p>
    <w:p w14:paraId="293CAD52">
      <w:pPr>
        <w:spacing w:before="146" w:line="227" w:lineRule="auto"/>
        <w:ind w:left="261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4"/>
          <w:sz w:val="23"/>
          <w:szCs w:val="23"/>
        </w:rPr>
        <w:t>2-19</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地下水环境敏感程度分级</w:t>
      </w:r>
    </w:p>
    <w:p w14:paraId="3665068E">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7655"/>
      </w:tblGrid>
      <w:tr w14:paraId="1D8B7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67" w:type="dxa"/>
            <w:tcBorders>
              <w:left w:val="nil"/>
            </w:tcBorders>
            <w:vAlign w:val="top"/>
          </w:tcPr>
          <w:p w14:paraId="1945A7CA">
            <w:pPr>
              <w:spacing w:before="87" w:line="228" w:lineRule="auto"/>
              <w:ind w:left="23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分</w:t>
            </w:r>
            <w:r>
              <w:rPr>
                <w:rFonts w:ascii="宋体" w:hAnsi="宋体" w:eastAsia="宋体" w:cs="宋体"/>
                <w:spacing w:val="3"/>
                <w:sz w:val="20"/>
                <w:szCs w:val="20"/>
                <w14:textOutline w14:w="3795" w14:cap="sq" w14:cmpd="sng">
                  <w14:solidFill>
                    <w14:srgbClr w14:val="000000"/>
                  </w14:solidFill>
                  <w14:prstDash w14:val="solid"/>
                  <w14:bevel/>
                </w14:textOutline>
              </w:rPr>
              <w:t>级</w:t>
            </w:r>
          </w:p>
        </w:tc>
        <w:tc>
          <w:tcPr>
            <w:tcW w:w="7655" w:type="dxa"/>
            <w:tcBorders>
              <w:right w:val="nil"/>
            </w:tcBorders>
            <w:vAlign w:val="top"/>
          </w:tcPr>
          <w:p w14:paraId="3994BBAC">
            <w:pPr>
              <w:spacing w:before="86" w:line="228" w:lineRule="auto"/>
              <w:ind w:left="2372"/>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项</w:t>
            </w:r>
            <w:r>
              <w:rPr>
                <w:rFonts w:ascii="宋体" w:hAnsi="宋体" w:eastAsia="宋体" w:cs="宋体"/>
                <w:spacing w:val="9"/>
                <w:sz w:val="20"/>
                <w:szCs w:val="20"/>
                <w14:textOutline w14:w="3795" w14:cap="sq" w14:cmpd="sng">
                  <w14:solidFill>
                    <w14:srgbClr w14:val="000000"/>
                  </w14:solidFill>
                  <w14:prstDash w14:val="solid"/>
                  <w14:bevel/>
                </w14:textOutline>
              </w:rPr>
              <w:t>目</w:t>
            </w:r>
            <w:r>
              <w:rPr>
                <w:rFonts w:ascii="宋体" w:hAnsi="宋体" w:eastAsia="宋体" w:cs="宋体"/>
                <w:spacing w:val="8"/>
                <w:sz w:val="20"/>
                <w:szCs w:val="20"/>
                <w14:textOutline w14:w="3795" w14:cap="sq" w14:cmpd="sng">
                  <w14:solidFill>
                    <w14:srgbClr w14:val="000000"/>
                  </w14:solidFill>
                  <w14:prstDash w14:val="solid"/>
                  <w14:bevel/>
                </w14:textOutline>
              </w:rPr>
              <w:t>场地的地下水环境敏感特征</w:t>
            </w:r>
          </w:p>
        </w:tc>
      </w:tr>
      <w:tr w14:paraId="59C9A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867" w:type="dxa"/>
            <w:tcBorders>
              <w:left w:val="nil"/>
            </w:tcBorders>
            <w:vAlign w:val="top"/>
          </w:tcPr>
          <w:p w14:paraId="5972E436">
            <w:pPr>
              <w:spacing w:line="327" w:lineRule="auto"/>
              <w:rPr>
                <w:rFonts w:ascii="Arial"/>
                <w:sz w:val="21"/>
              </w:rPr>
            </w:pPr>
          </w:p>
          <w:p w14:paraId="0E84D640">
            <w:pPr>
              <w:spacing w:before="65" w:line="228" w:lineRule="auto"/>
              <w:ind w:left="234"/>
              <w:rPr>
                <w:rFonts w:ascii="宋体" w:hAnsi="宋体" w:eastAsia="宋体" w:cs="宋体"/>
                <w:sz w:val="20"/>
                <w:szCs w:val="20"/>
              </w:rPr>
            </w:pPr>
            <w:r>
              <w:rPr>
                <w:rFonts w:ascii="宋体" w:hAnsi="宋体" w:eastAsia="宋体" w:cs="宋体"/>
                <w:spacing w:val="4"/>
                <w:sz w:val="20"/>
                <w:szCs w:val="20"/>
              </w:rPr>
              <w:t>敏感</w:t>
            </w:r>
          </w:p>
        </w:tc>
        <w:tc>
          <w:tcPr>
            <w:tcW w:w="7655" w:type="dxa"/>
            <w:tcBorders>
              <w:right w:val="nil"/>
            </w:tcBorders>
            <w:vAlign w:val="top"/>
          </w:tcPr>
          <w:p w14:paraId="41788508">
            <w:pPr>
              <w:spacing w:before="62" w:line="281" w:lineRule="auto"/>
              <w:ind w:left="112" w:right="81"/>
              <w:rPr>
                <w:rFonts w:ascii="宋体" w:hAnsi="宋体" w:eastAsia="宋体" w:cs="宋体"/>
                <w:sz w:val="20"/>
                <w:szCs w:val="20"/>
              </w:rPr>
            </w:pPr>
            <w:r>
              <w:rPr>
                <w:rFonts w:ascii="宋体" w:hAnsi="宋体" w:eastAsia="宋体" w:cs="宋体"/>
                <w:spacing w:val="7"/>
                <w:sz w:val="20"/>
                <w:szCs w:val="20"/>
              </w:rPr>
              <w:t>集中式饮用水水源 (包括已建成的在用、备用、应急水源，在建和规划的饮用水</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7"/>
                <w:sz w:val="20"/>
                <w:szCs w:val="20"/>
              </w:rPr>
              <w:t>源) 准保护区；除集中式饮用水水源以外的国家或地方政府设定的与地下水环境</w:t>
            </w:r>
            <w:r>
              <w:rPr>
                <w:rFonts w:ascii="宋体" w:hAnsi="宋体" w:eastAsia="宋体" w:cs="宋体"/>
                <w:spacing w:val="4"/>
                <w:sz w:val="20"/>
                <w:szCs w:val="20"/>
              </w:rPr>
              <w:t>相</w:t>
            </w:r>
            <w:r>
              <w:rPr>
                <w:rFonts w:ascii="宋体" w:hAnsi="宋体" w:eastAsia="宋体" w:cs="宋体"/>
                <w:sz w:val="20"/>
                <w:szCs w:val="20"/>
              </w:rPr>
              <w:t xml:space="preserve"> </w:t>
            </w:r>
            <w:r>
              <w:rPr>
                <w:rFonts w:ascii="宋体" w:hAnsi="宋体" w:eastAsia="宋体" w:cs="宋体"/>
                <w:spacing w:val="13"/>
                <w:sz w:val="20"/>
                <w:szCs w:val="20"/>
              </w:rPr>
              <w:t>关</w:t>
            </w:r>
            <w:r>
              <w:rPr>
                <w:rFonts w:ascii="宋体" w:hAnsi="宋体" w:eastAsia="宋体" w:cs="宋体"/>
                <w:spacing w:val="8"/>
                <w:sz w:val="20"/>
                <w:szCs w:val="20"/>
              </w:rPr>
              <w:t>的其它保护区，如热水、矿泉水、温泉等特殊地下水资源保护区。</w:t>
            </w:r>
          </w:p>
        </w:tc>
      </w:tr>
      <w:tr w14:paraId="15925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5" w:hRule="atLeast"/>
        </w:trPr>
        <w:tc>
          <w:tcPr>
            <w:tcW w:w="867" w:type="dxa"/>
            <w:tcBorders>
              <w:left w:val="nil"/>
            </w:tcBorders>
            <w:vAlign w:val="top"/>
          </w:tcPr>
          <w:p w14:paraId="283F2899">
            <w:pPr>
              <w:spacing w:line="247" w:lineRule="auto"/>
              <w:rPr>
                <w:rFonts w:ascii="Arial"/>
                <w:sz w:val="21"/>
              </w:rPr>
            </w:pPr>
          </w:p>
          <w:p w14:paraId="48016C3F">
            <w:pPr>
              <w:spacing w:line="248" w:lineRule="auto"/>
              <w:rPr>
                <w:rFonts w:ascii="Arial"/>
                <w:sz w:val="21"/>
              </w:rPr>
            </w:pPr>
          </w:p>
          <w:p w14:paraId="19CB0CC7">
            <w:pPr>
              <w:spacing w:before="65" w:line="228" w:lineRule="auto"/>
              <w:ind w:left="128"/>
              <w:rPr>
                <w:rFonts w:ascii="宋体" w:hAnsi="宋体" w:eastAsia="宋体" w:cs="宋体"/>
                <w:sz w:val="20"/>
                <w:szCs w:val="20"/>
              </w:rPr>
            </w:pPr>
            <w:r>
              <w:rPr>
                <w:rFonts w:ascii="宋体" w:hAnsi="宋体" w:eastAsia="宋体" w:cs="宋体"/>
                <w:spacing w:val="6"/>
                <w:sz w:val="20"/>
                <w:szCs w:val="20"/>
              </w:rPr>
              <w:t>较敏感</w:t>
            </w:r>
          </w:p>
        </w:tc>
        <w:tc>
          <w:tcPr>
            <w:tcW w:w="7655" w:type="dxa"/>
            <w:tcBorders>
              <w:right w:val="nil"/>
            </w:tcBorders>
            <w:vAlign w:val="top"/>
          </w:tcPr>
          <w:p w14:paraId="2082450E">
            <w:pPr>
              <w:spacing w:before="64" w:line="287" w:lineRule="auto"/>
              <w:ind w:left="112"/>
              <w:rPr>
                <w:rFonts w:ascii="宋体" w:hAnsi="宋体" w:eastAsia="宋体" w:cs="宋体"/>
                <w:sz w:val="20"/>
                <w:szCs w:val="20"/>
              </w:rPr>
            </w:pPr>
            <w:r>
              <w:rPr>
                <w:rFonts w:ascii="宋体" w:hAnsi="宋体" w:eastAsia="宋体" w:cs="宋体"/>
                <w:spacing w:val="7"/>
                <w:sz w:val="20"/>
                <w:szCs w:val="20"/>
              </w:rPr>
              <w:t>集中式饮用水水源 (包括已建成的在用、备用、应急水源，在建和规划的饮用水</w:t>
            </w:r>
            <w:r>
              <w:rPr>
                <w:rFonts w:ascii="宋体" w:hAnsi="宋体" w:eastAsia="宋体" w:cs="宋体"/>
                <w:spacing w:val="2"/>
                <w:sz w:val="20"/>
                <w:szCs w:val="20"/>
              </w:rPr>
              <w:t>水</w:t>
            </w:r>
            <w:r>
              <w:rPr>
                <w:rFonts w:ascii="宋体" w:hAnsi="宋体" w:eastAsia="宋体" w:cs="宋体"/>
                <w:sz w:val="20"/>
                <w:szCs w:val="20"/>
              </w:rPr>
              <w:t xml:space="preserve"> </w:t>
            </w:r>
            <w:r>
              <w:rPr>
                <w:rFonts w:ascii="宋体" w:hAnsi="宋体" w:eastAsia="宋体" w:cs="宋体"/>
                <w:spacing w:val="7"/>
                <w:sz w:val="20"/>
                <w:szCs w:val="20"/>
              </w:rPr>
              <w:t>源) 准保护区以外的补给径流区；未划定准保护区的集中水式饮用水水源，其保</w:t>
            </w:r>
            <w:r>
              <w:rPr>
                <w:rFonts w:ascii="宋体" w:hAnsi="宋体" w:eastAsia="宋体" w:cs="宋体"/>
                <w:spacing w:val="3"/>
                <w:sz w:val="20"/>
                <w:szCs w:val="20"/>
              </w:rPr>
              <w:t>护</w:t>
            </w:r>
            <w:r>
              <w:rPr>
                <w:rFonts w:ascii="宋体" w:hAnsi="宋体" w:eastAsia="宋体" w:cs="宋体"/>
                <w:sz w:val="20"/>
                <w:szCs w:val="20"/>
              </w:rPr>
              <w:t xml:space="preserve"> </w:t>
            </w:r>
            <w:r>
              <w:rPr>
                <w:rFonts w:ascii="宋体" w:hAnsi="宋体" w:eastAsia="宋体" w:cs="宋体"/>
                <w:spacing w:val="6"/>
                <w:sz w:val="20"/>
                <w:szCs w:val="20"/>
              </w:rPr>
              <w:t>区以外的补给径流</w:t>
            </w:r>
            <w:r>
              <w:rPr>
                <w:rFonts w:ascii="宋体" w:hAnsi="宋体" w:eastAsia="宋体" w:cs="宋体"/>
                <w:spacing w:val="5"/>
                <w:sz w:val="20"/>
                <w:szCs w:val="20"/>
              </w:rPr>
              <w:t>区</w:t>
            </w:r>
            <w:r>
              <w:rPr>
                <w:rFonts w:ascii="宋体" w:hAnsi="宋体" w:eastAsia="宋体" w:cs="宋体"/>
                <w:spacing w:val="3"/>
                <w:sz w:val="20"/>
                <w:szCs w:val="20"/>
              </w:rPr>
              <w:t>；分散式饮用水水源地；特殊地下水资源 (如矿泉水、温泉等)</w:t>
            </w:r>
            <w:r>
              <w:rPr>
                <w:rFonts w:ascii="宋体" w:hAnsi="宋体" w:eastAsia="宋体" w:cs="宋体"/>
                <w:sz w:val="20"/>
                <w:szCs w:val="20"/>
              </w:rPr>
              <w:t xml:space="preserve"> </w:t>
            </w:r>
            <w:r>
              <w:rPr>
                <w:rFonts w:ascii="宋体" w:hAnsi="宋体" w:eastAsia="宋体" w:cs="宋体"/>
                <w:spacing w:val="9"/>
                <w:sz w:val="20"/>
                <w:szCs w:val="20"/>
              </w:rPr>
              <w:t>保</w:t>
            </w:r>
            <w:r>
              <w:rPr>
                <w:rFonts w:ascii="宋体" w:hAnsi="宋体" w:eastAsia="宋体" w:cs="宋体"/>
                <w:spacing w:val="8"/>
                <w:sz w:val="20"/>
                <w:szCs w:val="20"/>
              </w:rPr>
              <w:t>护区以外的分布区等其他未列入上述敏感分级的环境敏感区。</w:t>
            </w:r>
          </w:p>
        </w:tc>
      </w:tr>
      <w:tr w14:paraId="16BE6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67" w:type="dxa"/>
            <w:tcBorders>
              <w:left w:val="nil"/>
            </w:tcBorders>
            <w:vAlign w:val="top"/>
          </w:tcPr>
          <w:p w14:paraId="638A2B0A">
            <w:pPr>
              <w:spacing w:before="65" w:line="228" w:lineRule="auto"/>
              <w:ind w:left="131"/>
              <w:rPr>
                <w:rFonts w:ascii="宋体" w:hAnsi="宋体" w:eastAsia="宋体" w:cs="宋体"/>
                <w:sz w:val="20"/>
                <w:szCs w:val="20"/>
              </w:rPr>
            </w:pPr>
            <w:r>
              <w:rPr>
                <w:rFonts w:ascii="宋体" w:hAnsi="宋体" w:eastAsia="宋体" w:cs="宋体"/>
                <w:spacing w:val="5"/>
                <w:sz w:val="20"/>
                <w:szCs w:val="20"/>
              </w:rPr>
              <w:t>不敏感</w:t>
            </w:r>
          </w:p>
        </w:tc>
        <w:tc>
          <w:tcPr>
            <w:tcW w:w="7655" w:type="dxa"/>
            <w:tcBorders>
              <w:right w:val="nil"/>
            </w:tcBorders>
            <w:vAlign w:val="top"/>
          </w:tcPr>
          <w:p w14:paraId="76FF8BD2">
            <w:pPr>
              <w:spacing w:before="66" w:line="228" w:lineRule="auto"/>
              <w:ind w:left="114"/>
              <w:rPr>
                <w:rFonts w:ascii="宋体" w:hAnsi="宋体" w:eastAsia="宋体" w:cs="宋体"/>
                <w:sz w:val="20"/>
                <w:szCs w:val="20"/>
              </w:rPr>
            </w:pPr>
            <w:r>
              <w:rPr>
                <w:rFonts w:ascii="宋体" w:hAnsi="宋体" w:eastAsia="宋体" w:cs="宋体"/>
                <w:spacing w:val="10"/>
                <w:sz w:val="20"/>
                <w:szCs w:val="20"/>
              </w:rPr>
              <w:t>上</w:t>
            </w:r>
            <w:r>
              <w:rPr>
                <w:rFonts w:ascii="宋体" w:hAnsi="宋体" w:eastAsia="宋体" w:cs="宋体"/>
                <w:spacing w:val="7"/>
                <w:sz w:val="20"/>
                <w:szCs w:val="20"/>
              </w:rPr>
              <w:t>述地区之外的其他地区。</w:t>
            </w:r>
          </w:p>
        </w:tc>
      </w:tr>
    </w:tbl>
    <w:p w14:paraId="211573CE">
      <w:pPr>
        <w:spacing w:before="77" w:line="230" w:lineRule="auto"/>
        <w:ind w:left="115"/>
        <w:rPr>
          <w:rFonts w:ascii="宋体" w:hAnsi="宋体" w:eastAsia="宋体" w:cs="宋体"/>
          <w:sz w:val="17"/>
          <w:szCs w:val="17"/>
        </w:rPr>
      </w:pPr>
      <w:r>
        <w:rPr>
          <w:rFonts w:ascii="宋体" w:hAnsi="宋体" w:eastAsia="宋体" w:cs="宋体"/>
          <w:spacing w:val="16"/>
          <w:sz w:val="17"/>
          <w:szCs w:val="17"/>
        </w:rPr>
        <w:t>注</w:t>
      </w:r>
      <w:r>
        <w:rPr>
          <w:rFonts w:ascii="宋体" w:hAnsi="宋体" w:eastAsia="宋体" w:cs="宋体"/>
          <w:spacing w:val="9"/>
          <w:sz w:val="17"/>
          <w:szCs w:val="17"/>
        </w:rPr>
        <w:t>：</w:t>
      </w:r>
      <w:r>
        <w:rPr>
          <w:rFonts w:ascii="Times New Roman" w:hAnsi="Times New Roman" w:eastAsia="Times New Roman" w:cs="Times New Roman"/>
          <w:spacing w:val="8"/>
          <w:sz w:val="17"/>
          <w:szCs w:val="17"/>
        </w:rPr>
        <w:t>“</w:t>
      </w:r>
      <w:r>
        <w:rPr>
          <w:rFonts w:ascii="宋体" w:hAnsi="宋体" w:eastAsia="宋体" w:cs="宋体"/>
          <w:spacing w:val="8"/>
          <w:sz w:val="17"/>
          <w:szCs w:val="17"/>
        </w:rPr>
        <w:t>环境敏感区</w:t>
      </w:r>
      <w:r>
        <w:rPr>
          <w:rFonts w:ascii="Times New Roman" w:hAnsi="Times New Roman" w:eastAsia="Times New Roman" w:cs="Times New Roman"/>
          <w:spacing w:val="8"/>
          <w:sz w:val="17"/>
          <w:szCs w:val="17"/>
        </w:rPr>
        <w:t>”</w:t>
      </w:r>
      <w:r>
        <w:rPr>
          <w:rFonts w:ascii="宋体" w:hAnsi="宋体" w:eastAsia="宋体" w:cs="宋体"/>
          <w:spacing w:val="8"/>
          <w:sz w:val="17"/>
          <w:szCs w:val="17"/>
        </w:rPr>
        <w:t>是指《建设项目环境影响评价分类管理名录》中所界定的涉及地下水的环境敏感区。</w:t>
      </w:r>
    </w:p>
    <w:p w14:paraId="62C7A9FE">
      <w:pPr>
        <w:spacing w:before="45" w:line="28" w:lineRule="exact"/>
        <w:textAlignment w:val="center"/>
      </w:pPr>
      <w:r>
        <w:pict>
          <v:shape id="_x0000_s1097" o:spid="_x0000_s1097" style="height:1.45pt;width:426.15pt;" filled="f" stroked="t" coordsize="8522,29" path="m0,14l8522,14e">
            <v:fill on="f" focussize="0,0"/>
            <v:stroke weight="1.44pt" color="#000000" miterlimit="2" joinstyle="bevel"/>
            <v:imagedata o:title=""/>
            <o:lock v:ext="edit"/>
            <w10:wrap type="none"/>
            <w10:anchorlock/>
          </v:shape>
        </w:pict>
      </w:r>
    </w:p>
    <w:p w14:paraId="70E9A8FE">
      <w:pPr>
        <w:spacing w:line="272" w:lineRule="auto"/>
        <w:rPr>
          <w:rFonts w:ascii="Arial"/>
          <w:sz w:val="21"/>
        </w:rPr>
      </w:pPr>
    </w:p>
    <w:p w14:paraId="7FC57CFF">
      <w:pPr>
        <w:spacing w:before="76" w:line="390" w:lineRule="auto"/>
        <w:ind w:left="120" w:right="110" w:firstLine="452"/>
        <w:rPr>
          <w:rFonts w:ascii="宋体" w:hAnsi="宋体" w:eastAsia="宋体" w:cs="宋体"/>
          <w:sz w:val="23"/>
          <w:szCs w:val="23"/>
        </w:rPr>
      </w:pPr>
      <w:r>
        <w:rPr>
          <w:rFonts w:ascii="宋体" w:hAnsi="宋体" w:eastAsia="宋体" w:cs="宋体"/>
          <w:spacing w:val="1"/>
          <w:sz w:val="23"/>
          <w:szCs w:val="23"/>
        </w:rPr>
        <w:t>项目厂区不在集中式饮用水水源保护区内，</w:t>
      </w:r>
      <w:r>
        <w:rPr>
          <w:rFonts w:ascii="宋体" w:hAnsi="宋体" w:eastAsia="宋体" w:cs="宋体"/>
          <w:sz w:val="23"/>
          <w:szCs w:val="23"/>
        </w:rPr>
        <w:t xml:space="preserve">不在国家或地方政府设定的与地下 </w:t>
      </w:r>
      <w:r>
        <w:rPr>
          <w:rFonts w:ascii="宋体" w:hAnsi="宋体" w:eastAsia="宋体" w:cs="宋体"/>
          <w:spacing w:val="1"/>
          <w:sz w:val="23"/>
          <w:szCs w:val="23"/>
        </w:rPr>
        <w:t>水环境相关的其它保护区</w:t>
      </w:r>
      <w:r>
        <w:rPr>
          <w:rFonts w:ascii="宋体" w:hAnsi="宋体" w:eastAsia="宋体" w:cs="宋体"/>
          <w:sz w:val="23"/>
          <w:szCs w:val="23"/>
        </w:rPr>
        <w:t xml:space="preserve">内。项目下游地区村庄有分散式居民个人饮用水井，无集 </w:t>
      </w:r>
      <w:r>
        <w:rPr>
          <w:rFonts w:ascii="宋体" w:hAnsi="宋体" w:eastAsia="宋体" w:cs="宋体"/>
          <w:spacing w:val="-6"/>
          <w:sz w:val="23"/>
          <w:szCs w:val="23"/>
        </w:rPr>
        <w:t>中</w:t>
      </w:r>
      <w:r>
        <w:rPr>
          <w:rFonts w:ascii="宋体" w:hAnsi="宋体" w:eastAsia="宋体" w:cs="宋体"/>
          <w:spacing w:val="-3"/>
          <w:sz w:val="23"/>
          <w:szCs w:val="23"/>
        </w:rPr>
        <w:t>式居民饮用水井，因此确定项目地下水环境敏感程度为较敏感。</w:t>
      </w:r>
    </w:p>
    <w:p w14:paraId="21C65BEE">
      <w:pPr>
        <w:spacing w:before="148" w:line="226" w:lineRule="auto"/>
        <w:ind w:left="61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14"/>
          <w:sz w:val="23"/>
          <w:szCs w:val="23"/>
        </w:rPr>
        <w:t>3</w:t>
      </w:r>
      <w:r>
        <w:rPr>
          <w:rFonts w:ascii="宋体" w:hAnsi="宋体" w:eastAsia="宋体" w:cs="宋体"/>
          <w:spacing w:val="14"/>
          <w:sz w:val="23"/>
          <w:szCs w:val="23"/>
        </w:rPr>
        <w:t>) 建设项目评价工作等级</w:t>
      </w:r>
    </w:p>
    <w:p w14:paraId="3F8ED409">
      <w:pPr>
        <w:spacing w:line="287" w:lineRule="auto"/>
        <w:rPr>
          <w:rFonts w:ascii="Arial"/>
          <w:sz w:val="21"/>
        </w:rPr>
      </w:pPr>
    </w:p>
    <w:p w14:paraId="1C34B625">
      <w:pPr>
        <w:spacing w:before="75" w:line="226" w:lineRule="auto"/>
        <w:ind w:left="602"/>
        <w:rPr>
          <w:rFonts w:ascii="宋体" w:hAnsi="宋体" w:eastAsia="宋体" w:cs="宋体"/>
          <w:sz w:val="23"/>
          <w:szCs w:val="23"/>
        </w:rPr>
      </w:pPr>
      <w:r>
        <w:rPr>
          <w:rFonts w:ascii="宋体" w:hAnsi="宋体" w:eastAsia="宋体" w:cs="宋体"/>
          <w:spacing w:val="6"/>
          <w:sz w:val="23"/>
          <w:szCs w:val="23"/>
        </w:rPr>
        <w:t>建</w:t>
      </w:r>
      <w:r>
        <w:rPr>
          <w:rFonts w:ascii="宋体" w:hAnsi="宋体" w:eastAsia="宋体" w:cs="宋体"/>
          <w:spacing w:val="5"/>
          <w:sz w:val="23"/>
          <w:szCs w:val="23"/>
        </w:rPr>
        <w:t xml:space="preserve">设项目地下水环境影响评价工作等级的划分见表 </w:t>
      </w:r>
      <w:r>
        <w:rPr>
          <w:rFonts w:ascii="Times New Roman" w:hAnsi="Times New Roman" w:eastAsia="Times New Roman" w:cs="Times New Roman"/>
          <w:spacing w:val="5"/>
          <w:sz w:val="23"/>
          <w:szCs w:val="23"/>
        </w:rPr>
        <w:t>2-20</w:t>
      </w:r>
      <w:r>
        <w:rPr>
          <w:rFonts w:ascii="宋体" w:hAnsi="宋体" w:eastAsia="宋体" w:cs="宋体"/>
          <w:spacing w:val="5"/>
          <w:sz w:val="23"/>
          <w:szCs w:val="23"/>
        </w:rPr>
        <w:t>。</w:t>
      </w:r>
    </w:p>
    <w:p w14:paraId="29A0A4CC">
      <w:pPr>
        <w:spacing w:line="289" w:lineRule="auto"/>
        <w:rPr>
          <w:rFonts w:ascii="Arial"/>
          <w:sz w:val="21"/>
        </w:rPr>
      </w:pPr>
    </w:p>
    <w:p w14:paraId="34D3DE19">
      <w:pPr>
        <w:spacing w:before="76" w:line="226" w:lineRule="auto"/>
        <w:ind w:left="243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2-</w:t>
      </w: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4"/>
          <w:sz w:val="23"/>
          <w:szCs w:val="23"/>
        </w:rPr>
        <w:t>0</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地下水评价工作等级分级表</w:t>
      </w:r>
    </w:p>
    <w:p w14:paraId="3A805861">
      <w:pPr>
        <w:spacing w:line="19"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16"/>
        <w:gridCol w:w="1838"/>
        <w:gridCol w:w="2019"/>
        <w:gridCol w:w="2148"/>
      </w:tblGrid>
      <w:tr w14:paraId="361FD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3" w:hRule="atLeast"/>
        </w:trPr>
        <w:tc>
          <w:tcPr>
            <w:tcW w:w="2516" w:type="dxa"/>
            <w:tcBorders>
              <w:left w:val="nil"/>
              <w:tl2br w:val="single" w:color="000000" w:sz="4" w:space="0"/>
            </w:tcBorders>
            <w:vAlign w:val="top"/>
          </w:tcPr>
          <w:p w14:paraId="6D0E1B82">
            <w:pPr>
              <w:spacing w:before="85" w:line="268" w:lineRule="auto"/>
              <w:ind w:left="116" w:right="413" w:firstLine="115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项</w:t>
            </w:r>
            <w:r>
              <w:rPr>
                <w:rFonts w:ascii="宋体" w:hAnsi="宋体" w:eastAsia="宋体" w:cs="宋体"/>
                <w:spacing w:val="6"/>
                <w:sz w:val="20"/>
                <w:szCs w:val="20"/>
                <w14:textOutline w14:w="3795" w14:cap="sq" w14:cmpd="sng">
                  <w14:solidFill>
                    <w14:srgbClr w14:val="000000"/>
                  </w14:solidFill>
                  <w14:prstDash w14:val="solid"/>
                  <w14:bevel/>
                </w14:textOutline>
              </w:rPr>
              <w:t>目类别</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境敏感程度</w:t>
            </w:r>
          </w:p>
        </w:tc>
        <w:tc>
          <w:tcPr>
            <w:tcW w:w="1838" w:type="dxa"/>
            <w:vAlign w:val="top"/>
          </w:tcPr>
          <w:p w14:paraId="4CFCEA9A">
            <w:pPr>
              <w:spacing w:before="251" w:line="228" w:lineRule="auto"/>
              <w:ind w:left="567"/>
              <w:rPr>
                <w:rFonts w:ascii="宋体" w:hAnsi="宋体" w:eastAsia="宋体" w:cs="宋体"/>
                <w:sz w:val="20"/>
                <w:szCs w:val="20"/>
              </w:rPr>
            </w:pPr>
            <w:r>
              <w:rPr>
                <w:rFonts w:ascii="Times New Roman" w:hAnsi="Times New Roman" w:eastAsia="Times New Roman" w:cs="Times New Roman"/>
                <w:b/>
                <w:bCs/>
                <w:spacing w:val="7"/>
                <w:sz w:val="20"/>
                <w:szCs w:val="20"/>
              </w:rPr>
              <w:t>Ⅰ</w:t>
            </w:r>
            <w:r>
              <w:rPr>
                <w:rFonts w:ascii="宋体" w:hAnsi="宋体" w:eastAsia="宋体" w:cs="宋体"/>
                <w:spacing w:val="6"/>
                <w:sz w:val="20"/>
                <w:szCs w:val="20"/>
                <w14:textOutline w14:w="3795" w14:cap="sq" w14:cmpd="sng">
                  <w14:solidFill>
                    <w14:srgbClr w14:val="000000"/>
                  </w14:solidFill>
                  <w14:prstDash w14:val="solid"/>
                  <w14:bevel/>
                </w14:textOutline>
              </w:rPr>
              <w:t>类项目</w:t>
            </w:r>
          </w:p>
        </w:tc>
        <w:tc>
          <w:tcPr>
            <w:tcW w:w="2019" w:type="dxa"/>
            <w:vAlign w:val="top"/>
          </w:tcPr>
          <w:p w14:paraId="540347C4">
            <w:pPr>
              <w:spacing w:before="251" w:line="228" w:lineRule="auto"/>
              <w:ind w:left="618"/>
              <w:rPr>
                <w:rFonts w:ascii="宋体" w:hAnsi="宋体" w:eastAsia="宋体" w:cs="宋体"/>
                <w:sz w:val="20"/>
                <w:szCs w:val="20"/>
              </w:rPr>
            </w:pPr>
            <w:r>
              <w:rPr>
                <w:rFonts w:ascii="Times New Roman" w:hAnsi="Times New Roman" w:eastAsia="Times New Roman" w:cs="Times New Roman"/>
                <w:b/>
                <w:bCs/>
                <w:spacing w:val="9"/>
                <w:sz w:val="20"/>
                <w:szCs w:val="20"/>
              </w:rPr>
              <w:t>Ⅱ</w:t>
            </w:r>
            <w:r>
              <w:rPr>
                <w:rFonts w:ascii="宋体" w:hAnsi="宋体" w:eastAsia="宋体" w:cs="宋体"/>
                <w:spacing w:val="7"/>
                <w:sz w:val="20"/>
                <w:szCs w:val="20"/>
                <w14:textOutline w14:w="3795" w14:cap="sq" w14:cmpd="sng">
                  <w14:solidFill>
                    <w14:srgbClr w14:val="000000"/>
                  </w14:solidFill>
                  <w14:prstDash w14:val="solid"/>
                  <w14:bevel/>
                </w14:textOutline>
              </w:rPr>
              <w:t>类项目</w:t>
            </w:r>
          </w:p>
        </w:tc>
        <w:tc>
          <w:tcPr>
            <w:tcW w:w="2148" w:type="dxa"/>
            <w:tcBorders>
              <w:right w:val="nil"/>
            </w:tcBorders>
            <w:vAlign w:val="top"/>
          </w:tcPr>
          <w:p w14:paraId="74F4DE95">
            <w:pPr>
              <w:spacing w:before="251" w:line="228" w:lineRule="auto"/>
              <w:ind w:left="644"/>
              <w:rPr>
                <w:rFonts w:ascii="宋体" w:hAnsi="宋体" w:eastAsia="宋体" w:cs="宋体"/>
                <w:sz w:val="20"/>
                <w:szCs w:val="20"/>
              </w:rPr>
            </w:pPr>
            <w:r>
              <w:rPr>
                <w:rFonts w:ascii="Times New Roman" w:hAnsi="Times New Roman" w:eastAsia="Times New Roman" w:cs="Times New Roman"/>
                <w:b/>
                <w:bCs/>
                <w:spacing w:val="10"/>
                <w:sz w:val="20"/>
                <w:szCs w:val="20"/>
                <w:shd w:val="clear" w:fill="D9D9D9"/>
              </w:rPr>
              <w:t>Ⅲ</w:t>
            </w:r>
            <w:r>
              <w:rPr>
                <w:rFonts w:ascii="宋体" w:hAnsi="宋体" w:eastAsia="宋体" w:cs="宋体"/>
                <w:spacing w:val="8"/>
                <w:sz w:val="20"/>
                <w:szCs w:val="20"/>
                <w:shd w:val="clear" w:fill="D9D9D9"/>
                <w14:textOutline w14:w="3795" w14:cap="sq" w14:cmpd="sng">
                  <w14:solidFill>
                    <w14:srgbClr w14:val="000000"/>
                  </w14:solidFill>
                  <w14:prstDash w14:val="solid"/>
                  <w14:bevel/>
                </w14:textOutline>
              </w:rPr>
              <w:t>类项目</w:t>
            </w:r>
          </w:p>
        </w:tc>
      </w:tr>
      <w:tr w14:paraId="3D578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516" w:type="dxa"/>
            <w:tcBorders>
              <w:left w:val="nil"/>
            </w:tcBorders>
            <w:vAlign w:val="top"/>
          </w:tcPr>
          <w:p w14:paraId="48887AA1">
            <w:pPr>
              <w:spacing w:before="64" w:line="228" w:lineRule="auto"/>
              <w:ind w:left="1057"/>
              <w:rPr>
                <w:rFonts w:ascii="宋体" w:hAnsi="宋体" w:eastAsia="宋体" w:cs="宋体"/>
                <w:sz w:val="20"/>
                <w:szCs w:val="20"/>
              </w:rPr>
            </w:pPr>
            <w:r>
              <w:rPr>
                <w:rFonts w:ascii="宋体" w:hAnsi="宋体" w:eastAsia="宋体" w:cs="宋体"/>
                <w:spacing w:val="4"/>
                <w:sz w:val="20"/>
                <w:szCs w:val="20"/>
              </w:rPr>
              <w:t>敏感</w:t>
            </w:r>
          </w:p>
        </w:tc>
        <w:tc>
          <w:tcPr>
            <w:tcW w:w="1838" w:type="dxa"/>
            <w:vAlign w:val="top"/>
          </w:tcPr>
          <w:p w14:paraId="78D70FC7">
            <w:pPr>
              <w:spacing w:before="143" w:line="168" w:lineRule="exact"/>
              <w:ind w:left="824"/>
              <w:rPr>
                <w:rFonts w:ascii="宋体" w:hAnsi="宋体" w:eastAsia="宋体" w:cs="宋体"/>
                <w:sz w:val="10"/>
                <w:szCs w:val="10"/>
              </w:rPr>
            </w:pPr>
            <w:r>
              <w:rPr>
                <w:rFonts w:ascii="宋体" w:hAnsi="宋体" w:eastAsia="宋体" w:cs="宋体"/>
                <w:spacing w:val="97"/>
                <w:position w:val="1"/>
                <w:sz w:val="10"/>
                <w:szCs w:val="10"/>
              </w:rPr>
              <w:t>一</w:t>
            </w:r>
          </w:p>
        </w:tc>
        <w:tc>
          <w:tcPr>
            <w:tcW w:w="2019" w:type="dxa"/>
            <w:vAlign w:val="top"/>
          </w:tcPr>
          <w:p w14:paraId="70857E00">
            <w:pPr>
              <w:spacing w:before="143" w:line="168" w:lineRule="exact"/>
              <w:ind w:left="915"/>
              <w:rPr>
                <w:rFonts w:ascii="宋体" w:hAnsi="宋体" w:eastAsia="宋体" w:cs="宋体"/>
                <w:sz w:val="10"/>
                <w:szCs w:val="10"/>
              </w:rPr>
            </w:pPr>
            <w:r>
              <w:rPr>
                <w:rFonts w:ascii="宋体" w:hAnsi="宋体" w:eastAsia="宋体" w:cs="宋体"/>
                <w:spacing w:val="97"/>
                <w:position w:val="1"/>
                <w:sz w:val="10"/>
                <w:szCs w:val="10"/>
              </w:rPr>
              <w:t>一</w:t>
            </w:r>
          </w:p>
        </w:tc>
        <w:tc>
          <w:tcPr>
            <w:tcW w:w="2148" w:type="dxa"/>
            <w:tcBorders>
              <w:right w:val="nil"/>
            </w:tcBorders>
            <w:vAlign w:val="top"/>
          </w:tcPr>
          <w:p w14:paraId="4EF9C114">
            <w:pPr>
              <w:spacing w:before="103" w:line="189" w:lineRule="auto"/>
              <w:ind w:left="979"/>
              <w:rPr>
                <w:rFonts w:ascii="宋体" w:hAnsi="宋体" w:eastAsia="宋体" w:cs="宋体"/>
                <w:sz w:val="20"/>
                <w:szCs w:val="20"/>
              </w:rPr>
            </w:pPr>
            <w:r>
              <w:rPr>
                <w:rFonts w:ascii="宋体" w:hAnsi="宋体" w:eastAsia="宋体" w:cs="宋体"/>
                <w:sz w:val="20"/>
                <w:szCs w:val="20"/>
              </w:rPr>
              <w:t>二</w:t>
            </w:r>
          </w:p>
        </w:tc>
      </w:tr>
      <w:tr w14:paraId="2705D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516" w:type="dxa"/>
            <w:tcBorders>
              <w:left w:val="nil"/>
            </w:tcBorders>
            <w:vAlign w:val="top"/>
          </w:tcPr>
          <w:p w14:paraId="678B939E">
            <w:pPr>
              <w:spacing w:before="65" w:line="228" w:lineRule="auto"/>
              <w:ind w:left="953"/>
              <w:rPr>
                <w:rFonts w:ascii="宋体" w:hAnsi="宋体" w:eastAsia="宋体" w:cs="宋体"/>
                <w:sz w:val="20"/>
                <w:szCs w:val="20"/>
              </w:rPr>
            </w:pPr>
            <w:r>
              <w:rPr>
                <w:rFonts w:ascii="宋体" w:hAnsi="宋体" w:eastAsia="宋体" w:cs="宋体"/>
                <w:spacing w:val="6"/>
                <w:sz w:val="20"/>
                <w:szCs w:val="20"/>
                <w:shd w:val="clear" w:fill="D9D9D9"/>
              </w:rPr>
              <w:t>较敏感</w:t>
            </w:r>
          </w:p>
        </w:tc>
        <w:tc>
          <w:tcPr>
            <w:tcW w:w="1838" w:type="dxa"/>
            <w:vAlign w:val="top"/>
          </w:tcPr>
          <w:p w14:paraId="55233E3C">
            <w:pPr>
              <w:spacing w:before="144" w:line="168" w:lineRule="exact"/>
              <w:ind w:left="824"/>
              <w:rPr>
                <w:rFonts w:ascii="宋体" w:hAnsi="宋体" w:eastAsia="宋体" w:cs="宋体"/>
                <w:sz w:val="10"/>
                <w:szCs w:val="10"/>
              </w:rPr>
            </w:pPr>
            <w:r>
              <w:rPr>
                <w:rFonts w:ascii="宋体" w:hAnsi="宋体" w:eastAsia="宋体" w:cs="宋体"/>
                <w:spacing w:val="97"/>
                <w:position w:val="1"/>
                <w:sz w:val="10"/>
                <w:szCs w:val="10"/>
              </w:rPr>
              <w:t>一</w:t>
            </w:r>
          </w:p>
        </w:tc>
        <w:tc>
          <w:tcPr>
            <w:tcW w:w="2019" w:type="dxa"/>
            <w:vAlign w:val="top"/>
          </w:tcPr>
          <w:p w14:paraId="3A7E9B38">
            <w:pPr>
              <w:spacing w:before="105" w:line="189" w:lineRule="auto"/>
              <w:ind w:left="915"/>
              <w:rPr>
                <w:rFonts w:ascii="宋体" w:hAnsi="宋体" w:eastAsia="宋体" w:cs="宋体"/>
                <w:sz w:val="20"/>
                <w:szCs w:val="20"/>
              </w:rPr>
            </w:pPr>
            <w:r>
              <w:rPr>
                <w:rFonts w:ascii="宋体" w:hAnsi="宋体" w:eastAsia="宋体" w:cs="宋体"/>
                <w:sz w:val="20"/>
                <w:szCs w:val="20"/>
              </w:rPr>
              <w:t>二</w:t>
            </w:r>
          </w:p>
        </w:tc>
        <w:tc>
          <w:tcPr>
            <w:tcW w:w="2148" w:type="dxa"/>
            <w:tcBorders>
              <w:right w:val="nil"/>
            </w:tcBorders>
            <w:vAlign w:val="top"/>
          </w:tcPr>
          <w:p w14:paraId="31AD371D">
            <w:pPr>
              <w:spacing w:before="65" w:line="266" w:lineRule="exact"/>
              <w:ind w:left="976"/>
              <w:rPr>
                <w:rFonts w:ascii="宋体" w:hAnsi="宋体" w:eastAsia="宋体" w:cs="宋体"/>
                <w:sz w:val="20"/>
                <w:szCs w:val="20"/>
              </w:rPr>
            </w:pPr>
            <w:r>
              <w:rPr>
                <w:rFonts w:ascii="宋体" w:hAnsi="宋体" w:eastAsia="宋体" w:cs="宋体"/>
                <w:position w:val="1"/>
                <w:sz w:val="20"/>
                <w:szCs w:val="20"/>
                <w:shd w:val="clear" w:fill="D9D9D9"/>
              </w:rPr>
              <w:t>三</w:t>
            </w:r>
          </w:p>
        </w:tc>
      </w:tr>
      <w:tr w14:paraId="0B638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516" w:type="dxa"/>
            <w:tcBorders>
              <w:left w:val="nil"/>
            </w:tcBorders>
            <w:vAlign w:val="top"/>
          </w:tcPr>
          <w:p w14:paraId="439CC130">
            <w:pPr>
              <w:spacing w:before="66" w:line="228" w:lineRule="auto"/>
              <w:ind w:left="957"/>
              <w:rPr>
                <w:rFonts w:ascii="宋体" w:hAnsi="宋体" w:eastAsia="宋体" w:cs="宋体"/>
                <w:sz w:val="20"/>
                <w:szCs w:val="20"/>
              </w:rPr>
            </w:pPr>
            <w:r>
              <w:rPr>
                <w:rFonts w:ascii="宋体" w:hAnsi="宋体" w:eastAsia="宋体" w:cs="宋体"/>
                <w:spacing w:val="5"/>
                <w:sz w:val="20"/>
                <w:szCs w:val="20"/>
              </w:rPr>
              <w:t>不敏感</w:t>
            </w:r>
          </w:p>
        </w:tc>
        <w:tc>
          <w:tcPr>
            <w:tcW w:w="1838" w:type="dxa"/>
            <w:vAlign w:val="top"/>
          </w:tcPr>
          <w:p w14:paraId="4EC77FCD">
            <w:pPr>
              <w:spacing w:before="106" w:line="189" w:lineRule="auto"/>
              <w:ind w:left="824"/>
              <w:rPr>
                <w:rFonts w:ascii="宋体" w:hAnsi="宋体" w:eastAsia="宋体" w:cs="宋体"/>
                <w:sz w:val="20"/>
                <w:szCs w:val="20"/>
              </w:rPr>
            </w:pPr>
            <w:r>
              <w:rPr>
                <w:rFonts w:ascii="宋体" w:hAnsi="宋体" w:eastAsia="宋体" w:cs="宋体"/>
                <w:sz w:val="20"/>
                <w:szCs w:val="20"/>
              </w:rPr>
              <w:t>二</w:t>
            </w:r>
          </w:p>
        </w:tc>
        <w:tc>
          <w:tcPr>
            <w:tcW w:w="2019" w:type="dxa"/>
            <w:vAlign w:val="top"/>
          </w:tcPr>
          <w:p w14:paraId="51673183">
            <w:pPr>
              <w:spacing w:before="67" w:line="265" w:lineRule="exact"/>
              <w:ind w:left="912"/>
              <w:rPr>
                <w:rFonts w:ascii="宋体" w:hAnsi="宋体" w:eastAsia="宋体" w:cs="宋体"/>
                <w:sz w:val="20"/>
                <w:szCs w:val="20"/>
              </w:rPr>
            </w:pPr>
            <w:r>
              <w:rPr>
                <w:rFonts w:ascii="宋体" w:hAnsi="宋体" w:eastAsia="宋体" w:cs="宋体"/>
                <w:position w:val="1"/>
                <w:sz w:val="20"/>
                <w:szCs w:val="20"/>
              </w:rPr>
              <w:t>三</w:t>
            </w:r>
          </w:p>
        </w:tc>
        <w:tc>
          <w:tcPr>
            <w:tcW w:w="2148" w:type="dxa"/>
            <w:tcBorders>
              <w:right w:val="nil"/>
            </w:tcBorders>
            <w:vAlign w:val="top"/>
          </w:tcPr>
          <w:p w14:paraId="7411A2B1">
            <w:pPr>
              <w:spacing w:before="67" w:line="265" w:lineRule="exact"/>
              <w:ind w:left="976"/>
              <w:rPr>
                <w:rFonts w:ascii="宋体" w:hAnsi="宋体" w:eastAsia="宋体" w:cs="宋体"/>
                <w:sz w:val="20"/>
                <w:szCs w:val="20"/>
              </w:rPr>
            </w:pPr>
            <w:r>
              <w:rPr>
                <w:rFonts w:ascii="宋体" w:hAnsi="宋体" w:eastAsia="宋体" w:cs="宋体"/>
                <w:position w:val="1"/>
                <w:sz w:val="20"/>
                <w:szCs w:val="20"/>
              </w:rPr>
              <w:t>三</w:t>
            </w:r>
          </w:p>
        </w:tc>
      </w:tr>
    </w:tbl>
    <w:p w14:paraId="0A171517">
      <w:pPr>
        <w:rPr>
          <w:rFonts w:ascii="Arial"/>
          <w:sz w:val="21"/>
        </w:rPr>
      </w:pPr>
    </w:p>
    <w:p w14:paraId="45AC3196">
      <w:pPr>
        <w:sectPr>
          <w:footerReference r:id="rId71" w:type="default"/>
          <w:pgSz w:w="11906" w:h="16839"/>
          <w:pgMar w:top="1132" w:right="1691" w:bottom="1156" w:left="1691" w:header="878" w:footer="996" w:gutter="0"/>
          <w:cols w:space="720" w:num="1"/>
        </w:sectPr>
      </w:pPr>
    </w:p>
    <w:p w14:paraId="59CFA6F6">
      <w:pPr>
        <w:spacing w:line="401" w:lineRule="auto"/>
        <w:rPr>
          <w:rFonts w:ascii="Arial"/>
          <w:sz w:val="21"/>
        </w:rPr>
      </w:pPr>
      <w:r>
        <w:pict>
          <v:shape id="_x0000_s1098" o:spid="_x0000_s1098" style="position:absolute;left:0pt;margin-left:90pt;margin-top:57.35pt;height:0.75pt;width:415.3pt;mso-position-horizontal-relative:page;mso-position-vertical-relative:page;z-index:251734016;mso-width-relative:page;mso-height-relative:page;" fillcolor="#000000" filled="t" stroked="f" coordsize="8305,15" o:allowincell="f" path="m0,0l8305,0,8305,14,0,14,0,0xe">
            <v:path/>
            <v:fill on="t" focussize="0,0"/>
            <v:stroke on="f"/>
            <v:imagedata o:title=""/>
            <o:lock v:ext="edit"/>
          </v:shape>
        </w:pict>
      </w:r>
    </w:p>
    <w:p w14:paraId="6455D7D5">
      <w:pPr>
        <w:spacing w:before="75" w:line="384" w:lineRule="auto"/>
        <w:ind w:left="116" w:right="110" w:firstLine="455"/>
        <w:rPr>
          <w:rFonts w:ascii="宋体" w:hAnsi="宋体" w:eastAsia="宋体" w:cs="宋体"/>
          <w:sz w:val="23"/>
          <w:szCs w:val="23"/>
        </w:rPr>
      </w:pPr>
      <w:r>
        <w:rPr>
          <w:rFonts w:ascii="宋体" w:hAnsi="宋体" w:eastAsia="宋体" w:cs="宋体"/>
          <w:spacing w:val="1"/>
          <w:sz w:val="23"/>
          <w:szCs w:val="23"/>
        </w:rPr>
        <w:t>综上分析，项目属于地下水环境影响评价分类的</w:t>
      </w:r>
      <w:r>
        <w:rPr>
          <w:rFonts w:ascii="Times New Roman" w:hAnsi="Times New Roman" w:eastAsia="Times New Roman" w:cs="Times New Roman"/>
          <w:spacing w:val="1"/>
          <w:sz w:val="23"/>
          <w:szCs w:val="23"/>
        </w:rPr>
        <w:t>Ⅲ</w:t>
      </w:r>
      <w:r>
        <w:rPr>
          <w:rFonts w:ascii="宋体" w:hAnsi="宋体" w:eastAsia="宋体" w:cs="宋体"/>
          <w:spacing w:val="1"/>
          <w:sz w:val="23"/>
          <w:szCs w:val="23"/>
        </w:rPr>
        <w:t>类项目，地下水</w:t>
      </w:r>
      <w:r>
        <w:rPr>
          <w:rFonts w:ascii="宋体" w:hAnsi="宋体" w:eastAsia="宋体" w:cs="宋体"/>
          <w:sz w:val="23"/>
          <w:szCs w:val="23"/>
        </w:rPr>
        <w:t xml:space="preserve">环境敏感程 </w:t>
      </w:r>
      <w:r>
        <w:rPr>
          <w:rFonts w:ascii="宋体" w:hAnsi="宋体" w:eastAsia="宋体" w:cs="宋体"/>
          <w:spacing w:val="-3"/>
          <w:sz w:val="23"/>
          <w:szCs w:val="23"/>
        </w:rPr>
        <w:t>度为较敏感，因此评价工作等级确定为三级</w:t>
      </w:r>
      <w:r>
        <w:rPr>
          <w:rFonts w:ascii="宋体" w:hAnsi="宋体" w:eastAsia="宋体" w:cs="宋体"/>
          <w:spacing w:val="-2"/>
          <w:sz w:val="23"/>
          <w:szCs w:val="23"/>
        </w:rPr>
        <w:t>。</w:t>
      </w:r>
    </w:p>
    <w:p w14:paraId="68FA751C">
      <w:pPr>
        <w:spacing w:before="113" w:line="219" w:lineRule="auto"/>
        <w:ind w:left="114"/>
        <w:outlineLvl w:val="3"/>
        <w:rPr>
          <w:rFonts w:ascii="宋体" w:hAnsi="宋体" w:eastAsia="宋体" w:cs="宋体"/>
          <w:sz w:val="28"/>
          <w:szCs w:val="28"/>
        </w:rPr>
      </w:pPr>
      <w:r>
        <w:rPr>
          <w:rFonts w:ascii="Times New Roman" w:hAnsi="Times New Roman" w:eastAsia="Times New Roman" w:cs="Times New Roman"/>
          <w:b/>
          <w:bCs/>
          <w:spacing w:val="-9"/>
          <w:sz w:val="28"/>
          <w:szCs w:val="28"/>
        </w:rPr>
        <w:t>2</w:t>
      </w:r>
      <w:r>
        <w:rPr>
          <w:rFonts w:ascii="Times New Roman" w:hAnsi="Times New Roman" w:eastAsia="Times New Roman" w:cs="Times New Roman"/>
          <w:b/>
          <w:bCs/>
          <w:spacing w:val="-8"/>
          <w:sz w:val="28"/>
          <w:szCs w:val="28"/>
        </w:rPr>
        <w:t>.6.1.4</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声环境评价工作等级</w:t>
      </w:r>
    </w:p>
    <w:p w14:paraId="170BB2BC">
      <w:pPr>
        <w:spacing w:line="264" w:lineRule="auto"/>
        <w:rPr>
          <w:rFonts w:ascii="Arial"/>
          <w:sz w:val="21"/>
        </w:rPr>
      </w:pPr>
    </w:p>
    <w:p w14:paraId="305B9EDD">
      <w:pPr>
        <w:spacing w:before="75" w:line="376" w:lineRule="auto"/>
        <w:ind w:left="117" w:right="55" w:firstLine="450"/>
        <w:rPr>
          <w:rFonts w:ascii="宋体" w:hAnsi="宋体" w:eastAsia="宋体" w:cs="宋体"/>
          <w:sz w:val="23"/>
          <w:szCs w:val="23"/>
        </w:rPr>
      </w:pPr>
      <w:r>
        <w:rPr>
          <w:rFonts w:ascii="宋体" w:hAnsi="宋体" w:eastAsia="宋体" w:cs="宋体"/>
          <w:spacing w:val="-6"/>
          <w:sz w:val="23"/>
          <w:szCs w:val="23"/>
        </w:rPr>
        <w:t>根据</w:t>
      </w:r>
      <w:r>
        <w:rPr>
          <w:rFonts w:ascii="宋体" w:hAnsi="宋体" w:eastAsia="宋体" w:cs="宋体"/>
          <w:spacing w:val="-5"/>
          <w:sz w:val="23"/>
          <w:szCs w:val="23"/>
        </w:rPr>
        <w:t>《</w:t>
      </w:r>
      <w:r>
        <w:rPr>
          <w:rFonts w:ascii="宋体" w:hAnsi="宋体" w:eastAsia="宋体" w:cs="宋体"/>
          <w:spacing w:val="-3"/>
          <w:sz w:val="23"/>
          <w:szCs w:val="23"/>
        </w:rPr>
        <w:t>环境影响评价技术导则 声环境》  (</w:t>
      </w:r>
      <w:r>
        <w:rPr>
          <w:rFonts w:ascii="Times New Roman" w:hAnsi="Times New Roman" w:eastAsia="Times New Roman" w:cs="Times New Roman"/>
          <w:spacing w:val="-3"/>
          <w:sz w:val="23"/>
          <w:szCs w:val="23"/>
        </w:rPr>
        <w:t>HJ2.4-2009</w:t>
      </w:r>
      <w:r>
        <w:rPr>
          <w:rFonts w:ascii="宋体" w:hAnsi="宋体" w:eastAsia="宋体" w:cs="宋体"/>
          <w:spacing w:val="-3"/>
          <w:sz w:val="23"/>
          <w:szCs w:val="23"/>
        </w:rPr>
        <w:t>) 规定的声环境影响评价</w:t>
      </w:r>
      <w:r>
        <w:rPr>
          <w:rFonts w:ascii="宋体" w:hAnsi="宋体" w:eastAsia="宋体" w:cs="宋体"/>
          <w:sz w:val="23"/>
          <w:szCs w:val="23"/>
        </w:rPr>
        <w:t xml:space="preserve"> </w:t>
      </w:r>
      <w:r>
        <w:rPr>
          <w:rFonts w:ascii="宋体" w:hAnsi="宋体" w:eastAsia="宋体" w:cs="宋体"/>
          <w:spacing w:val="-6"/>
          <w:sz w:val="23"/>
          <w:szCs w:val="23"/>
        </w:rPr>
        <w:t>工作等级划</w:t>
      </w:r>
      <w:r>
        <w:rPr>
          <w:rFonts w:ascii="宋体" w:hAnsi="宋体" w:eastAsia="宋体" w:cs="宋体"/>
          <w:spacing w:val="-5"/>
          <w:sz w:val="23"/>
          <w:szCs w:val="23"/>
        </w:rPr>
        <w:t>分</w:t>
      </w:r>
      <w:r>
        <w:rPr>
          <w:rFonts w:ascii="宋体" w:hAnsi="宋体" w:eastAsia="宋体" w:cs="宋体"/>
          <w:spacing w:val="-3"/>
          <w:sz w:val="23"/>
          <w:szCs w:val="23"/>
        </w:rPr>
        <w:t>的基本原则：建设项目所处的声环境功能区为</w:t>
      </w:r>
      <w:r>
        <w:rPr>
          <w:rFonts w:ascii="Times New Roman" w:hAnsi="Times New Roman" w:eastAsia="Times New Roman" w:cs="Times New Roman"/>
          <w:spacing w:val="-3"/>
          <w:sz w:val="23"/>
          <w:szCs w:val="23"/>
        </w:rPr>
        <w:t>GB3096</w:t>
      </w:r>
      <w:r>
        <w:rPr>
          <w:rFonts w:ascii="宋体" w:hAnsi="宋体" w:eastAsia="宋体" w:cs="宋体"/>
          <w:spacing w:val="-3"/>
          <w:sz w:val="23"/>
          <w:szCs w:val="23"/>
        </w:rPr>
        <w:t>规定的</w:t>
      </w:r>
      <w:r>
        <w:rPr>
          <w:rFonts w:ascii="Times New Roman" w:hAnsi="Times New Roman" w:eastAsia="Times New Roman" w:cs="Times New Roman"/>
          <w:spacing w:val="-3"/>
          <w:sz w:val="23"/>
          <w:szCs w:val="23"/>
        </w:rPr>
        <w:t>3</w:t>
      </w:r>
      <w:r>
        <w:rPr>
          <w:rFonts w:ascii="宋体" w:hAnsi="宋体" w:eastAsia="宋体" w:cs="宋体"/>
          <w:spacing w:val="-3"/>
          <w:sz w:val="23"/>
          <w:szCs w:val="23"/>
        </w:rPr>
        <w:t>类地区，</w:t>
      </w:r>
      <w:r>
        <w:rPr>
          <w:rFonts w:ascii="宋体" w:hAnsi="宋体" w:eastAsia="宋体" w:cs="宋体"/>
          <w:sz w:val="23"/>
          <w:szCs w:val="23"/>
        </w:rPr>
        <w:t xml:space="preserve"> </w:t>
      </w:r>
      <w:r>
        <w:rPr>
          <w:rFonts w:ascii="宋体" w:hAnsi="宋体" w:eastAsia="宋体" w:cs="宋体"/>
          <w:spacing w:val="34"/>
          <w:sz w:val="23"/>
          <w:szCs w:val="23"/>
        </w:rPr>
        <w:t>或</w:t>
      </w:r>
      <w:r>
        <w:rPr>
          <w:rFonts w:ascii="宋体" w:hAnsi="宋体" w:eastAsia="宋体" w:cs="宋体"/>
          <w:spacing w:val="21"/>
          <w:sz w:val="23"/>
          <w:szCs w:val="23"/>
        </w:rPr>
        <w:t xml:space="preserve">建设项目建设前后评价范围内敏感目标噪声级增高量在 </w:t>
      </w:r>
      <w:r>
        <w:rPr>
          <w:rFonts w:ascii="Times New Roman" w:hAnsi="Times New Roman" w:eastAsia="Times New Roman" w:cs="Times New Roman"/>
          <w:spacing w:val="21"/>
          <w:sz w:val="23"/>
          <w:szCs w:val="23"/>
        </w:rPr>
        <w:t>3</w:t>
      </w:r>
      <w:r>
        <w:rPr>
          <w:rFonts w:ascii="Times New Roman" w:hAnsi="Times New Roman" w:eastAsia="Times New Roman" w:cs="Times New Roman"/>
          <w:sz w:val="23"/>
          <w:szCs w:val="23"/>
        </w:rPr>
        <w:t>dB</w:t>
      </w:r>
      <w:r>
        <w:rPr>
          <w:rFonts w:ascii="Times New Roman" w:hAnsi="Times New Roman" w:eastAsia="Times New Roman" w:cs="Times New Roman"/>
          <w:spacing w:val="2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1"/>
          <w:sz w:val="23"/>
          <w:szCs w:val="23"/>
        </w:rPr>
        <w:t>)</w:t>
      </w:r>
      <w:r>
        <w:rPr>
          <w:rFonts w:ascii="宋体" w:hAnsi="宋体" w:eastAsia="宋体" w:cs="宋体"/>
          <w:spacing w:val="21"/>
          <w:sz w:val="23"/>
          <w:szCs w:val="23"/>
        </w:rPr>
        <w:t>以下</w:t>
      </w:r>
      <w:r>
        <w:rPr>
          <w:rFonts w:ascii="Times New Roman" w:hAnsi="Times New Roman" w:eastAsia="Times New Roman" w:cs="Times New Roman"/>
          <w:spacing w:val="21"/>
          <w:sz w:val="23"/>
          <w:szCs w:val="23"/>
        </w:rPr>
        <w:t>(</w:t>
      </w:r>
      <w:r>
        <w:rPr>
          <w:rFonts w:ascii="宋体" w:hAnsi="宋体" w:eastAsia="宋体" w:cs="宋体"/>
          <w:spacing w:val="21"/>
          <w:sz w:val="23"/>
          <w:szCs w:val="23"/>
        </w:rPr>
        <w:t>不含</w:t>
      </w:r>
      <w:r>
        <w:rPr>
          <w:rFonts w:ascii="宋体" w:hAnsi="宋体" w:eastAsia="宋体" w:cs="宋体"/>
          <w:sz w:val="23"/>
          <w:szCs w:val="23"/>
        </w:rPr>
        <w:t xml:space="preserve"> </w:t>
      </w:r>
      <w:r>
        <w:rPr>
          <w:rFonts w:ascii="Times New Roman" w:hAnsi="Times New Roman" w:eastAsia="Times New Roman" w:cs="Times New Roman"/>
          <w:spacing w:val="-4"/>
          <w:sz w:val="23"/>
          <w:szCs w:val="23"/>
        </w:rPr>
        <w:t>3</w:t>
      </w:r>
      <w:r>
        <w:rPr>
          <w:rFonts w:ascii="Times New Roman" w:hAnsi="Times New Roman" w:eastAsia="Times New Roman" w:cs="Times New Roman"/>
          <w:spacing w:val="-2"/>
          <w:sz w:val="23"/>
          <w:szCs w:val="23"/>
        </w:rPr>
        <w:t>dB</w:t>
      </w:r>
      <w:r>
        <w:rPr>
          <w:rFonts w:ascii="Times New Roman" w:hAnsi="Times New Roman" w:eastAsia="Times New Roman" w:cs="Times New Roman"/>
          <w:spacing w:val="-4"/>
          <w:sz w:val="23"/>
          <w:szCs w:val="23"/>
        </w:rPr>
        <w:t>(</w:t>
      </w:r>
      <w:r>
        <w:rPr>
          <w:rFonts w:ascii="Times New Roman" w:hAnsi="Times New Roman" w:eastAsia="Times New Roman" w:cs="Times New Roman"/>
          <w:spacing w:val="-2"/>
          <w:sz w:val="23"/>
          <w:szCs w:val="23"/>
        </w:rPr>
        <w:t>A</w:t>
      </w:r>
      <w:r>
        <w:rPr>
          <w:rFonts w:ascii="Times New Roman" w:hAnsi="Times New Roman" w:eastAsia="Times New Roman" w:cs="Times New Roman"/>
          <w:spacing w:val="-4"/>
          <w:sz w:val="23"/>
          <w:szCs w:val="23"/>
        </w:rPr>
        <w:t>))</w:t>
      </w:r>
      <w:r>
        <w:rPr>
          <w:rFonts w:ascii="宋体" w:hAnsi="宋体" w:eastAsia="宋体" w:cs="宋体"/>
          <w:spacing w:val="-4"/>
          <w:sz w:val="23"/>
          <w:szCs w:val="23"/>
        </w:rPr>
        <w:t>，或受影响人</w:t>
      </w:r>
      <w:r>
        <w:rPr>
          <w:rFonts w:ascii="宋体" w:hAnsi="宋体" w:eastAsia="宋体" w:cs="宋体"/>
          <w:spacing w:val="-2"/>
          <w:sz w:val="23"/>
          <w:szCs w:val="23"/>
        </w:rPr>
        <w:t>口数量增加较多时，按三级评价。</w:t>
      </w:r>
    </w:p>
    <w:p w14:paraId="6C3DC619">
      <w:pPr>
        <w:spacing w:before="171" w:line="388" w:lineRule="auto"/>
        <w:ind w:left="135" w:right="98" w:firstLine="413"/>
        <w:rPr>
          <w:rFonts w:ascii="宋体" w:hAnsi="宋体" w:eastAsia="宋体" w:cs="宋体"/>
          <w:sz w:val="23"/>
          <w:szCs w:val="23"/>
        </w:rPr>
      </w:pPr>
      <w:r>
        <w:rPr>
          <w:rFonts w:ascii="宋体" w:hAnsi="宋体" w:eastAsia="宋体" w:cs="宋体"/>
          <w:spacing w:val="-14"/>
          <w:sz w:val="23"/>
          <w:szCs w:val="23"/>
        </w:rPr>
        <w:t>项</w:t>
      </w:r>
      <w:r>
        <w:rPr>
          <w:rFonts w:ascii="宋体" w:hAnsi="宋体" w:eastAsia="宋体" w:cs="宋体"/>
          <w:spacing w:val="-12"/>
          <w:sz w:val="23"/>
          <w:szCs w:val="23"/>
        </w:rPr>
        <w:t>目所在声环境功能区为</w:t>
      </w:r>
      <w:r>
        <w:rPr>
          <w:rFonts w:ascii="Times New Roman" w:hAnsi="Times New Roman" w:eastAsia="Times New Roman" w:cs="Times New Roman"/>
          <w:spacing w:val="-12"/>
          <w:sz w:val="23"/>
          <w:szCs w:val="23"/>
        </w:rPr>
        <w:t xml:space="preserve">GB3096 </w:t>
      </w:r>
      <w:r>
        <w:rPr>
          <w:rFonts w:ascii="宋体" w:hAnsi="宋体" w:eastAsia="宋体" w:cs="宋体"/>
          <w:spacing w:val="-12"/>
          <w:sz w:val="23"/>
          <w:szCs w:val="23"/>
        </w:rPr>
        <w:t>规定的</w:t>
      </w:r>
      <w:r>
        <w:rPr>
          <w:rFonts w:ascii="Times New Roman" w:hAnsi="Times New Roman" w:eastAsia="Times New Roman" w:cs="Times New Roman"/>
          <w:spacing w:val="-12"/>
          <w:sz w:val="23"/>
          <w:szCs w:val="23"/>
        </w:rPr>
        <w:t xml:space="preserve">3 </w:t>
      </w:r>
      <w:r>
        <w:rPr>
          <w:rFonts w:ascii="宋体" w:hAnsi="宋体" w:eastAsia="宋体" w:cs="宋体"/>
          <w:spacing w:val="-12"/>
          <w:sz w:val="23"/>
          <w:szCs w:val="23"/>
        </w:rPr>
        <w:t>类功能区，项目建设前后噪声级的增加量</w:t>
      </w:r>
      <w:r>
        <w:rPr>
          <w:rFonts w:ascii="宋体" w:hAnsi="宋体" w:eastAsia="宋体" w:cs="宋体"/>
          <w:sz w:val="23"/>
          <w:szCs w:val="23"/>
        </w:rPr>
        <w:t xml:space="preserve"> </w:t>
      </w:r>
      <w:r>
        <w:rPr>
          <w:rFonts w:ascii="宋体" w:hAnsi="宋体" w:eastAsia="宋体" w:cs="宋体"/>
          <w:spacing w:val="-17"/>
          <w:sz w:val="23"/>
          <w:szCs w:val="23"/>
        </w:rPr>
        <w:t>＜</w:t>
      </w:r>
      <w:r>
        <w:rPr>
          <w:rFonts w:ascii="Times New Roman" w:hAnsi="Times New Roman" w:eastAsia="Times New Roman" w:cs="Times New Roman"/>
          <w:spacing w:val="-13"/>
          <w:sz w:val="23"/>
          <w:szCs w:val="23"/>
        </w:rPr>
        <w:t xml:space="preserve">3dB  </w:t>
      </w:r>
      <w:r>
        <w:rPr>
          <w:rFonts w:ascii="宋体" w:hAnsi="宋体" w:eastAsia="宋体" w:cs="宋体"/>
          <w:spacing w:val="-13"/>
          <w:sz w:val="23"/>
          <w:szCs w:val="23"/>
        </w:rPr>
        <w:t>(</w:t>
      </w:r>
      <w:r>
        <w:rPr>
          <w:rFonts w:ascii="Times New Roman" w:hAnsi="Times New Roman" w:eastAsia="Times New Roman" w:cs="Times New Roman"/>
          <w:spacing w:val="-13"/>
          <w:sz w:val="23"/>
          <w:szCs w:val="23"/>
        </w:rPr>
        <w:t>A</w:t>
      </w:r>
      <w:r>
        <w:rPr>
          <w:rFonts w:ascii="宋体" w:hAnsi="宋体" w:eastAsia="宋体" w:cs="宋体"/>
          <w:spacing w:val="-13"/>
          <w:sz w:val="23"/>
          <w:szCs w:val="23"/>
        </w:rPr>
        <w:t>) ，受影响人口变化情况不明显，因此确定声环境影响评价工作等级为三级。</w:t>
      </w:r>
    </w:p>
    <w:p w14:paraId="74C37AFE">
      <w:pPr>
        <w:spacing w:before="140" w:line="226" w:lineRule="auto"/>
        <w:ind w:left="243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2-</w:t>
      </w: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4"/>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声环境评价工作等级判断表</w:t>
      </w:r>
    </w:p>
    <w:p w14:paraId="5D381BC8">
      <w:pPr>
        <w:spacing w:line="19"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2"/>
        <w:gridCol w:w="2842"/>
        <w:gridCol w:w="2720"/>
        <w:gridCol w:w="1387"/>
      </w:tblGrid>
      <w:tr w14:paraId="31456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572" w:type="dxa"/>
            <w:tcBorders>
              <w:left w:val="nil"/>
            </w:tcBorders>
            <w:vAlign w:val="top"/>
          </w:tcPr>
          <w:p w14:paraId="683D3208">
            <w:pPr>
              <w:spacing w:before="86" w:line="229" w:lineRule="auto"/>
              <w:ind w:left="48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功能</w:t>
            </w:r>
            <w:r>
              <w:rPr>
                <w:rFonts w:ascii="宋体" w:hAnsi="宋体" w:eastAsia="宋体" w:cs="宋体"/>
                <w:spacing w:val="5"/>
                <w:sz w:val="20"/>
                <w:szCs w:val="20"/>
                <w14:textOutline w14:w="3795" w14:cap="sq" w14:cmpd="sng">
                  <w14:solidFill>
                    <w14:srgbClr w14:val="000000"/>
                  </w14:solidFill>
                  <w14:prstDash w14:val="solid"/>
                  <w14:bevel/>
                </w14:textOutline>
              </w:rPr>
              <w:t>区</w:t>
            </w:r>
          </w:p>
        </w:tc>
        <w:tc>
          <w:tcPr>
            <w:tcW w:w="2842" w:type="dxa"/>
            <w:vAlign w:val="top"/>
          </w:tcPr>
          <w:p w14:paraId="2CF75DB2">
            <w:pPr>
              <w:spacing w:before="86" w:line="228" w:lineRule="auto"/>
              <w:ind w:left="279"/>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建</w:t>
            </w:r>
            <w:r>
              <w:rPr>
                <w:rFonts w:ascii="宋体" w:hAnsi="宋体" w:eastAsia="宋体" w:cs="宋体"/>
                <w:spacing w:val="8"/>
                <w:sz w:val="20"/>
                <w:szCs w:val="20"/>
                <w14:textOutline w14:w="3795" w14:cap="sq" w14:cmpd="sng">
                  <w14:solidFill>
                    <w14:srgbClr w14:val="000000"/>
                  </w14:solidFill>
                  <w14:prstDash w14:val="solid"/>
                  <w14:bevel/>
                </w14:textOutline>
              </w:rPr>
              <w:t>设前后噪声级的增加量</w:t>
            </w:r>
          </w:p>
        </w:tc>
        <w:tc>
          <w:tcPr>
            <w:tcW w:w="2720" w:type="dxa"/>
            <w:vAlign w:val="top"/>
          </w:tcPr>
          <w:p w14:paraId="06E8578F">
            <w:pPr>
              <w:spacing w:before="86" w:line="228" w:lineRule="auto"/>
              <w:ind w:left="42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受</w:t>
            </w:r>
            <w:r>
              <w:rPr>
                <w:rFonts w:ascii="宋体" w:hAnsi="宋体" w:eastAsia="宋体" w:cs="宋体"/>
                <w:spacing w:val="8"/>
                <w:sz w:val="20"/>
                <w:szCs w:val="20"/>
                <w14:textOutline w14:w="3795" w14:cap="sq" w14:cmpd="sng">
                  <w14:solidFill>
                    <w14:srgbClr w14:val="000000"/>
                  </w14:solidFill>
                  <w14:prstDash w14:val="solid"/>
                  <w14:bevel/>
                </w14:textOutline>
              </w:rPr>
              <w:t>影响人口变化情况</w:t>
            </w:r>
          </w:p>
        </w:tc>
        <w:tc>
          <w:tcPr>
            <w:tcW w:w="1387" w:type="dxa"/>
            <w:tcBorders>
              <w:right w:val="nil"/>
            </w:tcBorders>
            <w:vAlign w:val="top"/>
          </w:tcPr>
          <w:p w14:paraId="573B5158">
            <w:pPr>
              <w:spacing w:before="85" w:line="228" w:lineRule="auto"/>
              <w:ind w:left="28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判</w:t>
            </w:r>
            <w:r>
              <w:rPr>
                <w:rFonts w:ascii="宋体" w:hAnsi="宋体" w:eastAsia="宋体" w:cs="宋体"/>
                <w:spacing w:val="7"/>
                <w:sz w:val="20"/>
                <w:szCs w:val="20"/>
                <w14:textOutline w14:w="3795" w14:cap="sq" w14:cmpd="sng">
                  <w14:solidFill>
                    <w14:srgbClr w14:val="000000"/>
                  </w14:solidFill>
                  <w14:prstDash w14:val="solid"/>
                  <w14:bevel/>
                </w14:textOutline>
              </w:rPr>
              <w:t>定等级</w:t>
            </w:r>
          </w:p>
        </w:tc>
      </w:tr>
      <w:tr w14:paraId="5AA60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572" w:type="dxa"/>
            <w:tcBorders>
              <w:left w:val="nil"/>
            </w:tcBorders>
            <w:vAlign w:val="top"/>
          </w:tcPr>
          <w:p w14:paraId="5DEF15E9">
            <w:pPr>
              <w:spacing w:before="63" w:line="228" w:lineRule="auto"/>
              <w:ind w:left="610"/>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2"/>
                <w:sz w:val="20"/>
                <w:szCs w:val="20"/>
              </w:rPr>
              <w:t>类</w:t>
            </w:r>
          </w:p>
        </w:tc>
        <w:tc>
          <w:tcPr>
            <w:tcW w:w="2842" w:type="dxa"/>
            <w:vAlign w:val="top"/>
          </w:tcPr>
          <w:p w14:paraId="47FA1693">
            <w:pPr>
              <w:spacing w:before="26" w:line="281" w:lineRule="exact"/>
              <w:ind w:left="880"/>
              <w:rPr>
                <w:rFonts w:ascii="宋体" w:hAnsi="宋体" w:eastAsia="宋体" w:cs="宋体"/>
                <w:sz w:val="20"/>
                <w:szCs w:val="20"/>
              </w:rPr>
            </w:pPr>
            <w:r>
              <w:rPr>
                <w:rFonts w:ascii="宋体" w:hAnsi="宋体" w:eastAsia="宋体" w:cs="宋体"/>
                <w:spacing w:val="4"/>
                <w:position w:val="1"/>
                <w:sz w:val="20"/>
                <w:szCs w:val="20"/>
              </w:rPr>
              <w:t>＜</w:t>
            </w: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2"/>
                <w:position w:val="1"/>
                <w:sz w:val="20"/>
                <w:szCs w:val="20"/>
              </w:rPr>
              <w:t>)</w:t>
            </w:r>
          </w:p>
        </w:tc>
        <w:tc>
          <w:tcPr>
            <w:tcW w:w="2720" w:type="dxa"/>
            <w:vAlign w:val="top"/>
          </w:tcPr>
          <w:p w14:paraId="62854F05">
            <w:pPr>
              <w:spacing w:before="63" w:line="228" w:lineRule="auto"/>
              <w:ind w:left="1057"/>
              <w:rPr>
                <w:rFonts w:ascii="宋体" w:hAnsi="宋体" w:eastAsia="宋体" w:cs="宋体"/>
                <w:sz w:val="20"/>
                <w:szCs w:val="20"/>
              </w:rPr>
            </w:pPr>
            <w:r>
              <w:rPr>
                <w:rFonts w:ascii="宋体" w:hAnsi="宋体" w:eastAsia="宋体" w:cs="宋体"/>
                <w:spacing w:val="5"/>
                <w:sz w:val="20"/>
                <w:szCs w:val="20"/>
              </w:rPr>
              <w:t>不明显</w:t>
            </w:r>
          </w:p>
        </w:tc>
        <w:tc>
          <w:tcPr>
            <w:tcW w:w="1387" w:type="dxa"/>
            <w:tcBorders>
              <w:right w:val="nil"/>
            </w:tcBorders>
            <w:vAlign w:val="top"/>
          </w:tcPr>
          <w:p w14:paraId="09742A65">
            <w:pPr>
              <w:spacing w:before="64" w:line="230" w:lineRule="auto"/>
              <w:ind w:left="491"/>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r>
    </w:tbl>
    <w:p w14:paraId="0C6220E6">
      <w:pPr>
        <w:spacing w:before="304" w:line="219" w:lineRule="auto"/>
        <w:ind w:left="114"/>
        <w:outlineLvl w:val="3"/>
        <w:rPr>
          <w:rFonts w:ascii="宋体" w:hAnsi="宋体" w:eastAsia="宋体" w:cs="宋体"/>
          <w:sz w:val="28"/>
          <w:szCs w:val="28"/>
        </w:rPr>
      </w:pPr>
      <w:r>
        <w:rPr>
          <w:rFonts w:ascii="Times New Roman" w:hAnsi="Times New Roman" w:eastAsia="Times New Roman" w:cs="Times New Roman"/>
          <w:b/>
          <w:bCs/>
          <w:spacing w:val="-15"/>
          <w:sz w:val="28"/>
          <w:szCs w:val="28"/>
        </w:rPr>
        <w:t>2</w:t>
      </w:r>
      <w:r>
        <w:rPr>
          <w:rFonts w:ascii="Times New Roman" w:hAnsi="Times New Roman" w:eastAsia="Times New Roman" w:cs="Times New Roman"/>
          <w:b/>
          <w:bCs/>
          <w:spacing w:val="-8"/>
          <w:sz w:val="28"/>
          <w:szCs w:val="28"/>
        </w:rPr>
        <w:t>.6.1.5</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土壤环境影响评价等级</w:t>
      </w:r>
    </w:p>
    <w:p w14:paraId="35900EE6">
      <w:pPr>
        <w:spacing w:line="269" w:lineRule="auto"/>
        <w:rPr>
          <w:rFonts w:ascii="Arial"/>
          <w:sz w:val="21"/>
        </w:rPr>
      </w:pPr>
    </w:p>
    <w:p w14:paraId="5198B7D5">
      <w:pPr>
        <w:spacing w:before="75" w:line="391" w:lineRule="auto"/>
        <w:ind w:left="116" w:right="110" w:firstLine="452"/>
        <w:rPr>
          <w:rFonts w:ascii="宋体" w:hAnsi="宋体" w:eastAsia="宋体" w:cs="宋体"/>
          <w:sz w:val="23"/>
          <w:szCs w:val="23"/>
        </w:rPr>
      </w:pPr>
      <w:r>
        <w:rPr>
          <w:rFonts w:ascii="宋体" w:hAnsi="宋体" w:eastAsia="宋体" w:cs="宋体"/>
          <w:spacing w:val="-8"/>
          <w:sz w:val="23"/>
          <w:szCs w:val="23"/>
        </w:rPr>
        <w:t>根据《环</w:t>
      </w:r>
      <w:r>
        <w:rPr>
          <w:rFonts w:ascii="宋体" w:hAnsi="宋体" w:eastAsia="宋体" w:cs="宋体"/>
          <w:spacing w:val="-5"/>
          <w:sz w:val="23"/>
          <w:szCs w:val="23"/>
        </w:rPr>
        <w:t>境</w:t>
      </w:r>
      <w:r>
        <w:rPr>
          <w:rFonts w:ascii="宋体" w:hAnsi="宋体" w:eastAsia="宋体" w:cs="宋体"/>
          <w:spacing w:val="-4"/>
          <w:sz w:val="23"/>
          <w:szCs w:val="23"/>
        </w:rPr>
        <w:t>影响评价技术导则 土壤环境 (试行) 》  (</w:t>
      </w:r>
      <w:r>
        <w:rPr>
          <w:rFonts w:ascii="Times New Roman" w:hAnsi="Times New Roman" w:eastAsia="Times New Roman" w:cs="Times New Roman"/>
          <w:spacing w:val="-4"/>
          <w:sz w:val="23"/>
          <w:szCs w:val="23"/>
        </w:rPr>
        <w:t>HJ964-2018</w:t>
      </w:r>
      <w:r>
        <w:rPr>
          <w:rFonts w:ascii="宋体" w:hAnsi="宋体" w:eastAsia="宋体" w:cs="宋体"/>
          <w:spacing w:val="-4"/>
          <w:sz w:val="23"/>
          <w:szCs w:val="23"/>
        </w:rPr>
        <w:t>) 评价工作等</w:t>
      </w:r>
      <w:r>
        <w:rPr>
          <w:rFonts w:ascii="宋体" w:hAnsi="宋体" w:eastAsia="宋体" w:cs="宋体"/>
          <w:sz w:val="23"/>
          <w:szCs w:val="23"/>
        </w:rPr>
        <w:t xml:space="preserve"> </w:t>
      </w:r>
      <w:r>
        <w:rPr>
          <w:rFonts w:ascii="宋体" w:hAnsi="宋体" w:eastAsia="宋体" w:cs="宋体"/>
          <w:spacing w:val="1"/>
          <w:sz w:val="23"/>
          <w:szCs w:val="23"/>
        </w:rPr>
        <w:t>级的划分应依据建设项目土壤环境</w:t>
      </w:r>
      <w:r>
        <w:rPr>
          <w:rFonts w:ascii="宋体" w:hAnsi="宋体" w:eastAsia="宋体" w:cs="宋体"/>
          <w:sz w:val="23"/>
          <w:szCs w:val="23"/>
        </w:rPr>
        <w:t xml:space="preserve">影响评价项目类别、占地规模和土壤环境敏感程 </w:t>
      </w:r>
      <w:r>
        <w:rPr>
          <w:rFonts w:ascii="宋体" w:hAnsi="宋体" w:eastAsia="宋体" w:cs="宋体"/>
          <w:spacing w:val="-4"/>
          <w:sz w:val="23"/>
          <w:szCs w:val="23"/>
        </w:rPr>
        <w:t>度</w:t>
      </w:r>
      <w:r>
        <w:rPr>
          <w:rFonts w:ascii="宋体" w:hAnsi="宋体" w:eastAsia="宋体" w:cs="宋体"/>
          <w:spacing w:val="-2"/>
          <w:sz w:val="23"/>
          <w:szCs w:val="23"/>
        </w:rPr>
        <w:t>分级进行判定。</w:t>
      </w:r>
    </w:p>
    <w:p w14:paraId="3077492C">
      <w:pPr>
        <w:spacing w:before="147" w:line="227" w:lineRule="auto"/>
        <w:ind w:left="580"/>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w:t>
      </w:r>
      <w:r>
        <w:rPr>
          <w:rFonts w:ascii="宋体" w:hAnsi="宋体" w:eastAsia="宋体" w:cs="宋体"/>
          <w:spacing w:val="1"/>
          <w:sz w:val="23"/>
          <w:szCs w:val="23"/>
        </w:rPr>
        <w:t>) 根据《环境影响评价技术导则 土壤环境 (试行</w:t>
      </w:r>
      <w:r>
        <w:rPr>
          <w:rFonts w:ascii="宋体" w:hAnsi="宋体" w:eastAsia="宋体" w:cs="宋体"/>
          <w:sz w:val="23"/>
          <w:szCs w:val="23"/>
        </w:rPr>
        <w:t>) 》  (</w:t>
      </w:r>
      <w:r>
        <w:rPr>
          <w:rFonts w:ascii="Times New Roman" w:hAnsi="Times New Roman" w:eastAsia="Times New Roman" w:cs="Times New Roman"/>
          <w:sz w:val="23"/>
          <w:szCs w:val="23"/>
        </w:rPr>
        <w:t>HJ964-2018</w:t>
      </w:r>
      <w:r>
        <w:rPr>
          <w:rFonts w:ascii="宋体" w:hAnsi="宋体" w:eastAsia="宋体" w:cs="宋体"/>
          <w:sz w:val="23"/>
          <w:szCs w:val="23"/>
        </w:rPr>
        <w:t>) 附录</w:t>
      </w:r>
    </w:p>
    <w:p w14:paraId="42DEB608">
      <w:pPr>
        <w:spacing w:before="198" w:line="226" w:lineRule="auto"/>
        <w:ind w:left="109"/>
        <w:rPr>
          <w:rFonts w:ascii="宋体" w:hAnsi="宋体" w:eastAsia="宋体" w:cs="宋体"/>
          <w:sz w:val="23"/>
          <w:szCs w:val="23"/>
        </w:rPr>
      </w:pPr>
      <w:r>
        <w:rPr>
          <w:rFonts w:ascii="Times New Roman" w:hAnsi="Times New Roman" w:eastAsia="Times New Roman" w:cs="Times New Roman"/>
          <w:spacing w:val="-4"/>
          <w:sz w:val="23"/>
          <w:szCs w:val="23"/>
        </w:rPr>
        <w:t>A</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中</w:t>
      </w:r>
      <w:r>
        <w:rPr>
          <w:rFonts w:ascii="宋体" w:hAnsi="宋体" w:eastAsia="宋体" w:cs="宋体"/>
          <w:spacing w:val="-7"/>
          <w:sz w:val="23"/>
          <w:szCs w:val="23"/>
        </w:rPr>
        <w:t>土</w:t>
      </w:r>
      <w:r>
        <w:rPr>
          <w:rFonts w:ascii="宋体" w:hAnsi="宋体" w:eastAsia="宋体" w:cs="宋体"/>
          <w:spacing w:val="-4"/>
          <w:sz w:val="23"/>
          <w:szCs w:val="23"/>
        </w:rPr>
        <w:t xml:space="preserve">壤环境影响评价项目类别表，具体见下表 </w:t>
      </w:r>
      <w:r>
        <w:rPr>
          <w:rFonts w:ascii="Times New Roman" w:hAnsi="Times New Roman" w:eastAsia="Times New Roman" w:cs="Times New Roman"/>
          <w:spacing w:val="-4"/>
          <w:sz w:val="23"/>
          <w:szCs w:val="23"/>
        </w:rPr>
        <w:t>2-22</w:t>
      </w:r>
      <w:r>
        <w:rPr>
          <w:rFonts w:ascii="宋体" w:hAnsi="宋体" w:eastAsia="宋体" w:cs="宋体"/>
          <w:spacing w:val="-4"/>
          <w:sz w:val="23"/>
          <w:szCs w:val="23"/>
        </w:rPr>
        <w:t>。</w:t>
      </w:r>
    </w:p>
    <w:p w14:paraId="71E67D88">
      <w:pPr>
        <w:spacing w:line="287" w:lineRule="auto"/>
        <w:rPr>
          <w:rFonts w:ascii="Arial"/>
          <w:sz w:val="21"/>
        </w:rPr>
      </w:pPr>
    </w:p>
    <w:p w14:paraId="78C13499">
      <w:pPr>
        <w:spacing w:before="75" w:line="226" w:lineRule="auto"/>
        <w:ind w:left="253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2-22</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土壤环境影响评价项目类别</w:t>
      </w:r>
    </w:p>
    <w:p w14:paraId="3FB57EFD">
      <w:pPr>
        <w:spacing w:line="21"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4"/>
        <w:gridCol w:w="1305"/>
        <w:gridCol w:w="3116"/>
        <w:gridCol w:w="2194"/>
        <w:gridCol w:w="713"/>
      </w:tblGrid>
      <w:tr w14:paraId="7AFDB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94" w:type="dxa"/>
            <w:vMerge w:val="restart"/>
            <w:tcBorders>
              <w:left w:val="nil"/>
              <w:bottom w:val="nil"/>
            </w:tcBorders>
            <w:vAlign w:val="top"/>
          </w:tcPr>
          <w:p w14:paraId="6EDEA314">
            <w:pPr>
              <w:spacing w:before="251" w:line="228" w:lineRule="auto"/>
              <w:ind w:left="21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行业类</w:t>
            </w:r>
            <w:r>
              <w:rPr>
                <w:rFonts w:ascii="宋体" w:hAnsi="宋体" w:eastAsia="宋体" w:cs="宋体"/>
                <w:spacing w:val="-1"/>
                <w:sz w:val="20"/>
                <w:szCs w:val="20"/>
                <w14:textOutline w14:w="3795" w14:cap="sq" w14:cmpd="sng">
                  <w14:solidFill>
                    <w14:srgbClr w14:val="000000"/>
                  </w14:solidFill>
                  <w14:prstDash w14:val="solid"/>
                  <w14:bevel/>
                </w14:textOutline>
              </w:rPr>
              <w:t>别</w:t>
            </w:r>
          </w:p>
        </w:tc>
        <w:tc>
          <w:tcPr>
            <w:tcW w:w="7328" w:type="dxa"/>
            <w:gridSpan w:val="4"/>
            <w:tcBorders>
              <w:right w:val="nil"/>
            </w:tcBorders>
            <w:vAlign w:val="top"/>
          </w:tcPr>
          <w:p w14:paraId="7503F37A">
            <w:pPr>
              <w:spacing w:before="83" w:line="228" w:lineRule="auto"/>
              <w:ind w:left="3278"/>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项目类</w:t>
            </w:r>
            <w:r>
              <w:rPr>
                <w:rFonts w:ascii="宋体" w:hAnsi="宋体" w:eastAsia="宋体" w:cs="宋体"/>
                <w:spacing w:val="-1"/>
                <w:sz w:val="20"/>
                <w:szCs w:val="20"/>
                <w14:textOutline w14:w="3795" w14:cap="sq" w14:cmpd="sng">
                  <w14:solidFill>
                    <w14:srgbClr w14:val="000000"/>
                  </w14:solidFill>
                  <w14:prstDash w14:val="solid"/>
                  <w14:bevel/>
                </w14:textOutline>
              </w:rPr>
              <w:t>别</w:t>
            </w:r>
          </w:p>
        </w:tc>
      </w:tr>
      <w:tr w14:paraId="5D52B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194" w:type="dxa"/>
            <w:vMerge w:val="continue"/>
            <w:tcBorders>
              <w:top w:val="nil"/>
              <w:left w:val="nil"/>
            </w:tcBorders>
            <w:vAlign w:val="top"/>
          </w:tcPr>
          <w:p w14:paraId="7E7E45B2">
            <w:pPr>
              <w:rPr>
                <w:rFonts w:ascii="Arial"/>
                <w:sz w:val="21"/>
              </w:rPr>
            </w:pPr>
          </w:p>
        </w:tc>
        <w:tc>
          <w:tcPr>
            <w:tcW w:w="1305" w:type="dxa"/>
            <w:vAlign w:val="top"/>
          </w:tcPr>
          <w:p w14:paraId="69AD9757">
            <w:pPr>
              <w:spacing w:before="61" w:line="228" w:lineRule="auto"/>
              <w:ind w:left="516"/>
              <w:rPr>
                <w:rFonts w:ascii="宋体" w:hAnsi="宋体" w:eastAsia="宋体" w:cs="宋体"/>
                <w:sz w:val="20"/>
                <w:szCs w:val="20"/>
              </w:rPr>
            </w:pPr>
            <w:r>
              <w:rPr>
                <w:rFonts w:ascii="Times New Roman" w:hAnsi="Times New Roman" w:eastAsia="Times New Roman" w:cs="Times New Roman"/>
                <w:b/>
                <w:bCs/>
                <w:spacing w:val="2"/>
                <w:sz w:val="20"/>
                <w:szCs w:val="20"/>
              </w:rPr>
              <w:t>Ⅰ</w:t>
            </w:r>
            <w:r>
              <w:rPr>
                <w:rFonts w:ascii="宋体" w:hAnsi="宋体" w:eastAsia="宋体" w:cs="宋体"/>
                <w:spacing w:val="1"/>
                <w:sz w:val="20"/>
                <w:szCs w:val="20"/>
                <w14:textOutline w14:w="3795" w14:cap="sq" w14:cmpd="sng">
                  <w14:solidFill>
                    <w14:srgbClr w14:val="000000"/>
                  </w14:solidFill>
                  <w14:prstDash w14:val="solid"/>
                  <w14:bevel/>
                </w14:textOutline>
              </w:rPr>
              <w:t>类</w:t>
            </w:r>
          </w:p>
        </w:tc>
        <w:tc>
          <w:tcPr>
            <w:tcW w:w="3116" w:type="dxa"/>
            <w:vAlign w:val="top"/>
          </w:tcPr>
          <w:p w14:paraId="7ADD3173">
            <w:pPr>
              <w:spacing w:before="61" w:line="228" w:lineRule="auto"/>
              <w:ind w:left="1383"/>
              <w:rPr>
                <w:rFonts w:ascii="宋体" w:hAnsi="宋体" w:eastAsia="宋体" w:cs="宋体"/>
                <w:sz w:val="20"/>
                <w:szCs w:val="20"/>
              </w:rPr>
            </w:pPr>
            <w:r>
              <w:rPr>
                <w:rFonts w:ascii="Times New Roman" w:hAnsi="Times New Roman" w:eastAsia="Times New Roman" w:cs="Times New Roman"/>
                <w:b/>
                <w:bCs/>
                <w:spacing w:val="3"/>
                <w:sz w:val="20"/>
                <w:szCs w:val="20"/>
              </w:rPr>
              <w:t>Ⅱ</w:t>
            </w:r>
            <w:r>
              <w:rPr>
                <w:rFonts w:ascii="宋体" w:hAnsi="宋体" w:eastAsia="宋体" w:cs="宋体"/>
                <w:spacing w:val="2"/>
                <w:sz w:val="20"/>
                <w:szCs w:val="20"/>
                <w14:textOutline w14:w="3795" w14:cap="sq" w14:cmpd="sng">
                  <w14:solidFill>
                    <w14:srgbClr w14:val="000000"/>
                  </w14:solidFill>
                  <w14:prstDash w14:val="solid"/>
                  <w14:bevel/>
                </w14:textOutline>
              </w:rPr>
              <w:t>类</w:t>
            </w:r>
          </w:p>
        </w:tc>
        <w:tc>
          <w:tcPr>
            <w:tcW w:w="2194" w:type="dxa"/>
            <w:vAlign w:val="top"/>
          </w:tcPr>
          <w:p w14:paraId="521EDD8A">
            <w:pPr>
              <w:spacing w:before="61" w:line="228" w:lineRule="auto"/>
              <w:ind w:left="883"/>
              <w:rPr>
                <w:rFonts w:ascii="宋体" w:hAnsi="宋体" w:eastAsia="宋体" w:cs="宋体"/>
                <w:sz w:val="20"/>
                <w:szCs w:val="20"/>
              </w:rPr>
            </w:pPr>
            <w:r>
              <w:rPr>
                <w:rFonts w:ascii="Times New Roman" w:hAnsi="Times New Roman" w:eastAsia="Times New Roman" w:cs="Times New Roman"/>
                <w:b/>
                <w:bCs/>
                <w:spacing w:val="5"/>
                <w:sz w:val="20"/>
                <w:szCs w:val="20"/>
              </w:rPr>
              <w:t>Ⅲ</w:t>
            </w:r>
            <w:r>
              <w:rPr>
                <w:rFonts w:ascii="宋体" w:hAnsi="宋体" w:eastAsia="宋体" w:cs="宋体"/>
                <w:spacing w:val="4"/>
                <w:sz w:val="20"/>
                <w:szCs w:val="20"/>
                <w14:textOutline w14:w="3795" w14:cap="sq" w14:cmpd="sng">
                  <w14:solidFill>
                    <w14:srgbClr w14:val="000000"/>
                  </w14:solidFill>
                  <w14:prstDash w14:val="solid"/>
                  <w14:bevel/>
                </w14:textOutline>
              </w:rPr>
              <w:t>类</w:t>
            </w:r>
          </w:p>
        </w:tc>
        <w:tc>
          <w:tcPr>
            <w:tcW w:w="713" w:type="dxa"/>
            <w:tcBorders>
              <w:right w:val="nil"/>
            </w:tcBorders>
            <w:vAlign w:val="top"/>
          </w:tcPr>
          <w:p w14:paraId="5AE07D73">
            <w:pPr>
              <w:spacing w:before="61" w:line="228" w:lineRule="auto"/>
              <w:ind w:left="146"/>
              <w:rPr>
                <w:rFonts w:ascii="宋体" w:hAnsi="宋体" w:eastAsia="宋体" w:cs="宋体"/>
                <w:sz w:val="20"/>
                <w:szCs w:val="20"/>
              </w:rPr>
            </w:pPr>
            <w:r>
              <w:rPr>
                <w:rFonts w:ascii="Times New Roman" w:hAnsi="Times New Roman" w:eastAsia="Times New Roman" w:cs="Times New Roman"/>
                <w:b/>
                <w:bCs/>
                <w:spacing w:val="4"/>
                <w:sz w:val="20"/>
                <w:szCs w:val="20"/>
              </w:rPr>
              <w:t>Ⅳ</w:t>
            </w:r>
            <w:r>
              <w:rPr>
                <w:rFonts w:ascii="宋体" w:hAnsi="宋体" w:eastAsia="宋体" w:cs="宋体"/>
                <w:spacing w:val="3"/>
                <w:sz w:val="20"/>
                <w:szCs w:val="20"/>
                <w14:textOutline w14:w="3795" w14:cap="sq" w14:cmpd="sng">
                  <w14:solidFill>
                    <w14:srgbClr w14:val="000000"/>
                  </w14:solidFill>
                  <w14:prstDash w14:val="solid"/>
                  <w14:bevel/>
                </w14:textOutline>
              </w:rPr>
              <w:t>类</w:t>
            </w:r>
          </w:p>
        </w:tc>
      </w:tr>
      <w:tr w14:paraId="03FE9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194" w:type="dxa"/>
            <w:tcBorders>
              <w:left w:val="nil"/>
            </w:tcBorders>
            <w:vAlign w:val="top"/>
          </w:tcPr>
          <w:p w14:paraId="7166F1A1">
            <w:pPr>
              <w:spacing w:line="266" w:lineRule="auto"/>
              <w:rPr>
                <w:rFonts w:ascii="Arial"/>
                <w:sz w:val="21"/>
              </w:rPr>
            </w:pPr>
          </w:p>
          <w:p w14:paraId="02D1926F">
            <w:pPr>
              <w:spacing w:before="65" w:line="265" w:lineRule="auto"/>
              <w:ind w:left="119" w:right="87" w:hanging="3"/>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2"/>
                <w:sz w:val="20"/>
                <w:szCs w:val="20"/>
              </w:rPr>
              <w:t>境和公共</w:t>
            </w:r>
            <w:r>
              <w:rPr>
                <w:rFonts w:ascii="宋体" w:hAnsi="宋体" w:eastAsia="宋体" w:cs="宋体"/>
                <w:sz w:val="20"/>
                <w:szCs w:val="20"/>
              </w:rPr>
              <w:t xml:space="preserve"> </w:t>
            </w:r>
            <w:r>
              <w:rPr>
                <w:rFonts w:ascii="宋体" w:hAnsi="宋体" w:eastAsia="宋体" w:cs="宋体"/>
                <w:spacing w:val="-4"/>
                <w:sz w:val="20"/>
                <w:szCs w:val="20"/>
              </w:rPr>
              <w:t>设</w:t>
            </w:r>
            <w:r>
              <w:rPr>
                <w:rFonts w:ascii="宋体" w:hAnsi="宋体" w:eastAsia="宋体" w:cs="宋体"/>
                <w:spacing w:val="-3"/>
                <w:sz w:val="20"/>
                <w:szCs w:val="20"/>
              </w:rPr>
              <w:t>施管理业</w:t>
            </w:r>
          </w:p>
        </w:tc>
        <w:tc>
          <w:tcPr>
            <w:tcW w:w="1305" w:type="dxa"/>
            <w:vAlign w:val="top"/>
          </w:tcPr>
          <w:p w14:paraId="592BB000">
            <w:pPr>
              <w:spacing w:line="267" w:lineRule="auto"/>
              <w:rPr>
                <w:rFonts w:ascii="Arial"/>
                <w:sz w:val="21"/>
              </w:rPr>
            </w:pPr>
          </w:p>
          <w:p w14:paraId="1D279C14">
            <w:pPr>
              <w:spacing w:before="65" w:line="266" w:lineRule="auto"/>
              <w:ind w:left="362" w:right="45" w:hanging="291"/>
              <w:rPr>
                <w:rFonts w:ascii="宋体" w:hAnsi="宋体" w:eastAsia="宋体" w:cs="宋体"/>
                <w:sz w:val="20"/>
                <w:szCs w:val="20"/>
              </w:rPr>
            </w:pPr>
            <w:r>
              <w:rPr>
                <w:rFonts w:ascii="宋体" w:hAnsi="宋体" w:eastAsia="宋体" w:cs="宋体"/>
                <w:spacing w:val="-3"/>
                <w:sz w:val="20"/>
                <w:szCs w:val="20"/>
              </w:rPr>
              <w:t>危险废物利用</w:t>
            </w:r>
            <w:r>
              <w:rPr>
                <w:rFonts w:ascii="宋体" w:hAnsi="宋体" w:eastAsia="宋体" w:cs="宋体"/>
                <w:sz w:val="20"/>
                <w:szCs w:val="20"/>
              </w:rPr>
              <w:t xml:space="preserve"> </w:t>
            </w:r>
            <w:r>
              <w:rPr>
                <w:rFonts w:ascii="宋体" w:hAnsi="宋体" w:eastAsia="宋体" w:cs="宋体"/>
                <w:spacing w:val="-1"/>
                <w:sz w:val="20"/>
                <w:szCs w:val="20"/>
              </w:rPr>
              <w:t>及处</w:t>
            </w:r>
            <w:r>
              <w:rPr>
                <w:rFonts w:ascii="宋体" w:hAnsi="宋体" w:eastAsia="宋体" w:cs="宋体"/>
                <w:sz w:val="20"/>
                <w:szCs w:val="20"/>
              </w:rPr>
              <w:t>置</w:t>
            </w:r>
          </w:p>
        </w:tc>
        <w:tc>
          <w:tcPr>
            <w:tcW w:w="3116" w:type="dxa"/>
            <w:vAlign w:val="top"/>
          </w:tcPr>
          <w:p w14:paraId="772494D3">
            <w:pPr>
              <w:spacing w:before="196" w:line="227" w:lineRule="auto"/>
              <w:ind w:left="92"/>
              <w:rPr>
                <w:rFonts w:ascii="宋体" w:hAnsi="宋体" w:eastAsia="宋体" w:cs="宋体"/>
                <w:sz w:val="20"/>
                <w:szCs w:val="20"/>
              </w:rPr>
            </w:pPr>
            <w:r>
              <w:rPr>
                <w:rFonts w:ascii="宋体" w:hAnsi="宋体" w:eastAsia="宋体" w:cs="宋体"/>
                <w:spacing w:val="-4"/>
                <w:sz w:val="20"/>
                <w:szCs w:val="20"/>
              </w:rPr>
              <w:t>采取填埋和</w:t>
            </w:r>
            <w:r>
              <w:rPr>
                <w:rFonts w:ascii="宋体" w:hAnsi="宋体" w:eastAsia="宋体" w:cs="宋体"/>
                <w:spacing w:val="-2"/>
                <w:sz w:val="20"/>
                <w:szCs w:val="20"/>
              </w:rPr>
              <w:t>焚烧方式的一般工业固</w:t>
            </w:r>
          </w:p>
          <w:p w14:paraId="372E3140">
            <w:pPr>
              <w:spacing w:before="25" w:line="228" w:lineRule="auto"/>
              <w:ind w:left="33"/>
              <w:rPr>
                <w:rFonts w:ascii="宋体" w:hAnsi="宋体" w:eastAsia="宋体" w:cs="宋体"/>
                <w:sz w:val="20"/>
                <w:szCs w:val="20"/>
              </w:rPr>
            </w:pPr>
            <w:r>
              <w:rPr>
                <w:rFonts w:ascii="宋体" w:hAnsi="宋体" w:eastAsia="宋体" w:cs="宋体"/>
                <w:spacing w:val="-14"/>
                <w:sz w:val="20"/>
                <w:szCs w:val="20"/>
              </w:rPr>
              <w:t>体</w:t>
            </w:r>
            <w:r>
              <w:rPr>
                <w:rFonts w:ascii="宋体" w:hAnsi="宋体" w:eastAsia="宋体" w:cs="宋体"/>
                <w:spacing w:val="-12"/>
                <w:sz w:val="20"/>
                <w:szCs w:val="20"/>
              </w:rPr>
              <w:t>废</w:t>
            </w:r>
            <w:r>
              <w:rPr>
                <w:rFonts w:ascii="宋体" w:hAnsi="宋体" w:eastAsia="宋体" w:cs="宋体"/>
                <w:spacing w:val="-7"/>
                <w:sz w:val="20"/>
                <w:szCs w:val="20"/>
              </w:rPr>
              <w:t>物处置及综合利用；城镇生活垃</w:t>
            </w:r>
          </w:p>
          <w:p w14:paraId="3D7F86B9">
            <w:pPr>
              <w:spacing w:before="25" w:line="228" w:lineRule="auto"/>
              <w:ind w:left="193"/>
              <w:rPr>
                <w:rFonts w:ascii="宋体" w:hAnsi="宋体" w:eastAsia="宋体" w:cs="宋体"/>
                <w:sz w:val="20"/>
                <w:szCs w:val="20"/>
              </w:rPr>
            </w:pPr>
            <w:r>
              <w:rPr>
                <w:rFonts w:ascii="宋体" w:hAnsi="宋体" w:eastAsia="宋体" w:cs="宋体"/>
                <w:spacing w:val="-4"/>
                <w:sz w:val="20"/>
                <w:szCs w:val="20"/>
              </w:rPr>
              <w:t>圾 (</w:t>
            </w:r>
            <w:r>
              <w:rPr>
                <w:rFonts w:ascii="宋体" w:hAnsi="宋体" w:eastAsia="宋体" w:cs="宋体"/>
                <w:spacing w:val="-3"/>
                <w:sz w:val="20"/>
                <w:szCs w:val="20"/>
              </w:rPr>
              <w:t>不</w:t>
            </w:r>
            <w:r>
              <w:rPr>
                <w:rFonts w:ascii="宋体" w:hAnsi="宋体" w:eastAsia="宋体" w:cs="宋体"/>
                <w:spacing w:val="-2"/>
                <w:sz w:val="20"/>
                <w:szCs w:val="20"/>
              </w:rPr>
              <w:t>含餐厨废弃物) 集中处置</w:t>
            </w:r>
          </w:p>
        </w:tc>
        <w:tc>
          <w:tcPr>
            <w:tcW w:w="2194" w:type="dxa"/>
            <w:vAlign w:val="top"/>
          </w:tcPr>
          <w:p w14:paraId="566C30AF">
            <w:pPr>
              <w:spacing w:before="62" w:line="228" w:lineRule="auto"/>
              <w:ind w:left="125"/>
              <w:rPr>
                <w:rFonts w:ascii="宋体" w:hAnsi="宋体" w:eastAsia="宋体" w:cs="宋体"/>
                <w:sz w:val="20"/>
                <w:szCs w:val="20"/>
              </w:rPr>
            </w:pPr>
            <w:r>
              <w:rPr>
                <w:rFonts w:ascii="宋体" w:hAnsi="宋体" w:eastAsia="宋体" w:cs="宋体"/>
                <w:spacing w:val="-3"/>
                <w:sz w:val="20"/>
                <w:szCs w:val="20"/>
              </w:rPr>
              <w:t>一般工业固体废物处</w:t>
            </w:r>
            <w:r>
              <w:rPr>
                <w:rFonts w:ascii="宋体" w:hAnsi="宋体" w:eastAsia="宋体" w:cs="宋体"/>
                <w:spacing w:val="-2"/>
                <w:sz w:val="20"/>
                <w:szCs w:val="20"/>
              </w:rPr>
              <w:t>置</w:t>
            </w:r>
          </w:p>
          <w:p w14:paraId="6E1C9C84">
            <w:pPr>
              <w:spacing w:before="23" w:line="227" w:lineRule="auto"/>
              <w:ind w:left="32"/>
              <w:rPr>
                <w:rFonts w:ascii="宋体" w:hAnsi="宋体" w:eastAsia="宋体" w:cs="宋体"/>
                <w:sz w:val="20"/>
                <w:szCs w:val="20"/>
              </w:rPr>
            </w:pPr>
            <w:r>
              <w:rPr>
                <w:rFonts w:ascii="宋体" w:hAnsi="宋体" w:eastAsia="宋体" w:cs="宋体"/>
                <w:spacing w:val="-6"/>
                <w:sz w:val="20"/>
                <w:szCs w:val="20"/>
              </w:rPr>
              <w:t>及综</w:t>
            </w:r>
            <w:r>
              <w:rPr>
                <w:rFonts w:ascii="宋体" w:hAnsi="宋体" w:eastAsia="宋体" w:cs="宋体"/>
                <w:spacing w:val="-5"/>
                <w:sz w:val="20"/>
                <w:szCs w:val="20"/>
              </w:rPr>
              <w:t>合</w:t>
            </w:r>
            <w:r>
              <w:rPr>
                <w:rFonts w:ascii="宋体" w:hAnsi="宋体" w:eastAsia="宋体" w:cs="宋体"/>
                <w:spacing w:val="-3"/>
                <w:sz w:val="20"/>
                <w:szCs w:val="20"/>
              </w:rPr>
              <w:t>利用 (除采取填埋</w:t>
            </w:r>
          </w:p>
          <w:p w14:paraId="314420D7">
            <w:pPr>
              <w:spacing w:before="25" w:line="227" w:lineRule="auto"/>
              <w:ind w:left="33"/>
              <w:rPr>
                <w:rFonts w:ascii="宋体" w:hAnsi="宋体" w:eastAsia="宋体" w:cs="宋体"/>
                <w:sz w:val="20"/>
                <w:szCs w:val="20"/>
              </w:rPr>
            </w:pPr>
            <w:r>
              <w:rPr>
                <w:rFonts w:ascii="宋体" w:hAnsi="宋体" w:eastAsia="宋体" w:cs="宋体"/>
                <w:spacing w:val="-5"/>
                <w:sz w:val="20"/>
                <w:szCs w:val="20"/>
              </w:rPr>
              <w:t>和</w:t>
            </w:r>
            <w:r>
              <w:rPr>
                <w:rFonts w:ascii="宋体" w:hAnsi="宋体" w:eastAsia="宋体" w:cs="宋体"/>
                <w:spacing w:val="-4"/>
                <w:sz w:val="20"/>
                <w:szCs w:val="20"/>
              </w:rPr>
              <w:t>焚烧方式以外的) ；废</w:t>
            </w:r>
          </w:p>
          <w:p w14:paraId="21752DA1">
            <w:pPr>
              <w:spacing w:before="27" w:line="229" w:lineRule="auto"/>
              <w:ind w:left="145"/>
              <w:rPr>
                <w:rFonts w:ascii="宋体" w:hAnsi="宋体" w:eastAsia="宋体" w:cs="宋体"/>
                <w:sz w:val="20"/>
                <w:szCs w:val="20"/>
              </w:rPr>
            </w:pPr>
            <w:r>
              <w:rPr>
                <w:rFonts w:ascii="宋体" w:hAnsi="宋体" w:eastAsia="宋体" w:cs="宋体"/>
                <w:spacing w:val="-5"/>
                <w:sz w:val="20"/>
                <w:szCs w:val="20"/>
              </w:rPr>
              <w:t>旧资源加工、再生利</w:t>
            </w:r>
            <w:r>
              <w:rPr>
                <w:rFonts w:ascii="宋体" w:hAnsi="宋体" w:eastAsia="宋体" w:cs="宋体"/>
                <w:spacing w:val="-4"/>
                <w:sz w:val="20"/>
                <w:szCs w:val="20"/>
              </w:rPr>
              <w:t>用</w:t>
            </w:r>
          </w:p>
        </w:tc>
        <w:tc>
          <w:tcPr>
            <w:tcW w:w="713" w:type="dxa"/>
            <w:tcBorders>
              <w:right w:val="nil"/>
            </w:tcBorders>
            <w:vAlign w:val="top"/>
          </w:tcPr>
          <w:p w14:paraId="7D73DFE5">
            <w:pPr>
              <w:spacing w:line="402" w:lineRule="auto"/>
              <w:rPr>
                <w:rFonts w:ascii="Arial"/>
                <w:sz w:val="21"/>
              </w:rPr>
            </w:pPr>
          </w:p>
          <w:p w14:paraId="5839F1A3">
            <w:pPr>
              <w:spacing w:before="65" w:line="228" w:lineRule="auto"/>
              <w:ind w:left="165"/>
              <w:rPr>
                <w:rFonts w:ascii="宋体" w:hAnsi="宋体" w:eastAsia="宋体" w:cs="宋体"/>
                <w:sz w:val="20"/>
                <w:szCs w:val="20"/>
              </w:rPr>
            </w:pPr>
            <w:r>
              <w:rPr>
                <w:rFonts w:ascii="宋体" w:hAnsi="宋体" w:eastAsia="宋体" w:cs="宋体"/>
                <w:sz w:val="20"/>
                <w:szCs w:val="20"/>
              </w:rPr>
              <w:t>其他</w:t>
            </w:r>
          </w:p>
        </w:tc>
      </w:tr>
    </w:tbl>
    <w:p w14:paraId="5E1CDD01">
      <w:pPr>
        <w:spacing w:line="268" w:lineRule="auto"/>
        <w:rPr>
          <w:rFonts w:ascii="Arial"/>
          <w:sz w:val="21"/>
        </w:rPr>
      </w:pPr>
    </w:p>
    <w:p w14:paraId="42FE89B6">
      <w:pPr>
        <w:spacing w:before="76" w:line="395" w:lineRule="auto"/>
        <w:ind w:left="163" w:right="112" w:firstLine="409"/>
        <w:rPr>
          <w:rFonts w:ascii="宋体" w:hAnsi="宋体" w:eastAsia="宋体" w:cs="宋体"/>
          <w:sz w:val="23"/>
          <w:szCs w:val="23"/>
        </w:rPr>
      </w:pPr>
      <w:r>
        <w:rPr>
          <w:rFonts w:ascii="宋体" w:hAnsi="宋体" w:eastAsia="宋体" w:cs="宋体"/>
          <w:spacing w:val="1"/>
          <w:sz w:val="23"/>
          <w:szCs w:val="23"/>
        </w:rPr>
        <w:t>该项目为废塑料编织袋再生利用项目，根据上表可知，该项</w:t>
      </w:r>
      <w:r>
        <w:rPr>
          <w:rFonts w:ascii="宋体" w:hAnsi="宋体" w:eastAsia="宋体" w:cs="宋体"/>
          <w:sz w:val="23"/>
          <w:szCs w:val="23"/>
        </w:rPr>
        <w:t>目属于</w:t>
      </w:r>
      <w:r>
        <w:rPr>
          <w:rFonts w:ascii="Times New Roman" w:hAnsi="Times New Roman" w:eastAsia="Times New Roman" w:cs="Times New Roman"/>
          <w:sz w:val="23"/>
          <w:szCs w:val="23"/>
        </w:rPr>
        <w:t>Ⅲ</w:t>
      </w:r>
      <w:r>
        <w:rPr>
          <w:rFonts w:ascii="宋体" w:hAnsi="宋体" w:eastAsia="宋体" w:cs="宋体"/>
          <w:sz w:val="23"/>
          <w:szCs w:val="23"/>
        </w:rPr>
        <w:t xml:space="preserve">类建设项 </w:t>
      </w:r>
      <w:r>
        <w:rPr>
          <w:rFonts w:ascii="宋体" w:hAnsi="宋体" w:eastAsia="宋体" w:cs="宋体"/>
          <w:spacing w:val="-24"/>
          <w:sz w:val="23"/>
          <w:szCs w:val="23"/>
        </w:rPr>
        <w:t>目</w:t>
      </w:r>
      <w:r>
        <w:rPr>
          <w:rFonts w:ascii="宋体" w:hAnsi="宋体" w:eastAsia="宋体" w:cs="宋体"/>
          <w:spacing w:val="-22"/>
          <w:sz w:val="23"/>
          <w:szCs w:val="23"/>
        </w:rPr>
        <w:t>。</w:t>
      </w:r>
    </w:p>
    <w:p w14:paraId="6A2DA696">
      <w:pPr>
        <w:spacing w:before="145" w:line="228" w:lineRule="auto"/>
        <w:ind w:left="580"/>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w:t>
      </w:r>
      <w:r>
        <w:rPr>
          <w:rFonts w:ascii="宋体" w:hAnsi="宋体" w:eastAsia="宋体" w:cs="宋体"/>
          <w:spacing w:val="1"/>
          <w:sz w:val="23"/>
          <w:szCs w:val="23"/>
        </w:rPr>
        <w:t>) 该项目属于污染影响型，建</w:t>
      </w:r>
      <w:r>
        <w:rPr>
          <w:rFonts w:ascii="宋体" w:hAnsi="宋体" w:eastAsia="宋体" w:cs="宋体"/>
          <w:sz w:val="23"/>
          <w:szCs w:val="23"/>
        </w:rPr>
        <w:t>设项目所在地周边的土壤环境敏感程度分为敏</w:t>
      </w:r>
    </w:p>
    <w:p w14:paraId="53259B22">
      <w:pPr>
        <w:sectPr>
          <w:headerReference r:id="rId72" w:type="default"/>
          <w:footerReference r:id="rId73" w:type="default"/>
          <w:pgSz w:w="11906" w:h="16839"/>
          <w:pgMar w:top="1132" w:right="1691" w:bottom="1156" w:left="1691" w:header="878" w:footer="996" w:gutter="0"/>
          <w:cols w:space="720" w:num="1"/>
        </w:sectPr>
      </w:pPr>
    </w:p>
    <w:p w14:paraId="2950A47B">
      <w:pPr>
        <w:spacing w:line="408" w:lineRule="auto"/>
        <w:rPr>
          <w:rFonts w:ascii="Arial"/>
          <w:sz w:val="21"/>
        </w:rPr>
      </w:pPr>
      <w:r>
        <w:pict>
          <v:shape id="_x0000_s1099" o:spid="_x0000_s1099" style="position:absolute;left:0pt;margin-left:90pt;margin-top:57.35pt;height:0.75pt;width:415.3pt;mso-position-horizontal-relative:page;mso-position-vertical-relative:page;z-index:251736064;mso-width-relative:page;mso-height-relative:page;" fillcolor="#000000" filled="t" stroked="f" coordsize="8305,15" o:allowincell="f" path="m0,0l8305,0,8305,14,0,14,0,0xe">
            <v:path/>
            <v:fill on="t" focussize="0,0"/>
            <v:stroke on="f"/>
            <v:imagedata o:title=""/>
            <o:lock v:ext="edit"/>
          </v:shape>
        </w:pict>
      </w:r>
    </w:p>
    <w:p w14:paraId="5B1B6BCF">
      <w:pPr>
        <w:spacing w:before="75" w:line="232" w:lineRule="auto"/>
        <w:ind w:left="125"/>
        <w:rPr>
          <w:rFonts w:ascii="宋体" w:hAnsi="宋体" w:eastAsia="宋体" w:cs="宋体"/>
          <w:sz w:val="23"/>
          <w:szCs w:val="23"/>
        </w:rPr>
      </w:pPr>
      <w:r>
        <w:rPr>
          <w:rFonts w:ascii="宋体" w:hAnsi="宋体" w:eastAsia="宋体" w:cs="宋体"/>
          <w:spacing w:val="-10"/>
          <w:sz w:val="23"/>
          <w:szCs w:val="23"/>
        </w:rPr>
        <w:t>感</w:t>
      </w:r>
      <w:r>
        <w:rPr>
          <w:rFonts w:ascii="宋体" w:hAnsi="宋体" w:eastAsia="宋体" w:cs="宋体"/>
          <w:spacing w:val="-7"/>
          <w:sz w:val="23"/>
          <w:szCs w:val="23"/>
        </w:rPr>
        <w:t>、</w:t>
      </w:r>
      <w:r>
        <w:rPr>
          <w:rFonts w:ascii="宋体" w:hAnsi="宋体" w:eastAsia="宋体" w:cs="宋体"/>
          <w:spacing w:val="-5"/>
          <w:sz w:val="23"/>
          <w:szCs w:val="23"/>
        </w:rPr>
        <w:t xml:space="preserve">较敏感、不敏感三级，判别依据见表 </w:t>
      </w:r>
      <w:r>
        <w:rPr>
          <w:rFonts w:ascii="Times New Roman" w:hAnsi="Times New Roman" w:eastAsia="Times New Roman" w:cs="Times New Roman"/>
          <w:spacing w:val="-5"/>
          <w:sz w:val="23"/>
          <w:szCs w:val="23"/>
        </w:rPr>
        <w:t>2-23</w:t>
      </w:r>
      <w:r>
        <w:rPr>
          <w:rFonts w:ascii="宋体" w:hAnsi="宋体" w:eastAsia="宋体" w:cs="宋体"/>
          <w:spacing w:val="-5"/>
          <w:sz w:val="23"/>
          <w:szCs w:val="23"/>
        </w:rPr>
        <w:t>。</w:t>
      </w:r>
    </w:p>
    <w:p w14:paraId="54A91340">
      <w:pPr>
        <w:spacing w:line="283" w:lineRule="auto"/>
        <w:rPr>
          <w:rFonts w:ascii="Arial"/>
          <w:sz w:val="21"/>
        </w:rPr>
      </w:pPr>
    </w:p>
    <w:p w14:paraId="1DF12154">
      <w:pPr>
        <w:spacing w:before="75" w:line="227" w:lineRule="auto"/>
        <w:ind w:left="260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2-23</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污染影响型</w:t>
      </w:r>
      <w:r>
        <w:rPr>
          <w:rFonts w:ascii="宋体" w:hAnsi="宋体" w:eastAsia="宋体" w:cs="宋体"/>
          <w:spacing w:val="-1"/>
          <w:sz w:val="23"/>
          <w:szCs w:val="23"/>
          <w14:textOutline w14:w="4358" w14:cap="sq" w14:cmpd="sng">
            <w14:solidFill>
              <w14:srgbClr w14:val="000000"/>
            </w14:solidFill>
            <w14:prstDash w14:val="solid"/>
            <w14:bevel/>
          </w14:textOutline>
        </w:rPr>
        <w:t>敏感程度分级表</w:t>
      </w:r>
    </w:p>
    <w:p w14:paraId="158348CA">
      <w:pPr>
        <w:spacing w:line="16" w:lineRule="exact"/>
      </w:pPr>
    </w:p>
    <w:tbl>
      <w:tblPr>
        <w:tblStyle w:val="4"/>
        <w:tblW w:w="85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7058"/>
      </w:tblGrid>
      <w:tr w14:paraId="7BF16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1464" w:type="dxa"/>
            <w:tcBorders>
              <w:left w:val="nil"/>
            </w:tcBorders>
            <w:vAlign w:val="top"/>
          </w:tcPr>
          <w:p w14:paraId="0EEDEA8D">
            <w:pPr>
              <w:spacing w:before="85" w:line="228" w:lineRule="auto"/>
              <w:ind w:left="347"/>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敏</w:t>
            </w:r>
            <w:r>
              <w:rPr>
                <w:rFonts w:ascii="宋体" w:hAnsi="宋体" w:eastAsia="宋体" w:cs="宋体"/>
                <w:spacing w:val="-1"/>
                <w:sz w:val="20"/>
                <w:szCs w:val="20"/>
                <w14:textOutline w14:w="3795" w14:cap="sq" w14:cmpd="sng">
                  <w14:solidFill>
                    <w14:srgbClr w14:val="000000"/>
                  </w14:solidFill>
                  <w14:prstDash w14:val="solid"/>
                  <w14:bevel/>
                </w14:textOutline>
              </w:rPr>
              <w:t>感程度</w:t>
            </w:r>
          </w:p>
        </w:tc>
        <w:tc>
          <w:tcPr>
            <w:tcW w:w="7058" w:type="dxa"/>
            <w:tcBorders>
              <w:right w:val="nil"/>
            </w:tcBorders>
            <w:vAlign w:val="top"/>
          </w:tcPr>
          <w:p w14:paraId="2AE0DFDE">
            <w:pPr>
              <w:spacing w:before="86" w:line="227" w:lineRule="auto"/>
              <w:ind w:left="314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判别依据</w:t>
            </w:r>
          </w:p>
        </w:tc>
      </w:tr>
      <w:tr w14:paraId="12F90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464" w:type="dxa"/>
            <w:tcBorders>
              <w:left w:val="nil"/>
            </w:tcBorders>
            <w:vAlign w:val="top"/>
          </w:tcPr>
          <w:p w14:paraId="32C90899">
            <w:pPr>
              <w:spacing w:before="228" w:line="228" w:lineRule="auto"/>
              <w:ind w:left="544"/>
              <w:rPr>
                <w:rFonts w:ascii="宋体" w:hAnsi="宋体" w:eastAsia="宋体" w:cs="宋体"/>
                <w:sz w:val="20"/>
                <w:szCs w:val="20"/>
              </w:rPr>
            </w:pPr>
            <w:r>
              <w:rPr>
                <w:rFonts w:ascii="宋体" w:hAnsi="宋体" w:eastAsia="宋体" w:cs="宋体"/>
                <w:sz w:val="20"/>
                <w:szCs w:val="20"/>
              </w:rPr>
              <w:t>敏感</w:t>
            </w:r>
          </w:p>
        </w:tc>
        <w:tc>
          <w:tcPr>
            <w:tcW w:w="7058" w:type="dxa"/>
            <w:tcBorders>
              <w:right w:val="nil"/>
            </w:tcBorders>
            <w:vAlign w:val="top"/>
          </w:tcPr>
          <w:p w14:paraId="6E32F26C">
            <w:pPr>
              <w:spacing w:before="63" w:line="268" w:lineRule="auto"/>
              <w:ind w:left="112" w:right="60" w:firstLine="3"/>
              <w:rPr>
                <w:rFonts w:ascii="宋体" w:hAnsi="宋体" w:eastAsia="宋体" w:cs="宋体"/>
                <w:sz w:val="20"/>
                <w:szCs w:val="20"/>
              </w:rPr>
            </w:pPr>
            <w:r>
              <w:rPr>
                <w:rFonts w:ascii="宋体" w:hAnsi="宋体" w:eastAsia="宋体" w:cs="宋体"/>
                <w:spacing w:val="-6"/>
                <w:sz w:val="20"/>
                <w:szCs w:val="20"/>
              </w:rPr>
              <w:t>建设项目周</w:t>
            </w:r>
            <w:r>
              <w:rPr>
                <w:rFonts w:ascii="宋体" w:hAnsi="宋体" w:eastAsia="宋体" w:cs="宋体"/>
                <w:spacing w:val="-5"/>
                <w:sz w:val="20"/>
                <w:szCs w:val="20"/>
              </w:rPr>
              <w:t>边</w:t>
            </w:r>
            <w:r>
              <w:rPr>
                <w:rFonts w:ascii="宋体" w:hAnsi="宋体" w:eastAsia="宋体" w:cs="宋体"/>
                <w:spacing w:val="-3"/>
                <w:sz w:val="20"/>
                <w:szCs w:val="20"/>
              </w:rPr>
              <w:t>存在耕地、园地、牧草地、饮用水水源地或居民区、学校、医院、</w:t>
            </w:r>
            <w:r>
              <w:rPr>
                <w:rFonts w:ascii="宋体" w:hAnsi="宋体" w:eastAsia="宋体" w:cs="宋体"/>
                <w:sz w:val="20"/>
                <w:szCs w:val="20"/>
              </w:rPr>
              <w:t xml:space="preserve"> </w:t>
            </w:r>
            <w:r>
              <w:rPr>
                <w:rFonts w:ascii="宋体" w:hAnsi="宋体" w:eastAsia="宋体" w:cs="宋体"/>
                <w:spacing w:val="-4"/>
                <w:sz w:val="20"/>
                <w:szCs w:val="20"/>
              </w:rPr>
              <w:t>疗养院、养老</w:t>
            </w:r>
            <w:r>
              <w:rPr>
                <w:rFonts w:ascii="宋体" w:hAnsi="宋体" w:eastAsia="宋体" w:cs="宋体"/>
                <w:spacing w:val="-3"/>
                <w:sz w:val="20"/>
                <w:szCs w:val="20"/>
              </w:rPr>
              <w:t>院</w:t>
            </w:r>
            <w:r>
              <w:rPr>
                <w:rFonts w:ascii="宋体" w:hAnsi="宋体" w:eastAsia="宋体" w:cs="宋体"/>
                <w:spacing w:val="-2"/>
                <w:sz w:val="20"/>
                <w:szCs w:val="20"/>
              </w:rPr>
              <w:t>等土壤环境敏感目标。</w:t>
            </w:r>
          </w:p>
        </w:tc>
      </w:tr>
      <w:tr w14:paraId="4F554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64" w:type="dxa"/>
            <w:tcBorders>
              <w:left w:val="nil"/>
            </w:tcBorders>
            <w:vAlign w:val="top"/>
          </w:tcPr>
          <w:p w14:paraId="457D6837">
            <w:pPr>
              <w:spacing w:before="65" w:line="228" w:lineRule="auto"/>
              <w:ind w:left="444"/>
              <w:rPr>
                <w:rFonts w:ascii="宋体" w:hAnsi="宋体" w:eastAsia="宋体" w:cs="宋体"/>
                <w:sz w:val="20"/>
                <w:szCs w:val="20"/>
              </w:rPr>
            </w:pPr>
            <w:r>
              <w:rPr>
                <w:rFonts w:ascii="宋体" w:hAnsi="宋体" w:eastAsia="宋体" w:cs="宋体"/>
                <w:spacing w:val="-1"/>
                <w:sz w:val="20"/>
                <w:szCs w:val="20"/>
              </w:rPr>
              <w:t>较敏感</w:t>
            </w:r>
          </w:p>
        </w:tc>
        <w:tc>
          <w:tcPr>
            <w:tcW w:w="7058" w:type="dxa"/>
            <w:tcBorders>
              <w:right w:val="nil"/>
            </w:tcBorders>
            <w:vAlign w:val="top"/>
          </w:tcPr>
          <w:p w14:paraId="0113B763">
            <w:pPr>
              <w:spacing w:before="65" w:line="228" w:lineRule="auto"/>
              <w:ind w:left="116"/>
              <w:rPr>
                <w:rFonts w:ascii="宋体" w:hAnsi="宋体" w:eastAsia="宋体" w:cs="宋体"/>
                <w:sz w:val="20"/>
                <w:szCs w:val="20"/>
              </w:rPr>
            </w:pPr>
            <w:r>
              <w:rPr>
                <w:rFonts w:ascii="宋体" w:hAnsi="宋体" w:eastAsia="宋体" w:cs="宋体"/>
                <w:spacing w:val="-3"/>
                <w:sz w:val="20"/>
                <w:szCs w:val="20"/>
              </w:rPr>
              <w:t>建设项目周边存在其他土壤环境敏感目标的</w:t>
            </w:r>
          </w:p>
        </w:tc>
      </w:tr>
      <w:tr w14:paraId="5C52F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464" w:type="dxa"/>
            <w:tcBorders>
              <w:left w:val="nil"/>
            </w:tcBorders>
            <w:vAlign w:val="top"/>
          </w:tcPr>
          <w:p w14:paraId="6C407F54">
            <w:pPr>
              <w:spacing w:before="67" w:line="228" w:lineRule="auto"/>
              <w:ind w:left="448"/>
              <w:rPr>
                <w:rFonts w:ascii="宋体" w:hAnsi="宋体" w:eastAsia="宋体" w:cs="宋体"/>
                <w:sz w:val="20"/>
                <w:szCs w:val="20"/>
              </w:rPr>
            </w:pPr>
            <w:r>
              <w:rPr>
                <w:rFonts w:ascii="宋体" w:hAnsi="宋体" w:eastAsia="宋体" w:cs="宋体"/>
                <w:spacing w:val="-2"/>
                <w:sz w:val="20"/>
                <w:szCs w:val="20"/>
              </w:rPr>
              <w:t>不敏感</w:t>
            </w:r>
          </w:p>
        </w:tc>
        <w:tc>
          <w:tcPr>
            <w:tcW w:w="7058" w:type="dxa"/>
            <w:tcBorders>
              <w:right w:val="nil"/>
            </w:tcBorders>
            <w:vAlign w:val="top"/>
          </w:tcPr>
          <w:p w14:paraId="1524C0F1">
            <w:pPr>
              <w:spacing w:before="67" w:line="228" w:lineRule="auto"/>
              <w:ind w:left="114"/>
              <w:rPr>
                <w:rFonts w:ascii="宋体" w:hAnsi="宋体" w:eastAsia="宋体" w:cs="宋体"/>
                <w:sz w:val="20"/>
                <w:szCs w:val="20"/>
              </w:rPr>
            </w:pPr>
            <w:r>
              <w:rPr>
                <w:rFonts w:ascii="宋体" w:hAnsi="宋体" w:eastAsia="宋体" w:cs="宋体"/>
                <w:spacing w:val="-2"/>
                <w:sz w:val="20"/>
                <w:szCs w:val="20"/>
              </w:rPr>
              <w:t>其他情</w:t>
            </w:r>
            <w:r>
              <w:rPr>
                <w:rFonts w:ascii="宋体" w:hAnsi="宋体" w:eastAsia="宋体" w:cs="宋体"/>
                <w:spacing w:val="-1"/>
                <w:sz w:val="20"/>
                <w:szCs w:val="20"/>
              </w:rPr>
              <w:t>况</w:t>
            </w:r>
          </w:p>
        </w:tc>
      </w:tr>
    </w:tbl>
    <w:p w14:paraId="076ED59E">
      <w:pPr>
        <w:spacing w:line="269" w:lineRule="auto"/>
        <w:rPr>
          <w:rFonts w:ascii="Arial"/>
          <w:sz w:val="21"/>
        </w:rPr>
      </w:pPr>
    </w:p>
    <w:p w14:paraId="1D802D58">
      <w:pPr>
        <w:spacing w:before="74" w:line="227" w:lineRule="auto"/>
        <w:ind w:left="579"/>
        <w:rPr>
          <w:rFonts w:ascii="宋体" w:hAnsi="宋体" w:eastAsia="宋体" w:cs="宋体"/>
          <w:sz w:val="23"/>
          <w:szCs w:val="23"/>
        </w:rPr>
      </w:pPr>
      <w:r>
        <w:rPr>
          <w:rFonts w:ascii="宋体" w:hAnsi="宋体" w:eastAsia="宋体" w:cs="宋体"/>
          <w:spacing w:val="-6"/>
          <w:sz w:val="23"/>
          <w:szCs w:val="23"/>
        </w:rPr>
        <w:t>项</w:t>
      </w:r>
      <w:r>
        <w:rPr>
          <w:rFonts w:ascii="宋体" w:hAnsi="宋体" w:eastAsia="宋体" w:cs="宋体"/>
          <w:spacing w:val="-5"/>
          <w:sz w:val="23"/>
          <w:szCs w:val="23"/>
        </w:rPr>
        <w:t>目</w:t>
      </w:r>
      <w:r>
        <w:rPr>
          <w:rFonts w:ascii="宋体" w:hAnsi="宋体" w:eastAsia="宋体" w:cs="宋体"/>
          <w:spacing w:val="-3"/>
          <w:sz w:val="23"/>
          <w:szCs w:val="23"/>
        </w:rPr>
        <w:t>所在地西侧为旱作耕地，因此确定项目土壤环境敏感程度为敏感。</w:t>
      </w:r>
    </w:p>
    <w:p w14:paraId="111411EA">
      <w:pPr>
        <w:spacing w:line="290" w:lineRule="auto"/>
        <w:rPr>
          <w:rFonts w:ascii="Arial"/>
          <w:sz w:val="21"/>
        </w:rPr>
      </w:pPr>
    </w:p>
    <w:p w14:paraId="6D607756">
      <w:pPr>
        <w:spacing w:before="75" w:line="390" w:lineRule="auto"/>
        <w:ind w:left="123" w:right="107" w:firstLine="483"/>
        <w:rPr>
          <w:rFonts w:ascii="宋体" w:hAnsi="宋体" w:eastAsia="宋体" w:cs="宋体"/>
          <w:sz w:val="23"/>
          <w:szCs w:val="23"/>
        </w:rPr>
      </w:pPr>
      <w:r>
        <w:rPr>
          <w:rFonts w:ascii="宋体" w:hAnsi="宋体" w:eastAsia="宋体" w:cs="宋体"/>
          <w:spacing w:val="-4"/>
          <w:sz w:val="23"/>
          <w:szCs w:val="23"/>
        </w:rPr>
        <w:t>根</w:t>
      </w:r>
      <w:r>
        <w:rPr>
          <w:rFonts w:ascii="宋体" w:hAnsi="宋体" w:eastAsia="宋体" w:cs="宋体"/>
          <w:spacing w:val="-2"/>
          <w:sz w:val="23"/>
          <w:szCs w:val="23"/>
        </w:rPr>
        <w:t>据《环境影响评价技术导则 土壤环境 (试行) 》(</w:t>
      </w:r>
      <w:r>
        <w:rPr>
          <w:rFonts w:ascii="Times New Roman" w:hAnsi="Times New Roman" w:eastAsia="Times New Roman" w:cs="Times New Roman"/>
          <w:spacing w:val="-2"/>
          <w:sz w:val="23"/>
          <w:szCs w:val="23"/>
        </w:rPr>
        <w:t>HJ964-2018</w:t>
      </w:r>
      <w:r>
        <w:rPr>
          <w:rFonts w:ascii="宋体" w:hAnsi="宋体" w:eastAsia="宋体" w:cs="宋体"/>
          <w:spacing w:val="-2"/>
          <w:sz w:val="23"/>
          <w:szCs w:val="23"/>
        </w:rPr>
        <w:t>) 中</w:t>
      </w:r>
      <w:r>
        <w:rPr>
          <w:rFonts w:ascii="Times New Roman" w:hAnsi="Times New Roman" w:eastAsia="Times New Roman" w:cs="Times New Roman"/>
          <w:spacing w:val="-2"/>
          <w:sz w:val="23"/>
          <w:szCs w:val="23"/>
        </w:rPr>
        <w:t xml:space="preserve">“6.2.2.1 </w:t>
      </w:r>
      <w:r>
        <w:rPr>
          <w:rFonts w:ascii="宋体" w:hAnsi="宋体" w:eastAsia="宋体" w:cs="宋体"/>
          <w:spacing w:val="-2"/>
          <w:sz w:val="23"/>
          <w:szCs w:val="23"/>
        </w:rPr>
        <w:t>将</w:t>
      </w:r>
      <w:r>
        <w:rPr>
          <w:rFonts w:ascii="宋体" w:hAnsi="宋体" w:eastAsia="宋体" w:cs="宋体"/>
          <w:sz w:val="23"/>
          <w:szCs w:val="23"/>
        </w:rPr>
        <w:t xml:space="preserve"> </w:t>
      </w:r>
      <w:r>
        <w:rPr>
          <w:rFonts w:ascii="宋体" w:hAnsi="宋体" w:eastAsia="宋体" w:cs="宋体"/>
          <w:spacing w:val="-6"/>
          <w:sz w:val="23"/>
          <w:szCs w:val="23"/>
        </w:rPr>
        <w:t>建设项目占地规模分为大型 (</w:t>
      </w:r>
      <w:r>
        <w:rPr>
          <w:rFonts w:ascii="Times New Roman" w:hAnsi="Times New Roman" w:eastAsia="Times New Roman" w:cs="Times New Roman"/>
          <w:spacing w:val="-3"/>
          <w:sz w:val="23"/>
          <w:szCs w:val="23"/>
        </w:rPr>
        <w:t>≥50hm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3"/>
          <w:szCs w:val="23"/>
        </w:rPr>
        <w:t>) 、中型 (</w:t>
      </w:r>
      <w:r>
        <w:rPr>
          <w:rFonts w:ascii="Times New Roman" w:hAnsi="Times New Roman" w:eastAsia="Times New Roman" w:cs="Times New Roman"/>
          <w:spacing w:val="-3"/>
          <w:sz w:val="23"/>
          <w:szCs w:val="23"/>
        </w:rPr>
        <w:t>5~50hm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3"/>
          <w:szCs w:val="23"/>
        </w:rPr>
        <w:t>) 、小型 (</w:t>
      </w:r>
      <w:r>
        <w:rPr>
          <w:rFonts w:ascii="Times New Roman" w:hAnsi="Times New Roman" w:eastAsia="Times New Roman" w:cs="Times New Roman"/>
          <w:spacing w:val="-3"/>
          <w:sz w:val="23"/>
          <w:szCs w:val="23"/>
        </w:rPr>
        <w:t>≤5hm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3"/>
          <w:szCs w:val="23"/>
        </w:rPr>
        <w:t>) ，建设</w:t>
      </w:r>
      <w:r>
        <w:rPr>
          <w:rFonts w:ascii="宋体" w:hAnsi="宋体" w:eastAsia="宋体" w:cs="宋体"/>
          <w:sz w:val="23"/>
          <w:szCs w:val="23"/>
        </w:rPr>
        <w:t xml:space="preserve"> </w:t>
      </w:r>
      <w:r>
        <w:rPr>
          <w:rFonts w:ascii="宋体" w:hAnsi="宋体" w:eastAsia="宋体" w:cs="宋体"/>
          <w:spacing w:val="1"/>
          <w:sz w:val="23"/>
          <w:szCs w:val="23"/>
        </w:rPr>
        <w:t>项目占地主要为永久</w:t>
      </w:r>
      <w:r>
        <w:rPr>
          <w:rFonts w:ascii="宋体" w:hAnsi="宋体" w:eastAsia="宋体" w:cs="宋体"/>
          <w:sz w:val="23"/>
          <w:szCs w:val="23"/>
        </w:rPr>
        <w:t>占地。</w:t>
      </w:r>
      <w:r>
        <w:rPr>
          <w:rFonts w:ascii="Times New Roman" w:hAnsi="Times New Roman" w:eastAsia="Times New Roman" w:cs="Times New Roman"/>
          <w:sz w:val="23"/>
          <w:szCs w:val="23"/>
        </w:rPr>
        <w:t>”</w:t>
      </w:r>
      <w:r>
        <w:rPr>
          <w:rFonts w:ascii="宋体" w:hAnsi="宋体" w:eastAsia="宋体" w:cs="宋体"/>
          <w:sz w:val="23"/>
          <w:szCs w:val="23"/>
        </w:rPr>
        <w:t xml:space="preserve">本溪弘福塑业有限公司新建项目占地面积 </w:t>
      </w:r>
      <w:r>
        <w:rPr>
          <w:rFonts w:ascii="Times New Roman" w:hAnsi="Times New Roman" w:eastAsia="Times New Roman" w:cs="Times New Roman"/>
          <w:sz w:val="23"/>
          <w:szCs w:val="23"/>
        </w:rPr>
        <w:t>7000m</w:t>
      </w:r>
      <w:r>
        <w:rPr>
          <w:rFonts w:ascii="Times New Roman" w:hAnsi="Times New Roman" w:eastAsia="Times New Roman" w:cs="Times New Roman"/>
          <w:position w:val="8"/>
          <w:sz w:val="15"/>
          <w:szCs w:val="15"/>
        </w:rPr>
        <w:t xml:space="preserve">2   </w:t>
      </w:r>
      <w:r>
        <w:rPr>
          <w:rFonts w:ascii="宋体" w:hAnsi="宋体" w:eastAsia="宋体" w:cs="宋体"/>
          <w:sz w:val="23"/>
          <w:szCs w:val="23"/>
        </w:rPr>
        <w:t xml:space="preserve">(即 </w:t>
      </w:r>
      <w:r>
        <w:rPr>
          <w:rFonts w:ascii="Times New Roman" w:hAnsi="Times New Roman" w:eastAsia="Times New Roman" w:cs="Times New Roman"/>
          <w:spacing w:val="-8"/>
          <w:sz w:val="23"/>
          <w:szCs w:val="23"/>
        </w:rPr>
        <w:t>0</w:t>
      </w:r>
      <w:r>
        <w:rPr>
          <w:rFonts w:ascii="Times New Roman" w:hAnsi="Times New Roman" w:eastAsia="Times New Roman" w:cs="Times New Roman"/>
          <w:spacing w:val="-4"/>
          <w:sz w:val="23"/>
          <w:szCs w:val="23"/>
        </w:rPr>
        <w:t>.7hm</w:t>
      </w:r>
      <w:r>
        <w:rPr>
          <w:rFonts w:ascii="Times New Roman" w:hAnsi="Times New Roman" w:eastAsia="Times New Roman" w:cs="Times New Roman"/>
          <w:spacing w:val="-4"/>
          <w:position w:val="8"/>
          <w:sz w:val="15"/>
          <w:szCs w:val="15"/>
        </w:rPr>
        <w:t xml:space="preserve">2 </w:t>
      </w:r>
      <w:r>
        <w:rPr>
          <w:rFonts w:ascii="宋体" w:hAnsi="宋体" w:eastAsia="宋体" w:cs="宋体"/>
          <w:spacing w:val="-4"/>
          <w:sz w:val="23"/>
          <w:szCs w:val="23"/>
        </w:rPr>
        <w:t>) ，占地规模属于小型。</w:t>
      </w:r>
    </w:p>
    <w:p w14:paraId="4755EBF9">
      <w:pPr>
        <w:spacing w:before="143" w:line="226" w:lineRule="auto"/>
        <w:ind w:left="618"/>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3</w:t>
      </w:r>
      <w:r>
        <w:rPr>
          <w:rFonts w:ascii="宋体" w:hAnsi="宋体" w:eastAsia="宋体" w:cs="宋体"/>
          <w:spacing w:val="5"/>
          <w:sz w:val="23"/>
          <w:szCs w:val="23"/>
        </w:rPr>
        <w:t>) 建设项目评价工作等</w:t>
      </w:r>
      <w:r>
        <w:rPr>
          <w:rFonts w:ascii="宋体" w:hAnsi="宋体" w:eastAsia="宋体" w:cs="宋体"/>
          <w:spacing w:val="2"/>
          <w:sz w:val="23"/>
          <w:szCs w:val="23"/>
        </w:rPr>
        <w:t>级</w:t>
      </w:r>
    </w:p>
    <w:p w14:paraId="13193504">
      <w:pPr>
        <w:spacing w:line="287" w:lineRule="auto"/>
        <w:rPr>
          <w:rFonts w:ascii="Arial"/>
          <w:sz w:val="21"/>
        </w:rPr>
      </w:pPr>
    </w:p>
    <w:p w14:paraId="03E44583">
      <w:pPr>
        <w:spacing w:before="75" w:line="226" w:lineRule="auto"/>
        <w:ind w:left="609"/>
        <w:rPr>
          <w:rFonts w:ascii="宋体" w:hAnsi="宋体" w:eastAsia="宋体" w:cs="宋体"/>
          <w:sz w:val="23"/>
          <w:szCs w:val="23"/>
        </w:rPr>
      </w:pPr>
      <w:r>
        <w:rPr>
          <w:rFonts w:ascii="宋体" w:hAnsi="宋体" w:eastAsia="宋体" w:cs="宋体"/>
          <w:spacing w:val="-8"/>
          <w:sz w:val="23"/>
          <w:szCs w:val="23"/>
        </w:rPr>
        <w:t>建</w:t>
      </w:r>
      <w:r>
        <w:rPr>
          <w:rFonts w:ascii="宋体" w:hAnsi="宋体" w:eastAsia="宋体" w:cs="宋体"/>
          <w:spacing w:val="-5"/>
          <w:sz w:val="23"/>
          <w:szCs w:val="23"/>
        </w:rPr>
        <w:t xml:space="preserve">设项目土壤环境影响评价工作等级的划分见表 </w:t>
      </w:r>
      <w:r>
        <w:rPr>
          <w:rFonts w:ascii="Times New Roman" w:hAnsi="Times New Roman" w:eastAsia="Times New Roman" w:cs="Times New Roman"/>
          <w:spacing w:val="-5"/>
          <w:sz w:val="23"/>
          <w:szCs w:val="23"/>
        </w:rPr>
        <w:t>2-24</w:t>
      </w:r>
      <w:r>
        <w:rPr>
          <w:rFonts w:ascii="宋体" w:hAnsi="宋体" w:eastAsia="宋体" w:cs="宋体"/>
          <w:spacing w:val="-5"/>
          <w:sz w:val="23"/>
          <w:szCs w:val="23"/>
        </w:rPr>
        <w:t>。</w:t>
      </w:r>
    </w:p>
    <w:p w14:paraId="3FEC7781">
      <w:pPr>
        <w:spacing w:line="289" w:lineRule="auto"/>
        <w:rPr>
          <w:rFonts w:ascii="Arial"/>
          <w:sz w:val="21"/>
        </w:rPr>
      </w:pPr>
    </w:p>
    <w:p w14:paraId="0B395839">
      <w:pPr>
        <w:spacing w:before="76" w:line="226" w:lineRule="auto"/>
        <w:ind w:left="243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2-24</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土壤评价工作等级分级表</w:t>
      </w:r>
    </w:p>
    <w:p w14:paraId="134F59C9">
      <w:pPr>
        <w:spacing w:line="19" w:lineRule="exact"/>
      </w:pPr>
    </w:p>
    <w:tbl>
      <w:tblPr>
        <w:tblStyle w:val="4"/>
        <w:tblW w:w="85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2"/>
        <w:gridCol w:w="1818"/>
        <w:gridCol w:w="677"/>
        <w:gridCol w:w="677"/>
        <w:gridCol w:w="677"/>
        <w:gridCol w:w="677"/>
        <w:gridCol w:w="676"/>
        <w:gridCol w:w="677"/>
        <w:gridCol w:w="677"/>
        <w:gridCol w:w="677"/>
        <w:gridCol w:w="684"/>
      </w:tblGrid>
      <w:tr w14:paraId="44F77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12" w:type="dxa"/>
            <w:vMerge w:val="restart"/>
            <w:tcBorders>
              <w:left w:val="nil"/>
              <w:bottom w:val="nil"/>
              <w:right w:val="nil"/>
            </w:tcBorders>
            <w:vAlign w:val="top"/>
          </w:tcPr>
          <w:p w14:paraId="38F28377">
            <w:pPr>
              <w:spacing w:line="246" w:lineRule="auto"/>
              <w:rPr>
                <w:rFonts w:ascii="Arial"/>
                <w:sz w:val="21"/>
              </w:rPr>
            </w:pPr>
          </w:p>
          <w:p w14:paraId="7F40A343">
            <w:pPr>
              <w:spacing w:before="65" w:line="228" w:lineRule="auto"/>
              <w:ind w:left="122" w:right="90" w:firstLine="1"/>
              <w:rPr>
                <w:rFonts w:ascii="宋体" w:hAnsi="宋体" w:eastAsia="宋体" w:cs="宋体"/>
                <w:sz w:val="20"/>
                <w:szCs w:val="20"/>
              </w:rPr>
            </w:pPr>
            <w:r>
              <w:drawing>
                <wp:anchor distT="0" distB="0" distL="0" distR="0" simplePos="0" relativeHeight="251735040" behindDoc="1" locked="0" layoutInCell="1" allowOverlap="1">
                  <wp:simplePos x="0" y="0"/>
                  <wp:positionH relativeFrom="column">
                    <wp:posOffset>0</wp:posOffset>
                  </wp:positionH>
                  <wp:positionV relativeFrom="paragraph">
                    <wp:posOffset>-151130</wp:posOffset>
                  </wp:positionV>
                  <wp:extent cx="1527810" cy="52260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03"/>
                          <a:stretch>
                            <a:fillRect/>
                          </a:stretch>
                        </pic:blipFill>
                        <pic:spPr>
                          <a:xfrm>
                            <a:off x="0" y="0"/>
                            <a:ext cx="1528064" cy="522757"/>
                          </a:xfrm>
                          <a:prstGeom prst="rect">
                            <a:avLst/>
                          </a:prstGeom>
                        </pic:spPr>
                      </pic:pic>
                    </a:graphicData>
                  </a:graphic>
                </wp:anchor>
              </w:drawing>
            </w:r>
            <w:r>
              <w:rPr>
                <w:rFonts w:ascii="宋体" w:hAnsi="宋体" w:eastAsia="宋体" w:cs="宋体"/>
                <w:spacing w:val="-2"/>
                <w:sz w:val="20"/>
                <w:szCs w:val="20"/>
                <w14:textOutline w14:w="3795" w14:cap="sq" w14:cmpd="sng">
                  <w14:solidFill>
                    <w14:srgbClr w14:val="000000"/>
                  </w14:solidFill>
                  <w14:prstDash w14:val="solid"/>
                  <w14:bevel/>
                </w14:textOutline>
              </w:rPr>
              <w:t>敏感</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程度</w:t>
            </w:r>
          </w:p>
        </w:tc>
        <w:tc>
          <w:tcPr>
            <w:tcW w:w="1818" w:type="dxa"/>
            <w:vMerge w:val="restart"/>
            <w:tcBorders>
              <w:left w:val="nil"/>
              <w:bottom w:val="nil"/>
            </w:tcBorders>
            <w:vAlign w:val="top"/>
          </w:tcPr>
          <w:p w14:paraId="7E7D7CE6">
            <w:pPr>
              <w:spacing w:before="53"/>
              <w:ind w:left="101" w:right="358" w:firstLine="596"/>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占</w:t>
            </w:r>
            <w:r>
              <w:rPr>
                <w:rFonts w:ascii="宋体" w:hAnsi="宋体" w:eastAsia="宋体" w:cs="宋体"/>
                <w:spacing w:val="-10"/>
                <w:sz w:val="20"/>
                <w:szCs w:val="20"/>
                <w14:textOutline w14:w="3795" w14:cap="sq" w14:cmpd="sng">
                  <w14:solidFill>
                    <w14:srgbClr w14:val="000000"/>
                  </w14:solidFill>
                  <w14:prstDash w14:val="solid"/>
                  <w14:bevel/>
                </w14:textOutline>
              </w:rPr>
              <w:t>地规模</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评</w:t>
            </w:r>
            <w:r>
              <w:rPr>
                <w:rFonts w:ascii="宋体" w:hAnsi="宋体" w:eastAsia="宋体" w:cs="宋体"/>
                <w:sz w:val="20"/>
                <w:szCs w:val="20"/>
                <w14:textOutline w14:w="3795" w14:cap="sq" w14:cmpd="sng">
                  <w14:solidFill>
                    <w14:srgbClr w14:val="000000"/>
                  </w14:solidFill>
                  <w14:prstDash w14:val="solid"/>
                  <w14:bevel/>
                </w14:textOutline>
              </w:rPr>
              <w:t>价</w:t>
            </w:r>
          </w:p>
          <w:p w14:paraId="19E51C73">
            <w:pPr>
              <w:spacing w:before="1" w:line="215" w:lineRule="auto"/>
              <w:ind w:left="497"/>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工作</w:t>
            </w:r>
            <w:r>
              <w:rPr>
                <w:rFonts w:ascii="宋体" w:hAnsi="宋体" w:eastAsia="宋体" w:cs="宋体"/>
                <w:spacing w:val="-1"/>
                <w:sz w:val="20"/>
                <w:szCs w:val="20"/>
                <w14:textOutline w14:w="3795" w14:cap="sq" w14:cmpd="sng">
                  <w14:solidFill>
                    <w14:srgbClr w14:val="000000"/>
                  </w14:solidFill>
                  <w14:prstDash w14:val="solid"/>
                  <w14:bevel/>
                </w14:textOutline>
              </w:rPr>
              <w:t>等级</w:t>
            </w:r>
          </w:p>
        </w:tc>
        <w:tc>
          <w:tcPr>
            <w:tcW w:w="2031" w:type="dxa"/>
            <w:gridSpan w:val="3"/>
            <w:vAlign w:val="top"/>
          </w:tcPr>
          <w:p w14:paraId="13E42518">
            <w:pPr>
              <w:spacing w:before="85" w:line="228" w:lineRule="auto"/>
              <w:ind w:left="881"/>
              <w:rPr>
                <w:rFonts w:ascii="宋体" w:hAnsi="宋体" w:eastAsia="宋体" w:cs="宋体"/>
                <w:sz w:val="20"/>
                <w:szCs w:val="20"/>
              </w:rPr>
            </w:pPr>
            <w:r>
              <w:rPr>
                <w:rFonts w:ascii="Times New Roman" w:hAnsi="Times New Roman" w:eastAsia="Times New Roman" w:cs="Times New Roman"/>
                <w:b/>
                <w:bCs/>
                <w:spacing w:val="1"/>
                <w:sz w:val="20"/>
                <w:szCs w:val="20"/>
              </w:rPr>
              <w:t>Ⅰ</w:t>
            </w:r>
            <w:r>
              <w:rPr>
                <w:rFonts w:ascii="宋体" w:hAnsi="宋体" w:eastAsia="宋体" w:cs="宋体"/>
                <w:sz w:val="20"/>
                <w:szCs w:val="20"/>
                <w14:textOutline w14:w="3795" w14:cap="sq" w14:cmpd="sng">
                  <w14:solidFill>
                    <w14:srgbClr w14:val="000000"/>
                  </w14:solidFill>
                  <w14:prstDash w14:val="solid"/>
                  <w14:bevel/>
                </w14:textOutline>
              </w:rPr>
              <w:t>类</w:t>
            </w:r>
          </w:p>
        </w:tc>
        <w:tc>
          <w:tcPr>
            <w:tcW w:w="2030" w:type="dxa"/>
            <w:gridSpan w:val="3"/>
            <w:vAlign w:val="top"/>
          </w:tcPr>
          <w:p w14:paraId="4B892B26">
            <w:pPr>
              <w:spacing w:before="85" w:line="228" w:lineRule="auto"/>
              <w:ind w:left="842"/>
              <w:rPr>
                <w:rFonts w:ascii="宋体" w:hAnsi="宋体" w:eastAsia="宋体" w:cs="宋体"/>
                <w:sz w:val="20"/>
                <w:szCs w:val="20"/>
              </w:rPr>
            </w:pPr>
            <w:r>
              <w:rPr>
                <w:rFonts w:ascii="Times New Roman" w:hAnsi="Times New Roman" w:eastAsia="Times New Roman" w:cs="Times New Roman"/>
                <w:b/>
                <w:bCs/>
                <w:spacing w:val="3"/>
                <w:sz w:val="20"/>
                <w:szCs w:val="20"/>
              </w:rPr>
              <w:t>Ⅱ</w:t>
            </w:r>
            <w:r>
              <w:rPr>
                <w:rFonts w:ascii="宋体" w:hAnsi="宋体" w:eastAsia="宋体" w:cs="宋体"/>
                <w:spacing w:val="2"/>
                <w:sz w:val="20"/>
                <w:szCs w:val="20"/>
                <w14:textOutline w14:w="3795" w14:cap="sq" w14:cmpd="sng">
                  <w14:solidFill>
                    <w14:srgbClr w14:val="000000"/>
                  </w14:solidFill>
                  <w14:prstDash w14:val="solid"/>
                  <w14:bevel/>
                </w14:textOutline>
              </w:rPr>
              <w:t>类</w:t>
            </w:r>
          </w:p>
        </w:tc>
        <w:tc>
          <w:tcPr>
            <w:tcW w:w="2038" w:type="dxa"/>
            <w:gridSpan w:val="3"/>
            <w:tcBorders>
              <w:right w:val="nil"/>
            </w:tcBorders>
            <w:vAlign w:val="top"/>
          </w:tcPr>
          <w:p w14:paraId="2A82582B">
            <w:pPr>
              <w:spacing w:before="85" w:line="228" w:lineRule="auto"/>
              <w:ind w:left="807"/>
              <w:rPr>
                <w:rFonts w:ascii="宋体" w:hAnsi="宋体" w:eastAsia="宋体" w:cs="宋体"/>
                <w:sz w:val="20"/>
                <w:szCs w:val="20"/>
              </w:rPr>
            </w:pPr>
            <w:r>
              <w:rPr>
                <w:rFonts w:ascii="Times New Roman" w:hAnsi="Times New Roman" w:eastAsia="Times New Roman" w:cs="Times New Roman"/>
                <w:b/>
                <w:bCs/>
                <w:spacing w:val="3"/>
                <w:sz w:val="20"/>
                <w:szCs w:val="20"/>
                <w:shd w:val="clear" w:fill="D9D9D9"/>
              </w:rPr>
              <w:t>Ⅲ</w:t>
            </w:r>
            <w:r>
              <w:rPr>
                <w:rFonts w:ascii="宋体" w:hAnsi="宋体" w:eastAsia="宋体" w:cs="宋体"/>
                <w:spacing w:val="3"/>
                <w:sz w:val="20"/>
                <w:szCs w:val="20"/>
                <w:shd w:val="clear" w:fill="D9D9D9"/>
                <w14:textOutline w14:w="3795" w14:cap="sq" w14:cmpd="sng">
                  <w14:solidFill>
                    <w14:srgbClr w14:val="000000"/>
                  </w14:solidFill>
                  <w14:prstDash w14:val="solid"/>
                  <w14:bevel/>
                </w14:textOutline>
              </w:rPr>
              <w:t>类</w:t>
            </w:r>
          </w:p>
        </w:tc>
      </w:tr>
      <w:tr w14:paraId="7E01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12" w:type="dxa"/>
            <w:vMerge w:val="continue"/>
            <w:tcBorders>
              <w:top w:val="nil"/>
              <w:left w:val="nil"/>
              <w:right w:val="nil"/>
            </w:tcBorders>
            <w:vAlign w:val="top"/>
          </w:tcPr>
          <w:p w14:paraId="7E715531">
            <w:pPr>
              <w:rPr>
                <w:rFonts w:ascii="Arial"/>
                <w:sz w:val="21"/>
              </w:rPr>
            </w:pPr>
          </w:p>
        </w:tc>
        <w:tc>
          <w:tcPr>
            <w:tcW w:w="1818" w:type="dxa"/>
            <w:vMerge w:val="continue"/>
            <w:tcBorders>
              <w:top w:val="nil"/>
              <w:left w:val="nil"/>
            </w:tcBorders>
            <w:vAlign w:val="top"/>
          </w:tcPr>
          <w:p w14:paraId="7F27D7C1">
            <w:pPr>
              <w:rPr>
                <w:rFonts w:ascii="Arial"/>
                <w:sz w:val="21"/>
              </w:rPr>
            </w:pPr>
          </w:p>
        </w:tc>
        <w:tc>
          <w:tcPr>
            <w:tcW w:w="677" w:type="dxa"/>
            <w:vAlign w:val="top"/>
          </w:tcPr>
          <w:p w14:paraId="269CE03C">
            <w:pPr>
              <w:spacing w:before="115" w:line="228" w:lineRule="auto"/>
              <w:ind w:left="249"/>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大</w:t>
            </w:r>
          </w:p>
        </w:tc>
        <w:tc>
          <w:tcPr>
            <w:tcW w:w="677" w:type="dxa"/>
            <w:vAlign w:val="top"/>
          </w:tcPr>
          <w:p w14:paraId="5713F08E">
            <w:pPr>
              <w:spacing w:before="115" w:line="228" w:lineRule="auto"/>
              <w:ind w:left="266"/>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中</w:t>
            </w:r>
          </w:p>
        </w:tc>
        <w:tc>
          <w:tcPr>
            <w:tcW w:w="677" w:type="dxa"/>
            <w:vAlign w:val="top"/>
          </w:tcPr>
          <w:p w14:paraId="040CA7C5">
            <w:pPr>
              <w:spacing w:before="114" w:line="230" w:lineRule="auto"/>
              <w:ind w:left="25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小</w:t>
            </w:r>
          </w:p>
        </w:tc>
        <w:tc>
          <w:tcPr>
            <w:tcW w:w="677" w:type="dxa"/>
            <w:vAlign w:val="top"/>
          </w:tcPr>
          <w:p w14:paraId="7F5F39DD">
            <w:pPr>
              <w:spacing w:before="115" w:line="228" w:lineRule="auto"/>
              <w:ind w:left="248"/>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大</w:t>
            </w:r>
          </w:p>
        </w:tc>
        <w:tc>
          <w:tcPr>
            <w:tcW w:w="676" w:type="dxa"/>
            <w:vAlign w:val="top"/>
          </w:tcPr>
          <w:p w14:paraId="2CAD265F">
            <w:pPr>
              <w:spacing w:before="115" w:line="228" w:lineRule="auto"/>
              <w:ind w:left="263"/>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中</w:t>
            </w:r>
          </w:p>
        </w:tc>
        <w:tc>
          <w:tcPr>
            <w:tcW w:w="677" w:type="dxa"/>
            <w:vAlign w:val="top"/>
          </w:tcPr>
          <w:p w14:paraId="4A3B503E">
            <w:pPr>
              <w:spacing w:before="114" w:line="230" w:lineRule="auto"/>
              <w:ind w:left="25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小</w:t>
            </w:r>
          </w:p>
        </w:tc>
        <w:tc>
          <w:tcPr>
            <w:tcW w:w="677" w:type="dxa"/>
            <w:vAlign w:val="top"/>
          </w:tcPr>
          <w:p w14:paraId="2F17975F">
            <w:pPr>
              <w:spacing w:before="115" w:line="228" w:lineRule="auto"/>
              <w:ind w:left="249"/>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大</w:t>
            </w:r>
          </w:p>
        </w:tc>
        <w:tc>
          <w:tcPr>
            <w:tcW w:w="677" w:type="dxa"/>
            <w:vAlign w:val="top"/>
          </w:tcPr>
          <w:p w14:paraId="5E49EA00">
            <w:pPr>
              <w:spacing w:before="115" w:line="228" w:lineRule="auto"/>
              <w:ind w:left="266"/>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中</w:t>
            </w:r>
          </w:p>
        </w:tc>
        <w:tc>
          <w:tcPr>
            <w:tcW w:w="684" w:type="dxa"/>
            <w:tcBorders>
              <w:right w:val="nil"/>
            </w:tcBorders>
            <w:vAlign w:val="top"/>
          </w:tcPr>
          <w:p w14:paraId="3D001E0A">
            <w:pPr>
              <w:spacing w:before="114" w:line="230" w:lineRule="auto"/>
              <w:ind w:left="254"/>
              <w:rPr>
                <w:rFonts w:ascii="宋体" w:hAnsi="宋体" w:eastAsia="宋体" w:cs="宋体"/>
                <w:sz w:val="20"/>
                <w:szCs w:val="20"/>
              </w:rPr>
            </w:pPr>
            <w:r>
              <w:rPr>
                <w:rFonts w:ascii="宋体" w:hAnsi="宋体" w:eastAsia="宋体" w:cs="宋体"/>
                <w:sz w:val="20"/>
                <w:szCs w:val="20"/>
                <w:shd w:val="clear" w:fill="D9D9D9"/>
                <w14:textOutline w14:w="3795" w14:cap="sq" w14:cmpd="sng">
                  <w14:solidFill>
                    <w14:srgbClr w14:val="000000"/>
                  </w14:solidFill>
                  <w14:prstDash w14:val="solid"/>
                  <w14:bevel/>
                </w14:textOutline>
              </w:rPr>
              <w:t>小</w:t>
            </w:r>
          </w:p>
        </w:tc>
      </w:tr>
      <w:tr w14:paraId="5B66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12" w:type="dxa"/>
            <w:tcBorders>
              <w:left w:val="nil"/>
              <w:right w:val="nil"/>
            </w:tcBorders>
            <w:vAlign w:val="top"/>
          </w:tcPr>
          <w:p w14:paraId="6C1F80D2">
            <w:pPr>
              <w:rPr>
                <w:rFonts w:ascii="Arial"/>
                <w:sz w:val="21"/>
              </w:rPr>
            </w:pPr>
          </w:p>
        </w:tc>
        <w:tc>
          <w:tcPr>
            <w:tcW w:w="1818" w:type="dxa"/>
            <w:tcBorders>
              <w:left w:val="nil"/>
            </w:tcBorders>
            <w:vAlign w:val="top"/>
          </w:tcPr>
          <w:p w14:paraId="2CDC2F80">
            <w:pPr>
              <w:spacing w:before="63" w:line="228" w:lineRule="auto"/>
              <w:ind w:left="419"/>
              <w:rPr>
                <w:rFonts w:ascii="宋体" w:hAnsi="宋体" w:eastAsia="宋体" w:cs="宋体"/>
                <w:sz w:val="20"/>
                <w:szCs w:val="20"/>
              </w:rPr>
            </w:pPr>
            <w:r>
              <w:rPr>
                <w:rFonts w:ascii="宋体" w:hAnsi="宋体" w:eastAsia="宋体" w:cs="宋体"/>
                <w:sz w:val="20"/>
                <w:szCs w:val="20"/>
                <w:shd w:val="clear" w:fill="D9D9D9"/>
              </w:rPr>
              <w:t>敏感</w:t>
            </w:r>
          </w:p>
        </w:tc>
        <w:tc>
          <w:tcPr>
            <w:tcW w:w="677" w:type="dxa"/>
            <w:vAlign w:val="top"/>
          </w:tcPr>
          <w:p w14:paraId="2E481B72">
            <w:pPr>
              <w:spacing w:before="63" w:line="230" w:lineRule="auto"/>
              <w:ind w:left="151"/>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677" w:type="dxa"/>
            <w:vAlign w:val="top"/>
          </w:tcPr>
          <w:p w14:paraId="68CB0033">
            <w:pPr>
              <w:spacing w:before="63" w:line="230" w:lineRule="auto"/>
              <w:ind w:left="151"/>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677" w:type="dxa"/>
            <w:vAlign w:val="top"/>
          </w:tcPr>
          <w:p w14:paraId="27F3FD95">
            <w:pPr>
              <w:spacing w:before="63" w:line="230" w:lineRule="auto"/>
              <w:ind w:left="151"/>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677" w:type="dxa"/>
            <w:vAlign w:val="top"/>
          </w:tcPr>
          <w:p w14:paraId="44BAAC44">
            <w:pPr>
              <w:spacing w:before="63"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6" w:type="dxa"/>
            <w:vAlign w:val="top"/>
          </w:tcPr>
          <w:p w14:paraId="5405ECB8">
            <w:pPr>
              <w:spacing w:before="63"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7" w:type="dxa"/>
            <w:vAlign w:val="top"/>
          </w:tcPr>
          <w:p w14:paraId="5F1A6B0A">
            <w:pPr>
              <w:spacing w:before="63" w:line="230" w:lineRule="auto"/>
              <w:ind w:left="151"/>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7" w:type="dxa"/>
            <w:vAlign w:val="top"/>
          </w:tcPr>
          <w:p w14:paraId="2D6A17B5">
            <w:pPr>
              <w:spacing w:before="63" w:line="230" w:lineRule="auto"/>
              <w:ind w:left="114"/>
              <w:rPr>
                <w:rFonts w:ascii="宋体" w:hAnsi="宋体" w:eastAsia="宋体" w:cs="宋体"/>
                <w:sz w:val="20"/>
                <w:szCs w:val="20"/>
              </w:rPr>
            </w:pPr>
            <w:r>
              <w:rPr>
                <w:rFonts w:ascii="宋体" w:hAnsi="宋体" w:eastAsia="宋体" w:cs="宋体"/>
                <w:sz w:val="20"/>
                <w:szCs w:val="20"/>
              </w:rPr>
              <w:t>三级</w:t>
            </w:r>
          </w:p>
        </w:tc>
        <w:tc>
          <w:tcPr>
            <w:tcW w:w="677" w:type="dxa"/>
            <w:vAlign w:val="top"/>
          </w:tcPr>
          <w:p w14:paraId="31826837">
            <w:pPr>
              <w:spacing w:before="63" w:line="230" w:lineRule="auto"/>
              <w:ind w:left="114"/>
              <w:rPr>
                <w:rFonts w:ascii="宋体" w:hAnsi="宋体" w:eastAsia="宋体" w:cs="宋体"/>
                <w:sz w:val="20"/>
                <w:szCs w:val="20"/>
              </w:rPr>
            </w:pPr>
            <w:r>
              <w:rPr>
                <w:rFonts w:ascii="宋体" w:hAnsi="宋体" w:eastAsia="宋体" w:cs="宋体"/>
                <w:sz w:val="20"/>
                <w:szCs w:val="20"/>
              </w:rPr>
              <w:t>三级</w:t>
            </w:r>
          </w:p>
        </w:tc>
        <w:tc>
          <w:tcPr>
            <w:tcW w:w="684" w:type="dxa"/>
            <w:tcBorders>
              <w:right w:val="nil"/>
            </w:tcBorders>
            <w:vAlign w:val="top"/>
          </w:tcPr>
          <w:p w14:paraId="2E0AEB1A">
            <w:pPr>
              <w:spacing w:before="63" w:line="230" w:lineRule="auto"/>
              <w:ind w:left="152"/>
              <w:rPr>
                <w:rFonts w:ascii="宋体" w:hAnsi="宋体" w:eastAsia="宋体" w:cs="宋体"/>
                <w:sz w:val="20"/>
                <w:szCs w:val="20"/>
              </w:rPr>
            </w:pPr>
            <w:r>
              <w:rPr>
                <w:rFonts w:ascii="宋体" w:hAnsi="宋体" w:eastAsia="宋体" w:cs="宋体"/>
                <w:sz w:val="20"/>
                <w:szCs w:val="20"/>
                <w:shd w:val="clear" w:fill="D9D9D9"/>
              </w:rPr>
              <w:t>三级</w:t>
            </w:r>
          </w:p>
        </w:tc>
      </w:tr>
      <w:tr w14:paraId="377D4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12" w:type="dxa"/>
            <w:tcBorders>
              <w:left w:val="nil"/>
              <w:right w:val="nil"/>
            </w:tcBorders>
            <w:vAlign w:val="top"/>
          </w:tcPr>
          <w:p w14:paraId="26D1980C">
            <w:pPr>
              <w:rPr>
                <w:rFonts w:ascii="Arial"/>
                <w:sz w:val="21"/>
              </w:rPr>
            </w:pPr>
          </w:p>
        </w:tc>
        <w:tc>
          <w:tcPr>
            <w:tcW w:w="1818" w:type="dxa"/>
            <w:tcBorders>
              <w:left w:val="nil"/>
            </w:tcBorders>
            <w:vAlign w:val="top"/>
          </w:tcPr>
          <w:p w14:paraId="4704F0EF">
            <w:pPr>
              <w:spacing w:before="64" w:line="228" w:lineRule="auto"/>
              <w:ind w:left="320"/>
              <w:rPr>
                <w:rFonts w:ascii="宋体" w:hAnsi="宋体" w:eastAsia="宋体" w:cs="宋体"/>
                <w:sz w:val="20"/>
                <w:szCs w:val="20"/>
              </w:rPr>
            </w:pPr>
            <w:r>
              <w:rPr>
                <w:rFonts w:ascii="宋体" w:hAnsi="宋体" w:eastAsia="宋体" w:cs="宋体"/>
                <w:spacing w:val="-1"/>
                <w:sz w:val="20"/>
                <w:szCs w:val="20"/>
              </w:rPr>
              <w:t>较敏感</w:t>
            </w:r>
          </w:p>
        </w:tc>
        <w:tc>
          <w:tcPr>
            <w:tcW w:w="677" w:type="dxa"/>
            <w:vAlign w:val="top"/>
          </w:tcPr>
          <w:p w14:paraId="546205B1">
            <w:pPr>
              <w:spacing w:before="64" w:line="230" w:lineRule="auto"/>
              <w:ind w:left="118"/>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677" w:type="dxa"/>
            <w:vAlign w:val="top"/>
          </w:tcPr>
          <w:p w14:paraId="3E35CB3D">
            <w:pPr>
              <w:spacing w:before="64" w:line="230" w:lineRule="auto"/>
              <w:ind w:left="151"/>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677" w:type="dxa"/>
            <w:vAlign w:val="top"/>
          </w:tcPr>
          <w:p w14:paraId="314BBC27">
            <w:pPr>
              <w:spacing w:before="64"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7" w:type="dxa"/>
            <w:vAlign w:val="top"/>
          </w:tcPr>
          <w:p w14:paraId="365EF601">
            <w:pPr>
              <w:spacing w:before="64"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6" w:type="dxa"/>
            <w:vAlign w:val="top"/>
          </w:tcPr>
          <w:p w14:paraId="594762FB">
            <w:pPr>
              <w:spacing w:before="64"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7" w:type="dxa"/>
            <w:vAlign w:val="top"/>
          </w:tcPr>
          <w:p w14:paraId="1EF34AFB">
            <w:pPr>
              <w:spacing w:before="64" w:line="230" w:lineRule="auto"/>
              <w:ind w:left="114"/>
              <w:rPr>
                <w:rFonts w:ascii="宋体" w:hAnsi="宋体" w:eastAsia="宋体" w:cs="宋体"/>
                <w:sz w:val="20"/>
                <w:szCs w:val="20"/>
              </w:rPr>
            </w:pPr>
            <w:r>
              <w:rPr>
                <w:rFonts w:ascii="宋体" w:hAnsi="宋体" w:eastAsia="宋体" w:cs="宋体"/>
                <w:sz w:val="20"/>
                <w:szCs w:val="20"/>
              </w:rPr>
              <w:t>三级</w:t>
            </w:r>
          </w:p>
        </w:tc>
        <w:tc>
          <w:tcPr>
            <w:tcW w:w="677" w:type="dxa"/>
            <w:vAlign w:val="top"/>
          </w:tcPr>
          <w:p w14:paraId="017CEABF">
            <w:pPr>
              <w:spacing w:before="64" w:line="230" w:lineRule="auto"/>
              <w:ind w:left="114"/>
              <w:rPr>
                <w:rFonts w:ascii="宋体" w:hAnsi="宋体" w:eastAsia="宋体" w:cs="宋体"/>
                <w:sz w:val="20"/>
                <w:szCs w:val="20"/>
              </w:rPr>
            </w:pPr>
            <w:r>
              <w:rPr>
                <w:rFonts w:ascii="宋体" w:hAnsi="宋体" w:eastAsia="宋体" w:cs="宋体"/>
                <w:sz w:val="20"/>
                <w:szCs w:val="20"/>
              </w:rPr>
              <w:t>三级</w:t>
            </w:r>
          </w:p>
        </w:tc>
        <w:tc>
          <w:tcPr>
            <w:tcW w:w="677" w:type="dxa"/>
            <w:vAlign w:val="top"/>
          </w:tcPr>
          <w:p w14:paraId="0B847BDA">
            <w:pPr>
              <w:spacing w:before="64" w:line="230" w:lineRule="auto"/>
              <w:ind w:left="114"/>
              <w:rPr>
                <w:rFonts w:ascii="宋体" w:hAnsi="宋体" w:eastAsia="宋体" w:cs="宋体"/>
                <w:sz w:val="20"/>
                <w:szCs w:val="20"/>
              </w:rPr>
            </w:pPr>
            <w:r>
              <w:rPr>
                <w:rFonts w:ascii="宋体" w:hAnsi="宋体" w:eastAsia="宋体" w:cs="宋体"/>
                <w:sz w:val="20"/>
                <w:szCs w:val="20"/>
              </w:rPr>
              <w:t>三级</w:t>
            </w:r>
          </w:p>
        </w:tc>
        <w:tc>
          <w:tcPr>
            <w:tcW w:w="684" w:type="dxa"/>
            <w:tcBorders>
              <w:right w:val="nil"/>
            </w:tcBorders>
            <w:vAlign w:val="top"/>
          </w:tcPr>
          <w:p w14:paraId="536CD914">
            <w:pPr>
              <w:spacing w:before="188" w:line="136" w:lineRule="exact"/>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14:paraId="0F6B8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12" w:type="dxa"/>
            <w:tcBorders>
              <w:left w:val="nil"/>
              <w:right w:val="nil"/>
            </w:tcBorders>
            <w:vAlign w:val="top"/>
          </w:tcPr>
          <w:p w14:paraId="4F7FD6AA">
            <w:pPr>
              <w:rPr>
                <w:rFonts w:ascii="Arial"/>
                <w:sz w:val="21"/>
              </w:rPr>
            </w:pPr>
          </w:p>
        </w:tc>
        <w:tc>
          <w:tcPr>
            <w:tcW w:w="1818" w:type="dxa"/>
            <w:tcBorders>
              <w:left w:val="nil"/>
            </w:tcBorders>
            <w:vAlign w:val="top"/>
          </w:tcPr>
          <w:p w14:paraId="3260772C">
            <w:pPr>
              <w:spacing w:before="65" w:line="228" w:lineRule="auto"/>
              <w:ind w:left="323"/>
              <w:rPr>
                <w:rFonts w:ascii="宋体" w:hAnsi="宋体" w:eastAsia="宋体" w:cs="宋体"/>
                <w:sz w:val="20"/>
                <w:szCs w:val="20"/>
              </w:rPr>
            </w:pPr>
            <w:r>
              <w:rPr>
                <w:rFonts w:ascii="宋体" w:hAnsi="宋体" w:eastAsia="宋体" w:cs="宋体"/>
                <w:spacing w:val="-2"/>
                <w:sz w:val="20"/>
                <w:szCs w:val="20"/>
              </w:rPr>
              <w:t>不敏感</w:t>
            </w:r>
          </w:p>
        </w:tc>
        <w:tc>
          <w:tcPr>
            <w:tcW w:w="677" w:type="dxa"/>
            <w:vAlign w:val="top"/>
          </w:tcPr>
          <w:p w14:paraId="7DD3608B">
            <w:pPr>
              <w:spacing w:before="65" w:line="230" w:lineRule="auto"/>
              <w:ind w:left="118"/>
              <w:rPr>
                <w:rFonts w:ascii="宋体" w:hAnsi="宋体" w:eastAsia="宋体" w:cs="宋体"/>
                <w:sz w:val="20"/>
                <w:szCs w:val="20"/>
              </w:rPr>
            </w:pPr>
            <w:r>
              <w:rPr>
                <w:rFonts w:ascii="宋体" w:hAnsi="宋体" w:eastAsia="宋体" w:cs="宋体"/>
                <w:spacing w:val="-2"/>
                <w:sz w:val="20"/>
                <w:szCs w:val="20"/>
              </w:rPr>
              <w:t>一</w:t>
            </w:r>
            <w:r>
              <w:rPr>
                <w:rFonts w:ascii="宋体" w:hAnsi="宋体" w:eastAsia="宋体" w:cs="宋体"/>
                <w:spacing w:val="-1"/>
                <w:sz w:val="20"/>
                <w:szCs w:val="20"/>
              </w:rPr>
              <w:t>级</w:t>
            </w:r>
          </w:p>
        </w:tc>
        <w:tc>
          <w:tcPr>
            <w:tcW w:w="677" w:type="dxa"/>
            <w:vAlign w:val="top"/>
          </w:tcPr>
          <w:p w14:paraId="2C274D10">
            <w:pPr>
              <w:spacing w:before="65" w:line="230" w:lineRule="auto"/>
              <w:ind w:left="151"/>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7" w:type="dxa"/>
            <w:vAlign w:val="top"/>
          </w:tcPr>
          <w:p w14:paraId="096B3B83">
            <w:pPr>
              <w:spacing w:before="65"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7" w:type="dxa"/>
            <w:vAlign w:val="top"/>
          </w:tcPr>
          <w:p w14:paraId="5AC9758F">
            <w:pPr>
              <w:spacing w:before="65" w:line="230" w:lineRule="auto"/>
              <w:ind w:left="117"/>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级</w:t>
            </w:r>
          </w:p>
        </w:tc>
        <w:tc>
          <w:tcPr>
            <w:tcW w:w="676" w:type="dxa"/>
            <w:vAlign w:val="top"/>
          </w:tcPr>
          <w:p w14:paraId="4DC0DA62">
            <w:pPr>
              <w:spacing w:before="65" w:line="230" w:lineRule="auto"/>
              <w:ind w:left="147"/>
              <w:rPr>
                <w:rFonts w:ascii="宋体" w:hAnsi="宋体" w:eastAsia="宋体" w:cs="宋体"/>
                <w:sz w:val="20"/>
                <w:szCs w:val="20"/>
              </w:rPr>
            </w:pPr>
            <w:r>
              <w:rPr>
                <w:rFonts w:ascii="宋体" w:hAnsi="宋体" w:eastAsia="宋体" w:cs="宋体"/>
                <w:sz w:val="20"/>
                <w:szCs w:val="20"/>
              </w:rPr>
              <w:t>三级</w:t>
            </w:r>
          </w:p>
        </w:tc>
        <w:tc>
          <w:tcPr>
            <w:tcW w:w="677" w:type="dxa"/>
            <w:vAlign w:val="top"/>
          </w:tcPr>
          <w:p w14:paraId="4A9EB802">
            <w:pPr>
              <w:spacing w:before="65" w:line="230" w:lineRule="auto"/>
              <w:ind w:left="114"/>
              <w:rPr>
                <w:rFonts w:ascii="宋体" w:hAnsi="宋体" w:eastAsia="宋体" w:cs="宋体"/>
                <w:sz w:val="20"/>
                <w:szCs w:val="20"/>
              </w:rPr>
            </w:pPr>
            <w:r>
              <w:rPr>
                <w:rFonts w:ascii="宋体" w:hAnsi="宋体" w:eastAsia="宋体" w:cs="宋体"/>
                <w:sz w:val="20"/>
                <w:szCs w:val="20"/>
              </w:rPr>
              <w:t>三级</w:t>
            </w:r>
          </w:p>
        </w:tc>
        <w:tc>
          <w:tcPr>
            <w:tcW w:w="677" w:type="dxa"/>
            <w:vAlign w:val="top"/>
          </w:tcPr>
          <w:p w14:paraId="2B2983B7">
            <w:pPr>
              <w:spacing w:before="65" w:line="230" w:lineRule="auto"/>
              <w:ind w:left="114"/>
              <w:rPr>
                <w:rFonts w:ascii="宋体" w:hAnsi="宋体" w:eastAsia="宋体" w:cs="宋体"/>
                <w:sz w:val="20"/>
                <w:szCs w:val="20"/>
              </w:rPr>
            </w:pPr>
            <w:r>
              <w:rPr>
                <w:rFonts w:ascii="宋体" w:hAnsi="宋体" w:eastAsia="宋体" w:cs="宋体"/>
                <w:sz w:val="20"/>
                <w:szCs w:val="20"/>
              </w:rPr>
              <w:t>三级</w:t>
            </w:r>
          </w:p>
        </w:tc>
        <w:tc>
          <w:tcPr>
            <w:tcW w:w="677" w:type="dxa"/>
            <w:vAlign w:val="top"/>
          </w:tcPr>
          <w:p w14:paraId="4B0028AF">
            <w:pPr>
              <w:spacing w:before="189" w:line="137" w:lineRule="exact"/>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684" w:type="dxa"/>
            <w:tcBorders>
              <w:right w:val="nil"/>
            </w:tcBorders>
            <w:vAlign w:val="top"/>
          </w:tcPr>
          <w:p w14:paraId="7E74A319">
            <w:pPr>
              <w:spacing w:before="189" w:line="137" w:lineRule="exact"/>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bl>
    <w:p w14:paraId="4FB26B64">
      <w:pPr>
        <w:spacing w:before="62" w:line="226" w:lineRule="auto"/>
        <w:ind w:left="123"/>
        <w:rPr>
          <w:rFonts w:ascii="宋体" w:hAnsi="宋体" w:eastAsia="宋体" w:cs="宋体"/>
          <w:sz w:val="20"/>
          <w:szCs w:val="20"/>
        </w:rPr>
      </w:pPr>
      <w:r>
        <w:rPr>
          <w:rFonts w:ascii="宋体" w:hAnsi="宋体" w:eastAsia="宋体" w:cs="宋体"/>
          <w:spacing w:val="-3"/>
          <w:sz w:val="20"/>
          <w:szCs w:val="20"/>
        </w:rPr>
        <w:t>注：</w:t>
      </w:r>
      <w:r>
        <w:rPr>
          <w:rFonts w:ascii="Times New Roman" w:hAnsi="Times New Roman" w:eastAsia="Times New Roman" w:cs="Times New Roman"/>
          <w:spacing w:val="-3"/>
          <w:sz w:val="20"/>
          <w:szCs w:val="20"/>
        </w:rPr>
        <w:t>“-”</w:t>
      </w:r>
      <w:r>
        <w:rPr>
          <w:rFonts w:ascii="宋体" w:hAnsi="宋体" w:eastAsia="宋体" w:cs="宋体"/>
          <w:spacing w:val="-3"/>
          <w:sz w:val="20"/>
          <w:szCs w:val="20"/>
        </w:rPr>
        <w:t>表示可不展开土壤环境影响评价工</w:t>
      </w:r>
      <w:r>
        <w:rPr>
          <w:rFonts w:ascii="宋体" w:hAnsi="宋体" w:eastAsia="宋体" w:cs="宋体"/>
          <w:sz w:val="20"/>
          <w:szCs w:val="20"/>
        </w:rPr>
        <w:t>作</w:t>
      </w:r>
    </w:p>
    <w:p w14:paraId="6E2682C5">
      <w:pPr>
        <w:spacing w:before="26" w:line="29" w:lineRule="exact"/>
        <w:ind w:firstLine="7"/>
        <w:textAlignment w:val="center"/>
      </w:pPr>
      <w:r>
        <w:pict>
          <v:shape id="_x0000_s1100" o:spid="_x0000_s1100" style="height:1.45pt;width:426.15pt;" filled="f" stroked="t" coordsize="8522,29" path="m0,14l8522,14e">
            <v:fill on="f" focussize="0,0"/>
            <v:stroke weight="1.44pt" color="#000000" miterlimit="2" joinstyle="bevel"/>
            <v:imagedata o:title=""/>
            <o:lock v:ext="edit"/>
            <w10:wrap type="none"/>
            <w10:anchorlock/>
          </v:shape>
        </w:pict>
      </w:r>
    </w:p>
    <w:p w14:paraId="5D3E7D73">
      <w:pPr>
        <w:spacing w:line="270" w:lineRule="auto"/>
        <w:rPr>
          <w:rFonts w:ascii="Arial"/>
          <w:sz w:val="21"/>
        </w:rPr>
      </w:pPr>
    </w:p>
    <w:p w14:paraId="748FF609">
      <w:pPr>
        <w:spacing w:before="76" w:line="393" w:lineRule="auto"/>
        <w:ind w:left="125" w:right="110" w:firstLine="484"/>
        <w:rPr>
          <w:rFonts w:ascii="宋体" w:hAnsi="宋体" w:eastAsia="宋体" w:cs="宋体"/>
          <w:sz w:val="23"/>
          <w:szCs w:val="23"/>
        </w:rPr>
      </w:pPr>
      <w:r>
        <w:rPr>
          <w:rFonts w:ascii="宋体" w:hAnsi="宋体" w:eastAsia="宋体" w:cs="宋体"/>
          <w:spacing w:val="-1"/>
          <w:sz w:val="23"/>
          <w:szCs w:val="23"/>
        </w:rPr>
        <w:t>综上</w:t>
      </w:r>
      <w:r>
        <w:rPr>
          <w:rFonts w:ascii="宋体" w:hAnsi="宋体" w:eastAsia="宋体" w:cs="宋体"/>
          <w:sz w:val="23"/>
          <w:szCs w:val="23"/>
        </w:rPr>
        <w:t>分析，项目属于土壤环境影响评价分类的</w:t>
      </w:r>
      <w:r>
        <w:rPr>
          <w:rFonts w:ascii="Times New Roman" w:hAnsi="Times New Roman" w:eastAsia="Times New Roman" w:cs="Times New Roman"/>
          <w:sz w:val="23"/>
          <w:szCs w:val="23"/>
        </w:rPr>
        <w:t>Ⅲ</w:t>
      </w:r>
      <w:r>
        <w:rPr>
          <w:rFonts w:ascii="宋体" w:hAnsi="宋体" w:eastAsia="宋体" w:cs="宋体"/>
          <w:sz w:val="23"/>
          <w:szCs w:val="23"/>
        </w:rPr>
        <w:t xml:space="preserve">类项目，土壤环境敏感程度为 </w:t>
      </w:r>
      <w:r>
        <w:rPr>
          <w:rFonts w:ascii="宋体" w:hAnsi="宋体" w:eastAsia="宋体" w:cs="宋体"/>
          <w:spacing w:val="-4"/>
          <w:sz w:val="23"/>
          <w:szCs w:val="23"/>
        </w:rPr>
        <w:t>敏</w:t>
      </w:r>
      <w:r>
        <w:rPr>
          <w:rFonts w:ascii="宋体" w:hAnsi="宋体" w:eastAsia="宋体" w:cs="宋体"/>
          <w:spacing w:val="-3"/>
          <w:sz w:val="23"/>
          <w:szCs w:val="23"/>
        </w:rPr>
        <w:t>感，项目占地规模为小型，因此评价工作等级确定为三级。</w:t>
      </w:r>
    </w:p>
    <w:p w14:paraId="11E723BD">
      <w:pPr>
        <w:spacing w:before="103" w:line="219" w:lineRule="auto"/>
        <w:ind w:left="122"/>
        <w:outlineLvl w:val="3"/>
        <w:rPr>
          <w:rFonts w:ascii="宋体" w:hAnsi="宋体" w:eastAsia="宋体" w:cs="宋体"/>
          <w:sz w:val="28"/>
          <w:szCs w:val="28"/>
        </w:rPr>
      </w:pPr>
      <w:r>
        <w:rPr>
          <w:rFonts w:ascii="Times New Roman" w:hAnsi="Times New Roman" w:eastAsia="Times New Roman" w:cs="Times New Roman"/>
          <w:b/>
          <w:bCs/>
          <w:spacing w:val="-8"/>
          <w:sz w:val="28"/>
          <w:szCs w:val="28"/>
        </w:rPr>
        <w:t>2.6</w:t>
      </w:r>
      <w:r>
        <w:rPr>
          <w:rFonts w:ascii="Times New Roman" w:hAnsi="Times New Roman" w:eastAsia="Times New Roman" w:cs="Times New Roman"/>
          <w:b/>
          <w:bCs/>
          <w:spacing w:val="-6"/>
          <w:sz w:val="28"/>
          <w:szCs w:val="28"/>
        </w:rPr>
        <w:t>.</w:t>
      </w:r>
      <w:r>
        <w:rPr>
          <w:rFonts w:ascii="Times New Roman" w:hAnsi="Times New Roman" w:eastAsia="Times New Roman" w:cs="Times New Roman"/>
          <w:b/>
          <w:bCs/>
          <w:spacing w:val="-4"/>
          <w:sz w:val="28"/>
          <w:szCs w:val="28"/>
        </w:rPr>
        <w:t>1.6</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环境风险评价工作等级</w:t>
      </w:r>
    </w:p>
    <w:p w14:paraId="49291B3E">
      <w:pPr>
        <w:spacing w:line="266" w:lineRule="auto"/>
        <w:rPr>
          <w:rFonts w:ascii="Arial"/>
          <w:sz w:val="21"/>
        </w:rPr>
      </w:pPr>
    </w:p>
    <w:p w14:paraId="1E174F36">
      <w:pPr>
        <w:spacing w:before="75" w:line="376" w:lineRule="auto"/>
        <w:ind w:left="124" w:right="110" w:firstLine="480"/>
        <w:rPr>
          <w:rFonts w:ascii="宋体" w:hAnsi="宋体" w:eastAsia="宋体" w:cs="宋体"/>
          <w:sz w:val="23"/>
          <w:szCs w:val="23"/>
        </w:rPr>
      </w:pPr>
      <w:r>
        <w:rPr>
          <w:rFonts w:ascii="宋体" w:hAnsi="宋体" w:eastAsia="宋体" w:cs="宋体"/>
          <w:spacing w:val="-4"/>
          <w:sz w:val="23"/>
          <w:szCs w:val="23"/>
        </w:rPr>
        <w:t>根据《建设项目环境风险评</w:t>
      </w:r>
      <w:r>
        <w:rPr>
          <w:rFonts w:ascii="宋体" w:hAnsi="宋体" w:eastAsia="宋体" w:cs="宋体"/>
          <w:spacing w:val="-2"/>
          <w:sz w:val="23"/>
          <w:szCs w:val="23"/>
        </w:rPr>
        <w:t>价技术导则》  (</w:t>
      </w:r>
      <w:r>
        <w:rPr>
          <w:rFonts w:ascii="Times New Roman" w:hAnsi="Times New Roman" w:eastAsia="Times New Roman" w:cs="Times New Roman"/>
          <w:spacing w:val="-2"/>
          <w:sz w:val="23"/>
          <w:szCs w:val="23"/>
        </w:rPr>
        <w:t>HJ169-2018</w:t>
      </w:r>
      <w:r>
        <w:rPr>
          <w:rFonts w:ascii="宋体" w:hAnsi="宋体" w:eastAsia="宋体" w:cs="宋体"/>
          <w:spacing w:val="-2"/>
          <w:sz w:val="23"/>
          <w:szCs w:val="23"/>
        </w:rPr>
        <w:t>) 规定，建设项目环境</w:t>
      </w:r>
      <w:r>
        <w:rPr>
          <w:rFonts w:ascii="宋体" w:hAnsi="宋体" w:eastAsia="宋体" w:cs="宋体"/>
          <w:sz w:val="23"/>
          <w:szCs w:val="23"/>
        </w:rPr>
        <w:t xml:space="preserve"> </w:t>
      </w:r>
      <w:r>
        <w:rPr>
          <w:rFonts w:ascii="宋体" w:hAnsi="宋体" w:eastAsia="宋体" w:cs="宋体"/>
          <w:spacing w:val="-6"/>
          <w:sz w:val="23"/>
          <w:szCs w:val="23"/>
        </w:rPr>
        <w:t>风险潜</w:t>
      </w:r>
      <w:r>
        <w:rPr>
          <w:rFonts w:ascii="宋体" w:hAnsi="宋体" w:eastAsia="宋体" w:cs="宋体"/>
          <w:spacing w:val="-3"/>
          <w:sz w:val="23"/>
          <w:szCs w:val="23"/>
        </w:rPr>
        <w:t>势划分为</w:t>
      </w:r>
      <w:r>
        <w:rPr>
          <w:rFonts w:ascii="Times New Roman" w:hAnsi="Times New Roman" w:eastAsia="Times New Roman" w:cs="Times New Roman"/>
          <w:spacing w:val="-3"/>
          <w:sz w:val="23"/>
          <w:szCs w:val="23"/>
        </w:rPr>
        <w:t xml:space="preserve">Ⅰ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Ⅱ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Ⅲ </w:t>
      </w:r>
      <w:r>
        <w:rPr>
          <w:rFonts w:ascii="宋体" w:hAnsi="宋体" w:eastAsia="宋体" w:cs="宋体"/>
          <w:spacing w:val="-3"/>
          <w:sz w:val="23"/>
          <w:szCs w:val="23"/>
        </w:rPr>
        <w:t>、</w:t>
      </w:r>
      <w:r>
        <w:rPr>
          <w:rFonts w:ascii="Times New Roman" w:hAnsi="Times New Roman" w:eastAsia="Times New Roman" w:cs="Times New Roman"/>
          <w:spacing w:val="-3"/>
          <w:sz w:val="23"/>
          <w:szCs w:val="23"/>
        </w:rPr>
        <w:t>Ⅳ/Ⅳ+</w:t>
      </w:r>
      <w:r>
        <w:rPr>
          <w:rFonts w:ascii="宋体" w:hAnsi="宋体" w:eastAsia="宋体" w:cs="宋体"/>
          <w:spacing w:val="-3"/>
          <w:sz w:val="23"/>
          <w:szCs w:val="23"/>
        </w:rPr>
        <w:t>级，是根据建设项目涉及的物质和工艺系统的危</w:t>
      </w:r>
      <w:r>
        <w:rPr>
          <w:rFonts w:ascii="宋体" w:hAnsi="宋体" w:eastAsia="宋体" w:cs="宋体"/>
          <w:sz w:val="23"/>
          <w:szCs w:val="23"/>
        </w:rPr>
        <w:t xml:space="preserve"> </w:t>
      </w:r>
      <w:r>
        <w:rPr>
          <w:rFonts w:ascii="宋体" w:hAnsi="宋体" w:eastAsia="宋体" w:cs="宋体"/>
          <w:spacing w:val="1"/>
          <w:sz w:val="23"/>
          <w:szCs w:val="23"/>
        </w:rPr>
        <w:t>险性及其所在地的环境敏感程度</w:t>
      </w:r>
      <w:r>
        <w:rPr>
          <w:rFonts w:ascii="宋体" w:hAnsi="宋体" w:eastAsia="宋体" w:cs="宋体"/>
          <w:sz w:val="23"/>
          <w:szCs w:val="23"/>
        </w:rPr>
        <w:t xml:space="preserve">，结合事故情形下环境影响途径，对建设项目潜在 </w:t>
      </w:r>
      <w:r>
        <w:rPr>
          <w:rFonts w:ascii="宋体" w:hAnsi="宋体" w:eastAsia="宋体" w:cs="宋体"/>
          <w:spacing w:val="-8"/>
          <w:sz w:val="23"/>
          <w:szCs w:val="23"/>
        </w:rPr>
        <w:t>环境危害程度</w:t>
      </w:r>
      <w:r>
        <w:rPr>
          <w:rFonts w:ascii="宋体" w:hAnsi="宋体" w:eastAsia="宋体" w:cs="宋体"/>
          <w:spacing w:val="-4"/>
          <w:sz w:val="23"/>
          <w:szCs w:val="23"/>
        </w:rPr>
        <w:t xml:space="preserve">进行的概化分析，风险评价等级划分依据见表 </w:t>
      </w:r>
      <w:r>
        <w:rPr>
          <w:rFonts w:ascii="Times New Roman" w:hAnsi="Times New Roman" w:eastAsia="Times New Roman" w:cs="Times New Roman"/>
          <w:spacing w:val="-4"/>
          <w:sz w:val="23"/>
          <w:szCs w:val="23"/>
        </w:rPr>
        <w:t>2-25</w:t>
      </w:r>
      <w:r>
        <w:rPr>
          <w:rFonts w:ascii="宋体" w:hAnsi="宋体" w:eastAsia="宋体" w:cs="宋体"/>
          <w:spacing w:val="-4"/>
          <w:sz w:val="23"/>
          <w:szCs w:val="23"/>
        </w:rPr>
        <w:t>。</w:t>
      </w:r>
    </w:p>
    <w:p w14:paraId="39150253">
      <w:pPr>
        <w:sectPr>
          <w:headerReference r:id="rId74" w:type="default"/>
          <w:footerReference r:id="rId75" w:type="default"/>
          <w:pgSz w:w="11906" w:h="16839"/>
          <w:pgMar w:top="1132" w:right="1691" w:bottom="1156" w:left="1684" w:header="878" w:footer="996" w:gutter="0"/>
          <w:cols w:space="720" w:num="1"/>
        </w:sectPr>
      </w:pPr>
    </w:p>
    <w:p w14:paraId="4756B882">
      <w:pPr>
        <w:spacing w:line="402" w:lineRule="auto"/>
        <w:rPr>
          <w:rFonts w:ascii="Arial"/>
          <w:sz w:val="21"/>
        </w:rPr>
      </w:pPr>
      <w:r>
        <w:pict>
          <v:shape id="_x0000_s1101" o:spid="_x0000_s1101" style="position:absolute;left:0pt;margin-left:90pt;margin-top:57.35pt;height:0.75pt;width:415.3pt;mso-position-horizontal-relative:page;mso-position-vertical-relative:page;z-index:251737088;mso-width-relative:page;mso-height-relative:page;" fillcolor="#000000" filled="t" stroked="f" coordsize="8305,15" o:allowincell="f" path="m0,0l8305,0,8305,14,0,14,0,0xe">
            <v:path/>
            <v:fill on="t" focussize="0,0"/>
            <v:stroke on="f"/>
            <v:imagedata o:title=""/>
            <o:lock v:ext="edit"/>
          </v:shape>
        </w:pict>
      </w:r>
    </w:p>
    <w:p w14:paraId="6D7842DC">
      <w:pPr>
        <w:spacing w:before="74" w:line="227" w:lineRule="auto"/>
        <w:ind w:left="247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2-25</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建设项目环境风险潜势划分</w:t>
      </w:r>
    </w:p>
    <w:p w14:paraId="157D09EF">
      <w:pPr>
        <w:spacing w:line="15" w:lineRule="exact"/>
      </w:pPr>
    </w:p>
    <w:tbl>
      <w:tblPr>
        <w:tblStyle w:val="4"/>
        <w:tblW w:w="8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6"/>
        <w:gridCol w:w="1563"/>
        <w:gridCol w:w="1563"/>
        <w:gridCol w:w="1562"/>
        <w:gridCol w:w="1565"/>
      </w:tblGrid>
      <w:tr w14:paraId="09530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136" w:type="dxa"/>
            <w:vMerge w:val="restart"/>
            <w:tcBorders>
              <w:left w:val="nil"/>
              <w:bottom w:val="nil"/>
            </w:tcBorders>
            <w:vAlign w:val="top"/>
          </w:tcPr>
          <w:p w14:paraId="4F630965">
            <w:pPr>
              <w:spacing w:before="258" w:line="228" w:lineRule="auto"/>
              <w:ind w:left="230"/>
              <w:rPr>
                <w:rFonts w:ascii="宋体" w:hAnsi="宋体" w:eastAsia="宋体" w:cs="宋体"/>
                <w:sz w:val="20"/>
                <w:szCs w:val="20"/>
              </w:rPr>
            </w:pPr>
            <w:r>
              <w:rPr>
                <w:rFonts w:ascii="宋体" w:hAnsi="宋体" w:eastAsia="宋体" w:cs="宋体"/>
                <w:spacing w:val="-4"/>
                <w:sz w:val="20"/>
                <w:szCs w:val="20"/>
              </w:rPr>
              <w:t>环境敏</w:t>
            </w:r>
            <w:r>
              <w:rPr>
                <w:rFonts w:ascii="宋体" w:hAnsi="宋体" w:eastAsia="宋体" w:cs="宋体"/>
                <w:spacing w:val="-2"/>
                <w:sz w:val="20"/>
                <w:szCs w:val="20"/>
              </w:rPr>
              <w:t>感程度 (</w:t>
            </w:r>
            <w:r>
              <w:rPr>
                <w:rFonts w:ascii="Times New Roman" w:hAnsi="Times New Roman" w:eastAsia="Times New Roman" w:cs="Times New Roman"/>
                <w:spacing w:val="-2"/>
                <w:sz w:val="20"/>
                <w:szCs w:val="20"/>
              </w:rPr>
              <w:t>E</w:t>
            </w:r>
            <w:r>
              <w:rPr>
                <w:rFonts w:ascii="宋体" w:hAnsi="宋体" w:eastAsia="宋体" w:cs="宋体"/>
                <w:spacing w:val="-2"/>
                <w:sz w:val="20"/>
                <w:szCs w:val="20"/>
              </w:rPr>
              <w:t>)</w:t>
            </w:r>
          </w:p>
        </w:tc>
        <w:tc>
          <w:tcPr>
            <w:tcW w:w="6253" w:type="dxa"/>
            <w:gridSpan w:val="4"/>
            <w:tcBorders>
              <w:right w:val="nil"/>
            </w:tcBorders>
            <w:vAlign w:val="top"/>
          </w:tcPr>
          <w:p w14:paraId="7E6D3426">
            <w:pPr>
              <w:spacing w:before="86" w:line="228" w:lineRule="auto"/>
              <w:ind w:left="1708"/>
              <w:rPr>
                <w:rFonts w:ascii="宋体" w:hAnsi="宋体" w:eastAsia="宋体" w:cs="宋体"/>
                <w:sz w:val="20"/>
                <w:szCs w:val="20"/>
              </w:rPr>
            </w:pPr>
            <w:r>
              <w:rPr>
                <w:rFonts w:ascii="宋体" w:hAnsi="宋体" w:eastAsia="宋体" w:cs="宋体"/>
                <w:spacing w:val="-5"/>
                <w:sz w:val="20"/>
                <w:szCs w:val="20"/>
              </w:rPr>
              <w:t>危</w:t>
            </w:r>
            <w:r>
              <w:rPr>
                <w:rFonts w:ascii="宋体" w:hAnsi="宋体" w:eastAsia="宋体" w:cs="宋体"/>
                <w:spacing w:val="-3"/>
                <w:sz w:val="20"/>
                <w:szCs w:val="20"/>
              </w:rPr>
              <w:t>险物质及工艺系统危险性 (</w:t>
            </w:r>
            <w:r>
              <w:rPr>
                <w:rFonts w:ascii="Times New Roman" w:hAnsi="Times New Roman" w:eastAsia="Times New Roman" w:cs="Times New Roman"/>
                <w:spacing w:val="-3"/>
                <w:sz w:val="20"/>
                <w:szCs w:val="20"/>
              </w:rPr>
              <w:t>P</w:t>
            </w:r>
            <w:r>
              <w:rPr>
                <w:rFonts w:ascii="宋体" w:hAnsi="宋体" w:eastAsia="宋体" w:cs="宋体"/>
                <w:spacing w:val="-3"/>
                <w:sz w:val="20"/>
                <w:szCs w:val="20"/>
              </w:rPr>
              <w:t>)</w:t>
            </w:r>
          </w:p>
        </w:tc>
      </w:tr>
      <w:tr w14:paraId="6EFD8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36" w:type="dxa"/>
            <w:vMerge w:val="continue"/>
            <w:tcBorders>
              <w:top w:val="nil"/>
              <w:left w:val="nil"/>
            </w:tcBorders>
            <w:vAlign w:val="top"/>
          </w:tcPr>
          <w:p w14:paraId="4D8DD31D">
            <w:pPr>
              <w:rPr>
                <w:rFonts w:ascii="Arial"/>
                <w:sz w:val="21"/>
              </w:rPr>
            </w:pPr>
          </w:p>
        </w:tc>
        <w:tc>
          <w:tcPr>
            <w:tcW w:w="1563" w:type="dxa"/>
            <w:vAlign w:val="top"/>
          </w:tcPr>
          <w:p w14:paraId="00318051">
            <w:pPr>
              <w:spacing w:before="62" w:line="228" w:lineRule="auto"/>
              <w:ind w:left="117"/>
              <w:rPr>
                <w:rFonts w:ascii="宋体" w:hAnsi="宋体" w:eastAsia="宋体" w:cs="宋体"/>
                <w:sz w:val="20"/>
                <w:szCs w:val="20"/>
              </w:rPr>
            </w:pPr>
            <w:r>
              <w:rPr>
                <w:rFonts w:ascii="宋体" w:hAnsi="宋体" w:eastAsia="宋体" w:cs="宋体"/>
                <w:spacing w:val="-4"/>
                <w:sz w:val="20"/>
                <w:szCs w:val="20"/>
              </w:rPr>
              <w:t>极</w:t>
            </w:r>
            <w:r>
              <w:rPr>
                <w:rFonts w:ascii="宋体" w:hAnsi="宋体" w:eastAsia="宋体" w:cs="宋体"/>
                <w:spacing w:val="-3"/>
                <w:sz w:val="20"/>
                <w:szCs w:val="20"/>
              </w:rPr>
              <w:t>高</w:t>
            </w:r>
            <w:r>
              <w:rPr>
                <w:rFonts w:ascii="宋体" w:hAnsi="宋体" w:eastAsia="宋体" w:cs="宋体"/>
                <w:spacing w:val="-2"/>
                <w:sz w:val="20"/>
                <w:szCs w:val="20"/>
              </w:rPr>
              <w:t>危害 (</w:t>
            </w:r>
            <w:r>
              <w:rPr>
                <w:rFonts w:ascii="Times New Roman" w:hAnsi="Times New Roman" w:eastAsia="Times New Roman" w:cs="Times New Roman"/>
                <w:spacing w:val="-2"/>
                <w:sz w:val="20"/>
                <w:szCs w:val="20"/>
              </w:rPr>
              <w:t>P1</w:t>
            </w:r>
            <w:r>
              <w:rPr>
                <w:rFonts w:ascii="宋体" w:hAnsi="宋体" w:eastAsia="宋体" w:cs="宋体"/>
                <w:spacing w:val="-2"/>
                <w:sz w:val="20"/>
                <w:szCs w:val="20"/>
              </w:rPr>
              <w:t>)</w:t>
            </w:r>
          </w:p>
        </w:tc>
        <w:tc>
          <w:tcPr>
            <w:tcW w:w="1563" w:type="dxa"/>
            <w:vAlign w:val="top"/>
          </w:tcPr>
          <w:p w14:paraId="74700036">
            <w:pPr>
              <w:spacing w:before="62" w:line="228" w:lineRule="auto"/>
              <w:ind w:left="122"/>
              <w:rPr>
                <w:rFonts w:ascii="宋体" w:hAnsi="宋体" w:eastAsia="宋体" w:cs="宋体"/>
                <w:sz w:val="20"/>
                <w:szCs w:val="20"/>
              </w:rPr>
            </w:pPr>
            <w:r>
              <w:rPr>
                <w:rFonts w:ascii="宋体" w:hAnsi="宋体" w:eastAsia="宋体" w:cs="宋体"/>
                <w:spacing w:val="-3"/>
                <w:sz w:val="20"/>
                <w:szCs w:val="20"/>
              </w:rPr>
              <w:t>高度危害 (</w:t>
            </w:r>
            <w:r>
              <w:rPr>
                <w:rFonts w:ascii="Times New Roman" w:hAnsi="Times New Roman" w:eastAsia="Times New Roman" w:cs="Times New Roman"/>
                <w:spacing w:val="-3"/>
                <w:sz w:val="20"/>
                <w:szCs w:val="20"/>
              </w:rPr>
              <w:t>P2</w:t>
            </w:r>
            <w:r>
              <w:rPr>
                <w:rFonts w:ascii="宋体" w:hAnsi="宋体" w:eastAsia="宋体" w:cs="宋体"/>
                <w:spacing w:val="-3"/>
                <w:sz w:val="20"/>
                <w:szCs w:val="20"/>
              </w:rPr>
              <w:t>)</w:t>
            </w:r>
          </w:p>
        </w:tc>
        <w:tc>
          <w:tcPr>
            <w:tcW w:w="1562" w:type="dxa"/>
            <w:vAlign w:val="top"/>
          </w:tcPr>
          <w:p w14:paraId="6C1D6189">
            <w:pPr>
              <w:spacing w:before="63" w:line="228" w:lineRule="auto"/>
              <w:ind w:left="135"/>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5"/>
                <w:sz w:val="20"/>
                <w:szCs w:val="20"/>
              </w:rPr>
              <w:t>度</w:t>
            </w:r>
            <w:r>
              <w:rPr>
                <w:rFonts w:ascii="宋体" w:hAnsi="宋体" w:eastAsia="宋体" w:cs="宋体"/>
                <w:spacing w:val="-4"/>
                <w:sz w:val="20"/>
                <w:szCs w:val="20"/>
              </w:rPr>
              <w:t>危害 (</w:t>
            </w:r>
            <w:r>
              <w:rPr>
                <w:rFonts w:ascii="Times New Roman" w:hAnsi="Times New Roman" w:eastAsia="Times New Roman" w:cs="Times New Roman"/>
                <w:spacing w:val="-4"/>
                <w:sz w:val="20"/>
                <w:szCs w:val="20"/>
              </w:rPr>
              <w:t>P3</w:t>
            </w:r>
            <w:r>
              <w:rPr>
                <w:rFonts w:ascii="宋体" w:hAnsi="宋体" w:eastAsia="宋体" w:cs="宋体"/>
                <w:spacing w:val="-4"/>
                <w:sz w:val="20"/>
                <w:szCs w:val="20"/>
              </w:rPr>
              <w:t>)</w:t>
            </w:r>
          </w:p>
        </w:tc>
        <w:tc>
          <w:tcPr>
            <w:tcW w:w="1565" w:type="dxa"/>
            <w:tcBorders>
              <w:right w:val="nil"/>
            </w:tcBorders>
            <w:vAlign w:val="top"/>
          </w:tcPr>
          <w:p w14:paraId="03A21ABE">
            <w:pPr>
              <w:spacing w:before="62" w:line="228" w:lineRule="auto"/>
              <w:ind w:left="117"/>
              <w:rPr>
                <w:rFonts w:ascii="宋体" w:hAnsi="宋体" w:eastAsia="宋体" w:cs="宋体"/>
                <w:sz w:val="20"/>
                <w:szCs w:val="20"/>
              </w:rPr>
            </w:pPr>
            <w:r>
              <w:rPr>
                <w:rFonts w:ascii="宋体" w:hAnsi="宋体" w:eastAsia="宋体" w:cs="宋体"/>
                <w:spacing w:val="-3"/>
                <w:sz w:val="20"/>
                <w:szCs w:val="20"/>
              </w:rPr>
              <w:t>轻</w:t>
            </w:r>
            <w:r>
              <w:rPr>
                <w:rFonts w:ascii="宋体" w:hAnsi="宋体" w:eastAsia="宋体" w:cs="宋体"/>
                <w:spacing w:val="-2"/>
                <w:sz w:val="20"/>
                <w:szCs w:val="20"/>
              </w:rPr>
              <w:t>度危害 (</w:t>
            </w:r>
            <w:r>
              <w:rPr>
                <w:rFonts w:ascii="Times New Roman" w:hAnsi="Times New Roman" w:eastAsia="Times New Roman" w:cs="Times New Roman"/>
                <w:spacing w:val="-2"/>
                <w:sz w:val="20"/>
                <w:szCs w:val="20"/>
              </w:rPr>
              <w:t>P4</w:t>
            </w:r>
            <w:r>
              <w:rPr>
                <w:rFonts w:ascii="宋体" w:hAnsi="宋体" w:eastAsia="宋体" w:cs="宋体"/>
                <w:spacing w:val="-2"/>
                <w:sz w:val="20"/>
                <w:szCs w:val="20"/>
              </w:rPr>
              <w:t>)</w:t>
            </w:r>
          </w:p>
        </w:tc>
      </w:tr>
      <w:tr w14:paraId="7B2F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36" w:type="dxa"/>
            <w:tcBorders>
              <w:left w:val="nil"/>
            </w:tcBorders>
            <w:vAlign w:val="top"/>
          </w:tcPr>
          <w:p w14:paraId="3F1C17E7">
            <w:pPr>
              <w:spacing w:before="63" w:line="228" w:lineRule="auto"/>
              <w:ind w:left="119"/>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高度敏感区 (</w:t>
            </w:r>
            <w:r>
              <w:rPr>
                <w:rFonts w:ascii="Times New Roman" w:hAnsi="Times New Roman" w:eastAsia="Times New Roman" w:cs="Times New Roman"/>
                <w:spacing w:val="-2"/>
                <w:sz w:val="20"/>
                <w:szCs w:val="20"/>
              </w:rPr>
              <w:t>E1</w:t>
            </w:r>
            <w:r>
              <w:rPr>
                <w:rFonts w:ascii="宋体" w:hAnsi="宋体" w:eastAsia="宋体" w:cs="宋体"/>
                <w:spacing w:val="-2"/>
                <w:sz w:val="20"/>
                <w:szCs w:val="20"/>
              </w:rPr>
              <w:t>)</w:t>
            </w:r>
          </w:p>
        </w:tc>
        <w:tc>
          <w:tcPr>
            <w:tcW w:w="1563" w:type="dxa"/>
            <w:vAlign w:val="top"/>
          </w:tcPr>
          <w:p w14:paraId="01E76574">
            <w:pPr>
              <w:spacing w:before="31" w:line="255" w:lineRule="exact"/>
              <w:ind w:left="642"/>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Ⅳ</w:t>
            </w:r>
            <w:r>
              <w:rPr>
                <w:rFonts w:ascii="Times New Roman" w:hAnsi="Times New Roman" w:eastAsia="Times New Roman" w:cs="Times New Roman"/>
                <w:spacing w:val="2"/>
                <w:position w:val="7"/>
                <w:sz w:val="13"/>
                <w:szCs w:val="13"/>
              </w:rPr>
              <w:t>+</w:t>
            </w:r>
          </w:p>
        </w:tc>
        <w:tc>
          <w:tcPr>
            <w:tcW w:w="1563" w:type="dxa"/>
            <w:vAlign w:val="top"/>
          </w:tcPr>
          <w:p w14:paraId="509311DC">
            <w:pPr>
              <w:spacing w:before="102" w:line="192"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62" w:type="dxa"/>
            <w:vAlign w:val="top"/>
          </w:tcPr>
          <w:p w14:paraId="472DB86C">
            <w:pPr>
              <w:spacing w:before="102" w:line="192"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5" w:type="dxa"/>
            <w:tcBorders>
              <w:right w:val="nil"/>
            </w:tcBorders>
            <w:vAlign w:val="top"/>
          </w:tcPr>
          <w:p w14:paraId="1451CB26">
            <w:pPr>
              <w:spacing w:before="102" w:line="192"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14:paraId="0ECF8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36" w:type="dxa"/>
            <w:tcBorders>
              <w:left w:val="nil"/>
            </w:tcBorders>
            <w:vAlign w:val="top"/>
          </w:tcPr>
          <w:p w14:paraId="49033ADE">
            <w:pPr>
              <w:spacing w:before="64" w:line="228" w:lineRule="auto"/>
              <w:ind w:left="119"/>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中度敏感区 (</w:t>
            </w:r>
            <w:r>
              <w:rPr>
                <w:rFonts w:ascii="Times New Roman" w:hAnsi="Times New Roman" w:eastAsia="Times New Roman" w:cs="Times New Roman"/>
                <w:spacing w:val="-2"/>
                <w:sz w:val="20"/>
                <w:szCs w:val="20"/>
              </w:rPr>
              <w:t>E2</w:t>
            </w:r>
            <w:r>
              <w:rPr>
                <w:rFonts w:ascii="宋体" w:hAnsi="宋体" w:eastAsia="宋体" w:cs="宋体"/>
                <w:spacing w:val="-2"/>
                <w:sz w:val="20"/>
                <w:szCs w:val="20"/>
              </w:rPr>
              <w:t>)</w:t>
            </w:r>
          </w:p>
        </w:tc>
        <w:tc>
          <w:tcPr>
            <w:tcW w:w="1563" w:type="dxa"/>
            <w:vAlign w:val="top"/>
          </w:tcPr>
          <w:p w14:paraId="37D251A4">
            <w:pPr>
              <w:spacing w:before="103" w:line="192"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63" w:type="dxa"/>
            <w:vAlign w:val="top"/>
          </w:tcPr>
          <w:p w14:paraId="0331700E">
            <w:pPr>
              <w:spacing w:before="104" w:line="192"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2" w:type="dxa"/>
            <w:vAlign w:val="top"/>
          </w:tcPr>
          <w:p w14:paraId="0210A989">
            <w:pPr>
              <w:spacing w:before="104" w:line="192"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5" w:type="dxa"/>
            <w:tcBorders>
              <w:right w:val="nil"/>
            </w:tcBorders>
            <w:vAlign w:val="top"/>
          </w:tcPr>
          <w:p w14:paraId="757ABEE0">
            <w:pPr>
              <w:spacing w:before="104" w:line="192"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r>
      <w:tr w14:paraId="76481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136" w:type="dxa"/>
            <w:tcBorders>
              <w:left w:val="nil"/>
            </w:tcBorders>
            <w:vAlign w:val="top"/>
          </w:tcPr>
          <w:p w14:paraId="1E3A8B0C">
            <w:pPr>
              <w:spacing w:before="66" w:line="228" w:lineRule="auto"/>
              <w:ind w:left="119"/>
              <w:rPr>
                <w:rFonts w:ascii="宋体" w:hAnsi="宋体" w:eastAsia="宋体" w:cs="宋体"/>
                <w:sz w:val="20"/>
                <w:szCs w:val="20"/>
              </w:rPr>
            </w:pPr>
            <w:r>
              <w:rPr>
                <w:rFonts w:ascii="宋体" w:hAnsi="宋体" w:eastAsia="宋体" w:cs="宋体"/>
                <w:spacing w:val="-4"/>
                <w:sz w:val="20"/>
                <w:szCs w:val="20"/>
              </w:rPr>
              <w:t>环</w:t>
            </w:r>
            <w:r>
              <w:rPr>
                <w:rFonts w:ascii="宋体" w:hAnsi="宋体" w:eastAsia="宋体" w:cs="宋体"/>
                <w:spacing w:val="-3"/>
                <w:sz w:val="20"/>
                <w:szCs w:val="20"/>
              </w:rPr>
              <w:t>境</w:t>
            </w:r>
            <w:r>
              <w:rPr>
                <w:rFonts w:ascii="宋体" w:hAnsi="宋体" w:eastAsia="宋体" w:cs="宋体"/>
                <w:spacing w:val="-2"/>
                <w:sz w:val="20"/>
                <w:szCs w:val="20"/>
              </w:rPr>
              <w:t>低度敏感区 (</w:t>
            </w:r>
            <w:r>
              <w:rPr>
                <w:rFonts w:ascii="Times New Roman" w:hAnsi="Times New Roman" w:eastAsia="Times New Roman" w:cs="Times New Roman"/>
                <w:spacing w:val="-2"/>
                <w:sz w:val="20"/>
                <w:szCs w:val="20"/>
              </w:rPr>
              <w:t>E3</w:t>
            </w:r>
            <w:r>
              <w:rPr>
                <w:rFonts w:ascii="宋体" w:hAnsi="宋体" w:eastAsia="宋体" w:cs="宋体"/>
                <w:spacing w:val="-2"/>
                <w:sz w:val="20"/>
                <w:szCs w:val="20"/>
              </w:rPr>
              <w:t>)</w:t>
            </w:r>
          </w:p>
        </w:tc>
        <w:tc>
          <w:tcPr>
            <w:tcW w:w="1563" w:type="dxa"/>
            <w:vAlign w:val="top"/>
          </w:tcPr>
          <w:p w14:paraId="221BA6F8">
            <w:pPr>
              <w:spacing w:before="105" w:line="192"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3" w:type="dxa"/>
            <w:vAlign w:val="top"/>
          </w:tcPr>
          <w:p w14:paraId="4A509B76">
            <w:pPr>
              <w:spacing w:before="105" w:line="192"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2" w:type="dxa"/>
            <w:vAlign w:val="top"/>
          </w:tcPr>
          <w:p w14:paraId="27B60B56">
            <w:pPr>
              <w:spacing w:before="105" w:line="192"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565" w:type="dxa"/>
            <w:tcBorders>
              <w:right w:val="nil"/>
            </w:tcBorders>
            <w:vAlign w:val="top"/>
          </w:tcPr>
          <w:p w14:paraId="742549BB">
            <w:pPr>
              <w:spacing w:before="105" w:line="192"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bl>
    <w:p w14:paraId="0E54BF90">
      <w:pPr>
        <w:spacing w:before="29" w:line="279" w:lineRule="exact"/>
        <w:ind w:left="114"/>
        <w:rPr>
          <w:rFonts w:ascii="宋体" w:hAnsi="宋体" w:eastAsia="宋体" w:cs="宋体"/>
          <w:sz w:val="20"/>
          <w:szCs w:val="20"/>
        </w:rPr>
      </w:pPr>
      <w:r>
        <w:rPr>
          <w:rFonts w:ascii="宋体" w:hAnsi="宋体" w:eastAsia="宋体" w:cs="宋体"/>
          <w:spacing w:val="-2"/>
          <w:position w:val="1"/>
          <w:sz w:val="20"/>
          <w:szCs w:val="20"/>
        </w:rPr>
        <w:t>注：</w:t>
      </w:r>
      <w:r>
        <w:rPr>
          <w:rFonts w:ascii="Times New Roman" w:hAnsi="Times New Roman" w:eastAsia="Times New Roman" w:cs="Times New Roman"/>
          <w:spacing w:val="-2"/>
          <w:position w:val="1"/>
          <w:sz w:val="20"/>
          <w:szCs w:val="20"/>
        </w:rPr>
        <w:t>Ⅳ</w:t>
      </w:r>
      <w:r>
        <w:rPr>
          <w:rFonts w:ascii="Times New Roman" w:hAnsi="Times New Roman" w:eastAsia="Times New Roman" w:cs="Times New Roman"/>
          <w:spacing w:val="-2"/>
          <w:position w:val="7"/>
          <w:sz w:val="13"/>
          <w:szCs w:val="13"/>
        </w:rPr>
        <w:t>+</w:t>
      </w:r>
      <w:r>
        <w:rPr>
          <w:rFonts w:ascii="宋体" w:hAnsi="宋体" w:eastAsia="宋体" w:cs="宋体"/>
          <w:spacing w:val="-2"/>
          <w:position w:val="1"/>
          <w:sz w:val="20"/>
          <w:szCs w:val="20"/>
        </w:rPr>
        <w:t>为极高环境风险</w:t>
      </w:r>
      <w:r>
        <w:rPr>
          <w:rFonts w:ascii="宋体" w:hAnsi="宋体" w:eastAsia="宋体" w:cs="宋体"/>
          <w:spacing w:val="-1"/>
          <w:position w:val="1"/>
          <w:sz w:val="20"/>
          <w:szCs w:val="20"/>
        </w:rPr>
        <w:t>。</w:t>
      </w:r>
    </w:p>
    <w:p w14:paraId="4B15D351">
      <w:pPr>
        <w:spacing w:before="24" w:line="29" w:lineRule="exact"/>
        <w:textAlignment w:val="center"/>
      </w:pPr>
      <w:r>
        <w:pict>
          <v:shape id="_x0000_s1102" o:spid="_x0000_s1102" style="height:1.45pt;width:419.5pt;" filled="f" stroked="t" coordsize="8390,29" path="m0,14l8390,14e">
            <v:fill on="f" focussize="0,0"/>
            <v:stroke weight="1.44pt" color="#000000" miterlimit="2" joinstyle="bevel"/>
            <v:imagedata o:title=""/>
            <o:lock v:ext="edit"/>
            <w10:wrap type="none"/>
            <w10:anchorlock/>
          </v:shape>
        </w:pict>
      </w:r>
    </w:p>
    <w:p w14:paraId="51EA8AE2">
      <w:pPr>
        <w:spacing w:line="269" w:lineRule="auto"/>
        <w:rPr>
          <w:rFonts w:ascii="Arial"/>
          <w:sz w:val="21"/>
        </w:rPr>
      </w:pPr>
    </w:p>
    <w:p w14:paraId="2F2760B6">
      <w:pPr>
        <w:spacing w:before="75" w:line="388" w:lineRule="auto"/>
        <w:ind w:left="50" w:right="4" w:firstLine="475"/>
        <w:rPr>
          <w:rFonts w:ascii="宋体" w:hAnsi="宋体" w:eastAsia="宋体" w:cs="宋体"/>
          <w:sz w:val="23"/>
          <w:szCs w:val="23"/>
        </w:rPr>
      </w:pPr>
      <w:r>
        <w:rPr>
          <w:rFonts w:ascii="宋体" w:hAnsi="宋体" w:eastAsia="宋体" w:cs="宋体"/>
          <w:spacing w:val="-14"/>
          <w:sz w:val="23"/>
          <w:szCs w:val="23"/>
        </w:rPr>
        <w:t>同</w:t>
      </w:r>
      <w:r>
        <w:rPr>
          <w:rFonts w:ascii="宋体" w:hAnsi="宋体" w:eastAsia="宋体" w:cs="宋体"/>
          <w:spacing w:val="-8"/>
          <w:sz w:val="23"/>
          <w:szCs w:val="23"/>
        </w:rPr>
        <w:t>时</w:t>
      </w:r>
      <w:r>
        <w:rPr>
          <w:rFonts w:ascii="宋体" w:hAnsi="宋体" w:eastAsia="宋体" w:cs="宋体"/>
          <w:spacing w:val="-7"/>
          <w:sz w:val="23"/>
          <w:szCs w:val="23"/>
        </w:rPr>
        <w:t>，根据《建设项目环境风险评价技术导则》  (</w:t>
      </w:r>
      <w:r>
        <w:rPr>
          <w:rFonts w:ascii="Times New Roman" w:hAnsi="Times New Roman" w:eastAsia="Times New Roman" w:cs="Times New Roman"/>
          <w:spacing w:val="-7"/>
          <w:sz w:val="23"/>
          <w:szCs w:val="23"/>
        </w:rPr>
        <w:t>HJ169-2018</w:t>
      </w:r>
      <w:r>
        <w:rPr>
          <w:rFonts w:ascii="宋体" w:hAnsi="宋体" w:eastAsia="宋体" w:cs="宋体"/>
          <w:spacing w:val="-7"/>
          <w:sz w:val="23"/>
          <w:szCs w:val="23"/>
        </w:rPr>
        <w:t xml:space="preserve">) 附录 </w:t>
      </w:r>
      <w:r>
        <w:rPr>
          <w:rFonts w:ascii="Times New Roman" w:hAnsi="Times New Roman" w:eastAsia="Times New Roman" w:cs="Times New Roman"/>
          <w:spacing w:val="-7"/>
          <w:sz w:val="23"/>
          <w:szCs w:val="23"/>
        </w:rPr>
        <w:t>C. 1</w:t>
      </w:r>
      <w:r>
        <w:rPr>
          <w:rFonts w:ascii="宋体" w:hAnsi="宋体" w:eastAsia="宋体" w:cs="宋体"/>
          <w:spacing w:val="-7"/>
          <w:sz w:val="23"/>
          <w:szCs w:val="23"/>
        </w:rPr>
        <w:t>，计算</w:t>
      </w:r>
      <w:r>
        <w:rPr>
          <w:rFonts w:ascii="宋体" w:hAnsi="宋体" w:eastAsia="宋体" w:cs="宋体"/>
          <w:sz w:val="23"/>
          <w:szCs w:val="23"/>
        </w:rPr>
        <w:t xml:space="preserve"> </w:t>
      </w:r>
      <w:r>
        <w:rPr>
          <w:rFonts w:ascii="宋体" w:hAnsi="宋体" w:eastAsia="宋体" w:cs="宋体"/>
          <w:spacing w:val="-2"/>
          <w:sz w:val="23"/>
          <w:szCs w:val="23"/>
        </w:rPr>
        <w:t>所涉</w:t>
      </w:r>
      <w:r>
        <w:rPr>
          <w:rFonts w:ascii="宋体" w:hAnsi="宋体" w:eastAsia="宋体" w:cs="宋体"/>
          <w:spacing w:val="-1"/>
          <w:sz w:val="23"/>
          <w:szCs w:val="23"/>
        </w:rPr>
        <w:t xml:space="preserve">及的每种危险物质在厂界内的最大存在总量与其在附录 </w:t>
      </w:r>
      <w:r>
        <w:rPr>
          <w:rFonts w:ascii="Times New Roman" w:hAnsi="Times New Roman" w:eastAsia="Times New Roman" w:cs="Times New Roman"/>
          <w:spacing w:val="-1"/>
          <w:sz w:val="23"/>
          <w:szCs w:val="23"/>
        </w:rPr>
        <w:t xml:space="preserve">B </w:t>
      </w:r>
      <w:r>
        <w:rPr>
          <w:rFonts w:ascii="宋体" w:hAnsi="宋体" w:eastAsia="宋体" w:cs="宋体"/>
          <w:spacing w:val="-1"/>
          <w:sz w:val="23"/>
          <w:szCs w:val="23"/>
        </w:rPr>
        <w:t>中对应临界量的比值</w:t>
      </w:r>
      <w:r>
        <w:rPr>
          <w:rFonts w:ascii="宋体" w:hAnsi="宋体" w:eastAsia="宋体" w:cs="宋体"/>
          <w:sz w:val="23"/>
          <w:szCs w:val="23"/>
        </w:rPr>
        <w:t xml:space="preserve"> </w:t>
      </w:r>
      <w:r>
        <w:rPr>
          <w:rFonts w:ascii="Times New Roman" w:hAnsi="Times New Roman" w:eastAsia="Times New Roman" w:cs="Times New Roman"/>
          <w:spacing w:val="-4"/>
          <w:sz w:val="23"/>
          <w:szCs w:val="23"/>
        </w:rPr>
        <w:t>Q</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。在不同</w:t>
      </w:r>
      <w:r>
        <w:rPr>
          <w:rFonts w:ascii="宋体" w:hAnsi="宋体" w:eastAsia="宋体" w:cs="宋体"/>
          <w:spacing w:val="-5"/>
          <w:sz w:val="23"/>
          <w:szCs w:val="23"/>
        </w:rPr>
        <w:t>厂</w:t>
      </w:r>
      <w:r>
        <w:rPr>
          <w:rFonts w:ascii="宋体" w:hAnsi="宋体" w:eastAsia="宋体" w:cs="宋体"/>
          <w:spacing w:val="-4"/>
          <w:sz w:val="23"/>
          <w:szCs w:val="23"/>
        </w:rPr>
        <w:t>区的同一种物质，按其在厂界内的最大存在总量计算。</w:t>
      </w:r>
    </w:p>
    <w:p w14:paraId="7C5E4D52">
      <w:pPr>
        <w:spacing w:before="156" w:line="221" w:lineRule="auto"/>
        <w:ind w:left="517"/>
        <w:rPr>
          <w:rFonts w:ascii="宋体" w:hAnsi="宋体" w:eastAsia="宋体" w:cs="宋体"/>
          <w:sz w:val="23"/>
          <w:szCs w:val="23"/>
        </w:rPr>
      </w:pPr>
      <w:r>
        <w:rPr>
          <w:rFonts w:ascii="宋体" w:hAnsi="宋体" w:eastAsia="宋体" w:cs="宋体"/>
          <w:spacing w:val="-10"/>
          <w:sz w:val="23"/>
          <w:szCs w:val="23"/>
        </w:rPr>
        <w:t>当</w:t>
      </w:r>
      <w:r>
        <w:rPr>
          <w:rFonts w:ascii="宋体" w:hAnsi="宋体" w:eastAsia="宋体" w:cs="宋体"/>
          <w:spacing w:val="-8"/>
          <w:sz w:val="23"/>
          <w:szCs w:val="23"/>
        </w:rPr>
        <w:t>只</w:t>
      </w:r>
      <w:r>
        <w:rPr>
          <w:rFonts w:ascii="宋体" w:hAnsi="宋体" w:eastAsia="宋体" w:cs="宋体"/>
          <w:spacing w:val="-5"/>
          <w:sz w:val="23"/>
          <w:szCs w:val="23"/>
        </w:rPr>
        <w:t xml:space="preserve">涉及一种危险物质时，计算该物质的总量与其临界量的比值，即为 </w:t>
      </w:r>
      <w:r>
        <w:rPr>
          <w:rFonts w:ascii="Times New Roman" w:hAnsi="Times New Roman" w:eastAsia="Times New Roman" w:cs="Times New Roman"/>
          <w:spacing w:val="-5"/>
          <w:sz w:val="23"/>
          <w:szCs w:val="23"/>
        </w:rPr>
        <w:t>Q</w:t>
      </w:r>
      <w:r>
        <w:rPr>
          <w:rFonts w:ascii="宋体" w:hAnsi="宋体" w:eastAsia="宋体" w:cs="宋体"/>
          <w:spacing w:val="-5"/>
          <w:sz w:val="23"/>
          <w:szCs w:val="23"/>
        </w:rPr>
        <w:t>；</w:t>
      </w:r>
    </w:p>
    <w:p w14:paraId="3C0EA27B">
      <w:pPr>
        <w:spacing w:line="296" w:lineRule="auto"/>
        <w:rPr>
          <w:rFonts w:ascii="Arial"/>
          <w:sz w:val="21"/>
        </w:rPr>
      </w:pPr>
    </w:p>
    <w:p w14:paraId="674A6903">
      <w:pPr>
        <w:spacing w:before="75" w:line="219" w:lineRule="auto"/>
        <w:ind w:left="517"/>
        <w:rPr>
          <w:rFonts w:ascii="宋体" w:hAnsi="宋体" w:eastAsia="宋体" w:cs="宋体"/>
          <w:sz w:val="23"/>
          <w:szCs w:val="23"/>
        </w:rPr>
      </w:pPr>
      <w:r>
        <w:rPr>
          <w:rFonts w:ascii="宋体" w:hAnsi="宋体" w:eastAsia="宋体" w:cs="宋体"/>
          <w:spacing w:val="-8"/>
          <w:sz w:val="23"/>
          <w:szCs w:val="23"/>
        </w:rPr>
        <w:t>当存在多种危</w:t>
      </w:r>
      <w:r>
        <w:rPr>
          <w:rFonts w:ascii="宋体" w:hAnsi="宋体" w:eastAsia="宋体" w:cs="宋体"/>
          <w:spacing w:val="-5"/>
          <w:sz w:val="23"/>
          <w:szCs w:val="23"/>
        </w:rPr>
        <w:t>险</w:t>
      </w:r>
      <w:r>
        <w:rPr>
          <w:rFonts w:ascii="宋体" w:hAnsi="宋体" w:eastAsia="宋体" w:cs="宋体"/>
          <w:spacing w:val="-4"/>
          <w:sz w:val="23"/>
          <w:szCs w:val="23"/>
        </w:rPr>
        <w:t>物质时，则按式 (</w:t>
      </w:r>
      <w:r>
        <w:rPr>
          <w:rFonts w:ascii="Times New Roman" w:hAnsi="Times New Roman" w:eastAsia="Times New Roman" w:cs="Times New Roman"/>
          <w:spacing w:val="-4"/>
          <w:sz w:val="23"/>
          <w:szCs w:val="23"/>
        </w:rPr>
        <w:t>C. 1</w:t>
      </w:r>
      <w:r>
        <w:rPr>
          <w:rFonts w:ascii="宋体" w:hAnsi="宋体" w:eastAsia="宋体" w:cs="宋体"/>
          <w:spacing w:val="-4"/>
          <w:sz w:val="23"/>
          <w:szCs w:val="23"/>
        </w:rPr>
        <w:t>) 计算物质总量与其临界量比值 (</w:t>
      </w:r>
      <w:r>
        <w:rPr>
          <w:rFonts w:ascii="Times New Roman" w:hAnsi="Times New Roman" w:eastAsia="Times New Roman" w:cs="Times New Roman"/>
          <w:spacing w:val="-4"/>
          <w:sz w:val="23"/>
          <w:szCs w:val="23"/>
        </w:rPr>
        <w:t>Q</w:t>
      </w:r>
      <w:r>
        <w:rPr>
          <w:rFonts w:ascii="宋体" w:hAnsi="宋体" w:eastAsia="宋体" w:cs="宋体"/>
          <w:spacing w:val="-4"/>
          <w:sz w:val="23"/>
          <w:szCs w:val="23"/>
        </w:rPr>
        <w:t>) ；</w:t>
      </w:r>
    </w:p>
    <w:p w14:paraId="50E6842F">
      <w:pPr>
        <w:spacing w:line="246" w:lineRule="auto"/>
        <w:rPr>
          <w:rFonts w:ascii="Arial"/>
          <w:sz w:val="21"/>
        </w:rPr>
      </w:pPr>
    </w:p>
    <w:p w14:paraId="6761706D">
      <w:pPr>
        <w:spacing w:before="71"/>
        <w:ind w:left="3134"/>
        <w:rPr>
          <w:sz w:val="23"/>
          <w:szCs w:val="23"/>
        </w:rPr>
      </w:pPr>
      <w:r>
        <w:rPr>
          <w:rFonts w:ascii="Times New Roman" w:hAnsi="Times New Roman" w:eastAsia="Times New Roman" w:cs="Times New Roman"/>
          <w:i/>
          <w:iCs/>
          <w:spacing w:val="-8"/>
          <w:position w:val="3"/>
          <w:sz w:val="23"/>
          <w:szCs w:val="23"/>
        </w:rPr>
        <w:t>Q</w:t>
      </w:r>
      <w:r>
        <w:rPr>
          <w:rFonts w:ascii="Times New Roman" w:hAnsi="Times New Roman" w:eastAsia="Times New Roman" w:cs="Times New Roman"/>
          <w:spacing w:val="-9"/>
          <w:position w:val="3"/>
          <w:sz w:val="23"/>
          <w:szCs w:val="23"/>
        </w:rPr>
        <w:t xml:space="preserve"> </w:t>
      </w:r>
      <w:r>
        <w:rPr>
          <w:rFonts w:ascii="Symbol" w:hAnsi="Symbol" w:eastAsia="Symbol" w:cs="Symbol"/>
          <w:spacing w:val="-9"/>
          <w:position w:val="3"/>
          <w:sz w:val="23"/>
          <w:szCs w:val="23"/>
        </w:rPr>
        <w:t xml:space="preserve">= </w:t>
      </w:r>
      <w:r>
        <w:rPr>
          <w:position w:val="-21"/>
          <w:sz w:val="23"/>
          <w:szCs w:val="23"/>
        </w:rPr>
        <w:drawing>
          <wp:inline distT="0" distB="0" distL="0" distR="0">
            <wp:extent cx="169545" cy="32004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404"/>
                    <a:stretch>
                      <a:fillRect/>
                    </a:stretch>
                  </pic:blipFill>
                  <pic:spPr>
                    <a:xfrm>
                      <a:off x="0" y="0"/>
                      <a:ext cx="169545" cy="320560"/>
                    </a:xfrm>
                    <a:prstGeom prst="rect">
                      <a:avLst/>
                    </a:prstGeom>
                  </pic:spPr>
                </pic:pic>
              </a:graphicData>
            </a:graphic>
          </wp:inline>
        </w:drawing>
      </w:r>
      <w:r>
        <w:rPr>
          <w:rFonts w:ascii="Symbol" w:hAnsi="Symbol" w:eastAsia="Symbol" w:cs="Symbol"/>
          <w:spacing w:val="-9"/>
          <w:position w:val="3"/>
          <w:sz w:val="23"/>
          <w:szCs w:val="23"/>
        </w:rPr>
        <w:t xml:space="preserve"> + </w:t>
      </w:r>
      <w:r>
        <w:rPr>
          <w:position w:val="-21"/>
          <w:sz w:val="23"/>
          <w:szCs w:val="23"/>
        </w:rPr>
        <w:drawing>
          <wp:inline distT="0" distB="0" distL="0" distR="0">
            <wp:extent cx="186055" cy="3200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05"/>
                    <a:stretch>
                      <a:fillRect/>
                    </a:stretch>
                  </pic:blipFill>
                  <pic:spPr>
                    <a:xfrm>
                      <a:off x="0" y="0"/>
                      <a:ext cx="186207" cy="320560"/>
                    </a:xfrm>
                    <a:prstGeom prst="rect">
                      <a:avLst/>
                    </a:prstGeom>
                  </pic:spPr>
                </pic:pic>
              </a:graphicData>
            </a:graphic>
          </wp:inline>
        </w:drawing>
      </w:r>
      <w:r>
        <w:rPr>
          <w:rFonts w:ascii="Symbol" w:hAnsi="Symbol" w:eastAsia="Symbol" w:cs="Symbol"/>
          <w:spacing w:val="-9"/>
          <w:position w:val="3"/>
          <w:sz w:val="23"/>
          <w:szCs w:val="23"/>
        </w:rPr>
        <w:t xml:space="preserve"> + . . . + </w:t>
      </w:r>
      <w:r>
        <w:rPr>
          <w:position w:val="-21"/>
          <w:sz w:val="23"/>
          <w:szCs w:val="23"/>
        </w:rPr>
        <w:drawing>
          <wp:inline distT="0" distB="0" distL="0" distR="0">
            <wp:extent cx="187325" cy="32131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406"/>
                    <a:stretch>
                      <a:fillRect/>
                    </a:stretch>
                  </pic:blipFill>
                  <pic:spPr>
                    <a:xfrm>
                      <a:off x="0" y="0"/>
                      <a:ext cx="187807" cy="321924"/>
                    </a:xfrm>
                    <a:prstGeom prst="rect">
                      <a:avLst/>
                    </a:prstGeom>
                  </pic:spPr>
                </pic:pic>
              </a:graphicData>
            </a:graphic>
          </wp:inline>
        </w:drawing>
      </w:r>
    </w:p>
    <w:p w14:paraId="6D802350">
      <w:pPr>
        <w:spacing w:line="275" w:lineRule="auto"/>
        <w:rPr>
          <w:rFonts w:ascii="Arial"/>
          <w:sz w:val="21"/>
        </w:rPr>
      </w:pPr>
    </w:p>
    <w:p w14:paraId="6A719FFC">
      <w:pPr>
        <w:spacing w:before="75" w:line="323" w:lineRule="exact"/>
        <w:ind w:left="507"/>
        <w:rPr>
          <w:rFonts w:ascii="宋体" w:hAnsi="宋体" w:eastAsia="宋体" w:cs="宋体"/>
          <w:sz w:val="23"/>
          <w:szCs w:val="23"/>
        </w:rPr>
      </w:pPr>
      <w:r>
        <w:rPr>
          <w:rFonts w:ascii="宋体" w:hAnsi="宋体" w:eastAsia="宋体" w:cs="宋体"/>
          <w:spacing w:val="-10"/>
          <w:position w:val="3"/>
          <w:sz w:val="23"/>
          <w:szCs w:val="23"/>
        </w:rPr>
        <w:t>式</w:t>
      </w:r>
      <w:r>
        <w:rPr>
          <w:rFonts w:ascii="宋体" w:hAnsi="宋体" w:eastAsia="宋体" w:cs="宋体"/>
          <w:spacing w:val="-7"/>
          <w:position w:val="3"/>
          <w:sz w:val="23"/>
          <w:szCs w:val="23"/>
        </w:rPr>
        <w:t>中</w:t>
      </w:r>
      <w:r>
        <w:rPr>
          <w:rFonts w:ascii="宋体" w:hAnsi="宋体" w:eastAsia="宋体" w:cs="宋体"/>
          <w:spacing w:val="-5"/>
          <w:position w:val="3"/>
          <w:sz w:val="23"/>
          <w:szCs w:val="23"/>
        </w:rPr>
        <w:t>：</w:t>
      </w:r>
      <w:r>
        <w:rPr>
          <w:rFonts w:ascii="Times New Roman" w:hAnsi="Times New Roman" w:eastAsia="Times New Roman" w:cs="Times New Roman"/>
          <w:spacing w:val="-5"/>
          <w:position w:val="3"/>
          <w:sz w:val="23"/>
          <w:szCs w:val="23"/>
        </w:rPr>
        <w:t>q</w:t>
      </w:r>
      <w:r>
        <w:rPr>
          <w:rFonts w:ascii="Times New Roman" w:hAnsi="Times New Roman" w:eastAsia="Times New Roman" w:cs="Times New Roman"/>
          <w:spacing w:val="-5"/>
          <w:position w:val="2"/>
          <w:sz w:val="15"/>
          <w:szCs w:val="15"/>
        </w:rPr>
        <w:t xml:space="preserve">1 </w:t>
      </w:r>
      <w:r>
        <w:rPr>
          <w:rFonts w:ascii="宋体" w:hAnsi="宋体" w:eastAsia="宋体" w:cs="宋体"/>
          <w:spacing w:val="-5"/>
          <w:position w:val="3"/>
          <w:sz w:val="23"/>
          <w:szCs w:val="23"/>
        </w:rPr>
        <w:t>、</w:t>
      </w:r>
      <w:r>
        <w:rPr>
          <w:rFonts w:ascii="Times New Roman" w:hAnsi="Times New Roman" w:eastAsia="Times New Roman" w:cs="Times New Roman"/>
          <w:spacing w:val="-5"/>
          <w:position w:val="3"/>
          <w:sz w:val="23"/>
          <w:szCs w:val="23"/>
        </w:rPr>
        <w:t>q</w:t>
      </w:r>
      <w:r>
        <w:rPr>
          <w:rFonts w:ascii="Times New Roman" w:hAnsi="Times New Roman" w:eastAsia="Times New Roman" w:cs="Times New Roman"/>
          <w:spacing w:val="-5"/>
          <w:position w:val="2"/>
          <w:sz w:val="15"/>
          <w:szCs w:val="15"/>
        </w:rPr>
        <w:t xml:space="preserve">2 </w:t>
      </w:r>
      <w:r>
        <w:rPr>
          <w:rFonts w:ascii="Times New Roman" w:hAnsi="Times New Roman" w:eastAsia="Times New Roman" w:cs="Times New Roman"/>
          <w:spacing w:val="-5"/>
          <w:position w:val="3"/>
          <w:sz w:val="23"/>
          <w:szCs w:val="23"/>
        </w:rPr>
        <w:t>…q</w:t>
      </w:r>
      <w:r>
        <w:rPr>
          <w:rFonts w:ascii="Times New Roman" w:hAnsi="Times New Roman" w:eastAsia="Times New Roman" w:cs="Times New Roman"/>
          <w:spacing w:val="-5"/>
          <w:position w:val="2"/>
          <w:sz w:val="15"/>
          <w:szCs w:val="15"/>
        </w:rPr>
        <w:t>n</w:t>
      </w:r>
      <w:r>
        <w:rPr>
          <w:rFonts w:ascii="Times New Roman" w:hAnsi="Times New Roman" w:eastAsia="Times New Roman" w:cs="Times New Roman"/>
          <w:spacing w:val="-5"/>
          <w:position w:val="3"/>
          <w:sz w:val="23"/>
          <w:szCs w:val="23"/>
        </w:rPr>
        <w:t>—</w:t>
      </w:r>
      <w:r>
        <w:rPr>
          <w:rFonts w:ascii="宋体" w:hAnsi="宋体" w:eastAsia="宋体" w:cs="宋体"/>
          <w:spacing w:val="-5"/>
          <w:position w:val="3"/>
          <w:sz w:val="23"/>
          <w:szCs w:val="23"/>
        </w:rPr>
        <w:t>每种危险物质的最大存在总量，</w:t>
      </w:r>
      <w:r>
        <w:rPr>
          <w:rFonts w:ascii="Times New Roman" w:hAnsi="Times New Roman" w:eastAsia="Times New Roman" w:cs="Times New Roman"/>
          <w:spacing w:val="-5"/>
          <w:position w:val="3"/>
          <w:sz w:val="23"/>
          <w:szCs w:val="23"/>
        </w:rPr>
        <w:t>t</w:t>
      </w:r>
      <w:r>
        <w:rPr>
          <w:rFonts w:ascii="宋体" w:hAnsi="宋体" w:eastAsia="宋体" w:cs="宋体"/>
          <w:spacing w:val="-5"/>
          <w:position w:val="3"/>
          <w:sz w:val="23"/>
          <w:szCs w:val="23"/>
        </w:rPr>
        <w:t>；</w:t>
      </w:r>
    </w:p>
    <w:p w14:paraId="6C9D7ABC">
      <w:pPr>
        <w:spacing w:before="157" w:line="524" w:lineRule="exact"/>
        <w:ind w:left="1180"/>
        <w:rPr>
          <w:rFonts w:ascii="宋体" w:hAnsi="宋体" w:eastAsia="宋体" w:cs="宋体"/>
          <w:sz w:val="23"/>
          <w:szCs w:val="23"/>
        </w:rPr>
      </w:pPr>
      <w:r>
        <w:rPr>
          <w:rFonts w:ascii="Times New Roman" w:hAnsi="Times New Roman" w:eastAsia="Times New Roman" w:cs="Times New Roman"/>
          <w:spacing w:val="-5"/>
          <w:position w:val="18"/>
          <w:sz w:val="23"/>
          <w:szCs w:val="23"/>
        </w:rPr>
        <w:t>Q</w:t>
      </w:r>
      <w:r>
        <w:rPr>
          <w:rFonts w:ascii="Times New Roman" w:hAnsi="Times New Roman" w:eastAsia="Times New Roman" w:cs="Times New Roman"/>
          <w:spacing w:val="-9"/>
          <w:position w:val="17"/>
          <w:sz w:val="15"/>
          <w:szCs w:val="15"/>
        </w:rPr>
        <w:t>1</w:t>
      </w:r>
      <w:r>
        <w:rPr>
          <w:rFonts w:ascii="Times New Roman" w:hAnsi="Times New Roman" w:eastAsia="Times New Roman" w:cs="Times New Roman"/>
          <w:spacing w:val="-5"/>
          <w:position w:val="17"/>
          <w:sz w:val="15"/>
          <w:szCs w:val="15"/>
        </w:rPr>
        <w:t xml:space="preserve"> </w:t>
      </w:r>
      <w:r>
        <w:rPr>
          <w:rFonts w:ascii="宋体" w:hAnsi="宋体" w:eastAsia="宋体" w:cs="宋体"/>
          <w:spacing w:val="-5"/>
          <w:position w:val="18"/>
          <w:sz w:val="23"/>
          <w:szCs w:val="23"/>
        </w:rPr>
        <w:t>、</w:t>
      </w:r>
      <w:r>
        <w:rPr>
          <w:rFonts w:ascii="Times New Roman" w:hAnsi="Times New Roman" w:eastAsia="Times New Roman" w:cs="Times New Roman"/>
          <w:spacing w:val="-5"/>
          <w:position w:val="18"/>
          <w:sz w:val="23"/>
          <w:szCs w:val="23"/>
        </w:rPr>
        <w:t>Q</w:t>
      </w:r>
      <w:r>
        <w:rPr>
          <w:rFonts w:ascii="Times New Roman" w:hAnsi="Times New Roman" w:eastAsia="Times New Roman" w:cs="Times New Roman"/>
          <w:spacing w:val="-5"/>
          <w:position w:val="17"/>
          <w:sz w:val="15"/>
          <w:szCs w:val="15"/>
        </w:rPr>
        <w:t xml:space="preserve">2 </w:t>
      </w:r>
      <w:r>
        <w:rPr>
          <w:rFonts w:ascii="Times New Roman" w:hAnsi="Times New Roman" w:eastAsia="Times New Roman" w:cs="Times New Roman"/>
          <w:spacing w:val="-5"/>
          <w:position w:val="18"/>
          <w:sz w:val="23"/>
          <w:szCs w:val="23"/>
        </w:rPr>
        <w:t>…Q</w:t>
      </w:r>
      <w:r>
        <w:rPr>
          <w:rFonts w:ascii="Times New Roman" w:hAnsi="Times New Roman" w:eastAsia="Times New Roman" w:cs="Times New Roman"/>
          <w:spacing w:val="-5"/>
          <w:position w:val="17"/>
          <w:sz w:val="15"/>
          <w:szCs w:val="15"/>
        </w:rPr>
        <w:t>n</w:t>
      </w:r>
      <w:r>
        <w:rPr>
          <w:rFonts w:ascii="Times New Roman" w:hAnsi="Times New Roman" w:eastAsia="Times New Roman" w:cs="Times New Roman"/>
          <w:spacing w:val="-5"/>
          <w:position w:val="18"/>
          <w:sz w:val="23"/>
          <w:szCs w:val="23"/>
        </w:rPr>
        <w:t>—</w:t>
      </w:r>
      <w:r>
        <w:rPr>
          <w:rFonts w:ascii="宋体" w:hAnsi="宋体" w:eastAsia="宋体" w:cs="宋体"/>
          <w:spacing w:val="-5"/>
          <w:position w:val="18"/>
          <w:sz w:val="23"/>
          <w:szCs w:val="23"/>
        </w:rPr>
        <w:t>每种危险物质的临界量，</w:t>
      </w:r>
      <w:r>
        <w:rPr>
          <w:rFonts w:ascii="Times New Roman" w:hAnsi="Times New Roman" w:eastAsia="Times New Roman" w:cs="Times New Roman"/>
          <w:spacing w:val="-5"/>
          <w:position w:val="18"/>
          <w:sz w:val="23"/>
          <w:szCs w:val="23"/>
        </w:rPr>
        <w:t>t</w:t>
      </w:r>
      <w:r>
        <w:rPr>
          <w:rFonts w:ascii="宋体" w:hAnsi="宋体" w:eastAsia="宋体" w:cs="宋体"/>
          <w:spacing w:val="-5"/>
          <w:position w:val="18"/>
          <w:sz w:val="23"/>
          <w:szCs w:val="23"/>
        </w:rPr>
        <w:t>。</w:t>
      </w:r>
    </w:p>
    <w:p w14:paraId="05AA0D64">
      <w:pPr>
        <w:spacing w:line="220" w:lineRule="auto"/>
        <w:ind w:left="1196"/>
        <w:rPr>
          <w:rFonts w:ascii="宋体" w:hAnsi="宋体" w:eastAsia="宋体" w:cs="宋体"/>
          <w:sz w:val="23"/>
          <w:szCs w:val="23"/>
        </w:rPr>
      </w:pPr>
      <w:r>
        <w:rPr>
          <w:rFonts w:ascii="宋体" w:hAnsi="宋体" w:eastAsia="宋体" w:cs="宋体"/>
          <w:spacing w:val="-12"/>
          <w:sz w:val="23"/>
          <w:szCs w:val="23"/>
        </w:rPr>
        <w:t>当</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Q</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时，该项目环境风险潜势为</w:t>
      </w:r>
      <w:r>
        <w:rPr>
          <w:rFonts w:ascii="Times New Roman" w:hAnsi="Times New Roman" w:eastAsia="Times New Roman" w:cs="Times New Roman"/>
          <w:spacing w:val="-6"/>
          <w:sz w:val="23"/>
          <w:szCs w:val="23"/>
        </w:rPr>
        <w:t>Ⅰ</w:t>
      </w:r>
      <w:r>
        <w:rPr>
          <w:rFonts w:ascii="宋体" w:hAnsi="宋体" w:eastAsia="宋体" w:cs="宋体"/>
          <w:spacing w:val="-6"/>
          <w:sz w:val="23"/>
          <w:szCs w:val="23"/>
        </w:rPr>
        <w:t>。</w:t>
      </w:r>
    </w:p>
    <w:p w14:paraId="7AF0E83F">
      <w:pPr>
        <w:spacing w:before="162" w:line="323" w:lineRule="exact"/>
        <w:ind w:left="1086"/>
        <w:rPr>
          <w:rFonts w:ascii="宋体" w:hAnsi="宋体" w:eastAsia="宋体" w:cs="宋体"/>
          <w:sz w:val="23"/>
          <w:szCs w:val="23"/>
        </w:rPr>
      </w:pPr>
      <w:r>
        <w:rPr>
          <w:rFonts w:ascii="宋体" w:hAnsi="宋体" w:eastAsia="宋体" w:cs="宋体"/>
          <w:spacing w:val="-36"/>
          <w:position w:val="3"/>
          <w:sz w:val="23"/>
          <w:szCs w:val="23"/>
        </w:rPr>
        <w:t>当</w:t>
      </w:r>
      <w:r>
        <w:rPr>
          <w:rFonts w:ascii="Times New Roman" w:hAnsi="Times New Roman" w:eastAsia="Times New Roman" w:cs="Times New Roman"/>
          <w:spacing w:val="-18"/>
          <w:position w:val="3"/>
          <w:sz w:val="23"/>
          <w:szCs w:val="23"/>
        </w:rPr>
        <w:t>Q</w:t>
      </w:r>
      <w:r>
        <w:rPr>
          <w:rFonts w:ascii="Times New Roman" w:hAnsi="Times New Roman" w:eastAsia="Times New Roman" w:cs="Times New Roman"/>
          <w:spacing w:val="-35"/>
          <w:position w:val="3"/>
          <w:sz w:val="23"/>
          <w:szCs w:val="23"/>
        </w:rPr>
        <w:t>≥</w:t>
      </w:r>
      <w:r>
        <w:rPr>
          <w:rFonts w:ascii="Times New Roman" w:hAnsi="Times New Roman" w:eastAsia="Times New Roman" w:cs="Times New Roman"/>
          <w:spacing w:val="-18"/>
          <w:position w:val="3"/>
          <w:sz w:val="23"/>
          <w:szCs w:val="23"/>
        </w:rPr>
        <w:t xml:space="preserve">1 </w:t>
      </w:r>
      <w:r>
        <w:rPr>
          <w:rFonts w:ascii="宋体" w:hAnsi="宋体" w:eastAsia="宋体" w:cs="宋体"/>
          <w:spacing w:val="-18"/>
          <w:position w:val="3"/>
          <w:sz w:val="23"/>
          <w:szCs w:val="23"/>
        </w:rPr>
        <w:t>时，将</w:t>
      </w:r>
      <w:r>
        <w:rPr>
          <w:rFonts w:ascii="Times New Roman" w:hAnsi="Times New Roman" w:eastAsia="Times New Roman" w:cs="Times New Roman"/>
          <w:spacing w:val="-18"/>
          <w:position w:val="3"/>
          <w:sz w:val="23"/>
          <w:szCs w:val="23"/>
        </w:rPr>
        <w:t xml:space="preserve">Q </w:t>
      </w:r>
      <w:r>
        <w:rPr>
          <w:rFonts w:ascii="宋体" w:hAnsi="宋体" w:eastAsia="宋体" w:cs="宋体"/>
          <w:spacing w:val="-18"/>
          <w:position w:val="3"/>
          <w:sz w:val="23"/>
          <w:szCs w:val="23"/>
        </w:rPr>
        <w:t>值划分为：  (</w:t>
      </w:r>
      <w:r>
        <w:rPr>
          <w:rFonts w:ascii="Times New Roman" w:hAnsi="Times New Roman" w:eastAsia="Times New Roman" w:cs="Times New Roman"/>
          <w:spacing w:val="-18"/>
          <w:position w:val="3"/>
          <w:sz w:val="23"/>
          <w:szCs w:val="23"/>
        </w:rPr>
        <w:t>1</w:t>
      </w:r>
      <w:r>
        <w:rPr>
          <w:rFonts w:ascii="宋体" w:hAnsi="宋体" w:eastAsia="宋体" w:cs="宋体"/>
          <w:spacing w:val="-18"/>
          <w:position w:val="3"/>
          <w:sz w:val="23"/>
          <w:szCs w:val="23"/>
        </w:rPr>
        <w:t xml:space="preserve">) </w:t>
      </w:r>
      <w:r>
        <w:rPr>
          <w:rFonts w:ascii="Times New Roman" w:hAnsi="Times New Roman" w:eastAsia="Times New Roman" w:cs="Times New Roman"/>
          <w:spacing w:val="-18"/>
          <w:position w:val="3"/>
          <w:sz w:val="23"/>
          <w:szCs w:val="23"/>
        </w:rPr>
        <w:t>1≤Q</w:t>
      </w:r>
      <w:r>
        <w:rPr>
          <w:rFonts w:ascii="宋体" w:hAnsi="宋体" w:eastAsia="宋体" w:cs="宋体"/>
          <w:spacing w:val="-18"/>
          <w:position w:val="3"/>
          <w:sz w:val="23"/>
          <w:szCs w:val="23"/>
        </w:rPr>
        <w:t>＜</w:t>
      </w:r>
      <w:r>
        <w:rPr>
          <w:rFonts w:ascii="Times New Roman" w:hAnsi="Times New Roman" w:eastAsia="Times New Roman" w:cs="Times New Roman"/>
          <w:spacing w:val="-18"/>
          <w:position w:val="3"/>
          <w:sz w:val="23"/>
          <w:szCs w:val="23"/>
        </w:rPr>
        <w:t>10</w:t>
      </w:r>
      <w:r>
        <w:rPr>
          <w:rFonts w:ascii="宋体" w:hAnsi="宋体" w:eastAsia="宋体" w:cs="宋体"/>
          <w:spacing w:val="-18"/>
          <w:position w:val="3"/>
          <w:sz w:val="23"/>
          <w:szCs w:val="23"/>
        </w:rPr>
        <w:t>；  (</w:t>
      </w:r>
      <w:r>
        <w:rPr>
          <w:rFonts w:ascii="Times New Roman" w:hAnsi="Times New Roman" w:eastAsia="Times New Roman" w:cs="Times New Roman"/>
          <w:spacing w:val="-18"/>
          <w:position w:val="3"/>
          <w:sz w:val="23"/>
          <w:szCs w:val="23"/>
        </w:rPr>
        <w:t>2</w:t>
      </w:r>
      <w:r>
        <w:rPr>
          <w:rFonts w:ascii="宋体" w:hAnsi="宋体" w:eastAsia="宋体" w:cs="宋体"/>
          <w:spacing w:val="-18"/>
          <w:position w:val="3"/>
          <w:sz w:val="23"/>
          <w:szCs w:val="23"/>
        </w:rPr>
        <w:t xml:space="preserve">) </w:t>
      </w:r>
      <w:r>
        <w:rPr>
          <w:rFonts w:ascii="Times New Roman" w:hAnsi="Times New Roman" w:eastAsia="Times New Roman" w:cs="Times New Roman"/>
          <w:spacing w:val="-18"/>
          <w:position w:val="3"/>
          <w:sz w:val="23"/>
          <w:szCs w:val="23"/>
        </w:rPr>
        <w:t>10≤Q</w:t>
      </w:r>
      <w:r>
        <w:rPr>
          <w:rFonts w:ascii="宋体" w:hAnsi="宋体" w:eastAsia="宋体" w:cs="宋体"/>
          <w:spacing w:val="-18"/>
          <w:position w:val="3"/>
          <w:sz w:val="23"/>
          <w:szCs w:val="23"/>
        </w:rPr>
        <w:t>＜</w:t>
      </w:r>
      <w:r>
        <w:rPr>
          <w:rFonts w:ascii="Times New Roman" w:hAnsi="Times New Roman" w:eastAsia="Times New Roman" w:cs="Times New Roman"/>
          <w:spacing w:val="-18"/>
          <w:position w:val="3"/>
          <w:sz w:val="23"/>
          <w:szCs w:val="23"/>
        </w:rPr>
        <w:t>100</w:t>
      </w:r>
      <w:r>
        <w:rPr>
          <w:rFonts w:ascii="宋体" w:hAnsi="宋体" w:eastAsia="宋体" w:cs="宋体"/>
          <w:spacing w:val="-18"/>
          <w:position w:val="3"/>
          <w:sz w:val="23"/>
          <w:szCs w:val="23"/>
        </w:rPr>
        <w:t>；  (</w:t>
      </w:r>
      <w:r>
        <w:rPr>
          <w:rFonts w:ascii="Times New Roman" w:hAnsi="Times New Roman" w:eastAsia="Times New Roman" w:cs="Times New Roman"/>
          <w:spacing w:val="-18"/>
          <w:position w:val="3"/>
          <w:sz w:val="23"/>
          <w:szCs w:val="23"/>
        </w:rPr>
        <w:t>3</w:t>
      </w:r>
      <w:r>
        <w:rPr>
          <w:rFonts w:ascii="宋体" w:hAnsi="宋体" w:eastAsia="宋体" w:cs="宋体"/>
          <w:spacing w:val="-18"/>
          <w:position w:val="3"/>
          <w:sz w:val="23"/>
          <w:szCs w:val="23"/>
        </w:rPr>
        <w:t xml:space="preserve">) </w:t>
      </w:r>
      <w:r>
        <w:rPr>
          <w:rFonts w:ascii="Times New Roman" w:hAnsi="Times New Roman" w:eastAsia="Times New Roman" w:cs="Times New Roman"/>
          <w:spacing w:val="-18"/>
          <w:position w:val="3"/>
          <w:sz w:val="23"/>
          <w:szCs w:val="23"/>
        </w:rPr>
        <w:t>Q≥100</w:t>
      </w:r>
      <w:r>
        <w:rPr>
          <w:rFonts w:ascii="宋体" w:hAnsi="宋体" w:eastAsia="宋体" w:cs="宋体"/>
          <w:spacing w:val="-18"/>
          <w:position w:val="3"/>
          <w:sz w:val="23"/>
          <w:szCs w:val="23"/>
        </w:rPr>
        <w:t>。</w:t>
      </w:r>
    </w:p>
    <w:p w14:paraId="6DE9AD19">
      <w:pPr>
        <w:spacing w:line="290" w:lineRule="auto"/>
        <w:rPr>
          <w:rFonts w:ascii="Arial"/>
          <w:sz w:val="21"/>
        </w:rPr>
      </w:pPr>
    </w:p>
    <w:p w14:paraId="36481083">
      <w:pPr>
        <w:spacing w:before="76" w:line="393" w:lineRule="auto"/>
        <w:ind w:left="54" w:right="45" w:firstLine="447"/>
        <w:rPr>
          <w:rFonts w:ascii="宋体" w:hAnsi="宋体" w:eastAsia="宋体" w:cs="宋体"/>
          <w:sz w:val="23"/>
          <w:szCs w:val="23"/>
        </w:rPr>
      </w:pPr>
      <w:r>
        <w:rPr>
          <w:rFonts w:ascii="宋体" w:hAnsi="宋体" w:eastAsia="宋体" w:cs="宋体"/>
          <w:spacing w:val="-8"/>
          <w:sz w:val="23"/>
          <w:szCs w:val="23"/>
        </w:rPr>
        <w:t>对照《建设项</w:t>
      </w:r>
      <w:r>
        <w:rPr>
          <w:rFonts w:ascii="宋体" w:hAnsi="宋体" w:eastAsia="宋体" w:cs="宋体"/>
          <w:spacing w:val="-5"/>
          <w:sz w:val="23"/>
          <w:szCs w:val="23"/>
        </w:rPr>
        <w:t>目</w:t>
      </w:r>
      <w:r>
        <w:rPr>
          <w:rFonts w:ascii="宋体" w:hAnsi="宋体" w:eastAsia="宋体" w:cs="宋体"/>
          <w:spacing w:val="-4"/>
          <w:sz w:val="23"/>
          <w:szCs w:val="23"/>
        </w:rPr>
        <w:t>环境风险评价技术导则》 (</w:t>
      </w:r>
      <w:r>
        <w:rPr>
          <w:rFonts w:ascii="Times New Roman" w:hAnsi="Times New Roman" w:eastAsia="Times New Roman" w:cs="Times New Roman"/>
          <w:spacing w:val="-4"/>
          <w:sz w:val="23"/>
          <w:szCs w:val="23"/>
        </w:rPr>
        <w:t>HJ169-2018</w:t>
      </w:r>
      <w:r>
        <w:rPr>
          <w:rFonts w:ascii="宋体" w:hAnsi="宋体" w:eastAsia="宋体" w:cs="宋体"/>
          <w:spacing w:val="-4"/>
          <w:sz w:val="23"/>
          <w:szCs w:val="23"/>
        </w:rPr>
        <w:t>) 以及《危险化学品重大</w:t>
      </w:r>
      <w:r>
        <w:rPr>
          <w:rFonts w:ascii="宋体" w:hAnsi="宋体" w:eastAsia="宋体" w:cs="宋体"/>
          <w:sz w:val="23"/>
          <w:szCs w:val="23"/>
        </w:rPr>
        <w:t xml:space="preserve"> </w:t>
      </w:r>
      <w:r>
        <w:rPr>
          <w:rFonts w:ascii="宋体" w:hAnsi="宋体" w:eastAsia="宋体" w:cs="宋体"/>
          <w:spacing w:val="-6"/>
          <w:sz w:val="23"/>
          <w:szCs w:val="23"/>
        </w:rPr>
        <w:t>危险源</w:t>
      </w:r>
      <w:r>
        <w:rPr>
          <w:rFonts w:ascii="宋体" w:hAnsi="宋体" w:eastAsia="宋体" w:cs="宋体"/>
          <w:spacing w:val="-4"/>
          <w:sz w:val="23"/>
          <w:szCs w:val="23"/>
        </w:rPr>
        <w:t>辨</w:t>
      </w:r>
      <w:r>
        <w:rPr>
          <w:rFonts w:ascii="宋体" w:hAnsi="宋体" w:eastAsia="宋体" w:cs="宋体"/>
          <w:spacing w:val="-3"/>
          <w:sz w:val="23"/>
          <w:szCs w:val="23"/>
        </w:rPr>
        <w:t>识》  (</w:t>
      </w:r>
      <w:r>
        <w:rPr>
          <w:rFonts w:ascii="Times New Roman" w:hAnsi="Times New Roman" w:eastAsia="Times New Roman" w:cs="Times New Roman"/>
          <w:spacing w:val="-3"/>
          <w:sz w:val="23"/>
          <w:szCs w:val="23"/>
        </w:rPr>
        <w:t>GB18218-2018</w:t>
      </w:r>
      <w:r>
        <w:rPr>
          <w:rFonts w:ascii="宋体" w:hAnsi="宋体" w:eastAsia="宋体" w:cs="宋体"/>
          <w:spacing w:val="-3"/>
          <w:sz w:val="23"/>
          <w:szCs w:val="23"/>
        </w:rPr>
        <w:t>) ，该项目原辅材料不涉及风险物质，则该项目</w:t>
      </w:r>
      <w:r>
        <w:rPr>
          <w:rFonts w:ascii="Times New Roman" w:hAnsi="Times New Roman" w:eastAsia="Times New Roman" w:cs="Times New Roman"/>
          <w:spacing w:val="-3"/>
          <w:sz w:val="23"/>
          <w:szCs w:val="23"/>
        </w:rPr>
        <w:t xml:space="preserve">Q </w:t>
      </w:r>
      <w:r>
        <w:rPr>
          <w:rFonts w:ascii="宋体" w:hAnsi="宋体" w:eastAsia="宋体" w:cs="宋体"/>
          <w:spacing w:val="-3"/>
          <w:sz w:val="23"/>
          <w:szCs w:val="23"/>
        </w:rPr>
        <w:t>值</w:t>
      </w:r>
      <w:r>
        <w:rPr>
          <w:rFonts w:ascii="宋体" w:hAnsi="宋体" w:eastAsia="宋体" w:cs="宋体"/>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，则该项目环境风险潜势为</w:t>
      </w:r>
      <w:r>
        <w:rPr>
          <w:rFonts w:ascii="Times New Roman" w:hAnsi="Times New Roman" w:eastAsia="Times New Roman" w:cs="Times New Roman"/>
          <w:spacing w:val="-6"/>
          <w:sz w:val="23"/>
          <w:szCs w:val="23"/>
        </w:rPr>
        <w:t>Ⅰ</w:t>
      </w:r>
      <w:r>
        <w:rPr>
          <w:rFonts w:ascii="宋体" w:hAnsi="宋体" w:eastAsia="宋体" w:cs="宋体"/>
          <w:spacing w:val="-6"/>
          <w:sz w:val="23"/>
          <w:szCs w:val="23"/>
        </w:rPr>
        <w:t>。</w:t>
      </w:r>
    </w:p>
    <w:p w14:paraId="26EDF5E3">
      <w:pPr>
        <w:spacing w:before="140" w:line="393" w:lineRule="auto"/>
        <w:ind w:left="54" w:right="43" w:firstLine="448"/>
        <w:rPr>
          <w:rFonts w:ascii="宋体" w:hAnsi="宋体" w:eastAsia="宋体" w:cs="宋体"/>
          <w:sz w:val="23"/>
          <w:szCs w:val="23"/>
        </w:rPr>
      </w:pPr>
      <w:r>
        <w:rPr>
          <w:rFonts w:ascii="宋体" w:hAnsi="宋体" w:eastAsia="宋体" w:cs="宋体"/>
          <w:spacing w:val="-8"/>
          <w:sz w:val="23"/>
          <w:szCs w:val="23"/>
        </w:rPr>
        <w:t>根据《建设项</w:t>
      </w:r>
      <w:r>
        <w:rPr>
          <w:rFonts w:ascii="宋体" w:hAnsi="宋体" w:eastAsia="宋体" w:cs="宋体"/>
          <w:spacing w:val="-4"/>
          <w:sz w:val="23"/>
          <w:szCs w:val="23"/>
        </w:rPr>
        <w:t>目环境风险评价技术导则》 (</w:t>
      </w:r>
      <w:r>
        <w:rPr>
          <w:rFonts w:ascii="Times New Roman" w:hAnsi="Times New Roman" w:eastAsia="Times New Roman" w:cs="Times New Roman"/>
          <w:spacing w:val="-4"/>
          <w:sz w:val="23"/>
          <w:szCs w:val="23"/>
        </w:rPr>
        <w:t>HJ169-2018</w:t>
      </w:r>
      <w:r>
        <w:rPr>
          <w:rFonts w:ascii="宋体" w:hAnsi="宋体" w:eastAsia="宋体" w:cs="宋体"/>
          <w:spacing w:val="-4"/>
          <w:sz w:val="23"/>
          <w:szCs w:val="23"/>
        </w:rPr>
        <w:t>) ，该项目环境风险评价</w:t>
      </w:r>
      <w:r>
        <w:rPr>
          <w:rFonts w:ascii="宋体" w:hAnsi="宋体" w:eastAsia="宋体" w:cs="宋体"/>
          <w:sz w:val="23"/>
          <w:szCs w:val="23"/>
        </w:rPr>
        <w:t xml:space="preserve"> </w:t>
      </w:r>
      <w:r>
        <w:rPr>
          <w:rFonts w:ascii="宋体" w:hAnsi="宋体" w:eastAsia="宋体" w:cs="宋体"/>
          <w:spacing w:val="-12"/>
          <w:sz w:val="23"/>
          <w:szCs w:val="23"/>
        </w:rPr>
        <w:t>工</w:t>
      </w:r>
      <w:r>
        <w:rPr>
          <w:rFonts w:ascii="宋体" w:hAnsi="宋体" w:eastAsia="宋体" w:cs="宋体"/>
          <w:spacing w:val="-11"/>
          <w:sz w:val="23"/>
          <w:szCs w:val="23"/>
        </w:rPr>
        <w:t>作</w:t>
      </w:r>
      <w:r>
        <w:rPr>
          <w:rFonts w:ascii="宋体" w:hAnsi="宋体" w:eastAsia="宋体" w:cs="宋体"/>
          <w:spacing w:val="-6"/>
          <w:sz w:val="23"/>
          <w:szCs w:val="23"/>
        </w:rPr>
        <w:t xml:space="preserve">等级判定见表 </w:t>
      </w:r>
      <w:r>
        <w:rPr>
          <w:rFonts w:ascii="Times New Roman" w:hAnsi="Times New Roman" w:eastAsia="Times New Roman" w:cs="Times New Roman"/>
          <w:spacing w:val="-6"/>
          <w:sz w:val="23"/>
          <w:szCs w:val="23"/>
        </w:rPr>
        <w:t>2-26</w:t>
      </w:r>
      <w:r>
        <w:rPr>
          <w:rFonts w:ascii="宋体" w:hAnsi="宋体" w:eastAsia="宋体" w:cs="宋体"/>
          <w:spacing w:val="-6"/>
          <w:sz w:val="23"/>
          <w:szCs w:val="23"/>
        </w:rPr>
        <w:t>。</w:t>
      </w:r>
    </w:p>
    <w:p w14:paraId="5ADAB85D">
      <w:pPr>
        <w:spacing w:before="146" w:line="226" w:lineRule="auto"/>
        <w:ind w:left="2587"/>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2-26</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风险评价级别的判定</w:t>
      </w:r>
    </w:p>
    <w:p w14:paraId="5242FE4B">
      <w:pPr>
        <w:spacing w:line="20" w:lineRule="exact"/>
      </w:pPr>
    </w:p>
    <w:tbl>
      <w:tblPr>
        <w:tblStyle w:val="4"/>
        <w:tblW w:w="8305"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4"/>
        <w:gridCol w:w="1648"/>
        <w:gridCol w:w="1633"/>
        <w:gridCol w:w="1625"/>
        <w:gridCol w:w="1705"/>
      </w:tblGrid>
      <w:tr w14:paraId="77213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694" w:type="dxa"/>
            <w:tcBorders>
              <w:left w:val="nil"/>
            </w:tcBorders>
            <w:vAlign w:val="top"/>
          </w:tcPr>
          <w:p w14:paraId="5243D805">
            <w:pPr>
              <w:spacing w:before="86" w:line="228" w:lineRule="auto"/>
              <w:ind w:left="26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环境风险</w:t>
            </w:r>
            <w:r>
              <w:rPr>
                <w:rFonts w:ascii="宋体" w:hAnsi="宋体" w:eastAsia="宋体" w:cs="宋体"/>
                <w:spacing w:val="-1"/>
                <w:sz w:val="20"/>
                <w:szCs w:val="20"/>
                <w14:textOutline w14:w="3795" w14:cap="sq" w14:cmpd="sng">
                  <w14:solidFill>
                    <w14:srgbClr w14:val="000000"/>
                  </w14:solidFill>
                  <w14:prstDash w14:val="solid"/>
                  <w14:bevel/>
                </w14:textOutline>
              </w:rPr>
              <w:t>潜势</w:t>
            </w:r>
          </w:p>
        </w:tc>
        <w:tc>
          <w:tcPr>
            <w:tcW w:w="1648" w:type="dxa"/>
            <w:vAlign w:val="top"/>
          </w:tcPr>
          <w:p w14:paraId="3B42C6EF">
            <w:pPr>
              <w:spacing w:before="52" w:line="272" w:lineRule="exact"/>
              <w:ind w:left="465"/>
              <w:rPr>
                <w:rFonts w:ascii="Times New Roman" w:hAnsi="Times New Roman" w:eastAsia="Times New Roman" w:cs="Times New Roman"/>
                <w:sz w:val="13"/>
                <w:szCs w:val="13"/>
              </w:rPr>
            </w:pPr>
            <w:r>
              <w:rPr>
                <w:rFonts w:ascii="Times New Roman" w:hAnsi="Times New Roman" w:eastAsia="Times New Roman" w:cs="Times New Roman"/>
                <w:b/>
                <w:bCs/>
                <w:spacing w:val="-10"/>
                <w:position w:val="1"/>
                <w:sz w:val="20"/>
                <w:szCs w:val="20"/>
              </w:rPr>
              <w:t>Ⅳ</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8"/>
                <w:position w:val="1"/>
                <w:sz w:val="20"/>
                <w:szCs w:val="20"/>
              </w:rPr>
              <w:t>Ⅳ</w:t>
            </w:r>
            <w:r>
              <w:rPr>
                <w:rFonts w:ascii="Times New Roman" w:hAnsi="Times New Roman" w:eastAsia="Times New Roman" w:cs="Times New Roman"/>
                <w:b/>
                <w:bCs/>
                <w:spacing w:val="-8"/>
                <w:position w:val="7"/>
                <w:sz w:val="13"/>
                <w:szCs w:val="13"/>
              </w:rPr>
              <w:t>+</w:t>
            </w:r>
          </w:p>
        </w:tc>
        <w:tc>
          <w:tcPr>
            <w:tcW w:w="1633" w:type="dxa"/>
            <w:vAlign w:val="top"/>
          </w:tcPr>
          <w:p w14:paraId="40D679F0">
            <w:pPr>
              <w:spacing w:before="126" w:line="192" w:lineRule="auto"/>
              <w:ind w:left="70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Ⅲ</w:t>
            </w:r>
          </w:p>
        </w:tc>
        <w:tc>
          <w:tcPr>
            <w:tcW w:w="1625" w:type="dxa"/>
            <w:vAlign w:val="top"/>
          </w:tcPr>
          <w:p w14:paraId="4826C177">
            <w:pPr>
              <w:spacing w:before="126" w:line="192" w:lineRule="auto"/>
              <w:ind w:left="73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Ⅱ</w:t>
            </w:r>
          </w:p>
        </w:tc>
        <w:tc>
          <w:tcPr>
            <w:tcW w:w="1705" w:type="dxa"/>
            <w:tcBorders>
              <w:right w:val="nil"/>
            </w:tcBorders>
            <w:vAlign w:val="top"/>
          </w:tcPr>
          <w:p w14:paraId="4058532F">
            <w:pPr>
              <w:spacing w:before="126" w:line="192" w:lineRule="auto"/>
              <w:ind w:left="82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Ⅰ</w:t>
            </w:r>
          </w:p>
        </w:tc>
      </w:tr>
      <w:tr w14:paraId="6F65E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694" w:type="dxa"/>
            <w:tcBorders>
              <w:left w:val="nil"/>
            </w:tcBorders>
            <w:vAlign w:val="top"/>
          </w:tcPr>
          <w:p w14:paraId="03CF8C18">
            <w:pPr>
              <w:spacing w:before="65" w:line="226" w:lineRule="auto"/>
              <w:ind w:left="264"/>
              <w:rPr>
                <w:rFonts w:ascii="宋体" w:hAnsi="宋体" w:eastAsia="宋体" w:cs="宋体"/>
                <w:sz w:val="20"/>
                <w:szCs w:val="20"/>
              </w:rPr>
            </w:pPr>
            <w:r>
              <w:rPr>
                <w:rFonts w:ascii="宋体" w:hAnsi="宋体" w:eastAsia="宋体" w:cs="宋体"/>
                <w:spacing w:val="-2"/>
                <w:sz w:val="20"/>
                <w:szCs w:val="20"/>
              </w:rPr>
              <w:t>评价工作等级</w:t>
            </w:r>
          </w:p>
        </w:tc>
        <w:tc>
          <w:tcPr>
            <w:tcW w:w="1648" w:type="dxa"/>
            <w:vAlign w:val="top"/>
          </w:tcPr>
          <w:p w14:paraId="3E10CECE">
            <w:pPr>
              <w:spacing w:before="143" w:line="168" w:lineRule="exact"/>
              <w:ind w:left="734"/>
              <w:rPr>
                <w:rFonts w:ascii="宋体" w:hAnsi="宋体" w:eastAsia="宋体" w:cs="宋体"/>
                <w:sz w:val="10"/>
                <w:szCs w:val="10"/>
              </w:rPr>
            </w:pPr>
            <w:r>
              <w:rPr>
                <w:rFonts w:ascii="宋体" w:hAnsi="宋体" w:eastAsia="宋体" w:cs="宋体"/>
                <w:spacing w:val="97"/>
                <w:position w:val="1"/>
                <w:sz w:val="10"/>
                <w:szCs w:val="10"/>
              </w:rPr>
              <w:t>一</w:t>
            </w:r>
          </w:p>
        </w:tc>
        <w:tc>
          <w:tcPr>
            <w:tcW w:w="1633" w:type="dxa"/>
            <w:vAlign w:val="top"/>
          </w:tcPr>
          <w:p w14:paraId="4DEABAF4">
            <w:pPr>
              <w:spacing w:before="104" w:line="189" w:lineRule="auto"/>
              <w:ind w:left="727"/>
              <w:rPr>
                <w:rFonts w:ascii="宋体" w:hAnsi="宋体" w:eastAsia="宋体" w:cs="宋体"/>
                <w:sz w:val="20"/>
                <w:szCs w:val="20"/>
              </w:rPr>
            </w:pPr>
            <w:r>
              <w:rPr>
                <w:rFonts w:ascii="宋体" w:hAnsi="宋体" w:eastAsia="宋体" w:cs="宋体"/>
                <w:sz w:val="20"/>
                <w:szCs w:val="20"/>
              </w:rPr>
              <w:t>二</w:t>
            </w:r>
          </w:p>
        </w:tc>
        <w:tc>
          <w:tcPr>
            <w:tcW w:w="1625" w:type="dxa"/>
            <w:vAlign w:val="top"/>
          </w:tcPr>
          <w:p w14:paraId="718CBDB3">
            <w:pPr>
              <w:spacing w:before="65" w:line="265" w:lineRule="exact"/>
              <w:ind w:left="718"/>
              <w:rPr>
                <w:rFonts w:ascii="宋体" w:hAnsi="宋体" w:eastAsia="宋体" w:cs="宋体"/>
                <w:sz w:val="20"/>
                <w:szCs w:val="20"/>
              </w:rPr>
            </w:pPr>
            <w:r>
              <w:rPr>
                <w:rFonts w:ascii="宋体" w:hAnsi="宋体" w:eastAsia="宋体" w:cs="宋体"/>
                <w:position w:val="1"/>
                <w:sz w:val="20"/>
                <w:szCs w:val="20"/>
              </w:rPr>
              <w:t>三</w:t>
            </w:r>
          </w:p>
        </w:tc>
        <w:tc>
          <w:tcPr>
            <w:tcW w:w="1705" w:type="dxa"/>
            <w:tcBorders>
              <w:right w:val="nil"/>
            </w:tcBorders>
            <w:vAlign w:val="top"/>
          </w:tcPr>
          <w:p w14:paraId="77054BBC">
            <w:pPr>
              <w:spacing w:before="65" w:line="227" w:lineRule="auto"/>
              <w:ind w:left="422"/>
              <w:rPr>
                <w:rFonts w:ascii="Times New Roman" w:hAnsi="Times New Roman" w:eastAsia="Times New Roman" w:cs="Times New Roman"/>
                <w:sz w:val="20"/>
                <w:szCs w:val="20"/>
              </w:rPr>
            </w:pPr>
            <w:r>
              <w:rPr>
                <w:rFonts w:ascii="宋体" w:hAnsi="宋体" w:eastAsia="宋体" w:cs="宋体"/>
                <w:spacing w:val="-4"/>
                <w:sz w:val="20"/>
                <w:szCs w:val="20"/>
              </w:rPr>
              <w:t>简</w:t>
            </w:r>
            <w:r>
              <w:rPr>
                <w:rFonts w:ascii="宋体" w:hAnsi="宋体" w:eastAsia="宋体" w:cs="宋体"/>
                <w:spacing w:val="-3"/>
                <w:sz w:val="20"/>
                <w:szCs w:val="20"/>
              </w:rPr>
              <w:t>单</w:t>
            </w:r>
            <w:r>
              <w:rPr>
                <w:rFonts w:ascii="宋体" w:hAnsi="宋体" w:eastAsia="宋体" w:cs="宋体"/>
                <w:spacing w:val="-2"/>
                <w:sz w:val="20"/>
                <w:szCs w:val="20"/>
              </w:rPr>
              <w:t>分析</w:t>
            </w:r>
            <w:r>
              <w:rPr>
                <w:rFonts w:ascii="Times New Roman" w:hAnsi="Times New Roman" w:eastAsia="Times New Roman" w:cs="Times New Roman"/>
                <w:spacing w:val="-2"/>
                <w:sz w:val="20"/>
                <w:szCs w:val="20"/>
              </w:rPr>
              <w:t>*</w:t>
            </w:r>
          </w:p>
        </w:tc>
      </w:tr>
    </w:tbl>
    <w:p w14:paraId="5F163541">
      <w:pPr>
        <w:spacing w:before="61" w:line="268" w:lineRule="auto"/>
        <w:ind w:left="49" w:firstLine="7"/>
        <w:rPr>
          <w:rFonts w:ascii="宋体" w:hAnsi="宋体" w:eastAsia="宋体" w:cs="宋体"/>
          <w:sz w:val="20"/>
          <w:szCs w:val="20"/>
        </w:rPr>
      </w:pPr>
      <w:r>
        <w:rPr>
          <w:rFonts w:ascii="Times New Roman" w:hAnsi="Times New Roman" w:eastAsia="Times New Roman" w:cs="Times New Roman"/>
          <w:spacing w:val="-4"/>
          <w:sz w:val="20"/>
          <w:szCs w:val="20"/>
        </w:rPr>
        <w:t>*</w:t>
      </w:r>
      <w:r>
        <w:rPr>
          <w:rFonts w:ascii="宋体" w:hAnsi="宋体" w:eastAsia="宋体" w:cs="宋体"/>
          <w:spacing w:val="-4"/>
          <w:sz w:val="20"/>
          <w:szCs w:val="20"/>
        </w:rPr>
        <w:t>是相对于详细评价工作内容而言，在描述危险物质、环境影响途径、环境危害后果、风险防</w:t>
      </w:r>
      <w:r>
        <w:rPr>
          <w:rFonts w:ascii="宋体" w:hAnsi="宋体" w:eastAsia="宋体" w:cs="宋体"/>
          <w:spacing w:val="-2"/>
          <w:sz w:val="20"/>
          <w:szCs w:val="20"/>
        </w:rPr>
        <w:t>范</w:t>
      </w:r>
      <w:r>
        <w:rPr>
          <w:rFonts w:ascii="宋体" w:hAnsi="宋体" w:eastAsia="宋体" w:cs="宋体"/>
          <w:sz w:val="20"/>
          <w:szCs w:val="20"/>
        </w:rPr>
        <w:t xml:space="preserve">措 </w:t>
      </w:r>
      <w:r>
        <w:rPr>
          <w:rFonts w:ascii="宋体" w:hAnsi="宋体" w:eastAsia="宋体" w:cs="宋体"/>
          <w:spacing w:val="-1"/>
          <w:sz w:val="20"/>
          <w:szCs w:val="20"/>
        </w:rPr>
        <w:t>施等方面给</w:t>
      </w:r>
      <w:r>
        <w:rPr>
          <w:rFonts w:ascii="宋体" w:hAnsi="宋体" w:eastAsia="宋体" w:cs="宋体"/>
          <w:sz w:val="20"/>
          <w:szCs w:val="20"/>
        </w:rPr>
        <w:t>出定性的的说明。见附录</w:t>
      </w:r>
      <w:r>
        <w:rPr>
          <w:rFonts w:ascii="Times New Roman" w:hAnsi="Times New Roman" w:eastAsia="Times New Roman" w:cs="Times New Roman"/>
          <w:sz w:val="20"/>
          <w:szCs w:val="20"/>
        </w:rPr>
        <w:t>A</w:t>
      </w:r>
      <w:r>
        <w:rPr>
          <w:rFonts w:ascii="宋体" w:hAnsi="宋体" w:eastAsia="宋体" w:cs="宋体"/>
          <w:sz w:val="20"/>
          <w:szCs w:val="20"/>
        </w:rPr>
        <w:t>。</w:t>
      </w:r>
    </w:p>
    <w:p w14:paraId="5DD8D2CF">
      <w:pPr>
        <w:spacing w:before="25" w:line="29" w:lineRule="exact"/>
        <w:ind w:firstLine="41"/>
        <w:textAlignment w:val="center"/>
      </w:pPr>
      <w:r>
        <w:pict>
          <v:shape id="_x0000_s1103" o:spid="_x0000_s1103" style="height:1.45pt;width:415.3pt;" filled="f" stroked="t" coordsize="8305,29" path="m0,14l8305,14e">
            <v:fill on="f" focussize="0,0"/>
            <v:stroke weight="1.44pt" color="#000000" miterlimit="2" joinstyle="bevel"/>
            <v:imagedata o:title=""/>
            <o:lock v:ext="edit"/>
            <w10:wrap type="none"/>
            <w10:anchorlock/>
          </v:shape>
        </w:pict>
      </w:r>
    </w:p>
    <w:p w14:paraId="517A53ED">
      <w:pPr>
        <w:spacing w:line="270" w:lineRule="auto"/>
        <w:rPr>
          <w:rFonts w:ascii="Arial"/>
          <w:sz w:val="21"/>
        </w:rPr>
      </w:pPr>
    </w:p>
    <w:p w14:paraId="15472F51">
      <w:pPr>
        <w:spacing w:before="75" w:line="227" w:lineRule="auto"/>
        <w:ind w:left="506"/>
        <w:rPr>
          <w:rFonts w:ascii="宋体" w:hAnsi="宋体" w:eastAsia="宋体" w:cs="宋体"/>
          <w:sz w:val="23"/>
          <w:szCs w:val="23"/>
        </w:rPr>
      </w:pPr>
      <w:r>
        <w:rPr>
          <w:rFonts w:ascii="宋体" w:hAnsi="宋体" w:eastAsia="宋体" w:cs="宋体"/>
          <w:spacing w:val="-6"/>
          <w:sz w:val="23"/>
          <w:szCs w:val="23"/>
        </w:rPr>
        <w:t>该</w:t>
      </w:r>
      <w:r>
        <w:rPr>
          <w:rFonts w:ascii="宋体" w:hAnsi="宋体" w:eastAsia="宋体" w:cs="宋体"/>
          <w:spacing w:val="-5"/>
          <w:sz w:val="23"/>
          <w:szCs w:val="23"/>
        </w:rPr>
        <w:t>项</w:t>
      </w:r>
      <w:r>
        <w:rPr>
          <w:rFonts w:ascii="宋体" w:hAnsi="宋体" w:eastAsia="宋体" w:cs="宋体"/>
          <w:spacing w:val="-3"/>
          <w:sz w:val="23"/>
          <w:szCs w:val="23"/>
        </w:rPr>
        <w:t>目环境风险潜势为</w:t>
      </w:r>
      <w:r>
        <w:rPr>
          <w:rFonts w:ascii="Times New Roman" w:hAnsi="Times New Roman" w:eastAsia="Times New Roman" w:cs="Times New Roman"/>
          <w:spacing w:val="-3"/>
          <w:sz w:val="23"/>
          <w:szCs w:val="23"/>
        </w:rPr>
        <w:t xml:space="preserve">Ⅰ </w:t>
      </w:r>
      <w:r>
        <w:rPr>
          <w:rFonts w:ascii="宋体" w:hAnsi="宋体" w:eastAsia="宋体" w:cs="宋体"/>
          <w:spacing w:val="-3"/>
          <w:sz w:val="23"/>
          <w:szCs w:val="23"/>
        </w:rPr>
        <w:t>，可以确定该项目环境风险评价级别为简单分析，即仅</w:t>
      </w:r>
    </w:p>
    <w:p w14:paraId="5B104122">
      <w:pPr>
        <w:sectPr>
          <w:headerReference r:id="rId76" w:type="default"/>
          <w:footerReference r:id="rId77" w:type="default"/>
          <w:pgSz w:w="11906" w:h="16839"/>
          <w:pgMar w:top="1132" w:right="1756" w:bottom="1156" w:left="1758" w:header="878" w:footer="996" w:gutter="0"/>
          <w:cols w:space="720" w:num="1"/>
        </w:sectPr>
      </w:pPr>
    </w:p>
    <w:p w14:paraId="219C0093">
      <w:pPr>
        <w:spacing w:line="409" w:lineRule="auto"/>
        <w:rPr>
          <w:rFonts w:ascii="Arial"/>
          <w:sz w:val="21"/>
        </w:rPr>
      </w:pPr>
      <w:r>
        <w:pict>
          <v:shape id="_x0000_s1104" o:spid="_x0000_s1104" style="position:absolute;left:0pt;margin-left:90pt;margin-top:57.35pt;height:0.75pt;width:415.3pt;mso-position-horizontal-relative:page;mso-position-vertical-relative:page;z-index:251738112;mso-width-relative:page;mso-height-relative:page;" fillcolor="#000000" filled="t" stroked="f" coordsize="8305,15" o:allowincell="f" path="m0,0l8305,0,8305,14,0,14,0,0xe">
            <v:path/>
            <v:fill on="t" focussize="0,0"/>
            <v:stroke on="f"/>
            <v:imagedata o:title=""/>
            <o:lock v:ext="edit"/>
          </v:shape>
        </w:pict>
      </w:r>
    </w:p>
    <w:p w14:paraId="034F55B9">
      <w:pPr>
        <w:spacing w:before="74" w:line="393" w:lineRule="auto"/>
        <w:ind w:left="42" w:right="16" w:hanging="20"/>
        <w:rPr>
          <w:rFonts w:ascii="宋体" w:hAnsi="宋体" w:eastAsia="宋体" w:cs="宋体"/>
          <w:sz w:val="23"/>
          <w:szCs w:val="23"/>
        </w:rPr>
      </w:pPr>
      <w:r>
        <w:rPr>
          <w:rFonts w:ascii="宋体" w:hAnsi="宋体" w:eastAsia="宋体" w:cs="宋体"/>
          <w:spacing w:val="1"/>
          <w:sz w:val="23"/>
          <w:szCs w:val="23"/>
        </w:rPr>
        <w:t>在描述危险物质、环境影响途径、</w:t>
      </w:r>
      <w:r>
        <w:rPr>
          <w:rFonts w:ascii="宋体" w:hAnsi="宋体" w:eastAsia="宋体" w:cs="宋体"/>
          <w:sz w:val="23"/>
          <w:szCs w:val="23"/>
        </w:rPr>
        <w:t xml:space="preserve">环境危害后果、风险防范措施等方面给出定性的 </w:t>
      </w:r>
      <w:r>
        <w:rPr>
          <w:rFonts w:ascii="宋体" w:hAnsi="宋体" w:eastAsia="宋体" w:cs="宋体"/>
          <w:spacing w:val="-8"/>
          <w:sz w:val="23"/>
          <w:szCs w:val="23"/>
        </w:rPr>
        <w:t>的</w:t>
      </w:r>
      <w:r>
        <w:rPr>
          <w:rFonts w:ascii="宋体" w:hAnsi="宋体" w:eastAsia="宋体" w:cs="宋体"/>
          <w:spacing w:val="-6"/>
          <w:sz w:val="23"/>
          <w:szCs w:val="23"/>
        </w:rPr>
        <w:t>说明。</w:t>
      </w:r>
    </w:p>
    <w:p w14:paraId="0D6321CF">
      <w:pPr>
        <w:spacing w:before="97" w:line="224" w:lineRule="auto"/>
        <w:ind w:left="21"/>
        <w:outlineLvl w:val="2"/>
        <w:rPr>
          <w:rFonts w:ascii="宋体" w:hAnsi="宋体" w:eastAsia="宋体" w:cs="宋体"/>
          <w:sz w:val="29"/>
          <w:szCs w:val="29"/>
        </w:rPr>
      </w:pPr>
      <w:r>
        <w:rPr>
          <w:rFonts w:ascii="Times New Roman" w:hAnsi="Times New Roman" w:eastAsia="Times New Roman" w:cs="Times New Roman"/>
          <w:b/>
          <w:bCs/>
          <w:spacing w:val="10"/>
          <w:sz w:val="29"/>
          <w:szCs w:val="29"/>
        </w:rPr>
        <w:t>2</w:t>
      </w:r>
      <w:r>
        <w:rPr>
          <w:rFonts w:ascii="Times New Roman" w:hAnsi="Times New Roman" w:eastAsia="Times New Roman" w:cs="Times New Roman"/>
          <w:b/>
          <w:bCs/>
          <w:spacing w:val="6"/>
          <w:sz w:val="29"/>
          <w:szCs w:val="29"/>
        </w:rPr>
        <w:t>.</w:t>
      </w:r>
      <w:r>
        <w:rPr>
          <w:rFonts w:ascii="Times New Roman" w:hAnsi="Times New Roman" w:eastAsia="Times New Roman" w:cs="Times New Roman"/>
          <w:b/>
          <w:bCs/>
          <w:spacing w:val="5"/>
          <w:sz w:val="29"/>
          <w:szCs w:val="29"/>
        </w:rPr>
        <w:t>6.2</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评价范围</w:t>
      </w:r>
    </w:p>
    <w:p w14:paraId="15DF7986">
      <w:pPr>
        <w:spacing w:line="269" w:lineRule="auto"/>
        <w:rPr>
          <w:rFonts w:ascii="Arial"/>
          <w:sz w:val="21"/>
        </w:rPr>
      </w:pPr>
    </w:p>
    <w:p w14:paraId="2A7936BE">
      <w:pPr>
        <w:spacing w:before="75" w:line="392" w:lineRule="auto"/>
        <w:ind w:left="24" w:right="16" w:firstLine="479"/>
        <w:rPr>
          <w:rFonts w:ascii="宋体" w:hAnsi="宋体" w:eastAsia="宋体" w:cs="宋体"/>
          <w:sz w:val="23"/>
          <w:szCs w:val="23"/>
        </w:rPr>
      </w:pPr>
      <w:r>
        <w:rPr>
          <w:rFonts w:ascii="宋体" w:hAnsi="宋体" w:eastAsia="宋体" w:cs="宋体"/>
          <w:spacing w:val="-1"/>
          <w:sz w:val="23"/>
          <w:szCs w:val="23"/>
        </w:rPr>
        <w:t>根据项目污染</w:t>
      </w:r>
      <w:r>
        <w:rPr>
          <w:rFonts w:ascii="宋体" w:hAnsi="宋体" w:eastAsia="宋体" w:cs="宋体"/>
          <w:sz w:val="23"/>
          <w:szCs w:val="23"/>
        </w:rPr>
        <w:t xml:space="preserve">物排放特点及当地气象条件、自然环境状况，确定各环境要素评 </w:t>
      </w:r>
      <w:r>
        <w:rPr>
          <w:rFonts w:ascii="宋体" w:hAnsi="宋体" w:eastAsia="宋体" w:cs="宋体"/>
          <w:spacing w:val="-4"/>
          <w:sz w:val="23"/>
          <w:szCs w:val="23"/>
        </w:rPr>
        <w:t>价</w:t>
      </w:r>
      <w:r>
        <w:rPr>
          <w:rFonts w:ascii="宋体" w:hAnsi="宋体" w:eastAsia="宋体" w:cs="宋体"/>
          <w:spacing w:val="-2"/>
          <w:sz w:val="23"/>
          <w:szCs w:val="23"/>
        </w:rPr>
        <w:t>范围如下：</w:t>
      </w:r>
    </w:p>
    <w:p w14:paraId="37984391">
      <w:pPr>
        <w:spacing w:before="148" w:line="395" w:lineRule="auto"/>
        <w:ind w:left="23" w:right="16" w:firstLine="46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w:t>
      </w:r>
      <w:r>
        <w:rPr>
          <w:rFonts w:ascii="宋体" w:hAnsi="宋体" w:eastAsia="宋体" w:cs="宋体"/>
          <w:spacing w:val="-1"/>
          <w:sz w:val="23"/>
          <w:szCs w:val="23"/>
        </w:rPr>
        <w:t>) 环境空气：根据《环境影响评价技术导则大气环境》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2.2-20</w:t>
      </w:r>
      <w:r>
        <w:rPr>
          <w:rFonts w:ascii="Times New Roman" w:hAnsi="Times New Roman" w:eastAsia="Times New Roman" w:cs="Times New Roman"/>
          <w:sz w:val="23"/>
          <w:szCs w:val="23"/>
        </w:rPr>
        <w:t>18</w:t>
      </w:r>
      <w:r>
        <w:rPr>
          <w:rFonts w:ascii="宋体" w:hAnsi="宋体" w:eastAsia="宋体" w:cs="宋体"/>
          <w:sz w:val="23"/>
          <w:szCs w:val="23"/>
        </w:rPr>
        <w:t xml:space="preserve">) 的有 </w:t>
      </w:r>
      <w:r>
        <w:rPr>
          <w:rFonts w:ascii="宋体" w:hAnsi="宋体" w:eastAsia="宋体" w:cs="宋体"/>
          <w:spacing w:val="1"/>
          <w:sz w:val="23"/>
          <w:szCs w:val="23"/>
        </w:rPr>
        <w:t>关规定，结合本项目规模、大气</w:t>
      </w:r>
      <w:r>
        <w:rPr>
          <w:rFonts w:ascii="宋体" w:hAnsi="宋体" w:eastAsia="宋体" w:cs="宋体"/>
          <w:sz w:val="23"/>
          <w:szCs w:val="23"/>
        </w:rPr>
        <w:t xml:space="preserve">污染物排放特点、气象条件等因素，确定大气环境 </w:t>
      </w:r>
      <w:r>
        <w:rPr>
          <w:rFonts w:ascii="宋体" w:hAnsi="宋体" w:eastAsia="宋体" w:cs="宋体"/>
          <w:spacing w:val="-8"/>
          <w:sz w:val="23"/>
          <w:szCs w:val="23"/>
        </w:rPr>
        <w:t>影响评</w:t>
      </w:r>
      <w:r>
        <w:rPr>
          <w:rFonts w:ascii="宋体" w:hAnsi="宋体" w:eastAsia="宋体" w:cs="宋体"/>
          <w:spacing w:val="-6"/>
          <w:sz w:val="23"/>
          <w:szCs w:val="23"/>
        </w:rPr>
        <w:t>价</w:t>
      </w:r>
      <w:r>
        <w:rPr>
          <w:rFonts w:ascii="宋体" w:hAnsi="宋体" w:eastAsia="宋体" w:cs="宋体"/>
          <w:spacing w:val="-4"/>
          <w:sz w:val="23"/>
          <w:szCs w:val="23"/>
        </w:rPr>
        <w:t xml:space="preserve">范围为以项目厂址为中心区域，边长取 </w:t>
      </w:r>
      <w:r>
        <w:rPr>
          <w:rFonts w:ascii="Times New Roman" w:hAnsi="Times New Roman" w:eastAsia="Times New Roman" w:cs="Times New Roman"/>
          <w:spacing w:val="-4"/>
          <w:sz w:val="23"/>
          <w:szCs w:val="23"/>
        </w:rPr>
        <w:t xml:space="preserve">5km </w:t>
      </w:r>
      <w:r>
        <w:rPr>
          <w:rFonts w:ascii="宋体" w:hAnsi="宋体" w:eastAsia="宋体" w:cs="宋体"/>
          <w:spacing w:val="-4"/>
          <w:sz w:val="23"/>
          <w:szCs w:val="23"/>
        </w:rPr>
        <w:t>的矩形范围。</w:t>
      </w:r>
    </w:p>
    <w:p w14:paraId="6D6B4E05">
      <w:pPr>
        <w:spacing w:before="131" w:line="227" w:lineRule="auto"/>
        <w:ind w:left="574"/>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8"/>
          <w:sz w:val="23"/>
          <w:szCs w:val="23"/>
        </w:rPr>
        <w:t>2</w:t>
      </w:r>
      <w:r>
        <w:rPr>
          <w:rFonts w:ascii="宋体" w:hAnsi="宋体" w:eastAsia="宋体" w:cs="宋体"/>
          <w:spacing w:val="8"/>
          <w:sz w:val="23"/>
          <w:szCs w:val="23"/>
        </w:rPr>
        <w:t>) 地下水环境：</w:t>
      </w:r>
    </w:p>
    <w:p w14:paraId="3F7E045D">
      <w:pPr>
        <w:spacing w:line="287" w:lineRule="auto"/>
        <w:rPr>
          <w:rFonts w:ascii="Arial"/>
          <w:sz w:val="21"/>
        </w:rPr>
      </w:pPr>
    </w:p>
    <w:p w14:paraId="2D825EAE">
      <w:pPr>
        <w:spacing w:before="75" w:line="381" w:lineRule="auto"/>
        <w:ind w:left="23" w:right="42" w:firstLine="423"/>
        <w:rPr>
          <w:rFonts w:ascii="宋体" w:hAnsi="宋体" w:eastAsia="宋体" w:cs="宋体"/>
          <w:sz w:val="23"/>
          <w:szCs w:val="23"/>
        </w:rPr>
      </w:pPr>
      <w:r>
        <w:rPr>
          <w:rFonts w:ascii="宋体" w:hAnsi="宋体" w:eastAsia="宋体" w:cs="宋体"/>
          <w:spacing w:val="-6"/>
          <w:sz w:val="23"/>
          <w:szCs w:val="23"/>
        </w:rPr>
        <w:t>项目场地周边地势平缓、水文地质条件相对简单，根据《环境影响评价技术导</w:t>
      </w:r>
      <w:r>
        <w:rPr>
          <w:rFonts w:ascii="宋体" w:hAnsi="宋体" w:eastAsia="宋体" w:cs="宋体"/>
          <w:spacing w:val="-2"/>
          <w:sz w:val="23"/>
          <w:szCs w:val="23"/>
        </w:rPr>
        <w:t>则</w:t>
      </w:r>
      <w:r>
        <w:rPr>
          <w:rFonts w:ascii="宋体" w:hAnsi="宋体" w:eastAsia="宋体" w:cs="宋体"/>
          <w:sz w:val="23"/>
          <w:szCs w:val="23"/>
        </w:rPr>
        <w:t xml:space="preserve"> </w:t>
      </w:r>
      <w:r>
        <w:rPr>
          <w:rFonts w:ascii="宋体" w:hAnsi="宋体" w:eastAsia="宋体" w:cs="宋体"/>
          <w:spacing w:val="-6"/>
          <w:sz w:val="23"/>
          <w:szCs w:val="23"/>
        </w:rPr>
        <w:t>地下水环境》  (</w:t>
      </w:r>
      <w:r>
        <w:rPr>
          <w:rFonts w:ascii="Times New Roman" w:hAnsi="Times New Roman" w:eastAsia="Times New Roman" w:cs="Times New Roman"/>
          <w:spacing w:val="-6"/>
          <w:sz w:val="23"/>
          <w:szCs w:val="23"/>
        </w:rPr>
        <w:t>HJ 610-2016</w:t>
      </w:r>
      <w:r>
        <w:rPr>
          <w:rFonts w:ascii="宋体" w:hAnsi="宋体" w:eastAsia="宋体" w:cs="宋体"/>
          <w:spacing w:val="-6"/>
          <w:sz w:val="23"/>
          <w:szCs w:val="23"/>
        </w:rPr>
        <w:t xml:space="preserve">) 的有关规定，并参照 </w:t>
      </w:r>
      <w:r>
        <w:rPr>
          <w:rFonts w:ascii="Times New Roman" w:hAnsi="Times New Roman" w:eastAsia="Times New Roman" w:cs="Times New Roman"/>
          <w:spacing w:val="-6"/>
          <w:sz w:val="23"/>
          <w:szCs w:val="23"/>
        </w:rPr>
        <w:t>HJ/</w:t>
      </w:r>
      <w:r>
        <w:rPr>
          <w:rFonts w:ascii="Times New Roman" w:hAnsi="Times New Roman" w:eastAsia="Times New Roman" w:cs="Times New Roman"/>
          <w:spacing w:val="-5"/>
          <w:sz w:val="23"/>
          <w:szCs w:val="23"/>
        </w:rPr>
        <w:t>T</w:t>
      </w:r>
      <w:r>
        <w:rPr>
          <w:rFonts w:ascii="Times New Roman" w:hAnsi="Times New Roman" w:eastAsia="Times New Roman" w:cs="Times New Roman"/>
          <w:spacing w:val="-6"/>
          <w:sz w:val="23"/>
          <w:szCs w:val="23"/>
        </w:rPr>
        <w:t xml:space="preserve"> 338</w:t>
      </w:r>
      <w:r>
        <w:rPr>
          <w:rFonts w:ascii="宋体" w:hAnsi="宋体" w:eastAsia="宋体" w:cs="宋体"/>
          <w:spacing w:val="-6"/>
          <w:sz w:val="23"/>
          <w:szCs w:val="23"/>
        </w:rPr>
        <w:t>，采用公式计算法确定</w:t>
      </w:r>
      <w:r>
        <w:rPr>
          <w:rFonts w:ascii="宋体" w:hAnsi="宋体" w:eastAsia="宋体" w:cs="宋体"/>
          <w:sz w:val="23"/>
          <w:szCs w:val="23"/>
        </w:rPr>
        <w:t xml:space="preserve"> </w:t>
      </w:r>
      <w:r>
        <w:rPr>
          <w:rFonts w:ascii="宋体" w:hAnsi="宋体" w:eastAsia="宋体" w:cs="宋体"/>
          <w:spacing w:val="-4"/>
          <w:sz w:val="23"/>
          <w:szCs w:val="23"/>
        </w:rPr>
        <w:t>下</w:t>
      </w:r>
      <w:r>
        <w:rPr>
          <w:rFonts w:ascii="宋体" w:hAnsi="宋体" w:eastAsia="宋体" w:cs="宋体"/>
          <w:spacing w:val="-3"/>
          <w:sz w:val="23"/>
          <w:szCs w:val="23"/>
        </w:rPr>
        <w:t>游</w:t>
      </w:r>
      <w:r>
        <w:rPr>
          <w:rFonts w:ascii="宋体" w:hAnsi="宋体" w:eastAsia="宋体" w:cs="宋体"/>
          <w:spacing w:val="-2"/>
          <w:sz w:val="23"/>
          <w:szCs w:val="23"/>
        </w:rPr>
        <w:t>迁移距离。</w:t>
      </w:r>
    </w:p>
    <w:p w14:paraId="1D181486">
      <w:pPr>
        <w:spacing w:before="139" w:line="323" w:lineRule="exact"/>
        <w:ind w:left="3700"/>
        <w:rPr>
          <w:rFonts w:ascii="Times New Roman" w:hAnsi="Times New Roman" w:eastAsia="Times New Roman" w:cs="Times New Roman"/>
          <w:sz w:val="23"/>
          <w:szCs w:val="23"/>
        </w:rPr>
      </w:pPr>
      <w:r>
        <w:rPr>
          <w:rFonts w:ascii="Times New Roman" w:hAnsi="Times New Roman" w:eastAsia="Times New Roman" w:cs="Times New Roman"/>
          <w:spacing w:val="-1"/>
          <w:position w:val="2"/>
          <w:sz w:val="23"/>
          <w:szCs w:val="23"/>
        </w:rPr>
        <w:t>L=α×K×</w:t>
      </w:r>
      <w:r>
        <w:rPr>
          <w:rFonts w:ascii="Times New Roman" w:hAnsi="Times New Roman" w:eastAsia="Times New Roman" w:cs="Times New Roman"/>
          <w:position w:val="2"/>
          <w:sz w:val="23"/>
          <w:szCs w:val="23"/>
        </w:rPr>
        <w:t>I</w:t>
      </w:r>
      <w:r>
        <w:rPr>
          <w:rFonts w:ascii="Times New Roman" w:hAnsi="Times New Roman" w:eastAsia="Times New Roman" w:cs="Times New Roman"/>
          <w:spacing w:val="-1"/>
          <w:position w:val="2"/>
          <w:sz w:val="23"/>
          <w:szCs w:val="23"/>
        </w:rPr>
        <w:t>×</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1"/>
          <w:position w:val="2"/>
          <w:sz w:val="23"/>
          <w:szCs w:val="23"/>
        </w:rPr>
        <w:t>/</w:t>
      </w:r>
      <w:r>
        <w:rPr>
          <w:rFonts w:ascii="Times New Roman" w:hAnsi="Times New Roman" w:eastAsia="Times New Roman" w:cs="Times New Roman"/>
          <w:position w:val="2"/>
          <w:sz w:val="23"/>
          <w:szCs w:val="23"/>
        </w:rPr>
        <w:t>n</w:t>
      </w:r>
    </w:p>
    <w:p w14:paraId="51948B8A">
      <w:pPr>
        <w:spacing w:line="291" w:lineRule="auto"/>
        <w:rPr>
          <w:rFonts w:ascii="Arial"/>
          <w:sz w:val="21"/>
        </w:rPr>
      </w:pPr>
    </w:p>
    <w:p w14:paraId="29956802">
      <w:pPr>
        <w:spacing w:before="76" w:line="228" w:lineRule="auto"/>
        <w:ind w:left="479"/>
        <w:rPr>
          <w:rFonts w:ascii="宋体" w:hAnsi="宋体" w:eastAsia="宋体" w:cs="宋体"/>
          <w:sz w:val="23"/>
          <w:szCs w:val="23"/>
        </w:rPr>
      </w:pPr>
      <w:r>
        <w:rPr>
          <w:rFonts w:ascii="宋体" w:hAnsi="宋体" w:eastAsia="宋体" w:cs="宋体"/>
          <w:spacing w:val="-4"/>
          <w:sz w:val="23"/>
          <w:szCs w:val="23"/>
        </w:rPr>
        <w:t>式中：</w:t>
      </w:r>
      <w:r>
        <w:rPr>
          <w:rFonts w:ascii="Times New Roman" w:hAnsi="Times New Roman" w:eastAsia="Times New Roman" w:cs="Times New Roman"/>
          <w:spacing w:val="-2"/>
          <w:sz w:val="23"/>
          <w:szCs w:val="23"/>
        </w:rPr>
        <w:t>L</w:t>
      </w:r>
      <w:r>
        <w:rPr>
          <w:rFonts w:ascii="Times New Roman" w:hAnsi="Times New Roman" w:eastAsia="Times New Roman" w:cs="Times New Roman"/>
          <w:spacing w:val="-4"/>
          <w:sz w:val="23"/>
          <w:szCs w:val="23"/>
        </w:rPr>
        <w:t>—</w:t>
      </w:r>
      <w:r>
        <w:rPr>
          <w:rFonts w:ascii="宋体" w:hAnsi="宋体" w:eastAsia="宋体" w:cs="宋体"/>
          <w:spacing w:val="-4"/>
          <w:sz w:val="23"/>
          <w:szCs w:val="23"/>
        </w:rPr>
        <w:t>下</w:t>
      </w:r>
      <w:r>
        <w:rPr>
          <w:rFonts w:ascii="宋体" w:hAnsi="宋体" w:eastAsia="宋体" w:cs="宋体"/>
          <w:spacing w:val="-2"/>
          <w:sz w:val="23"/>
          <w:szCs w:val="23"/>
        </w:rPr>
        <w:t>游迁移距离，</w:t>
      </w:r>
      <w:r>
        <w:rPr>
          <w:rFonts w:ascii="Times New Roman" w:hAnsi="Times New Roman" w:eastAsia="Times New Roman" w:cs="Times New Roman"/>
          <w:spacing w:val="-2"/>
          <w:sz w:val="23"/>
          <w:szCs w:val="23"/>
        </w:rPr>
        <w:t>m</w:t>
      </w:r>
      <w:r>
        <w:rPr>
          <w:rFonts w:ascii="宋体" w:hAnsi="宋体" w:eastAsia="宋体" w:cs="宋体"/>
          <w:spacing w:val="-2"/>
          <w:sz w:val="23"/>
          <w:szCs w:val="23"/>
        </w:rPr>
        <w:t>；</w:t>
      </w:r>
    </w:p>
    <w:p w14:paraId="5D2AC2CB">
      <w:pPr>
        <w:spacing w:before="256" w:line="566" w:lineRule="exact"/>
        <w:ind w:left="1154"/>
        <w:rPr>
          <w:rFonts w:ascii="宋体" w:hAnsi="宋体" w:eastAsia="宋体" w:cs="宋体"/>
          <w:sz w:val="23"/>
          <w:szCs w:val="23"/>
        </w:rPr>
      </w:pPr>
      <w:r>
        <w:rPr>
          <w:rFonts w:ascii="Times New Roman" w:hAnsi="Times New Roman" w:eastAsia="Times New Roman" w:cs="Times New Roman"/>
          <w:spacing w:val="-16"/>
          <w:position w:val="21"/>
          <w:sz w:val="23"/>
          <w:szCs w:val="23"/>
        </w:rPr>
        <w:t>α</w:t>
      </w:r>
      <w:r>
        <w:rPr>
          <w:rFonts w:ascii="Times New Roman" w:hAnsi="Times New Roman" w:eastAsia="Times New Roman" w:cs="Times New Roman"/>
          <w:spacing w:val="-11"/>
          <w:position w:val="21"/>
          <w:sz w:val="23"/>
          <w:szCs w:val="23"/>
        </w:rPr>
        <w:t>—</w:t>
      </w:r>
      <w:r>
        <w:rPr>
          <w:rFonts w:ascii="宋体" w:hAnsi="宋体" w:eastAsia="宋体" w:cs="宋体"/>
          <w:spacing w:val="-8"/>
          <w:position w:val="21"/>
          <w:sz w:val="23"/>
          <w:szCs w:val="23"/>
        </w:rPr>
        <w:t>变化系数，</w:t>
      </w:r>
      <w:r>
        <w:rPr>
          <w:rFonts w:ascii="Times New Roman" w:hAnsi="Times New Roman" w:eastAsia="Times New Roman" w:cs="Times New Roman"/>
          <w:spacing w:val="-8"/>
          <w:position w:val="21"/>
          <w:sz w:val="23"/>
          <w:szCs w:val="23"/>
        </w:rPr>
        <w:t>α≥ 1</w:t>
      </w:r>
      <w:r>
        <w:rPr>
          <w:rFonts w:ascii="宋体" w:hAnsi="宋体" w:eastAsia="宋体" w:cs="宋体"/>
          <w:spacing w:val="-8"/>
          <w:position w:val="21"/>
          <w:sz w:val="23"/>
          <w:szCs w:val="23"/>
        </w:rPr>
        <w:t xml:space="preserve">，一般取 </w:t>
      </w:r>
      <w:r>
        <w:rPr>
          <w:rFonts w:ascii="Times New Roman" w:hAnsi="Times New Roman" w:eastAsia="Times New Roman" w:cs="Times New Roman"/>
          <w:spacing w:val="-8"/>
          <w:position w:val="21"/>
          <w:sz w:val="23"/>
          <w:szCs w:val="23"/>
        </w:rPr>
        <w:t>2</w:t>
      </w:r>
      <w:r>
        <w:rPr>
          <w:rFonts w:ascii="宋体" w:hAnsi="宋体" w:eastAsia="宋体" w:cs="宋体"/>
          <w:spacing w:val="-8"/>
          <w:position w:val="21"/>
          <w:sz w:val="23"/>
          <w:szCs w:val="23"/>
        </w:rPr>
        <w:t>；</w:t>
      </w:r>
    </w:p>
    <w:p w14:paraId="5F046B35">
      <w:pPr>
        <w:spacing w:line="323" w:lineRule="exact"/>
        <w:ind w:left="1148"/>
        <w:rPr>
          <w:rFonts w:ascii="宋体" w:hAnsi="宋体" w:eastAsia="宋体" w:cs="宋体"/>
          <w:sz w:val="23"/>
          <w:szCs w:val="23"/>
        </w:rPr>
      </w:pPr>
      <w:r>
        <w:rPr>
          <w:rFonts w:ascii="Times New Roman" w:hAnsi="Times New Roman" w:eastAsia="Times New Roman" w:cs="Times New Roman"/>
          <w:spacing w:val="-4"/>
          <w:position w:val="1"/>
          <w:sz w:val="23"/>
          <w:szCs w:val="23"/>
        </w:rPr>
        <w:t>K</w:t>
      </w:r>
      <w:r>
        <w:rPr>
          <w:rFonts w:ascii="Times New Roman" w:hAnsi="Times New Roman" w:eastAsia="Times New Roman" w:cs="Times New Roman"/>
          <w:spacing w:val="-8"/>
          <w:position w:val="1"/>
          <w:sz w:val="23"/>
          <w:szCs w:val="23"/>
        </w:rPr>
        <w:t>—</w:t>
      </w:r>
      <w:r>
        <w:rPr>
          <w:rFonts w:ascii="宋体" w:hAnsi="宋体" w:eastAsia="宋体" w:cs="宋体"/>
          <w:spacing w:val="-7"/>
          <w:position w:val="1"/>
          <w:sz w:val="23"/>
          <w:szCs w:val="23"/>
        </w:rPr>
        <w:t>渗</w:t>
      </w:r>
      <w:r>
        <w:rPr>
          <w:rFonts w:ascii="宋体" w:hAnsi="宋体" w:eastAsia="宋体" w:cs="宋体"/>
          <w:spacing w:val="-4"/>
          <w:position w:val="1"/>
          <w:sz w:val="23"/>
          <w:szCs w:val="23"/>
        </w:rPr>
        <w:t>透系数，</w:t>
      </w:r>
      <w:r>
        <w:rPr>
          <w:rFonts w:ascii="Times New Roman" w:hAnsi="Times New Roman" w:eastAsia="Times New Roman" w:cs="Times New Roman"/>
          <w:spacing w:val="-4"/>
          <w:position w:val="1"/>
          <w:sz w:val="23"/>
          <w:szCs w:val="23"/>
        </w:rPr>
        <w:t>m/d</w:t>
      </w:r>
      <w:r>
        <w:rPr>
          <w:rFonts w:ascii="宋体" w:hAnsi="宋体" w:eastAsia="宋体" w:cs="宋体"/>
          <w:spacing w:val="-4"/>
          <w:position w:val="1"/>
          <w:sz w:val="23"/>
          <w:szCs w:val="23"/>
        </w:rPr>
        <w:t xml:space="preserve">，取 </w:t>
      </w:r>
      <w:r>
        <w:rPr>
          <w:rFonts w:ascii="Times New Roman" w:hAnsi="Times New Roman" w:eastAsia="Times New Roman" w:cs="Times New Roman"/>
          <w:spacing w:val="-4"/>
          <w:position w:val="1"/>
          <w:sz w:val="23"/>
          <w:szCs w:val="23"/>
        </w:rPr>
        <w:t>30m/d</w:t>
      </w:r>
      <w:r>
        <w:rPr>
          <w:rFonts w:ascii="宋体" w:hAnsi="宋体" w:eastAsia="宋体" w:cs="宋体"/>
          <w:spacing w:val="-4"/>
          <w:position w:val="1"/>
          <w:sz w:val="23"/>
          <w:szCs w:val="23"/>
        </w:rPr>
        <w:t>；</w:t>
      </w:r>
    </w:p>
    <w:p w14:paraId="675BE236">
      <w:pPr>
        <w:spacing w:before="276" w:line="534" w:lineRule="exact"/>
        <w:ind w:left="1150"/>
        <w:rPr>
          <w:rFonts w:ascii="宋体" w:hAnsi="宋体" w:eastAsia="宋体" w:cs="宋体"/>
          <w:sz w:val="23"/>
          <w:szCs w:val="23"/>
        </w:rPr>
      </w:pPr>
      <w:r>
        <w:rPr>
          <w:rFonts w:ascii="Times New Roman" w:hAnsi="Times New Roman" w:eastAsia="Times New Roman" w:cs="Times New Roman"/>
          <w:spacing w:val="-5"/>
          <w:position w:val="20"/>
          <w:sz w:val="23"/>
          <w:szCs w:val="23"/>
        </w:rPr>
        <w:t>I—</w:t>
      </w:r>
      <w:r>
        <w:rPr>
          <w:rFonts w:ascii="宋体" w:hAnsi="宋体" w:eastAsia="宋体" w:cs="宋体"/>
          <w:spacing w:val="-5"/>
          <w:position w:val="20"/>
          <w:sz w:val="23"/>
          <w:szCs w:val="23"/>
        </w:rPr>
        <w:t xml:space="preserve">水力坡度，无量纲，本次工作取值为 </w:t>
      </w:r>
      <w:r>
        <w:rPr>
          <w:rFonts w:ascii="Times New Roman" w:hAnsi="Times New Roman" w:eastAsia="Times New Roman" w:cs="Times New Roman"/>
          <w:spacing w:val="-5"/>
          <w:position w:val="20"/>
          <w:sz w:val="23"/>
          <w:szCs w:val="23"/>
        </w:rPr>
        <w:t>1</w:t>
      </w:r>
      <w:r>
        <w:rPr>
          <w:rFonts w:ascii="Times New Roman" w:hAnsi="Times New Roman" w:eastAsia="Times New Roman" w:cs="Times New Roman"/>
          <w:spacing w:val="-5"/>
          <w:position w:val="20"/>
          <w:sz w:val="20"/>
          <w:szCs w:val="20"/>
        </w:rPr>
        <w:t>‰</w:t>
      </w:r>
      <w:r>
        <w:rPr>
          <w:rFonts w:ascii="宋体" w:hAnsi="宋体" w:eastAsia="宋体" w:cs="宋体"/>
          <w:spacing w:val="-5"/>
          <w:position w:val="20"/>
          <w:sz w:val="23"/>
          <w:szCs w:val="23"/>
        </w:rPr>
        <w:t>；</w:t>
      </w:r>
    </w:p>
    <w:p w14:paraId="1F047140">
      <w:pPr>
        <w:spacing w:line="323" w:lineRule="exact"/>
        <w:ind w:left="1151"/>
        <w:rPr>
          <w:rFonts w:ascii="宋体" w:hAnsi="宋体" w:eastAsia="宋体" w:cs="宋体"/>
          <w:sz w:val="23"/>
          <w:szCs w:val="23"/>
        </w:rPr>
      </w:pPr>
      <w:r>
        <w:rPr>
          <w:rFonts w:ascii="Times New Roman" w:hAnsi="Times New Roman" w:eastAsia="Times New Roman" w:cs="Times New Roman"/>
          <w:spacing w:val="-2"/>
          <w:position w:val="1"/>
          <w:sz w:val="23"/>
          <w:szCs w:val="23"/>
        </w:rPr>
        <w:t>T</w:t>
      </w:r>
      <w:r>
        <w:rPr>
          <w:rFonts w:ascii="Times New Roman" w:hAnsi="Times New Roman" w:eastAsia="Times New Roman" w:cs="Times New Roman"/>
          <w:spacing w:val="-4"/>
          <w:position w:val="1"/>
          <w:sz w:val="23"/>
          <w:szCs w:val="23"/>
        </w:rPr>
        <w:t>—</w:t>
      </w:r>
      <w:r>
        <w:rPr>
          <w:rFonts w:ascii="宋体" w:hAnsi="宋体" w:eastAsia="宋体" w:cs="宋体"/>
          <w:spacing w:val="-2"/>
          <w:position w:val="1"/>
          <w:sz w:val="23"/>
          <w:szCs w:val="23"/>
        </w:rPr>
        <w:t>质点迁移天数，取值</w:t>
      </w:r>
      <w:r>
        <w:rPr>
          <w:rFonts w:ascii="Times New Roman" w:hAnsi="Times New Roman" w:eastAsia="Times New Roman" w:cs="Times New Roman"/>
          <w:spacing w:val="-2"/>
          <w:position w:val="1"/>
          <w:sz w:val="23"/>
          <w:szCs w:val="23"/>
        </w:rPr>
        <w:t>= 5000d</w:t>
      </w:r>
      <w:r>
        <w:rPr>
          <w:rFonts w:ascii="宋体" w:hAnsi="宋体" w:eastAsia="宋体" w:cs="宋体"/>
          <w:spacing w:val="-2"/>
          <w:position w:val="1"/>
          <w:sz w:val="23"/>
          <w:szCs w:val="23"/>
        </w:rPr>
        <w:t>；</w:t>
      </w:r>
    </w:p>
    <w:p w14:paraId="7D04F259">
      <w:pPr>
        <w:spacing w:before="288" w:line="333" w:lineRule="auto"/>
        <w:ind w:left="22" w:right="18" w:firstLine="1123"/>
        <w:rPr>
          <w:rFonts w:ascii="宋体" w:hAnsi="宋体" w:eastAsia="宋体" w:cs="宋体"/>
          <w:sz w:val="23"/>
          <w:szCs w:val="23"/>
        </w:rPr>
      </w:pPr>
      <w:r>
        <w:rPr>
          <w:rFonts w:ascii="Times New Roman" w:hAnsi="Times New Roman" w:eastAsia="Times New Roman" w:cs="Times New Roman"/>
          <w:sz w:val="23"/>
          <w:szCs w:val="23"/>
        </w:rPr>
        <w:t>ne</w:t>
      </w:r>
      <w:r>
        <w:rPr>
          <w:rFonts w:ascii="Times New Roman" w:hAnsi="Times New Roman" w:eastAsia="Times New Roman" w:cs="Times New Roman"/>
          <w:spacing w:val="2"/>
          <w:sz w:val="23"/>
          <w:szCs w:val="23"/>
        </w:rPr>
        <w:t>—</w:t>
      </w:r>
      <w:r>
        <w:rPr>
          <w:rFonts w:ascii="宋体" w:hAnsi="宋体" w:eastAsia="宋体" w:cs="宋体"/>
          <w:spacing w:val="2"/>
          <w:sz w:val="23"/>
          <w:szCs w:val="23"/>
        </w:rPr>
        <w:t>有效孔隙度，无量纲，从保守原则出发根据收集</w:t>
      </w:r>
      <w:r>
        <w:rPr>
          <w:rFonts w:ascii="宋体" w:hAnsi="宋体" w:eastAsia="宋体" w:cs="宋体"/>
          <w:spacing w:val="1"/>
          <w:sz w:val="23"/>
          <w:szCs w:val="23"/>
        </w:rPr>
        <w:t>的已有水文地质数</w:t>
      </w:r>
      <w:r>
        <w:rPr>
          <w:rFonts w:ascii="宋体" w:hAnsi="宋体" w:eastAsia="宋体" w:cs="宋体"/>
          <w:sz w:val="23"/>
          <w:szCs w:val="23"/>
        </w:rPr>
        <w:t xml:space="preserve"> </w:t>
      </w:r>
      <w:r>
        <w:rPr>
          <w:rFonts w:ascii="宋体" w:hAnsi="宋体" w:eastAsia="宋体" w:cs="宋体"/>
          <w:spacing w:val="-9"/>
          <w:sz w:val="23"/>
          <w:szCs w:val="23"/>
        </w:rPr>
        <w:t>据</w:t>
      </w:r>
      <w:r>
        <w:rPr>
          <w:rFonts w:ascii="宋体" w:hAnsi="宋体" w:eastAsia="宋体" w:cs="宋体"/>
          <w:spacing w:val="-8"/>
          <w:sz w:val="23"/>
          <w:szCs w:val="23"/>
        </w:rPr>
        <w:t xml:space="preserve">，取值 </w:t>
      </w:r>
      <w:r>
        <w:rPr>
          <w:rFonts w:ascii="Times New Roman" w:hAnsi="Times New Roman" w:eastAsia="Times New Roman" w:cs="Times New Roman"/>
          <w:spacing w:val="-8"/>
          <w:sz w:val="23"/>
          <w:szCs w:val="23"/>
        </w:rPr>
        <w:t>0.35</w:t>
      </w:r>
      <w:r>
        <w:rPr>
          <w:rFonts w:ascii="宋体" w:hAnsi="宋体" w:eastAsia="宋体" w:cs="宋体"/>
          <w:spacing w:val="-8"/>
          <w:sz w:val="23"/>
          <w:szCs w:val="23"/>
        </w:rPr>
        <w:t>。</w:t>
      </w:r>
    </w:p>
    <w:p w14:paraId="2CA45D6C">
      <w:pPr>
        <w:spacing w:before="201" w:line="395" w:lineRule="auto"/>
        <w:ind w:left="22" w:right="16" w:firstLine="447"/>
        <w:rPr>
          <w:rFonts w:ascii="宋体" w:hAnsi="宋体" w:eastAsia="宋体" w:cs="宋体"/>
          <w:sz w:val="20"/>
          <w:szCs w:val="20"/>
        </w:rPr>
      </w:pPr>
      <w:r>
        <w:rPr>
          <w:rFonts w:ascii="Times New Roman" w:hAnsi="Times New Roman" w:eastAsia="Times New Roman" w:cs="Times New Roman"/>
          <w:spacing w:val="-3"/>
          <w:sz w:val="23"/>
          <w:szCs w:val="23"/>
        </w:rPr>
        <w:t>L</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w:t>
      </w:r>
      <w:r>
        <w:rPr>
          <w:rFonts w:ascii="宋体" w:hAnsi="宋体" w:eastAsia="宋体" w:cs="宋体"/>
          <w:spacing w:val="-5"/>
          <w:sz w:val="23"/>
          <w:szCs w:val="23"/>
        </w:rPr>
        <w:t>计</w:t>
      </w:r>
      <w:r>
        <w:rPr>
          <w:rFonts w:ascii="宋体" w:hAnsi="宋体" w:eastAsia="宋体" w:cs="宋体"/>
          <w:spacing w:val="-3"/>
          <w:sz w:val="23"/>
          <w:szCs w:val="23"/>
        </w:rPr>
        <w:t xml:space="preserve">算结果为 </w:t>
      </w:r>
      <w:r>
        <w:rPr>
          <w:rFonts w:ascii="Times New Roman" w:hAnsi="Times New Roman" w:eastAsia="Times New Roman" w:cs="Times New Roman"/>
          <w:spacing w:val="-3"/>
          <w:sz w:val="23"/>
          <w:szCs w:val="23"/>
        </w:rPr>
        <w:t>857m</w:t>
      </w:r>
      <w:r>
        <w:rPr>
          <w:rFonts w:ascii="宋体" w:hAnsi="宋体" w:eastAsia="宋体" w:cs="宋体"/>
          <w:spacing w:val="-3"/>
          <w:sz w:val="23"/>
          <w:szCs w:val="23"/>
        </w:rPr>
        <w:t>，评价范围沿地下水流方向，结合场地实际情况，以厂区</w:t>
      </w:r>
      <w:r>
        <w:rPr>
          <w:rFonts w:ascii="宋体" w:hAnsi="宋体" w:eastAsia="宋体" w:cs="宋体"/>
          <w:sz w:val="23"/>
          <w:szCs w:val="23"/>
        </w:rPr>
        <w:t xml:space="preserve"> </w:t>
      </w:r>
      <w:r>
        <w:rPr>
          <w:rFonts w:ascii="宋体" w:hAnsi="宋体" w:eastAsia="宋体" w:cs="宋体"/>
          <w:spacing w:val="-4"/>
          <w:sz w:val="23"/>
          <w:szCs w:val="23"/>
        </w:rPr>
        <w:t>边界向地下水上游和南、北两侧分</w:t>
      </w:r>
      <w:r>
        <w:rPr>
          <w:rFonts w:ascii="宋体" w:hAnsi="宋体" w:eastAsia="宋体" w:cs="宋体"/>
          <w:spacing w:val="-3"/>
          <w:sz w:val="23"/>
          <w:szCs w:val="23"/>
        </w:rPr>
        <w:t>别</w:t>
      </w:r>
      <w:r>
        <w:rPr>
          <w:rFonts w:ascii="宋体" w:hAnsi="宋体" w:eastAsia="宋体" w:cs="宋体"/>
          <w:spacing w:val="-2"/>
          <w:sz w:val="23"/>
          <w:szCs w:val="23"/>
        </w:rPr>
        <w:t xml:space="preserve">外扩 </w:t>
      </w:r>
      <w:r>
        <w:rPr>
          <w:rFonts w:ascii="Times New Roman" w:hAnsi="Times New Roman" w:eastAsia="Times New Roman" w:cs="Times New Roman"/>
          <w:spacing w:val="-2"/>
          <w:sz w:val="23"/>
          <w:szCs w:val="23"/>
        </w:rPr>
        <w:t>450m</w:t>
      </w:r>
      <w:r>
        <w:rPr>
          <w:rFonts w:ascii="宋体" w:hAnsi="宋体" w:eastAsia="宋体" w:cs="宋体"/>
          <w:spacing w:val="-2"/>
          <w:sz w:val="23"/>
          <w:szCs w:val="23"/>
        </w:rPr>
        <w:t xml:space="preserve">，向地下水下游外扩 </w:t>
      </w:r>
      <w:r>
        <w:rPr>
          <w:rFonts w:ascii="Times New Roman" w:hAnsi="Times New Roman" w:eastAsia="Times New Roman" w:cs="Times New Roman"/>
          <w:spacing w:val="-2"/>
          <w:sz w:val="23"/>
          <w:szCs w:val="23"/>
        </w:rPr>
        <w:t>900m</w:t>
      </w:r>
      <w:r>
        <w:rPr>
          <w:rFonts w:ascii="宋体" w:hAnsi="宋体" w:eastAsia="宋体" w:cs="宋体"/>
          <w:spacing w:val="-2"/>
          <w:sz w:val="23"/>
          <w:szCs w:val="23"/>
        </w:rPr>
        <w:t>，作为本</w:t>
      </w:r>
      <w:r>
        <w:rPr>
          <w:rFonts w:ascii="宋体" w:hAnsi="宋体" w:eastAsia="宋体" w:cs="宋体"/>
          <w:sz w:val="23"/>
          <w:szCs w:val="23"/>
        </w:rPr>
        <w:t xml:space="preserve"> </w:t>
      </w:r>
      <w:r>
        <w:rPr>
          <w:rFonts w:ascii="宋体" w:hAnsi="宋体" w:eastAsia="宋体" w:cs="宋体"/>
          <w:spacing w:val="-10"/>
          <w:sz w:val="23"/>
          <w:szCs w:val="23"/>
        </w:rPr>
        <w:t>项</w:t>
      </w:r>
      <w:r>
        <w:rPr>
          <w:rFonts w:ascii="宋体" w:hAnsi="宋体" w:eastAsia="宋体" w:cs="宋体"/>
          <w:spacing w:val="-6"/>
          <w:sz w:val="23"/>
          <w:szCs w:val="23"/>
        </w:rPr>
        <w:t>目</w:t>
      </w:r>
      <w:r>
        <w:rPr>
          <w:rFonts w:ascii="宋体" w:hAnsi="宋体" w:eastAsia="宋体" w:cs="宋体"/>
          <w:spacing w:val="-5"/>
          <w:sz w:val="23"/>
          <w:szCs w:val="23"/>
        </w:rPr>
        <w:t xml:space="preserve">的调查评价范围，面积约为 </w:t>
      </w:r>
      <w:r>
        <w:rPr>
          <w:rFonts w:ascii="Times New Roman" w:hAnsi="Times New Roman" w:eastAsia="Times New Roman" w:cs="Times New Roman"/>
          <w:spacing w:val="-5"/>
          <w:sz w:val="23"/>
          <w:szCs w:val="23"/>
        </w:rPr>
        <w:t>1.24km</w:t>
      </w:r>
      <w:r>
        <w:rPr>
          <w:rFonts w:ascii="Times New Roman" w:hAnsi="Times New Roman" w:eastAsia="Times New Roman" w:cs="Times New Roman"/>
          <w:spacing w:val="-5"/>
          <w:position w:val="8"/>
          <w:sz w:val="15"/>
          <w:szCs w:val="15"/>
        </w:rPr>
        <w:t>2</w:t>
      </w:r>
      <w:r>
        <w:rPr>
          <w:rFonts w:ascii="宋体" w:hAnsi="宋体" w:eastAsia="宋体" w:cs="宋体"/>
          <w:spacing w:val="-5"/>
          <w:sz w:val="20"/>
          <w:szCs w:val="20"/>
        </w:rPr>
        <w:t>。</w:t>
      </w:r>
    </w:p>
    <w:p w14:paraId="165309D1">
      <w:pPr>
        <w:spacing w:before="131" w:line="393" w:lineRule="auto"/>
        <w:ind w:left="26" w:right="4" w:firstLine="459"/>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3</w:t>
      </w:r>
      <w:r>
        <w:rPr>
          <w:rFonts w:ascii="宋体" w:hAnsi="宋体" w:eastAsia="宋体" w:cs="宋体"/>
          <w:spacing w:val="1"/>
          <w:sz w:val="23"/>
          <w:szCs w:val="23"/>
        </w:rPr>
        <w:t>) 地表水环境：该项目地表水评价仅分析该项</w:t>
      </w:r>
      <w:r>
        <w:rPr>
          <w:rFonts w:ascii="宋体" w:hAnsi="宋体" w:eastAsia="宋体" w:cs="宋体"/>
          <w:sz w:val="23"/>
          <w:szCs w:val="23"/>
        </w:rPr>
        <w:t xml:space="preserve">目生产废水排入本溪市科态污 </w:t>
      </w:r>
      <w:r>
        <w:rPr>
          <w:rFonts w:ascii="宋体" w:hAnsi="宋体" w:eastAsia="宋体" w:cs="宋体"/>
          <w:spacing w:val="-7"/>
          <w:sz w:val="23"/>
          <w:szCs w:val="23"/>
        </w:rPr>
        <w:t>水处理有限责任公司水质依托可行性。不再确定地表水评价范围</w:t>
      </w:r>
      <w:r>
        <w:rPr>
          <w:rFonts w:ascii="宋体" w:hAnsi="宋体" w:eastAsia="宋体" w:cs="宋体"/>
          <w:spacing w:val="-2"/>
          <w:sz w:val="23"/>
          <w:szCs w:val="23"/>
        </w:rPr>
        <w:t>。</w:t>
      </w:r>
    </w:p>
    <w:p w14:paraId="272675ED">
      <w:pPr>
        <w:sectPr>
          <w:headerReference r:id="rId78" w:type="default"/>
          <w:footerReference r:id="rId79" w:type="default"/>
          <w:pgSz w:w="11906" w:h="16839"/>
          <w:pgMar w:top="1132" w:right="1785" w:bottom="1156" w:left="1785" w:header="878" w:footer="996" w:gutter="0"/>
          <w:cols w:space="720" w:num="1"/>
        </w:sectPr>
      </w:pPr>
    </w:p>
    <w:p w14:paraId="750A33C9">
      <w:pPr>
        <w:spacing w:line="408" w:lineRule="auto"/>
        <w:rPr>
          <w:rFonts w:ascii="Arial"/>
          <w:sz w:val="21"/>
        </w:rPr>
      </w:pPr>
      <w:r>
        <w:pict>
          <v:shape id="_x0000_s1105" o:spid="_x0000_s1105" style="position:absolute;left:0pt;margin-left:90pt;margin-top:57.35pt;height:0.75pt;width:415.3pt;mso-position-horizontal-relative:page;mso-position-vertical-relative:page;z-index:251739136;mso-width-relative:page;mso-height-relative:page;" fillcolor="#000000" filled="t" stroked="f" coordsize="8305,15" o:allowincell="f" path="m0,0l8305,0,8305,14,0,14,0,0xe">
            <v:path/>
            <v:fill on="t" focussize="0,0"/>
            <v:stroke on="f"/>
            <v:imagedata o:title=""/>
            <o:lock v:ext="edit"/>
          </v:shape>
        </w:pict>
      </w:r>
    </w:p>
    <w:p w14:paraId="4F547C60">
      <w:pPr>
        <w:spacing w:before="74" w:line="393" w:lineRule="auto"/>
        <w:ind w:left="163" w:right="110" w:firstLine="416"/>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4</w:t>
      </w:r>
      <w:r>
        <w:rPr>
          <w:rFonts w:ascii="宋体" w:hAnsi="宋体" w:eastAsia="宋体" w:cs="宋体"/>
          <w:spacing w:val="1"/>
          <w:sz w:val="23"/>
          <w:szCs w:val="23"/>
        </w:rPr>
        <w:t>) 声环境：根据导</w:t>
      </w:r>
      <w:r>
        <w:rPr>
          <w:rFonts w:ascii="宋体" w:hAnsi="宋体" w:eastAsia="宋体" w:cs="宋体"/>
          <w:sz w:val="23"/>
          <w:szCs w:val="23"/>
        </w:rPr>
        <w:t xml:space="preserve">则要求结合工程噪声污染特点以及厂界四周的声环境敏感 </w:t>
      </w:r>
      <w:r>
        <w:rPr>
          <w:rFonts w:ascii="宋体" w:hAnsi="宋体" w:eastAsia="宋体" w:cs="宋体"/>
          <w:spacing w:val="-7"/>
          <w:sz w:val="23"/>
          <w:szCs w:val="23"/>
        </w:rPr>
        <w:t>目</w:t>
      </w:r>
      <w:r>
        <w:rPr>
          <w:rFonts w:ascii="宋体" w:hAnsi="宋体" w:eastAsia="宋体" w:cs="宋体"/>
          <w:spacing w:val="-4"/>
          <w:sz w:val="23"/>
          <w:szCs w:val="23"/>
        </w:rPr>
        <w:t xml:space="preserve">标分布，确定本次评价的声环境评价范围为项目厂界外 </w:t>
      </w:r>
      <w:r>
        <w:rPr>
          <w:rFonts w:ascii="Times New Roman" w:hAnsi="Times New Roman" w:eastAsia="Times New Roman" w:cs="Times New Roman"/>
          <w:spacing w:val="-4"/>
          <w:sz w:val="23"/>
          <w:szCs w:val="23"/>
        </w:rPr>
        <w:t>200m</w:t>
      </w:r>
      <w:r>
        <w:rPr>
          <w:rFonts w:ascii="宋体" w:hAnsi="宋体" w:eastAsia="宋体" w:cs="宋体"/>
          <w:spacing w:val="-4"/>
          <w:sz w:val="23"/>
          <w:szCs w:val="23"/>
        </w:rPr>
        <w:t>范围内。</w:t>
      </w:r>
    </w:p>
    <w:p w14:paraId="25EF5B13">
      <w:pPr>
        <w:spacing w:before="148" w:line="392" w:lineRule="auto"/>
        <w:ind w:left="118" w:right="112" w:firstLine="461"/>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5</w:t>
      </w:r>
      <w:r>
        <w:rPr>
          <w:rFonts w:ascii="宋体" w:hAnsi="宋体" w:eastAsia="宋体" w:cs="宋体"/>
          <w:spacing w:val="1"/>
          <w:sz w:val="23"/>
          <w:szCs w:val="23"/>
        </w:rPr>
        <w:t>) 土壤环境：</w:t>
      </w:r>
      <w:r>
        <w:rPr>
          <w:rFonts w:ascii="宋体" w:hAnsi="宋体" w:eastAsia="宋体" w:cs="宋体"/>
          <w:sz w:val="23"/>
          <w:szCs w:val="23"/>
        </w:rPr>
        <w:t xml:space="preserve">根据导则中对于土壤环境评价范围的有关规定，结合项目实际 </w:t>
      </w:r>
      <w:r>
        <w:rPr>
          <w:rFonts w:ascii="宋体" w:hAnsi="宋体" w:eastAsia="宋体" w:cs="宋体"/>
          <w:spacing w:val="-8"/>
          <w:sz w:val="23"/>
          <w:szCs w:val="23"/>
        </w:rPr>
        <w:t>情况</w:t>
      </w:r>
      <w:r>
        <w:rPr>
          <w:rFonts w:ascii="宋体" w:hAnsi="宋体" w:eastAsia="宋体" w:cs="宋体"/>
          <w:spacing w:val="-4"/>
          <w:sz w:val="23"/>
          <w:szCs w:val="23"/>
        </w:rPr>
        <w:t xml:space="preserve">，土壤环境评价范围为占地范围内全部及占地范围外 </w:t>
      </w:r>
      <w:r>
        <w:rPr>
          <w:rFonts w:ascii="Times New Roman" w:hAnsi="Times New Roman" w:eastAsia="Times New Roman" w:cs="Times New Roman"/>
          <w:spacing w:val="-4"/>
          <w:sz w:val="23"/>
          <w:szCs w:val="23"/>
        </w:rPr>
        <w:t xml:space="preserve">0.05km </w:t>
      </w:r>
      <w:r>
        <w:rPr>
          <w:rFonts w:ascii="宋体" w:hAnsi="宋体" w:eastAsia="宋体" w:cs="宋体"/>
          <w:spacing w:val="-4"/>
          <w:sz w:val="23"/>
          <w:szCs w:val="23"/>
        </w:rPr>
        <w:t>范围内。</w:t>
      </w:r>
    </w:p>
    <w:p w14:paraId="74ED33CB">
      <w:pPr>
        <w:spacing w:before="149" w:line="226" w:lineRule="auto"/>
        <w:ind w:left="580"/>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6"/>
          <w:sz w:val="23"/>
          <w:szCs w:val="23"/>
        </w:rPr>
        <w:t>6</w:t>
      </w:r>
      <w:r>
        <w:rPr>
          <w:rFonts w:ascii="宋体" w:hAnsi="宋体" w:eastAsia="宋体" w:cs="宋体"/>
          <w:spacing w:val="6"/>
          <w:sz w:val="23"/>
          <w:szCs w:val="23"/>
        </w:rPr>
        <w:t>) 环境风险评价范围</w:t>
      </w:r>
    </w:p>
    <w:p w14:paraId="162A96D9">
      <w:pPr>
        <w:spacing w:line="288" w:lineRule="auto"/>
        <w:rPr>
          <w:rFonts w:ascii="Arial"/>
          <w:sz w:val="21"/>
        </w:rPr>
      </w:pPr>
    </w:p>
    <w:p w14:paraId="0F84D05C">
      <w:pPr>
        <w:spacing w:before="75" w:line="393" w:lineRule="auto"/>
        <w:ind w:left="118" w:right="34" w:firstLine="450"/>
        <w:rPr>
          <w:rFonts w:ascii="宋体" w:hAnsi="宋体" w:eastAsia="宋体" w:cs="宋体"/>
          <w:sz w:val="23"/>
          <w:szCs w:val="23"/>
        </w:rPr>
      </w:pPr>
      <w:r>
        <w:rPr>
          <w:rFonts w:ascii="宋体" w:hAnsi="宋体" w:eastAsia="宋体" w:cs="宋体"/>
          <w:spacing w:val="-10"/>
          <w:sz w:val="23"/>
          <w:szCs w:val="23"/>
        </w:rPr>
        <w:t>根据《建</w:t>
      </w:r>
      <w:r>
        <w:rPr>
          <w:rFonts w:ascii="宋体" w:hAnsi="宋体" w:eastAsia="宋体" w:cs="宋体"/>
          <w:spacing w:val="-9"/>
          <w:sz w:val="23"/>
          <w:szCs w:val="23"/>
        </w:rPr>
        <w:t>设</w:t>
      </w:r>
      <w:r>
        <w:rPr>
          <w:rFonts w:ascii="宋体" w:hAnsi="宋体" w:eastAsia="宋体" w:cs="宋体"/>
          <w:spacing w:val="-5"/>
          <w:sz w:val="23"/>
          <w:szCs w:val="23"/>
        </w:rPr>
        <w:t>项目环境风险评价技术导则》(</w:t>
      </w:r>
      <w:r>
        <w:rPr>
          <w:rFonts w:ascii="Times New Roman" w:hAnsi="Times New Roman" w:eastAsia="Times New Roman" w:cs="Times New Roman"/>
          <w:spacing w:val="-5"/>
          <w:sz w:val="23"/>
          <w:szCs w:val="23"/>
        </w:rPr>
        <w:t>HJ169-2018</w:t>
      </w:r>
      <w:r>
        <w:rPr>
          <w:rFonts w:ascii="宋体" w:hAnsi="宋体" w:eastAsia="宋体" w:cs="宋体"/>
          <w:spacing w:val="-5"/>
          <w:sz w:val="23"/>
          <w:szCs w:val="23"/>
        </w:rPr>
        <w:t>) 及项目物料的毒性指标、</w:t>
      </w:r>
      <w:r>
        <w:rPr>
          <w:rFonts w:ascii="宋体" w:hAnsi="宋体" w:eastAsia="宋体" w:cs="宋体"/>
          <w:sz w:val="23"/>
          <w:szCs w:val="23"/>
        </w:rPr>
        <w:t xml:space="preserve"> </w:t>
      </w:r>
      <w:r>
        <w:rPr>
          <w:rFonts w:ascii="宋体" w:hAnsi="宋体" w:eastAsia="宋体" w:cs="宋体"/>
          <w:spacing w:val="-6"/>
          <w:sz w:val="23"/>
          <w:szCs w:val="23"/>
        </w:rPr>
        <w:t>燃</w:t>
      </w:r>
      <w:r>
        <w:rPr>
          <w:rFonts w:ascii="宋体" w:hAnsi="宋体" w:eastAsia="宋体" w:cs="宋体"/>
          <w:spacing w:val="-5"/>
          <w:sz w:val="23"/>
          <w:szCs w:val="23"/>
        </w:rPr>
        <w:t>爆</w:t>
      </w:r>
      <w:r>
        <w:rPr>
          <w:rFonts w:ascii="宋体" w:hAnsi="宋体" w:eastAsia="宋体" w:cs="宋体"/>
          <w:spacing w:val="-3"/>
          <w:sz w:val="23"/>
          <w:szCs w:val="23"/>
        </w:rPr>
        <w:t>指标及生产、存储量，可以确定该项目环境风险潜势为</w:t>
      </w:r>
      <w:r>
        <w:rPr>
          <w:rFonts w:ascii="Times New Roman" w:hAnsi="Times New Roman" w:eastAsia="Times New Roman" w:cs="Times New Roman"/>
          <w:spacing w:val="-3"/>
          <w:sz w:val="23"/>
          <w:szCs w:val="23"/>
        </w:rPr>
        <w:t xml:space="preserve">Ⅰ </w:t>
      </w:r>
      <w:r>
        <w:rPr>
          <w:rFonts w:ascii="宋体" w:hAnsi="宋体" w:eastAsia="宋体" w:cs="宋体"/>
          <w:spacing w:val="-3"/>
          <w:sz w:val="23"/>
          <w:szCs w:val="23"/>
        </w:rPr>
        <w:t>，可以确定该项目环境</w:t>
      </w:r>
      <w:r>
        <w:rPr>
          <w:rFonts w:ascii="宋体" w:hAnsi="宋体" w:eastAsia="宋体" w:cs="宋体"/>
          <w:sz w:val="23"/>
          <w:szCs w:val="23"/>
        </w:rPr>
        <w:t xml:space="preserve"> </w:t>
      </w:r>
      <w:r>
        <w:rPr>
          <w:rFonts w:ascii="宋体" w:hAnsi="宋体" w:eastAsia="宋体" w:cs="宋体"/>
          <w:spacing w:val="-8"/>
          <w:sz w:val="23"/>
          <w:szCs w:val="23"/>
        </w:rPr>
        <w:t>风险评价级别为</w:t>
      </w:r>
      <w:r>
        <w:rPr>
          <w:rFonts w:ascii="宋体" w:hAnsi="宋体" w:eastAsia="宋体" w:cs="宋体"/>
          <w:spacing w:val="-4"/>
          <w:sz w:val="23"/>
          <w:szCs w:val="23"/>
        </w:rPr>
        <w:t>简单分析，《建设项目环境风险评价技术导则》 (</w:t>
      </w:r>
      <w:r>
        <w:rPr>
          <w:rFonts w:ascii="Times New Roman" w:hAnsi="Times New Roman" w:eastAsia="Times New Roman" w:cs="Times New Roman"/>
          <w:spacing w:val="-4"/>
          <w:sz w:val="23"/>
          <w:szCs w:val="23"/>
        </w:rPr>
        <w:t>HJ169-2018</w:t>
      </w:r>
      <w:r>
        <w:rPr>
          <w:rFonts w:ascii="宋体" w:hAnsi="宋体" w:eastAsia="宋体" w:cs="宋体"/>
          <w:spacing w:val="-4"/>
          <w:sz w:val="23"/>
          <w:szCs w:val="23"/>
        </w:rPr>
        <w:t>) ，未</w:t>
      </w:r>
      <w:r>
        <w:rPr>
          <w:rFonts w:ascii="宋体" w:hAnsi="宋体" w:eastAsia="宋体" w:cs="宋体"/>
          <w:sz w:val="23"/>
          <w:szCs w:val="23"/>
        </w:rPr>
        <w:t xml:space="preserve"> </w:t>
      </w:r>
      <w:r>
        <w:rPr>
          <w:rFonts w:ascii="宋体" w:hAnsi="宋体" w:eastAsia="宋体" w:cs="宋体"/>
          <w:spacing w:val="-4"/>
          <w:sz w:val="23"/>
          <w:szCs w:val="23"/>
        </w:rPr>
        <w:t>明确简单分析级别评价范围，因此该项目大气环境风险评价范围参照三级评价范</w:t>
      </w:r>
      <w:r>
        <w:rPr>
          <w:rFonts w:ascii="宋体" w:hAnsi="宋体" w:eastAsia="宋体" w:cs="宋体"/>
          <w:spacing w:val="-1"/>
          <w:sz w:val="23"/>
          <w:szCs w:val="23"/>
        </w:rPr>
        <w:t>围</w:t>
      </w:r>
      <w:r>
        <w:rPr>
          <w:rFonts w:ascii="宋体" w:hAnsi="宋体" w:eastAsia="宋体" w:cs="宋体"/>
          <w:sz w:val="23"/>
          <w:szCs w:val="23"/>
        </w:rPr>
        <w:t xml:space="preserve">， </w:t>
      </w:r>
      <w:r>
        <w:rPr>
          <w:rFonts w:ascii="宋体" w:hAnsi="宋体" w:eastAsia="宋体" w:cs="宋体"/>
          <w:spacing w:val="-10"/>
          <w:sz w:val="23"/>
          <w:szCs w:val="23"/>
        </w:rPr>
        <w:t>即</w:t>
      </w:r>
      <w:r>
        <w:rPr>
          <w:rFonts w:ascii="宋体" w:hAnsi="宋体" w:eastAsia="宋体" w:cs="宋体"/>
          <w:spacing w:val="-8"/>
          <w:sz w:val="23"/>
          <w:szCs w:val="23"/>
        </w:rPr>
        <w:t>距</w:t>
      </w:r>
      <w:r>
        <w:rPr>
          <w:rFonts w:ascii="宋体" w:hAnsi="宋体" w:eastAsia="宋体" w:cs="宋体"/>
          <w:spacing w:val="-5"/>
          <w:sz w:val="23"/>
          <w:szCs w:val="23"/>
        </w:rPr>
        <w:t xml:space="preserve">生产厂房边界 </w:t>
      </w:r>
      <w:r>
        <w:rPr>
          <w:rFonts w:ascii="Times New Roman" w:hAnsi="Times New Roman" w:eastAsia="Times New Roman" w:cs="Times New Roman"/>
          <w:spacing w:val="-5"/>
          <w:sz w:val="23"/>
          <w:szCs w:val="23"/>
        </w:rPr>
        <w:t xml:space="preserve">3km </w:t>
      </w:r>
      <w:r>
        <w:rPr>
          <w:rFonts w:ascii="宋体" w:hAnsi="宋体" w:eastAsia="宋体" w:cs="宋体"/>
          <w:spacing w:val="-5"/>
          <w:sz w:val="23"/>
          <w:szCs w:val="23"/>
        </w:rPr>
        <w:t>的范围。</w:t>
      </w:r>
    </w:p>
    <w:p w14:paraId="0D4BE695">
      <w:pPr>
        <w:spacing w:before="119" w:line="226" w:lineRule="auto"/>
        <w:ind w:left="568"/>
        <w:rPr>
          <w:rFonts w:ascii="宋体" w:hAnsi="宋体" w:eastAsia="宋体" w:cs="宋体"/>
          <w:sz w:val="23"/>
          <w:szCs w:val="23"/>
        </w:rPr>
      </w:pPr>
      <w:r>
        <w:rPr>
          <w:rFonts w:ascii="宋体" w:hAnsi="宋体" w:eastAsia="宋体" w:cs="宋体"/>
          <w:spacing w:val="-5"/>
          <w:sz w:val="23"/>
          <w:szCs w:val="23"/>
        </w:rPr>
        <w:t xml:space="preserve">根据工程特征与环境现状确定项目评价范围见表 </w:t>
      </w:r>
      <w:r>
        <w:rPr>
          <w:rFonts w:ascii="Times New Roman" w:hAnsi="Times New Roman" w:eastAsia="Times New Roman" w:cs="Times New Roman"/>
          <w:spacing w:val="-5"/>
          <w:sz w:val="23"/>
          <w:szCs w:val="23"/>
        </w:rPr>
        <w:t>2-27</w:t>
      </w:r>
      <w:r>
        <w:rPr>
          <w:rFonts w:ascii="宋体" w:hAnsi="宋体" w:eastAsia="宋体" w:cs="宋体"/>
          <w:spacing w:val="-5"/>
          <w:sz w:val="23"/>
          <w:szCs w:val="23"/>
        </w:rPr>
        <w:t>。</w:t>
      </w:r>
    </w:p>
    <w:p w14:paraId="053DAACC">
      <w:pPr>
        <w:spacing w:line="282" w:lineRule="auto"/>
        <w:rPr>
          <w:rFonts w:ascii="Arial"/>
          <w:sz w:val="21"/>
        </w:rPr>
      </w:pPr>
    </w:p>
    <w:p w14:paraId="61DB7554">
      <w:pPr>
        <w:spacing w:before="75" w:line="226" w:lineRule="auto"/>
        <w:ind w:left="303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3"/>
          <w:sz w:val="23"/>
          <w:szCs w:val="23"/>
        </w:rPr>
        <w:t>-27</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工程评价范围表</w:t>
      </w:r>
    </w:p>
    <w:p w14:paraId="4BFBF553">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5"/>
        <w:gridCol w:w="6717"/>
      </w:tblGrid>
      <w:tr w14:paraId="45C97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805" w:type="dxa"/>
            <w:tcBorders>
              <w:left w:val="nil"/>
            </w:tcBorders>
            <w:vAlign w:val="top"/>
          </w:tcPr>
          <w:p w14:paraId="7F67C54D">
            <w:pPr>
              <w:spacing w:before="85" w:line="218" w:lineRule="auto"/>
              <w:ind w:left="49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w:t>
            </w:r>
            <w:r>
              <w:rPr>
                <w:rFonts w:ascii="宋体" w:hAnsi="宋体" w:eastAsia="宋体" w:cs="宋体"/>
                <w:spacing w:val="7"/>
                <w:sz w:val="20"/>
                <w:szCs w:val="20"/>
                <w14:textOutline w14:w="3795" w14:cap="sq" w14:cmpd="sng">
                  <w14:solidFill>
                    <w14:srgbClr w14:val="000000"/>
                  </w14:solidFill>
                  <w14:prstDash w14:val="solid"/>
                  <w14:bevel/>
                </w14:textOutline>
              </w:rPr>
              <w:t>价因子</w:t>
            </w:r>
          </w:p>
        </w:tc>
        <w:tc>
          <w:tcPr>
            <w:tcW w:w="6717" w:type="dxa"/>
            <w:tcBorders>
              <w:right w:val="nil"/>
            </w:tcBorders>
            <w:vAlign w:val="top"/>
          </w:tcPr>
          <w:p w14:paraId="1C418A52">
            <w:pPr>
              <w:spacing w:before="85" w:line="218" w:lineRule="auto"/>
              <w:ind w:left="294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w:t>
            </w:r>
            <w:r>
              <w:rPr>
                <w:rFonts w:ascii="宋体" w:hAnsi="宋体" w:eastAsia="宋体" w:cs="宋体"/>
                <w:spacing w:val="7"/>
                <w:sz w:val="20"/>
                <w:szCs w:val="20"/>
                <w14:textOutline w14:w="3795" w14:cap="sq" w14:cmpd="sng">
                  <w14:solidFill>
                    <w14:srgbClr w14:val="000000"/>
                  </w14:solidFill>
                  <w14:prstDash w14:val="solid"/>
                  <w14:bevel/>
                </w14:textOutline>
              </w:rPr>
              <w:t>价范围</w:t>
            </w:r>
          </w:p>
        </w:tc>
      </w:tr>
      <w:tr w14:paraId="55288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05" w:type="dxa"/>
            <w:tcBorders>
              <w:left w:val="nil"/>
            </w:tcBorders>
            <w:vAlign w:val="top"/>
          </w:tcPr>
          <w:p w14:paraId="30935C26">
            <w:pPr>
              <w:spacing w:before="61" w:line="228" w:lineRule="auto"/>
              <w:ind w:left="492"/>
              <w:rPr>
                <w:rFonts w:ascii="宋体" w:hAnsi="宋体" w:eastAsia="宋体" w:cs="宋体"/>
                <w:sz w:val="20"/>
                <w:szCs w:val="20"/>
              </w:rPr>
            </w:pPr>
            <w:r>
              <w:rPr>
                <w:rFonts w:ascii="宋体" w:hAnsi="宋体" w:eastAsia="宋体" w:cs="宋体"/>
                <w:spacing w:val="7"/>
                <w:sz w:val="20"/>
                <w:szCs w:val="20"/>
              </w:rPr>
              <w:t>环境空</w:t>
            </w:r>
            <w:r>
              <w:rPr>
                <w:rFonts w:ascii="宋体" w:hAnsi="宋体" w:eastAsia="宋体" w:cs="宋体"/>
                <w:spacing w:val="6"/>
                <w:sz w:val="20"/>
                <w:szCs w:val="20"/>
              </w:rPr>
              <w:t>气</w:t>
            </w:r>
          </w:p>
        </w:tc>
        <w:tc>
          <w:tcPr>
            <w:tcW w:w="6717" w:type="dxa"/>
            <w:tcBorders>
              <w:right w:val="nil"/>
            </w:tcBorders>
            <w:vAlign w:val="top"/>
          </w:tcPr>
          <w:p w14:paraId="788E1D00">
            <w:pPr>
              <w:spacing w:before="23" w:line="281" w:lineRule="exact"/>
              <w:ind w:left="1298"/>
              <w:rPr>
                <w:rFonts w:ascii="宋体" w:hAnsi="宋体" w:eastAsia="宋体" w:cs="宋体"/>
                <w:sz w:val="20"/>
                <w:szCs w:val="20"/>
              </w:rPr>
            </w:pPr>
            <w:r>
              <w:rPr>
                <w:rFonts w:ascii="宋体" w:hAnsi="宋体" w:eastAsia="宋体" w:cs="宋体"/>
                <w:spacing w:val="-10"/>
                <w:position w:val="1"/>
                <w:sz w:val="20"/>
                <w:szCs w:val="20"/>
              </w:rPr>
              <w:t>以项</w:t>
            </w:r>
            <w:r>
              <w:rPr>
                <w:rFonts w:ascii="宋体" w:hAnsi="宋体" w:eastAsia="宋体" w:cs="宋体"/>
                <w:spacing w:val="-7"/>
                <w:position w:val="1"/>
                <w:sz w:val="20"/>
                <w:szCs w:val="20"/>
              </w:rPr>
              <w:t>目</w:t>
            </w:r>
            <w:r>
              <w:rPr>
                <w:rFonts w:ascii="宋体" w:hAnsi="宋体" w:eastAsia="宋体" w:cs="宋体"/>
                <w:spacing w:val="-5"/>
                <w:position w:val="1"/>
                <w:sz w:val="20"/>
                <w:szCs w:val="20"/>
              </w:rPr>
              <w:t xml:space="preserve">厂址为中心区域，边长取 </w:t>
            </w:r>
            <w:r>
              <w:rPr>
                <w:rFonts w:ascii="Times New Roman" w:hAnsi="Times New Roman" w:eastAsia="Times New Roman" w:cs="Times New Roman"/>
                <w:spacing w:val="-5"/>
                <w:position w:val="1"/>
                <w:sz w:val="20"/>
                <w:szCs w:val="20"/>
              </w:rPr>
              <w:t xml:space="preserve">5km </w:t>
            </w:r>
            <w:r>
              <w:rPr>
                <w:rFonts w:ascii="宋体" w:hAnsi="宋体" w:eastAsia="宋体" w:cs="宋体"/>
                <w:spacing w:val="-5"/>
                <w:position w:val="1"/>
                <w:sz w:val="20"/>
                <w:szCs w:val="20"/>
              </w:rPr>
              <w:t>的矩形范围</w:t>
            </w:r>
          </w:p>
        </w:tc>
      </w:tr>
      <w:tr w14:paraId="1E63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05" w:type="dxa"/>
            <w:tcBorders>
              <w:left w:val="nil"/>
            </w:tcBorders>
            <w:vAlign w:val="top"/>
          </w:tcPr>
          <w:p w14:paraId="3364D71C">
            <w:pPr>
              <w:spacing w:before="63" w:line="228" w:lineRule="auto"/>
              <w:ind w:left="711"/>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6717" w:type="dxa"/>
            <w:tcBorders>
              <w:right w:val="nil"/>
            </w:tcBorders>
            <w:vAlign w:val="top"/>
          </w:tcPr>
          <w:p w14:paraId="6E6C3E05">
            <w:pPr>
              <w:spacing w:before="63" w:line="228" w:lineRule="auto"/>
              <w:ind w:left="2556"/>
              <w:rPr>
                <w:rFonts w:ascii="宋体" w:hAnsi="宋体" w:eastAsia="宋体" w:cs="宋体"/>
                <w:sz w:val="20"/>
                <w:szCs w:val="20"/>
              </w:rPr>
            </w:pPr>
            <w:r>
              <w:rPr>
                <w:rFonts w:ascii="宋体" w:hAnsi="宋体" w:eastAsia="宋体" w:cs="宋体"/>
                <w:spacing w:val="1"/>
                <w:sz w:val="20"/>
                <w:szCs w:val="20"/>
              </w:rPr>
              <w:t xml:space="preserve">厂界外 </w:t>
            </w:r>
            <w:r>
              <w:rPr>
                <w:rFonts w:ascii="Times New Roman" w:hAnsi="Times New Roman" w:eastAsia="Times New Roman" w:cs="Times New Roman"/>
                <w:spacing w:val="1"/>
                <w:sz w:val="20"/>
                <w:szCs w:val="20"/>
              </w:rPr>
              <w:t>200</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z w:val="20"/>
                <w:szCs w:val="20"/>
              </w:rPr>
              <w:t>范围</w:t>
            </w:r>
          </w:p>
        </w:tc>
      </w:tr>
      <w:tr w14:paraId="726C2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05" w:type="dxa"/>
            <w:tcBorders>
              <w:left w:val="nil"/>
            </w:tcBorders>
            <w:vAlign w:val="top"/>
          </w:tcPr>
          <w:p w14:paraId="64F5492D">
            <w:pPr>
              <w:spacing w:before="64" w:line="228" w:lineRule="auto"/>
              <w:ind w:left="598"/>
              <w:rPr>
                <w:rFonts w:ascii="宋体" w:hAnsi="宋体" w:eastAsia="宋体" w:cs="宋体"/>
                <w:sz w:val="20"/>
                <w:szCs w:val="20"/>
              </w:rPr>
            </w:pPr>
            <w:r>
              <w:rPr>
                <w:rFonts w:ascii="宋体" w:hAnsi="宋体" w:eastAsia="宋体" w:cs="宋体"/>
                <w:spacing w:val="6"/>
                <w:sz w:val="20"/>
                <w:szCs w:val="20"/>
              </w:rPr>
              <w:t>地下水</w:t>
            </w:r>
          </w:p>
        </w:tc>
        <w:tc>
          <w:tcPr>
            <w:tcW w:w="6717" w:type="dxa"/>
            <w:tcBorders>
              <w:right w:val="nil"/>
            </w:tcBorders>
            <w:vAlign w:val="top"/>
          </w:tcPr>
          <w:p w14:paraId="7B0CF375">
            <w:pPr>
              <w:spacing w:before="27" w:line="281" w:lineRule="exact"/>
              <w:ind w:left="2410"/>
              <w:rPr>
                <w:rFonts w:ascii="宋体" w:hAnsi="宋体" w:eastAsia="宋体" w:cs="宋体"/>
                <w:sz w:val="20"/>
                <w:szCs w:val="20"/>
              </w:rPr>
            </w:pPr>
            <w:r>
              <w:rPr>
                <w:rFonts w:ascii="宋体" w:hAnsi="宋体" w:eastAsia="宋体" w:cs="宋体"/>
                <w:spacing w:val="-9"/>
                <w:position w:val="1"/>
                <w:sz w:val="20"/>
                <w:szCs w:val="20"/>
              </w:rPr>
              <w:t>厂</w:t>
            </w:r>
            <w:r>
              <w:rPr>
                <w:rFonts w:ascii="宋体" w:hAnsi="宋体" w:eastAsia="宋体" w:cs="宋体"/>
                <w:spacing w:val="-5"/>
                <w:position w:val="1"/>
                <w:sz w:val="20"/>
                <w:szCs w:val="20"/>
              </w:rPr>
              <w:t xml:space="preserve">区周围 </w:t>
            </w:r>
            <w:r>
              <w:rPr>
                <w:rFonts w:ascii="Times New Roman" w:hAnsi="Times New Roman" w:eastAsia="Times New Roman" w:cs="Times New Roman"/>
                <w:spacing w:val="-5"/>
                <w:position w:val="1"/>
                <w:sz w:val="20"/>
                <w:szCs w:val="20"/>
              </w:rPr>
              <w:t>1.24km</w:t>
            </w:r>
            <w:r>
              <w:rPr>
                <w:rFonts w:ascii="Times New Roman" w:hAnsi="Times New Roman" w:eastAsia="Times New Roman" w:cs="Times New Roman"/>
                <w:spacing w:val="-5"/>
                <w:position w:val="7"/>
                <w:sz w:val="13"/>
                <w:szCs w:val="13"/>
              </w:rPr>
              <w:t xml:space="preserve">2 </w:t>
            </w:r>
            <w:r>
              <w:rPr>
                <w:rFonts w:ascii="宋体" w:hAnsi="宋体" w:eastAsia="宋体" w:cs="宋体"/>
                <w:spacing w:val="-5"/>
                <w:position w:val="1"/>
                <w:sz w:val="20"/>
                <w:szCs w:val="20"/>
              </w:rPr>
              <w:t>范围</w:t>
            </w:r>
          </w:p>
        </w:tc>
      </w:tr>
      <w:tr w14:paraId="44FFA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05" w:type="dxa"/>
            <w:tcBorders>
              <w:left w:val="nil"/>
            </w:tcBorders>
            <w:vAlign w:val="top"/>
          </w:tcPr>
          <w:p w14:paraId="447A2826">
            <w:pPr>
              <w:spacing w:before="64" w:line="229" w:lineRule="auto"/>
              <w:ind w:left="714"/>
              <w:rPr>
                <w:rFonts w:ascii="宋体" w:hAnsi="宋体" w:eastAsia="宋体" w:cs="宋体"/>
                <w:sz w:val="20"/>
                <w:szCs w:val="20"/>
              </w:rPr>
            </w:pPr>
            <w:r>
              <w:rPr>
                <w:rFonts w:ascii="宋体" w:hAnsi="宋体" w:eastAsia="宋体" w:cs="宋体"/>
                <w:sz w:val="20"/>
                <w:szCs w:val="20"/>
              </w:rPr>
              <w:t>土壤</w:t>
            </w:r>
          </w:p>
        </w:tc>
        <w:tc>
          <w:tcPr>
            <w:tcW w:w="6717" w:type="dxa"/>
            <w:tcBorders>
              <w:right w:val="nil"/>
            </w:tcBorders>
            <w:vAlign w:val="top"/>
          </w:tcPr>
          <w:p w14:paraId="0D4059DD">
            <w:pPr>
              <w:spacing w:before="27" w:line="281" w:lineRule="exact"/>
              <w:ind w:left="1484"/>
              <w:rPr>
                <w:rFonts w:ascii="宋体" w:hAnsi="宋体" w:eastAsia="宋体" w:cs="宋体"/>
                <w:sz w:val="20"/>
                <w:szCs w:val="20"/>
              </w:rPr>
            </w:pPr>
            <w:r>
              <w:rPr>
                <w:rFonts w:ascii="宋体" w:hAnsi="宋体" w:eastAsia="宋体" w:cs="宋体"/>
                <w:spacing w:val="-6"/>
                <w:position w:val="1"/>
                <w:sz w:val="20"/>
                <w:szCs w:val="20"/>
              </w:rPr>
              <w:t xml:space="preserve">占地范围内全部及占地范围外 </w:t>
            </w:r>
            <w:r>
              <w:rPr>
                <w:rFonts w:ascii="Times New Roman" w:hAnsi="Times New Roman" w:eastAsia="Times New Roman" w:cs="Times New Roman"/>
                <w:spacing w:val="-6"/>
                <w:position w:val="1"/>
                <w:sz w:val="20"/>
                <w:szCs w:val="20"/>
              </w:rPr>
              <w:t>0.05k</w:t>
            </w: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范围内</w:t>
            </w:r>
          </w:p>
        </w:tc>
      </w:tr>
      <w:tr w14:paraId="49E3D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05" w:type="dxa"/>
            <w:tcBorders>
              <w:left w:val="nil"/>
            </w:tcBorders>
            <w:vAlign w:val="top"/>
          </w:tcPr>
          <w:p w14:paraId="6FC92697">
            <w:pPr>
              <w:spacing w:before="67" w:line="228" w:lineRule="auto"/>
              <w:ind w:left="492"/>
              <w:rPr>
                <w:rFonts w:ascii="宋体" w:hAnsi="宋体" w:eastAsia="宋体" w:cs="宋体"/>
                <w:sz w:val="20"/>
                <w:szCs w:val="20"/>
              </w:rPr>
            </w:pPr>
            <w:r>
              <w:rPr>
                <w:rFonts w:ascii="宋体" w:hAnsi="宋体" w:eastAsia="宋体" w:cs="宋体"/>
                <w:spacing w:val="7"/>
                <w:sz w:val="20"/>
                <w:szCs w:val="20"/>
              </w:rPr>
              <w:t>环境风</w:t>
            </w:r>
            <w:r>
              <w:rPr>
                <w:rFonts w:ascii="宋体" w:hAnsi="宋体" w:eastAsia="宋体" w:cs="宋体"/>
                <w:spacing w:val="6"/>
                <w:sz w:val="20"/>
                <w:szCs w:val="20"/>
              </w:rPr>
              <w:t>险</w:t>
            </w:r>
          </w:p>
        </w:tc>
        <w:tc>
          <w:tcPr>
            <w:tcW w:w="6717" w:type="dxa"/>
            <w:tcBorders>
              <w:right w:val="nil"/>
            </w:tcBorders>
            <w:vAlign w:val="top"/>
          </w:tcPr>
          <w:p w14:paraId="13899E90">
            <w:pPr>
              <w:spacing w:before="6" w:line="323" w:lineRule="exact"/>
              <w:ind w:left="1973"/>
              <w:rPr>
                <w:rFonts w:ascii="宋体" w:hAnsi="宋体" w:eastAsia="宋体" w:cs="宋体"/>
                <w:sz w:val="23"/>
                <w:szCs w:val="23"/>
              </w:rPr>
            </w:pPr>
            <w:r>
              <w:rPr>
                <w:rFonts w:ascii="宋体" w:hAnsi="宋体" w:eastAsia="宋体" w:cs="宋体"/>
                <w:spacing w:val="-10"/>
                <w:position w:val="1"/>
                <w:sz w:val="23"/>
                <w:szCs w:val="23"/>
              </w:rPr>
              <w:t>距生</w:t>
            </w:r>
            <w:r>
              <w:rPr>
                <w:rFonts w:ascii="宋体" w:hAnsi="宋体" w:eastAsia="宋体" w:cs="宋体"/>
                <w:spacing w:val="-5"/>
                <w:position w:val="1"/>
                <w:sz w:val="23"/>
                <w:szCs w:val="23"/>
              </w:rPr>
              <w:t xml:space="preserve">产厂房边界 </w:t>
            </w:r>
            <w:r>
              <w:rPr>
                <w:rFonts w:ascii="Times New Roman" w:hAnsi="Times New Roman" w:eastAsia="Times New Roman" w:cs="Times New Roman"/>
                <w:spacing w:val="-5"/>
                <w:position w:val="1"/>
                <w:sz w:val="23"/>
                <w:szCs w:val="23"/>
              </w:rPr>
              <w:t xml:space="preserve">3km </w:t>
            </w:r>
            <w:r>
              <w:rPr>
                <w:rFonts w:ascii="宋体" w:hAnsi="宋体" w:eastAsia="宋体" w:cs="宋体"/>
                <w:spacing w:val="-5"/>
                <w:position w:val="1"/>
                <w:sz w:val="23"/>
                <w:szCs w:val="23"/>
              </w:rPr>
              <w:t>的范围</w:t>
            </w:r>
          </w:p>
        </w:tc>
      </w:tr>
    </w:tbl>
    <w:p w14:paraId="0A9646AC">
      <w:pPr>
        <w:spacing w:before="279" w:line="225" w:lineRule="auto"/>
        <w:ind w:left="115"/>
        <w:outlineLvl w:val="1"/>
        <w:rPr>
          <w:rFonts w:ascii="宋体" w:hAnsi="宋体" w:eastAsia="宋体" w:cs="宋体"/>
          <w:sz w:val="31"/>
          <w:szCs w:val="31"/>
        </w:rPr>
      </w:pPr>
      <w:bookmarkStart w:id="13" w:name="_bookmark14"/>
      <w:bookmarkEnd w:id="13"/>
      <w:r>
        <w:rPr>
          <w:rFonts w:ascii="Times New Roman" w:hAnsi="Times New Roman" w:eastAsia="Times New Roman" w:cs="Times New Roman"/>
          <w:b/>
          <w:bCs/>
          <w:spacing w:val="-2"/>
          <w:sz w:val="31"/>
          <w:szCs w:val="31"/>
        </w:rPr>
        <w:t>2.7</w:t>
      </w:r>
      <w:r>
        <w:rPr>
          <w:rFonts w:ascii="Times New Roman" w:hAnsi="Times New Roman" w:eastAsia="Times New Roman" w:cs="Times New Roman"/>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环境</w:t>
      </w:r>
      <w:r>
        <w:rPr>
          <w:rFonts w:ascii="宋体" w:hAnsi="宋体" w:eastAsia="宋体" w:cs="宋体"/>
          <w:spacing w:val="-1"/>
          <w:sz w:val="31"/>
          <w:szCs w:val="31"/>
          <w14:textOutline w14:w="5793" w14:cap="sq" w14:cmpd="sng">
            <w14:solidFill>
              <w14:srgbClr w14:val="000000"/>
            </w14:solidFill>
            <w14:prstDash w14:val="solid"/>
            <w14:bevel/>
          </w14:textOutline>
        </w:rPr>
        <w:t>保护目标</w:t>
      </w:r>
    </w:p>
    <w:p w14:paraId="34936712">
      <w:pPr>
        <w:spacing w:line="260" w:lineRule="auto"/>
        <w:rPr>
          <w:rFonts w:ascii="Arial"/>
          <w:sz w:val="21"/>
        </w:rPr>
      </w:pPr>
    </w:p>
    <w:p w14:paraId="1F0DF509">
      <w:pPr>
        <w:spacing w:before="75" w:line="388" w:lineRule="auto"/>
        <w:ind w:left="116" w:right="105" w:firstLine="453"/>
        <w:rPr>
          <w:rFonts w:ascii="宋体" w:hAnsi="宋体" w:eastAsia="宋体" w:cs="宋体"/>
          <w:sz w:val="23"/>
          <w:szCs w:val="23"/>
        </w:rPr>
      </w:pPr>
      <w:r>
        <w:rPr>
          <w:rFonts w:ascii="宋体" w:hAnsi="宋体" w:eastAsia="宋体" w:cs="宋体"/>
          <w:spacing w:val="1"/>
          <w:sz w:val="23"/>
          <w:szCs w:val="23"/>
        </w:rPr>
        <w:t>本溪弘福塑业有限公司新建项目位于辽宁省本溪</w:t>
      </w:r>
      <w:r>
        <w:rPr>
          <w:rFonts w:ascii="宋体" w:hAnsi="宋体" w:eastAsia="宋体" w:cs="宋体"/>
          <w:sz w:val="23"/>
          <w:szCs w:val="23"/>
        </w:rPr>
        <w:t xml:space="preserve">市溪湖区火连寨镇火连寨村， </w:t>
      </w:r>
      <w:r>
        <w:rPr>
          <w:rFonts w:ascii="宋体" w:hAnsi="宋体" w:eastAsia="宋体" w:cs="宋体"/>
          <w:spacing w:val="-2"/>
          <w:sz w:val="23"/>
          <w:szCs w:val="23"/>
        </w:rPr>
        <w:t>地理位置坐标为</w:t>
      </w:r>
      <w:r>
        <w:rPr>
          <w:rFonts w:ascii="Times New Roman" w:hAnsi="Times New Roman" w:eastAsia="Times New Roman" w:cs="Times New Roman"/>
          <w:spacing w:val="-1"/>
          <w:sz w:val="23"/>
          <w:szCs w:val="23"/>
        </w:rPr>
        <w:t>N</w:t>
      </w:r>
      <w:r>
        <w:rPr>
          <w:rFonts w:ascii="Times New Roman" w:hAnsi="Times New Roman" w:eastAsia="Times New Roman" w:cs="Times New Roman"/>
          <w:spacing w:val="-2"/>
          <w:sz w:val="23"/>
          <w:szCs w:val="23"/>
        </w:rPr>
        <w:t>41°21′55.059</w:t>
      </w:r>
      <w:r>
        <w:rPr>
          <w:rFonts w:ascii="Times New Roman" w:hAnsi="Times New Roman" w:eastAsia="Times New Roman" w:cs="Times New Roman"/>
          <w:spacing w:val="-1"/>
          <w:sz w:val="23"/>
          <w:szCs w:val="23"/>
        </w:rPr>
        <w:t>27″E123°42′32.05640″</w:t>
      </w:r>
      <w:r>
        <w:rPr>
          <w:rFonts w:ascii="宋体" w:hAnsi="宋体" w:eastAsia="宋体" w:cs="宋体"/>
          <w:spacing w:val="-1"/>
          <w:sz w:val="23"/>
          <w:szCs w:val="23"/>
        </w:rPr>
        <w:t>，项目所用土地为工业用地。项</w:t>
      </w:r>
      <w:r>
        <w:rPr>
          <w:rFonts w:ascii="宋体" w:hAnsi="宋体" w:eastAsia="宋体" w:cs="宋体"/>
          <w:sz w:val="23"/>
          <w:szCs w:val="23"/>
        </w:rPr>
        <w:t xml:space="preserve"> </w:t>
      </w:r>
      <w:r>
        <w:rPr>
          <w:rFonts w:ascii="宋体" w:hAnsi="宋体" w:eastAsia="宋体" w:cs="宋体"/>
          <w:spacing w:val="1"/>
          <w:sz w:val="23"/>
          <w:szCs w:val="23"/>
        </w:rPr>
        <w:t>目厂址所在区域不属于风景名胜区</w:t>
      </w:r>
      <w:r>
        <w:rPr>
          <w:rFonts w:ascii="宋体" w:hAnsi="宋体" w:eastAsia="宋体" w:cs="宋体"/>
          <w:sz w:val="23"/>
          <w:szCs w:val="23"/>
        </w:rPr>
        <w:t xml:space="preserve">、生态保护区、自然和文化遗产保护区、饮用水 </w:t>
      </w:r>
      <w:r>
        <w:rPr>
          <w:rFonts w:ascii="宋体" w:hAnsi="宋体" w:eastAsia="宋体" w:cs="宋体"/>
          <w:spacing w:val="1"/>
          <w:sz w:val="23"/>
          <w:szCs w:val="23"/>
        </w:rPr>
        <w:t>源保护区、城市建成区等区域。依</w:t>
      </w:r>
      <w:r>
        <w:rPr>
          <w:rFonts w:ascii="宋体" w:hAnsi="宋体" w:eastAsia="宋体" w:cs="宋体"/>
          <w:sz w:val="23"/>
          <w:szCs w:val="23"/>
        </w:rPr>
        <w:t xml:space="preserve">据项目污染物排放特征和厂址周围环境敏感点分 </w:t>
      </w:r>
      <w:r>
        <w:rPr>
          <w:rFonts w:ascii="宋体" w:hAnsi="宋体" w:eastAsia="宋体" w:cs="宋体"/>
          <w:spacing w:val="1"/>
          <w:sz w:val="23"/>
          <w:szCs w:val="23"/>
        </w:rPr>
        <w:t>布情况及环境功能要求，确定本次</w:t>
      </w:r>
      <w:r>
        <w:rPr>
          <w:rFonts w:ascii="宋体" w:hAnsi="宋体" w:eastAsia="宋体" w:cs="宋体"/>
          <w:sz w:val="23"/>
          <w:szCs w:val="23"/>
        </w:rPr>
        <w:t xml:space="preserve">评价的主要保护目标及保护级别，环境保护目标 </w:t>
      </w:r>
      <w:r>
        <w:rPr>
          <w:rFonts w:ascii="宋体" w:hAnsi="宋体" w:eastAsia="宋体" w:cs="宋体"/>
          <w:spacing w:val="-5"/>
          <w:sz w:val="23"/>
          <w:szCs w:val="23"/>
        </w:rPr>
        <w:t xml:space="preserve">见表 </w:t>
      </w:r>
      <w:r>
        <w:rPr>
          <w:rFonts w:ascii="Times New Roman" w:hAnsi="Times New Roman" w:eastAsia="Times New Roman" w:cs="Times New Roman"/>
          <w:spacing w:val="-5"/>
          <w:sz w:val="23"/>
          <w:szCs w:val="23"/>
        </w:rPr>
        <w:t>2-28</w:t>
      </w:r>
      <w:r>
        <w:rPr>
          <w:rFonts w:ascii="宋体" w:hAnsi="宋体" w:eastAsia="宋体" w:cs="宋体"/>
          <w:spacing w:val="-5"/>
          <w:sz w:val="23"/>
          <w:szCs w:val="23"/>
        </w:rPr>
        <w:t xml:space="preserve">、表 </w:t>
      </w:r>
      <w:r>
        <w:rPr>
          <w:rFonts w:ascii="Times New Roman" w:hAnsi="Times New Roman" w:eastAsia="Times New Roman" w:cs="Times New Roman"/>
          <w:spacing w:val="-5"/>
          <w:sz w:val="23"/>
          <w:szCs w:val="23"/>
        </w:rPr>
        <w:t xml:space="preserve">2-29 </w:t>
      </w:r>
      <w:r>
        <w:rPr>
          <w:rFonts w:ascii="宋体" w:hAnsi="宋体" w:eastAsia="宋体" w:cs="宋体"/>
          <w:spacing w:val="-5"/>
          <w:sz w:val="23"/>
          <w:szCs w:val="23"/>
        </w:rPr>
        <w:t>和图</w:t>
      </w:r>
      <w:r>
        <w:rPr>
          <w:rFonts w:ascii="Times New Roman" w:hAnsi="Times New Roman" w:eastAsia="Times New Roman" w:cs="Times New Roman"/>
          <w:spacing w:val="-5"/>
          <w:sz w:val="23"/>
          <w:szCs w:val="23"/>
        </w:rPr>
        <w:t>2-1</w:t>
      </w:r>
      <w:r>
        <w:rPr>
          <w:rFonts w:ascii="宋体" w:hAnsi="宋体" w:eastAsia="宋体" w:cs="宋体"/>
          <w:spacing w:val="-2"/>
          <w:sz w:val="23"/>
          <w:szCs w:val="23"/>
        </w:rPr>
        <w:t>。</w:t>
      </w:r>
    </w:p>
    <w:p w14:paraId="41DC053B">
      <w:pPr>
        <w:sectPr>
          <w:headerReference r:id="rId80" w:type="default"/>
          <w:footerReference r:id="rId81" w:type="default"/>
          <w:pgSz w:w="11906" w:h="16839"/>
          <w:pgMar w:top="1132" w:right="1691" w:bottom="1156" w:left="1691" w:header="878" w:footer="996" w:gutter="0"/>
          <w:cols w:space="720" w:num="1"/>
        </w:sectPr>
      </w:pPr>
    </w:p>
    <w:p w14:paraId="31C87F63">
      <w:pPr>
        <w:spacing w:line="408" w:lineRule="auto"/>
        <w:rPr>
          <w:rFonts w:ascii="Arial"/>
          <w:sz w:val="21"/>
        </w:rPr>
      </w:pPr>
      <w:r>
        <w:pict>
          <v:shape id="_x0000_s1106" o:spid="_x0000_s1106" style="position:absolute;left:0pt;margin-left:90pt;margin-top:57.35pt;height:0.75pt;width:415.3pt;mso-position-horizontal-relative:page;mso-position-vertical-relative:page;z-index:251740160;mso-width-relative:page;mso-height-relative:page;" fillcolor="#000000" filled="t" stroked="f" coordsize="8305,15" o:allowincell="f" path="m0,0l8305,0,8305,14,0,14,0,0xe">
            <v:path/>
            <v:fill on="t" focussize="0,0"/>
            <v:stroke on="f"/>
            <v:imagedata o:title=""/>
            <o:lock v:ext="edit"/>
          </v:shape>
        </w:pict>
      </w:r>
    </w:p>
    <w:p w14:paraId="1C248429">
      <w:pPr>
        <w:spacing w:before="75" w:line="228" w:lineRule="auto"/>
        <w:ind w:left="2700"/>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2-28</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环境空气保护目标</w:t>
      </w:r>
    </w:p>
    <w:p w14:paraId="347AC59D">
      <w:pPr>
        <w:spacing w:line="17" w:lineRule="exact"/>
      </w:pPr>
    </w:p>
    <w:tbl>
      <w:tblPr>
        <w:tblStyle w:val="4"/>
        <w:tblW w:w="8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8"/>
        <w:gridCol w:w="1605"/>
        <w:gridCol w:w="1604"/>
        <w:gridCol w:w="540"/>
        <w:gridCol w:w="1491"/>
        <w:gridCol w:w="633"/>
        <w:gridCol w:w="750"/>
        <w:gridCol w:w="788"/>
      </w:tblGrid>
      <w:tr w14:paraId="4C115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8" w:type="dxa"/>
            <w:vMerge w:val="restart"/>
            <w:tcBorders>
              <w:left w:val="nil"/>
              <w:bottom w:val="nil"/>
            </w:tcBorders>
            <w:vAlign w:val="top"/>
          </w:tcPr>
          <w:p w14:paraId="498DFB6D">
            <w:pPr>
              <w:spacing w:line="351" w:lineRule="auto"/>
              <w:rPr>
                <w:rFonts w:ascii="Arial"/>
                <w:sz w:val="21"/>
              </w:rPr>
            </w:pPr>
          </w:p>
          <w:p w14:paraId="72275EA2">
            <w:pPr>
              <w:spacing w:before="65" w:line="230" w:lineRule="auto"/>
              <w:ind w:left="30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名称</w:t>
            </w:r>
          </w:p>
        </w:tc>
        <w:tc>
          <w:tcPr>
            <w:tcW w:w="3209" w:type="dxa"/>
            <w:gridSpan w:val="2"/>
            <w:vAlign w:val="top"/>
          </w:tcPr>
          <w:p w14:paraId="4832F76D">
            <w:pPr>
              <w:spacing w:before="85" w:line="228" w:lineRule="auto"/>
              <w:ind w:left="141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坐标</w:t>
            </w:r>
          </w:p>
        </w:tc>
        <w:tc>
          <w:tcPr>
            <w:tcW w:w="540" w:type="dxa"/>
            <w:vMerge w:val="restart"/>
            <w:tcBorders>
              <w:bottom w:val="nil"/>
            </w:tcBorders>
            <w:vAlign w:val="top"/>
          </w:tcPr>
          <w:p w14:paraId="6DFB720E">
            <w:pPr>
              <w:spacing w:before="252" w:line="318" w:lineRule="auto"/>
              <w:ind w:left="78" w:right="57" w:firstLine="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保护</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对象</w:t>
            </w:r>
          </w:p>
        </w:tc>
        <w:tc>
          <w:tcPr>
            <w:tcW w:w="1491" w:type="dxa"/>
            <w:vMerge w:val="restart"/>
            <w:tcBorders>
              <w:bottom w:val="nil"/>
            </w:tcBorders>
            <w:vAlign w:val="top"/>
          </w:tcPr>
          <w:p w14:paraId="750F59C8">
            <w:pPr>
              <w:spacing w:line="351" w:lineRule="auto"/>
              <w:rPr>
                <w:rFonts w:ascii="Arial"/>
                <w:sz w:val="21"/>
              </w:rPr>
            </w:pPr>
          </w:p>
          <w:p w14:paraId="5132F3ED">
            <w:pPr>
              <w:spacing w:before="65" w:line="228" w:lineRule="auto"/>
              <w:ind w:left="359"/>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保</w:t>
            </w:r>
            <w:r>
              <w:rPr>
                <w:rFonts w:ascii="宋体" w:hAnsi="宋体" w:eastAsia="宋体" w:cs="宋体"/>
                <w:spacing w:val="-1"/>
                <w:sz w:val="20"/>
                <w:szCs w:val="20"/>
                <w14:textOutline w14:w="3795" w14:cap="sq" w14:cmpd="sng">
                  <w14:solidFill>
                    <w14:srgbClr w14:val="000000"/>
                  </w14:solidFill>
                  <w14:prstDash w14:val="solid"/>
                  <w14:bevel/>
                </w14:textOutline>
              </w:rPr>
              <w:t>护内容</w:t>
            </w:r>
          </w:p>
        </w:tc>
        <w:tc>
          <w:tcPr>
            <w:tcW w:w="633" w:type="dxa"/>
            <w:vMerge w:val="restart"/>
            <w:tcBorders>
              <w:bottom w:val="nil"/>
            </w:tcBorders>
            <w:vAlign w:val="top"/>
          </w:tcPr>
          <w:p w14:paraId="1C04D0A8">
            <w:pPr>
              <w:spacing w:before="85" w:line="228" w:lineRule="auto"/>
              <w:ind w:left="124"/>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环境</w:t>
            </w:r>
          </w:p>
          <w:p w14:paraId="725A66E8">
            <w:pPr>
              <w:spacing w:before="86" w:line="229" w:lineRule="auto"/>
              <w:ind w:left="128"/>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功</w:t>
            </w:r>
            <w:r>
              <w:rPr>
                <w:rFonts w:ascii="宋体" w:hAnsi="宋体" w:eastAsia="宋体" w:cs="宋体"/>
                <w:spacing w:val="-1"/>
                <w:sz w:val="20"/>
                <w:szCs w:val="20"/>
                <w14:textOutline w14:w="3795" w14:cap="sq" w14:cmpd="sng">
                  <w14:solidFill>
                    <w14:srgbClr w14:val="000000"/>
                  </w14:solidFill>
                  <w14:prstDash w14:val="solid"/>
                  <w14:bevel/>
                </w14:textOutline>
              </w:rPr>
              <w:t>能</w:t>
            </w:r>
          </w:p>
          <w:p w14:paraId="3110F6F6">
            <w:pPr>
              <w:spacing w:before="85" w:line="233" w:lineRule="auto"/>
              <w:ind w:left="24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区</w:t>
            </w:r>
          </w:p>
        </w:tc>
        <w:tc>
          <w:tcPr>
            <w:tcW w:w="750" w:type="dxa"/>
            <w:vMerge w:val="restart"/>
            <w:tcBorders>
              <w:bottom w:val="nil"/>
            </w:tcBorders>
            <w:vAlign w:val="top"/>
          </w:tcPr>
          <w:p w14:paraId="6FEC42EE">
            <w:pPr>
              <w:spacing w:before="253" w:line="318" w:lineRule="auto"/>
              <w:ind w:left="84" w:right="6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相</w:t>
            </w:r>
            <w:r>
              <w:rPr>
                <w:rFonts w:ascii="宋体" w:hAnsi="宋体" w:eastAsia="宋体" w:cs="宋体"/>
                <w:spacing w:val="-1"/>
                <w:sz w:val="20"/>
                <w:szCs w:val="20"/>
                <w14:textOutline w14:w="3795" w14:cap="sq" w14:cmpd="sng">
                  <w14:solidFill>
                    <w14:srgbClr w14:val="000000"/>
                  </w14:solidFill>
                  <w14:prstDash w14:val="solid"/>
                  <w14:bevel/>
                </w14:textOutline>
              </w:rPr>
              <w:t>对厂</w:t>
            </w:r>
            <w:r>
              <w:rPr>
                <w:rFonts w:ascii="宋体" w:hAnsi="宋体" w:eastAsia="宋体" w:cs="宋体"/>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址方</w:t>
            </w:r>
            <w:r>
              <w:rPr>
                <w:rFonts w:ascii="宋体" w:hAnsi="宋体" w:eastAsia="宋体" w:cs="宋体"/>
                <w:spacing w:val="-1"/>
                <w:sz w:val="20"/>
                <w:szCs w:val="20"/>
                <w14:textOutline w14:w="3795" w14:cap="sq" w14:cmpd="sng">
                  <w14:solidFill>
                    <w14:srgbClr w14:val="000000"/>
                  </w14:solidFill>
                  <w14:prstDash w14:val="solid"/>
                  <w14:bevel/>
                </w14:textOutline>
              </w:rPr>
              <w:t>向</w:t>
            </w:r>
          </w:p>
        </w:tc>
        <w:tc>
          <w:tcPr>
            <w:tcW w:w="788" w:type="dxa"/>
            <w:vMerge w:val="restart"/>
            <w:tcBorders>
              <w:bottom w:val="nil"/>
              <w:right w:val="nil"/>
            </w:tcBorders>
            <w:vAlign w:val="top"/>
          </w:tcPr>
          <w:p w14:paraId="69F707D7">
            <w:pPr>
              <w:spacing w:before="84" w:line="290" w:lineRule="auto"/>
              <w:ind w:left="92" w:right="75" w:firstLine="12"/>
              <w:rPr>
                <w:rFonts w:ascii="Times New Roman" w:hAnsi="Times New Roman" w:eastAsia="Times New Roman" w:cs="Times New Roman"/>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相</w:t>
            </w:r>
            <w:r>
              <w:rPr>
                <w:rFonts w:ascii="宋体" w:hAnsi="宋体" w:eastAsia="宋体" w:cs="宋体"/>
                <w:spacing w:val="-1"/>
                <w:sz w:val="20"/>
                <w:szCs w:val="20"/>
                <w14:textOutline w14:w="3795" w14:cap="sq" w14:cmpd="sng">
                  <w14:solidFill>
                    <w14:srgbClr w14:val="000000"/>
                  </w14:solidFill>
                  <w14:prstDash w14:val="solid"/>
                  <w14:bevel/>
                </w14:textOutline>
              </w:rPr>
              <w:t>对厂</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界直线</w:t>
            </w:r>
            <w:r>
              <w:rPr>
                <w:rFonts w:ascii="宋体" w:hAnsi="宋体" w:eastAsia="宋体" w:cs="宋体"/>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距</w:t>
            </w:r>
            <w:r>
              <w:rPr>
                <w:rFonts w:ascii="宋体" w:hAnsi="宋体" w:eastAsia="宋体" w:cs="宋体"/>
                <w:spacing w:val="-1"/>
                <w:sz w:val="20"/>
                <w:szCs w:val="20"/>
                <w14:textOutline w14:w="3795" w14:cap="sq" w14:cmpd="sng">
                  <w14:solidFill>
                    <w14:srgbClr w14:val="000000"/>
                  </w14:solidFill>
                  <w14:prstDash w14:val="solid"/>
                  <w14:bevel/>
                </w14:textOutline>
              </w:rPr>
              <w:t>离</w:t>
            </w:r>
            <w:r>
              <w:rPr>
                <w:rFonts w:ascii="Times New Roman" w:hAnsi="Times New Roman" w:eastAsia="Times New Roman" w:cs="Times New Roman"/>
                <w:b/>
                <w:bCs/>
                <w:spacing w:val="-1"/>
                <w:sz w:val="20"/>
                <w:szCs w:val="20"/>
              </w:rPr>
              <w:t>/m</w:t>
            </w:r>
          </w:p>
        </w:tc>
      </w:tr>
      <w:tr w14:paraId="5AF77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978" w:type="dxa"/>
            <w:vMerge w:val="continue"/>
            <w:tcBorders>
              <w:top w:val="nil"/>
              <w:left w:val="nil"/>
            </w:tcBorders>
            <w:vAlign w:val="top"/>
          </w:tcPr>
          <w:p w14:paraId="26C6F779">
            <w:pPr>
              <w:rPr>
                <w:rFonts w:ascii="Arial"/>
                <w:sz w:val="21"/>
              </w:rPr>
            </w:pPr>
          </w:p>
        </w:tc>
        <w:tc>
          <w:tcPr>
            <w:tcW w:w="1605" w:type="dxa"/>
            <w:vAlign w:val="top"/>
          </w:tcPr>
          <w:p w14:paraId="0BE552F1">
            <w:pPr>
              <w:spacing w:before="261" w:line="192" w:lineRule="auto"/>
              <w:ind w:left="728"/>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1604" w:type="dxa"/>
            <w:vAlign w:val="top"/>
          </w:tcPr>
          <w:p w14:paraId="1EFAB2A8">
            <w:pPr>
              <w:spacing w:before="261" w:line="192" w:lineRule="auto"/>
              <w:ind w:left="72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540" w:type="dxa"/>
            <w:vMerge w:val="continue"/>
            <w:tcBorders>
              <w:top w:val="nil"/>
            </w:tcBorders>
            <w:vAlign w:val="top"/>
          </w:tcPr>
          <w:p w14:paraId="66302808">
            <w:pPr>
              <w:rPr>
                <w:rFonts w:ascii="Arial"/>
                <w:sz w:val="21"/>
              </w:rPr>
            </w:pPr>
          </w:p>
        </w:tc>
        <w:tc>
          <w:tcPr>
            <w:tcW w:w="1491" w:type="dxa"/>
            <w:vMerge w:val="continue"/>
            <w:tcBorders>
              <w:top w:val="nil"/>
            </w:tcBorders>
            <w:vAlign w:val="top"/>
          </w:tcPr>
          <w:p w14:paraId="153A9BEA">
            <w:pPr>
              <w:rPr>
                <w:rFonts w:ascii="Arial"/>
                <w:sz w:val="21"/>
              </w:rPr>
            </w:pPr>
          </w:p>
        </w:tc>
        <w:tc>
          <w:tcPr>
            <w:tcW w:w="633" w:type="dxa"/>
            <w:vMerge w:val="continue"/>
            <w:tcBorders>
              <w:top w:val="nil"/>
            </w:tcBorders>
            <w:vAlign w:val="top"/>
          </w:tcPr>
          <w:p w14:paraId="2456A91E">
            <w:pPr>
              <w:rPr>
                <w:rFonts w:ascii="Arial"/>
                <w:sz w:val="21"/>
              </w:rPr>
            </w:pPr>
          </w:p>
        </w:tc>
        <w:tc>
          <w:tcPr>
            <w:tcW w:w="750" w:type="dxa"/>
            <w:vMerge w:val="continue"/>
            <w:tcBorders>
              <w:top w:val="nil"/>
            </w:tcBorders>
            <w:vAlign w:val="top"/>
          </w:tcPr>
          <w:p w14:paraId="006174E4">
            <w:pPr>
              <w:rPr>
                <w:rFonts w:ascii="Arial"/>
                <w:sz w:val="21"/>
              </w:rPr>
            </w:pPr>
          </w:p>
        </w:tc>
        <w:tc>
          <w:tcPr>
            <w:tcW w:w="788" w:type="dxa"/>
            <w:vMerge w:val="continue"/>
            <w:tcBorders>
              <w:top w:val="nil"/>
              <w:right w:val="nil"/>
            </w:tcBorders>
            <w:vAlign w:val="top"/>
          </w:tcPr>
          <w:p w14:paraId="12422D23">
            <w:pPr>
              <w:rPr>
                <w:rFonts w:ascii="Arial"/>
                <w:sz w:val="21"/>
              </w:rPr>
            </w:pPr>
          </w:p>
        </w:tc>
      </w:tr>
      <w:tr w14:paraId="09102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78" w:type="dxa"/>
            <w:tcBorders>
              <w:left w:val="nil"/>
            </w:tcBorders>
            <w:vAlign w:val="top"/>
          </w:tcPr>
          <w:p w14:paraId="2BEDF589">
            <w:pPr>
              <w:spacing w:before="63" w:line="228" w:lineRule="auto"/>
              <w:ind w:left="205"/>
              <w:rPr>
                <w:rFonts w:ascii="宋体" w:hAnsi="宋体" w:eastAsia="宋体" w:cs="宋体"/>
                <w:sz w:val="20"/>
                <w:szCs w:val="20"/>
              </w:rPr>
            </w:pPr>
            <w:r>
              <w:rPr>
                <w:rFonts w:ascii="宋体" w:hAnsi="宋体" w:eastAsia="宋体" w:cs="宋体"/>
                <w:spacing w:val="-2"/>
                <w:sz w:val="20"/>
                <w:szCs w:val="20"/>
              </w:rPr>
              <w:t>葡粉</w:t>
            </w:r>
            <w:r>
              <w:rPr>
                <w:rFonts w:ascii="宋体" w:hAnsi="宋体" w:eastAsia="宋体" w:cs="宋体"/>
                <w:spacing w:val="-1"/>
                <w:sz w:val="20"/>
                <w:szCs w:val="20"/>
              </w:rPr>
              <w:t>沟</w:t>
            </w:r>
          </w:p>
        </w:tc>
        <w:tc>
          <w:tcPr>
            <w:tcW w:w="1605" w:type="dxa"/>
            <w:vAlign w:val="top"/>
          </w:tcPr>
          <w:p w14:paraId="0828D126">
            <w:pPr>
              <w:spacing w:before="9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123°42′55.59456</w:t>
            </w:r>
            <w:r>
              <w:rPr>
                <w:rFonts w:ascii="Times New Roman" w:hAnsi="Times New Roman" w:eastAsia="Times New Roman" w:cs="Times New Roman"/>
                <w:spacing w:val="-1"/>
                <w:sz w:val="20"/>
                <w:szCs w:val="20"/>
              </w:rPr>
              <w:t>″</w:t>
            </w:r>
          </w:p>
        </w:tc>
        <w:tc>
          <w:tcPr>
            <w:tcW w:w="1604" w:type="dxa"/>
            <w:vAlign w:val="top"/>
          </w:tcPr>
          <w:p w14:paraId="0C013DBC">
            <w:pPr>
              <w:spacing w:before="99"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41°22′20.</w:t>
            </w:r>
            <w:r>
              <w:rPr>
                <w:rFonts w:ascii="Times New Roman" w:hAnsi="Times New Roman" w:eastAsia="Times New Roman" w:cs="Times New Roman"/>
                <w:spacing w:val="-1"/>
                <w:sz w:val="20"/>
                <w:szCs w:val="20"/>
              </w:rPr>
              <w:t>64848″</w:t>
            </w:r>
          </w:p>
        </w:tc>
        <w:tc>
          <w:tcPr>
            <w:tcW w:w="540" w:type="dxa"/>
            <w:vAlign w:val="top"/>
          </w:tcPr>
          <w:p w14:paraId="7111E35B">
            <w:pPr>
              <w:spacing w:before="63"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391DCBE6">
            <w:pPr>
              <w:spacing w:before="64" w:line="228" w:lineRule="auto"/>
              <w:ind w:left="129"/>
              <w:rPr>
                <w:rFonts w:ascii="宋体" w:hAnsi="宋体" w:eastAsia="宋体" w:cs="宋体"/>
                <w:sz w:val="20"/>
                <w:szCs w:val="20"/>
              </w:rPr>
            </w:pPr>
            <w:r>
              <w:rPr>
                <w:rFonts w:ascii="Times New Roman" w:hAnsi="Times New Roman" w:eastAsia="Times New Roman" w:cs="Times New Roman"/>
                <w:spacing w:val="-4"/>
                <w:sz w:val="20"/>
                <w:szCs w:val="20"/>
              </w:rPr>
              <w:t xml:space="preserve">180 </w:t>
            </w:r>
            <w:r>
              <w:rPr>
                <w:rFonts w:ascii="宋体" w:hAnsi="宋体" w:eastAsia="宋体" w:cs="宋体"/>
                <w:spacing w:val="-2"/>
                <w:sz w:val="20"/>
                <w:szCs w:val="20"/>
              </w:rPr>
              <w:t>户，</w:t>
            </w:r>
            <w:r>
              <w:rPr>
                <w:rFonts w:ascii="Times New Roman" w:hAnsi="Times New Roman" w:eastAsia="Times New Roman" w:cs="Times New Roman"/>
                <w:spacing w:val="-2"/>
                <w:sz w:val="20"/>
                <w:szCs w:val="20"/>
              </w:rPr>
              <w:t xml:space="preserve">630 </w:t>
            </w:r>
            <w:r>
              <w:rPr>
                <w:rFonts w:ascii="宋体" w:hAnsi="宋体" w:eastAsia="宋体" w:cs="宋体"/>
                <w:spacing w:val="-2"/>
                <w:sz w:val="20"/>
                <w:szCs w:val="20"/>
              </w:rPr>
              <w:t>人</w:t>
            </w:r>
          </w:p>
        </w:tc>
        <w:tc>
          <w:tcPr>
            <w:tcW w:w="633" w:type="dxa"/>
            <w:vAlign w:val="top"/>
          </w:tcPr>
          <w:p w14:paraId="51237578">
            <w:pPr>
              <w:spacing w:before="63"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0D4CA534">
            <w:pPr>
              <w:spacing w:before="63" w:line="228" w:lineRule="auto"/>
              <w:ind w:left="192"/>
              <w:rPr>
                <w:rFonts w:ascii="宋体" w:hAnsi="宋体" w:eastAsia="宋体" w:cs="宋体"/>
                <w:sz w:val="20"/>
                <w:szCs w:val="20"/>
              </w:rPr>
            </w:pPr>
            <w:r>
              <w:rPr>
                <w:rFonts w:ascii="宋体" w:hAnsi="宋体" w:eastAsia="宋体" w:cs="宋体"/>
                <w:spacing w:val="-4"/>
                <w:sz w:val="20"/>
                <w:szCs w:val="20"/>
              </w:rPr>
              <w:t>东</w:t>
            </w:r>
            <w:r>
              <w:rPr>
                <w:rFonts w:ascii="宋体" w:hAnsi="宋体" w:eastAsia="宋体" w:cs="宋体"/>
                <w:spacing w:val="-3"/>
                <w:sz w:val="20"/>
                <w:szCs w:val="20"/>
              </w:rPr>
              <w:t>北</w:t>
            </w:r>
          </w:p>
        </w:tc>
        <w:tc>
          <w:tcPr>
            <w:tcW w:w="788" w:type="dxa"/>
            <w:tcBorders>
              <w:right w:val="nil"/>
            </w:tcBorders>
            <w:vAlign w:val="top"/>
          </w:tcPr>
          <w:p w14:paraId="19AF78BF">
            <w:pPr>
              <w:spacing w:before="99"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740</w:t>
            </w:r>
          </w:p>
        </w:tc>
      </w:tr>
      <w:tr w14:paraId="4F359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78" w:type="dxa"/>
            <w:tcBorders>
              <w:left w:val="nil"/>
            </w:tcBorders>
            <w:vAlign w:val="top"/>
          </w:tcPr>
          <w:p w14:paraId="018B93D0">
            <w:pPr>
              <w:spacing w:before="64" w:line="227" w:lineRule="auto"/>
              <w:ind w:left="210"/>
              <w:rPr>
                <w:rFonts w:ascii="宋体" w:hAnsi="宋体" w:eastAsia="宋体" w:cs="宋体"/>
                <w:sz w:val="20"/>
                <w:szCs w:val="20"/>
              </w:rPr>
            </w:pPr>
            <w:r>
              <w:rPr>
                <w:rFonts w:ascii="宋体" w:hAnsi="宋体" w:eastAsia="宋体" w:cs="宋体"/>
                <w:spacing w:val="-3"/>
                <w:sz w:val="20"/>
                <w:szCs w:val="20"/>
              </w:rPr>
              <w:t>下堡村</w:t>
            </w:r>
          </w:p>
        </w:tc>
        <w:tc>
          <w:tcPr>
            <w:tcW w:w="1605" w:type="dxa"/>
            <w:vAlign w:val="top"/>
          </w:tcPr>
          <w:p w14:paraId="72E72E9C">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23°42′6.72477″</w:t>
            </w:r>
          </w:p>
        </w:tc>
        <w:tc>
          <w:tcPr>
            <w:tcW w:w="1604" w:type="dxa"/>
            <w:vAlign w:val="top"/>
          </w:tcPr>
          <w:p w14:paraId="3BB5A34D">
            <w:pPr>
              <w:spacing w:before="10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41°22′20.</w:t>
            </w:r>
            <w:r>
              <w:rPr>
                <w:rFonts w:ascii="Times New Roman" w:hAnsi="Times New Roman" w:eastAsia="Times New Roman" w:cs="Times New Roman"/>
                <w:spacing w:val="-1"/>
                <w:sz w:val="20"/>
                <w:szCs w:val="20"/>
              </w:rPr>
              <w:t>83231″</w:t>
            </w:r>
          </w:p>
        </w:tc>
        <w:tc>
          <w:tcPr>
            <w:tcW w:w="540" w:type="dxa"/>
            <w:vAlign w:val="top"/>
          </w:tcPr>
          <w:p w14:paraId="4938F276">
            <w:pPr>
              <w:spacing w:before="64"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7252894C">
            <w:pPr>
              <w:spacing w:before="65" w:line="228" w:lineRule="auto"/>
              <w:ind w:left="163"/>
              <w:rPr>
                <w:rFonts w:ascii="宋体" w:hAnsi="宋体" w:eastAsia="宋体" w:cs="宋体"/>
                <w:sz w:val="20"/>
                <w:szCs w:val="20"/>
              </w:rPr>
            </w:pPr>
            <w:r>
              <w:rPr>
                <w:rFonts w:ascii="Times New Roman" w:hAnsi="Times New Roman" w:eastAsia="Times New Roman" w:cs="Times New Roman"/>
                <w:spacing w:val="-2"/>
                <w:sz w:val="20"/>
                <w:szCs w:val="20"/>
              </w:rPr>
              <w:t xml:space="preserve">55 </w:t>
            </w:r>
            <w:r>
              <w:rPr>
                <w:rFonts w:ascii="宋体" w:hAnsi="宋体" w:eastAsia="宋体" w:cs="宋体"/>
                <w:spacing w:val="-2"/>
                <w:sz w:val="20"/>
                <w:szCs w:val="20"/>
              </w:rPr>
              <w:t>户</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190 </w:t>
            </w:r>
            <w:r>
              <w:rPr>
                <w:rFonts w:ascii="宋体" w:hAnsi="宋体" w:eastAsia="宋体" w:cs="宋体"/>
                <w:spacing w:val="-1"/>
                <w:sz w:val="20"/>
                <w:szCs w:val="20"/>
              </w:rPr>
              <w:t>人</w:t>
            </w:r>
          </w:p>
        </w:tc>
        <w:tc>
          <w:tcPr>
            <w:tcW w:w="633" w:type="dxa"/>
            <w:vAlign w:val="top"/>
          </w:tcPr>
          <w:p w14:paraId="07562096">
            <w:pPr>
              <w:spacing w:before="64"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0A55CD76">
            <w:pPr>
              <w:spacing w:before="65" w:line="231" w:lineRule="auto"/>
              <w:ind w:left="190"/>
              <w:rPr>
                <w:rFonts w:ascii="宋体" w:hAnsi="宋体" w:eastAsia="宋体" w:cs="宋体"/>
                <w:sz w:val="20"/>
                <w:szCs w:val="20"/>
              </w:rPr>
            </w:pPr>
            <w:r>
              <w:rPr>
                <w:rFonts w:ascii="宋体" w:hAnsi="宋体" w:eastAsia="宋体" w:cs="宋体"/>
                <w:spacing w:val="-3"/>
                <w:sz w:val="20"/>
                <w:szCs w:val="20"/>
              </w:rPr>
              <w:t>西</w:t>
            </w:r>
            <w:r>
              <w:rPr>
                <w:rFonts w:ascii="宋体" w:hAnsi="宋体" w:eastAsia="宋体" w:cs="宋体"/>
                <w:spacing w:val="-2"/>
                <w:sz w:val="20"/>
                <w:szCs w:val="20"/>
              </w:rPr>
              <w:t>北</w:t>
            </w:r>
          </w:p>
        </w:tc>
        <w:tc>
          <w:tcPr>
            <w:tcW w:w="788" w:type="dxa"/>
            <w:tcBorders>
              <w:right w:val="nil"/>
            </w:tcBorders>
            <w:vAlign w:val="top"/>
          </w:tcPr>
          <w:p w14:paraId="14CA09EC">
            <w:pPr>
              <w:spacing w:before="10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750</w:t>
            </w:r>
          </w:p>
        </w:tc>
      </w:tr>
      <w:tr w14:paraId="1D458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78" w:type="dxa"/>
            <w:tcBorders>
              <w:left w:val="nil"/>
            </w:tcBorders>
            <w:vAlign w:val="top"/>
          </w:tcPr>
          <w:p w14:paraId="32073900">
            <w:pPr>
              <w:spacing w:before="64" w:line="228" w:lineRule="auto"/>
              <w:ind w:left="203"/>
              <w:rPr>
                <w:rFonts w:ascii="宋体" w:hAnsi="宋体" w:eastAsia="宋体" w:cs="宋体"/>
                <w:sz w:val="20"/>
                <w:szCs w:val="20"/>
              </w:rPr>
            </w:pPr>
            <w:r>
              <w:rPr>
                <w:rFonts w:ascii="宋体" w:hAnsi="宋体" w:eastAsia="宋体" w:cs="宋体"/>
                <w:spacing w:val="-1"/>
                <w:sz w:val="20"/>
                <w:szCs w:val="20"/>
              </w:rPr>
              <w:t>榆树底</w:t>
            </w:r>
          </w:p>
        </w:tc>
        <w:tc>
          <w:tcPr>
            <w:tcW w:w="1605" w:type="dxa"/>
            <w:vAlign w:val="top"/>
          </w:tcPr>
          <w:p w14:paraId="058BB7A8">
            <w:pPr>
              <w:spacing w:before="10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123°42′16.89351</w:t>
            </w:r>
            <w:r>
              <w:rPr>
                <w:rFonts w:ascii="Times New Roman" w:hAnsi="Times New Roman" w:eastAsia="Times New Roman" w:cs="Times New Roman"/>
                <w:spacing w:val="-1"/>
                <w:sz w:val="20"/>
                <w:szCs w:val="20"/>
              </w:rPr>
              <w:t>″</w:t>
            </w:r>
          </w:p>
        </w:tc>
        <w:tc>
          <w:tcPr>
            <w:tcW w:w="1604" w:type="dxa"/>
            <w:vAlign w:val="top"/>
          </w:tcPr>
          <w:p w14:paraId="1D32E572">
            <w:pPr>
              <w:spacing w:before="100" w:line="198"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41°22′1.</w:t>
            </w:r>
            <w:r>
              <w:rPr>
                <w:rFonts w:ascii="Times New Roman" w:hAnsi="Times New Roman" w:eastAsia="Times New Roman" w:cs="Times New Roman"/>
                <w:spacing w:val="-1"/>
                <w:sz w:val="20"/>
                <w:szCs w:val="20"/>
              </w:rPr>
              <w:t>64556″</w:t>
            </w:r>
          </w:p>
        </w:tc>
        <w:tc>
          <w:tcPr>
            <w:tcW w:w="540" w:type="dxa"/>
            <w:vAlign w:val="top"/>
          </w:tcPr>
          <w:p w14:paraId="712216D0">
            <w:pPr>
              <w:spacing w:before="65"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779B1DAB">
            <w:pPr>
              <w:spacing w:before="65" w:line="228" w:lineRule="auto"/>
              <w:ind w:left="129"/>
              <w:rPr>
                <w:rFonts w:ascii="宋体" w:hAnsi="宋体" w:eastAsia="宋体" w:cs="宋体"/>
                <w:sz w:val="20"/>
                <w:szCs w:val="20"/>
              </w:rPr>
            </w:pPr>
            <w:r>
              <w:rPr>
                <w:rFonts w:ascii="Times New Roman" w:hAnsi="Times New Roman" w:eastAsia="Times New Roman" w:cs="Times New Roman"/>
                <w:spacing w:val="-4"/>
                <w:sz w:val="20"/>
                <w:szCs w:val="20"/>
              </w:rPr>
              <w:t xml:space="preserve">160 </w:t>
            </w:r>
            <w:r>
              <w:rPr>
                <w:rFonts w:ascii="宋体" w:hAnsi="宋体" w:eastAsia="宋体" w:cs="宋体"/>
                <w:spacing w:val="-2"/>
                <w:sz w:val="20"/>
                <w:szCs w:val="20"/>
              </w:rPr>
              <w:t>户，</w:t>
            </w:r>
            <w:r>
              <w:rPr>
                <w:rFonts w:ascii="Times New Roman" w:hAnsi="Times New Roman" w:eastAsia="Times New Roman" w:cs="Times New Roman"/>
                <w:spacing w:val="-2"/>
                <w:sz w:val="20"/>
                <w:szCs w:val="20"/>
              </w:rPr>
              <w:t xml:space="preserve">560 </w:t>
            </w:r>
            <w:r>
              <w:rPr>
                <w:rFonts w:ascii="宋体" w:hAnsi="宋体" w:eastAsia="宋体" w:cs="宋体"/>
                <w:spacing w:val="-2"/>
                <w:sz w:val="20"/>
                <w:szCs w:val="20"/>
              </w:rPr>
              <w:t>人</w:t>
            </w:r>
          </w:p>
        </w:tc>
        <w:tc>
          <w:tcPr>
            <w:tcW w:w="633" w:type="dxa"/>
            <w:vAlign w:val="top"/>
          </w:tcPr>
          <w:p w14:paraId="22E4286C">
            <w:pPr>
              <w:spacing w:before="64"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643D498D">
            <w:pPr>
              <w:spacing w:before="65" w:line="231" w:lineRule="auto"/>
              <w:ind w:left="190"/>
              <w:rPr>
                <w:rFonts w:ascii="宋体" w:hAnsi="宋体" w:eastAsia="宋体" w:cs="宋体"/>
                <w:sz w:val="20"/>
                <w:szCs w:val="20"/>
              </w:rPr>
            </w:pPr>
            <w:r>
              <w:rPr>
                <w:rFonts w:ascii="宋体" w:hAnsi="宋体" w:eastAsia="宋体" w:cs="宋体"/>
                <w:spacing w:val="-3"/>
                <w:sz w:val="20"/>
                <w:szCs w:val="20"/>
              </w:rPr>
              <w:t>西</w:t>
            </w:r>
            <w:r>
              <w:rPr>
                <w:rFonts w:ascii="宋体" w:hAnsi="宋体" w:eastAsia="宋体" w:cs="宋体"/>
                <w:spacing w:val="-2"/>
                <w:sz w:val="20"/>
                <w:szCs w:val="20"/>
              </w:rPr>
              <w:t>北</w:t>
            </w:r>
          </w:p>
        </w:tc>
        <w:tc>
          <w:tcPr>
            <w:tcW w:w="788" w:type="dxa"/>
            <w:tcBorders>
              <w:right w:val="nil"/>
            </w:tcBorders>
            <w:vAlign w:val="top"/>
          </w:tcPr>
          <w:p w14:paraId="3587689B">
            <w:pPr>
              <w:spacing w:before="10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30</w:t>
            </w:r>
          </w:p>
        </w:tc>
      </w:tr>
      <w:tr w14:paraId="291CB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78" w:type="dxa"/>
            <w:tcBorders>
              <w:left w:val="nil"/>
            </w:tcBorders>
            <w:vAlign w:val="top"/>
          </w:tcPr>
          <w:p w14:paraId="1BEFB36D">
            <w:pPr>
              <w:spacing w:before="65" w:line="227" w:lineRule="auto"/>
              <w:ind w:left="111"/>
              <w:rPr>
                <w:rFonts w:ascii="宋体" w:hAnsi="宋体" w:eastAsia="宋体" w:cs="宋体"/>
                <w:sz w:val="20"/>
                <w:szCs w:val="20"/>
              </w:rPr>
            </w:pPr>
            <w:r>
              <w:rPr>
                <w:rFonts w:ascii="宋体" w:hAnsi="宋体" w:eastAsia="宋体" w:cs="宋体"/>
                <w:spacing w:val="-4"/>
                <w:sz w:val="20"/>
                <w:szCs w:val="20"/>
              </w:rPr>
              <w:t>营</w:t>
            </w:r>
            <w:r>
              <w:rPr>
                <w:rFonts w:ascii="宋体" w:hAnsi="宋体" w:eastAsia="宋体" w:cs="宋体"/>
                <w:spacing w:val="-3"/>
                <w:sz w:val="20"/>
                <w:szCs w:val="20"/>
              </w:rPr>
              <w:t>子新村</w:t>
            </w:r>
          </w:p>
        </w:tc>
        <w:tc>
          <w:tcPr>
            <w:tcW w:w="1605" w:type="dxa"/>
            <w:vAlign w:val="top"/>
          </w:tcPr>
          <w:p w14:paraId="48924FA9">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23°45′9.39426″</w:t>
            </w:r>
          </w:p>
        </w:tc>
        <w:tc>
          <w:tcPr>
            <w:tcW w:w="1604" w:type="dxa"/>
            <w:vAlign w:val="top"/>
          </w:tcPr>
          <w:p w14:paraId="152893C0">
            <w:pPr>
              <w:spacing w:before="10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41°20′58.</w:t>
            </w:r>
            <w:r>
              <w:rPr>
                <w:rFonts w:ascii="Times New Roman" w:hAnsi="Times New Roman" w:eastAsia="Times New Roman" w:cs="Times New Roman"/>
                <w:spacing w:val="-1"/>
                <w:sz w:val="20"/>
                <w:szCs w:val="20"/>
              </w:rPr>
              <w:t>34891″</w:t>
            </w:r>
          </w:p>
        </w:tc>
        <w:tc>
          <w:tcPr>
            <w:tcW w:w="540" w:type="dxa"/>
            <w:vAlign w:val="top"/>
          </w:tcPr>
          <w:p w14:paraId="0E1EACA6">
            <w:pPr>
              <w:spacing w:before="65"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629646E8">
            <w:pPr>
              <w:spacing w:before="65" w:line="228" w:lineRule="auto"/>
              <w:ind w:left="205"/>
              <w:rPr>
                <w:rFonts w:ascii="宋体" w:hAnsi="宋体" w:eastAsia="宋体" w:cs="宋体"/>
                <w:sz w:val="20"/>
                <w:szCs w:val="20"/>
              </w:rPr>
            </w:pPr>
            <w:r>
              <w:rPr>
                <w:rFonts w:ascii="Times New Roman" w:hAnsi="Times New Roman" w:eastAsia="Times New Roman" w:cs="Times New Roman"/>
                <w:spacing w:val="-1"/>
                <w:sz w:val="20"/>
                <w:szCs w:val="20"/>
              </w:rPr>
              <w:t xml:space="preserve">28 </w:t>
            </w:r>
            <w:r>
              <w:rPr>
                <w:rFonts w:ascii="宋体" w:hAnsi="宋体" w:eastAsia="宋体" w:cs="宋体"/>
                <w:spacing w:val="-1"/>
                <w:sz w:val="20"/>
                <w:szCs w:val="20"/>
              </w:rPr>
              <w:t>户，</w:t>
            </w:r>
            <w:r>
              <w:rPr>
                <w:rFonts w:ascii="Times New Roman" w:hAnsi="Times New Roman" w:eastAsia="Times New Roman" w:cs="Times New Roman"/>
                <w:spacing w:val="-1"/>
                <w:sz w:val="20"/>
                <w:szCs w:val="20"/>
              </w:rPr>
              <w:t>98</w:t>
            </w:r>
            <w:r>
              <w:rPr>
                <w:rFonts w:ascii="Times New Roman" w:hAnsi="Times New Roman" w:eastAsia="Times New Roman" w:cs="Times New Roman"/>
                <w:sz w:val="20"/>
                <w:szCs w:val="20"/>
              </w:rPr>
              <w:t xml:space="preserve"> </w:t>
            </w:r>
            <w:r>
              <w:rPr>
                <w:rFonts w:ascii="宋体" w:hAnsi="宋体" w:eastAsia="宋体" w:cs="宋体"/>
                <w:sz w:val="20"/>
                <w:szCs w:val="20"/>
              </w:rPr>
              <w:t>人</w:t>
            </w:r>
          </w:p>
        </w:tc>
        <w:tc>
          <w:tcPr>
            <w:tcW w:w="633" w:type="dxa"/>
            <w:vAlign w:val="top"/>
          </w:tcPr>
          <w:p w14:paraId="2B2C0CAA">
            <w:pPr>
              <w:spacing w:before="64"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19EA9809">
            <w:pPr>
              <w:spacing w:before="65" w:line="231" w:lineRule="auto"/>
              <w:ind w:left="190"/>
              <w:rPr>
                <w:rFonts w:ascii="宋体" w:hAnsi="宋体" w:eastAsia="宋体" w:cs="宋体"/>
                <w:sz w:val="20"/>
                <w:szCs w:val="20"/>
              </w:rPr>
            </w:pPr>
            <w:r>
              <w:rPr>
                <w:rFonts w:ascii="宋体" w:hAnsi="宋体" w:eastAsia="宋体" w:cs="宋体"/>
                <w:spacing w:val="-3"/>
                <w:sz w:val="20"/>
                <w:szCs w:val="20"/>
              </w:rPr>
              <w:t>西</w:t>
            </w:r>
            <w:r>
              <w:rPr>
                <w:rFonts w:ascii="宋体" w:hAnsi="宋体" w:eastAsia="宋体" w:cs="宋体"/>
                <w:spacing w:val="-2"/>
                <w:sz w:val="20"/>
                <w:szCs w:val="20"/>
              </w:rPr>
              <w:t>北</w:t>
            </w:r>
          </w:p>
        </w:tc>
        <w:tc>
          <w:tcPr>
            <w:tcW w:w="788" w:type="dxa"/>
            <w:tcBorders>
              <w:right w:val="nil"/>
            </w:tcBorders>
            <w:vAlign w:val="top"/>
          </w:tcPr>
          <w:p w14:paraId="32589254">
            <w:pPr>
              <w:spacing w:before="10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070</w:t>
            </w:r>
          </w:p>
        </w:tc>
      </w:tr>
      <w:tr w14:paraId="05576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78" w:type="dxa"/>
            <w:tcBorders>
              <w:left w:val="nil"/>
            </w:tcBorders>
            <w:vAlign w:val="top"/>
          </w:tcPr>
          <w:p w14:paraId="6CE6C56C">
            <w:pPr>
              <w:spacing w:before="66" w:line="228" w:lineRule="auto"/>
              <w:ind w:left="202"/>
              <w:rPr>
                <w:rFonts w:ascii="宋体" w:hAnsi="宋体" w:eastAsia="宋体" w:cs="宋体"/>
                <w:sz w:val="20"/>
                <w:szCs w:val="20"/>
              </w:rPr>
            </w:pPr>
            <w:r>
              <w:rPr>
                <w:rFonts w:ascii="宋体" w:hAnsi="宋体" w:eastAsia="宋体" w:cs="宋体"/>
                <w:spacing w:val="-1"/>
                <w:sz w:val="20"/>
                <w:szCs w:val="20"/>
              </w:rPr>
              <w:t>刺叶</w:t>
            </w:r>
            <w:r>
              <w:rPr>
                <w:rFonts w:ascii="宋体" w:hAnsi="宋体" w:eastAsia="宋体" w:cs="宋体"/>
                <w:sz w:val="20"/>
                <w:szCs w:val="20"/>
              </w:rPr>
              <w:t>山</w:t>
            </w:r>
          </w:p>
        </w:tc>
        <w:tc>
          <w:tcPr>
            <w:tcW w:w="1605" w:type="dxa"/>
            <w:vAlign w:val="top"/>
          </w:tcPr>
          <w:p w14:paraId="41ACEFA1">
            <w:pPr>
              <w:spacing w:before="10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123°40′48.46108</w:t>
            </w:r>
            <w:r>
              <w:rPr>
                <w:rFonts w:ascii="Times New Roman" w:hAnsi="Times New Roman" w:eastAsia="Times New Roman" w:cs="Times New Roman"/>
                <w:spacing w:val="-1"/>
                <w:sz w:val="20"/>
                <w:szCs w:val="20"/>
              </w:rPr>
              <w:t>″</w:t>
            </w:r>
          </w:p>
        </w:tc>
        <w:tc>
          <w:tcPr>
            <w:tcW w:w="1604" w:type="dxa"/>
            <w:vAlign w:val="top"/>
          </w:tcPr>
          <w:p w14:paraId="18D9B037">
            <w:pPr>
              <w:spacing w:before="102" w:line="198"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41°22′41.</w:t>
            </w:r>
            <w:r>
              <w:rPr>
                <w:rFonts w:ascii="Times New Roman" w:hAnsi="Times New Roman" w:eastAsia="Times New Roman" w:cs="Times New Roman"/>
                <w:spacing w:val="-1"/>
                <w:sz w:val="20"/>
                <w:szCs w:val="20"/>
              </w:rPr>
              <w:t>10772″</w:t>
            </w:r>
          </w:p>
        </w:tc>
        <w:tc>
          <w:tcPr>
            <w:tcW w:w="540" w:type="dxa"/>
            <w:vAlign w:val="top"/>
          </w:tcPr>
          <w:p w14:paraId="4F944DCE">
            <w:pPr>
              <w:spacing w:before="66"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62C62B7D">
            <w:pPr>
              <w:spacing w:before="66" w:line="228" w:lineRule="auto"/>
              <w:ind w:left="161"/>
              <w:rPr>
                <w:rFonts w:ascii="宋体" w:hAnsi="宋体" w:eastAsia="宋体" w:cs="宋体"/>
                <w:sz w:val="20"/>
                <w:szCs w:val="20"/>
              </w:rPr>
            </w:pPr>
            <w:r>
              <w:rPr>
                <w:rFonts w:ascii="Times New Roman" w:hAnsi="Times New Roman" w:eastAsia="Times New Roman" w:cs="Times New Roman"/>
                <w:spacing w:val="-2"/>
                <w:sz w:val="20"/>
                <w:szCs w:val="20"/>
              </w:rPr>
              <w:t xml:space="preserve">30 </w:t>
            </w:r>
            <w:r>
              <w:rPr>
                <w:rFonts w:ascii="宋体" w:hAnsi="宋体" w:eastAsia="宋体" w:cs="宋体"/>
                <w:spacing w:val="-1"/>
                <w:sz w:val="20"/>
                <w:szCs w:val="20"/>
              </w:rPr>
              <w:t>户，</w:t>
            </w:r>
            <w:r>
              <w:rPr>
                <w:rFonts w:ascii="Times New Roman" w:hAnsi="Times New Roman" w:eastAsia="Times New Roman" w:cs="Times New Roman"/>
                <w:spacing w:val="-1"/>
                <w:sz w:val="20"/>
                <w:szCs w:val="20"/>
              </w:rPr>
              <w:t xml:space="preserve">105 </w:t>
            </w:r>
            <w:r>
              <w:rPr>
                <w:rFonts w:ascii="宋体" w:hAnsi="宋体" w:eastAsia="宋体" w:cs="宋体"/>
                <w:spacing w:val="-1"/>
                <w:sz w:val="20"/>
                <w:szCs w:val="20"/>
              </w:rPr>
              <w:t>人</w:t>
            </w:r>
          </w:p>
        </w:tc>
        <w:tc>
          <w:tcPr>
            <w:tcW w:w="633" w:type="dxa"/>
            <w:vAlign w:val="top"/>
          </w:tcPr>
          <w:p w14:paraId="3E716956">
            <w:pPr>
              <w:spacing w:before="66"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65442F9C">
            <w:pPr>
              <w:spacing w:before="66" w:line="231" w:lineRule="auto"/>
              <w:ind w:left="190"/>
              <w:rPr>
                <w:rFonts w:ascii="宋体" w:hAnsi="宋体" w:eastAsia="宋体" w:cs="宋体"/>
                <w:sz w:val="20"/>
                <w:szCs w:val="20"/>
              </w:rPr>
            </w:pPr>
            <w:r>
              <w:rPr>
                <w:rFonts w:ascii="宋体" w:hAnsi="宋体" w:eastAsia="宋体" w:cs="宋体"/>
                <w:spacing w:val="-3"/>
                <w:sz w:val="20"/>
                <w:szCs w:val="20"/>
              </w:rPr>
              <w:t>西</w:t>
            </w:r>
            <w:r>
              <w:rPr>
                <w:rFonts w:ascii="宋体" w:hAnsi="宋体" w:eastAsia="宋体" w:cs="宋体"/>
                <w:spacing w:val="-2"/>
                <w:sz w:val="20"/>
                <w:szCs w:val="20"/>
              </w:rPr>
              <w:t>北</w:t>
            </w:r>
          </w:p>
        </w:tc>
        <w:tc>
          <w:tcPr>
            <w:tcW w:w="788" w:type="dxa"/>
            <w:tcBorders>
              <w:right w:val="nil"/>
            </w:tcBorders>
            <w:vAlign w:val="top"/>
          </w:tcPr>
          <w:p w14:paraId="386C6E99">
            <w:pPr>
              <w:spacing w:before="10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600</w:t>
            </w:r>
          </w:p>
        </w:tc>
      </w:tr>
      <w:tr w14:paraId="2A218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78" w:type="dxa"/>
            <w:tcBorders>
              <w:left w:val="nil"/>
            </w:tcBorders>
            <w:vAlign w:val="top"/>
          </w:tcPr>
          <w:p w14:paraId="26AA5A60">
            <w:pPr>
              <w:spacing w:before="65" w:line="227" w:lineRule="auto"/>
              <w:ind w:left="107"/>
              <w:rPr>
                <w:rFonts w:ascii="宋体" w:hAnsi="宋体" w:eastAsia="宋体" w:cs="宋体"/>
                <w:sz w:val="20"/>
                <w:szCs w:val="20"/>
              </w:rPr>
            </w:pPr>
            <w:r>
              <w:rPr>
                <w:rFonts w:ascii="宋体" w:hAnsi="宋体" w:eastAsia="宋体" w:cs="宋体"/>
                <w:spacing w:val="-2"/>
                <w:sz w:val="20"/>
                <w:szCs w:val="20"/>
              </w:rPr>
              <w:t>火连寨村</w:t>
            </w:r>
          </w:p>
        </w:tc>
        <w:tc>
          <w:tcPr>
            <w:tcW w:w="1605" w:type="dxa"/>
            <w:vAlign w:val="top"/>
          </w:tcPr>
          <w:p w14:paraId="4F534640">
            <w:pPr>
              <w:spacing w:before="10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123°43′26.42940</w:t>
            </w:r>
            <w:r>
              <w:rPr>
                <w:rFonts w:ascii="Times New Roman" w:hAnsi="Times New Roman" w:eastAsia="Times New Roman" w:cs="Times New Roman"/>
                <w:spacing w:val="-1"/>
                <w:sz w:val="20"/>
                <w:szCs w:val="20"/>
              </w:rPr>
              <w:t>″</w:t>
            </w:r>
          </w:p>
        </w:tc>
        <w:tc>
          <w:tcPr>
            <w:tcW w:w="1604" w:type="dxa"/>
            <w:vAlign w:val="top"/>
          </w:tcPr>
          <w:p w14:paraId="7BECDFA7">
            <w:pPr>
              <w:spacing w:before="101"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°21′53.41157″</w:t>
            </w:r>
          </w:p>
        </w:tc>
        <w:tc>
          <w:tcPr>
            <w:tcW w:w="540" w:type="dxa"/>
            <w:vAlign w:val="top"/>
          </w:tcPr>
          <w:p w14:paraId="29171CEF">
            <w:pPr>
              <w:spacing w:before="65"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410D81ED">
            <w:pPr>
              <w:spacing w:before="65" w:line="228" w:lineRule="auto"/>
              <w:ind w:left="63"/>
              <w:rPr>
                <w:rFonts w:ascii="宋体" w:hAnsi="宋体" w:eastAsia="宋体" w:cs="宋体"/>
                <w:sz w:val="20"/>
                <w:szCs w:val="20"/>
              </w:rPr>
            </w:pPr>
            <w:r>
              <w:rPr>
                <w:rFonts w:ascii="Times New Roman" w:hAnsi="Times New Roman" w:eastAsia="Times New Roman" w:cs="Times New Roman"/>
                <w:spacing w:val="-2"/>
                <w:sz w:val="20"/>
                <w:szCs w:val="20"/>
              </w:rPr>
              <w:t xml:space="preserve">380 </w:t>
            </w:r>
            <w:r>
              <w:rPr>
                <w:rFonts w:ascii="宋体" w:hAnsi="宋体" w:eastAsia="宋体" w:cs="宋体"/>
                <w:spacing w:val="-1"/>
                <w:sz w:val="20"/>
                <w:szCs w:val="20"/>
              </w:rPr>
              <w:t>户、</w:t>
            </w:r>
            <w:r>
              <w:rPr>
                <w:rFonts w:ascii="Times New Roman" w:hAnsi="Times New Roman" w:eastAsia="Times New Roman" w:cs="Times New Roman"/>
                <w:spacing w:val="-1"/>
                <w:sz w:val="20"/>
                <w:szCs w:val="20"/>
              </w:rPr>
              <w:t xml:space="preserve">1330 </w:t>
            </w:r>
            <w:r>
              <w:rPr>
                <w:rFonts w:ascii="宋体" w:hAnsi="宋体" w:eastAsia="宋体" w:cs="宋体"/>
                <w:spacing w:val="-1"/>
                <w:sz w:val="20"/>
                <w:szCs w:val="20"/>
              </w:rPr>
              <w:t>人</w:t>
            </w:r>
          </w:p>
        </w:tc>
        <w:tc>
          <w:tcPr>
            <w:tcW w:w="633" w:type="dxa"/>
            <w:vAlign w:val="top"/>
          </w:tcPr>
          <w:p w14:paraId="3656B1B2">
            <w:pPr>
              <w:spacing w:before="64"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34367399">
            <w:pPr>
              <w:spacing w:before="64" w:line="228" w:lineRule="auto"/>
              <w:ind w:left="291"/>
              <w:rPr>
                <w:rFonts w:ascii="宋体" w:hAnsi="宋体" w:eastAsia="宋体" w:cs="宋体"/>
                <w:sz w:val="20"/>
                <w:szCs w:val="20"/>
              </w:rPr>
            </w:pPr>
            <w:r>
              <w:rPr>
                <w:rFonts w:ascii="宋体" w:hAnsi="宋体" w:eastAsia="宋体" w:cs="宋体"/>
                <w:sz w:val="20"/>
                <w:szCs w:val="20"/>
              </w:rPr>
              <w:t>东</w:t>
            </w:r>
          </w:p>
        </w:tc>
        <w:tc>
          <w:tcPr>
            <w:tcW w:w="788" w:type="dxa"/>
            <w:tcBorders>
              <w:right w:val="nil"/>
            </w:tcBorders>
            <w:vAlign w:val="top"/>
          </w:tcPr>
          <w:p w14:paraId="0AB73706">
            <w:pPr>
              <w:spacing w:before="10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050</w:t>
            </w:r>
          </w:p>
        </w:tc>
      </w:tr>
      <w:tr w14:paraId="3D12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78" w:type="dxa"/>
            <w:tcBorders>
              <w:left w:val="nil"/>
            </w:tcBorders>
            <w:vAlign w:val="top"/>
          </w:tcPr>
          <w:p w14:paraId="4D7509A3">
            <w:pPr>
              <w:spacing w:before="65" w:line="227" w:lineRule="auto"/>
              <w:ind w:left="210"/>
              <w:rPr>
                <w:rFonts w:ascii="宋体" w:hAnsi="宋体" w:eastAsia="宋体" w:cs="宋体"/>
                <w:sz w:val="20"/>
                <w:szCs w:val="20"/>
              </w:rPr>
            </w:pPr>
            <w:r>
              <w:rPr>
                <w:rFonts w:ascii="宋体" w:hAnsi="宋体" w:eastAsia="宋体" w:cs="宋体"/>
                <w:spacing w:val="-3"/>
                <w:sz w:val="20"/>
                <w:szCs w:val="20"/>
              </w:rPr>
              <w:t>营子村</w:t>
            </w:r>
          </w:p>
        </w:tc>
        <w:tc>
          <w:tcPr>
            <w:tcW w:w="1605" w:type="dxa"/>
            <w:vAlign w:val="top"/>
          </w:tcPr>
          <w:p w14:paraId="0A06B151">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23°44′7.92730″</w:t>
            </w:r>
          </w:p>
        </w:tc>
        <w:tc>
          <w:tcPr>
            <w:tcW w:w="1604" w:type="dxa"/>
            <w:vAlign w:val="top"/>
          </w:tcPr>
          <w:p w14:paraId="3326BD80">
            <w:pPr>
              <w:spacing w:before="101" w:line="198"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41°21′21.</w:t>
            </w:r>
            <w:r>
              <w:rPr>
                <w:rFonts w:ascii="Times New Roman" w:hAnsi="Times New Roman" w:eastAsia="Times New Roman" w:cs="Times New Roman"/>
                <w:spacing w:val="-1"/>
                <w:sz w:val="20"/>
                <w:szCs w:val="20"/>
              </w:rPr>
              <w:t>22574″</w:t>
            </w:r>
          </w:p>
        </w:tc>
        <w:tc>
          <w:tcPr>
            <w:tcW w:w="540" w:type="dxa"/>
            <w:vAlign w:val="top"/>
          </w:tcPr>
          <w:p w14:paraId="597B7287">
            <w:pPr>
              <w:spacing w:before="65"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02E00353">
            <w:pPr>
              <w:spacing w:before="65" w:line="228" w:lineRule="auto"/>
              <w:ind w:left="129"/>
              <w:rPr>
                <w:rFonts w:ascii="宋体" w:hAnsi="宋体" w:eastAsia="宋体" w:cs="宋体"/>
                <w:sz w:val="20"/>
                <w:szCs w:val="20"/>
              </w:rPr>
            </w:pPr>
            <w:r>
              <w:rPr>
                <w:rFonts w:ascii="Times New Roman" w:hAnsi="Times New Roman" w:eastAsia="Times New Roman" w:cs="Times New Roman"/>
                <w:spacing w:val="-4"/>
                <w:sz w:val="20"/>
                <w:szCs w:val="20"/>
              </w:rPr>
              <w:t xml:space="preserve">145 </w:t>
            </w:r>
            <w:r>
              <w:rPr>
                <w:rFonts w:ascii="宋体" w:hAnsi="宋体" w:eastAsia="宋体" w:cs="宋体"/>
                <w:spacing w:val="-2"/>
                <w:sz w:val="20"/>
                <w:szCs w:val="20"/>
              </w:rPr>
              <w:t>户，</w:t>
            </w:r>
            <w:r>
              <w:rPr>
                <w:rFonts w:ascii="Times New Roman" w:hAnsi="Times New Roman" w:eastAsia="Times New Roman" w:cs="Times New Roman"/>
                <w:spacing w:val="-2"/>
                <w:sz w:val="20"/>
                <w:szCs w:val="20"/>
              </w:rPr>
              <w:t xml:space="preserve">507 </w:t>
            </w:r>
            <w:r>
              <w:rPr>
                <w:rFonts w:ascii="宋体" w:hAnsi="宋体" w:eastAsia="宋体" w:cs="宋体"/>
                <w:spacing w:val="-2"/>
                <w:sz w:val="20"/>
                <w:szCs w:val="20"/>
              </w:rPr>
              <w:t>人</w:t>
            </w:r>
          </w:p>
        </w:tc>
        <w:tc>
          <w:tcPr>
            <w:tcW w:w="633" w:type="dxa"/>
            <w:vAlign w:val="top"/>
          </w:tcPr>
          <w:p w14:paraId="4F3940D3">
            <w:pPr>
              <w:spacing w:before="65"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041B34BC">
            <w:pPr>
              <w:spacing w:before="65" w:line="228" w:lineRule="auto"/>
              <w:ind w:left="192"/>
              <w:rPr>
                <w:rFonts w:ascii="宋体" w:hAnsi="宋体" w:eastAsia="宋体" w:cs="宋体"/>
                <w:sz w:val="20"/>
                <w:szCs w:val="20"/>
              </w:rPr>
            </w:pPr>
            <w:r>
              <w:rPr>
                <w:rFonts w:ascii="宋体" w:hAnsi="宋体" w:eastAsia="宋体" w:cs="宋体"/>
                <w:spacing w:val="-4"/>
                <w:sz w:val="20"/>
                <w:szCs w:val="20"/>
              </w:rPr>
              <w:t>东</w:t>
            </w:r>
            <w:r>
              <w:rPr>
                <w:rFonts w:ascii="宋体" w:hAnsi="宋体" w:eastAsia="宋体" w:cs="宋体"/>
                <w:spacing w:val="-3"/>
                <w:sz w:val="20"/>
                <w:szCs w:val="20"/>
              </w:rPr>
              <w:t>南</w:t>
            </w:r>
          </w:p>
        </w:tc>
        <w:tc>
          <w:tcPr>
            <w:tcW w:w="788" w:type="dxa"/>
            <w:tcBorders>
              <w:right w:val="nil"/>
            </w:tcBorders>
            <w:vAlign w:val="top"/>
          </w:tcPr>
          <w:p w14:paraId="1A92088B">
            <w:pPr>
              <w:spacing w:before="10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200</w:t>
            </w:r>
          </w:p>
        </w:tc>
      </w:tr>
      <w:tr w14:paraId="37A75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78" w:type="dxa"/>
            <w:tcBorders>
              <w:left w:val="nil"/>
            </w:tcBorders>
            <w:vAlign w:val="top"/>
          </w:tcPr>
          <w:p w14:paraId="5118C5C9">
            <w:pPr>
              <w:spacing w:before="65" w:line="228" w:lineRule="auto"/>
              <w:ind w:left="106"/>
              <w:rPr>
                <w:rFonts w:ascii="宋体" w:hAnsi="宋体" w:eastAsia="宋体" w:cs="宋体"/>
                <w:sz w:val="20"/>
                <w:szCs w:val="20"/>
              </w:rPr>
            </w:pPr>
            <w:r>
              <w:rPr>
                <w:rFonts w:ascii="宋体" w:hAnsi="宋体" w:eastAsia="宋体" w:cs="宋体"/>
                <w:spacing w:val="-2"/>
                <w:sz w:val="20"/>
                <w:szCs w:val="20"/>
              </w:rPr>
              <w:t>豆腐房</w:t>
            </w:r>
            <w:r>
              <w:rPr>
                <w:rFonts w:ascii="宋体" w:hAnsi="宋体" w:eastAsia="宋体" w:cs="宋体"/>
                <w:spacing w:val="-1"/>
                <w:sz w:val="20"/>
                <w:szCs w:val="20"/>
              </w:rPr>
              <w:t>沟</w:t>
            </w:r>
          </w:p>
        </w:tc>
        <w:tc>
          <w:tcPr>
            <w:tcW w:w="1605" w:type="dxa"/>
            <w:vAlign w:val="top"/>
          </w:tcPr>
          <w:p w14:paraId="661030E2">
            <w:pPr>
              <w:spacing w:before="10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23°43′4.58426″</w:t>
            </w:r>
          </w:p>
        </w:tc>
        <w:tc>
          <w:tcPr>
            <w:tcW w:w="1604" w:type="dxa"/>
            <w:vAlign w:val="top"/>
          </w:tcPr>
          <w:p w14:paraId="578F682B">
            <w:pPr>
              <w:spacing w:before="10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41°20′43.</w:t>
            </w:r>
            <w:r>
              <w:rPr>
                <w:rFonts w:ascii="Times New Roman" w:hAnsi="Times New Roman" w:eastAsia="Times New Roman" w:cs="Times New Roman"/>
                <w:spacing w:val="-1"/>
                <w:sz w:val="20"/>
                <w:szCs w:val="20"/>
              </w:rPr>
              <w:t>00285″</w:t>
            </w:r>
          </w:p>
        </w:tc>
        <w:tc>
          <w:tcPr>
            <w:tcW w:w="540" w:type="dxa"/>
            <w:vAlign w:val="top"/>
          </w:tcPr>
          <w:p w14:paraId="225F13E4">
            <w:pPr>
              <w:spacing w:before="65" w:line="229" w:lineRule="auto"/>
              <w:ind w:left="78"/>
              <w:rPr>
                <w:rFonts w:ascii="宋体" w:hAnsi="宋体" w:eastAsia="宋体" w:cs="宋体"/>
                <w:sz w:val="20"/>
                <w:szCs w:val="20"/>
              </w:rPr>
            </w:pPr>
            <w:r>
              <w:rPr>
                <w:rFonts w:ascii="宋体" w:hAnsi="宋体" w:eastAsia="宋体" w:cs="宋体"/>
                <w:spacing w:val="1"/>
                <w:sz w:val="20"/>
                <w:szCs w:val="20"/>
              </w:rPr>
              <w:t>住</w:t>
            </w:r>
            <w:r>
              <w:rPr>
                <w:rFonts w:ascii="宋体" w:hAnsi="宋体" w:eastAsia="宋体" w:cs="宋体"/>
                <w:sz w:val="20"/>
                <w:szCs w:val="20"/>
              </w:rPr>
              <w:t>宅</w:t>
            </w:r>
          </w:p>
        </w:tc>
        <w:tc>
          <w:tcPr>
            <w:tcW w:w="1491" w:type="dxa"/>
            <w:vAlign w:val="top"/>
          </w:tcPr>
          <w:p w14:paraId="0EBCE435">
            <w:pPr>
              <w:spacing w:before="66" w:line="228" w:lineRule="auto"/>
              <w:ind w:left="225"/>
              <w:rPr>
                <w:rFonts w:ascii="宋体" w:hAnsi="宋体" w:eastAsia="宋体" w:cs="宋体"/>
                <w:sz w:val="20"/>
                <w:szCs w:val="20"/>
              </w:rPr>
            </w:pPr>
            <w:r>
              <w:rPr>
                <w:rFonts w:ascii="Times New Roman" w:hAnsi="Times New Roman" w:eastAsia="Times New Roman" w:cs="Times New Roman"/>
                <w:spacing w:val="-3"/>
                <w:sz w:val="20"/>
                <w:szCs w:val="20"/>
              </w:rPr>
              <w:t xml:space="preserve">16 </w:t>
            </w:r>
            <w:r>
              <w:rPr>
                <w:rFonts w:ascii="宋体" w:hAnsi="宋体" w:eastAsia="宋体" w:cs="宋体"/>
                <w:spacing w:val="-3"/>
                <w:sz w:val="20"/>
                <w:szCs w:val="20"/>
              </w:rPr>
              <w:t>户，</w:t>
            </w:r>
            <w:r>
              <w:rPr>
                <w:rFonts w:ascii="Times New Roman" w:hAnsi="Times New Roman" w:eastAsia="Times New Roman" w:cs="Times New Roman"/>
                <w:spacing w:val="-3"/>
                <w:sz w:val="20"/>
                <w:szCs w:val="20"/>
              </w:rPr>
              <w:t xml:space="preserve">56 </w:t>
            </w:r>
            <w:r>
              <w:rPr>
                <w:rFonts w:ascii="宋体" w:hAnsi="宋体" w:eastAsia="宋体" w:cs="宋体"/>
                <w:spacing w:val="-3"/>
                <w:sz w:val="20"/>
                <w:szCs w:val="20"/>
              </w:rPr>
              <w:t>人</w:t>
            </w:r>
          </w:p>
        </w:tc>
        <w:tc>
          <w:tcPr>
            <w:tcW w:w="633" w:type="dxa"/>
            <w:vAlign w:val="top"/>
          </w:tcPr>
          <w:p w14:paraId="591614EA">
            <w:pPr>
              <w:spacing w:before="65" w:line="228" w:lineRule="auto"/>
              <w:ind w:left="130"/>
              <w:rPr>
                <w:rFonts w:ascii="宋体" w:hAnsi="宋体" w:eastAsia="宋体" w:cs="宋体"/>
                <w:sz w:val="20"/>
                <w:szCs w:val="20"/>
              </w:rPr>
            </w:pPr>
            <w:r>
              <w:rPr>
                <w:rFonts w:ascii="宋体" w:hAnsi="宋体" w:eastAsia="宋体" w:cs="宋体"/>
                <w:spacing w:val="-2"/>
                <w:sz w:val="20"/>
                <w:szCs w:val="20"/>
              </w:rPr>
              <w:t>二</w:t>
            </w:r>
            <w:r>
              <w:rPr>
                <w:rFonts w:ascii="宋体" w:hAnsi="宋体" w:eastAsia="宋体" w:cs="宋体"/>
                <w:spacing w:val="-1"/>
                <w:sz w:val="20"/>
                <w:szCs w:val="20"/>
              </w:rPr>
              <w:t>类</w:t>
            </w:r>
          </w:p>
        </w:tc>
        <w:tc>
          <w:tcPr>
            <w:tcW w:w="750" w:type="dxa"/>
            <w:vAlign w:val="top"/>
          </w:tcPr>
          <w:p w14:paraId="71E3EEE2">
            <w:pPr>
              <w:spacing w:before="65" w:line="228" w:lineRule="auto"/>
              <w:ind w:left="192"/>
              <w:rPr>
                <w:rFonts w:ascii="宋体" w:hAnsi="宋体" w:eastAsia="宋体" w:cs="宋体"/>
                <w:sz w:val="20"/>
                <w:szCs w:val="20"/>
              </w:rPr>
            </w:pPr>
            <w:r>
              <w:rPr>
                <w:rFonts w:ascii="宋体" w:hAnsi="宋体" w:eastAsia="宋体" w:cs="宋体"/>
                <w:spacing w:val="-4"/>
                <w:sz w:val="20"/>
                <w:szCs w:val="20"/>
              </w:rPr>
              <w:t>东</w:t>
            </w:r>
            <w:r>
              <w:rPr>
                <w:rFonts w:ascii="宋体" w:hAnsi="宋体" w:eastAsia="宋体" w:cs="宋体"/>
                <w:spacing w:val="-3"/>
                <w:sz w:val="20"/>
                <w:szCs w:val="20"/>
              </w:rPr>
              <w:t>南</w:t>
            </w:r>
          </w:p>
        </w:tc>
        <w:tc>
          <w:tcPr>
            <w:tcW w:w="788" w:type="dxa"/>
            <w:tcBorders>
              <w:right w:val="nil"/>
            </w:tcBorders>
            <w:vAlign w:val="top"/>
          </w:tcPr>
          <w:p w14:paraId="6366BF67">
            <w:pPr>
              <w:spacing w:before="10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060</w:t>
            </w:r>
          </w:p>
        </w:tc>
      </w:tr>
    </w:tbl>
    <w:p w14:paraId="76710BC2">
      <w:pPr>
        <w:spacing w:line="270" w:lineRule="auto"/>
        <w:rPr>
          <w:rFonts w:ascii="Arial"/>
          <w:sz w:val="21"/>
        </w:rPr>
      </w:pPr>
    </w:p>
    <w:p w14:paraId="5ADFE76A">
      <w:pPr>
        <w:spacing w:before="75" w:line="228" w:lineRule="auto"/>
        <w:ind w:left="2700"/>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2-29</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其他环境保护目标</w:t>
      </w:r>
    </w:p>
    <w:p w14:paraId="675525EE">
      <w:pPr>
        <w:spacing w:line="17" w:lineRule="exact"/>
      </w:pPr>
    </w:p>
    <w:tbl>
      <w:tblPr>
        <w:tblStyle w:val="4"/>
        <w:tblW w:w="8306"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0"/>
        <w:gridCol w:w="928"/>
        <w:gridCol w:w="1425"/>
        <w:gridCol w:w="795"/>
        <w:gridCol w:w="1846"/>
        <w:gridCol w:w="2312"/>
      </w:tblGrid>
      <w:tr w14:paraId="6E257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00" w:type="dxa"/>
            <w:tcBorders>
              <w:left w:val="nil"/>
            </w:tcBorders>
            <w:vAlign w:val="top"/>
          </w:tcPr>
          <w:p w14:paraId="532AE68D">
            <w:pPr>
              <w:spacing w:before="101" w:line="228" w:lineRule="auto"/>
              <w:ind w:left="111"/>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环境要素</w:t>
            </w:r>
          </w:p>
        </w:tc>
        <w:tc>
          <w:tcPr>
            <w:tcW w:w="4994" w:type="dxa"/>
            <w:gridSpan w:val="4"/>
            <w:vAlign w:val="top"/>
          </w:tcPr>
          <w:p w14:paraId="1B9C3C1C">
            <w:pPr>
              <w:spacing w:before="101" w:line="228" w:lineRule="auto"/>
              <w:ind w:left="2109"/>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保</w:t>
            </w:r>
            <w:r>
              <w:rPr>
                <w:rFonts w:ascii="宋体" w:hAnsi="宋体" w:eastAsia="宋体" w:cs="宋体"/>
                <w:spacing w:val="-1"/>
                <w:sz w:val="20"/>
                <w:szCs w:val="20"/>
                <w14:textOutline w14:w="3795" w14:cap="sq" w14:cmpd="sng">
                  <w14:solidFill>
                    <w14:srgbClr w14:val="000000"/>
                  </w14:solidFill>
                  <w14:prstDash w14:val="solid"/>
                  <w14:bevel/>
                </w14:textOutline>
              </w:rPr>
              <w:t>护内容</w:t>
            </w:r>
          </w:p>
        </w:tc>
        <w:tc>
          <w:tcPr>
            <w:tcW w:w="2312" w:type="dxa"/>
            <w:tcBorders>
              <w:right w:val="nil"/>
            </w:tcBorders>
            <w:vAlign w:val="top"/>
          </w:tcPr>
          <w:p w14:paraId="2B045D38">
            <w:pPr>
              <w:spacing w:before="102" w:line="228" w:lineRule="auto"/>
              <w:ind w:left="770"/>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保</w:t>
            </w:r>
            <w:r>
              <w:rPr>
                <w:rFonts w:ascii="宋体" w:hAnsi="宋体" w:eastAsia="宋体" w:cs="宋体"/>
                <w:spacing w:val="-1"/>
                <w:sz w:val="20"/>
                <w:szCs w:val="20"/>
                <w14:textOutline w14:w="3795" w14:cap="sq" w14:cmpd="sng">
                  <w14:solidFill>
                    <w14:srgbClr w14:val="000000"/>
                  </w14:solidFill>
                  <w14:prstDash w14:val="solid"/>
                  <w14:bevel/>
                </w14:textOutline>
              </w:rPr>
              <w:t>护级别</w:t>
            </w:r>
          </w:p>
        </w:tc>
      </w:tr>
      <w:tr w14:paraId="4329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000" w:type="dxa"/>
            <w:tcBorders>
              <w:left w:val="nil"/>
            </w:tcBorders>
            <w:vAlign w:val="top"/>
          </w:tcPr>
          <w:p w14:paraId="3D7D86D3">
            <w:pPr>
              <w:spacing w:before="237" w:line="228" w:lineRule="auto"/>
              <w:ind w:left="216"/>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环境</w:t>
            </w:r>
          </w:p>
        </w:tc>
        <w:tc>
          <w:tcPr>
            <w:tcW w:w="4994" w:type="dxa"/>
            <w:gridSpan w:val="4"/>
            <w:vAlign w:val="top"/>
          </w:tcPr>
          <w:p w14:paraId="3926756B">
            <w:pPr>
              <w:spacing w:before="77" w:line="261" w:lineRule="auto"/>
              <w:ind w:left="1816" w:right="577" w:hanging="1253"/>
              <w:rPr>
                <w:rFonts w:ascii="宋体" w:hAnsi="宋体" w:eastAsia="宋体" w:cs="宋体"/>
                <w:sz w:val="20"/>
                <w:szCs w:val="20"/>
              </w:rPr>
            </w:pPr>
            <w:r>
              <w:rPr>
                <w:rFonts w:ascii="宋体" w:hAnsi="宋体" w:eastAsia="宋体" w:cs="宋体"/>
                <w:spacing w:val="-5"/>
                <w:sz w:val="20"/>
                <w:szCs w:val="20"/>
              </w:rPr>
              <w:t xml:space="preserve">厂界外 </w:t>
            </w:r>
            <w:r>
              <w:rPr>
                <w:rFonts w:ascii="Times New Roman" w:hAnsi="Times New Roman" w:eastAsia="Times New Roman" w:cs="Times New Roman"/>
                <w:spacing w:val="-5"/>
                <w:sz w:val="20"/>
                <w:szCs w:val="20"/>
              </w:rPr>
              <w:t>200</w:t>
            </w:r>
            <w:r>
              <w:rPr>
                <w:rFonts w:ascii="Times New Roman" w:hAnsi="Times New Roman" w:eastAsia="Times New Roman" w:cs="Times New Roman"/>
                <w:spacing w:val="-3"/>
                <w:sz w:val="20"/>
                <w:szCs w:val="20"/>
              </w:rPr>
              <w:t>m</w:t>
            </w:r>
            <w:r>
              <w:rPr>
                <w:rFonts w:ascii="宋体" w:hAnsi="宋体" w:eastAsia="宋体" w:cs="宋体"/>
                <w:spacing w:val="-5"/>
                <w:sz w:val="20"/>
                <w:szCs w:val="20"/>
              </w:rPr>
              <w:t>范围内无声环境敏感目标分布，</w:t>
            </w:r>
            <w:r>
              <w:rPr>
                <w:rFonts w:ascii="宋体" w:hAnsi="宋体" w:eastAsia="宋体" w:cs="宋体"/>
                <w:sz w:val="20"/>
                <w:szCs w:val="20"/>
              </w:rPr>
              <w:t xml:space="preserve"> </w:t>
            </w:r>
            <w:r>
              <w:rPr>
                <w:rFonts w:ascii="宋体" w:hAnsi="宋体" w:eastAsia="宋体" w:cs="宋体"/>
                <w:spacing w:val="-4"/>
                <w:sz w:val="20"/>
                <w:szCs w:val="20"/>
              </w:rPr>
              <w:t>保</w:t>
            </w:r>
            <w:r>
              <w:rPr>
                <w:rFonts w:ascii="宋体" w:hAnsi="宋体" w:eastAsia="宋体" w:cs="宋体"/>
                <w:spacing w:val="-3"/>
                <w:sz w:val="20"/>
                <w:szCs w:val="20"/>
              </w:rPr>
              <w:t>护</w:t>
            </w:r>
            <w:r>
              <w:rPr>
                <w:rFonts w:ascii="宋体" w:hAnsi="宋体" w:eastAsia="宋体" w:cs="宋体"/>
                <w:spacing w:val="-2"/>
                <w:sz w:val="20"/>
                <w:szCs w:val="20"/>
              </w:rPr>
              <w:t>区域声环境</w:t>
            </w:r>
          </w:p>
        </w:tc>
        <w:tc>
          <w:tcPr>
            <w:tcW w:w="2312" w:type="dxa"/>
            <w:tcBorders>
              <w:right w:val="nil"/>
            </w:tcBorders>
            <w:vAlign w:val="top"/>
          </w:tcPr>
          <w:p w14:paraId="7C16DB93">
            <w:pPr>
              <w:spacing w:before="77" w:line="261" w:lineRule="auto"/>
              <w:ind w:left="31" w:firstLine="218"/>
              <w:rPr>
                <w:rFonts w:ascii="宋体" w:hAnsi="宋体" w:eastAsia="宋体" w:cs="宋体"/>
                <w:sz w:val="20"/>
                <w:szCs w:val="20"/>
              </w:rPr>
            </w:pPr>
            <w:r>
              <w:rPr>
                <w:rFonts w:ascii="宋体" w:hAnsi="宋体" w:eastAsia="宋体" w:cs="宋体"/>
                <w:spacing w:val="3"/>
                <w:sz w:val="20"/>
                <w:szCs w:val="20"/>
              </w:rPr>
              <w:t>《</w:t>
            </w:r>
            <w:r>
              <w:rPr>
                <w:rFonts w:ascii="宋体" w:hAnsi="宋体" w:eastAsia="宋体" w:cs="宋体"/>
                <w:spacing w:val="2"/>
                <w:sz w:val="20"/>
                <w:szCs w:val="20"/>
              </w:rPr>
              <w:t>声环境质量标准》</w:t>
            </w:r>
            <w:r>
              <w:rPr>
                <w:rFonts w:ascii="宋体" w:hAnsi="宋体" w:eastAsia="宋体" w:cs="宋体"/>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类标</w:t>
            </w:r>
            <w:r>
              <w:rPr>
                <w:rFonts w:ascii="宋体" w:hAnsi="宋体" w:eastAsia="宋体" w:cs="宋体"/>
                <w:spacing w:val="3"/>
                <w:sz w:val="20"/>
                <w:szCs w:val="20"/>
              </w:rPr>
              <w:t>准</w:t>
            </w:r>
          </w:p>
        </w:tc>
      </w:tr>
      <w:tr w14:paraId="0F0CF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000" w:type="dxa"/>
            <w:vMerge w:val="restart"/>
            <w:tcBorders>
              <w:left w:val="nil"/>
              <w:bottom w:val="nil"/>
            </w:tcBorders>
            <w:vAlign w:val="top"/>
          </w:tcPr>
          <w:p w14:paraId="17D86F1D">
            <w:pPr>
              <w:spacing w:line="356" w:lineRule="auto"/>
              <w:rPr>
                <w:rFonts w:ascii="Arial"/>
                <w:sz w:val="21"/>
              </w:rPr>
            </w:pPr>
          </w:p>
          <w:p w14:paraId="5EA1CFCA">
            <w:pPr>
              <w:spacing w:before="65" w:line="228" w:lineRule="auto"/>
              <w:ind w:left="15"/>
              <w:rPr>
                <w:rFonts w:ascii="宋体" w:hAnsi="宋体" w:eastAsia="宋体" w:cs="宋体"/>
                <w:sz w:val="20"/>
                <w:szCs w:val="20"/>
              </w:rPr>
            </w:pPr>
            <w:r>
              <w:rPr>
                <w:rFonts w:ascii="宋体" w:hAnsi="宋体" w:eastAsia="宋体" w:cs="宋体"/>
                <w:spacing w:val="-6"/>
                <w:sz w:val="20"/>
                <w:szCs w:val="20"/>
              </w:rPr>
              <w:t>地</w:t>
            </w:r>
            <w:r>
              <w:rPr>
                <w:rFonts w:ascii="宋体" w:hAnsi="宋体" w:eastAsia="宋体" w:cs="宋体"/>
                <w:spacing w:val="-3"/>
                <w:sz w:val="20"/>
                <w:szCs w:val="20"/>
              </w:rPr>
              <w:t>下水环境</w:t>
            </w:r>
          </w:p>
        </w:tc>
        <w:tc>
          <w:tcPr>
            <w:tcW w:w="928" w:type="dxa"/>
            <w:vAlign w:val="top"/>
          </w:tcPr>
          <w:p w14:paraId="66F3173A">
            <w:pPr>
              <w:spacing w:before="251" w:line="228" w:lineRule="auto"/>
              <w:ind w:left="17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敏</w:t>
            </w:r>
            <w:r>
              <w:rPr>
                <w:rFonts w:ascii="宋体" w:hAnsi="宋体" w:eastAsia="宋体" w:cs="宋体"/>
                <w:spacing w:val="-1"/>
                <w:sz w:val="20"/>
                <w:szCs w:val="20"/>
                <w14:textOutline w14:w="3795" w14:cap="sq" w14:cmpd="sng">
                  <w14:solidFill>
                    <w14:srgbClr w14:val="000000"/>
                  </w14:solidFill>
                  <w14:prstDash w14:val="solid"/>
                  <w14:bevel/>
                </w14:textOutline>
              </w:rPr>
              <w:t>感点</w:t>
            </w:r>
          </w:p>
        </w:tc>
        <w:tc>
          <w:tcPr>
            <w:tcW w:w="1425" w:type="dxa"/>
            <w:vAlign w:val="top"/>
          </w:tcPr>
          <w:p w14:paraId="03EA2B15">
            <w:pPr>
              <w:spacing w:before="251" w:line="228" w:lineRule="auto"/>
              <w:ind w:left="324"/>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保</w:t>
            </w:r>
            <w:r>
              <w:rPr>
                <w:rFonts w:ascii="宋体" w:hAnsi="宋体" w:eastAsia="宋体" w:cs="宋体"/>
                <w:spacing w:val="-1"/>
                <w:sz w:val="20"/>
                <w:szCs w:val="20"/>
                <w14:textOutline w14:w="3795" w14:cap="sq" w14:cmpd="sng">
                  <w14:solidFill>
                    <w14:srgbClr w14:val="000000"/>
                  </w14:solidFill>
                  <w14:prstDash w14:val="solid"/>
                  <w14:bevel/>
                </w14:textOutline>
              </w:rPr>
              <w:t>护内容</w:t>
            </w:r>
          </w:p>
        </w:tc>
        <w:tc>
          <w:tcPr>
            <w:tcW w:w="795" w:type="dxa"/>
            <w:vAlign w:val="top"/>
          </w:tcPr>
          <w:p w14:paraId="189AFB4F">
            <w:pPr>
              <w:spacing w:before="63" w:line="269" w:lineRule="auto"/>
              <w:ind w:left="108" w:right="84"/>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相</w:t>
            </w:r>
            <w:r>
              <w:rPr>
                <w:rFonts w:ascii="宋体" w:hAnsi="宋体" w:eastAsia="宋体" w:cs="宋体"/>
                <w:spacing w:val="-1"/>
                <w:sz w:val="20"/>
                <w:szCs w:val="20"/>
                <w14:textOutline w14:w="3795" w14:cap="sq" w14:cmpd="sng">
                  <w14:solidFill>
                    <w14:srgbClr w14:val="000000"/>
                  </w14:solidFill>
                  <w14:prstDash w14:val="solid"/>
                  <w14:bevel/>
                </w14:textOutline>
              </w:rPr>
              <w:t>对厂</w:t>
            </w:r>
            <w:r>
              <w:rPr>
                <w:rFonts w:ascii="宋体" w:hAnsi="宋体" w:eastAsia="宋体" w:cs="宋体"/>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址方</w:t>
            </w:r>
            <w:r>
              <w:rPr>
                <w:rFonts w:ascii="宋体" w:hAnsi="宋体" w:eastAsia="宋体" w:cs="宋体"/>
                <w:spacing w:val="-1"/>
                <w:sz w:val="20"/>
                <w:szCs w:val="20"/>
                <w14:textOutline w14:w="3795" w14:cap="sq" w14:cmpd="sng">
                  <w14:solidFill>
                    <w14:srgbClr w14:val="000000"/>
                  </w14:solidFill>
                  <w14:prstDash w14:val="solid"/>
                  <w14:bevel/>
                </w14:textOutline>
              </w:rPr>
              <w:t>向</w:t>
            </w:r>
          </w:p>
        </w:tc>
        <w:tc>
          <w:tcPr>
            <w:tcW w:w="1846" w:type="dxa"/>
            <w:vAlign w:val="top"/>
          </w:tcPr>
          <w:p w14:paraId="3582BCC1">
            <w:pPr>
              <w:spacing w:before="189" w:line="288" w:lineRule="exact"/>
              <w:ind w:left="31"/>
              <w:rPr>
                <w:rFonts w:ascii="Times New Roman" w:hAnsi="Times New Roman" w:eastAsia="Times New Roman" w:cs="Times New Roman"/>
                <w:sz w:val="20"/>
                <w:szCs w:val="20"/>
              </w:rPr>
            </w:pPr>
            <w:r>
              <w:rPr>
                <w:rFonts w:ascii="宋体" w:hAnsi="宋体" w:eastAsia="宋体" w:cs="宋体"/>
                <w:spacing w:val="-4"/>
                <w:position w:val="1"/>
                <w:sz w:val="20"/>
                <w:szCs w:val="20"/>
                <w14:textOutline w14:w="3795" w14:cap="sq" w14:cmpd="sng">
                  <w14:solidFill>
                    <w14:srgbClr w14:val="000000"/>
                  </w14:solidFill>
                  <w14:prstDash w14:val="solid"/>
                  <w14:bevel/>
                </w14:textOutline>
              </w:rPr>
              <w:t>相</w:t>
            </w:r>
            <w:r>
              <w:rPr>
                <w:rFonts w:ascii="宋体" w:hAnsi="宋体" w:eastAsia="宋体" w:cs="宋体"/>
                <w:spacing w:val="-2"/>
                <w:position w:val="1"/>
                <w:sz w:val="20"/>
                <w:szCs w:val="20"/>
                <w14:textOutline w14:w="3795" w14:cap="sq" w14:cmpd="sng">
                  <w14:solidFill>
                    <w14:srgbClr w14:val="000000"/>
                  </w14:solidFill>
                  <w14:prstDash w14:val="solid"/>
                  <w14:bevel/>
                </w14:textOutline>
              </w:rPr>
              <w:t>对厂界直线距离</w:t>
            </w:r>
            <w:r>
              <w:rPr>
                <w:rFonts w:ascii="Times New Roman" w:hAnsi="Times New Roman" w:eastAsia="Times New Roman" w:cs="Times New Roman"/>
                <w:b/>
                <w:bCs/>
                <w:spacing w:val="-2"/>
                <w:position w:val="1"/>
                <w:sz w:val="20"/>
                <w:szCs w:val="20"/>
              </w:rPr>
              <w:t>/m</w:t>
            </w:r>
          </w:p>
        </w:tc>
        <w:tc>
          <w:tcPr>
            <w:tcW w:w="2312" w:type="dxa"/>
            <w:vMerge w:val="restart"/>
            <w:tcBorders>
              <w:bottom w:val="nil"/>
              <w:right w:val="nil"/>
            </w:tcBorders>
            <w:vAlign w:val="top"/>
          </w:tcPr>
          <w:p w14:paraId="51DC2A88">
            <w:pPr>
              <w:spacing w:before="103" w:line="228" w:lineRule="auto"/>
              <w:ind w:left="469"/>
              <w:rPr>
                <w:rFonts w:ascii="宋体" w:hAnsi="宋体" w:eastAsia="宋体" w:cs="宋体"/>
                <w:sz w:val="20"/>
                <w:szCs w:val="20"/>
              </w:rPr>
            </w:pPr>
            <w:r>
              <w:rPr>
                <w:rFonts w:ascii="宋体" w:hAnsi="宋体" w:eastAsia="宋体" w:cs="宋体"/>
                <w:sz w:val="20"/>
                <w:szCs w:val="20"/>
              </w:rPr>
              <w:t>达到《地下水质</w:t>
            </w:r>
          </w:p>
          <w:p w14:paraId="7E8E0BF6">
            <w:pPr>
              <w:spacing w:before="36" w:line="281" w:lineRule="exact"/>
              <w:ind w:left="16"/>
              <w:rPr>
                <w:rFonts w:ascii="宋体" w:hAnsi="宋体" w:eastAsia="宋体" w:cs="宋体"/>
                <w:sz w:val="20"/>
                <w:szCs w:val="20"/>
              </w:rPr>
            </w:pPr>
            <w:r>
              <w:rPr>
                <w:rFonts w:ascii="宋体" w:hAnsi="宋体" w:eastAsia="宋体" w:cs="宋体"/>
                <w:spacing w:val="-17"/>
                <w:position w:val="1"/>
                <w:sz w:val="20"/>
                <w:szCs w:val="20"/>
              </w:rPr>
              <w:t>量</w:t>
            </w:r>
            <w:r>
              <w:rPr>
                <w:rFonts w:ascii="宋体" w:hAnsi="宋体" w:eastAsia="宋体" w:cs="宋体"/>
                <w:spacing w:val="-11"/>
                <w:position w:val="1"/>
                <w:sz w:val="20"/>
                <w:szCs w:val="20"/>
              </w:rPr>
              <w:t>标准》(</w:t>
            </w:r>
            <w:r>
              <w:rPr>
                <w:rFonts w:ascii="Times New Roman" w:hAnsi="Times New Roman" w:eastAsia="Times New Roman" w:cs="Times New Roman"/>
                <w:spacing w:val="-11"/>
                <w:position w:val="1"/>
                <w:sz w:val="20"/>
                <w:szCs w:val="20"/>
              </w:rPr>
              <w:t>GB/T14848-2017</w:t>
            </w:r>
            <w:r>
              <w:rPr>
                <w:rFonts w:ascii="宋体" w:hAnsi="宋体" w:eastAsia="宋体" w:cs="宋体"/>
                <w:spacing w:val="-11"/>
                <w:position w:val="1"/>
                <w:sz w:val="20"/>
                <w:szCs w:val="20"/>
              </w:rPr>
              <w:t>)</w:t>
            </w:r>
          </w:p>
          <w:p w14:paraId="20EA75E0">
            <w:pPr>
              <w:spacing w:before="75" w:line="228" w:lineRule="auto"/>
              <w:ind w:left="769"/>
              <w:rPr>
                <w:rFonts w:ascii="宋体" w:hAnsi="宋体" w:eastAsia="宋体" w:cs="宋体"/>
                <w:sz w:val="20"/>
                <w:szCs w:val="20"/>
              </w:rPr>
            </w:pPr>
            <w:r>
              <w:rPr>
                <w:rFonts w:ascii="Times New Roman" w:hAnsi="Times New Roman" w:eastAsia="Times New Roman" w:cs="Times New Roman"/>
                <w:spacing w:val="1"/>
                <w:sz w:val="20"/>
                <w:szCs w:val="20"/>
              </w:rPr>
              <w:t>Ⅲ</w:t>
            </w:r>
            <w:r>
              <w:rPr>
                <w:rFonts w:ascii="宋体" w:hAnsi="宋体" w:eastAsia="宋体" w:cs="宋体"/>
                <w:spacing w:val="1"/>
                <w:sz w:val="20"/>
                <w:szCs w:val="20"/>
              </w:rPr>
              <w:t>类标</w:t>
            </w:r>
            <w:r>
              <w:rPr>
                <w:rFonts w:ascii="宋体" w:hAnsi="宋体" w:eastAsia="宋体" w:cs="宋体"/>
                <w:sz w:val="20"/>
                <w:szCs w:val="20"/>
              </w:rPr>
              <w:t>准</w:t>
            </w:r>
          </w:p>
        </w:tc>
      </w:tr>
      <w:tr w14:paraId="020CD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00" w:type="dxa"/>
            <w:vMerge w:val="continue"/>
            <w:tcBorders>
              <w:top w:val="nil"/>
              <w:left w:val="nil"/>
            </w:tcBorders>
            <w:vAlign w:val="top"/>
          </w:tcPr>
          <w:p w14:paraId="5CD09B8B">
            <w:pPr>
              <w:rPr>
                <w:rFonts w:ascii="Arial"/>
                <w:sz w:val="21"/>
              </w:rPr>
            </w:pPr>
          </w:p>
        </w:tc>
        <w:tc>
          <w:tcPr>
            <w:tcW w:w="928" w:type="dxa"/>
            <w:vAlign w:val="top"/>
          </w:tcPr>
          <w:p w14:paraId="35E8FB46">
            <w:pPr>
              <w:spacing w:before="86" w:line="228" w:lineRule="auto"/>
              <w:ind w:left="174"/>
              <w:rPr>
                <w:rFonts w:ascii="宋体" w:hAnsi="宋体" w:eastAsia="宋体" w:cs="宋体"/>
                <w:sz w:val="20"/>
                <w:szCs w:val="20"/>
              </w:rPr>
            </w:pPr>
            <w:r>
              <w:rPr>
                <w:rFonts w:ascii="宋体" w:hAnsi="宋体" w:eastAsia="宋体" w:cs="宋体"/>
                <w:spacing w:val="-1"/>
                <w:sz w:val="20"/>
                <w:szCs w:val="20"/>
              </w:rPr>
              <w:t>榆树底</w:t>
            </w:r>
          </w:p>
        </w:tc>
        <w:tc>
          <w:tcPr>
            <w:tcW w:w="1425" w:type="dxa"/>
            <w:vAlign w:val="top"/>
          </w:tcPr>
          <w:p w14:paraId="231CCED3">
            <w:pPr>
              <w:spacing w:before="86" w:line="228" w:lineRule="auto"/>
              <w:ind w:left="95"/>
              <w:rPr>
                <w:rFonts w:ascii="宋体" w:hAnsi="宋体" w:eastAsia="宋体" w:cs="宋体"/>
                <w:sz w:val="20"/>
                <w:szCs w:val="20"/>
              </w:rPr>
            </w:pPr>
            <w:r>
              <w:rPr>
                <w:rFonts w:ascii="Times New Roman" w:hAnsi="Times New Roman" w:eastAsia="Times New Roman" w:cs="Times New Roman"/>
                <w:spacing w:val="-4"/>
                <w:sz w:val="20"/>
                <w:szCs w:val="20"/>
              </w:rPr>
              <w:t xml:space="preserve">160 </w:t>
            </w:r>
            <w:r>
              <w:rPr>
                <w:rFonts w:ascii="宋体" w:hAnsi="宋体" w:eastAsia="宋体" w:cs="宋体"/>
                <w:spacing w:val="-2"/>
                <w:sz w:val="20"/>
                <w:szCs w:val="20"/>
              </w:rPr>
              <w:t>户，</w:t>
            </w:r>
            <w:r>
              <w:rPr>
                <w:rFonts w:ascii="Times New Roman" w:hAnsi="Times New Roman" w:eastAsia="Times New Roman" w:cs="Times New Roman"/>
                <w:spacing w:val="-2"/>
                <w:sz w:val="20"/>
                <w:szCs w:val="20"/>
              </w:rPr>
              <w:t xml:space="preserve">560 </w:t>
            </w:r>
            <w:r>
              <w:rPr>
                <w:rFonts w:ascii="宋体" w:hAnsi="宋体" w:eastAsia="宋体" w:cs="宋体"/>
                <w:spacing w:val="-2"/>
                <w:sz w:val="20"/>
                <w:szCs w:val="20"/>
              </w:rPr>
              <w:t>人</w:t>
            </w:r>
          </w:p>
        </w:tc>
        <w:tc>
          <w:tcPr>
            <w:tcW w:w="795" w:type="dxa"/>
            <w:vAlign w:val="top"/>
          </w:tcPr>
          <w:p w14:paraId="57C3AE74">
            <w:pPr>
              <w:spacing w:before="67" w:line="231" w:lineRule="auto"/>
              <w:ind w:left="212"/>
              <w:rPr>
                <w:rFonts w:ascii="宋体" w:hAnsi="宋体" w:eastAsia="宋体" w:cs="宋体"/>
                <w:sz w:val="20"/>
                <w:szCs w:val="20"/>
              </w:rPr>
            </w:pPr>
            <w:r>
              <w:rPr>
                <w:rFonts w:ascii="宋体" w:hAnsi="宋体" w:eastAsia="宋体" w:cs="宋体"/>
                <w:spacing w:val="-3"/>
                <w:sz w:val="20"/>
                <w:szCs w:val="20"/>
              </w:rPr>
              <w:t>西</w:t>
            </w:r>
            <w:r>
              <w:rPr>
                <w:rFonts w:ascii="宋体" w:hAnsi="宋体" w:eastAsia="宋体" w:cs="宋体"/>
                <w:spacing w:val="-2"/>
                <w:sz w:val="20"/>
                <w:szCs w:val="20"/>
              </w:rPr>
              <w:t>北</w:t>
            </w:r>
          </w:p>
        </w:tc>
        <w:tc>
          <w:tcPr>
            <w:tcW w:w="1846" w:type="dxa"/>
            <w:vAlign w:val="top"/>
          </w:tcPr>
          <w:p w14:paraId="0C146FB3">
            <w:pPr>
              <w:spacing w:before="10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30</w:t>
            </w:r>
          </w:p>
        </w:tc>
        <w:tc>
          <w:tcPr>
            <w:tcW w:w="2312" w:type="dxa"/>
            <w:vMerge w:val="continue"/>
            <w:tcBorders>
              <w:top w:val="nil"/>
              <w:right w:val="nil"/>
            </w:tcBorders>
            <w:vAlign w:val="top"/>
          </w:tcPr>
          <w:p w14:paraId="3BA911D7">
            <w:pPr>
              <w:rPr>
                <w:rFonts w:ascii="Arial"/>
                <w:sz w:val="21"/>
              </w:rPr>
            </w:pPr>
          </w:p>
        </w:tc>
      </w:tr>
    </w:tbl>
    <w:p w14:paraId="2781A572">
      <w:pPr>
        <w:rPr>
          <w:rFonts w:ascii="Arial"/>
          <w:sz w:val="21"/>
        </w:rPr>
      </w:pPr>
    </w:p>
    <w:p w14:paraId="57906BBD">
      <w:pPr>
        <w:sectPr>
          <w:headerReference r:id="rId82" w:type="default"/>
          <w:footerReference r:id="rId83" w:type="default"/>
          <w:pgSz w:w="11906" w:h="16839"/>
          <w:pgMar w:top="1132" w:right="1757" w:bottom="1156" w:left="1758" w:header="878" w:footer="996" w:gutter="0"/>
          <w:cols w:space="720" w:num="1"/>
        </w:sectPr>
      </w:pPr>
    </w:p>
    <w:p w14:paraId="034FE7F9">
      <w:r>
        <w:pict>
          <v:shape id="_x0000_s1107" o:spid="_x0000_s1107" style="position:absolute;left:0pt;margin-left:72pt;margin-top:57.35pt;height:0.75pt;width:1043.9pt;mso-position-horizontal-relative:page;mso-position-vertical-relative:page;z-index:251741184;mso-width-relative:page;mso-height-relative:page;" fillcolor="#000000" filled="t" stroked="f" coordsize="20878,15" o:allowincell="f" path="m0,0l20877,0,20877,14,0,14,0,0xe">
            <v:path/>
            <v:fill on="t" focussize="0,0"/>
            <v:stroke on="f"/>
            <v:imagedata o:title=""/>
            <o:lock v:ext="edit"/>
          </v:shape>
        </w:pict>
      </w:r>
    </w:p>
    <w:p w14:paraId="5D373C2A"/>
    <w:p w14:paraId="57A02D58"/>
    <w:p w14:paraId="193744D4"/>
    <w:p w14:paraId="1906BC99"/>
    <w:p w14:paraId="49931C32"/>
    <w:p w14:paraId="11753D5C"/>
    <w:p w14:paraId="548131EE">
      <w:pPr>
        <w:spacing w:line="104" w:lineRule="exact"/>
      </w:pPr>
    </w:p>
    <w:tbl>
      <w:tblPr>
        <w:tblStyle w:val="4"/>
        <w:tblW w:w="18911" w:type="dxa"/>
        <w:tblInd w:w="1046"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8911"/>
      </w:tblGrid>
      <w:tr w14:paraId="67708015">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640" w:hRule="atLeast"/>
        </w:trPr>
        <w:tc>
          <w:tcPr>
            <w:tcW w:w="18911" w:type="dxa"/>
            <w:vAlign w:val="top"/>
          </w:tcPr>
          <w:p w14:paraId="530CCE78">
            <w:r>
              <w:pict>
                <v:shape id="_x0000_s1108" o:spid="_x0000_s1108" o:spt="202" type="#_x0000_t202" style="position:absolute;left:0pt;margin-left:297.15pt;margin-top:16pt;height:20.1pt;width:15.75pt;mso-position-horizontal-relative:page;mso-position-vertical-relative:page;z-index:251742208;mso-width-relative:page;mso-height-relative:page;" filled="f" stroked="f" coordsize="21600,21600">
                  <v:path/>
                  <v:fill on="f" focussize="0,0"/>
                  <v:stroke on="f"/>
                  <v:imagedata o:title=""/>
                  <o:lock v:ext="edit" aspectratio="f"/>
                  <v:textbox inset="0mm,0mm,0mm,0mm">
                    <w:txbxContent>
                      <w:p w14:paraId="35583360">
                        <w:pPr>
                          <w:spacing w:before="20" w:line="179" w:lineRule="auto"/>
                          <w:ind w:left="20"/>
                          <w:rPr>
                            <w:rFonts w:ascii="Malgun Gothic" w:hAnsi="Malgun Gothic" w:eastAsia="Malgun Gothic" w:cs="Malgun Gothic"/>
                            <w:sz w:val="28"/>
                            <w:szCs w:val="28"/>
                          </w:rPr>
                        </w:pPr>
                        <w:r>
                          <w:rPr>
                            <w:rFonts w:ascii="Malgun Gothic" w:hAnsi="Malgun Gothic" w:eastAsia="Malgun Gothic" w:cs="Malgun Gothic"/>
                            <w:sz w:val="28"/>
                            <w:szCs w:val="28"/>
                            <w14:textOutline w14:w="5103" w14:cap="sq" w14:cmpd="sng">
                              <w14:solidFill>
                                <w14:srgbClr w14:val="000000"/>
                              </w14:solidFill>
                              <w14:prstDash w14:val="solid"/>
                              <w14:bevel/>
                            </w14:textOutline>
                          </w:rPr>
                          <w:t>⑫</w:t>
                        </w:r>
                      </w:p>
                    </w:txbxContent>
                  </v:textbox>
                </v:shape>
              </w:pict>
            </w:r>
            <w:r>
              <w:pict>
                <v:group id="_x0000_s1109" o:spid="_x0000_s1109" o:spt="203" style="position:absolute;left:0pt;margin-left:509.1pt;margin-top:153.1pt;height:85.5pt;width:65.25pt;mso-position-horizontal-relative:page;mso-position-vertical-relative:page;z-index:251754496;mso-width-relative:page;mso-height-relative:page;" coordsize="1305,1710">
                  <o:lock v:ext="edit"/>
                  <v:shape id="_x0000_s1110" o:spid="_x0000_s1110" o:spt="75" type="#_x0000_t75" style="position:absolute;left:0;top:0;height:1710;width:1305;" filled="f" stroked="f" coordsize="21600,21600">
                    <v:path/>
                    <v:fill on="f" focussize="0,0"/>
                    <v:stroke on="f"/>
                    <v:imagedata r:id="rId407" o:title=""/>
                    <o:lock v:ext="edit" aspectratio="t"/>
                  </v:shape>
                  <v:shape id="_x0000_s1111" o:spid="_x0000_s1111" o:spt="202" type="#_x0000_t202" style="position:absolute;left:-20;top:-20;height:1800;width:1345;" filled="f" stroked="f" coordsize="21600,21600">
                    <v:path/>
                    <v:fill on="f" focussize="0,0"/>
                    <v:stroke on="f"/>
                    <v:imagedata o:title=""/>
                    <o:lock v:ext="edit" aspectratio="f"/>
                    <v:textbox inset="0mm,0mm,0mm,0mm">
                      <w:txbxContent>
                        <w:p w14:paraId="2589E40A">
                          <w:pPr>
                            <w:spacing w:line="333" w:lineRule="auto"/>
                            <w:rPr>
                              <w:rFonts w:ascii="Arial"/>
                              <w:sz w:val="21"/>
                            </w:rPr>
                          </w:pPr>
                        </w:p>
                        <w:p w14:paraId="1A137ADC">
                          <w:pPr>
                            <w:spacing w:line="333" w:lineRule="auto"/>
                            <w:rPr>
                              <w:rFonts w:ascii="Arial"/>
                              <w:sz w:val="21"/>
                            </w:rPr>
                          </w:pPr>
                        </w:p>
                        <w:p w14:paraId="11B0FBEF">
                          <w:pPr>
                            <w:spacing w:before="91" w:line="222" w:lineRule="auto"/>
                            <w:ind w:left="271"/>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①</w:t>
                          </w:r>
                        </w:p>
                      </w:txbxContent>
                    </v:textbox>
                  </v:shape>
                </v:group>
              </w:pict>
            </w:r>
            <w:r>
              <w:pict>
                <v:group id="_x0000_s1112" o:spid="_x0000_s1112" o:spt="203" style="position:absolute;left:0pt;margin-left:208.35pt;margin-top:153.8pt;height:16.55pt;width:49.5pt;mso-position-horizontal-relative:page;mso-position-vertical-relative:page;z-index:251763712;mso-width-relative:page;mso-height-relative:page;" coordsize="990,330">
                  <o:lock v:ext="edit"/>
                  <v:shape id="_x0000_s1113" o:spid="_x0000_s1113" o:spt="75" type="#_x0000_t75" style="position:absolute;left:0;top:0;height:330;width:990;" filled="f" stroked="f" coordsize="21600,21600">
                    <v:path/>
                    <v:fill on="f" focussize="0,0"/>
                    <v:stroke on="f"/>
                    <v:imagedata r:id="rId408" o:title=""/>
                    <o:lock v:ext="edit" aspectratio="t"/>
                  </v:shape>
                  <v:shape id="_x0000_s1114" o:spid="_x0000_s1114" o:spt="202" type="#_x0000_t202" style="position:absolute;left:-20;top:-20;height:420;width:1030;" filled="f" stroked="f" coordsize="21600,21600">
                    <v:path/>
                    <v:fill on="f" focussize="0,0"/>
                    <v:stroke on="f"/>
                    <v:imagedata o:title=""/>
                    <o:lock v:ext="edit" aspectratio="f"/>
                    <v:textbox inset="0mm,0mm,0mm,0mm">
                      <w:txbxContent>
                        <w:p w14:paraId="309DADDC">
                          <w:pPr>
                            <w:spacing w:before="20" w:line="222" w:lineRule="auto"/>
                            <w:ind w:left="299"/>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⑤</w:t>
                          </w:r>
                        </w:p>
                      </w:txbxContent>
                    </v:textbox>
                  </v:shape>
                </v:group>
              </w:pict>
            </w:r>
            <w:r>
              <w:pict>
                <v:group id="_x0000_s1115" o:spid="_x0000_s1115" o:spt="203" style="position:absolute;left:0pt;margin-left:245.1pt;margin-top:160.6pt;height:69.75pt;width:66pt;mso-position-horizontal-relative:page;mso-position-vertical-relative:page;z-index:251762688;mso-width-relative:page;mso-height-relative:page;" coordsize="1320,1395">
                  <o:lock v:ext="edit"/>
                  <v:shape id="_x0000_s1116" o:spid="_x0000_s1116" o:spt="75" type="#_x0000_t75" style="position:absolute;left:0;top:0;height:1395;width:1320;" filled="f" stroked="f" coordsize="21600,21600">
                    <v:path/>
                    <v:fill on="f" focussize="0,0"/>
                    <v:stroke on="f"/>
                    <v:imagedata r:id="rId409" o:title=""/>
                    <o:lock v:ext="edit" aspectratio="t"/>
                  </v:shape>
                  <v:shape id="_x0000_s1117" o:spid="_x0000_s1117" o:spt="202" type="#_x0000_t202" style="position:absolute;left:-20;top:-20;height:1485;width:1360;" filled="f" stroked="f" coordsize="21600,21600">
                    <v:path/>
                    <v:fill on="f" focussize="0,0"/>
                    <v:stroke on="f"/>
                    <v:imagedata o:title=""/>
                    <o:lock v:ext="edit" aspectratio="f"/>
                    <v:textbox inset="0mm,0mm,0mm,0mm">
                      <w:txbxContent>
                        <w:p w14:paraId="106C599A">
                          <w:pPr>
                            <w:spacing w:line="436" w:lineRule="auto"/>
                            <w:rPr>
                              <w:rFonts w:ascii="Arial"/>
                              <w:sz w:val="21"/>
                            </w:rPr>
                          </w:pPr>
                        </w:p>
                        <w:p w14:paraId="617529DD">
                          <w:pPr>
                            <w:spacing w:before="91" w:line="222" w:lineRule="auto"/>
                            <w:ind w:left="395"/>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④</w:t>
                          </w:r>
                        </w:p>
                      </w:txbxContent>
                    </v:textbox>
                  </v:shape>
                </v:group>
              </w:pict>
            </w:r>
            <w:r>
              <w:drawing>
                <wp:anchor distT="0" distB="0" distL="0" distR="0" simplePos="0" relativeHeight="251765760" behindDoc="0" locked="0" layoutInCell="1" allowOverlap="1">
                  <wp:simplePos x="0" y="0"/>
                  <wp:positionH relativeFrom="rightMargin">
                    <wp:posOffset>-11979275</wp:posOffset>
                  </wp:positionH>
                  <wp:positionV relativeFrom="topMargin">
                    <wp:posOffset>19050</wp:posOffset>
                  </wp:positionV>
                  <wp:extent cx="1228090" cy="12573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0"/>
                          <a:stretch>
                            <a:fillRect/>
                          </a:stretch>
                        </pic:blipFill>
                        <pic:spPr>
                          <a:xfrm>
                            <a:off x="0" y="0"/>
                            <a:ext cx="1228344" cy="1257300"/>
                          </a:xfrm>
                          <a:prstGeom prst="rect">
                            <a:avLst/>
                          </a:prstGeom>
                        </pic:spPr>
                      </pic:pic>
                    </a:graphicData>
                  </a:graphic>
                </wp:anchor>
              </w:drawing>
            </w:r>
            <w:r>
              <w:drawing>
                <wp:anchor distT="0" distB="0" distL="0" distR="0" simplePos="0" relativeHeight="251744256" behindDoc="0" locked="0" layoutInCell="1" allowOverlap="1">
                  <wp:simplePos x="0" y="0"/>
                  <wp:positionH relativeFrom="rightMargin">
                    <wp:posOffset>-6862445</wp:posOffset>
                  </wp:positionH>
                  <wp:positionV relativeFrom="topMargin">
                    <wp:posOffset>2444750</wp:posOffset>
                  </wp:positionV>
                  <wp:extent cx="2470785" cy="2389505"/>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11"/>
                          <a:stretch>
                            <a:fillRect/>
                          </a:stretch>
                        </pic:blipFill>
                        <pic:spPr>
                          <a:xfrm>
                            <a:off x="0" y="0"/>
                            <a:ext cx="2470937" cy="2389352"/>
                          </a:xfrm>
                          <a:prstGeom prst="rect">
                            <a:avLst/>
                          </a:prstGeom>
                        </pic:spPr>
                      </pic:pic>
                    </a:graphicData>
                  </a:graphic>
                </wp:anchor>
              </w:drawing>
            </w:r>
            <w:r>
              <w:pict>
                <v:group id="_x0000_s1118" o:spid="_x0000_s1118" o:spt="203" style="position:absolute;left:0pt;margin-left:431.85pt;margin-top:226.6pt;height:47.25pt;width:31.5pt;mso-position-horizontal-relative:page;mso-position-vertical-relative:page;z-index:251750400;mso-width-relative:page;mso-height-relative:page;" coordsize="630,945">
                  <o:lock v:ext="edit"/>
                  <v:shape id="_x0000_s1119" o:spid="_x0000_s1119" o:spt="75" type="#_x0000_t75" style="position:absolute;left:0;top:0;height:945;width:630;" filled="f" stroked="f" coordsize="21600,21600">
                    <v:path/>
                    <v:fill on="f" focussize="0,0"/>
                    <v:stroke on="f"/>
                    <v:imagedata r:id="rId412" o:title=""/>
                    <o:lock v:ext="edit" aspectratio="t"/>
                  </v:shape>
                  <v:shape id="_x0000_s1120" o:spid="_x0000_s1120" o:spt="202" type="#_x0000_t202" style="position:absolute;left:-20;top:-20;height:1035;width:670;" filled="f" stroked="f" coordsize="21600,21600">
                    <v:path/>
                    <v:fill on="f" focussize="0,0"/>
                    <v:stroke on="f"/>
                    <v:imagedata o:title=""/>
                    <o:lock v:ext="edit" aspectratio="f"/>
                    <v:textbox inset="0mm,0mm,0mm,0mm">
                      <w:txbxContent>
                        <w:p w14:paraId="28B9AB13">
                          <w:pPr>
                            <w:spacing w:line="257" w:lineRule="auto"/>
                            <w:rPr>
                              <w:rFonts w:ascii="Arial"/>
                              <w:sz w:val="21"/>
                            </w:rPr>
                          </w:pPr>
                        </w:p>
                        <w:p w14:paraId="5061E698">
                          <w:pPr>
                            <w:spacing w:before="91" w:line="222" w:lineRule="auto"/>
                            <w:ind w:left="178"/>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③</w:t>
                          </w:r>
                        </w:p>
                      </w:txbxContent>
                    </v:textbox>
                  </v:shape>
                </v:group>
              </w:pict>
            </w:r>
            <w:r>
              <w:pict>
                <v:shape id="_x0000_s1121" o:spid="_x0000_s1121" o:spt="202" type="#_x0000_t202" style="position:absolute;left:0pt;margin-left:482.4pt;margin-top:258.85pt;height:16.45pt;width:245.85pt;mso-position-horizontal-relative:page;mso-position-vertical-relative:page;z-index:251749376;mso-width-relative:page;mso-height-relative:page;" filled="f" stroked="f" coordsize="21600,21600">
                  <v:path/>
                  <v:fill on="f" focussize="0,0"/>
                  <v:stroke on="f"/>
                  <v:imagedata o:title=""/>
                  <o:lock v:ext="edit" aspectratio="f"/>
                  <v:textbox inset="0mm,0mm,0mm,0mm">
                    <w:txbxContent>
                      <w:p w14:paraId="257ADEBF">
                        <w:pPr>
                          <w:tabs>
                            <w:tab w:val="left" w:pos="885"/>
                          </w:tabs>
                          <w:spacing w:before="20" w:line="288"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ab/>
                        </w:r>
                        <w:r>
                          <w:rPr>
                            <w:rFonts w:ascii="Times New Roman" w:hAnsi="Times New Roman" w:eastAsia="Times New Roman" w:cs="Times New Roman"/>
                            <w:b/>
                            <w:bCs/>
                            <w:spacing w:val="7"/>
                            <w:position w:val="2"/>
                            <w:sz w:val="20"/>
                            <w:szCs w:val="20"/>
                          </w:rPr>
                          <w:t>2.</w:t>
                        </w:r>
                        <w:r>
                          <w:rPr>
                            <w:rFonts w:ascii="Times New Roman" w:hAnsi="Times New Roman" w:eastAsia="Times New Roman" w:cs="Times New Roman"/>
                            <w:b/>
                            <w:bCs/>
                            <w:spacing w:val="6"/>
                            <w:position w:val="2"/>
                            <w:sz w:val="20"/>
                            <w:szCs w:val="20"/>
                          </w:rPr>
                          <w:t>5</w:t>
                        </w:r>
                        <w:r>
                          <w:rPr>
                            <w:rFonts w:ascii="Times New Roman" w:hAnsi="Times New Roman" w:eastAsia="Times New Roman" w:cs="Times New Roman"/>
                            <w:b/>
                            <w:bCs/>
                            <w:position w:val="2"/>
                            <w:sz w:val="20"/>
                            <w:szCs w:val="20"/>
                          </w:rPr>
                          <w:t>km</w:t>
                        </w:r>
                        <w:r>
                          <w:rPr>
                            <w:rFonts w:ascii="Times New Roman" w:hAnsi="Times New Roman" w:eastAsia="Times New Roman" w:cs="Times New Roman"/>
                            <w:position w:val="2"/>
                            <w:sz w:val="20"/>
                            <w:szCs w:val="20"/>
                          </w:rPr>
                          <w:t xml:space="preserve">                                                                     </w:t>
                        </w:r>
                      </w:p>
                    </w:txbxContent>
                  </v:textbox>
                </v:shape>
              </w:pict>
            </w:r>
            <w:r>
              <w:pict>
                <v:group id="_x0000_s1122" o:spid="_x0000_s1122" o:spt="203" style="position:absolute;left:0pt;margin-left:562.35pt;margin-top:243.85pt;height:112.5pt;width:182.25pt;mso-position-horizontal-relative:page;mso-position-vertical-relative:page;z-index:251755520;mso-width-relative:page;mso-height-relative:page;" coordsize="3645,2250">
                  <o:lock v:ext="edit"/>
                  <v:shape id="_x0000_s1123" o:spid="_x0000_s1123" o:spt="75" type="#_x0000_t75" style="position:absolute;left:0;top:0;height:2250;width:3645;" filled="f" stroked="f" coordsize="21600,21600">
                    <v:path/>
                    <v:fill on="f" focussize="0,0"/>
                    <v:stroke on="f"/>
                    <v:imagedata r:id="rId413" o:title=""/>
                    <o:lock v:ext="edit" aspectratio="t"/>
                  </v:shape>
                  <v:shape id="_x0000_s1124" o:spid="_x0000_s1124" o:spt="202" type="#_x0000_t202" style="position:absolute;left:-20;top:-20;height:2340;width:3685;" filled="f" stroked="f" coordsize="21600,21600">
                    <v:path/>
                    <v:fill on="f" focussize="0,0"/>
                    <v:stroke on="f"/>
                    <v:imagedata o:title=""/>
                    <o:lock v:ext="edit" aspectratio="f"/>
                    <v:textbox inset="0mm,0mm,0mm,0mm">
                      <w:txbxContent>
                        <w:p w14:paraId="13B38E4A">
                          <w:pPr>
                            <w:spacing w:line="258" w:lineRule="auto"/>
                            <w:rPr>
                              <w:rFonts w:ascii="Arial"/>
                              <w:sz w:val="21"/>
                            </w:rPr>
                          </w:pPr>
                        </w:p>
                        <w:p w14:paraId="1E53385F">
                          <w:pPr>
                            <w:spacing w:line="259" w:lineRule="auto"/>
                            <w:rPr>
                              <w:rFonts w:ascii="Arial"/>
                              <w:sz w:val="21"/>
                            </w:rPr>
                          </w:pPr>
                        </w:p>
                        <w:p w14:paraId="7B487CAE">
                          <w:pPr>
                            <w:spacing w:line="259" w:lineRule="auto"/>
                            <w:rPr>
                              <w:rFonts w:ascii="Arial"/>
                              <w:sz w:val="21"/>
                            </w:rPr>
                          </w:pPr>
                        </w:p>
                        <w:p w14:paraId="3CB86409">
                          <w:pPr>
                            <w:spacing w:before="91" w:line="222" w:lineRule="auto"/>
                            <w:ind w:left="1386"/>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⑥</w:t>
                          </w:r>
                        </w:p>
                      </w:txbxContent>
                    </v:textbox>
                  </v:shape>
                </v:group>
              </w:pict>
            </w:r>
            <w:r>
              <w:pict>
                <v:group id="_x0000_s1125" o:spid="_x0000_s1125" o:spt="203" style="position:absolute;left:0pt;margin-left:533.85pt;margin-top:429.85pt;height:32.25pt;width:54pt;mso-position-horizontal-relative:page;mso-position-vertical-relative:page;z-index:251747328;mso-width-relative:page;mso-height-relative:page;" coordsize="1080,645">
                  <o:lock v:ext="edit"/>
                  <v:shape id="_x0000_s1126" o:spid="_x0000_s1126" o:spt="75" type="#_x0000_t75" style="position:absolute;left:0;top:0;height:645;width:1080;" filled="f" stroked="f" coordsize="21600,21600">
                    <v:path/>
                    <v:fill on="f" focussize="0,0"/>
                    <v:stroke on="f"/>
                    <v:imagedata r:id="rId414" o:title=""/>
                    <o:lock v:ext="edit" aspectratio="t"/>
                  </v:shape>
                  <v:shape id="_x0000_s1127" o:spid="_x0000_s1127" o:spt="202" type="#_x0000_t202" style="position:absolute;left:-20;top:-20;height:735;width:1120;" filled="f" stroked="f" coordsize="21600,21600">
                    <v:path/>
                    <v:fill on="f" focussize="0,0"/>
                    <v:stroke on="f"/>
                    <v:imagedata o:title=""/>
                    <o:lock v:ext="edit" aspectratio="f"/>
                    <v:textbox inset="0mm,0mm,0mm,0mm">
                      <w:txbxContent>
                        <w:p w14:paraId="50B9393F">
                          <w:pPr>
                            <w:spacing w:before="206" w:line="222" w:lineRule="auto"/>
                            <w:ind w:left="528"/>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⑧</w:t>
                          </w:r>
                        </w:p>
                      </w:txbxContent>
                    </v:textbox>
                  </v:shape>
                </v:group>
              </w:pict>
            </w:r>
            <w:r>
              <w:drawing>
                <wp:anchor distT="0" distB="0" distL="0" distR="0" simplePos="0" relativeHeight="251746304" behindDoc="0" locked="0" layoutInCell="1" allowOverlap="1">
                  <wp:simplePos x="0" y="0"/>
                  <wp:positionH relativeFrom="rightMargin">
                    <wp:posOffset>-835660</wp:posOffset>
                  </wp:positionH>
                  <wp:positionV relativeFrom="topMargin">
                    <wp:posOffset>6045200</wp:posOffset>
                  </wp:positionV>
                  <wp:extent cx="723900" cy="59118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15"/>
                          <a:stretch>
                            <a:fillRect/>
                          </a:stretch>
                        </pic:blipFill>
                        <pic:spPr>
                          <a:xfrm>
                            <a:off x="0" y="0"/>
                            <a:ext cx="723900" cy="591311"/>
                          </a:xfrm>
                          <a:prstGeom prst="rect">
                            <a:avLst/>
                          </a:prstGeom>
                        </pic:spPr>
                      </pic:pic>
                    </a:graphicData>
                  </a:graphic>
                </wp:anchor>
              </w:drawing>
            </w:r>
            <w:r>
              <w:drawing>
                <wp:anchor distT="0" distB="0" distL="0" distR="0" simplePos="0" relativeHeight="251751424" behindDoc="0" locked="0" layoutInCell="1" allowOverlap="1">
                  <wp:simplePos x="0" y="0"/>
                  <wp:positionH relativeFrom="rightMargin">
                    <wp:posOffset>-6071870</wp:posOffset>
                  </wp:positionH>
                  <wp:positionV relativeFrom="topMargin">
                    <wp:posOffset>3220720</wp:posOffset>
                  </wp:positionV>
                  <wp:extent cx="415290" cy="41910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16"/>
                          <a:stretch>
                            <a:fillRect/>
                          </a:stretch>
                        </pic:blipFill>
                        <pic:spPr>
                          <a:xfrm>
                            <a:off x="0" y="0"/>
                            <a:ext cx="415519" cy="419405"/>
                          </a:xfrm>
                          <a:prstGeom prst="rect">
                            <a:avLst/>
                          </a:prstGeom>
                        </pic:spPr>
                      </pic:pic>
                    </a:graphicData>
                  </a:graphic>
                </wp:anchor>
              </w:drawing>
            </w:r>
            <w:r>
              <w:drawing>
                <wp:anchor distT="0" distB="0" distL="0" distR="0" simplePos="0" relativeHeight="251753472" behindDoc="0" locked="0" layoutInCell="1" allowOverlap="1">
                  <wp:simplePos x="0" y="0"/>
                  <wp:positionH relativeFrom="rightMargin">
                    <wp:posOffset>-6256655</wp:posOffset>
                  </wp:positionH>
                  <wp:positionV relativeFrom="topMargin">
                    <wp:posOffset>3288665</wp:posOffset>
                  </wp:positionV>
                  <wp:extent cx="434340" cy="46228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17"/>
                          <a:stretch>
                            <a:fillRect/>
                          </a:stretch>
                        </pic:blipFill>
                        <pic:spPr>
                          <a:xfrm>
                            <a:off x="0" y="0"/>
                            <a:ext cx="434276" cy="462127"/>
                          </a:xfrm>
                          <a:prstGeom prst="rect">
                            <a:avLst/>
                          </a:prstGeom>
                        </pic:spPr>
                      </pic:pic>
                    </a:graphicData>
                  </a:graphic>
                </wp:anchor>
              </w:drawing>
            </w:r>
            <w:r>
              <w:pict>
                <v:shape id="_x0000_s1128" o:spid="_x0000_s1128" o:spt="202" type="#_x0000_t202" style="position:absolute;left:0pt;margin-left:694.85pt;margin-top:337.35pt;height:48pt;width:53pt;mso-position-horizontal-relative:page;mso-position-vertical-relative:page;z-index:251756544;mso-width-relative:page;mso-height-relative:page;" filled="f" stroked="f" coordsize="21600,21600">
                  <v:path/>
                  <v:fill on="f" focussize="0,0"/>
                  <v:stroke on="f"/>
                  <v:imagedata o:title=""/>
                  <o:lock v:ext="edit" aspectratio="f"/>
                  <v:textbox inset="0mm,0mm,0mm,0mm">
                    <w:txbxContent>
                      <w:p w14:paraId="79206D53">
                        <w:pPr>
                          <w:spacing w:before="277" w:line="222" w:lineRule="auto"/>
                          <w:ind w:left="339"/>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⑦</w:t>
                        </w:r>
                      </w:p>
                    </w:txbxContent>
                  </v:textbox>
                </v:shape>
              </w:pict>
            </w:r>
            <w:r>
              <w:pict>
                <v:group id="_x0000_s1129" o:spid="_x0000_s1129" o:spt="203" style="position:absolute;left:0pt;margin-left:394.35pt;margin-top:202.6pt;height:30.75pt;width:49.5pt;mso-position-horizontal-relative:page;mso-position-vertical-relative:page;z-index:251752448;mso-width-relative:page;mso-height-relative:page;" coordsize="990,615">
                  <o:lock v:ext="edit"/>
                  <v:shape id="_x0000_s1130" o:spid="_x0000_s1130" o:spt="75" type="#_x0000_t75" style="position:absolute;left:0;top:0;height:615;width:990;" filled="f" stroked="f" coordsize="21600,21600">
                    <v:path/>
                    <v:fill on="f" focussize="0,0"/>
                    <v:stroke on="f"/>
                    <v:imagedata r:id="rId418" o:title=""/>
                    <o:lock v:ext="edit" aspectratio="t"/>
                  </v:shape>
                  <v:shape id="_x0000_s1131" o:spid="_x0000_s1131" o:spt="202" type="#_x0000_t202" style="position:absolute;left:-20;top:-20;height:705;width:1030;" filled="f" stroked="f" coordsize="21600,21600">
                    <v:path/>
                    <v:fill on="f" focussize="0,0"/>
                    <v:stroke on="f"/>
                    <v:imagedata o:title=""/>
                    <o:lock v:ext="edit" aspectratio="f"/>
                    <v:textbox inset="0mm,0mm,0mm,0mm">
                      <w:txbxContent>
                        <w:p w14:paraId="1914265D">
                          <w:pPr>
                            <w:spacing w:before="194" w:line="222" w:lineRule="auto"/>
                            <w:ind w:left="479"/>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②</w:t>
                          </w:r>
                        </w:p>
                      </w:txbxContent>
                    </v:textbox>
                  </v:shape>
                </v:group>
              </w:pict>
            </w:r>
          </w:p>
          <w:p w14:paraId="310605D4">
            <w:pPr>
              <w:spacing w:line="60" w:lineRule="exact"/>
            </w:pPr>
          </w:p>
          <w:tbl>
            <w:tblPr>
              <w:tblStyle w:val="4"/>
              <w:tblW w:w="3516" w:type="dxa"/>
              <w:tblInd w:w="15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2004"/>
              <w:gridCol w:w="997"/>
            </w:tblGrid>
            <w:tr w14:paraId="19C53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15" w:type="dxa"/>
                  <w:vAlign w:val="top"/>
                </w:tcPr>
                <w:p w14:paraId="68A5CA60">
                  <w:pPr>
                    <w:spacing w:before="65" w:line="229" w:lineRule="auto"/>
                    <w:ind w:left="51"/>
                    <w:rPr>
                      <w:rFonts w:ascii="宋体" w:hAnsi="宋体" w:eastAsia="宋体" w:cs="宋体"/>
                      <w:sz w:val="20"/>
                      <w:szCs w:val="20"/>
                    </w:rPr>
                  </w:pPr>
                  <w:r>
                    <w:drawing>
                      <wp:anchor distT="0" distB="0" distL="0" distR="0" simplePos="0" relativeHeight="251743232" behindDoc="0" locked="0" layoutInCell="1" allowOverlap="1">
                        <wp:simplePos x="0" y="0"/>
                        <wp:positionH relativeFrom="column">
                          <wp:posOffset>-9589770</wp:posOffset>
                        </wp:positionH>
                        <wp:positionV relativeFrom="paragraph">
                          <wp:posOffset>-168910</wp:posOffset>
                        </wp:positionV>
                        <wp:extent cx="11944985" cy="670560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419"/>
                                <a:stretch>
                                  <a:fillRect/>
                                </a:stretch>
                              </pic:blipFill>
                              <pic:spPr>
                                <a:xfrm>
                                  <a:off x="0" y="0"/>
                                  <a:ext cx="11945111" cy="6705600"/>
                                </a:xfrm>
                                <a:prstGeom prst="rect">
                                  <a:avLst/>
                                </a:prstGeom>
                              </pic:spPr>
                            </pic:pic>
                          </a:graphicData>
                        </a:graphic>
                      </wp:anchor>
                    </w:drawing>
                  </w:r>
                  <w:r>
                    <w:drawing>
                      <wp:anchor distT="0" distB="0" distL="0" distR="0" simplePos="0" relativeHeight="251745280" behindDoc="0" locked="0" layoutInCell="1" allowOverlap="1">
                        <wp:simplePos x="0" y="0"/>
                        <wp:positionH relativeFrom="column">
                          <wp:posOffset>-97155</wp:posOffset>
                        </wp:positionH>
                        <wp:positionV relativeFrom="paragraph">
                          <wp:posOffset>-58420</wp:posOffset>
                        </wp:positionV>
                        <wp:extent cx="2392680" cy="21113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20"/>
                                <a:stretch>
                                  <a:fillRect/>
                                </a:stretch>
                              </pic:blipFill>
                              <pic:spPr>
                                <a:xfrm>
                                  <a:off x="0" y="0"/>
                                  <a:ext cx="2392678" cy="2111375"/>
                                </a:xfrm>
                                <a:prstGeom prst="rect">
                                  <a:avLst/>
                                </a:prstGeom>
                              </pic:spPr>
                            </pic:pic>
                          </a:graphicData>
                        </a:graphic>
                      </wp:anchor>
                    </w:drawing>
                  </w: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004" w:type="dxa"/>
                  <w:vAlign w:val="top"/>
                </w:tcPr>
                <w:p w14:paraId="5C4B293B">
                  <w:pPr>
                    <w:spacing w:before="65" w:line="228" w:lineRule="auto"/>
                    <w:ind w:left="69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敏</w:t>
                  </w:r>
                  <w:r>
                    <w:rPr>
                      <w:rFonts w:ascii="宋体" w:hAnsi="宋体" w:eastAsia="宋体" w:cs="宋体"/>
                      <w:spacing w:val="7"/>
                      <w:sz w:val="20"/>
                      <w:szCs w:val="20"/>
                      <w14:textOutline w14:w="3795" w14:cap="sq" w14:cmpd="sng">
                        <w14:solidFill>
                          <w14:srgbClr w14:val="000000"/>
                        </w14:solidFill>
                        <w14:prstDash w14:val="solid"/>
                        <w14:bevel/>
                      </w14:textOutline>
                    </w:rPr>
                    <w:t>感点</w:t>
                  </w:r>
                </w:p>
              </w:tc>
              <w:tc>
                <w:tcPr>
                  <w:tcW w:w="997" w:type="dxa"/>
                  <w:vAlign w:val="top"/>
                </w:tcPr>
                <w:p w14:paraId="6D3890D7">
                  <w:pPr>
                    <w:spacing w:before="24" w:line="289" w:lineRule="exact"/>
                    <w:ind w:left="136"/>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距离</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r>
            <w:tr w14:paraId="617AA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15" w:type="dxa"/>
                  <w:vAlign w:val="top"/>
                </w:tcPr>
                <w:p w14:paraId="355848CD">
                  <w:pPr>
                    <w:spacing w:before="62" w:line="225" w:lineRule="auto"/>
                    <w:ind w:left="15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①</w:t>
                  </w:r>
                </w:p>
              </w:tc>
              <w:tc>
                <w:tcPr>
                  <w:tcW w:w="2004" w:type="dxa"/>
                  <w:vAlign w:val="top"/>
                </w:tcPr>
                <w:p w14:paraId="50A6CEA5">
                  <w:pPr>
                    <w:spacing w:before="61" w:line="228" w:lineRule="auto"/>
                    <w:ind w:left="693"/>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葡粉沟</w:t>
                  </w:r>
                </w:p>
              </w:tc>
              <w:tc>
                <w:tcPr>
                  <w:tcW w:w="997" w:type="dxa"/>
                  <w:vAlign w:val="top"/>
                </w:tcPr>
                <w:p w14:paraId="410CBECE">
                  <w:pPr>
                    <w:spacing w:before="97" w:line="195" w:lineRule="auto"/>
                    <w:ind w:left="34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74</w:t>
                  </w:r>
                  <w:r>
                    <w:rPr>
                      <w:rFonts w:ascii="Times New Roman" w:hAnsi="Times New Roman" w:eastAsia="Times New Roman" w:cs="Times New Roman"/>
                      <w:b/>
                      <w:bCs/>
                      <w:spacing w:val="2"/>
                      <w:sz w:val="20"/>
                      <w:szCs w:val="20"/>
                    </w:rPr>
                    <w:t>0</w:t>
                  </w:r>
                </w:p>
              </w:tc>
            </w:tr>
            <w:tr w14:paraId="61D20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15" w:type="dxa"/>
                  <w:vAlign w:val="top"/>
                </w:tcPr>
                <w:p w14:paraId="6B77325C">
                  <w:pPr>
                    <w:spacing w:before="62"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②</w:t>
                  </w:r>
                </w:p>
              </w:tc>
              <w:tc>
                <w:tcPr>
                  <w:tcW w:w="2004" w:type="dxa"/>
                  <w:vAlign w:val="top"/>
                </w:tcPr>
                <w:p w14:paraId="7C3C401D">
                  <w:pPr>
                    <w:spacing w:before="61" w:line="227" w:lineRule="auto"/>
                    <w:ind w:left="69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下</w:t>
                  </w:r>
                  <w:r>
                    <w:rPr>
                      <w:rFonts w:ascii="宋体" w:hAnsi="宋体" w:eastAsia="宋体" w:cs="宋体"/>
                      <w:spacing w:val="5"/>
                      <w:sz w:val="20"/>
                      <w:szCs w:val="20"/>
                      <w14:textOutline w14:w="3795" w14:cap="sq" w14:cmpd="sng">
                        <w14:solidFill>
                          <w14:srgbClr w14:val="000000"/>
                        </w14:solidFill>
                        <w14:prstDash w14:val="solid"/>
                        <w14:bevel/>
                      </w14:textOutline>
                    </w:rPr>
                    <w:t>堡村</w:t>
                  </w:r>
                </w:p>
              </w:tc>
              <w:tc>
                <w:tcPr>
                  <w:tcW w:w="997" w:type="dxa"/>
                  <w:vAlign w:val="top"/>
                </w:tcPr>
                <w:p w14:paraId="5BC2F029">
                  <w:pPr>
                    <w:spacing w:before="97" w:line="195" w:lineRule="auto"/>
                    <w:ind w:left="34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75</w:t>
                  </w:r>
                  <w:r>
                    <w:rPr>
                      <w:rFonts w:ascii="Times New Roman" w:hAnsi="Times New Roman" w:eastAsia="Times New Roman" w:cs="Times New Roman"/>
                      <w:b/>
                      <w:bCs/>
                      <w:spacing w:val="2"/>
                      <w:sz w:val="20"/>
                      <w:szCs w:val="20"/>
                    </w:rPr>
                    <w:t>0</w:t>
                  </w:r>
                </w:p>
              </w:tc>
            </w:tr>
            <w:tr w14:paraId="0904D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15" w:type="dxa"/>
                  <w:vAlign w:val="top"/>
                </w:tcPr>
                <w:p w14:paraId="0606EE4C">
                  <w:pPr>
                    <w:spacing w:before="63"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③</w:t>
                  </w:r>
                </w:p>
              </w:tc>
              <w:tc>
                <w:tcPr>
                  <w:tcW w:w="2004" w:type="dxa"/>
                  <w:vAlign w:val="top"/>
                </w:tcPr>
                <w:p w14:paraId="721A0947">
                  <w:pPr>
                    <w:spacing w:before="62" w:line="228" w:lineRule="auto"/>
                    <w:ind w:left="69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榆</w:t>
                  </w:r>
                  <w:r>
                    <w:rPr>
                      <w:rFonts w:ascii="宋体" w:hAnsi="宋体" w:eastAsia="宋体" w:cs="宋体"/>
                      <w:spacing w:val="7"/>
                      <w:sz w:val="20"/>
                      <w:szCs w:val="20"/>
                      <w14:textOutline w14:w="3795" w14:cap="sq" w14:cmpd="sng">
                        <w14:solidFill>
                          <w14:srgbClr w14:val="000000"/>
                        </w14:solidFill>
                        <w14:prstDash w14:val="solid"/>
                        <w14:bevel/>
                      </w14:textOutline>
                    </w:rPr>
                    <w:t>树底</w:t>
                  </w:r>
                </w:p>
              </w:tc>
              <w:tc>
                <w:tcPr>
                  <w:tcW w:w="997" w:type="dxa"/>
                  <w:vAlign w:val="top"/>
                </w:tcPr>
                <w:p w14:paraId="419B93D6">
                  <w:pPr>
                    <w:spacing w:before="99" w:line="195" w:lineRule="auto"/>
                    <w:ind w:left="34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330</w:t>
                  </w:r>
                </w:p>
              </w:tc>
            </w:tr>
            <w:tr w14:paraId="2A34C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15" w:type="dxa"/>
                  <w:vAlign w:val="top"/>
                </w:tcPr>
                <w:p w14:paraId="45CA970E">
                  <w:pPr>
                    <w:spacing w:before="64"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④</w:t>
                  </w:r>
                </w:p>
              </w:tc>
              <w:tc>
                <w:tcPr>
                  <w:tcW w:w="2004" w:type="dxa"/>
                  <w:vAlign w:val="top"/>
                </w:tcPr>
                <w:p w14:paraId="552ED90C">
                  <w:pPr>
                    <w:spacing w:before="64" w:line="227" w:lineRule="auto"/>
                    <w:ind w:left="59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营子新</w:t>
                  </w:r>
                  <w:r>
                    <w:rPr>
                      <w:rFonts w:ascii="宋体" w:hAnsi="宋体" w:eastAsia="宋体" w:cs="宋体"/>
                      <w:spacing w:val="6"/>
                      <w:sz w:val="20"/>
                      <w:szCs w:val="20"/>
                      <w14:textOutline w14:w="3795" w14:cap="sq" w14:cmpd="sng">
                        <w14:solidFill>
                          <w14:srgbClr w14:val="000000"/>
                        </w14:solidFill>
                        <w14:prstDash w14:val="solid"/>
                        <w14:bevel/>
                      </w14:textOutline>
                    </w:rPr>
                    <w:t>村</w:t>
                  </w:r>
                </w:p>
              </w:tc>
              <w:tc>
                <w:tcPr>
                  <w:tcW w:w="997" w:type="dxa"/>
                  <w:vAlign w:val="top"/>
                </w:tcPr>
                <w:p w14:paraId="42A7961D">
                  <w:pPr>
                    <w:spacing w:before="100" w:line="195" w:lineRule="auto"/>
                    <w:ind w:left="28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2070</w:t>
                  </w:r>
                </w:p>
              </w:tc>
            </w:tr>
            <w:tr w14:paraId="1E25B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15" w:type="dxa"/>
                  <w:vAlign w:val="top"/>
                </w:tcPr>
                <w:p w14:paraId="28D4D311">
                  <w:pPr>
                    <w:spacing w:before="66"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⑤</w:t>
                  </w:r>
                </w:p>
              </w:tc>
              <w:tc>
                <w:tcPr>
                  <w:tcW w:w="2004" w:type="dxa"/>
                  <w:vAlign w:val="top"/>
                </w:tcPr>
                <w:p w14:paraId="5E575BC0">
                  <w:pPr>
                    <w:spacing w:before="65" w:line="228" w:lineRule="auto"/>
                    <w:ind w:left="69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刺叶山</w:t>
                  </w:r>
                </w:p>
              </w:tc>
              <w:tc>
                <w:tcPr>
                  <w:tcW w:w="997" w:type="dxa"/>
                  <w:vAlign w:val="top"/>
                </w:tcPr>
                <w:p w14:paraId="2B446EB1">
                  <w:pPr>
                    <w:spacing w:before="101" w:line="195" w:lineRule="auto"/>
                    <w:ind w:left="28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2600</w:t>
                  </w:r>
                </w:p>
              </w:tc>
            </w:tr>
            <w:tr w14:paraId="317D4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15" w:type="dxa"/>
                  <w:vAlign w:val="top"/>
                </w:tcPr>
                <w:p w14:paraId="241C3DE0">
                  <w:pPr>
                    <w:spacing w:before="66"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⑥</w:t>
                  </w:r>
                </w:p>
              </w:tc>
              <w:tc>
                <w:tcPr>
                  <w:tcW w:w="2004" w:type="dxa"/>
                  <w:vAlign w:val="top"/>
                </w:tcPr>
                <w:p w14:paraId="0B7E559B">
                  <w:pPr>
                    <w:spacing w:before="65" w:line="227" w:lineRule="auto"/>
                    <w:ind w:left="58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火连寨村</w:t>
                  </w:r>
                </w:p>
              </w:tc>
              <w:tc>
                <w:tcPr>
                  <w:tcW w:w="997" w:type="dxa"/>
                  <w:vAlign w:val="top"/>
                </w:tcPr>
                <w:p w14:paraId="5DB9356C">
                  <w:pPr>
                    <w:spacing w:before="101" w:line="195" w:lineRule="auto"/>
                    <w:ind w:left="29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105</w:t>
                  </w:r>
                  <w:r>
                    <w:rPr>
                      <w:rFonts w:ascii="Times New Roman" w:hAnsi="Times New Roman" w:eastAsia="Times New Roman" w:cs="Times New Roman"/>
                      <w:b/>
                      <w:bCs/>
                      <w:spacing w:val="1"/>
                      <w:sz w:val="20"/>
                      <w:szCs w:val="20"/>
                    </w:rPr>
                    <w:t>0</w:t>
                  </w:r>
                </w:p>
              </w:tc>
            </w:tr>
            <w:tr w14:paraId="6E41F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15" w:type="dxa"/>
                  <w:vAlign w:val="top"/>
                </w:tcPr>
                <w:p w14:paraId="0BD52D02">
                  <w:pPr>
                    <w:spacing w:before="66"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⑦</w:t>
                  </w:r>
                </w:p>
              </w:tc>
              <w:tc>
                <w:tcPr>
                  <w:tcW w:w="2004" w:type="dxa"/>
                  <w:vAlign w:val="top"/>
                </w:tcPr>
                <w:p w14:paraId="7EE628DE">
                  <w:pPr>
                    <w:spacing w:before="65" w:line="227" w:lineRule="auto"/>
                    <w:ind w:left="69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营</w:t>
                  </w:r>
                  <w:r>
                    <w:rPr>
                      <w:rFonts w:ascii="宋体" w:hAnsi="宋体" w:eastAsia="宋体" w:cs="宋体"/>
                      <w:spacing w:val="5"/>
                      <w:sz w:val="20"/>
                      <w:szCs w:val="20"/>
                      <w14:textOutline w14:w="3795" w14:cap="sq" w14:cmpd="sng">
                        <w14:solidFill>
                          <w14:srgbClr w14:val="000000"/>
                        </w14:solidFill>
                        <w14:prstDash w14:val="solid"/>
                        <w14:bevel/>
                      </w14:textOutline>
                    </w:rPr>
                    <w:t>子村</w:t>
                  </w:r>
                </w:p>
              </w:tc>
              <w:tc>
                <w:tcPr>
                  <w:tcW w:w="997" w:type="dxa"/>
                  <w:vAlign w:val="top"/>
                </w:tcPr>
                <w:p w14:paraId="377F9D74">
                  <w:pPr>
                    <w:spacing w:before="101" w:line="195" w:lineRule="auto"/>
                    <w:ind w:left="28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2200</w:t>
                  </w:r>
                </w:p>
              </w:tc>
            </w:tr>
            <w:tr w14:paraId="24982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15" w:type="dxa"/>
                  <w:vAlign w:val="top"/>
                </w:tcPr>
                <w:p w14:paraId="41C86059">
                  <w:pPr>
                    <w:spacing w:before="67" w:line="225" w:lineRule="auto"/>
                    <w:ind w:left="15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⑧</w:t>
                  </w:r>
                </w:p>
              </w:tc>
              <w:tc>
                <w:tcPr>
                  <w:tcW w:w="2004" w:type="dxa"/>
                  <w:vAlign w:val="top"/>
                </w:tcPr>
                <w:p w14:paraId="01E9CC02">
                  <w:pPr>
                    <w:spacing w:before="66" w:line="228" w:lineRule="auto"/>
                    <w:ind w:left="58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豆</w:t>
                  </w:r>
                  <w:r>
                    <w:rPr>
                      <w:rFonts w:ascii="宋体" w:hAnsi="宋体" w:eastAsia="宋体" w:cs="宋体"/>
                      <w:spacing w:val="8"/>
                      <w:sz w:val="20"/>
                      <w:szCs w:val="20"/>
                      <w14:textOutline w14:w="3795" w14:cap="sq" w14:cmpd="sng">
                        <w14:solidFill>
                          <w14:srgbClr w14:val="000000"/>
                        </w14:solidFill>
                        <w14:prstDash w14:val="solid"/>
                        <w14:bevel/>
                      </w14:textOutline>
                    </w:rPr>
                    <w:t>腐房沟</w:t>
                  </w:r>
                </w:p>
              </w:tc>
              <w:tc>
                <w:tcPr>
                  <w:tcW w:w="997" w:type="dxa"/>
                  <w:vAlign w:val="top"/>
                </w:tcPr>
                <w:p w14:paraId="193CCDD4">
                  <w:pPr>
                    <w:spacing w:before="103" w:line="195" w:lineRule="auto"/>
                    <w:ind w:left="28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2060</w:t>
                  </w:r>
                </w:p>
              </w:tc>
            </w:tr>
          </w:tbl>
          <w:p w14:paraId="25047FBC">
            <w:pPr>
              <w:spacing w:line="259" w:lineRule="auto"/>
              <w:rPr>
                <w:rFonts w:ascii="Arial"/>
                <w:sz w:val="21"/>
              </w:rPr>
            </w:pPr>
          </w:p>
          <w:p w14:paraId="4E391B62">
            <w:pPr>
              <w:spacing w:line="259" w:lineRule="auto"/>
              <w:rPr>
                <w:rFonts w:ascii="Arial"/>
                <w:sz w:val="21"/>
              </w:rPr>
            </w:pPr>
          </w:p>
          <w:p w14:paraId="797FA5A5">
            <w:pPr>
              <w:spacing w:line="259" w:lineRule="auto"/>
              <w:rPr>
                <w:rFonts w:ascii="Arial"/>
                <w:sz w:val="21"/>
              </w:rPr>
            </w:pPr>
          </w:p>
          <w:p w14:paraId="777A631F">
            <w:pPr>
              <w:spacing w:line="259" w:lineRule="auto"/>
              <w:rPr>
                <w:rFonts w:ascii="Arial"/>
                <w:sz w:val="21"/>
              </w:rPr>
            </w:pPr>
          </w:p>
          <w:p w14:paraId="75BE83F1">
            <w:pPr>
              <w:spacing w:line="260" w:lineRule="auto"/>
              <w:rPr>
                <w:rFonts w:ascii="Arial"/>
                <w:sz w:val="21"/>
              </w:rPr>
            </w:pPr>
          </w:p>
          <w:p w14:paraId="1C45D353">
            <w:pPr>
              <w:spacing w:line="1470" w:lineRule="exact"/>
              <w:ind w:firstLine="8906"/>
              <w:textAlignment w:val="center"/>
            </w:pPr>
            <w:r>
              <w:drawing>
                <wp:inline distT="0" distB="0" distL="0" distR="0">
                  <wp:extent cx="934720" cy="93345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21"/>
                          <a:stretch>
                            <a:fillRect/>
                          </a:stretch>
                        </pic:blipFill>
                        <pic:spPr>
                          <a:xfrm>
                            <a:off x="0" y="0"/>
                            <a:ext cx="934949" cy="933551"/>
                          </a:xfrm>
                          <a:prstGeom prst="rect">
                            <a:avLst/>
                          </a:prstGeom>
                        </pic:spPr>
                      </pic:pic>
                    </a:graphicData>
                  </a:graphic>
                </wp:inline>
              </w:drawing>
            </w:r>
          </w:p>
          <w:p w14:paraId="2DAF3B77">
            <w:pPr>
              <w:spacing w:line="284" w:lineRule="auto"/>
              <w:rPr>
                <w:rFonts w:ascii="Arial"/>
                <w:sz w:val="21"/>
              </w:rPr>
            </w:pPr>
          </w:p>
          <w:p w14:paraId="6156E88D">
            <w:pPr>
              <w:spacing w:line="285" w:lineRule="auto"/>
              <w:rPr>
                <w:rFonts w:ascii="Arial"/>
                <w:sz w:val="21"/>
              </w:rPr>
            </w:pPr>
          </w:p>
          <w:p w14:paraId="62B524FB">
            <w:pPr>
              <w:spacing w:line="870" w:lineRule="exact"/>
              <w:ind w:firstLine="13906"/>
              <w:textAlignment w:val="center"/>
            </w:pPr>
            <w:r>
              <w:drawing>
                <wp:inline distT="0" distB="0" distL="0" distR="0">
                  <wp:extent cx="647065" cy="5524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22"/>
                          <a:stretch>
                            <a:fillRect/>
                          </a:stretch>
                        </pic:blipFill>
                        <pic:spPr>
                          <a:xfrm>
                            <a:off x="0" y="0"/>
                            <a:ext cx="647662" cy="552450"/>
                          </a:xfrm>
                          <a:prstGeom prst="rect">
                            <a:avLst/>
                          </a:prstGeom>
                        </pic:spPr>
                      </pic:pic>
                    </a:graphicData>
                  </a:graphic>
                </wp:inline>
              </w:drawing>
            </w:r>
          </w:p>
          <w:p w14:paraId="2E247DB3"/>
          <w:p w14:paraId="76FAD85D">
            <w:pPr>
              <w:spacing w:line="62" w:lineRule="exact"/>
            </w:pPr>
          </w:p>
          <w:tbl>
            <w:tblPr>
              <w:tblStyle w:val="4"/>
              <w:tblW w:w="3340" w:type="dxa"/>
              <w:tblInd w:w="19"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340"/>
            </w:tblGrid>
            <w:tr w14:paraId="4FE281A5">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645" w:hRule="atLeast"/>
              </w:trPr>
              <w:tc>
                <w:tcPr>
                  <w:tcW w:w="3340" w:type="dxa"/>
                  <w:shd w:val="clear" w:color="auto" w:fill="FFFFFF"/>
                  <w:vAlign w:val="top"/>
                </w:tcPr>
                <w:p w14:paraId="1DE75068">
                  <w:pPr>
                    <w:spacing w:before="154" w:line="229" w:lineRule="auto"/>
                    <w:ind w:left="1332"/>
                    <w:rPr>
                      <w:rFonts w:ascii="宋体" w:hAnsi="宋体" w:eastAsia="宋体" w:cs="宋体"/>
                      <w:sz w:val="23"/>
                      <w:szCs w:val="23"/>
                    </w:rPr>
                  </w:pPr>
                  <w:r>
                    <w:pict>
                      <v:rect id="_x0000_s1132" o:spid="_x0000_s1132" o:spt="1" style="position:absolute;left:0pt;margin-left:64.95pt;margin-top:19.1pt;height:1.2pt;width:36.15pt;z-index:251748352;mso-width-relative:page;mso-height-relative:page;" fillcolor="#000000" filled="t" stroked="f" coordsize="21600,21600">
                        <v:path/>
                        <v:fill on="t" focussize="0,0"/>
                        <v:stroke on="f"/>
                        <v:imagedata o:title=""/>
                        <o:lock v:ext="edit"/>
                      </v:rect>
                    </w:pict>
                  </w:r>
                  <w:r>
                    <w:drawing>
                      <wp:anchor distT="0" distB="0" distL="0" distR="0" simplePos="0" relativeHeight="251761664" behindDoc="0" locked="0" layoutInCell="1" allowOverlap="1">
                        <wp:simplePos x="0" y="0"/>
                        <wp:positionH relativeFrom="rightMargin">
                          <wp:posOffset>-2029460</wp:posOffset>
                        </wp:positionH>
                        <wp:positionV relativeFrom="topMargin">
                          <wp:posOffset>316865</wp:posOffset>
                        </wp:positionV>
                        <wp:extent cx="271145" cy="16319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23"/>
                                <a:stretch>
                                  <a:fillRect/>
                                </a:stretch>
                              </pic:blipFill>
                              <pic:spPr>
                                <a:xfrm>
                                  <a:off x="0" y="0"/>
                                  <a:ext cx="271145" cy="163194"/>
                                </a:xfrm>
                                <a:prstGeom prst="rect">
                                  <a:avLst/>
                                </a:prstGeom>
                              </pic:spPr>
                            </pic:pic>
                          </a:graphicData>
                        </a:graphic>
                      </wp:anchor>
                    </w:drawing>
                  </w:r>
                  <w:r>
                    <w:drawing>
                      <wp:anchor distT="0" distB="0" distL="0" distR="0" simplePos="0" relativeHeight="251759616" behindDoc="0" locked="0" layoutInCell="1" allowOverlap="1">
                        <wp:simplePos x="0" y="0"/>
                        <wp:positionH relativeFrom="rightMargin">
                          <wp:posOffset>-2029460</wp:posOffset>
                        </wp:positionH>
                        <wp:positionV relativeFrom="topMargin">
                          <wp:posOffset>541020</wp:posOffset>
                        </wp:positionV>
                        <wp:extent cx="271145" cy="16319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24"/>
                                <a:stretch>
                                  <a:fillRect/>
                                </a:stretch>
                              </pic:blipFill>
                              <pic:spPr>
                                <a:xfrm>
                                  <a:off x="0" y="0"/>
                                  <a:ext cx="271119" cy="163195"/>
                                </a:xfrm>
                                <a:prstGeom prst="rect">
                                  <a:avLst/>
                                </a:prstGeom>
                              </pic:spPr>
                            </pic:pic>
                          </a:graphicData>
                        </a:graphic>
                      </wp:anchor>
                    </w:drawing>
                  </w:r>
                  <w:r>
                    <w:drawing>
                      <wp:anchor distT="0" distB="0" distL="0" distR="0" simplePos="0" relativeHeight="251764736" behindDoc="0" locked="0" layoutInCell="1" allowOverlap="1">
                        <wp:simplePos x="0" y="0"/>
                        <wp:positionH relativeFrom="rightMargin">
                          <wp:posOffset>-2019935</wp:posOffset>
                        </wp:positionH>
                        <wp:positionV relativeFrom="topMargin">
                          <wp:posOffset>772795</wp:posOffset>
                        </wp:positionV>
                        <wp:extent cx="271145" cy="163195"/>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425"/>
                                <a:stretch>
                                  <a:fillRect/>
                                </a:stretch>
                              </pic:blipFill>
                              <pic:spPr>
                                <a:xfrm>
                                  <a:off x="0" y="0"/>
                                  <a:ext cx="271119" cy="163195"/>
                                </a:xfrm>
                                <a:prstGeom prst="rect">
                                  <a:avLst/>
                                </a:prstGeom>
                              </pic:spPr>
                            </pic:pic>
                          </a:graphicData>
                        </a:graphic>
                      </wp:anchor>
                    </w:drawing>
                  </w:r>
                  <w:r>
                    <w:drawing>
                      <wp:anchor distT="0" distB="0" distL="0" distR="0" simplePos="0" relativeHeight="251757568" behindDoc="0" locked="0" layoutInCell="1" allowOverlap="1">
                        <wp:simplePos x="0" y="0"/>
                        <wp:positionH relativeFrom="rightMargin">
                          <wp:posOffset>-2019935</wp:posOffset>
                        </wp:positionH>
                        <wp:positionV relativeFrom="topMargin">
                          <wp:posOffset>995045</wp:posOffset>
                        </wp:positionV>
                        <wp:extent cx="271145" cy="16319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26"/>
                                <a:stretch>
                                  <a:fillRect/>
                                </a:stretch>
                              </pic:blipFill>
                              <pic:spPr>
                                <a:xfrm>
                                  <a:off x="0" y="0"/>
                                  <a:ext cx="271119" cy="163195"/>
                                </a:xfrm>
                                <a:prstGeom prst="rect">
                                  <a:avLst/>
                                </a:prstGeom>
                              </pic:spPr>
                            </pic:pic>
                          </a:graphicData>
                        </a:graphic>
                      </wp:anchor>
                    </w:drawing>
                  </w:r>
                  <w:r>
                    <w:drawing>
                      <wp:anchor distT="0" distB="0" distL="0" distR="0" simplePos="0" relativeHeight="251758592" behindDoc="0" locked="0" layoutInCell="1" allowOverlap="1">
                        <wp:simplePos x="0" y="0"/>
                        <wp:positionH relativeFrom="rightMargin">
                          <wp:posOffset>-2034540</wp:posOffset>
                        </wp:positionH>
                        <wp:positionV relativeFrom="topMargin">
                          <wp:posOffset>1231900</wp:posOffset>
                        </wp:positionV>
                        <wp:extent cx="271145" cy="163195"/>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427"/>
                                <a:stretch>
                                  <a:fillRect/>
                                </a:stretch>
                              </pic:blipFill>
                              <pic:spPr>
                                <a:xfrm>
                                  <a:off x="0" y="0"/>
                                  <a:ext cx="271170" cy="163194"/>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-2038985</wp:posOffset>
                        </wp:positionH>
                        <wp:positionV relativeFrom="topMargin">
                          <wp:posOffset>1445260</wp:posOffset>
                        </wp:positionV>
                        <wp:extent cx="271145" cy="16319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28"/>
                                <a:stretch>
                                  <a:fillRect/>
                                </a:stretch>
                              </pic:blipFill>
                              <pic:spPr>
                                <a:xfrm>
                                  <a:off x="0" y="0"/>
                                  <a:ext cx="271119" cy="163194"/>
                                </a:xfrm>
                                <a:prstGeom prst="rect">
                                  <a:avLst/>
                                </a:prstGeom>
                              </pic:spPr>
                            </pic:pic>
                          </a:graphicData>
                        </a:graphic>
                      </wp:anchor>
                    </w:drawing>
                  </w:r>
                  <w:r>
                    <w:rPr>
                      <w:rFonts w:ascii="宋体" w:hAnsi="宋体" w:eastAsia="宋体" w:cs="宋体"/>
                      <w:spacing w:val="-1"/>
                      <w:sz w:val="23"/>
                      <w:szCs w:val="23"/>
                      <w14:textOutline w14:w="4358" w14:cap="sq" w14:cmpd="sng">
                        <w14:solidFill>
                          <w14:srgbClr w14:val="000000"/>
                        </w14:solidFill>
                        <w14:prstDash w14:val="solid"/>
                        <w14:bevel/>
                      </w14:textOutline>
                    </w:rPr>
                    <w:t>图</w:t>
                  </w:r>
                  <w:r>
                    <w:rPr>
                      <w:rFonts w:ascii="宋体" w:hAnsi="宋体" w:eastAsia="宋体" w:cs="宋体"/>
                      <w:spacing w:val="-1"/>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例</w:t>
                  </w:r>
                </w:p>
                <w:p w14:paraId="4CC288B9">
                  <w:pPr>
                    <w:spacing w:before="74" w:line="360" w:lineRule="exact"/>
                    <w:ind w:left="639"/>
                    <w:rPr>
                      <w:rFonts w:ascii="宋体" w:hAnsi="宋体" w:eastAsia="宋体" w:cs="宋体"/>
                      <w:sz w:val="23"/>
                      <w:szCs w:val="23"/>
                    </w:rPr>
                  </w:pPr>
                  <w:r>
                    <w:rPr>
                      <w:rFonts w:ascii="宋体" w:hAnsi="宋体" w:eastAsia="宋体" w:cs="宋体"/>
                      <w:spacing w:val="11"/>
                      <w:position w:val="9"/>
                      <w:sz w:val="23"/>
                      <w:szCs w:val="23"/>
                    </w:rPr>
                    <w:t>建</w:t>
                  </w:r>
                  <w:r>
                    <w:rPr>
                      <w:rFonts w:ascii="宋体" w:hAnsi="宋体" w:eastAsia="宋体" w:cs="宋体"/>
                      <w:spacing w:val="8"/>
                      <w:position w:val="9"/>
                      <w:sz w:val="23"/>
                      <w:szCs w:val="23"/>
                    </w:rPr>
                    <w:t>设项目所在位置</w:t>
                  </w:r>
                </w:p>
                <w:p w14:paraId="486697A9">
                  <w:pPr>
                    <w:spacing w:before="1" w:line="225" w:lineRule="auto"/>
                    <w:ind w:left="636"/>
                    <w:rPr>
                      <w:rFonts w:ascii="宋体" w:hAnsi="宋体" w:eastAsia="宋体" w:cs="宋体"/>
                      <w:sz w:val="23"/>
                      <w:szCs w:val="23"/>
                    </w:rPr>
                  </w:pPr>
                  <w:r>
                    <w:rPr>
                      <w:rFonts w:ascii="宋体" w:hAnsi="宋体" w:eastAsia="宋体" w:cs="宋体"/>
                      <w:spacing w:val="9"/>
                      <w:sz w:val="23"/>
                      <w:szCs w:val="23"/>
                    </w:rPr>
                    <w:t>环境空气评价范</w:t>
                  </w:r>
                  <w:r>
                    <w:rPr>
                      <w:rFonts w:ascii="宋体" w:hAnsi="宋体" w:eastAsia="宋体" w:cs="宋体"/>
                      <w:spacing w:val="7"/>
                      <w:sz w:val="23"/>
                      <w:szCs w:val="23"/>
                    </w:rPr>
                    <w:t>围</w:t>
                  </w:r>
                </w:p>
                <w:p w14:paraId="74E932C6">
                  <w:pPr>
                    <w:spacing w:before="78" w:line="226" w:lineRule="auto"/>
                    <w:ind w:left="641"/>
                    <w:rPr>
                      <w:rFonts w:ascii="宋体" w:hAnsi="宋体" w:eastAsia="宋体" w:cs="宋体"/>
                      <w:sz w:val="23"/>
                      <w:szCs w:val="23"/>
                    </w:rPr>
                  </w:pPr>
                  <w:r>
                    <w:rPr>
                      <w:rFonts w:ascii="宋体" w:hAnsi="宋体" w:eastAsia="宋体" w:cs="宋体"/>
                      <w:spacing w:val="8"/>
                      <w:sz w:val="23"/>
                      <w:szCs w:val="23"/>
                    </w:rPr>
                    <w:t>声环境评价范</w:t>
                  </w:r>
                  <w:r>
                    <w:rPr>
                      <w:rFonts w:ascii="宋体" w:hAnsi="宋体" w:eastAsia="宋体" w:cs="宋体"/>
                      <w:spacing w:val="7"/>
                      <w:sz w:val="23"/>
                      <w:szCs w:val="23"/>
                    </w:rPr>
                    <w:t>围</w:t>
                  </w:r>
                </w:p>
                <w:p w14:paraId="424B51CB">
                  <w:pPr>
                    <w:spacing w:before="77" w:line="269" w:lineRule="auto"/>
                    <w:ind w:left="636" w:right="532"/>
                    <w:rPr>
                      <w:rFonts w:ascii="宋体" w:hAnsi="宋体" w:eastAsia="宋体" w:cs="宋体"/>
                      <w:sz w:val="23"/>
                      <w:szCs w:val="23"/>
                    </w:rPr>
                  </w:pPr>
                  <w:r>
                    <w:rPr>
                      <w:rFonts w:ascii="宋体" w:hAnsi="宋体" w:eastAsia="宋体" w:cs="宋体"/>
                      <w:spacing w:val="9"/>
                      <w:sz w:val="23"/>
                      <w:szCs w:val="23"/>
                    </w:rPr>
                    <w:t>地下水环境评价范</w:t>
                  </w:r>
                  <w:r>
                    <w:rPr>
                      <w:rFonts w:ascii="宋体" w:hAnsi="宋体" w:eastAsia="宋体" w:cs="宋体"/>
                      <w:spacing w:val="8"/>
                      <w:sz w:val="23"/>
                      <w:szCs w:val="23"/>
                    </w:rPr>
                    <w:t>围</w:t>
                  </w:r>
                  <w:r>
                    <w:rPr>
                      <w:rFonts w:ascii="宋体" w:hAnsi="宋体" w:eastAsia="宋体" w:cs="宋体"/>
                      <w:sz w:val="23"/>
                      <w:szCs w:val="23"/>
                    </w:rPr>
                    <w:t xml:space="preserve"> </w:t>
                  </w:r>
                  <w:r>
                    <w:rPr>
                      <w:rFonts w:ascii="宋体" w:hAnsi="宋体" w:eastAsia="宋体" w:cs="宋体"/>
                      <w:spacing w:val="9"/>
                      <w:sz w:val="23"/>
                      <w:szCs w:val="23"/>
                    </w:rPr>
                    <w:t>土壤环境评价范</w:t>
                  </w:r>
                  <w:r>
                    <w:rPr>
                      <w:rFonts w:ascii="宋体" w:hAnsi="宋体" w:eastAsia="宋体" w:cs="宋体"/>
                      <w:spacing w:val="7"/>
                      <w:sz w:val="23"/>
                      <w:szCs w:val="23"/>
                    </w:rPr>
                    <w:t>围</w:t>
                  </w:r>
                  <w:r>
                    <w:rPr>
                      <w:rFonts w:ascii="宋体" w:hAnsi="宋体" w:eastAsia="宋体" w:cs="宋体"/>
                      <w:sz w:val="23"/>
                      <w:szCs w:val="23"/>
                    </w:rPr>
                    <w:t xml:space="preserve">  </w:t>
                  </w:r>
                  <w:r>
                    <w:rPr>
                      <w:rFonts w:ascii="宋体" w:hAnsi="宋体" w:eastAsia="宋体" w:cs="宋体"/>
                      <w:spacing w:val="10"/>
                      <w:sz w:val="23"/>
                      <w:szCs w:val="23"/>
                    </w:rPr>
                    <w:t>环</w:t>
                  </w:r>
                  <w:r>
                    <w:rPr>
                      <w:rFonts w:ascii="宋体" w:hAnsi="宋体" w:eastAsia="宋体" w:cs="宋体"/>
                      <w:spacing w:val="8"/>
                      <w:sz w:val="23"/>
                      <w:szCs w:val="23"/>
                    </w:rPr>
                    <w:t>境保护目标</w:t>
                  </w:r>
                </w:p>
              </w:tc>
            </w:tr>
          </w:tbl>
          <w:p w14:paraId="46DD0E3F">
            <w:pPr>
              <w:spacing w:line="34" w:lineRule="exact"/>
              <w:rPr>
                <w:rFonts w:ascii="Arial"/>
                <w:sz w:val="2"/>
              </w:rPr>
            </w:pPr>
          </w:p>
        </w:tc>
      </w:tr>
    </w:tbl>
    <w:p w14:paraId="51B21C16">
      <w:pPr>
        <w:spacing w:before="243" w:line="219" w:lineRule="auto"/>
        <w:ind w:left="7492"/>
        <w:rPr>
          <w:rFonts w:ascii="宋体" w:hAnsi="宋体" w:eastAsia="宋体" w:cs="宋体"/>
          <w:sz w:val="28"/>
          <w:szCs w:val="28"/>
        </w:rPr>
      </w:pPr>
      <w:r>
        <w:rPr>
          <w:rFonts w:ascii="宋体" w:hAnsi="宋体" w:eastAsia="宋体" w:cs="宋体"/>
          <w:spacing w:val="-6"/>
          <w:sz w:val="28"/>
          <w:szCs w:val="28"/>
          <w14:textOutline w14:w="5103" w14:cap="sq" w14:cmpd="sng">
            <w14:solidFill>
              <w14:srgbClr w14:val="000000"/>
            </w14:solidFill>
            <w14:prstDash w14:val="solid"/>
            <w14:bevel/>
          </w14:textOutline>
        </w:rPr>
        <w:t>图</w:t>
      </w:r>
      <w:r>
        <w:rPr>
          <w:rFonts w:ascii="宋体" w:hAnsi="宋体" w:eastAsia="宋体" w:cs="宋体"/>
          <w:spacing w:val="-4"/>
          <w:sz w:val="28"/>
          <w:szCs w:val="28"/>
        </w:rPr>
        <w:t xml:space="preserve"> </w:t>
      </w:r>
      <w:r>
        <w:rPr>
          <w:rFonts w:ascii="Times New Roman" w:hAnsi="Times New Roman" w:eastAsia="Times New Roman" w:cs="Times New Roman"/>
          <w:b/>
          <w:bCs/>
          <w:spacing w:val="-3"/>
          <w:sz w:val="28"/>
          <w:szCs w:val="28"/>
        </w:rPr>
        <w:t>2-1</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建设项目环境保护目标及评价范围图</w:t>
      </w:r>
    </w:p>
    <w:p w14:paraId="0F99C4E6">
      <w:pPr>
        <w:sectPr>
          <w:headerReference r:id="rId84" w:type="default"/>
          <w:footerReference r:id="rId85" w:type="default"/>
          <w:pgSz w:w="23758" w:h="16783"/>
          <w:pgMar w:top="1132" w:right="1440" w:bottom="1156" w:left="1440" w:header="878" w:footer="996" w:gutter="0"/>
          <w:cols w:space="720" w:num="1"/>
        </w:sectPr>
      </w:pPr>
    </w:p>
    <w:p w14:paraId="41DFEA60">
      <w:pPr>
        <w:spacing w:line="313" w:lineRule="auto"/>
        <w:rPr>
          <w:rFonts w:ascii="Arial"/>
          <w:sz w:val="21"/>
        </w:rPr>
      </w:pPr>
      <w:r>
        <w:pict>
          <v:shape id="_x0000_s1133" o:spid="_x0000_s1133" style="position:absolute;left:0pt;margin-left:90pt;margin-top:57.35pt;height:0.75pt;width:415.3pt;mso-position-horizontal-relative:page;mso-position-vertical-relative:page;z-index:251766784;mso-width-relative:page;mso-height-relative:page;" fillcolor="#000000" filled="t" stroked="f" coordsize="8305,15" o:allowincell="f" path="m0,0l8305,0,8305,14,0,14,0,0xe">
            <v:path/>
            <v:fill on="t" focussize="0,0"/>
            <v:stroke on="f"/>
            <v:imagedata o:title=""/>
            <o:lock v:ext="edit"/>
          </v:shape>
        </w:pict>
      </w:r>
    </w:p>
    <w:p w14:paraId="24A5D85B">
      <w:pPr>
        <w:spacing w:before="114" w:line="225" w:lineRule="auto"/>
        <w:ind w:left="19"/>
        <w:outlineLvl w:val="0"/>
        <w:rPr>
          <w:rFonts w:ascii="宋体" w:hAnsi="宋体" w:eastAsia="宋体" w:cs="宋体"/>
          <w:sz w:val="35"/>
          <w:szCs w:val="35"/>
        </w:rPr>
      </w:pPr>
      <w:bookmarkStart w:id="14" w:name="_bookmark15"/>
      <w:bookmarkEnd w:id="14"/>
      <w:r>
        <w:rPr>
          <w:rFonts w:ascii="Times New Roman" w:hAnsi="Times New Roman" w:eastAsia="Times New Roman" w:cs="Times New Roman"/>
          <w:b/>
          <w:bCs/>
          <w:spacing w:val="-2"/>
          <w:sz w:val="35"/>
          <w:szCs w:val="35"/>
        </w:rPr>
        <w:t>3</w:t>
      </w:r>
      <w:r>
        <w:rPr>
          <w:rFonts w:ascii="Times New Roman" w:hAnsi="Times New Roman" w:eastAsia="Times New Roman" w:cs="Times New Roman"/>
          <w:spacing w:val="-2"/>
          <w:sz w:val="35"/>
          <w:szCs w:val="35"/>
        </w:rPr>
        <w:t xml:space="preserve"> </w:t>
      </w:r>
      <w:r>
        <w:rPr>
          <w:rFonts w:ascii="Times New Roman" w:hAnsi="Times New Roman" w:eastAsia="Times New Roman" w:cs="Times New Roman"/>
          <w:spacing w:val="-1"/>
          <w:sz w:val="35"/>
          <w:szCs w:val="35"/>
        </w:rPr>
        <w:t xml:space="preserve"> </w:t>
      </w:r>
      <w:r>
        <w:rPr>
          <w:rFonts w:ascii="宋体" w:hAnsi="宋体" w:eastAsia="宋体" w:cs="宋体"/>
          <w:spacing w:val="-1"/>
          <w:sz w:val="35"/>
          <w:szCs w:val="35"/>
          <w14:textOutline w14:w="6537" w14:cap="sq" w14:cmpd="sng">
            <w14:solidFill>
              <w14:srgbClr w14:val="000000"/>
            </w14:solidFill>
            <w14:prstDash w14:val="solid"/>
            <w14:bevel/>
          </w14:textOutline>
        </w:rPr>
        <w:t>建设项目工程分析</w:t>
      </w:r>
    </w:p>
    <w:p w14:paraId="5AF9D34C">
      <w:pPr>
        <w:spacing w:before="255" w:line="225" w:lineRule="auto"/>
        <w:ind w:left="19"/>
        <w:outlineLvl w:val="1"/>
        <w:rPr>
          <w:rFonts w:ascii="宋体" w:hAnsi="宋体" w:eastAsia="宋体" w:cs="宋体"/>
          <w:sz w:val="31"/>
          <w:szCs w:val="31"/>
        </w:rPr>
      </w:pPr>
      <w:bookmarkStart w:id="15" w:name="_bookmark16"/>
      <w:bookmarkEnd w:id="15"/>
      <w:r>
        <w:rPr>
          <w:rFonts w:ascii="Times New Roman" w:hAnsi="Times New Roman" w:eastAsia="Times New Roman" w:cs="Times New Roman"/>
          <w:b/>
          <w:bCs/>
          <w:spacing w:val="-2"/>
          <w:sz w:val="31"/>
          <w:szCs w:val="31"/>
        </w:rPr>
        <w:t>3</w:t>
      </w:r>
      <w:r>
        <w:rPr>
          <w:rFonts w:ascii="Times New Roman" w:hAnsi="Times New Roman" w:eastAsia="Times New Roman" w:cs="Times New Roman"/>
          <w:b/>
          <w:bCs/>
          <w:spacing w:val="-1"/>
          <w:sz w:val="31"/>
          <w:szCs w:val="31"/>
        </w:rPr>
        <w:t>.1</w:t>
      </w:r>
      <w:r>
        <w:rPr>
          <w:rFonts w:ascii="Times New Roman" w:hAnsi="Times New Roman" w:eastAsia="Times New Roman" w:cs="Times New Roman"/>
          <w:spacing w:val="-1"/>
          <w:sz w:val="31"/>
          <w:szCs w:val="31"/>
        </w:rPr>
        <w:t xml:space="preserve">  </w:t>
      </w:r>
      <w:r>
        <w:rPr>
          <w:rFonts w:ascii="宋体" w:hAnsi="宋体" w:eastAsia="宋体" w:cs="宋体"/>
          <w:spacing w:val="-1"/>
          <w:sz w:val="31"/>
          <w:szCs w:val="31"/>
          <w14:textOutline w14:w="5793" w14:cap="sq" w14:cmpd="sng">
            <w14:solidFill>
              <w14:srgbClr w14:val="000000"/>
            </w14:solidFill>
            <w14:prstDash w14:val="solid"/>
            <w14:bevel/>
          </w14:textOutline>
        </w:rPr>
        <w:t>项目概况</w:t>
      </w:r>
    </w:p>
    <w:p w14:paraId="0AFA1302">
      <w:pPr>
        <w:spacing w:before="287" w:line="226" w:lineRule="auto"/>
        <w:ind w:left="18"/>
        <w:outlineLvl w:val="2"/>
        <w:rPr>
          <w:rFonts w:ascii="宋体" w:hAnsi="宋体" w:eastAsia="宋体" w:cs="宋体"/>
          <w:sz w:val="29"/>
          <w:szCs w:val="29"/>
        </w:rPr>
      </w:pPr>
      <w:r>
        <w:rPr>
          <w:rFonts w:ascii="Times New Roman" w:hAnsi="Times New Roman" w:eastAsia="Times New Roman" w:cs="Times New Roman"/>
          <w:b/>
          <w:bCs/>
          <w:spacing w:val="-2"/>
          <w:sz w:val="29"/>
          <w:szCs w:val="29"/>
        </w:rPr>
        <w:t>3.1.1</w:t>
      </w:r>
      <w:r>
        <w:rPr>
          <w:rFonts w:ascii="Times New Roman" w:hAnsi="Times New Roman" w:eastAsia="Times New Roman" w:cs="Times New Roman"/>
          <w:spacing w:val="-2"/>
          <w:sz w:val="29"/>
          <w:szCs w:val="29"/>
        </w:rPr>
        <w:t xml:space="preserve"> </w:t>
      </w:r>
      <w:r>
        <w:rPr>
          <w:rFonts w:ascii="Times New Roman" w:hAnsi="Times New Roman" w:eastAsia="Times New Roman" w:cs="Times New Roman"/>
          <w:spacing w:val="-1"/>
          <w:sz w:val="29"/>
          <w:szCs w:val="29"/>
        </w:rPr>
        <w:t xml:space="preserve"> </w:t>
      </w:r>
      <w:r>
        <w:rPr>
          <w:rFonts w:ascii="宋体" w:hAnsi="宋体" w:eastAsia="宋体" w:cs="宋体"/>
          <w:spacing w:val="-1"/>
          <w:sz w:val="29"/>
          <w:szCs w:val="29"/>
          <w14:textOutline w14:w="5448" w14:cap="sq" w14:cmpd="sng">
            <w14:solidFill>
              <w14:srgbClr w14:val="000000"/>
            </w14:solidFill>
            <w14:prstDash w14:val="solid"/>
            <w14:bevel/>
          </w14:textOutline>
        </w:rPr>
        <w:t>项目名称、性质</w:t>
      </w:r>
    </w:p>
    <w:p w14:paraId="126A966E">
      <w:pPr>
        <w:spacing w:line="265" w:lineRule="auto"/>
        <w:rPr>
          <w:rFonts w:ascii="Arial"/>
          <w:sz w:val="21"/>
        </w:rPr>
      </w:pPr>
    </w:p>
    <w:p w14:paraId="144BB09F">
      <w:pPr>
        <w:spacing w:before="74" w:line="648" w:lineRule="exact"/>
        <w:ind w:left="478"/>
        <w:rPr>
          <w:rFonts w:ascii="宋体" w:hAnsi="宋体" w:eastAsia="宋体" w:cs="宋体"/>
          <w:sz w:val="23"/>
          <w:szCs w:val="23"/>
        </w:rPr>
      </w:pPr>
      <w:r>
        <w:rPr>
          <w:rFonts w:ascii="宋体" w:hAnsi="宋体" w:eastAsia="宋体" w:cs="宋体"/>
          <w:spacing w:val="-5"/>
          <w:position w:val="32"/>
          <w:sz w:val="23"/>
          <w:szCs w:val="23"/>
        </w:rPr>
        <w:t>项</w:t>
      </w:r>
      <w:r>
        <w:rPr>
          <w:rFonts w:ascii="宋体" w:hAnsi="宋体" w:eastAsia="宋体" w:cs="宋体"/>
          <w:spacing w:val="-3"/>
          <w:position w:val="32"/>
          <w:sz w:val="23"/>
          <w:szCs w:val="23"/>
        </w:rPr>
        <w:t>目名称：本溪弘福塑业有限公司新建项目</w:t>
      </w:r>
    </w:p>
    <w:p w14:paraId="6CB6748B">
      <w:pPr>
        <w:spacing w:line="228" w:lineRule="auto"/>
        <w:ind w:left="477"/>
        <w:rPr>
          <w:rFonts w:ascii="宋体" w:hAnsi="宋体" w:eastAsia="宋体" w:cs="宋体"/>
          <w:sz w:val="23"/>
          <w:szCs w:val="23"/>
        </w:rPr>
      </w:pPr>
      <w:r>
        <w:rPr>
          <w:rFonts w:ascii="宋体" w:hAnsi="宋体" w:eastAsia="宋体" w:cs="宋体"/>
          <w:spacing w:val="-4"/>
          <w:sz w:val="23"/>
          <w:szCs w:val="23"/>
        </w:rPr>
        <w:t>建</w:t>
      </w:r>
      <w:r>
        <w:rPr>
          <w:rFonts w:ascii="宋体" w:hAnsi="宋体" w:eastAsia="宋体" w:cs="宋体"/>
          <w:spacing w:val="-3"/>
          <w:sz w:val="23"/>
          <w:szCs w:val="23"/>
        </w:rPr>
        <w:t>设单位：本溪弘福塑业有限公司</w:t>
      </w:r>
    </w:p>
    <w:p w14:paraId="25318973">
      <w:pPr>
        <w:spacing w:line="285" w:lineRule="auto"/>
        <w:rPr>
          <w:rFonts w:ascii="Arial"/>
          <w:sz w:val="21"/>
        </w:rPr>
      </w:pPr>
    </w:p>
    <w:p w14:paraId="6BCF67E2">
      <w:pPr>
        <w:spacing w:before="76" w:line="401" w:lineRule="auto"/>
        <w:ind w:left="11" w:right="18" w:firstLine="466"/>
        <w:rPr>
          <w:rFonts w:ascii="宋体" w:hAnsi="宋体" w:eastAsia="宋体" w:cs="宋体"/>
          <w:sz w:val="23"/>
          <w:szCs w:val="23"/>
        </w:rPr>
      </w:pPr>
      <w:r>
        <w:rPr>
          <w:rFonts w:ascii="宋体" w:hAnsi="宋体" w:eastAsia="宋体" w:cs="宋体"/>
          <w:spacing w:val="15"/>
          <w:sz w:val="23"/>
          <w:szCs w:val="23"/>
        </w:rPr>
        <w:t>建设地点：位于辽宁省本溪市溪湖区火连寨镇火连寨村，地理位置坐标</w:t>
      </w:r>
      <w:r>
        <w:rPr>
          <w:rFonts w:ascii="宋体" w:hAnsi="宋体" w:eastAsia="宋体" w:cs="宋体"/>
          <w:spacing w:val="13"/>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4"/>
          <w:sz w:val="23"/>
          <w:szCs w:val="23"/>
        </w:rPr>
        <w:t>N</w:t>
      </w:r>
      <w:r>
        <w:rPr>
          <w:rFonts w:ascii="Times New Roman" w:hAnsi="Times New Roman" w:eastAsia="Times New Roman" w:cs="Times New Roman"/>
          <w:spacing w:val="-8"/>
          <w:sz w:val="23"/>
          <w:szCs w:val="23"/>
        </w:rPr>
        <w:t>41°21</w:t>
      </w:r>
      <w:r>
        <w:rPr>
          <w:rFonts w:ascii="Times New Roman" w:hAnsi="Times New Roman" w:eastAsia="Times New Roman" w:cs="Times New Roman"/>
          <w:spacing w:val="-4"/>
          <w:sz w:val="23"/>
          <w:szCs w:val="23"/>
        </w:rPr>
        <w:t xml:space="preserve">′55.05927″E123°42′32.05640″ </w:t>
      </w:r>
      <w:r>
        <w:rPr>
          <w:rFonts w:ascii="宋体" w:hAnsi="宋体" w:eastAsia="宋体" w:cs="宋体"/>
          <w:spacing w:val="-4"/>
          <w:sz w:val="23"/>
          <w:szCs w:val="23"/>
        </w:rPr>
        <w:t xml:space="preserve">。详见图 </w:t>
      </w:r>
      <w:r>
        <w:rPr>
          <w:rFonts w:ascii="Times New Roman" w:hAnsi="Times New Roman" w:eastAsia="Times New Roman" w:cs="Times New Roman"/>
          <w:spacing w:val="-4"/>
          <w:sz w:val="23"/>
          <w:szCs w:val="23"/>
        </w:rPr>
        <w:t>3-1</w:t>
      </w:r>
      <w:r>
        <w:rPr>
          <w:rFonts w:ascii="宋体" w:hAnsi="宋体" w:eastAsia="宋体" w:cs="宋体"/>
          <w:spacing w:val="-4"/>
          <w:sz w:val="23"/>
          <w:szCs w:val="23"/>
        </w:rPr>
        <w:t>。</w:t>
      </w:r>
    </w:p>
    <w:p w14:paraId="6D8D611C">
      <w:pPr>
        <w:spacing w:before="128" w:line="228" w:lineRule="auto"/>
        <w:ind w:left="477"/>
        <w:rPr>
          <w:rFonts w:ascii="宋体" w:hAnsi="宋体" w:eastAsia="宋体" w:cs="宋体"/>
          <w:sz w:val="23"/>
          <w:szCs w:val="23"/>
        </w:rPr>
      </w:pPr>
      <w:r>
        <w:rPr>
          <w:rFonts w:ascii="宋体" w:hAnsi="宋体" w:eastAsia="宋体" w:cs="宋体"/>
          <w:spacing w:val="-4"/>
          <w:sz w:val="23"/>
          <w:szCs w:val="23"/>
        </w:rPr>
        <w:t>建设性</w:t>
      </w:r>
      <w:r>
        <w:rPr>
          <w:rFonts w:ascii="宋体" w:hAnsi="宋体" w:eastAsia="宋体" w:cs="宋体"/>
          <w:spacing w:val="-2"/>
          <w:sz w:val="23"/>
          <w:szCs w:val="23"/>
        </w:rPr>
        <w:t>质：新建</w:t>
      </w:r>
    </w:p>
    <w:p w14:paraId="19BFBBDD">
      <w:pPr>
        <w:spacing w:line="287" w:lineRule="auto"/>
        <w:rPr>
          <w:rFonts w:ascii="Arial"/>
          <w:sz w:val="21"/>
        </w:rPr>
      </w:pPr>
    </w:p>
    <w:p w14:paraId="12B87A7E">
      <w:pPr>
        <w:spacing w:before="75" w:line="645" w:lineRule="exact"/>
        <w:ind w:left="478"/>
        <w:rPr>
          <w:rFonts w:ascii="宋体" w:hAnsi="宋体" w:eastAsia="宋体" w:cs="宋体"/>
          <w:sz w:val="23"/>
          <w:szCs w:val="23"/>
        </w:rPr>
      </w:pPr>
      <w:r>
        <w:rPr>
          <w:rFonts w:ascii="宋体" w:hAnsi="宋体" w:eastAsia="宋体" w:cs="宋体"/>
          <w:spacing w:val="-4"/>
          <w:position w:val="31"/>
          <w:sz w:val="23"/>
          <w:szCs w:val="23"/>
        </w:rPr>
        <w:t>行业类别：</w:t>
      </w:r>
      <w:r>
        <w:rPr>
          <w:rFonts w:ascii="Times New Roman" w:hAnsi="Times New Roman" w:eastAsia="Times New Roman" w:cs="Times New Roman"/>
          <w:spacing w:val="-2"/>
          <w:position w:val="31"/>
          <w:sz w:val="23"/>
          <w:szCs w:val="23"/>
        </w:rPr>
        <w:t>C</w:t>
      </w:r>
      <w:r>
        <w:rPr>
          <w:rFonts w:ascii="Times New Roman" w:hAnsi="Times New Roman" w:eastAsia="Times New Roman" w:cs="Times New Roman"/>
          <w:spacing w:val="-4"/>
          <w:position w:val="31"/>
          <w:sz w:val="23"/>
          <w:szCs w:val="23"/>
        </w:rPr>
        <w:t>2</w:t>
      </w:r>
      <w:r>
        <w:rPr>
          <w:rFonts w:ascii="Times New Roman" w:hAnsi="Times New Roman" w:eastAsia="Times New Roman" w:cs="Times New Roman"/>
          <w:spacing w:val="-3"/>
          <w:position w:val="31"/>
          <w:sz w:val="23"/>
          <w:szCs w:val="23"/>
        </w:rPr>
        <w:t>9</w:t>
      </w:r>
      <w:r>
        <w:rPr>
          <w:rFonts w:ascii="Times New Roman" w:hAnsi="Times New Roman" w:eastAsia="Times New Roman" w:cs="Times New Roman"/>
          <w:spacing w:val="-2"/>
          <w:position w:val="31"/>
          <w:sz w:val="23"/>
          <w:szCs w:val="23"/>
        </w:rPr>
        <w:t xml:space="preserve">29  </w:t>
      </w:r>
      <w:r>
        <w:rPr>
          <w:rFonts w:ascii="宋体" w:hAnsi="宋体" w:eastAsia="宋体" w:cs="宋体"/>
          <w:spacing w:val="-2"/>
          <w:position w:val="31"/>
          <w:sz w:val="23"/>
          <w:szCs w:val="23"/>
        </w:rPr>
        <w:t>塑料零件及其他塑料制品制造</w:t>
      </w:r>
    </w:p>
    <w:p w14:paraId="32439640">
      <w:pPr>
        <w:spacing w:line="228" w:lineRule="auto"/>
        <w:ind w:left="478"/>
        <w:rPr>
          <w:rFonts w:ascii="宋体" w:hAnsi="宋体" w:eastAsia="宋体" w:cs="宋体"/>
          <w:sz w:val="23"/>
          <w:szCs w:val="23"/>
        </w:rPr>
      </w:pPr>
      <w:r>
        <w:rPr>
          <w:rFonts w:ascii="宋体" w:hAnsi="宋体" w:eastAsia="宋体" w:cs="宋体"/>
          <w:spacing w:val="-10"/>
          <w:sz w:val="23"/>
          <w:szCs w:val="23"/>
        </w:rPr>
        <w:t>项目</w:t>
      </w:r>
      <w:r>
        <w:rPr>
          <w:rFonts w:ascii="宋体" w:hAnsi="宋体" w:eastAsia="宋体" w:cs="宋体"/>
          <w:spacing w:val="-8"/>
          <w:sz w:val="23"/>
          <w:szCs w:val="23"/>
        </w:rPr>
        <w:t>投</w:t>
      </w:r>
      <w:r>
        <w:rPr>
          <w:rFonts w:ascii="宋体" w:hAnsi="宋体" w:eastAsia="宋体" w:cs="宋体"/>
          <w:spacing w:val="-5"/>
          <w:sz w:val="23"/>
          <w:szCs w:val="23"/>
        </w:rPr>
        <w:t xml:space="preserve">资：总投资 </w:t>
      </w:r>
      <w:r>
        <w:rPr>
          <w:rFonts w:ascii="Times New Roman" w:hAnsi="Times New Roman" w:eastAsia="Times New Roman" w:cs="Times New Roman"/>
          <w:spacing w:val="-5"/>
          <w:sz w:val="23"/>
          <w:szCs w:val="23"/>
        </w:rPr>
        <w:t xml:space="preserve">4300 </w:t>
      </w:r>
      <w:r>
        <w:rPr>
          <w:rFonts w:ascii="宋体" w:hAnsi="宋体" w:eastAsia="宋体" w:cs="宋体"/>
          <w:spacing w:val="-5"/>
          <w:sz w:val="23"/>
          <w:szCs w:val="23"/>
        </w:rPr>
        <w:t>万元</w:t>
      </w:r>
    </w:p>
    <w:p w14:paraId="6315B34F">
      <w:pPr>
        <w:spacing w:line="287" w:lineRule="auto"/>
        <w:rPr>
          <w:rFonts w:ascii="Arial"/>
          <w:sz w:val="21"/>
        </w:rPr>
      </w:pPr>
    </w:p>
    <w:p w14:paraId="796F0E42">
      <w:pPr>
        <w:spacing w:before="75" w:line="228" w:lineRule="auto"/>
        <w:ind w:left="514"/>
        <w:rPr>
          <w:rFonts w:ascii="Times New Roman" w:hAnsi="Times New Roman" w:eastAsia="Times New Roman" w:cs="Times New Roman"/>
          <w:sz w:val="15"/>
          <w:szCs w:val="15"/>
        </w:rPr>
      </w:pPr>
      <w:r>
        <w:rPr>
          <w:rFonts w:ascii="宋体" w:hAnsi="宋体" w:eastAsia="宋体" w:cs="宋体"/>
          <w:spacing w:val="-10"/>
          <w:sz w:val="23"/>
          <w:szCs w:val="23"/>
        </w:rPr>
        <w:t>占</w:t>
      </w:r>
      <w:r>
        <w:rPr>
          <w:rFonts w:ascii="宋体" w:hAnsi="宋体" w:eastAsia="宋体" w:cs="宋体"/>
          <w:spacing w:val="-8"/>
          <w:sz w:val="23"/>
          <w:szCs w:val="23"/>
        </w:rPr>
        <w:t>地</w:t>
      </w:r>
      <w:r>
        <w:rPr>
          <w:rFonts w:ascii="宋体" w:hAnsi="宋体" w:eastAsia="宋体" w:cs="宋体"/>
          <w:spacing w:val="-5"/>
          <w:sz w:val="23"/>
          <w:szCs w:val="23"/>
        </w:rPr>
        <w:t>面积：</w:t>
      </w:r>
      <w:r>
        <w:rPr>
          <w:rFonts w:ascii="Times New Roman" w:hAnsi="Times New Roman" w:eastAsia="Times New Roman" w:cs="Times New Roman"/>
          <w:spacing w:val="-5"/>
          <w:sz w:val="23"/>
          <w:szCs w:val="23"/>
        </w:rPr>
        <w:t>7000m</w:t>
      </w:r>
      <w:r>
        <w:rPr>
          <w:rFonts w:ascii="Times New Roman" w:hAnsi="Times New Roman" w:eastAsia="Times New Roman" w:cs="Times New Roman"/>
          <w:spacing w:val="-5"/>
          <w:position w:val="7"/>
          <w:sz w:val="15"/>
          <w:szCs w:val="15"/>
        </w:rPr>
        <w:t>2</w:t>
      </w:r>
    </w:p>
    <w:p w14:paraId="0E324141">
      <w:pPr>
        <w:spacing w:line="284" w:lineRule="auto"/>
        <w:rPr>
          <w:rFonts w:ascii="Arial"/>
          <w:sz w:val="21"/>
        </w:rPr>
      </w:pPr>
    </w:p>
    <w:p w14:paraId="327D165D">
      <w:pPr>
        <w:spacing w:before="76" w:line="648" w:lineRule="exact"/>
        <w:ind w:left="477"/>
        <w:rPr>
          <w:rFonts w:ascii="宋体" w:hAnsi="宋体" w:eastAsia="宋体" w:cs="宋体"/>
          <w:sz w:val="23"/>
          <w:szCs w:val="23"/>
        </w:rPr>
      </w:pPr>
      <w:r>
        <w:rPr>
          <w:rFonts w:ascii="宋体" w:hAnsi="宋体" w:eastAsia="宋体" w:cs="宋体"/>
          <w:spacing w:val="-8"/>
          <w:position w:val="32"/>
          <w:sz w:val="23"/>
          <w:szCs w:val="23"/>
        </w:rPr>
        <w:t>建设规</w:t>
      </w:r>
      <w:r>
        <w:rPr>
          <w:rFonts w:ascii="宋体" w:hAnsi="宋体" w:eastAsia="宋体" w:cs="宋体"/>
          <w:spacing w:val="-5"/>
          <w:position w:val="32"/>
          <w:sz w:val="23"/>
          <w:szCs w:val="23"/>
        </w:rPr>
        <w:t>模</w:t>
      </w:r>
      <w:r>
        <w:rPr>
          <w:rFonts w:ascii="宋体" w:hAnsi="宋体" w:eastAsia="宋体" w:cs="宋体"/>
          <w:spacing w:val="-4"/>
          <w:position w:val="32"/>
          <w:sz w:val="23"/>
          <w:szCs w:val="23"/>
        </w:rPr>
        <w:t xml:space="preserve">：年产废旧塑料再生颗粒 </w:t>
      </w:r>
      <w:r>
        <w:rPr>
          <w:rFonts w:ascii="Times New Roman" w:hAnsi="Times New Roman" w:eastAsia="Times New Roman" w:cs="Times New Roman"/>
          <w:spacing w:val="-4"/>
          <w:position w:val="32"/>
          <w:sz w:val="23"/>
          <w:szCs w:val="23"/>
        </w:rPr>
        <w:t xml:space="preserve">50000 </w:t>
      </w:r>
      <w:r>
        <w:rPr>
          <w:rFonts w:ascii="宋体" w:hAnsi="宋体" w:eastAsia="宋体" w:cs="宋体"/>
          <w:spacing w:val="-4"/>
          <w:position w:val="32"/>
          <w:sz w:val="23"/>
          <w:szCs w:val="23"/>
        </w:rPr>
        <w:t>吨</w:t>
      </w:r>
    </w:p>
    <w:p w14:paraId="6A54ED79">
      <w:pPr>
        <w:spacing w:before="1" w:line="227" w:lineRule="auto"/>
        <w:ind w:left="480"/>
        <w:rPr>
          <w:rFonts w:ascii="宋体" w:hAnsi="宋体" w:eastAsia="宋体" w:cs="宋体"/>
          <w:sz w:val="23"/>
          <w:szCs w:val="23"/>
        </w:rPr>
      </w:pPr>
      <w:r>
        <w:rPr>
          <w:rFonts w:ascii="宋体" w:hAnsi="宋体" w:eastAsia="宋体" w:cs="宋体"/>
          <w:spacing w:val="-2"/>
          <w:sz w:val="23"/>
          <w:szCs w:val="23"/>
        </w:rPr>
        <w:t xml:space="preserve">劳动定员：劳动定员 </w:t>
      </w:r>
      <w:r>
        <w:rPr>
          <w:rFonts w:ascii="Times New Roman" w:hAnsi="Times New Roman" w:eastAsia="Times New Roman" w:cs="Times New Roman"/>
          <w:spacing w:val="-1"/>
          <w:sz w:val="23"/>
          <w:szCs w:val="23"/>
        </w:rPr>
        <w:t xml:space="preserve">80 </w:t>
      </w:r>
      <w:r>
        <w:rPr>
          <w:rFonts w:ascii="宋体" w:hAnsi="宋体" w:eastAsia="宋体" w:cs="宋体"/>
          <w:spacing w:val="-1"/>
          <w:sz w:val="23"/>
          <w:szCs w:val="23"/>
        </w:rPr>
        <w:t>人</w:t>
      </w:r>
    </w:p>
    <w:p w14:paraId="17EA2F38">
      <w:pPr>
        <w:spacing w:line="288" w:lineRule="auto"/>
        <w:rPr>
          <w:rFonts w:ascii="Arial"/>
          <w:sz w:val="21"/>
        </w:rPr>
      </w:pPr>
    </w:p>
    <w:p w14:paraId="1D72B494">
      <w:pPr>
        <w:spacing w:before="75" w:line="228" w:lineRule="auto"/>
        <w:ind w:left="477"/>
        <w:rPr>
          <w:rFonts w:ascii="宋体" w:hAnsi="宋体" w:eastAsia="宋体" w:cs="宋体"/>
          <w:sz w:val="23"/>
          <w:szCs w:val="23"/>
        </w:rPr>
      </w:pPr>
      <w:r>
        <w:rPr>
          <w:rFonts w:ascii="宋体" w:hAnsi="宋体" w:eastAsia="宋体" w:cs="宋体"/>
          <w:spacing w:val="4"/>
          <w:sz w:val="23"/>
          <w:szCs w:val="23"/>
        </w:rPr>
        <w:t>工作</w:t>
      </w:r>
      <w:r>
        <w:rPr>
          <w:rFonts w:ascii="宋体" w:hAnsi="宋体" w:eastAsia="宋体" w:cs="宋体"/>
          <w:spacing w:val="3"/>
          <w:sz w:val="23"/>
          <w:szCs w:val="23"/>
        </w:rPr>
        <w:t>制</w:t>
      </w:r>
      <w:r>
        <w:rPr>
          <w:rFonts w:ascii="宋体" w:hAnsi="宋体" w:eastAsia="宋体" w:cs="宋体"/>
          <w:spacing w:val="2"/>
          <w:sz w:val="23"/>
          <w:szCs w:val="23"/>
        </w:rPr>
        <w:t xml:space="preserve">度：全年工作天数为 </w:t>
      </w:r>
      <w:r>
        <w:rPr>
          <w:rFonts w:ascii="Times New Roman" w:hAnsi="Times New Roman" w:eastAsia="Times New Roman" w:cs="Times New Roman"/>
          <w:spacing w:val="2"/>
          <w:sz w:val="23"/>
          <w:szCs w:val="23"/>
        </w:rPr>
        <w:t xml:space="preserve">300 </w:t>
      </w:r>
      <w:r>
        <w:rPr>
          <w:rFonts w:ascii="宋体" w:hAnsi="宋体" w:eastAsia="宋体" w:cs="宋体"/>
          <w:spacing w:val="2"/>
          <w:sz w:val="23"/>
          <w:szCs w:val="23"/>
        </w:rPr>
        <w:t xml:space="preserve">天，实行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 xml:space="preserve">班制，每班 </w:t>
      </w:r>
      <w:r>
        <w:rPr>
          <w:rFonts w:ascii="Times New Roman" w:hAnsi="Times New Roman" w:eastAsia="Times New Roman" w:cs="Times New Roman"/>
          <w:spacing w:val="2"/>
          <w:sz w:val="23"/>
          <w:szCs w:val="23"/>
        </w:rPr>
        <w:t xml:space="preserve">12 </w:t>
      </w:r>
      <w:r>
        <w:rPr>
          <w:rFonts w:ascii="宋体" w:hAnsi="宋体" w:eastAsia="宋体" w:cs="宋体"/>
          <w:spacing w:val="2"/>
          <w:sz w:val="23"/>
          <w:szCs w:val="23"/>
        </w:rPr>
        <w:t>小时</w:t>
      </w:r>
    </w:p>
    <w:p w14:paraId="190630C5">
      <w:pPr>
        <w:spacing w:line="285" w:lineRule="auto"/>
        <w:rPr>
          <w:rFonts w:ascii="Arial"/>
          <w:sz w:val="21"/>
        </w:rPr>
      </w:pPr>
    </w:p>
    <w:p w14:paraId="19FF6046">
      <w:pPr>
        <w:spacing w:before="75" w:line="227" w:lineRule="auto"/>
        <w:ind w:left="476"/>
        <w:rPr>
          <w:rFonts w:ascii="宋体" w:hAnsi="宋体" w:eastAsia="宋体" w:cs="宋体"/>
          <w:sz w:val="23"/>
          <w:szCs w:val="23"/>
        </w:rPr>
      </w:pPr>
      <w:r>
        <w:rPr>
          <w:rFonts w:ascii="宋体" w:hAnsi="宋体" w:eastAsia="宋体" w:cs="宋体"/>
          <w:spacing w:val="-9"/>
          <w:sz w:val="23"/>
          <w:szCs w:val="23"/>
        </w:rPr>
        <w:t>预</w:t>
      </w:r>
      <w:r>
        <w:rPr>
          <w:rFonts w:ascii="宋体" w:hAnsi="宋体" w:eastAsia="宋体" w:cs="宋体"/>
          <w:spacing w:val="-5"/>
          <w:sz w:val="23"/>
          <w:szCs w:val="23"/>
        </w:rPr>
        <w:t>投产日期：</w:t>
      </w:r>
      <w:r>
        <w:rPr>
          <w:rFonts w:ascii="Times New Roman" w:hAnsi="Times New Roman" w:eastAsia="Times New Roman" w:cs="Times New Roman"/>
          <w:spacing w:val="-5"/>
          <w:sz w:val="23"/>
          <w:szCs w:val="23"/>
        </w:rPr>
        <w:t xml:space="preserve">2020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月</w:t>
      </w:r>
    </w:p>
    <w:p w14:paraId="19570D3C">
      <w:pPr>
        <w:spacing w:before="313" w:line="226" w:lineRule="auto"/>
        <w:ind w:left="18"/>
        <w:outlineLvl w:val="2"/>
        <w:rPr>
          <w:rFonts w:ascii="宋体" w:hAnsi="宋体" w:eastAsia="宋体" w:cs="宋体"/>
          <w:sz w:val="29"/>
          <w:szCs w:val="29"/>
        </w:rPr>
      </w:pPr>
      <w:r>
        <w:rPr>
          <w:rFonts w:ascii="Times New Roman" w:hAnsi="Times New Roman" w:eastAsia="Times New Roman" w:cs="Times New Roman"/>
          <w:b/>
          <w:bCs/>
          <w:spacing w:val="-2"/>
          <w:sz w:val="29"/>
          <w:szCs w:val="29"/>
        </w:rPr>
        <w:t>3.1.2</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建</w:t>
      </w:r>
      <w:r>
        <w:rPr>
          <w:rFonts w:ascii="宋体" w:hAnsi="宋体" w:eastAsia="宋体" w:cs="宋体"/>
          <w:spacing w:val="-1"/>
          <w:sz w:val="29"/>
          <w:szCs w:val="29"/>
          <w14:textOutline w14:w="5448" w14:cap="sq" w14:cmpd="sng">
            <w14:solidFill>
              <w14:srgbClr w14:val="000000"/>
            </w14:solidFill>
            <w14:prstDash w14:val="solid"/>
            <w14:bevel/>
          </w14:textOutline>
        </w:rPr>
        <w:t>设内容及项目组成</w:t>
      </w:r>
    </w:p>
    <w:p w14:paraId="233DC084">
      <w:pPr>
        <w:spacing w:line="265" w:lineRule="auto"/>
        <w:rPr>
          <w:rFonts w:ascii="Arial"/>
          <w:sz w:val="21"/>
        </w:rPr>
      </w:pPr>
    </w:p>
    <w:p w14:paraId="044C7930">
      <w:pPr>
        <w:spacing w:before="75" w:line="227" w:lineRule="auto"/>
        <w:ind w:left="482"/>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11"/>
          <w:sz w:val="23"/>
          <w:szCs w:val="23"/>
        </w:rPr>
        <w:t>溪</w:t>
      </w:r>
      <w:r>
        <w:rPr>
          <w:rFonts w:ascii="宋体" w:hAnsi="宋体" w:eastAsia="宋体" w:cs="宋体"/>
          <w:spacing w:val="7"/>
          <w:sz w:val="23"/>
          <w:szCs w:val="23"/>
        </w:rPr>
        <w:t>弘福塑业有限公司新建项目拟建于辽宁省本溪市溪湖区火连寨镇火连寨</w:t>
      </w:r>
    </w:p>
    <w:p w14:paraId="226B3579">
      <w:pPr>
        <w:spacing w:before="199" w:line="392" w:lineRule="auto"/>
        <w:ind w:left="23" w:right="13"/>
        <w:rPr>
          <w:rFonts w:ascii="宋体" w:hAnsi="宋体" w:eastAsia="宋体" w:cs="宋体"/>
          <w:sz w:val="23"/>
          <w:szCs w:val="23"/>
        </w:rPr>
      </w:pPr>
      <w:r>
        <w:rPr>
          <w:rFonts w:ascii="宋体" w:hAnsi="宋体" w:eastAsia="宋体" w:cs="宋体"/>
          <w:spacing w:val="-2"/>
          <w:sz w:val="23"/>
          <w:szCs w:val="23"/>
        </w:rPr>
        <w:t>村，地理位置坐标为</w:t>
      </w:r>
      <w:r>
        <w:rPr>
          <w:rFonts w:ascii="Times New Roman" w:hAnsi="Times New Roman" w:eastAsia="Times New Roman" w:cs="Times New Roman"/>
          <w:spacing w:val="-1"/>
          <w:sz w:val="23"/>
          <w:szCs w:val="23"/>
        </w:rPr>
        <w:t>N</w:t>
      </w:r>
      <w:r>
        <w:rPr>
          <w:rFonts w:ascii="Times New Roman" w:hAnsi="Times New Roman" w:eastAsia="Times New Roman" w:cs="Times New Roman"/>
          <w:spacing w:val="-2"/>
          <w:sz w:val="23"/>
          <w:szCs w:val="23"/>
        </w:rPr>
        <w:t>41°21′55.0</w:t>
      </w:r>
      <w:r>
        <w:rPr>
          <w:rFonts w:ascii="Times New Roman" w:hAnsi="Times New Roman" w:eastAsia="Times New Roman" w:cs="Times New Roman"/>
          <w:spacing w:val="-1"/>
          <w:sz w:val="23"/>
          <w:szCs w:val="23"/>
        </w:rPr>
        <w:t xml:space="preserve">5927″E123°42′32.05640″ </w:t>
      </w:r>
      <w:r>
        <w:rPr>
          <w:rFonts w:ascii="宋体" w:hAnsi="宋体" w:eastAsia="宋体" w:cs="宋体"/>
          <w:spacing w:val="-1"/>
          <w:sz w:val="23"/>
          <w:szCs w:val="23"/>
        </w:rPr>
        <w:t xml:space="preserve">，总投资 </w:t>
      </w:r>
      <w:r>
        <w:rPr>
          <w:rFonts w:ascii="Times New Roman" w:hAnsi="Times New Roman" w:eastAsia="Times New Roman" w:cs="Times New Roman"/>
          <w:spacing w:val="-1"/>
          <w:sz w:val="23"/>
          <w:szCs w:val="23"/>
        </w:rPr>
        <w:t xml:space="preserve">4300 </w:t>
      </w:r>
      <w:r>
        <w:rPr>
          <w:rFonts w:ascii="宋体" w:hAnsi="宋体" w:eastAsia="宋体" w:cs="宋体"/>
          <w:spacing w:val="-1"/>
          <w:sz w:val="23"/>
          <w:szCs w:val="23"/>
        </w:rPr>
        <w:t>万元。该项</w:t>
      </w:r>
      <w:r>
        <w:rPr>
          <w:rFonts w:ascii="宋体" w:hAnsi="宋体" w:eastAsia="宋体" w:cs="宋体"/>
          <w:sz w:val="23"/>
          <w:szCs w:val="23"/>
        </w:rPr>
        <w:t xml:space="preserve"> </w:t>
      </w:r>
      <w:r>
        <w:rPr>
          <w:rFonts w:ascii="宋体" w:hAnsi="宋体" w:eastAsia="宋体" w:cs="宋体"/>
          <w:spacing w:val="-5"/>
          <w:sz w:val="23"/>
          <w:szCs w:val="23"/>
        </w:rPr>
        <w:t>目</w:t>
      </w:r>
      <w:r>
        <w:rPr>
          <w:rFonts w:ascii="宋体" w:hAnsi="宋体" w:eastAsia="宋体" w:cs="宋体"/>
          <w:spacing w:val="-4"/>
          <w:sz w:val="23"/>
          <w:szCs w:val="23"/>
        </w:rPr>
        <w:t xml:space="preserve">地块原为辽宁公路水泥厂劳动服务公司，该地块从 </w:t>
      </w:r>
      <w:r>
        <w:rPr>
          <w:rFonts w:ascii="Times New Roman" w:hAnsi="Times New Roman" w:eastAsia="Times New Roman" w:cs="Times New Roman"/>
          <w:spacing w:val="-4"/>
          <w:sz w:val="23"/>
          <w:szCs w:val="23"/>
        </w:rPr>
        <w:t xml:space="preserve">2000 </w:t>
      </w:r>
      <w:r>
        <w:rPr>
          <w:rFonts w:ascii="宋体" w:hAnsi="宋体" w:eastAsia="宋体" w:cs="宋体"/>
          <w:spacing w:val="-4"/>
          <w:sz w:val="23"/>
          <w:szCs w:val="23"/>
        </w:rPr>
        <w:t>年闲置至今，总占地面积</w:t>
      </w:r>
      <w:r>
        <w:rPr>
          <w:rFonts w:ascii="宋体" w:hAnsi="宋体" w:eastAsia="宋体" w:cs="宋体"/>
          <w:sz w:val="23"/>
          <w:szCs w:val="23"/>
        </w:rPr>
        <w:t xml:space="preserve"> </w:t>
      </w:r>
      <w:r>
        <w:rPr>
          <w:rFonts w:ascii="宋体" w:hAnsi="宋体" w:eastAsia="宋体" w:cs="宋体"/>
          <w:spacing w:val="-4"/>
          <w:sz w:val="23"/>
          <w:szCs w:val="23"/>
        </w:rPr>
        <w:t xml:space="preserve">为 </w:t>
      </w:r>
      <w:r>
        <w:rPr>
          <w:rFonts w:ascii="Times New Roman" w:hAnsi="Times New Roman" w:eastAsia="Times New Roman" w:cs="Times New Roman"/>
          <w:spacing w:val="-4"/>
          <w:sz w:val="23"/>
          <w:szCs w:val="23"/>
        </w:rPr>
        <w:t>7000</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3"/>
          <w:szCs w:val="23"/>
        </w:rPr>
        <w:t>。该项目利用厂区内原有闲置辅助用房作为办公用房及成品库，并将原有</w:t>
      </w:r>
      <w:r>
        <w:rPr>
          <w:rFonts w:ascii="宋体" w:hAnsi="宋体" w:eastAsia="宋体" w:cs="宋体"/>
          <w:sz w:val="23"/>
          <w:szCs w:val="23"/>
        </w:rPr>
        <w:t xml:space="preserve"> </w:t>
      </w:r>
      <w:r>
        <w:rPr>
          <w:rFonts w:ascii="宋体" w:hAnsi="宋体" w:eastAsia="宋体" w:cs="宋体"/>
          <w:spacing w:val="-4"/>
          <w:sz w:val="23"/>
          <w:szCs w:val="23"/>
        </w:rPr>
        <w:t xml:space="preserve">生产厂房扩大作为该项目生产用房，总建筑面积为 </w:t>
      </w:r>
      <w:r>
        <w:rPr>
          <w:rFonts w:ascii="Times New Roman" w:hAnsi="Times New Roman" w:eastAsia="Times New Roman" w:cs="Times New Roman"/>
          <w:spacing w:val="-4"/>
          <w:sz w:val="23"/>
          <w:szCs w:val="23"/>
        </w:rPr>
        <w:t>1600</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3"/>
          <w:szCs w:val="23"/>
        </w:rPr>
        <w:t>，主要建筑物为：生产厂</w:t>
      </w:r>
      <w:r>
        <w:rPr>
          <w:rFonts w:ascii="宋体" w:hAnsi="宋体" w:eastAsia="宋体" w:cs="宋体"/>
          <w:sz w:val="23"/>
          <w:szCs w:val="23"/>
        </w:rPr>
        <w:t xml:space="preserve"> </w:t>
      </w:r>
      <w:r>
        <w:rPr>
          <w:rFonts w:ascii="宋体" w:hAnsi="宋体" w:eastAsia="宋体" w:cs="宋体"/>
          <w:spacing w:val="-18"/>
          <w:sz w:val="23"/>
          <w:szCs w:val="23"/>
        </w:rPr>
        <w:t xml:space="preserve">房 </w:t>
      </w:r>
      <w:r>
        <w:rPr>
          <w:rFonts w:ascii="Times New Roman" w:hAnsi="Times New Roman" w:eastAsia="Times New Roman" w:cs="Times New Roman"/>
          <w:spacing w:val="-15"/>
          <w:sz w:val="23"/>
          <w:szCs w:val="23"/>
        </w:rPr>
        <w:t>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栋，建筑面积为 </w:t>
      </w:r>
      <w:r>
        <w:rPr>
          <w:rFonts w:ascii="Times New Roman" w:hAnsi="Times New Roman" w:eastAsia="Times New Roman" w:cs="Times New Roman"/>
          <w:spacing w:val="-9"/>
          <w:sz w:val="23"/>
          <w:szCs w:val="23"/>
        </w:rPr>
        <w:t>600m</w:t>
      </w:r>
      <w:r>
        <w:rPr>
          <w:rFonts w:ascii="Times New Roman" w:hAnsi="Times New Roman" w:eastAsia="Times New Roman" w:cs="Times New Roman"/>
          <w:spacing w:val="-9"/>
          <w:position w:val="7"/>
          <w:sz w:val="15"/>
          <w:szCs w:val="15"/>
        </w:rPr>
        <w:t>2</w:t>
      </w:r>
      <w:r>
        <w:rPr>
          <w:rFonts w:ascii="宋体" w:hAnsi="宋体" w:eastAsia="宋体" w:cs="宋体"/>
          <w:spacing w:val="-9"/>
          <w:sz w:val="23"/>
          <w:szCs w:val="23"/>
        </w:rPr>
        <w:t xml:space="preserve">；成品库 </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 xml:space="preserve">栋，建筑面积为 </w:t>
      </w:r>
      <w:r>
        <w:rPr>
          <w:rFonts w:ascii="Times New Roman" w:hAnsi="Times New Roman" w:eastAsia="Times New Roman" w:cs="Times New Roman"/>
          <w:spacing w:val="-9"/>
          <w:sz w:val="23"/>
          <w:szCs w:val="23"/>
        </w:rPr>
        <w:t>200m</w:t>
      </w:r>
      <w:r>
        <w:rPr>
          <w:rFonts w:ascii="Times New Roman" w:hAnsi="Times New Roman" w:eastAsia="Times New Roman" w:cs="Times New Roman"/>
          <w:spacing w:val="-9"/>
          <w:position w:val="7"/>
          <w:sz w:val="15"/>
          <w:szCs w:val="15"/>
        </w:rPr>
        <w:t xml:space="preserve">2 </w:t>
      </w:r>
      <w:r>
        <w:rPr>
          <w:rFonts w:ascii="宋体" w:hAnsi="宋体" w:eastAsia="宋体" w:cs="宋体"/>
          <w:spacing w:val="-9"/>
          <w:sz w:val="23"/>
          <w:szCs w:val="23"/>
        </w:rPr>
        <w:t xml:space="preserve">；原料库 </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栋，建筑面</w:t>
      </w:r>
      <w:r>
        <w:rPr>
          <w:rFonts w:ascii="宋体" w:hAnsi="宋体" w:eastAsia="宋体" w:cs="宋体"/>
          <w:sz w:val="23"/>
          <w:szCs w:val="23"/>
        </w:rPr>
        <w:t xml:space="preserve"> </w:t>
      </w:r>
      <w:r>
        <w:rPr>
          <w:rFonts w:ascii="宋体" w:hAnsi="宋体" w:eastAsia="宋体" w:cs="宋体"/>
          <w:spacing w:val="-12"/>
          <w:sz w:val="23"/>
          <w:szCs w:val="23"/>
        </w:rPr>
        <w:t xml:space="preserve">积为 </w:t>
      </w:r>
      <w:r>
        <w:rPr>
          <w:rFonts w:ascii="Times New Roman" w:hAnsi="Times New Roman" w:eastAsia="Times New Roman" w:cs="Times New Roman"/>
          <w:spacing w:val="-12"/>
          <w:sz w:val="23"/>
          <w:szCs w:val="23"/>
        </w:rPr>
        <w:t>200</w:t>
      </w:r>
      <w:r>
        <w:rPr>
          <w:rFonts w:ascii="Times New Roman" w:hAnsi="Times New Roman" w:eastAsia="Times New Roman" w:cs="Times New Roman"/>
          <w:spacing w:val="-6"/>
          <w:sz w:val="23"/>
          <w:szCs w:val="23"/>
        </w:rPr>
        <w:t>m</w:t>
      </w:r>
      <w:r>
        <w:rPr>
          <w:rFonts w:ascii="Times New Roman" w:hAnsi="Times New Roman" w:eastAsia="Times New Roman" w:cs="Times New Roman"/>
          <w:spacing w:val="-9"/>
          <w:position w:val="7"/>
          <w:sz w:val="15"/>
          <w:szCs w:val="15"/>
        </w:rPr>
        <w:t>2</w:t>
      </w:r>
      <w:r>
        <w:rPr>
          <w:rFonts w:ascii="Times New Roman" w:hAnsi="Times New Roman" w:eastAsia="Times New Roman" w:cs="Times New Roman"/>
          <w:spacing w:val="-6"/>
          <w:position w:val="7"/>
          <w:sz w:val="15"/>
          <w:szCs w:val="15"/>
        </w:rPr>
        <w:t xml:space="preserve"> </w:t>
      </w:r>
      <w:r>
        <w:rPr>
          <w:rFonts w:ascii="宋体" w:hAnsi="宋体" w:eastAsia="宋体" w:cs="宋体"/>
          <w:spacing w:val="-6"/>
          <w:sz w:val="23"/>
          <w:szCs w:val="23"/>
        </w:rPr>
        <w:t xml:space="preserve">；办公室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栋，建筑面积为 </w:t>
      </w:r>
      <w:r>
        <w:rPr>
          <w:rFonts w:ascii="Times New Roman" w:hAnsi="Times New Roman" w:eastAsia="Times New Roman" w:cs="Times New Roman"/>
          <w:spacing w:val="-6"/>
          <w:sz w:val="23"/>
          <w:szCs w:val="23"/>
        </w:rPr>
        <w:t>245m</w:t>
      </w:r>
      <w:r>
        <w:rPr>
          <w:rFonts w:ascii="Times New Roman" w:hAnsi="Times New Roman" w:eastAsia="Times New Roman" w:cs="Times New Roman"/>
          <w:spacing w:val="-6"/>
          <w:position w:val="7"/>
          <w:sz w:val="15"/>
          <w:szCs w:val="15"/>
        </w:rPr>
        <w:t xml:space="preserve">2 </w:t>
      </w:r>
      <w:r>
        <w:rPr>
          <w:rFonts w:ascii="宋体" w:hAnsi="宋体" w:eastAsia="宋体" w:cs="宋体"/>
          <w:spacing w:val="-6"/>
          <w:sz w:val="23"/>
          <w:szCs w:val="23"/>
        </w:rPr>
        <w:t xml:space="preserve">；员工休息室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 xml:space="preserve">栋，其中 </w:t>
      </w:r>
      <w:r>
        <w:rPr>
          <w:rFonts w:ascii="Times New Roman" w:hAnsi="Times New Roman" w:eastAsia="Times New Roman" w:cs="Times New Roman"/>
          <w:spacing w:val="-6"/>
          <w:sz w:val="23"/>
          <w:szCs w:val="23"/>
        </w:rPr>
        <w:t>1#</w:t>
      </w:r>
      <w:r>
        <w:rPr>
          <w:rFonts w:ascii="宋体" w:hAnsi="宋体" w:eastAsia="宋体" w:cs="宋体"/>
          <w:spacing w:val="-6"/>
          <w:sz w:val="23"/>
          <w:szCs w:val="23"/>
        </w:rPr>
        <w:t>员工休息</w:t>
      </w:r>
    </w:p>
    <w:p w14:paraId="0D82EF1F">
      <w:pPr>
        <w:sectPr>
          <w:headerReference r:id="rId86" w:type="default"/>
          <w:footerReference r:id="rId87" w:type="default"/>
          <w:pgSz w:w="11906" w:h="16839"/>
          <w:pgMar w:top="1132" w:right="1785" w:bottom="1156" w:left="1785" w:header="878" w:footer="996" w:gutter="0"/>
          <w:cols w:space="720" w:num="1"/>
        </w:sectPr>
      </w:pPr>
    </w:p>
    <w:p w14:paraId="44179CA4">
      <w:pPr>
        <w:spacing w:line="363" w:lineRule="auto"/>
        <w:rPr>
          <w:rFonts w:ascii="Arial"/>
          <w:sz w:val="21"/>
        </w:rPr>
      </w:pPr>
      <w:r>
        <w:pict>
          <v:shape id="_x0000_s1134" o:spid="_x0000_s1134" style="position:absolute;left:0pt;margin-left:90pt;margin-top:57.35pt;height:0.75pt;width:415.3pt;mso-position-horizontal-relative:page;mso-position-vertical-relative:page;z-index:251767808;mso-width-relative:page;mso-height-relative:page;" fillcolor="#000000" filled="t" stroked="f" coordsize="8305,15" o:allowincell="f" path="m0,0l8305,0,8305,14,0,14,0,0xe">
            <v:path/>
            <v:fill on="t" focussize="0,0"/>
            <v:stroke on="f"/>
            <v:imagedata o:title=""/>
            <o:lock v:ext="edit"/>
          </v:shape>
        </w:pict>
      </w:r>
    </w:p>
    <w:p w14:paraId="6CBD682B">
      <w:pPr>
        <w:tabs>
          <w:tab w:val="left" w:pos="242"/>
        </w:tabs>
        <w:spacing w:before="75" w:line="393" w:lineRule="auto"/>
        <w:ind w:left="120" w:right="110"/>
        <w:rPr>
          <w:rFonts w:ascii="宋体" w:hAnsi="宋体" w:eastAsia="宋体" w:cs="宋体"/>
          <w:sz w:val="23"/>
          <w:szCs w:val="23"/>
        </w:rPr>
      </w:pPr>
      <w:r>
        <w:rPr>
          <w:rFonts w:ascii="宋体" w:hAnsi="宋体" w:eastAsia="宋体" w:cs="宋体"/>
          <w:spacing w:val="-12"/>
          <w:sz w:val="23"/>
          <w:szCs w:val="23"/>
        </w:rPr>
        <w:t>室</w:t>
      </w:r>
      <w:r>
        <w:rPr>
          <w:rFonts w:ascii="宋体" w:hAnsi="宋体" w:eastAsia="宋体" w:cs="宋体"/>
          <w:spacing w:val="-7"/>
          <w:sz w:val="23"/>
          <w:szCs w:val="23"/>
        </w:rPr>
        <w:t xml:space="preserve">建筑面积为 </w:t>
      </w:r>
      <w:r>
        <w:rPr>
          <w:rFonts w:ascii="Times New Roman" w:hAnsi="Times New Roman" w:eastAsia="Times New Roman" w:cs="Times New Roman"/>
          <w:spacing w:val="-7"/>
          <w:sz w:val="23"/>
          <w:szCs w:val="23"/>
        </w:rPr>
        <w:t>150m</w:t>
      </w:r>
      <w:r>
        <w:rPr>
          <w:rFonts w:ascii="Times New Roman" w:hAnsi="Times New Roman" w:eastAsia="Times New Roman" w:cs="Times New Roman"/>
          <w:spacing w:val="-7"/>
          <w:position w:val="8"/>
          <w:sz w:val="15"/>
          <w:szCs w:val="15"/>
        </w:rPr>
        <w:t>2</w:t>
      </w:r>
      <w:r>
        <w:rPr>
          <w:rFonts w:ascii="宋体" w:hAnsi="宋体" w:eastAsia="宋体" w:cs="宋体"/>
          <w:spacing w:val="-7"/>
          <w:sz w:val="23"/>
          <w:szCs w:val="23"/>
        </w:rPr>
        <w:t>，</w:t>
      </w:r>
      <w:r>
        <w:rPr>
          <w:rFonts w:ascii="Times New Roman" w:hAnsi="Times New Roman" w:eastAsia="Times New Roman" w:cs="Times New Roman"/>
          <w:spacing w:val="-7"/>
          <w:sz w:val="23"/>
          <w:szCs w:val="23"/>
        </w:rPr>
        <w:t>2#</w:t>
      </w:r>
      <w:r>
        <w:rPr>
          <w:rFonts w:ascii="宋体" w:hAnsi="宋体" w:eastAsia="宋体" w:cs="宋体"/>
          <w:spacing w:val="-7"/>
          <w:sz w:val="23"/>
          <w:szCs w:val="23"/>
        </w:rPr>
        <w:t xml:space="preserve">员工休息室建筑面积为 </w:t>
      </w:r>
      <w:r>
        <w:rPr>
          <w:rFonts w:ascii="Times New Roman" w:hAnsi="Times New Roman" w:eastAsia="Times New Roman" w:cs="Times New Roman"/>
          <w:spacing w:val="-7"/>
          <w:sz w:val="23"/>
          <w:szCs w:val="23"/>
        </w:rPr>
        <w:t>175m</w:t>
      </w:r>
      <w:r>
        <w:rPr>
          <w:rFonts w:ascii="Times New Roman" w:hAnsi="Times New Roman" w:eastAsia="Times New Roman" w:cs="Times New Roman"/>
          <w:spacing w:val="-7"/>
          <w:position w:val="8"/>
          <w:sz w:val="15"/>
          <w:szCs w:val="15"/>
        </w:rPr>
        <w:t>2</w:t>
      </w:r>
      <w:r>
        <w:rPr>
          <w:rFonts w:ascii="宋体" w:hAnsi="宋体" w:eastAsia="宋体" w:cs="宋体"/>
          <w:spacing w:val="-7"/>
          <w:sz w:val="23"/>
          <w:szCs w:val="23"/>
        </w:rPr>
        <w:t xml:space="preserve">；备品备件库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栋，建筑面积</w:t>
      </w:r>
      <w:r>
        <w:rPr>
          <w:rFonts w:ascii="宋体" w:hAnsi="宋体" w:eastAsia="宋体" w:cs="宋体"/>
          <w:sz w:val="23"/>
          <w:szCs w:val="23"/>
        </w:rPr>
        <w:t xml:space="preserve"> </w:t>
      </w:r>
      <w:r>
        <w:rPr>
          <w:rFonts w:ascii="宋体" w:hAnsi="宋体" w:eastAsia="宋体" w:cs="宋体"/>
          <w:spacing w:val="-17"/>
          <w:sz w:val="23"/>
          <w:szCs w:val="23"/>
        </w:rPr>
        <w:t xml:space="preserve">为 </w:t>
      </w:r>
      <w:r>
        <w:rPr>
          <w:rFonts w:ascii="Times New Roman" w:hAnsi="Times New Roman" w:eastAsia="Times New Roman" w:cs="Times New Roman"/>
          <w:spacing w:val="-17"/>
          <w:sz w:val="23"/>
          <w:szCs w:val="23"/>
        </w:rPr>
        <w:t>30</w:t>
      </w:r>
      <w:r>
        <w:rPr>
          <w:rFonts w:ascii="Times New Roman" w:hAnsi="Times New Roman" w:eastAsia="Times New Roman" w:cs="Times New Roman"/>
          <w:spacing w:val="-16"/>
          <w:sz w:val="23"/>
          <w:szCs w:val="23"/>
        </w:rPr>
        <w:t>m</w:t>
      </w:r>
      <w:r>
        <w:rPr>
          <w:rFonts w:ascii="Times New Roman" w:hAnsi="Times New Roman" w:eastAsia="Times New Roman" w:cs="Times New Roman"/>
          <w:spacing w:val="-17"/>
          <w:position w:val="8"/>
          <w:sz w:val="15"/>
          <w:szCs w:val="15"/>
        </w:rPr>
        <w:t xml:space="preserve">2 </w:t>
      </w:r>
      <w:r>
        <w:rPr>
          <w:rFonts w:ascii="宋体" w:hAnsi="宋体" w:eastAsia="宋体" w:cs="宋体"/>
          <w:spacing w:val="-17"/>
          <w:sz w:val="23"/>
          <w:szCs w:val="23"/>
        </w:rPr>
        <w:t xml:space="preserve">； 主 要 构 筑物 包括 </w:t>
      </w:r>
      <w:r>
        <w:rPr>
          <w:rFonts w:ascii="Times New Roman" w:hAnsi="Times New Roman" w:eastAsia="Times New Roman" w:cs="Times New Roman"/>
          <w:spacing w:val="-17"/>
          <w:sz w:val="23"/>
          <w:szCs w:val="23"/>
        </w:rPr>
        <w:t xml:space="preserve">1 </w:t>
      </w:r>
      <w:r>
        <w:rPr>
          <w:rFonts w:ascii="宋体" w:hAnsi="宋体" w:eastAsia="宋体" w:cs="宋体"/>
          <w:spacing w:val="-17"/>
          <w:sz w:val="23"/>
          <w:szCs w:val="23"/>
        </w:rPr>
        <w:t>个 用 于 处 理 该 项 目 生产废 水 的三 级沉 淀 池</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4"/>
          <w:sz w:val="23"/>
          <w:szCs w:val="23"/>
        </w:rPr>
        <w:t>(</w:t>
      </w:r>
      <w:r>
        <w:rPr>
          <w:rFonts w:ascii="Times New Roman" w:hAnsi="Times New Roman" w:eastAsia="Times New Roman" w:cs="Times New Roman"/>
          <w:spacing w:val="-4"/>
          <w:sz w:val="23"/>
          <w:szCs w:val="23"/>
        </w:rPr>
        <w:t>12</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4"/>
          <w:sz w:val="23"/>
          <w:szCs w:val="23"/>
        </w:rPr>
        <w:t>×6</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4"/>
          <w:sz w:val="23"/>
          <w:szCs w:val="23"/>
        </w:rPr>
        <w:t>×4</w:t>
      </w:r>
      <w:r>
        <w:rPr>
          <w:rFonts w:ascii="Times New Roman" w:hAnsi="Times New Roman" w:eastAsia="Times New Roman" w:cs="Times New Roman"/>
          <w:spacing w:val="-3"/>
          <w:sz w:val="23"/>
          <w:szCs w:val="23"/>
        </w:rPr>
        <w:t>.</w:t>
      </w:r>
      <w:r>
        <w:rPr>
          <w:rFonts w:ascii="Times New Roman" w:hAnsi="Times New Roman" w:eastAsia="Times New Roman" w:cs="Times New Roman"/>
          <w:spacing w:val="-2"/>
          <w:sz w:val="23"/>
          <w:szCs w:val="23"/>
        </w:rPr>
        <w:t>5m</w:t>
      </w:r>
      <w:r>
        <w:rPr>
          <w:rFonts w:ascii="宋体" w:hAnsi="宋体" w:eastAsia="宋体" w:cs="宋体"/>
          <w:spacing w:val="-2"/>
          <w:sz w:val="23"/>
          <w:szCs w:val="23"/>
        </w:rPr>
        <w:t xml:space="preserve">) ，同时配套设有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台一体化污水预处理设备。该项目主要建设废</w:t>
      </w:r>
      <w:r>
        <w:rPr>
          <w:rFonts w:ascii="宋体" w:hAnsi="宋体" w:eastAsia="宋体" w:cs="宋体"/>
          <w:sz w:val="23"/>
          <w:szCs w:val="23"/>
        </w:rPr>
        <w:t xml:space="preserve"> </w:t>
      </w:r>
      <w:r>
        <w:rPr>
          <w:rFonts w:ascii="宋体" w:hAnsi="宋体" w:eastAsia="宋体" w:cs="宋体"/>
          <w:spacing w:val="-2"/>
          <w:sz w:val="23"/>
          <w:szCs w:val="23"/>
        </w:rPr>
        <w:t>旧塑料加工生产线</w:t>
      </w:r>
      <w:r>
        <w:rPr>
          <w:rFonts w:ascii="Times New Roman" w:hAnsi="Times New Roman" w:eastAsia="Times New Roman" w:cs="Times New Roman"/>
          <w:spacing w:val="-1"/>
          <w:sz w:val="23"/>
          <w:szCs w:val="23"/>
        </w:rPr>
        <w:t xml:space="preserve">10 </w:t>
      </w:r>
      <w:r>
        <w:rPr>
          <w:rFonts w:ascii="宋体" w:hAnsi="宋体" w:eastAsia="宋体" w:cs="宋体"/>
          <w:spacing w:val="-1"/>
          <w:sz w:val="23"/>
          <w:szCs w:val="23"/>
        </w:rPr>
        <w:t>条，用于生产废旧塑料再生颗粒。该项目建成后预计年产废旧</w:t>
      </w:r>
      <w:r>
        <w:rPr>
          <w:rFonts w:ascii="宋体" w:hAnsi="宋体" w:eastAsia="宋体" w:cs="宋体"/>
          <w:sz w:val="23"/>
          <w:szCs w:val="23"/>
        </w:rPr>
        <w:t xml:space="preserve"> </w:t>
      </w:r>
      <w:r>
        <w:rPr>
          <w:rFonts w:ascii="宋体" w:hAnsi="宋体" w:eastAsia="宋体" w:cs="宋体"/>
          <w:spacing w:val="-10"/>
          <w:sz w:val="23"/>
          <w:szCs w:val="23"/>
        </w:rPr>
        <w:t>塑料</w:t>
      </w:r>
      <w:r>
        <w:rPr>
          <w:rFonts w:ascii="宋体" w:hAnsi="宋体" w:eastAsia="宋体" w:cs="宋体"/>
          <w:spacing w:val="-8"/>
          <w:sz w:val="23"/>
          <w:szCs w:val="23"/>
        </w:rPr>
        <w:t>再</w:t>
      </w:r>
      <w:r>
        <w:rPr>
          <w:rFonts w:ascii="宋体" w:hAnsi="宋体" w:eastAsia="宋体" w:cs="宋体"/>
          <w:spacing w:val="-5"/>
          <w:sz w:val="23"/>
          <w:szCs w:val="23"/>
        </w:rPr>
        <w:t xml:space="preserve">生颗粒 </w:t>
      </w:r>
      <w:r>
        <w:rPr>
          <w:rFonts w:ascii="Times New Roman" w:hAnsi="Times New Roman" w:eastAsia="Times New Roman" w:cs="Times New Roman"/>
          <w:spacing w:val="-5"/>
          <w:sz w:val="23"/>
          <w:szCs w:val="23"/>
        </w:rPr>
        <w:t xml:space="preserve">50000 </w:t>
      </w:r>
      <w:r>
        <w:rPr>
          <w:rFonts w:ascii="宋体" w:hAnsi="宋体" w:eastAsia="宋体" w:cs="宋体"/>
          <w:spacing w:val="-5"/>
          <w:sz w:val="23"/>
          <w:szCs w:val="23"/>
        </w:rPr>
        <w:t xml:space="preserve">吨。本项目用地情况详见表 </w:t>
      </w:r>
      <w:r>
        <w:rPr>
          <w:rFonts w:ascii="Times New Roman" w:hAnsi="Times New Roman" w:eastAsia="Times New Roman" w:cs="Times New Roman"/>
          <w:spacing w:val="-5"/>
          <w:sz w:val="23"/>
          <w:szCs w:val="23"/>
        </w:rPr>
        <w:t>3-1</w:t>
      </w:r>
      <w:r>
        <w:rPr>
          <w:rFonts w:ascii="宋体" w:hAnsi="宋体" w:eastAsia="宋体" w:cs="宋体"/>
          <w:spacing w:val="-5"/>
          <w:sz w:val="23"/>
          <w:szCs w:val="23"/>
        </w:rPr>
        <w:t>，主要建 (构) 筑物建筑面积及</w:t>
      </w:r>
      <w:r>
        <w:rPr>
          <w:rFonts w:ascii="宋体" w:hAnsi="宋体" w:eastAsia="宋体" w:cs="宋体"/>
          <w:sz w:val="23"/>
          <w:szCs w:val="23"/>
        </w:rPr>
        <w:t xml:space="preserve"> </w:t>
      </w:r>
      <w:r>
        <w:rPr>
          <w:rFonts w:ascii="宋体" w:hAnsi="宋体" w:eastAsia="宋体" w:cs="宋体"/>
          <w:spacing w:val="-11"/>
          <w:sz w:val="23"/>
          <w:szCs w:val="23"/>
        </w:rPr>
        <w:t>围</w:t>
      </w:r>
      <w:r>
        <w:rPr>
          <w:rFonts w:ascii="宋体" w:hAnsi="宋体" w:eastAsia="宋体" w:cs="宋体"/>
          <w:spacing w:val="-7"/>
          <w:sz w:val="23"/>
          <w:szCs w:val="23"/>
        </w:rPr>
        <w:t xml:space="preserve">护结构情况见表 </w:t>
      </w:r>
      <w:r>
        <w:rPr>
          <w:rFonts w:ascii="Times New Roman" w:hAnsi="Times New Roman" w:eastAsia="Times New Roman" w:cs="Times New Roman"/>
          <w:spacing w:val="-7"/>
          <w:sz w:val="23"/>
          <w:szCs w:val="23"/>
        </w:rPr>
        <w:t>3-2</w:t>
      </w:r>
      <w:r>
        <w:rPr>
          <w:rFonts w:ascii="宋体" w:hAnsi="宋体" w:eastAsia="宋体" w:cs="宋体"/>
          <w:spacing w:val="-7"/>
          <w:sz w:val="23"/>
          <w:szCs w:val="23"/>
        </w:rPr>
        <w:t>。</w:t>
      </w:r>
    </w:p>
    <w:p w14:paraId="1DFE1C75">
      <w:pPr>
        <w:spacing w:before="155" w:line="228" w:lineRule="auto"/>
        <w:ind w:left="304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3-1</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项目用地情况</w:t>
      </w:r>
    </w:p>
    <w:p w14:paraId="25289835">
      <w:pPr>
        <w:spacing w:line="16"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2658"/>
        <w:gridCol w:w="2372"/>
        <w:gridCol w:w="2202"/>
      </w:tblGrid>
      <w:tr w14:paraId="5B935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0" w:type="dxa"/>
            <w:tcBorders>
              <w:left w:val="nil"/>
            </w:tcBorders>
            <w:vAlign w:val="top"/>
          </w:tcPr>
          <w:p w14:paraId="15256E1C">
            <w:pPr>
              <w:spacing w:before="86" w:line="229" w:lineRule="auto"/>
              <w:ind w:left="45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序</w:t>
            </w:r>
            <w:r>
              <w:rPr>
                <w:rFonts w:ascii="宋体" w:hAnsi="宋体" w:eastAsia="宋体" w:cs="宋体"/>
                <w:sz w:val="20"/>
                <w:szCs w:val="20"/>
                <w14:textOutline w14:w="3795" w14:cap="sq" w14:cmpd="sng">
                  <w14:solidFill>
                    <w14:srgbClr w14:val="000000"/>
                  </w14:solidFill>
                  <w14:prstDash w14:val="solid"/>
                  <w14:bevel/>
                </w14:textOutline>
              </w:rPr>
              <w:t>号</w:t>
            </w:r>
          </w:p>
        </w:tc>
        <w:tc>
          <w:tcPr>
            <w:tcW w:w="2658" w:type="dxa"/>
            <w:vAlign w:val="top"/>
          </w:tcPr>
          <w:p w14:paraId="71A04802">
            <w:pPr>
              <w:spacing w:before="85" w:line="228" w:lineRule="auto"/>
              <w:ind w:left="942"/>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建设</w:t>
            </w:r>
            <w:r>
              <w:rPr>
                <w:rFonts w:ascii="宋体" w:hAnsi="宋体" w:eastAsia="宋体" w:cs="宋体"/>
                <w:spacing w:val="-1"/>
                <w:sz w:val="20"/>
                <w:szCs w:val="20"/>
                <w14:textOutline w14:w="3795" w14:cap="sq" w14:cmpd="sng">
                  <w14:solidFill>
                    <w14:srgbClr w14:val="000000"/>
                  </w14:solidFill>
                  <w14:prstDash w14:val="solid"/>
                  <w14:bevel/>
                </w14:textOutline>
              </w:rPr>
              <w:t>内容</w:t>
            </w:r>
          </w:p>
        </w:tc>
        <w:tc>
          <w:tcPr>
            <w:tcW w:w="2372" w:type="dxa"/>
            <w:vAlign w:val="top"/>
          </w:tcPr>
          <w:p w14:paraId="52EB6171">
            <w:pPr>
              <w:spacing w:before="86" w:line="228" w:lineRule="auto"/>
              <w:ind w:left="50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用地</w:t>
            </w:r>
            <w:r>
              <w:rPr>
                <w:rFonts w:ascii="宋体" w:hAnsi="宋体" w:eastAsia="宋体" w:cs="宋体"/>
                <w:spacing w:val="-3"/>
                <w:sz w:val="20"/>
                <w:szCs w:val="20"/>
                <w14:textOutline w14:w="3795" w14:cap="sq" w14:cmpd="sng">
                  <w14:solidFill>
                    <w14:srgbClr w14:val="000000"/>
                  </w14:solidFill>
                  <w14:prstDash w14:val="solid"/>
                  <w14:bevel/>
                </w14:textOutline>
              </w:rPr>
              <w:t>面积</w:t>
            </w:r>
            <w:r>
              <w:rPr>
                <w:rFonts w:ascii="宋体" w:hAnsi="宋体" w:eastAsia="宋体" w:cs="宋体"/>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w:t>
            </w:r>
          </w:p>
        </w:tc>
        <w:tc>
          <w:tcPr>
            <w:tcW w:w="2202" w:type="dxa"/>
            <w:tcBorders>
              <w:right w:val="nil"/>
            </w:tcBorders>
            <w:vAlign w:val="top"/>
          </w:tcPr>
          <w:p w14:paraId="0B636DC3">
            <w:pPr>
              <w:spacing w:before="45" w:line="289" w:lineRule="exact"/>
              <w:ind w:left="632"/>
              <w:rPr>
                <w:rFonts w:ascii="宋体" w:hAnsi="宋体" w:eastAsia="宋体" w:cs="宋体"/>
                <w:sz w:val="20"/>
                <w:szCs w:val="20"/>
              </w:rPr>
            </w:pPr>
            <w:r>
              <w:rPr>
                <w:rFonts w:ascii="宋体" w:hAnsi="宋体" w:eastAsia="宋体" w:cs="宋体"/>
                <w:spacing w:val="-5"/>
                <w:position w:val="1"/>
                <w:sz w:val="20"/>
                <w:szCs w:val="20"/>
                <w14:textOutline w14:w="3795" w14:cap="sq" w14:cmpd="sng">
                  <w14:solidFill>
                    <w14:srgbClr w14:val="000000"/>
                  </w14:solidFill>
                  <w14:prstDash w14:val="solid"/>
                  <w14:bevel/>
                </w14:textOutline>
              </w:rPr>
              <w:t>比例</w:t>
            </w:r>
            <w:r>
              <w:rPr>
                <w:rFonts w:ascii="宋体" w:hAnsi="宋体" w:eastAsia="宋体" w:cs="宋体"/>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0"/>
                <w:szCs w:val="20"/>
              </w:rPr>
              <w:t>%</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p>
        </w:tc>
      </w:tr>
      <w:tr w14:paraId="3BB20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290" w:type="dxa"/>
            <w:tcBorders>
              <w:left w:val="nil"/>
            </w:tcBorders>
            <w:vAlign w:val="top"/>
          </w:tcPr>
          <w:p w14:paraId="3F65D334">
            <w:pPr>
              <w:spacing w:before="9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58" w:type="dxa"/>
            <w:vAlign w:val="top"/>
          </w:tcPr>
          <w:p w14:paraId="6AEED8D1">
            <w:pPr>
              <w:spacing w:before="62" w:line="228" w:lineRule="auto"/>
              <w:ind w:left="748"/>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区</w:t>
            </w:r>
            <w:r>
              <w:rPr>
                <w:rFonts w:ascii="宋体" w:hAnsi="宋体" w:eastAsia="宋体" w:cs="宋体"/>
                <w:spacing w:val="-2"/>
                <w:sz w:val="20"/>
                <w:szCs w:val="20"/>
              </w:rPr>
              <w:t>规划用地</w:t>
            </w:r>
          </w:p>
        </w:tc>
        <w:tc>
          <w:tcPr>
            <w:tcW w:w="2372" w:type="dxa"/>
            <w:vAlign w:val="top"/>
          </w:tcPr>
          <w:p w14:paraId="7C3C1EEC">
            <w:pPr>
              <w:spacing w:before="98" w:line="195" w:lineRule="auto"/>
              <w:ind w:left="9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000</w:t>
            </w:r>
          </w:p>
        </w:tc>
        <w:tc>
          <w:tcPr>
            <w:tcW w:w="2202" w:type="dxa"/>
            <w:tcBorders>
              <w:right w:val="nil"/>
            </w:tcBorders>
            <w:vAlign w:val="top"/>
          </w:tcPr>
          <w:p w14:paraId="39F7BA99">
            <w:pPr>
              <w:spacing w:before="98" w:line="195" w:lineRule="auto"/>
              <w:ind w:left="9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00</w:t>
            </w:r>
          </w:p>
        </w:tc>
      </w:tr>
      <w:tr w14:paraId="179E1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290" w:type="dxa"/>
            <w:tcBorders>
              <w:left w:val="nil"/>
            </w:tcBorders>
            <w:vAlign w:val="top"/>
          </w:tcPr>
          <w:p w14:paraId="6D1ACA59">
            <w:pPr>
              <w:spacing w:before="99" w:line="195"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58" w:type="dxa"/>
            <w:vAlign w:val="top"/>
          </w:tcPr>
          <w:p w14:paraId="5D8F6ADC">
            <w:pPr>
              <w:spacing w:before="26" w:line="281" w:lineRule="exact"/>
              <w:ind w:left="686"/>
              <w:rPr>
                <w:rFonts w:ascii="宋体" w:hAnsi="宋体" w:eastAsia="宋体" w:cs="宋体"/>
                <w:sz w:val="20"/>
                <w:szCs w:val="20"/>
              </w:rPr>
            </w:pPr>
            <w:r>
              <w:rPr>
                <w:rFonts w:ascii="宋体" w:hAnsi="宋体" w:eastAsia="宋体" w:cs="宋体"/>
                <w:spacing w:val="-4"/>
                <w:position w:val="2"/>
                <w:sz w:val="20"/>
                <w:szCs w:val="20"/>
              </w:rPr>
              <w:t>建</w:t>
            </w:r>
            <w:r>
              <w:rPr>
                <w:rFonts w:ascii="Times New Roman" w:hAnsi="Times New Roman" w:eastAsia="Times New Roman" w:cs="Times New Roman"/>
                <w:spacing w:val="-4"/>
                <w:position w:val="2"/>
                <w:sz w:val="20"/>
                <w:szCs w:val="20"/>
              </w:rPr>
              <w:t>(</w:t>
            </w:r>
            <w:r>
              <w:rPr>
                <w:rFonts w:ascii="宋体" w:hAnsi="宋体" w:eastAsia="宋体" w:cs="宋体"/>
                <w:spacing w:val="-3"/>
                <w:position w:val="2"/>
                <w:sz w:val="20"/>
                <w:szCs w:val="20"/>
              </w:rPr>
              <w:t>构</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筑物用地</w:t>
            </w:r>
          </w:p>
        </w:tc>
        <w:tc>
          <w:tcPr>
            <w:tcW w:w="2372" w:type="dxa"/>
            <w:vAlign w:val="top"/>
          </w:tcPr>
          <w:p w14:paraId="6B834AE0">
            <w:pPr>
              <w:spacing w:before="99" w:line="195" w:lineRule="auto"/>
              <w:ind w:left="10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600</w:t>
            </w:r>
          </w:p>
        </w:tc>
        <w:tc>
          <w:tcPr>
            <w:tcW w:w="2202" w:type="dxa"/>
            <w:tcBorders>
              <w:right w:val="nil"/>
            </w:tcBorders>
            <w:vAlign w:val="top"/>
          </w:tcPr>
          <w:p w14:paraId="7AC71F25">
            <w:pPr>
              <w:spacing w:before="99" w:line="198"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2.86</w:t>
            </w:r>
          </w:p>
        </w:tc>
      </w:tr>
      <w:tr w14:paraId="39815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290" w:type="dxa"/>
            <w:tcBorders>
              <w:left w:val="nil"/>
            </w:tcBorders>
            <w:vAlign w:val="top"/>
          </w:tcPr>
          <w:p w14:paraId="1153F1F8">
            <w:pPr>
              <w:spacing w:before="100"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58" w:type="dxa"/>
            <w:vAlign w:val="top"/>
          </w:tcPr>
          <w:p w14:paraId="35347DBD">
            <w:pPr>
              <w:spacing w:before="65" w:line="228" w:lineRule="auto"/>
              <w:ind w:left="647"/>
              <w:rPr>
                <w:rFonts w:ascii="宋体" w:hAnsi="宋体" w:eastAsia="宋体" w:cs="宋体"/>
                <w:sz w:val="20"/>
                <w:szCs w:val="20"/>
              </w:rPr>
            </w:pPr>
            <w:r>
              <w:rPr>
                <w:rFonts w:ascii="宋体" w:hAnsi="宋体" w:eastAsia="宋体" w:cs="宋体"/>
                <w:spacing w:val="-4"/>
                <w:sz w:val="20"/>
                <w:szCs w:val="20"/>
              </w:rPr>
              <w:t>三</w:t>
            </w:r>
            <w:r>
              <w:rPr>
                <w:rFonts w:ascii="宋体" w:hAnsi="宋体" w:eastAsia="宋体" w:cs="宋体"/>
                <w:spacing w:val="-2"/>
                <w:sz w:val="20"/>
                <w:szCs w:val="20"/>
              </w:rPr>
              <w:t>级沉淀池用地</w:t>
            </w:r>
          </w:p>
        </w:tc>
        <w:tc>
          <w:tcPr>
            <w:tcW w:w="2372" w:type="dxa"/>
            <w:vAlign w:val="top"/>
          </w:tcPr>
          <w:p w14:paraId="7E3499BD">
            <w:pPr>
              <w:spacing w:before="100" w:line="195" w:lineRule="auto"/>
              <w:ind w:left="10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2202" w:type="dxa"/>
            <w:tcBorders>
              <w:right w:val="nil"/>
            </w:tcBorders>
            <w:vAlign w:val="top"/>
          </w:tcPr>
          <w:p w14:paraId="10503DB5">
            <w:pPr>
              <w:spacing w:before="100" w:line="198" w:lineRule="auto"/>
              <w:ind w:left="95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.02</w:t>
            </w:r>
          </w:p>
        </w:tc>
      </w:tr>
      <w:tr w14:paraId="0FC92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290" w:type="dxa"/>
            <w:tcBorders>
              <w:left w:val="nil"/>
            </w:tcBorders>
            <w:vAlign w:val="top"/>
          </w:tcPr>
          <w:p w14:paraId="0BF58CB8">
            <w:pPr>
              <w:spacing w:before="102"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58" w:type="dxa"/>
            <w:vAlign w:val="top"/>
          </w:tcPr>
          <w:p w14:paraId="5753015E">
            <w:pPr>
              <w:spacing w:before="65" w:line="228" w:lineRule="auto"/>
              <w:ind w:left="941"/>
              <w:rPr>
                <w:rFonts w:ascii="宋体" w:hAnsi="宋体" w:eastAsia="宋体" w:cs="宋体"/>
                <w:sz w:val="20"/>
                <w:szCs w:val="20"/>
              </w:rPr>
            </w:pPr>
            <w:r>
              <w:rPr>
                <w:rFonts w:ascii="宋体" w:hAnsi="宋体" w:eastAsia="宋体" w:cs="宋体"/>
                <w:spacing w:val="-2"/>
                <w:sz w:val="20"/>
                <w:szCs w:val="20"/>
              </w:rPr>
              <w:t>道</w:t>
            </w:r>
            <w:r>
              <w:rPr>
                <w:rFonts w:ascii="宋体" w:hAnsi="宋体" w:eastAsia="宋体" w:cs="宋体"/>
                <w:spacing w:val="-1"/>
                <w:sz w:val="20"/>
                <w:szCs w:val="20"/>
              </w:rPr>
              <w:t>路用地</w:t>
            </w:r>
          </w:p>
        </w:tc>
        <w:tc>
          <w:tcPr>
            <w:tcW w:w="2372" w:type="dxa"/>
            <w:vAlign w:val="top"/>
          </w:tcPr>
          <w:p w14:paraId="048D0B05">
            <w:pPr>
              <w:spacing w:before="101" w:line="195" w:lineRule="auto"/>
              <w:ind w:left="9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r>
              <w:rPr>
                <w:rFonts w:ascii="Times New Roman" w:hAnsi="Times New Roman" w:eastAsia="Times New Roman" w:cs="Times New Roman"/>
                <w:spacing w:val="-1"/>
                <w:sz w:val="20"/>
                <w:szCs w:val="20"/>
              </w:rPr>
              <w:t>8</w:t>
            </w:r>
          </w:p>
        </w:tc>
        <w:tc>
          <w:tcPr>
            <w:tcW w:w="2202" w:type="dxa"/>
            <w:tcBorders>
              <w:right w:val="nil"/>
            </w:tcBorders>
            <w:vAlign w:val="top"/>
          </w:tcPr>
          <w:p w14:paraId="766EF48A">
            <w:pPr>
              <w:spacing w:before="101" w:line="195" w:lineRule="auto"/>
              <w:ind w:left="8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76.1</w:t>
            </w:r>
            <w:r>
              <w:rPr>
                <w:rFonts w:ascii="Times New Roman" w:hAnsi="Times New Roman" w:eastAsia="Times New Roman" w:cs="Times New Roman"/>
                <w:spacing w:val="-1"/>
                <w:sz w:val="20"/>
                <w:szCs w:val="20"/>
              </w:rPr>
              <w:t>2</w:t>
            </w:r>
          </w:p>
        </w:tc>
      </w:tr>
      <w:tr w14:paraId="0A3ED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290" w:type="dxa"/>
            <w:tcBorders>
              <w:left w:val="nil"/>
            </w:tcBorders>
            <w:vAlign w:val="top"/>
          </w:tcPr>
          <w:p w14:paraId="71E7B169">
            <w:pPr>
              <w:spacing w:before="103"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58" w:type="dxa"/>
            <w:vAlign w:val="top"/>
          </w:tcPr>
          <w:p w14:paraId="37F5E3C1">
            <w:pPr>
              <w:spacing w:before="66" w:line="228" w:lineRule="auto"/>
              <w:ind w:left="945"/>
              <w:rPr>
                <w:rFonts w:ascii="宋体" w:hAnsi="宋体" w:eastAsia="宋体" w:cs="宋体"/>
                <w:sz w:val="20"/>
                <w:szCs w:val="20"/>
              </w:rPr>
            </w:pPr>
            <w:r>
              <w:rPr>
                <w:rFonts w:ascii="宋体" w:hAnsi="宋体" w:eastAsia="宋体" w:cs="宋体"/>
                <w:spacing w:val="-3"/>
                <w:sz w:val="20"/>
                <w:szCs w:val="20"/>
              </w:rPr>
              <w:t>建</w:t>
            </w:r>
            <w:r>
              <w:rPr>
                <w:rFonts w:ascii="宋体" w:hAnsi="宋体" w:eastAsia="宋体" w:cs="宋体"/>
                <w:spacing w:val="-2"/>
                <w:sz w:val="20"/>
                <w:szCs w:val="20"/>
              </w:rPr>
              <w:t>筑系数</w:t>
            </w:r>
          </w:p>
        </w:tc>
        <w:tc>
          <w:tcPr>
            <w:tcW w:w="2372" w:type="dxa"/>
            <w:vAlign w:val="top"/>
          </w:tcPr>
          <w:p w14:paraId="7C2F5CC8">
            <w:pPr>
              <w:spacing w:before="191" w:line="136" w:lineRule="exact"/>
              <w:ind w:left="1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w:t>
            </w:r>
          </w:p>
        </w:tc>
        <w:tc>
          <w:tcPr>
            <w:tcW w:w="2202" w:type="dxa"/>
            <w:tcBorders>
              <w:right w:val="nil"/>
            </w:tcBorders>
            <w:vAlign w:val="top"/>
          </w:tcPr>
          <w:p w14:paraId="03BBF997">
            <w:pPr>
              <w:spacing w:before="103" w:line="198"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2.86</w:t>
            </w:r>
          </w:p>
        </w:tc>
      </w:tr>
    </w:tbl>
    <w:p w14:paraId="3CF9DF46">
      <w:pPr>
        <w:spacing w:line="269" w:lineRule="auto"/>
        <w:rPr>
          <w:rFonts w:ascii="Arial"/>
          <w:sz w:val="21"/>
        </w:rPr>
      </w:pPr>
    </w:p>
    <w:p w14:paraId="60C51B53">
      <w:pPr>
        <w:spacing w:before="74" w:line="229" w:lineRule="auto"/>
        <w:ind w:left="2823"/>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3-2</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建、构筑物一览表</w:t>
      </w:r>
    </w:p>
    <w:p w14:paraId="28C1D42D">
      <w:pPr>
        <w:spacing w:line="17"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478"/>
        <w:gridCol w:w="1488"/>
        <w:gridCol w:w="1032"/>
        <w:gridCol w:w="1478"/>
        <w:gridCol w:w="1102"/>
        <w:gridCol w:w="1306"/>
      </w:tblGrid>
      <w:tr w14:paraId="42426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37" w:type="dxa"/>
            <w:tcBorders>
              <w:left w:val="nil"/>
            </w:tcBorders>
            <w:vAlign w:val="top"/>
          </w:tcPr>
          <w:p w14:paraId="73645ED0">
            <w:pPr>
              <w:spacing w:before="86" w:line="229" w:lineRule="auto"/>
              <w:ind w:left="127"/>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序</w:t>
            </w:r>
            <w:r>
              <w:rPr>
                <w:rFonts w:ascii="宋体" w:hAnsi="宋体" w:eastAsia="宋体" w:cs="宋体"/>
                <w:sz w:val="20"/>
                <w:szCs w:val="20"/>
                <w14:textOutline w14:w="3795" w14:cap="sq" w14:cmpd="sng">
                  <w14:solidFill>
                    <w14:srgbClr w14:val="000000"/>
                  </w14:solidFill>
                  <w14:prstDash w14:val="solid"/>
                  <w14:bevel/>
                </w14:textOutline>
              </w:rPr>
              <w:t>号</w:t>
            </w:r>
          </w:p>
        </w:tc>
        <w:tc>
          <w:tcPr>
            <w:tcW w:w="1478" w:type="dxa"/>
            <w:vAlign w:val="top"/>
          </w:tcPr>
          <w:p w14:paraId="7A1A5E7B">
            <w:pPr>
              <w:spacing w:before="86" w:line="228" w:lineRule="auto"/>
              <w:ind w:left="352"/>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建筑</w:t>
            </w:r>
            <w:r>
              <w:rPr>
                <w:rFonts w:ascii="宋体" w:hAnsi="宋体" w:eastAsia="宋体" w:cs="宋体"/>
                <w:spacing w:val="-1"/>
                <w:sz w:val="20"/>
                <w:szCs w:val="20"/>
                <w14:textOutline w14:w="3795" w14:cap="sq" w14:cmpd="sng">
                  <w14:solidFill>
                    <w14:srgbClr w14:val="000000"/>
                  </w14:solidFill>
                  <w14:prstDash w14:val="solid"/>
                  <w14:bevel/>
                </w14:textOutline>
              </w:rPr>
              <w:t>名称</w:t>
            </w:r>
          </w:p>
        </w:tc>
        <w:tc>
          <w:tcPr>
            <w:tcW w:w="1488" w:type="dxa"/>
            <w:vAlign w:val="top"/>
          </w:tcPr>
          <w:p w14:paraId="34171724">
            <w:pPr>
              <w:spacing w:before="86" w:line="228" w:lineRule="auto"/>
              <w:ind w:left="115"/>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基</w:t>
            </w:r>
            <w:r>
              <w:rPr>
                <w:rFonts w:ascii="宋体" w:hAnsi="宋体" w:eastAsia="宋体" w:cs="宋体"/>
                <w:spacing w:val="-10"/>
                <w:sz w:val="20"/>
                <w:szCs w:val="20"/>
                <w14:textOutline w14:w="3795" w14:cap="sq" w14:cmpd="sng">
                  <w14:solidFill>
                    <w14:srgbClr w14:val="000000"/>
                  </w14:solidFill>
                  <w14:prstDash w14:val="solid"/>
                  <w14:bevel/>
                </w14:textOutline>
              </w:rPr>
              <w:t>底面积</w:t>
            </w:r>
            <w:r>
              <w:rPr>
                <w:rFonts w:ascii="宋体" w:hAnsi="宋体" w:eastAsia="宋体" w:cs="宋体"/>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0"/>
                <w:sz w:val="20"/>
                <w:szCs w:val="20"/>
              </w:rPr>
              <w:t>m</w:t>
            </w:r>
            <w:r>
              <w:rPr>
                <w:rFonts w:ascii="Times New Roman" w:hAnsi="Times New Roman" w:eastAsia="Times New Roman" w:cs="Times New Roman"/>
                <w:b/>
                <w:bCs/>
                <w:spacing w:val="-10"/>
                <w:position w:val="6"/>
                <w:sz w:val="13"/>
                <w:szCs w:val="13"/>
              </w:rPr>
              <w:t>2</w:t>
            </w:r>
            <w:r>
              <w:rPr>
                <w:rFonts w:ascii="Times New Roman" w:hAnsi="Times New Roman" w:eastAsia="Times New Roman" w:cs="Times New Roman"/>
                <w:spacing w:val="-10"/>
                <w:position w:val="6"/>
                <w:sz w:val="13"/>
                <w:szCs w:val="13"/>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w:t>
            </w:r>
          </w:p>
        </w:tc>
        <w:tc>
          <w:tcPr>
            <w:tcW w:w="1032" w:type="dxa"/>
            <w:vAlign w:val="top"/>
          </w:tcPr>
          <w:p w14:paraId="27D9BA2E">
            <w:pPr>
              <w:spacing w:before="86" w:line="228" w:lineRule="auto"/>
              <w:ind w:left="11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层数(</w:t>
            </w:r>
            <w:r>
              <w:rPr>
                <w:rFonts w:ascii="宋体" w:hAnsi="宋体" w:eastAsia="宋体" w:cs="宋体"/>
                <w:sz w:val="20"/>
                <w:szCs w:val="20"/>
                <w14:textOutline w14:w="3795" w14:cap="sq" w14:cmpd="sng">
                  <w14:solidFill>
                    <w14:srgbClr w14:val="000000"/>
                  </w14:solidFill>
                  <w14:prstDash w14:val="solid"/>
                  <w14:bevel/>
                </w14:textOutline>
              </w:rPr>
              <w:t>层)</w:t>
            </w:r>
          </w:p>
        </w:tc>
        <w:tc>
          <w:tcPr>
            <w:tcW w:w="1478" w:type="dxa"/>
            <w:vAlign w:val="top"/>
          </w:tcPr>
          <w:p w14:paraId="024A1ACE">
            <w:pPr>
              <w:spacing w:before="86" w:line="228" w:lineRule="auto"/>
              <w:ind w:left="11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建</w:t>
            </w:r>
            <w:r>
              <w:rPr>
                <w:rFonts w:ascii="宋体" w:hAnsi="宋体" w:eastAsia="宋体" w:cs="宋体"/>
                <w:spacing w:val="-3"/>
                <w:sz w:val="20"/>
                <w:szCs w:val="20"/>
                <w14:textOutline w14:w="3795" w14:cap="sq" w14:cmpd="sng">
                  <w14:solidFill>
                    <w14:srgbClr w14:val="000000"/>
                  </w14:solidFill>
                  <w14:prstDash w14:val="solid"/>
                  <w14:bevel/>
                </w14:textOutline>
              </w:rPr>
              <w:t>筑</w:t>
            </w:r>
            <w:r>
              <w:rPr>
                <w:rFonts w:ascii="宋体" w:hAnsi="宋体" w:eastAsia="宋体" w:cs="宋体"/>
                <w:spacing w:val="-2"/>
                <w:sz w:val="20"/>
                <w:szCs w:val="20"/>
                <w14:textOutline w14:w="3795" w14:cap="sq" w14:cmpd="sng">
                  <w14:solidFill>
                    <w14:srgbClr w14:val="000000"/>
                  </w14:solidFill>
                  <w14:prstDash w14:val="solid"/>
                  <w14:bevel/>
                </w14:textOutline>
              </w:rPr>
              <w:t>面积(</w:t>
            </w:r>
            <w:r>
              <w:rPr>
                <w:rFonts w:ascii="Times New Roman" w:hAnsi="Times New Roman" w:eastAsia="Times New Roman" w:cs="Times New Roman"/>
                <w:b/>
                <w:bCs/>
                <w:spacing w:val="-2"/>
                <w:sz w:val="20"/>
                <w:szCs w:val="20"/>
              </w:rPr>
              <w:t>m</w:t>
            </w:r>
            <w:r>
              <w:rPr>
                <w:rFonts w:ascii="Times New Roman" w:hAnsi="Times New Roman" w:eastAsia="Times New Roman" w:cs="Times New Roman"/>
                <w:b/>
                <w:bCs/>
                <w:spacing w:val="-2"/>
                <w:position w:val="6"/>
                <w:sz w:val="13"/>
                <w:szCs w:val="13"/>
              </w:rPr>
              <w:t>2</w:t>
            </w:r>
            <w:r>
              <w:rPr>
                <w:rFonts w:ascii="Times New Roman" w:hAnsi="Times New Roman" w:eastAsia="Times New Roman" w:cs="Times New Roman"/>
                <w:spacing w:val="-2"/>
                <w:position w:val="6"/>
                <w:sz w:val="13"/>
                <w:szCs w:val="13"/>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p>
        </w:tc>
        <w:tc>
          <w:tcPr>
            <w:tcW w:w="1102" w:type="dxa"/>
            <w:vAlign w:val="top"/>
          </w:tcPr>
          <w:p w14:paraId="1E7B4148">
            <w:pPr>
              <w:spacing w:before="86" w:line="228" w:lineRule="auto"/>
              <w:ind w:left="16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建筑</w:t>
            </w:r>
            <w:r>
              <w:rPr>
                <w:rFonts w:ascii="宋体" w:hAnsi="宋体" w:eastAsia="宋体" w:cs="宋体"/>
                <w:spacing w:val="-1"/>
                <w:sz w:val="20"/>
                <w:szCs w:val="20"/>
                <w14:textOutline w14:w="3795" w14:cap="sq" w14:cmpd="sng">
                  <w14:solidFill>
                    <w14:srgbClr w14:val="000000"/>
                  </w14:solidFill>
                  <w14:prstDash w14:val="solid"/>
                  <w14:bevel/>
                </w14:textOutline>
              </w:rPr>
              <w:t>结构</w:t>
            </w:r>
          </w:p>
        </w:tc>
        <w:tc>
          <w:tcPr>
            <w:tcW w:w="1306" w:type="dxa"/>
            <w:tcBorders>
              <w:right w:val="nil"/>
            </w:tcBorders>
            <w:vAlign w:val="top"/>
          </w:tcPr>
          <w:p w14:paraId="4405047D">
            <w:pPr>
              <w:spacing w:before="86" w:line="229" w:lineRule="auto"/>
              <w:ind w:left="46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用</w:t>
            </w:r>
            <w:r>
              <w:rPr>
                <w:rFonts w:ascii="宋体" w:hAnsi="宋体" w:eastAsia="宋体" w:cs="宋体"/>
                <w:sz w:val="20"/>
                <w:szCs w:val="20"/>
                <w14:textOutline w14:w="3795" w14:cap="sq" w14:cmpd="sng">
                  <w14:solidFill>
                    <w14:srgbClr w14:val="000000"/>
                  </w14:solidFill>
                  <w14:prstDash w14:val="solid"/>
                  <w14:bevel/>
                </w14:textOutline>
              </w:rPr>
              <w:t>途</w:t>
            </w:r>
          </w:p>
        </w:tc>
      </w:tr>
      <w:tr w14:paraId="61139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7" w:type="dxa"/>
            <w:tcBorders>
              <w:left w:val="nil"/>
            </w:tcBorders>
            <w:vAlign w:val="top"/>
          </w:tcPr>
          <w:p w14:paraId="0A6AA234">
            <w:pPr>
              <w:spacing w:before="9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3E3848E9">
            <w:pPr>
              <w:spacing w:before="62" w:line="228" w:lineRule="auto"/>
              <w:ind w:left="354"/>
              <w:rPr>
                <w:rFonts w:ascii="宋体" w:hAnsi="宋体" w:eastAsia="宋体" w:cs="宋体"/>
                <w:sz w:val="20"/>
                <w:szCs w:val="20"/>
              </w:rPr>
            </w:pPr>
            <w:r>
              <w:rPr>
                <w:rFonts w:ascii="宋体" w:hAnsi="宋体" w:eastAsia="宋体" w:cs="宋体"/>
                <w:spacing w:val="-2"/>
                <w:sz w:val="20"/>
                <w:szCs w:val="20"/>
              </w:rPr>
              <w:t>生产厂房</w:t>
            </w:r>
          </w:p>
        </w:tc>
        <w:tc>
          <w:tcPr>
            <w:tcW w:w="1488" w:type="dxa"/>
            <w:vAlign w:val="top"/>
          </w:tcPr>
          <w:p w14:paraId="65BD6DA8">
            <w:pPr>
              <w:spacing w:before="9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00</w:t>
            </w:r>
          </w:p>
        </w:tc>
        <w:tc>
          <w:tcPr>
            <w:tcW w:w="1032" w:type="dxa"/>
            <w:vAlign w:val="top"/>
          </w:tcPr>
          <w:p w14:paraId="11B69E96">
            <w:pPr>
              <w:spacing w:before="98"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55DFEAC5">
            <w:pPr>
              <w:spacing w:before="98"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00</w:t>
            </w:r>
          </w:p>
        </w:tc>
        <w:tc>
          <w:tcPr>
            <w:tcW w:w="1102" w:type="dxa"/>
            <w:vAlign w:val="top"/>
          </w:tcPr>
          <w:p w14:paraId="3CD09CC1">
            <w:pPr>
              <w:spacing w:before="62"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73C32441">
            <w:pPr>
              <w:spacing w:before="62" w:line="228" w:lineRule="auto"/>
              <w:ind w:left="465"/>
              <w:rPr>
                <w:rFonts w:ascii="宋体" w:hAnsi="宋体" w:eastAsia="宋体" w:cs="宋体"/>
                <w:sz w:val="20"/>
                <w:szCs w:val="20"/>
              </w:rPr>
            </w:pPr>
            <w:r>
              <w:rPr>
                <w:rFonts w:ascii="宋体" w:hAnsi="宋体" w:eastAsia="宋体" w:cs="宋体"/>
                <w:spacing w:val="-1"/>
                <w:sz w:val="20"/>
                <w:szCs w:val="20"/>
              </w:rPr>
              <w:t>生</w:t>
            </w:r>
            <w:r>
              <w:rPr>
                <w:rFonts w:ascii="宋体" w:hAnsi="宋体" w:eastAsia="宋体" w:cs="宋体"/>
                <w:sz w:val="20"/>
                <w:szCs w:val="20"/>
              </w:rPr>
              <w:t>产</w:t>
            </w:r>
          </w:p>
        </w:tc>
      </w:tr>
      <w:tr w14:paraId="529B5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7" w:type="dxa"/>
            <w:tcBorders>
              <w:left w:val="nil"/>
            </w:tcBorders>
            <w:vAlign w:val="top"/>
          </w:tcPr>
          <w:p w14:paraId="73E8FF4B">
            <w:pPr>
              <w:spacing w:before="9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8" w:type="dxa"/>
            <w:vAlign w:val="top"/>
          </w:tcPr>
          <w:p w14:paraId="08B07A8D">
            <w:pPr>
              <w:spacing w:before="62" w:line="228" w:lineRule="auto"/>
              <w:ind w:left="452"/>
              <w:rPr>
                <w:rFonts w:ascii="宋体" w:hAnsi="宋体" w:eastAsia="宋体" w:cs="宋体"/>
                <w:sz w:val="20"/>
                <w:szCs w:val="20"/>
              </w:rPr>
            </w:pPr>
            <w:r>
              <w:rPr>
                <w:rFonts w:ascii="宋体" w:hAnsi="宋体" w:eastAsia="宋体" w:cs="宋体"/>
                <w:spacing w:val="-2"/>
                <w:sz w:val="20"/>
                <w:szCs w:val="20"/>
              </w:rPr>
              <w:t>成品</w:t>
            </w:r>
            <w:r>
              <w:rPr>
                <w:rFonts w:ascii="宋体" w:hAnsi="宋体" w:eastAsia="宋体" w:cs="宋体"/>
                <w:spacing w:val="-1"/>
                <w:sz w:val="20"/>
                <w:szCs w:val="20"/>
              </w:rPr>
              <w:t>库</w:t>
            </w:r>
          </w:p>
        </w:tc>
        <w:tc>
          <w:tcPr>
            <w:tcW w:w="1488" w:type="dxa"/>
            <w:vAlign w:val="top"/>
          </w:tcPr>
          <w:p w14:paraId="1866A68B">
            <w:pPr>
              <w:spacing w:before="98"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1032" w:type="dxa"/>
            <w:vAlign w:val="top"/>
          </w:tcPr>
          <w:p w14:paraId="1E2FD56A">
            <w:pPr>
              <w:spacing w:before="98"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2E2D16AB">
            <w:pPr>
              <w:spacing w:before="98"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1102" w:type="dxa"/>
            <w:vAlign w:val="top"/>
          </w:tcPr>
          <w:p w14:paraId="314229C7">
            <w:pPr>
              <w:spacing w:before="62"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5C9DF60D">
            <w:pPr>
              <w:spacing w:before="62" w:line="228" w:lineRule="auto"/>
              <w:ind w:left="465"/>
              <w:rPr>
                <w:rFonts w:ascii="宋体" w:hAnsi="宋体" w:eastAsia="宋体" w:cs="宋体"/>
                <w:sz w:val="20"/>
                <w:szCs w:val="20"/>
              </w:rPr>
            </w:pPr>
            <w:r>
              <w:rPr>
                <w:rFonts w:ascii="宋体" w:hAnsi="宋体" w:eastAsia="宋体" w:cs="宋体"/>
                <w:spacing w:val="-1"/>
                <w:sz w:val="20"/>
                <w:szCs w:val="20"/>
              </w:rPr>
              <w:t>生</w:t>
            </w:r>
            <w:r>
              <w:rPr>
                <w:rFonts w:ascii="宋体" w:hAnsi="宋体" w:eastAsia="宋体" w:cs="宋体"/>
                <w:sz w:val="20"/>
                <w:szCs w:val="20"/>
              </w:rPr>
              <w:t>产</w:t>
            </w:r>
          </w:p>
        </w:tc>
      </w:tr>
      <w:tr w14:paraId="67A59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7" w:type="dxa"/>
            <w:tcBorders>
              <w:left w:val="nil"/>
            </w:tcBorders>
            <w:vAlign w:val="top"/>
          </w:tcPr>
          <w:p w14:paraId="05810F83">
            <w:pPr>
              <w:spacing w:before="9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78" w:type="dxa"/>
            <w:vAlign w:val="top"/>
          </w:tcPr>
          <w:p w14:paraId="08602CF0">
            <w:pPr>
              <w:spacing w:before="63" w:line="228" w:lineRule="auto"/>
              <w:ind w:left="456"/>
              <w:rPr>
                <w:rFonts w:ascii="宋体" w:hAnsi="宋体" w:eastAsia="宋体" w:cs="宋体"/>
                <w:sz w:val="20"/>
                <w:szCs w:val="20"/>
              </w:rPr>
            </w:pPr>
            <w:r>
              <w:rPr>
                <w:rFonts w:ascii="宋体" w:hAnsi="宋体" w:eastAsia="宋体" w:cs="宋体"/>
                <w:spacing w:val="-4"/>
                <w:sz w:val="20"/>
                <w:szCs w:val="20"/>
              </w:rPr>
              <w:t>原</w:t>
            </w:r>
            <w:r>
              <w:rPr>
                <w:rFonts w:ascii="宋体" w:hAnsi="宋体" w:eastAsia="宋体" w:cs="宋体"/>
                <w:spacing w:val="-2"/>
                <w:sz w:val="20"/>
                <w:szCs w:val="20"/>
              </w:rPr>
              <w:t>料库</w:t>
            </w:r>
          </w:p>
        </w:tc>
        <w:tc>
          <w:tcPr>
            <w:tcW w:w="1488" w:type="dxa"/>
            <w:vAlign w:val="top"/>
          </w:tcPr>
          <w:p w14:paraId="1F2DCF39">
            <w:pPr>
              <w:spacing w:before="99"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1032" w:type="dxa"/>
            <w:vAlign w:val="top"/>
          </w:tcPr>
          <w:p w14:paraId="1A0A5662">
            <w:pPr>
              <w:spacing w:before="10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03D8F7F4">
            <w:pPr>
              <w:spacing w:before="99"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c>
          <w:tcPr>
            <w:tcW w:w="1102" w:type="dxa"/>
            <w:vAlign w:val="top"/>
          </w:tcPr>
          <w:p w14:paraId="66B7EFDF">
            <w:pPr>
              <w:spacing w:before="63"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54FAF5AA">
            <w:pPr>
              <w:spacing w:before="63" w:line="228" w:lineRule="auto"/>
              <w:ind w:left="465"/>
              <w:rPr>
                <w:rFonts w:ascii="宋体" w:hAnsi="宋体" w:eastAsia="宋体" w:cs="宋体"/>
                <w:sz w:val="20"/>
                <w:szCs w:val="20"/>
              </w:rPr>
            </w:pPr>
            <w:r>
              <w:rPr>
                <w:rFonts w:ascii="宋体" w:hAnsi="宋体" w:eastAsia="宋体" w:cs="宋体"/>
                <w:spacing w:val="-1"/>
                <w:sz w:val="20"/>
                <w:szCs w:val="20"/>
              </w:rPr>
              <w:t>生</w:t>
            </w:r>
            <w:r>
              <w:rPr>
                <w:rFonts w:ascii="宋体" w:hAnsi="宋体" w:eastAsia="宋体" w:cs="宋体"/>
                <w:sz w:val="20"/>
                <w:szCs w:val="20"/>
              </w:rPr>
              <w:t>产</w:t>
            </w:r>
          </w:p>
        </w:tc>
      </w:tr>
      <w:tr w14:paraId="15220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7" w:type="dxa"/>
            <w:tcBorders>
              <w:left w:val="nil"/>
            </w:tcBorders>
            <w:vAlign w:val="top"/>
          </w:tcPr>
          <w:p w14:paraId="3B5FA36D">
            <w:pPr>
              <w:spacing w:before="10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78" w:type="dxa"/>
            <w:vAlign w:val="top"/>
          </w:tcPr>
          <w:p w14:paraId="6A385819">
            <w:pPr>
              <w:spacing w:before="63" w:line="228" w:lineRule="auto"/>
              <w:ind w:left="455"/>
              <w:rPr>
                <w:rFonts w:ascii="宋体" w:hAnsi="宋体" w:eastAsia="宋体" w:cs="宋体"/>
                <w:sz w:val="20"/>
                <w:szCs w:val="20"/>
              </w:rPr>
            </w:pPr>
            <w:r>
              <w:rPr>
                <w:rFonts w:ascii="宋体" w:hAnsi="宋体" w:eastAsia="宋体" w:cs="宋体"/>
                <w:spacing w:val="-3"/>
                <w:sz w:val="20"/>
                <w:szCs w:val="20"/>
              </w:rPr>
              <w:t>办</w:t>
            </w:r>
            <w:r>
              <w:rPr>
                <w:rFonts w:ascii="宋体" w:hAnsi="宋体" w:eastAsia="宋体" w:cs="宋体"/>
                <w:spacing w:val="-2"/>
                <w:sz w:val="20"/>
                <w:szCs w:val="20"/>
              </w:rPr>
              <w:t>公室</w:t>
            </w:r>
          </w:p>
        </w:tc>
        <w:tc>
          <w:tcPr>
            <w:tcW w:w="1488" w:type="dxa"/>
            <w:vAlign w:val="top"/>
          </w:tcPr>
          <w:p w14:paraId="44D3C864">
            <w:pPr>
              <w:spacing w:before="100"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245</w:t>
            </w:r>
          </w:p>
        </w:tc>
        <w:tc>
          <w:tcPr>
            <w:tcW w:w="1032" w:type="dxa"/>
            <w:vAlign w:val="top"/>
          </w:tcPr>
          <w:p w14:paraId="4BBABC0B">
            <w:pPr>
              <w:spacing w:before="10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2249DC8A">
            <w:pPr>
              <w:spacing w:before="100"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245</w:t>
            </w:r>
          </w:p>
        </w:tc>
        <w:tc>
          <w:tcPr>
            <w:tcW w:w="1102" w:type="dxa"/>
            <w:vAlign w:val="top"/>
          </w:tcPr>
          <w:p w14:paraId="401CB294">
            <w:pPr>
              <w:spacing w:before="64"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2329B99F">
            <w:pPr>
              <w:spacing w:before="63" w:line="228" w:lineRule="auto"/>
              <w:ind w:left="467"/>
              <w:rPr>
                <w:rFonts w:ascii="宋体" w:hAnsi="宋体" w:eastAsia="宋体" w:cs="宋体"/>
                <w:sz w:val="20"/>
                <w:szCs w:val="20"/>
              </w:rPr>
            </w:pPr>
            <w:r>
              <w:rPr>
                <w:rFonts w:ascii="宋体" w:hAnsi="宋体" w:eastAsia="宋体" w:cs="宋体"/>
                <w:spacing w:val="-2"/>
                <w:sz w:val="20"/>
                <w:szCs w:val="20"/>
              </w:rPr>
              <w:t>办公</w:t>
            </w:r>
          </w:p>
        </w:tc>
      </w:tr>
      <w:tr w14:paraId="684F0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37" w:type="dxa"/>
            <w:tcBorders>
              <w:left w:val="nil"/>
            </w:tcBorders>
            <w:vAlign w:val="top"/>
          </w:tcPr>
          <w:p w14:paraId="374A319C">
            <w:pPr>
              <w:spacing w:before="104" w:line="192"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8" w:type="dxa"/>
            <w:vAlign w:val="top"/>
          </w:tcPr>
          <w:p w14:paraId="37362123">
            <w:pPr>
              <w:spacing w:before="27" w:line="281" w:lineRule="exact"/>
              <w:ind w:left="172"/>
              <w:rPr>
                <w:rFonts w:ascii="宋体" w:hAnsi="宋体" w:eastAsia="宋体" w:cs="宋体"/>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员工休息室</w:t>
            </w:r>
          </w:p>
        </w:tc>
        <w:tc>
          <w:tcPr>
            <w:tcW w:w="1488" w:type="dxa"/>
            <w:vAlign w:val="top"/>
          </w:tcPr>
          <w:p w14:paraId="4F6415CB">
            <w:pPr>
              <w:spacing w:before="101"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50</w:t>
            </w:r>
          </w:p>
        </w:tc>
        <w:tc>
          <w:tcPr>
            <w:tcW w:w="1032" w:type="dxa"/>
            <w:vAlign w:val="top"/>
          </w:tcPr>
          <w:p w14:paraId="54FB6FAC">
            <w:pPr>
              <w:spacing w:before="101"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69828019">
            <w:pPr>
              <w:spacing w:before="10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50</w:t>
            </w:r>
          </w:p>
        </w:tc>
        <w:tc>
          <w:tcPr>
            <w:tcW w:w="1102" w:type="dxa"/>
            <w:vAlign w:val="top"/>
          </w:tcPr>
          <w:p w14:paraId="5D927808">
            <w:pPr>
              <w:spacing w:before="65"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4EF2A06F">
            <w:pPr>
              <w:spacing w:before="65" w:line="228" w:lineRule="auto"/>
              <w:ind w:left="467"/>
              <w:rPr>
                <w:rFonts w:ascii="宋体" w:hAnsi="宋体" w:eastAsia="宋体" w:cs="宋体"/>
                <w:sz w:val="20"/>
                <w:szCs w:val="20"/>
              </w:rPr>
            </w:pPr>
            <w:r>
              <w:rPr>
                <w:rFonts w:ascii="宋体" w:hAnsi="宋体" w:eastAsia="宋体" w:cs="宋体"/>
                <w:spacing w:val="-2"/>
                <w:sz w:val="20"/>
                <w:szCs w:val="20"/>
              </w:rPr>
              <w:t>办公</w:t>
            </w:r>
          </w:p>
        </w:tc>
      </w:tr>
      <w:tr w14:paraId="4F2FF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7" w:type="dxa"/>
            <w:tcBorders>
              <w:left w:val="nil"/>
            </w:tcBorders>
            <w:vAlign w:val="top"/>
          </w:tcPr>
          <w:p w14:paraId="70624796">
            <w:pPr>
              <w:spacing w:before="9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78" w:type="dxa"/>
            <w:vAlign w:val="top"/>
          </w:tcPr>
          <w:p w14:paraId="7066D7E2">
            <w:pPr>
              <w:spacing w:before="25" w:line="281" w:lineRule="exact"/>
              <w:ind w:left="152"/>
              <w:rPr>
                <w:rFonts w:ascii="宋体" w:hAnsi="宋体" w:eastAsia="宋体" w:cs="宋体"/>
                <w:sz w:val="20"/>
                <w:szCs w:val="20"/>
              </w:rPr>
            </w:pPr>
            <w:r>
              <w:rPr>
                <w:rFonts w:ascii="Times New Roman" w:hAnsi="Times New Roman" w:eastAsia="Times New Roman" w:cs="Times New Roman"/>
                <w:spacing w:val="-2"/>
                <w:position w:val="1"/>
                <w:sz w:val="20"/>
                <w:szCs w:val="20"/>
              </w:rPr>
              <w:t>2#</w:t>
            </w:r>
            <w:r>
              <w:rPr>
                <w:rFonts w:ascii="宋体" w:hAnsi="宋体" w:eastAsia="宋体" w:cs="宋体"/>
                <w:spacing w:val="-1"/>
                <w:position w:val="1"/>
                <w:sz w:val="20"/>
                <w:szCs w:val="20"/>
              </w:rPr>
              <w:t>员工休息室</w:t>
            </w:r>
          </w:p>
        </w:tc>
        <w:tc>
          <w:tcPr>
            <w:tcW w:w="1488" w:type="dxa"/>
            <w:vAlign w:val="top"/>
          </w:tcPr>
          <w:p w14:paraId="05CD6AA9">
            <w:pPr>
              <w:spacing w:before="99"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75</w:t>
            </w:r>
          </w:p>
        </w:tc>
        <w:tc>
          <w:tcPr>
            <w:tcW w:w="1032" w:type="dxa"/>
            <w:vAlign w:val="top"/>
          </w:tcPr>
          <w:p w14:paraId="5B99F970">
            <w:pPr>
              <w:spacing w:before="99"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5DD557E3">
            <w:pPr>
              <w:spacing w:before="9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75</w:t>
            </w:r>
          </w:p>
        </w:tc>
        <w:tc>
          <w:tcPr>
            <w:tcW w:w="1102" w:type="dxa"/>
            <w:vAlign w:val="top"/>
          </w:tcPr>
          <w:p w14:paraId="384C0E95">
            <w:pPr>
              <w:spacing w:before="63"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57D7F010">
            <w:pPr>
              <w:spacing w:before="62" w:line="228" w:lineRule="auto"/>
              <w:ind w:left="467"/>
              <w:rPr>
                <w:rFonts w:ascii="宋体" w:hAnsi="宋体" w:eastAsia="宋体" w:cs="宋体"/>
                <w:sz w:val="20"/>
                <w:szCs w:val="20"/>
              </w:rPr>
            </w:pPr>
            <w:r>
              <w:rPr>
                <w:rFonts w:ascii="宋体" w:hAnsi="宋体" w:eastAsia="宋体" w:cs="宋体"/>
                <w:spacing w:val="-2"/>
                <w:sz w:val="20"/>
                <w:szCs w:val="20"/>
              </w:rPr>
              <w:t>办公</w:t>
            </w:r>
          </w:p>
        </w:tc>
      </w:tr>
      <w:tr w14:paraId="76AAF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7" w:type="dxa"/>
            <w:tcBorders>
              <w:left w:val="nil"/>
            </w:tcBorders>
            <w:vAlign w:val="top"/>
          </w:tcPr>
          <w:p w14:paraId="03C6ED1E">
            <w:pPr>
              <w:spacing w:before="103" w:line="192"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78" w:type="dxa"/>
            <w:vAlign w:val="top"/>
          </w:tcPr>
          <w:p w14:paraId="5796C410">
            <w:pPr>
              <w:spacing w:before="64" w:line="228" w:lineRule="auto"/>
              <w:ind w:left="256"/>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2"/>
                <w:sz w:val="20"/>
                <w:szCs w:val="20"/>
              </w:rPr>
              <w:t>品备件库</w:t>
            </w:r>
          </w:p>
        </w:tc>
        <w:tc>
          <w:tcPr>
            <w:tcW w:w="1488" w:type="dxa"/>
            <w:vAlign w:val="top"/>
          </w:tcPr>
          <w:p w14:paraId="24F0C336">
            <w:pPr>
              <w:spacing w:before="100"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1032" w:type="dxa"/>
            <w:vAlign w:val="top"/>
          </w:tcPr>
          <w:p w14:paraId="0726DDD1">
            <w:pPr>
              <w:spacing w:before="10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14:paraId="5310C0EB">
            <w:pPr>
              <w:spacing w:before="100"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1102" w:type="dxa"/>
            <w:vAlign w:val="top"/>
          </w:tcPr>
          <w:p w14:paraId="30AB7EC1">
            <w:pPr>
              <w:spacing w:before="64" w:line="230" w:lineRule="auto"/>
              <w:ind w:left="360"/>
              <w:rPr>
                <w:rFonts w:ascii="宋体" w:hAnsi="宋体" w:eastAsia="宋体" w:cs="宋体"/>
                <w:sz w:val="20"/>
                <w:szCs w:val="20"/>
              </w:rPr>
            </w:pPr>
            <w:r>
              <w:rPr>
                <w:rFonts w:ascii="宋体" w:hAnsi="宋体" w:eastAsia="宋体" w:cs="宋体"/>
                <w:sz w:val="20"/>
                <w:szCs w:val="20"/>
              </w:rPr>
              <w:t>砖混</w:t>
            </w:r>
          </w:p>
        </w:tc>
        <w:tc>
          <w:tcPr>
            <w:tcW w:w="1306" w:type="dxa"/>
            <w:tcBorders>
              <w:right w:val="nil"/>
            </w:tcBorders>
            <w:vAlign w:val="top"/>
          </w:tcPr>
          <w:p w14:paraId="1C72229B">
            <w:pPr>
              <w:spacing w:before="64" w:line="228" w:lineRule="auto"/>
              <w:ind w:left="465"/>
              <w:rPr>
                <w:rFonts w:ascii="宋体" w:hAnsi="宋体" w:eastAsia="宋体" w:cs="宋体"/>
                <w:sz w:val="20"/>
                <w:szCs w:val="20"/>
              </w:rPr>
            </w:pPr>
            <w:r>
              <w:rPr>
                <w:rFonts w:ascii="宋体" w:hAnsi="宋体" w:eastAsia="宋体" w:cs="宋体"/>
                <w:spacing w:val="-1"/>
                <w:sz w:val="20"/>
                <w:szCs w:val="20"/>
              </w:rPr>
              <w:t>生</w:t>
            </w:r>
            <w:r>
              <w:rPr>
                <w:rFonts w:ascii="宋体" w:hAnsi="宋体" w:eastAsia="宋体" w:cs="宋体"/>
                <w:sz w:val="20"/>
                <w:szCs w:val="20"/>
              </w:rPr>
              <w:t>产</w:t>
            </w:r>
          </w:p>
        </w:tc>
      </w:tr>
      <w:tr w14:paraId="56E6F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37" w:type="dxa"/>
            <w:tcBorders>
              <w:left w:val="nil"/>
            </w:tcBorders>
            <w:vAlign w:val="top"/>
          </w:tcPr>
          <w:p w14:paraId="37C052E7">
            <w:pPr>
              <w:spacing w:before="10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78" w:type="dxa"/>
            <w:vAlign w:val="top"/>
          </w:tcPr>
          <w:p w14:paraId="5F63A031">
            <w:pPr>
              <w:spacing w:before="65" w:line="229" w:lineRule="auto"/>
              <w:ind w:left="550"/>
              <w:rPr>
                <w:rFonts w:ascii="宋体" w:hAnsi="宋体" w:eastAsia="宋体" w:cs="宋体"/>
                <w:sz w:val="20"/>
                <w:szCs w:val="20"/>
              </w:rPr>
            </w:pPr>
            <w:r>
              <w:rPr>
                <w:rFonts w:ascii="宋体" w:hAnsi="宋体" w:eastAsia="宋体" w:cs="宋体"/>
                <w:sz w:val="20"/>
                <w:szCs w:val="20"/>
              </w:rPr>
              <w:t>合计</w:t>
            </w:r>
          </w:p>
        </w:tc>
        <w:tc>
          <w:tcPr>
            <w:tcW w:w="1488" w:type="dxa"/>
            <w:vAlign w:val="top"/>
          </w:tcPr>
          <w:p w14:paraId="3EDD70AB">
            <w:pPr>
              <w:spacing w:before="101"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600</w:t>
            </w:r>
          </w:p>
        </w:tc>
        <w:tc>
          <w:tcPr>
            <w:tcW w:w="1032" w:type="dxa"/>
            <w:vAlign w:val="top"/>
          </w:tcPr>
          <w:p w14:paraId="049CCE6F">
            <w:pPr>
              <w:spacing w:before="28" w:line="281"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78" w:type="dxa"/>
            <w:vAlign w:val="top"/>
          </w:tcPr>
          <w:p w14:paraId="02BAE4D2">
            <w:pPr>
              <w:spacing w:before="101"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600</w:t>
            </w:r>
          </w:p>
        </w:tc>
        <w:tc>
          <w:tcPr>
            <w:tcW w:w="1102" w:type="dxa"/>
            <w:vAlign w:val="top"/>
          </w:tcPr>
          <w:p w14:paraId="62BEE449">
            <w:pPr>
              <w:spacing w:before="28" w:line="281"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06" w:type="dxa"/>
            <w:tcBorders>
              <w:right w:val="nil"/>
            </w:tcBorders>
            <w:vAlign w:val="top"/>
          </w:tcPr>
          <w:p w14:paraId="50E4843E">
            <w:pPr>
              <w:spacing w:before="28" w:line="281" w:lineRule="exact"/>
              <w:ind w:left="6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14:paraId="43521455">
      <w:pPr>
        <w:spacing w:line="270" w:lineRule="auto"/>
        <w:rPr>
          <w:rFonts w:ascii="Arial"/>
          <w:sz w:val="21"/>
        </w:rPr>
      </w:pPr>
    </w:p>
    <w:p w14:paraId="4EF0027A">
      <w:pPr>
        <w:spacing w:before="75" w:line="227" w:lineRule="auto"/>
        <w:ind w:left="579"/>
        <w:rPr>
          <w:rFonts w:ascii="宋体" w:hAnsi="宋体" w:eastAsia="宋体" w:cs="宋体"/>
          <w:sz w:val="23"/>
          <w:szCs w:val="23"/>
        </w:rPr>
      </w:pPr>
      <w:r>
        <w:rPr>
          <w:rFonts w:ascii="宋体" w:hAnsi="宋体" w:eastAsia="宋体" w:cs="宋体"/>
          <w:spacing w:val="-16"/>
          <w:sz w:val="23"/>
          <w:szCs w:val="23"/>
        </w:rPr>
        <w:t>项目</w:t>
      </w:r>
      <w:r>
        <w:rPr>
          <w:rFonts w:ascii="宋体" w:hAnsi="宋体" w:eastAsia="宋体" w:cs="宋体"/>
          <w:spacing w:val="-12"/>
          <w:sz w:val="23"/>
          <w:szCs w:val="23"/>
        </w:rPr>
        <w:t>主</w:t>
      </w:r>
      <w:r>
        <w:rPr>
          <w:rFonts w:ascii="宋体" w:hAnsi="宋体" w:eastAsia="宋体" w:cs="宋体"/>
          <w:spacing w:val="-8"/>
          <w:sz w:val="23"/>
          <w:szCs w:val="23"/>
        </w:rPr>
        <w:t xml:space="preserve">要建设内容为主体工程、配套工程、公用工程等，项目组成内容见表 </w:t>
      </w:r>
      <w:r>
        <w:rPr>
          <w:rFonts w:ascii="Times New Roman" w:hAnsi="Times New Roman" w:eastAsia="Times New Roman" w:cs="Times New Roman"/>
          <w:spacing w:val="-8"/>
          <w:sz w:val="23"/>
          <w:szCs w:val="23"/>
        </w:rPr>
        <w:t>3-3</w:t>
      </w:r>
      <w:r>
        <w:rPr>
          <w:rFonts w:ascii="宋体" w:hAnsi="宋体" w:eastAsia="宋体" w:cs="宋体"/>
          <w:spacing w:val="-8"/>
          <w:sz w:val="23"/>
          <w:szCs w:val="23"/>
        </w:rPr>
        <w:t>。</w:t>
      </w:r>
    </w:p>
    <w:p w14:paraId="0711EFAD">
      <w:pPr>
        <w:spacing w:line="288" w:lineRule="auto"/>
        <w:rPr>
          <w:rFonts w:ascii="Arial"/>
          <w:sz w:val="21"/>
        </w:rPr>
      </w:pPr>
    </w:p>
    <w:p w14:paraId="268586EC">
      <w:pPr>
        <w:spacing w:before="75" w:line="228" w:lineRule="auto"/>
        <w:ind w:left="2936"/>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3-3</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项目组成一览表</w:t>
      </w:r>
    </w:p>
    <w:p w14:paraId="4B783025">
      <w:pPr>
        <w:spacing w:line="17" w:lineRule="exact"/>
      </w:pPr>
    </w:p>
    <w:tbl>
      <w:tblPr>
        <w:tblStyle w:val="4"/>
        <w:tblW w:w="8352" w:type="dxa"/>
        <w:tblInd w:w="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1"/>
        <w:gridCol w:w="1276"/>
        <w:gridCol w:w="6555"/>
      </w:tblGrid>
      <w:tr w14:paraId="089B2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797" w:type="dxa"/>
            <w:gridSpan w:val="2"/>
            <w:tcBorders>
              <w:left w:val="nil"/>
            </w:tcBorders>
            <w:vAlign w:val="top"/>
          </w:tcPr>
          <w:p w14:paraId="22164B7B">
            <w:pPr>
              <w:spacing w:before="85" w:line="228" w:lineRule="auto"/>
              <w:ind w:left="513"/>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工程</w:t>
            </w:r>
            <w:r>
              <w:rPr>
                <w:rFonts w:ascii="宋体" w:hAnsi="宋体" w:eastAsia="宋体" w:cs="宋体"/>
                <w:spacing w:val="-1"/>
                <w:sz w:val="20"/>
                <w:szCs w:val="20"/>
                <w14:textOutline w14:w="3795" w14:cap="sq" w14:cmpd="sng">
                  <w14:solidFill>
                    <w14:srgbClr w14:val="000000"/>
                  </w14:solidFill>
                  <w14:prstDash w14:val="solid"/>
                  <w14:bevel/>
                </w14:textOutline>
              </w:rPr>
              <w:t>类别</w:t>
            </w:r>
          </w:p>
        </w:tc>
        <w:tc>
          <w:tcPr>
            <w:tcW w:w="6555" w:type="dxa"/>
            <w:tcBorders>
              <w:right w:val="nil"/>
            </w:tcBorders>
            <w:vAlign w:val="top"/>
          </w:tcPr>
          <w:p w14:paraId="011B290E">
            <w:pPr>
              <w:spacing w:before="85" w:line="228" w:lineRule="auto"/>
              <w:ind w:left="259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建设内容及规</w:t>
            </w:r>
            <w:r>
              <w:rPr>
                <w:rFonts w:ascii="宋体" w:hAnsi="宋体" w:eastAsia="宋体" w:cs="宋体"/>
                <w:spacing w:val="-1"/>
                <w:sz w:val="20"/>
                <w:szCs w:val="20"/>
                <w14:textOutline w14:w="3795" w14:cap="sq" w14:cmpd="sng">
                  <w14:solidFill>
                    <w14:srgbClr w14:val="000000"/>
                  </w14:solidFill>
                  <w14:prstDash w14:val="solid"/>
                  <w14:bevel/>
                </w14:textOutline>
              </w:rPr>
              <w:t>模</w:t>
            </w:r>
          </w:p>
        </w:tc>
      </w:tr>
      <w:tr w14:paraId="2EF19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521" w:type="dxa"/>
            <w:tcBorders>
              <w:left w:val="nil"/>
            </w:tcBorders>
            <w:vAlign w:val="top"/>
          </w:tcPr>
          <w:p w14:paraId="4223CF71">
            <w:pPr>
              <w:spacing w:line="344" w:lineRule="auto"/>
              <w:rPr>
                <w:rFonts w:ascii="Arial"/>
                <w:sz w:val="21"/>
              </w:rPr>
            </w:pPr>
          </w:p>
          <w:p w14:paraId="51D302F2">
            <w:pPr>
              <w:spacing w:line="345" w:lineRule="auto"/>
              <w:rPr>
                <w:rFonts w:ascii="Arial"/>
                <w:sz w:val="21"/>
              </w:rPr>
            </w:pPr>
          </w:p>
          <w:p w14:paraId="2C3B00D5">
            <w:pPr>
              <w:spacing w:before="65" w:line="265" w:lineRule="auto"/>
              <w:ind w:left="73" w:right="48"/>
              <w:rPr>
                <w:rFonts w:ascii="宋体" w:hAnsi="宋体" w:eastAsia="宋体" w:cs="宋体"/>
                <w:sz w:val="20"/>
                <w:szCs w:val="20"/>
              </w:rPr>
            </w:pPr>
            <w:r>
              <w:rPr>
                <w:rFonts w:ascii="宋体" w:hAnsi="宋体" w:eastAsia="宋体" w:cs="宋体"/>
                <w:spacing w:val="-3"/>
                <w:sz w:val="20"/>
                <w:szCs w:val="20"/>
              </w:rPr>
              <w:t>主</w:t>
            </w:r>
            <w:r>
              <w:rPr>
                <w:rFonts w:ascii="宋体" w:hAnsi="宋体" w:eastAsia="宋体" w:cs="宋体"/>
                <w:spacing w:val="-2"/>
                <w:sz w:val="20"/>
                <w:szCs w:val="20"/>
              </w:rPr>
              <w:t>体</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程</w:t>
            </w:r>
          </w:p>
        </w:tc>
        <w:tc>
          <w:tcPr>
            <w:tcW w:w="1276" w:type="dxa"/>
            <w:vAlign w:val="top"/>
          </w:tcPr>
          <w:p w14:paraId="50CD51F6">
            <w:pPr>
              <w:spacing w:line="274" w:lineRule="auto"/>
              <w:rPr>
                <w:rFonts w:ascii="Arial"/>
                <w:sz w:val="21"/>
              </w:rPr>
            </w:pPr>
          </w:p>
          <w:p w14:paraId="661C03F2">
            <w:pPr>
              <w:spacing w:line="275" w:lineRule="auto"/>
              <w:rPr>
                <w:rFonts w:ascii="Arial"/>
                <w:sz w:val="21"/>
              </w:rPr>
            </w:pPr>
          </w:p>
          <w:p w14:paraId="4A8F3043">
            <w:pPr>
              <w:spacing w:line="275" w:lineRule="auto"/>
              <w:rPr>
                <w:rFonts w:ascii="Arial"/>
                <w:sz w:val="21"/>
              </w:rPr>
            </w:pPr>
          </w:p>
          <w:p w14:paraId="4EB4E829">
            <w:pPr>
              <w:spacing w:before="65" w:line="228" w:lineRule="auto"/>
              <w:ind w:left="253"/>
              <w:rPr>
                <w:rFonts w:ascii="宋体" w:hAnsi="宋体" w:eastAsia="宋体" w:cs="宋体"/>
                <w:sz w:val="20"/>
                <w:szCs w:val="20"/>
              </w:rPr>
            </w:pPr>
            <w:r>
              <w:rPr>
                <w:rFonts w:ascii="宋体" w:hAnsi="宋体" w:eastAsia="宋体" w:cs="宋体"/>
                <w:spacing w:val="-2"/>
                <w:sz w:val="20"/>
                <w:szCs w:val="20"/>
              </w:rPr>
              <w:t>生产厂房</w:t>
            </w:r>
          </w:p>
        </w:tc>
        <w:tc>
          <w:tcPr>
            <w:tcW w:w="6555" w:type="dxa"/>
            <w:tcBorders>
              <w:right w:val="nil"/>
            </w:tcBorders>
            <w:vAlign w:val="top"/>
          </w:tcPr>
          <w:p w14:paraId="63EBD0AC">
            <w:pPr>
              <w:spacing w:before="63" w:line="294" w:lineRule="auto"/>
              <w:ind w:left="45" w:firstLine="16"/>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4"/>
                <w:sz w:val="20"/>
                <w:szCs w:val="20"/>
              </w:rPr>
              <w:t>F</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封闭厂</w:t>
            </w:r>
            <w:r>
              <w:rPr>
                <w:rFonts w:ascii="宋体" w:hAnsi="宋体" w:eastAsia="宋体" w:cs="宋体"/>
                <w:spacing w:val="-4"/>
                <w:sz w:val="20"/>
                <w:szCs w:val="20"/>
              </w:rPr>
              <w:t>房，</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栋，砖混结构，建筑面积 </w:t>
            </w:r>
            <w:r>
              <w:rPr>
                <w:rFonts w:ascii="Times New Roman" w:hAnsi="Times New Roman" w:eastAsia="Times New Roman" w:cs="Times New Roman"/>
                <w:spacing w:val="-4"/>
                <w:sz w:val="20"/>
                <w:szCs w:val="20"/>
              </w:rPr>
              <w:t>600m</w:t>
            </w:r>
            <w:r>
              <w:rPr>
                <w:rFonts w:ascii="Times New Roman" w:hAnsi="Times New Roman" w:eastAsia="Times New Roman" w:cs="Times New Roman"/>
                <w:spacing w:val="-4"/>
                <w:position w:val="6"/>
                <w:sz w:val="13"/>
                <w:szCs w:val="13"/>
              </w:rPr>
              <w:t xml:space="preserve">2 </w:t>
            </w:r>
            <w:r>
              <w:rPr>
                <w:rFonts w:ascii="宋体" w:hAnsi="宋体" w:eastAsia="宋体" w:cs="宋体"/>
                <w:spacing w:val="-4"/>
                <w:sz w:val="20"/>
                <w:szCs w:val="20"/>
              </w:rPr>
              <w:t xml:space="preserve">，内设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条废旧塑料加工</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9"/>
                <w:sz w:val="20"/>
                <w:szCs w:val="20"/>
              </w:rPr>
              <w:t xml:space="preserve">产线，预计年产废旧塑料再生颗粒 </w:t>
            </w:r>
            <w:r>
              <w:rPr>
                <w:rFonts w:ascii="Times New Roman" w:hAnsi="Times New Roman" w:eastAsia="Times New Roman" w:cs="Times New Roman"/>
                <w:spacing w:val="-9"/>
                <w:sz w:val="20"/>
                <w:szCs w:val="20"/>
              </w:rPr>
              <w:t xml:space="preserve">50000 </w:t>
            </w:r>
            <w:r>
              <w:rPr>
                <w:rFonts w:ascii="宋体" w:hAnsi="宋体" w:eastAsia="宋体" w:cs="宋体"/>
                <w:spacing w:val="-9"/>
                <w:sz w:val="20"/>
                <w:szCs w:val="20"/>
              </w:rPr>
              <w:t>吨，主要设备为喂料机、粉碎机、</w:t>
            </w:r>
            <w:r>
              <w:rPr>
                <w:rFonts w:ascii="宋体" w:hAnsi="宋体" w:eastAsia="宋体" w:cs="宋体"/>
                <w:sz w:val="20"/>
                <w:szCs w:val="20"/>
              </w:rPr>
              <w:t xml:space="preserve"> </w:t>
            </w:r>
            <w:r>
              <w:rPr>
                <w:rFonts w:ascii="宋体" w:hAnsi="宋体" w:eastAsia="宋体" w:cs="宋体"/>
                <w:spacing w:val="-6"/>
                <w:sz w:val="20"/>
                <w:szCs w:val="20"/>
              </w:rPr>
              <w:t xml:space="preserve">洗料机、吸料机、挤出机、制粒机、输送带等；生产厂房内东北侧设有 </w:t>
            </w:r>
            <w:r>
              <w:rPr>
                <w:rFonts w:ascii="Times New Roman" w:hAnsi="Times New Roman" w:eastAsia="Times New Roman" w:cs="Times New Roman"/>
                <w:spacing w:val="-6"/>
                <w:sz w:val="20"/>
                <w:szCs w:val="20"/>
              </w:rPr>
              <w:t xml:space="preserve">1 </w:t>
            </w:r>
            <w:r>
              <w:rPr>
                <w:rFonts w:ascii="宋体" w:hAnsi="宋体" w:eastAsia="宋体" w:cs="宋体"/>
                <w:sz w:val="20"/>
                <w:szCs w:val="20"/>
              </w:rPr>
              <w:t xml:space="preserve">间 </w:t>
            </w:r>
            <w:r>
              <w:rPr>
                <w:rFonts w:ascii="宋体" w:hAnsi="宋体" w:eastAsia="宋体" w:cs="宋体"/>
                <w:spacing w:val="-10"/>
                <w:sz w:val="20"/>
                <w:szCs w:val="20"/>
              </w:rPr>
              <w:t>建</w:t>
            </w:r>
            <w:r>
              <w:rPr>
                <w:rFonts w:ascii="宋体" w:hAnsi="宋体" w:eastAsia="宋体" w:cs="宋体"/>
                <w:spacing w:val="-8"/>
                <w:sz w:val="20"/>
                <w:szCs w:val="20"/>
              </w:rPr>
              <w:t>筑</w:t>
            </w:r>
            <w:r>
              <w:rPr>
                <w:rFonts w:ascii="宋体" w:hAnsi="宋体" w:eastAsia="宋体" w:cs="宋体"/>
                <w:spacing w:val="-5"/>
                <w:sz w:val="20"/>
                <w:szCs w:val="20"/>
              </w:rPr>
              <w:t xml:space="preserve">面积为 </w:t>
            </w:r>
            <w:r>
              <w:rPr>
                <w:rFonts w:ascii="Times New Roman" w:hAnsi="Times New Roman" w:eastAsia="Times New Roman" w:cs="Times New Roman"/>
                <w:spacing w:val="-5"/>
                <w:sz w:val="20"/>
                <w:szCs w:val="20"/>
              </w:rPr>
              <w:t>30m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 xml:space="preserve">的锅炉房，内设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 xml:space="preserve">台 </w:t>
            </w:r>
            <w:r>
              <w:rPr>
                <w:rFonts w:ascii="Times New Roman" w:hAnsi="Times New Roman" w:eastAsia="Times New Roman" w:cs="Times New Roman"/>
                <w:spacing w:val="-5"/>
                <w:sz w:val="20"/>
                <w:szCs w:val="20"/>
              </w:rPr>
              <w:t xml:space="preserve">2t/h </w:t>
            </w:r>
            <w:r>
              <w:rPr>
                <w:rFonts w:ascii="宋体" w:hAnsi="宋体" w:eastAsia="宋体" w:cs="宋体"/>
                <w:spacing w:val="-5"/>
                <w:sz w:val="20"/>
                <w:szCs w:val="20"/>
              </w:rPr>
              <w:t>的热风炉，用于洗字槽加热，热</w:t>
            </w:r>
            <w:r>
              <w:rPr>
                <w:rFonts w:ascii="宋体" w:hAnsi="宋体" w:eastAsia="宋体" w:cs="宋体"/>
                <w:sz w:val="20"/>
                <w:szCs w:val="20"/>
              </w:rPr>
              <w:t xml:space="preserve"> </w:t>
            </w:r>
            <w:r>
              <w:rPr>
                <w:rFonts w:ascii="宋体" w:hAnsi="宋体" w:eastAsia="宋体" w:cs="宋体"/>
                <w:spacing w:val="-10"/>
                <w:sz w:val="20"/>
                <w:szCs w:val="20"/>
              </w:rPr>
              <w:t>风炉所</w:t>
            </w:r>
            <w:r>
              <w:rPr>
                <w:rFonts w:ascii="宋体" w:hAnsi="宋体" w:eastAsia="宋体" w:cs="宋体"/>
                <w:spacing w:val="-6"/>
                <w:sz w:val="20"/>
                <w:szCs w:val="20"/>
              </w:rPr>
              <w:t>用</w:t>
            </w:r>
            <w:r>
              <w:rPr>
                <w:rFonts w:ascii="宋体" w:hAnsi="宋体" w:eastAsia="宋体" w:cs="宋体"/>
                <w:spacing w:val="-5"/>
                <w:sz w:val="20"/>
                <w:szCs w:val="20"/>
              </w:rPr>
              <w:t xml:space="preserve">生物质燃料均为袋装，单袋重量为 </w:t>
            </w:r>
            <w:r>
              <w:rPr>
                <w:rFonts w:ascii="Times New Roman" w:hAnsi="Times New Roman" w:eastAsia="Times New Roman" w:cs="Times New Roman"/>
                <w:spacing w:val="-5"/>
                <w:sz w:val="20"/>
                <w:szCs w:val="20"/>
              </w:rPr>
              <w:t xml:space="preserve">50kg </w:t>
            </w:r>
            <w:r>
              <w:rPr>
                <w:rFonts w:ascii="宋体" w:hAnsi="宋体" w:eastAsia="宋体" w:cs="宋体"/>
                <w:spacing w:val="-5"/>
                <w:sz w:val="20"/>
                <w:szCs w:val="20"/>
              </w:rPr>
              <w:t>(固态) ，生物质燃料均存</w:t>
            </w:r>
            <w:r>
              <w:rPr>
                <w:rFonts w:ascii="宋体" w:hAnsi="宋体" w:eastAsia="宋体" w:cs="宋体"/>
                <w:sz w:val="20"/>
                <w:szCs w:val="20"/>
              </w:rPr>
              <w:t xml:space="preserve"> </w:t>
            </w:r>
            <w:r>
              <w:rPr>
                <w:rFonts w:ascii="宋体" w:hAnsi="宋体" w:eastAsia="宋体" w:cs="宋体"/>
                <w:spacing w:val="-6"/>
                <w:sz w:val="20"/>
                <w:szCs w:val="20"/>
              </w:rPr>
              <w:t>放</w:t>
            </w:r>
            <w:r>
              <w:rPr>
                <w:rFonts w:ascii="宋体" w:hAnsi="宋体" w:eastAsia="宋体" w:cs="宋体"/>
                <w:spacing w:val="-4"/>
                <w:sz w:val="20"/>
                <w:szCs w:val="20"/>
              </w:rPr>
              <w:t>于</w:t>
            </w:r>
            <w:r>
              <w:rPr>
                <w:rFonts w:ascii="宋体" w:hAnsi="宋体" w:eastAsia="宋体" w:cs="宋体"/>
                <w:spacing w:val="-3"/>
                <w:sz w:val="20"/>
                <w:szCs w:val="20"/>
              </w:rPr>
              <w:t>锅炉房内。</w:t>
            </w:r>
          </w:p>
        </w:tc>
      </w:tr>
      <w:tr w14:paraId="01773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21" w:type="dxa"/>
            <w:vMerge w:val="restart"/>
            <w:tcBorders>
              <w:left w:val="nil"/>
              <w:bottom w:val="nil"/>
            </w:tcBorders>
            <w:vAlign w:val="top"/>
          </w:tcPr>
          <w:p w14:paraId="1BFE9689">
            <w:pPr>
              <w:spacing w:before="100" w:line="267" w:lineRule="auto"/>
              <w:ind w:left="73" w:right="48"/>
              <w:rPr>
                <w:rFonts w:ascii="宋体" w:hAnsi="宋体" w:eastAsia="宋体" w:cs="宋体"/>
                <w:sz w:val="20"/>
                <w:szCs w:val="20"/>
              </w:rPr>
            </w:pPr>
            <w:r>
              <w:rPr>
                <w:rFonts w:ascii="宋体" w:hAnsi="宋体" w:eastAsia="宋体" w:cs="宋体"/>
                <w:spacing w:val="-3"/>
                <w:sz w:val="20"/>
                <w:szCs w:val="20"/>
              </w:rPr>
              <w:t>辅</w:t>
            </w:r>
            <w:r>
              <w:rPr>
                <w:rFonts w:ascii="宋体" w:hAnsi="宋体" w:eastAsia="宋体" w:cs="宋体"/>
                <w:spacing w:val="-2"/>
                <w:sz w:val="20"/>
                <w:szCs w:val="20"/>
              </w:rPr>
              <w:t>助</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程</w:t>
            </w:r>
          </w:p>
        </w:tc>
        <w:tc>
          <w:tcPr>
            <w:tcW w:w="1276" w:type="dxa"/>
            <w:vAlign w:val="top"/>
          </w:tcPr>
          <w:p w14:paraId="43A70FA4">
            <w:pPr>
              <w:spacing w:before="65" w:line="228" w:lineRule="auto"/>
              <w:ind w:left="354"/>
              <w:rPr>
                <w:rFonts w:ascii="宋体" w:hAnsi="宋体" w:eastAsia="宋体" w:cs="宋体"/>
                <w:sz w:val="20"/>
                <w:szCs w:val="20"/>
              </w:rPr>
            </w:pPr>
            <w:r>
              <w:rPr>
                <w:rFonts w:ascii="宋体" w:hAnsi="宋体" w:eastAsia="宋体" w:cs="宋体"/>
                <w:spacing w:val="-3"/>
                <w:sz w:val="20"/>
                <w:szCs w:val="20"/>
              </w:rPr>
              <w:t>办</w:t>
            </w:r>
            <w:r>
              <w:rPr>
                <w:rFonts w:ascii="宋体" w:hAnsi="宋体" w:eastAsia="宋体" w:cs="宋体"/>
                <w:spacing w:val="-2"/>
                <w:sz w:val="20"/>
                <w:szCs w:val="20"/>
              </w:rPr>
              <w:t>公室</w:t>
            </w:r>
          </w:p>
        </w:tc>
        <w:tc>
          <w:tcPr>
            <w:tcW w:w="6555" w:type="dxa"/>
            <w:tcBorders>
              <w:right w:val="nil"/>
            </w:tcBorders>
            <w:vAlign w:val="top"/>
          </w:tcPr>
          <w:p w14:paraId="64473D19">
            <w:pPr>
              <w:spacing w:before="65" w:line="228" w:lineRule="auto"/>
              <w:ind w:left="46"/>
              <w:rPr>
                <w:rFonts w:ascii="宋体" w:hAnsi="宋体" w:eastAsia="宋体" w:cs="宋体"/>
                <w:sz w:val="20"/>
                <w:szCs w:val="20"/>
              </w:rPr>
            </w:pPr>
            <w:r>
              <w:rPr>
                <w:rFonts w:ascii="宋体" w:hAnsi="宋体" w:eastAsia="宋体" w:cs="宋体"/>
                <w:spacing w:val="-6"/>
                <w:sz w:val="20"/>
                <w:szCs w:val="20"/>
              </w:rPr>
              <w:t>位</w:t>
            </w:r>
            <w:r>
              <w:rPr>
                <w:rFonts w:ascii="宋体" w:hAnsi="宋体" w:eastAsia="宋体" w:cs="宋体"/>
                <w:spacing w:val="-4"/>
                <w:sz w:val="20"/>
                <w:szCs w:val="20"/>
              </w:rPr>
              <w:t>于生产厂房西北侧，</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层，</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栋，砖混结构，建筑面积 </w:t>
            </w:r>
            <w:r>
              <w:rPr>
                <w:rFonts w:ascii="Times New Roman" w:hAnsi="Times New Roman" w:eastAsia="Times New Roman" w:cs="Times New Roman"/>
                <w:spacing w:val="-4"/>
                <w:sz w:val="20"/>
                <w:szCs w:val="20"/>
              </w:rPr>
              <w:t>245m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w:t>
            </w:r>
          </w:p>
        </w:tc>
      </w:tr>
      <w:tr w14:paraId="6C2E3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21" w:type="dxa"/>
            <w:vMerge w:val="continue"/>
            <w:tcBorders>
              <w:top w:val="nil"/>
              <w:left w:val="nil"/>
            </w:tcBorders>
            <w:vAlign w:val="top"/>
          </w:tcPr>
          <w:p w14:paraId="53A65A72">
            <w:pPr>
              <w:rPr>
                <w:rFonts w:ascii="Arial"/>
                <w:sz w:val="21"/>
              </w:rPr>
            </w:pPr>
          </w:p>
        </w:tc>
        <w:tc>
          <w:tcPr>
            <w:tcW w:w="1276" w:type="dxa"/>
            <w:vAlign w:val="top"/>
          </w:tcPr>
          <w:p w14:paraId="47D280B9">
            <w:pPr>
              <w:spacing w:before="29" w:line="281" w:lineRule="exact"/>
              <w:ind w:left="71"/>
              <w:rPr>
                <w:rFonts w:ascii="宋体" w:hAnsi="宋体" w:eastAsia="宋体" w:cs="宋体"/>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员工休息室</w:t>
            </w:r>
          </w:p>
        </w:tc>
        <w:tc>
          <w:tcPr>
            <w:tcW w:w="6555" w:type="dxa"/>
            <w:tcBorders>
              <w:right w:val="nil"/>
            </w:tcBorders>
            <w:vAlign w:val="top"/>
          </w:tcPr>
          <w:p w14:paraId="6ED2A2DD">
            <w:pPr>
              <w:spacing w:before="66" w:line="228" w:lineRule="auto"/>
              <w:ind w:left="46"/>
              <w:rPr>
                <w:rFonts w:ascii="宋体" w:hAnsi="宋体" w:eastAsia="宋体" w:cs="宋体"/>
                <w:sz w:val="20"/>
                <w:szCs w:val="20"/>
              </w:rPr>
            </w:pPr>
            <w:r>
              <w:rPr>
                <w:rFonts w:ascii="宋体" w:hAnsi="宋体" w:eastAsia="宋体" w:cs="宋体"/>
                <w:spacing w:val="-6"/>
                <w:sz w:val="20"/>
                <w:szCs w:val="20"/>
              </w:rPr>
              <w:t>位</w:t>
            </w:r>
            <w:r>
              <w:rPr>
                <w:rFonts w:ascii="宋体" w:hAnsi="宋体" w:eastAsia="宋体" w:cs="宋体"/>
                <w:spacing w:val="-4"/>
                <w:sz w:val="20"/>
                <w:szCs w:val="20"/>
              </w:rPr>
              <w:t>于生产厂房西侧，</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层，</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栋，砖混结构，建筑面积 </w:t>
            </w:r>
            <w:r>
              <w:rPr>
                <w:rFonts w:ascii="Times New Roman" w:hAnsi="Times New Roman" w:eastAsia="Times New Roman" w:cs="Times New Roman"/>
                <w:spacing w:val="-4"/>
                <w:sz w:val="20"/>
                <w:szCs w:val="20"/>
              </w:rPr>
              <w:t>150m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w:t>
            </w:r>
          </w:p>
        </w:tc>
      </w:tr>
    </w:tbl>
    <w:p w14:paraId="0A8BC2B0">
      <w:pPr>
        <w:rPr>
          <w:rFonts w:ascii="Arial"/>
          <w:sz w:val="21"/>
        </w:rPr>
      </w:pPr>
    </w:p>
    <w:p w14:paraId="54F9C427">
      <w:pPr>
        <w:sectPr>
          <w:headerReference r:id="rId88" w:type="default"/>
          <w:footerReference r:id="rId89" w:type="default"/>
          <w:pgSz w:w="11906" w:h="16839"/>
          <w:pgMar w:top="1132" w:right="1691" w:bottom="1156" w:left="1691" w:header="878" w:footer="996" w:gutter="0"/>
          <w:cols w:space="720" w:num="1"/>
        </w:sectPr>
      </w:pPr>
    </w:p>
    <w:p w14:paraId="3DD2CF4D">
      <w:r>
        <w:pict>
          <v:rect id="_x0000_s1135" o:spid="_x0000_s1135" o:spt="1" style="position:absolute;left:0pt;margin-left:90pt;margin-top:57.35pt;height:0.75pt;width:415.3pt;mso-position-horizontal-relative:page;mso-position-vertical-relative:page;z-index:251768832;mso-width-relative:page;mso-height-relative:page;" fillcolor="#000000" filled="t" stroked="f" coordsize="21600,21600" o:allowincell="f">
            <v:path/>
            <v:fill on="t" focussize="0,0"/>
            <v:stroke on="f"/>
            <v:imagedata o:title=""/>
            <o:lock v:ext="edit"/>
          </v:rect>
        </w:pict>
      </w:r>
    </w:p>
    <w:p w14:paraId="0CA0A6EA">
      <w:pPr>
        <w:spacing w:line="65" w:lineRule="exact"/>
      </w:pPr>
    </w:p>
    <w:tbl>
      <w:tblPr>
        <w:tblStyle w:val="4"/>
        <w:tblW w:w="83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1"/>
        <w:gridCol w:w="1276"/>
        <w:gridCol w:w="1715"/>
        <w:gridCol w:w="4848"/>
      </w:tblGrid>
      <w:tr w14:paraId="499A9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3" w:hRule="atLeast"/>
        </w:trPr>
        <w:tc>
          <w:tcPr>
            <w:tcW w:w="521" w:type="dxa"/>
            <w:vMerge w:val="restart"/>
            <w:tcBorders>
              <w:left w:val="nil"/>
              <w:bottom w:val="nil"/>
            </w:tcBorders>
            <w:vAlign w:val="top"/>
          </w:tcPr>
          <w:p w14:paraId="55186F74">
            <w:pPr>
              <w:rPr>
                <w:rFonts w:ascii="Arial"/>
                <w:sz w:val="21"/>
              </w:rPr>
            </w:pPr>
          </w:p>
        </w:tc>
        <w:tc>
          <w:tcPr>
            <w:tcW w:w="1276" w:type="dxa"/>
            <w:vAlign w:val="top"/>
          </w:tcPr>
          <w:p w14:paraId="0B28AE0C">
            <w:pPr>
              <w:spacing w:before="47" w:line="281" w:lineRule="exact"/>
              <w:ind w:left="51"/>
              <w:rPr>
                <w:rFonts w:ascii="宋体" w:hAnsi="宋体" w:eastAsia="宋体" w:cs="宋体"/>
                <w:sz w:val="20"/>
                <w:szCs w:val="20"/>
              </w:rPr>
            </w:pPr>
            <w:r>
              <w:rPr>
                <w:rFonts w:ascii="Times New Roman" w:hAnsi="Times New Roman" w:eastAsia="Times New Roman" w:cs="Times New Roman"/>
                <w:spacing w:val="-2"/>
                <w:position w:val="1"/>
                <w:sz w:val="20"/>
                <w:szCs w:val="20"/>
              </w:rPr>
              <w:t>2#</w:t>
            </w:r>
            <w:r>
              <w:rPr>
                <w:rFonts w:ascii="宋体" w:hAnsi="宋体" w:eastAsia="宋体" w:cs="宋体"/>
                <w:spacing w:val="-1"/>
                <w:position w:val="1"/>
                <w:sz w:val="20"/>
                <w:szCs w:val="20"/>
              </w:rPr>
              <w:t>员工休息室</w:t>
            </w:r>
          </w:p>
        </w:tc>
        <w:tc>
          <w:tcPr>
            <w:tcW w:w="6563" w:type="dxa"/>
            <w:gridSpan w:val="2"/>
            <w:tcBorders>
              <w:right w:val="nil"/>
            </w:tcBorders>
            <w:vAlign w:val="top"/>
          </w:tcPr>
          <w:p w14:paraId="7A0CBDB4">
            <w:pPr>
              <w:spacing w:before="84" w:line="228" w:lineRule="auto"/>
              <w:ind w:left="46"/>
              <w:rPr>
                <w:rFonts w:ascii="宋体" w:hAnsi="宋体" w:eastAsia="宋体" w:cs="宋体"/>
                <w:sz w:val="20"/>
                <w:szCs w:val="20"/>
              </w:rPr>
            </w:pPr>
            <w:r>
              <w:rPr>
                <w:rFonts w:ascii="宋体" w:hAnsi="宋体" w:eastAsia="宋体" w:cs="宋体"/>
                <w:spacing w:val="-6"/>
                <w:sz w:val="20"/>
                <w:szCs w:val="20"/>
              </w:rPr>
              <w:t>位</w:t>
            </w:r>
            <w:r>
              <w:rPr>
                <w:rFonts w:ascii="宋体" w:hAnsi="宋体" w:eastAsia="宋体" w:cs="宋体"/>
                <w:spacing w:val="-4"/>
                <w:sz w:val="20"/>
                <w:szCs w:val="20"/>
              </w:rPr>
              <w:t>于生产厂房西北侧，</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层，</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栋，砖混结构，建筑面积 </w:t>
            </w:r>
            <w:r>
              <w:rPr>
                <w:rFonts w:ascii="Times New Roman" w:hAnsi="Times New Roman" w:eastAsia="Times New Roman" w:cs="Times New Roman"/>
                <w:spacing w:val="-4"/>
                <w:sz w:val="20"/>
                <w:szCs w:val="20"/>
              </w:rPr>
              <w:t>175m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w:t>
            </w:r>
          </w:p>
        </w:tc>
      </w:tr>
      <w:tr w14:paraId="25F76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21" w:type="dxa"/>
            <w:vMerge w:val="continue"/>
            <w:tcBorders>
              <w:top w:val="nil"/>
              <w:left w:val="nil"/>
            </w:tcBorders>
            <w:vAlign w:val="top"/>
          </w:tcPr>
          <w:p w14:paraId="18BEE895">
            <w:pPr>
              <w:rPr>
                <w:rFonts w:ascii="Arial"/>
                <w:sz w:val="21"/>
              </w:rPr>
            </w:pPr>
          </w:p>
        </w:tc>
        <w:tc>
          <w:tcPr>
            <w:tcW w:w="1276" w:type="dxa"/>
            <w:vAlign w:val="top"/>
          </w:tcPr>
          <w:p w14:paraId="776A71AD">
            <w:pPr>
              <w:spacing w:before="60" w:line="228" w:lineRule="auto"/>
              <w:ind w:left="155"/>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2"/>
                <w:sz w:val="20"/>
                <w:szCs w:val="20"/>
              </w:rPr>
              <w:t>品备件库</w:t>
            </w:r>
          </w:p>
        </w:tc>
        <w:tc>
          <w:tcPr>
            <w:tcW w:w="6563" w:type="dxa"/>
            <w:gridSpan w:val="2"/>
            <w:tcBorders>
              <w:right w:val="nil"/>
            </w:tcBorders>
            <w:vAlign w:val="top"/>
          </w:tcPr>
          <w:p w14:paraId="04773C7D">
            <w:pPr>
              <w:spacing w:before="60" w:line="228" w:lineRule="auto"/>
              <w:ind w:left="46"/>
              <w:rPr>
                <w:rFonts w:ascii="宋体" w:hAnsi="宋体" w:eastAsia="宋体" w:cs="宋体"/>
                <w:sz w:val="20"/>
                <w:szCs w:val="20"/>
              </w:rPr>
            </w:pPr>
            <w:r>
              <w:rPr>
                <w:rFonts w:ascii="宋体" w:hAnsi="宋体" w:eastAsia="宋体" w:cs="宋体"/>
                <w:spacing w:val="-8"/>
                <w:sz w:val="20"/>
                <w:szCs w:val="20"/>
              </w:rPr>
              <w:t>位</w:t>
            </w:r>
            <w:r>
              <w:rPr>
                <w:rFonts w:ascii="宋体" w:hAnsi="宋体" w:eastAsia="宋体" w:cs="宋体"/>
                <w:spacing w:val="-4"/>
                <w:sz w:val="20"/>
                <w:szCs w:val="20"/>
              </w:rPr>
              <w:t>于生产厂房西南侧，</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层，</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栋，砖混结构，建筑面积 </w:t>
            </w:r>
            <w:r>
              <w:rPr>
                <w:rFonts w:ascii="Times New Roman" w:hAnsi="Times New Roman" w:eastAsia="Times New Roman" w:cs="Times New Roman"/>
                <w:spacing w:val="-4"/>
                <w:sz w:val="20"/>
                <w:szCs w:val="20"/>
              </w:rPr>
              <w:t>30m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w:t>
            </w:r>
          </w:p>
        </w:tc>
      </w:tr>
      <w:tr w14:paraId="77F9F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21" w:type="dxa"/>
            <w:vMerge w:val="restart"/>
            <w:tcBorders>
              <w:left w:val="nil"/>
              <w:bottom w:val="nil"/>
            </w:tcBorders>
            <w:vAlign w:val="top"/>
          </w:tcPr>
          <w:p w14:paraId="6583C6AE">
            <w:pPr>
              <w:spacing w:line="252" w:lineRule="auto"/>
              <w:rPr>
                <w:rFonts w:ascii="Arial"/>
                <w:sz w:val="21"/>
              </w:rPr>
            </w:pPr>
          </w:p>
          <w:p w14:paraId="377F4524">
            <w:pPr>
              <w:spacing w:line="252" w:lineRule="auto"/>
              <w:rPr>
                <w:rFonts w:ascii="Arial"/>
                <w:sz w:val="21"/>
              </w:rPr>
            </w:pPr>
          </w:p>
          <w:p w14:paraId="1E197602">
            <w:pPr>
              <w:spacing w:line="252" w:lineRule="auto"/>
              <w:rPr>
                <w:rFonts w:ascii="Arial"/>
                <w:sz w:val="21"/>
              </w:rPr>
            </w:pPr>
          </w:p>
          <w:p w14:paraId="60357A2D">
            <w:pPr>
              <w:spacing w:line="252" w:lineRule="auto"/>
              <w:rPr>
                <w:rFonts w:ascii="Arial"/>
                <w:sz w:val="21"/>
              </w:rPr>
            </w:pPr>
          </w:p>
          <w:p w14:paraId="10747145">
            <w:pPr>
              <w:spacing w:line="252" w:lineRule="auto"/>
              <w:rPr>
                <w:rFonts w:ascii="Arial"/>
                <w:sz w:val="21"/>
              </w:rPr>
            </w:pPr>
          </w:p>
          <w:p w14:paraId="31964459">
            <w:pPr>
              <w:spacing w:line="252" w:lineRule="auto"/>
              <w:rPr>
                <w:rFonts w:ascii="Arial"/>
                <w:sz w:val="21"/>
              </w:rPr>
            </w:pPr>
          </w:p>
          <w:p w14:paraId="37E4AF53">
            <w:pPr>
              <w:spacing w:line="252" w:lineRule="auto"/>
              <w:rPr>
                <w:rFonts w:ascii="Arial"/>
                <w:sz w:val="21"/>
              </w:rPr>
            </w:pPr>
          </w:p>
          <w:p w14:paraId="547AA173">
            <w:pPr>
              <w:spacing w:line="252" w:lineRule="auto"/>
              <w:rPr>
                <w:rFonts w:ascii="Arial"/>
                <w:sz w:val="21"/>
              </w:rPr>
            </w:pPr>
          </w:p>
          <w:p w14:paraId="07514CB9">
            <w:pPr>
              <w:spacing w:before="65" w:line="267" w:lineRule="auto"/>
              <w:ind w:left="74" w:right="48" w:hanging="3"/>
              <w:rPr>
                <w:rFonts w:ascii="宋体" w:hAnsi="宋体" w:eastAsia="宋体" w:cs="宋体"/>
                <w:sz w:val="20"/>
                <w:szCs w:val="20"/>
              </w:rPr>
            </w:pPr>
            <w:r>
              <w:rPr>
                <w:rFonts w:ascii="宋体" w:hAnsi="宋体" w:eastAsia="宋体" w:cs="宋体"/>
                <w:spacing w:val="-1"/>
                <w:sz w:val="20"/>
                <w:szCs w:val="20"/>
              </w:rPr>
              <w:t>储运</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程</w:t>
            </w:r>
          </w:p>
        </w:tc>
        <w:tc>
          <w:tcPr>
            <w:tcW w:w="1276" w:type="dxa"/>
            <w:vAlign w:val="top"/>
          </w:tcPr>
          <w:p w14:paraId="6243B319">
            <w:pPr>
              <w:spacing w:line="329" w:lineRule="auto"/>
              <w:rPr>
                <w:rFonts w:ascii="Arial"/>
                <w:sz w:val="21"/>
              </w:rPr>
            </w:pPr>
          </w:p>
          <w:p w14:paraId="760A1E0B">
            <w:pPr>
              <w:spacing w:line="329" w:lineRule="auto"/>
              <w:rPr>
                <w:rFonts w:ascii="Arial"/>
                <w:sz w:val="21"/>
              </w:rPr>
            </w:pPr>
          </w:p>
          <w:p w14:paraId="09C6C06E">
            <w:pPr>
              <w:spacing w:before="65" w:line="228" w:lineRule="auto"/>
              <w:ind w:left="351"/>
              <w:rPr>
                <w:rFonts w:ascii="宋体" w:hAnsi="宋体" w:eastAsia="宋体" w:cs="宋体"/>
                <w:sz w:val="20"/>
                <w:szCs w:val="20"/>
              </w:rPr>
            </w:pPr>
            <w:r>
              <w:rPr>
                <w:rFonts w:ascii="宋体" w:hAnsi="宋体" w:eastAsia="宋体" w:cs="宋体"/>
                <w:spacing w:val="-2"/>
                <w:sz w:val="20"/>
                <w:szCs w:val="20"/>
              </w:rPr>
              <w:t>成品</w:t>
            </w:r>
            <w:r>
              <w:rPr>
                <w:rFonts w:ascii="宋体" w:hAnsi="宋体" w:eastAsia="宋体" w:cs="宋体"/>
                <w:spacing w:val="-1"/>
                <w:sz w:val="20"/>
                <w:szCs w:val="20"/>
              </w:rPr>
              <w:t>库</w:t>
            </w:r>
          </w:p>
        </w:tc>
        <w:tc>
          <w:tcPr>
            <w:tcW w:w="6563" w:type="dxa"/>
            <w:gridSpan w:val="2"/>
            <w:tcBorders>
              <w:right w:val="nil"/>
            </w:tcBorders>
            <w:vAlign w:val="top"/>
          </w:tcPr>
          <w:p w14:paraId="68B835F3">
            <w:pPr>
              <w:spacing w:before="58" w:line="292" w:lineRule="auto"/>
              <w:ind w:left="46" w:right="11"/>
              <w:rPr>
                <w:rFonts w:ascii="宋体" w:hAnsi="宋体" w:eastAsia="宋体" w:cs="宋体"/>
                <w:sz w:val="20"/>
                <w:szCs w:val="20"/>
              </w:rPr>
            </w:pPr>
            <w:r>
              <w:rPr>
                <w:rFonts w:ascii="宋体" w:hAnsi="宋体" w:eastAsia="宋体" w:cs="宋体"/>
                <w:spacing w:val="-6"/>
                <w:sz w:val="20"/>
                <w:szCs w:val="20"/>
              </w:rPr>
              <w:t>位于生产厂房北侧，</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层，</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栋，砖混结构，建筑面积 </w:t>
            </w:r>
            <w:r>
              <w:rPr>
                <w:rFonts w:ascii="Times New Roman" w:hAnsi="Times New Roman" w:eastAsia="Times New Roman" w:cs="Times New Roman"/>
                <w:spacing w:val="-3"/>
                <w:sz w:val="20"/>
                <w:szCs w:val="20"/>
              </w:rPr>
              <w:t>200m</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0"/>
                <w:szCs w:val="20"/>
              </w:rPr>
              <w:t xml:space="preserve">，用于存放 </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 xml:space="preserve"> </w:t>
            </w:r>
            <w:r>
              <w:rPr>
                <w:rFonts w:ascii="宋体" w:hAnsi="宋体" w:eastAsia="宋体" w:cs="宋体"/>
                <w:spacing w:val="-8"/>
                <w:sz w:val="20"/>
                <w:szCs w:val="20"/>
              </w:rPr>
              <w:t>条生</w:t>
            </w:r>
            <w:r>
              <w:rPr>
                <w:rFonts w:ascii="宋体" w:hAnsi="宋体" w:eastAsia="宋体" w:cs="宋体"/>
                <w:spacing w:val="-5"/>
                <w:sz w:val="20"/>
                <w:szCs w:val="20"/>
              </w:rPr>
              <w:t>产</w:t>
            </w:r>
            <w:r>
              <w:rPr>
                <w:rFonts w:ascii="宋体" w:hAnsi="宋体" w:eastAsia="宋体" w:cs="宋体"/>
                <w:spacing w:val="-4"/>
                <w:sz w:val="20"/>
                <w:szCs w:val="20"/>
              </w:rPr>
              <w:t xml:space="preserve">线生产的成品废旧塑料再生颗粒，堆存量为 </w:t>
            </w:r>
            <w:r>
              <w:rPr>
                <w:rFonts w:ascii="Times New Roman" w:hAnsi="Times New Roman" w:eastAsia="Times New Roman" w:cs="Times New Roman"/>
                <w:spacing w:val="-4"/>
                <w:sz w:val="20"/>
                <w:szCs w:val="20"/>
              </w:rPr>
              <w:t>400t</w:t>
            </w:r>
            <w:r>
              <w:rPr>
                <w:rFonts w:ascii="宋体" w:hAnsi="宋体" w:eastAsia="宋体" w:cs="宋体"/>
                <w:spacing w:val="-4"/>
                <w:sz w:val="20"/>
                <w:szCs w:val="20"/>
              </w:rPr>
              <w:t>，均为袋装，包装规</w:t>
            </w:r>
            <w:r>
              <w:rPr>
                <w:rFonts w:ascii="宋体" w:hAnsi="宋体" w:eastAsia="宋体" w:cs="宋体"/>
                <w:sz w:val="20"/>
                <w:szCs w:val="20"/>
              </w:rPr>
              <w:t xml:space="preserve"> </w:t>
            </w:r>
            <w:r>
              <w:rPr>
                <w:rFonts w:ascii="宋体" w:hAnsi="宋体" w:eastAsia="宋体" w:cs="宋体"/>
                <w:spacing w:val="-4"/>
                <w:sz w:val="20"/>
                <w:szCs w:val="20"/>
              </w:rPr>
              <w:t xml:space="preserve">格为 </w:t>
            </w:r>
            <w:r>
              <w:rPr>
                <w:rFonts w:ascii="Times New Roman" w:hAnsi="Times New Roman" w:eastAsia="Times New Roman" w:cs="Times New Roman"/>
                <w:spacing w:val="-4"/>
                <w:sz w:val="20"/>
                <w:szCs w:val="20"/>
              </w:rPr>
              <w:t>25</w:t>
            </w:r>
            <w:r>
              <w:rPr>
                <w:rFonts w:ascii="Times New Roman" w:hAnsi="Times New Roman" w:eastAsia="Times New Roman" w:cs="Times New Roman"/>
                <w:spacing w:val="-2"/>
                <w:sz w:val="20"/>
                <w:szCs w:val="20"/>
              </w:rPr>
              <w:t>kg</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袋，可供销售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天，产品在全国范围内销售，主要用于生产非食</w:t>
            </w:r>
            <w:r>
              <w:rPr>
                <w:rFonts w:ascii="宋体" w:hAnsi="宋体" w:eastAsia="宋体" w:cs="宋体"/>
                <w:sz w:val="20"/>
                <w:szCs w:val="20"/>
              </w:rPr>
              <w:t xml:space="preserve"> </w:t>
            </w:r>
            <w:r>
              <w:rPr>
                <w:rFonts w:ascii="宋体" w:hAnsi="宋体" w:eastAsia="宋体" w:cs="宋体"/>
                <w:spacing w:val="-4"/>
                <w:sz w:val="20"/>
                <w:szCs w:val="20"/>
              </w:rPr>
              <w:t>品</w:t>
            </w:r>
            <w:r>
              <w:rPr>
                <w:rFonts w:ascii="宋体" w:hAnsi="宋体" w:eastAsia="宋体" w:cs="宋体"/>
                <w:spacing w:val="-3"/>
                <w:sz w:val="20"/>
                <w:szCs w:val="20"/>
              </w:rPr>
              <w:t>类包装袋、塑料玩具、模型、电动车塑料零件，不用于制作直接接触食品</w:t>
            </w:r>
            <w:r>
              <w:rPr>
                <w:rFonts w:ascii="宋体" w:hAnsi="宋体" w:eastAsia="宋体" w:cs="宋体"/>
                <w:sz w:val="20"/>
                <w:szCs w:val="20"/>
              </w:rPr>
              <w:t xml:space="preserve"> </w:t>
            </w:r>
            <w:r>
              <w:rPr>
                <w:rFonts w:ascii="宋体" w:hAnsi="宋体" w:eastAsia="宋体" w:cs="宋体"/>
                <w:spacing w:val="-3"/>
                <w:sz w:val="20"/>
                <w:szCs w:val="20"/>
              </w:rPr>
              <w:t>的包装、制品或材料，如食品包装袋、矿泉水瓶等</w:t>
            </w:r>
            <w:r>
              <w:rPr>
                <w:rFonts w:ascii="宋体" w:hAnsi="宋体" w:eastAsia="宋体" w:cs="宋体"/>
                <w:spacing w:val="-1"/>
                <w:sz w:val="20"/>
                <w:szCs w:val="20"/>
              </w:rPr>
              <w:t>。</w:t>
            </w:r>
          </w:p>
        </w:tc>
      </w:tr>
      <w:tr w14:paraId="57467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1" w:hRule="atLeast"/>
        </w:trPr>
        <w:tc>
          <w:tcPr>
            <w:tcW w:w="521" w:type="dxa"/>
            <w:vMerge w:val="continue"/>
            <w:tcBorders>
              <w:top w:val="nil"/>
              <w:left w:val="nil"/>
            </w:tcBorders>
            <w:vAlign w:val="top"/>
          </w:tcPr>
          <w:p w14:paraId="3AE16C0B">
            <w:pPr>
              <w:rPr>
                <w:rFonts w:ascii="Arial"/>
                <w:sz w:val="21"/>
              </w:rPr>
            </w:pPr>
          </w:p>
        </w:tc>
        <w:tc>
          <w:tcPr>
            <w:tcW w:w="1276" w:type="dxa"/>
            <w:vAlign w:val="top"/>
          </w:tcPr>
          <w:p w14:paraId="2D3C29A7">
            <w:pPr>
              <w:spacing w:line="264" w:lineRule="auto"/>
              <w:rPr>
                <w:rFonts w:ascii="Arial"/>
                <w:sz w:val="21"/>
              </w:rPr>
            </w:pPr>
          </w:p>
          <w:p w14:paraId="703E7B22">
            <w:pPr>
              <w:spacing w:line="264" w:lineRule="auto"/>
              <w:rPr>
                <w:rFonts w:ascii="Arial"/>
                <w:sz w:val="21"/>
              </w:rPr>
            </w:pPr>
          </w:p>
          <w:p w14:paraId="4442B6A4">
            <w:pPr>
              <w:spacing w:line="264" w:lineRule="auto"/>
              <w:rPr>
                <w:rFonts w:ascii="Arial"/>
                <w:sz w:val="21"/>
              </w:rPr>
            </w:pPr>
          </w:p>
          <w:p w14:paraId="40815BF8">
            <w:pPr>
              <w:spacing w:line="264" w:lineRule="auto"/>
              <w:rPr>
                <w:rFonts w:ascii="Arial"/>
                <w:sz w:val="21"/>
              </w:rPr>
            </w:pPr>
          </w:p>
          <w:p w14:paraId="78D3D04D">
            <w:pPr>
              <w:spacing w:line="264" w:lineRule="auto"/>
              <w:rPr>
                <w:rFonts w:ascii="Arial"/>
                <w:sz w:val="21"/>
              </w:rPr>
            </w:pPr>
          </w:p>
          <w:p w14:paraId="7C0709F8">
            <w:pPr>
              <w:spacing w:before="65" w:line="228" w:lineRule="auto"/>
              <w:ind w:left="355"/>
              <w:rPr>
                <w:rFonts w:ascii="宋体" w:hAnsi="宋体" w:eastAsia="宋体" w:cs="宋体"/>
                <w:sz w:val="20"/>
                <w:szCs w:val="20"/>
              </w:rPr>
            </w:pPr>
            <w:r>
              <w:rPr>
                <w:rFonts w:ascii="宋体" w:hAnsi="宋体" w:eastAsia="宋体" w:cs="宋体"/>
                <w:spacing w:val="-4"/>
                <w:sz w:val="20"/>
                <w:szCs w:val="20"/>
              </w:rPr>
              <w:t>原</w:t>
            </w:r>
            <w:r>
              <w:rPr>
                <w:rFonts w:ascii="宋体" w:hAnsi="宋体" w:eastAsia="宋体" w:cs="宋体"/>
                <w:spacing w:val="-2"/>
                <w:sz w:val="20"/>
                <w:szCs w:val="20"/>
              </w:rPr>
              <w:t>料库</w:t>
            </w:r>
          </w:p>
        </w:tc>
        <w:tc>
          <w:tcPr>
            <w:tcW w:w="6563" w:type="dxa"/>
            <w:gridSpan w:val="2"/>
            <w:tcBorders>
              <w:right w:val="nil"/>
            </w:tcBorders>
            <w:vAlign w:val="top"/>
          </w:tcPr>
          <w:p w14:paraId="2F353CBB">
            <w:pPr>
              <w:spacing w:before="57" w:line="299" w:lineRule="auto"/>
              <w:ind w:left="46" w:right="10"/>
              <w:rPr>
                <w:rFonts w:ascii="宋体" w:hAnsi="宋体" w:eastAsia="宋体" w:cs="宋体"/>
                <w:sz w:val="20"/>
                <w:szCs w:val="20"/>
              </w:rPr>
            </w:pPr>
            <w:r>
              <w:rPr>
                <w:rFonts w:ascii="宋体" w:hAnsi="宋体" w:eastAsia="宋体" w:cs="宋体"/>
                <w:spacing w:val="-2"/>
                <w:sz w:val="20"/>
                <w:szCs w:val="20"/>
              </w:rPr>
              <w:t>位于生产厂房东北侧，</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层，</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栋，砖混结构，建筑面积 </w:t>
            </w:r>
            <w:r>
              <w:rPr>
                <w:rFonts w:ascii="Times New Roman" w:hAnsi="Times New Roman" w:eastAsia="Times New Roman" w:cs="Times New Roman"/>
                <w:spacing w:val="-1"/>
                <w:sz w:val="20"/>
                <w:szCs w:val="20"/>
              </w:rPr>
              <w:t>200m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，用于存储</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条生产线所用</w:t>
            </w:r>
            <w:r>
              <w:rPr>
                <w:rFonts w:ascii="宋体" w:hAnsi="宋体" w:eastAsia="宋体" w:cs="宋体"/>
                <w:spacing w:val="-5"/>
                <w:sz w:val="20"/>
                <w:szCs w:val="20"/>
              </w:rPr>
              <w:t>原</w:t>
            </w:r>
            <w:r>
              <w:rPr>
                <w:rFonts w:ascii="宋体" w:hAnsi="宋体" w:eastAsia="宋体" w:cs="宋体"/>
                <w:spacing w:val="-3"/>
                <w:sz w:val="20"/>
                <w:szCs w:val="20"/>
              </w:rPr>
              <w:t xml:space="preserve">料 (废旧塑料编织袋) ，堆存量为 </w:t>
            </w:r>
            <w:r>
              <w:rPr>
                <w:rFonts w:ascii="Times New Roman" w:hAnsi="Times New Roman" w:eastAsia="Times New Roman" w:cs="Times New Roman"/>
                <w:spacing w:val="-3"/>
                <w:sz w:val="20"/>
                <w:szCs w:val="20"/>
              </w:rPr>
              <w:t>400t</w:t>
            </w:r>
            <w:r>
              <w:rPr>
                <w:rFonts w:ascii="宋体" w:hAnsi="宋体" w:eastAsia="宋体" w:cs="宋体"/>
                <w:spacing w:val="-3"/>
                <w:sz w:val="20"/>
                <w:szCs w:val="20"/>
              </w:rPr>
              <w:t xml:space="preserve">，可供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条生产</w:t>
            </w:r>
            <w:r>
              <w:rPr>
                <w:rFonts w:ascii="宋体" w:hAnsi="宋体" w:eastAsia="宋体" w:cs="宋体"/>
                <w:sz w:val="20"/>
                <w:szCs w:val="20"/>
              </w:rPr>
              <w:t xml:space="preserve"> </w:t>
            </w:r>
            <w:r>
              <w:rPr>
                <w:rFonts w:ascii="宋体" w:hAnsi="宋体" w:eastAsia="宋体" w:cs="宋体"/>
                <w:spacing w:val="-8"/>
                <w:sz w:val="20"/>
                <w:szCs w:val="20"/>
              </w:rPr>
              <w:t>线生</w:t>
            </w:r>
            <w:r>
              <w:rPr>
                <w:rFonts w:ascii="宋体" w:hAnsi="宋体" w:eastAsia="宋体" w:cs="宋体"/>
                <w:spacing w:val="-6"/>
                <w:sz w:val="20"/>
                <w:szCs w:val="20"/>
              </w:rPr>
              <w:t>产</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天。项目所用原料为废塑料编织袋，均外购于本溪宏远集团北台再</w:t>
            </w:r>
            <w:r>
              <w:rPr>
                <w:rFonts w:ascii="宋体" w:hAnsi="宋体" w:eastAsia="宋体" w:cs="宋体"/>
                <w:sz w:val="20"/>
                <w:szCs w:val="20"/>
              </w:rPr>
              <w:t xml:space="preserve"> </w:t>
            </w:r>
            <w:r>
              <w:rPr>
                <w:rFonts w:ascii="宋体" w:hAnsi="宋体" w:eastAsia="宋体" w:cs="宋体"/>
                <w:spacing w:val="-3"/>
                <w:sz w:val="20"/>
                <w:szCs w:val="20"/>
              </w:rPr>
              <w:t>生资源有限责任公司及平山区利安建材城，为本溪宏远集团北台再生资源</w:t>
            </w:r>
            <w:r>
              <w:rPr>
                <w:rFonts w:ascii="宋体" w:hAnsi="宋体" w:eastAsia="宋体" w:cs="宋体"/>
                <w:spacing w:val="-1"/>
                <w:sz w:val="20"/>
                <w:szCs w:val="20"/>
              </w:rPr>
              <w:t>有</w:t>
            </w:r>
            <w:r>
              <w:rPr>
                <w:rFonts w:ascii="宋体" w:hAnsi="宋体" w:eastAsia="宋体" w:cs="宋体"/>
                <w:sz w:val="20"/>
                <w:szCs w:val="20"/>
              </w:rPr>
              <w:t xml:space="preserve"> </w:t>
            </w:r>
            <w:r>
              <w:rPr>
                <w:rFonts w:ascii="宋体" w:hAnsi="宋体" w:eastAsia="宋体" w:cs="宋体"/>
                <w:spacing w:val="-4"/>
                <w:sz w:val="20"/>
                <w:szCs w:val="20"/>
              </w:rPr>
              <w:t>限责任公司收购北台钢铁 (</w:t>
            </w:r>
            <w:r>
              <w:rPr>
                <w:rFonts w:ascii="宋体" w:hAnsi="宋体" w:eastAsia="宋体" w:cs="宋体"/>
                <w:spacing w:val="-3"/>
                <w:sz w:val="20"/>
                <w:szCs w:val="20"/>
              </w:rPr>
              <w:t>集</w:t>
            </w:r>
            <w:r>
              <w:rPr>
                <w:rFonts w:ascii="宋体" w:hAnsi="宋体" w:eastAsia="宋体" w:cs="宋体"/>
                <w:spacing w:val="-2"/>
                <w:sz w:val="20"/>
                <w:szCs w:val="20"/>
              </w:rPr>
              <w:t>团) 有限责任公司所用原料合金铁及铝锭的废</w:t>
            </w:r>
            <w:r>
              <w:rPr>
                <w:rFonts w:ascii="宋体" w:hAnsi="宋体" w:eastAsia="宋体" w:cs="宋体"/>
                <w:sz w:val="20"/>
                <w:szCs w:val="20"/>
              </w:rPr>
              <w:t xml:space="preserve"> </w:t>
            </w:r>
            <w:r>
              <w:rPr>
                <w:rFonts w:ascii="宋体" w:hAnsi="宋体" w:eastAsia="宋体" w:cs="宋体"/>
                <w:spacing w:val="-3"/>
                <w:sz w:val="20"/>
                <w:szCs w:val="20"/>
              </w:rPr>
              <w:t>包装袋及平山区利安建材城所销售砂子的废包装袋，主要成分为聚乙烯、</w:t>
            </w:r>
            <w:r>
              <w:rPr>
                <w:rFonts w:ascii="宋体" w:hAnsi="宋体" w:eastAsia="宋体" w:cs="宋体"/>
                <w:spacing w:val="-1"/>
                <w:sz w:val="20"/>
                <w:szCs w:val="20"/>
              </w:rPr>
              <w:t>聚</w:t>
            </w:r>
            <w:r>
              <w:rPr>
                <w:rFonts w:ascii="宋体" w:hAnsi="宋体" w:eastAsia="宋体" w:cs="宋体"/>
                <w:sz w:val="20"/>
                <w:szCs w:val="20"/>
              </w:rPr>
              <w:t xml:space="preserve"> </w:t>
            </w:r>
            <w:r>
              <w:rPr>
                <w:rFonts w:ascii="宋体" w:hAnsi="宋体" w:eastAsia="宋体" w:cs="宋体"/>
                <w:spacing w:val="-3"/>
                <w:sz w:val="20"/>
                <w:szCs w:val="20"/>
              </w:rPr>
              <w:t>丙烯。原料入场前均经过检验筛选，严格把关，禁止企业回收和再生利用</w:t>
            </w:r>
            <w:r>
              <w:rPr>
                <w:rFonts w:ascii="宋体" w:hAnsi="宋体" w:eastAsia="宋体" w:cs="宋体"/>
                <w:spacing w:val="-1"/>
                <w:sz w:val="20"/>
                <w:szCs w:val="20"/>
              </w:rPr>
              <w:t>属</w:t>
            </w:r>
            <w:r>
              <w:rPr>
                <w:rFonts w:ascii="宋体" w:hAnsi="宋体" w:eastAsia="宋体" w:cs="宋体"/>
                <w:sz w:val="20"/>
                <w:szCs w:val="20"/>
              </w:rPr>
              <w:t xml:space="preserve"> </w:t>
            </w:r>
            <w:r>
              <w:rPr>
                <w:rFonts w:ascii="宋体" w:hAnsi="宋体" w:eastAsia="宋体" w:cs="宋体"/>
                <w:spacing w:val="-3"/>
                <w:sz w:val="20"/>
                <w:szCs w:val="20"/>
              </w:rPr>
              <w:t>于受到危险化学品、农药等污染的废弃塑料包装物、废弃一次性医疗用塑</w:t>
            </w:r>
            <w:r>
              <w:rPr>
                <w:rFonts w:ascii="宋体" w:hAnsi="宋体" w:eastAsia="宋体" w:cs="宋体"/>
                <w:spacing w:val="-1"/>
                <w:sz w:val="20"/>
                <w:szCs w:val="20"/>
              </w:rPr>
              <w:t>料</w:t>
            </w:r>
            <w:r>
              <w:rPr>
                <w:rFonts w:ascii="宋体" w:hAnsi="宋体" w:eastAsia="宋体" w:cs="宋体"/>
                <w:sz w:val="20"/>
                <w:szCs w:val="20"/>
              </w:rPr>
              <w:t xml:space="preserve"> </w:t>
            </w:r>
            <w:r>
              <w:rPr>
                <w:rFonts w:ascii="宋体" w:hAnsi="宋体" w:eastAsia="宋体" w:cs="宋体"/>
                <w:spacing w:val="-3"/>
                <w:sz w:val="20"/>
                <w:szCs w:val="20"/>
              </w:rPr>
              <w:t>制品等塑料类危险废物，以及氟塑料等特种工程塑料。</w:t>
            </w:r>
          </w:p>
        </w:tc>
      </w:tr>
      <w:tr w14:paraId="10C1D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521" w:type="dxa"/>
            <w:vMerge w:val="restart"/>
            <w:tcBorders>
              <w:left w:val="nil"/>
              <w:bottom w:val="nil"/>
            </w:tcBorders>
            <w:vAlign w:val="top"/>
          </w:tcPr>
          <w:p w14:paraId="5A5BC010">
            <w:pPr>
              <w:spacing w:line="243" w:lineRule="auto"/>
              <w:rPr>
                <w:rFonts w:ascii="Arial"/>
                <w:sz w:val="21"/>
              </w:rPr>
            </w:pPr>
          </w:p>
          <w:p w14:paraId="2DF1E519">
            <w:pPr>
              <w:spacing w:line="244" w:lineRule="auto"/>
              <w:rPr>
                <w:rFonts w:ascii="Arial"/>
                <w:sz w:val="21"/>
              </w:rPr>
            </w:pPr>
          </w:p>
          <w:p w14:paraId="100D1CC1">
            <w:pPr>
              <w:spacing w:line="244" w:lineRule="auto"/>
              <w:rPr>
                <w:rFonts w:ascii="Arial"/>
                <w:sz w:val="21"/>
              </w:rPr>
            </w:pPr>
          </w:p>
          <w:p w14:paraId="50C32322">
            <w:pPr>
              <w:spacing w:line="244" w:lineRule="auto"/>
              <w:rPr>
                <w:rFonts w:ascii="Arial"/>
                <w:sz w:val="21"/>
              </w:rPr>
            </w:pPr>
          </w:p>
          <w:p w14:paraId="2560A47B">
            <w:pPr>
              <w:spacing w:line="244" w:lineRule="auto"/>
              <w:rPr>
                <w:rFonts w:ascii="Arial"/>
                <w:sz w:val="21"/>
              </w:rPr>
            </w:pPr>
          </w:p>
          <w:p w14:paraId="31C30786">
            <w:pPr>
              <w:spacing w:line="244" w:lineRule="auto"/>
              <w:rPr>
                <w:rFonts w:ascii="Arial"/>
                <w:sz w:val="21"/>
              </w:rPr>
            </w:pPr>
          </w:p>
          <w:p w14:paraId="45F08400">
            <w:pPr>
              <w:spacing w:line="244" w:lineRule="auto"/>
              <w:rPr>
                <w:rFonts w:ascii="Arial"/>
                <w:sz w:val="21"/>
              </w:rPr>
            </w:pPr>
          </w:p>
          <w:p w14:paraId="4A26110E">
            <w:pPr>
              <w:spacing w:line="244" w:lineRule="auto"/>
              <w:rPr>
                <w:rFonts w:ascii="Arial"/>
                <w:sz w:val="21"/>
              </w:rPr>
            </w:pPr>
          </w:p>
          <w:p w14:paraId="44AA8F98">
            <w:pPr>
              <w:spacing w:line="244" w:lineRule="auto"/>
              <w:rPr>
                <w:rFonts w:ascii="Arial"/>
                <w:sz w:val="21"/>
              </w:rPr>
            </w:pPr>
          </w:p>
          <w:p w14:paraId="02016CCC">
            <w:pPr>
              <w:spacing w:before="65" w:line="265" w:lineRule="auto"/>
              <w:ind w:left="74" w:right="48" w:firstLine="3"/>
              <w:rPr>
                <w:rFonts w:ascii="宋体" w:hAnsi="宋体" w:eastAsia="宋体" w:cs="宋体"/>
                <w:sz w:val="20"/>
                <w:szCs w:val="20"/>
              </w:rPr>
            </w:pPr>
            <w:r>
              <w:rPr>
                <w:rFonts w:ascii="宋体" w:hAnsi="宋体" w:eastAsia="宋体" w:cs="宋体"/>
                <w:spacing w:val="-5"/>
                <w:sz w:val="20"/>
                <w:szCs w:val="20"/>
              </w:rPr>
              <w:t>公</w:t>
            </w:r>
            <w:r>
              <w:rPr>
                <w:rFonts w:ascii="宋体" w:hAnsi="宋体" w:eastAsia="宋体" w:cs="宋体"/>
                <w:spacing w:val="-4"/>
                <w:sz w:val="20"/>
                <w:szCs w:val="20"/>
              </w:rPr>
              <w:t>用</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程</w:t>
            </w:r>
          </w:p>
        </w:tc>
        <w:tc>
          <w:tcPr>
            <w:tcW w:w="1276" w:type="dxa"/>
            <w:vAlign w:val="top"/>
          </w:tcPr>
          <w:p w14:paraId="0DE54EF8">
            <w:pPr>
              <w:spacing w:line="329" w:lineRule="auto"/>
              <w:rPr>
                <w:rFonts w:ascii="Arial"/>
                <w:sz w:val="21"/>
              </w:rPr>
            </w:pPr>
          </w:p>
          <w:p w14:paraId="7257C39A">
            <w:pPr>
              <w:spacing w:before="65" w:line="228" w:lineRule="auto"/>
              <w:ind w:left="252"/>
              <w:rPr>
                <w:rFonts w:ascii="宋体" w:hAnsi="宋体" w:eastAsia="宋体" w:cs="宋体"/>
                <w:sz w:val="20"/>
                <w:szCs w:val="20"/>
              </w:rPr>
            </w:pPr>
            <w:r>
              <w:rPr>
                <w:rFonts w:ascii="宋体" w:hAnsi="宋体" w:eastAsia="宋体" w:cs="宋体"/>
                <w:spacing w:val="-2"/>
                <w:sz w:val="20"/>
                <w:szCs w:val="20"/>
              </w:rPr>
              <w:t>给水系</w:t>
            </w:r>
            <w:r>
              <w:rPr>
                <w:rFonts w:ascii="宋体" w:hAnsi="宋体" w:eastAsia="宋体" w:cs="宋体"/>
                <w:spacing w:val="-1"/>
                <w:sz w:val="20"/>
                <w:szCs w:val="20"/>
              </w:rPr>
              <w:t>统</w:t>
            </w:r>
          </w:p>
        </w:tc>
        <w:tc>
          <w:tcPr>
            <w:tcW w:w="6563" w:type="dxa"/>
            <w:gridSpan w:val="2"/>
            <w:tcBorders>
              <w:right w:val="nil"/>
            </w:tcBorders>
            <w:vAlign w:val="top"/>
          </w:tcPr>
          <w:p w14:paraId="15B323EC">
            <w:pPr>
              <w:spacing w:before="63" w:line="289" w:lineRule="auto"/>
              <w:ind w:left="48" w:hanging="1"/>
              <w:rPr>
                <w:rFonts w:ascii="宋体" w:hAnsi="宋体" w:eastAsia="宋体" w:cs="宋体"/>
                <w:sz w:val="20"/>
                <w:szCs w:val="20"/>
              </w:rPr>
            </w:pPr>
            <w:r>
              <w:rPr>
                <w:rFonts w:ascii="宋体" w:hAnsi="宋体" w:eastAsia="宋体" w:cs="宋体"/>
                <w:spacing w:val="-4"/>
                <w:sz w:val="20"/>
                <w:szCs w:val="20"/>
              </w:rPr>
              <w:t>用水主要用水为生活用水以及生产用水，其中生产用水包括破碎工序用水、</w:t>
            </w:r>
            <w:r>
              <w:rPr>
                <w:rFonts w:ascii="宋体" w:hAnsi="宋体" w:eastAsia="宋体" w:cs="宋体"/>
                <w:sz w:val="20"/>
                <w:szCs w:val="20"/>
              </w:rPr>
              <w:t xml:space="preserve"> </w:t>
            </w:r>
            <w:r>
              <w:rPr>
                <w:rFonts w:ascii="宋体" w:hAnsi="宋体" w:eastAsia="宋体" w:cs="宋体"/>
                <w:spacing w:val="-16"/>
                <w:sz w:val="20"/>
                <w:szCs w:val="20"/>
              </w:rPr>
              <w:t>原料</w:t>
            </w:r>
            <w:r>
              <w:rPr>
                <w:rFonts w:ascii="宋体" w:hAnsi="宋体" w:eastAsia="宋体" w:cs="宋体"/>
                <w:spacing w:val="-10"/>
                <w:sz w:val="20"/>
                <w:szCs w:val="20"/>
              </w:rPr>
              <w:t>原</w:t>
            </w:r>
            <w:r>
              <w:rPr>
                <w:rFonts w:ascii="宋体" w:hAnsi="宋体" w:eastAsia="宋体" w:cs="宋体"/>
                <w:spacing w:val="-8"/>
                <w:sz w:val="20"/>
                <w:szCs w:val="20"/>
              </w:rPr>
              <w:t>料初洗工序用水、洗字工序用水、二次清洗工序用水以及循环冷却水。</w:t>
            </w:r>
            <w:r>
              <w:rPr>
                <w:rFonts w:ascii="宋体" w:hAnsi="宋体" w:eastAsia="宋体" w:cs="宋体"/>
                <w:sz w:val="20"/>
                <w:szCs w:val="20"/>
              </w:rPr>
              <w:t xml:space="preserve"> </w:t>
            </w:r>
            <w:r>
              <w:rPr>
                <w:rFonts w:ascii="宋体" w:hAnsi="宋体" w:eastAsia="宋体" w:cs="宋体"/>
                <w:spacing w:val="-10"/>
                <w:sz w:val="20"/>
                <w:szCs w:val="20"/>
              </w:rPr>
              <w:t>该项目</w:t>
            </w:r>
            <w:r>
              <w:rPr>
                <w:rFonts w:ascii="宋体" w:hAnsi="宋体" w:eastAsia="宋体" w:cs="宋体"/>
                <w:spacing w:val="-9"/>
                <w:sz w:val="20"/>
                <w:szCs w:val="20"/>
              </w:rPr>
              <w:t>新</w:t>
            </w:r>
            <w:r>
              <w:rPr>
                <w:rFonts w:ascii="宋体" w:hAnsi="宋体" w:eastAsia="宋体" w:cs="宋体"/>
                <w:spacing w:val="-5"/>
                <w:sz w:val="20"/>
                <w:szCs w:val="20"/>
              </w:rPr>
              <w:t xml:space="preserve">鲜水总用量为 </w:t>
            </w:r>
            <w:r>
              <w:rPr>
                <w:rFonts w:ascii="Times New Roman" w:hAnsi="Times New Roman" w:eastAsia="Times New Roman" w:cs="Times New Roman"/>
                <w:spacing w:val="-5"/>
                <w:sz w:val="20"/>
                <w:szCs w:val="20"/>
              </w:rPr>
              <w:t>3732m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/a</w:t>
            </w:r>
            <w:r>
              <w:rPr>
                <w:rFonts w:ascii="宋体" w:hAnsi="宋体" w:eastAsia="宋体" w:cs="宋体"/>
                <w:spacing w:val="-5"/>
                <w:sz w:val="20"/>
                <w:szCs w:val="20"/>
              </w:rPr>
              <w:t>，新鲜水均由当地自来水管网提供。</w:t>
            </w:r>
          </w:p>
        </w:tc>
      </w:tr>
      <w:tr w14:paraId="68E5A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1" w:hRule="atLeast"/>
        </w:trPr>
        <w:tc>
          <w:tcPr>
            <w:tcW w:w="521" w:type="dxa"/>
            <w:vMerge w:val="continue"/>
            <w:tcBorders>
              <w:top w:val="nil"/>
              <w:left w:val="nil"/>
              <w:bottom w:val="nil"/>
            </w:tcBorders>
            <w:vAlign w:val="top"/>
          </w:tcPr>
          <w:p w14:paraId="49685253">
            <w:pPr>
              <w:rPr>
                <w:rFonts w:ascii="Arial"/>
                <w:sz w:val="21"/>
              </w:rPr>
            </w:pPr>
          </w:p>
        </w:tc>
        <w:tc>
          <w:tcPr>
            <w:tcW w:w="1276" w:type="dxa"/>
            <w:vAlign w:val="top"/>
          </w:tcPr>
          <w:p w14:paraId="2AB62E16">
            <w:pPr>
              <w:spacing w:line="264" w:lineRule="auto"/>
              <w:rPr>
                <w:rFonts w:ascii="Arial"/>
                <w:sz w:val="21"/>
              </w:rPr>
            </w:pPr>
          </w:p>
          <w:p w14:paraId="314E9A83">
            <w:pPr>
              <w:spacing w:line="264" w:lineRule="auto"/>
              <w:rPr>
                <w:rFonts w:ascii="Arial"/>
                <w:sz w:val="21"/>
              </w:rPr>
            </w:pPr>
          </w:p>
          <w:p w14:paraId="3EB9732B">
            <w:pPr>
              <w:spacing w:line="265" w:lineRule="auto"/>
              <w:rPr>
                <w:rFonts w:ascii="Arial"/>
                <w:sz w:val="21"/>
              </w:rPr>
            </w:pPr>
          </w:p>
          <w:p w14:paraId="5F2A865F">
            <w:pPr>
              <w:spacing w:line="265" w:lineRule="auto"/>
              <w:rPr>
                <w:rFonts w:ascii="Arial"/>
                <w:sz w:val="21"/>
              </w:rPr>
            </w:pPr>
          </w:p>
          <w:p w14:paraId="6FF60CD5">
            <w:pPr>
              <w:spacing w:line="265" w:lineRule="auto"/>
              <w:rPr>
                <w:rFonts w:ascii="Arial"/>
                <w:sz w:val="21"/>
              </w:rPr>
            </w:pPr>
          </w:p>
          <w:p w14:paraId="18A6FD37">
            <w:pPr>
              <w:spacing w:before="65" w:line="228" w:lineRule="auto"/>
              <w:ind w:left="251"/>
              <w:rPr>
                <w:rFonts w:ascii="宋体" w:hAnsi="宋体" w:eastAsia="宋体" w:cs="宋体"/>
                <w:sz w:val="20"/>
                <w:szCs w:val="20"/>
              </w:rPr>
            </w:pPr>
            <w:r>
              <w:rPr>
                <w:rFonts w:ascii="宋体" w:hAnsi="宋体" w:eastAsia="宋体" w:cs="宋体"/>
                <w:spacing w:val="-2"/>
                <w:sz w:val="20"/>
                <w:szCs w:val="20"/>
              </w:rPr>
              <w:t>排水</w:t>
            </w:r>
            <w:r>
              <w:rPr>
                <w:rFonts w:ascii="宋体" w:hAnsi="宋体" w:eastAsia="宋体" w:cs="宋体"/>
                <w:spacing w:val="-1"/>
                <w:sz w:val="20"/>
                <w:szCs w:val="20"/>
              </w:rPr>
              <w:t>系统</w:t>
            </w:r>
          </w:p>
        </w:tc>
        <w:tc>
          <w:tcPr>
            <w:tcW w:w="6563" w:type="dxa"/>
            <w:gridSpan w:val="2"/>
            <w:tcBorders>
              <w:right w:val="nil"/>
            </w:tcBorders>
            <w:vAlign w:val="top"/>
          </w:tcPr>
          <w:p w14:paraId="01916ACD">
            <w:pPr>
              <w:spacing w:before="69" w:line="298" w:lineRule="auto"/>
              <w:ind w:left="45"/>
              <w:rPr>
                <w:rFonts w:ascii="宋体" w:hAnsi="宋体" w:eastAsia="宋体" w:cs="宋体"/>
                <w:sz w:val="20"/>
                <w:szCs w:val="20"/>
              </w:rPr>
            </w:pPr>
            <w:r>
              <w:rPr>
                <w:rFonts w:ascii="宋体" w:hAnsi="宋体" w:eastAsia="宋体" w:cs="宋体"/>
                <w:spacing w:val="-3"/>
                <w:sz w:val="20"/>
                <w:szCs w:val="20"/>
              </w:rPr>
              <w:t>排水主要包括生活污水以及生产废水，其中生产废水主要包括破碎工序产生</w:t>
            </w:r>
            <w:r>
              <w:rPr>
                <w:rFonts w:ascii="宋体" w:hAnsi="宋体" w:eastAsia="宋体" w:cs="宋体"/>
                <w:sz w:val="20"/>
                <w:szCs w:val="20"/>
              </w:rPr>
              <w:t xml:space="preserve"> </w:t>
            </w:r>
            <w:r>
              <w:rPr>
                <w:rFonts w:ascii="宋体" w:hAnsi="宋体" w:eastAsia="宋体" w:cs="宋体"/>
                <w:spacing w:val="-3"/>
                <w:sz w:val="20"/>
                <w:szCs w:val="20"/>
              </w:rPr>
              <w:t>的废水，原料初洗工序、洗字工序、二次清洗工序产生的清洗废水、脱水</w:t>
            </w:r>
            <w:r>
              <w:rPr>
                <w:rFonts w:ascii="宋体" w:hAnsi="宋体" w:eastAsia="宋体" w:cs="宋体"/>
                <w:spacing w:val="-1"/>
                <w:sz w:val="20"/>
                <w:szCs w:val="20"/>
              </w:rPr>
              <w:t>工</w:t>
            </w:r>
            <w:r>
              <w:rPr>
                <w:rFonts w:ascii="宋体" w:hAnsi="宋体" w:eastAsia="宋体" w:cs="宋体"/>
                <w:sz w:val="20"/>
                <w:szCs w:val="20"/>
              </w:rPr>
              <w:t xml:space="preserve"> </w:t>
            </w:r>
            <w:r>
              <w:rPr>
                <w:rFonts w:ascii="宋体" w:hAnsi="宋体" w:eastAsia="宋体" w:cs="宋体"/>
                <w:spacing w:val="-2"/>
                <w:sz w:val="20"/>
                <w:szCs w:val="20"/>
              </w:rPr>
              <w:t xml:space="preserve">序产生的废水以及循环冷却废水，总排水量为 </w:t>
            </w:r>
            <w:r>
              <w:rPr>
                <w:rFonts w:ascii="Times New Roman" w:hAnsi="Times New Roman" w:eastAsia="Times New Roman" w:cs="Times New Roman"/>
                <w:spacing w:val="-2"/>
                <w:sz w:val="20"/>
                <w:szCs w:val="20"/>
              </w:rPr>
              <w:t>2483.52</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。该项目在厂</w:t>
            </w:r>
            <w:r>
              <w:rPr>
                <w:rFonts w:ascii="宋体" w:hAnsi="宋体" w:eastAsia="宋体" w:cs="宋体"/>
                <w:sz w:val="20"/>
                <w:szCs w:val="20"/>
              </w:rPr>
              <w:t xml:space="preserve">区 </w:t>
            </w:r>
            <w:r>
              <w:rPr>
                <w:rFonts w:ascii="宋体" w:hAnsi="宋体" w:eastAsia="宋体" w:cs="宋体"/>
                <w:spacing w:val="2"/>
                <w:sz w:val="20"/>
                <w:szCs w:val="20"/>
              </w:rPr>
              <w:t xml:space="preserve">东南侧设有旱厕，员工使用防渗旱厕，定期清掏，不外排；项目设有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座 </w:t>
            </w:r>
            <w:r>
              <w:rPr>
                <w:rFonts w:ascii="宋体" w:hAnsi="宋体" w:eastAsia="宋体" w:cs="宋体"/>
                <w:spacing w:val="-6"/>
                <w:sz w:val="20"/>
                <w:szCs w:val="20"/>
              </w:rPr>
              <w:t>容</w:t>
            </w:r>
            <w:r>
              <w:rPr>
                <w:rFonts w:ascii="宋体" w:hAnsi="宋体" w:eastAsia="宋体" w:cs="宋体"/>
                <w:spacing w:val="-5"/>
                <w:sz w:val="20"/>
                <w:szCs w:val="20"/>
              </w:rPr>
              <w:t>积</w:t>
            </w:r>
            <w:r>
              <w:rPr>
                <w:rFonts w:ascii="宋体" w:hAnsi="宋体" w:eastAsia="宋体" w:cs="宋体"/>
                <w:spacing w:val="-3"/>
                <w:sz w:val="20"/>
                <w:szCs w:val="20"/>
              </w:rPr>
              <w:t>为</w:t>
            </w:r>
            <w:r>
              <w:rPr>
                <w:rFonts w:ascii="Times New Roman" w:hAnsi="Times New Roman" w:eastAsia="Times New Roman" w:cs="Times New Roman"/>
                <w:spacing w:val="-3"/>
                <w:sz w:val="20"/>
                <w:szCs w:val="20"/>
              </w:rPr>
              <w:t>324m</w:t>
            </w:r>
            <w:r>
              <w:rPr>
                <w:rFonts w:ascii="Times New Roman" w:hAnsi="Times New Roman" w:eastAsia="Times New Roman" w:cs="Times New Roman"/>
                <w:spacing w:val="-3"/>
                <w:position w:val="6"/>
                <w:sz w:val="13"/>
                <w:szCs w:val="13"/>
              </w:rPr>
              <w:t xml:space="preserve">3 </w:t>
            </w:r>
            <w:r>
              <w:rPr>
                <w:rFonts w:ascii="宋体" w:hAnsi="宋体" w:eastAsia="宋体" w:cs="宋体"/>
                <w:spacing w:val="-3"/>
                <w:sz w:val="20"/>
                <w:szCs w:val="20"/>
              </w:rPr>
              <w:t>的三级沉淀池 (</w:t>
            </w:r>
            <w:r>
              <w:rPr>
                <w:rFonts w:ascii="Times New Roman" w:hAnsi="Times New Roman" w:eastAsia="Times New Roman" w:cs="Times New Roman"/>
                <w:spacing w:val="-3"/>
                <w:sz w:val="20"/>
                <w:szCs w:val="20"/>
              </w:rPr>
              <w:t>12m×6m×4.5m</w:t>
            </w:r>
            <w:r>
              <w:rPr>
                <w:rFonts w:ascii="宋体" w:hAnsi="宋体" w:eastAsia="宋体" w:cs="宋体"/>
                <w:spacing w:val="-3"/>
                <w:sz w:val="20"/>
                <w:szCs w:val="20"/>
              </w:rPr>
              <w:t xml:space="preserve">) ，同时配套设有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台一体化污</w:t>
            </w:r>
            <w:r>
              <w:rPr>
                <w:rFonts w:ascii="宋体" w:hAnsi="宋体" w:eastAsia="宋体" w:cs="宋体"/>
                <w:sz w:val="20"/>
                <w:szCs w:val="20"/>
              </w:rPr>
              <w:t xml:space="preserve"> </w:t>
            </w:r>
            <w:r>
              <w:rPr>
                <w:rFonts w:ascii="宋体" w:hAnsi="宋体" w:eastAsia="宋体" w:cs="宋体"/>
                <w:spacing w:val="-4"/>
                <w:sz w:val="20"/>
                <w:szCs w:val="20"/>
              </w:rPr>
              <w:t>水</w:t>
            </w:r>
            <w:r>
              <w:rPr>
                <w:rFonts w:ascii="宋体" w:hAnsi="宋体" w:eastAsia="宋体" w:cs="宋体"/>
                <w:spacing w:val="-3"/>
                <w:sz w:val="20"/>
                <w:szCs w:val="20"/>
              </w:rPr>
              <w:t>预处理设备，均位于生产厂房西南侧，产生的生产废水经一体化污水预处</w:t>
            </w:r>
            <w:r>
              <w:rPr>
                <w:rFonts w:ascii="宋体" w:hAnsi="宋体" w:eastAsia="宋体" w:cs="宋体"/>
                <w:sz w:val="20"/>
                <w:szCs w:val="20"/>
              </w:rPr>
              <w:t xml:space="preserve"> </w:t>
            </w:r>
            <w:r>
              <w:rPr>
                <w:rFonts w:ascii="宋体" w:hAnsi="宋体" w:eastAsia="宋体" w:cs="宋体"/>
                <w:spacing w:val="-6"/>
                <w:sz w:val="20"/>
                <w:szCs w:val="20"/>
              </w:rPr>
              <w:t>理设</w:t>
            </w:r>
            <w:r>
              <w:rPr>
                <w:rFonts w:ascii="宋体" w:hAnsi="宋体" w:eastAsia="宋体" w:cs="宋体"/>
                <w:spacing w:val="-5"/>
                <w:sz w:val="20"/>
                <w:szCs w:val="20"/>
              </w:rPr>
              <w:t>备</w:t>
            </w:r>
            <w:r>
              <w:rPr>
                <w:rFonts w:ascii="宋体" w:hAnsi="宋体" w:eastAsia="宋体" w:cs="宋体"/>
                <w:spacing w:val="-3"/>
                <w:sz w:val="20"/>
                <w:szCs w:val="20"/>
              </w:rPr>
              <w:t>处理后排入三级沉淀池 (</w:t>
            </w:r>
            <w:r>
              <w:rPr>
                <w:rFonts w:ascii="Times New Roman" w:hAnsi="Times New Roman" w:eastAsia="Times New Roman" w:cs="Times New Roman"/>
                <w:spacing w:val="-3"/>
                <w:sz w:val="20"/>
                <w:szCs w:val="20"/>
              </w:rPr>
              <w:t>12m×6m×4.5m</w:t>
            </w:r>
            <w:r>
              <w:rPr>
                <w:rFonts w:ascii="宋体" w:hAnsi="宋体" w:eastAsia="宋体" w:cs="宋体"/>
                <w:spacing w:val="-3"/>
                <w:sz w:val="20"/>
                <w:szCs w:val="20"/>
              </w:rPr>
              <w:t>) 沉淀处理，随后循环使用。</w:t>
            </w:r>
            <w:r>
              <w:rPr>
                <w:rFonts w:ascii="宋体" w:hAnsi="宋体" w:eastAsia="宋体" w:cs="宋体"/>
                <w:sz w:val="20"/>
                <w:szCs w:val="20"/>
              </w:rPr>
              <w:t xml:space="preserve"> </w:t>
            </w:r>
            <w:r>
              <w:rPr>
                <w:rFonts w:ascii="宋体" w:hAnsi="宋体" w:eastAsia="宋体" w:cs="宋体"/>
                <w:spacing w:val="-10"/>
                <w:sz w:val="20"/>
                <w:szCs w:val="20"/>
              </w:rPr>
              <w:t>污</w:t>
            </w:r>
            <w:r>
              <w:rPr>
                <w:rFonts w:ascii="宋体" w:hAnsi="宋体" w:eastAsia="宋体" w:cs="宋体"/>
                <w:spacing w:val="-8"/>
                <w:sz w:val="20"/>
                <w:szCs w:val="20"/>
              </w:rPr>
              <w:t xml:space="preserve">水处理设施废水每月更换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 xml:space="preserve">次，则该项目全年更换废水量为 </w:t>
            </w:r>
            <w:r>
              <w:rPr>
                <w:rFonts w:ascii="Times New Roman" w:hAnsi="Times New Roman" w:eastAsia="Times New Roman" w:cs="Times New Roman"/>
                <w:spacing w:val="-8"/>
                <w:sz w:val="20"/>
                <w:szCs w:val="20"/>
              </w:rPr>
              <w:t>1523.52m</w:t>
            </w:r>
            <w:r>
              <w:rPr>
                <w:rFonts w:ascii="Times New Roman" w:hAnsi="Times New Roman" w:eastAsia="Times New Roman" w:cs="Times New Roman"/>
                <w:spacing w:val="-8"/>
                <w:position w:val="6"/>
                <w:sz w:val="13"/>
                <w:szCs w:val="13"/>
              </w:rPr>
              <w:t xml:space="preserve">3 </w:t>
            </w:r>
            <w:r>
              <w:rPr>
                <w:rFonts w:ascii="宋体" w:hAnsi="宋体" w:eastAsia="宋体" w:cs="宋体"/>
                <w:spacing w:val="-8"/>
                <w:sz w:val="20"/>
                <w:szCs w:val="20"/>
              </w:rPr>
              <w:t>，更</w:t>
            </w:r>
            <w:r>
              <w:rPr>
                <w:rFonts w:ascii="宋体" w:hAnsi="宋体" w:eastAsia="宋体" w:cs="宋体"/>
                <w:sz w:val="20"/>
                <w:szCs w:val="20"/>
              </w:rPr>
              <w:t xml:space="preserve"> </w:t>
            </w:r>
            <w:r>
              <w:rPr>
                <w:rFonts w:ascii="宋体" w:hAnsi="宋体" w:eastAsia="宋体" w:cs="宋体"/>
                <w:spacing w:val="-28"/>
                <w:sz w:val="20"/>
                <w:szCs w:val="20"/>
              </w:rPr>
              <w:t>换</w:t>
            </w:r>
            <w:r>
              <w:rPr>
                <w:rFonts w:ascii="宋体" w:hAnsi="宋体" w:eastAsia="宋体" w:cs="宋体"/>
                <w:spacing w:val="-14"/>
                <w:sz w:val="20"/>
                <w:szCs w:val="20"/>
              </w:rPr>
              <w:t>过程产生的废水经吸污车运送至本溪市科态污水处理有限责任公司统一处理。</w:t>
            </w:r>
          </w:p>
        </w:tc>
      </w:tr>
      <w:tr w14:paraId="73762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21" w:type="dxa"/>
            <w:vMerge w:val="continue"/>
            <w:tcBorders>
              <w:top w:val="nil"/>
              <w:left w:val="nil"/>
              <w:bottom w:val="nil"/>
            </w:tcBorders>
            <w:vAlign w:val="top"/>
          </w:tcPr>
          <w:p w14:paraId="3B0B8291">
            <w:pPr>
              <w:rPr>
                <w:rFonts w:ascii="Arial"/>
                <w:sz w:val="21"/>
              </w:rPr>
            </w:pPr>
          </w:p>
        </w:tc>
        <w:tc>
          <w:tcPr>
            <w:tcW w:w="1276" w:type="dxa"/>
            <w:vAlign w:val="top"/>
          </w:tcPr>
          <w:p w14:paraId="70FCE9A5">
            <w:pPr>
              <w:spacing w:before="64" w:line="227" w:lineRule="auto"/>
              <w:ind w:left="251"/>
              <w:rPr>
                <w:rFonts w:ascii="宋体" w:hAnsi="宋体" w:eastAsia="宋体" w:cs="宋体"/>
                <w:sz w:val="20"/>
                <w:szCs w:val="20"/>
              </w:rPr>
            </w:pPr>
            <w:r>
              <w:rPr>
                <w:rFonts w:ascii="宋体" w:hAnsi="宋体" w:eastAsia="宋体" w:cs="宋体"/>
                <w:spacing w:val="-2"/>
                <w:sz w:val="20"/>
                <w:szCs w:val="20"/>
              </w:rPr>
              <w:t>供电</w:t>
            </w:r>
            <w:r>
              <w:rPr>
                <w:rFonts w:ascii="宋体" w:hAnsi="宋体" w:eastAsia="宋体" w:cs="宋体"/>
                <w:spacing w:val="-1"/>
                <w:sz w:val="20"/>
                <w:szCs w:val="20"/>
              </w:rPr>
              <w:t>系统</w:t>
            </w:r>
          </w:p>
        </w:tc>
        <w:tc>
          <w:tcPr>
            <w:tcW w:w="6563" w:type="dxa"/>
            <w:gridSpan w:val="2"/>
            <w:tcBorders>
              <w:right w:val="nil"/>
            </w:tcBorders>
            <w:vAlign w:val="top"/>
          </w:tcPr>
          <w:p w14:paraId="64598DFC">
            <w:pPr>
              <w:spacing w:before="26" w:line="281" w:lineRule="exact"/>
              <w:ind w:left="46"/>
              <w:rPr>
                <w:rFonts w:ascii="宋体" w:hAnsi="宋体" w:eastAsia="宋体" w:cs="宋体"/>
                <w:sz w:val="20"/>
                <w:szCs w:val="20"/>
              </w:rPr>
            </w:pPr>
            <w:r>
              <w:rPr>
                <w:rFonts w:ascii="宋体" w:hAnsi="宋体" w:eastAsia="宋体" w:cs="宋体"/>
                <w:spacing w:val="-4"/>
                <w:position w:val="1"/>
                <w:sz w:val="20"/>
                <w:szCs w:val="20"/>
              </w:rPr>
              <w:t>供电由当</w:t>
            </w:r>
            <w:r>
              <w:rPr>
                <w:rFonts w:ascii="宋体" w:hAnsi="宋体" w:eastAsia="宋体" w:cs="宋体"/>
                <w:spacing w:val="-2"/>
                <w:position w:val="1"/>
                <w:sz w:val="20"/>
                <w:szCs w:val="20"/>
              </w:rPr>
              <w:t xml:space="preserve">地电网引入，年用电量 </w:t>
            </w:r>
            <w:r>
              <w:rPr>
                <w:rFonts w:ascii="Times New Roman" w:hAnsi="Times New Roman" w:eastAsia="Times New Roman" w:cs="Times New Roman"/>
                <w:spacing w:val="-2"/>
                <w:position w:val="1"/>
                <w:sz w:val="20"/>
                <w:szCs w:val="20"/>
              </w:rPr>
              <w:t xml:space="preserve">1300 </w:t>
            </w:r>
            <w:r>
              <w:rPr>
                <w:rFonts w:ascii="宋体" w:hAnsi="宋体" w:eastAsia="宋体" w:cs="宋体"/>
                <w:spacing w:val="-2"/>
                <w:position w:val="1"/>
                <w:sz w:val="20"/>
                <w:szCs w:val="20"/>
              </w:rPr>
              <w:t>万</w:t>
            </w:r>
            <w:r>
              <w:rPr>
                <w:rFonts w:ascii="Times New Roman" w:hAnsi="Times New Roman" w:eastAsia="Times New Roman" w:cs="Times New Roman"/>
                <w:spacing w:val="-2"/>
                <w:position w:val="1"/>
                <w:sz w:val="20"/>
                <w:szCs w:val="20"/>
              </w:rPr>
              <w:t>kWh</w:t>
            </w:r>
            <w:r>
              <w:rPr>
                <w:rFonts w:ascii="宋体" w:hAnsi="宋体" w:eastAsia="宋体" w:cs="宋体"/>
                <w:spacing w:val="-2"/>
                <w:position w:val="1"/>
                <w:sz w:val="20"/>
                <w:szCs w:val="20"/>
              </w:rPr>
              <w:t>。</w:t>
            </w:r>
          </w:p>
        </w:tc>
      </w:tr>
      <w:tr w14:paraId="56BD0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521" w:type="dxa"/>
            <w:vMerge w:val="continue"/>
            <w:tcBorders>
              <w:top w:val="nil"/>
              <w:left w:val="nil"/>
            </w:tcBorders>
            <w:vAlign w:val="top"/>
          </w:tcPr>
          <w:p w14:paraId="315C801E">
            <w:pPr>
              <w:rPr>
                <w:rFonts w:ascii="Arial"/>
                <w:sz w:val="21"/>
              </w:rPr>
            </w:pPr>
          </w:p>
        </w:tc>
        <w:tc>
          <w:tcPr>
            <w:tcW w:w="1276" w:type="dxa"/>
            <w:vAlign w:val="top"/>
          </w:tcPr>
          <w:p w14:paraId="0C2A951C">
            <w:pPr>
              <w:spacing w:before="232" w:line="227" w:lineRule="auto"/>
              <w:ind w:left="251"/>
              <w:rPr>
                <w:rFonts w:ascii="宋体" w:hAnsi="宋体" w:eastAsia="宋体" w:cs="宋体"/>
                <w:sz w:val="20"/>
                <w:szCs w:val="20"/>
              </w:rPr>
            </w:pPr>
            <w:r>
              <w:rPr>
                <w:rFonts w:ascii="宋体" w:hAnsi="宋体" w:eastAsia="宋体" w:cs="宋体"/>
                <w:spacing w:val="-2"/>
                <w:sz w:val="20"/>
                <w:szCs w:val="20"/>
              </w:rPr>
              <w:t>供热</w:t>
            </w:r>
            <w:r>
              <w:rPr>
                <w:rFonts w:ascii="宋体" w:hAnsi="宋体" w:eastAsia="宋体" w:cs="宋体"/>
                <w:spacing w:val="-1"/>
                <w:sz w:val="20"/>
                <w:szCs w:val="20"/>
              </w:rPr>
              <w:t>系统</w:t>
            </w:r>
          </w:p>
        </w:tc>
        <w:tc>
          <w:tcPr>
            <w:tcW w:w="6563" w:type="dxa"/>
            <w:gridSpan w:val="2"/>
            <w:tcBorders>
              <w:right w:val="nil"/>
            </w:tcBorders>
            <w:vAlign w:val="top"/>
          </w:tcPr>
          <w:p w14:paraId="37AB7522">
            <w:pPr>
              <w:spacing w:before="64" w:line="280" w:lineRule="auto"/>
              <w:ind w:left="46" w:right="11" w:firstLine="1"/>
              <w:rPr>
                <w:rFonts w:ascii="宋体" w:hAnsi="宋体" w:eastAsia="宋体" w:cs="宋体"/>
                <w:sz w:val="20"/>
                <w:szCs w:val="20"/>
              </w:rPr>
            </w:pPr>
            <w:r>
              <w:rPr>
                <w:rFonts w:ascii="宋体" w:hAnsi="宋体" w:eastAsia="宋体" w:cs="宋体"/>
                <w:spacing w:val="-3"/>
                <w:sz w:val="20"/>
                <w:szCs w:val="20"/>
              </w:rPr>
              <w:t>生产厂房无需供暖，办公室及员工休息室供暖采用电取暖。洗字槽加热由生</w:t>
            </w:r>
            <w:r>
              <w:rPr>
                <w:rFonts w:ascii="宋体" w:hAnsi="宋体" w:eastAsia="宋体" w:cs="宋体"/>
                <w:sz w:val="20"/>
                <w:szCs w:val="20"/>
              </w:rPr>
              <w:t xml:space="preserve"> </w:t>
            </w:r>
            <w:r>
              <w:rPr>
                <w:rFonts w:ascii="宋体" w:hAnsi="宋体" w:eastAsia="宋体" w:cs="宋体"/>
                <w:spacing w:val="-12"/>
                <w:sz w:val="20"/>
                <w:szCs w:val="20"/>
              </w:rPr>
              <w:t>产厂</w:t>
            </w:r>
            <w:r>
              <w:rPr>
                <w:rFonts w:ascii="宋体" w:hAnsi="宋体" w:eastAsia="宋体" w:cs="宋体"/>
                <w:spacing w:val="-10"/>
                <w:sz w:val="20"/>
                <w:szCs w:val="20"/>
              </w:rPr>
              <w:t>房</w:t>
            </w:r>
            <w:r>
              <w:rPr>
                <w:rFonts w:ascii="宋体" w:hAnsi="宋体" w:eastAsia="宋体" w:cs="宋体"/>
                <w:spacing w:val="-6"/>
                <w:sz w:val="20"/>
                <w:szCs w:val="20"/>
              </w:rPr>
              <w:t xml:space="preserve">内的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 xml:space="preserve">台 </w:t>
            </w:r>
            <w:r>
              <w:rPr>
                <w:rFonts w:ascii="Times New Roman" w:hAnsi="Times New Roman" w:eastAsia="Times New Roman" w:cs="Times New Roman"/>
                <w:spacing w:val="-6"/>
                <w:sz w:val="20"/>
                <w:szCs w:val="20"/>
              </w:rPr>
              <w:t xml:space="preserve">2t/h </w:t>
            </w:r>
            <w:r>
              <w:rPr>
                <w:rFonts w:ascii="宋体" w:hAnsi="宋体" w:eastAsia="宋体" w:cs="宋体"/>
                <w:spacing w:val="-6"/>
                <w:sz w:val="20"/>
                <w:szCs w:val="20"/>
              </w:rPr>
              <w:t>的热风炉提供。</w:t>
            </w:r>
          </w:p>
        </w:tc>
      </w:tr>
      <w:tr w14:paraId="51353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521" w:type="dxa"/>
            <w:vMerge w:val="restart"/>
            <w:tcBorders>
              <w:left w:val="nil"/>
              <w:bottom w:val="nil"/>
            </w:tcBorders>
            <w:vAlign w:val="top"/>
          </w:tcPr>
          <w:p w14:paraId="50A952B9">
            <w:pPr>
              <w:spacing w:line="273" w:lineRule="auto"/>
              <w:rPr>
                <w:rFonts w:ascii="Arial"/>
                <w:sz w:val="21"/>
              </w:rPr>
            </w:pPr>
          </w:p>
          <w:p w14:paraId="6E41C40B">
            <w:pPr>
              <w:spacing w:line="273" w:lineRule="auto"/>
              <w:rPr>
                <w:rFonts w:ascii="Arial"/>
                <w:sz w:val="21"/>
              </w:rPr>
            </w:pPr>
          </w:p>
          <w:p w14:paraId="198B8B6C">
            <w:pPr>
              <w:spacing w:line="273" w:lineRule="auto"/>
              <w:rPr>
                <w:rFonts w:ascii="Arial"/>
                <w:sz w:val="21"/>
              </w:rPr>
            </w:pPr>
          </w:p>
          <w:p w14:paraId="24BD73DF">
            <w:pPr>
              <w:spacing w:line="273" w:lineRule="auto"/>
              <w:rPr>
                <w:rFonts w:ascii="Arial"/>
                <w:sz w:val="21"/>
              </w:rPr>
            </w:pPr>
          </w:p>
          <w:p w14:paraId="18941B3F">
            <w:pPr>
              <w:spacing w:line="273" w:lineRule="auto"/>
              <w:rPr>
                <w:rFonts w:ascii="Arial"/>
                <w:sz w:val="21"/>
              </w:rPr>
            </w:pPr>
          </w:p>
          <w:p w14:paraId="702DE835">
            <w:pPr>
              <w:spacing w:before="65" w:line="265" w:lineRule="auto"/>
              <w:ind w:left="74" w:right="48" w:hanging="2"/>
              <w:rPr>
                <w:rFonts w:ascii="宋体" w:hAnsi="宋体" w:eastAsia="宋体" w:cs="宋体"/>
                <w:sz w:val="20"/>
                <w:szCs w:val="20"/>
              </w:rPr>
            </w:pPr>
            <w:r>
              <w:rPr>
                <w:rFonts w:ascii="宋体" w:hAnsi="宋体" w:eastAsia="宋体" w:cs="宋体"/>
                <w:spacing w:val="-2"/>
                <w:sz w:val="20"/>
                <w:szCs w:val="20"/>
              </w:rPr>
              <w:t>环</w:t>
            </w:r>
            <w:r>
              <w:rPr>
                <w:rFonts w:ascii="宋体" w:hAnsi="宋体" w:eastAsia="宋体" w:cs="宋体"/>
                <w:spacing w:val="-1"/>
                <w:sz w:val="20"/>
                <w:szCs w:val="20"/>
              </w:rPr>
              <w:t>保</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程</w:t>
            </w:r>
          </w:p>
        </w:tc>
        <w:tc>
          <w:tcPr>
            <w:tcW w:w="1276" w:type="dxa"/>
            <w:vMerge w:val="restart"/>
            <w:tcBorders>
              <w:bottom w:val="nil"/>
            </w:tcBorders>
            <w:vAlign w:val="top"/>
          </w:tcPr>
          <w:p w14:paraId="7550A5EB">
            <w:pPr>
              <w:spacing w:line="291" w:lineRule="auto"/>
              <w:rPr>
                <w:rFonts w:ascii="Arial"/>
                <w:sz w:val="21"/>
              </w:rPr>
            </w:pPr>
          </w:p>
          <w:p w14:paraId="1FC9A8A0">
            <w:pPr>
              <w:spacing w:line="291" w:lineRule="auto"/>
              <w:rPr>
                <w:rFonts w:ascii="Arial"/>
                <w:sz w:val="21"/>
              </w:rPr>
            </w:pPr>
          </w:p>
          <w:p w14:paraId="240692DD">
            <w:pPr>
              <w:spacing w:line="291" w:lineRule="auto"/>
              <w:rPr>
                <w:rFonts w:ascii="Arial"/>
                <w:sz w:val="21"/>
              </w:rPr>
            </w:pPr>
          </w:p>
          <w:p w14:paraId="6A5BE839">
            <w:pPr>
              <w:spacing w:line="291" w:lineRule="auto"/>
              <w:rPr>
                <w:rFonts w:ascii="Arial"/>
                <w:sz w:val="21"/>
              </w:rPr>
            </w:pPr>
          </w:p>
          <w:p w14:paraId="00B83DA4">
            <w:pPr>
              <w:spacing w:before="65" w:line="228" w:lineRule="auto"/>
              <w:ind w:left="250"/>
              <w:rPr>
                <w:rFonts w:ascii="宋体" w:hAnsi="宋体" w:eastAsia="宋体" w:cs="宋体"/>
                <w:sz w:val="20"/>
                <w:szCs w:val="20"/>
              </w:rPr>
            </w:pPr>
            <w:r>
              <w:rPr>
                <w:rFonts w:ascii="宋体" w:hAnsi="宋体" w:eastAsia="宋体" w:cs="宋体"/>
                <w:spacing w:val="-2"/>
                <w:sz w:val="20"/>
                <w:szCs w:val="20"/>
              </w:rPr>
              <w:t>废</w:t>
            </w:r>
            <w:r>
              <w:rPr>
                <w:rFonts w:ascii="宋体" w:hAnsi="宋体" w:eastAsia="宋体" w:cs="宋体"/>
                <w:spacing w:val="-1"/>
                <w:sz w:val="20"/>
                <w:szCs w:val="20"/>
              </w:rPr>
              <w:t>气治理</w:t>
            </w:r>
          </w:p>
        </w:tc>
        <w:tc>
          <w:tcPr>
            <w:tcW w:w="6563" w:type="dxa"/>
            <w:gridSpan w:val="2"/>
            <w:tcBorders>
              <w:right w:val="nil"/>
            </w:tcBorders>
            <w:vAlign w:val="top"/>
          </w:tcPr>
          <w:p w14:paraId="4368F4C1">
            <w:pPr>
              <w:spacing w:before="66" w:line="293" w:lineRule="auto"/>
              <w:ind w:left="39" w:right="10" w:firstLine="10"/>
              <w:rPr>
                <w:rFonts w:ascii="宋体" w:hAnsi="宋体" w:eastAsia="宋体" w:cs="宋体"/>
                <w:sz w:val="20"/>
                <w:szCs w:val="20"/>
              </w:rPr>
            </w:pPr>
            <w:r>
              <w:rPr>
                <w:rFonts w:ascii="宋体" w:hAnsi="宋体" w:eastAsia="宋体" w:cs="宋体"/>
                <w:spacing w:val="-10"/>
                <w:sz w:val="20"/>
                <w:szCs w:val="20"/>
              </w:rPr>
              <w:t>该项目</w:t>
            </w:r>
            <w:r>
              <w:rPr>
                <w:rFonts w:ascii="宋体" w:hAnsi="宋体" w:eastAsia="宋体" w:cs="宋体"/>
                <w:spacing w:val="-6"/>
                <w:sz w:val="20"/>
                <w:szCs w:val="20"/>
              </w:rPr>
              <w:t>每</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 xml:space="preserve">条生产线共用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套废气处理设施，集气罩收集后的有机废气经由</w:t>
            </w:r>
            <w:r>
              <w:rPr>
                <w:rFonts w:ascii="宋体" w:hAnsi="宋体" w:eastAsia="宋体" w:cs="宋体"/>
                <w:sz w:val="20"/>
                <w:szCs w:val="20"/>
              </w:rPr>
              <w:t xml:space="preserve"> </w:t>
            </w:r>
            <w:r>
              <w:rPr>
                <w:rFonts w:ascii="宋体" w:hAnsi="宋体" w:eastAsia="宋体" w:cs="宋体"/>
                <w:spacing w:val="-10"/>
                <w:sz w:val="20"/>
                <w:szCs w:val="20"/>
              </w:rPr>
              <w:t xml:space="preserve">风量为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5"/>
                <w:sz w:val="20"/>
                <w:szCs w:val="20"/>
              </w:rPr>
              <w:t>000m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 xml:space="preserve">/h </w:t>
            </w:r>
            <w:r>
              <w:rPr>
                <w:rFonts w:ascii="宋体" w:hAnsi="宋体" w:eastAsia="宋体" w:cs="宋体"/>
                <w:spacing w:val="-5"/>
                <w:sz w:val="20"/>
                <w:szCs w:val="20"/>
              </w:rPr>
              <w:t>的引风机抽入每个厂房内各自设置的废气治理装置中，经过</w:t>
            </w:r>
            <w:r>
              <w:rPr>
                <w:rFonts w:ascii="宋体" w:hAnsi="宋体" w:eastAsia="宋体" w:cs="宋体"/>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光氧</w:t>
            </w:r>
            <w:r>
              <w:rPr>
                <w:rFonts w:ascii="宋体" w:hAnsi="宋体" w:eastAsia="宋体" w:cs="宋体"/>
                <w:sz w:val="20"/>
                <w:szCs w:val="20"/>
              </w:rPr>
              <w:t>催化废气处理装置</w:t>
            </w:r>
            <w:r>
              <w:rPr>
                <w:rFonts w:ascii="Times New Roman" w:hAnsi="Times New Roman" w:eastAsia="Times New Roman" w:cs="Times New Roman"/>
                <w:sz w:val="20"/>
                <w:szCs w:val="20"/>
              </w:rPr>
              <w:t>+</w:t>
            </w:r>
            <w:r>
              <w:rPr>
                <w:rFonts w:ascii="宋体" w:hAnsi="宋体" w:eastAsia="宋体" w:cs="宋体"/>
                <w:sz w:val="20"/>
                <w:szCs w:val="20"/>
              </w:rPr>
              <w:t xml:space="preserve">活性炭吸附装置处理后通过 </w:t>
            </w:r>
            <w:r>
              <w:rPr>
                <w:rFonts w:ascii="Times New Roman" w:hAnsi="Times New Roman" w:eastAsia="Times New Roman" w:cs="Times New Roman"/>
                <w:sz w:val="20"/>
                <w:szCs w:val="20"/>
              </w:rPr>
              <w:t>15m</w:t>
            </w:r>
            <w:r>
              <w:rPr>
                <w:rFonts w:ascii="宋体" w:hAnsi="宋体" w:eastAsia="宋体" w:cs="宋体"/>
                <w:sz w:val="20"/>
                <w:szCs w:val="20"/>
              </w:rPr>
              <w:t xml:space="preserve">高排气筒有组 </w:t>
            </w:r>
            <w:r>
              <w:rPr>
                <w:rFonts w:ascii="宋体" w:hAnsi="宋体" w:eastAsia="宋体" w:cs="宋体"/>
                <w:spacing w:val="-8"/>
                <w:sz w:val="20"/>
                <w:szCs w:val="20"/>
              </w:rPr>
              <w:t>织</w:t>
            </w:r>
            <w:r>
              <w:rPr>
                <w:rFonts w:ascii="宋体" w:hAnsi="宋体" w:eastAsia="宋体" w:cs="宋体"/>
                <w:spacing w:val="-5"/>
                <w:sz w:val="20"/>
                <w:szCs w:val="20"/>
              </w:rPr>
              <w:t>排</w:t>
            </w:r>
            <w:r>
              <w:rPr>
                <w:rFonts w:ascii="宋体" w:hAnsi="宋体" w:eastAsia="宋体" w:cs="宋体"/>
                <w:spacing w:val="-4"/>
                <w:sz w:val="20"/>
                <w:szCs w:val="20"/>
              </w:rPr>
              <w:t xml:space="preserve">放，共计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个排气筒 (</w:t>
            </w:r>
            <w:r>
              <w:rPr>
                <w:rFonts w:ascii="Times New Roman" w:hAnsi="Times New Roman" w:eastAsia="Times New Roman" w:cs="Times New Roman"/>
                <w:spacing w:val="-4"/>
                <w:sz w:val="20"/>
                <w:szCs w:val="20"/>
              </w:rPr>
              <w:t>1#</w:t>
            </w:r>
            <w:r>
              <w:rPr>
                <w:rFonts w:ascii="宋体" w:hAnsi="宋体" w:eastAsia="宋体" w:cs="宋体"/>
                <w:spacing w:val="-4"/>
                <w:sz w:val="20"/>
                <w:szCs w:val="20"/>
              </w:rPr>
              <w:t>排气筒、</w:t>
            </w:r>
            <w:r>
              <w:rPr>
                <w:rFonts w:ascii="Times New Roman" w:hAnsi="Times New Roman" w:eastAsia="Times New Roman" w:cs="Times New Roman"/>
                <w:spacing w:val="-4"/>
                <w:sz w:val="20"/>
                <w:szCs w:val="20"/>
              </w:rPr>
              <w:t>2#</w:t>
            </w:r>
            <w:r>
              <w:rPr>
                <w:rFonts w:ascii="宋体" w:hAnsi="宋体" w:eastAsia="宋体" w:cs="宋体"/>
                <w:spacing w:val="-4"/>
                <w:sz w:val="20"/>
                <w:szCs w:val="20"/>
              </w:rPr>
              <w:t>排气筒) 。</w:t>
            </w:r>
          </w:p>
        </w:tc>
      </w:tr>
      <w:tr w14:paraId="13F42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521" w:type="dxa"/>
            <w:vMerge w:val="continue"/>
            <w:tcBorders>
              <w:top w:val="nil"/>
              <w:left w:val="nil"/>
              <w:bottom w:val="nil"/>
            </w:tcBorders>
            <w:vAlign w:val="top"/>
          </w:tcPr>
          <w:p w14:paraId="6A7E3FB8">
            <w:pPr>
              <w:rPr>
                <w:rFonts w:ascii="Arial"/>
                <w:sz w:val="21"/>
              </w:rPr>
            </w:pPr>
          </w:p>
        </w:tc>
        <w:tc>
          <w:tcPr>
            <w:tcW w:w="1276" w:type="dxa"/>
            <w:vMerge w:val="continue"/>
            <w:tcBorders>
              <w:top w:val="nil"/>
            </w:tcBorders>
            <w:vAlign w:val="top"/>
          </w:tcPr>
          <w:p w14:paraId="5EC2495A">
            <w:pPr>
              <w:rPr>
                <w:rFonts w:ascii="Arial"/>
                <w:sz w:val="21"/>
              </w:rPr>
            </w:pPr>
          </w:p>
        </w:tc>
        <w:tc>
          <w:tcPr>
            <w:tcW w:w="6563" w:type="dxa"/>
            <w:gridSpan w:val="2"/>
            <w:tcBorders>
              <w:right w:val="nil"/>
            </w:tcBorders>
            <w:vAlign w:val="top"/>
          </w:tcPr>
          <w:p w14:paraId="32E9A25D">
            <w:pPr>
              <w:spacing w:before="67" w:line="287" w:lineRule="auto"/>
              <w:ind w:left="42" w:right="11" w:firstLine="7"/>
              <w:rPr>
                <w:rFonts w:ascii="宋体" w:hAnsi="宋体" w:eastAsia="宋体" w:cs="宋体"/>
                <w:sz w:val="20"/>
                <w:szCs w:val="20"/>
              </w:rPr>
            </w:pPr>
            <w:r>
              <w:rPr>
                <w:rFonts w:ascii="宋体" w:hAnsi="宋体" w:eastAsia="宋体" w:cs="宋体"/>
                <w:spacing w:val="7"/>
                <w:sz w:val="20"/>
                <w:szCs w:val="20"/>
              </w:rPr>
              <w:t xml:space="preserve">该项目洗字工序设有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 xml:space="preserve">个容积为 </w:t>
            </w:r>
            <w:r>
              <w:rPr>
                <w:rFonts w:ascii="Times New Roman" w:hAnsi="Times New Roman" w:eastAsia="Times New Roman" w:cs="Times New Roman"/>
                <w:spacing w:val="7"/>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的洗字槽 (</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m</w:t>
            </w:r>
            <w:r>
              <w:rPr>
                <w:rFonts w:ascii="宋体" w:hAnsi="宋体" w:eastAsia="宋体" w:cs="宋体"/>
                <w:spacing w:val="7"/>
                <w:sz w:val="20"/>
                <w:szCs w:val="20"/>
              </w:rPr>
              <w:t>) ，</w:t>
            </w:r>
            <w:r>
              <w:rPr>
                <w:rFonts w:ascii="宋体" w:hAnsi="宋体" w:eastAsia="宋体" w:cs="宋体"/>
                <w:spacing w:val="4"/>
                <w:sz w:val="20"/>
                <w:szCs w:val="20"/>
              </w:rPr>
              <w:t>配</w:t>
            </w:r>
            <w:r>
              <w:rPr>
                <w:rFonts w:ascii="宋体" w:hAnsi="宋体" w:eastAsia="宋体" w:cs="宋体"/>
                <w:sz w:val="20"/>
                <w:szCs w:val="20"/>
              </w:rPr>
              <w:t xml:space="preserve"> </w:t>
            </w:r>
            <w:r>
              <w:rPr>
                <w:rFonts w:ascii="宋体" w:hAnsi="宋体" w:eastAsia="宋体" w:cs="宋体"/>
                <w:spacing w:val="-1"/>
                <w:sz w:val="20"/>
                <w:szCs w:val="20"/>
              </w:rPr>
              <w:t xml:space="preserve">套设有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台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t</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的热风炉，产生的废气</w:t>
            </w:r>
            <w:r>
              <w:rPr>
                <w:rFonts w:ascii="宋体" w:hAnsi="宋体" w:eastAsia="宋体" w:cs="宋体"/>
                <w:sz w:val="20"/>
                <w:szCs w:val="20"/>
              </w:rPr>
              <w:t xml:space="preserve">经配套的布袋除尘器处理后，通过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个 </w:t>
            </w:r>
            <w:r>
              <w:rPr>
                <w:rFonts w:ascii="Times New Roman" w:hAnsi="Times New Roman" w:eastAsia="Times New Roman" w:cs="Times New Roman"/>
                <w:sz w:val="20"/>
                <w:szCs w:val="20"/>
              </w:rPr>
              <w:t>3#</w:t>
            </w:r>
            <w:r>
              <w:rPr>
                <w:rFonts w:ascii="宋体" w:hAnsi="宋体" w:eastAsia="宋体" w:cs="宋体"/>
                <w:sz w:val="20"/>
                <w:szCs w:val="20"/>
              </w:rPr>
              <w:t xml:space="preserve">排气筒进行排放，排气筒高度为 </w:t>
            </w:r>
            <w:r>
              <w:rPr>
                <w:rFonts w:ascii="Times New Roman" w:hAnsi="Times New Roman" w:eastAsia="Times New Roman" w:cs="Times New Roman"/>
                <w:sz w:val="20"/>
                <w:szCs w:val="20"/>
              </w:rPr>
              <w:t xml:space="preserve">30m  </w:t>
            </w:r>
            <w:r>
              <w:rPr>
                <w:rFonts w:ascii="宋体" w:hAnsi="宋体" w:eastAsia="宋体" w:cs="宋体"/>
                <w:sz w:val="20"/>
                <w:szCs w:val="20"/>
              </w:rPr>
              <w:t xml:space="preserve">(新建锅炉房的烟囱周围半径 </w:t>
            </w:r>
            <w:r>
              <w:rPr>
                <w:rFonts w:ascii="Times New Roman" w:hAnsi="Times New Roman" w:eastAsia="Times New Roman" w:cs="Times New Roman"/>
                <w:spacing w:val="-4"/>
                <w:sz w:val="20"/>
                <w:szCs w:val="20"/>
              </w:rPr>
              <w:t xml:space="preserve">200m </w:t>
            </w:r>
            <w:r>
              <w:rPr>
                <w:rFonts w:ascii="宋体" w:hAnsi="宋体" w:eastAsia="宋体" w:cs="宋体"/>
                <w:spacing w:val="-4"/>
                <w:sz w:val="20"/>
                <w:szCs w:val="20"/>
              </w:rPr>
              <w:t xml:space="preserve">距离内有建筑物时，其烟囱应高出最高建筑物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以上) 。</w:t>
            </w:r>
          </w:p>
        </w:tc>
      </w:tr>
      <w:tr w14:paraId="1EDAA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21" w:type="dxa"/>
            <w:vMerge w:val="continue"/>
            <w:tcBorders>
              <w:top w:val="nil"/>
              <w:left w:val="nil"/>
            </w:tcBorders>
            <w:vAlign w:val="top"/>
          </w:tcPr>
          <w:p w14:paraId="700D5782">
            <w:pPr>
              <w:rPr>
                <w:rFonts w:ascii="Arial"/>
                <w:sz w:val="21"/>
              </w:rPr>
            </w:pPr>
          </w:p>
        </w:tc>
        <w:tc>
          <w:tcPr>
            <w:tcW w:w="1276" w:type="dxa"/>
            <w:vAlign w:val="top"/>
          </w:tcPr>
          <w:p w14:paraId="46AFA7F3">
            <w:pPr>
              <w:spacing w:before="234" w:line="228" w:lineRule="auto"/>
              <w:ind w:left="250"/>
              <w:rPr>
                <w:rFonts w:ascii="宋体" w:hAnsi="宋体" w:eastAsia="宋体" w:cs="宋体"/>
                <w:sz w:val="20"/>
                <w:szCs w:val="20"/>
              </w:rPr>
            </w:pPr>
            <w:r>
              <w:rPr>
                <w:rFonts w:ascii="宋体" w:hAnsi="宋体" w:eastAsia="宋体" w:cs="宋体"/>
                <w:spacing w:val="-2"/>
                <w:sz w:val="20"/>
                <w:szCs w:val="20"/>
              </w:rPr>
              <w:t>废</w:t>
            </w:r>
            <w:r>
              <w:rPr>
                <w:rFonts w:ascii="宋体" w:hAnsi="宋体" w:eastAsia="宋体" w:cs="宋体"/>
                <w:spacing w:val="-1"/>
                <w:sz w:val="20"/>
                <w:szCs w:val="20"/>
              </w:rPr>
              <w:t>水治理</w:t>
            </w:r>
          </w:p>
        </w:tc>
        <w:tc>
          <w:tcPr>
            <w:tcW w:w="1715" w:type="dxa"/>
            <w:vAlign w:val="top"/>
          </w:tcPr>
          <w:p w14:paraId="354BD83D">
            <w:pPr>
              <w:spacing w:before="234" w:line="228" w:lineRule="auto"/>
              <w:ind w:left="472"/>
              <w:rPr>
                <w:rFonts w:ascii="宋体" w:hAnsi="宋体" w:eastAsia="宋体" w:cs="宋体"/>
                <w:sz w:val="20"/>
                <w:szCs w:val="20"/>
              </w:rPr>
            </w:pPr>
            <w:r>
              <w:rPr>
                <w:rFonts w:ascii="宋体" w:hAnsi="宋体" w:eastAsia="宋体" w:cs="宋体"/>
                <w:spacing w:val="-2"/>
                <w:sz w:val="20"/>
                <w:szCs w:val="20"/>
              </w:rPr>
              <w:t>生活污水</w:t>
            </w:r>
          </w:p>
        </w:tc>
        <w:tc>
          <w:tcPr>
            <w:tcW w:w="4848" w:type="dxa"/>
            <w:tcBorders>
              <w:bottom w:val="nil"/>
              <w:right w:val="nil"/>
            </w:tcBorders>
            <w:vAlign w:val="top"/>
          </w:tcPr>
          <w:p w14:paraId="5A23E53C">
            <w:pPr>
              <w:spacing w:before="66" w:line="268" w:lineRule="auto"/>
              <w:ind w:left="46"/>
              <w:rPr>
                <w:rFonts w:ascii="宋体" w:hAnsi="宋体" w:eastAsia="宋体" w:cs="宋体"/>
                <w:sz w:val="20"/>
                <w:szCs w:val="20"/>
              </w:rPr>
            </w:pPr>
            <w:r>
              <w:rPr>
                <w:rFonts w:ascii="宋体" w:hAnsi="宋体" w:eastAsia="宋体" w:cs="宋体"/>
                <w:spacing w:val="-4"/>
                <w:sz w:val="20"/>
                <w:szCs w:val="20"/>
              </w:rPr>
              <w:t>在厂区</w:t>
            </w:r>
            <w:r>
              <w:rPr>
                <w:rFonts w:ascii="宋体" w:hAnsi="宋体" w:eastAsia="宋体" w:cs="宋体"/>
                <w:spacing w:val="-3"/>
                <w:sz w:val="20"/>
                <w:szCs w:val="20"/>
              </w:rPr>
              <w:t>内</w:t>
            </w:r>
            <w:r>
              <w:rPr>
                <w:rFonts w:ascii="宋体" w:hAnsi="宋体" w:eastAsia="宋体" w:cs="宋体"/>
                <w:spacing w:val="-2"/>
                <w:sz w:val="20"/>
                <w:szCs w:val="20"/>
              </w:rPr>
              <w:t>设置旱厕，容积为</w:t>
            </w:r>
            <w:r>
              <w:rPr>
                <w:rFonts w:ascii="Times New Roman" w:hAnsi="Times New Roman" w:eastAsia="Times New Roman" w:cs="Times New Roman"/>
                <w:spacing w:val="-2"/>
                <w:sz w:val="20"/>
                <w:szCs w:val="20"/>
              </w:rPr>
              <w:t>40m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，员工使用防渗旱厕，</w:t>
            </w:r>
            <w:r>
              <w:rPr>
                <w:rFonts w:ascii="宋体" w:hAnsi="宋体" w:eastAsia="宋体" w:cs="宋体"/>
                <w:sz w:val="20"/>
                <w:szCs w:val="20"/>
              </w:rPr>
              <w:t xml:space="preserve"> </w:t>
            </w:r>
            <w:r>
              <w:rPr>
                <w:rFonts w:ascii="宋体" w:hAnsi="宋体" w:eastAsia="宋体" w:cs="宋体"/>
                <w:spacing w:val="-9"/>
                <w:sz w:val="20"/>
                <w:szCs w:val="20"/>
                <w:u w:val="single" w:color="auto"/>
              </w:rPr>
              <w:t>平</w:t>
            </w:r>
            <w:r>
              <w:rPr>
                <w:rFonts w:ascii="宋体" w:hAnsi="宋体" w:eastAsia="宋体" w:cs="宋体"/>
                <w:spacing w:val="-8"/>
                <w:sz w:val="20"/>
                <w:szCs w:val="20"/>
                <w:u w:val="single" w:color="auto"/>
              </w:rPr>
              <w:t>均每月清掏一次，综合利用于周围农田堆肥，不外排。</w:t>
            </w:r>
          </w:p>
        </w:tc>
      </w:tr>
    </w:tbl>
    <w:p w14:paraId="2C14E5D6">
      <w:pPr>
        <w:rPr>
          <w:rFonts w:ascii="Arial"/>
          <w:sz w:val="21"/>
        </w:rPr>
      </w:pPr>
    </w:p>
    <w:p w14:paraId="4441B839">
      <w:pPr>
        <w:sectPr>
          <w:headerReference r:id="rId90" w:type="default"/>
          <w:footerReference r:id="rId91" w:type="default"/>
          <w:pgSz w:w="11906" w:h="16839"/>
          <w:pgMar w:top="1132" w:right="1785" w:bottom="1156" w:left="1760" w:header="878" w:footer="996" w:gutter="0"/>
          <w:cols w:space="720" w:num="1"/>
        </w:sectPr>
      </w:pPr>
    </w:p>
    <w:p w14:paraId="6B969CA4">
      <w:r>
        <w:pict>
          <v:shape id="_x0000_s1136" o:spid="_x0000_s1136" style="position:absolute;left:0pt;margin-left:90pt;margin-top:57.35pt;height:0.75pt;width:415.3pt;mso-position-horizontal-relative:page;mso-position-vertical-relative:page;z-index:251769856;mso-width-relative:page;mso-height-relative:page;" fillcolor="#000000" filled="t" stroked="f" coordsize="8305,15" o:allowincell="f" path="m0,0l8305,0,8305,14,0,14,0,0xe">
            <v:path/>
            <v:fill on="t" focussize="0,0"/>
            <v:stroke on="f"/>
            <v:imagedata o:title=""/>
            <o:lock v:ext="edit"/>
          </v:shape>
        </w:pict>
      </w:r>
    </w:p>
    <w:p w14:paraId="609F00EC">
      <w:pPr>
        <w:spacing w:line="65" w:lineRule="exact"/>
      </w:pPr>
    </w:p>
    <w:tbl>
      <w:tblPr>
        <w:tblStyle w:val="4"/>
        <w:tblW w:w="83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1"/>
        <w:gridCol w:w="1276"/>
        <w:gridCol w:w="422"/>
        <w:gridCol w:w="1294"/>
        <w:gridCol w:w="4843"/>
      </w:tblGrid>
      <w:tr w14:paraId="17E71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2" w:hRule="atLeast"/>
        </w:trPr>
        <w:tc>
          <w:tcPr>
            <w:tcW w:w="521" w:type="dxa"/>
            <w:vMerge w:val="restart"/>
            <w:tcBorders>
              <w:left w:val="nil"/>
              <w:bottom w:val="nil"/>
            </w:tcBorders>
            <w:vAlign w:val="top"/>
          </w:tcPr>
          <w:p w14:paraId="7D1325DC">
            <w:pPr>
              <w:rPr>
                <w:rFonts w:ascii="Arial"/>
                <w:sz w:val="21"/>
              </w:rPr>
            </w:pPr>
          </w:p>
        </w:tc>
        <w:tc>
          <w:tcPr>
            <w:tcW w:w="1276" w:type="dxa"/>
            <w:vAlign w:val="top"/>
          </w:tcPr>
          <w:p w14:paraId="76F4E179">
            <w:pPr>
              <w:rPr>
                <w:rFonts w:ascii="Arial"/>
                <w:sz w:val="21"/>
              </w:rPr>
            </w:pPr>
          </w:p>
        </w:tc>
        <w:tc>
          <w:tcPr>
            <w:tcW w:w="1716" w:type="dxa"/>
            <w:gridSpan w:val="2"/>
            <w:vAlign w:val="top"/>
          </w:tcPr>
          <w:p w14:paraId="447E8FA0">
            <w:pPr>
              <w:spacing w:line="294" w:lineRule="auto"/>
              <w:rPr>
                <w:rFonts w:ascii="Arial"/>
                <w:sz w:val="21"/>
              </w:rPr>
            </w:pPr>
          </w:p>
          <w:p w14:paraId="3FD7FB73">
            <w:pPr>
              <w:spacing w:line="294" w:lineRule="auto"/>
              <w:rPr>
                <w:rFonts w:ascii="Arial"/>
                <w:sz w:val="21"/>
              </w:rPr>
            </w:pPr>
          </w:p>
          <w:p w14:paraId="491C2488">
            <w:pPr>
              <w:spacing w:line="295" w:lineRule="auto"/>
              <w:rPr>
                <w:rFonts w:ascii="Arial"/>
                <w:sz w:val="21"/>
              </w:rPr>
            </w:pPr>
          </w:p>
          <w:p w14:paraId="2C203613">
            <w:pPr>
              <w:spacing w:line="295" w:lineRule="auto"/>
              <w:rPr>
                <w:rFonts w:ascii="Arial"/>
                <w:sz w:val="21"/>
              </w:rPr>
            </w:pPr>
          </w:p>
          <w:p w14:paraId="7957993B">
            <w:pPr>
              <w:spacing w:before="65" w:line="228" w:lineRule="auto"/>
              <w:ind w:left="472"/>
              <w:rPr>
                <w:rFonts w:ascii="宋体" w:hAnsi="宋体" w:eastAsia="宋体" w:cs="宋体"/>
                <w:sz w:val="20"/>
                <w:szCs w:val="20"/>
              </w:rPr>
            </w:pPr>
            <w:r>
              <w:rPr>
                <w:rFonts w:ascii="宋体" w:hAnsi="宋体" w:eastAsia="宋体" w:cs="宋体"/>
                <w:spacing w:val="-2"/>
                <w:sz w:val="20"/>
                <w:szCs w:val="20"/>
              </w:rPr>
              <w:t>生产废水</w:t>
            </w:r>
          </w:p>
        </w:tc>
        <w:tc>
          <w:tcPr>
            <w:tcW w:w="4843" w:type="dxa"/>
            <w:tcBorders>
              <w:right w:val="nil"/>
            </w:tcBorders>
            <w:vAlign w:val="top"/>
          </w:tcPr>
          <w:p w14:paraId="56BE8BD1">
            <w:pPr>
              <w:tabs>
                <w:tab w:val="left" w:pos="156"/>
              </w:tabs>
              <w:spacing w:before="82" w:line="298" w:lineRule="auto"/>
              <w:ind w:left="46" w:firstLine="3"/>
              <w:rPr>
                <w:rFonts w:ascii="宋体" w:hAnsi="宋体" w:eastAsia="宋体" w:cs="宋体"/>
                <w:sz w:val="20"/>
                <w:szCs w:val="20"/>
              </w:rPr>
            </w:pPr>
            <w:r>
              <w:rPr>
                <w:rFonts w:ascii="宋体" w:hAnsi="宋体" w:eastAsia="宋体" w:cs="宋体"/>
                <w:spacing w:val="-10"/>
                <w:sz w:val="20"/>
                <w:szCs w:val="20"/>
              </w:rPr>
              <w:t>项 目</w:t>
            </w:r>
            <w:r>
              <w:rPr>
                <w:rFonts w:ascii="宋体" w:hAnsi="宋体" w:eastAsia="宋体" w:cs="宋体"/>
                <w:spacing w:val="-7"/>
                <w:sz w:val="20"/>
                <w:szCs w:val="20"/>
              </w:rPr>
              <w:t xml:space="preserve"> </w:t>
            </w:r>
            <w:r>
              <w:rPr>
                <w:rFonts w:ascii="宋体" w:hAnsi="宋体" w:eastAsia="宋体" w:cs="宋体"/>
                <w:spacing w:val="-5"/>
                <w:sz w:val="20"/>
                <w:szCs w:val="20"/>
              </w:rPr>
              <w:t xml:space="preserve">设 有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 xml:space="preserve">座 容 积 为 </w:t>
            </w:r>
            <w:r>
              <w:rPr>
                <w:rFonts w:ascii="Times New Roman" w:hAnsi="Times New Roman" w:eastAsia="Times New Roman" w:cs="Times New Roman"/>
                <w:spacing w:val="-5"/>
                <w:sz w:val="20"/>
                <w:szCs w:val="20"/>
              </w:rPr>
              <w:t>324m</w:t>
            </w:r>
            <w:r>
              <w:rPr>
                <w:rFonts w:ascii="Times New Roman" w:hAnsi="Times New Roman" w:eastAsia="Times New Roman" w:cs="Times New Roman"/>
                <w:spacing w:val="-5"/>
                <w:position w:val="6"/>
                <w:sz w:val="13"/>
                <w:szCs w:val="13"/>
              </w:rPr>
              <w:t xml:space="preserve">3    </w:t>
            </w:r>
            <w:r>
              <w:rPr>
                <w:rFonts w:ascii="宋体" w:hAnsi="宋体" w:eastAsia="宋体" w:cs="宋体"/>
                <w:spacing w:val="-5"/>
                <w:sz w:val="20"/>
                <w:szCs w:val="20"/>
              </w:rPr>
              <w:t>的 三 级 沉 淀 池</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Times New Roman" w:hAnsi="Times New Roman" w:eastAsia="Times New Roman" w:cs="Times New Roman"/>
                <w:spacing w:val="-6"/>
                <w:sz w:val="20"/>
                <w:szCs w:val="20"/>
              </w:rPr>
              <w:t>12</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5m</w:t>
            </w:r>
            <w:r>
              <w:rPr>
                <w:rFonts w:ascii="宋体" w:hAnsi="宋体" w:eastAsia="宋体" w:cs="宋体"/>
                <w:spacing w:val="-3"/>
                <w:sz w:val="20"/>
                <w:szCs w:val="20"/>
              </w:rPr>
              <w:t xml:space="preserve">) ，同时配套设有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台一体化污水预处</w:t>
            </w:r>
            <w:r>
              <w:rPr>
                <w:rFonts w:ascii="宋体" w:hAnsi="宋体" w:eastAsia="宋体" w:cs="宋体"/>
                <w:sz w:val="20"/>
                <w:szCs w:val="20"/>
              </w:rPr>
              <w:t xml:space="preserve"> </w:t>
            </w:r>
            <w:r>
              <w:rPr>
                <w:rFonts w:ascii="宋体" w:hAnsi="宋体" w:eastAsia="宋体" w:cs="宋体"/>
                <w:spacing w:val="-1"/>
                <w:sz w:val="20"/>
                <w:szCs w:val="20"/>
              </w:rPr>
              <w:t>理设备，均位于生产厂房西南侧，产生的生产</w:t>
            </w:r>
            <w:r>
              <w:rPr>
                <w:rFonts w:ascii="宋体" w:hAnsi="宋体" w:eastAsia="宋体" w:cs="宋体"/>
                <w:sz w:val="20"/>
                <w:szCs w:val="20"/>
              </w:rPr>
              <w:t xml:space="preserve">废水经一 </w:t>
            </w:r>
            <w:r>
              <w:rPr>
                <w:rFonts w:ascii="宋体" w:hAnsi="宋体" w:eastAsia="宋体" w:cs="宋体"/>
                <w:spacing w:val="-22"/>
                <w:sz w:val="20"/>
                <w:szCs w:val="20"/>
              </w:rPr>
              <w:t xml:space="preserve">体 化 污 水 预 处 理 设 备 处 理 后 排 入 三 级 沉 淀 </w:t>
            </w:r>
            <w:r>
              <w:rPr>
                <w:rFonts w:ascii="宋体" w:hAnsi="宋体" w:eastAsia="宋体" w:cs="宋体"/>
                <w:spacing w:val="-21"/>
                <w:sz w:val="20"/>
                <w:szCs w:val="20"/>
              </w:rPr>
              <w:t>池</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4"/>
                <w:sz w:val="20"/>
                <w:szCs w:val="20"/>
              </w:rPr>
              <w:t>(</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.5m</w:t>
            </w:r>
            <w:r>
              <w:rPr>
                <w:rFonts w:ascii="宋体" w:hAnsi="宋体" w:eastAsia="宋体" w:cs="宋体"/>
                <w:spacing w:val="-2"/>
                <w:sz w:val="20"/>
                <w:szCs w:val="20"/>
              </w:rPr>
              <w:t>) 沉淀处理，随后循环使用。污水处理</w:t>
            </w:r>
            <w:r>
              <w:rPr>
                <w:rFonts w:ascii="宋体" w:hAnsi="宋体" w:eastAsia="宋体" w:cs="宋体"/>
                <w:sz w:val="20"/>
                <w:szCs w:val="20"/>
              </w:rPr>
              <w:t xml:space="preserve"> </w:t>
            </w:r>
            <w:r>
              <w:rPr>
                <w:rFonts w:ascii="宋体" w:hAnsi="宋体" w:eastAsia="宋体" w:cs="宋体"/>
                <w:spacing w:val="7"/>
                <w:sz w:val="20"/>
                <w:szCs w:val="20"/>
              </w:rPr>
              <w:t>设</w:t>
            </w:r>
            <w:r>
              <w:rPr>
                <w:rFonts w:ascii="宋体" w:hAnsi="宋体" w:eastAsia="宋体" w:cs="宋体"/>
                <w:spacing w:val="5"/>
                <w:sz w:val="20"/>
                <w:szCs w:val="20"/>
              </w:rPr>
              <w:t xml:space="preserve">施废水每月更换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次，则该项目全年更换废水量为</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1523.52</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10"/>
                <w:position w:val="6"/>
                <w:sz w:val="13"/>
                <w:szCs w:val="13"/>
              </w:rPr>
              <w:t xml:space="preserve">3 </w:t>
            </w:r>
            <w:r>
              <w:rPr>
                <w:rFonts w:ascii="宋体" w:hAnsi="宋体" w:eastAsia="宋体" w:cs="宋体"/>
                <w:spacing w:val="-10"/>
                <w:sz w:val="20"/>
                <w:szCs w:val="20"/>
              </w:rPr>
              <w:t>，更换过程产生的废水经吸污车运送至本溪市科</w:t>
            </w:r>
            <w:r>
              <w:rPr>
                <w:rFonts w:ascii="宋体" w:hAnsi="宋体" w:eastAsia="宋体" w:cs="宋体"/>
                <w:sz w:val="20"/>
                <w:szCs w:val="20"/>
              </w:rPr>
              <w:t xml:space="preserve"> </w:t>
            </w:r>
            <w:r>
              <w:rPr>
                <w:rFonts w:ascii="宋体" w:hAnsi="宋体" w:eastAsia="宋体" w:cs="宋体"/>
                <w:spacing w:val="-18"/>
                <w:sz w:val="20"/>
                <w:szCs w:val="20"/>
              </w:rPr>
              <w:t>态</w:t>
            </w:r>
            <w:r>
              <w:rPr>
                <w:rFonts w:ascii="宋体" w:hAnsi="宋体" w:eastAsia="宋体" w:cs="宋体"/>
                <w:spacing w:val="-13"/>
                <w:sz w:val="20"/>
                <w:szCs w:val="20"/>
              </w:rPr>
              <w:t>污水处理有限责任公司统一处理。</w:t>
            </w:r>
          </w:p>
        </w:tc>
      </w:tr>
      <w:tr w14:paraId="09CCE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521" w:type="dxa"/>
            <w:vMerge w:val="continue"/>
            <w:tcBorders>
              <w:top w:val="nil"/>
              <w:left w:val="nil"/>
              <w:bottom w:val="nil"/>
            </w:tcBorders>
            <w:vAlign w:val="top"/>
          </w:tcPr>
          <w:p w14:paraId="4F6925C5">
            <w:pPr>
              <w:rPr>
                <w:rFonts w:ascii="Arial"/>
                <w:sz w:val="21"/>
              </w:rPr>
            </w:pPr>
          </w:p>
        </w:tc>
        <w:tc>
          <w:tcPr>
            <w:tcW w:w="1276" w:type="dxa"/>
            <w:vAlign w:val="top"/>
          </w:tcPr>
          <w:p w14:paraId="7EABB994">
            <w:pPr>
              <w:spacing w:before="230" w:line="228" w:lineRule="auto"/>
              <w:ind w:left="261"/>
              <w:rPr>
                <w:rFonts w:ascii="宋体" w:hAnsi="宋体" w:eastAsia="宋体" w:cs="宋体"/>
                <w:sz w:val="20"/>
                <w:szCs w:val="20"/>
              </w:rPr>
            </w:pPr>
            <w:r>
              <w:rPr>
                <w:rFonts w:ascii="宋体" w:hAnsi="宋体" w:eastAsia="宋体" w:cs="宋体"/>
                <w:spacing w:val="-4"/>
                <w:sz w:val="20"/>
                <w:szCs w:val="20"/>
              </w:rPr>
              <w:t>噪声治理</w:t>
            </w:r>
          </w:p>
        </w:tc>
        <w:tc>
          <w:tcPr>
            <w:tcW w:w="6559" w:type="dxa"/>
            <w:gridSpan w:val="3"/>
            <w:tcBorders>
              <w:right w:val="nil"/>
            </w:tcBorders>
            <w:vAlign w:val="top"/>
          </w:tcPr>
          <w:p w14:paraId="24209142">
            <w:pPr>
              <w:spacing w:before="64" w:line="267" w:lineRule="auto"/>
              <w:ind w:left="47" w:right="7" w:hanging="2"/>
              <w:rPr>
                <w:rFonts w:ascii="宋体" w:hAnsi="宋体" w:eastAsia="宋体" w:cs="宋体"/>
                <w:sz w:val="20"/>
                <w:szCs w:val="20"/>
              </w:rPr>
            </w:pPr>
            <w:r>
              <w:rPr>
                <w:rFonts w:ascii="宋体" w:hAnsi="宋体" w:eastAsia="宋体" w:cs="宋体"/>
                <w:spacing w:val="-3"/>
                <w:sz w:val="20"/>
                <w:szCs w:val="20"/>
              </w:rPr>
              <w:t>优先选用低噪声设备，对噪声设备进行减震处理，并设置在封闭厂房中，</w:t>
            </w:r>
            <w:r>
              <w:rPr>
                <w:rFonts w:ascii="宋体" w:hAnsi="宋体" w:eastAsia="宋体" w:cs="宋体"/>
                <w:sz w:val="20"/>
                <w:szCs w:val="20"/>
              </w:rPr>
              <w:t xml:space="preserve">建 </w:t>
            </w:r>
            <w:r>
              <w:rPr>
                <w:rFonts w:ascii="宋体" w:hAnsi="宋体" w:eastAsia="宋体" w:cs="宋体"/>
                <w:spacing w:val="-2"/>
                <w:sz w:val="20"/>
                <w:szCs w:val="20"/>
              </w:rPr>
              <w:t>筑隔声。</w:t>
            </w:r>
          </w:p>
        </w:tc>
      </w:tr>
      <w:tr w14:paraId="1346B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1" w:type="dxa"/>
            <w:vMerge w:val="continue"/>
            <w:tcBorders>
              <w:top w:val="nil"/>
              <w:left w:val="nil"/>
              <w:bottom w:val="nil"/>
            </w:tcBorders>
            <w:vAlign w:val="top"/>
          </w:tcPr>
          <w:p w14:paraId="3D4BB0AD">
            <w:pPr>
              <w:rPr>
                <w:rFonts w:ascii="Arial"/>
                <w:sz w:val="21"/>
              </w:rPr>
            </w:pPr>
          </w:p>
        </w:tc>
        <w:tc>
          <w:tcPr>
            <w:tcW w:w="1276" w:type="dxa"/>
            <w:vMerge w:val="restart"/>
            <w:tcBorders>
              <w:bottom w:val="nil"/>
            </w:tcBorders>
            <w:vAlign w:val="top"/>
          </w:tcPr>
          <w:p w14:paraId="760FCCF4">
            <w:pPr>
              <w:spacing w:line="266" w:lineRule="auto"/>
              <w:rPr>
                <w:rFonts w:ascii="Arial"/>
                <w:sz w:val="21"/>
              </w:rPr>
            </w:pPr>
          </w:p>
          <w:p w14:paraId="1EB65AF3">
            <w:pPr>
              <w:spacing w:line="266" w:lineRule="auto"/>
              <w:rPr>
                <w:rFonts w:ascii="Arial"/>
                <w:sz w:val="21"/>
              </w:rPr>
            </w:pPr>
          </w:p>
          <w:p w14:paraId="5AB64126">
            <w:pPr>
              <w:spacing w:line="267" w:lineRule="auto"/>
              <w:rPr>
                <w:rFonts w:ascii="Arial"/>
                <w:sz w:val="21"/>
              </w:rPr>
            </w:pPr>
          </w:p>
          <w:p w14:paraId="58F562C5">
            <w:pPr>
              <w:spacing w:line="267" w:lineRule="auto"/>
              <w:rPr>
                <w:rFonts w:ascii="Arial"/>
                <w:sz w:val="21"/>
              </w:rPr>
            </w:pPr>
          </w:p>
          <w:p w14:paraId="794C0DF3">
            <w:pPr>
              <w:spacing w:line="267" w:lineRule="auto"/>
              <w:rPr>
                <w:rFonts w:ascii="Arial"/>
                <w:sz w:val="21"/>
              </w:rPr>
            </w:pPr>
          </w:p>
          <w:p w14:paraId="19EC6B21">
            <w:pPr>
              <w:spacing w:line="267" w:lineRule="auto"/>
              <w:rPr>
                <w:rFonts w:ascii="Arial"/>
                <w:sz w:val="21"/>
              </w:rPr>
            </w:pPr>
          </w:p>
          <w:p w14:paraId="7C0F9B74">
            <w:pPr>
              <w:spacing w:before="65" w:line="228" w:lineRule="auto"/>
              <w:ind w:left="269"/>
              <w:rPr>
                <w:rFonts w:ascii="宋体" w:hAnsi="宋体" w:eastAsia="宋体" w:cs="宋体"/>
                <w:sz w:val="20"/>
                <w:szCs w:val="20"/>
              </w:rPr>
            </w:pPr>
            <w:r>
              <w:rPr>
                <w:rFonts w:ascii="宋体" w:hAnsi="宋体" w:eastAsia="宋体" w:cs="宋体"/>
                <w:spacing w:val="-6"/>
                <w:sz w:val="20"/>
                <w:szCs w:val="20"/>
              </w:rPr>
              <w:t>固废治理</w:t>
            </w:r>
          </w:p>
        </w:tc>
        <w:tc>
          <w:tcPr>
            <w:tcW w:w="1716" w:type="dxa"/>
            <w:gridSpan w:val="2"/>
            <w:vAlign w:val="top"/>
          </w:tcPr>
          <w:p w14:paraId="324AA75F">
            <w:pPr>
              <w:spacing w:before="77" w:line="228" w:lineRule="auto"/>
              <w:ind w:left="472"/>
              <w:rPr>
                <w:rFonts w:ascii="宋体" w:hAnsi="宋体" w:eastAsia="宋体" w:cs="宋体"/>
                <w:sz w:val="20"/>
                <w:szCs w:val="20"/>
              </w:rPr>
            </w:pPr>
            <w:r>
              <w:rPr>
                <w:rFonts w:ascii="宋体" w:hAnsi="宋体" w:eastAsia="宋体" w:cs="宋体"/>
                <w:spacing w:val="-2"/>
                <w:sz w:val="20"/>
                <w:szCs w:val="20"/>
              </w:rPr>
              <w:t>生活垃圾</w:t>
            </w:r>
          </w:p>
        </w:tc>
        <w:tc>
          <w:tcPr>
            <w:tcW w:w="4843" w:type="dxa"/>
            <w:tcBorders>
              <w:right w:val="nil"/>
            </w:tcBorders>
            <w:vAlign w:val="top"/>
          </w:tcPr>
          <w:p w14:paraId="6B507866">
            <w:pPr>
              <w:spacing w:before="76" w:line="228" w:lineRule="auto"/>
              <w:ind w:left="562"/>
              <w:rPr>
                <w:rFonts w:ascii="宋体" w:hAnsi="宋体" w:eastAsia="宋体" w:cs="宋体"/>
                <w:sz w:val="20"/>
                <w:szCs w:val="20"/>
              </w:rPr>
            </w:pPr>
            <w:r>
              <w:rPr>
                <w:rFonts w:ascii="宋体" w:hAnsi="宋体" w:eastAsia="宋体" w:cs="宋体"/>
                <w:spacing w:val="-3"/>
                <w:sz w:val="20"/>
                <w:szCs w:val="20"/>
              </w:rPr>
              <w:t>集中收集后送至环卫部门指定地点统一处</w:t>
            </w:r>
            <w:r>
              <w:rPr>
                <w:rFonts w:ascii="宋体" w:hAnsi="宋体" w:eastAsia="宋体" w:cs="宋体"/>
                <w:sz w:val="20"/>
                <w:szCs w:val="20"/>
              </w:rPr>
              <w:t>理</w:t>
            </w:r>
          </w:p>
        </w:tc>
      </w:tr>
      <w:tr w14:paraId="68BD3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1" w:type="dxa"/>
            <w:vMerge w:val="continue"/>
            <w:tcBorders>
              <w:top w:val="nil"/>
              <w:left w:val="nil"/>
              <w:bottom w:val="nil"/>
            </w:tcBorders>
            <w:vAlign w:val="top"/>
          </w:tcPr>
          <w:p w14:paraId="451C1695">
            <w:pPr>
              <w:rPr>
                <w:rFonts w:ascii="Arial"/>
                <w:sz w:val="21"/>
              </w:rPr>
            </w:pPr>
          </w:p>
        </w:tc>
        <w:tc>
          <w:tcPr>
            <w:tcW w:w="1276" w:type="dxa"/>
            <w:vMerge w:val="continue"/>
            <w:tcBorders>
              <w:top w:val="nil"/>
              <w:bottom w:val="nil"/>
            </w:tcBorders>
            <w:vAlign w:val="top"/>
          </w:tcPr>
          <w:p w14:paraId="522B3A46">
            <w:pPr>
              <w:rPr>
                <w:rFonts w:ascii="Arial"/>
                <w:sz w:val="21"/>
              </w:rPr>
            </w:pPr>
          </w:p>
        </w:tc>
        <w:tc>
          <w:tcPr>
            <w:tcW w:w="1716" w:type="dxa"/>
            <w:gridSpan w:val="2"/>
            <w:vAlign w:val="top"/>
          </w:tcPr>
          <w:p w14:paraId="7AD7239D">
            <w:pPr>
              <w:spacing w:before="74" w:line="228" w:lineRule="auto"/>
              <w:ind w:left="669"/>
              <w:rPr>
                <w:rFonts w:ascii="宋体" w:hAnsi="宋体" w:eastAsia="宋体" w:cs="宋体"/>
                <w:sz w:val="20"/>
                <w:szCs w:val="20"/>
              </w:rPr>
            </w:pPr>
            <w:r>
              <w:rPr>
                <w:rFonts w:ascii="宋体" w:hAnsi="宋体" w:eastAsia="宋体" w:cs="宋体"/>
                <w:spacing w:val="-1"/>
                <w:sz w:val="20"/>
                <w:szCs w:val="20"/>
              </w:rPr>
              <w:t>杂</w:t>
            </w:r>
            <w:r>
              <w:rPr>
                <w:rFonts w:ascii="宋体" w:hAnsi="宋体" w:eastAsia="宋体" w:cs="宋体"/>
                <w:sz w:val="20"/>
                <w:szCs w:val="20"/>
              </w:rPr>
              <w:t>质</w:t>
            </w:r>
          </w:p>
        </w:tc>
        <w:tc>
          <w:tcPr>
            <w:tcW w:w="4843" w:type="dxa"/>
            <w:tcBorders>
              <w:right w:val="nil"/>
            </w:tcBorders>
            <w:vAlign w:val="top"/>
          </w:tcPr>
          <w:p w14:paraId="2F984E8D">
            <w:pPr>
              <w:spacing w:before="74" w:line="228" w:lineRule="auto"/>
              <w:ind w:left="562"/>
              <w:rPr>
                <w:rFonts w:ascii="宋体" w:hAnsi="宋体" w:eastAsia="宋体" w:cs="宋体"/>
                <w:sz w:val="20"/>
                <w:szCs w:val="20"/>
              </w:rPr>
            </w:pPr>
            <w:r>
              <w:rPr>
                <w:rFonts w:ascii="宋体" w:hAnsi="宋体" w:eastAsia="宋体" w:cs="宋体"/>
                <w:spacing w:val="-3"/>
                <w:sz w:val="20"/>
                <w:szCs w:val="20"/>
              </w:rPr>
              <w:t>集中收集后送至环卫部门指定地点统一处</w:t>
            </w:r>
            <w:r>
              <w:rPr>
                <w:rFonts w:ascii="宋体" w:hAnsi="宋体" w:eastAsia="宋体" w:cs="宋体"/>
                <w:sz w:val="20"/>
                <w:szCs w:val="20"/>
              </w:rPr>
              <w:t>理</w:t>
            </w:r>
          </w:p>
        </w:tc>
      </w:tr>
      <w:tr w14:paraId="68B00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1" w:type="dxa"/>
            <w:vMerge w:val="continue"/>
            <w:tcBorders>
              <w:top w:val="nil"/>
              <w:left w:val="nil"/>
              <w:bottom w:val="nil"/>
            </w:tcBorders>
            <w:vAlign w:val="top"/>
          </w:tcPr>
          <w:p w14:paraId="092F5882">
            <w:pPr>
              <w:rPr>
                <w:rFonts w:ascii="Arial"/>
                <w:sz w:val="21"/>
              </w:rPr>
            </w:pPr>
          </w:p>
        </w:tc>
        <w:tc>
          <w:tcPr>
            <w:tcW w:w="1276" w:type="dxa"/>
            <w:vMerge w:val="continue"/>
            <w:tcBorders>
              <w:top w:val="nil"/>
              <w:bottom w:val="nil"/>
            </w:tcBorders>
            <w:vAlign w:val="top"/>
          </w:tcPr>
          <w:p w14:paraId="58B7615A">
            <w:pPr>
              <w:rPr>
                <w:rFonts w:ascii="Arial"/>
                <w:sz w:val="21"/>
              </w:rPr>
            </w:pPr>
          </w:p>
        </w:tc>
        <w:tc>
          <w:tcPr>
            <w:tcW w:w="1716" w:type="dxa"/>
            <w:gridSpan w:val="2"/>
            <w:vAlign w:val="top"/>
          </w:tcPr>
          <w:p w14:paraId="7AAB0438">
            <w:pPr>
              <w:spacing w:before="76" w:line="228" w:lineRule="auto"/>
              <w:ind w:left="372"/>
              <w:rPr>
                <w:rFonts w:ascii="宋体" w:hAnsi="宋体" w:eastAsia="宋体" w:cs="宋体"/>
                <w:sz w:val="20"/>
                <w:szCs w:val="20"/>
              </w:rPr>
            </w:pPr>
            <w:r>
              <w:rPr>
                <w:rFonts w:ascii="宋体" w:hAnsi="宋体" w:eastAsia="宋体" w:cs="宋体"/>
                <w:spacing w:val="-2"/>
                <w:sz w:val="20"/>
                <w:szCs w:val="20"/>
              </w:rPr>
              <w:t>沉淀池污</w:t>
            </w:r>
            <w:r>
              <w:rPr>
                <w:rFonts w:ascii="宋体" w:hAnsi="宋体" w:eastAsia="宋体" w:cs="宋体"/>
                <w:spacing w:val="-1"/>
                <w:sz w:val="20"/>
                <w:szCs w:val="20"/>
              </w:rPr>
              <w:t>泥</w:t>
            </w:r>
          </w:p>
        </w:tc>
        <w:tc>
          <w:tcPr>
            <w:tcW w:w="4843" w:type="dxa"/>
            <w:tcBorders>
              <w:right w:val="nil"/>
            </w:tcBorders>
            <w:vAlign w:val="top"/>
          </w:tcPr>
          <w:p w14:paraId="2FD38E37">
            <w:pPr>
              <w:spacing w:before="75" w:line="228" w:lineRule="auto"/>
              <w:ind w:left="562"/>
              <w:rPr>
                <w:rFonts w:ascii="宋体" w:hAnsi="宋体" w:eastAsia="宋体" w:cs="宋体"/>
                <w:sz w:val="20"/>
                <w:szCs w:val="20"/>
              </w:rPr>
            </w:pPr>
            <w:r>
              <w:rPr>
                <w:rFonts w:ascii="宋体" w:hAnsi="宋体" w:eastAsia="宋体" w:cs="宋体"/>
                <w:spacing w:val="-3"/>
                <w:sz w:val="20"/>
                <w:szCs w:val="20"/>
              </w:rPr>
              <w:t>集中收集后送至环卫部门指定地点统一处</w:t>
            </w:r>
            <w:r>
              <w:rPr>
                <w:rFonts w:ascii="宋体" w:hAnsi="宋体" w:eastAsia="宋体" w:cs="宋体"/>
                <w:sz w:val="20"/>
                <w:szCs w:val="20"/>
              </w:rPr>
              <w:t>理</w:t>
            </w:r>
          </w:p>
        </w:tc>
      </w:tr>
      <w:tr w14:paraId="70ACA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1" w:type="dxa"/>
            <w:vMerge w:val="continue"/>
            <w:tcBorders>
              <w:top w:val="nil"/>
              <w:left w:val="nil"/>
              <w:bottom w:val="nil"/>
            </w:tcBorders>
            <w:vAlign w:val="top"/>
          </w:tcPr>
          <w:p w14:paraId="06F7A515">
            <w:pPr>
              <w:rPr>
                <w:rFonts w:ascii="Arial"/>
                <w:sz w:val="21"/>
              </w:rPr>
            </w:pPr>
          </w:p>
        </w:tc>
        <w:tc>
          <w:tcPr>
            <w:tcW w:w="1276" w:type="dxa"/>
            <w:vMerge w:val="continue"/>
            <w:tcBorders>
              <w:top w:val="nil"/>
              <w:bottom w:val="nil"/>
            </w:tcBorders>
            <w:vAlign w:val="top"/>
          </w:tcPr>
          <w:p w14:paraId="67C3147A">
            <w:pPr>
              <w:rPr>
                <w:rFonts w:ascii="Arial"/>
                <w:sz w:val="21"/>
              </w:rPr>
            </w:pPr>
          </w:p>
        </w:tc>
        <w:tc>
          <w:tcPr>
            <w:tcW w:w="1716" w:type="dxa"/>
            <w:gridSpan w:val="2"/>
            <w:vAlign w:val="top"/>
          </w:tcPr>
          <w:p w14:paraId="277CA4BA">
            <w:pPr>
              <w:spacing w:before="76" w:line="228" w:lineRule="auto"/>
              <w:ind w:left="182"/>
              <w:rPr>
                <w:rFonts w:ascii="宋体" w:hAnsi="宋体" w:eastAsia="宋体" w:cs="宋体"/>
                <w:sz w:val="20"/>
                <w:szCs w:val="20"/>
              </w:rPr>
            </w:pPr>
            <w:r>
              <w:rPr>
                <w:rFonts w:ascii="宋体" w:hAnsi="宋体" w:eastAsia="宋体" w:cs="宋体"/>
                <w:spacing w:val="-4"/>
                <w:sz w:val="20"/>
                <w:szCs w:val="20"/>
              </w:rPr>
              <w:t>热风炉</w:t>
            </w:r>
            <w:r>
              <w:rPr>
                <w:rFonts w:ascii="宋体" w:hAnsi="宋体" w:eastAsia="宋体" w:cs="宋体"/>
                <w:spacing w:val="-2"/>
                <w:sz w:val="20"/>
                <w:szCs w:val="20"/>
              </w:rPr>
              <w:t>燃料炉渣</w:t>
            </w:r>
          </w:p>
        </w:tc>
        <w:tc>
          <w:tcPr>
            <w:tcW w:w="4843" w:type="dxa"/>
            <w:tcBorders>
              <w:right w:val="nil"/>
            </w:tcBorders>
            <w:vAlign w:val="top"/>
          </w:tcPr>
          <w:p w14:paraId="7C90C0D6">
            <w:pPr>
              <w:spacing w:before="76" w:line="227" w:lineRule="auto"/>
              <w:ind w:left="562"/>
              <w:rPr>
                <w:rFonts w:ascii="宋体" w:hAnsi="宋体" w:eastAsia="宋体" w:cs="宋体"/>
                <w:sz w:val="20"/>
                <w:szCs w:val="20"/>
              </w:rPr>
            </w:pPr>
            <w:r>
              <w:rPr>
                <w:rFonts w:ascii="宋体" w:hAnsi="宋体" w:eastAsia="宋体" w:cs="宋体"/>
                <w:spacing w:val="-3"/>
                <w:sz w:val="20"/>
                <w:szCs w:val="20"/>
              </w:rPr>
              <w:t>集中收集后定期外卖给农肥厂进行综合利</w:t>
            </w:r>
            <w:r>
              <w:rPr>
                <w:rFonts w:ascii="宋体" w:hAnsi="宋体" w:eastAsia="宋体" w:cs="宋体"/>
                <w:spacing w:val="-2"/>
                <w:sz w:val="20"/>
                <w:szCs w:val="20"/>
              </w:rPr>
              <w:t>用</w:t>
            </w:r>
          </w:p>
        </w:tc>
      </w:tr>
      <w:tr w14:paraId="3A025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1" w:type="dxa"/>
            <w:vMerge w:val="continue"/>
            <w:tcBorders>
              <w:top w:val="nil"/>
              <w:left w:val="nil"/>
              <w:bottom w:val="nil"/>
            </w:tcBorders>
            <w:vAlign w:val="top"/>
          </w:tcPr>
          <w:p w14:paraId="2E84C496">
            <w:pPr>
              <w:rPr>
                <w:rFonts w:ascii="Arial"/>
                <w:sz w:val="21"/>
              </w:rPr>
            </w:pPr>
          </w:p>
        </w:tc>
        <w:tc>
          <w:tcPr>
            <w:tcW w:w="1276" w:type="dxa"/>
            <w:vMerge w:val="continue"/>
            <w:tcBorders>
              <w:top w:val="nil"/>
              <w:bottom w:val="nil"/>
            </w:tcBorders>
            <w:vAlign w:val="top"/>
          </w:tcPr>
          <w:p w14:paraId="12C8EF35">
            <w:pPr>
              <w:rPr>
                <w:rFonts w:ascii="Arial"/>
                <w:sz w:val="21"/>
              </w:rPr>
            </w:pPr>
          </w:p>
        </w:tc>
        <w:tc>
          <w:tcPr>
            <w:tcW w:w="1716" w:type="dxa"/>
            <w:gridSpan w:val="2"/>
            <w:vAlign w:val="top"/>
          </w:tcPr>
          <w:p w14:paraId="3C7DA107">
            <w:pPr>
              <w:spacing w:before="76" w:line="228" w:lineRule="auto"/>
              <w:ind w:left="92"/>
              <w:rPr>
                <w:rFonts w:ascii="宋体" w:hAnsi="宋体" w:eastAsia="宋体" w:cs="宋体"/>
                <w:sz w:val="20"/>
                <w:szCs w:val="20"/>
              </w:rPr>
            </w:pPr>
            <w:r>
              <w:rPr>
                <w:rFonts w:ascii="宋体" w:hAnsi="宋体" w:eastAsia="宋体" w:cs="宋体"/>
                <w:spacing w:val="-4"/>
                <w:sz w:val="20"/>
                <w:szCs w:val="20"/>
              </w:rPr>
              <w:t>除尘器收集的粉</w:t>
            </w:r>
            <w:r>
              <w:rPr>
                <w:rFonts w:ascii="宋体" w:hAnsi="宋体" w:eastAsia="宋体" w:cs="宋体"/>
                <w:spacing w:val="-3"/>
                <w:sz w:val="20"/>
                <w:szCs w:val="20"/>
              </w:rPr>
              <w:t>尘</w:t>
            </w:r>
          </w:p>
        </w:tc>
        <w:tc>
          <w:tcPr>
            <w:tcW w:w="4843" w:type="dxa"/>
            <w:tcBorders>
              <w:right w:val="nil"/>
            </w:tcBorders>
            <w:vAlign w:val="top"/>
          </w:tcPr>
          <w:p w14:paraId="7F610863">
            <w:pPr>
              <w:spacing w:before="76" w:line="227" w:lineRule="auto"/>
              <w:ind w:left="562"/>
              <w:rPr>
                <w:rFonts w:ascii="宋体" w:hAnsi="宋体" w:eastAsia="宋体" w:cs="宋体"/>
                <w:sz w:val="20"/>
                <w:szCs w:val="20"/>
              </w:rPr>
            </w:pPr>
            <w:r>
              <w:rPr>
                <w:rFonts w:ascii="宋体" w:hAnsi="宋体" w:eastAsia="宋体" w:cs="宋体"/>
                <w:spacing w:val="-3"/>
                <w:sz w:val="20"/>
                <w:szCs w:val="20"/>
              </w:rPr>
              <w:t>集中收集后定期外卖给农肥厂进行综合利</w:t>
            </w:r>
            <w:r>
              <w:rPr>
                <w:rFonts w:ascii="宋体" w:hAnsi="宋体" w:eastAsia="宋体" w:cs="宋体"/>
                <w:spacing w:val="-2"/>
                <w:sz w:val="20"/>
                <w:szCs w:val="20"/>
              </w:rPr>
              <w:t>用</w:t>
            </w:r>
          </w:p>
        </w:tc>
      </w:tr>
      <w:tr w14:paraId="539D3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1" w:type="dxa"/>
            <w:vMerge w:val="continue"/>
            <w:tcBorders>
              <w:top w:val="nil"/>
              <w:left w:val="nil"/>
              <w:bottom w:val="nil"/>
            </w:tcBorders>
            <w:vAlign w:val="top"/>
          </w:tcPr>
          <w:p w14:paraId="2EBAE650">
            <w:pPr>
              <w:rPr>
                <w:rFonts w:ascii="Arial"/>
                <w:sz w:val="21"/>
              </w:rPr>
            </w:pPr>
          </w:p>
        </w:tc>
        <w:tc>
          <w:tcPr>
            <w:tcW w:w="1276" w:type="dxa"/>
            <w:vMerge w:val="continue"/>
            <w:tcBorders>
              <w:top w:val="nil"/>
              <w:bottom w:val="nil"/>
            </w:tcBorders>
            <w:vAlign w:val="top"/>
          </w:tcPr>
          <w:p w14:paraId="343D0A4E">
            <w:pPr>
              <w:rPr>
                <w:rFonts w:ascii="Arial"/>
                <w:sz w:val="21"/>
              </w:rPr>
            </w:pPr>
          </w:p>
        </w:tc>
        <w:tc>
          <w:tcPr>
            <w:tcW w:w="1716" w:type="dxa"/>
            <w:gridSpan w:val="2"/>
            <w:vAlign w:val="top"/>
          </w:tcPr>
          <w:p w14:paraId="77E2CD30">
            <w:pPr>
              <w:spacing w:before="75" w:line="228" w:lineRule="auto"/>
              <w:ind w:left="568"/>
              <w:rPr>
                <w:rFonts w:ascii="宋体" w:hAnsi="宋体" w:eastAsia="宋体" w:cs="宋体"/>
                <w:sz w:val="20"/>
                <w:szCs w:val="20"/>
              </w:rPr>
            </w:pPr>
            <w:r>
              <w:rPr>
                <w:rFonts w:ascii="宋体" w:hAnsi="宋体" w:eastAsia="宋体" w:cs="宋体"/>
                <w:spacing w:val="-1"/>
                <w:sz w:val="20"/>
                <w:szCs w:val="20"/>
              </w:rPr>
              <w:t>废滤</w:t>
            </w:r>
            <w:r>
              <w:rPr>
                <w:rFonts w:ascii="宋体" w:hAnsi="宋体" w:eastAsia="宋体" w:cs="宋体"/>
                <w:sz w:val="20"/>
                <w:szCs w:val="20"/>
              </w:rPr>
              <w:t>网</w:t>
            </w:r>
          </w:p>
        </w:tc>
        <w:tc>
          <w:tcPr>
            <w:tcW w:w="4843" w:type="dxa"/>
            <w:tcBorders>
              <w:right w:val="nil"/>
            </w:tcBorders>
            <w:vAlign w:val="top"/>
          </w:tcPr>
          <w:p w14:paraId="6EA48FCD">
            <w:pPr>
              <w:spacing w:before="74" w:line="228" w:lineRule="auto"/>
              <w:ind w:left="1051"/>
              <w:rPr>
                <w:rFonts w:ascii="宋体" w:hAnsi="宋体" w:eastAsia="宋体" w:cs="宋体"/>
                <w:sz w:val="20"/>
                <w:szCs w:val="20"/>
              </w:rPr>
            </w:pPr>
            <w:r>
              <w:rPr>
                <w:rFonts w:ascii="宋体" w:hAnsi="宋体" w:eastAsia="宋体" w:cs="宋体"/>
                <w:spacing w:val="-4"/>
                <w:sz w:val="20"/>
                <w:szCs w:val="20"/>
              </w:rPr>
              <w:t>集中收集后</w:t>
            </w:r>
            <w:r>
              <w:rPr>
                <w:rFonts w:ascii="宋体" w:hAnsi="宋体" w:eastAsia="宋体" w:cs="宋体"/>
                <w:spacing w:val="-2"/>
                <w:sz w:val="20"/>
                <w:szCs w:val="20"/>
              </w:rPr>
              <w:t>由厂家定期回收处理</w:t>
            </w:r>
          </w:p>
        </w:tc>
      </w:tr>
      <w:tr w14:paraId="42122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521" w:type="dxa"/>
            <w:vMerge w:val="continue"/>
            <w:tcBorders>
              <w:top w:val="nil"/>
              <w:left w:val="nil"/>
              <w:bottom w:val="nil"/>
            </w:tcBorders>
            <w:vAlign w:val="top"/>
          </w:tcPr>
          <w:p w14:paraId="6A162E0C">
            <w:pPr>
              <w:rPr>
                <w:rFonts w:ascii="Arial"/>
                <w:sz w:val="21"/>
              </w:rPr>
            </w:pPr>
          </w:p>
        </w:tc>
        <w:tc>
          <w:tcPr>
            <w:tcW w:w="1276" w:type="dxa"/>
            <w:vMerge w:val="continue"/>
            <w:tcBorders>
              <w:top w:val="nil"/>
              <w:bottom w:val="nil"/>
            </w:tcBorders>
            <w:vAlign w:val="top"/>
          </w:tcPr>
          <w:p w14:paraId="14194D7E">
            <w:pPr>
              <w:rPr>
                <w:rFonts w:ascii="Arial"/>
                <w:sz w:val="21"/>
              </w:rPr>
            </w:pPr>
          </w:p>
        </w:tc>
        <w:tc>
          <w:tcPr>
            <w:tcW w:w="1716" w:type="dxa"/>
            <w:gridSpan w:val="2"/>
            <w:vAlign w:val="top"/>
          </w:tcPr>
          <w:p w14:paraId="5BD4C5BB">
            <w:pPr>
              <w:spacing w:before="229" w:line="228" w:lineRule="auto"/>
              <w:ind w:left="470"/>
              <w:rPr>
                <w:rFonts w:ascii="宋体" w:hAnsi="宋体" w:eastAsia="宋体" w:cs="宋体"/>
                <w:sz w:val="20"/>
                <w:szCs w:val="20"/>
              </w:rPr>
            </w:pPr>
            <w:r>
              <w:rPr>
                <w:rFonts w:ascii="宋体" w:hAnsi="宋体" w:eastAsia="宋体" w:cs="宋体"/>
                <w:spacing w:val="-2"/>
                <w:sz w:val="20"/>
                <w:szCs w:val="20"/>
              </w:rPr>
              <w:t>废</w:t>
            </w:r>
            <w:r>
              <w:rPr>
                <w:rFonts w:ascii="宋体" w:hAnsi="宋体" w:eastAsia="宋体" w:cs="宋体"/>
                <w:spacing w:val="-1"/>
                <w:sz w:val="20"/>
                <w:szCs w:val="20"/>
              </w:rPr>
              <w:t>活性炭</w:t>
            </w:r>
          </w:p>
        </w:tc>
        <w:tc>
          <w:tcPr>
            <w:tcW w:w="4843" w:type="dxa"/>
            <w:tcBorders>
              <w:right w:val="nil"/>
            </w:tcBorders>
            <w:vAlign w:val="top"/>
          </w:tcPr>
          <w:p w14:paraId="5887E129">
            <w:pPr>
              <w:spacing w:before="64" w:line="268" w:lineRule="auto"/>
              <w:ind w:left="50" w:right="14" w:hanging="4"/>
              <w:rPr>
                <w:rFonts w:ascii="宋体" w:hAnsi="宋体" w:eastAsia="宋体" w:cs="宋体"/>
                <w:sz w:val="20"/>
                <w:szCs w:val="20"/>
              </w:rPr>
            </w:pPr>
            <w:r>
              <w:rPr>
                <w:rFonts w:ascii="宋体" w:hAnsi="宋体" w:eastAsia="宋体" w:cs="宋体"/>
                <w:spacing w:val="-1"/>
                <w:sz w:val="20"/>
                <w:szCs w:val="20"/>
              </w:rPr>
              <w:t>集中收集后在固定容器中单独存放，积攒到一定</w:t>
            </w:r>
            <w:r>
              <w:rPr>
                <w:rFonts w:ascii="宋体" w:hAnsi="宋体" w:eastAsia="宋体" w:cs="宋体"/>
                <w:sz w:val="20"/>
                <w:szCs w:val="20"/>
              </w:rPr>
              <w:t xml:space="preserve">数量后 </w:t>
            </w:r>
            <w:r>
              <w:rPr>
                <w:rFonts w:ascii="宋体" w:hAnsi="宋体" w:eastAsia="宋体" w:cs="宋体"/>
                <w:spacing w:val="-3"/>
                <w:sz w:val="20"/>
                <w:szCs w:val="20"/>
              </w:rPr>
              <w:t>交由有资质单位处理</w:t>
            </w:r>
            <w:r>
              <w:rPr>
                <w:rFonts w:ascii="宋体" w:hAnsi="宋体" w:eastAsia="宋体" w:cs="宋体"/>
                <w:spacing w:val="-2"/>
                <w:sz w:val="20"/>
                <w:szCs w:val="20"/>
              </w:rPr>
              <w:t>。</w:t>
            </w:r>
          </w:p>
        </w:tc>
      </w:tr>
      <w:tr w14:paraId="03A9C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521" w:type="dxa"/>
            <w:vMerge w:val="continue"/>
            <w:tcBorders>
              <w:top w:val="nil"/>
              <w:left w:val="nil"/>
              <w:bottom w:val="nil"/>
            </w:tcBorders>
            <w:vAlign w:val="top"/>
          </w:tcPr>
          <w:p w14:paraId="7BEF29DD">
            <w:pPr>
              <w:rPr>
                <w:rFonts w:ascii="Arial"/>
                <w:sz w:val="21"/>
              </w:rPr>
            </w:pPr>
          </w:p>
        </w:tc>
        <w:tc>
          <w:tcPr>
            <w:tcW w:w="1276" w:type="dxa"/>
            <w:vMerge w:val="continue"/>
            <w:tcBorders>
              <w:top w:val="nil"/>
            </w:tcBorders>
            <w:vAlign w:val="top"/>
          </w:tcPr>
          <w:p w14:paraId="572CFB49">
            <w:pPr>
              <w:rPr>
                <w:rFonts w:ascii="Arial"/>
                <w:sz w:val="21"/>
              </w:rPr>
            </w:pPr>
          </w:p>
        </w:tc>
        <w:tc>
          <w:tcPr>
            <w:tcW w:w="1716" w:type="dxa"/>
            <w:gridSpan w:val="2"/>
            <w:vAlign w:val="top"/>
          </w:tcPr>
          <w:p w14:paraId="2B749903">
            <w:pPr>
              <w:spacing w:before="229" w:line="228" w:lineRule="auto"/>
              <w:ind w:left="225"/>
              <w:rPr>
                <w:rFonts w:ascii="宋体" w:hAnsi="宋体" w:eastAsia="宋体" w:cs="宋体"/>
                <w:sz w:val="20"/>
                <w:szCs w:val="20"/>
              </w:rPr>
            </w:pPr>
            <w:r>
              <w:rPr>
                <w:rFonts w:ascii="宋体" w:hAnsi="宋体" w:eastAsia="宋体" w:cs="宋体"/>
                <w:spacing w:val="7"/>
                <w:sz w:val="20"/>
                <w:szCs w:val="20"/>
              </w:rPr>
              <w:t>废</w:t>
            </w:r>
            <w:r>
              <w:rPr>
                <w:rFonts w:ascii="Times New Roman" w:hAnsi="Times New Roman" w:eastAsia="Times New Roman" w:cs="Times New Roman"/>
                <w:sz w:val="20"/>
                <w:szCs w:val="20"/>
              </w:rPr>
              <w:t>uv</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光解灯管</w:t>
            </w:r>
          </w:p>
        </w:tc>
        <w:tc>
          <w:tcPr>
            <w:tcW w:w="4843" w:type="dxa"/>
            <w:tcBorders>
              <w:right w:val="nil"/>
            </w:tcBorders>
            <w:vAlign w:val="top"/>
          </w:tcPr>
          <w:p w14:paraId="23C6B419">
            <w:pPr>
              <w:spacing w:before="62" w:line="268" w:lineRule="auto"/>
              <w:ind w:left="50" w:right="14" w:hanging="4"/>
              <w:rPr>
                <w:rFonts w:ascii="宋体" w:hAnsi="宋体" w:eastAsia="宋体" w:cs="宋体"/>
                <w:sz w:val="20"/>
                <w:szCs w:val="20"/>
              </w:rPr>
            </w:pPr>
            <w:r>
              <w:rPr>
                <w:rFonts w:ascii="宋体" w:hAnsi="宋体" w:eastAsia="宋体" w:cs="宋体"/>
                <w:spacing w:val="-1"/>
                <w:sz w:val="20"/>
                <w:szCs w:val="20"/>
              </w:rPr>
              <w:t>集中收集后在固定容器中单独存放，积攒到一定</w:t>
            </w:r>
            <w:r>
              <w:rPr>
                <w:rFonts w:ascii="宋体" w:hAnsi="宋体" w:eastAsia="宋体" w:cs="宋体"/>
                <w:sz w:val="20"/>
                <w:szCs w:val="20"/>
              </w:rPr>
              <w:t xml:space="preserve">数量后 </w:t>
            </w:r>
            <w:r>
              <w:rPr>
                <w:rFonts w:ascii="宋体" w:hAnsi="宋体" w:eastAsia="宋体" w:cs="宋体"/>
                <w:spacing w:val="-3"/>
                <w:sz w:val="20"/>
                <w:szCs w:val="20"/>
              </w:rPr>
              <w:t>交由有资质单位处理</w:t>
            </w:r>
            <w:r>
              <w:rPr>
                <w:rFonts w:ascii="宋体" w:hAnsi="宋体" w:eastAsia="宋体" w:cs="宋体"/>
                <w:spacing w:val="-2"/>
                <w:sz w:val="20"/>
                <w:szCs w:val="20"/>
              </w:rPr>
              <w:t>。</w:t>
            </w:r>
          </w:p>
        </w:tc>
      </w:tr>
      <w:tr w14:paraId="63599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21" w:type="dxa"/>
            <w:vMerge w:val="continue"/>
            <w:tcBorders>
              <w:top w:val="nil"/>
              <w:left w:val="nil"/>
              <w:bottom w:val="nil"/>
            </w:tcBorders>
            <w:vAlign w:val="top"/>
          </w:tcPr>
          <w:p w14:paraId="468DA7EC">
            <w:pPr>
              <w:rPr>
                <w:rFonts w:ascii="Arial"/>
                <w:sz w:val="21"/>
              </w:rPr>
            </w:pPr>
          </w:p>
        </w:tc>
        <w:tc>
          <w:tcPr>
            <w:tcW w:w="1276" w:type="dxa"/>
            <w:vMerge w:val="restart"/>
            <w:tcBorders>
              <w:bottom w:val="nil"/>
            </w:tcBorders>
            <w:vAlign w:val="top"/>
          </w:tcPr>
          <w:p w14:paraId="6ED5D9AF">
            <w:pPr>
              <w:spacing w:line="277" w:lineRule="auto"/>
              <w:rPr>
                <w:rFonts w:ascii="Arial"/>
                <w:sz w:val="21"/>
              </w:rPr>
            </w:pPr>
          </w:p>
          <w:p w14:paraId="32E78209">
            <w:pPr>
              <w:spacing w:line="277" w:lineRule="auto"/>
              <w:rPr>
                <w:rFonts w:ascii="Arial"/>
                <w:sz w:val="21"/>
              </w:rPr>
            </w:pPr>
          </w:p>
          <w:p w14:paraId="11E1E89B">
            <w:pPr>
              <w:spacing w:line="277" w:lineRule="auto"/>
              <w:rPr>
                <w:rFonts w:ascii="Arial"/>
                <w:sz w:val="21"/>
              </w:rPr>
            </w:pPr>
          </w:p>
          <w:p w14:paraId="15B24952">
            <w:pPr>
              <w:spacing w:line="277" w:lineRule="auto"/>
              <w:rPr>
                <w:rFonts w:ascii="Arial"/>
                <w:sz w:val="21"/>
              </w:rPr>
            </w:pPr>
          </w:p>
          <w:p w14:paraId="7538C3D1">
            <w:pPr>
              <w:spacing w:line="277" w:lineRule="auto"/>
              <w:rPr>
                <w:rFonts w:ascii="Arial"/>
                <w:sz w:val="21"/>
              </w:rPr>
            </w:pPr>
          </w:p>
          <w:p w14:paraId="36130588">
            <w:pPr>
              <w:spacing w:line="278" w:lineRule="auto"/>
              <w:rPr>
                <w:rFonts w:ascii="Arial"/>
                <w:sz w:val="21"/>
              </w:rPr>
            </w:pPr>
          </w:p>
          <w:p w14:paraId="7A5A1461">
            <w:pPr>
              <w:spacing w:before="65" w:line="228" w:lineRule="auto"/>
              <w:ind w:left="153"/>
              <w:rPr>
                <w:rFonts w:ascii="宋体" w:hAnsi="宋体" w:eastAsia="宋体" w:cs="宋体"/>
                <w:sz w:val="20"/>
                <w:szCs w:val="20"/>
              </w:rPr>
            </w:pPr>
            <w:r>
              <w:rPr>
                <w:rFonts w:ascii="宋体" w:hAnsi="宋体" w:eastAsia="宋体" w:cs="宋体"/>
                <w:spacing w:val="-2"/>
                <w:sz w:val="20"/>
                <w:szCs w:val="20"/>
              </w:rPr>
              <w:t>地下水治</w:t>
            </w:r>
            <w:r>
              <w:rPr>
                <w:rFonts w:ascii="宋体" w:hAnsi="宋体" w:eastAsia="宋体" w:cs="宋体"/>
                <w:spacing w:val="-1"/>
                <w:sz w:val="20"/>
                <w:szCs w:val="20"/>
              </w:rPr>
              <w:t>理</w:t>
            </w:r>
          </w:p>
        </w:tc>
        <w:tc>
          <w:tcPr>
            <w:tcW w:w="422" w:type="dxa"/>
            <w:vMerge w:val="restart"/>
            <w:tcBorders>
              <w:bottom w:val="nil"/>
            </w:tcBorders>
            <w:textDirection w:val="tbRlV"/>
            <w:vAlign w:val="top"/>
          </w:tcPr>
          <w:p w14:paraId="7AABD54F">
            <w:pPr>
              <w:spacing w:before="98" w:line="216" w:lineRule="auto"/>
              <w:ind w:left="407"/>
              <w:rPr>
                <w:rFonts w:ascii="宋体" w:hAnsi="宋体" w:eastAsia="宋体" w:cs="宋体"/>
                <w:sz w:val="20"/>
                <w:szCs w:val="20"/>
              </w:rPr>
            </w:pPr>
            <w:r>
              <w:rPr>
                <w:rFonts w:ascii="宋体" w:hAnsi="宋体" w:eastAsia="宋体" w:cs="宋体"/>
                <w:spacing w:val="16"/>
                <w:sz w:val="20"/>
                <w:szCs w:val="20"/>
              </w:rPr>
              <w:t>地 下 水 分 区 防 渗 措 施</w:t>
            </w:r>
          </w:p>
        </w:tc>
        <w:tc>
          <w:tcPr>
            <w:tcW w:w="1294" w:type="dxa"/>
            <w:vAlign w:val="top"/>
          </w:tcPr>
          <w:p w14:paraId="6D58D4A4">
            <w:pPr>
              <w:spacing w:before="227" w:line="315" w:lineRule="auto"/>
              <w:ind w:left="46" w:firstLine="48"/>
              <w:rPr>
                <w:rFonts w:ascii="宋体" w:hAnsi="宋体" w:eastAsia="宋体" w:cs="宋体"/>
                <w:sz w:val="20"/>
                <w:szCs w:val="20"/>
              </w:rPr>
            </w:pPr>
            <w:r>
              <w:rPr>
                <w:rFonts w:ascii="宋体" w:hAnsi="宋体" w:eastAsia="宋体" w:cs="宋体"/>
                <w:spacing w:val="-22"/>
                <w:sz w:val="20"/>
                <w:szCs w:val="20"/>
              </w:rPr>
              <w:t>生</w:t>
            </w:r>
            <w:r>
              <w:rPr>
                <w:rFonts w:ascii="宋体" w:hAnsi="宋体" w:eastAsia="宋体" w:cs="宋体"/>
                <w:spacing w:val="-18"/>
                <w:sz w:val="20"/>
                <w:szCs w:val="20"/>
              </w:rPr>
              <w:t>产厂房、成</w:t>
            </w:r>
            <w:r>
              <w:rPr>
                <w:rFonts w:ascii="宋体" w:hAnsi="宋体" w:eastAsia="宋体" w:cs="宋体"/>
                <w:sz w:val="20"/>
                <w:szCs w:val="20"/>
              </w:rPr>
              <w:t xml:space="preserve"> </w:t>
            </w:r>
            <w:r>
              <w:rPr>
                <w:rFonts w:ascii="宋体" w:hAnsi="宋体" w:eastAsia="宋体" w:cs="宋体"/>
                <w:spacing w:val="-26"/>
                <w:sz w:val="20"/>
                <w:szCs w:val="20"/>
              </w:rPr>
              <w:t>品</w:t>
            </w:r>
            <w:r>
              <w:rPr>
                <w:rFonts w:ascii="宋体" w:hAnsi="宋体" w:eastAsia="宋体" w:cs="宋体"/>
                <w:spacing w:val="-22"/>
                <w:sz w:val="20"/>
                <w:szCs w:val="20"/>
              </w:rPr>
              <w:t>库、原料库、</w:t>
            </w:r>
            <w:r>
              <w:rPr>
                <w:rFonts w:ascii="宋体" w:hAnsi="宋体" w:eastAsia="宋体" w:cs="宋体"/>
                <w:sz w:val="20"/>
                <w:szCs w:val="20"/>
              </w:rPr>
              <w:t xml:space="preserve"> </w:t>
            </w:r>
            <w:r>
              <w:rPr>
                <w:rFonts w:ascii="宋体" w:hAnsi="宋体" w:eastAsia="宋体" w:cs="宋体"/>
                <w:spacing w:val="-34"/>
                <w:sz w:val="20"/>
                <w:szCs w:val="20"/>
              </w:rPr>
              <w:t>三</w:t>
            </w:r>
            <w:r>
              <w:rPr>
                <w:rFonts w:ascii="宋体" w:hAnsi="宋体" w:eastAsia="宋体" w:cs="宋体"/>
                <w:spacing w:val="-29"/>
                <w:sz w:val="20"/>
                <w:szCs w:val="20"/>
              </w:rPr>
              <w:t>级沉淀池、旱</w:t>
            </w:r>
            <w:r>
              <w:rPr>
                <w:rFonts w:ascii="宋体" w:hAnsi="宋体" w:eastAsia="宋体" w:cs="宋体"/>
                <w:sz w:val="20"/>
                <w:szCs w:val="20"/>
              </w:rPr>
              <w:t xml:space="preserve"> </w:t>
            </w:r>
            <w:r>
              <w:rPr>
                <w:rFonts w:ascii="宋体" w:hAnsi="宋体" w:eastAsia="宋体" w:cs="宋体"/>
                <w:spacing w:val="-31"/>
                <w:sz w:val="20"/>
                <w:szCs w:val="20"/>
              </w:rPr>
              <w:t>厕</w:t>
            </w:r>
            <w:r>
              <w:rPr>
                <w:rFonts w:ascii="宋体" w:hAnsi="宋体" w:eastAsia="宋体" w:cs="宋体"/>
                <w:spacing w:val="-26"/>
                <w:sz w:val="20"/>
                <w:szCs w:val="20"/>
              </w:rPr>
              <w:t>、危废暂存间</w:t>
            </w:r>
          </w:p>
        </w:tc>
        <w:tc>
          <w:tcPr>
            <w:tcW w:w="4843" w:type="dxa"/>
            <w:tcBorders>
              <w:right w:val="nil"/>
            </w:tcBorders>
            <w:vAlign w:val="top"/>
          </w:tcPr>
          <w:p w14:paraId="60BA2622">
            <w:pPr>
              <w:tabs>
                <w:tab w:val="left" w:pos="153"/>
              </w:tabs>
              <w:spacing w:before="66" w:line="291" w:lineRule="auto"/>
              <w:ind w:left="44"/>
              <w:rPr>
                <w:rFonts w:ascii="宋体" w:hAnsi="宋体" w:eastAsia="宋体" w:cs="宋体"/>
                <w:sz w:val="20"/>
                <w:szCs w:val="20"/>
              </w:rPr>
            </w:pPr>
            <w:r>
              <w:rPr>
                <w:rFonts w:ascii="宋体" w:hAnsi="宋体" w:eastAsia="宋体" w:cs="宋体"/>
                <w:spacing w:val="-14"/>
                <w:sz w:val="20"/>
                <w:szCs w:val="20"/>
              </w:rPr>
              <w:t>底部</w:t>
            </w:r>
            <w:r>
              <w:rPr>
                <w:rFonts w:ascii="宋体" w:hAnsi="宋体" w:eastAsia="宋体" w:cs="宋体"/>
                <w:spacing w:val="-12"/>
                <w:sz w:val="20"/>
                <w:szCs w:val="20"/>
              </w:rPr>
              <w:t>铺</w:t>
            </w:r>
            <w:r>
              <w:rPr>
                <w:rFonts w:ascii="宋体" w:hAnsi="宋体" w:eastAsia="宋体" w:cs="宋体"/>
                <w:spacing w:val="-7"/>
                <w:sz w:val="20"/>
                <w:szCs w:val="20"/>
              </w:rPr>
              <w:t xml:space="preserve">设 </w:t>
            </w:r>
            <w:r>
              <w:rPr>
                <w:rFonts w:ascii="Times New Roman" w:hAnsi="Times New Roman" w:eastAsia="Times New Roman" w:cs="Times New Roman"/>
                <w:spacing w:val="-7"/>
                <w:sz w:val="20"/>
                <w:szCs w:val="20"/>
              </w:rPr>
              <w:t>300mm</w:t>
            </w:r>
            <w:r>
              <w:rPr>
                <w:rFonts w:ascii="宋体" w:hAnsi="宋体" w:eastAsia="宋体" w:cs="宋体"/>
                <w:spacing w:val="-7"/>
                <w:sz w:val="20"/>
                <w:szCs w:val="20"/>
              </w:rPr>
              <w:t>黏土层(保护层，同时作为辅助防渗层)</w:t>
            </w:r>
            <w:r>
              <w:rPr>
                <w:rFonts w:ascii="宋体" w:hAnsi="宋体" w:eastAsia="宋体" w:cs="宋体"/>
                <w:sz w:val="20"/>
                <w:szCs w:val="20"/>
              </w:rPr>
              <w:t xml:space="preserve"> </w:t>
            </w:r>
            <w:r>
              <w:rPr>
                <w:rFonts w:ascii="宋体" w:hAnsi="宋体" w:eastAsia="宋体" w:cs="宋体"/>
                <w:spacing w:val="16"/>
                <w:sz w:val="20"/>
                <w:szCs w:val="20"/>
              </w:rPr>
              <w:t>压</w:t>
            </w:r>
            <w:r>
              <w:rPr>
                <w:rFonts w:ascii="宋体" w:hAnsi="宋体" w:eastAsia="宋体" w:cs="宋体"/>
                <w:spacing w:val="15"/>
                <w:sz w:val="20"/>
                <w:szCs w:val="20"/>
              </w:rPr>
              <w:t>实</w:t>
            </w:r>
            <w:r>
              <w:rPr>
                <w:rFonts w:ascii="宋体" w:hAnsi="宋体" w:eastAsia="宋体" w:cs="宋体"/>
                <w:spacing w:val="8"/>
                <w:sz w:val="20"/>
                <w:szCs w:val="20"/>
              </w:rPr>
              <w:t xml:space="preserve">平整，黏土层上铺设 </w:t>
            </w:r>
            <w:r>
              <w:rPr>
                <w:rFonts w:ascii="Times New Roman" w:hAnsi="Times New Roman" w:eastAsia="Times New Roman" w:cs="Times New Roman"/>
                <w:sz w:val="20"/>
                <w:szCs w:val="20"/>
              </w:rPr>
              <w:t>HDPE</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GCL</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复合防渗系统</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
                <w:sz w:val="20"/>
                <w:szCs w:val="20"/>
              </w:rPr>
              <w:t>(</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mm</w:t>
            </w:r>
            <w:r>
              <w:rPr>
                <w:rFonts w:ascii="宋体" w:hAnsi="宋体" w:eastAsia="宋体" w:cs="宋体"/>
                <w:spacing w:val="-1"/>
                <w:sz w:val="20"/>
                <w:szCs w:val="20"/>
              </w:rPr>
              <w:t>厚的高密度聚乙烯膜、</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00g/m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 xml:space="preserve">土工织物膨润土 </w:t>
            </w:r>
            <w:r>
              <w:rPr>
                <w:rFonts w:ascii="宋体" w:hAnsi="宋体" w:eastAsia="宋体" w:cs="宋体"/>
                <w:spacing w:val="-10"/>
                <w:sz w:val="20"/>
                <w:szCs w:val="20"/>
              </w:rPr>
              <w:t>垫)</w:t>
            </w:r>
            <w:r>
              <w:rPr>
                <w:rFonts w:ascii="宋体" w:hAnsi="宋体" w:eastAsia="宋体" w:cs="宋体"/>
                <w:spacing w:val="-5"/>
                <w:sz w:val="20"/>
                <w:szCs w:val="20"/>
              </w:rPr>
              <w:t xml:space="preserve"> ，上部外加耐腐蚀混凝土 </w:t>
            </w:r>
            <w:r>
              <w:rPr>
                <w:rFonts w:ascii="Times New Roman" w:hAnsi="Times New Roman" w:eastAsia="Times New Roman" w:cs="Times New Roman"/>
                <w:spacing w:val="-5"/>
                <w:sz w:val="20"/>
                <w:szCs w:val="20"/>
              </w:rPr>
              <w:t xml:space="preserve">15cm  </w:t>
            </w:r>
            <w:r>
              <w:rPr>
                <w:rFonts w:ascii="宋体" w:hAnsi="宋体" w:eastAsia="宋体" w:cs="宋体"/>
                <w:spacing w:val="-5"/>
                <w:sz w:val="20"/>
                <w:szCs w:val="20"/>
              </w:rPr>
              <w:t>(保护层) 等防渗，</w:t>
            </w:r>
            <w:r>
              <w:rPr>
                <w:rFonts w:ascii="宋体" w:hAnsi="宋体" w:eastAsia="宋体" w:cs="宋体"/>
                <w:sz w:val="20"/>
                <w:szCs w:val="20"/>
              </w:rPr>
              <w:t xml:space="preserve"> </w:t>
            </w:r>
            <w:r>
              <w:rPr>
                <w:rFonts w:ascii="宋体" w:hAnsi="宋体" w:eastAsia="宋体" w:cs="宋体"/>
                <w:spacing w:val="-8"/>
                <w:sz w:val="20"/>
                <w:szCs w:val="20"/>
              </w:rPr>
              <w:t>侧</w:t>
            </w:r>
            <w:r>
              <w:rPr>
                <w:rFonts w:ascii="宋体" w:hAnsi="宋体" w:eastAsia="宋体" w:cs="宋体"/>
                <w:spacing w:val="-4"/>
                <w:sz w:val="20"/>
                <w:szCs w:val="20"/>
              </w:rPr>
              <w:t>壁均设防渗墙。</w:t>
            </w:r>
          </w:p>
        </w:tc>
      </w:tr>
      <w:tr w14:paraId="50682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521" w:type="dxa"/>
            <w:vMerge w:val="continue"/>
            <w:tcBorders>
              <w:top w:val="nil"/>
              <w:left w:val="nil"/>
              <w:bottom w:val="nil"/>
            </w:tcBorders>
            <w:vAlign w:val="top"/>
          </w:tcPr>
          <w:p w14:paraId="563A18D3">
            <w:pPr>
              <w:rPr>
                <w:rFonts w:ascii="Arial"/>
                <w:sz w:val="21"/>
              </w:rPr>
            </w:pPr>
          </w:p>
        </w:tc>
        <w:tc>
          <w:tcPr>
            <w:tcW w:w="1276" w:type="dxa"/>
            <w:vMerge w:val="continue"/>
            <w:tcBorders>
              <w:top w:val="nil"/>
              <w:bottom w:val="nil"/>
            </w:tcBorders>
            <w:vAlign w:val="top"/>
          </w:tcPr>
          <w:p w14:paraId="4DBB6BEF">
            <w:pPr>
              <w:rPr>
                <w:rFonts w:ascii="Arial"/>
                <w:sz w:val="21"/>
              </w:rPr>
            </w:pPr>
          </w:p>
        </w:tc>
        <w:tc>
          <w:tcPr>
            <w:tcW w:w="422" w:type="dxa"/>
            <w:vMerge w:val="continue"/>
            <w:tcBorders>
              <w:top w:val="nil"/>
              <w:bottom w:val="nil"/>
            </w:tcBorders>
            <w:textDirection w:val="tbRlV"/>
            <w:vAlign w:val="top"/>
          </w:tcPr>
          <w:p w14:paraId="17DCD092">
            <w:pPr>
              <w:rPr>
                <w:rFonts w:ascii="Arial"/>
                <w:sz w:val="21"/>
              </w:rPr>
            </w:pPr>
          </w:p>
        </w:tc>
        <w:tc>
          <w:tcPr>
            <w:tcW w:w="1294" w:type="dxa"/>
            <w:vAlign w:val="top"/>
          </w:tcPr>
          <w:p w14:paraId="712B9C6B">
            <w:pPr>
              <w:spacing w:before="29" w:line="312" w:lineRule="auto"/>
              <w:ind w:left="65" w:right="40" w:firstLine="1"/>
              <w:rPr>
                <w:rFonts w:ascii="宋体" w:hAnsi="宋体" w:eastAsia="宋体" w:cs="宋体"/>
                <w:sz w:val="20"/>
                <w:szCs w:val="20"/>
              </w:rPr>
            </w:pPr>
            <w:r>
              <w:rPr>
                <w:rFonts w:ascii="宋体" w:hAnsi="宋体" w:eastAsia="宋体" w:cs="宋体"/>
                <w:spacing w:val="-4"/>
                <w:sz w:val="20"/>
                <w:szCs w:val="20"/>
              </w:rPr>
              <w:t>办公室</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宋体" w:hAnsi="宋体" w:eastAsia="宋体" w:cs="宋体"/>
                <w:spacing w:val="-2"/>
                <w:sz w:val="20"/>
                <w:szCs w:val="20"/>
              </w:rPr>
              <w:t>员</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休息室、</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3"/>
                <w:sz w:val="20"/>
                <w:szCs w:val="20"/>
              </w:rPr>
              <w:t>员</w:t>
            </w:r>
            <w:r>
              <w:rPr>
                <w:rFonts w:ascii="宋体" w:hAnsi="宋体" w:eastAsia="宋体" w:cs="宋体"/>
                <w:spacing w:val="-8"/>
                <w:sz w:val="20"/>
                <w:szCs w:val="20"/>
              </w:rPr>
              <w:t>工休息室、</w:t>
            </w:r>
          </w:p>
          <w:p w14:paraId="0DE528B2">
            <w:pPr>
              <w:spacing w:before="20" w:line="228" w:lineRule="auto"/>
              <w:ind w:left="164"/>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2"/>
                <w:sz w:val="20"/>
                <w:szCs w:val="20"/>
              </w:rPr>
              <w:t>品备件库</w:t>
            </w:r>
          </w:p>
        </w:tc>
        <w:tc>
          <w:tcPr>
            <w:tcW w:w="4843" w:type="dxa"/>
            <w:tcBorders>
              <w:right w:val="nil"/>
            </w:tcBorders>
            <w:vAlign w:val="top"/>
          </w:tcPr>
          <w:p w14:paraId="12EEF2BC">
            <w:pPr>
              <w:spacing w:line="331" w:lineRule="auto"/>
              <w:rPr>
                <w:rFonts w:ascii="Arial"/>
                <w:sz w:val="21"/>
              </w:rPr>
            </w:pPr>
          </w:p>
          <w:p w14:paraId="71665654">
            <w:pPr>
              <w:spacing w:before="65" w:line="320" w:lineRule="auto"/>
              <w:ind w:left="46" w:right="14" w:hanging="1"/>
              <w:rPr>
                <w:rFonts w:ascii="宋体" w:hAnsi="宋体" w:eastAsia="宋体" w:cs="宋体"/>
                <w:sz w:val="20"/>
                <w:szCs w:val="20"/>
              </w:rPr>
            </w:pPr>
            <w:r>
              <w:rPr>
                <w:rFonts w:ascii="宋体" w:hAnsi="宋体" w:eastAsia="宋体" w:cs="宋体"/>
                <w:spacing w:val="2"/>
                <w:sz w:val="20"/>
                <w:szCs w:val="20"/>
              </w:rPr>
              <w:t>底</w:t>
            </w:r>
            <w:r>
              <w:rPr>
                <w:rFonts w:ascii="宋体" w:hAnsi="宋体" w:eastAsia="宋体" w:cs="宋体"/>
                <w:spacing w:val="1"/>
                <w:sz w:val="20"/>
                <w:szCs w:val="20"/>
              </w:rPr>
              <w:t xml:space="preserve">部做基础防渗，铺设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m</w:t>
            </w:r>
            <w:r>
              <w:rPr>
                <w:rFonts w:ascii="宋体" w:hAnsi="宋体" w:eastAsia="宋体" w:cs="宋体"/>
                <w:spacing w:val="1"/>
                <w:sz w:val="20"/>
                <w:szCs w:val="20"/>
              </w:rPr>
              <w:t>厚黏土层，再用耐腐蚀混凝</w:t>
            </w:r>
            <w:r>
              <w:rPr>
                <w:rFonts w:ascii="宋体" w:hAnsi="宋体" w:eastAsia="宋体" w:cs="宋体"/>
                <w:sz w:val="20"/>
                <w:szCs w:val="20"/>
              </w:rPr>
              <w:t xml:space="preserve"> </w:t>
            </w:r>
            <w:r>
              <w:rPr>
                <w:rFonts w:ascii="宋体" w:hAnsi="宋体" w:eastAsia="宋体" w:cs="宋体"/>
                <w:spacing w:val="-4"/>
                <w:sz w:val="20"/>
                <w:szCs w:val="20"/>
              </w:rPr>
              <w:t xml:space="preserve">土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5cm</w:t>
            </w:r>
            <w:r>
              <w:rPr>
                <w:rFonts w:ascii="宋体" w:hAnsi="宋体" w:eastAsia="宋体" w:cs="宋体"/>
                <w:spacing w:val="-2"/>
                <w:sz w:val="20"/>
                <w:szCs w:val="20"/>
              </w:rPr>
              <w:t>浇铸，上部铺设耐腐蚀砖。</w:t>
            </w:r>
          </w:p>
        </w:tc>
      </w:tr>
      <w:tr w14:paraId="16055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21" w:type="dxa"/>
            <w:vMerge w:val="continue"/>
            <w:tcBorders>
              <w:top w:val="nil"/>
              <w:left w:val="nil"/>
            </w:tcBorders>
            <w:vAlign w:val="top"/>
          </w:tcPr>
          <w:p w14:paraId="3D22A2FB">
            <w:pPr>
              <w:rPr>
                <w:rFonts w:ascii="Arial"/>
                <w:sz w:val="21"/>
              </w:rPr>
            </w:pPr>
          </w:p>
        </w:tc>
        <w:tc>
          <w:tcPr>
            <w:tcW w:w="1276" w:type="dxa"/>
            <w:vMerge w:val="continue"/>
            <w:tcBorders>
              <w:top w:val="nil"/>
            </w:tcBorders>
            <w:vAlign w:val="top"/>
          </w:tcPr>
          <w:p w14:paraId="3A32B5C7">
            <w:pPr>
              <w:rPr>
                <w:rFonts w:ascii="Arial"/>
                <w:sz w:val="21"/>
              </w:rPr>
            </w:pPr>
          </w:p>
        </w:tc>
        <w:tc>
          <w:tcPr>
            <w:tcW w:w="422" w:type="dxa"/>
            <w:vMerge w:val="continue"/>
            <w:tcBorders>
              <w:top w:val="nil"/>
            </w:tcBorders>
            <w:textDirection w:val="tbRlV"/>
            <w:vAlign w:val="top"/>
          </w:tcPr>
          <w:p w14:paraId="689AA19A">
            <w:pPr>
              <w:rPr>
                <w:rFonts w:ascii="Arial"/>
                <w:sz w:val="21"/>
              </w:rPr>
            </w:pPr>
          </w:p>
        </w:tc>
        <w:tc>
          <w:tcPr>
            <w:tcW w:w="1294" w:type="dxa"/>
            <w:vAlign w:val="top"/>
          </w:tcPr>
          <w:p w14:paraId="39F64924">
            <w:pPr>
              <w:spacing w:before="66" w:line="268" w:lineRule="auto"/>
              <w:ind w:left="162" w:right="40" w:hanging="99"/>
              <w:rPr>
                <w:rFonts w:ascii="宋体" w:hAnsi="宋体" w:eastAsia="宋体" w:cs="宋体"/>
                <w:sz w:val="20"/>
                <w:szCs w:val="20"/>
              </w:rPr>
            </w:pPr>
            <w:r>
              <w:rPr>
                <w:rFonts w:ascii="宋体" w:hAnsi="宋体" w:eastAsia="宋体" w:cs="宋体"/>
                <w:spacing w:val="-4"/>
                <w:sz w:val="20"/>
                <w:szCs w:val="20"/>
              </w:rPr>
              <w:t>全厂</w:t>
            </w:r>
            <w:r>
              <w:rPr>
                <w:rFonts w:ascii="宋体" w:hAnsi="宋体" w:eastAsia="宋体" w:cs="宋体"/>
                <w:spacing w:val="-2"/>
                <w:sz w:val="20"/>
                <w:szCs w:val="20"/>
              </w:rPr>
              <w:t>区绿地外</w:t>
            </w:r>
            <w:r>
              <w:rPr>
                <w:rFonts w:ascii="宋体" w:hAnsi="宋体" w:eastAsia="宋体" w:cs="宋体"/>
                <w:sz w:val="20"/>
                <w:szCs w:val="20"/>
              </w:rPr>
              <w:t xml:space="preserve"> </w:t>
            </w:r>
            <w:r>
              <w:rPr>
                <w:rFonts w:ascii="宋体" w:hAnsi="宋体" w:eastAsia="宋体" w:cs="宋体"/>
                <w:spacing w:val="-2"/>
                <w:sz w:val="20"/>
                <w:szCs w:val="20"/>
              </w:rPr>
              <w:t>其他构筑物</w:t>
            </w:r>
          </w:p>
        </w:tc>
        <w:tc>
          <w:tcPr>
            <w:tcW w:w="4843" w:type="dxa"/>
            <w:tcBorders>
              <w:right w:val="nil"/>
            </w:tcBorders>
            <w:vAlign w:val="top"/>
          </w:tcPr>
          <w:p w14:paraId="75830E92">
            <w:pPr>
              <w:spacing w:before="231" w:line="227" w:lineRule="auto"/>
              <w:ind w:left="364"/>
              <w:rPr>
                <w:rFonts w:ascii="宋体" w:hAnsi="宋体" w:eastAsia="宋体" w:cs="宋体"/>
                <w:sz w:val="20"/>
                <w:szCs w:val="20"/>
              </w:rPr>
            </w:pPr>
            <w:r>
              <w:rPr>
                <w:rFonts w:ascii="宋体" w:hAnsi="宋体" w:eastAsia="宋体" w:cs="宋体"/>
                <w:spacing w:val="-3"/>
                <w:sz w:val="20"/>
                <w:szCs w:val="20"/>
              </w:rPr>
              <w:t>采取混凝土地面，上涂耐磨环氧树脂地面涂料</w:t>
            </w:r>
            <w:r>
              <w:rPr>
                <w:rFonts w:ascii="宋体" w:hAnsi="宋体" w:eastAsia="宋体" w:cs="宋体"/>
                <w:sz w:val="20"/>
                <w:szCs w:val="20"/>
              </w:rPr>
              <w:t>。</w:t>
            </w:r>
          </w:p>
        </w:tc>
      </w:tr>
    </w:tbl>
    <w:p w14:paraId="7BA02C22">
      <w:pPr>
        <w:spacing w:before="295" w:line="226" w:lineRule="auto"/>
        <w:ind w:left="44"/>
        <w:outlineLvl w:val="2"/>
        <w:rPr>
          <w:rFonts w:ascii="宋体" w:hAnsi="宋体" w:eastAsia="宋体" w:cs="宋体"/>
          <w:sz w:val="29"/>
          <w:szCs w:val="29"/>
        </w:rPr>
      </w:pPr>
      <w:r>
        <w:rPr>
          <w:rFonts w:ascii="Times New Roman" w:hAnsi="Times New Roman" w:eastAsia="Times New Roman" w:cs="Times New Roman"/>
          <w:b/>
          <w:bCs/>
          <w:spacing w:val="6"/>
          <w:sz w:val="29"/>
          <w:szCs w:val="29"/>
        </w:rPr>
        <w:t>3.1.3</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产品方</w:t>
      </w:r>
      <w:r>
        <w:rPr>
          <w:rFonts w:ascii="宋体" w:hAnsi="宋体" w:eastAsia="宋体" w:cs="宋体"/>
          <w:spacing w:val="5"/>
          <w:sz w:val="29"/>
          <w:szCs w:val="29"/>
          <w14:textOutline w14:w="5448" w14:cap="sq" w14:cmpd="sng">
            <w14:solidFill>
              <w14:srgbClr w14:val="000000"/>
            </w14:solidFill>
            <w14:prstDash w14:val="solid"/>
            <w14:bevel/>
          </w14:textOutline>
        </w:rPr>
        <w:t>案</w:t>
      </w:r>
    </w:p>
    <w:p w14:paraId="011290AA">
      <w:pPr>
        <w:spacing w:line="267" w:lineRule="auto"/>
        <w:rPr>
          <w:rFonts w:ascii="Arial"/>
          <w:sz w:val="21"/>
        </w:rPr>
      </w:pPr>
    </w:p>
    <w:p w14:paraId="300B3B2C">
      <w:pPr>
        <w:spacing w:before="75" w:line="393" w:lineRule="auto"/>
        <w:ind w:left="47" w:firstLine="456"/>
        <w:rPr>
          <w:rFonts w:ascii="宋体" w:hAnsi="宋体" w:eastAsia="宋体" w:cs="宋体"/>
          <w:sz w:val="23"/>
          <w:szCs w:val="23"/>
        </w:rPr>
      </w:pPr>
      <w:r>
        <w:rPr>
          <w:rFonts w:ascii="宋体" w:hAnsi="宋体" w:eastAsia="宋体" w:cs="宋体"/>
          <w:spacing w:val="1"/>
          <w:sz w:val="23"/>
          <w:szCs w:val="23"/>
        </w:rPr>
        <w:t>该项目所用原料为废塑料编织袋，均外购于</w:t>
      </w:r>
      <w:r>
        <w:rPr>
          <w:rFonts w:ascii="宋体" w:hAnsi="宋体" w:eastAsia="宋体" w:cs="宋体"/>
          <w:sz w:val="23"/>
          <w:szCs w:val="23"/>
        </w:rPr>
        <w:t xml:space="preserve">本溪宏远集团北台再生资源有限责 </w:t>
      </w:r>
      <w:r>
        <w:rPr>
          <w:rFonts w:ascii="宋体" w:hAnsi="宋体" w:eastAsia="宋体" w:cs="宋体"/>
          <w:spacing w:val="1"/>
          <w:sz w:val="23"/>
          <w:szCs w:val="23"/>
        </w:rPr>
        <w:t>任公司及平山区利安建材城，为本溪</w:t>
      </w:r>
      <w:r>
        <w:rPr>
          <w:rFonts w:ascii="宋体" w:hAnsi="宋体" w:eastAsia="宋体" w:cs="宋体"/>
          <w:sz w:val="23"/>
          <w:szCs w:val="23"/>
        </w:rPr>
        <w:t xml:space="preserve">宏远集团北台再生资源有限责任公司收购北台 </w:t>
      </w:r>
      <w:r>
        <w:rPr>
          <w:rFonts w:ascii="宋体" w:hAnsi="宋体" w:eastAsia="宋体" w:cs="宋体"/>
          <w:spacing w:val="1"/>
          <w:sz w:val="23"/>
          <w:szCs w:val="23"/>
        </w:rPr>
        <w:t>钢铁 (集团) 有限责任公司所用</w:t>
      </w:r>
      <w:r>
        <w:rPr>
          <w:rFonts w:ascii="宋体" w:hAnsi="宋体" w:eastAsia="宋体" w:cs="宋体"/>
          <w:sz w:val="23"/>
          <w:szCs w:val="23"/>
        </w:rPr>
        <w:t xml:space="preserve">原料合金铁及铝锭的废包装袋及平山区利安建材城 </w:t>
      </w:r>
      <w:r>
        <w:rPr>
          <w:rFonts w:ascii="宋体" w:hAnsi="宋体" w:eastAsia="宋体" w:cs="宋体"/>
          <w:spacing w:val="-8"/>
          <w:sz w:val="23"/>
          <w:szCs w:val="23"/>
        </w:rPr>
        <w:t>所销</w:t>
      </w:r>
      <w:r>
        <w:rPr>
          <w:rFonts w:ascii="宋体" w:hAnsi="宋体" w:eastAsia="宋体" w:cs="宋体"/>
          <w:spacing w:val="-5"/>
          <w:sz w:val="23"/>
          <w:szCs w:val="23"/>
        </w:rPr>
        <w:t>售</w:t>
      </w:r>
      <w:r>
        <w:rPr>
          <w:rFonts w:ascii="宋体" w:hAnsi="宋体" w:eastAsia="宋体" w:cs="宋体"/>
          <w:spacing w:val="-4"/>
          <w:sz w:val="23"/>
          <w:szCs w:val="23"/>
        </w:rPr>
        <w:t>砂子的废包装袋，主要成分为聚乙烯、聚丙烯，不含聚氯乙烯、医用塑料等，</w:t>
      </w:r>
      <w:r>
        <w:rPr>
          <w:rFonts w:ascii="宋体" w:hAnsi="宋体" w:eastAsia="宋体" w:cs="宋体"/>
          <w:sz w:val="23"/>
          <w:szCs w:val="23"/>
        </w:rPr>
        <w:t xml:space="preserve"> </w:t>
      </w:r>
      <w:r>
        <w:rPr>
          <w:rFonts w:ascii="宋体" w:hAnsi="宋体" w:eastAsia="宋体" w:cs="宋体"/>
          <w:spacing w:val="-4"/>
          <w:sz w:val="23"/>
          <w:szCs w:val="23"/>
        </w:rPr>
        <w:t xml:space="preserve">年加工量约为 </w:t>
      </w:r>
      <w:r>
        <w:rPr>
          <w:rFonts w:ascii="Times New Roman" w:hAnsi="Times New Roman" w:eastAsia="Times New Roman" w:cs="Times New Roman"/>
          <w:spacing w:val="-4"/>
          <w:sz w:val="23"/>
          <w:szCs w:val="23"/>
        </w:rPr>
        <w:t>51100</w:t>
      </w:r>
      <w:r>
        <w:rPr>
          <w:rFonts w:ascii="Times New Roman" w:hAnsi="Times New Roman" w:eastAsia="Times New Roman" w:cs="Times New Roman"/>
          <w:spacing w:val="-2"/>
          <w:sz w:val="23"/>
          <w:szCs w:val="23"/>
        </w:rPr>
        <w:t xml:space="preserve">t </w:t>
      </w:r>
      <w:r>
        <w:rPr>
          <w:rFonts w:ascii="宋体" w:hAnsi="宋体" w:eastAsia="宋体" w:cs="宋体"/>
          <w:spacing w:val="-2"/>
          <w:sz w:val="23"/>
          <w:szCs w:val="23"/>
        </w:rPr>
        <w:t>，原料进厂后先进行分拣，去除不可利用杂质后加热造粒成再</w:t>
      </w:r>
    </w:p>
    <w:p w14:paraId="67A5E7AC">
      <w:pPr>
        <w:sectPr>
          <w:headerReference r:id="rId92" w:type="default"/>
          <w:footerReference r:id="rId93" w:type="default"/>
          <w:pgSz w:w="11906" w:h="16839"/>
          <w:pgMar w:top="1132" w:right="1745" w:bottom="1156" w:left="1760" w:header="878" w:footer="996" w:gutter="0"/>
          <w:cols w:space="720" w:num="1"/>
        </w:sectPr>
      </w:pPr>
    </w:p>
    <w:p w14:paraId="59743A14">
      <w:pPr>
        <w:spacing w:line="368" w:lineRule="auto"/>
        <w:rPr>
          <w:rFonts w:ascii="Arial"/>
          <w:sz w:val="21"/>
        </w:rPr>
      </w:pPr>
      <w:r>
        <w:pict>
          <v:shape id="_x0000_s1137" o:spid="_x0000_s1137" style="position:absolute;left:0pt;margin-left:90pt;margin-top:57.35pt;height:0.75pt;width:415.3pt;mso-position-horizontal-relative:page;mso-position-vertical-relative:page;z-index:251770880;mso-width-relative:page;mso-height-relative:page;" fillcolor="#000000" filled="t" stroked="f" coordsize="8305,15" o:allowincell="f" path="m0,0l8305,0,8305,14,0,14,0,0xe">
            <v:path/>
            <v:fill on="t" focussize="0,0"/>
            <v:stroke on="f"/>
            <v:imagedata o:title=""/>
            <o:lock v:ext="edit"/>
          </v:shape>
        </w:pict>
      </w:r>
    </w:p>
    <w:p w14:paraId="3B4F7F23">
      <w:pPr>
        <w:spacing w:before="74" w:line="385" w:lineRule="auto"/>
        <w:ind w:left="119" w:right="107"/>
        <w:rPr>
          <w:rFonts w:ascii="宋体" w:hAnsi="宋体" w:eastAsia="宋体" w:cs="宋体"/>
          <w:sz w:val="23"/>
          <w:szCs w:val="23"/>
        </w:rPr>
      </w:pPr>
      <w:r>
        <w:rPr>
          <w:rFonts w:ascii="宋体" w:hAnsi="宋体" w:eastAsia="宋体" w:cs="宋体"/>
          <w:spacing w:val="-7"/>
          <w:sz w:val="23"/>
          <w:szCs w:val="23"/>
        </w:rPr>
        <w:t>生</w:t>
      </w:r>
      <w:r>
        <w:rPr>
          <w:rFonts w:ascii="宋体" w:hAnsi="宋体" w:eastAsia="宋体" w:cs="宋体"/>
          <w:spacing w:val="-4"/>
          <w:sz w:val="23"/>
          <w:szCs w:val="23"/>
        </w:rPr>
        <w:t xml:space="preserve">塑料颗粒产品，粒径在 </w:t>
      </w:r>
      <w:r>
        <w:rPr>
          <w:rFonts w:ascii="Times New Roman" w:hAnsi="Times New Roman" w:eastAsia="Times New Roman" w:cs="Times New Roman"/>
          <w:spacing w:val="-4"/>
          <w:sz w:val="23"/>
          <w:szCs w:val="23"/>
        </w:rPr>
        <w:t xml:space="preserve">0.7~ 1.5mm </w:t>
      </w:r>
      <w:r>
        <w:rPr>
          <w:rFonts w:ascii="宋体" w:hAnsi="宋体" w:eastAsia="宋体" w:cs="宋体"/>
          <w:spacing w:val="-4"/>
          <w:sz w:val="23"/>
          <w:szCs w:val="23"/>
        </w:rPr>
        <w:t xml:space="preserve">之间，年产量为 </w:t>
      </w:r>
      <w:r>
        <w:rPr>
          <w:rFonts w:ascii="Times New Roman" w:hAnsi="Times New Roman" w:eastAsia="Times New Roman" w:cs="Times New Roman"/>
          <w:spacing w:val="-4"/>
          <w:sz w:val="23"/>
          <w:szCs w:val="23"/>
        </w:rPr>
        <w:t>50000t</w:t>
      </w:r>
      <w:r>
        <w:rPr>
          <w:rFonts w:ascii="宋体" w:hAnsi="宋体" w:eastAsia="宋体" w:cs="宋体"/>
          <w:spacing w:val="-4"/>
          <w:sz w:val="23"/>
          <w:szCs w:val="23"/>
        </w:rPr>
        <w:t>，可用于塑料膜、再生</w:t>
      </w:r>
      <w:r>
        <w:rPr>
          <w:rFonts w:ascii="宋体" w:hAnsi="宋体" w:eastAsia="宋体" w:cs="宋体"/>
          <w:sz w:val="23"/>
          <w:szCs w:val="23"/>
        </w:rPr>
        <w:t xml:space="preserve"> </w:t>
      </w:r>
      <w:r>
        <w:rPr>
          <w:rFonts w:ascii="宋体" w:hAnsi="宋体" w:eastAsia="宋体" w:cs="宋体"/>
          <w:spacing w:val="-6"/>
          <w:sz w:val="23"/>
          <w:szCs w:val="23"/>
        </w:rPr>
        <w:t>塑料制品的</w:t>
      </w:r>
      <w:r>
        <w:rPr>
          <w:rFonts w:ascii="宋体" w:hAnsi="宋体" w:eastAsia="宋体" w:cs="宋体"/>
          <w:spacing w:val="-3"/>
          <w:sz w:val="23"/>
          <w:szCs w:val="23"/>
        </w:rPr>
        <w:t xml:space="preserve">制造。包装规格 </w:t>
      </w:r>
      <w:r>
        <w:rPr>
          <w:rFonts w:ascii="Times New Roman" w:hAnsi="Times New Roman" w:eastAsia="Times New Roman" w:cs="Times New Roman"/>
          <w:spacing w:val="-3"/>
          <w:sz w:val="23"/>
          <w:szCs w:val="23"/>
        </w:rPr>
        <w:t>25kg/</w:t>
      </w:r>
      <w:r>
        <w:rPr>
          <w:rFonts w:ascii="宋体" w:hAnsi="宋体" w:eastAsia="宋体" w:cs="宋体"/>
          <w:spacing w:val="-3"/>
          <w:sz w:val="23"/>
          <w:szCs w:val="23"/>
        </w:rPr>
        <w:t>袋，产品标准执行《聚乙烯 (</w:t>
      </w:r>
      <w:r>
        <w:rPr>
          <w:rFonts w:ascii="Times New Roman" w:hAnsi="Times New Roman" w:eastAsia="Times New Roman" w:cs="Times New Roman"/>
          <w:spacing w:val="-3"/>
          <w:sz w:val="23"/>
          <w:szCs w:val="23"/>
        </w:rPr>
        <w:t>PE</w:t>
      </w:r>
      <w:r>
        <w:rPr>
          <w:rFonts w:ascii="宋体" w:hAnsi="宋体" w:eastAsia="宋体" w:cs="宋体"/>
          <w:spacing w:val="-3"/>
          <w:sz w:val="23"/>
          <w:szCs w:val="23"/>
        </w:rPr>
        <w:t>) 树脂》  (</w:t>
      </w:r>
      <w:r>
        <w:rPr>
          <w:rFonts w:ascii="Times New Roman" w:hAnsi="Times New Roman" w:eastAsia="Times New Roman" w:cs="Times New Roman"/>
          <w:spacing w:val="-3"/>
          <w:sz w:val="23"/>
          <w:szCs w:val="23"/>
        </w:rPr>
        <w:t>GB/T</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4"/>
          <w:sz w:val="23"/>
          <w:szCs w:val="23"/>
        </w:rPr>
        <w:t>1</w:t>
      </w:r>
      <w:r>
        <w:rPr>
          <w:rFonts w:ascii="Times New Roman" w:hAnsi="Times New Roman" w:eastAsia="Times New Roman" w:cs="Times New Roman"/>
          <w:spacing w:val="-3"/>
          <w:sz w:val="23"/>
          <w:szCs w:val="23"/>
        </w:rPr>
        <w:t>115-2009</w:t>
      </w:r>
      <w:r>
        <w:rPr>
          <w:rFonts w:ascii="宋体" w:hAnsi="宋体" w:eastAsia="宋体" w:cs="宋体"/>
          <w:spacing w:val="-3"/>
          <w:sz w:val="23"/>
          <w:szCs w:val="23"/>
        </w:rPr>
        <w:t>) 、《聚丙烯 (</w:t>
      </w:r>
      <w:r>
        <w:rPr>
          <w:rFonts w:ascii="Times New Roman" w:hAnsi="Times New Roman" w:eastAsia="Times New Roman" w:cs="Times New Roman"/>
          <w:spacing w:val="-3"/>
          <w:sz w:val="23"/>
          <w:szCs w:val="23"/>
        </w:rPr>
        <w:t>PP</w:t>
      </w:r>
      <w:r>
        <w:rPr>
          <w:rFonts w:ascii="宋体" w:hAnsi="宋体" w:eastAsia="宋体" w:cs="宋体"/>
          <w:spacing w:val="-3"/>
          <w:sz w:val="23"/>
          <w:szCs w:val="23"/>
        </w:rPr>
        <w:t>) 树脂》  (</w:t>
      </w:r>
      <w:r>
        <w:rPr>
          <w:rFonts w:ascii="Times New Roman" w:hAnsi="Times New Roman" w:eastAsia="Times New Roman" w:cs="Times New Roman"/>
          <w:spacing w:val="-3"/>
          <w:sz w:val="23"/>
          <w:szCs w:val="23"/>
        </w:rPr>
        <w:t>GB/T 12670-2008</w:t>
      </w:r>
      <w:r>
        <w:rPr>
          <w:rFonts w:ascii="宋体" w:hAnsi="宋体" w:eastAsia="宋体" w:cs="宋体"/>
          <w:spacing w:val="-3"/>
          <w:sz w:val="23"/>
          <w:szCs w:val="23"/>
        </w:rPr>
        <w:t>) 。本项目主要产品方案</w:t>
      </w:r>
      <w:r>
        <w:rPr>
          <w:rFonts w:ascii="宋体" w:hAnsi="宋体" w:eastAsia="宋体" w:cs="宋体"/>
          <w:sz w:val="23"/>
          <w:szCs w:val="23"/>
        </w:rPr>
        <w:t xml:space="preserve"> </w:t>
      </w:r>
      <w:r>
        <w:rPr>
          <w:rFonts w:ascii="宋体" w:hAnsi="宋体" w:eastAsia="宋体" w:cs="宋体"/>
          <w:spacing w:val="-15"/>
          <w:sz w:val="23"/>
          <w:szCs w:val="23"/>
        </w:rPr>
        <w:t>详</w:t>
      </w:r>
      <w:r>
        <w:rPr>
          <w:rFonts w:ascii="宋体" w:hAnsi="宋体" w:eastAsia="宋体" w:cs="宋体"/>
          <w:spacing w:val="-9"/>
          <w:sz w:val="23"/>
          <w:szCs w:val="23"/>
        </w:rPr>
        <w:t xml:space="preserve">见表 </w:t>
      </w:r>
      <w:r>
        <w:rPr>
          <w:rFonts w:ascii="Times New Roman" w:hAnsi="Times New Roman" w:eastAsia="Times New Roman" w:cs="Times New Roman"/>
          <w:spacing w:val="-9"/>
          <w:sz w:val="23"/>
          <w:szCs w:val="23"/>
        </w:rPr>
        <w:t>3-4</w:t>
      </w:r>
      <w:r>
        <w:rPr>
          <w:rFonts w:ascii="宋体" w:hAnsi="宋体" w:eastAsia="宋体" w:cs="宋体"/>
          <w:spacing w:val="-9"/>
          <w:sz w:val="23"/>
          <w:szCs w:val="23"/>
        </w:rPr>
        <w:t>。</w:t>
      </w:r>
    </w:p>
    <w:p w14:paraId="48652B14">
      <w:pPr>
        <w:spacing w:before="210" w:line="227" w:lineRule="auto"/>
        <w:ind w:left="2257"/>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3-4</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项目主要产品规格及规模</w:t>
      </w:r>
    </w:p>
    <w:p w14:paraId="672AE375">
      <w:pPr>
        <w:spacing w:line="16" w:lineRule="exact"/>
      </w:pPr>
    </w:p>
    <w:tbl>
      <w:tblPr>
        <w:tblStyle w:val="4"/>
        <w:tblW w:w="8351"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1111"/>
        <w:gridCol w:w="597"/>
        <w:gridCol w:w="928"/>
        <w:gridCol w:w="1093"/>
        <w:gridCol w:w="1861"/>
        <w:gridCol w:w="1349"/>
        <w:gridCol w:w="881"/>
      </w:tblGrid>
      <w:tr w14:paraId="54225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31" w:type="dxa"/>
            <w:tcBorders>
              <w:left w:val="nil"/>
            </w:tcBorders>
            <w:vAlign w:val="top"/>
          </w:tcPr>
          <w:p w14:paraId="136C62ED">
            <w:pPr>
              <w:spacing w:before="86" w:line="229" w:lineRule="auto"/>
              <w:ind w:left="7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序</w:t>
            </w:r>
            <w:r>
              <w:rPr>
                <w:rFonts w:ascii="宋体" w:hAnsi="宋体" w:eastAsia="宋体" w:cs="宋体"/>
                <w:sz w:val="20"/>
                <w:szCs w:val="20"/>
                <w14:textOutline w14:w="3795" w14:cap="sq" w14:cmpd="sng">
                  <w14:solidFill>
                    <w14:srgbClr w14:val="000000"/>
                  </w14:solidFill>
                  <w14:prstDash w14:val="solid"/>
                  <w14:bevel/>
                </w14:textOutline>
              </w:rPr>
              <w:t>号</w:t>
            </w:r>
          </w:p>
        </w:tc>
        <w:tc>
          <w:tcPr>
            <w:tcW w:w="1111" w:type="dxa"/>
            <w:vAlign w:val="top"/>
          </w:tcPr>
          <w:p w14:paraId="1B587F28">
            <w:pPr>
              <w:spacing w:before="85" w:line="228" w:lineRule="auto"/>
              <w:ind w:left="167"/>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产品名称</w:t>
            </w:r>
          </w:p>
        </w:tc>
        <w:tc>
          <w:tcPr>
            <w:tcW w:w="597" w:type="dxa"/>
            <w:vAlign w:val="top"/>
          </w:tcPr>
          <w:p w14:paraId="4ED8A769">
            <w:pPr>
              <w:spacing w:before="85" w:line="228" w:lineRule="auto"/>
              <w:ind w:left="108"/>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规格</w:t>
            </w:r>
          </w:p>
        </w:tc>
        <w:tc>
          <w:tcPr>
            <w:tcW w:w="928" w:type="dxa"/>
            <w:vAlign w:val="top"/>
          </w:tcPr>
          <w:p w14:paraId="26C4FE53">
            <w:pPr>
              <w:spacing w:before="85" w:line="228" w:lineRule="auto"/>
              <w:ind w:left="273"/>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粒径</w:t>
            </w:r>
          </w:p>
        </w:tc>
        <w:tc>
          <w:tcPr>
            <w:tcW w:w="1093" w:type="dxa"/>
            <w:vAlign w:val="top"/>
          </w:tcPr>
          <w:p w14:paraId="13E56001">
            <w:pPr>
              <w:spacing w:before="45" w:line="289" w:lineRule="exact"/>
              <w:ind w:left="30"/>
              <w:rPr>
                <w:rFonts w:ascii="宋体" w:hAnsi="宋体" w:eastAsia="宋体" w:cs="宋体"/>
                <w:sz w:val="19"/>
                <w:szCs w:val="19"/>
              </w:rPr>
            </w:pPr>
            <w:r>
              <w:rPr>
                <w:rFonts w:ascii="宋体" w:hAnsi="宋体" w:eastAsia="宋体" w:cs="宋体"/>
                <w:spacing w:val="-9"/>
                <w:position w:val="2"/>
                <w:sz w:val="19"/>
                <w:szCs w:val="19"/>
                <w14:textOutline w14:w="3553" w14:cap="sq" w14:cmpd="sng">
                  <w14:solidFill>
                    <w14:srgbClr w14:val="000000"/>
                  </w14:solidFill>
                  <w14:prstDash w14:val="solid"/>
                  <w14:bevel/>
                </w14:textOutline>
              </w:rPr>
              <w:t>规</w:t>
            </w:r>
            <w:r>
              <w:rPr>
                <w:rFonts w:ascii="宋体" w:hAnsi="宋体" w:eastAsia="宋体" w:cs="宋体"/>
                <w:spacing w:val="-5"/>
                <w:position w:val="2"/>
                <w:sz w:val="19"/>
                <w:szCs w:val="19"/>
                <w14:textOutline w14:w="3553" w14:cap="sq" w14:cmpd="sng">
                  <w14:solidFill>
                    <w14:srgbClr w14:val="000000"/>
                  </w14:solidFill>
                  <w14:prstDash w14:val="solid"/>
                  <w14:bevel/>
                </w14:textOutline>
              </w:rPr>
              <w:t>模(吨</w:t>
            </w:r>
            <w:r>
              <w:rPr>
                <w:rFonts w:ascii="Times New Roman" w:hAnsi="Times New Roman" w:eastAsia="Times New Roman" w:cs="Times New Roman"/>
                <w:b/>
                <w:bCs/>
                <w:spacing w:val="-5"/>
                <w:position w:val="2"/>
                <w:sz w:val="19"/>
                <w:szCs w:val="19"/>
              </w:rPr>
              <w:t>/</w:t>
            </w:r>
            <w:r>
              <w:rPr>
                <w:rFonts w:ascii="宋体" w:hAnsi="宋体" w:eastAsia="宋体" w:cs="宋体"/>
                <w:spacing w:val="-5"/>
                <w:position w:val="2"/>
                <w:sz w:val="19"/>
                <w:szCs w:val="19"/>
                <w14:textOutline w14:w="3553" w14:cap="sq" w14:cmpd="sng">
                  <w14:solidFill>
                    <w14:srgbClr w14:val="000000"/>
                  </w14:solidFill>
                  <w14:prstDash w14:val="solid"/>
                  <w14:bevel/>
                </w14:textOutline>
              </w:rPr>
              <w:t>年)</w:t>
            </w:r>
          </w:p>
        </w:tc>
        <w:tc>
          <w:tcPr>
            <w:tcW w:w="1861" w:type="dxa"/>
            <w:vAlign w:val="top"/>
          </w:tcPr>
          <w:p w14:paraId="1053244C">
            <w:pPr>
              <w:spacing w:before="85" w:line="228" w:lineRule="auto"/>
              <w:ind w:left="34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产品质量</w:t>
            </w:r>
            <w:r>
              <w:rPr>
                <w:rFonts w:ascii="宋体" w:hAnsi="宋体" w:eastAsia="宋体" w:cs="宋体"/>
                <w:spacing w:val="-1"/>
                <w:sz w:val="20"/>
                <w:szCs w:val="20"/>
                <w14:textOutline w14:w="3795" w14:cap="sq" w14:cmpd="sng">
                  <w14:solidFill>
                    <w14:srgbClr w14:val="000000"/>
                  </w14:solidFill>
                  <w14:prstDash w14:val="solid"/>
                  <w14:bevel/>
                </w14:textOutline>
              </w:rPr>
              <w:t>标准</w:t>
            </w:r>
          </w:p>
        </w:tc>
        <w:tc>
          <w:tcPr>
            <w:tcW w:w="1349" w:type="dxa"/>
            <w:vAlign w:val="top"/>
          </w:tcPr>
          <w:p w14:paraId="1DE7FFF2">
            <w:pPr>
              <w:spacing w:before="86" w:line="228" w:lineRule="auto"/>
              <w:ind w:left="28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包装方式</w:t>
            </w:r>
          </w:p>
        </w:tc>
        <w:tc>
          <w:tcPr>
            <w:tcW w:w="881" w:type="dxa"/>
            <w:tcBorders>
              <w:right w:val="nil"/>
            </w:tcBorders>
            <w:vAlign w:val="top"/>
          </w:tcPr>
          <w:p w14:paraId="7DC70DFE">
            <w:pPr>
              <w:spacing w:before="86" w:line="229" w:lineRule="auto"/>
              <w:ind w:left="51"/>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运出方式</w:t>
            </w:r>
          </w:p>
        </w:tc>
      </w:tr>
      <w:tr w14:paraId="6DBB8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531" w:type="dxa"/>
            <w:tcBorders>
              <w:left w:val="nil"/>
            </w:tcBorders>
            <w:vAlign w:val="top"/>
          </w:tcPr>
          <w:p w14:paraId="02A030A3">
            <w:pPr>
              <w:spacing w:before="26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1" w:type="dxa"/>
            <w:vAlign w:val="top"/>
          </w:tcPr>
          <w:p w14:paraId="515DFAF2">
            <w:pPr>
              <w:spacing w:before="228" w:line="238" w:lineRule="auto"/>
              <w:ind w:left="38"/>
              <w:rPr>
                <w:rFonts w:ascii="宋体" w:hAnsi="宋体" w:eastAsia="宋体" w:cs="宋体"/>
                <w:sz w:val="19"/>
                <w:szCs w:val="19"/>
              </w:rPr>
            </w:pPr>
            <w:r>
              <w:rPr>
                <w:rFonts w:ascii="宋体" w:hAnsi="宋体" w:eastAsia="宋体" w:cs="宋体"/>
                <w:spacing w:val="-2"/>
                <w:sz w:val="19"/>
                <w:szCs w:val="19"/>
              </w:rPr>
              <w:t>聚</w:t>
            </w:r>
            <w:r>
              <w:rPr>
                <w:rFonts w:ascii="宋体" w:hAnsi="宋体" w:eastAsia="宋体" w:cs="宋体"/>
                <w:spacing w:val="-1"/>
                <w:sz w:val="19"/>
                <w:szCs w:val="19"/>
              </w:rPr>
              <w:t>乙烯(</w:t>
            </w:r>
            <w:r>
              <w:rPr>
                <w:rFonts w:ascii="Times New Roman" w:hAnsi="Times New Roman" w:eastAsia="Times New Roman" w:cs="Times New Roman"/>
                <w:spacing w:val="-1"/>
                <w:sz w:val="19"/>
                <w:szCs w:val="19"/>
              </w:rPr>
              <w:t>PE</w:t>
            </w:r>
            <w:r>
              <w:rPr>
                <w:rFonts w:ascii="宋体" w:hAnsi="宋体" w:eastAsia="宋体" w:cs="宋体"/>
                <w:spacing w:val="-1"/>
                <w:sz w:val="19"/>
                <w:szCs w:val="19"/>
              </w:rPr>
              <w:t>)</w:t>
            </w:r>
          </w:p>
        </w:tc>
        <w:tc>
          <w:tcPr>
            <w:tcW w:w="597" w:type="dxa"/>
            <w:vAlign w:val="top"/>
          </w:tcPr>
          <w:p w14:paraId="73D76DBB">
            <w:pPr>
              <w:spacing w:before="229" w:line="228" w:lineRule="auto"/>
              <w:ind w:left="106"/>
              <w:rPr>
                <w:rFonts w:ascii="宋体" w:hAnsi="宋体" w:eastAsia="宋体" w:cs="宋体"/>
                <w:sz w:val="20"/>
                <w:szCs w:val="20"/>
              </w:rPr>
            </w:pPr>
            <w:r>
              <w:rPr>
                <w:rFonts w:ascii="宋体" w:hAnsi="宋体" w:eastAsia="宋体" w:cs="宋体"/>
                <w:spacing w:val="1"/>
                <w:sz w:val="20"/>
                <w:szCs w:val="20"/>
              </w:rPr>
              <w:t>颗</w:t>
            </w:r>
            <w:r>
              <w:rPr>
                <w:rFonts w:ascii="宋体" w:hAnsi="宋体" w:eastAsia="宋体" w:cs="宋体"/>
                <w:sz w:val="20"/>
                <w:szCs w:val="20"/>
              </w:rPr>
              <w:t>粒</w:t>
            </w:r>
          </w:p>
        </w:tc>
        <w:tc>
          <w:tcPr>
            <w:tcW w:w="928" w:type="dxa"/>
            <w:vAlign w:val="top"/>
          </w:tcPr>
          <w:p w14:paraId="2581B3E7">
            <w:pPr>
              <w:spacing w:before="265" w:line="195" w:lineRule="auto"/>
              <w:ind w:left="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r>
              <w:rPr>
                <w:rFonts w:ascii="Times New Roman" w:hAnsi="Times New Roman" w:eastAsia="Times New Roman" w:cs="Times New Roman"/>
                <w:spacing w:val="-1"/>
                <w:sz w:val="20"/>
                <w:szCs w:val="20"/>
              </w:rPr>
              <w:t>5mm</w:t>
            </w:r>
          </w:p>
        </w:tc>
        <w:tc>
          <w:tcPr>
            <w:tcW w:w="1093" w:type="dxa"/>
            <w:vAlign w:val="top"/>
          </w:tcPr>
          <w:p w14:paraId="044BACD7">
            <w:pPr>
              <w:spacing w:before="264"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250</w:t>
            </w:r>
            <w:r>
              <w:rPr>
                <w:rFonts w:ascii="Times New Roman" w:hAnsi="Times New Roman" w:eastAsia="Times New Roman" w:cs="Times New Roman"/>
                <w:sz w:val="20"/>
                <w:szCs w:val="20"/>
              </w:rPr>
              <w:t>00</w:t>
            </w:r>
          </w:p>
        </w:tc>
        <w:tc>
          <w:tcPr>
            <w:tcW w:w="1861" w:type="dxa"/>
            <w:vAlign w:val="top"/>
          </w:tcPr>
          <w:p w14:paraId="365B7876">
            <w:pPr>
              <w:spacing w:before="64" w:line="279" w:lineRule="auto"/>
              <w:ind w:left="42" w:hanging="6"/>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9"/>
                <w:sz w:val="20"/>
                <w:szCs w:val="20"/>
              </w:rPr>
              <w:t>聚乙烯(</w:t>
            </w:r>
            <w:r>
              <w:rPr>
                <w:rFonts w:ascii="Times New Roman" w:hAnsi="Times New Roman" w:eastAsia="Times New Roman" w:cs="Times New Roman"/>
                <w:spacing w:val="-9"/>
                <w:sz w:val="20"/>
                <w:szCs w:val="20"/>
              </w:rPr>
              <w:t>PE</w:t>
            </w:r>
            <w:r>
              <w:rPr>
                <w:rFonts w:ascii="宋体" w:hAnsi="宋体" w:eastAsia="宋体" w:cs="宋体"/>
                <w:spacing w:val="-9"/>
                <w:sz w:val="20"/>
                <w:szCs w:val="20"/>
              </w:rPr>
              <w:t>) 树脂》</w:t>
            </w:r>
            <w:r>
              <w:rPr>
                <w:rFonts w:ascii="宋体" w:hAnsi="宋体" w:eastAsia="宋体" w:cs="宋体"/>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
                <w:sz w:val="20"/>
                <w:szCs w:val="20"/>
              </w:rPr>
              <w:t xml:space="preserve"> 1111</w:t>
            </w:r>
            <w:r>
              <w:rPr>
                <w:rFonts w:ascii="Times New Roman" w:hAnsi="Times New Roman" w:eastAsia="Times New Roman" w:cs="Times New Roman"/>
                <w:sz w:val="20"/>
                <w:szCs w:val="20"/>
              </w:rPr>
              <w:t>5-2009</w:t>
            </w:r>
            <w:r>
              <w:rPr>
                <w:rFonts w:ascii="宋体" w:hAnsi="宋体" w:eastAsia="宋体" w:cs="宋体"/>
                <w:sz w:val="20"/>
                <w:szCs w:val="20"/>
              </w:rPr>
              <w:t>)</w:t>
            </w:r>
          </w:p>
        </w:tc>
        <w:tc>
          <w:tcPr>
            <w:tcW w:w="1349" w:type="dxa"/>
            <w:vAlign w:val="top"/>
          </w:tcPr>
          <w:p w14:paraId="6DA62869">
            <w:pPr>
              <w:spacing w:before="191" w:line="281" w:lineRule="exact"/>
              <w:ind w:left="66"/>
              <w:rPr>
                <w:rFonts w:ascii="宋体" w:hAnsi="宋体" w:eastAsia="宋体" w:cs="宋体"/>
                <w:sz w:val="20"/>
                <w:szCs w:val="20"/>
              </w:rPr>
            </w:pPr>
            <w:r>
              <w:rPr>
                <w:rFonts w:ascii="宋体" w:hAnsi="宋体" w:eastAsia="宋体" w:cs="宋体"/>
                <w:spacing w:val="-4"/>
                <w:position w:val="2"/>
                <w:sz w:val="20"/>
                <w:szCs w:val="20"/>
              </w:rPr>
              <w:t>袋</w:t>
            </w:r>
            <w:r>
              <w:rPr>
                <w:rFonts w:ascii="宋体" w:hAnsi="宋体" w:eastAsia="宋体" w:cs="宋体"/>
                <w:spacing w:val="-3"/>
                <w:position w:val="2"/>
                <w:sz w:val="20"/>
                <w:szCs w:val="20"/>
              </w:rPr>
              <w:t>装</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25kg/</w:t>
            </w:r>
            <w:r>
              <w:rPr>
                <w:rFonts w:ascii="宋体" w:hAnsi="宋体" w:eastAsia="宋体" w:cs="宋体"/>
                <w:spacing w:val="-2"/>
                <w:position w:val="2"/>
                <w:sz w:val="20"/>
                <w:szCs w:val="20"/>
              </w:rPr>
              <w:t>袋</w:t>
            </w:r>
          </w:p>
        </w:tc>
        <w:tc>
          <w:tcPr>
            <w:tcW w:w="881" w:type="dxa"/>
            <w:tcBorders>
              <w:right w:val="nil"/>
            </w:tcBorders>
            <w:vAlign w:val="top"/>
          </w:tcPr>
          <w:p w14:paraId="75AE71BA">
            <w:pPr>
              <w:spacing w:before="228" w:line="228" w:lineRule="auto"/>
              <w:ind w:left="53"/>
              <w:rPr>
                <w:rFonts w:ascii="宋体" w:hAnsi="宋体" w:eastAsia="宋体" w:cs="宋体"/>
                <w:sz w:val="20"/>
                <w:szCs w:val="20"/>
              </w:rPr>
            </w:pPr>
            <w:r>
              <w:rPr>
                <w:rFonts w:ascii="宋体" w:hAnsi="宋体" w:eastAsia="宋体" w:cs="宋体"/>
                <w:spacing w:val="-2"/>
                <w:sz w:val="20"/>
                <w:szCs w:val="20"/>
              </w:rPr>
              <w:t>汽车</w:t>
            </w:r>
            <w:r>
              <w:rPr>
                <w:rFonts w:ascii="宋体" w:hAnsi="宋体" w:eastAsia="宋体" w:cs="宋体"/>
                <w:spacing w:val="-1"/>
                <w:sz w:val="20"/>
                <w:szCs w:val="20"/>
              </w:rPr>
              <w:t>运输</w:t>
            </w:r>
          </w:p>
        </w:tc>
      </w:tr>
      <w:tr w14:paraId="50179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31" w:type="dxa"/>
            <w:tcBorders>
              <w:left w:val="nil"/>
            </w:tcBorders>
            <w:vAlign w:val="top"/>
          </w:tcPr>
          <w:p w14:paraId="7CCF927A">
            <w:pPr>
              <w:spacing w:before="26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1" w:type="dxa"/>
            <w:vAlign w:val="top"/>
          </w:tcPr>
          <w:p w14:paraId="30A13DF0">
            <w:pPr>
              <w:spacing w:before="231" w:line="238" w:lineRule="auto"/>
              <w:ind w:left="38"/>
              <w:rPr>
                <w:rFonts w:ascii="宋体" w:hAnsi="宋体" w:eastAsia="宋体" w:cs="宋体"/>
                <w:sz w:val="19"/>
                <w:szCs w:val="19"/>
              </w:rPr>
            </w:pPr>
            <w:r>
              <w:rPr>
                <w:rFonts w:ascii="宋体" w:hAnsi="宋体" w:eastAsia="宋体" w:cs="宋体"/>
                <w:spacing w:val="-16"/>
                <w:sz w:val="19"/>
                <w:szCs w:val="19"/>
              </w:rPr>
              <w:t>聚</w:t>
            </w:r>
            <w:r>
              <w:rPr>
                <w:rFonts w:ascii="宋体" w:hAnsi="宋体" w:eastAsia="宋体" w:cs="宋体"/>
                <w:spacing w:val="-11"/>
                <w:sz w:val="19"/>
                <w:szCs w:val="19"/>
              </w:rPr>
              <w:t>丙烯 (</w:t>
            </w:r>
            <w:r>
              <w:rPr>
                <w:rFonts w:ascii="Times New Roman" w:hAnsi="Times New Roman" w:eastAsia="Times New Roman" w:cs="Times New Roman"/>
                <w:spacing w:val="-11"/>
                <w:sz w:val="19"/>
                <w:szCs w:val="19"/>
              </w:rPr>
              <w:t>PP</w:t>
            </w:r>
            <w:r>
              <w:rPr>
                <w:rFonts w:ascii="宋体" w:hAnsi="宋体" w:eastAsia="宋体" w:cs="宋体"/>
                <w:spacing w:val="-11"/>
                <w:sz w:val="19"/>
                <w:szCs w:val="19"/>
              </w:rPr>
              <w:t>)</w:t>
            </w:r>
          </w:p>
        </w:tc>
        <w:tc>
          <w:tcPr>
            <w:tcW w:w="597" w:type="dxa"/>
            <w:vAlign w:val="top"/>
          </w:tcPr>
          <w:p w14:paraId="21787F2F">
            <w:pPr>
              <w:spacing w:before="232" w:line="228" w:lineRule="auto"/>
              <w:ind w:left="106"/>
              <w:rPr>
                <w:rFonts w:ascii="宋体" w:hAnsi="宋体" w:eastAsia="宋体" w:cs="宋体"/>
                <w:sz w:val="20"/>
                <w:szCs w:val="20"/>
              </w:rPr>
            </w:pPr>
            <w:r>
              <w:rPr>
                <w:rFonts w:ascii="宋体" w:hAnsi="宋体" w:eastAsia="宋体" w:cs="宋体"/>
                <w:spacing w:val="1"/>
                <w:sz w:val="20"/>
                <w:szCs w:val="20"/>
              </w:rPr>
              <w:t>颗</w:t>
            </w:r>
            <w:r>
              <w:rPr>
                <w:rFonts w:ascii="宋体" w:hAnsi="宋体" w:eastAsia="宋体" w:cs="宋体"/>
                <w:sz w:val="20"/>
                <w:szCs w:val="20"/>
              </w:rPr>
              <w:t>粒</w:t>
            </w:r>
          </w:p>
        </w:tc>
        <w:tc>
          <w:tcPr>
            <w:tcW w:w="928" w:type="dxa"/>
            <w:vAlign w:val="top"/>
          </w:tcPr>
          <w:p w14:paraId="5FBE2D9D">
            <w:pPr>
              <w:spacing w:before="268" w:line="195" w:lineRule="auto"/>
              <w:ind w:left="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r>
              <w:rPr>
                <w:rFonts w:ascii="Times New Roman" w:hAnsi="Times New Roman" w:eastAsia="Times New Roman" w:cs="Times New Roman"/>
                <w:spacing w:val="-1"/>
                <w:sz w:val="20"/>
                <w:szCs w:val="20"/>
              </w:rPr>
              <w:t>5mm</w:t>
            </w:r>
          </w:p>
        </w:tc>
        <w:tc>
          <w:tcPr>
            <w:tcW w:w="1093" w:type="dxa"/>
            <w:vAlign w:val="top"/>
          </w:tcPr>
          <w:p w14:paraId="7556EA25">
            <w:pPr>
              <w:spacing w:before="26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250</w:t>
            </w:r>
            <w:r>
              <w:rPr>
                <w:rFonts w:ascii="Times New Roman" w:hAnsi="Times New Roman" w:eastAsia="Times New Roman" w:cs="Times New Roman"/>
                <w:sz w:val="20"/>
                <w:szCs w:val="20"/>
              </w:rPr>
              <w:t>00</w:t>
            </w:r>
          </w:p>
        </w:tc>
        <w:tc>
          <w:tcPr>
            <w:tcW w:w="1861" w:type="dxa"/>
            <w:vAlign w:val="top"/>
          </w:tcPr>
          <w:p w14:paraId="29F113B7">
            <w:pPr>
              <w:spacing w:before="66" w:line="284" w:lineRule="auto"/>
              <w:ind w:left="42" w:hanging="6"/>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5"/>
                <w:sz w:val="20"/>
                <w:szCs w:val="20"/>
              </w:rPr>
              <w:t>聚丙烯 (</w:t>
            </w:r>
            <w:r>
              <w:rPr>
                <w:rFonts w:ascii="Times New Roman" w:hAnsi="Times New Roman" w:eastAsia="Times New Roman" w:cs="Times New Roman"/>
                <w:spacing w:val="-15"/>
                <w:sz w:val="20"/>
                <w:szCs w:val="20"/>
              </w:rPr>
              <w:t>PP</w:t>
            </w:r>
            <w:r>
              <w:rPr>
                <w:rFonts w:ascii="宋体" w:hAnsi="宋体" w:eastAsia="宋体" w:cs="宋体"/>
                <w:spacing w:val="-15"/>
                <w:sz w:val="20"/>
                <w:szCs w:val="20"/>
              </w:rPr>
              <w:t>) 树脂》</w:t>
            </w:r>
            <w:r>
              <w:rPr>
                <w:rFonts w:ascii="宋体" w:hAnsi="宋体" w:eastAsia="宋体" w:cs="宋体"/>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
                <w:sz w:val="20"/>
                <w:szCs w:val="20"/>
              </w:rPr>
              <w:t xml:space="preserve"> 1267</w:t>
            </w:r>
            <w:r>
              <w:rPr>
                <w:rFonts w:ascii="Times New Roman" w:hAnsi="Times New Roman" w:eastAsia="Times New Roman" w:cs="Times New Roman"/>
                <w:sz w:val="20"/>
                <w:szCs w:val="20"/>
              </w:rPr>
              <w:t>0-2008</w:t>
            </w:r>
            <w:r>
              <w:rPr>
                <w:rFonts w:ascii="宋体" w:hAnsi="宋体" w:eastAsia="宋体" w:cs="宋体"/>
                <w:sz w:val="20"/>
                <w:szCs w:val="20"/>
              </w:rPr>
              <w:t>)</w:t>
            </w:r>
          </w:p>
        </w:tc>
        <w:tc>
          <w:tcPr>
            <w:tcW w:w="1349" w:type="dxa"/>
            <w:vAlign w:val="top"/>
          </w:tcPr>
          <w:p w14:paraId="198349CD">
            <w:pPr>
              <w:spacing w:before="194" w:line="281" w:lineRule="exact"/>
              <w:ind w:left="66"/>
              <w:rPr>
                <w:rFonts w:ascii="宋体" w:hAnsi="宋体" w:eastAsia="宋体" w:cs="宋体"/>
                <w:sz w:val="20"/>
                <w:szCs w:val="20"/>
              </w:rPr>
            </w:pPr>
            <w:r>
              <w:rPr>
                <w:rFonts w:ascii="宋体" w:hAnsi="宋体" w:eastAsia="宋体" w:cs="宋体"/>
                <w:spacing w:val="-4"/>
                <w:position w:val="2"/>
                <w:sz w:val="20"/>
                <w:szCs w:val="20"/>
              </w:rPr>
              <w:t>袋</w:t>
            </w:r>
            <w:r>
              <w:rPr>
                <w:rFonts w:ascii="宋体" w:hAnsi="宋体" w:eastAsia="宋体" w:cs="宋体"/>
                <w:spacing w:val="-3"/>
                <w:position w:val="2"/>
                <w:sz w:val="20"/>
                <w:szCs w:val="20"/>
              </w:rPr>
              <w:t>装</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25kg/</w:t>
            </w:r>
            <w:r>
              <w:rPr>
                <w:rFonts w:ascii="宋体" w:hAnsi="宋体" w:eastAsia="宋体" w:cs="宋体"/>
                <w:spacing w:val="-2"/>
                <w:position w:val="2"/>
                <w:sz w:val="20"/>
                <w:szCs w:val="20"/>
              </w:rPr>
              <w:t>袋</w:t>
            </w:r>
          </w:p>
        </w:tc>
        <w:tc>
          <w:tcPr>
            <w:tcW w:w="881" w:type="dxa"/>
            <w:tcBorders>
              <w:right w:val="nil"/>
            </w:tcBorders>
            <w:vAlign w:val="top"/>
          </w:tcPr>
          <w:p w14:paraId="6C488F30">
            <w:pPr>
              <w:spacing w:before="231" w:line="228" w:lineRule="auto"/>
              <w:ind w:left="53"/>
              <w:rPr>
                <w:rFonts w:ascii="宋体" w:hAnsi="宋体" w:eastAsia="宋体" w:cs="宋体"/>
                <w:sz w:val="20"/>
                <w:szCs w:val="20"/>
              </w:rPr>
            </w:pPr>
            <w:r>
              <w:rPr>
                <w:rFonts w:ascii="宋体" w:hAnsi="宋体" w:eastAsia="宋体" w:cs="宋体"/>
                <w:spacing w:val="-2"/>
                <w:sz w:val="20"/>
                <w:szCs w:val="20"/>
              </w:rPr>
              <w:t>汽车</w:t>
            </w:r>
            <w:r>
              <w:rPr>
                <w:rFonts w:ascii="宋体" w:hAnsi="宋体" w:eastAsia="宋体" w:cs="宋体"/>
                <w:spacing w:val="-1"/>
                <w:sz w:val="20"/>
                <w:szCs w:val="20"/>
              </w:rPr>
              <w:t>运输</w:t>
            </w:r>
          </w:p>
        </w:tc>
      </w:tr>
    </w:tbl>
    <w:p w14:paraId="29FA7A92">
      <w:pPr>
        <w:spacing w:line="267" w:lineRule="auto"/>
        <w:rPr>
          <w:rFonts w:ascii="Arial"/>
          <w:sz w:val="21"/>
        </w:rPr>
      </w:pPr>
    </w:p>
    <w:p w14:paraId="71D39216">
      <w:pPr>
        <w:spacing w:before="76" w:line="390" w:lineRule="auto"/>
        <w:ind w:left="118" w:right="110" w:firstLine="482"/>
        <w:rPr>
          <w:rFonts w:ascii="宋体" w:hAnsi="宋体" w:eastAsia="宋体" w:cs="宋体"/>
          <w:sz w:val="23"/>
          <w:szCs w:val="23"/>
        </w:rPr>
      </w:pPr>
      <w:r>
        <w:rPr>
          <w:rFonts w:ascii="宋体" w:hAnsi="宋体" w:eastAsia="宋体" w:cs="宋体"/>
          <w:spacing w:val="-1"/>
          <w:sz w:val="23"/>
          <w:szCs w:val="23"/>
        </w:rPr>
        <w:t>该项目再生塑料颗粒产</w:t>
      </w:r>
      <w:r>
        <w:rPr>
          <w:rFonts w:ascii="宋体" w:hAnsi="宋体" w:eastAsia="宋体" w:cs="宋体"/>
          <w:sz w:val="23"/>
          <w:szCs w:val="23"/>
        </w:rPr>
        <w:t xml:space="preserve">品主要用于生产非食品类包装袋、塑料玩具、模型、电 </w:t>
      </w:r>
      <w:r>
        <w:rPr>
          <w:rFonts w:ascii="宋体" w:hAnsi="宋体" w:eastAsia="宋体" w:cs="宋体"/>
          <w:spacing w:val="1"/>
          <w:sz w:val="23"/>
          <w:szCs w:val="23"/>
        </w:rPr>
        <w:t>动车塑料零件，不用于制作直</w:t>
      </w:r>
      <w:r>
        <w:rPr>
          <w:rFonts w:ascii="宋体" w:hAnsi="宋体" w:eastAsia="宋体" w:cs="宋体"/>
          <w:sz w:val="23"/>
          <w:szCs w:val="23"/>
        </w:rPr>
        <w:t xml:space="preserve">接接触食品的包装、制品或材料，如食品包装袋、矿 </w:t>
      </w:r>
      <w:r>
        <w:rPr>
          <w:rFonts w:ascii="宋体" w:hAnsi="宋体" w:eastAsia="宋体" w:cs="宋体"/>
          <w:spacing w:val="1"/>
          <w:sz w:val="23"/>
          <w:szCs w:val="23"/>
        </w:rPr>
        <w:t>泉水瓶等。本评价要求建设单</w:t>
      </w:r>
      <w:r>
        <w:rPr>
          <w:rFonts w:ascii="宋体" w:hAnsi="宋体" w:eastAsia="宋体" w:cs="宋体"/>
          <w:sz w:val="23"/>
          <w:szCs w:val="23"/>
        </w:rPr>
        <w:t xml:space="preserve">位在项目运行过程中加强生产管理，严格控制产品去 </w:t>
      </w:r>
      <w:r>
        <w:rPr>
          <w:rFonts w:ascii="宋体" w:hAnsi="宋体" w:eastAsia="宋体" w:cs="宋体"/>
          <w:spacing w:val="-3"/>
          <w:sz w:val="23"/>
          <w:szCs w:val="23"/>
        </w:rPr>
        <w:t>向，以保证产品去向安全、可靠</w:t>
      </w:r>
      <w:r>
        <w:rPr>
          <w:rFonts w:ascii="宋体" w:hAnsi="宋体" w:eastAsia="宋体" w:cs="宋体"/>
          <w:spacing w:val="-2"/>
          <w:sz w:val="23"/>
          <w:szCs w:val="23"/>
        </w:rPr>
        <w:t>。</w:t>
      </w:r>
    </w:p>
    <w:p w14:paraId="0E93FBF9">
      <w:pPr>
        <w:spacing w:before="95" w:line="225" w:lineRule="auto"/>
        <w:ind w:left="112"/>
        <w:outlineLvl w:val="2"/>
        <w:rPr>
          <w:rFonts w:ascii="宋体" w:hAnsi="宋体" w:eastAsia="宋体" w:cs="宋体"/>
          <w:sz w:val="29"/>
          <w:szCs w:val="29"/>
        </w:rPr>
      </w:pPr>
      <w:r>
        <w:rPr>
          <w:rFonts w:ascii="Times New Roman" w:hAnsi="Times New Roman" w:eastAsia="Times New Roman" w:cs="Times New Roman"/>
          <w:b/>
          <w:bCs/>
          <w:spacing w:val="-2"/>
          <w:sz w:val="29"/>
          <w:szCs w:val="29"/>
        </w:rPr>
        <w:t>3.1.4</w:t>
      </w:r>
      <w:r>
        <w:rPr>
          <w:rFonts w:ascii="Times New Roman" w:hAnsi="Times New Roman" w:eastAsia="Times New Roman" w:cs="Times New Roman"/>
          <w:spacing w:val="-2"/>
          <w:sz w:val="29"/>
          <w:szCs w:val="29"/>
        </w:rPr>
        <w:t xml:space="preserve">  </w:t>
      </w:r>
      <w:r>
        <w:rPr>
          <w:rFonts w:ascii="宋体" w:hAnsi="宋体" w:eastAsia="宋体" w:cs="宋体"/>
          <w:spacing w:val="-2"/>
          <w:sz w:val="29"/>
          <w:szCs w:val="29"/>
          <w14:textOutline w14:w="5448" w14:cap="sq" w14:cmpd="sng">
            <w14:solidFill>
              <w14:srgbClr w14:val="000000"/>
            </w14:solidFill>
            <w14:prstDash w14:val="solid"/>
            <w14:bevel/>
          </w14:textOutline>
        </w:rPr>
        <w:t>原</w:t>
      </w:r>
      <w:r>
        <w:rPr>
          <w:rFonts w:ascii="宋体" w:hAnsi="宋体" w:eastAsia="宋体" w:cs="宋体"/>
          <w:spacing w:val="-1"/>
          <w:sz w:val="29"/>
          <w:szCs w:val="29"/>
          <w14:textOutline w14:w="5448" w14:cap="sq" w14:cmpd="sng">
            <w14:solidFill>
              <w14:srgbClr w14:val="000000"/>
            </w14:solidFill>
            <w14:prstDash w14:val="solid"/>
            <w14:bevel/>
          </w14:textOutline>
        </w:rPr>
        <w:t>辅材料及能源消耗</w:t>
      </w:r>
    </w:p>
    <w:p w14:paraId="775DC00E">
      <w:pPr>
        <w:spacing w:line="268" w:lineRule="auto"/>
        <w:rPr>
          <w:rFonts w:ascii="Arial"/>
          <w:sz w:val="21"/>
        </w:rPr>
      </w:pPr>
    </w:p>
    <w:p w14:paraId="08185872">
      <w:pPr>
        <w:spacing w:before="75" w:line="387" w:lineRule="auto"/>
        <w:ind w:left="116" w:right="62" w:firstLine="499"/>
        <w:rPr>
          <w:rFonts w:ascii="宋体" w:hAnsi="宋体" w:eastAsia="宋体" w:cs="宋体"/>
          <w:sz w:val="23"/>
          <w:szCs w:val="23"/>
        </w:rPr>
      </w:pPr>
      <w:r>
        <w:rPr>
          <w:rFonts w:ascii="宋体" w:hAnsi="宋体" w:eastAsia="宋体" w:cs="宋体"/>
          <w:spacing w:val="6"/>
          <w:sz w:val="23"/>
          <w:szCs w:val="23"/>
        </w:rPr>
        <w:t>因不同废弃编织袋产污不同，根据与建设单位沟通了解，该项目所用原料</w:t>
      </w:r>
      <w:r>
        <w:rPr>
          <w:rFonts w:ascii="宋体" w:hAnsi="宋体" w:eastAsia="宋体" w:cs="宋体"/>
          <w:spacing w:val="1"/>
          <w:sz w:val="23"/>
          <w:szCs w:val="23"/>
        </w:rPr>
        <w:t>为</w:t>
      </w:r>
      <w:r>
        <w:rPr>
          <w:rFonts w:ascii="宋体" w:hAnsi="宋体" w:eastAsia="宋体" w:cs="宋体"/>
          <w:sz w:val="23"/>
          <w:szCs w:val="23"/>
        </w:rPr>
        <w:t xml:space="preserve"> </w:t>
      </w:r>
      <w:r>
        <w:rPr>
          <w:rFonts w:ascii="宋体" w:hAnsi="宋体" w:eastAsia="宋体" w:cs="宋体"/>
          <w:spacing w:val="1"/>
          <w:sz w:val="23"/>
          <w:szCs w:val="23"/>
        </w:rPr>
        <w:t>废塑料编织袋，均外购于本溪宏远</w:t>
      </w:r>
      <w:r>
        <w:rPr>
          <w:rFonts w:ascii="宋体" w:hAnsi="宋体" w:eastAsia="宋体" w:cs="宋体"/>
          <w:sz w:val="23"/>
          <w:szCs w:val="23"/>
        </w:rPr>
        <w:t xml:space="preserve">集团北台再生资源有限责任公司及平山区利安建 </w:t>
      </w:r>
      <w:r>
        <w:rPr>
          <w:rFonts w:ascii="宋体" w:hAnsi="宋体" w:eastAsia="宋体" w:cs="宋体"/>
          <w:spacing w:val="1"/>
          <w:sz w:val="23"/>
          <w:szCs w:val="23"/>
        </w:rPr>
        <w:t>材城，为本溪宏远集团北台再生资</w:t>
      </w:r>
      <w:r>
        <w:rPr>
          <w:rFonts w:ascii="宋体" w:hAnsi="宋体" w:eastAsia="宋体" w:cs="宋体"/>
          <w:sz w:val="23"/>
          <w:szCs w:val="23"/>
        </w:rPr>
        <w:t xml:space="preserve">源有限责任公司收购北台钢铁 (集团) 有限责任 </w:t>
      </w:r>
      <w:r>
        <w:rPr>
          <w:rFonts w:ascii="宋体" w:hAnsi="宋体" w:eastAsia="宋体" w:cs="宋体"/>
          <w:spacing w:val="7"/>
          <w:sz w:val="23"/>
          <w:szCs w:val="23"/>
        </w:rPr>
        <w:t>公司所用原料合金铁及铝锭的废包装袋及平山区利安建材城所销售砂子的废包装</w:t>
      </w:r>
      <w:r>
        <w:rPr>
          <w:rFonts w:ascii="宋体" w:hAnsi="宋体" w:eastAsia="宋体" w:cs="宋体"/>
          <w:sz w:val="23"/>
          <w:szCs w:val="23"/>
        </w:rPr>
        <w:t xml:space="preserve"> </w:t>
      </w:r>
      <w:r>
        <w:rPr>
          <w:rFonts w:ascii="宋体" w:hAnsi="宋体" w:eastAsia="宋体" w:cs="宋体"/>
          <w:spacing w:val="2"/>
          <w:sz w:val="23"/>
          <w:szCs w:val="23"/>
        </w:rPr>
        <w:t>袋，主要成分为聚乙烯、聚丙烯。该项目原料入场前均经过</w:t>
      </w:r>
      <w:r>
        <w:rPr>
          <w:rFonts w:ascii="宋体" w:hAnsi="宋体" w:eastAsia="宋体" w:cs="宋体"/>
          <w:spacing w:val="1"/>
          <w:sz w:val="23"/>
          <w:szCs w:val="23"/>
        </w:rPr>
        <w:t>检验筛选，严格把关，</w:t>
      </w:r>
      <w:r>
        <w:rPr>
          <w:rFonts w:ascii="宋体" w:hAnsi="宋体" w:eastAsia="宋体" w:cs="宋体"/>
          <w:sz w:val="23"/>
          <w:szCs w:val="23"/>
        </w:rPr>
        <w:t xml:space="preserve"> </w:t>
      </w:r>
      <w:r>
        <w:rPr>
          <w:rFonts w:ascii="宋体" w:hAnsi="宋体" w:eastAsia="宋体" w:cs="宋体"/>
          <w:spacing w:val="16"/>
          <w:sz w:val="23"/>
          <w:szCs w:val="23"/>
        </w:rPr>
        <w:t>禁</w:t>
      </w:r>
      <w:r>
        <w:rPr>
          <w:rFonts w:ascii="宋体" w:hAnsi="宋体" w:eastAsia="宋体" w:cs="宋体"/>
          <w:spacing w:val="12"/>
          <w:sz w:val="23"/>
          <w:szCs w:val="23"/>
        </w:rPr>
        <w:t>止</w:t>
      </w:r>
      <w:r>
        <w:rPr>
          <w:rFonts w:ascii="宋体" w:hAnsi="宋体" w:eastAsia="宋体" w:cs="宋体"/>
          <w:spacing w:val="8"/>
          <w:sz w:val="23"/>
          <w:szCs w:val="23"/>
        </w:rPr>
        <w:t>企业回收和再生利用属于受到危险化学品、农药等污染的废弃塑料包装物、</w:t>
      </w:r>
      <w:r>
        <w:rPr>
          <w:rFonts w:ascii="宋体" w:hAnsi="宋体" w:eastAsia="宋体" w:cs="宋体"/>
          <w:sz w:val="23"/>
          <w:szCs w:val="23"/>
        </w:rPr>
        <w:t xml:space="preserve"> </w:t>
      </w:r>
      <w:r>
        <w:rPr>
          <w:rFonts w:ascii="宋体" w:hAnsi="宋体" w:eastAsia="宋体" w:cs="宋体"/>
          <w:spacing w:val="12"/>
          <w:sz w:val="23"/>
          <w:szCs w:val="23"/>
        </w:rPr>
        <w:t>废弃一</w:t>
      </w:r>
      <w:r>
        <w:rPr>
          <w:rFonts w:ascii="宋体" w:hAnsi="宋体" w:eastAsia="宋体" w:cs="宋体"/>
          <w:spacing w:val="11"/>
          <w:sz w:val="23"/>
          <w:szCs w:val="23"/>
        </w:rPr>
        <w:t>次</w:t>
      </w:r>
      <w:r>
        <w:rPr>
          <w:rFonts w:ascii="宋体" w:hAnsi="宋体" w:eastAsia="宋体" w:cs="宋体"/>
          <w:spacing w:val="6"/>
          <w:sz w:val="23"/>
          <w:szCs w:val="23"/>
        </w:rPr>
        <w:t>性医疗用塑料制品等塑料类危险废物，以及氟塑料等特种工程塑料。该</w:t>
      </w:r>
      <w:r>
        <w:rPr>
          <w:rFonts w:ascii="宋体" w:hAnsi="宋体" w:eastAsia="宋体" w:cs="宋体"/>
          <w:sz w:val="23"/>
          <w:szCs w:val="23"/>
        </w:rPr>
        <w:t xml:space="preserve"> </w:t>
      </w:r>
      <w:r>
        <w:rPr>
          <w:rFonts w:ascii="宋体" w:hAnsi="宋体" w:eastAsia="宋体" w:cs="宋体"/>
          <w:spacing w:val="2"/>
          <w:sz w:val="23"/>
          <w:szCs w:val="23"/>
        </w:rPr>
        <w:t xml:space="preserve">项目主要原辅材料消耗情况见表 </w:t>
      </w:r>
      <w:r>
        <w:rPr>
          <w:rFonts w:ascii="Times New Roman" w:hAnsi="Times New Roman" w:eastAsia="Times New Roman" w:cs="Times New Roman"/>
          <w:spacing w:val="1"/>
          <w:sz w:val="23"/>
          <w:szCs w:val="23"/>
        </w:rPr>
        <w:t xml:space="preserve">3-5 </w:t>
      </w:r>
      <w:r>
        <w:rPr>
          <w:rFonts w:ascii="宋体" w:hAnsi="宋体" w:eastAsia="宋体" w:cs="宋体"/>
          <w:spacing w:val="1"/>
          <w:sz w:val="23"/>
          <w:szCs w:val="23"/>
        </w:rPr>
        <w:t xml:space="preserve">，原料理化性质见表 </w:t>
      </w:r>
      <w:r>
        <w:rPr>
          <w:rFonts w:ascii="Times New Roman" w:hAnsi="Times New Roman" w:eastAsia="Times New Roman" w:cs="Times New Roman"/>
          <w:spacing w:val="1"/>
          <w:sz w:val="23"/>
          <w:szCs w:val="23"/>
        </w:rPr>
        <w:t>3-6</w:t>
      </w:r>
      <w:r>
        <w:rPr>
          <w:rFonts w:ascii="宋体" w:hAnsi="宋体" w:eastAsia="宋体" w:cs="宋体"/>
          <w:spacing w:val="1"/>
          <w:sz w:val="23"/>
          <w:szCs w:val="23"/>
        </w:rPr>
        <w:t>。</w:t>
      </w:r>
    </w:p>
    <w:p w14:paraId="67189B2C">
      <w:pPr>
        <w:spacing w:before="150" w:line="227" w:lineRule="auto"/>
        <w:ind w:left="251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3-5</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项目原料消耗量一览表</w:t>
      </w:r>
    </w:p>
    <w:p w14:paraId="3210C44E">
      <w:pPr>
        <w:spacing w:line="18"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133"/>
        <w:gridCol w:w="3534"/>
        <w:gridCol w:w="853"/>
        <w:gridCol w:w="1899"/>
      </w:tblGrid>
      <w:tr w14:paraId="125B7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3" w:type="dxa"/>
            <w:tcBorders>
              <w:left w:val="nil"/>
            </w:tcBorders>
            <w:vAlign w:val="top"/>
          </w:tcPr>
          <w:p w14:paraId="2F23192D">
            <w:pPr>
              <w:spacing w:before="85" w:line="228" w:lineRule="auto"/>
              <w:ind w:left="364"/>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项</w:t>
            </w:r>
            <w:r>
              <w:rPr>
                <w:rFonts w:ascii="宋体" w:hAnsi="宋体" w:eastAsia="宋体" w:cs="宋体"/>
                <w:spacing w:val="-1"/>
                <w:sz w:val="20"/>
                <w:szCs w:val="20"/>
                <w14:textOutline w14:w="3795" w14:cap="sq" w14:cmpd="sng">
                  <w14:solidFill>
                    <w14:srgbClr w14:val="000000"/>
                  </w14:solidFill>
                  <w14:prstDash w14:val="solid"/>
                  <w14:bevel/>
                </w14:textOutline>
              </w:rPr>
              <w:t>目</w:t>
            </w:r>
          </w:p>
        </w:tc>
        <w:tc>
          <w:tcPr>
            <w:tcW w:w="1133" w:type="dxa"/>
            <w:vAlign w:val="top"/>
          </w:tcPr>
          <w:p w14:paraId="724FB607">
            <w:pPr>
              <w:spacing w:before="84" w:line="228" w:lineRule="auto"/>
              <w:ind w:left="279"/>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消</w:t>
            </w:r>
            <w:r>
              <w:rPr>
                <w:rFonts w:ascii="宋体" w:hAnsi="宋体" w:eastAsia="宋体" w:cs="宋体"/>
                <w:spacing w:val="-2"/>
                <w:sz w:val="20"/>
                <w:szCs w:val="20"/>
                <w14:textOutline w14:w="3795" w14:cap="sq" w14:cmpd="sng">
                  <w14:solidFill>
                    <w14:srgbClr w14:val="000000"/>
                  </w14:solidFill>
                  <w14:prstDash w14:val="solid"/>
                  <w14:bevel/>
                </w14:textOutline>
              </w:rPr>
              <w:t>耗量</w:t>
            </w:r>
          </w:p>
        </w:tc>
        <w:tc>
          <w:tcPr>
            <w:tcW w:w="3534" w:type="dxa"/>
            <w:vAlign w:val="top"/>
          </w:tcPr>
          <w:p w14:paraId="47D4B7A7">
            <w:pPr>
              <w:spacing w:before="84" w:line="228" w:lineRule="auto"/>
              <w:ind w:left="1576"/>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来源</w:t>
            </w:r>
          </w:p>
        </w:tc>
        <w:tc>
          <w:tcPr>
            <w:tcW w:w="853" w:type="dxa"/>
            <w:vAlign w:val="top"/>
          </w:tcPr>
          <w:p w14:paraId="0F81190F">
            <w:pPr>
              <w:spacing w:before="84" w:line="228" w:lineRule="auto"/>
              <w:ind w:left="37"/>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规</w:t>
            </w:r>
            <w:r>
              <w:rPr>
                <w:rFonts w:ascii="宋体" w:hAnsi="宋体" w:eastAsia="宋体" w:cs="宋体"/>
                <w:spacing w:val="-1"/>
                <w:sz w:val="20"/>
                <w:szCs w:val="20"/>
                <w14:textOutline w14:w="3795" w14:cap="sq" w14:cmpd="sng">
                  <w14:solidFill>
                    <w14:srgbClr w14:val="000000"/>
                  </w14:solidFill>
                  <w14:prstDash w14:val="solid"/>
                  <w14:bevel/>
                </w14:textOutline>
              </w:rPr>
              <w:t>格成分</w:t>
            </w:r>
          </w:p>
        </w:tc>
        <w:tc>
          <w:tcPr>
            <w:tcW w:w="1899" w:type="dxa"/>
            <w:tcBorders>
              <w:right w:val="nil"/>
            </w:tcBorders>
            <w:vAlign w:val="top"/>
          </w:tcPr>
          <w:p w14:paraId="584C4CCF">
            <w:pPr>
              <w:spacing w:before="85" w:line="229" w:lineRule="auto"/>
              <w:ind w:left="76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备注</w:t>
            </w:r>
          </w:p>
        </w:tc>
      </w:tr>
      <w:tr w14:paraId="3F249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7" w:hRule="atLeast"/>
        </w:trPr>
        <w:tc>
          <w:tcPr>
            <w:tcW w:w="1103" w:type="dxa"/>
            <w:tcBorders>
              <w:left w:val="nil"/>
            </w:tcBorders>
            <w:vAlign w:val="top"/>
          </w:tcPr>
          <w:p w14:paraId="11C7D02F">
            <w:pPr>
              <w:spacing w:line="245" w:lineRule="auto"/>
              <w:rPr>
                <w:rFonts w:ascii="Arial"/>
                <w:sz w:val="21"/>
              </w:rPr>
            </w:pPr>
          </w:p>
          <w:p w14:paraId="73237F69">
            <w:pPr>
              <w:spacing w:line="246" w:lineRule="auto"/>
              <w:rPr>
                <w:rFonts w:ascii="Arial"/>
                <w:sz w:val="21"/>
              </w:rPr>
            </w:pPr>
          </w:p>
          <w:p w14:paraId="2545A73F">
            <w:pPr>
              <w:spacing w:before="65" w:line="320" w:lineRule="auto"/>
              <w:ind w:left="265" w:right="142" w:hanging="100"/>
              <w:rPr>
                <w:rFonts w:ascii="宋体" w:hAnsi="宋体" w:eastAsia="宋体" w:cs="宋体"/>
                <w:sz w:val="20"/>
                <w:szCs w:val="20"/>
              </w:rPr>
            </w:pPr>
            <w:r>
              <w:rPr>
                <w:rFonts w:ascii="宋体" w:hAnsi="宋体" w:eastAsia="宋体" w:cs="宋体"/>
                <w:spacing w:val="-2"/>
                <w:sz w:val="20"/>
                <w:szCs w:val="20"/>
              </w:rPr>
              <w:t>废旧塑料</w:t>
            </w:r>
            <w:r>
              <w:rPr>
                <w:rFonts w:ascii="宋体" w:hAnsi="宋体" w:eastAsia="宋体" w:cs="宋体"/>
                <w:sz w:val="20"/>
                <w:szCs w:val="20"/>
              </w:rPr>
              <w:t xml:space="preserve"> </w:t>
            </w:r>
            <w:r>
              <w:rPr>
                <w:rFonts w:ascii="宋体" w:hAnsi="宋体" w:eastAsia="宋体" w:cs="宋体"/>
                <w:spacing w:val="-2"/>
                <w:sz w:val="20"/>
                <w:szCs w:val="20"/>
              </w:rPr>
              <w:t>编织</w:t>
            </w:r>
            <w:r>
              <w:rPr>
                <w:rFonts w:ascii="宋体" w:hAnsi="宋体" w:eastAsia="宋体" w:cs="宋体"/>
                <w:spacing w:val="-1"/>
                <w:sz w:val="20"/>
                <w:szCs w:val="20"/>
              </w:rPr>
              <w:t>袋</w:t>
            </w:r>
          </w:p>
        </w:tc>
        <w:tc>
          <w:tcPr>
            <w:tcW w:w="1133" w:type="dxa"/>
            <w:vAlign w:val="top"/>
          </w:tcPr>
          <w:p w14:paraId="5126DD5E">
            <w:pPr>
              <w:spacing w:line="314" w:lineRule="auto"/>
              <w:rPr>
                <w:rFonts w:ascii="Arial"/>
                <w:sz w:val="21"/>
              </w:rPr>
            </w:pPr>
          </w:p>
          <w:p w14:paraId="524C6DE7">
            <w:pPr>
              <w:spacing w:line="315" w:lineRule="auto"/>
              <w:rPr>
                <w:rFonts w:ascii="Arial"/>
                <w:sz w:val="21"/>
              </w:rPr>
            </w:pPr>
          </w:p>
          <w:p w14:paraId="549EFC84">
            <w:pPr>
              <w:spacing w:before="58" w:line="281"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51100t/a</w:t>
            </w:r>
          </w:p>
        </w:tc>
        <w:tc>
          <w:tcPr>
            <w:tcW w:w="3534" w:type="dxa"/>
            <w:vAlign w:val="top"/>
          </w:tcPr>
          <w:p w14:paraId="65C380F7">
            <w:pPr>
              <w:spacing w:before="61" w:line="227" w:lineRule="auto"/>
              <w:ind w:left="108"/>
              <w:rPr>
                <w:rFonts w:ascii="宋体" w:hAnsi="宋体" w:eastAsia="宋体" w:cs="宋体"/>
                <w:sz w:val="20"/>
                <w:szCs w:val="20"/>
              </w:rPr>
            </w:pPr>
            <w:r>
              <w:rPr>
                <w:rFonts w:ascii="宋体" w:hAnsi="宋体" w:eastAsia="宋体" w:cs="宋体"/>
                <w:spacing w:val="-3"/>
                <w:sz w:val="20"/>
                <w:szCs w:val="20"/>
              </w:rPr>
              <w:t>均外购于本溪宏远集团北台再生资源</w:t>
            </w:r>
            <w:r>
              <w:rPr>
                <w:rFonts w:ascii="宋体" w:hAnsi="宋体" w:eastAsia="宋体" w:cs="宋体"/>
                <w:spacing w:val="-1"/>
                <w:sz w:val="20"/>
                <w:szCs w:val="20"/>
              </w:rPr>
              <w:t>有</w:t>
            </w:r>
          </w:p>
          <w:p w14:paraId="019FAC61">
            <w:pPr>
              <w:spacing w:before="87" w:line="227" w:lineRule="auto"/>
              <w:ind w:left="49"/>
              <w:rPr>
                <w:rFonts w:ascii="宋体" w:hAnsi="宋体" w:eastAsia="宋体" w:cs="宋体"/>
                <w:sz w:val="20"/>
                <w:szCs w:val="20"/>
              </w:rPr>
            </w:pPr>
            <w:r>
              <w:rPr>
                <w:rFonts w:ascii="宋体" w:hAnsi="宋体" w:eastAsia="宋体" w:cs="宋体"/>
                <w:spacing w:val="-7"/>
                <w:sz w:val="20"/>
                <w:szCs w:val="20"/>
              </w:rPr>
              <w:t>限责任公司及平山区利安建材城，由供</w:t>
            </w:r>
            <w:r>
              <w:rPr>
                <w:rFonts w:ascii="宋体" w:hAnsi="宋体" w:eastAsia="宋体" w:cs="宋体"/>
                <w:spacing w:val="-5"/>
                <w:sz w:val="20"/>
                <w:szCs w:val="20"/>
              </w:rPr>
              <w:t>货</w:t>
            </w:r>
          </w:p>
          <w:p w14:paraId="09C0A0D7">
            <w:pPr>
              <w:spacing w:before="87" w:line="228" w:lineRule="auto"/>
              <w:ind w:left="36"/>
              <w:rPr>
                <w:rFonts w:ascii="宋体" w:hAnsi="宋体" w:eastAsia="宋体" w:cs="宋体"/>
                <w:sz w:val="20"/>
                <w:szCs w:val="20"/>
              </w:rPr>
            </w:pPr>
            <w:r>
              <w:rPr>
                <w:rFonts w:ascii="宋体" w:hAnsi="宋体" w:eastAsia="宋体" w:cs="宋体"/>
                <w:spacing w:val="-8"/>
                <w:sz w:val="20"/>
                <w:szCs w:val="20"/>
              </w:rPr>
              <w:t>方</w:t>
            </w:r>
            <w:r>
              <w:rPr>
                <w:rFonts w:ascii="宋体" w:hAnsi="宋体" w:eastAsia="宋体" w:cs="宋体"/>
                <w:spacing w:val="-6"/>
                <w:sz w:val="20"/>
                <w:szCs w:val="20"/>
              </w:rPr>
              <w:t>运至该项目厂区内，该项目不负责原料</w:t>
            </w:r>
          </w:p>
          <w:p w14:paraId="4477BCCA">
            <w:pPr>
              <w:spacing w:before="86" w:line="228" w:lineRule="auto"/>
              <w:ind w:left="35"/>
              <w:rPr>
                <w:rFonts w:ascii="宋体" w:hAnsi="宋体" w:eastAsia="宋体" w:cs="宋体"/>
                <w:sz w:val="20"/>
                <w:szCs w:val="20"/>
              </w:rPr>
            </w:pPr>
            <w:r>
              <w:rPr>
                <w:rFonts w:ascii="宋体" w:hAnsi="宋体" w:eastAsia="宋体" w:cs="宋体"/>
                <w:spacing w:val="-7"/>
                <w:sz w:val="20"/>
                <w:szCs w:val="20"/>
              </w:rPr>
              <w:t>运</w:t>
            </w:r>
            <w:r>
              <w:rPr>
                <w:rFonts w:ascii="宋体" w:hAnsi="宋体" w:eastAsia="宋体" w:cs="宋体"/>
                <w:spacing w:val="-6"/>
                <w:sz w:val="20"/>
                <w:szCs w:val="20"/>
              </w:rPr>
              <w:t>输，入厂时均已分成捆打包好，货车运</w:t>
            </w:r>
          </w:p>
          <w:p w14:paraId="2ABB878B">
            <w:pPr>
              <w:spacing w:before="84" w:line="227" w:lineRule="auto"/>
              <w:ind w:left="106"/>
              <w:rPr>
                <w:rFonts w:ascii="宋体" w:hAnsi="宋体" w:eastAsia="宋体" w:cs="宋体"/>
                <w:sz w:val="20"/>
                <w:szCs w:val="20"/>
              </w:rPr>
            </w:pPr>
            <w:r>
              <w:rPr>
                <w:rFonts w:ascii="宋体" w:hAnsi="宋体" w:eastAsia="宋体" w:cs="宋体"/>
                <w:spacing w:val="-4"/>
                <w:sz w:val="20"/>
                <w:szCs w:val="20"/>
              </w:rPr>
              <w:t>输采用全封闭</w:t>
            </w:r>
            <w:r>
              <w:rPr>
                <w:rFonts w:ascii="宋体" w:hAnsi="宋体" w:eastAsia="宋体" w:cs="宋体"/>
                <w:spacing w:val="-3"/>
                <w:sz w:val="20"/>
                <w:szCs w:val="20"/>
              </w:rPr>
              <w:t>运</w:t>
            </w:r>
            <w:r>
              <w:rPr>
                <w:rFonts w:ascii="宋体" w:hAnsi="宋体" w:eastAsia="宋体" w:cs="宋体"/>
                <w:spacing w:val="-2"/>
                <w:sz w:val="20"/>
                <w:szCs w:val="20"/>
              </w:rPr>
              <w:t>输方式，运输路径明确</w:t>
            </w:r>
          </w:p>
        </w:tc>
        <w:tc>
          <w:tcPr>
            <w:tcW w:w="853" w:type="dxa"/>
            <w:vAlign w:val="top"/>
          </w:tcPr>
          <w:p w14:paraId="1BA743C6">
            <w:pPr>
              <w:spacing w:line="245" w:lineRule="auto"/>
              <w:rPr>
                <w:rFonts w:ascii="Arial"/>
                <w:sz w:val="21"/>
              </w:rPr>
            </w:pPr>
          </w:p>
          <w:p w14:paraId="43D655BE">
            <w:pPr>
              <w:spacing w:line="246" w:lineRule="auto"/>
              <w:rPr>
                <w:rFonts w:ascii="Arial"/>
                <w:sz w:val="21"/>
              </w:rPr>
            </w:pPr>
          </w:p>
          <w:p w14:paraId="5D168C99">
            <w:pPr>
              <w:spacing w:before="65" w:line="320" w:lineRule="auto"/>
              <w:ind w:left="145" w:right="116"/>
              <w:rPr>
                <w:rFonts w:ascii="宋体" w:hAnsi="宋体" w:eastAsia="宋体" w:cs="宋体"/>
                <w:sz w:val="20"/>
                <w:szCs w:val="20"/>
              </w:rPr>
            </w:pPr>
            <w:r>
              <w:rPr>
                <w:rFonts w:ascii="宋体" w:hAnsi="宋体" w:eastAsia="宋体" w:cs="宋体"/>
                <w:spacing w:val="-6"/>
                <w:sz w:val="20"/>
                <w:szCs w:val="20"/>
              </w:rPr>
              <w:t>聚</w:t>
            </w:r>
            <w:r>
              <w:rPr>
                <w:rFonts w:ascii="宋体" w:hAnsi="宋体" w:eastAsia="宋体" w:cs="宋体"/>
                <w:spacing w:val="-4"/>
                <w:sz w:val="20"/>
                <w:szCs w:val="20"/>
              </w:rPr>
              <w:t>乙烯</w:t>
            </w:r>
            <w:r>
              <w:rPr>
                <w:rFonts w:ascii="宋体" w:hAnsi="宋体" w:eastAsia="宋体" w:cs="宋体"/>
                <w:sz w:val="20"/>
                <w:szCs w:val="20"/>
              </w:rPr>
              <w:t xml:space="preserve"> </w:t>
            </w:r>
            <w:r>
              <w:rPr>
                <w:rFonts w:ascii="宋体" w:hAnsi="宋体" w:eastAsia="宋体" w:cs="宋体"/>
                <w:spacing w:val="-6"/>
                <w:sz w:val="20"/>
                <w:szCs w:val="20"/>
              </w:rPr>
              <w:t>聚</w:t>
            </w:r>
            <w:r>
              <w:rPr>
                <w:rFonts w:ascii="宋体" w:hAnsi="宋体" w:eastAsia="宋体" w:cs="宋体"/>
                <w:spacing w:val="-4"/>
                <w:sz w:val="20"/>
                <w:szCs w:val="20"/>
              </w:rPr>
              <w:t>丙烯</w:t>
            </w:r>
          </w:p>
        </w:tc>
        <w:tc>
          <w:tcPr>
            <w:tcW w:w="1899" w:type="dxa"/>
            <w:tcBorders>
              <w:right w:val="nil"/>
            </w:tcBorders>
            <w:vAlign w:val="top"/>
          </w:tcPr>
          <w:p w14:paraId="7DC0598B">
            <w:pPr>
              <w:spacing w:before="23" w:line="281" w:lineRule="exact"/>
              <w:ind w:left="87"/>
              <w:rPr>
                <w:rFonts w:ascii="宋体" w:hAnsi="宋体" w:eastAsia="宋体" w:cs="宋体"/>
                <w:sz w:val="20"/>
                <w:szCs w:val="20"/>
              </w:rPr>
            </w:pPr>
            <w:r>
              <w:rPr>
                <w:rFonts w:ascii="Times New Roman" w:hAnsi="Times New Roman" w:eastAsia="Times New Roman" w:cs="Times New Roman"/>
                <w:spacing w:val="-2"/>
                <w:position w:val="1"/>
                <w:sz w:val="20"/>
                <w:szCs w:val="20"/>
              </w:rPr>
              <w:t>50%</w:t>
            </w:r>
            <w:r>
              <w:rPr>
                <w:rFonts w:ascii="宋体" w:hAnsi="宋体" w:eastAsia="宋体" w:cs="宋体"/>
                <w:spacing w:val="-2"/>
                <w:position w:val="1"/>
                <w:sz w:val="20"/>
                <w:szCs w:val="20"/>
              </w:rPr>
              <w:t>为合金铁及铝</w:t>
            </w:r>
            <w:r>
              <w:rPr>
                <w:rFonts w:ascii="宋体" w:hAnsi="宋体" w:eastAsia="宋体" w:cs="宋体"/>
                <w:spacing w:val="-1"/>
                <w:position w:val="1"/>
                <w:sz w:val="20"/>
                <w:szCs w:val="20"/>
              </w:rPr>
              <w:t>锭</w:t>
            </w:r>
          </w:p>
          <w:p w14:paraId="055E5A19">
            <w:pPr>
              <w:spacing w:before="91" w:line="287" w:lineRule="auto"/>
              <w:ind w:left="33" w:right="6" w:firstLine="55"/>
              <w:rPr>
                <w:rFonts w:ascii="宋体" w:hAnsi="宋体" w:eastAsia="宋体" w:cs="宋体"/>
                <w:sz w:val="20"/>
                <w:szCs w:val="20"/>
              </w:rPr>
            </w:pPr>
            <w:r>
              <w:rPr>
                <w:rFonts w:ascii="宋体" w:hAnsi="宋体" w:eastAsia="宋体" w:cs="宋体"/>
                <w:spacing w:val="-8"/>
                <w:sz w:val="20"/>
                <w:szCs w:val="20"/>
              </w:rPr>
              <w:t>的</w:t>
            </w:r>
            <w:r>
              <w:rPr>
                <w:rFonts w:ascii="宋体" w:hAnsi="宋体" w:eastAsia="宋体" w:cs="宋体"/>
                <w:spacing w:val="-6"/>
                <w:sz w:val="20"/>
                <w:szCs w:val="20"/>
              </w:rPr>
              <w:t>废</w:t>
            </w:r>
            <w:r>
              <w:rPr>
                <w:rFonts w:ascii="宋体" w:hAnsi="宋体" w:eastAsia="宋体" w:cs="宋体"/>
                <w:spacing w:val="-4"/>
                <w:sz w:val="20"/>
                <w:szCs w:val="20"/>
              </w:rPr>
              <w:t>包装袋，尺寸为</w:t>
            </w:r>
            <w:r>
              <w:rPr>
                <w:rFonts w:ascii="宋体" w:hAnsi="宋体" w:eastAsia="宋体" w:cs="宋体"/>
                <w:sz w:val="20"/>
                <w:szCs w:val="20"/>
              </w:rPr>
              <w:t xml:space="preserve"> </w:t>
            </w:r>
            <w:r>
              <w:rPr>
                <w:rFonts w:ascii="Times New Roman" w:hAnsi="Times New Roman" w:eastAsia="Times New Roman" w:cs="Times New Roman"/>
                <w:spacing w:val="-5"/>
                <w:sz w:val="20"/>
                <w:szCs w:val="20"/>
              </w:rPr>
              <w:t>90×90×100cm</w:t>
            </w:r>
            <w:r>
              <w:rPr>
                <w:rFonts w:ascii="宋体" w:hAnsi="宋体" w:eastAsia="宋体" w:cs="宋体"/>
                <w:spacing w:val="-5"/>
                <w:sz w:val="20"/>
                <w:szCs w:val="20"/>
              </w:rPr>
              <w:t>；</w:t>
            </w:r>
            <w:r>
              <w:rPr>
                <w:rFonts w:ascii="Times New Roman" w:hAnsi="Times New Roman" w:eastAsia="Times New Roman" w:cs="Times New Roman"/>
                <w:spacing w:val="-5"/>
                <w:sz w:val="20"/>
                <w:szCs w:val="20"/>
              </w:rPr>
              <w:t>50%</w:t>
            </w:r>
            <w:r>
              <w:rPr>
                <w:rFonts w:ascii="宋体" w:hAnsi="宋体" w:eastAsia="宋体" w:cs="宋体"/>
                <w:spacing w:val="-5"/>
                <w:sz w:val="20"/>
                <w:szCs w:val="20"/>
              </w:rPr>
              <w:t>为</w:t>
            </w:r>
            <w:r>
              <w:rPr>
                <w:rFonts w:ascii="宋体" w:hAnsi="宋体" w:eastAsia="宋体" w:cs="宋体"/>
                <w:sz w:val="20"/>
                <w:szCs w:val="20"/>
              </w:rPr>
              <w:t xml:space="preserve"> </w:t>
            </w:r>
            <w:r>
              <w:rPr>
                <w:rFonts w:ascii="宋体" w:hAnsi="宋体" w:eastAsia="宋体" w:cs="宋体"/>
                <w:spacing w:val="2"/>
                <w:sz w:val="20"/>
                <w:szCs w:val="20"/>
              </w:rPr>
              <w:t>砂子的废</w:t>
            </w:r>
            <w:r>
              <w:rPr>
                <w:rFonts w:ascii="宋体" w:hAnsi="宋体" w:eastAsia="宋体" w:cs="宋体"/>
                <w:spacing w:val="1"/>
                <w:sz w:val="20"/>
                <w:szCs w:val="20"/>
              </w:rPr>
              <w:t>包装袋，尺</w:t>
            </w:r>
            <w:r>
              <w:rPr>
                <w:rFonts w:ascii="宋体" w:hAnsi="宋体" w:eastAsia="宋体" w:cs="宋体"/>
                <w:sz w:val="20"/>
                <w:szCs w:val="20"/>
              </w:rPr>
              <w:t xml:space="preserve"> </w:t>
            </w:r>
            <w:r>
              <w:rPr>
                <w:rFonts w:ascii="宋体" w:hAnsi="宋体" w:eastAsia="宋体" w:cs="宋体"/>
                <w:spacing w:val="-3"/>
                <w:sz w:val="20"/>
                <w:szCs w:val="20"/>
              </w:rPr>
              <w:t xml:space="preserve">寸为 </w:t>
            </w:r>
            <w:r>
              <w:rPr>
                <w:rFonts w:ascii="Times New Roman" w:hAnsi="Times New Roman" w:eastAsia="Times New Roman" w:cs="Times New Roman"/>
                <w:spacing w:val="-3"/>
                <w:sz w:val="20"/>
                <w:szCs w:val="20"/>
              </w:rPr>
              <w:t>90×90×100c</w:t>
            </w:r>
            <w:r>
              <w:rPr>
                <w:rFonts w:ascii="Times New Roman" w:hAnsi="Times New Roman" w:eastAsia="Times New Roman" w:cs="Times New Roman"/>
                <w:spacing w:val="-1"/>
                <w:sz w:val="20"/>
                <w:szCs w:val="20"/>
              </w:rPr>
              <w:t>m</w:t>
            </w:r>
            <w:r>
              <w:rPr>
                <w:rFonts w:ascii="宋体" w:hAnsi="宋体" w:eastAsia="宋体" w:cs="宋体"/>
                <w:spacing w:val="-3"/>
                <w:sz w:val="20"/>
                <w:szCs w:val="20"/>
              </w:rPr>
              <w:t>；</w:t>
            </w:r>
          </w:p>
        </w:tc>
      </w:tr>
    </w:tbl>
    <w:p w14:paraId="1370B3AC">
      <w:pPr>
        <w:rPr>
          <w:rFonts w:ascii="Arial"/>
          <w:sz w:val="21"/>
        </w:rPr>
      </w:pPr>
    </w:p>
    <w:p w14:paraId="483DB705">
      <w:pPr>
        <w:sectPr>
          <w:headerReference r:id="rId94" w:type="default"/>
          <w:footerReference r:id="rId95" w:type="default"/>
          <w:pgSz w:w="11906" w:h="16839"/>
          <w:pgMar w:top="1132" w:right="1691" w:bottom="1156" w:left="1691" w:header="878" w:footer="996" w:gutter="0"/>
          <w:cols w:space="720" w:num="1"/>
        </w:sectPr>
      </w:pPr>
    </w:p>
    <w:p w14:paraId="71D94004">
      <w:r>
        <w:pict>
          <v:shape id="_x0000_s1138" o:spid="_x0000_s1138" style="position:absolute;left:0pt;margin-left:90pt;margin-top:57.35pt;height:0.75pt;width:415.3pt;mso-position-horizontal-relative:page;mso-position-vertical-relative:page;z-index:251771904;mso-width-relative:page;mso-height-relative:page;" fillcolor="#000000" filled="t" stroked="f" coordsize="8305,15" o:allowincell="f" path="m0,0l8305,0,8305,14,0,14,0,0xe">
            <v:path/>
            <v:fill on="t" focussize="0,0"/>
            <v:stroke on="f"/>
            <v:imagedata o:title=""/>
            <o:lock v:ext="edit"/>
          </v:shape>
        </w:pict>
      </w:r>
    </w:p>
    <w:p w14:paraId="7F93E57F">
      <w:pPr>
        <w:spacing w:line="65"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133"/>
        <w:gridCol w:w="3534"/>
        <w:gridCol w:w="852"/>
        <w:gridCol w:w="1899"/>
      </w:tblGrid>
      <w:tr w14:paraId="329E8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3" w:type="dxa"/>
            <w:tcBorders>
              <w:left w:val="nil"/>
            </w:tcBorders>
            <w:vAlign w:val="top"/>
          </w:tcPr>
          <w:p w14:paraId="733DBD3A">
            <w:pPr>
              <w:spacing w:before="85" w:line="230" w:lineRule="auto"/>
              <w:ind w:left="265"/>
              <w:rPr>
                <w:rFonts w:ascii="宋体" w:hAnsi="宋体" w:eastAsia="宋体" w:cs="宋体"/>
                <w:sz w:val="20"/>
                <w:szCs w:val="20"/>
              </w:rPr>
            </w:pPr>
            <w:r>
              <w:rPr>
                <w:rFonts w:ascii="宋体" w:hAnsi="宋体" w:eastAsia="宋体" w:cs="宋体"/>
                <w:spacing w:val="-2"/>
                <w:sz w:val="20"/>
                <w:szCs w:val="20"/>
              </w:rPr>
              <w:t>过</w:t>
            </w:r>
            <w:r>
              <w:rPr>
                <w:rFonts w:ascii="宋体" w:hAnsi="宋体" w:eastAsia="宋体" w:cs="宋体"/>
                <w:spacing w:val="-1"/>
                <w:sz w:val="20"/>
                <w:szCs w:val="20"/>
              </w:rPr>
              <w:t>滤网</w:t>
            </w:r>
          </w:p>
        </w:tc>
        <w:tc>
          <w:tcPr>
            <w:tcW w:w="1133" w:type="dxa"/>
            <w:vAlign w:val="top"/>
          </w:tcPr>
          <w:p w14:paraId="4AEA3132">
            <w:pPr>
              <w:spacing w:before="47" w:line="281"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w:t>
            </w:r>
            <w:r>
              <w:rPr>
                <w:rFonts w:ascii="Times New Roman" w:hAnsi="Times New Roman" w:eastAsia="Times New Roman" w:cs="Times New Roman"/>
                <w:spacing w:val="-2"/>
                <w:position w:val="2"/>
                <w:sz w:val="20"/>
                <w:szCs w:val="20"/>
              </w:rPr>
              <w:t>.8t/a</w:t>
            </w:r>
          </w:p>
        </w:tc>
        <w:tc>
          <w:tcPr>
            <w:tcW w:w="3534" w:type="dxa"/>
            <w:vAlign w:val="top"/>
          </w:tcPr>
          <w:p w14:paraId="49401B82">
            <w:pPr>
              <w:spacing w:before="85" w:line="227" w:lineRule="auto"/>
              <w:ind w:left="1001"/>
              <w:rPr>
                <w:rFonts w:ascii="宋体" w:hAnsi="宋体" w:eastAsia="宋体" w:cs="宋体"/>
                <w:sz w:val="20"/>
                <w:szCs w:val="20"/>
              </w:rPr>
            </w:pPr>
            <w:r>
              <w:rPr>
                <w:rFonts w:ascii="宋体" w:hAnsi="宋体" w:eastAsia="宋体" w:cs="宋体"/>
                <w:spacing w:val="-4"/>
                <w:sz w:val="20"/>
                <w:szCs w:val="20"/>
              </w:rPr>
              <w:t>当地市场择优采购</w:t>
            </w:r>
          </w:p>
        </w:tc>
        <w:tc>
          <w:tcPr>
            <w:tcW w:w="852" w:type="dxa"/>
            <w:vAlign w:val="top"/>
          </w:tcPr>
          <w:p w14:paraId="66BCC6A5">
            <w:pPr>
              <w:spacing w:before="47"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73E8E842">
            <w:pPr>
              <w:spacing w:before="47" w:line="281" w:lineRule="exact"/>
              <w:ind w:left="9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5820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3" w:type="dxa"/>
            <w:tcBorders>
              <w:left w:val="nil"/>
            </w:tcBorders>
            <w:vAlign w:val="top"/>
          </w:tcPr>
          <w:p w14:paraId="65AF8DD6">
            <w:pPr>
              <w:spacing w:before="61" w:line="228" w:lineRule="auto"/>
              <w:ind w:left="264"/>
              <w:rPr>
                <w:rFonts w:ascii="宋体" w:hAnsi="宋体" w:eastAsia="宋体" w:cs="宋体"/>
                <w:sz w:val="20"/>
                <w:szCs w:val="20"/>
              </w:rPr>
            </w:pPr>
            <w:r>
              <w:rPr>
                <w:rFonts w:ascii="宋体" w:hAnsi="宋体" w:eastAsia="宋体" w:cs="宋体"/>
                <w:spacing w:val="-1"/>
                <w:sz w:val="20"/>
                <w:szCs w:val="20"/>
              </w:rPr>
              <w:t>包装袋</w:t>
            </w:r>
          </w:p>
        </w:tc>
        <w:tc>
          <w:tcPr>
            <w:tcW w:w="1133" w:type="dxa"/>
            <w:vAlign w:val="top"/>
          </w:tcPr>
          <w:p w14:paraId="489D9E87">
            <w:pPr>
              <w:spacing w:before="23" w:line="281"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w:t>
            </w:r>
            <w:r>
              <w:rPr>
                <w:rFonts w:ascii="Times New Roman" w:hAnsi="Times New Roman" w:eastAsia="Times New Roman" w:cs="Times New Roman"/>
                <w:spacing w:val="-2"/>
                <w:position w:val="2"/>
                <w:sz w:val="20"/>
                <w:szCs w:val="20"/>
              </w:rPr>
              <w:t>0t/a</w:t>
            </w:r>
          </w:p>
        </w:tc>
        <w:tc>
          <w:tcPr>
            <w:tcW w:w="3534" w:type="dxa"/>
            <w:vAlign w:val="top"/>
          </w:tcPr>
          <w:p w14:paraId="020EF62D">
            <w:pPr>
              <w:spacing w:before="61" w:line="227" w:lineRule="auto"/>
              <w:ind w:left="1001"/>
              <w:rPr>
                <w:rFonts w:ascii="宋体" w:hAnsi="宋体" w:eastAsia="宋体" w:cs="宋体"/>
                <w:sz w:val="20"/>
                <w:szCs w:val="20"/>
              </w:rPr>
            </w:pPr>
            <w:r>
              <w:rPr>
                <w:rFonts w:ascii="宋体" w:hAnsi="宋体" w:eastAsia="宋体" w:cs="宋体"/>
                <w:spacing w:val="-4"/>
                <w:sz w:val="20"/>
                <w:szCs w:val="20"/>
              </w:rPr>
              <w:t>当地市场择优采购</w:t>
            </w:r>
          </w:p>
        </w:tc>
        <w:tc>
          <w:tcPr>
            <w:tcW w:w="852" w:type="dxa"/>
            <w:vAlign w:val="top"/>
          </w:tcPr>
          <w:p w14:paraId="163A917F">
            <w:pPr>
              <w:spacing w:before="23"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5E0318DD">
            <w:pPr>
              <w:spacing w:before="23" w:line="281" w:lineRule="exact"/>
              <w:ind w:left="9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96AB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3" w:type="dxa"/>
            <w:tcBorders>
              <w:left w:val="nil"/>
            </w:tcBorders>
            <w:vAlign w:val="top"/>
          </w:tcPr>
          <w:p w14:paraId="7457B228">
            <w:pPr>
              <w:spacing w:before="61" w:line="227" w:lineRule="auto"/>
              <w:ind w:left="362"/>
              <w:rPr>
                <w:rFonts w:ascii="宋体" w:hAnsi="宋体" w:eastAsia="宋体" w:cs="宋体"/>
                <w:sz w:val="20"/>
                <w:szCs w:val="20"/>
              </w:rPr>
            </w:pPr>
            <w:r>
              <w:rPr>
                <w:rFonts w:ascii="宋体" w:hAnsi="宋体" w:eastAsia="宋体" w:cs="宋体"/>
                <w:spacing w:val="1"/>
                <w:sz w:val="20"/>
                <w:szCs w:val="20"/>
              </w:rPr>
              <w:t>机</w:t>
            </w:r>
            <w:r>
              <w:rPr>
                <w:rFonts w:ascii="宋体" w:hAnsi="宋体" w:eastAsia="宋体" w:cs="宋体"/>
                <w:sz w:val="20"/>
                <w:szCs w:val="20"/>
              </w:rPr>
              <w:t>油</w:t>
            </w:r>
          </w:p>
        </w:tc>
        <w:tc>
          <w:tcPr>
            <w:tcW w:w="1133" w:type="dxa"/>
            <w:vAlign w:val="top"/>
          </w:tcPr>
          <w:p w14:paraId="60CA3951">
            <w:pPr>
              <w:spacing w:before="24" w:line="281"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w:t>
            </w:r>
            <w:r>
              <w:rPr>
                <w:rFonts w:ascii="Times New Roman" w:hAnsi="Times New Roman" w:eastAsia="Times New Roman" w:cs="Times New Roman"/>
                <w:spacing w:val="-2"/>
                <w:position w:val="2"/>
                <w:sz w:val="20"/>
                <w:szCs w:val="20"/>
              </w:rPr>
              <w:t>.8t/a</w:t>
            </w:r>
          </w:p>
        </w:tc>
        <w:tc>
          <w:tcPr>
            <w:tcW w:w="3534" w:type="dxa"/>
            <w:vAlign w:val="top"/>
          </w:tcPr>
          <w:p w14:paraId="5901A5F7">
            <w:pPr>
              <w:spacing w:before="61" w:line="227" w:lineRule="auto"/>
              <w:ind w:left="1001"/>
              <w:rPr>
                <w:rFonts w:ascii="宋体" w:hAnsi="宋体" w:eastAsia="宋体" w:cs="宋体"/>
                <w:sz w:val="20"/>
                <w:szCs w:val="20"/>
              </w:rPr>
            </w:pPr>
            <w:r>
              <w:rPr>
                <w:rFonts w:ascii="宋体" w:hAnsi="宋体" w:eastAsia="宋体" w:cs="宋体"/>
                <w:spacing w:val="-4"/>
                <w:sz w:val="20"/>
                <w:szCs w:val="20"/>
              </w:rPr>
              <w:t>当地市场择优采购</w:t>
            </w:r>
          </w:p>
        </w:tc>
        <w:tc>
          <w:tcPr>
            <w:tcW w:w="852" w:type="dxa"/>
            <w:vAlign w:val="top"/>
          </w:tcPr>
          <w:p w14:paraId="4FB33B69">
            <w:pPr>
              <w:spacing w:before="24"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6FEFE4E7">
            <w:pPr>
              <w:spacing w:before="24" w:line="281" w:lineRule="exact"/>
              <w:ind w:left="9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7DCDE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3" w:type="dxa"/>
            <w:tcBorders>
              <w:left w:val="nil"/>
            </w:tcBorders>
            <w:vAlign w:val="top"/>
          </w:tcPr>
          <w:p w14:paraId="1CA9245D">
            <w:pPr>
              <w:spacing w:before="62" w:line="228" w:lineRule="auto"/>
              <w:ind w:left="36"/>
              <w:rPr>
                <w:rFonts w:ascii="宋体" w:hAnsi="宋体" w:eastAsia="宋体" w:cs="宋体"/>
                <w:sz w:val="20"/>
                <w:szCs w:val="20"/>
              </w:rPr>
            </w:pP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xml:space="preserve"> </w:t>
            </w:r>
            <w:r>
              <w:rPr>
                <w:rFonts w:ascii="宋体" w:hAnsi="宋体" w:eastAsia="宋体" w:cs="宋体"/>
                <w:sz w:val="20"/>
                <w:szCs w:val="20"/>
              </w:rPr>
              <w:t>光解灯管</w:t>
            </w:r>
          </w:p>
        </w:tc>
        <w:tc>
          <w:tcPr>
            <w:tcW w:w="1133" w:type="dxa"/>
            <w:vAlign w:val="top"/>
          </w:tcPr>
          <w:p w14:paraId="6C7E61E5">
            <w:pPr>
              <w:spacing w:before="25" w:line="281"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w:t>
            </w:r>
            <w:r>
              <w:rPr>
                <w:rFonts w:ascii="Times New Roman" w:hAnsi="Times New Roman" w:eastAsia="Times New Roman" w:cs="Times New Roman"/>
                <w:spacing w:val="-2"/>
                <w:position w:val="2"/>
                <w:sz w:val="20"/>
                <w:szCs w:val="20"/>
              </w:rPr>
              <w:t>.4t/a</w:t>
            </w:r>
          </w:p>
        </w:tc>
        <w:tc>
          <w:tcPr>
            <w:tcW w:w="3534" w:type="dxa"/>
            <w:vAlign w:val="top"/>
          </w:tcPr>
          <w:p w14:paraId="15BA634B">
            <w:pPr>
              <w:rPr>
                <w:rFonts w:ascii="Arial"/>
                <w:sz w:val="21"/>
              </w:rPr>
            </w:pPr>
          </w:p>
        </w:tc>
        <w:tc>
          <w:tcPr>
            <w:tcW w:w="852" w:type="dxa"/>
            <w:vAlign w:val="top"/>
          </w:tcPr>
          <w:p w14:paraId="24DC6786">
            <w:pPr>
              <w:rPr>
                <w:rFonts w:ascii="Arial"/>
                <w:sz w:val="21"/>
              </w:rPr>
            </w:pPr>
          </w:p>
        </w:tc>
        <w:tc>
          <w:tcPr>
            <w:tcW w:w="1899" w:type="dxa"/>
            <w:tcBorders>
              <w:right w:val="nil"/>
            </w:tcBorders>
            <w:vAlign w:val="top"/>
          </w:tcPr>
          <w:p w14:paraId="20A245DD">
            <w:pPr>
              <w:rPr>
                <w:rFonts w:ascii="Arial"/>
                <w:sz w:val="21"/>
              </w:rPr>
            </w:pPr>
          </w:p>
        </w:tc>
      </w:tr>
      <w:tr w14:paraId="30ADE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103" w:type="dxa"/>
            <w:tcBorders>
              <w:left w:val="nil"/>
            </w:tcBorders>
            <w:vAlign w:val="top"/>
          </w:tcPr>
          <w:p w14:paraId="47E8EA17">
            <w:pPr>
              <w:spacing w:before="64" w:line="228" w:lineRule="auto"/>
              <w:ind w:left="268"/>
              <w:rPr>
                <w:rFonts w:ascii="宋体" w:hAnsi="宋体" w:eastAsia="宋体" w:cs="宋体"/>
                <w:sz w:val="20"/>
                <w:szCs w:val="20"/>
              </w:rPr>
            </w:pPr>
            <w:r>
              <w:rPr>
                <w:rFonts w:ascii="宋体" w:hAnsi="宋体" w:eastAsia="宋体" w:cs="宋体"/>
                <w:spacing w:val="-2"/>
                <w:sz w:val="20"/>
                <w:szCs w:val="20"/>
              </w:rPr>
              <w:t>活性炭</w:t>
            </w:r>
          </w:p>
        </w:tc>
        <w:tc>
          <w:tcPr>
            <w:tcW w:w="1133" w:type="dxa"/>
            <w:vAlign w:val="top"/>
          </w:tcPr>
          <w:p w14:paraId="145FB5BC">
            <w:pPr>
              <w:spacing w:before="26" w:line="281"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2"/>
                <w:position w:val="2"/>
                <w:sz w:val="20"/>
                <w:szCs w:val="20"/>
              </w:rPr>
              <w:t>22t/a</w:t>
            </w:r>
          </w:p>
        </w:tc>
        <w:tc>
          <w:tcPr>
            <w:tcW w:w="3534" w:type="dxa"/>
            <w:vAlign w:val="top"/>
          </w:tcPr>
          <w:p w14:paraId="1674F241">
            <w:pPr>
              <w:spacing w:before="63" w:line="227" w:lineRule="auto"/>
              <w:ind w:left="1001"/>
              <w:rPr>
                <w:rFonts w:ascii="宋体" w:hAnsi="宋体" w:eastAsia="宋体" w:cs="宋体"/>
                <w:sz w:val="20"/>
                <w:szCs w:val="20"/>
              </w:rPr>
            </w:pPr>
            <w:r>
              <w:rPr>
                <w:rFonts w:ascii="宋体" w:hAnsi="宋体" w:eastAsia="宋体" w:cs="宋体"/>
                <w:spacing w:val="-4"/>
                <w:sz w:val="20"/>
                <w:szCs w:val="20"/>
              </w:rPr>
              <w:t>当地市场择优采购</w:t>
            </w:r>
          </w:p>
        </w:tc>
        <w:tc>
          <w:tcPr>
            <w:tcW w:w="852" w:type="dxa"/>
            <w:vAlign w:val="top"/>
          </w:tcPr>
          <w:p w14:paraId="1707708F">
            <w:pPr>
              <w:spacing w:before="26"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64A94155">
            <w:pPr>
              <w:spacing w:before="26" w:line="281" w:lineRule="exact"/>
              <w:ind w:left="9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C27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3" w:type="dxa"/>
            <w:tcBorders>
              <w:left w:val="nil"/>
            </w:tcBorders>
            <w:vAlign w:val="top"/>
          </w:tcPr>
          <w:p w14:paraId="07D99675">
            <w:pPr>
              <w:spacing w:before="35" w:line="237" w:lineRule="auto"/>
              <w:ind w:left="363" w:right="44" w:hanging="294"/>
              <w:rPr>
                <w:rFonts w:ascii="宋体" w:hAnsi="宋体" w:eastAsia="宋体" w:cs="宋体"/>
                <w:sz w:val="20"/>
                <w:szCs w:val="20"/>
              </w:rPr>
            </w:pPr>
            <w:r>
              <w:rPr>
                <w:rFonts w:ascii="宋体" w:hAnsi="宋体" w:eastAsia="宋体" w:cs="宋体"/>
                <w:spacing w:val="-4"/>
                <w:sz w:val="20"/>
                <w:szCs w:val="20"/>
              </w:rPr>
              <w:t>成型</w:t>
            </w:r>
            <w:r>
              <w:rPr>
                <w:rFonts w:ascii="宋体" w:hAnsi="宋体" w:eastAsia="宋体" w:cs="宋体"/>
                <w:spacing w:val="-2"/>
                <w:sz w:val="20"/>
                <w:szCs w:val="20"/>
              </w:rPr>
              <w:t>生物质</w:t>
            </w:r>
            <w:r>
              <w:rPr>
                <w:rFonts w:ascii="宋体" w:hAnsi="宋体" w:eastAsia="宋体" w:cs="宋体"/>
                <w:sz w:val="20"/>
                <w:szCs w:val="20"/>
              </w:rPr>
              <w:t xml:space="preserve"> 燃料</w:t>
            </w:r>
          </w:p>
        </w:tc>
        <w:tc>
          <w:tcPr>
            <w:tcW w:w="1133" w:type="dxa"/>
            <w:vAlign w:val="top"/>
          </w:tcPr>
          <w:p w14:paraId="42DA2D45">
            <w:pPr>
              <w:spacing w:before="133" w:line="281"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6</w:t>
            </w:r>
            <w:r>
              <w:rPr>
                <w:rFonts w:ascii="Times New Roman" w:hAnsi="Times New Roman" w:eastAsia="Times New Roman" w:cs="Times New Roman"/>
                <w:spacing w:val="-7"/>
                <w:position w:val="2"/>
                <w:sz w:val="20"/>
                <w:szCs w:val="20"/>
              </w:rPr>
              <w:t>74. 1t/a</w:t>
            </w:r>
          </w:p>
        </w:tc>
        <w:tc>
          <w:tcPr>
            <w:tcW w:w="3534" w:type="dxa"/>
            <w:vAlign w:val="top"/>
          </w:tcPr>
          <w:p w14:paraId="65B4FB5E">
            <w:pPr>
              <w:spacing w:before="170" w:line="227" w:lineRule="auto"/>
              <w:ind w:left="1001"/>
              <w:rPr>
                <w:rFonts w:ascii="宋体" w:hAnsi="宋体" w:eastAsia="宋体" w:cs="宋体"/>
                <w:sz w:val="20"/>
                <w:szCs w:val="20"/>
              </w:rPr>
            </w:pPr>
            <w:r>
              <w:rPr>
                <w:rFonts w:ascii="宋体" w:hAnsi="宋体" w:eastAsia="宋体" w:cs="宋体"/>
                <w:spacing w:val="-4"/>
                <w:sz w:val="20"/>
                <w:szCs w:val="20"/>
              </w:rPr>
              <w:t>当地市场择优采购</w:t>
            </w:r>
          </w:p>
        </w:tc>
        <w:tc>
          <w:tcPr>
            <w:tcW w:w="852" w:type="dxa"/>
            <w:vAlign w:val="top"/>
          </w:tcPr>
          <w:p w14:paraId="23218B14">
            <w:pPr>
              <w:spacing w:before="133"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0CDB9B67">
            <w:pPr>
              <w:spacing w:before="133" w:line="281" w:lineRule="exact"/>
              <w:ind w:left="343"/>
              <w:rPr>
                <w:rFonts w:ascii="宋体" w:hAnsi="宋体" w:eastAsia="宋体" w:cs="宋体"/>
                <w:sz w:val="20"/>
                <w:szCs w:val="20"/>
              </w:rPr>
            </w:pPr>
            <w:r>
              <w:rPr>
                <w:rFonts w:ascii="宋体" w:hAnsi="宋体" w:eastAsia="宋体" w:cs="宋体"/>
                <w:spacing w:val="-4"/>
                <w:position w:val="2"/>
                <w:sz w:val="20"/>
                <w:szCs w:val="20"/>
              </w:rPr>
              <w:t>袋</w:t>
            </w:r>
            <w:r>
              <w:rPr>
                <w:rFonts w:ascii="宋体" w:hAnsi="宋体" w:eastAsia="宋体" w:cs="宋体"/>
                <w:spacing w:val="-3"/>
                <w:position w:val="2"/>
                <w:sz w:val="20"/>
                <w:szCs w:val="20"/>
              </w:rPr>
              <w:t>装</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50kg/</w:t>
            </w:r>
            <w:r>
              <w:rPr>
                <w:rFonts w:ascii="宋体" w:hAnsi="宋体" w:eastAsia="宋体" w:cs="宋体"/>
                <w:spacing w:val="-2"/>
                <w:position w:val="2"/>
                <w:sz w:val="20"/>
                <w:szCs w:val="20"/>
              </w:rPr>
              <w:t>袋</w:t>
            </w:r>
          </w:p>
        </w:tc>
      </w:tr>
      <w:tr w14:paraId="5ECF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3" w:type="dxa"/>
            <w:tcBorders>
              <w:left w:val="nil"/>
            </w:tcBorders>
            <w:vAlign w:val="top"/>
          </w:tcPr>
          <w:p w14:paraId="3735F71A">
            <w:pPr>
              <w:spacing w:before="65" w:line="227" w:lineRule="auto"/>
              <w:ind w:left="264"/>
              <w:rPr>
                <w:rFonts w:ascii="宋体" w:hAnsi="宋体" w:eastAsia="宋体" w:cs="宋体"/>
                <w:sz w:val="20"/>
                <w:szCs w:val="20"/>
              </w:rPr>
            </w:pPr>
            <w:r>
              <w:rPr>
                <w:rFonts w:ascii="宋体" w:hAnsi="宋体" w:eastAsia="宋体" w:cs="宋体"/>
                <w:spacing w:val="-1"/>
                <w:sz w:val="20"/>
                <w:szCs w:val="20"/>
              </w:rPr>
              <w:t>清洗剂</w:t>
            </w:r>
          </w:p>
        </w:tc>
        <w:tc>
          <w:tcPr>
            <w:tcW w:w="1133" w:type="dxa"/>
            <w:vAlign w:val="top"/>
          </w:tcPr>
          <w:p w14:paraId="02FBE3E9">
            <w:pPr>
              <w:spacing w:before="28" w:line="281"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4"/>
                <w:position w:val="2"/>
                <w:sz w:val="20"/>
                <w:szCs w:val="20"/>
              </w:rPr>
              <w:t>0.22t/a</w:t>
            </w:r>
          </w:p>
        </w:tc>
        <w:tc>
          <w:tcPr>
            <w:tcW w:w="3534" w:type="dxa"/>
            <w:vAlign w:val="top"/>
          </w:tcPr>
          <w:p w14:paraId="4DD3C48D">
            <w:pPr>
              <w:spacing w:before="65" w:line="227" w:lineRule="auto"/>
              <w:ind w:left="1001"/>
              <w:rPr>
                <w:rFonts w:ascii="宋体" w:hAnsi="宋体" w:eastAsia="宋体" w:cs="宋体"/>
                <w:sz w:val="20"/>
                <w:szCs w:val="20"/>
              </w:rPr>
            </w:pPr>
            <w:r>
              <w:rPr>
                <w:rFonts w:ascii="宋体" w:hAnsi="宋体" w:eastAsia="宋体" w:cs="宋体"/>
                <w:spacing w:val="-4"/>
                <w:sz w:val="20"/>
                <w:szCs w:val="20"/>
              </w:rPr>
              <w:t>当地市场择优采购</w:t>
            </w:r>
          </w:p>
        </w:tc>
        <w:tc>
          <w:tcPr>
            <w:tcW w:w="852" w:type="dxa"/>
            <w:vAlign w:val="top"/>
          </w:tcPr>
          <w:p w14:paraId="776B5D28">
            <w:pPr>
              <w:spacing w:before="65" w:line="228" w:lineRule="auto"/>
              <w:ind w:left="237"/>
              <w:rPr>
                <w:rFonts w:ascii="宋体" w:hAnsi="宋体" w:eastAsia="宋体" w:cs="宋体"/>
                <w:sz w:val="20"/>
                <w:szCs w:val="20"/>
              </w:rPr>
            </w:pPr>
            <w:r>
              <w:rPr>
                <w:rFonts w:ascii="宋体" w:hAnsi="宋体" w:eastAsia="宋体" w:cs="宋体"/>
                <w:spacing w:val="-1"/>
                <w:sz w:val="20"/>
                <w:szCs w:val="20"/>
              </w:rPr>
              <w:t>火</w:t>
            </w:r>
            <w:r>
              <w:rPr>
                <w:rFonts w:ascii="宋体" w:hAnsi="宋体" w:eastAsia="宋体" w:cs="宋体"/>
                <w:sz w:val="20"/>
                <w:szCs w:val="20"/>
              </w:rPr>
              <w:t>碱</w:t>
            </w:r>
          </w:p>
        </w:tc>
        <w:tc>
          <w:tcPr>
            <w:tcW w:w="1899" w:type="dxa"/>
            <w:tcBorders>
              <w:right w:val="nil"/>
            </w:tcBorders>
            <w:vAlign w:val="top"/>
          </w:tcPr>
          <w:p w14:paraId="33D6F596">
            <w:pPr>
              <w:spacing w:before="28" w:line="281" w:lineRule="exact"/>
              <w:ind w:left="343"/>
              <w:rPr>
                <w:rFonts w:ascii="宋体" w:hAnsi="宋体" w:eastAsia="宋体" w:cs="宋体"/>
                <w:sz w:val="20"/>
                <w:szCs w:val="20"/>
              </w:rPr>
            </w:pPr>
            <w:r>
              <w:rPr>
                <w:rFonts w:ascii="宋体" w:hAnsi="宋体" w:eastAsia="宋体" w:cs="宋体"/>
                <w:spacing w:val="-4"/>
                <w:position w:val="2"/>
                <w:sz w:val="20"/>
                <w:szCs w:val="20"/>
              </w:rPr>
              <w:t>袋</w:t>
            </w:r>
            <w:r>
              <w:rPr>
                <w:rFonts w:ascii="宋体" w:hAnsi="宋体" w:eastAsia="宋体" w:cs="宋体"/>
                <w:spacing w:val="-3"/>
                <w:position w:val="2"/>
                <w:sz w:val="20"/>
                <w:szCs w:val="20"/>
              </w:rPr>
              <w:t>装</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30kg/</w:t>
            </w:r>
            <w:r>
              <w:rPr>
                <w:rFonts w:ascii="宋体" w:hAnsi="宋体" w:eastAsia="宋体" w:cs="宋体"/>
                <w:spacing w:val="-2"/>
                <w:position w:val="2"/>
                <w:sz w:val="20"/>
                <w:szCs w:val="20"/>
              </w:rPr>
              <w:t>袋</w:t>
            </w:r>
          </w:p>
        </w:tc>
      </w:tr>
      <w:tr w14:paraId="55601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3" w:type="dxa"/>
            <w:tcBorders>
              <w:left w:val="nil"/>
            </w:tcBorders>
            <w:vAlign w:val="top"/>
          </w:tcPr>
          <w:p w14:paraId="22844889">
            <w:pPr>
              <w:spacing w:before="66" w:line="233" w:lineRule="auto"/>
              <w:ind w:left="486"/>
              <w:rPr>
                <w:rFonts w:ascii="宋体" w:hAnsi="宋体" w:eastAsia="宋体" w:cs="宋体"/>
                <w:sz w:val="20"/>
                <w:szCs w:val="20"/>
              </w:rPr>
            </w:pPr>
            <w:r>
              <w:rPr>
                <w:rFonts w:ascii="宋体" w:hAnsi="宋体" w:eastAsia="宋体" w:cs="宋体"/>
                <w:sz w:val="20"/>
                <w:szCs w:val="20"/>
              </w:rPr>
              <w:t>电</w:t>
            </w:r>
          </w:p>
        </w:tc>
        <w:tc>
          <w:tcPr>
            <w:tcW w:w="1133" w:type="dxa"/>
            <w:vAlign w:val="top"/>
          </w:tcPr>
          <w:p w14:paraId="01152D24">
            <w:pPr>
              <w:spacing w:before="28" w:line="281" w:lineRule="exact"/>
              <w:ind w:left="4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1</w:t>
            </w:r>
            <w:r>
              <w:rPr>
                <w:rFonts w:ascii="Times New Roman" w:hAnsi="Times New Roman" w:eastAsia="Times New Roman" w:cs="Times New Roman"/>
                <w:spacing w:val="-7"/>
                <w:position w:val="2"/>
                <w:sz w:val="20"/>
                <w:szCs w:val="20"/>
              </w:rPr>
              <w:t xml:space="preserve">300 </w:t>
            </w:r>
            <w:r>
              <w:rPr>
                <w:rFonts w:ascii="宋体" w:hAnsi="宋体" w:eastAsia="宋体" w:cs="宋体"/>
                <w:spacing w:val="-7"/>
                <w:position w:val="2"/>
                <w:sz w:val="20"/>
                <w:szCs w:val="20"/>
              </w:rPr>
              <w:t xml:space="preserve">万 </w:t>
            </w:r>
            <w:r>
              <w:rPr>
                <w:rFonts w:ascii="Times New Roman" w:hAnsi="Times New Roman" w:eastAsia="Times New Roman" w:cs="Times New Roman"/>
                <w:spacing w:val="-7"/>
                <w:position w:val="2"/>
                <w:sz w:val="20"/>
                <w:szCs w:val="20"/>
              </w:rPr>
              <w:t>Kwh</w:t>
            </w:r>
          </w:p>
        </w:tc>
        <w:tc>
          <w:tcPr>
            <w:tcW w:w="3534" w:type="dxa"/>
            <w:vAlign w:val="top"/>
          </w:tcPr>
          <w:p w14:paraId="61F62D9B">
            <w:pPr>
              <w:spacing w:before="65" w:line="227" w:lineRule="auto"/>
              <w:ind w:left="1001"/>
              <w:rPr>
                <w:rFonts w:ascii="宋体" w:hAnsi="宋体" w:eastAsia="宋体" w:cs="宋体"/>
                <w:sz w:val="20"/>
                <w:szCs w:val="20"/>
              </w:rPr>
            </w:pPr>
            <w:r>
              <w:rPr>
                <w:rFonts w:ascii="宋体" w:hAnsi="宋体" w:eastAsia="宋体" w:cs="宋体"/>
                <w:spacing w:val="-4"/>
                <w:sz w:val="20"/>
                <w:szCs w:val="20"/>
              </w:rPr>
              <w:t>当地供电电网引入</w:t>
            </w:r>
          </w:p>
        </w:tc>
        <w:tc>
          <w:tcPr>
            <w:tcW w:w="852" w:type="dxa"/>
            <w:vAlign w:val="top"/>
          </w:tcPr>
          <w:p w14:paraId="7C9F7817">
            <w:pPr>
              <w:spacing w:before="28"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04DC40A5">
            <w:pPr>
              <w:spacing w:before="28" w:line="281" w:lineRule="exact"/>
              <w:ind w:left="9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3D2BE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103" w:type="dxa"/>
            <w:tcBorders>
              <w:left w:val="nil"/>
            </w:tcBorders>
            <w:vAlign w:val="top"/>
          </w:tcPr>
          <w:p w14:paraId="30DAE37E">
            <w:pPr>
              <w:spacing w:before="65" w:line="228" w:lineRule="auto"/>
              <w:ind w:left="464"/>
              <w:rPr>
                <w:rFonts w:ascii="宋体" w:hAnsi="宋体" w:eastAsia="宋体" w:cs="宋体"/>
                <w:sz w:val="20"/>
                <w:szCs w:val="20"/>
              </w:rPr>
            </w:pPr>
            <w:r>
              <w:rPr>
                <w:rFonts w:ascii="宋体" w:hAnsi="宋体" w:eastAsia="宋体" w:cs="宋体"/>
                <w:sz w:val="20"/>
                <w:szCs w:val="20"/>
              </w:rPr>
              <w:t>水</w:t>
            </w:r>
          </w:p>
        </w:tc>
        <w:tc>
          <w:tcPr>
            <w:tcW w:w="1133" w:type="dxa"/>
            <w:vAlign w:val="top"/>
          </w:tcPr>
          <w:p w14:paraId="06E045AA">
            <w:pPr>
              <w:spacing w:before="28" w:line="281"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3732</w:t>
            </w:r>
            <w:r>
              <w:rPr>
                <w:rFonts w:ascii="Times New Roman" w:hAnsi="Times New Roman" w:eastAsia="Times New Roman" w:cs="Times New Roman"/>
                <w:spacing w:val="-1"/>
                <w:position w:val="1"/>
                <w:sz w:val="20"/>
                <w:szCs w:val="20"/>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1"/>
                <w:position w:val="1"/>
                <w:sz w:val="20"/>
                <w:szCs w:val="20"/>
              </w:rPr>
              <w:t>a</w:t>
            </w:r>
          </w:p>
        </w:tc>
        <w:tc>
          <w:tcPr>
            <w:tcW w:w="3534" w:type="dxa"/>
            <w:vAlign w:val="top"/>
          </w:tcPr>
          <w:p w14:paraId="7E1C4223">
            <w:pPr>
              <w:spacing w:before="65" w:line="227" w:lineRule="auto"/>
              <w:ind w:left="818"/>
              <w:rPr>
                <w:rFonts w:ascii="宋体" w:hAnsi="宋体" w:eastAsia="宋体" w:cs="宋体"/>
                <w:sz w:val="20"/>
                <w:szCs w:val="20"/>
              </w:rPr>
            </w:pPr>
            <w:r>
              <w:rPr>
                <w:rFonts w:ascii="宋体" w:hAnsi="宋体" w:eastAsia="宋体" w:cs="宋体"/>
                <w:spacing w:val="-8"/>
                <w:sz w:val="20"/>
                <w:szCs w:val="20"/>
              </w:rPr>
              <w:t>由</w:t>
            </w:r>
            <w:r>
              <w:rPr>
                <w:rFonts w:ascii="宋体" w:hAnsi="宋体" w:eastAsia="宋体" w:cs="宋体"/>
                <w:spacing w:val="-5"/>
                <w:sz w:val="20"/>
                <w:szCs w:val="20"/>
              </w:rPr>
              <w:t>当地自来水管网提供</w:t>
            </w:r>
          </w:p>
        </w:tc>
        <w:tc>
          <w:tcPr>
            <w:tcW w:w="852" w:type="dxa"/>
            <w:vAlign w:val="top"/>
          </w:tcPr>
          <w:p w14:paraId="407366F3">
            <w:pPr>
              <w:spacing w:before="28"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9" w:type="dxa"/>
            <w:tcBorders>
              <w:right w:val="nil"/>
            </w:tcBorders>
            <w:vAlign w:val="top"/>
          </w:tcPr>
          <w:p w14:paraId="41E3FA1F">
            <w:pPr>
              <w:spacing w:before="28" w:line="281" w:lineRule="exact"/>
              <w:ind w:left="9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14:paraId="0D665A18">
      <w:pPr>
        <w:spacing w:line="270" w:lineRule="auto"/>
        <w:rPr>
          <w:rFonts w:ascii="Arial"/>
          <w:sz w:val="21"/>
        </w:rPr>
      </w:pPr>
    </w:p>
    <w:p w14:paraId="25D55C07">
      <w:pPr>
        <w:spacing w:before="75" w:line="228" w:lineRule="auto"/>
        <w:ind w:left="261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3-6</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原料理化性质情况</w:t>
      </w:r>
      <w:r>
        <w:rPr>
          <w:rFonts w:ascii="宋体" w:hAnsi="宋体" w:eastAsia="宋体" w:cs="宋体"/>
          <w:spacing w:val="2"/>
          <w:sz w:val="23"/>
          <w:szCs w:val="23"/>
          <w14:textOutline w14:w="4358" w14:cap="sq" w14:cmpd="sng">
            <w14:solidFill>
              <w14:srgbClr w14:val="000000"/>
            </w14:solidFill>
            <w14:prstDash w14:val="solid"/>
            <w14:bevel/>
          </w14:textOutline>
        </w:rPr>
        <w:t>表</w:t>
      </w:r>
    </w:p>
    <w:p w14:paraId="3D196923">
      <w:pPr>
        <w:spacing w:line="17"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4711"/>
        <w:gridCol w:w="1716"/>
        <w:gridCol w:w="1113"/>
      </w:tblGrid>
      <w:tr w14:paraId="67E83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81" w:type="dxa"/>
            <w:tcBorders>
              <w:left w:val="nil"/>
            </w:tcBorders>
            <w:vAlign w:val="top"/>
          </w:tcPr>
          <w:p w14:paraId="46EA93FC">
            <w:pPr>
              <w:spacing w:before="85" w:line="230" w:lineRule="auto"/>
              <w:ind w:left="303"/>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名称</w:t>
            </w:r>
          </w:p>
        </w:tc>
        <w:tc>
          <w:tcPr>
            <w:tcW w:w="4711" w:type="dxa"/>
            <w:vAlign w:val="top"/>
          </w:tcPr>
          <w:p w14:paraId="6C5DAF24">
            <w:pPr>
              <w:spacing w:before="84" w:line="228" w:lineRule="auto"/>
              <w:ind w:left="1969"/>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理化</w:t>
            </w:r>
            <w:r>
              <w:rPr>
                <w:rFonts w:ascii="宋体" w:hAnsi="宋体" w:eastAsia="宋体" w:cs="宋体"/>
                <w:spacing w:val="-1"/>
                <w:sz w:val="20"/>
                <w:szCs w:val="20"/>
                <w14:textOutline w14:w="3795" w14:cap="sq" w14:cmpd="sng">
                  <w14:solidFill>
                    <w14:srgbClr w14:val="000000"/>
                  </w14:solidFill>
                  <w14:prstDash w14:val="solid"/>
                  <w14:bevel/>
                </w14:textOutline>
              </w:rPr>
              <w:t>特性</w:t>
            </w:r>
          </w:p>
        </w:tc>
        <w:tc>
          <w:tcPr>
            <w:tcW w:w="1716" w:type="dxa"/>
            <w:vAlign w:val="top"/>
          </w:tcPr>
          <w:p w14:paraId="6ABAC6DC">
            <w:pPr>
              <w:spacing w:before="85" w:line="226" w:lineRule="auto"/>
              <w:ind w:left="372"/>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燃烧爆</w:t>
            </w:r>
            <w:r>
              <w:rPr>
                <w:rFonts w:ascii="宋体" w:hAnsi="宋体" w:eastAsia="宋体" w:cs="宋体"/>
                <w:spacing w:val="-1"/>
                <w:sz w:val="20"/>
                <w:szCs w:val="20"/>
                <w14:textOutline w14:w="3795" w14:cap="sq" w14:cmpd="sng">
                  <w14:solidFill>
                    <w14:srgbClr w14:val="000000"/>
                  </w14:solidFill>
                  <w14:prstDash w14:val="solid"/>
                  <w14:bevel/>
                </w14:textOutline>
              </w:rPr>
              <w:t>炸性</w:t>
            </w:r>
          </w:p>
        </w:tc>
        <w:tc>
          <w:tcPr>
            <w:tcW w:w="1113" w:type="dxa"/>
            <w:tcBorders>
              <w:right w:val="nil"/>
            </w:tcBorders>
            <w:vAlign w:val="top"/>
          </w:tcPr>
          <w:p w14:paraId="08B9D004">
            <w:pPr>
              <w:spacing w:before="84" w:line="228" w:lineRule="auto"/>
              <w:ind w:left="17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毒</w:t>
            </w:r>
            <w:r>
              <w:rPr>
                <w:rFonts w:ascii="宋体" w:hAnsi="宋体" w:eastAsia="宋体" w:cs="宋体"/>
                <w:spacing w:val="-1"/>
                <w:sz w:val="20"/>
                <w:szCs w:val="20"/>
                <w14:textOutline w14:w="3795" w14:cap="sq" w14:cmpd="sng">
                  <w14:solidFill>
                    <w14:srgbClr w14:val="000000"/>
                  </w14:solidFill>
                  <w14:prstDash w14:val="solid"/>
                  <w14:bevel/>
                </w14:textOutline>
              </w:rPr>
              <w:t>性毒理</w:t>
            </w:r>
          </w:p>
        </w:tc>
      </w:tr>
      <w:tr w14:paraId="6D379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981" w:type="dxa"/>
            <w:tcBorders>
              <w:left w:val="nil"/>
            </w:tcBorders>
            <w:vAlign w:val="top"/>
          </w:tcPr>
          <w:p w14:paraId="64E3E5EF">
            <w:pPr>
              <w:spacing w:line="328" w:lineRule="auto"/>
              <w:rPr>
                <w:rFonts w:ascii="Arial"/>
                <w:sz w:val="21"/>
              </w:rPr>
            </w:pPr>
          </w:p>
          <w:p w14:paraId="2D78C044">
            <w:pPr>
              <w:spacing w:line="328" w:lineRule="auto"/>
              <w:rPr>
                <w:rFonts w:ascii="Arial"/>
                <w:sz w:val="21"/>
              </w:rPr>
            </w:pPr>
          </w:p>
          <w:p w14:paraId="3878F216">
            <w:pPr>
              <w:spacing w:before="65" w:line="228" w:lineRule="auto"/>
              <w:ind w:left="213"/>
              <w:rPr>
                <w:rFonts w:ascii="宋体" w:hAnsi="宋体" w:eastAsia="宋体" w:cs="宋体"/>
                <w:sz w:val="20"/>
                <w:szCs w:val="20"/>
              </w:rPr>
            </w:pPr>
            <w:r>
              <w:rPr>
                <w:rFonts w:ascii="宋体" w:hAnsi="宋体" w:eastAsia="宋体" w:cs="宋体"/>
                <w:spacing w:val="-5"/>
                <w:sz w:val="20"/>
                <w:szCs w:val="20"/>
              </w:rPr>
              <w:t>聚</w:t>
            </w:r>
            <w:r>
              <w:rPr>
                <w:rFonts w:ascii="宋体" w:hAnsi="宋体" w:eastAsia="宋体" w:cs="宋体"/>
                <w:spacing w:val="-3"/>
                <w:sz w:val="20"/>
                <w:szCs w:val="20"/>
              </w:rPr>
              <w:t>乙烯</w:t>
            </w:r>
          </w:p>
        </w:tc>
        <w:tc>
          <w:tcPr>
            <w:tcW w:w="4711" w:type="dxa"/>
            <w:vAlign w:val="top"/>
          </w:tcPr>
          <w:p w14:paraId="6AB8E58D">
            <w:pPr>
              <w:spacing w:before="25" w:line="309" w:lineRule="auto"/>
              <w:ind w:left="38" w:firstLine="26"/>
              <w:rPr>
                <w:rFonts w:ascii="宋体" w:hAnsi="宋体" w:eastAsia="宋体" w:cs="宋体"/>
                <w:sz w:val="20"/>
                <w:szCs w:val="20"/>
              </w:rPr>
            </w:pPr>
            <w:r>
              <w:rPr>
                <w:rFonts w:ascii="宋体" w:hAnsi="宋体" w:eastAsia="宋体" w:cs="宋体"/>
                <w:spacing w:val="-12"/>
                <w:sz w:val="20"/>
                <w:szCs w:val="20"/>
              </w:rPr>
              <w:t>比重</w:t>
            </w:r>
            <w:r>
              <w:rPr>
                <w:rFonts w:ascii="宋体" w:hAnsi="宋体" w:eastAsia="宋体" w:cs="宋体"/>
                <w:spacing w:val="-6"/>
                <w:sz w:val="20"/>
                <w:szCs w:val="20"/>
              </w:rPr>
              <w:t xml:space="preserve">约 </w:t>
            </w:r>
            <w:r>
              <w:rPr>
                <w:rFonts w:ascii="Times New Roman" w:hAnsi="Times New Roman" w:eastAsia="Times New Roman" w:cs="Times New Roman"/>
                <w:spacing w:val="-6"/>
                <w:sz w:val="20"/>
                <w:szCs w:val="20"/>
              </w:rPr>
              <w:t>0.94~0.96g/cm</w:t>
            </w:r>
            <w:r>
              <w:rPr>
                <w:rFonts w:ascii="Times New Roman" w:hAnsi="Times New Roman" w:eastAsia="Times New Roman" w:cs="Times New Roman"/>
                <w:spacing w:val="-6"/>
                <w:position w:val="6"/>
                <w:sz w:val="13"/>
                <w:szCs w:val="13"/>
              </w:rPr>
              <w:t xml:space="preserve">3 </w:t>
            </w:r>
            <w:r>
              <w:rPr>
                <w:rFonts w:ascii="宋体" w:hAnsi="宋体" w:eastAsia="宋体" w:cs="宋体"/>
                <w:spacing w:val="-6"/>
                <w:sz w:val="20"/>
                <w:szCs w:val="20"/>
              </w:rPr>
              <w:t xml:space="preserve">，成型收缩率 </w:t>
            </w:r>
            <w:r>
              <w:rPr>
                <w:rFonts w:ascii="Times New Roman" w:hAnsi="Times New Roman" w:eastAsia="Times New Roman" w:cs="Times New Roman"/>
                <w:spacing w:val="-6"/>
                <w:sz w:val="20"/>
                <w:szCs w:val="20"/>
              </w:rPr>
              <w:t>1.5~3.6%</w:t>
            </w:r>
            <w:r>
              <w:rPr>
                <w:rFonts w:ascii="宋体" w:hAnsi="宋体" w:eastAsia="宋体" w:cs="宋体"/>
                <w:spacing w:val="-6"/>
                <w:sz w:val="20"/>
                <w:szCs w:val="20"/>
              </w:rPr>
              <w:t>，成型温</w:t>
            </w:r>
            <w:r>
              <w:rPr>
                <w:rFonts w:ascii="宋体" w:hAnsi="宋体" w:eastAsia="宋体" w:cs="宋体"/>
                <w:sz w:val="20"/>
                <w:szCs w:val="20"/>
              </w:rPr>
              <w:t xml:space="preserve"> </w:t>
            </w:r>
            <w:r>
              <w:rPr>
                <w:rFonts w:ascii="宋体" w:hAnsi="宋体" w:eastAsia="宋体" w:cs="宋体"/>
                <w:spacing w:val="-10"/>
                <w:sz w:val="20"/>
                <w:szCs w:val="20"/>
              </w:rPr>
              <w:t xml:space="preserve">度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 xml:space="preserve">40~220℃ </w:t>
            </w:r>
            <w:r>
              <w:rPr>
                <w:rFonts w:ascii="宋体" w:hAnsi="宋体" w:eastAsia="宋体" w:cs="宋体"/>
                <w:spacing w:val="-5"/>
                <w:sz w:val="20"/>
                <w:szCs w:val="20"/>
              </w:rPr>
              <w:t>，分解温度</w:t>
            </w:r>
            <w:r>
              <w:rPr>
                <w:rFonts w:ascii="Times New Roman" w:hAnsi="Times New Roman" w:eastAsia="Times New Roman" w:cs="Times New Roman"/>
                <w:spacing w:val="-5"/>
                <w:sz w:val="20"/>
                <w:szCs w:val="20"/>
              </w:rPr>
              <w:t xml:space="preserve">&gt;320℃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PE </w:t>
            </w:r>
            <w:r>
              <w:rPr>
                <w:rFonts w:ascii="宋体" w:hAnsi="宋体" w:eastAsia="宋体" w:cs="宋体"/>
                <w:spacing w:val="-5"/>
                <w:sz w:val="20"/>
                <w:szCs w:val="20"/>
              </w:rPr>
              <w:t>塑料加工温度范</w:t>
            </w:r>
            <w:r>
              <w:rPr>
                <w:rFonts w:ascii="宋体" w:hAnsi="宋体" w:eastAsia="宋体" w:cs="宋体"/>
                <w:sz w:val="20"/>
                <w:szCs w:val="20"/>
              </w:rPr>
              <w:t xml:space="preserve"> </w:t>
            </w:r>
            <w:r>
              <w:rPr>
                <w:rFonts w:ascii="宋体" w:hAnsi="宋体" w:eastAsia="宋体" w:cs="宋体"/>
                <w:spacing w:val="-2"/>
                <w:sz w:val="20"/>
                <w:szCs w:val="20"/>
              </w:rPr>
              <w:t>围很宽，不易分解，热解过程 (</w:t>
            </w:r>
            <w:r>
              <w:rPr>
                <w:rFonts w:ascii="Times New Roman" w:hAnsi="Times New Roman" w:eastAsia="Times New Roman" w:cs="Times New Roman"/>
                <w:spacing w:val="-2"/>
                <w:sz w:val="20"/>
                <w:szCs w:val="20"/>
              </w:rPr>
              <w:t>160~210℃</w:t>
            </w:r>
            <w:r>
              <w:rPr>
                <w:rFonts w:ascii="宋体" w:hAnsi="宋体" w:eastAsia="宋体" w:cs="宋体"/>
                <w:spacing w:val="-2"/>
                <w:sz w:val="20"/>
                <w:szCs w:val="20"/>
              </w:rPr>
              <w:t>) ，由</w:t>
            </w:r>
            <w:r>
              <w:rPr>
                <w:rFonts w:ascii="宋体" w:hAnsi="宋体" w:eastAsia="宋体" w:cs="宋体"/>
                <w:spacing w:val="-1"/>
                <w:sz w:val="20"/>
                <w:szCs w:val="20"/>
              </w:rPr>
              <w:t>于</w:t>
            </w:r>
            <w:r>
              <w:rPr>
                <w:rFonts w:ascii="宋体" w:hAnsi="宋体" w:eastAsia="宋体" w:cs="宋体"/>
                <w:sz w:val="20"/>
                <w:szCs w:val="20"/>
              </w:rPr>
              <w:t xml:space="preserve">分 </w:t>
            </w:r>
            <w:r>
              <w:rPr>
                <w:rFonts w:ascii="宋体" w:hAnsi="宋体" w:eastAsia="宋体" w:cs="宋体"/>
                <w:spacing w:val="-10"/>
                <w:sz w:val="20"/>
                <w:szCs w:val="20"/>
              </w:rPr>
              <w:t>子间</w:t>
            </w:r>
            <w:r>
              <w:rPr>
                <w:rFonts w:ascii="宋体" w:hAnsi="宋体" w:eastAsia="宋体" w:cs="宋体"/>
                <w:spacing w:val="-8"/>
                <w:sz w:val="20"/>
                <w:szCs w:val="20"/>
              </w:rPr>
              <w:t>的</w:t>
            </w:r>
            <w:r>
              <w:rPr>
                <w:rFonts w:ascii="宋体" w:hAnsi="宋体" w:eastAsia="宋体" w:cs="宋体"/>
                <w:spacing w:val="-5"/>
                <w:sz w:val="20"/>
                <w:szCs w:val="20"/>
              </w:rPr>
              <w:t>剪切挤压下发生断链、分解、降解过程中产生游</w:t>
            </w:r>
          </w:p>
          <w:p w14:paraId="668C4D58">
            <w:pPr>
              <w:spacing w:before="29" w:line="228" w:lineRule="auto"/>
              <w:ind w:left="895"/>
              <w:rPr>
                <w:rFonts w:ascii="宋体" w:hAnsi="宋体" w:eastAsia="宋体" w:cs="宋体"/>
                <w:sz w:val="20"/>
                <w:szCs w:val="20"/>
              </w:rPr>
            </w:pPr>
            <w:r>
              <w:rPr>
                <w:rFonts w:ascii="宋体" w:hAnsi="宋体" w:eastAsia="宋体" w:cs="宋体"/>
                <w:spacing w:val="-3"/>
                <w:sz w:val="20"/>
                <w:szCs w:val="20"/>
              </w:rPr>
              <w:t>离单体废气，主要为非甲烷总烃。</w:t>
            </w:r>
          </w:p>
        </w:tc>
        <w:tc>
          <w:tcPr>
            <w:tcW w:w="1716" w:type="dxa"/>
            <w:vAlign w:val="top"/>
          </w:tcPr>
          <w:p w14:paraId="5AE698C4">
            <w:pPr>
              <w:spacing w:line="328" w:lineRule="auto"/>
              <w:rPr>
                <w:rFonts w:ascii="Arial"/>
                <w:sz w:val="21"/>
              </w:rPr>
            </w:pPr>
          </w:p>
          <w:p w14:paraId="24719C2F">
            <w:pPr>
              <w:spacing w:line="328" w:lineRule="auto"/>
              <w:rPr>
                <w:rFonts w:ascii="Arial"/>
                <w:sz w:val="21"/>
              </w:rPr>
            </w:pPr>
          </w:p>
          <w:p w14:paraId="2D6FEF8B">
            <w:pPr>
              <w:spacing w:before="65" w:line="228" w:lineRule="auto"/>
              <w:ind w:left="79"/>
              <w:rPr>
                <w:rFonts w:ascii="宋体" w:hAnsi="宋体" w:eastAsia="宋体" w:cs="宋体"/>
                <w:sz w:val="20"/>
                <w:szCs w:val="20"/>
              </w:rPr>
            </w:pPr>
            <w:r>
              <w:rPr>
                <w:rFonts w:ascii="宋体" w:hAnsi="宋体" w:eastAsia="宋体" w:cs="宋体"/>
                <w:spacing w:val="-4"/>
                <w:sz w:val="20"/>
                <w:szCs w:val="20"/>
              </w:rPr>
              <w:t>遇</w:t>
            </w:r>
            <w:r>
              <w:rPr>
                <w:rFonts w:ascii="宋体" w:hAnsi="宋体" w:eastAsia="宋体" w:cs="宋体"/>
                <w:spacing w:val="-2"/>
                <w:sz w:val="20"/>
                <w:szCs w:val="20"/>
              </w:rPr>
              <w:t>高温、明火可燃</w:t>
            </w:r>
          </w:p>
        </w:tc>
        <w:tc>
          <w:tcPr>
            <w:tcW w:w="1113" w:type="dxa"/>
            <w:tcBorders>
              <w:right w:val="nil"/>
            </w:tcBorders>
            <w:vAlign w:val="top"/>
          </w:tcPr>
          <w:p w14:paraId="5A110092">
            <w:pPr>
              <w:spacing w:line="328" w:lineRule="auto"/>
              <w:rPr>
                <w:rFonts w:ascii="Arial"/>
                <w:sz w:val="21"/>
              </w:rPr>
            </w:pPr>
          </w:p>
          <w:p w14:paraId="07D0C594">
            <w:pPr>
              <w:spacing w:line="328" w:lineRule="auto"/>
              <w:rPr>
                <w:rFonts w:ascii="Arial"/>
                <w:sz w:val="21"/>
              </w:rPr>
            </w:pPr>
          </w:p>
          <w:p w14:paraId="00EC3667">
            <w:pPr>
              <w:spacing w:before="65" w:line="228" w:lineRule="auto"/>
              <w:ind w:left="171"/>
              <w:rPr>
                <w:rFonts w:ascii="宋体" w:hAnsi="宋体" w:eastAsia="宋体" w:cs="宋体"/>
                <w:sz w:val="20"/>
                <w:szCs w:val="20"/>
              </w:rPr>
            </w:pPr>
            <w:r>
              <w:rPr>
                <w:rFonts w:ascii="宋体" w:hAnsi="宋体" w:eastAsia="宋体" w:cs="宋体"/>
                <w:spacing w:val="-2"/>
                <w:sz w:val="20"/>
                <w:szCs w:val="20"/>
              </w:rPr>
              <w:t>无臭无毒</w:t>
            </w:r>
          </w:p>
        </w:tc>
      </w:tr>
      <w:tr w14:paraId="192FE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981" w:type="dxa"/>
            <w:tcBorders>
              <w:left w:val="nil"/>
            </w:tcBorders>
            <w:vAlign w:val="top"/>
          </w:tcPr>
          <w:p w14:paraId="43E0F37F">
            <w:pPr>
              <w:spacing w:line="247" w:lineRule="auto"/>
              <w:rPr>
                <w:rFonts w:ascii="Arial"/>
                <w:sz w:val="21"/>
              </w:rPr>
            </w:pPr>
          </w:p>
          <w:p w14:paraId="54A3FABE">
            <w:pPr>
              <w:spacing w:line="247" w:lineRule="auto"/>
              <w:rPr>
                <w:rFonts w:ascii="Arial"/>
                <w:sz w:val="21"/>
              </w:rPr>
            </w:pPr>
          </w:p>
          <w:p w14:paraId="66375923">
            <w:pPr>
              <w:spacing w:before="65" w:line="228" w:lineRule="auto"/>
              <w:ind w:left="213"/>
              <w:rPr>
                <w:rFonts w:ascii="宋体" w:hAnsi="宋体" w:eastAsia="宋体" w:cs="宋体"/>
                <w:sz w:val="20"/>
                <w:szCs w:val="20"/>
              </w:rPr>
            </w:pPr>
            <w:r>
              <w:rPr>
                <w:rFonts w:ascii="宋体" w:hAnsi="宋体" w:eastAsia="宋体" w:cs="宋体"/>
                <w:spacing w:val="-5"/>
                <w:sz w:val="20"/>
                <w:szCs w:val="20"/>
              </w:rPr>
              <w:t>聚</w:t>
            </w:r>
            <w:r>
              <w:rPr>
                <w:rFonts w:ascii="宋体" w:hAnsi="宋体" w:eastAsia="宋体" w:cs="宋体"/>
                <w:spacing w:val="-3"/>
                <w:sz w:val="20"/>
                <w:szCs w:val="20"/>
              </w:rPr>
              <w:t>丙烯</w:t>
            </w:r>
          </w:p>
        </w:tc>
        <w:tc>
          <w:tcPr>
            <w:tcW w:w="4711" w:type="dxa"/>
            <w:vAlign w:val="top"/>
          </w:tcPr>
          <w:p w14:paraId="137D566A">
            <w:pPr>
              <w:spacing w:before="26" w:line="296" w:lineRule="auto"/>
              <w:ind w:left="32" w:firstLine="17"/>
              <w:rPr>
                <w:rFonts w:ascii="宋体" w:hAnsi="宋体" w:eastAsia="宋体" w:cs="宋体"/>
                <w:sz w:val="20"/>
                <w:szCs w:val="20"/>
              </w:rPr>
            </w:pPr>
            <w:r>
              <w:rPr>
                <w:rFonts w:ascii="宋体" w:hAnsi="宋体" w:eastAsia="宋体" w:cs="宋体"/>
                <w:spacing w:val="-12"/>
                <w:sz w:val="20"/>
                <w:szCs w:val="20"/>
              </w:rPr>
              <w:t>比</w:t>
            </w:r>
            <w:r>
              <w:rPr>
                <w:rFonts w:ascii="宋体" w:hAnsi="宋体" w:eastAsia="宋体" w:cs="宋体"/>
                <w:spacing w:val="-10"/>
                <w:sz w:val="20"/>
                <w:szCs w:val="20"/>
              </w:rPr>
              <w:t>重</w:t>
            </w:r>
            <w:r>
              <w:rPr>
                <w:rFonts w:ascii="宋体" w:hAnsi="宋体" w:eastAsia="宋体" w:cs="宋体"/>
                <w:spacing w:val="-6"/>
                <w:sz w:val="20"/>
                <w:szCs w:val="20"/>
              </w:rPr>
              <w:t xml:space="preserve">约 </w:t>
            </w:r>
            <w:r>
              <w:rPr>
                <w:rFonts w:ascii="Times New Roman" w:hAnsi="Times New Roman" w:eastAsia="Times New Roman" w:cs="Times New Roman"/>
                <w:spacing w:val="-6"/>
                <w:sz w:val="20"/>
                <w:szCs w:val="20"/>
              </w:rPr>
              <w:t>0.9~0.91g/cm</w:t>
            </w:r>
            <w:r>
              <w:rPr>
                <w:rFonts w:ascii="Times New Roman" w:hAnsi="Times New Roman" w:eastAsia="Times New Roman" w:cs="Times New Roman"/>
                <w:spacing w:val="-6"/>
                <w:position w:val="6"/>
                <w:sz w:val="13"/>
                <w:szCs w:val="13"/>
              </w:rPr>
              <w:t xml:space="preserve">3 </w:t>
            </w:r>
            <w:r>
              <w:rPr>
                <w:rFonts w:ascii="宋体" w:hAnsi="宋体" w:eastAsia="宋体" w:cs="宋体"/>
                <w:spacing w:val="-6"/>
                <w:sz w:val="20"/>
                <w:szCs w:val="20"/>
              </w:rPr>
              <w:t xml:space="preserve">，成型收缩率 </w:t>
            </w:r>
            <w:r>
              <w:rPr>
                <w:rFonts w:ascii="Times New Roman" w:hAnsi="Times New Roman" w:eastAsia="Times New Roman" w:cs="Times New Roman"/>
                <w:spacing w:val="-6"/>
                <w:sz w:val="20"/>
                <w:szCs w:val="20"/>
              </w:rPr>
              <w:t>1~2.5%</w:t>
            </w:r>
            <w:r>
              <w:rPr>
                <w:rFonts w:ascii="宋体" w:hAnsi="宋体" w:eastAsia="宋体" w:cs="宋体"/>
                <w:spacing w:val="-6"/>
                <w:sz w:val="20"/>
                <w:szCs w:val="20"/>
              </w:rPr>
              <w:t>，成型温度</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1</w:t>
            </w:r>
            <w:r>
              <w:rPr>
                <w:rFonts w:ascii="Times New Roman" w:hAnsi="Times New Roman" w:eastAsia="Times New Roman" w:cs="Times New Roman"/>
                <w:spacing w:val="-10"/>
                <w:sz w:val="20"/>
                <w:szCs w:val="20"/>
              </w:rPr>
              <w:t>6</w:t>
            </w:r>
            <w:r>
              <w:rPr>
                <w:rFonts w:ascii="Times New Roman" w:hAnsi="Times New Roman" w:eastAsia="Times New Roman" w:cs="Times New Roman"/>
                <w:spacing w:val="-7"/>
                <w:sz w:val="20"/>
                <w:szCs w:val="20"/>
              </w:rPr>
              <w:t xml:space="preserve">4~170℃ </w:t>
            </w:r>
            <w:r>
              <w:rPr>
                <w:rFonts w:ascii="宋体" w:hAnsi="宋体" w:eastAsia="宋体" w:cs="宋体"/>
                <w:spacing w:val="-7"/>
                <w:sz w:val="20"/>
                <w:szCs w:val="20"/>
              </w:rPr>
              <w:t>，成型性好，但因收缩率大</w:t>
            </w:r>
            <w:r>
              <w:rPr>
                <w:rFonts w:ascii="Times New Roman" w:hAnsi="Times New Roman" w:eastAsia="Times New Roman" w:cs="Times New Roman"/>
                <w:spacing w:val="-7"/>
                <w:sz w:val="20"/>
                <w:szCs w:val="20"/>
              </w:rPr>
              <w:t>(</w:t>
            </w:r>
            <w:r>
              <w:rPr>
                <w:rFonts w:ascii="宋体" w:hAnsi="宋体" w:eastAsia="宋体" w:cs="宋体"/>
                <w:spacing w:val="-7"/>
                <w:sz w:val="20"/>
                <w:szCs w:val="20"/>
              </w:rPr>
              <w:t xml:space="preserve">为 </w:t>
            </w:r>
            <w:r>
              <w:rPr>
                <w:rFonts w:ascii="Times New Roman" w:hAnsi="Times New Roman" w:eastAsia="Times New Roman" w:cs="Times New Roman"/>
                <w:spacing w:val="-7"/>
                <w:sz w:val="20"/>
                <w:szCs w:val="20"/>
              </w:rPr>
              <w:t>1%~2.5%</w:t>
            </w:r>
            <w:r>
              <w:rPr>
                <w:rFonts w:ascii="宋体" w:hAnsi="宋体" w:eastAsia="宋体" w:cs="宋体"/>
                <w:spacing w:val="-7"/>
                <w:sz w:val="20"/>
                <w:szCs w:val="20"/>
              </w:rPr>
              <w:t>) 。</w:t>
            </w:r>
            <w:r>
              <w:rPr>
                <w:rFonts w:ascii="宋体" w:hAnsi="宋体" w:eastAsia="宋体" w:cs="宋体"/>
                <w:sz w:val="20"/>
                <w:szCs w:val="20"/>
              </w:rPr>
              <w:t xml:space="preserve"> </w:t>
            </w:r>
            <w:r>
              <w:rPr>
                <w:rFonts w:ascii="宋体" w:hAnsi="宋体" w:eastAsia="宋体" w:cs="宋体"/>
                <w:spacing w:val="-14"/>
                <w:sz w:val="20"/>
                <w:szCs w:val="20"/>
              </w:rPr>
              <w:t>厚</w:t>
            </w:r>
            <w:r>
              <w:rPr>
                <w:rFonts w:ascii="宋体" w:hAnsi="宋体" w:eastAsia="宋体" w:cs="宋体"/>
                <w:spacing w:val="-13"/>
                <w:sz w:val="20"/>
                <w:szCs w:val="20"/>
              </w:rPr>
              <w:t>壁</w:t>
            </w:r>
            <w:r>
              <w:rPr>
                <w:rFonts w:ascii="宋体" w:hAnsi="宋体" w:eastAsia="宋体" w:cs="宋体"/>
                <w:spacing w:val="-7"/>
                <w:sz w:val="20"/>
                <w:szCs w:val="20"/>
              </w:rPr>
              <w:t>制品易凹陷，对一些尺寸精度较高零件，很难于达</w:t>
            </w:r>
            <w:r>
              <w:rPr>
                <w:rFonts w:ascii="宋体" w:hAnsi="宋体" w:eastAsia="宋体" w:cs="宋体"/>
                <w:sz w:val="20"/>
                <w:szCs w:val="20"/>
              </w:rPr>
              <w:t xml:space="preserve"> </w:t>
            </w:r>
            <w:r>
              <w:rPr>
                <w:rFonts w:ascii="宋体" w:hAnsi="宋体" w:eastAsia="宋体" w:cs="宋体"/>
                <w:spacing w:val="-10"/>
                <w:sz w:val="20"/>
                <w:szCs w:val="20"/>
              </w:rPr>
              <w:t>到</w:t>
            </w:r>
            <w:r>
              <w:rPr>
                <w:rFonts w:ascii="宋体" w:hAnsi="宋体" w:eastAsia="宋体" w:cs="宋体"/>
                <w:spacing w:val="-6"/>
                <w:sz w:val="20"/>
                <w:szCs w:val="20"/>
              </w:rPr>
              <w:t>要</w:t>
            </w:r>
            <w:r>
              <w:rPr>
                <w:rFonts w:ascii="宋体" w:hAnsi="宋体" w:eastAsia="宋体" w:cs="宋体"/>
                <w:spacing w:val="-5"/>
                <w:sz w:val="20"/>
                <w:szCs w:val="20"/>
              </w:rPr>
              <w:t>求，制品表面光泽好。</w:t>
            </w:r>
          </w:p>
        </w:tc>
        <w:tc>
          <w:tcPr>
            <w:tcW w:w="1716" w:type="dxa"/>
            <w:vAlign w:val="top"/>
          </w:tcPr>
          <w:p w14:paraId="04FDB440">
            <w:pPr>
              <w:spacing w:line="247" w:lineRule="auto"/>
              <w:rPr>
                <w:rFonts w:ascii="Arial"/>
                <w:sz w:val="21"/>
              </w:rPr>
            </w:pPr>
          </w:p>
          <w:p w14:paraId="6C63CA89">
            <w:pPr>
              <w:spacing w:line="247" w:lineRule="auto"/>
              <w:rPr>
                <w:rFonts w:ascii="Arial"/>
                <w:sz w:val="21"/>
              </w:rPr>
            </w:pPr>
          </w:p>
          <w:p w14:paraId="24C50F84">
            <w:pPr>
              <w:spacing w:before="65" w:line="228" w:lineRule="auto"/>
              <w:ind w:left="79"/>
              <w:rPr>
                <w:rFonts w:ascii="宋体" w:hAnsi="宋体" w:eastAsia="宋体" w:cs="宋体"/>
                <w:sz w:val="20"/>
                <w:szCs w:val="20"/>
              </w:rPr>
            </w:pPr>
            <w:r>
              <w:rPr>
                <w:rFonts w:ascii="宋体" w:hAnsi="宋体" w:eastAsia="宋体" w:cs="宋体"/>
                <w:spacing w:val="-4"/>
                <w:sz w:val="20"/>
                <w:szCs w:val="20"/>
              </w:rPr>
              <w:t>遇</w:t>
            </w:r>
            <w:r>
              <w:rPr>
                <w:rFonts w:ascii="宋体" w:hAnsi="宋体" w:eastAsia="宋体" w:cs="宋体"/>
                <w:spacing w:val="-2"/>
                <w:sz w:val="20"/>
                <w:szCs w:val="20"/>
              </w:rPr>
              <w:t>高温、明火可燃</w:t>
            </w:r>
          </w:p>
        </w:tc>
        <w:tc>
          <w:tcPr>
            <w:tcW w:w="1113" w:type="dxa"/>
            <w:tcBorders>
              <w:right w:val="nil"/>
            </w:tcBorders>
            <w:vAlign w:val="top"/>
          </w:tcPr>
          <w:p w14:paraId="08B214CB">
            <w:pPr>
              <w:spacing w:line="247" w:lineRule="auto"/>
              <w:rPr>
                <w:rFonts w:ascii="Arial"/>
                <w:sz w:val="21"/>
              </w:rPr>
            </w:pPr>
          </w:p>
          <w:p w14:paraId="347C7300">
            <w:pPr>
              <w:spacing w:line="247" w:lineRule="auto"/>
              <w:rPr>
                <w:rFonts w:ascii="Arial"/>
                <w:sz w:val="21"/>
              </w:rPr>
            </w:pPr>
          </w:p>
          <w:p w14:paraId="0A5E263D">
            <w:pPr>
              <w:spacing w:before="65" w:line="228" w:lineRule="auto"/>
              <w:ind w:left="171"/>
              <w:rPr>
                <w:rFonts w:ascii="宋体" w:hAnsi="宋体" w:eastAsia="宋体" w:cs="宋体"/>
                <w:sz w:val="20"/>
                <w:szCs w:val="20"/>
              </w:rPr>
            </w:pPr>
            <w:r>
              <w:rPr>
                <w:rFonts w:ascii="宋体" w:hAnsi="宋体" w:eastAsia="宋体" w:cs="宋体"/>
                <w:spacing w:val="-2"/>
                <w:sz w:val="20"/>
                <w:szCs w:val="20"/>
              </w:rPr>
              <w:t>无臭无毒</w:t>
            </w:r>
          </w:p>
        </w:tc>
      </w:tr>
      <w:tr w14:paraId="060E1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9" w:hRule="atLeast"/>
        </w:trPr>
        <w:tc>
          <w:tcPr>
            <w:tcW w:w="981" w:type="dxa"/>
            <w:tcBorders>
              <w:left w:val="nil"/>
            </w:tcBorders>
            <w:vAlign w:val="top"/>
          </w:tcPr>
          <w:p w14:paraId="674FCE5D">
            <w:pPr>
              <w:spacing w:line="247" w:lineRule="auto"/>
              <w:rPr>
                <w:rFonts w:ascii="Arial"/>
                <w:sz w:val="21"/>
              </w:rPr>
            </w:pPr>
          </w:p>
          <w:p w14:paraId="7E707B56">
            <w:pPr>
              <w:spacing w:line="248" w:lineRule="auto"/>
              <w:rPr>
                <w:rFonts w:ascii="Arial"/>
                <w:sz w:val="21"/>
              </w:rPr>
            </w:pPr>
          </w:p>
          <w:p w14:paraId="270ECA7E">
            <w:pPr>
              <w:spacing w:before="65" w:line="228" w:lineRule="auto"/>
              <w:ind w:left="302"/>
              <w:rPr>
                <w:rFonts w:ascii="宋体" w:hAnsi="宋体" w:eastAsia="宋体" w:cs="宋体"/>
                <w:sz w:val="20"/>
                <w:szCs w:val="20"/>
              </w:rPr>
            </w:pPr>
            <w:r>
              <w:rPr>
                <w:rFonts w:ascii="宋体" w:hAnsi="宋体" w:eastAsia="宋体" w:cs="宋体"/>
                <w:spacing w:val="-1"/>
                <w:sz w:val="20"/>
                <w:szCs w:val="20"/>
              </w:rPr>
              <w:t>火</w:t>
            </w:r>
            <w:r>
              <w:rPr>
                <w:rFonts w:ascii="宋体" w:hAnsi="宋体" w:eastAsia="宋体" w:cs="宋体"/>
                <w:sz w:val="20"/>
                <w:szCs w:val="20"/>
              </w:rPr>
              <w:t>碱</w:t>
            </w:r>
          </w:p>
        </w:tc>
        <w:tc>
          <w:tcPr>
            <w:tcW w:w="4711" w:type="dxa"/>
            <w:vAlign w:val="top"/>
          </w:tcPr>
          <w:p w14:paraId="022C0645">
            <w:pPr>
              <w:spacing w:before="4" w:line="301" w:lineRule="auto"/>
              <w:ind w:left="29" w:hanging="2"/>
              <w:rPr>
                <w:rFonts w:ascii="宋体" w:hAnsi="宋体" w:eastAsia="宋体" w:cs="宋体"/>
                <w:sz w:val="20"/>
                <w:szCs w:val="20"/>
              </w:rPr>
            </w:pPr>
            <w:r>
              <w:rPr>
                <w:rFonts w:ascii="宋体" w:hAnsi="宋体" w:eastAsia="宋体" w:cs="宋体"/>
                <w:spacing w:val="-18"/>
                <w:sz w:val="20"/>
                <w:szCs w:val="20"/>
              </w:rPr>
              <w:t>氢</w:t>
            </w:r>
            <w:r>
              <w:rPr>
                <w:rFonts w:ascii="宋体" w:hAnsi="宋体" w:eastAsia="宋体" w:cs="宋体"/>
                <w:spacing w:val="-10"/>
                <w:sz w:val="20"/>
                <w:szCs w:val="20"/>
              </w:rPr>
              <w:t>氧</w:t>
            </w:r>
            <w:r>
              <w:rPr>
                <w:rFonts w:ascii="宋体" w:hAnsi="宋体" w:eastAsia="宋体" w:cs="宋体"/>
                <w:spacing w:val="-9"/>
                <w:sz w:val="20"/>
                <w:szCs w:val="20"/>
              </w:rPr>
              <w:t>化钠，</w:t>
            </w:r>
            <w:r>
              <w:fldChar w:fldCharType="begin"/>
            </w:r>
            <w:r>
              <w:instrText xml:space="preserve"> HYPERLINK "https://baike.baidu.com/item/%E5%8C%96%E5%AD%A6%E5%BC%8F/2609855" </w:instrText>
            </w:r>
            <w:r>
              <w:fldChar w:fldCharType="separate"/>
            </w:r>
            <w:r>
              <w:rPr>
                <w:rFonts w:ascii="宋体" w:hAnsi="宋体" w:eastAsia="宋体" w:cs="宋体"/>
                <w:spacing w:val="-9"/>
                <w:sz w:val="20"/>
                <w:szCs w:val="20"/>
              </w:rPr>
              <w:t>化学式</w:t>
            </w:r>
            <w:r>
              <w:rPr>
                <w:rFonts w:ascii="宋体" w:hAnsi="宋体" w:eastAsia="宋体" w:cs="宋体"/>
                <w:spacing w:val="-9"/>
                <w:sz w:val="20"/>
                <w:szCs w:val="20"/>
              </w:rPr>
              <w:fldChar w:fldCharType="end"/>
            </w:r>
            <w:r>
              <w:rPr>
                <w:rFonts w:ascii="宋体" w:hAnsi="宋体" w:eastAsia="宋体" w:cs="宋体"/>
                <w:spacing w:val="-9"/>
                <w:sz w:val="20"/>
                <w:szCs w:val="20"/>
              </w:rPr>
              <w:t>为</w:t>
            </w:r>
            <w:r>
              <w:rPr>
                <w:rFonts w:ascii="Times New Roman" w:hAnsi="Times New Roman" w:eastAsia="Times New Roman" w:cs="Times New Roman"/>
                <w:spacing w:val="-9"/>
                <w:sz w:val="20"/>
                <w:szCs w:val="20"/>
              </w:rPr>
              <w:t>NaOH</w:t>
            </w:r>
            <w:r>
              <w:rPr>
                <w:rFonts w:ascii="宋体" w:hAnsi="宋体" w:eastAsia="宋体" w:cs="宋体"/>
                <w:spacing w:val="-9"/>
                <w:sz w:val="20"/>
                <w:szCs w:val="20"/>
              </w:rPr>
              <w:t>，俗称烧碱、火碱、苛性钠，</w:t>
            </w:r>
            <w:r>
              <w:rPr>
                <w:rFonts w:ascii="宋体" w:hAnsi="宋体" w:eastAsia="宋体" w:cs="宋体"/>
                <w:sz w:val="20"/>
                <w:szCs w:val="20"/>
              </w:rPr>
              <w:t xml:space="preserve"> </w:t>
            </w:r>
            <w:r>
              <w:rPr>
                <w:rFonts w:ascii="宋体" w:hAnsi="宋体" w:eastAsia="宋体" w:cs="宋体"/>
                <w:spacing w:val="-10"/>
                <w:sz w:val="20"/>
                <w:szCs w:val="20"/>
              </w:rPr>
              <w:t>为</w:t>
            </w:r>
            <w:r>
              <w:rPr>
                <w:rFonts w:ascii="宋体" w:hAnsi="宋体" w:eastAsia="宋体" w:cs="宋体"/>
                <w:spacing w:val="-5"/>
                <w:sz w:val="20"/>
                <w:szCs w:val="20"/>
              </w:rPr>
              <w:t>一种具有强</w:t>
            </w:r>
            <w:r>
              <w:fldChar w:fldCharType="begin"/>
            </w:r>
            <w:r>
              <w:instrText xml:space="preserve"> HYPERLINK "https://baike.baidu.com/item/%E8%85%90%E8%9A%80%E6%80%A7/770500" </w:instrText>
            </w:r>
            <w:r>
              <w:fldChar w:fldCharType="separate"/>
            </w:r>
            <w:r>
              <w:rPr>
                <w:rFonts w:ascii="宋体" w:hAnsi="宋体" w:eastAsia="宋体" w:cs="宋体"/>
                <w:spacing w:val="-5"/>
                <w:sz w:val="20"/>
                <w:szCs w:val="20"/>
              </w:rPr>
              <w:t>腐蚀性</w:t>
            </w:r>
            <w:r>
              <w:rPr>
                <w:rFonts w:ascii="宋体" w:hAnsi="宋体" w:eastAsia="宋体" w:cs="宋体"/>
                <w:spacing w:val="-5"/>
                <w:sz w:val="20"/>
                <w:szCs w:val="20"/>
              </w:rPr>
              <w:fldChar w:fldCharType="end"/>
            </w:r>
            <w:r>
              <w:rPr>
                <w:rFonts w:ascii="宋体" w:hAnsi="宋体" w:eastAsia="宋体" w:cs="宋体"/>
                <w:spacing w:val="-5"/>
                <w:sz w:val="20"/>
                <w:szCs w:val="20"/>
              </w:rPr>
              <w:t>的</w:t>
            </w:r>
            <w:r>
              <w:fldChar w:fldCharType="begin"/>
            </w:r>
            <w:r>
              <w:instrText xml:space="preserve"> HYPERLINK "https://baike.baidu.com/item/%E5%BC%BA%E7%A2%B1/9177996" </w:instrText>
            </w:r>
            <w:r>
              <w:fldChar w:fldCharType="separate"/>
            </w:r>
            <w:r>
              <w:rPr>
                <w:rFonts w:ascii="宋体" w:hAnsi="宋体" w:eastAsia="宋体" w:cs="宋体"/>
                <w:spacing w:val="-5"/>
                <w:sz w:val="20"/>
                <w:szCs w:val="20"/>
              </w:rPr>
              <w:t>强碱</w:t>
            </w:r>
            <w:r>
              <w:rPr>
                <w:rFonts w:ascii="宋体" w:hAnsi="宋体" w:eastAsia="宋体" w:cs="宋体"/>
                <w:spacing w:val="-5"/>
                <w:sz w:val="20"/>
                <w:szCs w:val="20"/>
              </w:rPr>
              <w:fldChar w:fldCharType="end"/>
            </w:r>
            <w:r>
              <w:rPr>
                <w:rFonts w:ascii="宋体" w:hAnsi="宋体" w:eastAsia="宋体" w:cs="宋体"/>
                <w:spacing w:val="-5"/>
                <w:sz w:val="20"/>
                <w:szCs w:val="20"/>
              </w:rPr>
              <w:t>，一般为片状或块状形态，</w:t>
            </w:r>
            <w:r>
              <w:rPr>
                <w:rFonts w:ascii="宋体" w:hAnsi="宋体" w:eastAsia="宋体" w:cs="宋体"/>
                <w:sz w:val="20"/>
                <w:szCs w:val="20"/>
              </w:rPr>
              <w:t xml:space="preserve"> </w:t>
            </w:r>
            <w:r>
              <w:rPr>
                <w:rFonts w:ascii="宋体" w:hAnsi="宋体" w:eastAsia="宋体" w:cs="宋体"/>
                <w:spacing w:val="-12"/>
                <w:sz w:val="20"/>
                <w:szCs w:val="20"/>
              </w:rPr>
              <w:t>易溶</w:t>
            </w:r>
            <w:r>
              <w:rPr>
                <w:rFonts w:ascii="宋体" w:hAnsi="宋体" w:eastAsia="宋体" w:cs="宋体"/>
                <w:spacing w:val="-9"/>
                <w:sz w:val="20"/>
                <w:szCs w:val="20"/>
              </w:rPr>
              <w:t>于</w:t>
            </w:r>
            <w:r>
              <w:rPr>
                <w:rFonts w:ascii="宋体" w:hAnsi="宋体" w:eastAsia="宋体" w:cs="宋体"/>
                <w:spacing w:val="-6"/>
                <w:sz w:val="20"/>
                <w:szCs w:val="20"/>
              </w:rPr>
              <w:t>水 (溶于水时放热) 并形成碱性溶液，另有</w:t>
            </w:r>
            <w:r>
              <w:fldChar w:fldCharType="begin"/>
            </w:r>
            <w:r>
              <w:instrText xml:space="preserve"> HYPERLINK "https://baike.baidu.com/item/%E6%BD%AE%E8%A7%A3%E6%80%A7/9184881" </w:instrText>
            </w:r>
            <w:r>
              <w:fldChar w:fldCharType="separate"/>
            </w:r>
            <w:r>
              <w:rPr>
                <w:rFonts w:ascii="宋体" w:hAnsi="宋体" w:eastAsia="宋体" w:cs="宋体"/>
                <w:spacing w:val="-6"/>
                <w:sz w:val="20"/>
                <w:szCs w:val="20"/>
              </w:rPr>
              <w:t>潮解</w:t>
            </w:r>
            <w:r>
              <w:rPr>
                <w:rFonts w:ascii="宋体" w:hAnsi="宋体" w:eastAsia="宋体" w:cs="宋体"/>
                <w:spacing w:val="-6"/>
                <w:sz w:val="20"/>
                <w:szCs w:val="20"/>
              </w:rPr>
              <w:fldChar w:fldCharType="end"/>
            </w:r>
            <w:r>
              <w:rPr>
                <w:rFonts w:ascii="宋体" w:hAnsi="宋体" w:eastAsia="宋体" w:cs="宋体"/>
                <w:sz w:val="20"/>
                <w:szCs w:val="20"/>
              </w:rPr>
              <w:t xml:space="preserve"> </w:t>
            </w:r>
            <w:r>
              <w:rPr>
                <w:rFonts w:ascii="宋体" w:hAnsi="宋体" w:eastAsia="宋体" w:cs="宋体"/>
                <w:spacing w:val="-8"/>
                <w:sz w:val="20"/>
                <w:szCs w:val="20"/>
              </w:rPr>
              <w:t>性，易吸取</w:t>
            </w:r>
            <w:r>
              <w:fldChar w:fldCharType="begin"/>
            </w:r>
            <w:r>
              <w:instrText xml:space="preserve"> HYPERLINK "https://baike.baidu.com/item/%E7%A9%BA%E6%B0%94/2735809" </w:instrText>
            </w:r>
            <w:r>
              <w:fldChar w:fldCharType="separate"/>
            </w:r>
            <w:r>
              <w:rPr>
                <w:rFonts w:ascii="宋体" w:hAnsi="宋体" w:eastAsia="宋体" w:cs="宋体"/>
                <w:spacing w:val="-5"/>
                <w:sz w:val="20"/>
                <w:szCs w:val="20"/>
              </w:rPr>
              <w:t>空</w:t>
            </w:r>
            <w:r>
              <w:rPr>
                <w:rFonts w:ascii="宋体" w:hAnsi="宋体" w:eastAsia="宋体" w:cs="宋体"/>
                <w:spacing w:val="-4"/>
                <w:sz w:val="20"/>
                <w:szCs w:val="20"/>
              </w:rPr>
              <w:t>气</w:t>
            </w:r>
            <w:r>
              <w:rPr>
                <w:rFonts w:ascii="宋体" w:hAnsi="宋体" w:eastAsia="宋体" w:cs="宋体"/>
                <w:spacing w:val="-4"/>
                <w:sz w:val="20"/>
                <w:szCs w:val="20"/>
              </w:rPr>
              <w:fldChar w:fldCharType="end"/>
            </w:r>
            <w:r>
              <w:rPr>
                <w:rFonts w:ascii="宋体" w:hAnsi="宋体" w:eastAsia="宋体" w:cs="宋体"/>
                <w:spacing w:val="-4"/>
                <w:sz w:val="20"/>
                <w:szCs w:val="20"/>
              </w:rPr>
              <w:t>中的水蒸气(潮解)和二氧化碳(变质)。</w:t>
            </w:r>
          </w:p>
        </w:tc>
        <w:tc>
          <w:tcPr>
            <w:tcW w:w="1716" w:type="dxa"/>
            <w:vAlign w:val="top"/>
          </w:tcPr>
          <w:p w14:paraId="020AA6AB">
            <w:pPr>
              <w:spacing w:line="247" w:lineRule="auto"/>
              <w:rPr>
                <w:rFonts w:ascii="Arial"/>
                <w:sz w:val="21"/>
              </w:rPr>
            </w:pPr>
          </w:p>
          <w:p w14:paraId="425DAB50">
            <w:pPr>
              <w:spacing w:line="247" w:lineRule="auto"/>
              <w:rPr>
                <w:rFonts w:ascii="Arial"/>
                <w:sz w:val="21"/>
              </w:rPr>
            </w:pPr>
          </w:p>
          <w:p w14:paraId="6D18102C">
            <w:pPr>
              <w:spacing w:before="65" w:line="231" w:lineRule="auto"/>
              <w:ind w:left="672"/>
              <w:rPr>
                <w:rFonts w:ascii="宋体" w:hAnsi="宋体" w:eastAsia="宋体" w:cs="宋体"/>
                <w:sz w:val="20"/>
                <w:szCs w:val="20"/>
              </w:rPr>
            </w:pPr>
            <w:r>
              <w:rPr>
                <w:rFonts w:ascii="宋体" w:hAnsi="宋体" w:eastAsia="宋体" w:cs="宋体"/>
                <w:spacing w:val="-2"/>
                <w:sz w:val="20"/>
                <w:szCs w:val="20"/>
              </w:rPr>
              <w:t>不</w:t>
            </w:r>
            <w:r>
              <w:rPr>
                <w:rFonts w:ascii="宋体" w:hAnsi="宋体" w:eastAsia="宋体" w:cs="宋体"/>
                <w:spacing w:val="-1"/>
                <w:sz w:val="20"/>
                <w:szCs w:val="20"/>
              </w:rPr>
              <w:t>燃</w:t>
            </w:r>
          </w:p>
        </w:tc>
        <w:tc>
          <w:tcPr>
            <w:tcW w:w="1113" w:type="dxa"/>
            <w:tcBorders>
              <w:right w:val="nil"/>
            </w:tcBorders>
            <w:vAlign w:val="top"/>
          </w:tcPr>
          <w:p w14:paraId="2361FAEF">
            <w:pPr>
              <w:spacing w:line="247" w:lineRule="auto"/>
              <w:rPr>
                <w:rFonts w:ascii="Arial"/>
                <w:sz w:val="21"/>
              </w:rPr>
            </w:pPr>
          </w:p>
          <w:p w14:paraId="295F7C3C">
            <w:pPr>
              <w:spacing w:line="248" w:lineRule="auto"/>
              <w:rPr>
                <w:rFonts w:ascii="Arial"/>
                <w:sz w:val="21"/>
              </w:rPr>
            </w:pPr>
          </w:p>
          <w:p w14:paraId="10F62B2A">
            <w:pPr>
              <w:spacing w:before="65" w:line="228" w:lineRule="auto"/>
              <w:ind w:left="171"/>
              <w:rPr>
                <w:rFonts w:ascii="宋体" w:hAnsi="宋体" w:eastAsia="宋体" w:cs="宋体"/>
                <w:sz w:val="20"/>
                <w:szCs w:val="20"/>
              </w:rPr>
            </w:pPr>
            <w:r>
              <w:rPr>
                <w:rFonts w:ascii="宋体" w:hAnsi="宋体" w:eastAsia="宋体" w:cs="宋体"/>
                <w:spacing w:val="-2"/>
                <w:sz w:val="20"/>
                <w:szCs w:val="20"/>
              </w:rPr>
              <w:t>无臭无毒</w:t>
            </w:r>
          </w:p>
        </w:tc>
      </w:tr>
    </w:tbl>
    <w:p w14:paraId="439FC404">
      <w:pPr>
        <w:spacing w:line="269" w:lineRule="auto"/>
        <w:rPr>
          <w:rFonts w:ascii="Arial"/>
          <w:sz w:val="21"/>
        </w:rPr>
      </w:pPr>
    </w:p>
    <w:p w14:paraId="2F6ACD64">
      <w:pPr>
        <w:spacing w:before="75" w:line="227" w:lineRule="auto"/>
        <w:ind w:left="596"/>
        <w:rPr>
          <w:rFonts w:ascii="宋体" w:hAnsi="宋体" w:eastAsia="宋体" w:cs="宋体"/>
          <w:sz w:val="23"/>
          <w:szCs w:val="23"/>
        </w:rPr>
      </w:pPr>
      <w:r>
        <w:rPr>
          <w:rFonts w:ascii="宋体" w:hAnsi="宋体" w:eastAsia="宋体" w:cs="宋体"/>
          <w:spacing w:val="9"/>
          <w:sz w:val="23"/>
          <w:szCs w:val="23"/>
        </w:rPr>
        <w:t>废</w:t>
      </w:r>
      <w:r>
        <w:rPr>
          <w:rFonts w:ascii="宋体" w:hAnsi="宋体" w:eastAsia="宋体" w:cs="宋体"/>
          <w:spacing w:val="7"/>
          <w:sz w:val="23"/>
          <w:szCs w:val="23"/>
        </w:rPr>
        <w:t>塑料回收和贮存要求：</w:t>
      </w:r>
    </w:p>
    <w:p w14:paraId="5EE93BE2">
      <w:pPr>
        <w:spacing w:line="286" w:lineRule="auto"/>
        <w:rPr>
          <w:rFonts w:ascii="Arial"/>
          <w:sz w:val="21"/>
        </w:rPr>
      </w:pPr>
    </w:p>
    <w:p w14:paraId="69E28BF9">
      <w:pPr>
        <w:spacing w:before="75" w:line="388" w:lineRule="auto"/>
        <w:ind w:left="115" w:right="122" w:firstLine="493"/>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8"/>
          <w:sz w:val="23"/>
          <w:szCs w:val="23"/>
        </w:rPr>
        <w:t>1</w:t>
      </w:r>
      <w:r>
        <w:rPr>
          <w:rFonts w:ascii="宋体" w:hAnsi="宋体" w:eastAsia="宋体" w:cs="宋体"/>
          <w:spacing w:val="12"/>
          <w:sz w:val="23"/>
          <w:szCs w:val="23"/>
        </w:rPr>
        <w:t>) 废塑料的回收应按原料树脂种类进行分类回收，并严格区分废塑料来</w:t>
      </w:r>
      <w:r>
        <w:rPr>
          <w:rFonts w:ascii="宋体" w:hAnsi="宋体" w:eastAsia="宋体" w:cs="宋体"/>
          <w:sz w:val="23"/>
          <w:szCs w:val="23"/>
        </w:rPr>
        <w:t xml:space="preserve"> </w:t>
      </w:r>
      <w:r>
        <w:rPr>
          <w:rFonts w:ascii="宋体" w:hAnsi="宋体" w:eastAsia="宋体" w:cs="宋体"/>
          <w:spacing w:val="12"/>
          <w:sz w:val="23"/>
          <w:szCs w:val="23"/>
        </w:rPr>
        <w:t>源和原</w:t>
      </w:r>
      <w:r>
        <w:rPr>
          <w:rFonts w:ascii="宋体" w:hAnsi="宋体" w:eastAsia="宋体" w:cs="宋体"/>
          <w:spacing w:val="10"/>
          <w:sz w:val="23"/>
          <w:szCs w:val="23"/>
        </w:rPr>
        <w:t>用</w:t>
      </w:r>
      <w:r>
        <w:rPr>
          <w:rFonts w:ascii="宋体" w:hAnsi="宋体" w:eastAsia="宋体" w:cs="宋体"/>
          <w:spacing w:val="6"/>
          <w:sz w:val="23"/>
          <w:szCs w:val="23"/>
        </w:rPr>
        <w:t>途。不得回收和再生利用属于医疗废物和危险废物的废塑料。禁止使用</w:t>
      </w:r>
      <w:r>
        <w:rPr>
          <w:rFonts w:ascii="宋体" w:hAnsi="宋体" w:eastAsia="宋体" w:cs="宋体"/>
          <w:sz w:val="23"/>
          <w:szCs w:val="23"/>
        </w:rPr>
        <w:t xml:space="preserve"> </w:t>
      </w:r>
      <w:r>
        <w:rPr>
          <w:rFonts w:ascii="宋体" w:hAnsi="宋体" w:eastAsia="宋体" w:cs="宋体"/>
          <w:spacing w:val="12"/>
          <w:sz w:val="23"/>
          <w:szCs w:val="23"/>
        </w:rPr>
        <w:t>进口废塑</w:t>
      </w:r>
      <w:r>
        <w:rPr>
          <w:rFonts w:ascii="宋体" w:hAnsi="宋体" w:eastAsia="宋体" w:cs="宋体"/>
          <w:spacing w:val="6"/>
          <w:sz w:val="23"/>
          <w:szCs w:val="23"/>
        </w:rPr>
        <w:t>料。该项目所在地钢铁业发达，废旧编织袋原用途主要为钢铁公司所用</w:t>
      </w:r>
      <w:r>
        <w:rPr>
          <w:rFonts w:ascii="宋体" w:hAnsi="宋体" w:eastAsia="宋体" w:cs="宋体"/>
          <w:sz w:val="23"/>
          <w:szCs w:val="23"/>
        </w:rPr>
        <w:t xml:space="preserve"> </w:t>
      </w:r>
      <w:r>
        <w:rPr>
          <w:rFonts w:ascii="宋体" w:hAnsi="宋体" w:eastAsia="宋体" w:cs="宋体"/>
          <w:spacing w:val="12"/>
          <w:sz w:val="23"/>
          <w:szCs w:val="23"/>
        </w:rPr>
        <w:t>原料合金</w:t>
      </w:r>
      <w:r>
        <w:rPr>
          <w:rFonts w:ascii="宋体" w:hAnsi="宋体" w:eastAsia="宋体" w:cs="宋体"/>
          <w:spacing w:val="6"/>
          <w:sz w:val="23"/>
          <w:szCs w:val="23"/>
        </w:rPr>
        <w:t>铁及铝锭的包装袋及平山区利安建材城所销售砂子的包装袋，原料中仅</w:t>
      </w:r>
      <w:r>
        <w:rPr>
          <w:rFonts w:ascii="宋体" w:hAnsi="宋体" w:eastAsia="宋体" w:cs="宋体"/>
          <w:sz w:val="23"/>
          <w:szCs w:val="23"/>
        </w:rPr>
        <w:t xml:space="preserve"> </w:t>
      </w:r>
      <w:r>
        <w:rPr>
          <w:rFonts w:ascii="宋体" w:hAnsi="宋体" w:eastAsia="宋体" w:cs="宋体"/>
          <w:spacing w:val="11"/>
          <w:sz w:val="23"/>
          <w:szCs w:val="23"/>
        </w:rPr>
        <w:t>夹带泥土等杂质，不在国家危险废物名录之列，均为</w:t>
      </w:r>
      <w:r>
        <w:rPr>
          <w:rFonts w:ascii="Times New Roman" w:hAnsi="Times New Roman" w:eastAsia="Times New Roman" w:cs="Times New Roman"/>
          <w:spacing w:val="11"/>
          <w:sz w:val="23"/>
          <w:szCs w:val="23"/>
        </w:rPr>
        <w:t>Ⅰ</w:t>
      </w:r>
      <w:r>
        <w:rPr>
          <w:rFonts w:ascii="宋体" w:hAnsi="宋体" w:eastAsia="宋体" w:cs="宋体"/>
          <w:spacing w:val="11"/>
          <w:sz w:val="23"/>
          <w:szCs w:val="23"/>
        </w:rPr>
        <w:t>类一般固体废物。本项目</w:t>
      </w:r>
      <w:r>
        <w:rPr>
          <w:rFonts w:ascii="宋体" w:hAnsi="宋体" w:eastAsia="宋体" w:cs="宋体"/>
          <w:sz w:val="23"/>
          <w:szCs w:val="23"/>
        </w:rPr>
        <w:t xml:space="preserve"> </w:t>
      </w:r>
      <w:r>
        <w:rPr>
          <w:rFonts w:ascii="宋体" w:hAnsi="宋体" w:eastAsia="宋体" w:cs="宋体"/>
          <w:spacing w:val="8"/>
          <w:sz w:val="23"/>
          <w:szCs w:val="23"/>
        </w:rPr>
        <w:t>收购的废旧编织袋不包含化肥包装袋</w:t>
      </w:r>
      <w:r>
        <w:rPr>
          <w:rFonts w:ascii="宋体" w:hAnsi="宋体" w:eastAsia="宋体" w:cs="宋体"/>
          <w:spacing w:val="5"/>
          <w:sz w:val="23"/>
          <w:szCs w:val="23"/>
        </w:rPr>
        <w:t>。</w:t>
      </w:r>
    </w:p>
    <w:p w14:paraId="5A8D0DFD">
      <w:pPr>
        <w:spacing w:before="147" w:line="393" w:lineRule="auto"/>
        <w:ind w:left="122" w:right="124" w:firstLine="486"/>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2"/>
          <w:sz w:val="23"/>
          <w:szCs w:val="23"/>
        </w:rPr>
        <w:t>) 企业必须配备废塑料分类存放场所。原料、产品、本企业不能利用废</w:t>
      </w:r>
      <w:r>
        <w:rPr>
          <w:rFonts w:ascii="宋体" w:hAnsi="宋体" w:eastAsia="宋体" w:cs="宋体"/>
          <w:sz w:val="23"/>
          <w:szCs w:val="23"/>
        </w:rPr>
        <w:t xml:space="preserve"> </w:t>
      </w:r>
      <w:r>
        <w:rPr>
          <w:rFonts w:ascii="宋体" w:hAnsi="宋体" w:eastAsia="宋体" w:cs="宋体"/>
          <w:spacing w:val="12"/>
          <w:sz w:val="23"/>
          <w:szCs w:val="23"/>
        </w:rPr>
        <w:t>塑料</w:t>
      </w:r>
      <w:r>
        <w:rPr>
          <w:rFonts w:ascii="宋体" w:hAnsi="宋体" w:eastAsia="宋体" w:cs="宋体"/>
          <w:spacing w:val="9"/>
          <w:sz w:val="23"/>
          <w:szCs w:val="23"/>
        </w:rPr>
        <w:t>及</w:t>
      </w:r>
      <w:r>
        <w:rPr>
          <w:rFonts w:ascii="宋体" w:hAnsi="宋体" w:eastAsia="宋体" w:cs="宋体"/>
          <w:spacing w:val="6"/>
          <w:sz w:val="23"/>
          <w:szCs w:val="23"/>
        </w:rPr>
        <w:t>不可利用废物贮存在具有防雨、防风、防渗等功能的厂房或加盖雨棚的专</w:t>
      </w:r>
    </w:p>
    <w:p w14:paraId="52DF964A">
      <w:pPr>
        <w:sectPr>
          <w:footerReference r:id="rId96" w:type="default"/>
          <w:pgSz w:w="11906" w:h="16839"/>
          <w:pgMar w:top="1132" w:right="1691" w:bottom="1156" w:left="1691" w:header="878" w:footer="996" w:gutter="0"/>
          <w:cols w:space="720" w:num="1"/>
        </w:sectPr>
      </w:pPr>
    </w:p>
    <w:p w14:paraId="23CDA2D9">
      <w:pPr>
        <w:spacing w:line="14"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1"/>
        <w:gridCol w:w="4261"/>
      </w:tblGrid>
      <w:tr w14:paraId="4B706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7" w:hRule="atLeast"/>
        </w:trPr>
        <w:tc>
          <w:tcPr>
            <w:tcW w:w="8522" w:type="dxa"/>
            <w:gridSpan w:val="2"/>
            <w:tcBorders>
              <w:left w:val="nil"/>
              <w:right w:val="nil"/>
            </w:tcBorders>
            <w:vAlign w:val="top"/>
          </w:tcPr>
          <w:p w14:paraId="40377B5C">
            <w:pPr>
              <w:spacing w:line="389" w:lineRule="auto"/>
              <w:rPr>
                <w:rFonts w:ascii="Arial"/>
                <w:sz w:val="21"/>
              </w:rPr>
            </w:pPr>
          </w:p>
          <w:p w14:paraId="19DCFEAD">
            <w:pPr>
              <w:spacing w:before="75" w:line="227" w:lineRule="auto"/>
              <w:ind w:left="144"/>
              <w:rPr>
                <w:rFonts w:ascii="宋体" w:hAnsi="宋体" w:eastAsia="宋体" w:cs="宋体"/>
                <w:sz w:val="23"/>
                <w:szCs w:val="23"/>
              </w:rPr>
            </w:pPr>
            <w:r>
              <w:rPr>
                <w:rFonts w:ascii="宋体" w:hAnsi="宋体" w:eastAsia="宋体" w:cs="宋体"/>
                <w:spacing w:val="10"/>
                <w:sz w:val="23"/>
                <w:szCs w:val="23"/>
              </w:rPr>
              <w:t>门贮</w:t>
            </w:r>
            <w:r>
              <w:rPr>
                <w:rFonts w:ascii="宋体" w:hAnsi="宋体" w:eastAsia="宋体" w:cs="宋体"/>
                <w:spacing w:val="6"/>
                <w:sz w:val="23"/>
                <w:szCs w:val="23"/>
              </w:rPr>
              <w:t>存</w:t>
            </w:r>
            <w:r>
              <w:rPr>
                <w:rFonts w:ascii="宋体" w:hAnsi="宋体" w:eastAsia="宋体" w:cs="宋体"/>
                <w:spacing w:val="5"/>
                <w:sz w:val="23"/>
                <w:szCs w:val="23"/>
              </w:rPr>
              <w:t>场地内，无露天堆放现象。</w:t>
            </w:r>
          </w:p>
          <w:p w14:paraId="4ECCFFF0">
            <w:pPr>
              <w:spacing w:line="288" w:lineRule="auto"/>
              <w:rPr>
                <w:rFonts w:ascii="Arial"/>
                <w:sz w:val="21"/>
              </w:rPr>
            </w:pPr>
          </w:p>
          <w:p w14:paraId="2C13DE7E">
            <w:pPr>
              <w:spacing w:before="75" w:line="227" w:lineRule="auto"/>
              <w:ind w:left="608"/>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不同种类、不同来源的废塑料，应分开存放</w:t>
            </w:r>
            <w:r>
              <w:rPr>
                <w:rFonts w:ascii="宋体" w:hAnsi="宋体" w:eastAsia="宋体" w:cs="宋体"/>
                <w:spacing w:val="11"/>
                <w:sz w:val="23"/>
                <w:szCs w:val="23"/>
              </w:rPr>
              <w:t>。</w:t>
            </w:r>
          </w:p>
          <w:p w14:paraId="42685A80">
            <w:pPr>
              <w:spacing w:line="286" w:lineRule="auto"/>
              <w:rPr>
                <w:rFonts w:ascii="Arial"/>
                <w:sz w:val="21"/>
              </w:rPr>
            </w:pPr>
          </w:p>
          <w:p w14:paraId="0D18506A">
            <w:pPr>
              <w:spacing w:before="75" w:line="227" w:lineRule="auto"/>
              <w:ind w:left="606"/>
              <w:rPr>
                <w:rFonts w:ascii="宋体" w:hAnsi="宋体" w:eastAsia="宋体" w:cs="宋体"/>
                <w:sz w:val="23"/>
                <w:szCs w:val="23"/>
              </w:rPr>
            </w:pPr>
            <w:r>
              <w:rPr>
                <w:rFonts w:ascii="宋体" w:hAnsi="宋体" w:eastAsia="宋体" w:cs="宋体"/>
                <w:spacing w:val="50"/>
                <w:sz w:val="20"/>
                <w:szCs w:val="20"/>
              </w:rPr>
              <w:t>(</w:t>
            </w:r>
            <w:r>
              <w:rPr>
                <w:rFonts w:ascii="Times New Roman" w:hAnsi="Times New Roman" w:eastAsia="Times New Roman" w:cs="Times New Roman"/>
                <w:spacing w:val="28"/>
                <w:sz w:val="20"/>
                <w:szCs w:val="20"/>
              </w:rPr>
              <w:t>4</w:t>
            </w:r>
            <w:r>
              <w:rPr>
                <w:rFonts w:ascii="宋体" w:hAnsi="宋体" w:eastAsia="宋体" w:cs="宋体"/>
                <w:spacing w:val="28"/>
                <w:sz w:val="20"/>
                <w:szCs w:val="20"/>
              </w:rPr>
              <w:t xml:space="preserve">) </w:t>
            </w:r>
            <w:r>
              <w:rPr>
                <w:rFonts w:ascii="宋体" w:hAnsi="宋体" w:eastAsia="宋体" w:cs="宋体"/>
                <w:spacing w:val="28"/>
                <w:sz w:val="23"/>
                <w:szCs w:val="23"/>
              </w:rPr>
              <w:t>禁止在居民 区加工利用废塑料 。禁止利用废塑料生产厚度小于</w:t>
            </w:r>
          </w:p>
          <w:p w14:paraId="2A8E87E9">
            <w:pPr>
              <w:spacing w:before="196" w:line="393" w:lineRule="auto"/>
              <w:ind w:left="118" w:right="124" w:hanging="2"/>
              <w:rPr>
                <w:rFonts w:ascii="宋体" w:hAnsi="宋体" w:eastAsia="宋体" w:cs="宋体"/>
                <w:sz w:val="23"/>
                <w:szCs w:val="23"/>
              </w:rPr>
            </w:pPr>
            <w:r>
              <w:rPr>
                <w:rFonts w:ascii="Times New Roman" w:hAnsi="Times New Roman" w:eastAsia="Times New Roman" w:cs="Times New Roman"/>
                <w:spacing w:val="16"/>
                <w:sz w:val="23"/>
                <w:szCs w:val="23"/>
              </w:rPr>
              <w:t>0</w:t>
            </w:r>
            <w:r>
              <w:rPr>
                <w:rFonts w:ascii="Times New Roman" w:hAnsi="Times New Roman" w:eastAsia="Times New Roman" w:cs="Times New Roman"/>
                <w:spacing w:val="8"/>
                <w:sz w:val="23"/>
                <w:szCs w:val="23"/>
              </w:rPr>
              <w:t>.025</w:t>
            </w:r>
            <w:r>
              <w:rPr>
                <w:rFonts w:ascii="Times New Roman" w:hAnsi="Times New Roman" w:eastAsia="Times New Roman" w:cs="Times New Roman"/>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的超薄塑料购物袋和厚度小于 </w:t>
            </w:r>
            <w:r>
              <w:rPr>
                <w:rFonts w:ascii="Times New Roman" w:hAnsi="Times New Roman" w:eastAsia="Times New Roman" w:cs="Times New Roman"/>
                <w:spacing w:val="8"/>
                <w:sz w:val="23"/>
                <w:szCs w:val="23"/>
              </w:rPr>
              <w:t>0.015</w:t>
            </w:r>
            <w:r>
              <w:rPr>
                <w:rFonts w:ascii="Times New Roman" w:hAnsi="Times New Roman" w:eastAsia="Times New Roman" w:cs="Times New Roman"/>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超薄塑料袋。禁止利用废塑料</w:t>
            </w:r>
            <w:r>
              <w:rPr>
                <w:rFonts w:ascii="宋体" w:hAnsi="宋体" w:eastAsia="宋体" w:cs="宋体"/>
                <w:sz w:val="23"/>
                <w:szCs w:val="23"/>
              </w:rPr>
              <w:t xml:space="preserve"> </w:t>
            </w:r>
            <w:r>
              <w:rPr>
                <w:rFonts w:ascii="宋体" w:hAnsi="宋体" w:eastAsia="宋体" w:cs="宋体"/>
                <w:spacing w:val="11"/>
                <w:sz w:val="23"/>
                <w:szCs w:val="23"/>
              </w:rPr>
              <w:t>生</w:t>
            </w:r>
            <w:r>
              <w:rPr>
                <w:rFonts w:ascii="宋体" w:hAnsi="宋体" w:eastAsia="宋体" w:cs="宋体"/>
                <w:spacing w:val="6"/>
                <w:sz w:val="23"/>
                <w:szCs w:val="23"/>
              </w:rPr>
              <w:t>产食品用塑料袋。</w:t>
            </w:r>
          </w:p>
          <w:p w14:paraId="53868F68">
            <w:pPr>
              <w:spacing w:before="148" w:line="226" w:lineRule="auto"/>
              <w:ind w:left="568"/>
              <w:rPr>
                <w:rFonts w:ascii="宋体" w:hAnsi="宋体" w:eastAsia="宋体" w:cs="宋体"/>
                <w:sz w:val="23"/>
                <w:szCs w:val="23"/>
              </w:rPr>
            </w:pPr>
            <w:r>
              <w:rPr>
                <w:rFonts w:ascii="宋体" w:hAnsi="宋体" w:eastAsia="宋体" w:cs="宋体"/>
                <w:spacing w:val="-5"/>
                <w:sz w:val="23"/>
                <w:szCs w:val="23"/>
              </w:rPr>
              <w:t xml:space="preserve">根据企业提供的拟采取生物质成型燃料检验报告，其组分见表 </w:t>
            </w:r>
            <w:r>
              <w:rPr>
                <w:rFonts w:ascii="Times New Roman" w:hAnsi="Times New Roman" w:eastAsia="Times New Roman" w:cs="Times New Roman"/>
                <w:spacing w:val="-5"/>
                <w:sz w:val="23"/>
                <w:szCs w:val="23"/>
              </w:rPr>
              <w:t>3-7</w:t>
            </w:r>
            <w:r>
              <w:rPr>
                <w:rFonts w:ascii="宋体" w:hAnsi="宋体" w:eastAsia="宋体" w:cs="宋体"/>
                <w:spacing w:val="-2"/>
                <w:sz w:val="23"/>
                <w:szCs w:val="23"/>
              </w:rPr>
              <w:t>。</w:t>
            </w:r>
          </w:p>
          <w:p w14:paraId="4F88236C">
            <w:pPr>
              <w:spacing w:line="288" w:lineRule="auto"/>
              <w:rPr>
                <w:rFonts w:ascii="Arial"/>
                <w:sz w:val="21"/>
              </w:rPr>
            </w:pPr>
          </w:p>
          <w:p w14:paraId="78377F5B">
            <w:pPr>
              <w:spacing w:before="75" w:line="227" w:lineRule="auto"/>
              <w:ind w:left="248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3-7</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生物</w:t>
            </w:r>
            <w:r>
              <w:rPr>
                <w:rFonts w:ascii="宋体" w:hAnsi="宋体" w:eastAsia="宋体" w:cs="宋体"/>
                <w:spacing w:val="-1"/>
                <w:sz w:val="23"/>
                <w:szCs w:val="23"/>
                <w14:textOutline w14:w="4358" w14:cap="sq" w14:cmpd="sng">
                  <w14:solidFill>
                    <w14:srgbClr w14:val="000000"/>
                  </w14:solidFill>
                  <w14:prstDash w14:val="solid"/>
                  <w14:bevel/>
                </w14:textOutline>
              </w:rPr>
              <w:t>质成型燃料检验结果</w:t>
            </w:r>
          </w:p>
        </w:tc>
      </w:tr>
      <w:tr w14:paraId="62007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261" w:type="dxa"/>
            <w:tcBorders>
              <w:left w:val="nil"/>
            </w:tcBorders>
            <w:vAlign w:val="top"/>
          </w:tcPr>
          <w:p w14:paraId="3EA1EB1E">
            <w:pPr>
              <w:spacing w:before="76" w:line="228" w:lineRule="auto"/>
              <w:ind w:left="174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项目名</w:t>
            </w:r>
            <w:r>
              <w:rPr>
                <w:rFonts w:ascii="宋体" w:hAnsi="宋体" w:eastAsia="宋体" w:cs="宋体"/>
                <w:spacing w:val="-1"/>
                <w:sz w:val="20"/>
                <w:szCs w:val="20"/>
                <w14:textOutline w14:w="3795" w14:cap="sq" w14:cmpd="sng">
                  <w14:solidFill>
                    <w14:srgbClr w14:val="000000"/>
                  </w14:solidFill>
                  <w14:prstDash w14:val="solid"/>
                  <w14:bevel/>
                </w14:textOutline>
              </w:rPr>
              <w:t>称</w:t>
            </w:r>
          </w:p>
        </w:tc>
        <w:tc>
          <w:tcPr>
            <w:tcW w:w="4261" w:type="dxa"/>
            <w:tcBorders>
              <w:right w:val="nil"/>
            </w:tcBorders>
            <w:vAlign w:val="top"/>
          </w:tcPr>
          <w:p w14:paraId="6DE27970">
            <w:pPr>
              <w:spacing w:before="76" w:line="228" w:lineRule="auto"/>
              <w:ind w:left="1944"/>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结</w:t>
            </w:r>
            <w:r>
              <w:rPr>
                <w:rFonts w:ascii="宋体" w:hAnsi="宋体" w:eastAsia="宋体" w:cs="宋体"/>
                <w:spacing w:val="-2"/>
                <w:sz w:val="20"/>
                <w:szCs w:val="20"/>
                <w14:textOutline w14:w="3795" w14:cap="sq" w14:cmpd="sng">
                  <w14:solidFill>
                    <w14:srgbClr w14:val="000000"/>
                  </w14:solidFill>
                  <w14:prstDash w14:val="solid"/>
                  <w14:bevel/>
                </w14:textOutline>
              </w:rPr>
              <w:t>果</w:t>
            </w:r>
          </w:p>
        </w:tc>
      </w:tr>
      <w:tr w14:paraId="69F89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261" w:type="dxa"/>
            <w:tcBorders>
              <w:left w:val="nil"/>
            </w:tcBorders>
            <w:vAlign w:val="top"/>
          </w:tcPr>
          <w:p w14:paraId="1EB441BD">
            <w:pPr>
              <w:spacing w:before="27" w:line="281" w:lineRule="exact"/>
              <w:ind w:left="881"/>
              <w:rPr>
                <w:rFonts w:ascii="宋体" w:hAnsi="宋体" w:eastAsia="宋体" w:cs="宋体"/>
                <w:sz w:val="20"/>
                <w:szCs w:val="20"/>
              </w:rPr>
            </w:pPr>
            <w:r>
              <w:rPr>
                <w:rFonts w:ascii="宋体" w:hAnsi="宋体" w:eastAsia="宋体" w:cs="宋体"/>
                <w:spacing w:val="-3"/>
                <w:position w:val="2"/>
                <w:sz w:val="20"/>
                <w:szCs w:val="20"/>
              </w:rPr>
              <w:t>收到基低位发热量 (</w:t>
            </w:r>
            <w:r>
              <w:rPr>
                <w:rFonts w:ascii="Times New Roman" w:hAnsi="Times New Roman" w:eastAsia="Times New Roman" w:cs="Times New Roman"/>
                <w:spacing w:val="-3"/>
                <w:position w:val="2"/>
                <w:sz w:val="20"/>
                <w:szCs w:val="20"/>
              </w:rPr>
              <w:t>kcal/kg</w:t>
            </w:r>
            <w:r>
              <w:rPr>
                <w:rFonts w:ascii="宋体" w:hAnsi="宋体" w:eastAsia="宋体" w:cs="宋体"/>
                <w:spacing w:val="-3"/>
                <w:position w:val="2"/>
                <w:sz w:val="20"/>
                <w:szCs w:val="20"/>
              </w:rPr>
              <w:t>)</w:t>
            </w:r>
          </w:p>
        </w:tc>
        <w:tc>
          <w:tcPr>
            <w:tcW w:w="4261" w:type="dxa"/>
            <w:tcBorders>
              <w:right w:val="nil"/>
            </w:tcBorders>
            <w:vAlign w:val="top"/>
          </w:tcPr>
          <w:p w14:paraId="03717D6F">
            <w:pPr>
              <w:spacing w:before="100" w:line="195" w:lineRule="auto"/>
              <w:ind w:left="19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782</w:t>
            </w:r>
          </w:p>
        </w:tc>
      </w:tr>
      <w:tr w14:paraId="4F7FF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261" w:type="dxa"/>
            <w:tcBorders>
              <w:left w:val="nil"/>
            </w:tcBorders>
            <w:vAlign w:val="top"/>
          </w:tcPr>
          <w:p w14:paraId="411B0343">
            <w:pPr>
              <w:spacing w:before="29" w:line="281" w:lineRule="exact"/>
              <w:ind w:left="1124"/>
              <w:rPr>
                <w:rFonts w:ascii="宋体" w:hAnsi="宋体" w:eastAsia="宋体" w:cs="宋体"/>
                <w:sz w:val="20"/>
                <w:szCs w:val="20"/>
              </w:rPr>
            </w:pPr>
            <w:r>
              <w:rPr>
                <w:rFonts w:ascii="宋体" w:hAnsi="宋体" w:eastAsia="宋体" w:cs="宋体"/>
                <w:spacing w:val="-6"/>
                <w:position w:val="1"/>
                <w:sz w:val="20"/>
                <w:szCs w:val="20"/>
              </w:rPr>
              <w:t xml:space="preserve">收到基全硫 </w:t>
            </w:r>
            <w:r>
              <w:rPr>
                <w:rFonts w:ascii="Times New Roman" w:hAnsi="Times New Roman" w:eastAsia="Times New Roman" w:cs="Times New Roman"/>
                <w:spacing w:val="-6"/>
                <w:position w:val="1"/>
                <w:sz w:val="20"/>
                <w:szCs w:val="20"/>
              </w:rPr>
              <w:t>St</w:t>
            </w: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 xml:space="preserve">d  </w:t>
            </w: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w:t>
            </w:r>
          </w:p>
        </w:tc>
        <w:tc>
          <w:tcPr>
            <w:tcW w:w="4261" w:type="dxa"/>
            <w:tcBorders>
              <w:right w:val="nil"/>
            </w:tcBorders>
            <w:vAlign w:val="top"/>
          </w:tcPr>
          <w:p w14:paraId="53449BEC">
            <w:pPr>
              <w:spacing w:before="102" w:line="195" w:lineRule="auto"/>
              <w:ind w:left="196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0. 10</w:t>
            </w:r>
          </w:p>
        </w:tc>
      </w:tr>
      <w:tr w14:paraId="2CB7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261" w:type="dxa"/>
            <w:tcBorders>
              <w:left w:val="nil"/>
            </w:tcBorders>
            <w:vAlign w:val="top"/>
          </w:tcPr>
          <w:p w14:paraId="7E52B463">
            <w:pPr>
              <w:spacing w:before="27" w:line="281" w:lineRule="exact"/>
              <w:ind w:left="1136"/>
              <w:rPr>
                <w:rFonts w:ascii="宋体" w:hAnsi="宋体" w:eastAsia="宋体" w:cs="宋体"/>
                <w:sz w:val="20"/>
                <w:szCs w:val="20"/>
              </w:rPr>
            </w:pPr>
            <w:r>
              <w:rPr>
                <w:rFonts w:ascii="宋体" w:hAnsi="宋体" w:eastAsia="宋体" w:cs="宋体"/>
                <w:spacing w:val="-6"/>
                <w:position w:val="1"/>
                <w:sz w:val="20"/>
                <w:szCs w:val="20"/>
              </w:rPr>
              <w:t xml:space="preserve">收到基全水分 </w:t>
            </w:r>
            <w:r>
              <w:rPr>
                <w:rFonts w:ascii="Times New Roman" w:hAnsi="Times New Roman" w:eastAsia="Times New Roman" w:cs="Times New Roman"/>
                <w:spacing w:val="-6"/>
                <w:position w:val="1"/>
                <w:sz w:val="20"/>
                <w:szCs w:val="20"/>
              </w:rPr>
              <w:t>M</w:t>
            </w:r>
            <w:r>
              <w:rPr>
                <w:rFonts w:ascii="Times New Roman" w:hAnsi="Times New Roman" w:eastAsia="Times New Roman" w:cs="Times New Roman"/>
                <w:spacing w:val="-5"/>
                <w:position w:val="1"/>
                <w:sz w:val="20"/>
                <w:szCs w:val="20"/>
              </w:rPr>
              <w:t>t</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w:t>
            </w:r>
          </w:p>
        </w:tc>
        <w:tc>
          <w:tcPr>
            <w:tcW w:w="4261" w:type="dxa"/>
            <w:tcBorders>
              <w:right w:val="nil"/>
            </w:tcBorders>
            <w:vAlign w:val="top"/>
          </w:tcPr>
          <w:p w14:paraId="380DB681">
            <w:pPr>
              <w:spacing w:before="100" w:line="195" w:lineRule="auto"/>
              <w:ind w:left="20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0</w:t>
            </w:r>
          </w:p>
        </w:tc>
      </w:tr>
      <w:tr w14:paraId="3A013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261" w:type="dxa"/>
            <w:tcBorders>
              <w:left w:val="nil"/>
            </w:tcBorders>
            <w:vAlign w:val="top"/>
          </w:tcPr>
          <w:p w14:paraId="7048E11C">
            <w:pPr>
              <w:spacing w:before="28" w:line="281" w:lineRule="exact"/>
              <w:ind w:left="1123"/>
              <w:rPr>
                <w:rFonts w:ascii="宋体" w:hAnsi="宋体" w:eastAsia="宋体" w:cs="宋体"/>
                <w:sz w:val="20"/>
                <w:szCs w:val="20"/>
              </w:rPr>
            </w:pPr>
            <w:r>
              <w:rPr>
                <w:rFonts w:ascii="宋体" w:hAnsi="宋体" w:eastAsia="宋体" w:cs="宋体"/>
                <w:spacing w:val="3"/>
                <w:position w:val="1"/>
                <w:sz w:val="20"/>
                <w:szCs w:val="20"/>
              </w:rPr>
              <w:t>干</w:t>
            </w:r>
            <w:r>
              <w:rPr>
                <w:rFonts w:ascii="宋体" w:hAnsi="宋体" w:eastAsia="宋体" w:cs="宋体"/>
                <w:spacing w:val="2"/>
                <w:position w:val="1"/>
                <w:sz w:val="20"/>
                <w:szCs w:val="20"/>
              </w:rPr>
              <w:t>燥基挥发分</w:t>
            </w:r>
            <w:r>
              <w:rPr>
                <w:rFonts w:ascii="Times New Roman" w:hAnsi="Times New Roman" w:eastAsia="Times New Roman" w:cs="Times New Roman"/>
                <w:position w:val="1"/>
                <w:sz w:val="20"/>
                <w:szCs w:val="20"/>
              </w:rPr>
              <w:t>Vd</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w:t>
            </w:r>
          </w:p>
        </w:tc>
        <w:tc>
          <w:tcPr>
            <w:tcW w:w="4261" w:type="dxa"/>
            <w:tcBorders>
              <w:right w:val="nil"/>
            </w:tcBorders>
            <w:vAlign w:val="top"/>
          </w:tcPr>
          <w:p w14:paraId="33131FB0">
            <w:pPr>
              <w:spacing w:before="101" w:line="195" w:lineRule="auto"/>
              <w:ind w:left="1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w:t>
            </w:r>
            <w:r>
              <w:rPr>
                <w:rFonts w:ascii="Times New Roman" w:hAnsi="Times New Roman" w:eastAsia="Times New Roman" w:cs="Times New Roman"/>
                <w:spacing w:val="-1"/>
                <w:sz w:val="20"/>
                <w:szCs w:val="20"/>
              </w:rPr>
              <w:t>98</w:t>
            </w:r>
          </w:p>
        </w:tc>
      </w:tr>
      <w:tr w14:paraId="103D2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4261" w:type="dxa"/>
            <w:tcBorders>
              <w:left w:val="nil"/>
            </w:tcBorders>
            <w:vAlign w:val="top"/>
          </w:tcPr>
          <w:p w14:paraId="395B0BF6">
            <w:pPr>
              <w:spacing w:before="29" w:line="281" w:lineRule="exact"/>
              <w:ind w:left="1221"/>
              <w:rPr>
                <w:rFonts w:ascii="宋体" w:hAnsi="宋体" w:eastAsia="宋体" w:cs="宋体"/>
                <w:sz w:val="20"/>
                <w:szCs w:val="20"/>
              </w:rPr>
            </w:pPr>
            <w:r>
              <w:rPr>
                <w:rFonts w:ascii="宋体" w:hAnsi="宋体" w:eastAsia="宋体" w:cs="宋体"/>
                <w:spacing w:val="3"/>
                <w:position w:val="1"/>
                <w:sz w:val="20"/>
                <w:szCs w:val="20"/>
              </w:rPr>
              <w:t>干燥基灰分</w:t>
            </w:r>
            <w:r>
              <w:rPr>
                <w:rFonts w:ascii="Times New Roman" w:hAnsi="Times New Roman" w:eastAsia="Times New Roman" w:cs="Times New Roman"/>
                <w:position w:val="1"/>
                <w:sz w:val="20"/>
                <w:szCs w:val="20"/>
              </w:rPr>
              <w:t>Ad</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w:t>
            </w:r>
            <w:r>
              <w:rPr>
                <w:rFonts w:ascii="Times New Roman" w:hAnsi="Times New Roman" w:eastAsia="Times New Roman" w:cs="Times New Roman"/>
                <w:spacing w:val="3"/>
                <w:position w:val="1"/>
                <w:sz w:val="20"/>
                <w:szCs w:val="20"/>
              </w:rPr>
              <w:t>%</w:t>
            </w:r>
            <w:r>
              <w:rPr>
                <w:rFonts w:ascii="宋体" w:hAnsi="宋体" w:eastAsia="宋体" w:cs="宋体"/>
                <w:spacing w:val="2"/>
                <w:position w:val="1"/>
                <w:sz w:val="20"/>
                <w:szCs w:val="20"/>
              </w:rPr>
              <w:t>)</w:t>
            </w:r>
          </w:p>
        </w:tc>
        <w:tc>
          <w:tcPr>
            <w:tcW w:w="4261" w:type="dxa"/>
            <w:tcBorders>
              <w:right w:val="nil"/>
            </w:tcBorders>
            <w:vAlign w:val="top"/>
          </w:tcPr>
          <w:p w14:paraId="39C94FD7">
            <w:pPr>
              <w:spacing w:before="102" w:line="195" w:lineRule="auto"/>
              <w:ind w:left="19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.24</w:t>
            </w:r>
          </w:p>
        </w:tc>
      </w:tr>
    </w:tbl>
    <w:p w14:paraId="170A26B3">
      <w:pPr>
        <w:rPr>
          <w:rFonts w:ascii="Arial"/>
          <w:sz w:val="21"/>
        </w:rPr>
      </w:pPr>
    </w:p>
    <w:p w14:paraId="534507D7">
      <w:pPr>
        <w:sectPr>
          <w:footerReference r:id="rId97" w:type="default"/>
          <w:pgSz w:w="11906" w:h="16839"/>
          <w:pgMar w:top="1132" w:right="1691" w:bottom="1156" w:left="1691" w:header="878" w:footer="996" w:gutter="0"/>
          <w:cols w:space="720" w:num="1"/>
        </w:sectPr>
      </w:pPr>
    </w:p>
    <w:p w14:paraId="0BFC1542">
      <w:r>
        <w:pict>
          <v:shape id="_x0000_s1139" o:spid="_x0000_s1139" style="position:absolute;left:0pt;margin-left:72pt;margin-top:57.35pt;height:0.75pt;width:697.95pt;mso-position-horizontal-relative:page;mso-position-vertical-relative:page;z-index:251773952;mso-width-relative:page;mso-height-relative:page;" fillcolor="#000000" filled="t" stroked="f" coordsize="13959,15" o:allowincell="f" path="m0,0l13958,0,13958,14,0,14,0,0xe">
            <v:path/>
            <v:fill on="t" focussize="0,0"/>
            <v:stroke on="f"/>
            <v:imagedata o:title=""/>
            <o:lock v:ext="edit"/>
          </v:shape>
        </w:pict>
      </w:r>
    </w:p>
    <w:p w14:paraId="0CAF9DAE"/>
    <w:p w14:paraId="2FCB0752">
      <w:pPr>
        <w:spacing w:line="59" w:lineRule="exact"/>
      </w:pPr>
    </w:p>
    <w:tbl>
      <w:tblPr>
        <w:tblStyle w:val="4"/>
        <w:tblW w:w="14013" w:type="dxa"/>
        <w:tblInd w:w="104"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14013"/>
      </w:tblGrid>
      <w:tr w14:paraId="5D265795">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7980" w:hRule="atLeast"/>
        </w:trPr>
        <w:tc>
          <w:tcPr>
            <w:tcW w:w="14013" w:type="dxa"/>
            <w:vAlign w:val="top"/>
          </w:tcPr>
          <w:p w14:paraId="530F7B16">
            <w:pPr>
              <w:spacing w:line="1490" w:lineRule="exact"/>
              <w:textAlignment w:val="center"/>
            </w:pPr>
            <w:r>
              <w:drawing>
                <wp:anchor distT="0" distB="0" distL="0" distR="0" simplePos="0" relativeHeight="251777024" behindDoc="0" locked="0" layoutInCell="1" allowOverlap="1">
                  <wp:simplePos x="0" y="0"/>
                  <wp:positionH relativeFrom="rightMargin">
                    <wp:posOffset>-639445</wp:posOffset>
                  </wp:positionH>
                  <wp:positionV relativeFrom="topMargin">
                    <wp:posOffset>4594225</wp:posOffset>
                  </wp:positionV>
                  <wp:extent cx="562610" cy="33401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429"/>
                          <a:stretch>
                            <a:fillRect/>
                          </a:stretch>
                        </pic:blipFill>
                        <pic:spPr>
                          <a:xfrm>
                            <a:off x="0" y="0"/>
                            <a:ext cx="562356" cy="333755"/>
                          </a:xfrm>
                          <a:prstGeom prst="rect">
                            <a:avLst/>
                          </a:prstGeom>
                        </pic:spPr>
                      </pic:pic>
                    </a:graphicData>
                  </a:graphic>
                </wp:anchor>
              </w:drawing>
            </w:r>
            <w:r>
              <w:drawing>
                <wp:inline distT="0" distB="0" distL="0" distR="0">
                  <wp:extent cx="924560" cy="9461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30"/>
                          <a:stretch>
                            <a:fillRect/>
                          </a:stretch>
                        </pic:blipFill>
                        <pic:spPr>
                          <a:xfrm>
                            <a:off x="0" y="0"/>
                            <a:ext cx="925068" cy="946403"/>
                          </a:xfrm>
                          <a:prstGeom prst="rect">
                            <a:avLst/>
                          </a:prstGeom>
                        </pic:spPr>
                      </pic:pic>
                    </a:graphicData>
                  </a:graphic>
                </wp:inline>
              </w:drawing>
            </w:r>
          </w:p>
          <w:p w14:paraId="421F57E2">
            <w:pPr>
              <w:spacing w:line="277" w:lineRule="auto"/>
              <w:rPr>
                <w:rFonts w:ascii="Arial"/>
                <w:sz w:val="21"/>
              </w:rPr>
            </w:pPr>
          </w:p>
          <w:p w14:paraId="15F6A177">
            <w:pPr>
              <w:spacing w:line="277" w:lineRule="auto"/>
              <w:rPr>
                <w:rFonts w:ascii="Arial"/>
                <w:sz w:val="21"/>
              </w:rPr>
            </w:pPr>
          </w:p>
          <w:p w14:paraId="5AC90CBE">
            <w:pPr>
              <w:spacing w:line="277" w:lineRule="auto"/>
              <w:rPr>
                <w:rFonts w:ascii="Arial"/>
                <w:sz w:val="21"/>
              </w:rPr>
            </w:pPr>
          </w:p>
          <w:p w14:paraId="19DEB24E">
            <w:pPr>
              <w:spacing w:line="277" w:lineRule="auto"/>
              <w:rPr>
                <w:rFonts w:ascii="Arial"/>
                <w:sz w:val="21"/>
              </w:rPr>
            </w:pPr>
          </w:p>
          <w:p w14:paraId="745D104A">
            <w:pPr>
              <w:spacing w:line="277" w:lineRule="auto"/>
              <w:rPr>
                <w:rFonts w:ascii="Arial"/>
                <w:sz w:val="21"/>
              </w:rPr>
            </w:pPr>
          </w:p>
          <w:p w14:paraId="2F88793E">
            <w:pPr>
              <w:spacing w:line="278" w:lineRule="auto"/>
              <w:rPr>
                <w:rFonts w:ascii="Arial"/>
                <w:sz w:val="21"/>
              </w:rPr>
            </w:pPr>
          </w:p>
          <w:p w14:paraId="2E5ADF57">
            <w:pPr>
              <w:spacing w:line="472" w:lineRule="exact"/>
              <w:ind w:firstLine="3714"/>
              <w:textAlignment w:val="center"/>
            </w:pPr>
            <w:r>
              <w:pict>
                <v:group id="_x0000_s1140" o:spid="_x0000_s1140" o:spt="203" style="height:23.65pt;width:135.25pt;" coordsize="2705,472">
                  <o:lock v:ext="edit"/>
                  <v:shape id="_x0000_s1141" o:spid="_x0000_s1141" o:spt="75" type="#_x0000_t75" style="position:absolute;left:0;top:0;height:472;width:2521;" filled="f" stroked="f" coordsize="21600,21600">
                    <v:path/>
                    <v:fill on="f" focussize="0,0"/>
                    <v:stroke on="f"/>
                    <v:imagedata r:id="rId431" o:title=""/>
                    <o:lock v:ext="edit" aspectratio="t"/>
                  </v:shape>
                  <v:shape id="_x0000_s1142" o:spid="_x0000_s1142" o:spt="202" type="#_x0000_t202" style="position:absolute;left:282;top:138;height:287;width:1498;" filled="f" stroked="f" coordsize="21600,21600">
                    <v:path/>
                    <v:fill on="f" focussize="0,0"/>
                    <v:stroke on="f"/>
                    <v:imagedata o:title=""/>
                    <o:lock v:ext="edit" aspectratio="f"/>
                    <v:textbox inset="0mm,0mm,0mm,0mm">
                      <w:txbxContent>
                        <w:p w14:paraId="7F93B2EF">
                          <w:pPr>
                            <w:spacing w:before="20" w:line="228" w:lineRule="auto"/>
                            <w:ind w:left="20"/>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目建设所在地</w:t>
                          </w:r>
                        </w:p>
                      </w:txbxContent>
                    </v:textbox>
                  </v:shape>
                  <v:shape id="_x0000_s1143" o:spid="_x0000_s1143" o:spt="75" type="#_x0000_t75" style="position:absolute;left:2442;top:29;height:228;width:262;" filled="f" stroked="f" coordsize="21600,21600">
                    <v:path/>
                    <v:fill on="f" focussize="0,0"/>
                    <v:stroke on="f"/>
                    <v:imagedata r:id="rId432" o:title=""/>
                    <o:lock v:ext="edit" aspectratio="t"/>
                  </v:shape>
                  <w10:wrap type="none"/>
                  <w10:anchorlock/>
                </v:group>
              </w:pict>
            </w:r>
          </w:p>
          <w:p w14:paraId="205352A1"/>
          <w:p w14:paraId="6D30AA5C"/>
          <w:p w14:paraId="194FEFC6"/>
          <w:p w14:paraId="21A0340B"/>
          <w:p w14:paraId="53398AED"/>
          <w:p w14:paraId="3C034D1B"/>
          <w:p w14:paraId="15BC03C5"/>
          <w:p w14:paraId="7F4E78BA"/>
          <w:p w14:paraId="430F3469"/>
          <w:p w14:paraId="6B7C6159"/>
          <w:p w14:paraId="4A6E72F1"/>
          <w:p w14:paraId="04A920A8"/>
          <w:p w14:paraId="4A7ACA01"/>
          <w:p w14:paraId="091083CD">
            <w:pPr>
              <w:spacing w:line="79" w:lineRule="exact"/>
            </w:pPr>
          </w:p>
          <w:tbl>
            <w:tblPr>
              <w:tblStyle w:val="4"/>
              <w:tblW w:w="2348" w:type="dxa"/>
              <w:tblInd w:w="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48"/>
            </w:tblGrid>
            <w:tr w14:paraId="51041D6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83" w:hRule="atLeast"/>
              </w:trPr>
              <w:tc>
                <w:tcPr>
                  <w:tcW w:w="2348" w:type="dxa"/>
                  <w:shd w:val="clear" w:color="auto" w:fill="FFFFFF"/>
                  <w:vAlign w:val="top"/>
                </w:tcPr>
                <w:p w14:paraId="50F4A786">
                  <w:pPr>
                    <w:spacing w:before="198" w:line="229" w:lineRule="auto"/>
                    <w:ind w:left="828"/>
                    <w:rPr>
                      <w:rFonts w:ascii="宋体" w:hAnsi="宋体" w:eastAsia="宋体" w:cs="宋体"/>
                      <w:sz w:val="23"/>
                      <w:szCs w:val="23"/>
                    </w:rPr>
                  </w:pPr>
                  <w:r>
                    <w:drawing>
                      <wp:anchor distT="0" distB="0" distL="0" distR="0" simplePos="0" relativeHeight="251772928" behindDoc="1" locked="0" layoutInCell="1" allowOverlap="1">
                        <wp:simplePos x="0" y="0"/>
                        <wp:positionH relativeFrom="column">
                          <wp:posOffset>-12700</wp:posOffset>
                        </wp:positionH>
                        <wp:positionV relativeFrom="paragraph">
                          <wp:posOffset>-4365625</wp:posOffset>
                        </wp:positionV>
                        <wp:extent cx="8860790" cy="506730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433"/>
                                <a:stretch>
                                  <a:fillRect/>
                                </a:stretch>
                              </pic:blipFill>
                              <pic:spPr>
                                <a:xfrm>
                                  <a:off x="0" y="0"/>
                                  <a:ext cx="8860535" cy="5067300"/>
                                </a:xfrm>
                                <a:prstGeom prst="rect">
                                  <a:avLst/>
                                </a:prstGeom>
                              </pic:spPr>
                            </pic:pic>
                          </a:graphicData>
                        </a:graphic>
                      </wp:anchor>
                    </w:drawing>
                  </w:r>
                  <w:r>
                    <w:pict>
                      <v:shape id="_x0000_s1144" o:spid="_x0000_s1144" style="position:absolute;left:0pt;margin-left:39.75pt;margin-top:21.35pt;height:1.25pt;width:36pt;z-index:251776000;mso-width-relative:page;mso-height-relative:page;" filled="f" stroked="t" coordsize="720,25" path="m0,12l720,12e">
                        <v:fill on="f" focussize="0,0"/>
                        <v:stroke weight="1.2pt" color="#000000" miterlimit="2" joinstyle="bevel"/>
                        <v:imagedata o:title=""/>
                        <o:lock v:ext="edit"/>
                      </v:shape>
                    </w:pict>
                  </w:r>
                  <w:r>
                    <w:drawing>
                      <wp:anchor distT="0" distB="0" distL="0" distR="0" simplePos="0" relativeHeight="251774976" behindDoc="0" locked="0" layoutInCell="1" allowOverlap="1">
                        <wp:simplePos x="0" y="0"/>
                        <wp:positionH relativeFrom="rightMargin">
                          <wp:posOffset>-1453515</wp:posOffset>
                        </wp:positionH>
                        <wp:positionV relativeFrom="topMargin">
                          <wp:posOffset>446405</wp:posOffset>
                        </wp:positionV>
                        <wp:extent cx="228600" cy="133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34"/>
                                <a:stretch>
                                  <a:fillRect/>
                                </a:stretch>
                              </pic:blipFill>
                              <pic:spPr>
                                <a:xfrm>
                                  <a:off x="0" y="0"/>
                                  <a:ext cx="228600" cy="133350"/>
                                </a:xfrm>
                                <a:prstGeom prst="rect">
                                  <a:avLst/>
                                </a:prstGeom>
                              </pic:spPr>
                            </pic:pic>
                          </a:graphicData>
                        </a:graphic>
                      </wp:anchor>
                    </w:drawing>
                  </w:r>
                  <w:r>
                    <w:rPr>
                      <w:rFonts w:ascii="宋体" w:hAnsi="宋体" w:eastAsia="宋体" w:cs="宋体"/>
                      <w:spacing w:val="-1"/>
                      <w:sz w:val="23"/>
                      <w:szCs w:val="23"/>
                      <w14:textOutline w14:w="4358" w14:cap="sq" w14:cmpd="sng">
                        <w14:solidFill>
                          <w14:srgbClr w14:val="000000"/>
                        </w14:solidFill>
                        <w14:prstDash w14:val="solid"/>
                        <w14:bevel/>
                      </w14:textOutline>
                    </w:rPr>
                    <w:t>图</w:t>
                  </w:r>
                  <w:r>
                    <w:rPr>
                      <w:rFonts w:ascii="宋体" w:hAnsi="宋体" w:eastAsia="宋体" w:cs="宋体"/>
                      <w:spacing w:val="-1"/>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例</w:t>
                  </w:r>
                </w:p>
                <w:p w14:paraId="34D88CE3">
                  <w:pPr>
                    <w:spacing w:before="214" w:line="228" w:lineRule="auto"/>
                    <w:ind w:left="508"/>
                    <w:rPr>
                      <w:rFonts w:ascii="宋体" w:hAnsi="宋体" w:eastAsia="宋体" w:cs="宋体"/>
                      <w:sz w:val="23"/>
                      <w:szCs w:val="23"/>
                    </w:rPr>
                  </w:pPr>
                  <w:r>
                    <w:rPr>
                      <w:rFonts w:ascii="宋体" w:hAnsi="宋体" w:eastAsia="宋体" w:cs="宋体"/>
                      <w:spacing w:val="9"/>
                      <w:sz w:val="23"/>
                      <w:szCs w:val="23"/>
                    </w:rPr>
                    <w:t>建</w:t>
                  </w:r>
                  <w:r>
                    <w:rPr>
                      <w:rFonts w:ascii="宋体" w:hAnsi="宋体" w:eastAsia="宋体" w:cs="宋体"/>
                      <w:spacing w:val="8"/>
                      <w:sz w:val="23"/>
                      <w:szCs w:val="23"/>
                    </w:rPr>
                    <w:t>设项目所在地</w:t>
                  </w:r>
                </w:p>
              </w:tc>
            </w:tr>
          </w:tbl>
          <w:p w14:paraId="1CD43A77">
            <w:pPr>
              <w:spacing w:line="14" w:lineRule="auto"/>
              <w:rPr>
                <w:rFonts w:ascii="Arial"/>
                <w:sz w:val="2"/>
              </w:rPr>
            </w:pPr>
          </w:p>
        </w:tc>
      </w:tr>
    </w:tbl>
    <w:p w14:paraId="6E696770">
      <w:pPr>
        <w:spacing w:before="138" w:line="228" w:lineRule="auto"/>
        <w:ind w:left="531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图</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7"/>
          <w:sz w:val="23"/>
          <w:szCs w:val="23"/>
        </w:rPr>
        <w:t>-</w:t>
      </w:r>
      <w:r>
        <w:rPr>
          <w:rFonts w:ascii="Times New Roman" w:hAnsi="Times New Roman" w:eastAsia="Times New Roman" w:cs="Times New Roman"/>
          <w:spacing w:val="4"/>
          <w:sz w:val="23"/>
          <w:szCs w:val="23"/>
        </w:rPr>
        <w:t xml:space="preserve"> </w:t>
      </w:r>
      <w:r>
        <w:rPr>
          <w:rFonts w:ascii="Times New Roman" w:hAnsi="Times New Roman" w:eastAsia="Times New Roman" w:cs="Times New Roman"/>
          <w:b/>
          <w:bCs/>
          <w:spacing w:val="4"/>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建设项</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目地理位置图</w:t>
      </w:r>
    </w:p>
    <w:p w14:paraId="20B8B84E">
      <w:pPr>
        <w:sectPr>
          <w:headerReference r:id="rId98" w:type="default"/>
          <w:footerReference r:id="rId99" w:type="default"/>
          <w:pgSz w:w="16839" w:h="11906"/>
          <w:pgMar w:top="1132" w:right="1250" w:bottom="1156" w:left="1440" w:header="878" w:footer="996" w:gutter="0"/>
          <w:cols w:space="720" w:num="1"/>
        </w:sectPr>
      </w:pPr>
    </w:p>
    <w:p w14:paraId="267B80D3">
      <w:pPr>
        <w:spacing w:line="246" w:lineRule="auto"/>
        <w:rPr>
          <w:rFonts w:ascii="Arial"/>
          <w:sz w:val="21"/>
        </w:rPr>
      </w:pPr>
      <w:r>
        <w:pict>
          <v:shape id="_x0000_s1145" o:spid="_x0000_s1145" style="position:absolute;left:0pt;margin-left:90pt;margin-top:57.35pt;height:0.75pt;width:415.3pt;mso-position-horizontal-relative:page;mso-position-vertical-relative:page;z-index:251778048;mso-width-relative:page;mso-height-relative:page;" fillcolor="#000000" filled="t" stroked="f" coordsize="8305,15" o:allowincell="f" path="m0,0l8305,0,8305,14,0,14,0,0xe">
            <v:path/>
            <v:fill on="t" focussize="0,0"/>
            <v:stroke on="f"/>
            <v:imagedata o:title=""/>
            <o:lock v:ext="edit"/>
          </v:shape>
        </w:pict>
      </w:r>
    </w:p>
    <w:p w14:paraId="26298748">
      <w:pPr>
        <w:spacing w:line="247" w:lineRule="auto"/>
        <w:rPr>
          <w:rFonts w:ascii="Arial"/>
          <w:sz w:val="21"/>
        </w:rPr>
      </w:pPr>
    </w:p>
    <w:p w14:paraId="3EF3C3F9">
      <w:pPr>
        <w:spacing w:before="95" w:line="226" w:lineRule="auto"/>
        <w:ind w:left="112"/>
        <w:outlineLvl w:val="2"/>
        <w:rPr>
          <w:rFonts w:ascii="宋体" w:hAnsi="宋体" w:eastAsia="宋体" w:cs="宋体"/>
          <w:sz w:val="29"/>
          <w:szCs w:val="29"/>
        </w:rPr>
      </w:pPr>
      <w:r>
        <w:rPr>
          <w:rFonts w:ascii="Times New Roman" w:hAnsi="Times New Roman" w:eastAsia="Times New Roman" w:cs="Times New Roman"/>
          <w:b/>
          <w:bCs/>
          <w:spacing w:val="11"/>
          <w:sz w:val="29"/>
          <w:szCs w:val="29"/>
        </w:rPr>
        <w:t>3</w:t>
      </w:r>
      <w:r>
        <w:rPr>
          <w:rFonts w:ascii="Times New Roman" w:hAnsi="Times New Roman" w:eastAsia="Times New Roman" w:cs="Times New Roman"/>
          <w:b/>
          <w:bCs/>
          <w:spacing w:val="6"/>
          <w:sz w:val="29"/>
          <w:szCs w:val="29"/>
        </w:rPr>
        <w:t>.1.5</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主要设备清单</w:t>
      </w:r>
    </w:p>
    <w:p w14:paraId="601282FD">
      <w:pPr>
        <w:spacing w:before="284" w:line="227" w:lineRule="auto"/>
        <w:ind w:left="625"/>
        <w:rPr>
          <w:rFonts w:ascii="宋体" w:hAnsi="宋体" w:eastAsia="宋体" w:cs="宋体"/>
          <w:sz w:val="23"/>
          <w:szCs w:val="23"/>
        </w:rPr>
      </w:pPr>
      <w:r>
        <w:rPr>
          <w:rFonts w:ascii="宋体" w:hAnsi="宋体" w:eastAsia="宋体" w:cs="宋体"/>
          <w:spacing w:val="10"/>
          <w:sz w:val="23"/>
          <w:szCs w:val="23"/>
        </w:rPr>
        <w:t xml:space="preserve">项目主要生产设备清单详见表 </w:t>
      </w:r>
      <w:r>
        <w:rPr>
          <w:rFonts w:ascii="Times New Roman" w:hAnsi="Times New Roman" w:eastAsia="Times New Roman" w:cs="Times New Roman"/>
          <w:spacing w:val="10"/>
          <w:sz w:val="23"/>
          <w:szCs w:val="23"/>
        </w:rPr>
        <w:t>3- 8</w:t>
      </w:r>
      <w:r>
        <w:rPr>
          <w:rFonts w:ascii="宋体" w:hAnsi="宋体" w:eastAsia="宋体" w:cs="宋体"/>
          <w:spacing w:val="7"/>
          <w:sz w:val="23"/>
          <w:szCs w:val="23"/>
        </w:rPr>
        <w:t>。</w:t>
      </w:r>
    </w:p>
    <w:p w14:paraId="2AB4983E">
      <w:pPr>
        <w:spacing w:before="293" w:line="227" w:lineRule="auto"/>
        <w:ind w:left="267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3-8</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主要生产设备清</w:t>
      </w:r>
      <w:r>
        <w:rPr>
          <w:rFonts w:ascii="宋体" w:hAnsi="宋体" w:eastAsia="宋体" w:cs="宋体"/>
          <w:spacing w:val="6"/>
          <w:sz w:val="23"/>
          <w:szCs w:val="23"/>
          <w14:textOutline w14:w="4358" w14:cap="sq" w14:cmpd="sng">
            <w14:solidFill>
              <w14:srgbClr w14:val="000000"/>
            </w14:solidFill>
            <w14:prstDash w14:val="solid"/>
            <w14:bevel/>
          </w14:textOutline>
        </w:rPr>
        <w:t>单</w:t>
      </w:r>
    </w:p>
    <w:p w14:paraId="26E0513D">
      <w:pPr>
        <w:spacing w:line="61" w:lineRule="auto"/>
        <w:rPr>
          <w:rFonts w:ascii="Arial"/>
          <w:sz w:val="2"/>
        </w:rPr>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1625"/>
        <w:gridCol w:w="836"/>
        <w:gridCol w:w="4272"/>
        <w:gridCol w:w="943"/>
      </w:tblGrid>
      <w:tr w14:paraId="03343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46" w:type="dxa"/>
            <w:tcBorders>
              <w:left w:val="nil"/>
            </w:tcBorders>
            <w:vAlign w:val="top"/>
          </w:tcPr>
          <w:p w14:paraId="3534F2A9">
            <w:pPr>
              <w:spacing w:before="75" w:line="229" w:lineRule="auto"/>
              <w:ind w:left="2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625" w:type="dxa"/>
            <w:vAlign w:val="top"/>
          </w:tcPr>
          <w:p w14:paraId="13854980">
            <w:pPr>
              <w:spacing w:before="75" w:line="229" w:lineRule="auto"/>
              <w:ind w:left="40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设</w:t>
            </w:r>
            <w:r>
              <w:rPr>
                <w:rFonts w:ascii="宋体" w:hAnsi="宋体" w:eastAsia="宋体" w:cs="宋体"/>
                <w:spacing w:val="7"/>
                <w:sz w:val="20"/>
                <w:szCs w:val="20"/>
                <w14:textOutline w14:w="3795" w14:cap="sq" w14:cmpd="sng">
                  <w14:solidFill>
                    <w14:srgbClr w14:val="000000"/>
                  </w14:solidFill>
                  <w14:prstDash w14:val="solid"/>
                  <w14:bevel/>
                </w14:textOutline>
              </w:rPr>
              <w:t>备名称</w:t>
            </w:r>
          </w:p>
        </w:tc>
        <w:tc>
          <w:tcPr>
            <w:tcW w:w="836" w:type="dxa"/>
            <w:vAlign w:val="top"/>
          </w:tcPr>
          <w:p w14:paraId="599DBE51">
            <w:pPr>
              <w:spacing w:before="75" w:line="228" w:lineRule="auto"/>
              <w:ind w:left="21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4272" w:type="dxa"/>
            <w:vAlign w:val="top"/>
          </w:tcPr>
          <w:p w14:paraId="29709D49">
            <w:pPr>
              <w:spacing w:before="75" w:line="228" w:lineRule="auto"/>
              <w:ind w:left="172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规</w:t>
            </w:r>
            <w:r>
              <w:rPr>
                <w:rFonts w:ascii="宋体" w:hAnsi="宋体" w:eastAsia="宋体" w:cs="宋体"/>
                <w:spacing w:val="8"/>
                <w:sz w:val="20"/>
                <w:szCs w:val="20"/>
                <w14:textOutline w14:w="3795" w14:cap="sq" w14:cmpd="sng">
                  <w14:solidFill>
                    <w14:srgbClr w14:val="000000"/>
                  </w14:solidFill>
                  <w14:prstDash w14:val="solid"/>
                  <w14:bevel/>
                </w14:textOutline>
              </w:rPr>
              <w:t>格型号</w:t>
            </w:r>
          </w:p>
        </w:tc>
        <w:tc>
          <w:tcPr>
            <w:tcW w:w="943" w:type="dxa"/>
            <w:tcBorders>
              <w:right w:val="nil"/>
            </w:tcBorders>
            <w:vAlign w:val="top"/>
          </w:tcPr>
          <w:p w14:paraId="08CC74F0">
            <w:pPr>
              <w:spacing w:before="75" w:line="229" w:lineRule="auto"/>
              <w:ind w:left="26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工</w:t>
            </w:r>
            <w:r>
              <w:rPr>
                <w:rFonts w:ascii="宋体" w:hAnsi="宋体" w:eastAsia="宋体" w:cs="宋体"/>
                <w:spacing w:val="4"/>
                <w:sz w:val="20"/>
                <w:szCs w:val="20"/>
                <w14:textOutline w14:w="3795" w14:cap="sq" w14:cmpd="sng">
                  <w14:solidFill>
                    <w14:srgbClr w14:val="000000"/>
                  </w14:solidFill>
                  <w14:prstDash w14:val="solid"/>
                  <w14:bevel/>
                </w14:textOutline>
              </w:rPr>
              <w:t>序</w:t>
            </w:r>
          </w:p>
        </w:tc>
      </w:tr>
      <w:tr w14:paraId="5232C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6AE23256">
            <w:pPr>
              <w:spacing w:before="87" w:line="195"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5" w:type="dxa"/>
            <w:vAlign w:val="top"/>
          </w:tcPr>
          <w:p w14:paraId="44E999A0">
            <w:pPr>
              <w:spacing w:before="51" w:line="227" w:lineRule="auto"/>
              <w:ind w:left="504"/>
              <w:rPr>
                <w:rFonts w:ascii="宋体" w:hAnsi="宋体" w:eastAsia="宋体" w:cs="宋体"/>
                <w:sz w:val="20"/>
                <w:szCs w:val="20"/>
              </w:rPr>
            </w:pPr>
            <w:r>
              <w:rPr>
                <w:rFonts w:ascii="宋体" w:hAnsi="宋体" w:eastAsia="宋体" w:cs="宋体"/>
                <w:spacing w:val="7"/>
                <w:sz w:val="20"/>
                <w:szCs w:val="20"/>
              </w:rPr>
              <w:t>提</w:t>
            </w:r>
            <w:r>
              <w:rPr>
                <w:rFonts w:ascii="宋体" w:hAnsi="宋体" w:eastAsia="宋体" w:cs="宋体"/>
                <w:spacing w:val="6"/>
                <w:sz w:val="20"/>
                <w:szCs w:val="20"/>
              </w:rPr>
              <w:t>料机</w:t>
            </w:r>
          </w:p>
        </w:tc>
        <w:tc>
          <w:tcPr>
            <w:tcW w:w="836" w:type="dxa"/>
            <w:vAlign w:val="top"/>
          </w:tcPr>
          <w:p w14:paraId="53DF7140">
            <w:pPr>
              <w:spacing w:before="51"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5872C4EA">
            <w:pPr>
              <w:spacing w:before="13"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tcBorders>
              <w:right w:val="nil"/>
            </w:tcBorders>
            <w:vAlign w:val="top"/>
          </w:tcPr>
          <w:p w14:paraId="25817651">
            <w:pPr>
              <w:spacing w:before="50" w:line="228" w:lineRule="auto"/>
              <w:ind w:left="55"/>
              <w:rPr>
                <w:rFonts w:ascii="宋体" w:hAnsi="宋体" w:eastAsia="宋体" w:cs="宋体"/>
                <w:sz w:val="20"/>
                <w:szCs w:val="20"/>
              </w:rPr>
            </w:pPr>
            <w:r>
              <w:rPr>
                <w:rFonts w:ascii="宋体" w:hAnsi="宋体" w:eastAsia="宋体" w:cs="宋体"/>
                <w:spacing w:val="9"/>
                <w:sz w:val="20"/>
                <w:szCs w:val="20"/>
              </w:rPr>
              <w:t>破</w:t>
            </w:r>
            <w:r>
              <w:rPr>
                <w:rFonts w:ascii="宋体" w:hAnsi="宋体" w:eastAsia="宋体" w:cs="宋体"/>
                <w:spacing w:val="7"/>
                <w:sz w:val="20"/>
                <w:szCs w:val="20"/>
              </w:rPr>
              <w:t>碎上料</w:t>
            </w:r>
          </w:p>
        </w:tc>
      </w:tr>
      <w:tr w14:paraId="25D9F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3F5AFC97">
            <w:pPr>
              <w:spacing w:before="89"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5" w:type="dxa"/>
            <w:vAlign w:val="top"/>
          </w:tcPr>
          <w:p w14:paraId="0ADA5BEF">
            <w:pPr>
              <w:spacing w:before="53" w:line="227" w:lineRule="auto"/>
              <w:ind w:left="502"/>
              <w:rPr>
                <w:rFonts w:ascii="宋体" w:hAnsi="宋体" w:eastAsia="宋体" w:cs="宋体"/>
                <w:sz w:val="20"/>
                <w:szCs w:val="20"/>
              </w:rPr>
            </w:pPr>
            <w:r>
              <w:rPr>
                <w:rFonts w:ascii="宋体" w:hAnsi="宋体" w:eastAsia="宋体" w:cs="宋体"/>
                <w:spacing w:val="7"/>
                <w:sz w:val="20"/>
                <w:szCs w:val="20"/>
              </w:rPr>
              <w:t>粉</w:t>
            </w:r>
            <w:r>
              <w:rPr>
                <w:rFonts w:ascii="宋体" w:hAnsi="宋体" w:eastAsia="宋体" w:cs="宋体"/>
                <w:spacing w:val="6"/>
                <w:sz w:val="20"/>
                <w:szCs w:val="20"/>
              </w:rPr>
              <w:t>碎机</w:t>
            </w:r>
          </w:p>
        </w:tc>
        <w:tc>
          <w:tcPr>
            <w:tcW w:w="836" w:type="dxa"/>
            <w:vAlign w:val="top"/>
          </w:tcPr>
          <w:p w14:paraId="0778E529">
            <w:pPr>
              <w:spacing w:before="53"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3070746D">
            <w:pPr>
              <w:spacing w:before="15" w:line="281" w:lineRule="exact"/>
              <w:ind w:left="89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 xml:space="preserve">1200 </w:t>
            </w:r>
            <w:r>
              <w:rPr>
                <w:rFonts w:ascii="宋体" w:hAnsi="宋体" w:eastAsia="宋体" w:cs="宋体"/>
                <w:spacing w:val="2"/>
                <w:position w:val="1"/>
                <w:sz w:val="20"/>
                <w:szCs w:val="20"/>
              </w:rPr>
              <w:t xml:space="preserve">型、单位生产能力 </w:t>
            </w: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h</w:t>
            </w:r>
          </w:p>
        </w:tc>
        <w:tc>
          <w:tcPr>
            <w:tcW w:w="943" w:type="dxa"/>
            <w:tcBorders>
              <w:right w:val="nil"/>
            </w:tcBorders>
            <w:vAlign w:val="top"/>
          </w:tcPr>
          <w:p w14:paraId="460EA555">
            <w:pPr>
              <w:spacing w:before="52" w:line="228" w:lineRule="auto"/>
              <w:ind w:left="266"/>
              <w:rPr>
                <w:rFonts w:ascii="宋体" w:hAnsi="宋体" w:eastAsia="宋体" w:cs="宋体"/>
                <w:sz w:val="20"/>
                <w:szCs w:val="20"/>
              </w:rPr>
            </w:pPr>
            <w:r>
              <w:rPr>
                <w:rFonts w:ascii="宋体" w:hAnsi="宋体" w:eastAsia="宋体" w:cs="宋体"/>
                <w:spacing w:val="5"/>
                <w:sz w:val="20"/>
                <w:szCs w:val="20"/>
              </w:rPr>
              <w:t>破碎</w:t>
            </w:r>
          </w:p>
        </w:tc>
      </w:tr>
      <w:tr w14:paraId="4FD5F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187406FB">
            <w:pPr>
              <w:spacing w:before="87"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5" w:type="dxa"/>
            <w:vAlign w:val="top"/>
          </w:tcPr>
          <w:p w14:paraId="4FCACD06">
            <w:pPr>
              <w:spacing w:before="54" w:line="227" w:lineRule="auto"/>
              <w:ind w:left="292"/>
              <w:rPr>
                <w:rFonts w:ascii="宋体" w:hAnsi="宋体" w:eastAsia="宋体" w:cs="宋体"/>
                <w:sz w:val="20"/>
                <w:szCs w:val="20"/>
              </w:rPr>
            </w:pPr>
            <w:r>
              <w:rPr>
                <w:rFonts w:ascii="宋体" w:hAnsi="宋体" w:eastAsia="宋体" w:cs="宋体"/>
                <w:spacing w:val="8"/>
                <w:sz w:val="20"/>
                <w:szCs w:val="20"/>
              </w:rPr>
              <w:t>偏心清洗机</w:t>
            </w:r>
          </w:p>
        </w:tc>
        <w:tc>
          <w:tcPr>
            <w:tcW w:w="836" w:type="dxa"/>
            <w:vAlign w:val="top"/>
          </w:tcPr>
          <w:p w14:paraId="6C301334">
            <w:pPr>
              <w:spacing w:before="54"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5B384F78">
            <w:pPr>
              <w:spacing w:before="16"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vMerge w:val="restart"/>
            <w:tcBorders>
              <w:bottom w:val="nil"/>
              <w:right w:val="nil"/>
            </w:tcBorders>
            <w:vAlign w:val="top"/>
          </w:tcPr>
          <w:p w14:paraId="693A62A8">
            <w:pPr>
              <w:spacing w:line="309" w:lineRule="auto"/>
              <w:rPr>
                <w:rFonts w:ascii="Arial"/>
                <w:sz w:val="21"/>
              </w:rPr>
            </w:pPr>
          </w:p>
          <w:p w14:paraId="76FDCF03">
            <w:pPr>
              <w:spacing w:before="65" w:line="229" w:lineRule="auto"/>
              <w:ind w:left="266"/>
              <w:rPr>
                <w:rFonts w:ascii="宋体" w:hAnsi="宋体" w:eastAsia="宋体" w:cs="宋体"/>
                <w:sz w:val="20"/>
                <w:szCs w:val="20"/>
              </w:rPr>
            </w:pPr>
            <w:r>
              <w:rPr>
                <w:rFonts w:ascii="宋体" w:hAnsi="宋体" w:eastAsia="宋体" w:cs="宋体"/>
                <w:spacing w:val="5"/>
                <w:sz w:val="20"/>
                <w:szCs w:val="20"/>
              </w:rPr>
              <w:t>初洗</w:t>
            </w:r>
          </w:p>
        </w:tc>
      </w:tr>
      <w:tr w14:paraId="2F548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51AAD38F">
            <w:pPr>
              <w:spacing w:before="8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25" w:type="dxa"/>
            <w:vAlign w:val="top"/>
          </w:tcPr>
          <w:p w14:paraId="766ECBD0">
            <w:pPr>
              <w:spacing w:before="52" w:line="228" w:lineRule="auto"/>
              <w:ind w:left="186"/>
              <w:rPr>
                <w:rFonts w:ascii="宋体" w:hAnsi="宋体" w:eastAsia="宋体" w:cs="宋体"/>
                <w:sz w:val="20"/>
                <w:szCs w:val="20"/>
              </w:rPr>
            </w:pPr>
            <w:r>
              <w:rPr>
                <w:rFonts w:ascii="宋体" w:hAnsi="宋体" w:eastAsia="宋体" w:cs="宋体"/>
                <w:spacing w:val="9"/>
                <w:sz w:val="20"/>
                <w:szCs w:val="20"/>
              </w:rPr>
              <w:t>沉</w:t>
            </w:r>
            <w:r>
              <w:rPr>
                <w:rFonts w:ascii="宋体" w:hAnsi="宋体" w:eastAsia="宋体" w:cs="宋体"/>
                <w:spacing w:val="8"/>
                <w:sz w:val="20"/>
                <w:szCs w:val="20"/>
              </w:rPr>
              <w:t>浮分离水槽</w:t>
            </w:r>
          </w:p>
        </w:tc>
        <w:tc>
          <w:tcPr>
            <w:tcW w:w="836" w:type="dxa"/>
            <w:vAlign w:val="top"/>
          </w:tcPr>
          <w:p w14:paraId="307B6479">
            <w:pPr>
              <w:spacing w:before="52" w:line="230" w:lineRule="auto"/>
              <w:ind w:left="20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座</w:t>
            </w:r>
          </w:p>
        </w:tc>
        <w:tc>
          <w:tcPr>
            <w:tcW w:w="4272" w:type="dxa"/>
            <w:vAlign w:val="top"/>
          </w:tcPr>
          <w:p w14:paraId="4D403843">
            <w:pPr>
              <w:spacing w:before="15" w:line="281" w:lineRule="exact"/>
              <w:ind w:left="403"/>
              <w:rPr>
                <w:rFonts w:ascii="宋体" w:hAnsi="宋体" w:eastAsia="宋体" w:cs="宋体"/>
                <w:sz w:val="20"/>
                <w:szCs w:val="20"/>
              </w:rPr>
            </w:pPr>
            <w:r>
              <w:rPr>
                <w:rFonts w:ascii="宋体" w:hAnsi="宋体" w:eastAsia="宋体" w:cs="宋体"/>
                <w:spacing w:val="6"/>
                <w:position w:val="1"/>
                <w:sz w:val="20"/>
                <w:szCs w:val="20"/>
              </w:rPr>
              <w:t>单</w:t>
            </w:r>
            <w:r>
              <w:rPr>
                <w:rFonts w:ascii="宋体" w:hAnsi="宋体" w:eastAsia="宋体" w:cs="宋体"/>
                <w:spacing w:val="4"/>
                <w:position w:val="1"/>
                <w:sz w:val="20"/>
                <w:szCs w:val="20"/>
              </w:rPr>
              <w:t xml:space="preserve">座容积 </w:t>
            </w:r>
            <w:r>
              <w:rPr>
                <w:rFonts w:ascii="Times New Roman" w:hAnsi="Times New Roman" w:eastAsia="Times New Roman" w:cs="Times New Roman"/>
                <w:spacing w:val="4"/>
                <w:position w:val="1"/>
                <w:sz w:val="20"/>
                <w:szCs w:val="20"/>
              </w:rPr>
              <w:t>27</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座 (</w:t>
            </w:r>
            <w:r>
              <w:rPr>
                <w:rFonts w:ascii="Times New Roman" w:hAnsi="Times New Roman" w:eastAsia="Times New Roman" w:cs="Times New Roman"/>
                <w:spacing w:val="4"/>
                <w:position w:val="1"/>
                <w:sz w:val="20"/>
                <w:szCs w:val="20"/>
              </w:rPr>
              <w:t>15</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×1.2</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×1.5</w:t>
            </w:r>
            <w:r>
              <w:rPr>
                <w:rFonts w:ascii="Times New Roman" w:hAnsi="Times New Roman" w:eastAsia="Times New Roman" w:cs="Times New Roman"/>
                <w:position w:val="1"/>
                <w:sz w:val="20"/>
                <w:szCs w:val="20"/>
              </w:rPr>
              <w:t>m</w:t>
            </w:r>
            <w:r>
              <w:rPr>
                <w:rFonts w:ascii="宋体" w:hAnsi="宋体" w:eastAsia="宋体" w:cs="宋体"/>
                <w:spacing w:val="4"/>
                <w:position w:val="1"/>
                <w:sz w:val="20"/>
                <w:szCs w:val="20"/>
              </w:rPr>
              <w:t>)</w:t>
            </w:r>
          </w:p>
        </w:tc>
        <w:tc>
          <w:tcPr>
            <w:tcW w:w="943" w:type="dxa"/>
            <w:vMerge w:val="continue"/>
            <w:tcBorders>
              <w:top w:val="nil"/>
              <w:bottom w:val="nil"/>
              <w:right w:val="nil"/>
            </w:tcBorders>
            <w:vAlign w:val="top"/>
          </w:tcPr>
          <w:p w14:paraId="4F58AA25">
            <w:pPr>
              <w:rPr>
                <w:rFonts w:ascii="Arial"/>
                <w:sz w:val="21"/>
              </w:rPr>
            </w:pPr>
          </w:p>
        </w:tc>
      </w:tr>
      <w:tr w14:paraId="6EB39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551308A8">
            <w:pPr>
              <w:spacing w:before="90" w:line="192"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25" w:type="dxa"/>
            <w:vAlign w:val="top"/>
          </w:tcPr>
          <w:p w14:paraId="57D23B35">
            <w:pPr>
              <w:spacing w:before="51" w:line="227" w:lineRule="auto"/>
              <w:ind w:left="291"/>
              <w:rPr>
                <w:rFonts w:ascii="宋体" w:hAnsi="宋体" w:eastAsia="宋体" w:cs="宋体"/>
                <w:sz w:val="20"/>
                <w:szCs w:val="20"/>
              </w:rPr>
            </w:pPr>
            <w:r>
              <w:rPr>
                <w:rFonts w:ascii="宋体" w:hAnsi="宋体" w:eastAsia="宋体" w:cs="宋体"/>
                <w:spacing w:val="9"/>
                <w:sz w:val="20"/>
                <w:szCs w:val="20"/>
              </w:rPr>
              <w:t>链</w:t>
            </w:r>
            <w:r>
              <w:rPr>
                <w:rFonts w:ascii="宋体" w:hAnsi="宋体" w:eastAsia="宋体" w:cs="宋体"/>
                <w:spacing w:val="8"/>
                <w:sz w:val="20"/>
                <w:szCs w:val="20"/>
              </w:rPr>
              <w:t>条挖料机</w:t>
            </w:r>
          </w:p>
        </w:tc>
        <w:tc>
          <w:tcPr>
            <w:tcW w:w="836" w:type="dxa"/>
            <w:vAlign w:val="top"/>
          </w:tcPr>
          <w:p w14:paraId="6898D2E8">
            <w:pPr>
              <w:spacing w:before="51" w:line="230" w:lineRule="auto"/>
              <w:ind w:left="20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座</w:t>
            </w:r>
          </w:p>
        </w:tc>
        <w:tc>
          <w:tcPr>
            <w:tcW w:w="4272" w:type="dxa"/>
            <w:vAlign w:val="top"/>
          </w:tcPr>
          <w:p w14:paraId="2F20783E">
            <w:pPr>
              <w:spacing w:before="13"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vMerge w:val="continue"/>
            <w:tcBorders>
              <w:top w:val="nil"/>
              <w:right w:val="nil"/>
            </w:tcBorders>
            <w:vAlign w:val="top"/>
          </w:tcPr>
          <w:p w14:paraId="5E39B025">
            <w:pPr>
              <w:rPr>
                <w:rFonts w:ascii="Arial"/>
                <w:sz w:val="21"/>
              </w:rPr>
            </w:pPr>
          </w:p>
        </w:tc>
      </w:tr>
      <w:tr w14:paraId="24E7C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30518669">
            <w:pPr>
              <w:spacing w:before="89"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25" w:type="dxa"/>
            <w:vAlign w:val="top"/>
          </w:tcPr>
          <w:p w14:paraId="657C66E3">
            <w:pPr>
              <w:spacing w:before="53" w:line="227" w:lineRule="auto"/>
              <w:ind w:left="607"/>
              <w:rPr>
                <w:rFonts w:ascii="宋体" w:hAnsi="宋体" w:eastAsia="宋体" w:cs="宋体"/>
                <w:sz w:val="20"/>
                <w:szCs w:val="20"/>
              </w:rPr>
            </w:pPr>
            <w:r>
              <w:rPr>
                <w:rFonts w:ascii="宋体" w:hAnsi="宋体" w:eastAsia="宋体" w:cs="宋体"/>
                <w:spacing w:val="4"/>
                <w:sz w:val="20"/>
                <w:szCs w:val="20"/>
              </w:rPr>
              <w:t>风机</w:t>
            </w:r>
          </w:p>
        </w:tc>
        <w:tc>
          <w:tcPr>
            <w:tcW w:w="836" w:type="dxa"/>
            <w:vAlign w:val="top"/>
          </w:tcPr>
          <w:p w14:paraId="295CC9C2">
            <w:pPr>
              <w:spacing w:before="53" w:line="230" w:lineRule="auto"/>
              <w:ind w:left="255"/>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台</w:t>
            </w:r>
          </w:p>
        </w:tc>
        <w:tc>
          <w:tcPr>
            <w:tcW w:w="4272" w:type="dxa"/>
            <w:vAlign w:val="top"/>
          </w:tcPr>
          <w:p w14:paraId="707B6104">
            <w:pPr>
              <w:spacing w:before="15" w:line="281" w:lineRule="exact"/>
              <w:ind w:left="21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43" w:type="dxa"/>
            <w:vMerge w:val="restart"/>
            <w:tcBorders>
              <w:bottom w:val="nil"/>
              <w:right w:val="nil"/>
            </w:tcBorders>
            <w:vAlign w:val="top"/>
          </w:tcPr>
          <w:p w14:paraId="11BDE613">
            <w:pPr>
              <w:spacing w:line="469" w:lineRule="auto"/>
              <w:rPr>
                <w:rFonts w:ascii="Arial"/>
                <w:sz w:val="21"/>
              </w:rPr>
            </w:pPr>
          </w:p>
          <w:p w14:paraId="2FED6247">
            <w:pPr>
              <w:spacing w:before="65" w:line="228" w:lineRule="auto"/>
              <w:ind w:left="266"/>
              <w:rPr>
                <w:rFonts w:ascii="宋体" w:hAnsi="宋体" w:eastAsia="宋体" w:cs="宋体"/>
                <w:sz w:val="20"/>
                <w:szCs w:val="20"/>
              </w:rPr>
            </w:pPr>
            <w:r>
              <w:rPr>
                <w:rFonts w:ascii="宋体" w:hAnsi="宋体" w:eastAsia="宋体" w:cs="宋体"/>
                <w:spacing w:val="5"/>
                <w:sz w:val="20"/>
                <w:szCs w:val="20"/>
              </w:rPr>
              <w:t>洗字</w:t>
            </w:r>
          </w:p>
        </w:tc>
      </w:tr>
      <w:tr w14:paraId="1BA50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225CA267">
            <w:pPr>
              <w:spacing w:before="93" w:line="192"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25" w:type="dxa"/>
            <w:vAlign w:val="top"/>
          </w:tcPr>
          <w:p w14:paraId="7E8FBCF3">
            <w:pPr>
              <w:spacing w:before="54" w:line="228" w:lineRule="auto"/>
              <w:ind w:left="507"/>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836" w:type="dxa"/>
            <w:vAlign w:val="top"/>
          </w:tcPr>
          <w:p w14:paraId="0E154CA5">
            <w:pPr>
              <w:spacing w:before="54" w:line="230" w:lineRule="auto"/>
              <w:ind w:left="255"/>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台</w:t>
            </w:r>
          </w:p>
        </w:tc>
        <w:tc>
          <w:tcPr>
            <w:tcW w:w="4272" w:type="dxa"/>
            <w:vAlign w:val="top"/>
          </w:tcPr>
          <w:p w14:paraId="1FD901DB">
            <w:pPr>
              <w:spacing w:before="16" w:line="281" w:lineRule="exact"/>
              <w:ind w:left="197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h</w:t>
            </w:r>
          </w:p>
        </w:tc>
        <w:tc>
          <w:tcPr>
            <w:tcW w:w="943" w:type="dxa"/>
            <w:vMerge w:val="continue"/>
            <w:tcBorders>
              <w:top w:val="nil"/>
              <w:bottom w:val="nil"/>
              <w:right w:val="nil"/>
            </w:tcBorders>
            <w:vAlign w:val="top"/>
          </w:tcPr>
          <w:p w14:paraId="35D1A721">
            <w:pPr>
              <w:rPr>
                <w:rFonts w:ascii="Arial"/>
                <w:sz w:val="21"/>
              </w:rPr>
            </w:pPr>
          </w:p>
        </w:tc>
      </w:tr>
      <w:tr w14:paraId="0C9DD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6438532E">
            <w:pPr>
              <w:spacing w:before="88"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25" w:type="dxa"/>
            <w:vAlign w:val="top"/>
          </w:tcPr>
          <w:p w14:paraId="7E48818C">
            <w:pPr>
              <w:spacing w:before="52" w:line="227" w:lineRule="auto"/>
              <w:ind w:left="292"/>
              <w:rPr>
                <w:rFonts w:ascii="宋体" w:hAnsi="宋体" w:eastAsia="宋体" w:cs="宋体"/>
                <w:sz w:val="20"/>
                <w:szCs w:val="20"/>
              </w:rPr>
            </w:pPr>
            <w:r>
              <w:rPr>
                <w:rFonts w:ascii="宋体" w:hAnsi="宋体" w:eastAsia="宋体" w:cs="宋体"/>
                <w:spacing w:val="8"/>
                <w:sz w:val="20"/>
                <w:szCs w:val="20"/>
              </w:rPr>
              <w:t>布袋除尘器</w:t>
            </w:r>
          </w:p>
        </w:tc>
        <w:tc>
          <w:tcPr>
            <w:tcW w:w="836" w:type="dxa"/>
            <w:vAlign w:val="top"/>
          </w:tcPr>
          <w:p w14:paraId="6EF1037D">
            <w:pPr>
              <w:spacing w:before="52" w:line="230" w:lineRule="auto"/>
              <w:ind w:left="255"/>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台</w:t>
            </w:r>
          </w:p>
        </w:tc>
        <w:tc>
          <w:tcPr>
            <w:tcW w:w="4272" w:type="dxa"/>
            <w:vAlign w:val="top"/>
          </w:tcPr>
          <w:p w14:paraId="0A6B45C0">
            <w:pPr>
              <w:spacing w:before="88" w:line="195" w:lineRule="auto"/>
              <w:ind w:left="16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LXMC- 100</w:t>
            </w:r>
          </w:p>
        </w:tc>
        <w:tc>
          <w:tcPr>
            <w:tcW w:w="943" w:type="dxa"/>
            <w:vMerge w:val="continue"/>
            <w:tcBorders>
              <w:top w:val="nil"/>
              <w:bottom w:val="nil"/>
              <w:right w:val="nil"/>
            </w:tcBorders>
            <w:vAlign w:val="top"/>
          </w:tcPr>
          <w:p w14:paraId="41916C20">
            <w:pPr>
              <w:rPr>
                <w:rFonts w:ascii="Arial"/>
                <w:sz w:val="21"/>
              </w:rPr>
            </w:pPr>
          </w:p>
        </w:tc>
      </w:tr>
      <w:tr w14:paraId="001C7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46" w:type="dxa"/>
            <w:tcBorders>
              <w:left w:val="nil"/>
            </w:tcBorders>
            <w:vAlign w:val="top"/>
          </w:tcPr>
          <w:p w14:paraId="6B4B5AAD">
            <w:pPr>
              <w:spacing w:before="89"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25" w:type="dxa"/>
            <w:vAlign w:val="top"/>
          </w:tcPr>
          <w:p w14:paraId="6B8B2E12">
            <w:pPr>
              <w:spacing w:before="56" w:line="228" w:lineRule="auto"/>
              <w:ind w:left="502"/>
              <w:rPr>
                <w:rFonts w:ascii="宋体" w:hAnsi="宋体" w:eastAsia="宋体" w:cs="宋体"/>
                <w:sz w:val="20"/>
                <w:szCs w:val="20"/>
              </w:rPr>
            </w:pPr>
            <w:r>
              <w:rPr>
                <w:rFonts w:ascii="宋体" w:hAnsi="宋体" w:eastAsia="宋体" w:cs="宋体"/>
                <w:spacing w:val="7"/>
                <w:sz w:val="20"/>
                <w:szCs w:val="20"/>
              </w:rPr>
              <w:t>洗字槽</w:t>
            </w:r>
          </w:p>
        </w:tc>
        <w:tc>
          <w:tcPr>
            <w:tcW w:w="836" w:type="dxa"/>
            <w:vAlign w:val="top"/>
          </w:tcPr>
          <w:p w14:paraId="398248D2">
            <w:pPr>
              <w:spacing w:before="56" w:line="230" w:lineRule="auto"/>
              <w:ind w:left="20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座</w:t>
            </w:r>
          </w:p>
        </w:tc>
        <w:tc>
          <w:tcPr>
            <w:tcW w:w="4272" w:type="dxa"/>
            <w:vAlign w:val="top"/>
          </w:tcPr>
          <w:p w14:paraId="5FD089A9">
            <w:pPr>
              <w:spacing w:before="18" w:line="281" w:lineRule="exact"/>
              <w:ind w:left="718"/>
              <w:rPr>
                <w:rFonts w:ascii="宋体" w:hAnsi="宋体" w:eastAsia="宋体" w:cs="宋体"/>
                <w:sz w:val="20"/>
                <w:szCs w:val="20"/>
              </w:rPr>
            </w:pPr>
            <w:r>
              <w:rPr>
                <w:rFonts w:ascii="宋体" w:hAnsi="宋体" w:eastAsia="宋体" w:cs="宋体"/>
                <w:spacing w:val="6"/>
                <w:position w:val="1"/>
                <w:sz w:val="20"/>
                <w:szCs w:val="20"/>
              </w:rPr>
              <w:t>容积</w:t>
            </w:r>
            <w:r>
              <w:rPr>
                <w:rFonts w:ascii="宋体" w:hAnsi="宋体" w:eastAsia="宋体" w:cs="宋体"/>
                <w:spacing w:val="4"/>
                <w:position w:val="1"/>
                <w:sz w:val="20"/>
                <w:szCs w:val="20"/>
              </w:rPr>
              <w:t xml:space="preserve"> </w:t>
            </w: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座 (</w:t>
            </w:r>
            <w:r>
              <w:rPr>
                <w:rFonts w:ascii="Times New Roman" w:hAnsi="Times New Roman" w:eastAsia="Times New Roman" w:cs="Times New Roman"/>
                <w:spacing w:val="3"/>
                <w:position w:val="1"/>
                <w:sz w:val="20"/>
                <w:szCs w:val="20"/>
              </w:rPr>
              <w:t>2.5</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×1.2</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position w:val="1"/>
                <w:sz w:val="20"/>
                <w:szCs w:val="20"/>
              </w:rPr>
              <w:t>m</w:t>
            </w:r>
            <w:r>
              <w:rPr>
                <w:rFonts w:ascii="宋体" w:hAnsi="宋体" w:eastAsia="宋体" w:cs="宋体"/>
                <w:spacing w:val="3"/>
                <w:position w:val="1"/>
                <w:sz w:val="20"/>
                <w:szCs w:val="20"/>
              </w:rPr>
              <w:t>)</w:t>
            </w:r>
          </w:p>
        </w:tc>
        <w:tc>
          <w:tcPr>
            <w:tcW w:w="943" w:type="dxa"/>
            <w:vMerge w:val="continue"/>
            <w:tcBorders>
              <w:top w:val="nil"/>
              <w:right w:val="nil"/>
            </w:tcBorders>
            <w:vAlign w:val="top"/>
          </w:tcPr>
          <w:p w14:paraId="1D332A99">
            <w:pPr>
              <w:rPr>
                <w:rFonts w:ascii="Arial"/>
                <w:sz w:val="21"/>
              </w:rPr>
            </w:pPr>
          </w:p>
        </w:tc>
      </w:tr>
      <w:tr w14:paraId="6F491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6D38BE52">
            <w:pPr>
              <w:spacing w:before="88"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625" w:type="dxa"/>
            <w:vAlign w:val="top"/>
          </w:tcPr>
          <w:p w14:paraId="162E681F">
            <w:pPr>
              <w:spacing w:before="57" w:line="227" w:lineRule="auto"/>
              <w:ind w:left="292"/>
              <w:rPr>
                <w:rFonts w:ascii="宋体" w:hAnsi="宋体" w:eastAsia="宋体" w:cs="宋体"/>
                <w:sz w:val="20"/>
                <w:szCs w:val="20"/>
              </w:rPr>
            </w:pPr>
            <w:r>
              <w:rPr>
                <w:rFonts w:ascii="宋体" w:hAnsi="宋体" w:eastAsia="宋体" w:cs="宋体"/>
                <w:spacing w:val="8"/>
                <w:sz w:val="20"/>
                <w:szCs w:val="20"/>
              </w:rPr>
              <w:t>偏心清洗机</w:t>
            </w:r>
          </w:p>
        </w:tc>
        <w:tc>
          <w:tcPr>
            <w:tcW w:w="836" w:type="dxa"/>
            <w:vAlign w:val="top"/>
          </w:tcPr>
          <w:p w14:paraId="6BAE9CCD">
            <w:pPr>
              <w:spacing w:before="57"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07DE49B3">
            <w:pPr>
              <w:spacing w:before="19"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vMerge w:val="restart"/>
            <w:tcBorders>
              <w:bottom w:val="nil"/>
              <w:right w:val="nil"/>
            </w:tcBorders>
            <w:vAlign w:val="top"/>
          </w:tcPr>
          <w:p w14:paraId="35658753">
            <w:pPr>
              <w:spacing w:before="213" w:line="228" w:lineRule="auto"/>
              <w:ind w:left="267"/>
              <w:rPr>
                <w:rFonts w:ascii="宋体" w:hAnsi="宋体" w:eastAsia="宋体" w:cs="宋体"/>
                <w:sz w:val="20"/>
                <w:szCs w:val="20"/>
              </w:rPr>
            </w:pPr>
            <w:r>
              <w:rPr>
                <w:rFonts w:ascii="宋体" w:hAnsi="宋体" w:eastAsia="宋体" w:cs="宋体"/>
                <w:spacing w:val="5"/>
                <w:sz w:val="20"/>
                <w:szCs w:val="20"/>
              </w:rPr>
              <w:t>清</w:t>
            </w:r>
            <w:r>
              <w:rPr>
                <w:rFonts w:ascii="宋体" w:hAnsi="宋体" w:eastAsia="宋体" w:cs="宋体"/>
                <w:spacing w:val="4"/>
                <w:sz w:val="20"/>
                <w:szCs w:val="20"/>
              </w:rPr>
              <w:t>洗</w:t>
            </w:r>
          </w:p>
        </w:tc>
      </w:tr>
      <w:tr w14:paraId="5833F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5706CC86">
            <w:pPr>
              <w:spacing w:before="8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625" w:type="dxa"/>
            <w:vAlign w:val="top"/>
          </w:tcPr>
          <w:p w14:paraId="2FCFD4E8">
            <w:pPr>
              <w:spacing w:before="51" w:line="228" w:lineRule="auto"/>
              <w:ind w:left="186"/>
              <w:rPr>
                <w:rFonts w:ascii="宋体" w:hAnsi="宋体" w:eastAsia="宋体" w:cs="宋体"/>
                <w:sz w:val="20"/>
                <w:szCs w:val="20"/>
              </w:rPr>
            </w:pPr>
            <w:r>
              <w:rPr>
                <w:rFonts w:ascii="宋体" w:hAnsi="宋体" w:eastAsia="宋体" w:cs="宋体"/>
                <w:spacing w:val="9"/>
                <w:sz w:val="20"/>
                <w:szCs w:val="20"/>
              </w:rPr>
              <w:t>沉</w:t>
            </w:r>
            <w:r>
              <w:rPr>
                <w:rFonts w:ascii="宋体" w:hAnsi="宋体" w:eastAsia="宋体" w:cs="宋体"/>
                <w:spacing w:val="8"/>
                <w:sz w:val="20"/>
                <w:szCs w:val="20"/>
              </w:rPr>
              <w:t>浮分离水槽</w:t>
            </w:r>
          </w:p>
        </w:tc>
        <w:tc>
          <w:tcPr>
            <w:tcW w:w="836" w:type="dxa"/>
            <w:vAlign w:val="top"/>
          </w:tcPr>
          <w:p w14:paraId="6035A349">
            <w:pPr>
              <w:spacing w:before="52" w:line="230" w:lineRule="auto"/>
              <w:ind w:left="20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座</w:t>
            </w:r>
          </w:p>
        </w:tc>
        <w:tc>
          <w:tcPr>
            <w:tcW w:w="4272" w:type="dxa"/>
            <w:vAlign w:val="top"/>
          </w:tcPr>
          <w:p w14:paraId="43EC01F6">
            <w:pPr>
              <w:spacing w:before="14" w:line="281" w:lineRule="exact"/>
              <w:ind w:left="403"/>
              <w:rPr>
                <w:rFonts w:ascii="宋体" w:hAnsi="宋体" w:eastAsia="宋体" w:cs="宋体"/>
                <w:sz w:val="20"/>
                <w:szCs w:val="20"/>
              </w:rPr>
            </w:pPr>
            <w:r>
              <w:rPr>
                <w:rFonts w:ascii="宋体" w:hAnsi="宋体" w:eastAsia="宋体" w:cs="宋体"/>
                <w:spacing w:val="6"/>
                <w:position w:val="1"/>
                <w:sz w:val="20"/>
                <w:szCs w:val="20"/>
              </w:rPr>
              <w:t>单</w:t>
            </w:r>
            <w:r>
              <w:rPr>
                <w:rFonts w:ascii="宋体" w:hAnsi="宋体" w:eastAsia="宋体" w:cs="宋体"/>
                <w:spacing w:val="4"/>
                <w:position w:val="1"/>
                <w:sz w:val="20"/>
                <w:szCs w:val="20"/>
              </w:rPr>
              <w:t xml:space="preserve">座容积 </w:t>
            </w:r>
            <w:r>
              <w:rPr>
                <w:rFonts w:ascii="Times New Roman" w:hAnsi="Times New Roman" w:eastAsia="Times New Roman" w:cs="Times New Roman"/>
                <w:spacing w:val="4"/>
                <w:position w:val="1"/>
                <w:sz w:val="20"/>
                <w:szCs w:val="20"/>
              </w:rPr>
              <w:t>27</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座 (</w:t>
            </w:r>
            <w:r>
              <w:rPr>
                <w:rFonts w:ascii="Times New Roman" w:hAnsi="Times New Roman" w:eastAsia="Times New Roman" w:cs="Times New Roman"/>
                <w:spacing w:val="4"/>
                <w:position w:val="1"/>
                <w:sz w:val="20"/>
                <w:szCs w:val="20"/>
              </w:rPr>
              <w:t>15</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×1.2</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×1.5</w:t>
            </w:r>
            <w:r>
              <w:rPr>
                <w:rFonts w:ascii="Times New Roman" w:hAnsi="Times New Roman" w:eastAsia="Times New Roman" w:cs="Times New Roman"/>
                <w:position w:val="1"/>
                <w:sz w:val="20"/>
                <w:szCs w:val="20"/>
              </w:rPr>
              <w:t>m</w:t>
            </w:r>
            <w:r>
              <w:rPr>
                <w:rFonts w:ascii="宋体" w:hAnsi="宋体" w:eastAsia="宋体" w:cs="宋体"/>
                <w:spacing w:val="4"/>
                <w:position w:val="1"/>
                <w:sz w:val="20"/>
                <w:szCs w:val="20"/>
              </w:rPr>
              <w:t>)</w:t>
            </w:r>
          </w:p>
        </w:tc>
        <w:tc>
          <w:tcPr>
            <w:tcW w:w="943" w:type="dxa"/>
            <w:vMerge w:val="continue"/>
            <w:tcBorders>
              <w:top w:val="nil"/>
              <w:right w:val="nil"/>
            </w:tcBorders>
            <w:vAlign w:val="top"/>
          </w:tcPr>
          <w:p w14:paraId="47AFAB3C">
            <w:pPr>
              <w:rPr>
                <w:rFonts w:ascii="Arial"/>
                <w:sz w:val="21"/>
              </w:rPr>
            </w:pPr>
          </w:p>
        </w:tc>
      </w:tr>
      <w:tr w14:paraId="1DC11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5A5A4732">
            <w:pPr>
              <w:spacing w:before="90"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625" w:type="dxa"/>
            <w:vAlign w:val="top"/>
          </w:tcPr>
          <w:p w14:paraId="174B964E">
            <w:pPr>
              <w:spacing w:before="54" w:line="227" w:lineRule="auto"/>
              <w:ind w:left="292"/>
              <w:rPr>
                <w:rFonts w:ascii="宋体" w:hAnsi="宋体" w:eastAsia="宋体" w:cs="宋体"/>
                <w:sz w:val="20"/>
                <w:szCs w:val="20"/>
              </w:rPr>
            </w:pPr>
            <w:r>
              <w:rPr>
                <w:rFonts w:ascii="宋体" w:hAnsi="宋体" w:eastAsia="宋体" w:cs="宋体"/>
                <w:spacing w:val="8"/>
                <w:sz w:val="20"/>
                <w:szCs w:val="20"/>
              </w:rPr>
              <w:t>立式脱水机</w:t>
            </w:r>
          </w:p>
        </w:tc>
        <w:tc>
          <w:tcPr>
            <w:tcW w:w="836" w:type="dxa"/>
            <w:vAlign w:val="top"/>
          </w:tcPr>
          <w:p w14:paraId="476A551A">
            <w:pPr>
              <w:spacing w:before="54"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2714D4F7">
            <w:pPr>
              <w:spacing w:before="90" w:line="197" w:lineRule="auto"/>
              <w:ind w:left="1655"/>
              <w:rPr>
                <w:rFonts w:ascii="Times New Roman" w:hAnsi="Times New Roman" w:eastAsia="Times New Roman" w:cs="Times New Roman"/>
                <w:sz w:val="20"/>
                <w:szCs w:val="20"/>
              </w:rPr>
            </w:pPr>
            <w:r>
              <w:rPr>
                <w:rFonts w:ascii="Times New Roman" w:hAnsi="Times New Roman" w:eastAsia="Times New Roman" w:cs="Times New Roman"/>
                <w:sz w:val="20"/>
                <w:szCs w:val="20"/>
              </w:rPr>
              <w:t>LHDD</w:t>
            </w:r>
            <w:r>
              <w:rPr>
                <w:rFonts w:ascii="Times New Roman" w:hAnsi="Times New Roman" w:eastAsia="Times New Roman" w:cs="Times New Roman"/>
                <w:spacing w:val="10"/>
                <w:sz w:val="20"/>
                <w:szCs w:val="20"/>
              </w:rPr>
              <w:t>-50</w:t>
            </w:r>
            <w:r>
              <w:rPr>
                <w:rFonts w:ascii="Times New Roman" w:hAnsi="Times New Roman" w:eastAsia="Times New Roman" w:cs="Times New Roman"/>
                <w:spacing w:val="9"/>
                <w:sz w:val="20"/>
                <w:szCs w:val="20"/>
              </w:rPr>
              <w:t>0</w:t>
            </w:r>
          </w:p>
        </w:tc>
        <w:tc>
          <w:tcPr>
            <w:tcW w:w="943" w:type="dxa"/>
            <w:tcBorders>
              <w:right w:val="nil"/>
            </w:tcBorders>
            <w:vAlign w:val="top"/>
          </w:tcPr>
          <w:p w14:paraId="56943F80">
            <w:pPr>
              <w:spacing w:before="53" w:line="228" w:lineRule="auto"/>
              <w:ind w:left="268"/>
              <w:rPr>
                <w:rFonts w:ascii="宋体" w:hAnsi="宋体" w:eastAsia="宋体" w:cs="宋体"/>
                <w:sz w:val="20"/>
                <w:szCs w:val="20"/>
              </w:rPr>
            </w:pPr>
            <w:r>
              <w:rPr>
                <w:rFonts w:ascii="宋体" w:hAnsi="宋体" w:eastAsia="宋体" w:cs="宋体"/>
                <w:spacing w:val="4"/>
                <w:sz w:val="20"/>
                <w:szCs w:val="20"/>
              </w:rPr>
              <w:t>脱水</w:t>
            </w:r>
          </w:p>
        </w:tc>
      </w:tr>
      <w:tr w14:paraId="2A911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5EF85CD1">
            <w:pPr>
              <w:spacing w:before="8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625" w:type="dxa"/>
            <w:vAlign w:val="top"/>
          </w:tcPr>
          <w:p w14:paraId="7D7D6E56">
            <w:pPr>
              <w:spacing w:before="53" w:line="227" w:lineRule="auto"/>
              <w:ind w:left="504"/>
              <w:rPr>
                <w:rFonts w:ascii="宋体" w:hAnsi="宋体" w:eastAsia="宋体" w:cs="宋体"/>
                <w:sz w:val="20"/>
                <w:szCs w:val="20"/>
              </w:rPr>
            </w:pPr>
            <w:r>
              <w:rPr>
                <w:rFonts w:ascii="宋体" w:hAnsi="宋体" w:eastAsia="宋体" w:cs="宋体"/>
                <w:spacing w:val="7"/>
                <w:sz w:val="20"/>
                <w:szCs w:val="20"/>
              </w:rPr>
              <w:t>提</w:t>
            </w:r>
            <w:r>
              <w:rPr>
                <w:rFonts w:ascii="宋体" w:hAnsi="宋体" w:eastAsia="宋体" w:cs="宋体"/>
                <w:spacing w:val="6"/>
                <w:sz w:val="20"/>
                <w:szCs w:val="20"/>
              </w:rPr>
              <w:t>料机</w:t>
            </w:r>
          </w:p>
        </w:tc>
        <w:tc>
          <w:tcPr>
            <w:tcW w:w="836" w:type="dxa"/>
            <w:vAlign w:val="top"/>
          </w:tcPr>
          <w:p w14:paraId="6A853809">
            <w:pPr>
              <w:spacing w:before="53"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52D097AD">
            <w:pPr>
              <w:spacing w:before="16"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tcBorders>
              <w:right w:val="nil"/>
            </w:tcBorders>
            <w:vAlign w:val="top"/>
          </w:tcPr>
          <w:p w14:paraId="616AD230">
            <w:pPr>
              <w:spacing w:before="53" w:line="228" w:lineRule="auto"/>
              <w:ind w:left="55"/>
              <w:rPr>
                <w:rFonts w:ascii="宋体" w:hAnsi="宋体" w:eastAsia="宋体" w:cs="宋体"/>
                <w:sz w:val="20"/>
                <w:szCs w:val="20"/>
              </w:rPr>
            </w:pPr>
            <w:r>
              <w:rPr>
                <w:rFonts w:ascii="宋体" w:hAnsi="宋体" w:eastAsia="宋体" w:cs="宋体"/>
                <w:spacing w:val="9"/>
                <w:sz w:val="20"/>
                <w:szCs w:val="20"/>
              </w:rPr>
              <w:t>破</w:t>
            </w:r>
            <w:r>
              <w:rPr>
                <w:rFonts w:ascii="宋体" w:hAnsi="宋体" w:eastAsia="宋体" w:cs="宋体"/>
                <w:spacing w:val="7"/>
                <w:sz w:val="20"/>
                <w:szCs w:val="20"/>
              </w:rPr>
              <w:t>碎上料</w:t>
            </w:r>
          </w:p>
        </w:tc>
      </w:tr>
      <w:tr w14:paraId="43A4F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70FF607A">
            <w:pPr>
              <w:spacing w:before="8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625" w:type="dxa"/>
            <w:vAlign w:val="top"/>
          </w:tcPr>
          <w:p w14:paraId="6B8F88B0">
            <w:pPr>
              <w:spacing w:before="53" w:line="227" w:lineRule="auto"/>
              <w:ind w:left="514"/>
              <w:rPr>
                <w:rFonts w:ascii="宋体" w:hAnsi="宋体" w:eastAsia="宋体" w:cs="宋体"/>
                <w:sz w:val="20"/>
                <w:szCs w:val="20"/>
              </w:rPr>
            </w:pPr>
            <w:r>
              <w:rPr>
                <w:rFonts w:ascii="宋体" w:hAnsi="宋体" w:eastAsia="宋体" w:cs="宋体"/>
                <w:spacing w:val="4"/>
                <w:sz w:val="20"/>
                <w:szCs w:val="20"/>
              </w:rPr>
              <w:t>喂</w:t>
            </w:r>
            <w:r>
              <w:rPr>
                <w:rFonts w:ascii="宋体" w:hAnsi="宋体" w:eastAsia="宋体" w:cs="宋体"/>
                <w:spacing w:val="3"/>
                <w:sz w:val="20"/>
                <w:szCs w:val="20"/>
              </w:rPr>
              <w:t>料机</w:t>
            </w:r>
          </w:p>
        </w:tc>
        <w:tc>
          <w:tcPr>
            <w:tcW w:w="836" w:type="dxa"/>
            <w:vAlign w:val="top"/>
          </w:tcPr>
          <w:p w14:paraId="471E2A96">
            <w:pPr>
              <w:spacing w:before="53"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5DB92DF2">
            <w:pPr>
              <w:spacing w:before="15"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tcBorders>
              <w:right w:val="nil"/>
            </w:tcBorders>
            <w:vAlign w:val="top"/>
          </w:tcPr>
          <w:p w14:paraId="77B56F4D">
            <w:pPr>
              <w:spacing w:before="53" w:line="228" w:lineRule="auto"/>
              <w:ind w:left="56"/>
              <w:rPr>
                <w:rFonts w:ascii="宋体" w:hAnsi="宋体" w:eastAsia="宋体" w:cs="宋体"/>
                <w:sz w:val="20"/>
                <w:szCs w:val="20"/>
              </w:rPr>
            </w:pPr>
            <w:r>
              <w:rPr>
                <w:rFonts w:ascii="宋体" w:hAnsi="宋体" w:eastAsia="宋体" w:cs="宋体"/>
                <w:spacing w:val="8"/>
                <w:sz w:val="20"/>
                <w:szCs w:val="20"/>
              </w:rPr>
              <w:t>挤</w:t>
            </w:r>
            <w:r>
              <w:rPr>
                <w:rFonts w:ascii="宋体" w:hAnsi="宋体" w:eastAsia="宋体" w:cs="宋体"/>
                <w:spacing w:val="7"/>
                <w:sz w:val="20"/>
                <w:szCs w:val="20"/>
              </w:rPr>
              <w:t>出上料</w:t>
            </w:r>
          </w:p>
        </w:tc>
      </w:tr>
      <w:tr w14:paraId="2B171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4151BC29">
            <w:pPr>
              <w:spacing w:before="88"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625" w:type="dxa"/>
            <w:vAlign w:val="top"/>
          </w:tcPr>
          <w:p w14:paraId="07FE55C7">
            <w:pPr>
              <w:spacing w:before="52" w:line="227" w:lineRule="auto"/>
              <w:ind w:left="507"/>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混机</w:t>
            </w:r>
          </w:p>
        </w:tc>
        <w:tc>
          <w:tcPr>
            <w:tcW w:w="836" w:type="dxa"/>
            <w:vAlign w:val="top"/>
          </w:tcPr>
          <w:p w14:paraId="42E4CFCC">
            <w:pPr>
              <w:spacing w:before="52"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638D86B9">
            <w:pPr>
              <w:spacing w:before="15"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vMerge w:val="restart"/>
            <w:tcBorders>
              <w:bottom w:val="nil"/>
              <w:right w:val="nil"/>
            </w:tcBorders>
            <w:vAlign w:val="top"/>
          </w:tcPr>
          <w:p w14:paraId="15341FD9">
            <w:pPr>
              <w:spacing w:before="214" w:line="228" w:lineRule="auto"/>
              <w:ind w:left="267"/>
              <w:rPr>
                <w:rFonts w:ascii="宋体" w:hAnsi="宋体" w:eastAsia="宋体" w:cs="宋体"/>
                <w:sz w:val="20"/>
                <w:szCs w:val="20"/>
              </w:rPr>
            </w:pPr>
            <w:r>
              <w:rPr>
                <w:rFonts w:ascii="宋体" w:hAnsi="宋体" w:eastAsia="宋体" w:cs="宋体"/>
                <w:spacing w:val="5"/>
                <w:sz w:val="20"/>
                <w:szCs w:val="20"/>
              </w:rPr>
              <w:t>挤</w:t>
            </w:r>
            <w:r>
              <w:rPr>
                <w:rFonts w:ascii="宋体" w:hAnsi="宋体" w:eastAsia="宋体" w:cs="宋体"/>
                <w:spacing w:val="4"/>
                <w:sz w:val="20"/>
                <w:szCs w:val="20"/>
              </w:rPr>
              <w:t>出</w:t>
            </w:r>
          </w:p>
        </w:tc>
      </w:tr>
      <w:tr w14:paraId="21394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256F995E">
            <w:pPr>
              <w:spacing w:before="88"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625" w:type="dxa"/>
            <w:vAlign w:val="top"/>
          </w:tcPr>
          <w:p w14:paraId="487D8819">
            <w:pPr>
              <w:spacing w:before="52" w:line="227" w:lineRule="auto"/>
              <w:ind w:left="503"/>
              <w:rPr>
                <w:rFonts w:ascii="宋体" w:hAnsi="宋体" w:eastAsia="宋体" w:cs="宋体"/>
                <w:sz w:val="20"/>
                <w:szCs w:val="20"/>
              </w:rPr>
            </w:pPr>
            <w:r>
              <w:rPr>
                <w:rFonts w:ascii="宋体" w:hAnsi="宋体" w:eastAsia="宋体" w:cs="宋体"/>
                <w:spacing w:val="7"/>
                <w:sz w:val="20"/>
                <w:szCs w:val="20"/>
              </w:rPr>
              <w:t>挤出</w:t>
            </w:r>
            <w:r>
              <w:rPr>
                <w:rFonts w:ascii="宋体" w:hAnsi="宋体" w:eastAsia="宋体" w:cs="宋体"/>
                <w:spacing w:val="6"/>
                <w:sz w:val="20"/>
                <w:szCs w:val="20"/>
              </w:rPr>
              <w:t>机</w:t>
            </w:r>
          </w:p>
        </w:tc>
        <w:tc>
          <w:tcPr>
            <w:tcW w:w="836" w:type="dxa"/>
            <w:vAlign w:val="top"/>
          </w:tcPr>
          <w:p w14:paraId="7666C25E">
            <w:pPr>
              <w:spacing w:before="52"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2C16AA3B">
            <w:pPr>
              <w:spacing w:before="15"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vMerge w:val="continue"/>
            <w:tcBorders>
              <w:top w:val="nil"/>
              <w:right w:val="nil"/>
            </w:tcBorders>
            <w:vAlign w:val="top"/>
          </w:tcPr>
          <w:p w14:paraId="26073786">
            <w:pPr>
              <w:rPr>
                <w:rFonts w:ascii="Arial"/>
                <w:sz w:val="21"/>
              </w:rPr>
            </w:pPr>
          </w:p>
        </w:tc>
      </w:tr>
      <w:tr w14:paraId="7EBC1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3B2A5914">
            <w:pPr>
              <w:spacing w:before="88"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625" w:type="dxa"/>
            <w:vAlign w:val="top"/>
          </w:tcPr>
          <w:p w14:paraId="491D7A5B">
            <w:pPr>
              <w:spacing w:before="52" w:line="227" w:lineRule="auto"/>
              <w:ind w:left="505"/>
              <w:rPr>
                <w:rFonts w:ascii="宋体" w:hAnsi="宋体" w:eastAsia="宋体" w:cs="宋体"/>
                <w:sz w:val="20"/>
                <w:szCs w:val="20"/>
              </w:rPr>
            </w:pPr>
            <w:r>
              <w:rPr>
                <w:rFonts w:ascii="宋体" w:hAnsi="宋体" w:eastAsia="宋体" w:cs="宋体"/>
                <w:spacing w:val="7"/>
                <w:sz w:val="20"/>
                <w:szCs w:val="20"/>
              </w:rPr>
              <w:t>拉</w:t>
            </w:r>
            <w:r>
              <w:rPr>
                <w:rFonts w:ascii="宋体" w:hAnsi="宋体" w:eastAsia="宋体" w:cs="宋体"/>
                <w:spacing w:val="6"/>
                <w:sz w:val="20"/>
                <w:szCs w:val="20"/>
              </w:rPr>
              <w:t>丝机</w:t>
            </w:r>
          </w:p>
        </w:tc>
        <w:tc>
          <w:tcPr>
            <w:tcW w:w="836" w:type="dxa"/>
            <w:vAlign w:val="top"/>
          </w:tcPr>
          <w:p w14:paraId="609C1794">
            <w:pPr>
              <w:spacing w:before="52"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25924AD0">
            <w:pPr>
              <w:spacing w:before="14" w:line="281" w:lineRule="exact"/>
              <w:ind w:left="21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43" w:type="dxa"/>
            <w:tcBorders>
              <w:right w:val="nil"/>
            </w:tcBorders>
            <w:vAlign w:val="top"/>
          </w:tcPr>
          <w:p w14:paraId="7133419D">
            <w:pPr>
              <w:spacing w:before="52" w:line="227" w:lineRule="auto"/>
              <w:ind w:left="269"/>
              <w:rPr>
                <w:rFonts w:ascii="宋体" w:hAnsi="宋体" w:eastAsia="宋体" w:cs="宋体"/>
                <w:sz w:val="20"/>
                <w:szCs w:val="20"/>
              </w:rPr>
            </w:pPr>
            <w:r>
              <w:rPr>
                <w:rFonts w:ascii="宋体" w:hAnsi="宋体" w:eastAsia="宋体" w:cs="宋体"/>
                <w:spacing w:val="4"/>
                <w:sz w:val="20"/>
                <w:szCs w:val="20"/>
              </w:rPr>
              <w:t>牵</w:t>
            </w:r>
            <w:r>
              <w:rPr>
                <w:rFonts w:ascii="宋体" w:hAnsi="宋体" w:eastAsia="宋体" w:cs="宋体"/>
                <w:spacing w:val="3"/>
                <w:sz w:val="20"/>
                <w:szCs w:val="20"/>
              </w:rPr>
              <w:t>引</w:t>
            </w:r>
          </w:p>
        </w:tc>
      </w:tr>
      <w:tr w14:paraId="79B17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00FF034C">
            <w:pPr>
              <w:spacing w:before="90"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625" w:type="dxa"/>
            <w:vAlign w:val="top"/>
          </w:tcPr>
          <w:p w14:paraId="68D4182C">
            <w:pPr>
              <w:spacing w:before="54" w:line="230" w:lineRule="auto"/>
              <w:ind w:left="505"/>
              <w:rPr>
                <w:rFonts w:ascii="宋体" w:hAnsi="宋体" w:eastAsia="宋体" w:cs="宋体"/>
                <w:sz w:val="20"/>
                <w:szCs w:val="20"/>
              </w:rPr>
            </w:pPr>
            <w:r>
              <w:rPr>
                <w:rFonts w:ascii="宋体" w:hAnsi="宋体" w:eastAsia="宋体" w:cs="宋体"/>
                <w:spacing w:val="7"/>
                <w:sz w:val="20"/>
                <w:szCs w:val="20"/>
              </w:rPr>
              <w:t>冷</w:t>
            </w:r>
            <w:r>
              <w:rPr>
                <w:rFonts w:ascii="宋体" w:hAnsi="宋体" w:eastAsia="宋体" w:cs="宋体"/>
                <w:spacing w:val="6"/>
                <w:sz w:val="20"/>
                <w:szCs w:val="20"/>
              </w:rPr>
              <w:t>却池</w:t>
            </w:r>
          </w:p>
        </w:tc>
        <w:tc>
          <w:tcPr>
            <w:tcW w:w="836" w:type="dxa"/>
            <w:vAlign w:val="top"/>
          </w:tcPr>
          <w:p w14:paraId="32BA350E">
            <w:pPr>
              <w:spacing w:before="54" w:line="230" w:lineRule="auto"/>
              <w:ind w:left="20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座</w:t>
            </w:r>
          </w:p>
        </w:tc>
        <w:tc>
          <w:tcPr>
            <w:tcW w:w="4272" w:type="dxa"/>
            <w:vAlign w:val="top"/>
          </w:tcPr>
          <w:p w14:paraId="04AE5850">
            <w:pPr>
              <w:spacing w:before="16" w:line="281" w:lineRule="exact"/>
              <w:ind w:left="457"/>
              <w:rPr>
                <w:rFonts w:ascii="宋体" w:hAnsi="宋体" w:eastAsia="宋体" w:cs="宋体"/>
                <w:sz w:val="20"/>
                <w:szCs w:val="20"/>
              </w:rPr>
            </w:pPr>
            <w:r>
              <w:rPr>
                <w:rFonts w:ascii="宋体" w:hAnsi="宋体" w:eastAsia="宋体" w:cs="宋体"/>
                <w:spacing w:val="6"/>
                <w:position w:val="1"/>
                <w:sz w:val="20"/>
                <w:szCs w:val="20"/>
              </w:rPr>
              <w:t xml:space="preserve">容积 </w:t>
            </w: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spacing w:val="3"/>
                <w:position w:val="1"/>
                <w:sz w:val="20"/>
                <w:szCs w:val="20"/>
              </w:rPr>
              <w:t>79</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座 (</w:t>
            </w:r>
            <w:r>
              <w:rPr>
                <w:rFonts w:ascii="Times New Roman" w:hAnsi="Times New Roman" w:eastAsia="Times New Roman" w:cs="Times New Roman"/>
                <w:spacing w:val="3"/>
                <w:position w:val="1"/>
                <w:sz w:val="20"/>
                <w:szCs w:val="20"/>
              </w:rPr>
              <w:t>4.5</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×0.5</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×0.35</w:t>
            </w:r>
            <w:r>
              <w:rPr>
                <w:rFonts w:ascii="Times New Roman" w:hAnsi="Times New Roman" w:eastAsia="Times New Roman" w:cs="Times New Roman"/>
                <w:position w:val="1"/>
                <w:sz w:val="20"/>
                <w:szCs w:val="20"/>
              </w:rPr>
              <w:t>m</w:t>
            </w:r>
            <w:r>
              <w:rPr>
                <w:rFonts w:ascii="宋体" w:hAnsi="宋体" w:eastAsia="宋体" w:cs="宋体"/>
                <w:spacing w:val="3"/>
                <w:position w:val="1"/>
                <w:sz w:val="20"/>
                <w:szCs w:val="20"/>
              </w:rPr>
              <w:t>)</w:t>
            </w:r>
          </w:p>
        </w:tc>
        <w:tc>
          <w:tcPr>
            <w:tcW w:w="943" w:type="dxa"/>
            <w:tcBorders>
              <w:right w:val="nil"/>
            </w:tcBorders>
            <w:vAlign w:val="top"/>
          </w:tcPr>
          <w:p w14:paraId="537DB345">
            <w:pPr>
              <w:spacing w:before="54" w:line="230" w:lineRule="auto"/>
              <w:ind w:left="269"/>
              <w:rPr>
                <w:rFonts w:ascii="宋体" w:hAnsi="宋体" w:eastAsia="宋体" w:cs="宋体"/>
                <w:sz w:val="20"/>
                <w:szCs w:val="20"/>
              </w:rPr>
            </w:pPr>
            <w:r>
              <w:rPr>
                <w:rFonts w:ascii="宋体" w:hAnsi="宋体" w:eastAsia="宋体" w:cs="宋体"/>
                <w:spacing w:val="4"/>
                <w:sz w:val="20"/>
                <w:szCs w:val="20"/>
              </w:rPr>
              <w:t>冷</w:t>
            </w:r>
            <w:r>
              <w:rPr>
                <w:rFonts w:ascii="宋体" w:hAnsi="宋体" w:eastAsia="宋体" w:cs="宋体"/>
                <w:spacing w:val="3"/>
                <w:sz w:val="20"/>
                <w:szCs w:val="20"/>
              </w:rPr>
              <w:t>却</w:t>
            </w:r>
          </w:p>
        </w:tc>
      </w:tr>
      <w:tr w14:paraId="51B69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1E7FFE3B">
            <w:pPr>
              <w:spacing w:before="8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625" w:type="dxa"/>
            <w:vAlign w:val="top"/>
          </w:tcPr>
          <w:p w14:paraId="5A2E4F35">
            <w:pPr>
              <w:spacing w:before="53" w:line="227" w:lineRule="auto"/>
              <w:ind w:left="502"/>
              <w:rPr>
                <w:rFonts w:ascii="宋体" w:hAnsi="宋体" w:eastAsia="宋体" w:cs="宋体"/>
                <w:sz w:val="20"/>
                <w:szCs w:val="20"/>
              </w:rPr>
            </w:pPr>
            <w:r>
              <w:rPr>
                <w:rFonts w:ascii="宋体" w:hAnsi="宋体" w:eastAsia="宋体" w:cs="宋体"/>
                <w:spacing w:val="7"/>
                <w:sz w:val="20"/>
                <w:szCs w:val="20"/>
              </w:rPr>
              <w:t>切粒机</w:t>
            </w:r>
          </w:p>
        </w:tc>
        <w:tc>
          <w:tcPr>
            <w:tcW w:w="836" w:type="dxa"/>
            <w:vAlign w:val="top"/>
          </w:tcPr>
          <w:p w14:paraId="30FF3052">
            <w:pPr>
              <w:spacing w:before="53"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4A39CCF7">
            <w:pPr>
              <w:spacing w:before="16" w:line="281" w:lineRule="exact"/>
              <w:ind w:left="1325"/>
              <w:rPr>
                <w:rFonts w:ascii="Times New Roman" w:hAnsi="Times New Roman" w:eastAsia="Times New Roman" w:cs="Times New Roman"/>
                <w:sz w:val="20"/>
                <w:szCs w:val="20"/>
              </w:rPr>
            </w:pPr>
            <w:r>
              <w:rPr>
                <w:rFonts w:ascii="宋体" w:hAnsi="宋体" w:eastAsia="宋体" w:cs="宋体"/>
                <w:spacing w:val="2"/>
                <w:position w:val="1"/>
                <w:sz w:val="20"/>
                <w:szCs w:val="20"/>
              </w:rPr>
              <w:t>单位生产能</w:t>
            </w:r>
            <w:r>
              <w:rPr>
                <w:rFonts w:ascii="宋体" w:hAnsi="宋体" w:eastAsia="宋体" w:cs="宋体"/>
                <w:spacing w:val="1"/>
                <w:position w:val="1"/>
                <w:sz w:val="20"/>
                <w:szCs w:val="20"/>
              </w:rPr>
              <w:t xml:space="preserve">力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h</w:t>
            </w:r>
          </w:p>
        </w:tc>
        <w:tc>
          <w:tcPr>
            <w:tcW w:w="943" w:type="dxa"/>
            <w:vMerge w:val="restart"/>
            <w:tcBorders>
              <w:bottom w:val="nil"/>
              <w:right w:val="nil"/>
            </w:tcBorders>
            <w:vAlign w:val="top"/>
          </w:tcPr>
          <w:p w14:paraId="5FA25296">
            <w:pPr>
              <w:spacing w:before="215" w:line="228" w:lineRule="auto"/>
              <w:ind w:left="266"/>
              <w:rPr>
                <w:rFonts w:ascii="宋体" w:hAnsi="宋体" w:eastAsia="宋体" w:cs="宋体"/>
                <w:sz w:val="20"/>
                <w:szCs w:val="20"/>
              </w:rPr>
            </w:pPr>
            <w:r>
              <w:rPr>
                <w:rFonts w:ascii="宋体" w:hAnsi="宋体" w:eastAsia="宋体" w:cs="宋体"/>
                <w:spacing w:val="5"/>
                <w:sz w:val="20"/>
                <w:szCs w:val="20"/>
              </w:rPr>
              <w:t>切粒</w:t>
            </w:r>
          </w:p>
        </w:tc>
      </w:tr>
      <w:tr w14:paraId="5FBC5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458EED97">
            <w:pPr>
              <w:spacing w:before="8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625" w:type="dxa"/>
            <w:vAlign w:val="top"/>
          </w:tcPr>
          <w:p w14:paraId="469BF063">
            <w:pPr>
              <w:spacing w:before="53" w:line="228" w:lineRule="auto"/>
              <w:ind w:left="502"/>
              <w:rPr>
                <w:rFonts w:ascii="宋体" w:hAnsi="宋体" w:eastAsia="宋体" w:cs="宋体"/>
                <w:sz w:val="20"/>
                <w:szCs w:val="20"/>
              </w:rPr>
            </w:pPr>
            <w:r>
              <w:rPr>
                <w:rFonts w:ascii="宋体" w:hAnsi="宋体" w:eastAsia="宋体" w:cs="宋体"/>
                <w:spacing w:val="7"/>
                <w:sz w:val="20"/>
                <w:szCs w:val="20"/>
              </w:rPr>
              <w:t>输送带</w:t>
            </w:r>
          </w:p>
        </w:tc>
        <w:tc>
          <w:tcPr>
            <w:tcW w:w="836" w:type="dxa"/>
            <w:vAlign w:val="top"/>
          </w:tcPr>
          <w:p w14:paraId="33050D8D">
            <w:pPr>
              <w:spacing w:before="53" w:line="230" w:lineRule="auto"/>
              <w:ind w:left="20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台</w:t>
            </w:r>
          </w:p>
        </w:tc>
        <w:tc>
          <w:tcPr>
            <w:tcW w:w="4272" w:type="dxa"/>
            <w:vAlign w:val="top"/>
          </w:tcPr>
          <w:p w14:paraId="2BDE9CA9">
            <w:pPr>
              <w:spacing w:before="15" w:line="281" w:lineRule="exact"/>
              <w:ind w:left="21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43" w:type="dxa"/>
            <w:vMerge w:val="continue"/>
            <w:tcBorders>
              <w:top w:val="nil"/>
              <w:right w:val="nil"/>
            </w:tcBorders>
            <w:vAlign w:val="top"/>
          </w:tcPr>
          <w:p w14:paraId="52A91598">
            <w:pPr>
              <w:rPr>
                <w:rFonts w:ascii="Arial"/>
                <w:sz w:val="21"/>
              </w:rPr>
            </w:pPr>
          </w:p>
        </w:tc>
      </w:tr>
      <w:tr w14:paraId="05E50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6" w:type="dxa"/>
            <w:tcBorders>
              <w:left w:val="nil"/>
            </w:tcBorders>
            <w:vAlign w:val="top"/>
          </w:tcPr>
          <w:p w14:paraId="1ADFB6B7">
            <w:pPr>
              <w:spacing w:before="244"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625" w:type="dxa"/>
            <w:vAlign w:val="top"/>
          </w:tcPr>
          <w:p w14:paraId="56E833C8">
            <w:pPr>
              <w:spacing w:before="208" w:line="228" w:lineRule="auto"/>
              <w:ind w:left="503"/>
              <w:rPr>
                <w:rFonts w:ascii="宋体" w:hAnsi="宋体" w:eastAsia="宋体" w:cs="宋体"/>
                <w:sz w:val="20"/>
                <w:szCs w:val="20"/>
              </w:rPr>
            </w:pPr>
            <w:r>
              <w:rPr>
                <w:rFonts w:ascii="宋体" w:hAnsi="宋体" w:eastAsia="宋体" w:cs="宋体"/>
                <w:spacing w:val="7"/>
                <w:sz w:val="20"/>
                <w:szCs w:val="20"/>
              </w:rPr>
              <w:t>集气</w:t>
            </w:r>
            <w:r>
              <w:rPr>
                <w:rFonts w:ascii="宋体" w:hAnsi="宋体" w:eastAsia="宋体" w:cs="宋体"/>
                <w:spacing w:val="6"/>
                <w:sz w:val="20"/>
                <w:szCs w:val="20"/>
              </w:rPr>
              <w:t>罩</w:t>
            </w:r>
          </w:p>
        </w:tc>
        <w:tc>
          <w:tcPr>
            <w:tcW w:w="836" w:type="dxa"/>
            <w:vAlign w:val="top"/>
          </w:tcPr>
          <w:p w14:paraId="5DB39E6B">
            <w:pPr>
              <w:spacing w:before="208" w:line="228" w:lineRule="auto"/>
              <w:ind w:left="202"/>
              <w:rPr>
                <w:rFonts w:ascii="宋体" w:hAnsi="宋体" w:eastAsia="宋体" w:cs="宋体"/>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 xml:space="preserve"> </w:t>
            </w:r>
            <w:r>
              <w:rPr>
                <w:rFonts w:ascii="宋体" w:hAnsi="宋体" w:eastAsia="宋体" w:cs="宋体"/>
                <w:sz w:val="20"/>
                <w:szCs w:val="20"/>
              </w:rPr>
              <w:t>个</w:t>
            </w:r>
          </w:p>
        </w:tc>
        <w:tc>
          <w:tcPr>
            <w:tcW w:w="4272" w:type="dxa"/>
            <w:vAlign w:val="top"/>
          </w:tcPr>
          <w:p w14:paraId="2396DD36">
            <w:pPr>
              <w:spacing w:before="52" w:line="228" w:lineRule="auto"/>
              <w:ind w:left="881"/>
              <w:rPr>
                <w:rFonts w:ascii="宋体" w:hAnsi="宋体" w:eastAsia="宋体" w:cs="宋体"/>
                <w:sz w:val="20"/>
                <w:szCs w:val="20"/>
              </w:rPr>
            </w:pPr>
            <w:r>
              <w:rPr>
                <w:rFonts w:ascii="宋体" w:hAnsi="宋体" w:eastAsia="宋体" w:cs="宋体"/>
                <w:spacing w:val="6"/>
                <w:sz w:val="20"/>
                <w:szCs w:val="20"/>
              </w:rPr>
              <w:t>每条</w:t>
            </w:r>
            <w:r>
              <w:rPr>
                <w:rFonts w:ascii="宋体" w:hAnsi="宋体" w:eastAsia="宋体" w:cs="宋体"/>
                <w:spacing w:val="3"/>
                <w:sz w:val="20"/>
                <w:szCs w:val="20"/>
              </w:rPr>
              <w:t xml:space="preserve">生产线设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个集气罩，</w:t>
            </w:r>
          </w:p>
          <w:p w14:paraId="0B20313F">
            <w:pPr>
              <w:spacing w:before="64" w:line="228" w:lineRule="auto"/>
              <w:ind w:left="1248"/>
              <w:rPr>
                <w:rFonts w:ascii="宋体" w:hAnsi="宋体" w:eastAsia="宋体" w:cs="宋体"/>
                <w:sz w:val="20"/>
                <w:szCs w:val="20"/>
              </w:rPr>
            </w:pPr>
            <w:r>
              <w:rPr>
                <w:rFonts w:ascii="宋体" w:hAnsi="宋体" w:eastAsia="宋体" w:cs="宋体"/>
                <w:spacing w:val="2"/>
                <w:sz w:val="20"/>
                <w:szCs w:val="20"/>
              </w:rPr>
              <w:t xml:space="preserve">共设 </w:t>
            </w: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个集气罩。</w:t>
            </w:r>
          </w:p>
        </w:tc>
        <w:tc>
          <w:tcPr>
            <w:tcW w:w="943" w:type="dxa"/>
            <w:vMerge w:val="restart"/>
            <w:tcBorders>
              <w:bottom w:val="nil"/>
              <w:right w:val="nil"/>
            </w:tcBorders>
            <w:vAlign w:val="top"/>
          </w:tcPr>
          <w:p w14:paraId="0826D94C">
            <w:pPr>
              <w:spacing w:line="311" w:lineRule="auto"/>
              <w:rPr>
                <w:rFonts w:ascii="Arial"/>
                <w:sz w:val="21"/>
              </w:rPr>
            </w:pPr>
          </w:p>
          <w:p w14:paraId="347A1AD9">
            <w:pPr>
              <w:spacing w:line="311" w:lineRule="auto"/>
              <w:rPr>
                <w:rFonts w:ascii="Arial"/>
                <w:sz w:val="21"/>
              </w:rPr>
            </w:pPr>
          </w:p>
          <w:p w14:paraId="3699AA61">
            <w:pPr>
              <w:spacing w:before="65" w:line="312" w:lineRule="exact"/>
              <w:ind w:left="266"/>
              <w:rPr>
                <w:rFonts w:ascii="宋体" w:hAnsi="宋体" w:eastAsia="宋体" w:cs="宋体"/>
                <w:sz w:val="20"/>
                <w:szCs w:val="20"/>
              </w:rPr>
            </w:pPr>
            <w:r>
              <w:rPr>
                <w:rFonts w:ascii="宋体" w:hAnsi="宋体" w:eastAsia="宋体" w:cs="宋体"/>
                <w:spacing w:val="5"/>
                <w:position w:val="7"/>
                <w:sz w:val="20"/>
                <w:szCs w:val="20"/>
              </w:rPr>
              <w:t>废气</w:t>
            </w:r>
          </w:p>
          <w:p w14:paraId="6665850D">
            <w:pPr>
              <w:spacing w:line="232" w:lineRule="auto"/>
              <w:ind w:left="272"/>
              <w:rPr>
                <w:rFonts w:ascii="宋体" w:hAnsi="宋体" w:eastAsia="宋体" w:cs="宋体"/>
                <w:sz w:val="20"/>
                <w:szCs w:val="20"/>
              </w:rPr>
            </w:pPr>
            <w:r>
              <w:rPr>
                <w:rFonts w:ascii="宋体" w:hAnsi="宋体" w:eastAsia="宋体" w:cs="宋体"/>
                <w:spacing w:val="2"/>
                <w:sz w:val="20"/>
                <w:szCs w:val="20"/>
              </w:rPr>
              <w:t>治理</w:t>
            </w:r>
          </w:p>
          <w:p w14:paraId="5BC775EC">
            <w:pPr>
              <w:spacing w:before="60" w:line="229" w:lineRule="auto"/>
              <w:ind w:left="270"/>
              <w:rPr>
                <w:rFonts w:ascii="宋体" w:hAnsi="宋体" w:eastAsia="宋体" w:cs="宋体"/>
                <w:sz w:val="20"/>
                <w:szCs w:val="20"/>
              </w:rPr>
            </w:pPr>
            <w:r>
              <w:rPr>
                <w:rFonts w:ascii="宋体" w:hAnsi="宋体" w:eastAsia="宋体" w:cs="宋体"/>
                <w:spacing w:val="3"/>
                <w:sz w:val="20"/>
                <w:szCs w:val="20"/>
              </w:rPr>
              <w:t>设备</w:t>
            </w:r>
          </w:p>
        </w:tc>
      </w:tr>
      <w:tr w14:paraId="31CDC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6" w:type="dxa"/>
            <w:tcBorders>
              <w:left w:val="nil"/>
            </w:tcBorders>
            <w:vAlign w:val="top"/>
          </w:tcPr>
          <w:p w14:paraId="357A4914">
            <w:pPr>
              <w:spacing w:before="245"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625" w:type="dxa"/>
            <w:vAlign w:val="top"/>
          </w:tcPr>
          <w:p w14:paraId="08036C79">
            <w:pPr>
              <w:spacing w:before="54" w:line="258" w:lineRule="auto"/>
              <w:ind w:left="292" w:right="109" w:hanging="185"/>
              <w:rPr>
                <w:rFonts w:ascii="宋体" w:hAnsi="宋体" w:eastAsia="宋体" w:cs="宋体"/>
                <w:sz w:val="20"/>
                <w:szCs w:val="20"/>
              </w:rPr>
            </w:pPr>
            <w:r>
              <w:rPr>
                <w:rFonts w:ascii="Times New Roman" w:hAnsi="Times New Roman" w:eastAsia="Times New Roman" w:cs="Times New Roman"/>
                <w:sz w:val="20"/>
                <w:szCs w:val="20"/>
              </w:rPr>
              <w:t>UV</w:t>
            </w:r>
            <w:r>
              <w:rPr>
                <w:rFonts w:ascii="Times New Roman" w:hAnsi="Times New Roman" w:eastAsia="Times New Roman" w:cs="Times New Roman"/>
                <w:spacing w:val="14"/>
                <w:sz w:val="20"/>
                <w:szCs w:val="20"/>
              </w:rPr>
              <w:t xml:space="preserve"> </w:t>
            </w:r>
            <w:r>
              <w:rPr>
                <w:rFonts w:ascii="宋体" w:hAnsi="宋体" w:eastAsia="宋体" w:cs="宋体"/>
                <w:spacing w:val="10"/>
                <w:sz w:val="20"/>
                <w:szCs w:val="20"/>
              </w:rPr>
              <w:t>光氧催化废</w:t>
            </w:r>
            <w:r>
              <w:rPr>
                <w:rFonts w:ascii="宋体" w:hAnsi="宋体" w:eastAsia="宋体" w:cs="宋体"/>
                <w:sz w:val="20"/>
                <w:szCs w:val="20"/>
              </w:rPr>
              <w:t xml:space="preserve"> </w:t>
            </w:r>
            <w:r>
              <w:rPr>
                <w:rFonts w:ascii="宋体" w:hAnsi="宋体" w:eastAsia="宋体" w:cs="宋体"/>
                <w:spacing w:val="8"/>
                <w:sz w:val="20"/>
                <w:szCs w:val="20"/>
              </w:rPr>
              <w:t>气处理装</w:t>
            </w:r>
            <w:r>
              <w:rPr>
                <w:rFonts w:ascii="宋体" w:hAnsi="宋体" w:eastAsia="宋体" w:cs="宋体"/>
                <w:spacing w:val="7"/>
                <w:sz w:val="20"/>
                <w:szCs w:val="20"/>
              </w:rPr>
              <w:t>置</w:t>
            </w:r>
          </w:p>
        </w:tc>
        <w:tc>
          <w:tcPr>
            <w:tcW w:w="836" w:type="dxa"/>
            <w:vAlign w:val="top"/>
          </w:tcPr>
          <w:p w14:paraId="040B6EBC">
            <w:pPr>
              <w:spacing w:before="209" w:line="230" w:lineRule="auto"/>
              <w:ind w:left="235"/>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台</w:t>
            </w:r>
          </w:p>
        </w:tc>
        <w:tc>
          <w:tcPr>
            <w:tcW w:w="4272" w:type="dxa"/>
            <w:vAlign w:val="top"/>
          </w:tcPr>
          <w:p w14:paraId="6AB9C1DA">
            <w:pPr>
              <w:spacing w:before="54" w:line="257" w:lineRule="auto"/>
              <w:ind w:left="49" w:right="40"/>
              <w:rPr>
                <w:rFonts w:ascii="宋体" w:hAnsi="宋体" w:eastAsia="宋体" w:cs="宋体"/>
                <w:sz w:val="20"/>
                <w:szCs w:val="20"/>
              </w:rPr>
            </w:pPr>
            <w:r>
              <w:rPr>
                <w:rFonts w:ascii="宋体" w:hAnsi="宋体" w:eastAsia="宋体" w:cs="宋体"/>
                <w:spacing w:val="2"/>
                <w:sz w:val="20"/>
                <w:szCs w:val="20"/>
              </w:rPr>
              <w:t xml:space="preserve">每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xml:space="preserve">条生产线共用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台</w:t>
            </w:r>
            <w:r>
              <w:rPr>
                <w:rFonts w:ascii="宋体" w:hAnsi="宋体" w:eastAsia="宋体" w:cs="宋体"/>
                <w:spacing w:val="1"/>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光氧催化废气处理</w:t>
            </w:r>
            <w:r>
              <w:rPr>
                <w:rFonts w:ascii="宋体" w:hAnsi="宋体" w:eastAsia="宋体" w:cs="宋体"/>
                <w:sz w:val="20"/>
                <w:szCs w:val="20"/>
              </w:rPr>
              <w:t xml:space="preserve"> </w:t>
            </w:r>
            <w:r>
              <w:rPr>
                <w:rFonts w:ascii="宋体" w:hAnsi="宋体" w:eastAsia="宋体" w:cs="宋体"/>
                <w:spacing w:val="6"/>
                <w:sz w:val="20"/>
                <w:szCs w:val="20"/>
              </w:rPr>
              <w:t>装置，</w:t>
            </w:r>
            <w:r>
              <w:rPr>
                <w:rFonts w:ascii="宋体" w:hAnsi="宋体" w:eastAsia="宋体" w:cs="宋体"/>
                <w:spacing w:val="5"/>
                <w:sz w:val="20"/>
                <w:szCs w:val="20"/>
              </w:rPr>
              <w:t>共</w:t>
            </w:r>
            <w:r>
              <w:rPr>
                <w:rFonts w:ascii="宋体" w:hAnsi="宋体" w:eastAsia="宋体" w:cs="宋体"/>
                <w:spacing w:val="3"/>
                <w:sz w:val="20"/>
                <w:szCs w:val="20"/>
              </w:rPr>
              <w:t xml:space="preserve">设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 xml:space="preserve">台 </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光氧催化废气处理装置。</w:t>
            </w:r>
          </w:p>
        </w:tc>
        <w:tc>
          <w:tcPr>
            <w:tcW w:w="943" w:type="dxa"/>
            <w:vMerge w:val="continue"/>
            <w:tcBorders>
              <w:top w:val="nil"/>
              <w:bottom w:val="nil"/>
              <w:right w:val="nil"/>
            </w:tcBorders>
            <w:vAlign w:val="top"/>
          </w:tcPr>
          <w:p w14:paraId="5E1BA2A9">
            <w:pPr>
              <w:rPr>
                <w:rFonts w:ascii="Arial"/>
                <w:sz w:val="21"/>
              </w:rPr>
            </w:pPr>
          </w:p>
        </w:tc>
      </w:tr>
      <w:tr w14:paraId="69D49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6" w:type="dxa"/>
            <w:tcBorders>
              <w:left w:val="nil"/>
            </w:tcBorders>
            <w:vAlign w:val="top"/>
          </w:tcPr>
          <w:p w14:paraId="091086D7">
            <w:pPr>
              <w:spacing w:before="24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625" w:type="dxa"/>
            <w:vAlign w:val="top"/>
          </w:tcPr>
          <w:p w14:paraId="572B078F">
            <w:pPr>
              <w:spacing w:before="210" w:line="227" w:lineRule="auto"/>
              <w:ind w:left="86"/>
              <w:rPr>
                <w:rFonts w:ascii="宋体" w:hAnsi="宋体" w:eastAsia="宋体" w:cs="宋体"/>
                <w:sz w:val="20"/>
                <w:szCs w:val="20"/>
              </w:rPr>
            </w:pPr>
            <w:r>
              <w:rPr>
                <w:rFonts w:ascii="宋体" w:hAnsi="宋体" w:eastAsia="宋体" w:cs="宋体"/>
                <w:spacing w:val="9"/>
                <w:sz w:val="20"/>
                <w:szCs w:val="20"/>
              </w:rPr>
              <w:t>活</w:t>
            </w:r>
            <w:r>
              <w:rPr>
                <w:rFonts w:ascii="宋体" w:hAnsi="宋体" w:eastAsia="宋体" w:cs="宋体"/>
                <w:spacing w:val="8"/>
                <w:sz w:val="20"/>
                <w:szCs w:val="20"/>
              </w:rPr>
              <w:t>性炭吸附装置</w:t>
            </w:r>
          </w:p>
        </w:tc>
        <w:tc>
          <w:tcPr>
            <w:tcW w:w="836" w:type="dxa"/>
            <w:vAlign w:val="top"/>
          </w:tcPr>
          <w:p w14:paraId="5146A5FB">
            <w:pPr>
              <w:spacing w:before="210" w:line="230" w:lineRule="auto"/>
              <w:ind w:left="235"/>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台</w:t>
            </w:r>
          </w:p>
        </w:tc>
        <w:tc>
          <w:tcPr>
            <w:tcW w:w="4272" w:type="dxa"/>
            <w:vAlign w:val="top"/>
          </w:tcPr>
          <w:p w14:paraId="0B56448E">
            <w:pPr>
              <w:spacing w:before="55" w:line="257" w:lineRule="auto"/>
              <w:ind w:left="23" w:right="45" w:firstLine="3"/>
              <w:rPr>
                <w:rFonts w:ascii="宋体" w:hAnsi="宋体" w:eastAsia="宋体" w:cs="宋体"/>
                <w:sz w:val="20"/>
                <w:szCs w:val="20"/>
              </w:rPr>
            </w:pPr>
            <w:r>
              <w:rPr>
                <w:rFonts w:ascii="宋体" w:hAnsi="宋体" w:eastAsia="宋体" w:cs="宋体"/>
                <w:spacing w:val="4"/>
                <w:sz w:val="20"/>
                <w:szCs w:val="20"/>
              </w:rPr>
              <w:t xml:space="preserve">每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 xml:space="preserve">条生产线共用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台活性炭吸附装置，共</w:t>
            </w:r>
            <w:r>
              <w:rPr>
                <w:rFonts w:ascii="宋体" w:hAnsi="宋体" w:eastAsia="宋体" w:cs="宋体"/>
                <w:spacing w:val="2"/>
                <w:sz w:val="20"/>
                <w:szCs w:val="20"/>
              </w:rPr>
              <w:t>设</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台活性炭吸附装置。</w:t>
            </w:r>
          </w:p>
        </w:tc>
        <w:tc>
          <w:tcPr>
            <w:tcW w:w="943" w:type="dxa"/>
            <w:vMerge w:val="continue"/>
            <w:tcBorders>
              <w:top w:val="nil"/>
              <w:bottom w:val="nil"/>
              <w:right w:val="nil"/>
            </w:tcBorders>
            <w:vAlign w:val="top"/>
          </w:tcPr>
          <w:p w14:paraId="5B7415DD">
            <w:pPr>
              <w:rPr>
                <w:rFonts w:ascii="Arial"/>
                <w:sz w:val="21"/>
              </w:rPr>
            </w:pPr>
          </w:p>
        </w:tc>
      </w:tr>
      <w:tr w14:paraId="5E5D6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6B432645">
            <w:pPr>
              <w:spacing w:before="93"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625" w:type="dxa"/>
            <w:vAlign w:val="top"/>
          </w:tcPr>
          <w:p w14:paraId="6FE87090">
            <w:pPr>
              <w:spacing w:before="57" w:line="227" w:lineRule="auto"/>
              <w:ind w:left="607"/>
              <w:rPr>
                <w:rFonts w:ascii="宋体" w:hAnsi="宋体" w:eastAsia="宋体" w:cs="宋体"/>
                <w:sz w:val="20"/>
                <w:szCs w:val="20"/>
              </w:rPr>
            </w:pPr>
            <w:r>
              <w:rPr>
                <w:rFonts w:ascii="宋体" w:hAnsi="宋体" w:eastAsia="宋体" w:cs="宋体"/>
                <w:spacing w:val="4"/>
                <w:sz w:val="20"/>
                <w:szCs w:val="20"/>
              </w:rPr>
              <w:t>风机</w:t>
            </w:r>
          </w:p>
        </w:tc>
        <w:tc>
          <w:tcPr>
            <w:tcW w:w="836" w:type="dxa"/>
            <w:vAlign w:val="top"/>
          </w:tcPr>
          <w:p w14:paraId="01D6A760">
            <w:pPr>
              <w:spacing w:before="57" w:line="230" w:lineRule="auto"/>
              <w:ind w:left="235"/>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台</w:t>
            </w:r>
          </w:p>
        </w:tc>
        <w:tc>
          <w:tcPr>
            <w:tcW w:w="4272" w:type="dxa"/>
            <w:vAlign w:val="top"/>
          </w:tcPr>
          <w:p w14:paraId="00818959">
            <w:pPr>
              <w:spacing w:before="19" w:line="281" w:lineRule="exact"/>
              <w:ind w:left="21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43" w:type="dxa"/>
            <w:vMerge w:val="continue"/>
            <w:tcBorders>
              <w:top w:val="nil"/>
              <w:right w:val="nil"/>
            </w:tcBorders>
            <w:vAlign w:val="top"/>
          </w:tcPr>
          <w:p w14:paraId="6A09728A">
            <w:pPr>
              <w:rPr>
                <w:rFonts w:ascii="Arial"/>
                <w:sz w:val="21"/>
              </w:rPr>
            </w:pPr>
          </w:p>
        </w:tc>
      </w:tr>
      <w:tr w14:paraId="53A6F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75DB4825">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625" w:type="dxa"/>
            <w:vAlign w:val="top"/>
          </w:tcPr>
          <w:p w14:paraId="5A914F59">
            <w:pPr>
              <w:spacing w:before="57" w:line="228" w:lineRule="auto"/>
              <w:ind w:left="292"/>
              <w:rPr>
                <w:rFonts w:ascii="宋体" w:hAnsi="宋体" w:eastAsia="宋体" w:cs="宋体"/>
                <w:sz w:val="20"/>
                <w:szCs w:val="20"/>
              </w:rPr>
            </w:pPr>
            <w:r>
              <w:rPr>
                <w:rFonts w:ascii="宋体" w:hAnsi="宋体" w:eastAsia="宋体" w:cs="宋体"/>
                <w:spacing w:val="8"/>
                <w:sz w:val="20"/>
                <w:szCs w:val="20"/>
              </w:rPr>
              <w:t>三级沉淀池</w:t>
            </w:r>
          </w:p>
        </w:tc>
        <w:tc>
          <w:tcPr>
            <w:tcW w:w="836" w:type="dxa"/>
            <w:vAlign w:val="top"/>
          </w:tcPr>
          <w:p w14:paraId="63184FBB">
            <w:pPr>
              <w:spacing w:before="56" w:line="228" w:lineRule="auto"/>
              <w:ind w:left="25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个</w:t>
            </w:r>
          </w:p>
        </w:tc>
        <w:tc>
          <w:tcPr>
            <w:tcW w:w="4272" w:type="dxa"/>
            <w:vAlign w:val="top"/>
          </w:tcPr>
          <w:p w14:paraId="2CE53010">
            <w:pPr>
              <w:spacing w:before="57" w:line="228" w:lineRule="auto"/>
              <w:ind w:left="773"/>
              <w:rPr>
                <w:rFonts w:ascii="宋体" w:hAnsi="宋体" w:eastAsia="宋体" w:cs="宋体"/>
                <w:sz w:val="20"/>
                <w:szCs w:val="20"/>
              </w:rPr>
            </w:pPr>
            <w:r>
              <w:rPr>
                <w:rFonts w:ascii="宋体" w:hAnsi="宋体" w:eastAsia="宋体" w:cs="宋体"/>
                <w:spacing w:val="5"/>
                <w:sz w:val="20"/>
                <w:szCs w:val="20"/>
              </w:rPr>
              <w:t>容</w:t>
            </w:r>
            <w:r>
              <w:rPr>
                <w:rFonts w:ascii="宋体" w:hAnsi="宋体" w:eastAsia="宋体" w:cs="宋体"/>
                <w:spacing w:val="3"/>
                <w:sz w:val="20"/>
                <w:szCs w:val="20"/>
              </w:rPr>
              <w:t xml:space="preserve">积 </w:t>
            </w:r>
            <w:r>
              <w:rPr>
                <w:rFonts w:ascii="Times New Roman" w:hAnsi="Times New Roman" w:eastAsia="Times New Roman" w:cs="Times New Roman"/>
                <w:spacing w:val="3"/>
                <w:sz w:val="20"/>
                <w:szCs w:val="20"/>
              </w:rPr>
              <w:t>324</w:t>
            </w:r>
            <w:r>
              <w:rPr>
                <w:rFonts w:ascii="Times New Roman" w:hAnsi="Times New Roman" w:eastAsia="Times New Roman" w:cs="Times New Roman"/>
                <w:sz w:val="20"/>
                <w:szCs w:val="20"/>
              </w:rPr>
              <w:t>m</w:t>
            </w:r>
            <w:r>
              <w:rPr>
                <w:rFonts w:ascii="Times New Roman" w:hAnsi="Times New Roman" w:eastAsia="Times New Roman" w:cs="Times New Roman"/>
                <w:spacing w:val="3"/>
                <w:position w:val="6"/>
                <w:sz w:val="13"/>
                <w:szCs w:val="13"/>
              </w:rPr>
              <w:t xml:space="preserve">3   </w:t>
            </w:r>
            <w:r>
              <w:rPr>
                <w:rFonts w:ascii="宋体" w:hAnsi="宋体" w:eastAsia="宋体" w:cs="宋体"/>
                <w:spacing w:val="3"/>
                <w:sz w:val="20"/>
                <w:szCs w:val="20"/>
              </w:rPr>
              <w:t>(</w:t>
            </w:r>
            <w:r>
              <w:rPr>
                <w:rFonts w:ascii="Times New Roman" w:hAnsi="Times New Roman" w:eastAsia="Times New Roman" w:cs="Times New Roman"/>
                <w:spacing w:val="3"/>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×4.5</w:t>
            </w:r>
            <w:r>
              <w:rPr>
                <w:rFonts w:ascii="Times New Roman" w:hAnsi="Times New Roman" w:eastAsia="Times New Roman" w:cs="Times New Roman"/>
                <w:sz w:val="20"/>
                <w:szCs w:val="20"/>
              </w:rPr>
              <w:t>m</w:t>
            </w:r>
            <w:r>
              <w:rPr>
                <w:rFonts w:ascii="宋体" w:hAnsi="宋体" w:eastAsia="宋体" w:cs="宋体"/>
                <w:spacing w:val="3"/>
                <w:sz w:val="20"/>
                <w:szCs w:val="20"/>
              </w:rPr>
              <w:t>)</w:t>
            </w:r>
          </w:p>
        </w:tc>
        <w:tc>
          <w:tcPr>
            <w:tcW w:w="943" w:type="dxa"/>
            <w:vMerge w:val="restart"/>
            <w:tcBorders>
              <w:bottom w:val="nil"/>
              <w:right w:val="nil"/>
            </w:tcBorders>
            <w:vAlign w:val="top"/>
          </w:tcPr>
          <w:p w14:paraId="2416A499">
            <w:pPr>
              <w:spacing w:line="312" w:lineRule="auto"/>
              <w:rPr>
                <w:rFonts w:ascii="Arial"/>
                <w:sz w:val="21"/>
              </w:rPr>
            </w:pPr>
          </w:p>
          <w:p w14:paraId="2F7534B2">
            <w:pPr>
              <w:spacing w:before="65" w:line="301" w:lineRule="auto"/>
              <w:ind w:left="271" w:right="54" w:hanging="21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水处理</w:t>
            </w:r>
            <w:r>
              <w:rPr>
                <w:rFonts w:ascii="宋体" w:hAnsi="宋体" w:eastAsia="宋体" w:cs="宋体"/>
                <w:sz w:val="20"/>
                <w:szCs w:val="20"/>
              </w:rPr>
              <w:t xml:space="preserve"> </w:t>
            </w:r>
            <w:r>
              <w:rPr>
                <w:rFonts w:ascii="宋体" w:hAnsi="宋体" w:eastAsia="宋体" w:cs="宋体"/>
                <w:spacing w:val="3"/>
                <w:sz w:val="20"/>
                <w:szCs w:val="20"/>
              </w:rPr>
              <w:t>系</w:t>
            </w:r>
            <w:r>
              <w:rPr>
                <w:rFonts w:ascii="宋体" w:hAnsi="宋体" w:eastAsia="宋体" w:cs="宋体"/>
                <w:spacing w:val="2"/>
                <w:sz w:val="20"/>
                <w:szCs w:val="20"/>
              </w:rPr>
              <w:t>统</w:t>
            </w:r>
          </w:p>
        </w:tc>
      </w:tr>
      <w:tr w14:paraId="04D2B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6" w:type="dxa"/>
            <w:tcBorders>
              <w:left w:val="nil"/>
            </w:tcBorders>
            <w:vAlign w:val="top"/>
          </w:tcPr>
          <w:p w14:paraId="66B56060">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1625" w:type="dxa"/>
            <w:vAlign w:val="top"/>
          </w:tcPr>
          <w:p w14:paraId="1318553E">
            <w:pPr>
              <w:spacing w:before="56" w:line="228" w:lineRule="auto"/>
              <w:ind w:left="398"/>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环水泵</w:t>
            </w:r>
          </w:p>
        </w:tc>
        <w:tc>
          <w:tcPr>
            <w:tcW w:w="836" w:type="dxa"/>
            <w:vAlign w:val="top"/>
          </w:tcPr>
          <w:p w14:paraId="2938A9DD">
            <w:pPr>
              <w:spacing w:before="56" w:line="230" w:lineRule="auto"/>
              <w:ind w:left="235"/>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台</w:t>
            </w:r>
          </w:p>
        </w:tc>
        <w:tc>
          <w:tcPr>
            <w:tcW w:w="4272" w:type="dxa"/>
            <w:vAlign w:val="top"/>
          </w:tcPr>
          <w:p w14:paraId="2C94AEC6">
            <w:pPr>
              <w:spacing w:before="18" w:line="281" w:lineRule="exact"/>
              <w:ind w:left="21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43" w:type="dxa"/>
            <w:vMerge w:val="continue"/>
            <w:tcBorders>
              <w:top w:val="nil"/>
              <w:bottom w:val="nil"/>
              <w:right w:val="nil"/>
            </w:tcBorders>
            <w:vAlign w:val="top"/>
          </w:tcPr>
          <w:p w14:paraId="3FF86A1A">
            <w:pPr>
              <w:rPr>
                <w:rFonts w:ascii="Arial"/>
                <w:sz w:val="21"/>
              </w:rPr>
            </w:pPr>
          </w:p>
        </w:tc>
      </w:tr>
      <w:tr w14:paraId="39383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46" w:type="dxa"/>
            <w:tcBorders>
              <w:left w:val="nil"/>
            </w:tcBorders>
            <w:vAlign w:val="top"/>
          </w:tcPr>
          <w:p w14:paraId="30376CC6">
            <w:pPr>
              <w:spacing w:before="24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1625" w:type="dxa"/>
            <w:vAlign w:val="top"/>
          </w:tcPr>
          <w:p w14:paraId="777120E9">
            <w:pPr>
              <w:spacing w:before="55" w:line="259" w:lineRule="auto"/>
              <w:ind w:left="505" w:right="75" w:hanging="419"/>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8"/>
                <w:sz w:val="20"/>
                <w:szCs w:val="20"/>
              </w:rPr>
              <w:t>体化污水预处</w:t>
            </w:r>
            <w:r>
              <w:rPr>
                <w:rFonts w:ascii="宋体" w:hAnsi="宋体" w:eastAsia="宋体" w:cs="宋体"/>
                <w:sz w:val="20"/>
                <w:szCs w:val="20"/>
              </w:rPr>
              <w:t xml:space="preserve"> </w:t>
            </w:r>
            <w:r>
              <w:rPr>
                <w:rFonts w:ascii="宋体" w:hAnsi="宋体" w:eastAsia="宋体" w:cs="宋体"/>
                <w:spacing w:val="6"/>
                <w:sz w:val="20"/>
                <w:szCs w:val="20"/>
              </w:rPr>
              <w:t>理设备</w:t>
            </w:r>
          </w:p>
        </w:tc>
        <w:tc>
          <w:tcPr>
            <w:tcW w:w="836" w:type="dxa"/>
            <w:vAlign w:val="top"/>
          </w:tcPr>
          <w:p w14:paraId="573BD1F3">
            <w:pPr>
              <w:spacing w:before="211" w:line="230" w:lineRule="auto"/>
              <w:ind w:left="255"/>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台</w:t>
            </w:r>
          </w:p>
        </w:tc>
        <w:tc>
          <w:tcPr>
            <w:tcW w:w="4272" w:type="dxa"/>
            <w:vAlign w:val="top"/>
          </w:tcPr>
          <w:p w14:paraId="1EA7BCAD">
            <w:pPr>
              <w:spacing w:before="174" w:line="281" w:lineRule="exact"/>
              <w:ind w:left="173"/>
              <w:rPr>
                <w:rFonts w:ascii="Times New Roman" w:hAnsi="Times New Roman" w:eastAsia="Times New Roman" w:cs="Times New Roman"/>
                <w:sz w:val="20"/>
                <w:szCs w:val="20"/>
              </w:rPr>
            </w:pPr>
            <w:r>
              <w:rPr>
                <w:rFonts w:ascii="宋体" w:hAnsi="宋体" w:eastAsia="宋体" w:cs="宋体"/>
                <w:spacing w:val="2"/>
                <w:position w:val="1"/>
                <w:sz w:val="20"/>
                <w:szCs w:val="20"/>
              </w:rPr>
              <w:t>调节</w:t>
            </w:r>
            <w:r>
              <w:rPr>
                <w:rFonts w:ascii="Times New Roman" w:hAnsi="Times New Roman" w:eastAsia="Times New Roman" w:cs="Times New Roman"/>
                <w:spacing w:val="2"/>
                <w:position w:val="1"/>
                <w:sz w:val="20"/>
                <w:szCs w:val="20"/>
              </w:rPr>
              <w:t>+</w:t>
            </w:r>
            <w:r>
              <w:rPr>
                <w:rFonts w:ascii="宋体" w:hAnsi="宋体" w:eastAsia="宋体" w:cs="宋体"/>
                <w:spacing w:val="1"/>
                <w:position w:val="1"/>
                <w:sz w:val="20"/>
                <w:szCs w:val="20"/>
              </w:rPr>
              <w:t>混凝</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 xml:space="preserve">气浮工艺， 日处理水量 </w:t>
            </w:r>
            <w:r>
              <w:rPr>
                <w:rFonts w:ascii="Times New Roman" w:hAnsi="Times New Roman" w:eastAsia="Times New Roman" w:cs="Times New Roman"/>
                <w:spacing w:val="1"/>
                <w:position w:val="1"/>
                <w:sz w:val="20"/>
                <w:szCs w:val="20"/>
              </w:rPr>
              <w:t>150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d</w:t>
            </w:r>
          </w:p>
        </w:tc>
        <w:tc>
          <w:tcPr>
            <w:tcW w:w="943" w:type="dxa"/>
            <w:vMerge w:val="continue"/>
            <w:tcBorders>
              <w:top w:val="nil"/>
              <w:right w:val="nil"/>
            </w:tcBorders>
            <w:vAlign w:val="top"/>
          </w:tcPr>
          <w:p w14:paraId="6347BD87">
            <w:pPr>
              <w:rPr>
                <w:rFonts w:ascii="Arial"/>
                <w:sz w:val="21"/>
              </w:rPr>
            </w:pPr>
          </w:p>
        </w:tc>
      </w:tr>
    </w:tbl>
    <w:p w14:paraId="7E88A83F">
      <w:pPr>
        <w:spacing w:before="287" w:line="227" w:lineRule="auto"/>
        <w:ind w:left="620"/>
        <w:rPr>
          <w:rFonts w:ascii="宋体" w:hAnsi="宋体" w:eastAsia="宋体" w:cs="宋体"/>
          <w:sz w:val="23"/>
          <w:szCs w:val="23"/>
        </w:rPr>
      </w:pPr>
      <w:r>
        <w:rPr>
          <w:rFonts w:ascii="宋体" w:hAnsi="宋体" w:eastAsia="宋体" w:cs="宋体"/>
          <w:spacing w:val="46"/>
          <w:sz w:val="23"/>
          <w:szCs w:val="23"/>
        </w:rPr>
        <w:t>破</w:t>
      </w:r>
      <w:r>
        <w:rPr>
          <w:rFonts w:ascii="宋体" w:hAnsi="宋体" w:eastAsia="宋体" w:cs="宋体"/>
          <w:spacing w:val="24"/>
          <w:sz w:val="23"/>
          <w:szCs w:val="23"/>
        </w:rPr>
        <w:t>碎及清洗设备： 破碎工序应采用具有减振与降噪功能的密闭破碎设</w:t>
      </w:r>
    </w:p>
    <w:p w14:paraId="7A5A59E7">
      <w:pPr>
        <w:spacing w:before="139" w:line="338" w:lineRule="auto"/>
        <w:ind w:left="116" w:right="119" w:firstLine="3"/>
        <w:rPr>
          <w:rFonts w:ascii="宋体" w:hAnsi="宋体" w:eastAsia="宋体" w:cs="宋体"/>
          <w:sz w:val="23"/>
          <w:szCs w:val="23"/>
        </w:rPr>
      </w:pPr>
      <w:r>
        <w:rPr>
          <w:rFonts w:ascii="宋体" w:hAnsi="宋体" w:eastAsia="宋体" w:cs="宋体"/>
          <w:spacing w:val="15"/>
          <w:sz w:val="23"/>
          <w:szCs w:val="23"/>
        </w:rPr>
        <w:t>备</w:t>
      </w:r>
      <w:r>
        <w:rPr>
          <w:rFonts w:ascii="宋体" w:hAnsi="宋体" w:eastAsia="宋体" w:cs="宋体"/>
          <w:spacing w:val="14"/>
          <w:sz w:val="23"/>
          <w:szCs w:val="23"/>
        </w:rPr>
        <w:t xml:space="preserve"> ；清洗工序采用自动控制和清洗水循环利用 。拟建项目配套 </w:t>
      </w:r>
      <w:r>
        <w:rPr>
          <w:rFonts w:ascii="Times New Roman" w:hAnsi="Times New Roman" w:eastAsia="Times New Roman" w:cs="Times New Roman"/>
          <w:spacing w:val="14"/>
          <w:sz w:val="23"/>
          <w:szCs w:val="23"/>
        </w:rPr>
        <w:t xml:space="preserve">10 </w:t>
      </w:r>
      <w:r>
        <w:rPr>
          <w:rFonts w:ascii="宋体" w:hAnsi="宋体" w:eastAsia="宋体" w:cs="宋体"/>
          <w:spacing w:val="14"/>
          <w:sz w:val="23"/>
          <w:szCs w:val="23"/>
        </w:rPr>
        <w:t>条破碎清</w:t>
      </w:r>
      <w:r>
        <w:rPr>
          <w:rFonts w:ascii="宋体" w:hAnsi="宋体" w:eastAsia="宋体" w:cs="宋体"/>
          <w:sz w:val="23"/>
          <w:szCs w:val="23"/>
        </w:rPr>
        <w:t xml:space="preserve"> </w:t>
      </w:r>
      <w:r>
        <w:rPr>
          <w:rFonts w:ascii="宋体" w:hAnsi="宋体" w:eastAsia="宋体" w:cs="宋体"/>
          <w:spacing w:val="13"/>
          <w:sz w:val="23"/>
          <w:szCs w:val="23"/>
        </w:rPr>
        <w:t xml:space="preserve">洗线及 </w:t>
      </w:r>
      <w:r>
        <w:rPr>
          <w:rFonts w:ascii="Times New Roman" w:hAnsi="Times New Roman" w:eastAsia="Times New Roman" w:cs="Times New Roman"/>
          <w:spacing w:val="13"/>
          <w:sz w:val="23"/>
          <w:szCs w:val="23"/>
        </w:rPr>
        <w:t xml:space="preserve">10 </w:t>
      </w:r>
      <w:r>
        <w:rPr>
          <w:rFonts w:ascii="宋体" w:hAnsi="宋体" w:eastAsia="宋体" w:cs="宋体"/>
          <w:spacing w:val="13"/>
          <w:sz w:val="23"/>
          <w:szCs w:val="23"/>
        </w:rPr>
        <w:t xml:space="preserve">条造粒生产线 。用于清洗破碎的原料为 </w:t>
      </w:r>
      <w:r>
        <w:rPr>
          <w:rFonts w:ascii="Times New Roman" w:hAnsi="Times New Roman" w:eastAsia="Times New Roman" w:cs="Times New Roman"/>
          <w:spacing w:val="13"/>
          <w:sz w:val="23"/>
          <w:szCs w:val="23"/>
        </w:rPr>
        <w:t>51100</w:t>
      </w:r>
      <w:r>
        <w:rPr>
          <w:rFonts w:ascii="Times New Roman" w:hAnsi="Times New Roman" w:eastAsia="Times New Roman" w:cs="Times New Roman"/>
          <w:sz w:val="23"/>
          <w:szCs w:val="23"/>
        </w:rPr>
        <w:t>t</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，每条破碎清洗</w:t>
      </w:r>
      <w:r>
        <w:rPr>
          <w:rFonts w:ascii="宋体" w:hAnsi="宋体" w:eastAsia="宋体" w:cs="宋体"/>
          <w:spacing w:val="10"/>
          <w:sz w:val="23"/>
          <w:szCs w:val="23"/>
        </w:rPr>
        <w:t>线</w:t>
      </w:r>
      <w:r>
        <w:rPr>
          <w:rFonts w:ascii="宋体" w:hAnsi="宋体" w:eastAsia="宋体" w:cs="宋体"/>
          <w:sz w:val="23"/>
          <w:szCs w:val="23"/>
        </w:rPr>
        <w:t xml:space="preserve"> </w:t>
      </w:r>
      <w:r>
        <w:rPr>
          <w:rFonts w:ascii="宋体" w:hAnsi="宋体" w:eastAsia="宋体" w:cs="宋体"/>
          <w:spacing w:val="8"/>
          <w:sz w:val="23"/>
          <w:szCs w:val="23"/>
        </w:rPr>
        <w:t xml:space="preserve">的工作能力可达 </w:t>
      </w:r>
      <w:r>
        <w:rPr>
          <w:rFonts w:ascii="Times New Roman" w:hAnsi="Times New Roman" w:eastAsia="Times New Roman" w:cs="Times New Roman"/>
          <w:spacing w:val="8"/>
          <w:sz w:val="23"/>
          <w:szCs w:val="23"/>
        </w:rPr>
        <w:t>1</w:t>
      </w:r>
      <w:r>
        <w:rPr>
          <w:rFonts w:ascii="Times New Roman" w:hAnsi="Times New Roman" w:eastAsia="Times New Roman" w:cs="Times New Roman"/>
          <w:sz w:val="23"/>
          <w:szCs w:val="23"/>
        </w:rPr>
        <w:t>t</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，一年 </w:t>
      </w:r>
      <w:r>
        <w:rPr>
          <w:rFonts w:ascii="Times New Roman" w:hAnsi="Times New Roman" w:eastAsia="Times New Roman" w:cs="Times New Roman"/>
          <w:spacing w:val="8"/>
          <w:sz w:val="23"/>
          <w:szCs w:val="23"/>
        </w:rPr>
        <w:t>300</w:t>
      </w:r>
      <w:r>
        <w:rPr>
          <w:rFonts w:ascii="Times New Roman" w:hAnsi="Times New Roman" w:eastAsia="Times New Roman" w:cs="Times New Roman"/>
          <w:sz w:val="23"/>
          <w:szCs w:val="23"/>
        </w:rPr>
        <w:t>d</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，一天 </w:t>
      </w:r>
      <w:r>
        <w:rPr>
          <w:rFonts w:ascii="Times New Roman" w:hAnsi="Times New Roman" w:eastAsia="Times New Roman" w:cs="Times New Roman"/>
          <w:spacing w:val="8"/>
          <w:sz w:val="23"/>
          <w:szCs w:val="23"/>
        </w:rPr>
        <w:t>24</w:t>
      </w:r>
      <w:r>
        <w:rPr>
          <w:rFonts w:ascii="Times New Roman" w:hAnsi="Times New Roman" w:eastAsia="Times New Roman" w:cs="Times New Roman"/>
          <w:sz w:val="23"/>
          <w:szCs w:val="23"/>
        </w:rPr>
        <w:t>h</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计算 ， </w:t>
      </w:r>
      <w:r>
        <w:rPr>
          <w:rFonts w:ascii="Times New Roman" w:hAnsi="Times New Roman" w:eastAsia="Times New Roman" w:cs="Times New Roman"/>
          <w:spacing w:val="8"/>
          <w:sz w:val="23"/>
          <w:szCs w:val="23"/>
        </w:rPr>
        <w:t xml:space="preserve">10 </w:t>
      </w:r>
      <w:r>
        <w:rPr>
          <w:rFonts w:ascii="宋体" w:hAnsi="宋体" w:eastAsia="宋体" w:cs="宋体"/>
          <w:spacing w:val="8"/>
          <w:sz w:val="23"/>
          <w:szCs w:val="23"/>
        </w:rPr>
        <w:t>条破碎清洗可以达</w:t>
      </w:r>
      <w:r>
        <w:rPr>
          <w:rFonts w:ascii="宋体" w:hAnsi="宋体" w:eastAsia="宋体" w:cs="宋体"/>
          <w:spacing w:val="2"/>
          <w:sz w:val="23"/>
          <w:szCs w:val="23"/>
        </w:rPr>
        <w:t>到</w:t>
      </w:r>
    </w:p>
    <w:p w14:paraId="71B82D26">
      <w:pPr>
        <w:sectPr>
          <w:headerReference r:id="rId100" w:type="default"/>
          <w:footerReference r:id="rId101" w:type="default"/>
          <w:pgSz w:w="11906" w:h="16839"/>
          <w:pgMar w:top="1132" w:right="1691" w:bottom="1182" w:left="1691" w:header="878" w:footer="1022" w:gutter="0"/>
          <w:cols w:space="720" w:num="1"/>
        </w:sectPr>
      </w:pPr>
    </w:p>
    <w:p w14:paraId="506A9906">
      <w:pPr>
        <w:spacing w:line="318" w:lineRule="auto"/>
        <w:rPr>
          <w:rFonts w:ascii="Arial"/>
          <w:sz w:val="21"/>
        </w:rPr>
      </w:pPr>
      <w:r>
        <w:pict>
          <v:shape id="_x0000_s1146" o:spid="_x0000_s1146" style="position:absolute;left:0pt;margin-left:90pt;margin-top:57.35pt;height:0.75pt;width:415.3pt;mso-position-horizontal-relative:page;mso-position-vertical-relative:page;z-index:251779072;mso-width-relative:page;mso-height-relative:page;" fillcolor="#000000" filled="t" stroked="f" coordsize="8305,15" o:allowincell="f" path="m0,0l8305,0,8305,14,0,14,0,0xe">
            <v:path/>
            <v:fill on="t" focussize="0,0"/>
            <v:stroke on="f"/>
            <v:imagedata o:title=""/>
            <o:lock v:ext="edit"/>
          </v:shape>
        </w:pict>
      </w:r>
    </w:p>
    <w:p w14:paraId="076FE147">
      <w:pPr>
        <w:spacing w:before="74" w:line="323" w:lineRule="exact"/>
        <w:ind w:left="22"/>
        <w:rPr>
          <w:rFonts w:ascii="宋体" w:hAnsi="宋体" w:eastAsia="宋体" w:cs="宋体"/>
          <w:sz w:val="23"/>
          <w:szCs w:val="23"/>
        </w:rPr>
      </w:pPr>
      <w:r>
        <w:rPr>
          <w:rFonts w:ascii="Times New Roman" w:hAnsi="Times New Roman" w:eastAsia="Times New Roman" w:cs="Times New Roman"/>
          <w:spacing w:val="20"/>
          <w:position w:val="1"/>
          <w:sz w:val="23"/>
          <w:szCs w:val="23"/>
        </w:rPr>
        <w:t>7</w:t>
      </w:r>
      <w:r>
        <w:rPr>
          <w:rFonts w:ascii="Times New Roman" w:hAnsi="Times New Roman" w:eastAsia="Times New Roman" w:cs="Times New Roman"/>
          <w:spacing w:val="18"/>
          <w:position w:val="1"/>
          <w:sz w:val="23"/>
          <w:szCs w:val="23"/>
        </w:rPr>
        <w:t>2000</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18"/>
          <w:position w:val="1"/>
          <w:sz w:val="23"/>
          <w:szCs w:val="23"/>
        </w:rPr>
        <w:t xml:space="preserve"> </w:t>
      </w:r>
      <w:r>
        <w:rPr>
          <w:rFonts w:ascii="宋体" w:hAnsi="宋体" w:eastAsia="宋体" w:cs="宋体"/>
          <w:spacing w:val="18"/>
          <w:position w:val="1"/>
          <w:sz w:val="23"/>
          <w:szCs w:val="23"/>
        </w:rPr>
        <w:t>原料，远远满足该项目的原料破碎及清洗能力。</w:t>
      </w:r>
    </w:p>
    <w:p w14:paraId="69B89304">
      <w:pPr>
        <w:spacing w:before="296" w:line="228" w:lineRule="auto"/>
        <w:ind w:left="526"/>
        <w:rPr>
          <w:rFonts w:ascii="宋体" w:hAnsi="宋体" w:eastAsia="宋体" w:cs="宋体"/>
          <w:sz w:val="23"/>
          <w:szCs w:val="23"/>
        </w:rPr>
      </w:pPr>
      <w:r>
        <w:rPr>
          <w:rFonts w:ascii="宋体" w:hAnsi="宋体" w:eastAsia="宋体" w:cs="宋体"/>
          <w:spacing w:val="21"/>
          <w:sz w:val="23"/>
          <w:szCs w:val="23"/>
        </w:rPr>
        <w:t>造粒设备：采用分体全自动配电系统，充分利用高压摩擦不间断升温系</w:t>
      </w:r>
    </w:p>
    <w:p w14:paraId="6C249966">
      <w:pPr>
        <w:spacing w:before="137" w:line="337" w:lineRule="auto"/>
        <w:ind w:left="22" w:right="25" w:firstLine="6"/>
        <w:rPr>
          <w:rFonts w:ascii="宋体" w:hAnsi="宋体" w:eastAsia="宋体" w:cs="宋体"/>
          <w:sz w:val="23"/>
          <w:szCs w:val="23"/>
        </w:rPr>
      </w:pPr>
      <w:r>
        <w:rPr>
          <w:rFonts w:ascii="宋体" w:hAnsi="宋体" w:eastAsia="宋体" w:cs="宋体"/>
          <w:spacing w:val="15"/>
          <w:sz w:val="23"/>
          <w:szCs w:val="23"/>
        </w:rPr>
        <w:t>统</w:t>
      </w:r>
      <w:r>
        <w:rPr>
          <w:rFonts w:ascii="宋体" w:hAnsi="宋体" w:eastAsia="宋体" w:cs="宋体"/>
          <w:spacing w:val="14"/>
          <w:sz w:val="23"/>
          <w:szCs w:val="23"/>
        </w:rPr>
        <w:t>，  自动加热生产，避免了连续加热。从上料到造粒过程均为自动化生产。</w:t>
      </w:r>
      <w:r>
        <w:rPr>
          <w:rFonts w:ascii="宋体" w:hAnsi="宋体" w:eastAsia="宋体" w:cs="宋体"/>
          <w:sz w:val="23"/>
          <w:szCs w:val="23"/>
        </w:rPr>
        <w:t xml:space="preserve"> </w:t>
      </w:r>
      <w:r>
        <w:rPr>
          <w:rFonts w:ascii="宋体" w:hAnsi="宋体" w:eastAsia="宋体" w:cs="宋体"/>
          <w:spacing w:val="19"/>
          <w:sz w:val="23"/>
          <w:szCs w:val="23"/>
        </w:rPr>
        <w:t>造</w:t>
      </w:r>
      <w:r>
        <w:rPr>
          <w:rFonts w:ascii="宋体" w:hAnsi="宋体" w:eastAsia="宋体" w:cs="宋体"/>
          <w:spacing w:val="10"/>
          <w:sz w:val="23"/>
          <w:szCs w:val="23"/>
        </w:rPr>
        <w:t xml:space="preserve">粒生产线共 </w:t>
      </w:r>
      <w:r>
        <w:rPr>
          <w:rFonts w:ascii="Times New Roman" w:hAnsi="Times New Roman" w:eastAsia="Times New Roman" w:cs="Times New Roman"/>
          <w:spacing w:val="10"/>
          <w:sz w:val="23"/>
          <w:szCs w:val="23"/>
        </w:rPr>
        <w:t xml:space="preserve">10 </w:t>
      </w:r>
      <w:r>
        <w:rPr>
          <w:rFonts w:ascii="宋体" w:hAnsi="宋体" w:eastAsia="宋体" w:cs="宋体"/>
          <w:spacing w:val="10"/>
          <w:sz w:val="23"/>
          <w:szCs w:val="23"/>
        </w:rPr>
        <w:t xml:space="preserve">条，每条生产线配备 </w:t>
      </w: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台热混机、</w:t>
      </w: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台挤出机、</w:t>
      </w: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台切粒机，</w:t>
      </w:r>
      <w:r>
        <w:rPr>
          <w:rFonts w:ascii="宋体" w:hAnsi="宋体" w:eastAsia="宋体" w:cs="宋体"/>
          <w:sz w:val="23"/>
          <w:szCs w:val="23"/>
        </w:rPr>
        <w:t xml:space="preserve"> </w:t>
      </w:r>
      <w:r>
        <w:rPr>
          <w:rFonts w:ascii="宋体" w:hAnsi="宋体" w:eastAsia="宋体" w:cs="宋体"/>
          <w:spacing w:val="23"/>
          <w:sz w:val="23"/>
          <w:szCs w:val="23"/>
        </w:rPr>
        <w:t>每</w:t>
      </w:r>
      <w:r>
        <w:rPr>
          <w:rFonts w:ascii="宋体" w:hAnsi="宋体" w:eastAsia="宋体" w:cs="宋体"/>
          <w:spacing w:val="13"/>
          <w:sz w:val="23"/>
          <w:szCs w:val="23"/>
        </w:rPr>
        <w:t xml:space="preserve">条生产线的生产能力均能达到 </w:t>
      </w:r>
      <w:r>
        <w:rPr>
          <w:rFonts w:ascii="Times New Roman" w:hAnsi="Times New Roman" w:eastAsia="Times New Roman" w:cs="Times New Roman"/>
          <w:spacing w:val="13"/>
          <w:sz w:val="23"/>
          <w:szCs w:val="23"/>
        </w:rPr>
        <w:t>1</w:t>
      </w:r>
      <w:r>
        <w:rPr>
          <w:rFonts w:ascii="Times New Roman" w:hAnsi="Times New Roman" w:eastAsia="Times New Roman" w:cs="Times New Roman"/>
          <w:sz w:val="23"/>
          <w:szCs w:val="23"/>
        </w:rPr>
        <w:t>t</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h</w:t>
      </w:r>
      <w:r>
        <w:rPr>
          <w:rFonts w:ascii="宋体" w:hAnsi="宋体" w:eastAsia="宋体" w:cs="宋体"/>
          <w:spacing w:val="13"/>
          <w:sz w:val="23"/>
          <w:szCs w:val="23"/>
        </w:rPr>
        <w:t>，</w:t>
      </w:r>
      <w:r>
        <w:rPr>
          <w:rFonts w:ascii="Times New Roman" w:hAnsi="Times New Roman" w:eastAsia="Times New Roman" w:cs="Times New Roman"/>
          <w:spacing w:val="13"/>
          <w:sz w:val="23"/>
          <w:szCs w:val="23"/>
        </w:rPr>
        <w:t xml:space="preserve">10 </w:t>
      </w:r>
      <w:r>
        <w:rPr>
          <w:rFonts w:ascii="宋体" w:hAnsi="宋体" w:eastAsia="宋体" w:cs="宋体"/>
          <w:spacing w:val="13"/>
          <w:sz w:val="23"/>
          <w:szCs w:val="23"/>
        </w:rPr>
        <w:t xml:space="preserve">条造粒生产线可以满足年产近 </w:t>
      </w:r>
      <w:r>
        <w:rPr>
          <w:rFonts w:ascii="Times New Roman" w:hAnsi="Times New Roman" w:eastAsia="Times New Roman" w:cs="Times New Roman"/>
          <w:spacing w:val="13"/>
          <w:sz w:val="23"/>
          <w:szCs w:val="23"/>
        </w:rPr>
        <w:t>7200</w:t>
      </w:r>
      <w:r>
        <w:rPr>
          <w:rFonts w:ascii="Times New Roman" w:hAnsi="Times New Roman" w:eastAsia="Times New Roman" w:cs="Times New Roman"/>
          <w:sz w:val="23"/>
          <w:szCs w:val="23"/>
        </w:rPr>
        <w:t xml:space="preserve"> </w:t>
      </w:r>
      <w:r>
        <w:rPr>
          <w:rFonts w:ascii="宋体" w:hAnsi="宋体" w:eastAsia="宋体" w:cs="宋体"/>
          <w:spacing w:val="19"/>
          <w:sz w:val="23"/>
          <w:szCs w:val="23"/>
        </w:rPr>
        <w:t>吨</w:t>
      </w:r>
      <w:r>
        <w:rPr>
          <w:rFonts w:ascii="宋体" w:hAnsi="宋体" w:eastAsia="宋体" w:cs="宋体"/>
          <w:spacing w:val="17"/>
          <w:sz w:val="23"/>
          <w:szCs w:val="23"/>
        </w:rPr>
        <w:t>的再生塑料颗粒。</w:t>
      </w:r>
    </w:p>
    <w:p w14:paraId="5AA64B56">
      <w:pPr>
        <w:spacing w:before="202" w:line="228" w:lineRule="auto"/>
        <w:ind w:left="17"/>
        <w:outlineLvl w:val="2"/>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8"/>
          <w:sz w:val="23"/>
          <w:szCs w:val="23"/>
        </w:rPr>
        <w:t>.</w:t>
      </w:r>
      <w:r>
        <w:rPr>
          <w:rFonts w:ascii="Times New Roman" w:hAnsi="Times New Roman" w:eastAsia="Times New Roman" w:cs="Times New Roman"/>
          <w:b/>
          <w:bCs/>
          <w:spacing w:val="5"/>
          <w:sz w:val="23"/>
          <w:szCs w:val="23"/>
        </w:rPr>
        <w:t>1.6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公用工程</w:t>
      </w:r>
    </w:p>
    <w:p w14:paraId="7A10351E">
      <w:pPr>
        <w:spacing w:line="275" w:lineRule="auto"/>
        <w:rPr>
          <w:rFonts w:ascii="Arial"/>
          <w:sz w:val="21"/>
        </w:rPr>
      </w:pPr>
    </w:p>
    <w:p w14:paraId="3E9877A9">
      <w:pPr>
        <w:spacing w:before="76"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3"/>
          <w:sz w:val="23"/>
          <w:szCs w:val="23"/>
        </w:rPr>
        <w:t>1</w:t>
      </w:r>
      <w:r>
        <w:rPr>
          <w:rFonts w:ascii="宋体" w:hAnsi="宋体" w:eastAsia="宋体" w:cs="宋体"/>
          <w:spacing w:val="23"/>
          <w:sz w:val="23"/>
          <w:szCs w:val="23"/>
        </w:rPr>
        <w:t>) 给水</w:t>
      </w:r>
    </w:p>
    <w:p w14:paraId="6E1CBAF4">
      <w:pPr>
        <w:spacing w:line="276" w:lineRule="auto"/>
        <w:rPr>
          <w:rFonts w:ascii="Arial"/>
          <w:sz w:val="21"/>
        </w:rPr>
      </w:pPr>
    </w:p>
    <w:p w14:paraId="63C8DB77">
      <w:pPr>
        <w:spacing w:before="75" w:line="396" w:lineRule="auto"/>
        <w:ind w:left="26" w:firstLine="480"/>
        <w:rPr>
          <w:rFonts w:ascii="宋体" w:hAnsi="宋体" w:eastAsia="宋体" w:cs="宋体"/>
          <w:sz w:val="23"/>
          <w:szCs w:val="23"/>
        </w:rPr>
      </w:pPr>
      <w:r>
        <w:rPr>
          <w:rFonts w:ascii="宋体" w:hAnsi="宋体" w:eastAsia="宋体" w:cs="宋体"/>
          <w:spacing w:val="19"/>
          <w:sz w:val="23"/>
          <w:szCs w:val="23"/>
        </w:rPr>
        <w:t>该</w:t>
      </w:r>
      <w:r>
        <w:rPr>
          <w:rFonts w:ascii="宋体" w:hAnsi="宋体" w:eastAsia="宋体" w:cs="宋体"/>
          <w:spacing w:val="14"/>
          <w:sz w:val="23"/>
          <w:szCs w:val="23"/>
        </w:rPr>
        <w:t>用水主要用水为生活用水以及生产用水，其中生产用水包括破碎工序用</w:t>
      </w:r>
      <w:r>
        <w:rPr>
          <w:rFonts w:ascii="宋体" w:hAnsi="宋体" w:eastAsia="宋体" w:cs="宋体"/>
          <w:sz w:val="23"/>
          <w:szCs w:val="23"/>
        </w:rPr>
        <w:t xml:space="preserve"> </w:t>
      </w:r>
      <w:r>
        <w:rPr>
          <w:rFonts w:ascii="宋体" w:hAnsi="宋体" w:eastAsia="宋体" w:cs="宋体"/>
          <w:spacing w:val="4"/>
          <w:sz w:val="23"/>
          <w:szCs w:val="23"/>
        </w:rPr>
        <w:t>水、原料原料初洗工序用水</w:t>
      </w:r>
      <w:r>
        <w:rPr>
          <w:rFonts w:ascii="宋体" w:hAnsi="宋体" w:eastAsia="宋体" w:cs="宋体"/>
          <w:spacing w:val="2"/>
          <w:sz w:val="23"/>
          <w:szCs w:val="23"/>
        </w:rPr>
        <w:t>、洗字工序用水、二次清洗工序用水以及循环冷却水。</w:t>
      </w:r>
      <w:r>
        <w:rPr>
          <w:rFonts w:ascii="宋体" w:hAnsi="宋体" w:eastAsia="宋体" w:cs="宋体"/>
          <w:sz w:val="23"/>
          <w:szCs w:val="23"/>
        </w:rPr>
        <w:t xml:space="preserve"> </w:t>
      </w:r>
      <w:r>
        <w:rPr>
          <w:rFonts w:ascii="宋体" w:hAnsi="宋体" w:eastAsia="宋体" w:cs="宋体"/>
          <w:spacing w:val="8"/>
          <w:sz w:val="23"/>
          <w:szCs w:val="23"/>
        </w:rPr>
        <w:t>该项目新鲜水</w:t>
      </w:r>
      <w:r>
        <w:rPr>
          <w:rFonts w:ascii="宋体" w:hAnsi="宋体" w:eastAsia="宋体" w:cs="宋体"/>
          <w:spacing w:val="6"/>
          <w:sz w:val="23"/>
          <w:szCs w:val="23"/>
        </w:rPr>
        <w:t>总</w:t>
      </w:r>
      <w:r>
        <w:rPr>
          <w:rFonts w:ascii="宋体" w:hAnsi="宋体" w:eastAsia="宋体" w:cs="宋体"/>
          <w:spacing w:val="4"/>
          <w:sz w:val="23"/>
          <w:szCs w:val="23"/>
        </w:rPr>
        <w:t xml:space="preserve">用量为 </w:t>
      </w:r>
      <w:r>
        <w:rPr>
          <w:rFonts w:ascii="Times New Roman" w:hAnsi="Times New Roman" w:eastAsia="Times New Roman" w:cs="Times New Roman"/>
          <w:spacing w:val="4"/>
          <w:sz w:val="23"/>
          <w:szCs w:val="23"/>
        </w:rPr>
        <w:t>3732</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，新鲜水均由当地自来水管网提供。</w:t>
      </w:r>
    </w:p>
    <w:p w14:paraId="4C1C5C2C">
      <w:pPr>
        <w:spacing w:before="116"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3"/>
          <w:sz w:val="23"/>
          <w:szCs w:val="23"/>
        </w:rPr>
        <w:t>2</w:t>
      </w:r>
      <w:r>
        <w:rPr>
          <w:rFonts w:ascii="宋体" w:hAnsi="宋体" w:eastAsia="宋体" w:cs="宋体"/>
          <w:spacing w:val="23"/>
          <w:sz w:val="23"/>
          <w:szCs w:val="23"/>
        </w:rPr>
        <w:t>) 排水</w:t>
      </w:r>
    </w:p>
    <w:p w14:paraId="472C6F57">
      <w:pPr>
        <w:spacing w:line="277" w:lineRule="auto"/>
        <w:rPr>
          <w:rFonts w:ascii="Arial"/>
          <w:sz w:val="21"/>
        </w:rPr>
      </w:pPr>
    </w:p>
    <w:p w14:paraId="3975AF57">
      <w:pPr>
        <w:spacing w:before="76" w:line="386" w:lineRule="auto"/>
        <w:ind w:left="22" w:right="68" w:firstLine="460"/>
        <w:rPr>
          <w:rFonts w:ascii="宋体" w:hAnsi="宋体" w:eastAsia="宋体" w:cs="宋体"/>
          <w:sz w:val="23"/>
          <w:szCs w:val="23"/>
        </w:rPr>
      </w:pPr>
      <w:r>
        <w:rPr>
          <w:rFonts w:ascii="宋体" w:hAnsi="宋体" w:eastAsia="宋体" w:cs="宋体"/>
          <w:spacing w:val="14"/>
          <w:sz w:val="23"/>
          <w:szCs w:val="23"/>
        </w:rPr>
        <w:t>该</w:t>
      </w:r>
      <w:r>
        <w:rPr>
          <w:rFonts w:ascii="宋体" w:hAnsi="宋体" w:eastAsia="宋体" w:cs="宋体"/>
          <w:spacing w:val="13"/>
          <w:sz w:val="23"/>
          <w:szCs w:val="23"/>
        </w:rPr>
        <w:t>项</w:t>
      </w:r>
      <w:r>
        <w:rPr>
          <w:rFonts w:ascii="宋体" w:hAnsi="宋体" w:eastAsia="宋体" w:cs="宋体"/>
          <w:spacing w:val="7"/>
          <w:sz w:val="23"/>
          <w:szCs w:val="23"/>
        </w:rPr>
        <w:t>目排水主要包括生活污水以及生产废水，其中生产废水主要包括破碎工</w:t>
      </w:r>
      <w:r>
        <w:rPr>
          <w:rFonts w:ascii="宋体" w:hAnsi="宋体" w:eastAsia="宋体" w:cs="宋体"/>
          <w:sz w:val="23"/>
          <w:szCs w:val="23"/>
        </w:rPr>
        <w:t xml:space="preserve"> </w:t>
      </w:r>
      <w:r>
        <w:rPr>
          <w:rFonts w:ascii="宋体" w:hAnsi="宋体" w:eastAsia="宋体" w:cs="宋体"/>
          <w:spacing w:val="9"/>
          <w:sz w:val="23"/>
          <w:szCs w:val="23"/>
        </w:rPr>
        <w:t>序</w:t>
      </w:r>
      <w:r>
        <w:rPr>
          <w:rFonts w:ascii="宋体" w:hAnsi="宋体" w:eastAsia="宋体" w:cs="宋体"/>
          <w:spacing w:val="7"/>
          <w:sz w:val="23"/>
          <w:szCs w:val="23"/>
        </w:rPr>
        <w:t>产生的废水，原料初洗工序、洗字工序、二次清洗工序产生的清洗废水、脱水</w:t>
      </w:r>
      <w:r>
        <w:rPr>
          <w:rFonts w:ascii="宋体" w:hAnsi="宋体" w:eastAsia="宋体" w:cs="宋体"/>
          <w:sz w:val="23"/>
          <w:szCs w:val="23"/>
        </w:rPr>
        <w:t xml:space="preserve"> </w:t>
      </w:r>
      <w:r>
        <w:rPr>
          <w:rFonts w:ascii="宋体" w:hAnsi="宋体" w:eastAsia="宋体" w:cs="宋体"/>
          <w:spacing w:val="7"/>
          <w:sz w:val="23"/>
          <w:szCs w:val="23"/>
        </w:rPr>
        <w:t xml:space="preserve">工序产生的废水以及循环冷却废水，总排水量为 </w:t>
      </w:r>
      <w:r>
        <w:rPr>
          <w:rFonts w:ascii="Times New Roman" w:hAnsi="Times New Roman" w:eastAsia="Times New Roman" w:cs="Times New Roman"/>
          <w:spacing w:val="7"/>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。该项目在厂区</w:t>
      </w:r>
      <w:r>
        <w:rPr>
          <w:rFonts w:ascii="宋体" w:hAnsi="宋体" w:eastAsia="宋体" w:cs="宋体"/>
          <w:spacing w:val="5"/>
          <w:sz w:val="23"/>
          <w:szCs w:val="23"/>
        </w:rPr>
        <w:t>东</w:t>
      </w:r>
      <w:r>
        <w:rPr>
          <w:rFonts w:ascii="宋体" w:hAnsi="宋体" w:eastAsia="宋体" w:cs="宋体"/>
          <w:sz w:val="23"/>
          <w:szCs w:val="23"/>
        </w:rPr>
        <w:t xml:space="preserve"> </w:t>
      </w:r>
      <w:r>
        <w:rPr>
          <w:rFonts w:ascii="宋体" w:hAnsi="宋体" w:eastAsia="宋体" w:cs="宋体"/>
          <w:spacing w:val="12"/>
          <w:sz w:val="23"/>
          <w:szCs w:val="23"/>
        </w:rPr>
        <w:t xml:space="preserve">南侧设有旱厕，员工使用防渗旱厕，定期清掏，不外排；项目设有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座容积为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3 </w:t>
      </w:r>
      <w:r>
        <w:rPr>
          <w:rFonts w:ascii="宋体" w:hAnsi="宋体" w:eastAsia="宋体" w:cs="宋体"/>
          <w:spacing w:val="8"/>
          <w:sz w:val="23"/>
          <w:szCs w:val="23"/>
        </w:rPr>
        <w:t>的三</w:t>
      </w:r>
      <w:r>
        <w:rPr>
          <w:rFonts w:ascii="宋体" w:hAnsi="宋体" w:eastAsia="宋体" w:cs="宋体"/>
          <w:spacing w:val="4"/>
          <w:sz w:val="23"/>
          <w:szCs w:val="23"/>
        </w:rPr>
        <w:t>级沉淀池 (</w:t>
      </w:r>
      <w:r>
        <w:rPr>
          <w:rFonts w:ascii="Times New Roman" w:hAnsi="Times New Roman" w:eastAsia="Times New Roman" w:cs="Times New Roman"/>
          <w:spacing w:val="4"/>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×4.5</w:t>
      </w:r>
      <w:r>
        <w:rPr>
          <w:rFonts w:ascii="Times New Roman" w:hAnsi="Times New Roman" w:eastAsia="Times New Roman" w:cs="Times New Roman"/>
          <w:sz w:val="23"/>
          <w:szCs w:val="23"/>
        </w:rPr>
        <w:t>m</w:t>
      </w:r>
      <w:r>
        <w:rPr>
          <w:rFonts w:ascii="宋体" w:hAnsi="宋体" w:eastAsia="宋体" w:cs="宋体"/>
          <w:spacing w:val="4"/>
          <w:sz w:val="23"/>
          <w:szCs w:val="23"/>
        </w:rPr>
        <w:t xml:space="preserve">) ，同时配套设有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台一体化污水预处理设</w:t>
      </w:r>
      <w:r>
        <w:rPr>
          <w:rFonts w:ascii="宋体" w:hAnsi="宋体" w:eastAsia="宋体" w:cs="宋体"/>
          <w:sz w:val="23"/>
          <w:szCs w:val="23"/>
        </w:rPr>
        <w:t xml:space="preserve"> </w:t>
      </w:r>
      <w:r>
        <w:rPr>
          <w:rFonts w:ascii="宋体" w:hAnsi="宋体" w:eastAsia="宋体" w:cs="宋体"/>
          <w:spacing w:val="9"/>
          <w:sz w:val="23"/>
          <w:szCs w:val="23"/>
        </w:rPr>
        <w:t>备</w:t>
      </w:r>
      <w:r>
        <w:rPr>
          <w:rFonts w:ascii="宋体" w:hAnsi="宋体" w:eastAsia="宋体" w:cs="宋体"/>
          <w:spacing w:val="7"/>
          <w:sz w:val="23"/>
          <w:szCs w:val="23"/>
        </w:rPr>
        <w:t>，均位于生产厂房西南侧，产生的生产废水经一体化污水预处理设备处理后排</w:t>
      </w:r>
      <w:r>
        <w:rPr>
          <w:rFonts w:ascii="宋体" w:hAnsi="宋体" w:eastAsia="宋体" w:cs="宋体"/>
          <w:sz w:val="23"/>
          <w:szCs w:val="23"/>
        </w:rPr>
        <w:t xml:space="preserve"> </w:t>
      </w:r>
      <w:r>
        <w:rPr>
          <w:rFonts w:ascii="宋体" w:hAnsi="宋体" w:eastAsia="宋体" w:cs="宋体"/>
          <w:spacing w:val="10"/>
          <w:sz w:val="23"/>
          <w:szCs w:val="23"/>
        </w:rPr>
        <w:t>入三级</w:t>
      </w:r>
      <w:r>
        <w:rPr>
          <w:rFonts w:ascii="宋体" w:hAnsi="宋体" w:eastAsia="宋体" w:cs="宋体"/>
          <w:spacing w:val="8"/>
          <w:sz w:val="23"/>
          <w:szCs w:val="23"/>
        </w:rPr>
        <w:t>沉</w:t>
      </w:r>
      <w:r>
        <w:rPr>
          <w:rFonts w:ascii="宋体" w:hAnsi="宋体" w:eastAsia="宋体" w:cs="宋体"/>
          <w:spacing w:val="5"/>
          <w:sz w:val="23"/>
          <w:szCs w:val="23"/>
        </w:rPr>
        <w:t>淀池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pacing w:val="5"/>
          <w:sz w:val="23"/>
          <w:szCs w:val="23"/>
        </w:rPr>
        <w:t>) 沉淀处理，随后循环使用。污水处理设施废水每</w:t>
      </w:r>
      <w:r>
        <w:rPr>
          <w:rFonts w:ascii="宋体" w:hAnsi="宋体" w:eastAsia="宋体" w:cs="宋体"/>
          <w:sz w:val="23"/>
          <w:szCs w:val="23"/>
        </w:rPr>
        <w:t xml:space="preserve"> </w:t>
      </w:r>
      <w:r>
        <w:rPr>
          <w:rFonts w:ascii="宋体" w:hAnsi="宋体" w:eastAsia="宋体" w:cs="宋体"/>
          <w:spacing w:val="-1"/>
          <w:sz w:val="23"/>
          <w:szCs w:val="23"/>
        </w:rPr>
        <w:t xml:space="preserve">月更换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次，则该项目全年更换废水量为 </w:t>
      </w:r>
      <w:r>
        <w:rPr>
          <w:rFonts w:ascii="Times New Roman" w:hAnsi="Times New Roman" w:eastAsia="Times New Roman" w:cs="Times New Roman"/>
          <w:spacing w:val="-1"/>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，更</w:t>
      </w:r>
      <w:r>
        <w:rPr>
          <w:rFonts w:ascii="宋体" w:hAnsi="宋体" w:eastAsia="宋体" w:cs="宋体"/>
          <w:sz w:val="23"/>
          <w:szCs w:val="23"/>
        </w:rPr>
        <w:t xml:space="preserve">换过程产生的废水经吸污 </w:t>
      </w:r>
      <w:r>
        <w:rPr>
          <w:rFonts w:ascii="宋体" w:hAnsi="宋体" w:eastAsia="宋体" w:cs="宋体"/>
          <w:spacing w:val="-2"/>
          <w:sz w:val="23"/>
          <w:szCs w:val="23"/>
        </w:rPr>
        <w:t>车运送至本溪市科态污水处理有限责任公司</w:t>
      </w:r>
      <w:r>
        <w:rPr>
          <w:rFonts w:ascii="宋体" w:hAnsi="宋体" w:eastAsia="宋体" w:cs="宋体"/>
          <w:spacing w:val="-1"/>
          <w:sz w:val="23"/>
          <w:szCs w:val="23"/>
        </w:rPr>
        <w:t>统一处理。</w:t>
      </w:r>
    </w:p>
    <w:p w14:paraId="2351D7A3">
      <w:pPr>
        <w:spacing w:before="146"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3"/>
          <w:sz w:val="23"/>
          <w:szCs w:val="23"/>
        </w:rPr>
        <w:t>3</w:t>
      </w:r>
      <w:r>
        <w:rPr>
          <w:rFonts w:ascii="宋体" w:hAnsi="宋体" w:eastAsia="宋体" w:cs="宋体"/>
          <w:spacing w:val="23"/>
          <w:sz w:val="23"/>
          <w:szCs w:val="23"/>
        </w:rPr>
        <w:t>) 供热</w:t>
      </w:r>
    </w:p>
    <w:p w14:paraId="388730CA">
      <w:pPr>
        <w:spacing w:line="277" w:lineRule="auto"/>
        <w:rPr>
          <w:rFonts w:ascii="Arial"/>
          <w:sz w:val="21"/>
        </w:rPr>
      </w:pPr>
    </w:p>
    <w:p w14:paraId="50BB3DEA">
      <w:pPr>
        <w:spacing w:before="75" w:line="393" w:lineRule="auto"/>
        <w:ind w:left="28" w:right="82" w:firstLine="479"/>
        <w:rPr>
          <w:rFonts w:ascii="宋体" w:hAnsi="宋体" w:eastAsia="宋体" w:cs="宋体"/>
          <w:sz w:val="23"/>
          <w:szCs w:val="23"/>
        </w:rPr>
      </w:pPr>
      <w:r>
        <w:rPr>
          <w:rFonts w:ascii="宋体" w:hAnsi="宋体" w:eastAsia="宋体" w:cs="宋体"/>
          <w:spacing w:val="12"/>
          <w:sz w:val="23"/>
          <w:szCs w:val="23"/>
        </w:rPr>
        <w:t>该项目生</w:t>
      </w:r>
      <w:r>
        <w:rPr>
          <w:rFonts w:ascii="宋体" w:hAnsi="宋体" w:eastAsia="宋体" w:cs="宋体"/>
          <w:spacing w:val="7"/>
          <w:sz w:val="23"/>
          <w:szCs w:val="23"/>
        </w:rPr>
        <w:t>产</w:t>
      </w:r>
      <w:r>
        <w:rPr>
          <w:rFonts w:ascii="宋体" w:hAnsi="宋体" w:eastAsia="宋体" w:cs="宋体"/>
          <w:spacing w:val="6"/>
          <w:sz w:val="23"/>
          <w:szCs w:val="23"/>
        </w:rPr>
        <w:t>厂房无需供暖，办公室及员工休息室供暖采用电取暖。洗字槽加</w:t>
      </w:r>
      <w:r>
        <w:rPr>
          <w:rFonts w:ascii="宋体" w:hAnsi="宋体" w:eastAsia="宋体" w:cs="宋体"/>
          <w:sz w:val="23"/>
          <w:szCs w:val="23"/>
        </w:rPr>
        <w:t xml:space="preserve"> </w:t>
      </w:r>
      <w:r>
        <w:rPr>
          <w:rFonts w:ascii="宋体" w:hAnsi="宋体" w:eastAsia="宋体" w:cs="宋体"/>
          <w:spacing w:val="4"/>
          <w:sz w:val="23"/>
          <w:szCs w:val="23"/>
        </w:rPr>
        <w:t>热由</w:t>
      </w:r>
      <w:r>
        <w:rPr>
          <w:rFonts w:ascii="宋体" w:hAnsi="宋体" w:eastAsia="宋体" w:cs="宋体"/>
          <w:spacing w:val="2"/>
          <w:sz w:val="23"/>
          <w:szCs w:val="23"/>
        </w:rPr>
        <w:t xml:space="preserve">生产厂房内的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台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的热风炉提供。</w:t>
      </w:r>
    </w:p>
    <w:p w14:paraId="5ED1A4D1">
      <w:pPr>
        <w:spacing w:before="136"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3"/>
          <w:sz w:val="23"/>
          <w:szCs w:val="23"/>
        </w:rPr>
        <w:t>4</w:t>
      </w:r>
      <w:r>
        <w:rPr>
          <w:rFonts w:ascii="宋体" w:hAnsi="宋体" w:eastAsia="宋体" w:cs="宋体"/>
          <w:spacing w:val="23"/>
          <w:sz w:val="23"/>
          <w:szCs w:val="23"/>
        </w:rPr>
        <w:t>) 供电</w:t>
      </w:r>
    </w:p>
    <w:p w14:paraId="691E19E0">
      <w:pPr>
        <w:spacing w:before="311" w:line="322" w:lineRule="exact"/>
        <w:ind w:left="507"/>
        <w:rPr>
          <w:rFonts w:ascii="宋体" w:hAnsi="宋体" w:eastAsia="宋体" w:cs="宋体"/>
          <w:sz w:val="23"/>
          <w:szCs w:val="23"/>
        </w:rPr>
      </w:pPr>
      <w:r>
        <w:rPr>
          <w:rFonts w:ascii="宋体" w:hAnsi="宋体" w:eastAsia="宋体" w:cs="宋体"/>
          <w:spacing w:val="4"/>
          <w:position w:val="2"/>
          <w:sz w:val="23"/>
          <w:szCs w:val="23"/>
        </w:rPr>
        <w:t xml:space="preserve">该项目供电由当地电网引入，年用电量 </w:t>
      </w:r>
      <w:r>
        <w:rPr>
          <w:rFonts w:ascii="Times New Roman" w:hAnsi="Times New Roman" w:eastAsia="Times New Roman" w:cs="Times New Roman"/>
          <w:spacing w:val="4"/>
          <w:position w:val="2"/>
          <w:sz w:val="23"/>
          <w:szCs w:val="23"/>
        </w:rPr>
        <w:t xml:space="preserve">1300 </w:t>
      </w:r>
      <w:r>
        <w:rPr>
          <w:rFonts w:ascii="宋体" w:hAnsi="宋体" w:eastAsia="宋体" w:cs="宋体"/>
          <w:spacing w:val="4"/>
          <w:position w:val="2"/>
          <w:sz w:val="23"/>
          <w:szCs w:val="23"/>
        </w:rPr>
        <w:t xml:space="preserve">万 </w:t>
      </w:r>
      <w:r>
        <w:rPr>
          <w:rFonts w:ascii="Times New Roman" w:hAnsi="Times New Roman" w:eastAsia="Times New Roman" w:cs="Times New Roman"/>
          <w:position w:val="2"/>
          <w:sz w:val="23"/>
          <w:szCs w:val="23"/>
        </w:rPr>
        <w:t>kWh</w:t>
      </w:r>
      <w:r>
        <w:rPr>
          <w:rFonts w:ascii="宋体" w:hAnsi="宋体" w:eastAsia="宋体" w:cs="宋体"/>
          <w:position w:val="2"/>
          <w:sz w:val="23"/>
          <w:szCs w:val="23"/>
        </w:rPr>
        <w:t>。</w:t>
      </w:r>
    </w:p>
    <w:p w14:paraId="01284774">
      <w:pPr>
        <w:sectPr>
          <w:headerReference r:id="rId102" w:type="default"/>
          <w:footerReference r:id="rId103" w:type="default"/>
          <w:pgSz w:w="11906" w:h="16839"/>
          <w:pgMar w:top="1132" w:right="1716" w:bottom="1182" w:left="1785" w:header="878" w:footer="1022" w:gutter="0"/>
          <w:cols w:space="720" w:num="1"/>
        </w:sectPr>
      </w:pPr>
    </w:p>
    <w:p w14:paraId="621A326F">
      <w:pPr>
        <w:spacing w:line="337" w:lineRule="auto"/>
        <w:rPr>
          <w:rFonts w:ascii="Arial"/>
          <w:sz w:val="21"/>
        </w:rPr>
      </w:pPr>
      <w:r>
        <w:pict>
          <v:shape id="_x0000_s1147" o:spid="_x0000_s1147" style="position:absolute;left:0pt;margin-left:90pt;margin-top:57.35pt;height:0.75pt;width:415.3pt;mso-position-horizontal-relative:page;mso-position-vertical-relative:page;z-index:251781120;mso-width-relative:page;mso-height-relative:page;" fillcolor="#000000" filled="t" stroked="f" coordsize="8305,15" o:allowincell="f" path="m0,0l8305,0,8305,14,0,14,0,0xe">
            <v:path/>
            <v:fill on="t" focussize="0,0"/>
            <v:stroke on="f"/>
            <v:imagedata o:title=""/>
            <o:lock v:ext="edit"/>
          </v:shape>
        </w:pict>
      </w:r>
      <w:r>
        <w:pict>
          <v:shape id="_x0000_s1148" o:spid="_x0000_s1148" o:spt="202" type="#_x0000_t202" style="position:absolute;left:0pt;margin-left:354.2pt;margin-top:354.15pt;height:233.5pt;width:88.9pt;mso-position-horizontal-relative:page;mso-position-vertical-relative:page;z-index:251780096;mso-width-relative:page;mso-height-relative:page;" filled="f" stroked="f" coordsize="21600,21600" o:allowincell="f">
            <v:path/>
            <v:fill on="f" focussize="0,0"/>
            <v:stroke on="f"/>
            <v:imagedata o:title=""/>
            <o:lock v:ext="edit" aspectratio="f"/>
            <v:textbox inset="0mm,0mm,0mm,0mm">
              <w:txbxContent>
                <w:p w14:paraId="56A78341">
                  <w:pPr>
                    <w:spacing w:before="20" w:line="228" w:lineRule="auto"/>
                    <w:ind w:left="49"/>
                    <w:rPr>
                      <w:rFonts w:ascii="宋体" w:hAnsi="宋体" w:eastAsia="宋体" w:cs="宋体"/>
                      <w:sz w:val="20"/>
                      <w:szCs w:val="20"/>
                    </w:rPr>
                  </w:pPr>
                  <w:r>
                    <w:rPr>
                      <w:rFonts w:ascii="宋体" w:hAnsi="宋体" w:eastAsia="宋体" w:cs="宋体"/>
                      <w:spacing w:val="10"/>
                      <w:sz w:val="20"/>
                      <w:szCs w:val="20"/>
                    </w:rPr>
                    <w:t>噪</w:t>
                  </w:r>
                  <w:r>
                    <w:rPr>
                      <w:rFonts w:ascii="宋体" w:hAnsi="宋体" w:eastAsia="宋体" w:cs="宋体"/>
                      <w:spacing w:val="7"/>
                      <w:sz w:val="20"/>
                      <w:szCs w:val="20"/>
                    </w:rPr>
                    <w:t>声、扬尘、固废</w:t>
                  </w:r>
                </w:p>
                <w:p w14:paraId="6487A31C">
                  <w:pPr>
                    <w:spacing w:line="369" w:lineRule="auto"/>
                    <w:rPr>
                      <w:rFonts w:ascii="Arial"/>
                      <w:sz w:val="21"/>
                    </w:rPr>
                  </w:pPr>
                </w:p>
                <w:p w14:paraId="68E538B7">
                  <w:pPr>
                    <w:spacing w:before="65" w:line="230" w:lineRule="auto"/>
                    <w:ind w:left="20"/>
                    <w:rPr>
                      <w:rFonts w:ascii="宋体" w:hAnsi="宋体" w:eastAsia="宋体" w:cs="宋体"/>
                      <w:sz w:val="20"/>
                      <w:szCs w:val="20"/>
                    </w:rPr>
                  </w:pPr>
                  <w:r>
                    <w:rPr>
                      <w:rFonts w:ascii="宋体" w:hAnsi="宋体" w:eastAsia="宋体" w:cs="宋体"/>
                      <w:spacing w:val="9"/>
                      <w:sz w:val="20"/>
                      <w:szCs w:val="20"/>
                    </w:rPr>
                    <w:t>扬尘、固废、噪</w:t>
                  </w:r>
                  <w:r>
                    <w:rPr>
                      <w:rFonts w:ascii="宋体" w:hAnsi="宋体" w:eastAsia="宋体" w:cs="宋体"/>
                      <w:spacing w:val="7"/>
                      <w:sz w:val="20"/>
                      <w:szCs w:val="20"/>
                    </w:rPr>
                    <w:t>声</w:t>
                  </w:r>
                </w:p>
                <w:p w14:paraId="7953DE5E">
                  <w:pPr>
                    <w:spacing w:line="241" w:lineRule="auto"/>
                    <w:rPr>
                      <w:rFonts w:ascii="Arial"/>
                      <w:sz w:val="21"/>
                    </w:rPr>
                  </w:pPr>
                </w:p>
                <w:p w14:paraId="42F2FDB8">
                  <w:pPr>
                    <w:spacing w:line="241" w:lineRule="auto"/>
                    <w:rPr>
                      <w:rFonts w:ascii="Arial"/>
                      <w:sz w:val="21"/>
                    </w:rPr>
                  </w:pPr>
                </w:p>
                <w:p w14:paraId="1ECFDDD4">
                  <w:pPr>
                    <w:spacing w:before="65" w:line="228" w:lineRule="auto"/>
                    <w:ind w:left="97"/>
                    <w:rPr>
                      <w:rFonts w:ascii="宋体" w:hAnsi="宋体" w:eastAsia="宋体" w:cs="宋体"/>
                      <w:sz w:val="20"/>
                      <w:szCs w:val="20"/>
                    </w:rPr>
                  </w:pPr>
                  <w:r>
                    <w:rPr>
                      <w:rFonts w:ascii="宋体" w:hAnsi="宋体" w:eastAsia="宋体" w:cs="宋体"/>
                      <w:spacing w:val="10"/>
                      <w:sz w:val="20"/>
                      <w:szCs w:val="20"/>
                    </w:rPr>
                    <w:t>噪</w:t>
                  </w:r>
                  <w:r>
                    <w:rPr>
                      <w:rFonts w:ascii="宋体" w:hAnsi="宋体" w:eastAsia="宋体" w:cs="宋体"/>
                      <w:spacing w:val="7"/>
                      <w:sz w:val="20"/>
                      <w:szCs w:val="20"/>
                    </w:rPr>
                    <w:t>声、固废、扬尘</w:t>
                  </w:r>
                </w:p>
                <w:p w14:paraId="2C205E3D">
                  <w:pPr>
                    <w:spacing w:line="443" w:lineRule="auto"/>
                    <w:rPr>
                      <w:rFonts w:ascii="Arial"/>
                      <w:sz w:val="21"/>
                    </w:rPr>
                  </w:pPr>
                </w:p>
                <w:p w14:paraId="7A7AEC69">
                  <w:pPr>
                    <w:spacing w:before="65" w:line="228" w:lineRule="auto"/>
                    <w:ind w:left="97"/>
                    <w:rPr>
                      <w:rFonts w:ascii="宋体" w:hAnsi="宋体" w:eastAsia="宋体" w:cs="宋体"/>
                      <w:sz w:val="20"/>
                      <w:szCs w:val="20"/>
                    </w:rPr>
                  </w:pPr>
                  <w:r>
                    <w:rPr>
                      <w:rFonts w:ascii="宋体" w:hAnsi="宋体" w:eastAsia="宋体" w:cs="宋体"/>
                      <w:spacing w:val="10"/>
                      <w:sz w:val="20"/>
                      <w:szCs w:val="20"/>
                    </w:rPr>
                    <w:t>噪</w:t>
                  </w:r>
                  <w:r>
                    <w:rPr>
                      <w:rFonts w:ascii="宋体" w:hAnsi="宋体" w:eastAsia="宋体" w:cs="宋体"/>
                      <w:spacing w:val="7"/>
                      <w:sz w:val="20"/>
                      <w:szCs w:val="20"/>
                    </w:rPr>
                    <w:t>声、固废、扬尘</w:t>
                  </w:r>
                </w:p>
                <w:p w14:paraId="478C3DC2">
                  <w:pPr>
                    <w:spacing w:line="388" w:lineRule="auto"/>
                    <w:rPr>
                      <w:rFonts w:ascii="Arial"/>
                      <w:sz w:val="21"/>
                    </w:rPr>
                  </w:pPr>
                </w:p>
                <w:p w14:paraId="6817B0AA">
                  <w:pPr>
                    <w:spacing w:before="65" w:line="228" w:lineRule="auto"/>
                    <w:ind w:left="97"/>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p w14:paraId="1FE3F72B">
                  <w:pPr>
                    <w:spacing w:line="431" w:lineRule="auto"/>
                    <w:rPr>
                      <w:rFonts w:ascii="Arial"/>
                      <w:sz w:val="21"/>
                    </w:rPr>
                  </w:pPr>
                </w:p>
                <w:p w14:paraId="3E62B2DC">
                  <w:pPr>
                    <w:spacing w:before="66" w:line="228" w:lineRule="auto"/>
                    <w:ind w:left="71"/>
                    <w:rPr>
                      <w:rFonts w:ascii="宋体" w:hAnsi="宋体" w:eastAsia="宋体" w:cs="宋体"/>
                      <w:sz w:val="20"/>
                      <w:szCs w:val="20"/>
                    </w:rPr>
                  </w:pPr>
                  <w:r>
                    <w:rPr>
                      <w:rFonts w:ascii="宋体" w:hAnsi="宋体" w:eastAsia="宋体" w:cs="宋体"/>
                      <w:spacing w:val="6"/>
                      <w:sz w:val="20"/>
                      <w:szCs w:val="20"/>
                    </w:rPr>
                    <w:t>噪声、固废</w:t>
                  </w:r>
                </w:p>
                <w:p w14:paraId="69EEE753">
                  <w:pPr>
                    <w:spacing w:line="376" w:lineRule="auto"/>
                    <w:rPr>
                      <w:rFonts w:ascii="Arial"/>
                      <w:sz w:val="21"/>
                    </w:rPr>
                  </w:pPr>
                </w:p>
                <w:p w14:paraId="18BFD0C4">
                  <w:pPr>
                    <w:spacing w:before="66" w:line="228" w:lineRule="auto"/>
                    <w:ind w:left="124"/>
                    <w:rPr>
                      <w:rFonts w:ascii="宋体" w:hAnsi="宋体" w:eastAsia="宋体" w:cs="宋体"/>
                      <w:sz w:val="20"/>
                      <w:szCs w:val="20"/>
                    </w:rPr>
                  </w:pPr>
                  <w:r>
                    <w:rPr>
                      <w:rFonts w:ascii="宋体" w:hAnsi="宋体" w:eastAsia="宋体" w:cs="宋体"/>
                      <w:spacing w:val="6"/>
                      <w:sz w:val="20"/>
                      <w:szCs w:val="20"/>
                    </w:rPr>
                    <w:t>噪声、固废</w:t>
                  </w:r>
                </w:p>
              </w:txbxContent>
            </v:textbox>
          </v:shape>
        </w:pict>
      </w:r>
      <w:r>
        <w:drawing>
          <wp:anchor distT="0" distB="0" distL="0" distR="0" simplePos="0" relativeHeight="251789312" behindDoc="0" locked="0" layoutInCell="0" allowOverlap="1">
            <wp:simplePos x="0" y="0"/>
            <wp:positionH relativeFrom="page">
              <wp:posOffset>4109720</wp:posOffset>
            </wp:positionH>
            <wp:positionV relativeFrom="page">
              <wp:posOffset>4554220</wp:posOffset>
            </wp:positionV>
            <wp:extent cx="244475" cy="2286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435"/>
                    <a:stretch>
                      <a:fillRect/>
                    </a:stretch>
                  </pic:blipFill>
                  <pic:spPr>
                    <a:xfrm>
                      <a:off x="0" y="0"/>
                      <a:ext cx="244500" cy="22643"/>
                    </a:xfrm>
                    <a:prstGeom prst="rect">
                      <a:avLst/>
                    </a:prstGeom>
                  </pic:spPr>
                </pic:pic>
              </a:graphicData>
            </a:graphic>
          </wp:anchor>
        </w:drawing>
      </w:r>
      <w:r>
        <w:drawing>
          <wp:anchor distT="0" distB="0" distL="0" distR="0" simplePos="0" relativeHeight="251782144" behindDoc="0" locked="0" layoutInCell="0" allowOverlap="1">
            <wp:simplePos x="0" y="0"/>
            <wp:positionH relativeFrom="page">
              <wp:posOffset>4370070</wp:posOffset>
            </wp:positionH>
            <wp:positionV relativeFrom="page">
              <wp:posOffset>4527550</wp:posOffset>
            </wp:positionV>
            <wp:extent cx="99695" cy="762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36"/>
                    <a:stretch>
                      <a:fillRect/>
                    </a:stretch>
                  </pic:blipFill>
                  <pic:spPr>
                    <a:xfrm>
                      <a:off x="0" y="0"/>
                      <a:ext cx="99707" cy="76200"/>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4111625</wp:posOffset>
            </wp:positionH>
            <wp:positionV relativeFrom="page">
              <wp:posOffset>4992370</wp:posOffset>
            </wp:positionV>
            <wp:extent cx="244475" cy="22225"/>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437"/>
                    <a:stretch>
                      <a:fillRect/>
                    </a:stretch>
                  </pic:blipFill>
                  <pic:spPr>
                    <a:xfrm>
                      <a:off x="0" y="0"/>
                      <a:ext cx="244475" cy="22225"/>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4371975</wp:posOffset>
            </wp:positionH>
            <wp:positionV relativeFrom="page">
              <wp:posOffset>4965700</wp:posOffset>
            </wp:positionV>
            <wp:extent cx="99695" cy="762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38"/>
                    <a:stretch>
                      <a:fillRect/>
                    </a:stretch>
                  </pic:blipFill>
                  <pic:spPr>
                    <a:xfrm>
                      <a:off x="0" y="0"/>
                      <a:ext cx="99695" cy="76200"/>
                    </a:xfrm>
                    <a:prstGeom prst="rect">
                      <a:avLst/>
                    </a:prstGeom>
                  </pic:spPr>
                </pic:pic>
              </a:graphicData>
            </a:graphic>
          </wp:anchor>
        </w:drawing>
      </w:r>
      <w:r>
        <w:drawing>
          <wp:anchor distT="0" distB="0" distL="0" distR="0" simplePos="0" relativeHeight="251792384" behindDoc="0" locked="0" layoutInCell="0" allowOverlap="1">
            <wp:simplePos x="0" y="0"/>
            <wp:positionH relativeFrom="page">
              <wp:posOffset>4117340</wp:posOffset>
            </wp:positionH>
            <wp:positionV relativeFrom="page">
              <wp:posOffset>5485130</wp:posOffset>
            </wp:positionV>
            <wp:extent cx="244475" cy="22225"/>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439"/>
                    <a:stretch>
                      <a:fillRect/>
                    </a:stretch>
                  </pic:blipFill>
                  <pic:spPr>
                    <a:xfrm>
                      <a:off x="0" y="0"/>
                      <a:ext cx="244474" cy="22225"/>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4377690</wp:posOffset>
            </wp:positionH>
            <wp:positionV relativeFrom="page">
              <wp:posOffset>5457825</wp:posOffset>
            </wp:positionV>
            <wp:extent cx="99695" cy="762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40"/>
                    <a:stretch>
                      <a:fillRect/>
                    </a:stretch>
                  </pic:blipFill>
                  <pic:spPr>
                    <a:xfrm>
                      <a:off x="0" y="0"/>
                      <a:ext cx="99694" cy="76200"/>
                    </a:xfrm>
                    <a:prstGeom prst="rect">
                      <a:avLst/>
                    </a:prstGeom>
                  </pic:spPr>
                </pic:pic>
              </a:graphicData>
            </a:graphic>
          </wp:anchor>
        </w:drawing>
      </w:r>
      <w:r>
        <w:drawing>
          <wp:anchor distT="0" distB="0" distL="0" distR="0" simplePos="0" relativeHeight="251790336" behindDoc="0" locked="0" layoutInCell="0" allowOverlap="1">
            <wp:simplePos x="0" y="0"/>
            <wp:positionH relativeFrom="page">
              <wp:posOffset>4108450</wp:posOffset>
            </wp:positionH>
            <wp:positionV relativeFrom="page">
              <wp:posOffset>5955030</wp:posOffset>
            </wp:positionV>
            <wp:extent cx="244475" cy="22225"/>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441"/>
                    <a:stretch>
                      <a:fillRect/>
                    </a:stretch>
                  </pic:blipFill>
                  <pic:spPr>
                    <a:xfrm>
                      <a:off x="0" y="0"/>
                      <a:ext cx="244475" cy="22225"/>
                    </a:xfrm>
                    <a:prstGeom prst="rect">
                      <a:avLst/>
                    </a:prstGeom>
                  </pic:spPr>
                </pic:pic>
              </a:graphicData>
            </a:graphic>
          </wp:anchor>
        </w:drawing>
      </w:r>
      <w:r>
        <w:drawing>
          <wp:anchor distT="0" distB="0" distL="0" distR="0" simplePos="0" relativeHeight="251787264" behindDoc="0" locked="0" layoutInCell="0" allowOverlap="1">
            <wp:simplePos x="0" y="0"/>
            <wp:positionH relativeFrom="page">
              <wp:posOffset>4368800</wp:posOffset>
            </wp:positionH>
            <wp:positionV relativeFrom="page">
              <wp:posOffset>5927725</wp:posOffset>
            </wp:positionV>
            <wp:extent cx="99695" cy="7620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42"/>
                    <a:stretch>
                      <a:fillRect/>
                    </a:stretch>
                  </pic:blipFill>
                  <pic:spPr>
                    <a:xfrm>
                      <a:off x="0" y="0"/>
                      <a:ext cx="99694" cy="76200"/>
                    </a:xfrm>
                    <a:prstGeom prst="rect">
                      <a:avLst/>
                    </a:prstGeom>
                  </pic:spPr>
                </pic:pic>
              </a:graphicData>
            </a:graphic>
          </wp:anchor>
        </w:drawing>
      </w:r>
      <w:r>
        <w:drawing>
          <wp:anchor distT="0" distB="0" distL="0" distR="0" simplePos="0" relativeHeight="251791360" behindDoc="0" locked="0" layoutInCell="0" allowOverlap="1">
            <wp:simplePos x="0" y="0"/>
            <wp:positionH relativeFrom="page">
              <wp:posOffset>4108450</wp:posOffset>
            </wp:positionH>
            <wp:positionV relativeFrom="page">
              <wp:posOffset>6413500</wp:posOffset>
            </wp:positionV>
            <wp:extent cx="244475" cy="22225"/>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443"/>
                    <a:stretch>
                      <a:fillRect/>
                    </a:stretch>
                  </pic:blipFill>
                  <pic:spPr>
                    <a:xfrm>
                      <a:off x="0" y="0"/>
                      <a:ext cx="244475" cy="22225"/>
                    </a:xfrm>
                    <a:prstGeom prst="rect">
                      <a:avLst/>
                    </a:prstGeom>
                  </pic:spPr>
                </pic:pic>
              </a:graphicData>
            </a:graphic>
          </wp:anchor>
        </w:drawing>
      </w:r>
      <w:r>
        <w:drawing>
          <wp:anchor distT="0" distB="0" distL="0" distR="0" simplePos="0" relativeHeight="251786240" behindDoc="0" locked="0" layoutInCell="0" allowOverlap="1">
            <wp:simplePos x="0" y="0"/>
            <wp:positionH relativeFrom="page">
              <wp:posOffset>4368800</wp:posOffset>
            </wp:positionH>
            <wp:positionV relativeFrom="page">
              <wp:posOffset>6386195</wp:posOffset>
            </wp:positionV>
            <wp:extent cx="99695" cy="762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44"/>
                    <a:stretch>
                      <a:fillRect/>
                    </a:stretch>
                  </pic:blipFill>
                  <pic:spPr>
                    <a:xfrm>
                      <a:off x="0" y="0"/>
                      <a:ext cx="99694" cy="76200"/>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4105910</wp:posOffset>
            </wp:positionH>
            <wp:positionV relativeFrom="page">
              <wp:posOffset>6879590</wp:posOffset>
            </wp:positionV>
            <wp:extent cx="244475" cy="22225"/>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445"/>
                    <a:stretch>
                      <a:fillRect/>
                    </a:stretch>
                  </pic:blipFill>
                  <pic:spPr>
                    <a:xfrm>
                      <a:off x="0" y="0"/>
                      <a:ext cx="244475" cy="22225"/>
                    </a:xfrm>
                    <a:prstGeom prst="rect">
                      <a:avLst/>
                    </a:prstGeom>
                  </pic:spPr>
                </pic:pic>
              </a:graphicData>
            </a:graphic>
          </wp:anchor>
        </w:drawing>
      </w:r>
      <w:r>
        <w:drawing>
          <wp:anchor distT="0" distB="0" distL="0" distR="0" simplePos="0" relativeHeight="251788288" behindDoc="0" locked="0" layoutInCell="0" allowOverlap="1">
            <wp:simplePos x="0" y="0"/>
            <wp:positionH relativeFrom="page">
              <wp:posOffset>4366260</wp:posOffset>
            </wp:positionH>
            <wp:positionV relativeFrom="page">
              <wp:posOffset>6852285</wp:posOffset>
            </wp:positionV>
            <wp:extent cx="99060" cy="762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46"/>
                    <a:stretch>
                      <a:fillRect/>
                    </a:stretch>
                  </pic:blipFill>
                  <pic:spPr>
                    <a:xfrm>
                      <a:off x="0" y="0"/>
                      <a:ext cx="99060" cy="76200"/>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4109720</wp:posOffset>
            </wp:positionH>
            <wp:positionV relativeFrom="page">
              <wp:posOffset>7336790</wp:posOffset>
            </wp:positionV>
            <wp:extent cx="244475" cy="22225"/>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447"/>
                    <a:stretch>
                      <a:fillRect/>
                    </a:stretch>
                  </pic:blipFill>
                  <pic:spPr>
                    <a:xfrm>
                      <a:off x="0" y="0"/>
                      <a:ext cx="244474" cy="22225"/>
                    </a:xfrm>
                    <a:prstGeom prst="rect">
                      <a:avLst/>
                    </a:prstGeom>
                  </pic:spPr>
                </pic:pic>
              </a:graphicData>
            </a:graphic>
          </wp:anchor>
        </w:drawing>
      </w:r>
      <w:r>
        <w:drawing>
          <wp:anchor distT="0" distB="0" distL="0" distR="0" simplePos="0" relativeHeight="251784192" behindDoc="0" locked="0" layoutInCell="0" allowOverlap="1">
            <wp:simplePos x="0" y="0"/>
            <wp:positionH relativeFrom="page">
              <wp:posOffset>4370070</wp:posOffset>
            </wp:positionH>
            <wp:positionV relativeFrom="page">
              <wp:posOffset>7309485</wp:posOffset>
            </wp:positionV>
            <wp:extent cx="99695" cy="762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48"/>
                    <a:stretch>
                      <a:fillRect/>
                    </a:stretch>
                  </pic:blipFill>
                  <pic:spPr>
                    <a:xfrm>
                      <a:off x="0" y="0"/>
                      <a:ext cx="99694" cy="76200"/>
                    </a:xfrm>
                    <a:prstGeom prst="rect">
                      <a:avLst/>
                    </a:prstGeom>
                  </pic:spPr>
                </pic:pic>
              </a:graphicData>
            </a:graphic>
          </wp:anchor>
        </w:drawing>
      </w:r>
    </w:p>
    <w:p w14:paraId="27B5932D">
      <w:pPr>
        <w:spacing w:before="94" w:line="226" w:lineRule="auto"/>
        <w:ind w:left="18"/>
        <w:outlineLvl w:val="2"/>
        <w:rPr>
          <w:rFonts w:ascii="宋体" w:hAnsi="宋体" w:eastAsia="宋体" w:cs="宋体"/>
          <w:sz w:val="29"/>
          <w:szCs w:val="29"/>
        </w:rPr>
      </w:pPr>
      <w:r>
        <w:rPr>
          <w:rFonts w:ascii="Times New Roman" w:hAnsi="Times New Roman" w:eastAsia="Times New Roman" w:cs="Times New Roman"/>
          <w:b/>
          <w:bCs/>
          <w:spacing w:val="13"/>
          <w:sz w:val="29"/>
          <w:szCs w:val="29"/>
        </w:rPr>
        <w:t>3</w:t>
      </w:r>
      <w:r>
        <w:rPr>
          <w:rFonts w:ascii="Times New Roman" w:hAnsi="Times New Roman" w:eastAsia="Times New Roman" w:cs="Times New Roman"/>
          <w:b/>
          <w:bCs/>
          <w:spacing w:val="7"/>
          <w:sz w:val="29"/>
          <w:szCs w:val="29"/>
        </w:rPr>
        <w:t>.1.7</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劳动定员及工作制度</w:t>
      </w:r>
    </w:p>
    <w:p w14:paraId="7C536639">
      <w:pPr>
        <w:spacing w:line="257" w:lineRule="auto"/>
        <w:rPr>
          <w:rFonts w:ascii="Arial"/>
          <w:sz w:val="21"/>
        </w:rPr>
      </w:pPr>
    </w:p>
    <w:p w14:paraId="55F541DB">
      <w:pPr>
        <w:spacing w:before="74" w:line="227" w:lineRule="auto"/>
        <w:ind w:left="507"/>
        <w:rPr>
          <w:rFonts w:ascii="宋体" w:hAnsi="宋体" w:eastAsia="宋体" w:cs="宋体"/>
          <w:sz w:val="23"/>
          <w:szCs w:val="23"/>
        </w:rPr>
      </w:pPr>
      <w:r>
        <w:rPr>
          <w:rFonts w:ascii="宋体" w:hAnsi="宋体" w:eastAsia="宋体" w:cs="宋体"/>
          <w:spacing w:val="14"/>
          <w:sz w:val="23"/>
          <w:szCs w:val="23"/>
        </w:rPr>
        <w:t>项目</w:t>
      </w:r>
      <w:r>
        <w:rPr>
          <w:rFonts w:ascii="宋体" w:hAnsi="宋体" w:eastAsia="宋体" w:cs="宋体"/>
          <w:spacing w:val="9"/>
          <w:sz w:val="23"/>
          <w:szCs w:val="23"/>
        </w:rPr>
        <w:t>劳</w:t>
      </w:r>
      <w:r>
        <w:rPr>
          <w:rFonts w:ascii="宋体" w:hAnsi="宋体" w:eastAsia="宋体" w:cs="宋体"/>
          <w:spacing w:val="7"/>
          <w:sz w:val="23"/>
          <w:szCs w:val="23"/>
        </w:rPr>
        <w:t xml:space="preserve">动定员 </w:t>
      </w:r>
      <w:r>
        <w:rPr>
          <w:rFonts w:ascii="Times New Roman" w:hAnsi="Times New Roman" w:eastAsia="Times New Roman" w:cs="Times New Roman"/>
          <w:spacing w:val="7"/>
          <w:sz w:val="23"/>
          <w:szCs w:val="23"/>
        </w:rPr>
        <w:t xml:space="preserve">80 </w:t>
      </w:r>
      <w:r>
        <w:rPr>
          <w:rFonts w:ascii="宋体" w:hAnsi="宋体" w:eastAsia="宋体" w:cs="宋体"/>
          <w:spacing w:val="7"/>
          <w:sz w:val="23"/>
          <w:szCs w:val="23"/>
        </w:rPr>
        <w:t>人。采用</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 xml:space="preserve">班工作制，每班 </w:t>
      </w:r>
      <w:r>
        <w:rPr>
          <w:rFonts w:ascii="Times New Roman" w:hAnsi="Times New Roman" w:eastAsia="Times New Roman" w:cs="Times New Roman"/>
          <w:spacing w:val="7"/>
          <w:sz w:val="23"/>
          <w:szCs w:val="23"/>
        </w:rPr>
        <w:t xml:space="preserve">12 </w:t>
      </w:r>
      <w:r>
        <w:rPr>
          <w:rFonts w:ascii="宋体" w:hAnsi="宋体" w:eastAsia="宋体" w:cs="宋体"/>
          <w:spacing w:val="7"/>
          <w:sz w:val="23"/>
          <w:szCs w:val="23"/>
        </w:rPr>
        <w:t>小时，全年运营</w:t>
      </w:r>
      <w:r>
        <w:rPr>
          <w:rFonts w:ascii="Times New Roman" w:hAnsi="Times New Roman" w:eastAsia="Times New Roman" w:cs="Times New Roman"/>
          <w:spacing w:val="7"/>
          <w:sz w:val="23"/>
          <w:szCs w:val="23"/>
        </w:rPr>
        <w:t xml:space="preserve">300 </w:t>
      </w:r>
      <w:r>
        <w:rPr>
          <w:rFonts w:ascii="宋体" w:hAnsi="宋体" w:eastAsia="宋体" w:cs="宋体"/>
          <w:spacing w:val="7"/>
          <w:sz w:val="23"/>
          <w:szCs w:val="23"/>
        </w:rPr>
        <w:t>天。</w:t>
      </w:r>
    </w:p>
    <w:p w14:paraId="5F2B5A2F">
      <w:pPr>
        <w:spacing w:before="300" w:line="226" w:lineRule="auto"/>
        <w:ind w:left="18"/>
        <w:outlineLvl w:val="2"/>
        <w:rPr>
          <w:rFonts w:ascii="宋体" w:hAnsi="宋体" w:eastAsia="宋体" w:cs="宋体"/>
          <w:sz w:val="29"/>
          <w:szCs w:val="29"/>
        </w:rPr>
      </w:pPr>
      <w:r>
        <w:rPr>
          <w:rFonts w:ascii="Times New Roman" w:hAnsi="Times New Roman" w:eastAsia="Times New Roman" w:cs="Times New Roman"/>
          <w:b/>
          <w:bCs/>
          <w:spacing w:val="8"/>
          <w:sz w:val="29"/>
          <w:szCs w:val="29"/>
        </w:rPr>
        <w:t>3.1.8</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项目运输方式及运输路</w:t>
      </w:r>
      <w:r>
        <w:rPr>
          <w:rFonts w:ascii="宋体" w:hAnsi="宋体" w:eastAsia="宋体" w:cs="宋体"/>
          <w:spacing w:val="4"/>
          <w:sz w:val="29"/>
          <w:szCs w:val="29"/>
          <w14:textOutline w14:w="5448" w14:cap="sq" w14:cmpd="sng">
            <w14:solidFill>
              <w14:srgbClr w14:val="000000"/>
            </w14:solidFill>
            <w14:prstDash w14:val="solid"/>
            <w14:bevel/>
          </w14:textOutline>
        </w:rPr>
        <w:t>线</w:t>
      </w:r>
    </w:p>
    <w:p w14:paraId="3F5E62F3">
      <w:pPr>
        <w:spacing w:before="316" w:line="227" w:lineRule="auto"/>
        <w:ind w:left="506"/>
        <w:rPr>
          <w:rFonts w:ascii="宋体" w:hAnsi="宋体" w:eastAsia="宋体" w:cs="宋体"/>
          <w:sz w:val="23"/>
          <w:szCs w:val="23"/>
        </w:rPr>
      </w:pPr>
      <w:r>
        <w:rPr>
          <w:rFonts w:ascii="宋体" w:hAnsi="宋体" w:eastAsia="宋体" w:cs="宋体"/>
          <w:spacing w:val="9"/>
          <w:sz w:val="23"/>
          <w:szCs w:val="23"/>
        </w:rPr>
        <w:t>厂区西侧紧邻沈本线，输方式采用汽车，运输方便。</w:t>
      </w:r>
    </w:p>
    <w:p w14:paraId="57EAF2C0">
      <w:pPr>
        <w:spacing w:before="284" w:line="225" w:lineRule="auto"/>
        <w:ind w:left="19"/>
        <w:outlineLvl w:val="1"/>
        <w:rPr>
          <w:rFonts w:ascii="宋体" w:hAnsi="宋体" w:eastAsia="宋体" w:cs="宋体"/>
          <w:sz w:val="31"/>
          <w:szCs w:val="31"/>
        </w:rPr>
      </w:pPr>
      <w:bookmarkStart w:id="16" w:name="_bookmark17"/>
      <w:bookmarkEnd w:id="16"/>
      <w:r>
        <w:rPr>
          <w:rFonts w:ascii="Times New Roman" w:hAnsi="Times New Roman" w:eastAsia="Times New Roman" w:cs="Times New Roman"/>
          <w:b/>
          <w:bCs/>
          <w:spacing w:val="7"/>
          <w:sz w:val="31"/>
          <w:szCs w:val="31"/>
        </w:rPr>
        <w:t>3</w:t>
      </w:r>
      <w:r>
        <w:rPr>
          <w:rFonts w:ascii="Times New Roman" w:hAnsi="Times New Roman" w:eastAsia="Times New Roman" w:cs="Times New Roman"/>
          <w:b/>
          <w:bCs/>
          <w:spacing w:val="6"/>
          <w:sz w:val="31"/>
          <w:szCs w:val="31"/>
        </w:rPr>
        <w:t>.2</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工程分析</w:t>
      </w:r>
    </w:p>
    <w:p w14:paraId="739CC008">
      <w:pPr>
        <w:spacing w:before="274" w:line="226" w:lineRule="auto"/>
        <w:ind w:left="18"/>
        <w:outlineLvl w:val="2"/>
        <w:rPr>
          <w:rFonts w:ascii="宋体" w:hAnsi="宋体" w:eastAsia="宋体" w:cs="宋体"/>
          <w:sz w:val="29"/>
          <w:szCs w:val="29"/>
        </w:rPr>
      </w:pPr>
      <w:r>
        <w:rPr>
          <w:rFonts w:ascii="Times New Roman" w:hAnsi="Times New Roman" w:eastAsia="Times New Roman" w:cs="Times New Roman"/>
          <w:b/>
          <w:bCs/>
          <w:spacing w:val="7"/>
          <w:sz w:val="29"/>
          <w:szCs w:val="29"/>
        </w:rPr>
        <w:t>3.2.1</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施工期工程分</w:t>
      </w:r>
      <w:r>
        <w:rPr>
          <w:rFonts w:ascii="宋体" w:hAnsi="宋体" w:eastAsia="宋体" w:cs="宋体"/>
          <w:spacing w:val="5"/>
          <w:sz w:val="29"/>
          <w:szCs w:val="29"/>
          <w14:textOutline w14:w="5448" w14:cap="sq" w14:cmpd="sng">
            <w14:solidFill>
              <w14:srgbClr w14:val="000000"/>
            </w14:solidFill>
            <w14:prstDash w14:val="solid"/>
            <w14:bevel/>
          </w14:textOutline>
        </w:rPr>
        <w:t>析</w:t>
      </w:r>
    </w:p>
    <w:p w14:paraId="7285CFED">
      <w:pPr>
        <w:spacing w:before="297" w:line="221" w:lineRule="auto"/>
        <w:ind w:left="18"/>
        <w:outlineLvl w:val="1"/>
        <w:rPr>
          <w:rFonts w:ascii="宋体" w:hAnsi="宋体" w:eastAsia="宋体" w:cs="宋体"/>
          <w:sz w:val="28"/>
          <w:szCs w:val="28"/>
        </w:rPr>
      </w:pPr>
      <w:r>
        <w:rPr>
          <w:rFonts w:ascii="Times New Roman" w:hAnsi="Times New Roman" w:eastAsia="Times New Roman" w:cs="Times New Roman"/>
          <w:b/>
          <w:bCs/>
          <w:spacing w:val="10"/>
          <w:sz w:val="28"/>
          <w:szCs w:val="28"/>
        </w:rPr>
        <w:t>3</w:t>
      </w:r>
      <w:r>
        <w:rPr>
          <w:rFonts w:ascii="Times New Roman" w:hAnsi="Times New Roman" w:eastAsia="Times New Roman" w:cs="Times New Roman"/>
          <w:b/>
          <w:bCs/>
          <w:spacing w:val="8"/>
          <w:sz w:val="28"/>
          <w:szCs w:val="28"/>
        </w:rPr>
        <w:t>.2.2.1</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施工期工艺流程</w:t>
      </w:r>
    </w:p>
    <w:p w14:paraId="67239AF0">
      <w:pPr>
        <w:spacing w:line="260" w:lineRule="auto"/>
        <w:rPr>
          <w:rFonts w:ascii="Arial"/>
          <w:sz w:val="21"/>
        </w:rPr>
      </w:pPr>
    </w:p>
    <w:p w14:paraId="0672BC1C">
      <w:pPr>
        <w:spacing w:before="74" w:line="480" w:lineRule="exact"/>
        <w:ind w:left="612"/>
        <w:rPr>
          <w:rFonts w:ascii="宋体" w:hAnsi="宋体" w:eastAsia="宋体" w:cs="宋体"/>
          <w:sz w:val="23"/>
          <w:szCs w:val="23"/>
        </w:rPr>
      </w:pPr>
      <w:r>
        <w:rPr>
          <w:rFonts w:ascii="宋体" w:hAnsi="宋体" w:eastAsia="宋体" w:cs="宋体"/>
          <w:spacing w:val="11"/>
          <w:position w:val="18"/>
          <w:sz w:val="23"/>
          <w:szCs w:val="23"/>
        </w:rPr>
        <w:t>该项目施工期需对闲置办公用房进行翻新，并将原来生产厂房扩建，同</w:t>
      </w:r>
      <w:r>
        <w:rPr>
          <w:rFonts w:ascii="宋体" w:hAnsi="宋体" w:eastAsia="宋体" w:cs="宋体"/>
          <w:spacing w:val="6"/>
          <w:position w:val="18"/>
          <w:sz w:val="23"/>
          <w:szCs w:val="23"/>
        </w:rPr>
        <w:t>时</w:t>
      </w:r>
    </w:p>
    <w:p w14:paraId="35F93933">
      <w:pPr>
        <w:spacing w:before="1" w:line="227" w:lineRule="auto"/>
        <w:ind w:left="23"/>
        <w:rPr>
          <w:rFonts w:ascii="宋体" w:hAnsi="宋体" w:eastAsia="宋体" w:cs="宋体"/>
          <w:sz w:val="23"/>
          <w:szCs w:val="23"/>
        </w:rPr>
      </w:pPr>
      <w:r>
        <w:rPr>
          <w:rFonts w:ascii="宋体" w:hAnsi="宋体" w:eastAsia="宋体" w:cs="宋体"/>
          <w:spacing w:val="2"/>
          <w:sz w:val="23"/>
          <w:szCs w:val="23"/>
        </w:rPr>
        <w:t xml:space="preserve">做好厂区防渗处理，则生产厂房涉及土建工程，施工期工艺流程如下图 </w:t>
      </w:r>
      <w:r>
        <w:rPr>
          <w:rFonts w:ascii="Times New Roman" w:hAnsi="Times New Roman" w:eastAsia="Times New Roman" w:cs="Times New Roman"/>
          <w:spacing w:val="2"/>
          <w:sz w:val="23"/>
          <w:szCs w:val="23"/>
        </w:rPr>
        <w:t xml:space="preserve">3-2 </w:t>
      </w:r>
      <w:r>
        <w:rPr>
          <w:rFonts w:ascii="宋体" w:hAnsi="宋体" w:eastAsia="宋体" w:cs="宋体"/>
          <w:spacing w:val="2"/>
          <w:sz w:val="23"/>
          <w:szCs w:val="23"/>
        </w:rPr>
        <w:t>所示。</w:t>
      </w:r>
    </w:p>
    <w:p w14:paraId="6904C563">
      <w:pPr>
        <w:spacing w:line="120" w:lineRule="exact"/>
      </w:pPr>
    </w:p>
    <w:tbl>
      <w:tblPr>
        <w:tblStyle w:val="4"/>
        <w:tblW w:w="1821" w:type="dxa"/>
        <w:tblInd w:w="285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2AF3C87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3" w:hRule="atLeast"/>
        </w:trPr>
        <w:tc>
          <w:tcPr>
            <w:tcW w:w="1821" w:type="dxa"/>
            <w:vAlign w:val="top"/>
          </w:tcPr>
          <w:p w14:paraId="7FDDC87B">
            <w:pPr>
              <w:spacing w:before="100" w:line="228" w:lineRule="auto"/>
              <w:ind w:left="426"/>
              <w:rPr>
                <w:rFonts w:ascii="宋体" w:hAnsi="宋体" w:eastAsia="宋体" w:cs="宋体"/>
                <w:sz w:val="23"/>
                <w:szCs w:val="23"/>
              </w:rPr>
            </w:pPr>
            <w:r>
              <w:rPr>
                <w:rFonts w:ascii="宋体" w:hAnsi="宋体" w:eastAsia="宋体" w:cs="宋体"/>
                <w:spacing w:val="8"/>
                <w:sz w:val="23"/>
                <w:szCs w:val="23"/>
              </w:rPr>
              <w:t>平整场</w:t>
            </w:r>
            <w:r>
              <w:rPr>
                <w:rFonts w:ascii="宋体" w:hAnsi="宋体" w:eastAsia="宋体" w:cs="宋体"/>
                <w:spacing w:val="7"/>
                <w:sz w:val="23"/>
                <w:szCs w:val="23"/>
              </w:rPr>
              <w:t>地</w:t>
            </w:r>
          </w:p>
        </w:tc>
      </w:tr>
    </w:tbl>
    <w:p w14:paraId="1C9330DA">
      <w:pPr>
        <w:spacing w:line="261" w:lineRule="exact"/>
        <w:ind w:firstLine="3725"/>
        <w:textAlignment w:val="center"/>
      </w:pPr>
      <w:r>
        <w:drawing>
          <wp:inline distT="0" distB="0" distL="0" distR="0">
            <wp:extent cx="50800" cy="16573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449"/>
                    <a:stretch>
                      <a:fillRect/>
                    </a:stretch>
                  </pic:blipFill>
                  <pic:spPr>
                    <a:xfrm>
                      <a:off x="0" y="0"/>
                      <a:ext cx="50800" cy="166071"/>
                    </a:xfrm>
                    <a:prstGeom prst="rect">
                      <a:avLst/>
                    </a:prstGeom>
                  </pic:spPr>
                </pic:pic>
              </a:graphicData>
            </a:graphic>
          </wp:inline>
        </w:drawing>
      </w:r>
    </w:p>
    <w:tbl>
      <w:tblPr>
        <w:tblStyle w:val="4"/>
        <w:tblW w:w="1821" w:type="dxa"/>
        <w:tblInd w:w="285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42171574">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4" w:hRule="atLeast"/>
        </w:trPr>
        <w:tc>
          <w:tcPr>
            <w:tcW w:w="1821" w:type="dxa"/>
            <w:vAlign w:val="top"/>
          </w:tcPr>
          <w:p w14:paraId="4991DDA9">
            <w:pPr>
              <w:spacing w:before="80" w:line="227" w:lineRule="auto"/>
              <w:ind w:left="428"/>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挖基槽</w:t>
            </w:r>
          </w:p>
        </w:tc>
      </w:tr>
    </w:tbl>
    <w:p w14:paraId="3E14E586">
      <w:pPr>
        <w:spacing w:before="19" w:line="278" w:lineRule="exact"/>
        <w:ind w:firstLine="3725"/>
        <w:textAlignment w:val="center"/>
      </w:pPr>
      <w:r>
        <w:drawing>
          <wp:inline distT="0" distB="0" distL="0" distR="0">
            <wp:extent cx="50800" cy="17589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50"/>
                    <a:stretch>
                      <a:fillRect/>
                    </a:stretch>
                  </pic:blipFill>
                  <pic:spPr>
                    <a:xfrm>
                      <a:off x="0" y="0"/>
                      <a:ext cx="50800" cy="176091"/>
                    </a:xfrm>
                    <a:prstGeom prst="rect">
                      <a:avLst/>
                    </a:prstGeom>
                  </pic:spPr>
                </pic:pic>
              </a:graphicData>
            </a:graphic>
          </wp:inline>
        </w:drawing>
      </w:r>
    </w:p>
    <w:tbl>
      <w:tblPr>
        <w:tblStyle w:val="4"/>
        <w:tblW w:w="1821" w:type="dxa"/>
        <w:tblInd w:w="2855"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647B20D0">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3" w:hRule="atLeast"/>
        </w:trPr>
        <w:tc>
          <w:tcPr>
            <w:tcW w:w="1821" w:type="dxa"/>
            <w:vAlign w:val="top"/>
          </w:tcPr>
          <w:p w14:paraId="231588E4">
            <w:pPr>
              <w:spacing w:before="99" w:line="228" w:lineRule="auto"/>
              <w:ind w:left="427"/>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础砌筑</w:t>
            </w:r>
          </w:p>
        </w:tc>
      </w:tr>
    </w:tbl>
    <w:p w14:paraId="0D134095">
      <w:pPr>
        <w:spacing w:before="6" w:line="269" w:lineRule="exact"/>
        <w:ind w:firstLine="3725"/>
        <w:textAlignment w:val="center"/>
      </w:pPr>
      <w:r>
        <w:drawing>
          <wp:inline distT="0" distB="0" distL="0" distR="0">
            <wp:extent cx="50800" cy="17018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451"/>
                    <a:stretch>
                      <a:fillRect/>
                    </a:stretch>
                  </pic:blipFill>
                  <pic:spPr>
                    <a:xfrm>
                      <a:off x="0" y="0"/>
                      <a:ext cx="50800" cy="170694"/>
                    </a:xfrm>
                    <a:prstGeom prst="rect">
                      <a:avLst/>
                    </a:prstGeom>
                  </pic:spPr>
                </pic:pic>
              </a:graphicData>
            </a:graphic>
          </wp:inline>
        </w:drawing>
      </w:r>
    </w:p>
    <w:tbl>
      <w:tblPr>
        <w:tblStyle w:val="4"/>
        <w:tblW w:w="1821" w:type="dxa"/>
        <w:tblInd w:w="285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23270174">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405" w:hRule="atLeast"/>
        </w:trPr>
        <w:tc>
          <w:tcPr>
            <w:tcW w:w="1821" w:type="dxa"/>
            <w:vAlign w:val="top"/>
          </w:tcPr>
          <w:p w14:paraId="22736062">
            <w:pPr>
              <w:spacing w:before="84" w:line="229" w:lineRule="auto"/>
              <w:ind w:left="428"/>
              <w:rPr>
                <w:rFonts w:ascii="宋体" w:hAnsi="宋体" w:eastAsia="宋体" w:cs="宋体"/>
                <w:sz w:val="23"/>
                <w:szCs w:val="23"/>
              </w:rPr>
            </w:pPr>
            <w:r>
              <w:rPr>
                <w:rFonts w:ascii="宋体" w:hAnsi="宋体" w:eastAsia="宋体" w:cs="宋体"/>
                <w:spacing w:val="7"/>
                <w:sz w:val="23"/>
                <w:szCs w:val="23"/>
              </w:rPr>
              <w:t>主体施工</w:t>
            </w:r>
          </w:p>
        </w:tc>
      </w:tr>
    </w:tbl>
    <w:p w14:paraId="4E9D4899">
      <w:pPr>
        <w:spacing w:line="263" w:lineRule="exact"/>
        <w:ind w:firstLine="3725"/>
        <w:textAlignment w:val="center"/>
      </w:pPr>
      <w:r>
        <w:drawing>
          <wp:inline distT="0" distB="0" distL="0" distR="0">
            <wp:extent cx="50800" cy="16637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51"/>
                    <a:stretch>
                      <a:fillRect/>
                    </a:stretch>
                  </pic:blipFill>
                  <pic:spPr>
                    <a:xfrm>
                      <a:off x="0" y="0"/>
                      <a:ext cx="50800" cy="166706"/>
                    </a:xfrm>
                    <a:prstGeom prst="rect">
                      <a:avLst/>
                    </a:prstGeom>
                  </pic:spPr>
                </pic:pic>
              </a:graphicData>
            </a:graphic>
          </wp:inline>
        </w:drawing>
      </w:r>
    </w:p>
    <w:tbl>
      <w:tblPr>
        <w:tblStyle w:val="4"/>
        <w:tblW w:w="1821" w:type="dxa"/>
        <w:tblInd w:w="285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29F44785">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389" w:hRule="atLeast"/>
        </w:trPr>
        <w:tc>
          <w:tcPr>
            <w:tcW w:w="1821" w:type="dxa"/>
            <w:vAlign w:val="top"/>
          </w:tcPr>
          <w:p w14:paraId="2267F59C">
            <w:pPr>
              <w:spacing w:before="82" w:line="228" w:lineRule="auto"/>
              <w:ind w:left="430"/>
              <w:rPr>
                <w:rFonts w:ascii="宋体" w:hAnsi="宋体" w:eastAsia="宋体" w:cs="宋体"/>
                <w:sz w:val="23"/>
                <w:szCs w:val="23"/>
              </w:rPr>
            </w:pPr>
            <w:r>
              <w:rPr>
                <w:rFonts w:ascii="宋体" w:hAnsi="宋体" w:eastAsia="宋体" w:cs="宋体"/>
                <w:spacing w:val="8"/>
                <w:sz w:val="23"/>
                <w:szCs w:val="23"/>
              </w:rPr>
              <w:t>设</w:t>
            </w:r>
            <w:r>
              <w:rPr>
                <w:rFonts w:ascii="宋体" w:hAnsi="宋体" w:eastAsia="宋体" w:cs="宋体"/>
                <w:spacing w:val="6"/>
                <w:sz w:val="23"/>
                <w:szCs w:val="23"/>
              </w:rPr>
              <w:t>备安装</w:t>
            </w:r>
          </w:p>
        </w:tc>
      </w:tr>
    </w:tbl>
    <w:p w14:paraId="7A8384B9">
      <w:pPr>
        <w:spacing w:line="263" w:lineRule="exact"/>
        <w:ind w:firstLine="3725"/>
        <w:textAlignment w:val="center"/>
      </w:pPr>
      <w:r>
        <w:drawing>
          <wp:inline distT="0" distB="0" distL="0" distR="0">
            <wp:extent cx="50800" cy="16700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452"/>
                    <a:stretch>
                      <a:fillRect/>
                    </a:stretch>
                  </pic:blipFill>
                  <pic:spPr>
                    <a:xfrm>
                      <a:off x="0" y="0"/>
                      <a:ext cx="50800" cy="167023"/>
                    </a:xfrm>
                    <a:prstGeom prst="rect">
                      <a:avLst/>
                    </a:prstGeom>
                  </pic:spPr>
                </pic:pic>
              </a:graphicData>
            </a:graphic>
          </wp:inline>
        </w:drawing>
      </w:r>
    </w:p>
    <w:tbl>
      <w:tblPr>
        <w:tblStyle w:val="4"/>
        <w:tblW w:w="1821" w:type="dxa"/>
        <w:tblInd w:w="285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5C2AA9AC">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421" w:hRule="atLeast"/>
        </w:trPr>
        <w:tc>
          <w:tcPr>
            <w:tcW w:w="1821" w:type="dxa"/>
            <w:vAlign w:val="top"/>
          </w:tcPr>
          <w:p w14:paraId="746A2C34">
            <w:pPr>
              <w:spacing w:before="96" w:line="228" w:lineRule="auto"/>
              <w:ind w:left="187"/>
              <w:rPr>
                <w:rFonts w:ascii="宋体" w:hAnsi="宋体" w:eastAsia="宋体" w:cs="宋体"/>
                <w:sz w:val="23"/>
                <w:szCs w:val="23"/>
              </w:rPr>
            </w:pPr>
            <w:r>
              <w:rPr>
                <w:rFonts w:ascii="宋体" w:hAnsi="宋体" w:eastAsia="宋体" w:cs="宋体"/>
                <w:spacing w:val="10"/>
                <w:sz w:val="23"/>
                <w:szCs w:val="23"/>
              </w:rPr>
              <w:t>配</w:t>
            </w:r>
            <w:r>
              <w:rPr>
                <w:rFonts w:ascii="宋体" w:hAnsi="宋体" w:eastAsia="宋体" w:cs="宋体"/>
                <w:spacing w:val="8"/>
                <w:sz w:val="23"/>
                <w:szCs w:val="23"/>
              </w:rPr>
              <w:t>套设施施工</w:t>
            </w:r>
          </w:p>
        </w:tc>
      </w:tr>
    </w:tbl>
    <w:p w14:paraId="5F83E75C">
      <w:pPr>
        <w:spacing w:line="273" w:lineRule="exact"/>
        <w:ind w:firstLine="3725"/>
        <w:textAlignment w:val="center"/>
      </w:pPr>
      <w:r>
        <w:drawing>
          <wp:inline distT="0" distB="0" distL="0" distR="0">
            <wp:extent cx="50800" cy="17335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51"/>
                    <a:stretch>
                      <a:fillRect/>
                    </a:stretch>
                  </pic:blipFill>
                  <pic:spPr>
                    <a:xfrm>
                      <a:off x="0" y="0"/>
                      <a:ext cx="50800" cy="173690"/>
                    </a:xfrm>
                    <a:prstGeom prst="rect">
                      <a:avLst/>
                    </a:prstGeom>
                  </pic:spPr>
                </pic:pic>
              </a:graphicData>
            </a:graphic>
          </wp:inline>
        </w:drawing>
      </w:r>
    </w:p>
    <w:tbl>
      <w:tblPr>
        <w:tblStyle w:val="4"/>
        <w:tblW w:w="1821" w:type="dxa"/>
        <w:tblInd w:w="285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821"/>
      </w:tblGrid>
      <w:tr w14:paraId="5942229A">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16" w:hRule="atLeast"/>
        </w:trPr>
        <w:tc>
          <w:tcPr>
            <w:tcW w:w="1821" w:type="dxa"/>
            <w:vAlign w:val="top"/>
          </w:tcPr>
          <w:p w14:paraId="3CF6D68A">
            <w:pPr>
              <w:spacing w:before="91" w:line="227" w:lineRule="auto"/>
              <w:ind w:left="428"/>
              <w:rPr>
                <w:rFonts w:ascii="宋体" w:hAnsi="宋体" w:eastAsia="宋体" w:cs="宋体"/>
                <w:sz w:val="23"/>
                <w:szCs w:val="23"/>
              </w:rPr>
            </w:pPr>
            <w:r>
              <w:rPr>
                <w:rFonts w:ascii="宋体" w:hAnsi="宋体" w:eastAsia="宋体" w:cs="宋体"/>
                <w:spacing w:val="8"/>
                <w:sz w:val="23"/>
                <w:szCs w:val="23"/>
              </w:rPr>
              <w:t>竣</w:t>
            </w:r>
            <w:r>
              <w:rPr>
                <w:rFonts w:ascii="宋体" w:hAnsi="宋体" w:eastAsia="宋体" w:cs="宋体"/>
                <w:spacing w:val="7"/>
                <w:sz w:val="23"/>
                <w:szCs w:val="23"/>
              </w:rPr>
              <w:t>工使用</w:t>
            </w:r>
          </w:p>
        </w:tc>
      </w:tr>
    </w:tbl>
    <w:p w14:paraId="39F195E5">
      <w:pPr>
        <w:rPr>
          <w:rFonts w:ascii="Arial"/>
          <w:sz w:val="21"/>
        </w:rPr>
      </w:pPr>
    </w:p>
    <w:p w14:paraId="4B4229B7">
      <w:pPr>
        <w:spacing w:before="75" w:line="228" w:lineRule="auto"/>
        <w:ind w:left="2329"/>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3"/>
          <w:sz w:val="23"/>
          <w:szCs w:val="23"/>
        </w:rPr>
        <w:t>3-2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施工期工艺及污染节点图</w:t>
      </w:r>
    </w:p>
    <w:p w14:paraId="4E2C72AB">
      <w:pPr>
        <w:spacing w:before="297" w:line="221" w:lineRule="auto"/>
        <w:ind w:left="18"/>
        <w:outlineLvl w:val="2"/>
        <w:rPr>
          <w:rFonts w:ascii="宋体" w:hAnsi="宋体" w:eastAsia="宋体" w:cs="宋体"/>
          <w:sz w:val="28"/>
          <w:szCs w:val="28"/>
        </w:rPr>
      </w:pPr>
      <w:r>
        <w:rPr>
          <w:rFonts w:ascii="Times New Roman" w:hAnsi="Times New Roman" w:eastAsia="Times New Roman" w:cs="Times New Roman"/>
          <w:b/>
          <w:bCs/>
          <w:spacing w:val="9"/>
          <w:sz w:val="28"/>
          <w:szCs w:val="28"/>
        </w:rPr>
        <w:t>3.2.2.2</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施工期污染物排放分</w:t>
      </w:r>
      <w:r>
        <w:rPr>
          <w:rFonts w:ascii="宋体" w:hAnsi="宋体" w:eastAsia="宋体" w:cs="宋体"/>
          <w:spacing w:val="6"/>
          <w:sz w:val="28"/>
          <w:szCs w:val="28"/>
          <w14:textOutline w14:w="5103" w14:cap="sq" w14:cmpd="sng">
            <w14:solidFill>
              <w14:srgbClr w14:val="000000"/>
            </w14:solidFill>
            <w14:prstDash w14:val="solid"/>
            <w14:bevel/>
          </w14:textOutline>
        </w:rPr>
        <w:t>析</w:t>
      </w:r>
    </w:p>
    <w:p w14:paraId="325C1EC9">
      <w:pPr>
        <w:spacing w:before="315" w:line="228" w:lineRule="auto"/>
        <w:ind w:left="538"/>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25"/>
          <w:sz w:val="23"/>
          <w:szCs w:val="23"/>
        </w:rPr>
        <w:t>1</w:t>
      </w:r>
      <w:r>
        <w:rPr>
          <w:rFonts w:ascii="宋体" w:hAnsi="宋体" w:eastAsia="宋体" w:cs="宋体"/>
          <w:spacing w:val="25"/>
          <w:sz w:val="23"/>
          <w:szCs w:val="23"/>
        </w:rPr>
        <w:t>) 大气污染源及污染物排放分</w:t>
      </w:r>
      <w:r>
        <w:rPr>
          <w:rFonts w:ascii="宋体" w:hAnsi="宋体" w:eastAsia="宋体" w:cs="宋体"/>
          <w:spacing w:val="21"/>
          <w:sz w:val="23"/>
          <w:szCs w:val="23"/>
        </w:rPr>
        <w:t>析</w:t>
      </w:r>
    </w:p>
    <w:p w14:paraId="15CF0DFD">
      <w:pPr>
        <w:spacing w:line="255" w:lineRule="auto"/>
        <w:rPr>
          <w:rFonts w:ascii="Arial"/>
          <w:sz w:val="21"/>
        </w:rPr>
      </w:pPr>
    </w:p>
    <w:p w14:paraId="5615F5D1">
      <w:pPr>
        <w:spacing w:before="75" w:line="375" w:lineRule="auto"/>
        <w:ind w:left="22" w:right="80" w:firstLine="480"/>
        <w:rPr>
          <w:rFonts w:ascii="宋体" w:hAnsi="宋体" w:eastAsia="宋体" w:cs="宋体"/>
          <w:sz w:val="23"/>
          <w:szCs w:val="23"/>
        </w:rPr>
      </w:pPr>
      <w:r>
        <w:rPr>
          <w:rFonts w:ascii="宋体" w:hAnsi="宋体" w:eastAsia="宋体" w:cs="宋体"/>
          <w:spacing w:val="7"/>
          <w:sz w:val="23"/>
          <w:szCs w:val="23"/>
        </w:rPr>
        <w:t>根据项目工程分析，项目施工期大气污染源主要为扬尘源和机动车尾气污</w:t>
      </w:r>
      <w:r>
        <w:rPr>
          <w:rFonts w:ascii="宋体" w:hAnsi="宋体" w:eastAsia="宋体" w:cs="宋体"/>
          <w:spacing w:val="3"/>
          <w:sz w:val="23"/>
          <w:szCs w:val="23"/>
        </w:rPr>
        <w:t>染</w:t>
      </w:r>
      <w:r>
        <w:rPr>
          <w:rFonts w:ascii="宋体" w:hAnsi="宋体" w:eastAsia="宋体" w:cs="宋体"/>
          <w:sz w:val="23"/>
          <w:szCs w:val="23"/>
        </w:rPr>
        <w:t xml:space="preserve"> </w:t>
      </w:r>
      <w:r>
        <w:rPr>
          <w:rFonts w:ascii="宋体" w:hAnsi="宋体" w:eastAsia="宋体" w:cs="宋体"/>
          <w:spacing w:val="9"/>
          <w:sz w:val="23"/>
          <w:szCs w:val="23"/>
        </w:rPr>
        <w:t>源</w:t>
      </w:r>
      <w:r>
        <w:rPr>
          <w:rFonts w:ascii="宋体" w:hAnsi="宋体" w:eastAsia="宋体" w:cs="宋体"/>
          <w:spacing w:val="7"/>
          <w:sz w:val="23"/>
          <w:szCs w:val="23"/>
        </w:rPr>
        <w:t>。扬尘源主要来自土方的挖掘、管沟开挖及回填、运输及现场堆放；建筑材料</w:t>
      </w:r>
      <w:r>
        <w:rPr>
          <w:rFonts w:ascii="宋体" w:hAnsi="宋体" w:eastAsia="宋体" w:cs="宋体"/>
          <w:sz w:val="23"/>
          <w:szCs w:val="23"/>
        </w:rPr>
        <w:t xml:space="preserve"> </w:t>
      </w:r>
      <w:r>
        <w:rPr>
          <w:rFonts w:ascii="宋体" w:hAnsi="宋体" w:eastAsia="宋体" w:cs="宋体"/>
          <w:spacing w:val="9"/>
          <w:sz w:val="23"/>
          <w:szCs w:val="23"/>
        </w:rPr>
        <w:t>的</w:t>
      </w:r>
      <w:r>
        <w:rPr>
          <w:rFonts w:ascii="宋体" w:hAnsi="宋体" w:eastAsia="宋体" w:cs="宋体"/>
          <w:spacing w:val="7"/>
          <w:sz w:val="23"/>
          <w:szCs w:val="23"/>
        </w:rPr>
        <w:t>运输及堆放；施工垃圾的运输及堆放，以及临时施工道路和裸露地面的风致扬</w:t>
      </w:r>
    </w:p>
    <w:p w14:paraId="6D10928A">
      <w:pPr>
        <w:sectPr>
          <w:headerReference r:id="rId104" w:type="default"/>
          <w:footerReference r:id="rId105" w:type="default"/>
          <w:pgSz w:w="11906" w:h="16839"/>
          <w:pgMar w:top="1132" w:right="1719" w:bottom="1182" w:left="1785" w:header="878" w:footer="1022" w:gutter="0"/>
          <w:cols w:space="720" w:num="1"/>
        </w:sectPr>
      </w:pPr>
    </w:p>
    <w:p w14:paraId="6DFDF90A">
      <w:pPr>
        <w:spacing w:line="392" w:lineRule="auto"/>
        <w:rPr>
          <w:rFonts w:ascii="Arial"/>
          <w:sz w:val="21"/>
        </w:rPr>
      </w:pPr>
      <w:r>
        <w:pict>
          <v:shape id="_x0000_s1149" o:spid="_x0000_s1149" style="position:absolute;left:0pt;margin-left:90pt;margin-top:57.35pt;height:0.75pt;width:415.3pt;mso-position-horizontal-relative:page;mso-position-vertical-relative:page;z-index:251796480;mso-width-relative:page;mso-height-relative:page;" fillcolor="#000000" filled="t" stroked="f" coordsize="8305,15" o:allowincell="f" path="m0,0l8305,0,8305,14,0,14,0,0xe">
            <v:path/>
            <v:fill on="t" focussize="0,0"/>
            <v:stroke on="f"/>
            <v:imagedata o:title=""/>
            <o:lock v:ext="edit"/>
          </v:shape>
        </w:pict>
      </w:r>
    </w:p>
    <w:p w14:paraId="0F109275">
      <w:pPr>
        <w:spacing w:before="75" w:line="379" w:lineRule="auto"/>
        <w:ind w:left="118" w:right="107"/>
        <w:rPr>
          <w:rFonts w:ascii="宋体" w:hAnsi="宋体" w:eastAsia="宋体" w:cs="宋体"/>
          <w:sz w:val="23"/>
          <w:szCs w:val="23"/>
        </w:rPr>
      </w:pPr>
      <w:r>
        <w:rPr>
          <w:rFonts w:ascii="宋体" w:hAnsi="宋体" w:eastAsia="宋体" w:cs="宋体"/>
          <w:spacing w:val="20"/>
          <w:sz w:val="23"/>
          <w:szCs w:val="23"/>
        </w:rPr>
        <w:t>尘，</w:t>
      </w:r>
      <w:r>
        <w:rPr>
          <w:rFonts w:ascii="宋体" w:hAnsi="宋体" w:eastAsia="宋体" w:cs="宋体"/>
          <w:spacing w:val="16"/>
          <w:sz w:val="23"/>
          <w:szCs w:val="23"/>
        </w:rPr>
        <w:t>主</w:t>
      </w:r>
      <w:r>
        <w:rPr>
          <w:rFonts w:ascii="宋体" w:hAnsi="宋体" w:eastAsia="宋体" w:cs="宋体"/>
          <w:spacing w:val="10"/>
          <w:sz w:val="23"/>
          <w:szCs w:val="23"/>
        </w:rPr>
        <w:t xml:space="preserve">要污染物是 </w:t>
      </w:r>
      <w:r>
        <w:rPr>
          <w:rFonts w:ascii="Times New Roman" w:hAnsi="Times New Roman" w:eastAsia="Times New Roman" w:cs="Times New Roman"/>
          <w:sz w:val="23"/>
          <w:szCs w:val="23"/>
        </w:rPr>
        <w:t>TSP</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等。机动车尾气污染源主要是施工机械和车辆排放的尾</w:t>
      </w:r>
      <w:r>
        <w:rPr>
          <w:rFonts w:ascii="宋体" w:hAnsi="宋体" w:eastAsia="宋体" w:cs="宋体"/>
          <w:sz w:val="23"/>
          <w:szCs w:val="23"/>
        </w:rPr>
        <w:t xml:space="preserve"> </w:t>
      </w:r>
      <w:r>
        <w:rPr>
          <w:rFonts w:ascii="宋体" w:hAnsi="宋体" w:eastAsia="宋体" w:cs="宋体"/>
          <w:spacing w:val="-1"/>
          <w:sz w:val="23"/>
          <w:szCs w:val="23"/>
        </w:rPr>
        <w:t xml:space="preserve">气，主要污染物是 </w:t>
      </w:r>
      <w:r>
        <w:rPr>
          <w:rFonts w:ascii="Times New Roman" w:hAnsi="Times New Roman" w:eastAsia="Times New Roman" w:cs="Times New Roman"/>
          <w:spacing w:val="-1"/>
          <w:sz w:val="23"/>
          <w:szCs w:val="23"/>
        </w:rPr>
        <w:t>NO</w:t>
      </w:r>
      <w:r>
        <w:rPr>
          <w:rFonts w:ascii="Times New Roman" w:hAnsi="Times New Roman" w:eastAsia="Times New Roman" w:cs="Times New Roman"/>
          <w:spacing w:val="-1"/>
          <w:position w:val="-1"/>
          <w:sz w:val="15"/>
          <w:szCs w:val="15"/>
        </w:rPr>
        <w:t xml:space="preserve">x </w:t>
      </w:r>
      <w:r>
        <w:rPr>
          <w:rFonts w:ascii="宋体" w:hAnsi="宋体" w:eastAsia="宋体" w:cs="宋体"/>
          <w:spacing w:val="-1"/>
          <w:sz w:val="23"/>
          <w:szCs w:val="23"/>
        </w:rPr>
        <w:t>、</w:t>
      </w:r>
      <w:r>
        <w:rPr>
          <w:rFonts w:ascii="Times New Roman" w:hAnsi="Times New Roman" w:eastAsia="Times New Roman" w:cs="Times New Roman"/>
          <w:spacing w:val="-1"/>
          <w:sz w:val="23"/>
          <w:szCs w:val="23"/>
        </w:rPr>
        <w:t>C</w:t>
      </w:r>
      <w:r>
        <w:rPr>
          <w:rFonts w:ascii="Times New Roman" w:hAnsi="Times New Roman" w:eastAsia="Times New Roman" w:cs="Times New Roman"/>
          <w:sz w:val="23"/>
          <w:szCs w:val="23"/>
        </w:rPr>
        <w:t>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HC</w:t>
      </w:r>
      <w:r>
        <w:rPr>
          <w:rFonts w:ascii="宋体" w:hAnsi="宋体" w:eastAsia="宋体" w:cs="宋体"/>
          <w:spacing w:val="-1"/>
          <w:sz w:val="23"/>
          <w:szCs w:val="23"/>
        </w:rPr>
        <w:t>。</w:t>
      </w:r>
    </w:p>
    <w:p w14:paraId="66FCC862">
      <w:pPr>
        <w:spacing w:before="133" w:line="225" w:lineRule="auto"/>
        <w:ind w:left="596"/>
        <w:rPr>
          <w:rFonts w:ascii="宋体" w:hAnsi="宋体" w:eastAsia="宋体" w:cs="宋体"/>
          <w:sz w:val="23"/>
          <w:szCs w:val="23"/>
        </w:rPr>
      </w:pPr>
      <w:r>
        <w:rPr>
          <w:rFonts w:ascii="宋体" w:hAnsi="宋体" w:eastAsia="宋体" w:cs="宋体"/>
          <w:spacing w:val="9"/>
          <w:sz w:val="23"/>
          <w:szCs w:val="23"/>
        </w:rPr>
        <w:t>①扬尘排放分</w:t>
      </w:r>
      <w:r>
        <w:rPr>
          <w:rFonts w:ascii="宋体" w:hAnsi="宋体" w:eastAsia="宋体" w:cs="宋体"/>
          <w:spacing w:val="7"/>
          <w:sz w:val="23"/>
          <w:szCs w:val="23"/>
        </w:rPr>
        <w:t>析</w:t>
      </w:r>
    </w:p>
    <w:p w14:paraId="59ECC6E1">
      <w:pPr>
        <w:spacing w:before="291" w:line="375" w:lineRule="auto"/>
        <w:ind w:left="116" w:right="107" w:firstLine="481"/>
        <w:rPr>
          <w:rFonts w:ascii="宋体" w:hAnsi="宋体" w:eastAsia="宋体" w:cs="宋体"/>
          <w:sz w:val="23"/>
          <w:szCs w:val="23"/>
        </w:rPr>
      </w:pPr>
      <w:r>
        <w:rPr>
          <w:rFonts w:ascii="宋体" w:hAnsi="宋体" w:eastAsia="宋体" w:cs="宋体"/>
          <w:spacing w:val="22"/>
          <w:sz w:val="23"/>
          <w:szCs w:val="23"/>
        </w:rPr>
        <w:t>本</w:t>
      </w:r>
      <w:r>
        <w:rPr>
          <w:rFonts w:ascii="宋体" w:hAnsi="宋体" w:eastAsia="宋体" w:cs="宋体"/>
          <w:spacing w:val="16"/>
          <w:sz w:val="23"/>
          <w:szCs w:val="23"/>
        </w:rPr>
        <w:t>项</w:t>
      </w:r>
      <w:r>
        <w:rPr>
          <w:rFonts w:ascii="宋体" w:hAnsi="宋体" w:eastAsia="宋体" w:cs="宋体"/>
          <w:spacing w:val="11"/>
          <w:sz w:val="23"/>
          <w:szCs w:val="23"/>
        </w:rPr>
        <w:t>目主要在开挖基槽等阶段产生扬尘，扬尘产生大小与气象条件</w:t>
      </w:r>
      <w:r>
        <w:rPr>
          <w:rFonts w:ascii="Times New Roman" w:hAnsi="Times New Roman" w:eastAsia="Times New Roman" w:cs="Times New Roman"/>
          <w:spacing w:val="11"/>
          <w:sz w:val="23"/>
          <w:szCs w:val="23"/>
        </w:rPr>
        <w:t>(</w:t>
      </w:r>
      <w:r>
        <w:rPr>
          <w:rFonts w:ascii="宋体" w:hAnsi="宋体" w:eastAsia="宋体" w:cs="宋体"/>
          <w:spacing w:val="11"/>
          <w:sz w:val="23"/>
          <w:szCs w:val="23"/>
        </w:rPr>
        <w:t>特别是</w:t>
      </w:r>
      <w:r>
        <w:rPr>
          <w:rFonts w:ascii="宋体" w:hAnsi="宋体" w:eastAsia="宋体" w:cs="宋体"/>
          <w:sz w:val="23"/>
          <w:szCs w:val="23"/>
        </w:rPr>
        <w:t xml:space="preserve"> </w:t>
      </w:r>
      <w:r>
        <w:rPr>
          <w:rFonts w:ascii="宋体" w:hAnsi="宋体" w:eastAsia="宋体" w:cs="宋体"/>
          <w:spacing w:val="18"/>
          <w:sz w:val="23"/>
          <w:szCs w:val="23"/>
        </w:rPr>
        <w:t>风速</w:t>
      </w:r>
      <w:r>
        <w:rPr>
          <w:rFonts w:ascii="宋体" w:hAnsi="宋体" w:eastAsia="宋体" w:cs="宋体"/>
          <w:spacing w:val="10"/>
          <w:sz w:val="23"/>
          <w:szCs w:val="23"/>
        </w:rPr>
        <w:t>和</w:t>
      </w:r>
      <w:r>
        <w:rPr>
          <w:rFonts w:ascii="宋体" w:hAnsi="宋体" w:eastAsia="宋体" w:cs="宋体"/>
          <w:spacing w:val="9"/>
          <w:sz w:val="23"/>
          <w:szCs w:val="23"/>
        </w:rPr>
        <w:t>降水</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、施工场地状况及管理等密切相关，一般在春秋季节较为严重，是</w:t>
      </w:r>
      <w:r>
        <w:rPr>
          <w:rFonts w:ascii="宋体" w:hAnsi="宋体" w:eastAsia="宋体" w:cs="宋体"/>
          <w:sz w:val="23"/>
          <w:szCs w:val="23"/>
        </w:rPr>
        <w:t xml:space="preserve"> </w:t>
      </w:r>
      <w:r>
        <w:rPr>
          <w:rFonts w:ascii="宋体" w:hAnsi="宋体" w:eastAsia="宋体" w:cs="宋体"/>
          <w:spacing w:val="15"/>
          <w:sz w:val="23"/>
          <w:szCs w:val="23"/>
        </w:rPr>
        <w:t>施</w:t>
      </w:r>
      <w:r>
        <w:rPr>
          <w:rFonts w:ascii="宋体" w:hAnsi="宋体" w:eastAsia="宋体" w:cs="宋体"/>
          <w:spacing w:val="14"/>
          <w:sz w:val="23"/>
          <w:szCs w:val="23"/>
        </w:rPr>
        <w:t>工期的主要大气污染源。采取施工场地洒水的方式抑制扬尘是有效的抑尘方</w:t>
      </w:r>
      <w:r>
        <w:rPr>
          <w:rFonts w:ascii="宋体" w:hAnsi="宋体" w:eastAsia="宋体" w:cs="宋体"/>
          <w:sz w:val="23"/>
          <w:szCs w:val="23"/>
        </w:rPr>
        <w:t xml:space="preserve"> </w:t>
      </w:r>
      <w:r>
        <w:rPr>
          <w:rFonts w:ascii="宋体" w:hAnsi="宋体" w:eastAsia="宋体" w:cs="宋体"/>
          <w:spacing w:val="9"/>
          <w:sz w:val="23"/>
          <w:szCs w:val="23"/>
        </w:rPr>
        <w:t>式</w:t>
      </w:r>
      <w:r>
        <w:rPr>
          <w:rFonts w:ascii="宋体" w:hAnsi="宋体" w:eastAsia="宋体" w:cs="宋体"/>
          <w:spacing w:val="5"/>
          <w:sz w:val="23"/>
          <w:szCs w:val="23"/>
        </w:rPr>
        <w:t xml:space="preserve">，施工场地洒水抑尘试验结果见表 </w:t>
      </w:r>
      <w:r>
        <w:rPr>
          <w:rFonts w:ascii="Times New Roman" w:hAnsi="Times New Roman" w:eastAsia="Times New Roman" w:cs="Times New Roman"/>
          <w:spacing w:val="5"/>
          <w:sz w:val="23"/>
          <w:szCs w:val="23"/>
        </w:rPr>
        <w:t>3-9</w:t>
      </w:r>
      <w:r>
        <w:rPr>
          <w:rFonts w:ascii="宋体" w:hAnsi="宋体" w:eastAsia="宋体" w:cs="宋体"/>
          <w:spacing w:val="5"/>
          <w:sz w:val="23"/>
          <w:szCs w:val="23"/>
        </w:rPr>
        <w:t>。</w:t>
      </w:r>
    </w:p>
    <w:p w14:paraId="6FA7561D">
      <w:pPr>
        <w:spacing w:before="170" w:line="227" w:lineRule="auto"/>
        <w:ind w:left="227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7"/>
          <w:sz w:val="23"/>
          <w:szCs w:val="23"/>
        </w:rPr>
        <w:t>3</w:t>
      </w:r>
      <w:r>
        <w:rPr>
          <w:rFonts w:ascii="Times New Roman" w:hAnsi="Times New Roman" w:eastAsia="Times New Roman" w:cs="Times New Roman"/>
          <w:b/>
          <w:bCs/>
          <w:spacing w:val="4"/>
          <w:sz w:val="23"/>
          <w:szCs w:val="23"/>
        </w:rPr>
        <w:t>-9</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施工场地洒水抑尘试验结果</w:t>
      </w:r>
    </w:p>
    <w:p w14:paraId="211F9B29">
      <w:pPr>
        <w:spacing w:line="145" w:lineRule="auto"/>
        <w:rPr>
          <w:rFonts w:ascii="Arial"/>
          <w:sz w:val="2"/>
        </w:rPr>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2"/>
        <w:gridCol w:w="1810"/>
        <w:gridCol w:w="1384"/>
        <w:gridCol w:w="1253"/>
        <w:gridCol w:w="1253"/>
        <w:gridCol w:w="1250"/>
      </w:tblGrid>
      <w:tr w14:paraId="3D72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382" w:type="dxa"/>
            <w:gridSpan w:val="2"/>
            <w:tcBorders>
              <w:left w:val="nil"/>
              <w:right w:val="single" w:color="000000" w:sz="4" w:space="0"/>
            </w:tcBorders>
            <w:vAlign w:val="top"/>
          </w:tcPr>
          <w:p w14:paraId="7F44ACC2">
            <w:pPr>
              <w:spacing w:before="36" w:line="289" w:lineRule="exact"/>
              <w:ind w:left="1279"/>
              <w:rPr>
                <w:rFonts w:ascii="Times New Roman" w:hAnsi="Times New Roman" w:eastAsia="Times New Roman" w:cs="Times New Roman"/>
                <w:sz w:val="20"/>
                <w:szCs w:val="20"/>
              </w:rPr>
            </w:pPr>
            <w:r>
              <w:rPr>
                <w:rFonts w:ascii="宋体" w:hAnsi="宋体" w:eastAsia="宋体" w:cs="宋体"/>
                <w:spacing w:val="8"/>
                <w:position w:val="2"/>
                <w:sz w:val="20"/>
                <w:szCs w:val="20"/>
                <w14:textOutline w14:w="3795" w14:cap="sq" w14:cmpd="sng">
                  <w14:solidFill>
                    <w14:srgbClr w14:val="000000"/>
                  </w14:solidFill>
                  <w14:prstDash w14:val="solid"/>
                  <w14:bevel/>
                </w14:textOutline>
              </w:rPr>
              <w:t>距</w:t>
            </w:r>
            <w:r>
              <w:rPr>
                <w:rFonts w:ascii="宋体" w:hAnsi="宋体" w:eastAsia="宋体" w:cs="宋体"/>
                <w:spacing w:val="6"/>
                <w:position w:val="2"/>
                <w:sz w:val="20"/>
                <w:szCs w:val="20"/>
                <w14:textOutline w14:w="3795" w14:cap="sq" w14:cmpd="sng">
                  <w14:solidFill>
                    <w14:srgbClr w14:val="000000"/>
                  </w14:solidFill>
                  <w14:prstDash w14:val="solid"/>
                  <w14:bevel/>
                </w14:textOutline>
              </w:rPr>
              <w:t>离</w:t>
            </w:r>
            <w:r>
              <w:rPr>
                <w:rFonts w:ascii="宋体" w:hAnsi="宋体" w:eastAsia="宋体" w:cs="宋体"/>
                <w:spacing w:val="6"/>
                <w:position w:val="2"/>
                <w:sz w:val="20"/>
                <w:szCs w:val="20"/>
              </w:rPr>
              <w:t xml:space="preserve"> </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c>
          <w:tcPr>
            <w:tcW w:w="1384" w:type="dxa"/>
            <w:tcBorders>
              <w:left w:val="single" w:color="000000" w:sz="4" w:space="0"/>
              <w:right w:val="single" w:color="000000" w:sz="4" w:space="0"/>
            </w:tcBorders>
            <w:vAlign w:val="top"/>
          </w:tcPr>
          <w:p w14:paraId="40A65909">
            <w:pPr>
              <w:spacing w:before="116" w:line="192" w:lineRule="auto"/>
              <w:ind w:left="64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1253" w:type="dxa"/>
            <w:tcBorders>
              <w:left w:val="single" w:color="000000" w:sz="4" w:space="0"/>
              <w:right w:val="single" w:color="000000" w:sz="4" w:space="0"/>
            </w:tcBorders>
            <w:vAlign w:val="top"/>
          </w:tcPr>
          <w:p w14:paraId="3FA294F5">
            <w:pPr>
              <w:spacing w:before="113" w:line="195" w:lineRule="auto"/>
              <w:ind w:left="52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w:t>
            </w:r>
            <w:r>
              <w:rPr>
                <w:rFonts w:ascii="Times New Roman" w:hAnsi="Times New Roman" w:eastAsia="Times New Roman" w:cs="Times New Roman"/>
                <w:b/>
                <w:bCs/>
                <w:spacing w:val="2"/>
                <w:sz w:val="20"/>
                <w:szCs w:val="20"/>
              </w:rPr>
              <w:t>0</w:t>
            </w:r>
          </w:p>
        </w:tc>
        <w:tc>
          <w:tcPr>
            <w:tcW w:w="1253" w:type="dxa"/>
            <w:tcBorders>
              <w:left w:val="single" w:color="000000" w:sz="4" w:space="0"/>
              <w:right w:val="single" w:color="000000" w:sz="4" w:space="0"/>
            </w:tcBorders>
            <w:vAlign w:val="top"/>
          </w:tcPr>
          <w:p w14:paraId="4144797E">
            <w:pPr>
              <w:spacing w:before="113" w:line="195" w:lineRule="auto"/>
              <w:ind w:left="52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1250" w:type="dxa"/>
            <w:tcBorders>
              <w:left w:val="single" w:color="000000" w:sz="4" w:space="0"/>
              <w:right w:val="nil"/>
            </w:tcBorders>
            <w:vAlign w:val="top"/>
          </w:tcPr>
          <w:p w14:paraId="23A2436C">
            <w:pPr>
              <w:spacing w:before="113" w:line="195" w:lineRule="auto"/>
              <w:ind w:left="47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w:t>
            </w:r>
            <w:r>
              <w:rPr>
                <w:rFonts w:ascii="Times New Roman" w:hAnsi="Times New Roman" w:eastAsia="Times New Roman" w:cs="Times New Roman"/>
                <w:b/>
                <w:bCs/>
                <w:sz w:val="20"/>
                <w:szCs w:val="20"/>
              </w:rPr>
              <w:t>00</w:t>
            </w:r>
          </w:p>
        </w:tc>
      </w:tr>
      <w:tr w14:paraId="16CBA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572" w:type="dxa"/>
            <w:vMerge w:val="restart"/>
            <w:tcBorders>
              <w:left w:val="nil"/>
              <w:bottom w:val="nil"/>
              <w:right w:val="single" w:color="000000" w:sz="4" w:space="0"/>
            </w:tcBorders>
            <w:vAlign w:val="top"/>
          </w:tcPr>
          <w:p w14:paraId="3C7753D1">
            <w:pPr>
              <w:spacing w:before="75" w:line="285" w:lineRule="auto"/>
              <w:ind w:left="235" w:right="155" w:hanging="71"/>
              <w:rPr>
                <w:rFonts w:ascii="Times New Roman" w:hAnsi="Times New Roman" w:eastAsia="Times New Roman" w:cs="Times New Roman"/>
                <w:sz w:val="20"/>
                <w:szCs w:val="20"/>
              </w:rPr>
            </w:pPr>
            <w:r>
              <w:rPr>
                <w:rFonts w:ascii="Times New Roman" w:hAnsi="Times New Roman" w:eastAsia="Times New Roman" w:cs="Times New Roman"/>
                <w:sz w:val="20"/>
                <w:szCs w:val="20"/>
              </w:rPr>
              <w:t>TSP</w:t>
            </w:r>
            <w:r>
              <w:rPr>
                <w:rFonts w:ascii="Times New Roman" w:hAnsi="Times New Roman" w:eastAsia="Times New Roman" w:cs="Times New Roman"/>
                <w:spacing w:val="12"/>
                <w:sz w:val="20"/>
                <w:szCs w:val="20"/>
              </w:rPr>
              <w:t xml:space="preserve"> </w:t>
            </w:r>
            <w:r>
              <w:rPr>
                <w:rFonts w:ascii="宋体" w:hAnsi="宋体" w:eastAsia="宋体" w:cs="宋体"/>
                <w:spacing w:val="10"/>
                <w:sz w:val="20"/>
                <w:szCs w:val="20"/>
              </w:rPr>
              <w:t>小时平均</w:t>
            </w:r>
            <w:r>
              <w:rPr>
                <w:rFonts w:ascii="宋体" w:hAnsi="宋体" w:eastAsia="宋体" w:cs="宋体"/>
                <w:sz w:val="20"/>
                <w:szCs w:val="20"/>
              </w:rPr>
              <w:t xml:space="preserve"> </w:t>
            </w:r>
            <w:r>
              <w:rPr>
                <w:rFonts w:ascii="宋体" w:hAnsi="宋体" w:eastAsia="宋体" w:cs="宋体"/>
                <w:spacing w:val="7"/>
                <w:sz w:val="20"/>
                <w:szCs w:val="20"/>
              </w:rPr>
              <w:t>浓度</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p>
        </w:tc>
        <w:tc>
          <w:tcPr>
            <w:tcW w:w="1810" w:type="dxa"/>
            <w:tcBorders>
              <w:left w:val="single" w:color="000000" w:sz="4" w:space="0"/>
              <w:right w:val="single" w:color="000000" w:sz="4" w:space="0"/>
            </w:tcBorders>
            <w:vAlign w:val="top"/>
          </w:tcPr>
          <w:p w14:paraId="2504AD62">
            <w:pPr>
              <w:spacing w:before="63" w:line="228" w:lineRule="auto"/>
              <w:ind w:left="596"/>
              <w:rPr>
                <w:rFonts w:ascii="宋体" w:hAnsi="宋体" w:eastAsia="宋体" w:cs="宋体"/>
                <w:sz w:val="20"/>
                <w:szCs w:val="20"/>
              </w:rPr>
            </w:pPr>
            <w:r>
              <w:rPr>
                <w:rFonts w:ascii="宋体" w:hAnsi="宋体" w:eastAsia="宋体" w:cs="宋体"/>
                <w:spacing w:val="6"/>
                <w:sz w:val="20"/>
                <w:szCs w:val="20"/>
              </w:rPr>
              <w:t>不洒</w:t>
            </w:r>
            <w:r>
              <w:rPr>
                <w:rFonts w:ascii="宋体" w:hAnsi="宋体" w:eastAsia="宋体" w:cs="宋体"/>
                <w:spacing w:val="5"/>
                <w:sz w:val="20"/>
                <w:szCs w:val="20"/>
              </w:rPr>
              <w:t>水</w:t>
            </w:r>
          </w:p>
        </w:tc>
        <w:tc>
          <w:tcPr>
            <w:tcW w:w="1384" w:type="dxa"/>
            <w:tcBorders>
              <w:left w:val="single" w:color="000000" w:sz="4" w:space="0"/>
              <w:right w:val="single" w:color="000000" w:sz="4" w:space="0"/>
            </w:tcBorders>
            <w:vAlign w:val="top"/>
          </w:tcPr>
          <w:p w14:paraId="4D45DC85">
            <w:pPr>
              <w:spacing w:before="99"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8"/>
                <w:sz w:val="20"/>
                <w:szCs w:val="20"/>
              </w:rPr>
              <w:t>0. 14</w:t>
            </w:r>
          </w:p>
        </w:tc>
        <w:tc>
          <w:tcPr>
            <w:tcW w:w="1253" w:type="dxa"/>
            <w:tcBorders>
              <w:left w:val="single" w:color="000000" w:sz="4" w:space="0"/>
              <w:right w:val="single" w:color="000000" w:sz="4" w:space="0"/>
            </w:tcBorders>
            <w:vAlign w:val="top"/>
          </w:tcPr>
          <w:p w14:paraId="4191CA7E">
            <w:pPr>
              <w:spacing w:before="99" w:line="198"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.89</w:t>
            </w:r>
          </w:p>
        </w:tc>
        <w:tc>
          <w:tcPr>
            <w:tcW w:w="1253" w:type="dxa"/>
            <w:tcBorders>
              <w:left w:val="single" w:color="000000" w:sz="4" w:space="0"/>
              <w:right w:val="single" w:color="000000" w:sz="4" w:space="0"/>
            </w:tcBorders>
            <w:vAlign w:val="top"/>
          </w:tcPr>
          <w:p w14:paraId="3C062759">
            <w:pPr>
              <w:spacing w:before="99"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15</w:t>
            </w:r>
          </w:p>
        </w:tc>
        <w:tc>
          <w:tcPr>
            <w:tcW w:w="1250" w:type="dxa"/>
            <w:tcBorders>
              <w:left w:val="single" w:color="000000" w:sz="4" w:space="0"/>
              <w:right w:val="nil"/>
            </w:tcBorders>
            <w:vAlign w:val="top"/>
          </w:tcPr>
          <w:p w14:paraId="2BBA0B67">
            <w:pPr>
              <w:spacing w:before="99"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.86</w:t>
            </w:r>
          </w:p>
        </w:tc>
      </w:tr>
      <w:tr w14:paraId="2499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572" w:type="dxa"/>
            <w:vMerge w:val="continue"/>
            <w:tcBorders>
              <w:top w:val="nil"/>
              <w:left w:val="nil"/>
              <w:right w:val="single" w:color="000000" w:sz="4" w:space="0"/>
            </w:tcBorders>
            <w:vAlign w:val="top"/>
          </w:tcPr>
          <w:p w14:paraId="417F4356">
            <w:pPr>
              <w:rPr>
                <w:rFonts w:ascii="Arial"/>
                <w:sz w:val="21"/>
              </w:rPr>
            </w:pPr>
          </w:p>
        </w:tc>
        <w:tc>
          <w:tcPr>
            <w:tcW w:w="1810" w:type="dxa"/>
            <w:tcBorders>
              <w:left w:val="single" w:color="000000" w:sz="4" w:space="0"/>
              <w:right w:val="single" w:color="000000" w:sz="4" w:space="0"/>
            </w:tcBorders>
            <w:vAlign w:val="top"/>
          </w:tcPr>
          <w:p w14:paraId="6A92F9A3">
            <w:pPr>
              <w:spacing w:before="63" w:line="228" w:lineRule="auto"/>
              <w:ind w:left="701"/>
              <w:rPr>
                <w:rFonts w:ascii="宋体" w:hAnsi="宋体" w:eastAsia="宋体" w:cs="宋体"/>
                <w:sz w:val="20"/>
                <w:szCs w:val="20"/>
              </w:rPr>
            </w:pPr>
            <w:r>
              <w:rPr>
                <w:rFonts w:ascii="宋体" w:hAnsi="宋体" w:eastAsia="宋体" w:cs="宋体"/>
                <w:spacing w:val="4"/>
                <w:sz w:val="20"/>
                <w:szCs w:val="20"/>
              </w:rPr>
              <w:t>洒</w:t>
            </w:r>
            <w:r>
              <w:rPr>
                <w:rFonts w:ascii="宋体" w:hAnsi="宋体" w:eastAsia="宋体" w:cs="宋体"/>
                <w:spacing w:val="3"/>
                <w:sz w:val="20"/>
                <w:szCs w:val="20"/>
              </w:rPr>
              <w:t>水</w:t>
            </w:r>
          </w:p>
        </w:tc>
        <w:tc>
          <w:tcPr>
            <w:tcW w:w="1384" w:type="dxa"/>
            <w:tcBorders>
              <w:left w:val="single" w:color="000000" w:sz="4" w:space="0"/>
              <w:right w:val="single" w:color="000000" w:sz="4" w:space="0"/>
            </w:tcBorders>
            <w:vAlign w:val="top"/>
          </w:tcPr>
          <w:p w14:paraId="3F37A415">
            <w:pPr>
              <w:spacing w:before="99" w:line="198"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.01</w:t>
            </w:r>
          </w:p>
        </w:tc>
        <w:tc>
          <w:tcPr>
            <w:tcW w:w="1253" w:type="dxa"/>
            <w:tcBorders>
              <w:left w:val="single" w:color="000000" w:sz="4" w:space="0"/>
              <w:right w:val="single" w:color="000000" w:sz="4" w:space="0"/>
            </w:tcBorders>
            <w:vAlign w:val="top"/>
          </w:tcPr>
          <w:p w14:paraId="454FDBF1">
            <w:pPr>
              <w:spacing w:before="99" w:line="198"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40</w:t>
            </w:r>
          </w:p>
        </w:tc>
        <w:tc>
          <w:tcPr>
            <w:tcW w:w="1253" w:type="dxa"/>
            <w:tcBorders>
              <w:left w:val="single" w:color="000000" w:sz="4" w:space="0"/>
              <w:right w:val="single" w:color="000000" w:sz="4" w:space="0"/>
            </w:tcBorders>
            <w:vAlign w:val="top"/>
          </w:tcPr>
          <w:p w14:paraId="2601B2AF">
            <w:pPr>
              <w:spacing w:before="10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.67</w:t>
            </w:r>
          </w:p>
        </w:tc>
        <w:tc>
          <w:tcPr>
            <w:tcW w:w="1250" w:type="dxa"/>
            <w:tcBorders>
              <w:left w:val="single" w:color="000000" w:sz="4" w:space="0"/>
              <w:right w:val="nil"/>
            </w:tcBorders>
            <w:vAlign w:val="top"/>
          </w:tcPr>
          <w:p w14:paraId="5A0B56C1">
            <w:pPr>
              <w:spacing w:before="10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.27</w:t>
            </w:r>
          </w:p>
        </w:tc>
      </w:tr>
    </w:tbl>
    <w:p w14:paraId="42FD7F7D">
      <w:pPr>
        <w:spacing w:line="249" w:lineRule="auto"/>
        <w:rPr>
          <w:rFonts w:ascii="Arial"/>
          <w:sz w:val="21"/>
        </w:rPr>
      </w:pPr>
    </w:p>
    <w:p w14:paraId="25B7A4C1">
      <w:pPr>
        <w:spacing w:before="75" w:line="376" w:lineRule="auto"/>
        <w:ind w:left="116" w:right="107" w:firstLine="481"/>
        <w:rPr>
          <w:rFonts w:ascii="宋体" w:hAnsi="宋体" w:eastAsia="宋体" w:cs="宋体"/>
          <w:sz w:val="23"/>
          <w:szCs w:val="23"/>
        </w:rPr>
      </w:pPr>
      <w:r>
        <w:rPr>
          <w:rFonts w:ascii="宋体" w:hAnsi="宋体" w:eastAsia="宋体" w:cs="宋体"/>
          <w:spacing w:val="7"/>
          <w:sz w:val="23"/>
          <w:szCs w:val="23"/>
        </w:rPr>
        <w:t>本项目施工过程产生的扬尘，按辽宁省环保厅制定的《辽宁省城区建筑施</w:t>
      </w:r>
      <w:r>
        <w:rPr>
          <w:rFonts w:ascii="宋体" w:hAnsi="宋体" w:eastAsia="宋体" w:cs="宋体"/>
          <w:spacing w:val="2"/>
          <w:sz w:val="23"/>
          <w:szCs w:val="23"/>
        </w:rPr>
        <w:t>工</w:t>
      </w:r>
      <w:r>
        <w:rPr>
          <w:rFonts w:ascii="宋体" w:hAnsi="宋体" w:eastAsia="宋体" w:cs="宋体"/>
          <w:sz w:val="23"/>
          <w:szCs w:val="23"/>
        </w:rPr>
        <w:t xml:space="preserve"> </w:t>
      </w:r>
      <w:r>
        <w:rPr>
          <w:rFonts w:ascii="宋体" w:hAnsi="宋体" w:eastAsia="宋体" w:cs="宋体"/>
          <w:spacing w:val="6"/>
          <w:sz w:val="23"/>
          <w:szCs w:val="23"/>
        </w:rPr>
        <w:t>扬尘排放量计算方法》</w:t>
      </w:r>
      <w:r>
        <w:rPr>
          <w:rFonts w:ascii="Times New Roman" w:hAnsi="Times New Roman" w:eastAsia="Times New Roman" w:cs="Times New Roman"/>
          <w:spacing w:val="6"/>
          <w:sz w:val="23"/>
          <w:szCs w:val="23"/>
        </w:rPr>
        <w:t>(</w:t>
      </w:r>
      <w:r>
        <w:rPr>
          <w:rFonts w:ascii="宋体" w:hAnsi="宋体" w:eastAsia="宋体" w:cs="宋体"/>
          <w:spacing w:val="6"/>
          <w:sz w:val="23"/>
          <w:szCs w:val="23"/>
        </w:rPr>
        <w:t>试行</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，扬尘量按下式估算</w:t>
      </w:r>
      <w:r>
        <w:rPr>
          <w:rFonts w:ascii="宋体" w:hAnsi="宋体" w:eastAsia="宋体" w:cs="宋体"/>
          <w:spacing w:val="5"/>
          <w:sz w:val="23"/>
          <w:szCs w:val="23"/>
        </w:rPr>
        <w:t>：</w:t>
      </w:r>
    </w:p>
    <w:p w14:paraId="5889EA70">
      <w:pPr>
        <w:spacing w:before="160" w:line="304" w:lineRule="exact"/>
        <w:ind w:left="591"/>
        <w:rPr>
          <w:rFonts w:ascii="Times New Roman" w:hAnsi="Times New Roman" w:eastAsia="Times New Roman" w:cs="Times New Roman"/>
          <w:sz w:val="23"/>
          <w:szCs w:val="23"/>
        </w:rPr>
      </w:pPr>
      <w:r>
        <w:rPr>
          <w:rFonts w:ascii="Times New Roman" w:hAnsi="Times New Roman" w:eastAsia="Times New Roman" w:cs="Times New Roman"/>
          <w:position w:val="1"/>
          <w:sz w:val="23"/>
          <w:szCs w:val="23"/>
        </w:rPr>
        <w:t>W</w:t>
      </w:r>
      <w:r>
        <w:rPr>
          <w:rFonts w:ascii="宋体" w:hAnsi="宋体" w:eastAsia="宋体" w:cs="宋体"/>
          <w:spacing w:val="31"/>
          <w:position w:val="1"/>
          <w:sz w:val="23"/>
          <w:szCs w:val="23"/>
        </w:rPr>
        <w:t>＝</w:t>
      </w:r>
      <w:r>
        <w:rPr>
          <w:rFonts w:ascii="Times New Roman" w:hAnsi="Times New Roman" w:eastAsia="Times New Roman" w:cs="Times New Roman"/>
          <w:position w:val="1"/>
          <w:sz w:val="23"/>
          <w:szCs w:val="23"/>
        </w:rPr>
        <w:t>WB</w:t>
      </w:r>
      <w:r>
        <w:rPr>
          <w:rFonts w:ascii="宋体" w:hAnsi="宋体" w:eastAsia="宋体" w:cs="宋体"/>
          <w:spacing w:val="30"/>
          <w:position w:val="1"/>
          <w:sz w:val="23"/>
          <w:szCs w:val="23"/>
        </w:rPr>
        <w:t>＋</w:t>
      </w:r>
      <w:r>
        <w:rPr>
          <w:rFonts w:ascii="Times New Roman" w:hAnsi="Times New Roman" w:eastAsia="Times New Roman" w:cs="Times New Roman"/>
          <w:position w:val="1"/>
          <w:sz w:val="23"/>
          <w:szCs w:val="23"/>
        </w:rPr>
        <w:t>WK</w:t>
      </w:r>
    </w:p>
    <w:p w14:paraId="73BA9CBA">
      <w:pPr>
        <w:spacing w:line="287" w:lineRule="auto"/>
        <w:rPr>
          <w:rFonts w:ascii="Arial"/>
          <w:sz w:val="21"/>
        </w:rPr>
      </w:pPr>
    </w:p>
    <w:p w14:paraId="6F8D9806">
      <w:pPr>
        <w:spacing w:before="75" w:line="186" w:lineRule="auto"/>
        <w:ind w:left="591"/>
        <w:rPr>
          <w:rFonts w:ascii="Times New Roman" w:hAnsi="Times New Roman" w:eastAsia="Times New Roman" w:cs="Times New Roman"/>
          <w:sz w:val="23"/>
          <w:szCs w:val="23"/>
        </w:rPr>
      </w:pPr>
      <w:r>
        <w:rPr>
          <w:rFonts w:ascii="Times New Roman" w:hAnsi="Times New Roman" w:eastAsia="Times New Roman" w:cs="Times New Roman"/>
          <w:sz w:val="23"/>
          <w:szCs w:val="23"/>
        </w:rPr>
        <w:t>WB</w:t>
      </w:r>
      <w:r>
        <w:rPr>
          <w:rFonts w:ascii="宋体" w:hAnsi="宋体" w:eastAsia="宋体" w:cs="宋体"/>
          <w:spacing w:val="18"/>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7"/>
          <w:sz w:val="23"/>
          <w:szCs w:val="23"/>
        </w:rPr>
        <w:t>×</w:t>
      </w:r>
      <w:r>
        <w:rPr>
          <w:rFonts w:ascii="Times New Roman" w:hAnsi="Times New Roman" w:eastAsia="Times New Roman" w:cs="Times New Roman"/>
          <w:sz w:val="23"/>
          <w:szCs w:val="23"/>
        </w:rPr>
        <w:t>B</w:t>
      </w:r>
      <w:r>
        <w:rPr>
          <w:rFonts w:ascii="Times New Roman" w:hAnsi="Times New Roman" w:eastAsia="Times New Roman" w:cs="Times New Roman"/>
          <w:spacing w:val="17"/>
          <w:sz w:val="23"/>
          <w:szCs w:val="23"/>
        </w:rPr>
        <w:t>×</w:t>
      </w:r>
      <w:r>
        <w:rPr>
          <w:rFonts w:ascii="Times New Roman" w:hAnsi="Times New Roman" w:eastAsia="Times New Roman" w:cs="Times New Roman"/>
          <w:sz w:val="23"/>
          <w:szCs w:val="23"/>
        </w:rPr>
        <w:t>T</w:t>
      </w:r>
    </w:p>
    <w:p w14:paraId="403A912B">
      <w:pPr>
        <w:spacing w:before="308" w:line="627" w:lineRule="exact"/>
        <w:ind w:left="591"/>
        <w:rPr>
          <w:rFonts w:ascii="Times New Roman" w:hAnsi="Times New Roman" w:eastAsia="Times New Roman" w:cs="Times New Roman"/>
          <w:sz w:val="23"/>
          <w:szCs w:val="23"/>
        </w:rPr>
      </w:pPr>
      <w:r>
        <w:rPr>
          <w:rFonts w:ascii="Times New Roman" w:hAnsi="Times New Roman" w:eastAsia="Times New Roman" w:cs="Times New Roman"/>
          <w:position w:val="28"/>
          <w:sz w:val="23"/>
          <w:szCs w:val="23"/>
        </w:rPr>
        <w:t>WK</w:t>
      </w:r>
      <w:r>
        <w:rPr>
          <w:rFonts w:ascii="宋体" w:hAnsi="宋体" w:eastAsia="宋体" w:cs="宋体"/>
          <w:spacing w:val="9"/>
          <w:position w:val="28"/>
          <w:sz w:val="23"/>
          <w:szCs w:val="23"/>
        </w:rPr>
        <w:t>＝</w:t>
      </w:r>
      <w:r>
        <w:rPr>
          <w:rFonts w:ascii="Times New Roman" w:hAnsi="Times New Roman" w:eastAsia="Times New Roman" w:cs="Times New Roman"/>
          <w:position w:val="28"/>
          <w:sz w:val="23"/>
          <w:szCs w:val="23"/>
        </w:rPr>
        <w:t>A</w:t>
      </w:r>
      <w:r>
        <w:rPr>
          <w:rFonts w:ascii="Times New Roman" w:hAnsi="Times New Roman" w:eastAsia="Times New Roman" w:cs="Times New Roman"/>
          <w:spacing w:val="6"/>
          <w:position w:val="28"/>
          <w:sz w:val="23"/>
          <w:szCs w:val="23"/>
        </w:rPr>
        <w:t>×(</w:t>
      </w:r>
      <w:r>
        <w:rPr>
          <w:rFonts w:ascii="Times New Roman" w:hAnsi="Times New Roman" w:eastAsia="Times New Roman" w:cs="Times New Roman"/>
          <w:position w:val="28"/>
          <w:sz w:val="23"/>
          <w:szCs w:val="23"/>
        </w:rPr>
        <w:t>P</w:t>
      </w:r>
      <w:r>
        <w:rPr>
          <w:rFonts w:ascii="Times New Roman" w:hAnsi="Times New Roman" w:eastAsia="Times New Roman" w:cs="Times New Roman"/>
          <w:spacing w:val="6"/>
          <w:position w:val="28"/>
          <w:sz w:val="23"/>
          <w:szCs w:val="23"/>
        </w:rPr>
        <w:t>11</w:t>
      </w:r>
      <w:r>
        <w:rPr>
          <w:rFonts w:ascii="宋体" w:hAnsi="宋体" w:eastAsia="宋体" w:cs="宋体"/>
          <w:spacing w:val="6"/>
          <w:position w:val="28"/>
          <w:sz w:val="23"/>
          <w:szCs w:val="23"/>
        </w:rPr>
        <w:t>＋</w:t>
      </w:r>
      <w:r>
        <w:rPr>
          <w:rFonts w:ascii="Times New Roman" w:hAnsi="Times New Roman" w:eastAsia="Times New Roman" w:cs="Times New Roman"/>
          <w:position w:val="28"/>
          <w:sz w:val="23"/>
          <w:szCs w:val="23"/>
        </w:rPr>
        <w:t>P</w:t>
      </w:r>
      <w:r>
        <w:rPr>
          <w:rFonts w:ascii="Times New Roman" w:hAnsi="Times New Roman" w:eastAsia="Times New Roman" w:cs="Times New Roman"/>
          <w:spacing w:val="6"/>
          <w:position w:val="28"/>
          <w:sz w:val="23"/>
          <w:szCs w:val="23"/>
        </w:rPr>
        <w:t>12</w:t>
      </w:r>
      <w:r>
        <w:rPr>
          <w:rFonts w:ascii="宋体" w:hAnsi="宋体" w:eastAsia="宋体" w:cs="宋体"/>
          <w:spacing w:val="6"/>
          <w:position w:val="28"/>
          <w:sz w:val="23"/>
          <w:szCs w:val="23"/>
        </w:rPr>
        <w:t>＋</w:t>
      </w:r>
      <w:r>
        <w:rPr>
          <w:rFonts w:ascii="Times New Roman" w:hAnsi="Times New Roman" w:eastAsia="Times New Roman" w:cs="Times New Roman"/>
          <w:position w:val="28"/>
          <w:sz w:val="23"/>
          <w:szCs w:val="23"/>
        </w:rPr>
        <w:t>P</w:t>
      </w:r>
      <w:r>
        <w:rPr>
          <w:rFonts w:ascii="Times New Roman" w:hAnsi="Times New Roman" w:eastAsia="Times New Roman" w:cs="Times New Roman"/>
          <w:spacing w:val="6"/>
          <w:position w:val="28"/>
          <w:sz w:val="23"/>
          <w:szCs w:val="23"/>
        </w:rPr>
        <w:t>13</w:t>
      </w:r>
      <w:r>
        <w:rPr>
          <w:rFonts w:ascii="宋体" w:hAnsi="宋体" w:eastAsia="宋体" w:cs="宋体"/>
          <w:spacing w:val="6"/>
          <w:position w:val="28"/>
          <w:sz w:val="23"/>
          <w:szCs w:val="23"/>
        </w:rPr>
        <w:t>＋</w:t>
      </w:r>
      <w:r>
        <w:rPr>
          <w:rFonts w:ascii="Times New Roman" w:hAnsi="Times New Roman" w:eastAsia="Times New Roman" w:cs="Times New Roman"/>
          <w:position w:val="28"/>
          <w:sz w:val="23"/>
          <w:szCs w:val="23"/>
        </w:rPr>
        <w:t>P</w:t>
      </w:r>
      <w:r>
        <w:rPr>
          <w:rFonts w:ascii="Times New Roman" w:hAnsi="Times New Roman" w:eastAsia="Times New Roman" w:cs="Times New Roman"/>
          <w:spacing w:val="6"/>
          <w:position w:val="28"/>
          <w:sz w:val="23"/>
          <w:szCs w:val="23"/>
        </w:rPr>
        <w:t>14</w:t>
      </w:r>
      <w:r>
        <w:rPr>
          <w:rFonts w:ascii="宋体" w:hAnsi="宋体" w:eastAsia="宋体" w:cs="宋体"/>
          <w:spacing w:val="6"/>
          <w:position w:val="28"/>
          <w:sz w:val="23"/>
          <w:szCs w:val="23"/>
        </w:rPr>
        <w:t>＋</w:t>
      </w:r>
      <w:r>
        <w:rPr>
          <w:rFonts w:ascii="Times New Roman" w:hAnsi="Times New Roman" w:eastAsia="Times New Roman" w:cs="Times New Roman"/>
          <w:position w:val="28"/>
          <w:sz w:val="23"/>
          <w:szCs w:val="23"/>
        </w:rPr>
        <w:t>P</w:t>
      </w:r>
      <w:r>
        <w:rPr>
          <w:rFonts w:ascii="Times New Roman" w:hAnsi="Times New Roman" w:eastAsia="Times New Roman" w:cs="Times New Roman"/>
          <w:spacing w:val="6"/>
          <w:position w:val="28"/>
          <w:sz w:val="23"/>
          <w:szCs w:val="23"/>
        </w:rPr>
        <w:t>15</w:t>
      </w:r>
      <w:r>
        <w:rPr>
          <w:rFonts w:ascii="宋体" w:hAnsi="宋体" w:eastAsia="宋体" w:cs="宋体"/>
          <w:spacing w:val="6"/>
          <w:position w:val="28"/>
          <w:sz w:val="23"/>
          <w:szCs w:val="23"/>
        </w:rPr>
        <w:t>＋</w:t>
      </w:r>
      <w:r>
        <w:rPr>
          <w:rFonts w:ascii="Times New Roman" w:hAnsi="Times New Roman" w:eastAsia="Times New Roman" w:cs="Times New Roman"/>
          <w:position w:val="28"/>
          <w:sz w:val="23"/>
          <w:szCs w:val="23"/>
        </w:rPr>
        <w:t>P</w:t>
      </w:r>
      <w:r>
        <w:rPr>
          <w:rFonts w:ascii="Times New Roman" w:hAnsi="Times New Roman" w:eastAsia="Times New Roman" w:cs="Times New Roman"/>
          <w:spacing w:val="6"/>
          <w:position w:val="28"/>
          <w:sz w:val="23"/>
          <w:szCs w:val="23"/>
        </w:rPr>
        <w:t>2) ×</w:t>
      </w:r>
      <w:r>
        <w:rPr>
          <w:rFonts w:ascii="Times New Roman" w:hAnsi="Times New Roman" w:eastAsia="Times New Roman" w:cs="Times New Roman"/>
          <w:position w:val="28"/>
          <w:sz w:val="23"/>
          <w:szCs w:val="23"/>
        </w:rPr>
        <w:t>T</w:t>
      </w:r>
    </w:p>
    <w:p w14:paraId="0C07175B">
      <w:pPr>
        <w:spacing w:line="322" w:lineRule="exact"/>
        <w:ind w:left="602"/>
        <w:rPr>
          <w:rFonts w:ascii="宋体" w:hAnsi="宋体" w:eastAsia="宋体" w:cs="宋体"/>
          <w:sz w:val="23"/>
          <w:szCs w:val="23"/>
        </w:rPr>
      </w:pPr>
      <w:r>
        <w:rPr>
          <w:rFonts w:ascii="宋体" w:hAnsi="宋体" w:eastAsia="宋体" w:cs="宋体"/>
          <w:spacing w:val="11"/>
          <w:position w:val="1"/>
          <w:sz w:val="23"/>
          <w:szCs w:val="23"/>
        </w:rPr>
        <w:t>式</w:t>
      </w:r>
      <w:r>
        <w:rPr>
          <w:rFonts w:ascii="宋体" w:hAnsi="宋体" w:eastAsia="宋体" w:cs="宋体"/>
          <w:spacing w:val="9"/>
          <w:position w:val="1"/>
          <w:sz w:val="23"/>
          <w:szCs w:val="23"/>
        </w:rPr>
        <w:t>中：</w:t>
      </w:r>
      <w:r>
        <w:rPr>
          <w:rFonts w:ascii="Times New Roman" w:hAnsi="Times New Roman" w:eastAsia="Times New Roman" w:cs="Times New Roman"/>
          <w:position w:val="1"/>
          <w:sz w:val="23"/>
          <w:szCs w:val="23"/>
        </w:rPr>
        <w:t>W</w:t>
      </w:r>
      <w:r>
        <w:rPr>
          <w:rFonts w:ascii="宋体" w:hAnsi="宋体" w:eastAsia="宋体" w:cs="宋体"/>
          <w:spacing w:val="9"/>
          <w:position w:val="1"/>
          <w:sz w:val="23"/>
          <w:szCs w:val="23"/>
        </w:rPr>
        <w:t>：施工工地扬尘排放量，</w:t>
      </w:r>
      <w:r>
        <w:rPr>
          <w:rFonts w:ascii="Times New Roman" w:hAnsi="Times New Roman" w:eastAsia="Times New Roman" w:cs="Times New Roman"/>
          <w:position w:val="1"/>
          <w:sz w:val="23"/>
          <w:szCs w:val="23"/>
        </w:rPr>
        <w:t>t</w:t>
      </w:r>
      <w:r>
        <w:rPr>
          <w:rFonts w:ascii="宋体" w:hAnsi="宋体" w:eastAsia="宋体" w:cs="宋体"/>
          <w:spacing w:val="9"/>
          <w:position w:val="1"/>
          <w:sz w:val="23"/>
          <w:szCs w:val="23"/>
        </w:rPr>
        <w:t>；</w:t>
      </w:r>
    </w:p>
    <w:p w14:paraId="1BD0EFB3">
      <w:pPr>
        <w:spacing w:before="304" w:line="626" w:lineRule="exact"/>
        <w:ind w:left="1311"/>
        <w:rPr>
          <w:rFonts w:ascii="宋体" w:hAnsi="宋体" w:eastAsia="宋体" w:cs="宋体"/>
          <w:sz w:val="23"/>
          <w:szCs w:val="23"/>
        </w:rPr>
      </w:pPr>
      <w:r>
        <w:rPr>
          <w:rFonts w:ascii="Times New Roman" w:hAnsi="Times New Roman" w:eastAsia="Times New Roman" w:cs="Times New Roman"/>
          <w:position w:val="27"/>
          <w:sz w:val="23"/>
          <w:szCs w:val="23"/>
        </w:rPr>
        <w:t>WB</w:t>
      </w:r>
      <w:r>
        <w:rPr>
          <w:rFonts w:ascii="宋体" w:hAnsi="宋体" w:eastAsia="宋体" w:cs="宋体"/>
          <w:spacing w:val="15"/>
          <w:position w:val="27"/>
          <w:sz w:val="23"/>
          <w:szCs w:val="23"/>
        </w:rPr>
        <w:t>：</w:t>
      </w:r>
      <w:r>
        <w:rPr>
          <w:rFonts w:ascii="宋体" w:hAnsi="宋体" w:eastAsia="宋体" w:cs="宋体"/>
          <w:spacing w:val="10"/>
          <w:position w:val="27"/>
          <w:sz w:val="23"/>
          <w:szCs w:val="23"/>
        </w:rPr>
        <w:t>基本排放量，</w:t>
      </w:r>
      <w:r>
        <w:rPr>
          <w:rFonts w:ascii="Times New Roman" w:hAnsi="Times New Roman" w:eastAsia="Times New Roman" w:cs="Times New Roman"/>
          <w:position w:val="27"/>
          <w:sz w:val="23"/>
          <w:szCs w:val="23"/>
        </w:rPr>
        <w:t>t</w:t>
      </w:r>
      <w:r>
        <w:rPr>
          <w:rFonts w:ascii="宋体" w:hAnsi="宋体" w:eastAsia="宋体" w:cs="宋体"/>
          <w:spacing w:val="10"/>
          <w:position w:val="27"/>
          <w:sz w:val="23"/>
          <w:szCs w:val="23"/>
        </w:rPr>
        <w:t>；</w:t>
      </w:r>
    </w:p>
    <w:p w14:paraId="01EABC25">
      <w:pPr>
        <w:spacing w:line="323" w:lineRule="exact"/>
        <w:ind w:left="1311"/>
        <w:rPr>
          <w:rFonts w:ascii="宋体" w:hAnsi="宋体" w:eastAsia="宋体" w:cs="宋体"/>
          <w:sz w:val="23"/>
          <w:szCs w:val="23"/>
        </w:rPr>
      </w:pPr>
      <w:r>
        <w:rPr>
          <w:rFonts w:ascii="Times New Roman" w:hAnsi="Times New Roman" w:eastAsia="Times New Roman" w:cs="Times New Roman"/>
          <w:position w:val="3"/>
          <w:sz w:val="23"/>
          <w:szCs w:val="23"/>
        </w:rPr>
        <w:t>WK</w:t>
      </w:r>
      <w:r>
        <w:rPr>
          <w:rFonts w:ascii="宋体" w:hAnsi="宋体" w:eastAsia="宋体" w:cs="宋体"/>
          <w:spacing w:val="15"/>
          <w:position w:val="3"/>
          <w:sz w:val="23"/>
          <w:szCs w:val="23"/>
        </w:rPr>
        <w:t>：</w:t>
      </w:r>
      <w:r>
        <w:rPr>
          <w:rFonts w:ascii="宋体" w:hAnsi="宋体" w:eastAsia="宋体" w:cs="宋体"/>
          <w:spacing w:val="10"/>
          <w:position w:val="3"/>
          <w:sz w:val="23"/>
          <w:szCs w:val="23"/>
        </w:rPr>
        <w:t>可控排放量，</w:t>
      </w:r>
      <w:r>
        <w:rPr>
          <w:rFonts w:ascii="Times New Roman" w:hAnsi="Times New Roman" w:eastAsia="Times New Roman" w:cs="Times New Roman"/>
          <w:position w:val="3"/>
          <w:sz w:val="23"/>
          <w:szCs w:val="23"/>
        </w:rPr>
        <w:t>t</w:t>
      </w:r>
      <w:r>
        <w:rPr>
          <w:rFonts w:ascii="宋体" w:hAnsi="宋体" w:eastAsia="宋体" w:cs="宋体"/>
          <w:spacing w:val="10"/>
          <w:position w:val="3"/>
          <w:sz w:val="23"/>
          <w:szCs w:val="23"/>
        </w:rPr>
        <w:t>；</w:t>
      </w:r>
    </w:p>
    <w:p w14:paraId="549669EB">
      <w:pPr>
        <w:spacing w:before="304" w:line="323" w:lineRule="exact"/>
        <w:ind w:left="1309"/>
        <w:rPr>
          <w:rFonts w:ascii="宋体" w:hAnsi="宋体" w:eastAsia="宋体" w:cs="宋体"/>
          <w:sz w:val="23"/>
          <w:szCs w:val="23"/>
        </w:rPr>
      </w:pPr>
      <w:r>
        <w:rPr>
          <w:rFonts w:ascii="Times New Roman" w:hAnsi="Times New Roman" w:eastAsia="Times New Roman" w:cs="Times New Roman"/>
          <w:position w:val="3"/>
          <w:sz w:val="23"/>
          <w:szCs w:val="23"/>
        </w:rPr>
        <w:t>A</w:t>
      </w:r>
      <w:r>
        <w:rPr>
          <w:rFonts w:ascii="宋体" w:hAnsi="宋体" w:eastAsia="宋体" w:cs="宋体"/>
          <w:spacing w:val="5"/>
          <w:position w:val="3"/>
          <w:sz w:val="23"/>
          <w:szCs w:val="23"/>
        </w:rPr>
        <w:t>：</w:t>
      </w:r>
      <w:r>
        <w:rPr>
          <w:rFonts w:ascii="宋体" w:hAnsi="宋体" w:eastAsia="宋体" w:cs="宋体"/>
          <w:spacing w:val="3"/>
          <w:position w:val="3"/>
          <w:sz w:val="23"/>
          <w:szCs w:val="23"/>
        </w:rPr>
        <w:t>建筑面积</w:t>
      </w:r>
      <w:r>
        <w:rPr>
          <w:rFonts w:ascii="Times New Roman" w:hAnsi="Times New Roman" w:eastAsia="Times New Roman" w:cs="Times New Roman"/>
          <w:spacing w:val="3"/>
          <w:position w:val="3"/>
          <w:sz w:val="23"/>
          <w:szCs w:val="23"/>
        </w:rPr>
        <w:t>(</w:t>
      </w:r>
      <w:r>
        <w:rPr>
          <w:rFonts w:ascii="宋体" w:hAnsi="宋体" w:eastAsia="宋体" w:cs="宋体"/>
          <w:spacing w:val="3"/>
          <w:position w:val="3"/>
          <w:sz w:val="23"/>
          <w:szCs w:val="23"/>
        </w:rPr>
        <w:t>建筑工地按施工面积</w:t>
      </w:r>
      <w:r>
        <w:rPr>
          <w:rFonts w:ascii="Times New Roman" w:hAnsi="Times New Roman" w:eastAsia="Times New Roman" w:cs="Times New Roman"/>
          <w:spacing w:val="3"/>
          <w:position w:val="3"/>
          <w:sz w:val="23"/>
          <w:szCs w:val="23"/>
        </w:rPr>
        <w:t xml:space="preserve">) </w:t>
      </w:r>
      <w:r>
        <w:rPr>
          <w:rFonts w:ascii="宋体" w:hAnsi="宋体" w:eastAsia="宋体" w:cs="宋体"/>
          <w:spacing w:val="3"/>
          <w:position w:val="3"/>
          <w:sz w:val="23"/>
          <w:szCs w:val="23"/>
        </w:rPr>
        <w:t xml:space="preserve">，万 </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3"/>
          <w:position w:val="11"/>
          <w:sz w:val="15"/>
          <w:szCs w:val="15"/>
        </w:rPr>
        <w:t>2</w:t>
      </w:r>
      <w:r>
        <w:rPr>
          <w:rFonts w:ascii="宋体" w:hAnsi="宋体" w:eastAsia="宋体" w:cs="宋体"/>
          <w:spacing w:val="3"/>
          <w:position w:val="3"/>
          <w:sz w:val="23"/>
          <w:szCs w:val="23"/>
        </w:rPr>
        <w:t>；</w:t>
      </w:r>
    </w:p>
    <w:p w14:paraId="4D4177DB">
      <w:pPr>
        <w:spacing w:before="303" w:line="323" w:lineRule="exact"/>
        <w:ind w:left="1312"/>
        <w:rPr>
          <w:rFonts w:ascii="宋体" w:hAnsi="宋体" w:eastAsia="宋体" w:cs="宋体"/>
          <w:sz w:val="23"/>
          <w:szCs w:val="23"/>
        </w:rPr>
      </w:pPr>
      <w:r>
        <w:rPr>
          <w:rFonts w:ascii="Times New Roman" w:hAnsi="Times New Roman" w:eastAsia="Times New Roman" w:cs="Times New Roman"/>
          <w:spacing w:val="-8"/>
          <w:position w:val="2"/>
          <w:sz w:val="23"/>
          <w:szCs w:val="23"/>
        </w:rPr>
        <w:t>B</w:t>
      </w:r>
      <w:r>
        <w:rPr>
          <w:rFonts w:ascii="Times New Roman" w:hAnsi="Times New Roman" w:eastAsia="Times New Roman" w:cs="Times New Roman"/>
          <w:spacing w:val="-16"/>
          <w:position w:val="2"/>
          <w:sz w:val="23"/>
          <w:szCs w:val="23"/>
        </w:rPr>
        <w:t xml:space="preserve"> </w:t>
      </w:r>
      <w:r>
        <w:rPr>
          <w:rFonts w:ascii="宋体" w:hAnsi="宋体" w:eastAsia="宋体" w:cs="宋体"/>
          <w:spacing w:val="-16"/>
          <w:position w:val="2"/>
          <w:sz w:val="23"/>
          <w:szCs w:val="23"/>
        </w:rPr>
        <w:t>：基</w:t>
      </w:r>
      <w:r>
        <w:rPr>
          <w:rFonts w:ascii="宋体" w:hAnsi="宋体" w:eastAsia="宋体" w:cs="宋体"/>
          <w:spacing w:val="-10"/>
          <w:position w:val="2"/>
          <w:sz w:val="23"/>
          <w:szCs w:val="23"/>
        </w:rPr>
        <w:t>本</w:t>
      </w:r>
      <w:r>
        <w:rPr>
          <w:rFonts w:ascii="宋体" w:hAnsi="宋体" w:eastAsia="宋体" w:cs="宋体"/>
          <w:spacing w:val="-8"/>
          <w:position w:val="2"/>
          <w:sz w:val="23"/>
          <w:szCs w:val="23"/>
        </w:rPr>
        <w:t>排放量排放系数，</w:t>
      </w:r>
      <w:r>
        <w:rPr>
          <w:rFonts w:ascii="Times New Roman" w:hAnsi="Times New Roman" w:eastAsia="Times New Roman" w:cs="Times New Roman"/>
          <w:spacing w:val="-8"/>
          <w:position w:val="2"/>
          <w:sz w:val="23"/>
          <w:szCs w:val="23"/>
        </w:rPr>
        <w:t>t/</w:t>
      </w:r>
      <w:r>
        <w:rPr>
          <w:rFonts w:ascii="宋体" w:hAnsi="宋体" w:eastAsia="宋体" w:cs="宋体"/>
          <w:spacing w:val="-8"/>
          <w:position w:val="2"/>
          <w:sz w:val="23"/>
          <w:szCs w:val="23"/>
        </w:rPr>
        <w:t xml:space="preserve">万 </w:t>
      </w:r>
      <w:r>
        <w:rPr>
          <w:rFonts w:ascii="Times New Roman" w:hAnsi="Times New Roman" w:eastAsia="Times New Roman" w:cs="Times New Roman"/>
          <w:spacing w:val="-8"/>
          <w:position w:val="2"/>
          <w:sz w:val="23"/>
          <w:szCs w:val="23"/>
        </w:rPr>
        <w:t>m</w:t>
      </w:r>
      <w:r>
        <w:rPr>
          <w:rFonts w:ascii="Times New Roman" w:hAnsi="Times New Roman" w:eastAsia="Times New Roman" w:cs="Times New Roman"/>
          <w:spacing w:val="-8"/>
          <w:position w:val="10"/>
          <w:sz w:val="15"/>
          <w:szCs w:val="15"/>
        </w:rPr>
        <w:t xml:space="preserve">2 </w:t>
      </w:r>
      <w:r>
        <w:rPr>
          <w:rFonts w:ascii="Wingdings" w:hAnsi="Wingdings" w:eastAsia="Wingdings" w:cs="Wingdings"/>
          <w:spacing w:val="-8"/>
          <w:position w:val="2"/>
          <w:sz w:val="23"/>
          <w:szCs w:val="23"/>
        </w:rPr>
        <w:t>1</w:t>
      </w:r>
      <w:r>
        <w:rPr>
          <w:rFonts w:ascii="宋体" w:hAnsi="宋体" w:eastAsia="宋体" w:cs="宋体"/>
          <w:spacing w:val="-8"/>
          <w:position w:val="2"/>
          <w:sz w:val="23"/>
          <w:szCs w:val="23"/>
        </w:rPr>
        <w:t xml:space="preserve">月，详见表 </w:t>
      </w:r>
      <w:r>
        <w:rPr>
          <w:rFonts w:ascii="Times New Roman" w:hAnsi="Times New Roman" w:eastAsia="Times New Roman" w:cs="Times New Roman"/>
          <w:spacing w:val="-8"/>
          <w:position w:val="2"/>
          <w:sz w:val="23"/>
          <w:szCs w:val="23"/>
        </w:rPr>
        <w:t>3- 10</w:t>
      </w:r>
      <w:r>
        <w:rPr>
          <w:rFonts w:ascii="宋体" w:hAnsi="宋体" w:eastAsia="宋体" w:cs="宋体"/>
          <w:spacing w:val="-8"/>
          <w:position w:val="2"/>
          <w:sz w:val="23"/>
          <w:szCs w:val="23"/>
        </w:rPr>
        <w:t>；</w:t>
      </w:r>
    </w:p>
    <w:p w14:paraId="29349A81">
      <w:pPr>
        <w:spacing w:line="268" w:lineRule="auto"/>
        <w:rPr>
          <w:rFonts w:ascii="Arial"/>
          <w:sz w:val="21"/>
        </w:rPr>
      </w:pPr>
    </w:p>
    <w:p w14:paraId="784F317C">
      <w:pPr>
        <w:spacing w:before="75" w:line="378" w:lineRule="auto"/>
        <w:ind w:left="116" w:right="100" w:firstLine="1195"/>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 xml:space="preserve">11 </w:t>
      </w:r>
      <w:r>
        <w:rPr>
          <w:rFonts w:ascii="宋体" w:hAnsi="宋体" w:eastAsia="宋体" w:cs="宋体"/>
          <w:spacing w:val="1"/>
          <w:sz w:val="23"/>
          <w:szCs w:val="23"/>
        </w:rPr>
        <w:t>、</w:t>
      </w: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 xml:space="preserve">12 </w:t>
      </w:r>
      <w:r>
        <w:rPr>
          <w:rFonts w:ascii="宋体" w:hAnsi="宋体" w:eastAsia="宋体" w:cs="宋体"/>
          <w:spacing w:val="1"/>
          <w:sz w:val="23"/>
          <w:szCs w:val="23"/>
        </w:rPr>
        <w:t>、</w:t>
      </w: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 xml:space="preserve">13 </w:t>
      </w:r>
      <w:r>
        <w:rPr>
          <w:rFonts w:ascii="宋体" w:hAnsi="宋体" w:eastAsia="宋体" w:cs="宋体"/>
          <w:spacing w:val="1"/>
          <w:sz w:val="23"/>
          <w:szCs w:val="23"/>
        </w:rPr>
        <w:t>、</w:t>
      </w: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 xml:space="preserve">14 </w:t>
      </w:r>
      <w:r>
        <w:rPr>
          <w:rFonts w:ascii="宋体" w:hAnsi="宋体" w:eastAsia="宋体" w:cs="宋体"/>
          <w:spacing w:val="1"/>
          <w:sz w:val="23"/>
          <w:szCs w:val="23"/>
        </w:rPr>
        <w:t>、</w:t>
      </w: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15</w:t>
      </w:r>
      <w:r>
        <w:rPr>
          <w:rFonts w:ascii="宋体" w:hAnsi="宋体" w:eastAsia="宋体" w:cs="宋体"/>
          <w:spacing w:val="1"/>
          <w:sz w:val="23"/>
          <w:szCs w:val="23"/>
        </w:rPr>
        <w:t>：各项控制扬尘措施所对</w:t>
      </w:r>
      <w:r>
        <w:rPr>
          <w:rFonts w:ascii="宋体" w:hAnsi="宋体" w:eastAsia="宋体" w:cs="宋体"/>
          <w:sz w:val="23"/>
          <w:szCs w:val="23"/>
        </w:rPr>
        <w:t xml:space="preserve">应的一次扬尘可 </w:t>
      </w:r>
      <w:r>
        <w:rPr>
          <w:rFonts w:ascii="宋体" w:hAnsi="宋体" w:eastAsia="宋体" w:cs="宋体"/>
          <w:spacing w:val="4"/>
          <w:sz w:val="23"/>
          <w:szCs w:val="23"/>
        </w:rPr>
        <w:t>控排放量排</w:t>
      </w:r>
      <w:r>
        <w:rPr>
          <w:rFonts w:ascii="宋体" w:hAnsi="宋体" w:eastAsia="宋体" w:cs="宋体"/>
          <w:spacing w:val="2"/>
          <w:sz w:val="23"/>
          <w:szCs w:val="23"/>
        </w:rPr>
        <w:t>污系数，</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宋体" w:hAnsi="宋体" w:eastAsia="宋体" w:cs="宋体"/>
          <w:spacing w:val="2"/>
          <w:sz w:val="23"/>
          <w:szCs w:val="23"/>
        </w:rPr>
        <w:t xml:space="preserve">万 </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2 </w:t>
      </w:r>
      <w:r>
        <w:rPr>
          <w:rFonts w:ascii="Wingdings" w:hAnsi="Wingdings" w:eastAsia="Wingdings" w:cs="Wingdings"/>
          <w:spacing w:val="2"/>
          <w:sz w:val="23"/>
          <w:szCs w:val="23"/>
        </w:rPr>
        <w:t>1</w:t>
      </w:r>
      <w:r>
        <w:rPr>
          <w:rFonts w:ascii="宋体" w:hAnsi="宋体" w:eastAsia="宋体" w:cs="宋体"/>
          <w:spacing w:val="2"/>
          <w:sz w:val="23"/>
          <w:szCs w:val="23"/>
        </w:rPr>
        <w:t>月，</w:t>
      </w:r>
      <w:r>
        <w:rPr>
          <w:rFonts w:ascii="Times New Roman" w:hAnsi="Times New Roman" w:eastAsia="Times New Roman" w:cs="Times New Roman"/>
          <w:sz w:val="23"/>
          <w:szCs w:val="23"/>
        </w:rPr>
        <w:t>P</w:t>
      </w:r>
      <w:r>
        <w:rPr>
          <w:rFonts w:ascii="Times New Roman" w:hAnsi="Times New Roman" w:eastAsia="Times New Roman" w:cs="Times New Roman"/>
          <w:spacing w:val="2"/>
          <w:sz w:val="23"/>
          <w:szCs w:val="23"/>
        </w:rPr>
        <w:t>2</w:t>
      </w:r>
      <w:r>
        <w:rPr>
          <w:rFonts w:ascii="宋体" w:hAnsi="宋体" w:eastAsia="宋体" w:cs="宋体"/>
          <w:spacing w:val="2"/>
          <w:sz w:val="23"/>
          <w:szCs w:val="23"/>
        </w:rPr>
        <w:t>：控制运输车辆扬尘所对应二次扬尘可控排</w:t>
      </w:r>
      <w:r>
        <w:rPr>
          <w:rFonts w:ascii="宋体" w:hAnsi="宋体" w:eastAsia="宋体" w:cs="宋体"/>
          <w:sz w:val="23"/>
          <w:szCs w:val="23"/>
        </w:rPr>
        <w:t xml:space="preserve"> </w:t>
      </w:r>
      <w:r>
        <w:rPr>
          <w:rFonts w:ascii="宋体" w:hAnsi="宋体" w:eastAsia="宋体" w:cs="宋体"/>
          <w:spacing w:val="-16"/>
          <w:sz w:val="23"/>
          <w:szCs w:val="23"/>
        </w:rPr>
        <w:t>放</w:t>
      </w:r>
      <w:r>
        <w:rPr>
          <w:rFonts w:ascii="宋体" w:hAnsi="宋体" w:eastAsia="宋体" w:cs="宋体"/>
          <w:spacing w:val="-12"/>
          <w:sz w:val="23"/>
          <w:szCs w:val="23"/>
        </w:rPr>
        <w:t>量系数，</w:t>
      </w:r>
      <w:r>
        <w:rPr>
          <w:rFonts w:ascii="Times New Roman" w:hAnsi="Times New Roman" w:eastAsia="Times New Roman" w:cs="Times New Roman"/>
          <w:spacing w:val="-12"/>
          <w:sz w:val="23"/>
          <w:szCs w:val="23"/>
        </w:rPr>
        <w:t>t/</w:t>
      </w:r>
      <w:r>
        <w:rPr>
          <w:rFonts w:ascii="宋体" w:hAnsi="宋体" w:eastAsia="宋体" w:cs="宋体"/>
          <w:spacing w:val="-12"/>
          <w:sz w:val="23"/>
          <w:szCs w:val="23"/>
        </w:rPr>
        <w:t xml:space="preserve">万 </w:t>
      </w:r>
      <w:r>
        <w:rPr>
          <w:rFonts w:ascii="Times New Roman" w:hAnsi="Times New Roman" w:eastAsia="Times New Roman" w:cs="Times New Roman"/>
          <w:spacing w:val="-12"/>
          <w:sz w:val="23"/>
          <w:szCs w:val="23"/>
        </w:rPr>
        <w:t>m</w:t>
      </w:r>
      <w:r>
        <w:rPr>
          <w:rFonts w:ascii="Times New Roman" w:hAnsi="Times New Roman" w:eastAsia="Times New Roman" w:cs="Times New Roman"/>
          <w:spacing w:val="-12"/>
          <w:position w:val="7"/>
          <w:sz w:val="15"/>
          <w:szCs w:val="15"/>
        </w:rPr>
        <w:t xml:space="preserve">2 </w:t>
      </w:r>
      <w:r>
        <w:rPr>
          <w:rFonts w:ascii="Wingdings" w:hAnsi="Wingdings" w:eastAsia="Wingdings" w:cs="Wingdings"/>
          <w:spacing w:val="-12"/>
          <w:sz w:val="23"/>
          <w:szCs w:val="23"/>
        </w:rPr>
        <w:t>1</w:t>
      </w:r>
      <w:r>
        <w:rPr>
          <w:rFonts w:ascii="宋体" w:hAnsi="宋体" w:eastAsia="宋体" w:cs="宋体"/>
          <w:spacing w:val="-12"/>
          <w:sz w:val="23"/>
          <w:szCs w:val="23"/>
        </w:rPr>
        <w:t xml:space="preserve">月，详见表 </w:t>
      </w:r>
      <w:r>
        <w:rPr>
          <w:rFonts w:ascii="Times New Roman" w:hAnsi="Times New Roman" w:eastAsia="Times New Roman" w:cs="Times New Roman"/>
          <w:spacing w:val="-12"/>
          <w:sz w:val="23"/>
          <w:szCs w:val="23"/>
        </w:rPr>
        <w:t>3- 11</w:t>
      </w:r>
      <w:r>
        <w:rPr>
          <w:rFonts w:ascii="宋体" w:hAnsi="宋体" w:eastAsia="宋体" w:cs="宋体"/>
          <w:spacing w:val="-12"/>
          <w:sz w:val="23"/>
          <w:szCs w:val="23"/>
        </w:rPr>
        <w:t>。</w:t>
      </w:r>
    </w:p>
    <w:p w14:paraId="67082544">
      <w:pPr>
        <w:spacing w:before="154" w:line="303" w:lineRule="exact"/>
        <w:ind w:left="1315"/>
        <w:rPr>
          <w:rFonts w:ascii="宋体" w:hAnsi="宋体" w:eastAsia="宋体" w:cs="宋体"/>
          <w:sz w:val="23"/>
          <w:szCs w:val="23"/>
        </w:rPr>
      </w:pPr>
      <w:r>
        <w:rPr>
          <w:rFonts w:ascii="Times New Roman" w:hAnsi="Times New Roman" w:eastAsia="Times New Roman" w:cs="Times New Roman"/>
          <w:position w:val="2"/>
          <w:sz w:val="23"/>
          <w:szCs w:val="23"/>
        </w:rPr>
        <w:t>T</w:t>
      </w:r>
      <w:r>
        <w:rPr>
          <w:rFonts w:ascii="Times New Roman" w:hAnsi="Times New Roman" w:eastAsia="Times New Roman" w:cs="Times New Roman"/>
          <w:spacing w:val="1"/>
          <w:position w:val="2"/>
          <w:sz w:val="23"/>
          <w:szCs w:val="23"/>
        </w:rPr>
        <w:t xml:space="preserve"> </w:t>
      </w:r>
      <w:r>
        <w:rPr>
          <w:rFonts w:ascii="宋体" w:hAnsi="宋体" w:eastAsia="宋体" w:cs="宋体"/>
          <w:position w:val="2"/>
          <w:sz w:val="23"/>
          <w:szCs w:val="23"/>
        </w:rPr>
        <w:t>：施工期，月。</w:t>
      </w:r>
    </w:p>
    <w:p w14:paraId="660F12FE">
      <w:pPr>
        <w:sectPr>
          <w:headerReference r:id="rId106" w:type="default"/>
          <w:footerReference r:id="rId107" w:type="default"/>
          <w:pgSz w:w="11906" w:h="16839"/>
          <w:pgMar w:top="1132" w:right="1691" w:bottom="1182" w:left="1691" w:header="878" w:footer="1022" w:gutter="0"/>
          <w:cols w:space="720" w:num="1"/>
        </w:sectPr>
      </w:pPr>
    </w:p>
    <w:p w14:paraId="3F672B22">
      <w:pPr>
        <w:spacing w:line="401" w:lineRule="auto"/>
        <w:rPr>
          <w:rFonts w:ascii="Arial"/>
          <w:sz w:val="21"/>
        </w:rPr>
      </w:pPr>
      <w:r>
        <w:pict>
          <v:shape id="_x0000_s1150" o:spid="_x0000_s1150" style="position:absolute;left:0pt;margin-left:90pt;margin-top:57.35pt;height:0.75pt;width:415.3pt;mso-position-horizontal-relative:page;mso-position-vertical-relative:page;z-index:251797504;mso-width-relative:page;mso-height-relative:page;" fillcolor="#000000" filled="t" stroked="f" coordsize="8305,15" o:allowincell="f" path="m0,0l8305,0,8305,14,0,14,0,0xe">
            <v:path/>
            <v:fill on="t" focussize="0,0"/>
            <v:stroke on="f"/>
            <v:imagedata o:title=""/>
            <o:lock v:ext="edit"/>
          </v:shape>
        </w:pict>
      </w:r>
    </w:p>
    <w:p w14:paraId="53BD0859">
      <w:pPr>
        <w:spacing w:before="74" w:line="227" w:lineRule="auto"/>
        <w:ind w:left="212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4"/>
          <w:sz w:val="23"/>
          <w:szCs w:val="23"/>
        </w:rPr>
        <w:t>-10</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施工工地扬尘基本排放系数</w:t>
      </w:r>
    </w:p>
    <w:p w14:paraId="0CDBFC47">
      <w:pPr>
        <w:spacing w:line="16" w:lineRule="exact"/>
      </w:pPr>
    </w:p>
    <w:tbl>
      <w:tblPr>
        <w:tblStyle w:val="4"/>
        <w:tblW w:w="8305"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3"/>
        <w:gridCol w:w="5042"/>
      </w:tblGrid>
      <w:tr w14:paraId="36EB6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263" w:type="dxa"/>
            <w:tcBorders>
              <w:left w:val="nil"/>
              <w:right w:val="single" w:color="000000" w:sz="4" w:space="0"/>
            </w:tcBorders>
            <w:vAlign w:val="top"/>
          </w:tcPr>
          <w:p w14:paraId="108CCCE6">
            <w:pPr>
              <w:spacing w:before="104" w:line="228" w:lineRule="auto"/>
              <w:ind w:left="121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工地类</w:t>
            </w:r>
            <w:r>
              <w:rPr>
                <w:rFonts w:ascii="宋体" w:hAnsi="宋体" w:eastAsia="宋体" w:cs="宋体"/>
                <w:spacing w:val="7"/>
                <w:sz w:val="20"/>
                <w:szCs w:val="20"/>
                <w14:textOutline w14:w="3795" w14:cap="sq" w14:cmpd="sng">
                  <w14:solidFill>
                    <w14:srgbClr w14:val="000000"/>
                  </w14:solidFill>
                  <w14:prstDash w14:val="solid"/>
                  <w14:bevel/>
                </w14:textOutline>
              </w:rPr>
              <w:t>型</w:t>
            </w:r>
          </w:p>
        </w:tc>
        <w:tc>
          <w:tcPr>
            <w:tcW w:w="5042" w:type="dxa"/>
            <w:tcBorders>
              <w:left w:val="single" w:color="000000" w:sz="4" w:space="0"/>
              <w:right w:val="nil"/>
            </w:tcBorders>
            <w:vAlign w:val="top"/>
          </w:tcPr>
          <w:p w14:paraId="1AC77BF5">
            <w:pPr>
              <w:spacing w:before="63" w:line="289" w:lineRule="exact"/>
              <w:ind w:left="937"/>
              <w:rPr>
                <w:rFonts w:ascii="Times New Roman" w:hAnsi="Times New Roman" w:eastAsia="Times New Roman" w:cs="Times New Roman"/>
                <w:sz w:val="20"/>
                <w:szCs w:val="20"/>
              </w:rPr>
            </w:pPr>
            <w:r>
              <w:rPr>
                <w:rFonts w:ascii="宋体" w:hAnsi="宋体" w:eastAsia="宋体" w:cs="宋体"/>
                <w:spacing w:val="-12"/>
                <w:position w:val="2"/>
                <w:sz w:val="20"/>
                <w:szCs w:val="20"/>
                <w14:textOutline w14:w="3795" w14:cap="sq" w14:cmpd="sng">
                  <w14:solidFill>
                    <w14:srgbClr w14:val="000000"/>
                  </w14:solidFill>
                  <w14:prstDash w14:val="solid"/>
                  <w14:bevel/>
                </w14:textOutline>
              </w:rPr>
              <w:t>基</w:t>
            </w:r>
            <w:r>
              <w:rPr>
                <w:rFonts w:ascii="宋体" w:hAnsi="宋体" w:eastAsia="宋体" w:cs="宋体"/>
                <w:spacing w:val="-8"/>
                <w:position w:val="2"/>
                <w:sz w:val="20"/>
                <w:szCs w:val="20"/>
                <w14:textOutline w14:w="3795" w14:cap="sq" w14:cmpd="sng">
                  <w14:solidFill>
                    <w14:srgbClr w14:val="000000"/>
                  </w14:solidFill>
                  <w14:prstDash w14:val="solid"/>
                  <w14:bevel/>
                </w14:textOutline>
              </w:rPr>
              <w:t>本排放量排放系数</w:t>
            </w:r>
            <w:r>
              <w:rPr>
                <w:rFonts w:ascii="宋体" w:hAnsi="宋体" w:eastAsia="宋体" w:cs="宋体"/>
                <w:spacing w:val="-8"/>
                <w:position w:val="2"/>
                <w:sz w:val="20"/>
                <w:szCs w:val="20"/>
              </w:rPr>
              <w:t xml:space="preserve"> </w:t>
            </w:r>
            <w:r>
              <w:rPr>
                <w:rFonts w:ascii="Times New Roman" w:hAnsi="Times New Roman" w:eastAsia="Times New Roman" w:cs="Times New Roman"/>
                <w:b/>
                <w:bCs/>
                <w:spacing w:val="-8"/>
                <w:position w:val="2"/>
                <w:sz w:val="20"/>
                <w:szCs w:val="20"/>
              </w:rPr>
              <w:t>B</w:t>
            </w:r>
            <w:r>
              <w:rPr>
                <w:rFonts w:ascii="Times New Roman" w:hAnsi="Times New Roman" w:eastAsia="Times New Roman" w:cs="Times New Roman"/>
                <w:spacing w:val="-8"/>
                <w:position w:val="2"/>
                <w:sz w:val="20"/>
                <w:szCs w:val="20"/>
              </w:rPr>
              <w:t xml:space="preserve"> </w:t>
            </w:r>
            <w:r>
              <w:rPr>
                <w:rFonts w:ascii="Times New Roman" w:hAnsi="Times New Roman" w:eastAsia="Times New Roman" w:cs="Times New Roman"/>
                <w:b/>
                <w:bCs/>
                <w:spacing w:val="-8"/>
                <w:position w:val="2"/>
                <w:sz w:val="20"/>
                <w:szCs w:val="20"/>
              </w:rPr>
              <w:t>(t/</w:t>
            </w:r>
            <w:r>
              <w:rPr>
                <w:rFonts w:ascii="宋体" w:hAnsi="宋体" w:eastAsia="宋体" w:cs="宋体"/>
                <w:spacing w:val="-8"/>
                <w:position w:val="2"/>
                <w:sz w:val="20"/>
                <w:szCs w:val="20"/>
                <w14:textOutline w14:w="3795" w14:cap="sq" w14:cmpd="sng">
                  <w14:solidFill>
                    <w14:srgbClr w14:val="000000"/>
                  </w14:solidFill>
                  <w14:prstDash w14:val="solid"/>
                  <w14:bevel/>
                </w14:textOutline>
              </w:rPr>
              <w:t>万</w:t>
            </w:r>
            <w:r>
              <w:rPr>
                <w:rFonts w:ascii="宋体" w:hAnsi="宋体" w:eastAsia="宋体" w:cs="宋体"/>
                <w:spacing w:val="-8"/>
                <w:position w:val="2"/>
                <w:sz w:val="20"/>
                <w:szCs w:val="20"/>
              </w:rPr>
              <w:t xml:space="preserve"> </w:t>
            </w:r>
            <w:r>
              <w:rPr>
                <w:rFonts w:ascii="Times New Roman" w:hAnsi="Times New Roman" w:eastAsia="Times New Roman" w:cs="Times New Roman"/>
                <w:b/>
                <w:bCs/>
                <w:spacing w:val="-8"/>
                <w:position w:val="2"/>
                <w:sz w:val="20"/>
                <w:szCs w:val="20"/>
              </w:rPr>
              <w:t>m</w:t>
            </w:r>
            <w:r>
              <w:rPr>
                <w:rFonts w:ascii="Times New Roman" w:hAnsi="Times New Roman" w:eastAsia="Times New Roman" w:cs="Times New Roman"/>
                <w:b/>
                <w:bCs/>
                <w:spacing w:val="-8"/>
                <w:position w:val="8"/>
                <w:sz w:val="13"/>
                <w:szCs w:val="13"/>
              </w:rPr>
              <w:t>2</w:t>
            </w:r>
            <w:r>
              <w:rPr>
                <w:rFonts w:ascii="Times New Roman" w:hAnsi="Times New Roman" w:eastAsia="Times New Roman" w:cs="Times New Roman"/>
                <w:spacing w:val="-8"/>
                <w:position w:val="8"/>
                <w:sz w:val="13"/>
                <w:szCs w:val="13"/>
              </w:rPr>
              <w:t xml:space="preserve"> </w:t>
            </w:r>
            <w:r>
              <w:rPr>
                <w:rFonts w:ascii="Wingdings" w:hAnsi="Wingdings" w:eastAsia="Wingdings" w:cs="Wingdings"/>
                <w:spacing w:val="-8"/>
                <w:position w:val="2"/>
                <w:sz w:val="20"/>
                <w:szCs w:val="20"/>
              </w:rPr>
              <w:t>1</w:t>
            </w:r>
            <w:r>
              <w:rPr>
                <w:rFonts w:ascii="宋体" w:hAnsi="宋体" w:eastAsia="宋体" w:cs="宋体"/>
                <w:spacing w:val="-8"/>
                <w:position w:val="2"/>
                <w:sz w:val="20"/>
                <w:szCs w:val="20"/>
                <w14:textOutline w14:w="3795" w14:cap="sq" w14:cmpd="sng">
                  <w14:solidFill>
                    <w14:srgbClr w14:val="000000"/>
                  </w14:solidFill>
                  <w14:prstDash w14:val="solid"/>
                  <w14:bevel/>
                </w14:textOutline>
              </w:rPr>
              <w:t>月</w:t>
            </w:r>
            <w:r>
              <w:rPr>
                <w:rFonts w:ascii="Times New Roman" w:hAnsi="Times New Roman" w:eastAsia="Times New Roman" w:cs="Times New Roman"/>
                <w:b/>
                <w:bCs/>
                <w:spacing w:val="-8"/>
                <w:position w:val="2"/>
                <w:sz w:val="20"/>
                <w:szCs w:val="20"/>
              </w:rPr>
              <w:t>)</w:t>
            </w:r>
          </w:p>
        </w:tc>
      </w:tr>
      <w:tr w14:paraId="7F53D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3263" w:type="dxa"/>
            <w:tcBorders>
              <w:left w:val="nil"/>
              <w:right w:val="single" w:color="000000" w:sz="4" w:space="0"/>
            </w:tcBorders>
            <w:vAlign w:val="top"/>
          </w:tcPr>
          <w:p w14:paraId="602BB511">
            <w:pPr>
              <w:spacing w:before="63" w:line="228" w:lineRule="auto"/>
              <w:ind w:left="1217"/>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筑工地</w:t>
            </w:r>
          </w:p>
        </w:tc>
        <w:tc>
          <w:tcPr>
            <w:tcW w:w="5042" w:type="dxa"/>
            <w:tcBorders>
              <w:left w:val="single" w:color="000000" w:sz="4" w:space="0"/>
              <w:right w:val="nil"/>
            </w:tcBorders>
            <w:vAlign w:val="top"/>
          </w:tcPr>
          <w:p w14:paraId="7F275B91">
            <w:pPr>
              <w:spacing w:before="99" w:line="198" w:lineRule="auto"/>
              <w:ind w:left="233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.80</w:t>
            </w:r>
          </w:p>
        </w:tc>
      </w:tr>
    </w:tbl>
    <w:p w14:paraId="17E0A80C">
      <w:pPr>
        <w:spacing w:before="287" w:line="332" w:lineRule="exact"/>
        <w:ind w:left="1474"/>
        <w:rPr>
          <w:rFonts w:ascii="Times New Roman" w:hAnsi="Times New Roman" w:eastAsia="Times New Roman" w:cs="Times New Roman"/>
          <w:sz w:val="23"/>
          <w:szCs w:val="23"/>
        </w:rPr>
      </w:pPr>
      <w:r>
        <w:rPr>
          <w:rFonts w:ascii="宋体" w:hAnsi="宋体" w:eastAsia="宋体" w:cs="宋体"/>
          <w:spacing w:val="-8"/>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3"/>
          <w:sz w:val="23"/>
          <w:szCs w:val="23"/>
        </w:rPr>
        <w:t xml:space="preserve"> </w:t>
      </w:r>
      <w:r>
        <w:rPr>
          <w:rFonts w:ascii="Times New Roman" w:hAnsi="Times New Roman" w:eastAsia="Times New Roman" w:cs="Times New Roman"/>
          <w:b/>
          <w:bCs/>
          <w:spacing w:val="-8"/>
          <w:position w:val="3"/>
          <w:sz w:val="23"/>
          <w:szCs w:val="23"/>
        </w:rPr>
        <w:t>3-1</w:t>
      </w:r>
      <w:r>
        <w:rPr>
          <w:rFonts w:ascii="Times New Roman" w:hAnsi="Times New Roman" w:eastAsia="Times New Roman" w:cs="Times New Roman"/>
          <w:b/>
          <w:bCs/>
          <w:spacing w:val="-4"/>
          <w:position w:val="3"/>
          <w:sz w:val="23"/>
          <w:szCs w:val="23"/>
        </w:rPr>
        <w:t>1</w:t>
      </w:r>
      <w:r>
        <w:rPr>
          <w:rFonts w:ascii="Times New Roman" w:hAnsi="Times New Roman" w:eastAsia="Times New Roman" w:cs="Times New Roman"/>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施工工地扬尘可控排放系数</w:t>
      </w:r>
      <w:r>
        <w:rPr>
          <w:rFonts w:ascii="宋体" w:hAnsi="宋体" w:eastAsia="宋体" w:cs="宋体"/>
          <w:spacing w:val="-4"/>
          <w:position w:val="3"/>
          <w:sz w:val="23"/>
          <w:szCs w:val="23"/>
        </w:rPr>
        <w:t xml:space="preserve"> </w:t>
      </w:r>
      <w:r>
        <w:rPr>
          <w:rFonts w:ascii="Times New Roman" w:hAnsi="Times New Roman" w:eastAsia="Times New Roman" w:cs="Times New Roman"/>
          <w:b/>
          <w:bCs/>
          <w:spacing w:val="-4"/>
          <w:position w:val="3"/>
          <w:sz w:val="23"/>
          <w:szCs w:val="23"/>
        </w:rPr>
        <w:t>(t/</w:t>
      </w:r>
      <w:r>
        <w:rPr>
          <w:rFonts w:ascii="宋体" w:hAnsi="宋体" w:eastAsia="宋体" w:cs="宋体"/>
          <w:spacing w:val="-4"/>
          <w:position w:val="3"/>
          <w:sz w:val="23"/>
          <w:szCs w:val="23"/>
          <w14:textOutline w14:w="4358" w14:cap="sq" w14:cmpd="sng">
            <w14:solidFill>
              <w14:srgbClr w14:val="000000"/>
            </w14:solidFill>
            <w14:prstDash w14:val="solid"/>
            <w14:bevel/>
          </w14:textOutline>
        </w:rPr>
        <w:t>万</w:t>
      </w:r>
      <w:r>
        <w:rPr>
          <w:rFonts w:ascii="宋体" w:hAnsi="宋体" w:eastAsia="宋体" w:cs="宋体"/>
          <w:spacing w:val="-4"/>
          <w:position w:val="3"/>
          <w:sz w:val="23"/>
          <w:szCs w:val="23"/>
        </w:rPr>
        <w:t xml:space="preserve"> </w:t>
      </w:r>
      <w:r>
        <w:rPr>
          <w:rFonts w:ascii="Times New Roman" w:hAnsi="Times New Roman" w:eastAsia="Times New Roman" w:cs="Times New Roman"/>
          <w:b/>
          <w:bCs/>
          <w:spacing w:val="-4"/>
          <w:position w:val="3"/>
          <w:sz w:val="23"/>
          <w:szCs w:val="23"/>
        </w:rPr>
        <w:t>m</w:t>
      </w:r>
      <w:r>
        <w:rPr>
          <w:rFonts w:ascii="Times New Roman" w:hAnsi="Times New Roman" w:eastAsia="Times New Roman" w:cs="Times New Roman"/>
          <w:b/>
          <w:bCs/>
          <w:spacing w:val="-4"/>
          <w:position w:val="11"/>
          <w:sz w:val="15"/>
          <w:szCs w:val="15"/>
        </w:rPr>
        <w:t>2</w:t>
      </w:r>
      <w:r>
        <w:rPr>
          <w:rFonts w:ascii="Times New Roman" w:hAnsi="Times New Roman" w:eastAsia="Times New Roman" w:cs="Times New Roman"/>
          <w:spacing w:val="-4"/>
          <w:position w:val="11"/>
          <w:sz w:val="15"/>
          <w:szCs w:val="15"/>
        </w:rPr>
        <w:t xml:space="preserve"> </w:t>
      </w:r>
      <w:r>
        <w:rPr>
          <w:rFonts w:ascii="Wingdings" w:hAnsi="Wingdings" w:eastAsia="Wingdings" w:cs="Wingdings"/>
          <w:spacing w:val="-4"/>
          <w:position w:val="3"/>
          <w:sz w:val="23"/>
          <w:szCs w:val="23"/>
          <w14:textOutline w14:w="4358" w14:cap="sq" w14:cmpd="sng">
            <w14:solidFill>
              <w14:srgbClr w14:val="000000"/>
            </w14:solidFill>
            <w14:prstDash w14:val="solid"/>
            <w14:bevel/>
          </w14:textOutline>
        </w:rPr>
        <w:t>1</w:t>
      </w:r>
      <w:r>
        <w:rPr>
          <w:rFonts w:ascii="宋体" w:hAnsi="宋体" w:eastAsia="宋体" w:cs="宋体"/>
          <w:spacing w:val="-4"/>
          <w:position w:val="3"/>
          <w:sz w:val="23"/>
          <w:szCs w:val="23"/>
          <w14:textOutline w14:w="4358" w14:cap="sq" w14:cmpd="sng">
            <w14:solidFill>
              <w14:srgbClr w14:val="000000"/>
            </w14:solidFill>
            <w14:prstDash w14:val="solid"/>
            <w14:bevel/>
          </w14:textOutline>
        </w:rPr>
        <w:t>月</w:t>
      </w:r>
      <w:r>
        <w:rPr>
          <w:rFonts w:ascii="Times New Roman" w:hAnsi="Times New Roman" w:eastAsia="Times New Roman" w:cs="Times New Roman"/>
          <w:b/>
          <w:bCs/>
          <w:spacing w:val="-4"/>
          <w:position w:val="3"/>
          <w:sz w:val="23"/>
          <w:szCs w:val="23"/>
        </w:rPr>
        <w:t>)</w:t>
      </w:r>
    </w:p>
    <w:p w14:paraId="79870845">
      <w:pPr>
        <w:spacing w:line="18" w:lineRule="exact"/>
      </w:pPr>
    </w:p>
    <w:tbl>
      <w:tblPr>
        <w:tblStyle w:val="4"/>
        <w:tblW w:w="830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1735"/>
        <w:gridCol w:w="2664"/>
        <w:gridCol w:w="895"/>
        <w:gridCol w:w="920"/>
        <w:gridCol w:w="918"/>
      </w:tblGrid>
      <w:tr w14:paraId="5AC58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74" w:type="dxa"/>
            <w:vMerge w:val="restart"/>
            <w:tcBorders>
              <w:left w:val="nil"/>
              <w:bottom w:val="nil"/>
              <w:right w:val="single" w:color="000000" w:sz="4" w:space="0"/>
            </w:tcBorders>
            <w:vAlign w:val="top"/>
          </w:tcPr>
          <w:p w14:paraId="416DD0A0">
            <w:pPr>
              <w:spacing w:line="347" w:lineRule="auto"/>
              <w:rPr>
                <w:rFonts w:ascii="Arial"/>
                <w:sz w:val="21"/>
              </w:rPr>
            </w:pPr>
          </w:p>
          <w:p w14:paraId="504FA568">
            <w:pPr>
              <w:spacing w:before="65" w:line="228" w:lineRule="auto"/>
              <w:ind w:left="17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工地类</w:t>
            </w:r>
            <w:r>
              <w:rPr>
                <w:rFonts w:ascii="宋体" w:hAnsi="宋体" w:eastAsia="宋体" w:cs="宋体"/>
                <w:spacing w:val="7"/>
                <w:sz w:val="20"/>
                <w:szCs w:val="20"/>
                <w14:textOutline w14:w="3795" w14:cap="sq" w14:cmpd="sng">
                  <w14:solidFill>
                    <w14:srgbClr w14:val="000000"/>
                  </w14:solidFill>
                  <w14:prstDash w14:val="solid"/>
                  <w14:bevel/>
                </w14:textOutline>
              </w:rPr>
              <w:t>型</w:t>
            </w:r>
          </w:p>
        </w:tc>
        <w:tc>
          <w:tcPr>
            <w:tcW w:w="1735" w:type="dxa"/>
            <w:vMerge w:val="restart"/>
            <w:tcBorders>
              <w:left w:val="single" w:color="000000" w:sz="4" w:space="0"/>
              <w:bottom w:val="nil"/>
              <w:right w:val="single" w:color="000000" w:sz="4" w:space="0"/>
            </w:tcBorders>
            <w:vAlign w:val="top"/>
          </w:tcPr>
          <w:p w14:paraId="05235520">
            <w:pPr>
              <w:spacing w:line="347" w:lineRule="auto"/>
              <w:rPr>
                <w:rFonts w:ascii="Arial"/>
                <w:sz w:val="21"/>
              </w:rPr>
            </w:pPr>
          </w:p>
          <w:p w14:paraId="1B502B34">
            <w:pPr>
              <w:spacing w:before="65" w:line="228" w:lineRule="auto"/>
              <w:ind w:left="44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扬尘类</w:t>
            </w:r>
            <w:r>
              <w:rPr>
                <w:rFonts w:ascii="宋体" w:hAnsi="宋体" w:eastAsia="宋体" w:cs="宋体"/>
                <w:spacing w:val="8"/>
                <w:sz w:val="20"/>
                <w:szCs w:val="20"/>
                <w14:textOutline w14:w="3795" w14:cap="sq" w14:cmpd="sng">
                  <w14:solidFill>
                    <w14:srgbClr w14:val="000000"/>
                  </w14:solidFill>
                  <w14:prstDash w14:val="solid"/>
                  <w14:bevel/>
                </w14:textOutline>
              </w:rPr>
              <w:t>型</w:t>
            </w:r>
          </w:p>
        </w:tc>
        <w:tc>
          <w:tcPr>
            <w:tcW w:w="2664" w:type="dxa"/>
            <w:vMerge w:val="restart"/>
            <w:tcBorders>
              <w:left w:val="single" w:color="000000" w:sz="4" w:space="0"/>
              <w:bottom w:val="nil"/>
              <w:right w:val="single" w:color="000000" w:sz="4" w:space="0"/>
            </w:tcBorders>
            <w:vAlign w:val="top"/>
          </w:tcPr>
          <w:p w14:paraId="01885006">
            <w:pPr>
              <w:spacing w:line="348" w:lineRule="auto"/>
              <w:rPr>
                <w:rFonts w:ascii="Arial"/>
                <w:sz w:val="21"/>
              </w:rPr>
            </w:pPr>
          </w:p>
          <w:p w14:paraId="23A4209D">
            <w:pPr>
              <w:spacing w:before="65" w:line="228" w:lineRule="auto"/>
              <w:ind w:left="494"/>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扬</w:t>
            </w:r>
            <w:r>
              <w:rPr>
                <w:rFonts w:ascii="宋体" w:hAnsi="宋体" w:eastAsia="宋体" w:cs="宋体"/>
                <w:spacing w:val="9"/>
                <w:sz w:val="20"/>
                <w:szCs w:val="20"/>
                <w14:textOutline w14:w="3795" w14:cap="sq" w14:cmpd="sng">
                  <w14:solidFill>
                    <w14:srgbClr w14:val="000000"/>
                  </w14:solidFill>
                  <w14:prstDash w14:val="solid"/>
                  <w14:bevel/>
                </w14:textOutline>
              </w:rPr>
              <w:t>尘污染控制措施</w:t>
            </w:r>
          </w:p>
        </w:tc>
        <w:tc>
          <w:tcPr>
            <w:tcW w:w="2733" w:type="dxa"/>
            <w:gridSpan w:val="3"/>
            <w:tcBorders>
              <w:left w:val="single" w:color="000000" w:sz="4" w:space="0"/>
              <w:right w:val="nil"/>
            </w:tcBorders>
            <w:vAlign w:val="top"/>
          </w:tcPr>
          <w:p w14:paraId="43925DD9">
            <w:pPr>
              <w:spacing w:before="76" w:line="228" w:lineRule="auto"/>
              <w:ind w:left="429"/>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可</w:t>
            </w:r>
            <w:r>
              <w:rPr>
                <w:rFonts w:ascii="宋体" w:hAnsi="宋体" w:eastAsia="宋体" w:cs="宋体"/>
                <w:spacing w:val="9"/>
                <w:sz w:val="20"/>
                <w:szCs w:val="20"/>
                <w14:textOutline w14:w="3795" w14:cap="sq" w14:cmpd="sng">
                  <w14:solidFill>
                    <w14:srgbClr w14:val="000000"/>
                  </w14:solidFill>
                  <w14:prstDash w14:val="solid"/>
                  <w14:bevel/>
                </w14:textOutline>
              </w:rPr>
              <w:t>控排放量排放系数</w:t>
            </w:r>
          </w:p>
        </w:tc>
      </w:tr>
      <w:tr w14:paraId="59B32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74" w:type="dxa"/>
            <w:vMerge w:val="continue"/>
            <w:tcBorders>
              <w:top w:val="nil"/>
              <w:left w:val="nil"/>
              <w:bottom w:val="nil"/>
              <w:right w:val="single" w:color="000000" w:sz="4" w:space="0"/>
            </w:tcBorders>
            <w:vAlign w:val="top"/>
          </w:tcPr>
          <w:p w14:paraId="557B1E1A">
            <w:pPr>
              <w:rPr>
                <w:rFonts w:ascii="Arial"/>
                <w:sz w:val="21"/>
              </w:rPr>
            </w:pPr>
          </w:p>
        </w:tc>
        <w:tc>
          <w:tcPr>
            <w:tcW w:w="1735" w:type="dxa"/>
            <w:vMerge w:val="continue"/>
            <w:tcBorders>
              <w:top w:val="nil"/>
              <w:left w:val="single" w:color="000000" w:sz="4" w:space="0"/>
              <w:bottom w:val="nil"/>
              <w:right w:val="single" w:color="000000" w:sz="4" w:space="0"/>
            </w:tcBorders>
            <w:vAlign w:val="top"/>
          </w:tcPr>
          <w:p w14:paraId="22527098">
            <w:pPr>
              <w:rPr>
                <w:rFonts w:ascii="Arial"/>
                <w:sz w:val="21"/>
              </w:rPr>
            </w:pPr>
          </w:p>
        </w:tc>
        <w:tc>
          <w:tcPr>
            <w:tcW w:w="2664" w:type="dxa"/>
            <w:vMerge w:val="continue"/>
            <w:tcBorders>
              <w:top w:val="nil"/>
              <w:left w:val="single" w:color="000000" w:sz="4" w:space="0"/>
              <w:bottom w:val="nil"/>
              <w:right w:val="single" w:color="000000" w:sz="4" w:space="0"/>
            </w:tcBorders>
            <w:vAlign w:val="top"/>
          </w:tcPr>
          <w:p w14:paraId="797B28F6">
            <w:pPr>
              <w:rPr>
                <w:rFonts w:ascii="Arial"/>
                <w:sz w:val="21"/>
              </w:rPr>
            </w:pPr>
          </w:p>
        </w:tc>
        <w:tc>
          <w:tcPr>
            <w:tcW w:w="895" w:type="dxa"/>
            <w:vMerge w:val="restart"/>
            <w:tcBorders>
              <w:left w:val="single" w:color="000000" w:sz="4" w:space="0"/>
              <w:bottom w:val="nil"/>
              <w:right w:val="single" w:color="000000" w:sz="4" w:space="0"/>
            </w:tcBorders>
            <w:vAlign w:val="top"/>
          </w:tcPr>
          <w:p w14:paraId="5DA89375">
            <w:pPr>
              <w:spacing w:before="230" w:line="228" w:lineRule="auto"/>
              <w:ind w:left="23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代码</w:t>
            </w:r>
          </w:p>
        </w:tc>
        <w:tc>
          <w:tcPr>
            <w:tcW w:w="1838" w:type="dxa"/>
            <w:gridSpan w:val="2"/>
            <w:tcBorders>
              <w:left w:val="single" w:color="000000" w:sz="4" w:space="0"/>
              <w:right w:val="nil"/>
            </w:tcBorders>
            <w:vAlign w:val="top"/>
          </w:tcPr>
          <w:p w14:paraId="17B47CB1">
            <w:pPr>
              <w:spacing w:before="61" w:line="228" w:lineRule="auto"/>
              <w:ind w:left="50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措</w:t>
            </w:r>
            <w:r>
              <w:rPr>
                <w:rFonts w:ascii="宋体" w:hAnsi="宋体" w:eastAsia="宋体" w:cs="宋体"/>
                <w:spacing w:val="8"/>
                <w:sz w:val="20"/>
                <w:szCs w:val="20"/>
                <w14:textOutline w14:w="3795" w14:cap="sq" w14:cmpd="sng">
                  <w14:solidFill>
                    <w14:srgbClr w14:val="000000"/>
                  </w14:solidFill>
                  <w14:prstDash w14:val="solid"/>
                  <w14:bevel/>
                </w14:textOutline>
              </w:rPr>
              <w:t>施达标</w:t>
            </w:r>
          </w:p>
        </w:tc>
      </w:tr>
      <w:tr w14:paraId="2EBAC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74" w:type="dxa"/>
            <w:vMerge w:val="continue"/>
            <w:tcBorders>
              <w:top w:val="nil"/>
              <w:left w:val="nil"/>
              <w:right w:val="single" w:color="000000" w:sz="4" w:space="0"/>
            </w:tcBorders>
            <w:vAlign w:val="top"/>
          </w:tcPr>
          <w:p w14:paraId="5DB8FC09">
            <w:pPr>
              <w:rPr>
                <w:rFonts w:ascii="Arial"/>
                <w:sz w:val="21"/>
              </w:rPr>
            </w:pPr>
          </w:p>
        </w:tc>
        <w:tc>
          <w:tcPr>
            <w:tcW w:w="1735" w:type="dxa"/>
            <w:vMerge w:val="continue"/>
            <w:tcBorders>
              <w:top w:val="nil"/>
              <w:left w:val="single" w:color="000000" w:sz="4" w:space="0"/>
              <w:right w:val="single" w:color="000000" w:sz="4" w:space="0"/>
            </w:tcBorders>
            <w:vAlign w:val="top"/>
          </w:tcPr>
          <w:p w14:paraId="3227D5CE">
            <w:pPr>
              <w:rPr>
                <w:rFonts w:ascii="Arial"/>
                <w:sz w:val="21"/>
              </w:rPr>
            </w:pPr>
          </w:p>
        </w:tc>
        <w:tc>
          <w:tcPr>
            <w:tcW w:w="2664" w:type="dxa"/>
            <w:vMerge w:val="continue"/>
            <w:tcBorders>
              <w:top w:val="nil"/>
              <w:left w:val="single" w:color="000000" w:sz="4" w:space="0"/>
              <w:right w:val="single" w:color="000000" w:sz="4" w:space="0"/>
            </w:tcBorders>
            <w:vAlign w:val="top"/>
          </w:tcPr>
          <w:p w14:paraId="49481F07">
            <w:pPr>
              <w:rPr>
                <w:rFonts w:ascii="Arial"/>
                <w:sz w:val="21"/>
              </w:rPr>
            </w:pPr>
          </w:p>
        </w:tc>
        <w:tc>
          <w:tcPr>
            <w:tcW w:w="895" w:type="dxa"/>
            <w:vMerge w:val="continue"/>
            <w:tcBorders>
              <w:top w:val="nil"/>
              <w:left w:val="single" w:color="000000" w:sz="4" w:space="0"/>
              <w:right w:val="single" w:color="000000" w:sz="4" w:space="0"/>
            </w:tcBorders>
            <w:vAlign w:val="top"/>
          </w:tcPr>
          <w:p w14:paraId="7A19FEF6">
            <w:pPr>
              <w:rPr>
                <w:rFonts w:ascii="Arial"/>
                <w:sz w:val="21"/>
              </w:rPr>
            </w:pPr>
          </w:p>
        </w:tc>
        <w:tc>
          <w:tcPr>
            <w:tcW w:w="920" w:type="dxa"/>
            <w:tcBorders>
              <w:left w:val="single" w:color="000000" w:sz="4" w:space="0"/>
              <w:right w:val="single" w:color="000000" w:sz="4" w:space="0"/>
            </w:tcBorders>
            <w:vAlign w:val="top"/>
          </w:tcPr>
          <w:p w14:paraId="7FF26009">
            <w:pPr>
              <w:spacing w:before="62" w:line="231" w:lineRule="auto"/>
              <w:ind w:left="36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是</w:t>
            </w:r>
          </w:p>
        </w:tc>
        <w:tc>
          <w:tcPr>
            <w:tcW w:w="918" w:type="dxa"/>
            <w:tcBorders>
              <w:left w:val="single" w:color="000000" w:sz="4" w:space="0"/>
              <w:right w:val="nil"/>
            </w:tcBorders>
            <w:vAlign w:val="top"/>
          </w:tcPr>
          <w:p w14:paraId="3AA64578">
            <w:pPr>
              <w:spacing w:before="62" w:line="228" w:lineRule="auto"/>
              <w:ind w:left="366"/>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否</w:t>
            </w:r>
          </w:p>
        </w:tc>
      </w:tr>
      <w:tr w14:paraId="0BC1B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74" w:type="dxa"/>
            <w:vMerge w:val="restart"/>
            <w:tcBorders>
              <w:left w:val="nil"/>
              <w:bottom w:val="nil"/>
              <w:right w:val="single" w:color="000000" w:sz="4" w:space="0"/>
            </w:tcBorders>
            <w:vAlign w:val="top"/>
          </w:tcPr>
          <w:p w14:paraId="6FE54EB8">
            <w:pPr>
              <w:spacing w:line="247" w:lineRule="auto"/>
              <w:rPr>
                <w:rFonts w:ascii="Arial"/>
                <w:sz w:val="21"/>
              </w:rPr>
            </w:pPr>
          </w:p>
          <w:p w14:paraId="4AD05361">
            <w:pPr>
              <w:spacing w:line="248" w:lineRule="auto"/>
              <w:rPr>
                <w:rFonts w:ascii="Arial"/>
                <w:sz w:val="21"/>
              </w:rPr>
            </w:pPr>
          </w:p>
          <w:p w14:paraId="7A21142D">
            <w:pPr>
              <w:spacing w:line="248" w:lineRule="auto"/>
              <w:rPr>
                <w:rFonts w:ascii="Arial"/>
                <w:sz w:val="21"/>
              </w:rPr>
            </w:pPr>
          </w:p>
          <w:p w14:paraId="6834CFFD">
            <w:pPr>
              <w:spacing w:line="248" w:lineRule="auto"/>
              <w:rPr>
                <w:rFonts w:ascii="Arial"/>
                <w:sz w:val="21"/>
              </w:rPr>
            </w:pPr>
          </w:p>
          <w:p w14:paraId="2689DC69">
            <w:pPr>
              <w:spacing w:before="65" w:line="228" w:lineRule="auto"/>
              <w:ind w:left="173"/>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筑工地</w:t>
            </w:r>
          </w:p>
        </w:tc>
        <w:tc>
          <w:tcPr>
            <w:tcW w:w="1735" w:type="dxa"/>
            <w:vMerge w:val="restart"/>
            <w:tcBorders>
              <w:left w:val="single" w:color="000000" w:sz="4" w:space="0"/>
              <w:bottom w:val="nil"/>
              <w:right w:val="single" w:color="000000" w:sz="4" w:space="0"/>
            </w:tcBorders>
            <w:vAlign w:val="top"/>
          </w:tcPr>
          <w:p w14:paraId="1095B546">
            <w:pPr>
              <w:spacing w:line="259" w:lineRule="auto"/>
              <w:rPr>
                <w:rFonts w:ascii="Arial"/>
                <w:sz w:val="21"/>
              </w:rPr>
            </w:pPr>
          </w:p>
          <w:p w14:paraId="16EF0FF5">
            <w:pPr>
              <w:spacing w:line="260" w:lineRule="auto"/>
              <w:rPr>
                <w:rFonts w:ascii="Arial"/>
                <w:sz w:val="21"/>
              </w:rPr>
            </w:pPr>
          </w:p>
          <w:p w14:paraId="2EBBD090">
            <w:pPr>
              <w:spacing w:before="65" w:line="274" w:lineRule="exact"/>
              <w:ind w:left="452"/>
              <w:rPr>
                <w:rFonts w:ascii="宋体" w:hAnsi="宋体" w:eastAsia="宋体" w:cs="宋体"/>
                <w:sz w:val="20"/>
                <w:szCs w:val="20"/>
              </w:rPr>
            </w:pPr>
            <w:r>
              <w:rPr>
                <w:rFonts w:ascii="宋体" w:hAnsi="宋体" w:eastAsia="宋体" w:cs="宋体"/>
                <w:spacing w:val="8"/>
                <w:position w:val="3"/>
                <w:sz w:val="20"/>
                <w:szCs w:val="20"/>
              </w:rPr>
              <w:t>一</w:t>
            </w:r>
            <w:r>
              <w:rPr>
                <w:rFonts w:ascii="宋体" w:hAnsi="宋体" w:eastAsia="宋体" w:cs="宋体"/>
                <w:spacing w:val="6"/>
                <w:position w:val="3"/>
                <w:sz w:val="20"/>
                <w:szCs w:val="20"/>
              </w:rPr>
              <w:t>次扬尘</w:t>
            </w:r>
          </w:p>
          <w:p w14:paraId="4614D140">
            <w:pPr>
              <w:spacing w:line="281"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累计计算</w:t>
            </w:r>
            <w:r>
              <w:rPr>
                <w:rFonts w:ascii="Times New Roman" w:hAnsi="Times New Roman" w:eastAsia="Times New Roman" w:cs="Times New Roman"/>
                <w:spacing w:val="5"/>
                <w:position w:val="2"/>
                <w:sz w:val="20"/>
                <w:szCs w:val="20"/>
              </w:rPr>
              <w:t>)</w:t>
            </w:r>
          </w:p>
        </w:tc>
        <w:tc>
          <w:tcPr>
            <w:tcW w:w="2664" w:type="dxa"/>
            <w:tcBorders>
              <w:left w:val="single" w:color="000000" w:sz="4" w:space="0"/>
              <w:right w:val="single" w:color="000000" w:sz="4" w:space="0"/>
            </w:tcBorders>
            <w:vAlign w:val="top"/>
          </w:tcPr>
          <w:p w14:paraId="3BCB7FB0">
            <w:pPr>
              <w:spacing w:before="61" w:line="228" w:lineRule="auto"/>
              <w:ind w:left="599"/>
              <w:rPr>
                <w:rFonts w:ascii="宋体" w:hAnsi="宋体" w:eastAsia="宋体" w:cs="宋体"/>
                <w:sz w:val="20"/>
                <w:szCs w:val="20"/>
              </w:rPr>
            </w:pPr>
            <w:r>
              <w:rPr>
                <w:rFonts w:ascii="宋体" w:hAnsi="宋体" w:eastAsia="宋体" w:cs="宋体"/>
                <w:spacing w:val="9"/>
                <w:sz w:val="20"/>
                <w:szCs w:val="20"/>
              </w:rPr>
              <w:t>道路硬化与管</w:t>
            </w:r>
            <w:r>
              <w:rPr>
                <w:rFonts w:ascii="宋体" w:hAnsi="宋体" w:eastAsia="宋体" w:cs="宋体"/>
                <w:spacing w:val="7"/>
                <w:sz w:val="20"/>
                <w:szCs w:val="20"/>
              </w:rPr>
              <w:t>理</w:t>
            </w:r>
          </w:p>
        </w:tc>
        <w:tc>
          <w:tcPr>
            <w:tcW w:w="895" w:type="dxa"/>
            <w:tcBorders>
              <w:left w:val="single" w:color="000000" w:sz="4" w:space="0"/>
              <w:right w:val="single" w:color="000000" w:sz="4" w:space="0"/>
            </w:tcBorders>
            <w:vAlign w:val="top"/>
          </w:tcPr>
          <w:p w14:paraId="4D3DD21B">
            <w:pPr>
              <w:spacing w:before="9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11</w:t>
            </w:r>
          </w:p>
        </w:tc>
        <w:tc>
          <w:tcPr>
            <w:tcW w:w="920" w:type="dxa"/>
            <w:tcBorders>
              <w:left w:val="single" w:color="000000" w:sz="4" w:space="0"/>
              <w:right w:val="single" w:color="000000" w:sz="4" w:space="0"/>
            </w:tcBorders>
            <w:vAlign w:val="top"/>
          </w:tcPr>
          <w:p w14:paraId="09B6C588">
            <w:pPr>
              <w:spacing w:before="97"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8" w:type="dxa"/>
            <w:tcBorders>
              <w:left w:val="single" w:color="000000" w:sz="4" w:space="0"/>
              <w:right w:val="nil"/>
            </w:tcBorders>
            <w:vAlign w:val="top"/>
          </w:tcPr>
          <w:p w14:paraId="77BF364B">
            <w:pPr>
              <w:spacing w:before="9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p>
        </w:tc>
      </w:tr>
      <w:tr w14:paraId="07CBB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74" w:type="dxa"/>
            <w:vMerge w:val="continue"/>
            <w:tcBorders>
              <w:top w:val="nil"/>
              <w:left w:val="nil"/>
              <w:bottom w:val="nil"/>
              <w:right w:val="single" w:color="000000" w:sz="4" w:space="0"/>
            </w:tcBorders>
            <w:vAlign w:val="top"/>
          </w:tcPr>
          <w:p w14:paraId="2E75A8E0">
            <w:pPr>
              <w:rPr>
                <w:rFonts w:ascii="Arial"/>
                <w:sz w:val="21"/>
              </w:rPr>
            </w:pPr>
          </w:p>
        </w:tc>
        <w:tc>
          <w:tcPr>
            <w:tcW w:w="1735" w:type="dxa"/>
            <w:vMerge w:val="continue"/>
            <w:tcBorders>
              <w:top w:val="nil"/>
              <w:left w:val="single" w:color="000000" w:sz="4" w:space="0"/>
              <w:bottom w:val="nil"/>
              <w:right w:val="single" w:color="000000" w:sz="4" w:space="0"/>
            </w:tcBorders>
            <w:vAlign w:val="top"/>
          </w:tcPr>
          <w:p w14:paraId="054B3226">
            <w:pPr>
              <w:rPr>
                <w:rFonts w:ascii="Arial"/>
                <w:sz w:val="21"/>
              </w:rPr>
            </w:pPr>
          </w:p>
        </w:tc>
        <w:tc>
          <w:tcPr>
            <w:tcW w:w="2664" w:type="dxa"/>
            <w:tcBorders>
              <w:left w:val="single" w:color="000000" w:sz="4" w:space="0"/>
              <w:right w:val="single" w:color="000000" w:sz="4" w:space="0"/>
            </w:tcBorders>
            <w:vAlign w:val="top"/>
          </w:tcPr>
          <w:p w14:paraId="4BE456E2">
            <w:pPr>
              <w:spacing w:before="62" w:line="228" w:lineRule="auto"/>
              <w:ind w:left="914"/>
              <w:rPr>
                <w:rFonts w:ascii="宋体" w:hAnsi="宋体" w:eastAsia="宋体" w:cs="宋体"/>
                <w:sz w:val="20"/>
                <w:szCs w:val="20"/>
              </w:rPr>
            </w:pPr>
            <w:r>
              <w:rPr>
                <w:rFonts w:ascii="宋体" w:hAnsi="宋体" w:eastAsia="宋体" w:cs="宋体"/>
                <w:spacing w:val="9"/>
                <w:sz w:val="20"/>
                <w:szCs w:val="20"/>
              </w:rPr>
              <w:t>边</w:t>
            </w:r>
            <w:r>
              <w:rPr>
                <w:rFonts w:ascii="宋体" w:hAnsi="宋体" w:eastAsia="宋体" w:cs="宋体"/>
                <w:spacing w:val="7"/>
                <w:sz w:val="20"/>
                <w:szCs w:val="20"/>
              </w:rPr>
              <w:t>界围挡</w:t>
            </w:r>
          </w:p>
        </w:tc>
        <w:tc>
          <w:tcPr>
            <w:tcW w:w="895" w:type="dxa"/>
            <w:tcBorders>
              <w:left w:val="single" w:color="000000" w:sz="4" w:space="0"/>
              <w:right w:val="single" w:color="000000" w:sz="4" w:space="0"/>
            </w:tcBorders>
            <w:vAlign w:val="top"/>
          </w:tcPr>
          <w:p w14:paraId="3B28BA0D">
            <w:pPr>
              <w:spacing w:before="9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12</w:t>
            </w:r>
          </w:p>
        </w:tc>
        <w:tc>
          <w:tcPr>
            <w:tcW w:w="920" w:type="dxa"/>
            <w:tcBorders>
              <w:left w:val="single" w:color="000000" w:sz="4" w:space="0"/>
              <w:right w:val="single" w:color="000000" w:sz="4" w:space="0"/>
            </w:tcBorders>
            <w:vAlign w:val="top"/>
          </w:tcPr>
          <w:p w14:paraId="27A90984">
            <w:pPr>
              <w:spacing w:before="9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8" w:type="dxa"/>
            <w:tcBorders>
              <w:left w:val="single" w:color="000000" w:sz="4" w:space="0"/>
              <w:right w:val="nil"/>
            </w:tcBorders>
            <w:vAlign w:val="top"/>
          </w:tcPr>
          <w:p w14:paraId="0FBD0D58">
            <w:pPr>
              <w:spacing w:before="9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0.47</w:t>
            </w:r>
          </w:p>
        </w:tc>
      </w:tr>
      <w:tr w14:paraId="63D26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74" w:type="dxa"/>
            <w:vMerge w:val="continue"/>
            <w:tcBorders>
              <w:top w:val="nil"/>
              <w:left w:val="nil"/>
              <w:bottom w:val="nil"/>
              <w:right w:val="single" w:color="000000" w:sz="4" w:space="0"/>
            </w:tcBorders>
            <w:vAlign w:val="top"/>
          </w:tcPr>
          <w:p w14:paraId="26661CCD">
            <w:pPr>
              <w:rPr>
                <w:rFonts w:ascii="Arial"/>
                <w:sz w:val="21"/>
              </w:rPr>
            </w:pPr>
          </w:p>
        </w:tc>
        <w:tc>
          <w:tcPr>
            <w:tcW w:w="1735" w:type="dxa"/>
            <w:vMerge w:val="continue"/>
            <w:tcBorders>
              <w:top w:val="nil"/>
              <w:left w:val="single" w:color="000000" w:sz="4" w:space="0"/>
              <w:bottom w:val="nil"/>
              <w:right w:val="single" w:color="000000" w:sz="4" w:space="0"/>
            </w:tcBorders>
            <w:vAlign w:val="top"/>
          </w:tcPr>
          <w:p w14:paraId="20451F16">
            <w:pPr>
              <w:rPr>
                <w:rFonts w:ascii="Arial"/>
                <w:sz w:val="21"/>
              </w:rPr>
            </w:pPr>
          </w:p>
        </w:tc>
        <w:tc>
          <w:tcPr>
            <w:tcW w:w="2664" w:type="dxa"/>
            <w:tcBorders>
              <w:left w:val="single" w:color="000000" w:sz="4" w:space="0"/>
              <w:right w:val="single" w:color="000000" w:sz="4" w:space="0"/>
            </w:tcBorders>
            <w:vAlign w:val="top"/>
          </w:tcPr>
          <w:p w14:paraId="3D445EC4">
            <w:pPr>
              <w:spacing w:before="64" w:line="228" w:lineRule="auto"/>
              <w:ind w:left="706"/>
              <w:rPr>
                <w:rFonts w:ascii="宋体" w:hAnsi="宋体" w:eastAsia="宋体" w:cs="宋体"/>
                <w:sz w:val="20"/>
                <w:szCs w:val="20"/>
              </w:rPr>
            </w:pPr>
            <w:r>
              <w:rPr>
                <w:rFonts w:ascii="宋体" w:hAnsi="宋体" w:eastAsia="宋体" w:cs="宋体"/>
                <w:spacing w:val="9"/>
                <w:sz w:val="20"/>
                <w:szCs w:val="20"/>
              </w:rPr>
              <w:t>裸</w:t>
            </w:r>
            <w:r>
              <w:rPr>
                <w:rFonts w:ascii="宋体" w:hAnsi="宋体" w:eastAsia="宋体" w:cs="宋体"/>
                <w:spacing w:val="8"/>
                <w:sz w:val="20"/>
                <w:szCs w:val="20"/>
              </w:rPr>
              <w:t>露地面覆盖</w:t>
            </w:r>
          </w:p>
        </w:tc>
        <w:tc>
          <w:tcPr>
            <w:tcW w:w="895" w:type="dxa"/>
            <w:tcBorders>
              <w:left w:val="single" w:color="000000" w:sz="4" w:space="0"/>
              <w:right w:val="single" w:color="000000" w:sz="4" w:space="0"/>
            </w:tcBorders>
            <w:vAlign w:val="top"/>
          </w:tcPr>
          <w:p w14:paraId="477E21CD">
            <w:pPr>
              <w:spacing w:before="10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13</w:t>
            </w:r>
          </w:p>
        </w:tc>
        <w:tc>
          <w:tcPr>
            <w:tcW w:w="920" w:type="dxa"/>
            <w:tcBorders>
              <w:left w:val="single" w:color="000000" w:sz="4" w:space="0"/>
              <w:right w:val="single" w:color="000000" w:sz="4" w:space="0"/>
            </w:tcBorders>
            <w:vAlign w:val="top"/>
          </w:tcPr>
          <w:p w14:paraId="37CAB434">
            <w:pPr>
              <w:spacing w:before="10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8" w:type="dxa"/>
            <w:tcBorders>
              <w:left w:val="single" w:color="000000" w:sz="4" w:space="0"/>
              <w:right w:val="nil"/>
            </w:tcBorders>
            <w:vAlign w:val="top"/>
          </w:tcPr>
          <w:p w14:paraId="3469516C">
            <w:pPr>
              <w:spacing w:before="10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0.47</w:t>
            </w:r>
          </w:p>
        </w:tc>
      </w:tr>
      <w:tr w14:paraId="3AC8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74" w:type="dxa"/>
            <w:vMerge w:val="continue"/>
            <w:tcBorders>
              <w:top w:val="nil"/>
              <w:left w:val="nil"/>
              <w:bottom w:val="nil"/>
              <w:right w:val="single" w:color="000000" w:sz="4" w:space="0"/>
            </w:tcBorders>
            <w:vAlign w:val="top"/>
          </w:tcPr>
          <w:p w14:paraId="601B5927">
            <w:pPr>
              <w:rPr>
                <w:rFonts w:ascii="Arial"/>
                <w:sz w:val="21"/>
              </w:rPr>
            </w:pPr>
          </w:p>
        </w:tc>
        <w:tc>
          <w:tcPr>
            <w:tcW w:w="1735" w:type="dxa"/>
            <w:vMerge w:val="continue"/>
            <w:tcBorders>
              <w:top w:val="nil"/>
              <w:left w:val="single" w:color="000000" w:sz="4" w:space="0"/>
              <w:bottom w:val="nil"/>
              <w:right w:val="single" w:color="000000" w:sz="4" w:space="0"/>
            </w:tcBorders>
            <w:vAlign w:val="top"/>
          </w:tcPr>
          <w:p w14:paraId="3D38BC87">
            <w:pPr>
              <w:rPr>
                <w:rFonts w:ascii="Arial"/>
                <w:sz w:val="21"/>
              </w:rPr>
            </w:pPr>
          </w:p>
        </w:tc>
        <w:tc>
          <w:tcPr>
            <w:tcW w:w="2664" w:type="dxa"/>
            <w:tcBorders>
              <w:left w:val="single" w:color="000000" w:sz="4" w:space="0"/>
              <w:right w:val="single" w:color="000000" w:sz="4" w:space="0"/>
            </w:tcBorders>
            <w:vAlign w:val="top"/>
          </w:tcPr>
          <w:p w14:paraId="77FB0C03">
            <w:pPr>
              <w:spacing w:before="64" w:line="228" w:lineRule="auto"/>
              <w:ind w:left="614"/>
              <w:rPr>
                <w:rFonts w:ascii="宋体" w:hAnsi="宋体" w:eastAsia="宋体" w:cs="宋体"/>
                <w:sz w:val="20"/>
                <w:szCs w:val="20"/>
              </w:rPr>
            </w:pPr>
            <w:r>
              <w:rPr>
                <w:rFonts w:ascii="宋体" w:hAnsi="宋体" w:eastAsia="宋体" w:cs="宋体"/>
                <w:spacing w:val="11"/>
                <w:sz w:val="20"/>
                <w:szCs w:val="20"/>
              </w:rPr>
              <w:t>易</w:t>
            </w:r>
            <w:r>
              <w:rPr>
                <w:rFonts w:ascii="宋体" w:hAnsi="宋体" w:eastAsia="宋体" w:cs="宋体"/>
                <w:spacing w:val="6"/>
                <w:sz w:val="20"/>
                <w:szCs w:val="20"/>
              </w:rPr>
              <w:t>扬尘物料覆盖</w:t>
            </w:r>
          </w:p>
        </w:tc>
        <w:tc>
          <w:tcPr>
            <w:tcW w:w="895" w:type="dxa"/>
            <w:tcBorders>
              <w:left w:val="single" w:color="000000" w:sz="4" w:space="0"/>
              <w:right w:val="single" w:color="000000" w:sz="4" w:space="0"/>
            </w:tcBorders>
            <w:vAlign w:val="top"/>
          </w:tcPr>
          <w:p w14:paraId="19B2ED2D">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14</w:t>
            </w:r>
          </w:p>
        </w:tc>
        <w:tc>
          <w:tcPr>
            <w:tcW w:w="920" w:type="dxa"/>
            <w:tcBorders>
              <w:left w:val="single" w:color="000000" w:sz="4" w:space="0"/>
              <w:right w:val="single" w:color="000000" w:sz="4" w:space="0"/>
            </w:tcBorders>
            <w:vAlign w:val="top"/>
          </w:tcPr>
          <w:p w14:paraId="05922875">
            <w:pPr>
              <w:spacing w:before="99"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8" w:type="dxa"/>
            <w:tcBorders>
              <w:left w:val="single" w:color="000000" w:sz="4" w:space="0"/>
              <w:right w:val="nil"/>
            </w:tcBorders>
            <w:vAlign w:val="top"/>
          </w:tcPr>
          <w:p w14:paraId="4553CB3B">
            <w:pPr>
              <w:spacing w:before="10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1C185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74" w:type="dxa"/>
            <w:vMerge w:val="continue"/>
            <w:tcBorders>
              <w:top w:val="nil"/>
              <w:left w:val="nil"/>
              <w:bottom w:val="nil"/>
              <w:right w:val="single" w:color="000000" w:sz="4" w:space="0"/>
            </w:tcBorders>
            <w:vAlign w:val="top"/>
          </w:tcPr>
          <w:p w14:paraId="1FE01428">
            <w:pPr>
              <w:rPr>
                <w:rFonts w:ascii="Arial"/>
                <w:sz w:val="21"/>
              </w:rPr>
            </w:pPr>
          </w:p>
        </w:tc>
        <w:tc>
          <w:tcPr>
            <w:tcW w:w="1735" w:type="dxa"/>
            <w:vMerge w:val="continue"/>
            <w:tcBorders>
              <w:top w:val="nil"/>
              <w:left w:val="single" w:color="000000" w:sz="4" w:space="0"/>
              <w:right w:val="single" w:color="000000" w:sz="4" w:space="0"/>
            </w:tcBorders>
            <w:vAlign w:val="top"/>
          </w:tcPr>
          <w:p w14:paraId="1C44F03C">
            <w:pPr>
              <w:rPr>
                <w:rFonts w:ascii="Arial"/>
                <w:sz w:val="21"/>
              </w:rPr>
            </w:pPr>
          </w:p>
        </w:tc>
        <w:tc>
          <w:tcPr>
            <w:tcW w:w="2664" w:type="dxa"/>
            <w:tcBorders>
              <w:left w:val="single" w:color="000000" w:sz="4" w:space="0"/>
              <w:right w:val="single" w:color="000000" w:sz="4" w:space="0"/>
            </w:tcBorders>
            <w:vAlign w:val="top"/>
          </w:tcPr>
          <w:p w14:paraId="27D7B9D6">
            <w:pPr>
              <w:spacing w:before="64" w:line="227" w:lineRule="auto"/>
              <w:ind w:left="605"/>
              <w:rPr>
                <w:rFonts w:ascii="宋体" w:hAnsi="宋体" w:eastAsia="宋体" w:cs="宋体"/>
                <w:sz w:val="20"/>
                <w:szCs w:val="20"/>
              </w:rPr>
            </w:pPr>
            <w:r>
              <w:rPr>
                <w:rFonts w:ascii="宋体" w:hAnsi="宋体" w:eastAsia="宋体" w:cs="宋体"/>
                <w:spacing w:val="8"/>
                <w:sz w:val="20"/>
                <w:szCs w:val="20"/>
              </w:rPr>
              <w:t>定期喷洒抑制</w:t>
            </w:r>
            <w:r>
              <w:rPr>
                <w:rFonts w:ascii="宋体" w:hAnsi="宋体" w:eastAsia="宋体" w:cs="宋体"/>
                <w:spacing w:val="7"/>
                <w:sz w:val="20"/>
                <w:szCs w:val="20"/>
              </w:rPr>
              <w:t>剂</w:t>
            </w:r>
          </w:p>
        </w:tc>
        <w:tc>
          <w:tcPr>
            <w:tcW w:w="895" w:type="dxa"/>
            <w:tcBorders>
              <w:left w:val="single" w:color="000000" w:sz="4" w:space="0"/>
              <w:right w:val="single" w:color="000000" w:sz="4" w:space="0"/>
            </w:tcBorders>
            <w:vAlign w:val="top"/>
          </w:tcPr>
          <w:p w14:paraId="2067E573">
            <w:pPr>
              <w:spacing w:before="10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5"/>
                <w:sz w:val="20"/>
                <w:szCs w:val="20"/>
              </w:rPr>
              <w:t>15</w:t>
            </w:r>
          </w:p>
        </w:tc>
        <w:tc>
          <w:tcPr>
            <w:tcW w:w="920" w:type="dxa"/>
            <w:tcBorders>
              <w:left w:val="single" w:color="000000" w:sz="4" w:space="0"/>
              <w:right w:val="single" w:color="000000" w:sz="4" w:space="0"/>
            </w:tcBorders>
            <w:vAlign w:val="top"/>
          </w:tcPr>
          <w:p w14:paraId="6F636B13">
            <w:pPr>
              <w:spacing w:before="10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8" w:type="dxa"/>
            <w:tcBorders>
              <w:left w:val="single" w:color="000000" w:sz="4" w:space="0"/>
              <w:right w:val="nil"/>
            </w:tcBorders>
            <w:vAlign w:val="top"/>
          </w:tcPr>
          <w:p w14:paraId="1F8B342F">
            <w:pPr>
              <w:spacing w:before="100"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w:t>
            </w:r>
          </w:p>
        </w:tc>
      </w:tr>
      <w:tr w14:paraId="58926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174" w:type="dxa"/>
            <w:vMerge w:val="continue"/>
            <w:tcBorders>
              <w:top w:val="nil"/>
              <w:left w:val="nil"/>
              <w:right w:val="single" w:color="000000" w:sz="4" w:space="0"/>
            </w:tcBorders>
            <w:vAlign w:val="top"/>
          </w:tcPr>
          <w:p w14:paraId="6EAC3F71">
            <w:pPr>
              <w:rPr>
                <w:rFonts w:ascii="Arial"/>
                <w:sz w:val="21"/>
              </w:rPr>
            </w:pPr>
          </w:p>
        </w:tc>
        <w:tc>
          <w:tcPr>
            <w:tcW w:w="1735" w:type="dxa"/>
            <w:tcBorders>
              <w:left w:val="single" w:color="000000" w:sz="4" w:space="0"/>
              <w:right w:val="single" w:color="000000" w:sz="4" w:space="0"/>
            </w:tcBorders>
            <w:vAlign w:val="top"/>
          </w:tcPr>
          <w:p w14:paraId="45DF9148">
            <w:pPr>
              <w:spacing w:before="60" w:line="263" w:lineRule="auto"/>
              <w:ind w:left="276" w:right="268" w:firstLine="175"/>
              <w:rPr>
                <w:rFonts w:ascii="Times New Roman" w:hAnsi="Times New Roman" w:eastAsia="Times New Roman" w:cs="Times New Roman"/>
                <w:sz w:val="20"/>
                <w:szCs w:val="20"/>
              </w:rPr>
            </w:pPr>
            <w:r>
              <w:rPr>
                <w:rFonts w:ascii="宋体" w:hAnsi="宋体" w:eastAsia="宋体" w:cs="宋体"/>
                <w:spacing w:val="8"/>
                <w:sz w:val="20"/>
                <w:szCs w:val="20"/>
              </w:rPr>
              <w:t>二</w:t>
            </w:r>
            <w:r>
              <w:rPr>
                <w:rFonts w:ascii="宋体" w:hAnsi="宋体" w:eastAsia="宋体" w:cs="宋体"/>
                <w:spacing w:val="6"/>
                <w:sz w:val="20"/>
                <w:szCs w:val="20"/>
              </w:rPr>
              <w:t>次扬尘</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w:t>
            </w:r>
            <w:r>
              <w:rPr>
                <w:rFonts w:ascii="宋体" w:hAnsi="宋体" w:eastAsia="宋体" w:cs="宋体"/>
                <w:spacing w:val="6"/>
                <w:sz w:val="20"/>
                <w:szCs w:val="20"/>
              </w:rPr>
              <w:t>不累计计算</w:t>
            </w:r>
            <w:r>
              <w:rPr>
                <w:rFonts w:ascii="Times New Roman" w:hAnsi="Times New Roman" w:eastAsia="Times New Roman" w:cs="Times New Roman"/>
                <w:spacing w:val="6"/>
                <w:sz w:val="20"/>
                <w:szCs w:val="20"/>
              </w:rPr>
              <w:t>)</w:t>
            </w:r>
          </w:p>
        </w:tc>
        <w:tc>
          <w:tcPr>
            <w:tcW w:w="2664" w:type="dxa"/>
            <w:tcBorders>
              <w:left w:val="single" w:color="000000" w:sz="4" w:space="0"/>
              <w:right w:val="single" w:color="000000" w:sz="4" w:space="0"/>
            </w:tcBorders>
            <w:vAlign w:val="top"/>
          </w:tcPr>
          <w:p w14:paraId="2036DA80">
            <w:pPr>
              <w:spacing w:before="215" w:line="227" w:lineRule="auto"/>
              <w:ind w:left="286"/>
              <w:rPr>
                <w:rFonts w:ascii="宋体" w:hAnsi="宋体" w:eastAsia="宋体" w:cs="宋体"/>
                <w:sz w:val="20"/>
                <w:szCs w:val="20"/>
              </w:rPr>
            </w:pPr>
            <w:r>
              <w:rPr>
                <w:rFonts w:ascii="宋体" w:hAnsi="宋体" w:eastAsia="宋体" w:cs="宋体"/>
                <w:spacing w:val="9"/>
                <w:sz w:val="20"/>
                <w:szCs w:val="20"/>
              </w:rPr>
              <w:t>运输车辆简易冲洗装</w:t>
            </w:r>
            <w:r>
              <w:rPr>
                <w:rFonts w:ascii="宋体" w:hAnsi="宋体" w:eastAsia="宋体" w:cs="宋体"/>
                <w:spacing w:val="8"/>
                <w:sz w:val="20"/>
                <w:szCs w:val="20"/>
              </w:rPr>
              <w:t>置</w:t>
            </w:r>
          </w:p>
        </w:tc>
        <w:tc>
          <w:tcPr>
            <w:tcW w:w="895" w:type="dxa"/>
            <w:tcBorders>
              <w:left w:val="single" w:color="000000" w:sz="4" w:space="0"/>
              <w:right w:val="single" w:color="000000" w:sz="4" w:space="0"/>
            </w:tcBorders>
            <w:vAlign w:val="top"/>
          </w:tcPr>
          <w:p w14:paraId="2C4A5746">
            <w:pPr>
              <w:spacing w:before="251" w:line="195"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4"/>
                <w:sz w:val="20"/>
                <w:szCs w:val="20"/>
              </w:rPr>
              <w:t>2</w:t>
            </w:r>
          </w:p>
        </w:tc>
        <w:tc>
          <w:tcPr>
            <w:tcW w:w="920" w:type="dxa"/>
            <w:tcBorders>
              <w:left w:val="single" w:color="000000" w:sz="4" w:space="0"/>
              <w:right w:val="single" w:color="000000" w:sz="4" w:space="0"/>
            </w:tcBorders>
            <w:vAlign w:val="top"/>
          </w:tcPr>
          <w:p w14:paraId="2319ED02">
            <w:pPr>
              <w:spacing w:before="251" w:line="198"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55</w:t>
            </w:r>
          </w:p>
        </w:tc>
        <w:tc>
          <w:tcPr>
            <w:tcW w:w="918" w:type="dxa"/>
            <w:tcBorders>
              <w:left w:val="single" w:color="000000" w:sz="4" w:space="0"/>
              <w:right w:val="nil"/>
            </w:tcBorders>
            <w:vAlign w:val="top"/>
          </w:tcPr>
          <w:p w14:paraId="530FBF00">
            <w:pPr>
              <w:spacing w:before="251"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3.1</w:t>
            </w:r>
          </w:p>
        </w:tc>
      </w:tr>
    </w:tbl>
    <w:p w14:paraId="4CE76082">
      <w:pPr>
        <w:spacing w:before="57" w:line="232" w:lineRule="auto"/>
        <w:ind w:left="21"/>
        <w:rPr>
          <w:rFonts w:ascii="宋体" w:hAnsi="宋体" w:eastAsia="宋体" w:cs="宋体"/>
          <w:sz w:val="19"/>
          <w:szCs w:val="19"/>
        </w:rPr>
      </w:pPr>
      <w:r>
        <w:rPr>
          <w:rFonts w:ascii="宋体" w:hAnsi="宋体" w:eastAsia="宋体" w:cs="宋体"/>
          <w:spacing w:val="19"/>
          <w:sz w:val="19"/>
          <w:szCs w:val="19"/>
          <w14:textOutline w14:w="3614" w14:cap="sq" w14:cmpd="sng">
            <w14:solidFill>
              <w14:srgbClr w14:val="000000"/>
            </w14:solidFill>
            <w14:prstDash w14:val="solid"/>
            <w14:bevel/>
          </w14:textOutline>
        </w:rPr>
        <w:t>注</w:t>
      </w:r>
      <w:r>
        <w:rPr>
          <w:rFonts w:ascii="宋体" w:hAnsi="宋体" w:eastAsia="宋体" w:cs="宋体"/>
          <w:spacing w:val="13"/>
          <w:sz w:val="19"/>
          <w:szCs w:val="19"/>
          <w14:textOutline w14:w="3614" w14:cap="sq" w14:cmpd="sng">
            <w14:solidFill>
              <w14:srgbClr w14:val="000000"/>
            </w14:solidFill>
            <w14:prstDash w14:val="solid"/>
            <w14:bevel/>
          </w14:textOutline>
        </w:rPr>
        <w:t>：运输车辆冲洗采用机械冲洗装置，未达到其基本要求时，按简易冲洗装置的基本要求进行</w:t>
      </w:r>
    </w:p>
    <w:p w14:paraId="26315739">
      <w:pPr>
        <w:spacing w:before="72" w:line="228" w:lineRule="auto"/>
        <w:ind w:left="24"/>
        <w:rPr>
          <w:rFonts w:ascii="宋体" w:hAnsi="宋体" w:eastAsia="宋体" w:cs="宋体"/>
          <w:sz w:val="19"/>
          <w:szCs w:val="19"/>
        </w:rPr>
      </w:pPr>
      <w:r>
        <w:rPr>
          <w:rFonts w:ascii="宋体" w:hAnsi="宋体" w:eastAsia="宋体" w:cs="宋体"/>
          <w:spacing w:val="4"/>
          <w:sz w:val="19"/>
          <w:szCs w:val="19"/>
          <w14:textOutline w14:w="3614" w14:cap="sq" w14:cmpd="sng">
            <w14:solidFill>
              <w14:srgbClr w14:val="000000"/>
            </w14:solidFill>
            <w14:prstDash w14:val="solid"/>
            <w14:bevel/>
          </w14:textOutline>
        </w:rPr>
        <w:t>核</w:t>
      </w:r>
      <w:r>
        <w:rPr>
          <w:rFonts w:ascii="宋体" w:hAnsi="宋体" w:eastAsia="宋体" w:cs="宋体"/>
          <w:spacing w:val="3"/>
          <w:sz w:val="19"/>
          <w:szCs w:val="19"/>
          <w14:textOutline w14:w="3614" w14:cap="sq" w14:cmpd="sng">
            <w14:solidFill>
              <w14:srgbClr w14:val="000000"/>
            </w14:solidFill>
            <w14:prstDash w14:val="solid"/>
            <w14:bevel/>
          </w14:textOutline>
        </w:rPr>
        <w:t>算。</w:t>
      </w:r>
    </w:p>
    <w:p w14:paraId="63D74928">
      <w:pPr>
        <w:spacing w:before="311" w:line="323" w:lineRule="exact"/>
        <w:ind w:left="503"/>
        <w:rPr>
          <w:rFonts w:ascii="Wingdings" w:hAnsi="Wingdings" w:eastAsia="Wingdings" w:cs="Wingdings"/>
          <w:sz w:val="23"/>
          <w:szCs w:val="23"/>
        </w:rPr>
      </w:pPr>
      <w:r>
        <w:rPr>
          <w:rFonts w:ascii="宋体" w:hAnsi="宋体" w:eastAsia="宋体" w:cs="宋体"/>
          <w:spacing w:val="-2"/>
          <w:position w:val="1"/>
          <w:sz w:val="23"/>
          <w:szCs w:val="23"/>
        </w:rPr>
        <w:t>根据上述公式计算扬尘量为：</w:t>
      </w:r>
      <w:r>
        <w:rPr>
          <w:rFonts w:ascii="Times New Roman" w:hAnsi="Times New Roman" w:eastAsia="Times New Roman" w:cs="Times New Roman"/>
          <w:spacing w:val="-2"/>
          <w:position w:val="1"/>
          <w:sz w:val="23"/>
          <w:szCs w:val="23"/>
        </w:rPr>
        <w:t xml:space="preserve">B </w:t>
      </w:r>
      <w:r>
        <w:rPr>
          <w:rFonts w:ascii="宋体" w:hAnsi="宋体" w:eastAsia="宋体" w:cs="宋体"/>
          <w:spacing w:val="-2"/>
          <w:position w:val="1"/>
          <w:sz w:val="23"/>
          <w:szCs w:val="23"/>
        </w:rPr>
        <w:t xml:space="preserve">基本排放量排放系数取建筑工地 </w:t>
      </w:r>
      <w:r>
        <w:rPr>
          <w:rFonts w:ascii="Times New Roman" w:hAnsi="Times New Roman" w:eastAsia="Times New Roman" w:cs="Times New Roman"/>
          <w:spacing w:val="-2"/>
          <w:position w:val="1"/>
          <w:sz w:val="23"/>
          <w:szCs w:val="23"/>
        </w:rPr>
        <w:t>4.8t/</w:t>
      </w:r>
      <w:r>
        <w:rPr>
          <w:rFonts w:ascii="宋体" w:hAnsi="宋体" w:eastAsia="宋体" w:cs="宋体"/>
          <w:spacing w:val="-2"/>
          <w:position w:val="1"/>
          <w:sz w:val="23"/>
          <w:szCs w:val="23"/>
        </w:rPr>
        <w:t xml:space="preserve">万 </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2"/>
          <w:position w:val="9"/>
          <w:sz w:val="15"/>
          <w:szCs w:val="15"/>
        </w:rPr>
        <w:t xml:space="preserve">2 </w:t>
      </w:r>
      <w:r>
        <w:rPr>
          <w:rFonts w:ascii="Wingdings" w:hAnsi="Wingdings" w:eastAsia="Wingdings" w:cs="Wingdings"/>
          <w:spacing w:val="-2"/>
          <w:position w:val="1"/>
          <w:sz w:val="23"/>
          <w:szCs w:val="23"/>
        </w:rPr>
        <w:t>1</w:t>
      </w:r>
    </w:p>
    <w:p w14:paraId="6D32DC8C">
      <w:pPr>
        <w:spacing w:before="203" w:line="227" w:lineRule="auto"/>
        <w:ind w:left="29"/>
        <w:rPr>
          <w:rFonts w:ascii="宋体" w:hAnsi="宋体" w:eastAsia="宋体" w:cs="宋体"/>
          <w:sz w:val="23"/>
          <w:szCs w:val="23"/>
        </w:rPr>
      </w:pPr>
      <w:r>
        <w:rPr>
          <w:rFonts w:ascii="宋体" w:hAnsi="宋体" w:eastAsia="宋体" w:cs="宋体"/>
          <w:spacing w:val="3"/>
          <w:sz w:val="23"/>
          <w:szCs w:val="23"/>
        </w:rPr>
        <w:t>月</w:t>
      </w:r>
      <w:r>
        <w:rPr>
          <w:rFonts w:ascii="宋体" w:hAnsi="宋体" w:eastAsia="宋体" w:cs="宋体"/>
          <w:spacing w:val="2"/>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施工期 </w:t>
      </w:r>
      <w:r>
        <w:rPr>
          <w:rFonts w:ascii="Times New Roman" w:hAnsi="Times New Roman" w:eastAsia="Times New Roman" w:cs="Times New Roman"/>
          <w:spacing w:val="2"/>
          <w:sz w:val="23"/>
          <w:szCs w:val="23"/>
        </w:rPr>
        <w:t xml:space="preserve">6 </w:t>
      </w:r>
      <w:r>
        <w:rPr>
          <w:rFonts w:ascii="宋体" w:hAnsi="宋体" w:eastAsia="宋体" w:cs="宋体"/>
          <w:spacing w:val="2"/>
          <w:sz w:val="23"/>
          <w:szCs w:val="23"/>
        </w:rPr>
        <w:t xml:space="preserve">个月；施工面积为 </w:t>
      </w:r>
      <w:r>
        <w:rPr>
          <w:rFonts w:ascii="Times New Roman" w:hAnsi="Times New Roman" w:eastAsia="Times New Roman" w:cs="Times New Roman"/>
          <w:spacing w:val="2"/>
          <w:sz w:val="23"/>
          <w:szCs w:val="23"/>
        </w:rPr>
        <w:t>600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2</w:t>
      </w:r>
      <w:r>
        <w:rPr>
          <w:rFonts w:ascii="宋体" w:hAnsi="宋体" w:eastAsia="宋体" w:cs="宋体"/>
          <w:spacing w:val="2"/>
          <w:sz w:val="23"/>
          <w:szCs w:val="23"/>
        </w:rPr>
        <w:t>；</w:t>
      </w:r>
    </w:p>
    <w:p w14:paraId="3C49491C">
      <w:pPr>
        <w:spacing w:line="276" w:lineRule="auto"/>
        <w:rPr>
          <w:rFonts w:ascii="Arial"/>
          <w:sz w:val="21"/>
        </w:rPr>
      </w:pPr>
    </w:p>
    <w:p w14:paraId="39FC496E">
      <w:pPr>
        <w:spacing w:before="76" w:line="225" w:lineRule="auto"/>
        <w:ind w:left="502"/>
        <w:rPr>
          <w:rFonts w:ascii="宋体" w:hAnsi="宋体" w:eastAsia="宋体" w:cs="宋体"/>
          <w:sz w:val="23"/>
          <w:szCs w:val="23"/>
        </w:rPr>
      </w:pPr>
      <w:r>
        <w:rPr>
          <w:rFonts w:ascii="宋体" w:hAnsi="宋体" w:eastAsia="宋体" w:cs="宋体"/>
          <w:spacing w:val="16"/>
          <w:sz w:val="23"/>
          <w:szCs w:val="23"/>
        </w:rPr>
        <w:t>①</w:t>
      </w:r>
      <w:r>
        <w:rPr>
          <w:rFonts w:ascii="宋体" w:hAnsi="宋体" w:eastAsia="宋体" w:cs="宋体"/>
          <w:spacing w:val="11"/>
          <w:sz w:val="23"/>
          <w:szCs w:val="23"/>
        </w:rPr>
        <w:t>本</w:t>
      </w:r>
      <w:r>
        <w:rPr>
          <w:rFonts w:ascii="宋体" w:hAnsi="宋体" w:eastAsia="宋体" w:cs="宋体"/>
          <w:spacing w:val="8"/>
          <w:sz w:val="23"/>
          <w:szCs w:val="23"/>
        </w:rPr>
        <w:t>项目建筑施工扬尘产生量为：</w:t>
      </w:r>
    </w:p>
    <w:p w14:paraId="00DEFE1A">
      <w:pPr>
        <w:spacing w:line="278" w:lineRule="auto"/>
        <w:rPr>
          <w:rFonts w:ascii="Arial"/>
          <w:sz w:val="21"/>
        </w:rPr>
      </w:pPr>
    </w:p>
    <w:p w14:paraId="3D92D554">
      <w:pPr>
        <w:spacing w:before="75" w:line="237" w:lineRule="auto"/>
        <w:ind w:left="497"/>
        <w:rPr>
          <w:rFonts w:ascii="宋体" w:hAnsi="宋体" w:eastAsia="宋体" w:cs="宋体"/>
          <w:sz w:val="23"/>
          <w:szCs w:val="23"/>
        </w:rPr>
      </w:pPr>
      <w:r>
        <w:rPr>
          <w:rFonts w:ascii="Times New Roman" w:hAnsi="Times New Roman" w:eastAsia="Times New Roman" w:cs="Times New Roman"/>
          <w:sz w:val="23"/>
          <w:szCs w:val="23"/>
        </w:rPr>
        <w:t>WB</w:t>
      </w:r>
      <w:r>
        <w:rPr>
          <w:rFonts w:ascii="宋体" w:hAnsi="宋体" w:eastAsia="宋体" w:cs="宋体"/>
          <w:spacing w:val="1"/>
          <w:sz w:val="23"/>
          <w:szCs w:val="23"/>
        </w:rPr>
        <w:t xml:space="preserve">：基本排放量为 </w:t>
      </w:r>
      <w:r>
        <w:rPr>
          <w:rFonts w:ascii="Times New Roman" w:hAnsi="Times New Roman" w:eastAsia="Times New Roman" w:cs="Times New Roman"/>
          <w:spacing w:val="1"/>
          <w:sz w:val="23"/>
          <w:szCs w:val="23"/>
        </w:rPr>
        <w:t xml:space="preserve">1.73 </w:t>
      </w:r>
      <w:r>
        <w:rPr>
          <w:rFonts w:ascii="宋体" w:hAnsi="宋体" w:eastAsia="宋体" w:cs="宋体"/>
          <w:spacing w:val="1"/>
          <w:sz w:val="23"/>
          <w:szCs w:val="23"/>
        </w:rPr>
        <w:t xml:space="preserve">吨；     </w:t>
      </w:r>
      <w:r>
        <w:rPr>
          <w:rFonts w:ascii="Times New Roman" w:hAnsi="Times New Roman" w:eastAsia="Times New Roman" w:cs="Times New Roman"/>
          <w:sz w:val="23"/>
          <w:szCs w:val="23"/>
        </w:rPr>
        <w:t>WK</w:t>
      </w:r>
      <w:r>
        <w:rPr>
          <w:rFonts w:ascii="宋体" w:hAnsi="宋体" w:eastAsia="宋体" w:cs="宋体"/>
          <w:spacing w:val="1"/>
          <w:sz w:val="23"/>
          <w:szCs w:val="23"/>
        </w:rPr>
        <w:t xml:space="preserve">：可控排放量为 </w:t>
      </w: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 xml:space="preserve">91 </w:t>
      </w:r>
      <w:r>
        <w:rPr>
          <w:rFonts w:ascii="宋体" w:hAnsi="宋体" w:eastAsia="宋体" w:cs="宋体"/>
          <w:sz w:val="23"/>
          <w:szCs w:val="23"/>
        </w:rPr>
        <w:t>吨；</w:t>
      </w:r>
    </w:p>
    <w:p w14:paraId="33E18AD6">
      <w:pPr>
        <w:spacing w:line="264" w:lineRule="auto"/>
        <w:rPr>
          <w:rFonts w:ascii="Arial"/>
          <w:sz w:val="21"/>
        </w:rPr>
      </w:pPr>
    </w:p>
    <w:p w14:paraId="0B78F54A">
      <w:pPr>
        <w:spacing w:before="75" w:line="237" w:lineRule="auto"/>
        <w:ind w:left="497"/>
        <w:rPr>
          <w:rFonts w:ascii="宋体" w:hAnsi="宋体" w:eastAsia="宋体" w:cs="宋体"/>
          <w:sz w:val="23"/>
          <w:szCs w:val="23"/>
        </w:rPr>
      </w:pPr>
      <w:r>
        <w:rPr>
          <w:rFonts w:ascii="Times New Roman" w:hAnsi="Times New Roman" w:eastAsia="Times New Roman" w:cs="Times New Roman"/>
          <w:sz w:val="23"/>
          <w:szCs w:val="23"/>
        </w:rPr>
        <w:t>W</w:t>
      </w:r>
      <w:r>
        <w:rPr>
          <w:rFonts w:ascii="宋体" w:hAnsi="宋体" w:eastAsia="宋体" w:cs="宋体"/>
          <w:spacing w:val="8"/>
          <w:sz w:val="23"/>
          <w:szCs w:val="23"/>
        </w:rPr>
        <w:t>：施工</w:t>
      </w:r>
      <w:r>
        <w:rPr>
          <w:rFonts w:ascii="宋体" w:hAnsi="宋体" w:eastAsia="宋体" w:cs="宋体"/>
          <w:spacing w:val="6"/>
          <w:sz w:val="23"/>
          <w:szCs w:val="23"/>
        </w:rPr>
        <w:t>工</w:t>
      </w:r>
      <w:r>
        <w:rPr>
          <w:rFonts w:ascii="宋体" w:hAnsi="宋体" w:eastAsia="宋体" w:cs="宋体"/>
          <w:spacing w:val="4"/>
          <w:sz w:val="23"/>
          <w:szCs w:val="23"/>
        </w:rPr>
        <w:t xml:space="preserve">地扬尘排放量为 </w:t>
      </w:r>
      <w:r>
        <w:rPr>
          <w:rFonts w:ascii="Times New Roman" w:hAnsi="Times New Roman" w:eastAsia="Times New Roman" w:cs="Times New Roman"/>
          <w:spacing w:val="4"/>
          <w:sz w:val="23"/>
          <w:szCs w:val="23"/>
        </w:rPr>
        <w:t xml:space="preserve">3.64 </w:t>
      </w:r>
      <w:r>
        <w:rPr>
          <w:rFonts w:ascii="宋体" w:hAnsi="宋体" w:eastAsia="宋体" w:cs="宋体"/>
          <w:spacing w:val="4"/>
          <w:sz w:val="23"/>
          <w:szCs w:val="23"/>
        </w:rPr>
        <w:t>吨。</w:t>
      </w:r>
    </w:p>
    <w:p w14:paraId="55067DA6">
      <w:pPr>
        <w:spacing w:line="264" w:lineRule="auto"/>
        <w:rPr>
          <w:rFonts w:ascii="Arial"/>
          <w:sz w:val="21"/>
        </w:rPr>
      </w:pPr>
    </w:p>
    <w:p w14:paraId="595C9371">
      <w:pPr>
        <w:spacing w:before="75" w:line="393" w:lineRule="auto"/>
        <w:ind w:left="29" w:firstLine="472"/>
        <w:rPr>
          <w:rFonts w:ascii="宋体" w:hAnsi="宋体" w:eastAsia="宋体" w:cs="宋体"/>
          <w:sz w:val="23"/>
          <w:szCs w:val="23"/>
        </w:rPr>
      </w:pPr>
      <w:r>
        <w:rPr>
          <w:rFonts w:ascii="宋体" w:hAnsi="宋体" w:eastAsia="宋体" w:cs="宋体"/>
          <w:spacing w:val="4"/>
          <w:sz w:val="23"/>
          <w:szCs w:val="23"/>
        </w:rPr>
        <w:t>②本项目采</w:t>
      </w:r>
      <w:r>
        <w:rPr>
          <w:rFonts w:ascii="宋体" w:hAnsi="宋体" w:eastAsia="宋体" w:cs="宋体"/>
          <w:spacing w:val="3"/>
          <w:sz w:val="23"/>
          <w:szCs w:val="23"/>
        </w:rPr>
        <w:t>取</w:t>
      </w:r>
      <w:r>
        <w:rPr>
          <w:rFonts w:ascii="宋体" w:hAnsi="宋体" w:eastAsia="宋体" w:cs="宋体"/>
          <w:spacing w:val="2"/>
          <w:sz w:val="23"/>
          <w:szCs w:val="23"/>
        </w:rPr>
        <w:t>道路硬化与管理、边界围挡、裸露地面覆盖、易扬尘物料覆盖、</w:t>
      </w:r>
      <w:r>
        <w:rPr>
          <w:rFonts w:ascii="宋体" w:hAnsi="宋体" w:eastAsia="宋体" w:cs="宋体"/>
          <w:sz w:val="23"/>
          <w:szCs w:val="23"/>
        </w:rPr>
        <w:t xml:space="preserve"> </w:t>
      </w:r>
      <w:r>
        <w:rPr>
          <w:rFonts w:ascii="宋体" w:hAnsi="宋体" w:eastAsia="宋体" w:cs="宋体"/>
          <w:spacing w:val="8"/>
          <w:sz w:val="23"/>
          <w:szCs w:val="23"/>
        </w:rPr>
        <w:t>定期喷洒抑制剂措施，采取以上措施后，计算本项目建筑施工扬尘的排放量为</w:t>
      </w:r>
      <w:r>
        <w:rPr>
          <w:rFonts w:ascii="宋体" w:hAnsi="宋体" w:eastAsia="宋体" w:cs="宋体"/>
          <w:spacing w:val="2"/>
          <w:sz w:val="23"/>
          <w:szCs w:val="23"/>
        </w:rPr>
        <w:t>：</w:t>
      </w:r>
    </w:p>
    <w:p w14:paraId="44E24BCF">
      <w:pPr>
        <w:spacing w:before="137" w:line="237" w:lineRule="auto"/>
        <w:ind w:left="497"/>
        <w:rPr>
          <w:rFonts w:ascii="宋体" w:hAnsi="宋体" w:eastAsia="宋体" w:cs="宋体"/>
          <w:sz w:val="23"/>
          <w:szCs w:val="23"/>
        </w:rPr>
      </w:pPr>
      <w:r>
        <w:rPr>
          <w:rFonts w:ascii="Times New Roman" w:hAnsi="Times New Roman" w:eastAsia="Times New Roman" w:cs="Times New Roman"/>
          <w:sz w:val="23"/>
          <w:szCs w:val="23"/>
        </w:rPr>
        <w:t>WB</w:t>
      </w:r>
      <w:r>
        <w:rPr>
          <w:rFonts w:ascii="宋体" w:hAnsi="宋体" w:eastAsia="宋体" w:cs="宋体"/>
          <w:spacing w:val="1"/>
          <w:sz w:val="23"/>
          <w:szCs w:val="23"/>
        </w:rPr>
        <w:t xml:space="preserve">：基本排放量为 </w:t>
      </w:r>
      <w:r>
        <w:rPr>
          <w:rFonts w:ascii="Times New Roman" w:hAnsi="Times New Roman" w:eastAsia="Times New Roman" w:cs="Times New Roman"/>
          <w:spacing w:val="1"/>
          <w:sz w:val="23"/>
          <w:szCs w:val="23"/>
        </w:rPr>
        <w:t xml:space="preserve">1.73 </w:t>
      </w:r>
      <w:r>
        <w:rPr>
          <w:rFonts w:ascii="宋体" w:hAnsi="宋体" w:eastAsia="宋体" w:cs="宋体"/>
          <w:spacing w:val="1"/>
          <w:sz w:val="23"/>
          <w:szCs w:val="23"/>
        </w:rPr>
        <w:t xml:space="preserve">吨；     </w:t>
      </w:r>
      <w:r>
        <w:rPr>
          <w:rFonts w:ascii="Times New Roman" w:hAnsi="Times New Roman" w:eastAsia="Times New Roman" w:cs="Times New Roman"/>
          <w:sz w:val="23"/>
          <w:szCs w:val="23"/>
        </w:rPr>
        <w:t>WK</w:t>
      </w:r>
      <w:r>
        <w:rPr>
          <w:rFonts w:ascii="宋体" w:hAnsi="宋体" w:eastAsia="宋体" w:cs="宋体"/>
          <w:spacing w:val="1"/>
          <w:sz w:val="23"/>
          <w:szCs w:val="23"/>
        </w:rPr>
        <w:t xml:space="preserve">：可控排放量为 </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 xml:space="preserve">56 </w:t>
      </w:r>
      <w:r>
        <w:rPr>
          <w:rFonts w:ascii="宋体" w:hAnsi="宋体" w:eastAsia="宋体" w:cs="宋体"/>
          <w:sz w:val="23"/>
          <w:szCs w:val="23"/>
        </w:rPr>
        <w:t>吨；</w:t>
      </w:r>
    </w:p>
    <w:p w14:paraId="60792822">
      <w:pPr>
        <w:spacing w:line="264" w:lineRule="auto"/>
        <w:rPr>
          <w:rFonts w:ascii="Arial"/>
          <w:sz w:val="21"/>
        </w:rPr>
      </w:pPr>
    </w:p>
    <w:p w14:paraId="0721493D">
      <w:pPr>
        <w:spacing w:before="75" w:line="237" w:lineRule="auto"/>
        <w:ind w:left="497"/>
        <w:rPr>
          <w:rFonts w:ascii="宋体" w:hAnsi="宋体" w:eastAsia="宋体" w:cs="宋体"/>
          <w:sz w:val="23"/>
          <w:szCs w:val="23"/>
        </w:rPr>
      </w:pPr>
      <w:r>
        <w:rPr>
          <w:rFonts w:ascii="Times New Roman" w:hAnsi="Times New Roman" w:eastAsia="Times New Roman" w:cs="Times New Roman"/>
          <w:sz w:val="23"/>
          <w:szCs w:val="23"/>
        </w:rPr>
        <w:t>W</w:t>
      </w:r>
      <w:r>
        <w:rPr>
          <w:rFonts w:ascii="宋体" w:hAnsi="宋体" w:eastAsia="宋体" w:cs="宋体"/>
          <w:spacing w:val="8"/>
          <w:sz w:val="23"/>
          <w:szCs w:val="23"/>
        </w:rPr>
        <w:t>：施工</w:t>
      </w:r>
      <w:r>
        <w:rPr>
          <w:rFonts w:ascii="宋体" w:hAnsi="宋体" w:eastAsia="宋体" w:cs="宋体"/>
          <w:spacing w:val="6"/>
          <w:sz w:val="23"/>
          <w:szCs w:val="23"/>
        </w:rPr>
        <w:t>工</w:t>
      </w:r>
      <w:r>
        <w:rPr>
          <w:rFonts w:ascii="宋体" w:hAnsi="宋体" w:eastAsia="宋体" w:cs="宋体"/>
          <w:spacing w:val="4"/>
          <w:sz w:val="23"/>
          <w:szCs w:val="23"/>
        </w:rPr>
        <w:t xml:space="preserve">地扬尘排放量为 </w:t>
      </w:r>
      <w:r>
        <w:rPr>
          <w:rFonts w:ascii="Times New Roman" w:hAnsi="Times New Roman" w:eastAsia="Times New Roman" w:cs="Times New Roman"/>
          <w:spacing w:val="4"/>
          <w:sz w:val="23"/>
          <w:szCs w:val="23"/>
        </w:rPr>
        <w:t xml:space="preserve">2.29 </w:t>
      </w:r>
      <w:r>
        <w:rPr>
          <w:rFonts w:ascii="宋体" w:hAnsi="宋体" w:eastAsia="宋体" w:cs="宋体"/>
          <w:spacing w:val="4"/>
          <w:sz w:val="23"/>
          <w:szCs w:val="23"/>
        </w:rPr>
        <w:t>吨。</w:t>
      </w:r>
    </w:p>
    <w:p w14:paraId="7666CFAB">
      <w:pPr>
        <w:spacing w:line="264" w:lineRule="auto"/>
        <w:rPr>
          <w:rFonts w:ascii="Arial"/>
          <w:sz w:val="21"/>
        </w:rPr>
      </w:pPr>
    </w:p>
    <w:p w14:paraId="7D0BB04A">
      <w:pPr>
        <w:spacing w:before="76" w:line="225" w:lineRule="auto"/>
        <w:ind w:left="501"/>
        <w:rPr>
          <w:rFonts w:ascii="宋体" w:hAnsi="宋体" w:eastAsia="宋体" w:cs="宋体"/>
          <w:sz w:val="23"/>
          <w:szCs w:val="23"/>
        </w:rPr>
      </w:pPr>
      <w:r>
        <w:rPr>
          <w:rFonts w:ascii="宋体" w:hAnsi="宋体" w:eastAsia="宋体" w:cs="宋体"/>
          <w:spacing w:val="9"/>
          <w:sz w:val="23"/>
          <w:szCs w:val="23"/>
        </w:rPr>
        <w:t>②机动车尾气分析</w:t>
      </w:r>
    </w:p>
    <w:p w14:paraId="089B4DC4">
      <w:pPr>
        <w:spacing w:line="278" w:lineRule="auto"/>
        <w:rPr>
          <w:rFonts w:ascii="Arial"/>
          <w:sz w:val="21"/>
        </w:rPr>
      </w:pPr>
    </w:p>
    <w:p w14:paraId="57D6B816">
      <w:pPr>
        <w:spacing w:before="75" w:line="388" w:lineRule="auto"/>
        <w:ind w:left="25" w:right="80" w:firstLine="477"/>
        <w:rPr>
          <w:rFonts w:ascii="宋体" w:hAnsi="宋体" w:eastAsia="宋体" w:cs="宋体"/>
          <w:sz w:val="23"/>
          <w:szCs w:val="23"/>
        </w:rPr>
      </w:pPr>
      <w:r>
        <w:rPr>
          <w:rFonts w:ascii="宋体" w:hAnsi="宋体" w:eastAsia="宋体" w:cs="宋体"/>
          <w:spacing w:val="18"/>
          <w:sz w:val="23"/>
          <w:szCs w:val="23"/>
        </w:rPr>
        <w:t>施工</w:t>
      </w:r>
      <w:r>
        <w:rPr>
          <w:rFonts w:ascii="宋体" w:hAnsi="宋体" w:eastAsia="宋体" w:cs="宋体"/>
          <w:spacing w:val="12"/>
          <w:sz w:val="23"/>
          <w:szCs w:val="23"/>
        </w:rPr>
        <w:t>机</w:t>
      </w:r>
      <w:r>
        <w:rPr>
          <w:rFonts w:ascii="宋体" w:hAnsi="宋体" w:eastAsia="宋体" w:cs="宋体"/>
          <w:spacing w:val="9"/>
          <w:sz w:val="23"/>
          <w:szCs w:val="23"/>
        </w:rPr>
        <w:t xml:space="preserve">械和运输车辆基本都以燃油为主，燃烧尾气中含有 </w:t>
      </w:r>
      <w:r>
        <w:rPr>
          <w:rFonts w:ascii="Times New Roman" w:hAnsi="Times New Roman" w:eastAsia="Times New Roman" w:cs="Times New Roman"/>
          <w:sz w:val="23"/>
          <w:szCs w:val="23"/>
        </w:rPr>
        <w:t>CO</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HC</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 xml:space="preserve">NOx </w:t>
      </w:r>
      <w:r>
        <w:rPr>
          <w:rFonts w:ascii="宋体" w:hAnsi="宋体" w:eastAsia="宋体" w:cs="宋体"/>
          <w:spacing w:val="6"/>
          <w:sz w:val="23"/>
          <w:szCs w:val="23"/>
        </w:rPr>
        <w:t>等大气污</w:t>
      </w:r>
      <w:r>
        <w:rPr>
          <w:rFonts w:ascii="宋体" w:hAnsi="宋体" w:eastAsia="宋体" w:cs="宋体"/>
          <w:spacing w:val="4"/>
          <w:sz w:val="23"/>
          <w:szCs w:val="23"/>
        </w:rPr>
        <w:t>染</w:t>
      </w:r>
      <w:r>
        <w:rPr>
          <w:rFonts w:ascii="宋体" w:hAnsi="宋体" w:eastAsia="宋体" w:cs="宋体"/>
          <w:spacing w:val="3"/>
          <w:sz w:val="23"/>
          <w:szCs w:val="23"/>
        </w:rPr>
        <w:t xml:space="preserve">物。施工期预计使用燃柴油施工机械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 xml:space="preserve">台、重型运输汽车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辆，预测</w:t>
      </w:r>
      <w:r>
        <w:rPr>
          <w:rFonts w:ascii="宋体" w:hAnsi="宋体" w:eastAsia="宋体" w:cs="宋体"/>
          <w:sz w:val="23"/>
          <w:szCs w:val="23"/>
        </w:rPr>
        <w:t xml:space="preserve"> </w:t>
      </w:r>
      <w:r>
        <w:rPr>
          <w:rFonts w:ascii="宋体" w:hAnsi="宋体" w:eastAsia="宋体" w:cs="宋体"/>
          <w:spacing w:val="2"/>
          <w:sz w:val="23"/>
          <w:szCs w:val="23"/>
        </w:rPr>
        <w:t xml:space="preserve">日耗柴油量为 </w:t>
      </w:r>
      <w:r>
        <w:rPr>
          <w:rFonts w:ascii="Times New Roman" w:hAnsi="Times New Roman" w:eastAsia="Times New Roman" w:cs="Times New Roman"/>
          <w:spacing w:val="2"/>
          <w:sz w:val="23"/>
          <w:szCs w:val="23"/>
        </w:rPr>
        <w:t>140</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，其汽车尾气主要污染物排放负荷预测结果见表 </w:t>
      </w:r>
      <w:r>
        <w:rPr>
          <w:rFonts w:ascii="Times New Roman" w:hAnsi="Times New Roman" w:eastAsia="Times New Roman" w:cs="Times New Roman"/>
          <w:spacing w:val="2"/>
          <w:sz w:val="23"/>
          <w:szCs w:val="23"/>
        </w:rPr>
        <w:t>3- 12</w:t>
      </w:r>
      <w:r>
        <w:rPr>
          <w:rFonts w:ascii="宋体" w:hAnsi="宋体" w:eastAsia="宋体" w:cs="宋体"/>
          <w:sz w:val="23"/>
          <w:szCs w:val="23"/>
        </w:rPr>
        <w:t>。</w:t>
      </w:r>
    </w:p>
    <w:p w14:paraId="72DFC93F">
      <w:pPr>
        <w:sectPr>
          <w:headerReference r:id="rId108" w:type="default"/>
          <w:footerReference r:id="rId109" w:type="default"/>
          <w:pgSz w:w="11906" w:h="16839"/>
          <w:pgMar w:top="1132" w:right="1719" w:bottom="1182" w:left="1785" w:header="878" w:footer="1022" w:gutter="0"/>
          <w:cols w:space="720" w:num="1"/>
        </w:sectPr>
      </w:pPr>
    </w:p>
    <w:p w14:paraId="2B3AEF01">
      <w:pPr>
        <w:spacing w:line="409" w:lineRule="auto"/>
        <w:rPr>
          <w:rFonts w:ascii="Arial"/>
          <w:sz w:val="21"/>
        </w:rPr>
      </w:pPr>
      <w:r>
        <w:pict>
          <v:shape id="_x0000_s1151" o:spid="_x0000_s1151" style="position:absolute;left:0pt;margin-left:90pt;margin-top:57.35pt;height:0.75pt;width:415.3pt;mso-position-horizontal-relative:page;mso-position-vertical-relative:page;z-index:251798528;mso-width-relative:page;mso-height-relative:page;" fillcolor="#000000" filled="t" stroked="f" coordsize="8305,15" o:allowincell="f" path="m0,0l8305,0,8305,14,0,14,0,0xe">
            <v:path/>
            <v:fill on="t" focussize="0,0"/>
            <v:stroke on="f"/>
            <v:imagedata o:title=""/>
            <o:lock v:ext="edit"/>
          </v:shape>
        </w:pict>
      </w:r>
    </w:p>
    <w:p w14:paraId="0AB3C2D9">
      <w:pPr>
        <w:spacing w:before="74" w:line="227" w:lineRule="auto"/>
        <w:ind w:left="173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5"/>
          <w:sz w:val="23"/>
          <w:szCs w:val="23"/>
        </w:rPr>
        <w:t>3-12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施工期汽车尾气污染物负荷预测结果</w:t>
      </w:r>
    </w:p>
    <w:p w14:paraId="2B2377E4">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2"/>
        <w:gridCol w:w="2121"/>
        <w:gridCol w:w="2120"/>
        <w:gridCol w:w="2119"/>
      </w:tblGrid>
      <w:tr w14:paraId="36E4A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62" w:type="dxa"/>
            <w:tcBorders>
              <w:left w:val="nil"/>
            </w:tcBorders>
            <w:vAlign w:val="top"/>
          </w:tcPr>
          <w:p w14:paraId="63DDE32B">
            <w:pPr>
              <w:spacing w:before="76" w:line="228" w:lineRule="auto"/>
              <w:ind w:left="77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2121" w:type="dxa"/>
            <w:vAlign w:val="top"/>
          </w:tcPr>
          <w:p w14:paraId="36B23592">
            <w:pPr>
              <w:spacing w:before="111" w:line="195" w:lineRule="auto"/>
              <w:ind w:left="85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NOx</w:t>
            </w:r>
          </w:p>
        </w:tc>
        <w:tc>
          <w:tcPr>
            <w:tcW w:w="2120" w:type="dxa"/>
            <w:vAlign w:val="top"/>
          </w:tcPr>
          <w:p w14:paraId="4535CDAD">
            <w:pPr>
              <w:spacing w:before="111" w:line="195" w:lineRule="auto"/>
              <w:ind w:left="909"/>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C</w:t>
            </w:r>
            <w:r>
              <w:rPr>
                <w:rFonts w:ascii="Times New Roman" w:hAnsi="Times New Roman" w:eastAsia="Times New Roman" w:cs="Times New Roman"/>
                <w:b/>
                <w:bCs/>
                <w:spacing w:val="2"/>
                <w:sz w:val="20"/>
                <w:szCs w:val="20"/>
              </w:rPr>
              <w:t>O</w:t>
            </w:r>
          </w:p>
        </w:tc>
        <w:tc>
          <w:tcPr>
            <w:tcW w:w="2119" w:type="dxa"/>
            <w:tcBorders>
              <w:right w:val="nil"/>
            </w:tcBorders>
            <w:vAlign w:val="top"/>
          </w:tcPr>
          <w:p w14:paraId="6D46A621">
            <w:pPr>
              <w:spacing w:before="111" w:line="195" w:lineRule="auto"/>
              <w:ind w:left="83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THC</w:t>
            </w:r>
          </w:p>
        </w:tc>
      </w:tr>
      <w:tr w14:paraId="0A22E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162" w:type="dxa"/>
            <w:tcBorders>
              <w:left w:val="nil"/>
            </w:tcBorders>
            <w:vAlign w:val="top"/>
          </w:tcPr>
          <w:p w14:paraId="1FDF7493">
            <w:pPr>
              <w:spacing w:before="24" w:line="281" w:lineRule="exact"/>
              <w:ind w:left="377"/>
              <w:rPr>
                <w:rFonts w:ascii="宋体" w:hAnsi="宋体" w:eastAsia="宋体" w:cs="宋体"/>
                <w:sz w:val="20"/>
                <w:szCs w:val="20"/>
              </w:rPr>
            </w:pPr>
            <w:r>
              <w:rPr>
                <w:rFonts w:ascii="宋体" w:hAnsi="宋体" w:eastAsia="宋体" w:cs="宋体"/>
                <w:spacing w:val="11"/>
                <w:position w:val="2"/>
                <w:sz w:val="20"/>
                <w:szCs w:val="20"/>
              </w:rPr>
              <w:t>排</w:t>
            </w:r>
            <w:r>
              <w:rPr>
                <w:rFonts w:ascii="宋体" w:hAnsi="宋体" w:eastAsia="宋体" w:cs="宋体"/>
                <w:spacing w:val="6"/>
                <w:position w:val="2"/>
                <w:sz w:val="20"/>
                <w:szCs w:val="20"/>
              </w:rPr>
              <w:t>放量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w:t>
            </w:r>
            <w:r>
              <w:rPr>
                <w:rFonts w:ascii="宋体" w:hAnsi="宋体" w:eastAsia="宋体" w:cs="宋体"/>
                <w:spacing w:val="6"/>
                <w:position w:val="2"/>
                <w:sz w:val="20"/>
                <w:szCs w:val="20"/>
              </w:rPr>
              <w:t>)</w:t>
            </w:r>
          </w:p>
        </w:tc>
        <w:tc>
          <w:tcPr>
            <w:tcW w:w="2121" w:type="dxa"/>
            <w:vAlign w:val="top"/>
          </w:tcPr>
          <w:p w14:paraId="0F835B09">
            <w:pPr>
              <w:spacing w:before="98"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5.35</w:t>
            </w:r>
          </w:p>
        </w:tc>
        <w:tc>
          <w:tcPr>
            <w:tcW w:w="2120" w:type="dxa"/>
            <w:vAlign w:val="top"/>
          </w:tcPr>
          <w:p w14:paraId="61C5E2B2">
            <w:pPr>
              <w:spacing w:before="98"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.7</w:t>
            </w:r>
          </w:p>
        </w:tc>
        <w:tc>
          <w:tcPr>
            <w:tcW w:w="2119" w:type="dxa"/>
            <w:tcBorders>
              <w:right w:val="nil"/>
            </w:tcBorders>
            <w:vAlign w:val="top"/>
          </w:tcPr>
          <w:p w14:paraId="097A0C14">
            <w:pPr>
              <w:spacing w:before="98" w:line="198" w:lineRule="auto"/>
              <w:ind w:left="9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.1</w:t>
            </w:r>
          </w:p>
        </w:tc>
      </w:tr>
    </w:tbl>
    <w:p w14:paraId="326B4205">
      <w:pPr>
        <w:spacing w:line="247" w:lineRule="auto"/>
        <w:rPr>
          <w:rFonts w:ascii="Arial"/>
          <w:sz w:val="21"/>
        </w:rPr>
      </w:pPr>
    </w:p>
    <w:p w14:paraId="12632BA2">
      <w:pPr>
        <w:spacing w:before="74" w:line="378" w:lineRule="auto"/>
        <w:ind w:left="118" w:right="107" w:firstLine="482"/>
        <w:rPr>
          <w:rFonts w:ascii="宋体" w:hAnsi="宋体" w:eastAsia="宋体" w:cs="宋体"/>
          <w:sz w:val="23"/>
          <w:szCs w:val="23"/>
        </w:rPr>
      </w:pPr>
      <w:r>
        <w:rPr>
          <w:rFonts w:ascii="宋体" w:hAnsi="宋体" w:eastAsia="宋体" w:cs="宋体"/>
          <w:spacing w:val="12"/>
          <w:sz w:val="23"/>
          <w:szCs w:val="23"/>
        </w:rPr>
        <w:t>项目原材</w:t>
      </w:r>
      <w:r>
        <w:rPr>
          <w:rFonts w:ascii="宋体" w:hAnsi="宋体" w:eastAsia="宋体" w:cs="宋体"/>
          <w:spacing w:val="7"/>
          <w:sz w:val="23"/>
          <w:szCs w:val="23"/>
        </w:rPr>
        <w:t>料</w:t>
      </w:r>
      <w:r>
        <w:rPr>
          <w:rFonts w:ascii="宋体" w:hAnsi="宋体" w:eastAsia="宋体" w:cs="宋体"/>
          <w:spacing w:val="6"/>
          <w:sz w:val="23"/>
          <w:szCs w:val="23"/>
        </w:rPr>
        <w:t>运输进入施工区内行使距离短，污染物源强不大，且具有流动性</w:t>
      </w:r>
      <w:r>
        <w:rPr>
          <w:rFonts w:ascii="宋体" w:hAnsi="宋体" w:eastAsia="宋体" w:cs="宋体"/>
          <w:sz w:val="23"/>
          <w:szCs w:val="23"/>
        </w:rPr>
        <w:t xml:space="preserve"> </w:t>
      </w:r>
      <w:r>
        <w:rPr>
          <w:rFonts w:ascii="宋体" w:hAnsi="宋体" w:eastAsia="宋体" w:cs="宋体"/>
          <w:spacing w:val="8"/>
          <w:sz w:val="23"/>
          <w:szCs w:val="23"/>
        </w:rPr>
        <w:t>和</w:t>
      </w:r>
      <w:r>
        <w:rPr>
          <w:rFonts w:ascii="宋体" w:hAnsi="宋体" w:eastAsia="宋体" w:cs="宋体"/>
          <w:spacing w:val="7"/>
          <w:sz w:val="23"/>
          <w:szCs w:val="23"/>
        </w:rPr>
        <w:t>间歇性的特点，随着施工结束，此类影响可随之消失，不会对该区域大气环境</w:t>
      </w:r>
      <w:r>
        <w:rPr>
          <w:rFonts w:ascii="宋体" w:hAnsi="宋体" w:eastAsia="宋体" w:cs="宋体"/>
          <w:sz w:val="23"/>
          <w:szCs w:val="23"/>
        </w:rPr>
        <w:t xml:space="preserve"> </w:t>
      </w:r>
      <w:r>
        <w:rPr>
          <w:rFonts w:ascii="宋体" w:hAnsi="宋体" w:eastAsia="宋体" w:cs="宋体"/>
          <w:spacing w:val="8"/>
          <w:sz w:val="23"/>
          <w:szCs w:val="23"/>
        </w:rPr>
        <w:t>质量产生持久性危害</w:t>
      </w:r>
      <w:r>
        <w:rPr>
          <w:rFonts w:ascii="宋体" w:hAnsi="宋体" w:eastAsia="宋体" w:cs="宋体"/>
          <w:spacing w:val="7"/>
          <w:sz w:val="23"/>
          <w:szCs w:val="23"/>
        </w:rPr>
        <w:t>。</w:t>
      </w:r>
    </w:p>
    <w:p w14:paraId="54DF0015">
      <w:pPr>
        <w:spacing w:before="135" w:line="227" w:lineRule="auto"/>
        <w:ind w:left="632"/>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6"/>
          <w:sz w:val="23"/>
          <w:szCs w:val="23"/>
        </w:rPr>
        <w:t>2</w:t>
      </w:r>
      <w:r>
        <w:rPr>
          <w:rFonts w:ascii="宋体" w:hAnsi="宋体" w:eastAsia="宋体" w:cs="宋体"/>
          <w:spacing w:val="26"/>
          <w:sz w:val="23"/>
          <w:szCs w:val="23"/>
        </w:rPr>
        <w:t>) 水污染物排放分</w:t>
      </w:r>
      <w:r>
        <w:rPr>
          <w:rFonts w:ascii="宋体" w:hAnsi="宋体" w:eastAsia="宋体" w:cs="宋体"/>
          <w:spacing w:val="25"/>
          <w:sz w:val="23"/>
          <w:szCs w:val="23"/>
        </w:rPr>
        <w:t>析</w:t>
      </w:r>
    </w:p>
    <w:p w14:paraId="138FCCBD">
      <w:pPr>
        <w:spacing w:line="262" w:lineRule="auto"/>
        <w:rPr>
          <w:rFonts w:ascii="Arial"/>
          <w:sz w:val="21"/>
        </w:rPr>
      </w:pPr>
    </w:p>
    <w:p w14:paraId="5A246882">
      <w:pPr>
        <w:spacing w:before="75" w:line="227" w:lineRule="auto"/>
        <w:ind w:left="620"/>
        <w:rPr>
          <w:rFonts w:ascii="宋体" w:hAnsi="宋体" w:eastAsia="宋体" w:cs="宋体"/>
          <w:sz w:val="23"/>
          <w:szCs w:val="23"/>
        </w:rPr>
      </w:pPr>
      <w:r>
        <w:rPr>
          <w:rFonts w:ascii="宋体" w:hAnsi="宋体" w:eastAsia="宋体" w:cs="宋体"/>
          <w:spacing w:val="21"/>
          <w:sz w:val="23"/>
          <w:szCs w:val="23"/>
        </w:rPr>
        <w:t>施</w:t>
      </w:r>
      <w:r>
        <w:rPr>
          <w:rFonts w:ascii="宋体" w:hAnsi="宋体" w:eastAsia="宋体" w:cs="宋体"/>
          <w:spacing w:val="20"/>
          <w:sz w:val="23"/>
          <w:szCs w:val="23"/>
        </w:rPr>
        <w:t>工期产生的废水主要包括施工废水和生活污水。</w:t>
      </w:r>
    </w:p>
    <w:p w14:paraId="01D753A7">
      <w:pPr>
        <w:spacing w:line="260" w:lineRule="auto"/>
        <w:rPr>
          <w:rFonts w:ascii="Arial"/>
          <w:sz w:val="21"/>
        </w:rPr>
      </w:pPr>
    </w:p>
    <w:p w14:paraId="6496CC53">
      <w:pPr>
        <w:spacing w:before="75" w:line="368" w:lineRule="auto"/>
        <w:ind w:left="116" w:right="114" w:firstLine="506"/>
        <w:rPr>
          <w:rFonts w:ascii="宋体" w:hAnsi="宋体" w:eastAsia="宋体" w:cs="宋体"/>
          <w:sz w:val="23"/>
          <w:szCs w:val="23"/>
        </w:rPr>
      </w:pPr>
      <w:r>
        <w:rPr>
          <w:rFonts w:ascii="宋体" w:hAnsi="宋体" w:eastAsia="宋体" w:cs="宋体"/>
          <w:spacing w:val="12"/>
          <w:sz w:val="23"/>
          <w:szCs w:val="23"/>
        </w:rPr>
        <w:t>生</w:t>
      </w:r>
      <w:r>
        <w:rPr>
          <w:rFonts w:ascii="宋体" w:hAnsi="宋体" w:eastAsia="宋体" w:cs="宋体"/>
          <w:spacing w:val="7"/>
          <w:sz w:val="23"/>
          <w:szCs w:val="23"/>
        </w:rPr>
        <w:t xml:space="preserve">活污水： 施工期人数 </w:t>
      </w:r>
      <w:r>
        <w:rPr>
          <w:rFonts w:ascii="Times New Roman" w:hAnsi="Times New Roman" w:eastAsia="Times New Roman" w:cs="Times New Roman"/>
          <w:spacing w:val="7"/>
          <w:sz w:val="23"/>
          <w:szCs w:val="23"/>
        </w:rPr>
        <w:t xml:space="preserve">30 </w:t>
      </w:r>
      <w:r>
        <w:rPr>
          <w:rFonts w:ascii="宋体" w:hAnsi="宋体" w:eastAsia="宋体" w:cs="宋体"/>
          <w:spacing w:val="7"/>
          <w:sz w:val="23"/>
          <w:szCs w:val="23"/>
        </w:rPr>
        <w:t xml:space="preserve">人 ，用水量以每人每天 </w:t>
      </w:r>
      <w:r>
        <w:rPr>
          <w:rFonts w:ascii="Times New Roman" w:hAnsi="Times New Roman" w:eastAsia="Times New Roman" w:cs="Times New Roman"/>
          <w:spacing w:val="7"/>
          <w:sz w:val="23"/>
          <w:szCs w:val="23"/>
        </w:rPr>
        <w:t>25</w:t>
      </w:r>
      <w:r>
        <w:rPr>
          <w:rFonts w:ascii="Times New Roman" w:hAnsi="Times New Roman" w:eastAsia="Times New Roman" w:cs="Times New Roman"/>
          <w:sz w:val="23"/>
          <w:szCs w:val="23"/>
        </w:rPr>
        <w:t>L</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计 ，  日用水量</w:t>
      </w:r>
      <w:r>
        <w:rPr>
          <w:rFonts w:ascii="宋体" w:hAnsi="宋体" w:eastAsia="宋体" w:cs="宋体"/>
          <w:sz w:val="23"/>
          <w:szCs w:val="23"/>
        </w:rPr>
        <w:t xml:space="preserve"> </w:t>
      </w:r>
      <w:r>
        <w:rPr>
          <w:rFonts w:ascii="Times New Roman" w:hAnsi="Times New Roman" w:eastAsia="Times New Roman" w:cs="Times New Roman"/>
          <w:spacing w:val="20"/>
          <w:sz w:val="23"/>
          <w:szCs w:val="23"/>
        </w:rPr>
        <w:t>0.</w:t>
      </w:r>
      <w:r>
        <w:rPr>
          <w:rFonts w:ascii="Times New Roman" w:hAnsi="Times New Roman" w:eastAsia="Times New Roman" w:cs="Times New Roman"/>
          <w:spacing w:val="18"/>
          <w:sz w:val="23"/>
          <w:szCs w:val="23"/>
        </w:rPr>
        <w:t>7</w:t>
      </w:r>
      <w:r>
        <w:rPr>
          <w:rFonts w:ascii="Times New Roman" w:hAnsi="Times New Roman" w:eastAsia="Times New Roman" w:cs="Times New Roman"/>
          <w:spacing w:val="10"/>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 xml:space="preserve">，排水量以用水量的 </w:t>
      </w:r>
      <w:r>
        <w:rPr>
          <w:rFonts w:ascii="Times New Roman" w:hAnsi="Times New Roman" w:eastAsia="Times New Roman" w:cs="Times New Roman"/>
          <w:spacing w:val="10"/>
          <w:sz w:val="23"/>
          <w:szCs w:val="23"/>
        </w:rPr>
        <w:t>80%</w:t>
      </w:r>
      <w:r>
        <w:rPr>
          <w:rFonts w:ascii="宋体" w:hAnsi="宋体" w:eastAsia="宋体" w:cs="宋体"/>
          <w:spacing w:val="10"/>
          <w:sz w:val="23"/>
          <w:szCs w:val="23"/>
        </w:rPr>
        <w:t xml:space="preserve">计算，排污量为 </w:t>
      </w:r>
      <w:r>
        <w:rPr>
          <w:rFonts w:ascii="Times New Roman" w:hAnsi="Times New Roman" w:eastAsia="Times New Roman" w:cs="Times New Roman"/>
          <w:spacing w:val="10"/>
          <w:sz w:val="23"/>
          <w:szCs w:val="23"/>
        </w:rPr>
        <w:t>0.6</w:t>
      </w:r>
      <w:r>
        <w:rPr>
          <w:rFonts w:ascii="Times New Roman" w:hAnsi="Times New Roman" w:eastAsia="Times New Roman" w:cs="Times New Roman"/>
          <w:sz w:val="23"/>
          <w:szCs w:val="23"/>
        </w:rPr>
        <w:t>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。生活污水主要成</w:t>
      </w:r>
      <w:r>
        <w:rPr>
          <w:rFonts w:ascii="宋体" w:hAnsi="宋体" w:eastAsia="宋体" w:cs="宋体"/>
          <w:sz w:val="23"/>
          <w:szCs w:val="23"/>
        </w:rPr>
        <w:t xml:space="preserve"> </w:t>
      </w:r>
      <w:r>
        <w:rPr>
          <w:rFonts w:ascii="宋体" w:hAnsi="宋体" w:eastAsia="宋体" w:cs="宋体"/>
          <w:spacing w:val="32"/>
          <w:sz w:val="23"/>
          <w:szCs w:val="23"/>
        </w:rPr>
        <w:t>分</w:t>
      </w:r>
      <w:r>
        <w:rPr>
          <w:rFonts w:ascii="宋体" w:hAnsi="宋体" w:eastAsia="宋体" w:cs="宋体"/>
          <w:spacing w:val="17"/>
          <w:sz w:val="23"/>
          <w:szCs w:val="23"/>
        </w:rPr>
        <w:t xml:space="preserve">为 </w:t>
      </w:r>
      <w:r>
        <w:rPr>
          <w:rFonts w:ascii="Times New Roman" w:hAnsi="Times New Roman" w:eastAsia="Times New Roman" w:cs="Times New Roman"/>
          <w:sz w:val="23"/>
          <w:szCs w:val="23"/>
        </w:rPr>
        <w:t>COD</w:t>
      </w:r>
      <w:r>
        <w:rPr>
          <w:rFonts w:ascii="Times New Roman" w:hAnsi="Times New Roman" w:eastAsia="Times New Roman" w:cs="Times New Roman"/>
          <w:spacing w:val="17"/>
          <w:sz w:val="23"/>
          <w:szCs w:val="23"/>
        </w:rPr>
        <w:t xml:space="preserve"> </w:t>
      </w:r>
      <w:r>
        <w:rPr>
          <w:rFonts w:ascii="宋体" w:hAnsi="宋体" w:eastAsia="宋体" w:cs="宋体"/>
          <w:spacing w:val="17"/>
          <w:sz w:val="23"/>
          <w:szCs w:val="23"/>
        </w:rPr>
        <w:t>和氨氮，排入自建防渗旱厕，定期清掏。</w:t>
      </w:r>
    </w:p>
    <w:p w14:paraId="3547927F">
      <w:pPr>
        <w:spacing w:before="170" w:line="372" w:lineRule="auto"/>
        <w:ind w:left="116" w:right="117" w:firstLine="503"/>
        <w:rPr>
          <w:rFonts w:ascii="宋体" w:hAnsi="宋体" w:eastAsia="宋体" w:cs="宋体"/>
          <w:sz w:val="23"/>
          <w:szCs w:val="23"/>
        </w:rPr>
      </w:pPr>
      <w:r>
        <w:rPr>
          <w:rFonts w:ascii="宋体" w:hAnsi="宋体" w:eastAsia="宋体" w:cs="宋体"/>
          <w:spacing w:val="22"/>
          <w:sz w:val="23"/>
          <w:szCs w:val="23"/>
        </w:rPr>
        <w:t>施</w:t>
      </w:r>
      <w:r>
        <w:rPr>
          <w:rFonts w:ascii="宋体" w:hAnsi="宋体" w:eastAsia="宋体" w:cs="宋体"/>
          <w:spacing w:val="21"/>
          <w:sz w:val="23"/>
          <w:szCs w:val="23"/>
        </w:rPr>
        <w:t>工废水：施工临时用地如储料厂、施工机械、车辆停放区等，其中施</w:t>
      </w:r>
      <w:r>
        <w:rPr>
          <w:rFonts w:ascii="宋体" w:hAnsi="宋体" w:eastAsia="宋体" w:cs="宋体"/>
          <w:sz w:val="23"/>
          <w:szCs w:val="23"/>
        </w:rPr>
        <w:t xml:space="preserve"> </w:t>
      </w:r>
      <w:r>
        <w:rPr>
          <w:rFonts w:ascii="宋体" w:hAnsi="宋体" w:eastAsia="宋体" w:cs="宋体"/>
          <w:spacing w:val="26"/>
          <w:sz w:val="23"/>
          <w:szCs w:val="23"/>
        </w:rPr>
        <w:t>工</w:t>
      </w:r>
      <w:r>
        <w:rPr>
          <w:rFonts w:ascii="宋体" w:hAnsi="宋体" w:eastAsia="宋体" w:cs="宋体"/>
          <w:spacing w:val="22"/>
          <w:sz w:val="23"/>
          <w:szCs w:val="23"/>
        </w:rPr>
        <w:t xml:space="preserve">机械、车辆停放维修区在设备冲洗时将产生含石油类物质和 </w:t>
      </w:r>
      <w:r>
        <w:rPr>
          <w:rFonts w:ascii="Times New Roman" w:hAnsi="Times New Roman" w:eastAsia="Times New Roman" w:cs="Times New Roman"/>
          <w:sz w:val="23"/>
          <w:szCs w:val="23"/>
        </w:rPr>
        <w:t>SS</w:t>
      </w:r>
      <w:r>
        <w:rPr>
          <w:rFonts w:ascii="Times New Roman" w:hAnsi="Times New Roman" w:eastAsia="Times New Roman" w:cs="Times New Roman"/>
          <w:spacing w:val="22"/>
          <w:sz w:val="23"/>
          <w:szCs w:val="23"/>
        </w:rPr>
        <w:t xml:space="preserve"> </w:t>
      </w:r>
      <w:r>
        <w:rPr>
          <w:rFonts w:ascii="宋体" w:hAnsi="宋体" w:eastAsia="宋体" w:cs="宋体"/>
          <w:spacing w:val="22"/>
          <w:sz w:val="23"/>
          <w:szCs w:val="23"/>
        </w:rPr>
        <w:t>的废水，</w:t>
      </w:r>
      <w:r>
        <w:rPr>
          <w:rFonts w:ascii="宋体" w:hAnsi="宋体" w:eastAsia="宋体" w:cs="宋体"/>
          <w:sz w:val="23"/>
          <w:szCs w:val="23"/>
        </w:rPr>
        <w:t xml:space="preserve"> </w:t>
      </w:r>
      <w:r>
        <w:rPr>
          <w:rFonts w:ascii="宋体" w:hAnsi="宋体" w:eastAsia="宋体" w:cs="宋体"/>
          <w:spacing w:val="26"/>
          <w:sz w:val="23"/>
          <w:szCs w:val="23"/>
        </w:rPr>
        <w:t>施</w:t>
      </w:r>
      <w:r>
        <w:rPr>
          <w:rFonts w:ascii="宋体" w:hAnsi="宋体" w:eastAsia="宋体" w:cs="宋体"/>
          <w:spacing w:val="14"/>
          <w:sz w:val="23"/>
          <w:szCs w:val="23"/>
        </w:rPr>
        <w:t>工</w:t>
      </w:r>
      <w:r>
        <w:rPr>
          <w:rFonts w:ascii="宋体" w:hAnsi="宋体" w:eastAsia="宋体" w:cs="宋体"/>
          <w:spacing w:val="13"/>
          <w:sz w:val="23"/>
          <w:szCs w:val="23"/>
        </w:rPr>
        <w:t xml:space="preserve">产生的污水量 </w:t>
      </w:r>
      <w:r>
        <w:rPr>
          <w:rFonts w:ascii="Times New Roman" w:hAnsi="Times New Roman" w:eastAsia="Times New Roman" w:cs="Times New Roman"/>
          <w:spacing w:val="13"/>
          <w:sz w:val="23"/>
          <w:szCs w:val="23"/>
        </w:rPr>
        <w:t>0.5</w:t>
      </w:r>
      <w:r>
        <w:rPr>
          <w:rFonts w:ascii="Times New Roman" w:hAnsi="Times New Roman" w:eastAsia="Times New Roman" w:cs="Times New Roman"/>
          <w:sz w:val="23"/>
          <w:szCs w:val="23"/>
        </w:rPr>
        <w:t>m</w:t>
      </w:r>
      <w:r>
        <w:rPr>
          <w:rFonts w:ascii="Times New Roman" w:hAnsi="Times New Roman" w:eastAsia="Times New Roman" w:cs="Times New Roman"/>
          <w:spacing w:val="13"/>
          <w:position w:val="8"/>
          <w:sz w:val="15"/>
          <w:szCs w:val="15"/>
        </w:rPr>
        <w:t>3</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，经隔油、沉淀后用于厂区洒水降尘，不会对周围</w:t>
      </w:r>
      <w:r>
        <w:rPr>
          <w:rFonts w:ascii="宋体" w:hAnsi="宋体" w:eastAsia="宋体" w:cs="宋体"/>
          <w:sz w:val="23"/>
          <w:szCs w:val="23"/>
        </w:rPr>
        <w:t xml:space="preserve"> </w:t>
      </w:r>
      <w:r>
        <w:rPr>
          <w:rFonts w:ascii="宋体" w:hAnsi="宋体" w:eastAsia="宋体" w:cs="宋体"/>
          <w:spacing w:val="31"/>
          <w:sz w:val="23"/>
          <w:szCs w:val="23"/>
        </w:rPr>
        <w:t>水</w:t>
      </w:r>
      <w:r>
        <w:rPr>
          <w:rFonts w:ascii="宋体" w:hAnsi="宋体" w:eastAsia="宋体" w:cs="宋体"/>
          <w:spacing w:val="20"/>
          <w:sz w:val="23"/>
          <w:szCs w:val="23"/>
        </w:rPr>
        <w:t>体造成不良影响，并且随着施工的结束该影响也随着结束。</w:t>
      </w:r>
    </w:p>
    <w:p w14:paraId="5E9BACFA">
      <w:pPr>
        <w:spacing w:before="159" w:line="228" w:lineRule="auto"/>
        <w:ind w:left="632"/>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28"/>
          <w:sz w:val="23"/>
          <w:szCs w:val="23"/>
        </w:rPr>
        <w:t>3</w:t>
      </w:r>
      <w:r>
        <w:rPr>
          <w:rFonts w:ascii="宋体" w:hAnsi="宋体" w:eastAsia="宋体" w:cs="宋体"/>
          <w:spacing w:val="28"/>
          <w:sz w:val="23"/>
          <w:szCs w:val="23"/>
        </w:rPr>
        <w:t>) 噪声分</w:t>
      </w:r>
      <w:r>
        <w:rPr>
          <w:rFonts w:ascii="宋体" w:hAnsi="宋体" w:eastAsia="宋体" w:cs="宋体"/>
          <w:spacing w:val="27"/>
          <w:sz w:val="23"/>
          <w:szCs w:val="23"/>
        </w:rPr>
        <w:t>析</w:t>
      </w:r>
    </w:p>
    <w:p w14:paraId="2FD875D1">
      <w:pPr>
        <w:spacing w:line="260" w:lineRule="auto"/>
        <w:rPr>
          <w:rFonts w:ascii="Arial"/>
          <w:sz w:val="21"/>
        </w:rPr>
      </w:pPr>
    </w:p>
    <w:p w14:paraId="41DA1000">
      <w:pPr>
        <w:spacing w:before="75" w:line="372" w:lineRule="auto"/>
        <w:ind w:left="118" w:right="43" w:firstLine="482"/>
        <w:rPr>
          <w:rFonts w:ascii="宋体" w:hAnsi="宋体" w:eastAsia="宋体" w:cs="宋体"/>
          <w:sz w:val="23"/>
          <w:szCs w:val="23"/>
        </w:rPr>
      </w:pPr>
      <w:r>
        <w:rPr>
          <w:rFonts w:ascii="宋体" w:hAnsi="宋体" w:eastAsia="宋体" w:cs="宋体"/>
          <w:spacing w:val="12"/>
          <w:sz w:val="23"/>
          <w:szCs w:val="23"/>
        </w:rPr>
        <w:t>项目施工</w:t>
      </w:r>
      <w:r>
        <w:rPr>
          <w:rFonts w:ascii="宋体" w:hAnsi="宋体" w:eastAsia="宋体" w:cs="宋体"/>
          <w:spacing w:val="7"/>
          <w:sz w:val="23"/>
          <w:szCs w:val="23"/>
        </w:rPr>
        <w:t>期</w:t>
      </w:r>
      <w:r>
        <w:rPr>
          <w:rFonts w:ascii="宋体" w:hAnsi="宋体" w:eastAsia="宋体" w:cs="宋体"/>
          <w:spacing w:val="6"/>
          <w:sz w:val="23"/>
          <w:szCs w:val="23"/>
        </w:rPr>
        <w:t>噪声主要是施工现场的机械设备运行及作业中产生的噪声，以及</w:t>
      </w:r>
      <w:r>
        <w:rPr>
          <w:rFonts w:ascii="宋体" w:hAnsi="宋体" w:eastAsia="宋体" w:cs="宋体"/>
          <w:sz w:val="23"/>
          <w:szCs w:val="23"/>
        </w:rPr>
        <w:t xml:space="preserve"> </w:t>
      </w:r>
      <w:r>
        <w:rPr>
          <w:rFonts w:ascii="宋体" w:hAnsi="宋体" w:eastAsia="宋体" w:cs="宋体"/>
          <w:spacing w:val="4"/>
          <w:sz w:val="23"/>
          <w:szCs w:val="23"/>
        </w:rPr>
        <w:t>车辆运</w:t>
      </w:r>
      <w:r>
        <w:rPr>
          <w:rFonts w:ascii="宋体" w:hAnsi="宋体" w:eastAsia="宋体" w:cs="宋体"/>
          <w:spacing w:val="3"/>
          <w:sz w:val="23"/>
          <w:szCs w:val="23"/>
        </w:rPr>
        <w:t>输</w:t>
      </w:r>
      <w:r>
        <w:rPr>
          <w:rFonts w:ascii="宋体" w:hAnsi="宋体" w:eastAsia="宋体" w:cs="宋体"/>
          <w:spacing w:val="2"/>
          <w:sz w:val="23"/>
          <w:szCs w:val="23"/>
        </w:rPr>
        <w:t>产生的噪声，这些噪声源的数量和种类较多，既有固定源，也有流动源，</w:t>
      </w:r>
      <w:r>
        <w:rPr>
          <w:rFonts w:ascii="宋体" w:hAnsi="宋体" w:eastAsia="宋体" w:cs="宋体"/>
          <w:sz w:val="23"/>
          <w:szCs w:val="23"/>
        </w:rPr>
        <w:t xml:space="preserve"> </w:t>
      </w:r>
      <w:r>
        <w:rPr>
          <w:rFonts w:ascii="宋体" w:hAnsi="宋体" w:eastAsia="宋体" w:cs="宋体"/>
          <w:spacing w:val="14"/>
          <w:sz w:val="23"/>
          <w:szCs w:val="23"/>
        </w:rPr>
        <w:t>有</w:t>
      </w:r>
      <w:r>
        <w:rPr>
          <w:rFonts w:ascii="宋体" w:hAnsi="宋体" w:eastAsia="宋体" w:cs="宋体"/>
          <w:spacing w:val="8"/>
          <w:sz w:val="23"/>
          <w:szCs w:val="23"/>
        </w:rPr>
        <w:t>的</w:t>
      </w:r>
      <w:r>
        <w:rPr>
          <w:rFonts w:ascii="宋体" w:hAnsi="宋体" w:eastAsia="宋体" w:cs="宋体"/>
          <w:spacing w:val="7"/>
          <w:sz w:val="23"/>
          <w:szCs w:val="23"/>
        </w:rPr>
        <w:t>是连续源，也有不少属瞬时源</w:t>
      </w:r>
      <w:r>
        <w:rPr>
          <w:rFonts w:ascii="Times New Roman" w:hAnsi="Times New Roman" w:eastAsia="Times New Roman" w:cs="Times New Roman"/>
          <w:spacing w:val="7"/>
          <w:sz w:val="23"/>
          <w:szCs w:val="23"/>
        </w:rPr>
        <w:t>(</w:t>
      </w:r>
      <w:r>
        <w:rPr>
          <w:rFonts w:ascii="宋体" w:hAnsi="宋体" w:eastAsia="宋体" w:cs="宋体"/>
          <w:spacing w:val="7"/>
          <w:sz w:val="23"/>
          <w:szCs w:val="23"/>
        </w:rPr>
        <w:t>突发性噪声</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，且一般噪声源强较大，根据类</w:t>
      </w:r>
      <w:r>
        <w:rPr>
          <w:rFonts w:ascii="宋体" w:hAnsi="宋体" w:eastAsia="宋体" w:cs="宋体"/>
          <w:sz w:val="23"/>
          <w:szCs w:val="23"/>
        </w:rPr>
        <w:t xml:space="preserve"> </w:t>
      </w:r>
      <w:r>
        <w:rPr>
          <w:rFonts w:ascii="宋体" w:hAnsi="宋体" w:eastAsia="宋体" w:cs="宋体"/>
          <w:spacing w:val="4"/>
          <w:sz w:val="23"/>
          <w:szCs w:val="23"/>
        </w:rPr>
        <w:t xml:space="preserve">比相关资料，各施工段主要使用设备噪声源强见表 </w:t>
      </w:r>
      <w:r>
        <w:rPr>
          <w:rFonts w:ascii="Times New Roman" w:hAnsi="Times New Roman" w:eastAsia="Times New Roman" w:cs="Times New Roman"/>
          <w:spacing w:val="4"/>
          <w:sz w:val="23"/>
          <w:szCs w:val="23"/>
        </w:rPr>
        <w:t>3- 13</w:t>
      </w:r>
      <w:r>
        <w:rPr>
          <w:rFonts w:ascii="宋体" w:hAnsi="宋体" w:eastAsia="宋体" w:cs="宋体"/>
          <w:spacing w:val="2"/>
          <w:sz w:val="23"/>
          <w:szCs w:val="23"/>
        </w:rPr>
        <w:t>。</w:t>
      </w:r>
    </w:p>
    <w:p w14:paraId="248C3E4D">
      <w:pPr>
        <w:spacing w:before="159" w:line="228" w:lineRule="auto"/>
        <w:ind w:left="26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4"/>
          <w:sz w:val="23"/>
          <w:szCs w:val="23"/>
        </w:rPr>
        <w:t>3</w:t>
      </w:r>
      <w:r>
        <w:rPr>
          <w:rFonts w:ascii="Times New Roman" w:hAnsi="Times New Roman" w:eastAsia="Times New Roman" w:cs="Times New Roman"/>
          <w:b/>
          <w:bCs/>
          <w:spacing w:val="3"/>
          <w:sz w:val="23"/>
          <w:szCs w:val="23"/>
        </w:rPr>
        <w:t>-13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施工设备噪声源强</w:t>
      </w:r>
    </w:p>
    <w:p w14:paraId="7B40C56F">
      <w:pPr>
        <w:spacing w:line="14"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4"/>
        <w:gridCol w:w="3005"/>
        <w:gridCol w:w="2284"/>
        <w:gridCol w:w="2289"/>
      </w:tblGrid>
      <w:tr w14:paraId="3E06D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44" w:type="dxa"/>
            <w:vMerge w:val="restart"/>
            <w:tcBorders>
              <w:left w:val="nil"/>
              <w:bottom w:val="nil"/>
            </w:tcBorders>
            <w:vAlign w:val="top"/>
          </w:tcPr>
          <w:p w14:paraId="71E31857">
            <w:pPr>
              <w:spacing w:before="217" w:line="229" w:lineRule="auto"/>
              <w:ind w:left="26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3005" w:type="dxa"/>
            <w:vMerge w:val="restart"/>
            <w:tcBorders>
              <w:bottom w:val="nil"/>
            </w:tcBorders>
            <w:vAlign w:val="top"/>
          </w:tcPr>
          <w:p w14:paraId="3D9513A9">
            <w:pPr>
              <w:spacing w:before="217" w:line="229" w:lineRule="auto"/>
              <w:ind w:left="88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要设备名称</w:t>
            </w:r>
          </w:p>
        </w:tc>
        <w:tc>
          <w:tcPr>
            <w:tcW w:w="4573" w:type="dxa"/>
            <w:gridSpan w:val="2"/>
            <w:tcBorders>
              <w:right w:val="nil"/>
            </w:tcBorders>
            <w:vAlign w:val="top"/>
          </w:tcPr>
          <w:p w14:paraId="4BB9EA50">
            <w:pPr>
              <w:spacing w:before="75" w:line="217" w:lineRule="auto"/>
              <w:ind w:left="202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源</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强</w:t>
            </w:r>
          </w:p>
        </w:tc>
      </w:tr>
      <w:tr w14:paraId="00B97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44" w:type="dxa"/>
            <w:vMerge w:val="continue"/>
            <w:tcBorders>
              <w:top w:val="nil"/>
              <w:left w:val="nil"/>
            </w:tcBorders>
            <w:vAlign w:val="top"/>
          </w:tcPr>
          <w:p w14:paraId="413CE94F">
            <w:pPr>
              <w:rPr>
                <w:rFonts w:ascii="Arial"/>
                <w:sz w:val="21"/>
              </w:rPr>
            </w:pPr>
          </w:p>
        </w:tc>
        <w:tc>
          <w:tcPr>
            <w:tcW w:w="3005" w:type="dxa"/>
            <w:vMerge w:val="continue"/>
            <w:tcBorders>
              <w:top w:val="nil"/>
            </w:tcBorders>
            <w:vAlign w:val="top"/>
          </w:tcPr>
          <w:p w14:paraId="59F50ECC">
            <w:pPr>
              <w:rPr>
                <w:rFonts w:ascii="Arial"/>
                <w:sz w:val="21"/>
              </w:rPr>
            </w:pPr>
          </w:p>
        </w:tc>
        <w:tc>
          <w:tcPr>
            <w:tcW w:w="2284" w:type="dxa"/>
            <w:vAlign w:val="top"/>
          </w:tcPr>
          <w:p w14:paraId="231FF1D8">
            <w:pPr>
              <w:spacing w:before="52" w:line="229" w:lineRule="auto"/>
              <w:ind w:left="641"/>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测距</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p>
        </w:tc>
        <w:tc>
          <w:tcPr>
            <w:tcW w:w="2289" w:type="dxa"/>
            <w:tcBorders>
              <w:right w:val="nil"/>
            </w:tcBorders>
            <w:vAlign w:val="top"/>
          </w:tcPr>
          <w:p w14:paraId="0A6E5D5D">
            <w:pPr>
              <w:spacing w:before="11" w:line="289" w:lineRule="exact"/>
              <w:ind w:left="488"/>
              <w:rPr>
                <w:rFonts w:ascii="宋体" w:hAnsi="宋体" w:eastAsia="宋体" w:cs="宋体"/>
                <w:sz w:val="20"/>
                <w:szCs w:val="20"/>
              </w:rPr>
            </w:pPr>
            <w:r>
              <w:rPr>
                <w:rFonts w:ascii="Times New Roman" w:hAnsi="Times New Roman" w:eastAsia="Times New Roman" w:cs="Times New Roman"/>
                <w:b/>
                <w:bCs/>
                <w:position w:val="3"/>
                <w:sz w:val="20"/>
                <w:szCs w:val="20"/>
              </w:rPr>
              <w:t>Lpmax</w:t>
            </w:r>
            <w:r>
              <w:rPr>
                <w:rFonts w:ascii="Times New Roman" w:hAnsi="Times New Roman" w:eastAsia="Times New Roman" w:cs="Times New Roman"/>
                <w:spacing w:val="13"/>
                <w:position w:val="3"/>
                <w:sz w:val="20"/>
                <w:szCs w:val="20"/>
              </w:rPr>
              <w:t xml:space="preserve"> </w:t>
            </w:r>
            <w:r>
              <w:rPr>
                <w:rFonts w:ascii="Times New Roman" w:hAnsi="Times New Roman" w:eastAsia="Times New Roman" w:cs="Times New Roman"/>
                <w:spacing w:val="11"/>
                <w:position w:val="3"/>
                <w:sz w:val="20"/>
                <w:szCs w:val="20"/>
              </w:rPr>
              <w:t xml:space="preserve"> </w:t>
            </w:r>
            <w:r>
              <w:rPr>
                <w:rFonts w:ascii="宋体" w:hAnsi="宋体" w:eastAsia="宋体" w:cs="宋体"/>
                <w:spacing w:val="11"/>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3"/>
                <w:sz w:val="20"/>
                <w:szCs w:val="20"/>
              </w:rPr>
              <w:t>dB</w:t>
            </w:r>
            <w:r>
              <w:rPr>
                <w:rFonts w:ascii="宋体" w:hAnsi="宋体" w:eastAsia="宋体" w:cs="宋体"/>
                <w:spacing w:val="11"/>
                <w:position w:val="3"/>
                <w:sz w:val="20"/>
                <w:szCs w:val="20"/>
                <w14:textOutline w14:w="3795" w14:cap="sq" w14:cmpd="sng">
                  <w14:solidFill>
                    <w14:srgbClr w14:val="000000"/>
                  </w14:solidFill>
                  <w14:prstDash w14:val="solid"/>
                  <w14:bevel/>
                </w14:textOutline>
              </w:rPr>
              <w:t>)</w:t>
            </w:r>
          </w:p>
        </w:tc>
      </w:tr>
      <w:tr w14:paraId="28617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944" w:type="dxa"/>
            <w:tcBorders>
              <w:left w:val="nil"/>
            </w:tcBorders>
            <w:vAlign w:val="top"/>
          </w:tcPr>
          <w:p w14:paraId="5375A88E">
            <w:pPr>
              <w:spacing w:before="88"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05" w:type="dxa"/>
            <w:vAlign w:val="top"/>
          </w:tcPr>
          <w:p w14:paraId="43597747">
            <w:pPr>
              <w:spacing w:before="53" w:line="224" w:lineRule="auto"/>
              <w:ind w:left="1191"/>
              <w:rPr>
                <w:rFonts w:ascii="宋体" w:hAnsi="宋体" w:eastAsia="宋体" w:cs="宋体"/>
                <w:sz w:val="20"/>
                <w:szCs w:val="20"/>
              </w:rPr>
            </w:pPr>
            <w:r>
              <w:rPr>
                <w:rFonts w:ascii="宋体" w:hAnsi="宋体" w:eastAsia="宋体" w:cs="宋体"/>
                <w:spacing w:val="7"/>
                <w:sz w:val="20"/>
                <w:szCs w:val="20"/>
              </w:rPr>
              <w:t>挖掘机</w:t>
            </w:r>
          </w:p>
        </w:tc>
        <w:tc>
          <w:tcPr>
            <w:tcW w:w="2284" w:type="dxa"/>
            <w:vAlign w:val="top"/>
          </w:tcPr>
          <w:p w14:paraId="5F97E678">
            <w:pPr>
              <w:spacing w:before="88"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5 </w:t>
            </w:r>
            <w:r>
              <w:rPr>
                <w:rFonts w:ascii="Times New Roman" w:hAnsi="Times New Roman" w:eastAsia="Times New Roman" w:cs="Times New Roman"/>
                <w:spacing w:val="1"/>
                <w:sz w:val="20"/>
                <w:szCs w:val="20"/>
              </w:rPr>
              <w:t>0</w:t>
            </w:r>
          </w:p>
        </w:tc>
        <w:tc>
          <w:tcPr>
            <w:tcW w:w="2289" w:type="dxa"/>
            <w:tcBorders>
              <w:right w:val="nil"/>
            </w:tcBorders>
            <w:vAlign w:val="top"/>
          </w:tcPr>
          <w:p w14:paraId="2478BCB9">
            <w:pPr>
              <w:spacing w:before="88" w:line="195" w:lineRule="auto"/>
              <w:ind w:left="1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5</w:t>
            </w:r>
          </w:p>
        </w:tc>
      </w:tr>
      <w:tr w14:paraId="6C446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44" w:type="dxa"/>
            <w:tcBorders>
              <w:left w:val="nil"/>
            </w:tcBorders>
            <w:vAlign w:val="top"/>
          </w:tcPr>
          <w:p w14:paraId="2C0FCA41">
            <w:pPr>
              <w:spacing w:before="9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05" w:type="dxa"/>
            <w:vAlign w:val="top"/>
          </w:tcPr>
          <w:p w14:paraId="5F224FF5">
            <w:pPr>
              <w:spacing w:before="64" w:line="224" w:lineRule="auto"/>
              <w:ind w:left="984"/>
              <w:rPr>
                <w:rFonts w:ascii="宋体" w:hAnsi="宋体" w:eastAsia="宋体" w:cs="宋体"/>
                <w:sz w:val="20"/>
                <w:szCs w:val="20"/>
              </w:rPr>
            </w:pPr>
            <w:r>
              <w:rPr>
                <w:rFonts w:ascii="宋体" w:hAnsi="宋体" w:eastAsia="宋体" w:cs="宋体"/>
                <w:spacing w:val="10"/>
                <w:sz w:val="20"/>
                <w:szCs w:val="20"/>
              </w:rPr>
              <w:t>混</w:t>
            </w:r>
            <w:r>
              <w:rPr>
                <w:rFonts w:ascii="宋体" w:hAnsi="宋体" w:eastAsia="宋体" w:cs="宋体"/>
                <w:spacing w:val="7"/>
                <w:sz w:val="20"/>
                <w:szCs w:val="20"/>
              </w:rPr>
              <w:t>凝土泵车</w:t>
            </w:r>
          </w:p>
        </w:tc>
        <w:tc>
          <w:tcPr>
            <w:tcW w:w="2284" w:type="dxa"/>
            <w:vAlign w:val="top"/>
          </w:tcPr>
          <w:p w14:paraId="29ECBC7A">
            <w:pPr>
              <w:spacing w:before="99"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5 </w:t>
            </w:r>
            <w:r>
              <w:rPr>
                <w:rFonts w:ascii="Times New Roman" w:hAnsi="Times New Roman" w:eastAsia="Times New Roman" w:cs="Times New Roman"/>
                <w:spacing w:val="1"/>
                <w:sz w:val="20"/>
                <w:szCs w:val="20"/>
              </w:rPr>
              <w:t>0</w:t>
            </w:r>
          </w:p>
        </w:tc>
        <w:tc>
          <w:tcPr>
            <w:tcW w:w="2289" w:type="dxa"/>
            <w:tcBorders>
              <w:right w:val="nil"/>
            </w:tcBorders>
            <w:vAlign w:val="top"/>
          </w:tcPr>
          <w:p w14:paraId="40FA8653">
            <w:pPr>
              <w:spacing w:before="99" w:line="195" w:lineRule="auto"/>
              <w:ind w:left="1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5</w:t>
            </w:r>
          </w:p>
        </w:tc>
      </w:tr>
      <w:tr w14:paraId="7059D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44" w:type="dxa"/>
            <w:tcBorders>
              <w:left w:val="nil"/>
            </w:tcBorders>
            <w:vAlign w:val="top"/>
          </w:tcPr>
          <w:p w14:paraId="4DB25272">
            <w:pPr>
              <w:spacing w:before="9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05" w:type="dxa"/>
            <w:vAlign w:val="top"/>
          </w:tcPr>
          <w:p w14:paraId="641D24F5">
            <w:pPr>
              <w:spacing w:before="63" w:line="224" w:lineRule="auto"/>
              <w:ind w:left="1217"/>
              <w:rPr>
                <w:rFonts w:ascii="宋体" w:hAnsi="宋体" w:eastAsia="宋体" w:cs="宋体"/>
                <w:sz w:val="20"/>
                <w:szCs w:val="20"/>
              </w:rPr>
            </w:pPr>
            <w:r>
              <w:rPr>
                <w:rFonts w:ascii="宋体" w:hAnsi="宋体" w:eastAsia="宋体" w:cs="宋体"/>
                <w:spacing w:val="-2"/>
                <w:sz w:val="20"/>
                <w:szCs w:val="20"/>
              </w:rPr>
              <w:t>电</w:t>
            </w:r>
            <w:r>
              <w:rPr>
                <w:rFonts w:ascii="宋体" w:hAnsi="宋体" w:eastAsia="宋体" w:cs="宋体"/>
                <w:spacing w:val="-1"/>
                <w:sz w:val="20"/>
                <w:szCs w:val="20"/>
              </w:rPr>
              <w:t>焊机</w:t>
            </w:r>
          </w:p>
        </w:tc>
        <w:tc>
          <w:tcPr>
            <w:tcW w:w="2284" w:type="dxa"/>
            <w:vAlign w:val="top"/>
          </w:tcPr>
          <w:p w14:paraId="7BCD532A">
            <w:pPr>
              <w:spacing w:before="99" w:line="195" w:lineRule="auto"/>
              <w:ind w:left="1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1 0</w:t>
            </w:r>
          </w:p>
        </w:tc>
        <w:tc>
          <w:tcPr>
            <w:tcW w:w="2289" w:type="dxa"/>
            <w:tcBorders>
              <w:right w:val="nil"/>
            </w:tcBorders>
            <w:vAlign w:val="top"/>
          </w:tcPr>
          <w:p w14:paraId="0150BA1A">
            <w:pPr>
              <w:spacing w:before="99" w:line="195" w:lineRule="auto"/>
              <w:ind w:left="1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5</w:t>
            </w:r>
          </w:p>
        </w:tc>
      </w:tr>
      <w:tr w14:paraId="2BA60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44" w:type="dxa"/>
            <w:tcBorders>
              <w:left w:val="nil"/>
            </w:tcBorders>
            <w:vAlign w:val="top"/>
          </w:tcPr>
          <w:p w14:paraId="0BA39775">
            <w:pPr>
              <w:spacing w:before="100"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005" w:type="dxa"/>
            <w:vAlign w:val="top"/>
          </w:tcPr>
          <w:p w14:paraId="44CD9C55">
            <w:pPr>
              <w:spacing w:before="64" w:line="223" w:lineRule="auto"/>
              <w:ind w:left="979"/>
              <w:rPr>
                <w:rFonts w:ascii="宋体" w:hAnsi="宋体" w:eastAsia="宋体" w:cs="宋体"/>
                <w:sz w:val="20"/>
                <w:szCs w:val="20"/>
              </w:rPr>
            </w:pPr>
            <w:r>
              <w:rPr>
                <w:rFonts w:ascii="宋体" w:hAnsi="宋体" w:eastAsia="宋体" w:cs="宋体"/>
                <w:spacing w:val="10"/>
                <w:sz w:val="20"/>
                <w:szCs w:val="20"/>
              </w:rPr>
              <w:t>钢</w:t>
            </w:r>
            <w:r>
              <w:rPr>
                <w:rFonts w:ascii="宋体" w:hAnsi="宋体" w:eastAsia="宋体" w:cs="宋体"/>
                <w:spacing w:val="8"/>
                <w:sz w:val="20"/>
                <w:szCs w:val="20"/>
              </w:rPr>
              <w:t>筋切断机</w:t>
            </w:r>
          </w:p>
        </w:tc>
        <w:tc>
          <w:tcPr>
            <w:tcW w:w="2284" w:type="dxa"/>
            <w:vAlign w:val="top"/>
          </w:tcPr>
          <w:p w14:paraId="43077E6A">
            <w:pPr>
              <w:spacing w:before="100" w:line="195" w:lineRule="auto"/>
              <w:ind w:left="10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 xml:space="preserve"> 0</w:t>
            </w:r>
          </w:p>
        </w:tc>
        <w:tc>
          <w:tcPr>
            <w:tcW w:w="2289" w:type="dxa"/>
            <w:tcBorders>
              <w:right w:val="nil"/>
            </w:tcBorders>
            <w:vAlign w:val="top"/>
          </w:tcPr>
          <w:p w14:paraId="504D4CED">
            <w:pPr>
              <w:spacing w:before="103" w:line="192" w:lineRule="auto"/>
              <w:ind w:left="10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r>
      <w:tr w14:paraId="4E5E5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44" w:type="dxa"/>
            <w:tcBorders>
              <w:left w:val="nil"/>
            </w:tcBorders>
            <w:vAlign w:val="top"/>
          </w:tcPr>
          <w:p w14:paraId="0F1E336C">
            <w:pPr>
              <w:spacing w:before="104"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05" w:type="dxa"/>
            <w:vAlign w:val="top"/>
          </w:tcPr>
          <w:p w14:paraId="3BB796F8">
            <w:pPr>
              <w:spacing w:before="65" w:line="223" w:lineRule="auto"/>
              <w:ind w:left="1194"/>
              <w:rPr>
                <w:rFonts w:ascii="宋体" w:hAnsi="宋体" w:eastAsia="宋体" w:cs="宋体"/>
                <w:sz w:val="20"/>
                <w:szCs w:val="20"/>
              </w:rPr>
            </w:pPr>
            <w:r>
              <w:rPr>
                <w:rFonts w:ascii="宋体" w:hAnsi="宋体" w:eastAsia="宋体" w:cs="宋体"/>
                <w:spacing w:val="7"/>
                <w:sz w:val="20"/>
                <w:szCs w:val="20"/>
              </w:rPr>
              <w:t>折</w:t>
            </w:r>
            <w:r>
              <w:rPr>
                <w:rFonts w:ascii="宋体" w:hAnsi="宋体" w:eastAsia="宋体" w:cs="宋体"/>
                <w:spacing w:val="6"/>
                <w:sz w:val="20"/>
                <w:szCs w:val="20"/>
              </w:rPr>
              <w:t>弯机</w:t>
            </w:r>
          </w:p>
        </w:tc>
        <w:tc>
          <w:tcPr>
            <w:tcW w:w="2284" w:type="dxa"/>
            <w:vAlign w:val="top"/>
          </w:tcPr>
          <w:p w14:paraId="7D068227">
            <w:pPr>
              <w:spacing w:before="101" w:line="195" w:lineRule="auto"/>
              <w:ind w:left="1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1 0</w:t>
            </w:r>
          </w:p>
        </w:tc>
        <w:tc>
          <w:tcPr>
            <w:tcW w:w="2289" w:type="dxa"/>
            <w:tcBorders>
              <w:right w:val="nil"/>
            </w:tcBorders>
            <w:vAlign w:val="top"/>
          </w:tcPr>
          <w:p w14:paraId="0C67A06D">
            <w:pPr>
              <w:spacing w:before="101" w:line="195" w:lineRule="auto"/>
              <w:ind w:left="10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r>
      <w:tr w14:paraId="7566F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44" w:type="dxa"/>
            <w:tcBorders>
              <w:left w:val="nil"/>
            </w:tcBorders>
            <w:vAlign w:val="top"/>
          </w:tcPr>
          <w:p w14:paraId="01D15FEC">
            <w:pPr>
              <w:spacing w:before="101"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005" w:type="dxa"/>
            <w:vAlign w:val="top"/>
          </w:tcPr>
          <w:p w14:paraId="7EE66377">
            <w:pPr>
              <w:spacing w:before="65" w:line="222" w:lineRule="auto"/>
              <w:ind w:left="880"/>
              <w:rPr>
                <w:rFonts w:ascii="宋体" w:hAnsi="宋体" w:eastAsia="宋体" w:cs="宋体"/>
                <w:sz w:val="20"/>
                <w:szCs w:val="20"/>
              </w:rPr>
            </w:pPr>
            <w:r>
              <w:rPr>
                <w:rFonts w:ascii="宋体" w:hAnsi="宋体" w:eastAsia="宋体" w:cs="宋体"/>
                <w:spacing w:val="8"/>
                <w:sz w:val="20"/>
                <w:szCs w:val="20"/>
              </w:rPr>
              <w:t>混凝土搅拌</w:t>
            </w:r>
            <w:r>
              <w:rPr>
                <w:rFonts w:ascii="宋体" w:hAnsi="宋体" w:eastAsia="宋体" w:cs="宋体"/>
                <w:spacing w:val="7"/>
                <w:sz w:val="20"/>
                <w:szCs w:val="20"/>
              </w:rPr>
              <w:t>车</w:t>
            </w:r>
          </w:p>
        </w:tc>
        <w:tc>
          <w:tcPr>
            <w:tcW w:w="2284" w:type="dxa"/>
            <w:vAlign w:val="top"/>
          </w:tcPr>
          <w:p w14:paraId="663BF197">
            <w:pPr>
              <w:spacing w:before="101" w:line="195" w:lineRule="auto"/>
              <w:ind w:left="10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 xml:space="preserve"> 0</w:t>
            </w:r>
          </w:p>
        </w:tc>
        <w:tc>
          <w:tcPr>
            <w:tcW w:w="2289" w:type="dxa"/>
            <w:tcBorders>
              <w:right w:val="nil"/>
            </w:tcBorders>
            <w:vAlign w:val="top"/>
          </w:tcPr>
          <w:p w14:paraId="526CA292">
            <w:pPr>
              <w:spacing w:before="101" w:line="195" w:lineRule="auto"/>
              <w:ind w:left="10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r>
      <w:tr w14:paraId="6682E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44" w:type="dxa"/>
            <w:tcBorders>
              <w:left w:val="nil"/>
            </w:tcBorders>
            <w:vAlign w:val="top"/>
          </w:tcPr>
          <w:p w14:paraId="19220BCB">
            <w:pPr>
              <w:spacing w:before="105" w:line="192"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005" w:type="dxa"/>
            <w:vAlign w:val="top"/>
          </w:tcPr>
          <w:p w14:paraId="0FD69A0C">
            <w:pPr>
              <w:spacing w:before="66" w:line="221" w:lineRule="auto"/>
              <w:ind w:left="1193"/>
              <w:rPr>
                <w:rFonts w:ascii="宋体" w:hAnsi="宋体" w:eastAsia="宋体" w:cs="宋体"/>
                <w:sz w:val="20"/>
                <w:szCs w:val="20"/>
              </w:rPr>
            </w:pPr>
            <w:r>
              <w:rPr>
                <w:rFonts w:ascii="宋体" w:hAnsi="宋体" w:eastAsia="宋体" w:cs="宋体"/>
                <w:spacing w:val="7"/>
                <w:sz w:val="20"/>
                <w:szCs w:val="20"/>
              </w:rPr>
              <w:t>木</w:t>
            </w:r>
            <w:r>
              <w:rPr>
                <w:rFonts w:ascii="宋体" w:hAnsi="宋体" w:eastAsia="宋体" w:cs="宋体"/>
                <w:spacing w:val="6"/>
                <w:sz w:val="20"/>
                <w:szCs w:val="20"/>
              </w:rPr>
              <w:t>工刨</w:t>
            </w:r>
          </w:p>
        </w:tc>
        <w:tc>
          <w:tcPr>
            <w:tcW w:w="2284" w:type="dxa"/>
            <w:vAlign w:val="top"/>
          </w:tcPr>
          <w:p w14:paraId="7229731F">
            <w:pPr>
              <w:spacing w:before="102" w:line="195" w:lineRule="auto"/>
              <w:ind w:left="1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1 0</w:t>
            </w:r>
          </w:p>
        </w:tc>
        <w:tc>
          <w:tcPr>
            <w:tcW w:w="2289" w:type="dxa"/>
            <w:tcBorders>
              <w:right w:val="nil"/>
            </w:tcBorders>
            <w:vAlign w:val="top"/>
          </w:tcPr>
          <w:p w14:paraId="08BBB97C">
            <w:pPr>
              <w:spacing w:before="102"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62A5C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44" w:type="dxa"/>
            <w:tcBorders>
              <w:left w:val="nil"/>
            </w:tcBorders>
            <w:vAlign w:val="top"/>
          </w:tcPr>
          <w:p w14:paraId="4E62F71B">
            <w:pPr>
              <w:spacing w:before="103"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005" w:type="dxa"/>
            <w:vAlign w:val="top"/>
          </w:tcPr>
          <w:p w14:paraId="4EC3017D">
            <w:pPr>
              <w:spacing w:before="67" w:line="230" w:lineRule="auto"/>
              <w:ind w:left="1322"/>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锯</w:t>
            </w:r>
          </w:p>
        </w:tc>
        <w:tc>
          <w:tcPr>
            <w:tcW w:w="2284" w:type="dxa"/>
            <w:vAlign w:val="top"/>
          </w:tcPr>
          <w:p w14:paraId="0FD2F058">
            <w:pPr>
              <w:spacing w:before="103" w:line="198" w:lineRule="auto"/>
              <w:ind w:left="1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2289" w:type="dxa"/>
            <w:tcBorders>
              <w:right w:val="nil"/>
            </w:tcBorders>
            <w:vAlign w:val="top"/>
          </w:tcPr>
          <w:p w14:paraId="188CAB04">
            <w:pPr>
              <w:spacing w:before="103" w:line="195"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r>
    </w:tbl>
    <w:p w14:paraId="5E3994A8">
      <w:pPr>
        <w:rPr>
          <w:rFonts w:ascii="Arial"/>
          <w:sz w:val="21"/>
        </w:rPr>
      </w:pPr>
    </w:p>
    <w:p w14:paraId="0FCDA873">
      <w:pPr>
        <w:sectPr>
          <w:headerReference r:id="rId110" w:type="default"/>
          <w:footerReference r:id="rId111" w:type="default"/>
          <w:pgSz w:w="11906" w:h="16839"/>
          <w:pgMar w:top="1132" w:right="1691" w:bottom="1182" w:left="1691" w:header="878" w:footer="1022" w:gutter="0"/>
          <w:cols w:space="720" w:num="1"/>
        </w:sectPr>
      </w:pPr>
    </w:p>
    <w:p w14:paraId="1FB96518">
      <w:pPr>
        <w:spacing w:line="402" w:lineRule="auto"/>
        <w:rPr>
          <w:rFonts w:ascii="Arial"/>
          <w:sz w:val="21"/>
        </w:rPr>
      </w:pPr>
      <w:r>
        <w:pict>
          <v:shape id="_x0000_s1152" o:spid="_x0000_s1152" style="position:absolute;left:0pt;margin-left:90pt;margin-top:57.35pt;height:0.75pt;width:415.3pt;mso-position-horizontal-relative:page;mso-position-vertical-relative:page;z-index:251799552;mso-width-relative:page;mso-height-relative:page;" fillcolor="#000000" filled="t" stroked="f" coordsize="8305,15" o:allowincell="f" path="m0,0l8305,0,8305,14,0,14,0,0xe">
            <v:path/>
            <v:fill on="t" focussize="0,0"/>
            <v:stroke on="f"/>
            <v:imagedata o:title=""/>
            <o:lock v:ext="edit"/>
          </v:shape>
        </w:pict>
      </w:r>
    </w:p>
    <w:p w14:paraId="0B7804B7">
      <w:pPr>
        <w:spacing w:before="74" w:line="227" w:lineRule="auto"/>
        <w:ind w:left="538"/>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6"/>
          <w:sz w:val="23"/>
          <w:szCs w:val="23"/>
        </w:rPr>
        <w:t>4</w:t>
      </w:r>
      <w:r>
        <w:rPr>
          <w:rFonts w:ascii="宋体" w:hAnsi="宋体" w:eastAsia="宋体" w:cs="宋体"/>
          <w:spacing w:val="26"/>
          <w:sz w:val="23"/>
          <w:szCs w:val="23"/>
        </w:rPr>
        <w:t>) 固体废物产生分</w:t>
      </w:r>
      <w:r>
        <w:rPr>
          <w:rFonts w:ascii="宋体" w:hAnsi="宋体" w:eastAsia="宋体" w:cs="宋体"/>
          <w:spacing w:val="25"/>
          <w:sz w:val="23"/>
          <w:szCs w:val="23"/>
        </w:rPr>
        <w:t>析</w:t>
      </w:r>
    </w:p>
    <w:p w14:paraId="3231FDDC">
      <w:pPr>
        <w:spacing w:line="264" w:lineRule="auto"/>
        <w:rPr>
          <w:rFonts w:ascii="Arial"/>
          <w:sz w:val="21"/>
        </w:rPr>
      </w:pPr>
    </w:p>
    <w:p w14:paraId="695F551E">
      <w:pPr>
        <w:spacing w:before="75" w:line="225" w:lineRule="auto"/>
        <w:ind w:left="526"/>
        <w:rPr>
          <w:rFonts w:ascii="宋体" w:hAnsi="宋体" w:eastAsia="宋体" w:cs="宋体"/>
          <w:sz w:val="23"/>
          <w:szCs w:val="23"/>
        </w:rPr>
      </w:pPr>
      <w:r>
        <w:rPr>
          <w:rFonts w:ascii="宋体" w:hAnsi="宋体" w:eastAsia="宋体" w:cs="宋体"/>
          <w:spacing w:val="21"/>
          <w:sz w:val="23"/>
          <w:szCs w:val="23"/>
        </w:rPr>
        <w:t>①</w:t>
      </w:r>
      <w:r>
        <w:rPr>
          <w:rFonts w:ascii="宋体" w:hAnsi="宋体" w:eastAsia="宋体" w:cs="宋体"/>
          <w:spacing w:val="19"/>
          <w:sz w:val="23"/>
          <w:szCs w:val="23"/>
        </w:rPr>
        <w:t>施工人员的生活垃圾</w:t>
      </w:r>
    </w:p>
    <w:p w14:paraId="0730291D">
      <w:pPr>
        <w:spacing w:before="302" w:line="389" w:lineRule="auto"/>
        <w:ind w:left="22" w:right="25" w:firstLine="503"/>
        <w:rPr>
          <w:rFonts w:ascii="宋体" w:hAnsi="宋体" w:eastAsia="宋体" w:cs="宋体"/>
          <w:sz w:val="23"/>
          <w:szCs w:val="23"/>
        </w:rPr>
      </w:pPr>
      <w:r>
        <w:rPr>
          <w:rFonts w:ascii="宋体" w:hAnsi="宋体" w:eastAsia="宋体" w:cs="宋体"/>
          <w:spacing w:val="16"/>
          <w:sz w:val="23"/>
          <w:szCs w:val="23"/>
        </w:rPr>
        <w:t>施工</w:t>
      </w:r>
      <w:r>
        <w:rPr>
          <w:rFonts w:ascii="宋体" w:hAnsi="宋体" w:eastAsia="宋体" w:cs="宋体"/>
          <w:spacing w:val="11"/>
          <w:sz w:val="23"/>
          <w:szCs w:val="23"/>
        </w:rPr>
        <w:t>人</w:t>
      </w:r>
      <w:r>
        <w:rPr>
          <w:rFonts w:ascii="宋体" w:hAnsi="宋体" w:eastAsia="宋体" w:cs="宋体"/>
          <w:spacing w:val="8"/>
          <w:sz w:val="23"/>
          <w:szCs w:val="23"/>
        </w:rPr>
        <w:t xml:space="preserve">员生活垃圾产生量按每人每日 </w:t>
      </w:r>
      <w:r>
        <w:rPr>
          <w:rFonts w:ascii="Times New Roman" w:hAnsi="Times New Roman" w:eastAsia="Times New Roman" w:cs="Times New Roman"/>
          <w:spacing w:val="8"/>
          <w:sz w:val="23"/>
          <w:szCs w:val="23"/>
        </w:rPr>
        <w:t>0.7</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计，施工人员平均按 </w:t>
      </w:r>
      <w:r>
        <w:rPr>
          <w:rFonts w:ascii="Times New Roman" w:hAnsi="Times New Roman" w:eastAsia="Times New Roman" w:cs="Times New Roman"/>
          <w:spacing w:val="8"/>
          <w:sz w:val="23"/>
          <w:szCs w:val="23"/>
        </w:rPr>
        <w:t xml:space="preserve">30 </w:t>
      </w:r>
      <w:r>
        <w:rPr>
          <w:rFonts w:ascii="宋体" w:hAnsi="宋体" w:eastAsia="宋体" w:cs="宋体"/>
          <w:spacing w:val="8"/>
          <w:sz w:val="23"/>
          <w:szCs w:val="23"/>
        </w:rPr>
        <w:t>人计，</w:t>
      </w:r>
      <w:r>
        <w:rPr>
          <w:rFonts w:ascii="宋体" w:hAnsi="宋体" w:eastAsia="宋体" w:cs="宋体"/>
          <w:sz w:val="23"/>
          <w:szCs w:val="23"/>
        </w:rPr>
        <w:t xml:space="preserve"> </w:t>
      </w:r>
      <w:r>
        <w:rPr>
          <w:rFonts w:ascii="宋体" w:hAnsi="宋体" w:eastAsia="宋体" w:cs="宋体"/>
          <w:spacing w:val="16"/>
          <w:sz w:val="23"/>
          <w:szCs w:val="23"/>
        </w:rPr>
        <w:t xml:space="preserve">共产生生活垃圾 </w:t>
      </w:r>
      <w:r>
        <w:rPr>
          <w:rFonts w:ascii="Times New Roman" w:hAnsi="Times New Roman" w:eastAsia="Times New Roman" w:cs="Times New Roman"/>
          <w:spacing w:val="16"/>
          <w:sz w:val="23"/>
          <w:szCs w:val="23"/>
        </w:rPr>
        <w:t>21</w:t>
      </w:r>
      <w:r>
        <w:rPr>
          <w:rFonts w:ascii="Times New Roman" w:hAnsi="Times New Roman" w:eastAsia="Times New Roman" w:cs="Times New Roman"/>
          <w:sz w:val="23"/>
          <w:szCs w:val="23"/>
        </w:rPr>
        <w:t>kg</w:t>
      </w:r>
      <w:r>
        <w:rPr>
          <w:rFonts w:ascii="Times New Roman" w:hAnsi="Times New Roman" w:eastAsia="Times New Roman" w:cs="Times New Roman"/>
          <w:spacing w:val="16"/>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6"/>
          <w:sz w:val="23"/>
          <w:szCs w:val="23"/>
        </w:rPr>
        <w:t xml:space="preserve"> </w:t>
      </w:r>
      <w:r>
        <w:rPr>
          <w:rFonts w:ascii="宋体" w:hAnsi="宋体" w:eastAsia="宋体" w:cs="宋体"/>
          <w:spacing w:val="16"/>
          <w:sz w:val="23"/>
          <w:szCs w:val="23"/>
        </w:rPr>
        <w:t>，集中收集，定期由市政环卫部门统一处理</w:t>
      </w:r>
      <w:r>
        <w:rPr>
          <w:rFonts w:ascii="宋体" w:hAnsi="宋体" w:eastAsia="宋体" w:cs="宋体"/>
          <w:spacing w:val="9"/>
          <w:sz w:val="23"/>
          <w:szCs w:val="23"/>
        </w:rPr>
        <w:t>。</w:t>
      </w:r>
    </w:p>
    <w:p w14:paraId="1F7FD317">
      <w:pPr>
        <w:spacing w:before="170" w:line="225" w:lineRule="auto"/>
        <w:ind w:left="525"/>
        <w:rPr>
          <w:rFonts w:ascii="宋体" w:hAnsi="宋体" w:eastAsia="宋体" w:cs="宋体"/>
          <w:sz w:val="23"/>
          <w:szCs w:val="23"/>
        </w:rPr>
      </w:pPr>
      <w:r>
        <w:rPr>
          <w:rFonts w:ascii="宋体" w:hAnsi="宋体" w:eastAsia="宋体" w:cs="宋体"/>
          <w:spacing w:val="19"/>
          <w:sz w:val="23"/>
          <w:szCs w:val="23"/>
        </w:rPr>
        <w:t>②</w:t>
      </w:r>
      <w:r>
        <w:rPr>
          <w:rFonts w:ascii="宋体" w:hAnsi="宋体" w:eastAsia="宋体" w:cs="宋体"/>
          <w:spacing w:val="16"/>
          <w:sz w:val="23"/>
          <w:szCs w:val="23"/>
        </w:rPr>
        <w:t>建筑垃圾</w:t>
      </w:r>
    </w:p>
    <w:p w14:paraId="4C866B46">
      <w:pPr>
        <w:spacing w:line="269" w:lineRule="auto"/>
        <w:rPr>
          <w:rFonts w:ascii="Arial"/>
          <w:sz w:val="21"/>
        </w:rPr>
      </w:pPr>
    </w:p>
    <w:p w14:paraId="2A4E7FE2">
      <w:pPr>
        <w:spacing w:before="76" w:line="376" w:lineRule="auto"/>
        <w:ind w:left="24" w:right="80" w:firstLine="478"/>
        <w:rPr>
          <w:rFonts w:ascii="宋体" w:hAnsi="宋体" w:eastAsia="宋体" w:cs="宋体"/>
          <w:sz w:val="23"/>
          <w:szCs w:val="23"/>
        </w:rPr>
      </w:pPr>
      <w:r>
        <w:rPr>
          <w:rFonts w:ascii="宋体" w:hAnsi="宋体" w:eastAsia="宋体" w:cs="宋体"/>
          <w:spacing w:val="7"/>
          <w:sz w:val="23"/>
          <w:szCs w:val="23"/>
        </w:rPr>
        <w:t>施工期平整厂地、工程建设产生弃土、弃石等建筑垃圾，建筑垃圾的产生</w:t>
      </w:r>
      <w:r>
        <w:rPr>
          <w:rFonts w:ascii="宋体" w:hAnsi="宋体" w:eastAsia="宋体" w:cs="宋体"/>
          <w:spacing w:val="3"/>
          <w:sz w:val="23"/>
          <w:szCs w:val="23"/>
        </w:rPr>
        <w:t>量</w:t>
      </w:r>
      <w:r>
        <w:rPr>
          <w:rFonts w:ascii="宋体" w:hAnsi="宋体" w:eastAsia="宋体" w:cs="宋体"/>
          <w:sz w:val="23"/>
          <w:szCs w:val="23"/>
        </w:rPr>
        <w:t xml:space="preserve"> </w:t>
      </w:r>
      <w:r>
        <w:rPr>
          <w:rFonts w:ascii="宋体" w:hAnsi="宋体" w:eastAsia="宋体" w:cs="宋体"/>
          <w:spacing w:val="8"/>
          <w:sz w:val="23"/>
          <w:szCs w:val="23"/>
        </w:rPr>
        <w:t>与</w:t>
      </w:r>
      <w:r>
        <w:rPr>
          <w:rFonts w:ascii="宋体" w:hAnsi="宋体" w:eastAsia="宋体" w:cs="宋体"/>
          <w:spacing w:val="7"/>
          <w:sz w:val="23"/>
          <w:szCs w:val="23"/>
        </w:rPr>
        <w:t>施工水平、管理水平、建筑类型有直接的联系，根据同类工程调查，每平方米</w:t>
      </w:r>
      <w:r>
        <w:rPr>
          <w:rFonts w:ascii="宋体" w:hAnsi="宋体" w:eastAsia="宋体" w:cs="宋体"/>
          <w:sz w:val="23"/>
          <w:szCs w:val="23"/>
        </w:rPr>
        <w:t xml:space="preserve"> </w:t>
      </w:r>
      <w:r>
        <w:rPr>
          <w:rFonts w:ascii="宋体" w:hAnsi="宋体" w:eastAsia="宋体" w:cs="宋体"/>
          <w:spacing w:val="40"/>
          <w:sz w:val="23"/>
          <w:szCs w:val="23"/>
        </w:rPr>
        <w:t>建</w:t>
      </w:r>
      <w:r>
        <w:rPr>
          <w:rFonts w:ascii="宋体" w:hAnsi="宋体" w:eastAsia="宋体" w:cs="宋体"/>
          <w:spacing w:val="21"/>
          <w:sz w:val="23"/>
          <w:szCs w:val="23"/>
        </w:rPr>
        <w:t>筑</w:t>
      </w:r>
      <w:r>
        <w:rPr>
          <w:rFonts w:ascii="宋体" w:hAnsi="宋体" w:eastAsia="宋体" w:cs="宋体"/>
          <w:spacing w:val="20"/>
          <w:sz w:val="23"/>
          <w:szCs w:val="23"/>
        </w:rPr>
        <w:t xml:space="preserve">面积将产生 </w:t>
      </w:r>
      <w:r>
        <w:rPr>
          <w:rFonts w:ascii="Times New Roman" w:hAnsi="Times New Roman" w:eastAsia="Times New Roman" w:cs="Times New Roman"/>
          <w:spacing w:val="20"/>
          <w:sz w:val="23"/>
          <w:szCs w:val="23"/>
        </w:rPr>
        <w:t>0.5</w:t>
      </w:r>
      <w:r>
        <w:rPr>
          <w:rFonts w:ascii="宋体" w:hAnsi="宋体" w:eastAsia="宋体" w:cs="宋体"/>
          <w:spacing w:val="20"/>
          <w:sz w:val="23"/>
          <w:szCs w:val="23"/>
        </w:rPr>
        <w:t>~</w:t>
      </w:r>
      <w:r>
        <w:rPr>
          <w:rFonts w:ascii="Times New Roman" w:hAnsi="Times New Roman" w:eastAsia="Times New Roman" w:cs="Times New Roman"/>
          <w:spacing w:val="20"/>
          <w:sz w:val="23"/>
          <w:szCs w:val="23"/>
        </w:rPr>
        <w:t>1.0</w:t>
      </w:r>
      <w:r>
        <w:rPr>
          <w:rFonts w:ascii="Times New Roman" w:hAnsi="Times New Roman" w:eastAsia="Times New Roman" w:cs="Times New Roman"/>
          <w:sz w:val="23"/>
          <w:szCs w:val="23"/>
        </w:rPr>
        <w:t>kg</w:t>
      </w:r>
      <w:r>
        <w:rPr>
          <w:rFonts w:ascii="Times New Roman" w:hAnsi="Times New Roman" w:eastAsia="Times New Roman" w:cs="Times New Roman"/>
          <w:spacing w:val="20"/>
          <w:sz w:val="23"/>
          <w:szCs w:val="23"/>
        </w:rPr>
        <w:t xml:space="preserve"> </w:t>
      </w:r>
      <w:r>
        <w:rPr>
          <w:rFonts w:ascii="宋体" w:hAnsi="宋体" w:eastAsia="宋体" w:cs="宋体"/>
          <w:spacing w:val="20"/>
          <w:sz w:val="23"/>
          <w:szCs w:val="23"/>
        </w:rPr>
        <w:t>的建筑垃圾，本次评价取每平方米建筑面积产生</w:t>
      </w:r>
      <w:r>
        <w:rPr>
          <w:rFonts w:ascii="宋体" w:hAnsi="宋体" w:eastAsia="宋体" w:cs="宋体"/>
          <w:sz w:val="23"/>
          <w:szCs w:val="23"/>
        </w:rPr>
        <w:t xml:space="preserve"> </w:t>
      </w:r>
      <w:r>
        <w:rPr>
          <w:rFonts w:ascii="Times New Roman" w:hAnsi="Times New Roman" w:eastAsia="Times New Roman" w:cs="Times New Roman"/>
          <w:spacing w:val="8"/>
          <w:sz w:val="23"/>
          <w:szCs w:val="23"/>
        </w:rPr>
        <w:t>1.0</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建</w:t>
      </w:r>
      <w:r>
        <w:rPr>
          <w:rFonts w:ascii="宋体" w:hAnsi="宋体" w:eastAsia="宋体" w:cs="宋体"/>
          <w:spacing w:val="6"/>
          <w:sz w:val="23"/>
          <w:szCs w:val="23"/>
        </w:rPr>
        <w:t>筑</w:t>
      </w:r>
      <w:r>
        <w:rPr>
          <w:rFonts w:ascii="宋体" w:hAnsi="宋体" w:eastAsia="宋体" w:cs="宋体"/>
          <w:spacing w:val="4"/>
          <w:sz w:val="23"/>
          <w:szCs w:val="23"/>
        </w:rPr>
        <w:t xml:space="preserve">垃圾。项目施工期建筑垃圾产生总量约为 </w:t>
      </w:r>
      <w:r>
        <w:rPr>
          <w:rFonts w:ascii="Times New Roman" w:hAnsi="Times New Roman" w:eastAsia="Times New Roman" w:cs="Times New Roman"/>
          <w:spacing w:val="4"/>
          <w:sz w:val="23"/>
          <w:szCs w:val="23"/>
        </w:rPr>
        <w:t>2.71</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。建筑垃圾、施工建设</w:t>
      </w:r>
      <w:r>
        <w:rPr>
          <w:rFonts w:ascii="宋体" w:hAnsi="宋体" w:eastAsia="宋体" w:cs="宋体"/>
          <w:sz w:val="23"/>
          <w:szCs w:val="23"/>
        </w:rPr>
        <w:t xml:space="preserve"> </w:t>
      </w:r>
      <w:r>
        <w:rPr>
          <w:rFonts w:ascii="宋体" w:hAnsi="宋体" w:eastAsia="宋体" w:cs="宋体"/>
          <w:spacing w:val="8"/>
          <w:sz w:val="23"/>
          <w:szCs w:val="23"/>
        </w:rPr>
        <w:t>过</w:t>
      </w:r>
      <w:r>
        <w:rPr>
          <w:rFonts w:ascii="宋体" w:hAnsi="宋体" w:eastAsia="宋体" w:cs="宋体"/>
          <w:spacing w:val="7"/>
          <w:sz w:val="23"/>
          <w:szCs w:val="23"/>
        </w:rPr>
        <w:t>程中产生的废弃装饰建筑材料，集中收集，尽量回用，不能回用的送至建筑垃</w:t>
      </w:r>
      <w:r>
        <w:rPr>
          <w:rFonts w:ascii="宋体" w:hAnsi="宋体" w:eastAsia="宋体" w:cs="宋体"/>
          <w:sz w:val="23"/>
          <w:szCs w:val="23"/>
        </w:rPr>
        <w:t xml:space="preserve"> </w:t>
      </w:r>
      <w:r>
        <w:rPr>
          <w:rFonts w:ascii="宋体" w:hAnsi="宋体" w:eastAsia="宋体" w:cs="宋体"/>
          <w:spacing w:val="16"/>
          <w:sz w:val="23"/>
          <w:szCs w:val="23"/>
        </w:rPr>
        <w:t>圾</w:t>
      </w:r>
      <w:r>
        <w:rPr>
          <w:rFonts w:ascii="宋体" w:hAnsi="宋体" w:eastAsia="宋体" w:cs="宋体"/>
          <w:spacing w:val="9"/>
          <w:sz w:val="23"/>
          <w:szCs w:val="23"/>
        </w:rPr>
        <w:t>填埋场。施工期产生少量弃土，场地平整过程中可全部回用。</w:t>
      </w:r>
    </w:p>
    <w:p w14:paraId="46336238">
      <w:pPr>
        <w:spacing w:before="114" w:line="226" w:lineRule="auto"/>
        <w:ind w:left="18"/>
        <w:outlineLvl w:val="2"/>
        <w:rPr>
          <w:rFonts w:ascii="宋体" w:hAnsi="宋体" w:eastAsia="宋体" w:cs="宋体"/>
          <w:sz w:val="29"/>
          <w:szCs w:val="29"/>
        </w:rPr>
      </w:pPr>
      <w:r>
        <w:rPr>
          <w:rFonts w:ascii="Times New Roman" w:hAnsi="Times New Roman" w:eastAsia="Times New Roman" w:cs="Times New Roman"/>
          <w:b/>
          <w:bCs/>
          <w:spacing w:val="7"/>
          <w:sz w:val="29"/>
          <w:szCs w:val="29"/>
        </w:rPr>
        <w:t>3.2.2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运营期工程分</w:t>
      </w:r>
      <w:r>
        <w:rPr>
          <w:rFonts w:ascii="宋体" w:hAnsi="宋体" w:eastAsia="宋体" w:cs="宋体"/>
          <w:spacing w:val="5"/>
          <w:sz w:val="29"/>
          <w:szCs w:val="29"/>
          <w14:textOutline w14:w="5448" w14:cap="sq" w14:cmpd="sng">
            <w14:solidFill>
              <w14:srgbClr w14:val="000000"/>
            </w14:solidFill>
            <w14:prstDash w14:val="solid"/>
            <w14:bevel/>
          </w14:textOutline>
        </w:rPr>
        <w:t>析</w:t>
      </w:r>
    </w:p>
    <w:p w14:paraId="14C7C1EE">
      <w:pPr>
        <w:spacing w:before="287" w:line="221" w:lineRule="auto"/>
        <w:ind w:left="18"/>
        <w:outlineLvl w:val="3"/>
        <w:rPr>
          <w:rFonts w:ascii="宋体" w:hAnsi="宋体" w:eastAsia="宋体" w:cs="宋体"/>
          <w:sz w:val="28"/>
          <w:szCs w:val="28"/>
        </w:rPr>
      </w:pPr>
      <w:r>
        <w:rPr>
          <w:rFonts w:ascii="Times New Roman" w:hAnsi="Times New Roman" w:eastAsia="Times New Roman" w:cs="Times New Roman"/>
          <w:b/>
          <w:bCs/>
          <w:spacing w:val="7"/>
          <w:sz w:val="28"/>
          <w:szCs w:val="28"/>
        </w:rPr>
        <w:t>3.2.2.1</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工艺流</w:t>
      </w:r>
      <w:r>
        <w:rPr>
          <w:rFonts w:ascii="宋体" w:hAnsi="宋体" w:eastAsia="宋体" w:cs="宋体"/>
          <w:spacing w:val="5"/>
          <w:sz w:val="28"/>
          <w:szCs w:val="28"/>
          <w14:textOutline w14:w="5103" w14:cap="sq" w14:cmpd="sng">
            <w14:solidFill>
              <w14:srgbClr w14:val="000000"/>
            </w14:solidFill>
            <w14:prstDash w14:val="solid"/>
            <w14:bevel/>
          </w14:textOutline>
        </w:rPr>
        <w:t>程</w:t>
      </w:r>
    </w:p>
    <w:p w14:paraId="0D770C0F">
      <w:pPr>
        <w:spacing w:line="247" w:lineRule="auto"/>
        <w:rPr>
          <w:rFonts w:ascii="Arial"/>
          <w:sz w:val="21"/>
        </w:rPr>
      </w:pPr>
    </w:p>
    <w:p w14:paraId="572C355A">
      <w:pPr>
        <w:spacing w:before="75" w:line="386" w:lineRule="auto"/>
        <w:ind w:left="22" w:firstLine="484"/>
        <w:rPr>
          <w:rFonts w:ascii="宋体" w:hAnsi="宋体" w:eastAsia="宋体" w:cs="宋体"/>
          <w:sz w:val="23"/>
          <w:szCs w:val="23"/>
        </w:rPr>
      </w:pPr>
      <w:r>
        <w:rPr>
          <w:rFonts w:ascii="宋体" w:hAnsi="宋体" w:eastAsia="宋体" w:cs="宋体"/>
          <w:spacing w:val="15"/>
          <w:sz w:val="23"/>
          <w:szCs w:val="23"/>
        </w:rPr>
        <w:t>该</w:t>
      </w:r>
      <w:r>
        <w:rPr>
          <w:rFonts w:ascii="宋体" w:hAnsi="宋体" w:eastAsia="宋体" w:cs="宋体"/>
          <w:spacing w:val="9"/>
          <w:sz w:val="23"/>
          <w:szCs w:val="23"/>
        </w:rPr>
        <w:t>项目以外购的合金铁、铝锭及砂子的废包装袋为原料，通过分选、清洗、</w:t>
      </w:r>
      <w:r>
        <w:rPr>
          <w:rFonts w:ascii="宋体" w:hAnsi="宋体" w:eastAsia="宋体" w:cs="宋体"/>
          <w:sz w:val="23"/>
          <w:szCs w:val="23"/>
        </w:rPr>
        <w:t xml:space="preserve"> </w:t>
      </w:r>
      <w:r>
        <w:rPr>
          <w:rFonts w:ascii="宋体" w:hAnsi="宋体" w:eastAsia="宋体" w:cs="宋体"/>
          <w:spacing w:val="18"/>
          <w:sz w:val="23"/>
          <w:szCs w:val="23"/>
        </w:rPr>
        <w:t>粉</w:t>
      </w:r>
      <w:r>
        <w:rPr>
          <w:rFonts w:ascii="宋体" w:hAnsi="宋体" w:eastAsia="宋体" w:cs="宋体"/>
          <w:spacing w:val="9"/>
          <w:sz w:val="23"/>
          <w:szCs w:val="23"/>
        </w:rPr>
        <w:t>碎、造粒等工序生产再生塑料颗粒，具体生产工艺流程如下：</w:t>
      </w:r>
    </w:p>
    <w:p w14:paraId="3F9F6CCC">
      <w:pPr>
        <w:spacing w:before="136" w:line="303" w:lineRule="exact"/>
        <w:ind w:left="522"/>
        <w:rPr>
          <w:rFonts w:ascii="宋体" w:hAnsi="宋体" w:eastAsia="宋体" w:cs="宋体"/>
          <w:sz w:val="23"/>
          <w:szCs w:val="23"/>
        </w:rPr>
      </w:pPr>
      <w:r>
        <w:rPr>
          <w:rFonts w:ascii="Times New Roman" w:hAnsi="Times New Roman" w:eastAsia="Times New Roman" w:cs="Times New Roman"/>
          <w:spacing w:val="-11"/>
          <w:position w:val="1"/>
          <w:sz w:val="23"/>
          <w:szCs w:val="23"/>
        </w:rPr>
        <w:t>1</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、分拣</w:t>
      </w:r>
    </w:p>
    <w:p w14:paraId="13CE8B89">
      <w:pPr>
        <w:spacing w:line="250" w:lineRule="auto"/>
        <w:rPr>
          <w:rFonts w:ascii="Arial"/>
          <w:sz w:val="21"/>
        </w:rPr>
      </w:pPr>
    </w:p>
    <w:p w14:paraId="7428E5A0">
      <w:pPr>
        <w:spacing w:before="75" w:line="379" w:lineRule="auto"/>
        <w:ind w:left="21" w:right="80" w:firstLine="485"/>
        <w:rPr>
          <w:rFonts w:ascii="宋体" w:hAnsi="宋体" w:eastAsia="宋体" w:cs="宋体"/>
          <w:sz w:val="23"/>
          <w:szCs w:val="23"/>
        </w:rPr>
      </w:pPr>
      <w:r>
        <w:rPr>
          <w:rFonts w:ascii="宋体" w:hAnsi="宋体" w:eastAsia="宋体" w:cs="宋体"/>
          <w:spacing w:val="12"/>
          <w:sz w:val="23"/>
          <w:szCs w:val="23"/>
        </w:rPr>
        <w:t>项目的使</w:t>
      </w:r>
      <w:r>
        <w:rPr>
          <w:rFonts w:ascii="宋体" w:hAnsi="宋体" w:eastAsia="宋体" w:cs="宋体"/>
          <w:spacing w:val="7"/>
          <w:sz w:val="23"/>
          <w:szCs w:val="23"/>
        </w:rPr>
        <w:t>用</w:t>
      </w:r>
      <w:r>
        <w:rPr>
          <w:rFonts w:ascii="宋体" w:hAnsi="宋体" w:eastAsia="宋体" w:cs="宋体"/>
          <w:spacing w:val="6"/>
          <w:sz w:val="23"/>
          <w:szCs w:val="23"/>
        </w:rPr>
        <w:t>原料为废旧塑料编织袋，均外购于本溪宏远集团北台再生资源有</w:t>
      </w:r>
      <w:r>
        <w:rPr>
          <w:rFonts w:ascii="宋体" w:hAnsi="宋体" w:eastAsia="宋体" w:cs="宋体"/>
          <w:sz w:val="23"/>
          <w:szCs w:val="23"/>
        </w:rPr>
        <w:t xml:space="preserve"> </w:t>
      </w:r>
      <w:r>
        <w:rPr>
          <w:rFonts w:ascii="宋体" w:hAnsi="宋体" w:eastAsia="宋体" w:cs="宋体"/>
          <w:spacing w:val="10"/>
          <w:sz w:val="23"/>
          <w:szCs w:val="23"/>
        </w:rPr>
        <w:t>限</w:t>
      </w:r>
      <w:r>
        <w:rPr>
          <w:rFonts w:ascii="宋体" w:hAnsi="宋体" w:eastAsia="宋体" w:cs="宋体"/>
          <w:spacing w:val="7"/>
          <w:sz w:val="23"/>
          <w:szCs w:val="23"/>
        </w:rPr>
        <w:t>责任公司及平山区利安建材城，为本溪宏远集团北台再生资源有限责任公司收</w:t>
      </w:r>
      <w:r>
        <w:rPr>
          <w:rFonts w:ascii="宋体" w:hAnsi="宋体" w:eastAsia="宋体" w:cs="宋体"/>
          <w:sz w:val="23"/>
          <w:szCs w:val="23"/>
        </w:rPr>
        <w:t xml:space="preserve"> </w:t>
      </w:r>
      <w:r>
        <w:rPr>
          <w:rFonts w:ascii="宋体" w:hAnsi="宋体" w:eastAsia="宋体" w:cs="宋体"/>
          <w:spacing w:val="12"/>
          <w:sz w:val="23"/>
          <w:szCs w:val="23"/>
        </w:rPr>
        <w:t>购北台钢</w:t>
      </w:r>
      <w:r>
        <w:rPr>
          <w:rFonts w:ascii="宋体" w:hAnsi="宋体" w:eastAsia="宋体" w:cs="宋体"/>
          <w:spacing w:val="8"/>
          <w:sz w:val="23"/>
          <w:szCs w:val="23"/>
        </w:rPr>
        <w:t>铁</w:t>
      </w:r>
      <w:r>
        <w:rPr>
          <w:rFonts w:ascii="宋体" w:hAnsi="宋体" w:eastAsia="宋体" w:cs="宋体"/>
          <w:spacing w:val="6"/>
          <w:sz w:val="23"/>
          <w:szCs w:val="23"/>
        </w:rPr>
        <w:t xml:space="preserve"> (集团) 有限责任公司所用原料合金铁及铝锭的废包装袋及平山区利</w:t>
      </w:r>
      <w:r>
        <w:rPr>
          <w:rFonts w:ascii="宋体" w:hAnsi="宋体" w:eastAsia="宋体" w:cs="宋体"/>
          <w:sz w:val="23"/>
          <w:szCs w:val="23"/>
        </w:rPr>
        <w:t xml:space="preserve"> </w:t>
      </w:r>
      <w:r>
        <w:rPr>
          <w:rFonts w:ascii="宋体" w:hAnsi="宋体" w:eastAsia="宋体" w:cs="宋体"/>
          <w:spacing w:val="10"/>
          <w:sz w:val="23"/>
          <w:szCs w:val="23"/>
        </w:rPr>
        <w:t>安</w:t>
      </w:r>
      <w:r>
        <w:rPr>
          <w:rFonts w:ascii="宋体" w:hAnsi="宋体" w:eastAsia="宋体" w:cs="宋体"/>
          <w:spacing w:val="7"/>
          <w:sz w:val="23"/>
          <w:szCs w:val="23"/>
        </w:rPr>
        <w:t>建材城所销售砂子的废包装袋，主要成分为聚乙烯、聚丙烯。购进的原料已经</w:t>
      </w:r>
      <w:r>
        <w:rPr>
          <w:rFonts w:ascii="宋体" w:hAnsi="宋体" w:eastAsia="宋体" w:cs="宋体"/>
          <w:sz w:val="23"/>
          <w:szCs w:val="23"/>
        </w:rPr>
        <w:t xml:space="preserve"> </w:t>
      </w:r>
      <w:r>
        <w:rPr>
          <w:rFonts w:ascii="宋体" w:hAnsi="宋体" w:eastAsia="宋体" w:cs="宋体"/>
          <w:spacing w:val="10"/>
          <w:sz w:val="23"/>
          <w:szCs w:val="23"/>
        </w:rPr>
        <w:t>经</w:t>
      </w:r>
      <w:r>
        <w:rPr>
          <w:rFonts w:ascii="宋体" w:hAnsi="宋体" w:eastAsia="宋体" w:cs="宋体"/>
          <w:spacing w:val="7"/>
          <w:sz w:val="23"/>
          <w:szCs w:val="23"/>
        </w:rPr>
        <w:t>过初步的分选，为了保证产品质量，外购的废旧塑料编织袋投入生产之前需要</w:t>
      </w:r>
      <w:r>
        <w:rPr>
          <w:rFonts w:ascii="宋体" w:hAnsi="宋体" w:eastAsia="宋体" w:cs="宋体"/>
          <w:sz w:val="23"/>
          <w:szCs w:val="23"/>
        </w:rPr>
        <w:t xml:space="preserve"> </w:t>
      </w:r>
      <w:r>
        <w:rPr>
          <w:rFonts w:ascii="宋体" w:hAnsi="宋体" w:eastAsia="宋体" w:cs="宋体"/>
          <w:spacing w:val="10"/>
          <w:sz w:val="23"/>
          <w:szCs w:val="23"/>
        </w:rPr>
        <w:t>进</w:t>
      </w:r>
      <w:r>
        <w:rPr>
          <w:rFonts w:ascii="宋体" w:hAnsi="宋体" w:eastAsia="宋体" w:cs="宋体"/>
          <w:spacing w:val="7"/>
          <w:sz w:val="23"/>
          <w:szCs w:val="23"/>
        </w:rPr>
        <w:t>一步人工分选，通过人工分拣，主要将废旧编织袋中的杂质剔除，并按照塑料</w:t>
      </w:r>
      <w:r>
        <w:rPr>
          <w:rFonts w:ascii="宋体" w:hAnsi="宋体" w:eastAsia="宋体" w:cs="宋体"/>
          <w:sz w:val="23"/>
          <w:szCs w:val="23"/>
        </w:rPr>
        <w:t xml:space="preserve"> </w:t>
      </w:r>
      <w:r>
        <w:rPr>
          <w:rFonts w:ascii="宋体" w:hAnsi="宋体" w:eastAsia="宋体" w:cs="宋体"/>
          <w:spacing w:val="10"/>
          <w:sz w:val="23"/>
          <w:szCs w:val="23"/>
        </w:rPr>
        <w:t>种</w:t>
      </w:r>
      <w:r>
        <w:rPr>
          <w:rFonts w:ascii="宋体" w:hAnsi="宋体" w:eastAsia="宋体" w:cs="宋体"/>
          <w:spacing w:val="7"/>
          <w:sz w:val="23"/>
          <w:szCs w:val="23"/>
        </w:rPr>
        <w:t>类、颜色分开存放。该生产工序会产生一定量的杂物和粉尘，其杂物主要一般</w:t>
      </w:r>
      <w:r>
        <w:rPr>
          <w:rFonts w:ascii="宋体" w:hAnsi="宋体" w:eastAsia="宋体" w:cs="宋体"/>
          <w:sz w:val="23"/>
          <w:szCs w:val="23"/>
        </w:rPr>
        <w:t xml:space="preserve"> </w:t>
      </w:r>
      <w:r>
        <w:rPr>
          <w:rFonts w:ascii="宋体" w:hAnsi="宋体" w:eastAsia="宋体" w:cs="宋体"/>
          <w:spacing w:val="9"/>
          <w:sz w:val="23"/>
          <w:szCs w:val="23"/>
        </w:rPr>
        <w:t>为绑扎带以及土石块，属于一般废物</w:t>
      </w:r>
      <w:r>
        <w:rPr>
          <w:rFonts w:ascii="宋体" w:hAnsi="宋体" w:eastAsia="宋体" w:cs="宋体"/>
          <w:spacing w:val="8"/>
          <w:sz w:val="23"/>
          <w:szCs w:val="23"/>
        </w:rPr>
        <w:t>。</w:t>
      </w:r>
    </w:p>
    <w:p w14:paraId="33902EE4">
      <w:pPr>
        <w:spacing w:before="136" w:line="303" w:lineRule="exact"/>
        <w:ind w:left="499"/>
        <w:rPr>
          <w:rFonts w:ascii="宋体" w:hAnsi="宋体" w:eastAsia="宋体" w:cs="宋体"/>
          <w:sz w:val="23"/>
          <w:szCs w:val="23"/>
        </w:rPr>
      </w:pPr>
      <w:r>
        <w:rPr>
          <w:rFonts w:ascii="Times New Roman" w:hAnsi="Times New Roman" w:eastAsia="Times New Roman" w:cs="Times New Roman"/>
          <w:spacing w:val="-8"/>
          <w:position w:val="1"/>
          <w:sz w:val="23"/>
          <w:szCs w:val="23"/>
        </w:rPr>
        <w:t>2</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、破碎</w:t>
      </w:r>
    </w:p>
    <w:p w14:paraId="5A1EDC2F">
      <w:pPr>
        <w:spacing w:line="244" w:lineRule="auto"/>
        <w:rPr>
          <w:rFonts w:ascii="Arial"/>
          <w:sz w:val="21"/>
        </w:rPr>
      </w:pPr>
    </w:p>
    <w:p w14:paraId="3BED361A">
      <w:pPr>
        <w:spacing w:before="75" w:line="227" w:lineRule="auto"/>
        <w:ind w:left="505"/>
        <w:rPr>
          <w:rFonts w:ascii="宋体" w:hAnsi="宋体" w:eastAsia="宋体" w:cs="宋体"/>
          <w:sz w:val="23"/>
          <w:szCs w:val="23"/>
        </w:rPr>
      </w:pPr>
      <w:r>
        <w:rPr>
          <w:rFonts w:ascii="宋体" w:hAnsi="宋体" w:eastAsia="宋体" w:cs="宋体"/>
          <w:spacing w:val="7"/>
          <w:sz w:val="23"/>
          <w:szCs w:val="23"/>
        </w:rPr>
        <w:t>人工分拣好的废旧塑料编织袋由提料机自动送入粉碎机进行破碎。废旧塑</w:t>
      </w:r>
      <w:r>
        <w:rPr>
          <w:rFonts w:ascii="宋体" w:hAnsi="宋体" w:eastAsia="宋体" w:cs="宋体"/>
          <w:spacing w:val="1"/>
          <w:sz w:val="23"/>
          <w:szCs w:val="23"/>
        </w:rPr>
        <w:t>料</w:t>
      </w:r>
    </w:p>
    <w:p w14:paraId="54E57001">
      <w:pPr>
        <w:sectPr>
          <w:headerReference r:id="rId112" w:type="default"/>
          <w:footerReference r:id="rId113" w:type="default"/>
          <w:pgSz w:w="11906" w:h="16839"/>
          <w:pgMar w:top="1132" w:right="1719" w:bottom="1180" w:left="1785" w:header="878" w:footer="1022" w:gutter="0"/>
          <w:cols w:space="720" w:num="1"/>
        </w:sectPr>
      </w:pPr>
    </w:p>
    <w:p w14:paraId="3DBBEF97">
      <w:pPr>
        <w:spacing w:line="401" w:lineRule="auto"/>
        <w:rPr>
          <w:rFonts w:ascii="Arial"/>
          <w:sz w:val="21"/>
        </w:rPr>
      </w:pPr>
      <w:r>
        <w:pict>
          <v:shape id="_x0000_s1153" o:spid="_x0000_s1153" style="position:absolute;left:0pt;margin-left:90pt;margin-top:57.35pt;height:0.75pt;width:415.3pt;mso-position-horizontal-relative:page;mso-position-vertical-relative:page;z-index:251800576;mso-width-relative:page;mso-height-relative:page;" fillcolor="#000000" filled="t" stroked="f" coordsize="8305,15" o:allowincell="f" path="m0,0l8305,0,8305,14,0,14,0,0xe">
            <v:path/>
            <v:fill on="t" focussize="0,0"/>
            <v:stroke on="f"/>
            <v:imagedata o:title=""/>
            <o:lock v:ext="edit"/>
          </v:shape>
        </w:pict>
      </w:r>
    </w:p>
    <w:p w14:paraId="18C66304">
      <w:pPr>
        <w:spacing w:before="75" w:line="381" w:lineRule="auto"/>
        <w:ind w:left="22" w:right="13"/>
        <w:rPr>
          <w:rFonts w:ascii="宋体" w:hAnsi="宋体" w:eastAsia="宋体" w:cs="宋体"/>
          <w:sz w:val="23"/>
          <w:szCs w:val="23"/>
        </w:rPr>
      </w:pPr>
      <w:r>
        <w:rPr>
          <w:rFonts w:ascii="宋体" w:hAnsi="宋体" w:eastAsia="宋体" w:cs="宋体"/>
          <w:spacing w:val="12"/>
          <w:sz w:val="23"/>
          <w:szCs w:val="23"/>
        </w:rPr>
        <w:t>破碎过程</w:t>
      </w:r>
      <w:r>
        <w:rPr>
          <w:rFonts w:ascii="宋体" w:hAnsi="宋体" w:eastAsia="宋体" w:cs="宋体"/>
          <w:spacing w:val="7"/>
          <w:sz w:val="23"/>
          <w:szCs w:val="23"/>
        </w:rPr>
        <w:t>采</w:t>
      </w:r>
      <w:r>
        <w:rPr>
          <w:rFonts w:ascii="宋体" w:hAnsi="宋体" w:eastAsia="宋体" w:cs="宋体"/>
          <w:spacing w:val="6"/>
          <w:sz w:val="23"/>
          <w:szCs w:val="23"/>
        </w:rPr>
        <w:t>用湿式破碎的方法 (破碎机含有加水口) ，湿式破碎可以防止破碎过</w:t>
      </w:r>
      <w:r>
        <w:rPr>
          <w:rFonts w:ascii="宋体" w:hAnsi="宋体" w:eastAsia="宋体" w:cs="宋体"/>
          <w:sz w:val="23"/>
          <w:szCs w:val="23"/>
        </w:rPr>
        <w:t xml:space="preserve"> </w:t>
      </w:r>
      <w:r>
        <w:rPr>
          <w:rFonts w:ascii="宋体" w:hAnsi="宋体" w:eastAsia="宋体" w:cs="宋体"/>
          <w:spacing w:val="9"/>
          <w:sz w:val="23"/>
          <w:szCs w:val="23"/>
        </w:rPr>
        <w:t>程</w:t>
      </w:r>
      <w:r>
        <w:rPr>
          <w:rFonts w:ascii="宋体" w:hAnsi="宋体" w:eastAsia="宋体" w:cs="宋体"/>
          <w:spacing w:val="7"/>
          <w:sz w:val="23"/>
          <w:szCs w:val="23"/>
        </w:rPr>
        <w:t>温度升高造成塑料结块，也可以有效杜绝破碎过程粉尘产生。破碎工序应采用</w:t>
      </w:r>
      <w:r>
        <w:rPr>
          <w:rFonts w:ascii="宋体" w:hAnsi="宋体" w:eastAsia="宋体" w:cs="宋体"/>
          <w:sz w:val="23"/>
          <w:szCs w:val="23"/>
        </w:rPr>
        <w:t xml:space="preserve"> </w:t>
      </w:r>
      <w:r>
        <w:rPr>
          <w:rFonts w:ascii="宋体" w:hAnsi="宋体" w:eastAsia="宋体" w:cs="宋体"/>
          <w:spacing w:val="9"/>
          <w:sz w:val="23"/>
          <w:szCs w:val="23"/>
        </w:rPr>
        <w:t>具</w:t>
      </w:r>
      <w:r>
        <w:rPr>
          <w:rFonts w:ascii="宋体" w:hAnsi="宋体" w:eastAsia="宋体" w:cs="宋体"/>
          <w:spacing w:val="7"/>
          <w:sz w:val="23"/>
          <w:szCs w:val="23"/>
        </w:rPr>
        <w:t>有减振与降噪功能的密闭破碎设备；带水破碎过程带有一定的清洗功能，因此</w:t>
      </w:r>
      <w:r>
        <w:rPr>
          <w:rFonts w:ascii="宋体" w:hAnsi="宋体" w:eastAsia="宋体" w:cs="宋体"/>
          <w:sz w:val="23"/>
          <w:szCs w:val="23"/>
        </w:rPr>
        <w:t xml:space="preserve"> </w:t>
      </w:r>
      <w:r>
        <w:rPr>
          <w:rFonts w:ascii="宋体" w:hAnsi="宋体" w:eastAsia="宋体" w:cs="宋体"/>
          <w:spacing w:val="16"/>
          <w:sz w:val="23"/>
          <w:szCs w:val="23"/>
        </w:rPr>
        <w:t>项</w:t>
      </w:r>
      <w:r>
        <w:rPr>
          <w:rFonts w:ascii="宋体" w:hAnsi="宋体" w:eastAsia="宋体" w:cs="宋体"/>
          <w:spacing w:val="11"/>
          <w:sz w:val="23"/>
          <w:szCs w:val="23"/>
        </w:rPr>
        <w:t>目</w:t>
      </w:r>
      <w:r>
        <w:rPr>
          <w:rFonts w:ascii="宋体" w:hAnsi="宋体" w:eastAsia="宋体" w:cs="宋体"/>
          <w:spacing w:val="8"/>
          <w:sz w:val="23"/>
          <w:szCs w:val="23"/>
        </w:rPr>
        <w:t>破碎过程中无破碎粉尘产生。</w:t>
      </w:r>
    </w:p>
    <w:p w14:paraId="4D206949">
      <w:pPr>
        <w:spacing w:before="136" w:line="303" w:lineRule="exact"/>
        <w:ind w:left="499"/>
        <w:rPr>
          <w:rFonts w:ascii="宋体" w:hAnsi="宋体" w:eastAsia="宋体" w:cs="宋体"/>
          <w:sz w:val="23"/>
          <w:szCs w:val="23"/>
        </w:rPr>
      </w:pPr>
      <w:r>
        <w:rPr>
          <w:rFonts w:ascii="Times New Roman" w:hAnsi="Times New Roman" w:eastAsia="Times New Roman" w:cs="Times New Roman"/>
          <w:spacing w:val="-8"/>
          <w:position w:val="1"/>
          <w:sz w:val="23"/>
          <w:szCs w:val="23"/>
        </w:rPr>
        <w:t>2</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、初洗</w:t>
      </w:r>
    </w:p>
    <w:p w14:paraId="003CE1EC">
      <w:pPr>
        <w:spacing w:line="249" w:lineRule="auto"/>
        <w:rPr>
          <w:rFonts w:ascii="Arial"/>
          <w:sz w:val="21"/>
        </w:rPr>
      </w:pPr>
    </w:p>
    <w:p w14:paraId="30843DA7">
      <w:pPr>
        <w:spacing w:before="75" w:line="380" w:lineRule="auto"/>
        <w:ind w:left="23" w:right="8" w:firstLine="479"/>
        <w:rPr>
          <w:rFonts w:ascii="宋体" w:hAnsi="宋体" w:eastAsia="宋体" w:cs="宋体"/>
          <w:sz w:val="23"/>
          <w:szCs w:val="23"/>
        </w:rPr>
      </w:pPr>
      <w:r>
        <w:rPr>
          <w:rFonts w:ascii="宋体" w:hAnsi="宋体" w:eastAsia="宋体" w:cs="宋体"/>
          <w:spacing w:val="7"/>
          <w:sz w:val="23"/>
          <w:szCs w:val="23"/>
        </w:rPr>
        <w:t>破碎后的废旧塑料编织袋送至偏心清洗机内，对原料进行初洗。初洗后的</w:t>
      </w:r>
      <w:r>
        <w:rPr>
          <w:rFonts w:ascii="宋体" w:hAnsi="宋体" w:eastAsia="宋体" w:cs="宋体"/>
          <w:spacing w:val="3"/>
          <w:sz w:val="23"/>
          <w:szCs w:val="23"/>
        </w:rPr>
        <w:t>物</w:t>
      </w:r>
      <w:r>
        <w:rPr>
          <w:rFonts w:ascii="宋体" w:hAnsi="宋体" w:eastAsia="宋体" w:cs="宋体"/>
          <w:sz w:val="23"/>
          <w:szCs w:val="23"/>
        </w:rPr>
        <w:t xml:space="preserve"> </w:t>
      </w:r>
      <w:r>
        <w:rPr>
          <w:rFonts w:ascii="宋体" w:hAnsi="宋体" w:eastAsia="宋体" w:cs="宋体"/>
          <w:spacing w:val="12"/>
          <w:sz w:val="23"/>
          <w:szCs w:val="23"/>
        </w:rPr>
        <w:t>料经沉</w:t>
      </w:r>
      <w:r>
        <w:rPr>
          <w:rFonts w:ascii="宋体" w:hAnsi="宋体" w:eastAsia="宋体" w:cs="宋体"/>
          <w:spacing w:val="8"/>
          <w:sz w:val="23"/>
          <w:szCs w:val="23"/>
        </w:rPr>
        <w:t>浮</w:t>
      </w:r>
      <w:r>
        <w:rPr>
          <w:rFonts w:ascii="宋体" w:hAnsi="宋体" w:eastAsia="宋体" w:cs="宋体"/>
          <w:spacing w:val="6"/>
          <w:sz w:val="23"/>
          <w:szCs w:val="23"/>
        </w:rPr>
        <w:t>分离水槽 (</w:t>
      </w:r>
      <w:r>
        <w:rPr>
          <w:rFonts w:ascii="Times New Roman" w:hAnsi="Times New Roman" w:eastAsia="Times New Roman" w:cs="Times New Roman"/>
          <w:spacing w:val="6"/>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×1.5</w:t>
      </w:r>
      <w:r>
        <w:rPr>
          <w:rFonts w:ascii="Times New Roman" w:hAnsi="Times New Roman" w:eastAsia="Times New Roman" w:cs="Times New Roman"/>
          <w:sz w:val="23"/>
          <w:szCs w:val="23"/>
        </w:rPr>
        <w:t>m</w:t>
      </w:r>
      <w:r>
        <w:rPr>
          <w:rFonts w:ascii="宋体" w:hAnsi="宋体" w:eastAsia="宋体" w:cs="宋体"/>
          <w:spacing w:val="6"/>
          <w:sz w:val="23"/>
          <w:szCs w:val="23"/>
        </w:rPr>
        <w:t>) 将洗好的料分离出来，随后由链条挖料机</w:t>
      </w:r>
      <w:r>
        <w:rPr>
          <w:rFonts w:ascii="宋体" w:hAnsi="宋体" w:eastAsia="宋体" w:cs="宋体"/>
          <w:sz w:val="23"/>
          <w:szCs w:val="23"/>
        </w:rPr>
        <w:t xml:space="preserve"> </w:t>
      </w:r>
      <w:r>
        <w:rPr>
          <w:rFonts w:ascii="宋体" w:hAnsi="宋体" w:eastAsia="宋体" w:cs="宋体"/>
          <w:spacing w:val="9"/>
          <w:sz w:val="23"/>
          <w:szCs w:val="23"/>
        </w:rPr>
        <w:t>再</w:t>
      </w:r>
      <w:r>
        <w:rPr>
          <w:rFonts w:ascii="宋体" w:hAnsi="宋体" w:eastAsia="宋体" w:cs="宋体"/>
          <w:spacing w:val="7"/>
          <w:sz w:val="23"/>
          <w:szCs w:val="23"/>
        </w:rPr>
        <w:t>送至洗字槽。清洗工序采用自动控制和清洗水循环利用。清洗过程中不用任何</w:t>
      </w:r>
      <w:r>
        <w:rPr>
          <w:rFonts w:ascii="宋体" w:hAnsi="宋体" w:eastAsia="宋体" w:cs="宋体"/>
          <w:sz w:val="23"/>
          <w:szCs w:val="23"/>
        </w:rPr>
        <w:t xml:space="preserve"> </w:t>
      </w:r>
      <w:r>
        <w:rPr>
          <w:rFonts w:ascii="宋体" w:hAnsi="宋体" w:eastAsia="宋体" w:cs="宋体"/>
          <w:spacing w:val="9"/>
          <w:sz w:val="23"/>
          <w:szCs w:val="23"/>
        </w:rPr>
        <w:t>的</w:t>
      </w:r>
      <w:r>
        <w:rPr>
          <w:rFonts w:ascii="宋体" w:hAnsi="宋体" w:eastAsia="宋体" w:cs="宋体"/>
          <w:spacing w:val="7"/>
          <w:sz w:val="23"/>
          <w:szCs w:val="23"/>
        </w:rPr>
        <w:t>清洗剂，废旧塑料编织袋的清洗主要去除的破碎后的粘附的灰尘。该生产工序</w:t>
      </w:r>
      <w:r>
        <w:rPr>
          <w:rFonts w:ascii="宋体" w:hAnsi="宋体" w:eastAsia="宋体" w:cs="宋体"/>
          <w:sz w:val="23"/>
          <w:szCs w:val="23"/>
        </w:rPr>
        <w:t xml:space="preserve"> </w:t>
      </w:r>
      <w:r>
        <w:rPr>
          <w:rFonts w:ascii="宋体" w:hAnsi="宋体" w:eastAsia="宋体" w:cs="宋体"/>
          <w:spacing w:val="9"/>
          <w:sz w:val="23"/>
          <w:szCs w:val="23"/>
        </w:rPr>
        <w:t>产</w:t>
      </w:r>
      <w:r>
        <w:rPr>
          <w:rFonts w:ascii="宋体" w:hAnsi="宋体" w:eastAsia="宋体" w:cs="宋体"/>
          <w:spacing w:val="7"/>
          <w:sz w:val="23"/>
          <w:szCs w:val="23"/>
        </w:rPr>
        <w:t xml:space="preserve">生的主要污染物为初洗清洗废水，主要污染因子为 </w:t>
      </w:r>
      <w:r>
        <w:rPr>
          <w:rFonts w:ascii="Times New Roman" w:hAnsi="Times New Roman" w:eastAsia="Times New Roman" w:cs="Times New Roman"/>
          <w:sz w:val="23"/>
          <w:szCs w:val="23"/>
        </w:rPr>
        <w:t>SS</w:t>
      </w:r>
      <w:r>
        <w:rPr>
          <w:rFonts w:ascii="宋体" w:hAnsi="宋体" w:eastAsia="宋体" w:cs="宋体"/>
          <w:spacing w:val="7"/>
          <w:sz w:val="23"/>
          <w:szCs w:val="23"/>
        </w:rPr>
        <w:t>。</w:t>
      </w:r>
    </w:p>
    <w:p w14:paraId="134C5B3B">
      <w:pPr>
        <w:spacing w:before="136" w:line="303" w:lineRule="exact"/>
        <w:ind w:left="443"/>
        <w:rPr>
          <w:rFonts w:ascii="宋体" w:hAnsi="宋体" w:eastAsia="宋体" w:cs="宋体"/>
          <w:sz w:val="23"/>
          <w:szCs w:val="23"/>
        </w:rPr>
      </w:pPr>
      <w:r>
        <w:rPr>
          <w:rFonts w:ascii="Times New Roman" w:hAnsi="Times New Roman" w:eastAsia="Times New Roman" w:cs="Times New Roman"/>
          <w:spacing w:val="-9"/>
          <w:position w:val="1"/>
          <w:sz w:val="23"/>
          <w:szCs w:val="23"/>
        </w:rPr>
        <w:t>3</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、洗字</w:t>
      </w:r>
    </w:p>
    <w:p w14:paraId="085A64CE">
      <w:pPr>
        <w:spacing w:line="249" w:lineRule="auto"/>
        <w:rPr>
          <w:rFonts w:ascii="Arial"/>
          <w:sz w:val="21"/>
        </w:rPr>
      </w:pPr>
    </w:p>
    <w:p w14:paraId="591AB2CA">
      <w:pPr>
        <w:spacing w:before="75" w:line="374" w:lineRule="auto"/>
        <w:ind w:left="22" w:right="11" w:firstLine="480"/>
        <w:rPr>
          <w:rFonts w:ascii="宋体" w:hAnsi="宋体" w:eastAsia="宋体" w:cs="宋体"/>
          <w:sz w:val="23"/>
          <w:szCs w:val="23"/>
        </w:rPr>
      </w:pPr>
      <w:r>
        <w:rPr>
          <w:rFonts w:ascii="宋体" w:hAnsi="宋体" w:eastAsia="宋体" w:cs="宋体"/>
          <w:spacing w:val="14"/>
          <w:sz w:val="23"/>
          <w:szCs w:val="23"/>
        </w:rPr>
        <w:t>初洗</w:t>
      </w:r>
      <w:r>
        <w:rPr>
          <w:rFonts w:ascii="宋体" w:hAnsi="宋体" w:eastAsia="宋体" w:cs="宋体"/>
          <w:spacing w:val="12"/>
          <w:sz w:val="23"/>
          <w:szCs w:val="23"/>
        </w:rPr>
        <w:t>后</w:t>
      </w:r>
      <w:r>
        <w:rPr>
          <w:rFonts w:ascii="宋体" w:hAnsi="宋体" w:eastAsia="宋体" w:cs="宋体"/>
          <w:spacing w:val="7"/>
          <w:sz w:val="23"/>
          <w:szCs w:val="23"/>
        </w:rPr>
        <w:t xml:space="preserve">的破碎料由链条挖料机再送至 </w:t>
      </w:r>
      <w:r>
        <w:rPr>
          <w:rFonts w:ascii="Times New Roman" w:hAnsi="Times New Roman" w:eastAsia="Times New Roman" w:cs="Times New Roman"/>
          <w:spacing w:val="7"/>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3"/>
          <w:szCs w:val="23"/>
        </w:rPr>
        <w:t>的洗字槽 (</w:t>
      </w:r>
      <w:r>
        <w:rPr>
          <w:rFonts w:ascii="Times New Roman" w:hAnsi="Times New Roman" w:eastAsia="Times New Roman" w:cs="Times New Roman"/>
          <w:spacing w:val="7"/>
          <w:sz w:val="23"/>
          <w:szCs w:val="23"/>
        </w:rPr>
        <w:t>2.5</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m</w:t>
      </w:r>
      <w:r>
        <w:rPr>
          <w:rFonts w:ascii="宋体" w:hAnsi="宋体" w:eastAsia="宋体" w:cs="宋体"/>
          <w:spacing w:val="7"/>
          <w:sz w:val="23"/>
          <w:szCs w:val="23"/>
        </w:rPr>
        <w:t>) 进行</w:t>
      </w:r>
      <w:r>
        <w:rPr>
          <w:rFonts w:ascii="宋体" w:hAnsi="宋体" w:eastAsia="宋体" w:cs="宋体"/>
          <w:sz w:val="23"/>
          <w:szCs w:val="23"/>
        </w:rPr>
        <w:t xml:space="preserve"> </w:t>
      </w:r>
      <w:r>
        <w:rPr>
          <w:rFonts w:ascii="宋体" w:hAnsi="宋体" w:eastAsia="宋体" w:cs="宋体"/>
          <w:spacing w:val="6"/>
          <w:sz w:val="23"/>
          <w:szCs w:val="23"/>
        </w:rPr>
        <w:t>洗</w:t>
      </w:r>
      <w:r>
        <w:rPr>
          <w:rFonts w:ascii="宋体" w:hAnsi="宋体" w:eastAsia="宋体" w:cs="宋体"/>
          <w:spacing w:val="3"/>
          <w:sz w:val="23"/>
          <w:szCs w:val="23"/>
        </w:rPr>
        <w:t xml:space="preserve">字处理。该项目设有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台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的热风炉，用于洗字槽加热，洗字过程需将洗字</w:t>
      </w:r>
      <w:r>
        <w:rPr>
          <w:rFonts w:ascii="宋体" w:hAnsi="宋体" w:eastAsia="宋体" w:cs="宋体"/>
          <w:sz w:val="23"/>
          <w:szCs w:val="23"/>
        </w:rPr>
        <w:t xml:space="preserve"> </w:t>
      </w:r>
      <w:r>
        <w:rPr>
          <w:rFonts w:ascii="宋体" w:hAnsi="宋体" w:eastAsia="宋体" w:cs="宋体"/>
          <w:spacing w:val="15"/>
          <w:sz w:val="23"/>
          <w:szCs w:val="23"/>
        </w:rPr>
        <w:t>槽</w:t>
      </w:r>
      <w:r>
        <w:rPr>
          <w:rFonts w:ascii="宋体" w:hAnsi="宋体" w:eastAsia="宋体" w:cs="宋体"/>
          <w:spacing w:val="8"/>
          <w:sz w:val="23"/>
          <w:szCs w:val="23"/>
        </w:rPr>
        <w:t xml:space="preserve">中的水加热至 </w:t>
      </w:r>
      <w:r>
        <w:rPr>
          <w:rFonts w:ascii="Times New Roman" w:hAnsi="Times New Roman" w:eastAsia="Times New Roman" w:cs="Times New Roman"/>
          <w:spacing w:val="8"/>
          <w:sz w:val="23"/>
          <w:szCs w:val="23"/>
        </w:rPr>
        <w:t>60-80℃</w:t>
      </w:r>
      <w:r>
        <w:rPr>
          <w:rFonts w:ascii="宋体" w:hAnsi="宋体" w:eastAsia="宋体" w:cs="宋体"/>
          <w:spacing w:val="8"/>
          <w:sz w:val="23"/>
          <w:szCs w:val="23"/>
        </w:rPr>
        <w:t xml:space="preserve">左右，随后加入清洗剂，将热水调配成浓度为 </w:t>
      </w:r>
      <w:r>
        <w:rPr>
          <w:rFonts w:ascii="Times New Roman" w:hAnsi="Times New Roman" w:eastAsia="Times New Roman" w:cs="Times New Roman"/>
          <w:spacing w:val="8"/>
          <w:sz w:val="23"/>
          <w:szCs w:val="23"/>
        </w:rPr>
        <w:t>1%</w:t>
      </w:r>
      <w:r>
        <w:rPr>
          <w:rFonts w:ascii="宋体" w:hAnsi="宋体" w:eastAsia="宋体" w:cs="宋体"/>
          <w:spacing w:val="8"/>
          <w:sz w:val="23"/>
          <w:szCs w:val="23"/>
        </w:rPr>
        <w:t>的清</w:t>
      </w:r>
      <w:r>
        <w:rPr>
          <w:rFonts w:ascii="宋体" w:hAnsi="宋体" w:eastAsia="宋体" w:cs="宋体"/>
          <w:sz w:val="23"/>
          <w:szCs w:val="23"/>
        </w:rPr>
        <w:t xml:space="preserve"> </w:t>
      </w:r>
      <w:r>
        <w:rPr>
          <w:rFonts w:ascii="宋体" w:hAnsi="宋体" w:eastAsia="宋体" w:cs="宋体"/>
          <w:spacing w:val="9"/>
          <w:sz w:val="23"/>
          <w:szCs w:val="23"/>
        </w:rPr>
        <w:t>洗</w:t>
      </w:r>
      <w:r>
        <w:rPr>
          <w:rFonts w:ascii="宋体" w:hAnsi="宋体" w:eastAsia="宋体" w:cs="宋体"/>
          <w:spacing w:val="7"/>
          <w:sz w:val="23"/>
          <w:szCs w:val="23"/>
        </w:rPr>
        <w:t>剂水溶液，待清洗剂完全溶解后，将破碎料放入其中浸泡，以达到去除废旧塑</w:t>
      </w:r>
      <w:r>
        <w:rPr>
          <w:rFonts w:ascii="宋体" w:hAnsi="宋体" w:eastAsia="宋体" w:cs="宋体"/>
          <w:sz w:val="23"/>
          <w:szCs w:val="23"/>
        </w:rPr>
        <w:t xml:space="preserve"> </w:t>
      </w:r>
      <w:r>
        <w:rPr>
          <w:rFonts w:ascii="宋体" w:hAnsi="宋体" w:eastAsia="宋体" w:cs="宋体"/>
          <w:spacing w:val="9"/>
          <w:sz w:val="23"/>
          <w:szCs w:val="23"/>
        </w:rPr>
        <w:t>料</w:t>
      </w:r>
      <w:r>
        <w:rPr>
          <w:rFonts w:ascii="宋体" w:hAnsi="宋体" w:eastAsia="宋体" w:cs="宋体"/>
          <w:spacing w:val="7"/>
          <w:sz w:val="23"/>
          <w:szCs w:val="23"/>
        </w:rPr>
        <w:t>编织袋表面油墨字迹的作用。该生产工序产生的主要污染物为热风炉产生的废</w:t>
      </w:r>
    </w:p>
    <w:p w14:paraId="5454C28F">
      <w:pPr>
        <w:spacing w:before="18" w:line="386" w:lineRule="auto"/>
        <w:ind w:left="24" w:right="13"/>
        <w:rPr>
          <w:rFonts w:ascii="宋体" w:hAnsi="宋体" w:eastAsia="宋体" w:cs="宋体"/>
          <w:sz w:val="23"/>
          <w:szCs w:val="23"/>
        </w:rPr>
      </w:pPr>
      <w:r>
        <w:rPr>
          <w:rFonts w:ascii="宋体" w:hAnsi="宋体" w:eastAsia="宋体" w:cs="宋体"/>
          <w:spacing w:val="8"/>
          <w:sz w:val="23"/>
          <w:szCs w:val="23"/>
        </w:rPr>
        <w:t>气</w:t>
      </w:r>
      <w:r>
        <w:rPr>
          <w:rFonts w:ascii="宋体" w:hAnsi="宋体" w:eastAsia="宋体" w:cs="宋体"/>
          <w:spacing w:val="7"/>
          <w:sz w:val="23"/>
          <w:szCs w:val="23"/>
        </w:rPr>
        <w:t>以及洗字清洗废水，其中热风炉烟气主要污染因子为颗粒物、二氧化硫、氮氧</w:t>
      </w:r>
      <w:r>
        <w:rPr>
          <w:rFonts w:ascii="宋体" w:hAnsi="宋体" w:eastAsia="宋体" w:cs="宋体"/>
          <w:sz w:val="23"/>
          <w:szCs w:val="23"/>
        </w:rPr>
        <w:t xml:space="preserve"> </w:t>
      </w:r>
      <w:r>
        <w:rPr>
          <w:rFonts w:ascii="宋体" w:hAnsi="宋体" w:eastAsia="宋体" w:cs="宋体"/>
          <w:spacing w:val="12"/>
          <w:sz w:val="23"/>
          <w:szCs w:val="23"/>
        </w:rPr>
        <w:t>化物</w:t>
      </w:r>
      <w:r>
        <w:rPr>
          <w:rFonts w:ascii="宋体" w:hAnsi="宋体" w:eastAsia="宋体" w:cs="宋体"/>
          <w:spacing w:val="8"/>
          <w:sz w:val="23"/>
          <w:szCs w:val="23"/>
        </w:rPr>
        <w:t>，</w:t>
      </w:r>
      <w:r>
        <w:rPr>
          <w:rFonts w:ascii="宋体" w:hAnsi="宋体" w:eastAsia="宋体" w:cs="宋体"/>
          <w:spacing w:val="6"/>
          <w:sz w:val="23"/>
          <w:szCs w:val="23"/>
        </w:rPr>
        <w:t xml:space="preserve">洗字清洗废水呈碱性，主要污染因子为 </w:t>
      </w:r>
      <w:r>
        <w:rPr>
          <w:rFonts w:ascii="Times New Roman" w:hAnsi="Times New Roman" w:eastAsia="Times New Roman" w:cs="Times New Roman"/>
          <w:sz w:val="23"/>
          <w:szCs w:val="23"/>
        </w:rPr>
        <w:t>SS</w:t>
      </w:r>
      <w:r>
        <w:rPr>
          <w:rFonts w:ascii="宋体" w:hAnsi="宋体" w:eastAsia="宋体" w:cs="宋体"/>
          <w:spacing w:val="6"/>
          <w:sz w:val="23"/>
          <w:szCs w:val="23"/>
        </w:rPr>
        <w:t>。</w:t>
      </w:r>
    </w:p>
    <w:p w14:paraId="12DEAAC3">
      <w:pPr>
        <w:spacing w:before="134" w:line="303" w:lineRule="exact"/>
        <w:ind w:left="497"/>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4 </w:t>
      </w:r>
      <w:r>
        <w:rPr>
          <w:rFonts w:ascii="宋体" w:hAnsi="宋体" w:eastAsia="宋体" w:cs="宋体"/>
          <w:spacing w:val="-1"/>
          <w:position w:val="1"/>
          <w:sz w:val="23"/>
          <w:szCs w:val="23"/>
        </w:rPr>
        <w:t>、二级清洗</w:t>
      </w:r>
    </w:p>
    <w:p w14:paraId="5AD7AFA9">
      <w:pPr>
        <w:spacing w:line="243" w:lineRule="auto"/>
        <w:rPr>
          <w:rFonts w:ascii="Arial"/>
          <w:sz w:val="21"/>
        </w:rPr>
      </w:pPr>
    </w:p>
    <w:p w14:paraId="666092FA">
      <w:pPr>
        <w:spacing w:before="75" w:line="381" w:lineRule="auto"/>
        <w:ind w:left="23" w:right="8" w:firstLine="479"/>
        <w:rPr>
          <w:rFonts w:ascii="宋体" w:hAnsi="宋体" w:eastAsia="宋体" w:cs="宋体"/>
          <w:sz w:val="23"/>
          <w:szCs w:val="23"/>
        </w:rPr>
      </w:pPr>
      <w:r>
        <w:rPr>
          <w:rFonts w:ascii="宋体" w:hAnsi="宋体" w:eastAsia="宋体" w:cs="宋体"/>
          <w:spacing w:val="7"/>
          <w:sz w:val="23"/>
          <w:szCs w:val="23"/>
        </w:rPr>
        <w:t>洗掉字的破碎料送至偏心清洗机内，对原料进行二次清洗。二次清洗后的</w:t>
      </w:r>
      <w:r>
        <w:rPr>
          <w:rFonts w:ascii="宋体" w:hAnsi="宋体" w:eastAsia="宋体" w:cs="宋体"/>
          <w:spacing w:val="3"/>
          <w:sz w:val="23"/>
          <w:szCs w:val="23"/>
        </w:rPr>
        <w:t>物</w:t>
      </w:r>
      <w:r>
        <w:rPr>
          <w:rFonts w:ascii="宋体" w:hAnsi="宋体" w:eastAsia="宋体" w:cs="宋体"/>
          <w:sz w:val="23"/>
          <w:szCs w:val="23"/>
        </w:rPr>
        <w:t xml:space="preserve"> </w:t>
      </w:r>
      <w:r>
        <w:rPr>
          <w:rFonts w:ascii="宋体" w:hAnsi="宋体" w:eastAsia="宋体" w:cs="宋体"/>
          <w:spacing w:val="12"/>
          <w:sz w:val="23"/>
          <w:szCs w:val="23"/>
        </w:rPr>
        <w:t>料经沉</w:t>
      </w:r>
      <w:r>
        <w:rPr>
          <w:rFonts w:ascii="宋体" w:hAnsi="宋体" w:eastAsia="宋体" w:cs="宋体"/>
          <w:spacing w:val="8"/>
          <w:sz w:val="23"/>
          <w:szCs w:val="23"/>
        </w:rPr>
        <w:t>浮</w:t>
      </w:r>
      <w:r>
        <w:rPr>
          <w:rFonts w:ascii="宋体" w:hAnsi="宋体" w:eastAsia="宋体" w:cs="宋体"/>
          <w:spacing w:val="6"/>
          <w:sz w:val="23"/>
          <w:szCs w:val="23"/>
        </w:rPr>
        <w:t>分离水槽 (</w:t>
      </w:r>
      <w:r>
        <w:rPr>
          <w:rFonts w:ascii="Times New Roman" w:hAnsi="Times New Roman" w:eastAsia="Times New Roman" w:cs="Times New Roman"/>
          <w:spacing w:val="6"/>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×1.5</w:t>
      </w:r>
      <w:r>
        <w:rPr>
          <w:rFonts w:ascii="Times New Roman" w:hAnsi="Times New Roman" w:eastAsia="Times New Roman" w:cs="Times New Roman"/>
          <w:sz w:val="23"/>
          <w:szCs w:val="23"/>
        </w:rPr>
        <w:t>m</w:t>
      </w:r>
      <w:r>
        <w:rPr>
          <w:rFonts w:ascii="宋体" w:hAnsi="宋体" w:eastAsia="宋体" w:cs="宋体"/>
          <w:spacing w:val="6"/>
          <w:sz w:val="23"/>
          <w:szCs w:val="23"/>
        </w:rPr>
        <w:t>) 将洗好的料分离出来，随后送至脱水机进</w:t>
      </w:r>
      <w:r>
        <w:rPr>
          <w:rFonts w:ascii="宋体" w:hAnsi="宋体" w:eastAsia="宋体" w:cs="宋体"/>
          <w:sz w:val="23"/>
          <w:szCs w:val="23"/>
        </w:rPr>
        <w:t xml:space="preserve"> </w:t>
      </w:r>
      <w:r>
        <w:rPr>
          <w:rFonts w:ascii="宋体" w:hAnsi="宋体" w:eastAsia="宋体" w:cs="宋体"/>
          <w:spacing w:val="9"/>
          <w:sz w:val="23"/>
          <w:szCs w:val="23"/>
        </w:rPr>
        <w:t>行</w:t>
      </w:r>
      <w:r>
        <w:rPr>
          <w:rFonts w:ascii="宋体" w:hAnsi="宋体" w:eastAsia="宋体" w:cs="宋体"/>
          <w:spacing w:val="7"/>
          <w:sz w:val="23"/>
          <w:szCs w:val="23"/>
        </w:rPr>
        <w:t>脱水。清洗工序采用自动控制和清洗水循环利用。清洗过程中不用任何的清洗</w:t>
      </w:r>
      <w:r>
        <w:rPr>
          <w:rFonts w:ascii="宋体" w:hAnsi="宋体" w:eastAsia="宋体" w:cs="宋体"/>
          <w:sz w:val="23"/>
          <w:szCs w:val="23"/>
        </w:rPr>
        <w:t xml:space="preserve"> </w:t>
      </w:r>
      <w:r>
        <w:rPr>
          <w:rFonts w:ascii="宋体" w:hAnsi="宋体" w:eastAsia="宋体" w:cs="宋体"/>
          <w:spacing w:val="9"/>
          <w:sz w:val="23"/>
          <w:szCs w:val="23"/>
        </w:rPr>
        <w:t>剂</w:t>
      </w:r>
      <w:r>
        <w:rPr>
          <w:rFonts w:ascii="宋体" w:hAnsi="宋体" w:eastAsia="宋体" w:cs="宋体"/>
          <w:spacing w:val="7"/>
          <w:sz w:val="23"/>
          <w:szCs w:val="23"/>
        </w:rPr>
        <w:t>，废旧塑料编织袋的清洗主要去除的破碎后的粘附的灰尘。该生产工序产生的</w:t>
      </w:r>
      <w:r>
        <w:rPr>
          <w:rFonts w:ascii="宋体" w:hAnsi="宋体" w:eastAsia="宋体" w:cs="宋体"/>
          <w:sz w:val="23"/>
          <w:szCs w:val="23"/>
        </w:rPr>
        <w:t xml:space="preserve"> </w:t>
      </w:r>
      <w:r>
        <w:rPr>
          <w:rFonts w:ascii="宋体" w:hAnsi="宋体" w:eastAsia="宋体" w:cs="宋体"/>
          <w:spacing w:val="12"/>
          <w:sz w:val="23"/>
          <w:szCs w:val="23"/>
        </w:rPr>
        <w:t>主要</w:t>
      </w:r>
      <w:r>
        <w:rPr>
          <w:rFonts w:ascii="宋体" w:hAnsi="宋体" w:eastAsia="宋体" w:cs="宋体"/>
          <w:spacing w:val="9"/>
          <w:sz w:val="23"/>
          <w:szCs w:val="23"/>
        </w:rPr>
        <w:t>污</w:t>
      </w:r>
      <w:r>
        <w:rPr>
          <w:rFonts w:ascii="宋体" w:hAnsi="宋体" w:eastAsia="宋体" w:cs="宋体"/>
          <w:spacing w:val="6"/>
          <w:sz w:val="23"/>
          <w:szCs w:val="23"/>
        </w:rPr>
        <w:t xml:space="preserve">染物为二级清洗废水，主要污染因子为 </w:t>
      </w:r>
      <w:r>
        <w:rPr>
          <w:rFonts w:ascii="Times New Roman" w:hAnsi="Times New Roman" w:eastAsia="Times New Roman" w:cs="Times New Roman"/>
          <w:sz w:val="23"/>
          <w:szCs w:val="23"/>
        </w:rPr>
        <w:t>SS</w:t>
      </w:r>
      <w:r>
        <w:rPr>
          <w:rFonts w:ascii="宋体" w:hAnsi="宋体" w:eastAsia="宋体" w:cs="宋体"/>
          <w:spacing w:val="6"/>
          <w:sz w:val="23"/>
          <w:szCs w:val="23"/>
        </w:rPr>
        <w:t>。</w:t>
      </w:r>
    </w:p>
    <w:p w14:paraId="61FDBC38">
      <w:pPr>
        <w:spacing w:before="143" w:line="303" w:lineRule="exact"/>
        <w:ind w:left="505"/>
        <w:rPr>
          <w:rFonts w:ascii="宋体" w:hAnsi="宋体" w:eastAsia="宋体" w:cs="宋体"/>
          <w:sz w:val="23"/>
          <w:szCs w:val="23"/>
        </w:rPr>
      </w:pPr>
      <w:r>
        <w:rPr>
          <w:rFonts w:ascii="Times New Roman" w:hAnsi="Times New Roman" w:eastAsia="Times New Roman" w:cs="Times New Roman"/>
          <w:spacing w:val="-7"/>
          <w:position w:val="2"/>
          <w:sz w:val="23"/>
          <w:szCs w:val="23"/>
        </w:rPr>
        <w:t xml:space="preserve">5 </w:t>
      </w:r>
      <w:r>
        <w:rPr>
          <w:rFonts w:ascii="宋体" w:hAnsi="宋体" w:eastAsia="宋体" w:cs="宋体"/>
          <w:spacing w:val="-7"/>
          <w:position w:val="2"/>
          <w:sz w:val="23"/>
          <w:szCs w:val="23"/>
        </w:rPr>
        <w:t>、脱水</w:t>
      </w:r>
    </w:p>
    <w:p w14:paraId="6428CC3A">
      <w:pPr>
        <w:spacing w:line="256" w:lineRule="auto"/>
        <w:rPr>
          <w:rFonts w:ascii="Arial"/>
          <w:sz w:val="21"/>
        </w:rPr>
      </w:pPr>
    </w:p>
    <w:p w14:paraId="20CD95B5">
      <w:pPr>
        <w:spacing w:before="75" w:line="227" w:lineRule="auto"/>
        <w:ind w:left="503"/>
        <w:rPr>
          <w:rFonts w:ascii="宋体" w:hAnsi="宋体" w:eastAsia="宋体" w:cs="宋体"/>
          <w:sz w:val="23"/>
          <w:szCs w:val="23"/>
        </w:rPr>
      </w:pPr>
      <w:r>
        <w:rPr>
          <w:rFonts w:ascii="宋体" w:hAnsi="宋体" w:eastAsia="宋体" w:cs="宋体"/>
          <w:spacing w:val="7"/>
          <w:sz w:val="23"/>
          <w:szCs w:val="23"/>
        </w:rPr>
        <w:t>清洗后的废塑料送进脱水机去除物料中的水分，甩出废水流入一体化污水</w:t>
      </w:r>
      <w:r>
        <w:rPr>
          <w:rFonts w:ascii="宋体" w:hAnsi="宋体" w:eastAsia="宋体" w:cs="宋体"/>
          <w:spacing w:val="3"/>
          <w:sz w:val="23"/>
          <w:szCs w:val="23"/>
        </w:rPr>
        <w:t>预</w:t>
      </w:r>
    </w:p>
    <w:p w14:paraId="4CBCA464">
      <w:pPr>
        <w:sectPr>
          <w:headerReference r:id="rId114" w:type="default"/>
          <w:footerReference r:id="rId115" w:type="default"/>
          <w:pgSz w:w="11906" w:h="16839"/>
          <w:pgMar w:top="1132" w:right="1785" w:bottom="1182" w:left="1785" w:header="878" w:footer="1022" w:gutter="0"/>
          <w:cols w:space="720" w:num="1"/>
        </w:sectPr>
      </w:pPr>
    </w:p>
    <w:p w14:paraId="28DD165D">
      <w:pPr>
        <w:spacing w:line="409" w:lineRule="auto"/>
        <w:rPr>
          <w:rFonts w:ascii="Arial"/>
          <w:sz w:val="21"/>
        </w:rPr>
      </w:pPr>
      <w:r>
        <w:pict>
          <v:shape id="_x0000_s1154" o:spid="_x0000_s1154" style="position:absolute;left:0pt;margin-left:90pt;margin-top:57.35pt;height:0.75pt;width:415.3pt;mso-position-horizontal-relative:page;mso-position-vertical-relative:page;z-index:251801600;mso-width-relative:page;mso-height-relative:page;" fillcolor="#000000" filled="t" stroked="f" coordsize="8305,15" o:allowincell="f" path="m0,0l8305,0,8305,14,0,14,0,0xe">
            <v:path/>
            <v:fill on="t" focussize="0,0"/>
            <v:stroke on="f"/>
            <v:imagedata o:title=""/>
            <o:lock v:ext="edit"/>
          </v:shape>
        </w:pict>
      </w:r>
    </w:p>
    <w:p w14:paraId="41A50B1D">
      <w:pPr>
        <w:spacing w:before="74" w:line="393" w:lineRule="auto"/>
        <w:ind w:left="22" w:right="82" w:firstLine="5"/>
        <w:rPr>
          <w:rFonts w:ascii="宋体" w:hAnsi="宋体" w:eastAsia="宋体" w:cs="宋体"/>
          <w:sz w:val="23"/>
          <w:szCs w:val="23"/>
        </w:rPr>
      </w:pPr>
      <w:r>
        <w:rPr>
          <w:rFonts w:ascii="宋体" w:hAnsi="宋体" w:eastAsia="宋体" w:cs="宋体"/>
          <w:spacing w:val="7"/>
          <w:sz w:val="23"/>
          <w:szCs w:val="23"/>
        </w:rPr>
        <w:t>处理设备及三级沉淀池处理后循环使用。脱水后的物料暂存至生产厂房中部的</w:t>
      </w:r>
      <w:r>
        <w:rPr>
          <w:rFonts w:ascii="宋体" w:hAnsi="宋体" w:eastAsia="宋体" w:cs="宋体"/>
          <w:spacing w:val="4"/>
          <w:sz w:val="23"/>
          <w:szCs w:val="23"/>
        </w:rPr>
        <w:t>破</w:t>
      </w:r>
      <w:r>
        <w:rPr>
          <w:rFonts w:ascii="宋体" w:hAnsi="宋体" w:eastAsia="宋体" w:cs="宋体"/>
          <w:sz w:val="23"/>
          <w:szCs w:val="23"/>
        </w:rPr>
        <w:t xml:space="preserve"> </w:t>
      </w:r>
      <w:r>
        <w:rPr>
          <w:rFonts w:ascii="宋体" w:hAnsi="宋体" w:eastAsia="宋体" w:cs="宋体"/>
          <w:spacing w:val="6"/>
          <w:sz w:val="23"/>
          <w:szCs w:val="23"/>
        </w:rPr>
        <w:t>碎</w:t>
      </w:r>
      <w:r>
        <w:rPr>
          <w:rFonts w:ascii="宋体" w:hAnsi="宋体" w:eastAsia="宋体" w:cs="宋体"/>
          <w:spacing w:val="5"/>
          <w:sz w:val="23"/>
          <w:szCs w:val="23"/>
        </w:rPr>
        <w:t>料堆。</w:t>
      </w:r>
    </w:p>
    <w:p w14:paraId="3ACEB0E8">
      <w:pPr>
        <w:spacing w:before="136" w:line="303" w:lineRule="exact"/>
        <w:ind w:left="504"/>
        <w:rPr>
          <w:rFonts w:ascii="宋体" w:hAnsi="宋体" w:eastAsia="宋体" w:cs="宋体"/>
          <w:sz w:val="23"/>
          <w:szCs w:val="23"/>
        </w:rPr>
      </w:pPr>
      <w:r>
        <w:rPr>
          <w:rFonts w:ascii="Times New Roman" w:hAnsi="Times New Roman" w:eastAsia="Times New Roman" w:cs="Times New Roman"/>
          <w:spacing w:val="-9"/>
          <w:position w:val="1"/>
          <w:sz w:val="23"/>
          <w:szCs w:val="23"/>
        </w:rPr>
        <w:t>6</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、上料</w:t>
      </w:r>
    </w:p>
    <w:p w14:paraId="08699090">
      <w:pPr>
        <w:spacing w:line="257" w:lineRule="auto"/>
        <w:rPr>
          <w:rFonts w:ascii="Arial"/>
          <w:sz w:val="21"/>
        </w:rPr>
      </w:pPr>
    </w:p>
    <w:p w14:paraId="7C7B2CC2">
      <w:pPr>
        <w:spacing w:before="75" w:line="393" w:lineRule="auto"/>
        <w:ind w:left="35" w:right="82" w:firstLine="468"/>
        <w:rPr>
          <w:rFonts w:ascii="宋体" w:hAnsi="宋体" w:eastAsia="宋体" w:cs="宋体"/>
          <w:sz w:val="23"/>
          <w:szCs w:val="23"/>
        </w:rPr>
      </w:pPr>
      <w:r>
        <w:rPr>
          <w:rFonts w:ascii="宋体" w:hAnsi="宋体" w:eastAsia="宋体" w:cs="宋体"/>
          <w:spacing w:val="7"/>
          <w:sz w:val="23"/>
          <w:szCs w:val="23"/>
        </w:rPr>
        <w:t>脱水后的废旧塑料原料自动上料，通过提料机将其提送到皮带上进行运输</w:t>
      </w:r>
      <w:r>
        <w:rPr>
          <w:rFonts w:ascii="宋体" w:hAnsi="宋体" w:eastAsia="宋体" w:cs="宋体"/>
          <w:spacing w:val="2"/>
          <w:sz w:val="23"/>
          <w:szCs w:val="23"/>
        </w:rPr>
        <w:t>到</w:t>
      </w:r>
      <w:r>
        <w:rPr>
          <w:rFonts w:ascii="宋体" w:hAnsi="宋体" w:eastAsia="宋体" w:cs="宋体"/>
          <w:sz w:val="23"/>
          <w:szCs w:val="23"/>
        </w:rPr>
        <w:t xml:space="preserve"> </w:t>
      </w:r>
      <w:r>
        <w:rPr>
          <w:rFonts w:ascii="宋体" w:hAnsi="宋体" w:eastAsia="宋体" w:cs="宋体"/>
          <w:spacing w:val="2"/>
          <w:sz w:val="23"/>
          <w:szCs w:val="23"/>
        </w:rPr>
        <w:t>喂料口。</w:t>
      </w:r>
    </w:p>
    <w:p w14:paraId="686E9E46">
      <w:pPr>
        <w:spacing w:before="135" w:line="303" w:lineRule="exact"/>
        <w:ind w:left="502"/>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7 </w:t>
      </w:r>
      <w:r>
        <w:rPr>
          <w:rFonts w:ascii="宋体" w:hAnsi="宋体" w:eastAsia="宋体" w:cs="宋体"/>
          <w:position w:val="2"/>
          <w:sz w:val="23"/>
          <w:szCs w:val="23"/>
        </w:rPr>
        <w:t>、挤出、造粒</w:t>
      </w:r>
    </w:p>
    <w:p w14:paraId="0A3B5100">
      <w:pPr>
        <w:spacing w:line="255" w:lineRule="auto"/>
        <w:rPr>
          <w:rFonts w:ascii="Arial"/>
          <w:sz w:val="21"/>
        </w:rPr>
      </w:pPr>
    </w:p>
    <w:p w14:paraId="3CAFBB2F">
      <w:pPr>
        <w:spacing w:before="76" w:line="384" w:lineRule="auto"/>
        <w:ind w:left="23" w:firstLine="479"/>
        <w:rPr>
          <w:rFonts w:ascii="宋体" w:hAnsi="宋体" w:eastAsia="宋体" w:cs="宋体"/>
          <w:sz w:val="23"/>
          <w:szCs w:val="23"/>
        </w:rPr>
      </w:pPr>
      <w:r>
        <w:rPr>
          <w:rFonts w:ascii="宋体" w:hAnsi="宋体" w:eastAsia="宋体" w:cs="宋体"/>
          <w:spacing w:val="25"/>
          <w:sz w:val="23"/>
          <w:szCs w:val="23"/>
        </w:rPr>
        <w:t>破</w:t>
      </w:r>
      <w:r>
        <w:rPr>
          <w:rFonts w:ascii="宋体" w:hAnsi="宋体" w:eastAsia="宋体" w:cs="宋体"/>
          <w:spacing w:val="22"/>
          <w:sz w:val="23"/>
          <w:szCs w:val="23"/>
        </w:rPr>
        <w:t>碎后的废旧塑料通过喂料口进入电磁加热设备热混机进行加热，达到</w:t>
      </w:r>
      <w:r>
        <w:rPr>
          <w:rFonts w:ascii="宋体" w:hAnsi="宋体" w:eastAsia="宋体" w:cs="宋体"/>
          <w:sz w:val="23"/>
          <w:szCs w:val="23"/>
        </w:rPr>
        <w:t xml:space="preserve"> </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9"/>
          <w:sz w:val="23"/>
          <w:szCs w:val="23"/>
        </w:rPr>
        <w:t>50~220℃</w:t>
      </w:r>
      <w:r>
        <w:rPr>
          <w:rFonts w:ascii="宋体" w:hAnsi="宋体" w:eastAsia="宋体" w:cs="宋体"/>
          <w:spacing w:val="9"/>
          <w:sz w:val="23"/>
          <w:szCs w:val="23"/>
        </w:rPr>
        <w:t>的物料通过单螺杆挤出机将熔融状态的塑料挤出。该项目热混机及挤</w:t>
      </w:r>
      <w:r>
        <w:rPr>
          <w:rFonts w:ascii="宋体" w:hAnsi="宋体" w:eastAsia="宋体" w:cs="宋体"/>
          <w:sz w:val="23"/>
          <w:szCs w:val="23"/>
        </w:rPr>
        <w:t xml:space="preserve"> </w:t>
      </w:r>
      <w:r>
        <w:rPr>
          <w:rFonts w:ascii="宋体" w:hAnsi="宋体" w:eastAsia="宋体" w:cs="宋体"/>
          <w:spacing w:val="9"/>
          <w:sz w:val="23"/>
          <w:szCs w:val="23"/>
        </w:rPr>
        <w:t>出</w:t>
      </w:r>
      <w:r>
        <w:rPr>
          <w:rFonts w:ascii="宋体" w:hAnsi="宋体" w:eastAsia="宋体" w:cs="宋体"/>
          <w:spacing w:val="7"/>
          <w:sz w:val="23"/>
          <w:szCs w:val="23"/>
        </w:rPr>
        <w:t>机采用分体全自动配电系统，充分利用高压摩擦不间断升温系统，自动加热生</w:t>
      </w:r>
      <w:r>
        <w:rPr>
          <w:rFonts w:ascii="宋体" w:hAnsi="宋体" w:eastAsia="宋体" w:cs="宋体"/>
          <w:sz w:val="23"/>
          <w:szCs w:val="23"/>
        </w:rPr>
        <w:t xml:space="preserve"> </w:t>
      </w:r>
      <w:r>
        <w:rPr>
          <w:rFonts w:ascii="宋体" w:hAnsi="宋体" w:eastAsia="宋体" w:cs="宋体"/>
          <w:spacing w:val="7"/>
          <w:sz w:val="23"/>
          <w:szCs w:val="23"/>
        </w:rPr>
        <w:t>产，避免了连续加热。在此控制温度下，塑料颗粒不会发生分解反应 (分解温</w:t>
      </w:r>
      <w:r>
        <w:rPr>
          <w:rFonts w:ascii="宋体" w:hAnsi="宋体" w:eastAsia="宋体" w:cs="宋体"/>
          <w:spacing w:val="2"/>
          <w:sz w:val="23"/>
          <w:szCs w:val="23"/>
        </w:rPr>
        <w:t>度</w:t>
      </w:r>
      <w:r>
        <w:rPr>
          <w:rFonts w:ascii="宋体" w:hAnsi="宋体" w:eastAsia="宋体" w:cs="宋体"/>
          <w:sz w:val="23"/>
          <w:szCs w:val="23"/>
        </w:rPr>
        <w:t xml:space="preserve"> </w:t>
      </w:r>
      <w:r>
        <w:rPr>
          <w:rFonts w:ascii="宋体" w:hAnsi="宋体" w:eastAsia="宋体" w:cs="宋体"/>
          <w:spacing w:val="4"/>
          <w:sz w:val="23"/>
          <w:szCs w:val="23"/>
        </w:rPr>
        <w:t>为</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328~410℃</w:t>
      </w:r>
      <w:r>
        <w:rPr>
          <w:rFonts w:ascii="宋体" w:hAnsi="宋体" w:eastAsia="宋体" w:cs="宋体"/>
          <w:spacing w:val="2"/>
          <w:sz w:val="23"/>
          <w:szCs w:val="23"/>
        </w:rPr>
        <w:t>) 。本项目塑化加热会产生少量的有机废气，以非甲烷总烃气体计。</w:t>
      </w:r>
      <w:r>
        <w:rPr>
          <w:rFonts w:ascii="宋体" w:hAnsi="宋体" w:eastAsia="宋体" w:cs="宋体"/>
          <w:sz w:val="23"/>
          <w:szCs w:val="23"/>
        </w:rPr>
        <w:t xml:space="preserve"> </w:t>
      </w:r>
      <w:r>
        <w:rPr>
          <w:rFonts w:ascii="宋体" w:hAnsi="宋体" w:eastAsia="宋体" w:cs="宋体"/>
          <w:spacing w:val="12"/>
          <w:sz w:val="23"/>
          <w:szCs w:val="23"/>
        </w:rPr>
        <w:t>该</w:t>
      </w:r>
      <w:r>
        <w:rPr>
          <w:rFonts w:ascii="宋体" w:hAnsi="宋体" w:eastAsia="宋体" w:cs="宋体"/>
          <w:spacing w:val="9"/>
          <w:sz w:val="23"/>
          <w:szCs w:val="23"/>
        </w:rPr>
        <w:t>生产工序过程产生的主要污染为非甲烷总烃气体。</w:t>
      </w:r>
    </w:p>
    <w:p w14:paraId="08D0E685">
      <w:pPr>
        <w:spacing w:before="166" w:line="303" w:lineRule="exact"/>
        <w:ind w:left="508"/>
        <w:rPr>
          <w:rFonts w:ascii="宋体" w:hAnsi="宋体" w:eastAsia="宋体" w:cs="宋体"/>
          <w:sz w:val="23"/>
          <w:szCs w:val="23"/>
        </w:rPr>
      </w:pPr>
      <w:r>
        <w:rPr>
          <w:rFonts w:ascii="Times New Roman" w:hAnsi="Times New Roman" w:eastAsia="Times New Roman" w:cs="Times New Roman"/>
          <w:spacing w:val="-10"/>
          <w:position w:val="1"/>
          <w:sz w:val="23"/>
          <w:szCs w:val="23"/>
        </w:rPr>
        <w:t>8</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rPr>
        <w:t>、拉丝</w:t>
      </w:r>
    </w:p>
    <w:p w14:paraId="42FD9EE4">
      <w:pPr>
        <w:spacing w:line="255" w:lineRule="auto"/>
        <w:rPr>
          <w:rFonts w:ascii="Arial"/>
          <w:sz w:val="21"/>
        </w:rPr>
      </w:pPr>
    </w:p>
    <w:p w14:paraId="3A04C61F">
      <w:pPr>
        <w:spacing w:before="76" w:line="393" w:lineRule="auto"/>
        <w:ind w:left="25" w:right="82" w:firstLine="478"/>
        <w:rPr>
          <w:rFonts w:ascii="宋体" w:hAnsi="宋体" w:eastAsia="宋体" w:cs="宋体"/>
          <w:sz w:val="23"/>
          <w:szCs w:val="23"/>
        </w:rPr>
      </w:pPr>
      <w:r>
        <w:rPr>
          <w:rFonts w:ascii="宋体" w:hAnsi="宋体" w:eastAsia="宋体" w:cs="宋体"/>
          <w:spacing w:val="7"/>
          <w:sz w:val="23"/>
          <w:szCs w:val="23"/>
        </w:rPr>
        <w:t>挤出的熔融状态塑料通过料口进入拉丝机进行拉丝。该生产工序过程产生</w:t>
      </w:r>
      <w:r>
        <w:rPr>
          <w:rFonts w:ascii="宋体" w:hAnsi="宋体" w:eastAsia="宋体" w:cs="宋体"/>
          <w:spacing w:val="3"/>
          <w:sz w:val="23"/>
          <w:szCs w:val="23"/>
        </w:rPr>
        <w:t>的</w:t>
      </w:r>
      <w:r>
        <w:rPr>
          <w:rFonts w:ascii="宋体" w:hAnsi="宋体" w:eastAsia="宋体" w:cs="宋体"/>
          <w:sz w:val="23"/>
          <w:szCs w:val="23"/>
        </w:rPr>
        <w:t xml:space="preserve"> </w:t>
      </w:r>
      <w:r>
        <w:rPr>
          <w:rFonts w:ascii="宋体" w:hAnsi="宋体" w:eastAsia="宋体" w:cs="宋体"/>
          <w:spacing w:val="9"/>
          <w:sz w:val="23"/>
          <w:szCs w:val="23"/>
        </w:rPr>
        <w:t>主要污染物为非甲烷总烃气体以及边角料</w:t>
      </w:r>
      <w:r>
        <w:rPr>
          <w:rFonts w:ascii="宋体" w:hAnsi="宋体" w:eastAsia="宋体" w:cs="宋体"/>
          <w:spacing w:val="6"/>
          <w:sz w:val="23"/>
          <w:szCs w:val="23"/>
        </w:rPr>
        <w:t>。</w:t>
      </w:r>
    </w:p>
    <w:p w14:paraId="66C14D48">
      <w:pPr>
        <w:spacing w:before="137" w:line="303" w:lineRule="exact"/>
        <w:ind w:left="503"/>
        <w:rPr>
          <w:rFonts w:ascii="宋体" w:hAnsi="宋体" w:eastAsia="宋体" w:cs="宋体"/>
          <w:sz w:val="23"/>
          <w:szCs w:val="23"/>
        </w:rPr>
      </w:pPr>
      <w:r>
        <w:rPr>
          <w:rFonts w:ascii="Times New Roman" w:hAnsi="Times New Roman" w:eastAsia="Times New Roman" w:cs="Times New Roman"/>
          <w:spacing w:val="-9"/>
          <w:position w:val="1"/>
          <w:sz w:val="23"/>
          <w:szCs w:val="23"/>
        </w:rPr>
        <w:t>9</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、冷却</w:t>
      </w:r>
    </w:p>
    <w:p w14:paraId="0080942B">
      <w:pPr>
        <w:spacing w:line="257" w:lineRule="auto"/>
        <w:rPr>
          <w:rFonts w:ascii="Arial"/>
          <w:sz w:val="21"/>
        </w:rPr>
      </w:pPr>
    </w:p>
    <w:p w14:paraId="197C986D">
      <w:pPr>
        <w:spacing w:before="76" w:line="389" w:lineRule="auto"/>
        <w:ind w:left="23" w:right="21" w:firstLine="485"/>
        <w:rPr>
          <w:rFonts w:ascii="宋体" w:hAnsi="宋体" w:eastAsia="宋体" w:cs="宋体"/>
          <w:sz w:val="23"/>
          <w:szCs w:val="23"/>
        </w:rPr>
      </w:pPr>
      <w:r>
        <w:rPr>
          <w:rFonts w:ascii="宋体" w:hAnsi="宋体" w:eastAsia="宋体" w:cs="宋体"/>
          <w:spacing w:val="2"/>
          <w:sz w:val="23"/>
          <w:szCs w:val="23"/>
        </w:rPr>
        <w:t>原料在单螺杆挤出机经过模头挤出成条状</w:t>
      </w:r>
      <w:r>
        <w:rPr>
          <w:rFonts w:ascii="宋体" w:hAnsi="宋体" w:eastAsia="宋体" w:cs="宋体"/>
          <w:spacing w:val="1"/>
          <w:sz w:val="23"/>
          <w:szCs w:val="23"/>
        </w:rPr>
        <w:t>，在熔融挤出时，要经过铁丝滤网，</w:t>
      </w:r>
      <w:r>
        <w:rPr>
          <w:rFonts w:ascii="宋体" w:hAnsi="宋体" w:eastAsia="宋体" w:cs="宋体"/>
          <w:sz w:val="23"/>
          <w:szCs w:val="23"/>
        </w:rPr>
        <w:t xml:space="preserve"> </w:t>
      </w:r>
      <w:r>
        <w:rPr>
          <w:rFonts w:ascii="宋体" w:hAnsi="宋体" w:eastAsia="宋体" w:cs="宋体"/>
          <w:spacing w:val="9"/>
          <w:sz w:val="23"/>
          <w:szCs w:val="23"/>
        </w:rPr>
        <w:t>过滤掉物料中的杂质，铁丝滤网定期更换，经滤网过滤后的物料被挤压成丝状</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9"/>
          <w:sz w:val="23"/>
          <w:szCs w:val="23"/>
        </w:rPr>
        <w:t>再</w:t>
      </w:r>
      <w:r>
        <w:rPr>
          <w:rFonts w:ascii="宋体" w:hAnsi="宋体" w:eastAsia="宋体" w:cs="宋体"/>
          <w:spacing w:val="7"/>
          <w:sz w:val="23"/>
          <w:szCs w:val="23"/>
        </w:rPr>
        <w:t>经过冷却池冷却，并用鼓风机风干。此过程中，冷却水是经过冷却循环水池循</w:t>
      </w:r>
      <w:r>
        <w:rPr>
          <w:rFonts w:ascii="宋体" w:hAnsi="宋体" w:eastAsia="宋体" w:cs="宋体"/>
          <w:sz w:val="23"/>
          <w:szCs w:val="23"/>
        </w:rPr>
        <w:t xml:space="preserve"> </w:t>
      </w:r>
      <w:r>
        <w:rPr>
          <w:rFonts w:ascii="宋体" w:hAnsi="宋体" w:eastAsia="宋体" w:cs="宋体"/>
          <w:spacing w:val="18"/>
          <w:sz w:val="23"/>
          <w:szCs w:val="23"/>
        </w:rPr>
        <w:t>环</w:t>
      </w:r>
      <w:r>
        <w:rPr>
          <w:rFonts w:ascii="宋体" w:hAnsi="宋体" w:eastAsia="宋体" w:cs="宋体"/>
          <w:spacing w:val="10"/>
          <w:sz w:val="23"/>
          <w:szCs w:val="23"/>
        </w:rPr>
        <w:t>使</w:t>
      </w:r>
      <w:r>
        <w:rPr>
          <w:rFonts w:ascii="宋体" w:hAnsi="宋体" w:eastAsia="宋体" w:cs="宋体"/>
          <w:spacing w:val="9"/>
          <w:sz w:val="23"/>
          <w:szCs w:val="23"/>
        </w:rPr>
        <w:t>用，使水温保持低温，循环冷却水循环使用不排放，定期补充。</w:t>
      </w:r>
    </w:p>
    <w:p w14:paraId="473BA29F">
      <w:pPr>
        <w:spacing w:before="136" w:line="303" w:lineRule="exact"/>
        <w:ind w:left="522"/>
        <w:rPr>
          <w:rFonts w:ascii="宋体" w:hAnsi="宋体" w:eastAsia="宋体" w:cs="宋体"/>
          <w:sz w:val="23"/>
          <w:szCs w:val="23"/>
        </w:rPr>
      </w:pPr>
      <w:r>
        <w:rPr>
          <w:rFonts w:ascii="Times New Roman" w:hAnsi="Times New Roman" w:eastAsia="Times New Roman" w:cs="Times New Roman"/>
          <w:spacing w:val="-11"/>
          <w:position w:val="1"/>
          <w:sz w:val="23"/>
          <w:szCs w:val="23"/>
        </w:rPr>
        <w:t>1</w:t>
      </w:r>
      <w:r>
        <w:rPr>
          <w:rFonts w:ascii="Times New Roman" w:hAnsi="Times New Roman" w:eastAsia="Times New Roman" w:cs="Times New Roman"/>
          <w:spacing w:val="-7"/>
          <w:position w:val="1"/>
          <w:sz w:val="23"/>
          <w:szCs w:val="23"/>
        </w:rPr>
        <w:t xml:space="preserve">0 </w:t>
      </w:r>
      <w:r>
        <w:rPr>
          <w:rFonts w:ascii="宋体" w:hAnsi="宋体" w:eastAsia="宋体" w:cs="宋体"/>
          <w:spacing w:val="-7"/>
          <w:position w:val="1"/>
          <w:sz w:val="23"/>
          <w:szCs w:val="23"/>
        </w:rPr>
        <w:t>、切粒</w:t>
      </w:r>
    </w:p>
    <w:p w14:paraId="23D24FC4">
      <w:pPr>
        <w:spacing w:line="256" w:lineRule="auto"/>
        <w:rPr>
          <w:rFonts w:ascii="Arial"/>
          <w:sz w:val="21"/>
        </w:rPr>
      </w:pPr>
    </w:p>
    <w:p w14:paraId="4CAB578B">
      <w:pPr>
        <w:spacing w:before="76" w:line="393" w:lineRule="auto"/>
        <w:ind w:left="22" w:right="82" w:firstLine="482"/>
        <w:rPr>
          <w:rFonts w:ascii="宋体" w:hAnsi="宋体" w:eastAsia="宋体" w:cs="宋体"/>
          <w:sz w:val="23"/>
          <w:szCs w:val="23"/>
        </w:rPr>
      </w:pPr>
      <w:r>
        <w:rPr>
          <w:rFonts w:ascii="宋体" w:hAnsi="宋体" w:eastAsia="宋体" w:cs="宋体"/>
          <w:spacing w:val="26"/>
          <w:sz w:val="23"/>
          <w:szCs w:val="23"/>
        </w:rPr>
        <w:t>冷却后的塑料丝进入切粒机切成圆柱状颗粒 。再生塑料颗粒的粒径</w:t>
      </w:r>
      <w:r>
        <w:rPr>
          <w:rFonts w:ascii="宋体" w:hAnsi="宋体" w:eastAsia="宋体" w:cs="宋体"/>
          <w:spacing w:val="20"/>
          <w:sz w:val="23"/>
          <w:szCs w:val="23"/>
        </w:rPr>
        <w:t>在</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0.7</w:t>
      </w:r>
      <w:r>
        <w:rPr>
          <w:rFonts w:ascii="Times New Roman" w:hAnsi="Times New Roman" w:eastAsia="Times New Roman" w:cs="Times New Roman"/>
          <w:spacing w:val="8"/>
          <w:sz w:val="23"/>
          <w:szCs w:val="23"/>
        </w:rPr>
        <w:t>-</w:t>
      </w:r>
      <w:r>
        <w:rPr>
          <w:rFonts w:ascii="Times New Roman" w:hAnsi="Times New Roman" w:eastAsia="Times New Roman" w:cs="Times New Roman"/>
          <w:spacing w:val="6"/>
          <w:sz w:val="23"/>
          <w:szCs w:val="23"/>
        </w:rPr>
        <w:t xml:space="preserve"> 1.5</w:t>
      </w:r>
      <w:r>
        <w:rPr>
          <w:rFonts w:ascii="Times New Roman" w:hAnsi="Times New Roman" w:eastAsia="Times New Roman" w:cs="Times New Roman"/>
          <w:sz w:val="23"/>
          <w:szCs w:val="23"/>
        </w:rPr>
        <w:t>mm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范围内，塑料颗粒由于粒径较大，因此不会蓬散到空气中。</w:t>
      </w:r>
    </w:p>
    <w:p w14:paraId="547B34CC">
      <w:pPr>
        <w:spacing w:before="136" w:line="303" w:lineRule="exact"/>
        <w:ind w:left="522"/>
        <w:rPr>
          <w:rFonts w:ascii="宋体" w:hAnsi="宋体" w:eastAsia="宋体" w:cs="宋体"/>
          <w:sz w:val="23"/>
          <w:szCs w:val="23"/>
        </w:rPr>
      </w:pPr>
      <w:r>
        <w:rPr>
          <w:rFonts w:ascii="Times New Roman" w:hAnsi="Times New Roman" w:eastAsia="Times New Roman" w:cs="Times New Roman"/>
          <w:spacing w:val="-8"/>
          <w:position w:val="1"/>
          <w:sz w:val="23"/>
          <w:szCs w:val="23"/>
        </w:rPr>
        <w:t>1</w:t>
      </w:r>
      <w:r>
        <w:rPr>
          <w:rFonts w:ascii="Times New Roman" w:hAnsi="Times New Roman" w:eastAsia="Times New Roman" w:cs="Times New Roman"/>
          <w:spacing w:val="-4"/>
          <w:position w:val="1"/>
          <w:sz w:val="23"/>
          <w:szCs w:val="23"/>
        </w:rPr>
        <w:t xml:space="preserve">1 </w:t>
      </w:r>
      <w:r>
        <w:rPr>
          <w:rFonts w:ascii="宋体" w:hAnsi="宋体" w:eastAsia="宋体" w:cs="宋体"/>
          <w:spacing w:val="-4"/>
          <w:position w:val="1"/>
          <w:sz w:val="23"/>
          <w:szCs w:val="23"/>
        </w:rPr>
        <w:t>、包装入库</w:t>
      </w:r>
    </w:p>
    <w:p w14:paraId="2DB5A744">
      <w:pPr>
        <w:spacing w:before="290" w:line="323" w:lineRule="exact"/>
        <w:ind w:left="504"/>
        <w:rPr>
          <w:rFonts w:ascii="宋体" w:hAnsi="宋体" w:eastAsia="宋体" w:cs="宋体"/>
          <w:sz w:val="23"/>
          <w:szCs w:val="23"/>
        </w:rPr>
      </w:pPr>
      <w:r>
        <w:rPr>
          <w:rFonts w:ascii="宋体" w:hAnsi="宋体" w:eastAsia="宋体" w:cs="宋体"/>
          <w:spacing w:val="7"/>
          <w:position w:val="3"/>
          <w:sz w:val="23"/>
          <w:szCs w:val="23"/>
        </w:rPr>
        <w:t xml:space="preserve">制成的塑料颗粒采用人工装袋方式装入 </w:t>
      </w:r>
      <w:r>
        <w:rPr>
          <w:rFonts w:ascii="Times New Roman" w:hAnsi="Times New Roman" w:eastAsia="Times New Roman" w:cs="Times New Roman"/>
          <w:spacing w:val="7"/>
          <w:position w:val="3"/>
          <w:sz w:val="23"/>
          <w:szCs w:val="23"/>
        </w:rPr>
        <w:t>25</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7"/>
          <w:position w:val="3"/>
          <w:sz w:val="23"/>
          <w:szCs w:val="23"/>
        </w:rPr>
        <w:t xml:space="preserve"> </w:t>
      </w:r>
      <w:r>
        <w:rPr>
          <w:rFonts w:ascii="宋体" w:hAnsi="宋体" w:eastAsia="宋体" w:cs="宋体"/>
          <w:spacing w:val="7"/>
          <w:position w:val="3"/>
          <w:sz w:val="23"/>
          <w:szCs w:val="23"/>
        </w:rPr>
        <w:t>包装袋内，入库待售。</w:t>
      </w:r>
    </w:p>
    <w:p w14:paraId="5889E308">
      <w:pPr>
        <w:sectPr>
          <w:headerReference r:id="rId116" w:type="default"/>
          <w:footerReference r:id="rId117" w:type="default"/>
          <w:pgSz w:w="11906" w:h="16839"/>
          <w:pgMar w:top="1132" w:right="1716" w:bottom="1180" w:left="1785" w:header="878" w:footer="1022" w:gutter="0"/>
          <w:cols w:space="720" w:num="1"/>
        </w:sectPr>
      </w:pPr>
    </w:p>
    <w:p w14:paraId="34D5B52B">
      <w:pPr>
        <w:spacing w:line="420" w:lineRule="auto"/>
        <w:rPr>
          <w:rFonts w:ascii="Arial"/>
          <w:sz w:val="21"/>
        </w:rPr>
      </w:pPr>
      <w:r>
        <w:drawing>
          <wp:anchor distT="0" distB="0" distL="0" distR="0" simplePos="0" relativeHeight="251802624" behindDoc="1" locked="0" layoutInCell="0" allowOverlap="1">
            <wp:simplePos x="0" y="0"/>
            <wp:positionH relativeFrom="page">
              <wp:posOffset>2183765</wp:posOffset>
            </wp:positionH>
            <wp:positionV relativeFrom="page">
              <wp:posOffset>1981200</wp:posOffset>
            </wp:positionV>
            <wp:extent cx="2982595" cy="636905"/>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453"/>
                    <a:stretch>
                      <a:fillRect/>
                    </a:stretch>
                  </pic:blipFill>
                  <pic:spPr>
                    <a:xfrm>
                      <a:off x="0" y="0"/>
                      <a:ext cx="2982467" cy="637031"/>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3438525</wp:posOffset>
            </wp:positionH>
            <wp:positionV relativeFrom="page">
              <wp:posOffset>3083560</wp:posOffset>
            </wp:positionV>
            <wp:extent cx="76200" cy="25209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54"/>
                    <a:stretch>
                      <a:fillRect/>
                    </a:stretch>
                  </pic:blipFill>
                  <pic:spPr>
                    <a:xfrm>
                      <a:off x="0" y="0"/>
                      <a:ext cx="76200" cy="252107"/>
                    </a:xfrm>
                    <a:prstGeom prst="rect">
                      <a:avLst/>
                    </a:prstGeom>
                  </pic:spPr>
                </pic:pic>
              </a:graphicData>
            </a:graphic>
          </wp:anchor>
        </w:drawing>
      </w:r>
      <w:r>
        <w:pict>
          <v:shape id="_x0000_s1155" o:spid="_x0000_s1155" o:spt="202" type="#_x0000_t202" style="position:absolute;left:0pt;margin-left:216.1pt;margin-top:258.25pt;height:14.35pt;width:11.95pt;mso-position-horizontal-relative:page;mso-position-vertical-relative:page;z-index:251804672;mso-width-relative:page;mso-height-relative:page;" filled="f" stroked="f" coordsize="21600,21600" o:allowincell="f">
            <v:path/>
            <v:fill on="f" focussize="0,0"/>
            <v:stroke on="f"/>
            <v:imagedata o:title=""/>
            <o:lock v:ext="edit" aspectratio="f"/>
            <v:textbox inset="0mm,0mm,0mm,0mm">
              <w:txbxContent>
                <w:p w14:paraId="11D42FB5">
                  <w:pPr>
                    <w:spacing w:before="19" w:line="228" w:lineRule="auto"/>
                    <w:ind w:left="20"/>
                    <w:rPr>
                      <w:rFonts w:ascii="宋体" w:hAnsi="宋体" w:eastAsia="宋体" w:cs="宋体"/>
                      <w:sz w:val="20"/>
                      <w:szCs w:val="20"/>
                    </w:rPr>
                  </w:pPr>
                  <w:r>
                    <w:rPr>
                      <w:rFonts w:ascii="宋体" w:hAnsi="宋体" w:eastAsia="宋体" w:cs="宋体"/>
                      <w:sz w:val="20"/>
                      <w:szCs w:val="20"/>
                    </w:rPr>
                    <w:t>水</w:t>
                  </w:r>
                </w:p>
              </w:txbxContent>
            </v:textbox>
          </v:shape>
        </w:pict>
      </w:r>
      <w:r>
        <w:pict>
          <v:shape id="_x0000_s1156" o:spid="_x0000_s1156" o:spt="202" type="#_x0000_t202" style="position:absolute;left:0pt;margin-left:263pt;margin-top:267.95pt;height:17.65pt;width:146.95pt;mso-position-horizontal-relative:page;mso-position-vertical-relative:page;z-index:251806720;mso-width-relative:page;mso-height-relative:page;" filled="f" stroked="f" coordsize="21600,21600" o:allowincell="f">
            <v:path/>
            <v:fill on="f" focussize="0,0"/>
            <v:stroke on="f"/>
            <v:imagedata o:title=""/>
            <o:lock v:ext="edit" aspectratio="f"/>
            <v:textbox inset="0mm,0mm,0mm,0mm">
              <w:txbxContent>
                <w:p w14:paraId="1E8EC24B">
                  <w:pPr>
                    <w:spacing w:before="20" w:line="312" w:lineRule="exact"/>
                    <w:ind w:left="20"/>
                    <w:rPr>
                      <w:rFonts w:ascii="宋体" w:hAnsi="宋体" w:eastAsia="宋体" w:cs="宋体"/>
                      <w:sz w:val="19"/>
                      <w:szCs w:val="19"/>
                    </w:rPr>
                  </w:pPr>
                  <w:r>
                    <w:rPr>
                      <w:rFonts w:ascii="宋体" w:hAnsi="宋体" w:eastAsia="宋体" w:cs="宋体"/>
                      <w:spacing w:val="6"/>
                      <w:position w:val="3"/>
                      <w:sz w:val="20"/>
                      <w:szCs w:val="20"/>
                    </w:rPr>
                    <w:t xml:space="preserve">洗字  </w:t>
                  </w:r>
                  <w:r>
                    <w:rPr>
                      <w:rFonts w:ascii="宋体" w:hAnsi="宋体" w:eastAsia="宋体" w:cs="宋体"/>
                      <w:spacing w:val="5"/>
                      <w:position w:val="3"/>
                      <w:sz w:val="20"/>
                      <w:szCs w:val="20"/>
                    </w:rPr>
                    <w:t xml:space="preserve"> </w:t>
                  </w:r>
                  <w:r>
                    <w:rPr>
                      <w:rFonts w:ascii="宋体" w:hAnsi="宋体" w:eastAsia="宋体" w:cs="宋体"/>
                      <w:spacing w:val="3"/>
                      <w:position w:val="3"/>
                      <w:sz w:val="20"/>
                      <w:szCs w:val="20"/>
                    </w:rPr>
                    <w:t xml:space="preserve">         </w:t>
                  </w:r>
                  <w:r>
                    <w:rPr>
                      <w:rFonts w:ascii="Times New Roman" w:hAnsi="Times New Roman" w:eastAsia="Times New Roman" w:cs="Times New Roman"/>
                      <w:position w:val="-1"/>
                      <w:sz w:val="19"/>
                      <w:szCs w:val="19"/>
                    </w:rPr>
                    <w:t>W</w:t>
                  </w:r>
                  <w:r>
                    <w:rPr>
                      <w:rFonts w:ascii="Times New Roman" w:hAnsi="Times New Roman" w:eastAsia="Times New Roman" w:cs="Times New Roman"/>
                      <w:spacing w:val="3"/>
                      <w:position w:val="-1"/>
                      <w:sz w:val="19"/>
                      <w:szCs w:val="19"/>
                    </w:rPr>
                    <w:t>3</w:t>
                  </w:r>
                  <w:r>
                    <w:rPr>
                      <w:rFonts w:ascii="宋体" w:hAnsi="宋体" w:eastAsia="宋体" w:cs="宋体"/>
                      <w:spacing w:val="3"/>
                      <w:position w:val="-1"/>
                      <w:sz w:val="19"/>
                      <w:szCs w:val="19"/>
                    </w:rPr>
                    <w:t>：清洗废水</w:t>
                  </w:r>
                </w:p>
              </w:txbxContent>
            </v:textbox>
          </v:shape>
        </w:pict>
      </w:r>
      <w:r>
        <w:drawing>
          <wp:anchor distT="0" distB="0" distL="0" distR="0" simplePos="0" relativeHeight="251803648" behindDoc="0" locked="0" layoutInCell="0" allowOverlap="1">
            <wp:simplePos x="0" y="0"/>
            <wp:positionH relativeFrom="page">
              <wp:posOffset>2612390</wp:posOffset>
            </wp:positionH>
            <wp:positionV relativeFrom="page">
              <wp:posOffset>3474085</wp:posOffset>
            </wp:positionV>
            <wp:extent cx="464820" cy="7620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455"/>
                    <a:stretch>
                      <a:fillRect/>
                    </a:stretch>
                  </pic:blipFill>
                  <pic:spPr>
                    <a:xfrm>
                      <a:off x="0" y="0"/>
                      <a:ext cx="464832" cy="76200"/>
                    </a:xfrm>
                    <a:prstGeom prst="rect">
                      <a:avLst/>
                    </a:prstGeom>
                  </pic:spPr>
                </pic:pic>
              </a:graphicData>
            </a:graphic>
          </wp:anchor>
        </w:drawing>
      </w:r>
      <w:r>
        <w:drawing>
          <wp:anchor distT="0" distB="0" distL="0" distR="0" simplePos="0" relativeHeight="251805696" behindDoc="0" locked="0" layoutInCell="0" allowOverlap="1">
            <wp:simplePos x="0" y="0"/>
            <wp:positionH relativeFrom="page">
              <wp:posOffset>4251960</wp:posOffset>
            </wp:positionH>
            <wp:positionV relativeFrom="page">
              <wp:posOffset>3474085</wp:posOffset>
            </wp:positionV>
            <wp:extent cx="82550" cy="762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56"/>
                    <a:stretch>
                      <a:fillRect/>
                    </a:stretch>
                  </pic:blipFill>
                  <pic:spPr>
                    <a:xfrm>
                      <a:off x="0" y="0"/>
                      <a:ext cx="82600" cy="76200"/>
                    </a:xfrm>
                    <a:prstGeom prst="rect">
                      <a:avLst/>
                    </a:prstGeom>
                  </pic:spPr>
                </pic:pic>
              </a:graphicData>
            </a:graphic>
          </wp:anchor>
        </w:drawing>
      </w:r>
    </w:p>
    <w:p w14:paraId="0DB4B3F3">
      <w:pPr>
        <w:spacing w:before="55" w:line="229"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9E5BFC3">
      <w:pPr>
        <w:spacing w:before="14" w:line="58" w:lineRule="exact"/>
        <w:ind w:firstLine="14"/>
        <w:textAlignment w:val="center"/>
      </w:pPr>
      <w:r>
        <w:pict>
          <v:shape id="_x0000_s1157" o:spid="_x0000_s1157" style="height:2.9pt;width:415.3pt;" fillcolor="#000000" filled="t" stroked="f" coordsize="8305,58" path="m0,0l8305,0,8305,28,0,28,0,0xem0,43l8305,43,8305,57,0,57,0,43xe">
            <v:path/>
            <v:fill on="t" focussize="0,0"/>
            <v:stroke on="f"/>
            <v:imagedata o:title=""/>
            <o:lock v:ext="edit"/>
            <w10:wrap type="none"/>
            <w10:anchorlock/>
          </v:shape>
        </w:pict>
      </w:r>
    </w:p>
    <w:p w14:paraId="45883A7C">
      <w:pPr>
        <w:spacing w:before="11" w:line="2316" w:lineRule="exact"/>
        <w:ind w:firstLine="2682"/>
        <w:textAlignment w:val="center"/>
      </w:pPr>
      <w:r>
        <w:drawing>
          <wp:inline distT="0" distB="0" distL="0" distR="0">
            <wp:extent cx="2681605" cy="147002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457"/>
                    <a:stretch>
                      <a:fillRect/>
                    </a:stretch>
                  </pic:blipFill>
                  <pic:spPr>
                    <a:xfrm>
                      <a:off x="0" y="0"/>
                      <a:ext cx="2682239" cy="1470659"/>
                    </a:xfrm>
                    <a:prstGeom prst="rect">
                      <a:avLst/>
                    </a:prstGeom>
                  </pic:spPr>
                </pic:pic>
              </a:graphicData>
            </a:graphic>
          </wp:inline>
        </w:drawing>
      </w:r>
    </w:p>
    <w:p w14:paraId="182E076A">
      <w:pPr>
        <w:spacing w:line="249" w:lineRule="auto"/>
        <w:rPr>
          <w:rFonts w:ascii="Arial"/>
          <w:sz w:val="21"/>
        </w:rPr>
      </w:pPr>
    </w:p>
    <w:p w14:paraId="44DE1CE6">
      <w:pPr>
        <w:spacing w:line="249" w:lineRule="auto"/>
        <w:rPr>
          <w:rFonts w:ascii="Arial"/>
          <w:sz w:val="21"/>
        </w:rPr>
      </w:pPr>
    </w:p>
    <w:p w14:paraId="3D4D0211">
      <w:pPr>
        <w:spacing w:line="958" w:lineRule="exact"/>
        <w:ind w:firstLine="558"/>
        <w:textAlignment w:val="center"/>
      </w:pPr>
      <w:r>
        <w:pict>
          <v:group id="_x0000_s1158" o:spid="_x0000_s1158" o:spt="203" style="height:47.9pt;width:408pt;" coordsize="8160,958">
            <o:lock v:ext="edit"/>
            <v:shape id="_x0000_s1159" o:spid="_x0000_s1159" o:spt="75" type="#_x0000_t75" style="position:absolute;left:0;top:0;height:958;width:8160;" filled="f" stroked="f" coordsize="21600,21600">
              <v:path/>
              <v:fill on="f" focussize="0,0"/>
              <v:stroke on="f"/>
              <v:imagedata r:id="rId458" o:title=""/>
              <o:lock v:ext="edit" aspectratio="t"/>
            </v:shape>
            <v:rect id="_x0000_s1160" o:spid="_x0000_s1160" o:spt="1" style="position:absolute;left:4389;top:439;height:495;width:1636;" fillcolor="#FFFFFF" filled="t" stroked="f" coordsize="21600,21600">
              <v:path/>
              <v:fill on="t" focussize="0,0"/>
              <v:stroke on="f"/>
              <v:imagedata o:title=""/>
              <o:lock v:ext="edit"/>
            </v:rect>
            <v:shape id="_x0000_s1161" o:spid="_x0000_s1161" o:spt="202" type="#_x0000_t202" style="position:absolute;left:4501;top:23;height:815;width:1338;" filled="f" stroked="f" coordsize="21600,21600">
              <v:path/>
              <v:fill on="f" focussize="0,0"/>
              <v:stroke on="f"/>
              <v:imagedata o:title=""/>
              <o:lock v:ext="edit" aspectratio="f"/>
              <v:textbox inset="0mm,0mm,0mm,0mm">
                <w:txbxContent>
                  <w:p w14:paraId="72DDB969">
                    <w:pPr>
                      <w:spacing w:before="20" w:line="251" w:lineRule="exact"/>
                      <w:ind w:left="20"/>
                      <w:rPr>
                        <w:rFonts w:ascii="宋体" w:hAnsi="宋体" w:eastAsia="宋体" w:cs="宋体"/>
                        <w:sz w:val="19"/>
                        <w:szCs w:val="19"/>
                      </w:rPr>
                    </w:pPr>
                    <w:r>
                      <w:rPr>
                        <w:rFonts w:ascii="Times New Roman" w:hAnsi="Times New Roman" w:eastAsia="Times New Roman" w:cs="Times New Roman"/>
                        <w:position w:val="1"/>
                        <w:sz w:val="19"/>
                        <w:szCs w:val="19"/>
                      </w:rPr>
                      <w:t>W</w:t>
                    </w:r>
                    <w:r>
                      <w:rPr>
                        <w:rFonts w:ascii="Times New Roman" w:hAnsi="Times New Roman" w:eastAsia="Times New Roman" w:cs="Times New Roman"/>
                        <w:spacing w:val="10"/>
                        <w:position w:val="1"/>
                        <w:sz w:val="19"/>
                        <w:szCs w:val="19"/>
                      </w:rPr>
                      <w:t>1</w:t>
                    </w:r>
                    <w:r>
                      <w:rPr>
                        <w:rFonts w:ascii="宋体" w:hAnsi="宋体" w:eastAsia="宋体" w:cs="宋体"/>
                        <w:spacing w:val="10"/>
                        <w:position w:val="1"/>
                        <w:sz w:val="19"/>
                        <w:szCs w:val="19"/>
                      </w:rPr>
                      <w:t>：废水</w:t>
                    </w:r>
                  </w:p>
                  <w:p w14:paraId="2D82B7A0">
                    <w:pPr>
                      <w:spacing w:before="272" w:line="251" w:lineRule="exact"/>
                      <w:ind w:left="34"/>
                      <w:rPr>
                        <w:rFonts w:ascii="宋体" w:hAnsi="宋体" w:eastAsia="宋体" w:cs="宋体"/>
                        <w:sz w:val="19"/>
                        <w:szCs w:val="19"/>
                      </w:rPr>
                    </w:pPr>
                    <w:r>
                      <w:rPr>
                        <w:rFonts w:ascii="Times New Roman" w:hAnsi="Times New Roman" w:eastAsia="Times New Roman" w:cs="Times New Roman"/>
                        <w:position w:val="1"/>
                        <w:sz w:val="19"/>
                        <w:szCs w:val="19"/>
                      </w:rPr>
                      <w:t>W</w:t>
                    </w:r>
                    <w:r>
                      <w:rPr>
                        <w:rFonts w:ascii="Times New Roman" w:hAnsi="Times New Roman" w:eastAsia="Times New Roman" w:cs="Times New Roman"/>
                        <w:spacing w:val="10"/>
                        <w:position w:val="1"/>
                        <w:sz w:val="19"/>
                        <w:szCs w:val="19"/>
                      </w:rPr>
                      <w:t>2</w:t>
                    </w:r>
                    <w:r>
                      <w:rPr>
                        <w:rFonts w:ascii="宋体" w:hAnsi="宋体" w:eastAsia="宋体" w:cs="宋体"/>
                        <w:spacing w:val="10"/>
                        <w:position w:val="1"/>
                        <w:sz w:val="19"/>
                        <w:szCs w:val="19"/>
                      </w:rPr>
                      <w:t>：清洗废</w:t>
                    </w:r>
                    <w:r>
                      <w:rPr>
                        <w:rFonts w:ascii="宋体" w:hAnsi="宋体" w:eastAsia="宋体" w:cs="宋体"/>
                        <w:spacing w:val="9"/>
                        <w:position w:val="1"/>
                        <w:sz w:val="19"/>
                        <w:szCs w:val="19"/>
                      </w:rPr>
                      <w:t>水</w:t>
                    </w:r>
                  </w:p>
                </w:txbxContent>
              </v:textbox>
            </v:shape>
            <v:rect id="_x0000_s1162" o:spid="_x0000_s1162" o:spt="1" style="position:absolute;left:2680;top:475;height:317;width:929;" fillcolor="#FFFFFF" filled="t" stroked="f" coordsize="21600,21600">
              <v:path/>
              <v:fill on="t" focussize="0,0"/>
              <v:stroke on="f"/>
              <v:imagedata o:title=""/>
              <o:lock v:ext="edit"/>
            </v:rect>
            <v:shape id="_x0000_s1163" o:spid="_x0000_s1163" o:spt="202" type="#_x0000_t202" style="position:absolute;left:2922;top:507;height:288;width:450;" filled="f" stroked="f" coordsize="21600,21600">
              <v:path/>
              <v:fill on="f" focussize="0,0"/>
              <v:stroke on="f"/>
              <v:imagedata o:title=""/>
              <o:lock v:ext="edit" aspectratio="f"/>
              <v:textbox inset="0mm,0mm,0mm,0mm">
                <w:txbxContent>
                  <w:p w14:paraId="7D0B01BD">
                    <w:pPr>
                      <w:spacing w:before="20" w:line="229" w:lineRule="auto"/>
                      <w:ind w:left="20"/>
                      <w:rPr>
                        <w:rFonts w:ascii="宋体" w:hAnsi="宋体" w:eastAsia="宋体" w:cs="宋体"/>
                        <w:sz w:val="20"/>
                        <w:szCs w:val="20"/>
                      </w:rPr>
                    </w:pPr>
                    <w:r>
                      <w:rPr>
                        <w:rFonts w:ascii="宋体" w:hAnsi="宋体" w:eastAsia="宋体" w:cs="宋体"/>
                        <w:spacing w:val="5"/>
                        <w:sz w:val="20"/>
                        <w:szCs w:val="20"/>
                      </w:rPr>
                      <w:t>初洗</w:t>
                    </w:r>
                  </w:p>
                </w:txbxContent>
              </v:textbox>
            </v:shape>
            <w10:wrap type="none"/>
            <w10:anchorlock/>
          </v:group>
        </w:pict>
      </w:r>
    </w:p>
    <w:p w14:paraId="34035E4D">
      <w:pPr>
        <w:spacing w:line="290" w:lineRule="auto"/>
        <w:rPr>
          <w:rFonts w:ascii="Arial"/>
          <w:sz w:val="21"/>
        </w:rPr>
      </w:pPr>
    </w:p>
    <w:p w14:paraId="08D5F6CE">
      <w:pPr>
        <w:spacing w:before="1" w:line="9112" w:lineRule="exact"/>
        <w:ind w:firstLine="558"/>
        <w:textAlignment w:val="center"/>
      </w:pPr>
      <w:r>
        <w:pict>
          <v:group id="_x0000_s1164" o:spid="_x0000_s1164" o:spt="203" style="height:456.4pt;width:408pt;" coordsize="8160,9127">
            <o:lock v:ext="edit"/>
            <v:shape id="_x0000_s1165" o:spid="_x0000_s1165" o:spt="75" type="#_x0000_t75" style="position:absolute;left:0;top:489;height:8637;width:8160;" filled="f" stroked="f" coordsize="21600,21600">
              <v:path/>
              <v:fill on="f" focussize="0,0"/>
              <v:stroke on="f"/>
              <v:imagedata r:id="rId459" o:title=""/>
              <o:lock v:ext="edit" aspectratio="t"/>
            </v:shape>
            <v:rect id="_x0000_s1166" o:spid="_x0000_s1166" o:spt="1" style="position:absolute;left:4420;top:2008;height:495;width:1635;" fillcolor="#FFFFFF" filled="t" stroked="f" coordsize="21600,21600">
              <v:path/>
              <v:fill on="t" focussize="0,0"/>
              <v:stroke on="f"/>
              <v:imagedata o:title=""/>
              <o:lock v:ext="edit"/>
            </v:rect>
            <v:rect id="_x0000_s1167" o:spid="_x0000_s1167" o:spt="1" style="position:absolute;left:4420;top:1017;height:497;width:1635;" fillcolor="#FFFFFF" filled="t" stroked="f" coordsize="21600,21600">
              <v:path/>
              <v:fill on="t" focussize="0,0"/>
              <v:stroke on="f"/>
              <v:imagedata o:title=""/>
              <o:lock v:ext="edit"/>
            </v:rect>
            <v:shape id="_x0000_s1168" o:spid="_x0000_s1168" o:spt="202" type="#_x0000_t202" style="position:absolute;left:2486;top:-20;height:2428;width:3385;" filled="f" stroked="f" coordsize="21600,21600">
              <v:path/>
              <v:fill on="f" focussize="0,0"/>
              <v:stroke on="f"/>
              <v:imagedata o:title=""/>
              <o:lock v:ext="edit" aspectratio="f"/>
              <v:textbox inset="0mm,0mm,0mm,0mm">
                <w:txbxContent>
                  <w:p w14:paraId="237EB353">
                    <w:pPr>
                      <w:spacing w:before="20" w:line="472" w:lineRule="exact"/>
                      <w:ind w:firstLine="20"/>
                      <w:textAlignment w:val="center"/>
                    </w:pPr>
                    <w:r>
                      <w:drawing>
                        <wp:inline distT="0" distB="0" distL="0" distR="0">
                          <wp:extent cx="801370" cy="2997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61"/>
                                  <a:stretch>
                                    <a:fillRect/>
                                  </a:stretch>
                                </pic:blipFill>
                                <pic:spPr>
                                  <a:xfrm>
                                    <a:off x="0" y="0"/>
                                    <a:ext cx="801370" cy="299720"/>
                                  </a:xfrm>
                                  <a:prstGeom prst="rect">
                                    <a:avLst/>
                                  </a:prstGeom>
                                </pic:spPr>
                              </pic:pic>
                            </a:graphicData>
                          </a:graphic>
                        </wp:inline>
                      </w:drawing>
                    </w:r>
                  </w:p>
                  <w:p w14:paraId="7E85DA8D">
                    <w:pPr>
                      <w:spacing w:line="305" w:lineRule="auto"/>
                      <w:rPr>
                        <w:rFonts w:ascii="Arial"/>
                        <w:sz w:val="21"/>
                      </w:rPr>
                    </w:pPr>
                  </w:p>
                  <w:p w14:paraId="03614BD4">
                    <w:pPr>
                      <w:spacing w:line="305" w:lineRule="auto"/>
                      <w:rPr>
                        <w:rFonts w:ascii="Arial"/>
                        <w:sz w:val="21"/>
                      </w:rPr>
                    </w:pPr>
                  </w:p>
                  <w:p w14:paraId="60A09423">
                    <w:pPr>
                      <w:spacing w:before="61" w:line="252" w:lineRule="exact"/>
                      <w:ind w:right="20"/>
                      <w:jc w:val="right"/>
                      <w:rPr>
                        <w:rFonts w:ascii="宋体" w:hAnsi="宋体" w:eastAsia="宋体" w:cs="宋体"/>
                        <w:sz w:val="19"/>
                        <w:szCs w:val="19"/>
                      </w:rPr>
                    </w:pPr>
                    <w:r>
                      <w:rPr>
                        <w:rFonts w:ascii="Times New Roman" w:hAnsi="Times New Roman" w:eastAsia="Times New Roman" w:cs="Times New Roman"/>
                        <w:position w:val="1"/>
                        <w:sz w:val="19"/>
                        <w:szCs w:val="19"/>
                      </w:rPr>
                      <w:t>W</w:t>
                    </w:r>
                    <w:r>
                      <w:rPr>
                        <w:rFonts w:ascii="Times New Roman" w:hAnsi="Times New Roman" w:eastAsia="Times New Roman" w:cs="Times New Roman"/>
                        <w:spacing w:val="10"/>
                        <w:position w:val="1"/>
                        <w:sz w:val="19"/>
                        <w:szCs w:val="19"/>
                      </w:rPr>
                      <w:t>4</w:t>
                    </w:r>
                    <w:r>
                      <w:rPr>
                        <w:rFonts w:ascii="宋体" w:hAnsi="宋体" w:eastAsia="宋体" w:cs="宋体"/>
                        <w:spacing w:val="10"/>
                        <w:position w:val="1"/>
                        <w:sz w:val="19"/>
                        <w:szCs w:val="19"/>
                      </w:rPr>
                      <w:t>：清洗废</w:t>
                    </w:r>
                    <w:r>
                      <w:rPr>
                        <w:rFonts w:ascii="宋体" w:hAnsi="宋体" w:eastAsia="宋体" w:cs="宋体"/>
                        <w:spacing w:val="9"/>
                        <w:position w:val="1"/>
                        <w:sz w:val="19"/>
                        <w:szCs w:val="19"/>
                      </w:rPr>
                      <w:t>水</w:t>
                    </w:r>
                  </w:p>
                  <w:p w14:paraId="3EAB5119">
                    <w:pPr>
                      <w:spacing w:line="335" w:lineRule="auto"/>
                      <w:rPr>
                        <w:rFonts w:ascii="Arial"/>
                        <w:sz w:val="21"/>
                      </w:rPr>
                    </w:pPr>
                  </w:p>
                  <w:p w14:paraId="25560430">
                    <w:pPr>
                      <w:spacing w:line="336" w:lineRule="auto"/>
                      <w:rPr>
                        <w:rFonts w:ascii="Arial"/>
                        <w:sz w:val="21"/>
                      </w:rPr>
                    </w:pPr>
                  </w:p>
                  <w:p w14:paraId="077CF2F3">
                    <w:pPr>
                      <w:spacing w:before="62" w:line="251" w:lineRule="exact"/>
                      <w:ind w:right="20"/>
                      <w:jc w:val="right"/>
                      <w:rPr>
                        <w:rFonts w:ascii="宋体" w:hAnsi="宋体" w:eastAsia="宋体" w:cs="宋体"/>
                        <w:sz w:val="19"/>
                        <w:szCs w:val="19"/>
                      </w:rPr>
                    </w:pPr>
                    <w:r>
                      <w:rPr>
                        <w:rFonts w:ascii="Times New Roman" w:hAnsi="Times New Roman" w:eastAsia="Times New Roman" w:cs="Times New Roman"/>
                        <w:position w:val="1"/>
                        <w:sz w:val="19"/>
                        <w:szCs w:val="19"/>
                      </w:rPr>
                      <w:t>W</w:t>
                    </w:r>
                    <w:r>
                      <w:rPr>
                        <w:rFonts w:ascii="Times New Roman" w:hAnsi="Times New Roman" w:eastAsia="Times New Roman" w:cs="Times New Roman"/>
                        <w:spacing w:val="10"/>
                        <w:position w:val="1"/>
                        <w:sz w:val="19"/>
                        <w:szCs w:val="19"/>
                      </w:rPr>
                      <w:t>5</w:t>
                    </w:r>
                    <w:r>
                      <w:rPr>
                        <w:rFonts w:ascii="宋体" w:hAnsi="宋体" w:eastAsia="宋体" w:cs="宋体"/>
                        <w:spacing w:val="10"/>
                        <w:position w:val="1"/>
                        <w:sz w:val="19"/>
                        <w:szCs w:val="19"/>
                      </w:rPr>
                      <w:t>：脱水废</w:t>
                    </w:r>
                    <w:r>
                      <w:rPr>
                        <w:rFonts w:ascii="宋体" w:hAnsi="宋体" w:eastAsia="宋体" w:cs="宋体"/>
                        <w:spacing w:val="9"/>
                        <w:position w:val="1"/>
                        <w:sz w:val="19"/>
                        <w:szCs w:val="19"/>
                      </w:rPr>
                      <w:t>水</w:t>
                    </w:r>
                  </w:p>
                </w:txbxContent>
              </v:textbox>
            </v:shape>
            <v:shape id="_x0000_s1169" o:spid="_x0000_s1169" o:spt="75" type="#_x0000_t75" style="position:absolute;left:3750;top:272;height:35;width:595;" filled="f" stroked="f" coordsize="21600,21600">
              <v:path/>
              <v:fill on="f" focussize="0,0"/>
              <v:stroke on="f"/>
              <v:imagedata r:id="rId460" o:title=""/>
              <o:lock v:ext="edit" aspectratio="t"/>
            </v:shape>
            <w10:wrap type="none"/>
            <w10:anchorlock/>
          </v:group>
        </w:pict>
      </w:r>
    </w:p>
    <w:p w14:paraId="0E44451F">
      <w:pPr>
        <w:spacing w:before="1" w:line="223" w:lineRule="auto"/>
        <w:ind w:left="2689"/>
        <w:rPr>
          <w:rFonts w:ascii="宋体" w:hAnsi="宋体" w:eastAsia="宋体" w:cs="宋体"/>
          <w:sz w:val="22"/>
          <w:szCs w:val="22"/>
        </w:rPr>
      </w:pPr>
      <w:r>
        <w:rPr>
          <w:rFonts w:ascii="宋体" w:hAnsi="宋体" w:eastAsia="宋体" w:cs="宋体"/>
          <w:spacing w:val="14"/>
          <w:sz w:val="22"/>
          <w:szCs w:val="22"/>
          <w14:textOutline w14:w="4086" w14:cap="sq" w14:cmpd="sng">
            <w14:solidFill>
              <w14:srgbClr w14:val="000000"/>
            </w14:solidFill>
            <w14:prstDash w14:val="solid"/>
            <w14:bevel/>
          </w14:textOutline>
        </w:rPr>
        <w:t>图</w:t>
      </w:r>
      <w:r>
        <w:rPr>
          <w:rFonts w:ascii="宋体" w:hAnsi="宋体" w:eastAsia="宋体" w:cs="宋体"/>
          <w:spacing w:val="9"/>
          <w:sz w:val="22"/>
          <w:szCs w:val="22"/>
        </w:rPr>
        <w:t xml:space="preserve"> </w:t>
      </w:r>
      <w:r>
        <w:rPr>
          <w:rFonts w:ascii="Times New Roman" w:hAnsi="Times New Roman" w:eastAsia="Times New Roman" w:cs="Times New Roman"/>
          <w:b/>
          <w:bCs/>
          <w:spacing w:val="9"/>
          <w:sz w:val="22"/>
          <w:szCs w:val="22"/>
        </w:rPr>
        <w:t>3-3</w:t>
      </w:r>
      <w:r>
        <w:rPr>
          <w:rFonts w:ascii="Times New Roman" w:hAnsi="Times New Roman" w:eastAsia="Times New Roman" w:cs="Times New Roman"/>
          <w:spacing w:val="9"/>
          <w:sz w:val="22"/>
          <w:szCs w:val="22"/>
        </w:rPr>
        <w:t xml:space="preserve">        </w:t>
      </w:r>
      <w:r>
        <w:rPr>
          <w:rFonts w:ascii="宋体" w:hAnsi="宋体" w:eastAsia="宋体" w:cs="宋体"/>
          <w:spacing w:val="9"/>
          <w:sz w:val="22"/>
          <w:szCs w:val="22"/>
          <w14:textOutline w14:w="4086" w14:cap="sq" w14:cmpd="sng">
            <w14:solidFill>
              <w14:srgbClr w14:val="000000"/>
            </w14:solidFill>
            <w14:prstDash w14:val="solid"/>
            <w14:bevel/>
          </w14:textOutline>
        </w:rPr>
        <w:t>工艺流程及产污节点图</w:t>
      </w:r>
    </w:p>
    <w:p w14:paraId="421E7C1E">
      <w:pPr>
        <w:sectPr>
          <w:headerReference r:id="rId118" w:type="default"/>
          <w:footerReference r:id="rId119" w:type="default"/>
          <w:pgSz w:w="11906" w:h="16839"/>
          <w:pgMar w:top="400" w:right="1401" w:bottom="1182" w:left="1785" w:header="0" w:footer="1022" w:gutter="0"/>
          <w:cols w:space="720" w:num="1"/>
        </w:sectPr>
      </w:pPr>
    </w:p>
    <w:p w14:paraId="226BB505">
      <w:pPr>
        <w:spacing w:line="357" w:lineRule="auto"/>
        <w:rPr>
          <w:rFonts w:ascii="Arial"/>
          <w:sz w:val="21"/>
        </w:rPr>
      </w:pPr>
      <w:r>
        <w:pict>
          <v:shape id="_x0000_s1170" o:spid="_x0000_s1170" style="position:absolute;left:0pt;margin-left:90pt;margin-top:57.35pt;height:0.75pt;width:415.3pt;mso-position-horizontal-relative:page;mso-position-vertical-relative:page;z-index:251808768;mso-width-relative:page;mso-height-relative:page;" fillcolor="#000000" filled="t" stroked="f" coordsize="8305,15" o:allowincell="f" path="m0,0l8305,0,8305,14,0,14,0,0xe">
            <v:path/>
            <v:fill on="t" focussize="0,0"/>
            <v:stroke on="f"/>
            <v:imagedata o:title=""/>
            <o:lock v:ext="edit"/>
          </v:shape>
        </w:pict>
      </w:r>
    </w:p>
    <w:p w14:paraId="2F9CD086">
      <w:pPr>
        <w:spacing w:before="91" w:line="220" w:lineRule="auto"/>
        <w:ind w:left="112"/>
        <w:outlineLvl w:val="3"/>
        <w:rPr>
          <w:rFonts w:ascii="宋体" w:hAnsi="宋体" w:eastAsia="宋体" w:cs="宋体"/>
          <w:sz w:val="28"/>
          <w:szCs w:val="28"/>
        </w:rPr>
      </w:pPr>
      <w:r>
        <w:rPr>
          <w:rFonts w:ascii="Times New Roman" w:hAnsi="Times New Roman" w:eastAsia="Times New Roman" w:cs="Times New Roman"/>
          <w:b/>
          <w:bCs/>
          <w:spacing w:val="8"/>
          <w:sz w:val="28"/>
          <w:szCs w:val="28"/>
        </w:rPr>
        <w:t>3.2.2.2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产污环节分</w:t>
      </w:r>
      <w:r>
        <w:rPr>
          <w:rFonts w:ascii="宋体" w:hAnsi="宋体" w:eastAsia="宋体" w:cs="宋体"/>
          <w:spacing w:val="5"/>
          <w:sz w:val="28"/>
          <w:szCs w:val="28"/>
          <w14:textOutline w14:w="5103" w14:cap="sq" w14:cmpd="sng">
            <w14:solidFill>
              <w14:srgbClr w14:val="000000"/>
            </w14:solidFill>
            <w14:prstDash w14:val="solid"/>
            <w14:bevel/>
          </w14:textOutline>
        </w:rPr>
        <w:t>析</w:t>
      </w:r>
    </w:p>
    <w:p w14:paraId="79204845">
      <w:pPr>
        <w:spacing w:line="261" w:lineRule="auto"/>
        <w:rPr>
          <w:rFonts w:ascii="Arial"/>
          <w:sz w:val="21"/>
        </w:rPr>
      </w:pPr>
    </w:p>
    <w:p w14:paraId="33DEFA17">
      <w:pPr>
        <w:spacing w:before="75" w:line="393" w:lineRule="auto"/>
        <w:ind w:left="120" w:right="27" w:firstLine="476"/>
        <w:rPr>
          <w:rFonts w:ascii="宋体" w:hAnsi="宋体" w:eastAsia="宋体" w:cs="宋体"/>
          <w:sz w:val="23"/>
          <w:szCs w:val="23"/>
        </w:rPr>
      </w:pPr>
      <w:r>
        <w:rPr>
          <w:rFonts w:ascii="宋体" w:hAnsi="宋体" w:eastAsia="宋体" w:cs="宋体"/>
          <w:spacing w:val="10"/>
          <w:sz w:val="23"/>
          <w:szCs w:val="23"/>
        </w:rPr>
        <w:t>① 废气</w:t>
      </w:r>
      <w:r>
        <w:rPr>
          <w:rFonts w:ascii="宋体" w:hAnsi="宋体" w:eastAsia="宋体" w:cs="宋体"/>
          <w:spacing w:val="8"/>
          <w:sz w:val="23"/>
          <w:szCs w:val="23"/>
        </w:rPr>
        <w:t>：</w:t>
      </w:r>
      <w:r>
        <w:rPr>
          <w:rFonts w:ascii="宋体" w:hAnsi="宋体" w:eastAsia="宋体" w:cs="宋体"/>
          <w:spacing w:val="5"/>
          <w:sz w:val="23"/>
          <w:szCs w:val="23"/>
        </w:rPr>
        <w:t>该项目运营期大气污染物主要有洗字工序所用热风炉产生的烟气、</w:t>
      </w:r>
      <w:r>
        <w:rPr>
          <w:rFonts w:ascii="宋体" w:hAnsi="宋体" w:eastAsia="宋体" w:cs="宋体"/>
          <w:sz w:val="23"/>
          <w:szCs w:val="23"/>
        </w:rPr>
        <w:t xml:space="preserve"> </w:t>
      </w:r>
      <w:r>
        <w:rPr>
          <w:rFonts w:ascii="宋体" w:hAnsi="宋体" w:eastAsia="宋体" w:cs="宋体"/>
          <w:spacing w:val="9"/>
          <w:sz w:val="23"/>
          <w:szCs w:val="23"/>
        </w:rPr>
        <w:t>分</w:t>
      </w:r>
      <w:r>
        <w:rPr>
          <w:rFonts w:ascii="宋体" w:hAnsi="宋体" w:eastAsia="宋体" w:cs="宋体"/>
          <w:spacing w:val="8"/>
          <w:sz w:val="23"/>
          <w:szCs w:val="23"/>
        </w:rPr>
        <w:t>拣工序产生粉尘以及热熔、造粒工序产生挥发性有机物 (以非甲烷总烃计) 。</w:t>
      </w:r>
    </w:p>
    <w:p w14:paraId="5E00C23F">
      <w:pPr>
        <w:spacing w:before="138" w:line="390" w:lineRule="auto"/>
        <w:ind w:left="117" w:right="107" w:firstLine="478"/>
        <w:rPr>
          <w:rFonts w:ascii="宋体" w:hAnsi="宋体" w:eastAsia="宋体" w:cs="宋体"/>
          <w:sz w:val="23"/>
          <w:szCs w:val="23"/>
        </w:rPr>
      </w:pPr>
      <w:r>
        <w:rPr>
          <w:rFonts w:ascii="宋体" w:hAnsi="宋体" w:eastAsia="宋体" w:cs="宋体"/>
          <w:spacing w:val="20"/>
          <w:sz w:val="23"/>
          <w:szCs w:val="23"/>
        </w:rPr>
        <w:t>②</w:t>
      </w:r>
      <w:r>
        <w:rPr>
          <w:rFonts w:ascii="宋体" w:hAnsi="宋体" w:eastAsia="宋体" w:cs="宋体"/>
          <w:spacing w:val="11"/>
          <w:sz w:val="23"/>
          <w:szCs w:val="23"/>
        </w:rPr>
        <w:t xml:space="preserve"> </w:t>
      </w:r>
      <w:r>
        <w:rPr>
          <w:rFonts w:ascii="宋体" w:hAnsi="宋体" w:eastAsia="宋体" w:cs="宋体"/>
          <w:spacing w:val="10"/>
          <w:sz w:val="23"/>
          <w:szCs w:val="23"/>
        </w:rPr>
        <w:t>废水：该项目废水主要为生活污水以及生产废水，其中生产废水主要包</w:t>
      </w:r>
      <w:r>
        <w:rPr>
          <w:rFonts w:ascii="宋体" w:hAnsi="宋体" w:eastAsia="宋体" w:cs="宋体"/>
          <w:sz w:val="23"/>
          <w:szCs w:val="23"/>
        </w:rPr>
        <w:t xml:space="preserve"> </w:t>
      </w:r>
      <w:r>
        <w:rPr>
          <w:rFonts w:ascii="宋体" w:hAnsi="宋体" w:eastAsia="宋体" w:cs="宋体"/>
          <w:spacing w:val="9"/>
          <w:sz w:val="23"/>
          <w:szCs w:val="23"/>
        </w:rPr>
        <w:t>括</w:t>
      </w:r>
      <w:r>
        <w:rPr>
          <w:rFonts w:ascii="宋体" w:hAnsi="宋体" w:eastAsia="宋体" w:cs="宋体"/>
          <w:spacing w:val="7"/>
          <w:sz w:val="23"/>
          <w:szCs w:val="23"/>
        </w:rPr>
        <w:t>破碎工序产生的废水，原料初洗工序、洗字工序、二次清洗工序产生的清洗废</w:t>
      </w:r>
      <w:r>
        <w:rPr>
          <w:rFonts w:ascii="宋体" w:hAnsi="宋体" w:eastAsia="宋体" w:cs="宋体"/>
          <w:sz w:val="23"/>
          <w:szCs w:val="23"/>
        </w:rPr>
        <w:t xml:space="preserve"> </w:t>
      </w:r>
      <w:r>
        <w:rPr>
          <w:rFonts w:ascii="宋体" w:hAnsi="宋体" w:eastAsia="宋体" w:cs="宋体"/>
          <w:spacing w:val="9"/>
          <w:sz w:val="23"/>
          <w:szCs w:val="23"/>
        </w:rPr>
        <w:t>水、脱水工序产生的废水以及循环冷却废水。</w:t>
      </w:r>
    </w:p>
    <w:p w14:paraId="28ACA933">
      <w:pPr>
        <w:spacing w:before="135" w:line="393" w:lineRule="auto"/>
        <w:ind w:left="122" w:right="107" w:firstLine="473"/>
        <w:rPr>
          <w:rFonts w:ascii="宋体" w:hAnsi="宋体" w:eastAsia="宋体" w:cs="宋体"/>
          <w:sz w:val="23"/>
          <w:szCs w:val="23"/>
        </w:rPr>
      </w:pPr>
      <w:r>
        <w:rPr>
          <w:rFonts w:ascii="宋体" w:hAnsi="宋体" w:eastAsia="宋体" w:cs="宋体"/>
          <w:spacing w:val="20"/>
          <w:sz w:val="23"/>
          <w:szCs w:val="23"/>
        </w:rPr>
        <w:t>③</w:t>
      </w:r>
      <w:r>
        <w:rPr>
          <w:rFonts w:ascii="宋体" w:hAnsi="宋体" w:eastAsia="宋体" w:cs="宋体"/>
          <w:spacing w:val="13"/>
          <w:sz w:val="23"/>
          <w:szCs w:val="23"/>
        </w:rPr>
        <w:t xml:space="preserve"> </w:t>
      </w:r>
      <w:r>
        <w:rPr>
          <w:rFonts w:ascii="宋体" w:hAnsi="宋体" w:eastAsia="宋体" w:cs="宋体"/>
          <w:spacing w:val="10"/>
          <w:sz w:val="23"/>
          <w:szCs w:val="23"/>
        </w:rPr>
        <w:t>噪声：该项目噪声主要为生产设备运行中辐射噪声，产生较大噪声的噪</w:t>
      </w:r>
      <w:r>
        <w:rPr>
          <w:rFonts w:ascii="宋体" w:hAnsi="宋体" w:eastAsia="宋体" w:cs="宋体"/>
          <w:sz w:val="23"/>
          <w:szCs w:val="23"/>
        </w:rPr>
        <w:t xml:space="preserve"> </w:t>
      </w:r>
      <w:r>
        <w:rPr>
          <w:rFonts w:ascii="宋体" w:hAnsi="宋体" w:eastAsia="宋体" w:cs="宋体"/>
          <w:spacing w:val="9"/>
          <w:sz w:val="23"/>
          <w:szCs w:val="23"/>
        </w:rPr>
        <w:t>声源主要有各喂料机、偏心清洗机、粉碎机等设备</w:t>
      </w:r>
      <w:r>
        <w:rPr>
          <w:rFonts w:ascii="宋体" w:hAnsi="宋体" w:eastAsia="宋体" w:cs="宋体"/>
          <w:spacing w:val="7"/>
          <w:sz w:val="23"/>
          <w:szCs w:val="23"/>
        </w:rPr>
        <w:t>。</w:t>
      </w:r>
    </w:p>
    <w:p w14:paraId="558CB6AA">
      <w:pPr>
        <w:spacing w:before="139" w:line="390" w:lineRule="auto"/>
        <w:ind w:left="120" w:right="110" w:firstLine="475"/>
        <w:rPr>
          <w:rFonts w:ascii="宋体" w:hAnsi="宋体" w:eastAsia="宋体" w:cs="宋体"/>
          <w:sz w:val="23"/>
          <w:szCs w:val="23"/>
        </w:rPr>
      </w:pPr>
      <w:r>
        <w:rPr>
          <w:rFonts w:ascii="宋体" w:hAnsi="宋体" w:eastAsia="宋体" w:cs="宋体"/>
          <w:spacing w:val="20"/>
          <w:sz w:val="23"/>
          <w:szCs w:val="23"/>
        </w:rPr>
        <w:t>④</w:t>
      </w:r>
      <w:r>
        <w:rPr>
          <w:rFonts w:ascii="宋体" w:hAnsi="宋体" w:eastAsia="宋体" w:cs="宋体"/>
          <w:spacing w:val="11"/>
          <w:sz w:val="23"/>
          <w:szCs w:val="23"/>
        </w:rPr>
        <w:t xml:space="preserve"> </w:t>
      </w:r>
      <w:r>
        <w:rPr>
          <w:rFonts w:ascii="宋体" w:hAnsi="宋体" w:eastAsia="宋体" w:cs="宋体"/>
          <w:spacing w:val="10"/>
          <w:sz w:val="23"/>
          <w:szCs w:val="23"/>
        </w:rPr>
        <w:t>固废：该项目固体废物主要为员工产生的生活垃圾、危险废物以及一般</w:t>
      </w:r>
      <w:r>
        <w:rPr>
          <w:rFonts w:ascii="宋体" w:hAnsi="宋体" w:eastAsia="宋体" w:cs="宋体"/>
          <w:sz w:val="23"/>
          <w:szCs w:val="23"/>
        </w:rPr>
        <w:t xml:space="preserve"> </w:t>
      </w:r>
      <w:r>
        <w:rPr>
          <w:rFonts w:ascii="宋体" w:hAnsi="宋体" w:eastAsia="宋体" w:cs="宋体"/>
          <w:spacing w:val="26"/>
          <w:sz w:val="23"/>
          <w:szCs w:val="23"/>
        </w:rPr>
        <w:t>工</w:t>
      </w:r>
      <w:r>
        <w:rPr>
          <w:rFonts w:ascii="宋体" w:hAnsi="宋体" w:eastAsia="宋体" w:cs="宋体"/>
          <w:spacing w:val="20"/>
          <w:sz w:val="23"/>
          <w:szCs w:val="23"/>
        </w:rPr>
        <w:t>业</w:t>
      </w:r>
      <w:r>
        <w:rPr>
          <w:rFonts w:ascii="宋体" w:hAnsi="宋体" w:eastAsia="宋体" w:cs="宋体"/>
          <w:spacing w:val="13"/>
          <w:sz w:val="23"/>
          <w:szCs w:val="23"/>
        </w:rPr>
        <w:t>固体废物，其中一般工业固体废物包括杂质、沉淀池污泥、废滤网、热风</w:t>
      </w:r>
      <w:r>
        <w:rPr>
          <w:rFonts w:ascii="宋体" w:hAnsi="宋体" w:eastAsia="宋体" w:cs="宋体"/>
          <w:sz w:val="23"/>
          <w:szCs w:val="23"/>
        </w:rPr>
        <w:t xml:space="preserve"> </w:t>
      </w:r>
      <w:r>
        <w:rPr>
          <w:rFonts w:ascii="宋体" w:hAnsi="宋体" w:eastAsia="宋体" w:cs="宋体"/>
          <w:spacing w:val="15"/>
          <w:sz w:val="23"/>
          <w:szCs w:val="23"/>
        </w:rPr>
        <w:t>炉</w:t>
      </w:r>
      <w:r>
        <w:rPr>
          <w:rFonts w:ascii="宋体" w:hAnsi="宋体" w:eastAsia="宋体" w:cs="宋体"/>
          <w:spacing w:val="12"/>
          <w:sz w:val="23"/>
          <w:szCs w:val="23"/>
        </w:rPr>
        <w:t xml:space="preserve">炉渣以及除尘器收集的粉尘，危险废物主要为废活性炭、废 </w:t>
      </w:r>
      <w:r>
        <w:rPr>
          <w:rFonts w:ascii="Times New Roman" w:hAnsi="Times New Roman" w:eastAsia="Times New Roman" w:cs="Times New Roman"/>
          <w:sz w:val="23"/>
          <w:szCs w:val="23"/>
        </w:rPr>
        <w:t>uv</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光解灯管。</w:t>
      </w:r>
    </w:p>
    <w:p w14:paraId="3ABA4929">
      <w:pPr>
        <w:spacing w:before="137" w:line="227" w:lineRule="auto"/>
        <w:ind w:left="601"/>
        <w:rPr>
          <w:rFonts w:ascii="宋体" w:hAnsi="宋体" w:eastAsia="宋体" w:cs="宋体"/>
          <w:sz w:val="23"/>
          <w:szCs w:val="23"/>
        </w:rPr>
      </w:pPr>
      <w:r>
        <w:rPr>
          <w:rFonts w:ascii="宋体" w:hAnsi="宋体" w:eastAsia="宋体" w:cs="宋体"/>
          <w:spacing w:val="1"/>
          <w:sz w:val="23"/>
          <w:szCs w:val="23"/>
        </w:rPr>
        <w:t>该</w:t>
      </w:r>
      <w:r>
        <w:rPr>
          <w:rFonts w:ascii="宋体" w:hAnsi="宋体" w:eastAsia="宋体" w:cs="宋体"/>
          <w:sz w:val="23"/>
          <w:szCs w:val="23"/>
        </w:rPr>
        <w:t xml:space="preserve">项目污染因子汇总见表 </w:t>
      </w:r>
      <w:r>
        <w:rPr>
          <w:rFonts w:ascii="Times New Roman" w:hAnsi="Times New Roman" w:eastAsia="Times New Roman" w:cs="Times New Roman"/>
          <w:sz w:val="23"/>
          <w:szCs w:val="23"/>
        </w:rPr>
        <w:t>3- 14</w:t>
      </w:r>
      <w:r>
        <w:rPr>
          <w:rFonts w:ascii="宋体" w:hAnsi="宋体" w:eastAsia="宋体" w:cs="宋体"/>
          <w:sz w:val="23"/>
          <w:szCs w:val="23"/>
        </w:rPr>
        <w:t>。</w:t>
      </w:r>
    </w:p>
    <w:p w14:paraId="12E680D8">
      <w:pPr>
        <w:spacing w:line="276" w:lineRule="auto"/>
        <w:rPr>
          <w:rFonts w:ascii="Arial"/>
          <w:sz w:val="21"/>
        </w:rPr>
      </w:pPr>
    </w:p>
    <w:p w14:paraId="3354004C">
      <w:pPr>
        <w:spacing w:before="75" w:line="228" w:lineRule="auto"/>
        <w:ind w:left="3058"/>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3-14</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污染因子一览</w:t>
      </w:r>
      <w:r>
        <w:rPr>
          <w:rFonts w:ascii="宋体" w:hAnsi="宋体" w:eastAsia="宋体" w:cs="宋体"/>
          <w:spacing w:val="1"/>
          <w:sz w:val="23"/>
          <w:szCs w:val="23"/>
          <w14:textOutline w14:w="4358" w14:cap="sq" w14:cmpd="sng">
            <w14:solidFill>
              <w14:srgbClr w14:val="000000"/>
            </w14:solidFill>
            <w14:prstDash w14:val="solid"/>
            <w14:bevel/>
          </w14:textOutline>
        </w:rPr>
        <w:t>表</w:t>
      </w:r>
    </w:p>
    <w:p w14:paraId="2C08D7F1">
      <w:pPr>
        <w:spacing w:line="18"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938"/>
        <w:gridCol w:w="1854"/>
        <w:gridCol w:w="1432"/>
        <w:gridCol w:w="2135"/>
        <w:gridCol w:w="1519"/>
      </w:tblGrid>
      <w:tr w14:paraId="48C5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643" w:type="dxa"/>
            <w:tcBorders>
              <w:left w:val="nil"/>
            </w:tcBorders>
            <w:vAlign w:val="top"/>
          </w:tcPr>
          <w:p w14:paraId="05A8AB2D">
            <w:pPr>
              <w:spacing w:before="76" w:line="258" w:lineRule="auto"/>
              <w:ind w:left="134" w:right="109" w:hanging="1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污染</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因</w:t>
            </w:r>
            <w:r>
              <w:rPr>
                <w:rFonts w:ascii="宋体" w:hAnsi="宋体" w:eastAsia="宋体" w:cs="宋体"/>
                <w:spacing w:val="-2"/>
                <w:sz w:val="20"/>
                <w:szCs w:val="20"/>
                <w14:textOutline w14:w="3795" w14:cap="sq" w14:cmpd="sng">
                  <w14:solidFill>
                    <w14:srgbClr w14:val="000000"/>
                  </w14:solidFill>
                  <w14:prstDash w14:val="solid"/>
                  <w14:bevel/>
                </w14:textOutline>
              </w:rPr>
              <w:t>素</w:t>
            </w:r>
          </w:p>
        </w:tc>
        <w:tc>
          <w:tcPr>
            <w:tcW w:w="938" w:type="dxa"/>
            <w:vAlign w:val="top"/>
          </w:tcPr>
          <w:p w14:paraId="61AA2058">
            <w:pPr>
              <w:spacing w:before="232" w:line="228" w:lineRule="auto"/>
              <w:ind w:left="5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污节点</w:t>
            </w:r>
          </w:p>
        </w:tc>
        <w:tc>
          <w:tcPr>
            <w:tcW w:w="1854" w:type="dxa"/>
            <w:vAlign w:val="top"/>
          </w:tcPr>
          <w:p w14:paraId="1B6F8942">
            <w:pPr>
              <w:spacing w:before="232" w:line="228" w:lineRule="auto"/>
              <w:ind w:left="51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污环节</w:t>
            </w:r>
          </w:p>
        </w:tc>
        <w:tc>
          <w:tcPr>
            <w:tcW w:w="1432" w:type="dxa"/>
            <w:vAlign w:val="top"/>
          </w:tcPr>
          <w:p w14:paraId="445BE533">
            <w:pPr>
              <w:spacing w:before="233" w:line="228" w:lineRule="auto"/>
              <w:ind w:left="30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污染因子</w:t>
            </w:r>
          </w:p>
        </w:tc>
        <w:tc>
          <w:tcPr>
            <w:tcW w:w="2135" w:type="dxa"/>
            <w:vAlign w:val="top"/>
          </w:tcPr>
          <w:p w14:paraId="1B773BDF">
            <w:pPr>
              <w:spacing w:before="233" w:line="229" w:lineRule="auto"/>
              <w:ind w:left="65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处</w:t>
            </w:r>
            <w:r>
              <w:rPr>
                <w:rFonts w:ascii="宋体" w:hAnsi="宋体" w:eastAsia="宋体" w:cs="宋体"/>
                <w:spacing w:val="7"/>
                <w:sz w:val="20"/>
                <w:szCs w:val="20"/>
                <w14:textOutline w14:w="3795" w14:cap="sq" w14:cmpd="sng">
                  <w14:solidFill>
                    <w14:srgbClr w14:val="000000"/>
                  </w14:solidFill>
                  <w14:prstDash w14:val="solid"/>
                  <w14:bevel/>
                </w14:textOutline>
              </w:rPr>
              <w:t>理方式</w:t>
            </w:r>
          </w:p>
        </w:tc>
        <w:tc>
          <w:tcPr>
            <w:tcW w:w="1519" w:type="dxa"/>
            <w:tcBorders>
              <w:right w:val="nil"/>
            </w:tcBorders>
            <w:vAlign w:val="top"/>
          </w:tcPr>
          <w:p w14:paraId="15374E28">
            <w:pPr>
              <w:spacing w:before="233" w:line="229" w:lineRule="auto"/>
              <w:ind w:left="34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排</w:t>
            </w:r>
            <w:r>
              <w:rPr>
                <w:rFonts w:ascii="宋体" w:hAnsi="宋体" w:eastAsia="宋体" w:cs="宋体"/>
                <w:spacing w:val="8"/>
                <w:sz w:val="20"/>
                <w:szCs w:val="20"/>
                <w14:textOutline w14:w="3795" w14:cap="sq" w14:cmpd="sng">
                  <w14:solidFill>
                    <w14:srgbClr w14:val="000000"/>
                  </w14:solidFill>
                  <w14:prstDash w14:val="solid"/>
                  <w14:bevel/>
                </w14:textOutline>
              </w:rPr>
              <w:t>放去向</w:t>
            </w:r>
          </w:p>
        </w:tc>
      </w:tr>
      <w:tr w14:paraId="1B0CE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3" w:type="dxa"/>
            <w:vMerge w:val="restart"/>
            <w:tcBorders>
              <w:left w:val="nil"/>
              <w:bottom w:val="nil"/>
            </w:tcBorders>
            <w:vAlign w:val="top"/>
          </w:tcPr>
          <w:p w14:paraId="2E152CAB">
            <w:pPr>
              <w:spacing w:line="257" w:lineRule="auto"/>
              <w:rPr>
                <w:rFonts w:ascii="Arial"/>
                <w:sz w:val="21"/>
              </w:rPr>
            </w:pPr>
          </w:p>
          <w:p w14:paraId="1F7512E6">
            <w:pPr>
              <w:spacing w:line="257" w:lineRule="auto"/>
              <w:rPr>
                <w:rFonts w:ascii="Arial"/>
                <w:sz w:val="21"/>
              </w:rPr>
            </w:pPr>
          </w:p>
          <w:p w14:paraId="53D0A660">
            <w:pPr>
              <w:spacing w:line="258" w:lineRule="auto"/>
              <w:rPr>
                <w:rFonts w:ascii="Arial"/>
                <w:sz w:val="21"/>
              </w:rPr>
            </w:pPr>
          </w:p>
          <w:p w14:paraId="7E219093">
            <w:pPr>
              <w:spacing w:before="65" w:line="228" w:lineRule="auto"/>
              <w:ind w:left="117"/>
              <w:rPr>
                <w:rFonts w:ascii="宋体" w:hAnsi="宋体" w:eastAsia="宋体" w:cs="宋体"/>
                <w:sz w:val="20"/>
                <w:szCs w:val="20"/>
              </w:rPr>
            </w:pPr>
            <w:r>
              <w:rPr>
                <w:rFonts w:ascii="宋体" w:hAnsi="宋体" w:eastAsia="宋体" w:cs="宋体"/>
                <w:spacing w:val="5"/>
                <w:sz w:val="20"/>
                <w:szCs w:val="20"/>
              </w:rPr>
              <w:t>废气</w:t>
            </w:r>
          </w:p>
        </w:tc>
        <w:tc>
          <w:tcPr>
            <w:tcW w:w="938" w:type="dxa"/>
            <w:vAlign w:val="top"/>
          </w:tcPr>
          <w:p w14:paraId="3923B693">
            <w:pPr>
              <w:spacing w:before="8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1</w:t>
            </w:r>
          </w:p>
        </w:tc>
        <w:tc>
          <w:tcPr>
            <w:tcW w:w="1854" w:type="dxa"/>
            <w:vAlign w:val="top"/>
          </w:tcPr>
          <w:p w14:paraId="516549E8">
            <w:pPr>
              <w:spacing w:before="52" w:line="228" w:lineRule="auto"/>
              <w:ind w:left="723"/>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拣</w:t>
            </w:r>
          </w:p>
        </w:tc>
        <w:tc>
          <w:tcPr>
            <w:tcW w:w="1432" w:type="dxa"/>
            <w:vAlign w:val="top"/>
          </w:tcPr>
          <w:p w14:paraId="6551E979">
            <w:pPr>
              <w:spacing w:before="52" w:line="228" w:lineRule="auto"/>
              <w:ind w:left="510"/>
              <w:rPr>
                <w:rFonts w:ascii="宋体" w:hAnsi="宋体" w:eastAsia="宋体" w:cs="宋体"/>
                <w:sz w:val="20"/>
                <w:szCs w:val="20"/>
              </w:rPr>
            </w:pPr>
            <w:r>
              <w:rPr>
                <w:rFonts w:ascii="宋体" w:hAnsi="宋体" w:eastAsia="宋体" w:cs="宋体"/>
                <w:spacing w:val="5"/>
                <w:sz w:val="20"/>
                <w:szCs w:val="20"/>
              </w:rPr>
              <w:t>粉尘</w:t>
            </w:r>
          </w:p>
        </w:tc>
        <w:tc>
          <w:tcPr>
            <w:tcW w:w="2135" w:type="dxa"/>
            <w:vAlign w:val="top"/>
          </w:tcPr>
          <w:p w14:paraId="4D2D3438">
            <w:pPr>
              <w:spacing w:before="53" w:line="228" w:lineRule="auto"/>
              <w:ind w:left="653"/>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7"/>
                <w:sz w:val="20"/>
                <w:szCs w:val="20"/>
              </w:rPr>
              <w:t>强通风</w:t>
            </w:r>
          </w:p>
        </w:tc>
        <w:tc>
          <w:tcPr>
            <w:tcW w:w="1519" w:type="dxa"/>
            <w:tcBorders>
              <w:right w:val="nil"/>
            </w:tcBorders>
            <w:vAlign w:val="top"/>
          </w:tcPr>
          <w:p w14:paraId="5F943867">
            <w:pPr>
              <w:spacing w:before="53" w:line="228" w:lineRule="auto"/>
              <w:ind w:left="241"/>
              <w:rPr>
                <w:rFonts w:ascii="宋体" w:hAnsi="宋体" w:eastAsia="宋体" w:cs="宋体"/>
                <w:sz w:val="20"/>
                <w:szCs w:val="20"/>
              </w:rPr>
            </w:pPr>
            <w:r>
              <w:rPr>
                <w:rFonts w:ascii="宋体" w:hAnsi="宋体" w:eastAsia="宋体" w:cs="宋体"/>
                <w:spacing w:val="8"/>
                <w:sz w:val="20"/>
                <w:szCs w:val="20"/>
              </w:rPr>
              <w:t>无组织排</w:t>
            </w:r>
            <w:r>
              <w:rPr>
                <w:rFonts w:ascii="宋体" w:hAnsi="宋体" w:eastAsia="宋体" w:cs="宋体"/>
                <w:spacing w:val="7"/>
                <w:sz w:val="20"/>
                <w:szCs w:val="20"/>
              </w:rPr>
              <w:t>放</w:t>
            </w:r>
          </w:p>
        </w:tc>
      </w:tr>
      <w:tr w14:paraId="26790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43" w:type="dxa"/>
            <w:vMerge w:val="continue"/>
            <w:tcBorders>
              <w:top w:val="nil"/>
              <w:left w:val="nil"/>
              <w:bottom w:val="nil"/>
            </w:tcBorders>
            <w:vAlign w:val="top"/>
          </w:tcPr>
          <w:p w14:paraId="71524395">
            <w:pPr>
              <w:rPr>
                <w:rFonts w:ascii="Arial"/>
                <w:sz w:val="21"/>
              </w:rPr>
            </w:pPr>
          </w:p>
        </w:tc>
        <w:tc>
          <w:tcPr>
            <w:tcW w:w="938" w:type="dxa"/>
            <w:vAlign w:val="top"/>
          </w:tcPr>
          <w:p w14:paraId="54B9DCA6">
            <w:pPr>
              <w:spacing w:line="340" w:lineRule="auto"/>
              <w:rPr>
                <w:rFonts w:ascii="Arial"/>
                <w:sz w:val="21"/>
              </w:rPr>
            </w:pPr>
          </w:p>
          <w:p w14:paraId="2273074C">
            <w:pPr>
              <w:spacing w:before="5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2</w:t>
            </w:r>
          </w:p>
        </w:tc>
        <w:tc>
          <w:tcPr>
            <w:tcW w:w="1854" w:type="dxa"/>
            <w:vAlign w:val="top"/>
          </w:tcPr>
          <w:p w14:paraId="49AFEC5B">
            <w:pPr>
              <w:spacing w:line="297" w:lineRule="auto"/>
              <w:rPr>
                <w:rFonts w:ascii="Arial"/>
                <w:sz w:val="21"/>
              </w:rPr>
            </w:pPr>
          </w:p>
          <w:p w14:paraId="0C920298">
            <w:pPr>
              <w:spacing w:before="65" w:line="228" w:lineRule="auto"/>
              <w:ind w:left="411"/>
              <w:rPr>
                <w:rFonts w:ascii="宋体" w:hAnsi="宋体" w:eastAsia="宋体" w:cs="宋体"/>
                <w:sz w:val="20"/>
                <w:szCs w:val="20"/>
              </w:rPr>
            </w:pPr>
            <w:r>
              <w:rPr>
                <w:rFonts w:ascii="宋体" w:hAnsi="宋体" w:eastAsia="宋体" w:cs="宋体"/>
                <w:spacing w:val="8"/>
                <w:sz w:val="20"/>
                <w:szCs w:val="20"/>
              </w:rPr>
              <w:t>热</w:t>
            </w:r>
            <w:r>
              <w:rPr>
                <w:rFonts w:ascii="宋体" w:hAnsi="宋体" w:eastAsia="宋体" w:cs="宋体"/>
                <w:spacing w:val="7"/>
                <w:sz w:val="20"/>
                <w:szCs w:val="20"/>
              </w:rPr>
              <w:t>熔、造粒</w:t>
            </w:r>
          </w:p>
        </w:tc>
        <w:tc>
          <w:tcPr>
            <w:tcW w:w="1432" w:type="dxa"/>
            <w:vAlign w:val="top"/>
          </w:tcPr>
          <w:p w14:paraId="6F6FC2AA">
            <w:pPr>
              <w:spacing w:line="297" w:lineRule="auto"/>
              <w:rPr>
                <w:rFonts w:ascii="Arial"/>
                <w:sz w:val="21"/>
              </w:rPr>
            </w:pPr>
          </w:p>
          <w:p w14:paraId="1B4002E2">
            <w:pPr>
              <w:spacing w:before="65" w:line="228" w:lineRule="auto"/>
              <w:ind w:left="200"/>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2135" w:type="dxa"/>
            <w:vAlign w:val="top"/>
          </w:tcPr>
          <w:p w14:paraId="2E9D730A">
            <w:pPr>
              <w:spacing w:before="14" w:line="281" w:lineRule="exact"/>
              <w:ind w:left="101"/>
              <w:rPr>
                <w:rFonts w:ascii="宋体" w:hAnsi="宋体" w:eastAsia="宋体" w:cs="宋体"/>
                <w:sz w:val="20"/>
                <w:szCs w:val="20"/>
              </w:rPr>
            </w:pPr>
            <w:r>
              <w:rPr>
                <w:rFonts w:ascii="宋体" w:hAnsi="宋体" w:eastAsia="宋体" w:cs="宋体"/>
                <w:spacing w:val="9"/>
                <w:position w:val="1"/>
                <w:sz w:val="20"/>
                <w:szCs w:val="20"/>
              </w:rPr>
              <w:t>集气罩</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UV</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光氧催化</w:t>
            </w:r>
          </w:p>
          <w:p w14:paraId="2CA15FF5">
            <w:pPr>
              <w:spacing w:before="30" w:line="282" w:lineRule="exact"/>
              <w:ind w:left="69"/>
              <w:rPr>
                <w:rFonts w:ascii="宋体" w:hAnsi="宋体" w:eastAsia="宋体" w:cs="宋体"/>
                <w:sz w:val="20"/>
                <w:szCs w:val="20"/>
              </w:rPr>
            </w:pPr>
            <w:r>
              <w:rPr>
                <w:rFonts w:ascii="宋体" w:hAnsi="宋体" w:eastAsia="宋体" w:cs="宋体"/>
                <w:spacing w:val="14"/>
                <w:position w:val="1"/>
                <w:sz w:val="20"/>
                <w:szCs w:val="20"/>
              </w:rPr>
              <w:t>废</w:t>
            </w:r>
            <w:r>
              <w:rPr>
                <w:rFonts w:ascii="宋体" w:hAnsi="宋体" w:eastAsia="宋体" w:cs="宋体"/>
                <w:spacing w:val="8"/>
                <w:position w:val="1"/>
                <w:sz w:val="20"/>
                <w:szCs w:val="20"/>
              </w:rPr>
              <w:t>气处理装置</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活性炭</w:t>
            </w:r>
          </w:p>
          <w:p w14:paraId="1ECA6EE9">
            <w:pPr>
              <w:spacing w:before="68" w:line="227" w:lineRule="auto"/>
              <w:ind w:left="661"/>
              <w:rPr>
                <w:rFonts w:ascii="宋体" w:hAnsi="宋体" w:eastAsia="宋体" w:cs="宋体"/>
                <w:sz w:val="20"/>
                <w:szCs w:val="20"/>
              </w:rPr>
            </w:pPr>
            <w:r>
              <w:rPr>
                <w:rFonts w:ascii="宋体" w:hAnsi="宋体" w:eastAsia="宋体" w:cs="宋体"/>
                <w:spacing w:val="6"/>
                <w:sz w:val="20"/>
                <w:szCs w:val="20"/>
              </w:rPr>
              <w:t>吸</w:t>
            </w:r>
            <w:r>
              <w:rPr>
                <w:rFonts w:ascii="宋体" w:hAnsi="宋体" w:eastAsia="宋体" w:cs="宋体"/>
                <w:spacing w:val="5"/>
                <w:sz w:val="20"/>
                <w:szCs w:val="20"/>
              </w:rPr>
              <w:t>附装置</w:t>
            </w:r>
          </w:p>
        </w:tc>
        <w:tc>
          <w:tcPr>
            <w:tcW w:w="1519" w:type="dxa"/>
            <w:tcBorders>
              <w:right w:val="nil"/>
            </w:tcBorders>
            <w:vAlign w:val="top"/>
          </w:tcPr>
          <w:p w14:paraId="01629EB0">
            <w:pPr>
              <w:spacing w:before="207" w:line="301" w:lineRule="auto"/>
              <w:ind w:left="134" w:right="24" w:hanging="103"/>
              <w:rPr>
                <w:rFonts w:ascii="Times New Roman" w:hAnsi="Times New Roman" w:eastAsia="Times New Roman" w:cs="Times New Roman"/>
                <w:sz w:val="20"/>
                <w:szCs w:val="20"/>
              </w:rPr>
            </w:pPr>
            <w:r>
              <w:rPr>
                <w:rFonts w:ascii="宋体" w:hAnsi="宋体" w:eastAsia="宋体" w:cs="宋体"/>
                <w:spacing w:val="11"/>
                <w:sz w:val="20"/>
                <w:szCs w:val="20"/>
              </w:rPr>
              <w:t>有</w:t>
            </w:r>
            <w:r>
              <w:rPr>
                <w:rFonts w:ascii="宋体" w:hAnsi="宋体" w:eastAsia="宋体" w:cs="宋体"/>
                <w:spacing w:val="8"/>
                <w:sz w:val="20"/>
                <w:szCs w:val="20"/>
              </w:rPr>
              <w:t>组织排放，排</w:t>
            </w:r>
            <w:r>
              <w:rPr>
                <w:rFonts w:ascii="宋体" w:hAnsi="宋体" w:eastAsia="宋体" w:cs="宋体"/>
                <w:sz w:val="20"/>
                <w:szCs w:val="20"/>
              </w:rPr>
              <w:t xml:space="preserve"> </w:t>
            </w:r>
            <w:r>
              <w:rPr>
                <w:rFonts w:ascii="宋体" w:hAnsi="宋体" w:eastAsia="宋体" w:cs="宋体"/>
                <w:spacing w:val="-1"/>
                <w:sz w:val="20"/>
                <w:szCs w:val="20"/>
              </w:rPr>
              <w:t>气</w:t>
            </w:r>
            <w:r>
              <w:rPr>
                <w:rFonts w:ascii="宋体" w:hAnsi="宋体" w:eastAsia="宋体" w:cs="宋体"/>
                <w:sz w:val="20"/>
                <w:szCs w:val="20"/>
              </w:rPr>
              <w:t xml:space="preserve">筒高度 </w:t>
            </w:r>
            <w:r>
              <w:rPr>
                <w:rFonts w:ascii="Times New Roman" w:hAnsi="Times New Roman" w:eastAsia="Times New Roman" w:cs="Times New Roman"/>
                <w:sz w:val="20"/>
                <w:szCs w:val="20"/>
              </w:rPr>
              <w:t>15m</w:t>
            </w:r>
          </w:p>
        </w:tc>
      </w:tr>
      <w:tr w14:paraId="5FD17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3" w:type="dxa"/>
            <w:vMerge w:val="continue"/>
            <w:tcBorders>
              <w:top w:val="nil"/>
              <w:left w:val="nil"/>
            </w:tcBorders>
            <w:vAlign w:val="top"/>
          </w:tcPr>
          <w:p w14:paraId="04001651">
            <w:pPr>
              <w:rPr>
                <w:rFonts w:ascii="Arial"/>
                <w:sz w:val="21"/>
              </w:rPr>
            </w:pPr>
          </w:p>
        </w:tc>
        <w:tc>
          <w:tcPr>
            <w:tcW w:w="938" w:type="dxa"/>
            <w:vAlign w:val="top"/>
          </w:tcPr>
          <w:p w14:paraId="777E000D">
            <w:pPr>
              <w:spacing w:before="24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3</w:t>
            </w:r>
          </w:p>
        </w:tc>
        <w:tc>
          <w:tcPr>
            <w:tcW w:w="1854" w:type="dxa"/>
            <w:vAlign w:val="top"/>
          </w:tcPr>
          <w:p w14:paraId="1763C179">
            <w:pPr>
              <w:spacing w:before="209" w:line="228" w:lineRule="auto"/>
              <w:ind w:left="622"/>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1432" w:type="dxa"/>
            <w:vAlign w:val="top"/>
          </w:tcPr>
          <w:p w14:paraId="6A475631">
            <w:pPr>
              <w:spacing w:before="52" w:line="262" w:lineRule="auto"/>
              <w:ind w:left="507" w:right="55" w:hanging="479"/>
              <w:rPr>
                <w:rFonts w:ascii="Times New Roman" w:hAnsi="Times New Roman" w:eastAsia="Times New Roman" w:cs="Times New Roman"/>
                <w:sz w:val="20"/>
                <w:szCs w:val="20"/>
              </w:rPr>
            </w:pPr>
            <w:r>
              <w:rPr>
                <w:rFonts w:ascii="宋体" w:hAnsi="宋体" w:eastAsia="宋体" w:cs="宋体"/>
                <w:spacing w:val="6"/>
                <w:sz w:val="20"/>
                <w:szCs w:val="20"/>
              </w:rPr>
              <w:t>颗</w:t>
            </w:r>
            <w:r>
              <w:rPr>
                <w:rFonts w:ascii="宋体" w:hAnsi="宋体" w:eastAsia="宋体" w:cs="宋体"/>
                <w:spacing w:val="4"/>
                <w:sz w:val="20"/>
                <w:szCs w:val="20"/>
              </w:rPr>
              <w:t>粒</w:t>
            </w:r>
            <w:r>
              <w:rPr>
                <w:rFonts w:ascii="宋体" w:hAnsi="宋体" w:eastAsia="宋体" w:cs="宋体"/>
                <w:spacing w:val="3"/>
                <w:sz w:val="20"/>
                <w:szCs w:val="20"/>
              </w:rPr>
              <w:t>物、</w:t>
            </w: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0"/>
                <w:szCs w:val="20"/>
              </w:rPr>
              <w:t>NO</w:t>
            </w:r>
            <w:r>
              <w:rPr>
                <w:rFonts w:ascii="Times New Roman" w:hAnsi="Times New Roman" w:eastAsia="Times New Roman" w:cs="Times New Roman"/>
                <w:spacing w:val="6"/>
                <w:sz w:val="20"/>
                <w:szCs w:val="20"/>
              </w:rPr>
              <w:t>x</w:t>
            </w:r>
          </w:p>
        </w:tc>
        <w:tc>
          <w:tcPr>
            <w:tcW w:w="2135" w:type="dxa"/>
            <w:vAlign w:val="top"/>
          </w:tcPr>
          <w:p w14:paraId="3A8325DD">
            <w:pPr>
              <w:spacing w:before="208" w:line="227" w:lineRule="auto"/>
              <w:ind w:left="548"/>
              <w:rPr>
                <w:rFonts w:ascii="宋体" w:hAnsi="宋体" w:eastAsia="宋体" w:cs="宋体"/>
                <w:sz w:val="20"/>
                <w:szCs w:val="20"/>
              </w:rPr>
            </w:pPr>
            <w:r>
              <w:rPr>
                <w:rFonts w:ascii="宋体" w:hAnsi="宋体" w:eastAsia="宋体" w:cs="宋体"/>
                <w:spacing w:val="8"/>
                <w:sz w:val="20"/>
                <w:szCs w:val="20"/>
              </w:rPr>
              <w:t>布袋除尘器</w:t>
            </w:r>
          </w:p>
        </w:tc>
        <w:tc>
          <w:tcPr>
            <w:tcW w:w="1519" w:type="dxa"/>
            <w:tcBorders>
              <w:right w:val="nil"/>
            </w:tcBorders>
            <w:vAlign w:val="top"/>
          </w:tcPr>
          <w:p w14:paraId="36E2C847">
            <w:pPr>
              <w:spacing w:before="52" w:line="258" w:lineRule="auto"/>
              <w:ind w:left="134" w:right="24" w:hanging="103"/>
              <w:rPr>
                <w:rFonts w:ascii="Times New Roman" w:hAnsi="Times New Roman" w:eastAsia="Times New Roman" w:cs="Times New Roman"/>
                <w:sz w:val="20"/>
                <w:szCs w:val="20"/>
              </w:rPr>
            </w:pPr>
            <w:r>
              <w:rPr>
                <w:rFonts w:ascii="宋体" w:hAnsi="宋体" w:eastAsia="宋体" w:cs="宋体"/>
                <w:spacing w:val="11"/>
                <w:sz w:val="20"/>
                <w:szCs w:val="20"/>
              </w:rPr>
              <w:t>有</w:t>
            </w:r>
            <w:r>
              <w:rPr>
                <w:rFonts w:ascii="宋体" w:hAnsi="宋体" w:eastAsia="宋体" w:cs="宋体"/>
                <w:spacing w:val="8"/>
                <w:sz w:val="20"/>
                <w:szCs w:val="20"/>
              </w:rPr>
              <w:t>组织排放，排</w:t>
            </w:r>
            <w:r>
              <w:rPr>
                <w:rFonts w:ascii="宋体" w:hAnsi="宋体" w:eastAsia="宋体" w:cs="宋体"/>
                <w:sz w:val="20"/>
                <w:szCs w:val="20"/>
              </w:rPr>
              <w:t xml:space="preserve"> </w:t>
            </w:r>
            <w:r>
              <w:rPr>
                <w:rFonts w:ascii="宋体" w:hAnsi="宋体" w:eastAsia="宋体" w:cs="宋体"/>
                <w:spacing w:val="-1"/>
                <w:sz w:val="20"/>
                <w:szCs w:val="20"/>
              </w:rPr>
              <w:t>气</w:t>
            </w:r>
            <w:r>
              <w:rPr>
                <w:rFonts w:ascii="宋体" w:hAnsi="宋体" w:eastAsia="宋体" w:cs="宋体"/>
                <w:sz w:val="20"/>
                <w:szCs w:val="20"/>
              </w:rPr>
              <w:t xml:space="preserve">筒高度 </w:t>
            </w:r>
            <w:r>
              <w:rPr>
                <w:rFonts w:ascii="Times New Roman" w:hAnsi="Times New Roman" w:eastAsia="Times New Roman" w:cs="Times New Roman"/>
                <w:sz w:val="20"/>
                <w:szCs w:val="20"/>
              </w:rPr>
              <w:t>30m</w:t>
            </w:r>
          </w:p>
        </w:tc>
      </w:tr>
      <w:tr w14:paraId="6B653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43" w:type="dxa"/>
            <w:vMerge w:val="restart"/>
            <w:tcBorders>
              <w:left w:val="nil"/>
              <w:bottom w:val="nil"/>
            </w:tcBorders>
            <w:vAlign w:val="top"/>
          </w:tcPr>
          <w:p w14:paraId="4E24CE88">
            <w:pPr>
              <w:spacing w:line="256" w:lineRule="auto"/>
              <w:rPr>
                <w:rFonts w:ascii="Arial"/>
                <w:sz w:val="21"/>
              </w:rPr>
            </w:pPr>
          </w:p>
          <w:p w14:paraId="60DBD7F1">
            <w:pPr>
              <w:spacing w:line="256" w:lineRule="auto"/>
              <w:rPr>
                <w:rFonts w:ascii="Arial"/>
                <w:sz w:val="21"/>
              </w:rPr>
            </w:pPr>
          </w:p>
          <w:p w14:paraId="25A619D3">
            <w:pPr>
              <w:spacing w:line="256" w:lineRule="auto"/>
              <w:rPr>
                <w:rFonts w:ascii="Arial"/>
                <w:sz w:val="21"/>
              </w:rPr>
            </w:pPr>
          </w:p>
          <w:p w14:paraId="338739F7">
            <w:pPr>
              <w:spacing w:before="65" w:line="228" w:lineRule="auto"/>
              <w:ind w:left="117"/>
              <w:rPr>
                <w:rFonts w:ascii="宋体" w:hAnsi="宋体" w:eastAsia="宋体" w:cs="宋体"/>
                <w:sz w:val="20"/>
                <w:szCs w:val="20"/>
              </w:rPr>
            </w:pPr>
            <w:r>
              <w:rPr>
                <w:rFonts w:ascii="宋体" w:hAnsi="宋体" w:eastAsia="宋体" w:cs="宋体"/>
                <w:spacing w:val="5"/>
                <w:sz w:val="20"/>
                <w:szCs w:val="20"/>
              </w:rPr>
              <w:t>废水</w:t>
            </w:r>
          </w:p>
        </w:tc>
        <w:tc>
          <w:tcPr>
            <w:tcW w:w="938" w:type="dxa"/>
            <w:vAlign w:val="top"/>
          </w:tcPr>
          <w:p w14:paraId="59E2DEDC">
            <w:pPr>
              <w:spacing w:before="245" w:line="193" w:lineRule="auto"/>
              <w:ind w:left="22"/>
              <w:rPr>
                <w:rFonts w:ascii="宋体" w:hAnsi="宋体" w:eastAsia="宋体" w:cs="宋体"/>
                <w:sz w:val="19"/>
                <w:szCs w:val="19"/>
              </w:rPr>
            </w:pPr>
            <w:r>
              <w:rPr>
                <w:rFonts w:ascii="Times New Roman" w:hAnsi="Times New Roman" w:eastAsia="Times New Roman" w:cs="Times New Roman"/>
                <w:spacing w:val="-3"/>
                <w:sz w:val="19"/>
                <w:szCs w:val="19"/>
              </w:rPr>
              <w:t>W1</w:t>
            </w:r>
            <w:r>
              <w:rPr>
                <w:rFonts w:ascii="宋体" w:hAnsi="宋体" w:eastAsia="宋体" w:cs="宋体"/>
                <w:spacing w:val="-3"/>
                <w:sz w:val="19"/>
                <w:szCs w:val="19"/>
              </w:rPr>
              <w:t>、</w:t>
            </w:r>
            <w:r>
              <w:rPr>
                <w:rFonts w:ascii="Times New Roman" w:hAnsi="Times New Roman" w:eastAsia="Times New Roman" w:cs="Times New Roman"/>
                <w:spacing w:val="-3"/>
                <w:sz w:val="19"/>
                <w:szCs w:val="19"/>
              </w:rPr>
              <w:t>W2</w:t>
            </w:r>
            <w:r>
              <w:rPr>
                <w:rFonts w:ascii="宋体" w:hAnsi="宋体" w:eastAsia="宋体" w:cs="宋体"/>
                <w:spacing w:val="-3"/>
                <w:sz w:val="19"/>
                <w:szCs w:val="19"/>
              </w:rPr>
              <w:t>、</w:t>
            </w:r>
          </w:p>
          <w:p w14:paraId="44A39BA0">
            <w:pPr>
              <w:spacing w:before="113" w:line="193" w:lineRule="auto"/>
              <w:ind w:left="22"/>
              <w:rPr>
                <w:rFonts w:ascii="宋体" w:hAnsi="宋体" w:eastAsia="宋体" w:cs="宋体"/>
                <w:sz w:val="19"/>
                <w:szCs w:val="19"/>
              </w:rPr>
            </w:pPr>
            <w:r>
              <w:rPr>
                <w:rFonts w:ascii="Times New Roman" w:hAnsi="Times New Roman" w:eastAsia="Times New Roman" w:cs="Times New Roman"/>
                <w:spacing w:val="-3"/>
                <w:sz w:val="19"/>
                <w:szCs w:val="19"/>
              </w:rPr>
              <w:t>W3</w:t>
            </w:r>
            <w:r>
              <w:rPr>
                <w:rFonts w:ascii="宋体" w:hAnsi="宋体" w:eastAsia="宋体" w:cs="宋体"/>
                <w:spacing w:val="-3"/>
                <w:sz w:val="19"/>
                <w:szCs w:val="19"/>
              </w:rPr>
              <w:t>、</w:t>
            </w:r>
            <w:r>
              <w:rPr>
                <w:rFonts w:ascii="Times New Roman" w:hAnsi="Times New Roman" w:eastAsia="Times New Roman" w:cs="Times New Roman"/>
                <w:spacing w:val="-3"/>
                <w:sz w:val="19"/>
                <w:szCs w:val="19"/>
              </w:rPr>
              <w:t>W4</w:t>
            </w:r>
            <w:r>
              <w:rPr>
                <w:rFonts w:ascii="宋体" w:hAnsi="宋体" w:eastAsia="宋体" w:cs="宋体"/>
                <w:spacing w:val="-3"/>
                <w:sz w:val="19"/>
                <w:szCs w:val="19"/>
              </w:rPr>
              <w:t>、</w:t>
            </w:r>
          </w:p>
          <w:p w14:paraId="0F4DD7D3">
            <w:pPr>
              <w:spacing w:before="115" w:line="192"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9"/>
                <w:sz w:val="20"/>
                <w:szCs w:val="20"/>
              </w:rPr>
              <w:t>5</w:t>
            </w:r>
          </w:p>
        </w:tc>
        <w:tc>
          <w:tcPr>
            <w:tcW w:w="1854" w:type="dxa"/>
            <w:vAlign w:val="top"/>
          </w:tcPr>
          <w:p w14:paraId="064575A0">
            <w:pPr>
              <w:spacing w:before="53" w:line="288" w:lineRule="auto"/>
              <w:ind w:left="90" w:right="21" w:hanging="64"/>
              <w:rPr>
                <w:rFonts w:ascii="宋体" w:hAnsi="宋体" w:eastAsia="宋体" w:cs="宋体"/>
                <w:sz w:val="20"/>
                <w:szCs w:val="20"/>
              </w:rPr>
            </w:pPr>
            <w:r>
              <w:rPr>
                <w:rFonts w:ascii="宋体" w:hAnsi="宋体" w:eastAsia="宋体" w:cs="宋体"/>
                <w:sz w:val="20"/>
                <w:szCs w:val="20"/>
              </w:rPr>
              <w:t xml:space="preserve">破碎废水、初洗清洗 </w:t>
            </w:r>
            <w:r>
              <w:rPr>
                <w:rFonts w:ascii="宋体" w:hAnsi="宋体" w:eastAsia="宋体" w:cs="宋体"/>
                <w:spacing w:val="9"/>
                <w:sz w:val="20"/>
                <w:szCs w:val="20"/>
              </w:rPr>
              <w:t>废水、洗字清洗</w:t>
            </w:r>
            <w:r>
              <w:rPr>
                <w:rFonts w:ascii="宋体" w:hAnsi="宋体" w:eastAsia="宋体" w:cs="宋体"/>
                <w:spacing w:val="7"/>
                <w:sz w:val="20"/>
                <w:szCs w:val="20"/>
              </w:rPr>
              <w:t>废</w:t>
            </w:r>
          </w:p>
          <w:p w14:paraId="43B9813E">
            <w:pPr>
              <w:spacing w:before="1" w:line="257" w:lineRule="auto"/>
              <w:ind w:left="297" w:hanging="267"/>
              <w:rPr>
                <w:rFonts w:ascii="宋体" w:hAnsi="宋体" w:eastAsia="宋体" w:cs="宋体"/>
                <w:sz w:val="20"/>
                <w:szCs w:val="20"/>
              </w:rPr>
            </w:pPr>
            <w:r>
              <w:rPr>
                <w:rFonts w:ascii="宋体" w:hAnsi="宋体" w:eastAsia="宋体" w:cs="宋体"/>
                <w:spacing w:val="2"/>
                <w:sz w:val="20"/>
                <w:szCs w:val="20"/>
              </w:rPr>
              <w:t>水、二级清洗废水、</w:t>
            </w:r>
            <w:r>
              <w:rPr>
                <w:rFonts w:ascii="宋体" w:hAnsi="宋体" w:eastAsia="宋体" w:cs="宋体"/>
                <w:sz w:val="20"/>
                <w:szCs w:val="20"/>
              </w:rPr>
              <w:t xml:space="preserve"> </w:t>
            </w:r>
            <w:r>
              <w:rPr>
                <w:rFonts w:ascii="宋体" w:hAnsi="宋体" w:eastAsia="宋体" w:cs="宋体"/>
                <w:spacing w:val="7"/>
                <w:sz w:val="20"/>
                <w:szCs w:val="20"/>
              </w:rPr>
              <w:t>循</w:t>
            </w:r>
            <w:r>
              <w:rPr>
                <w:rFonts w:ascii="宋体" w:hAnsi="宋体" w:eastAsia="宋体" w:cs="宋体"/>
                <w:spacing w:val="5"/>
                <w:sz w:val="20"/>
                <w:szCs w:val="20"/>
              </w:rPr>
              <w:t>环冷却废水</w:t>
            </w:r>
          </w:p>
        </w:tc>
        <w:tc>
          <w:tcPr>
            <w:tcW w:w="1432" w:type="dxa"/>
            <w:vAlign w:val="top"/>
          </w:tcPr>
          <w:p w14:paraId="4B25B3D7">
            <w:pPr>
              <w:spacing w:line="297" w:lineRule="auto"/>
              <w:rPr>
                <w:rFonts w:ascii="Arial"/>
                <w:sz w:val="21"/>
              </w:rPr>
            </w:pPr>
          </w:p>
          <w:p w14:paraId="400B164D">
            <w:pPr>
              <w:spacing w:before="65" w:line="309" w:lineRule="auto"/>
              <w:ind w:left="189" w:right="106" w:hanging="111"/>
              <w:rPr>
                <w:rFonts w:ascii="宋体" w:hAnsi="宋体" w:eastAsia="宋体" w:cs="宋体"/>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、氨氮、</w:t>
            </w:r>
            <w:r>
              <w:rPr>
                <w:rFonts w:ascii="宋体" w:hAnsi="宋体" w:eastAsia="宋体" w:cs="宋体"/>
                <w:sz w:val="20"/>
                <w:szCs w:val="20"/>
              </w:rPr>
              <w:t xml:space="preserve"> </w:t>
            </w:r>
            <w:r>
              <w:rPr>
                <w:rFonts w:ascii="Times New Roman" w:hAnsi="Times New Roman" w:eastAsia="Times New Roman" w:cs="Times New Roman"/>
                <w:spacing w:val="-2"/>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2"/>
                <w:sz w:val="20"/>
                <w:szCs w:val="20"/>
              </w:rPr>
              <w:t>、石油类</w:t>
            </w:r>
          </w:p>
        </w:tc>
        <w:tc>
          <w:tcPr>
            <w:tcW w:w="2135" w:type="dxa"/>
            <w:vAlign w:val="top"/>
          </w:tcPr>
          <w:p w14:paraId="79F651D6">
            <w:pPr>
              <w:spacing w:line="299" w:lineRule="auto"/>
              <w:rPr>
                <w:rFonts w:ascii="Arial"/>
                <w:sz w:val="21"/>
              </w:rPr>
            </w:pPr>
          </w:p>
          <w:p w14:paraId="56CB5BF4">
            <w:pPr>
              <w:spacing w:before="65" w:line="301" w:lineRule="auto"/>
              <w:ind w:left="341" w:right="120" w:hanging="210"/>
              <w:rPr>
                <w:rFonts w:ascii="宋体" w:hAnsi="宋体" w:eastAsia="宋体" w:cs="宋体"/>
                <w:sz w:val="20"/>
                <w:szCs w:val="20"/>
              </w:rPr>
            </w:pPr>
            <w:r>
              <w:rPr>
                <w:rFonts w:ascii="宋体" w:hAnsi="宋体" w:eastAsia="宋体" w:cs="宋体"/>
                <w:spacing w:val="13"/>
                <w:sz w:val="20"/>
                <w:szCs w:val="20"/>
              </w:rPr>
              <w:t>一</w:t>
            </w:r>
            <w:r>
              <w:rPr>
                <w:rFonts w:ascii="宋体" w:hAnsi="宋体" w:eastAsia="宋体" w:cs="宋体"/>
                <w:spacing w:val="8"/>
                <w:sz w:val="20"/>
                <w:szCs w:val="20"/>
              </w:rPr>
              <w:t>体化污水预处理设</w:t>
            </w:r>
            <w:r>
              <w:rPr>
                <w:rFonts w:ascii="宋体" w:hAnsi="宋体" w:eastAsia="宋体" w:cs="宋体"/>
                <w:sz w:val="20"/>
                <w:szCs w:val="20"/>
              </w:rPr>
              <w:t xml:space="preserve"> </w:t>
            </w:r>
            <w:r>
              <w:rPr>
                <w:rFonts w:ascii="宋体" w:hAnsi="宋体" w:eastAsia="宋体" w:cs="宋体"/>
                <w:spacing w:val="10"/>
                <w:sz w:val="20"/>
                <w:szCs w:val="20"/>
              </w:rPr>
              <w:t>备</w:t>
            </w:r>
            <w:r>
              <w:rPr>
                <w:rFonts w:ascii="宋体" w:hAnsi="宋体" w:eastAsia="宋体" w:cs="宋体"/>
                <w:spacing w:val="8"/>
                <w:sz w:val="20"/>
                <w:szCs w:val="20"/>
              </w:rPr>
              <w:t>、三级沉淀池</w:t>
            </w:r>
          </w:p>
        </w:tc>
        <w:tc>
          <w:tcPr>
            <w:tcW w:w="1519" w:type="dxa"/>
            <w:tcBorders>
              <w:right w:val="nil"/>
            </w:tcBorders>
            <w:vAlign w:val="top"/>
          </w:tcPr>
          <w:p w14:paraId="43EC71D9">
            <w:pPr>
              <w:spacing w:line="298" w:lineRule="auto"/>
              <w:rPr>
                <w:rFonts w:ascii="Arial"/>
                <w:sz w:val="21"/>
              </w:rPr>
            </w:pPr>
          </w:p>
          <w:p w14:paraId="23A2BB59">
            <w:pPr>
              <w:spacing w:before="65" w:line="301" w:lineRule="auto"/>
              <w:ind w:left="349" w:right="270" w:hanging="110"/>
              <w:rPr>
                <w:rFonts w:ascii="宋体" w:hAnsi="宋体" w:eastAsia="宋体" w:cs="宋体"/>
                <w:sz w:val="20"/>
                <w:szCs w:val="20"/>
              </w:rPr>
            </w:pPr>
            <w:r>
              <w:rPr>
                <w:rFonts w:ascii="宋体" w:hAnsi="宋体" w:eastAsia="宋体" w:cs="宋体"/>
                <w:spacing w:val="2"/>
                <w:sz w:val="20"/>
                <w:szCs w:val="20"/>
              </w:rPr>
              <w:t>循</w:t>
            </w:r>
            <w:r>
              <w:rPr>
                <w:rFonts w:ascii="宋体" w:hAnsi="宋体" w:eastAsia="宋体" w:cs="宋体"/>
                <w:spacing w:val="1"/>
                <w:sz w:val="20"/>
                <w:szCs w:val="20"/>
              </w:rPr>
              <w:t>环使用、</w:t>
            </w:r>
            <w:r>
              <w:rPr>
                <w:rFonts w:ascii="宋体" w:hAnsi="宋体" w:eastAsia="宋体" w:cs="宋体"/>
                <w:sz w:val="20"/>
                <w:szCs w:val="20"/>
              </w:rPr>
              <w:t xml:space="preserve"> </w:t>
            </w:r>
            <w:r>
              <w:rPr>
                <w:rFonts w:ascii="宋体" w:hAnsi="宋体" w:eastAsia="宋体" w:cs="宋体"/>
                <w:spacing w:val="6"/>
                <w:sz w:val="20"/>
                <w:szCs w:val="20"/>
              </w:rPr>
              <w:t>定期更换</w:t>
            </w:r>
          </w:p>
        </w:tc>
      </w:tr>
      <w:tr w14:paraId="727C2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3" w:type="dxa"/>
            <w:vMerge w:val="continue"/>
            <w:tcBorders>
              <w:top w:val="nil"/>
              <w:left w:val="nil"/>
            </w:tcBorders>
            <w:vAlign w:val="top"/>
          </w:tcPr>
          <w:p w14:paraId="320F0716">
            <w:pPr>
              <w:rPr>
                <w:rFonts w:ascii="Arial"/>
                <w:sz w:val="21"/>
              </w:rPr>
            </w:pPr>
          </w:p>
        </w:tc>
        <w:tc>
          <w:tcPr>
            <w:tcW w:w="938" w:type="dxa"/>
            <w:vAlign w:val="top"/>
          </w:tcPr>
          <w:p w14:paraId="498093B6">
            <w:pPr>
              <w:spacing w:before="248"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9"/>
                <w:sz w:val="20"/>
                <w:szCs w:val="20"/>
              </w:rPr>
              <w:t>6</w:t>
            </w:r>
          </w:p>
        </w:tc>
        <w:tc>
          <w:tcPr>
            <w:tcW w:w="1854" w:type="dxa"/>
            <w:vAlign w:val="top"/>
          </w:tcPr>
          <w:p w14:paraId="223E05D9">
            <w:pPr>
              <w:spacing w:before="212" w:line="228" w:lineRule="auto"/>
              <w:ind w:left="514"/>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p>
        </w:tc>
        <w:tc>
          <w:tcPr>
            <w:tcW w:w="1432" w:type="dxa"/>
            <w:vAlign w:val="top"/>
          </w:tcPr>
          <w:p w14:paraId="630FE09D">
            <w:pPr>
              <w:spacing w:before="56" w:line="264" w:lineRule="auto"/>
              <w:ind w:left="83" w:right="71" w:hanging="5"/>
              <w:rPr>
                <w:rFonts w:ascii="宋体" w:hAnsi="宋体" w:eastAsia="宋体" w:cs="宋体"/>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、氨氮</w:t>
            </w:r>
            <w:r>
              <w:rPr>
                <w:rFonts w:ascii="宋体" w:hAnsi="宋体" w:eastAsia="宋体" w:cs="宋体"/>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宋体" w:hAnsi="宋体" w:eastAsia="宋体" w:cs="宋体"/>
                <w:sz w:val="20"/>
                <w:szCs w:val="20"/>
              </w:rPr>
              <w:t>动植物油</w:t>
            </w:r>
          </w:p>
        </w:tc>
        <w:tc>
          <w:tcPr>
            <w:tcW w:w="2135" w:type="dxa"/>
            <w:vAlign w:val="top"/>
          </w:tcPr>
          <w:p w14:paraId="04AC2FD9">
            <w:pPr>
              <w:spacing w:before="212" w:line="229" w:lineRule="auto"/>
              <w:ind w:left="865"/>
              <w:rPr>
                <w:rFonts w:ascii="宋体" w:hAnsi="宋体" w:eastAsia="宋体" w:cs="宋体"/>
                <w:sz w:val="20"/>
                <w:szCs w:val="20"/>
              </w:rPr>
            </w:pPr>
            <w:r>
              <w:rPr>
                <w:rFonts w:ascii="宋体" w:hAnsi="宋体" w:eastAsia="宋体" w:cs="宋体"/>
                <w:spacing w:val="4"/>
                <w:sz w:val="20"/>
                <w:szCs w:val="20"/>
              </w:rPr>
              <w:t>旱</w:t>
            </w:r>
            <w:r>
              <w:rPr>
                <w:rFonts w:ascii="宋体" w:hAnsi="宋体" w:eastAsia="宋体" w:cs="宋体"/>
                <w:spacing w:val="3"/>
                <w:sz w:val="20"/>
                <w:szCs w:val="20"/>
              </w:rPr>
              <w:t>厕</w:t>
            </w:r>
          </w:p>
        </w:tc>
        <w:tc>
          <w:tcPr>
            <w:tcW w:w="1519" w:type="dxa"/>
            <w:tcBorders>
              <w:right w:val="nil"/>
            </w:tcBorders>
            <w:vAlign w:val="top"/>
          </w:tcPr>
          <w:p w14:paraId="1B75966F">
            <w:pPr>
              <w:spacing w:before="212" w:line="228" w:lineRule="auto"/>
              <w:ind w:left="454"/>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3F213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3" w:type="dxa"/>
            <w:vMerge w:val="restart"/>
            <w:tcBorders>
              <w:left w:val="nil"/>
              <w:bottom w:val="nil"/>
            </w:tcBorders>
            <w:vAlign w:val="top"/>
          </w:tcPr>
          <w:p w14:paraId="25C4C392">
            <w:pPr>
              <w:spacing w:line="312" w:lineRule="auto"/>
              <w:rPr>
                <w:rFonts w:ascii="Arial"/>
                <w:sz w:val="21"/>
              </w:rPr>
            </w:pPr>
          </w:p>
          <w:p w14:paraId="1C45FDC0">
            <w:pPr>
              <w:spacing w:line="312" w:lineRule="auto"/>
              <w:rPr>
                <w:rFonts w:ascii="Arial"/>
                <w:sz w:val="21"/>
              </w:rPr>
            </w:pPr>
          </w:p>
          <w:p w14:paraId="678E4A18">
            <w:pPr>
              <w:spacing w:line="312" w:lineRule="auto"/>
              <w:rPr>
                <w:rFonts w:ascii="Arial"/>
                <w:sz w:val="21"/>
              </w:rPr>
            </w:pPr>
          </w:p>
          <w:p w14:paraId="4E96D458">
            <w:pPr>
              <w:spacing w:before="65" w:line="228" w:lineRule="auto"/>
              <w:ind w:left="136"/>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tc>
        <w:tc>
          <w:tcPr>
            <w:tcW w:w="938" w:type="dxa"/>
            <w:vAlign w:val="top"/>
          </w:tcPr>
          <w:p w14:paraId="6BF478A6">
            <w:pPr>
              <w:spacing w:before="24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1</w:t>
            </w:r>
          </w:p>
        </w:tc>
        <w:tc>
          <w:tcPr>
            <w:tcW w:w="1854" w:type="dxa"/>
            <w:vAlign w:val="top"/>
          </w:tcPr>
          <w:p w14:paraId="532A5020">
            <w:pPr>
              <w:spacing w:before="211" w:line="228" w:lineRule="auto"/>
              <w:ind w:left="723"/>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拣</w:t>
            </w:r>
          </w:p>
        </w:tc>
        <w:tc>
          <w:tcPr>
            <w:tcW w:w="1432" w:type="dxa"/>
            <w:vAlign w:val="top"/>
          </w:tcPr>
          <w:p w14:paraId="4A949C15">
            <w:pPr>
              <w:spacing w:before="211" w:line="228" w:lineRule="auto"/>
              <w:ind w:left="513"/>
              <w:rPr>
                <w:rFonts w:ascii="宋体" w:hAnsi="宋体" w:eastAsia="宋体" w:cs="宋体"/>
                <w:sz w:val="20"/>
                <w:szCs w:val="20"/>
              </w:rPr>
            </w:pPr>
            <w:r>
              <w:rPr>
                <w:rFonts w:ascii="宋体" w:hAnsi="宋体" w:eastAsia="宋体" w:cs="宋体"/>
                <w:spacing w:val="4"/>
                <w:sz w:val="20"/>
                <w:szCs w:val="20"/>
              </w:rPr>
              <w:t>杂</w:t>
            </w:r>
            <w:r>
              <w:rPr>
                <w:rFonts w:ascii="宋体" w:hAnsi="宋体" w:eastAsia="宋体" w:cs="宋体"/>
                <w:spacing w:val="3"/>
                <w:sz w:val="20"/>
                <w:szCs w:val="20"/>
              </w:rPr>
              <w:t>质</w:t>
            </w:r>
          </w:p>
        </w:tc>
        <w:tc>
          <w:tcPr>
            <w:tcW w:w="2135" w:type="dxa"/>
            <w:vAlign w:val="top"/>
          </w:tcPr>
          <w:p w14:paraId="313C1F42">
            <w:pPr>
              <w:spacing w:before="55" w:line="259" w:lineRule="auto"/>
              <w:ind w:left="558" w:right="120" w:hanging="432"/>
              <w:rPr>
                <w:rFonts w:ascii="宋体" w:hAnsi="宋体" w:eastAsia="宋体" w:cs="宋体"/>
                <w:sz w:val="20"/>
                <w:szCs w:val="20"/>
              </w:rPr>
            </w:pPr>
            <w:r>
              <w:rPr>
                <w:rFonts w:ascii="宋体" w:hAnsi="宋体" w:eastAsia="宋体" w:cs="宋体"/>
                <w:spacing w:val="10"/>
                <w:sz w:val="20"/>
                <w:szCs w:val="20"/>
              </w:rPr>
              <w:t>送</w:t>
            </w:r>
            <w:r>
              <w:rPr>
                <w:rFonts w:ascii="宋体" w:hAnsi="宋体" w:eastAsia="宋体" w:cs="宋体"/>
                <w:spacing w:val="9"/>
                <w:sz w:val="20"/>
                <w:szCs w:val="20"/>
              </w:rPr>
              <w:t>至环卫部门指定地</w:t>
            </w:r>
            <w:r>
              <w:rPr>
                <w:rFonts w:ascii="宋体" w:hAnsi="宋体" w:eastAsia="宋体" w:cs="宋体"/>
                <w:sz w:val="20"/>
                <w:szCs w:val="20"/>
              </w:rPr>
              <w:t xml:space="preserve"> </w:t>
            </w:r>
            <w:r>
              <w:rPr>
                <w:rFonts w:ascii="宋体" w:hAnsi="宋体" w:eastAsia="宋体" w:cs="宋体"/>
                <w:spacing w:val="6"/>
                <w:sz w:val="20"/>
                <w:szCs w:val="20"/>
              </w:rPr>
              <w:t>点统一处理</w:t>
            </w:r>
          </w:p>
        </w:tc>
        <w:tc>
          <w:tcPr>
            <w:tcW w:w="1519" w:type="dxa"/>
            <w:tcBorders>
              <w:right w:val="nil"/>
            </w:tcBorders>
            <w:vAlign w:val="top"/>
          </w:tcPr>
          <w:p w14:paraId="306AA955">
            <w:pPr>
              <w:spacing w:before="212" w:line="228" w:lineRule="auto"/>
              <w:ind w:left="454"/>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1B12C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3" w:type="dxa"/>
            <w:vMerge w:val="continue"/>
            <w:tcBorders>
              <w:top w:val="nil"/>
              <w:left w:val="nil"/>
              <w:bottom w:val="nil"/>
            </w:tcBorders>
            <w:vAlign w:val="top"/>
          </w:tcPr>
          <w:p w14:paraId="0DDA08FC">
            <w:pPr>
              <w:rPr>
                <w:rFonts w:ascii="Arial"/>
                <w:sz w:val="21"/>
              </w:rPr>
            </w:pPr>
          </w:p>
        </w:tc>
        <w:tc>
          <w:tcPr>
            <w:tcW w:w="938" w:type="dxa"/>
            <w:vAlign w:val="top"/>
          </w:tcPr>
          <w:p w14:paraId="7259C765">
            <w:pPr>
              <w:spacing w:before="24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2</w:t>
            </w:r>
          </w:p>
        </w:tc>
        <w:tc>
          <w:tcPr>
            <w:tcW w:w="1854" w:type="dxa"/>
            <w:vAlign w:val="top"/>
          </w:tcPr>
          <w:p w14:paraId="5C138CCB">
            <w:pPr>
              <w:spacing w:before="213" w:line="228" w:lineRule="auto"/>
              <w:ind w:left="618"/>
              <w:rPr>
                <w:rFonts w:ascii="宋体" w:hAnsi="宋体" w:eastAsia="宋体" w:cs="宋体"/>
                <w:sz w:val="20"/>
                <w:szCs w:val="20"/>
              </w:rPr>
            </w:pPr>
            <w:r>
              <w:rPr>
                <w:rFonts w:ascii="宋体" w:hAnsi="宋体" w:eastAsia="宋体" w:cs="宋体"/>
                <w:spacing w:val="7"/>
                <w:sz w:val="20"/>
                <w:szCs w:val="20"/>
              </w:rPr>
              <w:t>沉淀</w:t>
            </w:r>
            <w:r>
              <w:rPr>
                <w:rFonts w:ascii="宋体" w:hAnsi="宋体" w:eastAsia="宋体" w:cs="宋体"/>
                <w:spacing w:val="6"/>
                <w:sz w:val="20"/>
                <w:szCs w:val="20"/>
              </w:rPr>
              <w:t>池</w:t>
            </w:r>
          </w:p>
        </w:tc>
        <w:tc>
          <w:tcPr>
            <w:tcW w:w="1432" w:type="dxa"/>
            <w:vAlign w:val="top"/>
          </w:tcPr>
          <w:p w14:paraId="587FDD57">
            <w:pPr>
              <w:spacing w:before="212" w:line="230" w:lineRule="auto"/>
              <w:ind w:left="513"/>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2135" w:type="dxa"/>
            <w:vAlign w:val="top"/>
          </w:tcPr>
          <w:p w14:paraId="57AAD41B">
            <w:pPr>
              <w:spacing w:before="55" w:line="259" w:lineRule="auto"/>
              <w:ind w:left="558" w:right="120" w:hanging="432"/>
              <w:rPr>
                <w:rFonts w:ascii="宋体" w:hAnsi="宋体" w:eastAsia="宋体" w:cs="宋体"/>
                <w:sz w:val="20"/>
                <w:szCs w:val="20"/>
              </w:rPr>
            </w:pPr>
            <w:r>
              <w:rPr>
                <w:rFonts w:ascii="宋体" w:hAnsi="宋体" w:eastAsia="宋体" w:cs="宋体"/>
                <w:spacing w:val="10"/>
                <w:sz w:val="20"/>
                <w:szCs w:val="20"/>
              </w:rPr>
              <w:t>送</w:t>
            </w:r>
            <w:r>
              <w:rPr>
                <w:rFonts w:ascii="宋体" w:hAnsi="宋体" w:eastAsia="宋体" w:cs="宋体"/>
                <w:spacing w:val="9"/>
                <w:sz w:val="20"/>
                <w:szCs w:val="20"/>
              </w:rPr>
              <w:t>至环卫部门指定地</w:t>
            </w:r>
            <w:r>
              <w:rPr>
                <w:rFonts w:ascii="宋体" w:hAnsi="宋体" w:eastAsia="宋体" w:cs="宋体"/>
                <w:sz w:val="20"/>
                <w:szCs w:val="20"/>
              </w:rPr>
              <w:t xml:space="preserve"> </w:t>
            </w:r>
            <w:r>
              <w:rPr>
                <w:rFonts w:ascii="宋体" w:hAnsi="宋体" w:eastAsia="宋体" w:cs="宋体"/>
                <w:spacing w:val="6"/>
                <w:sz w:val="20"/>
                <w:szCs w:val="20"/>
              </w:rPr>
              <w:t>点统一处理</w:t>
            </w:r>
          </w:p>
        </w:tc>
        <w:tc>
          <w:tcPr>
            <w:tcW w:w="1519" w:type="dxa"/>
            <w:tcBorders>
              <w:right w:val="nil"/>
            </w:tcBorders>
            <w:vAlign w:val="top"/>
          </w:tcPr>
          <w:p w14:paraId="115B82E4">
            <w:pPr>
              <w:spacing w:before="213" w:line="228" w:lineRule="auto"/>
              <w:ind w:left="454"/>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4146E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3" w:type="dxa"/>
            <w:vMerge w:val="continue"/>
            <w:tcBorders>
              <w:top w:val="nil"/>
              <w:left w:val="nil"/>
              <w:bottom w:val="nil"/>
            </w:tcBorders>
            <w:vAlign w:val="top"/>
          </w:tcPr>
          <w:p w14:paraId="7C3A1421">
            <w:pPr>
              <w:rPr>
                <w:rFonts w:ascii="Arial"/>
                <w:sz w:val="21"/>
              </w:rPr>
            </w:pPr>
          </w:p>
        </w:tc>
        <w:tc>
          <w:tcPr>
            <w:tcW w:w="938" w:type="dxa"/>
            <w:vAlign w:val="top"/>
          </w:tcPr>
          <w:p w14:paraId="3DB14861">
            <w:pPr>
              <w:spacing w:before="9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3</w:t>
            </w:r>
          </w:p>
        </w:tc>
        <w:tc>
          <w:tcPr>
            <w:tcW w:w="1854" w:type="dxa"/>
            <w:vAlign w:val="top"/>
          </w:tcPr>
          <w:p w14:paraId="616A0547">
            <w:pPr>
              <w:spacing w:before="56" w:line="229" w:lineRule="auto"/>
              <w:ind w:left="723"/>
              <w:rPr>
                <w:rFonts w:ascii="宋体" w:hAnsi="宋体" w:eastAsia="宋体" w:cs="宋体"/>
                <w:sz w:val="20"/>
                <w:szCs w:val="20"/>
              </w:rPr>
            </w:pPr>
            <w:r>
              <w:rPr>
                <w:rFonts w:ascii="宋体" w:hAnsi="宋体" w:eastAsia="宋体" w:cs="宋体"/>
                <w:spacing w:val="4"/>
                <w:sz w:val="20"/>
                <w:szCs w:val="20"/>
              </w:rPr>
              <w:t>拉</w:t>
            </w:r>
            <w:r>
              <w:rPr>
                <w:rFonts w:ascii="宋体" w:hAnsi="宋体" w:eastAsia="宋体" w:cs="宋体"/>
                <w:spacing w:val="3"/>
                <w:sz w:val="20"/>
                <w:szCs w:val="20"/>
              </w:rPr>
              <w:t>丝</w:t>
            </w:r>
          </w:p>
        </w:tc>
        <w:tc>
          <w:tcPr>
            <w:tcW w:w="1432" w:type="dxa"/>
            <w:vAlign w:val="top"/>
          </w:tcPr>
          <w:p w14:paraId="457C5E9B">
            <w:pPr>
              <w:spacing w:before="56" w:line="228" w:lineRule="auto"/>
              <w:ind w:left="404"/>
              <w:rPr>
                <w:rFonts w:ascii="宋体" w:hAnsi="宋体" w:eastAsia="宋体" w:cs="宋体"/>
                <w:sz w:val="20"/>
                <w:szCs w:val="20"/>
              </w:rPr>
            </w:pPr>
            <w:r>
              <w:rPr>
                <w:rFonts w:ascii="宋体" w:hAnsi="宋体" w:eastAsia="宋体" w:cs="宋体"/>
                <w:spacing w:val="7"/>
                <w:sz w:val="20"/>
                <w:szCs w:val="20"/>
              </w:rPr>
              <w:t>废滤网</w:t>
            </w:r>
          </w:p>
        </w:tc>
        <w:tc>
          <w:tcPr>
            <w:tcW w:w="2135" w:type="dxa"/>
            <w:vAlign w:val="top"/>
          </w:tcPr>
          <w:p w14:paraId="261636F5">
            <w:pPr>
              <w:spacing w:before="55" w:line="228" w:lineRule="auto"/>
              <w:ind w:left="656"/>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家回收</w:t>
            </w:r>
          </w:p>
        </w:tc>
        <w:tc>
          <w:tcPr>
            <w:tcW w:w="1519" w:type="dxa"/>
            <w:tcBorders>
              <w:right w:val="nil"/>
            </w:tcBorders>
            <w:vAlign w:val="top"/>
          </w:tcPr>
          <w:p w14:paraId="3584857B">
            <w:pPr>
              <w:spacing w:before="56" w:line="228" w:lineRule="auto"/>
              <w:ind w:left="454"/>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66B9A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43" w:type="dxa"/>
            <w:vMerge w:val="continue"/>
            <w:tcBorders>
              <w:top w:val="nil"/>
              <w:left w:val="nil"/>
            </w:tcBorders>
            <w:vAlign w:val="top"/>
          </w:tcPr>
          <w:p w14:paraId="7394000B">
            <w:pPr>
              <w:rPr>
                <w:rFonts w:ascii="Arial"/>
                <w:sz w:val="21"/>
              </w:rPr>
            </w:pPr>
          </w:p>
        </w:tc>
        <w:tc>
          <w:tcPr>
            <w:tcW w:w="938" w:type="dxa"/>
            <w:vAlign w:val="top"/>
          </w:tcPr>
          <w:p w14:paraId="078F04D4">
            <w:pPr>
              <w:spacing w:before="24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4</w:t>
            </w:r>
          </w:p>
        </w:tc>
        <w:tc>
          <w:tcPr>
            <w:tcW w:w="1854" w:type="dxa"/>
            <w:vAlign w:val="top"/>
          </w:tcPr>
          <w:p w14:paraId="5A027898">
            <w:pPr>
              <w:spacing w:before="212" w:line="228" w:lineRule="auto"/>
              <w:ind w:left="513"/>
              <w:rPr>
                <w:rFonts w:ascii="宋体" w:hAnsi="宋体" w:eastAsia="宋体" w:cs="宋体"/>
                <w:sz w:val="20"/>
                <w:szCs w:val="20"/>
              </w:rPr>
            </w:pPr>
            <w:r>
              <w:rPr>
                <w:rFonts w:ascii="宋体" w:hAnsi="宋体" w:eastAsia="宋体" w:cs="宋体"/>
                <w:spacing w:val="7"/>
                <w:sz w:val="20"/>
                <w:szCs w:val="20"/>
              </w:rPr>
              <w:t>职工生活</w:t>
            </w:r>
          </w:p>
        </w:tc>
        <w:tc>
          <w:tcPr>
            <w:tcW w:w="1432" w:type="dxa"/>
            <w:vAlign w:val="top"/>
          </w:tcPr>
          <w:p w14:paraId="24D0D165">
            <w:pPr>
              <w:spacing w:before="212" w:line="228" w:lineRule="auto"/>
              <w:ind w:left="304"/>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2135" w:type="dxa"/>
            <w:vAlign w:val="top"/>
          </w:tcPr>
          <w:p w14:paraId="6AEBAD5C">
            <w:pPr>
              <w:spacing w:before="54" w:line="259" w:lineRule="auto"/>
              <w:ind w:left="558" w:right="120" w:hanging="432"/>
              <w:rPr>
                <w:rFonts w:ascii="宋体" w:hAnsi="宋体" w:eastAsia="宋体" w:cs="宋体"/>
                <w:sz w:val="20"/>
                <w:szCs w:val="20"/>
              </w:rPr>
            </w:pPr>
            <w:r>
              <w:rPr>
                <w:rFonts w:ascii="宋体" w:hAnsi="宋体" w:eastAsia="宋体" w:cs="宋体"/>
                <w:spacing w:val="10"/>
                <w:sz w:val="20"/>
                <w:szCs w:val="20"/>
              </w:rPr>
              <w:t>送</w:t>
            </w:r>
            <w:r>
              <w:rPr>
                <w:rFonts w:ascii="宋体" w:hAnsi="宋体" w:eastAsia="宋体" w:cs="宋体"/>
                <w:spacing w:val="9"/>
                <w:sz w:val="20"/>
                <w:szCs w:val="20"/>
              </w:rPr>
              <w:t>至环卫部门指定地</w:t>
            </w:r>
            <w:r>
              <w:rPr>
                <w:rFonts w:ascii="宋体" w:hAnsi="宋体" w:eastAsia="宋体" w:cs="宋体"/>
                <w:sz w:val="20"/>
                <w:szCs w:val="20"/>
              </w:rPr>
              <w:t xml:space="preserve"> </w:t>
            </w:r>
            <w:r>
              <w:rPr>
                <w:rFonts w:ascii="宋体" w:hAnsi="宋体" w:eastAsia="宋体" w:cs="宋体"/>
                <w:spacing w:val="6"/>
                <w:sz w:val="20"/>
                <w:szCs w:val="20"/>
              </w:rPr>
              <w:t>点统一处理</w:t>
            </w:r>
          </w:p>
        </w:tc>
        <w:tc>
          <w:tcPr>
            <w:tcW w:w="1519" w:type="dxa"/>
            <w:tcBorders>
              <w:right w:val="nil"/>
            </w:tcBorders>
            <w:vAlign w:val="top"/>
          </w:tcPr>
          <w:p w14:paraId="6CC0F05F">
            <w:pPr>
              <w:spacing w:before="212" w:line="228" w:lineRule="auto"/>
              <w:ind w:left="454"/>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bl>
    <w:p w14:paraId="6E32F5D2">
      <w:pPr>
        <w:rPr>
          <w:rFonts w:ascii="Arial"/>
          <w:sz w:val="21"/>
        </w:rPr>
      </w:pPr>
    </w:p>
    <w:p w14:paraId="02AA2D99">
      <w:pPr>
        <w:sectPr>
          <w:headerReference r:id="rId120" w:type="default"/>
          <w:footerReference r:id="rId121" w:type="default"/>
          <w:pgSz w:w="11906" w:h="16839"/>
          <w:pgMar w:top="1132" w:right="1691" w:bottom="1182" w:left="1691" w:header="878" w:footer="1022" w:gutter="0"/>
          <w:cols w:space="720" w:num="1"/>
        </w:sectPr>
      </w:pPr>
    </w:p>
    <w:p w14:paraId="150FDD13">
      <w:r>
        <w:pict>
          <v:shape id="_x0000_s1171" o:spid="_x0000_s1171" style="position:absolute;left:0pt;margin-left:90pt;margin-top:57.35pt;height:0.75pt;width:415.3pt;mso-position-horizontal-relative:page;mso-position-vertical-relative:page;z-index:251809792;mso-width-relative:page;mso-height-relative:page;" fillcolor="#000000" filled="t" stroked="f" coordsize="8305,15" o:allowincell="f" path="m0,0l8305,0,8305,14,0,14,0,0xe">
            <v:path/>
            <v:fill on="t" focussize="0,0"/>
            <v:stroke on="f"/>
            <v:imagedata o:title=""/>
            <o:lock v:ext="edit"/>
          </v:shape>
        </w:pict>
      </w:r>
    </w:p>
    <w:p w14:paraId="1CA34294">
      <w:pPr>
        <w:spacing w:line="65"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938"/>
        <w:gridCol w:w="1854"/>
        <w:gridCol w:w="1432"/>
        <w:gridCol w:w="2136"/>
        <w:gridCol w:w="1519"/>
      </w:tblGrid>
      <w:tr w14:paraId="068C4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643" w:type="dxa"/>
            <w:vMerge w:val="restart"/>
            <w:tcBorders>
              <w:left w:val="nil"/>
              <w:bottom w:val="nil"/>
            </w:tcBorders>
            <w:vAlign w:val="top"/>
          </w:tcPr>
          <w:p w14:paraId="54211DB9">
            <w:pPr>
              <w:rPr>
                <w:rFonts w:ascii="Arial"/>
                <w:sz w:val="21"/>
              </w:rPr>
            </w:pPr>
          </w:p>
        </w:tc>
        <w:tc>
          <w:tcPr>
            <w:tcW w:w="938" w:type="dxa"/>
            <w:vAlign w:val="top"/>
          </w:tcPr>
          <w:p w14:paraId="590B372D">
            <w:pPr>
              <w:spacing w:before="26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5</w:t>
            </w:r>
          </w:p>
        </w:tc>
        <w:tc>
          <w:tcPr>
            <w:tcW w:w="1854" w:type="dxa"/>
            <w:vAlign w:val="top"/>
          </w:tcPr>
          <w:p w14:paraId="36A872D3">
            <w:pPr>
              <w:spacing w:before="232" w:line="228" w:lineRule="auto"/>
              <w:ind w:left="622"/>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1432" w:type="dxa"/>
            <w:vAlign w:val="top"/>
          </w:tcPr>
          <w:p w14:paraId="008F622D">
            <w:pPr>
              <w:spacing w:before="232" w:line="228" w:lineRule="auto"/>
              <w:ind w:left="513"/>
              <w:rPr>
                <w:rFonts w:ascii="宋体" w:hAnsi="宋体" w:eastAsia="宋体" w:cs="宋体"/>
                <w:sz w:val="20"/>
                <w:szCs w:val="20"/>
              </w:rPr>
            </w:pPr>
            <w:r>
              <w:rPr>
                <w:rFonts w:ascii="宋体" w:hAnsi="宋体" w:eastAsia="宋体" w:cs="宋体"/>
                <w:spacing w:val="4"/>
                <w:sz w:val="20"/>
                <w:szCs w:val="20"/>
              </w:rPr>
              <w:t>炉</w:t>
            </w:r>
            <w:r>
              <w:rPr>
                <w:rFonts w:ascii="宋体" w:hAnsi="宋体" w:eastAsia="宋体" w:cs="宋体"/>
                <w:spacing w:val="3"/>
                <w:sz w:val="20"/>
                <w:szCs w:val="20"/>
              </w:rPr>
              <w:t>渣</w:t>
            </w:r>
          </w:p>
        </w:tc>
        <w:tc>
          <w:tcPr>
            <w:tcW w:w="2136" w:type="dxa"/>
            <w:vAlign w:val="top"/>
          </w:tcPr>
          <w:p w14:paraId="451E9909">
            <w:pPr>
              <w:spacing w:before="76" w:line="258" w:lineRule="auto"/>
              <w:ind w:left="551" w:right="121" w:hanging="418"/>
              <w:rPr>
                <w:rFonts w:ascii="宋体" w:hAnsi="宋体" w:eastAsia="宋体" w:cs="宋体"/>
                <w:sz w:val="20"/>
                <w:szCs w:val="20"/>
              </w:rPr>
            </w:pPr>
            <w:r>
              <w:rPr>
                <w:rFonts w:ascii="宋体" w:hAnsi="宋体" w:eastAsia="宋体" w:cs="宋体"/>
                <w:spacing w:val="11"/>
                <w:sz w:val="20"/>
                <w:szCs w:val="20"/>
              </w:rPr>
              <w:t>定</w:t>
            </w:r>
            <w:r>
              <w:rPr>
                <w:rFonts w:ascii="宋体" w:hAnsi="宋体" w:eastAsia="宋体" w:cs="宋体"/>
                <w:spacing w:val="8"/>
                <w:sz w:val="20"/>
                <w:szCs w:val="20"/>
              </w:rPr>
              <w:t>期外卖给农肥厂进</w:t>
            </w:r>
            <w:r>
              <w:rPr>
                <w:rFonts w:ascii="宋体" w:hAnsi="宋体" w:eastAsia="宋体" w:cs="宋体"/>
                <w:sz w:val="20"/>
                <w:szCs w:val="20"/>
              </w:rPr>
              <w:t xml:space="preserve"> </w:t>
            </w:r>
            <w:r>
              <w:rPr>
                <w:rFonts w:ascii="宋体" w:hAnsi="宋体" w:eastAsia="宋体" w:cs="宋体"/>
                <w:spacing w:val="9"/>
                <w:sz w:val="20"/>
                <w:szCs w:val="20"/>
              </w:rPr>
              <w:t>行</w:t>
            </w:r>
            <w:r>
              <w:rPr>
                <w:rFonts w:ascii="宋体" w:hAnsi="宋体" w:eastAsia="宋体" w:cs="宋体"/>
                <w:spacing w:val="7"/>
                <w:sz w:val="20"/>
                <w:szCs w:val="20"/>
              </w:rPr>
              <w:t>综合利用</w:t>
            </w:r>
          </w:p>
        </w:tc>
        <w:tc>
          <w:tcPr>
            <w:tcW w:w="1519" w:type="dxa"/>
            <w:tcBorders>
              <w:right w:val="nil"/>
            </w:tcBorders>
            <w:vAlign w:val="top"/>
          </w:tcPr>
          <w:p w14:paraId="76D11391">
            <w:pPr>
              <w:spacing w:before="232" w:line="228" w:lineRule="auto"/>
              <w:ind w:left="453"/>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2270F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3" w:type="dxa"/>
            <w:vMerge w:val="continue"/>
            <w:tcBorders>
              <w:top w:val="nil"/>
              <w:left w:val="nil"/>
              <w:bottom w:val="nil"/>
            </w:tcBorders>
            <w:vAlign w:val="top"/>
          </w:tcPr>
          <w:p w14:paraId="44EF834D">
            <w:pPr>
              <w:rPr>
                <w:rFonts w:ascii="Arial"/>
                <w:sz w:val="21"/>
              </w:rPr>
            </w:pPr>
          </w:p>
        </w:tc>
        <w:tc>
          <w:tcPr>
            <w:tcW w:w="938" w:type="dxa"/>
            <w:vAlign w:val="top"/>
          </w:tcPr>
          <w:p w14:paraId="291B2B16">
            <w:pPr>
              <w:spacing w:before="244"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6</w:t>
            </w:r>
          </w:p>
        </w:tc>
        <w:tc>
          <w:tcPr>
            <w:tcW w:w="1854" w:type="dxa"/>
            <w:vAlign w:val="top"/>
          </w:tcPr>
          <w:p w14:paraId="5E297416">
            <w:pPr>
              <w:spacing w:before="208" w:line="227" w:lineRule="auto"/>
              <w:ind w:left="407"/>
              <w:rPr>
                <w:rFonts w:ascii="宋体" w:hAnsi="宋体" w:eastAsia="宋体" w:cs="宋体"/>
                <w:sz w:val="20"/>
                <w:szCs w:val="20"/>
              </w:rPr>
            </w:pPr>
            <w:r>
              <w:rPr>
                <w:rFonts w:ascii="宋体" w:hAnsi="宋体" w:eastAsia="宋体" w:cs="宋体"/>
                <w:spacing w:val="8"/>
                <w:sz w:val="20"/>
                <w:szCs w:val="20"/>
              </w:rPr>
              <w:t>布袋除尘器</w:t>
            </w:r>
          </w:p>
        </w:tc>
        <w:tc>
          <w:tcPr>
            <w:tcW w:w="1432" w:type="dxa"/>
            <w:vAlign w:val="top"/>
          </w:tcPr>
          <w:p w14:paraId="2EF9614C">
            <w:pPr>
              <w:spacing w:before="207" w:line="228" w:lineRule="auto"/>
              <w:ind w:left="510"/>
              <w:rPr>
                <w:rFonts w:ascii="宋体" w:hAnsi="宋体" w:eastAsia="宋体" w:cs="宋体"/>
                <w:sz w:val="20"/>
                <w:szCs w:val="20"/>
              </w:rPr>
            </w:pPr>
            <w:r>
              <w:rPr>
                <w:rFonts w:ascii="宋体" w:hAnsi="宋体" w:eastAsia="宋体" w:cs="宋体"/>
                <w:spacing w:val="5"/>
                <w:sz w:val="20"/>
                <w:szCs w:val="20"/>
              </w:rPr>
              <w:t>粉尘</w:t>
            </w:r>
          </w:p>
        </w:tc>
        <w:tc>
          <w:tcPr>
            <w:tcW w:w="2136" w:type="dxa"/>
            <w:vAlign w:val="top"/>
          </w:tcPr>
          <w:p w14:paraId="4D94489D">
            <w:pPr>
              <w:spacing w:before="52" w:line="258" w:lineRule="auto"/>
              <w:ind w:left="551" w:right="121" w:hanging="418"/>
              <w:rPr>
                <w:rFonts w:ascii="宋体" w:hAnsi="宋体" w:eastAsia="宋体" w:cs="宋体"/>
                <w:sz w:val="20"/>
                <w:szCs w:val="20"/>
              </w:rPr>
            </w:pPr>
            <w:r>
              <w:rPr>
                <w:rFonts w:ascii="宋体" w:hAnsi="宋体" w:eastAsia="宋体" w:cs="宋体"/>
                <w:spacing w:val="11"/>
                <w:sz w:val="20"/>
                <w:szCs w:val="20"/>
              </w:rPr>
              <w:t>定</w:t>
            </w:r>
            <w:r>
              <w:rPr>
                <w:rFonts w:ascii="宋体" w:hAnsi="宋体" w:eastAsia="宋体" w:cs="宋体"/>
                <w:spacing w:val="8"/>
                <w:sz w:val="20"/>
                <w:szCs w:val="20"/>
              </w:rPr>
              <w:t>期外卖给农肥厂进</w:t>
            </w:r>
            <w:r>
              <w:rPr>
                <w:rFonts w:ascii="宋体" w:hAnsi="宋体" w:eastAsia="宋体" w:cs="宋体"/>
                <w:sz w:val="20"/>
                <w:szCs w:val="20"/>
              </w:rPr>
              <w:t xml:space="preserve"> </w:t>
            </w:r>
            <w:r>
              <w:rPr>
                <w:rFonts w:ascii="宋体" w:hAnsi="宋体" w:eastAsia="宋体" w:cs="宋体"/>
                <w:spacing w:val="9"/>
                <w:sz w:val="20"/>
                <w:szCs w:val="20"/>
              </w:rPr>
              <w:t>行</w:t>
            </w:r>
            <w:r>
              <w:rPr>
                <w:rFonts w:ascii="宋体" w:hAnsi="宋体" w:eastAsia="宋体" w:cs="宋体"/>
                <w:spacing w:val="7"/>
                <w:sz w:val="20"/>
                <w:szCs w:val="20"/>
              </w:rPr>
              <w:t>综合利用</w:t>
            </w:r>
          </w:p>
        </w:tc>
        <w:tc>
          <w:tcPr>
            <w:tcW w:w="1519" w:type="dxa"/>
            <w:tcBorders>
              <w:right w:val="nil"/>
            </w:tcBorders>
            <w:vAlign w:val="top"/>
          </w:tcPr>
          <w:p w14:paraId="5021874F">
            <w:pPr>
              <w:spacing w:before="208" w:line="228" w:lineRule="auto"/>
              <w:ind w:left="453"/>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74F1A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left w:val="nil"/>
              <w:bottom w:val="nil"/>
            </w:tcBorders>
            <w:vAlign w:val="top"/>
          </w:tcPr>
          <w:p w14:paraId="4F240D10">
            <w:pPr>
              <w:rPr>
                <w:rFonts w:ascii="Arial"/>
                <w:sz w:val="21"/>
              </w:rPr>
            </w:pPr>
          </w:p>
        </w:tc>
        <w:tc>
          <w:tcPr>
            <w:tcW w:w="938" w:type="dxa"/>
            <w:vAlign w:val="top"/>
          </w:tcPr>
          <w:p w14:paraId="1FA9AB9E">
            <w:pPr>
              <w:spacing w:before="9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7</w:t>
            </w:r>
          </w:p>
        </w:tc>
        <w:tc>
          <w:tcPr>
            <w:tcW w:w="1854" w:type="dxa"/>
            <w:vAlign w:val="top"/>
          </w:tcPr>
          <w:p w14:paraId="562F9818">
            <w:pPr>
              <w:spacing w:before="55" w:line="228" w:lineRule="auto"/>
              <w:ind w:left="51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气处理</w:t>
            </w:r>
          </w:p>
        </w:tc>
        <w:tc>
          <w:tcPr>
            <w:tcW w:w="1432" w:type="dxa"/>
            <w:vAlign w:val="top"/>
          </w:tcPr>
          <w:p w14:paraId="0102AFD0">
            <w:pPr>
              <w:spacing w:before="55" w:line="228" w:lineRule="auto"/>
              <w:ind w:left="30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活性炭</w:t>
            </w:r>
          </w:p>
        </w:tc>
        <w:tc>
          <w:tcPr>
            <w:tcW w:w="2136" w:type="dxa"/>
            <w:vAlign w:val="top"/>
          </w:tcPr>
          <w:p w14:paraId="45846E16">
            <w:pPr>
              <w:spacing w:before="55" w:line="228" w:lineRule="auto"/>
              <w:ind w:left="132"/>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8"/>
                <w:sz w:val="20"/>
                <w:szCs w:val="20"/>
              </w:rPr>
              <w:t>由有资质单位处理</w:t>
            </w:r>
          </w:p>
        </w:tc>
        <w:tc>
          <w:tcPr>
            <w:tcW w:w="1519" w:type="dxa"/>
            <w:tcBorders>
              <w:right w:val="nil"/>
            </w:tcBorders>
            <w:vAlign w:val="top"/>
          </w:tcPr>
          <w:p w14:paraId="313F8F6F">
            <w:pPr>
              <w:spacing w:before="55" w:line="228" w:lineRule="auto"/>
              <w:ind w:left="453"/>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65B92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left w:val="nil"/>
            </w:tcBorders>
            <w:vAlign w:val="top"/>
          </w:tcPr>
          <w:p w14:paraId="6B357A79">
            <w:pPr>
              <w:rPr>
                <w:rFonts w:ascii="Arial"/>
                <w:sz w:val="21"/>
              </w:rPr>
            </w:pPr>
          </w:p>
        </w:tc>
        <w:tc>
          <w:tcPr>
            <w:tcW w:w="938" w:type="dxa"/>
            <w:vAlign w:val="top"/>
          </w:tcPr>
          <w:p w14:paraId="5D545E45">
            <w:pPr>
              <w:spacing w:before="9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w:t>
            </w:r>
            <w:r>
              <w:rPr>
                <w:rFonts w:ascii="Times New Roman" w:hAnsi="Times New Roman" w:eastAsia="Times New Roman" w:cs="Times New Roman"/>
                <w:spacing w:val="-3"/>
                <w:sz w:val="20"/>
                <w:szCs w:val="20"/>
              </w:rPr>
              <w:t>8</w:t>
            </w:r>
          </w:p>
        </w:tc>
        <w:tc>
          <w:tcPr>
            <w:tcW w:w="1854" w:type="dxa"/>
            <w:vAlign w:val="top"/>
          </w:tcPr>
          <w:p w14:paraId="15CB8416">
            <w:pPr>
              <w:spacing w:before="56" w:line="228" w:lineRule="auto"/>
              <w:ind w:left="51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气处理</w:t>
            </w:r>
          </w:p>
        </w:tc>
        <w:tc>
          <w:tcPr>
            <w:tcW w:w="1432" w:type="dxa"/>
            <w:vAlign w:val="top"/>
          </w:tcPr>
          <w:p w14:paraId="60B217D1">
            <w:pPr>
              <w:spacing w:before="55" w:line="228" w:lineRule="auto"/>
              <w:ind w:left="37"/>
              <w:rPr>
                <w:rFonts w:ascii="宋体" w:hAnsi="宋体" w:eastAsia="宋体" w:cs="宋体"/>
                <w:sz w:val="20"/>
                <w:szCs w:val="20"/>
              </w:rPr>
            </w:pPr>
            <w:r>
              <w:rPr>
                <w:rFonts w:ascii="宋体" w:hAnsi="宋体" w:eastAsia="宋体" w:cs="宋体"/>
                <w:spacing w:val="1"/>
                <w:sz w:val="20"/>
                <w:szCs w:val="20"/>
              </w:rPr>
              <w:t xml:space="preserve">废 </w:t>
            </w: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光解灯</w:t>
            </w:r>
            <w:r>
              <w:rPr>
                <w:rFonts w:ascii="宋体" w:hAnsi="宋体" w:eastAsia="宋体" w:cs="宋体"/>
                <w:sz w:val="20"/>
                <w:szCs w:val="20"/>
              </w:rPr>
              <w:t>管</w:t>
            </w:r>
          </w:p>
        </w:tc>
        <w:tc>
          <w:tcPr>
            <w:tcW w:w="2136" w:type="dxa"/>
            <w:vAlign w:val="top"/>
          </w:tcPr>
          <w:p w14:paraId="6B6FCBE8">
            <w:pPr>
              <w:spacing w:before="56" w:line="228" w:lineRule="auto"/>
              <w:ind w:left="132"/>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8"/>
                <w:sz w:val="20"/>
                <w:szCs w:val="20"/>
              </w:rPr>
              <w:t>由有资质单位处理</w:t>
            </w:r>
          </w:p>
        </w:tc>
        <w:tc>
          <w:tcPr>
            <w:tcW w:w="1519" w:type="dxa"/>
            <w:tcBorders>
              <w:right w:val="nil"/>
            </w:tcBorders>
            <w:vAlign w:val="top"/>
          </w:tcPr>
          <w:p w14:paraId="0CC73903">
            <w:pPr>
              <w:spacing w:before="56" w:line="228" w:lineRule="auto"/>
              <w:ind w:left="453"/>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53C00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43" w:type="dxa"/>
            <w:tcBorders>
              <w:left w:val="nil"/>
            </w:tcBorders>
            <w:vAlign w:val="top"/>
          </w:tcPr>
          <w:p w14:paraId="597669A6">
            <w:pPr>
              <w:spacing w:before="56" w:line="228" w:lineRule="auto"/>
              <w:ind w:left="128"/>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2792" w:type="dxa"/>
            <w:gridSpan w:val="2"/>
            <w:vAlign w:val="top"/>
          </w:tcPr>
          <w:p w14:paraId="62B5119B">
            <w:pPr>
              <w:spacing w:before="56" w:line="228" w:lineRule="auto"/>
              <w:ind w:left="985"/>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备噪声</w:t>
            </w:r>
          </w:p>
        </w:tc>
        <w:tc>
          <w:tcPr>
            <w:tcW w:w="1432" w:type="dxa"/>
            <w:vAlign w:val="top"/>
          </w:tcPr>
          <w:p w14:paraId="4EA2C886">
            <w:pPr>
              <w:spacing w:before="18" w:line="281" w:lineRule="exact"/>
              <w:ind w:left="28"/>
              <w:rPr>
                <w:rFonts w:ascii="宋体" w:hAnsi="宋体" w:eastAsia="宋体" w:cs="宋体"/>
                <w:sz w:val="20"/>
                <w:szCs w:val="20"/>
              </w:rPr>
            </w:pPr>
            <w:r>
              <w:rPr>
                <w:rFonts w:ascii="Times New Roman" w:hAnsi="Times New Roman" w:eastAsia="Times New Roman" w:cs="Times New Roman"/>
                <w:spacing w:val="17"/>
                <w:position w:val="1"/>
                <w:sz w:val="20"/>
                <w:szCs w:val="20"/>
              </w:rPr>
              <w:t>7</w:t>
            </w:r>
            <w:r>
              <w:rPr>
                <w:rFonts w:ascii="Times New Roman" w:hAnsi="Times New Roman" w:eastAsia="Times New Roman" w:cs="Times New Roman"/>
                <w:spacing w:val="13"/>
                <w:position w:val="1"/>
                <w:sz w:val="20"/>
                <w:szCs w:val="20"/>
              </w:rPr>
              <w:t>0</w:t>
            </w:r>
            <w:r>
              <w:rPr>
                <w:rFonts w:ascii="宋体" w:hAnsi="宋体" w:eastAsia="宋体" w:cs="宋体"/>
                <w:spacing w:val="13"/>
                <w:position w:val="1"/>
                <w:sz w:val="20"/>
                <w:szCs w:val="20"/>
              </w:rPr>
              <w:t>~</w:t>
            </w:r>
            <w:r>
              <w:rPr>
                <w:rFonts w:ascii="Times New Roman" w:hAnsi="Times New Roman" w:eastAsia="Times New Roman" w:cs="Times New Roman"/>
                <w:spacing w:val="13"/>
                <w:position w:val="1"/>
                <w:sz w:val="20"/>
                <w:szCs w:val="20"/>
              </w:rPr>
              <w:t>80</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13"/>
                <w:position w:val="1"/>
                <w:sz w:val="20"/>
                <w:szCs w:val="20"/>
              </w:rPr>
              <w:t xml:space="preserve">  </w:t>
            </w:r>
            <w:r>
              <w:rPr>
                <w:rFonts w:ascii="宋体" w:hAnsi="宋体" w:eastAsia="宋体" w:cs="宋体"/>
                <w:spacing w:val="13"/>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13"/>
                <w:position w:val="1"/>
                <w:sz w:val="20"/>
                <w:szCs w:val="20"/>
              </w:rPr>
              <w:t>)</w:t>
            </w:r>
          </w:p>
        </w:tc>
        <w:tc>
          <w:tcPr>
            <w:tcW w:w="2136" w:type="dxa"/>
            <w:vAlign w:val="top"/>
          </w:tcPr>
          <w:p w14:paraId="35F46187">
            <w:pPr>
              <w:spacing w:before="56" w:line="227" w:lineRule="auto"/>
              <w:ind w:left="127"/>
              <w:rPr>
                <w:rFonts w:ascii="宋体" w:hAnsi="宋体" w:eastAsia="宋体" w:cs="宋体"/>
                <w:sz w:val="20"/>
                <w:szCs w:val="20"/>
              </w:rPr>
            </w:pPr>
            <w:r>
              <w:rPr>
                <w:rFonts w:ascii="宋体" w:hAnsi="宋体" w:eastAsia="宋体" w:cs="宋体"/>
                <w:spacing w:val="9"/>
                <w:sz w:val="20"/>
                <w:szCs w:val="20"/>
              </w:rPr>
              <w:t>采取隔声、减振措施</w:t>
            </w:r>
          </w:p>
        </w:tc>
        <w:tc>
          <w:tcPr>
            <w:tcW w:w="1519" w:type="dxa"/>
            <w:tcBorders>
              <w:right w:val="nil"/>
            </w:tcBorders>
            <w:vAlign w:val="top"/>
          </w:tcPr>
          <w:p w14:paraId="295DFC89">
            <w:pPr>
              <w:spacing w:before="56" w:line="228" w:lineRule="auto"/>
              <w:ind w:left="343"/>
              <w:rPr>
                <w:rFonts w:ascii="宋体" w:hAnsi="宋体" w:eastAsia="宋体" w:cs="宋体"/>
                <w:sz w:val="20"/>
                <w:szCs w:val="20"/>
              </w:rPr>
            </w:pPr>
            <w:r>
              <w:rPr>
                <w:rFonts w:ascii="宋体" w:hAnsi="宋体" w:eastAsia="宋体" w:cs="宋体"/>
                <w:spacing w:val="9"/>
                <w:sz w:val="20"/>
                <w:szCs w:val="20"/>
              </w:rPr>
              <w:t>达</w:t>
            </w:r>
            <w:r>
              <w:rPr>
                <w:rFonts w:ascii="宋体" w:hAnsi="宋体" w:eastAsia="宋体" w:cs="宋体"/>
                <w:spacing w:val="7"/>
                <w:sz w:val="20"/>
                <w:szCs w:val="20"/>
              </w:rPr>
              <w:t>标排放</w:t>
            </w:r>
          </w:p>
        </w:tc>
      </w:tr>
    </w:tbl>
    <w:p w14:paraId="01D7FD7C">
      <w:pPr>
        <w:spacing w:before="301" w:line="221" w:lineRule="auto"/>
        <w:ind w:left="112"/>
        <w:outlineLvl w:val="3"/>
        <w:rPr>
          <w:rFonts w:ascii="宋体" w:hAnsi="宋体" w:eastAsia="宋体" w:cs="宋体"/>
          <w:sz w:val="28"/>
          <w:szCs w:val="28"/>
        </w:rPr>
      </w:pPr>
      <w:r>
        <w:rPr>
          <w:rFonts w:ascii="Times New Roman" w:hAnsi="Times New Roman" w:eastAsia="Times New Roman" w:cs="Times New Roman"/>
          <w:b/>
          <w:bCs/>
          <w:spacing w:val="7"/>
          <w:sz w:val="28"/>
          <w:szCs w:val="28"/>
        </w:rPr>
        <w:t>3.2.2.3</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物料平</w:t>
      </w:r>
      <w:r>
        <w:rPr>
          <w:rFonts w:ascii="宋体" w:hAnsi="宋体" w:eastAsia="宋体" w:cs="宋体"/>
          <w:spacing w:val="5"/>
          <w:sz w:val="28"/>
          <w:szCs w:val="28"/>
          <w14:textOutline w14:w="5103" w14:cap="sq" w14:cmpd="sng">
            <w14:solidFill>
              <w14:srgbClr w14:val="000000"/>
            </w14:solidFill>
            <w14:prstDash w14:val="solid"/>
            <w14:bevel/>
          </w14:textOutline>
        </w:rPr>
        <w:t>衡</w:t>
      </w:r>
    </w:p>
    <w:p w14:paraId="66CFD67B">
      <w:pPr>
        <w:spacing w:before="293" w:line="323" w:lineRule="exact"/>
        <w:ind w:left="601"/>
        <w:rPr>
          <w:rFonts w:ascii="Times New Roman" w:hAnsi="Times New Roman" w:eastAsia="Times New Roman" w:cs="Times New Roman"/>
          <w:sz w:val="23"/>
          <w:szCs w:val="23"/>
        </w:rPr>
      </w:pPr>
      <w:r>
        <w:rPr>
          <w:rFonts w:ascii="宋体" w:hAnsi="宋体" w:eastAsia="宋体" w:cs="宋体"/>
          <w:spacing w:val="10"/>
          <w:position w:val="1"/>
          <w:sz w:val="23"/>
          <w:szCs w:val="23"/>
        </w:rPr>
        <w:t>该项</w:t>
      </w:r>
      <w:r>
        <w:rPr>
          <w:rFonts w:ascii="宋体" w:hAnsi="宋体" w:eastAsia="宋体" w:cs="宋体"/>
          <w:spacing w:val="9"/>
          <w:position w:val="1"/>
          <w:sz w:val="23"/>
          <w:szCs w:val="23"/>
        </w:rPr>
        <w:t>目</w:t>
      </w:r>
      <w:r>
        <w:rPr>
          <w:rFonts w:ascii="宋体" w:hAnsi="宋体" w:eastAsia="宋体" w:cs="宋体"/>
          <w:spacing w:val="5"/>
          <w:position w:val="1"/>
          <w:sz w:val="23"/>
          <w:szCs w:val="23"/>
        </w:rPr>
        <w:t xml:space="preserve">废旧塑料编织袋原料用量为 </w:t>
      </w:r>
      <w:r>
        <w:rPr>
          <w:rFonts w:ascii="Times New Roman" w:hAnsi="Times New Roman" w:eastAsia="Times New Roman" w:cs="Times New Roman"/>
          <w:spacing w:val="5"/>
          <w:position w:val="1"/>
          <w:sz w:val="23"/>
          <w:szCs w:val="23"/>
        </w:rPr>
        <w:t>51100</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a</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 xml:space="preserve">，分拣出的杂质按原料量的 </w:t>
      </w:r>
      <w:r>
        <w:rPr>
          <w:rFonts w:ascii="Times New Roman" w:hAnsi="Times New Roman" w:eastAsia="Times New Roman" w:cs="Times New Roman"/>
          <w:spacing w:val="5"/>
          <w:position w:val="1"/>
          <w:sz w:val="23"/>
          <w:szCs w:val="23"/>
        </w:rPr>
        <w:t>2%</w:t>
      </w:r>
    </w:p>
    <w:p w14:paraId="23A07C64">
      <w:pPr>
        <w:spacing w:before="157" w:line="393" w:lineRule="auto"/>
        <w:ind w:left="118" w:right="103" w:hanging="1"/>
        <w:rPr>
          <w:rFonts w:ascii="宋体" w:hAnsi="宋体" w:eastAsia="宋体" w:cs="宋体"/>
          <w:sz w:val="23"/>
          <w:szCs w:val="23"/>
        </w:rPr>
      </w:pPr>
      <w:r>
        <w:rPr>
          <w:rFonts w:ascii="宋体" w:hAnsi="宋体" w:eastAsia="宋体" w:cs="宋体"/>
          <w:spacing w:val="6"/>
          <w:sz w:val="23"/>
          <w:szCs w:val="23"/>
        </w:rPr>
        <w:t>计，则</w:t>
      </w:r>
      <w:r>
        <w:rPr>
          <w:rFonts w:ascii="宋体" w:hAnsi="宋体" w:eastAsia="宋体" w:cs="宋体"/>
          <w:spacing w:val="5"/>
          <w:sz w:val="23"/>
          <w:szCs w:val="23"/>
        </w:rPr>
        <w:t>杂</w:t>
      </w:r>
      <w:r>
        <w:rPr>
          <w:rFonts w:ascii="宋体" w:hAnsi="宋体" w:eastAsia="宋体" w:cs="宋体"/>
          <w:spacing w:val="3"/>
          <w:sz w:val="23"/>
          <w:szCs w:val="23"/>
        </w:rPr>
        <w:t xml:space="preserve">质产生量为 </w:t>
      </w:r>
      <w:r>
        <w:rPr>
          <w:rFonts w:ascii="Times New Roman" w:hAnsi="Times New Roman" w:eastAsia="Times New Roman" w:cs="Times New Roman"/>
          <w:spacing w:val="3"/>
          <w:sz w:val="23"/>
          <w:szCs w:val="23"/>
        </w:rPr>
        <w:t>1022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，循环水沉淀产生的污泥量约为 </w:t>
      </w:r>
      <w:r>
        <w:rPr>
          <w:rFonts w:ascii="Times New Roman" w:hAnsi="Times New Roman" w:eastAsia="Times New Roman" w:cs="Times New Roman"/>
          <w:spacing w:val="3"/>
          <w:sz w:val="23"/>
          <w:szCs w:val="23"/>
        </w:rPr>
        <w:t>60</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；粉尘产生量</w:t>
      </w:r>
      <w:r>
        <w:rPr>
          <w:rFonts w:ascii="宋体" w:hAnsi="宋体" w:eastAsia="宋体" w:cs="宋体"/>
          <w:sz w:val="23"/>
          <w:szCs w:val="23"/>
        </w:rPr>
        <w:t xml:space="preserve"> </w:t>
      </w:r>
      <w:r>
        <w:rPr>
          <w:rFonts w:ascii="宋体" w:hAnsi="宋体" w:eastAsia="宋体" w:cs="宋体"/>
          <w:spacing w:val="4"/>
          <w:sz w:val="23"/>
          <w:szCs w:val="23"/>
        </w:rPr>
        <w:t xml:space="preserve">按原料量的 </w:t>
      </w:r>
      <w:r>
        <w:rPr>
          <w:rFonts w:ascii="Times New Roman" w:hAnsi="Times New Roman" w:eastAsia="Times New Roman" w:cs="Times New Roman"/>
          <w:spacing w:val="4"/>
          <w:sz w:val="23"/>
          <w:szCs w:val="23"/>
        </w:rPr>
        <w:t>0</w:t>
      </w:r>
      <w:r>
        <w:rPr>
          <w:rFonts w:ascii="Times New Roman" w:hAnsi="Times New Roman" w:eastAsia="Times New Roman" w:cs="Times New Roman"/>
          <w:spacing w:val="2"/>
          <w:sz w:val="23"/>
          <w:szCs w:val="23"/>
        </w:rPr>
        <w:t>.002%</w:t>
      </w:r>
      <w:r>
        <w:rPr>
          <w:rFonts w:ascii="宋体" w:hAnsi="宋体" w:eastAsia="宋体" w:cs="宋体"/>
          <w:spacing w:val="2"/>
          <w:sz w:val="23"/>
          <w:szCs w:val="23"/>
        </w:rPr>
        <w:t xml:space="preserve">计，则粉尘产生放量为 </w:t>
      </w:r>
      <w:r>
        <w:rPr>
          <w:rFonts w:ascii="Times New Roman" w:hAnsi="Times New Roman" w:eastAsia="Times New Roman" w:cs="Times New Roman"/>
          <w:spacing w:val="2"/>
          <w:sz w:val="23"/>
          <w:szCs w:val="23"/>
        </w:rPr>
        <w:t>1.02</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 xml:space="preserve">，非甲烷总烃产生量按 </w:t>
      </w:r>
      <w:r>
        <w:rPr>
          <w:rFonts w:ascii="Times New Roman" w:hAnsi="Times New Roman" w:eastAsia="Times New Roman" w:cs="Times New Roman"/>
          <w:spacing w:val="2"/>
          <w:sz w:val="23"/>
          <w:szCs w:val="23"/>
        </w:rPr>
        <w:t>0.35</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 xml:space="preserve">t </w:t>
      </w:r>
      <w:r>
        <w:rPr>
          <w:rFonts w:ascii="宋体" w:hAnsi="宋体" w:eastAsia="宋体" w:cs="宋体"/>
          <w:spacing w:val="1"/>
          <w:sz w:val="23"/>
          <w:szCs w:val="23"/>
        </w:rPr>
        <w:t xml:space="preserve">原料计，则非甲烷总烃产生量为 </w:t>
      </w:r>
      <w:r>
        <w:rPr>
          <w:rFonts w:ascii="Times New Roman" w:hAnsi="Times New Roman" w:eastAsia="Times New Roman" w:cs="Times New Roman"/>
          <w:spacing w:val="1"/>
          <w:sz w:val="23"/>
          <w:szCs w:val="23"/>
        </w:rPr>
        <w:t>17.88</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。项目物料平衡见表 </w:t>
      </w:r>
      <w:r>
        <w:rPr>
          <w:rFonts w:ascii="Times New Roman" w:hAnsi="Times New Roman" w:eastAsia="Times New Roman" w:cs="Times New Roman"/>
          <w:spacing w:val="1"/>
          <w:sz w:val="23"/>
          <w:szCs w:val="23"/>
        </w:rPr>
        <w:t xml:space="preserve">3- </w:t>
      </w:r>
      <w:r>
        <w:rPr>
          <w:rFonts w:ascii="Times New Roman" w:hAnsi="Times New Roman" w:eastAsia="Times New Roman" w:cs="Times New Roman"/>
          <w:sz w:val="23"/>
          <w:szCs w:val="23"/>
        </w:rPr>
        <w:t>15</w:t>
      </w:r>
      <w:r>
        <w:rPr>
          <w:rFonts w:ascii="宋体" w:hAnsi="宋体" w:eastAsia="宋体" w:cs="宋体"/>
          <w:sz w:val="23"/>
          <w:szCs w:val="23"/>
        </w:rPr>
        <w:t>。</w:t>
      </w:r>
    </w:p>
    <w:p w14:paraId="2A2F3529">
      <w:pPr>
        <w:spacing w:before="170" w:line="227" w:lineRule="auto"/>
        <w:ind w:left="26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3"/>
          <w:sz w:val="23"/>
          <w:szCs w:val="23"/>
        </w:rPr>
        <w:t>3-15</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生产工艺物料平衡</w:t>
      </w:r>
    </w:p>
    <w:p w14:paraId="33A857FB">
      <w:pPr>
        <w:spacing w:line="18"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2130"/>
        <w:gridCol w:w="2130"/>
        <w:gridCol w:w="2132"/>
      </w:tblGrid>
      <w:tr w14:paraId="4C4AA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260" w:type="dxa"/>
            <w:gridSpan w:val="2"/>
            <w:tcBorders>
              <w:left w:val="nil"/>
              <w:right w:val="single" w:color="000000" w:sz="4" w:space="0"/>
            </w:tcBorders>
            <w:vAlign w:val="top"/>
          </w:tcPr>
          <w:p w14:paraId="3CA6565E">
            <w:pPr>
              <w:spacing w:before="75" w:line="228" w:lineRule="auto"/>
              <w:ind w:left="193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投</w:t>
            </w:r>
            <w:r>
              <w:rPr>
                <w:rFonts w:ascii="宋体" w:hAnsi="宋体" w:eastAsia="宋体" w:cs="宋体"/>
                <w:spacing w:val="4"/>
                <w:sz w:val="20"/>
                <w:szCs w:val="20"/>
                <w14:textOutline w14:w="3795" w14:cap="sq" w14:cmpd="sng">
                  <w14:solidFill>
                    <w14:srgbClr w14:val="000000"/>
                  </w14:solidFill>
                  <w14:prstDash w14:val="solid"/>
                  <w14:bevel/>
                </w14:textOutline>
              </w:rPr>
              <w:t>入</w:t>
            </w:r>
          </w:p>
        </w:tc>
        <w:tc>
          <w:tcPr>
            <w:tcW w:w="4262" w:type="dxa"/>
            <w:gridSpan w:val="2"/>
            <w:tcBorders>
              <w:left w:val="single" w:color="000000" w:sz="4" w:space="0"/>
              <w:right w:val="nil"/>
            </w:tcBorders>
            <w:vAlign w:val="top"/>
          </w:tcPr>
          <w:p w14:paraId="416DDCD4">
            <w:pPr>
              <w:spacing w:before="75" w:line="228" w:lineRule="auto"/>
              <w:ind w:left="192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产出</w:t>
            </w:r>
          </w:p>
        </w:tc>
      </w:tr>
      <w:tr w14:paraId="04F7D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tcBorders>
              <w:left w:val="nil"/>
              <w:right w:val="single" w:color="000000" w:sz="4" w:space="0"/>
            </w:tcBorders>
            <w:vAlign w:val="top"/>
          </w:tcPr>
          <w:p w14:paraId="1870F0AB">
            <w:pPr>
              <w:spacing w:before="55" w:line="228" w:lineRule="auto"/>
              <w:ind w:left="65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料名称</w:t>
            </w:r>
          </w:p>
        </w:tc>
        <w:tc>
          <w:tcPr>
            <w:tcW w:w="2130" w:type="dxa"/>
            <w:tcBorders>
              <w:left w:val="single" w:color="000000" w:sz="4" w:space="0"/>
              <w:right w:val="single" w:color="000000" w:sz="4" w:space="0"/>
            </w:tcBorders>
            <w:vAlign w:val="top"/>
          </w:tcPr>
          <w:p w14:paraId="30A9F1E4">
            <w:pPr>
              <w:spacing w:before="14" w:line="289" w:lineRule="exact"/>
              <w:ind w:left="534"/>
              <w:rPr>
                <w:rFonts w:ascii="宋体" w:hAnsi="宋体" w:eastAsia="宋体" w:cs="宋体"/>
                <w:sz w:val="20"/>
                <w:szCs w:val="20"/>
              </w:rPr>
            </w:pPr>
            <w:r>
              <w:rPr>
                <w:rFonts w:ascii="宋体" w:hAnsi="宋体" w:eastAsia="宋体" w:cs="宋体"/>
                <w:spacing w:val="2"/>
                <w:position w:val="2"/>
                <w:sz w:val="20"/>
                <w:szCs w:val="20"/>
                <w14:textOutline w14:w="3795" w14:cap="sq" w14:cmpd="sng">
                  <w14:solidFill>
                    <w14:srgbClr w14:val="000000"/>
                  </w14:solidFill>
                  <w14:prstDash w14:val="solid"/>
                  <w14:bevel/>
                </w14:textOutline>
              </w:rPr>
              <w:t>用量</w:t>
            </w:r>
            <w:r>
              <w:rPr>
                <w:rFonts w:ascii="宋体" w:hAnsi="宋体" w:eastAsia="宋体" w:cs="宋体"/>
                <w:spacing w:val="2"/>
                <w:position w:val="2"/>
                <w:sz w:val="20"/>
                <w:szCs w:val="20"/>
              </w:rPr>
              <w:t xml:space="preserve"> </w:t>
            </w:r>
            <w:r>
              <w:rPr>
                <w:rFonts w:ascii="宋体" w:hAnsi="宋体" w:eastAsia="宋体" w:cs="宋体"/>
                <w:spacing w:val="2"/>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2"/>
                <w:position w:val="2"/>
                <w:sz w:val="20"/>
                <w:szCs w:val="20"/>
              </w:rPr>
              <w:t>/</w:t>
            </w:r>
            <w:r>
              <w:rPr>
                <w:rFonts w:ascii="Times New Roman" w:hAnsi="Times New Roman" w:eastAsia="Times New Roman" w:cs="Times New Roman"/>
                <w:b/>
                <w:bCs/>
                <w:position w:val="2"/>
                <w:sz w:val="20"/>
                <w:szCs w:val="20"/>
              </w:rPr>
              <w:t>a</w:t>
            </w:r>
            <w:r>
              <w:rPr>
                <w:rFonts w:ascii="Times New Roman" w:hAnsi="Times New Roman" w:eastAsia="Times New Roman" w:cs="Times New Roman"/>
                <w:spacing w:val="1"/>
                <w:position w:val="2"/>
                <w:sz w:val="20"/>
                <w:szCs w:val="20"/>
              </w:rPr>
              <w:t xml:space="preserve"> </w:t>
            </w:r>
            <w:r>
              <w:rPr>
                <w:rFonts w:ascii="宋体" w:hAnsi="宋体" w:eastAsia="宋体" w:cs="宋体"/>
                <w:spacing w:val="1"/>
                <w:position w:val="2"/>
                <w:sz w:val="20"/>
                <w:szCs w:val="20"/>
                <w14:textOutline w14:w="3795" w14:cap="sq" w14:cmpd="sng">
                  <w14:solidFill>
                    <w14:srgbClr w14:val="000000"/>
                  </w14:solidFill>
                  <w14:prstDash w14:val="solid"/>
                  <w14:bevel/>
                </w14:textOutline>
              </w:rPr>
              <w:t>)</w:t>
            </w:r>
          </w:p>
        </w:tc>
        <w:tc>
          <w:tcPr>
            <w:tcW w:w="2130" w:type="dxa"/>
            <w:tcBorders>
              <w:left w:val="single" w:color="000000" w:sz="4" w:space="0"/>
              <w:right w:val="single" w:color="000000" w:sz="4" w:space="0"/>
            </w:tcBorders>
            <w:vAlign w:val="top"/>
          </w:tcPr>
          <w:p w14:paraId="14713AF5">
            <w:pPr>
              <w:spacing w:before="55" w:line="228" w:lineRule="auto"/>
              <w:ind w:left="64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料名称</w:t>
            </w:r>
          </w:p>
        </w:tc>
        <w:tc>
          <w:tcPr>
            <w:tcW w:w="2132" w:type="dxa"/>
            <w:tcBorders>
              <w:left w:val="single" w:color="000000" w:sz="4" w:space="0"/>
              <w:right w:val="nil"/>
            </w:tcBorders>
            <w:vAlign w:val="top"/>
          </w:tcPr>
          <w:p w14:paraId="5E37EBE6">
            <w:pPr>
              <w:spacing w:before="14" w:line="289" w:lineRule="exact"/>
              <w:ind w:left="532"/>
              <w:rPr>
                <w:rFonts w:ascii="宋体" w:hAnsi="宋体" w:eastAsia="宋体" w:cs="宋体"/>
                <w:sz w:val="20"/>
                <w:szCs w:val="20"/>
              </w:rPr>
            </w:pPr>
            <w:r>
              <w:rPr>
                <w:rFonts w:ascii="宋体" w:hAnsi="宋体" w:eastAsia="宋体" w:cs="宋体"/>
                <w:spacing w:val="4"/>
                <w:position w:val="1"/>
                <w:sz w:val="20"/>
                <w:szCs w:val="20"/>
                <w14:textOutline w14:w="3795" w14:cap="sq" w14:cmpd="sng">
                  <w14:solidFill>
                    <w14:srgbClr w14:val="000000"/>
                  </w14:solidFill>
                  <w14:prstDash w14:val="solid"/>
                  <w14:bevel/>
                </w14:textOutline>
              </w:rPr>
              <w:t>产</w:t>
            </w:r>
            <w:r>
              <w:rPr>
                <w:rFonts w:ascii="宋体" w:hAnsi="宋体" w:eastAsia="宋体" w:cs="宋体"/>
                <w:spacing w:val="2"/>
                <w:position w:val="1"/>
                <w:sz w:val="20"/>
                <w:szCs w:val="20"/>
                <w14:textOutline w14:w="3795" w14:cap="sq" w14:cmpd="sng">
                  <w14:solidFill>
                    <w14:srgbClr w14:val="000000"/>
                  </w14:solidFill>
                  <w14:prstDash w14:val="solid"/>
                  <w14:bevel/>
                </w14:textOutline>
              </w:rPr>
              <w:t>量</w:t>
            </w:r>
            <w:r>
              <w:rPr>
                <w:rFonts w:ascii="宋体" w:hAnsi="宋体" w:eastAsia="宋体" w:cs="宋体"/>
                <w:spacing w:val="2"/>
                <w:position w:val="1"/>
                <w:sz w:val="20"/>
                <w:szCs w:val="20"/>
              </w:rPr>
              <w:t xml:space="preserve"> </w:t>
            </w:r>
            <w:r>
              <w:rPr>
                <w:rFonts w:ascii="宋体" w:hAnsi="宋体" w:eastAsia="宋体" w:cs="宋体"/>
                <w:spacing w:val="2"/>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t</w:t>
            </w:r>
            <w:r>
              <w:rPr>
                <w:rFonts w:ascii="Times New Roman" w:hAnsi="Times New Roman" w:eastAsia="Times New Roman" w:cs="Times New Roman"/>
                <w:b/>
                <w:bCs/>
                <w:spacing w:val="2"/>
                <w:position w:val="1"/>
                <w:sz w:val="20"/>
                <w:szCs w:val="20"/>
              </w:rPr>
              <w:t>/</w:t>
            </w:r>
            <w:r>
              <w:rPr>
                <w:rFonts w:ascii="Times New Roman" w:hAnsi="Times New Roman" w:eastAsia="Times New Roman" w:cs="Times New Roman"/>
                <w:b/>
                <w:bCs/>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14:textOutline w14:w="3795" w14:cap="sq" w14:cmpd="sng">
                  <w14:solidFill>
                    <w14:srgbClr w14:val="000000"/>
                  </w14:solidFill>
                  <w14:prstDash w14:val="solid"/>
                  <w14:bevel/>
                </w14:textOutline>
              </w:rPr>
              <w:t>)</w:t>
            </w:r>
          </w:p>
        </w:tc>
      </w:tr>
      <w:tr w14:paraId="4862C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vMerge w:val="restart"/>
            <w:tcBorders>
              <w:left w:val="nil"/>
              <w:bottom w:val="nil"/>
              <w:right w:val="single" w:color="000000" w:sz="4" w:space="0"/>
            </w:tcBorders>
            <w:vAlign w:val="top"/>
          </w:tcPr>
          <w:p w14:paraId="1D04CBDC">
            <w:pPr>
              <w:spacing w:line="319" w:lineRule="auto"/>
              <w:rPr>
                <w:rFonts w:ascii="Arial"/>
                <w:sz w:val="21"/>
              </w:rPr>
            </w:pPr>
          </w:p>
          <w:p w14:paraId="6AC144D3">
            <w:pPr>
              <w:spacing w:line="320" w:lineRule="auto"/>
              <w:rPr>
                <w:rFonts w:ascii="Arial"/>
                <w:sz w:val="21"/>
              </w:rPr>
            </w:pPr>
          </w:p>
          <w:p w14:paraId="4452A15E">
            <w:pPr>
              <w:spacing w:before="65" w:line="228" w:lineRule="auto"/>
              <w:ind w:left="336"/>
              <w:rPr>
                <w:rFonts w:ascii="宋体" w:hAnsi="宋体" w:eastAsia="宋体" w:cs="宋体"/>
                <w:sz w:val="20"/>
                <w:szCs w:val="20"/>
              </w:rPr>
            </w:pPr>
            <w:r>
              <w:rPr>
                <w:rFonts w:ascii="宋体" w:hAnsi="宋体" w:eastAsia="宋体" w:cs="宋体"/>
                <w:spacing w:val="9"/>
                <w:sz w:val="20"/>
                <w:szCs w:val="20"/>
              </w:rPr>
              <w:t>废旧塑料编织</w:t>
            </w:r>
            <w:r>
              <w:rPr>
                <w:rFonts w:ascii="宋体" w:hAnsi="宋体" w:eastAsia="宋体" w:cs="宋体"/>
                <w:spacing w:val="7"/>
                <w:sz w:val="20"/>
                <w:szCs w:val="20"/>
              </w:rPr>
              <w:t>袋</w:t>
            </w:r>
          </w:p>
        </w:tc>
        <w:tc>
          <w:tcPr>
            <w:tcW w:w="2130" w:type="dxa"/>
            <w:vMerge w:val="restart"/>
            <w:tcBorders>
              <w:left w:val="single" w:color="000000" w:sz="4" w:space="0"/>
              <w:bottom w:val="nil"/>
              <w:right w:val="single" w:color="000000" w:sz="4" w:space="0"/>
            </w:tcBorders>
            <w:vAlign w:val="top"/>
          </w:tcPr>
          <w:p w14:paraId="656224CC">
            <w:pPr>
              <w:spacing w:line="341" w:lineRule="auto"/>
              <w:rPr>
                <w:rFonts w:ascii="Arial"/>
                <w:sz w:val="21"/>
              </w:rPr>
            </w:pPr>
          </w:p>
          <w:p w14:paraId="240D7376">
            <w:pPr>
              <w:spacing w:line="341" w:lineRule="auto"/>
              <w:rPr>
                <w:rFonts w:ascii="Arial"/>
                <w:sz w:val="21"/>
              </w:rPr>
            </w:pPr>
          </w:p>
          <w:p w14:paraId="7E1B59C0">
            <w:pPr>
              <w:spacing w:before="58"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w:t>
            </w:r>
            <w:r>
              <w:rPr>
                <w:rFonts w:ascii="Times New Roman" w:hAnsi="Times New Roman" w:eastAsia="Times New Roman" w:cs="Times New Roman"/>
                <w:spacing w:val="1"/>
                <w:sz w:val="20"/>
                <w:szCs w:val="20"/>
              </w:rPr>
              <w:t>100</w:t>
            </w:r>
          </w:p>
        </w:tc>
        <w:tc>
          <w:tcPr>
            <w:tcW w:w="2130" w:type="dxa"/>
            <w:tcBorders>
              <w:left w:val="single" w:color="000000" w:sz="4" w:space="0"/>
              <w:right w:val="single" w:color="000000" w:sz="4" w:space="0"/>
            </w:tcBorders>
            <w:vAlign w:val="top"/>
          </w:tcPr>
          <w:p w14:paraId="243624D1">
            <w:pPr>
              <w:spacing w:before="56" w:line="228" w:lineRule="auto"/>
              <w:ind w:left="441"/>
              <w:rPr>
                <w:rFonts w:ascii="宋体" w:hAnsi="宋体" w:eastAsia="宋体" w:cs="宋体"/>
                <w:sz w:val="20"/>
                <w:szCs w:val="20"/>
              </w:rPr>
            </w:pPr>
            <w:r>
              <w:rPr>
                <w:rFonts w:ascii="宋体" w:hAnsi="宋体" w:eastAsia="宋体" w:cs="宋体"/>
                <w:spacing w:val="10"/>
                <w:sz w:val="20"/>
                <w:szCs w:val="20"/>
              </w:rPr>
              <w:t>塑</w:t>
            </w:r>
            <w:r>
              <w:rPr>
                <w:rFonts w:ascii="宋体" w:hAnsi="宋体" w:eastAsia="宋体" w:cs="宋体"/>
                <w:spacing w:val="7"/>
                <w:sz w:val="20"/>
                <w:szCs w:val="20"/>
              </w:rPr>
              <w:t>料再生颗粒</w:t>
            </w:r>
          </w:p>
        </w:tc>
        <w:tc>
          <w:tcPr>
            <w:tcW w:w="2132" w:type="dxa"/>
            <w:tcBorders>
              <w:left w:val="single" w:color="000000" w:sz="4" w:space="0"/>
              <w:right w:val="nil"/>
            </w:tcBorders>
            <w:vAlign w:val="top"/>
          </w:tcPr>
          <w:p w14:paraId="4BBF3E7C">
            <w:pPr>
              <w:spacing w:before="91" w:line="195"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9999. 1</w:t>
            </w:r>
          </w:p>
        </w:tc>
      </w:tr>
      <w:tr w14:paraId="103CA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vMerge w:val="continue"/>
            <w:tcBorders>
              <w:top w:val="nil"/>
              <w:left w:val="nil"/>
              <w:bottom w:val="nil"/>
              <w:right w:val="single" w:color="000000" w:sz="4" w:space="0"/>
            </w:tcBorders>
            <w:vAlign w:val="top"/>
          </w:tcPr>
          <w:p w14:paraId="37AFD491">
            <w:pPr>
              <w:rPr>
                <w:rFonts w:ascii="Arial"/>
                <w:sz w:val="21"/>
              </w:rPr>
            </w:pPr>
          </w:p>
        </w:tc>
        <w:tc>
          <w:tcPr>
            <w:tcW w:w="2130" w:type="dxa"/>
            <w:vMerge w:val="continue"/>
            <w:tcBorders>
              <w:top w:val="nil"/>
              <w:left w:val="single" w:color="000000" w:sz="4" w:space="0"/>
              <w:bottom w:val="nil"/>
              <w:right w:val="single" w:color="000000" w:sz="4" w:space="0"/>
            </w:tcBorders>
            <w:vAlign w:val="top"/>
          </w:tcPr>
          <w:p w14:paraId="7813C710">
            <w:pPr>
              <w:rPr>
                <w:rFonts w:ascii="Arial"/>
                <w:sz w:val="21"/>
              </w:rPr>
            </w:pPr>
          </w:p>
        </w:tc>
        <w:tc>
          <w:tcPr>
            <w:tcW w:w="2130" w:type="dxa"/>
            <w:tcBorders>
              <w:left w:val="single" w:color="000000" w:sz="4" w:space="0"/>
              <w:right w:val="single" w:color="000000" w:sz="4" w:space="0"/>
            </w:tcBorders>
            <w:vAlign w:val="top"/>
          </w:tcPr>
          <w:p w14:paraId="65E0ECDB">
            <w:pPr>
              <w:spacing w:before="55" w:line="228" w:lineRule="auto"/>
              <w:ind w:left="859"/>
              <w:rPr>
                <w:rFonts w:ascii="宋体" w:hAnsi="宋体" w:eastAsia="宋体" w:cs="宋体"/>
                <w:sz w:val="20"/>
                <w:szCs w:val="20"/>
              </w:rPr>
            </w:pPr>
            <w:r>
              <w:rPr>
                <w:rFonts w:ascii="宋体" w:hAnsi="宋体" w:eastAsia="宋体" w:cs="宋体"/>
                <w:spacing w:val="4"/>
                <w:sz w:val="20"/>
                <w:szCs w:val="20"/>
              </w:rPr>
              <w:t>杂</w:t>
            </w:r>
            <w:r>
              <w:rPr>
                <w:rFonts w:ascii="宋体" w:hAnsi="宋体" w:eastAsia="宋体" w:cs="宋体"/>
                <w:spacing w:val="3"/>
                <w:sz w:val="20"/>
                <w:szCs w:val="20"/>
              </w:rPr>
              <w:t>质</w:t>
            </w:r>
          </w:p>
        </w:tc>
        <w:tc>
          <w:tcPr>
            <w:tcW w:w="2132" w:type="dxa"/>
            <w:tcBorders>
              <w:left w:val="single" w:color="000000" w:sz="4" w:space="0"/>
              <w:right w:val="nil"/>
            </w:tcBorders>
            <w:vAlign w:val="top"/>
          </w:tcPr>
          <w:p w14:paraId="16F1BDE6">
            <w:pPr>
              <w:spacing w:before="91"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1022</w:t>
            </w:r>
          </w:p>
        </w:tc>
      </w:tr>
      <w:tr w14:paraId="5A82D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vMerge w:val="continue"/>
            <w:tcBorders>
              <w:top w:val="nil"/>
              <w:left w:val="nil"/>
              <w:bottom w:val="nil"/>
              <w:right w:val="single" w:color="000000" w:sz="4" w:space="0"/>
            </w:tcBorders>
            <w:vAlign w:val="top"/>
          </w:tcPr>
          <w:p w14:paraId="01D084DC">
            <w:pPr>
              <w:rPr>
                <w:rFonts w:ascii="Arial"/>
                <w:sz w:val="21"/>
              </w:rPr>
            </w:pPr>
          </w:p>
        </w:tc>
        <w:tc>
          <w:tcPr>
            <w:tcW w:w="2130" w:type="dxa"/>
            <w:vMerge w:val="continue"/>
            <w:tcBorders>
              <w:top w:val="nil"/>
              <w:left w:val="single" w:color="000000" w:sz="4" w:space="0"/>
              <w:bottom w:val="nil"/>
              <w:right w:val="single" w:color="000000" w:sz="4" w:space="0"/>
            </w:tcBorders>
            <w:vAlign w:val="top"/>
          </w:tcPr>
          <w:p w14:paraId="6909EED1">
            <w:pPr>
              <w:rPr>
                <w:rFonts w:ascii="Arial"/>
                <w:sz w:val="21"/>
              </w:rPr>
            </w:pPr>
          </w:p>
        </w:tc>
        <w:tc>
          <w:tcPr>
            <w:tcW w:w="2130" w:type="dxa"/>
            <w:tcBorders>
              <w:left w:val="single" w:color="000000" w:sz="4" w:space="0"/>
              <w:right w:val="single" w:color="000000" w:sz="4" w:space="0"/>
            </w:tcBorders>
            <w:vAlign w:val="top"/>
          </w:tcPr>
          <w:p w14:paraId="24D4B74D">
            <w:pPr>
              <w:spacing w:before="56" w:line="228" w:lineRule="auto"/>
              <w:ind w:left="856"/>
              <w:rPr>
                <w:rFonts w:ascii="宋体" w:hAnsi="宋体" w:eastAsia="宋体" w:cs="宋体"/>
                <w:sz w:val="20"/>
                <w:szCs w:val="20"/>
              </w:rPr>
            </w:pPr>
            <w:r>
              <w:rPr>
                <w:rFonts w:ascii="宋体" w:hAnsi="宋体" w:eastAsia="宋体" w:cs="宋体"/>
                <w:spacing w:val="5"/>
                <w:sz w:val="20"/>
                <w:szCs w:val="20"/>
              </w:rPr>
              <w:t>粉尘</w:t>
            </w:r>
          </w:p>
        </w:tc>
        <w:tc>
          <w:tcPr>
            <w:tcW w:w="2132" w:type="dxa"/>
            <w:tcBorders>
              <w:left w:val="single" w:color="000000" w:sz="4" w:space="0"/>
              <w:right w:val="nil"/>
            </w:tcBorders>
            <w:vAlign w:val="top"/>
          </w:tcPr>
          <w:p w14:paraId="6EFFAEB0">
            <w:pPr>
              <w:spacing w:before="92" w:line="198"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02</w:t>
            </w:r>
          </w:p>
        </w:tc>
      </w:tr>
      <w:tr w14:paraId="1621D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vMerge w:val="continue"/>
            <w:tcBorders>
              <w:top w:val="nil"/>
              <w:left w:val="nil"/>
              <w:bottom w:val="nil"/>
              <w:right w:val="single" w:color="000000" w:sz="4" w:space="0"/>
            </w:tcBorders>
            <w:vAlign w:val="top"/>
          </w:tcPr>
          <w:p w14:paraId="065D5ABA">
            <w:pPr>
              <w:rPr>
                <w:rFonts w:ascii="Arial"/>
                <w:sz w:val="21"/>
              </w:rPr>
            </w:pPr>
          </w:p>
        </w:tc>
        <w:tc>
          <w:tcPr>
            <w:tcW w:w="2130" w:type="dxa"/>
            <w:vMerge w:val="continue"/>
            <w:tcBorders>
              <w:top w:val="nil"/>
              <w:left w:val="single" w:color="000000" w:sz="4" w:space="0"/>
              <w:bottom w:val="nil"/>
              <w:right w:val="single" w:color="000000" w:sz="4" w:space="0"/>
            </w:tcBorders>
            <w:vAlign w:val="top"/>
          </w:tcPr>
          <w:p w14:paraId="02BFECDB">
            <w:pPr>
              <w:rPr>
                <w:rFonts w:ascii="Arial"/>
                <w:sz w:val="21"/>
              </w:rPr>
            </w:pPr>
          </w:p>
        </w:tc>
        <w:tc>
          <w:tcPr>
            <w:tcW w:w="2130" w:type="dxa"/>
            <w:tcBorders>
              <w:left w:val="single" w:color="000000" w:sz="4" w:space="0"/>
              <w:right w:val="single" w:color="000000" w:sz="4" w:space="0"/>
            </w:tcBorders>
            <w:vAlign w:val="top"/>
          </w:tcPr>
          <w:p w14:paraId="6B7ED61E">
            <w:pPr>
              <w:spacing w:before="59" w:line="230" w:lineRule="auto"/>
              <w:ind w:left="859"/>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2132" w:type="dxa"/>
            <w:tcBorders>
              <w:left w:val="single" w:color="000000" w:sz="4" w:space="0"/>
              <w:right w:val="nil"/>
            </w:tcBorders>
            <w:vAlign w:val="top"/>
          </w:tcPr>
          <w:p w14:paraId="0762528E">
            <w:pPr>
              <w:spacing w:before="95" w:line="195"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r>
      <w:tr w14:paraId="5C7BB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vMerge w:val="continue"/>
            <w:tcBorders>
              <w:top w:val="nil"/>
              <w:left w:val="nil"/>
              <w:right w:val="single" w:color="000000" w:sz="4" w:space="0"/>
            </w:tcBorders>
            <w:vAlign w:val="top"/>
          </w:tcPr>
          <w:p w14:paraId="62964FEF">
            <w:pPr>
              <w:rPr>
                <w:rFonts w:ascii="Arial"/>
                <w:sz w:val="21"/>
              </w:rPr>
            </w:pPr>
          </w:p>
        </w:tc>
        <w:tc>
          <w:tcPr>
            <w:tcW w:w="2130" w:type="dxa"/>
            <w:vMerge w:val="continue"/>
            <w:tcBorders>
              <w:top w:val="nil"/>
              <w:left w:val="single" w:color="000000" w:sz="4" w:space="0"/>
              <w:right w:val="single" w:color="000000" w:sz="4" w:space="0"/>
            </w:tcBorders>
            <w:vAlign w:val="top"/>
          </w:tcPr>
          <w:p w14:paraId="2850640D">
            <w:pPr>
              <w:rPr>
                <w:rFonts w:ascii="Arial"/>
                <w:sz w:val="21"/>
              </w:rPr>
            </w:pPr>
          </w:p>
        </w:tc>
        <w:tc>
          <w:tcPr>
            <w:tcW w:w="2130" w:type="dxa"/>
            <w:tcBorders>
              <w:left w:val="single" w:color="000000" w:sz="4" w:space="0"/>
              <w:right w:val="single" w:color="000000" w:sz="4" w:space="0"/>
            </w:tcBorders>
            <w:vAlign w:val="top"/>
          </w:tcPr>
          <w:p w14:paraId="1C5A6CBB">
            <w:pPr>
              <w:spacing w:before="60" w:line="228" w:lineRule="auto"/>
              <w:ind w:left="546"/>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2132" w:type="dxa"/>
            <w:tcBorders>
              <w:left w:val="single" w:color="000000" w:sz="4" w:space="0"/>
              <w:right w:val="nil"/>
            </w:tcBorders>
            <w:vAlign w:val="top"/>
          </w:tcPr>
          <w:p w14:paraId="06486081">
            <w:pPr>
              <w:spacing w:before="95" w:line="195"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7.88</w:t>
            </w:r>
          </w:p>
        </w:tc>
      </w:tr>
      <w:tr w14:paraId="5BA56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6DAE1022">
            <w:pPr>
              <w:spacing w:before="59" w:line="229" w:lineRule="auto"/>
              <w:ind w:left="868"/>
              <w:rPr>
                <w:rFonts w:ascii="宋体" w:hAnsi="宋体" w:eastAsia="宋体" w:cs="宋体"/>
                <w:sz w:val="20"/>
                <w:szCs w:val="20"/>
              </w:rPr>
            </w:pPr>
            <w:r>
              <w:rPr>
                <w:rFonts w:ascii="宋体" w:hAnsi="宋体" w:eastAsia="宋体" w:cs="宋体"/>
                <w:spacing w:val="2"/>
                <w:sz w:val="20"/>
                <w:szCs w:val="20"/>
              </w:rPr>
              <w:t>总计</w:t>
            </w:r>
          </w:p>
        </w:tc>
        <w:tc>
          <w:tcPr>
            <w:tcW w:w="2130" w:type="dxa"/>
            <w:tcBorders>
              <w:left w:val="single" w:color="000000" w:sz="4" w:space="0"/>
              <w:right w:val="single" w:color="000000" w:sz="4" w:space="0"/>
            </w:tcBorders>
            <w:vAlign w:val="top"/>
          </w:tcPr>
          <w:p w14:paraId="2B0E1527">
            <w:pPr>
              <w:spacing w:before="94"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w:t>
            </w:r>
            <w:r>
              <w:rPr>
                <w:rFonts w:ascii="Times New Roman" w:hAnsi="Times New Roman" w:eastAsia="Times New Roman" w:cs="Times New Roman"/>
                <w:spacing w:val="1"/>
                <w:sz w:val="20"/>
                <w:szCs w:val="20"/>
              </w:rPr>
              <w:t>100</w:t>
            </w:r>
          </w:p>
        </w:tc>
        <w:tc>
          <w:tcPr>
            <w:tcW w:w="2130" w:type="dxa"/>
            <w:tcBorders>
              <w:left w:val="single" w:color="000000" w:sz="4" w:space="0"/>
              <w:right w:val="single" w:color="000000" w:sz="4" w:space="0"/>
            </w:tcBorders>
            <w:vAlign w:val="top"/>
          </w:tcPr>
          <w:p w14:paraId="36DA51F4">
            <w:pPr>
              <w:spacing w:before="59" w:line="229" w:lineRule="auto"/>
              <w:ind w:left="863"/>
              <w:rPr>
                <w:rFonts w:ascii="宋体" w:hAnsi="宋体" w:eastAsia="宋体" w:cs="宋体"/>
                <w:sz w:val="20"/>
                <w:szCs w:val="20"/>
              </w:rPr>
            </w:pPr>
            <w:r>
              <w:rPr>
                <w:rFonts w:ascii="宋体" w:hAnsi="宋体" w:eastAsia="宋体" w:cs="宋体"/>
                <w:spacing w:val="2"/>
                <w:sz w:val="20"/>
                <w:szCs w:val="20"/>
              </w:rPr>
              <w:t>总计</w:t>
            </w:r>
          </w:p>
        </w:tc>
        <w:tc>
          <w:tcPr>
            <w:tcW w:w="2132" w:type="dxa"/>
            <w:tcBorders>
              <w:left w:val="single" w:color="000000" w:sz="4" w:space="0"/>
              <w:right w:val="nil"/>
            </w:tcBorders>
            <w:vAlign w:val="top"/>
          </w:tcPr>
          <w:p w14:paraId="234433E6">
            <w:pPr>
              <w:spacing w:before="94"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w:t>
            </w:r>
            <w:r>
              <w:rPr>
                <w:rFonts w:ascii="Times New Roman" w:hAnsi="Times New Roman" w:eastAsia="Times New Roman" w:cs="Times New Roman"/>
                <w:spacing w:val="1"/>
                <w:sz w:val="20"/>
                <w:szCs w:val="20"/>
              </w:rPr>
              <w:t>100</w:t>
            </w:r>
          </w:p>
        </w:tc>
      </w:tr>
    </w:tbl>
    <w:p w14:paraId="78CDEFEA">
      <w:pPr>
        <w:spacing w:before="300" w:line="221" w:lineRule="auto"/>
        <w:ind w:left="112"/>
        <w:outlineLvl w:val="3"/>
        <w:rPr>
          <w:rFonts w:ascii="宋体" w:hAnsi="宋体" w:eastAsia="宋体" w:cs="宋体"/>
          <w:sz w:val="28"/>
          <w:szCs w:val="28"/>
        </w:rPr>
      </w:pPr>
      <w:r>
        <w:rPr>
          <w:rFonts w:ascii="Times New Roman" w:hAnsi="Times New Roman" w:eastAsia="Times New Roman" w:cs="Times New Roman"/>
          <w:b/>
          <w:bCs/>
          <w:spacing w:val="8"/>
          <w:sz w:val="28"/>
          <w:szCs w:val="28"/>
        </w:rPr>
        <w:t>3.2.2.4</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污染源强分</w:t>
      </w:r>
      <w:r>
        <w:rPr>
          <w:rFonts w:ascii="宋体" w:hAnsi="宋体" w:eastAsia="宋体" w:cs="宋体"/>
          <w:spacing w:val="5"/>
          <w:sz w:val="28"/>
          <w:szCs w:val="28"/>
          <w14:textOutline w14:w="5103" w14:cap="sq" w14:cmpd="sng">
            <w14:solidFill>
              <w14:srgbClr w14:val="000000"/>
            </w14:solidFill>
            <w14:prstDash w14:val="solid"/>
            <w14:bevel/>
          </w14:textOutline>
        </w:rPr>
        <w:t>析</w:t>
      </w:r>
    </w:p>
    <w:p w14:paraId="30F4F978">
      <w:pPr>
        <w:spacing w:line="260" w:lineRule="auto"/>
        <w:rPr>
          <w:rFonts w:ascii="Arial"/>
          <w:sz w:val="21"/>
        </w:rPr>
      </w:pPr>
    </w:p>
    <w:p w14:paraId="232EB9C5">
      <w:pPr>
        <w:spacing w:before="75" w:line="228" w:lineRule="auto"/>
        <w:ind w:left="608"/>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1</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大气污染物排放分</w:t>
      </w:r>
      <w:r>
        <w:rPr>
          <w:rFonts w:ascii="宋体" w:hAnsi="宋体" w:eastAsia="宋体" w:cs="宋体"/>
          <w:spacing w:val="14"/>
          <w:sz w:val="23"/>
          <w:szCs w:val="23"/>
          <w14:textOutline w14:w="4358" w14:cap="sq" w14:cmpd="sng">
            <w14:solidFill>
              <w14:srgbClr w14:val="000000"/>
            </w14:solidFill>
            <w14:prstDash w14:val="solid"/>
            <w14:bevel/>
          </w14:textOutline>
        </w:rPr>
        <w:t>析</w:t>
      </w:r>
    </w:p>
    <w:p w14:paraId="38076DFC">
      <w:pPr>
        <w:spacing w:line="275" w:lineRule="auto"/>
        <w:rPr>
          <w:rFonts w:ascii="Arial"/>
          <w:sz w:val="21"/>
        </w:rPr>
      </w:pPr>
    </w:p>
    <w:p w14:paraId="270B0242">
      <w:pPr>
        <w:spacing w:before="76" w:line="393" w:lineRule="auto"/>
        <w:ind w:left="122" w:right="27" w:firstLine="475"/>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11"/>
          <w:sz w:val="23"/>
          <w:szCs w:val="23"/>
        </w:rPr>
        <w:t>据</w:t>
      </w:r>
      <w:r>
        <w:rPr>
          <w:rFonts w:ascii="宋体" w:hAnsi="宋体" w:eastAsia="宋体" w:cs="宋体"/>
          <w:spacing w:val="7"/>
          <w:sz w:val="23"/>
          <w:szCs w:val="23"/>
        </w:rPr>
        <w:t>工程分析，该项目运营期大气污染物主要有分拣工序产生粉尘 (</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1</w:t>
      </w:r>
      <w:r>
        <w:rPr>
          <w:rFonts w:ascii="宋体" w:hAnsi="宋体" w:eastAsia="宋体" w:cs="宋体"/>
          <w:spacing w:val="7"/>
          <w:sz w:val="23"/>
          <w:szCs w:val="23"/>
        </w:rPr>
        <w:t>) 、</w:t>
      </w:r>
      <w:r>
        <w:rPr>
          <w:rFonts w:ascii="宋体" w:hAnsi="宋体" w:eastAsia="宋体" w:cs="宋体"/>
          <w:sz w:val="23"/>
          <w:szCs w:val="23"/>
        </w:rPr>
        <w:t xml:space="preserve"> </w:t>
      </w:r>
      <w:r>
        <w:rPr>
          <w:rFonts w:ascii="宋体" w:hAnsi="宋体" w:eastAsia="宋体" w:cs="宋体"/>
          <w:spacing w:val="6"/>
          <w:sz w:val="23"/>
          <w:szCs w:val="23"/>
        </w:rPr>
        <w:t>热熔、造粒工序产生非甲烷总烃(</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2</w:t>
      </w:r>
      <w:r>
        <w:rPr>
          <w:rFonts w:ascii="宋体" w:hAnsi="宋体" w:eastAsia="宋体" w:cs="宋体"/>
          <w:spacing w:val="6"/>
          <w:sz w:val="23"/>
          <w:szCs w:val="23"/>
        </w:rPr>
        <w:t>)以及洗字工序所用热风炉产生的烟气(</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3</w:t>
      </w:r>
      <w:r>
        <w:rPr>
          <w:rFonts w:ascii="宋体" w:hAnsi="宋体" w:eastAsia="宋体" w:cs="宋体"/>
          <w:spacing w:val="6"/>
          <w:sz w:val="23"/>
          <w:szCs w:val="23"/>
        </w:rPr>
        <w:t>)</w:t>
      </w:r>
      <w:r>
        <w:rPr>
          <w:rFonts w:ascii="宋体" w:hAnsi="宋体" w:eastAsia="宋体" w:cs="宋体"/>
          <w:spacing w:val="4"/>
          <w:sz w:val="23"/>
          <w:szCs w:val="23"/>
        </w:rPr>
        <w:t>。</w:t>
      </w:r>
    </w:p>
    <w:p w14:paraId="69DEE73F">
      <w:pPr>
        <w:spacing w:before="136" w:line="225" w:lineRule="auto"/>
        <w:ind w:left="596"/>
        <w:rPr>
          <w:rFonts w:ascii="宋体" w:hAnsi="宋体" w:eastAsia="宋体" w:cs="宋体"/>
          <w:sz w:val="23"/>
          <w:szCs w:val="23"/>
        </w:rPr>
      </w:pPr>
      <w:r>
        <w:rPr>
          <w:rFonts w:ascii="宋体" w:hAnsi="宋体" w:eastAsia="宋体" w:cs="宋体"/>
          <w:spacing w:val="7"/>
          <w:sz w:val="23"/>
          <w:szCs w:val="23"/>
        </w:rPr>
        <w:t>①分拣粉尘 (</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1</w:t>
      </w:r>
      <w:r>
        <w:rPr>
          <w:rFonts w:ascii="宋体" w:hAnsi="宋体" w:eastAsia="宋体" w:cs="宋体"/>
          <w:spacing w:val="7"/>
          <w:sz w:val="23"/>
          <w:szCs w:val="23"/>
        </w:rPr>
        <w:t>)</w:t>
      </w:r>
    </w:p>
    <w:p w14:paraId="23BF26BE">
      <w:pPr>
        <w:spacing w:line="280" w:lineRule="auto"/>
        <w:rPr>
          <w:rFonts w:ascii="Arial"/>
          <w:sz w:val="21"/>
        </w:rPr>
      </w:pPr>
    </w:p>
    <w:p w14:paraId="14D16B36">
      <w:pPr>
        <w:spacing w:before="76" w:line="385" w:lineRule="auto"/>
        <w:ind w:left="116" w:right="25" w:firstLine="484"/>
        <w:rPr>
          <w:rFonts w:ascii="宋体" w:hAnsi="宋体" w:eastAsia="宋体" w:cs="宋体"/>
          <w:sz w:val="23"/>
          <w:szCs w:val="23"/>
        </w:rPr>
      </w:pPr>
      <w:r>
        <w:rPr>
          <w:rFonts w:ascii="宋体" w:hAnsi="宋体" w:eastAsia="宋体" w:cs="宋体"/>
          <w:spacing w:val="10"/>
          <w:sz w:val="23"/>
          <w:szCs w:val="23"/>
        </w:rPr>
        <w:t>该项目原料</w:t>
      </w:r>
      <w:r>
        <w:rPr>
          <w:rFonts w:ascii="宋体" w:hAnsi="宋体" w:eastAsia="宋体" w:cs="宋体"/>
          <w:spacing w:val="9"/>
          <w:sz w:val="23"/>
          <w:szCs w:val="23"/>
        </w:rPr>
        <w:t>库</w:t>
      </w:r>
      <w:r>
        <w:rPr>
          <w:rFonts w:ascii="宋体" w:hAnsi="宋体" w:eastAsia="宋体" w:cs="宋体"/>
          <w:spacing w:val="5"/>
          <w:sz w:val="23"/>
          <w:szCs w:val="23"/>
        </w:rPr>
        <w:t xml:space="preserve">房位于生产厂房东北侧，建筑面积 </w:t>
      </w:r>
      <w:r>
        <w:rPr>
          <w:rFonts w:ascii="Times New Roman" w:hAnsi="Times New Roman" w:eastAsia="Times New Roman" w:cs="Times New Roman"/>
          <w:spacing w:val="5"/>
          <w:sz w:val="23"/>
          <w:szCs w:val="23"/>
        </w:rPr>
        <w:t>200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2 </w:t>
      </w:r>
      <w:r>
        <w:rPr>
          <w:rFonts w:ascii="宋体" w:hAnsi="宋体" w:eastAsia="宋体" w:cs="宋体"/>
          <w:spacing w:val="5"/>
          <w:sz w:val="23"/>
          <w:szCs w:val="23"/>
        </w:rPr>
        <w:t xml:space="preserve">，用于存储 </w:t>
      </w:r>
      <w:r>
        <w:rPr>
          <w:rFonts w:ascii="Times New Roman" w:hAnsi="Times New Roman" w:eastAsia="Times New Roman" w:cs="Times New Roman"/>
          <w:spacing w:val="5"/>
          <w:sz w:val="23"/>
          <w:szCs w:val="23"/>
        </w:rPr>
        <w:t xml:space="preserve">10 </w:t>
      </w:r>
      <w:r>
        <w:rPr>
          <w:rFonts w:ascii="宋体" w:hAnsi="宋体" w:eastAsia="宋体" w:cs="宋体"/>
          <w:spacing w:val="5"/>
          <w:sz w:val="23"/>
          <w:szCs w:val="23"/>
        </w:rPr>
        <w:t>条生</w:t>
      </w:r>
      <w:r>
        <w:rPr>
          <w:rFonts w:ascii="宋体" w:hAnsi="宋体" w:eastAsia="宋体" w:cs="宋体"/>
          <w:sz w:val="23"/>
          <w:szCs w:val="23"/>
        </w:rPr>
        <w:t xml:space="preserve"> </w:t>
      </w:r>
      <w:r>
        <w:rPr>
          <w:rFonts w:ascii="宋体" w:hAnsi="宋体" w:eastAsia="宋体" w:cs="宋体"/>
          <w:spacing w:val="-1"/>
          <w:sz w:val="23"/>
          <w:szCs w:val="23"/>
        </w:rPr>
        <w:t>产线所用原料 (废旧塑料编织袋) ，堆存量</w:t>
      </w:r>
      <w:r>
        <w:rPr>
          <w:rFonts w:ascii="宋体" w:hAnsi="宋体" w:eastAsia="宋体" w:cs="宋体"/>
          <w:sz w:val="23"/>
          <w:szCs w:val="23"/>
        </w:rPr>
        <w:t xml:space="preserve">为 </w:t>
      </w:r>
      <w:r>
        <w:rPr>
          <w:rFonts w:ascii="Times New Roman" w:hAnsi="Times New Roman" w:eastAsia="Times New Roman" w:cs="Times New Roman"/>
          <w:sz w:val="23"/>
          <w:szCs w:val="23"/>
        </w:rPr>
        <w:t xml:space="preserve">400t </w:t>
      </w:r>
      <w:r>
        <w:rPr>
          <w:rFonts w:ascii="宋体" w:hAnsi="宋体" w:eastAsia="宋体" w:cs="宋体"/>
          <w:sz w:val="23"/>
          <w:szCs w:val="23"/>
        </w:rPr>
        <w:t xml:space="preserve">，可供 </w:t>
      </w:r>
      <w:r>
        <w:rPr>
          <w:rFonts w:ascii="Times New Roman" w:hAnsi="Times New Roman" w:eastAsia="Times New Roman" w:cs="Times New Roman"/>
          <w:sz w:val="23"/>
          <w:szCs w:val="23"/>
        </w:rPr>
        <w:t xml:space="preserve">10 </w:t>
      </w:r>
      <w:r>
        <w:rPr>
          <w:rFonts w:ascii="宋体" w:hAnsi="宋体" w:eastAsia="宋体" w:cs="宋体"/>
          <w:sz w:val="23"/>
          <w:szCs w:val="23"/>
        </w:rPr>
        <w:t xml:space="preserve">条生产线生产 </w:t>
      </w:r>
      <w:r>
        <w:rPr>
          <w:rFonts w:ascii="Times New Roman" w:hAnsi="Times New Roman" w:eastAsia="Times New Roman" w:cs="Times New Roman"/>
          <w:sz w:val="23"/>
          <w:szCs w:val="23"/>
        </w:rPr>
        <w:t xml:space="preserve">2 </w:t>
      </w:r>
      <w:r>
        <w:rPr>
          <w:rFonts w:ascii="宋体" w:hAnsi="宋体" w:eastAsia="宋体" w:cs="宋体"/>
          <w:sz w:val="23"/>
          <w:szCs w:val="23"/>
        </w:rPr>
        <w:t xml:space="preserve">天。 </w:t>
      </w:r>
      <w:r>
        <w:rPr>
          <w:rFonts w:ascii="宋体" w:hAnsi="宋体" w:eastAsia="宋体" w:cs="宋体"/>
          <w:spacing w:val="10"/>
          <w:sz w:val="23"/>
          <w:szCs w:val="23"/>
        </w:rPr>
        <w:t>项</w:t>
      </w:r>
      <w:r>
        <w:rPr>
          <w:rFonts w:ascii="宋体" w:hAnsi="宋体" w:eastAsia="宋体" w:cs="宋体"/>
          <w:spacing w:val="7"/>
          <w:sz w:val="23"/>
          <w:szCs w:val="23"/>
        </w:rPr>
        <w:t>目所用原料为废塑料编织袋，均外购于本溪宏远集团北台再生资源有限责任公</w:t>
      </w:r>
      <w:r>
        <w:rPr>
          <w:rFonts w:ascii="宋体" w:hAnsi="宋体" w:eastAsia="宋体" w:cs="宋体"/>
          <w:sz w:val="23"/>
          <w:szCs w:val="23"/>
        </w:rPr>
        <w:t xml:space="preserve"> </w:t>
      </w:r>
      <w:r>
        <w:rPr>
          <w:rFonts w:ascii="宋体" w:hAnsi="宋体" w:eastAsia="宋体" w:cs="宋体"/>
          <w:spacing w:val="9"/>
          <w:sz w:val="23"/>
          <w:szCs w:val="23"/>
        </w:rPr>
        <w:t>司</w:t>
      </w:r>
      <w:r>
        <w:rPr>
          <w:rFonts w:ascii="宋体" w:hAnsi="宋体" w:eastAsia="宋体" w:cs="宋体"/>
          <w:spacing w:val="7"/>
          <w:sz w:val="23"/>
          <w:szCs w:val="23"/>
        </w:rPr>
        <w:t>及平山区利安建材城，为本溪宏远集团北台再生资源有限责任公司收购北台钢</w:t>
      </w:r>
      <w:r>
        <w:rPr>
          <w:rFonts w:ascii="宋体" w:hAnsi="宋体" w:eastAsia="宋体" w:cs="宋体"/>
          <w:sz w:val="23"/>
          <w:szCs w:val="23"/>
        </w:rPr>
        <w:t xml:space="preserve"> </w:t>
      </w:r>
      <w:r>
        <w:rPr>
          <w:rFonts w:ascii="宋体" w:hAnsi="宋体" w:eastAsia="宋体" w:cs="宋体"/>
          <w:spacing w:val="12"/>
          <w:sz w:val="23"/>
          <w:szCs w:val="23"/>
        </w:rPr>
        <w:t>铁 (集</w:t>
      </w:r>
      <w:r>
        <w:rPr>
          <w:rFonts w:ascii="宋体" w:hAnsi="宋体" w:eastAsia="宋体" w:cs="宋体"/>
          <w:spacing w:val="7"/>
          <w:sz w:val="23"/>
          <w:szCs w:val="23"/>
        </w:rPr>
        <w:t>团</w:t>
      </w:r>
      <w:r>
        <w:rPr>
          <w:rFonts w:ascii="宋体" w:hAnsi="宋体" w:eastAsia="宋体" w:cs="宋体"/>
          <w:spacing w:val="6"/>
          <w:sz w:val="23"/>
          <w:szCs w:val="23"/>
        </w:rPr>
        <w:t>) 有限责任公司所用原料合金铁及铝锭的废包装袋及平山区利安建材城</w:t>
      </w:r>
    </w:p>
    <w:p w14:paraId="572BD0E7">
      <w:pPr>
        <w:sectPr>
          <w:footerReference r:id="rId122" w:type="default"/>
          <w:pgSz w:w="11906" w:h="16839"/>
          <w:pgMar w:top="1132" w:right="1691" w:bottom="1182" w:left="1691" w:header="878" w:footer="1022" w:gutter="0"/>
          <w:cols w:space="720" w:num="1"/>
        </w:sectPr>
      </w:pPr>
    </w:p>
    <w:p w14:paraId="1E92FAC6">
      <w:pPr>
        <w:spacing w:line="407" w:lineRule="auto"/>
        <w:rPr>
          <w:rFonts w:ascii="Arial"/>
          <w:sz w:val="21"/>
        </w:rPr>
      </w:pPr>
      <w:r>
        <w:pict>
          <v:shape id="_x0000_s1172" o:spid="_x0000_s1172" style="position:absolute;left:0pt;margin-left:90pt;margin-top:57.35pt;height:0.75pt;width:415.3pt;mso-position-horizontal-relative:page;mso-position-vertical-relative:page;z-index:251810816;mso-width-relative:page;mso-height-relative:page;" fillcolor="#000000" filled="t" stroked="f" coordsize="8305,15" o:allowincell="f" path="m0,0l8305,0,8305,14,0,14,0,0xe">
            <v:path/>
            <v:fill on="t" focussize="0,0"/>
            <v:stroke on="f"/>
            <v:imagedata o:title=""/>
            <o:lock v:ext="edit"/>
          </v:shape>
        </w:pict>
      </w:r>
    </w:p>
    <w:p w14:paraId="7E040FCC">
      <w:pPr>
        <w:spacing w:before="75" w:line="391" w:lineRule="auto"/>
        <w:ind w:left="25" w:right="35" w:hanging="2"/>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销售砂子的废包装袋，主要成分为聚乙烯、聚丙烯。购进的原料已经经过初步</w:t>
      </w:r>
      <w:r>
        <w:rPr>
          <w:rFonts w:ascii="宋体" w:hAnsi="宋体" w:eastAsia="宋体" w:cs="宋体"/>
          <w:sz w:val="23"/>
          <w:szCs w:val="23"/>
        </w:rPr>
        <w:t xml:space="preserve"> </w:t>
      </w:r>
      <w:r>
        <w:rPr>
          <w:rFonts w:ascii="宋体" w:hAnsi="宋体" w:eastAsia="宋体" w:cs="宋体"/>
          <w:spacing w:val="7"/>
          <w:sz w:val="23"/>
          <w:szCs w:val="23"/>
        </w:rPr>
        <w:t>的分选，为了保证产品质量，外购的废旧塑料编织袋投入生产之前需要进一步</w:t>
      </w:r>
      <w:r>
        <w:rPr>
          <w:rFonts w:ascii="宋体" w:hAnsi="宋体" w:eastAsia="宋体" w:cs="宋体"/>
          <w:spacing w:val="6"/>
          <w:sz w:val="23"/>
          <w:szCs w:val="23"/>
        </w:rPr>
        <w:t>人</w:t>
      </w:r>
      <w:r>
        <w:rPr>
          <w:rFonts w:ascii="宋体" w:hAnsi="宋体" w:eastAsia="宋体" w:cs="宋体"/>
          <w:sz w:val="23"/>
          <w:szCs w:val="23"/>
        </w:rPr>
        <w:t xml:space="preserve"> </w:t>
      </w:r>
      <w:r>
        <w:rPr>
          <w:rFonts w:ascii="宋体" w:hAnsi="宋体" w:eastAsia="宋体" w:cs="宋体"/>
          <w:spacing w:val="5"/>
          <w:sz w:val="23"/>
          <w:szCs w:val="23"/>
        </w:rPr>
        <w:t>工</w:t>
      </w:r>
      <w:r>
        <w:rPr>
          <w:rFonts w:ascii="宋体" w:hAnsi="宋体" w:eastAsia="宋体" w:cs="宋体"/>
          <w:spacing w:val="4"/>
          <w:sz w:val="23"/>
          <w:szCs w:val="23"/>
        </w:rPr>
        <w:t>分选。</w:t>
      </w:r>
    </w:p>
    <w:p w14:paraId="67A637B0">
      <w:pPr>
        <w:spacing w:before="136" w:line="385" w:lineRule="auto"/>
        <w:ind w:left="25" w:right="35" w:firstLine="481"/>
        <w:rPr>
          <w:rFonts w:ascii="宋体" w:hAnsi="宋体" w:eastAsia="宋体" w:cs="宋体"/>
          <w:sz w:val="23"/>
          <w:szCs w:val="23"/>
        </w:rPr>
      </w:pPr>
      <w:r>
        <w:rPr>
          <w:rFonts w:ascii="宋体" w:hAnsi="宋体" w:eastAsia="宋体" w:cs="宋体"/>
          <w:spacing w:val="12"/>
          <w:sz w:val="23"/>
          <w:szCs w:val="23"/>
        </w:rPr>
        <w:t>项目所用</w:t>
      </w:r>
      <w:r>
        <w:rPr>
          <w:rFonts w:ascii="宋体" w:hAnsi="宋体" w:eastAsia="宋体" w:cs="宋体"/>
          <w:spacing w:val="7"/>
          <w:sz w:val="23"/>
          <w:szCs w:val="23"/>
        </w:rPr>
        <w:t>原</w:t>
      </w:r>
      <w:r>
        <w:rPr>
          <w:rFonts w:ascii="宋体" w:hAnsi="宋体" w:eastAsia="宋体" w:cs="宋体"/>
          <w:spacing w:val="6"/>
          <w:sz w:val="23"/>
          <w:szCs w:val="23"/>
        </w:rPr>
        <w:t>料在原料库进行人工分拣作业，将废旧编织袋中的杂质去除，并</w:t>
      </w:r>
      <w:r>
        <w:rPr>
          <w:rFonts w:ascii="宋体" w:hAnsi="宋体" w:eastAsia="宋体" w:cs="宋体"/>
          <w:sz w:val="23"/>
          <w:szCs w:val="23"/>
        </w:rPr>
        <w:t xml:space="preserve"> </w:t>
      </w:r>
      <w:r>
        <w:rPr>
          <w:rFonts w:ascii="宋体" w:hAnsi="宋体" w:eastAsia="宋体" w:cs="宋体"/>
          <w:spacing w:val="7"/>
          <w:sz w:val="23"/>
          <w:szCs w:val="23"/>
        </w:rPr>
        <w:t>按照塑料种类、颜色分开存放。因为分拣作业为人工分拣，粉尘产生量很少，类</w:t>
      </w:r>
      <w:r>
        <w:rPr>
          <w:rFonts w:ascii="宋体" w:hAnsi="宋体" w:eastAsia="宋体" w:cs="宋体"/>
          <w:sz w:val="23"/>
          <w:szCs w:val="23"/>
        </w:rPr>
        <w:t xml:space="preserve"> </w:t>
      </w:r>
      <w:r>
        <w:rPr>
          <w:rFonts w:ascii="宋体" w:hAnsi="宋体" w:eastAsia="宋体" w:cs="宋体"/>
          <w:spacing w:val="14"/>
          <w:sz w:val="23"/>
          <w:szCs w:val="23"/>
        </w:rPr>
        <w:t>比《安徽福茂再生资源循环科技有限公司废旧塑料再制成品项目环境影响报</w:t>
      </w:r>
      <w:r>
        <w:rPr>
          <w:rFonts w:ascii="宋体" w:hAnsi="宋体" w:eastAsia="宋体" w:cs="宋体"/>
          <w:spacing w:val="12"/>
          <w:sz w:val="23"/>
          <w:szCs w:val="23"/>
        </w:rPr>
        <w:t>告</w:t>
      </w:r>
    </w:p>
    <w:p w14:paraId="796DE23B">
      <w:pPr>
        <w:spacing w:line="226" w:lineRule="auto"/>
        <w:ind w:left="28"/>
        <w:rPr>
          <w:rFonts w:ascii="宋体" w:hAnsi="宋体" w:eastAsia="宋体" w:cs="宋体"/>
          <w:sz w:val="23"/>
          <w:szCs w:val="23"/>
        </w:rPr>
      </w:pPr>
      <w:r>
        <w:rPr>
          <w:rFonts w:ascii="宋体" w:hAnsi="宋体" w:eastAsia="宋体" w:cs="宋体"/>
          <w:spacing w:val="12"/>
          <w:sz w:val="23"/>
          <w:szCs w:val="23"/>
        </w:rPr>
        <w:t xml:space="preserve">书》 </w:t>
      </w:r>
      <w:r>
        <w:rPr>
          <w:rFonts w:ascii="宋体" w:hAnsi="宋体" w:eastAsia="宋体" w:cs="宋体"/>
          <w:spacing w:val="8"/>
          <w:sz w:val="23"/>
          <w:szCs w:val="23"/>
        </w:rPr>
        <w:t>(</w:t>
      </w:r>
      <w:r>
        <w:rPr>
          <w:rFonts w:ascii="宋体" w:hAnsi="宋体" w:eastAsia="宋体" w:cs="宋体"/>
          <w:spacing w:val="6"/>
          <w:sz w:val="23"/>
          <w:szCs w:val="23"/>
        </w:rPr>
        <w:t>类比项目与本项目原材料、产量、工艺均基本相同) 污染物产生及物料衡</w:t>
      </w:r>
    </w:p>
    <w:p w14:paraId="0E6D1971">
      <w:pPr>
        <w:spacing w:before="154" w:line="386" w:lineRule="auto"/>
        <w:ind w:left="24" w:right="32"/>
        <w:rPr>
          <w:rFonts w:ascii="宋体" w:hAnsi="宋体" w:eastAsia="宋体" w:cs="宋体"/>
          <w:sz w:val="23"/>
          <w:szCs w:val="23"/>
        </w:rPr>
      </w:pPr>
      <w:r>
        <w:rPr>
          <w:rFonts w:ascii="宋体" w:hAnsi="宋体" w:eastAsia="宋体" w:cs="宋体"/>
          <w:spacing w:val="10"/>
          <w:sz w:val="23"/>
          <w:szCs w:val="23"/>
        </w:rPr>
        <w:t>算情况</w:t>
      </w:r>
      <w:r>
        <w:rPr>
          <w:rFonts w:ascii="宋体" w:hAnsi="宋体" w:eastAsia="宋体" w:cs="宋体"/>
          <w:spacing w:val="8"/>
          <w:sz w:val="23"/>
          <w:szCs w:val="23"/>
        </w:rPr>
        <w:t>可</w:t>
      </w:r>
      <w:r>
        <w:rPr>
          <w:rFonts w:ascii="宋体" w:hAnsi="宋体" w:eastAsia="宋体" w:cs="宋体"/>
          <w:spacing w:val="5"/>
          <w:sz w:val="23"/>
          <w:szCs w:val="23"/>
        </w:rPr>
        <w:t xml:space="preserve">知，粉尘量按原料的 </w:t>
      </w:r>
      <w:r>
        <w:rPr>
          <w:rFonts w:ascii="Times New Roman" w:hAnsi="Times New Roman" w:eastAsia="Times New Roman" w:cs="Times New Roman"/>
          <w:spacing w:val="5"/>
          <w:sz w:val="23"/>
          <w:szCs w:val="23"/>
        </w:rPr>
        <w:t>0.002%</w:t>
      </w:r>
      <w:r>
        <w:rPr>
          <w:rFonts w:ascii="宋体" w:hAnsi="宋体" w:eastAsia="宋体" w:cs="宋体"/>
          <w:spacing w:val="5"/>
          <w:sz w:val="23"/>
          <w:szCs w:val="23"/>
        </w:rPr>
        <w:t xml:space="preserve">计，则粉尘无组织排放量为 </w:t>
      </w:r>
      <w:r>
        <w:rPr>
          <w:rFonts w:ascii="Times New Roman" w:hAnsi="Times New Roman" w:eastAsia="Times New Roman" w:cs="Times New Roman"/>
          <w:spacing w:val="5"/>
          <w:sz w:val="23"/>
          <w:szCs w:val="23"/>
        </w:rPr>
        <w:t>1.02</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，分拣</w:t>
      </w:r>
      <w:r>
        <w:rPr>
          <w:rFonts w:ascii="宋体" w:hAnsi="宋体" w:eastAsia="宋体" w:cs="宋体"/>
          <w:sz w:val="23"/>
          <w:szCs w:val="23"/>
        </w:rPr>
        <w:t xml:space="preserve"> </w:t>
      </w:r>
      <w:r>
        <w:rPr>
          <w:rFonts w:ascii="宋体" w:hAnsi="宋体" w:eastAsia="宋体" w:cs="宋体"/>
          <w:spacing w:val="-2"/>
          <w:sz w:val="23"/>
          <w:szCs w:val="23"/>
        </w:rPr>
        <w:t>年工作时间</w:t>
      </w:r>
      <w:r>
        <w:rPr>
          <w:rFonts w:ascii="宋体" w:hAnsi="宋体" w:eastAsia="宋体" w:cs="宋体"/>
          <w:spacing w:val="-1"/>
          <w:sz w:val="23"/>
          <w:szCs w:val="23"/>
        </w:rPr>
        <w:t xml:space="preserve">为 </w:t>
      </w:r>
      <w:r>
        <w:rPr>
          <w:rFonts w:ascii="Times New Roman" w:hAnsi="Times New Roman" w:eastAsia="Times New Roman" w:cs="Times New Roman"/>
          <w:spacing w:val="-1"/>
          <w:sz w:val="23"/>
          <w:szCs w:val="23"/>
        </w:rPr>
        <w:t xml:space="preserve">7200h </w:t>
      </w:r>
      <w:r>
        <w:rPr>
          <w:rFonts w:ascii="宋体" w:hAnsi="宋体" w:eastAsia="宋体" w:cs="宋体"/>
          <w:spacing w:val="-1"/>
          <w:sz w:val="23"/>
          <w:szCs w:val="23"/>
        </w:rPr>
        <w:t xml:space="preserve">，粉尘排放速率为 </w:t>
      </w:r>
      <w:r>
        <w:rPr>
          <w:rFonts w:ascii="Times New Roman" w:hAnsi="Times New Roman" w:eastAsia="Times New Roman" w:cs="Times New Roman"/>
          <w:spacing w:val="-1"/>
          <w:sz w:val="23"/>
          <w:szCs w:val="23"/>
        </w:rPr>
        <w:t>0. 14kg/h</w:t>
      </w:r>
      <w:r>
        <w:rPr>
          <w:rFonts w:ascii="宋体" w:hAnsi="宋体" w:eastAsia="宋体" w:cs="宋体"/>
          <w:spacing w:val="-1"/>
          <w:sz w:val="23"/>
          <w:szCs w:val="23"/>
        </w:rPr>
        <w:t>。</w:t>
      </w:r>
    </w:p>
    <w:p w14:paraId="145D4699">
      <w:pPr>
        <w:spacing w:before="200" w:line="388" w:lineRule="auto"/>
        <w:ind w:left="23" w:right="35" w:firstLine="480"/>
        <w:rPr>
          <w:rFonts w:ascii="宋体" w:hAnsi="宋体" w:eastAsia="宋体" w:cs="宋体"/>
          <w:sz w:val="23"/>
          <w:szCs w:val="23"/>
        </w:rPr>
      </w:pPr>
      <w:r>
        <w:rPr>
          <w:rFonts w:ascii="宋体" w:hAnsi="宋体" w:eastAsia="宋体" w:cs="宋体"/>
          <w:spacing w:val="7"/>
          <w:sz w:val="23"/>
          <w:szCs w:val="23"/>
        </w:rPr>
        <w:t>根据对这类粉尘的分析可知，此类粉尘粒径较小，在人工分拣时产生的粉</w:t>
      </w:r>
      <w:r>
        <w:rPr>
          <w:rFonts w:ascii="宋体" w:hAnsi="宋体" w:eastAsia="宋体" w:cs="宋体"/>
          <w:spacing w:val="3"/>
          <w:sz w:val="23"/>
          <w:szCs w:val="23"/>
        </w:rPr>
        <w:t>尘</w:t>
      </w:r>
      <w:r>
        <w:rPr>
          <w:rFonts w:ascii="宋体" w:hAnsi="宋体" w:eastAsia="宋体" w:cs="宋体"/>
          <w:sz w:val="23"/>
          <w:szCs w:val="23"/>
        </w:rPr>
        <w:t xml:space="preserve"> </w:t>
      </w:r>
      <w:r>
        <w:rPr>
          <w:rFonts w:ascii="宋体" w:hAnsi="宋体" w:eastAsia="宋体" w:cs="宋体"/>
          <w:spacing w:val="9"/>
          <w:sz w:val="23"/>
          <w:szCs w:val="23"/>
        </w:rPr>
        <w:t>极</w:t>
      </w:r>
      <w:r>
        <w:rPr>
          <w:rFonts w:ascii="宋体" w:hAnsi="宋体" w:eastAsia="宋体" w:cs="宋体"/>
          <w:spacing w:val="7"/>
          <w:sz w:val="23"/>
          <w:szCs w:val="23"/>
        </w:rPr>
        <w:t>易刺激皮肤引起皮炎，进入眼内引起结膜炎、角膜炎，对员工身体健康影响较</w:t>
      </w:r>
      <w:r>
        <w:rPr>
          <w:rFonts w:ascii="宋体" w:hAnsi="宋体" w:eastAsia="宋体" w:cs="宋体"/>
          <w:sz w:val="23"/>
          <w:szCs w:val="23"/>
        </w:rPr>
        <w:t xml:space="preserve"> </w:t>
      </w:r>
      <w:r>
        <w:rPr>
          <w:rFonts w:ascii="宋体" w:hAnsi="宋体" w:eastAsia="宋体" w:cs="宋体"/>
          <w:spacing w:val="9"/>
          <w:sz w:val="23"/>
          <w:szCs w:val="23"/>
        </w:rPr>
        <w:t>大</w:t>
      </w:r>
      <w:r>
        <w:rPr>
          <w:rFonts w:ascii="宋体" w:hAnsi="宋体" w:eastAsia="宋体" w:cs="宋体"/>
          <w:spacing w:val="7"/>
          <w:sz w:val="23"/>
          <w:szCs w:val="23"/>
        </w:rPr>
        <w:t>，此类粉尘较难收集处理，其主要影响是对工作员工的影响，评价要求建设单</w:t>
      </w:r>
      <w:r>
        <w:rPr>
          <w:rFonts w:ascii="宋体" w:hAnsi="宋体" w:eastAsia="宋体" w:cs="宋体"/>
          <w:sz w:val="23"/>
          <w:szCs w:val="23"/>
        </w:rPr>
        <w:t xml:space="preserve"> </w:t>
      </w:r>
      <w:r>
        <w:rPr>
          <w:rFonts w:ascii="宋体" w:hAnsi="宋体" w:eastAsia="宋体" w:cs="宋体"/>
          <w:spacing w:val="9"/>
          <w:sz w:val="23"/>
          <w:szCs w:val="23"/>
        </w:rPr>
        <w:t>位</w:t>
      </w:r>
      <w:r>
        <w:rPr>
          <w:rFonts w:ascii="宋体" w:hAnsi="宋体" w:eastAsia="宋体" w:cs="宋体"/>
          <w:spacing w:val="7"/>
          <w:sz w:val="23"/>
          <w:szCs w:val="23"/>
        </w:rPr>
        <w:t>加强人工分拣及运输过程中劳动人员的个人防护，如配发防尘口罩及防护服等</w:t>
      </w:r>
      <w:r>
        <w:rPr>
          <w:rFonts w:ascii="宋体" w:hAnsi="宋体" w:eastAsia="宋体" w:cs="宋体"/>
          <w:sz w:val="23"/>
          <w:szCs w:val="23"/>
        </w:rPr>
        <w:t xml:space="preserve"> </w:t>
      </w:r>
      <w:r>
        <w:rPr>
          <w:rFonts w:ascii="宋体" w:hAnsi="宋体" w:eastAsia="宋体" w:cs="宋体"/>
          <w:spacing w:val="16"/>
          <w:sz w:val="23"/>
          <w:szCs w:val="23"/>
        </w:rPr>
        <w:t>以</w:t>
      </w:r>
      <w:r>
        <w:rPr>
          <w:rFonts w:ascii="宋体" w:hAnsi="宋体" w:eastAsia="宋体" w:cs="宋体"/>
          <w:spacing w:val="12"/>
          <w:sz w:val="23"/>
          <w:szCs w:val="23"/>
        </w:rPr>
        <w:t>降</w:t>
      </w:r>
      <w:r>
        <w:rPr>
          <w:rFonts w:ascii="宋体" w:hAnsi="宋体" w:eastAsia="宋体" w:cs="宋体"/>
          <w:spacing w:val="8"/>
          <w:sz w:val="23"/>
          <w:szCs w:val="23"/>
        </w:rPr>
        <w:t>低此类粉尘对工作员工的影响。</w:t>
      </w:r>
    </w:p>
    <w:p w14:paraId="0C2D1815">
      <w:pPr>
        <w:spacing w:before="137" w:line="225" w:lineRule="auto"/>
        <w:ind w:left="501"/>
        <w:rPr>
          <w:rFonts w:ascii="宋体" w:hAnsi="宋体" w:eastAsia="宋体" w:cs="宋体"/>
          <w:sz w:val="23"/>
          <w:szCs w:val="23"/>
        </w:rPr>
      </w:pPr>
      <w:r>
        <w:rPr>
          <w:rFonts w:ascii="宋体" w:hAnsi="宋体" w:eastAsia="宋体" w:cs="宋体"/>
          <w:spacing w:val="12"/>
          <w:sz w:val="23"/>
          <w:szCs w:val="23"/>
        </w:rPr>
        <w:t>②</w:t>
      </w:r>
      <w:r>
        <w:rPr>
          <w:rFonts w:ascii="宋体" w:hAnsi="宋体" w:eastAsia="宋体" w:cs="宋体"/>
          <w:spacing w:val="8"/>
          <w:sz w:val="23"/>
          <w:szCs w:val="23"/>
        </w:rPr>
        <w:t>非甲烷总烃</w:t>
      </w:r>
    </w:p>
    <w:p w14:paraId="792CA6A3">
      <w:pPr>
        <w:spacing w:line="280" w:lineRule="auto"/>
        <w:rPr>
          <w:rFonts w:ascii="Arial"/>
          <w:sz w:val="21"/>
        </w:rPr>
      </w:pPr>
    </w:p>
    <w:p w14:paraId="70B76FB6">
      <w:pPr>
        <w:spacing w:before="75" w:line="386" w:lineRule="auto"/>
        <w:ind w:left="22" w:firstLine="484"/>
        <w:rPr>
          <w:rFonts w:ascii="宋体" w:hAnsi="宋体" w:eastAsia="宋体" w:cs="宋体"/>
          <w:sz w:val="23"/>
          <w:szCs w:val="23"/>
        </w:rPr>
      </w:pPr>
      <w:r>
        <w:rPr>
          <w:rFonts w:ascii="宋体" w:hAnsi="宋体" w:eastAsia="宋体" w:cs="宋体"/>
          <w:spacing w:val="12"/>
          <w:sz w:val="23"/>
          <w:szCs w:val="23"/>
        </w:rPr>
        <w:t>项目所用</w:t>
      </w:r>
      <w:r>
        <w:rPr>
          <w:rFonts w:ascii="宋体" w:hAnsi="宋体" w:eastAsia="宋体" w:cs="宋体"/>
          <w:spacing w:val="7"/>
          <w:sz w:val="23"/>
          <w:szCs w:val="23"/>
        </w:rPr>
        <w:t>原</w:t>
      </w:r>
      <w:r>
        <w:rPr>
          <w:rFonts w:ascii="宋体" w:hAnsi="宋体" w:eastAsia="宋体" w:cs="宋体"/>
          <w:spacing w:val="6"/>
          <w:sz w:val="23"/>
          <w:szCs w:val="23"/>
        </w:rPr>
        <w:t>料为废塑料编织袋，均外购于本溪宏远集团北台再生资源有限责</w:t>
      </w:r>
      <w:r>
        <w:rPr>
          <w:rFonts w:ascii="宋体" w:hAnsi="宋体" w:eastAsia="宋体" w:cs="宋体"/>
          <w:sz w:val="23"/>
          <w:szCs w:val="23"/>
        </w:rPr>
        <w:t xml:space="preserve"> </w:t>
      </w:r>
      <w:r>
        <w:rPr>
          <w:rFonts w:ascii="宋体" w:hAnsi="宋体" w:eastAsia="宋体" w:cs="宋体"/>
          <w:spacing w:val="9"/>
          <w:sz w:val="23"/>
          <w:szCs w:val="23"/>
        </w:rPr>
        <w:t>任</w:t>
      </w:r>
      <w:r>
        <w:rPr>
          <w:rFonts w:ascii="宋体" w:hAnsi="宋体" w:eastAsia="宋体" w:cs="宋体"/>
          <w:spacing w:val="7"/>
          <w:sz w:val="23"/>
          <w:szCs w:val="23"/>
        </w:rPr>
        <w:t>公司及平山区利安建材城，为本溪宏远集团北台再生资源有限责任公司收购北</w:t>
      </w:r>
      <w:r>
        <w:rPr>
          <w:rFonts w:ascii="宋体" w:hAnsi="宋体" w:eastAsia="宋体" w:cs="宋体"/>
          <w:sz w:val="23"/>
          <w:szCs w:val="23"/>
        </w:rPr>
        <w:t xml:space="preserve"> </w:t>
      </w:r>
      <w:r>
        <w:rPr>
          <w:rFonts w:ascii="宋体" w:hAnsi="宋体" w:eastAsia="宋体" w:cs="宋体"/>
          <w:spacing w:val="12"/>
          <w:sz w:val="23"/>
          <w:szCs w:val="23"/>
        </w:rPr>
        <w:t xml:space="preserve">台钢铁 </w:t>
      </w:r>
      <w:r>
        <w:rPr>
          <w:rFonts w:ascii="宋体" w:hAnsi="宋体" w:eastAsia="宋体" w:cs="宋体"/>
          <w:spacing w:val="7"/>
          <w:sz w:val="23"/>
          <w:szCs w:val="23"/>
        </w:rPr>
        <w:t>(</w:t>
      </w:r>
      <w:r>
        <w:rPr>
          <w:rFonts w:ascii="宋体" w:hAnsi="宋体" w:eastAsia="宋体" w:cs="宋体"/>
          <w:spacing w:val="6"/>
          <w:sz w:val="23"/>
          <w:szCs w:val="23"/>
        </w:rPr>
        <w:t>集团) 有限责任公司所用原料合金铁及铝锭的废包装袋及平山区利安建</w:t>
      </w:r>
      <w:r>
        <w:rPr>
          <w:rFonts w:ascii="宋体" w:hAnsi="宋体" w:eastAsia="宋体" w:cs="宋体"/>
          <w:sz w:val="23"/>
          <w:szCs w:val="23"/>
        </w:rPr>
        <w:t xml:space="preserve"> </w:t>
      </w:r>
      <w:r>
        <w:rPr>
          <w:rFonts w:ascii="宋体" w:hAnsi="宋体" w:eastAsia="宋体" w:cs="宋体"/>
          <w:spacing w:val="7"/>
          <w:sz w:val="23"/>
          <w:szCs w:val="23"/>
        </w:rPr>
        <w:t>材</w:t>
      </w:r>
      <w:r>
        <w:rPr>
          <w:rFonts w:ascii="宋体" w:hAnsi="宋体" w:eastAsia="宋体" w:cs="宋体"/>
          <w:spacing w:val="6"/>
          <w:sz w:val="23"/>
          <w:szCs w:val="23"/>
        </w:rPr>
        <w:t xml:space="preserve">城所销售砂子的废包装袋，主要成分为聚乙烯、聚丙烯，加热至 </w:t>
      </w:r>
      <w:r>
        <w:rPr>
          <w:rFonts w:ascii="Times New Roman" w:hAnsi="Times New Roman" w:eastAsia="Times New Roman" w:cs="Times New Roman"/>
          <w:spacing w:val="6"/>
          <w:sz w:val="23"/>
          <w:szCs w:val="23"/>
        </w:rPr>
        <w:t>150~220℃</w:t>
      </w:r>
      <w:r>
        <w:rPr>
          <w:rFonts w:ascii="宋体" w:hAnsi="宋体" w:eastAsia="宋体" w:cs="宋体"/>
          <w:spacing w:val="6"/>
          <w:sz w:val="23"/>
          <w:szCs w:val="23"/>
        </w:rPr>
        <w:t>时</w:t>
      </w:r>
      <w:r>
        <w:rPr>
          <w:rFonts w:ascii="宋体" w:hAnsi="宋体" w:eastAsia="宋体" w:cs="宋体"/>
          <w:sz w:val="23"/>
          <w:szCs w:val="23"/>
        </w:rPr>
        <w:t xml:space="preserve"> </w:t>
      </w:r>
      <w:r>
        <w:rPr>
          <w:rFonts w:ascii="宋体" w:hAnsi="宋体" w:eastAsia="宋体" w:cs="宋体"/>
          <w:spacing w:val="7"/>
          <w:sz w:val="23"/>
          <w:szCs w:val="23"/>
        </w:rPr>
        <w:t>热解产生酸、酯、不饱和烃、过氧化物、 甲醛、乙醛、</w:t>
      </w:r>
      <w:r>
        <w:rPr>
          <w:rFonts w:ascii="Times New Roman" w:hAnsi="Times New Roman" w:eastAsia="Times New Roman" w:cs="Times New Roman"/>
          <w:sz w:val="23"/>
          <w:szCs w:val="23"/>
        </w:rPr>
        <w:t>CO</w:t>
      </w:r>
      <w:r>
        <w:rPr>
          <w:rFonts w:ascii="Times New Roman" w:hAnsi="Times New Roman" w:eastAsia="Times New Roman" w:cs="Times New Roman"/>
          <w:spacing w:val="7"/>
          <w:position w:val="-1"/>
          <w:sz w:val="15"/>
          <w:szCs w:val="15"/>
        </w:rPr>
        <w:t xml:space="preserve">2 </w:t>
      </w:r>
      <w:r>
        <w:rPr>
          <w:rFonts w:ascii="宋体" w:hAnsi="宋体" w:eastAsia="宋体" w:cs="宋体"/>
          <w:spacing w:val="7"/>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等。热熔过</w:t>
      </w:r>
      <w:r>
        <w:rPr>
          <w:rFonts w:ascii="宋体" w:hAnsi="宋体" w:eastAsia="宋体" w:cs="宋体"/>
          <w:spacing w:val="5"/>
          <w:sz w:val="23"/>
          <w:szCs w:val="23"/>
        </w:rPr>
        <w:t>程</w:t>
      </w:r>
      <w:r>
        <w:rPr>
          <w:rFonts w:ascii="宋体" w:hAnsi="宋体" w:eastAsia="宋体" w:cs="宋体"/>
          <w:sz w:val="23"/>
          <w:szCs w:val="23"/>
        </w:rPr>
        <w:t xml:space="preserve"> </w:t>
      </w:r>
      <w:r>
        <w:rPr>
          <w:rFonts w:ascii="宋体" w:hAnsi="宋体" w:eastAsia="宋体" w:cs="宋体"/>
          <w:spacing w:val="11"/>
          <w:sz w:val="23"/>
          <w:szCs w:val="23"/>
        </w:rPr>
        <w:t>塑</w:t>
      </w:r>
      <w:r>
        <w:rPr>
          <w:rFonts w:ascii="宋体" w:hAnsi="宋体" w:eastAsia="宋体" w:cs="宋体"/>
          <w:spacing w:val="8"/>
          <w:sz w:val="23"/>
          <w:szCs w:val="23"/>
        </w:rPr>
        <w:t>料不发生裂解，只发生物理形态变形，由于聚乙烯、聚丙烯为高分子聚合物，</w:t>
      </w:r>
      <w:r>
        <w:rPr>
          <w:rFonts w:ascii="宋体" w:hAnsi="宋体" w:eastAsia="宋体" w:cs="宋体"/>
          <w:sz w:val="23"/>
          <w:szCs w:val="23"/>
        </w:rPr>
        <w:t xml:space="preserve"> </w:t>
      </w:r>
      <w:r>
        <w:rPr>
          <w:rFonts w:ascii="宋体" w:hAnsi="宋体" w:eastAsia="宋体" w:cs="宋体"/>
          <w:spacing w:val="9"/>
          <w:sz w:val="23"/>
          <w:szCs w:val="23"/>
        </w:rPr>
        <w:t>包</w:t>
      </w:r>
      <w:r>
        <w:rPr>
          <w:rFonts w:ascii="宋体" w:hAnsi="宋体" w:eastAsia="宋体" w:cs="宋体"/>
          <w:spacing w:val="7"/>
          <w:sz w:val="23"/>
          <w:szCs w:val="23"/>
        </w:rPr>
        <w:t>括各种改善性能的添加剂，在受热情况下，原料中残存未聚合的反应单体及从</w:t>
      </w:r>
      <w:r>
        <w:rPr>
          <w:rFonts w:ascii="宋体" w:hAnsi="宋体" w:eastAsia="宋体" w:cs="宋体"/>
          <w:sz w:val="23"/>
          <w:szCs w:val="23"/>
        </w:rPr>
        <w:t xml:space="preserve"> </w:t>
      </w:r>
      <w:r>
        <w:rPr>
          <w:rFonts w:ascii="宋体" w:hAnsi="宋体" w:eastAsia="宋体" w:cs="宋体"/>
          <w:spacing w:val="11"/>
          <w:sz w:val="23"/>
          <w:szCs w:val="23"/>
        </w:rPr>
        <w:t>聚</w:t>
      </w:r>
      <w:r>
        <w:rPr>
          <w:rFonts w:ascii="宋体" w:hAnsi="宋体" w:eastAsia="宋体" w:cs="宋体"/>
          <w:spacing w:val="8"/>
          <w:sz w:val="23"/>
          <w:szCs w:val="23"/>
        </w:rPr>
        <w:t>合物中分解的单体可挥发至空气中，从而形成有机废气，主要为非甲烷烃类，</w:t>
      </w:r>
      <w:r>
        <w:rPr>
          <w:rFonts w:ascii="宋体" w:hAnsi="宋体" w:eastAsia="宋体" w:cs="宋体"/>
          <w:sz w:val="23"/>
          <w:szCs w:val="23"/>
        </w:rPr>
        <w:t xml:space="preserve"> </w:t>
      </w:r>
      <w:r>
        <w:rPr>
          <w:rFonts w:ascii="宋体" w:hAnsi="宋体" w:eastAsia="宋体" w:cs="宋体"/>
          <w:spacing w:val="11"/>
          <w:sz w:val="23"/>
          <w:szCs w:val="23"/>
        </w:rPr>
        <w:t>本</w:t>
      </w:r>
      <w:r>
        <w:rPr>
          <w:rFonts w:ascii="宋体" w:hAnsi="宋体" w:eastAsia="宋体" w:cs="宋体"/>
          <w:spacing w:val="8"/>
          <w:sz w:val="23"/>
          <w:szCs w:val="23"/>
        </w:rPr>
        <w:t>环评以非甲烷总烃计。</w:t>
      </w:r>
    </w:p>
    <w:p w14:paraId="49043017">
      <w:pPr>
        <w:spacing w:before="104" w:line="387" w:lineRule="auto"/>
        <w:ind w:left="24" w:right="32" w:firstLine="480"/>
        <w:rPr>
          <w:rFonts w:ascii="宋体" w:hAnsi="宋体" w:eastAsia="宋体" w:cs="宋体"/>
          <w:sz w:val="23"/>
          <w:szCs w:val="23"/>
        </w:rPr>
      </w:pPr>
      <w:r>
        <w:rPr>
          <w:rFonts w:ascii="宋体" w:hAnsi="宋体" w:eastAsia="宋体" w:cs="宋体"/>
          <w:spacing w:val="9"/>
          <w:sz w:val="23"/>
          <w:szCs w:val="23"/>
        </w:rPr>
        <w:t>参考《空气污染物排放和控制手册》</w:t>
      </w:r>
      <w:r>
        <w:rPr>
          <w:rFonts w:ascii="Times New Roman" w:hAnsi="Times New Roman" w:eastAsia="Times New Roman" w:cs="Times New Roman"/>
          <w:spacing w:val="9"/>
          <w:sz w:val="23"/>
          <w:szCs w:val="23"/>
        </w:rPr>
        <w:t>(</w:t>
      </w:r>
      <w:r>
        <w:rPr>
          <w:rFonts w:ascii="宋体" w:hAnsi="宋体" w:eastAsia="宋体" w:cs="宋体"/>
          <w:spacing w:val="9"/>
          <w:sz w:val="23"/>
          <w:szCs w:val="23"/>
        </w:rPr>
        <w:t>美国国家环保局</w:t>
      </w:r>
      <w:r>
        <w:rPr>
          <w:rFonts w:ascii="Times New Roman" w:hAnsi="Times New Roman" w:eastAsia="Times New Roman" w:cs="Times New Roman"/>
          <w:spacing w:val="9"/>
          <w:sz w:val="23"/>
          <w:szCs w:val="23"/>
        </w:rPr>
        <w:t>)</w:t>
      </w:r>
      <w:r>
        <w:rPr>
          <w:rFonts w:ascii="宋体" w:hAnsi="宋体" w:eastAsia="宋体" w:cs="宋体"/>
          <w:spacing w:val="9"/>
          <w:sz w:val="23"/>
          <w:szCs w:val="23"/>
        </w:rPr>
        <w:t>中推荐的公式，非</w:t>
      </w:r>
      <w:r>
        <w:rPr>
          <w:rFonts w:ascii="宋体" w:hAnsi="宋体" w:eastAsia="宋体" w:cs="宋体"/>
          <w:spacing w:val="7"/>
          <w:sz w:val="23"/>
          <w:szCs w:val="23"/>
        </w:rPr>
        <w:t>甲</w:t>
      </w:r>
      <w:r>
        <w:rPr>
          <w:rFonts w:ascii="宋体" w:hAnsi="宋体" w:eastAsia="宋体" w:cs="宋体"/>
          <w:sz w:val="23"/>
          <w:szCs w:val="23"/>
        </w:rPr>
        <w:t xml:space="preserve"> </w:t>
      </w:r>
      <w:r>
        <w:rPr>
          <w:rFonts w:ascii="宋体" w:hAnsi="宋体" w:eastAsia="宋体" w:cs="宋体"/>
          <w:spacing w:val="8"/>
          <w:sz w:val="23"/>
          <w:szCs w:val="23"/>
        </w:rPr>
        <w:t>烷总</w:t>
      </w:r>
      <w:r>
        <w:rPr>
          <w:rFonts w:ascii="宋体" w:hAnsi="宋体" w:eastAsia="宋体" w:cs="宋体"/>
          <w:spacing w:val="6"/>
          <w:sz w:val="23"/>
          <w:szCs w:val="23"/>
        </w:rPr>
        <w:t>烃</w:t>
      </w:r>
      <w:r>
        <w:rPr>
          <w:rFonts w:ascii="宋体" w:hAnsi="宋体" w:eastAsia="宋体" w:cs="宋体"/>
          <w:spacing w:val="4"/>
          <w:sz w:val="23"/>
          <w:szCs w:val="23"/>
        </w:rPr>
        <w:t xml:space="preserve">产生量按 </w:t>
      </w:r>
      <w:r>
        <w:rPr>
          <w:rFonts w:ascii="Times New Roman" w:hAnsi="Times New Roman" w:eastAsia="Times New Roman" w:cs="Times New Roman"/>
          <w:spacing w:val="4"/>
          <w:sz w:val="23"/>
          <w:szCs w:val="23"/>
        </w:rPr>
        <w:t>0.35</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原料计，本项目造粒工序年熔融废塑料约为 </w:t>
      </w:r>
      <w:r>
        <w:rPr>
          <w:rFonts w:ascii="Times New Roman" w:hAnsi="Times New Roman" w:eastAsia="Times New Roman" w:cs="Times New Roman"/>
          <w:spacing w:val="4"/>
          <w:sz w:val="23"/>
          <w:szCs w:val="23"/>
        </w:rPr>
        <w:t>51100</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8"/>
          <w:sz w:val="23"/>
          <w:szCs w:val="23"/>
        </w:rPr>
        <w:t xml:space="preserve">塑料颗粒每年生产 </w:t>
      </w:r>
      <w:r>
        <w:rPr>
          <w:rFonts w:ascii="Times New Roman" w:hAnsi="Times New Roman" w:eastAsia="Times New Roman" w:cs="Times New Roman"/>
          <w:spacing w:val="8"/>
          <w:sz w:val="23"/>
          <w:szCs w:val="23"/>
        </w:rPr>
        <w:t xml:space="preserve">7200 </w:t>
      </w:r>
      <w:r>
        <w:rPr>
          <w:rFonts w:ascii="宋体" w:hAnsi="宋体" w:eastAsia="宋体" w:cs="宋体"/>
          <w:spacing w:val="8"/>
          <w:sz w:val="23"/>
          <w:szCs w:val="23"/>
        </w:rPr>
        <w:t>小时，则本项目废塑料熔融加热产生的非甲烷总烃总</w:t>
      </w:r>
      <w:r>
        <w:rPr>
          <w:rFonts w:ascii="宋体" w:hAnsi="宋体" w:eastAsia="宋体" w:cs="宋体"/>
          <w:spacing w:val="7"/>
          <w:sz w:val="23"/>
          <w:szCs w:val="23"/>
        </w:rPr>
        <w:t>量</w:t>
      </w:r>
    </w:p>
    <w:p w14:paraId="6309C954">
      <w:pPr>
        <w:sectPr>
          <w:headerReference r:id="rId123" w:type="default"/>
          <w:footerReference r:id="rId124" w:type="default"/>
          <w:pgSz w:w="11906" w:h="16839"/>
          <w:pgMar w:top="1132" w:right="1764" w:bottom="1182" w:left="1785" w:header="878" w:footer="1022" w:gutter="0"/>
          <w:cols w:space="720" w:num="1"/>
        </w:sectPr>
      </w:pPr>
    </w:p>
    <w:p w14:paraId="0660CE89">
      <w:pPr>
        <w:spacing w:line="365" w:lineRule="auto"/>
        <w:rPr>
          <w:rFonts w:ascii="Arial"/>
          <w:sz w:val="21"/>
        </w:rPr>
      </w:pPr>
      <w:r>
        <w:pict>
          <v:shape id="_x0000_s1173" o:spid="_x0000_s1173" style="position:absolute;left:0pt;margin-left:90pt;margin-top:57.35pt;height:0.75pt;width:415.3pt;mso-position-horizontal-relative:page;mso-position-vertical-relative:page;z-index:251811840;mso-width-relative:page;mso-height-relative:page;" fillcolor="#000000" filled="t" stroked="f" coordsize="8305,15" o:allowincell="f" path="m0,0l8305,0,8305,14,0,14,0,0xe">
            <v:path/>
            <v:fill on="t" focussize="0,0"/>
            <v:stroke on="f"/>
            <v:imagedata o:title=""/>
            <o:lock v:ext="edit"/>
          </v:shape>
        </w:pict>
      </w:r>
    </w:p>
    <w:p w14:paraId="576E061B">
      <w:pPr>
        <w:spacing w:before="75" w:line="323" w:lineRule="exact"/>
        <w:ind w:left="26"/>
        <w:rPr>
          <w:rFonts w:ascii="宋体" w:hAnsi="宋体" w:eastAsia="宋体" w:cs="宋体"/>
          <w:sz w:val="23"/>
          <w:szCs w:val="23"/>
        </w:rPr>
      </w:pPr>
      <w:r>
        <w:rPr>
          <w:rFonts w:ascii="宋体" w:hAnsi="宋体" w:eastAsia="宋体" w:cs="宋体"/>
          <w:spacing w:val="-4"/>
          <w:position w:val="1"/>
          <w:sz w:val="23"/>
          <w:szCs w:val="23"/>
        </w:rPr>
        <w:t>为</w:t>
      </w:r>
      <w:r>
        <w:rPr>
          <w:rFonts w:ascii="宋体" w:hAnsi="宋体" w:eastAsia="宋体" w:cs="宋体"/>
          <w:spacing w:val="-3"/>
          <w:position w:val="1"/>
          <w:sz w:val="23"/>
          <w:szCs w:val="23"/>
        </w:rPr>
        <w:t xml:space="preserve"> </w:t>
      </w:r>
      <w:r>
        <w:rPr>
          <w:rFonts w:ascii="Times New Roman" w:hAnsi="Times New Roman" w:eastAsia="Times New Roman" w:cs="Times New Roman"/>
          <w:spacing w:val="-2"/>
          <w:position w:val="1"/>
          <w:sz w:val="23"/>
          <w:szCs w:val="23"/>
        </w:rPr>
        <w:t xml:space="preserve">17.88t </w:t>
      </w:r>
      <w:r>
        <w:rPr>
          <w:rFonts w:ascii="宋体" w:hAnsi="宋体" w:eastAsia="宋体" w:cs="宋体"/>
          <w:spacing w:val="-2"/>
          <w:position w:val="1"/>
          <w:sz w:val="23"/>
          <w:szCs w:val="23"/>
        </w:rPr>
        <w:t xml:space="preserve">，产生速率为 </w:t>
      </w:r>
      <w:r>
        <w:rPr>
          <w:rFonts w:ascii="Times New Roman" w:hAnsi="Times New Roman" w:eastAsia="Times New Roman" w:cs="Times New Roman"/>
          <w:spacing w:val="-2"/>
          <w:position w:val="1"/>
          <w:sz w:val="23"/>
          <w:szCs w:val="23"/>
        </w:rPr>
        <w:t>2.48kg/h</w:t>
      </w:r>
      <w:r>
        <w:rPr>
          <w:rFonts w:ascii="宋体" w:hAnsi="宋体" w:eastAsia="宋体" w:cs="宋体"/>
          <w:spacing w:val="-2"/>
          <w:position w:val="1"/>
          <w:sz w:val="23"/>
          <w:szCs w:val="23"/>
        </w:rPr>
        <w:t>。</w:t>
      </w:r>
    </w:p>
    <w:p w14:paraId="26C5C292">
      <w:pPr>
        <w:spacing w:line="279" w:lineRule="auto"/>
        <w:rPr>
          <w:rFonts w:ascii="Arial"/>
          <w:sz w:val="21"/>
        </w:rPr>
      </w:pPr>
    </w:p>
    <w:p w14:paraId="1805E788">
      <w:pPr>
        <w:spacing w:before="75" w:line="227" w:lineRule="auto"/>
        <w:ind w:left="507"/>
        <w:rPr>
          <w:rFonts w:ascii="宋体" w:hAnsi="宋体" w:eastAsia="宋体" w:cs="宋体"/>
          <w:sz w:val="23"/>
          <w:szCs w:val="23"/>
        </w:rPr>
      </w:pPr>
      <w:r>
        <w:rPr>
          <w:rFonts w:ascii="宋体" w:hAnsi="宋体" w:eastAsia="宋体" w:cs="宋体"/>
          <w:spacing w:val="21"/>
          <w:sz w:val="23"/>
          <w:szCs w:val="23"/>
        </w:rPr>
        <w:t>该</w:t>
      </w:r>
      <w:r>
        <w:rPr>
          <w:rFonts w:ascii="宋体" w:hAnsi="宋体" w:eastAsia="宋体" w:cs="宋体"/>
          <w:spacing w:val="11"/>
          <w:sz w:val="23"/>
          <w:szCs w:val="23"/>
        </w:rPr>
        <w:t xml:space="preserve">项目在每条生产线的热熔造粒工序均设置 </w:t>
      </w:r>
      <w:r>
        <w:rPr>
          <w:rFonts w:ascii="Times New Roman" w:hAnsi="Times New Roman" w:eastAsia="Times New Roman" w:cs="Times New Roman"/>
          <w:spacing w:val="11"/>
          <w:sz w:val="23"/>
          <w:szCs w:val="23"/>
        </w:rPr>
        <w:t xml:space="preserve">1 </w:t>
      </w:r>
      <w:r>
        <w:rPr>
          <w:rFonts w:ascii="宋体" w:hAnsi="宋体" w:eastAsia="宋体" w:cs="宋体"/>
          <w:spacing w:val="11"/>
          <w:sz w:val="23"/>
          <w:szCs w:val="23"/>
        </w:rPr>
        <w:t>个集气罩 (集气罩采用伞形</w:t>
      </w:r>
    </w:p>
    <w:p w14:paraId="62494569">
      <w:pPr>
        <w:spacing w:before="154" w:line="389" w:lineRule="auto"/>
        <w:ind w:left="21" w:firstLine="1"/>
        <w:rPr>
          <w:rFonts w:ascii="宋体" w:hAnsi="宋体" w:eastAsia="宋体" w:cs="宋体"/>
          <w:sz w:val="23"/>
          <w:szCs w:val="23"/>
        </w:rPr>
      </w:pPr>
      <w:r>
        <w:rPr>
          <w:rFonts w:ascii="宋体" w:hAnsi="宋体" w:eastAsia="宋体" w:cs="宋体"/>
          <w:spacing w:val="12"/>
          <w:sz w:val="23"/>
          <w:szCs w:val="23"/>
        </w:rPr>
        <w:t>罩</w:t>
      </w:r>
      <w:r>
        <w:rPr>
          <w:rFonts w:ascii="宋体" w:hAnsi="宋体" w:eastAsia="宋体" w:cs="宋体"/>
          <w:spacing w:val="11"/>
          <w:sz w:val="23"/>
          <w:szCs w:val="23"/>
        </w:rPr>
        <w:t>，</w:t>
      </w:r>
      <w:r>
        <w:rPr>
          <w:rFonts w:ascii="宋体" w:hAnsi="宋体" w:eastAsia="宋体" w:cs="宋体"/>
          <w:spacing w:val="6"/>
          <w:sz w:val="23"/>
          <w:szCs w:val="23"/>
        </w:rPr>
        <w:t xml:space="preserve">在设备约 </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cm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的正上方，集气罩集气效率为 </w:t>
      </w:r>
      <w:r>
        <w:rPr>
          <w:rFonts w:ascii="Times New Roman" w:hAnsi="Times New Roman" w:eastAsia="Times New Roman" w:cs="Times New Roman"/>
          <w:spacing w:val="6"/>
          <w:sz w:val="23"/>
          <w:szCs w:val="23"/>
        </w:rPr>
        <w:t>90%</w:t>
      </w:r>
      <w:r>
        <w:rPr>
          <w:rFonts w:ascii="宋体" w:hAnsi="宋体" w:eastAsia="宋体" w:cs="宋体"/>
          <w:spacing w:val="6"/>
          <w:sz w:val="23"/>
          <w:szCs w:val="23"/>
        </w:rPr>
        <w:t xml:space="preserve">) ，共计 </w:t>
      </w:r>
      <w:r>
        <w:rPr>
          <w:rFonts w:ascii="Times New Roman" w:hAnsi="Times New Roman" w:eastAsia="Times New Roman" w:cs="Times New Roman"/>
          <w:spacing w:val="6"/>
          <w:sz w:val="23"/>
          <w:szCs w:val="23"/>
        </w:rPr>
        <w:t xml:space="preserve">10 </w:t>
      </w:r>
      <w:r>
        <w:rPr>
          <w:rFonts w:ascii="宋体" w:hAnsi="宋体" w:eastAsia="宋体" w:cs="宋体"/>
          <w:spacing w:val="6"/>
          <w:sz w:val="23"/>
          <w:szCs w:val="23"/>
        </w:rPr>
        <w:t>个集气罩。</w:t>
      </w:r>
      <w:r>
        <w:rPr>
          <w:rFonts w:ascii="宋体" w:hAnsi="宋体" w:eastAsia="宋体" w:cs="宋体"/>
          <w:sz w:val="23"/>
          <w:szCs w:val="23"/>
        </w:rPr>
        <w:t xml:space="preserve"> </w:t>
      </w:r>
      <w:r>
        <w:rPr>
          <w:rFonts w:ascii="宋体" w:hAnsi="宋体" w:eastAsia="宋体" w:cs="宋体"/>
          <w:spacing w:val="6"/>
          <w:sz w:val="23"/>
          <w:szCs w:val="23"/>
        </w:rPr>
        <w:t>与此同时，项</w:t>
      </w:r>
      <w:r>
        <w:rPr>
          <w:rFonts w:ascii="宋体" w:hAnsi="宋体" w:eastAsia="宋体" w:cs="宋体"/>
          <w:spacing w:val="5"/>
          <w:sz w:val="23"/>
          <w:szCs w:val="23"/>
        </w:rPr>
        <w:t>目</w:t>
      </w:r>
      <w:r>
        <w:rPr>
          <w:rFonts w:ascii="宋体" w:hAnsi="宋体" w:eastAsia="宋体" w:cs="宋体"/>
          <w:spacing w:val="3"/>
          <w:sz w:val="23"/>
          <w:szCs w:val="23"/>
        </w:rPr>
        <w:t xml:space="preserve">设有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台 </w:t>
      </w:r>
      <w:r>
        <w:rPr>
          <w:rFonts w:ascii="Times New Roman" w:hAnsi="Times New Roman" w:eastAsia="Times New Roman" w:cs="Times New Roman"/>
          <w:sz w:val="23"/>
          <w:szCs w:val="23"/>
        </w:rPr>
        <w:t>UV</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光氧催化废气处理装置以及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台活性炭吸附装置，</w:t>
      </w:r>
      <w:r>
        <w:rPr>
          <w:rFonts w:ascii="宋体" w:hAnsi="宋体" w:eastAsia="宋体" w:cs="宋体"/>
          <w:sz w:val="23"/>
          <w:szCs w:val="23"/>
        </w:rPr>
        <w:t xml:space="preserve">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5"/>
          <w:sz w:val="23"/>
          <w:szCs w:val="23"/>
        </w:rPr>
        <w:t xml:space="preserve"> </w:t>
      </w:r>
      <w:r>
        <w:rPr>
          <w:rFonts w:ascii="宋体" w:hAnsi="宋体" w:eastAsia="宋体" w:cs="宋体"/>
          <w:spacing w:val="4"/>
          <w:sz w:val="23"/>
          <w:szCs w:val="23"/>
        </w:rPr>
        <w:t xml:space="preserve">台 </w:t>
      </w:r>
      <w:r>
        <w:rPr>
          <w:rFonts w:ascii="Times New Roman" w:hAnsi="Times New Roman" w:eastAsia="Times New Roman" w:cs="Times New Roman"/>
          <w:sz w:val="23"/>
          <w:szCs w:val="23"/>
        </w:rPr>
        <w:t>UV</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光氧催化废气处理装置和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台活性炭吸附装置组成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套废气治理装置，</w:t>
      </w:r>
      <w:r>
        <w:rPr>
          <w:rFonts w:ascii="宋体" w:hAnsi="宋体" w:eastAsia="宋体" w:cs="宋体"/>
          <w:sz w:val="23"/>
          <w:szCs w:val="23"/>
        </w:rPr>
        <w:t xml:space="preserve"> </w:t>
      </w:r>
      <w:r>
        <w:rPr>
          <w:rFonts w:ascii="宋体" w:hAnsi="宋体" w:eastAsia="宋体" w:cs="宋体"/>
          <w:spacing w:val="10"/>
          <w:sz w:val="23"/>
          <w:szCs w:val="23"/>
        </w:rPr>
        <w:t>则</w:t>
      </w:r>
      <w:r>
        <w:rPr>
          <w:rFonts w:ascii="宋体" w:hAnsi="宋体" w:eastAsia="宋体" w:cs="宋体"/>
          <w:spacing w:val="6"/>
          <w:sz w:val="23"/>
          <w:szCs w:val="23"/>
        </w:rPr>
        <w:t>厂</w:t>
      </w:r>
      <w:r>
        <w:rPr>
          <w:rFonts w:ascii="宋体" w:hAnsi="宋体" w:eastAsia="宋体" w:cs="宋体"/>
          <w:spacing w:val="5"/>
          <w:sz w:val="23"/>
          <w:szCs w:val="23"/>
        </w:rPr>
        <w:t xml:space="preserve">区内共计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套废气治理装置，分别位于生产厂房东侧、西侧中部。该项目每</w:t>
      </w:r>
      <w:r>
        <w:rPr>
          <w:rFonts w:ascii="宋体" w:hAnsi="宋体" w:eastAsia="宋体" w:cs="宋体"/>
          <w:sz w:val="23"/>
          <w:szCs w:val="23"/>
        </w:rPr>
        <w:t xml:space="preserve"> </w:t>
      </w:r>
      <w:r>
        <w:rPr>
          <w:rFonts w:ascii="Times New Roman" w:hAnsi="Times New Roman" w:eastAsia="Times New Roman" w:cs="Times New Roman"/>
          <w:spacing w:val="23"/>
          <w:sz w:val="23"/>
          <w:szCs w:val="23"/>
        </w:rPr>
        <w:t xml:space="preserve">5 </w:t>
      </w:r>
      <w:r>
        <w:rPr>
          <w:rFonts w:ascii="宋体" w:hAnsi="宋体" w:eastAsia="宋体" w:cs="宋体"/>
          <w:spacing w:val="23"/>
          <w:sz w:val="23"/>
          <w:szCs w:val="23"/>
        </w:rPr>
        <w:t xml:space="preserve">条生产线共用 </w:t>
      </w:r>
      <w:r>
        <w:rPr>
          <w:rFonts w:ascii="Times New Roman" w:hAnsi="Times New Roman" w:eastAsia="Times New Roman" w:cs="Times New Roman"/>
          <w:spacing w:val="23"/>
          <w:sz w:val="23"/>
          <w:szCs w:val="23"/>
        </w:rPr>
        <w:t xml:space="preserve">1 </w:t>
      </w:r>
      <w:r>
        <w:rPr>
          <w:rFonts w:ascii="宋体" w:hAnsi="宋体" w:eastAsia="宋体" w:cs="宋体"/>
          <w:spacing w:val="23"/>
          <w:sz w:val="23"/>
          <w:szCs w:val="23"/>
        </w:rPr>
        <w:t>套废气处理设施 ，集气罩收集后的有机废气经由风量</w:t>
      </w:r>
      <w:r>
        <w:rPr>
          <w:rFonts w:ascii="宋体" w:hAnsi="宋体" w:eastAsia="宋体" w:cs="宋体"/>
          <w:spacing w:val="16"/>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5000</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的引风机抽入每个厂房内各自设置的废气治理装置中，经过 </w:t>
      </w:r>
      <w:r>
        <w:rPr>
          <w:rFonts w:ascii="Times New Roman" w:hAnsi="Times New Roman" w:eastAsia="Times New Roman" w:cs="Times New Roman"/>
          <w:sz w:val="23"/>
          <w:szCs w:val="23"/>
        </w:rPr>
        <w:t>UV</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光氧催</w:t>
      </w:r>
      <w:r>
        <w:rPr>
          <w:rFonts w:ascii="宋体" w:hAnsi="宋体" w:eastAsia="宋体" w:cs="宋体"/>
          <w:sz w:val="23"/>
          <w:szCs w:val="23"/>
        </w:rPr>
        <w:t xml:space="preserve"> </w:t>
      </w:r>
      <w:r>
        <w:rPr>
          <w:rFonts w:ascii="宋体" w:hAnsi="宋体" w:eastAsia="宋体" w:cs="宋体"/>
          <w:spacing w:val="6"/>
          <w:sz w:val="23"/>
          <w:szCs w:val="23"/>
        </w:rPr>
        <w:t>化废气处理装置</w:t>
      </w:r>
      <w:r>
        <w:rPr>
          <w:rFonts w:ascii="Times New Roman" w:hAnsi="Times New Roman" w:eastAsia="Times New Roman" w:cs="Times New Roman"/>
          <w:spacing w:val="6"/>
          <w:sz w:val="23"/>
          <w:szCs w:val="23"/>
        </w:rPr>
        <w:t>+</w:t>
      </w:r>
      <w:r>
        <w:rPr>
          <w:rFonts w:ascii="宋体" w:hAnsi="宋体" w:eastAsia="宋体" w:cs="宋体"/>
          <w:spacing w:val="6"/>
          <w:sz w:val="23"/>
          <w:szCs w:val="23"/>
        </w:rPr>
        <w:t xml:space="preserve">活性炭吸附装置处理后通过 </w:t>
      </w:r>
      <w:r>
        <w:rPr>
          <w:rFonts w:ascii="Times New Roman" w:hAnsi="Times New Roman" w:eastAsia="Times New Roman" w:cs="Times New Roman"/>
          <w:spacing w:val="6"/>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高排气筒有组织排放，共计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 xml:space="preserve"> </w:t>
      </w:r>
      <w:r>
        <w:rPr>
          <w:rFonts w:ascii="宋体" w:hAnsi="宋体" w:eastAsia="宋体" w:cs="宋体"/>
          <w:spacing w:val="12"/>
          <w:sz w:val="23"/>
          <w:szCs w:val="23"/>
        </w:rPr>
        <w:t>个</w:t>
      </w:r>
      <w:r>
        <w:rPr>
          <w:rFonts w:ascii="宋体" w:hAnsi="宋体" w:eastAsia="宋体" w:cs="宋体"/>
          <w:spacing w:val="11"/>
          <w:sz w:val="23"/>
          <w:szCs w:val="23"/>
        </w:rPr>
        <w:t>排气筒 (</w:t>
      </w:r>
      <w:r>
        <w:rPr>
          <w:rFonts w:ascii="Times New Roman" w:hAnsi="Times New Roman" w:eastAsia="Times New Roman" w:cs="Times New Roman"/>
          <w:spacing w:val="11"/>
          <w:sz w:val="23"/>
          <w:szCs w:val="23"/>
        </w:rPr>
        <w:t>1#</w:t>
      </w:r>
      <w:r>
        <w:rPr>
          <w:rFonts w:ascii="宋体" w:hAnsi="宋体" w:eastAsia="宋体" w:cs="宋体"/>
          <w:spacing w:val="11"/>
          <w:sz w:val="23"/>
          <w:szCs w:val="23"/>
        </w:rPr>
        <w:t>排气筒、</w:t>
      </w:r>
      <w:r>
        <w:rPr>
          <w:rFonts w:ascii="Times New Roman" w:hAnsi="Times New Roman" w:eastAsia="Times New Roman" w:cs="Times New Roman"/>
          <w:spacing w:val="11"/>
          <w:sz w:val="23"/>
          <w:szCs w:val="23"/>
        </w:rPr>
        <w:t>2#</w:t>
      </w:r>
      <w:r>
        <w:rPr>
          <w:rFonts w:ascii="宋体" w:hAnsi="宋体" w:eastAsia="宋体" w:cs="宋体"/>
          <w:spacing w:val="11"/>
          <w:sz w:val="23"/>
          <w:szCs w:val="23"/>
        </w:rPr>
        <w:t>排气筒) 。</w:t>
      </w:r>
      <w:r>
        <w:rPr>
          <w:rFonts w:ascii="Times New Roman" w:hAnsi="Times New Roman" w:eastAsia="Times New Roman" w:cs="Times New Roman"/>
          <w:sz w:val="23"/>
          <w:szCs w:val="23"/>
        </w:rPr>
        <w:t>UV</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光氧催化废气处理装置</w:t>
      </w:r>
      <w:r>
        <w:rPr>
          <w:rFonts w:ascii="Times New Roman" w:hAnsi="Times New Roman" w:eastAsia="Times New Roman" w:cs="Times New Roman"/>
          <w:spacing w:val="11"/>
          <w:sz w:val="23"/>
          <w:szCs w:val="23"/>
        </w:rPr>
        <w:t>+</w:t>
      </w:r>
      <w:r>
        <w:rPr>
          <w:rFonts w:ascii="宋体" w:hAnsi="宋体" w:eastAsia="宋体" w:cs="宋体"/>
          <w:spacing w:val="11"/>
          <w:sz w:val="23"/>
          <w:szCs w:val="23"/>
        </w:rPr>
        <w:t>活性炭吸附装</w:t>
      </w:r>
      <w:r>
        <w:rPr>
          <w:rFonts w:ascii="宋体" w:hAnsi="宋体" w:eastAsia="宋体" w:cs="宋体"/>
          <w:sz w:val="23"/>
          <w:szCs w:val="23"/>
        </w:rPr>
        <w:t xml:space="preserve"> </w:t>
      </w:r>
      <w:r>
        <w:rPr>
          <w:rFonts w:ascii="宋体" w:hAnsi="宋体" w:eastAsia="宋体" w:cs="宋体"/>
          <w:spacing w:val="3"/>
          <w:sz w:val="23"/>
          <w:szCs w:val="23"/>
        </w:rPr>
        <w:t xml:space="preserve">置对非甲烷总烃的处理效率为 </w:t>
      </w:r>
      <w:r>
        <w:rPr>
          <w:rFonts w:ascii="Times New Roman" w:hAnsi="Times New Roman" w:eastAsia="Times New Roman" w:cs="Times New Roman"/>
          <w:spacing w:val="3"/>
          <w:sz w:val="23"/>
          <w:szCs w:val="23"/>
        </w:rPr>
        <w:t>85%</w:t>
      </w:r>
      <w:r>
        <w:rPr>
          <w:rFonts w:ascii="宋体" w:hAnsi="宋体" w:eastAsia="宋体" w:cs="宋体"/>
          <w:spacing w:val="3"/>
          <w:sz w:val="23"/>
          <w:szCs w:val="23"/>
        </w:rPr>
        <w:t xml:space="preserve">。则非甲烷总烃有组织排放量为 </w:t>
      </w:r>
      <w:r>
        <w:rPr>
          <w:rFonts w:ascii="Times New Roman" w:hAnsi="Times New Roman" w:eastAsia="Times New Roman" w:cs="Times New Roman"/>
          <w:spacing w:val="3"/>
          <w:sz w:val="23"/>
          <w:szCs w:val="23"/>
        </w:rPr>
        <w:t>2.41</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，排</w:t>
      </w:r>
      <w:r>
        <w:rPr>
          <w:rFonts w:ascii="宋体" w:hAnsi="宋体" w:eastAsia="宋体" w:cs="宋体"/>
          <w:sz w:val="23"/>
          <w:szCs w:val="23"/>
        </w:rPr>
        <w:t xml:space="preserve">放 </w:t>
      </w:r>
      <w:r>
        <w:rPr>
          <w:rFonts w:ascii="宋体" w:hAnsi="宋体" w:eastAsia="宋体" w:cs="宋体"/>
          <w:spacing w:val="3"/>
          <w:sz w:val="23"/>
          <w:szCs w:val="23"/>
        </w:rPr>
        <w:t xml:space="preserve">速率为 </w:t>
      </w:r>
      <w:r>
        <w:rPr>
          <w:rFonts w:ascii="Times New Roman" w:hAnsi="Times New Roman" w:eastAsia="Times New Roman" w:cs="Times New Roman"/>
          <w:spacing w:val="3"/>
          <w:sz w:val="23"/>
          <w:szCs w:val="23"/>
        </w:rPr>
        <w:t>0.33</w:t>
      </w:r>
      <w:r>
        <w:rPr>
          <w:rFonts w:ascii="Times New Roman" w:hAnsi="Times New Roman" w:eastAsia="Times New Roman" w:cs="Times New Roman"/>
          <w:sz w:val="23"/>
          <w:szCs w:val="23"/>
        </w:rPr>
        <w:t>kg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，排放浓度为 </w:t>
      </w:r>
      <w:r>
        <w:rPr>
          <w:rFonts w:ascii="Times New Roman" w:hAnsi="Times New Roman" w:eastAsia="Times New Roman" w:cs="Times New Roman"/>
          <w:spacing w:val="3"/>
          <w:sz w:val="23"/>
          <w:szCs w:val="23"/>
        </w:rPr>
        <w:t>66</w:t>
      </w:r>
      <w:r>
        <w:rPr>
          <w:rFonts w:ascii="Times New Roman" w:hAnsi="Times New Roman" w:eastAsia="Times New Roman" w:cs="Times New Roman"/>
          <w:sz w:val="23"/>
          <w:szCs w:val="23"/>
        </w:rPr>
        <w:t>mg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 xml:space="preserve">3 </w:t>
      </w:r>
      <w:r>
        <w:rPr>
          <w:rFonts w:ascii="宋体" w:hAnsi="宋体" w:eastAsia="宋体" w:cs="宋体"/>
          <w:spacing w:val="3"/>
          <w:sz w:val="23"/>
          <w:szCs w:val="23"/>
        </w:rPr>
        <w:t>，排放浓度可以达到《合成树脂工业</w:t>
      </w:r>
      <w:r>
        <w:rPr>
          <w:rFonts w:ascii="宋体" w:hAnsi="宋体" w:eastAsia="宋体" w:cs="宋体"/>
          <w:spacing w:val="1"/>
          <w:sz w:val="23"/>
          <w:szCs w:val="23"/>
        </w:rPr>
        <w:t>污</w:t>
      </w:r>
      <w:r>
        <w:rPr>
          <w:rFonts w:ascii="宋体" w:hAnsi="宋体" w:eastAsia="宋体" w:cs="宋体"/>
          <w:sz w:val="23"/>
          <w:szCs w:val="23"/>
        </w:rPr>
        <w:t xml:space="preserve">染 </w:t>
      </w:r>
      <w:r>
        <w:rPr>
          <w:rFonts w:ascii="宋体" w:hAnsi="宋体" w:eastAsia="宋体" w:cs="宋体"/>
          <w:spacing w:val="1"/>
          <w:sz w:val="23"/>
          <w:szCs w:val="23"/>
        </w:rPr>
        <w:t>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31572-2015</w:t>
      </w:r>
      <w:r>
        <w:rPr>
          <w:rFonts w:ascii="宋体" w:hAnsi="宋体" w:eastAsia="宋体" w:cs="宋体"/>
          <w:spacing w:val="1"/>
          <w:sz w:val="23"/>
          <w:szCs w:val="23"/>
        </w:rPr>
        <w:t xml:space="preserve">) 表 </w:t>
      </w:r>
      <w:r>
        <w:rPr>
          <w:rFonts w:ascii="Times New Roman" w:hAnsi="Times New Roman" w:eastAsia="Times New Roman" w:cs="Times New Roman"/>
          <w:spacing w:val="1"/>
          <w:sz w:val="23"/>
          <w:szCs w:val="23"/>
        </w:rPr>
        <w:t xml:space="preserve">4 </w:t>
      </w:r>
      <w:r>
        <w:rPr>
          <w:rFonts w:ascii="宋体" w:hAnsi="宋体" w:eastAsia="宋体" w:cs="宋体"/>
          <w:spacing w:val="1"/>
          <w:sz w:val="23"/>
          <w:szCs w:val="23"/>
        </w:rPr>
        <w:t>中标准限值要求 (</w:t>
      </w:r>
      <w:r>
        <w:rPr>
          <w:rFonts w:ascii="宋体" w:hAnsi="宋体" w:eastAsia="宋体" w:cs="宋体"/>
          <w:sz w:val="23"/>
          <w:szCs w:val="23"/>
        </w:rPr>
        <w:t>非甲烷总烃：</w:t>
      </w:r>
      <w:r>
        <w:rPr>
          <w:rFonts w:ascii="Times New Roman" w:hAnsi="Times New Roman" w:eastAsia="Times New Roman" w:cs="Times New Roman"/>
          <w:sz w:val="23"/>
          <w:szCs w:val="23"/>
        </w:rPr>
        <w:t>100mg/m</w:t>
      </w:r>
      <w:r>
        <w:rPr>
          <w:rFonts w:ascii="Times New Roman" w:hAnsi="Times New Roman" w:eastAsia="Times New Roman" w:cs="Times New Roman"/>
          <w:position w:val="8"/>
          <w:sz w:val="15"/>
          <w:szCs w:val="15"/>
        </w:rPr>
        <w:t xml:space="preserve">3 </w:t>
      </w:r>
      <w:r>
        <w:rPr>
          <w:rFonts w:ascii="宋体" w:hAnsi="宋体" w:eastAsia="宋体" w:cs="宋体"/>
          <w:sz w:val="23"/>
          <w:szCs w:val="23"/>
        </w:rPr>
        <w:t xml:space="preserve">)。 </w:t>
      </w:r>
      <w:r>
        <w:rPr>
          <w:rFonts w:ascii="宋体" w:hAnsi="宋体" w:eastAsia="宋体" w:cs="宋体"/>
          <w:spacing w:val="10"/>
          <w:sz w:val="23"/>
          <w:szCs w:val="23"/>
        </w:rPr>
        <w:t>该</w:t>
      </w:r>
      <w:r>
        <w:rPr>
          <w:rFonts w:ascii="宋体" w:hAnsi="宋体" w:eastAsia="宋体" w:cs="宋体"/>
          <w:spacing w:val="7"/>
          <w:sz w:val="23"/>
          <w:szCs w:val="23"/>
        </w:rPr>
        <w:t>项目未被集气罩收集的非甲烷总烃以无组织排放形式在车间自然扩散。无组织</w:t>
      </w:r>
      <w:r>
        <w:rPr>
          <w:rFonts w:ascii="宋体" w:hAnsi="宋体" w:eastAsia="宋体" w:cs="宋体"/>
          <w:sz w:val="23"/>
          <w:szCs w:val="23"/>
        </w:rPr>
        <w:t xml:space="preserve"> </w:t>
      </w:r>
      <w:r>
        <w:rPr>
          <w:rFonts w:ascii="宋体" w:hAnsi="宋体" w:eastAsia="宋体" w:cs="宋体"/>
          <w:spacing w:val="-1"/>
          <w:sz w:val="23"/>
          <w:szCs w:val="23"/>
        </w:rPr>
        <w:t xml:space="preserve">排放量为 </w:t>
      </w:r>
      <w:r>
        <w:rPr>
          <w:rFonts w:ascii="Times New Roman" w:hAnsi="Times New Roman" w:eastAsia="Times New Roman" w:cs="Times New Roman"/>
          <w:spacing w:val="-1"/>
          <w:sz w:val="23"/>
          <w:szCs w:val="23"/>
        </w:rPr>
        <w:t>1.79</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，排放</w:t>
      </w:r>
      <w:r>
        <w:rPr>
          <w:rFonts w:ascii="宋体" w:hAnsi="宋体" w:eastAsia="宋体" w:cs="宋体"/>
          <w:sz w:val="23"/>
          <w:szCs w:val="23"/>
        </w:rPr>
        <w:t xml:space="preserve">速率为 </w:t>
      </w:r>
      <w:r>
        <w:rPr>
          <w:rFonts w:ascii="Times New Roman" w:hAnsi="Times New Roman" w:eastAsia="Times New Roman" w:cs="Times New Roman"/>
          <w:sz w:val="23"/>
          <w:szCs w:val="23"/>
        </w:rPr>
        <w:t>0.25kg/h</w:t>
      </w:r>
      <w:r>
        <w:rPr>
          <w:rFonts w:ascii="宋体" w:hAnsi="宋体" w:eastAsia="宋体" w:cs="宋体"/>
          <w:sz w:val="23"/>
          <w:szCs w:val="23"/>
        </w:rPr>
        <w:t>。</w:t>
      </w:r>
    </w:p>
    <w:p w14:paraId="0409FEF5">
      <w:pPr>
        <w:spacing w:before="138" w:line="225" w:lineRule="auto"/>
        <w:ind w:left="501"/>
        <w:rPr>
          <w:rFonts w:ascii="宋体" w:hAnsi="宋体" w:eastAsia="宋体" w:cs="宋体"/>
          <w:sz w:val="23"/>
          <w:szCs w:val="23"/>
        </w:rPr>
      </w:pPr>
      <w:r>
        <w:rPr>
          <w:rFonts w:ascii="宋体" w:hAnsi="宋体" w:eastAsia="宋体" w:cs="宋体"/>
          <w:spacing w:val="12"/>
          <w:sz w:val="23"/>
          <w:szCs w:val="23"/>
        </w:rPr>
        <w:t>③</w:t>
      </w:r>
      <w:r>
        <w:rPr>
          <w:rFonts w:ascii="宋体" w:hAnsi="宋体" w:eastAsia="宋体" w:cs="宋体"/>
          <w:spacing w:val="8"/>
          <w:sz w:val="23"/>
          <w:szCs w:val="23"/>
        </w:rPr>
        <w:t>热风炉烟气</w:t>
      </w:r>
    </w:p>
    <w:p w14:paraId="2CA69D48">
      <w:pPr>
        <w:spacing w:line="280" w:lineRule="auto"/>
        <w:rPr>
          <w:rFonts w:ascii="Arial"/>
          <w:sz w:val="21"/>
        </w:rPr>
      </w:pPr>
    </w:p>
    <w:p w14:paraId="0FE1D6EB">
      <w:pPr>
        <w:spacing w:before="76" w:line="383" w:lineRule="auto"/>
        <w:ind w:left="22" w:right="70" w:firstLine="484"/>
        <w:rPr>
          <w:rFonts w:ascii="宋体" w:hAnsi="宋体" w:eastAsia="宋体" w:cs="宋体"/>
          <w:sz w:val="23"/>
          <w:szCs w:val="23"/>
        </w:rPr>
      </w:pPr>
      <w:r>
        <w:rPr>
          <w:rFonts w:ascii="宋体" w:hAnsi="宋体" w:eastAsia="宋体" w:cs="宋体"/>
          <w:spacing w:val="10"/>
          <w:sz w:val="23"/>
          <w:szCs w:val="23"/>
        </w:rPr>
        <w:t>该项目洗字</w:t>
      </w:r>
      <w:r>
        <w:rPr>
          <w:rFonts w:ascii="宋体" w:hAnsi="宋体" w:eastAsia="宋体" w:cs="宋体"/>
          <w:spacing w:val="5"/>
          <w:sz w:val="23"/>
          <w:szCs w:val="23"/>
        </w:rPr>
        <w:t xml:space="preserve">工序设有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个容积为 </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的洗字槽 (</w:t>
      </w:r>
      <w:r>
        <w:rPr>
          <w:rFonts w:ascii="Times New Roman" w:hAnsi="Times New Roman" w:eastAsia="Times New Roman" w:cs="Times New Roman"/>
          <w:spacing w:val="5"/>
          <w:sz w:val="23"/>
          <w:szCs w:val="23"/>
        </w:rPr>
        <w:t>2.5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×2</w:t>
      </w:r>
      <w:r>
        <w:rPr>
          <w:rFonts w:ascii="Times New Roman" w:hAnsi="Times New Roman" w:eastAsia="Times New Roman" w:cs="Times New Roman"/>
          <w:sz w:val="23"/>
          <w:szCs w:val="23"/>
        </w:rPr>
        <w:t>m</w:t>
      </w:r>
      <w:r>
        <w:rPr>
          <w:rFonts w:ascii="宋体" w:hAnsi="宋体" w:eastAsia="宋体" w:cs="宋体"/>
          <w:spacing w:val="5"/>
          <w:sz w:val="23"/>
          <w:szCs w:val="23"/>
        </w:rPr>
        <w:t>) ，配套设</w:t>
      </w:r>
      <w:r>
        <w:rPr>
          <w:rFonts w:ascii="宋体" w:hAnsi="宋体" w:eastAsia="宋体" w:cs="宋体"/>
          <w:sz w:val="23"/>
          <w:szCs w:val="23"/>
        </w:rPr>
        <w:t xml:space="preserve"> </w:t>
      </w:r>
      <w:r>
        <w:rPr>
          <w:rFonts w:ascii="宋体" w:hAnsi="宋体" w:eastAsia="宋体" w:cs="宋体"/>
          <w:spacing w:val="12"/>
          <w:sz w:val="23"/>
          <w:szCs w:val="23"/>
        </w:rPr>
        <w:t xml:space="preserve">有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台 </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的热风炉，用于加热洗字槽内的洗字用水，燃烧燃料为</w:t>
      </w:r>
      <w:r>
        <w:rPr>
          <w:rFonts w:ascii="Times New Roman" w:hAnsi="Times New Roman" w:eastAsia="Times New Roman" w:cs="Times New Roman"/>
          <w:spacing w:val="6"/>
          <w:sz w:val="23"/>
          <w:szCs w:val="23"/>
        </w:rPr>
        <w:t>“</w:t>
      </w:r>
      <w:r>
        <w:rPr>
          <w:rFonts w:ascii="宋体" w:hAnsi="宋体" w:eastAsia="宋体" w:cs="宋体"/>
          <w:spacing w:val="6"/>
          <w:sz w:val="23"/>
          <w:szCs w:val="23"/>
        </w:rPr>
        <w:t>国家能源局</w:t>
      </w:r>
      <w:r>
        <w:rPr>
          <w:rFonts w:ascii="宋体" w:hAnsi="宋体" w:eastAsia="宋体" w:cs="宋体"/>
          <w:sz w:val="23"/>
          <w:szCs w:val="23"/>
        </w:rPr>
        <w:t xml:space="preserve"> </w:t>
      </w:r>
      <w:r>
        <w:rPr>
          <w:rFonts w:ascii="宋体" w:hAnsi="宋体" w:eastAsia="宋体" w:cs="宋体"/>
          <w:spacing w:val="12"/>
          <w:sz w:val="23"/>
          <w:szCs w:val="23"/>
        </w:rPr>
        <w:t>及环境保</w:t>
      </w:r>
      <w:r>
        <w:rPr>
          <w:rFonts w:ascii="宋体" w:hAnsi="宋体" w:eastAsia="宋体" w:cs="宋体"/>
          <w:spacing w:val="6"/>
          <w:sz w:val="23"/>
          <w:szCs w:val="23"/>
        </w:rPr>
        <w:t>护部文件 (国能新能</w:t>
      </w:r>
      <w:r>
        <w:rPr>
          <w:rFonts w:ascii="Times New Roman" w:hAnsi="Times New Roman" w:eastAsia="Times New Roman" w:cs="Times New Roman"/>
          <w:spacing w:val="6"/>
          <w:sz w:val="23"/>
          <w:szCs w:val="23"/>
        </w:rPr>
        <w:t xml:space="preserve">[2014]520 </w:t>
      </w:r>
      <w:r>
        <w:rPr>
          <w:rFonts w:ascii="宋体" w:hAnsi="宋体" w:eastAsia="宋体" w:cs="宋体"/>
          <w:spacing w:val="6"/>
          <w:sz w:val="23"/>
          <w:szCs w:val="23"/>
        </w:rPr>
        <w:t xml:space="preserve">号) </w:t>
      </w:r>
      <w:r>
        <w:rPr>
          <w:rFonts w:ascii="Times New Roman" w:hAnsi="Times New Roman" w:eastAsia="Times New Roman" w:cs="Times New Roman"/>
          <w:spacing w:val="6"/>
          <w:sz w:val="23"/>
          <w:szCs w:val="23"/>
        </w:rPr>
        <w:t>”</w:t>
      </w:r>
      <w:r>
        <w:rPr>
          <w:rFonts w:ascii="宋体" w:hAnsi="宋体" w:eastAsia="宋体" w:cs="宋体"/>
          <w:spacing w:val="6"/>
          <w:sz w:val="23"/>
          <w:szCs w:val="23"/>
        </w:rPr>
        <w:t>文件中推荐的生物质成型燃料。新</w:t>
      </w:r>
      <w:r>
        <w:rPr>
          <w:rFonts w:ascii="宋体" w:hAnsi="宋体" w:eastAsia="宋体" w:cs="宋体"/>
          <w:sz w:val="23"/>
          <w:szCs w:val="23"/>
        </w:rPr>
        <w:t xml:space="preserve"> </w:t>
      </w:r>
      <w:r>
        <w:rPr>
          <w:rFonts w:ascii="宋体" w:hAnsi="宋体" w:eastAsia="宋体" w:cs="宋体"/>
          <w:spacing w:val="6"/>
          <w:sz w:val="23"/>
          <w:szCs w:val="23"/>
        </w:rPr>
        <w:t>建热风炉配</w:t>
      </w:r>
      <w:r>
        <w:rPr>
          <w:rFonts w:ascii="宋体" w:hAnsi="宋体" w:eastAsia="宋体" w:cs="宋体"/>
          <w:spacing w:val="3"/>
          <w:sz w:val="23"/>
          <w:szCs w:val="23"/>
        </w:rPr>
        <w:t xml:space="preserve">套设施有除尘器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套、风机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台等。热风炉配备布袋除尘器，除尘效</w:t>
      </w:r>
      <w:r>
        <w:rPr>
          <w:rFonts w:ascii="宋体" w:hAnsi="宋体" w:eastAsia="宋体" w:cs="宋体"/>
          <w:sz w:val="23"/>
          <w:szCs w:val="23"/>
        </w:rPr>
        <w:t xml:space="preserve"> </w:t>
      </w:r>
      <w:r>
        <w:rPr>
          <w:rFonts w:ascii="宋体" w:hAnsi="宋体" w:eastAsia="宋体" w:cs="宋体"/>
          <w:spacing w:val="6"/>
          <w:sz w:val="23"/>
          <w:szCs w:val="23"/>
        </w:rPr>
        <w:t xml:space="preserve">率大于 </w:t>
      </w:r>
      <w:r>
        <w:rPr>
          <w:rFonts w:ascii="Times New Roman" w:hAnsi="Times New Roman" w:eastAsia="Times New Roman" w:cs="Times New Roman"/>
          <w:spacing w:val="6"/>
          <w:sz w:val="23"/>
          <w:szCs w:val="23"/>
        </w:rPr>
        <w:t xml:space="preserve">99% </w:t>
      </w:r>
      <w:r>
        <w:rPr>
          <w:rFonts w:ascii="宋体" w:hAnsi="宋体" w:eastAsia="宋体" w:cs="宋体"/>
          <w:spacing w:val="6"/>
          <w:sz w:val="23"/>
          <w:szCs w:val="23"/>
        </w:rPr>
        <w:t>，</w:t>
      </w:r>
      <w:r>
        <w:rPr>
          <w:rFonts w:ascii="宋体" w:hAnsi="宋体" w:eastAsia="宋体" w:cs="宋体"/>
          <w:spacing w:val="5"/>
          <w:sz w:val="23"/>
          <w:szCs w:val="23"/>
        </w:rPr>
        <w:t>排</w:t>
      </w:r>
      <w:r>
        <w:rPr>
          <w:rFonts w:ascii="宋体" w:hAnsi="宋体" w:eastAsia="宋体" w:cs="宋体"/>
          <w:spacing w:val="3"/>
          <w:sz w:val="23"/>
          <w:szCs w:val="23"/>
        </w:rPr>
        <w:t>气筒 (</w:t>
      </w:r>
      <w:r>
        <w:rPr>
          <w:rFonts w:ascii="Times New Roman" w:hAnsi="Times New Roman" w:eastAsia="Times New Roman" w:cs="Times New Roman"/>
          <w:spacing w:val="3"/>
          <w:sz w:val="23"/>
          <w:szCs w:val="23"/>
        </w:rPr>
        <w:t>3#</w:t>
      </w:r>
      <w:r>
        <w:rPr>
          <w:rFonts w:ascii="宋体" w:hAnsi="宋体" w:eastAsia="宋体" w:cs="宋体"/>
          <w:spacing w:val="3"/>
          <w:sz w:val="23"/>
          <w:szCs w:val="23"/>
        </w:rPr>
        <w:t xml:space="preserve">) 高度为 </w:t>
      </w:r>
      <w:r>
        <w:rPr>
          <w:rFonts w:ascii="Times New Roman" w:hAnsi="Times New Roman" w:eastAsia="Times New Roman" w:cs="Times New Roman"/>
          <w:spacing w:val="3"/>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。热风炉全年运行时间为 </w:t>
      </w:r>
      <w:r>
        <w:rPr>
          <w:rFonts w:ascii="Times New Roman" w:hAnsi="Times New Roman" w:eastAsia="Times New Roman" w:cs="Times New Roman"/>
          <w:spacing w:val="3"/>
          <w:sz w:val="23"/>
          <w:szCs w:val="23"/>
        </w:rPr>
        <w:t xml:space="preserve">300 </w:t>
      </w:r>
      <w:r>
        <w:rPr>
          <w:rFonts w:ascii="宋体" w:hAnsi="宋体" w:eastAsia="宋体" w:cs="宋体"/>
          <w:spacing w:val="3"/>
          <w:sz w:val="23"/>
          <w:szCs w:val="23"/>
        </w:rPr>
        <w:t>天，每天</w:t>
      </w:r>
      <w:r>
        <w:rPr>
          <w:rFonts w:ascii="宋体" w:hAnsi="宋体" w:eastAsia="宋体" w:cs="宋体"/>
          <w:sz w:val="23"/>
          <w:szCs w:val="23"/>
        </w:rPr>
        <w:t xml:space="preserve"> </w:t>
      </w:r>
      <w:r>
        <w:rPr>
          <w:rFonts w:ascii="宋体" w:hAnsi="宋体" w:eastAsia="宋体" w:cs="宋体"/>
          <w:spacing w:val="9"/>
          <w:sz w:val="23"/>
          <w:szCs w:val="23"/>
        </w:rPr>
        <w:t>工作</w:t>
      </w:r>
      <w:r>
        <w:rPr>
          <w:rFonts w:ascii="Times New Roman" w:hAnsi="Times New Roman" w:eastAsia="Times New Roman" w:cs="Times New Roman"/>
          <w:spacing w:val="9"/>
          <w:sz w:val="23"/>
          <w:szCs w:val="23"/>
        </w:rPr>
        <w:t xml:space="preserve">6 </w:t>
      </w:r>
      <w:r>
        <w:rPr>
          <w:rFonts w:ascii="宋体" w:hAnsi="宋体" w:eastAsia="宋体" w:cs="宋体"/>
          <w:spacing w:val="9"/>
          <w:sz w:val="23"/>
          <w:szCs w:val="23"/>
        </w:rPr>
        <w:t>小时。根据企业提供的拟采取生物质成型燃料检验报告，进行燃料消耗</w:t>
      </w:r>
      <w:r>
        <w:rPr>
          <w:rFonts w:ascii="宋体" w:hAnsi="宋体" w:eastAsia="宋体" w:cs="宋体"/>
          <w:spacing w:val="2"/>
          <w:sz w:val="23"/>
          <w:szCs w:val="23"/>
        </w:rPr>
        <w:t>量</w:t>
      </w:r>
      <w:r>
        <w:rPr>
          <w:rFonts w:ascii="宋体" w:hAnsi="宋体" w:eastAsia="宋体" w:cs="宋体"/>
          <w:sz w:val="23"/>
          <w:szCs w:val="23"/>
        </w:rPr>
        <w:t xml:space="preserve"> </w:t>
      </w:r>
      <w:r>
        <w:rPr>
          <w:rFonts w:ascii="宋体" w:hAnsi="宋体" w:eastAsia="宋体" w:cs="宋体"/>
          <w:spacing w:val="-2"/>
          <w:sz w:val="23"/>
          <w:szCs w:val="23"/>
        </w:rPr>
        <w:t>计算，计算</w:t>
      </w:r>
      <w:r>
        <w:rPr>
          <w:rFonts w:ascii="宋体" w:hAnsi="宋体" w:eastAsia="宋体" w:cs="宋体"/>
          <w:spacing w:val="-1"/>
          <w:sz w:val="23"/>
          <w:szCs w:val="23"/>
        </w:rPr>
        <w:t>公式如下：</w:t>
      </w:r>
    </w:p>
    <w:p w14:paraId="1517CCAA">
      <w:pPr>
        <w:spacing w:before="130" w:line="323" w:lineRule="exact"/>
        <w:ind w:left="1218"/>
        <w:rPr>
          <w:rFonts w:ascii="宋体" w:hAnsi="宋体" w:eastAsia="宋体" w:cs="宋体"/>
          <w:sz w:val="23"/>
          <w:szCs w:val="23"/>
        </w:rPr>
      </w:pPr>
      <w:r>
        <w:rPr>
          <w:rFonts w:ascii="Times New Roman" w:hAnsi="Times New Roman" w:eastAsia="Times New Roman" w:cs="Times New Roman"/>
          <w:position w:val="3"/>
          <w:sz w:val="23"/>
          <w:szCs w:val="23"/>
        </w:rPr>
        <w:t>Bw</w:t>
      </w:r>
      <w:r>
        <w:rPr>
          <w:rFonts w:ascii="Times New Roman" w:hAnsi="Times New Roman" w:eastAsia="Times New Roman" w:cs="Times New Roman"/>
          <w:spacing w:val="6"/>
          <w:position w:val="3"/>
          <w:sz w:val="23"/>
          <w:szCs w:val="23"/>
        </w:rPr>
        <w:t>=</w:t>
      </w:r>
      <w:r>
        <w:rPr>
          <w:rFonts w:ascii="Times New Roman" w:hAnsi="Times New Roman" w:eastAsia="Times New Roman" w:cs="Times New Roman"/>
          <w:position w:val="3"/>
          <w:sz w:val="23"/>
          <w:szCs w:val="23"/>
        </w:rPr>
        <w:t>F</w:t>
      </w:r>
      <w:r>
        <w:rPr>
          <w:rFonts w:ascii="Times New Roman" w:hAnsi="Times New Roman" w:eastAsia="Times New Roman" w:cs="Times New Roman"/>
          <w:spacing w:val="6"/>
          <w:position w:val="3"/>
          <w:sz w:val="23"/>
          <w:szCs w:val="23"/>
        </w:rPr>
        <w:t xml:space="preserve">×3600/  </w:t>
      </w:r>
      <w:r>
        <w:rPr>
          <w:rFonts w:ascii="宋体" w:hAnsi="宋体" w:eastAsia="宋体" w:cs="宋体"/>
          <w:spacing w:val="6"/>
          <w:position w:val="3"/>
          <w:sz w:val="23"/>
          <w:szCs w:val="23"/>
        </w:rPr>
        <w:t>(</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6"/>
          <w:position w:val="3"/>
          <w:sz w:val="23"/>
          <w:szCs w:val="23"/>
        </w:rPr>
        <w:t>×η</w:t>
      </w:r>
      <w:r>
        <w:rPr>
          <w:rFonts w:ascii="宋体" w:hAnsi="宋体" w:eastAsia="宋体" w:cs="宋体"/>
          <w:spacing w:val="3"/>
          <w:position w:val="3"/>
          <w:sz w:val="23"/>
          <w:szCs w:val="23"/>
        </w:rPr>
        <w:t>)</w:t>
      </w:r>
    </w:p>
    <w:p w14:paraId="5F024E8C">
      <w:pPr>
        <w:spacing w:before="313" w:line="323" w:lineRule="exact"/>
        <w:ind w:left="504"/>
        <w:rPr>
          <w:rFonts w:ascii="宋体" w:hAnsi="宋体" w:eastAsia="宋体" w:cs="宋体"/>
          <w:sz w:val="23"/>
          <w:szCs w:val="23"/>
        </w:rPr>
      </w:pPr>
      <w:r>
        <w:rPr>
          <w:rFonts w:ascii="宋体" w:hAnsi="宋体" w:eastAsia="宋体" w:cs="宋体"/>
          <w:spacing w:val="17"/>
          <w:position w:val="3"/>
          <w:sz w:val="23"/>
          <w:szCs w:val="23"/>
        </w:rPr>
        <w:t>其</w:t>
      </w:r>
      <w:r>
        <w:rPr>
          <w:rFonts w:ascii="宋体" w:hAnsi="宋体" w:eastAsia="宋体" w:cs="宋体"/>
          <w:spacing w:val="9"/>
          <w:position w:val="3"/>
          <w:sz w:val="23"/>
          <w:szCs w:val="23"/>
        </w:rPr>
        <w:t>中：</w:t>
      </w:r>
      <w:r>
        <w:rPr>
          <w:rFonts w:ascii="Times New Roman" w:hAnsi="Times New Roman" w:eastAsia="Times New Roman" w:cs="Times New Roman"/>
          <w:position w:val="3"/>
          <w:sz w:val="23"/>
          <w:szCs w:val="23"/>
        </w:rPr>
        <w:t>B</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耗成型生物质燃料量，</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h</w:t>
      </w:r>
      <w:r>
        <w:rPr>
          <w:rFonts w:ascii="宋体" w:hAnsi="宋体" w:eastAsia="宋体" w:cs="宋体"/>
          <w:spacing w:val="9"/>
          <w:position w:val="3"/>
          <w:sz w:val="23"/>
          <w:szCs w:val="23"/>
        </w:rPr>
        <w:t>；</w:t>
      </w:r>
    </w:p>
    <w:p w14:paraId="62D1E139">
      <w:pPr>
        <w:spacing w:before="313" w:line="323" w:lineRule="exact"/>
        <w:ind w:left="1217"/>
        <w:rPr>
          <w:rFonts w:ascii="宋体" w:hAnsi="宋体" w:eastAsia="宋体" w:cs="宋体"/>
          <w:sz w:val="23"/>
          <w:szCs w:val="23"/>
        </w:rPr>
      </w:pPr>
      <w:r>
        <w:rPr>
          <w:rFonts w:ascii="Times New Roman" w:hAnsi="Times New Roman" w:eastAsia="Times New Roman" w:cs="Times New Roman"/>
          <w:position w:val="1"/>
          <w:sz w:val="23"/>
          <w:szCs w:val="23"/>
        </w:rPr>
        <w:t>F</w:t>
      </w:r>
      <w:r>
        <w:rPr>
          <w:rFonts w:ascii="Times New Roman" w:hAnsi="Times New Roman" w:eastAsia="Times New Roman" w:cs="Times New Roman"/>
          <w:spacing w:val="7"/>
          <w:position w:val="1"/>
          <w:sz w:val="23"/>
          <w:szCs w:val="23"/>
        </w:rPr>
        <w:t>—</w:t>
      </w:r>
      <w:r>
        <w:rPr>
          <w:rFonts w:ascii="宋体" w:hAnsi="宋体" w:eastAsia="宋体" w:cs="宋体"/>
          <w:spacing w:val="6"/>
          <w:position w:val="1"/>
          <w:sz w:val="23"/>
          <w:szCs w:val="23"/>
        </w:rPr>
        <w:t xml:space="preserve">锅炉功率，本项目热风炉功率为 </w:t>
      </w:r>
      <w:r>
        <w:rPr>
          <w:rFonts w:ascii="Times New Roman" w:hAnsi="Times New Roman" w:eastAsia="Times New Roman" w:cs="Times New Roman"/>
          <w:spacing w:val="6"/>
          <w:position w:val="1"/>
          <w:sz w:val="23"/>
          <w:szCs w:val="23"/>
        </w:rPr>
        <w:t>1400</w:t>
      </w:r>
      <w:r>
        <w:rPr>
          <w:rFonts w:ascii="Times New Roman" w:hAnsi="Times New Roman" w:eastAsia="Times New Roman" w:cs="Times New Roman"/>
          <w:position w:val="1"/>
          <w:sz w:val="23"/>
          <w:szCs w:val="23"/>
        </w:rPr>
        <w:t>kw</w:t>
      </w:r>
      <w:r>
        <w:rPr>
          <w:rFonts w:ascii="宋体" w:hAnsi="宋体" w:eastAsia="宋体" w:cs="宋体"/>
          <w:spacing w:val="6"/>
          <w:position w:val="1"/>
          <w:sz w:val="23"/>
          <w:szCs w:val="23"/>
        </w:rPr>
        <w:t>；</w:t>
      </w:r>
    </w:p>
    <w:p w14:paraId="2AAE9458">
      <w:pPr>
        <w:sectPr>
          <w:headerReference r:id="rId125" w:type="default"/>
          <w:footerReference r:id="rId126" w:type="default"/>
          <w:pgSz w:w="11906" w:h="16839"/>
          <w:pgMar w:top="1132" w:right="1716" w:bottom="1182" w:left="1785" w:header="878" w:footer="1022" w:gutter="0"/>
          <w:cols w:space="720" w:num="1"/>
        </w:sectPr>
      </w:pPr>
    </w:p>
    <w:p w14:paraId="2274BF4C">
      <w:pPr>
        <w:spacing w:line="364" w:lineRule="auto"/>
        <w:rPr>
          <w:rFonts w:ascii="Arial"/>
          <w:sz w:val="21"/>
        </w:rPr>
      </w:pPr>
      <w:r>
        <w:pict>
          <v:shape id="_x0000_s1174" o:spid="_x0000_s1174" style="position:absolute;left:0pt;margin-left:90pt;margin-top:57.35pt;height:0.75pt;width:415.3pt;mso-position-horizontal-relative:page;mso-position-vertical-relative:page;z-index:251812864;mso-width-relative:page;mso-height-relative:page;" fillcolor="#000000" filled="t" stroked="f" coordsize="8305,15" o:allowincell="f" path="m0,0l8305,0,8305,14,0,14,0,0xe">
            <v:path/>
            <v:fill on="t" focussize="0,0"/>
            <v:stroke on="f"/>
            <v:imagedata o:title=""/>
            <o:lock v:ext="edit"/>
          </v:shape>
        </w:pict>
      </w:r>
    </w:p>
    <w:p w14:paraId="34247DCA">
      <w:pPr>
        <w:spacing w:before="75" w:line="398" w:lineRule="auto"/>
        <w:ind w:left="42" w:right="11" w:firstLine="1180"/>
        <w:rPr>
          <w:rFonts w:ascii="宋体" w:hAnsi="宋体" w:eastAsia="宋体" w:cs="宋体"/>
          <w:sz w:val="23"/>
          <w:szCs w:val="23"/>
        </w:rPr>
      </w:pPr>
      <w:r>
        <w:rPr>
          <w:rFonts w:ascii="Times New Roman" w:hAnsi="Times New Roman" w:eastAsia="Times New Roman" w:cs="Times New Roman"/>
          <w:spacing w:val="-1"/>
          <w:sz w:val="23"/>
          <w:szCs w:val="23"/>
        </w:rPr>
        <w:t>Q</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基低位发热值 ， 本项 目 收 到基低位发热量</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 xml:space="preserve">3782kcal/kg </w:t>
      </w:r>
      <w:r>
        <w:rPr>
          <w:rFonts w:ascii="宋体" w:hAnsi="宋体" w:eastAsia="宋体" w:cs="宋体"/>
          <w:spacing w:val="-1"/>
          <w:sz w:val="23"/>
          <w:szCs w:val="23"/>
        </w:rPr>
        <w:t>，  即</w:t>
      </w:r>
      <w:r>
        <w:rPr>
          <w:rFonts w:ascii="宋体" w:hAnsi="宋体" w:eastAsia="宋体" w:cs="宋体"/>
          <w:sz w:val="23"/>
          <w:szCs w:val="23"/>
        </w:rPr>
        <w:t xml:space="preserve"> </w:t>
      </w:r>
      <w:r>
        <w:rPr>
          <w:rFonts w:ascii="Times New Roman" w:hAnsi="Times New Roman" w:eastAsia="Times New Roman" w:cs="Times New Roman"/>
          <w:spacing w:val="4"/>
          <w:sz w:val="23"/>
          <w:szCs w:val="23"/>
        </w:rPr>
        <w:t>15</w:t>
      </w:r>
      <w:r>
        <w:rPr>
          <w:rFonts w:ascii="Times New Roman" w:hAnsi="Times New Roman" w:eastAsia="Times New Roman" w:cs="Times New Roman"/>
          <w:spacing w:val="3"/>
          <w:sz w:val="23"/>
          <w:szCs w:val="23"/>
        </w:rPr>
        <w:t>8</w:t>
      </w:r>
      <w:r>
        <w:rPr>
          <w:rFonts w:ascii="Times New Roman" w:hAnsi="Times New Roman" w:eastAsia="Times New Roman" w:cs="Times New Roman"/>
          <w:spacing w:val="2"/>
          <w:sz w:val="23"/>
          <w:szCs w:val="23"/>
        </w:rPr>
        <w:t>34.5</w:t>
      </w:r>
      <w:r>
        <w:rPr>
          <w:rFonts w:ascii="Times New Roman" w:hAnsi="Times New Roman" w:eastAsia="Times New Roman" w:cs="Times New Roman"/>
          <w:sz w:val="23"/>
          <w:szCs w:val="23"/>
        </w:rPr>
        <w:t>kj</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kg</w:t>
      </w:r>
      <w:r>
        <w:rPr>
          <w:rFonts w:ascii="宋体" w:hAnsi="宋体" w:eastAsia="宋体" w:cs="宋体"/>
          <w:spacing w:val="2"/>
          <w:sz w:val="23"/>
          <w:szCs w:val="23"/>
        </w:rPr>
        <w:t>；</w:t>
      </w:r>
    </w:p>
    <w:p w14:paraId="3D23FB5A">
      <w:pPr>
        <w:spacing w:before="125" w:line="323" w:lineRule="exact"/>
        <w:ind w:left="1215"/>
        <w:rPr>
          <w:rFonts w:ascii="宋体" w:hAnsi="宋体" w:eastAsia="宋体" w:cs="宋体"/>
          <w:sz w:val="23"/>
          <w:szCs w:val="23"/>
        </w:rPr>
      </w:pPr>
      <w:r>
        <w:rPr>
          <w:rFonts w:ascii="Times New Roman" w:hAnsi="Times New Roman" w:eastAsia="Times New Roman" w:cs="Times New Roman"/>
          <w:spacing w:val="4"/>
          <w:position w:val="3"/>
          <w:sz w:val="23"/>
          <w:szCs w:val="23"/>
        </w:rPr>
        <w:t>η</w:t>
      </w:r>
      <w:r>
        <w:rPr>
          <w:rFonts w:ascii="Times New Roman" w:hAnsi="Times New Roman" w:eastAsia="Times New Roman" w:cs="Times New Roman"/>
          <w:spacing w:val="2"/>
          <w:position w:val="3"/>
          <w:sz w:val="23"/>
          <w:szCs w:val="23"/>
        </w:rPr>
        <w:t>—</w:t>
      </w:r>
      <w:r>
        <w:rPr>
          <w:rFonts w:ascii="宋体" w:hAnsi="宋体" w:eastAsia="宋体" w:cs="宋体"/>
          <w:spacing w:val="2"/>
          <w:position w:val="3"/>
          <w:sz w:val="23"/>
          <w:szCs w:val="23"/>
        </w:rPr>
        <w:t xml:space="preserve">热效率，取 </w:t>
      </w:r>
      <w:r>
        <w:rPr>
          <w:rFonts w:ascii="Times New Roman" w:hAnsi="Times New Roman" w:eastAsia="Times New Roman" w:cs="Times New Roman"/>
          <w:spacing w:val="2"/>
          <w:position w:val="3"/>
          <w:sz w:val="23"/>
          <w:szCs w:val="23"/>
        </w:rPr>
        <w:t>85%</w:t>
      </w:r>
      <w:r>
        <w:rPr>
          <w:rFonts w:ascii="宋体" w:hAnsi="宋体" w:eastAsia="宋体" w:cs="宋体"/>
          <w:spacing w:val="2"/>
          <w:position w:val="3"/>
          <w:sz w:val="23"/>
          <w:szCs w:val="23"/>
        </w:rPr>
        <w:t>。</w:t>
      </w:r>
    </w:p>
    <w:p w14:paraId="2DF93CA6">
      <w:pPr>
        <w:spacing w:before="312" w:line="397" w:lineRule="auto"/>
        <w:ind w:left="43" w:right="13" w:firstLine="462"/>
        <w:rPr>
          <w:rFonts w:ascii="宋体" w:hAnsi="宋体" w:eastAsia="宋体" w:cs="宋体"/>
          <w:sz w:val="23"/>
          <w:szCs w:val="23"/>
        </w:rPr>
      </w:pPr>
      <w:r>
        <w:rPr>
          <w:rFonts w:ascii="宋体" w:hAnsi="宋体" w:eastAsia="宋体" w:cs="宋体"/>
          <w:spacing w:val="10"/>
          <w:sz w:val="23"/>
          <w:szCs w:val="23"/>
        </w:rPr>
        <w:t>经计算</w:t>
      </w:r>
      <w:r>
        <w:rPr>
          <w:rFonts w:ascii="宋体" w:hAnsi="宋体" w:eastAsia="宋体" w:cs="宋体"/>
          <w:spacing w:val="5"/>
          <w:sz w:val="23"/>
          <w:szCs w:val="23"/>
        </w:rPr>
        <w:t xml:space="preserve">，本项目所用 </w:t>
      </w:r>
      <w:r>
        <w:rPr>
          <w:rFonts w:ascii="Times New Roman" w:hAnsi="Times New Roman" w:eastAsia="Times New Roman" w:cs="Times New Roman"/>
          <w:spacing w:val="5"/>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的热风炉燃料消耗量约为 </w:t>
      </w:r>
      <w:r>
        <w:rPr>
          <w:rFonts w:ascii="Times New Roman" w:hAnsi="Times New Roman" w:eastAsia="Times New Roman" w:cs="Times New Roman"/>
          <w:spacing w:val="5"/>
          <w:sz w:val="23"/>
          <w:szCs w:val="23"/>
        </w:rPr>
        <w:t>374.5</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，每天需加热</w:t>
      </w:r>
      <w:r>
        <w:rPr>
          <w:rFonts w:ascii="宋体" w:hAnsi="宋体" w:eastAsia="宋体" w:cs="宋体"/>
          <w:sz w:val="23"/>
          <w:szCs w:val="23"/>
        </w:rPr>
        <w:t xml:space="preserve"> </w:t>
      </w:r>
      <w:r>
        <w:rPr>
          <w:rFonts w:ascii="宋体" w:hAnsi="宋体" w:eastAsia="宋体" w:cs="宋体"/>
          <w:spacing w:val="-1"/>
          <w:sz w:val="23"/>
          <w:szCs w:val="23"/>
        </w:rPr>
        <w:t xml:space="preserve">的时间约为 </w:t>
      </w:r>
      <w:r>
        <w:rPr>
          <w:rFonts w:ascii="Times New Roman" w:hAnsi="Times New Roman" w:eastAsia="Times New Roman" w:cs="Times New Roman"/>
          <w:spacing w:val="-1"/>
          <w:sz w:val="23"/>
          <w:szCs w:val="23"/>
        </w:rPr>
        <w:t>6</w:t>
      </w:r>
      <w:r>
        <w:rPr>
          <w:rFonts w:ascii="Times New Roman" w:hAnsi="Times New Roman" w:eastAsia="Times New Roman" w:cs="Times New Roman"/>
          <w:sz w:val="23"/>
          <w:szCs w:val="23"/>
        </w:rPr>
        <w:t>h</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，年营运期为 </w:t>
      </w:r>
      <w:r>
        <w:rPr>
          <w:rFonts w:ascii="Times New Roman" w:hAnsi="Times New Roman" w:eastAsia="Times New Roman" w:cs="Times New Roman"/>
          <w:spacing w:val="-1"/>
          <w:sz w:val="23"/>
          <w:szCs w:val="23"/>
        </w:rPr>
        <w:t xml:space="preserve">300 </w:t>
      </w:r>
      <w:r>
        <w:rPr>
          <w:rFonts w:ascii="宋体" w:hAnsi="宋体" w:eastAsia="宋体" w:cs="宋体"/>
          <w:spacing w:val="-1"/>
          <w:sz w:val="23"/>
          <w:szCs w:val="23"/>
        </w:rPr>
        <w:t>天，即消耗生物质燃料</w:t>
      </w:r>
      <w:r>
        <w:rPr>
          <w:rFonts w:ascii="宋体" w:hAnsi="宋体" w:eastAsia="宋体" w:cs="宋体"/>
          <w:sz w:val="23"/>
          <w:szCs w:val="23"/>
        </w:rPr>
        <w:t xml:space="preserve">约 </w:t>
      </w:r>
      <w:r>
        <w:rPr>
          <w:rFonts w:ascii="Times New Roman" w:hAnsi="Times New Roman" w:eastAsia="Times New Roman" w:cs="Times New Roman"/>
          <w:sz w:val="23"/>
          <w:szCs w:val="23"/>
        </w:rPr>
        <w:t>674. 1t/a</w:t>
      </w:r>
      <w:r>
        <w:rPr>
          <w:rFonts w:ascii="宋体" w:hAnsi="宋体" w:eastAsia="宋体" w:cs="宋体"/>
          <w:sz w:val="23"/>
          <w:szCs w:val="23"/>
        </w:rPr>
        <w:t>。</w:t>
      </w:r>
    </w:p>
    <w:p w14:paraId="4D6AF190">
      <w:pPr>
        <w:spacing w:before="172" w:line="380" w:lineRule="auto"/>
        <w:ind w:left="23" w:right="13" w:firstLine="480"/>
        <w:rPr>
          <w:rFonts w:ascii="宋体" w:hAnsi="宋体" w:eastAsia="宋体" w:cs="宋体"/>
          <w:sz w:val="23"/>
          <w:szCs w:val="23"/>
        </w:rPr>
      </w:pPr>
      <w:r>
        <w:rPr>
          <w:rFonts w:ascii="宋体" w:hAnsi="宋体" w:eastAsia="宋体" w:cs="宋体"/>
          <w:spacing w:val="6"/>
          <w:sz w:val="23"/>
          <w:szCs w:val="23"/>
        </w:rPr>
        <w:t>根据《污染源源</w:t>
      </w:r>
      <w:r>
        <w:rPr>
          <w:rFonts w:ascii="宋体" w:hAnsi="宋体" w:eastAsia="宋体" w:cs="宋体"/>
          <w:spacing w:val="5"/>
          <w:sz w:val="23"/>
          <w:szCs w:val="23"/>
        </w:rPr>
        <w:t>强</w:t>
      </w:r>
      <w:r>
        <w:rPr>
          <w:rFonts w:ascii="宋体" w:hAnsi="宋体" w:eastAsia="宋体" w:cs="宋体"/>
          <w:spacing w:val="3"/>
          <w:sz w:val="23"/>
          <w:szCs w:val="23"/>
        </w:rPr>
        <w:t>核算技术指南 锅炉》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991-2018</w:t>
      </w:r>
      <w:r>
        <w:rPr>
          <w:rFonts w:ascii="宋体" w:hAnsi="宋体" w:eastAsia="宋体" w:cs="宋体"/>
          <w:spacing w:val="3"/>
          <w:sz w:val="23"/>
          <w:szCs w:val="23"/>
        </w:rPr>
        <w:t xml:space="preserve">) 附录 </w:t>
      </w:r>
      <w:r>
        <w:rPr>
          <w:rFonts w:ascii="Times New Roman" w:hAnsi="Times New Roman" w:eastAsia="Times New Roman" w:cs="Times New Roman"/>
          <w:sz w:val="23"/>
          <w:szCs w:val="23"/>
        </w:rPr>
        <w:t>C</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中烟气量的</w:t>
      </w:r>
      <w:r>
        <w:rPr>
          <w:rFonts w:ascii="宋体" w:hAnsi="宋体" w:eastAsia="宋体" w:cs="宋体"/>
          <w:sz w:val="23"/>
          <w:szCs w:val="23"/>
        </w:rPr>
        <w:t xml:space="preserve"> </w:t>
      </w:r>
      <w:r>
        <w:rPr>
          <w:rFonts w:ascii="宋体" w:hAnsi="宋体" w:eastAsia="宋体" w:cs="宋体"/>
          <w:spacing w:val="14"/>
          <w:sz w:val="23"/>
          <w:szCs w:val="23"/>
        </w:rPr>
        <w:t>计</w:t>
      </w:r>
      <w:r>
        <w:rPr>
          <w:rFonts w:ascii="宋体" w:hAnsi="宋体" w:eastAsia="宋体" w:cs="宋体"/>
          <w:spacing w:val="12"/>
          <w:sz w:val="23"/>
          <w:szCs w:val="23"/>
        </w:rPr>
        <w:t>算</w:t>
      </w:r>
      <w:r>
        <w:rPr>
          <w:rFonts w:ascii="宋体" w:hAnsi="宋体" w:eastAsia="宋体" w:cs="宋体"/>
          <w:spacing w:val="7"/>
          <w:sz w:val="23"/>
          <w:szCs w:val="23"/>
        </w:rPr>
        <w:t xml:space="preserve">，对于 </w:t>
      </w:r>
      <w:r>
        <w:rPr>
          <w:rFonts w:ascii="Times New Roman" w:hAnsi="Times New Roman" w:eastAsia="Times New Roman" w:cs="Times New Roman"/>
          <w:spacing w:val="7"/>
          <w:sz w:val="23"/>
          <w:szCs w:val="23"/>
        </w:rPr>
        <w:t>1</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固体或液体燃料，有元素成分分析时理论空气量用式 (</w:t>
      </w:r>
      <w:r>
        <w:rPr>
          <w:rFonts w:ascii="Times New Roman" w:hAnsi="Times New Roman" w:eastAsia="Times New Roman" w:cs="Times New Roman"/>
          <w:sz w:val="23"/>
          <w:szCs w:val="23"/>
        </w:rPr>
        <w:t>C</w:t>
      </w:r>
      <w:r>
        <w:rPr>
          <w:rFonts w:ascii="Times New Roman" w:hAnsi="Times New Roman" w:eastAsia="Times New Roman" w:cs="Times New Roman"/>
          <w:spacing w:val="7"/>
          <w:sz w:val="23"/>
          <w:szCs w:val="23"/>
        </w:rPr>
        <w:t>.2</w:t>
      </w:r>
      <w:r>
        <w:rPr>
          <w:rFonts w:ascii="宋体" w:hAnsi="宋体" w:eastAsia="宋体" w:cs="宋体"/>
          <w:spacing w:val="7"/>
          <w:sz w:val="23"/>
          <w:szCs w:val="23"/>
        </w:rPr>
        <w:t>) 计</w:t>
      </w:r>
      <w:r>
        <w:rPr>
          <w:rFonts w:ascii="宋体" w:hAnsi="宋体" w:eastAsia="宋体" w:cs="宋体"/>
          <w:sz w:val="23"/>
          <w:szCs w:val="23"/>
        </w:rPr>
        <w:t xml:space="preserve"> 算。</w:t>
      </w:r>
    </w:p>
    <w:p w14:paraId="5297CF2C">
      <w:pPr>
        <w:spacing w:before="130" w:line="323" w:lineRule="exact"/>
        <w:ind w:left="1674"/>
        <w:rPr>
          <w:rFonts w:ascii="Times New Roman" w:hAnsi="Times New Roman" w:eastAsia="Times New Roman" w:cs="Times New Roman"/>
          <w:sz w:val="23"/>
          <w:szCs w:val="23"/>
        </w:rPr>
      </w:pPr>
      <w:r>
        <w:rPr>
          <w:rFonts w:ascii="Times New Roman" w:hAnsi="Times New Roman" w:eastAsia="Times New Roman" w:cs="Times New Roman"/>
          <w:position w:val="1"/>
          <w:sz w:val="23"/>
          <w:szCs w:val="23"/>
        </w:rPr>
        <w:t>V</w:t>
      </w:r>
      <w:r>
        <w:rPr>
          <w:rFonts w:ascii="Times New Roman" w:hAnsi="Times New Roman" w:eastAsia="Times New Roman" w:cs="Times New Roman"/>
          <w:spacing w:val="12"/>
          <w:sz w:val="15"/>
          <w:szCs w:val="15"/>
        </w:rPr>
        <w:t>0</w:t>
      </w:r>
      <w:r>
        <w:rPr>
          <w:rFonts w:ascii="Times New Roman" w:hAnsi="Times New Roman" w:eastAsia="Times New Roman" w:cs="Times New Roman"/>
          <w:spacing w:val="7"/>
          <w:position w:val="1"/>
          <w:sz w:val="23"/>
          <w:szCs w:val="23"/>
        </w:rPr>
        <w:t>=</w:t>
      </w:r>
      <w:r>
        <w:rPr>
          <w:rFonts w:ascii="Times New Roman" w:hAnsi="Times New Roman" w:eastAsia="Times New Roman" w:cs="Times New Roman"/>
          <w:spacing w:val="6"/>
          <w:position w:val="1"/>
          <w:sz w:val="23"/>
          <w:szCs w:val="23"/>
        </w:rPr>
        <w:t xml:space="preserve">0.0889  </w:t>
      </w:r>
      <w:r>
        <w:rPr>
          <w:rFonts w:ascii="宋体" w:hAnsi="宋体" w:eastAsia="宋体" w:cs="宋体"/>
          <w:spacing w:val="6"/>
          <w:position w:val="1"/>
          <w:sz w:val="23"/>
          <w:szCs w:val="23"/>
        </w:rPr>
        <w:t>(</w:t>
      </w:r>
      <w:r>
        <w:rPr>
          <w:rFonts w:ascii="Times New Roman" w:hAnsi="Times New Roman" w:eastAsia="Times New Roman" w:cs="Times New Roman"/>
          <w:position w:val="1"/>
          <w:sz w:val="23"/>
          <w:szCs w:val="23"/>
        </w:rPr>
        <w:t>Car</w:t>
      </w:r>
      <w:r>
        <w:rPr>
          <w:rFonts w:ascii="Times New Roman" w:hAnsi="Times New Roman" w:eastAsia="Times New Roman" w:cs="Times New Roman"/>
          <w:spacing w:val="6"/>
          <w:position w:val="1"/>
          <w:sz w:val="23"/>
          <w:szCs w:val="23"/>
        </w:rPr>
        <w:t>+0.375</w:t>
      </w:r>
      <w:r>
        <w:rPr>
          <w:rFonts w:ascii="Times New Roman" w:hAnsi="Times New Roman" w:eastAsia="Times New Roman" w:cs="Times New Roman"/>
          <w:position w:val="1"/>
          <w:sz w:val="23"/>
          <w:szCs w:val="23"/>
        </w:rPr>
        <w:t>Sar</w:t>
      </w:r>
      <w:r>
        <w:rPr>
          <w:rFonts w:ascii="宋体" w:hAnsi="宋体" w:eastAsia="宋体" w:cs="宋体"/>
          <w:spacing w:val="6"/>
          <w:position w:val="1"/>
          <w:sz w:val="23"/>
          <w:szCs w:val="23"/>
        </w:rPr>
        <w:t xml:space="preserve">) </w:t>
      </w:r>
      <w:r>
        <w:rPr>
          <w:rFonts w:ascii="Times New Roman" w:hAnsi="Times New Roman" w:eastAsia="Times New Roman" w:cs="Times New Roman"/>
          <w:spacing w:val="6"/>
          <w:position w:val="1"/>
          <w:sz w:val="23"/>
          <w:szCs w:val="23"/>
        </w:rPr>
        <w:t>+0.265</w:t>
      </w:r>
      <w:r>
        <w:rPr>
          <w:rFonts w:ascii="Times New Roman" w:hAnsi="Times New Roman" w:eastAsia="Times New Roman" w:cs="Times New Roman"/>
          <w:position w:val="1"/>
          <w:sz w:val="23"/>
          <w:szCs w:val="23"/>
        </w:rPr>
        <w:t>Har</w:t>
      </w:r>
      <w:r>
        <w:rPr>
          <w:rFonts w:ascii="Times New Roman" w:hAnsi="Times New Roman" w:eastAsia="Times New Roman" w:cs="Times New Roman"/>
          <w:spacing w:val="6"/>
          <w:position w:val="1"/>
          <w:sz w:val="23"/>
          <w:szCs w:val="23"/>
        </w:rPr>
        <w:t>-0.0333</w:t>
      </w:r>
      <w:r>
        <w:rPr>
          <w:rFonts w:ascii="Times New Roman" w:hAnsi="Times New Roman" w:eastAsia="Times New Roman" w:cs="Times New Roman"/>
          <w:position w:val="1"/>
          <w:sz w:val="23"/>
          <w:szCs w:val="23"/>
        </w:rPr>
        <w:t>Oar</w:t>
      </w:r>
    </w:p>
    <w:p w14:paraId="406EFA67">
      <w:pPr>
        <w:spacing w:before="313" w:line="323" w:lineRule="exact"/>
        <w:ind w:left="508"/>
        <w:rPr>
          <w:rFonts w:ascii="宋体" w:hAnsi="宋体" w:eastAsia="宋体" w:cs="宋体"/>
          <w:sz w:val="23"/>
          <w:szCs w:val="23"/>
        </w:rPr>
      </w:pPr>
      <w:r>
        <w:rPr>
          <w:rFonts w:ascii="宋体" w:hAnsi="宋体" w:eastAsia="宋体" w:cs="宋体"/>
          <w:spacing w:val="16"/>
          <w:position w:val="3"/>
          <w:sz w:val="23"/>
          <w:szCs w:val="23"/>
        </w:rPr>
        <w:t>式</w:t>
      </w:r>
      <w:r>
        <w:rPr>
          <w:rFonts w:ascii="宋体" w:hAnsi="宋体" w:eastAsia="宋体" w:cs="宋体"/>
          <w:spacing w:val="9"/>
          <w:position w:val="3"/>
          <w:sz w:val="23"/>
          <w:szCs w:val="23"/>
        </w:rPr>
        <w:t>中：</w:t>
      </w:r>
      <w:r>
        <w:rPr>
          <w:rFonts w:ascii="Times New Roman" w:hAnsi="Times New Roman" w:eastAsia="Times New Roman" w:cs="Times New Roman"/>
          <w:position w:val="3"/>
          <w:sz w:val="23"/>
          <w:szCs w:val="23"/>
        </w:rPr>
        <w:t>V</w:t>
      </w:r>
      <w:r>
        <w:rPr>
          <w:rFonts w:ascii="Times New Roman" w:hAnsi="Times New Roman" w:eastAsia="Times New Roman" w:cs="Times New Roman"/>
          <w:spacing w:val="9"/>
          <w:position w:val="2"/>
          <w:sz w:val="15"/>
          <w:szCs w:val="15"/>
        </w:rPr>
        <w:t xml:space="preserve">0 </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理论空气量，</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9"/>
          <w:position w:val="11"/>
          <w:sz w:val="15"/>
          <w:szCs w:val="15"/>
        </w:rPr>
        <w:t>3</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9"/>
          <w:position w:val="3"/>
          <w:sz w:val="23"/>
          <w:szCs w:val="23"/>
        </w:rPr>
        <w:t>；</w:t>
      </w:r>
    </w:p>
    <w:p w14:paraId="7C522F1B">
      <w:pPr>
        <w:spacing w:before="157" w:line="480" w:lineRule="exact"/>
        <w:ind w:left="1255"/>
        <w:rPr>
          <w:rFonts w:ascii="宋体" w:hAnsi="宋体" w:eastAsia="宋体" w:cs="宋体"/>
          <w:sz w:val="23"/>
          <w:szCs w:val="23"/>
        </w:rPr>
      </w:pPr>
      <w:r>
        <w:rPr>
          <w:rFonts w:ascii="Times New Roman" w:hAnsi="Times New Roman" w:eastAsia="Times New Roman" w:cs="Times New Roman"/>
          <w:position w:val="11"/>
          <w:sz w:val="23"/>
          <w:szCs w:val="23"/>
        </w:rPr>
        <w:t>C</w:t>
      </w:r>
      <w:r>
        <w:rPr>
          <w:rFonts w:ascii="Times New Roman" w:hAnsi="Times New Roman" w:eastAsia="Times New Roman" w:cs="Times New Roman"/>
          <w:position w:val="11"/>
          <w:sz w:val="13"/>
          <w:szCs w:val="13"/>
        </w:rPr>
        <w:t>ar</w:t>
      </w:r>
      <w:r>
        <w:rPr>
          <w:rFonts w:ascii="Times New Roman" w:hAnsi="Times New Roman" w:eastAsia="Times New Roman" w:cs="Times New Roman"/>
          <w:spacing w:val="8"/>
          <w:position w:val="11"/>
          <w:sz w:val="13"/>
          <w:szCs w:val="13"/>
        </w:rPr>
        <w:t xml:space="preserve"> </w:t>
      </w:r>
      <w:r>
        <w:rPr>
          <w:rFonts w:ascii="Times New Roman" w:hAnsi="Times New Roman" w:eastAsia="Times New Roman" w:cs="Times New Roman"/>
          <w:spacing w:val="6"/>
          <w:position w:val="14"/>
          <w:sz w:val="23"/>
          <w:szCs w:val="23"/>
        </w:rPr>
        <w:t xml:space="preserve">— </w:t>
      </w:r>
      <w:r>
        <w:rPr>
          <w:rFonts w:ascii="宋体" w:hAnsi="宋体" w:eastAsia="宋体" w:cs="宋体"/>
          <w:spacing w:val="6"/>
          <w:position w:val="14"/>
          <w:sz w:val="23"/>
          <w:szCs w:val="23"/>
        </w:rPr>
        <w:t>收到基碳的质量分数，</w:t>
      </w:r>
      <w:r>
        <w:rPr>
          <w:rFonts w:ascii="Times New Roman" w:hAnsi="Times New Roman" w:eastAsia="Times New Roman" w:cs="Times New Roman"/>
          <w:spacing w:val="6"/>
          <w:position w:val="14"/>
          <w:sz w:val="23"/>
          <w:szCs w:val="23"/>
        </w:rPr>
        <w:t>%</w:t>
      </w:r>
      <w:r>
        <w:rPr>
          <w:rFonts w:ascii="宋体" w:hAnsi="宋体" w:eastAsia="宋体" w:cs="宋体"/>
          <w:spacing w:val="6"/>
          <w:position w:val="14"/>
          <w:sz w:val="23"/>
          <w:szCs w:val="23"/>
        </w:rPr>
        <w:t>；</w:t>
      </w:r>
    </w:p>
    <w:p w14:paraId="7B28CECB">
      <w:pPr>
        <w:spacing w:line="323" w:lineRule="exact"/>
        <w:ind w:left="1254"/>
        <w:rPr>
          <w:rFonts w:ascii="宋体" w:hAnsi="宋体" w:eastAsia="宋体" w:cs="宋体"/>
          <w:sz w:val="23"/>
          <w:szCs w:val="23"/>
        </w:rPr>
      </w:pPr>
      <w:r>
        <w:rPr>
          <w:rFonts w:ascii="Times New Roman" w:hAnsi="Times New Roman" w:eastAsia="Times New Roman" w:cs="Times New Roman"/>
          <w:position w:val="-1"/>
          <w:sz w:val="23"/>
          <w:szCs w:val="23"/>
        </w:rPr>
        <w:t>S</w:t>
      </w:r>
      <w:r>
        <w:rPr>
          <w:rFonts w:ascii="Times New Roman" w:hAnsi="Times New Roman" w:eastAsia="Times New Roman" w:cs="Times New Roman"/>
          <w:position w:val="-1"/>
          <w:sz w:val="13"/>
          <w:szCs w:val="13"/>
        </w:rPr>
        <w:t>ar</w:t>
      </w:r>
      <w:r>
        <w:rPr>
          <w:rFonts w:ascii="Times New Roman" w:hAnsi="Times New Roman" w:eastAsia="Times New Roman" w:cs="Times New Roman"/>
          <w:spacing w:val="8"/>
          <w:position w:val="-1"/>
          <w:sz w:val="13"/>
          <w:szCs w:val="13"/>
        </w:rPr>
        <w:t xml:space="preserve"> </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收到基硫的质量分数，</w:t>
      </w:r>
      <w:r>
        <w:rPr>
          <w:rFonts w:ascii="Times New Roman" w:hAnsi="Times New Roman" w:eastAsia="Times New Roman" w:cs="Times New Roman"/>
          <w:spacing w:val="5"/>
          <w:position w:val="2"/>
          <w:sz w:val="23"/>
          <w:szCs w:val="23"/>
        </w:rPr>
        <w:t>%</w:t>
      </w:r>
      <w:r>
        <w:rPr>
          <w:rFonts w:ascii="宋体" w:hAnsi="宋体" w:eastAsia="宋体" w:cs="宋体"/>
          <w:spacing w:val="5"/>
          <w:position w:val="2"/>
          <w:sz w:val="23"/>
          <w:szCs w:val="23"/>
        </w:rPr>
        <w:t>；</w:t>
      </w:r>
    </w:p>
    <w:p w14:paraId="4AC306EC">
      <w:pPr>
        <w:spacing w:before="157" w:line="323" w:lineRule="exact"/>
        <w:ind w:left="1218"/>
        <w:rPr>
          <w:rFonts w:ascii="宋体" w:hAnsi="宋体" w:eastAsia="宋体" w:cs="宋体"/>
          <w:sz w:val="23"/>
          <w:szCs w:val="23"/>
        </w:rPr>
      </w:pPr>
      <w:r>
        <w:rPr>
          <w:rFonts w:ascii="Times New Roman" w:hAnsi="Times New Roman" w:eastAsia="Times New Roman" w:cs="Times New Roman"/>
          <w:position w:val="1"/>
          <w:sz w:val="23"/>
          <w:szCs w:val="23"/>
        </w:rPr>
        <w:t>H</w:t>
      </w:r>
      <w:r>
        <w:rPr>
          <w:rFonts w:ascii="Times New Roman" w:hAnsi="Times New Roman" w:eastAsia="Times New Roman" w:cs="Times New Roman"/>
          <w:sz w:val="15"/>
          <w:szCs w:val="15"/>
        </w:rPr>
        <w:t>ar</w:t>
      </w:r>
      <w:r>
        <w:rPr>
          <w:rFonts w:ascii="Times New Roman" w:hAnsi="Times New Roman" w:eastAsia="Times New Roman" w:cs="Times New Roman"/>
          <w:spacing w:val="8"/>
          <w:position w:val="1"/>
          <w:sz w:val="23"/>
          <w:szCs w:val="23"/>
        </w:rPr>
        <w:t xml:space="preserve">— </w:t>
      </w:r>
      <w:r>
        <w:rPr>
          <w:rFonts w:ascii="宋体" w:hAnsi="宋体" w:eastAsia="宋体" w:cs="宋体"/>
          <w:spacing w:val="6"/>
          <w:position w:val="1"/>
          <w:sz w:val="23"/>
          <w:szCs w:val="23"/>
        </w:rPr>
        <w:t>收</w:t>
      </w:r>
      <w:r>
        <w:rPr>
          <w:rFonts w:ascii="宋体" w:hAnsi="宋体" w:eastAsia="宋体" w:cs="宋体"/>
          <w:spacing w:val="4"/>
          <w:position w:val="1"/>
          <w:sz w:val="23"/>
          <w:szCs w:val="23"/>
        </w:rPr>
        <w:t>到基氢的质量分数，</w:t>
      </w:r>
      <w:r>
        <w:rPr>
          <w:rFonts w:ascii="Times New Roman" w:hAnsi="Times New Roman" w:eastAsia="Times New Roman" w:cs="Times New Roman"/>
          <w:spacing w:val="4"/>
          <w:position w:val="1"/>
          <w:sz w:val="23"/>
          <w:szCs w:val="23"/>
        </w:rPr>
        <w:t>%</w:t>
      </w:r>
      <w:r>
        <w:rPr>
          <w:rFonts w:ascii="宋体" w:hAnsi="宋体" w:eastAsia="宋体" w:cs="宋体"/>
          <w:spacing w:val="4"/>
          <w:position w:val="1"/>
          <w:sz w:val="23"/>
          <w:szCs w:val="23"/>
        </w:rPr>
        <w:t>；</w:t>
      </w:r>
    </w:p>
    <w:p w14:paraId="0E6077FC">
      <w:pPr>
        <w:spacing w:before="157" w:line="323" w:lineRule="exact"/>
        <w:ind w:left="1222"/>
        <w:rPr>
          <w:rFonts w:ascii="宋体" w:hAnsi="宋体" w:eastAsia="宋体" w:cs="宋体"/>
          <w:sz w:val="23"/>
          <w:szCs w:val="23"/>
        </w:rPr>
      </w:pPr>
      <w:r>
        <w:rPr>
          <w:rFonts w:ascii="Times New Roman" w:hAnsi="Times New Roman" w:eastAsia="Times New Roman" w:cs="Times New Roman"/>
          <w:position w:val="1"/>
          <w:sz w:val="23"/>
          <w:szCs w:val="23"/>
        </w:rPr>
        <w:t>Oar</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收到基氧的质量分数，</w:t>
      </w:r>
      <w:r>
        <w:rPr>
          <w:rFonts w:ascii="Times New Roman" w:hAnsi="Times New Roman" w:eastAsia="Times New Roman" w:cs="Times New Roman"/>
          <w:spacing w:val="5"/>
          <w:position w:val="1"/>
          <w:sz w:val="23"/>
          <w:szCs w:val="23"/>
        </w:rPr>
        <w:t>%</w:t>
      </w:r>
      <w:r>
        <w:rPr>
          <w:rFonts w:ascii="宋体" w:hAnsi="宋体" w:eastAsia="宋体" w:cs="宋体"/>
          <w:spacing w:val="2"/>
          <w:position w:val="1"/>
          <w:sz w:val="23"/>
          <w:szCs w:val="23"/>
        </w:rPr>
        <w:t>。</w:t>
      </w:r>
    </w:p>
    <w:p w14:paraId="0BC07A60">
      <w:pPr>
        <w:spacing w:before="313" w:line="390" w:lineRule="auto"/>
        <w:ind w:left="23" w:right="13" w:firstLine="480"/>
        <w:rPr>
          <w:rFonts w:ascii="宋体" w:hAnsi="宋体" w:eastAsia="宋体" w:cs="宋体"/>
          <w:sz w:val="23"/>
          <w:szCs w:val="23"/>
        </w:rPr>
      </w:pPr>
      <w:r>
        <w:rPr>
          <w:rFonts w:ascii="宋体" w:hAnsi="宋体" w:eastAsia="宋体" w:cs="宋体"/>
          <w:spacing w:val="12"/>
          <w:sz w:val="23"/>
          <w:szCs w:val="23"/>
        </w:rPr>
        <w:t>锅</w:t>
      </w:r>
      <w:r>
        <w:rPr>
          <w:rFonts w:ascii="宋体" w:hAnsi="宋体" w:eastAsia="宋体" w:cs="宋体"/>
          <w:spacing w:val="11"/>
          <w:sz w:val="23"/>
          <w:szCs w:val="23"/>
        </w:rPr>
        <w:t>炉</w:t>
      </w:r>
      <w:r>
        <w:rPr>
          <w:rFonts w:ascii="宋体" w:hAnsi="宋体" w:eastAsia="宋体" w:cs="宋体"/>
          <w:spacing w:val="6"/>
          <w:sz w:val="23"/>
          <w:szCs w:val="23"/>
        </w:rPr>
        <w:t>中实际燃烧过程是在过量空气系数</w:t>
      </w:r>
      <w:r>
        <w:rPr>
          <w:rFonts w:ascii="Times New Roman" w:hAnsi="Times New Roman" w:eastAsia="Times New Roman" w:cs="Times New Roman"/>
          <w:spacing w:val="6"/>
          <w:sz w:val="23"/>
          <w:szCs w:val="23"/>
        </w:rPr>
        <w:t>α</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的条件下进行的，</w:t>
      </w:r>
      <w:r>
        <w:rPr>
          <w:rFonts w:ascii="Times New Roman" w:hAnsi="Times New Roman" w:eastAsia="Times New Roman" w:cs="Times New Roman"/>
          <w:spacing w:val="6"/>
          <w:sz w:val="23"/>
          <w:szCs w:val="23"/>
        </w:rPr>
        <w:t>1</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固体或液</w:t>
      </w:r>
      <w:r>
        <w:rPr>
          <w:rFonts w:ascii="宋体" w:hAnsi="宋体" w:eastAsia="宋体" w:cs="宋体"/>
          <w:sz w:val="23"/>
          <w:szCs w:val="23"/>
        </w:rPr>
        <w:t xml:space="preserve"> </w:t>
      </w:r>
      <w:r>
        <w:rPr>
          <w:rFonts w:ascii="宋体" w:hAnsi="宋体" w:eastAsia="宋体" w:cs="宋体"/>
          <w:spacing w:val="16"/>
          <w:sz w:val="23"/>
          <w:szCs w:val="23"/>
        </w:rPr>
        <w:t>体燃</w:t>
      </w:r>
      <w:r>
        <w:rPr>
          <w:rFonts w:ascii="宋体" w:hAnsi="宋体" w:eastAsia="宋体" w:cs="宋体"/>
          <w:spacing w:val="9"/>
          <w:sz w:val="23"/>
          <w:szCs w:val="23"/>
        </w:rPr>
        <w:t>料</w:t>
      </w:r>
      <w:r>
        <w:rPr>
          <w:rFonts w:ascii="宋体" w:hAnsi="宋体" w:eastAsia="宋体" w:cs="宋体"/>
          <w:spacing w:val="8"/>
          <w:sz w:val="23"/>
          <w:szCs w:val="23"/>
        </w:rPr>
        <w:t>，产生的烟气排放量可用式 (</w:t>
      </w:r>
      <w:r>
        <w:rPr>
          <w:rFonts w:ascii="Times New Roman" w:hAnsi="Times New Roman" w:eastAsia="Times New Roman" w:cs="Times New Roman"/>
          <w:sz w:val="23"/>
          <w:szCs w:val="23"/>
        </w:rPr>
        <w:t>C</w:t>
      </w:r>
      <w:r>
        <w:rPr>
          <w:rFonts w:ascii="Times New Roman" w:hAnsi="Times New Roman" w:eastAsia="Times New Roman" w:cs="Times New Roman"/>
          <w:spacing w:val="8"/>
          <w:sz w:val="23"/>
          <w:szCs w:val="23"/>
        </w:rPr>
        <w:t>.4</w:t>
      </w:r>
      <w:r>
        <w:rPr>
          <w:rFonts w:ascii="宋体" w:hAnsi="宋体" w:eastAsia="宋体" w:cs="宋体"/>
          <w:spacing w:val="8"/>
          <w:sz w:val="23"/>
          <w:szCs w:val="23"/>
        </w:rPr>
        <w:t>) 计算，计算公式如下：</w:t>
      </w:r>
    </w:p>
    <w:p w14:paraId="2A00472F">
      <w:pPr>
        <w:spacing w:line="298" w:lineRule="auto"/>
        <w:ind w:left="3963"/>
        <w:rPr>
          <w:rFonts w:ascii="Times New Roman" w:hAnsi="Times New Roman" w:eastAsia="Times New Roman" w:cs="Times New Roman"/>
          <w:sz w:val="13"/>
          <w:szCs w:val="13"/>
        </w:rPr>
      </w:pPr>
      <w:r>
        <w:rPr>
          <w:rFonts w:ascii="Times New Roman" w:hAnsi="Times New Roman" w:eastAsia="Times New Roman" w:cs="Times New Roman"/>
          <w:sz w:val="23"/>
          <w:szCs w:val="23"/>
          <w:u w:val="single" w:color="auto"/>
        </w:rPr>
        <w:t>C</w:t>
      </w:r>
      <w:r>
        <w:rPr>
          <w:rFonts w:ascii="Times New Roman" w:hAnsi="Times New Roman" w:eastAsia="Times New Roman" w:cs="Times New Roman"/>
          <w:sz w:val="13"/>
          <w:szCs w:val="13"/>
          <w:u w:val="single" w:color="auto"/>
        </w:rPr>
        <w:t>ar</w:t>
      </w:r>
      <w:r>
        <w:rPr>
          <w:rFonts w:ascii="Times New Roman" w:hAnsi="Times New Roman" w:eastAsia="Times New Roman" w:cs="Times New Roman"/>
          <w:spacing w:val="7"/>
          <w:sz w:val="13"/>
          <w:szCs w:val="13"/>
          <w:u w:val="single" w:color="auto"/>
        </w:rPr>
        <w:t xml:space="preserve"> </w:t>
      </w:r>
      <w:r>
        <w:rPr>
          <w:rFonts w:ascii="Symbol" w:hAnsi="Symbol" w:eastAsia="Symbol" w:cs="Symbol"/>
          <w:spacing w:val="4"/>
          <w:sz w:val="23"/>
          <w:szCs w:val="23"/>
          <w:u w:val="single" w:color="auto"/>
        </w:rPr>
        <w:t xml:space="preserve">+ </w:t>
      </w:r>
      <w:r>
        <w:rPr>
          <w:rFonts w:ascii="Times New Roman" w:hAnsi="Times New Roman" w:eastAsia="Times New Roman" w:cs="Times New Roman"/>
          <w:spacing w:val="4"/>
          <w:sz w:val="23"/>
          <w:szCs w:val="23"/>
          <w:u w:val="single" w:color="auto"/>
        </w:rPr>
        <w:t>0.375</w:t>
      </w:r>
      <w:r>
        <w:rPr>
          <w:rFonts w:ascii="Times New Roman" w:hAnsi="Times New Roman" w:eastAsia="Times New Roman" w:cs="Times New Roman"/>
          <w:sz w:val="23"/>
          <w:szCs w:val="23"/>
          <w:u w:val="single" w:color="auto"/>
        </w:rPr>
        <w:t>S</w:t>
      </w:r>
      <w:r>
        <w:rPr>
          <w:rFonts w:ascii="Times New Roman" w:hAnsi="Times New Roman" w:eastAsia="Times New Roman" w:cs="Times New Roman"/>
          <w:sz w:val="13"/>
          <w:szCs w:val="13"/>
          <w:u w:val="single" w:color="auto"/>
        </w:rPr>
        <w:t>ar</w:t>
      </w:r>
    </w:p>
    <w:p w14:paraId="7E054CE3">
      <w:pPr>
        <w:spacing w:line="79" w:lineRule="exact"/>
        <w:ind w:left="1252"/>
        <w:rPr>
          <w:sz w:val="23"/>
          <w:szCs w:val="23"/>
        </w:rPr>
      </w:pPr>
      <w:r>
        <w:rPr>
          <w:rFonts w:ascii="Times New Roman" w:hAnsi="Times New Roman" w:eastAsia="Times New Roman" w:cs="Times New Roman"/>
          <w:position w:val="-3"/>
          <w:sz w:val="23"/>
          <w:szCs w:val="23"/>
        </w:rPr>
        <w:t>V</w:t>
      </w:r>
      <w:r>
        <w:rPr>
          <w:rFonts w:ascii="Times New Roman" w:hAnsi="Times New Roman" w:eastAsia="Times New Roman" w:cs="Times New Roman"/>
          <w:position w:val="-3"/>
          <w:sz w:val="13"/>
          <w:szCs w:val="13"/>
        </w:rPr>
        <w:t>RO</w:t>
      </w:r>
      <w:r>
        <w:rPr>
          <w:rFonts w:ascii="Times New Roman" w:hAnsi="Times New Roman" w:eastAsia="Times New Roman" w:cs="Times New Roman"/>
          <w:spacing w:val="12"/>
          <w:position w:val="-3"/>
          <w:sz w:val="9"/>
          <w:szCs w:val="9"/>
        </w:rPr>
        <w:t>2</w:t>
      </w:r>
      <w:r>
        <w:rPr>
          <w:rFonts w:ascii="Times New Roman" w:hAnsi="Times New Roman" w:eastAsia="Times New Roman" w:cs="Times New Roman"/>
          <w:spacing w:val="11"/>
          <w:position w:val="-3"/>
          <w:sz w:val="9"/>
          <w:szCs w:val="9"/>
        </w:rPr>
        <w:t xml:space="preserve"> </w:t>
      </w:r>
      <w:r>
        <w:rPr>
          <w:rFonts w:ascii="Times New Roman" w:hAnsi="Times New Roman" w:eastAsia="Times New Roman" w:cs="Times New Roman"/>
          <w:spacing w:val="6"/>
          <w:position w:val="-3"/>
          <w:sz w:val="9"/>
          <w:szCs w:val="9"/>
        </w:rPr>
        <w:t xml:space="preserve"> </w:t>
      </w:r>
      <w:r>
        <w:rPr>
          <w:rFonts w:ascii="Symbol" w:hAnsi="Symbol" w:eastAsia="Symbol" w:cs="Symbol"/>
          <w:spacing w:val="6"/>
          <w:position w:val="-3"/>
          <w:sz w:val="23"/>
          <w:szCs w:val="23"/>
        </w:rPr>
        <w:t xml:space="preserve">= </w:t>
      </w:r>
      <w:r>
        <w:rPr>
          <w:rFonts w:ascii="Times New Roman" w:hAnsi="Times New Roman" w:eastAsia="Times New Roman" w:cs="Times New Roman"/>
          <w:position w:val="-3"/>
          <w:sz w:val="23"/>
          <w:szCs w:val="23"/>
        </w:rPr>
        <w:t>V</w:t>
      </w:r>
      <w:r>
        <w:rPr>
          <w:rFonts w:ascii="Times New Roman" w:hAnsi="Times New Roman" w:eastAsia="Times New Roman" w:cs="Times New Roman"/>
          <w:position w:val="-3"/>
          <w:sz w:val="13"/>
          <w:szCs w:val="13"/>
        </w:rPr>
        <w:t>CO</w:t>
      </w:r>
      <w:r>
        <w:rPr>
          <w:rFonts w:ascii="Times New Roman" w:hAnsi="Times New Roman" w:eastAsia="Times New Roman" w:cs="Times New Roman"/>
          <w:spacing w:val="6"/>
          <w:position w:val="-3"/>
          <w:sz w:val="9"/>
          <w:szCs w:val="9"/>
        </w:rPr>
        <w:t xml:space="preserve">2  </w:t>
      </w:r>
      <w:r>
        <w:rPr>
          <w:rFonts w:ascii="Symbol" w:hAnsi="Symbol" w:eastAsia="Symbol" w:cs="Symbol"/>
          <w:spacing w:val="6"/>
          <w:position w:val="-3"/>
          <w:sz w:val="23"/>
          <w:szCs w:val="23"/>
        </w:rPr>
        <w:t xml:space="preserve">+ </w:t>
      </w:r>
      <w:r>
        <w:rPr>
          <w:rFonts w:ascii="Times New Roman" w:hAnsi="Times New Roman" w:eastAsia="Times New Roman" w:cs="Times New Roman"/>
          <w:position w:val="-3"/>
          <w:sz w:val="23"/>
          <w:szCs w:val="23"/>
        </w:rPr>
        <w:t>V</w:t>
      </w:r>
      <w:r>
        <w:rPr>
          <w:rFonts w:ascii="Times New Roman" w:hAnsi="Times New Roman" w:eastAsia="Times New Roman" w:cs="Times New Roman"/>
          <w:position w:val="-3"/>
          <w:sz w:val="13"/>
          <w:szCs w:val="13"/>
        </w:rPr>
        <w:t>SO</w:t>
      </w:r>
      <w:r>
        <w:rPr>
          <w:rFonts w:ascii="Times New Roman" w:hAnsi="Times New Roman" w:eastAsia="Times New Roman" w:cs="Times New Roman"/>
          <w:spacing w:val="6"/>
          <w:position w:val="-3"/>
          <w:sz w:val="9"/>
          <w:szCs w:val="9"/>
        </w:rPr>
        <w:t xml:space="preserve">2  </w:t>
      </w:r>
      <w:r>
        <w:rPr>
          <w:rFonts w:ascii="Symbol" w:hAnsi="Symbol" w:eastAsia="Symbol" w:cs="Symbol"/>
          <w:spacing w:val="6"/>
          <w:position w:val="-3"/>
          <w:sz w:val="23"/>
          <w:szCs w:val="23"/>
        </w:rPr>
        <w:t xml:space="preserve">= </w:t>
      </w:r>
      <w:r>
        <w:rPr>
          <w:rFonts w:ascii="Times New Roman" w:hAnsi="Times New Roman" w:eastAsia="Times New Roman" w:cs="Times New Roman"/>
          <w:spacing w:val="6"/>
          <w:position w:val="-3"/>
          <w:sz w:val="23"/>
          <w:szCs w:val="23"/>
        </w:rPr>
        <w:t>1.866</w:t>
      </w:r>
      <w:r>
        <w:rPr>
          <w:position w:val="-8"/>
          <w:sz w:val="23"/>
          <w:szCs w:val="23"/>
        </w:rPr>
        <w:drawing>
          <wp:inline distT="0" distB="0" distL="0" distR="0">
            <wp:extent cx="90170" cy="4953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462"/>
                    <a:stretch>
                      <a:fillRect/>
                    </a:stretch>
                  </pic:blipFill>
                  <pic:spPr>
                    <a:xfrm>
                      <a:off x="0" y="0"/>
                      <a:ext cx="90194" cy="49683"/>
                    </a:xfrm>
                    <a:prstGeom prst="rect">
                      <a:avLst/>
                    </a:prstGeom>
                  </pic:spPr>
                </pic:pic>
              </a:graphicData>
            </a:graphic>
          </wp:inline>
        </w:drawing>
      </w:r>
    </w:p>
    <w:p w14:paraId="03F8AED6">
      <w:pPr>
        <w:spacing w:line="193" w:lineRule="auto"/>
        <w:ind w:left="442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r>
        <w:rPr>
          <w:rFonts w:ascii="Times New Roman" w:hAnsi="Times New Roman" w:eastAsia="Times New Roman" w:cs="Times New Roman"/>
          <w:spacing w:val="4"/>
          <w:sz w:val="21"/>
          <w:szCs w:val="21"/>
        </w:rPr>
        <w:t>00</w:t>
      </w:r>
    </w:p>
    <w:p w14:paraId="7BA942C5">
      <w:pPr>
        <w:spacing w:before="237"/>
        <w:ind w:left="1252"/>
        <w:rPr>
          <w:sz w:val="23"/>
          <w:szCs w:val="23"/>
        </w:rPr>
      </w:pPr>
      <w:r>
        <w:rPr>
          <w:rFonts w:ascii="Times New Roman" w:hAnsi="Times New Roman" w:eastAsia="Times New Roman" w:cs="Times New Roman"/>
          <w:position w:val="1"/>
          <w:sz w:val="23"/>
          <w:szCs w:val="23"/>
        </w:rPr>
        <w:t>V</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2"/>
          <w:position w:val="1"/>
          <w:sz w:val="13"/>
          <w:szCs w:val="13"/>
        </w:rPr>
        <w:t xml:space="preserve"> </w:t>
      </w:r>
      <w:r>
        <w:rPr>
          <w:rFonts w:ascii="Times New Roman" w:hAnsi="Times New Roman" w:eastAsia="Times New Roman" w:cs="Times New Roman"/>
          <w:spacing w:val="2"/>
          <w:position w:val="1"/>
          <w:sz w:val="9"/>
          <w:szCs w:val="9"/>
        </w:rPr>
        <w:t xml:space="preserve">2  </w:t>
      </w:r>
      <w:r>
        <w:rPr>
          <w:rFonts w:ascii="Symbol" w:hAnsi="Symbol" w:eastAsia="Symbol" w:cs="Symbol"/>
          <w:spacing w:val="2"/>
          <w:position w:val="1"/>
          <w:sz w:val="23"/>
          <w:szCs w:val="23"/>
        </w:rPr>
        <w:t xml:space="preserve">= </w:t>
      </w:r>
      <w:r>
        <w:rPr>
          <w:rFonts w:ascii="Times New Roman" w:hAnsi="Times New Roman" w:eastAsia="Times New Roman" w:cs="Times New Roman"/>
          <w:spacing w:val="2"/>
          <w:position w:val="1"/>
          <w:sz w:val="23"/>
          <w:szCs w:val="23"/>
        </w:rPr>
        <w:t>0.79</w:t>
      </w:r>
      <w:r>
        <w:rPr>
          <w:rFonts w:ascii="Times New Roman" w:hAnsi="Times New Roman" w:eastAsia="Times New Roman" w:cs="Times New Roman"/>
          <w:position w:val="1"/>
          <w:sz w:val="23"/>
          <w:szCs w:val="23"/>
        </w:rPr>
        <w:t>V</w:t>
      </w:r>
      <w:r>
        <w:rPr>
          <w:rFonts w:ascii="Times New Roman" w:hAnsi="Times New Roman" w:eastAsia="Times New Roman" w:cs="Times New Roman"/>
          <w:spacing w:val="2"/>
          <w:position w:val="1"/>
          <w:sz w:val="13"/>
          <w:szCs w:val="13"/>
        </w:rPr>
        <w:t xml:space="preserve">0 </w:t>
      </w:r>
      <w:r>
        <w:rPr>
          <w:rFonts w:ascii="Symbol" w:hAnsi="Symbol" w:eastAsia="Symbol" w:cs="Symbol"/>
          <w:spacing w:val="1"/>
          <w:position w:val="1"/>
          <w:sz w:val="23"/>
          <w:szCs w:val="23"/>
        </w:rPr>
        <w:t xml:space="preserve">+ </w:t>
      </w:r>
      <w:r>
        <w:rPr>
          <w:rFonts w:ascii="Times New Roman" w:hAnsi="Times New Roman" w:eastAsia="Times New Roman" w:cs="Times New Roman"/>
          <w:spacing w:val="1"/>
          <w:position w:val="1"/>
          <w:sz w:val="23"/>
          <w:szCs w:val="23"/>
        </w:rPr>
        <w:t xml:space="preserve">0.8 </w:t>
      </w:r>
      <w:r>
        <w:rPr>
          <w:position w:val="-3"/>
          <w:sz w:val="23"/>
          <w:szCs w:val="23"/>
        </w:rPr>
        <w:drawing>
          <wp:inline distT="0" distB="0" distL="0" distR="0">
            <wp:extent cx="64770" cy="1847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63"/>
                    <a:stretch>
                      <a:fillRect/>
                    </a:stretch>
                  </pic:blipFill>
                  <pic:spPr>
                    <a:xfrm>
                      <a:off x="0" y="0"/>
                      <a:ext cx="65159" cy="185045"/>
                    </a:xfrm>
                    <a:prstGeom prst="rect">
                      <a:avLst/>
                    </a:prstGeom>
                  </pic:spPr>
                </pic:pic>
              </a:graphicData>
            </a:graphic>
          </wp:inline>
        </w:drawing>
      </w:r>
      <w:r>
        <w:rPr>
          <w:rFonts w:ascii="Times New Roman" w:hAnsi="Times New Roman" w:eastAsia="Times New Roman" w:cs="Times New Roman"/>
          <w:spacing w:val="1"/>
          <w:position w:val="1"/>
          <w:sz w:val="23"/>
          <w:szCs w:val="23"/>
        </w:rPr>
        <w:t xml:space="preserve"> </w:t>
      </w:r>
      <w:r>
        <w:rPr>
          <w:position w:val="-17"/>
          <w:sz w:val="23"/>
          <w:szCs w:val="23"/>
        </w:rPr>
        <w:drawing>
          <wp:inline distT="0" distB="0" distL="0" distR="0">
            <wp:extent cx="233680" cy="31750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464"/>
                    <a:stretch>
                      <a:fillRect/>
                    </a:stretch>
                  </pic:blipFill>
                  <pic:spPr>
                    <a:xfrm>
                      <a:off x="0" y="0"/>
                      <a:ext cx="234162" cy="318013"/>
                    </a:xfrm>
                    <a:prstGeom prst="rect">
                      <a:avLst/>
                    </a:prstGeom>
                  </pic:spPr>
                </pic:pic>
              </a:graphicData>
            </a:graphic>
          </wp:inline>
        </w:drawing>
      </w:r>
    </w:p>
    <w:p w14:paraId="16DDD347">
      <w:pPr>
        <w:spacing w:line="283" w:lineRule="auto"/>
        <w:rPr>
          <w:rFonts w:ascii="Arial"/>
          <w:sz w:val="21"/>
        </w:rPr>
      </w:pPr>
    </w:p>
    <w:p w14:paraId="495C11BC">
      <w:pPr>
        <w:spacing w:before="75" w:line="330" w:lineRule="exact"/>
        <w:ind w:left="1252"/>
        <w:rPr>
          <w:rFonts w:ascii="Times New Roman" w:hAnsi="Times New Roman" w:eastAsia="Times New Roman" w:cs="Times New Roman"/>
          <w:sz w:val="13"/>
          <w:szCs w:val="13"/>
        </w:rPr>
      </w:pPr>
      <w:r>
        <w:rPr>
          <w:rFonts w:ascii="Times New Roman" w:hAnsi="Times New Roman" w:eastAsia="Times New Roman" w:cs="Times New Roman"/>
          <w:spacing w:val="-5"/>
          <w:position w:val="2"/>
          <w:sz w:val="23"/>
          <w:szCs w:val="23"/>
        </w:rPr>
        <w:t>V</w:t>
      </w:r>
      <w:r>
        <w:rPr>
          <w:rFonts w:ascii="Times New Roman" w:hAnsi="Times New Roman" w:eastAsia="Times New Roman" w:cs="Times New Roman"/>
          <w:spacing w:val="-5"/>
          <w:position w:val="2"/>
          <w:sz w:val="13"/>
          <w:szCs w:val="13"/>
        </w:rPr>
        <w:t>g</w:t>
      </w:r>
      <w:r>
        <w:rPr>
          <w:rFonts w:ascii="Times New Roman" w:hAnsi="Times New Roman" w:eastAsia="Times New Roman" w:cs="Times New Roman"/>
          <w:spacing w:val="-10"/>
          <w:position w:val="2"/>
          <w:sz w:val="13"/>
          <w:szCs w:val="13"/>
        </w:rPr>
        <w:t xml:space="preserve">  </w:t>
      </w:r>
      <w:r>
        <w:rPr>
          <w:rFonts w:ascii="Symbol" w:hAnsi="Symbol" w:eastAsia="Symbol" w:cs="Symbol"/>
          <w:spacing w:val="-6"/>
          <w:position w:val="2"/>
          <w:sz w:val="23"/>
          <w:szCs w:val="23"/>
        </w:rPr>
        <w:t>=</w:t>
      </w:r>
      <w:r>
        <w:rPr>
          <w:rFonts w:ascii="Symbol" w:hAnsi="Symbol" w:eastAsia="Symbol" w:cs="Symbol"/>
          <w:spacing w:val="-5"/>
          <w:position w:val="2"/>
          <w:sz w:val="23"/>
          <w:szCs w:val="23"/>
        </w:rPr>
        <w:t xml:space="preserve"> </w:t>
      </w:r>
      <w:r>
        <w:rPr>
          <w:rFonts w:ascii="Times New Roman" w:hAnsi="Times New Roman" w:eastAsia="Times New Roman" w:cs="Times New Roman"/>
          <w:spacing w:val="-5"/>
          <w:position w:val="2"/>
          <w:sz w:val="23"/>
          <w:szCs w:val="23"/>
        </w:rPr>
        <w:t>V</w:t>
      </w:r>
      <w:r>
        <w:rPr>
          <w:rFonts w:ascii="Times New Roman" w:hAnsi="Times New Roman" w:eastAsia="Times New Roman" w:cs="Times New Roman"/>
          <w:spacing w:val="-5"/>
          <w:position w:val="2"/>
          <w:sz w:val="13"/>
          <w:szCs w:val="13"/>
        </w:rPr>
        <w:t>RO</w:t>
      </w:r>
      <w:r>
        <w:rPr>
          <w:rFonts w:ascii="Times New Roman" w:hAnsi="Times New Roman" w:eastAsia="Times New Roman" w:cs="Times New Roman"/>
          <w:spacing w:val="-5"/>
          <w:position w:val="2"/>
          <w:sz w:val="9"/>
          <w:szCs w:val="9"/>
        </w:rPr>
        <w:t xml:space="preserve">2  </w:t>
      </w:r>
      <w:r>
        <w:rPr>
          <w:rFonts w:ascii="Symbol" w:hAnsi="Symbol" w:eastAsia="Symbol" w:cs="Symbol"/>
          <w:spacing w:val="-5"/>
          <w:position w:val="2"/>
          <w:sz w:val="23"/>
          <w:szCs w:val="23"/>
        </w:rPr>
        <w:t xml:space="preserve">+ </w:t>
      </w:r>
      <w:r>
        <w:rPr>
          <w:rFonts w:ascii="Times New Roman" w:hAnsi="Times New Roman" w:eastAsia="Times New Roman" w:cs="Times New Roman"/>
          <w:spacing w:val="-5"/>
          <w:position w:val="2"/>
          <w:sz w:val="23"/>
          <w:szCs w:val="23"/>
        </w:rPr>
        <w:t>V</w:t>
      </w:r>
      <w:r>
        <w:rPr>
          <w:rFonts w:ascii="Times New Roman" w:hAnsi="Times New Roman" w:eastAsia="Times New Roman" w:cs="Times New Roman"/>
          <w:spacing w:val="-5"/>
          <w:position w:val="2"/>
          <w:sz w:val="13"/>
          <w:szCs w:val="13"/>
        </w:rPr>
        <w:t xml:space="preserve">N </w:t>
      </w:r>
      <w:r>
        <w:rPr>
          <w:rFonts w:ascii="Times New Roman" w:hAnsi="Times New Roman" w:eastAsia="Times New Roman" w:cs="Times New Roman"/>
          <w:spacing w:val="-5"/>
          <w:position w:val="2"/>
          <w:sz w:val="9"/>
          <w:szCs w:val="9"/>
        </w:rPr>
        <w:t xml:space="preserve">2  </w:t>
      </w:r>
      <w:r>
        <w:rPr>
          <w:rFonts w:ascii="Symbol" w:hAnsi="Symbol" w:eastAsia="Symbol" w:cs="Symbol"/>
          <w:spacing w:val="-5"/>
          <w:position w:val="2"/>
          <w:sz w:val="23"/>
          <w:szCs w:val="23"/>
        </w:rPr>
        <w:t>+</w:t>
      </w:r>
      <w:r>
        <w:rPr>
          <w:rFonts w:ascii="宋体" w:hAnsi="宋体" w:eastAsia="宋体" w:cs="宋体"/>
          <w:spacing w:val="-5"/>
          <w:position w:val="2"/>
          <w:sz w:val="23"/>
          <w:szCs w:val="23"/>
        </w:rPr>
        <w:t xml:space="preserve">( </w:t>
      </w:r>
      <w:r>
        <w:rPr>
          <w:position w:val="2"/>
          <w:sz w:val="23"/>
          <w:szCs w:val="23"/>
        </w:rPr>
        <w:drawing>
          <wp:inline distT="0" distB="0" distL="0" distR="0">
            <wp:extent cx="108585" cy="7239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65"/>
                    <a:stretch>
                      <a:fillRect/>
                    </a:stretch>
                  </pic:blipFill>
                  <pic:spPr>
                    <a:xfrm>
                      <a:off x="0" y="0"/>
                      <a:ext cx="108772" cy="72869"/>
                    </a:xfrm>
                    <a:prstGeom prst="rect">
                      <a:avLst/>
                    </a:prstGeom>
                  </pic:spPr>
                </pic:pic>
              </a:graphicData>
            </a:graphic>
          </wp:inline>
        </w:drawing>
      </w:r>
      <w:r>
        <w:rPr>
          <w:rFonts w:ascii="宋体" w:hAnsi="宋体" w:eastAsia="宋体" w:cs="宋体"/>
          <w:spacing w:val="-5"/>
          <w:position w:val="2"/>
          <w:sz w:val="23"/>
          <w:szCs w:val="23"/>
        </w:rPr>
        <w:t xml:space="preserve"> </w:t>
      </w:r>
      <w:r>
        <w:rPr>
          <w:rFonts w:ascii="Times New Roman" w:hAnsi="Times New Roman" w:eastAsia="Times New Roman" w:cs="Times New Roman"/>
          <w:spacing w:val="-5"/>
          <w:position w:val="2"/>
          <w:sz w:val="23"/>
          <w:szCs w:val="23"/>
        </w:rPr>
        <w:t>- 1</w:t>
      </w:r>
      <w:r>
        <w:rPr>
          <w:rFonts w:ascii="宋体" w:hAnsi="宋体" w:eastAsia="宋体" w:cs="宋体"/>
          <w:spacing w:val="-5"/>
          <w:position w:val="2"/>
          <w:sz w:val="23"/>
          <w:szCs w:val="23"/>
        </w:rPr>
        <w:t xml:space="preserve">) </w:t>
      </w:r>
      <w:r>
        <w:rPr>
          <w:rFonts w:ascii="Times New Roman" w:hAnsi="Times New Roman" w:eastAsia="Times New Roman" w:cs="Times New Roman"/>
          <w:spacing w:val="-5"/>
          <w:position w:val="2"/>
          <w:sz w:val="23"/>
          <w:szCs w:val="23"/>
        </w:rPr>
        <w:t>V</w:t>
      </w:r>
      <w:r>
        <w:rPr>
          <w:rFonts w:ascii="Times New Roman" w:hAnsi="Times New Roman" w:eastAsia="Times New Roman" w:cs="Times New Roman"/>
          <w:spacing w:val="-5"/>
          <w:position w:val="2"/>
          <w:sz w:val="13"/>
          <w:szCs w:val="13"/>
        </w:rPr>
        <w:t>0</w:t>
      </w:r>
    </w:p>
    <w:p w14:paraId="6597EA16">
      <w:pPr>
        <w:spacing w:line="365" w:lineRule="auto"/>
        <w:rPr>
          <w:rFonts w:ascii="Arial"/>
          <w:sz w:val="21"/>
        </w:rPr>
      </w:pPr>
    </w:p>
    <w:p w14:paraId="2EF43B9B">
      <w:pPr>
        <w:spacing w:before="75"/>
        <w:ind w:left="1252"/>
        <w:rPr>
          <w:rFonts w:ascii="Times New Roman" w:hAnsi="Times New Roman" w:eastAsia="Times New Roman" w:cs="Times New Roman"/>
          <w:sz w:val="13"/>
          <w:szCs w:val="13"/>
        </w:rPr>
      </w:pPr>
      <w:r>
        <w:rPr>
          <w:rFonts w:ascii="Times New Roman" w:hAnsi="Times New Roman" w:eastAsia="Times New Roman" w:cs="Times New Roman"/>
          <w:spacing w:val="-4"/>
          <w:sz w:val="23"/>
          <w:szCs w:val="23"/>
        </w:rPr>
        <w:t>Vs</w:t>
      </w:r>
      <w:r>
        <w:rPr>
          <w:rFonts w:ascii="Times New Roman" w:hAnsi="Times New Roman" w:eastAsia="Times New Roman" w:cs="Times New Roman"/>
          <w:spacing w:val="-8"/>
          <w:sz w:val="23"/>
          <w:szCs w:val="23"/>
        </w:rPr>
        <w:t xml:space="preserve"> </w:t>
      </w:r>
      <w:r>
        <w:rPr>
          <w:rFonts w:ascii="Symbol" w:hAnsi="Symbol" w:eastAsia="Symbol" w:cs="Symbol"/>
          <w:spacing w:val="-8"/>
          <w:sz w:val="23"/>
          <w:szCs w:val="23"/>
        </w:rPr>
        <w:t xml:space="preserve">= </w:t>
      </w:r>
      <w:r>
        <w:rPr>
          <w:rFonts w:ascii="Times New Roman" w:hAnsi="Times New Roman" w:eastAsia="Times New Roman" w:cs="Times New Roman"/>
          <w:spacing w:val="-4"/>
          <w:sz w:val="23"/>
          <w:szCs w:val="23"/>
        </w:rPr>
        <w:t>Vg</w:t>
      </w:r>
      <w:r>
        <w:rPr>
          <w:rFonts w:ascii="Times New Roman" w:hAnsi="Times New Roman" w:eastAsia="Times New Roman" w:cs="Times New Roman"/>
          <w:spacing w:val="-8"/>
          <w:sz w:val="23"/>
          <w:szCs w:val="23"/>
        </w:rPr>
        <w:t xml:space="preserve"> </w:t>
      </w:r>
      <w:r>
        <w:rPr>
          <w:rFonts w:ascii="Symbol" w:hAnsi="Symbol" w:eastAsia="Symbol" w:cs="Symbol"/>
          <w:spacing w:val="-8"/>
          <w:sz w:val="23"/>
          <w:szCs w:val="23"/>
        </w:rPr>
        <w:t>+</w:t>
      </w:r>
      <w:r>
        <w:rPr>
          <w:rFonts w:ascii="Symbol" w:hAnsi="Symbol" w:eastAsia="Symbol" w:cs="Symbol"/>
          <w:spacing w:val="-6"/>
          <w:sz w:val="23"/>
          <w:szCs w:val="23"/>
        </w:rPr>
        <w:t xml:space="preserve"> </w:t>
      </w:r>
      <w:r>
        <w:rPr>
          <w:rFonts w:ascii="Times New Roman" w:hAnsi="Times New Roman" w:eastAsia="Times New Roman" w:cs="Times New Roman"/>
          <w:spacing w:val="-4"/>
          <w:sz w:val="23"/>
          <w:szCs w:val="23"/>
        </w:rPr>
        <w:t>V</w:t>
      </w:r>
      <w:r>
        <w:rPr>
          <w:rFonts w:ascii="Times New Roman" w:hAnsi="Times New Roman" w:eastAsia="Times New Roman" w:cs="Times New Roman"/>
          <w:spacing w:val="-4"/>
          <w:sz w:val="13"/>
          <w:szCs w:val="13"/>
        </w:rPr>
        <w:t>H</w:t>
      </w:r>
      <w:r>
        <w:rPr>
          <w:rFonts w:ascii="Times New Roman" w:hAnsi="Times New Roman" w:eastAsia="Times New Roman" w:cs="Times New Roman"/>
          <w:spacing w:val="-4"/>
          <w:sz w:val="9"/>
          <w:szCs w:val="9"/>
        </w:rPr>
        <w:t>2</w:t>
      </w:r>
      <w:r>
        <w:rPr>
          <w:rFonts w:ascii="Times New Roman" w:hAnsi="Times New Roman" w:eastAsia="Times New Roman" w:cs="Times New Roman"/>
          <w:spacing w:val="-4"/>
          <w:sz w:val="13"/>
          <w:szCs w:val="13"/>
        </w:rPr>
        <w:t xml:space="preserve">O </w:t>
      </w:r>
      <w:r>
        <w:rPr>
          <w:rFonts w:ascii="Symbol" w:hAnsi="Symbol" w:eastAsia="Symbol" w:cs="Symbol"/>
          <w:spacing w:val="-4"/>
          <w:sz w:val="23"/>
          <w:szCs w:val="23"/>
        </w:rPr>
        <w:t xml:space="preserve">+ </w:t>
      </w:r>
      <w:r>
        <w:rPr>
          <w:rFonts w:ascii="Times New Roman" w:hAnsi="Times New Roman" w:eastAsia="Times New Roman" w:cs="Times New Roman"/>
          <w:spacing w:val="-4"/>
          <w:sz w:val="23"/>
          <w:szCs w:val="23"/>
        </w:rPr>
        <w:t>0.0161</w:t>
      </w:r>
      <w:r>
        <w:rPr>
          <w:position w:val="-5"/>
          <w:sz w:val="23"/>
          <w:szCs w:val="23"/>
        </w:rPr>
        <w:drawing>
          <wp:inline distT="0" distB="0" distL="0" distR="0">
            <wp:extent cx="69850" cy="18478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463"/>
                    <a:stretch>
                      <a:fillRect/>
                    </a:stretch>
                  </pic:blipFill>
                  <pic:spPr>
                    <a:xfrm>
                      <a:off x="0" y="0"/>
                      <a:ext cx="70308" cy="185045"/>
                    </a:xfrm>
                    <a:prstGeom prst="rect">
                      <a:avLst/>
                    </a:prstGeom>
                  </pic:spPr>
                </pic:pic>
              </a:graphicData>
            </a:graphic>
          </wp:inline>
        </w:drawing>
      </w:r>
      <w:r>
        <w:rPr>
          <w:rFonts w:ascii="宋体" w:hAnsi="宋体" w:eastAsia="宋体" w:cs="宋体"/>
          <w:spacing w:val="-4"/>
          <w:sz w:val="23"/>
          <w:szCs w:val="23"/>
        </w:rPr>
        <w:t xml:space="preserve">( </w:t>
      </w:r>
      <w:r>
        <w:rPr>
          <w:sz w:val="23"/>
          <w:szCs w:val="23"/>
        </w:rPr>
        <w:drawing>
          <wp:inline distT="0" distB="0" distL="0" distR="0">
            <wp:extent cx="116840" cy="723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65"/>
                    <a:stretch>
                      <a:fillRect/>
                    </a:stretch>
                  </pic:blipFill>
                  <pic:spPr>
                    <a:xfrm>
                      <a:off x="0" y="0"/>
                      <a:ext cx="117368" cy="72869"/>
                    </a:xfrm>
                    <a:prstGeom prst="rect">
                      <a:avLst/>
                    </a:prstGeom>
                  </pic:spPr>
                </pic:pic>
              </a:graphicData>
            </a:graphic>
          </wp:inline>
        </w:drawing>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- 1</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V</w:t>
      </w:r>
      <w:r>
        <w:rPr>
          <w:rFonts w:ascii="Times New Roman" w:hAnsi="Times New Roman" w:eastAsia="Times New Roman" w:cs="Times New Roman"/>
          <w:spacing w:val="-4"/>
          <w:sz w:val="13"/>
          <w:szCs w:val="13"/>
        </w:rPr>
        <w:t>0</w:t>
      </w:r>
    </w:p>
    <w:p w14:paraId="25391EB1">
      <w:pPr>
        <w:spacing w:line="252" w:lineRule="auto"/>
        <w:rPr>
          <w:rFonts w:ascii="Arial"/>
          <w:sz w:val="21"/>
        </w:rPr>
      </w:pPr>
    </w:p>
    <w:p w14:paraId="30D175AB">
      <w:pPr>
        <w:spacing w:before="71" w:line="291" w:lineRule="exact"/>
        <w:ind w:left="1252"/>
        <w:rPr>
          <w:rFonts w:ascii="Times New Roman" w:hAnsi="Times New Roman" w:eastAsia="Times New Roman" w:cs="Times New Roman"/>
          <w:sz w:val="13"/>
          <w:szCs w:val="13"/>
        </w:rPr>
      </w:pPr>
      <w:r>
        <w:rPr>
          <w:rFonts w:ascii="Times New Roman" w:hAnsi="Times New Roman" w:eastAsia="Times New Roman" w:cs="Times New Roman"/>
          <w:position w:val="1"/>
          <w:sz w:val="23"/>
          <w:szCs w:val="23"/>
        </w:rPr>
        <w:t>V</w:t>
      </w:r>
      <w:r>
        <w:rPr>
          <w:rFonts w:ascii="Times New Roman" w:hAnsi="Times New Roman" w:eastAsia="Times New Roman" w:cs="Times New Roman"/>
          <w:position w:val="1"/>
          <w:sz w:val="13"/>
          <w:szCs w:val="13"/>
        </w:rPr>
        <w:t>H</w:t>
      </w:r>
      <w:r>
        <w:rPr>
          <w:rFonts w:ascii="Times New Roman" w:hAnsi="Times New Roman" w:eastAsia="Times New Roman" w:cs="Times New Roman"/>
          <w:spacing w:val="4"/>
          <w:position w:val="1"/>
          <w:sz w:val="13"/>
          <w:szCs w:val="13"/>
        </w:rPr>
        <w:t xml:space="preserve"> </w:t>
      </w:r>
      <w:r>
        <w:rPr>
          <w:rFonts w:ascii="Times New Roman" w:hAnsi="Times New Roman" w:eastAsia="Times New Roman" w:cs="Times New Roman"/>
          <w:spacing w:val="4"/>
          <w:position w:val="1"/>
          <w:sz w:val="9"/>
          <w:szCs w:val="9"/>
        </w:rPr>
        <w:t xml:space="preserve">2 </w:t>
      </w:r>
      <w:r>
        <w:rPr>
          <w:rFonts w:ascii="Times New Roman" w:hAnsi="Times New Roman" w:eastAsia="Times New Roman" w:cs="Times New Roman"/>
          <w:position w:val="1"/>
          <w:sz w:val="13"/>
          <w:szCs w:val="13"/>
        </w:rPr>
        <w:t>O</w:t>
      </w:r>
      <w:r>
        <w:rPr>
          <w:rFonts w:ascii="Times New Roman" w:hAnsi="Times New Roman" w:eastAsia="Times New Roman" w:cs="Times New Roman"/>
          <w:spacing w:val="2"/>
          <w:position w:val="1"/>
          <w:sz w:val="13"/>
          <w:szCs w:val="13"/>
        </w:rPr>
        <w:t xml:space="preserve"> </w:t>
      </w:r>
      <w:r>
        <w:rPr>
          <w:rFonts w:ascii="Symbol" w:hAnsi="Symbol" w:eastAsia="Symbol" w:cs="Symbol"/>
          <w:spacing w:val="2"/>
          <w:position w:val="1"/>
          <w:sz w:val="23"/>
          <w:szCs w:val="23"/>
        </w:rPr>
        <w:t xml:space="preserve">= </w:t>
      </w:r>
      <w:r>
        <w:rPr>
          <w:rFonts w:ascii="Times New Roman" w:hAnsi="Times New Roman" w:eastAsia="Times New Roman" w:cs="Times New Roman"/>
          <w:spacing w:val="2"/>
          <w:position w:val="1"/>
          <w:sz w:val="23"/>
          <w:szCs w:val="23"/>
        </w:rPr>
        <w:t>0. 111</w:t>
      </w:r>
      <w:r>
        <w:rPr>
          <w:rFonts w:ascii="Times New Roman" w:hAnsi="Times New Roman" w:eastAsia="Times New Roman" w:cs="Times New Roman"/>
          <w:position w:val="1"/>
          <w:sz w:val="23"/>
          <w:szCs w:val="23"/>
        </w:rPr>
        <w:t>H</w:t>
      </w:r>
      <w:r>
        <w:rPr>
          <w:rFonts w:ascii="Times New Roman" w:hAnsi="Times New Roman" w:eastAsia="Times New Roman" w:cs="Times New Roman"/>
          <w:position w:val="1"/>
          <w:sz w:val="13"/>
          <w:szCs w:val="13"/>
        </w:rPr>
        <w:t>ar</w:t>
      </w:r>
      <w:r>
        <w:rPr>
          <w:rFonts w:ascii="Times New Roman" w:hAnsi="Times New Roman" w:eastAsia="Times New Roman" w:cs="Times New Roman"/>
          <w:spacing w:val="2"/>
          <w:position w:val="1"/>
          <w:sz w:val="13"/>
          <w:szCs w:val="13"/>
        </w:rPr>
        <w:t xml:space="preserve"> </w:t>
      </w:r>
      <w:r>
        <w:rPr>
          <w:rFonts w:ascii="Symbol" w:hAnsi="Symbol" w:eastAsia="Symbol" w:cs="Symbol"/>
          <w:spacing w:val="2"/>
          <w:position w:val="1"/>
          <w:sz w:val="23"/>
          <w:szCs w:val="23"/>
        </w:rPr>
        <w:t xml:space="preserve">+ </w:t>
      </w:r>
      <w:r>
        <w:rPr>
          <w:rFonts w:ascii="Times New Roman" w:hAnsi="Times New Roman" w:eastAsia="Times New Roman" w:cs="Times New Roman"/>
          <w:spacing w:val="2"/>
          <w:position w:val="1"/>
          <w:sz w:val="23"/>
          <w:szCs w:val="23"/>
        </w:rPr>
        <w:t>0.0124</w:t>
      </w:r>
      <w:r>
        <w:rPr>
          <w:rFonts w:ascii="Times New Roman" w:hAnsi="Times New Roman" w:eastAsia="Times New Roman" w:cs="Times New Roman"/>
          <w:position w:val="1"/>
          <w:sz w:val="23"/>
          <w:szCs w:val="23"/>
        </w:rPr>
        <w:t>M</w:t>
      </w:r>
      <w:r>
        <w:rPr>
          <w:rFonts w:ascii="Times New Roman" w:hAnsi="Times New Roman" w:eastAsia="Times New Roman" w:cs="Times New Roman"/>
          <w:position w:val="1"/>
          <w:sz w:val="13"/>
          <w:szCs w:val="13"/>
        </w:rPr>
        <w:t>ar</w:t>
      </w:r>
      <w:r>
        <w:rPr>
          <w:rFonts w:ascii="Times New Roman" w:hAnsi="Times New Roman" w:eastAsia="Times New Roman" w:cs="Times New Roman"/>
          <w:spacing w:val="2"/>
          <w:position w:val="1"/>
          <w:sz w:val="13"/>
          <w:szCs w:val="13"/>
        </w:rPr>
        <w:t xml:space="preserve"> </w:t>
      </w:r>
      <w:r>
        <w:rPr>
          <w:rFonts w:ascii="Symbol" w:hAnsi="Symbol" w:eastAsia="Symbol" w:cs="Symbol"/>
          <w:spacing w:val="2"/>
          <w:position w:val="1"/>
          <w:sz w:val="23"/>
          <w:szCs w:val="23"/>
        </w:rPr>
        <w:t xml:space="preserve">+ </w:t>
      </w:r>
      <w:r>
        <w:rPr>
          <w:rFonts w:ascii="Times New Roman" w:hAnsi="Times New Roman" w:eastAsia="Times New Roman" w:cs="Times New Roman"/>
          <w:spacing w:val="2"/>
          <w:position w:val="1"/>
          <w:sz w:val="23"/>
          <w:szCs w:val="23"/>
        </w:rPr>
        <w:t>0.0161</w:t>
      </w:r>
      <w:r>
        <w:rPr>
          <w:rFonts w:ascii="Times New Roman" w:hAnsi="Times New Roman" w:eastAsia="Times New Roman" w:cs="Times New Roman"/>
          <w:position w:val="1"/>
          <w:sz w:val="23"/>
          <w:szCs w:val="23"/>
        </w:rPr>
        <w:t>V</w:t>
      </w:r>
      <w:r>
        <w:rPr>
          <w:rFonts w:ascii="Times New Roman" w:hAnsi="Times New Roman" w:eastAsia="Times New Roman" w:cs="Times New Roman"/>
          <w:spacing w:val="2"/>
          <w:position w:val="1"/>
          <w:sz w:val="13"/>
          <w:szCs w:val="13"/>
        </w:rPr>
        <w:t xml:space="preserve">0 </w:t>
      </w:r>
      <w:r>
        <w:rPr>
          <w:rFonts w:ascii="Symbol" w:hAnsi="Symbol" w:eastAsia="Symbol" w:cs="Symbol"/>
          <w:spacing w:val="2"/>
          <w:position w:val="1"/>
          <w:sz w:val="23"/>
          <w:szCs w:val="23"/>
        </w:rPr>
        <w:t xml:space="preserve">+ </w:t>
      </w:r>
      <w:r>
        <w:rPr>
          <w:rFonts w:ascii="Times New Roman" w:hAnsi="Times New Roman" w:eastAsia="Times New Roman" w:cs="Times New Roman"/>
          <w:spacing w:val="2"/>
          <w:position w:val="1"/>
          <w:sz w:val="23"/>
          <w:szCs w:val="23"/>
        </w:rPr>
        <w:t>1.24</w:t>
      </w:r>
      <w:r>
        <w:rPr>
          <w:rFonts w:ascii="Times New Roman" w:hAnsi="Times New Roman" w:eastAsia="Times New Roman" w:cs="Times New Roman"/>
          <w:position w:val="1"/>
          <w:sz w:val="23"/>
          <w:szCs w:val="23"/>
        </w:rPr>
        <w:t>G</w:t>
      </w:r>
      <w:r>
        <w:rPr>
          <w:rFonts w:ascii="Times New Roman" w:hAnsi="Times New Roman" w:eastAsia="Times New Roman" w:cs="Times New Roman"/>
          <w:position w:val="1"/>
          <w:sz w:val="13"/>
          <w:szCs w:val="13"/>
        </w:rPr>
        <w:t>wh</w:t>
      </w:r>
    </w:p>
    <w:p w14:paraId="31C0E427">
      <w:pPr>
        <w:spacing w:before="316" w:line="322" w:lineRule="exact"/>
        <w:ind w:left="508"/>
        <w:rPr>
          <w:rFonts w:ascii="宋体" w:hAnsi="宋体" w:eastAsia="宋体" w:cs="宋体"/>
          <w:sz w:val="23"/>
          <w:szCs w:val="23"/>
        </w:rPr>
      </w:pPr>
      <w:r>
        <w:rPr>
          <w:rFonts w:ascii="宋体" w:hAnsi="宋体" w:eastAsia="宋体" w:cs="宋体"/>
          <w:spacing w:val="18"/>
          <w:position w:val="3"/>
          <w:sz w:val="23"/>
          <w:szCs w:val="23"/>
        </w:rPr>
        <w:t>式</w:t>
      </w:r>
      <w:r>
        <w:rPr>
          <w:rFonts w:ascii="宋体" w:hAnsi="宋体" w:eastAsia="宋体" w:cs="宋体"/>
          <w:spacing w:val="10"/>
          <w:position w:val="3"/>
          <w:sz w:val="23"/>
          <w:szCs w:val="23"/>
        </w:rPr>
        <w:t>中</w:t>
      </w:r>
      <w:r>
        <w:rPr>
          <w:rFonts w:ascii="宋体" w:hAnsi="宋体" w:eastAsia="宋体" w:cs="宋体"/>
          <w:spacing w:val="9"/>
          <w:position w:val="3"/>
          <w:sz w:val="23"/>
          <w:szCs w:val="23"/>
        </w:rPr>
        <w:t>：</w:t>
      </w:r>
      <w:r>
        <w:rPr>
          <w:rFonts w:ascii="Times New Roman" w:hAnsi="Times New Roman" w:eastAsia="Times New Roman" w:cs="Times New Roman"/>
          <w:position w:val="3"/>
          <w:sz w:val="23"/>
          <w:szCs w:val="23"/>
        </w:rPr>
        <w:t>V</w:t>
      </w:r>
      <w:r>
        <w:rPr>
          <w:rFonts w:ascii="Times New Roman" w:hAnsi="Times New Roman" w:eastAsia="Times New Roman" w:cs="Times New Roman"/>
          <w:position w:val="2"/>
          <w:sz w:val="15"/>
          <w:szCs w:val="15"/>
        </w:rPr>
        <w:t>RO</w:t>
      </w:r>
      <w:r>
        <w:rPr>
          <w:rFonts w:ascii="Times New Roman" w:hAnsi="Times New Roman" w:eastAsia="Times New Roman" w:cs="Times New Roman"/>
          <w:spacing w:val="9"/>
          <w:position w:val="2"/>
          <w:sz w:val="15"/>
          <w:szCs w:val="15"/>
        </w:rPr>
        <w:t>2</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烟气中二氧化碳和二氧化硫容积之和，</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9"/>
          <w:position w:val="11"/>
          <w:sz w:val="15"/>
          <w:szCs w:val="15"/>
        </w:rPr>
        <w:t>3</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9"/>
          <w:position w:val="3"/>
          <w:sz w:val="23"/>
          <w:szCs w:val="23"/>
        </w:rPr>
        <w:t>；</w:t>
      </w:r>
    </w:p>
    <w:p w14:paraId="5868D465">
      <w:pPr>
        <w:spacing w:before="158" w:line="480" w:lineRule="exact"/>
        <w:ind w:left="1325"/>
        <w:rPr>
          <w:rFonts w:ascii="宋体" w:hAnsi="宋体" w:eastAsia="宋体" w:cs="宋体"/>
          <w:sz w:val="23"/>
          <w:szCs w:val="23"/>
        </w:rPr>
      </w:pPr>
      <w:r>
        <w:rPr>
          <w:rFonts w:ascii="Times New Roman" w:hAnsi="Times New Roman" w:eastAsia="Times New Roman" w:cs="Times New Roman"/>
          <w:position w:val="9"/>
          <w:sz w:val="23"/>
          <w:szCs w:val="23"/>
        </w:rPr>
        <w:t>C</w:t>
      </w:r>
      <w:r>
        <w:rPr>
          <w:rFonts w:ascii="Times New Roman" w:hAnsi="Times New Roman" w:eastAsia="Times New Roman" w:cs="Times New Roman"/>
          <w:position w:val="9"/>
          <w:sz w:val="13"/>
          <w:szCs w:val="13"/>
        </w:rPr>
        <w:t>ar</w:t>
      </w:r>
      <w:r>
        <w:rPr>
          <w:rFonts w:ascii="Times New Roman" w:hAnsi="Times New Roman" w:eastAsia="Times New Roman" w:cs="Times New Roman"/>
          <w:spacing w:val="8"/>
          <w:position w:val="9"/>
          <w:sz w:val="13"/>
          <w:szCs w:val="13"/>
        </w:rPr>
        <w:t xml:space="preserve"> </w:t>
      </w:r>
      <w:r>
        <w:rPr>
          <w:rFonts w:ascii="Times New Roman" w:hAnsi="Times New Roman" w:eastAsia="Times New Roman" w:cs="Times New Roman"/>
          <w:spacing w:val="6"/>
          <w:position w:val="9"/>
          <w:sz w:val="13"/>
          <w:szCs w:val="13"/>
        </w:rPr>
        <w:t xml:space="preserve"> </w:t>
      </w:r>
      <w:r>
        <w:rPr>
          <w:rFonts w:ascii="Times New Roman" w:hAnsi="Times New Roman" w:eastAsia="Times New Roman" w:cs="Times New Roman"/>
          <w:spacing w:val="4"/>
          <w:position w:val="9"/>
          <w:sz w:val="13"/>
          <w:szCs w:val="13"/>
        </w:rPr>
        <w:t xml:space="preserve">  </w:t>
      </w:r>
      <w:r>
        <w:rPr>
          <w:rFonts w:ascii="Times New Roman" w:hAnsi="Times New Roman" w:eastAsia="Times New Roman" w:cs="Times New Roman"/>
          <w:spacing w:val="4"/>
          <w:position w:val="16"/>
          <w:sz w:val="23"/>
          <w:szCs w:val="23"/>
        </w:rPr>
        <w:t xml:space="preserve">— </w:t>
      </w:r>
      <w:r>
        <w:rPr>
          <w:rFonts w:ascii="宋体" w:hAnsi="宋体" w:eastAsia="宋体" w:cs="宋体"/>
          <w:spacing w:val="4"/>
          <w:position w:val="16"/>
          <w:sz w:val="23"/>
          <w:szCs w:val="23"/>
        </w:rPr>
        <w:t>收到基碳的质量分数，</w:t>
      </w:r>
      <w:r>
        <w:rPr>
          <w:rFonts w:ascii="Times New Roman" w:hAnsi="Times New Roman" w:eastAsia="Times New Roman" w:cs="Times New Roman"/>
          <w:spacing w:val="4"/>
          <w:position w:val="16"/>
          <w:sz w:val="23"/>
          <w:szCs w:val="23"/>
        </w:rPr>
        <w:t>%</w:t>
      </w:r>
      <w:r>
        <w:rPr>
          <w:rFonts w:ascii="宋体" w:hAnsi="宋体" w:eastAsia="宋体" w:cs="宋体"/>
          <w:spacing w:val="4"/>
          <w:position w:val="16"/>
          <w:sz w:val="23"/>
          <w:szCs w:val="23"/>
        </w:rPr>
        <w:t>；</w:t>
      </w:r>
    </w:p>
    <w:p w14:paraId="656B6233">
      <w:pPr>
        <w:spacing w:line="378" w:lineRule="exact"/>
        <w:ind w:left="1345"/>
        <w:rPr>
          <w:rFonts w:ascii="宋体" w:hAnsi="宋体" w:eastAsia="宋体" w:cs="宋体"/>
          <w:sz w:val="23"/>
          <w:szCs w:val="23"/>
        </w:rPr>
      </w:pPr>
      <w:r>
        <w:rPr>
          <w:rFonts w:ascii="Times New Roman" w:hAnsi="Times New Roman" w:eastAsia="Times New Roman" w:cs="Times New Roman"/>
          <w:position w:val="-1"/>
          <w:sz w:val="23"/>
          <w:szCs w:val="23"/>
        </w:rPr>
        <w:t>S</w:t>
      </w:r>
      <w:r>
        <w:rPr>
          <w:rFonts w:ascii="Times New Roman" w:hAnsi="Times New Roman" w:eastAsia="Times New Roman" w:cs="Times New Roman"/>
          <w:position w:val="-1"/>
          <w:sz w:val="13"/>
          <w:szCs w:val="13"/>
        </w:rPr>
        <w:t>ar</w:t>
      </w:r>
      <w:r>
        <w:rPr>
          <w:rFonts w:ascii="Times New Roman" w:hAnsi="Times New Roman" w:eastAsia="Times New Roman" w:cs="Times New Roman"/>
          <w:spacing w:val="5"/>
          <w:position w:val="-1"/>
          <w:sz w:val="13"/>
          <w:szCs w:val="13"/>
        </w:rPr>
        <w:t xml:space="preserve">   </w:t>
      </w:r>
      <w:r>
        <w:rPr>
          <w:rFonts w:ascii="Times New Roman" w:hAnsi="Times New Roman" w:eastAsia="Times New Roman" w:cs="Times New Roman"/>
          <w:spacing w:val="5"/>
          <w:position w:val="6"/>
          <w:sz w:val="23"/>
          <w:szCs w:val="23"/>
        </w:rPr>
        <w:t xml:space="preserve">— </w:t>
      </w:r>
      <w:r>
        <w:rPr>
          <w:rFonts w:ascii="宋体" w:hAnsi="宋体" w:eastAsia="宋体" w:cs="宋体"/>
          <w:spacing w:val="5"/>
          <w:position w:val="6"/>
          <w:sz w:val="23"/>
          <w:szCs w:val="23"/>
        </w:rPr>
        <w:t>收到基硫的质量分数，</w:t>
      </w:r>
      <w:r>
        <w:rPr>
          <w:rFonts w:ascii="Times New Roman" w:hAnsi="Times New Roman" w:eastAsia="Times New Roman" w:cs="Times New Roman"/>
          <w:spacing w:val="5"/>
          <w:position w:val="6"/>
          <w:sz w:val="23"/>
          <w:szCs w:val="23"/>
        </w:rPr>
        <w:t>%</w:t>
      </w:r>
      <w:r>
        <w:rPr>
          <w:rFonts w:ascii="宋体" w:hAnsi="宋体" w:eastAsia="宋体" w:cs="宋体"/>
          <w:spacing w:val="3"/>
          <w:position w:val="6"/>
          <w:sz w:val="23"/>
          <w:szCs w:val="23"/>
        </w:rPr>
        <w:t>；</w:t>
      </w:r>
    </w:p>
    <w:p w14:paraId="14DF3667">
      <w:pPr>
        <w:sectPr>
          <w:headerReference r:id="rId127" w:type="default"/>
          <w:footerReference r:id="rId128" w:type="default"/>
          <w:pgSz w:w="11906" w:h="16839"/>
          <w:pgMar w:top="1132" w:right="1785" w:bottom="1182" w:left="1785" w:header="878" w:footer="1022" w:gutter="0"/>
          <w:cols w:space="720" w:num="1"/>
        </w:sectPr>
      </w:pPr>
    </w:p>
    <w:p w14:paraId="2EEE2E2C">
      <w:pPr>
        <w:spacing w:line="365" w:lineRule="auto"/>
        <w:rPr>
          <w:rFonts w:ascii="Arial"/>
          <w:sz w:val="21"/>
        </w:rPr>
      </w:pPr>
      <w:r>
        <w:pict>
          <v:shape id="_x0000_s1175" o:spid="_x0000_s1175" style="position:absolute;left:0pt;margin-left:90pt;margin-top:57.35pt;height:0.75pt;width:415.3pt;mso-position-horizontal-relative:page;mso-position-vertical-relative:page;z-index:251813888;mso-width-relative:page;mso-height-relative:page;" fillcolor="#000000" filled="t" stroked="f" coordsize="8305,15" o:allowincell="f" path="m0,0l8305,0,8305,14,0,14,0,0xe">
            <v:path/>
            <v:fill on="t" focussize="0,0"/>
            <v:stroke on="f"/>
            <v:imagedata o:title=""/>
            <o:lock v:ext="edit"/>
          </v:shape>
        </w:pict>
      </w:r>
    </w:p>
    <w:p w14:paraId="0B3F1B8E">
      <w:pPr>
        <w:spacing w:before="75" w:line="480" w:lineRule="exact"/>
        <w:ind w:left="1387"/>
        <w:rPr>
          <w:rFonts w:ascii="宋体" w:hAnsi="宋体" w:eastAsia="宋体" w:cs="宋体"/>
          <w:sz w:val="23"/>
          <w:szCs w:val="23"/>
        </w:rPr>
      </w:pPr>
      <w:r>
        <w:rPr>
          <w:rFonts w:ascii="Times New Roman" w:hAnsi="Times New Roman" w:eastAsia="Times New Roman" w:cs="Times New Roman"/>
          <w:position w:val="6"/>
          <w:sz w:val="23"/>
          <w:szCs w:val="23"/>
        </w:rPr>
        <w:t>V</w:t>
      </w:r>
      <w:r>
        <w:rPr>
          <w:rFonts w:ascii="Times New Roman" w:hAnsi="Times New Roman" w:eastAsia="Times New Roman" w:cs="Times New Roman"/>
          <w:position w:val="6"/>
          <w:sz w:val="13"/>
          <w:szCs w:val="13"/>
        </w:rPr>
        <w:t>N</w:t>
      </w:r>
      <w:r>
        <w:rPr>
          <w:rFonts w:ascii="Times New Roman" w:hAnsi="Times New Roman" w:eastAsia="Times New Roman" w:cs="Times New Roman"/>
          <w:spacing w:val="9"/>
          <w:position w:val="6"/>
          <w:sz w:val="13"/>
          <w:szCs w:val="13"/>
        </w:rPr>
        <w:t xml:space="preserve"> </w:t>
      </w:r>
      <w:r>
        <w:rPr>
          <w:rFonts w:ascii="Times New Roman" w:hAnsi="Times New Roman" w:eastAsia="Times New Roman" w:cs="Times New Roman"/>
          <w:spacing w:val="8"/>
          <w:position w:val="6"/>
          <w:sz w:val="9"/>
          <w:szCs w:val="9"/>
        </w:rPr>
        <w:t xml:space="preserve">2  </w:t>
      </w:r>
      <w:r>
        <w:rPr>
          <w:rFonts w:ascii="Times New Roman" w:hAnsi="Times New Roman" w:eastAsia="Times New Roman" w:cs="Times New Roman"/>
          <w:spacing w:val="8"/>
          <w:position w:val="16"/>
          <w:sz w:val="23"/>
          <w:szCs w:val="23"/>
        </w:rPr>
        <w:t>—</w:t>
      </w:r>
      <w:r>
        <w:rPr>
          <w:rFonts w:ascii="宋体" w:hAnsi="宋体" w:eastAsia="宋体" w:cs="宋体"/>
          <w:spacing w:val="8"/>
          <w:position w:val="16"/>
          <w:sz w:val="23"/>
          <w:szCs w:val="23"/>
        </w:rPr>
        <w:t>烟气中氮气量，</w:t>
      </w:r>
      <w:r>
        <w:rPr>
          <w:rFonts w:ascii="Times New Roman" w:hAnsi="Times New Roman" w:eastAsia="Times New Roman" w:cs="Times New Roman"/>
          <w:position w:val="16"/>
          <w:sz w:val="23"/>
          <w:szCs w:val="23"/>
        </w:rPr>
        <w:t>m</w:t>
      </w:r>
      <w:r>
        <w:rPr>
          <w:rFonts w:ascii="Times New Roman" w:hAnsi="Times New Roman" w:eastAsia="Times New Roman" w:cs="Times New Roman"/>
          <w:spacing w:val="8"/>
          <w:position w:val="24"/>
          <w:sz w:val="15"/>
          <w:szCs w:val="15"/>
        </w:rPr>
        <w:t>3</w:t>
      </w:r>
      <w:r>
        <w:rPr>
          <w:rFonts w:ascii="Times New Roman" w:hAnsi="Times New Roman" w:eastAsia="Times New Roman" w:cs="Times New Roman"/>
          <w:spacing w:val="8"/>
          <w:position w:val="16"/>
          <w:sz w:val="23"/>
          <w:szCs w:val="23"/>
        </w:rPr>
        <w:t>/</w:t>
      </w:r>
      <w:r>
        <w:rPr>
          <w:rFonts w:ascii="Times New Roman" w:hAnsi="Times New Roman" w:eastAsia="Times New Roman" w:cs="Times New Roman"/>
          <w:position w:val="16"/>
          <w:sz w:val="23"/>
          <w:szCs w:val="23"/>
        </w:rPr>
        <w:t>kg</w:t>
      </w:r>
      <w:r>
        <w:rPr>
          <w:rFonts w:ascii="宋体" w:hAnsi="宋体" w:eastAsia="宋体" w:cs="宋体"/>
          <w:spacing w:val="8"/>
          <w:position w:val="16"/>
          <w:sz w:val="23"/>
          <w:szCs w:val="23"/>
        </w:rPr>
        <w:t>；</w:t>
      </w:r>
    </w:p>
    <w:p w14:paraId="640359F0">
      <w:pPr>
        <w:spacing w:line="370" w:lineRule="exact"/>
        <w:ind w:left="1408"/>
        <w:rPr>
          <w:rFonts w:ascii="宋体" w:hAnsi="宋体" w:eastAsia="宋体" w:cs="宋体"/>
          <w:sz w:val="23"/>
          <w:szCs w:val="23"/>
        </w:rPr>
      </w:pPr>
      <w:r>
        <w:rPr>
          <w:rFonts w:ascii="Times New Roman" w:hAnsi="Times New Roman" w:eastAsia="Times New Roman" w:cs="Times New Roman"/>
          <w:position w:val="-1"/>
          <w:sz w:val="23"/>
          <w:szCs w:val="23"/>
        </w:rPr>
        <w:t>N</w:t>
      </w:r>
      <w:r>
        <w:rPr>
          <w:rFonts w:ascii="Times New Roman" w:hAnsi="Times New Roman" w:eastAsia="Times New Roman" w:cs="Times New Roman"/>
          <w:position w:val="-1"/>
          <w:sz w:val="13"/>
          <w:szCs w:val="13"/>
        </w:rPr>
        <w:t>ar</w:t>
      </w:r>
      <w:r>
        <w:rPr>
          <w:rFonts w:ascii="Times New Roman" w:hAnsi="Times New Roman" w:eastAsia="Times New Roman" w:cs="Times New Roman"/>
          <w:spacing w:val="12"/>
          <w:position w:val="-1"/>
          <w:sz w:val="13"/>
          <w:szCs w:val="13"/>
        </w:rPr>
        <w:t xml:space="preserve"> </w:t>
      </w:r>
      <w:r>
        <w:rPr>
          <w:rFonts w:ascii="Times New Roman" w:hAnsi="Times New Roman" w:eastAsia="Times New Roman" w:cs="Times New Roman"/>
          <w:spacing w:val="11"/>
          <w:position w:val="-1"/>
          <w:sz w:val="13"/>
          <w:szCs w:val="13"/>
        </w:rPr>
        <w:t xml:space="preserve"> </w:t>
      </w:r>
      <w:r>
        <w:rPr>
          <w:rFonts w:ascii="Times New Roman" w:hAnsi="Times New Roman" w:eastAsia="Times New Roman" w:cs="Times New Roman"/>
          <w:spacing w:val="6"/>
          <w:position w:val="4"/>
          <w:sz w:val="23"/>
          <w:szCs w:val="23"/>
        </w:rPr>
        <w:t xml:space="preserve">— </w:t>
      </w:r>
      <w:r>
        <w:rPr>
          <w:rFonts w:ascii="宋体" w:hAnsi="宋体" w:eastAsia="宋体" w:cs="宋体"/>
          <w:spacing w:val="6"/>
          <w:position w:val="4"/>
          <w:sz w:val="23"/>
          <w:szCs w:val="23"/>
        </w:rPr>
        <w:t>收到基氮的质量分数，</w:t>
      </w:r>
      <w:r>
        <w:rPr>
          <w:rFonts w:ascii="Times New Roman" w:hAnsi="Times New Roman" w:eastAsia="Times New Roman" w:cs="Times New Roman"/>
          <w:spacing w:val="6"/>
          <w:position w:val="4"/>
          <w:sz w:val="23"/>
          <w:szCs w:val="23"/>
        </w:rPr>
        <w:t>%</w:t>
      </w:r>
      <w:r>
        <w:rPr>
          <w:rFonts w:ascii="宋体" w:hAnsi="宋体" w:eastAsia="宋体" w:cs="宋体"/>
          <w:spacing w:val="6"/>
          <w:position w:val="4"/>
          <w:sz w:val="23"/>
          <w:szCs w:val="23"/>
        </w:rPr>
        <w:t>；</w:t>
      </w:r>
    </w:p>
    <w:p w14:paraId="4FCEB528">
      <w:pPr>
        <w:spacing w:before="109" w:line="323" w:lineRule="exact"/>
        <w:ind w:left="1430"/>
        <w:rPr>
          <w:rFonts w:ascii="宋体" w:hAnsi="宋体" w:eastAsia="宋体" w:cs="宋体"/>
          <w:sz w:val="23"/>
          <w:szCs w:val="23"/>
        </w:rPr>
      </w:pPr>
      <w:r>
        <w:rPr>
          <w:rFonts w:ascii="Times New Roman" w:hAnsi="Times New Roman" w:eastAsia="Times New Roman" w:cs="Times New Roman"/>
          <w:position w:val="3"/>
          <w:sz w:val="23"/>
          <w:szCs w:val="23"/>
        </w:rPr>
        <w:t>V</w:t>
      </w:r>
      <w:r>
        <w:rPr>
          <w:rFonts w:ascii="Times New Roman" w:hAnsi="Times New Roman" w:eastAsia="Times New Roman" w:cs="Times New Roman"/>
          <w:spacing w:val="12"/>
          <w:position w:val="2"/>
          <w:sz w:val="15"/>
          <w:szCs w:val="15"/>
        </w:rPr>
        <w:t>0</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理论空气量，</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9"/>
          <w:position w:val="11"/>
          <w:sz w:val="15"/>
          <w:szCs w:val="15"/>
        </w:rPr>
        <w:t>3</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9"/>
          <w:position w:val="3"/>
          <w:sz w:val="23"/>
          <w:szCs w:val="23"/>
        </w:rPr>
        <w:t>；</w:t>
      </w:r>
    </w:p>
    <w:p w14:paraId="7037E21F">
      <w:pPr>
        <w:spacing w:before="157" w:line="322" w:lineRule="exact"/>
        <w:ind w:left="1430"/>
        <w:rPr>
          <w:rFonts w:ascii="宋体" w:hAnsi="宋体" w:eastAsia="宋体" w:cs="宋体"/>
          <w:sz w:val="23"/>
          <w:szCs w:val="23"/>
        </w:rPr>
      </w:pPr>
      <w:r>
        <w:rPr>
          <w:rFonts w:ascii="Times New Roman" w:hAnsi="Times New Roman" w:eastAsia="Times New Roman" w:cs="Times New Roman"/>
          <w:position w:val="3"/>
          <w:sz w:val="23"/>
          <w:szCs w:val="23"/>
        </w:rPr>
        <w:t>Vg</w:t>
      </w:r>
      <w:r>
        <w:rPr>
          <w:rFonts w:ascii="Times New Roman" w:hAnsi="Times New Roman" w:eastAsia="Times New Roman" w:cs="Times New Roman"/>
          <w:spacing w:val="12"/>
          <w:position w:val="3"/>
          <w:sz w:val="23"/>
          <w:szCs w:val="23"/>
        </w:rPr>
        <w:t>—</w:t>
      </w:r>
      <w:r>
        <w:rPr>
          <w:rFonts w:ascii="宋体" w:hAnsi="宋体" w:eastAsia="宋体" w:cs="宋体"/>
          <w:spacing w:val="10"/>
          <w:position w:val="3"/>
          <w:sz w:val="23"/>
          <w:szCs w:val="23"/>
        </w:rPr>
        <w:t>干烟气排放量，</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10"/>
          <w:position w:val="11"/>
          <w:sz w:val="15"/>
          <w:szCs w:val="15"/>
        </w:rPr>
        <w:t>3</w:t>
      </w:r>
      <w:r>
        <w:rPr>
          <w:rFonts w:ascii="Times New Roman" w:hAnsi="Times New Roman" w:eastAsia="Times New Roman" w:cs="Times New Roman"/>
          <w:spacing w:val="10"/>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10"/>
          <w:position w:val="3"/>
          <w:sz w:val="23"/>
          <w:szCs w:val="23"/>
        </w:rPr>
        <w:t>；</w:t>
      </w:r>
    </w:p>
    <w:p w14:paraId="0B449E11">
      <w:pPr>
        <w:spacing w:before="201" w:line="385" w:lineRule="auto"/>
        <w:ind w:left="143" w:right="107" w:firstLine="1294"/>
        <w:rPr>
          <w:rFonts w:ascii="宋体" w:hAnsi="宋体" w:eastAsia="宋体" w:cs="宋体"/>
          <w:sz w:val="23"/>
          <w:szCs w:val="23"/>
        </w:rPr>
      </w:pPr>
      <w:r>
        <w:rPr>
          <w:rFonts w:ascii="Times New Roman" w:hAnsi="Times New Roman" w:eastAsia="Times New Roman" w:cs="Times New Roman"/>
          <w:spacing w:val="11"/>
          <w:sz w:val="23"/>
          <w:szCs w:val="23"/>
        </w:rPr>
        <w:t>α</w:t>
      </w:r>
      <w:r>
        <w:rPr>
          <w:rFonts w:ascii="Times New Roman" w:hAnsi="Times New Roman" w:eastAsia="Times New Roman" w:cs="Times New Roman"/>
          <w:spacing w:val="6"/>
          <w:sz w:val="23"/>
          <w:szCs w:val="23"/>
        </w:rPr>
        <w:t>—</w:t>
      </w:r>
      <w:r>
        <w:rPr>
          <w:rFonts w:ascii="宋体" w:hAnsi="宋体" w:eastAsia="宋体" w:cs="宋体"/>
          <w:spacing w:val="6"/>
          <w:sz w:val="23"/>
          <w:szCs w:val="23"/>
        </w:rPr>
        <w:t>过量空气系数，燃料燃烧时实际空气供给量与理论空气需要量之</w:t>
      </w:r>
      <w:r>
        <w:rPr>
          <w:rFonts w:ascii="宋体" w:hAnsi="宋体" w:eastAsia="宋体" w:cs="宋体"/>
          <w:sz w:val="23"/>
          <w:szCs w:val="23"/>
        </w:rPr>
        <w:t xml:space="preserve"> </w:t>
      </w:r>
      <w:r>
        <w:rPr>
          <w:rFonts w:ascii="宋体" w:hAnsi="宋体" w:eastAsia="宋体" w:cs="宋体"/>
          <w:spacing w:val="12"/>
          <w:sz w:val="23"/>
          <w:szCs w:val="23"/>
        </w:rPr>
        <w:t>比值，燃</w:t>
      </w:r>
      <w:r>
        <w:rPr>
          <w:rFonts w:ascii="宋体" w:hAnsi="宋体" w:eastAsia="宋体" w:cs="宋体"/>
          <w:spacing w:val="7"/>
          <w:sz w:val="23"/>
          <w:szCs w:val="23"/>
        </w:rPr>
        <w:t>煤</w:t>
      </w:r>
      <w:r>
        <w:rPr>
          <w:rFonts w:ascii="宋体" w:hAnsi="宋体" w:eastAsia="宋体" w:cs="宋体"/>
          <w:spacing w:val="6"/>
          <w:sz w:val="23"/>
          <w:szCs w:val="23"/>
        </w:rPr>
        <w:t xml:space="preserve">锅炉、燃油锅炉及燃气锅炉的规定过量空气系数分别为 </w:t>
      </w:r>
      <w:r>
        <w:rPr>
          <w:rFonts w:ascii="Times New Roman" w:hAnsi="Times New Roman" w:eastAsia="Times New Roman" w:cs="Times New Roman"/>
          <w:spacing w:val="6"/>
          <w:sz w:val="23"/>
          <w:szCs w:val="23"/>
        </w:rPr>
        <w:t xml:space="preserve">1.75 </w:t>
      </w:r>
      <w:r>
        <w:rPr>
          <w:rFonts w:ascii="宋体" w:hAnsi="宋体" w:eastAsia="宋体" w:cs="宋体"/>
          <w:spacing w:val="6"/>
          <w:sz w:val="23"/>
          <w:szCs w:val="23"/>
        </w:rPr>
        <w:t>、</w:t>
      </w:r>
      <w:r>
        <w:rPr>
          <w:rFonts w:ascii="Times New Roman" w:hAnsi="Times New Roman" w:eastAsia="Times New Roman" w:cs="Times New Roman"/>
          <w:spacing w:val="6"/>
          <w:sz w:val="23"/>
          <w:szCs w:val="23"/>
        </w:rPr>
        <w:t>1.2</w:t>
      </w:r>
      <w:r>
        <w:rPr>
          <w:rFonts w:ascii="宋体" w:hAnsi="宋体" w:eastAsia="宋体" w:cs="宋体"/>
          <w:spacing w:val="6"/>
          <w:sz w:val="23"/>
          <w:szCs w:val="23"/>
        </w:rPr>
        <w:t>，</w:t>
      </w:r>
    </w:p>
    <w:p w14:paraId="6FD67493">
      <w:pPr>
        <w:spacing w:line="227" w:lineRule="auto"/>
        <w:ind w:left="122"/>
        <w:rPr>
          <w:rFonts w:ascii="宋体" w:hAnsi="宋体" w:eastAsia="宋体" w:cs="宋体"/>
          <w:sz w:val="23"/>
          <w:szCs w:val="23"/>
        </w:rPr>
      </w:pPr>
      <w:r>
        <w:rPr>
          <w:rFonts w:ascii="宋体" w:hAnsi="宋体" w:eastAsia="宋体" w:cs="宋体"/>
          <w:spacing w:val="6"/>
          <w:sz w:val="23"/>
          <w:szCs w:val="23"/>
        </w:rPr>
        <w:t>则该</w:t>
      </w:r>
      <w:r>
        <w:rPr>
          <w:rFonts w:ascii="宋体" w:hAnsi="宋体" w:eastAsia="宋体" w:cs="宋体"/>
          <w:spacing w:val="4"/>
          <w:sz w:val="23"/>
          <w:szCs w:val="23"/>
        </w:rPr>
        <w:t>项</w:t>
      </w:r>
      <w:r>
        <w:rPr>
          <w:rFonts w:ascii="宋体" w:hAnsi="宋体" w:eastAsia="宋体" w:cs="宋体"/>
          <w:spacing w:val="3"/>
          <w:sz w:val="23"/>
          <w:szCs w:val="23"/>
        </w:rPr>
        <w:t xml:space="preserve">目过量空气系数取 </w:t>
      </w:r>
      <w:r>
        <w:rPr>
          <w:rFonts w:ascii="Times New Roman" w:hAnsi="Times New Roman" w:eastAsia="Times New Roman" w:cs="Times New Roman"/>
          <w:spacing w:val="3"/>
          <w:sz w:val="23"/>
          <w:szCs w:val="23"/>
        </w:rPr>
        <w:t>1.75</w:t>
      </w:r>
      <w:r>
        <w:rPr>
          <w:rFonts w:ascii="宋体" w:hAnsi="宋体" w:eastAsia="宋体" w:cs="宋体"/>
          <w:spacing w:val="3"/>
          <w:sz w:val="23"/>
          <w:szCs w:val="23"/>
        </w:rPr>
        <w:t>。</w:t>
      </w:r>
    </w:p>
    <w:p w14:paraId="035397E7">
      <w:pPr>
        <w:spacing w:before="154" w:line="480" w:lineRule="exact"/>
        <w:ind w:left="1310"/>
        <w:rPr>
          <w:rFonts w:ascii="宋体" w:hAnsi="宋体" w:eastAsia="宋体" w:cs="宋体"/>
          <w:sz w:val="23"/>
          <w:szCs w:val="23"/>
        </w:rPr>
      </w:pPr>
      <w:r>
        <w:rPr>
          <w:rFonts w:ascii="Times New Roman" w:hAnsi="Times New Roman" w:eastAsia="Times New Roman" w:cs="Times New Roman"/>
          <w:position w:val="15"/>
          <w:sz w:val="23"/>
          <w:szCs w:val="23"/>
        </w:rPr>
        <w:t>V</w:t>
      </w:r>
      <w:r>
        <w:rPr>
          <w:rFonts w:ascii="Times New Roman" w:hAnsi="Times New Roman" w:eastAsia="Times New Roman" w:cs="Times New Roman"/>
          <w:position w:val="14"/>
          <w:sz w:val="15"/>
          <w:szCs w:val="15"/>
        </w:rPr>
        <w:t>H</w:t>
      </w:r>
      <w:r>
        <w:rPr>
          <w:rFonts w:ascii="Times New Roman" w:hAnsi="Times New Roman" w:eastAsia="Times New Roman" w:cs="Times New Roman"/>
          <w:spacing w:val="9"/>
          <w:position w:val="14"/>
          <w:sz w:val="15"/>
          <w:szCs w:val="15"/>
        </w:rPr>
        <w:t>20</w:t>
      </w:r>
      <w:r>
        <w:rPr>
          <w:rFonts w:ascii="Times New Roman" w:hAnsi="Times New Roman" w:eastAsia="Times New Roman" w:cs="Times New Roman"/>
          <w:spacing w:val="9"/>
          <w:position w:val="15"/>
          <w:sz w:val="23"/>
          <w:szCs w:val="23"/>
        </w:rPr>
        <w:t>—</w:t>
      </w:r>
      <w:r>
        <w:rPr>
          <w:rFonts w:ascii="宋体" w:hAnsi="宋体" w:eastAsia="宋体" w:cs="宋体"/>
          <w:spacing w:val="9"/>
          <w:position w:val="15"/>
          <w:sz w:val="23"/>
          <w:szCs w:val="23"/>
        </w:rPr>
        <w:t>烟气中水蒸气量，</w:t>
      </w:r>
      <w:r>
        <w:rPr>
          <w:rFonts w:ascii="Times New Roman" w:hAnsi="Times New Roman" w:eastAsia="Times New Roman" w:cs="Times New Roman"/>
          <w:position w:val="15"/>
          <w:sz w:val="23"/>
          <w:szCs w:val="23"/>
        </w:rPr>
        <w:t>m</w:t>
      </w:r>
      <w:r>
        <w:rPr>
          <w:rFonts w:ascii="Times New Roman" w:hAnsi="Times New Roman" w:eastAsia="Times New Roman" w:cs="Times New Roman"/>
          <w:spacing w:val="9"/>
          <w:position w:val="23"/>
          <w:sz w:val="15"/>
          <w:szCs w:val="15"/>
        </w:rPr>
        <w:t>3</w:t>
      </w:r>
      <w:r>
        <w:rPr>
          <w:rFonts w:ascii="Times New Roman" w:hAnsi="Times New Roman" w:eastAsia="Times New Roman" w:cs="Times New Roman"/>
          <w:spacing w:val="9"/>
          <w:position w:val="15"/>
          <w:sz w:val="23"/>
          <w:szCs w:val="23"/>
        </w:rPr>
        <w:t>/</w:t>
      </w:r>
      <w:r>
        <w:rPr>
          <w:rFonts w:ascii="Times New Roman" w:hAnsi="Times New Roman" w:eastAsia="Times New Roman" w:cs="Times New Roman"/>
          <w:position w:val="15"/>
          <w:sz w:val="23"/>
          <w:szCs w:val="23"/>
        </w:rPr>
        <w:t>kg</w:t>
      </w:r>
      <w:r>
        <w:rPr>
          <w:rFonts w:ascii="宋体" w:hAnsi="宋体" w:eastAsia="宋体" w:cs="宋体"/>
          <w:spacing w:val="8"/>
          <w:position w:val="15"/>
          <w:sz w:val="23"/>
          <w:szCs w:val="23"/>
        </w:rPr>
        <w:t>；</w:t>
      </w:r>
    </w:p>
    <w:p w14:paraId="2B5DB451">
      <w:pPr>
        <w:spacing w:line="323" w:lineRule="exact"/>
        <w:ind w:left="1312"/>
        <w:rPr>
          <w:rFonts w:ascii="宋体" w:hAnsi="宋体" w:eastAsia="宋体" w:cs="宋体"/>
          <w:sz w:val="23"/>
          <w:szCs w:val="23"/>
        </w:rPr>
      </w:pPr>
      <w:r>
        <w:rPr>
          <w:rFonts w:ascii="Times New Roman" w:hAnsi="Times New Roman" w:eastAsia="Times New Roman" w:cs="Times New Roman"/>
          <w:position w:val="1"/>
          <w:sz w:val="23"/>
          <w:szCs w:val="23"/>
        </w:rPr>
        <w:t>H</w:t>
      </w:r>
      <w:r>
        <w:rPr>
          <w:rFonts w:ascii="Times New Roman" w:hAnsi="Times New Roman" w:eastAsia="Times New Roman" w:cs="Times New Roman"/>
          <w:sz w:val="15"/>
          <w:szCs w:val="15"/>
        </w:rPr>
        <w:t>ar</w:t>
      </w:r>
      <w:r>
        <w:rPr>
          <w:rFonts w:ascii="Times New Roman" w:hAnsi="Times New Roman" w:eastAsia="Times New Roman" w:cs="Times New Roman"/>
          <w:spacing w:val="8"/>
          <w:position w:val="1"/>
          <w:sz w:val="23"/>
          <w:szCs w:val="23"/>
        </w:rPr>
        <w:t xml:space="preserve">— </w:t>
      </w:r>
      <w:r>
        <w:rPr>
          <w:rFonts w:ascii="宋体" w:hAnsi="宋体" w:eastAsia="宋体" w:cs="宋体"/>
          <w:spacing w:val="6"/>
          <w:position w:val="1"/>
          <w:sz w:val="23"/>
          <w:szCs w:val="23"/>
        </w:rPr>
        <w:t>收</w:t>
      </w:r>
      <w:r>
        <w:rPr>
          <w:rFonts w:ascii="宋体" w:hAnsi="宋体" w:eastAsia="宋体" w:cs="宋体"/>
          <w:spacing w:val="4"/>
          <w:position w:val="1"/>
          <w:sz w:val="23"/>
          <w:szCs w:val="23"/>
        </w:rPr>
        <w:t>到基氢的质量分数，</w:t>
      </w:r>
      <w:r>
        <w:rPr>
          <w:rFonts w:ascii="Times New Roman" w:hAnsi="Times New Roman" w:eastAsia="Times New Roman" w:cs="Times New Roman"/>
          <w:spacing w:val="4"/>
          <w:position w:val="1"/>
          <w:sz w:val="23"/>
          <w:szCs w:val="23"/>
        </w:rPr>
        <w:t>%</w:t>
      </w:r>
      <w:r>
        <w:rPr>
          <w:rFonts w:ascii="宋体" w:hAnsi="宋体" w:eastAsia="宋体" w:cs="宋体"/>
          <w:spacing w:val="4"/>
          <w:position w:val="1"/>
          <w:sz w:val="23"/>
          <w:szCs w:val="23"/>
        </w:rPr>
        <w:t>；</w:t>
      </w:r>
    </w:p>
    <w:p w14:paraId="451D494F">
      <w:pPr>
        <w:spacing w:before="157" w:line="323" w:lineRule="exact"/>
        <w:ind w:left="1312"/>
        <w:rPr>
          <w:rFonts w:ascii="宋体" w:hAnsi="宋体" w:eastAsia="宋体" w:cs="宋体"/>
          <w:sz w:val="23"/>
          <w:szCs w:val="23"/>
        </w:rPr>
      </w:pPr>
      <w:r>
        <w:rPr>
          <w:rFonts w:ascii="Times New Roman" w:hAnsi="Times New Roman" w:eastAsia="Times New Roman" w:cs="Times New Roman"/>
          <w:position w:val="1"/>
          <w:sz w:val="23"/>
          <w:szCs w:val="23"/>
        </w:rPr>
        <w:t>M</w:t>
      </w:r>
      <w:r>
        <w:rPr>
          <w:rFonts w:ascii="Times New Roman" w:hAnsi="Times New Roman" w:eastAsia="Times New Roman" w:cs="Times New Roman"/>
          <w:sz w:val="15"/>
          <w:szCs w:val="15"/>
        </w:rPr>
        <w:t>ar</w:t>
      </w:r>
      <w:r>
        <w:rPr>
          <w:rFonts w:ascii="Times New Roman" w:hAnsi="Times New Roman" w:eastAsia="Times New Roman" w:cs="Times New Roman"/>
          <w:spacing w:val="9"/>
          <w:position w:val="1"/>
          <w:sz w:val="23"/>
          <w:szCs w:val="23"/>
        </w:rPr>
        <w:t>—</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收到基水分的质量分数，</w:t>
      </w:r>
      <w:r>
        <w:rPr>
          <w:rFonts w:ascii="Times New Roman" w:hAnsi="Times New Roman" w:eastAsia="Times New Roman" w:cs="Times New Roman"/>
          <w:spacing w:val="5"/>
          <w:position w:val="1"/>
          <w:sz w:val="23"/>
          <w:szCs w:val="23"/>
        </w:rPr>
        <w:t>%</w:t>
      </w:r>
      <w:r>
        <w:rPr>
          <w:rFonts w:ascii="宋体" w:hAnsi="宋体" w:eastAsia="宋体" w:cs="宋体"/>
          <w:spacing w:val="5"/>
          <w:position w:val="1"/>
          <w:sz w:val="23"/>
          <w:szCs w:val="23"/>
        </w:rPr>
        <w:t>；</w:t>
      </w:r>
    </w:p>
    <w:p w14:paraId="07A9BE99">
      <w:pPr>
        <w:spacing w:before="157" w:line="480" w:lineRule="exact"/>
        <w:ind w:left="1316"/>
        <w:rPr>
          <w:rFonts w:ascii="宋体" w:hAnsi="宋体" w:eastAsia="宋体" w:cs="宋体"/>
          <w:sz w:val="23"/>
          <w:szCs w:val="23"/>
        </w:rPr>
      </w:pPr>
      <w:r>
        <w:rPr>
          <w:rFonts w:ascii="Times New Roman" w:hAnsi="Times New Roman" w:eastAsia="Times New Roman" w:cs="Times New Roman"/>
          <w:position w:val="15"/>
          <w:sz w:val="23"/>
          <w:szCs w:val="23"/>
        </w:rPr>
        <w:t>G</w:t>
      </w:r>
      <w:r>
        <w:rPr>
          <w:rFonts w:ascii="Times New Roman" w:hAnsi="Times New Roman" w:eastAsia="Times New Roman" w:cs="Times New Roman"/>
          <w:position w:val="14"/>
          <w:sz w:val="15"/>
          <w:szCs w:val="15"/>
        </w:rPr>
        <w:t>wh</w:t>
      </w:r>
      <w:r>
        <w:rPr>
          <w:rFonts w:ascii="Times New Roman" w:hAnsi="Times New Roman" w:eastAsia="Times New Roman" w:cs="Times New Roman"/>
          <w:spacing w:val="15"/>
          <w:position w:val="15"/>
          <w:sz w:val="23"/>
          <w:szCs w:val="23"/>
        </w:rPr>
        <w:t>—</w:t>
      </w:r>
      <w:r>
        <w:rPr>
          <w:rFonts w:ascii="宋体" w:hAnsi="宋体" w:eastAsia="宋体" w:cs="宋体"/>
          <w:spacing w:val="10"/>
          <w:position w:val="15"/>
          <w:sz w:val="23"/>
          <w:szCs w:val="23"/>
        </w:rPr>
        <w:t>雾化燃油时消耗的蒸汽量，</w:t>
      </w:r>
      <w:r>
        <w:rPr>
          <w:rFonts w:ascii="Times New Roman" w:hAnsi="Times New Roman" w:eastAsia="Times New Roman" w:cs="Times New Roman"/>
          <w:position w:val="15"/>
          <w:sz w:val="23"/>
          <w:szCs w:val="23"/>
        </w:rPr>
        <w:t>kg</w:t>
      </w:r>
      <w:r>
        <w:rPr>
          <w:rFonts w:ascii="Times New Roman" w:hAnsi="Times New Roman" w:eastAsia="Times New Roman" w:cs="Times New Roman"/>
          <w:spacing w:val="10"/>
          <w:position w:val="15"/>
          <w:sz w:val="23"/>
          <w:szCs w:val="23"/>
        </w:rPr>
        <w:t>/</w:t>
      </w:r>
      <w:r>
        <w:rPr>
          <w:rFonts w:ascii="Times New Roman" w:hAnsi="Times New Roman" w:eastAsia="Times New Roman" w:cs="Times New Roman"/>
          <w:position w:val="15"/>
          <w:sz w:val="23"/>
          <w:szCs w:val="23"/>
        </w:rPr>
        <w:t>kg</w:t>
      </w:r>
      <w:r>
        <w:rPr>
          <w:rFonts w:ascii="宋体" w:hAnsi="宋体" w:eastAsia="宋体" w:cs="宋体"/>
          <w:spacing w:val="10"/>
          <w:position w:val="15"/>
          <w:sz w:val="23"/>
          <w:szCs w:val="23"/>
        </w:rPr>
        <w:t>；</w:t>
      </w:r>
    </w:p>
    <w:p w14:paraId="6281C63D">
      <w:pPr>
        <w:spacing w:line="323" w:lineRule="exact"/>
        <w:ind w:left="1310"/>
        <w:rPr>
          <w:rFonts w:ascii="宋体" w:hAnsi="宋体" w:eastAsia="宋体" w:cs="宋体"/>
          <w:sz w:val="23"/>
          <w:szCs w:val="23"/>
        </w:rPr>
      </w:pPr>
      <w:r>
        <w:rPr>
          <w:rFonts w:ascii="Times New Roman" w:hAnsi="Times New Roman" w:eastAsia="Times New Roman" w:cs="Times New Roman"/>
          <w:position w:val="3"/>
          <w:sz w:val="23"/>
          <w:szCs w:val="23"/>
        </w:rPr>
        <w:t>Vs</w:t>
      </w:r>
      <w:r>
        <w:rPr>
          <w:rFonts w:ascii="Times New Roman" w:hAnsi="Times New Roman" w:eastAsia="Times New Roman" w:cs="Times New Roman"/>
          <w:spacing w:val="12"/>
          <w:position w:val="3"/>
          <w:sz w:val="23"/>
          <w:szCs w:val="23"/>
        </w:rPr>
        <w:t>—</w:t>
      </w:r>
      <w:r>
        <w:rPr>
          <w:rFonts w:ascii="宋体" w:hAnsi="宋体" w:eastAsia="宋体" w:cs="宋体"/>
          <w:spacing w:val="10"/>
          <w:position w:val="3"/>
          <w:sz w:val="23"/>
          <w:szCs w:val="23"/>
        </w:rPr>
        <w:t>湿烟气排放量，</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10"/>
          <w:position w:val="11"/>
          <w:sz w:val="15"/>
          <w:szCs w:val="15"/>
        </w:rPr>
        <w:t>3</w:t>
      </w:r>
      <w:r>
        <w:rPr>
          <w:rFonts w:ascii="Times New Roman" w:hAnsi="Times New Roman" w:eastAsia="Times New Roman" w:cs="Times New Roman"/>
          <w:spacing w:val="10"/>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10"/>
          <w:position w:val="3"/>
          <w:sz w:val="23"/>
          <w:szCs w:val="23"/>
        </w:rPr>
        <w:t>。</w:t>
      </w:r>
    </w:p>
    <w:p w14:paraId="75B47F20">
      <w:pPr>
        <w:spacing w:before="313" w:line="398" w:lineRule="auto"/>
        <w:ind w:left="118" w:right="102" w:firstLine="480"/>
        <w:rPr>
          <w:rFonts w:ascii="宋体" w:hAnsi="宋体" w:eastAsia="宋体" w:cs="宋体"/>
          <w:sz w:val="23"/>
          <w:szCs w:val="23"/>
        </w:rPr>
      </w:pPr>
      <w:r>
        <w:rPr>
          <w:rFonts w:ascii="宋体" w:hAnsi="宋体" w:eastAsia="宋体" w:cs="宋体"/>
          <w:spacing w:val="2"/>
          <w:sz w:val="23"/>
          <w:szCs w:val="23"/>
        </w:rPr>
        <w:t xml:space="preserve">经计算得出该项目产生的烟气量为 </w:t>
      </w:r>
      <w:r>
        <w:rPr>
          <w:rFonts w:ascii="Times New Roman" w:hAnsi="Times New Roman" w:eastAsia="Times New Roman" w:cs="Times New Roman"/>
          <w:spacing w:val="2"/>
          <w:sz w:val="23"/>
          <w:szCs w:val="23"/>
        </w:rPr>
        <w:t>8.96</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(燃料) 。该</w:t>
      </w:r>
      <w:r>
        <w:rPr>
          <w:rFonts w:ascii="宋体" w:hAnsi="宋体" w:eastAsia="宋体" w:cs="宋体"/>
          <w:spacing w:val="1"/>
          <w:sz w:val="23"/>
          <w:szCs w:val="23"/>
        </w:rPr>
        <w:t xml:space="preserve">项目设有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台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 xml:space="preserve">h </w:t>
      </w:r>
      <w:r>
        <w:rPr>
          <w:rFonts w:ascii="宋体" w:hAnsi="宋体" w:eastAsia="宋体" w:cs="宋体"/>
          <w:spacing w:val="6"/>
          <w:sz w:val="23"/>
          <w:szCs w:val="23"/>
        </w:rPr>
        <w:t>的</w:t>
      </w:r>
      <w:r>
        <w:rPr>
          <w:rFonts w:ascii="宋体" w:hAnsi="宋体" w:eastAsia="宋体" w:cs="宋体"/>
          <w:spacing w:val="4"/>
          <w:sz w:val="23"/>
          <w:szCs w:val="23"/>
        </w:rPr>
        <w:t xml:space="preserve">热风炉，消耗生物质燃料约 </w:t>
      </w:r>
      <w:r>
        <w:rPr>
          <w:rFonts w:ascii="Times New Roman" w:hAnsi="Times New Roman" w:eastAsia="Times New Roman" w:cs="Times New Roman"/>
          <w:spacing w:val="4"/>
          <w:sz w:val="23"/>
          <w:szCs w:val="23"/>
        </w:rPr>
        <w:t>674. 1</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。经计算，本项目热风炉产生的废气量为</w:t>
      </w:r>
      <w:r>
        <w:rPr>
          <w:rFonts w:ascii="宋体" w:hAnsi="宋体" w:eastAsia="宋体" w:cs="宋体"/>
          <w:sz w:val="23"/>
          <w:szCs w:val="23"/>
        </w:rPr>
        <w:t xml:space="preserve"> </w:t>
      </w:r>
      <w:r>
        <w:rPr>
          <w:rFonts w:ascii="Times New Roman" w:hAnsi="Times New Roman" w:eastAsia="Times New Roman" w:cs="Times New Roman"/>
          <w:spacing w:val="4"/>
          <w:sz w:val="23"/>
          <w:szCs w:val="23"/>
        </w:rPr>
        <w:t>6.0×10</w:t>
      </w:r>
      <w:r>
        <w:rPr>
          <w:rFonts w:ascii="Times New Roman" w:hAnsi="Times New Roman" w:eastAsia="Times New Roman" w:cs="Times New Roman"/>
          <w:spacing w:val="4"/>
          <w:position w:val="7"/>
          <w:sz w:val="15"/>
          <w:szCs w:val="15"/>
        </w:rPr>
        <w:t>6</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p>
    <w:p w14:paraId="371D31AC">
      <w:pPr>
        <w:spacing w:before="152" w:line="393" w:lineRule="auto"/>
        <w:ind w:left="118" w:right="105" w:firstLine="479"/>
        <w:rPr>
          <w:rFonts w:ascii="宋体" w:hAnsi="宋体" w:eastAsia="宋体" w:cs="宋体"/>
          <w:sz w:val="23"/>
          <w:szCs w:val="23"/>
        </w:rPr>
      </w:pPr>
      <w:r>
        <w:rPr>
          <w:rFonts w:ascii="宋体" w:hAnsi="宋体" w:eastAsia="宋体" w:cs="宋体"/>
          <w:spacing w:val="2"/>
          <w:sz w:val="23"/>
          <w:szCs w:val="23"/>
        </w:rPr>
        <w:t>根据《污染源源强核算技术指南 锅炉》  (</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991-2018</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“9.2.</w:t>
      </w:r>
      <w:r>
        <w:rPr>
          <w:rFonts w:ascii="Times New Roman" w:hAnsi="Times New Roman" w:eastAsia="Times New Roman" w:cs="Times New Roman"/>
          <w:spacing w:val="1"/>
          <w:sz w:val="23"/>
          <w:szCs w:val="23"/>
        </w:rPr>
        <w:t xml:space="preserve"> 1.3 </w:t>
      </w:r>
      <w:r>
        <w:rPr>
          <w:rFonts w:ascii="宋体" w:hAnsi="宋体" w:eastAsia="宋体" w:cs="宋体"/>
          <w:spacing w:val="1"/>
          <w:sz w:val="23"/>
          <w:szCs w:val="23"/>
        </w:rPr>
        <w:t>产排污系数</w:t>
      </w:r>
      <w:r>
        <w:rPr>
          <w:rFonts w:ascii="宋体" w:hAnsi="宋体" w:eastAsia="宋体" w:cs="宋体"/>
          <w:sz w:val="23"/>
          <w:szCs w:val="23"/>
        </w:rPr>
        <w:t xml:space="preserve"> </w:t>
      </w:r>
      <w:r>
        <w:rPr>
          <w:rFonts w:ascii="宋体" w:hAnsi="宋体" w:eastAsia="宋体" w:cs="宋体"/>
          <w:spacing w:val="16"/>
          <w:sz w:val="23"/>
          <w:szCs w:val="23"/>
        </w:rPr>
        <w:t>法</w:t>
      </w:r>
      <w:r>
        <w:rPr>
          <w:rFonts w:ascii="Times New Roman" w:hAnsi="Times New Roman" w:eastAsia="Times New Roman" w:cs="Times New Roman"/>
          <w:spacing w:val="9"/>
          <w:sz w:val="23"/>
          <w:szCs w:val="23"/>
        </w:rPr>
        <w:t>”</w:t>
      </w:r>
      <w:r>
        <w:rPr>
          <w:rFonts w:ascii="宋体" w:hAnsi="宋体" w:eastAsia="宋体" w:cs="宋体"/>
          <w:spacing w:val="9"/>
          <w:sz w:val="23"/>
          <w:szCs w:val="23"/>
        </w:rPr>
        <w:t>核算热风炉颗粒物、二氧化硫、氮氧化物的实际排放量，计算公式如下：</w:t>
      </w:r>
    </w:p>
    <w:p w14:paraId="5402D9EC">
      <w:pPr>
        <w:spacing w:before="105" w:line="222" w:lineRule="auto"/>
        <w:ind w:left="3483"/>
        <w:rPr>
          <w:rFonts w:ascii="Times New Roman" w:hAnsi="Times New Roman" w:eastAsia="Times New Roman" w:cs="Times New Roman"/>
          <w:sz w:val="13"/>
          <w:szCs w:val="13"/>
        </w:rPr>
      </w:pPr>
      <w:r>
        <w:rPr>
          <w:rFonts w:ascii="Times New Roman" w:hAnsi="Times New Roman" w:eastAsia="Times New Roman" w:cs="Times New Roman"/>
          <w:sz w:val="23"/>
          <w:szCs w:val="23"/>
        </w:rPr>
        <w:t>E</w:t>
      </w:r>
      <w:r>
        <w:rPr>
          <w:rFonts w:ascii="Times New Roman" w:hAnsi="Times New Roman" w:eastAsia="Times New Roman" w:cs="Times New Roman"/>
          <w:sz w:val="13"/>
          <w:szCs w:val="13"/>
        </w:rPr>
        <w:t>j</w:t>
      </w:r>
      <w:r>
        <w:rPr>
          <w:rFonts w:ascii="Times New Roman" w:hAnsi="Times New Roman" w:eastAsia="Times New Roman" w:cs="Times New Roman"/>
          <w:spacing w:val="-1"/>
          <w:sz w:val="13"/>
          <w:szCs w:val="13"/>
        </w:rPr>
        <w:t xml:space="preserve"> </w:t>
      </w:r>
      <w:r>
        <w:rPr>
          <w:rFonts w:ascii="Symbol" w:hAnsi="Symbol" w:eastAsia="Symbol" w:cs="Symbol"/>
          <w:spacing w:val="-1"/>
          <w:sz w:val="23"/>
          <w:szCs w:val="23"/>
        </w:rPr>
        <w:t xml:space="preserve">= </w:t>
      </w:r>
      <w:r>
        <w:rPr>
          <w:rFonts w:ascii="Times New Roman" w:hAnsi="Times New Roman" w:eastAsia="Times New Roman" w:cs="Times New Roman"/>
          <w:sz w:val="23"/>
          <w:szCs w:val="23"/>
        </w:rPr>
        <w:t>R</w:t>
      </w:r>
      <w:r>
        <w:rPr>
          <w:rFonts w:ascii="Times New Roman" w:hAnsi="Times New Roman" w:eastAsia="Times New Roman" w:cs="Times New Roman"/>
          <w:spacing w:val="-1"/>
          <w:sz w:val="23"/>
          <w:szCs w:val="23"/>
        </w:rPr>
        <w:t xml:space="preserve"> </w:t>
      </w:r>
      <w:r>
        <w:rPr>
          <w:position w:val="-5"/>
          <w:sz w:val="23"/>
          <w:szCs w:val="23"/>
        </w:rPr>
        <w:drawing>
          <wp:inline distT="0" distB="0" distL="0" distR="0">
            <wp:extent cx="64770" cy="184785"/>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466"/>
                    <a:stretch>
                      <a:fillRect/>
                    </a:stretch>
                  </pic:blipFill>
                  <pic:spPr>
                    <a:xfrm>
                      <a:off x="0" y="0"/>
                      <a:ext cx="65158" cy="185045"/>
                    </a:xfrm>
                    <a:prstGeom prst="rect">
                      <a:avLst/>
                    </a:prstGeom>
                  </pic:spPr>
                </pic:pic>
              </a:graphicData>
            </a:graphic>
          </wp:inline>
        </w:drawing>
      </w:r>
      <w:r>
        <w:rPr>
          <w:rFonts w:ascii="宋体" w:hAnsi="宋体" w:eastAsia="宋体" w:cs="宋体"/>
          <w:spacing w:val="-1"/>
          <w:sz w:val="23"/>
          <w:szCs w:val="23"/>
        </w:rPr>
        <w:t>β</w:t>
      </w:r>
      <w:r>
        <w:rPr>
          <w:rFonts w:ascii="Times New Roman" w:hAnsi="Times New Roman" w:eastAsia="Times New Roman" w:cs="Times New Roman"/>
          <w:sz w:val="13"/>
          <w:szCs w:val="13"/>
        </w:rPr>
        <w:t>j</w:t>
      </w:r>
      <w:r>
        <w:rPr>
          <w:rFonts w:ascii="Times New Roman" w:hAnsi="Times New Roman" w:eastAsia="Times New Roman" w:cs="Times New Roman"/>
          <w:spacing w:val="-1"/>
          <w:sz w:val="13"/>
          <w:szCs w:val="13"/>
        </w:rPr>
        <w:t xml:space="preserve"> </w:t>
      </w:r>
      <w:r>
        <w:rPr>
          <w:position w:val="-5"/>
          <w:sz w:val="13"/>
          <w:szCs w:val="13"/>
        </w:rPr>
        <w:drawing>
          <wp:inline distT="0" distB="0" distL="0" distR="0">
            <wp:extent cx="64770" cy="1847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67"/>
                    <a:stretch>
                      <a:fillRect/>
                    </a:stretch>
                  </pic:blipFill>
                  <pic:spPr>
                    <a:xfrm>
                      <a:off x="0" y="0"/>
                      <a:ext cx="65158" cy="185045"/>
                    </a:xfrm>
                    <a:prstGeom prst="rect">
                      <a:avLst/>
                    </a:prstGeom>
                  </pic:spPr>
                </pic:pic>
              </a:graphicData>
            </a:graphic>
          </wp:inline>
        </w:drawing>
      </w:r>
      <w:r>
        <w:rPr>
          <w:rFonts w:ascii="Times New Roman" w:hAnsi="Times New Roman" w:eastAsia="Times New Roman" w:cs="Times New Roman"/>
          <w:sz w:val="13"/>
          <w:szCs w:val="13"/>
        </w:rPr>
        <w:t xml:space="preserve"> </w:t>
      </w:r>
      <w:r>
        <w:rPr>
          <w:rFonts w:ascii="Times New Roman" w:hAnsi="Times New Roman" w:eastAsia="Times New Roman" w:cs="Times New Roman"/>
          <w:sz w:val="23"/>
          <w:szCs w:val="23"/>
        </w:rPr>
        <w:t>10</w:t>
      </w:r>
      <w:r>
        <w:rPr>
          <w:rFonts w:ascii="微软雅黑" w:hAnsi="微软雅黑" w:eastAsia="微软雅黑" w:cs="微软雅黑"/>
          <w:position w:val="10"/>
          <w:sz w:val="13"/>
          <w:szCs w:val="13"/>
        </w:rPr>
        <w:t>一</w:t>
      </w:r>
      <w:r>
        <w:rPr>
          <w:rFonts w:ascii="Times New Roman" w:hAnsi="Times New Roman" w:eastAsia="Times New Roman" w:cs="Times New Roman"/>
          <w:position w:val="10"/>
          <w:sz w:val="13"/>
          <w:szCs w:val="13"/>
        </w:rPr>
        <w:t>3</w:t>
      </w:r>
    </w:p>
    <w:p w14:paraId="4F4290AD">
      <w:pPr>
        <w:rPr>
          <w:rFonts w:ascii="Arial"/>
          <w:sz w:val="21"/>
        </w:rPr>
      </w:pPr>
    </w:p>
    <w:p w14:paraId="78B654A4">
      <w:pPr>
        <w:spacing w:before="75" w:line="323" w:lineRule="exact"/>
        <w:ind w:left="602"/>
        <w:rPr>
          <w:rFonts w:ascii="宋体" w:hAnsi="宋体" w:eastAsia="宋体" w:cs="宋体"/>
          <w:sz w:val="23"/>
          <w:szCs w:val="23"/>
        </w:rPr>
      </w:pPr>
      <w:r>
        <w:rPr>
          <w:rFonts w:ascii="宋体" w:hAnsi="宋体" w:eastAsia="宋体" w:cs="宋体"/>
          <w:spacing w:val="21"/>
          <w:position w:val="3"/>
          <w:sz w:val="23"/>
          <w:szCs w:val="23"/>
        </w:rPr>
        <w:t>式</w:t>
      </w:r>
      <w:r>
        <w:rPr>
          <w:rFonts w:ascii="宋体" w:hAnsi="宋体" w:eastAsia="宋体" w:cs="宋体"/>
          <w:spacing w:val="11"/>
          <w:position w:val="3"/>
          <w:sz w:val="23"/>
          <w:szCs w:val="23"/>
        </w:rPr>
        <w:t>中：</w:t>
      </w:r>
      <w:r>
        <w:rPr>
          <w:rFonts w:ascii="Times New Roman" w:hAnsi="Times New Roman" w:eastAsia="Times New Roman" w:cs="Times New Roman"/>
          <w:position w:val="3"/>
          <w:sz w:val="23"/>
          <w:szCs w:val="23"/>
        </w:rPr>
        <w:t>E</w:t>
      </w:r>
      <w:r>
        <w:rPr>
          <w:rFonts w:ascii="Times New Roman" w:hAnsi="Times New Roman" w:eastAsia="Times New Roman" w:cs="Times New Roman"/>
          <w:position w:val="2"/>
          <w:sz w:val="15"/>
          <w:szCs w:val="15"/>
        </w:rPr>
        <w:t>j</w:t>
      </w:r>
      <w:r>
        <w:rPr>
          <w:rFonts w:ascii="Times New Roman" w:hAnsi="Times New Roman" w:eastAsia="Times New Roman" w:cs="Times New Roman"/>
          <w:spacing w:val="11"/>
          <w:position w:val="3"/>
          <w:sz w:val="23"/>
          <w:szCs w:val="23"/>
        </w:rPr>
        <w:t>-</w:t>
      </w:r>
      <w:r>
        <w:rPr>
          <w:rFonts w:ascii="宋体" w:hAnsi="宋体" w:eastAsia="宋体" w:cs="宋体"/>
          <w:spacing w:val="11"/>
          <w:position w:val="3"/>
          <w:sz w:val="23"/>
          <w:szCs w:val="23"/>
        </w:rPr>
        <w:t>核算时段内第</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11"/>
          <w:position w:val="3"/>
          <w:sz w:val="23"/>
          <w:szCs w:val="23"/>
        </w:rPr>
        <w:t xml:space="preserve"> </w:t>
      </w:r>
      <w:r>
        <w:rPr>
          <w:rFonts w:ascii="宋体" w:hAnsi="宋体" w:eastAsia="宋体" w:cs="宋体"/>
          <w:spacing w:val="11"/>
          <w:position w:val="3"/>
          <w:sz w:val="23"/>
          <w:szCs w:val="23"/>
        </w:rPr>
        <w:t>种污染物的排放量，</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11"/>
          <w:position w:val="3"/>
          <w:sz w:val="23"/>
          <w:szCs w:val="23"/>
        </w:rPr>
        <w:t>/</w:t>
      </w:r>
      <w:r>
        <w:rPr>
          <w:rFonts w:ascii="Times New Roman" w:hAnsi="Times New Roman" w:eastAsia="Times New Roman" w:cs="Times New Roman"/>
          <w:position w:val="3"/>
          <w:sz w:val="23"/>
          <w:szCs w:val="23"/>
        </w:rPr>
        <w:t>a</w:t>
      </w:r>
      <w:r>
        <w:rPr>
          <w:rFonts w:ascii="宋体" w:hAnsi="宋体" w:eastAsia="宋体" w:cs="宋体"/>
          <w:spacing w:val="11"/>
          <w:position w:val="3"/>
          <w:sz w:val="23"/>
          <w:szCs w:val="23"/>
        </w:rPr>
        <w:t>；</w:t>
      </w:r>
    </w:p>
    <w:p w14:paraId="30DFED26">
      <w:pPr>
        <w:spacing w:before="313" w:line="323" w:lineRule="exact"/>
        <w:ind w:left="1312"/>
        <w:rPr>
          <w:rFonts w:ascii="宋体" w:hAnsi="宋体" w:eastAsia="宋体" w:cs="宋体"/>
          <w:sz w:val="23"/>
          <w:szCs w:val="23"/>
        </w:rPr>
      </w:pPr>
      <w:r>
        <w:rPr>
          <w:rFonts w:ascii="Times New Roman" w:hAnsi="Times New Roman" w:eastAsia="Times New Roman" w:cs="Times New Roman"/>
          <w:position w:val="1"/>
          <w:sz w:val="23"/>
          <w:szCs w:val="23"/>
        </w:rPr>
        <w:t>R</w:t>
      </w:r>
      <w:r>
        <w:rPr>
          <w:rFonts w:ascii="Times New Roman" w:hAnsi="Times New Roman" w:eastAsia="Times New Roman" w:cs="Times New Roman"/>
          <w:spacing w:val="10"/>
          <w:position w:val="1"/>
          <w:sz w:val="23"/>
          <w:szCs w:val="23"/>
        </w:rPr>
        <w:t>-</w:t>
      </w:r>
      <w:r>
        <w:rPr>
          <w:rFonts w:ascii="宋体" w:hAnsi="宋体" w:eastAsia="宋体" w:cs="宋体"/>
          <w:spacing w:val="9"/>
          <w:position w:val="1"/>
          <w:sz w:val="23"/>
          <w:szCs w:val="23"/>
        </w:rPr>
        <w:t>核算时段内锅炉燃料耗量，</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9"/>
          <w:position w:val="1"/>
          <w:sz w:val="23"/>
          <w:szCs w:val="23"/>
        </w:rPr>
        <w:t>/</w:t>
      </w:r>
      <w:r>
        <w:rPr>
          <w:rFonts w:ascii="Times New Roman" w:hAnsi="Times New Roman" w:eastAsia="Times New Roman" w:cs="Times New Roman"/>
          <w:position w:val="1"/>
          <w:sz w:val="23"/>
          <w:szCs w:val="23"/>
        </w:rPr>
        <w:t>a</w:t>
      </w:r>
      <w:r>
        <w:rPr>
          <w:rFonts w:ascii="宋体" w:hAnsi="宋体" w:eastAsia="宋体" w:cs="宋体"/>
          <w:spacing w:val="9"/>
          <w:position w:val="1"/>
          <w:sz w:val="23"/>
          <w:szCs w:val="23"/>
        </w:rPr>
        <w:t>；</w:t>
      </w:r>
    </w:p>
    <w:p w14:paraId="04D80E56">
      <w:pPr>
        <w:spacing w:before="313" w:line="679" w:lineRule="exact"/>
        <w:ind w:left="1320"/>
        <w:rPr>
          <w:rFonts w:ascii="宋体" w:hAnsi="宋体" w:eastAsia="宋体" w:cs="宋体"/>
          <w:sz w:val="23"/>
          <w:szCs w:val="23"/>
        </w:rPr>
      </w:pPr>
      <w:r>
        <w:rPr>
          <w:rFonts w:ascii="Times New Roman" w:hAnsi="Times New Roman" w:eastAsia="Times New Roman" w:cs="Times New Roman"/>
          <w:spacing w:val="22"/>
          <w:position w:val="31"/>
          <w:sz w:val="23"/>
          <w:szCs w:val="23"/>
        </w:rPr>
        <w:t>β</w:t>
      </w:r>
      <w:r>
        <w:rPr>
          <w:rFonts w:ascii="Times New Roman" w:hAnsi="Times New Roman" w:eastAsia="Times New Roman" w:cs="Times New Roman"/>
          <w:position w:val="30"/>
          <w:sz w:val="15"/>
          <w:szCs w:val="15"/>
        </w:rPr>
        <w:t>j</w:t>
      </w:r>
      <w:r>
        <w:rPr>
          <w:rFonts w:ascii="Times New Roman" w:hAnsi="Times New Roman" w:eastAsia="Times New Roman" w:cs="Times New Roman"/>
          <w:spacing w:val="13"/>
          <w:position w:val="31"/>
          <w:sz w:val="23"/>
          <w:szCs w:val="23"/>
        </w:rPr>
        <w:t>-</w:t>
      </w:r>
      <w:r>
        <w:rPr>
          <w:rFonts w:ascii="宋体" w:hAnsi="宋体" w:eastAsia="宋体" w:cs="宋体"/>
          <w:spacing w:val="13"/>
          <w:position w:val="31"/>
          <w:sz w:val="23"/>
          <w:szCs w:val="23"/>
        </w:rPr>
        <w:t>第</w:t>
      </w:r>
      <w:r>
        <w:rPr>
          <w:rFonts w:ascii="Times New Roman" w:hAnsi="Times New Roman" w:eastAsia="Times New Roman" w:cs="Times New Roman"/>
          <w:position w:val="31"/>
          <w:sz w:val="23"/>
          <w:szCs w:val="23"/>
        </w:rPr>
        <w:t>j</w:t>
      </w:r>
      <w:r>
        <w:rPr>
          <w:rFonts w:ascii="Times New Roman" w:hAnsi="Times New Roman" w:eastAsia="Times New Roman" w:cs="Times New Roman"/>
          <w:spacing w:val="13"/>
          <w:position w:val="31"/>
          <w:sz w:val="23"/>
          <w:szCs w:val="23"/>
        </w:rPr>
        <w:t xml:space="preserve"> </w:t>
      </w:r>
      <w:r>
        <w:rPr>
          <w:rFonts w:ascii="宋体" w:hAnsi="宋体" w:eastAsia="宋体" w:cs="宋体"/>
          <w:spacing w:val="13"/>
          <w:position w:val="31"/>
          <w:sz w:val="23"/>
          <w:szCs w:val="23"/>
        </w:rPr>
        <w:t>种污染物产排污系数，</w:t>
      </w:r>
      <w:r>
        <w:rPr>
          <w:rFonts w:ascii="Times New Roman" w:hAnsi="Times New Roman" w:eastAsia="Times New Roman" w:cs="Times New Roman"/>
          <w:position w:val="31"/>
          <w:sz w:val="23"/>
          <w:szCs w:val="23"/>
        </w:rPr>
        <w:t>kg</w:t>
      </w:r>
      <w:r>
        <w:rPr>
          <w:rFonts w:ascii="Times New Roman" w:hAnsi="Times New Roman" w:eastAsia="Times New Roman" w:cs="Times New Roman"/>
          <w:spacing w:val="13"/>
          <w:position w:val="31"/>
          <w:sz w:val="23"/>
          <w:szCs w:val="23"/>
        </w:rPr>
        <w:t>/</w:t>
      </w:r>
      <w:r>
        <w:rPr>
          <w:rFonts w:ascii="Times New Roman" w:hAnsi="Times New Roman" w:eastAsia="Times New Roman" w:cs="Times New Roman"/>
          <w:position w:val="31"/>
          <w:sz w:val="23"/>
          <w:szCs w:val="23"/>
        </w:rPr>
        <w:t>t</w:t>
      </w:r>
      <w:r>
        <w:rPr>
          <w:rFonts w:ascii="Times New Roman" w:hAnsi="Times New Roman" w:eastAsia="Times New Roman" w:cs="Times New Roman"/>
          <w:spacing w:val="13"/>
          <w:position w:val="31"/>
          <w:sz w:val="23"/>
          <w:szCs w:val="23"/>
        </w:rPr>
        <w:t>-</w:t>
      </w:r>
      <w:r>
        <w:rPr>
          <w:rFonts w:ascii="宋体" w:hAnsi="宋体" w:eastAsia="宋体" w:cs="宋体"/>
          <w:spacing w:val="13"/>
          <w:position w:val="31"/>
          <w:sz w:val="23"/>
          <w:szCs w:val="23"/>
        </w:rPr>
        <w:t>燃料，取值参见附录</w:t>
      </w:r>
      <w:r>
        <w:rPr>
          <w:rFonts w:ascii="Times New Roman" w:hAnsi="Times New Roman" w:eastAsia="Times New Roman" w:cs="Times New Roman"/>
          <w:position w:val="31"/>
          <w:sz w:val="23"/>
          <w:szCs w:val="23"/>
        </w:rPr>
        <w:t>F</w:t>
      </w:r>
      <w:r>
        <w:rPr>
          <w:rFonts w:ascii="宋体" w:hAnsi="宋体" w:eastAsia="宋体" w:cs="宋体"/>
          <w:spacing w:val="13"/>
          <w:position w:val="31"/>
          <w:sz w:val="23"/>
          <w:szCs w:val="23"/>
        </w:rPr>
        <w:t>；</w:t>
      </w:r>
    </w:p>
    <w:p w14:paraId="73F6E434">
      <w:pPr>
        <w:spacing w:before="1" w:line="227" w:lineRule="auto"/>
        <w:ind w:left="597"/>
        <w:rPr>
          <w:rFonts w:ascii="宋体" w:hAnsi="宋体" w:eastAsia="宋体" w:cs="宋体"/>
          <w:sz w:val="23"/>
          <w:szCs w:val="23"/>
        </w:rPr>
      </w:pPr>
      <w:r>
        <w:rPr>
          <w:rFonts w:ascii="宋体" w:hAnsi="宋体" w:eastAsia="宋体" w:cs="宋体"/>
          <w:spacing w:val="-2"/>
          <w:sz w:val="23"/>
          <w:szCs w:val="23"/>
        </w:rPr>
        <w:t xml:space="preserve">产污系数情况见表 </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1"/>
          <w:sz w:val="23"/>
          <w:szCs w:val="23"/>
        </w:rPr>
        <w:t>- 16</w:t>
      </w:r>
      <w:r>
        <w:rPr>
          <w:rFonts w:ascii="宋体" w:hAnsi="宋体" w:eastAsia="宋体" w:cs="宋体"/>
          <w:spacing w:val="-1"/>
          <w:sz w:val="23"/>
          <w:szCs w:val="23"/>
        </w:rPr>
        <w:t>。</w:t>
      </w:r>
    </w:p>
    <w:p w14:paraId="1CA19245">
      <w:pPr>
        <w:spacing w:line="117" w:lineRule="exact"/>
      </w:pPr>
    </w:p>
    <w:p w14:paraId="4A2CC97C">
      <w:pPr>
        <w:sectPr>
          <w:headerReference r:id="rId129" w:type="default"/>
          <w:footerReference r:id="rId130" w:type="default"/>
          <w:pgSz w:w="11906" w:h="16839"/>
          <w:pgMar w:top="1132" w:right="1691" w:bottom="1182" w:left="1691" w:header="878" w:footer="1022" w:gutter="0"/>
          <w:cols w:equalWidth="0" w:num="1">
            <w:col w:w="8523"/>
          </w:cols>
        </w:sectPr>
      </w:pPr>
    </w:p>
    <w:p w14:paraId="2B5821EE">
      <w:pPr>
        <w:spacing w:before="49" w:line="192" w:lineRule="auto"/>
        <w:ind w:left="116"/>
        <w:rPr>
          <w:rFonts w:ascii="Times New Roman" w:hAnsi="Times New Roman" w:eastAsia="Times New Roman" w:cs="Times New Roman"/>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3-16</w:t>
      </w:r>
    </w:p>
    <w:p w14:paraId="29B89DF4">
      <w:pPr>
        <w:spacing w:line="14" w:lineRule="auto"/>
        <w:rPr>
          <w:rFonts w:ascii="Arial"/>
          <w:sz w:val="2"/>
        </w:rPr>
      </w:pPr>
      <w:r>
        <w:rPr>
          <w:rFonts w:ascii="Arial" w:hAnsi="Arial" w:eastAsia="Arial" w:cs="Arial"/>
          <w:sz w:val="2"/>
          <w:szCs w:val="2"/>
        </w:rPr>
        <w:br w:type="column"/>
      </w:r>
    </w:p>
    <w:p w14:paraId="41F570E1">
      <w:pPr>
        <w:spacing w:before="47" w:line="192" w:lineRule="auto"/>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热</w:t>
      </w:r>
      <w:r>
        <w:rPr>
          <w:rFonts w:ascii="宋体" w:hAnsi="宋体" w:eastAsia="宋体" w:cs="宋体"/>
          <w:spacing w:val="9"/>
          <w:sz w:val="23"/>
          <w:szCs w:val="23"/>
          <w14:textOutline w14:w="4358" w14:cap="sq" w14:cmpd="sng">
            <w14:solidFill>
              <w14:srgbClr w14:val="000000"/>
            </w14:solidFill>
            <w14:prstDash w14:val="solid"/>
            <w14:bevel/>
          </w14:textOutline>
        </w:rPr>
        <w:t>风炉产污系数表</w:t>
      </w:r>
    </w:p>
    <w:p w14:paraId="5D266CE3">
      <w:pPr>
        <w:sectPr>
          <w:type w:val="continuous"/>
          <w:pgSz w:w="11906" w:h="16839"/>
          <w:pgMar w:top="1132" w:right="1691" w:bottom="1182" w:left="1691" w:header="878" w:footer="1022" w:gutter="0"/>
          <w:cols w:equalWidth="0" w:num="2">
            <w:col w:w="3162" w:space="100"/>
            <w:col w:w="5261"/>
          </w:cols>
        </w:sectPr>
      </w:pPr>
    </w:p>
    <w:p w14:paraId="0BBDC689">
      <w:pPr>
        <w:spacing w:line="52"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2"/>
        <w:gridCol w:w="3066"/>
        <w:gridCol w:w="1984"/>
      </w:tblGrid>
      <w:tr w14:paraId="3EE68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3472" w:type="dxa"/>
            <w:tcBorders>
              <w:left w:val="nil"/>
            </w:tcBorders>
            <w:vAlign w:val="top"/>
          </w:tcPr>
          <w:p w14:paraId="60180CD6">
            <w:pPr>
              <w:spacing w:before="55" w:line="226" w:lineRule="auto"/>
              <w:ind w:left="122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染物指标</w:t>
            </w:r>
          </w:p>
        </w:tc>
        <w:tc>
          <w:tcPr>
            <w:tcW w:w="3066" w:type="dxa"/>
            <w:vAlign w:val="top"/>
          </w:tcPr>
          <w:p w14:paraId="62A124F5">
            <w:pPr>
              <w:spacing w:before="55" w:line="226" w:lineRule="auto"/>
              <w:ind w:left="138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1984" w:type="dxa"/>
            <w:tcBorders>
              <w:right w:val="nil"/>
            </w:tcBorders>
            <w:vAlign w:val="top"/>
          </w:tcPr>
          <w:p w14:paraId="3CE0D3E1">
            <w:pPr>
              <w:spacing w:before="55" w:line="226" w:lineRule="auto"/>
              <w:ind w:left="57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污系数</w:t>
            </w:r>
          </w:p>
        </w:tc>
      </w:tr>
      <w:tr w14:paraId="4CEF7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472" w:type="dxa"/>
            <w:tcBorders>
              <w:left w:val="nil"/>
            </w:tcBorders>
            <w:vAlign w:val="top"/>
          </w:tcPr>
          <w:p w14:paraId="54026AD3">
            <w:pPr>
              <w:spacing w:before="34" w:line="224" w:lineRule="auto"/>
              <w:ind w:left="1326"/>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氧化硫</w:t>
            </w:r>
          </w:p>
        </w:tc>
        <w:tc>
          <w:tcPr>
            <w:tcW w:w="3066" w:type="dxa"/>
            <w:vAlign w:val="top"/>
          </w:tcPr>
          <w:p w14:paraId="3ABFF16B">
            <w:pPr>
              <w:spacing w:line="277" w:lineRule="exact"/>
              <w:ind w:left="1123"/>
              <w:rPr>
                <w:rFonts w:ascii="宋体" w:hAnsi="宋体" w:eastAsia="宋体" w:cs="宋体"/>
                <w:sz w:val="20"/>
                <w:szCs w:val="20"/>
              </w:rPr>
            </w:pPr>
            <w:r>
              <w:rPr>
                <w:rFonts w:ascii="Times New Roman" w:hAnsi="Times New Roman" w:eastAsia="Times New Roman" w:cs="Times New Roman"/>
                <w:position w:val="2"/>
                <w:sz w:val="20"/>
                <w:szCs w:val="20"/>
              </w:rPr>
              <w:t>kg</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燃料</w:t>
            </w:r>
          </w:p>
        </w:tc>
        <w:tc>
          <w:tcPr>
            <w:tcW w:w="1984" w:type="dxa"/>
            <w:tcBorders>
              <w:right w:val="nil"/>
            </w:tcBorders>
            <w:vAlign w:val="top"/>
          </w:tcPr>
          <w:p w14:paraId="58D1F481">
            <w:pPr>
              <w:spacing w:before="69" w:line="195" w:lineRule="auto"/>
              <w:ind w:left="8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S</w:t>
            </w:r>
          </w:p>
        </w:tc>
      </w:tr>
      <w:tr w14:paraId="0D879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472" w:type="dxa"/>
            <w:tcBorders>
              <w:left w:val="nil"/>
            </w:tcBorders>
            <w:vAlign w:val="top"/>
          </w:tcPr>
          <w:p w14:paraId="6276E626">
            <w:pPr>
              <w:spacing w:before="32" w:line="225" w:lineRule="auto"/>
              <w:ind w:left="1115"/>
              <w:rPr>
                <w:rFonts w:ascii="宋体" w:hAnsi="宋体" w:eastAsia="宋体" w:cs="宋体"/>
                <w:sz w:val="20"/>
                <w:szCs w:val="20"/>
              </w:rPr>
            </w:pPr>
            <w:r>
              <w:rPr>
                <w:rFonts w:ascii="宋体" w:hAnsi="宋体" w:eastAsia="宋体" w:cs="宋体"/>
                <w:spacing w:val="9"/>
                <w:sz w:val="20"/>
                <w:szCs w:val="20"/>
              </w:rPr>
              <w:t>烟</w:t>
            </w:r>
            <w:r>
              <w:rPr>
                <w:rFonts w:ascii="宋体" w:hAnsi="宋体" w:eastAsia="宋体" w:cs="宋体"/>
                <w:spacing w:val="5"/>
                <w:sz w:val="20"/>
                <w:szCs w:val="20"/>
              </w:rPr>
              <w:t>尘 (压块)</w:t>
            </w:r>
          </w:p>
        </w:tc>
        <w:tc>
          <w:tcPr>
            <w:tcW w:w="3066" w:type="dxa"/>
            <w:vAlign w:val="top"/>
          </w:tcPr>
          <w:p w14:paraId="5F67481B">
            <w:pPr>
              <w:spacing w:line="276" w:lineRule="exact"/>
              <w:ind w:left="1123"/>
              <w:rPr>
                <w:rFonts w:ascii="宋体" w:hAnsi="宋体" w:eastAsia="宋体" w:cs="宋体"/>
                <w:sz w:val="20"/>
                <w:szCs w:val="20"/>
              </w:rPr>
            </w:pPr>
            <w:r>
              <w:rPr>
                <w:rFonts w:ascii="Times New Roman" w:hAnsi="Times New Roman" w:eastAsia="Times New Roman" w:cs="Times New Roman"/>
                <w:position w:val="2"/>
                <w:sz w:val="20"/>
                <w:szCs w:val="20"/>
              </w:rPr>
              <w:t>kg</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燃料</w:t>
            </w:r>
          </w:p>
        </w:tc>
        <w:tc>
          <w:tcPr>
            <w:tcW w:w="1984" w:type="dxa"/>
            <w:tcBorders>
              <w:right w:val="nil"/>
            </w:tcBorders>
            <w:vAlign w:val="top"/>
          </w:tcPr>
          <w:p w14:paraId="35ED2EE3">
            <w:pPr>
              <w:spacing w:before="68" w:line="195" w:lineRule="auto"/>
              <w:ind w:left="8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14:paraId="66F56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3472" w:type="dxa"/>
            <w:tcBorders>
              <w:left w:val="nil"/>
            </w:tcBorders>
            <w:vAlign w:val="top"/>
          </w:tcPr>
          <w:p w14:paraId="32AE8EA7">
            <w:pPr>
              <w:spacing w:before="34" w:line="227" w:lineRule="auto"/>
              <w:ind w:left="1321"/>
              <w:rPr>
                <w:rFonts w:ascii="宋体" w:hAnsi="宋体" w:eastAsia="宋体" w:cs="宋体"/>
                <w:sz w:val="20"/>
                <w:szCs w:val="20"/>
              </w:rPr>
            </w:pPr>
            <w:r>
              <w:rPr>
                <w:rFonts w:ascii="宋体" w:hAnsi="宋体" w:eastAsia="宋体" w:cs="宋体"/>
                <w:spacing w:val="8"/>
                <w:sz w:val="20"/>
                <w:szCs w:val="20"/>
              </w:rPr>
              <w:t>氮氧化</w:t>
            </w:r>
            <w:r>
              <w:rPr>
                <w:rFonts w:ascii="宋体" w:hAnsi="宋体" w:eastAsia="宋体" w:cs="宋体"/>
                <w:spacing w:val="7"/>
                <w:sz w:val="20"/>
                <w:szCs w:val="20"/>
              </w:rPr>
              <w:t>物</w:t>
            </w:r>
          </w:p>
        </w:tc>
        <w:tc>
          <w:tcPr>
            <w:tcW w:w="3066" w:type="dxa"/>
            <w:vAlign w:val="top"/>
          </w:tcPr>
          <w:p w14:paraId="70D8F5B6">
            <w:pPr>
              <w:spacing w:line="278" w:lineRule="exact"/>
              <w:ind w:left="1123"/>
              <w:rPr>
                <w:rFonts w:ascii="宋体" w:hAnsi="宋体" w:eastAsia="宋体" w:cs="宋体"/>
                <w:sz w:val="20"/>
                <w:szCs w:val="20"/>
              </w:rPr>
            </w:pPr>
            <w:r>
              <w:rPr>
                <w:rFonts w:ascii="Times New Roman" w:hAnsi="Times New Roman" w:eastAsia="Times New Roman" w:cs="Times New Roman"/>
                <w:position w:val="2"/>
                <w:sz w:val="20"/>
                <w:szCs w:val="20"/>
              </w:rPr>
              <w:t>kg</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燃料</w:t>
            </w:r>
          </w:p>
        </w:tc>
        <w:tc>
          <w:tcPr>
            <w:tcW w:w="1984" w:type="dxa"/>
            <w:tcBorders>
              <w:right w:val="nil"/>
            </w:tcBorders>
            <w:vAlign w:val="top"/>
          </w:tcPr>
          <w:p w14:paraId="5E9D301F">
            <w:pPr>
              <w:spacing w:before="70" w:line="198"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02</w:t>
            </w:r>
          </w:p>
        </w:tc>
      </w:tr>
    </w:tbl>
    <w:p w14:paraId="6D207D66">
      <w:pPr>
        <w:spacing w:before="292" w:line="323" w:lineRule="exact"/>
        <w:ind w:left="599"/>
        <w:rPr>
          <w:rFonts w:ascii="宋体" w:hAnsi="宋体" w:eastAsia="宋体" w:cs="宋体"/>
          <w:sz w:val="23"/>
          <w:szCs w:val="23"/>
        </w:rPr>
      </w:pPr>
      <w:r>
        <w:rPr>
          <w:rFonts w:ascii="宋体" w:hAnsi="宋体" w:eastAsia="宋体" w:cs="宋体"/>
          <w:spacing w:val="4"/>
          <w:position w:val="3"/>
          <w:sz w:val="23"/>
          <w:szCs w:val="23"/>
        </w:rPr>
        <w:t>经</w:t>
      </w:r>
      <w:r>
        <w:rPr>
          <w:rFonts w:ascii="宋体" w:hAnsi="宋体" w:eastAsia="宋体" w:cs="宋体"/>
          <w:spacing w:val="3"/>
          <w:position w:val="3"/>
          <w:sz w:val="23"/>
          <w:szCs w:val="23"/>
        </w:rPr>
        <w:t>过</w:t>
      </w:r>
      <w:r>
        <w:rPr>
          <w:rFonts w:ascii="宋体" w:hAnsi="宋体" w:eastAsia="宋体" w:cs="宋体"/>
          <w:spacing w:val="2"/>
          <w:position w:val="3"/>
          <w:sz w:val="23"/>
          <w:szCs w:val="23"/>
        </w:rPr>
        <w:t xml:space="preserve">计算得出 </w:t>
      </w:r>
      <w:r>
        <w:rPr>
          <w:rFonts w:ascii="Times New Roman" w:hAnsi="Times New Roman" w:eastAsia="Times New Roman" w:cs="Times New Roman"/>
          <w:spacing w:val="2"/>
          <w:position w:val="3"/>
          <w:sz w:val="23"/>
          <w:szCs w:val="23"/>
        </w:rPr>
        <w:t>2</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h</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rPr>
        <w:t xml:space="preserve">的热风炉颗粒物产生量为 </w:t>
      </w:r>
      <w:r>
        <w:rPr>
          <w:rFonts w:ascii="Times New Roman" w:hAnsi="Times New Roman" w:eastAsia="Times New Roman" w:cs="Times New Roman"/>
          <w:spacing w:val="2"/>
          <w:position w:val="3"/>
          <w:sz w:val="23"/>
          <w:szCs w:val="23"/>
        </w:rPr>
        <w:t>0.34</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a</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rPr>
        <w:t xml:space="preserve">，产生浓度为 </w:t>
      </w:r>
      <w:r>
        <w:rPr>
          <w:rFonts w:ascii="Times New Roman" w:hAnsi="Times New Roman" w:eastAsia="Times New Roman" w:cs="Times New Roman"/>
          <w:spacing w:val="2"/>
          <w:position w:val="3"/>
          <w:sz w:val="23"/>
          <w:szCs w:val="23"/>
        </w:rPr>
        <w:t>57</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2"/>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2"/>
          <w:position w:val="11"/>
          <w:sz w:val="15"/>
          <w:szCs w:val="15"/>
        </w:rPr>
        <w:t>3</w:t>
      </w:r>
      <w:r>
        <w:rPr>
          <w:rFonts w:ascii="宋体" w:hAnsi="宋体" w:eastAsia="宋体" w:cs="宋体"/>
          <w:spacing w:val="2"/>
          <w:position w:val="3"/>
          <w:sz w:val="23"/>
          <w:szCs w:val="23"/>
        </w:rPr>
        <w:t>；</w:t>
      </w:r>
    </w:p>
    <w:p w14:paraId="3CF24FB7">
      <w:pPr>
        <w:sectPr>
          <w:type w:val="continuous"/>
          <w:pgSz w:w="11906" w:h="16839"/>
          <w:pgMar w:top="1132" w:right="1691" w:bottom="1182" w:left="1691" w:header="878" w:footer="1022" w:gutter="0"/>
          <w:cols w:equalWidth="0" w:num="1">
            <w:col w:w="8523"/>
          </w:cols>
        </w:sectPr>
      </w:pPr>
    </w:p>
    <w:p w14:paraId="1407ABED">
      <w:pPr>
        <w:spacing w:line="365" w:lineRule="auto"/>
        <w:rPr>
          <w:rFonts w:ascii="Arial"/>
          <w:sz w:val="21"/>
        </w:rPr>
      </w:pPr>
      <w:r>
        <w:pict>
          <v:shape id="_x0000_s1176" o:spid="_x0000_s1176" style="position:absolute;left:0pt;margin-left:90pt;margin-top:57.35pt;height:0.75pt;width:415.3pt;mso-position-horizontal-relative:page;mso-position-vertical-relative:page;z-index:251814912;mso-width-relative:page;mso-height-relative:page;" fillcolor="#000000" filled="t" stroked="f" coordsize="8305,15" o:allowincell="f" path="m0,0l8305,0,8305,14,0,14,0,0xe">
            <v:path/>
            <v:fill on="t" focussize="0,0"/>
            <v:stroke on="f"/>
            <v:imagedata o:title=""/>
            <o:lock v:ext="edit"/>
          </v:shape>
        </w:pict>
      </w:r>
    </w:p>
    <w:p w14:paraId="60FCE043">
      <w:pPr>
        <w:spacing w:before="75" w:line="386" w:lineRule="auto"/>
        <w:ind w:left="24" w:right="7" w:firstLine="5"/>
        <w:rPr>
          <w:rFonts w:ascii="宋体" w:hAnsi="宋体" w:eastAsia="宋体" w:cs="宋体"/>
          <w:sz w:val="23"/>
          <w:szCs w:val="23"/>
        </w:rPr>
      </w:pPr>
      <w:r>
        <w:rPr>
          <w:rFonts w:ascii="Times New Roman" w:hAnsi="Times New Roman" w:eastAsia="Times New Roman" w:cs="Times New Roman"/>
          <w:sz w:val="23"/>
          <w:szCs w:val="23"/>
        </w:rPr>
        <w:t>SO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 xml:space="preserve">产生量为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1"/>
          <w:sz w:val="23"/>
          <w:szCs w:val="23"/>
        </w:rPr>
        <w:t xml:space="preserve"> 14</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，产生浓度为 </w:t>
      </w:r>
      <w:r>
        <w:rPr>
          <w:rFonts w:ascii="Times New Roman" w:hAnsi="Times New Roman" w:eastAsia="Times New Roman" w:cs="Times New Roman"/>
          <w:spacing w:val="1"/>
          <w:sz w:val="23"/>
          <w:szCs w:val="23"/>
        </w:rPr>
        <w:t>190</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 xml:space="preserve">；氮氧化物产生量为 </w:t>
      </w:r>
      <w:r>
        <w:rPr>
          <w:rFonts w:ascii="Times New Roman" w:hAnsi="Times New Roman" w:eastAsia="Times New Roman" w:cs="Times New Roman"/>
          <w:spacing w:val="1"/>
          <w:sz w:val="23"/>
          <w:szCs w:val="23"/>
        </w:rPr>
        <w:t>0.69</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，产生</w:t>
      </w:r>
      <w:r>
        <w:rPr>
          <w:rFonts w:ascii="宋体" w:hAnsi="宋体" w:eastAsia="宋体" w:cs="宋体"/>
          <w:sz w:val="23"/>
          <w:szCs w:val="23"/>
        </w:rPr>
        <w:t xml:space="preserve"> </w:t>
      </w:r>
      <w:r>
        <w:rPr>
          <w:rFonts w:ascii="宋体" w:hAnsi="宋体" w:eastAsia="宋体" w:cs="宋体"/>
          <w:spacing w:val="-1"/>
          <w:sz w:val="23"/>
          <w:szCs w:val="23"/>
        </w:rPr>
        <w:t>浓度</w:t>
      </w:r>
      <w:r>
        <w:rPr>
          <w:rFonts w:ascii="宋体" w:hAnsi="宋体" w:eastAsia="宋体" w:cs="宋体"/>
          <w:sz w:val="23"/>
          <w:szCs w:val="23"/>
        </w:rPr>
        <w:t xml:space="preserve">为 </w:t>
      </w:r>
      <w:r>
        <w:rPr>
          <w:rFonts w:ascii="Times New Roman" w:hAnsi="Times New Roman" w:eastAsia="Times New Roman" w:cs="Times New Roman"/>
          <w:sz w:val="23"/>
          <w:szCs w:val="23"/>
        </w:rPr>
        <w:t>115mg/m</w:t>
      </w:r>
      <w:r>
        <w:rPr>
          <w:rFonts w:ascii="Times New Roman" w:hAnsi="Times New Roman" w:eastAsia="Times New Roman" w:cs="Times New Roman"/>
          <w:position w:val="7"/>
          <w:sz w:val="15"/>
          <w:szCs w:val="15"/>
        </w:rPr>
        <w:t>3</w:t>
      </w:r>
      <w:r>
        <w:rPr>
          <w:rFonts w:ascii="宋体" w:hAnsi="宋体" w:eastAsia="宋体" w:cs="宋体"/>
          <w:sz w:val="23"/>
          <w:szCs w:val="23"/>
        </w:rPr>
        <w:t>。</w:t>
      </w:r>
    </w:p>
    <w:p w14:paraId="1034531D">
      <w:pPr>
        <w:spacing w:before="153" w:line="396" w:lineRule="auto"/>
        <w:ind w:left="28" w:right="12" w:firstLine="480"/>
        <w:rPr>
          <w:rFonts w:ascii="宋体" w:hAnsi="宋体" w:eastAsia="宋体" w:cs="宋体"/>
          <w:sz w:val="23"/>
          <w:szCs w:val="23"/>
        </w:rPr>
      </w:pPr>
      <w:r>
        <w:rPr>
          <w:rFonts w:ascii="宋体" w:hAnsi="宋体" w:eastAsia="宋体" w:cs="宋体"/>
          <w:spacing w:val="1"/>
          <w:sz w:val="23"/>
          <w:szCs w:val="23"/>
        </w:rPr>
        <w:t xml:space="preserve">该项目新建的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的热风炉配套设有旋风布袋除尘器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套、风机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台，</w:t>
      </w:r>
      <w:r>
        <w:rPr>
          <w:rFonts w:ascii="宋体" w:hAnsi="宋体" w:eastAsia="宋体" w:cs="宋体"/>
          <w:sz w:val="23"/>
          <w:szCs w:val="23"/>
        </w:rPr>
        <w:t xml:space="preserve">除尘 </w:t>
      </w:r>
      <w:r>
        <w:rPr>
          <w:rFonts w:ascii="宋体" w:hAnsi="宋体" w:eastAsia="宋体" w:cs="宋体"/>
          <w:spacing w:val="4"/>
          <w:sz w:val="23"/>
          <w:szCs w:val="23"/>
        </w:rPr>
        <w:t>效率大于</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 xml:space="preserve">99% </w:t>
      </w:r>
      <w:r>
        <w:rPr>
          <w:rFonts w:ascii="宋体" w:hAnsi="宋体" w:eastAsia="宋体" w:cs="宋体"/>
          <w:spacing w:val="2"/>
          <w:sz w:val="23"/>
          <w:szCs w:val="23"/>
        </w:rPr>
        <w:t>，排气筒 (</w:t>
      </w:r>
      <w:r>
        <w:rPr>
          <w:rFonts w:ascii="Times New Roman" w:hAnsi="Times New Roman" w:eastAsia="Times New Roman" w:cs="Times New Roman"/>
          <w:spacing w:val="2"/>
          <w:sz w:val="23"/>
          <w:szCs w:val="23"/>
        </w:rPr>
        <w:t>3#</w:t>
      </w:r>
      <w:r>
        <w:rPr>
          <w:rFonts w:ascii="宋体" w:hAnsi="宋体" w:eastAsia="宋体" w:cs="宋体"/>
          <w:spacing w:val="2"/>
          <w:sz w:val="23"/>
          <w:szCs w:val="23"/>
        </w:rPr>
        <w:t xml:space="preserve">) 高度为 </w:t>
      </w:r>
      <w:r>
        <w:rPr>
          <w:rFonts w:ascii="Times New Roman" w:hAnsi="Times New Roman" w:eastAsia="Times New Roman" w:cs="Times New Roman"/>
          <w:spacing w:val="2"/>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(新建锅炉房的烟囱周围半径 </w:t>
      </w:r>
      <w:r>
        <w:rPr>
          <w:rFonts w:ascii="Times New Roman" w:hAnsi="Times New Roman" w:eastAsia="Times New Roman" w:cs="Times New Roman"/>
          <w:spacing w:val="2"/>
          <w:sz w:val="23"/>
          <w:szCs w:val="23"/>
        </w:rPr>
        <w:t>200</w:t>
      </w:r>
      <w:r>
        <w:rPr>
          <w:rFonts w:ascii="Times New Roman" w:hAnsi="Times New Roman" w:eastAsia="Times New Roman" w:cs="Times New Roman"/>
          <w:sz w:val="23"/>
          <w:szCs w:val="23"/>
        </w:rPr>
        <w:t>m</w:t>
      </w:r>
      <w:r>
        <w:rPr>
          <w:rFonts w:ascii="宋体" w:hAnsi="宋体" w:eastAsia="宋体" w:cs="宋体"/>
          <w:spacing w:val="2"/>
          <w:sz w:val="23"/>
          <w:szCs w:val="23"/>
        </w:rPr>
        <w:t>距</w:t>
      </w:r>
      <w:r>
        <w:rPr>
          <w:rFonts w:ascii="宋体" w:hAnsi="宋体" w:eastAsia="宋体" w:cs="宋体"/>
          <w:sz w:val="23"/>
          <w:szCs w:val="23"/>
        </w:rPr>
        <w:t xml:space="preserve"> </w:t>
      </w:r>
      <w:r>
        <w:rPr>
          <w:rFonts w:ascii="宋体" w:hAnsi="宋体" w:eastAsia="宋体" w:cs="宋体"/>
          <w:spacing w:val="12"/>
          <w:sz w:val="23"/>
          <w:szCs w:val="23"/>
        </w:rPr>
        <w:t>离内</w:t>
      </w:r>
      <w:r>
        <w:rPr>
          <w:rFonts w:ascii="宋体" w:hAnsi="宋体" w:eastAsia="宋体" w:cs="宋体"/>
          <w:spacing w:val="8"/>
          <w:sz w:val="23"/>
          <w:szCs w:val="23"/>
        </w:rPr>
        <w:t>有</w:t>
      </w:r>
      <w:r>
        <w:rPr>
          <w:rFonts w:ascii="宋体" w:hAnsi="宋体" w:eastAsia="宋体" w:cs="宋体"/>
          <w:spacing w:val="6"/>
          <w:sz w:val="23"/>
          <w:szCs w:val="23"/>
        </w:rPr>
        <w:t xml:space="preserve">建筑物时，其烟囱应高出最高建筑物 </w:t>
      </w:r>
      <w:r>
        <w:rPr>
          <w:rFonts w:ascii="Times New Roman" w:hAnsi="Times New Roman" w:eastAsia="Times New Roman" w:cs="Times New Roman"/>
          <w:spacing w:val="6"/>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以上) 。该项目旋风布袋除尘器</w:t>
      </w:r>
      <w:r>
        <w:rPr>
          <w:rFonts w:ascii="宋体" w:hAnsi="宋体" w:eastAsia="宋体" w:cs="宋体"/>
          <w:sz w:val="23"/>
          <w:szCs w:val="23"/>
        </w:rPr>
        <w:t xml:space="preserve"> </w:t>
      </w:r>
      <w:r>
        <w:rPr>
          <w:rFonts w:ascii="宋体" w:hAnsi="宋体" w:eastAsia="宋体" w:cs="宋体"/>
          <w:spacing w:val="20"/>
          <w:sz w:val="23"/>
          <w:szCs w:val="23"/>
        </w:rPr>
        <w:t>去</w:t>
      </w:r>
      <w:r>
        <w:rPr>
          <w:rFonts w:ascii="宋体" w:hAnsi="宋体" w:eastAsia="宋体" w:cs="宋体"/>
          <w:spacing w:val="16"/>
          <w:sz w:val="23"/>
          <w:szCs w:val="23"/>
        </w:rPr>
        <w:t>除</w:t>
      </w:r>
      <w:r>
        <w:rPr>
          <w:rFonts w:ascii="宋体" w:hAnsi="宋体" w:eastAsia="宋体" w:cs="宋体"/>
          <w:spacing w:val="10"/>
          <w:sz w:val="23"/>
          <w:szCs w:val="23"/>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pacing w:val="10"/>
          <w:position w:val="-1"/>
          <w:sz w:val="15"/>
          <w:szCs w:val="15"/>
        </w:rPr>
        <w:t xml:space="preserve">10 </w:t>
      </w:r>
      <w:r>
        <w:rPr>
          <w:rFonts w:ascii="宋体" w:hAnsi="宋体" w:eastAsia="宋体" w:cs="宋体"/>
          <w:spacing w:val="10"/>
          <w:sz w:val="23"/>
          <w:szCs w:val="23"/>
        </w:rPr>
        <w:t xml:space="preserve">效率为 </w:t>
      </w:r>
      <w:r>
        <w:rPr>
          <w:rFonts w:ascii="Times New Roman" w:hAnsi="Times New Roman" w:eastAsia="Times New Roman" w:cs="Times New Roman"/>
          <w:spacing w:val="10"/>
          <w:sz w:val="23"/>
          <w:szCs w:val="23"/>
        </w:rPr>
        <w:t xml:space="preserve">99% </w:t>
      </w:r>
      <w:r>
        <w:rPr>
          <w:rFonts w:ascii="宋体" w:hAnsi="宋体" w:eastAsia="宋体" w:cs="宋体"/>
          <w:spacing w:val="10"/>
          <w:sz w:val="23"/>
          <w:szCs w:val="23"/>
        </w:rPr>
        <w:t>，无脱硫脱氮效果，则该项目热烟气具体产排情况见表</w:t>
      </w:r>
    </w:p>
    <w:p w14:paraId="43F88F1C">
      <w:pPr>
        <w:spacing w:before="31" w:line="186" w:lineRule="auto"/>
        <w:ind w:left="24"/>
        <w:rPr>
          <w:rFonts w:ascii="宋体" w:hAnsi="宋体" w:eastAsia="宋体" w:cs="宋体"/>
          <w:sz w:val="23"/>
          <w:szCs w:val="23"/>
        </w:rPr>
      </w:pPr>
      <w:r>
        <w:rPr>
          <w:rFonts w:ascii="Times New Roman" w:hAnsi="Times New Roman" w:eastAsia="Times New Roman" w:cs="Times New Roman"/>
          <w:spacing w:val="-10"/>
          <w:sz w:val="23"/>
          <w:szCs w:val="23"/>
        </w:rPr>
        <w:t>3</w:t>
      </w:r>
      <w:r>
        <w:rPr>
          <w:rFonts w:ascii="Times New Roman" w:hAnsi="Times New Roman" w:eastAsia="Times New Roman" w:cs="Times New Roman"/>
          <w:spacing w:val="-8"/>
          <w:sz w:val="23"/>
          <w:szCs w:val="23"/>
        </w:rPr>
        <w:t>- 17</w:t>
      </w:r>
      <w:r>
        <w:rPr>
          <w:rFonts w:ascii="宋体" w:hAnsi="宋体" w:eastAsia="宋体" w:cs="宋体"/>
          <w:spacing w:val="-8"/>
          <w:sz w:val="23"/>
          <w:szCs w:val="23"/>
        </w:rPr>
        <w:t>。</w:t>
      </w:r>
    </w:p>
    <w:p w14:paraId="3139A4CB">
      <w:pPr>
        <w:spacing w:line="286" w:lineRule="auto"/>
        <w:rPr>
          <w:rFonts w:ascii="Arial"/>
          <w:sz w:val="21"/>
        </w:rPr>
      </w:pPr>
    </w:p>
    <w:p w14:paraId="271BDAEA">
      <w:pPr>
        <w:spacing w:before="74" w:line="227" w:lineRule="auto"/>
        <w:ind w:left="176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3-17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本项目热风炉大气污染物排放情况</w:t>
      </w:r>
    </w:p>
    <w:p w14:paraId="472A7D81">
      <w:pPr>
        <w:spacing w:line="19" w:lineRule="exact"/>
      </w:pPr>
    </w:p>
    <w:tbl>
      <w:tblPr>
        <w:tblStyle w:val="4"/>
        <w:tblW w:w="833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1477"/>
        <w:gridCol w:w="1827"/>
        <w:gridCol w:w="1479"/>
        <w:gridCol w:w="2074"/>
      </w:tblGrid>
      <w:tr w14:paraId="20955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956" w:type="dxa"/>
            <w:gridSpan w:val="2"/>
            <w:tcBorders>
              <w:left w:val="nil"/>
            </w:tcBorders>
            <w:vAlign w:val="top"/>
          </w:tcPr>
          <w:p w14:paraId="67D86E76">
            <w:pPr>
              <w:spacing w:before="70" w:line="209" w:lineRule="auto"/>
              <w:ind w:left="106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污染因子</w:t>
            </w:r>
          </w:p>
        </w:tc>
        <w:tc>
          <w:tcPr>
            <w:tcW w:w="1827" w:type="dxa"/>
            <w:vAlign w:val="top"/>
          </w:tcPr>
          <w:p w14:paraId="67CCF224">
            <w:pPr>
              <w:spacing w:before="70" w:line="209" w:lineRule="auto"/>
              <w:ind w:left="70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烟</w:t>
            </w:r>
            <w:r>
              <w:rPr>
                <w:rFonts w:ascii="宋体" w:hAnsi="宋体" w:eastAsia="宋体" w:cs="宋体"/>
                <w:spacing w:val="5"/>
                <w:sz w:val="20"/>
                <w:szCs w:val="20"/>
                <w14:textOutline w14:w="3795" w14:cap="sq" w14:cmpd="sng">
                  <w14:solidFill>
                    <w14:srgbClr w14:val="000000"/>
                  </w14:solidFill>
                  <w14:prstDash w14:val="solid"/>
                  <w14:bevel/>
                </w14:textOutline>
              </w:rPr>
              <w:t>尘</w:t>
            </w:r>
          </w:p>
        </w:tc>
        <w:tc>
          <w:tcPr>
            <w:tcW w:w="1479" w:type="dxa"/>
            <w:vAlign w:val="top"/>
          </w:tcPr>
          <w:p w14:paraId="0F3D46A5">
            <w:pPr>
              <w:spacing w:before="92" w:line="202" w:lineRule="auto"/>
              <w:ind w:left="573"/>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6"/>
                <w:position w:val="-1"/>
                <w:sz w:val="13"/>
                <w:szCs w:val="13"/>
              </w:rPr>
              <w:t>2</w:t>
            </w:r>
          </w:p>
        </w:tc>
        <w:tc>
          <w:tcPr>
            <w:tcW w:w="2074" w:type="dxa"/>
            <w:tcBorders>
              <w:right w:val="nil"/>
            </w:tcBorders>
            <w:vAlign w:val="top"/>
          </w:tcPr>
          <w:p w14:paraId="7E5BCE03">
            <w:pPr>
              <w:spacing w:before="92" w:line="195" w:lineRule="auto"/>
              <w:ind w:left="826"/>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NOx</w:t>
            </w:r>
          </w:p>
        </w:tc>
      </w:tr>
      <w:tr w14:paraId="32D4F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479" w:type="dxa"/>
            <w:vMerge w:val="restart"/>
            <w:tcBorders>
              <w:left w:val="nil"/>
              <w:bottom w:val="nil"/>
            </w:tcBorders>
            <w:vAlign w:val="top"/>
          </w:tcPr>
          <w:p w14:paraId="3334409D">
            <w:pPr>
              <w:spacing w:before="188" w:line="228" w:lineRule="auto"/>
              <w:ind w:left="118"/>
              <w:rPr>
                <w:rFonts w:ascii="宋体" w:hAnsi="宋体" w:eastAsia="宋体" w:cs="宋体"/>
                <w:sz w:val="20"/>
                <w:szCs w:val="20"/>
              </w:rPr>
            </w:pPr>
            <w:r>
              <w:rPr>
                <w:rFonts w:ascii="宋体" w:hAnsi="宋体" w:eastAsia="宋体" w:cs="宋体"/>
                <w:spacing w:val="8"/>
                <w:sz w:val="20"/>
                <w:szCs w:val="20"/>
              </w:rPr>
              <w:t>污染物产生</w:t>
            </w:r>
            <w:r>
              <w:rPr>
                <w:rFonts w:ascii="宋体" w:hAnsi="宋体" w:eastAsia="宋体" w:cs="宋体"/>
                <w:spacing w:val="7"/>
                <w:sz w:val="20"/>
                <w:szCs w:val="20"/>
              </w:rPr>
              <w:t>量</w:t>
            </w:r>
          </w:p>
        </w:tc>
        <w:tc>
          <w:tcPr>
            <w:tcW w:w="1477" w:type="dxa"/>
            <w:vAlign w:val="top"/>
          </w:tcPr>
          <w:p w14:paraId="121CB2D3">
            <w:pPr>
              <w:spacing w:before="2" w:line="281"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kg</w:t>
            </w:r>
            <w:r>
              <w:rPr>
                <w:rFonts w:ascii="Times New Roman" w:hAnsi="Times New Roman" w:eastAsia="Times New Roman" w:cs="Times New Roman"/>
                <w:spacing w:val="13"/>
                <w:position w:val="4"/>
                <w:sz w:val="20"/>
                <w:szCs w:val="20"/>
              </w:rPr>
              <w:t>/</w:t>
            </w:r>
            <w:r>
              <w:rPr>
                <w:rFonts w:ascii="Times New Roman" w:hAnsi="Times New Roman" w:eastAsia="Times New Roman" w:cs="Times New Roman"/>
                <w:position w:val="4"/>
                <w:sz w:val="20"/>
                <w:szCs w:val="20"/>
              </w:rPr>
              <w:t>h</w:t>
            </w:r>
          </w:p>
        </w:tc>
        <w:tc>
          <w:tcPr>
            <w:tcW w:w="1827" w:type="dxa"/>
            <w:vAlign w:val="top"/>
          </w:tcPr>
          <w:p w14:paraId="6633AC67">
            <w:pPr>
              <w:spacing w:before="75"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0</w:t>
            </w:r>
            <w:r>
              <w:rPr>
                <w:rFonts w:ascii="Times New Roman" w:hAnsi="Times New Roman" w:eastAsia="Times New Roman" w:cs="Times New Roman"/>
                <w:spacing w:val="-8"/>
                <w:sz w:val="20"/>
                <w:szCs w:val="20"/>
              </w:rPr>
              <w:t>. 19</w:t>
            </w:r>
          </w:p>
        </w:tc>
        <w:tc>
          <w:tcPr>
            <w:tcW w:w="1479" w:type="dxa"/>
            <w:vAlign w:val="top"/>
          </w:tcPr>
          <w:p w14:paraId="40D0F3D5">
            <w:pPr>
              <w:spacing w:before="76"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.63</w:t>
            </w:r>
          </w:p>
        </w:tc>
        <w:tc>
          <w:tcPr>
            <w:tcW w:w="2074" w:type="dxa"/>
            <w:tcBorders>
              <w:right w:val="nil"/>
            </w:tcBorders>
            <w:vAlign w:val="top"/>
          </w:tcPr>
          <w:p w14:paraId="6022AEE6">
            <w:pPr>
              <w:spacing w:before="76"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.38</w:t>
            </w:r>
          </w:p>
        </w:tc>
      </w:tr>
      <w:tr w14:paraId="58A42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479" w:type="dxa"/>
            <w:vMerge w:val="continue"/>
            <w:tcBorders>
              <w:top w:val="nil"/>
              <w:left w:val="nil"/>
            </w:tcBorders>
            <w:vAlign w:val="top"/>
          </w:tcPr>
          <w:p w14:paraId="3E530725">
            <w:pPr>
              <w:rPr>
                <w:rFonts w:ascii="Arial"/>
                <w:sz w:val="21"/>
              </w:rPr>
            </w:pPr>
          </w:p>
        </w:tc>
        <w:tc>
          <w:tcPr>
            <w:tcW w:w="1477" w:type="dxa"/>
            <w:vAlign w:val="top"/>
          </w:tcPr>
          <w:p w14:paraId="56177712">
            <w:pPr>
              <w:spacing w:before="121" w:line="141" w:lineRule="exact"/>
              <w:ind w:left="753"/>
              <w:rPr>
                <w:rFonts w:ascii="Times New Roman" w:hAnsi="Times New Roman" w:eastAsia="Times New Roman" w:cs="Times New Roman"/>
                <w:sz w:val="20"/>
                <w:szCs w:val="20"/>
              </w:rPr>
            </w:pPr>
            <w:r>
              <w:pict>
                <v:shape id="_x0000_s1177" o:spid="_x0000_s1177" o:spt="202" type="#_x0000_t202" style="position:absolute;left:0pt;margin-left:30.85pt;margin-top:-0.6pt;height:16.1pt;width:7.75pt;mso-position-horizontal-relative:page;mso-position-vertical-relative:page;z-index:251814912;mso-width-relative:page;mso-height-relative:page;" filled="f" stroked="f" coordsize="21600,21600">
                  <v:path/>
                  <v:fill on="f" focussize="0,0"/>
                  <v:stroke on="f"/>
                  <v:imagedata o:title=""/>
                  <o:lock v:ext="edit" aspectratio="f"/>
                  <v:textbox inset="0mm,0mm,0mm,0mm">
                    <w:txbxContent>
                      <w:p w14:paraId="498835E8">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t</w:t>
                        </w:r>
                        <w:r>
                          <w:rPr>
                            <w:rFonts w:ascii="Times New Roman" w:hAnsi="Times New Roman" w:eastAsia="Times New Roman" w:cs="Times New Roman"/>
                            <w:spacing w:val="2"/>
                            <w:position w:val="2"/>
                            <w:sz w:val="20"/>
                            <w:szCs w:val="20"/>
                          </w:rPr>
                          <w:t>/</w:t>
                        </w:r>
                      </w:p>
                    </w:txbxContent>
                  </v:textbox>
                </v:shape>
              </w:pict>
            </w:r>
            <w:r>
              <w:rPr>
                <w:rFonts w:ascii="Times New Roman" w:hAnsi="Times New Roman" w:eastAsia="Times New Roman" w:cs="Times New Roman"/>
                <w:sz w:val="20"/>
                <w:szCs w:val="20"/>
              </w:rPr>
              <w:t>a</w:t>
            </w:r>
          </w:p>
        </w:tc>
        <w:tc>
          <w:tcPr>
            <w:tcW w:w="1827" w:type="dxa"/>
            <w:vAlign w:val="top"/>
          </w:tcPr>
          <w:p w14:paraId="6542DE04">
            <w:pPr>
              <w:spacing w:before="75"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479" w:type="dxa"/>
            <w:vAlign w:val="top"/>
          </w:tcPr>
          <w:p w14:paraId="48C61C43">
            <w:pPr>
              <w:spacing w:before="75" w:line="198"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14</w:t>
            </w:r>
          </w:p>
        </w:tc>
        <w:tc>
          <w:tcPr>
            <w:tcW w:w="2074" w:type="dxa"/>
            <w:tcBorders>
              <w:right w:val="nil"/>
            </w:tcBorders>
            <w:vAlign w:val="top"/>
          </w:tcPr>
          <w:p w14:paraId="53FA507E">
            <w:pPr>
              <w:spacing w:before="7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.69</w:t>
            </w:r>
          </w:p>
        </w:tc>
      </w:tr>
      <w:tr w14:paraId="4F701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79" w:type="dxa"/>
            <w:tcBorders>
              <w:left w:val="nil"/>
            </w:tcBorders>
            <w:vAlign w:val="top"/>
          </w:tcPr>
          <w:p w14:paraId="1A0878D4">
            <w:pPr>
              <w:spacing w:before="46" w:line="227" w:lineRule="auto"/>
              <w:ind w:left="327"/>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生浓度</w:t>
            </w:r>
          </w:p>
        </w:tc>
        <w:tc>
          <w:tcPr>
            <w:tcW w:w="1477" w:type="dxa"/>
            <w:vAlign w:val="top"/>
          </w:tcPr>
          <w:p w14:paraId="76444AF7">
            <w:pPr>
              <w:spacing w:before="1" w:line="281" w:lineRule="exact"/>
              <w:ind w:left="459"/>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1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2"/>
                <w:position w:val="9"/>
                <w:sz w:val="13"/>
                <w:szCs w:val="13"/>
              </w:rPr>
              <w:t>3</w:t>
            </w:r>
          </w:p>
        </w:tc>
        <w:tc>
          <w:tcPr>
            <w:tcW w:w="1827" w:type="dxa"/>
            <w:vAlign w:val="top"/>
          </w:tcPr>
          <w:p w14:paraId="1733EF4A">
            <w:pPr>
              <w:spacing w:before="78" w:line="192" w:lineRule="auto"/>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479" w:type="dxa"/>
            <w:vAlign w:val="top"/>
          </w:tcPr>
          <w:p w14:paraId="4D257EAB">
            <w:pPr>
              <w:spacing w:before="75"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2074" w:type="dxa"/>
            <w:tcBorders>
              <w:right w:val="nil"/>
            </w:tcBorders>
            <w:vAlign w:val="top"/>
          </w:tcPr>
          <w:p w14:paraId="4E0A5AAF">
            <w:pPr>
              <w:spacing w:before="75" w:line="195" w:lineRule="auto"/>
              <w:ind w:left="90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15</w:t>
            </w:r>
          </w:p>
        </w:tc>
      </w:tr>
      <w:tr w14:paraId="5D56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79" w:type="dxa"/>
            <w:vMerge w:val="restart"/>
            <w:tcBorders>
              <w:left w:val="nil"/>
              <w:bottom w:val="nil"/>
            </w:tcBorders>
            <w:vAlign w:val="top"/>
          </w:tcPr>
          <w:p w14:paraId="1FA811B5">
            <w:pPr>
              <w:spacing w:before="189" w:line="228" w:lineRule="auto"/>
              <w:ind w:left="118"/>
              <w:rPr>
                <w:rFonts w:ascii="宋体" w:hAnsi="宋体" w:eastAsia="宋体" w:cs="宋体"/>
                <w:sz w:val="20"/>
                <w:szCs w:val="20"/>
              </w:rPr>
            </w:pPr>
            <w:r>
              <w:rPr>
                <w:rFonts w:ascii="宋体" w:hAnsi="宋体" w:eastAsia="宋体" w:cs="宋体"/>
                <w:spacing w:val="8"/>
                <w:sz w:val="20"/>
                <w:szCs w:val="20"/>
              </w:rPr>
              <w:t>污染物排放</w:t>
            </w:r>
            <w:r>
              <w:rPr>
                <w:rFonts w:ascii="宋体" w:hAnsi="宋体" w:eastAsia="宋体" w:cs="宋体"/>
                <w:spacing w:val="7"/>
                <w:sz w:val="20"/>
                <w:szCs w:val="20"/>
              </w:rPr>
              <w:t>量</w:t>
            </w:r>
          </w:p>
        </w:tc>
        <w:tc>
          <w:tcPr>
            <w:tcW w:w="1477" w:type="dxa"/>
            <w:vAlign w:val="top"/>
          </w:tcPr>
          <w:p w14:paraId="4AED64AA">
            <w:pPr>
              <w:spacing w:before="4" w:line="281"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kg</w:t>
            </w:r>
            <w:r>
              <w:rPr>
                <w:rFonts w:ascii="Times New Roman" w:hAnsi="Times New Roman" w:eastAsia="Times New Roman" w:cs="Times New Roman"/>
                <w:spacing w:val="13"/>
                <w:position w:val="4"/>
                <w:sz w:val="20"/>
                <w:szCs w:val="20"/>
              </w:rPr>
              <w:t>/</w:t>
            </w:r>
            <w:r>
              <w:rPr>
                <w:rFonts w:ascii="Times New Roman" w:hAnsi="Times New Roman" w:eastAsia="Times New Roman" w:cs="Times New Roman"/>
                <w:position w:val="4"/>
                <w:sz w:val="20"/>
                <w:szCs w:val="20"/>
              </w:rPr>
              <w:t>h</w:t>
            </w:r>
          </w:p>
        </w:tc>
        <w:tc>
          <w:tcPr>
            <w:tcW w:w="1827" w:type="dxa"/>
            <w:vAlign w:val="top"/>
          </w:tcPr>
          <w:p w14:paraId="69293130">
            <w:pPr>
              <w:spacing w:before="78"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c>
          <w:tcPr>
            <w:tcW w:w="1479" w:type="dxa"/>
            <w:vAlign w:val="top"/>
          </w:tcPr>
          <w:p w14:paraId="6D3F59C0">
            <w:pPr>
              <w:spacing w:before="78"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.63</w:t>
            </w:r>
          </w:p>
        </w:tc>
        <w:tc>
          <w:tcPr>
            <w:tcW w:w="2074" w:type="dxa"/>
            <w:tcBorders>
              <w:right w:val="nil"/>
            </w:tcBorders>
            <w:vAlign w:val="top"/>
          </w:tcPr>
          <w:p w14:paraId="390E0B00">
            <w:pPr>
              <w:spacing w:before="78"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.38</w:t>
            </w:r>
          </w:p>
        </w:tc>
      </w:tr>
      <w:tr w14:paraId="0AA1F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479" w:type="dxa"/>
            <w:vMerge w:val="continue"/>
            <w:tcBorders>
              <w:top w:val="nil"/>
              <w:left w:val="nil"/>
            </w:tcBorders>
            <w:vAlign w:val="top"/>
          </w:tcPr>
          <w:p w14:paraId="6E31EA06">
            <w:pPr>
              <w:rPr>
                <w:rFonts w:ascii="Arial"/>
                <w:sz w:val="21"/>
              </w:rPr>
            </w:pPr>
          </w:p>
        </w:tc>
        <w:tc>
          <w:tcPr>
            <w:tcW w:w="1477" w:type="dxa"/>
            <w:vAlign w:val="top"/>
          </w:tcPr>
          <w:p w14:paraId="47AFFE11">
            <w:pPr>
              <w:spacing w:before="124" w:line="141" w:lineRule="exact"/>
              <w:ind w:left="753"/>
              <w:rPr>
                <w:rFonts w:ascii="Times New Roman" w:hAnsi="Times New Roman" w:eastAsia="Times New Roman" w:cs="Times New Roman"/>
                <w:sz w:val="20"/>
                <w:szCs w:val="20"/>
              </w:rPr>
            </w:pPr>
            <w:r>
              <w:pict>
                <v:shape id="_x0000_s1178" o:spid="_x0000_s1178" o:spt="202" type="#_x0000_t202" style="position:absolute;left:0pt;margin-left:30.85pt;margin-top:-0.45pt;height:16.1pt;width:7.75pt;mso-position-horizontal-relative:page;mso-position-vertical-relative:page;z-index:251814912;mso-width-relative:page;mso-height-relative:page;" filled="f" stroked="f" coordsize="21600,21600">
                  <v:path/>
                  <v:fill on="f" focussize="0,0"/>
                  <v:stroke on="f"/>
                  <v:imagedata o:title=""/>
                  <o:lock v:ext="edit" aspectratio="f"/>
                  <v:textbox inset="0mm,0mm,0mm,0mm">
                    <w:txbxContent>
                      <w:p w14:paraId="4716BA24">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t</w:t>
                        </w:r>
                        <w:r>
                          <w:rPr>
                            <w:rFonts w:ascii="Times New Roman" w:hAnsi="Times New Roman" w:eastAsia="Times New Roman" w:cs="Times New Roman"/>
                            <w:spacing w:val="2"/>
                            <w:position w:val="2"/>
                            <w:sz w:val="20"/>
                            <w:szCs w:val="20"/>
                          </w:rPr>
                          <w:t>/</w:t>
                        </w:r>
                      </w:p>
                    </w:txbxContent>
                  </v:textbox>
                </v:shape>
              </w:pict>
            </w:r>
            <w:r>
              <w:rPr>
                <w:rFonts w:ascii="Times New Roman" w:hAnsi="Times New Roman" w:eastAsia="Times New Roman" w:cs="Times New Roman"/>
                <w:sz w:val="20"/>
                <w:szCs w:val="20"/>
              </w:rPr>
              <w:t>a</w:t>
            </w:r>
          </w:p>
        </w:tc>
        <w:tc>
          <w:tcPr>
            <w:tcW w:w="1827" w:type="dxa"/>
            <w:vAlign w:val="top"/>
          </w:tcPr>
          <w:p w14:paraId="337F1B0C">
            <w:pPr>
              <w:spacing w:before="79"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c>
          <w:tcPr>
            <w:tcW w:w="1479" w:type="dxa"/>
            <w:vAlign w:val="top"/>
          </w:tcPr>
          <w:p w14:paraId="1685679A">
            <w:pPr>
              <w:spacing w:before="78" w:line="198"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14</w:t>
            </w:r>
          </w:p>
        </w:tc>
        <w:tc>
          <w:tcPr>
            <w:tcW w:w="2074" w:type="dxa"/>
            <w:tcBorders>
              <w:right w:val="nil"/>
            </w:tcBorders>
            <w:vAlign w:val="top"/>
          </w:tcPr>
          <w:p w14:paraId="4A72127A">
            <w:pPr>
              <w:spacing w:before="79"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.69</w:t>
            </w:r>
          </w:p>
        </w:tc>
      </w:tr>
      <w:tr w14:paraId="23709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79" w:type="dxa"/>
            <w:tcBorders>
              <w:left w:val="nil"/>
            </w:tcBorders>
            <w:vAlign w:val="top"/>
          </w:tcPr>
          <w:p w14:paraId="5727BE59">
            <w:pPr>
              <w:spacing w:before="49" w:line="224" w:lineRule="auto"/>
              <w:ind w:left="327"/>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放浓度</w:t>
            </w:r>
          </w:p>
        </w:tc>
        <w:tc>
          <w:tcPr>
            <w:tcW w:w="1477" w:type="dxa"/>
            <w:vAlign w:val="top"/>
          </w:tcPr>
          <w:p w14:paraId="3952F741">
            <w:pPr>
              <w:spacing w:before="4" w:line="281" w:lineRule="exact"/>
              <w:ind w:left="459"/>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1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2"/>
                <w:position w:val="9"/>
                <w:sz w:val="13"/>
                <w:szCs w:val="13"/>
              </w:rPr>
              <w:t>3</w:t>
            </w:r>
          </w:p>
        </w:tc>
        <w:tc>
          <w:tcPr>
            <w:tcW w:w="1827" w:type="dxa"/>
            <w:vAlign w:val="top"/>
          </w:tcPr>
          <w:p w14:paraId="0AD4B63E">
            <w:pPr>
              <w:spacing w:before="78" w:line="195" w:lineRule="auto"/>
              <w:ind w:left="8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9" w:type="dxa"/>
            <w:vAlign w:val="top"/>
          </w:tcPr>
          <w:p w14:paraId="60D7842A">
            <w:pPr>
              <w:spacing w:before="7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2074" w:type="dxa"/>
            <w:tcBorders>
              <w:right w:val="nil"/>
            </w:tcBorders>
            <w:vAlign w:val="top"/>
          </w:tcPr>
          <w:p w14:paraId="50950F01">
            <w:pPr>
              <w:spacing w:before="78" w:line="195" w:lineRule="auto"/>
              <w:ind w:left="90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15</w:t>
            </w:r>
          </w:p>
        </w:tc>
      </w:tr>
      <w:tr w14:paraId="1D770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79" w:type="dxa"/>
            <w:tcBorders>
              <w:left w:val="nil"/>
            </w:tcBorders>
            <w:vAlign w:val="top"/>
          </w:tcPr>
          <w:p w14:paraId="19DDA086">
            <w:pPr>
              <w:spacing w:before="50" w:line="223" w:lineRule="auto"/>
              <w:ind w:left="222"/>
              <w:rPr>
                <w:rFonts w:ascii="宋体" w:hAnsi="宋体" w:eastAsia="宋体" w:cs="宋体"/>
                <w:sz w:val="20"/>
                <w:szCs w:val="20"/>
              </w:rPr>
            </w:pPr>
            <w:r>
              <w:rPr>
                <w:rFonts w:ascii="宋体" w:hAnsi="宋体" w:eastAsia="宋体" w:cs="宋体"/>
                <w:spacing w:val="8"/>
                <w:sz w:val="20"/>
                <w:szCs w:val="20"/>
              </w:rPr>
              <w:t>排放烟气量</w:t>
            </w:r>
          </w:p>
        </w:tc>
        <w:tc>
          <w:tcPr>
            <w:tcW w:w="1477" w:type="dxa"/>
            <w:vAlign w:val="top"/>
          </w:tcPr>
          <w:p w14:paraId="200D5F36">
            <w:pPr>
              <w:spacing w:before="5" w:line="281" w:lineRule="exact"/>
              <w:ind w:left="53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Times New Roman" w:hAnsi="Times New Roman" w:eastAsia="Times New Roman" w:cs="Times New Roman"/>
                <w:spacing w:val="9"/>
                <w:position w:val="7"/>
                <w:sz w:val="13"/>
                <w:szCs w:val="13"/>
              </w:rPr>
              <w:t>3</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h</w:t>
            </w:r>
          </w:p>
        </w:tc>
        <w:tc>
          <w:tcPr>
            <w:tcW w:w="5380" w:type="dxa"/>
            <w:gridSpan w:val="3"/>
            <w:tcBorders>
              <w:right w:val="nil"/>
            </w:tcBorders>
            <w:vAlign w:val="top"/>
          </w:tcPr>
          <w:p w14:paraId="6945ED8A">
            <w:pPr>
              <w:spacing w:before="78" w:line="195" w:lineRule="auto"/>
              <w:ind w:left="24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333</w:t>
            </w:r>
          </w:p>
        </w:tc>
      </w:tr>
      <w:tr w14:paraId="620F7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9" w:type="dxa"/>
            <w:tcBorders>
              <w:left w:val="nil"/>
            </w:tcBorders>
            <w:vAlign w:val="top"/>
          </w:tcPr>
          <w:p w14:paraId="684EADDD">
            <w:pPr>
              <w:spacing w:before="50" w:line="228" w:lineRule="auto"/>
              <w:ind w:left="328"/>
              <w:rPr>
                <w:rFonts w:ascii="宋体" w:hAnsi="宋体" w:eastAsia="宋体" w:cs="宋体"/>
                <w:sz w:val="20"/>
                <w:szCs w:val="20"/>
              </w:rPr>
            </w:pPr>
            <w:r>
              <w:rPr>
                <w:rFonts w:ascii="宋体" w:hAnsi="宋体" w:eastAsia="宋体" w:cs="宋体"/>
                <w:spacing w:val="7"/>
                <w:sz w:val="20"/>
                <w:szCs w:val="20"/>
              </w:rPr>
              <w:t>标准限值</w:t>
            </w:r>
          </w:p>
        </w:tc>
        <w:tc>
          <w:tcPr>
            <w:tcW w:w="1477" w:type="dxa"/>
            <w:vAlign w:val="top"/>
          </w:tcPr>
          <w:p w14:paraId="24BEA6BD">
            <w:pPr>
              <w:spacing w:before="6" w:line="281" w:lineRule="exact"/>
              <w:ind w:left="459"/>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1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2"/>
                <w:position w:val="9"/>
                <w:sz w:val="13"/>
                <w:szCs w:val="13"/>
              </w:rPr>
              <w:t>3</w:t>
            </w:r>
          </w:p>
        </w:tc>
        <w:tc>
          <w:tcPr>
            <w:tcW w:w="1827" w:type="dxa"/>
            <w:vAlign w:val="top"/>
          </w:tcPr>
          <w:p w14:paraId="27E47242">
            <w:pPr>
              <w:spacing w:before="79"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479" w:type="dxa"/>
            <w:vAlign w:val="top"/>
          </w:tcPr>
          <w:p w14:paraId="0D8C3C9C">
            <w:pPr>
              <w:spacing w:before="7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074" w:type="dxa"/>
            <w:tcBorders>
              <w:right w:val="nil"/>
            </w:tcBorders>
            <w:vAlign w:val="top"/>
          </w:tcPr>
          <w:p w14:paraId="221AF459">
            <w:pPr>
              <w:spacing w:before="79"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r>
    </w:tbl>
    <w:p w14:paraId="3921209B">
      <w:pPr>
        <w:spacing w:line="259" w:lineRule="auto"/>
        <w:rPr>
          <w:rFonts w:ascii="Arial"/>
          <w:sz w:val="21"/>
        </w:rPr>
      </w:pPr>
    </w:p>
    <w:p w14:paraId="7AAD92E2">
      <w:pPr>
        <w:spacing w:before="75" w:line="383" w:lineRule="auto"/>
        <w:ind w:left="25" w:right="5" w:firstLine="508"/>
        <w:rPr>
          <w:rFonts w:ascii="宋体" w:hAnsi="宋体" w:eastAsia="宋体" w:cs="宋体"/>
          <w:sz w:val="23"/>
          <w:szCs w:val="23"/>
        </w:rPr>
      </w:pPr>
      <w:r>
        <w:rPr>
          <w:rFonts w:ascii="宋体" w:hAnsi="宋体" w:eastAsia="宋体" w:cs="宋体"/>
          <w:spacing w:val="6"/>
          <w:sz w:val="23"/>
          <w:szCs w:val="23"/>
        </w:rPr>
        <w:t xml:space="preserve">由表 </w:t>
      </w:r>
      <w:r>
        <w:rPr>
          <w:rFonts w:ascii="Times New Roman" w:hAnsi="Times New Roman" w:eastAsia="Times New Roman" w:cs="Times New Roman"/>
          <w:spacing w:val="6"/>
          <w:sz w:val="23"/>
          <w:szCs w:val="23"/>
        </w:rPr>
        <w:t>3- 1</w:t>
      </w:r>
      <w:r>
        <w:rPr>
          <w:rFonts w:ascii="Times New Roman" w:hAnsi="Times New Roman" w:eastAsia="Times New Roman" w:cs="Times New Roman"/>
          <w:spacing w:val="3"/>
          <w:sz w:val="23"/>
          <w:szCs w:val="23"/>
        </w:rPr>
        <w:t xml:space="preserve">7 </w:t>
      </w:r>
      <w:r>
        <w:rPr>
          <w:rFonts w:ascii="宋体" w:hAnsi="宋体" w:eastAsia="宋体" w:cs="宋体"/>
          <w:spacing w:val="3"/>
          <w:sz w:val="23"/>
          <w:szCs w:val="23"/>
        </w:rPr>
        <w:t>可见，主要污染物烟尘、</w:t>
      </w:r>
      <w:r>
        <w:rPr>
          <w:rFonts w:ascii="Times New Roman" w:hAnsi="Times New Roman" w:eastAsia="Times New Roman" w:cs="Times New Roman"/>
          <w:sz w:val="23"/>
          <w:szCs w:val="23"/>
        </w:rPr>
        <w:t>NOx</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和 </w:t>
      </w:r>
      <w:r>
        <w:rPr>
          <w:rFonts w:ascii="Times New Roman" w:hAnsi="Times New Roman" w:eastAsia="Times New Roman" w:cs="Times New Roman"/>
          <w:sz w:val="23"/>
          <w:szCs w:val="23"/>
        </w:rPr>
        <w:t>SO</w:t>
      </w:r>
      <w:r>
        <w:rPr>
          <w:rFonts w:ascii="Times New Roman" w:hAnsi="Times New Roman" w:eastAsia="Times New Roman" w:cs="Times New Roman"/>
          <w:spacing w:val="3"/>
          <w:position w:val="-1"/>
          <w:sz w:val="15"/>
          <w:szCs w:val="15"/>
        </w:rPr>
        <w:t xml:space="preserve">2 </w:t>
      </w:r>
      <w:r>
        <w:rPr>
          <w:rFonts w:ascii="宋体" w:hAnsi="宋体" w:eastAsia="宋体" w:cs="宋体"/>
          <w:spacing w:val="3"/>
          <w:sz w:val="23"/>
          <w:szCs w:val="23"/>
        </w:rPr>
        <w:t>排放浓度可以达到《锅炉大</w:t>
      </w:r>
      <w:r>
        <w:rPr>
          <w:rFonts w:ascii="宋体" w:hAnsi="宋体" w:eastAsia="宋体" w:cs="宋体"/>
          <w:sz w:val="23"/>
          <w:szCs w:val="23"/>
        </w:rPr>
        <w:t xml:space="preserve"> </w:t>
      </w:r>
      <w:r>
        <w:rPr>
          <w:rFonts w:ascii="宋体" w:hAnsi="宋体" w:eastAsia="宋体" w:cs="宋体"/>
          <w:spacing w:val="2"/>
          <w:sz w:val="23"/>
          <w:szCs w:val="23"/>
        </w:rPr>
        <w:t>气污染物排放标准》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13271-2</w:t>
      </w:r>
      <w:r>
        <w:rPr>
          <w:rFonts w:ascii="Times New Roman" w:hAnsi="Times New Roman" w:eastAsia="Times New Roman" w:cs="Times New Roman"/>
          <w:spacing w:val="1"/>
          <w:sz w:val="23"/>
          <w:szCs w:val="23"/>
        </w:rPr>
        <w:t>014</w:t>
      </w:r>
      <w:r>
        <w:rPr>
          <w:rFonts w:ascii="宋体" w:hAnsi="宋体" w:eastAsia="宋体" w:cs="宋体"/>
          <w:spacing w:val="1"/>
          <w:sz w:val="23"/>
          <w:szCs w:val="23"/>
        </w:rPr>
        <w:t xml:space="preserve">) 表 </w:t>
      </w:r>
      <w:r>
        <w:rPr>
          <w:rFonts w:ascii="Times New Roman" w:hAnsi="Times New Roman" w:eastAsia="Times New Roman" w:cs="Times New Roman"/>
          <w:spacing w:val="1"/>
          <w:sz w:val="23"/>
          <w:szCs w:val="23"/>
        </w:rPr>
        <w:t xml:space="preserve">3 </w:t>
      </w:r>
      <w:r>
        <w:rPr>
          <w:rFonts w:ascii="宋体" w:hAnsi="宋体" w:eastAsia="宋体" w:cs="宋体"/>
          <w:spacing w:val="1"/>
          <w:sz w:val="23"/>
          <w:szCs w:val="23"/>
        </w:rPr>
        <w:t>标准要求 (颗粒物：</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，氮氧</w:t>
      </w:r>
      <w:r>
        <w:rPr>
          <w:rFonts w:ascii="宋体" w:hAnsi="宋体" w:eastAsia="宋体" w:cs="宋体"/>
          <w:sz w:val="23"/>
          <w:szCs w:val="23"/>
        </w:rPr>
        <w:t xml:space="preserve"> </w:t>
      </w:r>
      <w:r>
        <w:rPr>
          <w:rFonts w:ascii="宋体" w:hAnsi="宋体" w:eastAsia="宋体" w:cs="宋体"/>
          <w:spacing w:val="4"/>
          <w:sz w:val="23"/>
          <w:szCs w:val="23"/>
        </w:rPr>
        <w:t>化物：</w:t>
      </w:r>
      <w:r>
        <w:rPr>
          <w:rFonts w:ascii="Times New Roman" w:hAnsi="Times New Roman" w:eastAsia="Times New Roman" w:cs="Times New Roman"/>
          <w:spacing w:val="4"/>
          <w:sz w:val="23"/>
          <w:szCs w:val="23"/>
        </w:rPr>
        <w:t>20</w:t>
      </w:r>
      <w:r>
        <w:rPr>
          <w:rFonts w:ascii="Times New Roman" w:hAnsi="Times New Roman" w:eastAsia="Times New Roman" w:cs="Times New Roman"/>
          <w:spacing w:val="2"/>
          <w:sz w:val="23"/>
          <w:szCs w:val="23"/>
        </w:rPr>
        <w:t>0</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pacing w:val="2"/>
          <w:sz w:val="23"/>
          <w:szCs w:val="23"/>
        </w:rPr>
        <w:t>200</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 xml:space="preserve">) ，热风炉设计烟囱高度最低为 </w:t>
      </w:r>
      <w:r>
        <w:rPr>
          <w:rFonts w:ascii="Times New Roman" w:hAnsi="Times New Roman" w:eastAsia="Times New Roman" w:cs="Times New Roman"/>
          <w:spacing w:val="2"/>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(新建锅</w:t>
      </w:r>
      <w:r>
        <w:rPr>
          <w:rFonts w:ascii="宋体" w:hAnsi="宋体" w:eastAsia="宋体" w:cs="宋体"/>
          <w:sz w:val="23"/>
          <w:szCs w:val="23"/>
        </w:rPr>
        <w:t xml:space="preserve"> </w:t>
      </w:r>
      <w:r>
        <w:rPr>
          <w:rFonts w:ascii="宋体" w:hAnsi="宋体" w:eastAsia="宋体" w:cs="宋体"/>
          <w:spacing w:val="8"/>
          <w:sz w:val="23"/>
          <w:szCs w:val="23"/>
        </w:rPr>
        <w:t xml:space="preserve">炉房的烟囱周围半径 </w:t>
      </w:r>
      <w:r>
        <w:rPr>
          <w:rFonts w:ascii="Times New Roman" w:hAnsi="Times New Roman" w:eastAsia="Times New Roman" w:cs="Times New Roman"/>
          <w:spacing w:val="8"/>
          <w:sz w:val="23"/>
          <w:szCs w:val="23"/>
        </w:rPr>
        <w:t>200</w:t>
      </w:r>
      <w:r>
        <w:rPr>
          <w:rFonts w:ascii="Times New Roman" w:hAnsi="Times New Roman" w:eastAsia="Times New Roman" w:cs="Times New Roman"/>
          <w:sz w:val="23"/>
          <w:szCs w:val="23"/>
        </w:rPr>
        <w:t>m</w:t>
      </w:r>
      <w:r>
        <w:rPr>
          <w:rFonts w:ascii="宋体" w:hAnsi="宋体" w:eastAsia="宋体" w:cs="宋体"/>
          <w:spacing w:val="8"/>
          <w:sz w:val="23"/>
          <w:szCs w:val="23"/>
        </w:rPr>
        <w:t xml:space="preserve">距离内有建筑物时，其烟囱应高出最高建筑物 </w:t>
      </w:r>
      <w:r>
        <w:rPr>
          <w:rFonts w:ascii="Times New Roman" w:hAnsi="Times New Roman" w:eastAsia="Times New Roman" w:cs="Times New Roman"/>
          <w:spacing w:val="8"/>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2"/>
          <w:sz w:val="23"/>
          <w:szCs w:val="23"/>
        </w:rPr>
        <w:t>以</w:t>
      </w:r>
      <w:r>
        <w:rPr>
          <w:rFonts w:ascii="宋体" w:hAnsi="宋体" w:eastAsia="宋体" w:cs="宋体"/>
          <w:sz w:val="23"/>
          <w:szCs w:val="23"/>
        </w:rPr>
        <w:t xml:space="preserve"> </w:t>
      </w:r>
      <w:r>
        <w:rPr>
          <w:rFonts w:ascii="宋体" w:hAnsi="宋体" w:eastAsia="宋体" w:cs="宋体"/>
          <w:spacing w:val="9"/>
          <w:sz w:val="23"/>
          <w:szCs w:val="23"/>
        </w:rPr>
        <w:t>上</w:t>
      </w:r>
      <w:r>
        <w:rPr>
          <w:rFonts w:ascii="宋体" w:hAnsi="宋体" w:eastAsia="宋体" w:cs="宋体"/>
          <w:spacing w:val="7"/>
          <w:sz w:val="23"/>
          <w:szCs w:val="23"/>
        </w:rPr>
        <w:t>) ，实现达标排放。</w:t>
      </w:r>
    </w:p>
    <w:p w14:paraId="2228A6F0">
      <w:pPr>
        <w:spacing w:before="171" w:line="227" w:lineRule="auto"/>
        <w:ind w:left="515"/>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水污染物排放分析</w:t>
      </w:r>
    </w:p>
    <w:p w14:paraId="2F33C06E">
      <w:pPr>
        <w:spacing w:line="277" w:lineRule="auto"/>
        <w:rPr>
          <w:rFonts w:ascii="Arial"/>
          <w:sz w:val="21"/>
        </w:rPr>
      </w:pPr>
    </w:p>
    <w:p w14:paraId="2F9C670D">
      <w:pPr>
        <w:spacing w:before="75" w:line="390" w:lineRule="auto"/>
        <w:ind w:left="23" w:right="12" w:firstLine="484"/>
        <w:rPr>
          <w:rFonts w:ascii="宋体" w:hAnsi="宋体" w:eastAsia="宋体" w:cs="宋体"/>
          <w:sz w:val="23"/>
          <w:szCs w:val="23"/>
        </w:rPr>
      </w:pPr>
      <w:r>
        <w:rPr>
          <w:rFonts w:ascii="宋体" w:hAnsi="宋体" w:eastAsia="宋体" w:cs="宋体"/>
          <w:spacing w:val="12"/>
          <w:sz w:val="23"/>
          <w:szCs w:val="23"/>
        </w:rPr>
        <w:t>该项目用</w:t>
      </w:r>
      <w:r>
        <w:rPr>
          <w:rFonts w:ascii="宋体" w:hAnsi="宋体" w:eastAsia="宋体" w:cs="宋体"/>
          <w:spacing w:val="7"/>
          <w:sz w:val="23"/>
          <w:szCs w:val="23"/>
        </w:rPr>
        <w:t>水</w:t>
      </w:r>
      <w:r>
        <w:rPr>
          <w:rFonts w:ascii="宋体" w:hAnsi="宋体" w:eastAsia="宋体" w:cs="宋体"/>
          <w:spacing w:val="6"/>
          <w:sz w:val="23"/>
          <w:szCs w:val="23"/>
        </w:rPr>
        <w:t>主要用水为生活用水以及生产用水，其中生产用水包括破碎工序</w:t>
      </w:r>
      <w:r>
        <w:rPr>
          <w:rFonts w:ascii="宋体" w:hAnsi="宋体" w:eastAsia="宋体" w:cs="宋体"/>
          <w:sz w:val="23"/>
          <w:szCs w:val="23"/>
        </w:rPr>
        <w:t xml:space="preserve"> </w:t>
      </w:r>
      <w:r>
        <w:rPr>
          <w:rFonts w:ascii="宋体" w:hAnsi="宋体" w:eastAsia="宋体" w:cs="宋体"/>
          <w:spacing w:val="9"/>
          <w:sz w:val="23"/>
          <w:szCs w:val="23"/>
        </w:rPr>
        <w:t>用</w:t>
      </w:r>
      <w:r>
        <w:rPr>
          <w:rFonts w:ascii="宋体" w:hAnsi="宋体" w:eastAsia="宋体" w:cs="宋体"/>
          <w:spacing w:val="7"/>
          <w:sz w:val="23"/>
          <w:szCs w:val="23"/>
        </w:rPr>
        <w:t>水、原料原料初洗工序用水、洗字工序用水、二次清洗工序用水以及循环冷却</w:t>
      </w:r>
      <w:r>
        <w:rPr>
          <w:rFonts w:ascii="宋体" w:hAnsi="宋体" w:eastAsia="宋体" w:cs="宋体"/>
          <w:sz w:val="23"/>
          <w:szCs w:val="23"/>
        </w:rPr>
        <w:t xml:space="preserve"> </w:t>
      </w:r>
      <w:r>
        <w:rPr>
          <w:rFonts w:ascii="宋体" w:hAnsi="宋体" w:eastAsia="宋体" w:cs="宋体"/>
          <w:spacing w:val="8"/>
          <w:sz w:val="23"/>
          <w:szCs w:val="23"/>
        </w:rPr>
        <w:t>水。该项目</w:t>
      </w:r>
      <w:r>
        <w:rPr>
          <w:rFonts w:ascii="宋体" w:hAnsi="宋体" w:eastAsia="宋体" w:cs="宋体"/>
          <w:spacing w:val="7"/>
          <w:sz w:val="23"/>
          <w:szCs w:val="23"/>
        </w:rPr>
        <w:t>新</w:t>
      </w:r>
      <w:r>
        <w:rPr>
          <w:rFonts w:ascii="宋体" w:hAnsi="宋体" w:eastAsia="宋体" w:cs="宋体"/>
          <w:spacing w:val="4"/>
          <w:sz w:val="23"/>
          <w:szCs w:val="23"/>
        </w:rPr>
        <w:t xml:space="preserve">鲜水总用量为 </w:t>
      </w:r>
      <w:r>
        <w:rPr>
          <w:rFonts w:ascii="Times New Roman" w:hAnsi="Times New Roman" w:eastAsia="Times New Roman" w:cs="Times New Roman"/>
          <w:spacing w:val="4"/>
          <w:sz w:val="23"/>
          <w:szCs w:val="23"/>
        </w:rPr>
        <w:t>3732</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，新鲜水均由当地自来水管网提供。该项目</w:t>
      </w:r>
      <w:r>
        <w:rPr>
          <w:rFonts w:ascii="宋体" w:hAnsi="宋体" w:eastAsia="宋体" w:cs="宋体"/>
          <w:sz w:val="23"/>
          <w:szCs w:val="23"/>
        </w:rPr>
        <w:t xml:space="preserve"> </w:t>
      </w:r>
      <w:r>
        <w:rPr>
          <w:rFonts w:ascii="宋体" w:hAnsi="宋体" w:eastAsia="宋体" w:cs="宋体"/>
          <w:spacing w:val="14"/>
          <w:sz w:val="23"/>
          <w:szCs w:val="23"/>
        </w:rPr>
        <w:t>废水主要为生活污水以及生产废水，其中生产废水主要包括破碎工序产生的</w:t>
      </w:r>
      <w:r>
        <w:rPr>
          <w:rFonts w:ascii="宋体" w:hAnsi="宋体" w:eastAsia="宋体" w:cs="宋体"/>
          <w:spacing w:val="13"/>
          <w:sz w:val="23"/>
          <w:szCs w:val="23"/>
        </w:rPr>
        <w:t>废</w:t>
      </w:r>
      <w:r>
        <w:rPr>
          <w:rFonts w:ascii="宋体" w:hAnsi="宋体" w:eastAsia="宋体" w:cs="宋体"/>
          <w:sz w:val="23"/>
          <w:szCs w:val="23"/>
        </w:rPr>
        <w:t xml:space="preserve"> </w:t>
      </w:r>
      <w:r>
        <w:rPr>
          <w:rFonts w:ascii="宋体" w:hAnsi="宋体" w:eastAsia="宋体" w:cs="宋体"/>
          <w:spacing w:val="9"/>
          <w:sz w:val="23"/>
          <w:szCs w:val="23"/>
        </w:rPr>
        <w:t>水</w:t>
      </w:r>
      <w:r>
        <w:rPr>
          <w:rFonts w:ascii="宋体" w:hAnsi="宋体" w:eastAsia="宋体" w:cs="宋体"/>
          <w:spacing w:val="7"/>
          <w:sz w:val="23"/>
          <w:szCs w:val="23"/>
        </w:rPr>
        <w:t>，原料初洗工序、洗字工序、二次清洗工序产生的清洗废水、脱水工序产生的</w:t>
      </w:r>
      <w:r>
        <w:rPr>
          <w:rFonts w:ascii="宋体" w:hAnsi="宋体" w:eastAsia="宋体" w:cs="宋体"/>
          <w:sz w:val="23"/>
          <w:szCs w:val="23"/>
        </w:rPr>
        <w:t xml:space="preserve"> </w:t>
      </w:r>
      <w:r>
        <w:rPr>
          <w:rFonts w:ascii="宋体" w:hAnsi="宋体" w:eastAsia="宋体" w:cs="宋体"/>
          <w:spacing w:val="10"/>
          <w:sz w:val="23"/>
          <w:szCs w:val="23"/>
        </w:rPr>
        <w:t>废水</w:t>
      </w:r>
      <w:r>
        <w:rPr>
          <w:rFonts w:ascii="宋体" w:hAnsi="宋体" w:eastAsia="宋体" w:cs="宋体"/>
          <w:spacing w:val="6"/>
          <w:sz w:val="23"/>
          <w:szCs w:val="23"/>
        </w:rPr>
        <w:t>以</w:t>
      </w:r>
      <w:r>
        <w:rPr>
          <w:rFonts w:ascii="宋体" w:hAnsi="宋体" w:eastAsia="宋体" w:cs="宋体"/>
          <w:spacing w:val="5"/>
          <w:sz w:val="23"/>
          <w:szCs w:val="23"/>
        </w:rPr>
        <w:t xml:space="preserve">及循环冷却废水，总排水量为 </w:t>
      </w:r>
      <w:r>
        <w:rPr>
          <w:rFonts w:ascii="Times New Roman" w:hAnsi="Times New Roman" w:eastAsia="Times New Roman" w:cs="Times New Roman"/>
          <w:spacing w:val="5"/>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w:t>
      </w:r>
    </w:p>
    <w:p w14:paraId="2176AF20">
      <w:pPr>
        <w:sectPr>
          <w:headerReference r:id="rId131" w:type="default"/>
          <w:footerReference r:id="rId132" w:type="default"/>
          <w:pgSz w:w="11906" w:h="16839"/>
          <w:pgMar w:top="1132" w:right="1784" w:bottom="1182" w:left="1785" w:header="878" w:footer="1022" w:gutter="0"/>
          <w:cols w:space="720" w:num="1"/>
        </w:sectPr>
      </w:pPr>
    </w:p>
    <w:p w14:paraId="257A148A">
      <w:pPr>
        <w:spacing w:line="409" w:lineRule="auto"/>
        <w:rPr>
          <w:rFonts w:ascii="Arial"/>
          <w:sz w:val="21"/>
        </w:rPr>
      </w:pPr>
      <w:r>
        <w:pict>
          <v:shape id="_x0000_s1179" o:spid="_x0000_s1179" style="position:absolute;left:0pt;margin-left:90pt;margin-top:57.35pt;height:0.75pt;width:415.3pt;mso-position-horizontal-relative:page;mso-position-vertical-relative:page;z-index:251815936;mso-width-relative:page;mso-height-relative:page;" fillcolor="#000000" filled="t" stroked="f" coordsize="8305,15" o:allowincell="f" path="m0,0l8305,0,8305,14,0,14,0,0xe">
            <v:path/>
            <v:fill on="t" focussize="0,0"/>
            <v:stroke on="f"/>
            <v:imagedata o:title=""/>
            <o:lock v:ext="edit"/>
          </v:shape>
        </w:pict>
      </w:r>
    </w:p>
    <w:p w14:paraId="7A46FDD9">
      <w:pPr>
        <w:spacing w:before="74" w:line="227" w:lineRule="auto"/>
        <w:ind w:left="50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9"/>
          <w:sz w:val="23"/>
          <w:szCs w:val="23"/>
        </w:rPr>
        <w:t>.</w:t>
      </w:r>
      <w:r>
        <w:rPr>
          <w:rFonts w:ascii="宋体" w:hAnsi="宋体" w:eastAsia="宋体" w:cs="宋体"/>
          <w:spacing w:val="7"/>
          <w:sz w:val="23"/>
          <w:szCs w:val="23"/>
        </w:rPr>
        <w:t>生活用水</w:t>
      </w:r>
    </w:p>
    <w:p w14:paraId="09F13B67">
      <w:pPr>
        <w:spacing w:line="276" w:lineRule="auto"/>
        <w:rPr>
          <w:rFonts w:ascii="Arial"/>
          <w:sz w:val="21"/>
        </w:rPr>
      </w:pPr>
    </w:p>
    <w:p w14:paraId="5032A259">
      <w:pPr>
        <w:spacing w:before="75" w:line="382" w:lineRule="auto"/>
        <w:ind w:left="23" w:firstLine="483"/>
        <w:rPr>
          <w:rFonts w:ascii="宋体" w:hAnsi="宋体" w:eastAsia="宋体" w:cs="宋体"/>
          <w:sz w:val="23"/>
          <w:szCs w:val="23"/>
        </w:rPr>
      </w:pPr>
      <w:r>
        <w:rPr>
          <w:rFonts w:ascii="宋体" w:hAnsi="宋体" w:eastAsia="宋体" w:cs="宋体"/>
          <w:spacing w:val="8"/>
          <w:sz w:val="23"/>
          <w:szCs w:val="23"/>
        </w:rPr>
        <w:t>该项目劳动定员</w:t>
      </w:r>
      <w:r>
        <w:rPr>
          <w:rFonts w:ascii="宋体" w:hAnsi="宋体" w:eastAsia="宋体" w:cs="宋体"/>
          <w:spacing w:val="5"/>
          <w:sz w:val="23"/>
          <w:szCs w:val="23"/>
        </w:rPr>
        <w:t>为</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xml:space="preserve">80 </w:t>
      </w:r>
      <w:r>
        <w:rPr>
          <w:rFonts w:ascii="宋体" w:hAnsi="宋体" w:eastAsia="宋体" w:cs="宋体"/>
          <w:spacing w:val="4"/>
          <w:sz w:val="23"/>
          <w:szCs w:val="23"/>
        </w:rPr>
        <w:t>人，年工作</w:t>
      </w:r>
      <w:r>
        <w:rPr>
          <w:rFonts w:ascii="Times New Roman" w:hAnsi="Times New Roman" w:eastAsia="Times New Roman" w:cs="Times New Roman"/>
          <w:spacing w:val="4"/>
          <w:sz w:val="23"/>
          <w:szCs w:val="23"/>
        </w:rPr>
        <w:t xml:space="preserve">300 </w:t>
      </w:r>
      <w:r>
        <w:rPr>
          <w:rFonts w:ascii="宋体" w:hAnsi="宋体" w:eastAsia="宋体" w:cs="宋体"/>
          <w:spacing w:val="4"/>
          <w:sz w:val="23"/>
          <w:szCs w:val="23"/>
        </w:rPr>
        <w:t xml:space="preserve">天，实行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班制，每班工作 </w:t>
      </w:r>
      <w:r>
        <w:rPr>
          <w:rFonts w:ascii="Times New Roman" w:hAnsi="Times New Roman" w:eastAsia="Times New Roman" w:cs="Times New Roman"/>
          <w:spacing w:val="4"/>
          <w:sz w:val="23"/>
          <w:szCs w:val="23"/>
        </w:rPr>
        <w:t xml:space="preserve">12 </w:t>
      </w:r>
      <w:r>
        <w:rPr>
          <w:rFonts w:ascii="宋体" w:hAnsi="宋体" w:eastAsia="宋体" w:cs="宋体"/>
          <w:spacing w:val="4"/>
          <w:sz w:val="23"/>
          <w:szCs w:val="23"/>
        </w:rPr>
        <w:t>小时。</w:t>
      </w:r>
      <w:r>
        <w:rPr>
          <w:rFonts w:ascii="宋体" w:hAnsi="宋体" w:eastAsia="宋体" w:cs="宋体"/>
          <w:sz w:val="23"/>
          <w:szCs w:val="23"/>
        </w:rPr>
        <w:t xml:space="preserve"> </w:t>
      </w:r>
      <w:r>
        <w:rPr>
          <w:rFonts w:ascii="宋体" w:hAnsi="宋体" w:eastAsia="宋体" w:cs="宋体"/>
          <w:spacing w:val="16"/>
          <w:sz w:val="23"/>
          <w:szCs w:val="23"/>
        </w:rPr>
        <w:t>根</w:t>
      </w:r>
      <w:r>
        <w:rPr>
          <w:rFonts w:ascii="宋体" w:hAnsi="宋体" w:eastAsia="宋体" w:cs="宋体"/>
          <w:spacing w:val="14"/>
          <w:sz w:val="23"/>
          <w:szCs w:val="23"/>
        </w:rPr>
        <w:t>据</w:t>
      </w:r>
      <w:r>
        <w:rPr>
          <w:rFonts w:ascii="宋体" w:hAnsi="宋体" w:eastAsia="宋体" w:cs="宋体"/>
          <w:spacing w:val="8"/>
          <w:sz w:val="23"/>
          <w:szCs w:val="23"/>
        </w:rPr>
        <w:t>《辽宁省行业用水定额》</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21/</w:t>
      </w:r>
      <w:r>
        <w:rPr>
          <w:rFonts w:ascii="Times New Roman" w:hAnsi="Times New Roman" w:eastAsia="Times New Roman" w:cs="Times New Roman"/>
          <w:sz w:val="23"/>
          <w:szCs w:val="23"/>
        </w:rPr>
        <w:t>T</w:t>
      </w:r>
      <w:r>
        <w:rPr>
          <w:rFonts w:ascii="Times New Roman" w:hAnsi="Times New Roman" w:eastAsia="Times New Roman" w:cs="Times New Roman"/>
          <w:spacing w:val="8"/>
          <w:sz w:val="23"/>
          <w:szCs w:val="23"/>
        </w:rPr>
        <w:t>1237-2015)</w:t>
      </w:r>
      <w:r>
        <w:rPr>
          <w:rFonts w:ascii="宋体" w:hAnsi="宋体" w:eastAsia="宋体" w:cs="宋体"/>
          <w:spacing w:val="8"/>
          <w:sz w:val="23"/>
          <w:szCs w:val="23"/>
        </w:rPr>
        <w:t xml:space="preserve">表 </w:t>
      </w:r>
      <w:r>
        <w:rPr>
          <w:rFonts w:ascii="Times New Roman" w:hAnsi="Times New Roman" w:eastAsia="Times New Roman" w:cs="Times New Roman"/>
          <w:spacing w:val="8"/>
          <w:sz w:val="23"/>
          <w:szCs w:val="23"/>
        </w:rPr>
        <w:t xml:space="preserve">168 </w:t>
      </w:r>
      <w:r>
        <w:rPr>
          <w:rFonts w:ascii="宋体" w:hAnsi="宋体" w:eastAsia="宋体" w:cs="宋体"/>
          <w:spacing w:val="8"/>
          <w:sz w:val="23"/>
          <w:szCs w:val="23"/>
        </w:rPr>
        <w:t>，员工生活用水定额取</w:t>
      </w:r>
      <w:r>
        <w:rPr>
          <w:rFonts w:ascii="宋体" w:hAnsi="宋体" w:eastAsia="宋体" w:cs="宋体"/>
          <w:sz w:val="23"/>
          <w:szCs w:val="23"/>
        </w:rPr>
        <w:t xml:space="preserve"> </w:t>
      </w:r>
      <w:r>
        <w:rPr>
          <w:rFonts w:ascii="Times New Roman" w:hAnsi="Times New Roman" w:eastAsia="Times New Roman" w:cs="Times New Roman"/>
          <w:spacing w:val="1"/>
          <w:sz w:val="23"/>
          <w:szCs w:val="23"/>
        </w:rPr>
        <w:t>50</w:t>
      </w:r>
      <w:r>
        <w:rPr>
          <w:rFonts w:ascii="Times New Roman" w:hAnsi="Times New Roman" w:eastAsia="Times New Roman" w:cs="Times New Roman"/>
          <w:sz w:val="23"/>
          <w:szCs w:val="23"/>
        </w:rPr>
        <w:t>L</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(人 </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宋体" w:hAnsi="宋体" w:eastAsia="宋体" w:cs="宋体"/>
          <w:spacing w:val="1"/>
          <w:sz w:val="23"/>
          <w:szCs w:val="23"/>
        </w:rPr>
        <w:t xml:space="preserve">) ，则员工生活用水量约为 </w:t>
      </w:r>
      <w:r>
        <w:rPr>
          <w:rFonts w:ascii="Times New Roman" w:hAnsi="Times New Roman" w:eastAsia="Times New Roman" w:cs="Times New Roman"/>
          <w:spacing w:val="1"/>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，即 </w:t>
      </w:r>
      <w:r>
        <w:rPr>
          <w:rFonts w:ascii="Times New Roman" w:hAnsi="Times New Roman" w:eastAsia="Times New Roman" w:cs="Times New Roman"/>
          <w:spacing w:val="1"/>
          <w:sz w:val="23"/>
          <w:szCs w:val="23"/>
        </w:rPr>
        <w:t>1200</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宋体" w:hAnsi="宋体" w:eastAsia="宋体" w:cs="宋体"/>
          <w:sz w:val="23"/>
          <w:szCs w:val="23"/>
        </w:rPr>
        <w:t xml:space="preserve">排放系数按 </w:t>
      </w:r>
      <w:r>
        <w:rPr>
          <w:rFonts w:ascii="Times New Roman" w:hAnsi="Times New Roman" w:eastAsia="Times New Roman" w:cs="Times New Roman"/>
          <w:sz w:val="23"/>
          <w:szCs w:val="23"/>
        </w:rPr>
        <w:t xml:space="preserve">0.8 </w:t>
      </w:r>
      <w:r>
        <w:rPr>
          <w:rFonts w:ascii="宋体" w:hAnsi="宋体" w:eastAsia="宋体" w:cs="宋体"/>
          <w:sz w:val="23"/>
          <w:szCs w:val="23"/>
        </w:rPr>
        <w:t xml:space="preserve">计 </w:t>
      </w:r>
      <w:r>
        <w:rPr>
          <w:rFonts w:ascii="宋体" w:hAnsi="宋体" w:eastAsia="宋体" w:cs="宋体"/>
          <w:spacing w:val="-2"/>
          <w:sz w:val="23"/>
          <w:szCs w:val="23"/>
        </w:rPr>
        <w:t xml:space="preserve">算，则生活污水产生量为 </w:t>
      </w:r>
      <w:r>
        <w:rPr>
          <w:rFonts w:ascii="Times New Roman" w:hAnsi="Times New Roman" w:eastAsia="Times New Roman" w:cs="Times New Roman"/>
          <w:spacing w:val="-2"/>
          <w:sz w:val="23"/>
          <w:szCs w:val="23"/>
        </w:rPr>
        <w:t>3.2</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宋体" w:hAnsi="宋体" w:eastAsia="宋体" w:cs="宋体"/>
          <w:spacing w:val="-1"/>
          <w:sz w:val="23"/>
          <w:szCs w:val="23"/>
        </w:rPr>
        <w:t xml:space="preserve">即 </w:t>
      </w:r>
      <w:r>
        <w:rPr>
          <w:rFonts w:ascii="Times New Roman" w:hAnsi="Times New Roman" w:eastAsia="Times New Roman" w:cs="Times New Roman"/>
          <w:spacing w:val="-1"/>
          <w:sz w:val="23"/>
          <w:szCs w:val="23"/>
        </w:rPr>
        <w:t>960m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/a</w:t>
      </w:r>
      <w:r>
        <w:rPr>
          <w:rFonts w:ascii="宋体" w:hAnsi="宋体" w:eastAsia="宋体" w:cs="宋体"/>
          <w:spacing w:val="-1"/>
          <w:sz w:val="23"/>
          <w:szCs w:val="23"/>
        </w:rPr>
        <w:t xml:space="preserve">。废水中主要污染物 </w:t>
      </w:r>
      <w:r>
        <w:rPr>
          <w:rFonts w:ascii="Times New Roman" w:hAnsi="Times New Roman" w:eastAsia="Times New Roman" w:cs="Times New Roman"/>
          <w:spacing w:val="-1"/>
          <w:sz w:val="23"/>
          <w:szCs w:val="23"/>
        </w:rPr>
        <w:t>COD</w:t>
      </w:r>
      <w:r>
        <w:rPr>
          <w:rFonts w:ascii="宋体" w:hAnsi="宋体" w:eastAsia="宋体" w:cs="宋体"/>
          <w:spacing w:val="-1"/>
          <w:sz w:val="23"/>
          <w:szCs w:val="23"/>
        </w:rPr>
        <w:t>、</w:t>
      </w:r>
      <w:r>
        <w:rPr>
          <w:rFonts w:ascii="Times New Roman" w:hAnsi="Times New Roman" w:eastAsia="Times New Roman" w:cs="Times New Roman"/>
          <w:spacing w:val="-1"/>
          <w:sz w:val="23"/>
          <w:szCs w:val="23"/>
        </w:rPr>
        <w:t>BOD</w:t>
      </w:r>
      <w:r>
        <w:rPr>
          <w:rFonts w:ascii="Times New Roman" w:hAnsi="Times New Roman" w:eastAsia="Times New Roman" w:cs="Times New Roman"/>
          <w:spacing w:val="-1"/>
          <w:position w:val="-1"/>
          <w:sz w:val="15"/>
          <w:szCs w:val="15"/>
        </w:rPr>
        <w:t>5</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26"/>
          <w:sz w:val="23"/>
          <w:szCs w:val="23"/>
        </w:rPr>
        <w:t xml:space="preserve"> </w:t>
      </w:r>
      <w:r>
        <w:rPr>
          <w:rFonts w:ascii="宋体" w:hAnsi="宋体" w:eastAsia="宋体" w:cs="宋体"/>
          <w:spacing w:val="24"/>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13"/>
          <w:position w:val="-1"/>
          <w:sz w:val="15"/>
          <w:szCs w:val="15"/>
        </w:rPr>
        <w:t>3</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。该项目在厂区东南侧设有旱厕，员工使用防渗旱厕，定期清掏，</w:t>
      </w:r>
      <w:r>
        <w:rPr>
          <w:rFonts w:ascii="宋体" w:hAnsi="宋体" w:eastAsia="宋体" w:cs="宋体"/>
          <w:sz w:val="23"/>
          <w:szCs w:val="23"/>
        </w:rPr>
        <w:t xml:space="preserve"> </w:t>
      </w:r>
      <w:r>
        <w:rPr>
          <w:rFonts w:ascii="宋体" w:hAnsi="宋体" w:eastAsia="宋体" w:cs="宋体"/>
          <w:spacing w:val="11"/>
          <w:sz w:val="23"/>
          <w:szCs w:val="23"/>
        </w:rPr>
        <w:t>不外排。</w:t>
      </w:r>
    </w:p>
    <w:p w14:paraId="2EC0B86E">
      <w:pPr>
        <w:spacing w:before="137" w:line="323" w:lineRule="exact"/>
        <w:ind w:left="496"/>
        <w:rPr>
          <w:rFonts w:ascii="宋体" w:hAnsi="宋体" w:eastAsia="宋体" w:cs="宋体"/>
          <w:sz w:val="23"/>
          <w:szCs w:val="23"/>
        </w:rPr>
      </w:pPr>
      <w:r>
        <w:rPr>
          <w:rFonts w:ascii="Times New Roman" w:hAnsi="Times New Roman" w:eastAsia="Times New Roman" w:cs="Times New Roman"/>
          <w:position w:val="1"/>
          <w:sz w:val="23"/>
          <w:szCs w:val="23"/>
        </w:rPr>
        <w:t>b</w:t>
      </w:r>
      <w:r>
        <w:rPr>
          <w:rFonts w:ascii="Times New Roman" w:hAnsi="Times New Roman" w:eastAsia="Times New Roman" w:cs="Times New Roman"/>
          <w:spacing w:val="13"/>
          <w:position w:val="1"/>
          <w:sz w:val="23"/>
          <w:szCs w:val="23"/>
        </w:rPr>
        <w:t>.</w:t>
      </w:r>
      <w:r>
        <w:rPr>
          <w:rFonts w:ascii="宋体" w:hAnsi="宋体" w:eastAsia="宋体" w:cs="宋体"/>
          <w:spacing w:val="9"/>
          <w:position w:val="1"/>
          <w:sz w:val="23"/>
          <w:szCs w:val="23"/>
        </w:rPr>
        <w:t>破碎工序用水</w:t>
      </w:r>
    </w:p>
    <w:p w14:paraId="167CBBED">
      <w:pPr>
        <w:spacing w:before="309" w:line="385" w:lineRule="auto"/>
        <w:ind w:left="22" w:right="28" w:firstLine="484"/>
        <w:rPr>
          <w:rFonts w:ascii="宋体" w:hAnsi="宋体" w:eastAsia="宋体" w:cs="宋体"/>
          <w:sz w:val="23"/>
          <w:szCs w:val="23"/>
        </w:rPr>
      </w:pPr>
      <w:r>
        <w:rPr>
          <w:rFonts w:ascii="宋体" w:hAnsi="宋体" w:eastAsia="宋体" w:cs="宋体"/>
          <w:spacing w:val="4"/>
          <w:sz w:val="23"/>
          <w:szCs w:val="23"/>
        </w:rPr>
        <w:t>该项目用</w:t>
      </w:r>
      <w:r>
        <w:rPr>
          <w:rFonts w:ascii="宋体" w:hAnsi="宋体" w:eastAsia="宋体" w:cs="宋体"/>
          <w:spacing w:val="3"/>
          <w:sz w:val="23"/>
          <w:szCs w:val="23"/>
        </w:rPr>
        <w:t>于</w:t>
      </w:r>
      <w:r>
        <w:rPr>
          <w:rFonts w:ascii="宋体" w:hAnsi="宋体" w:eastAsia="宋体" w:cs="宋体"/>
          <w:spacing w:val="2"/>
          <w:sz w:val="23"/>
          <w:szCs w:val="23"/>
        </w:rPr>
        <w:t xml:space="preserve">破碎的原料为 </w:t>
      </w:r>
      <w:r>
        <w:rPr>
          <w:rFonts w:ascii="Times New Roman" w:hAnsi="Times New Roman" w:eastAsia="Times New Roman" w:cs="Times New Roman"/>
          <w:spacing w:val="2"/>
          <w:sz w:val="23"/>
          <w:szCs w:val="23"/>
        </w:rPr>
        <w:t>170</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51100</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 ，生产厂房内共设有 </w:t>
      </w:r>
      <w:r>
        <w:rPr>
          <w:rFonts w:ascii="Times New Roman" w:hAnsi="Times New Roman" w:eastAsia="Times New Roman" w:cs="Times New Roman"/>
          <w:spacing w:val="2"/>
          <w:sz w:val="23"/>
          <w:szCs w:val="23"/>
        </w:rPr>
        <w:t xml:space="preserve">10 </w:t>
      </w:r>
      <w:r>
        <w:rPr>
          <w:rFonts w:ascii="宋体" w:hAnsi="宋体" w:eastAsia="宋体" w:cs="宋体"/>
          <w:spacing w:val="2"/>
          <w:sz w:val="23"/>
          <w:szCs w:val="23"/>
        </w:rPr>
        <w:t>条破碎</w:t>
      </w:r>
      <w:r>
        <w:rPr>
          <w:rFonts w:ascii="宋体" w:hAnsi="宋体" w:eastAsia="宋体" w:cs="宋体"/>
          <w:sz w:val="23"/>
          <w:szCs w:val="23"/>
        </w:rPr>
        <w:t xml:space="preserve"> </w:t>
      </w:r>
      <w:r>
        <w:rPr>
          <w:rFonts w:ascii="宋体" w:hAnsi="宋体" w:eastAsia="宋体" w:cs="宋体"/>
          <w:spacing w:val="2"/>
          <w:sz w:val="23"/>
          <w:szCs w:val="23"/>
        </w:rPr>
        <w:t xml:space="preserve">线，每条破碎线的破碎能力为 </w:t>
      </w:r>
      <w:r>
        <w:rPr>
          <w:rFonts w:ascii="Times New Roman" w:hAnsi="Times New Roman" w:eastAsia="Times New Roman" w:cs="Times New Roman"/>
          <w:spacing w:val="2"/>
          <w:sz w:val="23"/>
          <w:szCs w:val="23"/>
        </w:rPr>
        <w:t>1</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t>
      </w:r>
      <w:r>
        <w:rPr>
          <w:rFonts w:ascii="宋体" w:hAnsi="宋体" w:eastAsia="宋体" w:cs="宋体"/>
          <w:spacing w:val="2"/>
          <w:sz w:val="23"/>
          <w:szCs w:val="23"/>
        </w:rPr>
        <w:t>。按照《废塑料综合利用行业规范条件</w:t>
      </w:r>
      <w:r>
        <w:rPr>
          <w:rFonts w:ascii="宋体" w:hAnsi="宋体" w:eastAsia="宋体" w:cs="宋体"/>
          <w:sz w:val="23"/>
          <w:szCs w:val="23"/>
        </w:rPr>
        <w:t xml:space="preserve">》要求， </w:t>
      </w:r>
      <w:r>
        <w:rPr>
          <w:rFonts w:ascii="宋体" w:hAnsi="宋体" w:eastAsia="宋体" w:cs="宋体"/>
          <w:spacing w:val="8"/>
          <w:sz w:val="23"/>
          <w:szCs w:val="23"/>
        </w:rPr>
        <w:t>废塑料破碎、清</w:t>
      </w:r>
      <w:r>
        <w:rPr>
          <w:rFonts w:ascii="宋体" w:hAnsi="宋体" w:eastAsia="宋体" w:cs="宋体"/>
          <w:spacing w:val="4"/>
          <w:sz w:val="23"/>
          <w:szCs w:val="23"/>
        </w:rPr>
        <w:t xml:space="preserve">洗、分选类企业的综合新水消耗应低于 </w:t>
      </w:r>
      <w:r>
        <w:rPr>
          <w:rFonts w:ascii="Times New Roman" w:hAnsi="Times New Roman" w:eastAsia="Times New Roman" w:cs="Times New Roman"/>
          <w:spacing w:val="4"/>
          <w:sz w:val="23"/>
          <w:szCs w:val="23"/>
        </w:rPr>
        <w:t xml:space="preserve">1.5 </w:t>
      </w:r>
      <w:r>
        <w:rPr>
          <w:rFonts w:ascii="宋体" w:hAnsi="宋体" w:eastAsia="宋体" w:cs="宋体"/>
          <w:spacing w:val="4"/>
          <w:sz w:val="23"/>
          <w:szCs w:val="23"/>
        </w:rPr>
        <w:t>吨</w:t>
      </w:r>
      <w:r>
        <w:rPr>
          <w:rFonts w:ascii="Times New Roman" w:hAnsi="Times New Roman" w:eastAsia="Times New Roman" w:cs="Times New Roman"/>
          <w:spacing w:val="4"/>
          <w:sz w:val="23"/>
          <w:szCs w:val="23"/>
        </w:rPr>
        <w:t>/</w:t>
      </w:r>
      <w:r>
        <w:rPr>
          <w:rFonts w:ascii="宋体" w:hAnsi="宋体" w:eastAsia="宋体" w:cs="宋体"/>
          <w:spacing w:val="4"/>
          <w:sz w:val="23"/>
          <w:szCs w:val="23"/>
        </w:rPr>
        <w:t>吨废塑料。根据建</w:t>
      </w:r>
      <w:r>
        <w:rPr>
          <w:rFonts w:ascii="宋体" w:hAnsi="宋体" w:eastAsia="宋体" w:cs="宋体"/>
          <w:sz w:val="23"/>
          <w:szCs w:val="23"/>
        </w:rPr>
        <w:t xml:space="preserve"> </w:t>
      </w:r>
      <w:r>
        <w:rPr>
          <w:rFonts w:ascii="宋体" w:hAnsi="宋体" w:eastAsia="宋体" w:cs="宋体"/>
          <w:spacing w:val="17"/>
          <w:sz w:val="23"/>
          <w:szCs w:val="23"/>
        </w:rPr>
        <w:t>设</w:t>
      </w:r>
      <w:r>
        <w:rPr>
          <w:rFonts w:ascii="宋体" w:hAnsi="宋体" w:eastAsia="宋体" w:cs="宋体"/>
          <w:spacing w:val="9"/>
          <w:sz w:val="23"/>
          <w:szCs w:val="23"/>
        </w:rPr>
        <w:t xml:space="preserve">单位和生产设备单位提供的技术资料，该项目破碎用水量为 </w:t>
      </w:r>
      <w:r>
        <w:rPr>
          <w:rFonts w:ascii="Times New Roman" w:hAnsi="Times New Roman" w:eastAsia="Times New Roman" w:cs="Times New Roman"/>
          <w:spacing w:val="9"/>
          <w:sz w:val="23"/>
          <w:szCs w:val="23"/>
        </w:rPr>
        <w:t>0. 1</w:t>
      </w:r>
      <w:r>
        <w:rPr>
          <w:rFonts w:ascii="Times New Roman" w:hAnsi="Times New Roman" w:eastAsia="Times New Roman" w:cs="Times New Roman"/>
          <w:sz w:val="23"/>
          <w:szCs w:val="23"/>
        </w:rPr>
        <w:t>t</w:t>
      </w:r>
      <w:r>
        <w:rPr>
          <w:rFonts w:ascii="Times New Roman" w:hAnsi="Times New Roman" w:eastAsia="Times New Roman" w:cs="Times New Roman"/>
          <w:spacing w:val="9"/>
          <w:sz w:val="23"/>
          <w:szCs w:val="23"/>
        </w:rPr>
        <w:t>/</w:t>
      </w:r>
      <w:r>
        <w:rPr>
          <w:rFonts w:ascii="宋体" w:hAnsi="宋体" w:eastAsia="宋体" w:cs="宋体"/>
          <w:spacing w:val="9"/>
          <w:sz w:val="23"/>
          <w:szCs w:val="23"/>
        </w:rPr>
        <w:t>吨原料，即</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0.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吨原料，则破碎工序用水量为 </w:t>
      </w:r>
      <w:r>
        <w:rPr>
          <w:rFonts w:ascii="Times New Roman" w:hAnsi="Times New Roman" w:eastAsia="Times New Roman" w:cs="Times New Roman"/>
          <w:spacing w:val="3"/>
          <w:sz w:val="23"/>
          <w:szCs w:val="23"/>
        </w:rPr>
        <w:t>17</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。破碎过程中水挥发量按破碎用水量</w:t>
      </w:r>
      <w:r>
        <w:rPr>
          <w:rFonts w:ascii="宋体" w:hAnsi="宋体" w:eastAsia="宋体" w:cs="宋体"/>
          <w:sz w:val="23"/>
          <w:szCs w:val="23"/>
        </w:rPr>
        <w:t xml:space="preserve"> </w:t>
      </w:r>
      <w:r>
        <w:rPr>
          <w:rFonts w:ascii="宋体" w:hAnsi="宋体" w:eastAsia="宋体" w:cs="宋体"/>
          <w:spacing w:val="1"/>
          <w:sz w:val="23"/>
          <w:szCs w:val="23"/>
        </w:rPr>
        <w:t xml:space="preserve">的 </w:t>
      </w:r>
      <w:r>
        <w:rPr>
          <w:rFonts w:ascii="Times New Roman" w:hAnsi="Times New Roman" w:eastAsia="Times New Roman" w:cs="Times New Roman"/>
          <w:spacing w:val="1"/>
          <w:sz w:val="23"/>
          <w:szCs w:val="23"/>
        </w:rPr>
        <w:t>5%</w:t>
      </w:r>
      <w:r>
        <w:rPr>
          <w:rFonts w:ascii="宋体" w:hAnsi="宋体" w:eastAsia="宋体" w:cs="宋体"/>
          <w:spacing w:val="1"/>
          <w:sz w:val="23"/>
          <w:szCs w:val="23"/>
        </w:rPr>
        <w:t xml:space="preserve">计，则补水量为 </w:t>
      </w:r>
      <w:r>
        <w:rPr>
          <w:rFonts w:ascii="Times New Roman" w:hAnsi="Times New Roman" w:eastAsia="Times New Roman" w:cs="Times New Roman"/>
          <w:spacing w:val="1"/>
          <w:sz w:val="23"/>
          <w:szCs w:val="23"/>
        </w:rPr>
        <w:t>0.8</w:t>
      </w:r>
      <w:r>
        <w:rPr>
          <w:rFonts w:ascii="Times New Roman" w:hAnsi="Times New Roman" w:eastAsia="Times New Roman" w:cs="Times New Roman"/>
          <w:sz w:val="23"/>
          <w:szCs w:val="23"/>
        </w:rPr>
        <w:t>5m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 xml:space="preserve">/d </w:t>
      </w:r>
      <w:r>
        <w:rPr>
          <w:rFonts w:ascii="宋体" w:hAnsi="宋体" w:eastAsia="宋体" w:cs="宋体"/>
          <w:sz w:val="23"/>
          <w:szCs w:val="23"/>
        </w:rPr>
        <w:t xml:space="preserve">，即 </w:t>
      </w:r>
      <w:r>
        <w:rPr>
          <w:rFonts w:ascii="Times New Roman" w:hAnsi="Times New Roman" w:eastAsia="Times New Roman" w:cs="Times New Roman"/>
          <w:sz w:val="23"/>
          <w:szCs w:val="23"/>
        </w:rPr>
        <w:t>255m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 xml:space="preserve">。综上所述，该项目排入沉淀池的循 </w:t>
      </w:r>
      <w:r>
        <w:rPr>
          <w:rFonts w:ascii="宋体" w:hAnsi="宋体" w:eastAsia="宋体" w:cs="宋体"/>
          <w:spacing w:val="6"/>
          <w:sz w:val="23"/>
          <w:szCs w:val="23"/>
        </w:rPr>
        <w:t xml:space="preserve">环水量为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6. 15</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，其中 </w:t>
      </w:r>
      <w:r>
        <w:rPr>
          <w:rFonts w:ascii="Times New Roman" w:hAnsi="Times New Roman" w:eastAsia="Times New Roman" w:cs="Times New Roman"/>
          <w:spacing w:val="3"/>
          <w:sz w:val="23"/>
          <w:szCs w:val="23"/>
        </w:rPr>
        <w:t>20%</w:t>
      </w:r>
      <w:r>
        <w:rPr>
          <w:rFonts w:ascii="宋体" w:hAnsi="宋体" w:eastAsia="宋体" w:cs="宋体"/>
          <w:spacing w:val="3"/>
          <w:sz w:val="23"/>
          <w:szCs w:val="23"/>
        </w:rPr>
        <w:t>的废水由破碎机直接排入沉淀池，其余由脱水机</w:t>
      </w:r>
      <w:r>
        <w:rPr>
          <w:rFonts w:ascii="宋体" w:hAnsi="宋体" w:eastAsia="宋体" w:cs="宋体"/>
          <w:sz w:val="23"/>
          <w:szCs w:val="23"/>
        </w:rPr>
        <w:t xml:space="preserve"> </w:t>
      </w:r>
      <w:r>
        <w:rPr>
          <w:rFonts w:ascii="宋体" w:hAnsi="宋体" w:eastAsia="宋体" w:cs="宋体"/>
          <w:spacing w:val="8"/>
          <w:sz w:val="23"/>
          <w:szCs w:val="23"/>
        </w:rPr>
        <w:t>脱水后排入沉淀池</w:t>
      </w:r>
      <w:r>
        <w:rPr>
          <w:rFonts w:ascii="宋体" w:hAnsi="宋体" w:eastAsia="宋体" w:cs="宋体"/>
          <w:spacing w:val="7"/>
          <w:sz w:val="23"/>
          <w:szCs w:val="23"/>
        </w:rPr>
        <w:t>。</w:t>
      </w:r>
    </w:p>
    <w:p w14:paraId="3D383C2F">
      <w:pPr>
        <w:spacing w:before="205" w:line="636" w:lineRule="exact"/>
        <w:ind w:left="502"/>
        <w:rPr>
          <w:rFonts w:ascii="宋体" w:hAnsi="宋体" w:eastAsia="宋体" w:cs="宋体"/>
          <w:sz w:val="23"/>
          <w:szCs w:val="23"/>
        </w:rPr>
      </w:pPr>
      <w:r>
        <w:rPr>
          <w:rFonts w:ascii="Times New Roman" w:hAnsi="Times New Roman" w:eastAsia="Times New Roman" w:cs="Times New Roman"/>
          <w:position w:val="31"/>
          <w:sz w:val="23"/>
          <w:szCs w:val="23"/>
        </w:rPr>
        <w:t>c</w:t>
      </w:r>
      <w:r>
        <w:rPr>
          <w:rFonts w:ascii="Times New Roman" w:hAnsi="Times New Roman" w:eastAsia="Times New Roman" w:cs="Times New Roman"/>
          <w:spacing w:val="9"/>
          <w:position w:val="31"/>
          <w:sz w:val="23"/>
          <w:szCs w:val="23"/>
        </w:rPr>
        <w:t>.</w:t>
      </w:r>
      <w:r>
        <w:rPr>
          <w:rFonts w:ascii="宋体" w:hAnsi="宋体" w:eastAsia="宋体" w:cs="宋体"/>
          <w:spacing w:val="8"/>
          <w:position w:val="31"/>
          <w:sz w:val="23"/>
          <w:szCs w:val="23"/>
        </w:rPr>
        <w:t>原料清洗用水</w:t>
      </w:r>
    </w:p>
    <w:p w14:paraId="1C4BDACF">
      <w:pPr>
        <w:spacing w:line="227" w:lineRule="auto"/>
        <w:ind w:left="522"/>
        <w:rPr>
          <w:rFonts w:ascii="宋体" w:hAnsi="宋体" w:eastAsia="宋体" w:cs="宋体"/>
          <w:sz w:val="23"/>
          <w:szCs w:val="23"/>
        </w:rPr>
      </w:pPr>
      <w:r>
        <w:rPr>
          <w:rFonts w:ascii="Times New Roman" w:hAnsi="Times New Roman" w:eastAsia="Times New Roman" w:cs="Times New Roman"/>
          <w:spacing w:val="4"/>
          <w:sz w:val="23"/>
          <w:szCs w:val="23"/>
        </w:rPr>
        <w:t>1</w:t>
      </w:r>
      <w:r>
        <w:rPr>
          <w:rFonts w:ascii="宋体" w:hAnsi="宋体" w:eastAsia="宋体" w:cs="宋体"/>
          <w:spacing w:val="4"/>
          <w:sz w:val="23"/>
          <w:szCs w:val="23"/>
        </w:rPr>
        <w:t>) 洗字工</w:t>
      </w:r>
      <w:r>
        <w:rPr>
          <w:rFonts w:ascii="宋体" w:hAnsi="宋体" w:eastAsia="宋体" w:cs="宋体"/>
          <w:spacing w:val="2"/>
          <w:sz w:val="23"/>
          <w:szCs w:val="23"/>
        </w:rPr>
        <w:t>序</w:t>
      </w:r>
    </w:p>
    <w:p w14:paraId="2FC30A78">
      <w:pPr>
        <w:spacing w:line="277" w:lineRule="auto"/>
        <w:rPr>
          <w:rFonts w:ascii="Arial"/>
          <w:sz w:val="21"/>
        </w:rPr>
      </w:pPr>
    </w:p>
    <w:p w14:paraId="4D7A1B24">
      <w:pPr>
        <w:spacing w:before="76" w:line="386" w:lineRule="auto"/>
        <w:ind w:left="22" w:right="7" w:firstLine="480"/>
        <w:rPr>
          <w:rFonts w:ascii="宋体" w:hAnsi="宋体" w:eastAsia="宋体" w:cs="宋体"/>
          <w:sz w:val="23"/>
          <w:szCs w:val="23"/>
        </w:rPr>
      </w:pPr>
      <w:r>
        <w:rPr>
          <w:rFonts w:ascii="宋体" w:hAnsi="宋体" w:eastAsia="宋体" w:cs="宋体"/>
          <w:spacing w:val="14"/>
          <w:sz w:val="23"/>
          <w:szCs w:val="23"/>
        </w:rPr>
        <w:t>初洗后</w:t>
      </w:r>
      <w:r>
        <w:rPr>
          <w:rFonts w:ascii="宋体" w:hAnsi="宋体" w:eastAsia="宋体" w:cs="宋体"/>
          <w:spacing w:val="7"/>
          <w:sz w:val="23"/>
          <w:szCs w:val="23"/>
        </w:rPr>
        <w:t>的破碎料</w:t>
      </w:r>
      <w:r>
        <w:rPr>
          <w:rFonts w:ascii="宋体" w:hAnsi="宋体" w:eastAsia="宋体" w:cs="宋体"/>
          <w:spacing w:val="7"/>
          <w:sz w:val="20"/>
          <w:szCs w:val="20"/>
        </w:rPr>
        <w:t xml:space="preserve">由链条挖料机再送至 </w:t>
      </w:r>
      <w:r>
        <w:rPr>
          <w:rFonts w:ascii="Times New Roman" w:hAnsi="Times New Roman" w:eastAsia="Times New Roman" w:cs="Times New Roman"/>
          <w:spacing w:val="7"/>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的洗字槽(</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m</w:t>
      </w:r>
      <w:r>
        <w:rPr>
          <w:rFonts w:ascii="宋体" w:hAnsi="宋体" w:eastAsia="宋体" w:cs="宋体"/>
          <w:spacing w:val="7"/>
          <w:sz w:val="20"/>
          <w:szCs w:val="20"/>
        </w:rPr>
        <w:t>)进行洗字处理</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6"/>
          <w:sz w:val="23"/>
          <w:szCs w:val="23"/>
        </w:rPr>
        <w:t>该</w:t>
      </w:r>
      <w:r>
        <w:rPr>
          <w:rFonts w:ascii="宋体" w:hAnsi="宋体" w:eastAsia="宋体" w:cs="宋体"/>
          <w:spacing w:val="3"/>
          <w:sz w:val="23"/>
          <w:szCs w:val="23"/>
        </w:rPr>
        <w:t xml:space="preserve">项目设有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台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的热风炉，用于洗字槽加热，洗字过程需将洗字槽中的水加</w:t>
      </w:r>
      <w:r>
        <w:rPr>
          <w:rFonts w:ascii="宋体" w:hAnsi="宋体" w:eastAsia="宋体" w:cs="宋体"/>
          <w:sz w:val="23"/>
          <w:szCs w:val="23"/>
        </w:rPr>
        <w:t xml:space="preserve"> </w:t>
      </w:r>
      <w:r>
        <w:rPr>
          <w:rFonts w:ascii="宋体" w:hAnsi="宋体" w:eastAsia="宋体" w:cs="宋体"/>
          <w:spacing w:val="8"/>
          <w:sz w:val="23"/>
          <w:szCs w:val="23"/>
        </w:rPr>
        <w:t>热至</w:t>
      </w:r>
      <w:r>
        <w:rPr>
          <w:rFonts w:ascii="宋体" w:hAnsi="宋体" w:eastAsia="宋体" w:cs="宋体"/>
          <w:spacing w:val="7"/>
          <w:sz w:val="23"/>
          <w:szCs w:val="23"/>
        </w:rPr>
        <w:t xml:space="preserve"> </w:t>
      </w:r>
      <w:r>
        <w:rPr>
          <w:rFonts w:ascii="Times New Roman" w:hAnsi="Times New Roman" w:eastAsia="Times New Roman" w:cs="Times New Roman"/>
          <w:spacing w:val="4"/>
          <w:sz w:val="23"/>
          <w:szCs w:val="23"/>
        </w:rPr>
        <w:t>60-80℃</w:t>
      </w:r>
      <w:r>
        <w:rPr>
          <w:rFonts w:ascii="宋体" w:hAnsi="宋体" w:eastAsia="宋体" w:cs="宋体"/>
          <w:spacing w:val="4"/>
          <w:sz w:val="23"/>
          <w:szCs w:val="23"/>
        </w:rPr>
        <w:t xml:space="preserve">左右，随后加入清洗剂，将热水调配成浓度为 </w:t>
      </w:r>
      <w:r>
        <w:rPr>
          <w:rFonts w:ascii="Times New Roman" w:hAnsi="Times New Roman" w:eastAsia="Times New Roman" w:cs="Times New Roman"/>
          <w:spacing w:val="4"/>
          <w:sz w:val="23"/>
          <w:szCs w:val="23"/>
        </w:rPr>
        <w:t>1%</w:t>
      </w:r>
      <w:r>
        <w:rPr>
          <w:rFonts w:ascii="宋体" w:hAnsi="宋体" w:eastAsia="宋体" w:cs="宋体"/>
          <w:spacing w:val="4"/>
          <w:sz w:val="23"/>
          <w:szCs w:val="23"/>
        </w:rPr>
        <w:t>的清洗剂水溶液，</w:t>
      </w:r>
      <w:r>
        <w:rPr>
          <w:rFonts w:ascii="宋体" w:hAnsi="宋体" w:eastAsia="宋体" w:cs="宋体"/>
          <w:sz w:val="23"/>
          <w:szCs w:val="23"/>
        </w:rPr>
        <w:t xml:space="preserve"> </w:t>
      </w:r>
      <w:r>
        <w:rPr>
          <w:rFonts w:ascii="宋体" w:hAnsi="宋体" w:eastAsia="宋体" w:cs="宋体"/>
          <w:spacing w:val="9"/>
          <w:sz w:val="23"/>
          <w:szCs w:val="23"/>
        </w:rPr>
        <w:t>待</w:t>
      </w:r>
      <w:r>
        <w:rPr>
          <w:rFonts w:ascii="宋体" w:hAnsi="宋体" w:eastAsia="宋体" w:cs="宋体"/>
          <w:spacing w:val="7"/>
          <w:sz w:val="23"/>
          <w:szCs w:val="23"/>
        </w:rPr>
        <w:t>清洗剂完全溶解后，将破碎料放入其中浸泡，以达到去除废旧塑料编织袋表面</w:t>
      </w:r>
      <w:r>
        <w:rPr>
          <w:rFonts w:ascii="宋体" w:hAnsi="宋体" w:eastAsia="宋体" w:cs="宋体"/>
          <w:sz w:val="23"/>
          <w:szCs w:val="23"/>
        </w:rPr>
        <w:t xml:space="preserve"> </w:t>
      </w:r>
      <w:r>
        <w:rPr>
          <w:rFonts w:ascii="宋体" w:hAnsi="宋体" w:eastAsia="宋体" w:cs="宋体"/>
          <w:spacing w:val="9"/>
          <w:sz w:val="23"/>
          <w:szCs w:val="23"/>
        </w:rPr>
        <w:t>油</w:t>
      </w:r>
      <w:r>
        <w:rPr>
          <w:rFonts w:ascii="宋体" w:hAnsi="宋体" w:eastAsia="宋体" w:cs="宋体"/>
          <w:spacing w:val="7"/>
          <w:sz w:val="23"/>
          <w:szCs w:val="23"/>
        </w:rPr>
        <w:t>墨字迹的作用。根据建设单位和生产设备单位提供的技术资料，该项目洗字工</w:t>
      </w:r>
      <w:r>
        <w:rPr>
          <w:rFonts w:ascii="宋体" w:hAnsi="宋体" w:eastAsia="宋体" w:cs="宋体"/>
          <w:sz w:val="23"/>
          <w:szCs w:val="23"/>
        </w:rPr>
        <w:t xml:space="preserve"> </w:t>
      </w:r>
      <w:r>
        <w:rPr>
          <w:rFonts w:ascii="宋体" w:hAnsi="宋体" w:eastAsia="宋体" w:cs="宋体"/>
          <w:spacing w:val="6"/>
          <w:sz w:val="23"/>
          <w:szCs w:val="23"/>
        </w:rPr>
        <w:t>序清洗剂</w:t>
      </w:r>
      <w:r>
        <w:rPr>
          <w:rFonts w:ascii="宋体" w:hAnsi="宋体" w:eastAsia="宋体" w:cs="宋体"/>
          <w:spacing w:val="4"/>
          <w:sz w:val="23"/>
          <w:szCs w:val="23"/>
        </w:rPr>
        <w:t>用</w:t>
      </w:r>
      <w:r>
        <w:rPr>
          <w:rFonts w:ascii="宋体" w:hAnsi="宋体" w:eastAsia="宋体" w:cs="宋体"/>
          <w:spacing w:val="3"/>
          <w:sz w:val="23"/>
          <w:szCs w:val="23"/>
        </w:rPr>
        <w:t xml:space="preserve">量为 </w:t>
      </w:r>
      <w:r>
        <w:rPr>
          <w:rFonts w:ascii="Times New Roman" w:hAnsi="Times New Roman" w:eastAsia="Times New Roman" w:cs="Times New Roman"/>
          <w:spacing w:val="3"/>
          <w:sz w:val="23"/>
          <w:szCs w:val="23"/>
        </w:rPr>
        <w:t>0.2</w:t>
      </w:r>
      <w:r>
        <w:rPr>
          <w:rFonts w:ascii="Times New Roman" w:hAnsi="Times New Roman" w:eastAsia="Times New Roman" w:cs="Times New Roman"/>
          <w:sz w:val="23"/>
          <w:szCs w:val="23"/>
        </w:rPr>
        <w:t>kg</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吨原料，用水量为 </w:t>
      </w:r>
      <w:r>
        <w:rPr>
          <w:rFonts w:ascii="Times New Roman" w:hAnsi="Times New Roman" w:eastAsia="Times New Roman" w:cs="Times New Roman"/>
          <w:spacing w:val="3"/>
          <w:sz w:val="23"/>
          <w:szCs w:val="23"/>
        </w:rPr>
        <w:t>0.02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吨原料，即 </w:t>
      </w:r>
      <w:r>
        <w:rPr>
          <w:rFonts w:ascii="Times New Roman" w:hAnsi="Times New Roman" w:eastAsia="Times New Roman" w:cs="Times New Roman"/>
          <w:spacing w:val="3"/>
          <w:sz w:val="23"/>
          <w:szCs w:val="23"/>
        </w:rPr>
        <w:t>0.02</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宋体" w:hAnsi="宋体" w:eastAsia="宋体" w:cs="宋体"/>
          <w:spacing w:val="3"/>
          <w:sz w:val="23"/>
          <w:szCs w:val="23"/>
        </w:rPr>
        <w:t>吨原料，该项</w:t>
      </w:r>
      <w:r>
        <w:rPr>
          <w:rFonts w:ascii="宋体" w:hAnsi="宋体" w:eastAsia="宋体" w:cs="宋体"/>
          <w:sz w:val="23"/>
          <w:szCs w:val="23"/>
        </w:rPr>
        <w:t xml:space="preserve"> </w:t>
      </w:r>
      <w:r>
        <w:rPr>
          <w:rFonts w:ascii="宋体" w:hAnsi="宋体" w:eastAsia="宋体" w:cs="宋体"/>
          <w:spacing w:val="4"/>
          <w:sz w:val="23"/>
          <w:szCs w:val="23"/>
        </w:rPr>
        <w:t>目</w:t>
      </w:r>
      <w:r>
        <w:rPr>
          <w:rFonts w:ascii="宋体" w:hAnsi="宋体" w:eastAsia="宋体" w:cs="宋体"/>
          <w:spacing w:val="3"/>
          <w:sz w:val="23"/>
          <w:szCs w:val="23"/>
        </w:rPr>
        <w:t>进</w:t>
      </w:r>
      <w:r>
        <w:rPr>
          <w:rFonts w:ascii="宋体" w:hAnsi="宋体" w:eastAsia="宋体" w:cs="宋体"/>
          <w:spacing w:val="2"/>
          <w:sz w:val="23"/>
          <w:szCs w:val="23"/>
        </w:rPr>
        <w:t xml:space="preserve">入洗字工序的原料为 </w:t>
      </w:r>
      <w:r>
        <w:rPr>
          <w:rFonts w:ascii="Times New Roman" w:hAnsi="Times New Roman" w:eastAsia="Times New Roman" w:cs="Times New Roman"/>
          <w:spacing w:val="2"/>
          <w:sz w:val="23"/>
          <w:szCs w:val="23"/>
        </w:rPr>
        <w:t>170</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51100</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 ，则洗字工序用水量为 </w:t>
      </w:r>
      <w:r>
        <w:rPr>
          <w:rFonts w:ascii="Times New Roman" w:hAnsi="Times New Roman" w:eastAsia="Times New Roman" w:cs="Times New Roman"/>
          <w:spacing w:val="2"/>
          <w:sz w:val="23"/>
          <w:szCs w:val="23"/>
        </w:rPr>
        <w:t>3.4</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，即</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102</w:t>
      </w:r>
      <w:r>
        <w:rPr>
          <w:rFonts w:ascii="Times New Roman" w:hAnsi="Times New Roman" w:eastAsia="Times New Roman" w:cs="Times New Roman"/>
          <w:spacing w:val="8"/>
          <w:sz w:val="23"/>
          <w:szCs w:val="23"/>
        </w:rPr>
        <w:t>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 xml:space="preserve">。洗字过程中水挥发量按初洗用水用量的 </w:t>
      </w:r>
      <w:r>
        <w:rPr>
          <w:rFonts w:ascii="Times New Roman" w:hAnsi="Times New Roman" w:eastAsia="Times New Roman" w:cs="Times New Roman"/>
          <w:spacing w:val="5"/>
          <w:sz w:val="23"/>
          <w:szCs w:val="23"/>
        </w:rPr>
        <w:t>10%</w:t>
      </w:r>
      <w:r>
        <w:rPr>
          <w:rFonts w:ascii="宋体" w:hAnsi="宋体" w:eastAsia="宋体" w:cs="宋体"/>
          <w:spacing w:val="5"/>
          <w:sz w:val="23"/>
          <w:szCs w:val="23"/>
        </w:rPr>
        <w:t>计，则洗字工序补水量量</w:t>
      </w:r>
      <w:r>
        <w:rPr>
          <w:rFonts w:ascii="宋体" w:hAnsi="宋体" w:eastAsia="宋体" w:cs="宋体"/>
          <w:sz w:val="23"/>
          <w:szCs w:val="23"/>
        </w:rPr>
        <w:t xml:space="preserve"> </w:t>
      </w:r>
      <w:r>
        <w:rPr>
          <w:rFonts w:ascii="宋体" w:hAnsi="宋体" w:eastAsia="宋体" w:cs="宋体"/>
          <w:spacing w:val="-1"/>
          <w:sz w:val="23"/>
          <w:szCs w:val="23"/>
        </w:rPr>
        <w:t xml:space="preserve">为 </w:t>
      </w:r>
      <w:r>
        <w:rPr>
          <w:rFonts w:ascii="Times New Roman" w:hAnsi="Times New Roman" w:eastAsia="Times New Roman" w:cs="Times New Roman"/>
          <w:spacing w:val="-1"/>
          <w:sz w:val="23"/>
          <w:szCs w:val="23"/>
        </w:rPr>
        <w:t>0.34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，即 </w:t>
      </w:r>
      <w:r>
        <w:rPr>
          <w:rFonts w:ascii="Times New Roman" w:hAnsi="Times New Roman" w:eastAsia="Times New Roman" w:cs="Times New Roman"/>
          <w:spacing w:val="-1"/>
          <w:sz w:val="23"/>
          <w:szCs w:val="23"/>
        </w:rPr>
        <w:t>102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。综上所述，该项目排入沉淀池的循环水量为</w:t>
      </w:r>
      <w:r>
        <w:rPr>
          <w:rFonts w:ascii="宋体" w:hAnsi="宋体" w:eastAsia="宋体" w:cs="宋体"/>
          <w:sz w:val="23"/>
          <w:szCs w:val="23"/>
        </w:rPr>
        <w:t xml:space="preserve"> </w:t>
      </w:r>
      <w:r>
        <w:rPr>
          <w:rFonts w:ascii="Times New Roman" w:hAnsi="Times New Roman" w:eastAsia="Times New Roman" w:cs="Times New Roman"/>
          <w:sz w:val="23"/>
          <w:szCs w:val="23"/>
        </w:rPr>
        <w:t>3.06m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/d</w:t>
      </w:r>
      <w:r>
        <w:rPr>
          <w:rFonts w:ascii="宋体" w:hAnsi="宋体" w:eastAsia="宋体" w:cs="宋体"/>
          <w:sz w:val="23"/>
          <w:szCs w:val="23"/>
        </w:rPr>
        <w:t>。</w:t>
      </w:r>
    </w:p>
    <w:p w14:paraId="1FC938F0">
      <w:pPr>
        <w:sectPr>
          <w:headerReference r:id="rId133" w:type="default"/>
          <w:footerReference r:id="rId134" w:type="default"/>
          <w:pgSz w:w="11906" w:h="16839"/>
          <w:pgMar w:top="1132" w:right="1709" w:bottom="1182" w:left="1785" w:header="878" w:footer="1022" w:gutter="0"/>
          <w:cols w:space="720" w:num="1"/>
        </w:sectPr>
      </w:pPr>
    </w:p>
    <w:p w14:paraId="4BDD22A9">
      <w:pPr>
        <w:spacing w:line="408" w:lineRule="auto"/>
        <w:rPr>
          <w:rFonts w:ascii="Arial"/>
          <w:sz w:val="21"/>
        </w:rPr>
      </w:pPr>
      <w:r>
        <w:pict>
          <v:shape id="_x0000_s1180" o:spid="_x0000_s1180" style="position:absolute;left:0pt;margin-left:90pt;margin-top:57.35pt;height:0.75pt;width:415.3pt;mso-position-horizontal-relative:page;mso-position-vertical-relative:page;z-index:251816960;mso-width-relative:page;mso-height-relative:page;" fillcolor="#000000" filled="t" stroked="f" coordsize="8305,15" o:allowincell="f" path="m0,0l8305,0,8305,14,0,14,0,0xe">
            <v:path/>
            <v:fill on="t" focussize="0,0"/>
            <v:stroke on="f"/>
            <v:imagedata o:title=""/>
            <o:lock v:ext="edit"/>
          </v:shape>
        </w:pict>
      </w:r>
    </w:p>
    <w:p w14:paraId="18314AEE">
      <w:pPr>
        <w:spacing w:before="75" w:line="228" w:lineRule="auto"/>
        <w:ind w:left="499"/>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清洗工序</w:t>
      </w:r>
    </w:p>
    <w:p w14:paraId="6E204C5D">
      <w:pPr>
        <w:spacing w:line="274" w:lineRule="auto"/>
        <w:rPr>
          <w:rFonts w:ascii="Arial"/>
          <w:sz w:val="21"/>
        </w:rPr>
      </w:pPr>
    </w:p>
    <w:p w14:paraId="7A8F020B">
      <w:pPr>
        <w:spacing w:before="75" w:line="227" w:lineRule="auto"/>
        <w:ind w:left="507"/>
        <w:rPr>
          <w:rFonts w:ascii="宋体" w:hAnsi="宋体" w:eastAsia="宋体" w:cs="宋体"/>
          <w:sz w:val="23"/>
          <w:szCs w:val="23"/>
        </w:rPr>
      </w:pPr>
      <w:r>
        <w:rPr>
          <w:rFonts w:ascii="宋体" w:hAnsi="宋体" w:eastAsia="宋体" w:cs="宋体"/>
          <w:spacing w:val="12"/>
          <w:sz w:val="23"/>
          <w:szCs w:val="23"/>
        </w:rPr>
        <w:t>该项目清</w:t>
      </w:r>
      <w:r>
        <w:rPr>
          <w:rFonts w:ascii="宋体" w:hAnsi="宋体" w:eastAsia="宋体" w:cs="宋体"/>
          <w:spacing w:val="7"/>
          <w:sz w:val="23"/>
          <w:szCs w:val="23"/>
        </w:rPr>
        <w:t>洗</w:t>
      </w:r>
      <w:r>
        <w:rPr>
          <w:rFonts w:ascii="宋体" w:hAnsi="宋体" w:eastAsia="宋体" w:cs="宋体"/>
          <w:spacing w:val="6"/>
          <w:sz w:val="23"/>
          <w:szCs w:val="23"/>
        </w:rPr>
        <w:t>方式采用偏心清洗机，不加热、不加清洗剂，按照《废塑料综合</w:t>
      </w:r>
    </w:p>
    <w:p w14:paraId="1CD53FAA">
      <w:pPr>
        <w:tabs>
          <w:tab w:val="left" w:pos="148"/>
        </w:tabs>
        <w:spacing w:before="201" w:line="380" w:lineRule="auto"/>
        <w:ind w:left="22" w:right="32" w:firstLine="1"/>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用行业规范条件》要求，废塑料破碎、清洗、分选类企业的综合新水消耗低于</w:t>
      </w:r>
      <w:r>
        <w:rPr>
          <w:rFonts w:ascii="宋体" w:hAnsi="宋体" w:eastAsia="宋体" w:cs="宋体"/>
          <w:sz w:val="23"/>
          <w:szCs w:val="23"/>
        </w:rPr>
        <w:t xml:space="preserve"> </w:t>
      </w:r>
      <w:r>
        <w:rPr>
          <w:rFonts w:ascii="Times New Roman" w:hAnsi="Times New Roman" w:eastAsia="Times New Roman" w:cs="Times New Roman"/>
          <w:spacing w:val="8"/>
          <w:sz w:val="23"/>
          <w:szCs w:val="23"/>
        </w:rPr>
        <w:t xml:space="preserve">1.5 </w:t>
      </w:r>
      <w:r>
        <w:rPr>
          <w:rFonts w:ascii="宋体" w:hAnsi="宋体" w:eastAsia="宋体" w:cs="宋体"/>
          <w:spacing w:val="8"/>
          <w:sz w:val="23"/>
          <w:szCs w:val="23"/>
        </w:rPr>
        <w:t>吨</w:t>
      </w:r>
      <w:r>
        <w:rPr>
          <w:rFonts w:ascii="Times New Roman" w:hAnsi="Times New Roman" w:eastAsia="Times New Roman" w:cs="Times New Roman"/>
          <w:spacing w:val="8"/>
          <w:sz w:val="23"/>
          <w:szCs w:val="23"/>
        </w:rPr>
        <w:t>/</w:t>
      </w:r>
      <w:r>
        <w:rPr>
          <w:rFonts w:ascii="宋体" w:hAnsi="宋体" w:eastAsia="宋体" w:cs="宋体"/>
          <w:spacing w:val="8"/>
          <w:sz w:val="23"/>
          <w:szCs w:val="23"/>
        </w:rPr>
        <w:t>吨废塑料。根据建设单位和生产设备单位提供的技术资料，该项目两段</w:t>
      </w:r>
      <w:r>
        <w:rPr>
          <w:rFonts w:ascii="宋体" w:hAnsi="宋体" w:eastAsia="宋体" w:cs="宋体"/>
          <w:spacing w:val="3"/>
          <w:sz w:val="23"/>
          <w:szCs w:val="23"/>
        </w:rPr>
        <w:t>清</w:t>
      </w:r>
      <w:r>
        <w:rPr>
          <w:rFonts w:ascii="宋体" w:hAnsi="宋体" w:eastAsia="宋体" w:cs="宋体"/>
          <w:sz w:val="23"/>
          <w:szCs w:val="23"/>
        </w:rPr>
        <w:t xml:space="preserve"> </w:t>
      </w:r>
      <w:r>
        <w:rPr>
          <w:rFonts w:ascii="宋体" w:hAnsi="宋体" w:eastAsia="宋体" w:cs="宋体"/>
          <w:spacing w:val="6"/>
          <w:sz w:val="23"/>
          <w:szCs w:val="23"/>
        </w:rPr>
        <w:t>洗工序</w:t>
      </w:r>
      <w:r>
        <w:rPr>
          <w:rFonts w:ascii="宋体" w:hAnsi="宋体" w:eastAsia="宋体" w:cs="宋体"/>
          <w:spacing w:val="4"/>
          <w:sz w:val="23"/>
          <w:szCs w:val="23"/>
        </w:rPr>
        <w:t>用</w:t>
      </w:r>
      <w:r>
        <w:rPr>
          <w:rFonts w:ascii="宋体" w:hAnsi="宋体" w:eastAsia="宋体" w:cs="宋体"/>
          <w:spacing w:val="3"/>
          <w:sz w:val="23"/>
          <w:szCs w:val="23"/>
        </w:rPr>
        <w:t xml:space="preserve">水量为 </w:t>
      </w:r>
      <w:r>
        <w:rPr>
          <w:rFonts w:ascii="Times New Roman" w:hAnsi="Times New Roman" w:eastAsia="Times New Roman" w:cs="Times New Roman"/>
          <w:spacing w:val="3"/>
          <w:sz w:val="23"/>
          <w:szCs w:val="23"/>
        </w:rPr>
        <w:t>0.5</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吨原料，即 </w:t>
      </w:r>
      <w:r>
        <w:rPr>
          <w:rFonts w:ascii="Times New Roman" w:hAnsi="Times New Roman" w:eastAsia="Times New Roman" w:cs="Times New Roman"/>
          <w:spacing w:val="3"/>
          <w:sz w:val="23"/>
          <w:szCs w:val="23"/>
        </w:rPr>
        <w:t>0.5</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吨原料。项目需要清洗的原料约为 </w:t>
      </w:r>
      <w:r>
        <w:rPr>
          <w:rFonts w:ascii="Times New Roman" w:hAnsi="Times New Roman" w:eastAsia="Times New Roman" w:cs="Times New Roman"/>
          <w:spacing w:val="3"/>
          <w:sz w:val="23"/>
          <w:szCs w:val="23"/>
        </w:rPr>
        <w:t>170</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 xml:space="preserve">d </w:t>
      </w:r>
      <w:r>
        <w:rPr>
          <w:rFonts w:ascii="宋体" w:hAnsi="宋体" w:eastAsia="宋体" w:cs="宋体"/>
          <w:sz w:val="23"/>
          <w:szCs w:val="23"/>
        </w:rPr>
        <w:tab/>
      </w:r>
      <w:r>
        <w:rPr>
          <w:rFonts w:ascii="宋体" w:hAnsi="宋体" w:eastAsia="宋体" w:cs="宋体"/>
          <w:spacing w:val="6"/>
          <w:sz w:val="23"/>
          <w:szCs w:val="23"/>
        </w:rPr>
        <w:t>(</w:t>
      </w:r>
      <w:r>
        <w:rPr>
          <w:rFonts w:ascii="Times New Roman" w:hAnsi="Times New Roman" w:eastAsia="Times New Roman" w:cs="Times New Roman"/>
          <w:spacing w:val="6"/>
          <w:sz w:val="23"/>
          <w:szCs w:val="23"/>
        </w:rPr>
        <w:t>51100</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4"/>
          <w:sz w:val="23"/>
          <w:szCs w:val="23"/>
        </w:rPr>
        <w:t>)</w:t>
      </w:r>
      <w:r>
        <w:rPr>
          <w:rFonts w:ascii="宋体" w:hAnsi="宋体" w:eastAsia="宋体" w:cs="宋体"/>
          <w:spacing w:val="3"/>
          <w:sz w:val="23"/>
          <w:szCs w:val="23"/>
        </w:rPr>
        <w:t xml:space="preserve"> ，则初洗工序及二级清洗工序用水量为 </w:t>
      </w:r>
      <w:r>
        <w:rPr>
          <w:rFonts w:ascii="Times New Roman" w:hAnsi="Times New Roman" w:eastAsia="Times New Roman" w:cs="Times New Roman"/>
          <w:spacing w:val="3"/>
          <w:sz w:val="23"/>
          <w:szCs w:val="23"/>
        </w:rPr>
        <w:t>85</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。清洗过程中水挥发</w:t>
      </w:r>
      <w:r>
        <w:rPr>
          <w:rFonts w:ascii="宋体" w:hAnsi="宋体" w:eastAsia="宋体" w:cs="宋体"/>
          <w:sz w:val="23"/>
          <w:szCs w:val="23"/>
        </w:rPr>
        <w:t xml:space="preserve"> </w:t>
      </w:r>
      <w:r>
        <w:rPr>
          <w:rFonts w:ascii="宋体" w:hAnsi="宋体" w:eastAsia="宋体" w:cs="宋体"/>
          <w:spacing w:val="2"/>
          <w:sz w:val="23"/>
          <w:szCs w:val="23"/>
        </w:rPr>
        <w:t xml:space="preserve">量按清洗水用量的 </w:t>
      </w:r>
      <w:r>
        <w:rPr>
          <w:rFonts w:ascii="Times New Roman" w:hAnsi="Times New Roman" w:eastAsia="Times New Roman" w:cs="Times New Roman"/>
          <w:spacing w:val="2"/>
          <w:sz w:val="23"/>
          <w:szCs w:val="23"/>
        </w:rPr>
        <w:t>5%</w:t>
      </w:r>
      <w:r>
        <w:rPr>
          <w:rFonts w:ascii="宋体" w:hAnsi="宋体" w:eastAsia="宋体" w:cs="宋体"/>
          <w:spacing w:val="2"/>
          <w:sz w:val="23"/>
          <w:szCs w:val="23"/>
        </w:rPr>
        <w:t xml:space="preserve">计，则新水补水量为 </w:t>
      </w:r>
      <w:r>
        <w:rPr>
          <w:rFonts w:ascii="Times New Roman" w:hAnsi="Times New Roman" w:eastAsia="Times New Roman" w:cs="Times New Roman"/>
          <w:spacing w:val="2"/>
          <w:sz w:val="23"/>
          <w:szCs w:val="23"/>
        </w:rPr>
        <w:t>4.25</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，即 </w:t>
      </w:r>
      <w:r>
        <w:rPr>
          <w:rFonts w:ascii="Times New Roman" w:hAnsi="Times New Roman" w:eastAsia="Times New Roman" w:cs="Times New Roman"/>
          <w:spacing w:val="1"/>
          <w:sz w:val="23"/>
          <w:szCs w:val="23"/>
        </w:rPr>
        <w:t>1275</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。综上所述，</w:t>
      </w:r>
      <w:r>
        <w:rPr>
          <w:rFonts w:ascii="宋体" w:hAnsi="宋体" w:eastAsia="宋体" w:cs="宋体"/>
          <w:sz w:val="23"/>
          <w:szCs w:val="23"/>
        </w:rPr>
        <w:t xml:space="preserve"> </w:t>
      </w:r>
      <w:r>
        <w:rPr>
          <w:rFonts w:ascii="宋体" w:hAnsi="宋体" w:eastAsia="宋体" w:cs="宋体"/>
          <w:spacing w:val="5"/>
          <w:sz w:val="23"/>
          <w:szCs w:val="23"/>
        </w:rPr>
        <w:t xml:space="preserve">该项目排入到沉淀池的清洗废水为 </w:t>
      </w:r>
      <w:r>
        <w:rPr>
          <w:rFonts w:ascii="Times New Roman" w:hAnsi="Times New Roman" w:eastAsia="Times New Roman" w:cs="Times New Roman"/>
          <w:spacing w:val="5"/>
          <w:sz w:val="23"/>
          <w:szCs w:val="23"/>
        </w:rPr>
        <w:t>80.75</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，其中 </w:t>
      </w:r>
      <w:r>
        <w:rPr>
          <w:rFonts w:ascii="Times New Roman" w:hAnsi="Times New Roman" w:eastAsia="Times New Roman" w:cs="Times New Roman"/>
          <w:spacing w:val="5"/>
          <w:sz w:val="23"/>
          <w:szCs w:val="23"/>
        </w:rPr>
        <w:t>60%</w:t>
      </w:r>
      <w:r>
        <w:rPr>
          <w:rFonts w:ascii="宋体" w:hAnsi="宋体" w:eastAsia="宋体" w:cs="宋体"/>
          <w:spacing w:val="5"/>
          <w:sz w:val="23"/>
          <w:szCs w:val="23"/>
        </w:rPr>
        <w:t>的废水由偏心清洗机</w:t>
      </w:r>
      <w:r>
        <w:rPr>
          <w:rFonts w:ascii="宋体" w:hAnsi="宋体" w:eastAsia="宋体" w:cs="宋体"/>
          <w:spacing w:val="1"/>
          <w:sz w:val="23"/>
          <w:szCs w:val="23"/>
        </w:rPr>
        <w:t>直</w:t>
      </w:r>
      <w:r>
        <w:rPr>
          <w:rFonts w:ascii="宋体" w:hAnsi="宋体" w:eastAsia="宋体" w:cs="宋体"/>
          <w:sz w:val="23"/>
          <w:szCs w:val="23"/>
        </w:rPr>
        <w:t xml:space="preserve"> </w:t>
      </w:r>
      <w:r>
        <w:rPr>
          <w:rFonts w:ascii="宋体" w:hAnsi="宋体" w:eastAsia="宋体" w:cs="宋体"/>
          <w:spacing w:val="12"/>
          <w:sz w:val="23"/>
          <w:szCs w:val="23"/>
        </w:rPr>
        <w:t>接</w:t>
      </w:r>
      <w:r>
        <w:rPr>
          <w:rFonts w:ascii="宋体" w:hAnsi="宋体" w:eastAsia="宋体" w:cs="宋体"/>
          <w:spacing w:val="9"/>
          <w:sz w:val="23"/>
          <w:szCs w:val="23"/>
        </w:rPr>
        <w:t>排入沉淀池，其余由脱水机脱水后排入沉淀池。</w:t>
      </w:r>
    </w:p>
    <w:p w14:paraId="7E3ECFAD">
      <w:pPr>
        <w:spacing w:before="154" w:line="323" w:lineRule="exact"/>
        <w:ind w:left="502"/>
        <w:rPr>
          <w:rFonts w:ascii="宋体" w:hAnsi="宋体" w:eastAsia="宋体" w:cs="宋体"/>
          <w:sz w:val="23"/>
          <w:szCs w:val="23"/>
        </w:rPr>
      </w:pPr>
      <w:r>
        <w:rPr>
          <w:rFonts w:ascii="Times New Roman" w:hAnsi="Times New Roman" w:eastAsia="Times New Roman" w:cs="Times New Roman"/>
          <w:position w:val="1"/>
          <w:sz w:val="23"/>
          <w:szCs w:val="23"/>
        </w:rPr>
        <w:t>d</w:t>
      </w:r>
      <w:r>
        <w:rPr>
          <w:rFonts w:ascii="Times New Roman" w:hAnsi="Times New Roman" w:eastAsia="Times New Roman" w:cs="Times New Roman"/>
          <w:spacing w:val="9"/>
          <w:position w:val="1"/>
          <w:sz w:val="23"/>
          <w:szCs w:val="23"/>
        </w:rPr>
        <w:t>.</w:t>
      </w:r>
      <w:r>
        <w:rPr>
          <w:rFonts w:ascii="宋体" w:hAnsi="宋体" w:eastAsia="宋体" w:cs="宋体"/>
          <w:spacing w:val="8"/>
          <w:position w:val="1"/>
          <w:sz w:val="23"/>
          <w:szCs w:val="23"/>
        </w:rPr>
        <w:t>循环冷却水</w:t>
      </w:r>
    </w:p>
    <w:p w14:paraId="75F372A1">
      <w:pPr>
        <w:spacing w:line="280" w:lineRule="auto"/>
        <w:rPr>
          <w:rFonts w:ascii="Arial"/>
          <w:sz w:val="21"/>
        </w:rPr>
      </w:pPr>
    </w:p>
    <w:p w14:paraId="7742CEBD">
      <w:pPr>
        <w:spacing w:before="76" w:line="385" w:lineRule="auto"/>
        <w:ind w:left="21" w:right="35" w:firstLine="485"/>
        <w:rPr>
          <w:rFonts w:ascii="宋体" w:hAnsi="宋体" w:eastAsia="宋体" w:cs="宋体"/>
          <w:sz w:val="23"/>
          <w:szCs w:val="23"/>
        </w:rPr>
      </w:pPr>
      <w:r>
        <w:rPr>
          <w:rFonts w:ascii="宋体" w:hAnsi="宋体" w:eastAsia="宋体" w:cs="宋体"/>
          <w:spacing w:val="3"/>
          <w:sz w:val="23"/>
          <w:szCs w:val="23"/>
        </w:rPr>
        <w:t xml:space="preserve">该项目每条造粒生产线均设有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台拉丝机，每台拉丝机配套设有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座容积</w:t>
      </w:r>
      <w:r>
        <w:rPr>
          <w:rFonts w:ascii="宋体" w:hAnsi="宋体" w:eastAsia="宋体" w:cs="宋体"/>
          <w:sz w:val="23"/>
          <w:szCs w:val="23"/>
        </w:rPr>
        <w:t xml:space="preserve">为 </w:t>
      </w:r>
      <w:r>
        <w:rPr>
          <w:rFonts w:ascii="Times New Roman" w:hAnsi="Times New Roman" w:eastAsia="Times New Roman" w:cs="Times New Roman"/>
          <w:spacing w:val="8"/>
          <w:sz w:val="23"/>
          <w:szCs w:val="23"/>
        </w:rPr>
        <w:t>0.79</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3   </w:t>
      </w:r>
      <w:r>
        <w:rPr>
          <w:rFonts w:ascii="宋体" w:hAnsi="宋体" w:eastAsia="宋体" w:cs="宋体"/>
          <w:spacing w:val="8"/>
          <w:sz w:val="23"/>
          <w:szCs w:val="23"/>
        </w:rPr>
        <w:t>(</w:t>
      </w:r>
      <w:r>
        <w:rPr>
          <w:rFonts w:ascii="Times New Roman" w:hAnsi="Times New Roman" w:eastAsia="Times New Roman" w:cs="Times New Roman"/>
          <w:spacing w:val="8"/>
          <w:sz w:val="23"/>
          <w:szCs w:val="23"/>
        </w:rPr>
        <w:t>4.5</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×0.5</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×0.35</w:t>
      </w:r>
      <w:r>
        <w:rPr>
          <w:rFonts w:ascii="Times New Roman" w:hAnsi="Times New Roman" w:eastAsia="Times New Roman" w:cs="Times New Roman"/>
          <w:sz w:val="23"/>
          <w:szCs w:val="23"/>
        </w:rPr>
        <w:t>m</w:t>
      </w:r>
      <w:r>
        <w:rPr>
          <w:rFonts w:ascii="宋体" w:hAnsi="宋体" w:eastAsia="宋体" w:cs="宋体"/>
          <w:spacing w:val="8"/>
          <w:sz w:val="23"/>
          <w:szCs w:val="23"/>
        </w:rPr>
        <w:t>) 的冷却池，物料在挤出成型过程中需要用水对物</w:t>
      </w:r>
      <w:r>
        <w:rPr>
          <w:rFonts w:ascii="宋体" w:hAnsi="宋体" w:eastAsia="宋体" w:cs="宋体"/>
          <w:spacing w:val="1"/>
          <w:sz w:val="23"/>
          <w:szCs w:val="23"/>
        </w:rPr>
        <w:t>料</w:t>
      </w:r>
      <w:r>
        <w:rPr>
          <w:rFonts w:ascii="宋体" w:hAnsi="宋体" w:eastAsia="宋体" w:cs="宋体"/>
          <w:sz w:val="23"/>
          <w:szCs w:val="23"/>
        </w:rPr>
        <w:t xml:space="preserve"> </w:t>
      </w:r>
      <w:r>
        <w:rPr>
          <w:rFonts w:ascii="宋体" w:hAnsi="宋体" w:eastAsia="宋体" w:cs="宋体"/>
          <w:spacing w:val="10"/>
          <w:sz w:val="23"/>
          <w:szCs w:val="23"/>
        </w:rPr>
        <w:t>进</w:t>
      </w:r>
      <w:r>
        <w:rPr>
          <w:rFonts w:ascii="宋体" w:hAnsi="宋体" w:eastAsia="宋体" w:cs="宋体"/>
          <w:spacing w:val="7"/>
          <w:sz w:val="23"/>
          <w:szCs w:val="23"/>
        </w:rPr>
        <w:t>行冷却，该冷却废水的水质基本没有受到污染，仅水温高并含有冷却产生的塑</w:t>
      </w:r>
    </w:p>
    <w:p w14:paraId="09EBA05D">
      <w:pPr>
        <w:spacing w:line="228" w:lineRule="auto"/>
        <w:ind w:left="23"/>
        <w:rPr>
          <w:rFonts w:ascii="宋体" w:hAnsi="宋体" w:eastAsia="宋体" w:cs="宋体"/>
          <w:sz w:val="23"/>
          <w:szCs w:val="23"/>
        </w:rPr>
      </w:pPr>
      <w:r>
        <w:rPr>
          <w:rFonts w:ascii="宋体" w:hAnsi="宋体" w:eastAsia="宋体" w:cs="宋体"/>
          <w:spacing w:val="14"/>
          <w:sz w:val="23"/>
          <w:szCs w:val="23"/>
        </w:rPr>
        <w:t>料渣，可排入沉淀池沉淀后回用，不外排。该项目项目塑料挤出冷却用水量</w:t>
      </w:r>
      <w:r>
        <w:rPr>
          <w:rFonts w:ascii="宋体" w:hAnsi="宋体" w:eastAsia="宋体" w:cs="宋体"/>
          <w:spacing w:val="12"/>
          <w:sz w:val="23"/>
          <w:szCs w:val="23"/>
        </w:rPr>
        <w:t>为</w:t>
      </w:r>
    </w:p>
    <w:p w14:paraId="571EE412">
      <w:pPr>
        <w:spacing w:before="153" w:line="399" w:lineRule="auto"/>
        <w:ind w:left="23" w:right="35"/>
        <w:rPr>
          <w:rFonts w:ascii="宋体" w:hAnsi="宋体" w:eastAsia="宋体" w:cs="宋体"/>
          <w:sz w:val="23"/>
          <w:szCs w:val="23"/>
        </w:rPr>
      </w:pPr>
      <w:r>
        <w:rPr>
          <w:rFonts w:ascii="Times New Roman" w:hAnsi="Times New Roman" w:eastAsia="Times New Roman" w:cs="Times New Roman"/>
          <w:spacing w:val="10"/>
          <w:sz w:val="23"/>
          <w:szCs w:val="23"/>
        </w:rPr>
        <w:t>3</w:t>
      </w:r>
      <w:r>
        <w:rPr>
          <w:rFonts w:ascii="Times New Roman" w:hAnsi="Times New Roman" w:eastAsia="Times New Roman" w:cs="Times New Roman"/>
          <w:spacing w:val="9"/>
          <w:sz w:val="23"/>
          <w:szCs w:val="23"/>
        </w:rPr>
        <w:t>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宋体" w:hAnsi="宋体" w:eastAsia="宋体" w:cs="宋体"/>
          <w:spacing w:val="5"/>
          <w:sz w:val="23"/>
          <w:szCs w:val="23"/>
        </w:rPr>
        <w:t xml:space="preserve">，冷却过程中水汽蒸发损耗，按用水量的 </w:t>
      </w:r>
      <w:r>
        <w:rPr>
          <w:rFonts w:ascii="Times New Roman" w:hAnsi="Times New Roman" w:eastAsia="Times New Roman" w:cs="Times New Roman"/>
          <w:spacing w:val="5"/>
          <w:sz w:val="23"/>
          <w:szCs w:val="23"/>
        </w:rPr>
        <w:t>10%</w:t>
      </w:r>
      <w:r>
        <w:rPr>
          <w:rFonts w:ascii="宋体" w:hAnsi="宋体" w:eastAsia="宋体" w:cs="宋体"/>
          <w:spacing w:val="5"/>
          <w:sz w:val="23"/>
          <w:szCs w:val="23"/>
        </w:rPr>
        <w:t>计，则该项目需补充新鲜水</w:t>
      </w:r>
      <w:r>
        <w:rPr>
          <w:rFonts w:ascii="宋体" w:hAnsi="宋体" w:eastAsia="宋体" w:cs="宋体"/>
          <w:sz w:val="23"/>
          <w:szCs w:val="23"/>
        </w:rPr>
        <w:t xml:space="preserve"> </w:t>
      </w:r>
      <w:r>
        <w:rPr>
          <w:rFonts w:ascii="宋体" w:hAnsi="宋体" w:eastAsia="宋体" w:cs="宋体"/>
          <w:spacing w:val="-1"/>
          <w:sz w:val="23"/>
          <w:szCs w:val="23"/>
        </w:rPr>
        <w:t xml:space="preserve">量 </w:t>
      </w:r>
      <w:r>
        <w:rPr>
          <w:rFonts w:ascii="Times New Roman" w:hAnsi="Times New Roman" w:eastAsia="Times New Roman" w:cs="Times New Roman"/>
          <w:spacing w:val="-1"/>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z w:val="23"/>
          <w:szCs w:val="23"/>
        </w:rPr>
        <w:t xml:space="preserve">，即 </w:t>
      </w:r>
      <w:r>
        <w:rPr>
          <w:rFonts w:ascii="Times New Roman" w:hAnsi="Times New Roman" w:eastAsia="Times New Roman" w:cs="Times New Roman"/>
          <w:sz w:val="23"/>
          <w:szCs w:val="23"/>
        </w:rPr>
        <w:t>900m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 xml:space="preserve">/a </w:t>
      </w:r>
      <w:r>
        <w:rPr>
          <w:rFonts w:ascii="宋体" w:hAnsi="宋体" w:eastAsia="宋体" w:cs="宋体"/>
          <w:sz w:val="23"/>
          <w:szCs w:val="23"/>
        </w:rPr>
        <w:t xml:space="preserve">。该项目排入到沉淀池的循环冷却水为 </w:t>
      </w:r>
      <w:r>
        <w:rPr>
          <w:rFonts w:ascii="Times New Roman" w:hAnsi="Times New Roman" w:eastAsia="Times New Roman" w:cs="Times New Roman"/>
          <w:sz w:val="23"/>
          <w:szCs w:val="23"/>
        </w:rPr>
        <w:t>27m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/d</w:t>
      </w:r>
      <w:r>
        <w:rPr>
          <w:rFonts w:ascii="宋体" w:hAnsi="宋体" w:eastAsia="宋体" w:cs="宋体"/>
          <w:sz w:val="23"/>
          <w:szCs w:val="23"/>
        </w:rPr>
        <w:t>。</w:t>
      </w:r>
    </w:p>
    <w:p w14:paraId="4EC1FE93">
      <w:pPr>
        <w:spacing w:before="166" w:line="388" w:lineRule="auto"/>
        <w:ind w:left="24" w:firstLine="485"/>
        <w:rPr>
          <w:rFonts w:ascii="宋体" w:hAnsi="宋体" w:eastAsia="宋体" w:cs="宋体"/>
          <w:sz w:val="23"/>
          <w:szCs w:val="23"/>
        </w:rPr>
      </w:pPr>
      <w:r>
        <w:rPr>
          <w:rFonts w:ascii="宋体" w:hAnsi="宋体" w:eastAsia="宋体" w:cs="宋体"/>
          <w:spacing w:val="2"/>
          <w:sz w:val="23"/>
          <w:szCs w:val="23"/>
        </w:rPr>
        <w:t xml:space="preserve">该项目设有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1"/>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的三级沉淀池 (</w:t>
      </w:r>
      <w:r>
        <w:rPr>
          <w:rFonts w:ascii="Times New Roman" w:hAnsi="Times New Roman" w:eastAsia="Times New Roman" w:cs="Times New Roman"/>
          <w:spacing w:val="1"/>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×4.5</w:t>
      </w:r>
      <w:r>
        <w:rPr>
          <w:rFonts w:ascii="Times New Roman" w:hAnsi="Times New Roman" w:eastAsia="Times New Roman" w:cs="Times New Roman"/>
          <w:sz w:val="23"/>
          <w:szCs w:val="23"/>
        </w:rPr>
        <w:t>m</w:t>
      </w:r>
      <w:r>
        <w:rPr>
          <w:rFonts w:ascii="宋体" w:hAnsi="宋体" w:eastAsia="宋体" w:cs="宋体"/>
          <w:spacing w:val="1"/>
          <w:sz w:val="23"/>
          <w:szCs w:val="23"/>
        </w:rPr>
        <w:t>) ，同时配套设</w:t>
      </w:r>
      <w:r>
        <w:rPr>
          <w:rFonts w:ascii="宋体" w:hAnsi="宋体" w:eastAsia="宋体" w:cs="宋体"/>
          <w:sz w:val="23"/>
          <w:szCs w:val="23"/>
        </w:rPr>
        <w:t xml:space="preserve"> </w:t>
      </w:r>
      <w:r>
        <w:rPr>
          <w:rFonts w:ascii="宋体" w:hAnsi="宋体" w:eastAsia="宋体" w:cs="宋体"/>
          <w:spacing w:val="8"/>
          <w:sz w:val="23"/>
          <w:szCs w:val="23"/>
        </w:rPr>
        <w:t>有</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台一体化污水预处理设备，均位于生产厂房西南侧，产生的生产废水经一体</w:t>
      </w:r>
      <w:r>
        <w:rPr>
          <w:rFonts w:ascii="宋体" w:hAnsi="宋体" w:eastAsia="宋体" w:cs="宋体"/>
          <w:sz w:val="23"/>
          <w:szCs w:val="23"/>
        </w:rPr>
        <w:t xml:space="preserve"> </w:t>
      </w:r>
      <w:r>
        <w:rPr>
          <w:rFonts w:ascii="宋体" w:hAnsi="宋体" w:eastAsia="宋体" w:cs="宋体"/>
          <w:spacing w:val="10"/>
          <w:sz w:val="23"/>
          <w:szCs w:val="23"/>
        </w:rPr>
        <w:t>化污水</w:t>
      </w:r>
      <w:r>
        <w:rPr>
          <w:rFonts w:ascii="宋体" w:hAnsi="宋体" w:eastAsia="宋体" w:cs="宋体"/>
          <w:spacing w:val="6"/>
          <w:sz w:val="23"/>
          <w:szCs w:val="23"/>
        </w:rPr>
        <w:t>预</w:t>
      </w:r>
      <w:r>
        <w:rPr>
          <w:rFonts w:ascii="宋体" w:hAnsi="宋体" w:eastAsia="宋体" w:cs="宋体"/>
          <w:spacing w:val="5"/>
          <w:sz w:val="23"/>
          <w:szCs w:val="23"/>
        </w:rPr>
        <w:t>处理设备处理后排入三级沉淀池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pacing w:val="5"/>
          <w:sz w:val="23"/>
          <w:szCs w:val="23"/>
        </w:rPr>
        <w:t>) 沉淀处理，随后循环</w:t>
      </w:r>
      <w:r>
        <w:rPr>
          <w:rFonts w:ascii="宋体" w:hAnsi="宋体" w:eastAsia="宋体" w:cs="宋体"/>
          <w:sz w:val="23"/>
          <w:szCs w:val="23"/>
        </w:rPr>
        <w:t xml:space="preserve"> </w:t>
      </w:r>
      <w:r>
        <w:rPr>
          <w:rFonts w:ascii="宋体" w:hAnsi="宋体" w:eastAsia="宋体" w:cs="宋体"/>
          <w:spacing w:val="1"/>
          <w:sz w:val="23"/>
          <w:szCs w:val="23"/>
        </w:rPr>
        <w:t xml:space="preserve">使用。污水处理设施废水每月更换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次，则该项目全年更换废</w:t>
      </w:r>
      <w:r>
        <w:rPr>
          <w:rFonts w:ascii="宋体" w:hAnsi="宋体" w:eastAsia="宋体" w:cs="宋体"/>
          <w:sz w:val="23"/>
          <w:szCs w:val="23"/>
        </w:rPr>
        <w:t xml:space="preserve">水量为 </w:t>
      </w:r>
      <w:r>
        <w:rPr>
          <w:rFonts w:ascii="Times New Roman" w:hAnsi="Times New Roman" w:eastAsia="Times New Roman" w:cs="Times New Roman"/>
          <w:sz w:val="23"/>
          <w:szCs w:val="23"/>
        </w:rPr>
        <w:t>1523.52m</w:t>
      </w:r>
      <w:r>
        <w:rPr>
          <w:rFonts w:ascii="Times New Roman" w:hAnsi="Times New Roman" w:eastAsia="Times New Roman" w:cs="Times New Roman"/>
          <w:position w:val="8"/>
          <w:sz w:val="15"/>
          <w:szCs w:val="15"/>
        </w:rPr>
        <w:t>3</w:t>
      </w:r>
      <w:r>
        <w:rPr>
          <w:rFonts w:ascii="宋体" w:hAnsi="宋体" w:eastAsia="宋体" w:cs="宋体"/>
          <w:sz w:val="23"/>
          <w:szCs w:val="23"/>
        </w:rPr>
        <w:t xml:space="preserve">， </w:t>
      </w:r>
      <w:r>
        <w:rPr>
          <w:rFonts w:ascii="宋体" w:hAnsi="宋体" w:eastAsia="宋体" w:cs="宋体"/>
          <w:spacing w:val="-2"/>
          <w:sz w:val="23"/>
          <w:szCs w:val="23"/>
        </w:rPr>
        <w:t>更换过程产生的废水经吸污车运送至本溪市科态污水处理有限责任公司统一处</w:t>
      </w:r>
      <w:r>
        <w:rPr>
          <w:rFonts w:ascii="宋体" w:hAnsi="宋体" w:eastAsia="宋体" w:cs="宋体"/>
          <w:spacing w:val="-1"/>
          <w:sz w:val="23"/>
          <w:szCs w:val="23"/>
        </w:rPr>
        <w:t>理</w:t>
      </w:r>
      <w:r>
        <w:rPr>
          <w:rFonts w:ascii="宋体" w:hAnsi="宋体" w:eastAsia="宋体" w:cs="宋体"/>
          <w:sz w:val="23"/>
          <w:szCs w:val="23"/>
        </w:rPr>
        <w:t>。</w:t>
      </w:r>
    </w:p>
    <w:p w14:paraId="6B4FEDEB">
      <w:pPr>
        <w:spacing w:before="139" w:line="384" w:lineRule="auto"/>
        <w:ind w:left="23" w:right="23" w:firstLine="459"/>
        <w:rPr>
          <w:rFonts w:ascii="宋体" w:hAnsi="宋体" w:eastAsia="宋体" w:cs="宋体"/>
          <w:sz w:val="23"/>
          <w:szCs w:val="23"/>
        </w:rPr>
      </w:pPr>
      <w:r>
        <w:rPr>
          <w:rFonts w:ascii="宋体" w:hAnsi="宋体" w:eastAsia="宋体" w:cs="宋体"/>
          <w:spacing w:val="1"/>
          <w:sz w:val="23"/>
          <w:szCs w:val="23"/>
        </w:rPr>
        <w:t>该项目生产废水经一体化污水预处理设备及三级沉淀池处理后循环</w:t>
      </w:r>
      <w:r>
        <w:rPr>
          <w:rFonts w:ascii="宋体" w:hAnsi="宋体" w:eastAsia="宋体" w:cs="宋体"/>
          <w:sz w:val="23"/>
          <w:szCs w:val="23"/>
        </w:rPr>
        <w:t xml:space="preserve">使用，污水 </w:t>
      </w:r>
      <w:r>
        <w:rPr>
          <w:rFonts w:ascii="宋体" w:hAnsi="宋体" w:eastAsia="宋体" w:cs="宋体"/>
          <w:spacing w:val="-8"/>
          <w:sz w:val="23"/>
          <w:szCs w:val="23"/>
        </w:rPr>
        <w:t>处理设施废水每</w:t>
      </w:r>
      <w:r>
        <w:rPr>
          <w:rFonts w:ascii="宋体" w:hAnsi="宋体" w:eastAsia="宋体" w:cs="宋体"/>
          <w:spacing w:val="-5"/>
          <w:sz w:val="23"/>
          <w:szCs w:val="23"/>
        </w:rPr>
        <w:t>月</w:t>
      </w:r>
      <w:r>
        <w:rPr>
          <w:rFonts w:ascii="宋体" w:hAnsi="宋体" w:eastAsia="宋体" w:cs="宋体"/>
          <w:spacing w:val="-4"/>
          <w:sz w:val="23"/>
          <w:szCs w:val="23"/>
        </w:rPr>
        <w:t xml:space="preserve">更换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次，该部分更换的生产废水主要污染物为 </w:t>
      </w:r>
      <w:r>
        <w:rPr>
          <w:rFonts w:ascii="Times New Roman" w:hAnsi="Times New Roman" w:eastAsia="Times New Roman" w:cs="Times New Roman"/>
          <w:spacing w:val="-4"/>
          <w:sz w:val="23"/>
          <w:szCs w:val="23"/>
        </w:rPr>
        <w:t>COD</w:t>
      </w:r>
      <w:r>
        <w:rPr>
          <w:rFonts w:ascii="宋体" w:hAnsi="宋体" w:eastAsia="宋体" w:cs="宋体"/>
          <w:spacing w:val="-4"/>
          <w:sz w:val="23"/>
          <w:szCs w:val="23"/>
        </w:rPr>
        <w:t>、</w:t>
      </w:r>
      <w:r>
        <w:rPr>
          <w:rFonts w:ascii="Times New Roman" w:hAnsi="Times New Roman" w:eastAsia="Times New Roman" w:cs="Times New Roman"/>
          <w:spacing w:val="-4"/>
          <w:sz w:val="23"/>
          <w:szCs w:val="23"/>
        </w:rPr>
        <w:t>SS</w:t>
      </w:r>
      <w:r>
        <w:rPr>
          <w:rFonts w:ascii="宋体" w:hAnsi="宋体" w:eastAsia="宋体" w:cs="宋体"/>
          <w:spacing w:val="-4"/>
          <w:sz w:val="23"/>
          <w:szCs w:val="23"/>
        </w:rPr>
        <w:t>、石油</w:t>
      </w:r>
      <w:r>
        <w:rPr>
          <w:rFonts w:ascii="宋体" w:hAnsi="宋体" w:eastAsia="宋体" w:cs="宋体"/>
          <w:sz w:val="23"/>
          <w:szCs w:val="23"/>
        </w:rPr>
        <w:t xml:space="preserve"> </w:t>
      </w:r>
      <w:r>
        <w:rPr>
          <w:rFonts w:ascii="宋体" w:hAnsi="宋体" w:eastAsia="宋体" w:cs="宋体"/>
          <w:spacing w:val="-6"/>
          <w:sz w:val="23"/>
          <w:szCs w:val="23"/>
        </w:rPr>
        <w:t>类</w:t>
      </w:r>
      <w:r>
        <w:rPr>
          <w:rFonts w:ascii="宋体" w:hAnsi="宋体" w:eastAsia="宋体" w:cs="宋体"/>
          <w:spacing w:val="-3"/>
          <w:sz w:val="23"/>
          <w:szCs w:val="23"/>
        </w:rPr>
        <w:t>，能够达到《辽宁省污水综合排放标准》  (</w:t>
      </w:r>
      <w:r>
        <w:rPr>
          <w:rFonts w:ascii="Times New Roman" w:hAnsi="Times New Roman" w:eastAsia="Times New Roman" w:cs="Times New Roman"/>
          <w:spacing w:val="-3"/>
          <w:sz w:val="23"/>
          <w:szCs w:val="23"/>
        </w:rPr>
        <w:t>DB21/ 1627-2008</w:t>
      </w:r>
      <w:r>
        <w:rPr>
          <w:rFonts w:ascii="宋体" w:hAnsi="宋体" w:eastAsia="宋体" w:cs="宋体"/>
          <w:spacing w:val="-3"/>
          <w:sz w:val="23"/>
          <w:szCs w:val="23"/>
        </w:rPr>
        <w:t>) 中排入污水处理厂</w:t>
      </w:r>
      <w:r>
        <w:rPr>
          <w:rFonts w:ascii="宋体" w:hAnsi="宋体" w:eastAsia="宋体" w:cs="宋体"/>
          <w:sz w:val="23"/>
          <w:szCs w:val="23"/>
        </w:rPr>
        <w:t xml:space="preserve"> </w:t>
      </w:r>
      <w:r>
        <w:rPr>
          <w:rFonts w:ascii="宋体" w:hAnsi="宋体" w:eastAsia="宋体" w:cs="宋体"/>
          <w:spacing w:val="-2"/>
          <w:sz w:val="23"/>
          <w:szCs w:val="23"/>
        </w:rPr>
        <w:t>的水污染物最高允许排放浓度限制要求，具体排放情况见下</w:t>
      </w:r>
      <w:r>
        <w:rPr>
          <w:rFonts w:ascii="宋体" w:hAnsi="宋体" w:eastAsia="宋体" w:cs="宋体"/>
          <w:sz w:val="23"/>
          <w:szCs w:val="23"/>
        </w:rPr>
        <w:t>表。</w:t>
      </w:r>
    </w:p>
    <w:p w14:paraId="7694AE1C">
      <w:pPr>
        <w:sectPr>
          <w:headerReference r:id="rId135" w:type="default"/>
          <w:footerReference r:id="rId136" w:type="default"/>
          <w:pgSz w:w="11906" w:h="16839"/>
          <w:pgMar w:top="1132" w:right="1762" w:bottom="1182" w:left="1785" w:header="878" w:footer="1022" w:gutter="0"/>
          <w:cols w:space="720" w:num="1"/>
        </w:sectPr>
      </w:pPr>
    </w:p>
    <w:p w14:paraId="1DDA12A8">
      <w:pPr>
        <w:spacing w:line="409" w:lineRule="auto"/>
        <w:rPr>
          <w:rFonts w:ascii="Arial"/>
          <w:sz w:val="21"/>
        </w:rPr>
      </w:pPr>
      <w:r>
        <w:pict>
          <v:shape id="_x0000_s1181" o:spid="_x0000_s1181" style="position:absolute;left:0pt;margin-left:90pt;margin-top:57.35pt;height:0.75pt;width:415.3pt;mso-position-horizontal-relative:page;mso-position-vertical-relative:page;z-index:251822080;mso-width-relative:page;mso-height-relative:page;" fillcolor="#000000" filled="t" stroked="f" coordsize="8305,15" o:allowincell="f" path="m0,0l8305,0,8305,14,0,14,0,0xe">
            <v:path/>
            <v:fill on="t" focussize="0,0"/>
            <v:stroke on="f"/>
            <v:imagedata o:title=""/>
            <o:lock v:ext="edit"/>
          </v:shape>
        </w:pict>
      </w:r>
    </w:p>
    <w:p w14:paraId="3E579857">
      <w:pPr>
        <w:spacing w:before="74" w:line="227" w:lineRule="auto"/>
        <w:ind w:left="18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3-18</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生产废水污染物产生及排放情况表</w:t>
      </w:r>
    </w:p>
    <w:p w14:paraId="364E5941">
      <w:pPr>
        <w:spacing w:line="17"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5"/>
        <w:gridCol w:w="754"/>
        <w:gridCol w:w="638"/>
        <w:gridCol w:w="743"/>
        <w:gridCol w:w="656"/>
        <w:gridCol w:w="825"/>
        <w:gridCol w:w="738"/>
        <w:gridCol w:w="718"/>
        <w:gridCol w:w="618"/>
        <w:gridCol w:w="672"/>
        <w:gridCol w:w="1134"/>
      </w:tblGrid>
      <w:tr w14:paraId="03AC0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25" w:type="dxa"/>
            <w:vMerge w:val="restart"/>
            <w:tcBorders>
              <w:left w:val="nil"/>
              <w:bottom w:val="nil"/>
            </w:tcBorders>
            <w:vAlign w:val="top"/>
          </w:tcPr>
          <w:p w14:paraId="2DFDE7E3">
            <w:pPr>
              <w:spacing w:before="236" w:line="312" w:lineRule="exact"/>
              <w:ind w:left="313"/>
              <w:rPr>
                <w:rFonts w:ascii="宋体" w:hAnsi="宋体" w:eastAsia="宋体" w:cs="宋体"/>
                <w:sz w:val="20"/>
                <w:szCs w:val="20"/>
              </w:rPr>
            </w:pPr>
            <w:r>
              <w:rPr>
                <w:rFonts w:ascii="宋体" w:hAnsi="宋体" w:eastAsia="宋体" w:cs="宋体"/>
                <w:spacing w:val="4"/>
                <w:position w:val="7"/>
                <w:sz w:val="20"/>
                <w:szCs w:val="20"/>
                <w14:textOutline w14:w="3795" w14:cap="sq" w14:cmpd="sng">
                  <w14:solidFill>
                    <w14:srgbClr w14:val="000000"/>
                  </w14:solidFill>
                  <w14:prstDash w14:val="solid"/>
                  <w14:bevel/>
                </w14:textOutline>
              </w:rPr>
              <w:t>项目</w:t>
            </w:r>
          </w:p>
          <w:p w14:paraId="3DEF799C">
            <w:pPr>
              <w:spacing w:line="227" w:lineRule="auto"/>
              <w:ind w:left="31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状态</w:t>
            </w:r>
          </w:p>
        </w:tc>
        <w:tc>
          <w:tcPr>
            <w:tcW w:w="754" w:type="dxa"/>
            <w:vMerge w:val="restart"/>
            <w:tcBorders>
              <w:bottom w:val="nil"/>
            </w:tcBorders>
            <w:vAlign w:val="top"/>
          </w:tcPr>
          <w:p w14:paraId="7B0F8261">
            <w:pPr>
              <w:spacing w:before="237" w:line="321" w:lineRule="auto"/>
              <w:ind w:left="179" w:right="57" w:hanging="113"/>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废水量</w:t>
            </w:r>
            <w:r>
              <w:rPr>
                <w:rFonts w:ascii="宋体" w:hAnsi="宋体" w:eastAsia="宋体" w:cs="宋体"/>
                <w:sz w:val="20"/>
                <w:szCs w:val="20"/>
              </w:rPr>
              <w:t xml:space="preserve"> </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z w:val="20"/>
                <w:szCs w:val="20"/>
              </w:rPr>
              <w:t>a</w:t>
            </w:r>
          </w:p>
        </w:tc>
        <w:tc>
          <w:tcPr>
            <w:tcW w:w="1381" w:type="dxa"/>
            <w:gridSpan w:val="2"/>
            <w:vAlign w:val="top"/>
          </w:tcPr>
          <w:p w14:paraId="04BE5241">
            <w:pPr>
              <w:spacing w:before="111" w:line="195" w:lineRule="auto"/>
              <w:ind w:left="46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481" w:type="dxa"/>
            <w:gridSpan w:val="2"/>
            <w:vAlign w:val="top"/>
          </w:tcPr>
          <w:p w14:paraId="6E41E768">
            <w:pPr>
              <w:spacing w:before="111" w:line="195" w:lineRule="auto"/>
              <w:ind w:left="63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456" w:type="dxa"/>
            <w:gridSpan w:val="2"/>
            <w:vAlign w:val="top"/>
          </w:tcPr>
          <w:p w14:paraId="3B4A8816">
            <w:pPr>
              <w:spacing w:before="75" w:line="228" w:lineRule="auto"/>
              <w:ind w:left="41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石</w:t>
            </w:r>
            <w:r>
              <w:rPr>
                <w:rFonts w:ascii="宋体" w:hAnsi="宋体" w:eastAsia="宋体" w:cs="宋体"/>
                <w:spacing w:val="7"/>
                <w:sz w:val="20"/>
                <w:szCs w:val="20"/>
                <w14:textOutline w14:w="3795" w14:cap="sq" w14:cmpd="sng">
                  <w14:solidFill>
                    <w14:srgbClr w14:val="000000"/>
                  </w14:solidFill>
                  <w14:prstDash w14:val="solid"/>
                  <w14:bevel/>
                </w14:textOutline>
              </w:rPr>
              <w:t>油类</w:t>
            </w:r>
          </w:p>
        </w:tc>
        <w:tc>
          <w:tcPr>
            <w:tcW w:w="1290" w:type="dxa"/>
            <w:gridSpan w:val="2"/>
            <w:vAlign w:val="top"/>
          </w:tcPr>
          <w:p w14:paraId="0CDAA631">
            <w:pPr>
              <w:spacing w:before="114" w:line="199" w:lineRule="auto"/>
              <w:ind w:left="34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3"/>
                <w:position w:val="-1"/>
                <w:sz w:val="13"/>
                <w:szCs w:val="13"/>
              </w:rPr>
              <w:t>3</w:t>
            </w:r>
            <w:r>
              <w:rPr>
                <w:rFonts w:ascii="Times New Roman" w:hAnsi="Times New Roman" w:eastAsia="Times New Roman" w:cs="Times New Roman"/>
                <w:b/>
                <w:bCs/>
                <w:spacing w:val="12"/>
                <w:sz w:val="20"/>
                <w:szCs w:val="20"/>
              </w:rPr>
              <w:t>-</w:t>
            </w:r>
            <w:r>
              <w:rPr>
                <w:rFonts w:ascii="Times New Roman" w:hAnsi="Times New Roman" w:eastAsia="Times New Roman" w:cs="Times New Roman"/>
                <w:b/>
                <w:bCs/>
                <w:sz w:val="20"/>
                <w:szCs w:val="20"/>
              </w:rPr>
              <w:t>N</w:t>
            </w:r>
          </w:p>
        </w:tc>
        <w:tc>
          <w:tcPr>
            <w:tcW w:w="1134" w:type="dxa"/>
            <w:tcBorders>
              <w:right w:val="nil"/>
            </w:tcBorders>
            <w:vAlign w:val="top"/>
          </w:tcPr>
          <w:p w14:paraId="0950211B">
            <w:pPr>
              <w:spacing w:before="75" w:line="229" w:lineRule="auto"/>
              <w:ind w:left="36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3C52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25" w:type="dxa"/>
            <w:vMerge w:val="continue"/>
            <w:tcBorders>
              <w:top w:val="nil"/>
              <w:left w:val="nil"/>
            </w:tcBorders>
            <w:vAlign w:val="top"/>
          </w:tcPr>
          <w:p w14:paraId="44B2149E">
            <w:pPr>
              <w:rPr>
                <w:rFonts w:ascii="Arial"/>
                <w:sz w:val="21"/>
              </w:rPr>
            </w:pPr>
          </w:p>
        </w:tc>
        <w:tc>
          <w:tcPr>
            <w:tcW w:w="754" w:type="dxa"/>
            <w:vMerge w:val="continue"/>
            <w:tcBorders>
              <w:top w:val="nil"/>
            </w:tcBorders>
            <w:vAlign w:val="top"/>
          </w:tcPr>
          <w:p w14:paraId="68E7CABF">
            <w:pPr>
              <w:rPr>
                <w:rFonts w:ascii="Arial"/>
                <w:sz w:val="21"/>
              </w:rPr>
            </w:pPr>
          </w:p>
        </w:tc>
        <w:tc>
          <w:tcPr>
            <w:tcW w:w="638" w:type="dxa"/>
            <w:vAlign w:val="top"/>
          </w:tcPr>
          <w:p w14:paraId="5DE9BBCB">
            <w:pPr>
              <w:spacing w:before="51" w:line="274" w:lineRule="auto"/>
              <w:ind w:left="86" w:right="79" w:firstLine="29"/>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浓度</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1"/>
                <w:sz w:val="20"/>
                <w:szCs w:val="20"/>
              </w:rPr>
              <w:t>/</w:t>
            </w:r>
            <w:r>
              <w:rPr>
                <w:rFonts w:ascii="Times New Roman" w:hAnsi="Times New Roman" w:eastAsia="Times New Roman" w:cs="Times New Roman"/>
                <w:b/>
                <w:bCs/>
                <w:sz w:val="20"/>
                <w:szCs w:val="20"/>
              </w:rPr>
              <w:t>L</w:t>
            </w:r>
          </w:p>
        </w:tc>
        <w:tc>
          <w:tcPr>
            <w:tcW w:w="743" w:type="dxa"/>
            <w:vAlign w:val="top"/>
          </w:tcPr>
          <w:p w14:paraId="7D9BD1F6">
            <w:pPr>
              <w:spacing w:before="52" w:line="282" w:lineRule="auto"/>
              <w:ind w:left="255" w:right="54" w:hanging="195"/>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排</w:t>
            </w:r>
            <w:r>
              <w:rPr>
                <w:rFonts w:ascii="宋体" w:hAnsi="宋体" w:eastAsia="宋体" w:cs="宋体"/>
                <w:spacing w:val="7"/>
                <w:sz w:val="20"/>
                <w:szCs w:val="20"/>
                <w14:textOutline w14:w="3795" w14:cap="sq" w14:cmpd="sng">
                  <w14:solidFill>
                    <w14:srgbClr w14:val="000000"/>
                  </w14:solidFill>
                  <w14:prstDash w14:val="solid"/>
                  <w14:bevel/>
                </w14:textOutline>
              </w:rPr>
              <w:t>放量</w:t>
            </w:r>
            <w:r>
              <w:rPr>
                <w:rFonts w:ascii="宋体" w:hAnsi="宋体" w:eastAsia="宋体" w:cs="宋体"/>
                <w:sz w:val="20"/>
                <w:szCs w:val="20"/>
              </w:rPr>
              <w:t xml:space="preserve"> </w:t>
            </w:r>
            <w:r>
              <w:rPr>
                <w:rFonts w:ascii="Times New Roman" w:hAnsi="Times New Roman" w:eastAsia="Times New Roman" w:cs="Times New Roman"/>
                <w:b/>
                <w:bCs/>
                <w:sz w:val="20"/>
                <w:szCs w:val="20"/>
              </w:rPr>
              <w:t>t</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a</w:t>
            </w:r>
          </w:p>
        </w:tc>
        <w:tc>
          <w:tcPr>
            <w:tcW w:w="656" w:type="dxa"/>
            <w:vAlign w:val="top"/>
          </w:tcPr>
          <w:p w14:paraId="1DE6BA50">
            <w:pPr>
              <w:spacing w:before="51" w:line="274" w:lineRule="auto"/>
              <w:ind w:left="94" w:right="88" w:firstLine="29"/>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浓度</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1"/>
                <w:sz w:val="20"/>
                <w:szCs w:val="20"/>
              </w:rPr>
              <w:t>/</w:t>
            </w:r>
            <w:r>
              <w:rPr>
                <w:rFonts w:ascii="Times New Roman" w:hAnsi="Times New Roman" w:eastAsia="Times New Roman" w:cs="Times New Roman"/>
                <w:b/>
                <w:bCs/>
                <w:sz w:val="20"/>
                <w:szCs w:val="20"/>
              </w:rPr>
              <w:t>L</w:t>
            </w:r>
          </w:p>
        </w:tc>
        <w:tc>
          <w:tcPr>
            <w:tcW w:w="825" w:type="dxa"/>
            <w:vAlign w:val="top"/>
          </w:tcPr>
          <w:p w14:paraId="3ADDCEF9">
            <w:pPr>
              <w:spacing w:before="52" w:line="282" w:lineRule="auto"/>
              <w:ind w:left="299" w:right="95" w:hanging="195"/>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排放</w:t>
            </w:r>
            <w:r>
              <w:rPr>
                <w:rFonts w:ascii="宋体" w:hAnsi="宋体" w:eastAsia="宋体" w:cs="宋体"/>
                <w:spacing w:val="6"/>
                <w:sz w:val="20"/>
                <w:szCs w:val="20"/>
                <w14:textOutline w14:w="3795" w14:cap="sq" w14:cmpd="sng">
                  <w14:solidFill>
                    <w14:srgbClr w14:val="000000"/>
                  </w14:solidFill>
                  <w14:prstDash w14:val="solid"/>
                  <w14:bevel/>
                </w14:textOutline>
              </w:rPr>
              <w:t>量</w:t>
            </w:r>
            <w:r>
              <w:rPr>
                <w:rFonts w:ascii="宋体" w:hAnsi="宋体" w:eastAsia="宋体" w:cs="宋体"/>
                <w:sz w:val="20"/>
                <w:szCs w:val="20"/>
              </w:rPr>
              <w:t xml:space="preserve"> </w:t>
            </w:r>
            <w:r>
              <w:rPr>
                <w:rFonts w:ascii="Times New Roman" w:hAnsi="Times New Roman" w:eastAsia="Times New Roman" w:cs="Times New Roman"/>
                <w:b/>
                <w:bCs/>
                <w:sz w:val="20"/>
                <w:szCs w:val="20"/>
              </w:rPr>
              <w:t>t</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a</w:t>
            </w:r>
          </w:p>
        </w:tc>
        <w:tc>
          <w:tcPr>
            <w:tcW w:w="738" w:type="dxa"/>
            <w:vAlign w:val="top"/>
          </w:tcPr>
          <w:p w14:paraId="4328F423">
            <w:pPr>
              <w:spacing w:before="51" w:line="274" w:lineRule="auto"/>
              <w:ind w:left="135" w:right="130" w:firstLine="29"/>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浓度</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1"/>
                <w:sz w:val="20"/>
                <w:szCs w:val="20"/>
              </w:rPr>
              <w:t>/</w:t>
            </w:r>
            <w:r>
              <w:rPr>
                <w:rFonts w:ascii="Times New Roman" w:hAnsi="Times New Roman" w:eastAsia="Times New Roman" w:cs="Times New Roman"/>
                <w:b/>
                <w:bCs/>
                <w:sz w:val="20"/>
                <w:szCs w:val="20"/>
              </w:rPr>
              <w:t>L</w:t>
            </w:r>
          </w:p>
        </w:tc>
        <w:tc>
          <w:tcPr>
            <w:tcW w:w="718" w:type="dxa"/>
            <w:vAlign w:val="top"/>
          </w:tcPr>
          <w:p w14:paraId="4C0A8A34">
            <w:pPr>
              <w:spacing w:before="52" w:line="282" w:lineRule="auto"/>
              <w:ind w:left="245" w:right="60" w:hanging="214"/>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排放</w:t>
            </w:r>
            <w:r>
              <w:rPr>
                <w:rFonts w:ascii="宋体" w:hAnsi="宋体" w:eastAsia="宋体" w:cs="宋体"/>
                <w:spacing w:val="6"/>
                <w:sz w:val="20"/>
                <w:szCs w:val="20"/>
                <w14:textOutline w14:w="3795" w14:cap="sq" w14:cmpd="sng">
                  <w14:solidFill>
                    <w14:srgbClr w14:val="000000"/>
                  </w14:solidFill>
                  <w14:prstDash w14:val="solid"/>
                  <w14:bevel/>
                </w14:textOutline>
              </w:rPr>
              <w:t>量</w:t>
            </w:r>
            <w:r>
              <w:rPr>
                <w:rFonts w:ascii="宋体" w:hAnsi="宋体" w:eastAsia="宋体" w:cs="宋体"/>
                <w:sz w:val="20"/>
                <w:szCs w:val="20"/>
              </w:rPr>
              <w:t xml:space="preserve"> </w:t>
            </w:r>
            <w:r>
              <w:rPr>
                <w:rFonts w:ascii="Times New Roman" w:hAnsi="Times New Roman" w:eastAsia="Times New Roman" w:cs="Times New Roman"/>
                <w:b/>
                <w:bCs/>
                <w:sz w:val="20"/>
                <w:szCs w:val="20"/>
              </w:rPr>
              <w:t>t</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a</w:t>
            </w:r>
          </w:p>
        </w:tc>
        <w:tc>
          <w:tcPr>
            <w:tcW w:w="618" w:type="dxa"/>
            <w:vAlign w:val="top"/>
          </w:tcPr>
          <w:p w14:paraId="38144516">
            <w:pPr>
              <w:spacing w:before="51" w:line="274" w:lineRule="auto"/>
              <w:ind w:left="76" w:right="69" w:firstLine="29"/>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浓度</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1"/>
                <w:sz w:val="20"/>
                <w:szCs w:val="20"/>
              </w:rPr>
              <w:t>/</w:t>
            </w:r>
            <w:r>
              <w:rPr>
                <w:rFonts w:ascii="Times New Roman" w:hAnsi="Times New Roman" w:eastAsia="Times New Roman" w:cs="Times New Roman"/>
                <w:b/>
                <w:bCs/>
                <w:sz w:val="20"/>
                <w:szCs w:val="20"/>
              </w:rPr>
              <w:t>L</w:t>
            </w:r>
          </w:p>
        </w:tc>
        <w:tc>
          <w:tcPr>
            <w:tcW w:w="672" w:type="dxa"/>
            <w:vAlign w:val="top"/>
          </w:tcPr>
          <w:p w14:paraId="769844D2">
            <w:pPr>
              <w:spacing w:before="51" w:line="266" w:lineRule="auto"/>
              <w:ind w:left="94" w:right="84" w:firstLine="38"/>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排放</w:t>
            </w:r>
            <w:r>
              <w:rPr>
                <w:rFonts w:ascii="宋体" w:hAnsi="宋体" w:eastAsia="宋体" w:cs="宋体"/>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量</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t/a</w:t>
            </w:r>
          </w:p>
        </w:tc>
        <w:tc>
          <w:tcPr>
            <w:tcW w:w="1134" w:type="dxa"/>
            <w:tcBorders>
              <w:right w:val="nil"/>
            </w:tcBorders>
            <w:vAlign w:val="top"/>
          </w:tcPr>
          <w:p w14:paraId="7E3FCB3B">
            <w:pPr>
              <w:spacing w:line="268" w:lineRule="auto"/>
              <w:rPr>
                <w:rFonts w:ascii="Arial"/>
                <w:sz w:val="21"/>
              </w:rPr>
            </w:pPr>
          </w:p>
          <w:p w14:paraId="31149B8C">
            <w:pPr>
              <w:spacing w:before="57" w:line="139" w:lineRule="exact"/>
              <w:ind w:left="50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c>
      </w:tr>
      <w:tr w14:paraId="1BD70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5" w:type="dxa"/>
            <w:tcBorders>
              <w:left w:val="nil"/>
            </w:tcBorders>
            <w:vAlign w:val="top"/>
          </w:tcPr>
          <w:p w14:paraId="1665635A">
            <w:pPr>
              <w:spacing w:before="54" w:line="230" w:lineRule="auto"/>
              <w:ind w:left="209"/>
              <w:rPr>
                <w:rFonts w:ascii="宋体" w:hAnsi="宋体" w:eastAsia="宋体" w:cs="宋体"/>
                <w:sz w:val="20"/>
                <w:szCs w:val="20"/>
              </w:rPr>
            </w:pPr>
            <w:r>
              <w:rPr>
                <w:rFonts w:ascii="宋体" w:hAnsi="宋体" w:eastAsia="宋体" w:cs="宋体"/>
                <w:spacing w:val="6"/>
                <w:sz w:val="20"/>
                <w:szCs w:val="20"/>
              </w:rPr>
              <w:t>处</w:t>
            </w:r>
            <w:r>
              <w:rPr>
                <w:rFonts w:ascii="宋体" w:hAnsi="宋体" w:eastAsia="宋体" w:cs="宋体"/>
                <w:spacing w:val="5"/>
                <w:sz w:val="20"/>
                <w:szCs w:val="20"/>
              </w:rPr>
              <w:t>理前</w:t>
            </w:r>
          </w:p>
        </w:tc>
        <w:tc>
          <w:tcPr>
            <w:tcW w:w="754" w:type="dxa"/>
            <w:vMerge w:val="restart"/>
            <w:tcBorders>
              <w:bottom w:val="nil"/>
            </w:tcBorders>
            <w:vAlign w:val="top"/>
          </w:tcPr>
          <w:p w14:paraId="3E346615">
            <w:pPr>
              <w:spacing w:before="251" w:line="195" w:lineRule="auto"/>
              <w:ind w:left="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523.52</w:t>
            </w:r>
          </w:p>
        </w:tc>
        <w:tc>
          <w:tcPr>
            <w:tcW w:w="638" w:type="dxa"/>
            <w:vAlign w:val="top"/>
          </w:tcPr>
          <w:p w14:paraId="3D77BACC">
            <w:pPr>
              <w:spacing w:before="90"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743" w:type="dxa"/>
            <w:vAlign w:val="top"/>
          </w:tcPr>
          <w:p w14:paraId="1AB9D7C3">
            <w:pPr>
              <w:spacing w:before="9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.46</w:t>
            </w:r>
          </w:p>
        </w:tc>
        <w:tc>
          <w:tcPr>
            <w:tcW w:w="656" w:type="dxa"/>
            <w:vAlign w:val="top"/>
          </w:tcPr>
          <w:p w14:paraId="37E9EC03">
            <w:pPr>
              <w:spacing w:before="9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20</w:t>
            </w:r>
          </w:p>
        </w:tc>
        <w:tc>
          <w:tcPr>
            <w:tcW w:w="825" w:type="dxa"/>
            <w:vAlign w:val="top"/>
          </w:tcPr>
          <w:p w14:paraId="18A9ECA8">
            <w:pPr>
              <w:spacing w:before="90"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.49</w:t>
            </w:r>
          </w:p>
        </w:tc>
        <w:tc>
          <w:tcPr>
            <w:tcW w:w="738" w:type="dxa"/>
            <w:vAlign w:val="top"/>
          </w:tcPr>
          <w:p w14:paraId="27039751">
            <w:pPr>
              <w:spacing w:before="93" w:line="192"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18" w:type="dxa"/>
            <w:vAlign w:val="top"/>
          </w:tcPr>
          <w:p w14:paraId="67D56AE7">
            <w:pPr>
              <w:spacing w:before="90"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.008</w:t>
            </w:r>
          </w:p>
        </w:tc>
        <w:tc>
          <w:tcPr>
            <w:tcW w:w="618" w:type="dxa"/>
            <w:vAlign w:val="top"/>
          </w:tcPr>
          <w:p w14:paraId="151D5BF9">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672" w:type="dxa"/>
            <w:vAlign w:val="top"/>
          </w:tcPr>
          <w:p w14:paraId="0B2BAE39">
            <w:pPr>
              <w:spacing w:before="90"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c>
          <w:tcPr>
            <w:tcW w:w="1134" w:type="dxa"/>
            <w:tcBorders>
              <w:right w:val="nil"/>
            </w:tcBorders>
            <w:vAlign w:val="top"/>
          </w:tcPr>
          <w:p w14:paraId="08F77D68">
            <w:pPr>
              <w:spacing w:before="178" w:line="136"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w:t>
            </w:r>
          </w:p>
        </w:tc>
      </w:tr>
      <w:tr w14:paraId="4C672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25" w:type="dxa"/>
            <w:tcBorders>
              <w:left w:val="nil"/>
            </w:tcBorders>
            <w:vAlign w:val="top"/>
          </w:tcPr>
          <w:p w14:paraId="110FB7D2">
            <w:pPr>
              <w:spacing w:before="55" w:line="228" w:lineRule="auto"/>
              <w:ind w:left="209"/>
              <w:rPr>
                <w:rFonts w:ascii="宋体" w:hAnsi="宋体" w:eastAsia="宋体" w:cs="宋体"/>
                <w:sz w:val="20"/>
                <w:szCs w:val="20"/>
              </w:rPr>
            </w:pPr>
            <w:r>
              <w:rPr>
                <w:rFonts w:ascii="宋体" w:hAnsi="宋体" w:eastAsia="宋体" w:cs="宋体"/>
                <w:spacing w:val="6"/>
                <w:sz w:val="20"/>
                <w:szCs w:val="20"/>
              </w:rPr>
              <w:t>处</w:t>
            </w:r>
            <w:r>
              <w:rPr>
                <w:rFonts w:ascii="宋体" w:hAnsi="宋体" w:eastAsia="宋体" w:cs="宋体"/>
                <w:spacing w:val="5"/>
                <w:sz w:val="20"/>
                <w:szCs w:val="20"/>
              </w:rPr>
              <w:t>理后</w:t>
            </w:r>
          </w:p>
        </w:tc>
        <w:tc>
          <w:tcPr>
            <w:tcW w:w="754" w:type="dxa"/>
            <w:vMerge w:val="continue"/>
            <w:tcBorders>
              <w:top w:val="nil"/>
            </w:tcBorders>
            <w:vAlign w:val="top"/>
          </w:tcPr>
          <w:p w14:paraId="3245025D">
            <w:pPr>
              <w:rPr>
                <w:rFonts w:ascii="Arial"/>
                <w:sz w:val="21"/>
              </w:rPr>
            </w:pPr>
          </w:p>
        </w:tc>
        <w:tc>
          <w:tcPr>
            <w:tcW w:w="638" w:type="dxa"/>
            <w:vAlign w:val="top"/>
          </w:tcPr>
          <w:p w14:paraId="6987D1A3">
            <w:pPr>
              <w:spacing w:before="90"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43" w:type="dxa"/>
            <w:vAlign w:val="top"/>
          </w:tcPr>
          <w:p w14:paraId="46B34B99">
            <w:pPr>
              <w:spacing w:before="9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.23</w:t>
            </w:r>
          </w:p>
        </w:tc>
        <w:tc>
          <w:tcPr>
            <w:tcW w:w="656" w:type="dxa"/>
            <w:vAlign w:val="top"/>
          </w:tcPr>
          <w:p w14:paraId="6D79BE89">
            <w:pPr>
              <w:spacing w:before="90"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825" w:type="dxa"/>
            <w:vAlign w:val="top"/>
          </w:tcPr>
          <w:p w14:paraId="38E9A79A">
            <w:pPr>
              <w:spacing w:before="91"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738" w:type="dxa"/>
            <w:vAlign w:val="top"/>
          </w:tcPr>
          <w:p w14:paraId="6FC6F0D4">
            <w:pPr>
              <w:spacing w:before="93" w:line="192"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18" w:type="dxa"/>
            <w:vAlign w:val="top"/>
          </w:tcPr>
          <w:p w14:paraId="774EDE9C">
            <w:pPr>
              <w:spacing w:before="91"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.008</w:t>
            </w:r>
          </w:p>
        </w:tc>
        <w:tc>
          <w:tcPr>
            <w:tcW w:w="618" w:type="dxa"/>
            <w:vAlign w:val="top"/>
          </w:tcPr>
          <w:p w14:paraId="570B0D31">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672" w:type="dxa"/>
            <w:vAlign w:val="top"/>
          </w:tcPr>
          <w:p w14:paraId="6B976821">
            <w:pPr>
              <w:spacing w:before="91"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c>
          <w:tcPr>
            <w:tcW w:w="1134" w:type="dxa"/>
            <w:tcBorders>
              <w:right w:val="nil"/>
            </w:tcBorders>
            <w:vAlign w:val="top"/>
          </w:tcPr>
          <w:p w14:paraId="5BBDD1F7">
            <w:pPr>
              <w:spacing w:before="179" w:line="136"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w:t>
            </w:r>
          </w:p>
        </w:tc>
      </w:tr>
      <w:tr w14:paraId="14805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5" w:type="dxa"/>
            <w:tcBorders>
              <w:left w:val="nil"/>
            </w:tcBorders>
            <w:vAlign w:val="top"/>
          </w:tcPr>
          <w:p w14:paraId="03336176">
            <w:pPr>
              <w:spacing w:before="55" w:line="228" w:lineRule="auto"/>
              <w:ind w:left="103"/>
              <w:rPr>
                <w:rFonts w:ascii="宋体" w:hAnsi="宋体" w:eastAsia="宋体" w:cs="宋体"/>
                <w:sz w:val="20"/>
                <w:szCs w:val="20"/>
              </w:rPr>
            </w:pPr>
            <w:r>
              <w:rPr>
                <w:rFonts w:ascii="宋体" w:hAnsi="宋体" w:eastAsia="宋体" w:cs="宋体"/>
                <w:spacing w:val="7"/>
                <w:sz w:val="20"/>
                <w:szCs w:val="20"/>
              </w:rPr>
              <w:t>处</w:t>
            </w:r>
            <w:r>
              <w:rPr>
                <w:rFonts w:ascii="宋体" w:hAnsi="宋体" w:eastAsia="宋体" w:cs="宋体"/>
                <w:spacing w:val="6"/>
                <w:sz w:val="20"/>
                <w:szCs w:val="20"/>
              </w:rPr>
              <w:t>理效率</w:t>
            </w:r>
          </w:p>
        </w:tc>
        <w:tc>
          <w:tcPr>
            <w:tcW w:w="754" w:type="dxa"/>
            <w:vAlign w:val="top"/>
          </w:tcPr>
          <w:p w14:paraId="318A36F2">
            <w:pPr>
              <w:spacing w:before="180" w:line="135"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c>
          <w:tcPr>
            <w:tcW w:w="1381" w:type="dxa"/>
            <w:gridSpan w:val="2"/>
            <w:vAlign w:val="top"/>
          </w:tcPr>
          <w:p w14:paraId="5B7384F1">
            <w:pPr>
              <w:spacing w:before="18" w:line="281"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50</w:t>
            </w:r>
            <w:r>
              <w:rPr>
                <w:rFonts w:ascii="Times New Roman" w:hAnsi="Times New Roman" w:eastAsia="Times New Roman" w:cs="Times New Roman"/>
                <w:spacing w:val="2"/>
                <w:position w:val="2"/>
                <w:sz w:val="20"/>
                <w:szCs w:val="20"/>
              </w:rPr>
              <w:t>%</w:t>
            </w:r>
          </w:p>
        </w:tc>
        <w:tc>
          <w:tcPr>
            <w:tcW w:w="1481" w:type="dxa"/>
            <w:gridSpan w:val="2"/>
            <w:vAlign w:val="top"/>
          </w:tcPr>
          <w:p w14:paraId="4AF1A9F2">
            <w:pPr>
              <w:spacing w:before="18" w:line="281"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9</w:t>
            </w:r>
            <w:r>
              <w:rPr>
                <w:rFonts w:ascii="Times New Roman" w:hAnsi="Times New Roman" w:eastAsia="Times New Roman" w:cs="Times New Roman"/>
                <w:spacing w:val="3"/>
                <w:position w:val="2"/>
                <w:sz w:val="20"/>
                <w:szCs w:val="20"/>
              </w:rPr>
              <w:t>0%</w:t>
            </w:r>
          </w:p>
        </w:tc>
        <w:tc>
          <w:tcPr>
            <w:tcW w:w="1456" w:type="dxa"/>
            <w:gridSpan w:val="2"/>
            <w:vAlign w:val="top"/>
          </w:tcPr>
          <w:p w14:paraId="58DCA946">
            <w:pPr>
              <w:spacing w:before="180" w:line="1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w:t>
            </w:r>
          </w:p>
        </w:tc>
        <w:tc>
          <w:tcPr>
            <w:tcW w:w="1290" w:type="dxa"/>
            <w:gridSpan w:val="2"/>
            <w:vAlign w:val="top"/>
          </w:tcPr>
          <w:p w14:paraId="1433A99B">
            <w:pPr>
              <w:spacing w:before="18" w:line="281"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w:t>
            </w:r>
          </w:p>
        </w:tc>
        <w:tc>
          <w:tcPr>
            <w:tcW w:w="1134" w:type="dxa"/>
            <w:tcBorders>
              <w:right w:val="nil"/>
            </w:tcBorders>
            <w:vAlign w:val="top"/>
          </w:tcPr>
          <w:p w14:paraId="6FE05288">
            <w:pPr>
              <w:spacing w:before="180" w:line="135"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w:t>
            </w:r>
          </w:p>
        </w:tc>
      </w:tr>
      <w:tr w14:paraId="33DD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025" w:type="dxa"/>
            <w:tcBorders>
              <w:left w:val="nil"/>
            </w:tcBorders>
            <w:vAlign w:val="top"/>
          </w:tcPr>
          <w:p w14:paraId="33242C79">
            <w:pPr>
              <w:spacing w:before="212" w:line="228" w:lineRule="auto"/>
              <w:ind w:left="99"/>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水标准</w:t>
            </w:r>
          </w:p>
        </w:tc>
        <w:tc>
          <w:tcPr>
            <w:tcW w:w="754" w:type="dxa"/>
            <w:vAlign w:val="top"/>
          </w:tcPr>
          <w:p w14:paraId="1296C13B">
            <w:pPr>
              <w:spacing w:line="277" w:lineRule="auto"/>
              <w:rPr>
                <w:rFonts w:ascii="Arial"/>
                <w:sz w:val="21"/>
              </w:rPr>
            </w:pPr>
          </w:p>
          <w:p w14:paraId="4E8F9365">
            <w:pPr>
              <w:spacing w:before="57" w:line="137"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c>
          <w:tcPr>
            <w:tcW w:w="1381" w:type="dxa"/>
            <w:gridSpan w:val="2"/>
            <w:vAlign w:val="top"/>
          </w:tcPr>
          <w:p w14:paraId="3E7EC1F6">
            <w:pPr>
              <w:spacing w:before="248"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481" w:type="dxa"/>
            <w:gridSpan w:val="2"/>
            <w:vAlign w:val="top"/>
          </w:tcPr>
          <w:p w14:paraId="1A6BC1F3">
            <w:pPr>
              <w:spacing w:before="248"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456" w:type="dxa"/>
            <w:gridSpan w:val="2"/>
            <w:vAlign w:val="top"/>
          </w:tcPr>
          <w:p w14:paraId="5C47024E">
            <w:pPr>
              <w:spacing w:before="248"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0" w:type="dxa"/>
            <w:gridSpan w:val="2"/>
            <w:vAlign w:val="top"/>
          </w:tcPr>
          <w:p w14:paraId="25E3035E">
            <w:pPr>
              <w:spacing w:before="248"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134" w:type="dxa"/>
            <w:tcBorders>
              <w:right w:val="nil"/>
            </w:tcBorders>
            <w:vAlign w:val="top"/>
          </w:tcPr>
          <w:p w14:paraId="454EF51D">
            <w:pPr>
              <w:spacing w:before="19" w:line="292" w:lineRule="auto"/>
              <w:ind w:left="170" w:right="23" w:hanging="128"/>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0"/>
                <w:sz w:val="20"/>
                <w:szCs w:val="20"/>
              </w:rPr>
              <w:t>21/ 162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7-2008</w:t>
            </w:r>
            <w:r>
              <w:rPr>
                <w:rFonts w:ascii="宋体" w:hAnsi="宋体" w:eastAsia="宋体" w:cs="宋体"/>
                <w:spacing w:val="1"/>
                <w:sz w:val="20"/>
                <w:szCs w:val="20"/>
              </w:rPr>
              <w:t>)</w:t>
            </w:r>
          </w:p>
        </w:tc>
      </w:tr>
    </w:tbl>
    <w:p w14:paraId="0C86FD23">
      <w:pPr>
        <w:spacing w:line="260" w:lineRule="auto"/>
        <w:rPr>
          <w:rFonts w:ascii="Arial"/>
          <w:sz w:val="21"/>
        </w:rPr>
      </w:pPr>
    </w:p>
    <w:p w14:paraId="0B37ACC5">
      <w:pPr>
        <w:spacing w:before="75" w:line="227" w:lineRule="auto"/>
        <w:ind w:left="601"/>
        <w:rPr>
          <w:rFonts w:ascii="宋体" w:hAnsi="宋体" w:eastAsia="宋体" w:cs="宋体"/>
          <w:sz w:val="23"/>
          <w:szCs w:val="23"/>
        </w:rPr>
      </w:pPr>
      <w:r>
        <w:rPr>
          <w:rFonts w:ascii="宋体" w:hAnsi="宋体" w:eastAsia="宋体" w:cs="宋体"/>
          <w:spacing w:val="4"/>
          <w:sz w:val="23"/>
          <w:szCs w:val="23"/>
        </w:rPr>
        <w:t>该项目</w:t>
      </w:r>
      <w:r>
        <w:rPr>
          <w:rFonts w:ascii="宋体" w:hAnsi="宋体" w:eastAsia="宋体" w:cs="宋体"/>
          <w:spacing w:val="2"/>
          <w:sz w:val="23"/>
          <w:szCs w:val="23"/>
        </w:rPr>
        <w:t xml:space="preserve">水平衡图见图 </w:t>
      </w:r>
      <w:r>
        <w:rPr>
          <w:rFonts w:ascii="Times New Roman" w:hAnsi="Times New Roman" w:eastAsia="Times New Roman" w:cs="Times New Roman"/>
          <w:spacing w:val="2"/>
          <w:sz w:val="23"/>
          <w:szCs w:val="23"/>
        </w:rPr>
        <w:t>3-4</w:t>
      </w:r>
      <w:r>
        <w:rPr>
          <w:rFonts w:ascii="宋体" w:hAnsi="宋体" w:eastAsia="宋体" w:cs="宋体"/>
          <w:spacing w:val="2"/>
          <w:sz w:val="23"/>
          <w:szCs w:val="23"/>
        </w:rPr>
        <w:t>。</w:t>
      </w:r>
    </w:p>
    <w:p w14:paraId="4259CAA3">
      <w:pPr>
        <w:spacing w:line="145" w:lineRule="exact"/>
      </w:pPr>
    </w:p>
    <w:tbl>
      <w:tblPr>
        <w:tblStyle w:val="4"/>
        <w:tblW w:w="8605" w:type="dxa"/>
        <w:tblInd w:w="118"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605"/>
      </w:tblGrid>
      <w:tr w14:paraId="2C255554">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194" w:hRule="atLeast"/>
        </w:trPr>
        <w:tc>
          <w:tcPr>
            <w:tcW w:w="8605" w:type="dxa"/>
            <w:vAlign w:val="top"/>
          </w:tcPr>
          <w:p w14:paraId="2B3B202D">
            <w:pPr>
              <w:spacing w:before="147" w:line="195" w:lineRule="auto"/>
              <w:ind w:left="2821"/>
              <w:rPr>
                <w:rFonts w:ascii="Times New Roman" w:hAnsi="Times New Roman" w:eastAsia="Times New Roman" w:cs="Times New Roman"/>
                <w:sz w:val="20"/>
                <w:szCs w:val="20"/>
              </w:rPr>
            </w:pPr>
            <w:r>
              <w:pict>
                <v:rect id="_x0000_s1182" o:spid="_x0000_s1182" o:spt="1" style="position:absolute;left:0pt;margin-left:54.55pt;margin-top:38.45pt;height:301.9pt;width:0.75pt;mso-position-horizontal-relative:page;mso-position-vertical-relative:page;z-index:251846656;mso-width-relative:page;mso-height-relative:page;" fillcolor="#000000" filled="t" stroked="f" coordsize="21600,21600">
                  <v:path/>
                  <v:fill on="t" focussize="0,0"/>
                  <v:stroke on="f"/>
                  <v:imagedata o:title=""/>
                  <o:lock v:ext="edit"/>
                </v:rect>
              </w:pict>
            </w:r>
            <w:r>
              <w:drawing>
                <wp:anchor distT="0" distB="0" distL="0" distR="0" simplePos="0" relativeHeight="251837440" behindDoc="0" locked="0" layoutInCell="1" allowOverlap="1">
                  <wp:simplePos x="0" y="0"/>
                  <wp:positionH relativeFrom="rightMargin">
                    <wp:posOffset>-3930015</wp:posOffset>
                  </wp:positionH>
                  <wp:positionV relativeFrom="topMargin">
                    <wp:posOffset>140335</wp:posOffset>
                  </wp:positionV>
                  <wp:extent cx="179070" cy="20701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468"/>
                          <a:stretch>
                            <a:fillRect/>
                          </a:stretch>
                        </pic:blipFill>
                        <pic:spPr>
                          <a:xfrm>
                            <a:off x="0" y="0"/>
                            <a:ext cx="179374" cy="207174"/>
                          </a:xfrm>
                          <a:prstGeom prst="rect">
                            <a:avLst/>
                          </a:prstGeom>
                        </pic:spPr>
                      </pic:pic>
                    </a:graphicData>
                  </a:graphic>
                </wp:anchor>
              </w:drawing>
            </w:r>
            <w:r>
              <w:pict>
                <v:shape id="_x0000_s1183" o:spid="_x0000_s1183" o:spt="202" type="#_x0000_t202" style="position:absolute;left:0pt;margin-left:63.8pt;margin-top:28.35pt;height:11.4pt;width:20.05pt;mso-position-horizontal-relative:page;mso-position-vertical-relative:page;z-index:251839488;mso-width-relative:page;mso-height-relative:page;" filled="f" stroked="f" coordsize="21600,21600">
                  <v:path/>
                  <v:fill on="f" focussize="0,0"/>
                  <v:stroke on="f"/>
                  <v:imagedata o:title=""/>
                  <o:lock v:ext="edit" aspectratio="f"/>
                  <v:textbox inset="0mm,0mm,0mm,0mm">
                    <w:txbxContent>
                      <w:p w14:paraId="311B51C1">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.85</w:t>
                        </w:r>
                      </w:p>
                    </w:txbxContent>
                  </v:textbox>
                </v:shape>
              </w:pict>
            </w:r>
            <w:r>
              <w:drawing>
                <wp:anchor distT="0" distB="0" distL="0" distR="0" simplePos="0" relativeHeight="251819008" behindDoc="1" locked="0" layoutInCell="1" allowOverlap="1">
                  <wp:simplePos x="0" y="0"/>
                  <wp:positionH relativeFrom="rightMargin">
                    <wp:posOffset>-3390265</wp:posOffset>
                  </wp:positionH>
                  <wp:positionV relativeFrom="topMargin">
                    <wp:posOffset>510540</wp:posOffset>
                  </wp:positionV>
                  <wp:extent cx="1047115" cy="30099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69"/>
                          <a:stretch>
                            <a:fillRect/>
                          </a:stretch>
                        </pic:blipFill>
                        <pic:spPr>
                          <a:xfrm>
                            <a:off x="0" y="0"/>
                            <a:ext cx="1047114" cy="301307"/>
                          </a:xfrm>
                          <a:prstGeom prst="rect">
                            <a:avLst/>
                          </a:prstGeom>
                        </pic:spPr>
                      </pic:pic>
                    </a:graphicData>
                  </a:graphic>
                </wp:anchor>
              </w:drawing>
            </w:r>
            <w:r>
              <w:drawing>
                <wp:anchor distT="0" distB="0" distL="0" distR="0" simplePos="0" relativeHeight="251853824" behindDoc="0" locked="0" layoutInCell="1" allowOverlap="1">
                  <wp:simplePos x="0" y="0"/>
                  <wp:positionH relativeFrom="rightMargin">
                    <wp:posOffset>-4754245</wp:posOffset>
                  </wp:positionH>
                  <wp:positionV relativeFrom="topMargin">
                    <wp:posOffset>447040</wp:posOffset>
                  </wp:positionV>
                  <wp:extent cx="514350" cy="76200"/>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470"/>
                          <a:stretch>
                            <a:fillRect/>
                          </a:stretch>
                        </pic:blipFill>
                        <pic:spPr>
                          <a:xfrm>
                            <a:off x="0" y="0"/>
                            <a:ext cx="514350" cy="76200"/>
                          </a:xfrm>
                          <a:prstGeom prst="rect">
                            <a:avLst/>
                          </a:prstGeom>
                        </pic:spPr>
                      </pic:pic>
                    </a:graphicData>
                  </a:graphic>
                </wp:anchor>
              </w:drawing>
            </w:r>
            <w:r>
              <w:pict>
                <v:group id="_x0000_s1184" o:spid="_x0000_s1184" o:spt="203" style="position:absolute;left:0pt;margin-left:138.05pt;margin-top:52.7pt;height:23.75pt;width:84pt;mso-position-horizontal-relative:page;mso-position-vertical-relative:page;z-index:251850752;mso-width-relative:page;mso-height-relative:page;" coordsize="1680,475">
                  <o:lock v:ext="edit"/>
                  <v:shape id="_x0000_s1185" o:spid="_x0000_s1185" o:spt="75" type="#_x0000_t75" style="position:absolute;left:0;top:0;height:475;width:1680;" filled="f" stroked="f" coordsize="21600,21600">
                    <v:path/>
                    <v:fill on="f" focussize="0,0"/>
                    <v:stroke on="f"/>
                    <v:imagedata r:id="rId471" o:title=""/>
                    <o:lock v:ext="edit" aspectratio="t"/>
                  </v:shape>
                  <v:shape id="_x0000_s1186" o:spid="_x0000_s1186" o:spt="202" type="#_x0000_t202" style="position:absolute;left:-20;top:-20;height:552;width:1720;" filled="f" stroked="f" coordsize="21600,21600">
                    <v:path/>
                    <v:fill on="f" focussize="0,0"/>
                    <v:stroke on="f"/>
                    <v:imagedata o:title=""/>
                    <o:lock v:ext="edit" aspectratio="f"/>
                    <v:textbox inset="0mm,0mm,0mm,0mm">
                      <w:txbxContent>
                        <w:p w14:paraId="37BF0502">
                          <w:pPr>
                            <w:spacing w:before="217" w:line="228" w:lineRule="auto"/>
                            <w:ind w:left="295"/>
                            <w:rPr>
                              <w:rFonts w:ascii="Times New Roman" w:hAnsi="Times New Roman" w:eastAsia="Times New Roman" w:cs="Times New Roman"/>
                              <w:sz w:val="20"/>
                              <w:szCs w:val="20"/>
                            </w:rPr>
                          </w:pPr>
                          <w:r>
                            <w:rPr>
                              <w:rFonts w:ascii="宋体" w:hAnsi="宋体" w:eastAsia="宋体" w:cs="宋体"/>
                              <w:spacing w:val="-8"/>
                              <w:sz w:val="20"/>
                              <w:szCs w:val="20"/>
                            </w:rPr>
                            <w:t>循</w:t>
                          </w:r>
                          <w:r>
                            <w:rPr>
                              <w:rFonts w:ascii="宋体" w:hAnsi="宋体" w:eastAsia="宋体" w:cs="宋体"/>
                              <w:spacing w:val="-5"/>
                              <w:sz w:val="20"/>
                              <w:szCs w:val="20"/>
                            </w:rPr>
                            <w:t xml:space="preserve">环水 </w:t>
                          </w:r>
                          <w:r>
                            <w:rPr>
                              <w:rFonts w:ascii="Times New Roman" w:hAnsi="Times New Roman" w:eastAsia="Times New Roman" w:cs="Times New Roman"/>
                              <w:spacing w:val="-5"/>
                              <w:sz w:val="20"/>
                              <w:szCs w:val="20"/>
                            </w:rPr>
                            <w:t>16. 15</w:t>
                          </w:r>
                        </w:p>
                      </w:txbxContent>
                    </v:textbox>
                  </v:shape>
                </v:group>
              </w:pict>
            </w:r>
            <w:r>
              <w:pict>
                <v:shape id="_x0000_s1187" o:spid="_x0000_s1187" o:spt="202" type="#_x0000_t202" style="position:absolute;left:0pt;margin-left:114.7pt;margin-top:103.35pt;height:11.5pt;width:20.3pt;mso-position-horizontal-relative:page;mso-position-vertical-relative:page;z-index:251833344;mso-width-relative:page;mso-height-relative:page;" filled="f" stroked="f" coordsize="21600,21600">
                  <v:path/>
                  <v:fill on="f" focussize="0,0"/>
                  <v:stroke on="f"/>
                  <v:imagedata o:title=""/>
                  <o:lock v:ext="edit" aspectratio="f"/>
                  <v:textbox inset="0mm,0mm,0mm,0mm">
                    <w:txbxContent>
                      <w:p w14:paraId="67BD8125">
                        <w:pPr>
                          <w:spacing w:before="19"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.25</w:t>
                        </w:r>
                      </w:p>
                    </w:txbxContent>
                  </v:textbox>
                </v:shape>
              </w:pict>
            </w:r>
            <w:r>
              <w:pict>
                <v:shape id="_x0000_s1188" o:spid="_x0000_s1188" o:spt="202" type="#_x0000_t202" style="position:absolute;left:0pt;margin-left:143.15pt;margin-top:109.1pt;height:65.25pt;width:185.95pt;mso-position-horizontal-relative:page;mso-position-vertical-relative:page;z-index:251843584;mso-width-relative:page;mso-height-relative:page;" filled="f" stroked="f" coordsize="21600,21600">
                  <v:path/>
                  <v:fill on="f" focussize="0,0"/>
                  <v:stroke on="f"/>
                  <v:imagedata o:title=""/>
                  <o:lock v:ext="edit" aspectratio="f"/>
                  <v:textbox inset="0mm,0mm,0mm,0mm">
                    <w:txbxContent>
                      <w:p w14:paraId="4FD39482">
                        <w:pPr>
                          <w:spacing w:before="19" w:line="228" w:lineRule="auto"/>
                          <w:ind w:left="158"/>
                          <w:rPr>
                            <w:rFonts w:ascii="Times New Roman" w:hAnsi="Times New Roman" w:eastAsia="Times New Roman" w:cs="Times New Roman"/>
                            <w:sz w:val="20"/>
                            <w:szCs w:val="20"/>
                          </w:rPr>
                        </w:pPr>
                        <w:r>
                          <w:rPr>
                            <w:rFonts w:ascii="宋体" w:hAnsi="宋体" w:eastAsia="宋体" w:cs="宋体"/>
                            <w:spacing w:val="-1"/>
                            <w:sz w:val="20"/>
                            <w:szCs w:val="20"/>
                          </w:rPr>
                          <w:t>循环水</w:t>
                        </w:r>
                        <w:r>
                          <w:rPr>
                            <w:rFonts w:ascii="宋体" w:hAnsi="宋体" w:eastAsia="宋体" w:cs="宋体"/>
                            <w:sz w:val="20"/>
                            <w:szCs w:val="20"/>
                          </w:rPr>
                          <w:t xml:space="preserve"> </w:t>
                        </w:r>
                        <w:r>
                          <w:rPr>
                            <w:rFonts w:ascii="Times New Roman" w:hAnsi="Times New Roman" w:eastAsia="Times New Roman" w:cs="Times New Roman"/>
                            <w:sz w:val="20"/>
                            <w:szCs w:val="20"/>
                          </w:rPr>
                          <w:t>80.75</w:t>
                        </w:r>
                      </w:p>
                      <w:p w14:paraId="6EA914B6">
                        <w:pPr>
                          <w:spacing w:line="250" w:lineRule="auto"/>
                          <w:rPr>
                            <w:rFonts w:ascii="Arial"/>
                            <w:sz w:val="21"/>
                          </w:rPr>
                        </w:pPr>
                      </w:p>
                      <w:p w14:paraId="1477114A">
                        <w:pPr>
                          <w:spacing w:line="250" w:lineRule="auto"/>
                          <w:rPr>
                            <w:rFonts w:ascii="Arial"/>
                            <w:sz w:val="21"/>
                          </w:rPr>
                        </w:pPr>
                      </w:p>
                      <w:p w14:paraId="00699418">
                        <w:pPr>
                          <w:spacing w:before="65" w:line="220" w:lineRule="auto"/>
                          <w:ind w:left="20" w:right="20" w:firstLine="2853"/>
                          <w:rPr>
                            <w:rFonts w:ascii="Times New Roman" w:hAnsi="Times New Roman" w:eastAsia="Times New Roman" w:cs="Times New Roman"/>
                            <w:sz w:val="20"/>
                            <w:szCs w:val="20"/>
                          </w:rPr>
                        </w:pPr>
                        <w:r>
                          <w:rPr>
                            <w:rFonts w:ascii="宋体" w:hAnsi="宋体" w:eastAsia="宋体" w:cs="宋体"/>
                            <w:spacing w:val="6"/>
                            <w:sz w:val="20"/>
                            <w:szCs w:val="20"/>
                          </w:rPr>
                          <w:t>定期排放</w:t>
                        </w:r>
                        <w:r>
                          <w:rPr>
                            <w:rFonts w:ascii="宋体" w:hAnsi="宋体" w:eastAsia="宋体" w:cs="宋体"/>
                            <w:sz w:val="20"/>
                            <w:szCs w:val="20"/>
                          </w:rPr>
                          <w:t xml:space="preserve"> </w:t>
                        </w:r>
                        <w:r>
                          <w:rPr>
                            <w:rFonts w:ascii="Times New Roman" w:hAnsi="Times New Roman" w:eastAsia="Times New Roman" w:cs="Times New Roman"/>
                            <w:sz w:val="20"/>
                            <w:szCs w:val="20"/>
                          </w:rPr>
                          <w:t>3</w:t>
                        </w:r>
                      </w:p>
                    </w:txbxContent>
                  </v:textbox>
                </v:shape>
              </w:pict>
            </w:r>
            <w:r>
              <w:pict>
                <v:shape id="_x0000_s1189" o:spid="_x0000_s1189" o:spt="202" type="#_x0000_t202" style="position:absolute;left:0pt;margin-left:96.65pt;margin-top:129.25pt;height:24.75pt;width:69pt;mso-position-horizontal-relative:page;mso-position-vertical-relative:page;z-index:251832320;mso-width-relative:page;mso-height-relative:page;" filled="f" stroked="f" coordsize="21600,21600">
                  <v:path/>
                  <v:fill on="f" focussize="0,0"/>
                  <v:stroke on="f"/>
                  <v:imagedata o:title=""/>
                  <o:lock v:ext="edit" aspectratio="f"/>
                  <v:textbox inset="0mm,0mm,0mm,0mm">
                    <w:txbxContent>
                      <w:p w14:paraId="0F9D9E74">
                        <w:pPr>
                          <w:spacing w:line="20" w:lineRule="exact"/>
                        </w:pPr>
                      </w:p>
                      <w:tbl>
                        <w:tblPr>
                          <w:tblStyle w:val="4"/>
                          <w:tblW w:w="1317" w:type="dxa"/>
                          <w:tblInd w:w="30" w:type="dxa"/>
                          <w:tblBorders>
                            <w:top w:val="single" w:color="000000" w:sz="10" w:space="0"/>
                            <w:left w:val="single" w:color="000000" w:sz="8"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317"/>
                        </w:tblGrid>
                        <w:tr w14:paraId="5E1AF7F4">
                          <w:tblPrEx>
                            <w:tblBorders>
                              <w:top w:val="single" w:color="000000" w:sz="10" w:space="0"/>
                              <w:left w:val="single" w:color="000000" w:sz="8"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9" w:hRule="atLeast"/>
                          </w:trPr>
                          <w:tc>
                            <w:tcPr>
                              <w:tcW w:w="1317" w:type="dxa"/>
                              <w:vAlign w:val="top"/>
                            </w:tcPr>
                            <w:p w14:paraId="73DCAB6C">
                              <w:pPr>
                                <w:spacing w:before="112" w:line="228" w:lineRule="auto"/>
                                <w:ind w:left="237"/>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洗用水</w:t>
                              </w:r>
                            </w:p>
                          </w:tc>
                        </w:tr>
                      </w:tbl>
                      <w:p w14:paraId="6219D4D4">
                        <w:pPr>
                          <w:rPr>
                            <w:rFonts w:ascii="Arial"/>
                            <w:sz w:val="21"/>
                          </w:rPr>
                        </w:pPr>
                      </w:p>
                    </w:txbxContent>
                  </v:textbox>
                </v:shape>
              </w:pict>
            </w:r>
            <w:r>
              <w:pict>
                <v:shape id="_x0000_s1190" o:spid="_x0000_s1190" o:spt="202" type="#_x0000_t202" style="position:absolute;left:0pt;margin-left:66.25pt;margin-top:129.5pt;height:11.5pt;width:20.3pt;mso-position-horizontal-relative:page;mso-position-vertical-relative:page;z-index:251831296;mso-width-relative:page;mso-height-relative:page;" filled="f" stroked="f" coordsize="21600,21600">
                  <v:path/>
                  <v:fill on="f" focussize="0,0"/>
                  <v:stroke on="f"/>
                  <v:imagedata o:title=""/>
                  <o:lock v:ext="edit" aspectratio="f"/>
                  <v:textbox inset="0mm,0mm,0mm,0mm">
                    <w:txbxContent>
                      <w:p w14:paraId="41BB4BBF">
                        <w:pPr>
                          <w:spacing w:before="19"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.25</w:t>
                        </w:r>
                      </w:p>
                    </w:txbxContent>
                  </v:textbox>
                </v:shape>
              </w:pict>
            </w:r>
            <w:r>
              <w:pict>
                <v:shape id="_x0000_s1191" o:spid="_x0000_s1191" o:spt="202" type="#_x0000_t202" style="position:absolute;left:0pt;margin-left:343.65pt;margin-top:136.8pt;height:54.65pt;width:77.65pt;mso-position-horizontal-relative:page;mso-position-vertical-relative:page;z-index:251830272;mso-width-relative:page;mso-height-relative:page;" filled="f" stroked="f" coordsize="21600,21600">
                  <v:path/>
                  <v:fill on="f" focussize="0,0"/>
                  <v:stroke on="f"/>
                  <v:imagedata o:title=""/>
                  <o:lock v:ext="edit" aspectratio="f"/>
                  <v:textbox inset="0mm,0mm,0mm,0mm">
                    <w:txbxContent>
                      <w:p w14:paraId="5F55751B">
                        <w:pPr>
                          <w:spacing w:line="20" w:lineRule="exact"/>
                        </w:pPr>
                      </w:p>
                      <w:tbl>
                        <w:tblPr>
                          <w:tblStyle w:val="4"/>
                          <w:tblW w:w="149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92"/>
                        </w:tblGrid>
                        <w:tr w14:paraId="17B2224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12" w:hRule="atLeast"/>
                          </w:trPr>
                          <w:tc>
                            <w:tcPr>
                              <w:tcW w:w="1492" w:type="dxa"/>
                              <w:vAlign w:val="top"/>
                            </w:tcPr>
                            <w:p w14:paraId="257AD7D5">
                              <w:pPr>
                                <w:spacing w:before="117" w:line="268" w:lineRule="auto"/>
                                <w:ind w:left="146" w:right="127" w:firstLine="1"/>
                                <w:rPr>
                                  <w:rFonts w:ascii="宋体" w:hAnsi="宋体" w:eastAsia="宋体" w:cs="宋体"/>
                                  <w:sz w:val="20"/>
                                  <w:szCs w:val="20"/>
                                </w:rPr>
                              </w:pPr>
                              <w:r>
                                <w:rPr>
                                  <w:rFonts w:ascii="宋体" w:hAnsi="宋体" w:eastAsia="宋体" w:cs="宋体"/>
                                  <w:spacing w:val="-1"/>
                                  <w:sz w:val="20"/>
                                  <w:szCs w:val="20"/>
                                </w:rPr>
                                <w:t>本溪市科态</w:t>
                              </w:r>
                              <w:r>
                                <w:rPr>
                                  <w:rFonts w:ascii="宋体" w:hAnsi="宋体" w:eastAsia="宋体" w:cs="宋体"/>
                                  <w:sz w:val="20"/>
                                  <w:szCs w:val="20"/>
                                </w:rPr>
                                <w:t xml:space="preserve">污 </w:t>
                              </w:r>
                              <w:r>
                                <w:rPr>
                                  <w:rFonts w:ascii="宋体" w:hAnsi="宋体" w:eastAsia="宋体" w:cs="宋体"/>
                                  <w:spacing w:val="-1"/>
                                  <w:sz w:val="20"/>
                                  <w:szCs w:val="20"/>
                                </w:rPr>
                                <w:t>水处理</w:t>
                              </w:r>
                              <w:r>
                                <w:rPr>
                                  <w:rFonts w:ascii="宋体" w:hAnsi="宋体" w:eastAsia="宋体" w:cs="宋体"/>
                                  <w:sz w:val="20"/>
                                  <w:szCs w:val="20"/>
                                </w:rPr>
                                <w:t xml:space="preserve">有限责 </w:t>
                              </w:r>
                              <w:r>
                                <w:rPr>
                                  <w:rFonts w:ascii="宋体" w:hAnsi="宋体" w:eastAsia="宋体" w:cs="宋体"/>
                                  <w:spacing w:val="-1"/>
                                  <w:sz w:val="20"/>
                                  <w:szCs w:val="20"/>
                                </w:rPr>
                                <w:t>任公</w:t>
                              </w:r>
                              <w:r>
                                <w:rPr>
                                  <w:rFonts w:ascii="宋体" w:hAnsi="宋体" w:eastAsia="宋体" w:cs="宋体"/>
                                  <w:sz w:val="20"/>
                                  <w:szCs w:val="20"/>
                                </w:rPr>
                                <w:t>司</w:t>
                              </w:r>
                            </w:p>
                          </w:tc>
                        </w:tr>
                      </w:tbl>
                      <w:p w14:paraId="56491256">
                        <w:pPr>
                          <w:rPr>
                            <w:rFonts w:ascii="Arial"/>
                            <w:sz w:val="21"/>
                          </w:rPr>
                        </w:pPr>
                      </w:p>
                    </w:txbxContent>
                  </v:textbox>
                </v:shape>
              </w:pict>
            </w:r>
            <w:r>
              <w:pict>
                <v:shape id="_x0000_s1192" o:spid="_x0000_s1192" o:spt="202" type="#_x0000_t202" style="position:absolute;left:0pt;margin-left:16.85pt;margin-top:160.35pt;height:28.9pt;width:33.05pt;mso-position-horizontal-relative:page;mso-position-vertical-relative:page;z-index:251824128;mso-width-relative:page;mso-height-relative:page;" filled="f" stroked="f" coordsize="21600,21600">
                  <v:path/>
                  <v:fill on="f" focussize="0,0"/>
                  <v:stroke on="f"/>
                  <v:imagedata o:title=""/>
                  <o:lock v:ext="edit" aspectratio="f"/>
                  <v:textbox inset="0mm,0mm,0mm,0mm">
                    <w:txbxContent>
                      <w:p w14:paraId="78F98D4A">
                        <w:pPr>
                          <w:spacing w:before="20" w:line="263" w:lineRule="auto"/>
                          <w:ind w:left="113" w:right="20" w:hanging="94"/>
                          <w:rPr>
                            <w:rFonts w:ascii="Times New Roman" w:hAnsi="Times New Roman" w:eastAsia="Times New Roman" w:cs="Times New Roman"/>
                            <w:sz w:val="20"/>
                            <w:szCs w:val="20"/>
                          </w:rPr>
                        </w:pPr>
                        <w:r>
                          <w:rPr>
                            <w:rFonts w:ascii="宋体" w:hAnsi="宋体" w:eastAsia="宋体" w:cs="宋体"/>
                            <w:spacing w:val="8"/>
                            <w:sz w:val="20"/>
                            <w:szCs w:val="20"/>
                          </w:rPr>
                          <w:t>新</w:t>
                        </w:r>
                        <w:r>
                          <w:rPr>
                            <w:rFonts w:ascii="宋体" w:hAnsi="宋体" w:eastAsia="宋体" w:cs="宋体"/>
                            <w:spacing w:val="6"/>
                            <w:sz w:val="20"/>
                            <w:szCs w:val="20"/>
                          </w:rPr>
                          <w:t>鲜水</w:t>
                        </w:r>
                        <w:r>
                          <w:rPr>
                            <w:rFonts w:ascii="宋体" w:hAnsi="宋体" w:eastAsia="宋体" w:cs="宋体"/>
                            <w:sz w:val="20"/>
                            <w:szCs w:val="20"/>
                          </w:rPr>
                          <w:t xml:space="preserve"> </w:t>
                        </w: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44</w:t>
                        </w:r>
                      </w:p>
                    </w:txbxContent>
                  </v:textbox>
                </v:shape>
              </w:pict>
            </w:r>
            <w:r>
              <w:pict>
                <v:shape id="_x0000_s1193" o:spid="_x0000_s1193" o:spt="202" type="#_x0000_t202" style="position:absolute;left:0pt;margin-left:96.8pt;margin-top:178.05pt;height:25.5pt;width:70.6pt;mso-position-horizontal-relative:page;mso-position-vertical-relative:page;z-index:251825152;mso-width-relative:page;mso-height-relative:page;" filled="f" stroked="f" coordsize="21600,21600">
                  <v:path/>
                  <v:fill on="f" focussize="0,0"/>
                  <v:stroke on="f"/>
                  <v:imagedata o:title=""/>
                  <o:lock v:ext="edit" aspectratio="f"/>
                  <v:textbox inset="0mm,0mm,0mm,0mm">
                    <w:txbxContent>
                      <w:p w14:paraId="657ABA23">
                        <w:pPr>
                          <w:spacing w:line="20" w:lineRule="exact"/>
                        </w:pPr>
                      </w:p>
                      <w:tbl>
                        <w:tblPr>
                          <w:tblStyle w:val="4"/>
                          <w:tblW w:w="1349"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49"/>
                        </w:tblGrid>
                        <w:tr w14:paraId="04B803F8">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19" w:hRule="atLeast"/>
                          </w:trPr>
                          <w:tc>
                            <w:tcPr>
                              <w:tcW w:w="1349" w:type="dxa"/>
                              <w:vAlign w:val="top"/>
                            </w:tcPr>
                            <w:p w14:paraId="23716846">
                              <w:pPr>
                                <w:spacing w:before="113" w:line="228" w:lineRule="auto"/>
                                <w:ind w:left="250"/>
                                <w:rPr>
                                  <w:rFonts w:ascii="宋体" w:hAnsi="宋体" w:eastAsia="宋体" w:cs="宋体"/>
                                  <w:sz w:val="20"/>
                                  <w:szCs w:val="20"/>
                                </w:rPr>
                              </w:pPr>
                              <w:r>
                                <w:rPr>
                                  <w:rFonts w:ascii="宋体" w:hAnsi="宋体" w:eastAsia="宋体" w:cs="宋体"/>
                                  <w:spacing w:val="7"/>
                                  <w:sz w:val="20"/>
                                  <w:szCs w:val="20"/>
                                </w:rPr>
                                <w:t>冷却用</w:t>
                              </w:r>
                              <w:r>
                                <w:rPr>
                                  <w:rFonts w:ascii="宋体" w:hAnsi="宋体" w:eastAsia="宋体" w:cs="宋体"/>
                                  <w:spacing w:val="6"/>
                                  <w:sz w:val="20"/>
                                  <w:szCs w:val="20"/>
                                </w:rPr>
                                <w:t>水</w:t>
                              </w:r>
                            </w:p>
                          </w:tc>
                        </w:tr>
                      </w:tbl>
                      <w:p w14:paraId="6318BDC0">
                        <w:pPr>
                          <w:rPr>
                            <w:rFonts w:ascii="Arial"/>
                            <w:sz w:val="21"/>
                          </w:rPr>
                        </w:pPr>
                      </w:p>
                    </w:txbxContent>
                  </v:textbox>
                </v:shape>
              </w:pict>
            </w:r>
            <w:r>
              <w:pict>
                <v:shape id="_x0000_s1194" o:spid="_x0000_s1194" o:spt="202" type="#_x0000_t202" style="position:absolute;left:0pt;margin-left:72.25pt;margin-top:180.9pt;height:11.35pt;width:6.8pt;mso-position-horizontal-relative:page;mso-position-vertical-relative:page;z-index:251826176;mso-width-relative:page;mso-height-relative:page;" filled="f" stroked="f" coordsize="21600,21600">
                  <v:path/>
                  <v:fill on="f" focussize="0,0"/>
                  <v:stroke on="f"/>
                  <v:imagedata o:title=""/>
                  <o:lock v:ext="edit" aspectratio="f"/>
                  <v:textbox inset="0mm,0mm,0mm,0mm">
                    <w:txbxContent>
                      <w:p w14:paraId="02047C19">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xbxContent>
                  </v:textbox>
                </v:shape>
              </w:pict>
            </w:r>
            <w:r>
              <w:pict>
                <v:shape id="_x0000_s1195" o:spid="_x0000_s1195" o:spt="202" type="#_x0000_t202" style="position:absolute;left:0pt;margin-left:165.25pt;margin-top:213.65pt;height:14.35pt;width:46.2pt;mso-position-horizontal-relative:page;mso-position-vertical-relative:page;z-index:251836416;mso-width-relative:page;mso-height-relative:page;" filled="f" stroked="f" coordsize="21600,21600">
                  <v:path/>
                  <v:fill on="f" focussize="0,0"/>
                  <v:stroke on="f"/>
                  <v:imagedata o:title=""/>
                  <o:lock v:ext="edit" aspectratio="f"/>
                  <v:textbox inset="0mm,0mm,0mm,0mm">
                    <w:txbxContent>
                      <w:p w14:paraId="08ABC537">
                        <w:pPr>
                          <w:spacing w:before="19" w:line="228" w:lineRule="auto"/>
                          <w:ind w:left="20"/>
                          <w:rPr>
                            <w:rFonts w:ascii="Times New Roman" w:hAnsi="Times New Roman" w:eastAsia="Times New Roman" w:cs="Times New Roman"/>
                            <w:sz w:val="20"/>
                            <w:szCs w:val="20"/>
                          </w:rPr>
                        </w:pPr>
                        <w:r>
                          <w:rPr>
                            <w:rFonts w:ascii="宋体" w:hAnsi="宋体" w:eastAsia="宋体" w:cs="宋体"/>
                            <w:spacing w:val="-4"/>
                            <w:sz w:val="20"/>
                            <w:szCs w:val="20"/>
                          </w:rPr>
                          <w:t>循环</w:t>
                        </w:r>
                        <w:r>
                          <w:rPr>
                            <w:rFonts w:ascii="宋体" w:hAnsi="宋体" w:eastAsia="宋体" w:cs="宋体"/>
                            <w:spacing w:val="-3"/>
                            <w:sz w:val="20"/>
                            <w:szCs w:val="20"/>
                          </w:rPr>
                          <w:t>水</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27</w:t>
                        </w:r>
                      </w:p>
                    </w:txbxContent>
                  </v:textbox>
                </v:shape>
              </w:pict>
            </w:r>
            <w:r>
              <w:pict>
                <v:group id="_x0000_s1196" o:spid="_x0000_s1196" o:spt="203" style="position:absolute;left:0pt;margin-left:150.95pt;margin-top:251.8pt;height:23.7pt;width:71.85pt;mso-position-horizontal-relative:page;mso-position-vertical-relative:page;z-index:251851776;mso-width-relative:page;mso-height-relative:page;" coordsize="1436,474">
                  <o:lock v:ext="edit"/>
                  <v:shape id="_x0000_s1197" o:spid="_x0000_s1197" o:spt="75" type="#_x0000_t75" style="position:absolute;left:0;top:0;height:474;width:1436;" filled="f" stroked="f" coordsize="21600,21600">
                    <v:path/>
                    <v:fill on="f" focussize="0,0"/>
                    <v:stroke on="f"/>
                    <v:imagedata r:id="rId472" o:title=""/>
                    <o:lock v:ext="edit" aspectratio="t"/>
                  </v:shape>
                  <v:shape id="_x0000_s1198" o:spid="_x0000_s1198" o:spt="202" type="#_x0000_t202" style="position:absolute;left:-20;top:-20;height:552;width:1476;" filled="f" stroked="f" coordsize="21600,21600">
                    <v:path/>
                    <v:fill on="f" focussize="0,0"/>
                    <v:stroke on="f"/>
                    <v:imagedata o:title=""/>
                    <o:lock v:ext="edit" aspectratio="f"/>
                    <v:textbox inset="0mm,0mm,0mm,0mm">
                      <w:txbxContent>
                        <w:p w14:paraId="0218AFCD">
                          <w:pPr>
                            <w:spacing w:before="150" w:line="228" w:lineRule="auto"/>
                            <w:ind w:left="251"/>
                            <w:rPr>
                              <w:rFonts w:ascii="Times New Roman" w:hAnsi="Times New Roman" w:eastAsia="Times New Roman" w:cs="Times New Roman"/>
                              <w:sz w:val="20"/>
                              <w:szCs w:val="20"/>
                            </w:rPr>
                          </w:pPr>
                          <w:r>
                            <w:rPr>
                              <w:rFonts w:ascii="宋体" w:hAnsi="宋体" w:eastAsia="宋体" w:cs="宋体"/>
                              <w:spacing w:val="-2"/>
                              <w:sz w:val="20"/>
                              <w:szCs w:val="20"/>
                            </w:rPr>
                            <w:t>循</w:t>
                          </w:r>
                          <w:r>
                            <w:rPr>
                              <w:rFonts w:ascii="宋体" w:hAnsi="宋体" w:eastAsia="宋体" w:cs="宋体"/>
                              <w:spacing w:val="-1"/>
                              <w:sz w:val="20"/>
                              <w:szCs w:val="20"/>
                            </w:rPr>
                            <w:t xml:space="preserve">环水 </w:t>
                          </w:r>
                          <w:r>
                            <w:rPr>
                              <w:rFonts w:ascii="Times New Roman" w:hAnsi="Times New Roman" w:eastAsia="Times New Roman" w:cs="Times New Roman"/>
                              <w:spacing w:val="-1"/>
                              <w:sz w:val="20"/>
                              <w:szCs w:val="20"/>
                            </w:rPr>
                            <w:t>3.06</w:t>
                          </w:r>
                        </w:p>
                      </w:txbxContent>
                    </v:textbox>
                  </v:shape>
                </v:group>
              </w:pict>
            </w:r>
            <w:r>
              <w:pict>
                <v:shape id="_x0000_s1199" o:spid="_x0000_s1199" o:spt="202" type="#_x0000_t202" style="position:absolute;left:0pt;margin-left:130.05pt;margin-top:258.05pt;height:11.4pt;width:20.05pt;mso-position-horizontal-relative:page;mso-position-vertical-relative:page;z-index:251823104;mso-width-relative:page;mso-height-relative:page;" filled="f" stroked="f" coordsize="21600,21600">
                  <v:path/>
                  <v:fill on="f" focussize="0,0"/>
                  <v:stroke on="f"/>
                  <v:imagedata o:title=""/>
                  <o:lock v:ext="edit" aspectratio="f"/>
                  <v:textbox inset="0mm,0mm,0mm,0mm">
                    <w:txbxContent>
                      <w:p w14:paraId="57163901">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.34</w:t>
                        </w:r>
                      </w:p>
                    </w:txbxContent>
                  </v:textbox>
                </v:shape>
              </w:pict>
            </w:r>
            <w:r>
              <w:drawing>
                <wp:anchor distT="0" distB="0" distL="0" distR="0" simplePos="0" relativeHeight="251852800" behindDoc="0" locked="0" layoutInCell="1" allowOverlap="1">
                  <wp:simplePos x="0" y="0"/>
                  <wp:positionH relativeFrom="rightMargin">
                    <wp:posOffset>-5308600</wp:posOffset>
                  </wp:positionH>
                  <wp:positionV relativeFrom="topMargin">
                    <wp:posOffset>2381885</wp:posOffset>
                  </wp:positionV>
                  <wp:extent cx="516890" cy="7620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73"/>
                          <a:stretch>
                            <a:fillRect/>
                          </a:stretch>
                        </pic:blipFill>
                        <pic:spPr>
                          <a:xfrm>
                            <a:off x="0" y="0"/>
                            <a:ext cx="516889" cy="76200"/>
                          </a:xfrm>
                          <a:prstGeom prst="rect">
                            <a:avLst/>
                          </a:prstGeom>
                        </pic:spPr>
                      </pic:pic>
                    </a:graphicData>
                  </a:graphic>
                </wp:anchor>
              </w:drawing>
            </w:r>
            <w:r>
              <w:drawing>
                <wp:anchor distT="0" distB="0" distL="0" distR="0" simplePos="0" relativeHeight="251845632" behindDoc="0" locked="0" layoutInCell="1" allowOverlap="1">
                  <wp:simplePos x="0" y="0"/>
                  <wp:positionH relativeFrom="rightMargin">
                    <wp:posOffset>-3990975</wp:posOffset>
                  </wp:positionH>
                  <wp:positionV relativeFrom="topMargin">
                    <wp:posOffset>3317875</wp:posOffset>
                  </wp:positionV>
                  <wp:extent cx="179070" cy="19177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474"/>
                          <a:stretch>
                            <a:fillRect/>
                          </a:stretch>
                        </pic:blipFill>
                        <pic:spPr>
                          <a:xfrm>
                            <a:off x="0" y="0"/>
                            <a:ext cx="179184" cy="191592"/>
                          </a:xfrm>
                          <a:prstGeom prst="rect">
                            <a:avLst/>
                          </a:prstGeom>
                        </pic:spPr>
                      </pic:pic>
                    </a:graphicData>
                  </a:graphic>
                </wp:anchor>
              </w:drawing>
            </w:r>
            <w:r>
              <w:drawing>
                <wp:anchor distT="0" distB="0" distL="0" distR="0" simplePos="0" relativeHeight="251838464" behindDoc="0" locked="0" layoutInCell="1" allowOverlap="1">
                  <wp:simplePos x="0" y="0"/>
                  <wp:positionH relativeFrom="rightMargin">
                    <wp:posOffset>-1963420</wp:posOffset>
                  </wp:positionH>
                  <wp:positionV relativeFrom="topMargin">
                    <wp:posOffset>2042160</wp:posOffset>
                  </wp:positionV>
                  <wp:extent cx="864235" cy="7620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75"/>
                          <a:stretch>
                            <a:fillRect/>
                          </a:stretch>
                        </pic:blipFill>
                        <pic:spPr>
                          <a:xfrm>
                            <a:off x="0" y="0"/>
                            <a:ext cx="864235" cy="76200"/>
                          </a:xfrm>
                          <a:prstGeom prst="rect">
                            <a:avLst/>
                          </a:prstGeom>
                        </pic:spPr>
                      </pic:pic>
                    </a:graphicData>
                  </a:graphic>
                </wp:anchor>
              </w:drawing>
            </w:r>
            <w:r>
              <w:drawing>
                <wp:anchor distT="0" distB="0" distL="0" distR="0" simplePos="0" relativeHeight="251849728" behindDoc="0" locked="0" layoutInCell="1" allowOverlap="1">
                  <wp:simplePos x="0" y="0"/>
                  <wp:positionH relativeFrom="rightMargin">
                    <wp:posOffset>-4124325</wp:posOffset>
                  </wp:positionH>
                  <wp:positionV relativeFrom="topMargin">
                    <wp:posOffset>1437640</wp:posOffset>
                  </wp:positionV>
                  <wp:extent cx="179070" cy="20193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476"/>
                          <a:stretch>
                            <a:fillRect/>
                          </a:stretch>
                        </pic:blipFill>
                        <pic:spPr>
                          <a:xfrm>
                            <a:off x="0" y="0"/>
                            <a:ext cx="179324" cy="201777"/>
                          </a:xfrm>
                          <a:prstGeom prst="rect">
                            <a:avLst/>
                          </a:prstGeom>
                        </pic:spPr>
                      </pic:pic>
                    </a:graphicData>
                  </a:graphic>
                </wp:anchor>
              </w:drawing>
            </w:r>
            <w:r>
              <w:drawing>
                <wp:anchor distT="0" distB="0" distL="0" distR="0" simplePos="0" relativeHeight="251841536" behindDoc="0" locked="0" layoutInCell="1" allowOverlap="1">
                  <wp:simplePos x="0" y="0"/>
                  <wp:positionH relativeFrom="rightMargin">
                    <wp:posOffset>-3842385</wp:posOffset>
                  </wp:positionH>
                  <wp:positionV relativeFrom="topMargin">
                    <wp:posOffset>2081530</wp:posOffset>
                  </wp:positionV>
                  <wp:extent cx="179070" cy="19113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77"/>
                          <a:stretch>
                            <a:fillRect/>
                          </a:stretch>
                        </pic:blipFill>
                        <pic:spPr>
                          <a:xfrm>
                            <a:off x="0" y="0"/>
                            <a:ext cx="179184" cy="191058"/>
                          </a:xfrm>
                          <a:prstGeom prst="rect">
                            <a:avLst/>
                          </a:prstGeom>
                        </pic:spPr>
                      </pic:pic>
                    </a:graphicData>
                  </a:graphic>
                </wp:anchor>
              </w:drawing>
            </w:r>
            <w:r>
              <w:drawing>
                <wp:anchor distT="0" distB="0" distL="0" distR="0" simplePos="0" relativeHeight="251820032" behindDoc="1" locked="0" layoutInCell="1" allowOverlap="1">
                  <wp:simplePos x="0" y="0"/>
                  <wp:positionH relativeFrom="rightMargin">
                    <wp:posOffset>-3733165</wp:posOffset>
                  </wp:positionH>
                  <wp:positionV relativeFrom="topMargin">
                    <wp:posOffset>1330960</wp:posOffset>
                  </wp:positionV>
                  <wp:extent cx="1085850" cy="30099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478"/>
                          <a:stretch>
                            <a:fillRect/>
                          </a:stretch>
                        </pic:blipFill>
                        <pic:spPr>
                          <a:xfrm>
                            <a:off x="0" y="0"/>
                            <a:ext cx="1085849" cy="301307"/>
                          </a:xfrm>
                          <a:prstGeom prst="rect">
                            <a:avLst/>
                          </a:prstGeom>
                        </pic:spPr>
                      </pic:pic>
                    </a:graphicData>
                  </a:graphic>
                </wp:anchor>
              </w:drawing>
            </w:r>
            <w:r>
              <w:drawing>
                <wp:anchor distT="0" distB="0" distL="0" distR="0" simplePos="0" relativeHeight="251848704" behindDoc="0" locked="0" layoutInCell="1" allowOverlap="1">
                  <wp:simplePos x="0" y="0"/>
                  <wp:positionH relativeFrom="rightMargin">
                    <wp:posOffset>-3340735</wp:posOffset>
                  </wp:positionH>
                  <wp:positionV relativeFrom="topMargin">
                    <wp:posOffset>1760855</wp:posOffset>
                  </wp:positionV>
                  <wp:extent cx="704850" cy="7620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79"/>
                          <a:stretch>
                            <a:fillRect/>
                          </a:stretch>
                        </pic:blipFill>
                        <pic:spPr>
                          <a:xfrm>
                            <a:off x="0" y="0"/>
                            <a:ext cx="704850" cy="76200"/>
                          </a:xfrm>
                          <a:prstGeom prst="rect">
                            <a:avLst/>
                          </a:prstGeom>
                        </pic:spPr>
                      </pic:pic>
                    </a:graphicData>
                  </a:graphic>
                </wp:anchor>
              </w:drawing>
            </w:r>
            <w:r>
              <w:drawing>
                <wp:anchor distT="0" distB="0" distL="0" distR="0" simplePos="0" relativeHeight="251821056" behindDoc="1" locked="0" layoutInCell="1" allowOverlap="1">
                  <wp:simplePos x="0" y="0"/>
                  <wp:positionH relativeFrom="rightMargin">
                    <wp:posOffset>-3550285</wp:posOffset>
                  </wp:positionH>
                  <wp:positionV relativeFrom="topMargin">
                    <wp:posOffset>2559050</wp:posOffset>
                  </wp:positionV>
                  <wp:extent cx="922020" cy="337820"/>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480"/>
                          <a:stretch>
                            <a:fillRect/>
                          </a:stretch>
                        </pic:blipFill>
                        <pic:spPr>
                          <a:xfrm>
                            <a:off x="0" y="0"/>
                            <a:ext cx="922019" cy="338137"/>
                          </a:xfrm>
                          <a:prstGeom prst="rect">
                            <a:avLst/>
                          </a:prstGeom>
                        </pic:spPr>
                      </pic:pic>
                    </a:graphicData>
                  </a:graphic>
                </wp:anchor>
              </w:drawing>
            </w:r>
            <w:r>
              <w:drawing>
                <wp:anchor distT="0" distB="0" distL="0" distR="0" simplePos="0" relativeHeight="251842560" behindDoc="0" locked="0" layoutInCell="1" allowOverlap="1">
                  <wp:simplePos x="0" y="0"/>
                  <wp:positionH relativeFrom="rightMargin">
                    <wp:posOffset>-3321685</wp:posOffset>
                  </wp:positionH>
                  <wp:positionV relativeFrom="topMargin">
                    <wp:posOffset>2370455</wp:posOffset>
                  </wp:positionV>
                  <wp:extent cx="698500" cy="7620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81"/>
                          <a:stretch>
                            <a:fillRect/>
                          </a:stretch>
                        </pic:blipFill>
                        <pic:spPr>
                          <a:xfrm>
                            <a:off x="0" y="0"/>
                            <a:ext cx="698500" cy="76200"/>
                          </a:xfrm>
                          <a:prstGeom prst="rect">
                            <a:avLst/>
                          </a:prstGeom>
                        </pic:spPr>
                      </pic:pic>
                    </a:graphicData>
                  </a:graphic>
                </wp:anchor>
              </w:drawing>
            </w:r>
            <w:r>
              <w:drawing>
                <wp:anchor distT="0" distB="0" distL="0" distR="0" simplePos="0" relativeHeight="251840512" behindDoc="0" locked="0" layoutInCell="1" allowOverlap="1">
                  <wp:simplePos x="0" y="0"/>
                  <wp:positionH relativeFrom="rightMargin">
                    <wp:posOffset>-4741545</wp:posOffset>
                  </wp:positionH>
                  <wp:positionV relativeFrom="topMargin">
                    <wp:posOffset>1739900</wp:posOffset>
                  </wp:positionV>
                  <wp:extent cx="508000" cy="7620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482"/>
                          <a:stretch>
                            <a:fillRect/>
                          </a:stretch>
                        </pic:blipFill>
                        <pic:spPr>
                          <a:xfrm>
                            <a:off x="0" y="0"/>
                            <a:ext cx="508000" cy="76200"/>
                          </a:xfrm>
                          <a:prstGeom prst="rect">
                            <a:avLst/>
                          </a:prstGeom>
                        </pic:spPr>
                      </pic:pic>
                    </a:graphicData>
                  </a:graphic>
                </wp:anchor>
              </w:drawing>
            </w:r>
            <w:r>
              <w:drawing>
                <wp:anchor distT="0" distB="0" distL="0" distR="0" simplePos="0" relativeHeight="251847680" behindDoc="0" locked="0" layoutInCell="1" allowOverlap="1">
                  <wp:simplePos x="0" y="0"/>
                  <wp:positionH relativeFrom="rightMargin">
                    <wp:posOffset>-4758055</wp:posOffset>
                  </wp:positionH>
                  <wp:positionV relativeFrom="topMargin">
                    <wp:posOffset>2385060</wp:posOffset>
                  </wp:positionV>
                  <wp:extent cx="539750" cy="7620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83"/>
                          <a:stretch>
                            <a:fillRect/>
                          </a:stretch>
                        </pic:blipFill>
                        <pic:spPr>
                          <a:xfrm>
                            <a:off x="0" y="0"/>
                            <a:ext cx="539750" cy="76200"/>
                          </a:xfrm>
                          <a:prstGeom prst="rect">
                            <a:avLst/>
                          </a:prstGeom>
                        </pic:spPr>
                      </pic:pic>
                    </a:graphicData>
                  </a:graphic>
                </wp:anchor>
              </w:drawing>
            </w:r>
            <w:r>
              <w:drawing>
                <wp:anchor distT="0" distB="0" distL="0" distR="0" simplePos="0" relativeHeight="251817984" behindDoc="1" locked="0" layoutInCell="1" allowOverlap="1">
                  <wp:simplePos x="0" y="0"/>
                  <wp:positionH relativeFrom="rightMargin">
                    <wp:posOffset>-3326130</wp:posOffset>
                  </wp:positionH>
                  <wp:positionV relativeFrom="topMargin">
                    <wp:posOffset>3388995</wp:posOffset>
                  </wp:positionV>
                  <wp:extent cx="976630" cy="300355"/>
                  <wp:effectExtent l="0" t="0" r="0" b="0"/>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484"/>
                          <a:stretch>
                            <a:fillRect/>
                          </a:stretch>
                        </pic:blipFill>
                        <pic:spPr>
                          <a:xfrm>
                            <a:off x="0" y="0"/>
                            <a:ext cx="976630" cy="300672"/>
                          </a:xfrm>
                          <a:prstGeom prst="rect">
                            <a:avLst/>
                          </a:prstGeom>
                        </pic:spPr>
                      </pic:pic>
                    </a:graphicData>
                  </a:graphic>
                </wp:anchor>
              </w:drawing>
            </w:r>
            <w:r>
              <w:drawing>
                <wp:anchor distT="0" distB="0" distL="0" distR="0" simplePos="0" relativeHeight="251844608" behindDoc="0" locked="0" layoutInCell="1" allowOverlap="1">
                  <wp:simplePos x="0" y="0"/>
                  <wp:positionH relativeFrom="rightMargin">
                    <wp:posOffset>-3918585</wp:posOffset>
                  </wp:positionH>
                  <wp:positionV relativeFrom="topMargin">
                    <wp:posOffset>3989070</wp:posOffset>
                  </wp:positionV>
                  <wp:extent cx="179070" cy="18224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85"/>
                          <a:stretch>
                            <a:fillRect/>
                          </a:stretch>
                        </pic:blipFill>
                        <pic:spPr>
                          <a:xfrm>
                            <a:off x="0" y="0"/>
                            <a:ext cx="179108" cy="181952"/>
                          </a:xfrm>
                          <a:prstGeom prst="rect">
                            <a:avLst/>
                          </a:prstGeom>
                        </pic:spPr>
                      </pic:pic>
                    </a:graphicData>
                  </a:graphic>
                </wp:anchor>
              </w:drawing>
            </w:r>
            <w:r>
              <w:pict>
                <v:shape id="_x0000_s1200" o:spid="_x0000_s1200" o:spt="202" type="#_x0000_t202" style="position:absolute;left:0pt;margin-left:72.35pt;margin-top:328.6pt;height:11.35pt;width:7.1pt;mso-position-horizontal-relative:page;mso-position-vertical-relative:page;z-index:251829248;mso-width-relative:page;mso-height-relative:page;" filled="f" stroked="f" coordsize="21600,21600">
                  <v:path/>
                  <v:fill on="f" focussize="0,0"/>
                  <v:stroke on="f"/>
                  <v:imagedata o:title=""/>
                  <o:lock v:ext="edit" aspectratio="f"/>
                  <v:textbox inset="0mm,0mm,0mm,0mm">
                    <w:txbxContent>
                      <w:p w14:paraId="1955A82D">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xbxContent>
                  </v:textbox>
                </v:shape>
              </w:pict>
            </w:r>
            <w:r>
              <w:pict>
                <v:shape id="_x0000_s1201" o:spid="_x0000_s1201" o:spt="202" type="#_x0000_t202" style="position:absolute;left:0pt;margin-left:94.45pt;margin-top:329.1pt;height:23.85pt;width:69.15pt;mso-position-horizontal-relative:page;mso-position-vertical-relative:page;z-index:251828224;mso-width-relative:page;mso-height-relative:page;" filled="f" stroked="f" coordsize="21600,21600">
                  <v:path/>
                  <v:fill on="f" focussize="0,0"/>
                  <v:stroke on="f"/>
                  <v:imagedata o:title=""/>
                  <o:lock v:ext="edit" aspectratio="f"/>
                  <v:textbox inset="0mm,0mm,0mm,0mm">
                    <w:txbxContent>
                      <w:p w14:paraId="4E863B00">
                        <w:pPr>
                          <w:spacing w:line="20" w:lineRule="exact"/>
                        </w:pPr>
                      </w:p>
                      <w:tbl>
                        <w:tblPr>
                          <w:tblStyle w:val="4"/>
                          <w:tblW w:w="131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317"/>
                        </w:tblGrid>
                        <w:tr w14:paraId="02D36FB9">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6" w:hRule="atLeast"/>
                          </w:trPr>
                          <w:tc>
                            <w:tcPr>
                              <w:tcW w:w="1317" w:type="dxa"/>
                              <w:vAlign w:val="top"/>
                            </w:tcPr>
                            <w:p w14:paraId="03EFB96E">
                              <w:pPr>
                                <w:spacing w:before="113" w:line="228" w:lineRule="auto"/>
                                <w:ind w:left="234"/>
                                <w:rPr>
                                  <w:rFonts w:ascii="宋体" w:hAnsi="宋体" w:eastAsia="宋体" w:cs="宋体"/>
                                  <w:sz w:val="20"/>
                                  <w:szCs w:val="20"/>
                                </w:rPr>
                              </w:pPr>
                              <w:r>
                                <w:rPr>
                                  <w:rFonts w:ascii="宋体" w:hAnsi="宋体" w:eastAsia="宋体" w:cs="宋体"/>
                                  <w:spacing w:val="7"/>
                                  <w:sz w:val="20"/>
                                  <w:szCs w:val="20"/>
                                </w:rPr>
                                <w:t>生活用</w:t>
                              </w:r>
                              <w:r>
                                <w:rPr>
                                  <w:rFonts w:ascii="宋体" w:hAnsi="宋体" w:eastAsia="宋体" w:cs="宋体"/>
                                  <w:spacing w:val="6"/>
                                  <w:sz w:val="20"/>
                                  <w:szCs w:val="20"/>
                                </w:rPr>
                                <w:t>水</w:t>
                              </w:r>
                            </w:p>
                          </w:tc>
                        </w:tr>
                      </w:tbl>
                      <w:p w14:paraId="46B338A7">
                        <w:pPr>
                          <w:rPr>
                            <w:rFonts w:ascii="Arial"/>
                            <w:sz w:val="21"/>
                          </w:rPr>
                        </w:pPr>
                      </w:p>
                    </w:txbxContent>
                  </v:textbox>
                </v:shape>
              </w:pict>
            </w:r>
            <w:r>
              <w:drawing>
                <wp:anchor distT="0" distB="0" distL="0" distR="0" simplePos="0" relativeHeight="251835392" behindDoc="0" locked="0" layoutInCell="1" allowOverlap="1">
                  <wp:simplePos x="0" y="0"/>
                  <wp:positionH relativeFrom="rightMargin">
                    <wp:posOffset>-3369310</wp:posOffset>
                  </wp:positionH>
                  <wp:positionV relativeFrom="topMargin">
                    <wp:posOffset>4274185</wp:posOffset>
                  </wp:positionV>
                  <wp:extent cx="323850" cy="76200"/>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486"/>
                          <a:stretch>
                            <a:fillRect/>
                          </a:stretch>
                        </pic:blipFill>
                        <pic:spPr>
                          <a:xfrm>
                            <a:off x="0" y="0"/>
                            <a:ext cx="323862" cy="76200"/>
                          </a:xfrm>
                          <a:prstGeom prst="rect">
                            <a:avLst/>
                          </a:prstGeom>
                        </pic:spPr>
                      </pic:pic>
                    </a:graphicData>
                  </a:graphic>
                </wp:anchor>
              </w:drawing>
            </w:r>
            <w:r>
              <w:drawing>
                <wp:anchor distT="0" distB="0" distL="0" distR="0" simplePos="0" relativeHeight="251834368" behindDoc="0" locked="0" layoutInCell="1" allowOverlap="1">
                  <wp:simplePos x="0" y="0"/>
                  <wp:positionH relativeFrom="rightMargin">
                    <wp:posOffset>-4742815</wp:posOffset>
                  </wp:positionH>
                  <wp:positionV relativeFrom="topMargin">
                    <wp:posOffset>4275455</wp:posOffset>
                  </wp:positionV>
                  <wp:extent cx="495300" cy="7620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87"/>
                          <a:stretch>
                            <a:fillRect/>
                          </a:stretch>
                        </pic:blipFill>
                        <pic:spPr>
                          <a:xfrm>
                            <a:off x="0" y="0"/>
                            <a:ext cx="495300" cy="76200"/>
                          </a:xfrm>
                          <a:prstGeom prst="rect">
                            <a:avLst/>
                          </a:prstGeom>
                        </pic:spPr>
                      </pic:pic>
                    </a:graphicData>
                  </a:graphic>
                </wp:anchor>
              </w:drawing>
            </w: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.85</w:t>
            </w:r>
          </w:p>
          <w:p w14:paraId="0AEE5F25">
            <w:pPr>
              <w:spacing w:line="196" w:lineRule="exact"/>
            </w:pPr>
          </w:p>
          <w:tbl>
            <w:tblPr>
              <w:tblStyle w:val="4"/>
              <w:tblW w:w="1276" w:type="dxa"/>
              <w:tblInd w:w="1904"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76"/>
            </w:tblGrid>
            <w:tr w14:paraId="3800D896">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8" w:hRule="atLeast"/>
              </w:trPr>
              <w:tc>
                <w:tcPr>
                  <w:tcW w:w="1276" w:type="dxa"/>
                  <w:vAlign w:val="top"/>
                </w:tcPr>
                <w:p w14:paraId="78BDE7DD">
                  <w:pPr>
                    <w:spacing w:before="114" w:line="228" w:lineRule="auto"/>
                    <w:ind w:left="212"/>
                    <w:rPr>
                      <w:rFonts w:ascii="宋体" w:hAnsi="宋体" w:eastAsia="宋体" w:cs="宋体"/>
                      <w:sz w:val="20"/>
                      <w:szCs w:val="20"/>
                    </w:rPr>
                  </w:pPr>
                  <w:r>
                    <w:rPr>
                      <w:rFonts w:ascii="宋体" w:hAnsi="宋体" w:eastAsia="宋体" w:cs="宋体"/>
                      <w:spacing w:val="9"/>
                      <w:sz w:val="20"/>
                      <w:szCs w:val="20"/>
                    </w:rPr>
                    <w:t>破</w:t>
                  </w:r>
                  <w:r>
                    <w:rPr>
                      <w:rFonts w:ascii="宋体" w:hAnsi="宋体" w:eastAsia="宋体" w:cs="宋体"/>
                      <w:spacing w:val="7"/>
                      <w:sz w:val="20"/>
                      <w:szCs w:val="20"/>
                    </w:rPr>
                    <w:t>碎工序</w:t>
                  </w:r>
                </w:p>
              </w:tc>
            </w:tr>
          </w:tbl>
          <w:p w14:paraId="21434045"/>
          <w:p w14:paraId="782C9DD4">
            <w:pPr>
              <w:spacing w:line="77" w:lineRule="exact"/>
            </w:pPr>
          </w:p>
          <w:tbl>
            <w:tblPr>
              <w:tblStyle w:val="4"/>
              <w:tblW w:w="937" w:type="dxa"/>
              <w:tblInd w:w="4493" w:type="dxa"/>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37"/>
            </w:tblGrid>
            <w:tr w14:paraId="0ACB13D8">
              <w:tblPrEx>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tblPrEx>
              <w:trPr>
                <w:trHeight w:val="3907" w:hRule="atLeast"/>
              </w:trPr>
              <w:tc>
                <w:tcPr>
                  <w:tcW w:w="937" w:type="dxa"/>
                  <w:vAlign w:val="top"/>
                </w:tcPr>
                <w:p w14:paraId="1DDF8B9A">
                  <w:pPr>
                    <w:spacing w:line="323" w:lineRule="auto"/>
                    <w:rPr>
                      <w:rFonts w:ascii="Arial"/>
                      <w:sz w:val="21"/>
                    </w:rPr>
                  </w:pPr>
                </w:p>
                <w:p w14:paraId="0175B20F">
                  <w:pPr>
                    <w:spacing w:line="324" w:lineRule="auto"/>
                    <w:rPr>
                      <w:rFonts w:ascii="Arial"/>
                      <w:sz w:val="21"/>
                    </w:rPr>
                  </w:pPr>
                </w:p>
                <w:p w14:paraId="4B12AE75">
                  <w:pPr>
                    <w:spacing w:before="65" w:line="229" w:lineRule="auto"/>
                    <w:ind w:left="261"/>
                    <w:rPr>
                      <w:rFonts w:ascii="宋体" w:hAnsi="宋体" w:eastAsia="宋体" w:cs="宋体"/>
                      <w:sz w:val="20"/>
                      <w:szCs w:val="20"/>
                    </w:rPr>
                  </w:pPr>
                  <w:r>
                    <w:rPr>
                      <w:rFonts w:ascii="宋体" w:hAnsi="宋体" w:eastAsia="宋体" w:cs="宋体"/>
                      <w:spacing w:val="3"/>
                      <w:sz w:val="20"/>
                      <w:szCs w:val="20"/>
                    </w:rPr>
                    <w:t>一体</w:t>
                  </w:r>
                </w:p>
                <w:p w14:paraId="087C94C0">
                  <w:pPr>
                    <w:spacing w:before="63" w:line="229" w:lineRule="auto"/>
                    <w:ind w:left="259"/>
                    <w:rPr>
                      <w:rFonts w:ascii="宋体" w:hAnsi="宋体" w:eastAsia="宋体" w:cs="宋体"/>
                      <w:sz w:val="20"/>
                      <w:szCs w:val="20"/>
                    </w:rPr>
                  </w:pPr>
                  <w:r>
                    <w:rPr>
                      <w:rFonts w:ascii="宋体" w:hAnsi="宋体" w:eastAsia="宋体" w:cs="宋体"/>
                      <w:spacing w:val="4"/>
                      <w:sz w:val="20"/>
                      <w:szCs w:val="20"/>
                    </w:rPr>
                    <w:t>化污</w:t>
                  </w:r>
                </w:p>
                <w:p w14:paraId="09730622">
                  <w:pPr>
                    <w:spacing w:before="63" w:line="228" w:lineRule="auto"/>
                    <w:ind w:left="260"/>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预</w:t>
                  </w:r>
                </w:p>
                <w:p w14:paraId="2EC93810">
                  <w:pPr>
                    <w:spacing w:before="65" w:line="232" w:lineRule="auto"/>
                    <w:ind w:left="262"/>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p w14:paraId="720CE8A3">
                  <w:pPr>
                    <w:spacing w:before="60" w:line="229" w:lineRule="auto"/>
                    <w:ind w:left="261"/>
                    <w:rPr>
                      <w:rFonts w:ascii="宋体" w:hAnsi="宋体" w:eastAsia="宋体" w:cs="宋体"/>
                      <w:sz w:val="20"/>
                      <w:szCs w:val="20"/>
                    </w:rPr>
                  </w:pPr>
                  <w:r>
                    <w:rPr>
                      <w:rFonts w:ascii="宋体" w:hAnsi="宋体" w:eastAsia="宋体" w:cs="宋体"/>
                      <w:spacing w:val="3"/>
                      <w:sz w:val="20"/>
                      <w:szCs w:val="20"/>
                    </w:rPr>
                    <w:t>设备</w:t>
                  </w:r>
                </w:p>
                <w:p w14:paraId="56168948">
                  <w:pPr>
                    <w:spacing w:before="27" w:line="281" w:lineRule="exact"/>
                    <w:ind w:left="4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p w14:paraId="3EAC37AA">
                  <w:pPr>
                    <w:spacing w:before="68" w:line="230" w:lineRule="auto"/>
                    <w:ind w:left="258"/>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p w14:paraId="3B4471A2">
                  <w:pPr>
                    <w:spacing w:before="64" w:line="228" w:lineRule="auto"/>
                    <w:ind w:left="258"/>
                    <w:rPr>
                      <w:rFonts w:ascii="宋体" w:hAnsi="宋体" w:eastAsia="宋体" w:cs="宋体"/>
                      <w:sz w:val="20"/>
                      <w:szCs w:val="20"/>
                    </w:rPr>
                  </w:pPr>
                  <w:r>
                    <w:rPr>
                      <w:rFonts w:ascii="宋体" w:hAnsi="宋体" w:eastAsia="宋体" w:cs="宋体"/>
                      <w:spacing w:val="5"/>
                      <w:sz w:val="20"/>
                      <w:szCs w:val="20"/>
                    </w:rPr>
                    <w:t>沉</w:t>
                  </w:r>
                  <w:r>
                    <w:rPr>
                      <w:rFonts w:ascii="宋体" w:hAnsi="宋体" w:eastAsia="宋体" w:cs="宋体"/>
                      <w:spacing w:val="4"/>
                      <w:sz w:val="20"/>
                      <w:szCs w:val="20"/>
                    </w:rPr>
                    <w:t>淀</w:t>
                  </w:r>
                </w:p>
                <w:p w14:paraId="1E485A03">
                  <w:pPr>
                    <w:spacing w:before="64" w:line="237" w:lineRule="auto"/>
                    <w:ind w:left="361"/>
                    <w:rPr>
                      <w:rFonts w:ascii="宋体" w:hAnsi="宋体" w:eastAsia="宋体" w:cs="宋体"/>
                      <w:sz w:val="20"/>
                      <w:szCs w:val="20"/>
                    </w:rPr>
                  </w:pPr>
                  <w:r>
                    <w:rPr>
                      <w:rFonts w:ascii="宋体" w:hAnsi="宋体" w:eastAsia="宋体" w:cs="宋体"/>
                      <w:sz w:val="20"/>
                      <w:szCs w:val="20"/>
                    </w:rPr>
                    <w:t>池</w:t>
                  </w:r>
                </w:p>
              </w:tc>
            </w:tr>
          </w:tbl>
          <w:p w14:paraId="4537A2F2">
            <w:pPr>
              <w:spacing w:before="260" w:line="177" w:lineRule="auto"/>
              <w:ind w:left="1323"/>
              <w:rPr>
                <w:rFonts w:ascii="Times New Roman" w:hAnsi="Times New Roman" w:eastAsia="Times New Roman" w:cs="Times New Roman"/>
                <w:sz w:val="20"/>
                <w:szCs w:val="20"/>
              </w:rPr>
            </w:pPr>
            <w:r>
              <w:pict>
                <v:shape id="_x0000_s1202" o:spid="_x0000_s1202" o:spt="202" type="#_x0000_t202" style="position:absolute;left:0pt;margin-left:95.4pt;margin-top:11.45pt;height:23.9pt;width:70.6pt;z-index:251827200;mso-width-relative:page;mso-height-relative:page;" filled="f" stroked="f" coordsize="21600,21600">
                  <v:path/>
                  <v:fill on="f" focussize="0,0"/>
                  <v:stroke on="f"/>
                  <v:imagedata o:title=""/>
                  <o:lock v:ext="edit" aspectratio="f"/>
                  <v:textbox inset="0mm,0mm,0mm,0mm">
                    <w:txbxContent>
                      <w:p w14:paraId="45D82079">
                        <w:pPr>
                          <w:spacing w:line="20" w:lineRule="exact"/>
                        </w:pPr>
                      </w:p>
                      <w:tbl>
                        <w:tblPr>
                          <w:tblStyle w:val="4"/>
                          <w:tblW w:w="1349"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49"/>
                        </w:tblGrid>
                        <w:tr w14:paraId="0C46AD3F">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87" w:hRule="atLeast"/>
                          </w:trPr>
                          <w:tc>
                            <w:tcPr>
                              <w:tcW w:w="1349" w:type="dxa"/>
                              <w:vAlign w:val="top"/>
                            </w:tcPr>
                            <w:p w14:paraId="29D0C70F">
                              <w:pPr>
                                <w:spacing w:before="112" w:line="228" w:lineRule="auto"/>
                                <w:ind w:left="246"/>
                                <w:rPr>
                                  <w:rFonts w:ascii="宋体" w:hAnsi="宋体" w:eastAsia="宋体" w:cs="宋体"/>
                                  <w:sz w:val="20"/>
                                  <w:szCs w:val="20"/>
                                </w:rPr>
                              </w:pPr>
                              <w:r>
                                <w:rPr>
                                  <w:rFonts w:ascii="宋体" w:hAnsi="宋体" w:eastAsia="宋体" w:cs="宋体"/>
                                  <w:spacing w:val="9"/>
                                  <w:sz w:val="20"/>
                                  <w:szCs w:val="20"/>
                                </w:rPr>
                                <w:t>洗</w:t>
                              </w:r>
                              <w:r>
                                <w:rPr>
                                  <w:rFonts w:ascii="宋体" w:hAnsi="宋体" w:eastAsia="宋体" w:cs="宋体"/>
                                  <w:spacing w:val="7"/>
                                  <w:sz w:val="20"/>
                                  <w:szCs w:val="20"/>
                                </w:rPr>
                                <w:t>字工序</w:t>
                              </w:r>
                            </w:p>
                          </w:tc>
                        </w:tr>
                      </w:tbl>
                      <w:p w14:paraId="40E90E0F">
                        <w:pPr>
                          <w:rPr>
                            <w:rFonts w:ascii="Arial"/>
                            <w:sz w:val="21"/>
                          </w:rPr>
                        </w:pPr>
                      </w:p>
                    </w:txbxContent>
                  </v:textbox>
                </v:shape>
              </w:pict>
            </w: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.34</w:t>
            </w:r>
          </w:p>
          <w:p w14:paraId="0F587D57">
            <w:pPr>
              <w:spacing w:line="120" w:lineRule="exact"/>
              <w:ind w:firstLine="1103"/>
              <w:textAlignment w:val="center"/>
            </w:pPr>
            <w:r>
              <w:drawing>
                <wp:inline distT="0" distB="0" distL="0" distR="0">
                  <wp:extent cx="516255" cy="7620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488"/>
                          <a:stretch>
                            <a:fillRect/>
                          </a:stretch>
                        </pic:blipFill>
                        <pic:spPr>
                          <a:xfrm>
                            <a:off x="0" y="0"/>
                            <a:ext cx="516889" cy="76200"/>
                          </a:xfrm>
                          <a:prstGeom prst="rect">
                            <a:avLst/>
                          </a:prstGeom>
                        </pic:spPr>
                      </pic:pic>
                    </a:graphicData>
                  </a:graphic>
                </wp:inline>
              </w:drawing>
            </w:r>
          </w:p>
          <w:p w14:paraId="2667E181">
            <w:pPr>
              <w:spacing w:line="292" w:lineRule="auto"/>
              <w:rPr>
                <w:rFonts w:ascii="Arial"/>
                <w:sz w:val="21"/>
              </w:rPr>
            </w:pPr>
          </w:p>
          <w:p w14:paraId="15674224">
            <w:pPr>
              <w:spacing w:before="58" w:line="195" w:lineRule="auto"/>
              <w:ind w:left="28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.8</w:t>
            </w:r>
          </w:p>
          <w:p w14:paraId="068586B2">
            <w:pPr>
              <w:spacing w:before="94" w:line="144" w:lineRule="exact"/>
              <w:ind w:left="3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w:t>
            </w:r>
            <w:r>
              <w:rPr>
                <w:rFonts w:ascii="Times New Roman" w:hAnsi="Times New Roman" w:eastAsia="Times New Roman" w:cs="Times New Roman"/>
                <w:spacing w:val="1"/>
                <w:position w:val="-2"/>
                <w:sz w:val="20"/>
                <w:szCs w:val="20"/>
              </w:rPr>
              <w:t>.2</w:t>
            </w:r>
          </w:p>
          <w:tbl>
            <w:tblPr>
              <w:tblStyle w:val="4"/>
              <w:tblW w:w="3019" w:type="dxa"/>
              <w:tblInd w:w="3820" w:type="dxa"/>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019"/>
            </w:tblGrid>
            <w:tr w14:paraId="5782051C">
              <w:tblPrEx>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PrEx>
              <w:trPr>
                <w:trHeight w:val="388" w:hRule="atLeast"/>
              </w:trPr>
              <w:tc>
                <w:tcPr>
                  <w:tcW w:w="3019" w:type="dxa"/>
                  <w:vAlign w:val="top"/>
                </w:tcPr>
                <w:p w14:paraId="07BA4493">
                  <w:pPr>
                    <w:spacing w:before="116" w:line="228" w:lineRule="auto"/>
                    <w:ind w:left="151"/>
                    <w:rPr>
                      <w:rFonts w:ascii="宋体" w:hAnsi="宋体" w:eastAsia="宋体" w:cs="宋体"/>
                      <w:sz w:val="20"/>
                      <w:szCs w:val="20"/>
                    </w:rPr>
                  </w:pPr>
                  <w:r>
                    <w:rPr>
                      <w:rFonts w:ascii="宋体" w:hAnsi="宋体" w:eastAsia="宋体" w:cs="宋体"/>
                      <w:spacing w:val="11"/>
                      <w:sz w:val="20"/>
                      <w:szCs w:val="20"/>
                    </w:rPr>
                    <w:t>防</w:t>
                  </w:r>
                  <w:r>
                    <w:rPr>
                      <w:rFonts w:ascii="宋体" w:hAnsi="宋体" w:eastAsia="宋体" w:cs="宋体"/>
                      <w:spacing w:val="8"/>
                      <w:sz w:val="20"/>
                      <w:szCs w:val="20"/>
                    </w:rPr>
                    <w:t>渗旱厕，定期清掏，不外排</w:t>
                  </w:r>
                </w:p>
              </w:tc>
            </w:tr>
          </w:tbl>
          <w:p w14:paraId="33271C9A">
            <w:pPr>
              <w:spacing w:line="161" w:lineRule="exact"/>
              <w:rPr>
                <w:rFonts w:ascii="Arial"/>
                <w:sz w:val="14"/>
              </w:rPr>
            </w:pPr>
          </w:p>
        </w:tc>
      </w:tr>
    </w:tbl>
    <w:p w14:paraId="18C7EBC7">
      <w:pPr>
        <w:spacing w:before="115" w:line="331" w:lineRule="exact"/>
        <w:ind w:left="1676"/>
        <w:rPr>
          <w:rFonts w:ascii="宋体" w:hAnsi="宋体" w:eastAsia="宋体" w:cs="宋体"/>
          <w:sz w:val="23"/>
          <w:szCs w:val="23"/>
        </w:rPr>
      </w:pPr>
      <w:r>
        <w:rPr>
          <w:rFonts w:ascii="宋体" w:hAnsi="宋体" w:eastAsia="宋体" w:cs="宋体"/>
          <w:spacing w:val="4"/>
          <w:position w:val="2"/>
          <w:sz w:val="23"/>
          <w:szCs w:val="23"/>
          <w14:textOutline w14:w="4358" w14:cap="sq" w14:cmpd="sng">
            <w14:solidFill>
              <w14:srgbClr w14:val="000000"/>
            </w14:solidFill>
            <w14:prstDash w14:val="solid"/>
            <w14:bevel/>
          </w14:textOutline>
        </w:rPr>
        <w:t>图</w:t>
      </w:r>
      <w:r>
        <w:rPr>
          <w:rFonts w:ascii="宋体" w:hAnsi="宋体" w:eastAsia="宋体" w:cs="宋体"/>
          <w:spacing w:val="4"/>
          <w:position w:val="2"/>
          <w:sz w:val="23"/>
          <w:szCs w:val="23"/>
        </w:rPr>
        <w:t xml:space="preserve"> </w:t>
      </w:r>
      <w:r>
        <w:rPr>
          <w:rFonts w:ascii="Times New Roman" w:hAnsi="Times New Roman" w:eastAsia="Times New Roman" w:cs="Times New Roman"/>
          <w:b/>
          <w:bCs/>
          <w:spacing w:val="4"/>
          <w:position w:val="2"/>
          <w:sz w:val="23"/>
          <w:szCs w:val="23"/>
        </w:rPr>
        <w:t>3-</w:t>
      </w:r>
      <w:r>
        <w:rPr>
          <w:rFonts w:ascii="Times New Roman" w:hAnsi="Times New Roman" w:eastAsia="Times New Roman" w:cs="Times New Roman"/>
          <w:b/>
          <w:bCs/>
          <w:spacing w:val="2"/>
          <w:position w:val="2"/>
          <w:sz w:val="23"/>
          <w:szCs w:val="23"/>
        </w:rPr>
        <w:t>4</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14:textOutline w14:w="4358" w14:cap="sq" w14:cmpd="sng">
            <w14:solidFill>
              <w14:srgbClr w14:val="000000"/>
            </w14:solidFill>
            <w14:prstDash w14:val="solid"/>
            <w14:bevel/>
          </w14:textOutline>
        </w:rPr>
        <w:t>本项目给排水水量平衡图</w:t>
      </w:r>
      <w:r>
        <w:rPr>
          <w:rFonts w:ascii="宋体" w:hAnsi="宋体" w:eastAsia="宋体" w:cs="宋体"/>
          <w:spacing w:val="2"/>
          <w:position w:val="2"/>
          <w:sz w:val="23"/>
          <w:szCs w:val="23"/>
        </w:rPr>
        <w:t xml:space="preserve"> </w:t>
      </w:r>
      <w:r>
        <w:rPr>
          <w:rFonts w:ascii="宋体" w:hAnsi="宋体" w:eastAsia="宋体" w:cs="宋体"/>
          <w:spacing w:val="2"/>
          <w:position w:val="2"/>
          <w:sz w:val="23"/>
          <w:szCs w:val="23"/>
          <w14:textOutline w14:w="4358" w14:cap="sq" w14:cmpd="sng">
            <w14:solidFill>
              <w14:srgbClr w14:val="000000"/>
            </w14:solidFill>
            <w14:prstDash w14:val="solid"/>
            <w14:bevel/>
          </w14:textOutline>
        </w:rPr>
        <w:t>(单位</w:t>
      </w:r>
      <w:r>
        <w:rPr>
          <w:rFonts w:ascii="宋体" w:hAnsi="宋体" w:eastAsia="宋体" w:cs="宋体"/>
          <w:spacing w:val="2"/>
          <w:position w:val="2"/>
          <w:sz w:val="23"/>
          <w:szCs w:val="23"/>
        </w:rPr>
        <w:t xml:space="preserve"> </w:t>
      </w:r>
      <w:r>
        <w:rPr>
          <w:rFonts w:ascii="Times New Roman" w:hAnsi="Times New Roman" w:eastAsia="Times New Roman" w:cs="Times New Roman"/>
          <w:b/>
          <w:bCs/>
          <w:position w:val="2"/>
          <w:sz w:val="23"/>
          <w:szCs w:val="23"/>
        </w:rPr>
        <w:t>m</w:t>
      </w:r>
      <w:r>
        <w:rPr>
          <w:rFonts w:ascii="Times New Roman" w:hAnsi="Times New Roman" w:eastAsia="Times New Roman" w:cs="Times New Roman"/>
          <w:b/>
          <w:bCs/>
          <w:spacing w:val="2"/>
          <w:position w:val="9"/>
          <w:sz w:val="15"/>
          <w:szCs w:val="15"/>
        </w:rPr>
        <w:t>3</w:t>
      </w:r>
      <w:r>
        <w:rPr>
          <w:rFonts w:ascii="Times New Roman" w:hAnsi="Times New Roman" w:eastAsia="Times New Roman" w:cs="Times New Roman"/>
          <w:b/>
          <w:bCs/>
          <w:spacing w:val="2"/>
          <w:position w:val="2"/>
          <w:sz w:val="23"/>
          <w:szCs w:val="23"/>
        </w:rPr>
        <w:t>/</w:t>
      </w:r>
      <w:r>
        <w:rPr>
          <w:rFonts w:ascii="Times New Roman" w:hAnsi="Times New Roman" w:eastAsia="Times New Roman" w:cs="Times New Roman"/>
          <w:b/>
          <w:bCs/>
          <w:position w:val="2"/>
          <w:sz w:val="23"/>
          <w:szCs w:val="23"/>
        </w:rPr>
        <w:t>d</w:t>
      </w:r>
      <w:r>
        <w:rPr>
          <w:rFonts w:ascii="宋体" w:hAnsi="宋体" w:eastAsia="宋体" w:cs="宋体"/>
          <w:spacing w:val="2"/>
          <w:position w:val="2"/>
          <w:sz w:val="23"/>
          <w:szCs w:val="23"/>
          <w14:textOutline w14:w="4358" w14:cap="sq" w14:cmpd="sng">
            <w14:solidFill>
              <w14:srgbClr w14:val="000000"/>
            </w14:solidFill>
            <w14:prstDash w14:val="solid"/>
            <w14:bevel/>
          </w14:textOutline>
        </w:rPr>
        <w:t>)</w:t>
      </w:r>
    </w:p>
    <w:p w14:paraId="5E9D60C6">
      <w:pPr>
        <w:spacing w:line="251" w:lineRule="auto"/>
        <w:rPr>
          <w:rFonts w:ascii="Arial"/>
          <w:sz w:val="21"/>
        </w:rPr>
      </w:pPr>
    </w:p>
    <w:p w14:paraId="58A8267F">
      <w:pPr>
        <w:spacing w:before="75"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噪声分</w:t>
      </w:r>
      <w:r>
        <w:rPr>
          <w:rFonts w:ascii="宋体" w:hAnsi="宋体" w:eastAsia="宋体" w:cs="宋体"/>
          <w:spacing w:val="19"/>
          <w:sz w:val="23"/>
          <w:szCs w:val="23"/>
        </w:rPr>
        <w:t>析</w:t>
      </w:r>
    </w:p>
    <w:p w14:paraId="330A54B5">
      <w:pPr>
        <w:spacing w:line="274" w:lineRule="auto"/>
        <w:rPr>
          <w:rFonts w:ascii="Arial"/>
          <w:sz w:val="21"/>
        </w:rPr>
      </w:pPr>
    </w:p>
    <w:p w14:paraId="4133BE9A">
      <w:pPr>
        <w:spacing w:before="76" w:line="391" w:lineRule="auto"/>
        <w:ind w:left="129" w:right="319" w:firstLine="471"/>
        <w:rPr>
          <w:rFonts w:ascii="宋体" w:hAnsi="宋体" w:eastAsia="宋体" w:cs="宋体"/>
          <w:sz w:val="23"/>
          <w:szCs w:val="23"/>
        </w:rPr>
      </w:pPr>
      <w:r>
        <w:rPr>
          <w:rFonts w:ascii="宋体" w:hAnsi="宋体" w:eastAsia="宋体" w:cs="宋体"/>
          <w:spacing w:val="12"/>
          <w:sz w:val="23"/>
          <w:szCs w:val="23"/>
        </w:rPr>
        <w:t>项目噪声</w:t>
      </w:r>
      <w:r>
        <w:rPr>
          <w:rFonts w:ascii="宋体" w:hAnsi="宋体" w:eastAsia="宋体" w:cs="宋体"/>
          <w:spacing w:val="7"/>
          <w:sz w:val="23"/>
          <w:szCs w:val="23"/>
        </w:rPr>
        <w:t>主</w:t>
      </w:r>
      <w:r>
        <w:rPr>
          <w:rFonts w:ascii="宋体" w:hAnsi="宋体" w:eastAsia="宋体" w:cs="宋体"/>
          <w:spacing w:val="6"/>
          <w:sz w:val="23"/>
          <w:szCs w:val="23"/>
        </w:rPr>
        <w:t>要为生产设备运行中辐射噪声，产生较大噪声的噪声源主要有各</w:t>
      </w:r>
      <w:r>
        <w:rPr>
          <w:rFonts w:ascii="宋体" w:hAnsi="宋体" w:eastAsia="宋体" w:cs="宋体"/>
          <w:sz w:val="23"/>
          <w:szCs w:val="23"/>
        </w:rPr>
        <w:t xml:space="preserve"> </w:t>
      </w:r>
      <w:r>
        <w:rPr>
          <w:rFonts w:ascii="宋体" w:hAnsi="宋体" w:eastAsia="宋体" w:cs="宋体"/>
          <w:spacing w:val="12"/>
          <w:sz w:val="23"/>
          <w:szCs w:val="23"/>
        </w:rPr>
        <w:t>喂料机、</w:t>
      </w:r>
      <w:r>
        <w:rPr>
          <w:rFonts w:ascii="宋体" w:hAnsi="宋体" w:eastAsia="宋体" w:cs="宋体"/>
          <w:spacing w:val="6"/>
          <w:sz w:val="23"/>
          <w:szCs w:val="23"/>
        </w:rPr>
        <w:t>偏心清洗机、粉碎机等设备。项目所有噪声源均置于室内，根据相关类</w:t>
      </w:r>
      <w:r>
        <w:rPr>
          <w:rFonts w:ascii="宋体" w:hAnsi="宋体" w:eastAsia="宋体" w:cs="宋体"/>
          <w:sz w:val="23"/>
          <w:szCs w:val="23"/>
        </w:rPr>
        <w:t xml:space="preserve"> </w:t>
      </w:r>
      <w:r>
        <w:rPr>
          <w:rFonts w:ascii="宋体" w:hAnsi="宋体" w:eastAsia="宋体" w:cs="宋体"/>
          <w:spacing w:val="3"/>
          <w:sz w:val="23"/>
          <w:szCs w:val="23"/>
        </w:rPr>
        <w:t xml:space="preserve">比资料，本项目新增主要噪声源及源强见表 </w:t>
      </w:r>
      <w:r>
        <w:rPr>
          <w:rFonts w:ascii="Times New Roman" w:hAnsi="Times New Roman" w:eastAsia="Times New Roman" w:cs="Times New Roman"/>
          <w:spacing w:val="3"/>
          <w:sz w:val="23"/>
          <w:szCs w:val="23"/>
        </w:rPr>
        <w:t>3- 1</w:t>
      </w:r>
      <w:r>
        <w:rPr>
          <w:rFonts w:ascii="Times New Roman" w:hAnsi="Times New Roman" w:eastAsia="Times New Roman" w:cs="Times New Roman"/>
          <w:spacing w:val="1"/>
          <w:sz w:val="23"/>
          <w:szCs w:val="23"/>
        </w:rPr>
        <w:t>9</w:t>
      </w:r>
      <w:r>
        <w:rPr>
          <w:rFonts w:ascii="宋体" w:hAnsi="宋体" w:eastAsia="宋体" w:cs="宋体"/>
          <w:sz w:val="23"/>
          <w:szCs w:val="23"/>
        </w:rPr>
        <w:t>：</w:t>
      </w:r>
    </w:p>
    <w:p w14:paraId="07BC086D">
      <w:pPr>
        <w:sectPr>
          <w:headerReference r:id="rId137" w:type="default"/>
          <w:footerReference r:id="rId138" w:type="default"/>
          <w:pgSz w:w="11906" w:h="16839"/>
          <w:pgMar w:top="1132" w:right="1480" w:bottom="1182" w:left="1691" w:header="878" w:footer="1022" w:gutter="0"/>
          <w:cols w:space="720" w:num="1"/>
        </w:sectPr>
      </w:pPr>
    </w:p>
    <w:p w14:paraId="14447D6E">
      <w:pPr>
        <w:spacing w:line="408" w:lineRule="auto"/>
        <w:rPr>
          <w:rFonts w:ascii="Arial"/>
          <w:sz w:val="21"/>
        </w:rPr>
      </w:pPr>
      <w:r>
        <w:pict>
          <v:shape id="_x0000_s1203" o:spid="_x0000_s1203" style="position:absolute;left:0pt;margin-left:90pt;margin-top:57.35pt;height:0.75pt;width:415.3pt;mso-position-horizontal-relative:page;mso-position-vertical-relative:page;z-index:251854848;mso-width-relative:page;mso-height-relative:page;" fillcolor="#000000" filled="t" stroked="f" coordsize="8305,15" o:allowincell="f" path="m0,0l8305,0,8305,14,0,14,0,0xe">
            <v:path/>
            <v:fill on="t" focussize="0,0"/>
            <v:stroke on="f"/>
            <v:imagedata o:title=""/>
            <o:lock v:ext="edit"/>
          </v:shape>
        </w:pict>
      </w:r>
    </w:p>
    <w:p w14:paraId="0F00DF09">
      <w:pPr>
        <w:spacing w:before="75" w:line="228" w:lineRule="auto"/>
        <w:ind w:left="306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3-1</w:t>
      </w:r>
      <w:r>
        <w:rPr>
          <w:rFonts w:ascii="Times New Roman" w:hAnsi="Times New Roman" w:eastAsia="Times New Roman" w:cs="Times New Roman"/>
          <w:b/>
          <w:bCs/>
          <w:spacing w:val="3"/>
          <w:sz w:val="23"/>
          <w:szCs w:val="23"/>
        </w:rPr>
        <w:t>9</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主要噪声源强</w:t>
      </w:r>
    </w:p>
    <w:p w14:paraId="4491D5C5">
      <w:pPr>
        <w:spacing w:line="17" w:lineRule="exact"/>
      </w:pPr>
    </w:p>
    <w:tbl>
      <w:tblPr>
        <w:tblStyle w:val="4"/>
        <w:tblW w:w="85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0"/>
        <w:gridCol w:w="1865"/>
        <w:gridCol w:w="1422"/>
        <w:gridCol w:w="1422"/>
        <w:gridCol w:w="1422"/>
        <w:gridCol w:w="1419"/>
      </w:tblGrid>
      <w:tr w14:paraId="5AD33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980" w:type="dxa"/>
            <w:tcBorders>
              <w:left w:val="nil"/>
            </w:tcBorders>
            <w:vAlign w:val="top"/>
          </w:tcPr>
          <w:p w14:paraId="28C1EB9D">
            <w:pPr>
              <w:spacing w:before="75" w:line="229" w:lineRule="auto"/>
              <w:ind w:left="28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865" w:type="dxa"/>
            <w:vAlign w:val="top"/>
          </w:tcPr>
          <w:p w14:paraId="771AFC2E">
            <w:pPr>
              <w:spacing w:before="76" w:line="228" w:lineRule="auto"/>
              <w:ind w:left="41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要噪声源</w:t>
            </w:r>
          </w:p>
        </w:tc>
        <w:tc>
          <w:tcPr>
            <w:tcW w:w="1422" w:type="dxa"/>
            <w:vAlign w:val="top"/>
          </w:tcPr>
          <w:p w14:paraId="72B95165">
            <w:pPr>
              <w:spacing w:before="75" w:line="228" w:lineRule="auto"/>
              <w:ind w:left="193"/>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数</w:t>
            </w:r>
            <w:r>
              <w:rPr>
                <w:rFonts w:ascii="宋体" w:hAnsi="宋体" w:eastAsia="宋体" w:cs="宋体"/>
                <w:spacing w:val="5"/>
                <w:sz w:val="20"/>
                <w:szCs w:val="20"/>
                <w14:textOutline w14:w="3795" w14:cap="sq" w14:cmpd="sng">
                  <w14:solidFill>
                    <w14:srgbClr w14:val="000000"/>
                  </w14:solidFill>
                  <w14:prstDash w14:val="solid"/>
                  <w14:bevel/>
                </w14:textOutline>
              </w:rPr>
              <w:t>量</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(台)</w:t>
            </w:r>
          </w:p>
        </w:tc>
        <w:tc>
          <w:tcPr>
            <w:tcW w:w="1422" w:type="dxa"/>
            <w:vAlign w:val="top"/>
          </w:tcPr>
          <w:p w14:paraId="7A557466">
            <w:pPr>
              <w:spacing w:before="34" w:line="289" w:lineRule="exact"/>
              <w:ind w:left="168"/>
              <w:rPr>
                <w:rFonts w:ascii="宋体" w:hAnsi="宋体" w:eastAsia="宋体" w:cs="宋体"/>
                <w:sz w:val="20"/>
                <w:szCs w:val="20"/>
              </w:rPr>
            </w:pPr>
            <w:r>
              <w:rPr>
                <w:rFonts w:ascii="宋体" w:hAnsi="宋体" w:eastAsia="宋体" w:cs="宋体"/>
                <w:spacing w:val="9"/>
                <w:position w:val="1"/>
                <w:sz w:val="20"/>
                <w:szCs w:val="20"/>
                <w14:textOutline w14:w="3795" w14:cap="sq" w14:cmpd="sng">
                  <w14:solidFill>
                    <w14:srgbClr w14:val="000000"/>
                  </w14:solidFill>
                  <w14:prstDash w14:val="solid"/>
                  <w14:bevel/>
                </w14:textOutline>
              </w:rPr>
              <w:t>源</w:t>
            </w:r>
            <w:r>
              <w:rPr>
                <w:rFonts w:ascii="宋体" w:hAnsi="宋体" w:eastAsia="宋体" w:cs="宋体"/>
                <w:spacing w:val="6"/>
                <w:position w:val="1"/>
                <w:sz w:val="20"/>
                <w:szCs w:val="20"/>
                <w14:textOutline w14:w="3795" w14:cap="sq" w14:cmpd="sng">
                  <w14:solidFill>
                    <w14:srgbClr w14:val="000000"/>
                  </w14:solidFill>
                  <w14:prstDash w14:val="solid"/>
                  <w14:bevel/>
                </w14:textOutline>
              </w:rPr>
              <w:t>强</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dB</w:t>
            </w:r>
            <w:r>
              <w:rPr>
                <w:rFonts w:ascii="宋体" w:hAnsi="宋体" w:eastAsia="宋体" w:cs="宋体"/>
                <w:spacing w:val="6"/>
                <w:position w:val="1"/>
                <w:sz w:val="20"/>
                <w:szCs w:val="20"/>
                <w14:textOutline w14:w="3795" w14:cap="sq" w14:cmpd="sng">
                  <w14:solidFill>
                    <w14:srgbClr w14:val="000000"/>
                  </w14:solidFill>
                  <w14:prstDash w14:val="solid"/>
                  <w14:bevel/>
                </w14:textOutline>
              </w:rPr>
              <w:t>)</w:t>
            </w:r>
          </w:p>
        </w:tc>
        <w:tc>
          <w:tcPr>
            <w:tcW w:w="1422" w:type="dxa"/>
            <w:vAlign w:val="top"/>
          </w:tcPr>
          <w:p w14:paraId="3BEED9E2">
            <w:pPr>
              <w:spacing w:before="76" w:line="228" w:lineRule="auto"/>
              <w:ind w:left="19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染防治措</w:t>
            </w:r>
          </w:p>
        </w:tc>
        <w:tc>
          <w:tcPr>
            <w:tcW w:w="1419" w:type="dxa"/>
            <w:tcBorders>
              <w:right w:val="nil"/>
            </w:tcBorders>
            <w:vAlign w:val="top"/>
          </w:tcPr>
          <w:p w14:paraId="274461CB">
            <w:pPr>
              <w:spacing w:before="75" w:line="229" w:lineRule="auto"/>
              <w:ind w:left="5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位置</w:t>
            </w:r>
          </w:p>
        </w:tc>
      </w:tr>
      <w:tr w14:paraId="0874F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80" w:type="dxa"/>
            <w:tcBorders>
              <w:left w:val="nil"/>
            </w:tcBorders>
            <w:vAlign w:val="top"/>
          </w:tcPr>
          <w:p w14:paraId="6AB5A3EE">
            <w:pPr>
              <w:spacing w:before="89"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5" w:type="dxa"/>
            <w:vAlign w:val="top"/>
          </w:tcPr>
          <w:p w14:paraId="6A7A13C9">
            <w:pPr>
              <w:spacing w:before="53" w:line="227" w:lineRule="auto"/>
              <w:ind w:left="632"/>
              <w:rPr>
                <w:rFonts w:ascii="宋体" w:hAnsi="宋体" w:eastAsia="宋体" w:cs="宋体"/>
                <w:sz w:val="20"/>
                <w:szCs w:val="20"/>
              </w:rPr>
            </w:pPr>
            <w:r>
              <w:rPr>
                <w:rFonts w:ascii="宋体" w:hAnsi="宋体" w:eastAsia="宋体" w:cs="宋体"/>
                <w:spacing w:val="4"/>
                <w:sz w:val="20"/>
                <w:szCs w:val="20"/>
              </w:rPr>
              <w:t>喂</w:t>
            </w:r>
            <w:r>
              <w:rPr>
                <w:rFonts w:ascii="宋体" w:hAnsi="宋体" w:eastAsia="宋体" w:cs="宋体"/>
                <w:spacing w:val="3"/>
                <w:sz w:val="20"/>
                <w:szCs w:val="20"/>
              </w:rPr>
              <w:t>料机</w:t>
            </w:r>
          </w:p>
        </w:tc>
        <w:tc>
          <w:tcPr>
            <w:tcW w:w="1422" w:type="dxa"/>
            <w:vAlign w:val="top"/>
          </w:tcPr>
          <w:p w14:paraId="5C212FDC">
            <w:pPr>
              <w:spacing w:before="89"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22" w:type="dxa"/>
            <w:vAlign w:val="top"/>
          </w:tcPr>
          <w:p w14:paraId="17A1B6A5">
            <w:pPr>
              <w:spacing w:before="92" w:line="192"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22" w:type="dxa"/>
            <w:vMerge w:val="restart"/>
            <w:tcBorders>
              <w:bottom w:val="nil"/>
            </w:tcBorders>
            <w:vAlign w:val="top"/>
          </w:tcPr>
          <w:p w14:paraId="5AF166AB">
            <w:pPr>
              <w:spacing w:line="293" w:lineRule="auto"/>
              <w:rPr>
                <w:rFonts w:ascii="Arial"/>
                <w:sz w:val="21"/>
              </w:rPr>
            </w:pPr>
          </w:p>
          <w:p w14:paraId="3C27B8C6">
            <w:pPr>
              <w:spacing w:before="65" w:line="228" w:lineRule="auto"/>
              <w:ind w:left="191"/>
              <w:rPr>
                <w:rFonts w:ascii="宋体" w:hAnsi="宋体" w:eastAsia="宋体" w:cs="宋体"/>
                <w:sz w:val="20"/>
                <w:szCs w:val="20"/>
              </w:rPr>
            </w:pPr>
            <w:r>
              <w:rPr>
                <w:rFonts w:ascii="宋体" w:hAnsi="宋体" w:eastAsia="宋体" w:cs="宋体"/>
                <w:spacing w:val="9"/>
                <w:sz w:val="20"/>
                <w:szCs w:val="20"/>
              </w:rPr>
              <w:t>优</w:t>
            </w:r>
            <w:r>
              <w:rPr>
                <w:rFonts w:ascii="宋体" w:hAnsi="宋体" w:eastAsia="宋体" w:cs="宋体"/>
                <w:spacing w:val="8"/>
                <w:sz w:val="20"/>
                <w:szCs w:val="20"/>
              </w:rPr>
              <w:t>先选用低</w:t>
            </w:r>
          </w:p>
          <w:p w14:paraId="1B071E42">
            <w:pPr>
              <w:spacing w:before="65" w:line="228" w:lineRule="auto"/>
              <w:ind w:left="125"/>
              <w:rPr>
                <w:rFonts w:ascii="宋体" w:hAnsi="宋体" w:eastAsia="宋体" w:cs="宋体"/>
                <w:sz w:val="20"/>
                <w:szCs w:val="20"/>
              </w:rPr>
            </w:pPr>
            <w:r>
              <w:rPr>
                <w:rFonts w:ascii="宋体" w:hAnsi="宋体" w:eastAsia="宋体" w:cs="宋体"/>
                <w:spacing w:val="-3"/>
                <w:sz w:val="20"/>
                <w:szCs w:val="20"/>
              </w:rPr>
              <w:t>噪</w:t>
            </w:r>
            <w:r>
              <w:rPr>
                <w:rFonts w:ascii="宋体" w:hAnsi="宋体" w:eastAsia="宋体" w:cs="宋体"/>
                <w:spacing w:val="-2"/>
                <w:sz w:val="20"/>
                <w:szCs w:val="20"/>
              </w:rPr>
              <w:t>声设备，对</w:t>
            </w:r>
          </w:p>
          <w:p w14:paraId="6937616D">
            <w:pPr>
              <w:spacing w:before="65" w:line="228" w:lineRule="auto"/>
              <w:ind w:left="201"/>
              <w:rPr>
                <w:rFonts w:ascii="宋体" w:hAnsi="宋体" w:eastAsia="宋体" w:cs="宋体"/>
                <w:sz w:val="20"/>
                <w:szCs w:val="20"/>
              </w:rPr>
            </w:pPr>
            <w:r>
              <w:rPr>
                <w:rFonts w:ascii="宋体" w:hAnsi="宋体" w:eastAsia="宋体" w:cs="宋体"/>
                <w:spacing w:val="6"/>
                <w:sz w:val="20"/>
                <w:szCs w:val="20"/>
              </w:rPr>
              <w:t>噪声设备进</w:t>
            </w:r>
          </w:p>
          <w:p w14:paraId="60EA947A">
            <w:pPr>
              <w:spacing w:before="64" w:line="288" w:lineRule="auto"/>
              <w:ind w:left="118" w:right="103"/>
              <w:jc w:val="right"/>
              <w:rPr>
                <w:rFonts w:ascii="宋体" w:hAnsi="宋体" w:eastAsia="宋体" w:cs="宋体"/>
                <w:sz w:val="20"/>
                <w:szCs w:val="20"/>
              </w:rPr>
            </w:pPr>
            <w:r>
              <w:rPr>
                <w:rFonts w:ascii="宋体" w:hAnsi="宋体" w:eastAsia="宋体" w:cs="宋体"/>
                <w:spacing w:val="-1"/>
                <w:sz w:val="20"/>
                <w:szCs w:val="20"/>
              </w:rPr>
              <w:t>行减震处理</w:t>
            </w:r>
            <w:r>
              <w:rPr>
                <w:rFonts w:ascii="宋体" w:hAnsi="宋体" w:eastAsia="宋体" w:cs="宋体"/>
                <w:sz w:val="20"/>
                <w:szCs w:val="20"/>
              </w:rPr>
              <w:t xml:space="preserve">， </w:t>
            </w:r>
            <w:r>
              <w:rPr>
                <w:rFonts w:ascii="宋体" w:hAnsi="宋体" w:eastAsia="宋体" w:cs="宋体"/>
                <w:spacing w:val="7"/>
                <w:sz w:val="20"/>
                <w:szCs w:val="20"/>
              </w:rPr>
              <w:t>并设置在封</w:t>
            </w:r>
          </w:p>
          <w:p w14:paraId="74734664">
            <w:pPr>
              <w:spacing w:line="301" w:lineRule="auto"/>
              <w:ind w:left="298" w:right="104" w:hanging="163"/>
              <w:rPr>
                <w:rFonts w:ascii="宋体" w:hAnsi="宋体" w:eastAsia="宋体" w:cs="宋体"/>
                <w:sz w:val="20"/>
                <w:szCs w:val="20"/>
              </w:rPr>
            </w:pPr>
            <w:r>
              <w:rPr>
                <w:rFonts w:ascii="宋体" w:hAnsi="宋体" w:eastAsia="宋体" w:cs="宋体"/>
                <w:spacing w:val="-4"/>
                <w:sz w:val="20"/>
                <w:szCs w:val="20"/>
              </w:rPr>
              <w:t>闭厂房中，建</w:t>
            </w:r>
            <w:r>
              <w:rPr>
                <w:rFonts w:ascii="宋体" w:hAnsi="宋体" w:eastAsia="宋体" w:cs="宋体"/>
                <w:sz w:val="20"/>
                <w:szCs w:val="20"/>
              </w:rPr>
              <w:t xml:space="preserve"> </w:t>
            </w:r>
            <w:r>
              <w:rPr>
                <w:rFonts w:ascii="宋体" w:hAnsi="宋体" w:eastAsia="宋体" w:cs="宋体"/>
                <w:spacing w:val="7"/>
                <w:sz w:val="20"/>
                <w:szCs w:val="20"/>
              </w:rPr>
              <w:t>筑</w:t>
            </w:r>
            <w:r>
              <w:rPr>
                <w:rFonts w:ascii="宋体" w:hAnsi="宋体" w:eastAsia="宋体" w:cs="宋体"/>
                <w:spacing w:val="4"/>
                <w:sz w:val="20"/>
                <w:szCs w:val="20"/>
              </w:rPr>
              <w:t>隔声。</w:t>
            </w:r>
          </w:p>
        </w:tc>
        <w:tc>
          <w:tcPr>
            <w:tcW w:w="1419" w:type="dxa"/>
            <w:vMerge w:val="restart"/>
            <w:tcBorders>
              <w:bottom w:val="nil"/>
              <w:right w:val="nil"/>
            </w:tcBorders>
            <w:vAlign w:val="top"/>
          </w:tcPr>
          <w:p w14:paraId="038307F5">
            <w:pPr>
              <w:spacing w:line="244" w:lineRule="auto"/>
              <w:rPr>
                <w:rFonts w:ascii="Arial"/>
                <w:sz w:val="21"/>
              </w:rPr>
            </w:pPr>
          </w:p>
          <w:p w14:paraId="5AB91599">
            <w:pPr>
              <w:spacing w:line="244" w:lineRule="auto"/>
              <w:rPr>
                <w:rFonts w:ascii="Arial"/>
                <w:sz w:val="21"/>
              </w:rPr>
            </w:pPr>
          </w:p>
          <w:p w14:paraId="4B16FBF4">
            <w:pPr>
              <w:spacing w:line="245" w:lineRule="auto"/>
              <w:rPr>
                <w:rFonts w:ascii="Arial"/>
                <w:sz w:val="21"/>
              </w:rPr>
            </w:pPr>
          </w:p>
          <w:p w14:paraId="1DF96DCA">
            <w:pPr>
              <w:spacing w:line="245" w:lineRule="auto"/>
              <w:rPr>
                <w:rFonts w:ascii="Arial"/>
                <w:sz w:val="21"/>
              </w:rPr>
            </w:pPr>
          </w:p>
          <w:p w14:paraId="4D94DECA">
            <w:pPr>
              <w:spacing w:line="245" w:lineRule="auto"/>
              <w:rPr>
                <w:rFonts w:ascii="Arial"/>
                <w:sz w:val="21"/>
              </w:rPr>
            </w:pPr>
          </w:p>
          <w:p w14:paraId="3BA28552">
            <w:pPr>
              <w:spacing w:before="65" w:line="228" w:lineRule="auto"/>
              <w:ind w:left="298"/>
              <w:rPr>
                <w:rFonts w:ascii="宋体" w:hAnsi="宋体" w:eastAsia="宋体" w:cs="宋体"/>
                <w:sz w:val="20"/>
                <w:szCs w:val="20"/>
              </w:rPr>
            </w:pPr>
            <w:r>
              <w:rPr>
                <w:rFonts w:ascii="宋体" w:hAnsi="宋体" w:eastAsia="宋体" w:cs="宋体"/>
                <w:spacing w:val="7"/>
                <w:sz w:val="20"/>
                <w:szCs w:val="20"/>
              </w:rPr>
              <w:t>生产厂</w:t>
            </w:r>
            <w:r>
              <w:rPr>
                <w:rFonts w:ascii="宋体" w:hAnsi="宋体" w:eastAsia="宋体" w:cs="宋体"/>
                <w:spacing w:val="6"/>
                <w:sz w:val="20"/>
                <w:szCs w:val="20"/>
              </w:rPr>
              <w:t>房</w:t>
            </w:r>
          </w:p>
        </w:tc>
      </w:tr>
      <w:tr w14:paraId="04E77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80" w:type="dxa"/>
            <w:tcBorders>
              <w:left w:val="nil"/>
            </w:tcBorders>
            <w:vAlign w:val="top"/>
          </w:tcPr>
          <w:p w14:paraId="0A7A0E69">
            <w:pPr>
              <w:spacing w:before="90"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65" w:type="dxa"/>
            <w:vAlign w:val="top"/>
          </w:tcPr>
          <w:p w14:paraId="7461226E">
            <w:pPr>
              <w:spacing w:before="54" w:line="227" w:lineRule="auto"/>
              <w:ind w:left="620"/>
              <w:rPr>
                <w:rFonts w:ascii="宋体" w:hAnsi="宋体" w:eastAsia="宋体" w:cs="宋体"/>
                <w:sz w:val="20"/>
                <w:szCs w:val="20"/>
              </w:rPr>
            </w:pPr>
            <w:r>
              <w:rPr>
                <w:rFonts w:ascii="宋体" w:hAnsi="宋体" w:eastAsia="宋体" w:cs="宋体"/>
                <w:spacing w:val="7"/>
                <w:sz w:val="20"/>
                <w:szCs w:val="20"/>
              </w:rPr>
              <w:t>粉碎机</w:t>
            </w:r>
          </w:p>
        </w:tc>
        <w:tc>
          <w:tcPr>
            <w:tcW w:w="1422" w:type="dxa"/>
            <w:vAlign w:val="top"/>
          </w:tcPr>
          <w:p w14:paraId="21F2AEA3">
            <w:pPr>
              <w:spacing w:before="90"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22" w:type="dxa"/>
            <w:vAlign w:val="top"/>
          </w:tcPr>
          <w:p w14:paraId="7F348ABB">
            <w:pPr>
              <w:spacing w:before="90"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1422" w:type="dxa"/>
            <w:vMerge w:val="continue"/>
            <w:tcBorders>
              <w:top w:val="nil"/>
              <w:bottom w:val="nil"/>
            </w:tcBorders>
            <w:vAlign w:val="top"/>
          </w:tcPr>
          <w:p w14:paraId="039E74FC">
            <w:pPr>
              <w:rPr>
                <w:rFonts w:ascii="Arial"/>
                <w:sz w:val="21"/>
              </w:rPr>
            </w:pPr>
          </w:p>
        </w:tc>
        <w:tc>
          <w:tcPr>
            <w:tcW w:w="1419" w:type="dxa"/>
            <w:vMerge w:val="continue"/>
            <w:tcBorders>
              <w:top w:val="nil"/>
              <w:bottom w:val="nil"/>
              <w:right w:val="nil"/>
            </w:tcBorders>
            <w:vAlign w:val="top"/>
          </w:tcPr>
          <w:p w14:paraId="72573616">
            <w:pPr>
              <w:rPr>
                <w:rFonts w:ascii="Arial"/>
                <w:sz w:val="21"/>
              </w:rPr>
            </w:pPr>
          </w:p>
        </w:tc>
      </w:tr>
      <w:tr w14:paraId="1A13D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80" w:type="dxa"/>
            <w:tcBorders>
              <w:left w:val="nil"/>
            </w:tcBorders>
            <w:vAlign w:val="top"/>
          </w:tcPr>
          <w:p w14:paraId="441F71DF">
            <w:pPr>
              <w:spacing w:before="9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5" w:type="dxa"/>
            <w:vAlign w:val="top"/>
          </w:tcPr>
          <w:p w14:paraId="6A7F245E">
            <w:pPr>
              <w:spacing w:before="55" w:line="227" w:lineRule="auto"/>
              <w:ind w:left="413"/>
              <w:rPr>
                <w:rFonts w:ascii="宋体" w:hAnsi="宋体" w:eastAsia="宋体" w:cs="宋体"/>
                <w:sz w:val="20"/>
                <w:szCs w:val="20"/>
              </w:rPr>
            </w:pPr>
            <w:r>
              <w:rPr>
                <w:rFonts w:ascii="宋体" w:hAnsi="宋体" w:eastAsia="宋体" w:cs="宋体"/>
                <w:spacing w:val="8"/>
                <w:sz w:val="20"/>
                <w:szCs w:val="20"/>
              </w:rPr>
              <w:t>偏心清洗机</w:t>
            </w:r>
          </w:p>
        </w:tc>
        <w:tc>
          <w:tcPr>
            <w:tcW w:w="1422" w:type="dxa"/>
            <w:vAlign w:val="top"/>
          </w:tcPr>
          <w:p w14:paraId="0C3EDA9D">
            <w:pPr>
              <w:spacing w:before="91"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422" w:type="dxa"/>
            <w:vAlign w:val="top"/>
          </w:tcPr>
          <w:p w14:paraId="0D598770">
            <w:pPr>
              <w:spacing w:before="9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2" w:type="dxa"/>
            <w:vMerge w:val="continue"/>
            <w:tcBorders>
              <w:top w:val="nil"/>
              <w:bottom w:val="nil"/>
            </w:tcBorders>
            <w:vAlign w:val="top"/>
          </w:tcPr>
          <w:p w14:paraId="3278AD32">
            <w:pPr>
              <w:rPr>
                <w:rFonts w:ascii="Arial"/>
                <w:sz w:val="21"/>
              </w:rPr>
            </w:pPr>
          </w:p>
        </w:tc>
        <w:tc>
          <w:tcPr>
            <w:tcW w:w="1419" w:type="dxa"/>
            <w:vMerge w:val="continue"/>
            <w:tcBorders>
              <w:top w:val="nil"/>
              <w:bottom w:val="nil"/>
              <w:right w:val="nil"/>
            </w:tcBorders>
            <w:vAlign w:val="top"/>
          </w:tcPr>
          <w:p w14:paraId="66B26F40">
            <w:pPr>
              <w:rPr>
                <w:rFonts w:ascii="Arial"/>
                <w:sz w:val="21"/>
              </w:rPr>
            </w:pPr>
          </w:p>
        </w:tc>
      </w:tr>
      <w:tr w14:paraId="10380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80" w:type="dxa"/>
            <w:tcBorders>
              <w:left w:val="nil"/>
            </w:tcBorders>
            <w:vAlign w:val="top"/>
          </w:tcPr>
          <w:p w14:paraId="1C831816">
            <w:pPr>
              <w:spacing w:before="91"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65" w:type="dxa"/>
            <w:vAlign w:val="top"/>
          </w:tcPr>
          <w:p w14:paraId="61452913">
            <w:pPr>
              <w:spacing w:before="55" w:line="227" w:lineRule="auto"/>
              <w:ind w:left="413"/>
              <w:rPr>
                <w:rFonts w:ascii="宋体" w:hAnsi="宋体" w:eastAsia="宋体" w:cs="宋体"/>
                <w:sz w:val="20"/>
                <w:szCs w:val="20"/>
              </w:rPr>
            </w:pPr>
            <w:r>
              <w:rPr>
                <w:rFonts w:ascii="宋体" w:hAnsi="宋体" w:eastAsia="宋体" w:cs="宋体"/>
                <w:spacing w:val="8"/>
                <w:sz w:val="20"/>
                <w:szCs w:val="20"/>
              </w:rPr>
              <w:t>立式脱水机</w:t>
            </w:r>
          </w:p>
        </w:tc>
        <w:tc>
          <w:tcPr>
            <w:tcW w:w="1422" w:type="dxa"/>
            <w:vAlign w:val="top"/>
          </w:tcPr>
          <w:p w14:paraId="5486609E">
            <w:pPr>
              <w:spacing w:before="91"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22" w:type="dxa"/>
            <w:vAlign w:val="top"/>
          </w:tcPr>
          <w:p w14:paraId="1A1BB65F">
            <w:pPr>
              <w:spacing w:before="94" w:line="192"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22" w:type="dxa"/>
            <w:vMerge w:val="continue"/>
            <w:tcBorders>
              <w:top w:val="nil"/>
              <w:bottom w:val="nil"/>
            </w:tcBorders>
            <w:vAlign w:val="top"/>
          </w:tcPr>
          <w:p w14:paraId="4475D104">
            <w:pPr>
              <w:rPr>
                <w:rFonts w:ascii="Arial"/>
                <w:sz w:val="21"/>
              </w:rPr>
            </w:pPr>
          </w:p>
        </w:tc>
        <w:tc>
          <w:tcPr>
            <w:tcW w:w="1419" w:type="dxa"/>
            <w:vMerge w:val="continue"/>
            <w:tcBorders>
              <w:top w:val="nil"/>
              <w:bottom w:val="nil"/>
              <w:right w:val="nil"/>
            </w:tcBorders>
            <w:vAlign w:val="top"/>
          </w:tcPr>
          <w:p w14:paraId="57180C48">
            <w:pPr>
              <w:rPr>
                <w:rFonts w:ascii="Arial"/>
                <w:sz w:val="21"/>
              </w:rPr>
            </w:pPr>
          </w:p>
        </w:tc>
      </w:tr>
      <w:tr w14:paraId="23BA4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80" w:type="dxa"/>
            <w:tcBorders>
              <w:left w:val="nil"/>
            </w:tcBorders>
            <w:vAlign w:val="top"/>
          </w:tcPr>
          <w:p w14:paraId="273CBEFC">
            <w:pPr>
              <w:spacing w:before="95" w:line="192"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65" w:type="dxa"/>
            <w:vAlign w:val="top"/>
          </w:tcPr>
          <w:p w14:paraId="2F8852E3">
            <w:pPr>
              <w:spacing w:before="56" w:line="227" w:lineRule="auto"/>
              <w:ind w:left="621"/>
              <w:rPr>
                <w:rFonts w:ascii="宋体" w:hAnsi="宋体" w:eastAsia="宋体" w:cs="宋体"/>
                <w:sz w:val="20"/>
                <w:szCs w:val="20"/>
              </w:rPr>
            </w:pPr>
            <w:r>
              <w:rPr>
                <w:rFonts w:ascii="宋体" w:hAnsi="宋体" w:eastAsia="宋体" w:cs="宋体"/>
                <w:spacing w:val="7"/>
                <w:sz w:val="20"/>
                <w:szCs w:val="20"/>
              </w:rPr>
              <w:t>挤出</w:t>
            </w:r>
            <w:r>
              <w:rPr>
                <w:rFonts w:ascii="宋体" w:hAnsi="宋体" w:eastAsia="宋体" w:cs="宋体"/>
                <w:spacing w:val="6"/>
                <w:sz w:val="20"/>
                <w:szCs w:val="20"/>
              </w:rPr>
              <w:t>机</w:t>
            </w:r>
          </w:p>
        </w:tc>
        <w:tc>
          <w:tcPr>
            <w:tcW w:w="1422" w:type="dxa"/>
            <w:vAlign w:val="top"/>
          </w:tcPr>
          <w:p w14:paraId="11C5C8DF">
            <w:pPr>
              <w:spacing w:before="92"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22" w:type="dxa"/>
            <w:vAlign w:val="top"/>
          </w:tcPr>
          <w:p w14:paraId="2BB2A1AE">
            <w:pPr>
              <w:spacing w:before="92"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2" w:type="dxa"/>
            <w:vMerge w:val="continue"/>
            <w:tcBorders>
              <w:top w:val="nil"/>
              <w:bottom w:val="nil"/>
            </w:tcBorders>
            <w:vAlign w:val="top"/>
          </w:tcPr>
          <w:p w14:paraId="77EDC4AF">
            <w:pPr>
              <w:rPr>
                <w:rFonts w:ascii="Arial"/>
                <w:sz w:val="21"/>
              </w:rPr>
            </w:pPr>
          </w:p>
        </w:tc>
        <w:tc>
          <w:tcPr>
            <w:tcW w:w="1419" w:type="dxa"/>
            <w:vMerge w:val="continue"/>
            <w:tcBorders>
              <w:top w:val="nil"/>
              <w:bottom w:val="nil"/>
              <w:right w:val="nil"/>
            </w:tcBorders>
            <w:vAlign w:val="top"/>
          </w:tcPr>
          <w:p w14:paraId="04FAF503">
            <w:pPr>
              <w:rPr>
                <w:rFonts w:ascii="Arial"/>
                <w:sz w:val="21"/>
              </w:rPr>
            </w:pPr>
          </w:p>
        </w:tc>
      </w:tr>
      <w:tr w14:paraId="6128E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80" w:type="dxa"/>
            <w:tcBorders>
              <w:left w:val="nil"/>
            </w:tcBorders>
            <w:vAlign w:val="top"/>
          </w:tcPr>
          <w:p w14:paraId="62418727">
            <w:pPr>
              <w:spacing w:before="93"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65" w:type="dxa"/>
            <w:vAlign w:val="top"/>
          </w:tcPr>
          <w:p w14:paraId="6373722F">
            <w:pPr>
              <w:spacing w:before="57" w:line="227" w:lineRule="auto"/>
              <w:ind w:left="623"/>
              <w:rPr>
                <w:rFonts w:ascii="宋体" w:hAnsi="宋体" w:eastAsia="宋体" w:cs="宋体"/>
                <w:sz w:val="20"/>
                <w:szCs w:val="20"/>
              </w:rPr>
            </w:pPr>
            <w:r>
              <w:rPr>
                <w:rFonts w:ascii="宋体" w:hAnsi="宋体" w:eastAsia="宋体" w:cs="宋体"/>
                <w:spacing w:val="7"/>
                <w:sz w:val="20"/>
                <w:szCs w:val="20"/>
              </w:rPr>
              <w:t>拉</w:t>
            </w:r>
            <w:r>
              <w:rPr>
                <w:rFonts w:ascii="宋体" w:hAnsi="宋体" w:eastAsia="宋体" w:cs="宋体"/>
                <w:spacing w:val="6"/>
                <w:sz w:val="20"/>
                <w:szCs w:val="20"/>
              </w:rPr>
              <w:t>丝机</w:t>
            </w:r>
          </w:p>
        </w:tc>
        <w:tc>
          <w:tcPr>
            <w:tcW w:w="1422" w:type="dxa"/>
            <w:vAlign w:val="top"/>
          </w:tcPr>
          <w:p w14:paraId="15C1AE83">
            <w:pPr>
              <w:spacing w:before="93"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22" w:type="dxa"/>
            <w:vAlign w:val="top"/>
          </w:tcPr>
          <w:p w14:paraId="3DA265D7">
            <w:pPr>
              <w:spacing w:before="93"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2" w:type="dxa"/>
            <w:vMerge w:val="continue"/>
            <w:tcBorders>
              <w:top w:val="nil"/>
              <w:bottom w:val="nil"/>
            </w:tcBorders>
            <w:vAlign w:val="top"/>
          </w:tcPr>
          <w:p w14:paraId="22DDE706">
            <w:pPr>
              <w:rPr>
                <w:rFonts w:ascii="Arial"/>
                <w:sz w:val="21"/>
              </w:rPr>
            </w:pPr>
          </w:p>
        </w:tc>
        <w:tc>
          <w:tcPr>
            <w:tcW w:w="1419" w:type="dxa"/>
            <w:vMerge w:val="continue"/>
            <w:tcBorders>
              <w:top w:val="nil"/>
              <w:bottom w:val="nil"/>
              <w:right w:val="nil"/>
            </w:tcBorders>
            <w:vAlign w:val="top"/>
          </w:tcPr>
          <w:p w14:paraId="07BEDFB9">
            <w:pPr>
              <w:rPr>
                <w:rFonts w:ascii="Arial"/>
                <w:sz w:val="21"/>
              </w:rPr>
            </w:pPr>
          </w:p>
        </w:tc>
      </w:tr>
      <w:tr w14:paraId="3A7C9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80" w:type="dxa"/>
            <w:tcBorders>
              <w:left w:val="nil"/>
            </w:tcBorders>
            <w:vAlign w:val="top"/>
          </w:tcPr>
          <w:p w14:paraId="00372868">
            <w:pPr>
              <w:spacing w:before="96" w:line="192"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65" w:type="dxa"/>
            <w:vAlign w:val="top"/>
          </w:tcPr>
          <w:p w14:paraId="230C8033">
            <w:pPr>
              <w:spacing w:before="57" w:line="227" w:lineRule="auto"/>
              <w:ind w:left="620"/>
              <w:rPr>
                <w:rFonts w:ascii="宋体" w:hAnsi="宋体" w:eastAsia="宋体" w:cs="宋体"/>
                <w:sz w:val="20"/>
                <w:szCs w:val="20"/>
              </w:rPr>
            </w:pPr>
            <w:r>
              <w:rPr>
                <w:rFonts w:ascii="宋体" w:hAnsi="宋体" w:eastAsia="宋体" w:cs="宋体"/>
                <w:spacing w:val="7"/>
                <w:sz w:val="20"/>
                <w:szCs w:val="20"/>
              </w:rPr>
              <w:t>切粒机</w:t>
            </w:r>
          </w:p>
        </w:tc>
        <w:tc>
          <w:tcPr>
            <w:tcW w:w="1422" w:type="dxa"/>
            <w:vAlign w:val="top"/>
          </w:tcPr>
          <w:p w14:paraId="3C0AAFF3">
            <w:pPr>
              <w:spacing w:before="93"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22" w:type="dxa"/>
            <w:vAlign w:val="top"/>
          </w:tcPr>
          <w:p w14:paraId="1D9D33B0">
            <w:pPr>
              <w:spacing w:before="96" w:line="192"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22" w:type="dxa"/>
            <w:vMerge w:val="continue"/>
            <w:tcBorders>
              <w:top w:val="nil"/>
              <w:bottom w:val="nil"/>
            </w:tcBorders>
            <w:vAlign w:val="top"/>
          </w:tcPr>
          <w:p w14:paraId="4DA3699F">
            <w:pPr>
              <w:rPr>
                <w:rFonts w:ascii="Arial"/>
                <w:sz w:val="21"/>
              </w:rPr>
            </w:pPr>
          </w:p>
        </w:tc>
        <w:tc>
          <w:tcPr>
            <w:tcW w:w="1419" w:type="dxa"/>
            <w:vMerge w:val="continue"/>
            <w:tcBorders>
              <w:top w:val="nil"/>
              <w:bottom w:val="nil"/>
              <w:right w:val="nil"/>
            </w:tcBorders>
            <w:vAlign w:val="top"/>
          </w:tcPr>
          <w:p w14:paraId="2D5FD7A0">
            <w:pPr>
              <w:rPr>
                <w:rFonts w:ascii="Arial"/>
                <w:sz w:val="21"/>
              </w:rPr>
            </w:pPr>
          </w:p>
        </w:tc>
      </w:tr>
      <w:tr w14:paraId="56BCE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980" w:type="dxa"/>
            <w:tcBorders>
              <w:left w:val="nil"/>
            </w:tcBorders>
            <w:vAlign w:val="top"/>
          </w:tcPr>
          <w:p w14:paraId="72358720">
            <w:pPr>
              <w:spacing w:before="93"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65" w:type="dxa"/>
            <w:vAlign w:val="top"/>
          </w:tcPr>
          <w:p w14:paraId="043842AF">
            <w:pPr>
              <w:spacing w:before="57" w:line="227" w:lineRule="auto"/>
              <w:ind w:left="728"/>
              <w:rPr>
                <w:rFonts w:ascii="宋体" w:hAnsi="宋体" w:eastAsia="宋体" w:cs="宋体"/>
                <w:sz w:val="20"/>
                <w:szCs w:val="20"/>
              </w:rPr>
            </w:pPr>
            <w:r>
              <w:rPr>
                <w:rFonts w:ascii="宋体" w:hAnsi="宋体" w:eastAsia="宋体" w:cs="宋体"/>
                <w:spacing w:val="4"/>
                <w:sz w:val="20"/>
                <w:szCs w:val="20"/>
              </w:rPr>
              <w:t>风机</w:t>
            </w:r>
          </w:p>
        </w:tc>
        <w:tc>
          <w:tcPr>
            <w:tcW w:w="1422" w:type="dxa"/>
            <w:vAlign w:val="top"/>
          </w:tcPr>
          <w:p w14:paraId="3930F3B0">
            <w:pPr>
              <w:spacing w:before="93" w:line="195" w:lineRule="auto"/>
              <w:ind w:left="6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2" w:type="dxa"/>
            <w:vAlign w:val="top"/>
          </w:tcPr>
          <w:p w14:paraId="0B0DBAB8">
            <w:pPr>
              <w:spacing w:before="96" w:line="192"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22" w:type="dxa"/>
            <w:vMerge w:val="continue"/>
            <w:tcBorders>
              <w:top w:val="nil"/>
              <w:bottom w:val="nil"/>
            </w:tcBorders>
            <w:vAlign w:val="top"/>
          </w:tcPr>
          <w:p w14:paraId="1DD74486">
            <w:pPr>
              <w:rPr>
                <w:rFonts w:ascii="Arial"/>
                <w:sz w:val="21"/>
              </w:rPr>
            </w:pPr>
          </w:p>
        </w:tc>
        <w:tc>
          <w:tcPr>
            <w:tcW w:w="1419" w:type="dxa"/>
            <w:vMerge w:val="continue"/>
            <w:tcBorders>
              <w:top w:val="nil"/>
              <w:bottom w:val="nil"/>
              <w:right w:val="nil"/>
            </w:tcBorders>
            <w:vAlign w:val="top"/>
          </w:tcPr>
          <w:p w14:paraId="63047382">
            <w:pPr>
              <w:rPr>
                <w:rFonts w:ascii="Arial"/>
                <w:sz w:val="21"/>
              </w:rPr>
            </w:pPr>
          </w:p>
        </w:tc>
      </w:tr>
      <w:tr w14:paraId="23E4D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80" w:type="dxa"/>
            <w:tcBorders>
              <w:left w:val="nil"/>
            </w:tcBorders>
            <w:vAlign w:val="top"/>
          </w:tcPr>
          <w:p w14:paraId="0454ACDC">
            <w:pPr>
              <w:spacing w:before="93"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865" w:type="dxa"/>
            <w:vAlign w:val="top"/>
          </w:tcPr>
          <w:p w14:paraId="01CAC02D">
            <w:pPr>
              <w:spacing w:before="56" w:line="228" w:lineRule="auto"/>
              <w:ind w:left="518"/>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环水泵</w:t>
            </w:r>
          </w:p>
        </w:tc>
        <w:tc>
          <w:tcPr>
            <w:tcW w:w="1422" w:type="dxa"/>
            <w:vAlign w:val="top"/>
          </w:tcPr>
          <w:p w14:paraId="46247737">
            <w:pPr>
              <w:spacing w:before="93" w:line="195" w:lineRule="auto"/>
              <w:ind w:left="6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22" w:type="dxa"/>
            <w:vAlign w:val="top"/>
          </w:tcPr>
          <w:p w14:paraId="0E480B5E">
            <w:pPr>
              <w:spacing w:before="93"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1422" w:type="dxa"/>
            <w:vMerge w:val="continue"/>
            <w:tcBorders>
              <w:top w:val="nil"/>
            </w:tcBorders>
            <w:vAlign w:val="top"/>
          </w:tcPr>
          <w:p w14:paraId="3E32EF7E">
            <w:pPr>
              <w:rPr>
                <w:rFonts w:ascii="Arial"/>
                <w:sz w:val="21"/>
              </w:rPr>
            </w:pPr>
          </w:p>
        </w:tc>
        <w:tc>
          <w:tcPr>
            <w:tcW w:w="1419" w:type="dxa"/>
            <w:vMerge w:val="continue"/>
            <w:tcBorders>
              <w:top w:val="nil"/>
              <w:right w:val="nil"/>
            </w:tcBorders>
            <w:vAlign w:val="top"/>
          </w:tcPr>
          <w:p w14:paraId="3FDAE028">
            <w:pPr>
              <w:rPr>
                <w:rFonts w:ascii="Arial"/>
                <w:sz w:val="21"/>
              </w:rPr>
            </w:pPr>
          </w:p>
        </w:tc>
      </w:tr>
    </w:tbl>
    <w:p w14:paraId="1D6C745F">
      <w:pPr>
        <w:spacing w:line="259" w:lineRule="auto"/>
        <w:rPr>
          <w:rFonts w:ascii="Arial"/>
          <w:sz w:val="21"/>
        </w:rPr>
      </w:pPr>
    </w:p>
    <w:p w14:paraId="6265B192">
      <w:pPr>
        <w:spacing w:before="75" w:line="228" w:lineRule="auto"/>
        <w:ind w:left="613"/>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6"/>
          <w:sz w:val="23"/>
          <w:szCs w:val="23"/>
        </w:rPr>
        <w:t>4</w:t>
      </w:r>
      <w:r>
        <w:rPr>
          <w:rFonts w:ascii="宋体" w:hAnsi="宋体" w:eastAsia="宋体" w:cs="宋体"/>
          <w:spacing w:val="16"/>
          <w:sz w:val="23"/>
          <w:szCs w:val="23"/>
        </w:rPr>
        <w:t>) 固体废物排放分析</w:t>
      </w:r>
    </w:p>
    <w:p w14:paraId="4D298C38">
      <w:pPr>
        <w:spacing w:line="244" w:lineRule="auto"/>
        <w:rPr>
          <w:rFonts w:ascii="Arial"/>
          <w:sz w:val="21"/>
        </w:rPr>
      </w:pPr>
    </w:p>
    <w:p w14:paraId="46C8D364">
      <w:pPr>
        <w:spacing w:before="75" w:line="227" w:lineRule="auto"/>
        <w:ind w:left="606"/>
        <w:rPr>
          <w:rFonts w:ascii="宋体" w:hAnsi="宋体" w:eastAsia="宋体" w:cs="宋体"/>
          <w:sz w:val="23"/>
          <w:szCs w:val="23"/>
        </w:rPr>
      </w:pPr>
      <w:r>
        <w:rPr>
          <w:rFonts w:ascii="宋体" w:hAnsi="宋体" w:eastAsia="宋体" w:cs="宋体"/>
          <w:spacing w:val="12"/>
          <w:sz w:val="23"/>
          <w:szCs w:val="23"/>
        </w:rPr>
        <w:t>该项目固</w:t>
      </w:r>
      <w:r>
        <w:rPr>
          <w:rFonts w:ascii="宋体" w:hAnsi="宋体" w:eastAsia="宋体" w:cs="宋体"/>
          <w:spacing w:val="7"/>
          <w:sz w:val="23"/>
          <w:szCs w:val="23"/>
        </w:rPr>
        <w:t>体</w:t>
      </w:r>
      <w:r>
        <w:rPr>
          <w:rFonts w:ascii="宋体" w:hAnsi="宋体" w:eastAsia="宋体" w:cs="宋体"/>
          <w:spacing w:val="6"/>
          <w:sz w:val="23"/>
          <w:szCs w:val="23"/>
        </w:rPr>
        <w:t>废物主要为员工产生的生活垃圾、危险废物以及一般工业固体废</w:t>
      </w:r>
    </w:p>
    <w:p w14:paraId="632C4474">
      <w:pPr>
        <w:spacing w:before="155" w:line="362" w:lineRule="auto"/>
        <w:ind w:left="136" w:right="126" w:hanging="14"/>
        <w:rPr>
          <w:rFonts w:ascii="宋体" w:hAnsi="宋体" w:eastAsia="宋体" w:cs="宋体"/>
          <w:sz w:val="23"/>
          <w:szCs w:val="23"/>
        </w:rPr>
      </w:pPr>
      <w:r>
        <w:rPr>
          <w:rFonts w:ascii="宋体" w:hAnsi="宋体" w:eastAsia="宋体" w:cs="宋体"/>
          <w:spacing w:val="26"/>
          <w:sz w:val="23"/>
          <w:szCs w:val="23"/>
        </w:rPr>
        <w:t>物</w:t>
      </w:r>
      <w:r>
        <w:rPr>
          <w:rFonts w:ascii="宋体" w:hAnsi="宋体" w:eastAsia="宋体" w:cs="宋体"/>
          <w:spacing w:val="20"/>
          <w:sz w:val="23"/>
          <w:szCs w:val="23"/>
        </w:rPr>
        <w:t>，</w:t>
      </w:r>
      <w:r>
        <w:rPr>
          <w:rFonts w:ascii="宋体" w:hAnsi="宋体" w:eastAsia="宋体" w:cs="宋体"/>
          <w:spacing w:val="13"/>
          <w:sz w:val="23"/>
          <w:szCs w:val="23"/>
        </w:rPr>
        <w:t>其中一般工业固体废物包括杂质、沉淀池污泥、废滤网、热风炉炉渣以及</w:t>
      </w:r>
      <w:r>
        <w:rPr>
          <w:rFonts w:ascii="宋体" w:hAnsi="宋体" w:eastAsia="宋体" w:cs="宋体"/>
          <w:sz w:val="23"/>
          <w:szCs w:val="23"/>
        </w:rPr>
        <w:t xml:space="preserve"> </w:t>
      </w:r>
      <w:r>
        <w:rPr>
          <w:rFonts w:ascii="宋体" w:hAnsi="宋体" w:eastAsia="宋体" w:cs="宋体"/>
          <w:spacing w:val="10"/>
          <w:sz w:val="23"/>
          <w:szCs w:val="23"/>
        </w:rPr>
        <w:t xml:space="preserve">除尘器收集的粉尘，危险废物主要为废活性炭、废 </w:t>
      </w:r>
      <w:r>
        <w:rPr>
          <w:rFonts w:ascii="Times New Roman" w:hAnsi="Times New Roman" w:eastAsia="Times New Roman" w:cs="Times New Roman"/>
          <w:sz w:val="23"/>
          <w:szCs w:val="23"/>
        </w:rPr>
        <w:t>uv</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光解灯管</w:t>
      </w:r>
      <w:r>
        <w:rPr>
          <w:rFonts w:ascii="宋体" w:hAnsi="宋体" w:eastAsia="宋体" w:cs="宋体"/>
          <w:spacing w:val="9"/>
          <w:sz w:val="23"/>
          <w:szCs w:val="23"/>
        </w:rPr>
        <w:t>。</w:t>
      </w:r>
    </w:p>
    <w:p w14:paraId="44226F11">
      <w:pPr>
        <w:spacing w:before="135" w:line="225" w:lineRule="auto"/>
        <w:ind w:left="601"/>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生活垃圾</w:t>
      </w:r>
    </w:p>
    <w:p w14:paraId="1ABED0E5">
      <w:pPr>
        <w:spacing w:before="271" w:line="367" w:lineRule="auto"/>
        <w:ind w:left="122" w:right="109" w:firstLine="483"/>
        <w:rPr>
          <w:rFonts w:ascii="宋体" w:hAnsi="宋体" w:eastAsia="宋体" w:cs="宋体"/>
          <w:sz w:val="23"/>
          <w:szCs w:val="23"/>
        </w:rPr>
      </w:pPr>
      <w:r>
        <w:rPr>
          <w:rFonts w:ascii="宋体" w:hAnsi="宋体" w:eastAsia="宋体" w:cs="宋体"/>
          <w:spacing w:val="4"/>
          <w:sz w:val="23"/>
          <w:szCs w:val="23"/>
        </w:rPr>
        <w:t>该项目职工生活垃圾人均产生量</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0.5</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，则产生量约 </w:t>
      </w:r>
      <w:r>
        <w:rPr>
          <w:rFonts w:ascii="Times New Roman" w:hAnsi="Times New Roman" w:eastAsia="Times New Roman" w:cs="Times New Roman"/>
          <w:spacing w:val="2"/>
          <w:sz w:val="23"/>
          <w:szCs w:val="23"/>
        </w:rPr>
        <w:t>12</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，在厂区内设置</w:t>
      </w:r>
      <w:r>
        <w:rPr>
          <w:rFonts w:ascii="宋体" w:hAnsi="宋体" w:eastAsia="宋体" w:cs="宋体"/>
          <w:sz w:val="23"/>
          <w:szCs w:val="23"/>
        </w:rPr>
        <w:t xml:space="preserve"> </w:t>
      </w:r>
      <w:r>
        <w:rPr>
          <w:rFonts w:ascii="宋体" w:hAnsi="宋体" w:eastAsia="宋体" w:cs="宋体"/>
          <w:spacing w:val="9"/>
          <w:sz w:val="23"/>
          <w:szCs w:val="23"/>
        </w:rPr>
        <w:t>集</w:t>
      </w:r>
      <w:r>
        <w:rPr>
          <w:rFonts w:ascii="宋体" w:hAnsi="宋体" w:eastAsia="宋体" w:cs="宋体"/>
          <w:spacing w:val="7"/>
          <w:sz w:val="23"/>
          <w:szCs w:val="23"/>
        </w:rPr>
        <w:t>中收集垃圾箱，员工生活垃圾收集到指定垃圾箱内，随后运送至环卫部门指定</w:t>
      </w:r>
      <w:r>
        <w:rPr>
          <w:rFonts w:ascii="宋体" w:hAnsi="宋体" w:eastAsia="宋体" w:cs="宋体"/>
          <w:sz w:val="23"/>
          <w:szCs w:val="23"/>
        </w:rPr>
        <w:t xml:space="preserve"> </w:t>
      </w:r>
      <w:r>
        <w:rPr>
          <w:rFonts w:ascii="宋体" w:hAnsi="宋体" w:eastAsia="宋体" w:cs="宋体"/>
          <w:spacing w:val="8"/>
          <w:sz w:val="23"/>
          <w:szCs w:val="23"/>
        </w:rPr>
        <w:t>地</w:t>
      </w:r>
      <w:r>
        <w:rPr>
          <w:rFonts w:ascii="宋体" w:hAnsi="宋体" w:eastAsia="宋体" w:cs="宋体"/>
          <w:spacing w:val="7"/>
          <w:sz w:val="23"/>
          <w:szCs w:val="23"/>
        </w:rPr>
        <w:t>点统一处理。</w:t>
      </w:r>
    </w:p>
    <w:p w14:paraId="2B87CFA0">
      <w:pPr>
        <w:spacing w:before="148" w:line="225" w:lineRule="auto"/>
        <w:ind w:left="600"/>
        <w:rPr>
          <w:rFonts w:ascii="宋体" w:hAnsi="宋体" w:eastAsia="宋体" w:cs="宋体"/>
          <w:sz w:val="23"/>
          <w:szCs w:val="23"/>
        </w:rPr>
      </w:pPr>
      <w:r>
        <w:rPr>
          <w:rFonts w:ascii="宋体" w:hAnsi="宋体" w:eastAsia="宋体" w:cs="宋体"/>
          <w:spacing w:val="8"/>
          <w:sz w:val="23"/>
          <w:szCs w:val="23"/>
        </w:rPr>
        <w:t>②</w:t>
      </w:r>
      <w:r>
        <w:rPr>
          <w:rFonts w:ascii="宋体" w:hAnsi="宋体" w:eastAsia="宋体" w:cs="宋体"/>
          <w:spacing w:val="7"/>
          <w:sz w:val="23"/>
          <w:szCs w:val="23"/>
        </w:rPr>
        <w:t>杂质</w:t>
      </w:r>
    </w:p>
    <w:p w14:paraId="3BD0832C">
      <w:pPr>
        <w:spacing w:before="316" w:line="358" w:lineRule="auto"/>
        <w:ind w:left="122" w:right="31" w:firstLine="483"/>
        <w:rPr>
          <w:rFonts w:ascii="宋体" w:hAnsi="宋体" w:eastAsia="宋体" w:cs="宋体"/>
          <w:sz w:val="23"/>
          <w:szCs w:val="23"/>
        </w:rPr>
      </w:pPr>
      <w:r>
        <w:rPr>
          <w:rFonts w:ascii="宋体" w:hAnsi="宋体" w:eastAsia="宋体" w:cs="宋体"/>
          <w:spacing w:val="12"/>
          <w:sz w:val="23"/>
          <w:szCs w:val="23"/>
        </w:rPr>
        <w:t>该项目为</w:t>
      </w:r>
      <w:r>
        <w:rPr>
          <w:rFonts w:ascii="宋体" w:hAnsi="宋体" w:eastAsia="宋体" w:cs="宋体"/>
          <w:spacing w:val="7"/>
          <w:sz w:val="23"/>
          <w:szCs w:val="23"/>
        </w:rPr>
        <w:t>了</w:t>
      </w:r>
      <w:r>
        <w:rPr>
          <w:rFonts w:ascii="宋体" w:hAnsi="宋体" w:eastAsia="宋体" w:cs="宋体"/>
          <w:spacing w:val="6"/>
          <w:sz w:val="23"/>
          <w:szCs w:val="23"/>
        </w:rPr>
        <w:t>保证产品质量，外购的废旧塑料编织袋投入生产之前需要进一步</w:t>
      </w:r>
      <w:r>
        <w:rPr>
          <w:rFonts w:ascii="宋体" w:hAnsi="宋体" w:eastAsia="宋体" w:cs="宋体"/>
          <w:sz w:val="23"/>
          <w:szCs w:val="23"/>
        </w:rPr>
        <w:t xml:space="preserve"> </w:t>
      </w:r>
      <w:r>
        <w:rPr>
          <w:rFonts w:ascii="宋体" w:hAnsi="宋体" w:eastAsia="宋体" w:cs="宋体"/>
          <w:spacing w:val="9"/>
          <w:sz w:val="23"/>
          <w:szCs w:val="23"/>
        </w:rPr>
        <w:t>人</w:t>
      </w:r>
      <w:r>
        <w:rPr>
          <w:rFonts w:ascii="宋体" w:hAnsi="宋体" w:eastAsia="宋体" w:cs="宋体"/>
          <w:spacing w:val="7"/>
          <w:sz w:val="23"/>
          <w:szCs w:val="23"/>
        </w:rPr>
        <w:t>工分选，通过人工分拣，主要将废旧编织袋中的非塑料杂质剔除，并按照塑料</w:t>
      </w:r>
      <w:r>
        <w:rPr>
          <w:rFonts w:ascii="宋体" w:hAnsi="宋体" w:eastAsia="宋体" w:cs="宋体"/>
          <w:sz w:val="23"/>
          <w:szCs w:val="23"/>
        </w:rPr>
        <w:t xml:space="preserve"> </w:t>
      </w:r>
      <w:r>
        <w:rPr>
          <w:rFonts w:ascii="宋体" w:hAnsi="宋体" w:eastAsia="宋体" w:cs="宋体"/>
          <w:spacing w:val="12"/>
          <w:sz w:val="23"/>
          <w:szCs w:val="23"/>
        </w:rPr>
        <w:t>种类、颜</w:t>
      </w:r>
      <w:r>
        <w:rPr>
          <w:rFonts w:ascii="宋体" w:hAnsi="宋体" w:eastAsia="宋体" w:cs="宋体"/>
          <w:spacing w:val="6"/>
          <w:sz w:val="23"/>
          <w:szCs w:val="23"/>
        </w:rPr>
        <w:t xml:space="preserve">色分开存放。根据建设单位提供资料，杂质含量约占原料总量的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0"/>
          <w:sz w:val="23"/>
          <w:szCs w:val="23"/>
        </w:rPr>
        <w:t>则杂质产</w:t>
      </w:r>
      <w:r>
        <w:rPr>
          <w:rFonts w:ascii="宋体" w:hAnsi="宋体" w:eastAsia="宋体" w:cs="宋体"/>
          <w:spacing w:val="7"/>
          <w:sz w:val="23"/>
          <w:szCs w:val="23"/>
        </w:rPr>
        <w:t>生</w:t>
      </w:r>
      <w:r>
        <w:rPr>
          <w:rFonts w:ascii="宋体" w:hAnsi="宋体" w:eastAsia="宋体" w:cs="宋体"/>
          <w:spacing w:val="5"/>
          <w:sz w:val="23"/>
          <w:szCs w:val="23"/>
        </w:rPr>
        <w:t xml:space="preserve">量约为 </w:t>
      </w:r>
      <w:r>
        <w:rPr>
          <w:rFonts w:ascii="Times New Roman" w:hAnsi="Times New Roman" w:eastAsia="Times New Roman" w:cs="Times New Roman"/>
          <w:spacing w:val="5"/>
          <w:sz w:val="23"/>
          <w:szCs w:val="23"/>
        </w:rPr>
        <w:t>1022</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，与生活垃圾统一运送至环卫部门指定地点统一处理。</w:t>
      </w:r>
    </w:p>
    <w:p w14:paraId="5D4D0BCA">
      <w:pPr>
        <w:spacing w:before="164" w:line="225" w:lineRule="auto"/>
        <w:ind w:left="600"/>
        <w:rPr>
          <w:rFonts w:ascii="宋体" w:hAnsi="宋体" w:eastAsia="宋体" w:cs="宋体"/>
          <w:sz w:val="23"/>
          <w:szCs w:val="23"/>
        </w:rPr>
      </w:pPr>
      <w:r>
        <w:rPr>
          <w:rFonts w:ascii="宋体" w:hAnsi="宋体" w:eastAsia="宋体" w:cs="宋体"/>
          <w:spacing w:val="12"/>
          <w:sz w:val="23"/>
          <w:szCs w:val="23"/>
        </w:rPr>
        <w:t>③</w:t>
      </w:r>
      <w:r>
        <w:rPr>
          <w:rFonts w:ascii="宋体" w:hAnsi="宋体" w:eastAsia="宋体" w:cs="宋体"/>
          <w:spacing w:val="8"/>
          <w:sz w:val="23"/>
          <w:szCs w:val="23"/>
        </w:rPr>
        <w:t>沉淀池污泥</w:t>
      </w:r>
    </w:p>
    <w:p w14:paraId="39683458">
      <w:pPr>
        <w:spacing w:line="281" w:lineRule="auto"/>
        <w:rPr>
          <w:rFonts w:ascii="Arial"/>
          <w:sz w:val="21"/>
        </w:rPr>
      </w:pPr>
    </w:p>
    <w:p w14:paraId="73FDE909">
      <w:pPr>
        <w:spacing w:before="75" w:line="388" w:lineRule="auto"/>
        <w:ind w:left="121" w:right="10" w:firstLine="487"/>
        <w:rPr>
          <w:rFonts w:ascii="宋体" w:hAnsi="宋体" w:eastAsia="宋体" w:cs="宋体"/>
          <w:sz w:val="23"/>
          <w:szCs w:val="23"/>
        </w:rPr>
      </w:pPr>
      <w:r>
        <w:rPr>
          <w:rFonts w:ascii="宋体" w:hAnsi="宋体" w:eastAsia="宋体" w:cs="宋体"/>
          <w:spacing w:val="2"/>
          <w:sz w:val="23"/>
          <w:szCs w:val="23"/>
        </w:rPr>
        <w:t xml:space="preserve">该设有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32</w:t>
      </w:r>
      <w:r>
        <w:rPr>
          <w:rFonts w:ascii="Times New Roman" w:hAnsi="Times New Roman" w:eastAsia="Times New Roman" w:cs="Times New Roman"/>
          <w:spacing w:val="1"/>
          <w:sz w:val="23"/>
          <w:szCs w:val="23"/>
        </w:rPr>
        <w:t>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的三级沉淀池 (</w:t>
      </w:r>
      <w:r>
        <w:rPr>
          <w:rFonts w:ascii="Times New Roman" w:hAnsi="Times New Roman" w:eastAsia="Times New Roman" w:cs="Times New Roman"/>
          <w:spacing w:val="1"/>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×4.5</w:t>
      </w:r>
      <w:r>
        <w:rPr>
          <w:rFonts w:ascii="Times New Roman" w:hAnsi="Times New Roman" w:eastAsia="Times New Roman" w:cs="Times New Roman"/>
          <w:sz w:val="23"/>
          <w:szCs w:val="23"/>
        </w:rPr>
        <w:t>m</w:t>
      </w:r>
      <w:r>
        <w:rPr>
          <w:rFonts w:ascii="宋体" w:hAnsi="宋体" w:eastAsia="宋体" w:cs="宋体"/>
          <w:spacing w:val="1"/>
          <w:sz w:val="23"/>
          <w:szCs w:val="23"/>
        </w:rPr>
        <w:t>) ，位于生产厂房西</w:t>
      </w:r>
      <w:r>
        <w:rPr>
          <w:rFonts w:ascii="宋体" w:hAnsi="宋体" w:eastAsia="宋体" w:cs="宋体"/>
          <w:sz w:val="23"/>
          <w:szCs w:val="23"/>
        </w:rPr>
        <w:t xml:space="preserve"> </w:t>
      </w:r>
      <w:r>
        <w:rPr>
          <w:rFonts w:ascii="宋体" w:hAnsi="宋体" w:eastAsia="宋体" w:cs="宋体"/>
          <w:spacing w:val="5"/>
          <w:sz w:val="23"/>
          <w:szCs w:val="23"/>
        </w:rPr>
        <w:t>南侧，生产废水经一体化污水预处理设备处理后排入三级沉淀池(</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z w:val="23"/>
          <w:szCs w:val="23"/>
        </w:rPr>
        <w:t xml:space="preserve">) </w:t>
      </w:r>
      <w:r>
        <w:rPr>
          <w:rFonts w:ascii="宋体" w:hAnsi="宋体" w:eastAsia="宋体" w:cs="宋体"/>
          <w:spacing w:val="8"/>
          <w:sz w:val="23"/>
          <w:szCs w:val="23"/>
        </w:rPr>
        <w:t>沉</w:t>
      </w:r>
      <w:r>
        <w:rPr>
          <w:rFonts w:ascii="宋体" w:hAnsi="宋体" w:eastAsia="宋体" w:cs="宋体"/>
          <w:spacing w:val="5"/>
          <w:sz w:val="23"/>
          <w:szCs w:val="23"/>
        </w:rPr>
        <w:t xml:space="preserve">淀处理，随后循环使用。污水处理设施废水每月更换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次，则该项目全年更换</w:t>
      </w:r>
      <w:r>
        <w:rPr>
          <w:rFonts w:ascii="宋体" w:hAnsi="宋体" w:eastAsia="宋体" w:cs="宋体"/>
          <w:sz w:val="23"/>
          <w:szCs w:val="23"/>
        </w:rPr>
        <w:t xml:space="preserve"> </w:t>
      </w:r>
      <w:r>
        <w:rPr>
          <w:rFonts w:ascii="宋体" w:hAnsi="宋体" w:eastAsia="宋体" w:cs="宋体"/>
          <w:spacing w:val="1"/>
          <w:sz w:val="23"/>
          <w:szCs w:val="23"/>
        </w:rPr>
        <w:t xml:space="preserve">废水量为 </w:t>
      </w:r>
      <w:r>
        <w:rPr>
          <w:rFonts w:ascii="Times New Roman" w:hAnsi="Times New Roman" w:eastAsia="Times New Roman" w:cs="Times New Roman"/>
          <w:spacing w:val="1"/>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，更换过程产生的废水经</w:t>
      </w:r>
      <w:r>
        <w:rPr>
          <w:rFonts w:ascii="宋体" w:hAnsi="宋体" w:eastAsia="宋体" w:cs="宋体"/>
          <w:sz w:val="23"/>
          <w:szCs w:val="23"/>
        </w:rPr>
        <w:t xml:space="preserve">吸污车运送至本溪市科态污水处理有 </w:t>
      </w:r>
      <w:r>
        <w:rPr>
          <w:rFonts w:ascii="宋体" w:hAnsi="宋体" w:eastAsia="宋体" w:cs="宋体"/>
          <w:spacing w:val="7"/>
          <w:sz w:val="23"/>
          <w:szCs w:val="23"/>
        </w:rPr>
        <w:t>限责任公司统一处理。该项目生产废水处理过程将产生一定量污泥，污泥量按照</w:t>
      </w:r>
    </w:p>
    <w:p w14:paraId="721C8BA8">
      <w:pPr>
        <w:sectPr>
          <w:headerReference r:id="rId139" w:type="default"/>
          <w:footerReference r:id="rId140" w:type="default"/>
          <w:pgSz w:w="11906" w:h="16839"/>
          <w:pgMar w:top="1132" w:right="1687" w:bottom="1182" w:left="1686" w:header="878" w:footer="1022" w:gutter="0"/>
          <w:cols w:space="720" w:num="1"/>
        </w:sectPr>
      </w:pPr>
    </w:p>
    <w:p w14:paraId="20770747">
      <w:pPr>
        <w:spacing w:line="408" w:lineRule="auto"/>
        <w:rPr>
          <w:rFonts w:ascii="Arial"/>
          <w:sz w:val="21"/>
        </w:rPr>
      </w:pPr>
      <w:r>
        <w:pict>
          <v:shape id="_x0000_s1204" o:spid="_x0000_s1204" style="position:absolute;left:0pt;margin-left:90pt;margin-top:57.35pt;height:0.75pt;width:415.3pt;mso-position-horizontal-relative:page;mso-position-vertical-relative:page;z-index:251855872;mso-width-relative:page;mso-height-relative:page;" fillcolor="#000000" filled="t" stroked="f" coordsize="8305,15" o:allowincell="f" path="m0,0l8305,0,8305,14,0,14,0,0xe">
            <v:path/>
            <v:fill on="t" focussize="0,0"/>
            <v:stroke on="f"/>
            <v:imagedata o:title=""/>
            <o:lock v:ext="edit"/>
          </v:shape>
        </w:pict>
      </w:r>
    </w:p>
    <w:p w14:paraId="1E0A56ED">
      <w:pPr>
        <w:spacing w:before="75" w:line="226" w:lineRule="auto"/>
        <w:ind w:left="30"/>
        <w:rPr>
          <w:rFonts w:ascii="宋体" w:hAnsi="宋体" w:eastAsia="宋体" w:cs="宋体"/>
          <w:sz w:val="23"/>
          <w:szCs w:val="23"/>
        </w:rPr>
      </w:pPr>
      <w:r>
        <w:rPr>
          <w:rFonts w:ascii="宋体" w:hAnsi="宋体" w:eastAsia="宋体" w:cs="宋体"/>
          <w:spacing w:val="7"/>
          <w:sz w:val="23"/>
          <w:szCs w:val="23"/>
        </w:rPr>
        <w:t>下</w:t>
      </w:r>
      <w:r>
        <w:rPr>
          <w:rFonts w:ascii="宋体" w:hAnsi="宋体" w:eastAsia="宋体" w:cs="宋体"/>
          <w:spacing w:val="4"/>
          <w:sz w:val="23"/>
          <w:szCs w:val="23"/>
        </w:rPr>
        <w:t>式估算：</w:t>
      </w:r>
    </w:p>
    <w:p w14:paraId="281895A1">
      <w:pPr>
        <w:spacing w:line="243" w:lineRule="auto"/>
        <w:rPr>
          <w:rFonts w:ascii="Arial"/>
          <w:sz w:val="21"/>
        </w:rPr>
      </w:pPr>
    </w:p>
    <w:p w14:paraId="05639AEA">
      <w:pPr>
        <w:spacing w:before="66" w:line="323" w:lineRule="exact"/>
        <w:ind w:left="1217"/>
        <w:rPr>
          <w:rFonts w:ascii="Times New Roman" w:hAnsi="Times New Roman" w:eastAsia="Times New Roman" w:cs="Times New Roman"/>
          <w:sz w:val="15"/>
          <w:szCs w:val="15"/>
        </w:rPr>
      </w:pPr>
      <w:r>
        <w:rPr>
          <w:rFonts w:ascii="Times New Roman" w:hAnsi="Times New Roman" w:eastAsia="Times New Roman" w:cs="Times New Roman"/>
          <w:spacing w:val="-2"/>
          <w:position w:val="4"/>
          <w:sz w:val="23"/>
          <w:szCs w:val="23"/>
        </w:rPr>
        <w:t>W</w:t>
      </w:r>
      <w:r>
        <w:rPr>
          <w:rFonts w:ascii="Times New Roman" w:hAnsi="Times New Roman" w:eastAsia="Times New Roman" w:cs="Times New Roman"/>
          <w:spacing w:val="-4"/>
          <w:position w:val="4"/>
          <w:sz w:val="23"/>
          <w:szCs w:val="23"/>
        </w:rPr>
        <w:t>=</w:t>
      </w:r>
      <w:r>
        <w:rPr>
          <w:rFonts w:ascii="Times New Roman" w:hAnsi="Times New Roman" w:eastAsia="Times New Roman" w:cs="Times New Roman"/>
          <w:spacing w:val="-2"/>
          <w:position w:val="4"/>
          <w:sz w:val="23"/>
          <w:szCs w:val="23"/>
        </w:rPr>
        <w:t>Q</w:t>
      </w:r>
      <w:r>
        <w:rPr>
          <w:rFonts w:ascii="Times New Roman" w:hAnsi="Times New Roman" w:eastAsia="Times New Roman" w:cs="Times New Roman"/>
          <w:spacing w:val="-4"/>
          <w:position w:val="4"/>
          <w:sz w:val="23"/>
          <w:szCs w:val="23"/>
        </w:rPr>
        <w:t>·(</w:t>
      </w:r>
      <w:r>
        <w:rPr>
          <w:rFonts w:ascii="Times New Roman" w:hAnsi="Times New Roman" w:eastAsia="Times New Roman" w:cs="Times New Roman"/>
          <w:spacing w:val="-2"/>
          <w:position w:val="4"/>
          <w:sz w:val="23"/>
          <w:szCs w:val="23"/>
        </w:rPr>
        <w:t>C</w:t>
      </w:r>
      <w:r>
        <w:rPr>
          <w:rFonts w:ascii="Times New Roman" w:hAnsi="Times New Roman" w:eastAsia="Times New Roman" w:cs="Times New Roman"/>
          <w:spacing w:val="-4"/>
          <w:position w:val="4"/>
          <w:sz w:val="23"/>
          <w:szCs w:val="23"/>
        </w:rPr>
        <w:t>1</w:t>
      </w:r>
      <w:r>
        <w:rPr>
          <w:rFonts w:ascii="Times New Roman" w:hAnsi="Times New Roman" w:eastAsia="Times New Roman" w:cs="Times New Roman"/>
          <w:spacing w:val="-3"/>
          <w:position w:val="4"/>
          <w:sz w:val="23"/>
          <w:szCs w:val="23"/>
        </w:rPr>
        <w:t>-</w:t>
      </w:r>
      <w:r>
        <w:rPr>
          <w:rFonts w:ascii="Times New Roman" w:hAnsi="Times New Roman" w:eastAsia="Times New Roman" w:cs="Times New Roman"/>
          <w:spacing w:val="-2"/>
          <w:position w:val="4"/>
          <w:sz w:val="23"/>
          <w:szCs w:val="23"/>
        </w:rPr>
        <w:t>C2) · 10</w:t>
      </w:r>
      <w:r>
        <w:rPr>
          <w:rFonts w:ascii="Times New Roman" w:hAnsi="Times New Roman" w:eastAsia="Times New Roman" w:cs="Times New Roman"/>
          <w:spacing w:val="-2"/>
          <w:position w:val="11"/>
          <w:sz w:val="15"/>
          <w:szCs w:val="15"/>
        </w:rPr>
        <w:t>-6</w:t>
      </w:r>
    </w:p>
    <w:p w14:paraId="3BB4C090">
      <w:pPr>
        <w:spacing w:before="313" w:line="322" w:lineRule="exact"/>
        <w:ind w:left="508"/>
        <w:rPr>
          <w:rFonts w:ascii="宋体" w:hAnsi="宋体" w:eastAsia="宋体" w:cs="宋体"/>
          <w:sz w:val="23"/>
          <w:szCs w:val="23"/>
        </w:rPr>
      </w:pPr>
      <w:r>
        <w:rPr>
          <w:rFonts w:ascii="宋体" w:hAnsi="宋体" w:eastAsia="宋体" w:cs="宋体"/>
          <w:spacing w:val="9"/>
          <w:position w:val="1"/>
          <w:sz w:val="23"/>
          <w:szCs w:val="23"/>
        </w:rPr>
        <w:t>式中：</w:t>
      </w:r>
      <w:r>
        <w:rPr>
          <w:rFonts w:ascii="Times New Roman" w:hAnsi="Times New Roman" w:eastAsia="Times New Roman" w:cs="Times New Roman"/>
          <w:position w:val="1"/>
          <w:sz w:val="23"/>
          <w:szCs w:val="23"/>
        </w:rPr>
        <w:t>W</w:t>
      </w:r>
      <w:r>
        <w:rPr>
          <w:rFonts w:ascii="Times New Roman" w:hAnsi="Times New Roman" w:eastAsia="Times New Roman" w:cs="Times New Roman"/>
          <w:spacing w:val="9"/>
          <w:position w:val="1"/>
          <w:sz w:val="23"/>
          <w:szCs w:val="23"/>
        </w:rPr>
        <w:t>——</w:t>
      </w:r>
      <w:r>
        <w:rPr>
          <w:rFonts w:ascii="宋体" w:hAnsi="宋体" w:eastAsia="宋体" w:cs="宋体"/>
          <w:spacing w:val="9"/>
          <w:position w:val="1"/>
          <w:sz w:val="23"/>
          <w:szCs w:val="23"/>
        </w:rPr>
        <w:t>沉淀污泥产生量，</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9"/>
          <w:position w:val="1"/>
          <w:sz w:val="23"/>
          <w:szCs w:val="23"/>
        </w:rPr>
        <w:t>/</w:t>
      </w:r>
      <w:r>
        <w:rPr>
          <w:rFonts w:ascii="Times New Roman" w:hAnsi="Times New Roman" w:eastAsia="Times New Roman" w:cs="Times New Roman"/>
          <w:position w:val="1"/>
          <w:sz w:val="23"/>
          <w:szCs w:val="23"/>
        </w:rPr>
        <w:t>a</w:t>
      </w:r>
      <w:r>
        <w:rPr>
          <w:rFonts w:ascii="宋体" w:hAnsi="宋体" w:eastAsia="宋体" w:cs="宋体"/>
          <w:spacing w:val="9"/>
          <w:position w:val="1"/>
          <w:sz w:val="23"/>
          <w:szCs w:val="23"/>
        </w:rPr>
        <w:t>；</w:t>
      </w:r>
    </w:p>
    <w:p w14:paraId="688E1A61">
      <w:pPr>
        <w:spacing w:before="157" w:line="323" w:lineRule="exact"/>
        <w:ind w:left="1224"/>
        <w:rPr>
          <w:rFonts w:ascii="宋体" w:hAnsi="宋体" w:eastAsia="宋体" w:cs="宋体"/>
          <w:sz w:val="23"/>
          <w:szCs w:val="23"/>
        </w:rPr>
      </w:pPr>
      <w:r>
        <w:rPr>
          <w:rFonts w:ascii="Times New Roman" w:hAnsi="Times New Roman" w:eastAsia="Times New Roman" w:cs="Times New Roman"/>
          <w:position w:val="2"/>
          <w:sz w:val="23"/>
          <w:szCs w:val="23"/>
        </w:rPr>
        <w:t>Q</w:t>
      </w:r>
      <w:r>
        <w:rPr>
          <w:rFonts w:ascii="Times New Roman" w:hAnsi="Times New Roman" w:eastAsia="Times New Roman" w:cs="Times New Roman"/>
          <w:spacing w:val="12"/>
          <w:position w:val="2"/>
          <w:sz w:val="23"/>
          <w:szCs w:val="23"/>
        </w:rPr>
        <w:t>—</w:t>
      </w:r>
      <w:r>
        <w:rPr>
          <w:rFonts w:ascii="Times New Roman" w:hAnsi="Times New Roman" w:eastAsia="Times New Roman" w:cs="Times New Roman"/>
          <w:spacing w:val="7"/>
          <w:position w:val="2"/>
          <w:sz w:val="23"/>
          <w:szCs w:val="23"/>
        </w:rPr>
        <w:t>—</w:t>
      </w:r>
      <w:r>
        <w:rPr>
          <w:rFonts w:ascii="宋体" w:hAnsi="宋体" w:eastAsia="宋体" w:cs="宋体"/>
          <w:spacing w:val="7"/>
          <w:position w:val="2"/>
          <w:sz w:val="23"/>
          <w:szCs w:val="23"/>
        </w:rPr>
        <w:t>废水处理量，</w:t>
      </w:r>
      <w:r>
        <w:rPr>
          <w:rFonts w:ascii="Times New Roman" w:hAnsi="Times New Roman" w:eastAsia="Times New Roman" w:cs="Times New Roman"/>
          <w:spacing w:val="7"/>
          <w:position w:val="2"/>
          <w:sz w:val="23"/>
          <w:szCs w:val="23"/>
        </w:rPr>
        <w:t>126.96</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d</w:t>
      </w:r>
      <w:r>
        <w:rPr>
          <w:rFonts w:ascii="宋体" w:hAnsi="宋体" w:eastAsia="宋体" w:cs="宋体"/>
          <w:spacing w:val="7"/>
          <w:position w:val="2"/>
          <w:sz w:val="23"/>
          <w:szCs w:val="23"/>
        </w:rPr>
        <w:t>；</w:t>
      </w:r>
    </w:p>
    <w:p w14:paraId="36753ED3">
      <w:pPr>
        <w:spacing w:before="157" w:line="323" w:lineRule="exact"/>
        <w:jc w:val="right"/>
        <w:rPr>
          <w:rFonts w:ascii="宋体" w:hAnsi="宋体" w:eastAsia="宋体" w:cs="宋体"/>
          <w:sz w:val="23"/>
          <w:szCs w:val="23"/>
        </w:rPr>
      </w:pPr>
      <w:r>
        <w:rPr>
          <w:rFonts w:ascii="Times New Roman" w:hAnsi="Times New Roman" w:eastAsia="Times New Roman" w:cs="Times New Roman"/>
          <w:position w:val="3"/>
          <w:sz w:val="23"/>
          <w:szCs w:val="23"/>
        </w:rPr>
        <w:t>C</w:t>
      </w:r>
      <w:r>
        <w:rPr>
          <w:rFonts w:ascii="Times New Roman" w:hAnsi="Times New Roman" w:eastAsia="Times New Roman" w:cs="Times New Roman"/>
          <w:spacing w:val="1"/>
          <w:position w:val="3"/>
          <w:sz w:val="23"/>
          <w:szCs w:val="23"/>
        </w:rPr>
        <w:t>1</w:t>
      </w:r>
      <w:r>
        <w:rPr>
          <w:rFonts w:ascii="宋体" w:hAnsi="宋体" w:eastAsia="宋体" w:cs="宋体"/>
          <w:spacing w:val="1"/>
          <w:position w:val="3"/>
          <w:sz w:val="23"/>
          <w:szCs w:val="23"/>
        </w:rPr>
        <w:t>、</w:t>
      </w:r>
      <w:r>
        <w:rPr>
          <w:rFonts w:ascii="Times New Roman" w:hAnsi="Times New Roman" w:eastAsia="Times New Roman" w:cs="Times New Roman"/>
          <w:position w:val="3"/>
          <w:sz w:val="23"/>
          <w:szCs w:val="23"/>
        </w:rPr>
        <w:t>C</w:t>
      </w:r>
      <w:r>
        <w:rPr>
          <w:rFonts w:ascii="Times New Roman" w:hAnsi="Times New Roman" w:eastAsia="Times New Roman" w:cs="Times New Roman"/>
          <w:spacing w:val="1"/>
          <w:position w:val="3"/>
          <w:sz w:val="23"/>
          <w:szCs w:val="23"/>
        </w:rPr>
        <w:t>2——</w:t>
      </w:r>
      <w:r>
        <w:rPr>
          <w:rFonts w:ascii="宋体" w:hAnsi="宋体" w:eastAsia="宋体" w:cs="宋体"/>
          <w:spacing w:val="1"/>
          <w:position w:val="3"/>
          <w:sz w:val="23"/>
          <w:szCs w:val="23"/>
        </w:rPr>
        <w:t>污水</w:t>
      </w:r>
      <w:r>
        <w:rPr>
          <w:rFonts w:ascii="宋体" w:hAnsi="宋体" w:eastAsia="宋体" w:cs="宋体"/>
          <w:position w:val="3"/>
          <w:sz w:val="23"/>
          <w:szCs w:val="23"/>
        </w:rPr>
        <w:t>处理设施进、出口悬浮物的浓度，</w:t>
      </w:r>
      <w:r>
        <w:rPr>
          <w:rFonts w:ascii="Times New Roman" w:hAnsi="Times New Roman" w:eastAsia="Times New Roman" w:cs="Times New Roman"/>
          <w:position w:val="3"/>
          <w:sz w:val="23"/>
          <w:szCs w:val="23"/>
        </w:rPr>
        <w:t>500mg/L</w:t>
      </w:r>
      <w:r>
        <w:rPr>
          <w:rFonts w:ascii="宋体" w:hAnsi="宋体" w:eastAsia="宋体" w:cs="宋体"/>
          <w:position w:val="3"/>
          <w:sz w:val="23"/>
          <w:szCs w:val="23"/>
        </w:rPr>
        <w:t>、</w:t>
      </w:r>
      <w:r>
        <w:rPr>
          <w:rFonts w:ascii="Times New Roman" w:hAnsi="Times New Roman" w:eastAsia="Times New Roman" w:cs="Times New Roman"/>
          <w:position w:val="3"/>
          <w:sz w:val="23"/>
          <w:szCs w:val="23"/>
        </w:rPr>
        <w:t>25mg/L</w:t>
      </w:r>
      <w:r>
        <w:rPr>
          <w:rFonts w:ascii="宋体" w:hAnsi="宋体" w:eastAsia="宋体" w:cs="宋体"/>
          <w:position w:val="3"/>
          <w:sz w:val="23"/>
          <w:szCs w:val="23"/>
        </w:rPr>
        <w:t>。</w:t>
      </w:r>
    </w:p>
    <w:p w14:paraId="61B20EAE">
      <w:pPr>
        <w:spacing w:before="315" w:line="390" w:lineRule="auto"/>
        <w:ind w:left="23" w:right="77" w:firstLine="481"/>
        <w:rPr>
          <w:rFonts w:ascii="宋体" w:hAnsi="宋体" w:eastAsia="宋体" w:cs="宋体"/>
          <w:sz w:val="23"/>
          <w:szCs w:val="23"/>
        </w:rPr>
      </w:pPr>
      <w:r>
        <w:rPr>
          <w:rFonts w:ascii="宋体" w:hAnsi="宋体" w:eastAsia="宋体" w:cs="宋体"/>
          <w:spacing w:val="12"/>
          <w:sz w:val="23"/>
          <w:szCs w:val="23"/>
        </w:rPr>
        <w:t>经</w:t>
      </w:r>
      <w:r>
        <w:rPr>
          <w:rFonts w:ascii="宋体" w:hAnsi="宋体" w:eastAsia="宋体" w:cs="宋体"/>
          <w:spacing w:val="11"/>
          <w:sz w:val="23"/>
          <w:szCs w:val="23"/>
        </w:rPr>
        <w:t>计</w:t>
      </w:r>
      <w:r>
        <w:rPr>
          <w:rFonts w:ascii="宋体" w:hAnsi="宋体" w:eastAsia="宋体" w:cs="宋体"/>
          <w:spacing w:val="6"/>
          <w:sz w:val="23"/>
          <w:szCs w:val="23"/>
        </w:rPr>
        <w:t>算，</w:t>
      </w:r>
      <w:r>
        <w:rPr>
          <w:rFonts w:ascii="Times New Roman" w:hAnsi="Times New Roman" w:eastAsia="Times New Roman" w:cs="Times New Roman"/>
          <w:sz w:val="23"/>
          <w:szCs w:val="23"/>
        </w:rPr>
        <w:t>W</w:t>
      </w:r>
      <w:r>
        <w:rPr>
          <w:rFonts w:ascii="Times New Roman" w:hAnsi="Times New Roman" w:eastAsia="Times New Roman" w:cs="Times New Roman"/>
          <w:spacing w:val="6"/>
          <w:sz w:val="23"/>
          <w:szCs w:val="23"/>
        </w:rPr>
        <w:t>=0.06</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(绝干污泥) ，干化后的污泥含水率取 </w:t>
      </w:r>
      <w:r>
        <w:rPr>
          <w:rFonts w:ascii="Times New Roman" w:hAnsi="Times New Roman" w:eastAsia="Times New Roman" w:cs="Times New Roman"/>
          <w:spacing w:val="6"/>
          <w:sz w:val="23"/>
          <w:szCs w:val="23"/>
        </w:rPr>
        <w:t xml:space="preserve">70% </w:t>
      </w:r>
      <w:r>
        <w:rPr>
          <w:rFonts w:ascii="宋体" w:hAnsi="宋体" w:eastAsia="宋体" w:cs="宋体"/>
          <w:spacing w:val="6"/>
          <w:sz w:val="23"/>
          <w:szCs w:val="23"/>
        </w:rPr>
        <w:t>，则项目生</w:t>
      </w:r>
      <w:r>
        <w:rPr>
          <w:rFonts w:ascii="宋体" w:hAnsi="宋体" w:eastAsia="宋体" w:cs="宋体"/>
          <w:sz w:val="23"/>
          <w:szCs w:val="23"/>
        </w:rPr>
        <w:t xml:space="preserve"> </w:t>
      </w:r>
      <w:r>
        <w:rPr>
          <w:rFonts w:ascii="宋体" w:hAnsi="宋体" w:eastAsia="宋体" w:cs="宋体"/>
          <w:spacing w:val="2"/>
          <w:sz w:val="23"/>
          <w:szCs w:val="23"/>
        </w:rPr>
        <w:t xml:space="preserve">产废水处理产生的污泥量约为 </w:t>
      </w:r>
      <w:r>
        <w:rPr>
          <w:rFonts w:ascii="Times New Roman" w:hAnsi="Times New Roman" w:eastAsia="Times New Roman" w:cs="Times New Roman"/>
          <w:spacing w:val="2"/>
          <w:sz w:val="23"/>
          <w:szCs w:val="23"/>
        </w:rPr>
        <w:t>0.2</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，即 </w:t>
      </w:r>
      <w:r>
        <w:rPr>
          <w:rFonts w:ascii="Times New Roman" w:hAnsi="Times New Roman" w:eastAsia="Times New Roman" w:cs="Times New Roman"/>
          <w:spacing w:val="2"/>
          <w:sz w:val="23"/>
          <w:szCs w:val="23"/>
        </w:rPr>
        <w:t>6</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。项目原料为一般固废，污泥中主</w:t>
      </w:r>
      <w:r>
        <w:rPr>
          <w:rFonts w:ascii="宋体" w:hAnsi="宋体" w:eastAsia="宋体" w:cs="宋体"/>
          <w:sz w:val="23"/>
          <w:szCs w:val="23"/>
        </w:rPr>
        <w:t xml:space="preserve"> </w:t>
      </w:r>
      <w:r>
        <w:rPr>
          <w:rFonts w:ascii="宋体" w:hAnsi="宋体" w:eastAsia="宋体" w:cs="宋体"/>
          <w:spacing w:val="9"/>
          <w:sz w:val="23"/>
          <w:szCs w:val="23"/>
        </w:rPr>
        <w:t>要</w:t>
      </w:r>
      <w:r>
        <w:rPr>
          <w:rFonts w:ascii="宋体" w:hAnsi="宋体" w:eastAsia="宋体" w:cs="宋体"/>
          <w:spacing w:val="7"/>
          <w:sz w:val="23"/>
          <w:szCs w:val="23"/>
        </w:rPr>
        <w:t>成份为泥沙及塑料纤维，属于普通固废，因此该污泥经压滤后可与生活垃圾一</w:t>
      </w:r>
      <w:r>
        <w:rPr>
          <w:rFonts w:ascii="宋体" w:hAnsi="宋体" w:eastAsia="宋体" w:cs="宋体"/>
          <w:sz w:val="23"/>
          <w:szCs w:val="23"/>
        </w:rPr>
        <w:t xml:space="preserve"> </w:t>
      </w:r>
      <w:r>
        <w:rPr>
          <w:rFonts w:ascii="宋体" w:hAnsi="宋体" w:eastAsia="宋体" w:cs="宋体"/>
          <w:spacing w:val="9"/>
          <w:sz w:val="23"/>
          <w:szCs w:val="23"/>
        </w:rPr>
        <w:t>起运送至环卫部门指定地点统一处理</w:t>
      </w:r>
      <w:r>
        <w:rPr>
          <w:rFonts w:ascii="宋体" w:hAnsi="宋体" w:eastAsia="宋体" w:cs="宋体"/>
          <w:spacing w:val="6"/>
          <w:sz w:val="23"/>
          <w:szCs w:val="23"/>
        </w:rPr>
        <w:t>。</w:t>
      </w:r>
    </w:p>
    <w:p w14:paraId="531C0601">
      <w:pPr>
        <w:spacing w:before="174" w:line="225" w:lineRule="auto"/>
        <w:ind w:left="501"/>
        <w:rPr>
          <w:rFonts w:ascii="宋体" w:hAnsi="宋体" w:eastAsia="宋体" w:cs="宋体"/>
          <w:sz w:val="23"/>
          <w:szCs w:val="23"/>
        </w:rPr>
      </w:pPr>
      <w:r>
        <w:rPr>
          <w:rFonts w:ascii="宋体" w:hAnsi="宋体" w:eastAsia="宋体" w:cs="宋体"/>
          <w:spacing w:val="8"/>
          <w:sz w:val="23"/>
          <w:szCs w:val="23"/>
        </w:rPr>
        <w:t>④废滤网</w:t>
      </w:r>
    </w:p>
    <w:p w14:paraId="17F926FD">
      <w:pPr>
        <w:spacing w:line="246" w:lineRule="auto"/>
        <w:rPr>
          <w:rFonts w:ascii="Arial"/>
          <w:sz w:val="21"/>
        </w:rPr>
      </w:pPr>
    </w:p>
    <w:p w14:paraId="48C3A43A">
      <w:pPr>
        <w:spacing w:before="75" w:line="358" w:lineRule="auto"/>
        <w:ind w:left="23" w:right="45" w:firstLine="483"/>
        <w:rPr>
          <w:rFonts w:ascii="宋体" w:hAnsi="宋体" w:eastAsia="宋体" w:cs="宋体"/>
          <w:sz w:val="23"/>
          <w:szCs w:val="23"/>
        </w:rPr>
      </w:pPr>
      <w:r>
        <w:rPr>
          <w:rFonts w:ascii="宋体" w:hAnsi="宋体" w:eastAsia="宋体" w:cs="宋体"/>
          <w:spacing w:val="8"/>
          <w:sz w:val="23"/>
          <w:szCs w:val="23"/>
        </w:rPr>
        <w:t>该项目物料被加热熔融挤出时，要经过铁丝过滤网，过滤掉物料中的杂质</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9"/>
          <w:sz w:val="23"/>
          <w:szCs w:val="23"/>
        </w:rPr>
        <w:t>过</w:t>
      </w:r>
      <w:r>
        <w:rPr>
          <w:rFonts w:ascii="宋体" w:hAnsi="宋体" w:eastAsia="宋体" w:cs="宋体"/>
          <w:spacing w:val="7"/>
          <w:sz w:val="23"/>
          <w:szCs w:val="23"/>
        </w:rPr>
        <w:t>滤网也须要定期更换。根据建设单位提供的资料，生产过程中每年需更换滤网</w:t>
      </w:r>
      <w:r>
        <w:rPr>
          <w:rFonts w:ascii="宋体" w:hAnsi="宋体" w:eastAsia="宋体" w:cs="宋体"/>
          <w:sz w:val="23"/>
          <w:szCs w:val="23"/>
        </w:rPr>
        <w:t xml:space="preserve"> </w:t>
      </w:r>
      <w:r>
        <w:rPr>
          <w:rFonts w:ascii="Times New Roman" w:hAnsi="Times New Roman" w:eastAsia="Times New Roman" w:cs="Times New Roman"/>
          <w:spacing w:val="2"/>
          <w:sz w:val="23"/>
          <w:szCs w:val="23"/>
        </w:rPr>
        <w:t xml:space="preserve">80 </w:t>
      </w:r>
      <w:r>
        <w:rPr>
          <w:rFonts w:ascii="宋体" w:hAnsi="宋体" w:eastAsia="宋体" w:cs="宋体"/>
          <w:spacing w:val="2"/>
          <w:sz w:val="23"/>
          <w:szCs w:val="23"/>
        </w:rPr>
        <w:t xml:space="preserve">个，则废滤网产生量为 </w:t>
      </w:r>
      <w:r>
        <w:rPr>
          <w:rFonts w:ascii="Times New Roman" w:hAnsi="Times New Roman" w:eastAsia="Times New Roman" w:cs="Times New Roman"/>
          <w:spacing w:val="2"/>
          <w:sz w:val="23"/>
          <w:szCs w:val="23"/>
        </w:rPr>
        <w:t xml:space="preserve">80 </w:t>
      </w:r>
      <w:r>
        <w:rPr>
          <w:rFonts w:ascii="宋体" w:hAnsi="宋体" w:eastAsia="宋体" w:cs="宋体"/>
          <w:spacing w:val="2"/>
          <w:sz w:val="23"/>
          <w:szCs w:val="23"/>
        </w:rPr>
        <w:t>个，每个废滤网上均附</w:t>
      </w:r>
      <w:r>
        <w:rPr>
          <w:rFonts w:ascii="宋体" w:hAnsi="宋体" w:eastAsia="宋体" w:cs="宋体"/>
          <w:spacing w:val="1"/>
          <w:sz w:val="23"/>
          <w:szCs w:val="23"/>
        </w:rPr>
        <w:t xml:space="preserve">着一定量的物料，则按 </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 xml:space="preserve"> </w:t>
      </w:r>
      <w:r>
        <w:rPr>
          <w:rFonts w:ascii="宋体" w:hAnsi="宋体" w:eastAsia="宋体" w:cs="宋体"/>
          <w:spacing w:val="5"/>
          <w:sz w:val="23"/>
          <w:szCs w:val="23"/>
        </w:rPr>
        <w:t xml:space="preserve">个计，则废滤网产生量为 </w:t>
      </w:r>
      <w:r>
        <w:rPr>
          <w:rFonts w:ascii="Times New Roman" w:hAnsi="Times New Roman" w:eastAsia="Times New Roman" w:cs="Times New Roman"/>
          <w:spacing w:val="5"/>
          <w:sz w:val="23"/>
          <w:szCs w:val="23"/>
        </w:rPr>
        <w:t>0.8</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。产生的废滤网均由厂家定期回收</w:t>
      </w:r>
      <w:r>
        <w:rPr>
          <w:rFonts w:ascii="宋体" w:hAnsi="宋体" w:eastAsia="宋体" w:cs="宋体"/>
          <w:sz w:val="23"/>
          <w:szCs w:val="23"/>
        </w:rPr>
        <w:t>。</w:t>
      </w:r>
    </w:p>
    <w:p w14:paraId="15A3897A">
      <w:pPr>
        <w:spacing w:before="164" w:line="225" w:lineRule="auto"/>
        <w:ind w:left="501"/>
        <w:rPr>
          <w:rFonts w:ascii="宋体" w:hAnsi="宋体" w:eastAsia="宋体" w:cs="宋体"/>
          <w:sz w:val="23"/>
          <w:szCs w:val="23"/>
        </w:rPr>
      </w:pPr>
      <w:r>
        <w:rPr>
          <w:rFonts w:ascii="宋体" w:hAnsi="宋体" w:eastAsia="宋体" w:cs="宋体"/>
          <w:spacing w:val="18"/>
          <w:sz w:val="23"/>
          <w:szCs w:val="23"/>
        </w:rPr>
        <w:t>⑤</w:t>
      </w:r>
      <w:r>
        <w:rPr>
          <w:rFonts w:ascii="宋体" w:hAnsi="宋体" w:eastAsia="宋体" w:cs="宋体"/>
          <w:spacing w:val="9"/>
          <w:sz w:val="23"/>
          <w:szCs w:val="23"/>
        </w:rPr>
        <w:t>热风炉燃料炉渣及除尘器收集的粉尘</w:t>
      </w:r>
    </w:p>
    <w:p w14:paraId="01770401">
      <w:pPr>
        <w:spacing w:line="278" w:lineRule="auto"/>
        <w:rPr>
          <w:rFonts w:ascii="Arial"/>
          <w:sz w:val="21"/>
        </w:rPr>
      </w:pPr>
    </w:p>
    <w:p w14:paraId="585163BD">
      <w:pPr>
        <w:spacing w:before="75" w:line="385" w:lineRule="auto"/>
        <w:ind w:left="17" w:right="77" w:firstLine="489"/>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14"/>
          <w:sz w:val="23"/>
          <w:szCs w:val="23"/>
        </w:rPr>
        <w:t>目产生的固体废弃物中热风炉燃烧生物质产生的炉渣数量根据生物质燃</w:t>
      </w:r>
      <w:r>
        <w:rPr>
          <w:rFonts w:ascii="宋体" w:hAnsi="宋体" w:eastAsia="宋体" w:cs="宋体"/>
          <w:sz w:val="23"/>
          <w:szCs w:val="23"/>
        </w:rPr>
        <w:t xml:space="preserve"> </w:t>
      </w:r>
      <w:r>
        <w:rPr>
          <w:rFonts w:ascii="宋体" w:hAnsi="宋体" w:eastAsia="宋体" w:cs="宋体"/>
          <w:spacing w:val="4"/>
          <w:sz w:val="23"/>
          <w:szCs w:val="23"/>
        </w:rPr>
        <w:t xml:space="preserve">料干燥基灰分含量为 </w:t>
      </w:r>
      <w:r>
        <w:rPr>
          <w:rFonts w:ascii="Times New Roman" w:hAnsi="Times New Roman" w:eastAsia="Times New Roman" w:cs="Times New Roman"/>
          <w:spacing w:val="4"/>
          <w:sz w:val="23"/>
          <w:szCs w:val="23"/>
        </w:rPr>
        <w:t>7.24</w:t>
      </w:r>
      <w:r>
        <w:rPr>
          <w:rFonts w:ascii="Times New Roman" w:hAnsi="Times New Roman" w:eastAsia="Times New Roman" w:cs="Times New Roman"/>
          <w:spacing w:val="2"/>
          <w:sz w:val="23"/>
          <w:szCs w:val="23"/>
        </w:rPr>
        <w:t>%</w:t>
      </w:r>
      <w:r>
        <w:rPr>
          <w:rFonts w:ascii="宋体" w:hAnsi="宋体" w:eastAsia="宋体" w:cs="宋体"/>
          <w:spacing w:val="2"/>
          <w:sz w:val="23"/>
          <w:szCs w:val="23"/>
        </w:rPr>
        <w:t xml:space="preserve">计算，项目年消耗生物质燃料 </w:t>
      </w:r>
      <w:r>
        <w:rPr>
          <w:rFonts w:ascii="Times New Roman" w:hAnsi="Times New Roman" w:eastAsia="Times New Roman" w:cs="Times New Roman"/>
          <w:spacing w:val="2"/>
          <w:sz w:val="23"/>
          <w:szCs w:val="23"/>
        </w:rPr>
        <w:t>674. 1</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，炉渣产生量为</w:t>
      </w:r>
      <w:r>
        <w:rPr>
          <w:rFonts w:ascii="宋体" w:hAnsi="宋体" w:eastAsia="宋体" w:cs="宋体"/>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6"/>
          <w:sz w:val="23"/>
          <w:szCs w:val="23"/>
        </w:rPr>
        <w:t>8.8</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a</w:t>
      </w:r>
      <w:r>
        <w:rPr>
          <w:rFonts w:ascii="宋体" w:hAnsi="宋体" w:eastAsia="宋体" w:cs="宋体"/>
          <w:spacing w:val="6"/>
          <w:sz w:val="23"/>
          <w:szCs w:val="23"/>
        </w:rPr>
        <w:t xml:space="preserve">；灰渣数量根据项目设计除尘器除尘效率不小于 </w:t>
      </w:r>
      <w:r>
        <w:rPr>
          <w:rFonts w:ascii="Times New Roman" w:hAnsi="Times New Roman" w:eastAsia="Times New Roman" w:cs="Times New Roman"/>
          <w:spacing w:val="6"/>
          <w:sz w:val="23"/>
          <w:szCs w:val="23"/>
        </w:rPr>
        <w:t>99%</w:t>
      </w:r>
      <w:r>
        <w:rPr>
          <w:rFonts w:ascii="宋体" w:hAnsi="宋体" w:eastAsia="宋体" w:cs="宋体"/>
          <w:spacing w:val="6"/>
          <w:sz w:val="23"/>
          <w:szCs w:val="23"/>
        </w:rPr>
        <w:t>计算，除尘灰渣产生</w:t>
      </w:r>
      <w:r>
        <w:rPr>
          <w:rFonts w:ascii="宋体" w:hAnsi="宋体" w:eastAsia="宋体" w:cs="宋体"/>
          <w:sz w:val="23"/>
          <w:szCs w:val="23"/>
        </w:rPr>
        <w:t xml:space="preserve"> </w:t>
      </w:r>
      <w:r>
        <w:rPr>
          <w:rFonts w:ascii="宋体" w:hAnsi="宋体" w:eastAsia="宋体" w:cs="宋体"/>
          <w:spacing w:val="5"/>
          <w:sz w:val="23"/>
          <w:szCs w:val="23"/>
        </w:rPr>
        <w:t xml:space="preserve">量为 </w:t>
      </w:r>
      <w:r>
        <w:rPr>
          <w:rFonts w:ascii="Times New Roman" w:hAnsi="Times New Roman" w:eastAsia="Times New Roman" w:cs="Times New Roman"/>
          <w:spacing w:val="5"/>
          <w:sz w:val="23"/>
          <w:szCs w:val="23"/>
        </w:rPr>
        <w:t>0.337</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。炉渣及粉尘收集后定期外卖给农肥厂进行综合利用</w:t>
      </w:r>
      <w:r>
        <w:rPr>
          <w:rFonts w:ascii="宋体" w:hAnsi="宋体" w:eastAsia="宋体" w:cs="宋体"/>
          <w:spacing w:val="1"/>
          <w:sz w:val="23"/>
          <w:szCs w:val="23"/>
        </w:rPr>
        <w:t>。</w:t>
      </w:r>
    </w:p>
    <w:p w14:paraId="087FCDA3">
      <w:pPr>
        <w:spacing w:before="127" w:line="612" w:lineRule="exact"/>
        <w:ind w:left="501"/>
        <w:rPr>
          <w:rFonts w:ascii="宋体" w:hAnsi="宋体" w:eastAsia="宋体" w:cs="宋体"/>
          <w:sz w:val="23"/>
          <w:szCs w:val="23"/>
        </w:rPr>
      </w:pPr>
      <w:r>
        <w:rPr>
          <w:rFonts w:ascii="宋体" w:hAnsi="宋体" w:eastAsia="宋体" w:cs="宋体"/>
          <w:spacing w:val="10"/>
          <w:position w:val="29"/>
          <w:sz w:val="23"/>
          <w:szCs w:val="23"/>
        </w:rPr>
        <w:t>⑥</w:t>
      </w:r>
      <w:r>
        <w:rPr>
          <w:rFonts w:ascii="宋体" w:hAnsi="宋体" w:eastAsia="宋体" w:cs="宋体"/>
          <w:spacing w:val="8"/>
          <w:position w:val="29"/>
          <w:sz w:val="23"/>
          <w:szCs w:val="23"/>
        </w:rPr>
        <w:t>危险废物</w:t>
      </w:r>
    </w:p>
    <w:p w14:paraId="350C4A96">
      <w:pPr>
        <w:spacing w:line="228" w:lineRule="auto"/>
        <w:ind w:left="496"/>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1"/>
          <w:sz w:val="23"/>
          <w:szCs w:val="23"/>
        </w:rPr>
        <w:t>.</w:t>
      </w:r>
      <w:r>
        <w:rPr>
          <w:rFonts w:ascii="宋体" w:hAnsi="宋体" w:eastAsia="宋体" w:cs="宋体"/>
          <w:spacing w:val="9"/>
          <w:sz w:val="23"/>
          <w:szCs w:val="23"/>
        </w:rPr>
        <w:t>废活性炭</w:t>
      </w:r>
    </w:p>
    <w:p w14:paraId="764B9237">
      <w:pPr>
        <w:spacing w:line="258" w:lineRule="auto"/>
        <w:rPr>
          <w:rFonts w:ascii="Arial"/>
          <w:sz w:val="21"/>
        </w:rPr>
      </w:pPr>
    </w:p>
    <w:p w14:paraId="32BC8A7A">
      <w:pPr>
        <w:spacing w:before="75" w:line="366" w:lineRule="auto"/>
        <w:ind w:left="23" w:right="72" w:firstLine="480"/>
        <w:rPr>
          <w:rFonts w:ascii="宋体" w:hAnsi="宋体" w:eastAsia="宋体" w:cs="宋体"/>
          <w:sz w:val="23"/>
          <w:szCs w:val="23"/>
        </w:rPr>
      </w:pPr>
      <w:r>
        <w:rPr>
          <w:rFonts w:ascii="宋体" w:hAnsi="宋体" w:eastAsia="宋体" w:cs="宋体"/>
          <w:spacing w:val="14"/>
          <w:sz w:val="23"/>
          <w:szCs w:val="23"/>
        </w:rPr>
        <w:t>根据工程分析可知，该项目进入活性炭吸附装置的非甲烷总烃量为速率</w:t>
      </w:r>
      <w:r>
        <w:rPr>
          <w:rFonts w:ascii="宋体" w:hAnsi="宋体" w:eastAsia="宋体" w:cs="宋体"/>
          <w:spacing w:val="11"/>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18"/>
          <w:sz w:val="23"/>
          <w:szCs w:val="23"/>
        </w:rPr>
        <w:t>5.</w:t>
      </w:r>
      <w:r>
        <w:rPr>
          <w:rFonts w:ascii="Times New Roman" w:hAnsi="Times New Roman" w:eastAsia="Times New Roman" w:cs="Times New Roman"/>
          <w:spacing w:val="10"/>
          <w:sz w:val="23"/>
          <w:szCs w:val="23"/>
        </w:rPr>
        <w:t>3</w:t>
      </w:r>
      <w:r>
        <w:rPr>
          <w:rFonts w:ascii="Times New Roman" w:hAnsi="Times New Roman" w:eastAsia="Times New Roman" w:cs="Times New Roman"/>
          <w:spacing w:val="9"/>
          <w:sz w:val="23"/>
          <w:szCs w:val="23"/>
        </w:rPr>
        <w:t>6</w:t>
      </w:r>
      <w:r>
        <w:rPr>
          <w:rFonts w:ascii="Times New Roman" w:hAnsi="Times New Roman" w:eastAsia="Times New Roman" w:cs="Times New Roman"/>
          <w:sz w:val="23"/>
          <w:szCs w:val="23"/>
        </w:rPr>
        <w:t>t</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，即 </w:t>
      </w:r>
      <w:r>
        <w:rPr>
          <w:rFonts w:ascii="Times New Roman" w:hAnsi="Times New Roman" w:eastAsia="Times New Roman" w:cs="Times New Roman"/>
          <w:spacing w:val="9"/>
          <w:sz w:val="23"/>
          <w:szCs w:val="23"/>
        </w:rPr>
        <w:t>0.74</w:t>
      </w:r>
      <w:r>
        <w:rPr>
          <w:rFonts w:ascii="Times New Roman" w:hAnsi="Times New Roman" w:eastAsia="Times New Roman" w:cs="Times New Roman"/>
          <w:sz w:val="23"/>
          <w:szCs w:val="23"/>
        </w:rPr>
        <w:t>kg</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h</w:t>
      </w:r>
      <w:r>
        <w:rPr>
          <w:rFonts w:ascii="宋体" w:hAnsi="宋体" w:eastAsia="宋体" w:cs="宋体"/>
          <w:spacing w:val="9"/>
          <w:sz w:val="23"/>
          <w:szCs w:val="23"/>
        </w:rPr>
        <w:t xml:space="preserve">。每 </w:t>
      </w:r>
      <w:r>
        <w:rPr>
          <w:rFonts w:ascii="Times New Roman" w:hAnsi="Times New Roman" w:eastAsia="Times New Roman" w:cs="Times New Roman"/>
          <w:spacing w:val="9"/>
          <w:sz w:val="23"/>
          <w:szCs w:val="23"/>
        </w:rPr>
        <w:t>1</w:t>
      </w:r>
      <w:r>
        <w:rPr>
          <w:rFonts w:ascii="Times New Roman" w:hAnsi="Times New Roman" w:eastAsia="Times New Roman" w:cs="Times New Roman"/>
          <w:sz w:val="23"/>
          <w:szCs w:val="23"/>
        </w:rPr>
        <w:t>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活性炭可吸附 </w:t>
      </w:r>
      <w:r>
        <w:rPr>
          <w:rFonts w:ascii="Times New Roman" w:hAnsi="Times New Roman" w:eastAsia="Times New Roman" w:cs="Times New Roman"/>
          <w:spacing w:val="9"/>
          <w:sz w:val="23"/>
          <w:szCs w:val="23"/>
        </w:rPr>
        <w:t>600</w:t>
      </w:r>
      <w:r>
        <w:rPr>
          <w:rFonts w:ascii="Times New Roman" w:hAnsi="Times New Roman" w:eastAsia="Times New Roman" w:cs="Times New Roman"/>
          <w:sz w:val="23"/>
          <w:szCs w:val="23"/>
        </w:rPr>
        <w:t>mg</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的有机废气，则该项目年使</w:t>
      </w:r>
      <w:r>
        <w:rPr>
          <w:rFonts w:ascii="宋体" w:hAnsi="宋体" w:eastAsia="宋体" w:cs="宋体"/>
          <w:sz w:val="23"/>
          <w:szCs w:val="23"/>
        </w:rPr>
        <w:t xml:space="preserve"> </w:t>
      </w:r>
      <w:r>
        <w:rPr>
          <w:rFonts w:ascii="宋体" w:hAnsi="宋体" w:eastAsia="宋体" w:cs="宋体"/>
          <w:spacing w:val="2"/>
          <w:sz w:val="23"/>
          <w:szCs w:val="23"/>
        </w:rPr>
        <w:t xml:space="preserve">用活性炭约 </w:t>
      </w:r>
      <w:r>
        <w:rPr>
          <w:rFonts w:ascii="Times New Roman" w:hAnsi="Times New Roman" w:eastAsia="Times New Roman" w:cs="Times New Roman"/>
          <w:spacing w:val="2"/>
          <w:sz w:val="23"/>
          <w:szCs w:val="23"/>
        </w:rPr>
        <w:t>3.22</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，产生的废活性炭约 </w:t>
      </w:r>
      <w:r>
        <w:rPr>
          <w:rFonts w:ascii="Times New Roman" w:hAnsi="Times New Roman" w:eastAsia="Times New Roman" w:cs="Times New Roman"/>
          <w:spacing w:val="2"/>
          <w:sz w:val="23"/>
          <w:szCs w:val="23"/>
        </w:rPr>
        <w:t>3.22</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。根据《</w:t>
      </w:r>
      <w:r>
        <w:rPr>
          <w:rFonts w:ascii="宋体" w:hAnsi="宋体" w:eastAsia="宋体" w:cs="宋体"/>
          <w:spacing w:val="1"/>
          <w:sz w:val="23"/>
          <w:szCs w:val="23"/>
        </w:rPr>
        <w:t>国家危险废物名录》  (环</w:t>
      </w:r>
      <w:r>
        <w:rPr>
          <w:rFonts w:ascii="宋体" w:hAnsi="宋体" w:eastAsia="宋体" w:cs="宋体"/>
          <w:sz w:val="23"/>
          <w:szCs w:val="23"/>
        </w:rPr>
        <w:t xml:space="preserve"> </w:t>
      </w:r>
      <w:r>
        <w:rPr>
          <w:rFonts w:ascii="宋体" w:hAnsi="宋体" w:eastAsia="宋体" w:cs="宋体"/>
          <w:spacing w:val="-1"/>
          <w:sz w:val="23"/>
          <w:szCs w:val="23"/>
        </w:rPr>
        <w:t>境保护部部令</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39 </w:t>
      </w:r>
      <w:r>
        <w:rPr>
          <w:rFonts w:ascii="宋体" w:hAnsi="宋体" w:eastAsia="宋体" w:cs="宋体"/>
          <w:sz w:val="23"/>
          <w:szCs w:val="23"/>
        </w:rPr>
        <w:t xml:space="preserve">号， 自 </w:t>
      </w:r>
      <w:r>
        <w:rPr>
          <w:rFonts w:ascii="Times New Roman" w:hAnsi="Times New Roman" w:eastAsia="Times New Roman" w:cs="Times New Roman"/>
          <w:sz w:val="23"/>
          <w:szCs w:val="23"/>
        </w:rPr>
        <w:t xml:space="preserve">2016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8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日起施行) ，废活性炭属于</w:t>
      </w:r>
      <w:r>
        <w:rPr>
          <w:rFonts w:ascii="Times New Roman" w:hAnsi="Times New Roman" w:eastAsia="Times New Roman" w:cs="Times New Roman"/>
          <w:sz w:val="23"/>
          <w:szCs w:val="23"/>
        </w:rPr>
        <w:t xml:space="preserve">“HW49  </w:t>
      </w:r>
      <w:r>
        <w:rPr>
          <w:rFonts w:ascii="宋体" w:hAnsi="宋体" w:eastAsia="宋体" w:cs="宋体"/>
          <w:sz w:val="23"/>
          <w:szCs w:val="23"/>
        </w:rPr>
        <w:t xml:space="preserve">其 </w:t>
      </w:r>
      <w:r>
        <w:rPr>
          <w:rFonts w:ascii="宋体" w:hAnsi="宋体" w:eastAsia="宋体" w:cs="宋体"/>
          <w:spacing w:val="4"/>
          <w:sz w:val="23"/>
          <w:szCs w:val="23"/>
        </w:rPr>
        <w:t>他废物</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，废物代码为 </w:t>
      </w:r>
      <w:r>
        <w:rPr>
          <w:rFonts w:ascii="Times New Roman" w:hAnsi="Times New Roman" w:eastAsia="Times New Roman" w:cs="Times New Roman"/>
          <w:spacing w:val="4"/>
          <w:sz w:val="23"/>
          <w:szCs w:val="23"/>
        </w:rPr>
        <w:t>900-0</w:t>
      </w:r>
      <w:r>
        <w:rPr>
          <w:rFonts w:ascii="Times New Roman" w:hAnsi="Times New Roman" w:eastAsia="Times New Roman" w:cs="Times New Roman"/>
          <w:spacing w:val="2"/>
          <w:sz w:val="23"/>
          <w:szCs w:val="23"/>
        </w:rPr>
        <w:t xml:space="preserve">41-49 </w:t>
      </w:r>
      <w:r>
        <w:rPr>
          <w:rFonts w:ascii="宋体" w:hAnsi="宋体" w:eastAsia="宋体" w:cs="宋体"/>
          <w:spacing w:val="2"/>
          <w:sz w:val="23"/>
          <w:szCs w:val="23"/>
        </w:rPr>
        <w:t>，即</w:t>
      </w:r>
      <w:r>
        <w:rPr>
          <w:rFonts w:ascii="Times New Roman" w:hAnsi="Times New Roman" w:eastAsia="Times New Roman" w:cs="Times New Roman"/>
          <w:spacing w:val="2"/>
          <w:sz w:val="23"/>
          <w:szCs w:val="23"/>
        </w:rPr>
        <w:t>“</w:t>
      </w:r>
      <w:r>
        <w:rPr>
          <w:rFonts w:ascii="宋体" w:hAnsi="宋体" w:eastAsia="宋体" w:cs="宋体"/>
          <w:spacing w:val="2"/>
          <w:sz w:val="23"/>
          <w:szCs w:val="23"/>
        </w:rPr>
        <w:t>含有或沾染毒性、感染性危险废物的废弃</w:t>
      </w:r>
    </w:p>
    <w:p w14:paraId="7816C3C7">
      <w:pPr>
        <w:sectPr>
          <w:headerReference r:id="rId141" w:type="default"/>
          <w:footerReference r:id="rId142" w:type="default"/>
          <w:pgSz w:w="11906" w:h="16839"/>
          <w:pgMar w:top="1132" w:right="1719" w:bottom="1182" w:left="1785" w:header="878" w:footer="1022" w:gutter="0"/>
          <w:cols w:space="720" w:num="1"/>
        </w:sectPr>
      </w:pPr>
    </w:p>
    <w:p w14:paraId="038C7A94">
      <w:pPr>
        <w:spacing w:line="391" w:lineRule="auto"/>
        <w:rPr>
          <w:rFonts w:ascii="Arial"/>
          <w:sz w:val="21"/>
        </w:rPr>
      </w:pPr>
      <w:r>
        <w:pict>
          <v:shape id="_x0000_s1205" o:spid="_x0000_s1205" style="position:absolute;left:0pt;margin-left:90pt;margin-top:57.35pt;height:0.75pt;width:415.3pt;mso-position-horizontal-relative:page;mso-position-vertical-relative:page;z-index:251856896;mso-width-relative:page;mso-height-relative:page;" fillcolor="#000000" filled="t" stroked="f" coordsize="8305,15" o:allowincell="f" path="m0,0l8305,0,8305,14,0,14,0,0xe">
            <v:path/>
            <v:fill on="t" focussize="0,0"/>
            <v:stroke on="f"/>
            <v:imagedata o:title=""/>
            <o:lock v:ext="edit"/>
          </v:shape>
        </w:pict>
      </w:r>
    </w:p>
    <w:p w14:paraId="0FB36EBD">
      <w:pPr>
        <w:spacing w:before="75" w:line="376" w:lineRule="auto"/>
        <w:ind w:left="118" w:right="100" w:hanging="1"/>
        <w:rPr>
          <w:rFonts w:ascii="宋体" w:hAnsi="宋体" w:eastAsia="宋体" w:cs="宋体"/>
          <w:sz w:val="23"/>
          <w:szCs w:val="23"/>
        </w:rPr>
      </w:pPr>
      <w:r>
        <w:rPr>
          <w:rFonts w:ascii="宋体" w:hAnsi="宋体" w:eastAsia="宋体" w:cs="宋体"/>
          <w:spacing w:val="8"/>
          <w:sz w:val="23"/>
          <w:szCs w:val="23"/>
        </w:rPr>
        <w:t>包装物、</w:t>
      </w:r>
      <w:r>
        <w:rPr>
          <w:rFonts w:ascii="宋体" w:hAnsi="宋体" w:eastAsia="宋体" w:cs="宋体"/>
          <w:spacing w:val="6"/>
          <w:sz w:val="23"/>
          <w:szCs w:val="23"/>
        </w:rPr>
        <w:t>容</w:t>
      </w:r>
      <w:r>
        <w:rPr>
          <w:rFonts w:ascii="宋体" w:hAnsi="宋体" w:eastAsia="宋体" w:cs="宋体"/>
          <w:spacing w:val="4"/>
          <w:sz w:val="23"/>
          <w:szCs w:val="23"/>
        </w:rPr>
        <w:t>器、过滤吸附介质</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(毒性) ，</w:t>
      </w:r>
      <w:r>
        <w:rPr>
          <w:rFonts w:ascii="Times New Roman" w:hAnsi="Times New Roman" w:eastAsia="Times New Roman" w:cs="Times New Roman"/>
          <w:sz w:val="23"/>
          <w:szCs w:val="23"/>
        </w:rPr>
        <w:t>In</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(感染性) </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。建设</w:t>
      </w:r>
      <w:r>
        <w:rPr>
          <w:rFonts w:ascii="宋体" w:hAnsi="宋体" w:eastAsia="宋体" w:cs="宋体"/>
          <w:sz w:val="23"/>
          <w:szCs w:val="23"/>
        </w:rPr>
        <w:t xml:space="preserve"> </w:t>
      </w:r>
      <w:r>
        <w:rPr>
          <w:rFonts w:ascii="宋体" w:hAnsi="宋体" w:eastAsia="宋体" w:cs="宋体"/>
          <w:spacing w:val="7"/>
          <w:sz w:val="23"/>
          <w:szCs w:val="23"/>
        </w:rPr>
        <w:t>单位应将废活性炭集中收集后存放在固定容器中单独存放，积攒到一定数量后交</w:t>
      </w:r>
      <w:r>
        <w:rPr>
          <w:rFonts w:ascii="宋体" w:hAnsi="宋体" w:eastAsia="宋体" w:cs="宋体"/>
          <w:sz w:val="23"/>
          <w:szCs w:val="23"/>
        </w:rPr>
        <w:t xml:space="preserve"> </w:t>
      </w:r>
      <w:r>
        <w:rPr>
          <w:rFonts w:ascii="宋体" w:hAnsi="宋体" w:eastAsia="宋体" w:cs="宋体"/>
          <w:spacing w:val="13"/>
          <w:sz w:val="23"/>
          <w:szCs w:val="23"/>
        </w:rPr>
        <w:t>由</w:t>
      </w:r>
      <w:r>
        <w:rPr>
          <w:rFonts w:ascii="宋体" w:hAnsi="宋体" w:eastAsia="宋体" w:cs="宋体"/>
          <w:spacing w:val="9"/>
          <w:sz w:val="23"/>
          <w:szCs w:val="23"/>
        </w:rPr>
        <w:t>有资质单位处理，禁止作为一般固体废物随意丢弃排放。</w:t>
      </w:r>
    </w:p>
    <w:p w14:paraId="4C9000F2">
      <w:pPr>
        <w:spacing w:before="131" w:line="227" w:lineRule="auto"/>
        <w:ind w:left="592"/>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2"/>
          <w:sz w:val="23"/>
          <w:szCs w:val="23"/>
        </w:rPr>
        <w:t>.</w:t>
      </w:r>
      <w:r>
        <w:rPr>
          <w:rFonts w:ascii="宋体" w:hAnsi="宋体" w:eastAsia="宋体" w:cs="宋体"/>
          <w:spacing w:val="2"/>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光</w:t>
      </w:r>
      <w:r>
        <w:rPr>
          <w:rFonts w:ascii="宋体" w:hAnsi="宋体" w:eastAsia="宋体" w:cs="宋体"/>
          <w:spacing w:val="1"/>
          <w:sz w:val="23"/>
          <w:szCs w:val="23"/>
        </w:rPr>
        <w:t>解灯管</w:t>
      </w:r>
    </w:p>
    <w:p w14:paraId="4BC5333A">
      <w:pPr>
        <w:spacing w:before="91" w:line="380" w:lineRule="auto"/>
        <w:ind w:left="116" w:right="102" w:firstLine="484"/>
        <w:rPr>
          <w:rFonts w:ascii="宋体" w:hAnsi="宋体" w:eastAsia="宋体" w:cs="宋体"/>
          <w:sz w:val="23"/>
          <w:szCs w:val="23"/>
        </w:rPr>
      </w:pPr>
      <w:r>
        <w:rPr>
          <w:rFonts w:ascii="宋体" w:hAnsi="宋体" w:eastAsia="宋体" w:cs="宋体"/>
          <w:spacing w:val="-1"/>
          <w:sz w:val="23"/>
          <w:szCs w:val="23"/>
        </w:rPr>
        <w:t xml:space="preserve">该项目所设 </w:t>
      </w:r>
      <w:r>
        <w:rPr>
          <w:rFonts w:ascii="Times New Roman" w:hAnsi="Times New Roman" w:eastAsia="Times New Roman" w:cs="Times New Roman"/>
          <w:sz w:val="23"/>
          <w:szCs w:val="23"/>
        </w:rPr>
        <w:t>UV</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光氧催化废气处理装置风量为 </w:t>
      </w:r>
      <w:r>
        <w:rPr>
          <w:rFonts w:ascii="Times New Roman" w:hAnsi="Times New Roman" w:eastAsia="Times New Roman" w:cs="Times New Roman"/>
          <w:spacing w:val="-1"/>
          <w:sz w:val="23"/>
          <w:szCs w:val="23"/>
        </w:rPr>
        <w:t>5</w:t>
      </w:r>
      <w:r>
        <w:rPr>
          <w:rFonts w:ascii="Times New Roman" w:hAnsi="Times New Roman" w:eastAsia="Times New Roman" w:cs="Times New Roman"/>
          <w:sz w:val="23"/>
          <w:szCs w:val="23"/>
        </w:rPr>
        <w:t>000m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/h</w:t>
      </w:r>
      <w:r>
        <w:rPr>
          <w:rFonts w:ascii="宋体" w:hAnsi="宋体" w:eastAsia="宋体" w:cs="宋体"/>
          <w:sz w:val="23"/>
          <w:szCs w:val="23"/>
        </w:rPr>
        <w:t xml:space="preserve">，共设 </w:t>
      </w:r>
      <w:r>
        <w:rPr>
          <w:rFonts w:ascii="Times New Roman" w:hAnsi="Times New Roman" w:eastAsia="Times New Roman" w:cs="Times New Roman"/>
          <w:sz w:val="23"/>
          <w:szCs w:val="23"/>
        </w:rPr>
        <w:t xml:space="preserve">20 </w:t>
      </w:r>
      <w:r>
        <w:rPr>
          <w:rFonts w:ascii="宋体" w:hAnsi="宋体" w:eastAsia="宋体" w:cs="宋体"/>
          <w:sz w:val="23"/>
          <w:szCs w:val="23"/>
        </w:rPr>
        <w:t xml:space="preserve">根 </w:t>
      </w:r>
      <w:r>
        <w:rPr>
          <w:rFonts w:ascii="Times New Roman" w:hAnsi="Times New Roman" w:eastAsia="Times New Roman" w:cs="Times New Roman"/>
          <w:sz w:val="23"/>
          <w:szCs w:val="23"/>
        </w:rPr>
        <w:t xml:space="preserve">uv </w:t>
      </w:r>
      <w:r>
        <w:rPr>
          <w:rFonts w:ascii="宋体" w:hAnsi="宋体" w:eastAsia="宋体" w:cs="宋体"/>
          <w:sz w:val="23"/>
          <w:szCs w:val="23"/>
        </w:rPr>
        <w:t xml:space="preserve">光解 </w:t>
      </w:r>
      <w:r>
        <w:rPr>
          <w:rFonts w:ascii="宋体" w:hAnsi="宋体" w:eastAsia="宋体" w:cs="宋体"/>
          <w:spacing w:val="10"/>
          <w:sz w:val="23"/>
          <w:szCs w:val="23"/>
        </w:rPr>
        <w:t>灯</w:t>
      </w:r>
      <w:r>
        <w:rPr>
          <w:rFonts w:ascii="宋体" w:hAnsi="宋体" w:eastAsia="宋体" w:cs="宋体"/>
          <w:spacing w:val="5"/>
          <w:sz w:val="23"/>
          <w:szCs w:val="23"/>
        </w:rPr>
        <w:t>管，根据建设单位提供的材料，</w:t>
      </w:r>
      <w:r>
        <w:rPr>
          <w:rFonts w:ascii="Times New Roman" w:hAnsi="Times New Roman" w:eastAsia="Times New Roman" w:cs="Times New Roman"/>
          <w:sz w:val="23"/>
          <w:szCs w:val="23"/>
        </w:rPr>
        <w:t>uv</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光解灯管每年更换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次，则废 </w:t>
      </w:r>
      <w:r>
        <w:rPr>
          <w:rFonts w:ascii="Times New Roman" w:hAnsi="Times New Roman" w:eastAsia="Times New Roman" w:cs="Times New Roman"/>
          <w:sz w:val="23"/>
          <w:szCs w:val="23"/>
        </w:rPr>
        <w:t>uv</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光解灯管</w:t>
      </w:r>
      <w:r>
        <w:rPr>
          <w:rFonts w:ascii="宋体" w:hAnsi="宋体" w:eastAsia="宋体" w:cs="宋体"/>
          <w:sz w:val="23"/>
          <w:szCs w:val="23"/>
        </w:rPr>
        <w:t xml:space="preserve"> </w:t>
      </w:r>
      <w:r>
        <w:rPr>
          <w:rFonts w:ascii="宋体" w:hAnsi="宋体" w:eastAsia="宋体" w:cs="宋体"/>
          <w:spacing w:val="-1"/>
          <w:sz w:val="23"/>
          <w:szCs w:val="23"/>
        </w:rPr>
        <w:t xml:space="preserve">产生量为 </w:t>
      </w:r>
      <w:r>
        <w:rPr>
          <w:rFonts w:ascii="Times New Roman" w:hAnsi="Times New Roman" w:eastAsia="Times New Roman" w:cs="Times New Roman"/>
          <w:spacing w:val="-1"/>
          <w:sz w:val="23"/>
          <w:szCs w:val="23"/>
        </w:rPr>
        <w:t xml:space="preserve">20 </w:t>
      </w:r>
      <w:r>
        <w:rPr>
          <w:rFonts w:ascii="宋体" w:hAnsi="宋体" w:eastAsia="宋体" w:cs="宋体"/>
          <w:spacing w:val="-1"/>
          <w:sz w:val="23"/>
          <w:szCs w:val="23"/>
        </w:rPr>
        <w:t>根</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，约 </w:t>
      </w:r>
      <w:r>
        <w:rPr>
          <w:rFonts w:ascii="Times New Roman" w:hAnsi="Times New Roman" w:eastAsia="Times New Roman" w:cs="Times New Roman"/>
          <w:spacing w:val="-1"/>
          <w:sz w:val="23"/>
          <w:szCs w:val="23"/>
        </w:rPr>
        <w:t>0.4</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。根据《国家危险废物</w:t>
      </w:r>
      <w:r>
        <w:rPr>
          <w:rFonts w:ascii="宋体" w:hAnsi="宋体" w:eastAsia="宋体" w:cs="宋体"/>
          <w:sz w:val="23"/>
          <w:szCs w:val="23"/>
        </w:rPr>
        <w:t xml:space="preserve">名录》 (环境保护部部令第 </w:t>
      </w:r>
      <w:r>
        <w:rPr>
          <w:rFonts w:ascii="Times New Roman" w:hAnsi="Times New Roman" w:eastAsia="Times New Roman" w:cs="Times New Roman"/>
          <w:sz w:val="23"/>
          <w:szCs w:val="23"/>
        </w:rPr>
        <w:t xml:space="preserve">39 </w:t>
      </w:r>
      <w:r>
        <w:rPr>
          <w:rFonts w:ascii="宋体" w:hAnsi="宋体" w:eastAsia="宋体" w:cs="宋体"/>
          <w:spacing w:val="1"/>
          <w:sz w:val="23"/>
          <w:szCs w:val="23"/>
        </w:rPr>
        <w:t xml:space="preserve">号，自 </w:t>
      </w:r>
      <w:r>
        <w:rPr>
          <w:rFonts w:ascii="Times New Roman" w:hAnsi="Times New Roman" w:eastAsia="Times New Roman" w:cs="Times New Roman"/>
          <w:spacing w:val="1"/>
          <w:sz w:val="23"/>
          <w:szCs w:val="23"/>
        </w:rPr>
        <w:t>2016</w:t>
      </w:r>
      <w:r>
        <w:rPr>
          <w:rFonts w:ascii="Times New Roman" w:hAnsi="Times New Roman" w:eastAsia="Times New Roman" w:cs="Times New Roman"/>
          <w:sz w:val="23"/>
          <w:szCs w:val="23"/>
        </w:rPr>
        <w:t xml:space="preserve">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8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日起施行) ，废 </w:t>
      </w:r>
      <w:r>
        <w:rPr>
          <w:rFonts w:ascii="Times New Roman" w:hAnsi="Times New Roman" w:eastAsia="Times New Roman" w:cs="Times New Roman"/>
          <w:sz w:val="23"/>
          <w:szCs w:val="23"/>
        </w:rPr>
        <w:t xml:space="preserve">uv </w:t>
      </w:r>
      <w:r>
        <w:rPr>
          <w:rFonts w:ascii="宋体" w:hAnsi="宋体" w:eastAsia="宋体" w:cs="宋体"/>
          <w:sz w:val="23"/>
          <w:szCs w:val="23"/>
        </w:rPr>
        <w:t>光解灯管属于</w:t>
      </w:r>
      <w:r>
        <w:rPr>
          <w:rFonts w:ascii="Times New Roman" w:hAnsi="Times New Roman" w:eastAsia="Times New Roman" w:cs="Times New Roman"/>
          <w:sz w:val="23"/>
          <w:szCs w:val="23"/>
        </w:rPr>
        <w:t xml:space="preserve">“HW29  </w:t>
      </w:r>
      <w:r>
        <w:rPr>
          <w:rFonts w:ascii="宋体" w:hAnsi="宋体" w:eastAsia="宋体" w:cs="宋体"/>
          <w:sz w:val="23"/>
          <w:szCs w:val="23"/>
        </w:rPr>
        <w:t>含汞废物</w:t>
      </w:r>
      <w:r>
        <w:rPr>
          <w:rFonts w:ascii="Times New Roman" w:hAnsi="Times New Roman" w:eastAsia="Times New Roman" w:cs="Times New Roman"/>
          <w:sz w:val="23"/>
          <w:szCs w:val="23"/>
        </w:rPr>
        <w:t>”</w:t>
      </w:r>
      <w:r>
        <w:rPr>
          <w:rFonts w:ascii="宋体" w:hAnsi="宋体" w:eastAsia="宋体" w:cs="宋体"/>
          <w:sz w:val="23"/>
          <w:szCs w:val="23"/>
        </w:rPr>
        <w:t xml:space="preserve">，废物 </w:t>
      </w:r>
      <w:r>
        <w:rPr>
          <w:rFonts w:ascii="宋体" w:hAnsi="宋体" w:eastAsia="宋体" w:cs="宋体"/>
          <w:spacing w:val="12"/>
          <w:sz w:val="23"/>
          <w:szCs w:val="23"/>
        </w:rPr>
        <w:t xml:space="preserve">代码为 </w:t>
      </w:r>
      <w:r>
        <w:rPr>
          <w:rFonts w:ascii="Times New Roman" w:hAnsi="Times New Roman" w:eastAsia="Times New Roman" w:cs="Times New Roman"/>
          <w:spacing w:val="12"/>
          <w:sz w:val="23"/>
          <w:szCs w:val="23"/>
        </w:rPr>
        <w:t>9</w:t>
      </w:r>
      <w:r>
        <w:rPr>
          <w:rFonts w:ascii="Times New Roman" w:hAnsi="Times New Roman" w:eastAsia="Times New Roman" w:cs="Times New Roman"/>
          <w:spacing w:val="6"/>
          <w:sz w:val="23"/>
          <w:szCs w:val="23"/>
        </w:rPr>
        <w:t xml:space="preserve">00-023-29 </w:t>
      </w:r>
      <w:r>
        <w:rPr>
          <w:rFonts w:ascii="宋体" w:hAnsi="宋体" w:eastAsia="宋体" w:cs="宋体"/>
          <w:spacing w:val="6"/>
          <w:sz w:val="23"/>
          <w:szCs w:val="23"/>
        </w:rPr>
        <w:t>，即</w:t>
      </w:r>
      <w:r>
        <w:rPr>
          <w:rFonts w:ascii="Times New Roman" w:hAnsi="Times New Roman" w:eastAsia="Times New Roman" w:cs="Times New Roman"/>
          <w:spacing w:val="6"/>
          <w:sz w:val="23"/>
          <w:szCs w:val="23"/>
        </w:rPr>
        <w:t>“</w:t>
      </w:r>
      <w:r>
        <w:rPr>
          <w:rFonts w:ascii="宋体" w:hAnsi="宋体" w:eastAsia="宋体" w:cs="宋体"/>
          <w:spacing w:val="6"/>
          <w:sz w:val="23"/>
          <w:szCs w:val="23"/>
        </w:rPr>
        <w:t>生产、销售及使用过程中产生的废含汞荧光灯管及其他</w:t>
      </w:r>
      <w:r>
        <w:rPr>
          <w:rFonts w:ascii="宋体" w:hAnsi="宋体" w:eastAsia="宋体" w:cs="宋体"/>
          <w:sz w:val="23"/>
          <w:szCs w:val="23"/>
        </w:rPr>
        <w:t xml:space="preserve"> </w:t>
      </w:r>
      <w:r>
        <w:rPr>
          <w:rFonts w:ascii="宋体" w:hAnsi="宋体" w:eastAsia="宋体" w:cs="宋体"/>
          <w:spacing w:val="5"/>
          <w:sz w:val="23"/>
          <w:szCs w:val="23"/>
        </w:rPr>
        <w:t>废含汞电光源</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，危险特性为</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(毒性) </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。建设单位应将废 </w:t>
      </w:r>
      <w:r>
        <w:rPr>
          <w:rFonts w:ascii="Times New Roman" w:hAnsi="Times New Roman" w:eastAsia="Times New Roman" w:cs="Times New Roman"/>
          <w:sz w:val="23"/>
          <w:szCs w:val="23"/>
        </w:rPr>
        <w:t>uv</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光解灯管集中</w:t>
      </w:r>
      <w:r>
        <w:rPr>
          <w:rFonts w:ascii="宋体" w:hAnsi="宋体" w:eastAsia="宋体" w:cs="宋体"/>
          <w:spacing w:val="3"/>
          <w:sz w:val="23"/>
          <w:szCs w:val="23"/>
        </w:rPr>
        <w:t>收</w:t>
      </w:r>
      <w:r>
        <w:rPr>
          <w:rFonts w:ascii="宋体" w:hAnsi="宋体" w:eastAsia="宋体" w:cs="宋体"/>
          <w:sz w:val="23"/>
          <w:szCs w:val="23"/>
        </w:rPr>
        <w:t xml:space="preserve"> </w:t>
      </w:r>
      <w:r>
        <w:rPr>
          <w:rFonts w:ascii="宋体" w:hAnsi="宋体" w:eastAsia="宋体" w:cs="宋体"/>
          <w:spacing w:val="9"/>
          <w:sz w:val="23"/>
          <w:szCs w:val="23"/>
        </w:rPr>
        <w:t>集</w:t>
      </w:r>
      <w:r>
        <w:rPr>
          <w:rFonts w:ascii="宋体" w:hAnsi="宋体" w:eastAsia="宋体" w:cs="宋体"/>
          <w:spacing w:val="7"/>
          <w:sz w:val="23"/>
          <w:szCs w:val="23"/>
        </w:rPr>
        <w:t>后存放在固定容器中单独存放，积攒到一定数量后交由有资质单位处理，禁止</w:t>
      </w:r>
      <w:r>
        <w:rPr>
          <w:rFonts w:ascii="宋体" w:hAnsi="宋体" w:eastAsia="宋体" w:cs="宋体"/>
          <w:sz w:val="23"/>
          <w:szCs w:val="23"/>
        </w:rPr>
        <w:t xml:space="preserve"> </w:t>
      </w:r>
      <w:r>
        <w:rPr>
          <w:rFonts w:ascii="宋体" w:hAnsi="宋体" w:eastAsia="宋体" w:cs="宋体"/>
          <w:spacing w:val="16"/>
          <w:sz w:val="23"/>
          <w:szCs w:val="23"/>
        </w:rPr>
        <w:t>作</w:t>
      </w:r>
      <w:r>
        <w:rPr>
          <w:rFonts w:ascii="宋体" w:hAnsi="宋体" w:eastAsia="宋体" w:cs="宋体"/>
          <w:spacing w:val="11"/>
          <w:sz w:val="23"/>
          <w:szCs w:val="23"/>
        </w:rPr>
        <w:t>为</w:t>
      </w:r>
      <w:r>
        <w:rPr>
          <w:rFonts w:ascii="宋体" w:hAnsi="宋体" w:eastAsia="宋体" w:cs="宋体"/>
          <w:spacing w:val="8"/>
          <w:sz w:val="23"/>
          <w:szCs w:val="23"/>
        </w:rPr>
        <w:t>一般固体废物随意丢弃排放。</w:t>
      </w:r>
    </w:p>
    <w:p w14:paraId="2C7F3B52">
      <w:pPr>
        <w:spacing w:before="197" w:line="374" w:lineRule="auto"/>
        <w:ind w:left="117" w:right="105" w:firstLine="483"/>
        <w:rPr>
          <w:rFonts w:ascii="宋体" w:hAnsi="宋体" w:eastAsia="宋体" w:cs="宋体"/>
          <w:sz w:val="23"/>
          <w:szCs w:val="23"/>
        </w:rPr>
      </w:pPr>
      <w:r>
        <w:rPr>
          <w:rFonts w:ascii="宋体" w:hAnsi="宋体" w:eastAsia="宋体" w:cs="宋体"/>
          <w:spacing w:val="6"/>
          <w:sz w:val="23"/>
          <w:szCs w:val="23"/>
        </w:rPr>
        <w:t xml:space="preserve">该项目拟在备品备件库西侧设置一间危废暂存间，面积约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2</w:t>
      </w:r>
      <w:r>
        <w:rPr>
          <w:rFonts w:ascii="宋体" w:hAnsi="宋体" w:eastAsia="宋体" w:cs="宋体"/>
          <w:spacing w:val="6"/>
          <w:sz w:val="23"/>
          <w:szCs w:val="23"/>
        </w:rPr>
        <w:t>，产生的废</w:t>
      </w:r>
      <w:r>
        <w:rPr>
          <w:rFonts w:ascii="宋体" w:hAnsi="宋体" w:eastAsia="宋体" w:cs="宋体"/>
          <w:spacing w:val="3"/>
          <w:sz w:val="23"/>
          <w:szCs w:val="23"/>
        </w:rPr>
        <w:t>活</w:t>
      </w:r>
      <w:r>
        <w:rPr>
          <w:rFonts w:ascii="宋体" w:hAnsi="宋体" w:eastAsia="宋体" w:cs="宋体"/>
          <w:sz w:val="23"/>
          <w:szCs w:val="23"/>
        </w:rPr>
        <w:t xml:space="preserve"> </w:t>
      </w:r>
      <w:r>
        <w:rPr>
          <w:rFonts w:ascii="宋体" w:hAnsi="宋体" w:eastAsia="宋体" w:cs="宋体"/>
          <w:spacing w:val="16"/>
          <w:sz w:val="23"/>
          <w:szCs w:val="23"/>
        </w:rPr>
        <w:t>性炭、</w:t>
      </w:r>
      <w:r>
        <w:rPr>
          <w:rFonts w:ascii="宋体" w:hAnsi="宋体" w:eastAsia="宋体" w:cs="宋体"/>
          <w:spacing w:val="8"/>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光解灯管均设有固定容器单独暂存于危险暂存间内，积攒到一定数</w:t>
      </w:r>
      <w:r>
        <w:rPr>
          <w:rFonts w:ascii="宋体" w:hAnsi="宋体" w:eastAsia="宋体" w:cs="宋体"/>
          <w:sz w:val="23"/>
          <w:szCs w:val="23"/>
        </w:rPr>
        <w:t xml:space="preserve"> </w:t>
      </w:r>
      <w:r>
        <w:rPr>
          <w:rFonts w:ascii="宋体" w:hAnsi="宋体" w:eastAsia="宋体" w:cs="宋体"/>
          <w:spacing w:val="9"/>
          <w:sz w:val="23"/>
          <w:szCs w:val="23"/>
        </w:rPr>
        <w:t>量</w:t>
      </w:r>
      <w:r>
        <w:rPr>
          <w:rFonts w:ascii="宋体" w:hAnsi="宋体" w:eastAsia="宋体" w:cs="宋体"/>
          <w:spacing w:val="7"/>
          <w:sz w:val="23"/>
          <w:szCs w:val="23"/>
        </w:rPr>
        <w:t>后交由有资质单位处理。为了防止二次污染，危险废物的转移、利用或处置执</w:t>
      </w:r>
      <w:r>
        <w:rPr>
          <w:rFonts w:ascii="宋体" w:hAnsi="宋体" w:eastAsia="宋体" w:cs="宋体"/>
          <w:sz w:val="23"/>
          <w:szCs w:val="23"/>
        </w:rPr>
        <w:t xml:space="preserve"> </w:t>
      </w:r>
      <w:r>
        <w:rPr>
          <w:rFonts w:ascii="宋体" w:hAnsi="宋体" w:eastAsia="宋体" w:cs="宋体"/>
          <w:spacing w:val="13"/>
          <w:sz w:val="23"/>
          <w:szCs w:val="23"/>
        </w:rPr>
        <w:t>行</w:t>
      </w:r>
      <w:r>
        <w:rPr>
          <w:rFonts w:ascii="宋体" w:hAnsi="宋体" w:eastAsia="宋体" w:cs="宋体"/>
          <w:spacing w:val="9"/>
          <w:sz w:val="23"/>
          <w:szCs w:val="23"/>
        </w:rPr>
        <w:t>危险废物转移联单制度，按规定办理环保备案手续。</w:t>
      </w:r>
    </w:p>
    <w:p w14:paraId="6D4CBB0C">
      <w:pPr>
        <w:tabs>
          <w:tab w:val="left" w:pos="242"/>
        </w:tabs>
        <w:spacing w:before="135" w:line="364" w:lineRule="auto"/>
        <w:ind w:left="113" w:right="43" w:firstLine="483"/>
        <w:rPr>
          <w:rFonts w:ascii="宋体" w:hAnsi="宋体" w:eastAsia="宋体" w:cs="宋体"/>
          <w:sz w:val="23"/>
          <w:szCs w:val="23"/>
        </w:rPr>
      </w:pPr>
      <w:r>
        <w:rPr>
          <w:rFonts w:ascii="宋体" w:hAnsi="宋体" w:eastAsia="宋体" w:cs="宋体"/>
          <w:spacing w:val="15"/>
          <w:sz w:val="23"/>
          <w:szCs w:val="23"/>
        </w:rPr>
        <w:t>废</w:t>
      </w:r>
      <w:r>
        <w:rPr>
          <w:rFonts w:ascii="宋体" w:hAnsi="宋体" w:eastAsia="宋体" w:cs="宋体"/>
          <w:spacing w:val="8"/>
          <w:sz w:val="23"/>
          <w:szCs w:val="23"/>
        </w:rPr>
        <w:t xml:space="preserve">活性炭、废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光解灯管临时储存应执行《危险废物贮存污染控制标准》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18597-2001</w:t>
      </w:r>
      <w:r>
        <w:rPr>
          <w:rFonts w:ascii="宋体" w:hAnsi="宋体" w:eastAsia="宋体" w:cs="宋体"/>
          <w:spacing w:val="3"/>
          <w:sz w:val="23"/>
          <w:szCs w:val="23"/>
        </w:rPr>
        <w:t xml:space="preserve">) 及其修改单的公告 (环境保护部公告，公告 </w:t>
      </w:r>
      <w:r>
        <w:rPr>
          <w:rFonts w:ascii="Times New Roman" w:hAnsi="Times New Roman" w:eastAsia="Times New Roman" w:cs="Times New Roman"/>
          <w:spacing w:val="3"/>
          <w:sz w:val="23"/>
          <w:szCs w:val="23"/>
        </w:rPr>
        <w:t xml:space="preserve">2013 </w:t>
      </w:r>
      <w:r>
        <w:rPr>
          <w:rFonts w:ascii="宋体" w:hAnsi="宋体" w:eastAsia="宋体" w:cs="宋体"/>
          <w:spacing w:val="3"/>
          <w:sz w:val="23"/>
          <w:szCs w:val="23"/>
        </w:rPr>
        <w:t xml:space="preserve">年第 </w:t>
      </w:r>
      <w:r>
        <w:rPr>
          <w:rFonts w:ascii="Times New Roman" w:hAnsi="Times New Roman" w:eastAsia="Times New Roman" w:cs="Times New Roman"/>
          <w:spacing w:val="3"/>
          <w:sz w:val="23"/>
          <w:szCs w:val="23"/>
        </w:rPr>
        <w:t>36</w:t>
      </w:r>
      <w:r>
        <w:rPr>
          <w:rFonts w:ascii="Times New Roman" w:hAnsi="Times New Roman" w:eastAsia="Times New Roman" w:cs="Times New Roman"/>
          <w:spacing w:val="2"/>
          <w:sz w:val="23"/>
          <w:szCs w:val="23"/>
        </w:rPr>
        <w:t xml:space="preserve"> </w:t>
      </w:r>
      <w:r>
        <w:rPr>
          <w:rFonts w:ascii="宋体" w:hAnsi="宋体" w:eastAsia="宋体" w:cs="宋体"/>
          <w:sz w:val="23"/>
          <w:szCs w:val="23"/>
        </w:rPr>
        <w:t xml:space="preserve">号， </w:t>
      </w:r>
      <w:r>
        <w:rPr>
          <w:rFonts w:ascii="Times New Roman" w:hAnsi="Times New Roman" w:eastAsia="Times New Roman" w:cs="Times New Roman"/>
          <w:spacing w:val="14"/>
          <w:sz w:val="23"/>
          <w:szCs w:val="23"/>
        </w:rPr>
        <w:t>2</w:t>
      </w:r>
      <w:r>
        <w:rPr>
          <w:rFonts w:ascii="Times New Roman" w:hAnsi="Times New Roman" w:eastAsia="Times New Roman" w:cs="Times New Roman"/>
          <w:spacing w:val="12"/>
          <w:sz w:val="23"/>
          <w:szCs w:val="23"/>
        </w:rPr>
        <w:t>0</w:t>
      </w:r>
      <w:r>
        <w:rPr>
          <w:rFonts w:ascii="Times New Roman" w:hAnsi="Times New Roman" w:eastAsia="Times New Roman" w:cs="Times New Roman"/>
          <w:spacing w:val="7"/>
          <w:sz w:val="23"/>
          <w:szCs w:val="23"/>
        </w:rPr>
        <w:t xml:space="preserve">13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6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8 </w:t>
      </w:r>
      <w:r>
        <w:rPr>
          <w:rFonts w:ascii="宋体" w:hAnsi="宋体" w:eastAsia="宋体" w:cs="宋体"/>
          <w:spacing w:val="7"/>
          <w:sz w:val="23"/>
          <w:szCs w:val="23"/>
        </w:rPr>
        <w:t>日) ，建设单位应加强对危险废弃物产生源的监督管理，应建造</w:t>
      </w:r>
      <w:r>
        <w:rPr>
          <w:rFonts w:ascii="宋体" w:hAnsi="宋体" w:eastAsia="宋体" w:cs="宋体"/>
          <w:sz w:val="23"/>
          <w:szCs w:val="23"/>
        </w:rPr>
        <w:t xml:space="preserve"> </w:t>
      </w:r>
      <w:r>
        <w:rPr>
          <w:rFonts w:ascii="宋体" w:hAnsi="宋体" w:eastAsia="宋体" w:cs="宋体"/>
          <w:spacing w:val="13"/>
          <w:sz w:val="23"/>
          <w:szCs w:val="23"/>
        </w:rPr>
        <w:t>专</w:t>
      </w:r>
      <w:r>
        <w:rPr>
          <w:rFonts w:ascii="宋体" w:hAnsi="宋体" w:eastAsia="宋体" w:cs="宋体"/>
          <w:spacing w:val="7"/>
          <w:sz w:val="23"/>
          <w:szCs w:val="23"/>
        </w:rPr>
        <w:t>用的危险废弃物贮存设施，贮存、处置场所等设施必须设置警示标志等，同时</w:t>
      </w:r>
      <w:r>
        <w:rPr>
          <w:rFonts w:ascii="宋体" w:hAnsi="宋体" w:eastAsia="宋体" w:cs="宋体"/>
          <w:sz w:val="23"/>
          <w:szCs w:val="23"/>
        </w:rPr>
        <w:t xml:space="preserve"> </w:t>
      </w:r>
      <w:r>
        <w:rPr>
          <w:rFonts w:ascii="宋体" w:hAnsi="宋体" w:eastAsia="宋体" w:cs="宋体"/>
          <w:spacing w:val="14"/>
          <w:sz w:val="23"/>
          <w:szCs w:val="23"/>
        </w:rPr>
        <w:t>制定</w:t>
      </w:r>
      <w:r>
        <w:rPr>
          <w:rFonts w:ascii="宋体" w:hAnsi="宋体" w:eastAsia="宋体" w:cs="宋体"/>
          <w:spacing w:val="8"/>
          <w:sz w:val="23"/>
          <w:szCs w:val="23"/>
        </w:rPr>
        <w:t>防</w:t>
      </w:r>
      <w:r>
        <w:rPr>
          <w:rFonts w:ascii="宋体" w:hAnsi="宋体" w:eastAsia="宋体" w:cs="宋体"/>
          <w:spacing w:val="7"/>
          <w:sz w:val="23"/>
          <w:szCs w:val="23"/>
        </w:rPr>
        <w:t>止泄漏、散失的安全措施。同时要求对危废暂存间做防渗处理，并设置危</w:t>
      </w:r>
      <w:r>
        <w:rPr>
          <w:rFonts w:ascii="宋体" w:hAnsi="宋体" w:eastAsia="宋体" w:cs="宋体"/>
          <w:sz w:val="23"/>
          <w:szCs w:val="23"/>
        </w:rPr>
        <w:t xml:space="preserve"> </w:t>
      </w:r>
      <w:r>
        <w:rPr>
          <w:rFonts w:ascii="宋体" w:hAnsi="宋体" w:eastAsia="宋体" w:cs="宋体"/>
          <w:spacing w:val="8"/>
          <w:sz w:val="23"/>
          <w:szCs w:val="23"/>
        </w:rPr>
        <w:t xml:space="preserve">险废物警示标志，危废暂存间底部铺设 </w:t>
      </w:r>
      <w:r>
        <w:rPr>
          <w:rFonts w:ascii="Times New Roman" w:hAnsi="Times New Roman" w:eastAsia="Times New Roman" w:cs="Times New Roman"/>
          <w:spacing w:val="8"/>
          <w:sz w:val="23"/>
          <w:szCs w:val="23"/>
        </w:rPr>
        <w:t>300</w:t>
      </w:r>
      <w:r>
        <w:rPr>
          <w:rFonts w:ascii="Times New Roman" w:hAnsi="Times New Roman" w:eastAsia="Times New Roman" w:cs="Times New Roman"/>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黏土层 (保护层，同时作为辅</w:t>
      </w:r>
      <w:r>
        <w:rPr>
          <w:rFonts w:ascii="宋体" w:hAnsi="宋体" w:eastAsia="宋体" w:cs="宋体"/>
          <w:spacing w:val="7"/>
          <w:sz w:val="23"/>
          <w:szCs w:val="23"/>
        </w:rPr>
        <w:t>助</w:t>
      </w:r>
      <w:r>
        <w:rPr>
          <w:rFonts w:ascii="宋体" w:hAnsi="宋体" w:eastAsia="宋体" w:cs="宋体"/>
          <w:sz w:val="23"/>
          <w:szCs w:val="23"/>
        </w:rPr>
        <w:t xml:space="preserve"> </w:t>
      </w:r>
      <w:r>
        <w:rPr>
          <w:rFonts w:ascii="宋体" w:hAnsi="宋体" w:eastAsia="宋体" w:cs="宋体"/>
          <w:spacing w:val="14"/>
          <w:sz w:val="23"/>
          <w:szCs w:val="23"/>
        </w:rPr>
        <w:t>防渗</w:t>
      </w:r>
      <w:r>
        <w:rPr>
          <w:rFonts w:ascii="宋体" w:hAnsi="宋体" w:eastAsia="宋体" w:cs="宋体"/>
          <w:spacing w:val="11"/>
          <w:sz w:val="23"/>
          <w:szCs w:val="23"/>
        </w:rPr>
        <w:t>层</w:t>
      </w:r>
      <w:r>
        <w:rPr>
          <w:rFonts w:ascii="宋体" w:hAnsi="宋体" w:eastAsia="宋体" w:cs="宋体"/>
          <w:spacing w:val="7"/>
          <w:sz w:val="23"/>
          <w:szCs w:val="23"/>
        </w:rPr>
        <w:t xml:space="preserve">) 压实平整，黏土层上铺设 </w:t>
      </w:r>
      <w:r>
        <w:rPr>
          <w:rFonts w:ascii="Times New Roman" w:hAnsi="Times New Roman" w:eastAsia="Times New Roman" w:cs="Times New Roman"/>
          <w:sz w:val="23"/>
          <w:szCs w:val="23"/>
        </w:rPr>
        <w:t>HDPE</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GCL</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复合防渗系统 (</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厚的高密度</w:t>
      </w:r>
    </w:p>
    <w:p w14:paraId="536D66A0">
      <w:pPr>
        <w:spacing w:line="322" w:lineRule="exact"/>
        <w:ind w:left="126"/>
        <w:rPr>
          <w:rFonts w:ascii="宋体" w:hAnsi="宋体" w:eastAsia="宋体" w:cs="宋体"/>
          <w:sz w:val="23"/>
          <w:szCs w:val="23"/>
        </w:rPr>
      </w:pPr>
      <w:r>
        <w:rPr>
          <w:rFonts w:ascii="宋体" w:hAnsi="宋体" w:eastAsia="宋体" w:cs="宋体"/>
          <w:spacing w:val="4"/>
          <w:position w:val="3"/>
          <w:sz w:val="23"/>
          <w:szCs w:val="23"/>
        </w:rPr>
        <w:t>聚乙烯膜、</w:t>
      </w:r>
      <w:r>
        <w:rPr>
          <w:rFonts w:ascii="Times New Roman" w:hAnsi="Times New Roman" w:eastAsia="Times New Roman" w:cs="Times New Roman"/>
          <w:spacing w:val="4"/>
          <w:position w:val="3"/>
          <w:sz w:val="23"/>
          <w:szCs w:val="23"/>
        </w:rPr>
        <w:t>300</w:t>
      </w:r>
      <w:r>
        <w:rPr>
          <w:rFonts w:ascii="Times New Roman" w:hAnsi="Times New Roman" w:eastAsia="Times New Roman" w:cs="Times New Roman"/>
          <w:position w:val="3"/>
          <w:sz w:val="23"/>
          <w:szCs w:val="23"/>
        </w:rPr>
        <w:t>g</w:t>
      </w:r>
      <w:r>
        <w:rPr>
          <w:rFonts w:ascii="Times New Roman" w:hAnsi="Times New Roman" w:eastAsia="Times New Roman" w:cs="Times New Roman"/>
          <w:spacing w:val="4"/>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4"/>
          <w:position w:val="10"/>
          <w:sz w:val="15"/>
          <w:szCs w:val="15"/>
        </w:rPr>
        <w:t xml:space="preserve">2 </w:t>
      </w:r>
      <w:r>
        <w:rPr>
          <w:rFonts w:ascii="宋体" w:hAnsi="宋体" w:eastAsia="宋体" w:cs="宋体"/>
          <w:spacing w:val="4"/>
          <w:position w:val="3"/>
          <w:sz w:val="23"/>
          <w:szCs w:val="23"/>
        </w:rPr>
        <w:t>土</w:t>
      </w:r>
      <w:r>
        <w:rPr>
          <w:rFonts w:ascii="宋体" w:hAnsi="宋体" w:eastAsia="宋体" w:cs="宋体"/>
          <w:spacing w:val="3"/>
          <w:position w:val="3"/>
          <w:sz w:val="23"/>
          <w:szCs w:val="23"/>
        </w:rPr>
        <w:t>工</w:t>
      </w:r>
      <w:r>
        <w:rPr>
          <w:rFonts w:ascii="宋体" w:hAnsi="宋体" w:eastAsia="宋体" w:cs="宋体"/>
          <w:spacing w:val="2"/>
          <w:position w:val="3"/>
          <w:sz w:val="23"/>
          <w:szCs w:val="23"/>
        </w:rPr>
        <w:t xml:space="preserve">织物膨润土垫) ，上部外加耐腐蚀混凝土 </w:t>
      </w:r>
      <w:r>
        <w:rPr>
          <w:rFonts w:ascii="Times New Roman" w:hAnsi="Times New Roman" w:eastAsia="Times New Roman" w:cs="Times New Roman"/>
          <w:spacing w:val="2"/>
          <w:position w:val="3"/>
          <w:sz w:val="23"/>
          <w:szCs w:val="23"/>
        </w:rPr>
        <w:t>15</w:t>
      </w:r>
      <w:r>
        <w:rPr>
          <w:rFonts w:ascii="Times New Roman" w:hAnsi="Times New Roman" w:eastAsia="Times New Roman" w:cs="Times New Roman"/>
          <w:position w:val="3"/>
          <w:sz w:val="23"/>
          <w:szCs w:val="23"/>
        </w:rPr>
        <w:t>cm</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rPr>
        <w:t>(保护层)</w:t>
      </w:r>
    </w:p>
    <w:p w14:paraId="4556A4C0">
      <w:pPr>
        <w:spacing w:before="137" w:line="488" w:lineRule="auto"/>
        <w:ind w:left="600" w:right="22" w:hanging="481"/>
        <w:rPr>
          <w:rFonts w:ascii="宋体" w:hAnsi="宋体" w:eastAsia="宋体" w:cs="宋体"/>
          <w:sz w:val="23"/>
          <w:szCs w:val="23"/>
        </w:rPr>
      </w:pPr>
      <w:r>
        <w:rPr>
          <w:rFonts w:ascii="宋体" w:hAnsi="宋体" w:eastAsia="宋体" w:cs="宋体"/>
          <w:spacing w:val="1"/>
          <w:sz w:val="23"/>
          <w:szCs w:val="23"/>
        </w:rPr>
        <w:t>等防渗</w:t>
      </w:r>
      <w:r>
        <w:rPr>
          <w:rFonts w:ascii="宋体" w:hAnsi="宋体" w:eastAsia="宋体" w:cs="宋体"/>
          <w:sz w:val="23"/>
          <w:szCs w:val="23"/>
        </w:rPr>
        <w:t xml:space="preserve">，侧壁均设防渗墙。采取上述防渗措施后，防渗层渗透系数小于 </w:t>
      </w:r>
      <w:r>
        <w:rPr>
          <w:rFonts w:ascii="Times New Roman" w:hAnsi="Times New Roman" w:eastAsia="Times New Roman" w:cs="Times New Roman"/>
          <w:sz w:val="23"/>
          <w:szCs w:val="23"/>
        </w:rPr>
        <w:t>10</w:t>
      </w:r>
      <w:r>
        <w:rPr>
          <w:rFonts w:ascii="Times New Roman" w:hAnsi="Times New Roman" w:eastAsia="Times New Roman" w:cs="Times New Roman"/>
          <w:position w:val="8"/>
          <w:sz w:val="15"/>
          <w:szCs w:val="15"/>
        </w:rPr>
        <w:t>- 10</w:t>
      </w:r>
      <w:r>
        <w:rPr>
          <w:rFonts w:ascii="Times New Roman" w:hAnsi="Times New Roman" w:eastAsia="Times New Roman" w:cs="Times New Roman"/>
          <w:sz w:val="23"/>
          <w:szCs w:val="23"/>
        </w:rPr>
        <w:t>cm/s</w:t>
      </w:r>
      <w:r>
        <w:rPr>
          <w:rFonts w:ascii="宋体" w:hAnsi="宋体" w:eastAsia="宋体" w:cs="宋体"/>
          <w:sz w:val="23"/>
          <w:szCs w:val="23"/>
        </w:rPr>
        <w:t xml:space="preserve">。 </w:t>
      </w:r>
      <w:r>
        <w:rPr>
          <w:rFonts w:ascii="宋体" w:hAnsi="宋体" w:eastAsia="宋体" w:cs="宋体"/>
          <w:spacing w:val="7"/>
          <w:sz w:val="23"/>
          <w:szCs w:val="23"/>
        </w:rPr>
        <w:t>该</w:t>
      </w:r>
      <w:r>
        <w:rPr>
          <w:rFonts w:ascii="宋体" w:hAnsi="宋体" w:eastAsia="宋体" w:cs="宋体"/>
          <w:spacing w:val="4"/>
          <w:sz w:val="23"/>
          <w:szCs w:val="23"/>
        </w:rPr>
        <w:t xml:space="preserve">项目固体废物产生量详见表 </w:t>
      </w:r>
      <w:r>
        <w:rPr>
          <w:rFonts w:ascii="Times New Roman" w:hAnsi="Times New Roman" w:eastAsia="Times New Roman" w:cs="Times New Roman"/>
          <w:spacing w:val="4"/>
          <w:sz w:val="23"/>
          <w:szCs w:val="23"/>
        </w:rPr>
        <w:t>3-20</w:t>
      </w:r>
      <w:r>
        <w:rPr>
          <w:rFonts w:ascii="宋体" w:hAnsi="宋体" w:eastAsia="宋体" w:cs="宋体"/>
          <w:spacing w:val="4"/>
          <w:sz w:val="23"/>
          <w:szCs w:val="23"/>
        </w:rPr>
        <w:t>。</w:t>
      </w:r>
    </w:p>
    <w:p w14:paraId="6231B58B">
      <w:pPr>
        <w:spacing w:before="58" w:line="227" w:lineRule="auto"/>
        <w:ind w:left="28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w:t>
      </w: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3"/>
          <w:sz w:val="23"/>
          <w:szCs w:val="23"/>
        </w:rPr>
        <w:t>0</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项目固体废物产生量</w:t>
      </w:r>
    </w:p>
    <w:p w14:paraId="2C34CACD">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1640"/>
        <w:gridCol w:w="1173"/>
        <w:gridCol w:w="933"/>
        <w:gridCol w:w="4271"/>
      </w:tblGrid>
      <w:tr w14:paraId="0769E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05" w:type="dxa"/>
            <w:tcBorders>
              <w:left w:val="nil"/>
            </w:tcBorders>
            <w:vAlign w:val="top"/>
          </w:tcPr>
          <w:p w14:paraId="301DEE8C">
            <w:pPr>
              <w:spacing w:before="76" w:line="229" w:lineRule="auto"/>
              <w:ind w:left="4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640" w:type="dxa"/>
            <w:vAlign w:val="top"/>
          </w:tcPr>
          <w:p w14:paraId="540BE236">
            <w:pPr>
              <w:spacing w:before="76" w:line="228" w:lineRule="auto"/>
              <w:ind w:left="21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固体废物种类</w:t>
            </w:r>
          </w:p>
        </w:tc>
        <w:tc>
          <w:tcPr>
            <w:tcW w:w="1173" w:type="dxa"/>
            <w:vAlign w:val="top"/>
          </w:tcPr>
          <w:p w14:paraId="2504CD28">
            <w:pPr>
              <w:spacing w:before="35" w:line="289" w:lineRule="exact"/>
              <w:ind w:left="30"/>
              <w:rPr>
                <w:rFonts w:ascii="宋体" w:hAnsi="宋体" w:eastAsia="宋体" w:cs="宋体"/>
                <w:sz w:val="19"/>
                <w:szCs w:val="19"/>
              </w:rPr>
            </w:pPr>
            <w:r>
              <w:rPr>
                <w:rFonts w:ascii="宋体" w:hAnsi="宋体" w:eastAsia="宋体" w:cs="宋体"/>
                <w:spacing w:val="-8"/>
                <w:position w:val="2"/>
                <w:sz w:val="19"/>
                <w:szCs w:val="19"/>
                <w14:textOutline w14:w="3583" w14:cap="sq" w14:cmpd="sng">
                  <w14:solidFill>
                    <w14:srgbClr w14:val="000000"/>
                  </w14:solidFill>
                  <w14:prstDash w14:val="solid"/>
                  <w14:bevel/>
                </w14:textOutline>
              </w:rPr>
              <w:t>产</w:t>
            </w:r>
            <w:r>
              <w:rPr>
                <w:rFonts w:ascii="宋体" w:hAnsi="宋体" w:eastAsia="宋体" w:cs="宋体"/>
                <w:spacing w:val="-7"/>
                <w:position w:val="2"/>
                <w:sz w:val="19"/>
                <w:szCs w:val="19"/>
                <w14:textOutline w14:w="3583" w14:cap="sq" w14:cmpd="sng">
                  <w14:solidFill>
                    <w14:srgbClr w14:val="000000"/>
                  </w14:solidFill>
                  <w14:prstDash w14:val="solid"/>
                  <w14:bevel/>
                </w14:textOutline>
              </w:rPr>
              <w:t>生量</w:t>
            </w:r>
            <w:r>
              <w:rPr>
                <w:rFonts w:ascii="宋体" w:hAnsi="宋体" w:eastAsia="宋体" w:cs="宋体"/>
                <w:spacing w:val="-7"/>
                <w:position w:val="2"/>
                <w:sz w:val="19"/>
                <w:szCs w:val="19"/>
              </w:rPr>
              <w:t xml:space="preserve"> </w:t>
            </w:r>
            <w:r>
              <w:rPr>
                <w:rFonts w:ascii="宋体" w:hAnsi="宋体" w:eastAsia="宋体" w:cs="宋体"/>
                <w:spacing w:val="-7"/>
                <w:position w:val="2"/>
                <w:sz w:val="19"/>
                <w:szCs w:val="19"/>
                <w14:textOutline w14:w="3583" w14:cap="sq" w14:cmpd="sng">
                  <w14:solidFill>
                    <w14:srgbClr w14:val="000000"/>
                  </w14:solidFill>
                  <w14:prstDash w14:val="solid"/>
                  <w14:bevel/>
                </w14:textOutline>
              </w:rPr>
              <w:t>(</w:t>
            </w:r>
            <w:r>
              <w:rPr>
                <w:rFonts w:ascii="Times New Roman" w:hAnsi="Times New Roman" w:eastAsia="Times New Roman" w:cs="Times New Roman"/>
                <w:b/>
                <w:bCs/>
                <w:spacing w:val="-7"/>
                <w:position w:val="2"/>
                <w:sz w:val="19"/>
                <w:szCs w:val="19"/>
              </w:rPr>
              <w:t>t/a</w:t>
            </w:r>
            <w:r>
              <w:rPr>
                <w:rFonts w:ascii="Times New Roman" w:hAnsi="Times New Roman" w:eastAsia="Times New Roman" w:cs="Times New Roman"/>
                <w:spacing w:val="-7"/>
                <w:position w:val="2"/>
                <w:sz w:val="19"/>
                <w:szCs w:val="19"/>
              </w:rPr>
              <w:t xml:space="preserve"> </w:t>
            </w:r>
            <w:r>
              <w:rPr>
                <w:rFonts w:ascii="宋体" w:hAnsi="宋体" w:eastAsia="宋体" w:cs="宋体"/>
                <w:spacing w:val="-7"/>
                <w:position w:val="2"/>
                <w:sz w:val="19"/>
                <w:szCs w:val="19"/>
                <w14:textOutline w14:w="3583" w14:cap="sq" w14:cmpd="sng">
                  <w14:solidFill>
                    <w14:srgbClr w14:val="000000"/>
                  </w14:solidFill>
                  <w14:prstDash w14:val="solid"/>
                  <w14:bevel/>
                </w14:textOutline>
              </w:rPr>
              <w:t>)</w:t>
            </w:r>
          </w:p>
        </w:tc>
        <w:tc>
          <w:tcPr>
            <w:tcW w:w="933" w:type="dxa"/>
            <w:vAlign w:val="top"/>
          </w:tcPr>
          <w:p w14:paraId="6D72BB3F">
            <w:pPr>
              <w:spacing w:before="76" w:line="228" w:lineRule="auto"/>
              <w:ind w:left="26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类</w:t>
            </w:r>
          </w:p>
        </w:tc>
        <w:tc>
          <w:tcPr>
            <w:tcW w:w="4271" w:type="dxa"/>
            <w:tcBorders>
              <w:right w:val="nil"/>
            </w:tcBorders>
            <w:vAlign w:val="top"/>
          </w:tcPr>
          <w:p w14:paraId="42D3E168">
            <w:pPr>
              <w:spacing w:before="76" w:line="228" w:lineRule="auto"/>
              <w:ind w:left="172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处</w:t>
            </w:r>
            <w:r>
              <w:rPr>
                <w:rFonts w:ascii="宋体" w:hAnsi="宋体" w:eastAsia="宋体" w:cs="宋体"/>
                <w:spacing w:val="7"/>
                <w:sz w:val="20"/>
                <w:szCs w:val="20"/>
                <w14:textOutline w14:w="3795" w14:cap="sq" w14:cmpd="sng">
                  <w14:solidFill>
                    <w14:srgbClr w14:val="000000"/>
                  </w14:solidFill>
                  <w14:prstDash w14:val="solid"/>
                  <w14:bevel/>
                </w14:textOutline>
              </w:rPr>
              <w:t>置措施</w:t>
            </w:r>
          </w:p>
        </w:tc>
      </w:tr>
      <w:tr w14:paraId="784C6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5" w:type="dxa"/>
            <w:tcBorders>
              <w:left w:val="nil"/>
            </w:tcBorders>
            <w:vAlign w:val="top"/>
          </w:tcPr>
          <w:p w14:paraId="45195A89">
            <w:pPr>
              <w:spacing w:before="90"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40" w:type="dxa"/>
            <w:vAlign w:val="top"/>
          </w:tcPr>
          <w:p w14:paraId="77B2C56B">
            <w:pPr>
              <w:spacing w:before="54" w:line="228" w:lineRule="auto"/>
              <w:ind w:left="407"/>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1173" w:type="dxa"/>
            <w:vAlign w:val="top"/>
          </w:tcPr>
          <w:p w14:paraId="402103F8">
            <w:pPr>
              <w:spacing w:before="90"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33" w:type="dxa"/>
            <w:vAlign w:val="top"/>
          </w:tcPr>
          <w:p w14:paraId="2F3D857E">
            <w:pPr>
              <w:spacing w:before="54" w:line="228" w:lineRule="auto"/>
              <w:ind w:left="55"/>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271" w:type="dxa"/>
            <w:tcBorders>
              <w:right w:val="nil"/>
            </w:tcBorders>
            <w:vAlign w:val="top"/>
          </w:tcPr>
          <w:p w14:paraId="75F542A9">
            <w:pPr>
              <w:spacing w:before="53" w:line="228" w:lineRule="auto"/>
              <w:ind w:left="41"/>
              <w:rPr>
                <w:rFonts w:ascii="宋体" w:hAnsi="宋体" w:eastAsia="宋体" w:cs="宋体"/>
                <w:sz w:val="20"/>
                <w:szCs w:val="20"/>
              </w:rPr>
            </w:pPr>
            <w:r>
              <w:rPr>
                <w:rFonts w:ascii="宋体" w:hAnsi="宋体" w:eastAsia="宋体" w:cs="宋体"/>
                <w:spacing w:val="18"/>
                <w:sz w:val="20"/>
                <w:szCs w:val="20"/>
              </w:rPr>
              <w:t>集</w:t>
            </w:r>
            <w:r>
              <w:rPr>
                <w:rFonts w:ascii="宋体" w:hAnsi="宋体" w:eastAsia="宋体" w:cs="宋体"/>
                <w:spacing w:val="9"/>
                <w:sz w:val="20"/>
                <w:szCs w:val="20"/>
              </w:rPr>
              <w:t>中收集后运送至环卫部门指定地点统一处理</w:t>
            </w:r>
          </w:p>
        </w:tc>
      </w:tr>
    </w:tbl>
    <w:p w14:paraId="4A08846C">
      <w:pPr>
        <w:rPr>
          <w:rFonts w:ascii="Arial"/>
          <w:sz w:val="21"/>
        </w:rPr>
      </w:pPr>
    </w:p>
    <w:p w14:paraId="69D2D1E2">
      <w:pPr>
        <w:sectPr>
          <w:headerReference r:id="rId143" w:type="default"/>
          <w:footerReference r:id="rId144" w:type="default"/>
          <w:pgSz w:w="11906" w:h="16839"/>
          <w:pgMar w:top="1132" w:right="1691" w:bottom="1182" w:left="1691" w:header="878" w:footer="1022" w:gutter="0"/>
          <w:cols w:space="720" w:num="1"/>
        </w:sectPr>
      </w:pPr>
    </w:p>
    <w:p w14:paraId="73C2FE1F">
      <w:r>
        <w:pict>
          <v:rect id="_x0000_s1206" o:spid="_x0000_s1206" o:spt="1" style="position:absolute;left:0pt;margin-left:90pt;margin-top:57.35pt;height:0.75pt;width:415.3pt;mso-position-horizontal-relative:page;mso-position-vertical-relative:page;z-index:251857920;mso-width-relative:page;mso-height-relative:page;" fillcolor="#000000" filled="t" stroked="f" coordsize="21600,21600" o:allowincell="f">
            <v:path/>
            <v:fill on="t" focussize="0,0"/>
            <v:stroke on="f"/>
            <v:imagedata o:title=""/>
            <o:lock v:ext="edit"/>
          </v:rect>
        </w:pict>
      </w:r>
    </w:p>
    <w:p w14:paraId="6A8E5CE4">
      <w:pPr>
        <w:spacing w:line="65"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1640"/>
        <w:gridCol w:w="1173"/>
        <w:gridCol w:w="932"/>
        <w:gridCol w:w="4271"/>
      </w:tblGrid>
      <w:tr w14:paraId="54C7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05" w:type="dxa"/>
            <w:tcBorders>
              <w:left w:val="nil"/>
            </w:tcBorders>
            <w:vAlign w:val="top"/>
          </w:tcPr>
          <w:p w14:paraId="4EB26A36">
            <w:pPr>
              <w:spacing w:before="111"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40" w:type="dxa"/>
            <w:vAlign w:val="top"/>
          </w:tcPr>
          <w:p w14:paraId="0C3AEC70">
            <w:pPr>
              <w:spacing w:before="75" w:line="228" w:lineRule="auto"/>
              <w:ind w:left="618"/>
              <w:rPr>
                <w:rFonts w:ascii="宋体" w:hAnsi="宋体" w:eastAsia="宋体" w:cs="宋体"/>
                <w:sz w:val="20"/>
                <w:szCs w:val="20"/>
              </w:rPr>
            </w:pPr>
            <w:r>
              <w:rPr>
                <w:rFonts w:ascii="宋体" w:hAnsi="宋体" w:eastAsia="宋体" w:cs="宋体"/>
                <w:spacing w:val="4"/>
                <w:sz w:val="20"/>
                <w:szCs w:val="20"/>
              </w:rPr>
              <w:t>杂</w:t>
            </w:r>
            <w:r>
              <w:rPr>
                <w:rFonts w:ascii="宋体" w:hAnsi="宋体" w:eastAsia="宋体" w:cs="宋体"/>
                <w:spacing w:val="3"/>
                <w:sz w:val="20"/>
                <w:szCs w:val="20"/>
              </w:rPr>
              <w:t>质</w:t>
            </w:r>
          </w:p>
        </w:tc>
        <w:tc>
          <w:tcPr>
            <w:tcW w:w="1173" w:type="dxa"/>
            <w:vAlign w:val="top"/>
          </w:tcPr>
          <w:p w14:paraId="6DB0AAC9">
            <w:pPr>
              <w:spacing w:before="11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1022</w:t>
            </w:r>
          </w:p>
        </w:tc>
        <w:tc>
          <w:tcPr>
            <w:tcW w:w="932" w:type="dxa"/>
            <w:vAlign w:val="top"/>
          </w:tcPr>
          <w:p w14:paraId="189DD680">
            <w:pPr>
              <w:spacing w:before="76" w:line="228" w:lineRule="auto"/>
              <w:ind w:left="55"/>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271" w:type="dxa"/>
            <w:tcBorders>
              <w:right w:val="nil"/>
            </w:tcBorders>
            <w:vAlign w:val="top"/>
          </w:tcPr>
          <w:p w14:paraId="50D0DBF0">
            <w:pPr>
              <w:spacing w:before="75" w:line="228" w:lineRule="auto"/>
              <w:ind w:left="42"/>
              <w:rPr>
                <w:rFonts w:ascii="宋体" w:hAnsi="宋体" w:eastAsia="宋体" w:cs="宋体"/>
                <w:sz w:val="20"/>
                <w:szCs w:val="20"/>
              </w:rPr>
            </w:pPr>
            <w:r>
              <w:rPr>
                <w:rFonts w:ascii="宋体" w:hAnsi="宋体" w:eastAsia="宋体" w:cs="宋体"/>
                <w:spacing w:val="18"/>
                <w:sz w:val="20"/>
                <w:szCs w:val="20"/>
              </w:rPr>
              <w:t>集</w:t>
            </w:r>
            <w:r>
              <w:rPr>
                <w:rFonts w:ascii="宋体" w:hAnsi="宋体" w:eastAsia="宋体" w:cs="宋体"/>
                <w:spacing w:val="9"/>
                <w:sz w:val="20"/>
                <w:szCs w:val="20"/>
              </w:rPr>
              <w:t>中收集后运送至环卫部门指定地点统一处理</w:t>
            </w:r>
          </w:p>
        </w:tc>
      </w:tr>
      <w:tr w14:paraId="580DF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5" w:type="dxa"/>
            <w:tcBorders>
              <w:left w:val="nil"/>
            </w:tcBorders>
            <w:vAlign w:val="top"/>
          </w:tcPr>
          <w:p w14:paraId="5056E11B">
            <w:pPr>
              <w:spacing w:before="8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40" w:type="dxa"/>
            <w:vAlign w:val="top"/>
          </w:tcPr>
          <w:p w14:paraId="64FBA3FC">
            <w:pPr>
              <w:spacing w:before="51" w:line="228" w:lineRule="auto"/>
              <w:ind w:left="299"/>
              <w:rPr>
                <w:rFonts w:ascii="宋体" w:hAnsi="宋体" w:eastAsia="宋体" w:cs="宋体"/>
                <w:sz w:val="20"/>
                <w:szCs w:val="20"/>
              </w:rPr>
            </w:pPr>
            <w:r>
              <w:rPr>
                <w:rFonts w:ascii="宋体" w:hAnsi="宋体" w:eastAsia="宋体" w:cs="宋体"/>
                <w:spacing w:val="8"/>
                <w:sz w:val="20"/>
                <w:szCs w:val="20"/>
              </w:rPr>
              <w:t>沉淀池污泥</w:t>
            </w:r>
          </w:p>
        </w:tc>
        <w:tc>
          <w:tcPr>
            <w:tcW w:w="1173" w:type="dxa"/>
            <w:vAlign w:val="top"/>
          </w:tcPr>
          <w:p w14:paraId="2C3205D1">
            <w:pPr>
              <w:spacing w:before="8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932" w:type="dxa"/>
            <w:vAlign w:val="top"/>
          </w:tcPr>
          <w:p w14:paraId="386B80AF">
            <w:pPr>
              <w:spacing w:before="51" w:line="228" w:lineRule="auto"/>
              <w:ind w:left="55"/>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271" w:type="dxa"/>
            <w:tcBorders>
              <w:right w:val="nil"/>
            </w:tcBorders>
            <w:vAlign w:val="top"/>
          </w:tcPr>
          <w:p w14:paraId="38F53962">
            <w:pPr>
              <w:spacing w:before="50" w:line="228" w:lineRule="auto"/>
              <w:ind w:left="42"/>
              <w:rPr>
                <w:rFonts w:ascii="宋体" w:hAnsi="宋体" w:eastAsia="宋体" w:cs="宋体"/>
                <w:sz w:val="20"/>
                <w:szCs w:val="20"/>
              </w:rPr>
            </w:pPr>
            <w:r>
              <w:rPr>
                <w:rFonts w:ascii="宋体" w:hAnsi="宋体" w:eastAsia="宋体" w:cs="宋体"/>
                <w:spacing w:val="18"/>
                <w:sz w:val="20"/>
                <w:szCs w:val="20"/>
              </w:rPr>
              <w:t>集</w:t>
            </w:r>
            <w:r>
              <w:rPr>
                <w:rFonts w:ascii="宋体" w:hAnsi="宋体" w:eastAsia="宋体" w:cs="宋体"/>
                <w:spacing w:val="9"/>
                <w:sz w:val="20"/>
                <w:szCs w:val="20"/>
              </w:rPr>
              <w:t>中收集后运送至环卫部门指定地点统一处理</w:t>
            </w:r>
          </w:p>
        </w:tc>
      </w:tr>
      <w:tr w14:paraId="2BF81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5" w:type="dxa"/>
            <w:tcBorders>
              <w:left w:val="nil"/>
            </w:tcBorders>
            <w:vAlign w:val="top"/>
          </w:tcPr>
          <w:p w14:paraId="6A6B0590">
            <w:pPr>
              <w:spacing w:before="90"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40" w:type="dxa"/>
            <w:vAlign w:val="top"/>
          </w:tcPr>
          <w:p w14:paraId="76042C40">
            <w:pPr>
              <w:spacing w:before="54" w:line="228" w:lineRule="auto"/>
              <w:ind w:left="510"/>
              <w:rPr>
                <w:rFonts w:ascii="宋体" w:hAnsi="宋体" w:eastAsia="宋体" w:cs="宋体"/>
                <w:sz w:val="20"/>
                <w:szCs w:val="20"/>
              </w:rPr>
            </w:pPr>
            <w:r>
              <w:rPr>
                <w:rFonts w:ascii="宋体" w:hAnsi="宋体" w:eastAsia="宋体" w:cs="宋体"/>
                <w:spacing w:val="7"/>
                <w:sz w:val="20"/>
                <w:szCs w:val="20"/>
              </w:rPr>
              <w:t>废滤网</w:t>
            </w:r>
          </w:p>
        </w:tc>
        <w:tc>
          <w:tcPr>
            <w:tcW w:w="1173" w:type="dxa"/>
            <w:vAlign w:val="top"/>
          </w:tcPr>
          <w:p w14:paraId="7F1FD500">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.8</w:t>
            </w:r>
          </w:p>
        </w:tc>
        <w:tc>
          <w:tcPr>
            <w:tcW w:w="932" w:type="dxa"/>
            <w:vAlign w:val="top"/>
          </w:tcPr>
          <w:p w14:paraId="09698566">
            <w:pPr>
              <w:spacing w:before="54" w:line="228" w:lineRule="auto"/>
              <w:ind w:left="55"/>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271" w:type="dxa"/>
            <w:tcBorders>
              <w:right w:val="nil"/>
            </w:tcBorders>
            <w:vAlign w:val="top"/>
          </w:tcPr>
          <w:p w14:paraId="25B6EBE4">
            <w:pPr>
              <w:spacing w:before="53" w:line="228" w:lineRule="auto"/>
              <w:ind w:left="670"/>
              <w:rPr>
                <w:rFonts w:ascii="宋体" w:hAnsi="宋体" w:eastAsia="宋体" w:cs="宋体"/>
                <w:sz w:val="20"/>
                <w:szCs w:val="20"/>
              </w:rPr>
            </w:pPr>
            <w:r>
              <w:rPr>
                <w:rFonts w:ascii="宋体" w:hAnsi="宋体" w:eastAsia="宋体" w:cs="宋体"/>
                <w:spacing w:val="12"/>
                <w:sz w:val="20"/>
                <w:szCs w:val="20"/>
              </w:rPr>
              <w:t>集</w:t>
            </w:r>
            <w:r>
              <w:rPr>
                <w:rFonts w:ascii="宋体" w:hAnsi="宋体" w:eastAsia="宋体" w:cs="宋体"/>
                <w:spacing w:val="9"/>
                <w:sz w:val="20"/>
                <w:szCs w:val="20"/>
              </w:rPr>
              <w:t>中收集后由厂家定期回收处理</w:t>
            </w:r>
          </w:p>
        </w:tc>
      </w:tr>
      <w:tr w14:paraId="25614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5" w:type="dxa"/>
            <w:tcBorders>
              <w:left w:val="nil"/>
            </w:tcBorders>
            <w:vAlign w:val="top"/>
          </w:tcPr>
          <w:p w14:paraId="3C5EAC0E">
            <w:pPr>
              <w:spacing w:before="92" w:line="192"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40" w:type="dxa"/>
            <w:vAlign w:val="top"/>
          </w:tcPr>
          <w:p w14:paraId="0B6C07B0">
            <w:pPr>
              <w:spacing w:before="54" w:line="228" w:lineRule="auto"/>
              <w:ind w:left="95"/>
              <w:rPr>
                <w:rFonts w:ascii="宋体" w:hAnsi="宋体" w:eastAsia="宋体" w:cs="宋体"/>
                <w:sz w:val="20"/>
                <w:szCs w:val="20"/>
              </w:rPr>
            </w:pPr>
            <w:r>
              <w:rPr>
                <w:rFonts w:ascii="宋体" w:hAnsi="宋体" w:eastAsia="宋体" w:cs="宋体"/>
                <w:spacing w:val="12"/>
                <w:sz w:val="20"/>
                <w:szCs w:val="20"/>
              </w:rPr>
              <w:t>热</w:t>
            </w:r>
            <w:r>
              <w:rPr>
                <w:rFonts w:ascii="宋体" w:hAnsi="宋体" w:eastAsia="宋体" w:cs="宋体"/>
                <w:spacing w:val="7"/>
                <w:sz w:val="20"/>
                <w:szCs w:val="20"/>
              </w:rPr>
              <w:t>风炉燃料炉渣</w:t>
            </w:r>
          </w:p>
        </w:tc>
        <w:tc>
          <w:tcPr>
            <w:tcW w:w="1173" w:type="dxa"/>
            <w:vAlign w:val="top"/>
          </w:tcPr>
          <w:p w14:paraId="4D43A486">
            <w:pPr>
              <w:spacing w:before="90"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48.</w:t>
            </w:r>
            <w:r>
              <w:rPr>
                <w:rFonts w:ascii="Times New Roman" w:hAnsi="Times New Roman" w:eastAsia="Times New Roman" w:cs="Times New Roman"/>
                <w:spacing w:val="5"/>
                <w:sz w:val="20"/>
                <w:szCs w:val="20"/>
              </w:rPr>
              <w:t>8</w:t>
            </w:r>
          </w:p>
        </w:tc>
        <w:tc>
          <w:tcPr>
            <w:tcW w:w="932" w:type="dxa"/>
            <w:vAlign w:val="top"/>
          </w:tcPr>
          <w:p w14:paraId="29A95351">
            <w:pPr>
              <w:spacing w:before="54" w:line="228" w:lineRule="auto"/>
              <w:ind w:left="55"/>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271" w:type="dxa"/>
            <w:tcBorders>
              <w:right w:val="nil"/>
            </w:tcBorders>
            <w:vAlign w:val="top"/>
          </w:tcPr>
          <w:p w14:paraId="504EF0C5">
            <w:pPr>
              <w:spacing w:before="53" w:line="227" w:lineRule="auto"/>
              <w:ind w:left="147"/>
              <w:rPr>
                <w:rFonts w:ascii="宋体" w:hAnsi="宋体" w:eastAsia="宋体" w:cs="宋体"/>
                <w:sz w:val="20"/>
                <w:szCs w:val="20"/>
              </w:rPr>
            </w:pPr>
            <w:r>
              <w:rPr>
                <w:rFonts w:ascii="宋体" w:hAnsi="宋体" w:eastAsia="宋体" w:cs="宋体"/>
                <w:spacing w:val="18"/>
                <w:sz w:val="20"/>
                <w:szCs w:val="20"/>
              </w:rPr>
              <w:t>集</w:t>
            </w:r>
            <w:r>
              <w:rPr>
                <w:rFonts w:ascii="宋体" w:hAnsi="宋体" w:eastAsia="宋体" w:cs="宋体"/>
                <w:spacing w:val="9"/>
                <w:sz w:val="20"/>
                <w:szCs w:val="20"/>
              </w:rPr>
              <w:t>中收集后定期外卖给农肥厂进行综合利用</w:t>
            </w:r>
          </w:p>
        </w:tc>
      </w:tr>
      <w:tr w14:paraId="746C5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5" w:type="dxa"/>
            <w:tcBorders>
              <w:left w:val="nil"/>
            </w:tcBorders>
            <w:vAlign w:val="top"/>
          </w:tcPr>
          <w:p w14:paraId="17DD2CE4">
            <w:pPr>
              <w:spacing w:before="90"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40" w:type="dxa"/>
            <w:vAlign w:val="top"/>
          </w:tcPr>
          <w:p w14:paraId="6445F57A">
            <w:pPr>
              <w:spacing w:before="54" w:line="228" w:lineRule="auto"/>
              <w:ind w:left="45"/>
              <w:rPr>
                <w:rFonts w:ascii="宋体" w:hAnsi="宋体" w:eastAsia="宋体" w:cs="宋体"/>
                <w:sz w:val="20"/>
                <w:szCs w:val="20"/>
              </w:rPr>
            </w:pPr>
            <w:r>
              <w:rPr>
                <w:rFonts w:ascii="宋体" w:hAnsi="宋体" w:eastAsia="宋体" w:cs="宋体"/>
                <w:spacing w:val="-3"/>
                <w:sz w:val="20"/>
                <w:szCs w:val="20"/>
              </w:rPr>
              <w:t>除尘器收集的粉尘</w:t>
            </w:r>
          </w:p>
        </w:tc>
        <w:tc>
          <w:tcPr>
            <w:tcW w:w="1173" w:type="dxa"/>
            <w:vAlign w:val="top"/>
          </w:tcPr>
          <w:p w14:paraId="2CBE9B23">
            <w:pPr>
              <w:spacing w:before="90"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w:t>
            </w:r>
            <w:r>
              <w:rPr>
                <w:rFonts w:ascii="Times New Roman" w:hAnsi="Times New Roman" w:eastAsia="Times New Roman" w:cs="Times New Roman"/>
                <w:spacing w:val="2"/>
                <w:sz w:val="20"/>
                <w:szCs w:val="20"/>
              </w:rPr>
              <w:t>7</w:t>
            </w:r>
          </w:p>
        </w:tc>
        <w:tc>
          <w:tcPr>
            <w:tcW w:w="932" w:type="dxa"/>
            <w:vAlign w:val="top"/>
          </w:tcPr>
          <w:p w14:paraId="6B24A21E">
            <w:pPr>
              <w:spacing w:before="54" w:line="228" w:lineRule="auto"/>
              <w:ind w:left="55"/>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271" w:type="dxa"/>
            <w:tcBorders>
              <w:right w:val="nil"/>
            </w:tcBorders>
            <w:vAlign w:val="top"/>
          </w:tcPr>
          <w:p w14:paraId="589E609C">
            <w:pPr>
              <w:spacing w:before="54" w:line="227" w:lineRule="auto"/>
              <w:ind w:left="147"/>
              <w:rPr>
                <w:rFonts w:ascii="宋体" w:hAnsi="宋体" w:eastAsia="宋体" w:cs="宋体"/>
                <w:sz w:val="20"/>
                <w:szCs w:val="20"/>
              </w:rPr>
            </w:pPr>
            <w:r>
              <w:rPr>
                <w:rFonts w:ascii="宋体" w:hAnsi="宋体" w:eastAsia="宋体" w:cs="宋体"/>
                <w:spacing w:val="18"/>
                <w:sz w:val="20"/>
                <w:szCs w:val="20"/>
              </w:rPr>
              <w:t>集</w:t>
            </w:r>
            <w:r>
              <w:rPr>
                <w:rFonts w:ascii="宋体" w:hAnsi="宋体" w:eastAsia="宋体" w:cs="宋体"/>
                <w:spacing w:val="9"/>
                <w:sz w:val="20"/>
                <w:szCs w:val="20"/>
              </w:rPr>
              <w:t>中收集后定期外卖给农肥厂进行综合利用</w:t>
            </w:r>
          </w:p>
        </w:tc>
      </w:tr>
      <w:tr w14:paraId="62F6B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5" w:type="dxa"/>
            <w:tcBorders>
              <w:left w:val="nil"/>
            </w:tcBorders>
            <w:vAlign w:val="top"/>
          </w:tcPr>
          <w:p w14:paraId="3DCF0DDA">
            <w:pPr>
              <w:spacing w:before="249" w:line="192"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40" w:type="dxa"/>
            <w:vAlign w:val="top"/>
          </w:tcPr>
          <w:p w14:paraId="6747453C">
            <w:pPr>
              <w:spacing w:before="211" w:line="228" w:lineRule="auto"/>
              <w:ind w:left="404"/>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活性炭</w:t>
            </w:r>
          </w:p>
        </w:tc>
        <w:tc>
          <w:tcPr>
            <w:tcW w:w="1173" w:type="dxa"/>
            <w:vAlign w:val="top"/>
          </w:tcPr>
          <w:p w14:paraId="414E68C7">
            <w:pPr>
              <w:spacing w:before="247"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.22</w:t>
            </w:r>
          </w:p>
        </w:tc>
        <w:tc>
          <w:tcPr>
            <w:tcW w:w="932" w:type="dxa"/>
            <w:vAlign w:val="top"/>
          </w:tcPr>
          <w:p w14:paraId="0CB223E6">
            <w:pPr>
              <w:spacing w:before="211" w:line="228" w:lineRule="auto"/>
              <w:ind w:left="54"/>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险固废</w:t>
            </w:r>
          </w:p>
        </w:tc>
        <w:tc>
          <w:tcPr>
            <w:tcW w:w="4271" w:type="dxa"/>
            <w:tcBorders>
              <w:right w:val="nil"/>
            </w:tcBorders>
            <w:vAlign w:val="top"/>
          </w:tcPr>
          <w:p w14:paraId="2F383625">
            <w:pPr>
              <w:spacing w:before="54" w:line="258" w:lineRule="auto"/>
              <w:ind w:left="35" w:right="22" w:hanging="5"/>
              <w:rPr>
                <w:rFonts w:ascii="宋体" w:hAnsi="宋体" w:eastAsia="宋体" w:cs="宋体"/>
                <w:sz w:val="20"/>
                <w:szCs w:val="20"/>
              </w:rPr>
            </w:pPr>
            <w:r>
              <w:rPr>
                <w:rFonts w:ascii="宋体" w:hAnsi="宋体" w:eastAsia="宋体" w:cs="宋体"/>
                <w:spacing w:val="20"/>
                <w:sz w:val="20"/>
                <w:szCs w:val="20"/>
              </w:rPr>
              <w:t>集</w:t>
            </w:r>
            <w:r>
              <w:rPr>
                <w:rFonts w:ascii="宋体" w:hAnsi="宋体" w:eastAsia="宋体" w:cs="宋体"/>
                <w:spacing w:val="15"/>
                <w:sz w:val="20"/>
                <w:szCs w:val="20"/>
              </w:rPr>
              <w:t>中</w:t>
            </w:r>
            <w:r>
              <w:rPr>
                <w:rFonts w:ascii="宋体" w:hAnsi="宋体" w:eastAsia="宋体" w:cs="宋体"/>
                <w:spacing w:val="10"/>
                <w:sz w:val="20"/>
                <w:szCs w:val="20"/>
              </w:rPr>
              <w:t>收集后在固定容器中单独存放，积攒到一</w:t>
            </w:r>
            <w:r>
              <w:rPr>
                <w:rFonts w:ascii="宋体" w:hAnsi="宋体" w:eastAsia="宋体" w:cs="宋体"/>
                <w:sz w:val="20"/>
                <w:szCs w:val="20"/>
              </w:rPr>
              <w:t xml:space="preserve"> </w:t>
            </w:r>
            <w:r>
              <w:rPr>
                <w:rFonts w:ascii="宋体" w:hAnsi="宋体" w:eastAsia="宋体" w:cs="宋体"/>
                <w:spacing w:val="11"/>
                <w:sz w:val="20"/>
                <w:szCs w:val="20"/>
              </w:rPr>
              <w:t>定</w:t>
            </w:r>
            <w:r>
              <w:rPr>
                <w:rFonts w:ascii="宋体" w:hAnsi="宋体" w:eastAsia="宋体" w:cs="宋体"/>
                <w:spacing w:val="8"/>
                <w:sz w:val="20"/>
                <w:szCs w:val="20"/>
              </w:rPr>
              <w:t>数量后交由有资质单位处理。</w:t>
            </w:r>
          </w:p>
        </w:tc>
      </w:tr>
      <w:tr w14:paraId="4ED2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505" w:type="dxa"/>
            <w:tcBorders>
              <w:left w:val="nil"/>
            </w:tcBorders>
            <w:vAlign w:val="top"/>
          </w:tcPr>
          <w:p w14:paraId="566E0AC7">
            <w:pPr>
              <w:spacing w:before="24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40" w:type="dxa"/>
            <w:vAlign w:val="top"/>
          </w:tcPr>
          <w:p w14:paraId="4AFC9BDB">
            <w:pPr>
              <w:spacing w:before="211" w:line="228" w:lineRule="auto"/>
              <w:ind w:left="142"/>
              <w:rPr>
                <w:rFonts w:ascii="宋体" w:hAnsi="宋体" w:eastAsia="宋体" w:cs="宋体"/>
                <w:sz w:val="20"/>
                <w:szCs w:val="20"/>
              </w:rPr>
            </w:pPr>
            <w:r>
              <w:rPr>
                <w:rFonts w:ascii="宋体" w:hAnsi="宋体" w:eastAsia="宋体" w:cs="宋体"/>
                <w:spacing w:val="1"/>
                <w:sz w:val="20"/>
                <w:szCs w:val="20"/>
              </w:rPr>
              <w:t xml:space="preserve">废 </w:t>
            </w: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光解灯</w:t>
            </w:r>
            <w:r>
              <w:rPr>
                <w:rFonts w:ascii="宋体" w:hAnsi="宋体" w:eastAsia="宋体" w:cs="宋体"/>
                <w:sz w:val="20"/>
                <w:szCs w:val="20"/>
              </w:rPr>
              <w:t>管</w:t>
            </w:r>
          </w:p>
        </w:tc>
        <w:tc>
          <w:tcPr>
            <w:tcW w:w="1173" w:type="dxa"/>
            <w:vAlign w:val="top"/>
          </w:tcPr>
          <w:p w14:paraId="27A2CAD2">
            <w:pPr>
              <w:spacing w:before="24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c>
          <w:tcPr>
            <w:tcW w:w="932" w:type="dxa"/>
            <w:vAlign w:val="top"/>
          </w:tcPr>
          <w:p w14:paraId="5C3C1ABE">
            <w:pPr>
              <w:spacing w:before="212" w:line="228" w:lineRule="auto"/>
              <w:ind w:left="54"/>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险固废</w:t>
            </w:r>
          </w:p>
        </w:tc>
        <w:tc>
          <w:tcPr>
            <w:tcW w:w="4271" w:type="dxa"/>
            <w:tcBorders>
              <w:right w:val="nil"/>
            </w:tcBorders>
            <w:vAlign w:val="top"/>
          </w:tcPr>
          <w:p w14:paraId="34FDF627">
            <w:pPr>
              <w:spacing w:before="55" w:line="258" w:lineRule="auto"/>
              <w:ind w:left="35" w:right="22" w:hanging="5"/>
              <w:rPr>
                <w:rFonts w:ascii="宋体" w:hAnsi="宋体" w:eastAsia="宋体" w:cs="宋体"/>
                <w:sz w:val="20"/>
                <w:szCs w:val="20"/>
              </w:rPr>
            </w:pPr>
            <w:r>
              <w:rPr>
                <w:rFonts w:ascii="宋体" w:hAnsi="宋体" w:eastAsia="宋体" w:cs="宋体"/>
                <w:spacing w:val="20"/>
                <w:sz w:val="20"/>
                <w:szCs w:val="20"/>
              </w:rPr>
              <w:t>集</w:t>
            </w:r>
            <w:r>
              <w:rPr>
                <w:rFonts w:ascii="宋体" w:hAnsi="宋体" w:eastAsia="宋体" w:cs="宋体"/>
                <w:spacing w:val="15"/>
                <w:sz w:val="20"/>
                <w:szCs w:val="20"/>
              </w:rPr>
              <w:t>中</w:t>
            </w:r>
            <w:r>
              <w:rPr>
                <w:rFonts w:ascii="宋体" w:hAnsi="宋体" w:eastAsia="宋体" w:cs="宋体"/>
                <w:spacing w:val="10"/>
                <w:sz w:val="20"/>
                <w:szCs w:val="20"/>
              </w:rPr>
              <w:t>收集后在固定容器中单独存放，积攒到一</w:t>
            </w:r>
            <w:r>
              <w:rPr>
                <w:rFonts w:ascii="宋体" w:hAnsi="宋体" w:eastAsia="宋体" w:cs="宋体"/>
                <w:sz w:val="20"/>
                <w:szCs w:val="20"/>
              </w:rPr>
              <w:t xml:space="preserve"> </w:t>
            </w:r>
            <w:r>
              <w:rPr>
                <w:rFonts w:ascii="宋体" w:hAnsi="宋体" w:eastAsia="宋体" w:cs="宋体"/>
                <w:spacing w:val="11"/>
                <w:sz w:val="20"/>
                <w:szCs w:val="20"/>
              </w:rPr>
              <w:t>定</w:t>
            </w:r>
            <w:r>
              <w:rPr>
                <w:rFonts w:ascii="宋体" w:hAnsi="宋体" w:eastAsia="宋体" w:cs="宋体"/>
                <w:spacing w:val="8"/>
                <w:sz w:val="20"/>
                <w:szCs w:val="20"/>
              </w:rPr>
              <w:t>数量后交由有资质单位处理。</w:t>
            </w:r>
          </w:p>
        </w:tc>
      </w:tr>
    </w:tbl>
    <w:p w14:paraId="15178221">
      <w:pPr>
        <w:spacing w:line="260" w:lineRule="auto"/>
        <w:rPr>
          <w:rFonts w:ascii="Arial"/>
          <w:sz w:val="21"/>
        </w:rPr>
      </w:pPr>
    </w:p>
    <w:p w14:paraId="363125A3">
      <w:pPr>
        <w:tabs>
          <w:tab w:val="left" w:pos="242"/>
        </w:tabs>
        <w:spacing w:before="75" w:line="389" w:lineRule="auto"/>
        <w:ind w:left="113" w:right="65" w:firstLine="487"/>
        <w:rPr>
          <w:rFonts w:ascii="宋体" w:hAnsi="宋体" w:eastAsia="宋体" w:cs="宋体"/>
          <w:sz w:val="23"/>
          <w:szCs w:val="23"/>
        </w:rPr>
      </w:pPr>
      <w:r>
        <w:rPr>
          <w:rFonts w:ascii="宋体" w:hAnsi="宋体" w:eastAsia="宋体" w:cs="宋体"/>
          <w:spacing w:val="1"/>
          <w:sz w:val="23"/>
          <w:szCs w:val="23"/>
        </w:rPr>
        <w:t>从结果可以</w:t>
      </w:r>
      <w:r>
        <w:rPr>
          <w:rFonts w:ascii="宋体" w:hAnsi="宋体" w:eastAsia="宋体" w:cs="宋体"/>
          <w:sz w:val="23"/>
          <w:szCs w:val="23"/>
        </w:rPr>
        <w:t xml:space="preserve">看出，本项目固体废弃物处置符合《辽宁省工业固体废物污染控制 </w:t>
      </w:r>
      <w:r>
        <w:rPr>
          <w:rFonts w:ascii="宋体" w:hAnsi="宋体" w:eastAsia="宋体" w:cs="宋体"/>
          <w:spacing w:val="16"/>
          <w:sz w:val="23"/>
          <w:szCs w:val="23"/>
        </w:rPr>
        <w:t>标</w:t>
      </w:r>
      <w:r>
        <w:rPr>
          <w:rFonts w:ascii="宋体" w:hAnsi="宋体" w:eastAsia="宋体" w:cs="宋体"/>
          <w:spacing w:val="13"/>
          <w:sz w:val="23"/>
          <w:szCs w:val="23"/>
        </w:rPr>
        <w:t>准</w:t>
      </w:r>
      <w:r>
        <w:rPr>
          <w:rFonts w:ascii="宋体" w:hAnsi="宋体" w:eastAsia="宋体" w:cs="宋体"/>
          <w:spacing w:val="8"/>
          <w:sz w:val="23"/>
          <w:szCs w:val="23"/>
        </w:rPr>
        <w:t>》  (</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21-777-94</w:t>
      </w:r>
      <w:r>
        <w:rPr>
          <w:rFonts w:ascii="宋体" w:hAnsi="宋体" w:eastAsia="宋体" w:cs="宋体"/>
          <w:spacing w:val="8"/>
          <w:sz w:val="23"/>
          <w:szCs w:val="23"/>
        </w:rPr>
        <w:t>) 、《 一般工业固体废物贮存、处置场污染控制标准》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18599-2001</w:t>
      </w:r>
      <w:r>
        <w:rPr>
          <w:rFonts w:ascii="宋体" w:hAnsi="宋体" w:eastAsia="宋体" w:cs="宋体"/>
          <w:spacing w:val="7"/>
          <w:sz w:val="23"/>
          <w:szCs w:val="23"/>
        </w:rPr>
        <w:t xml:space="preserve">) 及其修改单公告 (环境保护部公告，公告 </w:t>
      </w:r>
      <w:r>
        <w:rPr>
          <w:rFonts w:ascii="Times New Roman" w:hAnsi="Times New Roman" w:eastAsia="Times New Roman" w:cs="Times New Roman"/>
          <w:spacing w:val="7"/>
          <w:sz w:val="23"/>
          <w:szCs w:val="23"/>
        </w:rPr>
        <w:t xml:space="preserve">2013 </w:t>
      </w:r>
      <w:r>
        <w:rPr>
          <w:rFonts w:ascii="宋体" w:hAnsi="宋体" w:eastAsia="宋体" w:cs="宋体"/>
          <w:spacing w:val="7"/>
          <w:sz w:val="23"/>
          <w:szCs w:val="23"/>
        </w:rPr>
        <w:t xml:space="preserve">年第 </w:t>
      </w:r>
      <w:r>
        <w:rPr>
          <w:rFonts w:ascii="Times New Roman" w:hAnsi="Times New Roman" w:eastAsia="Times New Roman" w:cs="Times New Roman"/>
          <w:spacing w:val="7"/>
          <w:sz w:val="23"/>
          <w:szCs w:val="23"/>
        </w:rPr>
        <w:t xml:space="preserve">36 </w:t>
      </w:r>
      <w:r>
        <w:rPr>
          <w:rFonts w:ascii="宋体" w:hAnsi="宋体" w:eastAsia="宋体" w:cs="宋体"/>
          <w:spacing w:val="7"/>
          <w:sz w:val="23"/>
          <w:szCs w:val="23"/>
        </w:rPr>
        <w:t>号</w:t>
      </w:r>
      <w:r>
        <w:rPr>
          <w:rFonts w:ascii="宋体" w:hAnsi="宋体" w:eastAsia="宋体" w:cs="宋体"/>
          <w:spacing w:val="6"/>
          <w:sz w:val="23"/>
          <w:szCs w:val="23"/>
        </w:rPr>
        <w:t>，</w:t>
      </w:r>
      <w:r>
        <w:rPr>
          <w:rFonts w:ascii="宋体" w:hAnsi="宋体" w:eastAsia="宋体" w:cs="宋体"/>
          <w:sz w:val="23"/>
          <w:szCs w:val="23"/>
        </w:rPr>
        <w:t xml:space="preserve"> </w:t>
      </w:r>
      <w:r>
        <w:rPr>
          <w:rFonts w:ascii="Times New Roman" w:hAnsi="Times New Roman" w:eastAsia="Times New Roman" w:cs="Times New Roman"/>
          <w:spacing w:val="-4"/>
          <w:sz w:val="23"/>
          <w:szCs w:val="23"/>
        </w:rPr>
        <w:t xml:space="preserve">2013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6 </w:t>
      </w:r>
      <w:r>
        <w:rPr>
          <w:rFonts w:ascii="宋体" w:hAnsi="宋体" w:eastAsia="宋体" w:cs="宋体"/>
          <w:spacing w:val="-4"/>
          <w:sz w:val="23"/>
          <w:szCs w:val="23"/>
        </w:rPr>
        <w:t xml:space="preserve">月 </w:t>
      </w:r>
      <w:r>
        <w:rPr>
          <w:rFonts w:ascii="Times New Roman" w:hAnsi="Times New Roman" w:eastAsia="Times New Roman" w:cs="Times New Roman"/>
          <w:spacing w:val="-2"/>
          <w:sz w:val="23"/>
          <w:szCs w:val="23"/>
        </w:rPr>
        <w:t xml:space="preserve">8 </w:t>
      </w:r>
      <w:r>
        <w:rPr>
          <w:rFonts w:ascii="宋体" w:hAnsi="宋体" w:eastAsia="宋体" w:cs="宋体"/>
          <w:spacing w:val="-2"/>
          <w:sz w:val="23"/>
          <w:szCs w:val="23"/>
        </w:rPr>
        <w:t>日) 的相关规定。项目产生的固体废弃物对区域环境质量影响不大。</w:t>
      </w:r>
    </w:p>
    <w:p w14:paraId="10067B7C">
      <w:pPr>
        <w:spacing w:before="100" w:line="221" w:lineRule="auto"/>
        <w:ind w:left="112"/>
        <w:outlineLvl w:val="3"/>
        <w:rPr>
          <w:rFonts w:ascii="宋体" w:hAnsi="宋体" w:eastAsia="宋体" w:cs="宋体"/>
          <w:sz w:val="28"/>
          <w:szCs w:val="28"/>
        </w:rPr>
      </w:pPr>
      <w:r>
        <w:rPr>
          <w:rFonts w:ascii="Times New Roman" w:hAnsi="Times New Roman" w:eastAsia="Times New Roman" w:cs="Times New Roman"/>
          <w:b/>
          <w:bCs/>
          <w:spacing w:val="14"/>
          <w:sz w:val="28"/>
          <w:szCs w:val="28"/>
        </w:rPr>
        <w:t>3</w:t>
      </w:r>
      <w:r>
        <w:rPr>
          <w:rFonts w:ascii="Times New Roman" w:hAnsi="Times New Roman" w:eastAsia="Times New Roman" w:cs="Times New Roman"/>
          <w:b/>
          <w:bCs/>
          <w:spacing w:val="10"/>
          <w:sz w:val="28"/>
          <w:szCs w:val="28"/>
        </w:rPr>
        <w:t>.</w:t>
      </w:r>
      <w:r>
        <w:rPr>
          <w:rFonts w:ascii="Times New Roman" w:hAnsi="Times New Roman" w:eastAsia="Times New Roman" w:cs="Times New Roman"/>
          <w:b/>
          <w:bCs/>
          <w:spacing w:val="7"/>
          <w:sz w:val="28"/>
          <w:szCs w:val="28"/>
        </w:rPr>
        <w:t>2.2.5</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污染源强汇总</w:t>
      </w:r>
    </w:p>
    <w:p w14:paraId="5606595A">
      <w:pPr>
        <w:spacing w:line="260" w:lineRule="auto"/>
        <w:rPr>
          <w:rFonts w:ascii="Arial"/>
          <w:sz w:val="21"/>
        </w:rPr>
      </w:pPr>
    </w:p>
    <w:p w14:paraId="63859C27">
      <w:pPr>
        <w:spacing w:before="75" w:line="227" w:lineRule="auto"/>
        <w:ind w:left="601"/>
        <w:rPr>
          <w:rFonts w:ascii="宋体" w:hAnsi="宋体" w:eastAsia="宋体" w:cs="宋体"/>
          <w:sz w:val="23"/>
          <w:szCs w:val="23"/>
        </w:rPr>
      </w:pPr>
      <w:r>
        <w:rPr>
          <w:rFonts w:ascii="宋体" w:hAnsi="宋体" w:eastAsia="宋体" w:cs="宋体"/>
          <w:spacing w:val="5"/>
          <w:sz w:val="23"/>
          <w:szCs w:val="23"/>
        </w:rPr>
        <w:t xml:space="preserve">该项目个污染物产生和排放情况见表 </w:t>
      </w:r>
      <w:r>
        <w:rPr>
          <w:rFonts w:ascii="Times New Roman" w:hAnsi="Times New Roman" w:eastAsia="Times New Roman" w:cs="Times New Roman"/>
          <w:spacing w:val="5"/>
          <w:sz w:val="23"/>
          <w:szCs w:val="23"/>
        </w:rPr>
        <w:t>3-21</w:t>
      </w:r>
      <w:r>
        <w:rPr>
          <w:rFonts w:ascii="宋体" w:hAnsi="宋体" w:eastAsia="宋体" w:cs="宋体"/>
          <w:spacing w:val="4"/>
          <w:sz w:val="23"/>
          <w:szCs w:val="23"/>
        </w:rPr>
        <w:t>。</w:t>
      </w:r>
    </w:p>
    <w:p w14:paraId="45ABBB99">
      <w:pPr>
        <w:spacing w:line="276" w:lineRule="auto"/>
        <w:rPr>
          <w:rFonts w:ascii="Arial"/>
          <w:sz w:val="21"/>
        </w:rPr>
      </w:pPr>
    </w:p>
    <w:p w14:paraId="1F6B5FE9">
      <w:pPr>
        <w:spacing w:before="75" w:line="228" w:lineRule="auto"/>
        <w:ind w:left="245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3-21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污染物排放情况汇总表</w:t>
      </w:r>
    </w:p>
    <w:p w14:paraId="3C272C49">
      <w:pPr>
        <w:spacing w:line="17" w:lineRule="exact"/>
      </w:pPr>
    </w:p>
    <w:tbl>
      <w:tblPr>
        <w:tblStyle w:val="4"/>
        <w:tblW w:w="83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3"/>
        <w:gridCol w:w="269"/>
        <w:gridCol w:w="1705"/>
        <w:gridCol w:w="1578"/>
        <w:gridCol w:w="1361"/>
        <w:gridCol w:w="1530"/>
        <w:gridCol w:w="1419"/>
      </w:tblGrid>
      <w:tr w14:paraId="4A676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43" w:type="dxa"/>
            <w:tcBorders>
              <w:left w:val="nil"/>
            </w:tcBorders>
            <w:vAlign w:val="top"/>
          </w:tcPr>
          <w:p w14:paraId="2F1E41D5">
            <w:pPr>
              <w:spacing w:before="75" w:line="229" w:lineRule="auto"/>
              <w:ind w:left="31"/>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序</w:t>
            </w:r>
            <w:r>
              <w:rPr>
                <w:rFonts w:ascii="宋体" w:hAnsi="宋体" w:eastAsia="宋体" w:cs="宋体"/>
                <w:sz w:val="20"/>
                <w:szCs w:val="20"/>
                <w14:textOutline w14:w="3795" w14:cap="sq" w14:cmpd="sng">
                  <w14:solidFill>
                    <w14:srgbClr w14:val="000000"/>
                  </w14:solidFill>
                  <w14:prstDash w14:val="solid"/>
                  <w14:bevel/>
                </w14:textOutline>
              </w:rPr>
              <w:t>号</w:t>
            </w:r>
          </w:p>
        </w:tc>
        <w:tc>
          <w:tcPr>
            <w:tcW w:w="1974" w:type="dxa"/>
            <w:gridSpan w:val="2"/>
            <w:vAlign w:val="top"/>
          </w:tcPr>
          <w:p w14:paraId="329083DD">
            <w:pPr>
              <w:spacing w:before="75" w:line="230" w:lineRule="auto"/>
              <w:ind w:left="79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名称</w:t>
            </w:r>
          </w:p>
        </w:tc>
        <w:tc>
          <w:tcPr>
            <w:tcW w:w="1578" w:type="dxa"/>
            <w:vAlign w:val="top"/>
          </w:tcPr>
          <w:p w14:paraId="7E181E08">
            <w:pPr>
              <w:spacing w:before="75" w:line="228" w:lineRule="auto"/>
              <w:ind w:left="399"/>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产</w:t>
            </w:r>
            <w:r>
              <w:rPr>
                <w:rFonts w:ascii="宋体" w:hAnsi="宋体" w:eastAsia="宋体" w:cs="宋体"/>
                <w:sz w:val="20"/>
                <w:szCs w:val="20"/>
                <w14:textOutline w14:w="3795" w14:cap="sq" w14:cmpd="sng">
                  <w14:solidFill>
                    <w14:srgbClr w14:val="000000"/>
                  </w14:solidFill>
                  <w14:prstDash w14:val="solid"/>
                  <w14:bevel/>
                </w14:textOutline>
              </w:rPr>
              <w:t>生浓度</w:t>
            </w:r>
          </w:p>
        </w:tc>
        <w:tc>
          <w:tcPr>
            <w:tcW w:w="1361" w:type="dxa"/>
            <w:vAlign w:val="top"/>
          </w:tcPr>
          <w:p w14:paraId="3AC1E3A0">
            <w:pPr>
              <w:spacing w:before="75" w:line="228" w:lineRule="auto"/>
              <w:ind w:left="39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产生量</w:t>
            </w:r>
          </w:p>
        </w:tc>
        <w:tc>
          <w:tcPr>
            <w:tcW w:w="1530" w:type="dxa"/>
            <w:vAlign w:val="top"/>
          </w:tcPr>
          <w:p w14:paraId="5F851519">
            <w:pPr>
              <w:spacing w:before="76" w:line="228" w:lineRule="auto"/>
              <w:ind w:left="37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排</w:t>
            </w:r>
            <w:r>
              <w:rPr>
                <w:rFonts w:ascii="宋体" w:hAnsi="宋体" w:eastAsia="宋体" w:cs="宋体"/>
                <w:sz w:val="20"/>
                <w:szCs w:val="20"/>
                <w14:textOutline w14:w="3795" w14:cap="sq" w14:cmpd="sng">
                  <w14:solidFill>
                    <w14:srgbClr w14:val="000000"/>
                  </w14:solidFill>
                  <w14:prstDash w14:val="solid"/>
                  <w14:bevel/>
                </w14:textOutline>
              </w:rPr>
              <w:t>放浓度</w:t>
            </w:r>
          </w:p>
        </w:tc>
        <w:tc>
          <w:tcPr>
            <w:tcW w:w="1419" w:type="dxa"/>
            <w:tcBorders>
              <w:right w:val="nil"/>
            </w:tcBorders>
            <w:vAlign w:val="top"/>
          </w:tcPr>
          <w:p w14:paraId="5A6CABC6">
            <w:pPr>
              <w:spacing w:before="75" w:line="229" w:lineRule="auto"/>
              <w:ind w:left="418"/>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排放量</w:t>
            </w:r>
          </w:p>
        </w:tc>
      </w:tr>
      <w:tr w14:paraId="7CDEB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43" w:type="dxa"/>
            <w:vMerge w:val="restart"/>
            <w:tcBorders>
              <w:left w:val="nil"/>
              <w:bottom w:val="nil"/>
            </w:tcBorders>
            <w:vAlign w:val="top"/>
          </w:tcPr>
          <w:p w14:paraId="32BBB758">
            <w:pPr>
              <w:spacing w:line="295" w:lineRule="auto"/>
              <w:rPr>
                <w:rFonts w:ascii="Arial"/>
                <w:sz w:val="21"/>
              </w:rPr>
            </w:pPr>
          </w:p>
          <w:p w14:paraId="57EB0C16">
            <w:pPr>
              <w:spacing w:line="295" w:lineRule="auto"/>
              <w:rPr>
                <w:rFonts w:ascii="Arial"/>
                <w:sz w:val="21"/>
              </w:rPr>
            </w:pPr>
          </w:p>
          <w:p w14:paraId="14EB4040">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9" w:type="dxa"/>
            <w:vMerge w:val="restart"/>
            <w:tcBorders>
              <w:bottom w:val="nil"/>
            </w:tcBorders>
            <w:textDirection w:val="tbRlV"/>
            <w:vAlign w:val="top"/>
          </w:tcPr>
          <w:p w14:paraId="0475C7AB">
            <w:pPr>
              <w:spacing w:before="27" w:line="217" w:lineRule="auto"/>
              <w:ind w:left="459"/>
              <w:rPr>
                <w:rFonts w:ascii="宋体" w:hAnsi="宋体" w:eastAsia="宋体" w:cs="宋体"/>
                <w:sz w:val="20"/>
                <w:szCs w:val="20"/>
              </w:rPr>
            </w:pPr>
            <w:r>
              <w:rPr>
                <w:rFonts w:ascii="宋体" w:hAnsi="宋体" w:eastAsia="宋体" w:cs="宋体"/>
                <w:spacing w:val="7"/>
                <w:sz w:val="20"/>
                <w:szCs w:val="20"/>
              </w:rPr>
              <w:t xml:space="preserve">废 </w:t>
            </w:r>
            <w:r>
              <w:rPr>
                <w:rFonts w:ascii="宋体" w:hAnsi="宋体" w:eastAsia="宋体" w:cs="宋体"/>
                <w:spacing w:val="6"/>
                <w:sz w:val="20"/>
                <w:szCs w:val="20"/>
              </w:rPr>
              <w:t>气</w:t>
            </w:r>
          </w:p>
        </w:tc>
        <w:tc>
          <w:tcPr>
            <w:tcW w:w="1705" w:type="dxa"/>
            <w:vAlign w:val="top"/>
          </w:tcPr>
          <w:p w14:paraId="38A00BBE">
            <w:pPr>
              <w:spacing w:before="46" w:line="220" w:lineRule="auto"/>
              <w:ind w:left="646"/>
              <w:rPr>
                <w:rFonts w:ascii="宋体" w:hAnsi="宋体" w:eastAsia="宋体" w:cs="宋体"/>
                <w:sz w:val="20"/>
                <w:szCs w:val="20"/>
              </w:rPr>
            </w:pPr>
            <w:r>
              <w:rPr>
                <w:rFonts w:ascii="宋体" w:hAnsi="宋体" w:eastAsia="宋体" w:cs="宋体"/>
                <w:spacing w:val="5"/>
                <w:sz w:val="20"/>
                <w:szCs w:val="20"/>
              </w:rPr>
              <w:t>粉尘</w:t>
            </w:r>
          </w:p>
        </w:tc>
        <w:tc>
          <w:tcPr>
            <w:tcW w:w="1578" w:type="dxa"/>
            <w:vAlign w:val="top"/>
          </w:tcPr>
          <w:p w14:paraId="1DF95ECE">
            <w:pPr>
              <w:spacing w:before="8" w:line="277"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61" w:type="dxa"/>
            <w:vAlign w:val="top"/>
          </w:tcPr>
          <w:p w14:paraId="497D361A">
            <w:pPr>
              <w:spacing w:before="8" w:line="277" w:lineRule="exact"/>
              <w:ind w:left="4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1.02t/a</w:t>
            </w:r>
          </w:p>
        </w:tc>
        <w:tc>
          <w:tcPr>
            <w:tcW w:w="1530" w:type="dxa"/>
            <w:vAlign w:val="top"/>
          </w:tcPr>
          <w:p w14:paraId="27BA7CEE">
            <w:pPr>
              <w:spacing w:before="8" w:line="277"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19" w:type="dxa"/>
            <w:tcBorders>
              <w:right w:val="nil"/>
            </w:tcBorders>
            <w:vAlign w:val="top"/>
          </w:tcPr>
          <w:p w14:paraId="24C26D64">
            <w:pPr>
              <w:spacing w:before="8" w:line="277" w:lineRule="exact"/>
              <w:ind w:left="4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1.02t/a</w:t>
            </w:r>
          </w:p>
        </w:tc>
      </w:tr>
      <w:tr w14:paraId="78D11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3" w:type="dxa"/>
            <w:vMerge w:val="continue"/>
            <w:tcBorders>
              <w:top w:val="nil"/>
              <w:left w:val="nil"/>
              <w:bottom w:val="nil"/>
            </w:tcBorders>
            <w:vAlign w:val="top"/>
          </w:tcPr>
          <w:p w14:paraId="58DE6738">
            <w:pPr>
              <w:rPr>
                <w:rFonts w:ascii="Arial"/>
                <w:sz w:val="21"/>
              </w:rPr>
            </w:pPr>
          </w:p>
        </w:tc>
        <w:tc>
          <w:tcPr>
            <w:tcW w:w="269" w:type="dxa"/>
            <w:vMerge w:val="continue"/>
            <w:tcBorders>
              <w:top w:val="nil"/>
              <w:bottom w:val="nil"/>
            </w:tcBorders>
            <w:textDirection w:val="tbRlV"/>
            <w:vAlign w:val="top"/>
          </w:tcPr>
          <w:p w14:paraId="6BCD23EB">
            <w:pPr>
              <w:rPr>
                <w:rFonts w:ascii="Arial"/>
                <w:sz w:val="21"/>
              </w:rPr>
            </w:pPr>
          </w:p>
        </w:tc>
        <w:tc>
          <w:tcPr>
            <w:tcW w:w="1705" w:type="dxa"/>
            <w:vAlign w:val="top"/>
          </w:tcPr>
          <w:p w14:paraId="6B874AF2">
            <w:pPr>
              <w:spacing w:before="44" w:line="215" w:lineRule="auto"/>
              <w:ind w:left="336"/>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578" w:type="dxa"/>
            <w:vAlign w:val="top"/>
          </w:tcPr>
          <w:p w14:paraId="4F059758">
            <w:pPr>
              <w:spacing w:before="6" w:line="271" w:lineRule="exact"/>
              <w:ind w:left="354"/>
              <w:rPr>
                <w:rFonts w:ascii="Times New Roman" w:hAnsi="Times New Roman" w:eastAsia="Times New Roman" w:cs="Times New Roman"/>
                <w:sz w:val="13"/>
                <w:szCs w:val="13"/>
              </w:rPr>
            </w:pPr>
            <w:r>
              <w:rPr>
                <w:rFonts w:ascii="Times New Roman" w:hAnsi="Times New Roman" w:eastAsia="Times New Roman" w:cs="Times New Roman"/>
                <w:spacing w:val="10"/>
                <w:position w:val="3"/>
                <w:sz w:val="20"/>
                <w:szCs w:val="20"/>
              </w:rPr>
              <w:t>2</w:t>
            </w:r>
            <w:r>
              <w:rPr>
                <w:rFonts w:ascii="Times New Roman" w:hAnsi="Times New Roman" w:eastAsia="Times New Roman" w:cs="Times New Roman"/>
                <w:spacing w:val="7"/>
                <w:position w:val="3"/>
                <w:sz w:val="20"/>
                <w:szCs w:val="20"/>
              </w:rPr>
              <w:t>48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7"/>
                <w:position w:val="9"/>
                <w:sz w:val="13"/>
                <w:szCs w:val="13"/>
              </w:rPr>
              <w:t>3</w:t>
            </w:r>
          </w:p>
        </w:tc>
        <w:tc>
          <w:tcPr>
            <w:tcW w:w="1361" w:type="dxa"/>
            <w:vAlign w:val="top"/>
          </w:tcPr>
          <w:p w14:paraId="06E735C9">
            <w:pPr>
              <w:spacing w:before="6" w:line="271"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 xml:space="preserve">17 </w:t>
            </w:r>
            <w:r>
              <w:rPr>
                <w:rFonts w:ascii="Times New Roman" w:hAnsi="Times New Roman" w:eastAsia="Times New Roman" w:cs="Times New Roman"/>
                <w:position w:val="1"/>
                <w:sz w:val="20"/>
                <w:szCs w:val="20"/>
              </w:rPr>
              <w:t>88t/a</w:t>
            </w:r>
          </w:p>
        </w:tc>
        <w:tc>
          <w:tcPr>
            <w:tcW w:w="1530" w:type="dxa"/>
            <w:vAlign w:val="top"/>
          </w:tcPr>
          <w:p w14:paraId="05371C3C">
            <w:pPr>
              <w:spacing w:before="6" w:line="271" w:lineRule="exact"/>
              <w:ind w:left="388"/>
              <w:rPr>
                <w:rFonts w:ascii="Times New Roman" w:hAnsi="Times New Roman" w:eastAsia="Times New Roman" w:cs="Times New Roman"/>
                <w:sz w:val="13"/>
                <w:szCs w:val="13"/>
              </w:rPr>
            </w:pPr>
            <w:r>
              <w:rPr>
                <w:rFonts w:ascii="Times New Roman" w:hAnsi="Times New Roman" w:eastAsia="Times New Roman" w:cs="Times New Roman"/>
                <w:spacing w:val="8"/>
                <w:position w:val="3"/>
                <w:sz w:val="20"/>
                <w:szCs w:val="20"/>
              </w:rPr>
              <w:t>6</w:t>
            </w:r>
            <w:r>
              <w:rPr>
                <w:rFonts w:ascii="Times New Roman" w:hAnsi="Times New Roman" w:eastAsia="Times New Roman" w:cs="Times New Roman"/>
                <w:spacing w:val="6"/>
                <w:position w:val="3"/>
                <w:sz w:val="20"/>
                <w:szCs w:val="20"/>
              </w:rPr>
              <w:t>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6"/>
                <w:position w:val="9"/>
                <w:sz w:val="13"/>
                <w:szCs w:val="13"/>
              </w:rPr>
              <w:t>3</w:t>
            </w:r>
          </w:p>
        </w:tc>
        <w:tc>
          <w:tcPr>
            <w:tcW w:w="1419" w:type="dxa"/>
            <w:tcBorders>
              <w:right w:val="nil"/>
            </w:tcBorders>
            <w:vAlign w:val="top"/>
          </w:tcPr>
          <w:p w14:paraId="563E8319">
            <w:pPr>
              <w:spacing w:before="6" w:line="271"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2 41</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a</w:t>
            </w:r>
          </w:p>
        </w:tc>
      </w:tr>
      <w:tr w14:paraId="40391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43" w:type="dxa"/>
            <w:vMerge w:val="continue"/>
            <w:tcBorders>
              <w:top w:val="nil"/>
              <w:left w:val="nil"/>
              <w:bottom w:val="nil"/>
            </w:tcBorders>
            <w:vAlign w:val="top"/>
          </w:tcPr>
          <w:p w14:paraId="1001BE50">
            <w:pPr>
              <w:rPr>
                <w:rFonts w:ascii="Arial"/>
                <w:sz w:val="21"/>
              </w:rPr>
            </w:pPr>
          </w:p>
        </w:tc>
        <w:tc>
          <w:tcPr>
            <w:tcW w:w="269" w:type="dxa"/>
            <w:vMerge w:val="continue"/>
            <w:tcBorders>
              <w:top w:val="nil"/>
              <w:bottom w:val="nil"/>
            </w:tcBorders>
            <w:textDirection w:val="tbRlV"/>
            <w:vAlign w:val="top"/>
          </w:tcPr>
          <w:p w14:paraId="33A8E09B">
            <w:pPr>
              <w:rPr>
                <w:rFonts w:ascii="Arial"/>
                <w:sz w:val="21"/>
              </w:rPr>
            </w:pPr>
          </w:p>
        </w:tc>
        <w:tc>
          <w:tcPr>
            <w:tcW w:w="1705" w:type="dxa"/>
            <w:vAlign w:val="top"/>
          </w:tcPr>
          <w:p w14:paraId="0541492D">
            <w:pPr>
              <w:spacing w:before="52" w:line="221" w:lineRule="auto"/>
              <w:ind w:left="540"/>
              <w:rPr>
                <w:rFonts w:ascii="宋体" w:hAnsi="宋体" w:eastAsia="宋体" w:cs="宋体"/>
                <w:sz w:val="20"/>
                <w:szCs w:val="20"/>
              </w:rPr>
            </w:pPr>
            <w:r>
              <w:rPr>
                <w:rFonts w:ascii="宋体" w:hAnsi="宋体" w:eastAsia="宋体" w:cs="宋体"/>
                <w:spacing w:val="7"/>
                <w:sz w:val="20"/>
                <w:szCs w:val="20"/>
              </w:rPr>
              <w:t>颗粒物</w:t>
            </w:r>
          </w:p>
        </w:tc>
        <w:tc>
          <w:tcPr>
            <w:tcW w:w="1578" w:type="dxa"/>
            <w:vAlign w:val="top"/>
          </w:tcPr>
          <w:p w14:paraId="44CF1FAC">
            <w:pPr>
              <w:spacing w:before="15" w:line="277" w:lineRule="exact"/>
              <w:ind w:left="412"/>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57</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6"/>
                <w:position w:val="9"/>
                <w:sz w:val="13"/>
                <w:szCs w:val="13"/>
              </w:rPr>
              <w:t>3</w:t>
            </w:r>
          </w:p>
        </w:tc>
        <w:tc>
          <w:tcPr>
            <w:tcW w:w="1361" w:type="dxa"/>
            <w:vAlign w:val="top"/>
          </w:tcPr>
          <w:p w14:paraId="519751D3">
            <w:pPr>
              <w:spacing w:before="15" w:line="277"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.34</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55C598EB">
            <w:pPr>
              <w:spacing w:before="15" w:line="277" w:lineRule="exact"/>
              <w:ind w:left="457"/>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2"/>
                <w:position w:val="9"/>
                <w:sz w:val="13"/>
                <w:szCs w:val="13"/>
              </w:rPr>
              <w:t>3</w:t>
            </w:r>
          </w:p>
        </w:tc>
        <w:tc>
          <w:tcPr>
            <w:tcW w:w="1419" w:type="dxa"/>
            <w:tcBorders>
              <w:right w:val="nil"/>
            </w:tcBorders>
            <w:vAlign w:val="top"/>
          </w:tcPr>
          <w:p w14:paraId="6133C847">
            <w:pPr>
              <w:spacing w:before="15" w:line="277"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0.003</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14:paraId="10CBB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43" w:type="dxa"/>
            <w:vMerge w:val="continue"/>
            <w:tcBorders>
              <w:top w:val="nil"/>
              <w:left w:val="nil"/>
              <w:bottom w:val="nil"/>
            </w:tcBorders>
            <w:vAlign w:val="top"/>
          </w:tcPr>
          <w:p w14:paraId="046B2065">
            <w:pPr>
              <w:rPr>
                <w:rFonts w:ascii="Arial"/>
                <w:sz w:val="21"/>
              </w:rPr>
            </w:pPr>
          </w:p>
        </w:tc>
        <w:tc>
          <w:tcPr>
            <w:tcW w:w="269" w:type="dxa"/>
            <w:vMerge w:val="continue"/>
            <w:tcBorders>
              <w:top w:val="nil"/>
              <w:bottom w:val="nil"/>
            </w:tcBorders>
            <w:textDirection w:val="tbRlV"/>
            <w:vAlign w:val="top"/>
          </w:tcPr>
          <w:p w14:paraId="327425C4">
            <w:pPr>
              <w:rPr>
                <w:rFonts w:ascii="Arial"/>
                <w:sz w:val="21"/>
              </w:rPr>
            </w:pPr>
          </w:p>
        </w:tc>
        <w:tc>
          <w:tcPr>
            <w:tcW w:w="1705" w:type="dxa"/>
            <w:vAlign w:val="top"/>
          </w:tcPr>
          <w:p w14:paraId="646FACF8">
            <w:pPr>
              <w:spacing w:before="82" w:line="202" w:lineRule="auto"/>
              <w:ind w:left="69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578" w:type="dxa"/>
            <w:vAlign w:val="top"/>
          </w:tcPr>
          <w:p w14:paraId="629952BD">
            <w:pPr>
              <w:spacing w:before="8" w:line="277" w:lineRule="exact"/>
              <w:ind w:left="374"/>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1</w:t>
            </w:r>
            <w:r>
              <w:rPr>
                <w:rFonts w:ascii="Times New Roman" w:hAnsi="Times New Roman" w:eastAsia="Times New Roman" w:cs="Times New Roman"/>
                <w:spacing w:val="3"/>
                <w:position w:val="3"/>
                <w:sz w:val="20"/>
                <w:szCs w:val="20"/>
              </w:rPr>
              <w:t>90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3"/>
                <w:position w:val="9"/>
                <w:sz w:val="13"/>
                <w:szCs w:val="13"/>
              </w:rPr>
              <w:t>3</w:t>
            </w:r>
          </w:p>
        </w:tc>
        <w:tc>
          <w:tcPr>
            <w:tcW w:w="1361" w:type="dxa"/>
            <w:vAlign w:val="top"/>
          </w:tcPr>
          <w:p w14:paraId="0E0C7B07">
            <w:pPr>
              <w:spacing w:before="8" w:line="277"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spacing w:val="-6"/>
                <w:position w:val="1"/>
                <w:sz w:val="20"/>
                <w:szCs w:val="20"/>
              </w:rPr>
              <w:t>. 14t/a</w:t>
            </w:r>
          </w:p>
        </w:tc>
        <w:tc>
          <w:tcPr>
            <w:tcW w:w="1530" w:type="dxa"/>
            <w:vAlign w:val="top"/>
          </w:tcPr>
          <w:p w14:paraId="5E105026">
            <w:pPr>
              <w:spacing w:before="8" w:line="277" w:lineRule="exact"/>
              <w:ind w:left="351"/>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1</w:t>
            </w:r>
            <w:r>
              <w:rPr>
                <w:rFonts w:ascii="Times New Roman" w:hAnsi="Times New Roman" w:eastAsia="Times New Roman" w:cs="Times New Roman"/>
                <w:spacing w:val="3"/>
                <w:position w:val="3"/>
                <w:sz w:val="20"/>
                <w:szCs w:val="20"/>
              </w:rPr>
              <w:t>90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3"/>
                <w:position w:val="9"/>
                <w:sz w:val="13"/>
                <w:szCs w:val="13"/>
              </w:rPr>
              <w:t>3</w:t>
            </w:r>
          </w:p>
        </w:tc>
        <w:tc>
          <w:tcPr>
            <w:tcW w:w="1419" w:type="dxa"/>
            <w:tcBorders>
              <w:right w:val="nil"/>
            </w:tcBorders>
            <w:vAlign w:val="top"/>
          </w:tcPr>
          <w:p w14:paraId="13B1A7FE">
            <w:pPr>
              <w:spacing w:before="8" w:line="277"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w:t>
            </w:r>
            <w:r>
              <w:rPr>
                <w:rFonts w:ascii="Times New Roman" w:hAnsi="Times New Roman" w:eastAsia="Times New Roman" w:cs="Times New Roman"/>
                <w:spacing w:val="-6"/>
                <w:position w:val="1"/>
                <w:sz w:val="20"/>
                <w:szCs w:val="20"/>
              </w:rPr>
              <w:t>. 14t/a</w:t>
            </w:r>
          </w:p>
        </w:tc>
      </w:tr>
      <w:tr w14:paraId="73249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43" w:type="dxa"/>
            <w:vMerge w:val="continue"/>
            <w:tcBorders>
              <w:top w:val="nil"/>
              <w:left w:val="nil"/>
            </w:tcBorders>
            <w:vAlign w:val="top"/>
          </w:tcPr>
          <w:p w14:paraId="335B34AB">
            <w:pPr>
              <w:rPr>
                <w:rFonts w:ascii="Arial"/>
                <w:sz w:val="21"/>
              </w:rPr>
            </w:pPr>
          </w:p>
        </w:tc>
        <w:tc>
          <w:tcPr>
            <w:tcW w:w="269" w:type="dxa"/>
            <w:vMerge w:val="continue"/>
            <w:tcBorders>
              <w:top w:val="nil"/>
            </w:tcBorders>
            <w:textDirection w:val="tbRlV"/>
            <w:vAlign w:val="top"/>
          </w:tcPr>
          <w:p w14:paraId="6B8F26A6">
            <w:pPr>
              <w:rPr>
                <w:rFonts w:ascii="Arial"/>
                <w:sz w:val="21"/>
              </w:rPr>
            </w:pPr>
          </w:p>
        </w:tc>
        <w:tc>
          <w:tcPr>
            <w:tcW w:w="1705" w:type="dxa"/>
            <w:vAlign w:val="top"/>
          </w:tcPr>
          <w:p w14:paraId="58BAEFEF">
            <w:pPr>
              <w:spacing w:before="82" w:line="195"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6"/>
                <w:sz w:val="20"/>
                <w:szCs w:val="20"/>
              </w:rPr>
              <w:t>x</w:t>
            </w:r>
          </w:p>
        </w:tc>
        <w:tc>
          <w:tcPr>
            <w:tcW w:w="1578" w:type="dxa"/>
            <w:vAlign w:val="top"/>
          </w:tcPr>
          <w:p w14:paraId="71ABD834">
            <w:pPr>
              <w:spacing w:before="9" w:line="276" w:lineRule="exact"/>
              <w:ind w:left="379"/>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
                <w:position w:val="9"/>
                <w:sz w:val="13"/>
                <w:szCs w:val="13"/>
              </w:rPr>
              <w:t>3</w:t>
            </w:r>
          </w:p>
        </w:tc>
        <w:tc>
          <w:tcPr>
            <w:tcW w:w="1361" w:type="dxa"/>
            <w:vAlign w:val="top"/>
          </w:tcPr>
          <w:p w14:paraId="6427ED5A">
            <w:pPr>
              <w:spacing w:before="9" w:line="276"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.69</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5483D412">
            <w:pPr>
              <w:spacing w:before="9" w:line="276" w:lineRule="exact"/>
              <w:ind w:left="356"/>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
                <w:position w:val="9"/>
                <w:sz w:val="13"/>
                <w:szCs w:val="13"/>
              </w:rPr>
              <w:t>3</w:t>
            </w:r>
          </w:p>
        </w:tc>
        <w:tc>
          <w:tcPr>
            <w:tcW w:w="1419" w:type="dxa"/>
            <w:tcBorders>
              <w:right w:val="nil"/>
            </w:tcBorders>
            <w:vAlign w:val="top"/>
          </w:tcPr>
          <w:p w14:paraId="1F7C75AF">
            <w:pPr>
              <w:spacing w:before="9" w:line="276"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.69</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14:paraId="153C9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restart"/>
            <w:tcBorders>
              <w:left w:val="nil"/>
              <w:bottom w:val="nil"/>
            </w:tcBorders>
            <w:vAlign w:val="top"/>
          </w:tcPr>
          <w:p w14:paraId="4E6CCE0F">
            <w:pPr>
              <w:spacing w:line="287" w:lineRule="auto"/>
              <w:rPr>
                <w:rFonts w:ascii="Arial"/>
                <w:sz w:val="21"/>
              </w:rPr>
            </w:pPr>
          </w:p>
          <w:p w14:paraId="168803E6">
            <w:pPr>
              <w:spacing w:line="288" w:lineRule="auto"/>
              <w:rPr>
                <w:rFonts w:ascii="Arial"/>
                <w:sz w:val="21"/>
              </w:rPr>
            </w:pPr>
          </w:p>
          <w:p w14:paraId="6033DA91">
            <w:pPr>
              <w:spacing w:line="288" w:lineRule="auto"/>
              <w:rPr>
                <w:rFonts w:ascii="Arial"/>
                <w:sz w:val="21"/>
              </w:rPr>
            </w:pPr>
          </w:p>
          <w:p w14:paraId="3B30F928">
            <w:pPr>
              <w:spacing w:line="288" w:lineRule="auto"/>
              <w:rPr>
                <w:rFonts w:ascii="Arial"/>
                <w:sz w:val="21"/>
              </w:rPr>
            </w:pPr>
          </w:p>
          <w:p w14:paraId="42309777">
            <w:pPr>
              <w:spacing w:before="57"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9" w:type="dxa"/>
            <w:vMerge w:val="restart"/>
            <w:tcBorders>
              <w:bottom w:val="nil"/>
            </w:tcBorders>
            <w:textDirection w:val="tbRlV"/>
            <w:vAlign w:val="top"/>
          </w:tcPr>
          <w:p w14:paraId="66CA5723">
            <w:pPr>
              <w:spacing w:before="28" w:line="216" w:lineRule="auto"/>
              <w:ind w:left="1023"/>
              <w:rPr>
                <w:rFonts w:ascii="宋体" w:hAnsi="宋体" w:eastAsia="宋体" w:cs="宋体"/>
                <w:sz w:val="20"/>
                <w:szCs w:val="20"/>
              </w:rPr>
            </w:pPr>
            <w:r>
              <w:rPr>
                <w:rFonts w:ascii="宋体" w:hAnsi="宋体" w:eastAsia="宋体" w:cs="宋体"/>
                <w:spacing w:val="7"/>
                <w:sz w:val="20"/>
                <w:szCs w:val="20"/>
              </w:rPr>
              <w:t xml:space="preserve">废 </w:t>
            </w:r>
            <w:r>
              <w:rPr>
                <w:rFonts w:ascii="宋体" w:hAnsi="宋体" w:eastAsia="宋体" w:cs="宋体"/>
                <w:spacing w:val="6"/>
                <w:sz w:val="20"/>
                <w:szCs w:val="20"/>
              </w:rPr>
              <w:t>水</w:t>
            </w:r>
          </w:p>
        </w:tc>
        <w:tc>
          <w:tcPr>
            <w:tcW w:w="1705" w:type="dxa"/>
            <w:vMerge w:val="restart"/>
            <w:tcBorders>
              <w:bottom w:val="nil"/>
            </w:tcBorders>
            <w:vAlign w:val="top"/>
          </w:tcPr>
          <w:p w14:paraId="15A73497">
            <w:pPr>
              <w:spacing w:line="312" w:lineRule="auto"/>
              <w:rPr>
                <w:rFonts w:ascii="Arial"/>
                <w:sz w:val="21"/>
              </w:rPr>
            </w:pPr>
          </w:p>
          <w:p w14:paraId="505555BD">
            <w:pPr>
              <w:spacing w:before="65" w:line="303" w:lineRule="auto"/>
              <w:ind w:left="124" w:right="126" w:firstLine="315"/>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7"/>
                <w:sz w:val="20"/>
                <w:szCs w:val="20"/>
              </w:rPr>
              <w:t>1523.52</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p>
        </w:tc>
        <w:tc>
          <w:tcPr>
            <w:tcW w:w="1578" w:type="dxa"/>
            <w:vAlign w:val="top"/>
          </w:tcPr>
          <w:p w14:paraId="5EE5FAAE">
            <w:pPr>
              <w:spacing w:before="16" w:line="281" w:lineRule="exact"/>
              <w:ind w:left="163"/>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COD</w:t>
            </w:r>
            <w:r>
              <w:rPr>
                <w:rFonts w:ascii="Times New Roman" w:hAnsi="Times New Roman" w:eastAsia="Times New Roman" w:cs="Times New Roman"/>
                <w:spacing w:val="11"/>
                <w:position w:val="4"/>
                <w:sz w:val="20"/>
                <w:szCs w:val="20"/>
              </w:rPr>
              <w:t>:</w:t>
            </w:r>
            <w:r>
              <w:rPr>
                <w:rFonts w:ascii="Times New Roman" w:hAnsi="Times New Roman" w:eastAsia="Times New Roman" w:cs="Times New Roman"/>
                <w:spacing w:val="10"/>
                <w:position w:val="4"/>
                <w:sz w:val="20"/>
                <w:szCs w:val="20"/>
              </w:rPr>
              <w:t>300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L</w:t>
            </w:r>
          </w:p>
        </w:tc>
        <w:tc>
          <w:tcPr>
            <w:tcW w:w="1361" w:type="dxa"/>
            <w:vAlign w:val="top"/>
          </w:tcPr>
          <w:p w14:paraId="2C1F9318">
            <w:pPr>
              <w:spacing w:before="16"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.46</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504429BB">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COD</w:t>
            </w:r>
            <w:r>
              <w:rPr>
                <w:rFonts w:ascii="Times New Roman" w:hAnsi="Times New Roman" w:eastAsia="Times New Roman" w:cs="Times New Roman"/>
                <w:spacing w:val="12"/>
                <w:position w:val="4"/>
                <w:sz w:val="20"/>
                <w:szCs w:val="20"/>
              </w:rPr>
              <w:t>:</w:t>
            </w:r>
            <w:r>
              <w:rPr>
                <w:rFonts w:ascii="Times New Roman" w:hAnsi="Times New Roman" w:eastAsia="Times New Roman" w:cs="Times New Roman"/>
                <w:spacing w:val="9"/>
                <w:position w:val="4"/>
                <w:sz w:val="20"/>
                <w:szCs w:val="20"/>
              </w:rPr>
              <w:t>150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9"/>
                <w:position w:val="4"/>
                <w:sz w:val="20"/>
                <w:szCs w:val="20"/>
              </w:rPr>
              <w:t>/</w:t>
            </w:r>
            <w:r>
              <w:rPr>
                <w:rFonts w:ascii="Times New Roman" w:hAnsi="Times New Roman" w:eastAsia="Times New Roman" w:cs="Times New Roman"/>
                <w:position w:val="4"/>
                <w:sz w:val="20"/>
                <w:szCs w:val="20"/>
              </w:rPr>
              <w:t>L</w:t>
            </w:r>
          </w:p>
        </w:tc>
        <w:tc>
          <w:tcPr>
            <w:tcW w:w="1419" w:type="dxa"/>
            <w:tcBorders>
              <w:right w:val="nil"/>
            </w:tcBorders>
            <w:vAlign w:val="top"/>
          </w:tcPr>
          <w:p w14:paraId="159E2ABB">
            <w:pPr>
              <w:spacing w:before="16" w:line="281"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.23</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14:paraId="139C2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04D28C00">
            <w:pPr>
              <w:rPr>
                <w:rFonts w:ascii="Arial"/>
                <w:sz w:val="21"/>
              </w:rPr>
            </w:pPr>
          </w:p>
        </w:tc>
        <w:tc>
          <w:tcPr>
            <w:tcW w:w="269" w:type="dxa"/>
            <w:vMerge w:val="continue"/>
            <w:tcBorders>
              <w:top w:val="nil"/>
              <w:bottom w:val="nil"/>
            </w:tcBorders>
            <w:textDirection w:val="tbRlV"/>
            <w:vAlign w:val="top"/>
          </w:tcPr>
          <w:p w14:paraId="3CC12C61">
            <w:pPr>
              <w:rPr>
                <w:rFonts w:ascii="Arial"/>
                <w:sz w:val="21"/>
              </w:rPr>
            </w:pPr>
          </w:p>
        </w:tc>
        <w:tc>
          <w:tcPr>
            <w:tcW w:w="1705" w:type="dxa"/>
            <w:vMerge w:val="continue"/>
            <w:tcBorders>
              <w:top w:val="nil"/>
              <w:bottom w:val="nil"/>
            </w:tcBorders>
            <w:vAlign w:val="top"/>
          </w:tcPr>
          <w:p w14:paraId="2F3BBC54">
            <w:pPr>
              <w:rPr>
                <w:rFonts w:ascii="Arial"/>
                <w:sz w:val="21"/>
              </w:rPr>
            </w:pPr>
          </w:p>
        </w:tc>
        <w:tc>
          <w:tcPr>
            <w:tcW w:w="1578" w:type="dxa"/>
            <w:vAlign w:val="top"/>
          </w:tcPr>
          <w:p w14:paraId="3233D5EF">
            <w:pPr>
              <w:spacing w:before="17" w:line="281" w:lineRule="exact"/>
              <w:ind w:left="176"/>
              <w:rPr>
                <w:rFonts w:ascii="Times New Roman" w:hAnsi="Times New Roman" w:eastAsia="Times New Roman" w:cs="Times New Roman"/>
                <w:sz w:val="20"/>
                <w:szCs w:val="20"/>
              </w:rPr>
            </w:pPr>
            <w:r>
              <w:rPr>
                <w:rFonts w:ascii="宋体" w:hAnsi="宋体" w:eastAsia="宋体" w:cs="宋体"/>
                <w:spacing w:val="8"/>
                <w:position w:val="2"/>
                <w:sz w:val="20"/>
                <w:szCs w:val="20"/>
              </w:rPr>
              <w:t>石油类</w:t>
            </w:r>
            <w:r>
              <w:rPr>
                <w:rFonts w:ascii="Times New Roman" w:hAnsi="Times New Roman" w:eastAsia="Times New Roman" w:cs="Times New Roman"/>
                <w:spacing w:val="8"/>
                <w:position w:val="2"/>
                <w:sz w:val="20"/>
                <w:szCs w:val="20"/>
              </w:rPr>
              <w:t>:5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p>
        </w:tc>
        <w:tc>
          <w:tcPr>
            <w:tcW w:w="1361" w:type="dxa"/>
            <w:vAlign w:val="top"/>
          </w:tcPr>
          <w:p w14:paraId="1F3BFEC8">
            <w:pPr>
              <w:spacing w:before="17"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.008</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0DD79BE0">
            <w:pPr>
              <w:spacing w:before="17" w:line="281" w:lineRule="exact"/>
              <w:ind w:left="151"/>
              <w:rPr>
                <w:rFonts w:ascii="Times New Roman" w:hAnsi="Times New Roman" w:eastAsia="Times New Roman" w:cs="Times New Roman"/>
                <w:sz w:val="20"/>
                <w:szCs w:val="20"/>
              </w:rPr>
            </w:pPr>
            <w:r>
              <w:rPr>
                <w:rFonts w:ascii="宋体" w:hAnsi="宋体" w:eastAsia="宋体" w:cs="宋体"/>
                <w:spacing w:val="8"/>
                <w:position w:val="2"/>
                <w:sz w:val="20"/>
                <w:szCs w:val="20"/>
              </w:rPr>
              <w:t>石油类</w:t>
            </w:r>
            <w:r>
              <w:rPr>
                <w:rFonts w:ascii="Times New Roman" w:hAnsi="Times New Roman" w:eastAsia="Times New Roman" w:cs="Times New Roman"/>
                <w:spacing w:val="8"/>
                <w:position w:val="2"/>
                <w:sz w:val="20"/>
                <w:szCs w:val="20"/>
              </w:rPr>
              <w:t>:5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p>
        </w:tc>
        <w:tc>
          <w:tcPr>
            <w:tcW w:w="1419" w:type="dxa"/>
            <w:tcBorders>
              <w:right w:val="nil"/>
            </w:tcBorders>
            <w:vAlign w:val="top"/>
          </w:tcPr>
          <w:p w14:paraId="56769E33">
            <w:pPr>
              <w:spacing w:before="17" w:line="281"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0.008</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14:paraId="7C3A3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11ADF44E">
            <w:pPr>
              <w:rPr>
                <w:rFonts w:ascii="Arial"/>
                <w:sz w:val="21"/>
              </w:rPr>
            </w:pPr>
          </w:p>
        </w:tc>
        <w:tc>
          <w:tcPr>
            <w:tcW w:w="269" w:type="dxa"/>
            <w:vMerge w:val="continue"/>
            <w:tcBorders>
              <w:top w:val="nil"/>
              <w:bottom w:val="nil"/>
            </w:tcBorders>
            <w:textDirection w:val="tbRlV"/>
            <w:vAlign w:val="top"/>
          </w:tcPr>
          <w:p w14:paraId="7E5179CA">
            <w:pPr>
              <w:rPr>
                <w:rFonts w:ascii="Arial"/>
                <w:sz w:val="21"/>
              </w:rPr>
            </w:pPr>
          </w:p>
        </w:tc>
        <w:tc>
          <w:tcPr>
            <w:tcW w:w="1705" w:type="dxa"/>
            <w:vMerge w:val="continue"/>
            <w:tcBorders>
              <w:top w:val="nil"/>
              <w:bottom w:val="nil"/>
            </w:tcBorders>
            <w:vAlign w:val="top"/>
          </w:tcPr>
          <w:p w14:paraId="34CD26AD">
            <w:pPr>
              <w:rPr>
                <w:rFonts w:ascii="Arial"/>
                <w:sz w:val="21"/>
              </w:rPr>
            </w:pPr>
          </w:p>
        </w:tc>
        <w:tc>
          <w:tcPr>
            <w:tcW w:w="1578" w:type="dxa"/>
            <w:vAlign w:val="top"/>
          </w:tcPr>
          <w:p w14:paraId="7426C0EB">
            <w:pPr>
              <w:spacing w:before="16" w:line="281" w:lineRule="exact"/>
              <w:ind w:left="248"/>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SS</w:t>
            </w:r>
            <w:r>
              <w:rPr>
                <w:rFonts w:ascii="Times New Roman" w:hAnsi="Times New Roman" w:eastAsia="Times New Roman" w:cs="Times New Roman"/>
                <w:spacing w:val="6"/>
                <w:position w:val="4"/>
                <w:sz w:val="20"/>
                <w:szCs w:val="20"/>
              </w:rPr>
              <w:t xml:space="preserve"> :300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361" w:type="dxa"/>
            <w:vAlign w:val="top"/>
          </w:tcPr>
          <w:p w14:paraId="4E5217F4">
            <w:pPr>
              <w:spacing w:before="16"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.46</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2C924CC8">
            <w:pPr>
              <w:spacing w:before="16" w:line="281"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SS</w:t>
            </w:r>
            <w:r>
              <w:rPr>
                <w:rFonts w:ascii="Times New Roman" w:hAnsi="Times New Roman" w:eastAsia="Times New Roman" w:cs="Times New Roman"/>
                <w:spacing w:val="7"/>
                <w:position w:val="4"/>
                <w:sz w:val="20"/>
                <w:szCs w:val="20"/>
              </w:rPr>
              <w:t xml:space="preserve"> </w:t>
            </w:r>
            <w:r>
              <w:rPr>
                <w:rFonts w:ascii="Times New Roman" w:hAnsi="Times New Roman" w:eastAsia="Times New Roman" w:cs="Times New Roman"/>
                <w:spacing w:val="6"/>
                <w:position w:val="4"/>
                <w:sz w:val="20"/>
                <w:szCs w:val="20"/>
              </w:rPr>
              <w:t>:30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419" w:type="dxa"/>
            <w:tcBorders>
              <w:right w:val="nil"/>
            </w:tcBorders>
            <w:vAlign w:val="top"/>
          </w:tcPr>
          <w:p w14:paraId="04C6AA29">
            <w:pPr>
              <w:spacing w:before="16" w:line="281"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.05</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14:paraId="2F8F0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continue"/>
            <w:tcBorders>
              <w:top w:val="nil"/>
              <w:left w:val="nil"/>
              <w:bottom w:val="nil"/>
            </w:tcBorders>
            <w:vAlign w:val="top"/>
          </w:tcPr>
          <w:p w14:paraId="3DA40B71">
            <w:pPr>
              <w:rPr>
                <w:rFonts w:ascii="Arial"/>
                <w:sz w:val="21"/>
              </w:rPr>
            </w:pPr>
          </w:p>
        </w:tc>
        <w:tc>
          <w:tcPr>
            <w:tcW w:w="269" w:type="dxa"/>
            <w:vMerge w:val="continue"/>
            <w:tcBorders>
              <w:top w:val="nil"/>
              <w:bottom w:val="nil"/>
            </w:tcBorders>
            <w:textDirection w:val="tbRlV"/>
            <w:vAlign w:val="top"/>
          </w:tcPr>
          <w:p w14:paraId="68AB815D">
            <w:pPr>
              <w:rPr>
                <w:rFonts w:ascii="Arial"/>
                <w:sz w:val="21"/>
              </w:rPr>
            </w:pPr>
          </w:p>
        </w:tc>
        <w:tc>
          <w:tcPr>
            <w:tcW w:w="1705" w:type="dxa"/>
            <w:vMerge w:val="continue"/>
            <w:tcBorders>
              <w:top w:val="nil"/>
            </w:tcBorders>
            <w:vAlign w:val="top"/>
          </w:tcPr>
          <w:p w14:paraId="79642705">
            <w:pPr>
              <w:rPr>
                <w:rFonts w:ascii="Arial"/>
                <w:sz w:val="21"/>
              </w:rPr>
            </w:pPr>
          </w:p>
        </w:tc>
        <w:tc>
          <w:tcPr>
            <w:tcW w:w="1578" w:type="dxa"/>
            <w:vAlign w:val="top"/>
          </w:tcPr>
          <w:p w14:paraId="6F620E27">
            <w:pPr>
              <w:spacing w:before="16" w:line="281" w:lineRule="exact"/>
              <w:ind w:left="131"/>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NH</w:t>
            </w:r>
            <w:r>
              <w:rPr>
                <w:rFonts w:ascii="Times New Roman" w:hAnsi="Times New Roman" w:eastAsia="Times New Roman" w:cs="Times New Roman"/>
                <w:spacing w:val="11"/>
                <w:position w:val="3"/>
                <w:sz w:val="13"/>
                <w:szCs w:val="13"/>
              </w:rPr>
              <w:t>3</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N</w:t>
            </w:r>
            <w:r>
              <w:rPr>
                <w:rFonts w:ascii="Times New Roman" w:hAnsi="Times New Roman" w:eastAsia="Times New Roman" w:cs="Times New Roman"/>
                <w:spacing w:val="10"/>
                <w:position w:val="4"/>
                <w:sz w:val="20"/>
                <w:szCs w:val="20"/>
              </w:rPr>
              <w:t>:18</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L</w:t>
            </w:r>
          </w:p>
        </w:tc>
        <w:tc>
          <w:tcPr>
            <w:tcW w:w="1361" w:type="dxa"/>
            <w:vAlign w:val="top"/>
          </w:tcPr>
          <w:p w14:paraId="36FC6855">
            <w:pPr>
              <w:spacing w:before="16"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.03</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6D0CEDD9">
            <w:pPr>
              <w:spacing w:before="16" w:line="281" w:lineRule="exact"/>
              <w:ind w:left="108"/>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NH</w:t>
            </w:r>
            <w:r>
              <w:rPr>
                <w:rFonts w:ascii="Times New Roman" w:hAnsi="Times New Roman" w:eastAsia="Times New Roman" w:cs="Times New Roman"/>
                <w:spacing w:val="11"/>
                <w:position w:val="3"/>
                <w:sz w:val="13"/>
                <w:szCs w:val="13"/>
              </w:rPr>
              <w:t>3</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N</w:t>
            </w:r>
            <w:r>
              <w:rPr>
                <w:rFonts w:ascii="Times New Roman" w:hAnsi="Times New Roman" w:eastAsia="Times New Roman" w:cs="Times New Roman"/>
                <w:spacing w:val="10"/>
                <w:position w:val="4"/>
                <w:sz w:val="20"/>
                <w:szCs w:val="20"/>
              </w:rPr>
              <w:t>:17</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L</w:t>
            </w:r>
          </w:p>
        </w:tc>
        <w:tc>
          <w:tcPr>
            <w:tcW w:w="1419" w:type="dxa"/>
            <w:tcBorders>
              <w:right w:val="nil"/>
            </w:tcBorders>
            <w:vAlign w:val="top"/>
          </w:tcPr>
          <w:p w14:paraId="656885A5">
            <w:pPr>
              <w:spacing w:before="16" w:line="281"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.03</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14:paraId="68FD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606D75E4">
            <w:pPr>
              <w:rPr>
                <w:rFonts w:ascii="Arial"/>
                <w:sz w:val="21"/>
              </w:rPr>
            </w:pPr>
          </w:p>
        </w:tc>
        <w:tc>
          <w:tcPr>
            <w:tcW w:w="269" w:type="dxa"/>
            <w:vMerge w:val="continue"/>
            <w:tcBorders>
              <w:top w:val="nil"/>
              <w:bottom w:val="nil"/>
            </w:tcBorders>
            <w:textDirection w:val="tbRlV"/>
            <w:vAlign w:val="top"/>
          </w:tcPr>
          <w:p w14:paraId="41650252">
            <w:pPr>
              <w:rPr>
                <w:rFonts w:ascii="Arial"/>
                <w:sz w:val="21"/>
              </w:rPr>
            </w:pPr>
          </w:p>
        </w:tc>
        <w:tc>
          <w:tcPr>
            <w:tcW w:w="1705" w:type="dxa"/>
            <w:vMerge w:val="restart"/>
            <w:tcBorders>
              <w:bottom w:val="nil"/>
            </w:tcBorders>
            <w:vAlign w:val="top"/>
          </w:tcPr>
          <w:p w14:paraId="44666F7F">
            <w:pPr>
              <w:spacing w:line="313" w:lineRule="auto"/>
              <w:rPr>
                <w:rFonts w:ascii="Arial"/>
                <w:sz w:val="21"/>
              </w:rPr>
            </w:pPr>
          </w:p>
          <w:p w14:paraId="2A695C94">
            <w:pPr>
              <w:spacing w:before="65" w:line="286" w:lineRule="auto"/>
              <w:ind w:left="309" w:right="310" w:firstLine="130"/>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8"/>
                <w:sz w:val="20"/>
                <w:szCs w:val="20"/>
              </w:rPr>
              <w:t>960</w:t>
            </w:r>
            <w:r>
              <w:rPr>
                <w:rFonts w:ascii="Times New Roman" w:hAnsi="Times New Roman" w:eastAsia="Times New Roman" w:cs="Times New Roman"/>
                <w:sz w:val="20"/>
                <w:szCs w:val="20"/>
              </w:rPr>
              <w:t>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p>
        </w:tc>
        <w:tc>
          <w:tcPr>
            <w:tcW w:w="1578" w:type="dxa"/>
            <w:vAlign w:val="top"/>
          </w:tcPr>
          <w:p w14:paraId="79ED4292">
            <w:pPr>
              <w:spacing w:before="17" w:line="281" w:lineRule="exact"/>
              <w:ind w:left="163"/>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COD</w:t>
            </w:r>
            <w:r>
              <w:rPr>
                <w:rFonts w:ascii="Times New Roman" w:hAnsi="Times New Roman" w:eastAsia="Times New Roman" w:cs="Times New Roman"/>
                <w:spacing w:val="11"/>
                <w:position w:val="4"/>
                <w:sz w:val="20"/>
                <w:szCs w:val="20"/>
              </w:rPr>
              <w:t>:</w:t>
            </w:r>
            <w:r>
              <w:rPr>
                <w:rFonts w:ascii="Times New Roman" w:hAnsi="Times New Roman" w:eastAsia="Times New Roman" w:cs="Times New Roman"/>
                <w:spacing w:val="10"/>
                <w:position w:val="4"/>
                <w:sz w:val="20"/>
                <w:szCs w:val="20"/>
              </w:rPr>
              <w:t>350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L</w:t>
            </w:r>
          </w:p>
        </w:tc>
        <w:tc>
          <w:tcPr>
            <w:tcW w:w="1361" w:type="dxa"/>
            <w:vAlign w:val="top"/>
          </w:tcPr>
          <w:p w14:paraId="4E4DD0A5">
            <w:pPr>
              <w:spacing w:before="17"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.24</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3366A53D">
            <w:pPr>
              <w:spacing w:before="17" w:line="281"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6820A9E0">
            <w:pPr>
              <w:spacing w:before="17" w:line="281"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a</w:t>
            </w:r>
          </w:p>
        </w:tc>
      </w:tr>
      <w:tr w14:paraId="254D3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continue"/>
            <w:tcBorders>
              <w:top w:val="nil"/>
              <w:left w:val="nil"/>
              <w:bottom w:val="nil"/>
            </w:tcBorders>
            <w:vAlign w:val="top"/>
          </w:tcPr>
          <w:p w14:paraId="32FE1F2C">
            <w:pPr>
              <w:rPr>
                <w:rFonts w:ascii="Arial"/>
                <w:sz w:val="21"/>
              </w:rPr>
            </w:pPr>
          </w:p>
        </w:tc>
        <w:tc>
          <w:tcPr>
            <w:tcW w:w="269" w:type="dxa"/>
            <w:vMerge w:val="continue"/>
            <w:tcBorders>
              <w:top w:val="nil"/>
              <w:bottom w:val="nil"/>
            </w:tcBorders>
            <w:textDirection w:val="tbRlV"/>
            <w:vAlign w:val="top"/>
          </w:tcPr>
          <w:p w14:paraId="4988638C">
            <w:pPr>
              <w:rPr>
                <w:rFonts w:ascii="Arial"/>
                <w:sz w:val="21"/>
              </w:rPr>
            </w:pPr>
          </w:p>
        </w:tc>
        <w:tc>
          <w:tcPr>
            <w:tcW w:w="1705" w:type="dxa"/>
            <w:vMerge w:val="continue"/>
            <w:tcBorders>
              <w:top w:val="nil"/>
              <w:bottom w:val="nil"/>
            </w:tcBorders>
            <w:vAlign w:val="top"/>
          </w:tcPr>
          <w:p w14:paraId="0D6336E7">
            <w:pPr>
              <w:rPr>
                <w:rFonts w:ascii="Arial"/>
                <w:sz w:val="21"/>
              </w:rPr>
            </w:pPr>
          </w:p>
        </w:tc>
        <w:tc>
          <w:tcPr>
            <w:tcW w:w="1578" w:type="dxa"/>
            <w:vAlign w:val="top"/>
          </w:tcPr>
          <w:p w14:paraId="458FC41D">
            <w:pPr>
              <w:spacing w:before="16" w:line="281" w:lineRule="exact"/>
              <w:ind w:left="123"/>
              <w:rPr>
                <w:rFonts w:ascii="Times New Roman" w:hAnsi="Times New Roman" w:eastAsia="Times New Roman" w:cs="Times New Roman"/>
                <w:sz w:val="20"/>
                <w:szCs w:val="20"/>
              </w:rPr>
            </w:pPr>
            <w:r>
              <w:rPr>
                <w:rFonts w:ascii="宋体" w:hAnsi="宋体" w:eastAsia="宋体" w:cs="宋体"/>
                <w:spacing w:val="11"/>
                <w:position w:val="2"/>
                <w:sz w:val="20"/>
                <w:szCs w:val="20"/>
              </w:rPr>
              <w:t>石</w:t>
            </w:r>
            <w:r>
              <w:rPr>
                <w:rFonts w:ascii="宋体" w:hAnsi="宋体" w:eastAsia="宋体" w:cs="宋体"/>
                <w:spacing w:val="7"/>
                <w:position w:val="2"/>
                <w:sz w:val="20"/>
                <w:szCs w:val="20"/>
              </w:rPr>
              <w:t>油类</w:t>
            </w:r>
            <w:r>
              <w:rPr>
                <w:rFonts w:ascii="Times New Roman" w:hAnsi="Times New Roman" w:eastAsia="Times New Roman" w:cs="Times New Roman"/>
                <w:spacing w:val="7"/>
                <w:position w:val="2"/>
                <w:sz w:val="20"/>
                <w:szCs w:val="20"/>
              </w:rPr>
              <w:t>:15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p>
        </w:tc>
        <w:tc>
          <w:tcPr>
            <w:tcW w:w="1361" w:type="dxa"/>
            <w:vAlign w:val="top"/>
          </w:tcPr>
          <w:p w14:paraId="6A52FEBD">
            <w:pPr>
              <w:spacing w:before="16"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.01</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298FD95D">
            <w:pPr>
              <w:spacing w:before="16" w:line="281"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0BDA9C47">
            <w:pPr>
              <w:spacing w:before="16" w:line="281"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a</w:t>
            </w:r>
          </w:p>
        </w:tc>
      </w:tr>
      <w:tr w14:paraId="44B6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73588B6E">
            <w:pPr>
              <w:rPr>
                <w:rFonts w:ascii="Arial"/>
                <w:sz w:val="21"/>
              </w:rPr>
            </w:pPr>
          </w:p>
        </w:tc>
        <w:tc>
          <w:tcPr>
            <w:tcW w:w="269" w:type="dxa"/>
            <w:vMerge w:val="continue"/>
            <w:tcBorders>
              <w:top w:val="nil"/>
              <w:bottom w:val="nil"/>
            </w:tcBorders>
            <w:textDirection w:val="tbRlV"/>
            <w:vAlign w:val="top"/>
          </w:tcPr>
          <w:p w14:paraId="67246F05">
            <w:pPr>
              <w:rPr>
                <w:rFonts w:ascii="Arial"/>
                <w:sz w:val="21"/>
              </w:rPr>
            </w:pPr>
          </w:p>
        </w:tc>
        <w:tc>
          <w:tcPr>
            <w:tcW w:w="1705" w:type="dxa"/>
            <w:vMerge w:val="continue"/>
            <w:tcBorders>
              <w:top w:val="nil"/>
              <w:bottom w:val="nil"/>
            </w:tcBorders>
            <w:vAlign w:val="top"/>
          </w:tcPr>
          <w:p w14:paraId="0135B1B3">
            <w:pPr>
              <w:rPr>
                <w:rFonts w:ascii="Arial"/>
                <w:sz w:val="21"/>
              </w:rPr>
            </w:pPr>
          </w:p>
        </w:tc>
        <w:tc>
          <w:tcPr>
            <w:tcW w:w="1578" w:type="dxa"/>
            <w:vAlign w:val="top"/>
          </w:tcPr>
          <w:p w14:paraId="5EFC76B0">
            <w:pPr>
              <w:spacing w:before="19" w:line="281" w:lineRule="exact"/>
              <w:ind w:left="248"/>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SS</w:t>
            </w:r>
            <w:r>
              <w:rPr>
                <w:rFonts w:ascii="Times New Roman" w:hAnsi="Times New Roman" w:eastAsia="Times New Roman" w:cs="Times New Roman"/>
                <w:spacing w:val="6"/>
                <w:position w:val="4"/>
                <w:sz w:val="20"/>
                <w:szCs w:val="20"/>
              </w:rPr>
              <w:t xml:space="preserve"> :200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361" w:type="dxa"/>
            <w:vAlign w:val="top"/>
          </w:tcPr>
          <w:p w14:paraId="3707BA48">
            <w:pPr>
              <w:spacing w:before="19"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 19t/a</w:t>
            </w:r>
          </w:p>
        </w:tc>
        <w:tc>
          <w:tcPr>
            <w:tcW w:w="1530" w:type="dxa"/>
            <w:vAlign w:val="top"/>
          </w:tcPr>
          <w:p w14:paraId="602120AF">
            <w:pPr>
              <w:spacing w:before="19" w:line="281"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2FC48C56">
            <w:pPr>
              <w:spacing w:before="19" w:line="281"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a</w:t>
            </w:r>
          </w:p>
        </w:tc>
      </w:tr>
      <w:tr w14:paraId="6FEDD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tcBorders>
            <w:vAlign w:val="top"/>
          </w:tcPr>
          <w:p w14:paraId="34934E98">
            <w:pPr>
              <w:rPr>
                <w:rFonts w:ascii="Arial"/>
                <w:sz w:val="21"/>
              </w:rPr>
            </w:pPr>
          </w:p>
        </w:tc>
        <w:tc>
          <w:tcPr>
            <w:tcW w:w="269" w:type="dxa"/>
            <w:vMerge w:val="continue"/>
            <w:tcBorders>
              <w:top w:val="nil"/>
            </w:tcBorders>
            <w:textDirection w:val="tbRlV"/>
            <w:vAlign w:val="top"/>
          </w:tcPr>
          <w:p w14:paraId="7FC64777">
            <w:pPr>
              <w:rPr>
                <w:rFonts w:ascii="Arial"/>
                <w:sz w:val="21"/>
              </w:rPr>
            </w:pPr>
          </w:p>
        </w:tc>
        <w:tc>
          <w:tcPr>
            <w:tcW w:w="1705" w:type="dxa"/>
            <w:vMerge w:val="continue"/>
            <w:tcBorders>
              <w:top w:val="nil"/>
            </w:tcBorders>
            <w:vAlign w:val="top"/>
          </w:tcPr>
          <w:p w14:paraId="2D57675C">
            <w:pPr>
              <w:rPr>
                <w:rFonts w:ascii="Arial"/>
                <w:sz w:val="21"/>
              </w:rPr>
            </w:pPr>
          </w:p>
        </w:tc>
        <w:tc>
          <w:tcPr>
            <w:tcW w:w="1578" w:type="dxa"/>
            <w:vAlign w:val="top"/>
          </w:tcPr>
          <w:p w14:paraId="4BF10711">
            <w:pPr>
              <w:spacing w:before="19" w:line="281" w:lineRule="exact"/>
              <w:ind w:left="131"/>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NH</w:t>
            </w:r>
            <w:r>
              <w:rPr>
                <w:rFonts w:ascii="Times New Roman" w:hAnsi="Times New Roman" w:eastAsia="Times New Roman" w:cs="Times New Roman"/>
                <w:spacing w:val="11"/>
                <w:position w:val="3"/>
                <w:sz w:val="13"/>
                <w:szCs w:val="13"/>
              </w:rPr>
              <w:t>3</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N</w:t>
            </w:r>
            <w:r>
              <w:rPr>
                <w:rFonts w:ascii="Times New Roman" w:hAnsi="Times New Roman" w:eastAsia="Times New Roman" w:cs="Times New Roman"/>
                <w:spacing w:val="10"/>
                <w:position w:val="4"/>
                <w:sz w:val="20"/>
                <w:szCs w:val="20"/>
              </w:rPr>
              <w:t>:28</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0"/>
                <w:position w:val="4"/>
                <w:sz w:val="20"/>
                <w:szCs w:val="20"/>
              </w:rPr>
              <w:t>/</w:t>
            </w:r>
            <w:r>
              <w:rPr>
                <w:rFonts w:ascii="Times New Roman" w:hAnsi="Times New Roman" w:eastAsia="Times New Roman" w:cs="Times New Roman"/>
                <w:position w:val="4"/>
                <w:sz w:val="20"/>
                <w:szCs w:val="20"/>
              </w:rPr>
              <w:t>L</w:t>
            </w:r>
          </w:p>
        </w:tc>
        <w:tc>
          <w:tcPr>
            <w:tcW w:w="1361" w:type="dxa"/>
            <w:vAlign w:val="top"/>
          </w:tcPr>
          <w:p w14:paraId="6E82974E">
            <w:pPr>
              <w:spacing w:before="19"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.03</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3F7B5B16">
            <w:pPr>
              <w:spacing w:before="19" w:line="281" w:lineRule="exact"/>
              <w:ind w:left="7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294F8757">
            <w:pPr>
              <w:spacing w:before="19" w:line="281"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a</w:t>
            </w:r>
          </w:p>
        </w:tc>
      </w:tr>
      <w:tr w14:paraId="60225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restart"/>
            <w:tcBorders>
              <w:left w:val="nil"/>
              <w:bottom w:val="nil"/>
            </w:tcBorders>
            <w:vAlign w:val="top"/>
          </w:tcPr>
          <w:p w14:paraId="66DBC978">
            <w:pPr>
              <w:spacing w:line="288" w:lineRule="auto"/>
              <w:rPr>
                <w:rFonts w:ascii="Arial"/>
                <w:sz w:val="21"/>
              </w:rPr>
            </w:pPr>
          </w:p>
          <w:p w14:paraId="2A9701BB">
            <w:pPr>
              <w:spacing w:line="289" w:lineRule="auto"/>
              <w:rPr>
                <w:rFonts w:ascii="Arial"/>
                <w:sz w:val="21"/>
              </w:rPr>
            </w:pPr>
          </w:p>
          <w:p w14:paraId="14FB78C9">
            <w:pPr>
              <w:spacing w:line="289" w:lineRule="auto"/>
              <w:rPr>
                <w:rFonts w:ascii="Arial"/>
                <w:sz w:val="21"/>
              </w:rPr>
            </w:pPr>
          </w:p>
          <w:p w14:paraId="37E33523">
            <w:pPr>
              <w:spacing w:line="289" w:lineRule="auto"/>
              <w:rPr>
                <w:rFonts w:ascii="Arial"/>
                <w:sz w:val="21"/>
              </w:rPr>
            </w:pPr>
          </w:p>
          <w:p w14:paraId="409CA5A7">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9" w:type="dxa"/>
            <w:vMerge w:val="restart"/>
            <w:tcBorders>
              <w:bottom w:val="nil"/>
            </w:tcBorders>
            <w:textDirection w:val="tbRlV"/>
            <w:vAlign w:val="top"/>
          </w:tcPr>
          <w:p w14:paraId="3D3DCC6B">
            <w:pPr>
              <w:spacing w:before="27" w:line="213" w:lineRule="auto"/>
              <w:ind w:left="1028"/>
              <w:rPr>
                <w:rFonts w:ascii="宋体" w:hAnsi="宋体" w:eastAsia="宋体" w:cs="宋体"/>
                <w:sz w:val="20"/>
                <w:szCs w:val="20"/>
              </w:rPr>
            </w:pPr>
            <w:r>
              <w:rPr>
                <w:rFonts w:ascii="宋体" w:hAnsi="宋体" w:eastAsia="宋体" w:cs="宋体"/>
                <w:spacing w:val="7"/>
                <w:sz w:val="20"/>
                <w:szCs w:val="20"/>
              </w:rPr>
              <w:t xml:space="preserve">噪 </w:t>
            </w:r>
            <w:r>
              <w:rPr>
                <w:rFonts w:ascii="宋体" w:hAnsi="宋体" w:eastAsia="宋体" w:cs="宋体"/>
                <w:spacing w:val="6"/>
                <w:sz w:val="20"/>
                <w:szCs w:val="20"/>
              </w:rPr>
              <w:t>声</w:t>
            </w:r>
          </w:p>
        </w:tc>
        <w:tc>
          <w:tcPr>
            <w:tcW w:w="1705" w:type="dxa"/>
            <w:vAlign w:val="top"/>
          </w:tcPr>
          <w:p w14:paraId="094D89E3">
            <w:pPr>
              <w:spacing w:before="56" w:line="227" w:lineRule="auto"/>
              <w:ind w:left="552"/>
              <w:rPr>
                <w:rFonts w:ascii="宋体" w:hAnsi="宋体" w:eastAsia="宋体" w:cs="宋体"/>
                <w:sz w:val="20"/>
                <w:szCs w:val="20"/>
              </w:rPr>
            </w:pPr>
            <w:r>
              <w:rPr>
                <w:rFonts w:ascii="宋体" w:hAnsi="宋体" w:eastAsia="宋体" w:cs="宋体"/>
                <w:spacing w:val="4"/>
                <w:sz w:val="20"/>
                <w:szCs w:val="20"/>
              </w:rPr>
              <w:t>喂</w:t>
            </w:r>
            <w:r>
              <w:rPr>
                <w:rFonts w:ascii="宋体" w:hAnsi="宋体" w:eastAsia="宋体" w:cs="宋体"/>
                <w:spacing w:val="3"/>
                <w:sz w:val="20"/>
                <w:szCs w:val="20"/>
              </w:rPr>
              <w:t>料机</w:t>
            </w:r>
          </w:p>
        </w:tc>
        <w:tc>
          <w:tcPr>
            <w:tcW w:w="2939" w:type="dxa"/>
            <w:gridSpan w:val="2"/>
            <w:vAlign w:val="top"/>
          </w:tcPr>
          <w:p w14:paraId="09A9DEEF">
            <w:pPr>
              <w:spacing w:before="18"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75</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6DE63028">
            <w:pPr>
              <w:spacing w:before="18"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46849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0B2842D2">
            <w:pPr>
              <w:rPr>
                <w:rFonts w:ascii="Arial"/>
                <w:sz w:val="21"/>
              </w:rPr>
            </w:pPr>
          </w:p>
        </w:tc>
        <w:tc>
          <w:tcPr>
            <w:tcW w:w="269" w:type="dxa"/>
            <w:vMerge w:val="continue"/>
            <w:tcBorders>
              <w:top w:val="nil"/>
              <w:bottom w:val="nil"/>
            </w:tcBorders>
            <w:textDirection w:val="tbRlV"/>
            <w:vAlign w:val="top"/>
          </w:tcPr>
          <w:p w14:paraId="42F58146">
            <w:pPr>
              <w:rPr>
                <w:rFonts w:ascii="Arial"/>
                <w:sz w:val="21"/>
              </w:rPr>
            </w:pPr>
          </w:p>
        </w:tc>
        <w:tc>
          <w:tcPr>
            <w:tcW w:w="1705" w:type="dxa"/>
            <w:vAlign w:val="top"/>
          </w:tcPr>
          <w:p w14:paraId="07692D89">
            <w:pPr>
              <w:spacing w:before="55" w:line="227" w:lineRule="auto"/>
              <w:ind w:left="540"/>
              <w:rPr>
                <w:rFonts w:ascii="宋体" w:hAnsi="宋体" w:eastAsia="宋体" w:cs="宋体"/>
                <w:sz w:val="20"/>
                <w:szCs w:val="20"/>
              </w:rPr>
            </w:pPr>
            <w:r>
              <w:rPr>
                <w:rFonts w:ascii="宋体" w:hAnsi="宋体" w:eastAsia="宋体" w:cs="宋体"/>
                <w:spacing w:val="7"/>
                <w:sz w:val="20"/>
                <w:szCs w:val="20"/>
              </w:rPr>
              <w:t>粉碎机</w:t>
            </w:r>
          </w:p>
        </w:tc>
        <w:tc>
          <w:tcPr>
            <w:tcW w:w="2939" w:type="dxa"/>
            <w:gridSpan w:val="2"/>
            <w:vAlign w:val="top"/>
          </w:tcPr>
          <w:p w14:paraId="282A9EF9">
            <w:pPr>
              <w:spacing w:before="18" w:line="281" w:lineRule="exact"/>
              <w:ind w:left="967"/>
              <w:rPr>
                <w:rFonts w:ascii="宋体" w:hAnsi="宋体" w:eastAsia="宋体" w:cs="宋体"/>
                <w:sz w:val="20"/>
                <w:szCs w:val="20"/>
              </w:rPr>
            </w:pPr>
            <w:r>
              <w:rPr>
                <w:rFonts w:ascii="Times New Roman" w:hAnsi="Times New Roman" w:eastAsia="Times New Roman" w:cs="Times New Roman"/>
                <w:spacing w:val="5"/>
                <w:position w:val="1"/>
                <w:sz w:val="20"/>
                <w:szCs w:val="20"/>
              </w:rPr>
              <w:t>8</w:t>
            </w:r>
            <w:r>
              <w:rPr>
                <w:rFonts w:ascii="Times New Roman" w:hAnsi="Times New Roman" w:eastAsia="Times New Roman" w:cs="Times New Roman"/>
                <w:spacing w:val="4"/>
                <w:position w:val="1"/>
                <w:sz w:val="20"/>
                <w:szCs w:val="20"/>
              </w:rPr>
              <w:t>0</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4"/>
                <w:position w:val="1"/>
                <w:sz w:val="20"/>
                <w:szCs w:val="20"/>
              </w:rPr>
              <w:t>)</w:t>
            </w:r>
          </w:p>
        </w:tc>
        <w:tc>
          <w:tcPr>
            <w:tcW w:w="2949" w:type="dxa"/>
            <w:gridSpan w:val="2"/>
            <w:tcBorders>
              <w:right w:val="nil"/>
            </w:tcBorders>
            <w:vAlign w:val="top"/>
          </w:tcPr>
          <w:p w14:paraId="165AF71A">
            <w:pPr>
              <w:spacing w:before="18"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53354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67EA5675">
            <w:pPr>
              <w:rPr>
                <w:rFonts w:ascii="Arial"/>
                <w:sz w:val="21"/>
              </w:rPr>
            </w:pPr>
          </w:p>
        </w:tc>
        <w:tc>
          <w:tcPr>
            <w:tcW w:w="269" w:type="dxa"/>
            <w:vMerge w:val="continue"/>
            <w:tcBorders>
              <w:top w:val="nil"/>
              <w:bottom w:val="nil"/>
            </w:tcBorders>
            <w:textDirection w:val="tbRlV"/>
            <w:vAlign w:val="top"/>
          </w:tcPr>
          <w:p w14:paraId="6C9BCA44">
            <w:pPr>
              <w:rPr>
                <w:rFonts w:ascii="Arial"/>
                <w:sz w:val="21"/>
              </w:rPr>
            </w:pPr>
          </w:p>
        </w:tc>
        <w:tc>
          <w:tcPr>
            <w:tcW w:w="1705" w:type="dxa"/>
            <w:vAlign w:val="top"/>
          </w:tcPr>
          <w:p w14:paraId="00241E58">
            <w:pPr>
              <w:spacing w:before="55" w:line="227" w:lineRule="auto"/>
              <w:ind w:left="332"/>
              <w:rPr>
                <w:rFonts w:ascii="宋体" w:hAnsi="宋体" w:eastAsia="宋体" w:cs="宋体"/>
                <w:sz w:val="20"/>
                <w:szCs w:val="20"/>
              </w:rPr>
            </w:pPr>
            <w:r>
              <w:rPr>
                <w:rFonts w:ascii="宋体" w:hAnsi="宋体" w:eastAsia="宋体" w:cs="宋体"/>
                <w:spacing w:val="8"/>
                <w:sz w:val="20"/>
                <w:szCs w:val="20"/>
              </w:rPr>
              <w:t>偏心清洗机</w:t>
            </w:r>
          </w:p>
        </w:tc>
        <w:tc>
          <w:tcPr>
            <w:tcW w:w="2939" w:type="dxa"/>
            <w:gridSpan w:val="2"/>
            <w:vAlign w:val="top"/>
          </w:tcPr>
          <w:p w14:paraId="105ACDF4">
            <w:pPr>
              <w:spacing w:before="18"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70</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61E7D247">
            <w:pPr>
              <w:spacing w:before="18"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F9F5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0ADA9DAA">
            <w:pPr>
              <w:rPr>
                <w:rFonts w:ascii="Arial"/>
                <w:sz w:val="21"/>
              </w:rPr>
            </w:pPr>
          </w:p>
        </w:tc>
        <w:tc>
          <w:tcPr>
            <w:tcW w:w="269" w:type="dxa"/>
            <w:vMerge w:val="continue"/>
            <w:tcBorders>
              <w:top w:val="nil"/>
              <w:bottom w:val="nil"/>
            </w:tcBorders>
            <w:textDirection w:val="tbRlV"/>
            <w:vAlign w:val="top"/>
          </w:tcPr>
          <w:p w14:paraId="0C7EAC66">
            <w:pPr>
              <w:rPr>
                <w:rFonts w:ascii="Arial"/>
                <w:sz w:val="21"/>
              </w:rPr>
            </w:pPr>
          </w:p>
        </w:tc>
        <w:tc>
          <w:tcPr>
            <w:tcW w:w="1705" w:type="dxa"/>
            <w:vAlign w:val="top"/>
          </w:tcPr>
          <w:p w14:paraId="23B6B86C">
            <w:pPr>
              <w:spacing w:before="55" w:line="227" w:lineRule="auto"/>
              <w:ind w:left="332"/>
              <w:rPr>
                <w:rFonts w:ascii="宋体" w:hAnsi="宋体" w:eastAsia="宋体" w:cs="宋体"/>
                <w:sz w:val="20"/>
                <w:szCs w:val="20"/>
              </w:rPr>
            </w:pPr>
            <w:r>
              <w:rPr>
                <w:rFonts w:ascii="宋体" w:hAnsi="宋体" w:eastAsia="宋体" w:cs="宋体"/>
                <w:spacing w:val="8"/>
                <w:sz w:val="20"/>
                <w:szCs w:val="20"/>
              </w:rPr>
              <w:t>立式脱水机</w:t>
            </w:r>
          </w:p>
        </w:tc>
        <w:tc>
          <w:tcPr>
            <w:tcW w:w="2939" w:type="dxa"/>
            <w:gridSpan w:val="2"/>
            <w:vAlign w:val="top"/>
          </w:tcPr>
          <w:p w14:paraId="53C9A7E9">
            <w:pPr>
              <w:spacing w:before="17"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75</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0ABEFC6E">
            <w:pPr>
              <w:spacing w:before="17"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44B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451DE028">
            <w:pPr>
              <w:rPr>
                <w:rFonts w:ascii="Arial"/>
                <w:sz w:val="21"/>
              </w:rPr>
            </w:pPr>
          </w:p>
        </w:tc>
        <w:tc>
          <w:tcPr>
            <w:tcW w:w="269" w:type="dxa"/>
            <w:vMerge w:val="continue"/>
            <w:tcBorders>
              <w:top w:val="nil"/>
              <w:bottom w:val="nil"/>
            </w:tcBorders>
            <w:textDirection w:val="tbRlV"/>
            <w:vAlign w:val="top"/>
          </w:tcPr>
          <w:p w14:paraId="0CDC84A8">
            <w:pPr>
              <w:rPr>
                <w:rFonts w:ascii="Arial"/>
                <w:sz w:val="21"/>
              </w:rPr>
            </w:pPr>
          </w:p>
        </w:tc>
        <w:tc>
          <w:tcPr>
            <w:tcW w:w="1705" w:type="dxa"/>
            <w:vAlign w:val="top"/>
          </w:tcPr>
          <w:p w14:paraId="795C2139">
            <w:pPr>
              <w:spacing w:before="57" w:line="227" w:lineRule="auto"/>
              <w:ind w:left="541"/>
              <w:rPr>
                <w:rFonts w:ascii="宋体" w:hAnsi="宋体" w:eastAsia="宋体" w:cs="宋体"/>
                <w:sz w:val="20"/>
                <w:szCs w:val="20"/>
              </w:rPr>
            </w:pPr>
            <w:r>
              <w:rPr>
                <w:rFonts w:ascii="宋体" w:hAnsi="宋体" w:eastAsia="宋体" w:cs="宋体"/>
                <w:spacing w:val="7"/>
                <w:sz w:val="20"/>
                <w:szCs w:val="20"/>
              </w:rPr>
              <w:t>挤出</w:t>
            </w:r>
            <w:r>
              <w:rPr>
                <w:rFonts w:ascii="宋体" w:hAnsi="宋体" w:eastAsia="宋体" w:cs="宋体"/>
                <w:spacing w:val="6"/>
                <w:sz w:val="20"/>
                <w:szCs w:val="20"/>
              </w:rPr>
              <w:t>机</w:t>
            </w:r>
          </w:p>
        </w:tc>
        <w:tc>
          <w:tcPr>
            <w:tcW w:w="2939" w:type="dxa"/>
            <w:gridSpan w:val="2"/>
            <w:vAlign w:val="top"/>
          </w:tcPr>
          <w:p w14:paraId="00AC9A02">
            <w:pPr>
              <w:spacing w:before="19"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70</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1E634DE9">
            <w:pPr>
              <w:spacing w:before="19"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36387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533FF816">
            <w:pPr>
              <w:rPr>
                <w:rFonts w:ascii="Arial"/>
                <w:sz w:val="21"/>
              </w:rPr>
            </w:pPr>
          </w:p>
        </w:tc>
        <w:tc>
          <w:tcPr>
            <w:tcW w:w="269" w:type="dxa"/>
            <w:vMerge w:val="continue"/>
            <w:tcBorders>
              <w:top w:val="nil"/>
              <w:bottom w:val="nil"/>
            </w:tcBorders>
            <w:textDirection w:val="tbRlV"/>
            <w:vAlign w:val="top"/>
          </w:tcPr>
          <w:p w14:paraId="27DDEAFD">
            <w:pPr>
              <w:rPr>
                <w:rFonts w:ascii="Arial"/>
                <w:sz w:val="21"/>
              </w:rPr>
            </w:pPr>
          </w:p>
        </w:tc>
        <w:tc>
          <w:tcPr>
            <w:tcW w:w="1705" w:type="dxa"/>
            <w:vAlign w:val="top"/>
          </w:tcPr>
          <w:p w14:paraId="5A7EEC70">
            <w:pPr>
              <w:spacing w:before="56" w:line="227" w:lineRule="auto"/>
              <w:ind w:left="543"/>
              <w:rPr>
                <w:rFonts w:ascii="宋体" w:hAnsi="宋体" w:eastAsia="宋体" w:cs="宋体"/>
                <w:sz w:val="20"/>
                <w:szCs w:val="20"/>
              </w:rPr>
            </w:pPr>
            <w:r>
              <w:rPr>
                <w:rFonts w:ascii="宋体" w:hAnsi="宋体" w:eastAsia="宋体" w:cs="宋体"/>
                <w:spacing w:val="7"/>
                <w:sz w:val="20"/>
                <w:szCs w:val="20"/>
              </w:rPr>
              <w:t>拉</w:t>
            </w:r>
            <w:r>
              <w:rPr>
                <w:rFonts w:ascii="宋体" w:hAnsi="宋体" w:eastAsia="宋体" w:cs="宋体"/>
                <w:spacing w:val="6"/>
                <w:sz w:val="20"/>
                <w:szCs w:val="20"/>
              </w:rPr>
              <w:t>丝机</w:t>
            </w:r>
          </w:p>
        </w:tc>
        <w:tc>
          <w:tcPr>
            <w:tcW w:w="2939" w:type="dxa"/>
            <w:gridSpan w:val="2"/>
            <w:vAlign w:val="top"/>
          </w:tcPr>
          <w:p w14:paraId="35F73A1A">
            <w:pPr>
              <w:spacing w:before="19"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70</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04FEC840">
            <w:pPr>
              <w:spacing w:before="19"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99FA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19595630">
            <w:pPr>
              <w:rPr>
                <w:rFonts w:ascii="Arial"/>
                <w:sz w:val="21"/>
              </w:rPr>
            </w:pPr>
          </w:p>
        </w:tc>
        <w:tc>
          <w:tcPr>
            <w:tcW w:w="269" w:type="dxa"/>
            <w:vMerge w:val="continue"/>
            <w:tcBorders>
              <w:top w:val="nil"/>
              <w:bottom w:val="nil"/>
            </w:tcBorders>
            <w:textDirection w:val="tbRlV"/>
            <w:vAlign w:val="top"/>
          </w:tcPr>
          <w:p w14:paraId="25082D63">
            <w:pPr>
              <w:rPr>
                <w:rFonts w:ascii="Arial"/>
                <w:sz w:val="21"/>
              </w:rPr>
            </w:pPr>
          </w:p>
        </w:tc>
        <w:tc>
          <w:tcPr>
            <w:tcW w:w="1705" w:type="dxa"/>
            <w:vAlign w:val="top"/>
          </w:tcPr>
          <w:p w14:paraId="57120677">
            <w:pPr>
              <w:spacing w:before="56" w:line="227" w:lineRule="auto"/>
              <w:ind w:left="540"/>
              <w:rPr>
                <w:rFonts w:ascii="宋体" w:hAnsi="宋体" w:eastAsia="宋体" w:cs="宋体"/>
                <w:sz w:val="20"/>
                <w:szCs w:val="20"/>
              </w:rPr>
            </w:pPr>
            <w:r>
              <w:rPr>
                <w:rFonts w:ascii="宋体" w:hAnsi="宋体" w:eastAsia="宋体" w:cs="宋体"/>
                <w:spacing w:val="7"/>
                <w:sz w:val="20"/>
                <w:szCs w:val="20"/>
              </w:rPr>
              <w:t>切粒机</w:t>
            </w:r>
          </w:p>
        </w:tc>
        <w:tc>
          <w:tcPr>
            <w:tcW w:w="2939" w:type="dxa"/>
            <w:gridSpan w:val="2"/>
            <w:vAlign w:val="top"/>
          </w:tcPr>
          <w:p w14:paraId="35B7E94B">
            <w:pPr>
              <w:spacing w:before="18"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75</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6CBC47EE">
            <w:pPr>
              <w:spacing w:before="18"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41DC7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43" w:type="dxa"/>
            <w:vMerge w:val="continue"/>
            <w:tcBorders>
              <w:top w:val="nil"/>
              <w:left w:val="nil"/>
            </w:tcBorders>
            <w:vAlign w:val="top"/>
          </w:tcPr>
          <w:p w14:paraId="41FCFA6B">
            <w:pPr>
              <w:rPr>
                <w:rFonts w:ascii="Arial"/>
                <w:sz w:val="21"/>
              </w:rPr>
            </w:pPr>
          </w:p>
        </w:tc>
        <w:tc>
          <w:tcPr>
            <w:tcW w:w="269" w:type="dxa"/>
            <w:vMerge w:val="continue"/>
            <w:tcBorders>
              <w:top w:val="nil"/>
            </w:tcBorders>
            <w:textDirection w:val="tbRlV"/>
            <w:vAlign w:val="top"/>
          </w:tcPr>
          <w:p w14:paraId="63788D14">
            <w:pPr>
              <w:rPr>
                <w:rFonts w:ascii="Arial"/>
                <w:sz w:val="21"/>
              </w:rPr>
            </w:pPr>
          </w:p>
        </w:tc>
        <w:tc>
          <w:tcPr>
            <w:tcW w:w="1705" w:type="dxa"/>
            <w:vAlign w:val="top"/>
          </w:tcPr>
          <w:p w14:paraId="5E61C20E">
            <w:pPr>
              <w:spacing w:before="55" w:line="227" w:lineRule="auto"/>
              <w:ind w:left="648"/>
              <w:rPr>
                <w:rFonts w:ascii="宋体" w:hAnsi="宋体" w:eastAsia="宋体" w:cs="宋体"/>
                <w:sz w:val="20"/>
                <w:szCs w:val="20"/>
              </w:rPr>
            </w:pPr>
            <w:r>
              <w:rPr>
                <w:rFonts w:ascii="宋体" w:hAnsi="宋体" w:eastAsia="宋体" w:cs="宋体"/>
                <w:spacing w:val="4"/>
                <w:sz w:val="20"/>
                <w:szCs w:val="20"/>
              </w:rPr>
              <w:t>风机</w:t>
            </w:r>
          </w:p>
        </w:tc>
        <w:tc>
          <w:tcPr>
            <w:tcW w:w="2939" w:type="dxa"/>
            <w:gridSpan w:val="2"/>
            <w:vAlign w:val="top"/>
          </w:tcPr>
          <w:p w14:paraId="625DEDE9">
            <w:pPr>
              <w:spacing w:before="18" w:line="281" w:lineRule="exact"/>
              <w:ind w:left="962"/>
              <w:rPr>
                <w:rFonts w:ascii="宋体" w:hAnsi="宋体" w:eastAsia="宋体" w:cs="宋体"/>
                <w:sz w:val="20"/>
                <w:szCs w:val="20"/>
              </w:rPr>
            </w:pPr>
            <w:r>
              <w:rPr>
                <w:rFonts w:ascii="Times New Roman" w:hAnsi="Times New Roman" w:eastAsia="Times New Roman" w:cs="Times New Roman"/>
                <w:spacing w:val="5"/>
                <w:position w:val="1"/>
                <w:sz w:val="20"/>
                <w:szCs w:val="20"/>
              </w:rPr>
              <w:t>75</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c>
          <w:tcPr>
            <w:tcW w:w="2949" w:type="dxa"/>
            <w:gridSpan w:val="2"/>
            <w:tcBorders>
              <w:right w:val="nil"/>
            </w:tcBorders>
            <w:vAlign w:val="top"/>
          </w:tcPr>
          <w:p w14:paraId="09B8CC52">
            <w:pPr>
              <w:spacing w:before="18" w:line="281" w:lineRule="exact"/>
              <w:ind w:left="14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14:paraId="112E8822">
      <w:pPr>
        <w:rPr>
          <w:rFonts w:ascii="Arial"/>
          <w:sz w:val="21"/>
        </w:rPr>
      </w:pPr>
    </w:p>
    <w:p w14:paraId="49DC2DA8">
      <w:pPr>
        <w:sectPr>
          <w:footerReference r:id="rId145" w:type="default"/>
          <w:pgSz w:w="11906" w:h="16839"/>
          <w:pgMar w:top="1132" w:right="1691" w:bottom="1182" w:left="1691" w:header="878" w:footer="1022" w:gutter="0"/>
          <w:cols w:space="720" w:num="1"/>
        </w:sectPr>
      </w:pPr>
    </w:p>
    <w:p w14:paraId="6D55061F">
      <w:r>
        <w:pict>
          <v:rect id="_x0000_s1207" o:spid="_x0000_s1207" o:spt="1" style="position:absolute;left:0pt;margin-left:90pt;margin-top:57.35pt;height:0.75pt;width:415.3pt;mso-position-horizontal-relative:page;mso-position-vertical-relative:page;z-index:251858944;mso-width-relative:page;mso-height-relative:page;" fillcolor="#000000" filled="t" stroked="f" coordsize="21600,21600" o:allowincell="f">
            <v:path/>
            <v:fill on="t" focussize="0,0"/>
            <v:stroke on="f"/>
            <v:imagedata o:title=""/>
            <o:lock v:ext="edit"/>
          </v:rect>
        </w:pict>
      </w:r>
    </w:p>
    <w:p w14:paraId="68942606">
      <w:pPr>
        <w:spacing w:line="65" w:lineRule="exact"/>
      </w:pPr>
    </w:p>
    <w:tbl>
      <w:tblPr>
        <w:tblStyle w:val="4"/>
        <w:tblW w:w="830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3"/>
        <w:gridCol w:w="269"/>
        <w:gridCol w:w="1705"/>
        <w:gridCol w:w="1579"/>
        <w:gridCol w:w="1361"/>
        <w:gridCol w:w="1530"/>
        <w:gridCol w:w="1419"/>
      </w:tblGrid>
      <w:tr w14:paraId="16EE5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43" w:type="dxa"/>
            <w:tcBorders>
              <w:left w:val="nil"/>
            </w:tcBorders>
            <w:vAlign w:val="top"/>
          </w:tcPr>
          <w:p w14:paraId="75DD0889">
            <w:pPr>
              <w:rPr>
                <w:rFonts w:ascii="Arial"/>
                <w:sz w:val="21"/>
              </w:rPr>
            </w:pPr>
          </w:p>
        </w:tc>
        <w:tc>
          <w:tcPr>
            <w:tcW w:w="269" w:type="dxa"/>
            <w:vAlign w:val="top"/>
          </w:tcPr>
          <w:p w14:paraId="6C3F475F">
            <w:pPr>
              <w:rPr>
                <w:rFonts w:ascii="Arial"/>
                <w:sz w:val="21"/>
              </w:rPr>
            </w:pPr>
          </w:p>
        </w:tc>
        <w:tc>
          <w:tcPr>
            <w:tcW w:w="1705" w:type="dxa"/>
            <w:vAlign w:val="top"/>
          </w:tcPr>
          <w:p w14:paraId="209F8D57">
            <w:pPr>
              <w:spacing w:before="75" w:line="228" w:lineRule="auto"/>
              <w:ind w:left="438"/>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环水泵</w:t>
            </w:r>
          </w:p>
        </w:tc>
        <w:tc>
          <w:tcPr>
            <w:tcW w:w="2940" w:type="dxa"/>
            <w:gridSpan w:val="2"/>
            <w:vAlign w:val="top"/>
          </w:tcPr>
          <w:p w14:paraId="75F64531">
            <w:pPr>
              <w:spacing w:before="38" w:line="281" w:lineRule="exact"/>
              <w:ind w:left="967"/>
              <w:rPr>
                <w:rFonts w:ascii="宋体" w:hAnsi="宋体" w:eastAsia="宋体" w:cs="宋体"/>
                <w:sz w:val="20"/>
                <w:szCs w:val="20"/>
              </w:rPr>
            </w:pPr>
            <w:r>
              <w:rPr>
                <w:rFonts w:ascii="Times New Roman" w:hAnsi="Times New Roman" w:eastAsia="Times New Roman" w:cs="Times New Roman"/>
                <w:spacing w:val="5"/>
                <w:position w:val="1"/>
                <w:sz w:val="20"/>
                <w:szCs w:val="20"/>
              </w:rPr>
              <w:t>8</w:t>
            </w:r>
            <w:r>
              <w:rPr>
                <w:rFonts w:ascii="Times New Roman" w:hAnsi="Times New Roman" w:eastAsia="Times New Roman" w:cs="Times New Roman"/>
                <w:spacing w:val="4"/>
                <w:position w:val="1"/>
                <w:sz w:val="20"/>
                <w:szCs w:val="20"/>
              </w:rPr>
              <w:t>0</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4"/>
                <w:position w:val="1"/>
                <w:sz w:val="20"/>
                <w:szCs w:val="20"/>
              </w:rPr>
              <w:t>)</w:t>
            </w:r>
          </w:p>
        </w:tc>
        <w:tc>
          <w:tcPr>
            <w:tcW w:w="2949" w:type="dxa"/>
            <w:gridSpan w:val="2"/>
            <w:tcBorders>
              <w:right w:val="nil"/>
            </w:tcBorders>
            <w:vAlign w:val="top"/>
          </w:tcPr>
          <w:p w14:paraId="3B253FB8">
            <w:pPr>
              <w:spacing w:before="38" w:line="281" w:lineRule="exact"/>
              <w:ind w:left="14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DEE0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restart"/>
            <w:tcBorders>
              <w:left w:val="nil"/>
              <w:bottom w:val="nil"/>
            </w:tcBorders>
            <w:vAlign w:val="top"/>
          </w:tcPr>
          <w:p w14:paraId="6C4BC109">
            <w:pPr>
              <w:spacing w:line="287" w:lineRule="auto"/>
              <w:rPr>
                <w:rFonts w:ascii="Arial"/>
                <w:sz w:val="21"/>
              </w:rPr>
            </w:pPr>
          </w:p>
          <w:p w14:paraId="237893A7">
            <w:pPr>
              <w:spacing w:line="287" w:lineRule="auto"/>
              <w:rPr>
                <w:rFonts w:ascii="Arial"/>
                <w:sz w:val="21"/>
              </w:rPr>
            </w:pPr>
          </w:p>
          <w:p w14:paraId="4BAD0A5D">
            <w:pPr>
              <w:spacing w:line="288" w:lineRule="auto"/>
              <w:rPr>
                <w:rFonts w:ascii="Arial"/>
                <w:sz w:val="21"/>
              </w:rPr>
            </w:pPr>
          </w:p>
          <w:p w14:paraId="677A8543">
            <w:pPr>
              <w:spacing w:line="288" w:lineRule="auto"/>
              <w:rPr>
                <w:rFonts w:ascii="Arial"/>
                <w:sz w:val="21"/>
              </w:rPr>
            </w:pPr>
          </w:p>
          <w:p w14:paraId="673EBB01">
            <w:pPr>
              <w:spacing w:before="5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9" w:type="dxa"/>
            <w:vMerge w:val="restart"/>
            <w:tcBorders>
              <w:bottom w:val="nil"/>
            </w:tcBorders>
            <w:textDirection w:val="tbRlV"/>
            <w:vAlign w:val="top"/>
          </w:tcPr>
          <w:p w14:paraId="4D005414">
            <w:pPr>
              <w:spacing w:before="27" w:line="217" w:lineRule="auto"/>
              <w:ind w:left="711"/>
              <w:rPr>
                <w:rFonts w:ascii="宋体" w:hAnsi="宋体" w:eastAsia="宋体" w:cs="宋体"/>
                <w:sz w:val="20"/>
                <w:szCs w:val="20"/>
              </w:rPr>
            </w:pPr>
            <w:r>
              <w:rPr>
                <w:rFonts w:ascii="宋体" w:hAnsi="宋体" w:eastAsia="宋体" w:cs="宋体"/>
                <w:spacing w:val="8"/>
                <w:sz w:val="20"/>
                <w:szCs w:val="20"/>
              </w:rPr>
              <w:t>固</w:t>
            </w:r>
            <w:r>
              <w:rPr>
                <w:rFonts w:ascii="宋体" w:hAnsi="宋体" w:eastAsia="宋体" w:cs="宋体"/>
                <w:spacing w:val="6"/>
                <w:sz w:val="20"/>
                <w:szCs w:val="20"/>
              </w:rPr>
              <w:t xml:space="preserve"> 体 废 物</w:t>
            </w:r>
          </w:p>
        </w:tc>
        <w:tc>
          <w:tcPr>
            <w:tcW w:w="1705" w:type="dxa"/>
            <w:vAlign w:val="top"/>
          </w:tcPr>
          <w:p w14:paraId="622A2B29">
            <w:pPr>
              <w:spacing w:before="51" w:line="228" w:lineRule="auto"/>
              <w:ind w:left="440"/>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1579" w:type="dxa"/>
            <w:vAlign w:val="top"/>
          </w:tcPr>
          <w:p w14:paraId="1A517DAA">
            <w:pPr>
              <w:spacing w:before="13"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7FBD9F95">
            <w:pPr>
              <w:spacing w:before="13" w:line="281"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1"/>
                <w:position w:val="2"/>
                <w:sz w:val="20"/>
                <w:szCs w:val="20"/>
              </w:rPr>
              <w:t>2t/a</w:t>
            </w:r>
          </w:p>
        </w:tc>
        <w:tc>
          <w:tcPr>
            <w:tcW w:w="1530" w:type="dxa"/>
            <w:vAlign w:val="top"/>
          </w:tcPr>
          <w:p w14:paraId="2A39C780">
            <w:pPr>
              <w:spacing w:before="13"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31D047AC">
            <w:pPr>
              <w:spacing w:before="87"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4B88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60DF9B72">
            <w:pPr>
              <w:rPr>
                <w:rFonts w:ascii="Arial"/>
                <w:sz w:val="21"/>
              </w:rPr>
            </w:pPr>
          </w:p>
        </w:tc>
        <w:tc>
          <w:tcPr>
            <w:tcW w:w="269" w:type="dxa"/>
            <w:vMerge w:val="continue"/>
            <w:tcBorders>
              <w:top w:val="nil"/>
              <w:bottom w:val="nil"/>
            </w:tcBorders>
            <w:textDirection w:val="tbRlV"/>
            <w:vAlign w:val="top"/>
          </w:tcPr>
          <w:p w14:paraId="5CED6BF1">
            <w:pPr>
              <w:rPr>
                <w:rFonts w:ascii="Arial"/>
                <w:sz w:val="21"/>
              </w:rPr>
            </w:pPr>
          </w:p>
        </w:tc>
        <w:tc>
          <w:tcPr>
            <w:tcW w:w="1705" w:type="dxa"/>
            <w:vAlign w:val="top"/>
          </w:tcPr>
          <w:p w14:paraId="6C2EF1F0">
            <w:pPr>
              <w:spacing w:before="53" w:line="228" w:lineRule="auto"/>
              <w:ind w:left="648"/>
              <w:rPr>
                <w:rFonts w:ascii="宋体" w:hAnsi="宋体" w:eastAsia="宋体" w:cs="宋体"/>
                <w:sz w:val="20"/>
                <w:szCs w:val="20"/>
              </w:rPr>
            </w:pPr>
            <w:r>
              <w:rPr>
                <w:rFonts w:ascii="宋体" w:hAnsi="宋体" w:eastAsia="宋体" w:cs="宋体"/>
                <w:spacing w:val="4"/>
                <w:sz w:val="20"/>
                <w:szCs w:val="20"/>
              </w:rPr>
              <w:t>杂</w:t>
            </w:r>
            <w:r>
              <w:rPr>
                <w:rFonts w:ascii="宋体" w:hAnsi="宋体" w:eastAsia="宋体" w:cs="宋体"/>
                <w:spacing w:val="3"/>
                <w:sz w:val="20"/>
                <w:szCs w:val="20"/>
              </w:rPr>
              <w:t>质</w:t>
            </w:r>
          </w:p>
        </w:tc>
        <w:tc>
          <w:tcPr>
            <w:tcW w:w="1579" w:type="dxa"/>
            <w:vAlign w:val="top"/>
          </w:tcPr>
          <w:p w14:paraId="53A8F64C">
            <w:pPr>
              <w:spacing w:before="16"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59AD2CBE">
            <w:pPr>
              <w:spacing w:before="16" w:line="281"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102</w:t>
            </w:r>
            <w:r>
              <w:rPr>
                <w:rFonts w:ascii="Times New Roman" w:hAnsi="Times New Roman" w:eastAsia="Times New Roman" w:cs="Times New Roman"/>
                <w:position w:val="2"/>
                <w:sz w:val="20"/>
                <w:szCs w:val="20"/>
              </w:rPr>
              <w:t>2t/a</w:t>
            </w:r>
          </w:p>
        </w:tc>
        <w:tc>
          <w:tcPr>
            <w:tcW w:w="1530" w:type="dxa"/>
            <w:vAlign w:val="top"/>
          </w:tcPr>
          <w:p w14:paraId="4C3CDBCE">
            <w:pPr>
              <w:spacing w:before="16"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2372FBE2">
            <w:pPr>
              <w:spacing w:before="9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2BE9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continue"/>
            <w:tcBorders>
              <w:top w:val="nil"/>
              <w:left w:val="nil"/>
              <w:bottom w:val="nil"/>
            </w:tcBorders>
            <w:vAlign w:val="top"/>
          </w:tcPr>
          <w:p w14:paraId="10E3AE78">
            <w:pPr>
              <w:rPr>
                <w:rFonts w:ascii="Arial"/>
                <w:sz w:val="21"/>
              </w:rPr>
            </w:pPr>
          </w:p>
        </w:tc>
        <w:tc>
          <w:tcPr>
            <w:tcW w:w="269" w:type="dxa"/>
            <w:vMerge w:val="continue"/>
            <w:tcBorders>
              <w:top w:val="nil"/>
              <w:bottom w:val="nil"/>
            </w:tcBorders>
            <w:textDirection w:val="tbRlV"/>
            <w:vAlign w:val="top"/>
          </w:tcPr>
          <w:p w14:paraId="7024759C">
            <w:pPr>
              <w:rPr>
                <w:rFonts w:ascii="Arial"/>
                <w:sz w:val="21"/>
              </w:rPr>
            </w:pPr>
          </w:p>
        </w:tc>
        <w:tc>
          <w:tcPr>
            <w:tcW w:w="1705" w:type="dxa"/>
            <w:vAlign w:val="top"/>
          </w:tcPr>
          <w:p w14:paraId="66D839C2">
            <w:pPr>
              <w:spacing w:before="54" w:line="228" w:lineRule="auto"/>
              <w:ind w:left="332"/>
              <w:rPr>
                <w:rFonts w:ascii="宋体" w:hAnsi="宋体" w:eastAsia="宋体" w:cs="宋体"/>
                <w:sz w:val="20"/>
                <w:szCs w:val="20"/>
              </w:rPr>
            </w:pPr>
            <w:r>
              <w:rPr>
                <w:rFonts w:ascii="宋体" w:hAnsi="宋体" w:eastAsia="宋体" w:cs="宋体"/>
                <w:spacing w:val="8"/>
                <w:sz w:val="20"/>
                <w:szCs w:val="20"/>
              </w:rPr>
              <w:t>沉淀池污泥</w:t>
            </w:r>
          </w:p>
        </w:tc>
        <w:tc>
          <w:tcPr>
            <w:tcW w:w="1579" w:type="dxa"/>
            <w:vAlign w:val="top"/>
          </w:tcPr>
          <w:p w14:paraId="4F4778E7">
            <w:pPr>
              <w:spacing w:before="16"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5BA6A312">
            <w:pPr>
              <w:spacing w:before="16" w:line="281"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w:t>
            </w:r>
            <w:r>
              <w:rPr>
                <w:rFonts w:ascii="Times New Roman" w:hAnsi="Times New Roman" w:eastAsia="Times New Roman" w:cs="Times New Roman"/>
                <w:spacing w:val="-1"/>
                <w:position w:val="2"/>
                <w:sz w:val="20"/>
                <w:szCs w:val="20"/>
              </w:rPr>
              <w:t>t</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
                <w:position w:val="2"/>
                <w:sz w:val="20"/>
                <w:szCs w:val="20"/>
              </w:rPr>
              <w:t>a</w:t>
            </w:r>
          </w:p>
        </w:tc>
        <w:tc>
          <w:tcPr>
            <w:tcW w:w="1530" w:type="dxa"/>
            <w:vAlign w:val="top"/>
          </w:tcPr>
          <w:p w14:paraId="3EFB4611">
            <w:pPr>
              <w:spacing w:before="16"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0C59A741">
            <w:pPr>
              <w:spacing w:before="89"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146B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continue"/>
            <w:tcBorders>
              <w:top w:val="nil"/>
              <w:left w:val="nil"/>
              <w:bottom w:val="nil"/>
            </w:tcBorders>
            <w:vAlign w:val="top"/>
          </w:tcPr>
          <w:p w14:paraId="6DB61FF0">
            <w:pPr>
              <w:rPr>
                <w:rFonts w:ascii="Arial"/>
                <w:sz w:val="21"/>
              </w:rPr>
            </w:pPr>
          </w:p>
        </w:tc>
        <w:tc>
          <w:tcPr>
            <w:tcW w:w="269" w:type="dxa"/>
            <w:vMerge w:val="continue"/>
            <w:tcBorders>
              <w:top w:val="nil"/>
              <w:bottom w:val="nil"/>
            </w:tcBorders>
            <w:textDirection w:val="tbRlV"/>
            <w:vAlign w:val="top"/>
          </w:tcPr>
          <w:p w14:paraId="1050635E">
            <w:pPr>
              <w:rPr>
                <w:rFonts w:ascii="Arial"/>
                <w:sz w:val="21"/>
              </w:rPr>
            </w:pPr>
          </w:p>
        </w:tc>
        <w:tc>
          <w:tcPr>
            <w:tcW w:w="1705" w:type="dxa"/>
            <w:vAlign w:val="top"/>
          </w:tcPr>
          <w:p w14:paraId="0A09BF97">
            <w:pPr>
              <w:spacing w:before="54" w:line="228" w:lineRule="auto"/>
              <w:ind w:left="540"/>
              <w:rPr>
                <w:rFonts w:ascii="宋体" w:hAnsi="宋体" w:eastAsia="宋体" w:cs="宋体"/>
                <w:sz w:val="20"/>
                <w:szCs w:val="20"/>
              </w:rPr>
            </w:pPr>
            <w:r>
              <w:rPr>
                <w:rFonts w:ascii="宋体" w:hAnsi="宋体" w:eastAsia="宋体" w:cs="宋体"/>
                <w:spacing w:val="7"/>
                <w:sz w:val="20"/>
                <w:szCs w:val="20"/>
              </w:rPr>
              <w:t>废滤网</w:t>
            </w:r>
          </w:p>
        </w:tc>
        <w:tc>
          <w:tcPr>
            <w:tcW w:w="1579" w:type="dxa"/>
            <w:vAlign w:val="top"/>
          </w:tcPr>
          <w:p w14:paraId="058E7D1F">
            <w:pPr>
              <w:spacing w:before="16"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1B75BA26">
            <w:pPr>
              <w:spacing w:before="16" w:line="281"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.8</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10991322">
            <w:pPr>
              <w:spacing w:before="16"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5FF5ED7A">
            <w:pPr>
              <w:spacing w:before="9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CABD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43" w:type="dxa"/>
            <w:vMerge w:val="continue"/>
            <w:tcBorders>
              <w:top w:val="nil"/>
              <w:left w:val="nil"/>
              <w:bottom w:val="nil"/>
            </w:tcBorders>
            <w:vAlign w:val="top"/>
          </w:tcPr>
          <w:p w14:paraId="29F3E2B2">
            <w:pPr>
              <w:rPr>
                <w:rFonts w:ascii="Arial"/>
                <w:sz w:val="21"/>
              </w:rPr>
            </w:pPr>
          </w:p>
        </w:tc>
        <w:tc>
          <w:tcPr>
            <w:tcW w:w="269" w:type="dxa"/>
            <w:vMerge w:val="continue"/>
            <w:tcBorders>
              <w:top w:val="nil"/>
              <w:bottom w:val="nil"/>
            </w:tcBorders>
            <w:textDirection w:val="tbRlV"/>
            <w:vAlign w:val="top"/>
          </w:tcPr>
          <w:p w14:paraId="71936F6D">
            <w:pPr>
              <w:rPr>
                <w:rFonts w:ascii="Arial"/>
                <w:sz w:val="21"/>
              </w:rPr>
            </w:pPr>
          </w:p>
        </w:tc>
        <w:tc>
          <w:tcPr>
            <w:tcW w:w="1705" w:type="dxa"/>
            <w:vAlign w:val="top"/>
          </w:tcPr>
          <w:p w14:paraId="451E48C1">
            <w:pPr>
              <w:spacing w:before="55" w:line="228" w:lineRule="auto"/>
              <w:ind w:left="437"/>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活性炭</w:t>
            </w:r>
          </w:p>
        </w:tc>
        <w:tc>
          <w:tcPr>
            <w:tcW w:w="1579" w:type="dxa"/>
            <w:vAlign w:val="top"/>
          </w:tcPr>
          <w:p w14:paraId="637EDADD">
            <w:pPr>
              <w:spacing w:before="17"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43114639">
            <w:pPr>
              <w:spacing w:before="17" w:line="281"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w:t>
            </w:r>
            <w:r>
              <w:rPr>
                <w:rFonts w:ascii="Times New Roman" w:hAnsi="Times New Roman" w:eastAsia="Times New Roman" w:cs="Times New Roman"/>
                <w:spacing w:val="3"/>
                <w:position w:val="2"/>
                <w:sz w:val="20"/>
                <w:szCs w:val="20"/>
              </w:rPr>
              <w:t>.22</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01B86588">
            <w:pPr>
              <w:spacing w:before="17"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3BA41F34">
            <w:pPr>
              <w:spacing w:before="9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8F00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079AE558">
            <w:pPr>
              <w:rPr>
                <w:rFonts w:ascii="Arial"/>
                <w:sz w:val="21"/>
              </w:rPr>
            </w:pPr>
          </w:p>
        </w:tc>
        <w:tc>
          <w:tcPr>
            <w:tcW w:w="269" w:type="dxa"/>
            <w:vMerge w:val="continue"/>
            <w:tcBorders>
              <w:top w:val="nil"/>
              <w:bottom w:val="nil"/>
            </w:tcBorders>
            <w:textDirection w:val="tbRlV"/>
            <w:vAlign w:val="top"/>
          </w:tcPr>
          <w:p w14:paraId="15A6404A">
            <w:pPr>
              <w:rPr>
                <w:rFonts w:ascii="Arial"/>
                <w:sz w:val="21"/>
              </w:rPr>
            </w:pPr>
          </w:p>
        </w:tc>
        <w:tc>
          <w:tcPr>
            <w:tcW w:w="1705" w:type="dxa"/>
            <w:vAlign w:val="top"/>
          </w:tcPr>
          <w:p w14:paraId="54F0DCFC">
            <w:pPr>
              <w:spacing w:before="56" w:line="228" w:lineRule="auto"/>
              <w:ind w:left="125"/>
              <w:rPr>
                <w:rFonts w:ascii="宋体" w:hAnsi="宋体" w:eastAsia="宋体" w:cs="宋体"/>
                <w:sz w:val="20"/>
                <w:szCs w:val="20"/>
              </w:rPr>
            </w:pPr>
            <w:r>
              <w:rPr>
                <w:rFonts w:ascii="宋体" w:hAnsi="宋体" w:eastAsia="宋体" w:cs="宋体"/>
                <w:spacing w:val="8"/>
                <w:sz w:val="20"/>
                <w:szCs w:val="20"/>
              </w:rPr>
              <w:t>热风炉燃料炉渣</w:t>
            </w:r>
          </w:p>
        </w:tc>
        <w:tc>
          <w:tcPr>
            <w:tcW w:w="1579" w:type="dxa"/>
            <w:vAlign w:val="top"/>
          </w:tcPr>
          <w:p w14:paraId="30F45C9F">
            <w:pPr>
              <w:spacing w:before="18"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77649228">
            <w:pPr>
              <w:spacing w:before="18" w:line="281"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7</w:t>
            </w:r>
            <w:r>
              <w:rPr>
                <w:rFonts w:ascii="Times New Roman" w:hAnsi="Times New Roman" w:eastAsia="Times New Roman" w:cs="Times New Roman"/>
                <w:spacing w:val="3"/>
                <w:position w:val="2"/>
                <w:sz w:val="20"/>
                <w:szCs w:val="20"/>
              </w:rPr>
              <w:t>3.2</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388A0C3E">
            <w:pPr>
              <w:spacing w:before="18"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47A9EB77">
            <w:pPr>
              <w:spacing w:before="91"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4EB4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43" w:type="dxa"/>
            <w:vMerge w:val="continue"/>
            <w:tcBorders>
              <w:top w:val="nil"/>
              <w:left w:val="nil"/>
              <w:bottom w:val="nil"/>
            </w:tcBorders>
            <w:vAlign w:val="top"/>
          </w:tcPr>
          <w:p w14:paraId="697FBEB8">
            <w:pPr>
              <w:rPr>
                <w:rFonts w:ascii="Arial"/>
                <w:sz w:val="21"/>
              </w:rPr>
            </w:pPr>
          </w:p>
        </w:tc>
        <w:tc>
          <w:tcPr>
            <w:tcW w:w="269" w:type="dxa"/>
            <w:vMerge w:val="continue"/>
            <w:tcBorders>
              <w:top w:val="nil"/>
              <w:bottom w:val="nil"/>
            </w:tcBorders>
            <w:textDirection w:val="tbRlV"/>
            <w:vAlign w:val="top"/>
          </w:tcPr>
          <w:p w14:paraId="28270265">
            <w:pPr>
              <w:rPr>
                <w:rFonts w:ascii="Arial"/>
                <w:sz w:val="21"/>
              </w:rPr>
            </w:pPr>
          </w:p>
        </w:tc>
        <w:tc>
          <w:tcPr>
            <w:tcW w:w="1705" w:type="dxa"/>
            <w:vAlign w:val="top"/>
          </w:tcPr>
          <w:p w14:paraId="32FE29E5">
            <w:pPr>
              <w:spacing w:before="54" w:line="228" w:lineRule="auto"/>
              <w:ind w:left="30"/>
              <w:rPr>
                <w:rFonts w:ascii="宋体" w:hAnsi="宋体" w:eastAsia="宋体" w:cs="宋体"/>
                <w:sz w:val="20"/>
                <w:szCs w:val="20"/>
              </w:rPr>
            </w:pPr>
            <w:r>
              <w:rPr>
                <w:rFonts w:ascii="宋体" w:hAnsi="宋体" w:eastAsia="宋体" w:cs="宋体"/>
                <w:spacing w:val="8"/>
                <w:sz w:val="20"/>
                <w:szCs w:val="20"/>
              </w:rPr>
              <w:t>除</w:t>
            </w:r>
            <w:r>
              <w:rPr>
                <w:rFonts w:ascii="宋体" w:hAnsi="宋体" w:eastAsia="宋体" w:cs="宋体"/>
                <w:spacing w:val="7"/>
                <w:sz w:val="20"/>
                <w:szCs w:val="20"/>
              </w:rPr>
              <w:t>尘器收集的粉尘</w:t>
            </w:r>
          </w:p>
        </w:tc>
        <w:tc>
          <w:tcPr>
            <w:tcW w:w="1579" w:type="dxa"/>
            <w:vAlign w:val="top"/>
          </w:tcPr>
          <w:p w14:paraId="76849D16">
            <w:pPr>
              <w:spacing w:before="17"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4AC81612">
            <w:pPr>
              <w:spacing w:before="17" w:line="281"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.505</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0D43DBBC">
            <w:pPr>
              <w:spacing w:before="17"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7BDC3E6B">
            <w:pPr>
              <w:spacing w:before="91"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2BAE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43" w:type="dxa"/>
            <w:vMerge w:val="continue"/>
            <w:tcBorders>
              <w:top w:val="nil"/>
              <w:left w:val="nil"/>
            </w:tcBorders>
            <w:vAlign w:val="top"/>
          </w:tcPr>
          <w:p w14:paraId="2E65EF0E">
            <w:pPr>
              <w:rPr>
                <w:rFonts w:ascii="Arial"/>
                <w:sz w:val="21"/>
              </w:rPr>
            </w:pPr>
          </w:p>
        </w:tc>
        <w:tc>
          <w:tcPr>
            <w:tcW w:w="269" w:type="dxa"/>
            <w:vMerge w:val="continue"/>
            <w:tcBorders>
              <w:top w:val="nil"/>
            </w:tcBorders>
            <w:textDirection w:val="tbRlV"/>
            <w:vAlign w:val="top"/>
          </w:tcPr>
          <w:p w14:paraId="4C32C04C">
            <w:pPr>
              <w:rPr>
                <w:rFonts w:ascii="Arial"/>
                <w:sz w:val="21"/>
              </w:rPr>
            </w:pPr>
          </w:p>
        </w:tc>
        <w:tc>
          <w:tcPr>
            <w:tcW w:w="1705" w:type="dxa"/>
            <w:vAlign w:val="top"/>
          </w:tcPr>
          <w:p w14:paraId="519B79EB">
            <w:pPr>
              <w:spacing w:before="56" w:line="228" w:lineRule="auto"/>
              <w:ind w:left="173"/>
              <w:rPr>
                <w:rFonts w:ascii="宋体" w:hAnsi="宋体" w:eastAsia="宋体" w:cs="宋体"/>
                <w:sz w:val="20"/>
                <w:szCs w:val="20"/>
              </w:rPr>
            </w:pPr>
            <w:r>
              <w:rPr>
                <w:rFonts w:ascii="宋体" w:hAnsi="宋体" w:eastAsia="宋体" w:cs="宋体"/>
                <w:spacing w:val="1"/>
                <w:sz w:val="20"/>
                <w:szCs w:val="20"/>
              </w:rPr>
              <w:t xml:space="preserve">废 </w:t>
            </w: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光解灯</w:t>
            </w:r>
            <w:r>
              <w:rPr>
                <w:rFonts w:ascii="宋体" w:hAnsi="宋体" w:eastAsia="宋体" w:cs="宋体"/>
                <w:sz w:val="20"/>
                <w:szCs w:val="20"/>
              </w:rPr>
              <w:t>管</w:t>
            </w:r>
          </w:p>
        </w:tc>
        <w:tc>
          <w:tcPr>
            <w:tcW w:w="1579" w:type="dxa"/>
            <w:vAlign w:val="top"/>
          </w:tcPr>
          <w:p w14:paraId="3ED57ED8">
            <w:pPr>
              <w:spacing w:before="19" w:line="281"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61" w:type="dxa"/>
            <w:vAlign w:val="top"/>
          </w:tcPr>
          <w:p w14:paraId="46196589">
            <w:pPr>
              <w:spacing w:before="19" w:line="281"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.4</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c>
          <w:tcPr>
            <w:tcW w:w="1530" w:type="dxa"/>
            <w:vAlign w:val="top"/>
          </w:tcPr>
          <w:p w14:paraId="7C17158F">
            <w:pPr>
              <w:spacing w:before="19" w:line="281" w:lineRule="exact"/>
              <w:ind w:left="7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19" w:type="dxa"/>
            <w:tcBorders>
              <w:right w:val="nil"/>
            </w:tcBorders>
            <w:vAlign w:val="top"/>
          </w:tcPr>
          <w:p w14:paraId="26D43716">
            <w:pPr>
              <w:spacing w:before="93"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3EDE242A">
      <w:pPr>
        <w:spacing w:before="268" w:line="225" w:lineRule="auto"/>
        <w:ind w:left="19"/>
        <w:outlineLvl w:val="1"/>
        <w:rPr>
          <w:rFonts w:ascii="宋体" w:hAnsi="宋体" w:eastAsia="宋体" w:cs="宋体"/>
          <w:sz w:val="31"/>
          <w:szCs w:val="31"/>
        </w:rPr>
      </w:pPr>
      <w:bookmarkStart w:id="17" w:name="_bookmark18"/>
      <w:bookmarkEnd w:id="17"/>
      <w:r>
        <w:rPr>
          <w:rFonts w:ascii="Times New Roman" w:hAnsi="Times New Roman" w:eastAsia="Times New Roman" w:cs="Times New Roman"/>
          <w:b/>
          <w:bCs/>
          <w:spacing w:val="8"/>
          <w:sz w:val="31"/>
          <w:szCs w:val="31"/>
        </w:rPr>
        <w:t>3.3</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污染物排放总量控</w:t>
      </w:r>
      <w:r>
        <w:rPr>
          <w:rFonts w:ascii="宋体" w:hAnsi="宋体" w:eastAsia="宋体" w:cs="宋体"/>
          <w:spacing w:val="6"/>
          <w:sz w:val="31"/>
          <w:szCs w:val="31"/>
          <w14:textOutline w14:w="5793" w14:cap="sq" w14:cmpd="sng">
            <w14:solidFill>
              <w14:srgbClr w14:val="000000"/>
            </w14:solidFill>
            <w14:prstDash w14:val="solid"/>
            <w14:bevel/>
          </w14:textOutline>
        </w:rPr>
        <w:t>制</w:t>
      </w:r>
    </w:p>
    <w:p w14:paraId="4017F2F7">
      <w:pPr>
        <w:spacing w:before="274" w:line="226" w:lineRule="auto"/>
        <w:ind w:left="18"/>
        <w:outlineLvl w:val="2"/>
        <w:rPr>
          <w:rFonts w:ascii="宋体" w:hAnsi="宋体" w:eastAsia="宋体" w:cs="宋体"/>
          <w:sz w:val="29"/>
          <w:szCs w:val="29"/>
        </w:rPr>
      </w:pPr>
      <w:r>
        <w:rPr>
          <w:rFonts w:ascii="Times New Roman" w:hAnsi="Times New Roman" w:eastAsia="Times New Roman" w:cs="Times New Roman"/>
          <w:b/>
          <w:bCs/>
          <w:spacing w:val="7"/>
          <w:sz w:val="29"/>
          <w:szCs w:val="29"/>
        </w:rPr>
        <w:t>3.3.1</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总量控制的目</w:t>
      </w:r>
      <w:r>
        <w:rPr>
          <w:rFonts w:ascii="宋体" w:hAnsi="宋体" w:eastAsia="宋体" w:cs="宋体"/>
          <w:spacing w:val="5"/>
          <w:sz w:val="29"/>
          <w:szCs w:val="29"/>
          <w14:textOutline w14:w="5448" w14:cap="sq" w14:cmpd="sng">
            <w14:solidFill>
              <w14:srgbClr w14:val="000000"/>
            </w14:solidFill>
            <w14:prstDash w14:val="solid"/>
            <w14:bevel/>
          </w14:textOutline>
        </w:rPr>
        <w:t>的</w:t>
      </w:r>
    </w:p>
    <w:p w14:paraId="7AEDAB74">
      <w:pPr>
        <w:spacing w:line="251" w:lineRule="auto"/>
        <w:rPr>
          <w:rFonts w:ascii="Arial"/>
          <w:sz w:val="21"/>
        </w:rPr>
      </w:pPr>
    </w:p>
    <w:p w14:paraId="4858EB12">
      <w:pPr>
        <w:spacing w:before="75" w:line="388" w:lineRule="auto"/>
        <w:ind w:left="23" w:right="54" w:firstLine="481"/>
        <w:rPr>
          <w:rFonts w:ascii="宋体" w:hAnsi="宋体" w:eastAsia="宋体" w:cs="宋体"/>
          <w:sz w:val="23"/>
          <w:szCs w:val="23"/>
        </w:rPr>
      </w:pPr>
      <w:r>
        <w:rPr>
          <w:rFonts w:ascii="宋体" w:hAnsi="宋体" w:eastAsia="宋体" w:cs="宋体"/>
          <w:spacing w:val="7"/>
          <w:sz w:val="23"/>
          <w:szCs w:val="23"/>
        </w:rPr>
        <w:t>我国目前实行的是区域污染物排放总量目标控制，即区域排污量在一定时</w:t>
      </w:r>
      <w:r>
        <w:rPr>
          <w:rFonts w:ascii="宋体" w:hAnsi="宋体" w:eastAsia="宋体" w:cs="宋体"/>
          <w:spacing w:val="1"/>
          <w:sz w:val="23"/>
          <w:szCs w:val="23"/>
        </w:rPr>
        <w:t>期</w:t>
      </w:r>
      <w:r>
        <w:rPr>
          <w:rFonts w:ascii="宋体" w:hAnsi="宋体" w:eastAsia="宋体" w:cs="宋体"/>
          <w:sz w:val="23"/>
          <w:szCs w:val="23"/>
        </w:rPr>
        <w:t xml:space="preserve"> </w:t>
      </w:r>
      <w:r>
        <w:rPr>
          <w:rFonts w:ascii="宋体" w:hAnsi="宋体" w:eastAsia="宋体" w:cs="宋体"/>
          <w:spacing w:val="9"/>
          <w:sz w:val="23"/>
          <w:szCs w:val="23"/>
        </w:rPr>
        <w:t>内</w:t>
      </w:r>
      <w:r>
        <w:rPr>
          <w:rFonts w:ascii="宋体" w:hAnsi="宋体" w:eastAsia="宋体" w:cs="宋体"/>
          <w:spacing w:val="7"/>
          <w:sz w:val="23"/>
          <w:szCs w:val="23"/>
        </w:rPr>
        <w:t>不得突破分配的污染物排放总量。因此，项目的总量控制应以区域总量不突破</w:t>
      </w:r>
      <w:r>
        <w:rPr>
          <w:rFonts w:ascii="宋体" w:hAnsi="宋体" w:eastAsia="宋体" w:cs="宋体"/>
          <w:sz w:val="23"/>
          <w:szCs w:val="23"/>
        </w:rPr>
        <w:t xml:space="preserve"> </w:t>
      </w:r>
      <w:r>
        <w:rPr>
          <w:rFonts w:ascii="宋体" w:hAnsi="宋体" w:eastAsia="宋体" w:cs="宋体"/>
          <w:spacing w:val="9"/>
          <w:sz w:val="23"/>
          <w:szCs w:val="23"/>
        </w:rPr>
        <w:t>为</w:t>
      </w:r>
      <w:r>
        <w:rPr>
          <w:rFonts w:ascii="宋体" w:hAnsi="宋体" w:eastAsia="宋体" w:cs="宋体"/>
          <w:spacing w:val="7"/>
          <w:sz w:val="23"/>
          <w:szCs w:val="23"/>
        </w:rPr>
        <w:t>前提，通过对项目污染物排放总量及控制途径分析，最大限度地减少各类污染</w:t>
      </w:r>
      <w:r>
        <w:rPr>
          <w:rFonts w:ascii="宋体" w:hAnsi="宋体" w:eastAsia="宋体" w:cs="宋体"/>
          <w:sz w:val="23"/>
          <w:szCs w:val="23"/>
        </w:rPr>
        <w:t xml:space="preserve"> </w:t>
      </w:r>
      <w:r>
        <w:rPr>
          <w:rFonts w:ascii="宋体" w:hAnsi="宋体" w:eastAsia="宋体" w:cs="宋体"/>
          <w:spacing w:val="9"/>
          <w:sz w:val="23"/>
          <w:szCs w:val="23"/>
        </w:rPr>
        <w:t>物</w:t>
      </w:r>
      <w:r>
        <w:rPr>
          <w:rFonts w:ascii="宋体" w:hAnsi="宋体" w:eastAsia="宋体" w:cs="宋体"/>
          <w:spacing w:val="7"/>
          <w:sz w:val="23"/>
          <w:szCs w:val="23"/>
        </w:rPr>
        <w:t>进入环境，提出合理可行的总量控制目标，为企业的排污总量指标申报和环保</w:t>
      </w:r>
      <w:r>
        <w:rPr>
          <w:rFonts w:ascii="宋体" w:hAnsi="宋体" w:eastAsia="宋体" w:cs="宋体"/>
          <w:sz w:val="23"/>
          <w:szCs w:val="23"/>
        </w:rPr>
        <w:t xml:space="preserve"> </w:t>
      </w:r>
      <w:r>
        <w:rPr>
          <w:rFonts w:ascii="宋体" w:hAnsi="宋体" w:eastAsia="宋体" w:cs="宋体"/>
          <w:spacing w:val="20"/>
          <w:sz w:val="23"/>
          <w:szCs w:val="23"/>
        </w:rPr>
        <w:t>部</w:t>
      </w:r>
      <w:r>
        <w:rPr>
          <w:rFonts w:ascii="宋体" w:hAnsi="宋体" w:eastAsia="宋体" w:cs="宋体"/>
          <w:spacing w:val="11"/>
          <w:sz w:val="23"/>
          <w:szCs w:val="23"/>
        </w:rPr>
        <w:t>门</w:t>
      </w:r>
      <w:r>
        <w:rPr>
          <w:rFonts w:ascii="宋体" w:hAnsi="宋体" w:eastAsia="宋体" w:cs="宋体"/>
          <w:spacing w:val="10"/>
          <w:sz w:val="23"/>
          <w:szCs w:val="23"/>
        </w:rPr>
        <w:t>开展总量控制工作提供依据， 以确保项目所在地的环境质量目标能得到实</w:t>
      </w:r>
      <w:r>
        <w:rPr>
          <w:rFonts w:ascii="宋体" w:hAnsi="宋体" w:eastAsia="宋体" w:cs="宋体"/>
          <w:sz w:val="23"/>
          <w:szCs w:val="23"/>
        </w:rPr>
        <w:t xml:space="preserve"> </w:t>
      </w:r>
      <w:r>
        <w:rPr>
          <w:rFonts w:ascii="宋体" w:hAnsi="宋体" w:eastAsia="宋体" w:cs="宋体"/>
          <w:spacing w:val="9"/>
          <w:sz w:val="23"/>
          <w:szCs w:val="23"/>
        </w:rPr>
        <w:t>现</w:t>
      </w:r>
      <w:r>
        <w:rPr>
          <w:rFonts w:ascii="宋体" w:hAnsi="宋体" w:eastAsia="宋体" w:cs="宋体"/>
          <w:spacing w:val="7"/>
          <w:sz w:val="23"/>
          <w:szCs w:val="23"/>
        </w:rPr>
        <w:t>，达到项目建设的经济效益、环境效益和社会效益的三统一，促进本区域经济</w:t>
      </w:r>
      <w:r>
        <w:rPr>
          <w:rFonts w:ascii="宋体" w:hAnsi="宋体" w:eastAsia="宋体" w:cs="宋体"/>
          <w:sz w:val="23"/>
          <w:szCs w:val="23"/>
        </w:rPr>
        <w:t xml:space="preserve"> </w:t>
      </w:r>
      <w:r>
        <w:rPr>
          <w:rFonts w:ascii="宋体" w:hAnsi="宋体" w:eastAsia="宋体" w:cs="宋体"/>
          <w:spacing w:val="8"/>
          <w:sz w:val="23"/>
          <w:szCs w:val="23"/>
        </w:rPr>
        <w:t>的</w:t>
      </w:r>
      <w:r>
        <w:rPr>
          <w:rFonts w:ascii="宋体" w:hAnsi="宋体" w:eastAsia="宋体" w:cs="宋体"/>
          <w:spacing w:val="7"/>
          <w:sz w:val="23"/>
          <w:szCs w:val="23"/>
        </w:rPr>
        <w:t>可持续发展。</w:t>
      </w:r>
    </w:p>
    <w:p w14:paraId="73ADEAC6">
      <w:pPr>
        <w:spacing w:before="85" w:line="226" w:lineRule="auto"/>
        <w:ind w:left="18"/>
        <w:outlineLvl w:val="2"/>
        <w:rPr>
          <w:rFonts w:ascii="宋体" w:hAnsi="宋体" w:eastAsia="宋体" w:cs="宋体"/>
          <w:sz w:val="29"/>
          <w:szCs w:val="29"/>
        </w:rPr>
      </w:pPr>
      <w:r>
        <w:rPr>
          <w:rFonts w:ascii="Times New Roman" w:hAnsi="Times New Roman" w:eastAsia="Times New Roman" w:cs="Times New Roman"/>
          <w:b/>
          <w:bCs/>
          <w:spacing w:val="13"/>
          <w:sz w:val="29"/>
          <w:szCs w:val="29"/>
        </w:rPr>
        <w:t>3</w:t>
      </w:r>
      <w:r>
        <w:rPr>
          <w:rFonts w:ascii="Times New Roman" w:hAnsi="Times New Roman" w:eastAsia="Times New Roman" w:cs="Times New Roman"/>
          <w:b/>
          <w:bCs/>
          <w:spacing w:val="7"/>
          <w:sz w:val="29"/>
          <w:szCs w:val="29"/>
        </w:rPr>
        <w:t>.3.2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总量控制因子的确定</w:t>
      </w:r>
    </w:p>
    <w:p w14:paraId="43E7E8AA">
      <w:pPr>
        <w:spacing w:line="254" w:lineRule="auto"/>
        <w:rPr>
          <w:rFonts w:ascii="Arial"/>
          <w:sz w:val="21"/>
        </w:rPr>
      </w:pPr>
    </w:p>
    <w:p w14:paraId="03573BF6">
      <w:pPr>
        <w:spacing w:before="75" w:line="391" w:lineRule="auto"/>
        <w:ind w:left="26" w:firstLine="477"/>
        <w:rPr>
          <w:rFonts w:ascii="宋体" w:hAnsi="宋体" w:eastAsia="宋体" w:cs="宋体"/>
          <w:sz w:val="23"/>
          <w:szCs w:val="23"/>
        </w:rPr>
      </w:pPr>
      <w:r>
        <w:rPr>
          <w:rFonts w:ascii="宋体" w:hAnsi="宋体" w:eastAsia="宋体" w:cs="宋体"/>
          <w:spacing w:val="18"/>
          <w:sz w:val="23"/>
          <w:szCs w:val="23"/>
        </w:rPr>
        <w:t>根</w:t>
      </w:r>
      <w:r>
        <w:rPr>
          <w:rFonts w:ascii="宋体" w:hAnsi="宋体" w:eastAsia="宋体" w:cs="宋体"/>
          <w:spacing w:val="17"/>
          <w:sz w:val="23"/>
          <w:szCs w:val="23"/>
        </w:rPr>
        <w:t>据</w:t>
      </w:r>
      <w:r>
        <w:rPr>
          <w:rFonts w:ascii="宋体" w:hAnsi="宋体" w:eastAsia="宋体" w:cs="宋体"/>
          <w:spacing w:val="9"/>
          <w:sz w:val="23"/>
          <w:szCs w:val="23"/>
        </w:rPr>
        <w:t>《国务院关于印发</w:t>
      </w:r>
      <w:r>
        <w:rPr>
          <w:rFonts w:ascii="Times New Roman" w:hAnsi="Times New Roman" w:eastAsia="Times New Roman" w:cs="Times New Roman"/>
          <w:spacing w:val="9"/>
          <w:sz w:val="23"/>
          <w:szCs w:val="23"/>
        </w:rPr>
        <w:t>“</w:t>
      </w:r>
      <w:r>
        <w:rPr>
          <w:rFonts w:ascii="宋体" w:hAnsi="宋体" w:eastAsia="宋体" w:cs="宋体"/>
          <w:spacing w:val="9"/>
          <w:sz w:val="23"/>
          <w:szCs w:val="23"/>
        </w:rPr>
        <w:t>十三五</w:t>
      </w:r>
      <w:r>
        <w:rPr>
          <w:rFonts w:ascii="Times New Roman" w:hAnsi="Times New Roman" w:eastAsia="Times New Roman" w:cs="Times New Roman"/>
          <w:spacing w:val="9"/>
          <w:sz w:val="23"/>
          <w:szCs w:val="23"/>
        </w:rPr>
        <w:t>”</w:t>
      </w:r>
      <w:r>
        <w:rPr>
          <w:rFonts w:ascii="宋体" w:hAnsi="宋体" w:eastAsia="宋体" w:cs="宋体"/>
          <w:spacing w:val="9"/>
          <w:sz w:val="23"/>
          <w:szCs w:val="23"/>
        </w:rPr>
        <w:t>生态环境保护规划的通知》，我国</w:t>
      </w:r>
      <w:r>
        <w:rPr>
          <w:rFonts w:ascii="Times New Roman" w:hAnsi="Times New Roman" w:eastAsia="Times New Roman" w:cs="Times New Roman"/>
          <w:spacing w:val="9"/>
          <w:sz w:val="23"/>
          <w:szCs w:val="23"/>
        </w:rPr>
        <w:t>“</w:t>
      </w:r>
      <w:r>
        <w:rPr>
          <w:rFonts w:ascii="宋体" w:hAnsi="宋体" w:eastAsia="宋体" w:cs="宋体"/>
          <w:spacing w:val="9"/>
          <w:sz w:val="23"/>
          <w:szCs w:val="23"/>
        </w:rPr>
        <w:t>十三五</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 xml:space="preserve"> </w:t>
      </w:r>
      <w:r>
        <w:rPr>
          <w:rFonts w:ascii="宋体" w:hAnsi="宋体" w:eastAsia="宋体" w:cs="宋体"/>
          <w:spacing w:val="6"/>
          <w:sz w:val="23"/>
          <w:szCs w:val="23"/>
        </w:rPr>
        <w:t>期</w:t>
      </w:r>
      <w:r>
        <w:rPr>
          <w:rFonts w:ascii="宋体" w:hAnsi="宋体" w:eastAsia="宋体" w:cs="宋体"/>
          <w:spacing w:val="5"/>
          <w:sz w:val="23"/>
          <w:szCs w:val="23"/>
        </w:rPr>
        <w:t xml:space="preserve">间对化学需氧量、氨氮、二氧化硫、氮氧化物、挥发性有机物、烟粉尘 </w:t>
      </w:r>
      <w:r>
        <w:rPr>
          <w:rFonts w:ascii="Times New Roman" w:hAnsi="Times New Roman" w:eastAsia="Times New Roman" w:cs="Times New Roman"/>
          <w:spacing w:val="5"/>
          <w:sz w:val="23"/>
          <w:szCs w:val="23"/>
        </w:rPr>
        <w:t xml:space="preserve">6 </w:t>
      </w:r>
      <w:r>
        <w:rPr>
          <w:rFonts w:ascii="宋体" w:hAnsi="宋体" w:eastAsia="宋体" w:cs="宋体"/>
          <w:spacing w:val="5"/>
          <w:sz w:val="23"/>
          <w:szCs w:val="23"/>
        </w:rPr>
        <w:t>种污</w:t>
      </w:r>
      <w:r>
        <w:rPr>
          <w:rFonts w:ascii="宋体" w:hAnsi="宋体" w:eastAsia="宋体" w:cs="宋体"/>
          <w:sz w:val="23"/>
          <w:szCs w:val="23"/>
        </w:rPr>
        <w:t xml:space="preserve"> </w:t>
      </w:r>
      <w:r>
        <w:rPr>
          <w:rFonts w:ascii="宋体" w:hAnsi="宋体" w:eastAsia="宋体" w:cs="宋体"/>
          <w:spacing w:val="8"/>
          <w:sz w:val="23"/>
          <w:szCs w:val="23"/>
        </w:rPr>
        <w:t>染物实行排放总量控制</w:t>
      </w:r>
      <w:r>
        <w:rPr>
          <w:rFonts w:ascii="宋体" w:hAnsi="宋体" w:eastAsia="宋体" w:cs="宋体"/>
          <w:spacing w:val="7"/>
          <w:sz w:val="23"/>
          <w:szCs w:val="23"/>
        </w:rPr>
        <w:t>。</w:t>
      </w:r>
    </w:p>
    <w:p w14:paraId="65E87BA1">
      <w:pPr>
        <w:spacing w:before="85" w:line="226" w:lineRule="auto"/>
        <w:ind w:left="18"/>
        <w:outlineLvl w:val="2"/>
        <w:rPr>
          <w:rFonts w:ascii="宋体" w:hAnsi="宋体" w:eastAsia="宋体" w:cs="宋体"/>
          <w:sz w:val="29"/>
          <w:szCs w:val="29"/>
        </w:rPr>
      </w:pPr>
      <w:r>
        <w:rPr>
          <w:rFonts w:ascii="Times New Roman" w:hAnsi="Times New Roman" w:eastAsia="Times New Roman" w:cs="Times New Roman"/>
          <w:b/>
          <w:bCs/>
          <w:spacing w:val="7"/>
          <w:sz w:val="29"/>
          <w:szCs w:val="29"/>
        </w:rPr>
        <w:t>3.3.3</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污染物排放总</w:t>
      </w:r>
      <w:r>
        <w:rPr>
          <w:rFonts w:ascii="宋体" w:hAnsi="宋体" w:eastAsia="宋体" w:cs="宋体"/>
          <w:spacing w:val="5"/>
          <w:sz w:val="29"/>
          <w:szCs w:val="29"/>
          <w14:textOutline w14:w="5448" w14:cap="sq" w14:cmpd="sng">
            <w14:solidFill>
              <w14:srgbClr w14:val="000000"/>
            </w14:solidFill>
            <w14:prstDash w14:val="solid"/>
            <w14:bevel/>
          </w14:textOutline>
        </w:rPr>
        <w:t>量</w:t>
      </w:r>
    </w:p>
    <w:p w14:paraId="1BECD0D6">
      <w:pPr>
        <w:spacing w:line="255" w:lineRule="auto"/>
        <w:rPr>
          <w:rFonts w:ascii="Arial"/>
          <w:sz w:val="21"/>
        </w:rPr>
      </w:pPr>
    </w:p>
    <w:p w14:paraId="5C7E0773">
      <w:pPr>
        <w:spacing w:before="75" w:line="228"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3"/>
          <w:sz w:val="23"/>
          <w:szCs w:val="23"/>
        </w:rPr>
        <w:t>1</w:t>
      </w:r>
      <w:r>
        <w:rPr>
          <w:rFonts w:ascii="宋体" w:hAnsi="宋体" w:eastAsia="宋体" w:cs="宋体"/>
          <w:spacing w:val="23"/>
          <w:sz w:val="23"/>
          <w:szCs w:val="23"/>
        </w:rPr>
        <w:t>) 废气</w:t>
      </w:r>
    </w:p>
    <w:p w14:paraId="2614290B">
      <w:pPr>
        <w:spacing w:line="275" w:lineRule="auto"/>
        <w:rPr>
          <w:rFonts w:ascii="Arial"/>
          <w:sz w:val="21"/>
        </w:rPr>
      </w:pPr>
    </w:p>
    <w:p w14:paraId="098A1BFB">
      <w:pPr>
        <w:spacing w:before="75" w:line="385" w:lineRule="auto"/>
        <w:ind w:left="22" w:firstLine="480"/>
        <w:rPr>
          <w:rFonts w:ascii="宋体" w:hAnsi="宋体" w:eastAsia="宋体" w:cs="宋体"/>
          <w:sz w:val="23"/>
          <w:szCs w:val="23"/>
        </w:rPr>
      </w:pPr>
      <w:r>
        <w:rPr>
          <w:rFonts w:ascii="宋体" w:hAnsi="宋体" w:eastAsia="宋体" w:cs="宋体"/>
          <w:spacing w:val="20"/>
          <w:sz w:val="23"/>
          <w:szCs w:val="23"/>
        </w:rPr>
        <w:t>根</w:t>
      </w:r>
      <w:r>
        <w:rPr>
          <w:rFonts w:ascii="宋体" w:hAnsi="宋体" w:eastAsia="宋体" w:cs="宋体"/>
          <w:spacing w:val="14"/>
          <w:sz w:val="23"/>
          <w:szCs w:val="23"/>
        </w:rPr>
        <w:t>据工程分析，该项目运营期大气污染物主要有分拣工序产生粉尘以及热</w:t>
      </w:r>
      <w:r>
        <w:rPr>
          <w:rFonts w:ascii="宋体" w:hAnsi="宋体" w:eastAsia="宋体" w:cs="宋体"/>
          <w:sz w:val="23"/>
          <w:szCs w:val="23"/>
        </w:rPr>
        <w:t xml:space="preserve"> </w:t>
      </w:r>
      <w:r>
        <w:rPr>
          <w:rFonts w:ascii="宋体" w:hAnsi="宋体" w:eastAsia="宋体" w:cs="宋体"/>
          <w:spacing w:val="8"/>
          <w:sz w:val="23"/>
          <w:szCs w:val="23"/>
        </w:rPr>
        <w:t>熔、造粒工序产</w:t>
      </w:r>
      <w:r>
        <w:rPr>
          <w:rFonts w:ascii="宋体" w:hAnsi="宋体" w:eastAsia="宋体" w:cs="宋体"/>
          <w:spacing w:val="6"/>
          <w:sz w:val="23"/>
          <w:szCs w:val="23"/>
        </w:rPr>
        <w:t>生</w:t>
      </w:r>
      <w:r>
        <w:rPr>
          <w:rFonts w:ascii="宋体" w:hAnsi="宋体" w:eastAsia="宋体" w:cs="宋体"/>
          <w:spacing w:val="4"/>
          <w:sz w:val="23"/>
          <w:szCs w:val="23"/>
        </w:rPr>
        <w:t xml:space="preserve">非甲烷总烃。该项目分拣工序粉尘排放量约为 </w:t>
      </w:r>
      <w:r>
        <w:rPr>
          <w:rFonts w:ascii="Times New Roman" w:hAnsi="Times New Roman" w:eastAsia="Times New Roman" w:cs="Times New Roman"/>
          <w:spacing w:val="4"/>
          <w:sz w:val="23"/>
          <w:szCs w:val="23"/>
        </w:rPr>
        <w:t>1.02</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，热熔、</w:t>
      </w:r>
      <w:r>
        <w:rPr>
          <w:rFonts w:ascii="宋体" w:hAnsi="宋体" w:eastAsia="宋体" w:cs="宋体"/>
          <w:sz w:val="23"/>
          <w:szCs w:val="23"/>
        </w:rPr>
        <w:t xml:space="preserve"> </w:t>
      </w:r>
      <w:r>
        <w:rPr>
          <w:rFonts w:ascii="宋体" w:hAnsi="宋体" w:eastAsia="宋体" w:cs="宋体"/>
          <w:spacing w:val="6"/>
          <w:sz w:val="23"/>
          <w:szCs w:val="23"/>
        </w:rPr>
        <w:t>造粒工序</w:t>
      </w:r>
      <w:r>
        <w:rPr>
          <w:rFonts w:ascii="宋体" w:hAnsi="宋体" w:eastAsia="宋体" w:cs="宋体"/>
          <w:spacing w:val="3"/>
          <w:sz w:val="23"/>
          <w:szCs w:val="23"/>
        </w:rPr>
        <w:t xml:space="preserve">非甲烷总烃排放量约为 </w:t>
      </w:r>
      <w:r>
        <w:rPr>
          <w:rFonts w:ascii="Times New Roman" w:hAnsi="Times New Roman" w:eastAsia="Times New Roman" w:cs="Times New Roman"/>
          <w:spacing w:val="3"/>
          <w:sz w:val="23"/>
          <w:szCs w:val="23"/>
        </w:rPr>
        <w:t>4.2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 xml:space="preserve">，热风炉颗粒物排放量为 </w:t>
      </w:r>
      <w:r>
        <w:rPr>
          <w:rFonts w:ascii="Times New Roman" w:hAnsi="Times New Roman" w:eastAsia="Times New Roman" w:cs="Times New Roman"/>
          <w:spacing w:val="3"/>
          <w:sz w:val="23"/>
          <w:szCs w:val="23"/>
        </w:rPr>
        <w:t>0.003</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，二氧化</w:t>
      </w:r>
      <w:r>
        <w:rPr>
          <w:rFonts w:ascii="宋体" w:hAnsi="宋体" w:eastAsia="宋体" w:cs="宋体"/>
          <w:sz w:val="23"/>
          <w:szCs w:val="23"/>
        </w:rPr>
        <w:t xml:space="preserve"> </w:t>
      </w:r>
      <w:r>
        <w:rPr>
          <w:rFonts w:ascii="宋体" w:hAnsi="宋体" w:eastAsia="宋体" w:cs="宋体"/>
          <w:spacing w:val="-1"/>
          <w:sz w:val="23"/>
          <w:szCs w:val="23"/>
        </w:rPr>
        <w:t xml:space="preserve">硫排放量为 </w:t>
      </w:r>
      <w:r>
        <w:rPr>
          <w:rFonts w:ascii="Times New Roman" w:hAnsi="Times New Roman" w:eastAsia="Times New Roman" w:cs="Times New Roman"/>
          <w:spacing w:val="-1"/>
          <w:sz w:val="23"/>
          <w:szCs w:val="23"/>
        </w:rPr>
        <w:t>1. 14</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，氮氧化物年排放量为 </w:t>
      </w:r>
      <w:r>
        <w:rPr>
          <w:rFonts w:ascii="Times New Roman" w:hAnsi="Times New Roman" w:eastAsia="Times New Roman" w:cs="Times New Roman"/>
          <w:spacing w:val="-1"/>
          <w:sz w:val="23"/>
          <w:szCs w:val="23"/>
        </w:rPr>
        <w:t>0.69</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pacing w:val="-1"/>
          <w:sz w:val="23"/>
          <w:szCs w:val="23"/>
        </w:rPr>
        <w:t>。</w:t>
      </w:r>
    </w:p>
    <w:p w14:paraId="32E208A0">
      <w:pPr>
        <w:sectPr>
          <w:headerReference r:id="rId146" w:type="default"/>
          <w:footerReference r:id="rId147" w:type="default"/>
          <w:pgSz w:w="11906" w:h="16839"/>
          <w:pgMar w:top="1132" w:right="1745" w:bottom="1182" w:left="1785" w:header="878" w:footer="1022" w:gutter="0"/>
          <w:cols w:space="720" w:num="1"/>
        </w:sectPr>
      </w:pPr>
    </w:p>
    <w:p w14:paraId="6E5257F8">
      <w:pPr>
        <w:spacing w:line="409" w:lineRule="auto"/>
        <w:rPr>
          <w:rFonts w:ascii="Arial"/>
          <w:sz w:val="21"/>
        </w:rPr>
      </w:pPr>
      <w:r>
        <w:pict>
          <v:shape id="_x0000_s1208" o:spid="_x0000_s1208" style="position:absolute;left:0pt;margin-left:90pt;margin-top:57.35pt;height:0.75pt;width:415.3pt;mso-position-horizontal-relative:page;mso-position-vertical-relative:page;z-index:251859968;mso-width-relative:page;mso-height-relative:page;" fillcolor="#000000" filled="t" stroked="f" coordsize="8305,15" o:allowincell="f" path="m0,0l8305,0,8305,14,0,14,0,0xe">
            <v:path/>
            <v:fill on="t" focussize="0,0"/>
            <v:stroke on="f"/>
            <v:imagedata o:title=""/>
            <o:lock v:ext="edit"/>
          </v:shape>
        </w:pict>
      </w:r>
    </w:p>
    <w:p w14:paraId="045F2786">
      <w:pPr>
        <w:spacing w:before="74"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23"/>
          <w:sz w:val="23"/>
          <w:szCs w:val="23"/>
        </w:rPr>
        <w:t>2</w:t>
      </w:r>
      <w:r>
        <w:rPr>
          <w:rFonts w:ascii="宋体" w:hAnsi="宋体" w:eastAsia="宋体" w:cs="宋体"/>
          <w:spacing w:val="23"/>
          <w:sz w:val="23"/>
          <w:szCs w:val="23"/>
        </w:rPr>
        <w:t>) 废水</w:t>
      </w:r>
    </w:p>
    <w:p w14:paraId="720DED13">
      <w:pPr>
        <w:spacing w:line="277" w:lineRule="auto"/>
        <w:rPr>
          <w:rFonts w:ascii="Arial"/>
          <w:sz w:val="21"/>
        </w:rPr>
      </w:pPr>
    </w:p>
    <w:p w14:paraId="3AF65812">
      <w:pPr>
        <w:spacing w:before="75" w:line="386" w:lineRule="auto"/>
        <w:ind w:left="22" w:right="54" w:firstLine="460"/>
        <w:rPr>
          <w:rFonts w:ascii="宋体" w:hAnsi="宋体" w:eastAsia="宋体" w:cs="宋体"/>
          <w:sz w:val="23"/>
          <w:szCs w:val="23"/>
        </w:rPr>
      </w:pPr>
      <w:r>
        <w:rPr>
          <w:rFonts w:ascii="宋体" w:hAnsi="宋体" w:eastAsia="宋体" w:cs="宋体"/>
          <w:spacing w:val="14"/>
          <w:sz w:val="23"/>
          <w:szCs w:val="23"/>
        </w:rPr>
        <w:t>该</w:t>
      </w:r>
      <w:r>
        <w:rPr>
          <w:rFonts w:ascii="宋体" w:hAnsi="宋体" w:eastAsia="宋体" w:cs="宋体"/>
          <w:spacing w:val="13"/>
          <w:sz w:val="23"/>
          <w:szCs w:val="23"/>
        </w:rPr>
        <w:t>项</w:t>
      </w:r>
      <w:r>
        <w:rPr>
          <w:rFonts w:ascii="宋体" w:hAnsi="宋体" w:eastAsia="宋体" w:cs="宋体"/>
          <w:spacing w:val="7"/>
          <w:sz w:val="23"/>
          <w:szCs w:val="23"/>
        </w:rPr>
        <w:t>目排水主要包括生活污水以及生产废水，其中生产废水主要包括破碎工</w:t>
      </w:r>
      <w:r>
        <w:rPr>
          <w:rFonts w:ascii="宋体" w:hAnsi="宋体" w:eastAsia="宋体" w:cs="宋体"/>
          <w:sz w:val="23"/>
          <w:szCs w:val="23"/>
        </w:rPr>
        <w:t xml:space="preserve"> </w:t>
      </w:r>
      <w:r>
        <w:rPr>
          <w:rFonts w:ascii="宋体" w:hAnsi="宋体" w:eastAsia="宋体" w:cs="宋体"/>
          <w:spacing w:val="9"/>
          <w:sz w:val="23"/>
          <w:szCs w:val="23"/>
        </w:rPr>
        <w:t>序</w:t>
      </w:r>
      <w:r>
        <w:rPr>
          <w:rFonts w:ascii="宋体" w:hAnsi="宋体" w:eastAsia="宋体" w:cs="宋体"/>
          <w:spacing w:val="7"/>
          <w:sz w:val="23"/>
          <w:szCs w:val="23"/>
        </w:rPr>
        <w:t>产生的废水，原料初洗工序、洗字工序、二次清洗工序产生的清洗废水、脱水</w:t>
      </w:r>
      <w:r>
        <w:rPr>
          <w:rFonts w:ascii="宋体" w:hAnsi="宋体" w:eastAsia="宋体" w:cs="宋体"/>
          <w:sz w:val="23"/>
          <w:szCs w:val="23"/>
        </w:rPr>
        <w:t xml:space="preserve"> </w:t>
      </w:r>
      <w:r>
        <w:rPr>
          <w:rFonts w:ascii="宋体" w:hAnsi="宋体" w:eastAsia="宋体" w:cs="宋体"/>
          <w:spacing w:val="7"/>
          <w:sz w:val="23"/>
          <w:szCs w:val="23"/>
        </w:rPr>
        <w:t xml:space="preserve">工序产生的废水以及循环冷却废水，总排水量为 </w:t>
      </w:r>
      <w:r>
        <w:rPr>
          <w:rFonts w:ascii="Times New Roman" w:hAnsi="Times New Roman" w:eastAsia="Times New Roman" w:cs="Times New Roman"/>
          <w:spacing w:val="7"/>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。该项目在厂区</w:t>
      </w:r>
      <w:r>
        <w:rPr>
          <w:rFonts w:ascii="宋体" w:hAnsi="宋体" w:eastAsia="宋体" w:cs="宋体"/>
          <w:spacing w:val="5"/>
          <w:sz w:val="23"/>
          <w:szCs w:val="23"/>
        </w:rPr>
        <w:t>东</w:t>
      </w:r>
      <w:r>
        <w:rPr>
          <w:rFonts w:ascii="宋体" w:hAnsi="宋体" w:eastAsia="宋体" w:cs="宋体"/>
          <w:sz w:val="23"/>
          <w:szCs w:val="23"/>
        </w:rPr>
        <w:t xml:space="preserve"> </w:t>
      </w:r>
      <w:r>
        <w:rPr>
          <w:rFonts w:ascii="宋体" w:hAnsi="宋体" w:eastAsia="宋体" w:cs="宋体"/>
          <w:spacing w:val="12"/>
          <w:sz w:val="23"/>
          <w:szCs w:val="23"/>
        </w:rPr>
        <w:t xml:space="preserve">南侧设有旱厕，员工使用防渗旱厕，定期清掏，不外排；项目设有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座容积为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3 </w:t>
      </w:r>
      <w:r>
        <w:rPr>
          <w:rFonts w:ascii="宋体" w:hAnsi="宋体" w:eastAsia="宋体" w:cs="宋体"/>
          <w:spacing w:val="8"/>
          <w:sz w:val="23"/>
          <w:szCs w:val="23"/>
        </w:rPr>
        <w:t>的三</w:t>
      </w:r>
      <w:r>
        <w:rPr>
          <w:rFonts w:ascii="宋体" w:hAnsi="宋体" w:eastAsia="宋体" w:cs="宋体"/>
          <w:spacing w:val="4"/>
          <w:sz w:val="23"/>
          <w:szCs w:val="23"/>
        </w:rPr>
        <w:t>级沉淀池 (</w:t>
      </w:r>
      <w:r>
        <w:rPr>
          <w:rFonts w:ascii="Times New Roman" w:hAnsi="Times New Roman" w:eastAsia="Times New Roman" w:cs="Times New Roman"/>
          <w:spacing w:val="4"/>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×4.5</w:t>
      </w:r>
      <w:r>
        <w:rPr>
          <w:rFonts w:ascii="Times New Roman" w:hAnsi="Times New Roman" w:eastAsia="Times New Roman" w:cs="Times New Roman"/>
          <w:sz w:val="23"/>
          <w:szCs w:val="23"/>
        </w:rPr>
        <w:t>m</w:t>
      </w:r>
      <w:r>
        <w:rPr>
          <w:rFonts w:ascii="宋体" w:hAnsi="宋体" w:eastAsia="宋体" w:cs="宋体"/>
          <w:spacing w:val="4"/>
          <w:sz w:val="23"/>
          <w:szCs w:val="23"/>
        </w:rPr>
        <w:t xml:space="preserve">) ，同时配套设有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台一体化污水预处理设</w:t>
      </w:r>
      <w:r>
        <w:rPr>
          <w:rFonts w:ascii="宋体" w:hAnsi="宋体" w:eastAsia="宋体" w:cs="宋体"/>
          <w:sz w:val="23"/>
          <w:szCs w:val="23"/>
        </w:rPr>
        <w:t xml:space="preserve"> </w:t>
      </w:r>
      <w:r>
        <w:rPr>
          <w:rFonts w:ascii="宋体" w:hAnsi="宋体" w:eastAsia="宋体" w:cs="宋体"/>
          <w:spacing w:val="9"/>
          <w:sz w:val="23"/>
          <w:szCs w:val="23"/>
        </w:rPr>
        <w:t>备</w:t>
      </w:r>
      <w:r>
        <w:rPr>
          <w:rFonts w:ascii="宋体" w:hAnsi="宋体" w:eastAsia="宋体" w:cs="宋体"/>
          <w:spacing w:val="7"/>
          <w:sz w:val="23"/>
          <w:szCs w:val="23"/>
        </w:rPr>
        <w:t>，均位于生产厂房西南侧，产生的生产废水经一体化污水预处理设备处理后排</w:t>
      </w:r>
      <w:r>
        <w:rPr>
          <w:rFonts w:ascii="宋体" w:hAnsi="宋体" w:eastAsia="宋体" w:cs="宋体"/>
          <w:sz w:val="23"/>
          <w:szCs w:val="23"/>
        </w:rPr>
        <w:t xml:space="preserve"> </w:t>
      </w:r>
      <w:r>
        <w:rPr>
          <w:rFonts w:ascii="宋体" w:hAnsi="宋体" w:eastAsia="宋体" w:cs="宋体"/>
          <w:spacing w:val="10"/>
          <w:sz w:val="23"/>
          <w:szCs w:val="23"/>
        </w:rPr>
        <w:t>入三级</w:t>
      </w:r>
      <w:r>
        <w:rPr>
          <w:rFonts w:ascii="宋体" w:hAnsi="宋体" w:eastAsia="宋体" w:cs="宋体"/>
          <w:spacing w:val="8"/>
          <w:sz w:val="23"/>
          <w:szCs w:val="23"/>
        </w:rPr>
        <w:t>沉</w:t>
      </w:r>
      <w:r>
        <w:rPr>
          <w:rFonts w:ascii="宋体" w:hAnsi="宋体" w:eastAsia="宋体" w:cs="宋体"/>
          <w:spacing w:val="5"/>
          <w:sz w:val="23"/>
          <w:szCs w:val="23"/>
        </w:rPr>
        <w:t>淀池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pacing w:val="5"/>
          <w:sz w:val="23"/>
          <w:szCs w:val="23"/>
        </w:rPr>
        <w:t>) 沉淀处理，随后循环使用。污水处理设施废水每</w:t>
      </w:r>
      <w:r>
        <w:rPr>
          <w:rFonts w:ascii="宋体" w:hAnsi="宋体" w:eastAsia="宋体" w:cs="宋体"/>
          <w:sz w:val="23"/>
          <w:szCs w:val="23"/>
        </w:rPr>
        <w:t xml:space="preserve"> </w:t>
      </w:r>
      <w:r>
        <w:rPr>
          <w:rFonts w:ascii="宋体" w:hAnsi="宋体" w:eastAsia="宋体" w:cs="宋体"/>
          <w:spacing w:val="-1"/>
          <w:sz w:val="23"/>
          <w:szCs w:val="23"/>
        </w:rPr>
        <w:t xml:space="preserve">月更换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次，则该项目全年更换废水量为 </w:t>
      </w:r>
      <w:r>
        <w:rPr>
          <w:rFonts w:ascii="Times New Roman" w:hAnsi="Times New Roman" w:eastAsia="Times New Roman" w:cs="Times New Roman"/>
          <w:spacing w:val="-1"/>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，更</w:t>
      </w:r>
      <w:r>
        <w:rPr>
          <w:rFonts w:ascii="宋体" w:hAnsi="宋体" w:eastAsia="宋体" w:cs="宋体"/>
          <w:sz w:val="23"/>
          <w:szCs w:val="23"/>
        </w:rPr>
        <w:t xml:space="preserve">换过程产生的废水经吸污 </w:t>
      </w:r>
      <w:r>
        <w:rPr>
          <w:rFonts w:ascii="宋体" w:hAnsi="宋体" w:eastAsia="宋体" w:cs="宋体"/>
          <w:spacing w:val="-2"/>
          <w:sz w:val="23"/>
          <w:szCs w:val="23"/>
        </w:rPr>
        <w:t>车运送至本溪市科态污水处理有限责任公司</w:t>
      </w:r>
      <w:r>
        <w:rPr>
          <w:rFonts w:ascii="宋体" w:hAnsi="宋体" w:eastAsia="宋体" w:cs="宋体"/>
          <w:spacing w:val="-1"/>
          <w:sz w:val="23"/>
          <w:szCs w:val="23"/>
        </w:rPr>
        <w:t>统一处理。</w:t>
      </w:r>
    </w:p>
    <w:p w14:paraId="0BBF1EA9">
      <w:pPr>
        <w:spacing w:before="101" w:line="390" w:lineRule="auto"/>
        <w:ind w:left="23" w:right="46" w:firstLine="482"/>
        <w:rPr>
          <w:rFonts w:ascii="宋体" w:hAnsi="宋体" w:eastAsia="宋体" w:cs="宋体"/>
          <w:sz w:val="23"/>
          <w:szCs w:val="23"/>
        </w:rPr>
      </w:pPr>
      <w:r>
        <w:rPr>
          <w:rFonts w:ascii="宋体" w:hAnsi="宋体" w:eastAsia="宋体" w:cs="宋体"/>
          <w:spacing w:val="8"/>
          <w:sz w:val="23"/>
          <w:szCs w:val="23"/>
        </w:rPr>
        <w:t>根据辽环发</w:t>
      </w:r>
      <w:r>
        <w:rPr>
          <w:rFonts w:ascii="Times New Roman" w:hAnsi="Times New Roman" w:eastAsia="Times New Roman" w:cs="Times New Roman"/>
          <w:spacing w:val="8"/>
          <w:sz w:val="23"/>
          <w:szCs w:val="23"/>
        </w:rPr>
        <w:t>[2</w:t>
      </w:r>
      <w:r>
        <w:rPr>
          <w:rFonts w:ascii="Times New Roman" w:hAnsi="Times New Roman" w:eastAsia="Times New Roman" w:cs="Times New Roman"/>
          <w:spacing w:val="6"/>
          <w:sz w:val="23"/>
          <w:szCs w:val="23"/>
        </w:rPr>
        <w:t>0</w:t>
      </w:r>
      <w:r>
        <w:rPr>
          <w:rFonts w:ascii="Times New Roman" w:hAnsi="Times New Roman" w:eastAsia="Times New Roman" w:cs="Times New Roman"/>
          <w:spacing w:val="4"/>
          <w:sz w:val="23"/>
          <w:szCs w:val="23"/>
        </w:rPr>
        <w:t xml:space="preserve">15] 17 </w:t>
      </w:r>
      <w:r>
        <w:rPr>
          <w:rFonts w:ascii="宋体" w:hAnsi="宋体" w:eastAsia="宋体" w:cs="宋体"/>
          <w:spacing w:val="4"/>
          <w:sz w:val="23"/>
          <w:szCs w:val="23"/>
        </w:rPr>
        <w:t>号文件，向集中式污水处理设施排污的建设项目，其总</w:t>
      </w:r>
      <w:r>
        <w:rPr>
          <w:rFonts w:ascii="宋体" w:hAnsi="宋体" w:eastAsia="宋体" w:cs="宋体"/>
          <w:sz w:val="23"/>
          <w:szCs w:val="23"/>
        </w:rPr>
        <w:t xml:space="preserve"> </w:t>
      </w:r>
      <w:r>
        <w:rPr>
          <w:rFonts w:ascii="宋体" w:hAnsi="宋体" w:eastAsia="宋体" w:cs="宋体"/>
          <w:spacing w:val="8"/>
          <w:sz w:val="23"/>
          <w:szCs w:val="23"/>
        </w:rPr>
        <w:t>量指标按</w:t>
      </w:r>
      <w:r>
        <w:rPr>
          <w:rFonts w:ascii="宋体" w:hAnsi="宋体" w:eastAsia="宋体" w:cs="宋体"/>
          <w:spacing w:val="7"/>
          <w:sz w:val="23"/>
          <w:szCs w:val="23"/>
        </w:rPr>
        <w:t>《</w:t>
      </w:r>
      <w:r>
        <w:rPr>
          <w:rFonts w:ascii="宋体" w:hAnsi="宋体" w:eastAsia="宋体" w:cs="宋体"/>
          <w:spacing w:val="4"/>
          <w:sz w:val="23"/>
          <w:szCs w:val="23"/>
        </w:rPr>
        <w:t>辽宁省污水综合排放标准》 (</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21/ 1627-2008</w:t>
      </w:r>
      <w:r>
        <w:rPr>
          <w:rFonts w:ascii="宋体" w:hAnsi="宋体" w:eastAsia="宋体" w:cs="宋体"/>
          <w:spacing w:val="4"/>
          <w:sz w:val="23"/>
          <w:szCs w:val="23"/>
        </w:rPr>
        <w:t>) 规定的集中式污水处</w:t>
      </w:r>
      <w:r>
        <w:rPr>
          <w:rFonts w:ascii="宋体" w:hAnsi="宋体" w:eastAsia="宋体" w:cs="宋体"/>
          <w:sz w:val="23"/>
          <w:szCs w:val="23"/>
        </w:rPr>
        <w:t xml:space="preserve"> </w:t>
      </w:r>
      <w:r>
        <w:rPr>
          <w:rFonts w:ascii="宋体" w:hAnsi="宋体" w:eastAsia="宋体" w:cs="宋体"/>
          <w:spacing w:val="9"/>
          <w:sz w:val="23"/>
          <w:szCs w:val="23"/>
        </w:rPr>
        <w:t>理</w:t>
      </w:r>
      <w:r>
        <w:rPr>
          <w:rFonts w:ascii="宋体" w:hAnsi="宋体" w:eastAsia="宋体" w:cs="宋体"/>
          <w:spacing w:val="7"/>
          <w:sz w:val="23"/>
          <w:szCs w:val="23"/>
        </w:rPr>
        <w:t>设施排放标准予以核定，同时核定项目排污口最大允许排放量。因此项目排污</w:t>
      </w:r>
      <w:r>
        <w:rPr>
          <w:rFonts w:ascii="宋体" w:hAnsi="宋体" w:eastAsia="宋体" w:cs="宋体"/>
          <w:sz w:val="23"/>
          <w:szCs w:val="23"/>
        </w:rPr>
        <w:t xml:space="preserve"> </w:t>
      </w:r>
      <w:r>
        <w:rPr>
          <w:rFonts w:ascii="宋体" w:hAnsi="宋体" w:eastAsia="宋体" w:cs="宋体"/>
          <w:spacing w:val="7"/>
          <w:sz w:val="23"/>
          <w:szCs w:val="23"/>
        </w:rPr>
        <w:t>口最大允许排放浓度按《辽宁省污水综合排放标准》  (</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21/ 1627-2008</w:t>
      </w:r>
      <w:r>
        <w:rPr>
          <w:rFonts w:ascii="宋体" w:hAnsi="宋体" w:eastAsia="宋体" w:cs="宋体"/>
          <w:spacing w:val="7"/>
          <w:sz w:val="23"/>
          <w:szCs w:val="23"/>
        </w:rPr>
        <w:t xml:space="preserve">) 表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 xml:space="preserve"> </w:t>
      </w:r>
      <w:r>
        <w:rPr>
          <w:rFonts w:ascii="宋体" w:hAnsi="宋体" w:eastAsia="宋体" w:cs="宋体"/>
          <w:spacing w:val="4"/>
          <w:sz w:val="23"/>
          <w:szCs w:val="23"/>
        </w:rPr>
        <w:t>中核定，即排放标准为</w:t>
      </w:r>
      <w:r>
        <w:rPr>
          <w:rFonts w:ascii="宋体" w:hAnsi="宋体" w:eastAsia="宋体" w:cs="宋体"/>
          <w:spacing w:val="3"/>
          <w:sz w:val="23"/>
          <w:szCs w:val="23"/>
        </w:rPr>
        <w:t xml:space="preserve"> </w:t>
      </w:r>
      <w:r>
        <w:rPr>
          <w:rFonts w:ascii="Times New Roman" w:hAnsi="Times New Roman" w:eastAsia="Times New Roman" w:cs="Times New Roman"/>
          <w:sz w:val="23"/>
          <w:szCs w:val="23"/>
        </w:rPr>
        <w:t>COD</w:t>
      </w:r>
      <w:r>
        <w:rPr>
          <w:rFonts w:ascii="宋体" w:hAnsi="宋体" w:eastAsia="宋体" w:cs="宋体"/>
          <w:spacing w:val="2"/>
          <w:sz w:val="23"/>
          <w:szCs w:val="23"/>
        </w:rPr>
        <w:t>：</w:t>
      </w:r>
      <w:r>
        <w:rPr>
          <w:rFonts w:ascii="Times New Roman" w:hAnsi="Times New Roman" w:eastAsia="Times New Roman" w:cs="Times New Roman"/>
          <w:spacing w:val="2"/>
          <w:sz w:val="23"/>
          <w:szCs w:val="23"/>
        </w:rPr>
        <w:t>300</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L</w:t>
      </w:r>
      <w:r>
        <w:rPr>
          <w:rFonts w:ascii="宋体" w:hAnsi="宋体" w:eastAsia="宋体" w:cs="宋体"/>
          <w:spacing w:val="2"/>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30</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。该项目送至本溪市科</w:t>
      </w:r>
      <w:r>
        <w:rPr>
          <w:rFonts w:ascii="宋体" w:hAnsi="宋体" w:eastAsia="宋体" w:cs="宋体"/>
          <w:sz w:val="23"/>
          <w:szCs w:val="23"/>
        </w:rPr>
        <w:t xml:space="preserve"> </w:t>
      </w:r>
      <w:r>
        <w:rPr>
          <w:rFonts w:ascii="宋体" w:hAnsi="宋体" w:eastAsia="宋体" w:cs="宋体"/>
          <w:spacing w:val="3"/>
          <w:sz w:val="23"/>
          <w:szCs w:val="23"/>
        </w:rPr>
        <w:t xml:space="preserve">态污水处理有限责任公司废水量为 </w:t>
      </w:r>
      <w:r>
        <w:rPr>
          <w:rFonts w:ascii="Times New Roman" w:hAnsi="Times New Roman" w:eastAsia="Times New Roman" w:cs="Times New Roman"/>
          <w:spacing w:val="3"/>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，则自身排污口最大允许排放量</w:t>
      </w:r>
      <w:r>
        <w:rPr>
          <w:rFonts w:ascii="宋体" w:hAnsi="宋体" w:eastAsia="宋体" w:cs="宋体"/>
          <w:sz w:val="23"/>
          <w:szCs w:val="23"/>
        </w:rPr>
        <w:t xml:space="preserve">为 </w:t>
      </w:r>
      <w:r>
        <w:rPr>
          <w:rFonts w:ascii="宋体" w:hAnsi="宋体" w:eastAsia="宋体" w:cs="宋体"/>
          <w:spacing w:val="5"/>
          <w:sz w:val="23"/>
          <w:szCs w:val="23"/>
        </w:rPr>
        <w:t>化</w:t>
      </w:r>
      <w:r>
        <w:rPr>
          <w:rFonts w:ascii="宋体" w:hAnsi="宋体" w:eastAsia="宋体" w:cs="宋体"/>
          <w:spacing w:val="4"/>
          <w:sz w:val="23"/>
          <w:szCs w:val="23"/>
        </w:rPr>
        <w:t>学需氧量：</w:t>
      </w:r>
      <w:r>
        <w:rPr>
          <w:rFonts w:ascii="Times New Roman" w:hAnsi="Times New Roman" w:eastAsia="Times New Roman" w:cs="Times New Roman"/>
          <w:spacing w:val="4"/>
          <w:sz w:val="23"/>
          <w:szCs w:val="23"/>
        </w:rPr>
        <w:t>0.46</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；氨氮：</w:t>
      </w:r>
      <w:r>
        <w:rPr>
          <w:rFonts w:ascii="Times New Roman" w:hAnsi="Times New Roman" w:eastAsia="Times New Roman" w:cs="Times New Roman"/>
          <w:spacing w:val="4"/>
          <w:sz w:val="23"/>
          <w:szCs w:val="23"/>
        </w:rPr>
        <w:t>0.05</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w:t>
      </w:r>
    </w:p>
    <w:p w14:paraId="15E83896">
      <w:pPr>
        <w:spacing w:before="160" w:line="389" w:lineRule="auto"/>
        <w:ind w:left="11" w:firstLine="498"/>
        <w:rPr>
          <w:rFonts w:ascii="宋体" w:hAnsi="宋体" w:eastAsia="宋体" w:cs="宋体"/>
          <w:sz w:val="23"/>
          <w:szCs w:val="23"/>
        </w:rPr>
      </w:pPr>
      <w:r>
        <w:rPr>
          <w:rFonts w:ascii="宋体" w:hAnsi="宋体" w:eastAsia="宋体" w:cs="宋体"/>
          <w:spacing w:val="12"/>
          <w:sz w:val="23"/>
          <w:szCs w:val="23"/>
        </w:rPr>
        <w:t>该项目</w:t>
      </w:r>
      <w:r>
        <w:rPr>
          <w:rFonts w:ascii="宋体" w:hAnsi="宋体" w:eastAsia="宋体" w:cs="宋体"/>
          <w:spacing w:val="10"/>
          <w:sz w:val="23"/>
          <w:szCs w:val="23"/>
        </w:rPr>
        <w:t>总</w:t>
      </w:r>
      <w:r>
        <w:rPr>
          <w:rFonts w:ascii="宋体" w:hAnsi="宋体" w:eastAsia="宋体" w:cs="宋体"/>
          <w:spacing w:val="6"/>
          <w:sz w:val="23"/>
          <w:szCs w:val="23"/>
        </w:rPr>
        <w:t>量控制指标以本溪市科态污水处理有限责任公司出水进行核定，即</w:t>
      </w:r>
      <w:r>
        <w:rPr>
          <w:rFonts w:ascii="宋体" w:hAnsi="宋体" w:eastAsia="宋体" w:cs="宋体"/>
          <w:sz w:val="23"/>
          <w:szCs w:val="23"/>
        </w:rPr>
        <w:t xml:space="preserve"> </w:t>
      </w:r>
      <w:r>
        <w:rPr>
          <w:rFonts w:ascii="宋体" w:hAnsi="宋体" w:eastAsia="宋体" w:cs="宋体"/>
          <w:spacing w:val="4"/>
          <w:sz w:val="23"/>
          <w:szCs w:val="23"/>
        </w:rPr>
        <w:t xml:space="preserve">排放标准为 </w:t>
      </w:r>
      <w:r>
        <w:rPr>
          <w:rFonts w:ascii="Times New Roman" w:hAnsi="Times New Roman" w:eastAsia="Times New Roman" w:cs="Times New Roman"/>
          <w:sz w:val="23"/>
          <w:szCs w:val="23"/>
        </w:rPr>
        <w:t>COD</w:t>
      </w:r>
      <w:r>
        <w:rPr>
          <w:rFonts w:ascii="宋体" w:hAnsi="宋体" w:eastAsia="宋体" w:cs="宋体"/>
          <w:spacing w:val="4"/>
          <w:sz w:val="23"/>
          <w:szCs w:val="23"/>
        </w:rPr>
        <w:t>：</w:t>
      </w:r>
      <w:r>
        <w:rPr>
          <w:rFonts w:ascii="Times New Roman" w:hAnsi="Times New Roman" w:eastAsia="Times New Roman" w:cs="Times New Roman"/>
          <w:spacing w:val="4"/>
          <w:sz w:val="23"/>
          <w:szCs w:val="23"/>
        </w:rPr>
        <w:t>50</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L</w:t>
      </w:r>
      <w:r>
        <w:rPr>
          <w:rFonts w:ascii="宋体" w:hAnsi="宋体" w:eastAsia="宋体" w:cs="宋体"/>
          <w:spacing w:val="4"/>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N</w:t>
      </w:r>
      <w:r>
        <w:rPr>
          <w:rFonts w:ascii="宋体" w:hAnsi="宋体" w:eastAsia="宋体" w:cs="宋体"/>
          <w:spacing w:val="2"/>
          <w:sz w:val="23"/>
          <w:szCs w:val="23"/>
        </w:rPr>
        <w:t>：</w:t>
      </w:r>
      <w:r>
        <w:rPr>
          <w:rFonts w:ascii="Times New Roman" w:hAnsi="Times New Roman" w:eastAsia="Times New Roman" w:cs="Times New Roman"/>
          <w:spacing w:val="2"/>
          <w:sz w:val="23"/>
          <w:szCs w:val="23"/>
        </w:rPr>
        <w:t>5</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L</w:t>
      </w:r>
      <w:r>
        <w:rPr>
          <w:rFonts w:ascii="宋体" w:hAnsi="宋体" w:eastAsia="宋体" w:cs="宋体"/>
          <w:spacing w:val="2"/>
          <w:sz w:val="23"/>
          <w:szCs w:val="23"/>
        </w:rPr>
        <w:t>。则总量指标为化学需氧量：</w:t>
      </w:r>
      <w:r>
        <w:rPr>
          <w:rFonts w:ascii="Times New Roman" w:hAnsi="Times New Roman" w:eastAsia="Times New Roman" w:cs="Times New Roman"/>
          <w:spacing w:val="2"/>
          <w:sz w:val="23"/>
          <w:szCs w:val="23"/>
        </w:rPr>
        <w:t>0.08</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NH</w:t>
      </w:r>
      <w:r>
        <w:rPr>
          <w:rFonts w:ascii="Times New Roman" w:hAnsi="Times New Roman" w:eastAsia="Times New Roman" w:cs="Times New Roman"/>
          <w:spacing w:val="10"/>
          <w:position w:val="-1"/>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N</w:t>
      </w:r>
      <w:r>
        <w:rPr>
          <w:rFonts w:ascii="宋体" w:hAnsi="宋体" w:eastAsia="宋体" w:cs="宋体"/>
          <w:spacing w:val="7"/>
          <w:sz w:val="23"/>
          <w:szCs w:val="23"/>
        </w:rPr>
        <w:t>：</w:t>
      </w:r>
      <w:r>
        <w:rPr>
          <w:rFonts w:ascii="Times New Roman" w:hAnsi="Times New Roman" w:eastAsia="Times New Roman" w:cs="Times New Roman"/>
          <w:spacing w:val="7"/>
          <w:sz w:val="23"/>
          <w:szCs w:val="23"/>
        </w:rPr>
        <w:t>0.008</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宋体" w:hAnsi="宋体" w:eastAsia="宋体" w:cs="宋体"/>
          <w:spacing w:val="7"/>
          <w:sz w:val="23"/>
          <w:szCs w:val="23"/>
        </w:rPr>
        <w:t>。</w:t>
      </w:r>
    </w:p>
    <w:p w14:paraId="41FAFC9E">
      <w:pPr>
        <w:spacing w:before="142" w:line="228" w:lineRule="auto"/>
        <w:ind w:left="506"/>
        <w:rPr>
          <w:rFonts w:ascii="宋体" w:hAnsi="宋体" w:eastAsia="宋体" w:cs="宋体"/>
          <w:sz w:val="23"/>
          <w:szCs w:val="23"/>
        </w:rPr>
      </w:pPr>
      <w:r>
        <w:rPr>
          <w:rFonts w:ascii="宋体" w:hAnsi="宋体" w:eastAsia="宋体" w:cs="宋体"/>
          <w:spacing w:val="16"/>
          <w:sz w:val="23"/>
          <w:szCs w:val="23"/>
        </w:rPr>
        <w:t>综</w:t>
      </w:r>
      <w:r>
        <w:rPr>
          <w:rFonts w:ascii="宋体" w:hAnsi="宋体" w:eastAsia="宋体" w:cs="宋体"/>
          <w:spacing w:val="11"/>
          <w:sz w:val="23"/>
          <w:szCs w:val="23"/>
        </w:rPr>
        <w:t>上</w:t>
      </w:r>
      <w:r>
        <w:rPr>
          <w:rFonts w:ascii="宋体" w:hAnsi="宋体" w:eastAsia="宋体" w:cs="宋体"/>
          <w:spacing w:val="8"/>
          <w:sz w:val="23"/>
          <w:szCs w:val="23"/>
        </w:rPr>
        <w:t>所述，建议项目总量控制指标为：</w:t>
      </w:r>
    </w:p>
    <w:p w14:paraId="681BF34E">
      <w:pPr>
        <w:spacing w:before="307" w:line="398" w:lineRule="auto"/>
        <w:ind w:left="17" w:right="90" w:firstLine="486"/>
        <w:rPr>
          <w:rFonts w:ascii="宋体" w:hAnsi="宋体" w:eastAsia="宋体" w:cs="宋体"/>
          <w:sz w:val="23"/>
          <w:szCs w:val="23"/>
        </w:rPr>
      </w:pPr>
      <w:r>
        <w:rPr>
          <w:rFonts w:ascii="宋体" w:hAnsi="宋体" w:eastAsia="宋体" w:cs="宋体"/>
          <w:spacing w:val="1"/>
          <w:sz w:val="23"/>
          <w:szCs w:val="23"/>
        </w:rPr>
        <w:t>烟粉尘：</w:t>
      </w:r>
      <w:r>
        <w:rPr>
          <w:rFonts w:ascii="Times New Roman" w:hAnsi="Times New Roman" w:eastAsia="Times New Roman" w:cs="Times New Roman"/>
          <w:spacing w:val="1"/>
          <w:sz w:val="23"/>
          <w:szCs w:val="23"/>
        </w:rPr>
        <w:t>1.023</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、二氧化硫：</w:t>
      </w:r>
      <w:r>
        <w:rPr>
          <w:rFonts w:ascii="Times New Roman" w:hAnsi="Times New Roman" w:eastAsia="Times New Roman" w:cs="Times New Roman"/>
          <w:spacing w:val="1"/>
          <w:sz w:val="23"/>
          <w:szCs w:val="23"/>
        </w:rPr>
        <w:t>1. 14</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、氮氧化物：</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 xml:space="preserve">69t/a </w:t>
      </w:r>
      <w:r>
        <w:rPr>
          <w:rFonts w:ascii="宋体" w:hAnsi="宋体" w:eastAsia="宋体" w:cs="宋体"/>
          <w:sz w:val="23"/>
          <w:szCs w:val="23"/>
        </w:rPr>
        <w:t xml:space="preserve">、挥发性有机物： </w:t>
      </w:r>
      <w:r>
        <w:rPr>
          <w:rFonts w:ascii="Times New Roman" w:hAnsi="Times New Roman" w:eastAsia="Times New Roman" w:cs="Times New Roman"/>
          <w:spacing w:val="1"/>
          <w:sz w:val="23"/>
          <w:szCs w:val="23"/>
        </w:rPr>
        <w:t>4.2</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、化学需氧量：</w:t>
      </w:r>
      <w:r>
        <w:rPr>
          <w:rFonts w:ascii="Times New Roman" w:hAnsi="Times New Roman" w:eastAsia="Times New Roman" w:cs="Times New Roman"/>
          <w:spacing w:val="1"/>
          <w:sz w:val="23"/>
          <w:szCs w:val="23"/>
        </w:rPr>
        <w:t>0.08</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.008t/a</w:t>
      </w:r>
      <w:r>
        <w:rPr>
          <w:rFonts w:ascii="宋体" w:hAnsi="宋体" w:eastAsia="宋体" w:cs="宋体"/>
          <w:sz w:val="23"/>
          <w:szCs w:val="23"/>
        </w:rPr>
        <w:t>。</w:t>
      </w:r>
    </w:p>
    <w:p w14:paraId="1FF13F41">
      <w:pPr>
        <w:spacing w:before="171" w:line="389" w:lineRule="auto"/>
        <w:ind w:left="22" w:right="68" w:firstLine="481"/>
        <w:rPr>
          <w:rFonts w:ascii="宋体" w:hAnsi="宋体" w:eastAsia="宋体" w:cs="宋体"/>
          <w:sz w:val="23"/>
          <w:szCs w:val="23"/>
        </w:rPr>
      </w:pPr>
      <w:r>
        <w:rPr>
          <w:rFonts w:ascii="宋体" w:hAnsi="宋体" w:eastAsia="宋体" w:cs="宋体"/>
          <w:spacing w:val="7"/>
          <w:sz w:val="23"/>
          <w:szCs w:val="23"/>
        </w:rPr>
        <w:t>其中，烟粉尘、二氧化硫、氮氧化物、挥发性有机物总量控制指标由本溪</w:t>
      </w:r>
      <w:r>
        <w:rPr>
          <w:rFonts w:ascii="宋体" w:hAnsi="宋体" w:eastAsia="宋体" w:cs="宋体"/>
          <w:spacing w:val="2"/>
          <w:sz w:val="23"/>
          <w:szCs w:val="23"/>
        </w:rPr>
        <w:t>弘</w:t>
      </w:r>
      <w:r>
        <w:rPr>
          <w:rFonts w:ascii="宋体" w:hAnsi="宋体" w:eastAsia="宋体" w:cs="宋体"/>
          <w:sz w:val="23"/>
          <w:szCs w:val="23"/>
        </w:rPr>
        <w:t xml:space="preserve"> </w:t>
      </w:r>
      <w:r>
        <w:rPr>
          <w:rFonts w:ascii="宋体" w:hAnsi="宋体" w:eastAsia="宋体" w:cs="宋体"/>
          <w:spacing w:val="9"/>
          <w:sz w:val="23"/>
          <w:szCs w:val="23"/>
        </w:rPr>
        <w:t>福</w:t>
      </w:r>
      <w:r>
        <w:rPr>
          <w:rFonts w:ascii="宋体" w:hAnsi="宋体" w:eastAsia="宋体" w:cs="宋体"/>
          <w:spacing w:val="7"/>
          <w:sz w:val="23"/>
          <w:szCs w:val="23"/>
        </w:rPr>
        <w:t>塑业有限公司按照上述指标向当地环保管理部门申请污染物总量控制指标；化</w:t>
      </w:r>
      <w:r>
        <w:rPr>
          <w:rFonts w:ascii="宋体" w:hAnsi="宋体" w:eastAsia="宋体" w:cs="宋体"/>
          <w:sz w:val="23"/>
          <w:szCs w:val="23"/>
        </w:rPr>
        <w:t xml:space="preserve"> </w:t>
      </w:r>
      <w:r>
        <w:rPr>
          <w:rFonts w:ascii="宋体" w:hAnsi="宋体" w:eastAsia="宋体" w:cs="宋体"/>
          <w:spacing w:val="7"/>
          <w:sz w:val="23"/>
          <w:szCs w:val="23"/>
        </w:rPr>
        <w:t>学需氧量、氨氮总量控制指标计入本溪市科态污水处理有限责任公司污染物总量</w:t>
      </w:r>
      <w:r>
        <w:rPr>
          <w:rFonts w:ascii="宋体" w:hAnsi="宋体" w:eastAsia="宋体" w:cs="宋体"/>
          <w:sz w:val="23"/>
          <w:szCs w:val="23"/>
        </w:rPr>
        <w:t xml:space="preserve"> </w:t>
      </w:r>
      <w:r>
        <w:rPr>
          <w:rFonts w:ascii="宋体" w:hAnsi="宋体" w:eastAsia="宋体" w:cs="宋体"/>
          <w:spacing w:val="15"/>
          <w:sz w:val="23"/>
          <w:szCs w:val="23"/>
        </w:rPr>
        <w:t>控</w:t>
      </w:r>
      <w:r>
        <w:rPr>
          <w:rFonts w:ascii="宋体" w:hAnsi="宋体" w:eastAsia="宋体" w:cs="宋体"/>
          <w:spacing w:val="9"/>
          <w:sz w:val="23"/>
          <w:szCs w:val="23"/>
        </w:rPr>
        <w:t>制指标中，最终总量控制指标以环保局下达指标为准。</w:t>
      </w:r>
    </w:p>
    <w:p w14:paraId="46CA1F71">
      <w:pPr>
        <w:sectPr>
          <w:headerReference r:id="rId148" w:type="default"/>
          <w:footerReference r:id="rId149" w:type="default"/>
          <w:pgSz w:w="11906" w:h="16839"/>
          <w:pgMar w:top="1132" w:right="1731" w:bottom="1182" w:left="1785" w:header="878" w:footer="1022" w:gutter="0"/>
          <w:cols w:space="720" w:num="1"/>
        </w:sectPr>
      </w:pPr>
    </w:p>
    <w:p w14:paraId="687E8576">
      <w:pPr>
        <w:spacing w:line="422" w:lineRule="auto"/>
        <w:rPr>
          <w:rFonts w:ascii="Arial"/>
          <w:sz w:val="21"/>
        </w:rPr>
      </w:pPr>
      <w:r>
        <w:pict>
          <v:shape id="_x0000_s1209" o:spid="_x0000_s1209" style="position:absolute;left:0pt;margin-left:90pt;margin-top:57.35pt;height:0.75pt;width:415.3pt;mso-position-horizontal-relative:page;mso-position-vertical-relative:page;z-index:251860992;mso-width-relative:page;mso-height-relative:page;" fillcolor="#000000" filled="t" stroked="f" coordsize="8305,15" o:allowincell="f" path="m0,0l8305,0,8305,14,0,14,0,0xe">
            <v:path/>
            <v:fill on="t" focussize="0,0"/>
            <v:stroke on="f"/>
            <v:imagedata o:title=""/>
            <o:lock v:ext="edit"/>
          </v:shape>
        </w:pict>
      </w:r>
    </w:p>
    <w:p w14:paraId="4752A171">
      <w:pPr>
        <w:spacing w:before="114" w:line="223" w:lineRule="auto"/>
        <w:ind w:left="23"/>
        <w:outlineLvl w:val="0"/>
        <w:rPr>
          <w:rFonts w:ascii="宋体" w:hAnsi="宋体" w:eastAsia="宋体" w:cs="宋体"/>
          <w:sz w:val="35"/>
          <w:szCs w:val="35"/>
        </w:rPr>
      </w:pPr>
      <w:bookmarkStart w:id="18" w:name="_bookmark19"/>
      <w:bookmarkEnd w:id="18"/>
      <w:r>
        <w:rPr>
          <w:rFonts w:ascii="Times New Roman" w:hAnsi="Times New Roman" w:eastAsia="Times New Roman" w:cs="Times New Roman"/>
          <w:b/>
          <w:bCs/>
          <w:spacing w:val="14"/>
          <w:sz w:val="35"/>
          <w:szCs w:val="35"/>
        </w:rPr>
        <w:t>4</w:t>
      </w:r>
      <w:r>
        <w:rPr>
          <w:rFonts w:ascii="Times New Roman" w:hAnsi="Times New Roman" w:eastAsia="Times New Roman" w:cs="Times New Roman"/>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环境现状调查与评价</w:t>
      </w:r>
    </w:p>
    <w:p w14:paraId="0C18463B">
      <w:pPr>
        <w:spacing w:before="247" w:line="225" w:lineRule="auto"/>
        <w:ind w:left="22"/>
        <w:outlineLvl w:val="1"/>
        <w:rPr>
          <w:rFonts w:ascii="宋体" w:hAnsi="宋体" w:eastAsia="宋体" w:cs="宋体"/>
          <w:sz w:val="31"/>
          <w:szCs w:val="31"/>
        </w:rPr>
      </w:pPr>
      <w:bookmarkStart w:id="19" w:name="_bookmark20"/>
      <w:bookmarkEnd w:id="19"/>
      <w:r>
        <w:rPr>
          <w:rFonts w:ascii="Times New Roman" w:hAnsi="Times New Roman" w:eastAsia="Times New Roman" w:cs="Times New Roman"/>
          <w:b/>
          <w:bCs/>
          <w:spacing w:val="12"/>
          <w:sz w:val="31"/>
          <w:szCs w:val="31"/>
        </w:rPr>
        <w:t>4</w:t>
      </w:r>
      <w:r>
        <w:rPr>
          <w:rFonts w:ascii="Times New Roman" w:hAnsi="Times New Roman" w:eastAsia="Times New Roman" w:cs="Times New Roman"/>
          <w:b/>
          <w:bCs/>
          <w:spacing w:val="7"/>
          <w:sz w:val="31"/>
          <w:szCs w:val="31"/>
        </w:rPr>
        <w:t>.</w:t>
      </w:r>
      <w:r>
        <w:rPr>
          <w:rFonts w:ascii="Times New Roman" w:hAnsi="Times New Roman" w:eastAsia="Times New Roman" w:cs="Times New Roman"/>
          <w:b/>
          <w:bCs/>
          <w:spacing w:val="6"/>
          <w:sz w:val="31"/>
          <w:szCs w:val="31"/>
        </w:rPr>
        <w:t>1</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自然环境概况</w:t>
      </w:r>
    </w:p>
    <w:p w14:paraId="6E3BA220">
      <w:pPr>
        <w:spacing w:before="275" w:line="226" w:lineRule="auto"/>
        <w:ind w:left="21"/>
        <w:outlineLvl w:val="2"/>
        <w:rPr>
          <w:rFonts w:ascii="宋体" w:hAnsi="宋体" w:eastAsia="宋体" w:cs="宋体"/>
          <w:sz w:val="29"/>
          <w:szCs w:val="29"/>
        </w:rPr>
      </w:pPr>
      <w:r>
        <w:rPr>
          <w:rFonts w:ascii="Times New Roman" w:hAnsi="Times New Roman" w:eastAsia="Times New Roman" w:cs="Times New Roman"/>
          <w:b/>
          <w:bCs/>
          <w:spacing w:val="9"/>
          <w:sz w:val="29"/>
          <w:szCs w:val="29"/>
        </w:rPr>
        <w:t>4</w:t>
      </w:r>
      <w:r>
        <w:rPr>
          <w:rFonts w:ascii="Times New Roman" w:hAnsi="Times New Roman" w:eastAsia="Times New Roman" w:cs="Times New Roman"/>
          <w:b/>
          <w:bCs/>
          <w:spacing w:val="6"/>
          <w:sz w:val="29"/>
          <w:szCs w:val="29"/>
        </w:rPr>
        <w:t>.1.1</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自然地理情况</w:t>
      </w:r>
    </w:p>
    <w:p w14:paraId="4F412796">
      <w:pPr>
        <w:spacing w:line="255" w:lineRule="auto"/>
        <w:rPr>
          <w:rFonts w:ascii="Arial"/>
          <w:sz w:val="21"/>
        </w:rPr>
      </w:pPr>
    </w:p>
    <w:p w14:paraId="0E20DEF1">
      <w:pPr>
        <w:spacing w:before="75" w:line="228" w:lineRule="auto"/>
        <w:ind w:left="514"/>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项目位置</w:t>
      </w:r>
    </w:p>
    <w:p w14:paraId="590783CE">
      <w:pPr>
        <w:spacing w:line="277" w:lineRule="auto"/>
        <w:rPr>
          <w:rFonts w:ascii="Arial"/>
          <w:sz w:val="21"/>
        </w:rPr>
      </w:pPr>
    </w:p>
    <w:p w14:paraId="5A123141">
      <w:pPr>
        <w:spacing w:before="76" w:line="393" w:lineRule="auto"/>
        <w:ind w:left="22" w:right="77" w:firstLine="481"/>
        <w:rPr>
          <w:rFonts w:ascii="宋体" w:hAnsi="宋体" w:eastAsia="宋体" w:cs="宋体"/>
          <w:sz w:val="23"/>
          <w:szCs w:val="23"/>
        </w:rPr>
      </w:pPr>
      <w:r>
        <w:rPr>
          <w:rFonts w:ascii="宋体" w:hAnsi="宋体" w:eastAsia="宋体" w:cs="宋体"/>
          <w:spacing w:val="7"/>
          <w:sz w:val="23"/>
          <w:szCs w:val="23"/>
        </w:rPr>
        <w:t>本溪市位于辽宁省的中南部偏东，是进入辽东半岛东部山区的起点。它南</w:t>
      </w:r>
      <w:r>
        <w:rPr>
          <w:rFonts w:ascii="宋体" w:hAnsi="宋体" w:eastAsia="宋体" w:cs="宋体"/>
          <w:spacing w:val="2"/>
          <w:sz w:val="23"/>
          <w:szCs w:val="23"/>
        </w:rPr>
        <w:t>临</w:t>
      </w:r>
      <w:r>
        <w:rPr>
          <w:rFonts w:ascii="宋体" w:hAnsi="宋体" w:eastAsia="宋体" w:cs="宋体"/>
          <w:sz w:val="23"/>
          <w:szCs w:val="23"/>
        </w:rPr>
        <w:t xml:space="preserve"> </w:t>
      </w:r>
      <w:r>
        <w:rPr>
          <w:rFonts w:ascii="宋体" w:hAnsi="宋体" w:eastAsia="宋体" w:cs="宋体"/>
          <w:spacing w:val="9"/>
          <w:sz w:val="23"/>
          <w:szCs w:val="23"/>
        </w:rPr>
        <w:t>边</w:t>
      </w:r>
      <w:r>
        <w:rPr>
          <w:rFonts w:ascii="宋体" w:hAnsi="宋体" w:eastAsia="宋体" w:cs="宋体"/>
          <w:spacing w:val="7"/>
          <w:sz w:val="23"/>
          <w:szCs w:val="23"/>
        </w:rPr>
        <w:t>境城市丹东，北连省会沈阳和煤都抚顺，东界吉林省通化市，西与古城辽阳接</w:t>
      </w:r>
      <w:r>
        <w:rPr>
          <w:rFonts w:ascii="宋体" w:hAnsi="宋体" w:eastAsia="宋体" w:cs="宋体"/>
          <w:sz w:val="23"/>
          <w:szCs w:val="23"/>
        </w:rPr>
        <w:t xml:space="preserve"> </w:t>
      </w:r>
      <w:r>
        <w:rPr>
          <w:rFonts w:ascii="宋体" w:hAnsi="宋体" w:eastAsia="宋体" w:cs="宋体"/>
          <w:spacing w:val="20"/>
          <w:sz w:val="23"/>
          <w:szCs w:val="23"/>
        </w:rPr>
        <w:t xml:space="preserve">壤 </w:t>
      </w:r>
      <w:r>
        <w:rPr>
          <w:rFonts w:ascii="宋体" w:hAnsi="宋体" w:eastAsia="宋体" w:cs="宋体"/>
          <w:spacing w:val="18"/>
          <w:sz w:val="23"/>
          <w:szCs w:val="23"/>
        </w:rPr>
        <w:t>。</w:t>
      </w:r>
      <w:r>
        <w:rPr>
          <w:rFonts w:ascii="宋体" w:hAnsi="宋体" w:eastAsia="宋体" w:cs="宋体"/>
          <w:spacing w:val="10"/>
          <w:sz w:val="23"/>
          <w:szCs w:val="23"/>
        </w:rPr>
        <w:t xml:space="preserve">地理坐标为东经 </w:t>
      </w:r>
      <w:r>
        <w:rPr>
          <w:rFonts w:ascii="Times New Roman" w:hAnsi="Times New Roman" w:eastAsia="Times New Roman" w:cs="Times New Roman"/>
          <w:spacing w:val="10"/>
          <w:sz w:val="23"/>
          <w:szCs w:val="23"/>
        </w:rPr>
        <w:t>123°34’</w:t>
      </w:r>
      <w:r>
        <w:rPr>
          <w:rFonts w:ascii="宋体" w:hAnsi="宋体" w:eastAsia="宋体" w:cs="宋体"/>
          <w:spacing w:val="10"/>
          <w:sz w:val="23"/>
          <w:szCs w:val="23"/>
        </w:rPr>
        <w:t xml:space="preserve">~ </w:t>
      </w:r>
      <w:r>
        <w:rPr>
          <w:rFonts w:ascii="Times New Roman" w:hAnsi="Times New Roman" w:eastAsia="Times New Roman" w:cs="Times New Roman"/>
          <w:spacing w:val="10"/>
          <w:sz w:val="23"/>
          <w:szCs w:val="23"/>
        </w:rPr>
        <w:t xml:space="preserve">125°46’ </w:t>
      </w:r>
      <w:r>
        <w:rPr>
          <w:rFonts w:ascii="宋体" w:hAnsi="宋体" w:eastAsia="宋体" w:cs="宋体"/>
          <w:spacing w:val="10"/>
          <w:sz w:val="23"/>
          <w:szCs w:val="23"/>
        </w:rPr>
        <w:t xml:space="preserve">，北纬 </w:t>
      </w:r>
      <w:r>
        <w:rPr>
          <w:rFonts w:ascii="Times New Roman" w:hAnsi="Times New Roman" w:eastAsia="Times New Roman" w:cs="Times New Roman"/>
          <w:spacing w:val="10"/>
          <w:sz w:val="23"/>
          <w:szCs w:val="23"/>
        </w:rPr>
        <w:t xml:space="preserve">40°49’ </w:t>
      </w:r>
      <w:r>
        <w:rPr>
          <w:rFonts w:ascii="宋体" w:hAnsi="宋体" w:eastAsia="宋体" w:cs="宋体"/>
          <w:spacing w:val="10"/>
          <w:sz w:val="23"/>
          <w:szCs w:val="23"/>
        </w:rPr>
        <w:t>~</w:t>
      </w:r>
      <w:r>
        <w:rPr>
          <w:rFonts w:ascii="Times New Roman" w:hAnsi="Times New Roman" w:eastAsia="Times New Roman" w:cs="Times New Roman"/>
          <w:spacing w:val="10"/>
          <w:sz w:val="23"/>
          <w:szCs w:val="23"/>
        </w:rPr>
        <w:t xml:space="preserve">41°35’ </w:t>
      </w:r>
      <w:r>
        <w:rPr>
          <w:rFonts w:ascii="宋体" w:hAnsi="宋体" w:eastAsia="宋体" w:cs="宋体"/>
          <w:spacing w:val="10"/>
          <w:sz w:val="23"/>
          <w:szCs w:val="23"/>
        </w:rPr>
        <w:t>。全境总面积</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8348</w:t>
      </w:r>
      <w:r>
        <w:rPr>
          <w:rFonts w:ascii="Times New Roman" w:hAnsi="Times New Roman" w:eastAsia="Times New Roman" w:cs="Times New Roman"/>
          <w:sz w:val="23"/>
          <w:szCs w:val="23"/>
        </w:rPr>
        <w:t>km</w:t>
      </w:r>
      <w:r>
        <w:rPr>
          <w:rFonts w:ascii="Times New Roman" w:hAnsi="Times New Roman" w:eastAsia="Times New Roman" w:cs="Times New Roman"/>
          <w:spacing w:val="10"/>
          <w:position w:val="8"/>
          <w:sz w:val="15"/>
          <w:szCs w:val="15"/>
        </w:rPr>
        <w:t xml:space="preserve">2 </w:t>
      </w:r>
      <w:r>
        <w:rPr>
          <w:rFonts w:ascii="宋体" w:hAnsi="宋体" w:eastAsia="宋体" w:cs="宋体"/>
          <w:spacing w:val="7"/>
          <w:sz w:val="23"/>
          <w:szCs w:val="23"/>
        </w:rPr>
        <w:t>。</w:t>
      </w:r>
      <w:r>
        <w:rPr>
          <w:rFonts w:ascii="宋体" w:hAnsi="宋体" w:eastAsia="宋体" w:cs="宋体"/>
          <w:spacing w:val="5"/>
          <w:sz w:val="23"/>
          <w:szCs w:val="23"/>
        </w:rPr>
        <w:t xml:space="preserve"> 明山区位于本溪市东北部，总面积 </w:t>
      </w:r>
      <w:r>
        <w:rPr>
          <w:rFonts w:ascii="Times New Roman" w:hAnsi="Times New Roman" w:eastAsia="Times New Roman" w:cs="Times New Roman"/>
          <w:spacing w:val="5"/>
          <w:sz w:val="23"/>
          <w:szCs w:val="23"/>
        </w:rPr>
        <w:t>408. 1</w:t>
      </w:r>
      <w:r>
        <w:rPr>
          <w:rFonts w:ascii="Times New Roman" w:hAnsi="Times New Roman" w:eastAsia="Times New Roman" w:cs="Times New Roman"/>
          <w:sz w:val="23"/>
          <w:szCs w:val="23"/>
        </w:rPr>
        <w:t>km</w:t>
      </w:r>
      <w:r>
        <w:rPr>
          <w:rFonts w:ascii="Times New Roman" w:hAnsi="Times New Roman" w:eastAsia="Times New Roman" w:cs="Times New Roman"/>
          <w:spacing w:val="5"/>
          <w:position w:val="8"/>
          <w:sz w:val="15"/>
          <w:szCs w:val="15"/>
        </w:rPr>
        <w:t xml:space="preserve">2 </w:t>
      </w:r>
      <w:r>
        <w:rPr>
          <w:rFonts w:ascii="宋体" w:hAnsi="宋体" w:eastAsia="宋体" w:cs="宋体"/>
          <w:spacing w:val="5"/>
          <w:sz w:val="23"/>
          <w:szCs w:val="23"/>
        </w:rPr>
        <w:t>。区内距沈阳桃仙机场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50</w:t>
      </w:r>
      <w:r>
        <w:rPr>
          <w:rFonts w:ascii="Times New Roman" w:hAnsi="Times New Roman" w:eastAsia="Times New Roman" w:cs="Times New Roman"/>
          <w:spacing w:val="-3"/>
          <w:sz w:val="23"/>
          <w:szCs w:val="23"/>
        </w:rPr>
        <w:t>km</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 xml:space="preserve">、大连港 </w:t>
      </w:r>
      <w:r>
        <w:rPr>
          <w:rFonts w:ascii="Times New Roman" w:hAnsi="Times New Roman" w:eastAsia="Times New Roman" w:cs="Times New Roman"/>
          <w:spacing w:val="-3"/>
          <w:sz w:val="23"/>
          <w:szCs w:val="23"/>
        </w:rPr>
        <w:t xml:space="preserve">350km </w:t>
      </w:r>
      <w:r>
        <w:rPr>
          <w:rFonts w:ascii="宋体" w:hAnsi="宋体" w:eastAsia="宋体" w:cs="宋体"/>
          <w:spacing w:val="-3"/>
          <w:sz w:val="23"/>
          <w:szCs w:val="23"/>
        </w:rPr>
        <w:t xml:space="preserve">、营口港 </w:t>
      </w:r>
      <w:r>
        <w:rPr>
          <w:rFonts w:ascii="Times New Roman" w:hAnsi="Times New Roman" w:eastAsia="Times New Roman" w:cs="Times New Roman"/>
          <w:spacing w:val="-3"/>
          <w:sz w:val="23"/>
          <w:szCs w:val="23"/>
        </w:rPr>
        <w:t xml:space="preserve">180km </w:t>
      </w:r>
      <w:r>
        <w:rPr>
          <w:rFonts w:ascii="宋体" w:hAnsi="宋体" w:eastAsia="宋体" w:cs="宋体"/>
          <w:spacing w:val="-3"/>
          <w:sz w:val="23"/>
          <w:szCs w:val="23"/>
        </w:rPr>
        <w:t xml:space="preserve">、大东港 </w:t>
      </w:r>
      <w:r>
        <w:rPr>
          <w:rFonts w:ascii="Times New Roman" w:hAnsi="Times New Roman" w:eastAsia="Times New Roman" w:cs="Times New Roman"/>
          <w:spacing w:val="-3"/>
          <w:sz w:val="23"/>
          <w:szCs w:val="23"/>
        </w:rPr>
        <w:t>170km</w:t>
      </w:r>
      <w:r>
        <w:rPr>
          <w:rFonts w:ascii="宋体" w:hAnsi="宋体" w:eastAsia="宋体" w:cs="宋体"/>
          <w:spacing w:val="-3"/>
          <w:sz w:val="23"/>
          <w:szCs w:val="23"/>
        </w:rPr>
        <w:t>。</w:t>
      </w:r>
    </w:p>
    <w:p w14:paraId="461F81B3">
      <w:pPr>
        <w:spacing w:before="105" w:line="395" w:lineRule="auto"/>
        <w:ind w:left="27" w:right="85" w:firstLine="476"/>
        <w:rPr>
          <w:rFonts w:ascii="宋体" w:hAnsi="宋体" w:eastAsia="宋体" w:cs="宋体"/>
          <w:sz w:val="23"/>
          <w:szCs w:val="23"/>
        </w:rPr>
      </w:pPr>
      <w:r>
        <w:rPr>
          <w:rFonts w:ascii="宋体" w:hAnsi="宋体" w:eastAsia="宋体" w:cs="宋体"/>
          <w:spacing w:val="7"/>
          <w:sz w:val="23"/>
          <w:szCs w:val="23"/>
        </w:rPr>
        <w:t>溪湖区位于辽东半岛腹地，是中国辽宁省本溪市所辖的一个市辖区，是一</w:t>
      </w:r>
      <w:r>
        <w:rPr>
          <w:rFonts w:ascii="宋体" w:hAnsi="宋体" w:eastAsia="宋体" w:cs="宋体"/>
          <w:spacing w:val="3"/>
          <w:sz w:val="23"/>
          <w:szCs w:val="23"/>
        </w:rPr>
        <w:t>个</w:t>
      </w:r>
      <w:r>
        <w:rPr>
          <w:rFonts w:ascii="宋体" w:hAnsi="宋体" w:eastAsia="宋体" w:cs="宋体"/>
          <w:sz w:val="23"/>
          <w:szCs w:val="23"/>
        </w:rPr>
        <w:t xml:space="preserve"> </w:t>
      </w:r>
      <w:r>
        <w:rPr>
          <w:rFonts w:ascii="宋体" w:hAnsi="宋体" w:eastAsia="宋体" w:cs="宋体"/>
          <w:spacing w:val="11"/>
          <w:sz w:val="23"/>
          <w:szCs w:val="23"/>
        </w:rPr>
        <w:t>老</w:t>
      </w:r>
      <w:r>
        <w:rPr>
          <w:rFonts w:ascii="宋体" w:hAnsi="宋体" w:eastAsia="宋体" w:cs="宋体"/>
          <w:spacing w:val="9"/>
          <w:sz w:val="23"/>
          <w:szCs w:val="23"/>
        </w:rPr>
        <w:t>工业基地。东界抚顺，西接辽阳，南衔丹东，北邻沈阳。</w:t>
      </w:r>
    </w:p>
    <w:p w14:paraId="098CD85D">
      <w:pPr>
        <w:spacing w:before="132" w:line="228" w:lineRule="auto"/>
        <w:ind w:left="514"/>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2</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项目周边关系</w:t>
      </w:r>
    </w:p>
    <w:p w14:paraId="78FA74D2">
      <w:pPr>
        <w:spacing w:line="277" w:lineRule="auto"/>
        <w:rPr>
          <w:rFonts w:ascii="Arial"/>
          <w:sz w:val="21"/>
        </w:rPr>
      </w:pPr>
    </w:p>
    <w:p w14:paraId="602541BE">
      <w:pPr>
        <w:spacing w:before="75" w:line="390" w:lineRule="auto"/>
        <w:ind w:left="11" w:firstLine="496"/>
        <w:rPr>
          <w:rFonts w:ascii="宋体" w:hAnsi="宋体" w:eastAsia="宋体" w:cs="宋体"/>
          <w:sz w:val="23"/>
          <w:szCs w:val="23"/>
        </w:rPr>
      </w:pPr>
      <w:r>
        <w:rPr>
          <w:rFonts w:ascii="宋体" w:hAnsi="宋体" w:eastAsia="宋体" w:cs="宋体"/>
          <w:spacing w:val="32"/>
          <w:sz w:val="23"/>
          <w:szCs w:val="23"/>
        </w:rPr>
        <w:t>该</w:t>
      </w:r>
      <w:r>
        <w:rPr>
          <w:rFonts w:ascii="宋体" w:hAnsi="宋体" w:eastAsia="宋体" w:cs="宋体"/>
          <w:spacing w:val="21"/>
          <w:sz w:val="23"/>
          <w:szCs w:val="23"/>
        </w:rPr>
        <w:t>项 目位于辽宁省本溪市溪湖区火连寨镇火连寨村 ，地理位置坐标为</w:t>
      </w:r>
      <w:r>
        <w:rPr>
          <w:rFonts w:ascii="宋体" w:hAnsi="宋体" w:eastAsia="宋体" w:cs="宋体"/>
          <w:sz w:val="23"/>
          <w:szCs w:val="23"/>
        </w:rPr>
        <w:t xml:space="preserve"> </w:t>
      </w:r>
      <w:r>
        <w:rPr>
          <w:rFonts w:ascii="Times New Roman" w:hAnsi="Times New Roman" w:eastAsia="Times New Roman" w:cs="Times New Roman"/>
          <w:sz w:val="23"/>
          <w:szCs w:val="23"/>
        </w:rPr>
        <w:t>N</w:t>
      </w:r>
      <w:r>
        <w:rPr>
          <w:rFonts w:ascii="Times New Roman" w:hAnsi="Times New Roman" w:eastAsia="Times New Roman" w:cs="Times New Roman"/>
          <w:spacing w:val="5"/>
          <w:sz w:val="23"/>
          <w:szCs w:val="23"/>
        </w:rPr>
        <w:t>41°21′55.05927″</w:t>
      </w:r>
      <w:r>
        <w:rPr>
          <w:rFonts w:ascii="Times New Roman" w:hAnsi="Times New Roman" w:eastAsia="Times New Roman" w:cs="Times New Roman"/>
          <w:sz w:val="23"/>
          <w:szCs w:val="23"/>
        </w:rPr>
        <w:t>E</w:t>
      </w:r>
      <w:r>
        <w:rPr>
          <w:rFonts w:ascii="Times New Roman" w:hAnsi="Times New Roman" w:eastAsia="Times New Roman" w:cs="Times New Roman"/>
          <w:spacing w:val="5"/>
          <w:sz w:val="23"/>
          <w:szCs w:val="23"/>
        </w:rPr>
        <w:t>123°42′32.05640″</w:t>
      </w:r>
      <w:r>
        <w:rPr>
          <w:rFonts w:ascii="宋体" w:hAnsi="宋体" w:eastAsia="宋体" w:cs="宋体"/>
          <w:spacing w:val="5"/>
          <w:sz w:val="23"/>
          <w:szCs w:val="23"/>
        </w:rPr>
        <w:t>。其东侧为辽宁公路水泥厂废旧厂区，西侧</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1"/>
          <w:sz w:val="23"/>
          <w:szCs w:val="23"/>
        </w:rPr>
        <w:t>南</w:t>
      </w:r>
      <w:r>
        <w:rPr>
          <w:rFonts w:ascii="宋体" w:hAnsi="宋体" w:eastAsia="宋体" w:cs="宋体"/>
          <w:spacing w:val="9"/>
          <w:sz w:val="23"/>
          <w:szCs w:val="23"/>
        </w:rPr>
        <w:t>侧、北侧均为空地。</w:t>
      </w:r>
    </w:p>
    <w:p w14:paraId="0FB9C7A9">
      <w:pPr>
        <w:spacing w:before="85" w:line="225" w:lineRule="auto"/>
        <w:ind w:left="21"/>
        <w:outlineLvl w:val="2"/>
        <w:rPr>
          <w:rFonts w:ascii="宋体" w:hAnsi="宋体" w:eastAsia="宋体" w:cs="宋体"/>
          <w:sz w:val="29"/>
          <w:szCs w:val="29"/>
        </w:rPr>
      </w:pPr>
      <w:r>
        <w:rPr>
          <w:rFonts w:ascii="Times New Roman" w:hAnsi="Times New Roman" w:eastAsia="Times New Roman" w:cs="Times New Roman"/>
          <w:b/>
          <w:bCs/>
          <w:spacing w:val="8"/>
          <w:sz w:val="29"/>
          <w:szCs w:val="29"/>
        </w:rPr>
        <w:t>4</w:t>
      </w:r>
      <w:r>
        <w:rPr>
          <w:rFonts w:ascii="Times New Roman" w:hAnsi="Times New Roman" w:eastAsia="Times New Roman" w:cs="Times New Roman"/>
          <w:b/>
          <w:bCs/>
          <w:spacing w:val="5"/>
          <w:sz w:val="29"/>
          <w:szCs w:val="29"/>
        </w:rPr>
        <w:t>.1.2</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地形地貌</w:t>
      </w:r>
    </w:p>
    <w:p w14:paraId="63B674EB">
      <w:pPr>
        <w:spacing w:line="260" w:lineRule="auto"/>
        <w:rPr>
          <w:rFonts w:ascii="Arial"/>
          <w:sz w:val="21"/>
        </w:rPr>
      </w:pPr>
    </w:p>
    <w:p w14:paraId="37F526F2">
      <w:pPr>
        <w:spacing w:before="75" w:line="388" w:lineRule="auto"/>
        <w:ind w:left="23" w:right="82" w:firstLine="480"/>
        <w:rPr>
          <w:rFonts w:ascii="宋体" w:hAnsi="宋体" w:eastAsia="宋体" w:cs="宋体"/>
          <w:sz w:val="23"/>
          <w:szCs w:val="23"/>
        </w:rPr>
      </w:pPr>
      <w:r>
        <w:rPr>
          <w:rFonts w:ascii="宋体" w:hAnsi="宋体" w:eastAsia="宋体" w:cs="宋体"/>
          <w:spacing w:val="14"/>
          <w:sz w:val="23"/>
          <w:szCs w:val="23"/>
        </w:rPr>
        <w:t>本溪</w:t>
      </w:r>
      <w:r>
        <w:rPr>
          <w:rFonts w:ascii="宋体" w:hAnsi="宋体" w:eastAsia="宋体" w:cs="宋体"/>
          <w:spacing w:val="9"/>
          <w:sz w:val="23"/>
          <w:szCs w:val="23"/>
        </w:rPr>
        <w:t>市</w:t>
      </w:r>
      <w:r>
        <w:rPr>
          <w:rFonts w:ascii="宋体" w:hAnsi="宋体" w:eastAsia="宋体" w:cs="宋体"/>
          <w:spacing w:val="7"/>
          <w:sz w:val="23"/>
          <w:szCs w:val="23"/>
        </w:rPr>
        <w:t>山河交错，地质复杂，有</w:t>
      </w:r>
      <w:r>
        <w:rPr>
          <w:rFonts w:ascii="Times New Roman" w:hAnsi="Times New Roman" w:eastAsia="Times New Roman" w:cs="Times New Roman"/>
          <w:spacing w:val="7"/>
          <w:sz w:val="23"/>
          <w:szCs w:val="23"/>
        </w:rPr>
        <w:t>“</w:t>
      </w:r>
      <w:r>
        <w:rPr>
          <w:rFonts w:ascii="宋体" w:hAnsi="宋体" w:eastAsia="宋体" w:cs="宋体"/>
          <w:spacing w:val="7"/>
          <w:sz w:val="23"/>
          <w:szCs w:val="23"/>
        </w:rPr>
        <w:t>天然地质博物馆</w:t>
      </w:r>
      <w:r>
        <w:rPr>
          <w:rFonts w:ascii="Times New Roman" w:hAnsi="Times New Roman" w:eastAsia="Times New Roman" w:cs="Times New Roman"/>
          <w:spacing w:val="7"/>
          <w:sz w:val="23"/>
          <w:szCs w:val="23"/>
        </w:rPr>
        <w:t>”</w:t>
      </w:r>
      <w:r>
        <w:rPr>
          <w:rFonts w:ascii="宋体" w:hAnsi="宋体" w:eastAsia="宋体" w:cs="宋体"/>
          <w:spacing w:val="7"/>
          <w:sz w:val="23"/>
          <w:szCs w:val="23"/>
        </w:rPr>
        <w:t>之称。地质构造体系上大</w:t>
      </w:r>
      <w:r>
        <w:rPr>
          <w:rFonts w:ascii="宋体" w:hAnsi="宋体" w:eastAsia="宋体" w:cs="宋体"/>
          <w:sz w:val="23"/>
          <w:szCs w:val="23"/>
        </w:rPr>
        <w:t xml:space="preserve"> </w:t>
      </w:r>
      <w:r>
        <w:rPr>
          <w:rFonts w:ascii="宋体" w:hAnsi="宋体" w:eastAsia="宋体" w:cs="宋体"/>
          <w:spacing w:val="8"/>
          <w:sz w:val="23"/>
          <w:szCs w:val="23"/>
        </w:rPr>
        <w:t xml:space="preserve">体可分为 </w:t>
      </w:r>
      <w:r>
        <w:rPr>
          <w:rFonts w:ascii="Times New Roman" w:hAnsi="Times New Roman" w:eastAsia="Times New Roman" w:cs="Times New Roman"/>
          <w:spacing w:val="8"/>
          <w:sz w:val="23"/>
          <w:szCs w:val="23"/>
        </w:rPr>
        <w:t xml:space="preserve">5 </w:t>
      </w:r>
      <w:r>
        <w:rPr>
          <w:rFonts w:ascii="宋体" w:hAnsi="宋体" w:eastAsia="宋体" w:cs="宋体"/>
          <w:spacing w:val="8"/>
          <w:sz w:val="23"/>
          <w:szCs w:val="23"/>
        </w:rPr>
        <w:t>个构造带：</w:t>
      </w:r>
      <w:r>
        <w:rPr>
          <w:rFonts w:ascii="Times New Roman" w:hAnsi="Times New Roman" w:eastAsia="Times New Roman" w:cs="Times New Roman"/>
          <w:spacing w:val="8"/>
          <w:sz w:val="23"/>
          <w:szCs w:val="23"/>
        </w:rPr>
        <w:t>1</w:t>
      </w:r>
      <w:r>
        <w:rPr>
          <w:rFonts w:ascii="宋体" w:hAnsi="宋体" w:eastAsia="宋体" w:cs="宋体"/>
          <w:spacing w:val="8"/>
          <w:sz w:val="23"/>
          <w:szCs w:val="23"/>
        </w:rPr>
        <w:t>) 西北向构造带，处在本溪地区北部和西部的太古代</w:t>
      </w:r>
      <w:r>
        <w:rPr>
          <w:rFonts w:ascii="宋体" w:hAnsi="宋体" w:eastAsia="宋体" w:cs="宋体"/>
          <w:spacing w:val="6"/>
          <w:sz w:val="23"/>
          <w:szCs w:val="23"/>
        </w:rPr>
        <w:t>鞍</w:t>
      </w:r>
      <w:r>
        <w:rPr>
          <w:rFonts w:ascii="宋体" w:hAnsi="宋体" w:eastAsia="宋体" w:cs="宋体"/>
          <w:sz w:val="23"/>
          <w:szCs w:val="23"/>
        </w:rPr>
        <w:t xml:space="preserve"> </w:t>
      </w:r>
      <w:r>
        <w:rPr>
          <w:rFonts w:ascii="宋体" w:hAnsi="宋体" w:eastAsia="宋体" w:cs="宋体"/>
          <w:spacing w:val="11"/>
          <w:sz w:val="23"/>
          <w:szCs w:val="23"/>
        </w:rPr>
        <w:t>山</w:t>
      </w:r>
      <w:r>
        <w:rPr>
          <w:rFonts w:ascii="宋体" w:hAnsi="宋体" w:eastAsia="宋体" w:cs="宋体"/>
          <w:spacing w:val="10"/>
          <w:sz w:val="23"/>
          <w:szCs w:val="23"/>
        </w:rPr>
        <w:t>群地层中；</w:t>
      </w:r>
      <w:r>
        <w:rPr>
          <w:rFonts w:ascii="Times New Roman" w:hAnsi="Times New Roman" w:eastAsia="Times New Roman" w:cs="Times New Roman"/>
          <w:spacing w:val="10"/>
          <w:sz w:val="23"/>
          <w:szCs w:val="23"/>
        </w:rPr>
        <w:t>2</w:t>
      </w:r>
      <w:r>
        <w:rPr>
          <w:rFonts w:ascii="宋体" w:hAnsi="宋体" w:eastAsia="宋体" w:cs="宋体"/>
          <w:spacing w:val="10"/>
          <w:sz w:val="23"/>
          <w:szCs w:val="23"/>
        </w:rPr>
        <w:t>) 近东西向构造带，即太子河凹陷带，摩天岭至四棵杨树近东西</w:t>
      </w:r>
      <w:r>
        <w:rPr>
          <w:rFonts w:ascii="宋体" w:hAnsi="宋体" w:eastAsia="宋体" w:cs="宋体"/>
          <w:sz w:val="23"/>
          <w:szCs w:val="23"/>
        </w:rPr>
        <w:t xml:space="preserve"> </w:t>
      </w:r>
      <w:r>
        <w:rPr>
          <w:rFonts w:ascii="宋体" w:hAnsi="宋体" w:eastAsia="宋体" w:cs="宋体"/>
          <w:spacing w:val="12"/>
          <w:sz w:val="23"/>
          <w:szCs w:val="23"/>
        </w:rPr>
        <w:t>向构造</w:t>
      </w:r>
      <w:r>
        <w:rPr>
          <w:rFonts w:ascii="宋体" w:hAnsi="宋体" w:eastAsia="宋体" w:cs="宋体"/>
          <w:spacing w:val="7"/>
          <w:sz w:val="23"/>
          <w:szCs w:val="23"/>
        </w:rPr>
        <w:t>带</w:t>
      </w:r>
      <w:r>
        <w:rPr>
          <w:rFonts w:ascii="宋体" w:hAnsi="宋体" w:eastAsia="宋体" w:cs="宋体"/>
          <w:spacing w:val="6"/>
          <w:sz w:val="23"/>
          <w:szCs w:val="23"/>
        </w:rPr>
        <w:t>和马鹿沟近东西向岩体带；</w:t>
      </w:r>
      <w:r>
        <w:rPr>
          <w:rFonts w:ascii="Times New Roman" w:hAnsi="Times New Roman" w:eastAsia="Times New Roman" w:cs="Times New Roman"/>
          <w:spacing w:val="6"/>
          <w:sz w:val="23"/>
          <w:szCs w:val="23"/>
        </w:rPr>
        <w:t>3</w:t>
      </w:r>
      <w:r>
        <w:rPr>
          <w:rFonts w:ascii="宋体" w:hAnsi="宋体" w:eastAsia="宋体" w:cs="宋体"/>
          <w:spacing w:val="6"/>
          <w:sz w:val="23"/>
          <w:szCs w:val="23"/>
        </w:rPr>
        <w:t>) 东北向构造带，主要是断裂构造；</w:t>
      </w:r>
      <w:r>
        <w:rPr>
          <w:rFonts w:ascii="Times New Roman" w:hAnsi="Times New Roman" w:eastAsia="Times New Roman" w:cs="Times New Roman"/>
          <w:spacing w:val="6"/>
          <w:sz w:val="23"/>
          <w:szCs w:val="23"/>
        </w:rPr>
        <w:t>4</w:t>
      </w:r>
      <w:r>
        <w:rPr>
          <w:rFonts w:ascii="宋体" w:hAnsi="宋体" w:eastAsia="宋体" w:cs="宋体"/>
          <w:spacing w:val="6"/>
          <w:sz w:val="23"/>
          <w:szCs w:val="23"/>
        </w:rPr>
        <w:t>) 弧</w:t>
      </w:r>
      <w:r>
        <w:rPr>
          <w:rFonts w:ascii="宋体" w:hAnsi="宋体" w:eastAsia="宋体" w:cs="宋体"/>
          <w:sz w:val="23"/>
          <w:szCs w:val="23"/>
        </w:rPr>
        <w:t xml:space="preserve"> </w:t>
      </w:r>
      <w:r>
        <w:rPr>
          <w:rFonts w:ascii="宋体" w:hAnsi="宋体" w:eastAsia="宋体" w:cs="宋体"/>
          <w:spacing w:val="9"/>
          <w:sz w:val="23"/>
          <w:szCs w:val="23"/>
        </w:rPr>
        <w:t>形</w:t>
      </w:r>
      <w:r>
        <w:rPr>
          <w:rFonts w:ascii="宋体" w:hAnsi="宋体" w:eastAsia="宋体" w:cs="宋体"/>
          <w:spacing w:val="8"/>
          <w:sz w:val="23"/>
          <w:szCs w:val="23"/>
        </w:rPr>
        <w:t>构造带；</w:t>
      </w:r>
      <w:r>
        <w:rPr>
          <w:rFonts w:ascii="Times New Roman" w:hAnsi="Times New Roman" w:eastAsia="Times New Roman" w:cs="Times New Roman"/>
          <w:spacing w:val="8"/>
          <w:sz w:val="23"/>
          <w:szCs w:val="23"/>
        </w:rPr>
        <w:t>5</w:t>
      </w:r>
      <w:r>
        <w:rPr>
          <w:rFonts w:ascii="宋体" w:hAnsi="宋体" w:eastAsia="宋体" w:cs="宋体"/>
          <w:spacing w:val="8"/>
          <w:sz w:val="23"/>
          <w:szCs w:val="23"/>
        </w:rPr>
        <w:t>) 伽玛射线地温异常带。</w:t>
      </w:r>
    </w:p>
    <w:p w14:paraId="44CC94B3">
      <w:pPr>
        <w:spacing w:before="137" w:line="389" w:lineRule="auto"/>
        <w:ind w:left="22" w:right="82" w:firstLine="481"/>
        <w:rPr>
          <w:rFonts w:ascii="宋体" w:hAnsi="宋体" w:eastAsia="宋体" w:cs="宋体"/>
          <w:sz w:val="23"/>
          <w:szCs w:val="23"/>
        </w:rPr>
      </w:pPr>
      <w:r>
        <w:rPr>
          <w:rFonts w:ascii="宋体" w:hAnsi="宋体" w:eastAsia="宋体" w:cs="宋体"/>
          <w:spacing w:val="7"/>
          <w:sz w:val="23"/>
          <w:szCs w:val="23"/>
        </w:rPr>
        <w:t>本溪市地处辽宁东南部山区，系长白山支脉</w:t>
      </w:r>
      <w:r>
        <w:rPr>
          <w:rFonts w:ascii="Times New Roman" w:hAnsi="Times New Roman" w:eastAsia="Times New Roman" w:cs="Times New Roman"/>
          <w:spacing w:val="7"/>
          <w:sz w:val="23"/>
          <w:szCs w:val="23"/>
        </w:rPr>
        <w:t>―</w:t>
      </w:r>
      <w:r>
        <w:rPr>
          <w:rFonts w:ascii="宋体" w:hAnsi="宋体" w:eastAsia="宋体" w:cs="宋体"/>
          <w:spacing w:val="7"/>
          <w:sz w:val="23"/>
          <w:szCs w:val="23"/>
        </w:rPr>
        <w:t>千山山脉之东北端，以东北</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 xml:space="preserve"> </w:t>
      </w:r>
      <w:r>
        <w:rPr>
          <w:rFonts w:ascii="宋体" w:hAnsi="宋体" w:eastAsia="宋体" w:cs="宋体"/>
          <w:spacing w:val="9"/>
          <w:sz w:val="23"/>
          <w:szCs w:val="23"/>
        </w:rPr>
        <w:t>西</w:t>
      </w:r>
      <w:r>
        <w:rPr>
          <w:rFonts w:ascii="宋体" w:hAnsi="宋体" w:eastAsia="宋体" w:cs="宋体"/>
          <w:spacing w:val="7"/>
          <w:sz w:val="23"/>
          <w:szCs w:val="23"/>
        </w:rPr>
        <w:t>南走向为主，地貌以中低山地为主，西北部边缘有局部丘陵地。全境总趋势为</w:t>
      </w:r>
      <w:r>
        <w:rPr>
          <w:rFonts w:ascii="宋体" w:hAnsi="宋体" w:eastAsia="宋体" w:cs="宋体"/>
          <w:sz w:val="23"/>
          <w:szCs w:val="23"/>
        </w:rPr>
        <w:t xml:space="preserve"> </w:t>
      </w:r>
      <w:r>
        <w:rPr>
          <w:rFonts w:ascii="宋体" w:hAnsi="宋体" w:eastAsia="宋体" w:cs="宋体"/>
          <w:spacing w:val="9"/>
          <w:sz w:val="23"/>
          <w:szCs w:val="23"/>
        </w:rPr>
        <w:t>东</w:t>
      </w:r>
      <w:r>
        <w:rPr>
          <w:rFonts w:ascii="宋体" w:hAnsi="宋体" w:eastAsia="宋体" w:cs="宋体"/>
          <w:spacing w:val="7"/>
          <w:sz w:val="23"/>
          <w:szCs w:val="23"/>
        </w:rPr>
        <w:t>南高西北低，而东西相比又东高西低。地貌组成以湿润流水作用的山地侵蚀构</w:t>
      </w:r>
      <w:r>
        <w:rPr>
          <w:rFonts w:ascii="宋体" w:hAnsi="宋体" w:eastAsia="宋体" w:cs="宋体"/>
          <w:sz w:val="23"/>
          <w:szCs w:val="23"/>
        </w:rPr>
        <w:t xml:space="preserve"> </w:t>
      </w:r>
      <w:r>
        <w:rPr>
          <w:rFonts w:ascii="宋体" w:hAnsi="宋体" w:eastAsia="宋体" w:cs="宋体"/>
          <w:spacing w:val="8"/>
          <w:sz w:val="23"/>
          <w:szCs w:val="23"/>
        </w:rPr>
        <w:t>造形态为主</w:t>
      </w:r>
      <w:r>
        <w:rPr>
          <w:rFonts w:ascii="宋体" w:hAnsi="宋体" w:eastAsia="宋体" w:cs="宋体"/>
          <w:spacing w:val="6"/>
          <w:sz w:val="23"/>
          <w:szCs w:val="23"/>
        </w:rPr>
        <w:t>，</w:t>
      </w:r>
      <w:r>
        <w:rPr>
          <w:rFonts w:ascii="宋体" w:hAnsi="宋体" w:eastAsia="宋体" w:cs="宋体"/>
          <w:spacing w:val="4"/>
          <w:sz w:val="23"/>
          <w:szCs w:val="23"/>
        </w:rPr>
        <w:t xml:space="preserve">最高为佛顶山 (又称老秃顶子) 主峰海拔 </w:t>
      </w:r>
      <w:r>
        <w:rPr>
          <w:rFonts w:ascii="Times New Roman" w:hAnsi="Times New Roman" w:eastAsia="Times New Roman" w:cs="Times New Roman"/>
          <w:spacing w:val="4"/>
          <w:sz w:val="23"/>
          <w:szCs w:val="23"/>
        </w:rPr>
        <w:t>1367.2</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，为辽宁第一高</w:t>
      </w:r>
    </w:p>
    <w:p w14:paraId="23AEFD04">
      <w:pPr>
        <w:sectPr>
          <w:headerReference r:id="rId150" w:type="default"/>
          <w:footerReference r:id="rId151" w:type="default"/>
          <w:pgSz w:w="11906" w:h="16839"/>
          <w:pgMar w:top="1132" w:right="1714" w:bottom="1180" w:left="1785" w:header="878" w:footer="1022" w:gutter="0"/>
          <w:cols w:space="720" w:num="1"/>
        </w:sectPr>
      </w:pPr>
    </w:p>
    <w:p w14:paraId="7FE91657">
      <w:pPr>
        <w:spacing w:line="408" w:lineRule="auto"/>
        <w:rPr>
          <w:rFonts w:ascii="Arial"/>
          <w:sz w:val="21"/>
        </w:rPr>
      </w:pPr>
      <w:r>
        <w:pict>
          <v:shape id="_x0000_s1210" o:spid="_x0000_s1210" style="position:absolute;left:0pt;margin-left:90pt;margin-top:57.35pt;height:0.75pt;width:415.3pt;mso-position-horizontal-relative:page;mso-position-vertical-relative:page;z-index:251862016;mso-width-relative:page;mso-height-relative:page;" fillcolor="#000000" filled="t" stroked="f" coordsize="8305,15" o:allowincell="f" path="m0,0l8305,0,8305,14,0,14,0,0xe">
            <v:path/>
            <v:fill on="t" focussize="0,0"/>
            <v:stroke on="f"/>
            <v:imagedata o:title=""/>
            <o:lock v:ext="edit"/>
          </v:shape>
        </w:pict>
      </w:r>
    </w:p>
    <w:p w14:paraId="5C33B363">
      <w:pPr>
        <w:spacing w:before="75" w:line="227" w:lineRule="auto"/>
        <w:ind w:left="31"/>
        <w:rPr>
          <w:rFonts w:ascii="宋体" w:hAnsi="宋体" w:eastAsia="宋体" w:cs="宋体"/>
          <w:sz w:val="23"/>
          <w:szCs w:val="23"/>
        </w:rPr>
      </w:pPr>
      <w:r>
        <w:rPr>
          <w:rFonts w:ascii="宋体" w:hAnsi="宋体" w:eastAsia="宋体" w:cs="宋体"/>
          <w:spacing w:val="16"/>
          <w:sz w:val="23"/>
          <w:szCs w:val="23"/>
        </w:rPr>
        <w:t>峰</w:t>
      </w:r>
      <w:r>
        <w:rPr>
          <w:rFonts w:ascii="宋体" w:hAnsi="宋体" w:eastAsia="宋体" w:cs="宋体"/>
          <w:spacing w:val="11"/>
          <w:sz w:val="23"/>
          <w:szCs w:val="23"/>
        </w:rPr>
        <w:t>，</w:t>
      </w:r>
      <w:r>
        <w:rPr>
          <w:rFonts w:ascii="宋体" w:hAnsi="宋体" w:eastAsia="宋体" w:cs="宋体"/>
          <w:spacing w:val="8"/>
          <w:sz w:val="23"/>
          <w:szCs w:val="23"/>
        </w:rPr>
        <w:t>市域内有上百座山峰超过千米，被誉为</w:t>
      </w:r>
      <w:r>
        <w:rPr>
          <w:rFonts w:ascii="Times New Roman" w:hAnsi="Times New Roman" w:eastAsia="Times New Roman" w:cs="Times New Roman"/>
          <w:spacing w:val="8"/>
          <w:sz w:val="23"/>
          <w:szCs w:val="23"/>
        </w:rPr>
        <w:t>“</w:t>
      </w:r>
      <w:r>
        <w:rPr>
          <w:rFonts w:ascii="宋体" w:hAnsi="宋体" w:eastAsia="宋体" w:cs="宋体"/>
          <w:spacing w:val="8"/>
          <w:sz w:val="23"/>
          <w:szCs w:val="23"/>
        </w:rPr>
        <w:t>辽宁屋脊</w:t>
      </w:r>
      <w:r>
        <w:rPr>
          <w:rFonts w:ascii="Times New Roman" w:hAnsi="Times New Roman" w:eastAsia="Times New Roman" w:cs="Times New Roman"/>
          <w:spacing w:val="8"/>
          <w:sz w:val="23"/>
          <w:szCs w:val="23"/>
        </w:rPr>
        <w:t>”</w:t>
      </w:r>
      <w:r>
        <w:rPr>
          <w:rFonts w:ascii="宋体" w:hAnsi="宋体" w:eastAsia="宋体" w:cs="宋体"/>
          <w:spacing w:val="8"/>
          <w:sz w:val="23"/>
          <w:szCs w:val="23"/>
        </w:rPr>
        <w:t>。</w:t>
      </w:r>
    </w:p>
    <w:p w14:paraId="07E17678">
      <w:pPr>
        <w:spacing w:before="174" w:line="480" w:lineRule="exact"/>
        <w:ind w:left="503"/>
        <w:rPr>
          <w:rFonts w:ascii="宋体" w:hAnsi="宋体" w:eastAsia="宋体" w:cs="宋体"/>
          <w:sz w:val="23"/>
          <w:szCs w:val="23"/>
        </w:rPr>
      </w:pPr>
      <w:r>
        <w:rPr>
          <w:rFonts w:ascii="宋体" w:hAnsi="宋体" w:eastAsia="宋体" w:cs="宋体"/>
          <w:spacing w:val="7"/>
          <w:position w:val="6"/>
          <w:sz w:val="23"/>
          <w:szCs w:val="23"/>
        </w:rPr>
        <w:t>溪湖区地势自东南向西北倾斜，群山连绵，沟壑纵横，为</w:t>
      </w:r>
      <w:r>
        <w:fldChar w:fldCharType="begin"/>
      </w:r>
      <w:r>
        <w:instrText xml:space="preserve"> HYPERLINK "http://baike.baidu.com/view/4588.htm" </w:instrText>
      </w:r>
      <w:r>
        <w:fldChar w:fldCharType="separate"/>
      </w:r>
      <w:r>
        <w:rPr>
          <w:rFonts w:ascii="宋体" w:hAnsi="宋体" w:eastAsia="宋体" w:cs="宋体"/>
          <w:spacing w:val="7"/>
          <w:position w:val="6"/>
          <w:sz w:val="23"/>
          <w:szCs w:val="23"/>
        </w:rPr>
        <w:t>长白山</w:t>
      </w:r>
      <w:r>
        <w:rPr>
          <w:rFonts w:ascii="宋体" w:hAnsi="宋体" w:eastAsia="宋体" w:cs="宋体"/>
          <w:spacing w:val="7"/>
          <w:position w:val="6"/>
          <w:sz w:val="23"/>
          <w:szCs w:val="23"/>
        </w:rPr>
        <w:fldChar w:fldCharType="end"/>
      </w:r>
      <w:r>
        <w:rPr>
          <w:rFonts w:ascii="宋体" w:hAnsi="宋体" w:eastAsia="宋体" w:cs="宋体"/>
          <w:spacing w:val="7"/>
          <w:position w:val="6"/>
          <w:sz w:val="23"/>
          <w:szCs w:val="23"/>
        </w:rPr>
        <w:t>脉，</w:t>
      </w:r>
      <w:r>
        <w:fldChar w:fldCharType="begin"/>
      </w:r>
      <w:r>
        <w:instrText xml:space="preserve"> HYPERLINK "http://baike.baidu.com/view/4127.htm" </w:instrText>
      </w:r>
      <w:r>
        <w:fldChar w:fldCharType="separate"/>
      </w:r>
      <w:r>
        <w:rPr>
          <w:rFonts w:ascii="宋体" w:hAnsi="宋体" w:eastAsia="宋体" w:cs="宋体"/>
          <w:spacing w:val="7"/>
          <w:position w:val="6"/>
          <w:sz w:val="23"/>
          <w:szCs w:val="23"/>
        </w:rPr>
        <w:t>千山</w:t>
      </w:r>
      <w:r>
        <w:rPr>
          <w:rFonts w:ascii="宋体" w:hAnsi="宋体" w:eastAsia="宋体" w:cs="宋体"/>
          <w:spacing w:val="7"/>
          <w:position w:val="6"/>
          <w:sz w:val="23"/>
          <w:szCs w:val="23"/>
        </w:rPr>
        <w:fldChar w:fldCharType="end"/>
      </w:r>
      <w:r>
        <w:rPr>
          <w:rFonts w:ascii="宋体" w:hAnsi="宋体" w:eastAsia="宋体" w:cs="宋体"/>
          <w:spacing w:val="5"/>
          <w:position w:val="6"/>
          <w:sz w:val="23"/>
          <w:szCs w:val="23"/>
        </w:rPr>
        <w:t>余</w:t>
      </w:r>
    </w:p>
    <w:p w14:paraId="5FFC64AE">
      <w:pPr>
        <w:spacing w:before="180" w:line="380" w:lineRule="auto"/>
        <w:ind w:left="25" w:right="61"/>
        <w:rPr>
          <w:rFonts w:ascii="宋体" w:hAnsi="宋体" w:eastAsia="宋体" w:cs="宋体"/>
          <w:sz w:val="23"/>
          <w:szCs w:val="23"/>
        </w:rPr>
      </w:pPr>
      <w:r>
        <w:rPr>
          <w:rFonts w:ascii="宋体" w:hAnsi="宋体" w:eastAsia="宋体" w:cs="宋体"/>
          <w:spacing w:val="11"/>
          <w:sz w:val="23"/>
          <w:szCs w:val="23"/>
        </w:rPr>
        <w:t>脉</w:t>
      </w:r>
      <w:r>
        <w:rPr>
          <w:rFonts w:ascii="宋体" w:hAnsi="宋体" w:eastAsia="宋体" w:cs="宋体"/>
          <w:spacing w:val="7"/>
          <w:sz w:val="23"/>
          <w:szCs w:val="23"/>
        </w:rPr>
        <w:t xml:space="preserve">，最高海拔 </w:t>
      </w:r>
      <w:r>
        <w:rPr>
          <w:rFonts w:ascii="Times New Roman" w:hAnsi="Times New Roman" w:eastAsia="Times New Roman" w:cs="Times New Roman"/>
          <w:spacing w:val="7"/>
          <w:sz w:val="23"/>
          <w:szCs w:val="23"/>
        </w:rPr>
        <w:t xml:space="preserve">651 </w:t>
      </w:r>
      <w:r>
        <w:rPr>
          <w:rFonts w:ascii="宋体" w:hAnsi="宋体" w:eastAsia="宋体" w:cs="宋体"/>
          <w:spacing w:val="7"/>
          <w:sz w:val="23"/>
          <w:szCs w:val="23"/>
        </w:rPr>
        <w:t xml:space="preserve">米 (三会场烟囱垃子) ，最低海拔 </w:t>
      </w:r>
      <w:r>
        <w:rPr>
          <w:rFonts w:ascii="Times New Roman" w:hAnsi="Times New Roman" w:eastAsia="Times New Roman" w:cs="Times New Roman"/>
          <w:spacing w:val="7"/>
          <w:sz w:val="23"/>
          <w:szCs w:val="23"/>
        </w:rPr>
        <w:t xml:space="preserve">99.3 </w:t>
      </w:r>
      <w:r>
        <w:rPr>
          <w:rFonts w:ascii="宋体" w:hAnsi="宋体" w:eastAsia="宋体" w:cs="宋体"/>
          <w:spacing w:val="7"/>
          <w:sz w:val="23"/>
          <w:szCs w:val="23"/>
        </w:rPr>
        <w:t>米。全区平原很少，</w:t>
      </w:r>
      <w:r>
        <w:rPr>
          <w:rFonts w:ascii="宋体" w:hAnsi="宋体" w:eastAsia="宋体" w:cs="宋体"/>
          <w:sz w:val="23"/>
          <w:szCs w:val="23"/>
        </w:rPr>
        <w:t xml:space="preserve"> </w:t>
      </w:r>
      <w:r>
        <w:rPr>
          <w:rFonts w:ascii="宋体" w:hAnsi="宋体" w:eastAsia="宋体" w:cs="宋体"/>
          <w:spacing w:val="4"/>
          <w:sz w:val="23"/>
          <w:szCs w:val="23"/>
        </w:rPr>
        <w:t>大部分是丘陵坡</w:t>
      </w:r>
      <w:r>
        <w:rPr>
          <w:rFonts w:ascii="宋体" w:hAnsi="宋体" w:eastAsia="宋体" w:cs="宋体"/>
          <w:spacing w:val="2"/>
          <w:sz w:val="23"/>
          <w:szCs w:val="23"/>
        </w:rPr>
        <w:t xml:space="preserve">地，山地占 </w:t>
      </w:r>
      <w:r>
        <w:rPr>
          <w:rFonts w:ascii="Times New Roman" w:hAnsi="Times New Roman" w:eastAsia="Times New Roman" w:cs="Times New Roman"/>
          <w:spacing w:val="2"/>
          <w:sz w:val="23"/>
          <w:szCs w:val="23"/>
        </w:rPr>
        <w:t xml:space="preserve">80% </w:t>
      </w:r>
      <w:r>
        <w:rPr>
          <w:rFonts w:ascii="宋体" w:hAnsi="宋体" w:eastAsia="宋体" w:cs="宋体"/>
          <w:spacing w:val="2"/>
          <w:sz w:val="23"/>
          <w:szCs w:val="23"/>
        </w:rPr>
        <w:t xml:space="preserve">，耕地占 </w:t>
      </w:r>
      <w:r>
        <w:rPr>
          <w:rFonts w:ascii="Times New Roman" w:hAnsi="Times New Roman" w:eastAsia="Times New Roman" w:cs="Times New Roman"/>
          <w:spacing w:val="2"/>
          <w:sz w:val="23"/>
          <w:szCs w:val="23"/>
        </w:rPr>
        <w:t xml:space="preserve">8% </w:t>
      </w:r>
      <w:r>
        <w:rPr>
          <w:rFonts w:ascii="宋体" w:hAnsi="宋体" w:eastAsia="宋体" w:cs="宋体"/>
          <w:spacing w:val="2"/>
          <w:sz w:val="23"/>
          <w:szCs w:val="23"/>
        </w:rPr>
        <w:t>，其余主要是河道和水面，地面构</w:t>
      </w:r>
      <w:r>
        <w:rPr>
          <w:rFonts w:ascii="宋体" w:hAnsi="宋体" w:eastAsia="宋体" w:cs="宋体"/>
          <w:sz w:val="23"/>
          <w:szCs w:val="23"/>
        </w:rPr>
        <w:t xml:space="preserve"> </w:t>
      </w:r>
      <w:r>
        <w:rPr>
          <w:rFonts w:ascii="宋体" w:hAnsi="宋体" w:eastAsia="宋体" w:cs="宋体"/>
          <w:spacing w:val="8"/>
          <w:sz w:val="23"/>
          <w:szCs w:val="23"/>
        </w:rPr>
        <w:t>成素有</w:t>
      </w:r>
      <w:r>
        <w:rPr>
          <w:rFonts w:ascii="Times New Roman" w:hAnsi="Times New Roman" w:eastAsia="Times New Roman" w:cs="Times New Roman"/>
          <w:spacing w:val="8"/>
          <w:sz w:val="23"/>
          <w:szCs w:val="23"/>
        </w:rPr>
        <w:t>“</w:t>
      </w:r>
      <w:r>
        <w:rPr>
          <w:rFonts w:ascii="宋体" w:hAnsi="宋体" w:eastAsia="宋体" w:cs="宋体"/>
          <w:spacing w:val="8"/>
          <w:sz w:val="23"/>
          <w:szCs w:val="23"/>
        </w:rPr>
        <w:t>八山一水一分田</w:t>
      </w:r>
      <w:r>
        <w:rPr>
          <w:rFonts w:ascii="Times New Roman" w:hAnsi="Times New Roman" w:eastAsia="Times New Roman" w:cs="Times New Roman"/>
          <w:spacing w:val="8"/>
          <w:sz w:val="23"/>
          <w:szCs w:val="23"/>
        </w:rPr>
        <w:t>”</w:t>
      </w:r>
      <w:r>
        <w:rPr>
          <w:rFonts w:ascii="宋体" w:hAnsi="宋体" w:eastAsia="宋体" w:cs="宋体"/>
          <w:spacing w:val="8"/>
          <w:sz w:val="23"/>
          <w:szCs w:val="23"/>
        </w:rPr>
        <w:t>之称</w:t>
      </w:r>
      <w:r>
        <w:rPr>
          <w:rFonts w:ascii="宋体" w:hAnsi="宋体" w:eastAsia="宋体" w:cs="宋体"/>
          <w:spacing w:val="6"/>
          <w:sz w:val="23"/>
          <w:szCs w:val="23"/>
        </w:rPr>
        <w:t>。</w:t>
      </w:r>
    </w:p>
    <w:p w14:paraId="363CC299">
      <w:pPr>
        <w:spacing w:before="121" w:line="226" w:lineRule="auto"/>
        <w:ind w:left="21"/>
        <w:outlineLvl w:val="2"/>
        <w:rPr>
          <w:rFonts w:ascii="宋体" w:hAnsi="宋体" w:eastAsia="宋体" w:cs="宋体"/>
          <w:sz w:val="29"/>
          <w:szCs w:val="29"/>
        </w:rPr>
      </w:pPr>
      <w:r>
        <w:rPr>
          <w:rFonts w:ascii="Times New Roman" w:hAnsi="Times New Roman" w:eastAsia="Times New Roman" w:cs="Times New Roman"/>
          <w:b/>
          <w:bCs/>
          <w:spacing w:val="6"/>
          <w:sz w:val="29"/>
          <w:szCs w:val="29"/>
        </w:rPr>
        <w:t>4.1.3</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气候与气</w:t>
      </w:r>
      <w:r>
        <w:rPr>
          <w:rFonts w:ascii="宋体" w:hAnsi="宋体" w:eastAsia="宋体" w:cs="宋体"/>
          <w:spacing w:val="5"/>
          <w:sz w:val="29"/>
          <w:szCs w:val="29"/>
          <w14:textOutline w14:w="5448" w14:cap="sq" w14:cmpd="sng">
            <w14:solidFill>
              <w14:srgbClr w14:val="000000"/>
            </w14:solidFill>
            <w14:prstDash w14:val="solid"/>
            <w14:bevel/>
          </w14:textOutline>
        </w:rPr>
        <w:t>象</w:t>
      </w:r>
    </w:p>
    <w:p w14:paraId="63650D41">
      <w:pPr>
        <w:spacing w:line="258" w:lineRule="auto"/>
        <w:rPr>
          <w:rFonts w:ascii="Arial"/>
          <w:sz w:val="21"/>
        </w:rPr>
      </w:pPr>
    </w:p>
    <w:p w14:paraId="0737130F">
      <w:pPr>
        <w:spacing w:before="75" w:line="385" w:lineRule="auto"/>
        <w:ind w:left="22" w:right="61" w:firstLine="480"/>
        <w:rPr>
          <w:rFonts w:ascii="宋体" w:hAnsi="宋体" w:eastAsia="宋体" w:cs="宋体"/>
          <w:sz w:val="23"/>
          <w:szCs w:val="23"/>
        </w:rPr>
      </w:pPr>
      <w:r>
        <w:rPr>
          <w:rFonts w:ascii="宋体" w:hAnsi="宋体" w:eastAsia="宋体" w:cs="宋体"/>
          <w:spacing w:val="7"/>
          <w:sz w:val="23"/>
          <w:szCs w:val="23"/>
        </w:rPr>
        <w:t>溪湖属大陆性气候，受西伯利亚和蒙古冷空气的影响，寒暑变化剧烈，四</w:t>
      </w:r>
      <w:r>
        <w:rPr>
          <w:rFonts w:ascii="宋体" w:hAnsi="宋体" w:eastAsia="宋体" w:cs="宋体"/>
          <w:spacing w:val="3"/>
          <w:sz w:val="23"/>
          <w:szCs w:val="23"/>
        </w:rPr>
        <w:t>季</w:t>
      </w:r>
      <w:r>
        <w:rPr>
          <w:rFonts w:ascii="宋体" w:hAnsi="宋体" w:eastAsia="宋体" w:cs="宋体"/>
          <w:sz w:val="23"/>
          <w:szCs w:val="23"/>
        </w:rPr>
        <w:t xml:space="preserve"> </w:t>
      </w:r>
      <w:r>
        <w:rPr>
          <w:rFonts w:ascii="宋体" w:hAnsi="宋体" w:eastAsia="宋体" w:cs="宋体"/>
          <w:spacing w:val="8"/>
          <w:sz w:val="23"/>
          <w:szCs w:val="23"/>
        </w:rPr>
        <w:t>分明。</w:t>
      </w:r>
      <w:r>
        <w:rPr>
          <w:rFonts w:ascii="宋体" w:hAnsi="宋体" w:eastAsia="宋体" w:cs="宋体"/>
          <w:spacing w:val="7"/>
          <w:sz w:val="23"/>
          <w:szCs w:val="23"/>
        </w:rPr>
        <w:t>一</w:t>
      </w:r>
      <w:r>
        <w:rPr>
          <w:rFonts w:ascii="宋体" w:hAnsi="宋体" w:eastAsia="宋体" w:cs="宋体"/>
          <w:spacing w:val="4"/>
          <w:sz w:val="23"/>
          <w:szCs w:val="23"/>
        </w:rPr>
        <w:t xml:space="preserve">月份平均气温为零下 </w:t>
      </w:r>
      <w:r>
        <w:rPr>
          <w:rFonts w:ascii="Times New Roman" w:hAnsi="Times New Roman" w:eastAsia="Times New Roman" w:cs="Times New Roman"/>
          <w:spacing w:val="4"/>
          <w:sz w:val="23"/>
          <w:szCs w:val="23"/>
        </w:rPr>
        <w:t xml:space="preserve">12℃ </w:t>
      </w:r>
      <w:r>
        <w:rPr>
          <w:rFonts w:ascii="宋体" w:hAnsi="宋体" w:eastAsia="宋体" w:cs="宋体"/>
          <w:spacing w:val="4"/>
          <w:sz w:val="23"/>
          <w:szCs w:val="23"/>
        </w:rPr>
        <w:t xml:space="preserve">，七月份平均气温为 </w:t>
      </w:r>
      <w:r>
        <w:rPr>
          <w:rFonts w:ascii="Times New Roman" w:hAnsi="Times New Roman" w:eastAsia="Times New Roman" w:cs="Times New Roman"/>
          <w:spacing w:val="4"/>
          <w:sz w:val="23"/>
          <w:szCs w:val="23"/>
        </w:rPr>
        <w:t xml:space="preserve">24.3℃ </w:t>
      </w:r>
      <w:r>
        <w:rPr>
          <w:rFonts w:ascii="宋体" w:hAnsi="宋体" w:eastAsia="宋体" w:cs="宋体"/>
          <w:spacing w:val="4"/>
          <w:sz w:val="23"/>
          <w:szCs w:val="23"/>
        </w:rPr>
        <w:t>，冬季最低温度</w:t>
      </w:r>
      <w:r>
        <w:rPr>
          <w:rFonts w:ascii="宋体" w:hAnsi="宋体" w:eastAsia="宋体" w:cs="宋体"/>
          <w:sz w:val="23"/>
          <w:szCs w:val="23"/>
        </w:rPr>
        <w:t xml:space="preserve"> </w:t>
      </w:r>
      <w:r>
        <w:rPr>
          <w:rFonts w:ascii="宋体" w:hAnsi="宋体" w:eastAsia="宋体" w:cs="宋体"/>
          <w:spacing w:val="1"/>
          <w:sz w:val="23"/>
          <w:szCs w:val="23"/>
        </w:rPr>
        <w:t xml:space="preserve">零下 </w:t>
      </w:r>
      <w:r>
        <w:rPr>
          <w:rFonts w:ascii="Times New Roman" w:hAnsi="Times New Roman" w:eastAsia="Times New Roman" w:cs="Times New Roman"/>
          <w:spacing w:val="1"/>
          <w:sz w:val="23"/>
          <w:szCs w:val="23"/>
        </w:rPr>
        <w:t>32.</w:t>
      </w:r>
      <w:r>
        <w:rPr>
          <w:rFonts w:ascii="Times New Roman" w:hAnsi="Times New Roman" w:eastAsia="Times New Roman" w:cs="Times New Roman"/>
          <w:sz w:val="23"/>
          <w:szCs w:val="23"/>
        </w:rPr>
        <w:t xml:space="preserve">3℃ </w:t>
      </w:r>
      <w:r>
        <w:rPr>
          <w:rFonts w:ascii="宋体" w:hAnsi="宋体" w:eastAsia="宋体" w:cs="宋体"/>
          <w:sz w:val="23"/>
          <w:szCs w:val="23"/>
        </w:rPr>
        <w:t xml:space="preserve">，全年平均气温为 </w:t>
      </w:r>
      <w:r>
        <w:rPr>
          <w:rFonts w:ascii="Times New Roman" w:hAnsi="Times New Roman" w:eastAsia="Times New Roman" w:cs="Times New Roman"/>
          <w:sz w:val="23"/>
          <w:szCs w:val="23"/>
        </w:rPr>
        <w:t xml:space="preserve">7.8℃ </w:t>
      </w:r>
      <w:r>
        <w:rPr>
          <w:rFonts w:ascii="宋体" w:hAnsi="宋体" w:eastAsia="宋体" w:cs="宋体"/>
          <w:sz w:val="23"/>
          <w:szCs w:val="23"/>
        </w:rPr>
        <w:t xml:space="preserve">。全年无霜期平均为 </w:t>
      </w:r>
      <w:r>
        <w:rPr>
          <w:rFonts w:ascii="Times New Roman" w:hAnsi="Times New Roman" w:eastAsia="Times New Roman" w:cs="Times New Roman"/>
          <w:sz w:val="23"/>
          <w:szCs w:val="23"/>
        </w:rPr>
        <w:t xml:space="preserve">156 </w:t>
      </w:r>
      <w:r>
        <w:rPr>
          <w:rFonts w:ascii="宋体" w:hAnsi="宋体" w:eastAsia="宋体" w:cs="宋体"/>
          <w:sz w:val="23"/>
          <w:szCs w:val="23"/>
        </w:rPr>
        <w:t xml:space="preserve">天，冰冻期 </w:t>
      </w:r>
      <w:r>
        <w:rPr>
          <w:rFonts w:ascii="Times New Roman" w:hAnsi="Times New Roman" w:eastAsia="Times New Roman" w:cs="Times New Roman"/>
          <w:sz w:val="23"/>
          <w:szCs w:val="23"/>
        </w:rPr>
        <w:t xml:space="preserve">5 </w:t>
      </w:r>
      <w:r>
        <w:rPr>
          <w:rFonts w:ascii="宋体" w:hAnsi="宋体" w:eastAsia="宋体" w:cs="宋体"/>
          <w:sz w:val="23"/>
          <w:szCs w:val="23"/>
        </w:rPr>
        <w:t xml:space="preserve">个月 </w:t>
      </w:r>
      <w:r>
        <w:rPr>
          <w:rFonts w:ascii="宋体" w:hAnsi="宋体" w:eastAsia="宋体" w:cs="宋体"/>
          <w:spacing w:val="6"/>
          <w:sz w:val="23"/>
          <w:szCs w:val="23"/>
        </w:rPr>
        <w:t>左右</w:t>
      </w:r>
      <w:r>
        <w:rPr>
          <w:rFonts w:ascii="宋体" w:hAnsi="宋体" w:eastAsia="宋体" w:cs="宋体"/>
          <w:spacing w:val="3"/>
          <w:sz w:val="23"/>
          <w:szCs w:val="23"/>
        </w:rPr>
        <w:t xml:space="preserve">，年平均降雨量为 </w:t>
      </w:r>
      <w:r>
        <w:rPr>
          <w:rFonts w:ascii="Times New Roman" w:hAnsi="Times New Roman" w:eastAsia="Times New Roman" w:cs="Times New Roman"/>
          <w:spacing w:val="3"/>
          <w:sz w:val="23"/>
          <w:szCs w:val="23"/>
        </w:rPr>
        <w:t>793.7</w:t>
      </w:r>
      <w:r>
        <w:rPr>
          <w:rFonts w:ascii="Times New Roman" w:hAnsi="Times New Roman" w:eastAsia="Times New Roman" w:cs="Times New Roman"/>
          <w:sz w:val="23"/>
          <w:szCs w:val="23"/>
        </w:rPr>
        <w:t>mm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，降雨最多集中的七、八两个月。全年日照时数</w:t>
      </w:r>
      <w:r>
        <w:rPr>
          <w:rFonts w:ascii="宋体" w:hAnsi="宋体" w:eastAsia="宋体" w:cs="宋体"/>
          <w:sz w:val="23"/>
          <w:szCs w:val="23"/>
        </w:rPr>
        <w:t xml:space="preserve"> </w:t>
      </w:r>
      <w:r>
        <w:rPr>
          <w:rFonts w:ascii="宋体" w:hAnsi="宋体" w:eastAsia="宋体" w:cs="宋体"/>
          <w:spacing w:val="1"/>
          <w:sz w:val="23"/>
          <w:szCs w:val="23"/>
        </w:rPr>
        <w:t xml:space="preserve">平均 </w:t>
      </w:r>
      <w:r>
        <w:rPr>
          <w:rFonts w:ascii="Times New Roman" w:hAnsi="Times New Roman" w:eastAsia="Times New Roman" w:cs="Times New Roman"/>
          <w:spacing w:val="1"/>
          <w:sz w:val="23"/>
          <w:szCs w:val="23"/>
        </w:rPr>
        <w:t xml:space="preserve">2400 </w:t>
      </w:r>
      <w:r>
        <w:rPr>
          <w:rFonts w:ascii="宋体" w:hAnsi="宋体" w:eastAsia="宋体" w:cs="宋体"/>
          <w:spacing w:val="1"/>
          <w:sz w:val="23"/>
          <w:szCs w:val="23"/>
        </w:rPr>
        <w:t xml:space="preserve">小时， 日照时间占可照时间的 </w:t>
      </w:r>
      <w:r>
        <w:rPr>
          <w:rFonts w:ascii="Times New Roman" w:hAnsi="Times New Roman" w:eastAsia="Times New Roman" w:cs="Times New Roman"/>
          <w:spacing w:val="1"/>
          <w:sz w:val="23"/>
          <w:szCs w:val="23"/>
        </w:rPr>
        <w:t xml:space="preserve">50-55% </w:t>
      </w:r>
      <w:r>
        <w:rPr>
          <w:rFonts w:ascii="宋体" w:hAnsi="宋体" w:eastAsia="宋体" w:cs="宋体"/>
          <w:spacing w:val="1"/>
          <w:sz w:val="23"/>
          <w:szCs w:val="23"/>
        </w:rPr>
        <w:t>。平均活</w:t>
      </w:r>
      <w:r>
        <w:rPr>
          <w:rFonts w:ascii="宋体" w:hAnsi="宋体" w:eastAsia="宋体" w:cs="宋体"/>
          <w:sz w:val="23"/>
          <w:szCs w:val="23"/>
        </w:rPr>
        <w:t xml:space="preserve">动积温为 </w:t>
      </w:r>
      <w:r>
        <w:rPr>
          <w:rFonts w:ascii="Times New Roman" w:hAnsi="Times New Roman" w:eastAsia="Times New Roman" w:cs="Times New Roman"/>
          <w:sz w:val="23"/>
          <w:szCs w:val="23"/>
        </w:rPr>
        <w:t xml:space="preserve">3200℃ </w:t>
      </w:r>
      <w:r>
        <w:rPr>
          <w:rFonts w:ascii="宋体" w:hAnsi="宋体" w:eastAsia="宋体" w:cs="宋体"/>
          <w:sz w:val="23"/>
          <w:szCs w:val="23"/>
        </w:rPr>
        <w:t xml:space="preserve">，月 </w:t>
      </w:r>
      <w:r>
        <w:rPr>
          <w:rFonts w:ascii="宋体" w:hAnsi="宋体" w:eastAsia="宋体" w:cs="宋体"/>
          <w:spacing w:val="6"/>
          <w:sz w:val="23"/>
          <w:szCs w:val="23"/>
        </w:rPr>
        <w:t>平</w:t>
      </w:r>
      <w:r>
        <w:rPr>
          <w:rFonts w:ascii="宋体" w:hAnsi="宋体" w:eastAsia="宋体" w:cs="宋体"/>
          <w:spacing w:val="3"/>
          <w:sz w:val="23"/>
          <w:szCs w:val="23"/>
        </w:rPr>
        <w:t xml:space="preserve">均温度 </w:t>
      </w:r>
      <w:r>
        <w:rPr>
          <w:rFonts w:ascii="Times New Roman" w:hAnsi="Times New Roman" w:eastAsia="Times New Roman" w:cs="Times New Roman"/>
          <w:spacing w:val="3"/>
          <w:sz w:val="23"/>
          <w:szCs w:val="23"/>
        </w:rPr>
        <w:t xml:space="preserve">9℃ </w:t>
      </w:r>
      <w:r>
        <w:rPr>
          <w:rFonts w:ascii="宋体" w:hAnsi="宋体" w:eastAsia="宋体" w:cs="宋体"/>
          <w:spacing w:val="3"/>
          <w:sz w:val="23"/>
          <w:szCs w:val="23"/>
        </w:rPr>
        <w:t xml:space="preserve">，积雪最深 </w:t>
      </w:r>
      <w:r>
        <w:rPr>
          <w:rFonts w:ascii="Times New Roman" w:hAnsi="Times New Roman" w:eastAsia="Times New Roman" w:cs="Times New Roman"/>
          <w:spacing w:val="3"/>
          <w:sz w:val="23"/>
          <w:szCs w:val="23"/>
        </w:rPr>
        <w:t>25</w:t>
      </w:r>
      <w:r>
        <w:rPr>
          <w:rFonts w:ascii="Times New Roman" w:hAnsi="Times New Roman" w:eastAsia="Times New Roman" w:cs="Times New Roman"/>
          <w:sz w:val="23"/>
          <w:szCs w:val="23"/>
        </w:rPr>
        <w:t>cm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左右，年平均蒸发量 </w:t>
      </w:r>
      <w:r>
        <w:rPr>
          <w:rFonts w:ascii="Times New Roman" w:hAnsi="Times New Roman" w:eastAsia="Times New Roman" w:cs="Times New Roman"/>
          <w:spacing w:val="3"/>
          <w:sz w:val="23"/>
          <w:szCs w:val="23"/>
        </w:rPr>
        <w:t>1600</w:t>
      </w:r>
      <w:r>
        <w:rPr>
          <w:rFonts w:ascii="Times New Roman" w:hAnsi="Times New Roman" w:eastAsia="Times New Roman" w:cs="Times New Roman"/>
          <w:sz w:val="23"/>
          <w:szCs w:val="23"/>
        </w:rPr>
        <w:t>mm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，全年主导风向为</w:t>
      </w:r>
      <w:r>
        <w:rPr>
          <w:rFonts w:ascii="宋体" w:hAnsi="宋体" w:eastAsia="宋体" w:cs="宋体"/>
          <w:sz w:val="23"/>
          <w:szCs w:val="23"/>
        </w:rPr>
        <w:t xml:space="preserve"> </w:t>
      </w:r>
      <w:r>
        <w:rPr>
          <w:rFonts w:ascii="宋体" w:hAnsi="宋体" w:eastAsia="宋体" w:cs="宋体"/>
          <w:spacing w:val="6"/>
          <w:sz w:val="23"/>
          <w:szCs w:val="23"/>
        </w:rPr>
        <w:t>北风，次导风向为东</w:t>
      </w:r>
      <w:r>
        <w:rPr>
          <w:rFonts w:ascii="宋体" w:hAnsi="宋体" w:eastAsia="宋体" w:cs="宋体"/>
          <w:spacing w:val="4"/>
          <w:sz w:val="23"/>
          <w:szCs w:val="23"/>
        </w:rPr>
        <w:t>南</w:t>
      </w:r>
      <w:r>
        <w:rPr>
          <w:rFonts w:ascii="宋体" w:hAnsi="宋体" w:eastAsia="宋体" w:cs="宋体"/>
          <w:spacing w:val="3"/>
          <w:sz w:val="23"/>
          <w:szCs w:val="23"/>
        </w:rPr>
        <w:t xml:space="preserve">风，频率分别为 </w:t>
      </w:r>
      <w:r>
        <w:rPr>
          <w:rFonts w:ascii="Times New Roman" w:hAnsi="Times New Roman" w:eastAsia="Times New Roman" w:cs="Times New Roman"/>
          <w:spacing w:val="3"/>
          <w:sz w:val="23"/>
          <w:szCs w:val="23"/>
        </w:rPr>
        <w:t>9.67%</w:t>
      </w:r>
      <w:r>
        <w:rPr>
          <w:rFonts w:ascii="宋体" w:hAnsi="宋体" w:eastAsia="宋体" w:cs="宋体"/>
          <w:spacing w:val="3"/>
          <w:sz w:val="23"/>
          <w:szCs w:val="23"/>
        </w:rPr>
        <w:t xml:space="preserve">和 </w:t>
      </w:r>
      <w:r>
        <w:rPr>
          <w:rFonts w:ascii="Times New Roman" w:hAnsi="Times New Roman" w:eastAsia="Times New Roman" w:cs="Times New Roman"/>
          <w:spacing w:val="3"/>
          <w:sz w:val="23"/>
          <w:szCs w:val="23"/>
        </w:rPr>
        <w:t xml:space="preserve">9.50% </w:t>
      </w:r>
      <w:r>
        <w:rPr>
          <w:rFonts w:ascii="宋体" w:hAnsi="宋体" w:eastAsia="宋体" w:cs="宋体"/>
          <w:spacing w:val="3"/>
          <w:sz w:val="23"/>
          <w:szCs w:val="23"/>
        </w:rPr>
        <w:t>，冬季盛行北风，频率为</w:t>
      </w:r>
      <w:r>
        <w:rPr>
          <w:rFonts w:ascii="宋体" w:hAnsi="宋体" w:eastAsia="宋体" w:cs="宋体"/>
          <w:sz w:val="23"/>
          <w:szCs w:val="23"/>
        </w:rPr>
        <w:t xml:space="preserve"> </w:t>
      </w:r>
      <w:r>
        <w:rPr>
          <w:rFonts w:ascii="Times New Roman" w:hAnsi="Times New Roman" w:eastAsia="Times New Roman" w:cs="Times New Roman"/>
          <w:spacing w:val="2"/>
          <w:sz w:val="23"/>
          <w:szCs w:val="23"/>
        </w:rPr>
        <w:t>11.00</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，夏季盛行西南风，频率为 </w:t>
      </w:r>
      <w:r>
        <w:rPr>
          <w:rFonts w:ascii="Times New Roman" w:hAnsi="Times New Roman" w:eastAsia="Times New Roman" w:cs="Times New Roman"/>
          <w:spacing w:val="1"/>
          <w:sz w:val="23"/>
          <w:szCs w:val="23"/>
        </w:rPr>
        <w:t xml:space="preserve">11. 14% </w:t>
      </w:r>
      <w:r>
        <w:rPr>
          <w:rFonts w:ascii="宋体" w:hAnsi="宋体" w:eastAsia="宋体" w:cs="宋体"/>
          <w:spacing w:val="1"/>
          <w:sz w:val="23"/>
          <w:szCs w:val="23"/>
        </w:rPr>
        <w:t xml:space="preserve">。全年平均风速为 </w:t>
      </w:r>
      <w:r>
        <w:rPr>
          <w:rFonts w:ascii="Times New Roman" w:hAnsi="Times New Roman" w:eastAsia="Times New Roman" w:cs="Times New Roman"/>
          <w:spacing w:val="1"/>
          <w:sz w:val="23"/>
          <w:szCs w:val="23"/>
        </w:rPr>
        <w:t>2.7</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，四月份平</w:t>
      </w:r>
      <w:r>
        <w:rPr>
          <w:rFonts w:ascii="宋体" w:hAnsi="宋体" w:eastAsia="宋体" w:cs="宋体"/>
          <w:sz w:val="23"/>
          <w:szCs w:val="23"/>
        </w:rPr>
        <w:t xml:space="preserve"> </w:t>
      </w:r>
      <w:r>
        <w:rPr>
          <w:rFonts w:ascii="宋体" w:hAnsi="宋体" w:eastAsia="宋体" w:cs="宋体"/>
          <w:spacing w:val="1"/>
          <w:sz w:val="23"/>
          <w:szCs w:val="23"/>
        </w:rPr>
        <w:t xml:space="preserve">均风速最大，为 </w:t>
      </w:r>
      <w:r>
        <w:rPr>
          <w:rFonts w:ascii="Times New Roman" w:hAnsi="Times New Roman" w:eastAsia="Times New Roman" w:cs="Times New Roman"/>
          <w:spacing w:val="1"/>
          <w:sz w:val="23"/>
          <w:szCs w:val="23"/>
        </w:rPr>
        <w:t>4.0</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，八、九月份平均风速最小，为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 xml:space="preserve"> 1m/s</w:t>
      </w:r>
      <w:r>
        <w:rPr>
          <w:rFonts w:ascii="宋体" w:hAnsi="宋体" w:eastAsia="宋体" w:cs="宋体"/>
          <w:sz w:val="23"/>
          <w:szCs w:val="23"/>
        </w:rPr>
        <w:t>。</w:t>
      </w:r>
    </w:p>
    <w:p w14:paraId="10D95DA9">
      <w:pPr>
        <w:spacing w:before="106" w:line="226" w:lineRule="auto"/>
        <w:ind w:left="21"/>
        <w:outlineLvl w:val="2"/>
        <w:rPr>
          <w:rFonts w:ascii="宋体" w:hAnsi="宋体" w:eastAsia="宋体" w:cs="宋体"/>
          <w:sz w:val="29"/>
          <w:szCs w:val="29"/>
        </w:rPr>
      </w:pPr>
      <w:r>
        <w:rPr>
          <w:rFonts w:ascii="Times New Roman" w:hAnsi="Times New Roman" w:eastAsia="Times New Roman" w:cs="Times New Roman"/>
          <w:b/>
          <w:bCs/>
          <w:spacing w:val="8"/>
          <w:sz w:val="29"/>
          <w:szCs w:val="29"/>
        </w:rPr>
        <w:t>4</w:t>
      </w:r>
      <w:r>
        <w:rPr>
          <w:rFonts w:ascii="Times New Roman" w:hAnsi="Times New Roman" w:eastAsia="Times New Roman" w:cs="Times New Roman"/>
          <w:b/>
          <w:bCs/>
          <w:spacing w:val="5"/>
          <w:sz w:val="29"/>
          <w:szCs w:val="29"/>
        </w:rPr>
        <w:t>.1.4</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水文特征</w:t>
      </w:r>
    </w:p>
    <w:p w14:paraId="253BD0E3">
      <w:pPr>
        <w:spacing w:line="256" w:lineRule="auto"/>
        <w:rPr>
          <w:rFonts w:ascii="Arial"/>
          <w:sz w:val="21"/>
        </w:rPr>
      </w:pPr>
    </w:p>
    <w:p w14:paraId="10252D0E">
      <w:pPr>
        <w:spacing w:before="75" w:line="393" w:lineRule="auto"/>
        <w:ind w:left="22" w:right="63" w:firstLine="481"/>
        <w:rPr>
          <w:rFonts w:ascii="Times New Roman" w:hAnsi="Times New Roman" w:eastAsia="Times New Roman" w:cs="Times New Roman"/>
          <w:sz w:val="23"/>
          <w:szCs w:val="23"/>
        </w:rPr>
      </w:pPr>
      <w:r>
        <w:rPr>
          <w:rFonts w:ascii="宋体" w:hAnsi="宋体" w:eastAsia="宋体" w:cs="宋体"/>
          <w:spacing w:val="8"/>
          <w:sz w:val="23"/>
          <w:szCs w:val="23"/>
        </w:rPr>
        <w:t>本地</w:t>
      </w:r>
      <w:r>
        <w:rPr>
          <w:rFonts w:ascii="宋体" w:hAnsi="宋体" w:eastAsia="宋体" w:cs="宋体"/>
          <w:spacing w:val="4"/>
          <w:sz w:val="23"/>
          <w:szCs w:val="23"/>
        </w:rPr>
        <w:t xml:space="preserve">区地表水系为太子河，太子河全长 </w:t>
      </w:r>
      <w:r>
        <w:rPr>
          <w:rFonts w:ascii="Times New Roman" w:hAnsi="Times New Roman" w:eastAsia="Times New Roman" w:cs="Times New Roman"/>
          <w:spacing w:val="4"/>
          <w:sz w:val="23"/>
          <w:szCs w:val="23"/>
        </w:rPr>
        <w:t xml:space="preserve">464 </w:t>
      </w:r>
      <w:r>
        <w:rPr>
          <w:rFonts w:ascii="宋体" w:hAnsi="宋体" w:eastAsia="宋体" w:cs="宋体"/>
          <w:spacing w:val="4"/>
          <w:sz w:val="23"/>
          <w:szCs w:val="23"/>
        </w:rPr>
        <w:t xml:space="preserve">公里，流经本溪 </w:t>
      </w:r>
      <w:r>
        <w:rPr>
          <w:rFonts w:ascii="Times New Roman" w:hAnsi="Times New Roman" w:eastAsia="Times New Roman" w:cs="Times New Roman"/>
          <w:spacing w:val="4"/>
          <w:sz w:val="23"/>
          <w:szCs w:val="23"/>
        </w:rPr>
        <w:t xml:space="preserve">173.2 </w:t>
      </w:r>
      <w:r>
        <w:rPr>
          <w:rFonts w:ascii="宋体" w:hAnsi="宋体" w:eastAsia="宋体" w:cs="宋体"/>
          <w:spacing w:val="4"/>
          <w:sz w:val="23"/>
          <w:szCs w:val="23"/>
        </w:rPr>
        <w:t>公里。根</w:t>
      </w:r>
      <w:r>
        <w:rPr>
          <w:rFonts w:ascii="宋体" w:hAnsi="宋体" w:eastAsia="宋体" w:cs="宋体"/>
          <w:sz w:val="23"/>
          <w:szCs w:val="23"/>
        </w:rPr>
        <w:t xml:space="preserve"> </w:t>
      </w:r>
      <w:r>
        <w:rPr>
          <w:rFonts w:ascii="宋体" w:hAnsi="宋体" w:eastAsia="宋体" w:cs="宋体"/>
          <w:spacing w:val="12"/>
          <w:sz w:val="23"/>
          <w:szCs w:val="23"/>
        </w:rPr>
        <w:t>据本溪</w:t>
      </w:r>
      <w:r>
        <w:rPr>
          <w:rFonts w:ascii="宋体" w:hAnsi="宋体" w:eastAsia="宋体" w:cs="宋体"/>
          <w:spacing w:val="7"/>
          <w:sz w:val="23"/>
          <w:szCs w:val="23"/>
        </w:rPr>
        <w:t>市</w:t>
      </w:r>
      <w:r>
        <w:rPr>
          <w:rFonts w:ascii="宋体" w:hAnsi="宋体" w:eastAsia="宋体" w:cs="宋体"/>
          <w:spacing w:val="6"/>
          <w:sz w:val="23"/>
          <w:szCs w:val="23"/>
        </w:rPr>
        <w:t xml:space="preserve">水文站近年观测资料，太子河年平均流量 </w:t>
      </w:r>
      <w:r>
        <w:rPr>
          <w:rFonts w:ascii="Times New Roman" w:hAnsi="Times New Roman" w:eastAsia="Times New Roman" w:cs="Times New Roman"/>
          <w:spacing w:val="6"/>
          <w:sz w:val="23"/>
          <w:szCs w:val="23"/>
        </w:rPr>
        <w:t>26.5-96</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s</w:t>
      </w:r>
    </w:p>
    <w:p w14:paraId="21B12F75">
      <w:pPr>
        <w:spacing w:before="138" w:line="386" w:lineRule="auto"/>
        <w:ind w:left="23" w:firstLine="480"/>
        <w:rPr>
          <w:rFonts w:ascii="宋体" w:hAnsi="宋体" w:eastAsia="宋体" w:cs="宋体"/>
          <w:sz w:val="23"/>
          <w:szCs w:val="23"/>
        </w:rPr>
      </w:pPr>
      <w:r>
        <w:rPr>
          <w:rFonts w:ascii="宋体" w:hAnsi="宋体" w:eastAsia="宋体" w:cs="宋体"/>
          <w:spacing w:val="7"/>
          <w:sz w:val="23"/>
          <w:szCs w:val="23"/>
        </w:rPr>
        <w:t>本区地下水主要是第四系松散层中的孔隙潜水，含水层以砂砾石为主，分</w:t>
      </w:r>
      <w:r>
        <w:rPr>
          <w:rFonts w:ascii="宋体" w:hAnsi="宋体" w:eastAsia="宋体" w:cs="宋体"/>
          <w:spacing w:val="2"/>
          <w:sz w:val="23"/>
          <w:szCs w:val="23"/>
        </w:rPr>
        <w:t>布</w:t>
      </w:r>
      <w:r>
        <w:rPr>
          <w:rFonts w:ascii="宋体" w:hAnsi="宋体" w:eastAsia="宋体" w:cs="宋体"/>
          <w:sz w:val="23"/>
          <w:szCs w:val="23"/>
        </w:rPr>
        <w:t xml:space="preserve"> </w:t>
      </w:r>
      <w:r>
        <w:rPr>
          <w:rFonts w:ascii="宋体" w:hAnsi="宋体" w:eastAsia="宋体" w:cs="宋体"/>
          <w:spacing w:val="4"/>
          <w:sz w:val="23"/>
          <w:szCs w:val="23"/>
        </w:rPr>
        <w:t>于漫滩和阶地。该层孔</w:t>
      </w:r>
      <w:r>
        <w:rPr>
          <w:rFonts w:ascii="宋体" w:hAnsi="宋体" w:eastAsia="宋体" w:cs="宋体"/>
          <w:spacing w:val="2"/>
          <w:sz w:val="23"/>
          <w:szCs w:val="23"/>
        </w:rPr>
        <w:t xml:space="preserve">隙发育，透水性、富水性强，渗透系数为 </w:t>
      </w:r>
      <w:r>
        <w:rPr>
          <w:rFonts w:ascii="Times New Roman" w:hAnsi="Times New Roman" w:eastAsia="Times New Roman" w:cs="Times New Roman"/>
          <w:spacing w:val="2"/>
          <w:sz w:val="23"/>
          <w:szCs w:val="23"/>
        </w:rPr>
        <w:t>42. 1- 115.8</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9"/>
          <w:sz w:val="23"/>
          <w:szCs w:val="23"/>
        </w:rPr>
        <w:t>含</w:t>
      </w:r>
      <w:r>
        <w:rPr>
          <w:rFonts w:ascii="宋体" w:hAnsi="宋体" w:eastAsia="宋体" w:cs="宋体"/>
          <w:spacing w:val="7"/>
          <w:sz w:val="23"/>
          <w:szCs w:val="23"/>
        </w:rPr>
        <w:t>水丰富，主要受大气降水补给，其次为低山丘陵基岩浅部风化裂隙水补给。水</w:t>
      </w:r>
      <w:r>
        <w:rPr>
          <w:rFonts w:ascii="宋体" w:hAnsi="宋体" w:eastAsia="宋体" w:cs="宋体"/>
          <w:sz w:val="23"/>
          <w:szCs w:val="23"/>
        </w:rPr>
        <w:t xml:space="preserve"> </w:t>
      </w:r>
      <w:r>
        <w:rPr>
          <w:rFonts w:ascii="宋体" w:hAnsi="宋体" w:eastAsia="宋体" w:cs="宋体"/>
          <w:spacing w:val="9"/>
          <w:sz w:val="23"/>
          <w:szCs w:val="23"/>
        </w:rPr>
        <w:t>量</w:t>
      </w:r>
      <w:r>
        <w:rPr>
          <w:rFonts w:ascii="宋体" w:hAnsi="宋体" w:eastAsia="宋体" w:cs="宋体"/>
          <w:spacing w:val="7"/>
          <w:sz w:val="23"/>
          <w:szCs w:val="23"/>
        </w:rPr>
        <w:t>、水位动态变化受季节影响，与河水水力联系密切，据钻探测定和长期观测资</w:t>
      </w:r>
      <w:r>
        <w:rPr>
          <w:rFonts w:ascii="宋体" w:hAnsi="宋体" w:eastAsia="宋体" w:cs="宋体"/>
          <w:sz w:val="23"/>
          <w:szCs w:val="23"/>
        </w:rPr>
        <w:t xml:space="preserve"> </w:t>
      </w:r>
      <w:r>
        <w:rPr>
          <w:rFonts w:ascii="宋体" w:hAnsi="宋体" w:eastAsia="宋体" w:cs="宋体"/>
          <w:spacing w:val="9"/>
          <w:sz w:val="23"/>
          <w:szCs w:val="23"/>
        </w:rPr>
        <w:t>料</w:t>
      </w:r>
      <w:r>
        <w:rPr>
          <w:rFonts w:ascii="宋体" w:hAnsi="宋体" w:eastAsia="宋体" w:cs="宋体"/>
          <w:spacing w:val="7"/>
          <w:sz w:val="23"/>
          <w:szCs w:val="23"/>
        </w:rPr>
        <w:t>，枯水期地下水位略高于太子河水位，为地下水补给河水，丰水期受大气降水</w:t>
      </w:r>
      <w:r>
        <w:rPr>
          <w:rFonts w:ascii="宋体" w:hAnsi="宋体" w:eastAsia="宋体" w:cs="宋体"/>
          <w:sz w:val="23"/>
          <w:szCs w:val="23"/>
        </w:rPr>
        <w:t xml:space="preserve"> </w:t>
      </w:r>
      <w:r>
        <w:rPr>
          <w:rFonts w:ascii="宋体" w:hAnsi="宋体" w:eastAsia="宋体" w:cs="宋体"/>
          <w:spacing w:val="9"/>
          <w:sz w:val="23"/>
          <w:szCs w:val="23"/>
        </w:rPr>
        <w:t>补</w:t>
      </w:r>
      <w:r>
        <w:rPr>
          <w:rFonts w:ascii="宋体" w:hAnsi="宋体" w:eastAsia="宋体" w:cs="宋体"/>
          <w:spacing w:val="7"/>
          <w:sz w:val="23"/>
          <w:szCs w:val="23"/>
        </w:rPr>
        <w:t>给，地下水位、河水水位均有所上升，但近几年受上游水库调节，河水位上升</w:t>
      </w:r>
      <w:r>
        <w:rPr>
          <w:rFonts w:ascii="宋体" w:hAnsi="宋体" w:eastAsia="宋体" w:cs="宋体"/>
          <w:sz w:val="23"/>
          <w:szCs w:val="23"/>
        </w:rPr>
        <w:t xml:space="preserve"> </w:t>
      </w:r>
      <w:r>
        <w:rPr>
          <w:rFonts w:ascii="宋体" w:hAnsi="宋体" w:eastAsia="宋体" w:cs="宋体"/>
          <w:spacing w:val="4"/>
          <w:sz w:val="23"/>
          <w:szCs w:val="23"/>
        </w:rPr>
        <w:t>值很低，</w:t>
      </w:r>
      <w:r>
        <w:rPr>
          <w:rFonts w:ascii="宋体" w:hAnsi="宋体" w:eastAsia="宋体" w:cs="宋体"/>
          <w:spacing w:val="2"/>
          <w:sz w:val="23"/>
          <w:szCs w:val="23"/>
        </w:rPr>
        <w:t>故仍为地下水补给河水。砂砾石层下伏基岩，岩性为安山岩，坚硬完整，</w:t>
      </w:r>
      <w:r>
        <w:rPr>
          <w:rFonts w:ascii="宋体" w:hAnsi="宋体" w:eastAsia="宋体" w:cs="宋体"/>
          <w:sz w:val="23"/>
          <w:szCs w:val="23"/>
        </w:rPr>
        <w:t xml:space="preserve"> </w:t>
      </w:r>
      <w:r>
        <w:rPr>
          <w:rFonts w:ascii="宋体" w:hAnsi="宋体" w:eastAsia="宋体" w:cs="宋体"/>
          <w:spacing w:val="18"/>
          <w:sz w:val="23"/>
          <w:szCs w:val="23"/>
        </w:rPr>
        <w:t>属</w:t>
      </w:r>
      <w:r>
        <w:rPr>
          <w:rFonts w:ascii="宋体" w:hAnsi="宋体" w:eastAsia="宋体" w:cs="宋体"/>
          <w:spacing w:val="12"/>
          <w:sz w:val="23"/>
          <w:szCs w:val="23"/>
        </w:rPr>
        <w:t>隔</w:t>
      </w:r>
      <w:r>
        <w:rPr>
          <w:rFonts w:ascii="宋体" w:hAnsi="宋体" w:eastAsia="宋体" w:cs="宋体"/>
          <w:spacing w:val="9"/>
          <w:sz w:val="23"/>
          <w:szCs w:val="23"/>
        </w:rPr>
        <w:t>水岩层。地下水及河水经取样分析，均属弱碱性水，对砼无腐蚀性。</w:t>
      </w:r>
    </w:p>
    <w:p w14:paraId="34FB0425">
      <w:pPr>
        <w:sectPr>
          <w:headerReference r:id="rId152" w:type="default"/>
          <w:footerReference r:id="rId153" w:type="default"/>
          <w:pgSz w:w="11906" w:h="16839"/>
          <w:pgMar w:top="1132" w:right="1735" w:bottom="1182" w:left="1785" w:header="878" w:footer="1022" w:gutter="0"/>
          <w:cols w:space="720" w:num="1"/>
        </w:sectPr>
      </w:pPr>
    </w:p>
    <w:p w14:paraId="64C13A04">
      <w:pPr>
        <w:spacing w:line="337" w:lineRule="auto"/>
        <w:rPr>
          <w:rFonts w:ascii="Arial"/>
          <w:sz w:val="21"/>
        </w:rPr>
      </w:pPr>
      <w:r>
        <w:pict>
          <v:shape id="_x0000_s1211" o:spid="_x0000_s1211" style="position:absolute;left:0pt;margin-left:90pt;margin-top:57.35pt;height:0.75pt;width:415.3pt;mso-position-horizontal-relative:page;mso-position-vertical-relative:page;z-index:251863040;mso-width-relative:page;mso-height-relative:page;" fillcolor="#000000" filled="t" stroked="f" coordsize="8305,15" o:allowincell="f" path="m0,0l8305,0,8305,14,0,14,0,0xe">
            <v:path/>
            <v:fill on="t" focussize="0,0"/>
            <v:stroke on="f"/>
            <v:imagedata o:title=""/>
            <o:lock v:ext="edit"/>
          </v:shape>
        </w:pict>
      </w:r>
    </w:p>
    <w:p w14:paraId="34B5E60A">
      <w:pPr>
        <w:spacing w:before="94" w:line="226" w:lineRule="auto"/>
        <w:ind w:left="21"/>
        <w:outlineLvl w:val="2"/>
        <w:rPr>
          <w:rFonts w:ascii="宋体" w:hAnsi="宋体" w:eastAsia="宋体" w:cs="宋体"/>
          <w:sz w:val="29"/>
          <w:szCs w:val="29"/>
        </w:rPr>
      </w:pPr>
      <w:r>
        <w:rPr>
          <w:rFonts w:ascii="Times New Roman" w:hAnsi="Times New Roman" w:eastAsia="Times New Roman" w:cs="Times New Roman"/>
          <w:b/>
          <w:bCs/>
          <w:spacing w:val="4"/>
          <w:sz w:val="29"/>
          <w:szCs w:val="29"/>
        </w:rPr>
        <w:t>4.1.5</w:t>
      </w:r>
      <w:r>
        <w:rPr>
          <w:rFonts w:ascii="Times New Roman" w:hAnsi="Times New Roman" w:eastAsia="Times New Roman" w:cs="Times New Roman"/>
          <w:spacing w:val="4"/>
          <w:sz w:val="29"/>
          <w:szCs w:val="29"/>
        </w:rPr>
        <w:t xml:space="preserve">  </w:t>
      </w:r>
      <w:r>
        <w:rPr>
          <w:rFonts w:ascii="宋体" w:hAnsi="宋体" w:eastAsia="宋体" w:cs="宋体"/>
          <w:spacing w:val="4"/>
          <w:sz w:val="29"/>
          <w:szCs w:val="29"/>
          <w14:textOutline w14:w="5448" w14:cap="sq" w14:cmpd="sng">
            <w14:solidFill>
              <w14:srgbClr w14:val="000000"/>
            </w14:solidFill>
            <w14:prstDash w14:val="solid"/>
            <w14:bevel/>
          </w14:textOutline>
        </w:rPr>
        <w:t>植被</w:t>
      </w:r>
    </w:p>
    <w:p w14:paraId="05C9E3CC">
      <w:pPr>
        <w:spacing w:line="257" w:lineRule="auto"/>
        <w:rPr>
          <w:rFonts w:ascii="Arial"/>
          <w:sz w:val="21"/>
        </w:rPr>
      </w:pPr>
    </w:p>
    <w:p w14:paraId="3D34E6EF">
      <w:pPr>
        <w:spacing w:before="75" w:line="389" w:lineRule="auto"/>
        <w:ind w:left="23" w:right="18" w:firstLine="480"/>
        <w:rPr>
          <w:rFonts w:ascii="宋体" w:hAnsi="宋体" w:eastAsia="宋体" w:cs="宋体"/>
          <w:sz w:val="23"/>
          <w:szCs w:val="23"/>
        </w:rPr>
      </w:pPr>
      <w:r>
        <w:rPr>
          <w:rFonts w:ascii="宋体" w:hAnsi="宋体" w:eastAsia="宋体" w:cs="宋体"/>
          <w:spacing w:val="10"/>
          <w:sz w:val="23"/>
          <w:szCs w:val="23"/>
        </w:rPr>
        <w:t>全</w:t>
      </w:r>
      <w:r>
        <w:rPr>
          <w:rFonts w:ascii="宋体" w:hAnsi="宋体" w:eastAsia="宋体" w:cs="宋体"/>
          <w:spacing w:val="7"/>
          <w:sz w:val="23"/>
          <w:szCs w:val="23"/>
        </w:rPr>
        <w:t>市</w:t>
      </w:r>
      <w:r>
        <w:rPr>
          <w:rFonts w:ascii="宋体" w:hAnsi="宋体" w:eastAsia="宋体" w:cs="宋体"/>
          <w:spacing w:val="5"/>
          <w:sz w:val="23"/>
          <w:szCs w:val="23"/>
        </w:rPr>
        <w:t xml:space="preserve">林业用地 </w:t>
      </w:r>
      <w:r>
        <w:rPr>
          <w:rFonts w:ascii="Times New Roman" w:hAnsi="Times New Roman" w:eastAsia="Times New Roman" w:cs="Times New Roman"/>
          <w:spacing w:val="5"/>
          <w:sz w:val="23"/>
          <w:szCs w:val="23"/>
        </w:rPr>
        <w:t xml:space="preserve">1000 </w:t>
      </w:r>
      <w:r>
        <w:rPr>
          <w:rFonts w:ascii="宋体" w:hAnsi="宋体" w:eastAsia="宋体" w:cs="宋体"/>
          <w:spacing w:val="5"/>
          <w:sz w:val="23"/>
          <w:szCs w:val="23"/>
        </w:rPr>
        <w:t xml:space="preserve">万亩 (其中有林地面积 </w:t>
      </w:r>
      <w:r>
        <w:rPr>
          <w:rFonts w:ascii="Times New Roman" w:hAnsi="Times New Roman" w:eastAsia="Times New Roman" w:cs="Times New Roman"/>
          <w:spacing w:val="5"/>
          <w:sz w:val="23"/>
          <w:szCs w:val="23"/>
        </w:rPr>
        <w:t xml:space="preserve">925 </w:t>
      </w:r>
      <w:r>
        <w:rPr>
          <w:rFonts w:ascii="宋体" w:hAnsi="宋体" w:eastAsia="宋体" w:cs="宋体"/>
          <w:spacing w:val="5"/>
          <w:sz w:val="23"/>
          <w:szCs w:val="23"/>
        </w:rPr>
        <w:t xml:space="preserve">万亩) ，人均 </w:t>
      </w:r>
      <w:r>
        <w:rPr>
          <w:rFonts w:ascii="Times New Roman" w:hAnsi="Times New Roman" w:eastAsia="Times New Roman" w:cs="Times New Roman"/>
          <w:spacing w:val="5"/>
          <w:sz w:val="23"/>
          <w:szCs w:val="23"/>
        </w:rPr>
        <w:t xml:space="preserve">6.4 </w:t>
      </w:r>
      <w:r>
        <w:rPr>
          <w:rFonts w:ascii="宋体" w:hAnsi="宋体" w:eastAsia="宋体" w:cs="宋体"/>
          <w:spacing w:val="5"/>
          <w:sz w:val="23"/>
          <w:szCs w:val="23"/>
        </w:rPr>
        <w:t>亩，是辽</w:t>
      </w:r>
      <w:r>
        <w:rPr>
          <w:rFonts w:ascii="宋体" w:hAnsi="宋体" w:eastAsia="宋体" w:cs="宋体"/>
          <w:sz w:val="23"/>
          <w:szCs w:val="23"/>
        </w:rPr>
        <w:t xml:space="preserve"> </w:t>
      </w:r>
      <w:r>
        <w:rPr>
          <w:rFonts w:ascii="宋体" w:hAnsi="宋体" w:eastAsia="宋体" w:cs="宋体"/>
          <w:spacing w:val="2"/>
          <w:sz w:val="23"/>
          <w:szCs w:val="23"/>
        </w:rPr>
        <w:t xml:space="preserve">宁中部城市群重要的水源涵养林区和辽东天然次生林区。共有木本植物 </w:t>
      </w:r>
      <w:r>
        <w:rPr>
          <w:rFonts w:ascii="Times New Roman" w:hAnsi="Times New Roman" w:eastAsia="Times New Roman" w:cs="Times New Roman"/>
          <w:spacing w:val="2"/>
          <w:sz w:val="23"/>
          <w:szCs w:val="23"/>
        </w:rPr>
        <w:t xml:space="preserve">47 </w:t>
      </w:r>
      <w:r>
        <w:rPr>
          <w:rFonts w:ascii="宋体" w:hAnsi="宋体" w:eastAsia="宋体" w:cs="宋体"/>
          <w:spacing w:val="2"/>
          <w:sz w:val="23"/>
          <w:szCs w:val="23"/>
        </w:rPr>
        <w:t xml:space="preserve">科 </w:t>
      </w:r>
      <w:r>
        <w:rPr>
          <w:rFonts w:ascii="Times New Roman" w:hAnsi="Times New Roman" w:eastAsia="Times New Roman" w:cs="Times New Roman"/>
          <w:sz w:val="23"/>
          <w:szCs w:val="23"/>
        </w:rPr>
        <w:t xml:space="preserve">100 </w:t>
      </w:r>
      <w:r>
        <w:rPr>
          <w:rFonts w:ascii="宋体" w:hAnsi="宋体" w:eastAsia="宋体" w:cs="宋体"/>
          <w:spacing w:val="1"/>
          <w:sz w:val="23"/>
          <w:szCs w:val="23"/>
        </w:rPr>
        <w:t xml:space="preserve">属 </w:t>
      </w:r>
      <w:r>
        <w:rPr>
          <w:rFonts w:ascii="Times New Roman" w:hAnsi="Times New Roman" w:eastAsia="Times New Roman" w:cs="Times New Roman"/>
          <w:spacing w:val="1"/>
          <w:sz w:val="23"/>
          <w:szCs w:val="23"/>
        </w:rPr>
        <w:t xml:space="preserve">251 </w:t>
      </w:r>
      <w:r>
        <w:rPr>
          <w:rFonts w:ascii="宋体" w:hAnsi="宋体" w:eastAsia="宋体" w:cs="宋体"/>
          <w:spacing w:val="1"/>
          <w:sz w:val="23"/>
          <w:szCs w:val="23"/>
        </w:rPr>
        <w:t>种，其中有大量红松、油松、落叶松以</w:t>
      </w:r>
      <w:r>
        <w:rPr>
          <w:rFonts w:ascii="宋体" w:hAnsi="宋体" w:eastAsia="宋体" w:cs="宋体"/>
          <w:sz w:val="23"/>
          <w:szCs w:val="23"/>
        </w:rPr>
        <w:t xml:space="preserve">及柞、桦、椴、榆、柳等珍贵木材， </w:t>
      </w:r>
      <w:r>
        <w:rPr>
          <w:rFonts w:ascii="宋体" w:hAnsi="宋体" w:eastAsia="宋体" w:cs="宋体"/>
          <w:spacing w:val="-2"/>
          <w:sz w:val="23"/>
          <w:szCs w:val="23"/>
        </w:rPr>
        <w:t xml:space="preserve">森林蓄积量 </w:t>
      </w:r>
      <w:r>
        <w:rPr>
          <w:rFonts w:ascii="Times New Roman" w:hAnsi="Times New Roman" w:eastAsia="Times New Roman" w:cs="Times New Roman"/>
          <w:spacing w:val="-2"/>
          <w:sz w:val="23"/>
          <w:szCs w:val="23"/>
        </w:rPr>
        <w:t xml:space="preserve">4860 </w:t>
      </w:r>
      <w:r>
        <w:rPr>
          <w:rFonts w:ascii="宋体" w:hAnsi="宋体" w:eastAsia="宋体" w:cs="宋体"/>
          <w:spacing w:val="-2"/>
          <w:sz w:val="23"/>
          <w:szCs w:val="23"/>
        </w:rPr>
        <w:t>万</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1"/>
          <w:position w:val="7"/>
          <w:sz w:val="15"/>
          <w:szCs w:val="15"/>
        </w:rPr>
        <w:t>3</w:t>
      </w:r>
      <w:r>
        <w:rPr>
          <w:rFonts w:ascii="宋体" w:hAnsi="宋体" w:eastAsia="宋体" w:cs="宋体"/>
          <w:spacing w:val="-1"/>
          <w:sz w:val="23"/>
          <w:szCs w:val="23"/>
        </w:rPr>
        <w:t>。</w:t>
      </w:r>
    </w:p>
    <w:p w14:paraId="028EBC98">
      <w:pPr>
        <w:spacing w:before="68" w:line="224" w:lineRule="auto"/>
        <w:ind w:left="22"/>
        <w:outlineLvl w:val="1"/>
        <w:rPr>
          <w:rFonts w:ascii="宋体" w:hAnsi="宋体" w:eastAsia="宋体" w:cs="宋体"/>
          <w:sz w:val="31"/>
          <w:szCs w:val="31"/>
        </w:rPr>
      </w:pPr>
      <w:bookmarkStart w:id="20" w:name="_bookmark21"/>
      <w:bookmarkEnd w:id="20"/>
      <w:r>
        <w:rPr>
          <w:rFonts w:ascii="Times New Roman" w:hAnsi="Times New Roman" w:eastAsia="Times New Roman" w:cs="Times New Roman"/>
          <w:b/>
          <w:bCs/>
          <w:spacing w:val="12"/>
          <w:sz w:val="31"/>
          <w:szCs w:val="31"/>
        </w:rPr>
        <w:t>4</w:t>
      </w:r>
      <w:r>
        <w:rPr>
          <w:rFonts w:ascii="Times New Roman" w:hAnsi="Times New Roman" w:eastAsia="Times New Roman" w:cs="Times New Roman"/>
          <w:b/>
          <w:bCs/>
          <w:spacing w:val="7"/>
          <w:sz w:val="31"/>
          <w:szCs w:val="31"/>
        </w:rPr>
        <w:t>.</w:t>
      </w:r>
      <w:r>
        <w:rPr>
          <w:rFonts w:ascii="Times New Roman" w:hAnsi="Times New Roman" w:eastAsia="Times New Roman" w:cs="Times New Roman"/>
          <w:b/>
          <w:bCs/>
          <w:spacing w:val="6"/>
          <w:sz w:val="31"/>
          <w:szCs w:val="31"/>
        </w:rPr>
        <w:t>2</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社会环境概况</w:t>
      </w:r>
    </w:p>
    <w:p w14:paraId="0456932E">
      <w:pPr>
        <w:spacing w:before="148" w:line="403" w:lineRule="auto"/>
        <w:ind w:left="24" w:right="82" w:firstLine="480"/>
        <w:rPr>
          <w:rFonts w:ascii="Times New Roman" w:hAnsi="Times New Roman" w:eastAsia="Times New Roman" w:cs="Times New Roman"/>
          <w:sz w:val="23"/>
          <w:szCs w:val="23"/>
        </w:rPr>
      </w:pPr>
      <w:r>
        <w:rPr>
          <w:rFonts w:ascii="宋体" w:hAnsi="宋体" w:eastAsia="宋体" w:cs="宋体"/>
          <w:spacing w:val="7"/>
          <w:sz w:val="23"/>
          <w:szCs w:val="23"/>
        </w:rPr>
        <w:t>本溪市设</w:t>
      </w:r>
      <w:r>
        <w:fldChar w:fldCharType="begin"/>
      </w:r>
      <w:r>
        <w:instrText xml:space="preserve"> HYPERLINK "http://baike.baidu.com/view/361073.htm" </w:instrText>
      </w:r>
      <w:r>
        <w:fldChar w:fldCharType="separate"/>
      </w:r>
      <w:r>
        <w:rPr>
          <w:rFonts w:ascii="宋体" w:hAnsi="宋体" w:eastAsia="宋体" w:cs="宋体"/>
          <w:spacing w:val="7"/>
          <w:sz w:val="23"/>
          <w:szCs w:val="23"/>
        </w:rPr>
        <w:t>平山</w:t>
      </w:r>
      <w:r>
        <w:rPr>
          <w:rFonts w:ascii="宋体" w:hAnsi="宋体" w:eastAsia="宋体" w:cs="宋体"/>
          <w:spacing w:val="7"/>
          <w:sz w:val="23"/>
          <w:szCs w:val="23"/>
        </w:rPr>
        <w:fldChar w:fldCharType="end"/>
      </w:r>
      <w:r>
        <w:rPr>
          <w:rFonts w:ascii="宋体" w:hAnsi="宋体" w:eastAsia="宋体" w:cs="宋体"/>
          <w:spacing w:val="7"/>
          <w:sz w:val="23"/>
          <w:szCs w:val="23"/>
        </w:rPr>
        <w:t>、</w:t>
      </w:r>
      <w:r>
        <w:fldChar w:fldCharType="begin"/>
      </w:r>
      <w:r>
        <w:instrText xml:space="preserve"> HYPERLINK "http://baike.baidu.com/view/399371.htm" </w:instrText>
      </w:r>
      <w:r>
        <w:fldChar w:fldCharType="separate"/>
      </w:r>
      <w:r>
        <w:rPr>
          <w:rFonts w:ascii="宋体" w:hAnsi="宋体" w:eastAsia="宋体" w:cs="宋体"/>
          <w:spacing w:val="7"/>
          <w:sz w:val="23"/>
          <w:szCs w:val="23"/>
        </w:rPr>
        <w:t>明山</w:t>
      </w:r>
      <w:r>
        <w:rPr>
          <w:rFonts w:ascii="宋体" w:hAnsi="宋体" w:eastAsia="宋体" w:cs="宋体"/>
          <w:spacing w:val="7"/>
          <w:sz w:val="23"/>
          <w:szCs w:val="23"/>
        </w:rPr>
        <w:fldChar w:fldCharType="end"/>
      </w:r>
      <w:r>
        <w:rPr>
          <w:rFonts w:ascii="宋体" w:hAnsi="宋体" w:eastAsia="宋体" w:cs="宋体"/>
          <w:spacing w:val="7"/>
          <w:sz w:val="23"/>
          <w:szCs w:val="23"/>
        </w:rPr>
        <w:t>、溪湖、</w:t>
      </w:r>
      <w:r>
        <w:fldChar w:fldCharType="begin"/>
      </w:r>
      <w:r>
        <w:instrText xml:space="preserve"> HYPERLINK "http://baike.baidu.com/view/399373.htm" </w:instrText>
      </w:r>
      <w:r>
        <w:fldChar w:fldCharType="separate"/>
      </w:r>
      <w:r>
        <w:rPr>
          <w:rFonts w:ascii="宋体" w:hAnsi="宋体" w:eastAsia="宋体" w:cs="宋体"/>
          <w:spacing w:val="7"/>
          <w:sz w:val="23"/>
          <w:szCs w:val="23"/>
        </w:rPr>
        <w:t>南芬</w:t>
      </w:r>
      <w:r>
        <w:rPr>
          <w:rFonts w:ascii="宋体" w:hAnsi="宋体" w:eastAsia="宋体" w:cs="宋体"/>
          <w:spacing w:val="7"/>
          <w:sz w:val="23"/>
          <w:szCs w:val="23"/>
        </w:rPr>
        <w:fldChar w:fldCharType="end"/>
      </w:r>
      <w:r>
        <w:rPr>
          <w:rFonts w:ascii="宋体" w:hAnsi="宋体" w:eastAsia="宋体" w:cs="宋体"/>
          <w:spacing w:val="7"/>
          <w:sz w:val="23"/>
          <w:szCs w:val="23"/>
        </w:rPr>
        <w:t>四区，</w:t>
      </w:r>
      <w:r>
        <w:fldChar w:fldCharType="begin"/>
      </w:r>
      <w:r>
        <w:instrText xml:space="preserve"> HYPERLINK "http://baike.baidu.com/view/399374.htm" </w:instrText>
      </w:r>
      <w:r>
        <w:fldChar w:fldCharType="separate"/>
      </w:r>
      <w:r>
        <w:rPr>
          <w:rFonts w:ascii="宋体" w:hAnsi="宋体" w:eastAsia="宋体" w:cs="宋体"/>
          <w:spacing w:val="7"/>
          <w:sz w:val="23"/>
          <w:szCs w:val="23"/>
        </w:rPr>
        <w:t>本溪满族自治县</w:t>
      </w:r>
      <w:r>
        <w:rPr>
          <w:rFonts w:ascii="宋体" w:hAnsi="宋体" w:eastAsia="宋体" w:cs="宋体"/>
          <w:spacing w:val="7"/>
          <w:sz w:val="23"/>
          <w:szCs w:val="23"/>
        </w:rPr>
        <w:fldChar w:fldCharType="end"/>
      </w:r>
      <w:r>
        <w:rPr>
          <w:rFonts w:ascii="宋体" w:hAnsi="宋体" w:eastAsia="宋体" w:cs="宋体"/>
          <w:spacing w:val="7"/>
          <w:sz w:val="23"/>
          <w:szCs w:val="23"/>
        </w:rPr>
        <w:t>、</w:t>
      </w:r>
      <w:r>
        <w:fldChar w:fldCharType="begin"/>
      </w:r>
      <w:r>
        <w:instrText xml:space="preserve"> HYPERLINK "http://baike.baidu.com/view/3821.htm" </w:instrText>
      </w:r>
      <w:r>
        <w:fldChar w:fldCharType="separate"/>
      </w:r>
      <w:r>
        <w:rPr>
          <w:rFonts w:ascii="宋体" w:hAnsi="宋体" w:eastAsia="宋体" w:cs="宋体"/>
          <w:spacing w:val="7"/>
          <w:sz w:val="23"/>
          <w:szCs w:val="23"/>
        </w:rPr>
        <w:t>桓仁</w:t>
      </w:r>
      <w:r>
        <w:rPr>
          <w:rFonts w:ascii="宋体" w:hAnsi="宋体" w:eastAsia="宋体" w:cs="宋体"/>
          <w:spacing w:val="7"/>
          <w:sz w:val="23"/>
          <w:szCs w:val="23"/>
        </w:rPr>
        <w:fldChar w:fldCharType="end"/>
      </w:r>
      <w:r>
        <w:rPr>
          <w:rFonts w:ascii="宋体" w:hAnsi="宋体" w:eastAsia="宋体" w:cs="宋体"/>
          <w:spacing w:val="7"/>
          <w:sz w:val="23"/>
          <w:szCs w:val="23"/>
        </w:rPr>
        <w:t>满族自治</w:t>
      </w:r>
      <w:r>
        <w:rPr>
          <w:rFonts w:ascii="宋体" w:hAnsi="宋体" w:eastAsia="宋体" w:cs="宋体"/>
          <w:spacing w:val="2"/>
          <w:sz w:val="23"/>
          <w:szCs w:val="23"/>
        </w:rPr>
        <w:t>县</w:t>
      </w:r>
      <w:r>
        <w:rPr>
          <w:rFonts w:ascii="宋体" w:hAnsi="宋体" w:eastAsia="宋体" w:cs="宋体"/>
          <w:sz w:val="23"/>
          <w:szCs w:val="23"/>
        </w:rPr>
        <w:t xml:space="preserve"> </w:t>
      </w:r>
      <w:r>
        <w:rPr>
          <w:rFonts w:ascii="宋体" w:hAnsi="宋体" w:eastAsia="宋体" w:cs="宋体"/>
          <w:spacing w:val="18"/>
          <w:sz w:val="23"/>
          <w:szCs w:val="23"/>
        </w:rPr>
        <w:t>两县</w:t>
      </w:r>
      <w:r>
        <w:rPr>
          <w:rFonts w:ascii="宋体" w:hAnsi="宋体" w:eastAsia="宋体" w:cs="宋体"/>
          <w:spacing w:val="11"/>
          <w:sz w:val="23"/>
          <w:szCs w:val="23"/>
        </w:rPr>
        <w:t>。</w:t>
      </w:r>
      <w:r>
        <w:rPr>
          <w:rFonts w:ascii="宋体" w:hAnsi="宋体" w:eastAsia="宋体" w:cs="宋体"/>
          <w:spacing w:val="9"/>
          <w:sz w:val="23"/>
          <w:szCs w:val="23"/>
        </w:rPr>
        <w:t xml:space="preserve">全市共 </w:t>
      </w:r>
      <w:r>
        <w:rPr>
          <w:rFonts w:ascii="Times New Roman" w:hAnsi="Times New Roman" w:eastAsia="Times New Roman" w:cs="Times New Roman"/>
          <w:spacing w:val="9"/>
          <w:sz w:val="23"/>
          <w:szCs w:val="23"/>
        </w:rPr>
        <w:t xml:space="preserve">25 </w:t>
      </w:r>
      <w:r>
        <w:rPr>
          <w:rFonts w:ascii="宋体" w:hAnsi="宋体" w:eastAsia="宋体" w:cs="宋体"/>
          <w:spacing w:val="9"/>
          <w:sz w:val="23"/>
          <w:szCs w:val="23"/>
        </w:rPr>
        <w:t>个</w:t>
      </w:r>
      <w:r>
        <w:fldChar w:fldCharType="begin"/>
      </w:r>
      <w:r>
        <w:instrText xml:space="preserve"> HYPERLINK "http://baike.baidu.com/view/300244.htm" </w:instrText>
      </w:r>
      <w:r>
        <w:fldChar w:fldCharType="separate"/>
      </w:r>
      <w:r>
        <w:rPr>
          <w:rFonts w:ascii="宋体" w:hAnsi="宋体" w:eastAsia="宋体" w:cs="宋体"/>
          <w:spacing w:val="9"/>
          <w:sz w:val="23"/>
          <w:szCs w:val="23"/>
        </w:rPr>
        <w:t>街道办事处</w:t>
      </w:r>
      <w:r>
        <w:rPr>
          <w:rFonts w:ascii="宋体" w:hAnsi="宋体" w:eastAsia="宋体" w:cs="宋体"/>
          <w:spacing w:val="9"/>
          <w:sz w:val="23"/>
          <w:szCs w:val="23"/>
        </w:rPr>
        <w:fldChar w:fldCharType="end"/>
      </w:r>
      <w:r>
        <w:rPr>
          <w:rFonts w:ascii="宋体" w:hAnsi="宋体" w:eastAsia="宋体" w:cs="宋体"/>
          <w:spacing w:val="9"/>
          <w:sz w:val="23"/>
          <w:szCs w:val="23"/>
        </w:rPr>
        <w:t xml:space="preserve"> (两县各一个) 、</w:t>
      </w:r>
      <w:r>
        <w:rPr>
          <w:rFonts w:ascii="Times New Roman" w:hAnsi="Times New Roman" w:eastAsia="Times New Roman" w:cs="Times New Roman"/>
          <w:spacing w:val="9"/>
          <w:sz w:val="23"/>
          <w:szCs w:val="23"/>
        </w:rPr>
        <w:t xml:space="preserve">40 </w:t>
      </w:r>
      <w:r>
        <w:rPr>
          <w:rFonts w:ascii="宋体" w:hAnsi="宋体" w:eastAsia="宋体" w:cs="宋体"/>
          <w:spacing w:val="9"/>
          <w:sz w:val="23"/>
          <w:szCs w:val="23"/>
        </w:rPr>
        <w:t>个乡镇、</w:t>
      </w:r>
      <w:r>
        <w:rPr>
          <w:rFonts w:ascii="Times New Roman" w:hAnsi="Times New Roman" w:eastAsia="Times New Roman" w:cs="Times New Roman"/>
          <w:spacing w:val="9"/>
          <w:sz w:val="23"/>
          <w:szCs w:val="23"/>
        </w:rPr>
        <w:t xml:space="preserve">229 </w:t>
      </w:r>
      <w:r>
        <w:rPr>
          <w:rFonts w:ascii="宋体" w:hAnsi="宋体" w:eastAsia="宋体" w:cs="宋体"/>
          <w:spacing w:val="9"/>
          <w:sz w:val="23"/>
          <w:szCs w:val="23"/>
        </w:rPr>
        <w:t>个社区、</w:t>
      </w:r>
      <w:r>
        <w:rPr>
          <w:rFonts w:ascii="Times New Roman" w:hAnsi="Times New Roman" w:eastAsia="Times New Roman" w:cs="Times New Roman"/>
          <w:spacing w:val="9"/>
          <w:sz w:val="23"/>
          <w:szCs w:val="23"/>
        </w:rPr>
        <w:t>289</w:t>
      </w:r>
    </w:p>
    <w:p w14:paraId="3CB12E8F">
      <w:pPr>
        <w:spacing w:before="135" w:line="227" w:lineRule="auto"/>
        <w:ind w:left="23"/>
        <w:rPr>
          <w:rFonts w:ascii="宋体" w:hAnsi="宋体" w:eastAsia="宋体" w:cs="宋体"/>
          <w:sz w:val="23"/>
          <w:szCs w:val="23"/>
        </w:rPr>
      </w:pPr>
      <w:r>
        <w:rPr>
          <w:rFonts w:ascii="宋体" w:hAnsi="宋体" w:eastAsia="宋体" w:cs="宋体"/>
          <w:spacing w:val="16"/>
          <w:sz w:val="23"/>
          <w:szCs w:val="23"/>
        </w:rPr>
        <w:t>个村</w:t>
      </w:r>
      <w:r>
        <w:rPr>
          <w:rFonts w:ascii="宋体" w:hAnsi="宋体" w:eastAsia="宋体" w:cs="宋体"/>
          <w:spacing w:val="14"/>
          <w:sz w:val="23"/>
          <w:szCs w:val="23"/>
        </w:rPr>
        <w:t>民</w:t>
      </w:r>
      <w:r>
        <w:rPr>
          <w:rFonts w:ascii="宋体" w:hAnsi="宋体" w:eastAsia="宋体" w:cs="宋体"/>
          <w:spacing w:val="8"/>
          <w:sz w:val="23"/>
          <w:szCs w:val="23"/>
        </w:rPr>
        <w:t>委 (含一个国家级高新区即本溪高新技术产业开发区) 。</w:t>
      </w:r>
    </w:p>
    <w:p w14:paraId="10062D78">
      <w:pPr>
        <w:spacing w:line="277" w:lineRule="auto"/>
        <w:rPr>
          <w:rFonts w:ascii="Arial"/>
          <w:sz w:val="21"/>
        </w:rPr>
      </w:pPr>
    </w:p>
    <w:p w14:paraId="602A1267">
      <w:pPr>
        <w:spacing w:before="75" w:line="389" w:lineRule="auto"/>
        <w:ind w:left="23" w:right="21" w:firstLine="480"/>
        <w:rPr>
          <w:rFonts w:ascii="宋体" w:hAnsi="宋体" w:eastAsia="宋体" w:cs="宋体"/>
          <w:sz w:val="23"/>
          <w:szCs w:val="23"/>
        </w:rPr>
      </w:pPr>
      <w:r>
        <w:rPr>
          <w:rFonts w:ascii="宋体" w:hAnsi="宋体" w:eastAsia="宋体" w:cs="宋体"/>
          <w:spacing w:val="7"/>
          <w:sz w:val="23"/>
          <w:szCs w:val="23"/>
        </w:rPr>
        <w:t>溪湖区位于辽东半岛腹地，是中国辽宁省本溪市所辖的一个市辖区，是一</w:t>
      </w:r>
      <w:r>
        <w:rPr>
          <w:rFonts w:ascii="宋体" w:hAnsi="宋体" w:eastAsia="宋体" w:cs="宋体"/>
          <w:spacing w:val="3"/>
          <w:sz w:val="23"/>
          <w:szCs w:val="23"/>
        </w:rPr>
        <w:t>个</w:t>
      </w:r>
      <w:r>
        <w:rPr>
          <w:rFonts w:ascii="宋体" w:hAnsi="宋体" w:eastAsia="宋体" w:cs="宋体"/>
          <w:sz w:val="23"/>
          <w:szCs w:val="23"/>
        </w:rPr>
        <w:t xml:space="preserve"> </w:t>
      </w:r>
      <w:r>
        <w:rPr>
          <w:rFonts w:ascii="宋体" w:hAnsi="宋体" w:eastAsia="宋体" w:cs="宋体"/>
          <w:spacing w:val="1"/>
          <w:sz w:val="23"/>
          <w:szCs w:val="23"/>
        </w:rPr>
        <w:t>老工业基地。东界抚顺，西接辽阳，南衔丹东</w:t>
      </w:r>
      <w:r>
        <w:rPr>
          <w:rFonts w:ascii="宋体" w:hAnsi="宋体" w:eastAsia="宋体" w:cs="宋体"/>
          <w:sz w:val="23"/>
          <w:szCs w:val="23"/>
        </w:rPr>
        <w:t xml:space="preserve">，北邻沈阳。下辖 </w:t>
      </w:r>
      <w:r>
        <w:rPr>
          <w:rFonts w:ascii="Times New Roman" w:hAnsi="Times New Roman" w:eastAsia="Times New Roman" w:cs="Times New Roman"/>
          <w:sz w:val="23"/>
          <w:szCs w:val="23"/>
        </w:rPr>
        <w:t xml:space="preserve">7 </w:t>
      </w:r>
      <w:r>
        <w:rPr>
          <w:rFonts w:ascii="宋体" w:hAnsi="宋体" w:eastAsia="宋体" w:cs="宋体"/>
          <w:sz w:val="23"/>
          <w:szCs w:val="23"/>
        </w:rPr>
        <w:t xml:space="preserve">个街道办事处， </w:t>
      </w:r>
      <w:r>
        <w:rPr>
          <w:rFonts w:ascii="宋体" w:hAnsi="宋体" w:eastAsia="宋体" w:cs="宋体"/>
          <w:spacing w:val="14"/>
          <w:sz w:val="23"/>
          <w:szCs w:val="23"/>
        </w:rPr>
        <w:t>区域</w:t>
      </w:r>
      <w:r>
        <w:rPr>
          <w:rFonts w:ascii="宋体" w:hAnsi="宋体" w:eastAsia="宋体" w:cs="宋体"/>
          <w:spacing w:val="10"/>
          <w:sz w:val="23"/>
          <w:szCs w:val="23"/>
        </w:rPr>
        <w:t>面</w:t>
      </w:r>
      <w:r>
        <w:rPr>
          <w:rFonts w:ascii="宋体" w:hAnsi="宋体" w:eastAsia="宋体" w:cs="宋体"/>
          <w:spacing w:val="7"/>
          <w:sz w:val="23"/>
          <w:szCs w:val="23"/>
        </w:rPr>
        <w:t xml:space="preserve">积 </w:t>
      </w:r>
      <w:r>
        <w:rPr>
          <w:rFonts w:ascii="Times New Roman" w:hAnsi="Times New Roman" w:eastAsia="Times New Roman" w:cs="Times New Roman"/>
          <w:spacing w:val="7"/>
          <w:sz w:val="23"/>
          <w:szCs w:val="23"/>
        </w:rPr>
        <w:t xml:space="preserve">138 </w:t>
      </w:r>
      <w:r>
        <w:rPr>
          <w:rFonts w:ascii="宋体" w:hAnsi="宋体" w:eastAsia="宋体" w:cs="宋体"/>
          <w:spacing w:val="7"/>
          <w:sz w:val="23"/>
          <w:szCs w:val="23"/>
        </w:rPr>
        <w:t xml:space="preserve">平方公里，总人口 </w:t>
      </w:r>
      <w:r>
        <w:rPr>
          <w:rFonts w:ascii="Times New Roman" w:hAnsi="Times New Roman" w:eastAsia="Times New Roman" w:cs="Times New Roman"/>
          <w:spacing w:val="7"/>
          <w:sz w:val="23"/>
          <w:szCs w:val="23"/>
        </w:rPr>
        <w:t xml:space="preserve">16.8 </w:t>
      </w:r>
      <w:r>
        <w:rPr>
          <w:rFonts w:ascii="宋体" w:hAnsi="宋体" w:eastAsia="宋体" w:cs="宋体"/>
          <w:spacing w:val="7"/>
          <w:sz w:val="23"/>
          <w:szCs w:val="23"/>
        </w:rPr>
        <w:t>万人。沈丹铁路、高速公路贯穿境内，距</w:t>
      </w:r>
      <w:r>
        <w:rPr>
          <w:rFonts w:ascii="宋体" w:hAnsi="宋体" w:eastAsia="宋体" w:cs="宋体"/>
          <w:sz w:val="23"/>
          <w:szCs w:val="23"/>
        </w:rPr>
        <w:t xml:space="preserve"> </w:t>
      </w:r>
      <w:r>
        <w:rPr>
          <w:rFonts w:ascii="宋体" w:hAnsi="宋体" w:eastAsia="宋体" w:cs="宋体"/>
          <w:spacing w:val="12"/>
          <w:sz w:val="23"/>
          <w:szCs w:val="23"/>
        </w:rPr>
        <w:t>桃</w:t>
      </w:r>
      <w:r>
        <w:rPr>
          <w:rFonts w:ascii="宋体" w:hAnsi="宋体" w:eastAsia="宋体" w:cs="宋体"/>
          <w:spacing w:val="10"/>
          <w:sz w:val="23"/>
          <w:szCs w:val="23"/>
        </w:rPr>
        <w:t>仙</w:t>
      </w:r>
      <w:r>
        <w:rPr>
          <w:rFonts w:ascii="宋体" w:hAnsi="宋体" w:eastAsia="宋体" w:cs="宋体"/>
          <w:spacing w:val="6"/>
          <w:sz w:val="23"/>
          <w:szCs w:val="23"/>
        </w:rPr>
        <w:t xml:space="preserve">机场 </w:t>
      </w:r>
      <w:r>
        <w:rPr>
          <w:rFonts w:ascii="Times New Roman" w:hAnsi="Times New Roman" w:eastAsia="Times New Roman" w:cs="Times New Roman"/>
          <w:spacing w:val="6"/>
          <w:sz w:val="23"/>
          <w:szCs w:val="23"/>
        </w:rPr>
        <w:t xml:space="preserve">40 </w:t>
      </w:r>
      <w:r>
        <w:rPr>
          <w:rFonts w:ascii="宋体" w:hAnsi="宋体" w:eastAsia="宋体" w:cs="宋体"/>
          <w:spacing w:val="6"/>
          <w:sz w:val="23"/>
          <w:szCs w:val="23"/>
        </w:rPr>
        <w:t>公里，交通便利，具有得天独厚的地理位置。</w:t>
      </w:r>
    </w:p>
    <w:p w14:paraId="3D513D7D">
      <w:pPr>
        <w:spacing w:before="133" w:line="388" w:lineRule="auto"/>
        <w:ind w:left="22" w:firstLine="480"/>
        <w:rPr>
          <w:rFonts w:ascii="宋体" w:hAnsi="宋体" w:eastAsia="宋体" w:cs="宋体"/>
          <w:sz w:val="23"/>
          <w:szCs w:val="23"/>
        </w:rPr>
      </w:pPr>
      <w:r>
        <w:rPr>
          <w:rFonts w:ascii="宋体" w:hAnsi="宋体" w:eastAsia="宋体" w:cs="宋体"/>
          <w:spacing w:val="7"/>
          <w:sz w:val="23"/>
          <w:szCs w:val="23"/>
        </w:rPr>
        <w:t>溪湖区工业以钢铁、煤炭、建材为主，逐步形成电子、化工、轻工等门类</w:t>
      </w:r>
      <w:r>
        <w:rPr>
          <w:rFonts w:ascii="宋体" w:hAnsi="宋体" w:eastAsia="宋体" w:cs="宋体"/>
          <w:spacing w:val="3"/>
          <w:sz w:val="23"/>
          <w:szCs w:val="23"/>
        </w:rPr>
        <w:t>企</w:t>
      </w:r>
      <w:r>
        <w:rPr>
          <w:rFonts w:ascii="宋体" w:hAnsi="宋体" w:eastAsia="宋体" w:cs="宋体"/>
          <w:sz w:val="23"/>
          <w:szCs w:val="23"/>
        </w:rPr>
        <w:t xml:space="preserve"> </w:t>
      </w:r>
      <w:r>
        <w:rPr>
          <w:rFonts w:ascii="宋体" w:hAnsi="宋体" w:eastAsia="宋体" w:cs="宋体"/>
          <w:spacing w:val="6"/>
          <w:sz w:val="23"/>
          <w:szCs w:val="23"/>
        </w:rPr>
        <w:t>业同步发展的工业</w:t>
      </w:r>
      <w:r>
        <w:rPr>
          <w:rFonts w:ascii="宋体" w:hAnsi="宋体" w:eastAsia="宋体" w:cs="宋体"/>
          <w:spacing w:val="5"/>
          <w:sz w:val="23"/>
          <w:szCs w:val="23"/>
        </w:rPr>
        <w:t>体</w:t>
      </w:r>
      <w:r>
        <w:rPr>
          <w:rFonts w:ascii="宋体" w:hAnsi="宋体" w:eastAsia="宋体" w:cs="宋体"/>
          <w:spacing w:val="3"/>
          <w:sz w:val="23"/>
          <w:szCs w:val="23"/>
        </w:rPr>
        <w:t xml:space="preserve">系。其中有本溪湖牌 </w:t>
      </w:r>
      <w:r>
        <w:rPr>
          <w:rFonts w:ascii="Times New Roman" w:hAnsi="Times New Roman" w:eastAsia="Times New Roman" w:cs="Times New Roman"/>
          <w:spacing w:val="3"/>
          <w:sz w:val="23"/>
          <w:szCs w:val="23"/>
        </w:rPr>
        <w:t xml:space="preserve">32.5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27.5 </w:t>
      </w:r>
      <w:r>
        <w:rPr>
          <w:rFonts w:ascii="宋体" w:hAnsi="宋体" w:eastAsia="宋体" w:cs="宋体"/>
          <w:spacing w:val="3"/>
          <w:sz w:val="23"/>
          <w:szCs w:val="23"/>
        </w:rPr>
        <w:t xml:space="preserve">水泥、 内 </w:t>
      </w:r>
      <w:r>
        <w:rPr>
          <w:rFonts w:ascii="Times New Roman" w:hAnsi="Times New Roman" w:eastAsia="Times New Roman" w:cs="Times New Roman"/>
          <w:sz w:val="23"/>
          <w:szCs w:val="23"/>
        </w:rPr>
        <w:t>O</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型密封装置、</w:t>
      </w:r>
      <w:r>
        <w:rPr>
          <w:rFonts w:ascii="宋体" w:hAnsi="宋体" w:eastAsia="宋体" w:cs="宋体"/>
          <w:sz w:val="23"/>
          <w:szCs w:val="23"/>
        </w:rPr>
        <w:t xml:space="preserve"> </w:t>
      </w:r>
      <w:r>
        <w:rPr>
          <w:rFonts w:ascii="宋体" w:hAnsi="宋体" w:eastAsia="宋体" w:cs="宋体"/>
          <w:spacing w:val="4"/>
          <w:sz w:val="23"/>
          <w:szCs w:val="23"/>
        </w:rPr>
        <w:t>油泵系列产品、亚砜、轻轨铁铁</w:t>
      </w:r>
      <w:r>
        <w:rPr>
          <w:rFonts w:ascii="宋体" w:hAnsi="宋体" w:eastAsia="宋体" w:cs="宋体"/>
          <w:spacing w:val="2"/>
          <w:sz w:val="23"/>
          <w:szCs w:val="23"/>
        </w:rPr>
        <w:t>路配件、彩色喷绘等十几种优质产品远销国内外。</w:t>
      </w:r>
      <w:r>
        <w:rPr>
          <w:rFonts w:ascii="宋体" w:hAnsi="宋体" w:eastAsia="宋体" w:cs="宋体"/>
          <w:sz w:val="23"/>
          <w:szCs w:val="23"/>
        </w:rPr>
        <w:t xml:space="preserve"> </w:t>
      </w:r>
      <w:r>
        <w:rPr>
          <w:rFonts w:ascii="宋体" w:hAnsi="宋体" w:eastAsia="宋体" w:cs="宋体"/>
          <w:spacing w:val="20"/>
          <w:sz w:val="23"/>
          <w:szCs w:val="23"/>
        </w:rPr>
        <w:t>农</w:t>
      </w:r>
      <w:r>
        <w:rPr>
          <w:rFonts w:ascii="宋体" w:hAnsi="宋体" w:eastAsia="宋体" w:cs="宋体"/>
          <w:spacing w:val="11"/>
          <w:sz w:val="23"/>
          <w:szCs w:val="23"/>
        </w:rPr>
        <w:t>业以畜禽、果品、蔬菜、果树、养牛、速生丰产林和乡村旅游等</w:t>
      </w:r>
      <w:r>
        <w:rPr>
          <w:rFonts w:ascii="Times New Roman" w:hAnsi="Times New Roman" w:eastAsia="Times New Roman" w:cs="Times New Roman"/>
          <w:spacing w:val="11"/>
          <w:sz w:val="23"/>
          <w:szCs w:val="23"/>
        </w:rPr>
        <w:t>“</w:t>
      </w:r>
      <w:r>
        <w:rPr>
          <w:rFonts w:ascii="宋体" w:hAnsi="宋体" w:eastAsia="宋体" w:cs="宋体"/>
          <w:spacing w:val="11"/>
          <w:sz w:val="23"/>
          <w:szCs w:val="23"/>
        </w:rPr>
        <w:t>四个基地，</w:t>
      </w:r>
      <w:r>
        <w:rPr>
          <w:rFonts w:ascii="宋体" w:hAnsi="宋体" w:eastAsia="宋体" w:cs="宋体"/>
          <w:sz w:val="23"/>
          <w:szCs w:val="23"/>
        </w:rPr>
        <w:t xml:space="preserve"> </w:t>
      </w:r>
      <w:r>
        <w:rPr>
          <w:rFonts w:ascii="宋体" w:hAnsi="宋体" w:eastAsia="宋体" w:cs="宋体"/>
          <w:spacing w:val="20"/>
          <w:sz w:val="23"/>
          <w:szCs w:val="23"/>
        </w:rPr>
        <w:t>一个</w:t>
      </w:r>
      <w:r>
        <w:rPr>
          <w:rFonts w:ascii="宋体" w:hAnsi="宋体" w:eastAsia="宋体" w:cs="宋体"/>
          <w:spacing w:val="15"/>
          <w:sz w:val="23"/>
          <w:szCs w:val="23"/>
        </w:rPr>
        <w:t>园</w:t>
      </w:r>
      <w:r>
        <w:rPr>
          <w:rFonts w:ascii="宋体" w:hAnsi="宋体" w:eastAsia="宋体" w:cs="宋体"/>
          <w:spacing w:val="10"/>
          <w:sz w:val="23"/>
          <w:szCs w:val="23"/>
        </w:rPr>
        <w:t>区</w:t>
      </w:r>
      <w:r>
        <w:rPr>
          <w:rFonts w:ascii="Times New Roman" w:hAnsi="Times New Roman" w:eastAsia="Times New Roman" w:cs="Times New Roman"/>
          <w:spacing w:val="10"/>
          <w:sz w:val="23"/>
          <w:szCs w:val="23"/>
        </w:rPr>
        <w:t>”</w:t>
      </w:r>
      <w:r>
        <w:rPr>
          <w:rFonts w:ascii="宋体" w:hAnsi="宋体" w:eastAsia="宋体" w:cs="宋体"/>
          <w:spacing w:val="10"/>
          <w:sz w:val="23"/>
          <w:szCs w:val="23"/>
        </w:rPr>
        <w:t>的农业产业发展格局。同时，以东风湖、怪石洞、后湖公园为主线的</w:t>
      </w:r>
      <w:r>
        <w:rPr>
          <w:rFonts w:ascii="宋体" w:hAnsi="宋体" w:eastAsia="宋体" w:cs="宋体"/>
          <w:sz w:val="23"/>
          <w:szCs w:val="23"/>
        </w:rPr>
        <w:t xml:space="preserve"> </w:t>
      </w:r>
      <w:r>
        <w:rPr>
          <w:rFonts w:ascii="宋体" w:hAnsi="宋体" w:eastAsia="宋体" w:cs="宋体"/>
          <w:spacing w:val="9"/>
          <w:sz w:val="23"/>
          <w:szCs w:val="23"/>
        </w:rPr>
        <w:t>城</w:t>
      </w:r>
      <w:r>
        <w:rPr>
          <w:rFonts w:ascii="宋体" w:hAnsi="宋体" w:eastAsia="宋体" w:cs="宋体"/>
          <w:spacing w:val="7"/>
          <w:sz w:val="23"/>
          <w:szCs w:val="23"/>
        </w:rPr>
        <w:t>乡特色生态旅游、庭院旅游已蓬勃发展起来，构成了山、水、林、湖、洞一体</w:t>
      </w:r>
      <w:r>
        <w:rPr>
          <w:rFonts w:ascii="宋体" w:hAnsi="宋体" w:eastAsia="宋体" w:cs="宋体"/>
          <w:sz w:val="23"/>
          <w:szCs w:val="23"/>
        </w:rPr>
        <w:t xml:space="preserve"> </w:t>
      </w:r>
      <w:r>
        <w:rPr>
          <w:rFonts w:ascii="宋体" w:hAnsi="宋体" w:eastAsia="宋体" w:cs="宋体"/>
          <w:spacing w:val="11"/>
          <w:sz w:val="23"/>
          <w:szCs w:val="23"/>
        </w:rPr>
        <w:t>的</w:t>
      </w:r>
      <w:r>
        <w:rPr>
          <w:rFonts w:ascii="宋体" w:hAnsi="宋体" w:eastAsia="宋体" w:cs="宋体"/>
          <w:spacing w:val="8"/>
          <w:sz w:val="23"/>
          <w:szCs w:val="23"/>
        </w:rPr>
        <w:t>自然风景和人文景观。</w:t>
      </w:r>
    </w:p>
    <w:p w14:paraId="4DB5A839">
      <w:pPr>
        <w:spacing w:before="137" w:line="386" w:lineRule="auto"/>
        <w:ind w:left="27" w:right="21" w:firstLine="477"/>
        <w:rPr>
          <w:rFonts w:ascii="宋体" w:hAnsi="宋体" w:eastAsia="宋体" w:cs="宋体"/>
          <w:sz w:val="23"/>
          <w:szCs w:val="23"/>
        </w:rPr>
      </w:pPr>
      <w:r>
        <w:rPr>
          <w:rFonts w:ascii="宋体" w:hAnsi="宋体" w:eastAsia="宋体" w:cs="宋体"/>
          <w:spacing w:val="19"/>
          <w:sz w:val="23"/>
          <w:szCs w:val="23"/>
        </w:rPr>
        <w:t>本</w:t>
      </w:r>
      <w:r>
        <w:rPr>
          <w:rFonts w:ascii="宋体" w:hAnsi="宋体" w:eastAsia="宋体" w:cs="宋体"/>
          <w:spacing w:val="14"/>
          <w:sz w:val="23"/>
          <w:szCs w:val="23"/>
        </w:rPr>
        <w:t>溪市地理位置优越，交通十分便捷。东与</w:t>
      </w:r>
      <w:r>
        <w:fldChar w:fldCharType="begin"/>
      </w:r>
      <w:r>
        <w:instrText xml:space="preserve"> HYPERLINK "http://baike.baidu.com/view/2659.htm" </w:instrText>
      </w:r>
      <w:r>
        <w:fldChar w:fldCharType="separate"/>
      </w:r>
      <w:r>
        <w:rPr>
          <w:rFonts w:ascii="宋体" w:hAnsi="宋体" w:eastAsia="宋体" w:cs="宋体"/>
          <w:spacing w:val="14"/>
          <w:sz w:val="23"/>
          <w:szCs w:val="23"/>
        </w:rPr>
        <w:t>吉林省</w:t>
      </w:r>
      <w:r>
        <w:rPr>
          <w:rFonts w:ascii="宋体" w:hAnsi="宋体" w:eastAsia="宋体" w:cs="宋体"/>
          <w:spacing w:val="14"/>
          <w:sz w:val="23"/>
          <w:szCs w:val="23"/>
        </w:rPr>
        <w:fldChar w:fldCharType="end"/>
      </w:r>
      <w:r>
        <w:rPr>
          <w:rFonts w:ascii="宋体" w:hAnsi="宋体" w:eastAsia="宋体" w:cs="宋体"/>
          <w:spacing w:val="14"/>
          <w:sz w:val="23"/>
          <w:szCs w:val="23"/>
        </w:rPr>
        <w:t>通化为邻，距通化市约</w:t>
      </w:r>
      <w:r>
        <w:rPr>
          <w:rFonts w:ascii="宋体" w:hAnsi="宋体" w:eastAsia="宋体" w:cs="宋体"/>
          <w:sz w:val="23"/>
          <w:szCs w:val="23"/>
        </w:rPr>
        <w:t xml:space="preserve"> </w:t>
      </w:r>
      <w:r>
        <w:rPr>
          <w:rFonts w:ascii="Times New Roman" w:hAnsi="Times New Roman" w:eastAsia="Times New Roman" w:cs="Times New Roman"/>
          <w:spacing w:val="-4"/>
          <w:sz w:val="23"/>
          <w:szCs w:val="23"/>
        </w:rPr>
        <w:t>150</w:t>
      </w:r>
      <w:r>
        <w:rPr>
          <w:rFonts w:ascii="Times New Roman" w:hAnsi="Times New Roman" w:eastAsia="Times New Roman" w:cs="Times New Roman"/>
          <w:spacing w:val="-2"/>
          <w:sz w:val="23"/>
          <w:szCs w:val="23"/>
        </w:rPr>
        <w:t>km</w:t>
      </w:r>
      <w:r>
        <w:rPr>
          <w:rFonts w:ascii="宋体" w:hAnsi="宋体" w:eastAsia="宋体" w:cs="宋体"/>
          <w:spacing w:val="-4"/>
          <w:sz w:val="23"/>
          <w:szCs w:val="23"/>
        </w:rPr>
        <w:t xml:space="preserve">；南临丹东，距丹东市约 </w:t>
      </w:r>
      <w:r>
        <w:rPr>
          <w:rFonts w:ascii="Times New Roman" w:hAnsi="Times New Roman" w:eastAsia="Times New Roman" w:cs="Times New Roman"/>
          <w:spacing w:val="-2"/>
          <w:sz w:val="23"/>
          <w:szCs w:val="23"/>
        </w:rPr>
        <w:t>193km</w:t>
      </w:r>
      <w:r>
        <w:rPr>
          <w:rFonts w:ascii="宋体" w:hAnsi="宋体" w:eastAsia="宋体" w:cs="宋体"/>
          <w:spacing w:val="-2"/>
          <w:sz w:val="23"/>
          <w:szCs w:val="23"/>
        </w:rPr>
        <w:t xml:space="preserve">；西和辽阳、鞍山接壤，距辽阳市约 </w:t>
      </w:r>
      <w:r>
        <w:rPr>
          <w:rFonts w:ascii="Times New Roman" w:hAnsi="Times New Roman" w:eastAsia="Times New Roman" w:cs="Times New Roman"/>
          <w:spacing w:val="-2"/>
          <w:sz w:val="23"/>
          <w:szCs w:val="23"/>
        </w:rPr>
        <w:t>69km</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
          <w:sz w:val="23"/>
          <w:szCs w:val="23"/>
        </w:rPr>
        <w:t>北靠沈阳、抚顺</w:t>
      </w:r>
      <w:r>
        <w:rPr>
          <w:rFonts w:ascii="宋体" w:hAnsi="宋体" w:eastAsia="宋体" w:cs="宋体"/>
          <w:spacing w:val="1"/>
          <w:sz w:val="23"/>
          <w:szCs w:val="23"/>
        </w:rPr>
        <w:t xml:space="preserve">，距沈阳约 </w:t>
      </w:r>
      <w:r>
        <w:rPr>
          <w:rFonts w:ascii="Times New Roman" w:hAnsi="Times New Roman" w:eastAsia="Times New Roman" w:cs="Times New Roman"/>
          <w:spacing w:val="1"/>
          <w:sz w:val="23"/>
          <w:szCs w:val="23"/>
        </w:rPr>
        <w:t>63</w:t>
      </w:r>
      <w:r>
        <w:rPr>
          <w:rFonts w:ascii="Times New Roman" w:hAnsi="Times New Roman" w:eastAsia="Times New Roman" w:cs="Times New Roman"/>
          <w:sz w:val="23"/>
          <w:szCs w:val="23"/>
        </w:rPr>
        <w:t>km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，距抚顺约 </w:t>
      </w:r>
      <w:r>
        <w:rPr>
          <w:rFonts w:ascii="Times New Roman" w:hAnsi="Times New Roman" w:eastAsia="Times New Roman" w:cs="Times New Roman"/>
          <w:spacing w:val="1"/>
          <w:sz w:val="23"/>
          <w:szCs w:val="23"/>
        </w:rPr>
        <w:t>79</w:t>
      </w:r>
      <w:r>
        <w:rPr>
          <w:rFonts w:ascii="Times New Roman" w:hAnsi="Times New Roman" w:eastAsia="Times New Roman" w:cs="Times New Roman"/>
          <w:sz w:val="23"/>
          <w:szCs w:val="23"/>
        </w:rPr>
        <w:t>km</w:t>
      </w:r>
      <w:r>
        <w:rPr>
          <w:rFonts w:ascii="宋体" w:hAnsi="宋体" w:eastAsia="宋体" w:cs="宋体"/>
          <w:spacing w:val="1"/>
          <w:sz w:val="23"/>
          <w:szCs w:val="23"/>
        </w:rPr>
        <w:t>。</w:t>
      </w:r>
    </w:p>
    <w:p w14:paraId="6F261B4F">
      <w:pPr>
        <w:tabs>
          <w:tab w:val="left" w:pos="148"/>
        </w:tabs>
        <w:spacing w:before="152" w:line="386" w:lineRule="auto"/>
        <w:ind w:left="22" w:right="68" w:firstLine="457"/>
        <w:rPr>
          <w:rFonts w:ascii="宋体" w:hAnsi="宋体" w:eastAsia="宋体" w:cs="宋体"/>
          <w:sz w:val="23"/>
          <w:szCs w:val="23"/>
        </w:rPr>
      </w:pPr>
      <w:r>
        <w:rPr>
          <w:rFonts w:ascii="宋体" w:hAnsi="宋体" w:eastAsia="宋体" w:cs="宋体"/>
          <w:spacing w:val="1"/>
          <w:sz w:val="23"/>
          <w:szCs w:val="23"/>
        </w:rPr>
        <w:t>沈丹、本辽辽、丹通、桓永高速公路通过本溪境内，沈丹、溪辽、溪田</w:t>
      </w:r>
      <w:r>
        <w:rPr>
          <w:rFonts w:ascii="宋体" w:hAnsi="宋体" w:eastAsia="宋体" w:cs="宋体"/>
          <w:sz w:val="23"/>
          <w:szCs w:val="23"/>
        </w:rPr>
        <w:t xml:space="preserve">、通灌 </w:t>
      </w:r>
      <w:r>
        <w:rPr>
          <w:rFonts w:ascii="宋体" w:hAnsi="宋体" w:eastAsia="宋体" w:cs="宋体"/>
          <w:spacing w:val="-16"/>
          <w:sz w:val="23"/>
          <w:szCs w:val="23"/>
        </w:rPr>
        <w:t>铁路通过本</w:t>
      </w:r>
      <w:r>
        <w:rPr>
          <w:rFonts w:ascii="宋体" w:hAnsi="宋体" w:eastAsia="宋体" w:cs="宋体"/>
          <w:spacing w:val="-8"/>
          <w:sz w:val="23"/>
          <w:szCs w:val="23"/>
        </w:rPr>
        <w:t xml:space="preserve">溪境内。全市拥有各级公路 </w:t>
      </w:r>
      <w:r>
        <w:rPr>
          <w:rFonts w:ascii="Times New Roman" w:hAnsi="Times New Roman" w:eastAsia="Times New Roman" w:cs="Times New Roman"/>
          <w:spacing w:val="-8"/>
          <w:sz w:val="23"/>
          <w:szCs w:val="23"/>
        </w:rPr>
        <w:t xml:space="preserve">734 </w:t>
      </w:r>
      <w:r>
        <w:rPr>
          <w:rFonts w:ascii="宋体" w:hAnsi="宋体" w:eastAsia="宋体" w:cs="宋体"/>
          <w:spacing w:val="-8"/>
          <w:sz w:val="23"/>
          <w:szCs w:val="23"/>
        </w:rPr>
        <w:t xml:space="preserve">条 </w:t>
      </w:r>
      <w:r>
        <w:rPr>
          <w:rFonts w:ascii="Times New Roman" w:hAnsi="Times New Roman" w:eastAsia="Times New Roman" w:cs="Times New Roman"/>
          <w:spacing w:val="-8"/>
          <w:sz w:val="23"/>
          <w:szCs w:val="23"/>
        </w:rPr>
        <w:t>3907.568km</w:t>
      </w:r>
      <w:r>
        <w:rPr>
          <w:rFonts w:ascii="宋体" w:hAnsi="宋体" w:eastAsia="宋体" w:cs="宋体"/>
          <w:spacing w:val="-8"/>
          <w:sz w:val="23"/>
          <w:szCs w:val="23"/>
        </w:rPr>
        <w:t xml:space="preserve">，公路密度 </w:t>
      </w:r>
      <w:r>
        <w:rPr>
          <w:rFonts w:ascii="Times New Roman" w:hAnsi="Times New Roman" w:eastAsia="Times New Roman" w:cs="Times New Roman"/>
          <w:spacing w:val="-8"/>
          <w:sz w:val="23"/>
          <w:szCs w:val="23"/>
        </w:rPr>
        <w:t>48.94km/100km</w:t>
      </w:r>
      <w:r>
        <w:rPr>
          <w:rFonts w:ascii="Times New Roman" w:hAnsi="Times New Roman" w:eastAsia="Times New Roman" w:cs="Times New Roman"/>
          <w:spacing w:val="-8"/>
          <w:position w:val="8"/>
          <w:sz w:val="15"/>
          <w:szCs w:val="15"/>
        </w:rPr>
        <w:t>2</w:t>
      </w:r>
      <w:r>
        <w:rPr>
          <w:rFonts w:ascii="Times New Roman" w:hAnsi="Times New Roman" w:eastAsia="Times New Roman" w:cs="Times New Roman"/>
          <w:position w:val="8"/>
          <w:sz w:val="15"/>
          <w:szCs w:val="15"/>
        </w:rPr>
        <w:t xml:space="preserve"> </w:t>
      </w:r>
      <w:r>
        <w:rPr>
          <w:rFonts w:ascii="宋体" w:hAnsi="宋体" w:eastAsia="宋体" w:cs="宋体"/>
          <w:sz w:val="23"/>
          <w:szCs w:val="23"/>
        </w:rPr>
        <w:tab/>
      </w:r>
      <w:r>
        <w:rPr>
          <w:rFonts w:ascii="宋体" w:hAnsi="宋体" w:eastAsia="宋体" w:cs="宋体"/>
          <w:spacing w:val="-6"/>
          <w:sz w:val="23"/>
          <w:szCs w:val="23"/>
        </w:rPr>
        <w:t xml:space="preserve">(含高速公路 </w:t>
      </w:r>
      <w:r>
        <w:rPr>
          <w:rFonts w:ascii="Times New Roman" w:hAnsi="Times New Roman" w:eastAsia="Times New Roman" w:cs="Times New Roman"/>
          <w:spacing w:val="-6"/>
          <w:sz w:val="23"/>
          <w:szCs w:val="23"/>
        </w:rPr>
        <w:t>208.927</w:t>
      </w:r>
      <w:r>
        <w:rPr>
          <w:rFonts w:ascii="Times New Roman" w:hAnsi="Times New Roman" w:eastAsia="Times New Roman" w:cs="Times New Roman"/>
          <w:spacing w:val="-4"/>
          <w:sz w:val="23"/>
          <w:szCs w:val="23"/>
        </w:rPr>
        <w:t>k</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。本溪已构建形成以一横 (本桓线) 、七纵 (沈本产业大</w:t>
      </w:r>
    </w:p>
    <w:p w14:paraId="13AA71FC">
      <w:pPr>
        <w:sectPr>
          <w:headerReference r:id="rId154" w:type="default"/>
          <w:footerReference r:id="rId155" w:type="default"/>
          <w:pgSz w:w="11906" w:h="16839"/>
          <w:pgMar w:top="1132" w:right="1716" w:bottom="1180" w:left="1785" w:header="878" w:footer="1022" w:gutter="0"/>
          <w:cols w:space="720" w:num="1"/>
        </w:sectPr>
      </w:pPr>
    </w:p>
    <w:p w14:paraId="444D0C86">
      <w:pPr>
        <w:spacing w:line="409" w:lineRule="auto"/>
        <w:rPr>
          <w:rFonts w:ascii="Arial"/>
          <w:sz w:val="21"/>
        </w:rPr>
      </w:pPr>
      <w:r>
        <w:pict>
          <v:shape id="_x0000_s1212" o:spid="_x0000_s1212" style="position:absolute;left:0pt;margin-left:90pt;margin-top:57.35pt;height:0.75pt;width:415.3pt;mso-position-horizontal-relative:page;mso-position-vertical-relative:page;z-index:251864064;mso-width-relative:page;mso-height-relative:page;" fillcolor="#000000" filled="t" stroked="f" coordsize="8305,15" o:allowincell="f" path="m0,0l8305,0,8305,14,0,14,0,0xe">
            <v:path/>
            <v:fill on="t" focussize="0,0"/>
            <v:stroke on="f"/>
            <v:imagedata o:title=""/>
            <o:lock v:ext="edit"/>
          </v:shape>
        </w:pict>
      </w:r>
    </w:p>
    <w:p w14:paraId="50429B8E">
      <w:pPr>
        <w:spacing w:before="74" w:line="393" w:lineRule="auto"/>
        <w:ind w:left="39" w:right="68" w:hanging="8"/>
        <w:rPr>
          <w:rFonts w:ascii="宋体" w:hAnsi="宋体" w:eastAsia="宋体" w:cs="宋体"/>
          <w:sz w:val="23"/>
          <w:szCs w:val="23"/>
        </w:rPr>
      </w:pPr>
      <w:r>
        <w:rPr>
          <w:rFonts w:ascii="宋体" w:hAnsi="宋体" w:eastAsia="宋体" w:cs="宋体"/>
          <w:spacing w:val="1"/>
          <w:sz w:val="23"/>
          <w:szCs w:val="23"/>
        </w:rPr>
        <w:t>道、沈环线、丹霍线、抚草线、铁长线、木通线、鹤大线) 、三</w:t>
      </w:r>
      <w:r>
        <w:rPr>
          <w:rFonts w:ascii="宋体" w:hAnsi="宋体" w:eastAsia="宋体" w:cs="宋体"/>
          <w:sz w:val="23"/>
          <w:szCs w:val="23"/>
        </w:rPr>
        <w:t xml:space="preserve">环 (市区旅游环线 </w:t>
      </w:r>
      <w:r>
        <w:rPr>
          <w:rFonts w:ascii="宋体" w:hAnsi="宋体" w:eastAsia="宋体" w:cs="宋体"/>
          <w:spacing w:val="-3"/>
          <w:sz w:val="23"/>
          <w:szCs w:val="23"/>
        </w:rPr>
        <w:t>公</w:t>
      </w:r>
      <w:r>
        <w:rPr>
          <w:rFonts w:ascii="宋体" w:hAnsi="宋体" w:eastAsia="宋体" w:cs="宋体"/>
          <w:spacing w:val="-2"/>
          <w:sz w:val="23"/>
          <w:szCs w:val="23"/>
        </w:rPr>
        <w:t>路、本溪县旅游环线及桓仁环湖公路) 为重点的公路交通保障体系。</w:t>
      </w:r>
    </w:p>
    <w:p w14:paraId="10CDBAFC">
      <w:pPr>
        <w:spacing w:before="69" w:line="223" w:lineRule="auto"/>
        <w:ind w:left="30"/>
        <w:outlineLvl w:val="1"/>
        <w:rPr>
          <w:rFonts w:ascii="宋体" w:hAnsi="宋体" w:eastAsia="宋体" w:cs="宋体"/>
          <w:sz w:val="31"/>
          <w:szCs w:val="31"/>
        </w:rPr>
      </w:pPr>
      <w:bookmarkStart w:id="21" w:name="_bookmark22"/>
      <w:bookmarkEnd w:id="21"/>
      <w:r>
        <w:rPr>
          <w:rFonts w:ascii="Times New Roman" w:hAnsi="Times New Roman" w:eastAsia="Times New Roman" w:cs="Times New Roman"/>
          <w:b/>
          <w:bCs/>
          <w:spacing w:val="11"/>
          <w:sz w:val="31"/>
          <w:szCs w:val="31"/>
        </w:rPr>
        <w:t>4</w:t>
      </w:r>
      <w:r>
        <w:rPr>
          <w:rFonts w:ascii="Times New Roman" w:hAnsi="Times New Roman" w:eastAsia="Times New Roman" w:cs="Times New Roman"/>
          <w:b/>
          <w:bCs/>
          <w:spacing w:val="8"/>
          <w:sz w:val="31"/>
          <w:szCs w:val="31"/>
        </w:rPr>
        <w:t>.3</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环境质量现状调查与评价</w:t>
      </w:r>
    </w:p>
    <w:p w14:paraId="39F28B3F">
      <w:pPr>
        <w:spacing w:line="251" w:lineRule="auto"/>
        <w:rPr>
          <w:rFonts w:ascii="Arial"/>
          <w:sz w:val="21"/>
        </w:rPr>
      </w:pPr>
    </w:p>
    <w:p w14:paraId="1CA5D54B">
      <w:pPr>
        <w:spacing w:before="75" w:line="388" w:lineRule="auto"/>
        <w:ind w:left="32" w:right="47" w:firstLine="482"/>
        <w:rPr>
          <w:rFonts w:ascii="宋体" w:hAnsi="宋体" w:eastAsia="宋体" w:cs="宋体"/>
          <w:sz w:val="23"/>
          <w:szCs w:val="23"/>
        </w:rPr>
      </w:pPr>
      <w:r>
        <w:rPr>
          <w:rFonts w:ascii="宋体" w:hAnsi="宋体" w:eastAsia="宋体" w:cs="宋体"/>
          <w:spacing w:val="12"/>
          <w:sz w:val="23"/>
          <w:szCs w:val="23"/>
        </w:rPr>
        <w:t>为</w:t>
      </w:r>
      <w:r>
        <w:rPr>
          <w:rFonts w:ascii="宋体" w:hAnsi="宋体" w:eastAsia="宋体" w:cs="宋体"/>
          <w:spacing w:val="7"/>
          <w:sz w:val="23"/>
          <w:szCs w:val="23"/>
        </w:rPr>
        <w:t>了解建设项目所在地区域环境质量状况，该项目环境空气质量现状优先采</w:t>
      </w:r>
      <w:r>
        <w:rPr>
          <w:rFonts w:ascii="宋体" w:hAnsi="宋体" w:eastAsia="宋体" w:cs="宋体"/>
          <w:sz w:val="23"/>
          <w:szCs w:val="23"/>
        </w:rPr>
        <w:t xml:space="preserve"> </w:t>
      </w:r>
      <w:r>
        <w:rPr>
          <w:rFonts w:ascii="宋体" w:hAnsi="宋体" w:eastAsia="宋体" w:cs="宋体"/>
          <w:spacing w:val="10"/>
          <w:sz w:val="23"/>
          <w:szCs w:val="23"/>
        </w:rPr>
        <w:t>用《本溪市环</w:t>
      </w:r>
      <w:r>
        <w:rPr>
          <w:rFonts w:ascii="宋体" w:hAnsi="宋体" w:eastAsia="宋体" w:cs="宋体"/>
          <w:spacing w:val="7"/>
          <w:sz w:val="23"/>
          <w:szCs w:val="23"/>
        </w:rPr>
        <w:t>境</w:t>
      </w:r>
      <w:r>
        <w:rPr>
          <w:rFonts w:ascii="宋体" w:hAnsi="宋体" w:eastAsia="宋体" w:cs="宋体"/>
          <w:spacing w:val="5"/>
          <w:sz w:val="23"/>
          <w:szCs w:val="23"/>
        </w:rPr>
        <w:t>质量简报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 xml:space="preserve">年) 》中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年本溪市环境质量的相关数据进</w:t>
      </w:r>
      <w:r>
        <w:rPr>
          <w:rFonts w:ascii="宋体" w:hAnsi="宋体" w:eastAsia="宋体" w:cs="宋体"/>
          <w:sz w:val="23"/>
          <w:szCs w:val="23"/>
        </w:rPr>
        <w:t xml:space="preserve"> </w:t>
      </w:r>
      <w:r>
        <w:rPr>
          <w:rFonts w:ascii="宋体" w:hAnsi="宋体" w:eastAsia="宋体" w:cs="宋体"/>
          <w:spacing w:val="2"/>
          <w:sz w:val="23"/>
          <w:szCs w:val="23"/>
        </w:rPr>
        <w:t xml:space="preserve">行评价。同时委托辽宁康瑞检测有限公司于 </w:t>
      </w:r>
      <w:r>
        <w:rPr>
          <w:rFonts w:ascii="Times New Roman" w:hAnsi="Times New Roman" w:eastAsia="Times New Roman" w:cs="Times New Roman"/>
          <w:spacing w:val="2"/>
          <w:sz w:val="23"/>
          <w:szCs w:val="23"/>
        </w:rPr>
        <w:t>2019</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06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20 </w:t>
      </w:r>
      <w:r>
        <w:rPr>
          <w:rFonts w:ascii="宋体" w:hAnsi="宋体" w:eastAsia="宋体" w:cs="宋体"/>
          <w:spacing w:val="1"/>
          <w:sz w:val="23"/>
          <w:szCs w:val="23"/>
        </w:rPr>
        <w:t xml:space="preserve">日至 </w:t>
      </w:r>
      <w:r>
        <w:rPr>
          <w:rFonts w:ascii="Times New Roman" w:hAnsi="Times New Roman" w:eastAsia="Times New Roman" w:cs="Times New Roman"/>
          <w:spacing w:val="1"/>
          <w:sz w:val="23"/>
          <w:szCs w:val="23"/>
        </w:rPr>
        <w:t xml:space="preserve">06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26 </w:t>
      </w:r>
      <w:r>
        <w:rPr>
          <w:rFonts w:ascii="宋体" w:hAnsi="宋体" w:eastAsia="宋体" w:cs="宋体"/>
          <w:spacing w:val="1"/>
          <w:sz w:val="23"/>
          <w:szCs w:val="23"/>
        </w:rPr>
        <w:t>日对</w:t>
      </w:r>
      <w:r>
        <w:rPr>
          <w:rFonts w:ascii="宋体" w:hAnsi="宋体" w:eastAsia="宋体" w:cs="宋体"/>
          <w:sz w:val="23"/>
          <w:szCs w:val="23"/>
        </w:rPr>
        <w:t xml:space="preserve"> </w:t>
      </w:r>
      <w:r>
        <w:rPr>
          <w:rFonts w:ascii="宋体" w:hAnsi="宋体" w:eastAsia="宋体" w:cs="宋体"/>
          <w:spacing w:val="8"/>
          <w:sz w:val="23"/>
          <w:szCs w:val="23"/>
        </w:rPr>
        <w:t>本地区的环境质量现状进行监测，监测项目包括环境空气、环境噪声及地下水</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2"/>
          <w:sz w:val="23"/>
          <w:szCs w:val="23"/>
        </w:rPr>
        <w:t xml:space="preserve">于 </w:t>
      </w:r>
      <w:r>
        <w:rPr>
          <w:rFonts w:ascii="Times New Roman" w:hAnsi="Times New Roman" w:eastAsia="Times New Roman" w:cs="Times New Roman"/>
          <w:spacing w:val="2"/>
          <w:sz w:val="23"/>
          <w:szCs w:val="23"/>
        </w:rPr>
        <w:t xml:space="preserve">2019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08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日对本地区的土壤环境质量现状进</w:t>
      </w:r>
      <w:r>
        <w:rPr>
          <w:rFonts w:ascii="宋体" w:hAnsi="宋体" w:eastAsia="宋体" w:cs="宋体"/>
          <w:spacing w:val="1"/>
          <w:sz w:val="23"/>
          <w:szCs w:val="23"/>
        </w:rPr>
        <w:t>行了监测，建设项目监测点</w:t>
      </w:r>
      <w:r>
        <w:rPr>
          <w:rFonts w:ascii="宋体" w:hAnsi="宋体" w:eastAsia="宋体" w:cs="宋体"/>
          <w:sz w:val="23"/>
          <w:szCs w:val="23"/>
        </w:rPr>
        <w:t xml:space="preserve"> </w:t>
      </w:r>
      <w:r>
        <w:rPr>
          <w:rFonts w:ascii="宋体" w:hAnsi="宋体" w:eastAsia="宋体" w:cs="宋体"/>
          <w:spacing w:val="-7"/>
          <w:sz w:val="23"/>
          <w:szCs w:val="23"/>
        </w:rPr>
        <w:t xml:space="preserve">位图见图 </w:t>
      </w:r>
      <w:r>
        <w:rPr>
          <w:rFonts w:ascii="Times New Roman" w:hAnsi="Times New Roman" w:eastAsia="Times New Roman" w:cs="Times New Roman"/>
          <w:spacing w:val="-7"/>
          <w:sz w:val="23"/>
          <w:szCs w:val="23"/>
        </w:rPr>
        <w:t>4- 1</w:t>
      </w:r>
      <w:r>
        <w:rPr>
          <w:rFonts w:ascii="宋体" w:hAnsi="宋体" w:eastAsia="宋体" w:cs="宋体"/>
          <w:spacing w:val="-7"/>
          <w:sz w:val="23"/>
          <w:szCs w:val="23"/>
        </w:rPr>
        <w:t>。</w:t>
      </w:r>
    </w:p>
    <w:p w14:paraId="65B5DB76">
      <w:pPr>
        <w:spacing w:before="85" w:line="224" w:lineRule="auto"/>
        <w:ind w:left="30"/>
        <w:outlineLvl w:val="2"/>
        <w:rPr>
          <w:rFonts w:ascii="宋体" w:hAnsi="宋体" w:eastAsia="宋体" w:cs="宋体"/>
          <w:sz w:val="29"/>
          <w:szCs w:val="29"/>
        </w:rPr>
      </w:pPr>
      <w:r>
        <w:rPr>
          <w:rFonts w:ascii="Times New Roman" w:hAnsi="Times New Roman" w:eastAsia="Times New Roman" w:cs="Times New Roman"/>
          <w:b/>
          <w:bCs/>
          <w:spacing w:val="8"/>
          <w:sz w:val="29"/>
          <w:szCs w:val="29"/>
        </w:rPr>
        <w:t>4.3.1</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环境空气质量现状监测与评价</w:t>
      </w:r>
    </w:p>
    <w:p w14:paraId="5EEA72EB">
      <w:pPr>
        <w:spacing w:line="260" w:lineRule="auto"/>
        <w:rPr>
          <w:rFonts w:ascii="Arial"/>
          <w:sz w:val="21"/>
        </w:rPr>
      </w:pPr>
    </w:p>
    <w:p w14:paraId="4359CE5C">
      <w:pPr>
        <w:spacing w:before="75" w:line="389" w:lineRule="auto"/>
        <w:ind w:left="30" w:right="80" w:firstLine="481"/>
        <w:rPr>
          <w:rFonts w:ascii="宋体" w:hAnsi="宋体" w:eastAsia="宋体" w:cs="宋体"/>
          <w:sz w:val="23"/>
          <w:szCs w:val="23"/>
        </w:rPr>
      </w:pPr>
      <w:r>
        <w:rPr>
          <w:rFonts w:ascii="宋体" w:hAnsi="宋体" w:eastAsia="宋体" w:cs="宋体"/>
          <w:spacing w:val="12"/>
          <w:sz w:val="23"/>
          <w:szCs w:val="23"/>
        </w:rPr>
        <w:t>根据</w:t>
      </w:r>
      <w:r>
        <w:rPr>
          <w:rFonts w:ascii="宋体" w:hAnsi="宋体" w:eastAsia="宋体" w:cs="宋体"/>
          <w:spacing w:val="11"/>
          <w:sz w:val="23"/>
          <w:szCs w:val="23"/>
        </w:rPr>
        <w:t>前</w:t>
      </w:r>
      <w:r>
        <w:rPr>
          <w:rFonts w:ascii="宋体" w:hAnsi="宋体" w:eastAsia="宋体" w:cs="宋体"/>
          <w:spacing w:val="6"/>
          <w:sz w:val="23"/>
          <w:szCs w:val="23"/>
        </w:rPr>
        <w:t>文确定该项目大气环境影响评价等级为二级，</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 xml:space="preserve">2.2-2018 </w:t>
      </w:r>
      <w:r>
        <w:rPr>
          <w:rFonts w:ascii="宋体" w:hAnsi="宋体" w:eastAsia="宋体" w:cs="宋体"/>
          <w:spacing w:val="6"/>
          <w:sz w:val="23"/>
          <w:szCs w:val="23"/>
        </w:rPr>
        <w:t>规定环境空</w:t>
      </w:r>
      <w:r>
        <w:rPr>
          <w:rFonts w:ascii="宋体" w:hAnsi="宋体" w:eastAsia="宋体" w:cs="宋体"/>
          <w:sz w:val="23"/>
          <w:szCs w:val="23"/>
        </w:rPr>
        <w:t xml:space="preserve"> </w:t>
      </w:r>
      <w:r>
        <w:rPr>
          <w:rFonts w:ascii="宋体" w:hAnsi="宋体" w:eastAsia="宋体" w:cs="宋体"/>
          <w:spacing w:val="14"/>
          <w:sz w:val="23"/>
          <w:szCs w:val="23"/>
        </w:rPr>
        <w:t>气质量现状调查与评价二级评价项目调查内容为①调查项目所在区域环境质量</w:t>
      </w:r>
      <w:r>
        <w:rPr>
          <w:rFonts w:ascii="宋体" w:hAnsi="宋体" w:eastAsia="宋体" w:cs="宋体"/>
          <w:sz w:val="23"/>
          <w:szCs w:val="23"/>
        </w:rPr>
        <w:t xml:space="preserve"> </w:t>
      </w:r>
      <w:r>
        <w:rPr>
          <w:rFonts w:ascii="宋体" w:hAnsi="宋体" w:eastAsia="宋体" w:cs="宋体"/>
          <w:spacing w:val="16"/>
          <w:sz w:val="23"/>
          <w:szCs w:val="23"/>
        </w:rPr>
        <w:t>达</w:t>
      </w:r>
      <w:r>
        <w:rPr>
          <w:rFonts w:ascii="宋体" w:hAnsi="宋体" w:eastAsia="宋体" w:cs="宋体"/>
          <w:spacing w:val="14"/>
          <w:sz w:val="23"/>
          <w:szCs w:val="23"/>
        </w:rPr>
        <w:t>标情况②调查评价范围内有环境质量标准的评价因子的环境质量监测数据或</w:t>
      </w:r>
      <w:r>
        <w:rPr>
          <w:rFonts w:ascii="宋体" w:hAnsi="宋体" w:eastAsia="宋体" w:cs="宋体"/>
          <w:sz w:val="23"/>
          <w:szCs w:val="23"/>
        </w:rPr>
        <w:t xml:space="preserve"> </w:t>
      </w:r>
      <w:r>
        <w:rPr>
          <w:rFonts w:ascii="宋体" w:hAnsi="宋体" w:eastAsia="宋体" w:cs="宋体"/>
          <w:spacing w:val="18"/>
          <w:sz w:val="23"/>
          <w:szCs w:val="23"/>
        </w:rPr>
        <w:t>进</w:t>
      </w:r>
      <w:r>
        <w:rPr>
          <w:rFonts w:ascii="宋体" w:hAnsi="宋体" w:eastAsia="宋体" w:cs="宋体"/>
          <w:spacing w:val="9"/>
          <w:sz w:val="23"/>
          <w:szCs w:val="23"/>
        </w:rPr>
        <w:t>行补充监测，用于评价项目所在区域污染物环境质量现状。</w:t>
      </w:r>
    </w:p>
    <w:p w14:paraId="3A9C7FE1">
      <w:pPr>
        <w:spacing w:before="100" w:line="221" w:lineRule="auto"/>
        <w:ind w:left="30"/>
        <w:outlineLvl w:val="3"/>
        <w:rPr>
          <w:rFonts w:ascii="宋体" w:hAnsi="宋体" w:eastAsia="宋体" w:cs="宋体"/>
          <w:sz w:val="28"/>
          <w:szCs w:val="28"/>
        </w:rPr>
      </w:pPr>
      <w:r>
        <w:rPr>
          <w:rFonts w:ascii="Times New Roman" w:hAnsi="Times New Roman" w:eastAsia="Times New Roman" w:cs="Times New Roman"/>
          <w:b/>
          <w:bCs/>
          <w:spacing w:val="16"/>
          <w:sz w:val="28"/>
          <w:szCs w:val="28"/>
        </w:rPr>
        <w:t>4</w:t>
      </w:r>
      <w:r>
        <w:rPr>
          <w:rFonts w:ascii="Times New Roman" w:hAnsi="Times New Roman" w:eastAsia="Times New Roman" w:cs="Times New Roman"/>
          <w:b/>
          <w:bCs/>
          <w:spacing w:val="14"/>
          <w:sz w:val="28"/>
          <w:szCs w:val="28"/>
        </w:rPr>
        <w:t>.</w:t>
      </w:r>
      <w:r>
        <w:rPr>
          <w:rFonts w:ascii="Times New Roman" w:hAnsi="Times New Roman" w:eastAsia="Times New Roman" w:cs="Times New Roman"/>
          <w:b/>
          <w:bCs/>
          <w:spacing w:val="8"/>
          <w:sz w:val="28"/>
          <w:szCs w:val="28"/>
        </w:rPr>
        <w:t>3.1.1</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区域环境质量达标情况</w:t>
      </w:r>
    </w:p>
    <w:p w14:paraId="455112BD">
      <w:pPr>
        <w:spacing w:line="259" w:lineRule="auto"/>
        <w:rPr>
          <w:rFonts w:ascii="Arial"/>
          <w:sz w:val="21"/>
        </w:rPr>
      </w:pPr>
    </w:p>
    <w:p w14:paraId="2C5B7A36">
      <w:pPr>
        <w:spacing w:before="75" w:line="389" w:lineRule="auto"/>
        <w:ind w:left="35" w:right="73" w:firstLine="477"/>
        <w:rPr>
          <w:rFonts w:ascii="宋体" w:hAnsi="宋体" w:eastAsia="宋体" w:cs="宋体"/>
          <w:sz w:val="23"/>
          <w:szCs w:val="23"/>
        </w:rPr>
      </w:pPr>
      <w:r>
        <w:rPr>
          <w:rFonts w:ascii="宋体" w:hAnsi="宋体" w:eastAsia="宋体" w:cs="宋体"/>
          <w:spacing w:val="18"/>
          <w:sz w:val="23"/>
          <w:szCs w:val="23"/>
        </w:rPr>
        <w:t>根据</w:t>
      </w:r>
      <w:r>
        <w:rPr>
          <w:rFonts w:ascii="宋体" w:hAnsi="宋体" w:eastAsia="宋体" w:cs="宋体"/>
          <w:spacing w:val="12"/>
          <w:sz w:val="23"/>
          <w:szCs w:val="23"/>
        </w:rPr>
        <w:t xml:space="preserve"> </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 xml:space="preserve">2.2-2018 </w:t>
      </w:r>
      <w:r>
        <w:rPr>
          <w:rFonts w:ascii="宋体" w:hAnsi="宋体" w:eastAsia="宋体" w:cs="宋体"/>
          <w:spacing w:val="9"/>
          <w:sz w:val="23"/>
          <w:szCs w:val="23"/>
        </w:rPr>
        <w:t>要求，用于区域环境质量达标情况评价的污染物为基本污</w:t>
      </w:r>
      <w:r>
        <w:rPr>
          <w:rFonts w:ascii="宋体" w:hAnsi="宋体" w:eastAsia="宋体" w:cs="宋体"/>
          <w:sz w:val="23"/>
          <w:szCs w:val="23"/>
        </w:rPr>
        <w:t xml:space="preserve"> </w:t>
      </w:r>
      <w:r>
        <w:rPr>
          <w:rFonts w:ascii="宋体" w:hAnsi="宋体" w:eastAsia="宋体" w:cs="宋体"/>
          <w:spacing w:val="4"/>
          <w:sz w:val="23"/>
          <w:szCs w:val="23"/>
        </w:rPr>
        <w:t>染物</w:t>
      </w:r>
      <w:r>
        <w:rPr>
          <w:rFonts w:ascii="宋体" w:hAnsi="宋体" w:eastAsia="宋体" w:cs="宋体"/>
          <w:spacing w:val="2"/>
          <w:sz w:val="23"/>
          <w:szCs w:val="23"/>
        </w:rPr>
        <w:t xml:space="preserve">，基本污染物为 </w:t>
      </w:r>
      <w:r>
        <w:rPr>
          <w:rFonts w:ascii="Times New Roman" w:hAnsi="Times New Roman" w:eastAsia="Times New Roman" w:cs="Times New Roman"/>
          <w:sz w:val="23"/>
          <w:szCs w:val="23"/>
        </w:rPr>
        <w:t>SO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2"/>
          <w:position w:val="-1"/>
          <w:sz w:val="15"/>
          <w:szCs w:val="15"/>
        </w:rPr>
        <w:t xml:space="preserve">10 </w:t>
      </w:r>
      <w:r>
        <w:rPr>
          <w:rFonts w:ascii="宋体" w:hAnsi="宋体" w:eastAsia="宋体" w:cs="宋体"/>
          <w:spacing w:val="2"/>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2"/>
          <w:position w:val="-1"/>
          <w:sz w:val="15"/>
          <w:szCs w:val="15"/>
        </w:rPr>
        <w:t xml:space="preserve">2.5 </w:t>
      </w:r>
      <w:r>
        <w:rPr>
          <w:rFonts w:ascii="宋体" w:hAnsi="宋体" w:eastAsia="宋体" w:cs="宋体"/>
          <w:spacing w:val="2"/>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z w:val="23"/>
          <w:szCs w:val="23"/>
        </w:rPr>
        <w:t>O</w:t>
      </w:r>
      <w:r>
        <w:rPr>
          <w:rFonts w:ascii="Times New Roman" w:hAnsi="Times New Roman" w:eastAsia="Times New Roman" w:cs="Times New Roman"/>
          <w:spacing w:val="2"/>
          <w:position w:val="-1"/>
          <w:sz w:val="15"/>
          <w:szCs w:val="15"/>
        </w:rPr>
        <w:t xml:space="preserve">3 </w:t>
      </w:r>
      <w:r>
        <w:rPr>
          <w:rFonts w:ascii="宋体" w:hAnsi="宋体" w:eastAsia="宋体" w:cs="宋体"/>
          <w:spacing w:val="2"/>
          <w:sz w:val="23"/>
          <w:szCs w:val="23"/>
        </w:rPr>
        <w:t>。项目所在区域达标判</w:t>
      </w:r>
      <w:r>
        <w:rPr>
          <w:rFonts w:ascii="宋体" w:hAnsi="宋体" w:eastAsia="宋体" w:cs="宋体"/>
          <w:sz w:val="23"/>
          <w:szCs w:val="23"/>
        </w:rPr>
        <w:t xml:space="preserve"> </w:t>
      </w:r>
      <w:r>
        <w:rPr>
          <w:rFonts w:ascii="宋体" w:hAnsi="宋体" w:eastAsia="宋体" w:cs="宋体"/>
          <w:spacing w:val="7"/>
          <w:sz w:val="23"/>
          <w:szCs w:val="23"/>
        </w:rPr>
        <w:t>定，优先采用国家或地方生态环境主管部门公开发布的评价基准年环境质量公</w:t>
      </w:r>
      <w:r>
        <w:rPr>
          <w:rFonts w:ascii="宋体" w:hAnsi="宋体" w:eastAsia="宋体" w:cs="宋体"/>
          <w:spacing w:val="6"/>
          <w:sz w:val="23"/>
          <w:szCs w:val="23"/>
        </w:rPr>
        <w:t>告</w:t>
      </w:r>
      <w:r>
        <w:rPr>
          <w:rFonts w:ascii="宋体" w:hAnsi="宋体" w:eastAsia="宋体" w:cs="宋体"/>
          <w:sz w:val="23"/>
          <w:szCs w:val="23"/>
        </w:rPr>
        <w:t xml:space="preserve"> </w:t>
      </w:r>
      <w:r>
        <w:rPr>
          <w:rFonts w:ascii="宋体" w:hAnsi="宋体" w:eastAsia="宋体" w:cs="宋体"/>
          <w:spacing w:val="15"/>
          <w:sz w:val="23"/>
          <w:szCs w:val="23"/>
        </w:rPr>
        <w:t>或</w:t>
      </w:r>
      <w:r>
        <w:rPr>
          <w:rFonts w:ascii="宋体" w:hAnsi="宋体" w:eastAsia="宋体" w:cs="宋体"/>
          <w:spacing w:val="8"/>
          <w:sz w:val="23"/>
          <w:szCs w:val="23"/>
        </w:rPr>
        <w:t>环境质量报告中的数据或结论。</w:t>
      </w:r>
    </w:p>
    <w:p w14:paraId="74DD82A2">
      <w:pPr>
        <w:spacing w:before="138" w:line="390" w:lineRule="auto"/>
        <w:ind w:left="31" w:firstLine="481"/>
        <w:rPr>
          <w:rFonts w:ascii="宋体" w:hAnsi="宋体" w:eastAsia="宋体" w:cs="宋体"/>
          <w:sz w:val="23"/>
          <w:szCs w:val="23"/>
        </w:rPr>
      </w:pPr>
      <w:r>
        <w:rPr>
          <w:rFonts w:ascii="宋体" w:hAnsi="宋体" w:eastAsia="宋体" w:cs="宋体"/>
          <w:spacing w:val="10"/>
          <w:sz w:val="23"/>
          <w:szCs w:val="23"/>
        </w:rPr>
        <w:t>本次评价</w:t>
      </w:r>
      <w:r>
        <w:rPr>
          <w:rFonts w:ascii="宋体" w:hAnsi="宋体" w:eastAsia="宋体" w:cs="宋体"/>
          <w:spacing w:val="6"/>
          <w:sz w:val="23"/>
          <w:szCs w:val="23"/>
        </w:rPr>
        <w:t>优</w:t>
      </w:r>
      <w:r>
        <w:rPr>
          <w:rFonts w:ascii="宋体" w:hAnsi="宋体" w:eastAsia="宋体" w:cs="宋体"/>
          <w:spacing w:val="5"/>
          <w:sz w:val="23"/>
          <w:szCs w:val="23"/>
        </w:rPr>
        <w:t>先采用《本溪市环境质量简报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 xml:space="preserve">年) 》中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年本溪市环</w:t>
      </w:r>
      <w:r>
        <w:rPr>
          <w:rFonts w:ascii="宋体" w:hAnsi="宋体" w:eastAsia="宋体" w:cs="宋体"/>
          <w:sz w:val="23"/>
          <w:szCs w:val="23"/>
        </w:rPr>
        <w:t xml:space="preserve"> </w:t>
      </w:r>
      <w:r>
        <w:rPr>
          <w:rFonts w:ascii="宋体" w:hAnsi="宋体" w:eastAsia="宋体" w:cs="宋体"/>
          <w:spacing w:val="4"/>
          <w:sz w:val="23"/>
          <w:szCs w:val="23"/>
        </w:rPr>
        <w:t>境质量的相关数据进行评价，</w:t>
      </w:r>
      <w:r>
        <w:rPr>
          <w:rFonts w:ascii="宋体" w:hAnsi="宋体" w:eastAsia="宋体" w:cs="宋体"/>
          <w:spacing w:val="3"/>
          <w:sz w:val="23"/>
          <w:szCs w:val="23"/>
        </w:rPr>
        <w:t>监</w:t>
      </w:r>
      <w:r>
        <w:rPr>
          <w:rFonts w:ascii="宋体" w:hAnsi="宋体" w:eastAsia="宋体" w:cs="宋体"/>
          <w:spacing w:val="2"/>
          <w:sz w:val="23"/>
          <w:szCs w:val="23"/>
        </w:rPr>
        <w:t xml:space="preserve">测项目为 </w:t>
      </w:r>
      <w:r>
        <w:rPr>
          <w:rFonts w:ascii="Times New Roman" w:hAnsi="Times New Roman" w:eastAsia="Times New Roman" w:cs="Times New Roman"/>
          <w:sz w:val="23"/>
          <w:szCs w:val="23"/>
        </w:rPr>
        <w:t>SO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2"/>
          <w:position w:val="-1"/>
          <w:sz w:val="15"/>
          <w:szCs w:val="15"/>
        </w:rPr>
        <w:t xml:space="preserve">10 </w:t>
      </w:r>
      <w:r>
        <w:rPr>
          <w:rFonts w:ascii="宋体" w:hAnsi="宋体" w:eastAsia="宋体" w:cs="宋体"/>
          <w:spacing w:val="2"/>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2"/>
          <w:position w:val="-1"/>
          <w:sz w:val="15"/>
          <w:szCs w:val="15"/>
        </w:rPr>
        <w:t xml:space="preserve">2.5 </w:t>
      </w:r>
      <w:r>
        <w:rPr>
          <w:rFonts w:ascii="宋体" w:hAnsi="宋体" w:eastAsia="宋体" w:cs="宋体"/>
          <w:spacing w:val="2"/>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z w:val="23"/>
          <w:szCs w:val="23"/>
        </w:rPr>
        <w:t>O</w:t>
      </w:r>
      <w:r>
        <w:rPr>
          <w:rFonts w:ascii="Times New Roman" w:hAnsi="Times New Roman" w:eastAsia="Times New Roman" w:cs="Times New Roman"/>
          <w:spacing w:val="2"/>
          <w:position w:val="-1"/>
          <w:sz w:val="15"/>
          <w:szCs w:val="15"/>
        </w:rPr>
        <w:t xml:space="preserve">3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
          <w:sz w:val="23"/>
          <w:szCs w:val="23"/>
        </w:rPr>
        <w:t>采用《环境空气质量标准》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3095-2012</w:t>
      </w:r>
      <w:r>
        <w:rPr>
          <w:rFonts w:ascii="宋体" w:hAnsi="宋体" w:eastAsia="宋体" w:cs="宋体"/>
          <w:spacing w:val="1"/>
          <w:sz w:val="23"/>
          <w:szCs w:val="23"/>
        </w:rPr>
        <w:t>) 二</w:t>
      </w:r>
      <w:r>
        <w:rPr>
          <w:rFonts w:ascii="宋体" w:hAnsi="宋体" w:eastAsia="宋体" w:cs="宋体"/>
          <w:sz w:val="23"/>
          <w:szCs w:val="23"/>
        </w:rPr>
        <w:t xml:space="preserve">级标准评价。具体结果见表 </w:t>
      </w:r>
      <w:r>
        <w:rPr>
          <w:rFonts w:ascii="Times New Roman" w:hAnsi="Times New Roman" w:eastAsia="Times New Roman" w:cs="Times New Roman"/>
          <w:sz w:val="23"/>
          <w:szCs w:val="23"/>
        </w:rPr>
        <w:t>4- 1</w:t>
      </w:r>
      <w:r>
        <w:rPr>
          <w:rFonts w:ascii="宋体" w:hAnsi="宋体" w:eastAsia="宋体" w:cs="宋体"/>
          <w:sz w:val="23"/>
          <w:szCs w:val="23"/>
        </w:rPr>
        <w:t>。</w:t>
      </w:r>
    </w:p>
    <w:p w14:paraId="16726824">
      <w:pPr>
        <w:spacing w:before="92" w:line="331" w:lineRule="exact"/>
        <w:ind w:left="1536"/>
        <w:rPr>
          <w:rFonts w:ascii="Times New Roman" w:hAnsi="Times New Roman" w:eastAsia="Times New Roman" w:cs="Times New Roman"/>
          <w:sz w:val="15"/>
          <w:szCs w:val="15"/>
        </w:rPr>
      </w:pPr>
      <w:r>
        <w:rPr>
          <w:rFonts w:ascii="宋体" w:hAnsi="宋体" w:eastAsia="宋体" w:cs="宋体"/>
          <w:spacing w:val="6"/>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5"/>
          <w:position w:val="3"/>
          <w:sz w:val="23"/>
          <w:szCs w:val="23"/>
        </w:rPr>
        <w:t xml:space="preserve"> </w:t>
      </w:r>
      <w:r>
        <w:rPr>
          <w:rFonts w:ascii="Times New Roman" w:hAnsi="Times New Roman" w:eastAsia="Times New Roman" w:cs="Times New Roman"/>
          <w:b/>
          <w:bCs/>
          <w:spacing w:val="5"/>
          <w:position w:val="3"/>
          <w:sz w:val="23"/>
          <w:szCs w:val="23"/>
        </w:rPr>
        <w:t>4-1</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环境空气质量监测结果</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5"/>
          <w:position w:val="3"/>
          <w:sz w:val="23"/>
          <w:szCs w:val="23"/>
        </w:rPr>
        <w:t>μ</w:t>
      </w:r>
      <w:r>
        <w:rPr>
          <w:rFonts w:ascii="Times New Roman" w:hAnsi="Times New Roman" w:eastAsia="Times New Roman" w:cs="Times New Roman"/>
          <w:b/>
          <w:bCs/>
          <w:position w:val="3"/>
          <w:sz w:val="23"/>
          <w:szCs w:val="23"/>
        </w:rPr>
        <w:t>g</w:t>
      </w:r>
      <w:r>
        <w:rPr>
          <w:rFonts w:ascii="Times New Roman" w:hAnsi="Times New Roman" w:eastAsia="Times New Roman" w:cs="Times New Roman"/>
          <w:b/>
          <w:bCs/>
          <w:spacing w:val="5"/>
          <w:position w:val="3"/>
          <w:sz w:val="23"/>
          <w:szCs w:val="23"/>
        </w:rPr>
        <w:t>/</w:t>
      </w:r>
      <w:r>
        <w:rPr>
          <w:rFonts w:ascii="Times New Roman" w:hAnsi="Times New Roman" w:eastAsia="Times New Roman" w:cs="Times New Roman"/>
          <w:b/>
          <w:bCs/>
          <w:position w:val="3"/>
          <w:sz w:val="23"/>
          <w:szCs w:val="23"/>
        </w:rPr>
        <w:t>m</w:t>
      </w:r>
      <w:r>
        <w:rPr>
          <w:rFonts w:ascii="Times New Roman" w:hAnsi="Times New Roman" w:eastAsia="Times New Roman" w:cs="Times New Roman"/>
          <w:b/>
          <w:bCs/>
          <w:spacing w:val="5"/>
          <w:position w:val="11"/>
          <w:sz w:val="15"/>
          <w:szCs w:val="15"/>
        </w:rPr>
        <w:t>3</w:t>
      </w:r>
    </w:p>
    <w:p w14:paraId="40852E4E">
      <w:pPr>
        <w:spacing w:line="17" w:lineRule="exact"/>
      </w:pPr>
    </w:p>
    <w:tbl>
      <w:tblPr>
        <w:tblStyle w:val="4"/>
        <w:tblW w:w="83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2048"/>
        <w:gridCol w:w="1800"/>
        <w:gridCol w:w="1575"/>
        <w:gridCol w:w="960"/>
        <w:gridCol w:w="903"/>
      </w:tblGrid>
      <w:tr w14:paraId="0AB66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04" w:type="dxa"/>
            <w:tcBorders>
              <w:left w:val="nil"/>
            </w:tcBorders>
            <w:vAlign w:val="top"/>
          </w:tcPr>
          <w:p w14:paraId="4991A4DF">
            <w:pPr>
              <w:spacing w:before="76" w:line="228" w:lineRule="auto"/>
              <w:ind w:left="3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染物名称</w:t>
            </w:r>
          </w:p>
        </w:tc>
        <w:tc>
          <w:tcPr>
            <w:tcW w:w="2048" w:type="dxa"/>
            <w:vAlign w:val="top"/>
          </w:tcPr>
          <w:p w14:paraId="27EC0D62">
            <w:pPr>
              <w:spacing w:before="75" w:line="226" w:lineRule="auto"/>
              <w:ind w:left="50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年</w:t>
            </w:r>
            <w:r>
              <w:rPr>
                <w:rFonts w:ascii="宋体" w:hAnsi="宋体" w:eastAsia="宋体" w:cs="宋体"/>
                <w:spacing w:val="8"/>
                <w:sz w:val="20"/>
                <w:szCs w:val="20"/>
                <w14:textOutline w14:w="3795" w14:cap="sq" w14:cmpd="sng">
                  <w14:solidFill>
                    <w14:srgbClr w14:val="000000"/>
                  </w14:solidFill>
                  <w14:prstDash w14:val="solid"/>
                  <w14:bevel/>
                </w14:textOutline>
              </w:rPr>
              <w:t>评价指标</w:t>
            </w:r>
          </w:p>
        </w:tc>
        <w:tc>
          <w:tcPr>
            <w:tcW w:w="1800" w:type="dxa"/>
            <w:vAlign w:val="top"/>
          </w:tcPr>
          <w:p w14:paraId="2256DB33">
            <w:pPr>
              <w:spacing w:before="9" w:line="330" w:lineRule="exact"/>
              <w:ind w:left="34"/>
              <w:rPr>
                <w:rFonts w:ascii="宋体" w:hAnsi="宋体" w:eastAsia="宋体" w:cs="宋体"/>
                <w:sz w:val="20"/>
                <w:szCs w:val="20"/>
              </w:rPr>
            </w:pPr>
            <w:r>
              <w:rPr>
                <w:rFonts w:ascii="宋体" w:hAnsi="宋体" w:eastAsia="宋体" w:cs="宋体"/>
                <w:spacing w:val="-6"/>
                <w:position w:val="4"/>
                <w:sz w:val="20"/>
                <w:szCs w:val="20"/>
                <w14:textOutline w14:w="3657" w14:cap="sq" w14:cmpd="sng">
                  <w14:solidFill>
                    <w14:srgbClr w14:val="000000"/>
                  </w14:solidFill>
                  <w14:prstDash w14:val="solid"/>
                  <w14:bevel/>
                </w14:textOutline>
              </w:rPr>
              <w:t>现状浓</w:t>
            </w:r>
            <w:r>
              <w:rPr>
                <w:rFonts w:ascii="宋体" w:hAnsi="宋体" w:eastAsia="宋体" w:cs="宋体"/>
                <w:spacing w:val="-5"/>
                <w:position w:val="4"/>
                <w:sz w:val="20"/>
                <w:szCs w:val="20"/>
                <w14:textOutline w14:w="3657" w14:cap="sq" w14:cmpd="sng">
                  <w14:solidFill>
                    <w14:srgbClr w14:val="000000"/>
                  </w14:solidFill>
                  <w14:prstDash w14:val="solid"/>
                  <w14:bevel/>
                </w14:textOutline>
              </w:rPr>
              <w:t>度</w:t>
            </w:r>
            <w:r>
              <w:rPr>
                <w:rFonts w:ascii="宋体" w:hAnsi="宋体" w:eastAsia="宋体" w:cs="宋体"/>
                <w:spacing w:val="-3"/>
                <w:position w:val="4"/>
                <w:sz w:val="20"/>
                <w:szCs w:val="20"/>
              </w:rPr>
              <w:t xml:space="preserve"> </w:t>
            </w:r>
            <w:r>
              <w:rPr>
                <w:rFonts w:ascii="宋体" w:hAnsi="宋体" w:eastAsia="宋体" w:cs="宋体"/>
                <w:spacing w:val="-3"/>
                <w:position w:val="4"/>
                <w:sz w:val="20"/>
                <w:szCs w:val="20"/>
                <w14:textOutline w14:w="3657" w14:cap="sq" w14:cmpd="sng">
                  <w14:solidFill>
                    <w14:srgbClr w14:val="000000"/>
                  </w14:solidFill>
                  <w14:prstDash w14:val="solid"/>
                  <w14:bevel/>
                </w14:textOutline>
              </w:rPr>
              <w:t>(</w:t>
            </w:r>
            <w:r>
              <w:rPr>
                <w:rFonts w:ascii="Times New Roman" w:hAnsi="Times New Roman" w:eastAsia="Times New Roman" w:cs="Times New Roman"/>
                <w:b/>
                <w:bCs/>
                <w:spacing w:val="-3"/>
                <w:position w:val="4"/>
                <w:sz w:val="23"/>
                <w:szCs w:val="23"/>
              </w:rPr>
              <w:t>μg/m</w:t>
            </w:r>
            <w:r>
              <w:rPr>
                <w:rFonts w:ascii="Times New Roman" w:hAnsi="Times New Roman" w:eastAsia="Times New Roman" w:cs="Times New Roman"/>
                <w:b/>
                <w:bCs/>
                <w:spacing w:val="-3"/>
                <w:position w:val="11"/>
                <w:sz w:val="15"/>
                <w:szCs w:val="15"/>
              </w:rPr>
              <w:t>3</w:t>
            </w:r>
            <w:r>
              <w:rPr>
                <w:rFonts w:ascii="Times New Roman" w:hAnsi="Times New Roman" w:eastAsia="Times New Roman" w:cs="Times New Roman"/>
                <w:spacing w:val="-3"/>
                <w:position w:val="11"/>
                <w:sz w:val="15"/>
                <w:szCs w:val="15"/>
              </w:rPr>
              <w:t xml:space="preserve"> </w:t>
            </w:r>
            <w:r>
              <w:rPr>
                <w:rFonts w:ascii="宋体" w:hAnsi="宋体" w:eastAsia="宋体" w:cs="宋体"/>
                <w:spacing w:val="-3"/>
                <w:position w:val="4"/>
                <w:sz w:val="20"/>
                <w:szCs w:val="20"/>
                <w14:textOutline w14:w="3657" w14:cap="sq" w14:cmpd="sng">
                  <w14:solidFill>
                    <w14:srgbClr w14:val="000000"/>
                  </w14:solidFill>
                  <w14:prstDash w14:val="solid"/>
                  <w14:bevel/>
                </w14:textOutline>
              </w:rPr>
              <w:t>)</w:t>
            </w:r>
          </w:p>
        </w:tc>
        <w:tc>
          <w:tcPr>
            <w:tcW w:w="1575" w:type="dxa"/>
            <w:vAlign w:val="top"/>
          </w:tcPr>
          <w:p w14:paraId="4F638293">
            <w:pPr>
              <w:spacing w:before="9" w:line="330" w:lineRule="exact"/>
              <w:ind w:left="33"/>
              <w:rPr>
                <w:rFonts w:ascii="宋体" w:hAnsi="宋体" w:eastAsia="宋体" w:cs="宋体"/>
                <w:sz w:val="20"/>
                <w:szCs w:val="20"/>
              </w:rPr>
            </w:pPr>
            <w:r>
              <w:rPr>
                <w:rFonts w:ascii="宋体" w:hAnsi="宋体" w:eastAsia="宋体" w:cs="宋体"/>
                <w:spacing w:val="-10"/>
                <w:position w:val="4"/>
                <w:sz w:val="20"/>
                <w:szCs w:val="20"/>
                <w14:textOutline w14:w="3639" w14:cap="sq" w14:cmpd="sng">
                  <w14:solidFill>
                    <w14:srgbClr w14:val="000000"/>
                  </w14:solidFill>
                  <w14:prstDash w14:val="solid"/>
                  <w14:bevel/>
                </w14:textOutline>
              </w:rPr>
              <w:t>标</w:t>
            </w:r>
            <w:r>
              <w:rPr>
                <w:rFonts w:ascii="宋体" w:hAnsi="宋体" w:eastAsia="宋体" w:cs="宋体"/>
                <w:spacing w:val="-6"/>
                <w:position w:val="4"/>
                <w:sz w:val="20"/>
                <w:szCs w:val="20"/>
                <w14:textOutline w14:w="3639" w14:cap="sq" w14:cmpd="sng">
                  <w14:solidFill>
                    <w14:srgbClr w14:val="000000"/>
                  </w14:solidFill>
                  <w14:prstDash w14:val="solid"/>
                  <w14:bevel/>
                </w14:textOutline>
              </w:rPr>
              <w:t>准</w:t>
            </w:r>
            <w:r>
              <w:rPr>
                <w:rFonts w:ascii="宋体" w:hAnsi="宋体" w:eastAsia="宋体" w:cs="宋体"/>
                <w:spacing w:val="-5"/>
                <w:position w:val="4"/>
                <w:sz w:val="20"/>
                <w:szCs w:val="20"/>
                <w14:textOutline w14:w="3639" w14:cap="sq" w14:cmpd="sng">
                  <w14:solidFill>
                    <w14:srgbClr w14:val="000000"/>
                  </w14:solidFill>
                  <w14:prstDash w14:val="solid"/>
                  <w14:bevel/>
                </w14:textOutline>
              </w:rPr>
              <w:t>值</w:t>
            </w:r>
            <w:r>
              <w:rPr>
                <w:rFonts w:ascii="宋体" w:hAnsi="宋体" w:eastAsia="宋体" w:cs="宋体"/>
                <w:spacing w:val="-5"/>
                <w:position w:val="4"/>
                <w:sz w:val="20"/>
                <w:szCs w:val="20"/>
              </w:rPr>
              <w:t xml:space="preserve"> </w:t>
            </w:r>
            <w:r>
              <w:rPr>
                <w:rFonts w:ascii="宋体" w:hAnsi="宋体" w:eastAsia="宋体" w:cs="宋体"/>
                <w:spacing w:val="-5"/>
                <w:position w:val="4"/>
                <w:sz w:val="20"/>
                <w:szCs w:val="20"/>
                <w14:textOutline w14:w="3639" w14:cap="sq" w14:cmpd="sng">
                  <w14:solidFill>
                    <w14:srgbClr w14:val="000000"/>
                  </w14:solidFill>
                  <w14:prstDash w14:val="solid"/>
                  <w14:bevel/>
                </w14:textOutline>
              </w:rPr>
              <w:t>(</w:t>
            </w:r>
            <w:r>
              <w:rPr>
                <w:rFonts w:ascii="Times New Roman" w:hAnsi="Times New Roman" w:eastAsia="Times New Roman" w:cs="Times New Roman"/>
                <w:b/>
                <w:bCs/>
                <w:spacing w:val="-5"/>
                <w:position w:val="4"/>
                <w:sz w:val="23"/>
                <w:szCs w:val="23"/>
              </w:rPr>
              <w:t>μg/m</w:t>
            </w:r>
            <w:r>
              <w:rPr>
                <w:rFonts w:ascii="Times New Roman" w:hAnsi="Times New Roman" w:eastAsia="Times New Roman" w:cs="Times New Roman"/>
                <w:b/>
                <w:bCs/>
                <w:spacing w:val="-5"/>
                <w:position w:val="11"/>
                <w:sz w:val="14"/>
                <w:szCs w:val="14"/>
              </w:rPr>
              <w:t>3</w:t>
            </w:r>
            <w:r>
              <w:rPr>
                <w:rFonts w:ascii="Times New Roman" w:hAnsi="Times New Roman" w:eastAsia="Times New Roman" w:cs="Times New Roman"/>
                <w:spacing w:val="-5"/>
                <w:position w:val="11"/>
                <w:sz w:val="14"/>
                <w:szCs w:val="14"/>
              </w:rPr>
              <w:t xml:space="preserve"> </w:t>
            </w:r>
            <w:r>
              <w:rPr>
                <w:rFonts w:ascii="宋体" w:hAnsi="宋体" w:eastAsia="宋体" w:cs="宋体"/>
                <w:spacing w:val="-5"/>
                <w:position w:val="4"/>
                <w:sz w:val="20"/>
                <w:szCs w:val="20"/>
                <w14:textOutline w14:w="3639" w14:cap="sq" w14:cmpd="sng">
                  <w14:solidFill>
                    <w14:srgbClr w14:val="000000"/>
                  </w14:solidFill>
                  <w14:prstDash w14:val="solid"/>
                  <w14:bevel/>
                </w14:textOutline>
              </w:rPr>
              <w:t>)</w:t>
            </w:r>
          </w:p>
        </w:tc>
        <w:tc>
          <w:tcPr>
            <w:tcW w:w="960" w:type="dxa"/>
            <w:vAlign w:val="top"/>
          </w:tcPr>
          <w:p w14:paraId="4B03D755">
            <w:pPr>
              <w:spacing w:before="34" w:line="289" w:lineRule="exact"/>
              <w:ind w:left="71"/>
              <w:rPr>
                <w:rFonts w:ascii="Times New Roman" w:hAnsi="Times New Roman" w:eastAsia="Times New Roman" w:cs="Times New Roman"/>
                <w:sz w:val="20"/>
                <w:szCs w:val="20"/>
              </w:rPr>
            </w:pPr>
            <w:r>
              <w:rPr>
                <w:rFonts w:ascii="宋体" w:hAnsi="宋体" w:eastAsia="宋体" w:cs="宋体"/>
                <w:spacing w:val="-1"/>
                <w:position w:val="1"/>
                <w:sz w:val="20"/>
                <w:szCs w:val="20"/>
                <w14:textOutline w14:w="3795" w14:cap="sq" w14:cmpd="sng">
                  <w14:solidFill>
                    <w14:srgbClr w14:val="000000"/>
                  </w14:solidFill>
                  <w14:prstDash w14:val="solid"/>
                  <w14:bevel/>
                </w14:textOutline>
              </w:rPr>
              <w:t>占</w:t>
            </w:r>
            <w:r>
              <w:rPr>
                <w:rFonts w:ascii="宋体" w:hAnsi="宋体" w:eastAsia="宋体" w:cs="宋体"/>
                <w:position w:val="1"/>
                <w:sz w:val="20"/>
                <w:szCs w:val="20"/>
                <w14:textOutline w14:w="3795" w14:cap="sq" w14:cmpd="sng">
                  <w14:solidFill>
                    <w14:srgbClr w14:val="000000"/>
                  </w14:solidFill>
                  <w14:prstDash w14:val="solid"/>
                  <w14:bevel/>
                </w14:textOutline>
              </w:rPr>
              <w:t>标率</w:t>
            </w:r>
            <w:r>
              <w:rPr>
                <w:rFonts w:ascii="Times New Roman" w:hAnsi="Times New Roman" w:eastAsia="Times New Roman" w:cs="Times New Roman"/>
                <w:b/>
                <w:bCs/>
                <w:position w:val="1"/>
                <w:sz w:val="20"/>
                <w:szCs w:val="20"/>
              </w:rPr>
              <w:t>/%</w:t>
            </w:r>
          </w:p>
        </w:tc>
        <w:tc>
          <w:tcPr>
            <w:tcW w:w="903" w:type="dxa"/>
            <w:tcBorders>
              <w:right w:val="nil"/>
            </w:tcBorders>
            <w:vAlign w:val="top"/>
          </w:tcPr>
          <w:p w14:paraId="06FF372C">
            <w:pPr>
              <w:spacing w:before="76" w:line="228" w:lineRule="auto"/>
              <w:ind w:left="3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达标情</w:t>
            </w:r>
            <w:r>
              <w:rPr>
                <w:rFonts w:ascii="宋体" w:hAnsi="宋体" w:eastAsia="宋体" w:cs="宋体"/>
                <w:spacing w:val="8"/>
                <w:sz w:val="20"/>
                <w:szCs w:val="20"/>
                <w14:textOutline w14:w="3795" w14:cap="sq" w14:cmpd="sng">
                  <w14:solidFill>
                    <w14:srgbClr w14:val="000000"/>
                  </w14:solidFill>
                  <w14:prstDash w14:val="solid"/>
                  <w14:bevel/>
                </w14:textOutline>
              </w:rPr>
              <w:t>况</w:t>
            </w:r>
          </w:p>
        </w:tc>
      </w:tr>
      <w:tr w14:paraId="2118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4" w:type="dxa"/>
            <w:tcBorders>
              <w:left w:val="nil"/>
            </w:tcBorders>
            <w:vAlign w:val="top"/>
          </w:tcPr>
          <w:p w14:paraId="725462E3">
            <w:pPr>
              <w:spacing w:before="87" w:line="205" w:lineRule="auto"/>
              <w:ind w:left="38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6"/>
                <w:position w:val="-1"/>
                <w:sz w:val="13"/>
                <w:szCs w:val="13"/>
              </w:rPr>
              <w:t>2</w:t>
            </w:r>
          </w:p>
        </w:tc>
        <w:tc>
          <w:tcPr>
            <w:tcW w:w="2048" w:type="dxa"/>
            <w:vMerge w:val="restart"/>
            <w:tcBorders>
              <w:bottom w:val="nil"/>
            </w:tcBorders>
            <w:vAlign w:val="top"/>
          </w:tcPr>
          <w:p w14:paraId="1DC648F0">
            <w:pPr>
              <w:spacing w:line="468" w:lineRule="auto"/>
              <w:rPr>
                <w:rFonts w:ascii="Arial"/>
                <w:sz w:val="21"/>
              </w:rPr>
            </w:pPr>
          </w:p>
          <w:p w14:paraId="212826D3">
            <w:pPr>
              <w:spacing w:before="65" w:line="228" w:lineRule="auto"/>
              <w:ind w:left="610"/>
              <w:rPr>
                <w:rFonts w:ascii="宋体" w:hAnsi="宋体" w:eastAsia="宋体" w:cs="宋体"/>
                <w:sz w:val="20"/>
                <w:szCs w:val="20"/>
              </w:rPr>
            </w:pPr>
            <w:r>
              <w:rPr>
                <w:rFonts w:ascii="宋体" w:hAnsi="宋体" w:eastAsia="宋体" w:cs="宋体"/>
                <w:spacing w:val="7"/>
                <w:sz w:val="20"/>
                <w:szCs w:val="20"/>
              </w:rPr>
              <w:t>年均浓度</w:t>
            </w:r>
          </w:p>
        </w:tc>
        <w:tc>
          <w:tcPr>
            <w:tcW w:w="1800" w:type="dxa"/>
            <w:vAlign w:val="top"/>
          </w:tcPr>
          <w:p w14:paraId="1EEB4212">
            <w:pPr>
              <w:spacing w:before="88" w:line="195" w:lineRule="auto"/>
              <w:ind w:left="7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575" w:type="dxa"/>
            <w:vAlign w:val="top"/>
          </w:tcPr>
          <w:p w14:paraId="7EE8E83A">
            <w:pPr>
              <w:spacing w:before="88"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960" w:type="dxa"/>
            <w:vAlign w:val="top"/>
          </w:tcPr>
          <w:p w14:paraId="11610F2D">
            <w:pPr>
              <w:spacing w:before="8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w:t>
            </w:r>
          </w:p>
        </w:tc>
        <w:tc>
          <w:tcPr>
            <w:tcW w:w="903" w:type="dxa"/>
            <w:tcBorders>
              <w:right w:val="nil"/>
            </w:tcBorders>
            <w:vAlign w:val="top"/>
          </w:tcPr>
          <w:p w14:paraId="634039F4">
            <w:pPr>
              <w:spacing w:before="52" w:line="228" w:lineRule="auto"/>
              <w:ind w:left="244"/>
              <w:rPr>
                <w:rFonts w:ascii="宋体" w:hAnsi="宋体" w:eastAsia="宋体" w:cs="宋体"/>
                <w:sz w:val="20"/>
                <w:szCs w:val="20"/>
              </w:rPr>
            </w:pPr>
            <w:r>
              <w:rPr>
                <w:rFonts w:ascii="宋体" w:hAnsi="宋体" w:eastAsia="宋体" w:cs="宋体"/>
                <w:spacing w:val="5"/>
                <w:sz w:val="20"/>
                <w:szCs w:val="20"/>
              </w:rPr>
              <w:t>达标</w:t>
            </w:r>
          </w:p>
        </w:tc>
      </w:tr>
      <w:tr w14:paraId="1384E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4" w:type="dxa"/>
            <w:tcBorders>
              <w:left w:val="nil"/>
            </w:tcBorders>
            <w:vAlign w:val="top"/>
          </w:tcPr>
          <w:p w14:paraId="57E1FD78">
            <w:pPr>
              <w:spacing w:before="91" w:line="202" w:lineRule="auto"/>
              <w:ind w:left="364"/>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NO</w:t>
            </w:r>
            <w:r>
              <w:rPr>
                <w:rFonts w:ascii="Times New Roman" w:hAnsi="Times New Roman" w:eastAsia="Times New Roman" w:cs="Times New Roman"/>
                <w:b/>
                <w:bCs/>
                <w:spacing w:val="14"/>
                <w:position w:val="-1"/>
                <w:sz w:val="13"/>
                <w:szCs w:val="13"/>
              </w:rPr>
              <w:t>2</w:t>
            </w:r>
          </w:p>
        </w:tc>
        <w:tc>
          <w:tcPr>
            <w:tcW w:w="2048" w:type="dxa"/>
            <w:vMerge w:val="continue"/>
            <w:tcBorders>
              <w:top w:val="nil"/>
              <w:bottom w:val="nil"/>
            </w:tcBorders>
            <w:vAlign w:val="top"/>
          </w:tcPr>
          <w:p w14:paraId="37495180">
            <w:pPr>
              <w:rPr>
                <w:rFonts w:ascii="Arial"/>
                <w:sz w:val="21"/>
              </w:rPr>
            </w:pPr>
          </w:p>
        </w:tc>
        <w:tc>
          <w:tcPr>
            <w:tcW w:w="1800" w:type="dxa"/>
            <w:vAlign w:val="top"/>
          </w:tcPr>
          <w:p w14:paraId="2FFD8283">
            <w:pPr>
              <w:spacing w:before="9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1575" w:type="dxa"/>
            <w:vAlign w:val="top"/>
          </w:tcPr>
          <w:p w14:paraId="1D9862C1">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60" w:type="dxa"/>
            <w:vAlign w:val="top"/>
          </w:tcPr>
          <w:p w14:paraId="2E8491D5">
            <w:pPr>
              <w:spacing w:before="94" w:line="192"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77.5</w:t>
            </w:r>
          </w:p>
        </w:tc>
        <w:tc>
          <w:tcPr>
            <w:tcW w:w="903" w:type="dxa"/>
            <w:tcBorders>
              <w:right w:val="nil"/>
            </w:tcBorders>
            <w:vAlign w:val="top"/>
          </w:tcPr>
          <w:p w14:paraId="28AFB30E">
            <w:pPr>
              <w:spacing w:before="55" w:line="228" w:lineRule="auto"/>
              <w:ind w:left="244"/>
              <w:rPr>
                <w:rFonts w:ascii="宋体" w:hAnsi="宋体" w:eastAsia="宋体" w:cs="宋体"/>
                <w:sz w:val="20"/>
                <w:szCs w:val="20"/>
              </w:rPr>
            </w:pPr>
            <w:r>
              <w:rPr>
                <w:rFonts w:ascii="宋体" w:hAnsi="宋体" w:eastAsia="宋体" w:cs="宋体"/>
                <w:spacing w:val="5"/>
                <w:sz w:val="20"/>
                <w:szCs w:val="20"/>
              </w:rPr>
              <w:t>达标</w:t>
            </w:r>
          </w:p>
        </w:tc>
      </w:tr>
      <w:tr w14:paraId="6F24D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4" w:type="dxa"/>
            <w:tcBorders>
              <w:left w:val="nil"/>
            </w:tcBorders>
            <w:vAlign w:val="top"/>
          </w:tcPr>
          <w:p w14:paraId="7B999C05">
            <w:pPr>
              <w:spacing w:before="94" w:line="199" w:lineRule="auto"/>
              <w:ind w:left="325"/>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9"/>
                <w:position w:val="-1"/>
                <w:sz w:val="13"/>
                <w:szCs w:val="13"/>
              </w:rPr>
              <w:t>10</w:t>
            </w:r>
          </w:p>
        </w:tc>
        <w:tc>
          <w:tcPr>
            <w:tcW w:w="2048" w:type="dxa"/>
            <w:vMerge w:val="continue"/>
            <w:tcBorders>
              <w:top w:val="nil"/>
              <w:bottom w:val="nil"/>
            </w:tcBorders>
            <w:vAlign w:val="top"/>
          </w:tcPr>
          <w:p w14:paraId="6004706C">
            <w:pPr>
              <w:rPr>
                <w:rFonts w:ascii="Arial"/>
                <w:sz w:val="21"/>
              </w:rPr>
            </w:pPr>
          </w:p>
        </w:tc>
        <w:tc>
          <w:tcPr>
            <w:tcW w:w="1800" w:type="dxa"/>
            <w:vAlign w:val="top"/>
          </w:tcPr>
          <w:p w14:paraId="5268A598">
            <w:pPr>
              <w:spacing w:before="9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575" w:type="dxa"/>
            <w:vAlign w:val="top"/>
          </w:tcPr>
          <w:p w14:paraId="01846B85">
            <w:pPr>
              <w:spacing w:before="91"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60" w:type="dxa"/>
            <w:vAlign w:val="top"/>
          </w:tcPr>
          <w:p w14:paraId="6BB3B90F">
            <w:pPr>
              <w:spacing w:before="91"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w:t>
            </w:r>
            <w:r>
              <w:rPr>
                <w:rFonts w:ascii="Times New Roman" w:hAnsi="Times New Roman" w:eastAsia="Times New Roman" w:cs="Times New Roman"/>
                <w:spacing w:val="4"/>
                <w:sz w:val="20"/>
                <w:szCs w:val="20"/>
              </w:rPr>
              <w:t>2.8</w:t>
            </w:r>
          </w:p>
        </w:tc>
        <w:tc>
          <w:tcPr>
            <w:tcW w:w="903" w:type="dxa"/>
            <w:tcBorders>
              <w:right w:val="nil"/>
            </w:tcBorders>
            <w:vAlign w:val="top"/>
          </w:tcPr>
          <w:p w14:paraId="3B89CE62">
            <w:pPr>
              <w:spacing w:before="56" w:line="228" w:lineRule="auto"/>
              <w:ind w:left="244"/>
              <w:rPr>
                <w:rFonts w:ascii="宋体" w:hAnsi="宋体" w:eastAsia="宋体" w:cs="宋体"/>
                <w:sz w:val="20"/>
                <w:szCs w:val="20"/>
              </w:rPr>
            </w:pPr>
            <w:r>
              <w:rPr>
                <w:rFonts w:ascii="宋体" w:hAnsi="宋体" w:eastAsia="宋体" w:cs="宋体"/>
                <w:spacing w:val="5"/>
                <w:sz w:val="20"/>
                <w:szCs w:val="20"/>
              </w:rPr>
              <w:t>达标</w:t>
            </w:r>
          </w:p>
        </w:tc>
      </w:tr>
      <w:tr w14:paraId="26351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04" w:type="dxa"/>
            <w:tcBorders>
              <w:left w:val="nil"/>
            </w:tcBorders>
            <w:vAlign w:val="top"/>
          </w:tcPr>
          <w:p w14:paraId="40FA60A4">
            <w:pPr>
              <w:spacing w:before="95" w:line="201" w:lineRule="auto"/>
              <w:ind w:left="30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7"/>
                <w:position w:val="-1"/>
                <w:sz w:val="13"/>
                <w:szCs w:val="13"/>
              </w:rPr>
              <w:t>2</w:t>
            </w:r>
            <w:r>
              <w:rPr>
                <w:rFonts w:ascii="Times New Roman" w:hAnsi="Times New Roman" w:eastAsia="Times New Roman" w:cs="Times New Roman"/>
                <w:b/>
                <w:bCs/>
                <w:spacing w:val="6"/>
                <w:position w:val="-1"/>
                <w:sz w:val="13"/>
                <w:szCs w:val="13"/>
              </w:rPr>
              <w:t>.5</w:t>
            </w:r>
          </w:p>
        </w:tc>
        <w:tc>
          <w:tcPr>
            <w:tcW w:w="2048" w:type="dxa"/>
            <w:vMerge w:val="continue"/>
            <w:tcBorders>
              <w:top w:val="nil"/>
            </w:tcBorders>
            <w:vAlign w:val="top"/>
          </w:tcPr>
          <w:p w14:paraId="0B73D3D8">
            <w:pPr>
              <w:rPr>
                <w:rFonts w:ascii="Arial"/>
                <w:sz w:val="21"/>
              </w:rPr>
            </w:pPr>
          </w:p>
        </w:tc>
        <w:tc>
          <w:tcPr>
            <w:tcW w:w="1800" w:type="dxa"/>
            <w:vAlign w:val="top"/>
          </w:tcPr>
          <w:p w14:paraId="004983BC">
            <w:pPr>
              <w:spacing w:before="9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1575" w:type="dxa"/>
            <w:vAlign w:val="top"/>
          </w:tcPr>
          <w:p w14:paraId="2C6053B5">
            <w:pPr>
              <w:spacing w:before="92"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960" w:type="dxa"/>
            <w:vAlign w:val="top"/>
          </w:tcPr>
          <w:p w14:paraId="16984978">
            <w:pPr>
              <w:spacing w:before="9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97. 1</w:t>
            </w:r>
          </w:p>
        </w:tc>
        <w:tc>
          <w:tcPr>
            <w:tcW w:w="903" w:type="dxa"/>
            <w:tcBorders>
              <w:right w:val="nil"/>
            </w:tcBorders>
            <w:vAlign w:val="top"/>
          </w:tcPr>
          <w:p w14:paraId="2F356439">
            <w:pPr>
              <w:spacing w:before="56" w:line="228" w:lineRule="auto"/>
              <w:ind w:left="244"/>
              <w:rPr>
                <w:rFonts w:ascii="宋体" w:hAnsi="宋体" w:eastAsia="宋体" w:cs="宋体"/>
                <w:sz w:val="20"/>
                <w:szCs w:val="20"/>
              </w:rPr>
            </w:pPr>
            <w:r>
              <w:rPr>
                <w:rFonts w:ascii="宋体" w:hAnsi="宋体" w:eastAsia="宋体" w:cs="宋体"/>
                <w:spacing w:val="5"/>
                <w:sz w:val="20"/>
                <w:szCs w:val="20"/>
              </w:rPr>
              <w:t>达标</w:t>
            </w:r>
          </w:p>
        </w:tc>
      </w:tr>
    </w:tbl>
    <w:p w14:paraId="0D244AE9">
      <w:pPr>
        <w:rPr>
          <w:rFonts w:ascii="Arial"/>
          <w:sz w:val="21"/>
        </w:rPr>
      </w:pPr>
    </w:p>
    <w:p w14:paraId="0BFD5476">
      <w:pPr>
        <w:sectPr>
          <w:headerReference r:id="rId156" w:type="default"/>
          <w:footerReference r:id="rId157" w:type="default"/>
          <w:pgSz w:w="11906" w:h="16839"/>
          <w:pgMar w:top="1132" w:right="1719" w:bottom="1182" w:left="1777" w:header="878" w:footer="1022" w:gutter="0"/>
          <w:cols w:space="720" w:num="1"/>
        </w:sectPr>
      </w:pPr>
    </w:p>
    <w:p w14:paraId="5F4FBA94">
      <w:r>
        <w:pict>
          <v:shape id="_x0000_s1213" o:spid="_x0000_s1213" style="position:absolute;left:0pt;margin-left:90pt;margin-top:57.35pt;height:0.75pt;width:415.3pt;mso-position-horizontal-relative:page;mso-position-vertical-relative:page;z-index:251865088;mso-width-relative:page;mso-height-relative:page;" fillcolor="#000000" filled="t" stroked="f" coordsize="8305,15" o:allowincell="f" path="m0,0l8305,0,8305,14,0,14,0,0xe">
            <v:path/>
            <v:fill on="t" focussize="0,0"/>
            <v:stroke on="f"/>
            <v:imagedata o:title=""/>
            <o:lock v:ext="edit"/>
          </v:shape>
        </w:pict>
      </w:r>
    </w:p>
    <w:p w14:paraId="088C96B1">
      <w:pPr>
        <w:spacing w:line="65" w:lineRule="exact"/>
      </w:pPr>
    </w:p>
    <w:tbl>
      <w:tblPr>
        <w:tblStyle w:val="4"/>
        <w:tblW w:w="8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2048"/>
        <w:gridCol w:w="1800"/>
        <w:gridCol w:w="1575"/>
        <w:gridCol w:w="960"/>
        <w:gridCol w:w="902"/>
      </w:tblGrid>
      <w:tr w14:paraId="6E9EF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04" w:type="dxa"/>
            <w:tcBorders>
              <w:left w:val="nil"/>
            </w:tcBorders>
            <w:vAlign w:val="top"/>
          </w:tcPr>
          <w:p w14:paraId="620AD0A4">
            <w:pPr>
              <w:spacing w:before="111" w:line="195" w:lineRule="auto"/>
              <w:ind w:left="40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C</w:t>
            </w:r>
            <w:r>
              <w:rPr>
                <w:rFonts w:ascii="Times New Roman" w:hAnsi="Times New Roman" w:eastAsia="Times New Roman" w:cs="Times New Roman"/>
                <w:b/>
                <w:bCs/>
                <w:spacing w:val="2"/>
                <w:sz w:val="20"/>
                <w:szCs w:val="20"/>
              </w:rPr>
              <w:t>O</w:t>
            </w:r>
          </w:p>
        </w:tc>
        <w:tc>
          <w:tcPr>
            <w:tcW w:w="2048" w:type="dxa"/>
            <w:vAlign w:val="top"/>
          </w:tcPr>
          <w:p w14:paraId="1769F1B3">
            <w:pPr>
              <w:spacing w:before="75" w:line="228" w:lineRule="auto"/>
              <w:ind w:left="64"/>
              <w:rPr>
                <w:rFonts w:ascii="宋体" w:hAnsi="宋体" w:eastAsia="宋体" w:cs="宋体"/>
                <w:sz w:val="20"/>
                <w:szCs w:val="20"/>
              </w:rPr>
            </w:pPr>
            <w:r>
              <w:rPr>
                <w:rFonts w:ascii="宋体" w:hAnsi="宋体" w:eastAsia="宋体" w:cs="宋体"/>
                <w:spacing w:val="-24"/>
                <w:sz w:val="20"/>
                <w:szCs w:val="20"/>
              </w:rPr>
              <w:t>日</w:t>
            </w:r>
            <w:r>
              <w:rPr>
                <w:rFonts w:ascii="宋体" w:hAnsi="宋体" w:eastAsia="宋体" w:cs="宋体"/>
                <w:spacing w:val="-18"/>
                <w:sz w:val="20"/>
                <w:szCs w:val="20"/>
              </w:rPr>
              <w:t>均浓度的第</w:t>
            </w:r>
            <w:r>
              <w:rPr>
                <w:rFonts w:ascii="Times New Roman" w:hAnsi="Times New Roman" w:eastAsia="Times New Roman" w:cs="Times New Roman"/>
                <w:spacing w:val="-18"/>
                <w:sz w:val="20"/>
                <w:szCs w:val="20"/>
              </w:rPr>
              <w:t>95</w:t>
            </w:r>
            <w:r>
              <w:rPr>
                <w:rFonts w:ascii="宋体" w:hAnsi="宋体" w:eastAsia="宋体" w:cs="宋体"/>
                <w:spacing w:val="-18"/>
                <w:sz w:val="20"/>
                <w:szCs w:val="20"/>
              </w:rPr>
              <w:t>百分位数</w:t>
            </w:r>
          </w:p>
        </w:tc>
        <w:tc>
          <w:tcPr>
            <w:tcW w:w="1800" w:type="dxa"/>
            <w:vAlign w:val="top"/>
          </w:tcPr>
          <w:p w14:paraId="531C9842">
            <w:pPr>
              <w:spacing w:before="111" w:line="198"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575" w:type="dxa"/>
            <w:vAlign w:val="top"/>
          </w:tcPr>
          <w:p w14:paraId="19A0A645">
            <w:pPr>
              <w:spacing w:before="111"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60" w:type="dxa"/>
            <w:vAlign w:val="top"/>
          </w:tcPr>
          <w:p w14:paraId="78503D64">
            <w:pPr>
              <w:spacing w:before="11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w:t>
            </w:r>
            <w:r>
              <w:rPr>
                <w:rFonts w:ascii="Times New Roman" w:hAnsi="Times New Roman" w:eastAsia="Times New Roman" w:cs="Times New Roman"/>
                <w:spacing w:val="2"/>
                <w:sz w:val="20"/>
                <w:szCs w:val="20"/>
              </w:rPr>
              <w:t>0</w:t>
            </w:r>
          </w:p>
        </w:tc>
        <w:tc>
          <w:tcPr>
            <w:tcW w:w="902" w:type="dxa"/>
            <w:tcBorders>
              <w:right w:val="nil"/>
            </w:tcBorders>
            <w:vAlign w:val="top"/>
          </w:tcPr>
          <w:p w14:paraId="3CC098B4">
            <w:pPr>
              <w:spacing w:before="76" w:line="228" w:lineRule="auto"/>
              <w:ind w:left="244"/>
              <w:rPr>
                <w:rFonts w:ascii="宋体" w:hAnsi="宋体" w:eastAsia="宋体" w:cs="宋体"/>
                <w:sz w:val="20"/>
                <w:szCs w:val="20"/>
              </w:rPr>
            </w:pPr>
            <w:r>
              <w:rPr>
                <w:rFonts w:ascii="宋体" w:hAnsi="宋体" w:eastAsia="宋体" w:cs="宋体"/>
                <w:spacing w:val="5"/>
                <w:sz w:val="20"/>
                <w:szCs w:val="20"/>
              </w:rPr>
              <w:t>达标</w:t>
            </w:r>
          </w:p>
        </w:tc>
      </w:tr>
      <w:tr w14:paraId="777EE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04" w:type="dxa"/>
            <w:tcBorders>
              <w:left w:val="nil"/>
            </w:tcBorders>
            <w:vAlign w:val="top"/>
          </w:tcPr>
          <w:p w14:paraId="57F547EC">
            <w:pPr>
              <w:spacing w:before="243" w:line="205" w:lineRule="auto"/>
              <w:ind w:left="443"/>
              <w:rPr>
                <w:rFonts w:ascii="Times New Roman" w:hAnsi="Times New Roman" w:eastAsia="Times New Roman" w:cs="Times New Roman"/>
                <w:sz w:val="13"/>
                <w:szCs w:val="13"/>
              </w:rPr>
            </w:pPr>
            <w:r>
              <w:rPr>
                <w:rFonts w:ascii="Times New Roman" w:hAnsi="Times New Roman" w:eastAsia="Times New Roman" w:cs="Times New Roman"/>
                <w:b/>
                <w:bCs/>
                <w:sz w:val="20"/>
                <w:szCs w:val="20"/>
              </w:rPr>
              <w:t>O</w:t>
            </w:r>
            <w:r>
              <w:rPr>
                <w:rFonts w:ascii="Times New Roman" w:hAnsi="Times New Roman" w:eastAsia="Times New Roman" w:cs="Times New Roman"/>
                <w:b/>
                <w:bCs/>
                <w:spacing w:val="2"/>
                <w:position w:val="-1"/>
                <w:sz w:val="13"/>
                <w:szCs w:val="13"/>
              </w:rPr>
              <w:t>3</w:t>
            </w:r>
          </w:p>
        </w:tc>
        <w:tc>
          <w:tcPr>
            <w:tcW w:w="2048" w:type="dxa"/>
            <w:vAlign w:val="top"/>
          </w:tcPr>
          <w:p w14:paraId="4741F95F">
            <w:pPr>
              <w:spacing w:before="51" w:line="258" w:lineRule="auto"/>
              <w:ind w:left="88" w:right="20" w:hanging="12"/>
              <w:rPr>
                <w:rFonts w:ascii="宋体" w:hAnsi="宋体" w:eastAsia="宋体" w:cs="宋体"/>
                <w:sz w:val="20"/>
                <w:szCs w:val="20"/>
              </w:rPr>
            </w:pPr>
            <w:r>
              <w:rPr>
                <w:rFonts w:ascii="宋体" w:hAnsi="宋体" w:eastAsia="宋体" w:cs="宋体"/>
                <w:spacing w:val="-16"/>
                <w:sz w:val="20"/>
                <w:szCs w:val="20"/>
              </w:rPr>
              <w:t>日</w:t>
            </w:r>
            <w:r>
              <w:rPr>
                <w:rFonts w:ascii="宋体" w:hAnsi="宋体" w:eastAsia="宋体" w:cs="宋体"/>
                <w:spacing w:val="-9"/>
                <w:sz w:val="20"/>
                <w:szCs w:val="20"/>
              </w:rPr>
              <w:t>最</w:t>
            </w:r>
            <w:r>
              <w:rPr>
                <w:rFonts w:ascii="宋体" w:hAnsi="宋体" w:eastAsia="宋体" w:cs="宋体"/>
                <w:spacing w:val="-8"/>
                <w:sz w:val="20"/>
                <w:szCs w:val="20"/>
              </w:rPr>
              <w:t xml:space="preserve">大 </w:t>
            </w: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小时滑动平均</w:t>
            </w:r>
            <w:r>
              <w:rPr>
                <w:rFonts w:ascii="宋体" w:hAnsi="宋体" w:eastAsia="宋体" w:cs="宋体"/>
                <w:sz w:val="20"/>
                <w:szCs w:val="20"/>
              </w:rPr>
              <w:t xml:space="preserve"> </w:t>
            </w:r>
            <w:r>
              <w:rPr>
                <w:rFonts w:ascii="宋体" w:hAnsi="宋体" w:eastAsia="宋体" w:cs="宋体"/>
                <w:spacing w:val="-9"/>
                <w:sz w:val="20"/>
                <w:szCs w:val="20"/>
              </w:rPr>
              <w:t>浓</w:t>
            </w:r>
            <w:r>
              <w:rPr>
                <w:rFonts w:ascii="宋体" w:hAnsi="宋体" w:eastAsia="宋体" w:cs="宋体"/>
                <w:spacing w:val="-5"/>
                <w:sz w:val="20"/>
                <w:szCs w:val="20"/>
              </w:rPr>
              <w:t xml:space="preserve">度的第 </w:t>
            </w:r>
            <w:r>
              <w:rPr>
                <w:rFonts w:ascii="Times New Roman" w:hAnsi="Times New Roman" w:eastAsia="Times New Roman" w:cs="Times New Roman"/>
                <w:spacing w:val="-5"/>
                <w:sz w:val="20"/>
                <w:szCs w:val="20"/>
              </w:rPr>
              <w:t xml:space="preserve">90 </w:t>
            </w:r>
            <w:r>
              <w:rPr>
                <w:rFonts w:ascii="宋体" w:hAnsi="宋体" w:eastAsia="宋体" w:cs="宋体"/>
                <w:spacing w:val="-5"/>
                <w:sz w:val="20"/>
                <w:szCs w:val="20"/>
              </w:rPr>
              <w:t>百分位数</w:t>
            </w:r>
          </w:p>
        </w:tc>
        <w:tc>
          <w:tcPr>
            <w:tcW w:w="1800" w:type="dxa"/>
            <w:vAlign w:val="top"/>
          </w:tcPr>
          <w:p w14:paraId="330B3F49">
            <w:pPr>
              <w:spacing w:before="244"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w:t>
            </w:r>
          </w:p>
        </w:tc>
        <w:tc>
          <w:tcPr>
            <w:tcW w:w="1575" w:type="dxa"/>
            <w:vAlign w:val="top"/>
          </w:tcPr>
          <w:p w14:paraId="01555FC7">
            <w:pPr>
              <w:spacing w:before="244"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960" w:type="dxa"/>
            <w:vAlign w:val="top"/>
          </w:tcPr>
          <w:p w14:paraId="5442501A">
            <w:pPr>
              <w:spacing w:before="244"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5.6</w:t>
            </w:r>
          </w:p>
        </w:tc>
        <w:tc>
          <w:tcPr>
            <w:tcW w:w="902" w:type="dxa"/>
            <w:tcBorders>
              <w:right w:val="nil"/>
            </w:tcBorders>
            <w:vAlign w:val="top"/>
          </w:tcPr>
          <w:p w14:paraId="0CFEBE8B">
            <w:pPr>
              <w:spacing w:before="208" w:line="228" w:lineRule="auto"/>
              <w:ind w:left="244"/>
              <w:rPr>
                <w:rFonts w:ascii="宋体" w:hAnsi="宋体" w:eastAsia="宋体" w:cs="宋体"/>
                <w:sz w:val="20"/>
                <w:szCs w:val="20"/>
              </w:rPr>
            </w:pPr>
            <w:r>
              <w:rPr>
                <w:rFonts w:ascii="宋体" w:hAnsi="宋体" w:eastAsia="宋体" w:cs="宋体"/>
                <w:spacing w:val="5"/>
                <w:sz w:val="20"/>
                <w:szCs w:val="20"/>
              </w:rPr>
              <w:t>达标</w:t>
            </w:r>
          </w:p>
        </w:tc>
      </w:tr>
    </w:tbl>
    <w:p w14:paraId="745FC30E">
      <w:pPr>
        <w:spacing w:line="259" w:lineRule="auto"/>
        <w:rPr>
          <w:rFonts w:ascii="Arial"/>
          <w:sz w:val="21"/>
        </w:rPr>
      </w:pPr>
    </w:p>
    <w:p w14:paraId="35AEC87E">
      <w:pPr>
        <w:spacing w:before="74" w:line="386" w:lineRule="auto"/>
        <w:ind w:left="32" w:right="190" w:firstLine="475"/>
        <w:rPr>
          <w:rFonts w:ascii="宋体" w:hAnsi="宋体" w:eastAsia="宋体" w:cs="宋体"/>
          <w:sz w:val="23"/>
          <w:szCs w:val="23"/>
        </w:rPr>
      </w:pP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年本溪市城区环境空气质量达</w:t>
      </w:r>
      <w:r>
        <w:rPr>
          <w:rFonts w:ascii="Times New Roman" w:hAnsi="Times New Roman" w:eastAsia="Times New Roman" w:cs="Times New Roman"/>
          <w:spacing w:val="5"/>
          <w:sz w:val="23"/>
          <w:szCs w:val="23"/>
        </w:rPr>
        <w:t>Ⅱ</w:t>
      </w:r>
      <w:r>
        <w:rPr>
          <w:rFonts w:ascii="宋体" w:hAnsi="宋体" w:eastAsia="宋体" w:cs="宋体"/>
          <w:spacing w:val="5"/>
          <w:sz w:val="23"/>
          <w:szCs w:val="23"/>
        </w:rPr>
        <w:t xml:space="preserve">级 (良) 以上天数为 </w:t>
      </w:r>
      <w:r>
        <w:rPr>
          <w:rFonts w:ascii="Times New Roman" w:hAnsi="Times New Roman" w:eastAsia="Times New Roman" w:cs="Times New Roman"/>
          <w:spacing w:val="5"/>
          <w:sz w:val="23"/>
          <w:szCs w:val="23"/>
        </w:rPr>
        <w:t xml:space="preserve">331 </w:t>
      </w:r>
      <w:r>
        <w:rPr>
          <w:rFonts w:ascii="宋体" w:hAnsi="宋体" w:eastAsia="宋体" w:cs="宋体"/>
          <w:spacing w:val="5"/>
          <w:sz w:val="23"/>
          <w:szCs w:val="23"/>
        </w:rPr>
        <w:t>天，达标率</w:t>
      </w:r>
      <w:r>
        <w:rPr>
          <w:rFonts w:ascii="宋体" w:hAnsi="宋体" w:eastAsia="宋体" w:cs="宋体"/>
          <w:sz w:val="23"/>
          <w:szCs w:val="23"/>
        </w:rPr>
        <w:t xml:space="preserve">为 </w:t>
      </w:r>
      <w:r>
        <w:rPr>
          <w:rFonts w:ascii="Times New Roman" w:hAnsi="Times New Roman" w:eastAsia="Times New Roman" w:cs="Times New Roman"/>
          <w:spacing w:val="1"/>
          <w:sz w:val="23"/>
          <w:szCs w:val="23"/>
        </w:rPr>
        <w:t xml:space="preserve">90.7% </w:t>
      </w:r>
      <w:r>
        <w:rPr>
          <w:rFonts w:ascii="宋体" w:hAnsi="宋体" w:eastAsia="宋体" w:cs="宋体"/>
          <w:spacing w:val="1"/>
          <w:sz w:val="23"/>
          <w:szCs w:val="23"/>
        </w:rPr>
        <w:t xml:space="preserve">。 自然降尘平均浓度为 </w:t>
      </w:r>
      <w:r>
        <w:rPr>
          <w:rFonts w:ascii="Times New Roman" w:hAnsi="Times New Roman" w:eastAsia="Times New Roman" w:cs="Times New Roman"/>
          <w:spacing w:val="1"/>
          <w:sz w:val="23"/>
          <w:szCs w:val="23"/>
        </w:rPr>
        <w:t xml:space="preserve">10.3 </w:t>
      </w:r>
      <w:r>
        <w:rPr>
          <w:rFonts w:ascii="宋体" w:hAnsi="宋体" w:eastAsia="宋体" w:cs="宋体"/>
          <w:spacing w:val="1"/>
          <w:sz w:val="23"/>
          <w:szCs w:val="23"/>
        </w:rPr>
        <w:t>吨</w:t>
      </w:r>
      <w:r>
        <w:rPr>
          <w:rFonts w:ascii="Times New Roman" w:hAnsi="Times New Roman" w:eastAsia="Times New Roman" w:cs="Times New Roman"/>
          <w:spacing w:val="1"/>
          <w:sz w:val="23"/>
          <w:szCs w:val="23"/>
        </w:rPr>
        <w:t>/</w:t>
      </w:r>
      <w:r>
        <w:rPr>
          <w:rFonts w:ascii="宋体" w:hAnsi="宋体" w:eastAsia="宋体" w:cs="宋体"/>
          <w:spacing w:val="1"/>
          <w:sz w:val="23"/>
          <w:szCs w:val="23"/>
        </w:rPr>
        <w:t>平方公里</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 </w:t>
      </w:r>
      <w:r>
        <w:rPr>
          <w:rFonts w:ascii="宋体" w:hAnsi="宋体" w:eastAsia="宋体" w:cs="宋体"/>
          <w:sz w:val="23"/>
          <w:szCs w:val="23"/>
        </w:rPr>
        <w:t>月，</w:t>
      </w:r>
      <w:r>
        <w:rPr>
          <w:rFonts w:ascii="Times New Roman" w:hAnsi="Times New Roman" w:eastAsia="Times New Roman" w:cs="Times New Roman"/>
          <w:sz w:val="23"/>
          <w:szCs w:val="23"/>
        </w:rPr>
        <w:t xml:space="preserve">6 </w:t>
      </w:r>
      <w:r>
        <w:rPr>
          <w:rFonts w:ascii="宋体" w:hAnsi="宋体" w:eastAsia="宋体" w:cs="宋体"/>
          <w:sz w:val="23"/>
          <w:szCs w:val="23"/>
        </w:rPr>
        <w:t xml:space="preserve">项污染物年均浓度全部达 </w:t>
      </w:r>
      <w:r>
        <w:rPr>
          <w:rFonts w:ascii="宋体" w:hAnsi="宋体" w:eastAsia="宋体" w:cs="宋体"/>
          <w:spacing w:val="4"/>
          <w:sz w:val="23"/>
          <w:szCs w:val="23"/>
        </w:rPr>
        <w:t>标</w:t>
      </w:r>
      <w:r>
        <w:rPr>
          <w:rFonts w:ascii="宋体" w:hAnsi="宋体" w:eastAsia="宋体" w:cs="宋体"/>
          <w:spacing w:val="3"/>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3"/>
          <w:sz w:val="23"/>
          <w:szCs w:val="23"/>
        </w:rPr>
        <w:t xml:space="preserve">10 </w:t>
      </w:r>
      <w:r>
        <w:rPr>
          <w:rFonts w:ascii="宋体" w:hAnsi="宋体" w:eastAsia="宋体" w:cs="宋体"/>
          <w:spacing w:val="3"/>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3"/>
          <w:sz w:val="23"/>
          <w:szCs w:val="23"/>
        </w:rPr>
        <w:t xml:space="preserve">2.5 </w:t>
      </w:r>
      <w:r>
        <w:rPr>
          <w:rFonts w:ascii="宋体" w:hAnsi="宋体" w:eastAsia="宋体" w:cs="宋体"/>
          <w:spacing w:val="3"/>
          <w:sz w:val="23"/>
          <w:szCs w:val="23"/>
        </w:rPr>
        <w:t xml:space="preserve">年均浓度分别为 </w:t>
      </w:r>
      <w:r>
        <w:rPr>
          <w:rFonts w:ascii="Times New Roman" w:hAnsi="Times New Roman" w:eastAsia="Times New Roman" w:cs="Times New Roman"/>
          <w:spacing w:val="3"/>
          <w:sz w:val="23"/>
          <w:szCs w:val="23"/>
        </w:rPr>
        <w:t xml:space="preserve">65 </w:t>
      </w:r>
      <w:r>
        <w:rPr>
          <w:rFonts w:ascii="宋体" w:hAnsi="宋体" w:eastAsia="宋体" w:cs="宋体"/>
          <w:spacing w:val="3"/>
          <w:sz w:val="23"/>
          <w:szCs w:val="23"/>
        </w:rPr>
        <w:t>微克</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立方米和 </w:t>
      </w:r>
      <w:r>
        <w:rPr>
          <w:rFonts w:ascii="Times New Roman" w:hAnsi="Times New Roman" w:eastAsia="Times New Roman" w:cs="Times New Roman"/>
          <w:spacing w:val="3"/>
          <w:sz w:val="23"/>
          <w:szCs w:val="23"/>
        </w:rPr>
        <w:t xml:space="preserve">34 </w:t>
      </w:r>
      <w:r>
        <w:rPr>
          <w:rFonts w:ascii="宋体" w:hAnsi="宋体" w:eastAsia="宋体" w:cs="宋体"/>
          <w:spacing w:val="3"/>
          <w:sz w:val="23"/>
          <w:szCs w:val="23"/>
        </w:rPr>
        <w:t>微克</w:t>
      </w:r>
      <w:r>
        <w:rPr>
          <w:rFonts w:ascii="Times New Roman" w:hAnsi="Times New Roman" w:eastAsia="Times New Roman" w:cs="Times New Roman"/>
          <w:spacing w:val="3"/>
          <w:sz w:val="23"/>
          <w:szCs w:val="23"/>
        </w:rPr>
        <w:t>/</w:t>
      </w:r>
      <w:r>
        <w:rPr>
          <w:rFonts w:ascii="宋体" w:hAnsi="宋体" w:eastAsia="宋体" w:cs="宋体"/>
          <w:spacing w:val="3"/>
          <w:sz w:val="23"/>
          <w:szCs w:val="23"/>
        </w:rPr>
        <w:t>立方米。</w:t>
      </w:r>
    </w:p>
    <w:p w14:paraId="17CD90B1">
      <w:pPr>
        <w:spacing w:before="155" w:line="390" w:lineRule="auto"/>
        <w:ind w:left="34" w:right="187" w:firstLine="478"/>
        <w:rPr>
          <w:rFonts w:ascii="宋体" w:hAnsi="宋体" w:eastAsia="宋体" w:cs="宋体"/>
          <w:sz w:val="23"/>
          <w:szCs w:val="23"/>
        </w:rPr>
      </w:pPr>
      <w:r>
        <w:rPr>
          <w:rFonts w:ascii="宋体" w:hAnsi="宋体" w:eastAsia="宋体" w:cs="宋体"/>
          <w:spacing w:val="8"/>
          <w:sz w:val="23"/>
          <w:szCs w:val="23"/>
        </w:rPr>
        <w:t>根据《环境影响</w:t>
      </w:r>
      <w:r>
        <w:rPr>
          <w:rFonts w:ascii="宋体" w:hAnsi="宋体" w:eastAsia="宋体" w:cs="宋体"/>
          <w:spacing w:val="7"/>
          <w:sz w:val="23"/>
          <w:szCs w:val="23"/>
        </w:rPr>
        <w:t>评</w:t>
      </w:r>
      <w:r>
        <w:rPr>
          <w:rFonts w:ascii="宋体" w:hAnsi="宋体" w:eastAsia="宋体" w:cs="宋体"/>
          <w:spacing w:val="4"/>
          <w:sz w:val="23"/>
          <w:szCs w:val="23"/>
        </w:rPr>
        <w:t>价技术导则</w:t>
      </w:r>
      <w:r>
        <w:rPr>
          <w:rFonts w:ascii="Times New Roman" w:hAnsi="Times New Roman" w:eastAsia="Times New Roman" w:cs="Times New Roman"/>
          <w:spacing w:val="4"/>
          <w:sz w:val="23"/>
          <w:szCs w:val="23"/>
        </w:rPr>
        <w:t>—</w:t>
      </w:r>
      <w:r>
        <w:rPr>
          <w:rFonts w:ascii="宋体" w:hAnsi="宋体" w:eastAsia="宋体" w:cs="宋体"/>
          <w:spacing w:val="4"/>
          <w:sz w:val="23"/>
          <w:szCs w:val="23"/>
        </w:rPr>
        <w:t>大气环境》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2.2-2018</w:t>
      </w:r>
      <w:r>
        <w:rPr>
          <w:rFonts w:ascii="宋体" w:hAnsi="宋体" w:eastAsia="宋体" w:cs="宋体"/>
          <w:spacing w:val="4"/>
          <w:sz w:val="23"/>
          <w:szCs w:val="23"/>
        </w:rPr>
        <w:t>) 要求，六项基本</w:t>
      </w:r>
      <w:r>
        <w:rPr>
          <w:rFonts w:ascii="宋体" w:hAnsi="宋体" w:eastAsia="宋体" w:cs="宋体"/>
          <w:sz w:val="23"/>
          <w:szCs w:val="23"/>
        </w:rPr>
        <w:t xml:space="preserve"> </w:t>
      </w:r>
      <w:r>
        <w:rPr>
          <w:rFonts w:ascii="宋体" w:hAnsi="宋体" w:eastAsia="宋体" w:cs="宋体"/>
          <w:spacing w:val="11"/>
          <w:sz w:val="23"/>
          <w:szCs w:val="23"/>
        </w:rPr>
        <w:t>污染物全部达标为区域环境质量达标，从《本溪市环境质量简报 (</w:t>
      </w:r>
      <w:r>
        <w:rPr>
          <w:rFonts w:ascii="Times New Roman" w:hAnsi="Times New Roman" w:eastAsia="Times New Roman" w:cs="Times New Roman"/>
          <w:spacing w:val="11"/>
          <w:sz w:val="23"/>
          <w:szCs w:val="23"/>
        </w:rPr>
        <w:t xml:space="preserve">2018 </w:t>
      </w:r>
      <w:r>
        <w:rPr>
          <w:rFonts w:ascii="宋体" w:hAnsi="宋体" w:eastAsia="宋体" w:cs="宋体"/>
          <w:spacing w:val="11"/>
          <w:sz w:val="23"/>
          <w:szCs w:val="23"/>
        </w:rPr>
        <w:t xml:space="preserve">年)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9"/>
          <w:sz w:val="23"/>
          <w:szCs w:val="23"/>
        </w:rPr>
        <w:t>结论可以看出该项目所在区域为达标区</w:t>
      </w:r>
      <w:r>
        <w:rPr>
          <w:rFonts w:ascii="宋体" w:hAnsi="宋体" w:eastAsia="宋体" w:cs="宋体"/>
          <w:spacing w:val="5"/>
          <w:sz w:val="23"/>
          <w:szCs w:val="23"/>
        </w:rPr>
        <w:t>。</w:t>
      </w:r>
    </w:p>
    <w:p w14:paraId="5D0FFBBB">
      <w:pPr>
        <w:spacing w:before="101" w:line="220" w:lineRule="auto"/>
        <w:ind w:left="30"/>
        <w:outlineLvl w:val="3"/>
        <w:rPr>
          <w:rFonts w:ascii="宋体" w:hAnsi="宋体" w:eastAsia="宋体" w:cs="宋体"/>
          <w:sz w:val="28"/>
          <w:szCs w:val="28"/>
        </w:rPr>
      </w:pPr>
      <w:r>
        <w:rPr>
          <w:rFonts w:ascii="Times New Roman" w:hAnsi="Times New Roman" w:eastAsia="Times New Roman" w:cs="Times New Roman"/>
          <w:b/>
          <w:bCs/>
          <w:spacing w:val="15"/>
          <w:sz w:val="28"/>
          <w:szCs w:val="28"/>
        </w:rPr>
        <w:t>4</w:t>
      </w:r>
      <w:r>
        <w:rPr>
          <w:rFonts w:ascii="Times New Roman" w:hAnsi="Times New Roman" w:eastAsia="Times New Roman" w:cs="Times New Roman"/>
          <w:b/>
          <w:bCs/>
          <w:spacing w:val="9"/>
          <w:sz w:val="28"/>
          <w:szCs w:val="28"/>
        </w:rPr>
        <w:t>.3.1.2</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区域特征污染物环境质量现状</w:t>
      </w:r>
    </w:p>
    <w:p w14:paraId="596E69C3">
      <w:pPr>
        <w:spacing w:line="261" w:lineRule="auto"/>
        <w:rPr>
          <w:rFonts w:ascii="Arial"/>
          <w:sz w:val="21"/>
        </w:rPr>
      </w:pPr>
    </w:p>
    <w:p w14:paraId="2D14E83E">
      <w:pPr>
        <w:spacing w:before="75" w:line="389" w:lineRule="auto"/>
        <w:ind w:left="33" w:right="192" w:firstLine="479"/>
        <w:rPr>
          <w:rFonts w:ascii="宋体" w:hAnsi="宋体" w:eastAsia="宋体" w:cs="宋体"/>
          <w:sz w:val="23"/>
          <w:szCs w:val="23"/>
        </w:rPr>
      </w:pPr>
      <w:r>
        <w:rPr>
          <w:rFonts w:ascii="宋体" w:hAnsi="宋体" w:eastAsia="宋体" w:cs="宋体"/>
          <w:spacing w:val="18"/>
          <w:sz w:val="23"/>
          <w:szCs w:val="23"/>
        </w:rPr>
        <w:t>根</w:t>
      </w:r>
      <w:r>
        <w:rPr>
          <w:rFonts w:ascii="宋体" w:hAnsi="宋体" w:eastAsia="宋体" w:cs="宋体"/>
          <w:spacing w:val="12"/>
          <w:sz w:val="23"/>
          <w:szCs w:val="23"/>
        </w:rPr>
        <w:t>据</w:t>
      </w:r>
      <w:r>
        <w:rPr>
          <w:rFonts w:ascii="宋体" w:hAnsi="宋体" w:eastAsia="宋体" w:cs="宋体"/>
          <w:spacing w:val="9"/>
          <w:sz w:val="23"/>
          <w:szCs w:val="23"/>
        </w:rPr>
        <w:t xml:space="preserve"> </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 xml:space="preserve">2.2-2018 </w:t>
      </w:r>
      <w:r>
        <w:rPr>
          <w:rFonts w:ascii="宋体" w:hAnsi="宋体" w:eastAsia="宋体" w:cs="宋体"/>
          <w:spacing w:val="9"/>
          <w:sz w:val="23"/>
          <w:szCs w:val="23"/>
        </w:rPr>
        <w:t xml:space="preserve">要求其他污染物环境质量现状数据可收集评价范围内近 </w:t>
      </w:r>
      <w:r>
        <w:rPr>
          <w:rFonts w:ascii="Times New Roman" w:hAnsi="Times New Roman" w:eastAsia="Times New Roman" w:cs="Times New Roman"/>
          <w:spacing w:val="9"/>
          <w:sz w:val="23"/>
          <w:szCs w:val="23"/>
        </w:rPr>
        <w:t>3</w:t>
      </w:r>
      <w:r>
        <w:rPr>
          <w:rFonts w:ascii="Times New Roman" w:hAnsi="Times New Roman" w:eastAsia="Times New Roman" w:cs="Times New Roman"/>
          <w:sz w:val="23"/>
          <w:szCs w:val="23"/>
        </w:rPr>
        <w:t xml:space="preserve"> </w:t>
      </w:r>
      <w:r>
        <w:rPr>
          <w:rFonts w:ascii="宋体" w:hAnsi="宋体" w:eastAsia="宋体" w:cs="宋体"/>
          <w:spacing w:val="8"/>
          <w:sz w:val="23"/>
          <w:szCs w:val="23"/>
        </w:rPr>
        <w:t>年</w:t>
      </w:r>
      <w:r>
        <w:rPr>
          <w:rFonts w:ascii="宋体" w:hAnsi="宋体" w:eastAsia="宋体" w:cs="宋体"/>
          <w:spacing w:val="7"/>
          <w:sz w:val="23"/>
          <w:szCs w:val="23"/>
        </w:rPr>
        <w:t>与项目排放的其他污染物有关的历史监测资料。该项目涉及的其他污染物为非</w:t>
      </w:r>
      <w:r>
        <w:rPr>
          <w:rFonts w:ascii="宋体" w:hAnsi="宋体" w:eastAsia="宋体" w:cs="宋体"/>
          <w:sz w:val="23"/>
          <w:szCs w:val="23"/>
        </w:rPr>
        <w:t xml:space="preserve"> </w:t>
      </w:r>
      <w:r>
        <w:rPr>
          <w:rFonts w:ascii="宋体" w:hAnsi="宋体" w:eastAsia="宋体" w:cs="宋体"/>
          <w:spacing w:val="4"/>
          <w:sz w:val="23"/>
          <w:szCs w:val="23"/>
        </w:rPr>
        <w:t>甲烷总烃。该项目委托辽宁康瑞检测有</w:t>
      </w:r>
      <w:r>
        <w:rPr>
          <w:rFonts w:ascii="宋体" w:hAnsi="宋体" w:eastAsia="宋体" w:cs="宋体"/>
          <w:spacing w:val="2"/>
          <w:sz w:val="23"/>
          <w:szCs w:val="23"/>
        </w:rPr>
        <w:t xml:space="preserve">限公司于 </w:t>
      </w:r>
      <w:r>
        <w:rPr>
          <w:rFonts w:ascii="Times New Roman" w:hAnsi="Times New Roman" w:eastAsia="Times New Roman" w:cs="Times New Roman"/>
          <w:spacing w:val="2"/>
          <w:sz w:val="23"/>
          <w:szCs w:val="23"/>
        </w:rPr>
        <w:t xml:space="preserve">2019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06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20 </w:t>
      </w:r>
      <w:r>
        <w:rPr>
          <w:rFonts w:ascii="宋体" w:hAnsi="宋体" w:eastAsia="宋体" w:cs="宋体"/>
          <w:spacing w:val="2"/>
          <w:sz w:val="23"/>
          <w:szCs w:val="23"/>
        </w:rPr>
        <w:t xml:space="preserve">日至 </w:t>
      </w:r>
      <w:r>
        <w:rPr>
          <w:rFonts w:ascii="Times New Roman" w:hAnsi="Times New Roman" w:eastAsia="Times New Roman" w:cs="Times New Roman"/>
          <w:spacing w:val="2"/>
          <w:sz w:val="23"/>
          <w:szCs w:val="23"/>
        </w:rPr>
        <w:t xml:space="preserve">06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26</w:t>
      </w:r>
      <w:r>
        <w:rPr>
          <w:rFonts w:ascii="Times New Roman" w:hAnsi="Times New Roman" w:eastAsia="Times New Roman" w:cs="Times New Roman"/>
          <w:sz w:val="23"/>
          <w:szCs w:val="23"/>
        </w:rPr>
        <w:t xml:space="preserve"> </w:t>
      </w:r>
      <w:r>
        <w:rPr>
          <w:rFonts w:ascii="宋体" w:hAnsi="宋体" w:eastAsia="宋体" w:cs="宋体"/>
          <w:spacing w:val="15"/>
          <w:sz w:val="23"/>
          <w:szCs w:val="23"/>
        </w:rPr>
        <w:t>日</w:t>
      </w:r>
      <w:r>
        <w:rPr>
          <w:rFonts w:ascii="宋体" w:hAnsi="宋体" w:eastAsia="宋体" w:cs="宋体"/>
          <w:spacing w:val="9"/>
          <w:sz w:val="23"/>
          <w:szCs w:val="23"/>
        </w:rPr>
        <w:t>对本地区的环境空气特征污染物环境质量现状进行了监测。</w:t>
      </w:r>
    </w:p>
    <w:p w14:paraId="2F5249EF">
      <w:pPr>
        <w:spacing w:before="137" w:line="227"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监测布</w:t>
      </w:r>
      <w:r>
        <w:rPr>
          <w:rFonts w:ascii="宋体" w:hAnsi="宋体" w:eastAsia="宋体" w:cs="宋体"/>
          <w:spacing w:val="19"/>
          <w:sz w:val="23"/>
          <w:szCs w:val="23"/>
        </w:rPr>
        <w:t>点</w:t>
      </w:r>
    </w:p>
    <w:p w14:paraId="25962F1B">
      <w:pPr>
        <w:spacing w:line="276" w:lineRule="auto"/>
        <w:rPr>
          <w:rFonts w:ascii="Arial"/>
          <w:sz w:val="21"/>
        </w:rPr>
      </w:pPr>
    </w:p>
    <w:p w14:paraId="2AD32C11">
      <w:pPr>
        <w:spacing w:before="75" w:line="393" w:lineRule="auto"/>
        <w:ind w:left="33" w:right="195" w:firstLine="455"/>
        <w:rPr>
          <w:rFonts w:ascii="宋体" w:hAnsi="宋体" w:eastAsia="宋体" w:cs="宋体"/>
          <w:sz w:val="23"/>
          <w:szCs w:val="23"/>
        </w:rPr>
      </w:pPr>
      <w:r>
        <w:rPr>
          <w:rFonts w:ascii="宋体" w:hAnsi="宋体" w:eastAsia="宋体" w:cs="宋体"/>
          <w:spacing w:val="1"/>
          <w:sz w:val="23"/>
          <w:szCs w:val="23"/>
        </w:rPr>
        <w:t>根据该项目的用地范围，结合当地主、次</w:t>
      </w:r>
      <w:r>
        <w:rPr>
          <w:rFonts w:ascii="宋体" w:hAnsi="宋体" w:eastAsia="宋体" w:cs="宋体"/>
          <w:sz w:val="23"/>
          <w:szCs w:val="23"/>
        </w:rPr>
        <w:t xml:space="preserve">导风向等因素，该项目环境空气现状 </w:t>
      </w:r>
      <w:r>
        <w:rPr>
          <w:rFonts w:ascii="宋体" w:hAnsi="宋体" w:eastAsia="宋体" w:cs="宋体"/>
          <w:spacing w:val="-2"/>
          <w:sz w:val="23"/>
          <w:szCs w:val="23"/>
        </w:rPr>
        <w:t xml:space="preserve">监测共布设 </w:t>
      </w:r>
      <w:r>
        <w:rPr>
          <w:rFonts w:ascii="Times New Roman" w:hAnsi="Times New Roman" w:eastAsia="Times New Roman" w:cs="Times New Roman"/>
          <w:spacing w:val="-2"/>
          <w:sz w:val="23"/>
          <w:szCs w:val="23"/>
        </w:rPr>
        <w:t>2</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个监测点。各监测点具体情况见表 </w:t>
      </w:r>
      <w:r>
        <w:rPr>
          <w:rFonts w:ascii="Times New Roman" w:hAnsi="Times New Roman" w:eastAsia="Times New Roman" w:cs="Times New Roman"/>
          <w:spacing w:val="-1"/>
          <w:sz w:val="23"/>
          <w:szCs w:val="23"/>
        </w:rPr>
        <w:t>4-2</w:t>
      </w:r>
      <w:r>
        <w:rPr>
          <w:rFonts w:ascii="宋体" w:hAnsi="宋体" w:eastAsia="宋体" w:cs="宋体"/>
          <w:spacing w:val="-1"/>
          <w:sz w:val="23"/>
          <w:szCs w:val="23"/>
        </w:rPr>
        <w:t>。</w:t>
      </w:r>
    </w:p>
    <w:p w14:paraId="696D1025">
      <w:pPr>
        <w:spacing w:before="137" w:line="227" w:lineRule="auto"/>
        <w:ind w:left="252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环境空气质量监测点布设</w:t>
      </w:r>
    </w:p>
    <w:p w14:paraId="0AF00E5C">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2753"/>
        <w:gridCol w:w="2556"/>
        <w:gridCol w:w="2556"/>
      </w:tblGrid>
      <w:tr w14:paraId="010BC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57" w:type="dxa"/>
            <w:tcBorders>
              <w:left w:val="nil"/>
            </w:tcBorders>
            <w:vAlign w:val="top"/>
          </w:tcPr>
          <w:p w14:paraId="28EFBFC4">
            <w:pPr>
              <w:spacing w:before="75" w:line="229" w:lineRule="auto"/>
              <w:ind w:left="12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753" w:type="dxa"/>
            <w:vAlign w:val="top"/>
          </w:tcPr>
          <w:p w14:paraId="05822BF6">
            <w:pPr>
              <w:spacing w:before="75" w:line="229" w:lineRule="auto"/>
              <w:ind w:left="85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测点名称</w:t>
            </w:r>
          </w:p>
        </w:tc>
        <w:tc>
          <w:tcPr>
            <w:tcW w:w="2556" w:type="dxa"/>
            <w:vAlign w:val="top"/>
          </w:tcPr>
          <w:p w14:paraId="714D3AC8">
            <w:pPr>
              <w:spacing w:before="75" w:line="229" w:lineRule="auto"/>
              <w:ind w:left="75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测点位置</w:t>
            </w:r>
          </w:p>
        </w:tc>
        <w:tc>
          <w:tcPr>
            <w:tcW w:w="2556" w:type="dxa"/>
            <w:tcBorders>
              <w:right w:val="nil"/>
            </w:tcBorders>
            <w:vAlign w:val="top"/>
          </w:tcPr>
          <w:p w14:paraId="506DCFC4">
            <w:pPr>
              <w:spacing w:before="75" w:line="229" w:lineRule="auto"/>
              <w:ind w:left="107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1F3F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57" w:type="dxa"/>
            <w:tcBorders>
              <w:left w:val="nil"/>
            </w:tcBorders>
            <w:vAlign w:val="top"/>
          </w:tcPr>
          <w:p w14:paraId="6D886E1A">
            <w:pPr>
              <w:spacing w:before="16" w:line="281"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2753" w:type="dxa"/>
            <w:vAlign w:val="top"/>
          </w:tcPr>
          <w:p w14:paraId="4840026C">
            <w:pPr>
              <w:spacing w:before="54" w:line="228" w:lineRule="auto"/>
              <w:ind w:left="648"/>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设项目所在地</w:t>
            </w:r>
          </w:p>
        </w:tc>
        <w:tc>
          <w:tcPr>
            <w:tcW w:w="2556" w:type="dxa"/>
            <w:vAlign w:val="top"/>
          </w:tcPr>
          <w:p w14:paraId="0310241C">
            <w:pPr>
              <w:spacing w:before="54" w:line="228" w:lineRule="auto"/>
              <w:ind w:left="761"/>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c>
        <w:tc>
          <w:tcPr>
            <w:tcW w:w="2556" w:type="dxa"/>
            <w:tcBorders>
              <w:right w:val="nil"/>
            </w:tcBorders>
            <w:vAlign w:val="top"/>
          </w:tcPr>
          <w:p w14:paraId="5889A3D1">
            <w:pPr>
              <w:spacing w:before="53" w:line="228" w:lineRule="auto"/>
              <w:ind w:left="970"/>
              <w:rPr>
                <w:rFonts w:ascii="宋体" w:hAnsi="宋体" w:eastAsia="宋体" w:cs="宋体"/>
                <w:sz w:val="20"/>
                <w:szCs w:val="20"/>
              </w:rPr>
            </w:pPr>
            <w:r>
              <w:rPr>
                <w:rFonts w:ascii="宋体" w:hAnsi="宋体" w:eastAsia="宋体" w:cs="宋体"/>
                <w:spacing w:val="6"/>
                <w:sz w:val="20"/>
                <w:szCs w:val="20"/>
              </w:rPr>
              <w:t>背景</w:t>
            </w:r>
            <w:r>
              <w:rPr>
                <w:rFonts w:ascii="宋体" w:hAnsi="宋体" w:eastAsia="宋体" w:cs="宋体"/>
                <w:spacing w:val="5"/>
                <w:sz w:val="20"/>
                <w:szCs w:val="20"/>
              </w:rPr>
              <w:t>点</w:t>
            </w:r>
          </w:p>
        </w:tc>
      </w:tr>
      <w:tr w14:paraId="66CD6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57" w:type="dxa"/>
            <w:tcBorders>
              <w:left w:val="nil"/>
            </w:tcBorders>
            <w:vAlign w:val="top"/>
          </w:tcPr>
          <w:p w14:paraId="6F571019">
            <w:pPr>
              <w:spacing w:before="18" w:line="281"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2753" w:type="dxa"/>
            <w:vAlign w:val="top"/>
          </w:tcPr>
          <w:p w14:paraId="2B901831">
            <w:pPr>
              <w:spacing w:before="55" w:line="228" w:lineRule="auto"/>
              <w:ind w:left="1066"/>
              <w:rPr>
                <w:rFonts w:ascii="宋体" w:hAnsi="宋体" w:eastAsia="宋体" w:cs="宋体"/>
                <w:sz w:val="20"/>
                <w:szCs w:val="20"/>
              </w:rPr>
            </w:pPr>
            <w:r>
              <w:rPr>
                <w:rFonts w:ascii="宋体" w:hAnsi="宋体" w:eastAsia="宋体" w:cs="宋体"/>
                <w:spacing w:val="7"/>
                <w:sz w:val="20"/>
                <w:szCs w:val="20"/>
              </w:rPr>
              <w:t>榆树</w:t>
            </w:r>
            <w:r>
              <w:rPr>
                <w:rFonts w:ascii="宋体" w:hAnsi="宋体" w:eastAsia="宋体" w:cs="宋体"/>
                <w:spacing w:val="6"/>
                <w:sz w:val="20"/>
                <w:szCs w:val="20"/>
              </w:rPr>
              <w:t>底</w:t>
            </w:r>
          </w:p>
        </w:tc>
        <w:tc>
          <w:tcPr>
            <w:tcW w:w="2556" w:type="dxa"/>
            <w:vAlign w:val="top"/>
          </w:tcPr>
          <w:p w14:paraId="6F41E0E4">
            <w:pPr>
              <w:spacing w:before="55" w:line="228" w:lineRule="auto"/>
              <w:ind w:left="365"/>
              <w:rPr>
                <w:rFonts w:ascii="宋体" w:hAnsi="宋体" w:eastAsia="宋体" w:cs="宋体"/>
                <w:sz w:val="20"/>
                <w:szCs w:val="20"/>
              </w:rPr>
            </w:pPr>
            <w:r>
              <w:rPr>
                <w:rFonts w:ascii="宋体" w:hAnsi="宋体" w:eastAsia="宋体" w:cs="宋体"/>
                <w:spacing w:val="4"/>
                <w:sz w:val="20"/>
                <w:szCs w:val="20"/>
              </w:rPr>
              <w:t>厂区西</w:t>
            </w:r>
            <w:r>
              <w:rPr>
                <w:rFonts w:ascii="宋体" w:hAnsi="宋体" w:eastAsia="宋体" w:cs="宋体"/>
                <w:spacing w:val="2"/>
                <w:sz w:val="20"/>
                <w:szCs w:val="20"/>
              </w:rPr>
              <w:t xml:space="preserve">北侧 </w:t>
            </w:r>
            <w:r>
              <w:rPr>
                <w:rFonts w:ascii="Times New Roman" w:hAnsi="Times New Roman" w:eastAsia="Times New Roman" w:cs="Times New Roman"/>
                <w:spacing w:val="2"/>
                <w:sz w:val="20"/>
                <w:szCs w:val="20"/>
              </w:rPr>
              <w:t>330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556" w:type="dxa"/>
            <w:tcBorders>
              <w:right w:val="nil"/>
            </w:tcBorders>
            <w:vAlign w:val="top"/>
          </w:tcPr>
          <w:p w14:paraId="5C11333F">
            <w:pPr>
              <w:spacing w:before="55" w:line="229" w:lineRule="auto"/>
              <w:ind w:left="966"/>
              <w:rPr>
                <w:rFonts w:ascii="宋体" w:hAnsi="宋体" w:eastAsia="宋体" w:cs="宋体"/>
                <w:sz w:val="20"/>
                <w:szCs w:val="20"/>
              </w:rPr>
            </w:pPr>
            <w:r>
              <w:rPr>
                <w:rFonts w:ascii="宋体" w:hAnsi="宋体" w:eastAsia="宋体" w:cs="宋体"/>
                <w:spacing w:val="7"/>
                <w:sz w:val="20"/>
                <w:szCs w:val="20"/>
              </w:rPr>
              <w:t>对照点</w:t>
            </w:r>
          </w:p>
        </w:tc>
      </w:tr>
    </w:tbl>
    <w:p w14:paraId="0195188F">
      <w:pPr>
        <w:spacing w:line="258" w:lineRule="auto"/>
        <w:rPr>
          <w:rFonts w:ascii="Arial"/>
          <w:sz w:val="21"/>
        </w:rPr>
      </w:pPr>
    </w:p>
    <w:p w14:paraId="2E29E4A7">
      <w:pPr>
        <w:spacing w:before="76" w:line="228"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监测项</w:t>
      </w:r>
      <w:r>
        <w:rPr>
          <w:rFonts w:ascii="宋体" w:hAnsi="宋体" w:eastAsia="宋体" w:cs="宋体"/>
          <w:spacing w:val="19"/>
          <w:sz w:val="23"/>
          <w:szCs w:val="23"/>
        </w:rPr>
        <w:t>目</w:t>
      </w:r>
    </w:p>
    <w:p w14:paraId="5F3EC6D2">
      <w:pPr>
        <w:spacing w:line="275" w:lineRule="auto"/>
        <w:rPr>
          <w:rFonts w:ascii="Arial"/>
          <w:sz w:val="21"/>
        </w:rPr>
      </w:pPr>
    </w:p>
    <w:p w14:paraId="18CD11D5">
      <w:pPr>
        <w:spacing w:before="75" w:line="393" w:lineRule="auto"/>
        <w:ind w:left="33" w:right="110" w:firstLine="479"/>
        <w:rPr>
          <w:rFonts w:ascii="宋体" w:hAnsi="宋体" w:eastAsia="宋体" w:cs="宋体"/>
          <w:sz w:val="23"/>
          <w:szCs w:val="23"/>
        </w:rPr>
      </w:pPr>
      <w:r>
        <w:rPr>
          <w:rFonts w:ascii="宋体" w:hAnsi="宋体" w:eastAsia="宋体" w:cs="宋体"/>
          <w:spacing w:val="-1"/>
          <w:sz w:val="23"/>
          <w:szCs w:val="23"/>
        </w:rPr>
        <w:t xml:space="preserve">包括特征监测因子 </w:t>
      </w:r>
      <w:r>
        <w:rPr>
          <w:rFonts w:ascii="Times New Roman" w:hAnsi="Times New Roman" w:eastAsia="Times New Roman" w:cs="Times New Roman"/>
          <w:spacing w:val="-1"/>
          <w:sz w:val="23"/>
          <w:szCs w:val="23"/>
        </w:rPr>
        <w:t>NMHC</w:t>
      </w:r>
      <w:r>
        <w:rPr>
          <w:rFonts w:ascii="宋体" w:hAnsi="宋体" w:eastAsia="宋体" w:cs="宋体"/>
          <w:spacing w:val="-1"/>
          <w:sz w:val="23"/>
          <w:szCs w:val="23"/>
        </w:rPr>
        <w:t xml:space="preserve">，共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项。监测内容为 </w:t>
      </w:r>
      <w:r>
        <w:rPr>
          <w:rFonts w:ascii="Times New Roman" w:hAnsi="Times New Roman" w:eastAsia="Times New Roman" w:cs="Times New Roman"/>
          <w:sz w:val="23"/>
          <w:szCs w:val="23"/>
        </w:rPr>
        <w:t>NMHC</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的一次最大浓度值。</w:t>
      </w:r>
      <w:r>
        <w:rPr>
          <w:rFonts w:ascii="宋体" w:hAnsi="宋体" w:eastAsia="宋体" w:cs="宋体"/>
          <w:sz w:val="23"/>
          <w:szCs w:val="23"/>
        </w:rPr>
        <w:t xml:space="preserve"> </w:t>
      </w:r>
      <w:r>
        <w:rPr>
          <w:rFonts w:ascii="宋体" w:hAnsi="宋体" w:eastAsia="宋体" w:cs="宋体"/>
          <w:spacing w:val="14"/>
          <w:sz w:val="23"/>
          <w:szCs w:val="23"/>
        </w:rPr>
        <w:t>监</w:t>
      </w:r>
      <w:r>
        <w:rPr>
          <w:rFonts w:ascii="宋体" w:hAnsi="宋体" w:eastAsia="宋体" w:cs="宋体"/>
          <w:spacing w:val="9"/>
          <w:sz w:val="23"/>
          <w:szCs w:val="23"/>
        </w:rPr>
        <w:t>测时同步观测气象要素，如风向、风速、气温、气压等。</w:t>
      </w:r>
    </w:p>
    <w:p w14:paraId="5A74EE59">
      <w:pPr>
        <w:spacing w:before="137" w:line="227"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监测频</w:t>
      </w:r>
      <w:r>
        <w:rPr>
          <w:rFonts w:ascii="宋体" w:hAnsi="宋体" w:eastAsia="宋体" w:cs="宋体"/>
          <w:spacing w:val="19"/>
          <w:sz w:val="23"/>
          <w:szCs w:val="23"/>
        </w:rPr>
        <w:t>率</w:t>
      </w:r>
    </w:p>
    <w:p w14:paraId="0B15F23D">
      <w:pPr>
        <w:spacing w:line="276" w:lineRule="auto"/>
        <w:rPr>
          <w:rFonts w:ascii="Arial"/>
          <w:sz w:val="21"/>
        </w:rPr>
      </w:pPr>
    </w:p>
    <w:p w14:paraId="671000C6">
      <w:pPr>
        <w:spacing w:before="75" w:line="227" w:lineRule="auto"/>
        <w:ind w:left="513"/>
        <w:rPr>
          <w:rFonts w:ascii="宋体" w:hAnsi="宋体" w:eastAsia="宋体" w:cs="宋体"/>
          <w:sz w:val="23"/>
          <w:szCs w:val="23"/>
        </w:rPr>
      </w:pPr>
      <w:r>
        <w:rPr>
          <w:rFonts w:ascii="宋体" w:hAnsi="宋体" w:eastAsia="宋体" w:cs="宋体"/>
          <w:spacing w:val="5"/>
          <w:sz w:val="23"/>
          <w:szCs w:val="23"/>
        </w:rPr>
        <w:t xml:space="preserve">监测点的监测因子和监测频率见表 </w:t>
      </w:r>
      <w:r>
        <w:rPr>
          <w:rFonts w:ascii="Times New Roman" w:hAnsi="Times New Roman" w:eastAsia="Times New Roman" w:cs="Times New Roman"/>
          <w:spacing w:val="5"/>
          <w:sz w:val="23"/>
          <w:szCs w:val="23"/>
        </w:rPr>
        <w:t>4-3</w:t>
      </w:r>
      <w:r>
        <w:rPr>
          <w:rFonts w:ascii="宋体" w:hAnsi="宋体" w:eastAsia="宋体" w:cs="宋体"/>
          <w:spacing w:val="2"/>
          <w:sz w:val="23"/>
          <w:szCs w:val="23"/>
        </w:rPr>
        <w:t>。</w:t>
      </w:r>
    </w:p>
    <w:p w14:paraId="6E8B2E18">
      <w:pPr>
        <w:sectPr>
          <w:headerReference r:id="rId158" w:type="default"/>
          <w:footerReference r:id="rId159" w:type="default"/>
          <w:pgSz w:w="11906" w:h="16839"/>
          <w:pgMar w:top="1132" w:right="1606" w:bottom="1182" w:left="1777" w:header="878" w:footer="1022" w:gutter="0"/>
          <w:cols w:space="720" w:num="1"/>
        </w:sectPr>
      </w:pPr>
    </w:p>
    <w:p w14:paraId="16330269">
      <w:pPr>
        <w:spacing w:line="409" w:lineRule="auto"/>
        <w:rPr>
          <w:rFonts w:ascii="Arial"/>
          <w:sz w:val="21"/>
        </w:rPr>
      </w:pPr>
      <w:r>
        <w:pict>
          <v:shape id="_x0000_s1214" o:spid="_x0000_s1214" style="position:absolute;left:0pt;margin-left:90pt;margin-top:57.35pt;height:0.75pt;width:415.3pt;mso-position-horizontal-relative:page;mso-position-vertical-relative:page;z-index:251866112;mso-width-relative:page;mso-height-relative:page;" fillcolor="#000000" filled="t" stroked="f" coordsize="8305,15" o:allowincell="f" path="m0,0l8305,0,8305,14,0,14,0,0xe">
            <v:path/>
            <v:fill on="t" focussize="0,0"/>
            <v:stroke on="f"/>
            <v:imagedata o:title=""/>
            <o:lock v:ext="edit"/>
          </v:shape>
        </w:pict>
      </w:r>
    </w:p>
    <w:p w14:paraId="051F7F99">
      <w:pPr>
        <w:spacing w:before="74" w:line="227" w:lineRule="auto"/>
        <w:ind w:left="285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监测因子和监测频率</w:t>
      </w:r>
    </w:p>
    <w:p w14:paraId="10AAE803">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17"/>
        <w:gridCol w:w="5405"/>
      </w:tblGrid>
      <w:tr w14:paraId="5C893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3117" w:type="dxa"/>
            <w:tcBorders>
              <w:left w:val="nil"/>
            </w:tcBorders>
            <w:vAlign w:val="top"/>
          </w:tcPr>
          <w:p w14:paraId="6BFE9DB9">
            <w:pPr>
              <w:spacing w:before="76" w:line="228" w:lineRule="auto"/>
              <w:ind w:left="114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测因子</w:t>
            </w:r>
          </w:p>
        </w:tc>
        <w:tc>
          <w:tcPr>
            <w:tcW w:w="5405" w:type="dxa"/>
            <w:tcBorders>
              <w:right w:val="nil"/>
            </w:tcBorders>
            <w:vAlign w:val="top"/>
          </w:tcPr>
          <w:p w14:paraId="24EA4B24">
            <w:pPr>
              <w:spacing w:before="75" w:line="228" w:lineRule="auto"/>
              <w:ind w:left="228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测频率</w:t>
            </w:r>
          </w:p>
        </w:tc>
      </w:tr>
      <w:tr w14:paraId="2E51A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3117" w:type="dxa"/>
            <w:tcBorders>
              <w:left w:val="nil"/>
            </w:tcBorders>
            <w:vAlign w:val="top"/>
          </w:tcPr>
          <w:p w14:paraId="74A25935">
            <w:pPr>
              <w:spacing w:before="62" w:line="228" w:lineRule="auto"/>
              <w:ind w:left="899"/>
              <w:rPr>
                <w:rFonts w:ascii="宋体" w:hAnsi="宋体" w:eastAsia="宋体" w:cs="宋体"/>
                <w:sz w:val="20"/>
                <w:szCs w:val="20"/>
              </w:rPr>
            </w:pPr>
            <w:r>
              <w:rPr>
                <w:rFonts w:ascii="Times New Roman" w:hAnsi="Times New Roman" w:eastAsia="Times New Roman" w:cs="Times New Roman"/>
                <w:sz w:val="20"/>
                <w:szCs w:val="20"/>
              </w:rPr>
              <w:t>NMHC</w:t>
            </w:r>
            <w:r>
              <w:rPr>
                <w:rFonts w:ascii="Times New Roman" w:hAnsi="Times New Roman" w:eastAsia="Times New Roman" w:cs="Times New Roman"/>
                <w:spacing w:val="17"/>
                <w:sz w:val="20"/>
                <w:szCs w:val="20"/>
              </w:rPr>
              <w:t xml:space="preserve"> </w:t>
            </w:r>
            <w:r>
              <w:rPr>
                <w:rFonts w:ascii="宋体" w:hAnsi="宋体" w:eastAsia="宋体" w:cs="宋体"/>
                <w:spacing w:val="15"/>
                <w:sz w:val="20"/>
                <w:szCs w:val="20"/>
              </w:rPr>
              <w:t>一次值</w:t>
            </w:r>
          </w:p>
        </w:tc>
        <w:tc>
          <w:tcPr>
            <w:tcW w:w="5405" w:type="dxa"/>
            <w:tcBorders>
              <w:right w:val="nil"/>
            </w:tcBorders>
            <w:vAlign w:val="top"/>
          </w:tcPr>
          <w:p w14:paraId="36BBB27A">
            <w:pPr>
              <w:spacing w:before="24" w:line="281" w:lineRule="exact"/>
              <w:ind w:left="289"/>
              <w:rPr>
                <w:rFonts w:ascii="宋体" w:hAnsi="宋体" w:eastAsia="宋体" w:cs="宋体"/>
                <w:sz w:val="20"/>
                <w:szCs w:val="20"/>
              </w:rPr>
            </w:pPr>
            <w:r>
              <w:rPr>
                <w:rFonts w:ascii="宋体" w:hAnsi="宋体" w:eastAsia="宋体" w:cs="宋体"/>
                <w:spacing w:val="4"/>
                <w:position w:val="1"/>
                <w:sz w:val="20"/>
                <w:szCs w:val="20"/>
              </w:rPr>
              <w:t xml:space="preserve">每日监测 </w:t>
            </w:r>
            <w:r>
              <w:rPr>
                <w:rFonts w:ascii="Times New Roman" w:hAnsi="Times New Roman" w:eastAsia="Times New Roman" w:cs="Times New Roman"/>
                <w:spacing w:val="4"/>
                <w:position w:val="1"/>
                <w:sz w:val="20"/>
                <w:szCs w:val="20"/>
              </w:rPr>
              <w:t xml:space="preserve">4 </w:t>
            </w:r>
            <w:r>
              <w:rPr>
                <w:rFonts w:ascii="宋体" w:hAnsi="宋体" w:eastAsia="宋体" w:cs="宋体"/>
                <w:spacing w:val="4"/>
                <w:position w:val="1"/>
                <w:sz w:val="20"/>
                <w:szCs w:val="20"/>
              </w:rPr>
              <w:t>次</w:t>
            </w:r>
            <w:r>
              <w:rPr>
                <w:rFonts w:ascii="宋体" w:hAnsi="宋体" w:eastAsia="宋体" w:cs="宋体"/>
                <w:spacing w:val="2"/>
                <w:position w:val="1"/>
                <w:sz w:val="20"/>
                <w:szCs w:val="20"/>
              </w:rPr>
              <w:t xml:space="preserve">，每次至少 </w:t>
            </w:r>
            <w:r>
              <w:rPr>
                <w:rFonts w:ascii="Times New Roman" w:hAnsi="Times New Roman" w:eastAsia="Times New Roman" w:cs="Times New Roman"/>
                <w:spacing w:val="2"/>
                <w:position w:val="1"/>
                <w:sz w:val="20"/>
                <w:szCs w:val="20"/>
              </w:rPr>
              <w:t>45</w:t>
            </w:r>
            <w:r>
              <w:rPr>
                <w:rFonts w:ascii="Times New Roman" w:hAnsi="Times New Roman" w:eastAsia="Times New Roman" w:cs="Times New Roman"/>
                <w:position w:val="1"/>
                <w:sz w:val="20"/>
                <w:szCs w:val="20"/>
              </w:rPr>
              <w:t>min</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采样时间，连续 </w:t>
            </w:r>
            <w:r>
              <w:rPr>
                <w:rFonts w:ascii="Times New Roman" w:hAnsi="Times New Roman" w:eastAsia="Times New Roman" w:cs="Times New Roman"/>
                <w:spacing w:val="2"/>
                <w:position w:val="1"/>
                <w:sz w:val="20"/>
                <w:szCs w:val="20"/>
              </w:rPr>
              <w:t xml:space="preserve">7 </w:t>
            </w:r>
            <w:r>
              <w:rPr>
                <w:rFonts w:ascii="宋体" w:hAnsi="宋体" w:eastAsia="宋体" w:cs="宋体"/>
                <w:spacing w:val="2"/>
                <w:position w:val="1"/>
                <w:sz w:val="20"/>
                <w:szCs w:val="20"/>
              </w:rPr>
              <w:t>天</w:t>
            </w:r>
          </w:p>
        </w:tc>
      </w:tr>
    </w:tbl>
    <w:p w14:paraId="3D527806">
      <w:pPr>
        <w:spacing w:line="260" w:lineRule="auto"/>
        <w:rPr>
          <w:rFonts w:ascii="Arial"/>
          <w:sz w:val="21"/>
        </w:rPr>
      </w:pPr>
    </w:p>
    <w:p w14:paraId="7F2BACFA">
      <w:pPr>
        <w:spacing w:before="74"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分析方</w:t>
      </w:r>
      <w:r>
        <w:rPr>
          <w:rFonts w:ascii="宋体" w:hAnsi="宋体" w:eastAsia="宋体" w:cs="宋体"/>
          <w:spacing w:val="19"/>
          <w:sz w:val="23"/>
          <w:szCs w:val="23"/>
        </w:rPr>
        <w:t>法</w:t>
      </w:r>
    </w:p>
    <w:p w14:paraId="6CD7F956">
      <w:pPr>
        <w:spacing w:line="277" w:lineRule="auto"/>
        <w:rPr>
          <w:rFonts w:ascii="Arial"/>
          <w:sz w:val="21"/>
        </w:rPr>
      </w:pPr>
    </w:p>
    <w:p w14:paraId="50601BAB">
      <w:pPr>
        <w:tabs>
          <w:tab w:val="left" w:pos="242"/>
        </w:tabs>
        <w:spacing w:before="75" w:line="390" w:lineRule="auto"/>
        <w:ind w:left="118" w:right="1" w:firstLine="480"/>
        <w:rPr>
          <w:rFonts w:ascii="宋体" w:hAnsi="宋体" w:eastAsia="宋体" w:cs="宋体"/>
          <w:sz w:val="23"/>
          <w:szCs w:val="23"/>
        </w:rPr>
      </w:pPr>
      <w:r>
        <w:rPr>
          <w:rFonts w:ascii="宋体" w:hAnsi="宋体" w:eastAsia="宋体" w:cs="宋体"/>
          <w:spacing w:val="3"/>
          <w:sz w:val="23"/>
          <w:szCs w:val="23"/>
        </w:rPr>
        <w:t>按国家环保总局颁布的《环境监测技术规范》、《空气和废气监测分析方法</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8"/>
          <w:sz w:val="23"/>
          <w:szCs w:val="23"/>
        </w:rPr>
        <w:t xml:space="preserve">(第四版) </w:t>
      </w:r>
      <w:r>
        <w:rPr>
          <w:rFonts w:ascii="宋体" w:hAnsi="宋体" w:eastAsia="宋体" w:cs="宋体"/>
          <w:spacing w:val="6"/>
          <w:sz w:val="23"/>
          <w:szCs w:val="23"/>
        </w:rPr>
        <w:t>及</w:t>
      </w:r>
      <w:r>
        <w:rPr>
          <w:rFonts w:ascii="宋体" w:hAnsi="宋体" w:eastAsia="宋体" w:cs="宋体"/>
          <w:spacing w:val="4"/>
          <w:sz w:val="23"/>
          <w:szCs w:val="23"/>
        </w:rPr>
        <w:t>《环境空气质量标准》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3095-2012</w:t>
      </w:r>
      <w:r>
        <w:rPr>
          <w:rFonts w:ascii="宋体" w:hAnsi="宋体" w:eastAsia="宋体" w:cs="宋体"/>
          <w:spacing w:val="4"/>
          <w:sz w:val="23"/>
          <w:szCs w:val="23"/>
        </w:rPr>
        <w:t>) 中有关规定进行。具体监</w:t>
      </w:r>
      <w:r>
        <w:rPr>
          <w:rFonts w:ascii="宋体" w:hAnsi="宋体" w:eastAsia="宋体" w:cs="宋体"/>
          <w:sz w:val="23"/>
          <w:szCs w:val="23"/>
        </w:rPr>
        <w:t xml:space="preserve"> </w:t>
      </w:r>
      <w:r>
        <w:rPr>
          <w:rFonts w:ascii="宋体" w:hAnsi="宋体" w:eastAsia="宋体" w:cs="宋体"/>
          <w:spacing w:val="2"/>
          <w:sz w:val="23"/>
          <w:szCs w:val="23"/>
        </w:rPr>
        <w:t>测</w:t>
      </w:r>
      <w:r>
        <w:rPr>
          <w:rFonts w:ascii="宋体" w:hAnsi="宋体" w:eastAsia="宋体" w:cs="宋体"/>
          <w:spacing w:val="1"/>
          <w:sz w:val="23"/>
          <w:szCs w:val="23"/>
        </w:rPr>
        <w:t xml:space="preserve">项目及分析方法见表 </w:t>
      </w:r>
      <w:r>
        <w:rPr>
          <w:rFonts w:ascii="Times New Roman" w:hAnsi="Times New Roman" w:eastAsia="Times New Roman" w:cs="Times New Roman"/>
          <w:spacing w:val="1"/>
          <w:sz w:val="23"/>
          <w:szCs w:val="23"/>
        </w:rPr>
        <w:t>4-4</w:t>
      </w:r>
      <w:r>
        <w:rPr>
          <w:rFonts w:ascii="宋体" w:hAnsi="宋体" w:eastAsia="宋体" w:cs="宋体"/>
          <w:spacing w:val="1"/>
          <w:sz w:val="23"/>
          <w:szCs w:val="23"/>
        </w:rPr>
        <w:t>。</w:t>
      </w:r>
    </w:p>
    <w:p w14:paraId="1F88071A">
      <w:pPr>
        <w:spacing w:before="137" w:line="228" w:lineRule="auto"/>
        <w:ind w:left="21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7"/>
          <w:sz w:val="23"/>
          <w:szCs w:val="23"/>
        </w:rPr>
        <w:t>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环境空气监测项目及分析方法</w:t>
      </w:r>
    </w:p>
    <w:p w14:paraId="35494F17">
      <w:pPr>
        <w:spacing w:line="17" w:lineRule="exact"/>
      </w:pPr>
    </w:p>
    <w:tbl>
      <w:tblPr>
        <w:tblStyle w:val="4"/>
        <w:tblW w:w="8351"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996"/>
        <w:gridCol w:w="3011"/>
        <w:gridCol w:w="2280"/>
        <w:gridCol w:w="681"/>
        <w:gridCol w:w="781"/>
      </w:tblGrid>
      <w:tr w14:paraId="6EC8E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02" w:type="dxa"/>
            <w:tcBorders>
              <w:left w:val="nil"/>
            </w:tcBorders>
            <w:vAlign w:val="top"/>
          </w:tcPr>
          <w:p w14:paraId="5514526E">
            <w:pPr>
              <w:spacing w:before="78" w:line="221" w:lineRule="auto"/>
              <w:ind w:left="9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996" w:type="dxa"/>
            <w:vAlign w:val="top"/>
          </w:tcPr>
          <w:p w14:paraId="558C79A1">
            <w:pPr>
              <w:spacing w:before="78" w:line="221" w:lineRule="auto"/>
              <w:ind w:left="8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3011" w:type="dxa"/>
            <w:vAlign w:val="top"/>
          </w:tcPr>
          <w:p w14:paraId="3929958F">
            <w:pPr>
              <w:spacing w:before="78" w:line="221" w:lineRule="auto"/>
              <w:ind w:left="6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测标准</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(方法)</w:t>
            </w:r>
          </w:p>
        </w:tc>
        <w:tc>
          <w:tcPr>
            <w:tcW w:w="2280" w:type="dxa"/>
            <w:vAlign w:val="top"/>
          </w:tcPr>
          <w:p w14:paraId="57F118EA">
            <w:pPr>
              <w:spacing w:before="37" w:line="281" w:lineRule="exact"/>
              <w:ind w:left="42"/>
              <w:rPr>
                <w:rFonts w:ascii="宋体" w:hAnsi="宋体" w:eastAsia="宋体" w:cs="宋体"/>
                <w:sz w:val="20"/>
                <w:szCs w:val="20"/>
              </w:rPr>
            </w:pPr>
            <w:r>
              <w:rPr>
                <w:rFonts w:ascii="宋体" w:hAnsi="宋体" w:eastAsia="宋体" w:cs="宋体"/>
                <w:spacing w:val="12"/>
                <w:position w:val="1"/>
                <w:sz w:val="20"/>
                <w:szCs w:val="20"/>
                <w14:textOutline w14:w="3686" w14:cap="sq" w14:cmpd="sng">
                  <w14:solidFill>
                    <w14:srgbClr w14:val="000000"/>
                  </w14:solidFill>
                  <w14:prstDash w14:val="solid"/>
                  <w14:bevel/>
                </w14:textOutline>
              </w:rPr>
              <w:t>分</w:t>
            </w:r>
            <w:r>
              <w:rPr>
                <w:rFonts w:ascii="宋体" w:hAnsi="宋体" w:eastAsia="宋体" w:cs="宋体"/>
                <w:spacing w:val="8"/>
                <w:position w:val="1"/>
                <w:sz w:val="20"/>
                <w:szCs w:val="20"/>
                <w14:textOutline w14:w="3686" w14:cap="sq" w14:cmpd="sng">
                  <w14:solidFill>
                    <w14:srgbClr w14:val="000000"/>
                  </w14:solidFill>
                  <w14:prstDash w14:val="solid"/>
                  <w14:bevel/>
                </w14:textOutline>
              </w:rPr>
              <w:t>析仪器名称</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686" w14:cap="sq" w14:cmpd="sng">
                  <w14:solidFill>
                    <w14:srgbClr w14:val="000000"/>
                  </w14:solidFill>
                  <w14:prstDash w14:val="solid"/>
                  <w14:bevel/>
                </w14:textOutline>
              </w:rPr>
              <w:t>型号</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686" w14:cap="sq" w14:cmpd="sng">
                  <w14:solidFill>
                    <w14:srgbClr w14:val="000000"/>
                  </w14:solidFill>
                  <w14:prstDash w14:val="solid"/>
                  <w14:bevel/>
                </w14:textOutline>
              </w:rPr>
              <w:t>编号</w:t>
            </w:r>
          </w:p>
        </w:tc>
        <w:tc>
          <w:tcPr>
            <w:tcW w:w="681" w:type="dxa"/>
            <w:vAlign w:val="top"/>
          </w:tcPr>
          <w:p w14:paraId="66A073D5">
            <w:pPr>
              <w:spacing w:before="78" w:line="221" w:lineRule="auto"/>
              <w:ind w:left="3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出限</w:t>
            </w:r>
          </w:p>
        </w:tc>
        <w:tc>
          <w:tcPr>
            <w:tcW w:w="781" w:type="dxa"/>
            <w:tcBorders>
              <w:right w:val="nil"/>
            </w:tcBorders>
            <w:vAlign w:val="top"/>
          </w:tcPr>
          <w:p w14:paraId="760ED8AD">
            <w:pPr>
              <w:spacing w:before="78" w:line="221" w:lineRule="auto"/>
              <w:ind w:left="18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r>
      <w:tr w14:paraId="4AFCF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602" w:type="dxa"/>
            <w:tcBorders>
              <w:left w:val="nil"/>
            </w:tcBorders>
            <w:vAlign w:val="top"/>
          </w:tcPr>
          <w:p w14:paraId="45A02465">
            <w:pPr>
              <w:spacing w:line="353" w:lineRule="auto"/>
              <w:rPr>
                <w:rFonts w:ascii="Arial"/>
                <w:sz w:val="21"/>
              </w:rPr>
            </w:pPr>
          </w:p>
          <w:p w14:paraId="0DE9208F">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96" w:type="dxa"/>
            <w:vAlign w:val="top"/>
          </w:tcPr>
          <w:p w14:paraId="225D0D83">
            <w:pPr>
              <w:spacing w:line="341" w:lineRule="auto"/>
              <w:rPr>
                <w:rFonts w:ascii="Arial"/>
                <w:sz w:val="21"/>
              </w:rPr>
            </w:pPr>
          </w:p>
          <w:p w14:paraId="70243F5F">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N</w:t>
            </w:r>
            <w:r>
              <w:rPr>
                <w:rFonts w:ascii="Times New Roman" w:hAnsi="Times New Roman" w:eastAsia="Times New Roman" w:cs="Times New Roman"/>
                <w:spacing w:val="7"/>
                <w:sz w:val="20"/>
                <w:szCs w:val="20"/>
              </w:rPr>
              <w:t>MHC</w:t>
            </w:r>
          </w:p>
        </w:tc>
        <w:tc>
          <w:tcPr>
            <w:tcW w:w="3011" w:type="dxa"/>
            <w:vAlign w:val="top"/>
          </w:tcPr>
          <w:p w14:paraId="3FA78BB9">
            <w:pPr>
              <w:spacing w:before="89" w:line="228" w:lineRule="auto"/>
              <w:ind w:left="29"/>
              <w:rPr>
                <w:rFonts w:ascii="宋体" w:hAnsi="宋体" w:eastAsia="宋体" w:cs="宋体"/>
                <w:sz w:val="20"/>
                <w:szCs w:val="20"/>
              </w:rPr>
            </w:pPr>
            <w:r>
              <w:rPr>
                <w:rFonts w:ascii="宋体" w:hAnsi="宋体" w:eastAsia="宋体" w:cs="宋体"/>
                <w:spacing w:val="6"/>
                <w:sz w:val="20"/>
                <w:szCs w:val="20"/>
              </w:rPr>
              <w:t>环境空</w:t>
            </w:r>
            <w:r>
              <w:rPr>
                <w:rFonts w:ascii="宋体" w:hAnsi="宋体" w:eastAsia="宋体" w:cs="宋体"/>
                <w:spacing w:val="5"/>
                <w:sz w:val="20"/>
                <w:szCs w:val="20"/>
              </w:rPr>
              <w:t>气</w:t>
            </w:r>
            <w:r>
              <w:rPr>
                <w:rFonts w:ascii="宋体" w:hAnsi="宋体" w:eastAsia="宋体" w:cs="宋体"/>
                <w:spacing w:val="3"/>
                <w:sz w:val="20"/>
                <w:szCs w:val="20"/>
              </w:rPr>
              <w:t xml:space="preserve"> 总烃、甲烷和非甲烷总</w:t>
            </w:r>
          </w:p>
          <w:p w14:paraId="29E60D30">
            <w:pPr>
              <w:spacing w:before="64" w:line="228" w:lineRule="auto"/>
              <w:ind w:left="61"/>
              <w:rPr>
                <w:rFonts w:ascii="宋体" w:hAnsi="宋体" w:eastAsia="宋体" w:cs="宋体"/>
                <w:sz w:val="20"/>
                <w:szCs w:val="20"/>
              </w:rPr>
            </w:pPr>
            <w:r>
              <w:rPr>
                <w:rFonts w:ascii="宋体" w:hAnsi="宋体" w:eastAsia="宋体" w:cs="宋体"/>
                <w:spacing w:val="14"/>
                <w:sz w:val="20"/>
                <w:szCs w:val="20"/>
              </w:rPr>
              <w:t>烃</w:t>
            </w:r>
            <w:r>
              <w:rPr>
                <w:rFonts w:ascii="宋体" w:hAnsi="宋体" w:eastAsia="宋体" w:cs="宋体"/>
                <w:spacing w:val="8"/>
                <w:sz w:val="20"/>
                <w:szCs w:val="20"/>
              </w:rPr>
              <w:t>的测定 直接进样</w:t>
            </w:r>
            <w:r>
              <w:rPr>
                <w:rFonts w:ascii="Times New Roman" w:hAnsi="Times New Roman" w:eastAsia="Times New Roman" w:cs="Times New Roman"/>
                <w:spacing w:val="8"/>
                <w:sz w:val="20"/>
                <w:szCs w:val="20"/>
              </w:rPr>
              <w:t>-</w:t>
            </w:r>
            <w:r>
              <w:rPr>
                <w:rFonts w:ascii="宋体" w:hAnsi="宋体" w:eastAsia="宋体" w:cs="宋体"/>
                <w:spacing w:val="8"/>
                <w:sz w:val="20"/>
                <w:szCs w:val="20"/>
              </w:rPr>
              <w:t>气相色谱法</w:t>
            </w:r>
          </w:p>
          <w:p w14:paraId="08D56EE3">
            <w:pPr>
              <w:spacing w:before="65"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5"/>
                <w:sz w:val="20"/>
                <w:szCs w:val="20"/>
              </w:rPr>
              <w:t>604-2017</w:t>
            </w:r>
          </w:p>
        </w:tc>
        <w:tc>
          <w:tcPr>
            <w:tcW w:w="2280" w:type="dxa"/>
            <w:vAlign w:val="top"/>
          </w:tcPr>
          <w:p w14:paraId="2869448C">
            <w:pPr>
              <w:spacing w:before="53" w:line="276" w:lineRule="exact"/>
              <w:ind w:left="621"/>
              <w:rPr>
                <w:rFonts w:ascii="宋体" w:hAnsi="宋体" w:eastAsia="宋体" w:cs="宋体"/>
                <w:sz w:val="20"/>
                <w:szCs w:val="20"/>
              </w:rPr>
            </w:pPr>
            <w:r>
              <w:rPr>
                <w:rFonts w:ascii="宋体" w:hAnsi="宋体" w:eastAsia="宋体" w:cs="宋体"/>
                <w:spacing w:val="8"/>
                <w:position w:val="4"/>
                <w:sz w:val="20"/>
                <w:szCs w:val="20"/>
              </w:rPr>
              <w:t>气相色谱</w:t>
            </w:r>
            <w:r>
              <w:rPr>
                <w:rFonts w:ascii="宋体" w:hAnsi="宋体" w:eastAsia="宋体" w:cs="宋体"/>
                <w:spacing w:val="7"/>
                <w:position w:val="4"/>
                <w:sz w:val="20"/>
                <w:szCs w:val="20"/>
              </w:rPr>
              <w:t>仪</w:t>
            </w:r>
          </w:p>
          <w:p w14:paraId="264CB8B1">
            <w:pPr>
              <w:spacing w:line="281" w:lineRule="exact"/>
              <w:ind w:left="5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GC</w:t>
            </w:r>
            <w:r>
              <w:rPr>
                <w:rFonts w:ascii="Times New Roman" w:hAnsi="Times New Roman" w:eastAsia="Times New Roman" w:cs="Times New Roman"/>
                <w:spacing w:val="9"/>
                <w:position w:val="2"/>
                <w:sz w:val="20"/>
                <w:szCs w:val="20"/>
              </w:rPr>
              <w:t>-9790</w:t>
            </w:r>
            <w:r>
              <w:rPr>
                <w:rFonts w:ascii="Times New Roman" w:hAnsi="Times New Roman" w:eastAsia="Times New Roman" w:cs="Times New Roman"/>
                <w:position w:val="2"/>
                <w:sz w:val="20"/>
                <w:szCs w:val="20"/>
              </w:rPr>
              <w:t>Plus</w:t>
            </w:r>
          </w:p>
          <w:p w14:paraId="32FA3BCD">
            <w:pPr>
              <w:spacing w:before="10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SYZZ</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SB</w:t>
            </w:r>
            <w:r>
              <w:rPr>
                <w:rFonts w:ascii="Times New Roman" w:hAnsi="Times New Roman" w:eastAsia="Times New Roman" w:cs="Times New Roman"/>
                <w:spacing w:val="7"/>
                <w:sz w:val="20"/>
                <w:szCs w:val="20"/>
              </w:rPr>
              <w:t>-030-03</w:t>
            </w:r>
          </w:p>
        </w:tc>
        <w:tc>
          <w:tcPr>
            <w:tcW w:w="681" w:type="dxa"/>
            <w:vAlign w:val="top"/>
          </w:tcPr>
          <w:p w14:paraId="1A53F756">
            <w:pPr>
              <w:spacing w:line="353" w:lineRule="auto"/>
              <w:rPr>
                <w:rFonts w:ascii="Arial"/>
                <w:sz w:val="21"/>
              </w:rPr>
            </w:pPr>
          </w:p>
          <w:p w14:paraId="0D822D0C">
            <w:pPr>
              <w:spacing w:before="5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.07</w:t>
            </w:r>
          </w:p>
        </w:tc>
        <w:tc>
          <w:tcPr>
            <w:tcW w:w="781" w:type="dxa"/>
            <w:tcBorders>
              <w:right w:val="nil"/>
            </w:tcBorders>
            <w:vAlign w:val="top"/>
          </w:tcPr>
          <w:p w14:paraId="7DA02385">
            <w:pPr>
              <w:spacing w:line="280" w:lineRule="auto"/>
              <w:rPr>
                <w:rFonts w:ascii="Arial"/>
                <w:sz w:val="21"/>
              </w:rPr>
            </w:pPr>
          </w:p>
          <w:p w14:paraId="053FB2A8">
            <w:pPr>
              <w:spacing w:before="57" w:line="281" w:lineRule="exact"/>
              <w:ind w:left="112"/>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12"/>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2"/>
                <w:position w:val="9"/>
                <w:sz w:val="13"/>
                <w:szCs w:val="13"/>
              </w:rPr>
              <w:t>3</w:t>
            </w:r>
          </w:p>
        </w:tc>
      </w:tr>
    </w:tbl>
    <w:p w14:paraId="62C634A9">
      <w:pPr>
        <w:spacing w:line="260" w:lineRule="auto"/>
        <w:rPr>
          <w:rFonts w:ascii="Arial"/>
          <w:sz w:val="21"/>
        </w:rPr>
      </w:pPr>
    </w:p>
    <w:p w14:paraId="738B42FD">
      <w:pPr>
        <w:spacing w:before="74"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5</w:t>
      </w:r>
      <w:r>
        <w:rPr>
          <w:rFonts w:ascii="宋体" w:hAnsi="宋体" w:eastAsia="宋体" w:cs="宋体"/>
          <w:spacing w:val="20"/>
          <w:sz w:val="23"/>
          <w:szCs w:val="23"/>
        </w:rPr>
        <w:t>) 监测结</w:t>
      </w:r>
      <w:r>
        <w:rPr>
          <w:rFonts w:ascii="宋体" w:hAnsi="宋体" w:eastAsia="宋体" w:cs="宋体"/>
          <w:spacing w:val="19"/>
          <w:sz w:val="23"/>
          <w:szCs w:val="23"/>
        </w:rPr>
        <w:t>果</w:t>
      </w:r>
    </w:p>
    <w:p w14:paraId="08E84D1E">
      <w:pPr>
        <w:spacing w:line="274" w:lineRule="auto"/>
        <w:rPr>
          <w:rFonts w:ascii="Arial"/>
          <w:sz w:val="21"/>
        </w:rPr>
      </w:pPr>
    </w:p>
    <w:p w14:paraId="66E6934F">
      <w:pPr>
        <w:spacing w:before="76" w:line="227" w:lineRule="auto"/>
        <w:ind w:left="598"/>
        <w:rPr>
          <w:rFonts w:ascii="宋体" w:hAnsi="宋体" w:eastAsia="宋体" w:cs="宋体"/>
          <w:sz w:val="23"/>
          <w:szCs w:val="23"/>
        </w:rPr>
      </w:pPr>
      <w:r>
        <w:rPr>
          <w:rFonts w:ascii="宋体" w:hAnsi="宋体" w:eastAsia="宋体" w:cs="宋体"/>
          <w:spacing w:val="8"/>
          <w:sz w:val="23"/>
          <w:szCs w:val="23"/>
        </w:rPr>
        <w:t>本</w:t>
      </w:r>
      <w:r>
        <w:rPr>
          <w:rFonts w:ascii="宋体" w:hAnsi="宋体" w:eastAsia="宋体" w:cs="宋体"/>
          <w:spacing w:val="5"/>
          <w:sz w:val="23"/>
          <w:szCs w:val="23"/>
        </w:rPr>
        <w:t>项</w:t>
      </w:r>
      <w:r>
        <w:rPr>
          <w:rFonts w:ascii="宋体" w:hAnsi="宋体" w:eastAsia="宋体" w:cs="宋体"/>
          <w:spacing w:val="4"/>
          <w:sz w:val="23"/>
          <w:szCs w:val="23"/>
        </w:rPr>
        <w:t xml:space="preserve">目采样现场气象条件见表 </w:t>
      </w:r>
      <w:r>
        <w:rPr>
          <w:rFonts w:ascii="Times New Roman" w:hAnsi="Times New Roman" w:eastAsia="Times New Roman" w:cs="Times New Roman"/>
          <w:spacing w:val="4"/>
          <w:sz w:val="23"/>
          <w:szCs w:val="23"/>
        </w:rPr>
        <w:t>4-5</w:t>
      </w:r>
      <w:r>
        <w:rPr>
          <w:rFonts w:ascii="宋体" w:hAnsi="宋体" w:eastAsia="宋体" w:cs="宋体"/>
          <w:spacing w:val="4"/>
          <w:sz w:val="23"/>
          <w:szCs w:val="23"/>
        </w:rPr>
        <w:t>。</w:t>
      </w:r>
    </w:p>
    <w:p w14:paraId="643123B5">
      <w:pPr>
        <w:spacing w:line="276" w:lineRule="auto"/>
        <w:rPr>
          <w:rFonts w:ascii="Arial"/>
          <w:sz w:val="21"/>
        </w:rPr>
      </w:pPr>
    </w:p>
    <w:p w14:paraId="527967EA">
      <w:pPr>
        <w:spacing w:before="76" w:line="227" w:lineRule="auto"/>
        <w:ind w:left="227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7"/>
          <w:sz w:val="23"/>
          <w:szCs w:val="23"/>
        </w:rPr>
        <w:t>4</w:t>
      </w:r>
      <w:r>
        <w:rPr>
          <w:rFonts w:ascii="Times New Roman" w:hAnsi="Times New Roman" w:eastAsia="Times New Roman" w:cs="Times New Roman"/>
          <w:b/>
          <w:bCs/>
          <w:spacing w:val="4"/>
          <w:sz w:val="23"/>
          <w:szCs w:val="23"/>
        </w:rPr>
        <w:t>-5</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环境空气采样现场气象条件</w:t>
      </w:r>
    </w:p>
    <w:p w14:paraId="5E4B030C">
      <w:pPr>
        <w:spacing w:line="18" w:lineRule="exact"/>
      </w:pPr>
    </w:p>
    <w:tbl>
      <w:tblPr>
        <w:tblStyle w:val="4"/>
        <w:tblW w:w="831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5"/>
        <w:gridCol w:w="1535"/>
        <w:gridCol w:w="1535"/>
        <w:gridCol w:w="1535"/>
        <w:gridCol w:w="1536"/>
      </w:tblGrid>
      <w:tr w14:paraId="073FE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175" w:type="dxa"/>
            <w:tcBorders>
              <w:left w:val="nil"/>
            </w:tcBorders>
            <w:vAlign w:val="top"/>
          </w:tcPr>
          <w:p w14:paraId="5BA5094B">
            <w:pPr>
              <w:spacing w:before="75" w:line="217" w:lineRule="auto"/>
              <w:ind w:left="6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采样日</w:t>
            </w:r>
            <w:r>
              <w:rPr>
                <w:rFonts w:ascii="宋体" w:hAnsi="宋体" w:eastAsia="宋体" w:cs="宋体"/>
                <w:spacing w:val="8"/>
                <w:sz w:val="20"/>
                <w:szCs w:val="20"/>
                <w14:textOutline w14:w="3795" w14:cap="sq" w14:cmpd="sng">
                  <w14:solidFill>
                    <w14:srgbClr w14:val="000000"/>
                  </w14:solidFill>
                  <w14:prstDash w14:val="solid"/>
                  <w14:bevel/>
                </w14:textOutline>
              </w:rPr>
              <w:t>期</w:t>
            </w:r>
          </w:p>
        </w:tc>
        <w:tc>
          <w:tcPr>
            <w:tcW w:w="1535" w:type="dxa"/>
            <w:vAlign w:val="top"/>
          </w:tcPr>
          <w:p w14:paraId="05DF878C">
            <w:pPr>
              <w:spacing w:before="35" w:line="275" w:lineRule="exact"/>
              <w:ind w:left="241"/>
              <w:rPr>
                <w:rFonts w:ascii="宋体" w:hAnsi="宋体" w:eastAsia="宋体" w:cs="宋体"/>
                <w:sz w:val="19"/>
                <w:szCs w:val="19"/>
              </w:rPr>
            </w:pPr>
            <w:r>
              <w:rPr>
                <w:rFonts w:ascii="宋体" w:hAnsi="宋体" w:eastAsia="宋体" w:cs="宋体"/>
                <w:spacing w:val="12"/>
                <w:position w:val="1"/>
                <w:sz w:val="19"/>
                <w:szCs w:val="19"/>
                <w14:textOutline w14:w="3625" w14:cap="sq" w14:cmpd="sng">
                  <w14:solidFill>
                    <w14:srgbClr w14:val="000000"/>
                  </w14:solidFill>
                  <w14:prstDash w14:val="solid"/>
                  <w14:bevel/>
                </w14:textOutline>
              </w:rPr>
              <w:t>气温</w:t>
            </w:r>
            <w:r>
              <w:rPr>
                <w:rFonts w:ascii="宋体" w:hAnsi="宋体" w:eastAsia="宋体" w:cs="宋体"/>
                <w:spacing w:val="12"/>
                <w:position w:val="1"/>
                <w:sz w:val="19"/>
                <w:szCs w:val="19"/>
              </w:rPr>
              <w:t xml:space="preserve"> </w:t>
            </w:r>
            <w:r>
              <w:rPr>
                <w:rFonts w:ascii="宋体" w:hAnsi="宋体" w:eastAsia="宋体" w:cs="宋体"/>
                <w:spacing w:val="12"/>
                <w:position w:val="1"/>
                <w:sz w:val="19"/>
                <w:szCs w:val="19"/>
                <w14:textOutline w14:w="3625" w14:cap="sq" w14:cmpd="sng">
                  <w14:solidFill>
                    <w14:srgbClr w14:val="000000"/>
                  </w14:solidFill>
                  <w14:prstDash w14:val="solid"/>
                  <w14:bevel/>
                </w14:textOutline>
              </w:rPr>
              <w:t>(</w:t>
            </w:r>
            <w:r>
              <w:rPr>
                <w:rFonts w:ascii="Times New Roman" w:hAnsi="Times New Roman" w:eastAsia="Times New Roman" w:cs="Times New Roman"/>
                <w:b/>
                <w:bCs/>
                <w:spacing w:val="12"/>
                <w:position w:val="1"/>
                <w:sz w:val="19"/>
                <w:szCs w:val="19"/>
              </w:rPr>
              <w:t>℃</w:t>
            </w:r>
            <w:r>
              <w:rPr>
                <w:rFonts w:ascii="宋体" w:hAnsi="宋体" w:eastAsia="宋体" w:cs="宋体"/>
                <w:spacing w:val="12"/>
                <w:position w:val="1"/>
                <w:sz w:val="19"/>
                <w:szCs w:val="19"/>
                <w14:textOutline w14:w="3625" w14:cap="sq" w14:cmpd="sng">
                  <w14:solidFill>
                    <w14:srgbClr w14:val="000000"/>
                  </w14:solidFill>
                  <w14:prstDash w14:val="solid"/>
                  <w14:bevel/>
                </w14:textOutline>
              </w:rPr>
              <w:t>)</w:t>
            </w:r>
          </w:p>
        </w:tc>
        <w:tc>
          <w:tcPr>
            <w:tcW w:w="1535" w:type="dxa"/>
            <w:vAlign w:val="top"/>
          </w:tcPr>
          <w:p w14:paraId="7933E352">
            <w:pPr>
              <w:spacing w:before="35" w:line="275" w:lineRule="exact"/>
              <w:ind w:left="179"/>
              <w:rPr>
                <w:rFonts w:ascii="宋体" w:hAnsi="宋体" w:eastAsia="宋体" w:cs="宋体"/>
                <w:sz w:val="19"/>
                <w:szCs w:val="19"/>
              </w:rPr>
            </w:pPr>
            <w:r>
              <w:rPr>
                <w:rFonts w:ascii="宋体" w:hAnsi="宋体" w:eastAsia="宋体" w:cs="宋体"/>
                <w:spacing w:val="17"/>
                <w:position w:val="1"/>
                <w:sz w:val="19"/>
                <w:szCs w:val="19"/>
                <w14:textOutline w14:w="3625" w14:cap="sq" w14:cmpd="sng">
                  <w14:solidFill>
                    <w14:srgbClr w14:val="000000"/>
                  </w14:solidFill>
                  <w14:prstDash w14:val="solid"/>
                  <w14:bevel/>
                </w14:textOutline>
              </w:rPr>
              <w:t>气压</w:t>
            </w:r>
            <w:r>
              <w:rPr>
                <w:rFonts w:ascii="宋体" w:hAnsi="宋体" w:eastAsia="宋体" w:cs="宋体"/>
                <w:spacing w:val="17"/>
                <w:position w:val="1"/>
                <w:sz w:val="19"/>
                <w:szCs w:val="19"/>
              </w:rPr>
              <w:t xml:space="preserve"> </w:t>
            </w:r>
            <w:r>
              <w:rPr>
                <w:rFonts w:ascii="宋体" w:hAnsi="宋体" w:eastAsia="宋体" w:cs="宋体"/>
                <w:spacing w:val="17"/>
                <w:position w:val="1"/>
                <w:sz w:val="19"/>
                <w:szCs w:val="19"/>
                <w14:textOutline w14:w="3625" w14:cap="sq" w14:cmpd="sng">
                  <w14:solidFill>
                    <w14:srgbClr w14:val="000000"/>
                  </w14:solidFill>
                  <w14:prstDash w14:val="solid"/>
                  <w14:bevel/>
                </w14:textOutline>
              </w:rPr>
              <w:t>(</w:t>
            </w:r>
            <w:r>
              <w:rPr>
                <w:rFonts w:ascii="Times New Roman" w:hAnsi="Times New Roman" w:eastAsia="Times New Roman" w:cs="Times New Roman"/>
                <w:b/>
                <w:bCs/>
                <w:position w:val="1"/>
                <w:sz w:val="19"/>
                <w:szCs w:val="19"/>
              </w:rPr>
              <w:t>kPa</w:t>
            </w:r>
            <w:r>
              <w:rPr>
                <w:rFonts w:ascii="宋体" w:hAnsi="宋体" w:eastAsia="宋体" w:cs="宋体"/>
                <w:spacing w:val="16"/>
                <w:position w:val="1"/>
                <w:sz w:val="19"/>
                <w:szCs w:val="19"/>
                <w14:textOutline w14:w="3625" w14:cap="sq" w14:cmpd="sng">
                  <w14:solidFill>
                    <w14:srgbClr w14:val="000000"/>
                  </w14:solidFill>
                  <w14:prstDash w14:val="solid"/>
                  <w14:bevel/>
                </w14:textOutline>
              </w:rPr>
              <w:t>)</w:t>
            </w:r>
          </w:p>
        </w:tc>
        <w:tc>
          <w:tcPr>
            <w:tcW w:w="1535" w:type="dxa"/>
            <w:vAlign w:val="top"/>
          </w:tcPr>
          <w:p w14:paraId="17E319C6">
            <w:pPr>
              <w:spacing w:before="35" w:line="275" w:lineRule="exact"/>
              <w:ind w:left="197"/>
              <w:rPr>
                <w:rFonts w:ascii="宋体" w:hAnsi="宋体" w:eastAsia="宋体" w:cs="宋体"/>
                <w:sz w:val="19"/>
                <w:szCs w:val="19"/>
              </w:rPr>
            </w:pPr>
            <w:r>
              <w:rPr>
                <w:rFonts w:ascii="宋体" w:hAnsi="宋体" w:eastAsia="宋体" w:cs="宋体"/>
                <w:spacing w:val="10"/>
                <w:position w:val="2"/>
                <w:sz w:val="19"/>
                <w:szCs w:val="19"/>
                <w14:textOutline w14:w="3625" w14:cap="sq" w14:cmpd="sng">
                  <w14:solidFill>
                    <w14:srgbClr w14:val="000000"/>
                  </w14:solidFill>
                  <w14:prstDash w14:val="solid"/>
                  <w14:bevel/>
                </w14:textOutline>
              </w:rPr>
              <w:t>风</w:t>
            </w:r>
            <w:r>
              <w:rPr>
                <w:rFonts w:ascii="宋体" w:hAnsi="宋体" w:eastAsia="宋体" w:cs="宋体"/>
                <w:spacing w:val="9"/>
                <w:position w:val="2"/>
                <w:sz w:val="19"/>
                <w:szCs w:val="19"/>
                <w14:textOutline w14:w="3625" w14:cap="sq" w14:cmpd="sng">
                  <w14:solidFill>
                    <w14:srgbClr w14:val="000000"/>
                  </w14:solidFill>
                  <w14:prstDash w14:val="solid"/>
                  <w14:bevel/>
                </w14:textOutline>
              </w:rPr>
              <w:t>速</w:t>
            </w:r>
            <w:r>
              <w:rPr>
                <w:rFonts w:ascii="宋体" w:hAnsi="宋体" w:eastAsia="宋体" w:cs="宋体"/>
                <w:spacing w:val="9"/>
                <w:position w:val="2"/>
                <w:sz w:val="19"/>
                <w:szCs w:val="19"/>
              </w:rPr>
              <w:t xml:space="preserve"> </w:t>
            </w:r>
            <w:r>
              <w:rPr>
                <w:rFonts w:ascii="宋体" w:hAnsi="宋体" w:eastAsia="宋体" w:cs="宋体"/>
                <w:spacing w:val="9"/>
                <w:position w:val="2"/>
                <w:sz w:val="19"/>
                <w:szCs w:val="19"/>
                <w14:textOutline w14:w="3625" w14:cap="sq" w14:cmpd="sng">
                  <w14:solidFill>
                    <w14:srgbClr w14:val="000000"/>
                  </w14:solidFill>
                  <w14:prstDash w14:val="solid"/>
                  <w14:bevel/>
                </w14:textOutline>
              </w:rPr>
              <w:t>(</w:t>
            </w:r>
            <w:r>
              <w:rPr>
                <w:rFonts w:ascii="Times New Roman" w:hAnsi="Times New Roman" w:eastAsia="Times New Roman" w:cs="Times New Roman"/>
                <w:b/>
                <w:bCs/>
                <w:position w:val="2"/>
                <w:sz w:val="19"/>
                <w:szCs w:val="19"/>
              </w:rPr>
              <w:t>m</w:t>
            </w:r>
            <w:r>
              <w:rPr>
                <w:rFonts w:ascii="Times New Roman" w:hAnsi="Times New Roman" w:eastAsia="Times New Roman" w:cs="Times New Roman"/>
                <w:b/>
                <w:bCs/>
                <w:spacing w:val="9"/>
                <w:position w:val="2"/>
                <w:sz w:val="19"/>
                <w:szCs w:val="19"/>
              </w:rPr>
              <w:t>/</w:t>
            </w:r>
            <w:r>
              <w:rPr>
                <w:rFonts w:ascii="Times New Roman" w:hAnsi="Times New Roman" w:eastAsia="Times New Roman" w:cs="Times New Roman"/>
                <w:b/>
                <w:bCs/>
                <w:position w:val="2"/>
                <w:sz w:val="19"/>
                <w:szCs w:val="19"/>
              </w:rPr>
              <w:t>s</w:t>
            </w:r>
            <w:r>
              <w:rPr>
                <w:rFonts w:ascii="Times New Roman" w:hAnsi="Times New Roman" w:eastAsia="Times New Roman" w:cs="Times New Roman"/>
                <w:spacing w:val="9"/>
                <w:position w:val="2"/>
                <w:sz w:val="19"/>
                <w:szCs w:val="19"/>
              </w:rPr>
              <w:t xml:space="preserve"> </w:t>
            </w:r>
            <w:r>
              <w:rPr>
                <w:rFonts w:ascii="宋体" w:hAnsi="宋体" w:eastAsia="宋体" w:cs="宋体"/>
                <w:spacing w:val="9"/>
                <w:position w:val="2"/>
                <w:sz w:val="19"/>
                <w:szCs w:val="19"/>
                <w14:textOutline w14:w="3625" w14:cap="sq" w14:cmpd="sng">
                  <w14:solidFill>
                    <w14:srgbClr w14:val="000000"/>
                  </w14:solidFill>
                  <w14:prstDash w14:val="solid"/>
                  <w14:bevel/>
                </w14:textOutline>
              </w:rPr>
              <w:t>)</w:t>
            </w:r>
          </w:p>
        </w:tc>
        <w:tc>
          <w:tcPr>
            <w:tcW w:w="1536" w:type="dxa"/>
            <w:tcBorders>
              <w:right w:val="nil"/>
            </w:tcBorders>
            <w:vAlign w:val="top"/>
          </w:tcPr>
          <w:p w14:paraId="48465B72">
            <w:pPr>
              <w:spacing w:before="75" w:line="217" w:lineRule="auto"/>
              <w:ind w:left="56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风</w:t>
            </w:r>
            <w:r>
              <w:rPr>
                <w:rFonts w:ascii="宋体" w:hAnsi="宋体" w:eastAsia="宋体" w:cs="宋体"/>
                <w:spacing w:val="5"/>
                <w:sz w:val="20"/>
                <w:szCs w:val="20"/>
                <w14:textOutline w14:w="3795" w14:cap="sq" w14:cmpd="sng">
                  <w14:solidFill>
                    <w14:srgbClr w14:val="000000"/>
                  </w14:solidFill>
                  <w14:prstDash w14:val="solid"/>
                  <w14:bevel/>
                </w14:textOutline>
              </w:rPr>
              <w:t>向</w:t>
            </w:r>
          </w:p>
        </w:tc>
      </w:tr>
      <w:tr w14:paraId="31090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2175" w:type="dxa"/>
            <w:tcBorders>
              <w:left w:val="nil"/>
            </w:tcBorders>
            <w:vAlign w:val="top"/>
          </w:tcPr>
          <w:p w14:paraId="5C69C589">
            <w:pPr>
              <w:spacing w:before="52" w:line="219"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20 </w:t>
            </w:r>
            <w:r>
              <w:rPr>
                <w:rFonts w:ascii="宋体" w:hAnsi="宋体" w:eastAsia="宋体" w:cs="宋体"/>
                <w:sz w:val="20"/>
                <w:szCs w:val="20"/>
              </w:rPr>
              <w:t>日</w:t>
            </w:r>
          </w:p>
        </w:tc>
        <w:tc>
          <w:tcPr>
            <w:tcW w:w="1535" w:type="dxa"/>
            <w:vAlign w:val="top"/>
          </w:tcPr>
          <w:p w14:paraId="717ADBDE">
            <w:pPr>
              <w:spacing w:before="88"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4~26</w:t>
            </w:r>
          </w:p>
        </w:tc>
        <w:tc>
          <w:tcPr>
            <w:tcW w:w="1535" w:type="dxa"/>
            <w:vAlign w:val="top"/>
          </w:tcPr>
          <w:p w14:paraId="5F3B7240">
            <w:pPr>
              <w:spacing w:before="8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98 0~98 6</w:t>
            </w:r>
          </w:p>
        </w:tc>
        <w:tc>
          <w:tcPr>
            <w:tcW w:w="1535" w:type="dxa"/>
            <w:vAlign w:val="top"/>
          </w:tcPr>
          <w:p w14:paraId="00E58C42">
            <w:pPr>
              <w:spacing w:before="88"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 7~</w:t>
            </w:r>
            <w:r>
              <w:rPr>
                <w:rFonts w:ascii="Times New Roman" w:hAnsi="Times New Roman" w:eastAsia="Times New Roman" w:cs="Times New Roman"/>
                <w:spacing w:val="1"/>
                <w:sz w:val="20"/>
                <w:szCs w:val="20"/>
              </w:rPr>
              <w:t>2 3</w:t>
            </w:r>
          </w:p>
        </w:tc>
        <w:tc>
          <w:tcPr>
            <w:tcW w:w="1536" w:type="dxa"/>
            <w:tcBorders>
              <w:right w:val="nil"/>
            </w:tcBorders>
            <w:vAlign w:val="top"/>
          </w:tcPr>
          <w:p w14:paraId="47538B0E">
            <w:pPr>
              <w:spacing w:before="52" w:line="219" w:lineRule="auto"/>
              <w:ind w:left="570"/>
              <w:rPr>
                <w:rFonts w:ascii="宋体" w:hAnsi="宋体" w:eastAsia="宋体" w:cs="宋体"/>
                <w:sz w:val="20"/>
                <w:szCs w:val="20"/>
              </w:rPr>
            </w:pPr>
            <w:r>
              <w:rPr>
                <w:rFonts w:ascii="宋体" w:hAnsi="宋体" w:eastAsia="宋体" w:cs="宋体"/>
                <w:spacing w:val="2"/>
                <w:sz w:val="20"/>
                <w:szCs w:val="20"/>
              </w:rPr>
              <w:t>西南</w:t>
            </w:r>
          </w:p>
        </w:tc>
      </w:tr>
      <w:tr w14:paraId="7C193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175" w:type="dxa"/>
            <w:tcBorders>
              <w:left w:val="nil"/>
            </w:tcBorders>
            <w:vAlign w:val="top"/>
          </w:tcPr>
          <w:p w14:paraId="26F881C7">
            <w:pPr>
              <w:spacing w:before="69" w:line="218"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21 </w:t>
            </w:r>
            <w:r>
              <w:rPr>
                <w:rFonts w:ascii="宋体" w:hAnsi="宋体" w:eastAsia="宋体" w:cs="宋体"/>
                <w:sz w:val="20"/>
                <w:szCs w:val="20"/>
              </w:rPr>
              <w:t>日</w:t>
            </w:r>
          </w:p>
        </w:tc>
        <w:tc>
          <w:tcPr>
            <w:tcW w:w="1535" w:type="dxa"/>
            <w:vAlign w:val="top"/>
          </w:tcPr>
          <w:p w14:paraId="5DE34EE6">
            <w:pPr>
              <w:spacing w:before="105"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4~26</w:t>
            </w:r>
          </w:p>
        </w:tc>
        <w:tc>
          <w:tcPr>
            <w:tcW w:w="1535" w:type="dxa"/>
            <w:vAlign w:val="top"/>
          </w:tcPr>
          <w:p w14:paraId="09776688">
            <w:pPr>
              <w:spacing w:before="10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 xml:space="preserve"> 1~99 2</w:t>
            </w:r>
          </w:p>
        </w:tc>
        <w:tc>
          <w:tcPr>
            <w:tcW w:w="1535" w:type="dxa"/>
            <w:vAlign w:val="top"/>
          </w:tcPr>
          <w:p w14:paraId="04763F28">
            <w:pPr>
              <w:spacing w:before="10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4"/>
                <w:sz w:val="20"/>
                <w:szCs w:val="20"/>
              </w:rPr>
              <w:t xml:space="preserve"> 3~2 5</w:t>
            </w:r>
          </w:p>
        </w:tc>
        <w:tc>
          <w:tcPr>
            <w:tcW w:w="1536" w:type="dxa"/>
            <w:tcBorders>
              <w:right w:val="nil"/>
            </w:tcBorders>
            <w:vAlign w:val="top"/>
          </w:tcPr>
          <w:p w14:paraId="2C6AA938">
            <w:pPr>
              <w:spacing w:before="69" w:line="218" w:lineRule="auto"/>
              <w:ind w:left="572"/>
              <w:rPr>
                <w:rFonts w:ascii="宋体" w:hAnsi="宋体" w:eastAsia="宋体" w:cs="宋体"/>
                <w:sz w:val="20"/>
                <w:szCs w:val="20"/>
              </w:rPr>
            </w:pPr>
            <w:r>
              <w:rPr>
                <w:rFonts w:ascii="宋体" w:hAnsi="宋体" w:eastAsia="宋体" w:cs="宋体"/>
                <w:spacing w:val="1"/>
                <w:sz w:val="20"/>
                <w:szCs w:val="20"/>
              </w:rPr>
              <w:t>东北</w:t>
            </w:r>
          </w:p>
        </w:tc>
      </w:tr>
      <w:tr w14:paraId="3B250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175" w:type="dxa"/>
            <w:tcBorders>
              <w:left w:val="nil"/>
            </w:tcBorders>
            <w:vAlign w:val="top"/>
          </w:tcPr>
          <w:p w14:paraId="693DF2A9">
            <w:pPr>
              <w:spacing w:before="70" w:line="218"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22 </w:t>
            </w:r>
            <w:r>
              <w:rPr>
                <w:rFonts w:ascii="宋体" w:hAnsi="宋体" w:eastAsia="宋体" w:cs="宋体"/>
                <w:sz w:val="20"/>
                <w:szCs w:val="20"/>
              </w:rPr>
              <w:t>日</w:t>
            </w:r>
          </w:p>
        </w:tc>
        <w:tc>
          <w:tcPr>
            <w:tcW w:w="1535" w:type="dxa"/>
            <w:vAlign w:val="top"/>
          </w:tcPr>
          <w:p w14:paraId="7B86BEA0">
            <w:pPr>
              <w:spacing w:before="106"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3~24</w:t>
            </w:r>
          </w:p>
        </w:tc>
        <w:tc>
          <w:tcPr>
            <w:tcW w:w="1535" w:type="dxa"/>
            <w:vAlign w:val="top"/>
          </w:tcPr>
          <w:p w14:paraId="62CD522E">
            <w:pPr>
              <w:spacing w:before="10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9</w:t>
            </w:r>
            <w:r>
              <w:rPr>
                <w:rFonts w:ascii="Times New Roman" w:hAnsi="Times New Roman" w:eastAsia="Times New Roman" w:cs="Times New Roman"/>
                <w:spacing w:val="4"/>
                <w:sz w:val="20"/>
                <w:szCs w:val="20"/>
              </w:rPr>
              <w:t>8 6~98 8</w:t>
            </w:r>
          </w:p>
        </w:tc>
        <w:tc>
          <w:tcPr>
            <w:tcW w:w="1535" w:type="dxa"/>
            <w:vAlign w:val="top"/>
          </w:tcPr>
          <w:p w14:paraId="7432B106">
            <w:pPr>
              <w:spacing w:before="106"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 </w:t>
            </w:r>
            <w:r>
              <w:rPr>
                <w:rFonts w:ascii="Times New Roman" w:hAnsi="Times New Roman" w:eastAsia="Times New Roman" w:cs="Times New Roman"/>
                <w:spacing w:val="2"/>
                <w:sz w:val="20"/>
                <w:szCs w:val="20"/>
              </w:rPr>
              <w:t>2</w:t>
            </w:r>
          </w:p>
        </w:tc>
        <w:tc>
          <w:tcPr>
            <w:tcW w:w="1536" w:type="dxa"/>
            <w:tcBorders>
              <w:right w:val="nil"/>
            </w:tcBorders>
            <w:vAlign w:val="top"/>
          </w:tcPr>
          <w:p w14:paraId="5301A1B2">
            <w:pPr>
              <w:spacing w:before="70" w:line="218" w:lineRule="auto"/>
              <w:ind w:left="572"/>
              <w:rPr>
                <w:rFonts w:ascii="宋体" w:hAnsi="宋体" w:eastAsia="宋体" w:cs="宋体"/>
                <w:sz w:val="20"/>
                <w:szCs w:val="20"/>
              </w:rPr>
            </w:pPr>
            <w:r>
              <w:rPr>
                <w:rFonts w:ascii="宋体" w:hAnsi="宋体" w:eastAsia="宋体" w:cs="宋体"/>
                <w:spacing w:val="1"/>
                <w:sz w:val="20"/>
                <w:szCs w:val="20"/>
              </w:rPr>
              <w:t>东北</w:t>
            </w:r>
          </w:p>
        </w:tc>
      </w:tr>
      <w:tr w14:paraId="60434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175" w:type="dxa"/>
            <w:tcBorders>
              <w:left w:val="nil"/>
            </w:tcBorders>
            <w:vAlign w:val="top"/>
          </w:tcPr>
          <w:p w14:paraId="76E4FD70">
            <w:pPr>
              <w:spacing w:before="70" w:line="217"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23 </w:t>
            </w:r>
            <w:r>
              <w:rPr>
                <w:rFonts w:ascii="宋体" w:hAnsi="宋体" w:eastAsia="宋体" w:cs="宋体"/>
                <w:sz w:val="20"/>
                <w:szCs w:val="20"/>
              </w:rPr>
              <w:t>日</w:t>
            </w:r>
          </w:p>
        </w:tc>
        <w:tc>
          <w:tcPr>
            <w:tcW w:w="1535" w:type="dxa"/>
            <w:vAlign w:val="top"/>
          </w:tcPr>
          <w:p w14:paraId="098241B0">
            <w:pPr>
              <w:spacing w:before="106"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3~24</w:t>
            </w:r>
          </w:p>
        </w:tc>
        <w:tc>
          <w:tcPr>
            <w:tcW w:w="1535" w:type="dxa"/>
            <w:vAlign w:val="top"/>
          </w:tcPr>
          <w:p w14:paraId="21AAAAD7">
            <w:pPr>
              <w:spacing w:before="10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w:t>
            </w:r>
            <w:r>
              <w:rPr>
                <w:rFonts w:ascii="Times New Roman" w:hAnsi="Times New Roman" w:eastAsia="Times New Roman" w:cs="Times New Roman"/>
                <w:spacing w:val="4"/>
                <w:sz w:val="20"/>
                <w:szCs w:val="20"/>
              </w:rPr>
              <w:t>8 3~98 5</w:t>
            </w:r>
          </w:p>
        </w:tc>
        <w:tc>
          <w:tcPr>
            <w:tcW w:w="1535" w:type="dxa"/>
            <w:vAlign w:val="top"/>
          </w:tcPr>
          <w:p w14:paraId="5BF585C2">
            <w:pPr>
              <w:spacing w:before="106" w:line="195"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 8</w:t>
            </w:r>
          </w:p>
        </w:tc>
        <w:tc>
          <w:tcPr>
            <w:tcW w:w="1536" w:type="dxa"/>
            <w:tcBorders>
              <w:right w:val="nil"/>
            </w:tcBorders>
            <w:vAlign w:val="top"/>
          </w:tcPr>
          <w:p w14:paraId="623C7FD7">
            <w:pPr>
              <w:spacing w:before="70" w:line="217" w:lineRule="auto"/>
              <w:ind w:left="572"/>
              <w:rPr>
                <w:rFonts w:ascii="宋体" w:hAnsi="宋体" w:eastAsia="宋体" w:cs="宋体"/>
                <w:sz w:val="20"/>
                <w:szCs w:val="20"/>
              </w:rPr>
            </w:pPr>
            <w:r>
              <w:rPr>
                <w:rFonts w:ascii="宋体" w:hAnsi="宋体" w:eastAsia="宋体" w:cs="宋体"/>
                <w:spacing w:val="1"/>
                <w:sz w:val="20"/>
                <w:szCs w:val="20"/>
              </w:rPr>
              <w:t>东北</w:t>
            </w:r>
          </w:p>
        </w:tc>
      </w:tr>
      <w:tr w14:paraId="7CA26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175" w:type="dxa"/>
            <w:tcBorders>
              <w:left w:val="nil"/>
            </w:tcBorders>
            <w:vAlign w:val="top"/>
          </w:tcPr>
          <w:p w14:paraId="2FFDE4BD">
            <w:pPr>
              <w:spacing w:before="71" w:line="216"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24 </w:t>
            </w:r>
            <w:r>
              <w:rPr>
                <w:rFonts w:ascii="宋体" w:hAnsi="宋体" w:eastAsia="宋体" w:cs="宋体"/>
                <w:sz w:val="20"/>
                <w:szCs w:val="20"/>
              </w:rPr>
              <w:t>日</w:t>
            </w:r>
          </w:p>
        </w:tc>
        <w:tc>
          <w:tcPr>
            <w:tcW w:w="1535" w:type="dxa"/>
            <w:vAlign w:val="top"/>
          </w:tcPr>
          <w:p w14:paraId="6AAE44FA">
            <w:pPr>
              <w:spacing w:before="107"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535" w:type="dxa"/>
            <w:vAlign w:val="top"/>
          </w:tcPr>
          <w:p w14:paraId="693E22FF">
            <w:pPr>
              <w:spacing w:before="107"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2"/>
                <w:sz w:val="20"/>
                <w:szCs w:val="20"/>
              </w:rPr>
              <w:t>8 2</w:t>
            </w:r>
          </w:p>
        </w:tc>
        <w:tc>
          <w:tcPr>
            <w:tcW w:w="1535" w:type="dxa"/>
            <w:vAlign w:val="top"/>
          </w:tcPr>
          <w:p w14:paraId="206CCD1F">
            <w:pPr>
              <w:spacing w:before="107"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 xml:space="preserve"> 5</w:t>
            </w:r>
          </w:p>
        </w:tc>
        <w:tc>
          <w:tcPr>
            <w:tcW w:w="1536" w:type="dxa"/>
            <w:tcBorders>
              <w:right w:val="nil"/>
            </w:tcBorders>
            <w:vAlign w:val="top"/>
          </w:tcPr>
          <w:p w14:paraId="0CC3AFB5">
            <w:pPr>
              <w:spacing w:before="71" w:line="216" w:lineRule="auto"/>
              <w:ind w:left="570"/>
              <w:rPr>
                <w:rFonts w:ascii="宋体" w:hAnsi="宋体" w:eastAsia="宋体" w:cs="宋体"/>
                <w:sz w:val="20"/>
                <w:szCs w:val="20"/>
              </w:rPr>
            </w:pPr>
            <w:r>
              <w:rPr>
                <w:rFonts w:ascii="宋体" w:hAnsi="宋体" w:eastAsia="宋体" w:cs="宋体"/>
                <w:spacing w:val="2"/>
                <w:sz w:val="20"/>
                <w:szCs w:val="20"/>
              </w:rPr>
              <w:t>西南</w:t>
            </w:r>
          </w:p>
        </w:tc>
      </w:tr>
      <w:tr w14:paraId="63F6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175" w:type="dxa"/>
            <w:tcBorders>
              <w:left w:val="nil"/>
            </w:tcBorders>
            <w:vAlign w:val="top"/>
          </w:tcPr>
          <w:p w14:paraId="3E248112">
            <w:pPr>
              <w:spacing w:before="73" w:line="215"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25 </w:t>
            </w:r>
            <w:r>
              <w:rPr>
                <w:rFonts w:ascii="宋体" w:hAnsi="宋体" w:eastAsia="宋体" w:cs="宋体"/>
                <w:sz w:val="20"/>
                <w:szCs w:val="20"/>
              </w:rPr>
              <w:t>日</w:t>
            </w:r>
          </w:p>
        </w:tc>
        <w:tc>
          <w:tcPr>
            <w:tcW w:w="1535" w:type="dxa"/>
            <w:vAlign w:val="top"/>
          </w:tcPr>
          <w:p w14:paraId="59DDAF1C">
            <w:pPr>
              <w:spacing w:before="108"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2~24</w:t>
            </w:r>
          </w:p>
        </w:tc>
        <w:tc>
          <w:tcPr>
            <w:tcW w:w="1535" w:type="dxa"/>
            <w:vAlign w:val="top"/>
          </w:tcPr>
          <w:p w14:paraId="6DE39D19">
            <w:pPr>
              <w:spacing w:before="10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w:t>
            </w:r>
            <w:r>
              <w:rPr>
                <w:rFonts w:ascii="Times New Roman" w:hAnsi="Times New Roman" w:eastAsia="Times New Roman" w:cs="Times New Roman"/>
                <w:spacing w:val="4"/>
                <w:sz w:val="20"/>
                <w:szCs w:val="20"/>
              </w:rPr>
              <w:t>8 0~98 5</w:t>
            </w:r>
          </w:p>
        </w:tc>
        <w:tc>
          <w:tcPr>
            <w:tcW w:w="1535" w:type="dxa"/>
            <w:vAlign w:val="top"/>
          </w:tcPr>
          <w:p w14:paraId="2CB9E146">
            <w:pPr>
              <w:spacing w:before="108"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 </w:t>
            </w:r>
            <w:r>
              <w:rPr>
                <w:rFonts w:ascii="Times New Roman" w:hAnsi="Times New Roman" w:eastAsia="Times New Roman" w:cs="Times New Roman"/>
                <w:spacing w:val="2"/>
                <w:sz w:val="20"/>
                <w:szCs w:val="20"/>
              </w:rPr>
              <w:t>4</w:t>
            </w:r>
          </w:p>
        </w:tc>
        <w:tc>
          <w:tcPr>
            <w:tcW w:w="1536" w:type="dxa"/>
            <w:tcBorders>
              <w:right w:val="nil"/>
            </w:tcBorders>
            <w:vAlign w:val="top"/>
          </w:tcPr>
          <w:p w14:paraId="3ADDBE44">
            <w:pPr>
              <w:spacing w:before="73" w:line="215" w:lineRule="auto"/>
              <w:ind w:left="572"/>
              <w:rPr>
                <w:rFonts w:ascii="宋体" w:hAnsi="宋体" w:eastAsia="宋体" w:cs="宋体"/>
                <w:sz w:val="20"/>
                <w:szCs w:val="20"/>
              </w:rPr>
            </w:pPr>
            <w:r>
              <w:rPr>
                <w:rFonts w:ascii="宋体" w:hAnsi="宋体" w:eastAsia="宋体" w:cs="宋体"/>
                <w:spacing w:val="1"/>
                <w:sz w:val="20"/>
                <w:szCs w:val="20"/>
              </w:rPr>
              <w:t>东南</w:t>
            </w:r>
          </w:p>
        </w:tc>
      </w:tr>
      <w:tr w14:paraId="03501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175" w:type="dxa"/>
            <w:tcBorders>
              <w:left w:val="nil"/>
            </w:tcBorders>
            <w:vAlign w:val="top"/>
          </w:tcPr>
          <w:p w14:paraId="7558DD76">
            <w:pPr>
              <w:spacing w:before="73" w:line="228" w:lineRule="auto"/>
              <w:ind w:left="225"/>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月</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26 </w:t>
            </w:r>
            <w:r>
              <w:rPr>
                <w:rFonts w:ascii="宋体" w:hAnsi="宋体" w:eastAsia="宋体" w:cs="宋体"/>
                <w:sz w:val="20"/>
                <w:szCs w:val="20"/>
              </w:rPr>
              <w:t>日</w:t>
            </w:r>
          </w:p>
        </w:tc>
        <w:tc>
          <w:tcPr>
            <w:tcW w:w="1535" w:type="dxa"/>
            <w:vAlign w:val="top"/>
          </w:tcPr>
          <w:p w14:paraId="37AD0D4F">
            <w:pPr>
              <w:spacing w:before="109"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535" w:type="dxa"/>
            <w:vAlign w:val="top"/>
          </w:tcPr>
          <w:p w14:paraId="1EE24828">
            <w:pPr>
              <w:spacing w:before="10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 1~98.</w:t>
            </w:r>
            <w:r>
              <w:rPr>
                <w:rFonts w:ascii="Times New Roman" w:hAnsi="Times New Roman" w:eastAsia="Times New Roman" w:cs="Times New Roman"/>
                <w:spacing w:val="-1"/>
                <w:sz w:val="20"/>
                <w:szCs w:val="20"/>
              </w:rPr>
              <w:t>2</w:t>
            </w:r>
          </w:p>
        </w:tc>
        <w:tc>
          <w:tcPr>
            <w:tcW w:w="1535" w:type="dxa"/>
            <w:vAlign w:val="top"/>
          </w:tcPr>
          <w:p w14:paraId="2A435A21">
            <w:pPr>
              <w:spacing w:before="109" w:line="198"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.9</w:t>
            </w:r>
          </w:p>
        </w:tc>
        <w:tc>
          <w:tcPr>
            <w:tcW w:w="1536" w:type="dxa"/>
            <w:tcBorders>
              <w:right w:val="nil"/>
            </w:tcBorders>
            <w:vAlign w:val="top"/>
          </w:tcPr>
          <w:p w14:paraId="2C25785E">
            <w:pPr>
              <w:spacing w:before="73" w:line="228" w:lineRule="auto"/>
              <w:ind w:left="572"/>
              <w:rPr>
                <w:rFonts w:ascii="宋体" w:hAnsi="宋体" w:eastAsia="宋体" w:cs="宋体"/>
                <w:sz w:val="20"/>
                <w:szCs w:val="20"/>
              </w:rPr>
            </w:pPr>
            <w:r>
              <w:rPr>
                <w:rFonts w:ascii="宋体" w:hAnsi="宋体" w:eastAsia="宋体" w:cs="宋体"/>
                <w:spacing w:val="1"/>
                <w:sz w:val="20"/>
                <w:szCs w:val="20"/>
              </w:rPr>
              <w:t>东南</w:t>
            </w:r>
          </w:p>
        </w:tc>
      </w:tr>
    </w:tbl>
    <w:p w14:paraId="001E73FB">
      <w:pPr>
        <w:spacing w:before="288" w:line="227" w:lineRule="auto"/>
        <w:ind w:left="598"/>
        <w:rPr>
          <w:rFonts w:ascii="宋体" w:hAnsi="宋体" w:eastAsia="宋体" w:cs="宋体"/>
          <w:sz w:val="23"/>
          <w:szCs w:val="23"/>
        </w:rPr>
      </w:pPr>
      <w:r>
        <w:rPr>
          <w:rFonts w:ascii="宋体" w:hAnsi="宋体" w:eastAsia="宋体" w:cs="宋体"/>
          <w:spacing w:val="8"/>
          <w:sz w:val="23"/>
          <w:szCs w:val="23"/>
        </w:rPr>
        <w:t>监</w:t>
      </w:r>
      <w:r>
        <w:rPr>
          <w:rFonts w:ascii="宋体" w:hAnsi="宋体" w:eastAsia="宋体" w:cs="宋体"/>
          <w:spacing w:val="5"/>
          <w:sz w:val="23"/>
          <w:szCs w:val="23"/>
        </w:rPr>
        <w:t>测</w:t>
      </w:r>
      <w:r>
        <w:rPr>
          <w:rFonts w:ascii="宋体" w:hAnsi="宋体" w:eastAsia="宋体" w:cs="宋体"/>
          <w:spacing w:val="4"/>
          <w:sz w:val="23"/>
          <w:szCs w:val="23"/>
        </w:rPr>
        <w:t xml:space="preserve">因子的现状监测结果见表 </w:t>
      </w:r>
      <w:r>
        <w:rPr>
          <w:rFonts w:ascii="Times New Roman" w:hAnsi="Times New Roman" w:eastAsia="Times New Roman" w:cs="Times New Roman"/>
          <w:spacing w:val="4"/>
          <w:sz w:val="23"/>
          <w:szCs w:val="23"/>
        </w:rPr>
        <w:t>4-6</w:t>
      </w:r>
      <w:r>
        <w:rPr>
          <w:rFonts w:ascii="宋体" w:hAnsi="宋体" w:eastAsia="宋体" w:cs="宋体"/>
          <w:spacing w:val="4"/>
          <w:sz w:val="23"/>
          <w:szCs w:val="23"/>
        </w:rPr>
        <w:t>。</w:t>
      </w:r>
    </w:p>
    <w:p w14:paraId="51C8B3B6">
      <w:pPr>
        <w:spacing w:before="245" w:line="332" w:lineRule="exact"/>
        <w:ind w:left="1350"/>
        <w:rPr>
          <w:rFonts w:ascii="宋体" w:hAnsi="宋体" w:eastAsia="宋体" w:cs="宋体"/>
          <w:sz w:val="23"/>
          <w:szCs w:val="23"/>
        </w:rPr>
      </w:pPr>
      <w:r>
        <w:rPr>
          <w:rFonts w:ascii="宋体" w:hAnsi="宋体" w:eastAsia="宋体" w:cs="宋体"/>
          <w:spacing w:val="10"/>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3"/>
          <w:sz w:val="23"/>
          <w:szCs w:val="23"/>
        </w:rPr>
        <w:t xml:space="preserve"> </w:t>
      </w:r>
      <w:r>
        <w:rPr>
          <w:rFonts w:ascii="Times New Roman" w:hAnsi="Times New Roman" w:eastAsia="Times New Roman" w:cs="Times New Roman"/>
          <w:b/>
          <w:bCs/>
          <w:spacing w:val="5"/>
          <w:position w:val="3"/>
          <w:sz w:val="23"/>
          <w:szCs w:val="23"/>
        </w:rPr>
        <w:t>4-6</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环境空气监测因子监测结果</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3"/>
          <w:sz w:val="23"/>
          <w:szCs w:val="23"/>
        </w:rPr>
        <w:t>mg</w:t>
      </w:r>
      <w:r>
        <w:rPr>
          <w:rFonts w:ascii="Times New Roman" w:hAnsi="Times New Roman" w:eastAsia="Times New Roman" w:cs="Times New Roman"/>
          <w:b/>
          <w:bCs/>
          <w:spacing w:val="5"/>
          <w:position w:val="3"/>
          <w:sz w:val="23"/>
          <w:szCs w:val="23"/>
        </w:rPr>
        <w:t>/</w:t>
      </w:r>
      <w:r>
        <w:rPr>
          <w:rFonts w:ascii="Times New Roman" w:hAnsi="Times New Roman" w:eastAsia="Times New Roman" w:cs="Times New Roman"/>
          <w:b/>
          <w:bCs/>
          <w:position w:val="3"/>
          <w:sz w:val="23"/>
          <w:szCs w:val="23"/>
        </w:rPr>
        <w:t>m</w:t>
      </w:r>
      <w:r>
        <w:rPr>
          <w:rFonts w:ascii="Times New Roman" w:hAnsi="Times New Roman" w:eastAsia="Times New Roman" w:cs="Times New Roman"/>
          <w:b/>
          <w:bCs/>
          <w:spacing w:val="5"/>
          <w:position w:val="10"/>
          <w:sz w:val="15"/>
          <w:szCs w:val="15"/>
        </w:rPr>
        <w:t>3</w:t>
      </w:r>
      <w:r>
        <w:rPr>
          <w:rFonts w:ascii="Times New Roman" w:hAnsi="Times New Roman" w:eastAsia="Times New Roman" w:cs="Times New Roman"/>
          <w:spacing w:val="5"/>
          <w:position w:val="10"/>
          <w:sz w:val="15"/>
          <w:szCs w:val="15"/>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w:t>
      </w:r>
    </w:p>
    <w:p w14:paraId="18AB1DC0">
      <w:pPr>
        <w:spacing w:line="62" w:lineRule="auto"/>
        <w:rPr>
          <w:rFonts w:ascii="Arial"/>
          <w:sz w:val="2"/>
        </w:rPr>
      </w:pPr>
    </w:p>
    <w:tbl>
      <w:tblPr>
        <w:tblStyle w:val="4"/>
        <w:tblW w:w="8351"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6"/>
        <w:gridCol w:w="3142"/>
        <w:gridCol w:w="3143"/>
      </w:tblGrid>
      <w:tr w14:paraId="3611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066" w:type="dxa"/>
            <w:tcBorders>
              <w:left w:val="nil"/>
            </w:tcBorders>
            <w:vAlign w:val="top"/>
          </w:tcPr>
          <w:p w14:paraId="4AF2CFDF">
            <w:pPr>
              <w:spacing w:before="77" w:line="216" w:lineRule="auto"/>
              <w:ind w:left="620"/>
              <w:outlineLvl w:val="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采样地</w:t>
            </w:r>
            <w:r>
              <w:rPr>
                <w:rFonts w:ascii="宋体" w:hAnsi="宋体" w:eastAsia="宋体" w:cs="宋体"/>
                <w:spacing w:val="8"/>
                <w:sz w:val="20"/>
                <w:szCs w:val="20"/>
                <w14:textOutline w14:w="3795" w14:cap="sq" w14:cmpd="sng">
                  <w14:solidFill>
                    <w14:srgbClr w14:val="000000"/>
                  </w14:solidFill>
                  <w14:prstDash w14:val="solid"/>
                  <w14:bevel/>
                </w14:textOutline>
              </w:rPr>
              <w:t>点</w:t>
            </w:r>
          </w:p>
        </w:tc>
        <w:tc>
          <w:tcPr>
            <w:tcW w:w="3142" w:type="dxa"/>
            <w:vAlign w:val="top"/>
          </w:tcPr>
          <w:p w14:paraId="7495DF74">
            <w:pPr>
              <w:spacing w:before="77" w:line="216" w:lineRule="auto"/>
              <w:ind w:left="84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建设项目所在地</w:t>
            </w:r>
          </w:p>
        </w:tc>
        <w:tc>
          <w:tcPr>
            <w:tcW w:w="3143" w:type="dxa"/>
            <w:tcBorders>
              <w:right w:val="nil"/>
            </w:tcBorders>
            <w:vAlign w:val="top"/>
          </w:tcPr>
          <w:p w14:paraId="66E4052E">
            <w:pPr>
              <w:spacing w:before="77" w:line="216" w:lineRule="auto"/>
              <w:ind w:left="126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榆</w:t>
            </w:r>
            <w:r>
              <w:rPr>
                <w:rFonts w:ascii="宋体" w:hAnsi="宋体" w:eastAsia="宋体" w:cs="宋体"/>
                <w:spacing w:val="7"/>
                <w:sz w:val="20"/>
                <w:szCs w:val="20"/>
                <w14:textOutline w14:w="3795" w14:cap="sq" w14:cmpd="sng">
                  <w14:solidFill>
                    <w14:srgbClr w14:val="000000"/>
                  </w14:solidFill>
                  <w14:prstDash w14:val="solid"/>
                  <w14:bevel/>
                </w14:textOutline>
              </w:rPr>
              <w:t>树底</w:t>
            </w:r>
          </w:p>
        </w:tc>
      </w:tr>
      <w:tr w14:paraId="25E39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restart"/>
            <w:tcBorders>
              <w:left w:val="nil"/>
              <w:bottom w:val="nil"/>
            </w:tcBorders>
            <w:vAlign w:val="top"/>
          </w:tcPr>
          <w:p w14:paraId="60F6387D">
            <w:pPr>
              <w:spacing w:before="202" w:line="228" w:lineRule="auto"/>
              <w:ind w:left="62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测日期</w:t>
            </w:r>
          </w:p>
        </w:tc>
        <w:tc>
          <w:tcPr>
            <w:tcW w:w="3142" w:type="dxa"/>
            <w:vAlign w:val="top"/>
          </w:tcPr>
          <w:p w14:paraId="4576C509">
            <w:pPr>
              <w:spacing w:before="87" w:line="195" w:lineRule="auto"/>
              <w:ind w:left="1240"/>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c>
          <w:tcPr>
            <w:tcW w:w="3143" w:type="dxa"/>
            <w:tcBorders>
              <w:right w:val="nil"/>
            </w:tcBorders>
            <w:vAlign w:val="top"/>
          </w:tcPr>
          <w:p w14:paraId="6E23E6F2">
            <w:pPr>
              <w:spacing w:before="87" w:line="195" w:lineRule="auto"/>
              <w:ind w:left="1240"/>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r>
      <w:tr w14:paraId="45D3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066" w:type="dxa"/>
            <w:vMerge w:val="continue"/>
            <w:tcBorders>
              <w:top w:val="nil"/>
              <w:left w:val="nil"/>
            </w:tcBorders>
            <w:vAlign w:val="top"/>
          </w:tcPr>
          <w:p w14:paraId="007D4192">
            <w:pPr>
              <w:rPr>
                <w:rFonts w:ascii="Arial"/>
                <w:sz w:val="21"/>
              </w:rPr>
            </w:pPr>
          </w:p>
        </w:tc>
        <w:tc>
          <w:tcPr>
            <w:tcW w:w="3142" w:type="dxa"/>
            <w:vAlign w:val="top"/>
          </w:tcPr>
          <w:p w14:paraId="2AFA5431">
            <w:pPr>
              <w:spacing w:before="47" w:line="239" w:lineRule="auto"/>
              <w:ind w:left="12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一</w:t>
            </w:r>
            <w:r>
              <w:rPr>
                <w:rFonts w:ascii="宋体" w:hAnsi="宋体" w:eastAsia="宋体" w:cs="宋体"/>
                <w:spacing w:val="6"/>
                <w:sz w:val="20"/>
                <w:szCs w:val="20"/>
                <w14:textOutline w14:w="3795" w14:cap="sq" w14:cmpd="sng">
                  <w14:solidFill>
                    <w14:srgbClr w14:val="000000"/>
                  </w14:solidFill>
                  <w14:prstDash w14:val="solid"/>
                  <w14:bevel/>
                </w14:textOutline>
              </w:rPr>
              <w:t>次值</w:t>
            </w:r>
          </w:p>
        </w:tc>
        <w:tc>
          <w:tcPr>
            <w:tcW w:w="3143" w:type="dxa"/>
            <w:tcBorders>
              <w:right w:val="nil"/>
            </w:tcBorders>
            <w:vAlign w:val="top"/>
          </w:tcPr>
          <w:p w14:paraId="0D100226">
            <w:pPr>
              <w:spacing w:before="47" w:line="239" w:lineRule="auto"/>
              <w:ind w:left="12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一</w:t>
            </w:r>
            <w:r>
              <w:rPr>
                <w:rFonts w:ascii="宋体" w:hAnsi="宋体" w:eastAsia="宋体" w:cs="宋体"/>
                <w:spacing w:val="6"/>
                <w:sz w:val="20"/>
                <w:szCs w:val="20"/>
                <w14:textOutline w14:w="3795" w14:cap="sq" w14:cmpd="sng">
                  <w14:solidFill>
                    <w14:srgbClr w14:val="000000"/>
                  </w14:solidFill>
                  <w14:prstDash w14:val="solid"/>
                  <w14:bevel/>
                </w14:textOutline>
              </w:rPr>
              <w:t>次值</w:t>
            </w:r>
          </w:p>
        </w:tc>
      </w:tr>
      <w:tr w14:paraId="0DEC8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066" w:type="dxa"/>
            <w:vMerge w:val="restart"/>
            <w:tcBorders>
              <w:left w:val="nil"/>
              <w:bottom w:val="nil"/>
            </w:tcBorders>
            <w:vAlign w:val="top"/>
          </w:tcPr>
          <w:p w14:paraId="69E13E09">
            <w:pPr>
              <w:spacing w:line="447" w:lineRule="auto"/>
              <w:rPr>
                <w:rFonts w:ascii="Arial"/>
                <w:sz w:val="21"/>
              </w:rPr>
            </w:pPr>
          </w:p>
          <w:p w14:paraId="5E00F9FE">
            <w:pPr>
              <w:spacing w:before="65"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0 </w:t>
            </w:r>
            <w:r>
              <w:rPr>
                <w:rFonts w:ascii="宋体" w:hAnsi="宋体" w:eastAsia="宋体" w:cs="宋体"/>
                <w:sz w:val="20"/>
                <w:szCs w:val="20"/>
              </w:rPr>
              <w:t>日</w:t>
            </w:r>
          </w:p>
        </w:tc>
        <w:tc>
          <w:tcPr>
            <w:tcW w:w="3142" w:type="dxa"/>
            <w:vAlign w:val="top"/>
          </w:tcPr>
          <w:p w14:paraId="0D176432">
            <w:pPr>
              <w:spacing w:before="90"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10</w:t>
            </w:r>
          </w:p>
        </w:tc>
        <w:tc>
          <w:tcPr>
            <w:tcW w:w="3143" w:type="dxa"/>
            <w:tcBorders>
              <w:right w:val="nil"/>
            </w:tcBorders>
            <w:vAlign w:val="top"/>
          </w:tcPr>
          <w:p w14:paraId="3B0DCB6C">
            <w:pPr>
              <w:spacing w:before="88"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62</w:t>
            </w:r>
          </w:p>
        </w:tc>
      </w:tr>
      <w:tr w14:paraId="5233D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066" w:type="dxa"/>
            <w:vMerge w:val="continue"/>
            <w:tcBorders>
              <w:top w:val="nil"/>
              <w:left w:val="nil"/>
              <w:bottom w:val="nil"/>
            </w:tcBorders>
            <w:vAlign w:val="top"/>
          </w:tcPr>
          <w:p w14:paraId="41D59883">
            <w:pPr>
              <w:rPr>
                <w:rFonts w:ascii="Arial"/>
                <w:sz w:val="21"/>
              </w:rPr>
            </w:pPr>
          </w:p>
        </w:tc>
        <w:tc>
          <w:tcPr>
            <w:tcW w:w="3142" w:type="dxa"/>
            <w:vAlign w:val="top"/>
          </w:tcPr>
          <w:p w14:paraId="167B0D76">
            <w:pPr>
              <w:spacing w:before="111"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16</w:t>
            </w:r>
          </w:p>
        </w:tc>
        <w:tc>
          <w:tcPr>
            <w:tcW w:w="3143" w:type="dxa"/>
            <w:tcBorders>
              <w:right w:val="nil"/>
            </w:tcBorders>
            <w:vAlign w:val="top"/>
          </w:tcPr>
          <w:p w14:paraId="71329EE4">
            <w:pPr>
              <w:spacing w:before="109"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66</w:t>
            </w:r>
          </w:p>
        </w:tc>
      </w:tr>
      <w:tr w14:paraId="532EE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066" w:type="dxa"/>
            <w:vMerge w:val="continue"/>
            <w:tcBorders>
              <w:top w:val="nil"/>
              <w:left w:val="nil"/>
              <w:bottom w:val="nil"/>
            </w:tcBorders>
            <w:vAlign w:val="top"/>
          </w:tcPr>
          <w:p w14:paraId="3A7E5FFF">
            <w:pPr>
              <w:rPr>
                <w:rFonts w:ascii="Arial"/>
                <w:sz w:val="21"/>
              </w:rPr>
            </w:pPr>
          </w:p>
        </w:tc>
        <w:tc>
          <w:tcPr>
            <w:tcW w:w="3142" w:type="dxa"/>
            <w:vAlign w:val="top"/>
          </w:tcPr>
          <w:p w14:paraId="3BEDBEDD">
            <w:pPr>
              <w:spacing w:before="112"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20</w:t>
            </w:r>
          </w:p>
        </w:tc>
        <w:tc>
          <w:tcPr>
            <w:tcW w:w="3143" w:type="dxa"/>
            <w:tcBorders>
              <w:right w:val="nil"/>
            </w:tcBorders>
            <w:vAlign w:val="top"/>
          </w:tcPr>
          <w:p w14:paraId="287DAF8C">
            <w:pPr>
              <w:spacing w:before="110"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69</w:t>
            </w:r>
          </w:p>
        </w:tc>
      </w:tr>
      <w:tr w14:paraId="2CC79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066" w:type="dxa"/>
            <w:vMerge w:val="continue"/>
            <w:tcBorders>
              <w:top w:val="nil"/>
              <w:left w:val="nil"/>
            </w:tcBorders>
            <w:vAlign w:val="top"/>
          </w:tcPr>
          <w:p w14:paraId="21D38FC4">
            <w:pPr>
              <w:rPr>
                <w:rFonts w:ascii="Arial"/>
                <w:sz w:val="21"/>
              </w:rPr>
            </w:pPr>
          </w:p>
        </w:tc>
        <w:tc>
          <w:tcPr>
            <w:tcW w:w="3142" w:type="dxa"/>
            <w:vAlign w:val="top"/>
          </w:tcPr>
          <w:p w14:paraId="4A14BD25">
            <w:pPr>
              <w:spacing w:before="113"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13</w:t>
            </w:r>
          </w:p>
        </w:tc>
        <w:tc>
          <w:tcPr>
            <w:tcW w:w="3143" w:type="dxa"/>
            <w:tcBorders>
              <w:right w:val="nil"/>
            </w:tcBorders>
            <w:vAlign w:val="top"/>
          </w:tcPr>
          <w:p w14:paraId="4FFFBF59">
            <w:pPr>
              <w:spacing w:before="111"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64</w:t>
            </w:r>
          </w:p>
        </w:tc>
      </w:tr>
      <w:tr w14:paraId="45AD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066" w:type="dxa"/>
            <w:vMerge w:val="restart"/>
            <w:tcBorders>
              <w:left w:val="nil"/>
              <w:bottom w:val="nil"/>
            </w:tcBorders>
            <w:vAlign w:val="top"/>
          </w:tcPr>
          <w:p w14:paraId="58598DB0">
            <w:pPr>
              <w:spacing w:before="220"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1 </w:t>
            </w:r>
            <w:r>
              <w:rPr>
                <w:rFonts w:ascii="宋体" w:hAnsi="宋体" w:eastAsia="宋体" w:cs="宋体"/>
                <w:sz w:val="20"/>
                <w:szCs w:val="20"/>
              </w:rPr>
              <w:t>日</w:t>
            </w:r>
          </w:p>
        </w:tc>
        <w:tc>
          <w:tcPr>
            <w:tcW w:w="3142" w:type="dxa"/>
            <w:vAlign w:val="top"/>
          </w:tcPr>
          <w:p w14:paraId="297E5B3F">
            <w:pPr>
              <w:spacing w:before="105"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23</w:t>
            </w:r>
          </w:p>
        </w:tc>
        <w:tc>
          <w:tcPr>
            <w:tcW w:w="3143" w:type="dxa"/>
            <w:tcBorders>
              <w:right w:val="nil"/>
            </w:tcBorders>
            <w:vAlign w:val="top"/>
          </w:tcPr>
          <w:p w14:paraId="6D68EC6C">
            <w:pPr>
              <w:spacing w:before="105"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58</w:t>
            </w:r>
          </w:p>
        </w:tc>
      </w:tr>
      <w:tr w14:paraId="74E2C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066" w:type="dxa"/>
            <w:vMerge w:val="continue"/>
            <w:tcBorders>
              <w:top w:val="nil"/>
              <w:left w:val="nil"/>
            </w:tcBorders>
            <w:vAlign w:val="top"/>
          </w:tcPr>
          <w:p w14:paraId="7F355876">
            <w:pPr>
              <w:rPr>
                <w:rFonts w:ascii="Arial"/>
                <w:sz w:val="21"/>
              </w:rPr>
            </w:pPr>
          </w:p>
        </w:tc>
        <w:tc>
          <w:tcPr>
            <w:tcW w:w="3142" w:type="dxa"/>
            <w:vAlign w:val="top"/>
          </w:tcPr>
          <w:p w14:paraId="40B37DAF">
            <w:pPr>
              <w:spacing w:before="113"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.28</w:t>
            </w:r>
          </w:p>
        </w:tc>
        <w:tc>
          <w:tcPr>
            <w:tcW w:w="3143" w:type="dxa"/>
            <w:tcBorders>
              <w:right w:val="nil"/>
            </w:tcBorders>
            <w:vAlign w:val="top"/>
          </w:tcPr>
          <w:p w14:paraId="2DF62A1C">
            <w:pPr>
              <w:spacing w:before="113"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65</w:t>
            </w:r>
          </w:p>
        </w:tc>
      </w:tr>
    </w:tbl>
    <w:p w14:paraId="7EA6C4FE">
      <w:pPr>
        <w:rPr>
          <w:rFonts w:ascii="Arial"/>
          <w:sz w:val="21"/>
        </w:rPr>
      </w:pPr>
    </w:p>
    <w:p w14:paraId="35B64F0E">
      <w:pPr>
        <w:sectPr>
          <w:headerReference r:id="rId160" w:type="default"/>
          <w:footerReference r:id="rId161" w:type="default"/>
          <w:pgSz w:w="11906" w:h="16839"/>
          <w:pgMar w:top="1132" w:right="1691" w:bottom="1182" w:left="1691" w:header="878" w:footer="1022" w:gutter="0"/>
          <w:cols w:space="720" w:num="1"/>
        </w:sectPr>
      </w:pPr>
    </w:p>
    <w:p w14:paraId="211B6882">
      <w:r>
        <w:pict>
          <v:shape id="_x0000_s1215" o:spid="_x0000_s1215" style="position:absolute;left:0pt;margin-left:90pt;margin-top:57.35pt;height:0.75pt;width:415.3pt;mso-position-horizontal-relative:page;mso-position-vertical-relative:page;z-index:251867136;mso-width-relative:page;mso-height-relative:page;" fillcolor="#000000" filled="t" stroked="f" coordsize="8305,15" o:allowincell="f" path="m0,0l8305,0,8305,14,0,14,0,0xe">
            <v:path/>
            <v:fill on="t" focussize="0,0"/>
            <v:stroke on="f"/>
            <v:imagedata o:title=""/>
            <o:lock v:ext="edit"/>
          </v:shape>
        </w:pict>
      </w:r>
    </w:p>
    <w:p w14:paraId="5D96A7B7">
      <w:pPr>
        <w:spacing w:line="65"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6"/>
        <w:gridCol w:w="3143"/>
        <w:gridCol w:w="3143"/>
      </w:tblGrid>
      <w:tr w14:paraId="01D66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066" w:type="dxa"/>
            <w:vMerge w:val="restart"/>
            <w:tcBorders>
              <w:left w:val="nil"/>
              <w:bottom w:val="nil"/>
            </w:tcBorders>
            <w:vAlign w:val="top"/>
          </w:tcPr>
          <w:p w14:paraId="6608CA8E">
            <w:pPr>
              <w:rPr>
                <w:rFonts w:ascii="Arial"/>
                <w:sz w:val="21"/>
              </w:rPr>
            </w:pPr>
          </w:p>
        </w:tc>
        <w:tc>
          <w:tcPr>
            <w:tcW w:w="3143" w:type="dxa"/>
            <w:vAlign w:val="top"/>
          </w:tcPr>
          <w:p w14:paraId="73557939">
            <w:pPr>
              <w:spacing w:before="111" w:line="191"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33</w:t>
            </w:r>
          </w:p>
        </w:tc>
        <w:tc>
          <w:tcPr>
            <w:tcW w:w="3143" w:type="dxa"/>
            <w:tcBorders>
              <w:right w:val="nil"/>
            </w:tcBorders>
            <w:vAlign w:val="top"/>
          </w:tcPr>
          <w:p w14:paraId="516BF7DE">
            <w:pPr>
              <w:spacing w:before="111" w:line="191"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69</w:t>
            </w:r>
          </w:p>
        </w:tc>
      </w:tr>
      <w:tr w14:paraId="411C0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066" w:type="dxa"/>
            <w:vMerge w:val="continue"/>
            <w:tcBorders>
              <w:top w:val="nil"/>
              <w:left w:val="nil"/>
            </w:tcBorders>
            <w:vAlign w:val="top"/>
          </w:tcPr>
          <w:p w14:paraId="029ED5EF">
            <w:pPr>
              <w:rPr>
                <w:rFonts w:ascii="Arial"/>
                <w:sz w:val="21"/>
              </w:rPr>
            </w:pPr>
          </w:p>
        </w:tc>
        <w:tc>
          <w:tcPr>
            <w:tcW w:w="3143" w:type="dxa"/>
            <w:vAlign w:val="top"/>
          </w:tcPr>
          <w:p w14:paraId="7378DDE2">
            <w:pPr>
              <w:spacing w:before="104"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27</w:t>
            </w:r>
          </w:p>
        </w:tc>
        <w:tc>
          <w:tcPr>
            <w:tcW w:w="3143" w:type="dxa"/>
            <w:tcBorders>
              <w:right w:val="nil"/>
            </w:tcBorders>
            <w:vAlign w:val="top"/>
          </w:tcPr>
          <w:p w14:paraId="3844B9F1">
            <w:pPr>
              <w:spacing w:before="104"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62</w:t>
            </w:r>
          </w:p>
        </w:tc>
      </w:tr>
      <w:tr w14:paraId="0A297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066" w:type="dxa"/>
            <w:vMerge w:val="restart"/>
            <w:tcBorders>
              <w:left w:val="nil"/>
              <w:bottom w:val="nil"/>
            </w:tcBorders>
            <w:vAlign w:val="top"/>
          </w:tcPr>
          <w:p w14:paraId="34BD4BB2">
            <w:pPr>
              <w:spacing w:line="461" w:lineRule="auto"/>
              <w:rPr>
                <w:rFonts w:ascii="Arial"/>
                <w:sz w:val="21"/>
              </w:rPr>
            </w:pPr>
          </w:p>
          <w:p w14:paraId="36C11E96">
            <w:pPr>
              <w:spacing w:before="65"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2 </w:t>
            </w:r>
            <w:r>
              <w:rPr>
                <w:rFonts w:ascii="宋体" w:hAnsi="宋体" w:eastAsia="宋体" w:cs="宋体"/>
                <w:sz w:val="20"/>
                <w:szCs w:val="20"/>
              </w:rPr>
              <w:t>日</w:t>
            </w:r>
          </w:p>
        </w:tc>
        <w:tc>
          <w:tcPr>
            <w:tcW w:w="3143" w:type="dxa"/>
            <w:vAlign w:val="top"/>
          </w:tcPr>
          <w:p w14:paraId="4FDF402C">
            <w:pPr>
              <w:spacing w:before="102"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25</w:t>
            </w:r>
          </w:p>
        </w:tc>
        <w:tc>
          <w:tcPr>
            <w:tcW w:w="3143" w:type="dxa"/>
            <w:tcBorders>
              <w:right w:val="nil"/>
            </w:tcBorders>
            <w:vAlign w:val="top"/>
          </w:tcPr>
          <w:p w14:paraId="6591D429">
            <w:pPr>
              <w:spacing w:before="102"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64</w:t>
            </w:r>
          </w:p>
        </w:tc>
      </w:tr>
      <w:tr w14:paraId="5D764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066" w:type="dxa"/>
            <w:vMerge w:val="continue"/>
            <w:tcBorders>
              <w:top w:val="nil"/>
              <w:left w:val="nil"/>
              <w:bottom w:val="nil"/>
            </w:tcBorders>
            <w:vAlign w:val="top"/>
          </w:tcPr>
          <w:p w14:paraId="20D6ECC6">
            <w:pPr>
              <w:rPr>
                <w:rFonts w:ascii="Arial"/>
                <w:sz w:val="21"/>
              </w:rPr>
            </w:pPr>
          </w:p>
        </w:tc>
        <w:tc>
          <w:tcPr>
            <w:tcW w:w="3143" w:type="dxa"/>
            <w:vAlign w:val="top"/>
          </w:tcPr>
          <w:p w14:paraId="4829F7A7">
            <w:pPr>
              <w:spacing w:before="110"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29</w:t>
            </w:r>
          </w:p>
        </w:tc>
        <w:tc>
          <w:tcPr>
            <w:tcW w:w="3143" w:type="dxa"/>
            <w:tcBorders>
              <w:right w:val="nil"/>
            </w:tcBorders>
            <w:vAlign w:val="top"/>
          </w:tcPr>
          <w:p w14:paraId="1A4F34DE">
            <w:pPr>
              <w:spacing w:before="110"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68</w:t>
            </w:r>
          </w:p>
        </w:tc>
      </w:tr>
      <w:tr w14:paraId="27375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6D22ADB8">
            <w:pPr>
              <w:rPr>
                <w:rFonts w:ascii="Arial"/>
                <w:sz w:val="21"/>
              </w:rPr>
            </w:pPr>
          </w:p>
        </w:tc>
        <w:tc>
          <w:tcPr>
            <w:tcW w:w="3143" w:type="dxa"/>
            <w:vAlign w:val="top"/>
          </w:tcPr>
          <w:p w14:paraId="4F3834FA">
            <w:pPr>
              <w:spacing w:before="111"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33</w:t>
            </w:r>
          </w:p>
        </w:tc>
        <w:tc>
          <w:tcPr>
            <w:tcW w:w="3143" w:type="dxa"/>
            <w:tcBorders>
              <w:right w:val="nil"/>
            </w:tcBorders>
            <w:vAlign w:val="top"/>
          </w:tcPr>
          <w:p w14:paraId="15A0DAE9">
            <w:pPr>
              <w:spacing w:before="111"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72</w:t>
            </w:r>
          </w:p>
        </w:tc>
      </w:tr>
      <w:tr w14:paraId="44AE3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066" w:type="dxa"/>
            <w:vMerge w:val="continue"/>
            <w:tcBorders>
              <w:top w:val="nil"/>
              <w:left w:val="nil"/>
            </w:tcBorders>
            <w:vAlign w:val="top"/>
          </w:tcPr>
          <w:p w14:paraId="746D0A47">
            <w:pPr>
              <w:rPr>
                <w:rFonts w:ascii="Arial"/>
                <w:sz w:val="21"/>
              </w:rPr>
            </w:pPr>
          </w:p>
        </w:tc>
        <w:tc>
          <w:tcPr>
            <w:tcW w:w="3143" w:type="dxa"/>
            <w:vAlign w:val="top"/>
          </w:tcPr>
          <w:p w14:paraId="54F29F05">
            <w:pPr>
              <w:spacing w:before="111"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27</w:t>
            </w:r>
          </w:p>
        </w:tc>
        <w:tc>
          <w:tcPr>
            <w:tcW w:w="3143" w:type="dxa"/>
            <w:tcBorders>
              <w:right w:val="nil"/>
            </w:tcBorders>
            <w:vAlign w:val="top"/>
          </w:tcPr>
          <w:p w14:paraId="5B73B7F1">
            <w:pPr>
              <w:spacing w:before="111"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65</w:t>
            </w:r>
          </w:p>
        </w:tc>
      </w:tr>
      <w:tr w14:paraId="01074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066" w:type="dxa"/>
            <w:vMerge w:val="restart"/>
            <w:tcBorders>
              <w:left w:val="nil"/>
              <w:bottom w:val="nil"/>
            </w:tcBorders>
            <w:vAlign w:val="top"/>
          </w:tcPr>
          <w:p w14:paraId="670C3971">
            <w:pPr>
              <w:spacing w:line="463" w:lineRule="auto"/>
              <w:rPr>
                <w:rFonts w:ascii="Arial"/>
                <w:sz w:val="21"/>
              </w:rPr>
            </w:pPr>
          </w:p>
          <w:p w14:paraId="0300171D">
            <w:pPr>
              <w:spacing w:before="65"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3 </w:t>
            </w:r>
            <w:r>
              <w:rPr>
                <w:rFonts w:ascii="宋体" w:hAnsi="宋体" w:eastAsia="宋体" w:cs="宋体"/>
                <w:sz w:val="20"/>
                <w:szCs w:val="20"/>
              </w:rPr>
              <w:t>日</w:t>
            </w:r>
          </w:p>
        </w:tc>
        <w:tc>
          <w:tcPr>
            <w:tcW w:w="3143" w:type="dxa"/>
            <w:vAlign w:val="top"/>
          </w:tcPr>
          <w:p w14:paraId="0C6C5B90">
            <w:pPr>
              <w:spacing w:before="104"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33</w:t>
            </w:r>
          </w:p>
        </w:tc>
        <w:tc>
          <w:tcPr>
            <w:tcW w:w="3143" w:type="dxa"/>
            <w:tcBorders>
              <w:right w:val="nil"/>
            </w:tcBorders>
            <w:vAlign w:val="top"/>
          </w:tcPr>
          <w:p w14:paraId="2FD79FEF">
            <w:pPr>
              <w:spacing w:before="104"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66</w:t>
            </w:r>
          </w:p>
        </w:tc>
      </w:tr>
      <w:tr w14:paraId="06A36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4C986EA4">
            <w:pPr>
              <w:rPr>
                <w:rFonts w:ascii="Arial"/>
                <w:sz w:val="21"/>
              </w:rPr>
            </w:pPr>
          </w:p>
        </w:tc>
        <w:tc>
          <w:tcPr>
            <w:tcW w:w="3143" w:type="dxa"/>
            <w:vAlign w:val="top"/>
          </w:tcPr>
          <w:p w14:paraId="0902AB13">
            <w:pPr>
              <w:spacing w:before="112" w:line="195"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36</w:t>
            </w:r>
          </w:p>
        </w:tc>
        <w:tc>
          <w:tcPr>
            <w:tcW w:w="3143" w:type="dxa"/>
            <w:tcBorders>
              <w:right w:val="nil"/>
            </w:tcBorders>
            <w:vAlign w:val="top"/>
          </w:tcPr>
          <w:p w14:paraId="2BC1F76C">
            <w:pPr>
              <w:spacing w:before="112" w:line="195"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72</w:t>
            </w:r>
          </w:p>
        </w:tc>
      </w:tr>
      <w:tr w14:paraId="7BE42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66" w:type="dxa"/>
            <w:vMerge w:val="continue"/>
            <w:tcBorders>
              <w:top w:val="nil"/>
              <w:left w:val="nil"/>
              <w:bottom w:val="nil"/>
            </w:tcBorders>
            <w:vAlign w:val="top"/>
          </w:tcPr>
          <w:p w14:paraId="3128DE57">
            <w:pPr>
              <w:rPr>
                <w:rFonts w:ascii="Arial"/>
                <w:sz w:val="21"/>
              </w:rPr>
            </w:pPr>
          </w:p>
        </w:tc>
        <w:tc>
          <w:tcPr>
            <w:tcW w:w="3143" w:type="dxa"/>
            <w:vAlign w:val="top"/>
          </w:tcPr>
          <w:p w14:paraId="3581362B">
            <w:pPr>
              <w:spacing w:before="11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.42</w:t>
            </w:r>
          </w:p>
        </w:tc>
        <w:tc>
          <w:tcPr>
            <w:tcW w:w="3143" w:type="dxa"/>
            <w:tcBorders>
              <w:right w:val="nil"/>
            </w:tcBorders>
            <w:vAlign w:val="top"/>
          </w:tcPr>
          <w:p w14:paraId="3A4C4A4D">
            <w:pPr>
              <w:spacing w:before="11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75</w:t>
            </w:r>
          </w:p>
        </w:tc>
      </w:tr>
      <w:tr w14:paraId="2169D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066" w:type="dxa"/>
            <w:vMerge w:val="continue"/>
            <w:tcBorders>
              <w:top w:val="nil"/>
              <w:left w:val="nil"/>
            </w:tcBorders>
            <w:vAlign w:val="top"/>
          </w:tcPr>
          <w:p w14:paraId="45430747">
            <w:pPr>
              <w:rPr>
                <w:rFonts w:ascii="Arial"/>
                <w:sz w:val="21"/>
              </w:rPr>
            </w:pPr>
          </w:p>
        </w:tc>
        <w:tc>
          <w:tcPr>
            <w:tcW w:w="3143" w:type="dxa"/>
            <w:vAlign w:val="top"/>
          </w:tcPr>
          <w:p w14:paraId="721D4842">
            <w:pPr>
              <w:spacing w:before="91"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.34</w:t>
            </w:r>
          </w:p>
        </w:tc>
        <w:tc>
          <w:tcPr>
            <w:tcW w:w="3143" w:type="dxa"/>
            <w:tcBorders>
              <w:right w:val="nil"/>
            </w:tcBorders>
            <w:vAlign w:val="top"/>
          </w:tcPr>
          <w:p w14:paraId="714A386F">
            <w:pPr>
              <w:spacing w:before="91"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69</w:t>
            </w:r>
          </w:p>
        </w:tc>
      </w:tr>
      <w:tr w14:paraId="1417A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restart"/>
            <w:tcBorders>
              <w:left w:val="nil"/>
              <w:bottom w:val="nil"/>
            </w:tcBorders>
            <w:vAlign w:val="top"/>
          </w:tcPr>
          <w:p w14:paraId="00F35AD2">
            <w:pPr>
              <w:spacing w:line="451" w:lineRule="auto"/>
              <w:rPr>
                <w:rFonts w:ascii="Arial"/>
                <w:sz w:val="21"/>
              </w:rPr>
            </w:pPr>
          </w:p>
          <w:p w14:paraId="18718FF2">
            <w:pPr>
              <w:spacing w:before="65"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4 </w:t>
            </w:r>
            <w:r>
              <w:rPr>
                <w:rFonts w:ascii="宋体" w:hAnsi="宋体" w:eastAsia="宋体" w:cs="宋体"/>
                <w:sz w:val="20"/>
                <w:szCs w:val="20"/>
              </w:rPr>
              <w:t>日</w:t>
            </w:r>
          </w:p>
        </w:tc>
        <w:tc>
          <w:tcPr>
            <w:tcW w:w="3143" w:type="dxa"/>
            <w:vAlign w:val="top"/>
          </w:tcPr>
          <w:p w14:paraId="6B9804E9">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.41</w:t>
            </w:r>
          </w:p>
        </w:tc>
        <w:tc>
          <w:tcPr>
            <w:tcW w:w="3143" w:type="dxa"/>
            <w:tcBorders>
              <w:right w:val="nil"/>
            </w:tcBorders>
            <w:vAlign w:val="top"/>
          </w:tcPr>
          <w:p w14:paraId="392D4143">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63</w:t>
            </w:r>
          </w:p>
        </w:tc>
      </w:tr>
      <w:tr w14:paraId="31030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5E81A02B">
            <w:pPr>
              <w:rPr>
                <w:rFonts w:ascii="Arial"/>
                <w:sz w:val="21"/>
              </w:rPr>
            </w:pPr>
          </w:p>
        </w:tc>
        <w:tc>
          <w:tcPr>
            <w:tcW w:w="3143" w:type="dxa"/>
            <w:vAlign w:val="top"/>
          </w:tcPr>
          <w:p w14:paraId="2F8BF679">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.46</w:t>
            </w:r>
          </w:p>
        </w:tc>
        <w:tc>
          <w:tcPr>
            <w:tcW w:w="3143" w:type="dxa"/>
            <w:tcBorders>
              <w:right w:val="nil"/>
            </w:tcBorders>
            <w:vAlign w:val="top"/>
          </w:tcPr>
          <w:p w14:paraId="57186D14">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69</w:t>
            </w:r>
          </w:p>
        </w:tc>
      </w:tr>
      <w:tr w14:paraId="4A05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1AF91268">
            <w:pPr>
              <w:rPr>
                <w:rFonts w:ascii="Arial"/>
                <w:sz w:val="21"/>
              </w:rPr>
            </w:pPr>
          </w:p>
        </w:tc>
        <w:tc>
          <w:tcPr>
            <w:tcW w:w="3143" w:type="dxa"/>
            <w:vAlign w:val="top"/>
          </w:tcPr>
          <w:p w14:paraId="22EEA808">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.51</w:t>
            </w:r>
          </w:p>
        </w:tc>
        <w:tc>
          <w:tcPr>
            <w:tcW w:w="3143" w:type="dxa"/>
            <w:tcBorders>
              <w:right w:val="nil"/>
            </w:tcBorders>
            <w:vAlign w:val="top"/>
          </w:tcPr>
          <w:p w14:paraId="376E6AC7">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62</w:t>
            </w:r>
          </w:p>
        </w:tc>
      </w:tr>
      <w:tr w14:paraId="2CA05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tcBorders>
            <w:vAlign w:val="top"/>
          </w:tcPr>
          <w:p w14:paraId="4870DF72">
            <w:pPr>
              <w:rPr>
                <w:rFonts w:ascii="Arial"/>
                <w:sz w:val="21"/>
              </w:rPr>
            </w:pPr>
          </w:p>
        </w:tc>
        <w:tc>
          <w:tcPr>
            <w:tcW w:w="3143" w:type="dxa"/>
            <w:vAlign w:val="top"/>
          </w:tcPr>
          <w:p w14:paraId="6F74A9EF">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.43</w:t>
            </w:r>
          </w:p>
        </w:tc>
        <w:tc>
          <w:tcPr>
            <w:tcW w:w="3143" w:type="dxa"/>
            <w:tcBorders>
              <w:right w:val="nil"/>
            </w:tcBorders>
            <w:vAlign w:val="top"/>
          </w:tcPr>
          <w:p w14:paraId="19C1693D">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65</w:t>
            </w:r>
          </w:p>
        </w:tc>
      </w:tr>
      <w:tr w14:paraId="6B9A1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restart"/>
            <w:tcBorders>
              <w:left w:val="nil"/>
              <w:bottom w:val="nil"/>
            </w:tcBorders>
            <w:vAlign w:val="top"/>
          </w:tcPr>
          <w:p w14:paraId="730AC42A">
            <w:pPr>
              <w:spacing w:line="451" w:lineRule="auto"/>
              <w:rPr>
                <w:rFonts w:ascii="Arial"/>
                <w:sz w:val="21"/>
              </w:rPr>
            </w:pPr>
          </w:p>
          <w:p w14:paraId="17669803">
            <w:pPr>
              <w:spacing w:before="65"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5 </w:t>
            </w:r>
            <w:r>
              <w:rPr>
                <w:rFonts w:ascii="宋体" w:hAnsi="宋体" w:eastAsia="宋体" w:cs="宋体"/>
                <w:sz w:val="20"/>
                <w:szCs w:val="20"/>
              </w:rPr>
              <w:t>日</w:t>
            </w:r>
          </w:p>
        </w:tc>
        <w:tc>
          <w:tcPr>
            <w:tcW w:w="3143" w:type="dxa"/>
            <w:vAlign w:val="top"/>
          </w:tcPr>
          <w:p w14:paraId="4B50F787">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.52</w:t>
            </w:r>
          </w:p>
        </w:tc>
        <w:tc>
          <w:tcPr>
            <w:tcW w:w="3143" w:type="dxa"/>
            <w:tcBorders>
              <w:right w:val="nil"/>
            </w:tcBorders>
            <w:vAlign w:val="top"/>
          </w:tcPr>
          <w:p w14:paraId="67EA6448">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72</w:t>
            </w:r>
          </w:p>
        </w:tc>
      </w:tr>
      <w:tr w14:paraId="0D059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673264E3">
            <w:pPr>
              <w:rPr>
                <w:rFonts w:ascii="Arial"/>
                <w:sz w:val="21"/>
              </w:rPr>
            </w:pPr>
          </w:p>
        </w:tc>
        <w:tc>
          <w:tcPr>
            <w:tcW w:w="3143" w:type="dxa"/>
            <w:vAlign w:val="top"/>
          </w:tcPr>
          <w:p w14:paraId="7E66A8D0">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.55</w:t>
            </w:r>
          </w:p>
        </w:tc>
        <w:tc>
          <w:tcPr>
            <w:tcW w:w="3143" w:type="dxa"/>
            <w:tcBorders>
              <w:right w:val="nil"/>
            </w:tcBorders>
            <w:vAlign w:val="top"/>
          </w:tcPr>
          <w:p w14:paraId="22CFD60D">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64</w:t>
            </w:r>
          </w:p>
        </w:tc>
      </w:tr>
      <w:tr w14:paraId="1AFE1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0CED3702">
            <w:pPr>
              <w:rPr>
                <w:rFonts w:ascii="Arial"/>
                <w:sz w:val="21"/>
              </w:rPr>
            </w:pPr>
          </w:p>
        </w:tc>
        <w:tc>
          <w:tcPr>
            <w:tcW w:w="3143" w:type="dxa"/>
            <w:vAlign w:val="top"/>
          </w:tcPr>
          <w:p w14:paraId="7401EC54">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w:t>
            </w:r>
          </w:p>
        </w:tc>
        <w:tc>
          <w:tcPr>
            <w:tcW w:w="3143" w:type="dxa"/>
            <w:tcBorders>
              <w:right w:val="nil"/>
            </w:tcBorders>
            <w:vAlign w:val="top"/>
          </w:tcPr>
          <w:p w14:paraId="3FB8CEE8">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72</w:t>
            </w:r>
          </w:p>
        </w:tc>
      </w:tr>
      <w:tr w14:paraId="6FF46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tcBorders>
            <w:vAlign w:val="top"/>
          </w:tcPr>
          <w:p w14:paraId="0A67B727">
            <w:pPr>
              <w:rPr>
                <w:rFonts w:ascii="Arial"/>
                <w:sz w:val="21"/>
              </w:rPr>
            </w:pPr>
          </w:p>
        </w:tc>
        <w:tc>
          <w:tcPr>
            <w:tcW w:w="3143" w:type="dxa"/>
            <w:vAlign w:val="top"/>
          </w:tcPr>
          <w:p w14:paraId="130CB8E8">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.53</w:t>
            </w:r>
          </w:p>
        </w:tc>
        <w:tc>
          <w:tcPr>
            <w:tcW w:w="3143" w:type="dxa"/>
            <w:tcBorders>
              <w:right w:val="nil"/>
            </w:tcBorders>
            <w:vAlign w:val="top"/>
          </w:tcPr>
          <w:p w14:paraId="3C0E4EC4">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76</w:t>
            </w:r>
          </w:p>
        </w:tc>
      </w:tr>
      <w:tr w14:paraId="521D3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restart"/>
            <w:tcBorders>
              <w:left w:val="nil"/>
              <w:bottom w:val="nil"/>
            </w:tcBorders>
            <w:vAlign w:val="top"/>
          </w:tcPr>
          <w:p w14:paraId="57F9E90F">
            <w:pPr>
              <w:spacing w:line="451" w:lineRule="auto"/>
              <w:rPr>
                <w:rFonts w:ascii="Arial"/>
                <w:sz w:val="21"/>
              </w:rPr>
            </w:pPr>
          </w:p>
          <w:p w14:paraId="4C7683DE">
            <w:pPr>
              <w:spacing w:before="65" w:line="228" w:lineRule="auto"/>
              <w:ind w:left="171"/>
              <w:rPr>
                <w:rFonts w:ascii="宋体" w:hAnsi="宋体" w:eastAsia="宋体" w:cs="宋体"/>
                <w:sz w:val="20"/>
                <w:szCs w:val="20"/>
              </w:rPr>
            </w:pPr>
            <w:r>
              <w:rPr>
                <w:rFonts w:ascii="Times New Roman" w:hAnsi="Times New Roman" w:eastAsia="Times New Roman" w:cs="Times New Roman"/>
                <w:spacing w:val="1"/>
                <w:sz w:val="20"/>
                <w:szCs w:val="20"/>
              </w:rPr>
              <w:t xml:space="preserve">2019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06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6 </w:t>
            </w:r>
            <w:r>
              <w:rPr>
                <w:rFonts w:ascii="宋体" w:hAnsi="宋体" w:eastAsia="宋体" w:cs="宋体"/>
                <w:sz w:val="20"/>
                <w:szCs w:val="20"/>
              </w:rPr>
              <w:t>日</w:t>
            </w:r>
          </w:p>
        </w:tc>
        <w:tc>
          <w:tcPr>
            <w:tcW w:w="3143" w:type="dxa"/>
            <w:vAlign w:val="top"/>
          </w:tcPr>
          <w:p w14:paraId="78BB54B1">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.59</w:t>
            </w:r>
          </w:p>
        </w:tc>
        <w:tc>
          <w:tcPr>
            <w:tcW w:w="3143" w:type="dxa"/>
            <w:tcBorders>
              <w:right w:val="nil"/>
            </w:tcBorders>
            <w:vAlign w:val="top"/>
          </w:tcPr>
          <w:p w14:paraId="247B4801">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72</w:t>
            </w:r>
          </w:p>
        </w:tc>
      </w:tr>
      <w:tr w14:paraId="47B67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5798053E">
            <w:pPr>
              <w:rPr>
                <w:rFonts w:ascii="Arial"/>
                <w:sz w:val="21"/>
              </w:rPr>
            </w:pPr>
          </w:p>
        </w:tc>
        <w:tc>
          <w:tcPr>
            <w:tcW w:w="3143" w:type="dxa"/>
            <w:vAlign w:val="top"/>
          </w:tcPr>
          <w:p w14:paraId="67F423A2">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.62</w:t>
            </w:r>
          </w:p>
        </w:tc>
        <w:tc>
          <w:tcPr>
            <w:tcW w:w="3143" w:type="dxa"/>
            <w:tcBorders>
              <w:right w:val="nil"/>
            </w:tcBorders>
            <w:vAlign w:val="top"/>
          </w:tcPr>
          <w:p w14:paraId="04B125EE">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76</w:t>
            </w:r>
          </w:p>
        </w:tc>
      </w:tr>
      <w:tr w14:paraId="12724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066" w:type="dxa"/>
            <w:vMerge w:val="continue"/>
            <w:tcBorders>
              <w:top w:val="nil"/>
              <w:left w:val="nil"/>
              <w:bottom w:val="nil"/>
            </w:tcBorders>
            <w:vAlign w:val="top"/>
          </w:tcPr>
          <w:p w14:paraId="5FEBEAF2">
            <w:pPr>
              <w:rPr>
                <w:rFonts w:ascii="Arial"/>
                <w:sz w:val="21"/>
              </w:rPr>
            </w:pPr>
          </w:p>
        </w:tc>
        <w:tc>
          <w:tcPr>
            <w:tcW w:w="3143" w:type="dxa"/>
            <w:vAlign w:val="top"/>
          </w:tcPr>
          <w:p w14:paraId="2C2CB2CC">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.54</w:t>
            </w:r>
          </w:p>
        </w:tc>
        <w:tc>
          <w:tcPr>
            <w:tcW w:w="3143" w:type="dxa"/>
            <w:tcBorders>
              <w:right w:val="nil"/>
            </w:tcBorders>
            <w:vAlign w:val="top"/>
          </w:tcPr>
          <w:p w14:paraId="4F48D027">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78</w:t>
            </w:r>
          </w:p>
        </w:tc>
      </w:tr>
      <w:tr w14:paraId="0C91D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66" w:type="dxa"/>
            <w:vMerge w:val="continue"/>
            <w:tcBorders>
              <w:top w:val="nil"/>
              <w:left w:val="nil"/>
            </w:tcBorders>
            <w:vAlign w:val="top"/>
          </w:tcPr>
          <w:p w14:paraId="4D952E62">
            <w:pPr>
              <w:rPr>
                <w:rFonts w:ascii="Arial"/>
                <w:sz w:val="21"/>
              </w:rPr>
            </w:pPr>
          </w:p>
        </w:tc>
        <w:tc>
          <w:tcPr>
            <w:tcW w:w="3143" w:type="dxa"/>
            <w:vAlign w:val="top"/>
          </w:tcPr>
          <w:p w14:paraId="0E31102A">
            <w:pPr>
              <w:spacing w:before="92" w:line="198" w:lineRule="auto"/>
              <w:ind w:left="1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.59</w:t>
            </w:r>
          </w:p>
        </w:tc>
        <w:tc>
          <w:tcPr>
            <w:tcW w:w="3143" w:type="dxa"/>
            <w:tcBorders>
              <w:right w:val="nil"/>
            </w:tcBorders>
            <w:vAlign w:val="top"/>
          </w:tcPr>
          <w:p w14:paraId="55278C74">
            <w:pPr>
              <w:spacing w:before="92"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74</w:t>
            </w:r>
          </w:p>
        </w:tc>
      </w:tr>
    </w:tbl>
    <w:p w14:paraId="70E390F8">
      <w:pPr>
        <w:spacing w:before="298" w:line="219" w:lineRule="auto"/>
        <w:ind w:left="30"/>
        <w:outlineLvl w:val="1"/>
        <w:rPr>
          <w:rFonts w:ascii="宋体" w:hAnsi="宋体" w:eastAsia="宋体" w:cs="宋体"/>
          <w:sz w:val="28"/>
          <w:szCs w:val="28"/>
        </w:rPr>
      </w:pPr>
      <w:r>
        <w:rPr>
          <w:rFonts w:ascii="Times New Roman" w:hAnsi="Times New Roman" w:eastAsia="Times New Roman" w:cs="Times New Roman"/>
          <w:b/>
          <w:bCs/>
          <w:spacing w:val="16"/>
          <w:sz w:val="28"/>
          <w:szCs w:val="28"/>
        </w:rPr>
        <w:t>4</w:t>
      </w:r>
      <w:r>
        <w:rPr>
          <w:rFonts w:ascii="Times New Roman" w:hAnsi="Times New Roman" w:eastAsia="Times New Roman" w:cs="Times New Roman"/>
          <w:b/>
          <w:bCs/>
          <w:spacing w:val="14"/>
          <w:sz w:val="28"/>
          <w:szCs w:val="28"/>
        </w:rPr>
        <w:t>.</w:t>
      </w:r>
      <w:r>
        <w:rPr>
          <w:rFonts w:ascii="Times New Roman" w:hAnsi="Times New Roman" w:eastAsia="Times New Roman" w:cs="Times New Roman"/>
          <w:b/>
          <w:bCs/>
          <w:spacing w:val="8"/>
          <w:sz w:val="28"/>
          <w:szCs w:val="28"/>
        </w:rPr>
        <w:t>3.1.3</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环境空气质量现状评价</w:t>
      </w:r>
    </w:p>
    <w:p w14:paraId="3D75DD15">
      <w:pPr>
        <w:spacing w:line="263" w:lineRule="auto"/>
        <w:rPr>
          <w:rFonts w:ascii="Arial"/>
          <w:sz w:val="21"/>
        </w:rPr>
      </w:pPr>
    </w:p>
    <w:p w14:paraId="5EC4C4D9">
      <w:pPr>
        <w:spacing w:before="75" w:line="226" w:lineRule="auto"/>
        <w:ind w:left="547"/>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28"/>
          <w:sz w:val="23"/>
          <w:szCs w:val="23"/>
        </w:rPr>
        <w:t>1</w:t>
      </w:r>
      <w:r>
        <w:rPr>
          <w:rFonts w:ascii="宋体" w:hAnsi="宋体" w:eastAsia="宋体" w:cs="宋体"/>
          <w:spacing w:val="28"/>
          <w:sz w:val="23"/>
          <w:szCs w:val="23"/>
        </w:rPr>
        <w:t>) 评价标</w:t>
      </w:r>
      <w:r>
        <w:rPr>
          <w:rFonts w:ascii="宋体" w:hAnsi="宋体" w:eastAsia="宋体" w:cs="宋体"/>
          <w:spacing w:val="27"/>
          <w:sz w:val="23"/>
          <w:szCs w:val="23"/>
        </w:rPr>
        <w:t>准</w:t>
      </w:r>
    </w:p>
    <w:p w14:paraId="088F90D0">
      <w:pPr>
        <w:spacing w:line="278" w:lineRule="auto"/>
        <w:rPr>
          <w:rFonts w:ascii="Arial"/>
          <w:sz w:val="21"/>
        </w:rPr>
      </w:pPr>
    </w:p>
    <w:p w14:paraId="381112C3">
      <w:pPr>
        <w:spacing w:before="75" w:line="227" w:lineRule="auto"/>
        <w:ind w:left="536"/>
        <w:rPr>
          <w:rFonts w:ascii="宋体" w:hAnsi="宋体" w:eastAsia="宋体" w:cs="宋体"/>
          <w:sz w:val="23"/>
          <w:szCs w:val="23"/>
        </w:rPr>
      </w:pPr>
      <w:r>
        <w:rPr>
          <w:rFonts w:ascii="宋体" w:hAnsi="宋体" w:eastAsia="宋体" w:cs="宋体"/>
          <w:spacing w:val="18"/>
          <w:sz w:val="23"/>
          <w:szCs w:val="23"/>
        </w:rPr>
        <w:t>环境</w:t>
      </w:r>
      <w:r>
        <w:rPr>
          <w:rFonts w:ascii="宋体" w:hAnsi="宋体" w:eastAsia="宋体" w:cs="宋体"/>
          <w:spacing w:val="11"/>
          <w:sz w:val="23"/>
          <w:szCs w:val="23"/>
        </w:rPr>
        <w:t>空</w:t>
      </w:r>
      <w:r>
        <w:rPr>
          <w:rFonts w:ascii="宋体" w:hAnsi="宋体" w:eastAsia="宋体" w:cs="宋体"/>
          <w:spacing w:val="9"/>
          <w:sz w:val="23"/>
          <w:szCs w:val="23"/>
        </w:rPr>
        <w:t>气质量非甲烷总烃执行《大气污染物综合排放标准详解》 中浓度要</w:t>
      </w:r>
    </w:p>
    <w:p w14:paraId="1032353F">
      <w:pPr>
        <w:spacing w:before="196" w:line="229" w:lineRule="auto"/>
        <w:ind w:left="34"/>
        <w:rPr>
          <w:rFonts w:ascii="宋体" w:hAnsi="宋体" w:eastAsia="宋体" w:cs="宋体"/>
          <w:sz w:val="23"/>
          <w:szCs w:val="23"/>
        </w:rPr>
      </w:pPr>
      <w:r>
        <w:rPr>
          <w:rFonts w:ascii="宋体" w:hAnsi="宋体" w:eastAsia="宋体" w:cs="宋体"/>
          <w:spacing w:val="5"/>
          <w:sz w:val="23"/>
          <w:szCs w:val="23"/>
        </w:rPr>
        <w:t xml:space="preserve">求，环境空气污染物浓度限值见表 </w:t>
      </w:r>
      <w:r>
        <w:rPr>
          <w:rFonts w:ascii="Times New Roman" w:hAnsi="Times New Roman" w:eastAsia="Times New Roman" w:cs="Times New Roman"/>
          <w:spacing w:val="5"/>
          <w:sz w:val="23"/>
          <w:szCs w:val="23"/>
        </w:rPr>
        <w:t>4-7</w:t>
      </w:r>
      <w:r>
        <w:rPr>
          <w:rFonts w:ascii="宋体" w:hAnsi="宋体" w:eastAsia="宋体" w:cs="宋体"/>
          <w:spacing w:val="1"/>
          <w:sz w:val="23"/>
          <w:szCs w:val="23"/>
        </w:rPr>
        <w:t>。</w:t>
      </w:r>
    </w:p>
    <w:p w14:paraId="009BB748">
      <w:pPr>
        <w:spacing w:line="274" w:lineRule="auto"/>
        <w:rPr>
          <w:rFonts w:ascii="Arial"/>
          <w:sz w:val="21"/>
        </w:rPr>
      </w:pPr>
    </w:p>
    <w:p w14:paraId="0A911CB6">
      <w:pPr>
        <w:spacing w:before="75" w:line="228" w:lineRule="auto"/>
        <w:ind w:left="1704"/>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1"/>
          <w:sz w:val="23"/>
          <w:szCs w:val="23"/>
        </w:rPr>
        <w:t>4</w:t>
      </w:r>
      <w:r>
        <w:rPr>
          <w:rFonts w:ascii="Times New Roman" w:hAnsi="Times New Roman" w:eastAsia="Times New Roman" w:cs="Times New Roman"/>
          <w:b/>
          <w:bCs/>
          <w:spacing w:val="6"/>
          <w:sz w:val="23"/>
          <w:szCs w:val="23"/>
        </w:rPr>
        <w:t>-7</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《大气污染物综合排放标准详解》</w:t>
      </w:r>
    </w:p>
    <w:p w14:paraId="1BF65333">
      <w:pPr>
        <w:spacing w:line="19"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828"/>
        <w:gridCol w:w="1404"/>
        <w:gridCol w:w="1212"/>
        <w:gridCol w:w="3349"/>
        <w:gridCol w:w="656"/>
      </w:tblGrid>
      <w:tr w14:paraId="26450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2" w:type="dxa"/>
            <w:vMerge w:val="restart"/>
            <w:tcBorders>
              <w:left w:val="nil"/>
              <w:bottom w:val="nil"/>
            </w:tcBorders>
            <w:vAlign w:val="top"/>
          </w:tcPr>
          <w:p w14:paraId="00B42824">
            <w:pPr>
              <w:spacing w:before="81" w:line="259" w:lineRule="auto"/>
              <w:ind w:left="251" w:right="132" w:hanging="10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3444" w:type="dxa"/>
            <w:gridSpan w:val="3"/>
            <w:vAlign w:val="top"/>
          </w:tcPr>
          <w:p w14:paraId="0C90C4C3">
            <w:pPr>
              <w:spacing w:before="76" w:line="228" w:lineRule="auto"/>
              <w:ind w:left="99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污染物浓度限值</w:t>
            </w:r>
          </w:p>
        </w:tc>
        <w:tc>
          <w:tcPr>
            <w:tcW w:w="3349" w:type="dxa"/>
            <w:vMerge w:val="restart"/>
            <w:tcBorders>
              <w:bottom w:val="nil"/>
            </w:tcBorders>
            <w:vAlign w:val="top"/>
          </w:tcPr>
          <w:p w14:paraId="5515EB2B">
            <w:pPr>
              <w:spacing w:before="238" w:line="228" w:lineRule="auto"/>
              <w:ind w:left="146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标</w:t>
            </w:r>
            <w:r>
              <w:rPr>
                <w:rFonts w:ascii="宋体" w:hAnsi="宋体" w:eastAsia="宋体" w:cs="宋体"/>
                <w:spacing w:val="5"/>
                <w:sz w:val="20"/>
                <w:szCs w:val="20"/>
                <w14:textOutline w14:w="3795" w14:cap="sq" w14:cmpd="sng">
                  <w14:solidFill>
                    <w14:srgbClr w14:val="000000"/>
                  </w14:solidFill>
                  <w14:prstDash w14:val="solid"/>
                  <w14:bevel/>
                </w14:textOutline>
              </w:rPr>
              <w:t>准</w:t>
            </w:r>
          </w:p>
        </w:tc>
        <w:tc>
          <w:tcPr>
            <w:tcW w:w="656" w:type="dxa"/>
            <w:vMerge w:val="restart"/>
            <w:tcBorders>
              <w:bottom w:val="nil"/>
              <w:right w:val="nil"/>
            </w:tcBorders>
            <w:vAlign w:val="top"/>
          </w:tcPr>
          <w:p w14:paraId="00048C54">
            <w:pPr>
              <w:spacing w:before="238" w:line="228" w:lineRule="auto"/>
              <w:ind w:left="12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r>
      <w:tr w14:paraId="1CD21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902" w:type="dxa"/>
            <w:vMerge w:val="continue"/>
            <w:tcBorders>
              <w:top w:val="nil"/>
              <w:left w:val="nil"/>
            </w:tcBorders>
            <w:vAlign w:val="top"/>
          </w:tcPr>
          <w:p w14:paraId="4D43D691">
            <w:pPr>
              <w:rPr>
                <w:rFonts w:ascii="Arial"/>
                <w:sz w:val="21"/>
              </w:rPr>
            </w:pPr>
          </w:p>
        </w:tc>
        <w:tc>
          <w:tcPr>
            <w:tcW w:w="828" w:type="dxa"/>
            <w:vAlign w:val="top"/>
          </w:tcPr>
          <w:p w14:paraId="650636C5">
            <w:pPr>
              <w:spacing w:before="53" w:line="228" w:lineRule="auto"/>
              <w:ind w:left="10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平均</w:t>
            </w:r>
          </w:p>
        </w:tc>
        <w:tc>
          <w:tcPr>
            <w:tcW w:w="1404" w:type="dxa"/>
            <w:vAlign w:val="top"/>
          </w:tcPr>
          <w:p w14:paraId="68F7E537">
            <w:pPr>
              <w:spacing w:before="53" w:line="228" w:lineRule="auto"/>
              <w:ind w:left="153"/>
              <w:rPr>
                <w:rFonts w:ascii="宋体" w:hAnsi="宋体" w:eastAsia="宋体" w:cs="宋体"/>
                <w:sz w:val="20"/>
                <w:szCs w:val="20"/>
              </w:rPr>
            </w:pPr>
            <w:r>
              <w:rPr>
                <w:rFonts w:ascii="Times New Roman" w:hAnsi="Times New Roman" w:eastAsia="Times New Roman" w:cs="Times New Roman"/>
                <w:b/>
                <w:bCs/>
                <w:spacing w:val="7"/>
                <w:sz w:val="20"/>
                <w:szCs w:val="20"/>
              </w:rPr>
              <w:t>24</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小时平均</w:t>
            </w:r>
          </w:p>
        </w:tc>
        <w:tc>
          <w:tcPr>
            <w:tcW w:w="1212" w:type="dxa"/>
            <w:vAlign w:val="top"/>
          </w:tcPr>
          <w:p w14:paraId="2664BF4C">
            <w:pPr>
              <w:spacing w:before="53" w:line="228" w:lineRule="auto"/>
              <w:ind w:left="118"/>
              <w:rPr>
                <w:rFonts w:ascii="宋体" w:hAnsi="宋体" w:eastAsia="宋体" w:cs="宋体"/>
                <w:sz w:val="20"/>
                <w:szCs w:val="20"/>
              </w:rPr>
            </w:pPr>
            <w:r>
              <w:rPr>
                <w:rFonts w:ascii="Times New Roman" w:hAnsi="Times New Roman" w:eastAsia="Times New Roman" w:cs="Times New Roman"/>
                <w:b/>
                <w:bCs/>
                <w:spacing w:val="9"/>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小时平均</w:t>
            </w:r>
          </w:p>
        </w:tc>
        <w:tc>
          <w:tcPr>
            <w:tcW w:w="3349" w:type="dxa"/>
            <w:vMerge w:val="continue"/>
            <w:tcBorders>
              <w:top w:val="nil"/>
            </w:tcBorders>
            <w:vAlign w:val="top"/>
          </w:tcPr>
          <w:p w14:paraId="35802A78">
            <w:pPr>
              <w:rPr>
                <w:rFonts w:ascii="Arial"/>
                <w:sz w:val="21"/>
              </w:rPr>
            </w:pPr>
          </w:p>
        </w:tc>
        <w:tc>
          <w:tcPr>
            <w:tcW w:w="656" w:type="dxa"/>
            <w:vMerge w:val="continue"/>
            <w:tcBorders>
              <w:top w:val="nil"/>
              <w:right w:val="nil"/>
            </w:tcBorders>
            <w:vAlign w:val="top"/>
          </w:tcPr>
          <w:p w14:paraId="01F84C30">
            <w:pPr>
              <w:rPr>
                <w:rFonts w:ascii="Arial"/>
                <w:sz w:val="21"/>
              </w:rPr>
            </w:pPr>
          </w:p>
        </w:tc>
      </w:tr>
      <w:tr w14:paraId="48694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902" w:type="dxa"/>
            <w:tcBorders>
              <w:left w:val="nil"/>
            </w:tcBorders>
            <w:vAlign w:val="top"/>
          </w:tcPr>
          <w:p w14:paraId="5744F8E2">
            <w:pPr>
              <w:spacing w:before="90"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N</w:t>
            </w:r>
            <w:r>
              <w:rPr>
                <w:rFonts w:ascii="Times New Roman" w:hAnsi="Times New Roman" w:eastAsia="Times New Roman" w:cs="Times New Roman"/>
                <w:spacing w:val="7"/>
                <w:sz w:val="20"/>
                <w:szCs w:val="20"/>
              </w:rPr>
              <w:t>MHC</w:t>
            </w:r>
          </w:p>
        </w:tc>
        <w:tc>
          <w:tcPr>
            <w:tcW w:w="828" w:type="dxa"/>
            <w:vAlign w:val="top"/>
          </w:tcPr>
          <w:p w14:paraId="47B95292">
            <w:pPr>
              <w:spacing w:before="17" w:line="281"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04" w:type="dxa"/>
            <w:vAlign w:val="top"/>
          </w:tcPr>
          <w:p w14:paraId="33B20EE2">
            <w:pPr>
              <w:spacing w:before="17" w:line="281" w:lineRule="exact"/>
              <w:ind w:left="6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12" w:type="dxa"/>
            <w:vAlign w:val="top"/>
          </w:tcPr>
          <w:p w14:paraId="223050B4">
            <w:pPr>
              <w:spacing w:before="91" w:line="195"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49" w:type="dxa"/>
            <w:vAlign w:val="top"/>
          </w:tcPr>
          <w:p w14:paraId="75AB0D86">
            <w:pPr>
              <w:spacing w:before="55" w:line="228" w:lineRule="auto"/>
              <w:ind w:left="58"/>
              <w:rPr>
                <w:rFonts w:ascii="Times New Roman" w:hAnsi="Times New Roman" w:eastAsia="Times New Roman" w:cs="Times New Roman"/>
                <w:sz w:val="20"/>
                <w:szCs w:val="20"/>
              </w:rPr>
            </w:pPr>
            <w:r>
              <w:rPr>
                <w:rFonts w:ascii="宋体" w:hAnsi="宋体" w:eastAsia="宋体" w:cs="宋体"/>
                <w:spacing w:val="15"/>
                <w:sz w:val="20"/>
                <w:szCs w:val="20"/>
              </w:rPr>
              <w:t>《</w:t>
            </w:r>
            <w:r>
              <w:rPr>
                <w:rFonts w:ascii="宋体" w:hAnsi="宋体" w:eastAsia="宋体" w:cs="宋体"/>
                <w:spacing w:val="9"/>
                <w:sz w:val="20"/>
                <w:szCs w:val="20"/>
              </w:rPr>
              <w:t>大气污染物综合排放标准详解》</w:t>
            </w:r>
            <w:r>
              <w:rPr>
                <w:rFonts w:ascii="Times New Roman" w:hAnsi="Times New Roman" w:eastAsia="Times New Roman" w:cs="Times New Roman"/>
                <w:spacing w:val="9"/>
                <w:sz w:val="20"/>
                <w:szCs w:val="20"/>
              </w:rPr>
              <w:t>*</w:t>
            </w:r>
          </w:p>
        </w:tc>
        <w:tc>
          <w:tcPr>
            <w:tcW w:w="656" w:type="dxa"/>
            <w:tcBorders>
              <w:right w:val="nil"/>
            </w:tcBorders>
            <w:vAlign w:val="top"/>
          </w:tcPr>
          <w:p w14:paraId="4DA54694">
            <w:pPr>
              <w:spacing w:before="17" w:line="281" w:lineRule="exact"/>
              <w:ind w:left="47"/>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14"/>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3"/>
                <w:position w:val="9"/>
                <w:sz w:val="13"/>
                <w:szCs w:val="13"/>
              </w:rPr>
              <w:t>3</w:t>
            </w:r>
          </w:p>
        </w:tc>
      </w:tr>
    </w:tbl>
    <w:p w14:paraId="24F22BFF">
      <w:pPr>
        <w:spacing w:before="69" w:line="299" w:lineRule="auto"/>
        <w:ind w:left="29" w:right="22"/>
        <w:rPr>
          <w:rFonts w:ascii="Times New Roman" w:hAnsi="Times New Roman" w:eastAsia="Times New Roman" w:cs="Times New Roman"/>
          <w:sz w:val="17"/>
          <w:szCs w:val="17"/>
        </w:rPr>
      </w:pPr>
      <w:r>
        <w:rPr>
          <w:rFonts w:ascii="宋体" w:hAnsi="宋体" w:eastAsia="宋体" w:cs="宋体"/>
          <w:spacing w:val="15"/>
          <w:sz w:val="17"/>
          <w:szCs w:val="17"/>
          <w14:textOutline w14:w="3268" w14:cap="sq" w14:cmpd="sng">
            <w14:solidFill>
              <w14:srgbClr w14:val="000000"/>
            </w14:solidFill>
            <w14:prstDash w14:val="solid"/>
            <w14:bevel/>
          </w14:textOutline>
        </w:rPr>
        <w:t>注</w:t>
      </w:r>
      <w:r>
        <w:rPr>
          <w:rFonts w:ascii="宋体" w:hAnsi="宋体" w:eastAsia="宋体" w:cs="宋体"/>
          <w:spacing w:val="10"/>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0"/>
          <w:sz w:val="17"/>
          <w:szCs w:val="17"/>
        </w:rPr>
        <w:t>“*”</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由于我国目前没有</w:t>
      </w:r>
      <w:r>
        <w:rPr>
          <w:rFonts w:ascii="Times New Roman" w:hAnsi="Times New Roman" w:eastAsia="Times New Roman" w:cs="Times New Roman"/>
          <w:b/>
          <w:bCs/>
          <w:spacing w:val="10"/>
          <w:sz w:val="17"/>
          <w:szCs w:val="17"/>
        </w:rPr>
        <w:t>“</w:t>
      </w:r>
      <w:r>
        <w:rPr>
          <w:rFonts w:ascii="宋体" w:hAnsi="宋体" w:eastAsia="宋体" w:cs="宋体"/>
          <w:spacing w:val="10"/>
          <w:sz w:val="17"/>
          <w:szCs w:val="17"/>
          <w14:textOutline w14:w="3268" w14:cap="sq" w14:cmpd="sng">
            <w14:solidFill>
              <w14:srgbClr w14:val="000000"/>
            </w14:solidFill>
            <w14:prstDash w14:val="solid"/>
            <w14:bevel/>
          </w14:textOutline>
        </w:rPr>
        <w:t>非甲烷总烃</w:t>
      </w:r>
      <w:r>
        <w:rPr>
          <w:rFonts w:ascii="Times New Roman" w:hAnsi="Times New Roman" w:eastAsia="Times New Roman" w:cs="Times New Roman"/>
          <w:b/>
          <w:bCs/>
          <w:spacing w:val="10"/>
          <w:sz w:val="17"/>
          <w:szCs w:val="17"/>
        </w:rPr>
        <w:t>”</w:t>
      </w:r>
      <w:r>
        <w:rPr>
          <w:rFonts w:ascii="宋体" w:hAnsi="宋体" w:eastAsia="宋体" w:cs="宋体"/>
          <w:spacing w:val="10"/>
          <w:sz w:val="17"/>
          <w:szCs w:val="17"/>
          <w14:textOutline w14:w="3268" w14:cap="sq" w14:cmpd="sng">
            <w14:solidFill>
              <w14:srgbClr w14:val="000000"/>
            </w14:solidFill>
            <w14:prstDash w14:val="solid"/>
            <w14:bevel/>
          </w14:textOutline>
        </w:rPr>
        <w:t>的环境质量标准，美国的同类标准已废除，故我国石化部门和若</w:t>
      </w:r>
      <w:r>
        <w:rPr>
          <w:rFonts w:ascii="宋体" w:hAnsi="宋体" w:eastAsia="宋体" w:cs="宋体"/>
          <w:sz w:val="17"/>
          <w:szCs w:val="17"/>
        </w:rPr>
        <w:t xml:space="preserve"> </w:t>
      </w:r>
      <w:r>
        <w:rPr>
          <w:rFonts w:ascii="宋体" w:hAnsi="宋体" w:eastAsia="宋体" w:cs="宋体"/>
          <w:spacing w:val="15"/>
          <w:sz w:val="17"/>
          <w:szCs w:val="17"/>
          <w14:textOutline w14:w="3268" w14:cap="sq" w14:cmpd="sng">
            <w14:solidFill>
              <w14:srgbClr w14:val="000000"/>
            </w14:solidFill>
            <w14:prstDash w14:val="solid"/>
            <w14:bevel/>
          </w14:textOutline>
        </w:rPr>
        <w:t>干</w:t>
      </w:r>
      <w:r>
        <w:rPr>
          <w:rFonts w:ascii="宋体" w:hAnsi="宋体" w:eastAsia="宋体" w:cs="宋体"/>
          <w:spacing w:val="9"/>
          <w:sz w:val="17"/>
          <w:szCs w:val="17"/>
          <w14:textOutline w14:w="3268" w14:cap="sq" w14:cmpd="sng">
            <w14:solidFill>
              <w14:srgbClr w14:val="000000"/>
            </w14:solidFill>
            <w14:prstDash w14:val="solid"/>
            <w14:bevel/>
          </w14:textOutline>
        </w:rPr>
        <w:t>地区通常采用以色列同类标准的短期平均值，为</w:t>
      </w:r>
      <w:r>
        <w:rPr>
          <w:rFonts w:ascii="宋体" w:hAnsi="宋体" w:eastAsia="宋体" w:cs="宋体"/>
          <w:spacing w:val="9"/>
          <w:sz w:val="17"/>
          <w:szCs w:val="17"/>
        </w:rPr>
        <w:t xml:space="preserve"> </w:t>
      </w:r>
      <w:r>
        <w:rPr>
          <w:rFonts w:ascii="Times New Roman" w:hAnsi="Times New Roman" w:eastAsia="Times New Roman" w:cs="Times New Roman"/>
          <w:b/>
          <w:bCs/>
          <w:spacing w:val="9"/>
          <w:sz w:val="17"/>
          <w:szCs w:val="17"/>
        </w:rPr>
        <w:t>5</w:t>
      </w:r>
      <w:r>
        <w:rPr>
          <w:rFonts w:ascii="Times New Roman" w:hAnsi="Times New Roman" w:eastAsia="Times New Roman" w:cs="Times New Roman"/>
          <w:b/>
          <w:bCs/>
          <w:sz w:val="17"/>
          <w:szCs w:val="17"/>
        </w:rPr>
        <w:t>mg</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m</w:t>
      </w:r>
      <w:r>
        <w:rPr>
          <w:rFonts w:ascii="Times New Roman" w:hAnsi="Times New Roman" w:eastAsia="Times New Roman" w:cs="Times New Roman"/>
          <w:b/>
          <w:bCs/>
          <w:spacing w:val="9"/>
          <w:position w:val="6"/>
          <w:sz w:val="11"/>
          <w:szCs w:val="11"/>
        </w:rPr>
        <w:t>3</w:t>
      </w:r>
      <w:r>
        <w:rPr>
          <w:rFonts w:ascii="Times New Roman" w:hAnsi="Times New Roman" w:eastAsia="Times New Roman" w:cs="Times New Roman"/>
          <w:spacing w:val="9"/>
          <w:position w:val="6"/>
          <w:sz w:val="11"/>
          <w:szCs w:val="11"/>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。但考虑到我国多数地区的实测值，</w:t>
      </w:r>
      <w:r>
        <w:rPr>
          <w:rFonts w:ascii="Times New Roman" w:hAnsi="Times New Roman" w:eastAsia="Times New Roman" w:cs="Times New Roman"/>
          <w:b/>
          <w:bCs/>
          <w:spacing w:val="9"/>
          <w:sz w:val="17"/>
          <w:szCs w:val="17"/>
        </w:rPr>
        <w:t>“</w:t>
      </w:r>
      <w:r>
        <w:rPr>
          <w:rFonts w:ascii="宋体" w:hAnsi="宋体" w:eastAsia="宋体" w:cs="宋体"/>
          <w:spacing w:val="9"/>
          <w:sz w:val="17"/>
          <w:szCs w:val="17"/>
          <w14:textOutline w14:w="3268" w14:cap="sq" w14:cmpd="sng">
            <w14:solidFill>
              <w14:srgbClr w14:val="000000"/>
            </w14:solidFill>
            <w14:prstDash w14:val="solid"/>
            <w14:bevel/>
          </w14:textOutline>
        </w:rPr>
        <w:t>非甲烷总</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烃</w:t>
      </w:r>
      <w:r>
        <w:rPr>
          <w:rFonts w:ascii="Times New Roman" w:hAnsi="Times New Roman" w:eastAsia="Times New Roman" w:cs="Times New Roman"/>
          <w:b/>
          <w:bCs/>
          <w:spacing w:val="8"/>
          <w:sz w:val="17"/>
          <w:szCs w:val="17"/>
        </w:rPr>
        <w:t>”</w:t>
      </w:r>
      <w:r>
        <w:rPr>
          <w:rFonts w:ascii="宋体" w:hAnsi="宋体" w:eastAsia="宋体" w:cs="宋体"/>
          <w:spacing w:val="8"/>
          <w:sz w:val="17"/>
          <w:szCs w:val="17"/>
          <w14:textOutline w14:w="3268" w14:cap="sq" w14:cmpd="sng">
            <w14:solidFill>
              <w14:srgbClr w14:val="000000"/>
            </w14:solidFill>
            <w14:prstDash w14:val="solid"/>
            <w14:bevel/>
          </w14:textOutline>
        </w:rPr>
        <w:t>的环境浓度一般不超过</w:t>
      </w:r>
      <w:r>
        <w:rPr>
          <w:rFonts w:ascii="宋体" w:hAnsi="宋体" w:eastAsia="宋体" w:cs="宋体"/>
          <w:spacing w:val="8"/>
          <w:sz w:val="17"/>
          <w:szCs w:val="17"/>
        </w:rPr>
        <w:t xml:space="preserve"> </w:t>
      </w:r>
      <w:r>
        <w:rPr>
          <w:rFonts w:ascii="Times New Roman" w:hAnsi="Times New Roman" w:eastAsia="Times New Roman" w:cs="Times New Roman"/>
          <w:b/>
          <w:bCs/>
          <w:spacing w:val="8"/>
          <w:sz w:val="17"/>
          <w:szCs w:val="17"/>
        </w:rPr>
        <w:t>1.0</w:t>
      </w:r>
      <w:r>
        <w:rPr>
          <w:rFonts w:ascii="Times New Roman" w:hAnsi="Times New Roman" w:eastAsia="Times New Roman" w:cs="Times New Roman"/>
          <w:b/>
          <w:bCs/>
          <w:sz w:val="17"/>
          <w:szCs w:val="17"/>
        </w:rPr>
        <w:t>mg</w:t>
      </w:r>
      <w:r>
        <w:rPr>
          <w:rFonts w:ascii="Times New Roman" w:hAnsi="Times New Roman" w:eastAsia="Times New Roman" w:cs="Times New Roman"/>
          <w:b/>
          <w:bCs/>
          <w:spacing w:val="8"/>
          <w:sz w:val="17"/>
          <w:szCs w:val="17"/>
        </w:rPr>
        <w:t>/</w:t>
      </w:r>
      <w:r>
        <w:rPr>
          <w:rFonts w:ascii="Times New Roman" w:hAnsi="Times New Roman" w:eastAsia="Times New Roman" w:cs="Times New Roman"/>
          <w:b/>
          <w:bCs/>
          <w:sz w:val="17"/>
          <w:szCs w:val="17"/>
        </w:rPr>
        <w:t>m</w:t>
      </w:r>
      <w:r>
        <w:rPr>
          <w:rFonts w:ascii="Times New Roman" w:hAnsi="Times New Roman" w:eastAsia="Times New Roman" w:cs="Times New Roman"/>
          <w:b/>
          <w:bCs/>
          <w:spacing w:val="8"/>
          <w:position w:val="5"/>
          <w:sz w:val="11"/>
          <w:szCs w:val="11"/>
        </w:rPr>
        <w:t>3</w:t>
      </w:r>
      <w:r>
        <w:rPr>
          <w:rFonts w:ascii="Times New Roman" w:hAnsi="Times New Roman" w:eastAsia="Times New Roman" w:cs="Times New Roman"/>
          <w:spacing w:val="8"/>
          <w:position w:val="5"/>
          <w:sz w:val="11"/>
          <w:szCs w:val="11"/>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，因此选用</w:t>
      </w:r>
      <w:r>
        <w:rPr>
          <w:rFonts w:ascii="宋体" w:hAnsi="宋体" w:eastAsia="宋体" w:cs="宋体"/>
          <w:spacing w:val="8"/>
          <w:sz w:val="17"/>
          <w:szCs w:val="17"/>
        </w:rPr>
        <w:t xml:space="preserve"> </w:t>
      </w: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z w:val="17"/>
          <w:szCs w:val="17"/>
        </w:rPr>
        <w:t>mg</w:t>
      </w:r>
      <w:r>
        <w:rPr>
          <w:rFonts w:ascii="Times New Roman" w:hAnsi="Times New Roman" w:eastAsia="Times New Roman" w:cs="Times New Roman"/>
          <w:b/>
          <w:bCs/>
          <w:spacing w:val="8"/>
          <w:sz w:val="17"/>
          <w:szCs w:val="17"/>
        </w:rPr>
        <w:t>/</w:t>
      </w:r>
      <w:r>
        <w:rPr>
          <w:rFonts w:ascii="Times New Roman" w:hAnsi="Times New Roman" w:eastAsia="Times New Roman" w:cs="Times New Roman"/>
          <w:b/>
          <w:bCs/>
          <w:sz w:val="17"/>
          <w:szCs w:val="17"/>
        </w:rPr>
        <w:t>m</w:t>
      </w:r>
      <w:r>
        <w:rPr>
          <w:rFonts w:ascii="Times New Roman" w:hAnsi="Times New Roman" w:eastAsia="Times New Roman" w:cs="Times New Roman"/>
          <w:b/>
          <w:bCs/>
          <w:spacing w:val="8"/>
          <w:position w:val="5"/>
          <w:sz w:val="11"/>
          <w:szCs w:val="11"/>
        </w:rPr>
        <w:t>3</w:t>
      </w:r>
      <w:r>
        <w:rPr>
          <w:rFonts w:ascii="Times New Roman" w:hAnsi="Times New Roman" w:eastAsia="Times New Roman" w:cs="Times New Roman"/>
          <w:spacing w:val="8"/>
          <w:position w:val="5"/>
          <w:sz w:val="11"/>
          <w:szCs w:val="11"/>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作为计算依据。摘自</w:t>
      </w:r>
      <w:r>
        <w:rPr>
          <w:rFonts w:ascii="Times New Roman" w:hAnsi="Times New Roman" w:eastAsia="Times New Roman" w:cs="Times New Roman"/>
          <w:b/>
          <w:bCs/>
          <w:spacing w:val="8"/>
          <w:sz w:val="17"/>
          <w:szCs w:val="17"/>
        </w:rPr>
        <w:t>“</w:t>
      </w:r>
      <w:r>
        <w:rPr>
          <w:rFonts w:ascii="宋体" w:hAnsi="宋体" w:eastAsia="宋体" w:cs="宋体"/>
          <w:spacing w:val="8"/>
          <w:sz w:val="17"/>
          <w:szCs w:val="17"/>
          <w14:textOutline w14:w="3268" w14:cap="sq" w14:cmpd="sng">
            <w14:solidFill>
              <w14:srgbClr w14:val="000000"/>
            </w14:solidFill>
            <w14:prstDash w14:val="solid"/>
            <w14:bevel/>
          </w14:textOutline>
        </w:rPr>
        <w:t>由中国环境科学出版社出</w:t>
      </w:r>
      <w:r>
        <w:rPr>
          <w:rFonts w:ascii="宋体" w:hAnsi="宋体" w:eastAsia="宋体" w:cs="宋体"/>
          <w:spacing w:val="5"/>
          <w:sz w:val="17"/>
          <w:szCs w:val="17"/>
          <w14:textOutline w14:w="3268" w14:cap="sq" w14:cmpd="sng">
            <w14:solidFill>
              <w14:srgbClr w14:val="000000"/>
            </w14:solidFill>
            <w14:prstDash w14:val="solid"/>
            <w14:bevel/>
          </w14:textOutline>
        </w:rPr>
        <w:t>版</w:t>
      </w:r>
      <w:r>
        <w:rPr>
          <w:rFonts w:ascii="宋体" w:hAnsi="宋体" w:eastAsia="宋体" w:cs="宋体"/>
          <w:sz w:val="17"/>
          <w:szCs w:val="17"/>
        </w:rPr>
        <w:t xml:space="preserve"> </w:t>
      </w:r>
      <w:r>
        <w:rPr>
          <w:rFonts w:ascii="宋体" w:hAnsi="宋体" w:eastAsia="宋体" w:cs="宋体"/>
          <w:spacing w:val="18"/>
          <w:sz w:val="17"/>
          <w:szCs w:val="17"/>
          <w14:textOutline w14:w="3268" w14:cap="sq" w14:cmpd="sng">
            <w14:solidFill>
              <w14:srgbClr w14:val="000000"/>
            </w14:solidFill>
            <w14:prstDash w14:val="solid"/>
            <w14:bevel/>
          </w14:textOutline>
        </w:rPr>
        <w:t>的国</w:t>
      </w:r>
      <w:r>
        <w:rPr>
          <w:rFonts w:ascii="宋体" w:hAnsi="宋体" w:eastAsia="宋体" w:cs="宋体"/>
          <w:spacing w:val="9"/>
          <w:sz w:val="17"/>
          <w:szCs w:val="17"/>
          <w14:textOutline w14:w="3268" w14:cap="sq" w14:cmpd="sng">
            <w14:solidFill>
              <w14:srgbClr w14:val="000000"/>
            </w14:solidFill>
            <w14:prstDash w14:val="solid"/>
            <w14:bevel/>
          </w14:textOutline>
        </w:rPr>
        <w:t>家环境保护局科技标准司的《大气污染物综合排放标准详解》第</w:t>
      </w:r>
      <w:r>
        <w:rPr>
          <w:rFonts w:ascii="宋体" w:hAnsi="宋体" w:eastAsia="宋体" w:cs="宋体"/>
          <w:spacing w:val="9"/>
          <w:sz w:val="17"/>
          <w:szCs w:val="17"/>
        </w:rPr>
        <w:t xml:space="preserve"> </w:t>
      </w:r>
      <w:r>
        <w:rPr>
          <w:rFonts w:ascii="Times New Roman" w:hAnsi="Times New Roman" w:eastAsia="Times New Roman" w:cs="Times New Roman"/>
          <w:b/>
          <w:bCs/>
          <w:spacing w:val="9"/>
          <w:sz w:val="17"/>
          <w:szCs w:val="17"/>
        </w:rPr>
        <w:t>244</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页。</w:t>
      </w:r>
      <w:r>
        <w:rPr>
          <w:rFonts w:ascii="Times New Roman" w:hAnsi="Times New Roman" w:eastAsia="Times New Roman" w:cs="Times New Roman"/>
          <w:b/>
          <w:bCs/>
          <w:spacing w:val="9"/>
          <w:sz w:val="17"/>
          <w:szCs w:val="17"/>
        </w:rPr>
        <w:t>”</w:t>
      </w:r>
    </w:p>
    <w:p w14:paraId="18BA5F06">
      <w:pPr>
        <w:spacing w:before="284" w:line="226" w:lineRule="auto"/>
        <w:ind w:left="547"/>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28"/>
          <w:sz w:val="23"/>
          <w:szCs w:val="23"/>
        </w:rPr>
        <w:t>2</w:t>
      </w:r>
      <w:r>
        <w:rPr>
          <w:rFonts w:ascii="宋体" w:hAnsi="宋体" w:eastAsia="宋体" w:cs="宋体"/>
          <w:spacing w:val="28"/>
          <w:sz w:val="23"/>
          <w:szCs w:val="23"/>
        </w:rPr>
        <w:t>) 评价方</w:t>
      </w:r>
      <w:r>
        <w:rPr>
          <w:rFonts w:ascii="宋体" w:hAnsi="宋体" w:eastAsia="宋体" w:cs="宋体"/>
          <w:spacing w:val="27"/>
          <w:sz w:val="23"/>
          <w:szCs w:val="23"/>
        </w:rPr>
        <w:t>法</w:t>
      </w:r>
    </w:p>
    <w:p w14:paraId="2A3A69DB">
      <w:pPr>
        <w:spacing w:line="278" w:lineRule="auto"/>
        <w:rPr>
          <w:rFonts w:ascii="Arial"/>
          <w:sz w:val="21"/>
        </w:rPr>
      </w:pPr>
    </w:p>
    <w:p w14:paraId="3B8A33E9">
      <w:pPr>
        <w:spacing w:before="75" w:line="393" w:lineRule="auto"/>
        <w:ind w:left="32" w:firstLine="479"/>
        <w:rPr>
          <w:rFonts w:ascii="宋体" w:hAnsi="宋体" w:eastAsia="宋体" w:cs="宋体"/>
          <w:sz w:val="23"/>
          <w:szCs w:val="23"/>
        </w:rPr>
      </w:pPr>
      <w:r>
        <w:rPr>
          <w:rFonts w:ascii="宋体" w:hAnsi="宋体" w:eastAsia="宋体" w:cs="宋体"/>
          <w:spacing w:val="7"/>
          <w:sz w:val="23"/>
          <w:szCs w:val="23"/>
        </w:rPr>
        <w:t>对各监测点的原始数据进行整理，对各污染物日平均浓度波动范围、日平</w:t>
      </w:r>
      <w:r>
        <w:rPr>
          <w:rFonts w:ascii="宋体" w:hAnsi="宋体" w:eastAsia="宋体" w:cs="宋体"/>
          <w:spacing w:val="3"/>
          <w:sz w:val="23"/>
          <w:szCs w:val="23"/>
        </w:rPr>
        <w:t>均</w:t>
      </w:r>
      <w:r>
        <w:rPr>
          <w:rFonts w:ascii="宋体" w:hAnsi="宋体" w:eastAsia="宋体" w:cs="宋体"/>
          <w:sz w:val="23"/>
          <w:szCs w:val="23"/>
        </w:rPr>
        <w:t xml:space="preserve"> </w:t>
      </w:r>
      <w:r>
        <w:rPr>
          <w:rFonts w:ascii="宋体" w:hAnsi="宋体" w:eastAsia="宋体" w:cs="宋体"/>
          <w:spacing w:val="16"/>
          <w:sz w:val="23"/>
          <w:szCs w:val="23"/>
        </w:rPr>
        <w:t>浓度</w:t>
      </w:r>
      <w:r>
        <w:rPr>
          <w:rFonts w:ascii="宋体" w:hAnsi="宋体" w:eastAsia="宋体" w:cs="宋体"/>
          <w:spacing w:val="12"/>
          <w:sz w:val="23"/>
          <w:szCs w:val="23"/>
        </w:rPr>
        <w:t>值</w:t>
      </w:r>
      <w:r>
        <w:rPr>
          <w:rFonts w:ascii="宋体" w:hAnsi="宋体" w:eastAsia="宋体" w:cs="宋体"/>
          <w:spacing w:val="8"/>
          <w:sz w:val="23"/>
          <w:szCs w:val="23"/>
        </w:rPr>
        <w:t>及日平均值超标率、超标浓度、浓度日变化规律等进行分析统计和评价。</w:t>
      </w:r>
    </w:p>
    <w:p w14:paraId="4DF35F20">
      <w:pPr>
        <w:sectPr>
          <w:headerReference r:id="rId162" w:type="default"/>
          <w:footerReference r:id="rId163" w:type="default"/>
          <w:pgSz w:w="11906" w:h="16839"/>
          <w:pgMar w:top="1132" w:right="1745" w:bottom="1182" w:left="1777" w:header="878" w:footer="1022" w:gutter="0"/>
          <w:cols w:space="720" w:num="1"/>
        </w:sectPr>
      </w:pPr>
    </w:p>
    <w:p w14:paraId="55DECCD8">
      <w:pPr>
        <w:spacing w:line="408" w:lineRule="auto"/>
        <w:rPr>
          <w:rFonts w:ascii="Arial"/>
          <w:sz w:val="21"/>
        </w:rPr>
      </w:pPr>
      <w:r>
        <w:pict>
          <v:shape id="_x0000_s1216" o:spid="_x0000_s1216" style="position:absolute;left:0pt;margin-left:90pt;margin-top:57.35pt;height:0.75pt;width:415.3pt;mso-position-horizontal-relative:page;mso-position-vertical-relative:page;z-index:251869184;mso-width-relative:page;mso-height-relative:page;" fillcolor="#000000" filled="t" stroked="f" coordsize="8305,15" o:allowincell="f" path="m0,0l8305,0,8305,14,0,14,0,0xe">
            <v:path/>
            <v:fill on="t" focussize="0,0"/>
            <v:stroke on="f"/>
            <v:imagedata o:title=""/>
            <o:lock v:ext="edit"/>
          </v:shape>
        </w:pict>
      </w:r>
    </w:p>
    <w:p w14:paraId="2B1C4530">
      <w:pPr>
        <w:spacing w:before="75" w:line="228" w:lineRule="auto"/>
        <w:ind w:left="123"/>
        <w:rPr>
          <w:rFonts w:ascii="宋体" w:hAnsi="宋体" w:eastAsia="宋体" w:cs="宋体"/>
          <w:sz w:val="23"/>
          <w:szCs w:val="23"/>
        </w:rPr>
      </w:pPr>
      <w:r>
        <w:rPr>
          <w:rFonts w:ascii="宋体" w:hAnsi="宋体" w:eastAsia="宋体" w:cs="宋体"/>
          <w:spacing w:val="8"/>
          <w:sz w:val="23"/>
          <w:szCs w:val="23"/>
        </w:rPr>
        <w:t>统</w:t>
      </w:r>
      <w:r>
        <w:rPr>
          <w:rFonts w:ascii="宋体" w:hAnsi="宋体" w:eastAsia="宋体" w:cs="宋体"/>
          <w:spacing w:val="6"/>
          <w:sz w:val="23"/>
          <w:szCs w:val="23"/>
        </w:rPr>
        <w:t>计方法如下：</w:t>
      </w:r>
    </w:p>
    <w:p w14:paraId="724A2DC2">
      <w:pPr>
        <w:spacing w:before="203" w:line="936" w:lineRule="exact"/>
        <w:ind w:left="2447"/>
        <w:rPr>
          <w:rFonts w:ascii="Times New Roman" w:hAnsi="Times New Roman" w:eastAsia="Times New Roman" w:cs="Times New Roman"/>
          <w:sz w:val="23"/>
          <w:szCs w:val="23"/>
        </w:rPr>
      </w:pPr>
      <w:r>
        <w:rPr>
          <w:rFonts w:ascii="宋体" w:hAnsi="宋体" w:eastAsia="宋体" w:cs="宋体"/>
          <w:spacing w:val="11"/>
          <w:position w:val="38"/>
          <w:sz w:val="23"/>
          <w:szCs w:val="23"/>
        </w:rPr>
        <w:t>检出率</w:t>
      </w:r>
      <w:r>
        <w:rPr>
          <w:rFonts w:ascii="Times New Roman" w:hAnsi="Times New Roman" w:eastAsia="Times New Roman" w:cs="Times New Roman"/>
          <w:spacing w:val="11"/>
          <w:position w:val="38"/>
          <w:sz w:val="23"/>
          <w:szCs w:val="23"/>
        </w:rPr>
        <w:t>=</w:t>
      </w:r>
      <w:r>
        <w:fldChar w:fldCharType="begin"/>
      </w:r>
      <w:r>
        <w:instrText xml:space="preserve">EQ \* jc3 \* hps23 \o\al(\s\up 7(</w:instrText>
      </w:r>
      <w:r>
        <w:rPr>
          <w:rFonts w:ascii="宋体" w:hAnsi="宋体" w:eastAsia="宋体" w:cs="宋体"/>
          <w:strike/>
          <w:spacing w:val="56"/>
          <w:position w:val="38"/>
          <w:sz w:val="23"/>
          <w:szCs w:val="23"/>
        </w:rPr>
        <w:instrText xml:space="preserve">检</w:instrText>
      </w:r>
      <w:r>
        <w:instrText xml:space="preserve">),</w:instrText>
      </w:r>
      <w:r>
        <w:rPr>
          <w:rFonts w:ascii="宋体" w:hAnsi="宋体" w:eastAsia="宋体" w:cs="宋体"/>
          <w:strike/>
          <w:spacing w:val="52"/>
          <w:position w:val="21"/>
          <w:sz w:val="23"/>
          <w:szCs w:val="23"/>
        </w:rPr>
        <w:instrText xml:space="preserve">总</w:instrText>
      </w:r>
      <w:r>
        <w:instrText xml:space="preserve">)</w:instrText>
      </w:r>
      <w:r>
        <w:fldChar w:fldCharType="end"/>
      </w:r>
      <w:r>
        <w:fldChar w:fldCharType="begin"/>
      </w:r>
      <w:r>
        <w:instrText xml:space="preserve">EQ \* jc3 \* hps23 \o\al(\s\up 7(</w:instrText>
      </w:r>
      <w:r>
        <w:rPr>
          <w:rFonts w:ascii="宋体" w:hAnsi="宋体" w:eastAsia="宋体" w:cs="宋体"/>
          <w:strike/>
          <w:spacing w:val="8"/>
          <w:position w:val="38"/>
          <w:sz w:val="23"/>
          <w:szCs w:val="23"/>
        </w:rPr>
        <w:instrText xml:space="preserve">出</w:instrText>
      </w:r>
      <w:r>
        <w:instrText xml:space="preserve">),</w:instrText>
      </w:r>
      <w:r>
        <w:rPr>
          <w:rFonts w:ascii="宋体" w:hAnsi="宋体" w:eastAsia="宋体" w:cs="宋体"/>
          <w:strike/>
          <w:spacing w:val="4"/>
          <w:position w:val="21"/>
          <w:sz w:val="23"/>
          <w:szCs w:val="23"/>
        </w:rPr>
        <w:instrText xml:space="preserve">检</w:instrText>
      </w:r>
      <w:r>
        <w:instrText xml:space="preserve">)</w:instrText>
      </w:r>
      <w:r>
        <w:fldChar w:fldCharType="end"/>
      </w:r>
      <w:r>
        <w:fldChar w:fldCharType="begin"/>
      </w:r>
      <w:r>
        <w:instrText xml:space="preserve">EQ \* jc3 \* hps23 \o\al(\s\up 7(</w:instrText>
      </w:r>
      <w:r>
        <w:rPr>
          <w:rFonts w:ascii="宋体" w:hAnsi="宋体" w:eastAsia="宋体" w:cs="宋体"/>
          <w:strike/>
          <w:spacing w:val="8"/>
          <w:position w:val="38"/>
          <w:sz w:val="23"/>
          <w:szCs w:val="23"/>
        </w:rPr>
        <w:instrText xml:space="preserve">个</w:instrText>
      </w:r>
      <w:r>
        <w:instrText xml:space="preserve">),</w:instrText>
      </w:r>
      <w:r>
        <w:rPr>
          <w:rFonts w:ascii="宋体" w:hAnsi="宋体" w:eastAsia="宋体" w:cs="宋体"/>
          <w:strike/>
          <w:spacing w:val="4"/>
          <w:position w:val="21"/>
          <w:sz w:val="23"/>
          <w:szCs w:val="23"/>
        </w:rPr>
        <w:instrText xml:space="preserve">个</w:instrText>
      </w:r>
      <w:r>
        <w:instrText xml:space="preserve">)</w:instrText>
      </w:r>
      <w:r>
        <w:fldChar w:fldCharType="end"/>
      </w:r>
      <w:r>
        <w:fldChar w:fldCharType="begin"/>
      </w:r>
      <w:r>
        <w:instrText xml:space="preserve">EQ \* jc3 \* hps23 \o\al(\s\up 7(</w:instrText>
      </w:r>
      <w:r>
        <w:rPr>
          <w:rFonts w:ascii="宋体" w:hAnsi="宋体" w:eastAsia="宋体" w:cs="宋体"/>
          <w:strike/>
          <w:spacing w:val="8"/>
          <w:position w:val="38"/>
          <w:sz w:val="23"/>
          <w:szCs w:val="23"/>
        </w:rPr>
        <w:instrText xml:space="preserve">数</w:instrText>
      </w:r>
      <w:r>
        <w:instrText xml:space="preserve">),</w:instrText>
      </w:r>
      <w:r>
        <w:rPr>
          <w:rFonts w:ascii="宋体" w:hAnsi="宋体" w:eastAsia="宋体" w:cs="宋体"/>
          <w:strike/>
          <w:spacing w:val="4"/>
          <w:position w:val="21"/>
          <w:sz w:val="23"/>
          <w:szCs w:val="23"/>
        </w:rPr>
        <w:instrText xml:space="preserve">数</w:instrText>
      </w:r>
      <w:r>
        <w:instrText xml:space="preserve">)</w:instrText>
      </w:r>
      <w:r>
        <w:fldChar w:fldCharType="end"/>
      </w:r>
      <w:r>
        <w:rPr>
          <w:rFonts w:ascii="宋体" w:hAnsi="宋体" w:eastAsia="宋体" w:cs="宋体"/>
          <w:spacing w:val="11"/>
          <w:position w:val="21"/>
          <w:sz w:val="23"/>
          <w:szCs w:val="23"/>
        </w:rPr>
        <w:t xml:space="preserve"> </w:t>
      </w:r>
      <w:r>
        <w:rPr>
          <w:rFonts w:ascii="Times New Roman" w:hAnsi="Times New Roman" w:eastAsia="Times New Roman" w:cs="Times New Roman"/>
          <w:spacing w:val="11"/>
          <w:position w:val="38"/>
          <w:sz w:val="23"/>
          <w:szCs w:val="23"/>
        </w:rPr>
        <w:t>× 100%</w:t>
      </w:r>
    </w:p>
    <w:p w14:paraId="0D7AAD2E">
      <w:pPr>
        <w:spacing w:line="785" w:lineRule="exact"/>
        <w:ind w:left="2516"/>
        <w:rPr>
          <w:rFonts w:ascii="Times New Roman" w:hAnsi="Times New Roman" w:eastAsia="Times New Roman" w:cs="Times New Roman"/>
          <w:sz w:val="23"/>
          <w:szCs w:val="23"/>
        </w:rPr>
      </w:pPr>
      <w:r>
        <w:rPr>
          <w:rFonts w:ascii="宋体" w:hAnsi="宋体" w:eastAsia="宋体" w:cs="宋体"/>
          <w:spacing w:val="2"/>
          <w:position w:val="15"/>
          <w:sz w:val="23"/>
          <w:szCs w:val="23"/>
        </w:rPr>
        <w:t>超标率</w:t>
      </w:r>
      <w:r>
        <w:rPr>
          <w:rFonts w:ascii="Times New Roman" w:hAnsi="Times New Roman" w:eastAsia="Times New Roman" w:cs="Times New Roman"/>
          <w:spacing w:val="2"/>
          <w:position w:val="15"/>
          <w:sz w:val="23"/>
          <w:szCs w:val="23"/>
        </w:rPr>
        <w:t>=</w:t>
      </w:r>
      <w:r>
        <w:fldChar w:fldCharType="begin"/>
      </w:r>
      <w:r>
        <w:instrText xml:space="preserve">EQ \* jc3 \* hps23 \o\al(\s\up 7(</w:instrText>
      </w:r>
      <w:r>
        <w:rPr>
          <w:rFonts w:ascii="宋体" w:hAnsi="宋体" w:eastAsia="宋体" w:cs="宋体"/>
          <w:strike/>
          <w:spacing w:val="59"/>
          <w:position w:val="15"/>
          <w:sz w:val="23"/>
          <w:szCs w:val="23"/>
        </w:rPr>
        <w:instrText xml:space="preserve">超</w:instrText>
      </w:r>
      <w:r>
        <w:instrText xml:space="preserve">),</w:instrText>
      </w:r>
      <w:r>
        <w:rPr>
          <w:rFonts w:ascii="宋体" w:hAnsi="宋体" w:eastAsia="宋体" w:cs="宋体"/>
          <w:strike/>
          <w:spacing w:val="53"/>
          <w:position w:val="-2"/>
          <w:sz w:val="23"/>
          <w:szCs w:val="23"/>
        </w:rPr>
        <w:instrText xml:space="preserve">总</w:instrText>
      </w:r>
      <w:r>
        <w:instrText xml:space="preserve">)</w:instrText>
      </w:r>
      <w:r>
        <w:fldChar w:fldCharType="end"/>
      </w:r>
      <w:r>
        <w:fldChar w:fldCharType="begin"/>
      </w:r>
      <w:r>
        <w:instrText xml:space="preserve">EQ \* jc3 \* hps23 \o\al(\s\up 7(</w:instrText>
      </w:r>
      <w:r>
        <w:rPr>
          <w:rFonts w:ascii="宋体" w:hAnsi="宋体" w:eastAsia="宋体" w:cs="宋体"/>
          <w:strike/>
          <w:spacing w:val="8"/>
          <w:position w:val="15"/>
          <w:sz w:val="23"/>
          <w:szCs w:val="23"/>
        </w:rPr>
        <w:instrText xml:space="preserve">标</w:instrText>
      </w:r>
      <w:r>
        <w:instrText xml:space="preserve">),</w:instrText>
      </w:r>
      <w:r>
        <w:rPr>
          <w:rFonts w:ascii="宋体" w:hAnsi="宋体" w:eastAsia="宋体" w:cs="宋体"/>
          <w:strike/>
          <w:spacing w:val="2"/>
          <w:position w:val="-2"/>
          <w:sz w:val="23"/>
          <w:szCs w:val="23"/>
        </w:rPr>
        <w:instrText xml:space="preserve">检</w:instrText>
      </w:r>
      <w:r>
        <w:instrText xml:space="preserve">)</w:instrText>
      </w:r>
      <w:r>
        <w:fldChar w:fldCharType="end"/>
      </w:r>
      <w:r>
        <w:fldChar w:fldCharType="begin"/>
      </w:r>
      <w:r>
        <w:instrText xml:space="preserve">EQ \* jc3 \* hps23 \o\al(\s\up 7(</w:instrText>
      </w:r>
      <w:r>
        <w:rPr>
          <w:rFonts w:ascii="宋体" w:hAnsi="宋体" w:eastAsia="宋体" w:cs="宋体"/>
          <w:strike/>
          <w:spacing w:val="8"/>
          <w:position w:val="15"/>
          <w:sz w:val="23"/>
          <w:szCs w:val="23"/>
        </w:rPr>
        <w:instrText xml:space="preserve">个</w:instrText>
      </w:r>
      <w:r>
        <w:instrText xml:space="preserve">),</w:instrText>
      </w:r>
      <w:r>
        <w:rPr>
          <w:rFonts w:ascii="宋体" w:hAnsi="宋体" w:eastAsia="宋体" w:cs="宋体"/>
          <w:strike/>
          <w:spacing w:val="2"/>
          <w:position w:val="-2"/>
          <w:sz w:val="23"/>
          <w:szCs w:val="23"/>
        </w:rPr>
        <w:instrText xml:space="preserve">个</w:instrText>
      </w:r>
      <w:r>
        <w:instrText xml:space="preserve">)</w:instrText>
      </w:r>
      <w:r>
        <w:fldChar w:fldCharType="end"/>
      </w:r>
      <w:r>
        <w:fldChar w:fldCharType="begin"/>
      </w:r>
      <w:r>
        <w:instrText xml:space="preserve">EQ \* jc3 \* hps23 \o\al(\s\up 7(</w:instrText>
      </w:r>
      <w:r>
        <w:rPr>
          <w:rFonts w:ascii="宋体" w:hAnsi="宋体" w:eastAsia="宋体" w:cs="宋体"/>
          <w:strike/>
          <w:spacing w:val="8"/>
          <w:position w:val="15"/>
          <w:sz w:val="23"/>
          <w:szCs w:val="23"/>
        </w:rPr>
        <w:instrText xml:space="preserve">数</w:instrText>
      </w:r>
      <w:r>
        <w:instrText xml:space="preserve">),</w:instrText>
      </w:r>
      <w:r>
        <w:rPr>
          <w:rFonts w:ascii="宋体" w:hAnsi="宋体" w:eastAsia="宋体" w:cs="宋体"/>
          <w:strike/>
          <w:spacing w:val="2"/>
          <w:position w:val="-2"/>
          <w:sz w:val="23"/>
          <w:szCs w:val="23"/>
        </w:rPr>
        <w:instrText xml:space="preserve">数</w:instrText>
      </w:r>
      <w:r>
        <w:instrText xml:space="preserve">)</w:instrText>
      </w:r>
      <w:r>
        <w:fldChar w:fldCharType="end"/>
      </w:r>
      <w:r>
        <w:rPr>
          <w:rFonts w:ascii="宋体" w:hAnsi="宋体" w:eastAsia="宋体" w:cs="宋体"/>
          <w:strike/>
          <w:spacing w:val="2"/>
          <w:position w:val="-2"/>
          <w:sz w:val="23"/>
          <w:szCs w:val="23"/>
        </w:rPr>
        <w:t xml:space="preserve"> </w:t>
      </w:r>
      <w:r>
        <w:rPr>
          <w:rFonts w:ascii="宋体" w:hAnsi="宋体" w:eastAsia="宋体" w:cs="宋体"/>
          <w:spacing w:val="2"/>
          <w:position w:val="-2"/>
          <w:sz w:val="23"/>
          <w:szCs w:val="23"/>
        </w:rPr>
        <w:t xml:space="preserve"> </w:t>
      </w:r>
      <w:r>
        <w:rPr>
          <w:rFonts w:ascii="Times New Roman" w:hAnsi="Times New Roman" w:eastAsia="Times New Roman" w:cs="Times New Roman"/>
          <w:spacing w:val="2"/>
          <w:position w:val="15"/>
          <w:sz w:val="23"/>
          <w:szCs w:val="23"/>
        </w:rPr>
        <w:t>× 100</w:t>
      </w:r>
      <w:r>
        <w:rPr>
          <w:rFonts w:ascii="Times New Roman" w:hAnsi="Times New Roman" w:eastAsia="Times New Roman" w:cs="Times New Roman"/>
          <w:spacing w:val="1"/>
          <w:position w:val="15"/>
          <w:sz w:val="23"/>
          <w:szCs w:val="23"/>
        </w:rPr>
        <w:t>%</w:t>
      </w:r>
    </w:p>
    <w:p w14:paraId="4D1BE589">
      <w:pPr>
        <w:spacing w:before="151" w:line="264" w:lineRule="auto"/>
        <w:ind w:left="2036"/>
        <w:rPr>
          <w:rFonts w:ascii="Times New Roman" w:hAnsi="Times New Roman" w:eastAsia="Times New Roman" w:cs="Times New Roman"/>
          <w:sz w:val="23"/>
          <w:szCs w:val="23"/>
        </w:rPr>
      </w:pPr>
      <w:r>
        <w:pict>
          <v:shape id="_x0000_s1217" o:spid="_x0000_s1217" o:spt="202" type="#_x0000_t202" style="position:absolute;left:0pt;margin-left:158pt;margin-top:23.2pt;height:16.1pt;width:84.9pt;z-index:251868160;mso-width-relative:page;mso-height-relative:page;" filled="f" stroked="f" coordsize="21600,21600">
            <v:path/>
            <v:fill on="f" focussize="0,0"/>
            <v:stroke on="f"/>
            <v:imagedata o:title=""/>
            <o:lock v:ext="edit" aspectratio="f"/>
            <v:textbox inset="0mm,0mm,0mm,0mm">
              <w:txbxContent>
                <w:p w14:paraId="1D8DB977">
                  <w:pPr>
                    <w:spacing w:before="19" w:line="226" w:lineRule="auto"/>
                    <w:ind w:left="20"/>
                    <w:rPr>
                      <w:rFonts w:ascii="宋体" w:hAnsi="宋体" w:eastAsia="宋体" w:cs="宋体"/>
                      <w:sz w:val="23"/>
                      <w:szCs w:val="23"/>
                    </w:rPr>
                  </w:pPr>
                  <w:r>
                    <w:rPr>
                      <w:rFonts w:ascii="宋体" w:hAnsi="宋体" w:eastAsia="宋体" w:cs="宋体"/>
                      <w:spacing w:val="11"/>
                      <w:sz w:val="23"/>
                      <w:szCs w:val="23"/>
                    </w:rPr>
                    <w:t>某</w:t>
                  </w:r>
                  <w:r>
                    <w:rPr>
                      <w:rFonts w:ascii="宋体" w:hAnsi="宋体" w:eastAsia="宋体" w:cs="宋体"/>
                      <w:spacing w:val="6"/>
                      <w:sz w:val="23"/>
                      <w:szCs w:val="23"/>
                    </w:rPr>
                    <w:t>污染物标准值</w:t>
                  </w:r>
                </w:p>
              </w:txbxContent>
            </v:textbox>
          </v:shape>
        </w:pict>
      </w:r>
      <w:r>
        <w:rPr>
          <w:rFonts w:ascii="宋体" w:hAnsi="宋体" w:eastAsia="宋体" w:cs="宋体"/>
          <w:spacing w:val="9"/>
          <w:position w:val="-7"/>
          <w:sz w:val="23"/>
          <w:szCs w:val="23"/>
        </w:rPr>
        <w:t>超</w:t>
      </w:r>
      <w:r>
        <w:rPr>
          <w:rFonts w:ascii="宋体" w:hAnsi="宋体" w:eastAsia="宋体" w:cs="宋体"/>
          <w:spacing w:val="7"/>
          <w:position w:val="-7"/>
          <w:sz w:val="23"/>
          <w:szCs w:val="23"/>
        </w:rPr>
        <w:t>标倍数</w:t>
      </w:r>
      <w:r>
        <w:rPr>
          <w:rFonts w:ascii="Times New Roman" w:hAnsi="Times New Roman" w:eastAsia="Times New Roman" w:cs="Times New Roman"/>
          <w:spacing w:val="7"/>
          <w:position w:val="-7"/>
          <w:sz w:val="23"/>
          <w:szCs w:val="23"/>
        </w:rPr>
        <w:t>=</w:t>
      </w:r>
      <w:r>
        <w:rPr>
          <w:rFonts w:ascii="宋体" w:hAnsi="宋体" w:eastAsia="宋体" w:cs="宋体"/>
          <w:spacing w:val="7"/>
          <w:position w:val="7"/>
          <w:sz w:val="23"/>
          <w:szCs w:val="23"/>
          <w:u w:val="single" w:color="auto"/>
        </w:rPr>
        <w:t>某污染物统计值</w:t>
      </w:r>
      <w:r>
        <w:rPr>
          <w:rFonts w:ascii="宋体" w:hAnsi="宋体" w:eastAsia="宋体" w:cs="宋体"/>
          <w:spacing w:val="7"/>
          <w:position w:val="7"/>
          <w:sz w:val="23"/>
          <w:szCs w:val="23"/>
        </w:rPr>
        <w:t xml:space="preserve"> </w:t>
      </w:r>
      <w:r>
        <w:rPr>
          <w:rFonts w:ascii="宋体" w:hAnsi="宋体" w:eastAsia="宋体" w:cs="宋体"/>
          <w:spacing w:val="7"/>
          <w:position w:val="-7"/>
          <w:sz w:val="23"/>
          <w:szCs w:val="23"/>
        </w:rPr>
        <w:t>－</w:t>
      </w:r>
      <w:r>
        <w:rPr>
          <w:rFonts w:ascii="Times New Roman" w:hAnsi="Times New Roman" w:eastAsia="Times New Roman" w:cs="Times New Roman"/>
          <w:spacing w:val="7"/>
          <w:position w:val="-7"/>
          <w:sz w:val="23"/>
          <w:szCs w:val="23"/>
        </w:rPr>
        <w:t>1</w:t>
      </w:r>
    </w:p>
    <w:p w14:paraId="14F73101">
      <w:pPr>
        <w:spacing w:line="268" w:lineRule="auto"/>
        <w:rPr>
          <w:rFonts w:ascii="Arial"/>
          <w:sz w:val="21"/>
        </w:rPr>
      </w:pPr>
    </w:p>
    <w:p w14:paraId="509C7A4C">
      <w:pPr>
        <w:spacing w:line="269" w:lineRule="auto"/>
        <w:rPr>
          <w:rFonts w:ascii="Arial"/>
          <w:sz w:val="21"/>
        </w:rPr>
      </w:pPr>
    </w:p>
    <w:p w14:paraId="5063D664">
      <w:pPr>
        <w:spacing w:before="74" w:line="226" w:lineRule="auto"/>
        <w:ind w:left="596"/>
        <w:rPr>
          <w:rFonts w:ascii="宋体" w:hAnsi="宋体" w:eastAsia="宋体" w:cs="宋体"/>
          <w:sz w:val="23"/>
          <w:szCs w:val="23"/>
        </w:rPr>
      </w:pPr>
      <w:r>
        <w:rPr>
          <w:rFonts w:ascii="宋体" w:hAnsi="宋体" w:eastAsia="宋体" w:cs="宋体"/>
          <w:spacing w:val="9"/>
          <w:sz w:val="23"/>
          <w:szCs w:val="23"/>
        </w:rPr>
        <w:t>采用单向标准指数法进行评价，其公式为：</w:t>
      </w:r>
    </w:p>
    <w:p w14:paraId="6E5D4343">
      <w:pPr>
        <w:spacing w:before="167" w:line="323" w:lineRule="exact"/>
        <w:ind w:left="3915"/>
        <w:rPr>
          <w:rFonts w:ascii="Times New Roman" w:hAnsi="Times New Roman" w:eastAsia="Times New Roman" w:cs="Times New Roman"/>
          <w:sz w:val="15"/>
          <w:szCs w:val="15"/>
        </w:rPr>
      </w:pPr>
      <w:r>
        <w:rPr>
          <w:rFonts w:ascii="Times New Roman" w:hAnsi="Times New Roman" w:eastAsia="Times New Roman" w:cs="Times New Roman"/>
          <w:position w:val="2"/>
          <w:sz w:val="23"/>
          <w:szCs w:val="23"/>
        </w:rPr>
        <w:t>I</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12"/>
          <w:position w:val="2"/>
          <w:sz w:val="23"/>
          <w:szCs w:val="23"/>
        </w:rPr>
        <w:t>=</w:t>
      </w:r>
      <w:r>
        <w:rPr>
          <w:rFonts w:ascii="Times New Roman" w:hAnsi="Times New Roman" w:eastAsia="Times New Roman" w:cs="Times New Roman"/>
          <w:position w:val="2"/>
          <w:sz w:val="23"/>
          <w:szCs w:val="23"/>
        </w:rPr>
        <w:t>C</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11"/>
          <w:position w:val="2"/>
          <w:sz w:val="23"/>
          <w:szCs w:val="23"/>
        </w:rPr>
        <w:t>/</w:t>
      </w:r>
      <w:r>
        <w:rPr>
          <w:rFonts w:ascii="Times New Roman" w:hAnsi="Times New Roman" w:eastAsia="Times New Roman" w:cs="Times New Roman"/>
          <w:position w:val="2"/>
          <w:sz w:val="23"/>
          <w:szCs w:val="23"/>
        </w:rPr>
        <w:t>S</w:t>
      </w:r>
      <w:r>
        <w:rPr>
          <w:rFonts w:ascii="Times New Roman" w:hAnsi="Times New Roman" w:eastAsia="Times New Roman" w:cs="Times New Roman"/>
          <w:position w:val="1"/>
          <w:sz w:val="15"/>
          <w:szCs w:val="15"/>
        </w:rPr>
        <w:t>i</w:t>
      </w:r>
    </w:p>
    <w:p w14:paraId="5ED62F77">
      <w:pPr>
        <w:spacing w:before="289" w:line="323" w:lineRule="exact"/>
        <w:ind w:left="602"/>
        <w:rPr>
          <w:rFonts w:ascii="宋体" w:hAnsi="宋体" w:eastAsia="宋体" w:cs="宋体"/>
          <w:sz w:val="23"/>
          <w:szCs w:val="23"/>
        </w:rPr>
      </w:pPr>
      <w:r>
        <w:rPr>
          <w:rFonts w:ascii="宋体" w:hAnsi="宋体" w:eastAsia="宋体" w:cs="宋体"/>
          <w:spacing w:val="24"/>
          <w:position w:val="1"/>
          <w:sz w:val="23"/>
          <w:szCs w:val="23"/>
        </w:rPr>
        <w:t>式</w:t>
      </w:r>
      <w:r>
        <w:rPr>
          <w:rFonts w:ascii="宋体" w:hAnsi="宋体" w:eastAsia="宋体" w:cs="宋体"/>
          <w:spacing w:val="12"/>
          <w:position w:val="1"/>
          <w:sz w:val="23"/>
          <w:szCs w:val="23"/>
        </w:rPr>
        <w:t>中：</w:t>
      </w:r>
      <w:r>
        <w:rPr>
          <w:rFonts w:ascii="Times New Roman" w:hAnsi="Times New Roman" w:eastAsia="Times New Roman" w:cs="Times New Roman"/>
          <w:position w:val="1"/>
          <w:sz w:val="23"/>
          <w:szCs w:val="23"/>
        </w:rPr>
        <w:t>I</w:t>
      </w:r>
      <w:r>
        <w:rPr>
          <w:rFonts w:ascii="Times New Roman" w:hAnsi="Times New Roman" w:eastAsia="Times New Roman" w:cs="Times New Roman"/>
          <w:sz w:val="15"/>
          <w:szCs w:val="15"/>
        </w:rPr>
        <w:t>i</w:t>
      </w:r>
      <w:r>
        <w:rPr>
          <w:rFonts w:ascii="Times New Roman" w:hAnsi="Times New Roman" w:eastAsia="Times New Roman" w:cs="Times New Roman"/>
          <w:spacing w:val="12"/>
          <w:sz w:val="15"/>
          <w:szCs w:val="15"/>
        </w:rPr>
        <w:t xml:space="preserve"> </w:t>
      </w:r>
      <w:r>
        <w:rPr>
          <w:rFonts w:ascii="Times New Roman" w:hAnsi="Times New Roman" w:eastAsia="Times New Roman" w:cs="Times New Roman"/>
          <w:spacing w:val="12"/>
          <w:position w:val="1"/>
          <w:sz w:val="23"/>
          <w:szCs w:val="23"/>
        </w:rPr>
        <w:t>——</w:t>
      </w:r>
      <w:r>
        <w:rPr>
          <w:rFonts w:ascii="宋体" w:hAnsi="宋体" w:eastAsia="宋体" w:cs="宋体"/>
          <w:spacing w:val="12"/>
          <w:position w:val="1"/>
          <w:sz w:val="23"/>
          <w:szCs w:val="23"/>
        </w:rPr>
        <w:t>污染物</w:t>
      </w:r>
      <w:r>
        <w:rPr>
          <w:rFonts w:ascii="Times New Roman" w:hAnsi="Times New Roman" w:eastAsia="Times New Roman" w:cs="Times New Roman"/>
          <w:position w:val="1"/>
          <w:sz w:val="23"/>
          <w:szCs w:val="23"/>
        </w:rPr>
        <w:t>i</w:t>
      </w:r>
      <w:r>
        <w:rPr>
          <w:rFonts w:ascii="Times New Roman" w:hAnsi="Times New Roman" w:eastAsia="Times New Roman" w:cs="Times New Roman"/>
          <w:spacing w:val="12"/>
          <w:position w:val="1"/>
          <w:sz w:val="23"/>
          <w:szCs w:val="23"/>
        </w:rPr>
        <w:t xml:space="preserve"> </w:t>
      </w:r>
      <w:r>
        <w:rPr>
          <w:rFonts w:ascii="宋体" w:hAnsi="宋体" w:eastAsia="宋体" w:cs="宋体"/>
          <w:spacing w:val="12"/>
          <w:position w:val="1"/>
          <w:sz w:val="23"/>
          <w:szCs w:val="23"/>
        </w:rPr>
        <w:t>的单项质量指数；</w:t>
      </w:r>
    </w:p>
    <w:p w14:paraId="1CC884F8">
      <w:pPr>
        <w:spacing w:before="157" w:line="480" w:lineRule="exact"/>
        <w:ind w:left="1316"/>
        <w:rPr>
          <w:rFonts w:ascii="宋体" w:hAnsi="宋体" w:eastAsia="宋体" w:cs="宋体"/>
          <w:sz w:val="23"/>
          <w:szCs w:val="23"/>
        </w:rPr>
      </w:pPr>
      <w:r>
        <w:rPr>
          <w:rFonts w:ascii="Times New Roman" w:hAnsi="Times New Roman" w:eastAsia="Times New Roman" w:cs="Times New Roman"/>
          <w:position w:val="15"/>
          <w:sz w:val="23"/>
          <w:szCs w:val="23"/>
        </w:rPr>
        <w:t>C</w:t>
      </w:r>
      <w:r>
        <w:rPr>
          <w:rFonts w:ascii="Times New Roman" w:hAnsi="Times New Roman" w:eastAsia="Times New Roman" w:cs="Times New Roman"/>
          <w:position w:val="14"/>
          <w:sz w:val="15"/>
          <w:szCs w:val="15"/>
        </w:rPr>
        <w:t>i</w:t>
      </w:r>
      <w:r>
        <w:rPr>
          <w:rFonts w:ascii="Times New Roman" w:hAnsi="Times New Roman" w:eastAsia="Times New Roman" w:cs="Times New Roman"/>
          <w:spacing w:val="10"/>
          <w:position w:val="14"/>
          <w:sz w:val="15"/>
          <w:szCs w:val="15"/>
        </w:rPr>
        <w:t xml:space="preserve"> </w:t>
      </w:r>
      <w:r>
        <w:rPr>
          <w:rFonts w:ascii="Times New Roman" w:hAnsi="Times New Roman" w:eastAsia="Times New Roman" w:cs="Times New Roman"/>
          <w:spacing w:val="10"/>
          <w:position w:val="15"/>
          <w:sz w:val="23"/>
          <w:szCs w:val="23"/>
        </w:rPr>
        <w:t>——</w:t>
      </w:r>
      <w:r>
        <w:rPr>
          <w:rFonts w:ascii="宋体" w:hAnsi="宋体" w:eastAsia="宋体" w:cs="宋体"/>
          <w:spacing w:val="10"/>
          <w:position w:val="15"/>
          <w:sz w:val="23"/>
          <w:szCs w:val="23"/>
        </w:rPr>
        <w:t>污染物</w:t>
      </w:r>
      <w:r>
        <w:rPr>
          <w:rFonts w:ascii="Times New Roman" w:hAnsi="Times New Roman" w:eastAsia="Times New Roman" w:cs="Times New Roman"/>
          <w:position w:val="15"/>
          <w:sz w:val="23"/>
          <w:szCs w:val="23"/>
        </w:rPr>
        <w:t>i</w:t>
      </w:r>
      <w:r>
        <w:rPr>
          <w:rFonts w:ascii="Times New Roman" w:hAnsi="Times New Roman" w:eastAsia="Times New Roman" w:cs="Times New Roman"/>
          <w:spacing w:val="10"/>
          <w:position w:val="15"/>
          <w:sz w:val="23"/>
          <w:szCs w:val="23"/>
        </w:rPr>
        <w:t xml:space="preserve"> </w:t>
      </w:r>
      <w:r>
        <w:rPr>
          <w:rFonts w:ascii="宋体" w:hAnsi="宋体" w:eastAsia="宋体" w:cs="宋体"/>
          <w:spacing w:val="10"/>
          <w:position w:val="15"/>
          <w:sz w:val="23"/>
          <w:szCs w:val="23"/>
        </w:rPr>
        <w:t>的实测浓度平均值 (</w:t>
      </w:r>
      <w:r>
        <w:rPr>
          <w:rFonts w:ascii="Times New Roman" w:hAnsi="Times New Roman" w:eastAsia="Times New Roman" w:cs="Times New Roman"/>
          <w:position w:val="15"/>
          <w:sz w:val="23"/>
          <w:szCs w:val="23"/>
        </w:rPr>
        <w:t>mg</w:t>
      </w:r>
      <w:r>
        <w:rPr>
          <w:rFonts w:ascii="Times New Roman" w:hAnsi="Times New Roman" w:eastAsia="Times New Roman" w:cs="Times New Roman"/>
          <w:spacing w:val="10"/>
          <w:position w:val="15"/>
          <w:sz w:val="23"/>
          <w:szCs w:val="23"/>
        </w:rPr>
        <w:t>/</w:t>
      </w:r>
      <w:r>
        <w:rPr>
          <w:rFonts w:ascii="Times New Roman" w:hAnsi="Times New Roman" w:eastAsia="Times New Roman" w:cs="Times New Roman"/>
          <w:position w:val="15"/>
          <w:sz w:val="23"/>
          <w:szCs w:val="23"/>
        </w:rPr>
        <w:t>m</w:t>
      </w:r>
      <w:r>
        <w:rPr>
          <w:rFonts w:ascii="Times New Roman" w:hAnsi="Times New Roman" w:eastAsia="Times New Roman" w:cs="Times New Roman"/>
          <w:spacing w:val="10"/>
          <w:position w:val="23"/>
          <w:sz w:val="15"/>
          <w:szCs w:val="15"/>
        </w:rPr>
        <w:t xml:space="preserve">3 </w:t>
      </w:r>
      <w:r>
        <w:rPr>
          <w:rFonts w:ascii="宋体" w:hAnsi="宋体" w:eastAsia="宋体" w:cs="宋体"/>
          <w:spacing w:val="10"/>
          <w:position w:val="15"/>
          <w:sz w:val="23"/>
          <w:szCs w:val="23"/>
        </w:rPr>
        <w:t xml:space="preserve">) </w:t>
      </w:r>
      <w:r>
        <w:rPr>
          <w:rFonts w:ascii="宋体" w:hAnsi="宋体" w:eastAsia="宋体" w:cs="宋体"/>
          <w:spacing w:val="6"/>
          <w:position w:val="15"/>
          <w:sz w:val="23"/>
          <w:szCs w:val="23"/>
        </w:rPr>
        <w:t>；</w:t>
      </w:r>
    </w:p>
    <w:p w14:paraId="299F205B">
      <w:pPr>
        <w:spacing w:line="323" w:lineRule="exact"/>
        <w:ind w:left="1323"/>
        <w:rPr>
          <w:rFonts w:ascii="宋体" w:hAnsi="宋体" w:eastAsia="宋体" w:cs="宋体"/>
          <w:sz w:val="23"/>
          <w:szCs w:val="23"/>
        </w:rPr>
      </w:pPr>
      <w:r>
        <w:rPr>
          <w:rFonts w:ascii="Times New Roman" w:hAnsi="Times New Roman" w:eastAsia="Times New Roman" w:cs="Times New Roman"/>
          <w:position w:val="3"/>
          <w:sz w:val="23"/>
          <w:szCs w:val="23"/>
        </w:rPr>
        <w:t>S</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18"/>
          <w:position w:val="2"/>
          <w:sz w:val="15"/>
          <w:szCs w:val="15"/>
        </w:rPr>
        <w:t xml:space="preserve"> </w:t>
      </w:r>
      <w:r>
        <w:rPr>
          <w:rFonts w:ascii="Times New Roman" w:hAnsi="Times New Roman" w:eastAsia="Times New Roman" w:cs="Times New Roman"/>
          <w:spacing w:val="13"/>
          <w:position w:val="3"/>
          <w:sz w:val="23"/>
          <w:szCs w:val="23"/>
        </w:rPr>
        <w:t>—</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污染物</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9"/>
          <w:position w:val="3"/>
          <w:sz w:val="23"/>
          <w:szCs w:val="23"/>
        </w:rPr>
        <w:t xml:space="preserve"> </w:t>
      </w:r>
      <w:r>
        <w:rPr>
          <w:rFonts w:ascii="宋体" w:hAnsi="宋体" w:eastAsia="宋体" w:cs="宋体"/>
          <w:spacing w:val="9"/>
          <w:position w:val="3"/>
          <w:sz w:val="23"/>
          <w:szCs w:val="23"/>
        </w:rPr>
        <w:t>的环境空气质量标准 (</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9"/>
          <w:position w:val="11"/>
          <w:sz w:val="15"/>
          <w:szCs w:val="15"/>
        </w:rPr>
        <w:t xml:space="preserve">3 </w:t>
      </w:r>
      <w:r>
        <w:rPr>
          <w:rFonts w:ascii="宋体" w:hAnsi="宋体" w:eastAsia="宋体" w:cs="宋体"/>
          <w:spacing w:val="9"/>
          <w:position w:val="3"/>
          <w:sz w:val="23"/>
          <w:szCs w:val="23"/>
        </w:rPr>
        <w:t>) 。</w:t>
      </w:r>
    </w:p>
    <w:p w14:paraId="31483293">
      <w:pPr>
        <w:spacing w:line="279" w:lineRule="auto"/>
        <w:rPr>
          <w:rFonts w:ascii="Arial"/>
          <w:sz w:val="21"/>
        </w:rPr>
      </w:pPr>
    </w:p>
    <w:p w14:paraId="3355D7EA">
      <w:pPr>
        <w:spacing w:before="75" w:line="226"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评价结</w:t>
      </w:r>
      <w:r>
        <w:rPr>
          <w:rFonts w:ascii="宋体" w:hAnsi="宋体" w:eastAsia="宋体" w:cs="宋体"/>
          <w:spacing w:val="19"/>
          <w:sz w:val="23"/>
          <w:szCs w:val="23"/>
        </w:rPr>
        <w:t>果</w:t>
      </w:r>
    </w:p>
    <w:p w14:paraId="1826CE8E">
      <w:pPr>
        <w:spacing w:line="279" w:lineRule="auto"/>
        <w:rPr>
          <w:rFonts w:ascii="Arial"/>
          <w:sz w:val="21"/>
        </w:rPr>
      </w:pPr>
    </w:p>
    <w:p w14:paraId="636AD861">
      <w:pPr>
        <w:spacing w:before="76" w:line="390" w:lineRule="auto"/>
        <w:ind w:left="121" w:right="107" w:firstLine="475"/>
        <w:rPr>
          <w:rFonts w:ascii="宋体" w:hAnsi="宋体" w:eastAsia="宋体" w:cs="宋体"/>
          <w:sz w:val="23"/>
          <w:szCs w:val="23"/>
        </w:rPr>
      </w:pPr>
      <w:r>
        <w:rPr>
          <w:rFonts w:ascii="宋体" w:hAnsi="宋体" w:eastAsia="宋体" w:cs="宋体"/>
          <w:spacing w:val="7"/>
          <w:sz w:val="23"/>
          <w:szCs w:val="23"/>
        </w:rPr>
        <w:t>对照评价标准，对现状监测结果进行计算、统计、整理及分析，统计各类</w:t>
      </w:r>
      <w:r>
        <w:rPr>
          <w:rFonts w:ascii="宋体" w:hAnsi="宋体" w:eastAsia="宋体" w:cs="宋体"/>
          <w:spacing w:val="3"/>
          <w:sz w:val="23"/>
          <w:szCs w:val="23"/>
        </w:rPr>
        <w:t>污</w:t>
      </w:r>
      <w:r>
        <w:rPr>
          <w:rFonts w:ascii="宋体" w:hAnsi="宋体" w:eastAsia="宋体" w:cs="宋体"/>
          <w:sz w:val="23"/>
          <w:szCs w:val="23"/>
        </w:rPr>
        <w:t xml:space="preserve"> </w:t>
      </w:r>
      <w:r>
        <w:rPr>
          <w:rFonts w:ascii="宋体" w:hAnsi="宋体" w:eastAsia="宋体" w:cs="宋体"/>
          <w:spacing w:val="7"/>
          <w:sz w:val="23"/>
          <w:szCs w:val="23"/>
        </w:rPr>
        <w:t>染物日平均浓度单因子指数、超标率和超标倍数。项目环境空气质量现状评价</w:t>
      </w:r>
      <w:r>
        <w:rPr>
          <w:rFonts w:ascii="宋体" w:hAnsi="宋体" w:eastAsia="宋体" w:cs="宋体"/>
          <w:spacing w:val="5"/>
          <w:sz w:val="23"/>
          <w:szCs w:val="23"/>
        </w:rPr>
        <w:t>结</w:t>
      </w:r>
      <w:r>
        <w:rPr>
          <w:rFonts w:ascii="宋体" w:hAnsi="宋体" w:eastAsia="宋体" w:cs="宋体"/>
          <w:sz w:val="23"/>
          <w:szCs w:val="23"/>
        </w:rPr>
        <w:t xml:space="preserve"> </w:t>
      </w:r>
      <w:r>
        <w:rPr>
          <w:rFonts w:ascii="宋体" w:hAnsi="宋体" w:eastAsia="宋体" w:cs="宋体"/>
          <w:spacing w:val="-5"/>
          <w:sz w:val="23"/>
          <w:szCs w:val="23"/>
        </w:rPr>
        <w:t>果</w:t>
      </w:r>
      <w:r>
        <w:rPr>
          <w:rFonts w:ascii="宋体" w:hAnsi="宋体" w:eastAsia="宋体" w:cs="宋体"/>
          <w:spacing w:val="-3"/>
          <w:sz w:val="23"/>
          <w:szCs w:val="23"/>
        </w:rPr>
        <w:t xml:space="preserve">见表 </w:t>
      </w:r>
      <w:r>
        <w:rPr>
          <w:rFonts w:ascii="Times New Roman" w:hAnsi="Times New Roman" w:eastAsia="Times New Roman" w:cs="Times New Roman"/>
          <w:spacing w:val="-3"/>
          <w:sz w:val="23"/>
          <w:szCs w:val="23"/>
        </w:rPr>
        <w:t>4-8</w:t>
      </w:r>
      <w:r>
        <w:rPr>
          <w:rFonts w:ascii="宋体" w:hAnsi="宋体" w:eastAsia="宋体" w:cs="宋体"/>
          <w:spacing w:val="-3"/>
          <w:sz w:val="23"/>
          <w:szCs w:val="23"/>
        </w:rPr>
        <w:t>。</w:t>
      </w:r>
    </w:p>
    <w:p w14:paraId="6E69D7EB">
      <w:pPr>
        <w:spacing w:before="137" w:line="227" w:lineRule="auto"/>
        <w:ind w:left="1498"/>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4-8</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非甲烷总烃环境空气日均值监测结果统计表</w:t>
      </w:r>
    </w:p>
    <w:p w14:paraId="59EC737A">
      <w:pPr>
        <w:spacing w:line="18"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6"/>
        <w:gridCol w:w="1617"/>
        <w:gridCol w:w="1558"/>
        <w:gridCol w:w="1274"/>
        <w:gridCol w:w="1324"/>
        <w:gridCol w:w="1562"/>
      </w:tblGrid>
      <w:tr w14:paraId="12301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6" w:type="dxa"/>
            <w:tcBorders>
              <w:left w:val="nil"/>
            </w:tcBorders>
            <w:vAlign w:val="top"/>
          </w:tcPr>
          <w:p w14:paraId="02E2163B">
            <w:pPr>
              <w:spacing w:before="75" w:line="229" w:lineRule="auto"/>
              <w:ind w:left="18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1617" w:type="dxa"/>
            <w:vAlign w:val="top"/>
          </w:tcPr>
          <w:p w14:paraId="5C60731F">
            <w:pPr>
              <w:spacing w:before="75" w:line="228" w:lineRule="auto"/>
              <w:ind w:left="5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小时</w:t>
            </w:r>
            <w:r>
              <w:rPr>
                <w:rFonts w:ascii="宋体" w:hAnsi="宋体" w:eastAsia="宋体" w:cs="宋体"/>
                <w:spacing w:val="5"/>
                <w:sz w:val="20"/>
                <w:szCs w:val="20"/>
                <w14:textOutline w14:w="3795" w14:cap="sq" w14:cmpd="sng">
                  <w14:solidFill>
                    <w14:srgbClr w14:val="000000"/>
                  </w14:solidFill>
                  <w14:prstDash w14:val="solid"/>
                  <w14:bevel/>
                </w14:textOutline>
              </w:rPr>
              <w:t>值</w:t>
            </w:r>
          </w:p>
        </w:tc>
        <w:tc>
          <w:tcPr>
            <w:tcW w:w="1558" w:type="dxa"/>
            <w:vAlign w:val="top"/>
          </w:tcPr>
          <w:p w14:paraId="2AB215D9">
            <w:pPr>
              <w:spacing w:before="75" w:line="228" w:lineRule="auto"/>
              <w:ind w:left="1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标准指数范</w:t>
            </w:r>
            <w:r>
              <w:rPr>
                <w:rFonts w:ascii="宋体" w:hAnsi="宋体" w:eastAsia="宋体" w:cs="宋体"/>
                <w:spacing w:val="8"/>
                <w:sz w:val="20"/>
                <w:szCs w:val="20"/>
                <w14:textOutline w14:w="3795" w14:cap="sq" w14:cmpd="sng">
                  <w14:solidFill>
                    <w14:srgbClr w14:val="000000"/>
                  </w14:solidFill>
                  <w14:prstDash w14:val="solid"/>
                  <w14:bevel/>
                </w14:textOutline>
              </w:rPr>
              <w:t>围</w:t>
            </w:r>
          </w:p>
        </w:tc>
        <w:tc>
          <w:tcPr>
            <w:tcW w:w="1274" w:type="dxa"/>
            <w:vAlign w:val="top"/>
          </w:tcPr>
          <w:p w14:paraId="5DBA5C19">
            <w:pPr>
              <w:spacing w:before="34" w:line="289" w:lineRule="exact"/>
              <w:ind w:left="115"/>
              <w:rPr>
                <w:rFonts w:ascii="宋体" w:hAnsi="宋体" w:eastAsia="宋体" w:cs="宋体"/>
                <w:sz w:val="20"/>
                <w:szCs w:val="20"/>
              </w:rPr>
            </w:pPr>
            <w:r>
              <w:rPr>
                <w:rFonts w:ascii="宋体" w:hAnsi="宋体" w:eastAsia="宋体" w:cs="宋体"/>
                <w:spacing w:val="7"/>
                <w:position w:val="1"/>
                <w:sz w:val="20"/>
                <w:szCs w:val="20"/>
                <w14:textOutline w14:w="3795" w14:cap="sq" w14:cmpd="sng">
                  <w14:solidFill>
                    <w14:srgbClr w14:val="000000"/>
                  </w14:solidFill>
                  <w14:prstDash w14:val="solid"/>
                  <w14:bevel/>
                </w14:textOutline>
              </w:rPr>
              <w:t>检出率(</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95" w14:cap="sq" w14:cmpd="sng">
                  <w14:solidFill>
                    <w14:srgbClr w14:val="000000"/>
                  </w14:solidFill>
                  <w14:prstDash w14:val="solid"/>
                  <w14:bevel/>
                </w14:textOutline>
              </w:rPr>
              <w:t>)</w:t>
            </w:r>
          </w:p>
        </w:tc>
        <w:tc>
          <w:tcPr>
            <w:tcW w:w="1324" w:type="dxa"/>
            <w:vAlign w:val="top"/>
          </w:tcPr>
          <w:p w14:paraId="41719E88">
            <w:pPr>
              <w:spacing w:before="34" w:line="289" w:lineRule="exact"/>
              <w:ind w:left="115"/>
              <w:rPr>
                <w:rFonts w:ascii="宋体" w:hAnsi="宋体" w:eastAsia="宋体" w:cs="宋体"/>
                <w:sz w:val="20"/>
                <w:szCs w:val="20"/>
              </w:rPr>
            </w:pPr>
            <w:r>
              <w:rPr>
                <w:rFonts w:ascii="宋体" w:hAnsi="宋体" w:eastAsia="宋体" w:cs="宋体"/>
                <w:spacing w:val="-1"/>
                <w:position w:val="1"/>
                <w:sz w:val="20"/>
                <w:szCs w:val="20"/>
                <w14:textOutline w14:w="3795" w14:cap="sq" w14:cmpd="sng">
                  <w14:solidFill>
                    <w14:srgbClr w14:val="000000"/>
                  </w14:solidFill>
                  <w14:prstDash w14:val="solid"/>
                  <w14:bevel/>
                </w14:textOutline>
              </w:rPr>
              <w:t>超标率</w:t>
            </w:r>
            <w:r>
              <w:rPr>
                <w:rFonts w:ascii="宋体" w:hAnsi="宋体" w:eastAsia="宋体" w:cs="宋体"/>
                <w:spacing w:val="-1"/>
                <w:position w:val="1"/>
                <w:sz w:val="20"/>
                <w:szCs w:val="20"/>
              </w:rPr>
              <w:t xml:space="preserve"> </w:t>
            </w:r>
            <w:r>
              <w:rPr>
                <w:rFonts w:ascii="宋体" w:hAnsi="宋体" w:eastAsia="宋体" w:cs="宋体"/>
                <w:spacing w:val="-1"/>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position w:val="1"/>
                <w:sz w:val="20"/>
                <w:szCs w:val="20"/>
              </w:rPr>
              <w:t>%</w:t>
            </w:r>
            <w:r>
              <w:rPr>
                <w:rFonts w:ascii="宋体" w:hAnsi="宋体" w:eastAsia="宋体" w:cs="宋体"/>
                <w:spacing w:val="-1"/>
                <w:position w:val="1"/>
                <w:sz w:val="20"/>
                <w:szCs w:val="20"/>
                <w14:textOutline w14:w="3795" w14:cap="sq" w14:cmpd="sng">
                  <w14:solidFill>
                    <w14:srgbClr w14:val="000000"/>
                  </w14:solidFill>
                  <w14:prstDash w14:val="solid"/>
                  <w14:bevel/>
                </w14:textOutline>
              </w:rPr>
              <w:t>)</w:t>
            </w:r>
          </w:p>
        </w:tc>
        <w:tc>
          <w:tcPr>
            <w:tcW w:w="1562" w:type="dxa"/>
            <w:tcBorders>
              <w:right w:val="nil"/>
            </w:tcBorders>
            <w:vAlign w:val="top"/>
          </w:tcPr>
          <w:p w14:paraId="09ECFEEC">
            <w:pPr>
              <w:spacing w:before="75" w:line="228" w:lineRule="auto"/>
              <w:ind w:left="16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最</w:t>
            </w:r>
            <w:r>
              <w:rPr>
                <w:rFonts w:ascii="宋体" w:hAnsi="宋体" w:eastAsia="宋体" w:cs="宋体"/>
                <w:spacing w:val="8"/>
                <w:sz w:val="20"/>
                <w:szCs w:val="20"/>
                <w14:textOutline w14:w="3795" w14:cap="sq" w14:cmpd="sng">
                  <w14:solidFill>
                    <w14:srgbClr w14:val="000000"/>
                  </w14:solidFill>
                  <w14:prstDash w14:val="solid"/>
                  <w14:bevel/>
                </w14:textOutline>
              </w:rPr>
              <w:t>大超标倍数</w:t>
            </w:r>
          </w:p>
        </w:tc>
      </w:tr>
      <w:tr w14:paraId="42B2C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1186" w:type="dxa"/>
            <w:tcBorders>
              <w:left w:val="nil"/>
            </w:tcBorders>
            <w:vAlign w:val="top"/>
          </w:tcPr>
          <w:p w14:paraId="7AC8EC9C">
            <w:pPr>
              <w:spacing w:before="52" w:line="263" w:lineRule="exact"/>
              <w:ind w:left="458"/>
              <w:rPr>
                <w:rFonts w:ascii="宋体" w:hAnsi="宋体" w:eastAsia="宋体" w:cs="宋体"/>
                <w:sz w:val="20"/>
                <w:szCs w:val="20"/>
              </w:rPr>
            </w:pPr>
            <w:r>
              <w:rPr>
                <w:rFonts w:ascii="Times New Roman" w:hAnsi="Times New Roman" w:eastAsia="Times New Roman" w:cs="Times New Roman"/>
                <w:spacing w:val="-10"/>
                <w:position w:val="1"/>
                <w:sz w:val="20"/>
                <w:szCs w:val="20"/>
              </w:rPr>
              <w:t>1</w:t>
            </w:r>
            <w:r>
              <w:rPr>
                <w:rFonts w:ascii="宋体" w:hAnsi="宋体" w:eastAsia="宋体" w:cs="宋体"/>
                <w:spacing w:val="-10"/>
                <w:position w:val="1"/>
                <w:sz w:val="20"/>
                <w:szCs w:val="20"/>
              </w:rPr>
              <w:t>＃</w:t>
            </w:r>
          </w:p>
        </w:tc>
        <w:tc>
          <w:tcPr>
            <w:tcW w:w="1617" w:type="dxa"/>
            <w:vAlign w:val="top"/>
          </w:tcPr>
          <w:p w14:paraId="1BEE1B58">
            <w:pPr>
              <w:spacing w:before="88"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 10~ 1.6</w:t>
            </w:r>
            <w:r>
              <w:rPr>
                <w:rFonts w:ascii="Times New Roman" w:hAnsi="Times New Roman" w:eastAsia="Times New Roman" w:cs="Times New Roman"/>
                <w:spacing w:val="-7"/>
                <w:sz w:val="20"/>
                <w:szCs w:val="20"/>
              </w:rPr>
              <w:t>2</w:t>
            </w:r>
          </w:p>
        </w:tc>
        <w:tc>
          <w:tcPr>
            <w:tcW w:w="1558" w:type="dxa"/>
            <w:vAlign w:val="top"/>
          </w:tcPr>
          <w:p w14:paraId="7B06B8AD">
            <w:pPr>
              <w:spacing w:before="8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55~0.81</w:t>
            </w:r>
          </w:p>
        </w:tc>
        <w:tc>
          <w:tcPr>
            <w:tcW w:w="1274" w:type="dxa"/>
            <w:vAlign w:val="top"/>
          </w:tcPr>
          <w:p w14:paraId="26EB0E69">
            <w:pPr>
              <w:spacing w:before="88"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24" w:type="dxa"/>
            <w:vAlign w:val="top"/>
          </w:tcPr>
          <w:p w14:paraId="3FF1DA96">
            <w:pPr>
              <w:spacing w:before="88"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62" w:type="dxa"/>
            <w:tcBorders>
              <w:right w:val="nil"/>
            </w:tcBorders>
            <w:vAlign w:val="top"/>
          </w:tcPr>
          <w:p w14:paraId="4F0F529A">
            <w:pPr>
              <w:spacing w:before="176" w:line="136" w:lineRule="exact"/>
              <w:ind w:left="75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14:paraId="7C0DD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6" w:type="dxa"/>
            <w:tcBorders>
              <w:left w:val="nil"/>
            </w:tcBorders>
            <w:vAlign w:val="top"/>
          </w:tcPr>
          <w:p w14:paraId="0055D5FA">
            <w:pPr>
              <w:spacing w:before="54" w:line="241" w:lineRule="auto"/>
              <w:ind w:left="438"/>
              <w:rPr>
                <w:rFonts w:ascii="宋体" w:hAnsi="宋体" w:eastAsia="宋体" w:cs="宋体"/>
                <w:sz w:val="20"/>
                <w:szCs w:val="20"/>
              </w:rPr>
            </w:pPr>
            <w:r>
              <w:rPr>
                <w:rFonts w:ascii="Times New Roman" w:hAnsi="Times New Roman" w:eastAsia="Times New Roman" w:cs="Times New Roman"/>
                <w:sz w:val="20"/>
                <w:szCs w:val="20"/>
              </w:rPr>
              <w:t>2</w:t>
            </w:r>
            <w:r>
              <w:rPr>
                <w:rFonts w:ascii="宋体" w:hAnsi="宋体" w:eastAsia="宋体" w:cs="宋体"/>
                <w:sz w:val="20"/>
                <w:szCs w:val="20"/>
              </w:rPr>
              <w:t>＃</w:t>
            </w:r>
          </w:p>
        </w:tc>
        <w:tc>
          <w:tcPr>
            <w:tcW w:w="1617" w:type="dxa"/>
            <w:vAlign w:val="top"/>
          </w:tcPr>
          <w:p w14:paraId="09508C2C">
            <w:pPr>
              <w:spacing w:before="91" w:line="198"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58~ 1.78</w:t>
            </w:r>
          </w:p>
        </w:tc>
        <w:tc>
          <w:tcPr>
            <w:tcW w:w="1558" w:type="dxa"/>
            <w:vAlign w:val="top"/>
          </w:tcPr>
          <w:p w14:paraId="5E991CDA">
            <w:pPr>
              <w:spacing w:before="91"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79~0.89</w:t>
            </w:r>
          </w:p>
        </w:tc>
        <w:tc>
          <w:tcPr>
            <w:tcW w:w="1274" w:type="dxa"/>
            <w:vAlign w:val="top"/>
          </w:tcPr>
          <w:p w14:paraId="4A1A2DF6">
            <w:pPr>
              <w:spacing w:before="91"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24" w:type="dxa"/>
            <w:vAlign w:val="top"/>
          </w:tcPr>
          <w:p w14:paraId="04AE19DB">
            <w:pPr>
              <w:spacing w:before="9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62" w:type="dxa"/>
            <w:tcBorders>
              <w:right w:val="nil"/>
            </w:tcBorders>
            <w:vAlign w:val="top"/>
          </w:tcPr>
          <w:p w14:paraId="01A42749">
            <w:pPr>
              <w:spacing w:before="179" w:line="136" w:lineRule="exact"/>
              <w:ind w:left="75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14:paraId="64A7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6" w:type="dxa"/>
            <w:tcBorders>
              <w:left w:val="nil"/>
            </w:tcBorders>
            <w:vAlign w:val="top"/>
          </w:tcPr>
          <w:p w14:paraId="0DD113F9">
            <w:pPr>
              <w:spacing w:before="56" w:line="228" w:lineRule="auto"/>
              <w:ind w:left="392"/>
              <w:rPr>
                <w:rFonts w:ascii="宋体" w:hAnsi="宋体" w:eastAsia="宋体" w:cs="宋体"/>
                <w:sz w:val="20"/>
                <w:szCs w:val="20"/>
              </w:rPr>
            </w:pPr>
            <w:r>
              <w:rPr>
                <w:rFonts w:ascii="宋体" w:hAnsi="宋体" w:eastAsia="宋体" w:cs="宋体"/>
                <w:spacing w:val="4"/>
                <w:sz w:val="20"/>
                <w:szCs w:val="20"/>
              </w:rPr>
              <w:t>标准</w:t>
            </w:r>
          </w:p>
        </w:tc>
        <w:tc>
          <w:tcPr>
            <w:tcW w:w="7335" w:type="dxa"/>
            <w:gridSpan w:val="5"/>
            <w:tcBorders>
              <w:right w:val="nil"/>
            </w:tcBorders>
            <w:vAlign w:val="top"/>
          </w:tcPr>
          <w:p w14:paraId="077703F1">
            <w:pPr>
              <w:spacing w:before="56" w:line="228" w:lineRule="auto"/>
              <w:ind w:left="1964"/>
              <w:rPr>
                <w:rFonts w:ascii="宋体" w:hAnsi="宋体" w:eastAsia="宋体" w:cs="宋体"/>
                <w:sz w:val="20"/>
                <w:szCs w:val="20"/>
              </w:rPr>
            </w:pPr>
            <w:r>
              <w:rPr>
                <w:rFonts w:ascii="Times New Roman" w:hAnsi="Times New Roman" w:eastAsia="Times New Roman" w:cs="Times New Roman"/>
                <w:spacing w:val="8"/>
                <w:sz w:val="20"/>
                <w:szCs w:val="20"/>
              </w:rPr>
              <w:t>2.0</w:t>
            </w:r>
            <w:r>
              <w:rPr>
                <w:rFonts w:ascii="宋体" w:hAnsi="宋体" w:eastAsia="宋体" w:cs="宋体"/>
                <w:spacing w:val="8"/>
                <w:sz w:val="20"/>
                <w:szCs w:val="20"/>
              </w:rPr>
              <w:t>《大气污染物综合排放标准详解》</w:t>
            </w:r>
          </w:p>
        </w:tc>
      </w:tr>
    </w:tbl>
    <w:p w14:paraId="2378E293">
      <w:pPr>
        <w:spacing w:line="258" w:lineRule="auto"/>
        <w:rPr>
          <w:rFonts w:ascii="Arial"/>
          <w:sz w:val="21"/>
        </w:rPr>
      </w:pPr>
    </w:p>
    <w:p w14:paraId="479771E2">
      <w:pPr>
        <w:spacing w:before="75" w:line="393" w:lineRule="auto"/>
        <w:ind w:left="119" w:right="122" w:firstLine="419"/>
        <w:rPr>
          <w:rFonts w:ascii="宋体" w:hAnsi="宋体" w:eastAsia="宋体" w:cs="宋体"/>
          <w:sz w:val="23"/>
          <w:szCs w:val="23"/>
        </w:rPr>
      </w:pPr>
      <w:r>
        <w:rPr>
          <w:rFonts w:ascii="宋体" w:hAnsi="宋体" w:eastAsia="宋体" w:cs="宋体"/>
          <w:spacing w:val="27"/>
          <w:sz w:val="23"/>
          <w:szCs w:val="23"/>
        </w:rPr>
        <w:t>监</w:t>
      </w:r>
      <w:r>
        <w:rPr>
          <w:rFonts w:ascii="宋体" w:hAnsi="宋体" w:eastAsia="宋体" w:cs="宋体"/>
          <w:spacing w:val="19"/>
          <w:sz w:val="23"/>
          <w:szCs w:val="23"/>
        </w:rPr>
        <w:t>测结果表明： 评价区各监测点位非甲烷总烃日均值监测结果均满足标</w:t>
      </w:r>
      <w:r>
        <w:rPr>
          <w:rFonts w:ascii="宋体" w:hAnsi="宋体" w:eastAsia="宋体" w:cs="宋体"/>
          <w:sz w:val="23"/>
          <w:szCs w:val="23"/>
        </w:rPr>
        <w:t xml:space="preserve"> </w:t>
      </w:r>
      <w:r>
        <w:rPr>
          <w:rFonts w:ascii="宋体" w:hAnsi="宋体" w:eastAsia="宋体" w:cs="宋体"/>
          <w:spacing w:val="12"/>
          <w:sz w:val="23"/>
          <w:szCs w:val="23"/>
        </w:rPr>
        <w:t>准要求， 区域环境空气质量状况良好</w:t>
      </w:r>
      <w:r>
        <w:rPr>
          <w:rFonts w:ascii="宋体" w:hAnsi="宋体" w:eastAsia="宋体" w:cs="宋体"/>
          <w:spacing w:val="9"/>
          <w:sz w:val="23"/>
          <w:szCs w:val="23"/>
        </w:rPr>
        <w:t>。</w:t>
      </w:r>
    </w:p>
    <w:p w14:paraId="7FD199FA">
      <w:pPr>
        <w:spacing w:before="86" w:line="224" w:lineRule="auto"/>
        <w:ind w:left="115"/>
        <w:outlineLvl w:val="1"/>
        <w:rPr>
          <w:rFonts w:ascii="宋体" w:hAnsi="宋体" w:eastAsia="宋体" w:cs="宋体"/>
          <w:sz w:val="29"/>
          <w:szCs w:val="29"/>
        </w:rPr>
      </w:pPr>
      <w:r>
        <w:rPr>
          <w:rFonts w:ascii="Times New Roman" w:hAnsi="Times New Roman" w:eastAsia="Times New Roman" w:cs="Times New Roman"/>
          <w:b/>
          <w:bCs/>
          <w:spacing w:val="10"/>
          <w:sz w:val="29"/>
          <w:szCs w:val="29"/>
        </w:rPr>
        <w:t>4</w:t>
      </w:r>
      <w:r>
        <w:rPr>
          <w:rFonts w:ascii="Times New Roman" w:hAnsi="Times New Roman" w:eastAsia="Times New Roman" w:cs="Times New Roman"/>
          <w:b/>
          <w:bCs/>
          <w:spacing w:val="8"/>
          <w:sz w:val="29"/>
          <w:szCs w:val="29"/>
        </w:rPr>
        <w:t>.3.2</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地下水环境质量现状监测与评价</w:t>
      </w:r>
    </w:p>
    <w:p w14:paraId="3DFE3E7B">
      <w:pPr>
        <w:spacing w:before="300" w:line="220" w:lineRule="auto"/>
        <w:ind w:left="115"/>
        <w:outlineLvl w:val="2"/>
        <w:rPr>
          <w:rFonts w:ascii="宋体" w:hAnsi="宋体" w:eastAsia="宋体" w:cs="宋体"/>
          <w:sz w:val="28"/>
          <w:szCs w:val="28"/>
        </w:rPr>
      </w:pPr>
      <w:r>
        <w:rPr>
          <w:rFonts w:ascii="Times New Roman" w:hAnsi="Times New Roman" w:eastAsia="Times New Roman" w:cs="Times New Roman"/>
          <w:b/>
          <w:bCs/>
          <w:spacing w:val="9"/>
          <w:sz w:val="28"/>
          <w:szCs w:val="28"/>
        </w:rPr>
        <w:t>4.3.2.1</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地下水环境质量现状监</w:t>
      </w:r>
      <w:r>
        <w:rPr>
          <w:rFonts w:ascii="宋体" w:hAnsi="宋体" w:eastAsia="宋体" w:cs="宋体"/>
          <w:spacing w:val="8"/>
          <w:sz w:val="28"/>
          <w:szCs w:val="28"/>
          <w14:textOutline w14:w="5103" w14:cap="sq" w14:cmpd="sng">
            <w14:solidFill>
              <w14:srgbClr w14:val="000000"/>
            </w14:solidFill>
            <w14:prstDash w14:val="solid"/>
            <w14:bevel/>
          </w14:textOutline>
        </w:rPr>
        <w:t>测</w:t>
      </w:r>
    </w:p>
    <w:p w14:paraId="257C95EC">
      <w:pPr>
        <w:spacing w:line="286" w:lineRule="auto"/>
        <w:rPr>
          <w:rFonts w:ascii="Arial"/>
          <w:sz w:val="21"/>
        </w:rPr>
      </w:pPr>
    </w:p>
    <w:p w14:paraId="305809E9">
      <w:pPr>
        <w:spacing w:before="76" w:line="227" w:lineRule="auto"/>
        <w:ind w:left="445"/>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监测布</w:t>
      </w:r>
      <w:r>
        <w:rPr>
          <w:rFonts w:ascii="宋体" w:hAnsi="宋体" w:eastAsia="宋体" w:cs="宋体"/>
          <w:spacing w:val="19"/>
          <w:sz w:val="23"/>
          <w:szCs w:val="23"/>
        </w:rPr>
        <w:t>点</w:t>
      </w:r>
    </w:p>
    <w:p w14:paraId="4404DE5C">
      <w:pPr>
        <w:spacing w:line="276" w:lineRule="auto"/>
        <w:rPr>
          <w:rFonts w:ascii="Arial"/>
          <w:sz w:val="21"/>
        </w:rPr>
      </w:pPr>
    </w:p>
    <w:p w14:paraId="116B1D35">
      <w:pPr>
        <w:spacing w:before="75" w:line="227" w:lineRule="auto"/>
        <w:ind w:left="597"/>
        <w:rPr>
          <w:rFonts w:ascii="宋体" w:hAnsi="宋体" w:eastAsia="宋体" w:cs="宋体"/>
          <w:sz w:val="23"/>
          <w:szCs w:val="23"/>
        </w:rPr>
      </w:pPr>
      <w:r>
        <w:rPr>
          <w:rFonts w:ascii="宋体" w:hAnsi="宋体" w:eastAsia="宋体" w:cs="宋体"/>
          <w:spacing w:val="22"/>
          <w:sz w:val="23"/>
          <w:szCs w:val="23"/>
        </w:rPr>
        <w:t>根据拟建项目场址所在地区的水环境特征，结合水文地质和环境地质</w:t>
      </w:r>
      <w:r>
        <w:rPr>
          <w:rFonts w:ascii="宋体" w:hAnsi="宋体" w:eastAsia="宋体" w:cs="宋体"/>
          <w:spacing w:val="17"/>
          <w:sz w:val="23"/>
          <w:szCs w:val="23"/>
        </w:rPr>
        <w:t>条</w:t>
      </w:r>
    </w:p>
    <w:p w14:paraId="2C9CA74A">
      <w:pPr>
        <w:sectPr>
          <w:headerReference r:id="rId164" w:type="default"/>
          <w:footerReference r:id="rId165" w:type="default"/>
          <w:pgSz w:w="11906" w:h="16839"/>
          <w:pgMar w:top="1132" w:right="1691" w:bottom="1182" w:left="1691" w:header="878" w:footer="1022" w:gutter="0"/>
          <w:cols w:space="720" w:num="1"/>
        </w:sectPr>
      </w:pPr>
    </w:p>
    <w:p w14:paraId="39BA0EAF">
      <w:pPr>
        <w:spacing w:line="435" w:lineRule="auto"/>
        <w:rPr>
          <w:rFonts w:ascii="Arial"/>
          <w:sz w:val="21"/>
        </w:rPr>
      </w:pPr>
      <w:r>
        <w:pict>
          <v:shape id="_x0000_s1218" o:spid="_x0000_s1218" style="position:absolute;left:0pt;margin-left:90pt;margin-top:57.35pt;height:0.75pt;width:415.3pt;mso-position-horizontal-relative:page;mso-position-vertical-relative:page;z-index:251870208;mso-width-relative:page;mso-height-relative:page;" fillcolor="#000000" filled="t" stroked="f" coordsize="8305,15" o:allowincell="f" path="m0,0l8305,0,8305,14,0,14,0,0xe">
            <v:path/>
            <v:fill on="t" focussize="0,0"/>
            <v:stroke on="f"/>
            <v:imagedata o:title=""/>
            <o:lock v:ext="edit"/>
          </v:shape>
        </w:pict>
      </w:r>
    </w:p>
    <w:p w14:paraId="05CCDC00">
      <w:pPr>
        <w:spacing w:before="75" w:line="227" w:lineRule="auto"/>
        <w:ind w:left="116"/>
        <w:rPr>
          <w:rFonts w:ascii="宋体" w:hAnsi="宋体" w:eastAsia="宋体" w:cs="宋体"/>
          <w:sz w:val="23"/>
          <w:szCs w:val="23"/>
        </w:rPr>
      </w:pPr>
      <w:r>
        <w:rPr>
          <w:rFonts w:ascii="宋体" w:hAnsi="宋体" w:eastAsia="宋体" w:cs="宋体"/>
          <w:spacing w:val="8"/>
          <w:sz w:val="23"/>
          <w:szCs w:val="23"/>
        </w:rPr>
        <w:t>件</w:t>
      </w:r>
      <w:r>
        <w:rPr>
          <w:rFonts w:ascii="宋体" w:hAnsi="宋体" w:eastAsia="宋体" w:cs="宋体"/>
          <w:spacing w:val="5"/>
          <w:sz w:val="23"/>
          <w:szCs w:val="23"/>
        </w:rPr>
        <w:t xml:space="preserve">，在评价区域内共布设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个地下水水质监测点，具体见表 </w:t>
      </w:r>
      <w:r>
        <w:rPr>
          <w:rFonts w:ascii="Times New Roman" w:hAnsi="Times New Roman" w:eastAsia="Times New Roman" w:cs="Times New Roman"/>
          <w:spacing w:val="5"/>
          <w:sz w:val="23"/>
          <w:szCs w:val="23"/>
        </w:rPr>
        <w:t>4-9</w:t>
      </w:r>
      <w:r>
        <w:rPr>
          <w:rFonts w:ascii="宋体" w:hAnsi="宋体" w:eastAsia="宋体" w:cs="宋体"/>
          <w:spacing w:val="5"/>
          <w:sz w:val="23"/>
          <w:szCs w:val="23"/>
        </w:rPr>
        <w:t>。</w:t>
      </w:r>
    </w:p>
    <w:p w14:paraId="69AFFC7F">
      <w:pPr>
        <w:spacing w:line="275" w:lineRule="auto"/>
        <w:rPr>
          <w:rFonts w:ascii="Arial"/>
          <w:sz w:val="21"/>
        </w:rPr>
      </w:pPr>
    </w:p>
    <w:p w14:paraId="0D0C626A">
      <w:pPr>
        <w:spacing w:before="75" w:line="221" w:lineRule="auto"/>
        <w:ind w:left="263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3"/>
          <w:sz w:val="23"/>
          <w:szCs w:val="23"/>
        </w:rPr>
        <w:t>9</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地下水监测点位布设</w:t>
      </w: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2352"/>
        <w:gridCol w:w="3786"/>
        <w:gridCol w:w="1737"/>
      </w:tblGrid>
      <w:tr w14:paraId="5530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47" w:type="dxa"/>
            <w:tcBorders>
              <w:left w:val="nil"/>
            </w:tcBorders>
            <w:vAlign w:val="top"/>
          </w:tcPr>
          <w:p w14:paraId="37FF261F">
            <w:pPr>
              <w:spacing w:before="75" w:line="229" w:lineRule="auto"/>
              <w:ind w:left="1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352" w:type="dxa"/>
            <w:vAlign w:val="top"/>
          </w:tcPr>
          <w:p w14:paraId="190FB534">
            <w:pPr>
              <w:spacing w:before="75" w:line="229" w:lineRule="auto"/>
              <w:ind w:left="65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测点名称</w:t>
            </w:r>
          </w:p>
        </w:tc>
        <w:tc>
          <w:tcPr>
            <w:tcW w:w="3786" w:type="dxa"/>
            <w:vAlign w:val="top"/>
          </w:tcPr>
          <w:p w14:paraId="45525025">
            <w:pPr>
              <w:spacing w:before="75" w:line="229" w:lineRule="auto"/>
              <w:ind w:left="137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测点位置</w:t>
            </w:r>
          </w:p>
        </w:tc>
        <w:tc>
          <w:tcPr>
            <w:tcW w:w="1737" w:type="dxa"/>
            <w:tcBorders>
              <w:right w:val="nil"/>
            </w:tcBorders>
            <w:vAlign w:val="top"/>
          </w:tcPr>
          <w:p w14:paraId="33B3C324">
            <w:pPr>
              <w:spacing w:before="75" w:line="229" w:lineRule="auto"/>
              <w:ind w:left="66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6C95E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7" w:type="dxa"/>
            <w:tcBorders>
              <w:left w:val="nil"/>
            </w:tcBorders>
            <w:vAlign w:val="top"/>
          </w:tcPr>
          <w:p w14:paraId="55979A07">
            <w:pPr>
              <w:spacing w:before="14" w:line="281" w:lineRule="exact"/>
              <w:ind w:left="24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2352" w:type="dxa"/>
            <w:vAlign w:val="top"/>
          </w:tcPr>
          <w:p w14:paraId="250BBC30">
            <w:pPr>
              <w:spacing w:before="52" w:line="228" w:lineRule="auto"/>
              <w:ind w:left="448"/>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设项目所在地</w:t>
            </w:r>
          </w:p>
        </w:tc>
        <w:tc>
          <w:tcPr>
            <w:tcW w:w="3786" w:type="dxa"/>
            <w:vAlign w:val="top"/>
          </w:tcPr>
          <w:p w14:paraId="665E9ACD">
            <w:pPr>
              <w:spacing w:before="52" w:line="228" w:lineRule="auto"/>
              <w:ind w:left="1377"/>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c>
        <w:tc>
          <w:tcPr>
            <w:tcW w:w="1737" w:type="dxa"/>
            <w:tcBorders>
              <w:right w:val="nil"/>
            </w:tcBorders>
            <w:vAlign w:val="top"/>
          </w:tcPr>
          <w:p w14:paraId="42AD20DF">
            <w:pPr>
              <w:spacing w:before="51" w:line="228" w:lineRule="auto"/>
              <w:ind w:left="560"/>
              <w:rPr>
                <w:rFonts w:ascii="宋体" w:hAnsi="宋体" w:eastAsia="宋体" w:cs="宋体"/>
                <w:sz w:val="20"/>
                <w:szCs w:val="20"/>
              </w:rPr>
            </w:pPr>
            <w:r>
              <w:rPr>
                <w:rFonts w:ascii="宋体" w:hAnsi="宋体" w:eastAsia="宋体" w:cs="宋体"/>
                <w:spacing w:val="6"/>
                <w:sz w:val="20"/>
                <w:szCs w:val="20"/>
              </w:rPr>
              <w:t>背景</w:t>
            </w:r>
            <w:r>
              <w:rPr>
                <w:rFonts w:ascii="宋体" w:hAnsi="宋体" w:eastAsia="宋体" w:cs="宋体"/>
                <w:spacing w:val="5"/>
                <w:sz w:val="20"/>
                <w:szCs w:val="20"/>
              </w:rPr>
              <w:t>点</w:t>
            </w:r>
          </w:p>
        </w:tc>
      </w:tr>
      <w:tr w14:paraId="71F17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7" w:type="dxa"/>
            <w:tcBorders>
              <w:left w:val="nil"/>
            </w:tcBorders>
            <w:vAlign w:val="top"/>
          </w:tcPr>
          <w:p w14:paraId="21F6150E">
            <w:pPr>
              <w:spacing w:before="17" w:line="281"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2352" w:type="dxa"/>
            <w:vAlign w:val="top"/>
          </w:tcPr>
          <w:p w14:paraId="7F8FDB77">
            <w:pPr>
              <w:spacing w:before="54" w:line="228" w:lineRule="auto"/>
              <w:ind w:left="865"/>
              <w:rPr>
                <w:rFonts w:ascii="宋体" w:hAnsi="宋体" w:eastAsia="宋体" w:cs="宋体"/>
                <w:sz w:val="20"/>
                <w:szCs w:val="20"/>
              </w:rPr>
            </w:pPr>
            <w:r>
              <w:rPr>
                <w:rFonts w:ascii="宋体" w:hAnsi="宋体" w:eastAsia="宋体" w:cs="宋体"/>
                <w:spacing w:val="7"/>
                <w:sz w:val="20"/>
                <w:szCs w:val="20"/>
              </w:rPr>
              <w:t>榆树</w:t>
            </w:r>
            <w:r>
              <w:rPr>
                <w:rFonts w:ascii="宋体" w:hAnsi="宋体" w:eastAsia="宋体" w:cs="宋体"/>
                <w:spacing w:val="6"/>
                <w:sz w:val="20"/>
                <w:szCs w:val="20"/>
              </w:rPr>
              <w:t>底</w:t>
            </w:r>
          </w:p>
        </w:tc>
        <w:tc>
          <w:tcPr>
            <w:tcW w:w="3786" w:type="dxa"/>
            <w:vAlign w:val="top"/>
          </w:tcPr>
          <w:p w14:paraId="372F5320">
            <w:pPr>
              <w:spacing w:before="54" w:line="228" w:lineRule="auto"/>
              <w:ind w:left="981"/>
              <w:rPr>
                <w:rFonts w:ascii="宋体" w:hAnsi="宋体" w:eastAsia="宋体" w:cs="宋体"/>
                <w:sz w:val="20"/>
                <w:szCs w:val="20"/>
              </w:rPr>
            </w:pPr>
            <w:r>
              <w:rPr>
                <w:rFonts w:ascii="宋体" w:hAnsi="宋体" w:eastAsia="宋体" w:cs="宋体"/>
                <w:spacing w:val="4"/>
                <w:sz w:val="20"/>
                <w:szCs w:val="20"/>
              </w:rPr>
              <w:t>厂区西</w:t>
            </w:r>
            <w:r>
              <w:rPr>
                <w:rFonts w:ascii="宋体" w:hAnsi="宋体" w:eastAsia="宋体" w:cs="宋体"/>
                <w:spacing w:val="2"/>
                <w:sz w:val="20"/>
                <w:szCs w:val="20"/>
              </w:rPr>
              <w:t xml:space="preserve">北侧 </w:t>
            </w:r>
            <w:r>
              <w:rPr>
                <w:rFonts w:ascii="Times New Roman" w:hAnsi="Times New Roman" w:eastAsia="Times New Roman" w:cs="Times New Roman"/>
                <w:spacing w:val="2"/>
                <w:sz w:val="20"/>
                <w:szCs w:val="20"/>
              </w:rPr>
              <w:t>330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1737" w:type="dxa"/>
            <w:tcBorders>
              <w:right w:val="nil"/>
            </w:tcBorders>
            <w:vAlign w:val="top"/>
          </w:tcPr>
          <w:p w14:paraId="1921E9E3">
            <w:pPr>
              <w:spacing w:before="54" w:line="228" w:lineRule="auto"/>
              <w:ind w:left="558"/>
              <w:rPr>
                <w:rFonts w:ascii="宋体" w:hAnsi="宋体" w:eastAsia="宋体" w:cs="宋体"/>
                <w:sz w:val="20"/>
                <w:szCs w:val="20"/>
              </w:rPr>
            </w:pPr>
            <w:r>
              <w:rPr>
                <w:rFonts w:ascii="宋体" w:hAnsi="宋体" w:eastAsia="宋体" w:cs="宋体"/>
                <w:spacing w:val="7"/>
                <w:sz w:val="20"/>
                <w:szCs w:val="20"/>
              </w:rPr>
              <w:t>敏</w:t>
            </w:r>
            <w:r>
              <w:rPr>
                <w:rFonts w:ascii="宋体" w:hAnsi="宋体" w:eastAsia="宋体" w:cs="宋体"/>
                <w:spacing w:val="6"/>
                <w:sz w:val="20"/>
                <w:szCs w:val="20"/>
              </w:rPr>
              <w:t>感点</w:t>
            </w:r>
          </w:p>
        </w:tc>
      </w:tr>
      <w:tr w14:paraId="5CFF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47" w:type="dxa"/>
            <w:tcBorders>
              <w:left w:val="nil"/>
            </w:tcBorders>
            <w:vAlign w:val="top"/>
          </w:tcPr>
          <w:p w14:paraId="0D863DF2">
            <w:pPr>
              <w:spacing w:before="18" w:line="281"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w:t>
            </w:r>
            <w:r>
              <w:rPr>
                <w:rFonts w:ascii="Times New Roman" w:hAnsi="Times New Roman" w:eastAsia="Times New Roman" w:cs="Times New Roman"/>
                <w:position w:val="2"/>
                <w:sz w:val="20"/>
                <w:szCs w:val="20"/>
              </w:rPr>
              <w:t>#</w:t>
            </w:r>
          </w:p>
        </w:tc>
        <w:tc>
          <w:tcPr>
            <w:tcW w:w="2352" w:type="dxa"/>
            <w:vAlign w:val="top"/>
          </w:tcPr>
          <w:p w14:paraId="080E13E0">
            <w:pPr>
              <w:spacing w:before="55" w:line="227" w:lineRule="auto"/>
              <w:ind w:left="764"/>
              <w:rPr>
                <w:rFonts w:ascii="宋体" w:hAnsi="宋体" w:eastAsia="宋体" w:cs="宋体"/>
                <w:sz w:val="20"/>
                <w:szCs w:val="20"/>
              </w:rPr>
            </w:pPr>
            <w:r>
              <w:rPr>
                <w:rFonts w:ascii="宋体" w:hAnsi="宋体" w:eastAsia="宋体" w:cs="宋体"/>
                <w:spacing w:val="7"/>
                <w:sz w:val="20"/>
                <w:szCs w:val="20"/>
              </w:rPr>
              <w:t>火连寨</w:t>
            </w:r>
            <w:r>
              <w:rPr>
                <w:rFonts w:ascii="宋体" w:hAnsi="宋体" w:eastAsia="宋体" w:cs="宋体"/>
                <w:spacing w:val="6"/>
                <w:sz w:val="20"/>
                <w:szCs w:val="20"/>
              </w:rPr>
              <w:t>村</w:t>
            </w:r>
          </w:p>
        </w:tc>
        <w:tc>
          <w:tcPr>
            <w:tcW w:w="3786" w:type="dxa"/>
            <w:vAlign w:val="top"/>
          </w:tcPr>
          <w:p w14:paraId="2347FE2D">
            <w:pPr>
              <w:spacing w:before="55" w:line="228" w:lineRule="auto"/>
              <w:ind w:left="981"/>
              <w:rPr>
                <w:rFonts w:ascii="宋体" w:hAnsi="宋体" w:eastAsia="宋体" w:cs="宋体"/>
                <w:sz w:val="20"/>
                <w:szCs w:val="20"/>
              </w:rPr>
            </w:pPr>
            <w:r>
              <w:rPr>
                <w:rFonts w:ascii="宋体" w:hAnsi="宋体" w:eastAsia="宋体" w:cs="宋体"/>
                <w:spacing w:val="4"/>
                <w:sz w:val="20"/>
                <w:szCs w:val="20"/>
              </w:rPr>
              <w:t>厂区东</w:t>
            </w:r>
            <w:r>
              <w:rPr>
                <w:rFonts w:ascii="宋体" w:hAnsi="宋体" w:eastAsia="宋体" w:cs="宋体"/>
                <w:spacing w:val="2"/>
                <w:sz w:val="20"/>
                <w:szCs w:val="20"/>
              </w:rPr>
              <w:t xml:space="preserve">南侧 </w:t>
            </w:r>
            <w:r>
              <w:rPr>
                <w:rFonts w:ascii="Times New Roman" w:hAnsi="Times New Roman" w:eastAsia="Times New Roman" w:cs="Times New Roman"/>
                <w:spacing w:val="2"/>
                <w:sz w:val="20"/>
                <w:szCs w:val="20"/>
              </w:rPr>
              <w:t>460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1737" w:type="dxa"/>
            <w:tcBorders>
              <w:right w:val="nil"/>
            </w:tcBorders>
            <w:vAlign w:val="top"/>
          </w:tcPr>
          <w:p w14:paraId="153214A1">
            <w:pPr>
              <w:spacing w:before="55" w:line="228" w:lineRule="auto"/>
              <w:ind w:left="558"/>
              <w:rPr>
                <w:rFonts w:ascii="宋体" w:hAnsi="宋体" w:eastAsia="宋体" w:cs="宋体"/>
                <w:sz w:val="20"/>
                <w:szCs w:val="20"/>
              </w:rPr>
            </w:pPr>
            <w:r>
              <w:rPr>
                <w:rFonts w:ascii="宋体" w:hAnsi="宋体" w:eastAsia="宋体" w:cs="宋体"/>
                <w:spacing w:val="7"/>
                <w:sz w:val="20"/>
                <w:szCs w:val="20"/>
              </w:rPr>
              <w:t>敏</w:t>
            </w:r>
            <w:r>
              <w:rPr>
                <w:rFonts w:ascii="宋体" w:hAnsi="宋体" w:eastAsia="宋体" w:cs="宋体"/>
                <w:spacing w:val="6"/>
                <w:sz w:val="20"/>
                <w:szCs w:val="20"/>
              </w:rPr>
              <w:t>感点</w:t>
            </w:r>
          </w:p>
        </w:tc>
      </w:tr>
    </w:tbl>
    <w:p w14:paraId="64B99A3E">
      <w:pPr>
        <w:spacing w:line="258" w:lineRule="auto"/>
        <w:rPr>
          <w:rFonts w:ascii="Arial"/>
          <w:sz w:val="21"/>
        </w:rPr>
      </w:pPr>
    </w:p>
    <w:p w14:paraId="0475B864">
      <w:pPr>
        <w:spacing w:before="75"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监测项</w:t>
      </w:r>
      <w:r>
        <w:rPr>
          <w:rFonts w:ascii="宋体" w:hAnsi="宋体" w:eastAsia="宋体" w:cs="宋体"/>
          <w:spacing w:val="19"/>
          <w:sz w:val="23"/>
          <w:szCs w:val="23"/>
        </w:rPr>
        <w:t>目</w:t>
      </w:r>
    </w:p>
    <w:p w14:paraId="61013AA9">
      <w:pPr>
        <w:spacing w:line="276" w:lineRule="auto"/>
        <w:rPr>
          <w:rFonts w:ascii="Arial"/>
          <w:sz w:val="21"/>
        </w:rPr>
      </w:pPr>
    </w:p>
    <w:p w14:paraId="35B5C19C">
      <w:pPr>
        <w:spacing w:before="75" w:line="388" w:lineRule="auto"/>
        <w:ind w:left="116" w:right="43" w:firstLine="481"/>
        <w:rPr>
          <w:rFonts w:ascii="宋体" w:hAnsi="宋体" w:eastAsia="宋体" w:cs="宋体"/>
          <w:sz w:val="23"/>
          <w:szCs w:val="23"/>
        </w:rPr>
      </w:pPr>
      <w:r>
        <w:rPr>
          <w:rFonts w:ascii="宋体" w:hAnsi="宋体" w:eastAsia="宋体" w:cs="宋体"/>
          <w:spacing w:val="11"/>
          <w:sz w:val="23"/>
          <w:szCs w:val="23"/>
        </w:rPr>
        <w:t>监测项目为：</w:t>
      </w:r>
      <w:r>
        <w:rPr>
          <w:rFonts w:ascii="Times New Roman" w:hAnsi="Times New Roman" w:eastAsia="Times New Roman" w:cs="Times New Roman"/>
          <w:sz w:val="23"/>
          <w:szCs w:val="23"/>
        </w:rPr>
        <w:t>pH</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、浑浊度、耗氧量、氨氮、总硬度、硫酸盐、硝酸盐、</w:t>
      </w:r>
      <w:r>
        <w:rPr>
          <w:rFonts w:ascii="宋体" w:hAnsi="宋体" w:eastAsia="宋体" w:cs="宋体"/>
          <w:spacing w:val="6"/>
          <w:sz w:val="23"/>
          <w:szCs w:val="23"/>
        </w:rPr>
        <w:t>亚</w:t>
      </w:r>
      <w:r>
        <w:rPr>
          <w:rFonts w:ascii="宋体" w:hAnsi="宋体" w:eastAsia="宋体" w:cs="宋体"/>
          <w:sz w:val="23"/>
          <w:szCs w:val="23"/>
        </w:rPr>
        <w:t xml:space="preserve"> </w:t>
      </w:r>
      <w:r>
        <w:rPr>
          <w:rFonts w:ascii="宋体" w:hAnsi="宋体" w:eastAsia="宋体" w:cs="宋体"/>
          <w:spacing w:val="4"/>
          <w:sz w:val="23"/>
          <w:szCs w:val="23"/>
        </w:rPr>
        <w:t>硝酸盐、</w:t>
      </w:r>
      <w:r>
        <w:rPr>
          <w:rFonts w:ascii="宋体" w:hAnsi="宋体" w:eastAsia="宋体" w:cs="宋体"/>
          <w:spacing w:val="3"/>
          <w:sz w:val="23"/>
          <w:szCs w:val="23"/>
        </w:rPr>
        <w:t>氯</w:t>
      </w:r>
      <w:r>
        <w:rPr>
          <w:rFonts w:ascii="宋体" w:hAnsi="宋体" w:eastAsia="宋体" w:cs="宋体"/>
          <w:spacing w:val="2"/>
          <w:sz w:val="23"/>
          <w:szCs w:val="23"/>
        </w:rPr>
        <w:t>化物、钾、钙、钠、镁、碳酸根、碳酸氢根、细菌总数和总大肠菌群，</w:t>
      </w:r>
      <w:r>
        <w:rPr>
          <w:rFonts w:ascii="宋体" w:hAnsi="宋体" w:eastAsia="宋体" w:cs="宋体"/>
          <w:sz w:val="23"/>
          <w:szCs w:val="23"/>
        </w:rPr>
        <w:t xml:space="preserve"> </w:t>
      </w:r>
      <w:r>
        <w:rPr>
          <w:rFonts w:ascii="宋体" w:hAnsi="宋体" w:eastAsia="宋体" w:cs="宋体"/>
          <w:spacing w:val="-7"/>
          <w:sz w:val="23"/>
          <w:szCs w:val="23"/>
        </w:rPr>
        <w:t>共</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xml:space="preserve">17 </w:t>
      </w:r>
      <w:r>
        <w:rPr>
          <w:rFonts w:ascii="宋体" w:hAnsi="宋体" w:eastAsia="宋体" w:cs="宋体"/>
          <w:spacing w:val="-4"/>
          <w:sz w:val="23"/>
          <w:szCs w:val="23"/>
        </w:rPr>
        <w:t>项。</w:t>
      </w:r>
    </w:p>
    <w:p w14:paraId="004D9299">
      <w:pPr>
        <w:spacing w:before="144" w:line="227" w:lineRule="auto"/>
        <w:ind w:left="608"/>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3</w:t>
      </w:r>
      <w:r>
        <w:rPr>
          <w:rFonts w:ascii="宋体" w:hAnsi="宋体" w:eastAsia="宋体" w:cs="宋体"/>
          <w:spacing w:val="17"/>
          <w:sz w:val="23"/>
          <w:szCs w:val="23"/>
        </w:rPr>
        <w:t>) 监测时间与频率</w:t>
      </w:r>
    </w:p>
    <w:p w14:paraId="194D5755">
      <w:pPr>
        <w:spacing w:line="276" w:lineRule="auto"/>
        <w:rPr>
          <w:rFonts w:ascii="Arial"/>
          <w:sz w:val="21"/>
        </w:rPr>
      </w:pPr>
    </w:p>
    <w:p w14:paraId="68A61076">
      <w:pPr>
        <w:spacing w:before="75" w:line="393" w:lineRule="auto"/>
        <w:ind w:left="117" w:right="27" w:firstLine="480"/>
        <w:rPr>
          <w:rFonts w:ascii="宋体" w:hAnsi="宋体" w:eastAsia="宋体" w:cs="宋体"/>
          <w:sz w:val="23"/>
          <w:szCs w:val="23"/>
        </w:rPr>
      </w:pPr>
      <w:r>
        <w:rPr>
          <w:rFonts w:ascii="宋体" w:hAnsi="宋体" w:eastAsia="宋体" w:cs="宋体"/>
          <w:spacing w:val="-4"/>
          <w:sz w:val="23"/>
          <w:szCs w:val="23"/>
        </w:rPr>
        <w:t xml:space="preserve">连续监测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天</w:t>
      </w:r>
      <w:r>
        <w:rPr>
          <w:rFonts w:ascii="宋体" w:hAnsi="宋体" w:eastAsia="宋体" w:cs="宋体"/>
          <w:spacing w:val="-3"/>
          <w:sz w:val="23"/>
          <w:szCs w:val="23"/>
        </w:rPr>
        <w:t>，</w:t>
      </w:r>
      <w:r>
        <w:rPr>
          <w:rFonts w:ascii="宋体" w:hAnsi="宋体" w:eastAsia="宋体" w:cs="宋体"/>
          <w:spacing w:val="-2"/>
          <w:sz w:val="23"/>
          <w:szCs w:val="23"/>
        </w:rPr>
        <w:t xml:space="preserve">每天采样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次。每个监测点报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组有效数据，同时监测井深、</w:t>
      </w:r>
      <w:r>
        <w:rPr>
          <w:rFonts w:ascii="宋体" w:hAnsi="宋体" w:eastAsia="宋体" w:cs="宋体"/>
          <w:sz w:val="23"/>
          <w:szCs w:val="23"/>
        </w:rPr>
        <w:t xml:space="preserve"> </w:t>
      </w:r>
      <w:r>
        <w:rPr>
          <w:rFonts w:ascii="宋体" w:hAnsi="宋体" w:eastAsia="宋体" w:cs="宋体"/>
          <w:spacing w:val="10"/>
          <w:sz w:val="23"/>
          <w:szCs w:val="23"/>
        </w:rPr>
        <w:t>井</w:t>
      </w:r>
      <w:r>
        <w:rPr>
          <w:rFonts w:ascii="宋体" w:hAnsi="宋体" w:eastAsia="宋体" w:cs="宋体"/>
          <w:spacing w:val="6"/>
          <w:sz w:val="23"/>
          <w:szCs w:val="23"/>
        </w:rPr>
        <w:t>温及水位。</w:t>
      </w:r>
    </w:p>
    <w:p w14:paraId="1B4BD074">
      <w:pPr>
        <w:spacing w:before="137"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分析方</w:t>
      </w:r>
      <w:r>
        <w:rPr>
          <w:rFonts w:ascii="宋体" w:hAnsi="宋体" w:eastAsia="宋体" w:cs="宋体"/>
          <w:spacing w:val="19"/>
          <w:sz w:val="23"/>
          <w:szCs w:val="23"/>
        </w:rPr>
        <w:t>法</w:t>
      </w:r>
    </w:p>
    <w:p w14:paraId="429D1093">
      <w:pPr>
        <w:spacing w:line="277" w:lineRule="auto"/>
        <w:rPr>
          <w:rFonts w:ascii="Arial"/>
          <w:sz w:val="21"/>
        </w:rPr>
      </w:pPr>
    </w:p>
    <w:p w14:paraId="590BA973">
      <w:pPr>
        <w:spacing w:before="75" w:line="380" w:lineRule="auto"/>
        <w:ind w:left="116" w:right="6" w:firstLine="480"/>
        <w:rPr>
          <w:rFonts w:ascii="宋体" w:hAnsi="宋体" w:eastAsia="宋体" w:cs="宋体"/>
          <w:sz w:val="23"/>
          <w:szCs w:val="23"/>
        </w:rPr>
      </w:pPr>
      <w:r>
        <w:rPr>
          <w:rFonts w:ascii="宋体" w:hAnsi="宋体" w:eastAsia="宋体" w:cs="宋体"/>
          <w:spacing w:val="11"/>
          <w:sz w:val="23"/>
          <w:szCs w:val="23"/>
        </w:rPr>
        <w:t>根</w:t>
      </w:r>
      <w:r>
        <w:rPr>
          <w:rFonts w:ascii="宋体" w:hAnsi="宋体" w:eastAsia="宋体" w:cs="宋体"/>
          <w:spacing w:val="6"/>
          <w:sz w:val="23"/>
          <w:szCs w:val="23"/>
        </w:rPr>
        <w:t>据《环境影响评价技术导则 地下水导则》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610-2011</w:t>
      </w:r>
      <w:r>
        <w:rPr>
          <w:rFonts w:ascii="宋体" w:hAnsi="宋体" w:eastAsia="宋体" w:cs="宋体"/>
          <w:spacing w:val="6"/>
          <w:sz w:val="23"/>
          <w:szCs w:val="23"/>
        </w:rPr>
        <w:t>) 中地下水水质</w:t>
      </w:r>
      <w:r>
        <w:rPr>
          <w:rFonts w:ascii="宋体" w:hAnsi="宋体" w:eastAsia="宋体" w:cs="宋体"/>
          <w:sz w:val="23"/>
          <w:szCs w:val="23"/>
        </w:rPr>
        <w:t xml:space="preserve"> </w:t>
      </w:r>
      <w:r>
        <w:rPr>
          <w:rFonts w:ascii="宋体" w:hAnsi="宋体" w:eastAsia="宋体" w:cs="宋体"/>
          <w:spacing w:val="2"/>
          <w:sz w:val="23"/>
          <w:szCs w:val="23"/>
        </w:rPr>
        <w:t>样品</w:t>
      </w:r>
      <w:r>
        <w:rPr>
          <w:rFonts w:ascii="宋体" w:hAnsi="宋体" w:eastAsia="宋体" w:cs="宋体"/>
          <w:spacing w:val="1"/>
          <w:sz w:val="23"/>
          <w:szCs w:val="23"/>
        </w:rPr>
        <w:t>的管理、分析化验和质量控制按《地下水环境监测技术规范》(</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164-2004</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4"/>
          <w:sz w:val="23"/>
          <w:szCs w:val="23"/>
        </w:rPr>
        <w:t>执行。具体</w:t>
      </w:r>
      <w:r>
        <w:rPr>
          <w:rFonts w:ascii="宋体" w:hAnsi="宋体" w:eastAsia="宋体" w:cs="宋体"/>
          <w:spacing w:val="2"/>
          <w:sz w:val="23"/>
          <w:szCs w:val="23"/>
        </w:rPr>
        <w:t xml:space="preserve">监测项目及分析方法见表 </w:t>
      </w:r>
      <w:r>
        <w:rPr>
          <w:rFonts w:ascii="Times New Roman" w:hAnsi="Times New Roman" w:eastAsia="Times New Roman" w:cs="Times New Roman"/>
          <w:spacing w:val="2"/>
          <w:sz w:val="23"/>
          <w:szCs w:val="23"/>
        </w:rPr>
        <w:t>4- 10</w:t>
      </w:r>
      <w:r>
        <w:rPr>
          <w:rFonts w:ascii="宋体" w:hAnsi="宋体" w:eastAsia="宋体" w:cs="宋体"/>
          <w:spacing w:val="2"/>
          <w:sz w:val="23"/>
          <w:szCs w:val="23"/>
        </w:rPr>
        <w:t>。</w:t>
      </w:r>
    </w:p>
    <w:p w14:paraId="08D20536">
      <w:pPr>
        <w:spacing w:before="174" w:line="227" w:lineRule="auto"/>
        <w:ind w:left="24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4"/>
          <w:sz w:val="23"/>
          <w:szCs w:val="23"/>
        </w:rPr>
        <w:t>-10</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地下水监测项目及分析方法</w:t>
      </w:r>
    </w:p>
    <w:p w14:paraId="7B6E0BD8">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1131"/>
        <w:gridCol w:w="3336"/>
        <w:gridCol w:w="1870"/>
        <w:gridCol w:w="730"/>
        <w:gridCol w:w="975"/>
      </w:tblGrid>
      <w:tr w14:paraId="6C21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80" w:type="dxa"/>
            <w:tcBorders>
              <w:left w:val="nil"/>
            </w:tcBorders>
            <w:vAlign w:val="top"/>
          </w:tcPr>
          <w:p w14:paraId="6B276978">
            <w:pPr>
              <w:spacing w:before="108" w:line="229" w:lineRule="auto"/>
              <w:ind w:left="3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131" w:type="dxa"/>
            <w:vAlign w:val="top"/>
          </w:tcPr>
          <w:p w14:paraId="0BC730CE">
            <w:pPr>
              <w:spacing w:before="107" w:line="228" w:lineRule="auto"/>
              <w:ind w:left="14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3336" w:type="dxa"/>
            <w:vAlign w:val="top"/>
          </w:tcPr>
          <w:p w14:paraId="2364ED93">
            <w:pPr>
              <w:spacing w:before="107" w:line="228" w:lineRule="auto"/>
              <w:ind w:left="83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测标准</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(方法)</w:t>
            </w:r>
          </w:p>
        </w:tc>
        <w:tc>
          <w:tcPr>
            <w:tcW w:w="1870" w:type="dxa"/>
            <w:vAlign w:val="top"/>
          </w:tcPr>
          <w:p w14:paraId="55242230">
            <w:pPr>
              <w:spacing w:before="67" w:line="288" w:lineRule="exact"/>
              <w:ind w:left="74"/>
              <w:rPr>
                <w:rFonts w:ascii="宋体" w:hAnsi="宋体" w:eastAsia="宋体" w:cs="宋体"/>
                <w:sz w:val="20"/>
                <w:szCs w:val="20"/>
              </w:rPr>
            </w:pPr>
            <w:r>
              <w:rPr>
                <w:rFonts w:ascii="宋体" w:hAnsi="宋体" w:eastAsia="宋体" w:cs="宋体"/>
                <w:spacing w:val="12"/>
                <w:position w:val="1"/>
                <w:sz w:val="20"/>
                <w:szCs w:val="20"/>
                <w14:textOutline w14:w="3795" w14:cap="sq" w14:cmpd="sng">
                  <w14:solidFill>
                    <w14:srgbClr w14:val="000000"/>
                  </w14:solidFill>
                  <w14:prstDash w14:val="solid"/>
                  <w14:bevel/>
                </w14:textOutline>
              </w:rPr>
              <w:t>分</w:t>
            </w:r>
            <w:r>
              <w:rPr>
                <w:rFonts w:ascii="宋体" w:hAnsi="宋体" w:eastAsia="宋体" w:cs="宋体"/>
                <w:spacing w:val="8"/>
                <w:position w:val="1"/>
                <w:sz w:val="20"/>
                <w:szCs w:val="20"/>
                <w14:textOutline w14:w="3795" w14:cap="sq" w14:cmpd="sng">
                  <w14:solidFill>
                    <w14:srgbClr w14:val="000000"/>
                  </w14:solidFill>
                  <w14:prstDash w14:val="solid"/>
                  <w14:bevel/>
                </w14:textOutline>
              </w:rPr>
              <w:t>析仪器名称</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型号</w:t>
            </w:r>
          </w:p>
        </w:tc>
        <w:tc>
          <w:tcPr>
            <w:tcW w:w="730" w:type="dxa"/>
            <w:vAlign w:val="top"/>
          </w:tcPr>
          <w:p w14:paraId="2A1E1510">
            <w:pPr>
              <w:spacing w:before="107" w:line="228" w:lineRule="auto"/>
              <w:ind w:left="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出限</w:t>
            </w:r>
          </w:p>
        </w:tc>
        <w:tc>
          <w:tcPr>
            <w:tcW w:w="975" w:type="dxa"/>
            <w:tcBorders>
              <w:right w:val="nil"/>
            </w:tcBorders>
            <w:vAlign w:val="top"/>
          </w:tcPr>
          <w:p w14:paraId="4AC7746A">
            <w:pPr>
              <w:spacing w:before="108" w:line="228" w:lineRule="auto"/>
              <w:ind w:left="28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r>
      <w:tr w14:paraId="3217B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480" w:type="dxa"/>
            <w:tcBorders>
              <w:left w:val="nil"/>
            </w:tcBorders>
            <w:vAlign w:val="top"/>
          </w:tcPr>
          <w:p w14:paraId="073265BF">
            <w:pPr>
              <w:spacing w:line="353" w:lineRule="auto"/>
              <w:rPr>
                <w:rFonts w:ascii="Arial"/>
                <w:sz w:val="21"/>
              </w:rPr>
            </w:pPr>
          </w:p>
          <w:p w14:paraId="060A0499">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1" w:type="dxa"/>
            <w:vAlign w:val="top"/>
          </w:tcPr>
          <w:p w14:paraId="03496CD7">
            <w:pPr>
              <w:spacing w:line="333" w:lineRule="auto"/>
              <w:rPr>
                <w:rFonts w:ascii="Arial"/>
                <w:sz w:val="21"/>
              </w:rPr>
            </w:pPr>
          </w:p>
          <w:p w14:paraId="08EB1AB6">
            <w:pPr>
              <w:spacing w:before="58" w:line="212" w:lineRule="auto"/>
              <w:ind w:left="333"/>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6"/>
                <w:position w:val="-2"/>
                <w:sz w:val="13"/>
                <w:szCs w:val="13"/>
              </w:rPr>
              <w:t>3</w:t>
            </w:r>
            <w:r>
              <w:rPr>
                <w:rFonts w:ascii="Times New Roman" w:hAnsi="Times New Roman" w:eastAsia="Times New Roman" w:cs="Times New Roman"/>
                <w:spacing w:val="4"/>
                <w:position w:val="6"/>
                <w:sz w:val="13"/>
                <w:szCs w:val="13"/>
              </w:rPr>
              <w:t>2-</w:t>
            </w:r>
          </w:p>
        </w:tc>
        <w:tc>
          <w:tcPr>
            <w:tcW w:w="3336" w:type="dxa"/>
            <w:vAlign w:val="top"/>
          </w:tcPr>
          <w:p w14:paraId="4ABE6E05">
            <w:pPr>
              <w:spacing w:before="65" w:line="301" w:lineRule="auto"/>
              <w:ind w:left="366" w:right="91" w:hanging="268"/>
              <w:rPr>
                <w:rFonts w:ascii="Times New Roman" w:hAnsi="Times New Roman" w:eastAsia="Times New Roman" w:cs="Times New Roman"/>
                <w:sz w:val="20"/>
                <w:szCs w:val="20"/>
              </w:rPr>
            </w:pPr>
            <w:r>
              <w:rPr>
                <w:rFonts w:ascii="宋体" w:hAnsi="宋体" w:eastAsia="宋体" w:cs="宋体"/>
                <w:spacing w:val="14"/>
                <w:sz w:val="20"/>
                <w:szCs w:val="20"/>
              </w:rPr>
              <w:t>地</w:t>
            </w:r>
            <w:r>
              <w:rPr>
                <w:rFonts w:ascii="宋体" w:hAnsi="宋体" w:eastAsia="宋体" w:cs="宋体"/>
                <w:spacing w:val="9"/>
                <w:sz w:val="20"/>
                <w:szCs w:val="20"/>
              </w:rPr>
              <w:t>下水质检验方法滴定法测定碳酸</w:t>
            </w:r>
            <w:r>
              <w:rPr>
                <w:rFonts w:ascii="宋体" w:hAnsi="宋体" w:eastAsia="宋体" w:cs="宋体"/>
                <w:sz w:val="20"/>
                <w:szCs w:val="20"/>
              </w:rPr>
              <w:t xml:space="preserve"> </w:t>
            </w:r>
            <w:r>
              <w:rPr>
                <w:rFonts w:ascii="宋体" w:hAnsi="宋体" w:eastAsia="宋体" w:cs="宋体"/>
                <w:spacing w:val="6"/>
                <w:sz w:val="20"/>
                <w:szCs w:val="20"/>
              </w:rPr>
              <w:t>根</w:t>
            </w:r>
            <w:r>
              <w:rPr>
                <w:rFonts w:ascii="宋体" w:hAnsi="宋体" w:eastAsia="宋体" w:cs="宋体"/>
                <w:spacing w:val="5"/>
                <w:sz w:val="20"/>
                <w:szCs w:val="20"/>
              </w:rPr>
              <w:t xml:space="preserve">、重碳酸根和氢氧根 </w:t>
            </w:r>
            <w:r>
              <w:rPr>
                <w:rFonts w:ascii="Times New Roman" w:hAnsi="Times New Roman" w:eastAsia="Times New Roman" w:cs="Times New Roman"/>
                <w:sz w:val="20"/>
                <w:szCs w:val="20"/>
              </w:rPr>
              <w:t>DZ</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T</w:t>
            </w:r>
          </w:p>
          <w:p w14:paraId="46678A28">
            <w:pPr>
              <w:spacing w:before="6" w:line="195" w:lineRule="auto"/>
              <w:ind w:left="10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r>
              <w:rPr>
                <w:rFonts w:ascii="Times New Roman" w:hAnsi="Times New Roman" w:eastAsia="Times New Roman" w:cs="Times New Roman"/>
                <w:sz w:val="20"/>
                <w:szCs w:val="20"/>
              </w:rPr>
              <w:t>64.49- 1993</w:t>
            </w:r>
          </w:p>
        </w:tc>
        <w:tc>
          <w:tcPr>
            <w:tcW w:w="1870" w:type="dxa"/>
            <w:vAlign w:val="top"/>
          </w:tcPr>
          <w:p w14:paraId="7EE1B3FE">
            <w:pPr>
              <w:spacing w:line="309" w:lineRule="auto"/>
              <w:rPr>
                <w:rFonts w:ascii="Arial"/>
                <w:sz w:val="21"/>
              </w:rPr>
            </w:pPr>
          </w:p>
          <w:p w14:paraId="48EDAB8E">
            <w:pPr>
              <w:spacing w:before="65" w:line="228" w:lineRule="auto"/>
              <w:ind w:left="628"/>
              <w:rPr>
                <w:rFonts w:ascii="宋体" w:hAnsi="宋体" w:eastAsia="宋体" w:cs="宋体"/>
                <w:sz w:val="20"/>
                <w:szCs w:val="20"/>
              </w:rPr>
            </w:pPr>
            <w:r>
              <w:rPr>
                <w:rFonts w:ascii="宋体" w:hAnsi="宋体" w:eastAsia="宋体" w:cs="宋体"/>
                <w:spacing w:val="7"/>
                <w:sz w:val="20"/>
                <w:szCs w:val="20"/>
              </w:rPr>
              <w:t>滴</w:t>
            </w:r>
            <w:r>
              <w:rPr>
                <w:rFonts w:ascii="宋体" w:hAnsi="宋体" w:eastAsia="宋体" w:cs="宋体"/>
                <w:spacing w:val="6"/>
                <w:sz w:val="20"/>
                <w:szCs w:val="20"/>
              </w:rPr>
              <w:t>定管</w:t>
            </w:r>
          </w:p>
        </w:tc>
        <w:tc>
          <w:tcPr>
            <w:tcW w:w="730" w:type="dxa"/>
            <w:vAlign w:val="top"/>
          </w:tcPr>
          <w:p w14:paraId="2252CA38">
            <w:pPr>
              <w:spacing w:line="441" w:lineRule="auto"/>
              <w:rPr>
                <w:rFonts w:ascii="Arial"/>
                <w:sz w:val="21"/>
              </w:rPr>
            </w:pPr>
          </w:p>
          <w:p w14:paraId="6D9106E8">
            <w:pPr>
              <w:spacing w:before="58" w:line="142"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10"/>
                <w:position w:val="-1"/>
                <w:sz w:val="20"/>
                <w:szCs w:val="20"/>
              </w:rPr>
              <w:t>—</w:t>
            </w:r>
          </w:p>
        </w:tc>
        <w:tc>
          <w:tcPr>
            <w:tcW w:w="975" w:type="dxa"/>
            <w:tcBorders>
              <w:right w:val="nil"/>
            </w:tcBorders>
            <w:vAlign w:val="top"/>
          </w:tcPr>
          <w:p w14:paraId="6BBDD513">
            <w:pPr>
              <w:spacing w:line="280" w:lineRule="auto"/>
              <w:rPr>
                <w:rFonts w:ascii="Arial"/>
                <w:sz w:val="21"/>
              </w:rPr>
            </w:pPr>
          </w:p>
          <w:p w14:paraId="43848024">
            <w:pPr>
              <w:spacing w:before="57"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57A30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480" w:type="dxa"/>
            <w:tcBorders>
              <w:left w:val="nil"/>
            </w:tcBorders>
            <w:vAlign w:val="top"/>
          </w:tcPr>
          <w:p w14:paraId="2759570B">
            <w:pPr>
              <w:spacing w:line="354" w:lineRule="auto"/>
              <w:rPr>
                <w:rFonts w:ascii="Arial"/>
                <w:sz w:val="21"/>
              </w:rPr>
            </w:pPr>
          </w:p>
          <w:p w14:paraId="16834AE5">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1" w:type="dxa"/>
            <w:vAlign w:val="top"/>
          </w:tcPr>
          <w:p w14:paraId="3D4AC8F4">
            <w:pPr>
              <w:spacing w:line="354" w:lineRule="auto"/>
              <w:rPr>
                <w:rFonts w:ascii="Arial"/>
                <w:sz w:val="21"/>
              </w:rPr>
            </w:pPr>
          </w:p>
          <w:p w14:paraId="3B5882DE">
            <w:pPr>
              <w:spacing w:before="57" w:line="197" w:lineRule="auto"/>
              <w:ind w:left="289"/>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position w:val="7"/>
                <w:sz w:val="13"/>
                <w:szCs w:val="13"/>
              </w:rPr>
              <w:t>-</w:t>
            </w:r>
          </w:p>
        </w:tc>
        <w:tc>
          <w:tcPr>
            <w:tcW w:w="3336" w:type="dxa"/>
            <w:vAlign w:val="top"/>
          </w:tcPr>
          <w:p w14:paraId="10206E0A">
            <w:pPr>
              <w:spacing w:before="66" w:line="301" w:lineRule="auto"/>
              <w:ind w:left="366" w:right="91" w:hanging="268"/>
              <w:rPr>
                <w:rFonts w:ascii="Times New Roman" w:hAnsi="Times New Roman" w:eastAsia="Times New Roman" w:cs="Times New Roman"/>
                <w:sz w:val="20"/>
                <w:szCs w:val="20"/>
              </w:rPr>
            </w:pPr>
            <w:r>
              <w:rPr>
                <w:rFonts w:ascii="宋体" w:hAnsi="宋体" w:eastAsia="宋体" w:cs="宋体"/>
                <w:spacing w:val="14"/>
                <w:sz w:val="20"/>
                <w:szCs w:val="20"/>
              </w:rPr>
              <w:t>地</w:t>
            </w:r>
            <w:r>
              <w:rPr>
                <w:rFonts w:ascii="宋体" w:hAnsi="宋体" w:eastAsia="宋体" w:cs="宋体"/>
                <w:spacing w:val="9"/>
                <w:sz w:val="20"/>
                <w:szCs w:val="20"/>
              </w:rPr>
              <w:t>下水质检验方法滴定法测定碳酸</w:t>
            </w:r>
            <w:r>
              <w:rPr>
                <w:rFonts w:ascii="宋体" w:hAnsi="宋体" w:eastAsia="宋体" w:cs="宋体"/>
                <w:sz w:val="20"/>
                <w:szCs w:val="20"/>
              </w:rPr>
              <w:t xml:space="preserve"> </w:t>
            </w:r>
            <w:r>
              <w:rPr>
                <w:rFonts w:ascii="宋体" w:hAnsi="宋体" w:eastAsia="宋体" w:cs="宋体"/>
                <w:spacing w:val="6"/>
                <w:sz w:val="20"/>
                <w:szCs w:val="20"/>
              </w:rPr>
              <w:t>根</w:t>
            </w:r>
            <w:r>
              <w:rPr>
                <w:rFonts w:ascii="宋体" w:hAnsi="宋体" w:eastAsia="宋体" w:cs="宋体"/>
                <w:spacing w:val="5"/>
                <w:sz w:val="20"/>
                <w:szCs w:val="20"/>
              </w:rPr>
              <w:t xml:space="preserve">、重碳酸根和氢氧根 </w:t>
            </w:r>
            <w:r>
              <w:rPr>
                <w:rFonts w:ascii="Times New Roman" w:hAnsi="Times New Roman" w:eastAsia="Times New Roman" w:cs="Times New Roman"/>
                <w:sz w:val="20"/>
                <w:szCs w:val="20"/>
              </w:rPr>
              <w:t>DZ</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T</w:t>
            </w:r>
          </w:p>
          <w:p w14:paraId="737F5C9C">
            <w:pPr>
              <w:spacing w:before="6" w:line="195" w:lineRule="auto"/>
              <w:ind w:left="10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r>
              <w:rPr>
                <w:rFonts w:ascii="Times New Roman" w:hAnsi="Times New Roman" w:eastAsia="Times New Roman" w:cs="Times New Roman"/>
                <w:sz w:val="20"/>
                <w:szCs w:val="20"/>
              </w:rPr>
              <w:t>64.49- 1993</w:t>
            </w:r>
          </w:p>
        </w:tc>
        <w:tc>
          <w:tcPr>
            <w:tcW w:w="1870" w:type="dxa"/>
            <w:vAlign w:val="top"/>
          </w:tcPr>
          <w:p w14:paraId="3AFBFEC2">
            <w:pPr>
              <w:spacing w:line="310" w:lineRule="auto"/>
              <w:rPr>
                <w:rFonts w:ascii="Arial"/>
                <w:sz w:val="21"/>
              </w:rPr>
            </w:pPr>
          </w:p>
          <w:p w14:paraId="508D5E2D">
            <w:pPr>
              <w:spacing w:before="65" w:line="228" w:lineRule="auto"/>
              <w:ind w:left="628"/>
              <w:rPr>
                <w:rFonts w:ascii="宋体" w:hAnsi="宋体" w:eastAsia="宋体" w:cs="宋体"/>
                <w:sz w:val="20"/>
                <w:szCs w:val="20"/>
              </w:rPr>
            </w:pPr>
            <w:r>
              <w:rPr>
                <w:rFonts w:ascii="宋体" w:hAnsi="宋体" w:eastAsia="宋体" w:cs="宋体"/>
                <w:spacing w:val="7"/>
                <w:sz w:val="20"/>
                <w:szCs w:val="20"/>
              </w:rPr>
              <w:t>滴</w:t>
            </w:r>
            <w:r>
              <w:rPr>
                <w:rFonts w:ascii="宋体" w:hAnsi="宋体" w:eastAsia="宋体" w:cs="宋体"/>
                <w:spacing w:val="6"/>
                <w:sz w:val="20"/>
                <w:szCs w:val="20"/>
              </w:rPr>
              <w:t>定管</w:t>
            </w:r>
          </w:p>
        </w:tc>
        <w:tc>
          <w:tcPr>
            <w:tcW w:w="730" w:type="dxa"/>
            <w:vAlign w:val="top"/>
          </w:tcPr>
          <w:p w14:paraId="2E354EBA">
            <w:pPr>
              <w:spacing w:line="442" w:lineRule="auto"/>
              <w:rPr>
                <w:rFonts w:ascii="Arial"/>
                <w:sz w:val="21"/>
              </w:rPr>
            </w:pPr>
          </w:p>
          <w:p w14:paraId="0DD4E88E">
            <w:pPr>
              <w:spacing w:before="58" w:line="142"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10"/>
                <w:position w:val="-1"/>
                <w:sz w:val="20"/>
                <w:szCs w:val="20"/>
              </w:rPr>
              <w:t>—</w:t>
            </w:r>
          </w:p>
        </w:tc>
        <w:tc>
          <w:tcPr>
            <w:tcW w:w="975" w:type="dxa"/>
            <w:tcBorders>
              <w:right w:val="nil"/>
            </w:tcBorders>
            <w:vAlign w:val="top"/>
          </w:tcPr>
          <w:p w14:paraId="193BF604">
            <w:pPr>
              <w:spacing w:line="281" w:lineRule="auto"/>
              <w:rPr>
                <w:rFonts w:ascii="Arial"/>
                <w:sz w:val="21"/>
              </w:rPr>
            </w:pPr>
          </w:p>
          <w:p w14:paraId="3559756B">
            <w:pPr>
              <w:spacing w:before="57"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75A2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480" w:type="dxa"/>
            <w:tcBorders>
              <w:left w:val="nil"/>
            </w:tcBorders>
            <w:vAlign w:val="top"/>
          </w:tcPr>
          <w:p w14:paraId="2F2A4A11">
            <w:pPr>
              <w:spacing w:line="386" w:lineRule="auto"/>
              <w:rPr>
                <w:rFonts w:ascii="Arial"/>
                <w:sz w:val="21"/>
              </w:rPr>
            </w:pPr>
          </w:p>
          <w:p w14:paraId="661D7B30">
            <w:pPr>
              <w:spacing w:before="5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31" w:type="dxa"/>
            <w:vAlign w:val="top"/>
          </w:tcPr>
          <w:p w14:paraId="25667854">
            <w:pPr>
              <w:spacing w:line="342" w:lineRule="auto"/>
              <w:rPr>
                <w:rFonts w:ascii="Arial"/>
                <w:sz w:val="21"/>
              </w:rPr>
            </w:pPr>
          </w:p>
          <w:p w14:paraId="5C735D04">
            <w:pPr>
              <w:spacing w:before="65" w:line="228" w:lineRule="auto"/>
              <w:ind w:left="153"/>
              <w:rPr>
                <w:rFonts w:ascii="宋体" w:hAnsi="宋体" w:eastAsia="宋体" w:cs="宋体"/>
                <w:sz w:val="20"/>
                <w:szCs w:val="20"/>
              </w:rPr>
            </w:pPr>
            <w:r>
              <w:rPr>
                <w:rFonts w:ascii="宋体" w:hAnsi="宋体" w:eastAsia="宋体" w:cs="宋体"/>
                <w:spacing w:val="7"/>
                <w:sz w:val="20"/>
                <w:szCs w:val="20"/>
              </w:rPr>
              <w:t>菌</w:t>
            </w:r>
            <w:r>
              <w:rPr>
                <w:rFonts w:ascii="宋体" w:hAnsi="宋体" w:eastAsia="宋体" w:cs="宋体"/>
                <w:spacing w:val="6"/>
                <w:sz w:val="20"/>
                <w:szCs w:val="20"/>
              </w:rPr>
              <w:t>落总数</w:t>
            </w:r>
          </w:p>
        </w:tc>
        <w:tc>
          <w:tcPr>
            <w:tcW w:w="3336" w:type="dxa"/>
            <w:vAlign w:val="top"/>
          </w:tcPr>
          <w:p w14:paraId="543E5161">
            <w:pPr>
              <w:spacing w:before="254" w:line="301" w:lineRule="auto"/>
              <w:ind w:left="68" w:right="43" w:firstLine="29"/>
              <w:rPr>
                <w:rFonts w:ascii="宋体" w:hAnsi="宋体" w:eastAsia="宋体" w:cs="宋体"/>
                <w:sz w:val="20"/>
                <w:szCs w:val="20"/>
              </w:rPr>
            </w:pPr>
            <w:r>
              <w:rPr>
                <w:rFonts w:ascii="宋体" w:hAnsi="宋体" w:eastAsia="宋体" w:cs="宋体"/>
                <w:spacing w:val="-4"/>
                <w:sz w:val="20"/>
                <w:szCs w:val="20"/>
              </w:rPr>
              <w:t>生活饮用水</w:t>
            </w:r>
            <w:r>
              <w:rPr>
                <w:rFonts w:ascii="宋体" w:hAnsi="宋体" w:eastAsia="宋体" w:cs="宋体"/>
                <w:spacing w:val="-3"/>
                <w:sz w:val="20"/>
                <w:szCs w:val="20"/>
              </w:rPr>
              <w:t>标</w:t>
            </w:r>
            <w:r>
              <w:rPr>
                <w:rFonts w:ascii="宋体" w:hAnsi="宋体" w:eastAsia="宋体" w:cs="宋体"/>
                <w:spacing w:val="-2"/>
                <w:sz w:val="20"/>
                <w:szCs w:val="20"/>
              </w:rPr>
              <w:t>准检 验方法 微生物指</w:t>
            </w:r>
            <w:r>
              <w:rPr>
                <w:rFonts w:ascii="宋体" w:hAnsi="宋体" w:eastAsia="宋体" w:cs="宋体"/>
                <w:sz w:val="20"/>
                <w:szCs w:val="20"/>
              </w:rPr>
              <w:t xml:space="preserve"> </w:t>
            </w:r>
            <w:r>
              <w:rPr>
                <w:rFonts w:ascii="宋体" w:hAnsi="宋体" w:eastAsia="宋体" w:cs="宋体"/>
                <w:spacing w:val="-5"/>
                <w:sz w:val="20"/>
                <w:szCs w:val="20"/>
              </w:rPr>
              <w:t xml:space="preserve">标 </w:t>
            </w:r>
            <w:r>
              <w:rPr>
                <w:rFonts w:ascii="Times New Roman" w:hAnsi="Times New Roman" w:eastAsia="Times New Roman" w:cs="Times New Roman"/>
                <w:spacing w:val="-5"/>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5"/>
                <w:sz w:val="20"/>
                <w:szCs w:val="20"/>
              </w:rPr>
              <w:t xml:space="preserve"> 5750. 12-2006 1. 1 </w:t>
            </w:r>
            <w:r>
              <w:rPr>
                <w:rFonts w:ascii="宋体" w:hAnsi="宋体" w:eastAsia="宋体" w:cs="宋体"/>
                <w:spacing w:val="-5"/>
                <w:sz w:val="20"/>
                <w:szCs w:val="20"/>
              </w:rPr>
              <w:t>平皿计数法</w:t>
            </w:r>
          </w:p>
        </w:tc>
        <w:tc>
          <w:tcPr>
            <w:tcW w:w="1870" w:type="dxa"/>
            <w:vAlign w:val="top"/>
          </w:tcPr>
          <w:p w14:paraId="0EC972BC">
            <w:pPr>
              <w:spacing w:before="98" w:line="348" w:lineRule="exact"/>
              <w:ind w:left="417"/>
              <w:rPr>
                <w:rFonts w:ascii="宋体" w:hAnsi="宋体" w:eastAsia="宋体" w:cs="宋体"/>
                <w:sz w:val="20"/>
                <w:szCs w:val="20"/>
              </w:rPr>
            </w:pPr>
            <w:r>
              <w:rPr>
                <w:rFonts w:ascii="宋体" w:hAnsi="宋体" w:eastAsia="宋体" w:cs="宋体"/>
                <w:spacing w:val="8"/>
                <w:position w:val="10"/>
                <w:sz w:val="20"/>
                <w:szCs w:val="20"/>
              </w:rPr>
              <w:t>生化培养</w:t>
            </w:r>
            <w:r>
              <w:rPr>
                <w:rFonts w:ascii="宋体" w:hAnsi="宋体" w:eastAsia="宋体" w:cs="宋体"/>
                <w:spacing w:val="7"/>
                <w:position w:val="10"/>
                <w:sz w:val="20"/>
                <w:szCs w:val="20"/>
              </w:rPr>
              <w:t>箱</w:t>
            </w:r>
          </w:p>
          <w:p w14:paraId="57474866">
            <w:pPr>
              <w:spacing w:line="194"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LRH</w:t>
            </w:r>
            <w:r>
              <w:rPr>
                <w:rFonts w:ascii="Times New Roman" w:hAnsi="Times New Roman" w:eastAsia="Times New Roman" w:cs="Times New Roman"/>
                <w:spacing w:val="-2"/>
                <w:sz w:val="20"/>
                <w:szCs w:val="20"/>
              </w:rPr>
              <w:t>- 1</w:t>
            </w:r>
            <w:r>
              <w:rPr>
                <w:rFonts w:ascii="Times New Roman" w:hAnsi="Times New Roman" w:eastAsia="Times New Roman" w:cs="Times New Roman"/>
                <w:spacing w:val="-1"/>
                <w:sz w:val="20"/>
                <w:szCs w:val="20"/>
              </w:rPr>
              <w:t>50B</w:t>
            </w:r>
          </w:p>
          <w:p w14:paraId="64C7F3A6">
            <w:pPr>
              <w:spacing w:before="12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SYZZ</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SB</w:t>
            </w:r>
            <w:r>
              <w:rPr>
                <w:rFonts w:ascii="Times New Roman" w:hAnsi="Times New Roman" w:eastAsia="Times New Roman" w:cs="Times New Roman"/>
                <w:spacing w:val="7"/>
                <w:sz w:val="20"/>
                <w:szCs w:val="20"/>
              </w:rPr>
              <w:t>-005-02</w:t>
            </w:r>
          </w:p>
        </w:tc>
        <w:tc>
          <w:tcPr>
            <w:tcW w:w="730" w:type="dxa"/>
            <w:vAlign w:val="top"/>
          </w:tcPr>
          <w:p w14:paraId="2D5D68AA">
            <w:pPr>
              <w:spacing w:line="474" w:lineRule="auto"/>
              <w:rPr>
                <w:rFonts w:ascii="Arial"/>
                <w:sz w:val="21"/>
              </w:rPr>
            </w:pPr>
          </w:p>
          <w:p w14:paraId="1F6E6B21">
            <w:pPr>
              <w:spacing w:before="58" w:line="142"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10"/>
                <w:position w:val="-1"/>
                <w:sz w:val="20"/>
                <w:szCs w:val="20"/>
              </w:rPr>
              <w:t>—</w:t>
            </w:r>
          </w:p>
        </w:tc>
        <w:tc>
          <w:tcPr>
            <w:tcW w:w="975" w:type="dxa"/>
            <w:tcBorders>
              <w:right w:val="nil"/>
            </w:tcBorders>
            <w:vAlign w:val="top"/>
          </w:tcPr>
          <w:p w14:paraId="491F9575">
            <w:pPr>
              <w:spacing w:line="313" w:lineRule="auto"/>
              <w:rPr>
                <w:rFonts w:ascii="Arial"/>
                <w:sz w:val="21"/>
              </w:rPr>
            </w:pPr>
          </w:p>
          <w:p w14:paraId="5F8E7851">
            <w:pPr>
              <w:spacing w:before="57" w:line="281" w:lineRule="exact"/>
              <w:ind w:left="1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CFU</w:t>
            </w:r>
            <w:r>
              <w:rPr>
                <w:rFonts w:ascii="Times New Roman" w:hAnsi="Times New Roman" w:eastAsia="Times New Roman" w:cs="Times New Roman"/>
                <w:spacing w:val="26"/>
                <w:position w:val="2"/>
                <w:sz w:val="20"/>
                <w:szCs w:val="20"/>
              </w:rPr>
              <w:t>/</w:t>
            </w:r>
            <w:r>
              <w:rPr>
                <w:rFonts w:ascii="Times New Roman" w:hAnsi="Times New Roman" w:eastAsia="Times New Roman" w:cs="Times New Roman"/>
                <w:position w:val="2"/>
                <w:sz w:val="20"/>
                <w:szCs w:val="20"/>
              </w:rPr>
              <w:t>mL</w:t>
            </w:r>
          </w:p>
        </w:tc>
      </w:tr>
      <w:tr w14:paraId="2A86D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80" w:type="dxa"/>
            <w:tcBorders>
              <w:left w:val="nil"/>
            </w:tcBorders>
            <w:vAlign w:val="top"/>
          </w:tcPr>
          <w:p w14:paraId="4190AB99">
            <w:pPr>
              <w:spacing w:line="376" w:lineRule="auto"/>
              <w:rPr>
                <w:rFonts w:ascii="Arial"/>
                <w:sz w:val="21"/>
              </w:rPr>
            </w:pPr>
          </w:p>
          <w:p w14:paraId="23CE97CD">
            <w:pPr>
              <w:spacing w:before="57"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31" w:type="dxa"/>
            <w:vAlign w:val="top"/>
          </w:tcPr>
          <w:p w14:paraId="5C3B400F">
            <w:pPr>
              <w:spacing w:line="332" w:lineRule="auto"/>
              <w:rPr>
                <w:rFonts w:ascii="Arial"/>
                <w:sz w:val="21"/>
              </w:rPr>
            </w:pPr>
          </w:p>
          <w:p w14:paraId="78E90086">
            <w:pPr>
              <w:spacing w:before="65" w:line="228" w:lineRule="auto"/>
              <w:ind w:left="52"/>
              <w:rPr>
                <w:rFonts w:ascii="宋体" w:hAnsi="宋体" w:eastAsia="宋体" w:cs="宋体"/>
                <w:sz w:val="20"/>
                <w:szCs w:val="20"/>
              </w:rPr>
            </w:pPr>
            <w:r>
              <w:rPr>
                <w:rFonts w:ascii="宋体" w:hAnsi="宋体" w:eastAsia="宋体" w:cs="宋体"/>
                <w:spacing w:val="7"/>
                <w:sz w:val="20"/>
                <w:szCs w:val="20"/>
              </w:rPr>
              <w:t>总大肠菌群</w:t>
            </w:r>
          </w:p>
        </w:tc>
        <w:tc>
          <w:tcPr>
            <w:tcW w:w="3336" w:type="dxa"/>
            <w:vAlign w:val="top"/>
          </w:tcPr>
          <w:p w14:paraId="6DCF1DDF">
            <w:pPr>
              <w:spacing w:before="244" w:line="301" w:lineRule="auto"/>
              <w:ind w:left="209" w:right="38" w:hanging="179"/>
              <w:rPr>
                <w:rFonts w:ascii="宋体" w:hAnsi="宋体" w:eastAsia="宋体" w:cs="宋体"/>
                <w:sz w:val="20"/>
                <w:szCs w:val="20"/>
              </w:rPr>
            </w:pPr>
            <w:r>
              <w:rPr>
                <w:rFonts w:ascii="宋体" w:hAnsi="宋体" w:eastAsia="宋体" w:cs="宋体"/>
                <w:spacing w:val="-4"/>
                <w:sz w:val="20"/>
                <w:szCs w:val="20"/>
              </w:rPr>
              <w:t>生活</w:t>
            </w:r>
            <w:r>
              <w:rPr>
                <w:rFonts w:ascii="宋体" w:hAnsi="宋体" w:eastAsia="宋体" w:cs="宋体"/>
                <w:spacing w:val="-3"/>
                <w:sz w:val="20"/>
                <w:szCs w:val="20"/>
              </w:rPr>
              <w:t>饮</w:t>
            </w:r>
            <w:r>
              <w:rPr>
                <w:rFonts w:ascii="宋体" w:hAnsi="宋体" w:eastAsia="宋体" w:cs="宋体"/>
                <w:spacing w:val="-2"/>
                <w:sz w:val="20"/>
                <w:szCs w:val="20"/>
              </w:rPr>
              <w:t>用水标准检验方法 微生物指标</w:t>
            </w:r>
            <w:r>
              <w:rPr>
                <w:rFonts w:ascii="宋体" w:hAnsi="宋体" w:eastAsia="宋体" w:cs="宋体"/>
                <w:sz w:val="20"/>
                <w:szCs w:val="20"/>
              </w:rPr>
              <w:t xml:space="preserve"> </w:t>
            </w:r>
            <w:r>
              <w:rPr>
                <w:rFonts w:ascii="Times New Roman" w:hAnsi="Times New Roman" w:eastAsia="Times New Roman" w:cs="Times New Roman"/>
                <w:spacing w:val="-5"/>
                <w:sz w:val="20"/>
                <w:szCs w:val="20"/>
              </w:rPr>
              <w:t>GB/</w:t>
            </w:r>
            <w:r>
              <w:rPr>
                <w:rFonts w:ascii="Times New Roman" w:hAnsi="Times New Roman" w:eastAsia="Times New Roman" w:cs="Times New Roman"/>
                <w:spacing w:val="-1"/>
                <w:sz w:val="20"/>
                <w:szCs w:val="20"/>
              </w:rPr>
              <w:t>T</w:t>
            </w:r>
            <w:r>
              <w:rPr>
                <w:rFonts w:ascii="Times New Roman" w:hAnsi="Times New Roman" w:eastAsia="Times New Roman" w:cs="Times New Roman"/>
                <w:spacing w:val="-5"/>
                <w:sz w:val="20"/>
                <w:szCs w:val="20"/>
              </w:rPr>
              <w:t xml:space="preserve"> 5750. 12-2006 2. 1 </w:t>
            </w:r>
            <w:r>
              <w:rPr>
                <w:rFonts w:ascii="宋体" w:hAnsi="宋体" w:eastAsia="宋体" w:cs="宋体"/>
                <w:spacing w:val="-5"/>
                <w:sz w:val="20"/>
                <w:szCs w:val="20"/>
              </w:rPr>
              <w:t>多管发酵法</w:t>
            </w:r>
          </w:p>
        </w:tc>
        <w:tc>
          <w:tcPr>
            <w:tcW w:w="1870" w:type="dxa"/>
            <w:vAlign w:val="top"/>
          </w:tcPr>
          <w:p w14:paraId="0A17F6F5">
            <w:pPr>
              <w:spacing w:before="88" w:line="348" w:lineRule="exact"/>
              <w:ind w:left="417"/>
              <w:rPr>
                <w:rFonts w:ascii="宋体" w:hAnsi="宋体" w:eastAsia="宋体" w:cs="宋体"/>
                <w:sz w:val="20"/>
                <w:szCs w:val="20"/>
              </w:rPr>
            </w:pPr>
            <w:r>
              <w:rPr>
                <w:rFonts w:ascii="宋体" w:hAnsi="宋体" w:eastAsia="宋体" w:cs="宋体"/>
                <w:spacing w:val="8"/>
                <w:position w:val="10"/>
                <w:sz w:val="20"/>
                <w:szCs w:val="20"/>
              </w:rPr>
              <w:t>生化培养</w:t>
            </w:r>
            <w:r>
              <w:rPr>
                <w:rFonts w:ascii="宋体" w:hAnsi="宋体" w:eastAsia="宋体" w:cs="宋体"/>
                <w:spacing w:val="7"/>
                <w:position w:val="10"/>
                <w:sz w:val="20"/>
                <w:szCs w:val="20"/>
              </w:rPr>
              <w:t>箱</w:t>
            </w:r>
          </w:p>
          <w:p w14:paraId="0476FEFE">
            <w:pPr>
              <w:spacing w:line="194"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LRH</w:t>
            </w:r>
            <w:r>
              <w:rPr>
                <w:rFonts w:ascii="Times New Roman" w:hAnsi="Times New Roman" w:eastAsia="Times New Roman" w:cs="Times New Roman"/>
                <w:spacing w:val="-2"/>
                <w:sz w:val="20"/>
                <w:szCs w:val="20"/>
              </w:rPr>
              <w:t>- 1</w:t>
            </w:r>
            <w:r>
              <w:rPr>
                <w:rFonts w:ascii="Times New Roman" w:hAnsi="Times New Roman" w:eastAsia="Times New Roman" w:cs="Times New Roman"/>
                <w:spacing w:val="-1"/>
                <w:sz w:val="20"/>
                <w:szCs w:val="20"/>
              </w:rPr>
              <w:t>50B</w:t>
            </w:r>
          </w:p>
          <w:p w14:paraId="03474544">
            <w:pPr>
              <w:spacing w:before="12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SYZZ</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SB</w:t>
            </w:r>
            <w:r>
              <w:rPr>
                <w:rFonts w:ascii="Times New Roman" w:hAnsi="Times New Roman" w:eastAsia="Times New Roman" w:cs="Times New Roman"/>
                <w:spacing w:val="7"/>
                <w:sz w:val="20"/>
                <w:szCs w:val="20"/>
              </w:rPr>
              <w:t>-005-02</w:t>
            </w:r>
          </w:p>
        </w:tc>
        <w:tc>
          <w:tcPr>
            <w:tcW w:w="730" w:type="dxa"/>
            <w:vAlign w:val="top"/>
          </w:tcPr>
          <w:p w14:paraId="65CDCC70">
            <w:pPr>
              <w:spacing w:line="464" w:lineRule="auto"/>
              <w:rPr>
                <w:rFonts w:ascii="Arial"/>
                <w:sz w:val="21"/>
              </w:rPr>
            </w:pPr>
          </w:p>
          <w:p w14:paraId="5C942A30">
            <w:pPr>
              <w:spacing w:before="58" w:line="142"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10"/>
                <w:position w:val="-1"/>
                <w:sz w:val="20"/>
                <w:szCs w:val="20"/>
              </w:rPr>
              <w:t>—</w:t>
            </w:r>
          </w:p>
        </w:tc>
        <w:tc>
          <w:tcPr>
            <w:tcW w:w="975" w:type="dxa"/>
            <w:tcBorders>
              <w:right w:val="nil"/>
            </w:tcBorders>
            <w:vAlign w:val="top"/>
          </w:tcPr>
          <w:p w14:paraId="001FDF14">
            <w:pPr>
              <w:spacing w:before="206" w:line="281" w:lineRule="exact"/>
              <w:ind w:left="2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MPN</w:t>
            </w:r>
            <w:r>
              <w:rPr>
                <w:rFonts w:ascii="Times New Roman" w:hAnsi="Times New Roman" w:eastAsia="Times New Roman" w:cs="Times New Roman"/>
                <w:spacing w:val="19"/>
                <w:position w:val="2"/>
                <w:sz w:val="20"/>
                <w:szCs w:val="20"/>
              </w:rPr>
              <w:t>/</w:t>
            </w:r>
          </w:p>
          <w:p w14:paraId="71D3DE4A">
            <w:pPr>
              <w:spacing w:before="104"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0mL</w:t>
            </w:r>
          </w:p>
        </w:tc>
      </w:tr>
    </w:tbl>
    <w:p w14:paraId="536953D5">
      <w:pPr>
        <w:rPr>
          <w:rFonts w:ascii="Arial"/>
          <w:sz w:val="21"/>
        </w:rPr>
      </w:pPr>
    </w:p>
    <w:p w14:paraId="571237FD">
      <w:pPr>
        <w:sectPr>
          <w:footerReference r:id="rId166" w:type="default"/>
          <w:pgSz w:w="11906" w:h="16839"/>
          <w:pgMar w:top="1132" w:right="1691" w:bottom="1182" w:left="1691" w:header="878" w:footer="1022" w:gutter="0"/>
          <w:cols w:space="720" w:num="1"/>
        </w:sectPr>
      </w:pPr>
    </w:p>
    <w:p w14:paraId="0F3C701A">
      <w:r>
        <w:pict>
          <v:shape id="_x0000_s1219" o:spid="_x0000_s1219" style="position:absolute;left:0pt;margin-left:90pt;margin-top:57.35pt;height:0.75pt;width:415.3pt;mso-position-horizontal-relative:page;mso-position-vertical-relative:page;z-index:251871232;mso-width-relative:page;mso-height-relative:page;" fillcolor="#000000" filled="t" stroked="f" coordsize="8305,15" o:allowincell="f" path="m0,0l8305,0,8305,14,0,14,0,0xe">
            <v:path/>
            <v:fill on="t" focussize="0,0"/>
            <v:stroke on="f"/>
            <v:imagedata o:title=""/>
            <o:lock v:ext="edit"/>
          </v:shape>
        </w:pict>
      </w:r>
    </w:p>
    <w:p w14:paraId="57A5C13B">
      <w:pPr>
        <w:spacing w:line="65"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1131"/>
        <w:gridCol w:w="3336"/>
        <w:gridCol w:w="1870"/>
        <w:gridCol w:w="730"/>
        <w:gridCol w:w="975"/>
      </w:tblGrid>
      <w:tr w14:paraId="38894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480" w:type="dxa"/>
            <w:tcBorders>
              <w:left w:val="nil"/>
            </w:tcBorders>
            <w:vAlign w:val="top"/>
          </w:tcPr>
          <w:p w14:paraId="5FE6D4C3">
            <w:pPr>
              <w:spacing w:line="366" w:lineRule="auto"/>
              <w:rPr>
                <w:rFonts w:ascii="Arial"/>
                <w:sz w:val="21"/>
              </w:rPr>
            </w:pPr>
          </w:p>
          <w:p w14:paraId="331843BA">
            <w:pPr>
              <w:spacing w:before="58" w:line="192"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1" w:type="dxa"/>
            <w:vAlign w:val="top"/>
          </w:tcPr>
          <w:p w14:paraId="083696FB">
            <w:pPr>
              <w:spacing w:line="366" w:lineRule="auto"/>
              <w:rPr>
                <w:rFonts w:ascii="Arial"/>
                <w:sz w:val="21"/>
              </w:rPr>
            </w:pPr>
          </w:p>
          <w:p w14:paraId="0123B618">
            <w:pPr>
              <w:spacing w:before="58" w:line="194"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336" w:type="dxa"/>
            <w:vAlign w:val="top"/>
          </w:tcPr>
          <w:p w14:paraId="323627B4">
            <w:pPr>
              <w:spacing w:before="75" w:line="228" w:lineRule="auto"/>
              <w:ind w:left="47"/>
              <w:rPr>
                <w:rFonts w:ascii="宋体" w:hAnsi="宋体" w:eastAsia="宋体" w:cs="宋体"/>
                <w:sz w:val="20"/>
                <w:szCs w:val="20"/>
              </w:rPr>
            </w:pPr>
            <w:r>
              <w:rPr>
                <w:rFonts w:ascii="宋体" w:hAnsi="宋体" w:eastAsia="宋体" w:cs="宋体"/>
                <w:spacing w:val="9"/>
                <w:sz w:val="20"/>
                <w:szCs w:val="20"/>
              </w:rPr>
              <w:t>生活饮用水标准检验方法 感官性</w:t>
            </w:r>
            <w:r>
              <w:rPr>
                <w:rFonts w:ascii="宋体" w:hAnsi="宋体" w:eastAsia="宋体" w:cs="宋体"/>
                <w:spacing w:val="7"/>
                <w:sz w:val="20"/>
                <w:szCs w:val="20"/>
              </w:rPr>
              <w:t>状</w:t>
            </w:r>
          </w:p>
          <w:p w14:paraId="3E438909">
            <w:pPr>
              <w:spacing w:before="27" w:line="281" w:lineRule="exact"/>
              <w:ind w:left="99"/>
              <w:rPr>
                <w:rFonts w:ascii="Times New Roman" w:hAnsi="Times New Roman" w:eastAsia="Times New Roman" w:cs="Times New Roman"/>
                <w:sz w:val="20"/>
                <w:szCs w:val="20"/>
              </w:rPr>
            </w:pPr>
            <w:r>
              <w:rPr>
                <w:rFonts w:ascii="宋体" w:hAnsi="宋体" w:eastAsia="宋体" w:cs="宋体"/>
                <w:spacing w:val="8"/>
                <w:position w:val="1"/>
                <w:sz w:val="20"/>
                <w:szCs w:val="20"/>
              </w:rPr>
              <w:t>和物</w:t>
            </w:r>
            <w:r>
              <w:rPr>
                <w:rFonts w:ascii="宋体" w:hAnsi="宋体" w:eastAsia="宋体" w:cs="宋体"/>
                <w:spacing w:val="6"/>
                <w:position w:val="1"/>
                <w:sz w:val="20"/>
                <w:szCs w:val="20"/>
              </w:rPr>
              <w:t>理</w:t>
            </w:r>
            <w:r>
              <w:rPr>
                <w:rFonts w:ascii="宋体" w:hAnsi="宋体" w:eastAsia="宋体" w:cs="宋体"/>
                <w:spacing w:val="4"/>
                <w:position w:val="1"/>
                <w:sz w:val="20"/>
                <w:szCs w:val="20"/>
              </w:rPr>
              <w:t xml:space="preserve">指标 </w:t>
            </w:r>
            <w:r>
              <w:rPr>
                <w:rFonts w:ascii="Times New Roman" w:hAnsi="Times New Roman" w:eastAsia="Times New Roman" w:cs="Times New Roman"/>
                <w:spacing w:val="4"/>
                <w:position w:val="1"/>
                <w:sz w:val="20"/>
                <w:szCs w:val="20"/>
              </w:rPr>
              <w:t xml:space="preserve">5. 1  </w:t>
            </w:r>
            <w:r>
              <w:rPr>
                <w:rFonts w:ascii="宋体" w:hAnsi="宋体" w:eastAsia="宋体" w:cs="宋体"/>
                <w:spacing w:val="4"/>
                <w:position w:val="1"/>
                <w:sz w:val="20"/>
                <w:szCs w:val="20"/>
              </w:rPr>
              <w:t xml:space="preserve">玻璃电极法 </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T</w:t>
            </w:r>
          </w:p>
          <w:p w14:paraId="32C08421">
            <w:pPr>
              <w:spacing w:before="104"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57</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0.4-2006</w:t>
            </w:r>
          </w:p>
        </w:tc>
        <w:tc>
          <w:tcPr>
            <w:tcW w:w="1870" w:type="dxa"/>
            <w:vAlign w:val="top"/>
          </w:tcPr>
          <w:p w14:paraId="152F3B3B">
            <w:pPr>
              <w:spacing w:line="320" w:lineRule="auto"/>
              <w:rPr>
                <w:rFonts w:ascii="Arial"/>
                <w:sz w:val="21"/>
              </w:rPr>
            </w:pPr>
          </w:p>
          <w:p w14:paraId="1C205D2A">
            <w:pPr>
              <w:spacing w:before="65" w:line="229"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计 </w:t>
            </w:r>
            <w:r>
              <w:rPr>
                <w:rFonts w:ascii="Times New Roman" w:hAnsi="Times New Roman" w:eastAsia="Times New Roman" w:cs="Times New Roman"/>
                <w:sz w:val="20"/>
                <w:szCs w:val="20"/>
              </w:rPr>
              <w:t>PHS</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C</w:t>
            </w:r>
          </w:p>
        </w:tc>
        <w:tc>
          <w:tcPr>
            <w:tcW w:w="730" w:type="dxa"/>
            <w:vAlign w:val="top"/>
          </w:tcPr>
          <w:p w14:paraId="2608FE67">
            <w:pPr>
              <w:spacing w:line="364" w:lineRule="auto"/>
              <w:rPr>
                <w:rFonts w:ascii="Arial"/>
                <w:sz w:val="21"/>
              </w:rPr>
            </w:pPr>
          </w:p>
          <w:p w14:paraId="5480EB44">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c>
          <w:tcPr>
            <w:tcW w:w="975" w:type="dxa"/>
            <w:tcBorders>
              <w:right w:val="nil"/>
            </w:tcBorders>
            <w:vAlign w:val="top"/>
          </w:tcPr>
          <w:p w14:paraId="0270E984">
            <w:pPr>
              <w:spacing w:line="321" w:lineRule="auto"/>
              <w:rPr>
                <w:rFonts w:ascii="Arial"/>
                <w:sz w:val="21"/>
              </w:rPr>
            </w:pPr>
          </w:p>
          <w:p w14:paraId="5F77B6F0">
            <w:pPr>
              <w:spacing w:before="65" w:line="228" w:lineRule="auto"/>
              <w:ind w:left="17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r>
      <w:tr w14:paraId="3B67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80" w:type="dxa"/>
            <w:tcBorders>
              <w:left w:val="nil"/>
            </w:tcBorders>
            <w:vAlign w:val="top"/>
          </w:tcPr>
          <w:p w14:paraId="5DDA0BE2">
            <w:pPr>
              <w:spacing w:line="339" w:lineRule="auto"/>
              <w:rPr>
                <w:rFonts w:ascii="Arial"/>
                <w:sz w:val="21"/>
              </w:rPr>
            </w:pPr>
          </w:p>
          <w:p w14:paraId="2C140387">
            <w:pPr>
              <w:spacing w:before="5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31" w:type="dxa"/>
            <w:vAlign w:val="top"/>
          </w:tcPr>
          <w:p w14:paraId="2FEAF797">
            <w:pPr>
              <w:spacing w:line="296" w:lineRule="auto"/>
              <w:rPr>
                <w:rFonts w:ascii="Arial"/>
                <w:sz w:val="21"/>
              </w:rPr>
            </w:pPr>
          </w:p>
          <w:p w14:paraId="60EF3DCF">
            <w:pPr>
              <w:spacing w:before="65" w:line="228" w:lineRule="auto"/>
              <w:ind w:left="256"/>
              <w:rPr>
                <w:rFonts w:ascii="宋体" w:hAnsi="宋体" w:eastAsia="宋体" w:cs="宋体"/>
                <w:sz w:val="20"/>
                <w:szCs w:val="20"/>
              </w:rPr>
            </w:pPr>
            <w:r>
              <w:rPr>
                <w:rFonts w:ascii="宋体" w:hAnsi="宋体" w:eastAsia="宋体" w:cs="宋体"/>
                <w:spacing w:val="7"/>
                <w:sz w:val="20"/>
                <w:szCs w:val="20"/>
              </w:rPr>
              <w:t>浑</w:t>
            </w:r>
            <w:r>
              <w:rPr>
                <w:rFonts w:ascii="宋体" w:hAnsi="宋体" w:eastAsia="宋体" w:cs="宋体"/>
                <w:spacing w:val="6"/>
                <w:sz w:val="20"/>
                <w:szCs w:val="20"/>
              </w:rPr>
              <w:t>浊度</w:t>
            </w:r>
          </w:p>
        </w:tc>
        <w:tc>
          <w:tcPr>
            <w:tcW w:w="3336" w:type="dxa"/>
            <w:vAlign w:val="top"/>
          </w:tcPr>
          <w:p w14:paraId="7527510C">
            <w:pPr>
              <w:spacing w:before="52" w:line="301" w:lineRule="auto"/>
              <w:ind w:left="307" w:right="41" w:hanging="260"/>
              <w:rPr>
                <w:rFonts w:ascii="Times New Roman" w:hAnsi="Times New Roman" w:eastAsia="Times New Roman" w:cs="Times New Roman"/>
                <w:sz w:val="20"/>
                <w:szCs w:val="20"/>
              </w:rPr>
            </w:pPr>
            <w:r>
              <w:rPr>
                <w:rFonts w:ascii="宋体" w:hAnsi="宋体" w:eastAsia="宋体" w:cs="宋体"/>
                <w:spacing w:val="9"/>
                <w:sz w:val="20"/>
                <w:szCs w:val="20"/>
              </w:rPr>
              <w:t>生活饮用水标准检验方法 感官性</w:t>
            </w:r>
            <w:r>
              <w:rPr>
                <w:rFonts w:ascii="宋体" w:hAnsi="宋体" w:eastAsia="宋体" w:cs="宋体"/>
                <w:spacing w:val="7"/>
                <w:sz w:val="20"/>
                <w:szCs w:val="20"/>
              </w:rPr>
              <w:t>状</w:t>
            </w:r>
            <w:r>
              <w:rPr>
                <w:rFonts w:ascii="宋体" w:hAnsi="宋体" w:eastAsia="宋体" w:cs="宋体"/>
                <w:sz w:val="20"/>
                <w:szCs w:val="20"/>
              </w:rPr>
              <w:t xml:space="preserve"> </w:t>
            </w:r>
            <w:r>
              <w:rPr>
                <w:rFonts w:ascii="宋体" w:hAnsi="宋体" w:eastAsia="宋体" w:cs="宋体"/>
                <w:spacing w:val="5"/>
                <w:sz w:val="20"/>
                <w:szCs w:val="20"/>
              </w:rPr>
              <w:t>和</w:t>
            </w:r>
            <w:r>
              <w:rPr>
                <w:rFonts w:ascii="宋体" w:hAnsi="宋体" w:eastAsia="宋体" w:cs="宋体"/>
                <w:spacing w:val="4"/>
                <w:sz w:val="20"/>
                <w:szCs w:val="20"/>
              </w:rPr>
              <w:t xml:space="preserve">物理指标 </w:t>
            </w:r>
            <w:r>
              <w:rPr>
                <w:rFonts w:ascii="Times New Roman" w:hAnsi="Times New Roman" w:eastAsia="Times New Roman" w:cs="Times New Roman"/>
                <w:spacing w:val="4"/>
                <w:sz w:val="20"/>
                <w:szCs w:val="20"/>
              </w:rPr>
              <w:t xml:space="preserve">6. 1  </w:t>
            </w:r>
            <w:r>
              <w:rPr>
                <w:rFonts w:ascii="宋体" w:hAnsi="宋体" w:eastAsia="宋体" w:cs="宋体"/>
                <w:spacing w:val="4"/>
                <w:sz w:val="20"/>
                <w:szCs w:val="20"/>
              </w:rPr>
              <w:t xml:space="preserve">电极法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T</w:t>
            </w:r>
          </w:p>
          <w:p w14:paraId="0CE34BD9">
            <w:pPr>
              <w:spacing w:before="6"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57</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0.4-2006</w:t>
            </w:r>
          </w:p>
        </w:tc>
        <w:tc>
          <w:tcPr>
            <w:tcW w:w="1870" w:type="dxa"/>
            <w:vAlign w:val="top"/>
          </w:tcPr>
          <w:p w14:paraId="6D03B876">
            <w:pPr>
              <w:spacing w:before="207" w:line="323" w:lineRule="auto"/>
              <w:ind w:left="427" w:right="305" w:hanging="117"/>
              <w:rPr>
                <w:rFonts w:ascii="Times New Roman" w:hAnsi="Times New Roman" w:eastAsia="Times New Roman" w:cs="Times New Roman"/>
                <w:sz w:val="20"/>
                <w:szCs w:val="20"/>
              </w:rPr>
            </w:pPr>
            <w:r>
              <w:rPr>
                <w:rFonts w:ascii="宋体" w:hAnsi="宋体" w:eastAsia="宋体" w:cs="宋体"/>
                <w:spacing w:val="8"/>
                <w:sz w:val="20"/>
                <w:szCs w:val="20"/>
              </w:rPr>
              <w:t>便携式浊度计</w:t>
            </w:r>
            <w:r>
              <w:rPr>
                <w:rFonts w:ascii="宋体" w:hAnsi="宋体" w:eastAsia="宋体" w:cs="宋体"/>
                <w:sz w:val="20"/>
                <w:szCs w:val="20"/>
              </w:rPr>
              <w:t xml:space="preserve"> </w:t>
            </w:r>
            <w:r>
              <w:rPr>
                <w:rFonts w:ascii="Times New Roman" w:hAnsi="Times New Roman" w:eastAsia="Times New Roman" w:cs="Times New Roman"/>
                <w:sz w:val="20"/>
                <w:szCs w:val="20"/>
              </w:rPr>
              <w:t>SGZ</w:t>
            </w:r>
            <w:r>
              <w:rPr>
                <w:rFonts w:ascii="Times New Roman" w:hAnsi="Times New Roman" w:eastAsia="Times New Roman" w:cs="Times New Roman"/>
                <w:spacing w:val="9"/>
                <w:sz w:val="20"/>
                <w:szCs w:val="20"/>
              </w:rPr>
              <w:t>-20</w:t>
            </w:r>
            <w:r>
              <w:rPr>
                <w:rFonts w:ascii="Times New Roman" w:hAnsi="Times New Roman" w:eastAsia="Times New Roman" w:cs="Times New Roman"/>
                <w:spacing w:val="8"/>
                <w:sz w:val="20"/>
                <w:szCs w:val="20"/>
              </w:rPr>
              <w:t>0</w:t>
            </w:r>
            <w:r>
              <w:rPr>
                <w:rFonts w:ascii="Times New Roman" w:hAnsi="Times New Roman" w:eastAsia="Times New Roman" w:cs="Times New Roman"/>
                <w:sz w:val="20"/>
                <w:szCs w:val="20"/>
              </w:rPr>
              <w:t>BS</w:t>
            </w:r>
          </w:p>
        </w:tc>
        <w:tc>
          <w:tcPr>
            <w:tcW w:w="730" w:type="dxa"/>
            <w:vAlign w:val="top"/>
          </w:tcPr>
          <w:p w14:paraId="0C5FB410">
            <w:pPr>
              <w:spacing w:line="339" w:lineRule="auto"/>
              <w:rPr>
                <w:rFonts w:ascii="Arial"/>
                <w:sz w:val="21"/>
              </w:rPr>
            </w:pPr>
          </w:p>
          <w:p w14:paraId="6EEC3C6E">
            <w:pPr>
              <w:spacing w:before="58"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975" w:type="dxa"/>
            <w:tcBorders>
              <w:right w:val="nil"/>
            </w:tcBorders>
            <w:vAlign w:val="top"/>
          </w:tcPr>
          <w:p w14:paraId="3F5D0DA9">
            <w:pPr>
              <w:spacing w:line="342" w:lineRule="auto"/>
              <w:rPr>
                <w:rFonts w:ascii="Arial"/>
                <w:sz w:val="21"/>
              </w:rPr>
            </w:pPr>
          </w:p>
          <w:p w14:paraId="5161044A">
            <w:pPr>
              <w:spacing w:before="57" w:line="192"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NT</w:t>
            </w:r>
            <w:r>
              <w:rPr>
                <w:rFonts w:ascii="Times New Roman" w:hAnsi="Times New Roman" w:eastAsia="Times New Roman" w:cs="Times New Roman"/>
                <w:spacing w:val="6"/>
                <w:sz w:val="20"/>
                <w:szCs w:val="20"/>
              </w:rPr>
              <w:t>U</w:t>
            </w:r>
          </w:p>
        </w:tc>
      </w:tr>
      <w:tr w14:paraId="52E7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353D593C">
            <w:pPr>
              <w:spacing w:line="345" w:lineRule="auto"/>
              <w:rPr>
                <w:rFonts w:ascii="Arial"/>
                <w:sz w:val="21"/>
              </w:rPr>
            </w:pPr>
          </w:p>
          <w:p w14:paraId="6A3F70C5">
            <w:pPr>
              <w:spacing w:before="57" w:line="192"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31" w:type="dxa"/>
            <w:vAlign w:val="top"/>
          </w:tcPr>
          <w:p w14:paraId="2BF39063">
            <w:pPr>
              <w:spacing w:line="299" w:lineRule="auto"/>
              <w:rPr>
                <w:rFonts w:ascii="Arial"/>
                <w:sz w:val="21"/>
              </w:rPr>
            </w:pPr>
          </w:p>
          <w:p w14:paraId="0BD5C4D5">
            <w:pPr>
              <w:spacing w:before="65" w:line="227" w:lineRule="auto"/>
              <w:ind w:left="256"/>
              <w:rPr>
                <w:rFonts w:ascii="宋体" w:hAnsi="宋体" w:eastAsia="宋体" w:cs="宋体"/>
                <w:sz w:val="20"/>
                <w:szCs w:val="20"/>
              </w:rPr>
            </w:pPr>
            <w:r>
              <w:rPr>
                <w:rFonts w:ascii="宋体" w:hAnsi="宋体" w:eastAsia="宋体" w:cs="宋体"/>
                <w:spacing w:val="7"/>
                <w:sz w:val="20"/>
                <w:szCs w:val="20"/>
              </w:rPr>
              <w:t>耗</w:t>
            </w:r>
            <w:r>
              <w:rPr>
                <w:rFonts w:ascii="宋体" w:hAnsi="宋体" w:eastAsia="宋体" w:cs="宋体"/>
                <w:spacing w:val="6"/>
                <w:sz w:val="20"/>
                <w:szCs w:val="20"/>
              </w:rPr>
              <w:t>氧量</w:t>
            </w:r>
          </w:p>
        </w:tc>
        <w:tc>
          <w:tcPr>
            <w:tcW w:w="3336" w:type="dxa"/>
            <w:vAlign w:val="top"/>
          </w:tcPr>
          <w:p w14:paraId="34045A2F">
            <w:pPr>
              <w:spacing w:before="54" w:line="227" w:lineRule="auto"/>
              <w:ind w:left="47"/>
              <w:rPr>
                <w:rFonts w:ascii="宋体" w:hAnsi="宋体" w:eastAsia="宋体" w:cs="宋体"/>
                <w:sz w:val="20"/>
                <w:szCs w:val="20"/>
              </w:rPr>
            </w:pPr>
            <w:r>
              <w:rPr>
                <w:rFonts w:ascii="宋体" w:hAnsi="宋体" w:eastAsia="宋体" w:cs="宋体"/>
                <w:spacing w:val="9"/>
                <w:sz w:val="20"/>
                <w:szCs w:val="20"/>
              </w:rPr>
              <w:t>生活饮用水标准检验方法 有机物</w:t>
            </w:r>
            <w:r>
              <w:rPr>
                <w:rFonts w:ascii="宋体" w:hAnsi="宋体" w:eastAsia="宋体" w:cs="宋体"/>
                <w:spacing w:val="7"/>
                <w:sz w:val="20"/>
                <w:szCs w:val="20"/>
              </w:rPr>
              <w:t>综</w:t>
            </w:r>
          </w:p>
          <w:p w14:paraId="60107F16">
            <w:pPr>
              <w:spacing w:before="65" w:line="228" w:lineRule="auto"/>
              <w:ind w:left="178"/>
              <w:rPr>
                <w:rFonts w:ascii="宋体" w:hAnsi="宋体" w:eastAsia="宋体" w:cs="宋体"/>
                <w:sz w:val="20"/>
                <w:szCs w:val="20"/>
              </w:rPr>
            </w:pPr>
            <w:r>
              <w:rPr>
                <w:rFonts w:ascii="宋体" w:hAnsi="宋体" w:eastAsia="宋体" w:cs="宋体"/>
                <w:spacing w:val="8"/>
                <w:sz w:val="20"/>
                <w:szCs w:val="20"/>
              </w:rPr>
              <w:t>合</w:t>
            </w:r>
            <w:r>
              <w:rPr>
                <w:rFonts w:ascii="宋体" w:hAnsi="宋体" w:eastAsia="宋体" w:cs="宋体"/>
                <w:spacing w:val="5"/>
                <w:sz w:val="20"/>
                <w:szCs w:val="20"/>
              </w:rPr>
              <w:t>指</w:t>
            </w:r>
            <w:r>
              <w:rPr>
                <w:rFonts w:ascii="宋体" w:hAnsi="宋体" w:eastAsia="宋体" w:cs="宋体"/>
                <w:spacing w:val="4"/>
                <w:sz w:val="20"/>
                <w:szCs w:val="20"/>
              </w:rPr>
              <w:t xml:space="preserve">标 </w:t>
            </w:r>
            <w:r>
              <w:rPr>
                <w:rFonts w:ascii="Times New Roman" w:hAnsi="Times New Roman" w:eastAsia="Times New Roman" w:cs="Times New Roman"/>
                <w:spacing w:val="4"/>
                <w:sz w:val="20"/>
                <w:szCs w:val="20"/>
              </w:rPr>
              <w:t xml:space="preserve">1. 1  </w:t>
            </w:r>
            <w:r>
              <w:rPr>
                <w:rFonts w:ascii="宋体" w:hAnsi="宋体" w:eastAsia="宋体" w:cs="宋体"/>
                <w:spacing w:val="4"/>
                <w:sz w:val="20"/>
                <w:szCs w:val="20"/>
              </w:rPr>
              <w:t>酸性高锰酸钾滴定法</w:t>
            </w:r>
          </w:p>
          <w:p w14:paraId="2740075E">
            <w:pPr>
              <w:spacing w:before="27" w:line="281"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5"/>
                <w:position w:val="2"/>
                <w:sz w:val="20"/>
                <w:szCs w:val="20"/>
              </w:rPr>
              <w:t xml:space="preserve"> 5750.7-200</w:t>
            </w:r>
            <w:r>
              <w:rPr>
                <w:rFonts w:ascii="Times New Roman" w:hAnsi="Times New Roman" w:eastAsia="Times New Roman" w:cs="Times New Roman"/>
                <w:spacing w:val="2"/>
                <w:position w:val="2"/>
                <w:sz w:val="20"/>
                <w:szCs w:val="20"/>
              </w:rPr>
              <w:t>6</w:t>
            </w:r>
          </w:p>
        </w:tc>
        <w:tc>
          <w:tcPr>
            <w:tcW w:w="1870" w:type="dxa"/>
            <w:vAlign w:val="top"/>
          </w:tcPr>
          <w:p w14:paraId="1EBF1EAB">
            <w:pPr>
              <w:spacing w:line="299" w:lineRule="auto"/>
              <w:rPr>
                <w:rFonts w:ascii="Arial"/>
                <w:sz w:val="21"/>
              </w:rPr>
            </w:pPr>
          </w:p>
          <w:p w14:paraId="59E461D3">
            <w:pPr>
              <w:spacing w:before="65" w:line="228" w:lineRule="auto"/>
              <w:ind w:left="140"/>
              <w:rPr>
                <w:rFonts w:ascii="Times New Roman" w:hAnsi="Times New Roman" w:eastAsia="Times New Roman" w:cs="Times New Roman"/>
                <w:sz w:val="20"/>
                <w:szCs w:val="20"/>
              </w:rPr>
            </w:pPr>
            <w:r>
              <w:rPr>
                <w:rFonts w:ascii="宋体" w:hAnsi="宋体" w:eastAsia="宋体" w:cs="宋体"/>
                <w:spacing w:val="2"/>
                <w:sz w:val="20"/>
                <w:szCs w:val="20"/>
              </w:rPr>
              <w:t xml:space="preserve">酸式滴定管 </w:t>
            </w:r>
            <w:r>
              <w:rPr>
                <w:rFonts w:ascii="Times New Roman" w:hAnsi="Times New Roman" w:eastAsia="Times New Roman" w:cs="Times New Roman"/>
                <w:spacing w:val="1"/>
                <w:sz w:val="20"/>
                <w:szCs w:val="20"/>
              </w:rPr>
              <w:t>50</w:t>
            </w:r>
            <w:r>
              <w:rPr>
                <w:rFonts w:ascii="Times New Roman" w:hAnsi="Times New Roman" w:eastAsia="Times New Roman" w:cs="Times New Roman"/>
                <w:sz w:val="20"/>
                <w:szCs w:val="20"/>
              </w:rPr>
              <w:t>mL</w:t>
            </w:r>
          </w:p>
        </w:tc>
        <w:tc>
          <w:tcPr>
            <w:tcW w:w="730" w:type="dxa"/>
            <w:vAlign w:val="top"/>
          </w:tcPr>
          <w:p w14:paraId="2EED77BB">
            <w:pPr>
              <w:spacing w:line="342" w:lineRule="auto"/>
              <w:rPr>
                <w:rFonts w:ascii="Arial"/>
                <w:sz w:val="21"/>
              </w:rPr>
            </w:pPr>
          </w:p>
          <w:p w14:paraId="377F2E8C">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975" w:type="dxa"/>
            <w:tcBorders>
              <w:right w:val="nil"/>
            </w:tcBorders>
            <w:vAlign w:val="top"/>
          </w:tcPr>
          <w:p w14:paraId="13CB122C">
            <w:pPr>
              <w:spacing w:line="269" w:lineRule="auto"/>
              <w:rPr>
                <w:rFonts w:ascii="Arial"/>
                <w:sz w:val="21"/>
              </w:rPr>
            </w:pPr>
          </w:p>
          <w:p w14:paraId="0F4876B6">
            <w:pPr>
              <w:spacing w:before="57" w:line="282"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031D8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80" w:type="dxa"/>
            <w:tcBorders>
              <w:left w:val="nil"/>
            </w:tcBorders>
            <w:vAlign w:val="top"/>
          </w:tcPr>
          <w:p w14:paraId="65DD4C98">
            <w:pPr>
              <w:spacing w:line="342" w:lineRule="auto"/>
              <w:rPr>
                <w:rFonts w:ascii="Arial"/>
                <w:sz w:val="21"/>
              </w:rPr>
            </w:pPr>
          </w:p>
          <w:p w14:paraId="3C411150">
            <w:pPr>
              <w:spacing w:before="5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1" w:type="dxa"/>
            <w:vAlign w:val="top"/>
          </w:tcPr>
          <w:p w14:paraId="7B840707">
            <w:pPr>
              <w:spacing w:line="298" w:lineRule="auto"/>
              <w:rPr>
                <w:rFonts w:ascii="Arial"/>
                <w:sz w:val="21"/>
              </w:rPr>
            </w:pPr>
          </w:p>
          <w:p w14:paraId="0AC41285">
            <w:pPr>
              <w:spacing w:before="65" w:line="227" w:lineRule="auto"/>
              <w:ind w:left="360"/>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3336" w:type="dxa"/>
            <w:vAlign w:val="top"/>
          </w:tcPr>
          <w:p w14:paraId="671D040E">
            <w:pPr>
              <w:spacing w:before="53" w:line="227" w:lineRule="auto"/>
              <w:ind w:left="47"/>
              <w:rPr>
                <w:rFonts w:ascii="宋体" w:hAnsi="宋体" w:eastAsia="宋体" w:cs="宋体"/>
                <w:sz w:val="20"/>
                <w:szCs w:val="20"/>
              </w:rPr>
            </w:pPr>
            <w:r>
              <w:rPr>
                <w:rFonts w:ascii="宋体" w:hAnsi="宋体" w:eastAsia="宋体" w:cs="宋体"/>
                <w:spacing w:val="9"/>
                <w:sz w:val="20"/>
                <w:szCs w:val="20"/>
              </w:rPr>
              <w:t>生活饮用水标准检验方法 无机非</w:t>
            </w:r>
            <w:r>
              <w:rPr>
                <w:rFonts w:ascii="宋体" w:hAnsi="宋体" w:eastAsia="宋体" w:cs="宋体"/>
                <w:spacing w:val="7"/>
                <w:sz w:val="20"/>
                <w:szCs w:val="20"/>
              </w:rPr>
              <w:t>金</w:t>
            </w:r>
          </w:p>
          <w:p w14:paraId="580BB8A7">
            <w:pPr>
              <w:spacing w:before="66" w:line="227" w:lineRule="auto"/>
              <w:ind w:left="179"/>
              <w:rPr>
                <w:rFonts w:ascii="宋体" w:hAnsi="宋体" w:eastAsia="宋体" w:cs="宋体"/>
                <w:sz w:val="20"/>
                <w:szCs w:val="20"/>
              </w:rPr>
            </w:pPr>
            <w:r>
              <w:rPr>
                <w:rFonts w:ascii="宋体" w:hAnsi="宋体" w:eastAsia="宋体" w:cs="宋体"/>
                <w:spacing w:val="8"/>
                <w:sz w:val="20"/>
                <w:szCs w:val="20"/>
              </w:rPr>
              <w:t>属</w:t>
            </w:r>
            <w:r>
              <w:rPr>
                <w:rFonts w:ascii="宋体" w:hAnsi="宋体" w:eastAsia="宋体" w:cs="宋体"/>
                <w:spacing w:val="4"/>
                <w:sz w:val="20"/>
                <w:szCs w:val="20"/>
              </w:rPr>
              <w:t xml:space="preserve">指标 </w:t>
            </w:r>
            <w:r>
              <w:rPr>
                <w:rFonts w:ascii="Times New Roman" w:hAnsi="Times New Roman" w:eastAsia="Times New Roman" w:cs="Times New Roman"/>
                <w:spacing w:val="4"/>
                <w:sz w:val="20"/>
                <w:szCs w:val="20"/>
              </w:rPr>
              <w:t xml:space="preserve">9. 1  </w:t>
            </w:r>
            <w:r>
              <w:rPr>
                <w:rFonts w:ascii="宋体" w:hAnsi="宋体" w:eastAsia="宋体" w:cs="宋体"/>
                <w:spacing w:val="4"/>
                <w:sz w:val="20"/>
                <w:szCs w:val="20"/>
              </w:rPr>
              <w:t>纳氏试剂分光光度法</w:t>
            </w:r>
          </w:p>
          <w:p w14:paraId="03AE1B73">
            <w:pPr>
              <w:spacing w:before="28" w:line="281"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5"/>
                <w:position w:val="2"/>
                <w:sz w:val="20"/>
                <w:szCs w:val="20"/>
              </w:rPr>
              <w:t xml:space="preserve"> 5750.4-200</w:t>
            </w:r>
            <w:r>
              <w:rPr>
                <w:rFonts w:ascii="Times New Roman" w:hAnsi="Times New Roman" w:eastAsia="Times New Roman" w:cs="Times New Roman"/>
                <w:spacing w:val="2"/>
                <w:position w:val="2"/>
                <w:sz w:val="20"/>
                <w:szCs w:val="20"/>
              </w:rPr>
              <w:t>6</w:t>
            </w:r>
          </w:p>
        </w:tc>
        <w:tc>
          <w:tcPr>
            <w:tcW w:w="1870" w:type="dxa"/>
            <w:vAlign w:val="top"/>
          </w:tcPr>
          <w:p w14:paraId="50CF67DC">
            <w:pPr>
              <w:spacing w:before="210" w:line="301" w:lineRule="auto"/>
              <w:ind w:left="319" w:right="94" w:hanging="213"/>
              <w:rPr>
                <w:rFonts w:ascii="Times New Roman" w:hAnsi="Times New Roman" w:eastAsia="Times New Roman" w:cs="Times New Roman"/>
                <w:sz w:val="20"/>
                <w:szCs w:val="20"/>
              </w:rPr>
            </w:pPr>
            <w:r>
              <w:rPr>
                <w:rFonts w:ascii="宋体" w:hAnsi="宋体" w:eastAsia="宋体" w:cs="宋体"/>
                <w:spacing w:val="8"/>
                <w:sz w:val="20"/>
                <w:szCs w:val="20"/>
              </w:rPr>
              <w:t>紫外可见分光光度</w:t>
            </w:r>
            <w:r>
              <w:rPr>
                <w:rFonts w:ascii="宋体" w:hAnsi="宋体" w:eastAsia="宋体" w:cs="宋体"/>
                <w:sz w:val="20"/>
                <w:szCs w:val="20"/>
              </w:rPr>
              <w:t xml:space="preserve"> </w:t>
            </w:r>
            <w:r>
              <w:rPr>
                <w:rFonts w:ascii="宋体" w:hAnsi="宋体" w:eastAsia="宋体" w:cs="宋体"/>
                <w:spacing w:val="1"/>
                <w:sz w:val="20"/>
                <w:szCs w:val="20"/>
              </w:rPr>
              <w:t>计</w:t>
            </w:r>
            <w:r>
              <w:rPr>
                <w:rFonts w:ascii="宋体" w:hAnsi="宋体" w:eastAsia="宋体" w:cs="宋体"/>
                <w:sz w:val="20"/>
                <w:szCs w:val="20"/>
              </w:rPr>
              <w:t xml:space="preserve"> </w:t>
            </w:r>
            <w:r>
              <w:rPr>
                <w:rFonts w:ascii="Times New Roman" w:hAnsi="Times New Roman" w:eastAsia="Times New Roman" w:cs="Times New Roman"/>
                <w:sz w:val="20"/>
                <w:szCs w:val="20"/>
              </w:rPr>
              <w:t>UV1800PC</w:t>
            </w:r>
          </w:p>
        </w:tc>
        <w:tc>
          <w:tcPr>
            <w:tcW w:w="730" w:type="dxa"/>
            <w:vAlign w:val="top"/>
          </w:tcPr>
          <w:p w14:paraId="5ADC5EF6">
            <w:pPr>
              <w:spacing w:line="342" w:lineRule="auto"/>
              <w:rPr>
                <w:rFonts w:ascii="Arial"/>
                <w:sz w:val="21"/>
              </w:rPr>
            </w:pPr>
          </w:p>
          <w:p w14:paraId="41160EED">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c>
          <w:tcPr>
            <w:tcW w:w="975" w:type="dxa"/>
            <w:tcBorders>
              <w:right w:val="nil"/>
            </w:tcBorders>
            <w:vAlign w:val="top"/>
          </w:tcPr>
          <w:p w14:paraId="73431B73">
            <w:pPr>
              <w:spacing w:line="269" w:lineRule="auto"/>
              <w:rPr>
                <w:rFonts w:ascii="Arial"/>
                <w:sz w:val="21"/>
              </w:rPr>
            </w:pPr>
          </w:p>
          <w:p w14:paraId="7D716C90">
            <w:pPr>
              <w:spacing w:before="57"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01A17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80" w:type="dxa"/>
            <w:tcBorders>
              <w:left w:val="nil"/>
            </w:tcBorders>
            <w:vAlign w:val="top"/>
          </w:tcPr>
          <w:p w14:paraId="02FA9750">
            <w:pPr>
              <w:spacing w:line="342" w:lineRule="auto"/>
              <w:rPr>
                <w:rFonts w:ascii="Arial"/>
                <w:sz w:val="21"/>
              </w:rPr>
            </w:pPr>
          </w:p>
          <w:p w14:paraId="0A791F54">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31" w:type="dxa"/>
            <w:vAlign w:val="top"/>
          </w:tcPr>
          <w:p w14:paraId="563A082B">
            <w:pPr>
              <w:spacing w:line="300" w:lineRule="auto"/>
              <w:rPr>
                <w:rFonts w:ascii="Arial"/>
                <w:sz w:val="21"/>
              </w:rPr>
            </w:pPr>
          </w:p>
          <w:p w14:paraId="1A3BE023">
            <w:pPr>
              <w:spacing w:before="65" w:line="228" w:lineRule="auto"/>
              <w:ind w:left="260"/>
              <w:rPr>
                <w:rFonts w:ascii="宋体" w:hAnsi="宋体" w:eastAsia="宋体" w:cs="宋体"/>
                <w:sz w:val="20"/>
                <w:szCs w:val="20"/>
              </w:rPr>
            </w:pPr>
            <w:r>
              <w:rPr>
                <w:rFonts w:ascii="宋体" w:hAnsi="宋体" w:eastAsia="宋体" w:cs="宋体"/>
                <w:spacing w:val="5"/>
                <w:sz w:val="20"/>
                <w:szCs w:val="20"/>
              </w:rPr>
              <w:t>总硬度</w:t>
            </w:r>
          </w:p>
        </w:tc>
        <w:tc>
          <w:tcPr>
            <w:tcW w:w="3336" w:type="dxa"/>
            <w:vAlign w:val="top"/>
          </w:tcPr>
          <w:p w14:paraId="1E4BDC8B">
            <w:pPr>
              <w:spacing w:before="54" w:line="228" w:lineRule="auto"/>
              <w:ind w:left="100"/>
              <w:rPr>
                <w:rFonts w:ascii="宋体" w:hAnsi="宋体" w:eastAsia="宋体" w:cs="宋体"/>
                <w:sz w:val="20"/>
                <w:szCs w:val="20"/>
              </w:rPr>
            </w:pPr>
            <w:r>
              <w:rPr>
                <w:rFonts w:ascii="宋体" w:hAnsi="宋体" w:eastAsia="宋体" w:cs="宋体"/>
                <w:spacing w:val="16"/>
                <w:sz w:val="20"/>
                <w:szCs w:val="20"/>
              </w:rPr>
              <w:t>生</w:t>
            </w:r>
            <w:r>
              <w:rPr>
                <w:rFonts w:ascii="宋体" w:hAnsi="宋体" w:eastAsia="宋体" w:cs="宋体"/>
                <w:spacing w:val="11"/>
                <w:sz w:val="20"/>
                <w:szCs w:val="20"/>
              </w:rPr>
              <w:t>活</w:t>
            </w:r>
            <w:r>
              <w:rPr>
                <w:rFonts w:ascii="宋体" w:hAnsi="宋体" w:eastAsia="宋体" w:cs="宋体"/>
                <w:spacing w:val="8"/>
                <w:sz w:val="20"/>
                <w:szCs w:val="20"/>
              </w:rPr>
              <w:t>饮用水标准检验方法  感官性</w:t>
            </w:r>
          </w:p>
          <w:p w14:paraId="75D5A27C">
            <w:pPr>
              <w:spacing w:before="64" w:line="228" w:lineRule="auto"/>
              <w:ind w:left="72"/>
              <w:rPr>
                <w:rFonts w:ascii="宋体" w:hAnsi="宋体" w:eastAsia="宋体" w:cs="宋体"/>
                <w:sz w:val="20"/>
                <w:szCs w:val="20"/>
              </w:rPr>
            </w:pPr>
            <w:r>
              <w:rPr>
                <w:rFonts w:ascii="宋体" w:hAnsi="宋体" w:eastAsia="宋体" w:cs="宋体"/>
                <w:spacing w:val="8"/>
                <w:sz w:val="20"/>
                <w:szCs w:val="20"/>
              </w:rPr>
              <w:t>状和物</w:t>
            </w:r>
            <w:r>
              <w:rPr>
                <w:rFonts w:ascii="宋体" w:hAnsi="宋体" w:eastAsia="宋体" w:cs="宋体"/>
                <w:spacing w:val="5"/>
                <w:sz w:val="20"/>
                <w:szCs w:val="20"/>
              </w:rPr>
              <w:t>理</w:t>
            </w:r>
            <w:r>
              <w:rPr>
                <w:rFonts w:ascii="宋体" w:hAnsi="宋体" w:eastAsia="宋体" w:cs="宋体"/>
                <w:spacing w:val="4"/>
                <w:sz w:val="20"/>
                <w:szCs w:val="20"/>
              </w:rPr>
              <w:t xml:space="preserve">指标 </w:t>
            </w:r>
            <w:r>
              <w:rPr>
                <w:rFonts w:ascii="Times New Roman" w:hAnsi="Times New Roman" w:eastAsia="Times New Roman" w:cs="Times New Roman"/>
                <w:spacing w:val="4"/>
                <w:sz w:val="20"/>
                <w:szCs w:val="20"/>
              </w:rPr>
              <w:t xml:space="preserve">7. 1  </w:t>
            </w:r>
            <w:r>
              <w:rPr>
                <w:rFonts w:ascii="宋体" w:hAnsi="宋体" w:eastAsia="宋体" w:cs="宋体"/>
                <w:spacing w:val="4"/>
                <w:sz w:val="20"/>
                <w:szCs w:val="20"/>
              </w:rPr>
              <w:t>乙二胺四乙酸二</w:t>
            </w:r>
          </w:p>
          <w:p w14:paraId="10D1018E">
            <w:pPr>
              <w:spacing w:before="27" w:line="281" w:lineRule="exact"/>
              <w:ind w:left="404"/>
              <w:rPr>
                <w:rFonts w:ascii="Times New Roman" w:hAnsi="Times New Roman" w:eastAsia="Times New Roman" w:cs="Times New Roman"/>
                <w:sz w:val="20"/>
                <w:szCs w:val="20"/>
              </w:rPr>
            </w:pPr>
            <w:r>
              <w:rPr>
                <w:rFonts w:ascii="宋体" w:hAnsi="宋体" w:eastAsia="宋体" w:cs="宋体"/>
                <w:spacing w:val="6"/>
                <w:position w:val="1"/>
                <w:sz w:val="20"/>
                <w:szCs w:val="20"/>
              </w:rPr>
              <w:t xml:space="preserve">钠滴定法 </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6"/>
                <w:position w:val="1"/>
                <w:sz w:val="20"/>
                <w:szCs w:val="20"/>
              </w:rPr>
              <w:t xml:space="preserve"> 5750.4-2006</w:t>
            </w:r>
          </w:p>
        </w:tc>
        <w:tc>
          <w:tcPr>
            <w:tcW w:w="1870" w:type="dxa"/>
            <w:vAlign w:val="top"/>
          </w:tcPr>
          <w:p w14:paraId="406A94E2">
            <w:pPr>
              <w:spacing w:line="299" w:lineRule="auto"/>
              <w:rPr>
                <w:rFonts w:ascii="Arial"/>
                <w:sz w:val="21"/>
              </w:rPr>
            </w:pPr>
          </w:p>
          <w:p w14:paraId="54C43D84">
            <w:pPr>
              <w:spacing w:before="65" w:line="228" w:lineRule="auto"/>
              <w:ind w:left="140"/>
              <w:rPr>
                <w:rFonts w:ascii="Times New Roman" w:hAnsi="Times New Roman" w:eastAsia="Times New Roman" w:cs="Times New Roman"/>
                <w:sz w:val="20"/>
                <w:szCs w:val="20"/>
              </w:rPr>
            </w:pPr>
            <w:r>
              <w:rPr>
                <w:rFonts w:ascii="宋体" w:hAnsi="宋体" w:eastAsia="宋体" w:cs="宋体"/>
                <w:spacing w:val="2"/>
                <w:sz w:val="20"/>
                <w:szCs w:val="20"/>
              </w:rPr>
              <w:t xml:space="preserve">酸式滴定管 </w:t>
            </w:r>
            <w:r>
              <w:rPr>
                <w:rFonts w:ascii="Times New Roman" w:hAnsi="Times New Roman" w:eastAsia="Times New Roman" w:cs="Times New Roman"/>
                <w:spacing w:val="1"/>
                <w:sz w:val="20"/>
                <w:szCs w:val="20"/>
              </w:rPr>
              <w:t>50</w:t>
            </w:r>
            <w:r>
              <w:rPr>
                <w:rFonts w:ascii="Times New Roman" w:hAnsi="Times New Roman" w:eastAsia="Times New Roman" w:cs="Times New Roman"/>
                <w:sz w:val="20"/>
                <w:szCs w:val="20"/>
              </w:rPr>
              <w:t>mL</w:t>
            </w:r>
          </w:p>
        </w:tc>
        <w:tc>
          <w:tcPr>
            <w:tcW w:w="730" w:type="dxa"/>
            <w:vAlign w:val="top"/>
          </w:tcPr>
          <w:p w14:paraId="64799BA2">
            <w:pPr>
              <w:spacing w:line="342" w:lineRule="auto"/>
              <w:rPr>
                <w:rFonts w:ascii="Arial"/>
                <w:sz w:val="21"/>
              </w:rPr>
            </w:pPr>
          </w:p>
          <w:p w14:paraId="5A7FDC62">
            <w:pPr>
              <w:spacing w:before="58"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975" w:type="dxa"/>
            <w:tcBorders>
              <w:right w:val="nil"/>
            </w:tcBorders>
            <w:vAlign w:val="top"/>
          </w:tcPr>
          <w:p w14:paraId="2747E960">
            <w:pPr>
              <w:spacing w:line="269" w:lineRule="auto"/>
              <w:rPr>
                <w:rFonts w:ascii="Arial"/>
                <w:sz w:val="21"/>
              </w:rPr>
            </w:pPr>
          </w:p>
          <w:p w14:paraId="33A338AC">
            <w:pPr>
              <w:spacing w:before="58"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244C5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0328A1B8">
            <w:pPr>
              <w:spacing w:line="343" w:lineRule="auto"/>
              <w:rPr>
                <w:rFonts w:ascii="Arial"/>
                <w:sz w:val="21"/>
              </w:rPr>
            </w:pPr>
          </w:p>
          <w:p w14:paraId="0FD32B0B">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131" w:type="dxa"/>
            <w:vAlign w:val="top"/>
          </w:tcPr>
          <w:p w14:paraId="6A6BACF1">
            <w:pPr>
              <w:spacing w:line="300" w:lineRule="auto"/>
              <w:rPr>
                <w:rFonts w:ascii="Arial"/>
                <w:sz w:val="21"/>
              </w:rPr>
            </w:pPr>
          </w:p>
          <w:p w14:paraId="23544DBB">
            <w:pPr>
              <w:spacing w:before="65" w:line="229" w:lineRule="auto"/>
              <w:ind w:left="254"/>
              <w:rPr>
                <w:rFonts w:ascii="宋体" w:hAnsi="宋体" w:eastAsia="宋体" w:cs="宋体"/>
                <w:sz w:val="20"/>
                <w:szCs w:val="20"/>
              </w:rPr>
            </w:pPr>
            <w:r>
              <w:rPr>
                <w:rFonts w:ascii="宋体" w:hAnsi="宋体" w:eastAsia="宋体" w:cs="宋体"/>
                <w:spacing w:val="7"/>
                <w:sz w:val="20"/>
                <w:szCs w:val="20"/>
              </w:rPr>
              <w:t>硫酸盐</w:t>
            </w:r>
          </w:p>
        </w:tc>
        <w:tc>
          <w:tcPr>
            <w:tcW w:w="3336" w:type="dxa"/>
            <w:vAlign w:val="top"/>
          </w:tcPr>
          <w:p w14:paraId="398D924B">
            <w:pPr>
              <w:spacing w:before="56" w:line="301" w:lineRule="auto"/>
              <w:ind w:left="308" w:right="41" w:hanging="261"/>
              <w:rPr>
                <w:rFonts w:ascii="Times New Roman" w:hAnsi="Times New Roman" w:eastAsia="Times New Roman" w:cs="Times New Roman"/>
                <w:sz w:val="20"/>
                <w:szCs w:val="20"/>
              </w:rPr>
            </w:pPr>
            <w:r>
              <w:rPr>
                <w:rFonts w:ascii="宋体" w:hAnsi="宋体" w:eastAsia="宋体" w:cs="宋体"/>
                <w:spacing w:val="9"/>
                <w:sz w:val="20"/>
                <w:szCs w:val="20"/>
              </w:rPr>
              <w:t>生活饮用水标准检验方法 无机非</w:t>
            </w:r>
            <w:r>
              <w:rPr>
                <w:rFonts w:ascii="宋体" w:hAnsi="宋体" w:eastAsia="宋体" w:cs="宋体"/>
                <w:spacing w:val="7"/>
                <w:sz w:val="20"/>
                <w:szCs w:val="20"/>
              </w:rPr>
              <w:t>金</w:t>
            </w:r>
            <w:r>
              <w:rPr>
                <w:rFonts w:ascii="宋体" w:hAnsi="宋体" w:eastAsia="宋体" w:cs="宋体"/>
                <w:sz w:val="20"/>
                <w:szCs w:val="20"/>
              </w:rPr>
              <w:t xml:space="preserve"> </w:t>
            </w:r>
            <w:r>
              <w:rPr>
                <w:rFonts w:ascii="宋体" w:hAnsi="宋体" w:eastAsia="宋体" w:cs="宋体"/>
                <w:spacing w:val="13"/>
                <w:sz w:val="20"/>
                <w:szCs w:val="20"/>
              </w:rPr>
              <w:t>属</w:t>
            </w:r>
            <w:r>
              <w:rPr>
                <w:rFonts w:ascii="宋体" w:hAnsi="宋体" w:eastAsia="宋体" w:cs="宋体"/>
                <w:spacing w:val="7"/>
                <w:sz w:val="20"/>
                <w:szCs w:val="20"/>
              </w:rPr>
              <w:t xml:space="preserve">指标 </w:t>
            </w:r>
            <w:r>
              <w:rPr>
                <w:rFonts w:ascii="Times New Roman" w:hAnsi="Times New Roman" w:eastAsia="Times New Roman" w:cs="Times New Roman"/>
                <w:spacing w:val="7"/>
                <w:sz w:val="20"/>
                <w:szCs w:val="20"/>
              </w:rPr>
              <w:t xml:space="preserve">1.2  </w:t>
            </w:r>
            <w:r>
              <w:rPr>
                <w:rFonts w:ascii="宋体" w:hAnsi="宋体" w:eastAsia="宋体" w:cs="宋体"/>
                <w:spacing w:val="7"/>
                <w:sz w:val="20"/>
                <w:szCs w:val="20"/>
              </w:rPr>
              <w:t xml:space="preserve">离子色谱法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T</w:t>
            </w:r>
          </w:p>
          <w:p w14:paraId="3F5D5A0D">
            <w:pPr>
              <w:spacing w:before="6"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57</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0.5-2006</w:t>
            </w:r>
          </w:p>
        </w:tc>
        <w:tc>
          <w:tcPr>
            <w:tcW w:w="1870" w:type="dxa"/>
            <w:vAlign w:val="top"/>
          </w:tcPr>
          <w:p w14:paraId="6014EB05">
            <w:pPr>
              <w:spacing w:line="299" w:lineRule="auto"/>
              <w:rPr>
                <w:rFonts w:ascii="Arial"/>
                <w:sz w:val="21"/>
              </w:rPr>
            </w:pPr>
          </w:p>
          <w:p w14:paraId="4A14342B">
            <w:pPr>
              <w:spacing w:before="65" w:line="228" w:lineRule="auto"/>
              <w:ind w:left="77"/>
              <w:rPr>
                <w:rFonts w:ascii="Times New Roman" w:hAnsi="Times New Roman" w:eastAsia="Times New Roman" w:cs="Times New Roman"/>
                <w:sz w:val="20"/>
                <w:szCs w:val="20"/>
              </w:rPr>
            </w:pPr>
            <w:r>
              <w:rPr>
                <w:rFonts w:ascii="宋体" w:hAnsi="宋体" w:eastAsia="宋体" w:cs="宋体"/>
                <w:spacing w:val="2"/>
                <w:sz w:val="20"/>
                <w:szCs w:val="20"/>
              </w:rPr>
              <w:t xml:space="preserve">离子色谱仪 </w:t>
            </w:r>
            <w:r>
              <w:rPr>
                <w:rFonts w:ascii="Times New Roman" w:hAnsi="Times New Roman" w:eastAsia="Times New Roman" w:cs="Times New Roman"/>
                <w:sz w:val="20"/>
                <w:szCs w:val="20"/>
              </w:rPr>
              <w:t>IC</w:t>
            </w:r>
            <w:r>
              <w:rPr>
                <w:rFonts w:ascii="Times New Roman" w:hAnsi="Times New Roman" w:eastAsia="Times New Roman" w:cs="Times New Roman"/>
                <w:spacing w:val="2"/>
                <w:sz w:val="20"/>
                <w:szCs w:val="20"/>
              </w:rPr>
              <w:t>6000</w:t>
            </w:r>
          </w:p>
        </w:tc>
        <w:tc>
          <w:tcPr>
            <w:tcW w:w="730" w:type="dxa"/>
            <w:vAlign w:val="top"/>
          </w:tcPr>
          <w:p w14:paraId="1DEDFD13">
            <w:pPr>
              <w:spacing w:line="343" w:lineRule="auto"/>
              <w:rPr>
                <w:rFonts w:ascii="Arial"/>
                <w:sz w:val="21"/>
              </w:rPr>
            </w:pPr>
          </w:p>
          <w:p w14:paraId="45CB54C0">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.75</w:t>
            </w:r>
          </w:p>
        </w:tc>
        <w:tc>
          <w:tcPr>
            <w:tcW w:w="975" w:type="dxa"/>
            <w:tcBorders>
              <w:right w:val="nil"/>
            </w:tcBorders>
            <w:vAlign w:val="top"/>
          </w:tcPr>
          <w:p w14:paraId="03E0953C">
            <w:pPr>
              <w:spacing w:line="270" w:lineRule="auto"/>
              <w:rPr>
                <w:rFonts w:ascii="Arial"/>
                <w:sz w:val="21"/>
              </w:rPr>
            </w:pPr>
          </w:p>
          <w:p w14:paraId="4EC517B1">
            <w:pPr>
              <w:spacing w:before="57"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0359A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00EDD7A2">
            <w:pPr>
              <w:spacing w:line="342" w:lineRule="auto"/>
              <w:rPr>
                <w:rFonts w:ascii="Arial"/>
                <w:sz w:val="21"/>
              </w:rPr>
            </w:pPr>
          </w:p>
          <w:p w14:paraId="5490AF9A">
            <w:pPr>
              <w:spacing w:before="5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131" w:type="dxa"/>
            <w:vAlign w:val="top"/>
          </w:tcPr>
          <w:p w14:paraId="0424DFD1">
            <w:pPr>
              <w:spacing w:line="299" w:lineRule="auto"/>
              <w:rPr>
                <w:rFonts w:ascii="Arial"/>
                <w:sz w:val="21"/>
              </w:rPr>
            </w:pPr>
          </w:p>
          <w:p w14:paraId="4C101289">
            <w:pPr>
              <w:spacing w:before="65" w:line="229" w:lineRule="auto"/>
              <w:ind w:left="256"/>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酸盐</w:t>
            </w:r>
          </w:p>
        </w:tc>
        <w:tc>
          <w:tcPr>
            <w:tcW w:w="3336" w:type="dxa"/>
            <w:vAlign w:val="top"/>
          </w:tcPr>
          <w:p w14:paraId="717F0DCA">
            <w:pPr>
              <w:spacing w:before="55" w:line="301" w:lineRule="auto"/>
              <w:ind w:left="308" w:right="41" w:hanging="261"/>
              <w:rPr>
                <w:rFonts w:ascii="Times New Roman" w:hAnsi="Times New Roman" w:eastAsia="Times New Roman" w:cs="Times New Roman"/>
                <w:sz w:val="20"/>
                <w:szCs w:val="20"/>
              </w:rPr>
            </w:pPr>
            <w:r>
              <w:rPr>
                <w:rFonts w:ascii="宋体" w:hAnsi="宋体" w:eastAsia="宋体" w:cs="宋体"/>
                <w:spacing w:val="9"/>
                <w:sz w:val="20"/>
                <w:szCs w:val="20"/>
              </w:rPr>
              <w:t>生活饮用水标准检验方法 无机非</w:t>
            </w:r>
            <w:r>
              <w:rPr>
                <w:rFonts w:ascii="宋体" w:hAnsi="宋体" w:eastAsia="宋体" w:cs="宋体"/>
                <w:spacing w:val="7"/>
                <w:sz w:val="20"/>
                <w:szCs w:val="20"/>
              </w:rPr>
              <w:t>金</w:t>
            </w:r>
            <w:r>
              <w:rPr>
                <w:rFonts w:ascii="宋体" w:hAnsi="宋体" w:eastAsia="宋体" w:cs="宋体"/>
                <w:sz w:val="20"/>
                <w:szCs w:val="20"/>
              </w:rPr>
              <w:t xml:space="preserve"> </w:t>
            </w:r>
            <w:r>
              <w:rPr>
                <w:rFonts w:ascii="宋体" w:hAnsi="宋体" w:eastAsia="宋体" w:cs="宋体"/>
                <w:spacing w:val="13"/>
                <w:sz w:val="20"/>
                <w:szCs w:val="20"/>
              </w:rPr>
              <w:t>属</w:t>
            </w:r>
            <w:r>
              <w:rPr>
                <w:rFonts w:ascii="宋体" w:hAnsi="宋体" w:eastAsia="宋体" w:cs="宋体"/>
                <w:spacing w:val="7"/>
                <w:sz w:val="20"/>
                <w:szCs w:val="20"/>
              </w:rPr>
              <w:t xml:space="preserve">指标 </w:t>
            </w:r>
            <w:r>
              <w:rPr>
                <w:rFonts w:ascii="Times New Roman" w:hAnsi="Times New Roman" w:eastAsia="Times New Roman" w:cs="Times New Roman"/>
                <w:spacing w:val="7"/>
                <w:sz w:val="20"/>
                <w:szCs w:val="20"/>
              </w:rPr>
              <w:t xml:space="preserve">5.3  </w:t>
            </w:r>
            <w:r>
              <w:rPr>
                <w:rFonts w:ascii="宋体" w:hAnsi="宋体" w:eastAsia="宋体" w:cs="宋体"/>
                <w:spacing w:val="7"/>
                <w:sz w:val="20"/>
                <w:szCs w:val="20"/>
              </w:rPr>
              <w:t xml:space="preserve">离子色谱法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T</w:t>
            </w:r>
          </w:p>
          <w:p w14:paraId="7E9EF471">
            <w:pPr>
              <w:spacing w:before="6"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57</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0.5-2006</w:t>
            </w:r>
          </w:p>
        </w:tc>
        <w:tc>
          <w:tcPr>
            <w:tcW w:w="1870" w:type="dxa"/>
            <w:vAlign w:val="top"/>
          </w:tcPr>
          <w:p w14:paraId="253DDE80">
            <w:pPr>
              <w:spacing w:line="299" w:lineRule="auto"/>
              <w:rPr>
                <w:rFonts w:ascii="Arial"/>
                <w:sz w:val="21"/>
              </w:rPr>
            </w:pPr>
          </w:p>
          <w:p w14:paraId="33D783E9">
            <w:pPr>
              <w:spacing w:before="65" w:line="228" w:lineRule="auto"/>
              <w:ind w:left="77"/>
              <w:rPr>
                <w:rFonts w:ascii="Times New Roman" w:hAnsi="Times New Roman" w:eastAsia="Times New Roman" w:cs="Times New Roman"/>
                <w:sz w:val="20"/>
                <w:szCs w:val="20"/>
              </w:rPr>
            </w:pPr>
            <w:r>
              <w:rPr>
                <w:rFonts w:ascii="宋体" w:hAnsi="宋体" w:eastAsia="宋体" w:cs="宋体"/>
                <w:spacing w:val="2"/>
                <w:sz w:val="20"/>
                <w:szCs w:val="20"/>
              </w:rPr>
              <w:t xml:space="preserve">离子色谱仪 </w:t>
            </w:r>
            <w:r>
              <w:rPr>
                <w:rFonts w:ascii="Times New Roman" w:hAnsi="Times New Roman" w:eastAsia="Times New Roman" w:cs="Times New Roman"/>
                <w:sz w:val="20"/>
                <w:szCs w:val="20"/>
              </w:rPr>
              <w:t>IC</w:t>
            </w:r>
            <w:r>
              <w:rPr>
                <w:rFonts w:ascii="Times New Roman" w:hAnsi="Times New Roman" w:eastAsia="Times New Roman" w:cs="Times New Roman"/>
                <w:spacing w:val="2"/>
                <w:sz w:val="20"/>
                <w:szCs w:val="20"/>
              </w:rPr>
              <w:t>6000</w:t>
            </w:r>
          </w:p>
        </w:tc>
        <w:tc>
          <w:tcPr>
            <w:tcW w:w="730" w:type="dxa"/>
            <w:vAlign w:val="top"/>
          </w:tcPr>
          <w:p w14:paraId="3E622A8F">
            <w:pPr>
              <w:spacing w:line="269" w:lineRule="auto"/>
              <w:rPr>
                <w:rFonts w:ascii="Arial"/>
                <w:sz w:val="21"/>
              </w:rPr>
            </w:pPr>
          </w:p>
          <w:p w14:paraId="23E6E2CE">
            <w:pPr>
              <w:spacing w:before="58" w:line="281"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75" w:type="dxa"/>
            <w:tcBorders>
              <w:right w:val="nil"/>
            </w:tcBorders>
            <w:vAlign w:val="top"/>
          </w:tcPr>
          <w:p w14:paraId="7E1E0657">
            <w:pPr>
              <w:spacing w:line="269" w:lineRule="auto"/>
              <w:rPr>
                <w:rFonts w:ascii="Arial"/>
                <w:sz w:val="21"/>
              </w:rPr>
            </w:pPr>
          </w:p>
          <w:p w14:paraId="56CBE877">
            <w:pPr>
              <w:spacing w:before="58"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0B98E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75131B22">
            <w:pPr>
              <w:spacing w:line="342" w:lineRule="auto"/>
              <w:rPr>
                <w:rFonts w:ascii="Arial"/>
                <w:sz w:val="21"/>
              </w:rPr>
            </w:pPr>
          </w:p>
          <w:p w14:paraId="7B5C1AD8">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131" w:type="dxa"/>
            <w:vAlign w:val="top"/>
          </w:tcPr>
          <w:p w14:paraId="090B0D39">
            <w:pPr>
              <w:spacing w:line="299" w:lineRule="auto"/>
              <w:rPr>
                <w:rFonts w:ascii="Arial"/>
                <w:sz w:val="21"/>
              </w:rPr>
            </w:pPr>
          </w:p>
          <w:p w14:paraId="1600EC0C">
            <w:pPr>
              <w:spacing w:before="65" w:line="229" w:lineRule="auto"/>
              <w:ind w:left="151"/>
              <w:rPr>
                <w:rFonts w:ascii="宋体" w:hAnsi="宋体" w:eastAsia="宋体" w:cs="宋体"/>
                <w:sz w:val="20"/>
                <w:szCs w:val="20"/>
              </w:rPr>
            </w:pPr>
            <w:r>
              <w:rPr>
                <w:rFonts w:ascii="宋体" w:hAnsi="宋体" w:eastAsia="宋体" w:cs="宋体"/>
                <w:spacing w:val="7"/>
                <w:sz w:val="20"/>
                <w:szCs w:val="20"/>
              </w:rPr>
              <w:t>亚硝酸</w:t>
            </w:r>
            <w:r>
              <w:rPr>
                <w:rFonts w:ascii="宋体" w:hAnsi="宋体" w:eastAsia="宋体" w:cs="宋体"/>
                <w:spacing w:val="6"/>
                <w:sz w:val="20"/>
                <w:szCs w:val="20"/>
              </w:rPr>
              <w:t>盐</w:t>
            </w:r>
          </w:p>
        </w:tc>
        <w:tc>
          <w:tcPr>
            <w:tcW w:w="3336" w:type="dxa"/>
            <w:vAlign w:val="top"/>
          </w:tcPr>
          <w:p w14:paraId="7A2F9B34">
            <w:pPr>
              <w:spacing w:before="54" w:line="227" w:lineRule="auto"/>
              <w:ind w:left="47"/>
              <w:rPr>
                <w:rFonts w:ascii="宋体" w:hAnsi="宋体" w:eastAsia="宋体" w:cs="宋体"/>
                <w:sz w:val="20"/>
                <w:szCs w:val="20"/>
              </w:rPr>
            </w:pPr>
            <w:r>
              <w:rPr>
                <w:rFonts w:ascii="宋体" w:hAnsi="宋体" w:eastAsia="宋体" w:cs="宋体"/>
                <w:spacing w:val="9"/>
                <w:sz w:val="20"/>
                <w:szCs w:val="20"/>
              </w:rPr>
              <w:t>生活饮用水标准检验方法 无机非</w:t>
            </w:r>
            <w:r>
              <w:rPr>
                <w:rFonts w:ascii="宋体" w:hAnsi="宋体" w:eastAsia="宋体" w:cs="宋体"/>
                <w:spacing w:val="7"/>
                <w:sz w:val="20"/>
                <w:szCs w:val="20"/>
              </w:rPr>
              <w:t>金</w:t>
            </w:r>
          </w:p>
          <w:p w14:paraId="6F52C3FF">
            <w:pPr>
              <w:spacing w:before="66" w:line="227" w:lineRule="auto"/>
              <w:ind w:left="126"/>
              <w:rPr>
                <w:rFonts w:ascii="宋体" w:hAnsi="宋体" w:eastAsia="宋体" w:cs="宋体"/>
                <w:sz w:val="20"/>
                <w:szCs w:val="20"/>
              </w:rPr>
            </w:pPr>
            <w:r>
              <w:rPr>
                <w:rFonts w:ascii="宋体" w:hAnsi="宋体" w:eastAsia="宋体" w:cs="宋体"/>
                <w:spacing w:val="8"/>
                <w:sz w:val="20"/>
                <w:szCs w:val="20"/>
              </w:rPr>
              <w:t>属</w:t>
            </w:r>
            <w:r>
              <w:rPr>
                <w:rFonts w:ascii="宋体" w:hAnsi="宋体" w:eastAsia="宋体" w:cs="宋体"/>
                <w:spacing w:val="6"/>
                <w:sz w:val="20"/>
                <w:szCs w:val="20"/>
              </w:rPr>
              <w:t>指</w:t>
            </w:r>
            <w:r>
              <w:rPr>
                <w:rFonts w:ascii="宋体" w:hAnsi="宋体" w:eastAsia="宋体" w:cs="宋体"/>
                <w:spacing w:val="4"/>
                <w:sz w:val="20"/>
                <w:szCs w:val="20"/>
              </w:rPr>
              <w:t xml:space="preserve">标 </w:t>
            </w:r>
            <w:r>
              <w:rPr>
                <w:rFonts w:ascii="Times New Roman" w:hAnsi="Times New Roman" w:eastAsia="Times New Roman" w:cs="Times New Roman"/>
                <w:spacing w:val="4"/>
                <w:sz w:val="20"/>
                <w:szCs w:val="20"/>
              </w:rPr>
              <w:t xml:space="preserve">10. 1  </w:t>
            </w:r>
            <w:r>
              <w:rPr>
                <w:rFonts w:ascii="宋体" w:hAnsi="宋体" w:eastAsia="宋体" w:cs="宋体"/>
                <w:spacing w:val="4"/>
                <w:sz w:val="20"/>
                <w:szCs w:val="20"/>
              </w:rPr>
              <w:t>重氮偶合分光光度法</w:t>
            </w:r>
          </w:p>
          <w:p w14:paraId="527F55CA">
            <w:pPr>
              <w:spacing w:before="28" w:line="281"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5"/>
                <w:position w:val="2"/>
                <w:sz w:val="20"/>
                <w:szCs w:val="20"/>
              </w:rPr>
              <w:t xml:space="preserve"> 5750.5-200</w:t>
            </w:r>
            <w:r>
              <w:rPr>
                <w:rFonts w:ascii="Times New Roman" w:hAnsi="Times New Roman" w:eastAsia="Times New Roman" w:cs="Times New Roman"/>
                <w:spacing w:val="2"/>
                <w:position w:val="2"/>
                <w:sz w:val="20"/>
                <w:szCs w:val="20"/>
              </w:rPr>
              <w:t>6</w:t>
            </w:r>
          </w:p>
        </w:tc>
        <w:tc>
          <w:tcPr>
            <w:tcW w:w="1870" w:type="dxa"/>
            <w:vAlign w:val="top"/>
          </w:tcPr>
          <w:p w14:paraId="1CC97E31">
            <w:pPr>
              <w:spacing w:before="211" w:line="301" w:lineRule="auto"/>
              <w:ind w:left="319" w:right="94" w:hanging="213"/>
              <w:rPr>
                <w:rFonts w:ascii="Times New Roman" w:hAnsi="Times New Roman" w:eastAsia="Times New Roman" w:cs="Times New Roman"/>
                <w:sz w:val="20"/>
                <w:szCs w:val="20"/>
              </w:rPr>
            </w:pPr>
            <w:r>
              <w:rPr>
                <w:rFonts w:ascii="宋体" w:hAnsi="宋体" w:eastAsia="宋体" w:cs="宋体"/>
                <w:spacing w:val="8"/>
                <w:sz w:val="20"/>
                <w:szCs w:val="20"/>
              </w:rPr>
              <w:t>紫外可见分光光度</w:t>
            </w:r>
            <w:r>
              <w:rPr>
                <w:rFonts w:ascii="宋体" w:hAnsi="宋体" w:eastAsia="宋体" w:cs="宋体"/>
                <w:sz w:val="20"/>
                <w:szCs w:val="20"/>
              </w:rPr>
              <w:t xml:space="preserve"> </w:t>
            </w:r>
            <w:r>
              <w:rPr>
                <w:rFonts w:ascii="宋体" w:hAnsi="宋体" w:eastAsia="宋体" w:cs="宋体"/>
                <w:spacing w:val="1"/>
                <w:sz w:val="20"/>
                <w:szCs w:val="20"/>
              </w:rPr>
              <w:t>计</w:t>
            </w:r>
            <w:r>
              <w:rPr>
                <w:rFonts w:ascii="宋体" w:hAnsi="宋体" w:eastAsia="宋体" w:cs="宋体"/>
                <w:sz w:val="20"/>
                <w:szCs w:val="20"/>
              </w:rPr>
              <w:t xml:space="preserve"> </w:t>
            </w:r>
            <w:r>
              <w:rPr>
                <w:rFonts w:ascii="Times New Roman" w:hAnsi="Times New Roman" w:eastAsia="Times New Roman" w:cs="Times New Roman"/>
                <w:sz w:val="20"/>
                <w:szCs w:val="20"/>
              </w:rPr>
              <w:t>UV1800PC</w:t>
            </w:r>
          </w:p>
        </w:tc>
        <w:tc>
          <w:tcPr>
            <w:tcW w:w="730" w:type="dxa"/>
            <w:vAlign w:val="top"/>
          </w:tcPr>
          <w:p w14:paraId="5822E986">
            <w:pPr>
              <w:spacing w:line="342" w:lineRule="auto"/>
              <w:rPr>
                <w:rFonts w:ascii="Arial"/>
                <w:sz w:val="21"/>
              </w:rPr>
            </w:pPr>
          </w:p>
          <w:p w14:paraId="2BD211DC">
            <w:pPr>
              <w:spacing w:before="58"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c>
          <w:tcPr>
            <w:tcW w:w="975" w:type="dxa"/>
            <w:tcBorders>
              <w:right w:val="nil"/>
            </w:tcBorders>
            <w:vAlign w:val="top"/>
          </w:tcPr>
          <w:p w14:paraId="5A468853">
            <w:pPr>
              <w:spacing w:line="269" w:lineRule="auto"/>
              <w:rPr>
                <w:rFonts w:ascii="Arial"/>
                <w:sz w:val="21"/>
              </w:rPr>
            </w:pPr>
          </w:p>
          <w:p w14:paraId="03EA41EA">
            <w:pPr>
              <w:spacing w:before="57" w:line="282"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3D68B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5AAC11EB">
            <w:pPr>
              <w:spacing w:line="344" w:lineRule="auto"/>
              <w:rPr>
                <w:rFonts w:ascii="Arial"/>
                <w:sz w:val="21"/>
              </w:rPr>
            </w:pPr>
          </w:p>
          <w:p w14:paraId="500CD985">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131" w:type="dxa"/>
            <w:vAlign w:val="top"/>
          </w:tcPr>
          <w:p w14:paraId="1865A92D">
            <w:pPr>
              <w:spacing w:line="301" w:lineRule="auto"/>
              <w:rPr>
                <w:rFonts w:ascii="Arial"/>
                <w:sz w:val="21"/>
              </w:rPr>
            </w:pPr>
          </w:p>
          <w:p w14:paraId="7D58AB19">
            <w:pPr>
              <w:spacing w:before="65" w:line="229" w:lineRule="auto"/>
              <w:ind w:left="258"/>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物</w:t>
            </w:r>
          </w:p>
        </w:tc>
        <w:tc>
          <w:tcPr>
            <w:tcW w:w="3336" w:type="dxa"/>
            <w:vAlign w:val="top"/>
          </w:tcPr>
          <w:p w14:paraId="412E82AB">
            <w:pPr>
              <w:spacing w:before="57" w:line="301" w:lineRule="auto"/>
              <w:ind w:left="308" w:right="41" w:hanging="261"/>
              <w:rPr>
                <w:rFonts w:ascii="Times New Roman" w:hAnsi="Times New Roman" w:eastAsia="Times New Roman" w:cs="Times New Roman"/>
                <w:sz w:val="20"/>
                <w:szCs w:val="20"/>
              </w:rPr>
            </w:pPr>
            <w:r>
              <w:rPr>
                <w:rFonts w:ascii="宋体" w:hAnsi="宋体" w:eastAsia="宋体" w:cs="宋体"/>
                <w:spacing w:val="9"/>
                <w:sz w:val="20"/>
                <w:szCs w:val="20"/>
              </w:rPr>
              <w:t>生活饮用水标准检验方法 无机非</w:t>
            </w:r>
            <w:r>
              <w:rPr>
                <w:rFonts w:ascii="宋体" w:hAnsi="宋体" w:eastAsia="宋体" w:cs="宋体"/>
                <w:spacing w:val="7"/>
                <w:sz w:val="20"/>
                <w:szCs w:val="20"/>
              </w:rPr>
              <w:t>金</w:t>
            </w:r>
            <w:r>
              <w:rPr>
                <w:rFonts w:ascii="宋体" w:hAnsi="宋体" w:eastAsia="宋体" w:cs="宋体"/>
                <w:sz w:val="20"/>
                <w:szCs w:val="20"/>
              </w:rPr>
              <w:t xml:space="preserve"> </w:t>
            </w:r>
            <w:r>
              <w:rPr>
                <w:rFonts w:ascii="宋体" w:hAnsi="宋体" w:eastAsia="宋体" w:cs="宋体"/>
                <w:spacing w:val="13"/>
                <w:sz w:val="20"/>
                <w:szCs w:val="20"/>
              </w:rPr>
              <w:t>属</w:t>
            </w:r>
            <w:r>
              <w:rPr>
                <w:rFonts w:ascii="宋体" w:hAnsi="宋体" w:eastAsia="宋体" w:cs="宋体"/>
                <w:spacing w:val="7"/>
                <w:sz w:val="20"/>
                <w:szCs w:val="20"/>
              </w:rPr>
              <w:t xml:space="preserve">指标 </w:t>
            </w:r>
            <w:r>
              <w:rPr>
                <w:rFonts w:ascii="Times New Roman" w:hAnsi="Times New Roman" w:eastAsia="Times New Roman" w:cs="Times New Roman"/>
                <w:spacing w:val="7"/>
                <w:sz w:val="20"/>
                <w:szCs w:val="20"/>
              </w:rPr>
              <w:t xml:space="preserve">2.2  </w:t>
            </w:r>
            <w:r>
              <w:rPr>
                <w:rFonts w:ascii="宋体" w:hAnsi="宋体" w:eastAsia="宋体" w:cs="宋体"/>
                <w:spacing w:val="7"/>
                <w:sz w:val="20"/>
                <w:szCs w:val="20"/>
              </w:rPr>
              <w:t xml:space="preserve">离子色谱法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T</w:t>
            </w:r>
          </w:p>
          <w:p w14:paraId="71631FA5">
            <w:pPr>
              <w:spacing w:before="6"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57</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0.5-2006</w:t>
            </w:r>
          </w:p>
        </w:tc>
        <w:tc>
          <w:tcPr>
            <w:tcW w:w="1870" w:type="dxa"/>
            <w:vAlign w:val="top"/>
          </w:tcPr>
          <w:p w14:paraId="711DC218">
            <w:pPr>
              <w:spacing w:line="301" w:lineRule="auto"/>
              <w:rPr>
                <w:rFonts w:ascii="Arial"/>
                <w:sz w:val="21"/>
              </w:rPr>
            </w:pPr>
          </w:p>
          <w:p w14:paraId="02C04DBD">
            <w:pPr>
              <w:spacing w:before="65" w:line="228" w:lineRule="auto"/>
              <w:ind w:left="77"/>
              <w:rPr>
                <w:rFonts w:ascii="Times New Roman" w:hAnsi="Times New Roman" w:eastAsia="Times New Roman" w:cs="Times New Roman"/>
                <w:sz w:val="20"/>
                <w:szCs w:val="20"/>
              </w:rPr>
            </w:pPr>
            <w:r>
              <w:rPr>
                <w:rFonts w:ascii="宋体" w:hAnsi="宋体" w:eastAsia="宋体" w:cs="宋体"/>
                <w:spacing w:val="2"/>
                <w:sz w:val="20"/>
                <w:szCs w:val="20"/>
              </w:rPr>
              <w:t xml:space="preserve">离子色谱仪 </w:t>
            </w:r>
            <w:r>
              <w:rPr>
                <w:rFonts w:ascii="Times New Roman" w:hAnsi="Times New Roman" w:eastAsia="Times New Roman" w:cs="Times New Roman"/>
                <w:sz w:val="20"/>
                <w:szCs w:val="20"/>
              </w:rPr>
              <w:t>IC</w:t>
            </w:r>
            <w:r>
              <w:rPr>
                <w:rFonts w:ascii="Times New Roman" w:hAnsi="Times New Roman" w:eastAsia="Times New Roman" w:cs="Times New Roman"/>
                <w:spacing w:val="2"/>
                <w:sz w:val="20"/>
                <w:szCs w:val="20"/>
              </w:rPr>
              <w:t>6000</w:t>
            </w:r>
          </w:p>
        </w:tc>
        <w:tc>
          <w:tcPr>
            <w:tcW w:w="730" w:type="dxa"/>
            <w:vAlign w:val="top"/>
          </w:tcPr>
          <w:p w14:paraId="438EC0A4">
            <w:pPr>
              <w:spacing w:line="344" w:lineRule="auto"/>
              <w:rPr>
                <w:rFonts w:ascii="Arial"/>
                <w:sz w:val="21"/>
              </w:rPr>
            </w:pPr>
          </w:p>
          <w:p w14:paraId="2398CE30">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c>
          <w:tcPr>
            <w:tcW w:w="975" w:type="dxa"/>
            <w:tcBorders>
              <w:right w:val="nil"/>
            </w:tcBorders>
            <w:vAlign w:val="top"/>
          </w:tcPr>
          <w:p w14:paraId="6DFD65EF">
            <w:pPr>
              <w:spacing w:line="271" w:lineRule="auto"/>
              <w:rPr>
                <w:rFonts w:ascii="Arial"/>
                <w:sz w:val="21"/>
              </w:rPr>
            </w:pPr>
          </w:p>
          <w:p w14:paraId="10037905">
            <w:pPr>
              <w:spacing w:before="57" w:line="282"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7DADB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80" w:type="dxa"/>
            <w:tcBorders>
              <w:left w:val="nil"/>
            </w:tcBorders>
            <w:vAlign w:val="top"/>
          </w:tcPr>
          <w:p w14:paraId="455CB30C">
            <w:pPr>
              <w:spacing w:line="344" w:lineRule="auto"/>
              <w:rPr>
                <w:rFonts w:ascii="Arial"/>
                <w:sz w:val="21"/>
              </w:rPr>
            </w:pPr>
          </w:p>
          <w:p w14:paraId="7F11D16C">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131" w:type="dxa"/>
            <w:vAlign w:val="top"/>
          </w:tcPr>
          <w:p w14:paraId="1E13B594">
            <w:pPr>
              <w:spacing w:line="301" w:lineRule="auto"/>
              <w:rPr>
                <w:rFonts w:ascii="Arial"/>
                <w:sz w:val="21"/>
              </w:rPr>
            </w:pPr>
          </w:p>
          <w:p w14:paraId="7A56F598">
            <w:pPr>
              <w:spacing w:before="65" w:line="228" w:lineRule="auto"/>
              <w:ind w:left="466"/>
              <w:rPr>
                <w:rFonts w:ascii="宋体" w:hAnsi="宋体" w:eastAsia="宋体" w:cs="宋体"/>
                <w:sz w:val="20"/>
                <w:szCs w:val="20"/>
              </w:rPr>
            </w:pPr>
            <w:r>
              <w:rPr>
                <w:rFonts w:ascii="宋体" w:hAnsi="宋体" w:eastAsia="宋体" w:cs="宋体"/>
                <w:sz w:val="20"/>
                <w:szCs w:val="20"/>
              </w:rPr>
              <w:t>钾</w:t>
            </w:r>
          </w:p>
        </w:tc>
        <w:tc>
          <w:tcPr>
            <w:tcW w:w="3336" w:type="dxa"/>
            <w:vAlign w:val="top"/>
          </w:tcPr>
          <w:p w14:paraId="66B550F6">
            <w:pPr>
              <w:spacing w:before="55" w:line="228" w:lineRule="auto"/>
              <w:ind w:left="782"/>
              <w:rPr>
                <w:rFonts w:ascii="宋体" w:hAnsi="宋体" w:eastAsia="宋体" w:cs="宋体"/>
                <w:sz w:val="20"/>
                <w:szCs w:val="20"/>
              </w:rPr>
            </w:pPr>
            <w:r>
              <w:rPr>
                <w:rFonts w:ascii="宋体" w:hAnsi="宋体" w:eastAsia="宋体" w:cs="宋体"/>
                <w:spacing w:val="8"/>
                <w:sz w:val="20"/>
                <w:szCs w:val="20"/>
              </w:rPr>
              <w:t>水质 钾和钠的测定</w:t>
            </w:r>
          </w:p>
          <w:p w14:paraId="0D2CD3CB">
            <w:pPr>
              <w:spacing w:before="64" w:line="228" w:lineRule="auto"/>
              <w:ind w:left="520"/>
              <w:rPr>
                <w:rFonts w:ascii="宋体" w:hAnsi="宋体" w:eastAsia="宋体" w:cs="宋体"/>
                <w:sz w:val="20"/>
                <w:szCs w:val="20"/>
              </w:rPr>
            </w:pPr>
            <w:r>
              <w:rPr>
                <w:rFonts w:ascii="宋体" w:hAnsi="宋体" w:eastAsia="宋体" w:cs="宋体"/>
                <w:spacing w:val="9"/>
                <w:sz w:val="20"/>
                <w:szCs w:val="20"/>
              </w:rPr>
              <w:t>火焰原子吸收分光光度法</w:t>
            </w:r>
          </w:p>
          <w:p w14:paraId="647CB397">
            <w:pPr>
              <w:spacing w:before="27" w:line="281"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 xml:space="preserve"> 119</w:t>
            </w:r>
            <w:r>
              <w:rPr>
                <w:rFonts w:ascii="Times New Roman" w:hAnsi="Times New Roman" w:eastAsia="Times New Roman" w:cs="Times New Roman"/>
                <w:position w:val="2"/>
                <w:sz w:val="20"/>
                <w:szCs w:val="20"/>
              </w:rPr>
              <w:t>04- 1989</w:t>
            </w:r>
          </w:p>
        </w:tc>
        <w:tc>
          <w:tcPr>
            <w:tcW w:w="1870" w:type="dxa"/>
            <w:vAlign w:val="top"/>
          </w:tcPr>
          <w:p w14:paraId="37C0C50E">
            <w:pPr>
              <w:spacing w:before="212" w:line="301" w:lineRule="auto"/>
              <w:ind w:left="448" w:right="94" w:hanging="342"/>
              <w:rPr>
                <w:rFonts w:ascii="Times New Roman" w:hAnsi="Times New Roman" w:eastAsia="Times New Roman" w:cs="Times New Roman"/>
                <w:sz w:val="20"/>
                <w:szCs w:val="20"/>
              </w:rPr>
            </w:pPr>
            <w:r>
              <w:rPr>
                <w:rFonts w:ascii="宋体" w:hAnsi="宋体" w:eastAsia="宋体" w:cs="宋体"/>
                <w:spacing w:val="8"/>
                <w:sz w:val="20"/>
                <w:szCs w:val="20"/>
              </w:rPr>
              <w:t>原子吸收分光光度</w:t>
            </w:r>
            <w:r>
              <w:rPr>
                <w:rFonts w:ascii="宋体" w:hAnsi="宋体" w:eastAsia="宋体" w:cs="宋体"/>
                <w:sz w:val="20"/>
                <w:szCs w:val="20"/>
              </w:rPr>
              <w:t xml:space="preserve"> </w:t>
            </w:r>
            <w:r>
              <w:rPr>
                <w:rFonts w:ascii="宋体" w:hAnsi="宋体" w:eastAsia="宋体" w:cs="宋体"/>
                <w:spacing w:val="-2"/>
                <w:sz w:val="20"/>
                <w:szCs w:val="20"/>
              </w:rPr>
              <w:t xml:space="preserve">计 </w:t>
            </w:r>
            <w:r>
              <w:rPr>
                <w:rFonts w:ascii="Times New Roman" w:hAnsi="Times New Roman" w:eastAsia="Times New Roman" w:cs="Times New Roman"/>
                <w:spacing w:val="-1"/>
                <w:sz w:val="20"/>
                <w:szCs w:val="20"/>
              </w:rPr>
              <w:t>AA</w:t>
            </w:r>
            <w:r>
              <w:rPr>
                <w:rFonts w:ascii="Times New Roman" w:hAnsi="Times New Roman" w:eastAsia="Times New Roman" w:cs="Times New Roman"/>
                <w:spacing w:val="-2"/>
                <w:sz w:val="20"/>
                <w:szCs w:val="20"/>
              </w:rPr>
              <w:t>61</w:t>
            </w:r>
            <w:r>
              <w:rPr>
                <w:rFonts w:ascii="Times New Roman" w:hAnsi="Times New Roman" w:eastAsia="Times New Roman" w:cs="Times New Roman"/>
                <w:spacing w:val="-1"/>
                <w:sz w:val="20"/>
                <w:szCs w:val="20"/>
              </w:rPr>
              <w:t>00</w:t>
            </w:r>
          </w:p>
        </w:tc>
        <w:tc>
          <w:tcPr>
            <w:tcW w:w="730" w:type="dxa"/>
            <w:vAlign w:val="top"/>
          </w:tcPr>
          <w:p w14:paraId="70C3055C">
            <w:pPr>
              <w:spacing w:line="344" w:lineRule="auto"/>
              <w:rPr>
                <w:rFonts w:ascii="Arial"/>
                <w:sz w:val="21"/>
              </w:rPr>
            </w:pPr>
          </w:p>
          <w:p w14:paraId="78E34403">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975" w:type="dxa"/>
            <w:tcBorders>
              <w:right w:val="nil"/>
            </w:tcBorders>
            <w:vAlign w:val="top"/>
          </w:tcPr>
          <w:p w14:paraId="76958769">
            <w:pPr>
              <w:spacing w:line="271" w:lineRule="auto"/>
              <w:rPr>
                <w:rFonts w:ascii="Arial"/>
                <w:sz w:val="21"/>
              </w:rPr>
            </w:pPr>
          </w:p>
          <w:p w14:paraId="22014F0C">
            <w:pPr>
              <w:spacing w:before="57"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44DC2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37299534">
            <w:pPr>
              <w:spacing w:line="344" w:lineRule="auto"/>
              <w:rPr>
                <w:rFonts w:ascii="Arial"/>
                <w:sz w:val="21"/>
              </w:rPr>
            </w:pPr>
          </w:p>
          <w:p w14:paraId="57C69140">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131" w:type="dxa"/>
            <w:vAlign w:val="top"/>
          </w:tcPr>
          <w:p w14:paraId="3AFCB4E6">
            <w:pPr>
              <w:spacing w:line="301" w:lineRule="auto"/>
              <w:rPr>
                <w:rFonts w:ascii="Arial"/>
                <w:sz w:val="21"/>
              </w:rPr>
            </w:pPr>
          </w:p>
          <w:p w14:paraId="6400D87A">
            <w:pPr>
              <w:spacing w:before="65" w:line="230" w:lineRule="auto"/>
              <w:ind w:left="465"/>
              <w:rPr>
                <w:rFonts w:ascii="宋体" w:hAnsi="宋体" w:eastAsia="宋体" w:cs="宋体"/>
                <w:sz w:val="20"/>
                <w:szCs w:val="20"/>
              </w:rPr>
            </w:pPr>
            <w:r>
              <w:rPr>
                <w:rFonts w:ascii="宋体" w:hAnsi="宋体" w:eastAsia="宋体" w:cs="宋体"/>
                <w:spacing w:val="1"/>
                <w:sz w:val="20"/>
                <w:szCs w:val="20"/>
              </w:rPr>
              <w:t>钙</w:t>
            </w:r>
          </w:p>
        </w:tc>
        <w:tc>
          <w:tcPr>
            <w:tcW w:w="3336" w:type="dxa"/>
            <w:vAlign w:val="top"/>
          </w:tcPr>
          <w:p w14:paraId="76AFA3C3">
            <w:pPr>
              <w:spacing w:before="56" w:line="228" w:lineRule="auto"/>
              <w:ind w:left="782"/>
              <w:rPr>
                <w:rFonts w:ascii="宋体" w:hAnsi="宋体" w:eastAsia="宋体" w:cs="宋体"/>
                <w:sz w:val="20"/>
                <w:szCs w:val="20"/>
              </w:rPr>
            </w:pPr>
            <w:r>
              <w:rPr>
                <w:rFonts w:ascii="宋体" w:hAnsi="宋体" w:eastAsia="宋体" w:cs="宋体"/>
                <w:spacing w:val="8"/>
                <w:sz w:val="20"/>
                <w:szCs w:val="20"/>
              </w:rPr>
              <w:t>水质 钙和镁的测定</w:t>
            </w:r>
          </w:p>
          <w:p w14:paraId="49762196">
            <w:pPr>
              <w:spacing w:before="64" w:line="228" w:lineRule="auto"/>
              <w:ind w:left="732"/>
              <w:rPr>
                <w:rFonts w:ascii="宋体" w:hAnsi="宋体" w:eastAsia="宋体" w:cs="宋体"/>
                <w:sz w:val="20"/>
                <w:szCs w:val="20"/>
              </w:rPr>
            </w:pPr>
            <w:r>
              <w:rPr>
                <w:rFonts w:ascii="宋体" w:hAnsi="宋体" w:eastAsia="宋体" w:cs="宋体"/>
                <w:spacing w:val="11"/>
                <w:sz w:val="20"/>
                <w:szCs w:val="20"/>
              </w:rPr>
              <w:t>原</w:t>
            </w:r>
            <w:r>
              <w:rPr>
                <w:rFonts w:ascii="宋体" w:hAnsi="宋体" w:eastAsia="宋体" w:cs="宋体"/>
                <w:spacing w:val="8"/>
                <w:sz w:val="20"/>
                <w:szCs w:val="20"/>
              </w:rPr>
              <w:t>子吸收分光光度法</w:t>
            </w:r>
          </w:p>
          <w:p w14:paraId="24966078">
            <w:pPr>
              <w:spacing w:before="27" w:line="281"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 xml:space="preserve"> 119</w:t>
            </w:r>
            <w:r>
              <w:rPr>
                <w:rFonts w:ascii="Times New Roman" w:hAnsi="Times New Roman" w:eastAsia="Times New Roman" w:cs="Times New Roman"/>
                <w:position w:val="2"/>
                <w:sz w:val="20"/>
                <w:szCs w:val="20"/>
              </w:rPr>
              <w:t>05- 1989</w:t>
            </w:r>
          </w:p>
        </w:tc>
        <w:tc>
          <w:tcPr>
            <w:tcW w:w="1870" w:type="dxa"/>
            <w:vAlign w:val="top"/>
          </w:tcPr>
          <w:p w14:paraId="023FEF3D">
            <w:pPr>
              <w:spacing w:before="213" w:line="301" w:lineRule="auto"/>
              <w:ind w:left="448" w:right="94" w:hanging="342"/>
              <w:rPr>
                <w:rFonts w:ascii="Times New Roman" w:hAnsi="Times New Roman" w:eastAsia="Times New Roman" w:cs="Times New Roman"/>
                <w:sz w:val="20"/>
                <w:szCs w:val="20"/>
              </w:rPr>
            </w:pPr>
            <w:r>
              <w:rPr>
                <w:rFonts w:ascii="宋体" w:hAnsi="宋体" w:eastAsia="宋体" w:cs="宋体"/>
                <w:spacing w:val="8"/>
                <w:sz w:val="20"/>
                <w:szCs w:val="20"/>
              </w:rPr>
              <w:t>原子吸收分光光度</w:t>
            </w:r>
            <w:r>
              <w:rPr>
                <w:rFonts w:ascii="宋体" w:hAnsi="宋体" w:eastAsia="宋体" w:cs="宋体"/>
                <w:sz w:val="20"/>
                <w:szCs w:val="20"/>
              </w:rPr>
              <w:t xml:space="preserve"> </w:t>
            </w:r>
            <w:r>
              <w:rPr>
                <w:rFonts w:ascii="宋体" w:hAnsi="宋体" w:eastAsia="宋体" w:cs="宋体"/>
                <w:spacing w:val="-2"/>
                <w:sz w:val="20"/>
                <w:szCs w:val="20"/>
              </w:rPr>
              <w:t xml:space="preserve">计 </w:t>
            </w:r>
            <w:r>
              <w:rPr>
                <w:rFonts w:ascii="Times New Roman" w:hAnsi="Times New Roman" w:eastAsia="Times New Roman" w:cs="Times New Roman"/>
                <w:spacing w:val="-1"/>
                <w:sz w:val="20"/>
                <w:szCs w:val="20"/>
              </w:rPr>
              <w:t>AA</w:t>
            </w:r>
            <w:r>
              <w:rPr>
                <w:rFonts w:ascii="Times New Roman" w:hAnsi="Times New Roman" w:eastAsia="Times New Roman" w:cs="Times New Roman"/>
                <w:spacing w:val="-2"/>
                <w:sz w:val="20"/>
                <w:szCs w:val="20"/>
              </w:rPr>
              <w:t>61</w:t>
            </w:r>
            <w:r>
              <w:rPr>
                <w:rFonts w:ascii="Times New Roman" w:hAnsi="Times New Roman" w:eastAsia="Times New Roman" w:cs="Times New Roman"/>
                <w:spacing w:val="-1"/>
                <w:sz w:val="20"/>
                <w:szCs w:val="20"/>
              </w:rPr>
              <w:t>00</w:t>
            </w:r>
          </w:p>
        </w:tc>
        <w:tc>
          <w:tcPr>
            <w:tcW w:w="730" w:type="dxa"/>
            <w:vAlign w:val="top"/>
          </w:tcPr>
          <w:p w14:paraId="05010563">
            <w:pPr>
              <w:spacing w:line="345" w:lineRule="auto"/>
              <w:rPr>
                <w:rFonts w:ascii="Arial"/>
                <w:sz w:val="21"/>
              </w:rPr>
            </w:pPr>
          </w:p>
          <w:p w14:paraId="5A94F2F0">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c>
          <w:tcPr>
            <w:tcW w:w="975" w:type="dxa"/>
            <w:tcBorders>
              <w:right w:val="nil"/>
            </w:tcBorders>
            <w:vAlign w:val="top"/>
          </w:tcPr>
          <w:p w14:paraId="7AD739F4">
            <w:pPr>
              <w:spacing w:line="271" w:lineRule="auto"/>
              <w:rPr>
                <w:rFonts w:ascii="Arial"/>
                <w:sz w:val="21"/>
              </w:rPr>
            </w:pPr>
          </w:p>
          <w:p w14:paraId="4947302F">
            <w:pPr>
              <w:spacing w:before="58"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211A9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80" w:type="dxa"/>
            <w:tcBorders>
              <w:left w:val="nil"/>
            </w:tcBorders>
            <w:vAlign w:val="top"/>
          </w:tcPr>
          <w:p w14:paraId="314B6E71">
            <w:pPr>
              <w:spacing w:line="344" w:lineRule="auto"/>
              <w:rPr>
                <w:rFonts w:ascii="Arial"/>
                <w:sz w:val="21"/>
              </w:rPr>
            </w:pPr>
          </w:p>
          <w:p w14:paraId="42AD10CF">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131" w:type="dxa"/>
            <w:vAlign w:val="top"/>
          </w:tcPr>
          <w:p w14:paraId="72117EE9">
            <w:pPr>
              <w:spacing w:line="301" w:lineRule="auto"/>
              <w:rPr>
                <w:rFonts w:ascii="Arial"/>
                <w:sz w:val="21"/>
              </w:rPr>
            </w:pPr>
          </w:p>
          <w:p w14:paraId="2B641730">
            <w:pPr>
              <w:spacing w:before="65" w:line="229" w:lineRule="auto"/>
              <w:ind w:left="465"/>
              <w:rPr>
                <w:rFonts w:ascii="宋体" w:hAnsi="宋体" w:eastAsia="宋体" w:cs="宋体"/>
                <w:sz w:val="20"/>
                <w:szCs w:val="20"/>
              </w:rPr>
            </w:pPr>
            <w:r>
              <w:rPr>
                <w:rFonts w:ascii="宋体" w:hAnsi="宋体" w:eastAsia="宋体" w:cs="宋体"/>
                <w:spacing w:val="1"/>
                <w:sz w:val="20"/>
                <w:szCs w:val="20"/>
              </w:rPr>
              <w:t>钠</w:t>
            </w:r>
          </w:p>
        </w:tc>
        <w:tc>
          <w:tcPr>
            <w:tcW w:w="3336" w:type="dxa"/>
            <w:vAlign w:val="top"/>
          </w:tcPr>
          <w:p w14:paraId="29D1E1C8">
            <w:pPr>
              <w:spacing w:before="55" w:line="228" w:lineRule="auto"/>
              <w:ind w:left="47"/>
              <w:rPr>
                <w:rFonts w:ascii="宋体" w:hAnsi="宋体" w:eastAsia="宋体" w:cs="宋体"/>
                <w:sz w:val="20"/>
                <w:szCs w:val="20"/>
              </w:rPr>
            </w:pPr>
            <w:r>
              <w:rPr>
                <w:rFonts w:ascii="宋体" w:hAnsi="宋体" w:eastAsia="宋体" w:cs="宋体"/>
                <w:spacing w:val="9"/>
                <w:sz w:val="20"/>
                <w:szCs w:val="20"/>
              </w:rPr>
              <w:t>生活饮用水标准检验方法 金属指</w:t>
            </w:r>
            <w:r>
              <w:rPr>
                <w:rFonts w:ascii="宋体" w:hAnsi="宋体" w:eastAsia="宋体" w:cs="宋体"/>
                <w:spacing w:val="7"/>
                <w:sz w:val="20"/>
                <w:szCs w:val="20"/>
              </w:rPr>
              <w:t>标</w:t>
            </w:r>
          </w:p>
          <w:p w14:paraId="39641CA2">
            <w:pPr>
              <w:spacing w:before="65" w:line="228" w:lineRule="auto"/>
              <w:ind w:left="27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 xml:space="preserve">2. 1  </w:t>
            </w:r>
            <w:r>
              <w:rPr>
                <w:rFonts w:ascii="宋体" w:hAnsi="宋体" w:eastAsia="宋体" w:cs="宋体"/>
                <w:spacing w:val="4"/>
                <w:sz w:val="20"/>
                <w:szCs w:val="20"/>
              </w:rPr>
              <w:t>火焰原子吸收分光光度法</w:t>
            </w:r>
          </w:p>
          <w:p w14:paraId="04670D01">
            <w:pPr>
              <w:spacing w:before="27" w:line="281" w:lineRule="exact"/>
              <w:ind w:left="8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5"/>
                <w:position w:val="2"/>
                <w:sz w:val="20"/>
                <w:szCs w:val="20"/>
              </w:rPr>
              <w:t xml:space="preserve"> 5750.6-200</w:t>
            </w:r>
            <w:r>
              <w:rPr>
                <w:rFonts w:ascii="Times New Roman" w:hAnsi="Times New Roman" w:eastAsia="Times New Roman" w:cs="Times New Roman"/>
                <w:spacing w:val="2"/>
                <w:position w:val="2"/>
                <w:sz w:val="20"/>
                <w:szCs w:val="20"/>
              </w:rPr>
              <w:t>6</w:t>
            </w:r>
          </w:p>
        </w:tc>
        <w:tc>
          <w:tcPr>
            <w:tcW w:w="1870" w:type="dxa"/>
            <w:vAlign w:val="top"/>
          </w:tcPr>
          <w:p w14:paraId="6D6F3600">
            <w:pPr>
              <w:spacing w:before="212" w:line="301" w:lineRule="auto"/>
              <w:ind w:left="343" w:right="94" w:hanging="237"/>
              <w:rPr>
                <w:rFonts w:ascii="Times New Roman" w:hAnsi="Times New Roman" w:eastAsia="Times New Roman" w:cs="Times New Roman"/>
                <w:sz w:val="20"/>
                <w:szCs w:val="20"/>
              </w:rPr>
            </w:pPr>
            <w:r>
              <w:rPr>
                <w:rFonts w:ascii="宋体" w:hAnsi="宋体" w:eastAsia="宋体" w:cs="宋体"/>
                <w:spacing w:val="8"/>
                <w:sz w:val="20"/>
                <w:szCs w:val="20"/>
              </w:rPr>
              <w:t>原子吸收分光光度</w:t>
            </w:r>
            <w:r>
              <w:rPr>
                <w:rFonts w:ascii="宋体" w:hAnsi="宋体" w:eastAsia="宋体" w:cs="宋体"/>
                <w:sz w:val="20"/>
                <w:szCs w:val="20"/>
              </w:rPr>
              <w:t xml:space="preserve"> </w:t>
            </w:r>
            <w:r>
              <w:rPr>
                <w:rFonts w:ascii="宋体" w:hAnsi="宋体" w:eastAsia="宋体" w:cs="宋体"/>
                <w:spacing w:val="8"/>
                <w:sz w:val="20"/>
                <w:szCs w:val="20"/>
              </w:rPr>
              <w:t>计</w:t>
            </w:r>
            <w:r>
              <w:rPr>
                <w:rFonts w:ascii="宋体" w:hAnsi="宋体" w:eastAsia="宋体" w:cs="宋体"/>
                <w:spacing w:val="7"/>
                <w:sz w:val="20"/>
                <w:szCs w:val="20"/>
              </w:rPr>
              <w:t xml:space="preserve"> </w:t>
            </w:r>
            <w:r>
              <w:rPr>
                <w:rFonts w:ascii="Times New Roman" w:hAnsi="Times New Roman" w:eastAsia="Times New Roman" w:cs="Times New Roman"/>
                <w:sz w:val="20"/>
                <w:szCs w:val="20"/>
              </w:rPr>
              <w:t>WYS</w:t>
            </w:r>
            <w:r>
              <w:rPr>
                <w:rFonts w:ascii="Times New Roman" w:hAnsi="Times New Roman" w:eastAsia="Times New Roman" w:cs="Times New Roman"/>
                <w:spacing w:val="7"/>
                <w:sz w:val="20"/>
                <w:szCs w:val="20"/>
              </w:rPr>
              <w:t>2200</w:t>
            </w:r>
          </w:p>
        </w:tc>
        <w:tc>
          <w:tcPr>
            <w:tcW w:w="730" w:type="dxa"/>
            <w:vAlign w:val="top"/>
          </w:tcPr>
          <w:p w14:paraId="1088B45E">
            <w:pPr>
              <w:spacing w:line="344" w:lineRule="auto"/>
              <w:rPr>
                <w:rFonts w:ascii="Arial"/>
                <w:sz w:val="21"/>
              </w:rPr>
            </w:pPr>
          </w:p>
          <w:p w14:paraId="57B17B92">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c>
          <w:tcPr>
            <w:tcW w:w="975" w:type="dxa"/>
            <w:tcBorders>
              <w:right w:val="nil"/>
            </w:tcBorders>
            <w:vAlign w:val="top"/>
          </w:tcPr>
          <w:p w14:paraId="0453E2CD">
            <w:pPr>
              <w:spacing w:line="271" w:lineRule="auto"/>
              <w:rPr>
                <w:rFonts w:ascii="Arial"/>
                <w:sz w:val="21"/>
              </w:rPr>
            </w:pPr>
          </w:p>
          <w:p w14:paraId="3F5A847B">
            <w:pPr>
              <w:spacing w:before="57"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r w14:paraId="689E6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80" w:type="dxa"/>
            <w:tcBorders>
              <w:left w:val="nil"/>
            </w:tcBorders>
            <w:vAlign w:val="top"/>
          </w:tcPr>
          <w:p w14:paraId="372123B1">
            <w:pPr>
              <w:spacing w:line="343" w:lineRule="auto"/>
              <w:rPr>
                <w:rFonts w:ascii="Arial"/>
                <w:sz w:val="21"/>
              </w:rPr>
            </w:pPr>
          </w:p>
          <w:p w14:paraId="09C4DFCD">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131" w:type="dxa"/>
            <w:vAlign w:val="top"/>
          </w:tcPr>
          <w:p w14:paraId="65FB0444">
            <w:pPr>
              <w:spacing w:line="300" w:lineRule="auto"/>
              <w:rPr>
                <w:rFonts w:ascii="Arial"/>
                <w:sz w:val="21"/>
              </w:rPr>
            </w:pPr>
          </w:p>
          <w:p w14:paraId="059934A4">
            <w:pPr>
              <w:spacing w:before="65" w:line="230" w:lineRule="auto"/>
              <w:ind w:left="465"/>
              <w:rPr>
                <w:rFonts w:ascii="宋体" w:hAnsi="宋体" w:eastAsia="宋体" w:cs="宋体"/>
                <w:sz w:val="20"/>
                <w:szCs w:val="20"/>
              </w:rPr>
            </w:pPr>
            <w:r>
              <w:rPr>
                <w:rFonts w:ascii="宋体" w:hAnsi="宋体" w:eastAsia="宋体" w:cs="宋体"/>
                <w:spacing w:val="1"/>
                <w:sz w:val="20"/>
                <w:szCs w:val="20"/>
              </w:rPr>
              <w:t>镁</w:t>
            </w:r>
          </w:p>
        </w:tc>
        <w:tc>
          <w:tcPr>
            <w:tcW w:w="3336" w:type="dxa"/>
            <w:vAlign w:val="top"/>
          </w:tcPr>
          <w:p w14:paraId="6C3B7A8D">
            <w:pPr>
              <w:spacing w:before="55" w:line="228" w:lineRule="auto"/>
              <w:ind w:left="782"/>
              <w:rPr>
                <w:rFonts w:ascii="宋体" w:hAnsi="宋体" w:eastAsia="宋体" w:cs="宋体"/>
                <w:sz w:val="20"/>
                <w:szCs w:val="20"/>
              </w:rPr>
            </w:pPr>
            <w:r>
              <w:rPr>
                <w:rFonts w:ascii="宋体" w:hAnsi="宋体" w:eastAsia="宋体" w:cs="宋体"/>
                <w:spacing w:val="8"/>
                <w:sz w:val="20"/>
                <w:szCs w:val="20"/>
              </w:rPr>
              <w:t>水质 钙和镁的测定</w:t>
            </w:r>
          </w:p>
          <w:p w14:paraId="66C63BCE">
            <w:pPr>
              <w:spacing w:before="65" w:line="228" w:lineRule="auto"/>
              <w:ind w:left="732"/>
              <w:rPr>
                <w:rFonts w:ascii="宋体" w:hAnsi="宋体" w:eastAsia="宋体" w:cs="宋体"/>
                <w:sz w:val="20"/>
                <w:szCs w:val="20"/>
              </w:rPr>
            </w:pPr>
            <w:r>
              <w:rPr>
                <w:rFonts w:ascii="宋体" w:hAnsi="宋体" w:eastAsia="宋体" w:cs="宋体"/>
                <w:spacing w:val="11"/>
                <w:sz w:val="20"/>
                <w:szCs w:val="20"/>
              </w:rPr>
              <w:t>原</w:t>
            </w:r>
            <w:r>
              <w:rPr>
                <w:rFonts w:ascii="宋体" w:hAnsi="宋体" w:eastAsia="宋体" w:cs="宋体"/>
                <w:spacing w:val="8"/>
                <w:sz w:val="20"/>
                <w:szCs w:val="20"/>
              </w:rPr>
              <w:t>子吸收分光光度法</w:t>
            </w:r>
          </w:p>
          <w:p w14:paraId="695C0477">
            <w:pPr>
              <w:spacing w:before="27" w:line="281"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GB</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1"/>
                <w:position w:val="2"/>
                <w:sz w:val="20"/>
                <w:szCs w:val="20"/>
              </w:rPr>
              <w:t xml:space="preserve"> 119</w:t>
            </w:r>
            <w:r>
              <w:rPr>
                <w:rFonts w:ascii="Times New Roman" w:hAnsi="Times New Roman" w:eastAsia="Times New Roman" w:cs="Times New Roman"/>
                <w:position w:val="2"/>
                <w:sz w:val="20"/>
                <w:szCs w:val="20"/>
              </w:rPr>
              <w:t>05- 1989</w:t>
            </w:r>
          </w:p>
        </w:tc>
        <w:tc>
          <w:tcPr>
            <w:tcW w:w="1870" w:type="dxa"/>
            <w:vAlign w:val="top"/>
          </w:tcPr>
          <w:p w14:paraId="4A85FD94">
            <w:pPr>
              <w:spacing w:before="212" w:line="301" w:lineRule="auto"/>
              <w:ind w:left="448" w:right="94" w:hanging="342"/>
              <w:rPr>
                <w:rFonts w:ascii="Times New Roman" w:hAnsi="Times New Roman" w:eastAsia="Times New Roman" w:cs="Times New Roman"/>
                <w:sz w:val="20"/>
                <w:szCs w:val="20"/>
              </w:rPr>
            </w:pPr>
            <w:r>
              <w:rPr>
                <w:rFonts w:ascii="宋体" w:hAnsi="宋体" w:eastAsia="宋体" w:cs="宋体"/>
                <w:spacing w:val="8"/>
                <w:sz w:val="20"/>
                <w:szCs w:val="20"/>
              </w:rPr>
              <w:t>原子吸收分光光度</w:t>
            </w:r>
            <w:r>
              <w:rPr>
                <w:rFonts w:ascii="宋体" w:hAnsi="宋体" w:eastAsia="宋体" w:cs="宋体"/>
                <w:sz w:val="20"/>
                <w:szCs w:val="20"/>
              </w:rPr>
              <w:t xml:space="preserve"> </w:t>
            </w:r>
            <w:r>
              <w:rPr>
                <w:rFonts w:ascii="宋体" w:hAnsi="宋体" w:eastAsia="宋体" w:cs="宋体"/>
                <w:spacing w:val="-2"/>
                <w:sz w:val="20"/>
                <w:szCs w:val="20"/>
              </w:rPr>
              <w:t xml:space="preserve">计 </w:t>
            </w:r>
            <w:r>
              <w:rPr>
                <w:rFonts w:ascii="Times New Roman" w:hAnsi="Times New Roman" w:eastAsia="Times New Roman" w:cs="Times New Roman"/>
                <w:spacing w:val="-1"/>
                <w:sz w:val="20"/>
                <w:szCs w:val="20"/>
              </w:rPr>
              <w:t>AA</w:t>
            </w:r>
            <w:r>
              <w:rPr>
                <w:rFonts w:ascii="Times New Roman" w:hAnsi="Times New Roman" w:eastAsia="Times New Roman" w:cs="Times New Roman"/>
                <w:spacing w:val="-2"/>
                <w:sz w:val="20"/>
                <w:szCs w:val="20"/>
              </w:rPr>
              <w:t>61</w:t>
            </w:r>
            <w:r>
              <w:rPr>
                <w:rFonts w:ascii="Times New Roman" w:hAnsi="Times New Roman" w:eastAsia="Times New Roman" w:cs="Times New Roman"/>
                <w:spacing w:val="-1"/>
                <w:sz w:val="20"/>
                <w:szCs w:val="20"/>
              </w:rPr>
              <w:t>00</w:t>
            </w:r>
          </w:p>
        </w:tc>
        <w:tc>
          <w:tcPr>
            <w:tcW w:w="730" w:type="dxa"/>
            <w:vAlign w:val="top"/>
          </w:tcPr>
          <w:p w14:paraId="2A8944FC">
            <w:pPr>
              <w:spacing w:line="344" w:lineRule="auto"/>
              <w:rPr>
                <w:rFonts w:ascii="Arial"/>
                <w:sz w:val="21"/>
              </w:rPr>
            </w:pPr>
          </w:p>
          <w:p w14:paraId="019D5089">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c>
          <w:tcPr>
            <w:tcW w:w="975" w:type="dxa"/>
            <w:tcBorders>
              <w:right w:val="nil"/>
            </w:tcBorders>
            <w:vAlign w:val="top"/>
          </w:tcPr>
          <w:p w14:paraId="008FED84">
            <w:pPr>
              <w:spacing w:line="270" w:lineRule="auto"/>
              <w:rPr>
                <w:rFonts w:ascii="Arial"/>
                <w:sz w:val="21"/>
              </w:rPr>
            </w:pPr>
          </w:p>
          <w:p w14:paraId="5D237300">
            <w:pPr>
              <w:spacing w:before="58" w:line="281" w:lineRule="exact"/>
              <w:ind w:left="25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r>
    </w:tbl>
    <w:p w14:paraId="40DEB991">
      <w:pPr>
        <w:spacing w:line="259" w:lineRule="auto"/>
        <w:rPr>
          <w:rFonts w:ascii="Arial"/>
          <w:sz w:val="21"/>
        </w:rPr>
      </w:pPr>
    </w:p>
    <w:p w14:paraId="336FA081">
      <w:pPr>
        <w:spacing w:before="75"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5</w:t>
      </w:r>
      <w:r>
        <w:rPr>
          <w:rFonts w:ascii="宋体" w:hAnsi="宋体" w:eastAsia="宋体" w:cs="宋体"/>
          <w:spacing w:val="20"/>
          <w:sz w:val="23"/>
          <w:szCs w:val="23"/>
        </w:rPr>
        <w:t>) 监测结</w:t>
      </w:r>
      <w:r>
        <w:rPr>
          <w:rFonts w:ascii="宋体" w:hAnsi="宋体" w:eastAsia="宋体" w:cs="宋体"/>
          <w:spacing w:val="19"/>
          <w:sz w:val="23"/>
          <w:szCs w:val="23"/>
        </w:rPr>
        <w:t>果</w:t>
      </w:r>
    </w:p>
    <w:p w14:paraId="5F469797">
      <w:pPr>
        <w:spacing w:line="275" w:lineRule="auto"/>
        <w:rPr>
          <w:rFonts w:ascii="Arial"/>
          <w:sz w:val="21"/>
        </w:rPr>
      </w:pPr>
    </w:p>
    <w:p w14:paraId="17494B86">
      <w:pPr>
        <w:spacing w:before="75" w:line="227" w:lineRule="auto"/>
        <w:ind w:left="601"/>
        <w:rPr>
          <w:rFonts w:ascii="宋体" w:hAnsi="宋体" w:eastAsia="宋体" w:cs="宋体"/>
          <w:sz w:val="23"/>
          <w:szCs w:val="23"/>
        </w:rPr>
      </w:pPr>
      <w:r>
        <w:rPr>
          <w:rFonts w:ascii="宋体" w:hAnsi="宋体" w:eastAsia="宋体" w:cs="宋体"/>
          <w:spacing w:val="3"/>
          <w:sz w:val="23"/>
          <w:szCs w:val="23"/>
        </w:rPr>
        <w:t xml:space="preserve">项目所在区域地下水环境现状监测结果见表 </w:t>
      </w:r>
      <w:r>
        <w:rPr>
          <w:rFonts w:ascii="Times New Roman" w:hAnsi="Times New Roman" w:eastAsia="Times New Roman" w:cs="Times New Roman"/>
          <w:spacing w:val="3"/>
          <w:sz w:val="23"/>
          <w:szCs w:val="23"/>
        </w:rPr>
        <w:t>4- 1</w:t>
      </w:r>
      <w:r>
        <w:rPr>
          <w:rFonts w:ascii="Times New Roman" w:hAnsi="Times New Roman" w:eastAsia="Times New Roman" w:cs="Times New Roman"/>
          <w:spacing w:val="2"/>
          <w:sz w:val="23"/>
          <w:szCs w:val="23"/>
        </w:rPr>
        <w:t>1</w:t>
      </w:r>
      <w:r>
        <w:rPr>
          <w:rFonts w:ascii="宋体" w:hAnsi="宋体" w:eastAsia="宋体" w:cs="宋体"/>
          <w:sz w:val="23"/>
          <w:szCs w:val="23"/>
        </w:rPr>
        <w:t>。</w:t>
      </w:r>
    </w:p>
    <w:p w14:paraId="17980ADC">
      <w:pPr>
        <w:sectPr>
          <w:headerReference r:id="rId167" w:type="default"/>
          <w:footerReference r:id="rId168" w:type="default"/>
          <w:pgSz w:w="11906" w:h="16839"/>
          <w:pgMar w:top="1132" w:right="1691" w:bottom="1182" w:left="1691" w:header="878" w:footer="1022" w:gutter="0"/>
          <w:cols w:space="720" w:num="1"/>
        </w:sectPr>
      </w:pPr>
    </w:p>
    <w:p w14:paraId="4253071B">
      <w:pPr>
        <w:spacing w:line="409" w:lineRule="auto"/>
        <w:rPr>
          <w:rFonts w:ascii="Arial"/>
          <w:sz w:val="21"/>
        </w:rPr>
      </w:pPr>
      <w:r>
        <w:pict>
          <v:shape id="_x0000_s1220" o:spid="_x0000_s1220" style="position:absolute;left:0pt;margin-left:90pt;margin-top:57.35pt;height:0.75pt;width:415.3pt;mso-position-horizontal-relative:page;mso-position-vertical-relative:page;z-index:251872256;mso-width-relative:page;mso-height-relative:page;" fillcolor="#000000" filled="t" stroked="f" coordsize="8305,15" o:allowincell="f" path="m0,0l8305,0,8305,14,0,14,0,0xe">
            <v:path/>
            <v:fill on="t" focussize="0,0"/>
            <v:stroke on="f"/>
            <v:imagedata o:title=""/>
            <o:lock v:ext="edit"/>
          </v:shape>
        </w:pict>
      </w:r>
    </w:p>
    <w:p w14:paraId="0D3EB3C4">
      <w:pPr>
        <w:spacing w:before="74" w:line="227" w:lineRule="auto"/>
        <w:ind w:left="246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3"/>
          <w:sz w:val="23"/>
          <w:szCs w:val="23"/>
        </w:rPr>
        <w:t>-11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地下水水质监测结果表</w:t>
      </w:r>
    </w:p>
    <w:p w14:paraId="792BD5F1">
      <w:pPr>
        <w:spacing w:line="17" w:lineRule="exact"/>
      </w:pPr>
    </w:p>
    <w:tbl>
      <w:tblPr>
        <w:tblStyle w:val="4"/>
        <w:tblW w:w="8362"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016"/>
        <w:gridCol w:w="1029"/>
        <w:gridCol w:w="1030"/>
        <w:gridCol w:w="1029"/>
        <w:gridCol w:w="1029"/>
        <w:gridCol w:w="1030"/>
        <w:gridCol w:w="1034"/>
      </w:tblGrid>
      <w:tr w14:paraId="415C1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2181" w:type="dxa"/>
            <w:gridSpan w:val="2"/>
            <w:vMerge w:val="restart"/>
            <w:tcBorders>
              <w:left w:val="nil"/>
              <w:bottom w:val="nil"/>
              <w:tl2br w:val="single" w:color="000000" w:sz="4" w:space="0"/>
            </w:tcBorders>
            <w:vAlign w:val="top"/>
          </w:tcPr>
          <w:p w14:paraId="308BBE22">
            <w:pPr>
              <w:spacing w:before="56" w:line="229" w:lineRule="auto"/>
              <w:ind w:right="26"/>
              <w:jc w:val="right"/>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点</w:t>
            </w:r>
            <w:r>
              <w:rPr>
                <w:rFonts w:ascii="宋体" w:hAnsi="宋体" w:eastAsia="宋体" w:cs="宋体"/>
                <w:sz w:val="20"/>
                <w:szCs w:val="20"/>
                <w14:textOutline w14:w="3795" w14:cap="sq" w14:cmpd="sng">
                  <w14:solidFill>
                    <w14:srgbClr w14:val="000000"/>
                  </w14:solidFill>
                  <w14:prstDash w14:val="solid"/>
                  <w14:bevel/>
                </w14:textOutline>
              </w:rPr>
              <w:t>位</w:t>
            </w:r>
          </w:p>
          <w:p w14:paraId="1829525C">
            <w:pPr>
              <w:spacing w:before="23" w:line="227" w:lineRule="auto"/>
              <w:ind w:left="3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2059" w:type="dxa"/>
            <w:gridSpan w:val="2"/>
            <w:vAlign w:val="top"/>
          </w:tcPr>
          <w:p w14:paraId="1C87832D">
            <w:pPr>
              <w:spacing w:before="15" w:line="285" w:lineRule="exact"/>
              <w:ind w:left="200"/>
              <w:rPr>
                <w:rFonts w:ascii="宋体" w:hAnsi="宋体" w:eastAsia="宋体" w:cs="宋体"/>
                <w:sz w:val="20"/>
                <w:szCs w:val="20"/>
              </w:rPr>
            </w:pPr>
            <w:r>
              <w:rPr>
                <w:rFonts w:ascii="Times New Roman" w:hAnsi="Times New Roman" w:eastAsia="Times New Roman" w:cs="Times New Roman"/>
                <w:b/>
                <w:bCs/>
                <w:spacing w:val="12"/>
                <w:position w:val="1"/>
                <w:sz w:val="20"/>
                <w:szCs w:val="20"/>
              </w:rPr>
              <w:t>1</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51" w14:cap="sq" w14:cmpd="sng">
                  <w14:solidFill>
                    <w14:srgbClr w14:val="000000"/>
                  </w14:solidFill>
                  <w14:prstDash w14:val="solid"/>
                  <w14:bevel/>
                </w14:textOutline>
              </w:rPr>
              <w:t>建设项目所在地</w:t>
            </w:r>
          </w:p>
        </w:tc>
        <w:tc>
          <w:tcPr>
            <w:tcW w:w="2058" w:type="dxa"/>
            <w:gridSpan w:val="2"/>
            <w:vAlign w:val="top"/>
          </w:tcPr>
          <w:p w14:paraId="15DCB641">
            <w:pPr>
              <w:spacing w:before="15" w:line="285" w:lineRule="exact"/>
              <w:ind w:left="612"/>
              <w:rPr>
                <w:rFonts w:ascii="宋体" w:hAnsi="宋体" w:eastAsia="宋体" w:cs="宋体"/>
                <w:sz w:val="20"/>
                <w:szCs w:val="20"/>
              </w:rPr>
            </w:pPr>
            <w:r>
              <w:rPr>
                <w:rFonts w:ascii="Times New Roman" w:hAnsi="Times New Roman" w:eastAsia="Times New Roman" w:cs="Times New Roman"/>
                <w:b/>
                <w:bCs/>
                <w:spacing w:val="7"/>
                <w:position w:val="1"/>
                <w:sz w:val="20"/>
                <w:szCs w:val="20"/>
              </w:rPr>
              <w:t>2#</w:t>
            </w:r>
            <w:r>
              <w:rPr>
                <w:rFonts w:ascii="宋体" w:hAnsi="宋体" w:eastAsia="宋体" w:cs="宋体"/>
                <w:spacing w:val="7"/>
                <w:position w:val="1"/>
                <w:sz w:val="20"/>
                <w:szCs w:val="20"/>
                <w14:textOutline w14:w="3751" w14:cap="sq" w14:cmpd="sng">
                  <w14:solidFill>
                    <w14:srgbClr w14:val="000000"/>
                  </w14:solidFill>
                  <w14:prstDash w14:val="solid"/>
                  <w14:bevel/>
                </w14:textOutline>
              </w:rPr>
              <w:t>榆树底</w:t>
            </w:r>
          </w:p>
        </w:tc>
        <w:tc>
          <w:tcPr>
            <w:tcW w:w="2064" w:type="dxa"/>
            <w:gridSpan w:val="2"/>
            <w:tcBorders>
              <w:right w:val="nil"/>
            </w:tcBorders>
            <w:vAlign w:val="top"/>
          </w:tcPr>
          <w:p w14:paraId="5F8AE60E">
            <w:pPr>
              <w:spacing w:before="15" w:line="285" w:lineRule="exact"/>
              <w:ind w:left="508"/>
              <w:rPr>
                <w:rFonts w:ascii="宋体" w:hAnsi="宋体" w:eastAsia="宋体" w:cs="宋体"/>
                <w:sz w:val="20"/>
                <w:szCs w:val="20"/>
              </w:rPr>
            </w:pPr>
            <w:r>
              <w:rPr>
                <w:rFonts w:ascii="Times New Roman" w:hAnsi="Times New Roman" w:eastAsia="Times New Roman" w:cs="Times New Roman"/>
                <w:b/>
                <w:bCs/>
                <w:spacing w:val="8"/>
                <w:position w:val="1"/>
                <w:sz w:val="20"/>
                <w:szCs w:val="20"/>
              </w:rPr>
              <w:t>3#</w:t>
            </w:r>
            <w:r>
              <w:rPr>
                <w:rFonts w:ascii="宋体" w:hAnsi="宋体" w:eastAsia="宋体" w:cs="宋体"/>
                <w:spacing w:val="8"/>
                <w:position w:val="1"/>
                <w:sz w:val="20"/>
                <w:szCs w:val="20"/>
                <w14:textOutline w14:w="3751" w14:cap="sq" w14:cmpd="sng">
                  <w14:solidFill>
                    <w14:srgbClr w14:val="000000"/>
                  </w14:solidFill>
                  <w14:prstDash w14:val="solid"/>
                  <w14:bevel/>
                </w14:textOutline>
              </w:rPr>
              <w:t>火连寨村</w:t>
            </w:r>
          </w:p>
        </w:tc>
      </w:tr>
      <w:tr w14:paraId="7AAF2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181" w:type="dxa"/>
            <w:gridSpan w:val="2"/>
            <w:vMerge w:val="continue"/>
            <w:tcBorders>
              <w:top w:val="nil"/>
              <w:left w:val="nil"/>
              <w:tl2br w:val="single" w:color="000000" w:sz="4" w:space="0"/>
            </w:tcBorders>
            <w:vAlign w:val="top"/>
          </w:tcPr>
          <w:p w14:paraId="7300739B">
            <w:pPr>
              <w:rPr>
                <w:rFonts w:ascii="Arial"/>
                <w:sz w:val="21"/>
              </w:rPr>
            </w:pPr>
          </w:p>
        </w:tc>
        <w:tc>
          <w:tcPr>
            <w:tcW w:w="1029" w:type="dxa"/>
            <w:vAlign w:val="top"/>
          </w:tcPr>
          <w:p w14:paraId="73E0BFC9">
            <w:pPr>
              <w:spacing w:before="62" w:line="195" w:lineRule="auto"/>
              <w:ind w:left="4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2019.06.2</w:t>
            </w:r>
            <w:r>
              <w:rPr>
                <w:rFonts w:ascii="Times New Roman" w:hAnsi="Times New Roman" w:eastAsia="Times New Roman" w:cs="Times New Roman"/>
                <w:b/>
                <w:bCs/>
                <w:spacing w:val="3"/>
                <w:sz w:val="20"/>
                <w:szCs w:val="20"/>
              </w:rPr>
              <w:t>0</w:t>
            </w:r>
          </w:p>
        </w:tc>
        <w:tc>
          <w:tcPr>
            <w:tcW w:w="1030" w:type="dxa"/>
            <w:vAlign w:val="top"/>
          </w:tcPr>
          <w:p w14:paraId="343EA348">
            <w:pPr>
              <w:spacing w:before="62" w:line="195" w:lineRule="auto"/>
              <w:ind w:left="4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2019.06.2</w:t>
            </w:r>
            <w:r>
              <w:rPr>
                <w:rFonts w:ascii="Times New Roman" w:hAnsi="Times New Roman" w:eastAsia="Times New Roman" w:cs="Times New Roman"/>
                <w:b/>
                <w:bCs/>
                <w:spacing w:val="3"/>
                <w:sz w:val="20"/>
                <w:szCs w:val="20"/>
              </w:rPr>
              <w:t>1</w:t>
            </w:r>
          </w:p>
        </w:tc>
        <w:tc>
          <w:tcPr>
            <w:tcW w:w="1029" w:type="dxa"/>
            <w:vAlign w:val="top"/>
          </w:tcPr>
          <w:p w14:paraId="0B7B8B80">
            <w:pPr>
              <w:spacing w:before="62" w:line="195" w:lineRule="auto"/>
              <w:ind w:left="4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2019.06.2</w:t>
            </w:r>
            <w:r>
              <w:rPr>
                <w:rFonts w:ascii="Times New Roman" w:hAnsi="Times New Roman" w:eastAsia="Times New Roman" w:cs="Times New Roman"/>
                <w:b/>
                <w:bCs/>
                <w:spacing w:val="3"/>
                <w:sz w:val="20"/>
                <w:szCs w:val="20"/>
              </w:rPr>
              <w:t>0</w:t>
            </w:r>
          </w:p>
        </w:tc>
        <w:tc>
          <w:tcPr>
            <w:tcW w:w="1029" w:type="dxa"/>
            <w:vAlign w:val="top"/>
          </w:tcPr>
          <w:p w14:paraId="6D8C1591">
            <w:pPr>
              <w:spacing w:before="62" w:line="195" w:lineRule="auto"/>
              <w:ind w:left="4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2019.06.2</w:t>
            </w:r>
            <w:r>
              <w:rPr>
                <w:rFonts w:ascii="Times New Roman" w:hAnsi="Times New Roman" w:eastAsia="Times New Roman" w:cs="Times New Roman"/>
                <w:b/>
                <w:bCs/>
                <w:spacing w:val="3"/>
                <w:sz w:val="20"/>
                <w:szCs w:val="20"/>
              </w:rPr>
              <w:t>1</w:t>
            </w:r>
          </w:p>
        </w:tc>
        <w:tc>
          <w:tcPr>
            <w:tcW w:w="1030" w:type="dxa"/>
            <w:vAlign w:val="top"/>
          </w:tcPr>
          <w:p w14:paraId="69A527E5">
            <w:pPr>
              <w:spacing w:before="62" w:line="195" w:lineRule="auto"/>
              <w:ind w:left="44"/>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2019.06.2</w:t>
            </w:r>
            <w:r>
              <w:rPr>
                <w:rFonts w:ascii="Times New Roman" w:hAnsi="Times New Roman" w:eastAsia="Times New Roman" w:cs="Times New Roman"/>
                <w:b/>
                <w:bCs/>
                <w:spacing w:val="3"/>
                <w:sz w:val="20"/>
                <w:szCs w:val="20"/>
              </w:rPr>
              <w:t>0</w:t>
            </w:r>
          </w:p>
        </w:tc>
        <w:tc>
          <w:tcPr>
            <w:tcW w:w="1034" w:type="dxa"/>
            <w:tcBorders>
              <w:right w:val="nil"/>
            </w:tcBorders>
            <w:vAlign w:val="top"/>
          </w:tcPr>
          <w:p w14:paraId="5248ED63">
            <w:pPr>
              <w:spacing w:before="62" w:line="195" w:lineRule="auto"/>
              <w:ind w:left="4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2019.06.2</w:t>
            </w:r>
            <w:r>
              <w:rPr>
                <w:rFonts w:ascii="Times New Roman" w:hAnsi="Times New Roman" w:eastAsia="Times New Roman" w:cs="Times New Roman"/>
                <w:b/>
                <w:bCs/>
                <w:spacing w:val="3"/>
                <w:sz w:val="20"/>
                <w:szCs w:val="20"/>
              </w:rPr>
              <w:t>1</w:t>
            </w:r>
          </w:p>
        </w:tc>
      </w:tr>
      <w:tr w14:paraId="6536B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2187A1A1">
            <w:pPr>
              <w:spacing w:before="89" w:line="194"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16" w:type="dxa"/>
            <w:vAlign w:val="top"/>
          </w:tcPr>
          <w:p w14:paraId="14DCC075">
            <w:pPr>
              <w:spacing w:before="51" w:line="228" w:lineRule="auto"/>
              <w:ind w:left="19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1029" w:type="dxa"/>
            <w:vAlign w:val="top"/>
          </w:tcPr>
          <w:p w14:paraId="780E7107">
            <w:pPr>
              <w:spacing w:before="86"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.62</w:t>
            </w:r>
          </w:p>
        </w:tc>
        <w:tc>
          <w:tcPr>
            <w:tcW w:w="1030" w:type="dxa"/>
            <w:vAlign w:val="top"/>
          </w:tcPr>
          <w:p w14:paraId="08D1B3DB">
            <w:pPr>
              <w:spacing w:before="86"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.66</w:t>
            </w:r>
          </w:p>
        </w:tc>
        <w:tc>
          <w:tcPr>
            <w:tcW w:w="1029" w:type="dxa"/>
            <w:vAlign w:val="top"/>
          </w:tcPr>
          <w:p w14:paraId="11407C70">
            <w:pPr>
              <w:spacing w:before="86"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.95</w:t>
            </w:r>
          </w:p>
        </w:tc>
        <w:tc>
          <w:tcPr>
            <w:tcW w:w="1029" w:type="dxa"/>
            <w:vAlign w:val="top"/>
          </w:tcPr>
          <w:p w14:paraId="36CB7AC1">
            <w:pPr>
              <w:spacing w:before="86"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.80</w:t>
            </w:r>
          </w:p>
        </w:tc>
        <w:tc>
          <w:tcPr>
            <w:tcW w:w="1030" w:type="dxa"/>
            <w:vAlign w:val="top"/>
          </w:tcPr>
          <w:p w14:paraId="7D4926D5">
            <w:pPr>
              <w:spacing w:before="8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7. 19</w:t>
            </w:r>
          </w:p>
        </w:tc>
        <w:tc>
          <w:tcPr>
            <w:tcW w:w="1034" w:type="dxa"/>
            <w:tcBorders>
              <w:right w:val="nil"/>
            </w:tcBorders>
            <w:vAlign w:val="top"/>
          </w:tcPr>
          <w:p w14:paraId="4B7D79D0">
            <w:pPr>
              <w:spacing w:before="86"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.25</w:t>
            </w:r>
          </w:p>
        </w:tc>
      </w:tr>
      <w:tr w14:paraId="71AF9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621B9217">
            <w:pPr>
              <w:spacing w:before="50" w:line="228" w:lineRule="auto"/>
              <w:ind w:left="277"/>
              <w:rPr>
                <w:rFonts w:ascii="宋体" w:hAnsi="宋体" w:eastAsia="宋体" w:cs="宋体"/>
                <w:sz w:val="20"/>
                <w:szCs w:val="20"/>
              </w:rPr>
            </w:pPr>
            <w:r>
              <w:rPr>
                <w:rFonts w:ascii="宋体" w:hAnsi="宋体" w:eastAsia="宋体" w:cs="宋体"/>
                <w:spacing w:val="7"/>
                <w:sz w:val="20"/>
                <w:szCs w:val="20"/>
              </w:rPr>
              <w:t>浑</w:t>
            </w:r>
            <w:r>
              <w:rPr>
                <w:rFonts w:ascii="宋体" w:hAnsi="宋体" w:eastAsia="宋体" w:cs="宋体"/>
                <w:spacing w:val="6"/>
                <w:sz w:val="20"/>
                <w:szCs w:val="20"/>
              </w:rPr>
              <w:t>浊度</w:t>
            </w:r>
          </w:p>
        </w:tc>
        <w:tc>
          <w:tcPr>
            <w:tcW w:w="1016" w:type="dxa"/>
            <w:vAlign w:val="top"/>
          </w:tcPr>
          <w:p w14:paraId="3246B4F7">
            <w:pPr>
              <w:spacing w:before="89" w:line="192"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NT</w:t>
            </w:r>
            <w:r>
              <w:rPr>
                <w:rFonts w:ascii="Times New Roman" w:hAnsi="Times New Roman" w:eastAsia="Times New Roman" w:cs="Times New Roman"/>
                <w:spacing w:val="6"/>
                <w:sz w:val="20"/>
                <w:szCs w:val="20"/>
              </w:rPr>
              <w:t>U</w:t>
            </w:r>
          </w:p>
        </w:tc>
        <w:tc>
          <w:tcPr>
            <w:tcW w:w="1029" w:type="dxa"/>
            <w:vAlign w:val="top"/>
          </w:tcPr>
          <w:p w14:paraId="4CB529EE">
            <w:pPr>
              <w:spacing w:before="86" w:line="198"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030" w:type="dxa"/>
            <w:vAlign w:val="top"/>
          </w:tcPr>
          <w:p w14:paraId="7DA9E728">
            <w:pPr>
              <w:spacing w:before="86" w:line="198"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029" w:type="dxa"/>
            <w:vAlign w:val="top"/>
          </w:tcPr>
          <w:p w14:paraId="57F2806A">
            <w:pPr>
              <w:spacing w:before="86" w:line="198"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029" w:type="dxa"/>
            <w:vAlign w:val="top"/>
          </w:tcPr>
          <w:p w14:paraId="566FD4A1">
            <w:pPr>
              <w:spacing w:before="86" w:line="198"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030" w:type="dxa"/>
            <w:vAlign w:val="top"/>
          </w:tcPr>
          <w:p w14:paraId="21973004">
            <w:pPr>
              <w:spacing w:before="86" w:line="198"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034" w:type="dxa"/>
            <w:tcBorders>
              <w:right w:val="nil"/>
            </w:tcBorders>
            <w:vAlign w:val="top"/>
          </w:tcPr>
          <w:p w14:paraId="455A92C6">
            <w:pPr>
              <w:spacing w:before="86" w:line="198"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r>
      <w:tr w14:paraId="7637D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16F6389F">
            <w:pPr>
              <w:spacing w:before="50" w:line="227" w:lineRule="auto"/>
              <w:ind w:left="276"/>
              <w:rPr>
                <w:rFonts w:ascii="宋体" w:hAnsi="宋体" w:eastAsia="宋体" w:cs="宋体"/>
                <w:sz w:val="20"/>
                <w:szCs w:val="20"/>
              </w:rPr>
            </w:pPr>
            <w:r>
              <w:rPr>
                <w:rFonts w:ascii="宋体" w:hAnsi="宋体" w:eastAsia="宋体" w:cs="宋体"/>
                <w:spacing w:val="7"/>
                <w:sz w:val="20"/>
                <w:szCs w:val="20"/>
              </w:rPr>
              <w:t>耗</w:t>
            </w:r>
            <w:r>
              <w:rPr>
                <w:rFonts w:ascii="宋体" w:hAnsi="宋体" w:eastAsia="宋体" w:cs="宋体"/>
                <w:spacing w:val="6"/>
                <w:sz w:val="20"/>
                <w:szCs w:val="20"/>
              </w:rPr>
              <w:t>氧量</w:t>
            </w:r>
          </w:p>
        </w:tc>
        <w:tc>
          <w:tcPr>
            <w:tcW w:w="1016" w:type="dxa"/>
            <w:vAlign w:val="top"/>
          </w:tcPr>
          <w:p w14:paraId="35815419">
            <w:pPr>
              <w:spacing w:before="12"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786D90EE">
            <w:pPr>
              <w:spacing w:before="86"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c>
          <w:tcPr>
            <w:tcW w:w="1030" w:type="dxa"/>
            <w:vAlign w:val="top"/>
          </w:tcPr>
          <w:p w14:paraId="25880741">
            <w:pPr>
              <w:spacing w:before="86"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13</w:t>
            </w:r>
          </w:p>
        </w:tc>
        <w:tc>
          <w:tcPr>
            <w:tcW w:w="1029" w:type="dxa"/>
            <w:vAlign w:val="top"/>
          </w:tcPr>
          <w:p w14:paraId="0571FE38">
            <w:pPr>
              <w:spacing w:before="86"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25</w:t>
            </w:r>
          </w:p>
        </w:tc>
        <w:tc>
          <w:tcPr>
            <w:tcW w:w="1029" w:type="dxa"/>
            <w:vAlign w:val="top"/>
          </w:tcPr>
          <w:p w14:paraId="12E320BC">
            <w:pPr>
              <w:spacing w:before="86"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21</w:t>
            </w:r>
          </w:p>
        </w:tc>
        <w:tc>
          <w:tcPr>
            <w:tcW w:w="1030" w:type="dxa"/>
            <w:vAlign w:val="top"/>
          </w:tcPr>
          <w:p w14:paraId="10270D40">
            <w:pPr>
              <w:spacing w:before="86"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17</w:t>
            </w:r>
          </w:p>
        </w:tc>
        <w:tc>
          <w:tcPr>
            <w:tcW w:w="1034" w:type="dxa"/>
            <w:tcBorders>
              <w:right w:val="nil"/>
            </w:tcBorders>
            <w:vAlign w:val="top"/>
          </w:tcPr>
          <w:p w14:paraId="737C0544">
            <w:pPr>
              <w:spacing w:before="86"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21</w:t>
            </w:r>
          </w:p>
        </w:tc>
      </w:tr>
      <w:tr w14:paraId="064A1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2DB40342">
            <w:pPr>
              <w:spacing w:before="52" w:line="227" w:lineRule="auto"/>
              <w:ind w:left="379"/>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1016" w:type="dxa"/>
            <w:vAlign w:val="top"/>
          </w:tcPr>
          <w:p w14:paraId="75E61934">
            <w:pPr>
              <w:spacing w:before="14"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1DE24CAE">
            <w:pPr>
              <w:spacing w:before="8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.84</w:t>
            </w:r>
          </w:p>
        </w:tc>
        <w:tc>
          <w:tcPr>
            <w:tcW w:w="1030" w:type="dxa"/>
            <w:vAlign w:val="top"/>
          </w:tcPr>
          <w:p w14:paraId="336517A6">
            <w:pPr>
              <w:spacing w:before="8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.83</w:t>
            </w:r>
          </w:p>
        </w:tc>
        <w:tc>
          <w:tcPr>
            <w:tcW w:w="1029" w:type="dxa"/>
            <w:vAlign w:val="top"/>
          </w:tcPr>
          <w:p w14:paraId="34DE8320">
            <w:pPr>
              <w:spacing w:before="8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.41</w:t>
            </w:r>
          </w:p>
        </w:tc>
        <w:tc>
          <w:tcPr>
            <w:tcW w:w="1029" w:type="dxa"/>
            <w:vAlign w:val="top"/>
          </w:tcPr>
          <w:p w14:paraId="60F92FE4">
            <w:pPr>
              <w:spacing w:before="8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.43</w:t>
            </w:r>
          </w:p>
        </w:tc>
        <w:tc>
          <w:tcPr>
            <w:tcW w:w="1030" w:type="dxa"/>
            <w:vAlign w:val="top"/>
          </w:tcPr>
          <w:p w14:paraId="7706D101">
            <w:pPr>
              <w:spacing w:before="8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.75</w:t>
            </w:r>
          </w:p>
        </w:tc>
        <w:tc>
          <w:tcPr>
            <w:tcW w:w="1034" w:type="dxa"/>
            <w:tcBorders>
              <w:right w:val="nil"/>
            </w:tcBorders>
            <w:vAlign w:val="top"/>
          </w:tcPr>
          <w:p w14:paraId="03587FB2">
            <w:pPr>
              <w:spacing w:before="8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.73</w:t>
            </w:r>
          </w:p>
        </w:tc>
      </w:tr>
      <w:tr w14:paraId="1398A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65" w:type="dxa"/>
            <w:tcBorders>
              <w:left w:val="nil"/>
            </w:tcBorders>
            <w:vAlign w:val="top"/>
          </w:tcPr>
          <w:p w14:paraId="2095B355">
            <w:pPr>
              <w:spacing w:before="52" w:line="228" w:lineRule="auto"/>
              <w:ind w:left="281"/>
              <w:rPr>
                <w:rFonts w:ascii="宋体" w:hAnsi="宋体" w:eastAsia="宋体" w:cs="宋体"/>
                <w:sz w:val="20"/>
                <w:szCs w:val="20"/>
              </w:rPr>
            </w:pPr>
            <w:r>
              <w:rPr>
                <w:rFonts w:ascii="宋体" w:hAnsi="宋体" w:eastAsia="宋体" w:cs="宋体"/>
                <w:spacing w:val="5"/>
                <w:sz w:val="20"/>
                <w:szCs w:val="20"/>
              </w:rPr>
              <w:t>总硬度</w:t>
            </w:r>
          </w:p>
        </w:tc>
        <w:tc>
          <w:tcPr>
            <w:tcW w:w="1016" w:type="dxa"/>
            <w:vAlign w:val="top"/>
          </w:tcPr>
          <w:p w14:paraId="0B6BEF74">
            <w:pPr>
              <w:spacing w:before="14"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212012ED">
            <w:pPr>
              <w:spacing w:before="8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392.4</w:t>
            </w:r>
          </w:p>
        </w:tc>
        <w:tc>
          <w:tcPr>
            <w:tcW w:w="1030" w:type="dxa"/>
            <w:vAlign w:val="top"/>
          </w:tcPr>
          <w:p w14:paraId="33AAD8BA">
            <w:pPr>
              <w:spacing w:before="8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382.4</w:t>
            </w:r>
          </w:p>
        </w:tc>
        <w:tc>
          <w:tcPr>
            <w:tcW w:w="1029" w:type="dxa"/>
            <w:vAlign w:val="top"/>
          </w:tcPr>
          <w:p w14:paraId="273A7E21">
            <w:pPr>
              <w:spacing w:before="8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20.3</w:t>
            </w:r>
          </w:p>
        </w:tc>
        <w:tc>
          <w:tcPr>
            <w:tcW w:w="1029" w:type="dxa"/>
            <w:vAlign w:val="top"/>
          </w:tcPr>
          <w:p w14:paraId="257DC616">
            <w:pPr>
              <w:spacing w:before="8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15.3</w:t>
            </w:r>
          </w:p>
        </w:tc>
        <w:tc>
          <w:tcPr>
            <w:tcW w:w="1030" w:type="dxa"/>
            <w:vAlign w:val="top"/>
          </w:tcPr>
          <w:p w14:paraId="551E8BE3">
            <w:pPr>
              <w:spacing w:before="8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462. 1</w:t>
            </w:r>
          </w:p>
        </w:tc>
        <w:tc>
          <w:tcPr>
            <w:tcW w:w="1034" w:type="dxa"/>
            <w:tcBorders>
              <w:right w:val="nil"/>
            </w:tcBorders>
            <w:vAlign w:val="top"/>
          </w:tcPr>
          <w:p w14:paraId="69C0B421">
            <w:pPr>
              <w:spacing w:before="87"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457. 1</w:t>
            </w:r>
          </w:p>
        </w:tc>
      </w:tr>
      <w:tr w14:paraId="01D98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165" w:type="dxa"/>
            <w:tcBorders>
              <w:left w:val="nil"/>
            </w:tcBorders>
            <w:vAlign w:val="top"/>
          </w:tcPr>
          <w:p w14:paraId="00302D99">
            <w:pPr>
              <w:spacing w:before="52" w:line="216" w:lineRule="auto"/>
              <w:ind w:left="275"/>
              <w:rPr>
                <w:rFonts w:ascii="宋体" w:hAnsi="宋体" w:eastAsia="宋体" w:cs="宋体"/>
                <w:sz w:val="20"/>
                <w:szCs w:val="20"/>
              </w:rPr>
            </w:pPr>
            <w:r>
              <w:rPr>
                <w:rFonts w:ascii="宋体" w:hAnsi="宋体" w:eastAsia="宋体" w:cs="宋体"/>
                <w:spacing w:val="7"/>
                <w:sz w:val="20"/>
                <w:szCs w:val="20"/>
              </w:rPr>
              <w:t>硫酸盐</w:t>
            </w:r>
          </w:p>
        </w:tc>
        <w:tc>
          <w:tcPr>
            <w:tcW w:w="1016" w:type="dxa"/>
            <w:vAlign w:val="top"/>
          </w:tcPr>
          <w:p w14:paraId="3E26F757">
            <w:pPr>
              <w:spacing w:before="14" w:line="272"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16"/>
                <w:position w:val="3"/>
                <w:sz w:val="20"/>
                <w:szCs w:val="20"/>
              </w:rPr>
              <w:t>/</w:t>
            </w:r>
            <w:r>
              <w:rPr>
                <w:rFonts w:ascii="Times New Roman" w:hAnsi="Times New Roman" w:eastAsia="Times New Roman" w:cs="Times New Roman"/>
                <w:position w:val="3"/>
                <w:sz w:val="20"/>
                <w:szCs w:val="20"/>
              </w:rPr>
              <w:t>L</w:t>
            </w:r>
          </w:p>
        </w:tc>
        <w:tc>
          <w:tcPr>
            <w:tcW w:w="1029" w:type="dxa"/>
            <w:vAlign w:val="top"/>
          </w:tcPr>
          <w:p w14:paraId="04A68185">
            <w:pPr>
              <w:spacing w:before="8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8 17</w:t>
            </w:r>
          </w:p>
        </w:tc>
        <w:tc>
          <w:tcPr>
            <w:tcW w:w="1030" w:type="dxa"/>
            <w:vAlign w:val="top"/>
          </w:tcPr>
          <w:p w14:paraId="56FB047A">
            <w:pPr>
              <w:spacing w:before="8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9 33</w:t>
            </w:r>
          </w:p>
        </w:tc>
        <w:tc>
          <w:tcPr>
            <w:tcW w:w="1029" w:type="dxa"/>
            <w:vAlign w:val="top"/>
          </w:tcPr>
          <w:p w14:paraId="14E3896F">
            <w:pPr>
              <w:spacing w:before="8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0 32</w:t>
            </w:r>
          </w:p>
        </w:tc>
        <w:tc>
          <w:tcPr>
            <w:tcW w:w="1029" w:type="dxa"/>
            <w:vAlign w:val="top"/>
          </w:tcPr>
          <w:p w14:paraId="1CDA6561">
            <w:pPr>
              <w:spacing w:before="8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3 68</w:t>
            </w:r>
          </w:p>
        </w:tc>
        <w:tc>
          <w:tcPr>
            <w:tcW w:w="1030" w:type="dxa"/>
            <w:vAlign w:val="top"/>
          </w:tcPr>
          <w:p w14:paraId="269C23A1">
            <w:pPr>
              <w:spacing w:before="8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8 38</w:t>
            </w:r>
          </w:p>
        </w:tc>
        <w:tc>
          <w:tcPr>
            <w:tcW w:w="1034" w:type="dxa"/>
            <w:tcBorders>
              <w:right w:val="nil"/>
            </w:tcBorders>
            <w:vAlign w:val="top"/>
          </w:tcPr>
          <w:p w14:paraId="6F5657AD">
            <w:pPr>
              <w:spacing w:before="8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4 06</w:t>
            </w:r>
          </w:p>
        </w:tc>
      </w:tr>
      <w:tr w14:paraId="741D2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65" w:type="dxa"/>
            <w:tcBorders>
              <w:left w:val="nil"/>
            </w:tcBorders>
            <w:vAlign w:val="top"/>
          </w:tcPr>
          <w:p w14:paraId="32136E24">
            <w:pPr>
              <w:spacing w:before="82" w:line="229" w:lineRule="auto"/>
              <w:ind w:left="172"/>
              <w:rPr>
                <w:rFonts w:ascii="宋体" w:hAnsi="宋体" w:eastAsia="宋体" w:cs="宋体"/>
                <w:sz w:val="20"/>
                <w:szCs w:val="20"/>
              </w:rPr>
            </w:pPr>
            <w:r>
              <w:rPr>
                <w:rFonts w:ascii="宋体" w:hAnsi="宋体" w:eastAsia="宋体" w:cs="宋体"/>
                <w:spacing w:val="7"/>
                <w:sz w:val="20"/>
                <w:szCs w:val="20"/>
              </w:rPr>
              <w:t>亚硝酸</w:t>
            </w:r>
            <w:r>
              <w:rPr>
                <w:rFonts w:ascii="宋体" w:hAnsi="宋体" w:eastAsia="宋体" w:cs="宋体"/>
                <w:spacing w:val="6"/>
                <w:sz w:val="20"/>
                <w:szCs w:val="20"/>
              </w:rPr>
              <w:t>盐</w:t>
            </w:r>
          </w:p>
        </w:tc>
        <w:tc>
          <w:tcPr>
            <w:tcW w:w="1016" w:type="dxa"/>
            <w:vAlign w:val="top"/>
          </w:tcPr>
          <w:p w14:paraId="1EF2F96B">
            <w:pPr>
              <w:spacing w:before="44"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6C22935A">
            <w:pPr>
              <w:spacing w:before="11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.006</w:t>
            </w:r>
          </w:p>
        </w:tc>
        <w:tc>
          <w:tcPr>
            <w:tcW w:w="1030" w:type="dxa"/>
            <w:vAlign w:val="top"/>
          </w:tcPr>
          <w:p w14:paraId="442F5BE1">
            <w:pPr>
              <w:spacing w:before="11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.008</w:t>
            </w:r>
          </w:p>
        </w:tc>
        <w:tc>
          <w:tcPr>
            <w:tcW w:w="1029" w:type="dxa"/>
            <w:vAlign w:val="top"/>
          </w:tcPr>
          <w:p w14:paraId="790D4A32">
            <w:pPr>
              <w:spacing w:before="11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w:t>
            </w:r>
            <w:r>
              <w:rPr>
                <w:rFonts w:ascii="Times New Roman" w:hAnsi="Times New Roman" w:eastAsia="Times New Roman" w:cs="Times New Roman"/>
                <w:spacing w:val="2"/>
                <w:sz w:val="20"/>
                <w:szCs w:val="20"/>
              </w:rPr>
              <w:t>2</w:t>
            </w:r>
          </w:p>
        </w:tc>
        <w:tc>
          <w:tcPr>
            <w:tcW w:w="1029" w:type="dxa"/>
            <w:vAlign w:val="top"/>
          </w:tcPr>
          <w:p w14:paraId="5DC8A633">
            <w:pPr>
              <w:spacing w:before="11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w:t>
            </w:r>
            <w:r>
              <w:rPr>
                <w:rFonts w:ascii="Times New Roman" w:hAnsi="Times New Roman" w:eastAsia="Times New Roman" w:cs="Times New Roman"/>
                <w:spacing w:val="2"/>
                <w:sz w:val="20"/>
                <w:szCs w:val="20"/>
              </w:rPr>
              <w:t>1</w:t>
            </w:r>
          </w:p>
        </w:tc>
        <w:tc>
          <w:tcPr>
            <w:tcW w:w="1030" w:type="dxa"/>
            <w:vAlign w:val="top"/>
          </w:tcPr>
          <w:p w14:paraId="787337AC">
            <w:pPr>
              <w:spacing w:before="11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6</w:t>
            </w:r>
          </w:p>
        </w:tc>
        <w:tc>
          <w:tcPr>
            <w:tcW w:w="1034" w:type="dxa"/>
            <w:tcBorders>
              <w:right w:val="nil"/>
            </w:tcBorders>
            <w:vAlign w:val="top"/>
          </w:tcPr>
          <w:p w14:paraId="7F319C7E">
            <w:pPr>
              <w:spacing w:before="11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7</w:t>
            </w:r>
          </w:p>
        </w:tc>
      </w:tr>
      <w:tr w14:paraId="10F9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605869DD">
            <w:pPr>
              <w:spacing w:before="52" w:line="229" w:lineRule="auto"/>
              <w:ind w:left="279"/>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物</w:t>
            </w:r>
          </w:p>
        </w:tc>
        <w:tc>
          <w:tcPr>
            <w:tcW w:w="1016" w:type="dxa"/>
            <w:vAlign w:val="top"/>
          </w:tcPr>
          <w:p w14:paraId="5AC9D3DE">
            <w:pPr>
              <w:spacing w:before="15"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6E8050E5">
            <w:pPr>
              <w:spacing w:before="8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7.50</w:t>
            </w:r>
          </w:p>
        </w:tc>
        <w:tc>
          <w:tcPr>
            <w:tcW w:w="1030" w:type="dxa"/>
            <w:vAlign w:val="top"/>
          </w:tcPr>
          <w:p w14:paraId="4E55FA8D">
            <w:pPr>
              <w:spacing w:before="8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8.69</w:t>
            </w:r>
          </w:p>
        </w:tc>
        <w:tc>
          <w:tcPr>
            <w:tcW w:w="1029" w:type="dxa"/>
            <w:vAlign w:val="top"/>
          </w:tcPr>
          <w:p w14:paraId="3AC4DE42">
            <w:pPr>
              <w:spacing w:before="88" w:line="198"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11.88</w:t>
            </w:r>
          </w:p>
        </w:tc>
        <w:tc>
          <w:tcPr>
            <w:tcW w:w="1029" w:type="dxa"/>
            <w:vAlign w:val="top"/>
          </w:tcPr>
          <w:p w14:paraId="6A79A2BC">
            <w:pPr>
              <w:spacing w:before="88" w:line="198"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09</w:t>
            </w:r>
          </w:p>
        </w:tc>
        <w:tc>
          <w:tcPr>
            <w:tcW w:w="1030" w:type="dxa"/>
            <w:vAlign w:val="top"/>
          </w:tcPr>
          <w:p w14:paraId="20860400">
            <w:pPr>
              <w:spacing w:before="8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w:t>
            </w:r>
            <w:r>
              <w:rPr>
                <w:rFonts w:ascii="Times New Roman" w:hAnsi="Times New Roman" w:eastAsia="Times New Roman" w:cs="Times New Roman"/>
                <w:sz w:val="20"/>
                <w:szCs w:val="20"/>
              </w:rPr>
              <w:t>51</w:t>
            </w:r>
          </w:p>
        </w:tc>
        <w:tc>
          <w:tcPr>
            <w:tcW w:w="1034" w:type="dxa"/>
            <w:tcBorders>
              <w:right w:val="nil"/>
            </w:tcBorders>
            <w:vAlign w:val="top"/>
          </w:tcPr>
          <w:p w14:paraId="60243C0D">
            <w:pPr>
              <w:spacing w:before="88"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94</w:t>
            </w:r>
          </w:p>
        </w:tc>
      </w:tr>
      <w:tr w14:paraId="74F77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24C5CAD2">
            <w:pPr>
              <w:spacing w:before="52" w:line="228" w:lineRule="auto"/>
              <w:ind w:left="484"/>
              <w:rPr>
                <w:rFonts w:ascii="宋体" w:hAnsi="宋体" w:eastAsia="宋体" w:cs="宋体"/>
                <w:sz w:val="20"/>
                <w:szCs w:val="20"/>
              </w:rPr>
            </w:pPr>
            <w:r>
              <w:rPr>
                <w:rFonts w:ascii="宋体" w:hAnsi="宋体" w:eastAsia="宋体" w:cs="宋体"/>
                <w:sz w:val="20"/>
                <w:szCs w:val="20"/>
              </w:rPr>
              <w:t>钾</w:t>
            </w:r>
          </w:p>
        </w:tc>
        <w:tc>
          <w:tcPr>
            <w:tcW w:w="1016" w:type="dxa"/>
            <w:vAlign w:val="top"/>
          </w:tcPr>
          <w:p w14:paraId="064B3757">
            <w:pPr>
              <w:spacing w:before="17"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10839887">
            <w:pPr>
              <w:spacing w:before="88"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93</w:t>
            </w:r>
          </w:p>
        </w:tc>
        <w:tc>
          <w:tcPr>
            <w:tcW w:w="1030" w:type="dxa"/>
            <w:vAlign w:val="top"/>
          </w:tcPr>
          <w:p w14:paraId="2958FCDA">
            <w:pPr>
              <w:spacing w:before="90"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.47</w:t>
            </w:r>
          </w:p>
        </w:tc>
        <w:tc>
          <w:tcPr>
            <w:tcW w:w="1029" w:type="dxa"/>
            <w:vAlign w:val="top"/>
          </w:tcPr>
          <w:p w14:paraId="7DD107D4">
            <w:pPr>
              <w:spacing w:before="88"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.61</w:t>
            </w:r>
          </w:p>
        </w:tc>
        <w:tc>
          <w:tcPr>
            <w:tcW w:w="1029" w:type="dxa"/>
            <w:vAlign w:val="top"/>
          </w:tcPr>
          <w:p w14:paraId="213F070D">
            <w:pPr>
              <w:spacing w:before="90"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.99</w:t>
            </w:r>
          </w:p>
        </w:tc>
        <w:tc>
          <w:tcPr>
            <w:tcW w:w="1030" w:type="dxa"/>
            <w:vAlign w:val="top"/>
          </w:tcPr>
          <w:p w14:paraId="2011A650">
            <w:pPr>
              <w:spacing w:before="8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.93</w:t>
            </w:r>
          </w:p>
        </w:tc>
        <w:tc>
          <w:tcPr>
            <w:tcW w:w="1034" w:type="dxa"/>
            <w:tcBorders>
              <w:right w:val="nil"/>
            </w:tcBorders>
            <w:vAlign w:val="top"/>
          </w:tcPr>
          <w:p w14:paraId="3EC99529">
            <w:pPr>
              <w:spacing w:before="90"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.04</w:t>
            </w:r>
          </w:p>
        </w:tc>
      </w:tr>
      <w:tr w14:paraId="78C06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65" w:type="dxa"/>
            <w:tcBorders>
              <w:left w:val="nil"/>
            </w:tcBorders>
            <w:vAlign w:val="top"/>
          </w:tcPr>
          <w:p w14:paraId="7B77677C">
            <w:pPr>
              <w:spacing w:before="54" w:line="230" w:lineRule="auto"/>
              <w:ind w:left="484"/>
              <w:rPr>
                <w:rFonts w:ascii="宋体" w:hAnsi="宋体" w:eastAsia="宋体" w:cs="宋体"/>
                <w:sz w:val="20"/>
                <w:szCs w:val="20"/>
              </w:rPr>
            </w:pPr>
            <w:r>
              <w:rPr>
                <w:rFonts w:ascii="宋体" w:hAnsi="宋体" w:eastAsia="宋体" w:cs="宋体"/>
                <w:spacing w:val="1"/>
                <w:sz w:val="20"/>
                <w:szCs w:val="20"/>
              </w:rPr>
              <w:t>钙</w:t>
            </w:r>
          </w:p>
        </w:tc>
        <w:tc>
          <w:tcPr>
            <w:tcW w:w="1016" w:type="dxa"/>
            <w:vAlign w:val="top"/>
          </w:tcPr>
          <w:p w14:paraId="4204CB50">
            <w:pPr>
              <w:spacing w:before="16"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0C785D9F">
            <w:pPr>
              <w:spacing w:before="90" w:line="198"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1.62</w:t>
            </w:r>
          </w:p>
        </w:tc>
        <w:tc>
          <w:tcPr>
            <w:tcW w:w="1030" w:type="dxa"/>
            <w:vAlign w:val="top"/>
          </w:tcPr>
          <w:p w14:paraId="41B2B9E1">
            <w:pPr>
              <w:spacing w:before="90"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1</w:t>
            </w:r>
            <w:r>
              <w:rPr>
                <w:rFonts w:ascii="Times New Roman" w:hAnsi="Times New Roman" w:eastAsia="Times New Roman" w:cs="Times New Roman"/>
                <w:spacing w:val="-7"/>
                <w:sz w:val="20"/>
                <w:szCs w:val="20"/>
              </w:rPr>
              <w:t>17. 10</w:t>
            </w:r>
          </w:p>
        </w:tc>
        <w:tc>
          <w:tcPr>
            <w:tcW w:w="1029" w:type="dxa"/>
            <w:vAlign w:val="top"/>
          </w:tcPr>
          <w:p w14:paraId="0703C02E">
            <w:pPr>
              <w:spacing w:before="90" w:line="198"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112.7</w:t>
            </w:r>
            <w:r>
              <w:rPr>
                <w:rFonts w:ascii="Times New Roman" w:hAnsi="Times New Roman" w:eastAsia="Times New Roman" w:cs="Times New Roman"/>
                <w:sz w:val="20"/>
                <w:szCs w:val="20"/>
              </w:rPr>
              <w:t>3</w:t>
            </w:r>
          </w:p>
        </w:tc>
        <w:tc>
          <w:tcPr>
            <w:tcW w:w="1029" w:type="dxa"/>
            <w:vAlign w:val="top"/>
          </w:tcPr>
          <w:p w14:paraId="4B8F44E6">
            <w:pPr>
              <w:spacing w:before="90"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113.3</w:t>
            </w:r>
            <w:r>
              <w:rPr>
                <w:rFonts w:ascii="Times New Roman" w:hAnsi="Times New Roman" w:eastAsia="Times New Roman" w:cs="Times New Roman"/>
                <w:sz w:val="20"/>
                <w:szCs w:val="20"/>
              </w:rPr>
              <w:t>1</w:t>
            </w:r>
          </w:p>
        </w:tc>
        <w:tc>
          <w:tcPr>
            <w:tcW w:w="1030" w:type="dxa"/>
            <w:vAlign w:val="top"/>
          </w:tcPr>
          <w:p w14:paraId="1AAF9D5A">
            <w:pPr>
              <w:spacing w:before="9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7.38</w:t>
            </w:r>
          </w:p>
        </w:tc>
        <w:tc>
          <w:tcPr>
            <w:tcW w:w="1034" w:type="dxa"/>
            <w:tcBorders>
              <w:right w:val="nil"/>
            </w:tcBorders>
            <w:vAlign w:val="top"/>
          </w:tcPr>
          <w:p w14:paraId="23BE7E67">
            <w:pPr>
              <w:spacing w:before="90"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8.34</w:t>
            </w:r>
          </w:p>
        </w:tc>
      </w:tr>
      <w:tr w14:paraId="2B4DA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70473322">
            <w:pPr>
              <w:spacing w:before="54" w:line="229" w:lineRule="auto"/>
              <w:ind w:left="484"/>
              <w:rPr>
                <w:rFonts w:ascii="宋体" w:hAnsi="宋体" w:eastAsia="宋体" w:cs="宋体"/>
                <w:sz w:val="20"/>
                <w:szCs w:val="20"/>
              </w:rPr>
            </w:pPr>
            <w:r>
              <w:rPr>
                <w:rFonts w:ascii="宋体" w:hAnsi="宋体" w:eastAsia="宋体" w:cs="宋体"/>
                <w:spacing w:val="1"/>
                <w:sz w:val="20"/>
                <w:szCs w:val="20"/>
              </w:rPr>
              <w:t>钠</w:t>
            </w:r>
          </w:p>
        </w:tc>
        <w:tc>
          <w:tcPr>
            <w:tcW w:w="1016" w:type="dxa"/>
            <w:vAlign w:val="top"/>
          </w:tcPr>
          <w:p w14:paraId="475F3A55">
            <w:pPr>
              <w:spacing w:before="17"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3D5402C7">
            <w:pPr>
              <w:spacing w:before="9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8"/>
                <w:sz w:val="20"/>
                <w:szCs w:val="20"/>
              </w:rPr>
              <w:t>6. 10</w:t>
            </w:r>
          </w:p>
        </w:tc>
        <w:tc>
          <w:tcPr>
            <w:tcW w:w="1030" w:type="dxa"/>
            <w:vAlign w:val="top"/>
          </w:tcPr>
          <w:p w14:paraId="688F439A">
            <w:pPr>
              <w:spacing w:before="9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6.26</w:t>
            </w:r>
          </w:p>
        </w:tc>
        <w:tc>
          <w:tcPr>
            <w:tcW w:w="1029" w:type="dxa"/>
            <w:vAlign w:val="top"/>
          </w:tcPr>
          <w:p w14:paraId="314D80D8">
            <w:pPr>
              <w:spacing w:before="90"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24</w:t>
            </w:r>
          </w:p>
        </w:tc>
        <w:tc>
          <w:tcPr>
            <w:tcW w:w="1029" w:type="dxa"/>
            <w:vAlign w:val="top"/>
          </w:tcPr>
          <w:p w14:paraId="30FDA113">
            <w:pPr>
              <w:spacing w:before="9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78</w:t>
            </w:r>
          </w:p>
        </w:tc>
        <w:tc>
          <w:tcPr>
            <w:tcW w:w="1030" w:type="dxa"/>
            <w:vAlign w:val="top"/>
          </w:tcPr>
          <w:p w14:paraId="2CF5AD78">
            <w:pPr>
              <w:spacing w:before="90" w:line="198"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4.32</w:t>
            </w:r>
          </w:p>
        </w:tc>
        <w:tc>
          <w:tcPr>
            <w:tcW w:w="1034" w:type="dxa"/>
            <w:tcBorders>
              <w:right w:val="nil"/>
            </w:tcBorders>
            <w:vAlign w:val="top"/>
          </w:tcPr>
          <w:p w14:paraId="69E5B2E9">
            <w:pPr>
              <w:spacing w:before="91"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3.84</w:t>
            </w:r>
          </w:p>
        </w:tc>
      </w:tr>
      <w:tr w14:paraId="1AB6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56AF9D70">
            <w:pPr>
              <w:spacing w:before="54" w:line="230" w:lineRule="auto"/>
              <w:ind w:left="484"/>
              <w:rPr>
                <w:rFonts w:ascii="宋体" w:hAnsi="宋体" w:eastAsia="宋体" w:cs="宋体"/>
                <w:sz w:val="20"/>
                <w:szCs w:val="20"/>
              </w:rPr>
            </w:pPr>
            <w:r>
              <w:rPr>
                <w:rFonts w:ascii="宋体" w:hAnsi="宋体" w:eastAsia="宋体" w:cs="宋体"/>
                <w:spacing w:val="1"/>
                <w:sz w:val="20"/>
                <w:szCs w:val="20"/>
              </w:rPr>
              <w:t>镁</w:t>
            </w:r>
          </w:p>
        </w:tc>
        <w:tc>
          <w:tcPr>
            <w:tcW w:w="1016" w:type="dxa"/>
            <w:vAlign w:val="top"/>
          </w:tcPr>
          <w:p w14:paraId="6E119B7A">
            <w:pPr>
              <w:spacing w:before="16"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51EA9AFA">
            <w:pPr>
              <w:spacing w:before="90" w:line="198"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w:t>
            </w:r>
            <w:r>
              <w:rPr>
                <w:rFonts w:ascii="Times New Roman" w:hAnsi="Times New Roman" w:eastAsia="Times New Roman" w:cs="Times New Roman"/>
                <w:spacing w:val="3"/>
                <w:sz w:val="20"/>
                <w:szCs w:val="20"/>
              </w:rPr>
              <w:t>9</w:t>
            </w:r>
          </w:p>
        </w:tc>
        <w:tc>
          <w:tcPr>
            <w:tcW w:w="1030" w:type="dxa"/>
            <w:vAlign w:val="top"/>
          </w:tcPr>
          <w:p w14:paraId="49A7F074">
            <w:pPr>
              <w:spacing w:before="90" w:line="198"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22.6</w:t>
            </w:r>
            <w:r>
              <w:rPr>
                <w:rFonts w:ascii="Times New Roman" w:hAnsi="Times New Roman" w:eastAsia="Times New Roman" w:cs="Times New Roman"/>
                <w:spacing w:val="3"/>
                <w:sz w:val="20"/>
                <w:szCs w:val="20"/>
              </w:rPr>
              <w:t>7</w:t>
            </w:r>
          </w:p>
        </w:tc>
        <w:tc>
          <w:tcPr>
            <w:tcW w:w="1029" w:type="dxa"/>
            <w:vAlign w:val="top"/>
          </w:tcPr>
          <w:p w14:paraId="29407E8E">
            <w:pPr>
              <w:spacing w:before="90"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.23</w:t>
            </w:r>
          </w:p>
        </w:tc>
        <w:tc>
          <w:tcPr>
            <w:tcW w:w="1029" w:type="dxa"/>
            <w:vAlign w:val="top"/>
          </w:tcPr>
          <w:p w14:paraId="4B385958">
            <w:pPr>
              <w:spacing w:before="9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.33</w:t>
            </w:r>
          </w:p>
        </w:tc>
        <w:tc>
          <w:tcPr>
            <w:tcW w:w="1030" w:type="dxa"/>
            <w:vAlign w:val="top"/>
          </w:tcPr>
          <w:p w14:paraId="45F56590">
            <w:pPr>
              <w:spacing w:before="9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8.03</w:t>
            </w:r>
          </w:p>
        </w:tc>
        <w:tc>
          <w:tcPr>
            <w:tcW w:w="1034" w:type="dxa"/>
            <w:tcBorders>
              <w:right w:val="nil"/>
            </w:tcBorders>
            <w:vAlign w:val="top"/>
          </w:tcPr>
          <w:p w14:paraId="7940FD32">
            <w:pPr>
              <w:spacing w:before="9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6.76</w:t>
            </w:r>
          </w:p>
        </w:tc>
      </w:tr>
      <w:tr w14:paraId="28458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34C0DADF">
            <w:pPr>
              <w:spacing w:before="54" w:line="228" w:lineRule="auto"/>
              <w:ind w:left="276"/>
              <w:rPr>
                <w:rFonts w:ascii="宋体" w:hAnsi="宋体" w:eastAsia="宋体" w:cs="宋体"/>
                <w:sz w:val="20"/>
                <w:szCs w:val="20"/>
              </w:rPr>
            </w:pPr>
            <w:r>
              <w:rPr>
                <w:rFonts w:ascii="宋体" w:hAnsi="宋体" w:eastAsia="宋体" w:cs="宋体"/>
                <w:spacing w:val="7"/>
                <w:sz w:val="20"/>
                <w:szCs w:val="20"/>
              </w:rPr>
              <w:t>碳酸</w:t>
            </w:r>
            <w:r>
              <w:rPr>
                <w:rFonts w:ascii="宋体" w:hAnsi="宋体" w:eastAsia="宋体" w:cs="宋体"/>
                <w:spacing w:val="6"/>
                <w:sz w:val="20"/>
                <w:szCs w:val="20"/>
              </w:rPr>
              <w:t>根</w:t>
            </w:r>
          </w:p>
        </w:tc>
        <w:tc>
          <w:tcPr>
            <w:tcW w:w="1016" w:type="dxa"/>
            <w:vAlign w:val="top"/>
          </w:tcPr>
          <w:p w14:paraId="5F212DE2">
            <w:pPr>
              <w:spacing w:before="18"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74B653E1">
            <w:pPr>
              <w:spacing w:before="53" w:line="228" w:lineRule="auto"/>
              <w:ind w:left="20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30" w:type="dxa"/>
            <w:vAlign w:val="top"/>
          </w:tcPr>
          <w:p w14:paraId="7400A190">
            <w:pPr>
              <w:spacing w:before="53" w:line="228" w:lineRule="auto"/>
              <w:ind w:left="20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29" w:type="dxa"/>
            <w:vAlign w:val="top"/>
          </w:tcPr>
          <w:p w14:paraId="4012B323">
            <w:pPr>
              <w:spacing w:before="53" w:line="228" w:lineRule="auto"/>
              <w:ind w:left="20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29" w:type="dxa"/>
            <w:vAlign w:val="top"/>
          </w:tcPr>
          <w:p w14:paraId="086B887D">
            <w:pPr>
              <w:spacing w:before="53" w:line="228" w:lineRule="auto"/>
              <w:ind w:left="20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30" w:type="dxa"/>
            <w:vAlign w:val="top"/>
          </w:tcPr>
          <w:p w14:paraId="4A1E2272">
            <w:pPr>
              <w:spacing w:before="53" w:line="228" w:lineRule="auto"/>
              <w:ind w:left="20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34" w:type="dxa"/>
            <w:tcBorders>
              <w:right w:val="nil"/>
            </w:tcBorders>
            <w:vAlign w:val="top"/>
          </w:tcPr>
          <w:p w14:paraId="0D4D163C">
            <w:pPr>
              <w:spacing w:before="53" w:line="228" w:lineRule="auto"/>
              <w:ind w:left="21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r>
      <w:tr w14:paraId="7BC57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1569EB58">
            <w:pPr>
              <w:spacing w:before="54" w:line="228" w:lineRule="auto"/>
              <w:ind w:left="170"/>
              <w:rPr>
                <w:rFonts w:ascii="宋体" w:hAnsi="宋体" w:eastAsia="宋体" w:cs="宋体"/>
                <w:sz w:val="20"/>
                <w:szCs w:val="20"/>
              </w:rPr>
            </w:pPr>
            <w:r>
              <w:rPr>
                <w:rFonts w:ascii="宋体" w:hAnsi="宋体" w:eastAsia="宋体" w:cs="宋体"/>
                <w:spacing w:val="8"/>
                <w:sz w:val="20"/>
                <w:szCs w:val="20"/>
              </w:rPr>
              <w:t>碳</w:t>
            </w:r>
            <w:r>
              <w:rPr>
                <w:rFonts w:ascii="宋体" w:hAnsi="宋体" w:eastAsia="宋体" w:cs="宋体"/>
                <w:spacing w:val="7"/>
                <w:sz w:val="20"/>
                <w:szCs w:val="20"/>
              </w:rPr>
              <w:t>酸氢根</w:t>
            </w:r>
          </w:p>
        </w:tc>
        <w:tc>
          <w:tcPr>
            <w:tcW w:w="1016" w:type="dxa"/>
            <w:vAlign w:val="top"/>
          </w:tcPr>
          <w:p w14:paraId="2B401631">
            <w:pPr>
              <w:spacing w:before="18"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0F767AE4">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3.9</w:t>
            </w:r>
          </w:p>
        </w:tc>
        <w:tc>
          <w:tcPr>
            <w:tcW w:w="1030" w:type="dxa"/>
            <w:vAlign w:val="top"/>
          </w:tcPr>
          <w:p w14:paraId="5CE0085E">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8.4</w:t>
            </w:r>
          </w:p>
        </w:tc>
        <w:tc>
          <w:tcPr>
            <w:tcW w:w="1029" w:type="dxa"/>
            <w:vAlign w:val="top"/>
          </w:tcPr>
          <w:p w14:paraId="79D6EF44">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4"/>
                <w:sz w:val="20"/>
                <w:szCs w:val="20"/>
              </w:rPr>
              <w:t>5.8</w:t>
            </w:r>
          </w:p>
        </w:tc>
        <w:tc>
          <w:tcPr>
            <w:tcW w:w="1029" w:type="dxa"/>
            <w:vAlign w:val="top"/>
          </w:tcPr>
          <w:p w14:paraId="1B0B9B03">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64.7</w:t>
            </w:r>
          </w:p>
        </w:tc>
        <w:tc>
          <w:tcPr>
            <w:tcW w:w="1030" w:type="dxa"/>
            <w:vAlign w:val="top"/>
          </w:tcPr>
          <w:p w14:paraId="7D69CAB9">
            <w:pPr>
              <w:spacing w:before="9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3.4</w:t>
            </w:r>
          </w:p>
        </w:tc>
        <w:tc>
          <w:tcPr>
            <w:tcW w:w="1034" w:type="dxa"/>
            <w:tcBorders>
              <w:right w:val="nil"/>
            </w:tcBorders>
            <w:vAlign w:val="top"/>
          </w:tcPr>
          <w:p w14:paraId="1564A33D">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4"/>
                <w:sz w:val="20"/>
                <w:szCs w:val="20"/>
              </w:rPr>
              <w:t>4.8</w:t>
            </w:r>
          </w:p>
        </w:tc>
      </w:tr>
      <w:tr w14:paraId="56D8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5" w:type="dxa"/>
            <w:tcBorders>
              <w:left w:val="nil"/>
            </w:tcBorders>
            <w:vAlign w:val="top"/>
          </w:tcPr>
          <w:p w14:paraId="3B7F085E">
            <w:pPr>
              <w:spacing w:before="52" w:line="228" w:lineRule="auto"/>
              <w:ind w:left="174"/>
              <w:rPr>
                <w:rFonts w:ascii="宋体" w:hAnsi="宋体" w:eastAsia="宋体" w:cs="宋体"/>
                <w:sz w:val="20"/>
                <w:szCs w:val="20"/>
              </w:rPr>
            </w:pPr>
            <w:r>
              <w:rPr>
                <w:rFonts w:ascii="宋体" w:hAnsi="宋体" w:eastAsia="宋体" w:cs="宋体"/>
                <w:spacing w:val="7"/>
                <w:sz w:val="20"/>
                <w:szCs w:val="20"/>
              </w:rPr>
              <w:t>菌</w:t>
            </w:r>
            <w:r>
              <w:rPr>
                <w:rFonts w:ascii="宋体" w:hAnsi="宋体" w:eastAsia="宋体" w:cs="宋体"/>
                <w:spacing w:val="6"/>
                <w:sz w:val="20"/>
                <w:szCs w:val="20"/>
              </w:rPr>
              <w:t>落总数</w:t>
            </w:r>
          </w:p>
        </w:tc>
        <w:tc>
          <w:tcPr>
            <w:tcW w:w="1016" w:type="dxa"/>
            <w:vAlign w:val="top"/>
          </w:tcPr>
          <w:p w14:paraId="34571E85">
            <w:pPr>
              <w:spacing w:before="18" w:line="281" w:lineRule="exact"/>
              <w:ind w:left="1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CFU</w:t>
            </w:r>
            <w:r>
              <w:rPr>
                <w:rFonts w:ascii="Times New Roman" w:hAnsi="Times New Roman" w:eastAsia="Times New Roman" w:cs="Times New Roman"/>
                <w:spacing w:val="26"/>
                <w:position w:val="2"/>
                <w:sz w:val="20"/>
                <w:szCs w:val="20"/>
              </w:rPr>
              <w:t>/</w:t>
            </w:r>
            <w:r>
              <w:rPr>
                <w:rFonts w:ascii="Times New Roman" w:hAnsi="Times New Roman" w:eastAsia="Times New Roman" w:cs="Times New Roman"/>
                <w:position w:val="2"/>
                <w:sz w:val="20"/>
                <w:szCs w:val="20"/>
              </w:rPr>
              <w:t>mL</w:t>
            </w:r>
          </w:p>
        </w:tc>
        <w:tc>
          <w:tcPr>
            <w:tcW w:w="1029" w:type="dxa"/>
            <w:vAlign w:val="top"/>
          </w:tcPr>
          <w:p w14:paraId="21438308">
            <w:pPr>
              <w:spacing w:before="91"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030" w:type="dxa"/>
            <w:vAlign w:val="top"/>
          </w:tcPr>
          <w:p w14:paraId="0F8B404D">
            <w:pPr>
              <w:spacing w:before="9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1029" w:type="dxa"/>
            <w:vAlign w:val="top"/>
          </w:tcPr>
          <w:p w14:paraId="2BD1AA48">
            <w:pPr>
              <w:spacing w:before="9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1029" w:type="dxa"/>
            <w:vAlign w:val="top"/>
          </w:tcPr>
          <w:p w14:paraId="2106587E">
            <w:pPr>
              <w:spacing w:before="9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1030" w:type="dxa"/>
            <w:vAlign w:val="top"/>
          </w:tcPr>
          <w:p w14:paraId="017B547B">
            <w:pPr>
              <w:spacing w:before="91"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034" w:type="dxa"/>
            <w:tcBorders>
              <w:right w:val="nil"/>
            </w:tcBorders>
            <w:vAlign w:val="top"/>
          </w:tcPr>
          <w:p w14:paraId="0F81E38E">
            <w:pPr>
              <w:spacing w:before="91"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r>
      <w:tr w14:paraId="685B5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5" w:type="dxa"/>
            <w:tcBorders>
              <w:left w:val="nil"/>
            </w:tcBorders>
            <w:vAlign w:val="top"/>
          </w:tcPr>
          <w:p w14:paraId="4085B0CA">
            <w:pPr>
              <w:spacing w:before="210" w:line="228" w:lineRule="auto"/>
              <w:ind w:left="70"/>
              <w:rPr>
                <w:rFonts w:ascii="宋体" w:hAnsi="宋体" w:eastAsia="宋体" w:cs="宋体"/>
                <w:sz w:val="20"/>
                <w:szCs w:val="20"/>
              </w:rPr>
            </w:pPr>
            <w:r>
              <w:rPr>
                <w:rFonts w:ascii="宋体" w:hAnsi="宋体" w:eastAsia="宋体" w:cs="宋体"/>
                <w:spacing w:val="7"/>
                <w:sz w:val="20"/>
                <w:szCs w:val="20"/>
              </w:rPr>
              <w:t>总大肠菌群</w:t>
            </w:r>
          </w:p>
        </w:tc>
        <w:tc>
          <w:tcPr>
            <w:tcW w:w="1016" w:type="dxa"/>
            <w:vAlign w:val="top"/>
          </w:tcPr>
          <w:p w14:paraId="73A51BA1">
            <w:pPr>
              <w:spacing w:before="17" w:line="281"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MPN</w:t>
            </w:r>
            <w:r>
              <w:rPr>
                <w:rFonts w:ascii="Times New Roman" w:hAnsi="Times New Roman" w:eastAsia="Times New Roman" w:cs="Times New Roman"/>
                <w:spacing w:val="19"/>
                <w:position w:val="2"/>
                <w:sz w:val="20"/>
                <w:szCs w:val="20"/>
              </w:rPr>
              <w:t>/</w:t>
            </w:r>
          </w:p>
          <w:p w14:paraId="45CA6DD1">
            <w:pPr>
              <w:spacing w:before="104"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0mL</w:t>
            </w:r>
          </w:p>
        </w:tc>
        <w:tc>
          <w:tcPr>
            <w:tcW w:w="1029" w:type="dxa"/>
            <w:vAlign w:val="top"/>
          </w:tcPr>
          <w:p w14:paraId="1BF14912">
            <w:pPr>
              <w:spacing w:before="210" w:line="228" w:lineRule="auto"/>
              <w:ind w:left="20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30" w:type="dxa"/>
            <w:vAlign w:val="top"/>
          </w:tcPr>
          <w:p w14:paraId="1146F793">
            <w:pPr>
              <w:spacing w:before="210" w:line="228" w:lineRule="auto"/>
              <w:ind w:left="20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29" w:type="dxa"/>
            <w:vAlign w:val="top"/>
          </w:tcPr>
          <w:p w14:paraId="644137E3">
            <w:pPr>
              <w:spacing w:before="210" w:line="228" w:lineRule="auto"/>
              <w:ind w:left="20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29" w:type="dxa"/>
            <w:vAlign w:val="top"/>
          </w:tcPr>
          <w:p w14:paraId="41B05399">
            <w:pPr>
              <w:spacing w:before="210" w:line="228" w:lineRule="auto"/>
              <w:ind w:left="20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30" w:type="dxa"/>
            <w:vAlign w:val="top"/>
          </w:tcPr>
          <w:p w14:paraId="2755865A">
            <w:pPr>
              <w:spacing w:before="210" w:line="228" w:lineRule="auto"/>
              <w:ind w:left="20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34" w:type="dxa"/>
            <w:tcBorders>
              <w:right w:val="nil"/>
            </w:tcBorders>
            <w:vAlign w:val="top"/>
          </w:tcPr>
          <w:p w14:paraId="59B83FD2">
            <w:pPr>
              <w:spacing w:before="210" w:line="228" w:lineRule="auto"/>
              <w:ind w:left="21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r>
      <w:tr w14:paraId="4EB55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65" w:type="dxa"/>
            <w:tcBorders>
              <w:left w:val="nil"/>
            </w:tcBorders>
            <w:vAlign w:val="top"/>
          </w:tcPr>
          <w:p w14:paraId="0C2FC9D1">
            <w:pPr>
              <w:spacing w:before="55" w:line="229" w:lineRule="auto"/>
              <w:ind w:left="277"/>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酸盐</w:t>
            </w:r>
          </w:p>
        </w:tc>
        <w:tc>
          <w:tcPr>
            <w:tcW w:w="1016" w:type="dxa"/>
            <w:vAlign w:val="top"/>
          </w:tcPr>
          <w:p w14:paraId="0133862E">
            <w:pPr>
              <w:spacing w:before="18" w:line="281"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029" w:type="dxa"/>
            <w:vAlign w:val="top"/>
          </w:tcPr>
          <w:p w14:paraId="6DCD8CC3">
            <w:pPr>
              <w:spacing w:before="9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9.35</w:t>
            </w:r>
          </w:p>
        </w:tc>
        <w:tc>
          <w:tcPr>
            <w:tcW w:w="1030" w:type="dxa"/>
            <w:vAlign w:val="top"/>
          </w:tcPr>
          <w:p w14:paraId="4BFDBEA4">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r>
              <w:rPr>
                <w:rFonts w:ascii="Times New Roman" w:hAnsi="Times New Roman" w:eastAsia="Times New Roman" w:cs="Times New Roman"/>
                <w:spacing w:val="3"/>
                <w:sz w:val="20"/>
                <w:szCs w:val="20"/>
              </w:rPr>
              <w:t>5</w:t>
            </w:r>
          </w:p>
        </w:tc>
        <w:tc>
          <w:tcPr>
            <w:tcW w:w="1029" w:type="dxa"/>
            <w:vAlign w:val="top"/>
          </w:tcPr>
          <w:p w14:paraId="3AE4FC31">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3. 18</w:t>
            </w:r>
          </w:p>
        </w:tc>
        <w:tc>
          <w:tcPr>
            <w:tcW w:w="1029" w:type="dxa"/>
            <w:vAlign w:val="top"/>
          </w:tcPr>
          <w:p w14:paraId="6BEA9DBB">
            <w:pPr>
              <w:spacing w:before="91" w:line="198"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4.31</w:t>
            </w:r>
          </w:p>
        </w:tc>
        <w:tc>
          <w:tcPr>
            <w:tcW w:w="1030" w:type="dxa"/>
            <w:vAlign w:val="top"/>
          </w:tcPr>
          <w:p w14:paraId="5A03DD7B">
            <w:pPr>
              <w:spacing w:before="92"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.99</w:t>
            </w:r>
          </w:p>
        </w:tc>
        <w:tc>
          <w:tcPr>
            <w:tcW w:w="1034" w:type="dxa"/>
            <w:tcBorders>
              <w:right w:val="nil"/>
            </w:tcBorders>
            <w:vAlign w:val="top"/>
          </w:tcPr>
          <w:p w14:paraId="430D6302">
            <w:pPr>
              <w:spacing w:before="9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2"/>
                <w:sz w:val="20"/>
                <w:szCs w:val="20"/>
              </w:rPr>
              <w:t>1.61</w:t>
            </w:r>
          </w:p>
        </w:tc>
      </w:tr>
    </w:tbl>
    <w:p w14:paraId="1F57CED4">
      <w:pPr>
        <w:spacing w:before="297" w:line="219" w:lineRule="auto"/>
        <w:ind w:left="115"/>
        <w:outlineLvl w:val="2"/>
        <w:rPr>
          <w:rFonts w:ascii="宋体" w:hAnsi="宋体" w:eastAsia="宋体" w:cs="宋体"/>
          <w:sz w:val="28"/>
          <w:szCs w:val="28"/>
        </w:rPr>
      </w:pPr>
      <w:r>
        <w:rPr>
          <w:rFonts w:ascii="Times New Roman" w:hAnsi="Times New Roman" w:eastAsia="Times New Roman" w:cs="Times New Roman"/>
          <w:b/>
          <w:bCs/>
          <w:spacing w:val="9"/>
          <w:sz w:val="28"/>
          <w:szCs w:val="28"/>
        </w:rPr>
        <w:t>4.3.2.2</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地下水环境质量现状评</w:t>
      </w:r>
      <w:r>
        <w:rPr>
          <w:rFonts w:ascii="宋体" w:hAnsi="宋体" w:eastAsia="宋体" w:cs="宋体"/>
          <w:spacing w:val="8"/>
          <w:sz w:val="28"/>
          <w:szCs w:val="28"/>
          <w14:textOutline w14:w="5103" w14:cap="sq" w14:cmpd="sng">
            <w14:solidFill>
              <w14:srgbClr w14:val="000000"/>
            </w14:solidFill>
            <w14:prstDash w14:val="solid"/>
            <w14:bevel/>
          </w14:textOutline>
        </w:rPr>
        <w:t>价</w:t>
      </w:r>
    </w:p>
    <w:p w14:paraId="266562A1">
      <w:pPr>
        <w:spacing w:line="263" w:lineRule="auto"/>
        <w:rPr>
          <w:rFonts w:ascii="Arial"/>
          <w:sz w:val="21"/>
        </w:rPr>
      </w:pPr>
    </w:p>
    <w:p w14:paraId="10DFA48A">
      <w:pPr>
        <w:spacing w:before="75" w:line="226" w:lineRule="auto"/>
        <w:ind w:left="128"/>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28"/>
          <w:sz w:val="23"/>
          <w:szCs w:val="23"/>
        </w:rPr>
        <w:t>1</w:t>
      </w:r>
      <w:r>
        <w:rPr>
          <w:rFonts w:ascii="宋体" w:hAnsi="宋体" w:eastAsia="宋体" w:cs="宋体"/>
          <w:spacing w:val="28"/>
          <w:sz w:val="23"/>
          <w:szCs w:val="23"/>
        </w:rPr>
        <w:t>) 评价标</w:t>
      </w:r>
      <w:r>
        <w:rPr>
          <w:rFonts w:ascii="宋体" w:hAnsi="宋体" w:eastAsia="宋体" w:cs="宋体"/>
          <w:spacing w:val="27"/>
          <w:sz w:val="23"/>
          <w:szCs w:val="23"/>
        </w:rPr>
        <w:t>准</w:t>
      </w:r>
    </w:p>
    <w:p w14:paraId="148E7295">
      <w:pPr>
        <w:spacing w:before="313" w:line="396" w:lineRule="auto"/>
        <w:ind w:left="118" w:right="105" w:firstLine="482"/>
        <w:rPr>
          <w:rFonts w:ascii="宋体" w:hAnsi="宋体" w:eastAsia="宋体" w:cs="宋体"/>
          <w:sz w:val="23"/>
          <w:szCs w:val="23"/>
        </w:rPr>
      </w:pPr>
      <w:r>
        <w:rPr>
          <w:rFonts w:ascii="宋体" w:hAnsi="宋体" w:eastAsia="宋体" w:cs="宋体"/>
          <w:spacing w:val="5"/>
          <w:sz w:val="23"/>
          <w:szCs w:val="23"/>
        </w:rPr>
        <w:t>项目所在区域地下水执行《地下水质量标准》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 xml:space="preserve"> 14848-2017</w:t>
      </w:r>
      <w:r>
        <w:rPr>
          <w:rFonts w:ascii="宋体" w:hAnsi="宋体" w:eastAsia="宋体" w:cs="宋体"/>
          <w:spacing w:val="5"/>
          <w:sz w:val="23"/>
          <w:szCs w:val="23"/>
        </w:rPr>
        <w:t xml:space="preserve">) </w:t>
      </w:r>
      <w:r>
        <w:rPr>
          <w:rFonts w:ascii="Times New Roman" w:hAnsi="Times New Roman" w:eastAsia="Times New Roman" w:cs="Times New Roman"/>
          <w:sz w:val="23"/>
          <w:szCs w:val="23"/>
        </w:rPr>
        <w:t>III</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类水</w:t>
      </w:r>
      <w:r>
        <w:rPr>
          <w:rFonts w:ascii="宋体" w:hAnsi="宋体" w:eastAsia="宋体" w:cs="宋体"/>
          <w:sz w:val="23"/>
          <w:szCs w:val="23"/>
        </w:rPr>
        <w:t xml:space="preserve"> </w:t>
      </w:r>
      <w:r>
        <w:rPr>
          <w:rFonts w:ascii="宋体" w:hAnsi="宋体" w:eastAsia="宋体" w:cs="宋体"/>
          <w:spacing w:val="-2"/>
          <w:sz w:val="23"/>
          <w:szCs w:val="23"/>
        </w:rPr>
        <w:t xml:space="preserve">质标准，具体见表 </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 xml:space="preserve"> 12</w:t>
      </w:r>
      <w:r>
        <w:rPr>
          <w:rFonts w:ascii="宋体" w:hAnsi="宋体" w:eastAsia="宋体" w:cs="宋体"/>
          <w:spacing w:val="-1"/>
          <w:sz w:val="23"/>
          <w:szCs w:val="23"/>
        </w:rPr>
        <w:t>：</w:t>
      </w:r>
    </w:p>
    <w:p w14:paraId="5CD54FF7">
      <w:pPr>
        <w:spacing w:before="124" w:line="332" w:lineRule="exact"/>
        <w:ind w:left="1278"/>
        <w:rPr>
          <w:rFonts w:ascii="宋体" w:hAnsi="宋体" w:eastAsia="宋体" w:cs="宋体"/>
          <w:sz w:val="23"/>
          <w:szCs w:val="23"/>
        </w:rPr>
      </w:pPr>
      <w:r>
        <w:rPr>
          <w:rFonts w:ascii="宋体" w:hAnsi="宋体" w:eastAsia="宋体" w:cs="宋体"/>
          <w:spacing w:val="4"/>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4"/>
          <w:position w:val="3"/>
          <w:sz w:val="23"/>
          <w:szCs w:val="23"/>
        </w:rPr>
        <w:t xml:space="preserve"> </w:t>
      </w:r>
      <w:r>
        <w:rPr>
          <w:rFonts w:ascii="Times New Roman" w:hAnsi="Times New Roman" w:eastAsia="Times New Roman" w:cs="Times New Roman"/>
          <w:b/>
          <w:bCs/>
          <w:spacing w:val="4"/>
          <w:position w:val="3"/>
          <w:sz w:val="23"/>
          <w:szCs w:val="23"/>
        </w:rPr>
        <w:t>4-12</w:t>
      </w:r>
      <w:r>
        <w:rPr>
          <w:rFonts w:ascii="Times New Roman" w:hAnsi="Times New Roman" w:eastAsia="Times New Roman" w:cs="Times New Roman"/>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地下水质量标准</w:t>
      </w:r>
      <w:r>
        <w:rPr>
          <w:rFonts w:ascii="宋体" w:hAnsi="宋体" w:eastAsia="宋体" w:cs="宋体"/>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3"/>
          <w:sz w:val="23"/>
          <w:szCs w:val="23"/>
        </w:rPr>
        <w:t>mg</w:t>
      </w:r>
      <w:r>
        <w:rPr>
          <w:rFonts w:ascii="Times New Roman" w:hAnsi="Times New Roman" w:eastAsia="Times New Roman" w:cs="Times New Roman"/>
          <w:b/>
          <w:bCs/>
          <w:spacing w:val="4"/>
          <w:position w:val="3"/>
          <w:sz w:val="23"/>
          <w:szCs w:val="23"/>
        </w:rPr>
        <w:t>/</w:t>
      </w:r>
      <w:r>
        <w:rPr>
          <w:rFonts w:ascii="Times New Roman" w:hAnsi="Times New Roman" w:eastAsia="Times New Roman" w:cs="Times New Roman"/>
          <w:b/>
          <w:bCs/>
          <w:position w:val="3"/>
          <w:sz w:val="23"/>
          <w:szCs w:val="23"/>
        </w:rPr>
        <w:t>L</w:t>
      </w:r>
      <w:r>
        <w:rPr>
          <w:rFonts w:ascii="Times New Roman" w:hAnsi="Times New Roman" w:eastAsia="Times New Roman" w:cs="Times New Roman"/>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position w:val="3"/>
          <w:sz w:val="23"/>
          <w:szCs w:val="23"/>
        </w:rPr>
        <w:t>pH</w:t>
      </w:r>
      <w:r>
        <w:rPr>
          <w:rFonts w:ascii="Times New Roman" w:hAnsi="Times New Roman" w:eastAsia="Times New Roman" w:cs="Times New Roman"/>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无量</w:t>
      </w:r>
      <w:r>
        <w:rPr>
          <w:rFonts w:ascii="宋体" w:hAnsi="宋体" w:eastAsia="宋体" w:cs="宋体"/>
          <w:spacing w:val="1"/>
          <w:position w:val="3"/>
          <w:sz w:val="23"/>
          <w:szCs w:val="23"/>
          <w14:textOutline w14:w="4358" w14:cap="sq" w14:cmpd="sng">
            <w14:solidFill>
              <w14:srgbClr w14:val="000000"/>
            </w14:solidFill>
            <w14:prstDash w14:val="solid"/>
            <w14:bevel/>
          </w14:textOutline>
        </w:rPr>
        <w:t>纲</w:t>
      </w:r>
      <w:r>
        <w:rPr>
          <w:rFonts w:ascii="宋体" w:hAnsi="宋体" w:eastAsia="宋体" w:cs="宋体"/>
          <w:position w:val="3"/>
          <w:sz w:val="23"/>
          <w:szCs w:val="23"/>
          <w14:textOutline w14:w="4358" w14:cap="sq" w14:cmpd="sng">
            <w14:solidFill>
              <w14:srgbClr w14:val="000000"/>
            </w14:solidFill>
            <w14:prstDash w14:val="solid"/>
            <w14:bevel/>
          </w14:textOutline>
        </w:rPr>
        <w:t>)</w:t>
      </w:r>
    </w:p>
    <w:p w14:paraId="5F3D5F22">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3"/>
        <w:gridCol w:w="1874"/>
        <w:gridCol w:w="1262"/>
        <w:gridCol w:w="778"/>
        <w:gridCol w:w="2628"/>
        <w:gridCol w:w="1247"/>
      </w:tblGrid>
      <w:tr w14:paraId="6D6BE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733" w:type="dxa"/>
            <w:tcBorders>
              <w:left w:val="nil"/>
            </w:tcBorders>
            <w:vAlign w:val="top"/>
          </w:tcPr>
          <w:p w14:paraId="399B0096">
            <w:pPr>
              <w:spacing w:before="75" w:line="229" w:lineRule="auto"/>
              <w:ind w:left="16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874" w:type="dxa"/>
            <w:vAlign w:val="top"/>
          </w:tcPr>
          <w:p w14:paraId="30347507">
            <w:pPr>
              <w:spacing w:before="76" w:line="228" w:lineRule="auto"/>
              <w:ind w:left="63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262" w:type="dxa"/>
            <w:vAlign w:val="top"/>
          </w:tcPr>
          <w:p w14:paraId="0CB9DA6E">
            <w:pPr>
              <w:spacing w:before="75" w:line="228" w:lineRule="auto"/>
              <w:ind w:left="32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标</w:t>
            </w:r>
            <w:r>
              <w:rPr>
                <w:rFonts w:ascii="宋体" w:hAnsi="宋体" w:eastAsia="宋体" w:cs="宋体"/>
                <w:spacing w:val="7"/>
                <w:sz w:val="20"/>
                <w:szCs w:val="20"/>
                <w14:textOutline w14:w="3795" w14:cap="sq" w14:cmpd="sng">
                  <w14:solidFill>
                    <w14:srgbClr w14:val="000000"/>
                  </w14:solidFill>
                  <w14:prstDash w14:val="solid"/>
                  <w14:bevel/>
                </w14:textOutline>
              </w:rPr>
              <w:t>准值</w:t>
            </w:r>
          </w:p>
        </w:tc>
        <w:tc>
          <w:tcPr>
            <w:tcW w:w="778" w:type="dxa"/>
            <w:vAlign w:val="top"/>
          </w:tcPr>
          <w:p w14:paraId="6C9BC004">
            <w:pPr>
              <w:spacing w:before="75" w:line="229" w:lineRule="auto"/>
              <w:ind w:left="18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628" w:type="dxa"/>
            <w:vAlign w:val="top"/>
          </w:tcPr>
          <w:p w14:paraId="2380D41E">
            <w:pPr>
              <w:spacing w:before="76" w:line="228" w:lineRule="auto"/>
              <w:ind w:left="100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247" w:type="dxa"/>
            <w:tcBorders>
              <w:right w:val="nil"/>
            </w:tcBorders>
            <w:vAlign w:val="top"/>
          </w:tcPr>
          <w:p w14:paraId="44F8559C">
            <w:pPr>
              <w:spacing w:before="75" w:line="228" w:lineRule="auto"/>
              <w:ind w:left="31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标</w:t>
            </w:r>
            <w:r>
              <w:rPr>
                <w:rFonts w:ascii="宋体" w:hAnsi="宋体" w:eastAsia="宋体" w:cs="宋体"/>
                <w:spacing w:val="7"/>
                <w:sz w:val="20"/>
                <w:szCs w:val="20"/>
                <w14:textOutline w14:w="3795" w14:cap="sq" w14:cmpd="sng">
                  <w14:solidFill>
                    <w14:srgbClr w14:val="000000"/>
                  </w14:solidFill>
                  <w14:prstDash w14:val="solid"/>
                  <w14:bevel/>
                </w14:textOutline>
              </w:rPr>
              <w:t>准值</w:t>
            </w:r>
          </w:p>
        </w:tc>
      </w:tr>
      <w:tr w14:paraId="56163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3" w:type="dxa"/>
            <w:tcBorders>
              <w:left w:val="nil"/>
            </w:tcBorders>
            <w:vAlign w:val="top"/>
          </w:tcPr>
          <w:p w14:paraId="375DA2EC">
            <w:pPr>
              <w:spacing w:before="87" w:line="195"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74" w:type="dxa"/>
            <w:vAlign w:val="top"/>
          </w:tcPr>
          <w:p w14:paraId="7F505EDC">
            <w:pPr>
              <w:spacing w:before="51" w:line="221" w:lineRule="auto"/>
              <w:ind w:left="149"/>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3"/>
                <w:sz w:val="20"/>
                <w:szCs w:val="20"/>
              </w:rPr>
              <w:t xml:space="preserve"> </w:t>
            </w:r>
            <w:r>
              <w:rPr>
                <w:rFonts w:ascii="宋体" w:hAnsi="宋体" w:eastAsia="宋体" w:cs="宋体"/>
                <w:spacing w:val="7"/>
                <w:sz w:val="20"/>
                <w:szCs w:val="20"/>
              </w:rPr>
              <w:t>值 (无量纲)</w:t>
            </w:r>
          </w:p>
        </w:tc>
        <w:tc>
          <w:tcPr>
            <w:tcW w:w="1262" w:type="dxa"/>
            <w:vAlign w:val="top"/>
          </w:tcPr>
          <w:p w14:paraId="5301DCB9">
            <w:pPr>
              <w:spacing w:before="82" w:line="189" w:lineRule="auto"/>
              <w:ind w:left="3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w:t>
            </w:r>
            <w:r>
              <w:rPr>
                <w:rFonts w:ascii="Times New Roman" w:hAnsi="Times New Roman" w:eastAsia="Times New Roman" w:cs="Times New Roman"/>
                <w:sz w:val="22"/>
                <w:szCs w:val="22"/>
              </w:rPr>
              <w:t>.5-8.5</w:t>
            </w:r>
          </w:p>
        </w:tc>
        <w:tc>
          <w:tcPr>
            <w:tcW w:w="778" w:type="dxa"/>
            <w:vAlign w:val="top"/>
          </w:tcPr>
          <w:p w14:paraId="1392A765">
            <w:pPr>
              <w:spacing w:before="90" w:line="192"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28" w:type="dxa"/>
            <w:vAlign w:val="top"/>
          </w:tcPr>
          <w:p w14:paraId="6E81FC3D">
            <w:pPr>
              <w:spacing w:before="51" w:line="228" w:lineRule="auto"/>
              <w:ind w:left="580"/>
              <w:rPr>
                <w:rFonts w:ascii="宋体" w:hAnsi="宋体" w:eastAsia="宋体" w:cs="宋体"/>
                <w:sz w:val="20"/>
                <w:szCs w:val="20"/>
              </w:rPr>
            </w:pPr>
            <w:r>
              <w:rPr>
                <w:rFonts w:ascii="宋体" w:hAnsi="宋体" w:eastAsia="宋体" w:cs="宋体"/>
                <w:spacing w:val="8"/>
                <w:sz w:val="20"/>
                <w:szCs w:val="20"/>
              </w:rPr>
              <w:t>浑浊度 (</w:t>
            </w:r>
            <w:r>
              <w:rPr>
                <w:rFonts w:ascii="Times New Roman" w:hAnsi="Times New Roman" w:eastAsia="Times New Roman" w:cs="Times New Roman"/>
                <w:sz w:val="20"/>
                <w:szCs w:val="20"/>
              </w:rPr>
              <w:t>NTU</w:t>
            </w:r>
            <w:r>
              <w:rPr>
                <w:rFonts w:ascii="宋体" w:hAnsi="宋体" w:eastAsia="宋体" w:cs="宋体"/>
                <w:spacing w:val="8"/>
                <w:sz w:val="20"/>
                <w:szCs w:val="20"/>
              </w:rPr>
              <w:t>)</w:t>
            </w:r>
          </w:p>
        </w:tc>
        <w:tc>
          <w:tcPr>
            <w:tcW w:w="1247" w:type="dxa"/>
            <w:tcBorders>
              <w:right w:val="nil"/>
            </w:tcBorders>
            <w:vAlign w:val="top"/>
          </w:tcPr>
          <w:p w14:paraId="50BBA9E1">
            <w:pPr>
              <w:spacing w:before="81" w:line="189" w:lineRule="auto"/>
              <w:ind w:left="57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r>
      <w:tr w14:paraId="3B321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3" w:type="dxa"/>
            <w:tcBorders>
              <w:left w:val="nil"/>
            </w:tcBorders>
            <w:vAlign w:val="top"/>
          </w:tcPr>
          <w:p w14:paraId="698CA92C">
            <w:pPr>
              <w:spacing w:before="8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74" w:type="dxa"/>
            <w:vAlign w:val="top"/>
          </w:tcPr>
          <w:p w14:paraId="6DC14AC5">
            <w:pPr>
              <w:spacing w:before="14" w:line="281" w:lineRule="exact"/>
              <w:ind w:left="195"/>
              <w:rPr>
                <w:rFonts w:ascii="宋体" w:hAnsi="宋体" w:eastAsia="宋体" w:cs="宋体"/>
                <w:sz w:val="20"/>
                <w:szCs w:val="20"/>
              </w:rPr>
            </w:pPr>
            <w:r>
              <w:rPr>
                <w:rFonts w:ascii="宋体" w:hAnsi="宋体" w:eastAsia="宋体" w:cs="宋体"/>
                <w:spacing w:val="10"/>
                <w:position w:val="2"/>
                <w:sz w:val="20"/>
                <w:szCs w:val="20"/>
              </w:rPr>
              <w:t>总</w:t>
            </w:r>
            <w:r>
              <w:rPr>
                <w:rFonts w:ascii="宋体" w:hAnsi="宋体" w:eastAsia="宋体" w:cs="宋体"/>
                <w:spacing w:val="6"/>
                <w:position w:val="2"/>
                <w:sz w:val="20"/>
                <w:szCs w:val="20"/>
              </w:rPr>
              <w:t>硬度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6"/>
                <w:position w:val="2"/>
                <w:sz w:val="20"/>
                <w:szCs w:val="20"/>
              </w:rPr>
              <w:t>)</w:t>
            </w:r>
          </w:p>
        </w:tc>
        <w:tc>
          <w:tcPr>
            <w:tcW w:w="1262" w:type="dxa"/>
            <w:vAlign w:val="top"/>
          </w:tcPr>
          <w:p w14:paraId="48E92E1C">
            <w:pPr>
              <w:spacing w:before="82" w:line="18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778" w:type="dxa"/>
            <w:vAlign w:val="top"/>
          </w:tcPr>
          <w:p w14:paraId="402177C2">
            <w:pPr>
              <w:spacing w:before="87"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628" w:type="dxa"/>
            <w:vAlign w:val="top"/>
          </w:tcPr>
          <w:p w14:paraId="66B0FABD">
            <w:pPr>
              <w:spacing w:before="14" w:line="281" w:lineRule="exact"/>
              <w:ind w:left="567"/>
              <w:rPr>
                <w:rFonts w:ascii="宋体" w:hAnsi="宋体" w:eastAsia="宋体" w:cs="宋体"/>
                <w:sz w:val="20"/>
                <w:szCs w:val="20"/>
              </w:rPr>
            </w:pPr>
            <w:r>
              <w:rPr>
                <w:rFonts w:ascii="宋体" w:hAnsi="宋体" w:eastAsia="宋体" w:cs="宋体"/>
                <w:spacing w:val="9"/>
                <w:position w:val="2"/>
                <w:sz w:val="20"/>
                <w:szCs w:val="20"/>
              </w:rPr>
              <w:t>耗</w:t>
            </w:r>
            <w:r>
              <w:rPr>
                <w:rFonts w:ascii="宋体" w:hAnsi="宋体" w:eastAsia="宋体" w:cs="宋体"/>
                <w:spacing w:val="7"/>
                <w:position w:val="2"/>
                <w:sz w:val="20"/>
                <w:szCs w:val="20"/>
              </w:rPr>
              <w:t>氧量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247" w:type="dxa"/>
            <w:tcBorders>
              <w:right w:val="nil"/>
            </w:tcBorders>
            <w:vAlign w:val="top"/>
          </w:tcPr>
          <w:p w14:paraId="47DF9F7A">
            <w:pPr>
              <w:spacing w:before="82" w:line="189"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z w:val="22"/>
                <w:szCs w:val="22"/>
              </w:rPr>
              <w:t>.0</w:t>
            </w:r>
          </w:p>
        </w:tc>
      </w:tr>
      <w:tr w14:paraId="6E327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3" w:type="dxa"/>
            <w:tcBorders>
              <w:left w:val="nil"/>
            </w:tcBorders>
            <w:vAlign w:val="top"/>
          </w:tcPr>
          <w:p w14:paraId="79F1452C">
            <w:pPr>
              <w:spacing w:before="8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74" w:type="dxa"/>
            <w:vAlign w:val="top"/>
          </w:tcPr>
          <w:p w14:paraId="4396B13C">
            <w:pPr>
              <w:spacing w:before="15" w:line="281" w:lineRule="exact"/>
              <w:ind w:left="295"/>
              <w:rPr>
                <w:rFonts w:ascii="宋体" w:hAnsi="宋体" w:eastAsia="宋体" w:cs="宋体"/>
                <w:sz w:val="20"/>
                <w:szCs w:val="20"/>
              </w:rPr>
            </w:pPr>
            <w:r>
              <w:rPr>
                <w:rFonts w:ascii="宋体" w:hAnsi="宋体" w:eastAsia="宋体" w:cs="宋体"/>
                <w:spacing w:val="7"/>
                <w:position w:val="2"/>
                <w:sz w:val="20"/>
                <w:szCs w:val="20"/>
              </w:rPr>
              <w:t>氨氮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6"/>
                <w:position w:val="2"/>
                <w:sz w:val="20"/>
                <w:szCs w:val="20"/>
              </w:rPr>
              <w:t>)</w:t>
            </w:r>
          </w:p>
        </w:tc>
        <w:tc>
          <w:tcPr>
            <w:tcW w:w="1262" w:type="dxa"/>
            <w:vAlign w:val="top"/>
          </w:tcPr>
          <w:p w14:paraId="5C3A0C60">
            <w:pPr>
              <w:spacing w:before="85" w:line="189"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w:t>
            </w:r>
            <w:r>
              <w:rPr>
                <w:rFonts w:ascii="Times New Roman" w:hAnsi="Times New Roman" w:eastAsia="Times New Roman" w:cs="Times New Roman"/>
                <w:spacing w:val="-1"/>
                <w:sz w:val="22"/>
                <w:szCs w:val="22"/>
              </w:rPr>
              <w:t>0</w:t>
            </w:r>
          </w:p>
        </w:tc>
        <w:tc>
          <w:tcPr>
            <w:tcW w:w="778" w:type="dxa"/>
            <w:vAlign w:val="top"/>
          </w:tcPr>
          <w:p w14:paraId="6D645482">
            <w:pPr>
              <w:spacing w:before="88" w:line="195"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628" w:type="dxa"/>
            <w:vAlign w:val="top"/>
          </w:tcPr>
          <w:p w14:paraId="2BA57C6D">
            <w:pPr>
              <w:spacing w:before="15" w:line="281" w:lineRule="exact"/>
              <w:ind w:left="465"/>
              <w:rPr>
                <w:rFonts w:ascii="宋体" w:hAnsi="宋体" w:eastAsia="宋体" w:cs="宋体"/>
                <w:sz w:val="20"/>
                <w:szCs w:val="20"/>
              </w:rPr>
            </w:pPr>
            <w:r>
              <w:rPr>
                <w:rFonts w:ascii="宋体" w:hAnsi="宋体" w:eastAsia="宋体" w:cs="宋体"/>
                <w:spacing w:val="10"/>
                <w:position w:val="2"/>
                <w:sz w:val="20"/>
                <w:szCs w:val="20"/>
              </w:rPr>
              <w:t>亚</w:t>
            </w:r>
            <w:r>
              <w:rPr>
                <w:rFonts w:ascii="宋体" w:hAnsi="宋体" w:eastAsia="宋体" w:cs="宋体"/>
                <w:spacing w:val="7"/>
                <w:position w:val="2"/>
                <w:sz w:val="20"/>
                <w:szCs w:val="20"/>
              </w:rPr>
              <w:t>硝酸盐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247" w:type="dxa"/>
            <w:tcBorders>
              <w:right w:val="nil"/>
            </w:tcBorders>
            <w:vAlign w:val="top"/>
          </w:tcPr>
          <w:p w14:paraId="05CC1725">
            <w:pPr>
              <w:spacing w:before="85" w:line="192" w:lineRule="auto"/>
              <w:ind w:left="45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w:t>
            </w:r>
            <w:r>
              <w:rPr>
                <w:rFonts w:ascii="Times New Roman" w:hAnsi="Times New Roman" w:eastAsia="Times New Roman" w:cs="Times New Roman"/>
                <w:spacing w:val="-6"/>
                <w:sz w:val="22"/>
                <w:szCs w:val="22"/>
              </w:rPr>
              <w:t>.00</w:t>
            </w:r>
          </w:p>
        </w:tc>
      </w:tr>
      <w:tr w14:paraId="20FE2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33" w:type="dxa"/>
            <w:tcBorders>
              <w:left w:val="nil"/>
            </w:tcBorders>
            <w:vAlign w:val="top"/>
          </w:tcPr>
          <w:p w14:paraId="3DA40A95">
            <w:pPr>
              <w:spacing w:before="8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74" w:type="dxa"/>
            <w:vAlign w:val="top"/>
          </w:tcPr>
          <w:p w14:paraId="6DCF0431">
            <w:pPr>
              <w:spacing w:before="15" w:line="281" w:lineRule="exact"/>
              <w:ind w:left="192"/>
              <w:rPr>
                <w:rFonts w:ascii="宋体" w:hAnsi="宋体" w:eastAsia="宋体" w:cs="宋体"/>
                <w:sz w:val="20"/>
                <w:szCs w:val="20"/>
              </w:rPr>
            </w:pPr>
            <w:r>
              <w:rPr>
                <w:rFonts w:ascii="宋体" w:hAnsi="宋体" w:eastAsia="宋体" w:cs="宋体"/>
                <w:spacing w:val="7"/>
                <w:position w:val="2"/>
                <w:sz w:val="20"/>
                <w:szCs w:val="20"/>
              </w:rPr>
              <w:t>氯化物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262" w:type="dxa"/>
            <w:vAlign w:val="top"/>
          </w:tcPr>
          <w:p w14:paraId="0776414D">
            <w:pPr>
              <w:spacing w:before="85" w:line="189" w:lineRule="auto"/>
              <w:ind w:left="4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r>
              <w:rPr>
                <w:rFonts w:ascii="Times New Roman" w:hAnsi="Times New Roman" w:eastAsia="Times New Roman" w:cs="Times New Roman"/>
                <w:spacing w:val="-1"/>
                <w:sz w:val="22"/>
                <w:szCs w:val="22"/>
              </w:rPr>
              <w:t>50</w:t>
            </w:r>
          </w:p>
        </w:tc>
        <w:tc>
          <w:tcPr>
            <w:tcW w:w="778" w:type="dxa"/>
            <w:vAlign w:val="top"/>
          </w:tcPr>
          <w:p w14:paraId="06F0D447">
            <w:pPr>
              <w:spacing w:before="89"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628" w:type="dxa"/>
            <w:vAlign w:val="top"/>
          </w:tcPr>
          <w:p w14:paraId="370844FE">
            <w:pPr>
              <w:spacing w:before="15" w:line="281" w:lineRule="exact"/>
              <w:ind w:left="776"/>
              <w:rPr>
                <w:rFonts w:ascii="宋体" w:hAnsi="宋体" w:eastAsia="宋体" w:cs="宋体"/>
                <w:sz w:val="20"/>
                <w:szCs w:val="20"/>
              </w:rPr>
            </w:pPr>
            <w:r>
              <w:rPr>
                <w:rFonts w:ascii="宋体" w:hAnsi="宋体" w:eastAsia="宋体" w:cs="宋体"/>
                <w:spacing w:val="6"/>
                <w:position w:val="2"/>
                <w:sz w:val="20"/>
                <w:szCs w:val="20"/>
              </w:rPr>
              <w:t>钠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6"/>
                <w:position w:val="2"/>
                <w:sz w:val="20"/>
                <w:szCs w:val="20"/>
              </w:rPr>
              <w:t>)</w:t>
            </w:r>
          </w:p>
        </w:tc>
        <w:tc>
          <w:tcPr>
            <w:tcW w:w="1247" w:type="dxa"/>
            <w:tcBorders>
              <w:right w:val="nil"/>
            </w:tcBorders>
            <w:vAlign w:val="top"/>
          </w:tcPr>
          <w:p w14:paraId="16417EA0">
            <w:pPr>
              <w:spacing w:before="85" w:line="189" w:lineRule="auto"/>
              <w:ind w:left="4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r>
              <w:rPr>
                <w:rFonts w:ascii="Times New Roman" w:hAnsi="Times New Roman" w:eastAsia="Times New Roman" w:cs="Times New Roman"/>
                <w:spacing w:val="-1"/>
                <w:sz w:val="22"/>
                <w:szCs w:val="22"/>
              </w:rPr>
              <w:t>00</w:t>
            </w:r>
          </w:p>
        </w:tc>
      </w:tr>
      <w:tr w14:paraId="2AF1D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3" w:type="dxa"/>
            <w:tcBorders>
              <w:left w:val="nil"/>
            </w:tcBorders>
            <w:vAlign w:val="top"/>
          </w:tcPr>
          <w:p w14:paraId="103E5BEE">
            <w:pPr>
              <w:spacing w:before="94" w:line="192"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74" w:type="dxa"/>
            <w:vAlign w:val="top"/>
          </w:tcPr>
          <w:p w14:paraId="69622591">
            <w:pPr>
              <w:spacing w:before="17" w:line="281" w:lineRule="exact"/>
              <w:ind w:left="188"/>
              <w:rPr>
                <w:rFonts w:ascii="宋体" w:hAnsi="宋体" w:eastAsia="宋体" w:cs="宋体"/>
                <w:sz w:val="20"/>
                <w:szCs w:val="20"/>
              </w:rPr>
            </w:pPr>
            <w:r>
              <w:rPr>
                <w:rFonts w:ascii="宋体" w:hAnsi="宋体" w:eastAsia="宋体" w:cs="宋体"/>
                <w:spacing w:val="11"/>
                <w:position w:val="2"/>
                <w:sz w:val="20"/>
                <w:szCs w:val="20"/>
              </w:rPr>
              <w:t>硫</w:t>
            </w:r>
            <w:r>
              <w:rPr>
                <w:rFonts w:ascii="宋体" w:hAnsi="宋体" w:eastAsia="宋体" w:cs="宋体"/>
                <w:spacing w:val="7"/>
                <w:position w:val="2"/>
                <w:sz w:val="20"/>
                <w:szCs w:val="20"/>
              </w:rPr>
              <w:t>酸盐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262" w:type="dxa"/>
            <w:vAlign w:val="top"/>
          </w:tcPr>
          <w:p w14:paraId="39B4C3A7">
            <w:pPr>
              <w:spacing w:before="85" w:line="189" w:lineRule="auto"/>
              <w:ind w:left="4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r>
              <w:rPr>
                <w:rFonts w:ascii="Times New Roman" w:hAnsi="Times New Roman" w:eastAsia="Times New Roman" w:cs="Times New Roman"/>
                <w:spacing w:val="-1"/>
                <w:sz w:val="22"/>
                <w:szCs w:val="22"/>
              </w:rPr>
              <w:t>50</w:t>
            </w:r>
          </w:p>
        </w:tc>
        <w:tc>
          <w:tcPr>
            <w:tcW w:w="778" w:type="dxa"/>
            <w:vAlign w:val="top"/>
          </w:tcPr>
          <w:p w14:paraId="398153D6">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628" w:type="dxa"/>
            <w:vAlign w:val="top"/>
          </w:tcPr>
          <w:p w14:paraId="3825487B">
            <w:pPr>
              <w:spacing w:before="17" w:line="281" w:lineRule="exact"/>
              <w:ind w:left="313"/>
              <w:rPr>
                <w:rFonts w:ascii="宋体" w:hAnsi="宋体" w:eastAsia="宋体" w:cs="宋体"/>
                <w:sz w:val="20"/>
                <w:szCs w:val="20"/>
              </w:rPr>
            </w:pPr>
            <w:r>
              <w:rPr>
                <w:rFonts w:ascii="宋体" w:hAnsi="宋体" w:eastAsia="宋体" w:cs="宋体"/>
                <w:spacing w:val="13"/>
                <w:position w:val="1"/>
                <w:sz w:val="20"/>
                <w:szCs w:val="20"/>
              </w:rPr>
              <w:t>细</w:t>
            </w:r>
            <w:r>
              <w:rPr>
                <w:rFonts w:ascii="宋体" w:hAnsi="宋体" w:eastAsia="宋体" w:cs="宋体"/>
                <w:spacing w:val="9"/>
                <w:position w:val="1"/>
                <w:sz w:val="20"/>
                <w:szCs w:val="20"/>
              </w:rPr>
              <w:t>菌总数 (</w:t>
            </w:r>
            <w:r>
              <w:rPr>
                <w:rFonts w:ascii="Times New Roman" w:hAnsi="Times New Roman" w:eastAsia="Times New Roman" w:cs="Times New Roman"/>
                <w:position w:val="1"/>
                <w:sz w:val="20"/>
                <w:szCs w:val="20"/>
              </w:rPr>
              <w:t>CFU</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mL</w:t>
            </w:r>
            <w:r>
              <w:rPr>
                <w:rFonts w:ascii="宋体" w:hAnsi="宋体" w:eastAsia="宋体" w:cs="宋体"/>
                <w:spacing w:val="9"/>
                <w:position w:val="1"/>
                <w:sz w:val="20"/>
                <w:szCs w:val="20"/>
              </w:rPr>
              <w:t>)</w:t>
            </w:r>
          </w:p>
        </w:tc>
        <w:tc>
          <w:tcPr>
            <w:tcW w:w="1247" w:type="dxa"/>
            <w:tcBorders>
              <w:right w:val="nil"/>
            </w:tcBorders>
            <w:vAlign w:val="top"/>
          </w:tcPr>
          <w:p w14:paraId="7D92B0AD">
            <w:pPr>
              <w:spacing w:before="85" w:line="189"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8"/>
                <w:sz w:val="22"/>
                <w:szCs w:val="22"/>
              </w:rPr>
              <w:t>00</w:t>
            </w:r>
          </w:p>
        </w:tc>
      </w:tr>
      <w:tr w14:paraId="039B5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33" w:type="dxa"/>
            <w:tcBorders>
              <w:left w:val="nil"/>
            </w:tcBorders>
            <w:vAlign w:val="top"/>
          </w:tcPr>
          <w:p w14:paraId="3E5885D2">
            <w:pPr>
              <w:spacing w:before="91"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74" w:type="dxa"/>
            <w:vAlign w:val="top"/>
          </w:tcPr>
          <w:p w14:paraId="4ECBE1AC">
            <w:pPr>
              <w:spacing w:before="18" w:line="281" w:lineRule="exact"/>
              <w:ind w:left="87"/>
              <w:rPr>
                <w:rFonts w:ascii="宋体" w:hAnsi="宋体" w:eastAsia="宋体" w:cs="宋体"/>
                <w:sz w:val="20"/>
                <w:szCs w:val="20"/>
              </w:rPr>
            </w:pPr>
            <w:r>
              <w:rPr>
                <w:rFonts w:ascii="宋体" w:hAnsi="宋体" w:eastAsia="宋体" w:cs="宋体"/>
                <w:spacing w:val="10"/>
                <w:position w:val="2"/>
                <w:sz w:val="20"/>
                <w:szCs w:val="20"/>
              </w:rPr>
              <w:t>硝</w:t>
            </w:r>
            <w:r>
              <w:rPr>
                <w:rFonts w:ascii="宋体" w:hAnsi="宋体" w:eastAsia="宋体" w:cs="宋体"/>
                <w:spacing w:val="7"/>
                <w:position w:val="2"/>
                <w:sz w:val="20"/>
                <w:szCs w:val="20"/>
              </w:rPr>
              <w:t>酸盐氮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262" w:type="dxa"/>
            <w:vAlign w:val="top"/>
          </w:tcPr>
          <w:p w14:paraId="097A82A0">
            <w:pPr>
              <w:spacing w:before="86" w:line="189" w:lineRule="auto"/>
              <w:ind w:left="4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20.0</w:t>
            </w:r>
          </w:p>
        </w:tc>
        <w:tc>
          <w:tcPr>
            <w:tcW w:w="778" w:type="dxa"/>
            <w:vAlign w:val="top"/>
          </w:tcPr>
          <w:p w14:paraId="6F813EC3">
            <w:pPr>
              <w:spacing w:before="9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628" w:type="dxa"/>
            <w:vAlign w:val="top"/>
          </w:tcPr>
          <w:p w14:paraId="202DEA44">
            <w:pPr>
              <w:spacing w:before="18" w:line="281" w:lineRule="exact"/>
              <w:ind w:left="37"/>
              <w:rPr>
                <w:rFonts w:ascii="宋体" w:hAnsi="宋体" w:eastAsia="宋体" w:cs="宋体"/>
                <w:sz w:val="20"/>
                <w:szCs w:val="20"/>
              </w:rPr>
            </w:pPr>
            <w:r>
              <w:rPr>
                <w:rFonts w:ascii="宋体" w:hAnsi="宋体" w:eastAsia="宋体" w:cs="宋体"/>
                <w:spacing w:val="6"/>
                <w:position w:val="1"/>
                <w:sz w:val="20"/>
                <w:szCs w:val="20"/>
              </w:rPr>
              <w:t>总大肠</w:t>
            </w:r>
            <w:r>
              <w:rPr>
                <w:rFonts w:ascii="宋体" w:hAnsi="宋体" w:eastAsia="宋体" w:cs="宋体"/>
                <w:spacing w:val="3"/>
                <w:position w:val="1"/>
                <w:sz w:val="20"/>
                <w:szCs w:val="20"/>
              </w:rPr>
              <w:t>菌群 (</w:t>
            </w:r>
            <w:r>
              <w:rPr>
                <w:rFonts w:ascii="Times New Roman" w:hAnsi="Times New Roman" w:eastAsia="Times New Roman" w:cs="Times New Roman"/>
                <w:position w:val="1"/>
                <w:sz w:val="20"/>
                <w:szCs w:val="20"/>
              </w:rPr>
              <w:t>MPN</w:t>
            </w:r>
            <w:r>
              <w:rPr>
                <w:rFonts w:ascii="Times New Roman" w:hAnsi="Times New Roman" w:eastAsia="Times New Roman" w:cs="Times New Roman"/>
                <w:spacing w:val="3"/>
                <w:position w:val="1"/>
                <w:sz w:val="20"/>
                <w:szCs w:val="20"/>
              </w:rPr>
              <w:t>/ 100</w:t>
            </w:r>
            <w:r>
              <w:rPr>
                <w:rFonts w:ascii="Times New Roman" w:hAnsi="Times New Roman" w:eastAsia="Times New Roman" w:cs="Times New Roman"/>
                <w:position w:val="1"/>
                <w:sz w:val="20"/>
                <w:szCs w:val="20"/>
              </w:rPr>
              <w:t>mL</w:t>
            </w:r>
            <w:r>
              <w:rPr>
                <w:rFonts w:ascii="宋体" w:hAnsi="宋体" w:eastAsia="宋体" w:cs="宋体"/>
                <w:spacing w:val="3"/>
                <w:position w:val="1"/>
                <w:sz w:val="20"/>
                <w:szCs w:val="20"/>
              </w:rPr>
              <w:t>)</w:t>
            </w:r>
          </w:p>
        </w:tc>
        <w:tc>
          <w:tcPr>
            <w:tcW w:w="1247" w:type="dxa"/>
            <w:tcBorders>
              <w:right w:val="nil"/>
            </w:tcBorders>
            <w:vAlign w:val="top"/>
          </w:tcPr>
          <w:p w14:paraId="7F8C20F0">
            <w:pPr>
              <w:spacing w:before="86" w:line="189"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z w:val="22"/>
                <w:szCs w:val="22"/>
              </w:rPr>
              <w:t>.0</w:t>
            </w:r>
          </w:p>
        </w:tc>
      </w:tr>
    </w:tbl>
    <w:p w14:paraId="1759B8B8">
      <w:pPr>
        <w:spacing w:line="257" w:lineRule="auto"/>
        <w:rPr>
          <w:rFonts w:ascii="Arial"/>
          <w:sz w:val="21"/>
        </w:rPr>
      </w:pPr>
    </w:p>
    <w:p w14:paraId="59E0E6E7">
      <w:pPr>
        <w:spacing w:before="75" w:line="226"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评价方</w:t>
      </w:r>
      <w:r>
        <w:rPr>
          <w:rFonts w:ascii="宋体" w:hAnsi="宋体" w:eastAsia="宋体" w:cs="宋体"/>
          <w:spacing w:val="19"/>
          <w:sz w:val="23"/>
          <w:szCs w:val="23"/>
        </w:rPr>
        <w:t>法</w:t>
      </w:r>
    </w:p>
    <w:p w14:paraId="6BB25AA7">
      <w:pPr>
        <w:spacing w:line="277" w:lineRule="auto"/>
        <w:rPr>
          <w:rFonts w:ascii="Arial"/>
          <w:sz w:val="21"/>
        </w:rPr>
      </w:pPr>
    </w:p>
    <w:p w14:paraId="6C0D7A8E">
      <w:pPr>
        <w:spacing w:before="75" w:line="226" w:lineRule="auto"/>
        <w:ind w:left="596"/>
        <w:rPr>
          <w:rFonts w:ascii="宋体" w:hAnsi="宋体" w:eastAsia="宋体" w:cs="宋体"/>
          <w:sz w:val="23"/>
          <w:szCs w:val="23"/>
        </w:rPr>
      </w:pPr>
      <w:r>
        <w:rPr>
          <w:rFonts w:ascii="宋体" w:hAnsi="宋体" w:eastAsia="宋体" w:cs="宋体"/>
          <w:spacing w:val="13"/>
          <w:sz w:val="23"/>
          <w:szCs w:val="23"/>
        </w:rPr>
        <w:t>评</w:t>
      </w:r>
      <w:r>
        <w:rPr>
          <w:rFonts w:ascii="宋体" w:hAnsi="宋体" w:eastAsia="宋体" w:cs="宋体"/>
          <w:spacing w:val="8"/>
          <w:sz w:val="23"/>
          <w:szCs w:val="23"/>
        </w:rPr>
        <w:t>价方法采用标准指数法。</w:t>
      </w:r>
    </w:p>
    <w:p w14:paraId="36045970">
      <w:pPr>
        <w:sectPr>
          <w:headerReference r:id="rId169" w:type="default"/>
          <w:footerReference r:id="rId170" w:type="default"/>
          <w:pgSz w:w="11906" w:h="16839"/>
          <w:pgMar w:top="1132" w:right="1691" w:bottom="1182" w:left="1691" w:header="878" w:footer="1022" w:gutter="0"/>
          <w:cols w:space="720" w:num="1"/>
        </w:sectPr>
      </w:pPr>
    </w:p>
    <w:p w14:paraId="4254C301">
      <w:pPr>
        <w:spacing w:line="365" w:lineRule="auto"/>
        <w:rPr>
          <w:rFonts w:ascii="Arial"/>
          <w:sz w:val="21"/>
        </w:rPr>
      </w:pPr>
      <w:r>
        <w:pict>
          <v:shape id="_x0000_s1221" o:spid="_x0000_s1221" style="position:absolute;left:0pt;margin-left:90pt;margin-top:57.35pt;height:0.75pt;width:415.3pt;mso-position-horizontal-relative:page;mso-position-vertical-relative:page;z-index:251873280;mso-width-relative:page;mso-height-relative:page;" fillcolor="#000000" filled="t" stroked="f" coordsize="8305,15" o:allowincell="f" path="m0,0l8305,0,8305,14,0,14,0,0xe">
            <v:path/>
            <v:fill on="t" focussize="0,0"/>
            <v:stroke on="f"/>
            <v:imagedata o:title=""/>
            <o:lock v:ext="edit"/>
          </v:shape>
        </w:pict>
      </w:r>
    </w:p>
    <w:p w14:paraId="3FF5368F">
      <w:pPr>
        <w:spacing w:before="75" w:line="323" w:lineRule="exact"/>
        <w:ind w:left="514"/>
        <w:rPr>
          <w:rFonts w:ascii="宋体" w:hAnsi="宋体" w:eastAsia="宋体" w:cs="宋体"/>
          <w:sz w:val="23"/>
          <w:szCs w:val="23"/>
        </w:rPr>
      </w:pPr>
      <w:r>
        <w:rPr>
          <w:rFonts w:ascii="宋体" w:hAnsi="宋体" w:eastAsia="宋体" w:cs="宋体"/>
          <w:spacing w:val="8"/>
          <w:position w:val="3"/>
          <w:sz w:val="23"/>
          <w:szCs w:val="23"/>
        </w:rPr>
        <w:t xml:space="preserve">单项水质因子 </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8"/>
          <w:position w:val="3"/>
          <w:sz w:val="23"/>
          <w:szCs w:val="23"/>
        </w:rPr>
        <w:t xml:space="preserve"> </w:t>
      </w:r>
      <w:r>
        <w:rPr>
          <w:rFonts w:ascii="宋体" w:hAnsi="宋体" w:eastAsia="宋体" w:cs="宋体"/>
          <w:spacing w:val="8"/>
          <w:position w:val="3"/>
          <w:sz w:val="23"/>
          <w:szCs w:val="23"/>
        </w:rPr>
        <w:t>在第</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8"/>
          <w:position w:val="3"/>
          <w:sz w:val="23"/>
          <w:szCs w:val="23"/>
        </w:rPr>
        <w:t xml:space="preserve"> </w:t>
      </w:r>
      <w:r>
        <w:rPr>
          <w:rFonts w:ascii="宋体" w:hAnsi="宋体" w:eastAsia="宋体" w:cs="宋体"/>
          <w:spacing w:val="8"/>
          <w:position w:val="3"/>
          <w:sz w:val="23"/>
          <w:szCs w:val="23"/>
        </w:rPr>
        <w:t>点的标准指数</w:t>
      </w:r>
      <w:r>
        <w:rPr>
          <w:rFonts w:ascii="宋体" w:hAnsi="宋体" w:eastAsia="宋体" w:cs="宋体"/>
          <w:spacing w:val="6"/>
          <w:position w:val="3"/>
          <w:sz w:val="23"/>
          <w:szCs w:val="23"/>
        </w:rPr>
        <w:t>：</w:t>
      </w:r>
    </w:p>
    <w:p w14:paraId="7273194E">
      <w:pPr>
        <w:spacing w:line="328" w:lineRule="auto"/>
        <w:rPr>
          <w:rFonts w:ascii="Arial"/>
          <w:sz w:val="21"/>
        </w:rPr>
      </w:pPr>
    </w:p>
    <w:p w14:paraId="5ECB832F">
      <w:pPr>
        <w:spacing w:before="71"/>
        <w:ind w:left="3707"/>
        <w:rPr>
          <w:sz w:val="23"/>
          <w:szCs w:val="23"/>
        </w:rPr>
      </w:pPr>
      <w:r>
        <w:rPr>
          <w:rFonts w:ascii="Times New Roman" w:hAnsi="Times New Roman" w:eastAsia="Times New Roman" w:cs="Times New Roman"/>
          <w:i/>
          <w:iCs/>
          <w:position w:val="2"/>
          <w:sz w:val="23"/>
          <w:szCs w:val="23"/>
        </w:rPr>
        <w:t>S</w:t>
      </w:r>
      <w:r>
        <w:rPr>
          <w:rFonts w:ascii="Times New Roman" w:hAnsi="Times New Roman" w:eastAsia="Times New Roman" w:cs="Times New Roman"/>
          <w:position w:val="-3"/>
          <w:sz w:val="13"/>
          <w:szCs w:val="13"/>
        </w:rPr>
        <w:t>i</w:t>
      </w:r>
      <w:r>
        <w:rPr>
          <w:rFonts w:ascii="Times New Roman" w:hAnsi="Times New Roman" w:eastAsia="Times New Roman" w:cs="Times New Roman"/>
          <w:spacing w:val="12"/>
          <w:position w:val="-3"/>
          <w:sz w:val="13"/>
          <w:szCs w:val="13"/>
        </w:rPr>
        <w:t>,</w:t>
      </w:r>
      <w:r>
        <w:rPr>
          <w:rFonts w:ascii="Times New Roman" w:hAnsi="Times New Roman" w:eastAsia="Times New Roman" w:cs="Times New Roman"/>
          <w:i/>
          <w:iCs/>
          <w:position w:val="-3"/>
          <w:sz w:val="13"/>
          <w:szCs w:val="13"/>
        </w:rPr>
        <w:t>j</w:t>
      </w:r>
      <w:r>
        <w:rPr>
          <w:rFonts w:ascii="Times New Roman" w:hAnsi="Times New Roman" w:eastAsia="Times New Roman" w:cs="Times New Roman"/>
          <w:spacing w:val="12"/>
          <w:position w:val="-3"/>
          <w:sz w:val="13"/>
          <w:szCs w:val="13"/>
        </w:rPr>
        <w:t xml:space="preserve">   </w:t>
      </w:r>
      <w:r>
        <w:rPr>
          <w:rFonts w:ascii="Symbol" w:hAnsi="Symbol" w:eastAsia="Symbol" w:cs="Symbol"/>
          <w:spacing w:val="12"/>
          <w:position w:val="2"/>
          <w:sz w:val="23"/>
          <w:szCs w:val="23"/>
        </w:rPr>
        <w:t xml:space="preserve">= </w:t>
      </w:r>
      <w:r>
        <w:rPr>
          <w:position w:val="-26"/>
          <w:sz w:val="23"/>
          <w:szCs w:val="23"/>
        </w:rPr>
        <w:drawing>
          <wp:inline distT="0" distB="0" distL="0" distR="0">
            <wp:extent cx="229235" cy="37084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89"/>
                    <a:stretch>
                      <a:fillRect/>
                    </a:stretch>
                  </pic:blipFill>
                  <pic:spPr>
                    <a:xfrm>
                      <a:off x="0" y="0"/>
                      <a:ext cx="229387" cy="370965"/>
                    </a:xfrm>
                    <a:prstGeom prst="rect">
                      <a:avLst/>
                    </a:prstGeom>
                  </pic:spPr>
                </pic:pic>
              </a:graphicData>
            </a:graphic>
          </wp:inline>
        </w:drawing>
      </w:r>
    </w:p>
    <w:p w14:paraId="3085EB4B">
      <w:pPr>
        <w:spacing w:line="385" w:lineRule="auto"/>
        <w:rPr>
          <w:rFonts w:ascii="Arial"/>
          <w:sz w:val="21"/>
        </w:rPr>
      </w:pPr>
    </w:p>
    <w:p w14:paraId="1C1207AB">
      <w:pPr>
        <w:spacing w:before="75" w:line="237" w:lineRule="auto"/>
        <w:ind w:left="517"/>
        <w:rPr>
          <w:rFonts w:ascii="宋体" w:hAnsi="宋体" w:eastAsia="宋体" w:cs="宋体"/>
          <w:sz w:val="23"/>
          <w:szCs w:val="23"/>
        </w:rPr>
      </w:pPr>
      <w:r>
        <w:rPr>
          <w:rFonts w:ascii="宋体" w:hAnsi="宋体" w:eastAsia="宋体" w:cs="宋体"/>
          <w:spacing w:val="12"/>
          <w:sz w:val="23"/>
          <w:szCs w:val="23"/>
        </w:rPr>
        <w:t>式</w:t>
      </w:r>
      <w:r>
        <w:rPr>
          <w:rFonts w:ascii="宋体" w:hAnsi="宋体" w:eastAsia="宋体" w:cs="宋体"/>
          <w:spacing w:val="6"/>
          <w:sz w:val="23"/>
          <w:szCs w:val="23"/>
        </w:rPr>
        <w:t>中：</w:t>
      </w:r>
      <w:r>
        <w:rPr>
          <w:rFonts w:ascii="Times New Roman" w:hAnsi="Times New Roman" w:eastAsia="Times New Roman" w:cs="Times New Roman"/>
          <w:sz w:val="23"/>
          <w:szCs w:val="23"/>
        </w:rPr>
        <w:t>S</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6"/>
          <w:position w:val="-1"/>
          <w:sz w:val="15"/>
          <w:szCs w:val="15"/>
        </w:rPr>
        <w:t>,</w:t>
      </w:r>
      <w:r>
        <w:rPr>
          <w:rFonts w:ascii="Times New Roman" w:hAnsi="Times New Roman" w:eastAsia="Times New Roman" w:cs="Times New Roman"/>
          <w:position w:val="-1"/>
          <w:sz w:val="15"/>
          <w:szCs w:val="15"/>
        </w:rPr>
        <w:t>j</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标准指数；</w:t>
      </w:r>
    </w:p>
    <w:p w14:paraId="1BFF152D">
      <w:pPr>
        <w:spacing w:before="141" w:line="480" w:lineRule="exact"/>
        <w:ind w:left="1231"/>
        <w:rPr>
          <w:rFonts w:ascii="宋体" w:hAnsi="宋体" w:eastAsia="宋体" w:cs="宋体"/>
          <w:sz w:val="23"/>
          <w:szCs w:val="23"/>
        </w:rPr>
      </w:pPr>
      <w:r>
        <w:rPr>
          <w:rFonts w:ascii="Times New Roman" w:hAnsi="Times New Roman" w:eastAsia="Times New Roman" w:cs="Times New Roman"/>
          <w:position w:val="15"/>
          <w:sz w:val="23"/>
          <w:szCs w:val="23"/>
        </w:rPr>
        <w:t>C</w:t>
      </w:r>
      <w:r>
        <w:rPr>
          <w:rFonts w:ascii="Times New Roman" w:hAnsi="Times New Roman" w:eastAsia="Times New Roman" w:cs="Times New Roman"/>
          <w:position w:val="14"/>
          <w:sz w:val="15"/>
          <w:szCs w:val="15"/>
        </w:rPr>
        <w:t>i</w:t>
      </w:r>
      <w:r>
        <w:rPr>
          <w:rFonts w:ascii="Times New Roman" w:hAnsi="Times New Roman" w:eastAsia="Times New Roman" w:cs="Times New Roman"/>
          <w:spacing w:val="13"/>
          <w:position w:val="14"/>
          <w:sz w:val="15"/>
          <w:szCs w:val="15"/>
        </w:rPr>
        <w:t>,</w:t>
      </w:r>
      <w:r>
        <w:rPr>
          <w:rFonts w:ascii="Times New Roman" w:hAnsi="Times New Roman" w:eastAsia="Times New Roman" w:cs="Times New Roman"/>
          <w:position w:val="14"/>
          <w:sz w:val="15"/>
          <w:szCs w:val="15"/>
        </w:rPr>
        <w:t>j</w:t>
      </w:r>
      <w:r>
        <w:rPr>
          <w:rFonts w:ascii="Times New Roman" w:hAnsi="Times New Roman" w:eastAsia="Times New Roman" w:cs="Times New Roman"/>
          <w:spacing w:val="8"/>
          <w:position w:val="15"/>
          <w:sz w:val="23"/>
          <w:szCs w:val="23"/>
        </w:rPr>
        <w:t xml:space="preserve">—  </w:t>
      </w:r>
      <w:r>
        <w:rPr>
          <w:rFonts w:ascii="宋体" w:hAnsi="宋体" w:eastAsia="宋体" w:cs="宋体"/>
          <w:spacing w:val="8"/>
          <w:position w:val="15"/>
          <w:sz w:val="23"/>
          <w:szCs w:val="23"/>
        </w:rPr>
        <w:t xml:space="preserve">评价因子 </w:t>
      </w:r>
      <w:r>
        <w:rPr>
          <w:rFonts w:ascii="Times New Roman" w:hAnsi="Times New Roman" w:eastAsia="Times New Roman" w:cs="Times New Roman"/>
          <w:position w:val="15"/>
          <w:sz w:val="23"/>
          <w:szCs w:val="23"/>
        </w:rPr>
        <w:t>i</w:t>
      </w:r>
      <w:r>
        <w:rPr>
          <w:rFonts w:ascii="Times New Roman" w:hAnsi="Times New Roman" w:eastAsia="Times New Roman" w:cs="Times New Roman"/>
          <w:spacing w:val="8"/>
          <w:position w:val="15"/>
          <w:sz w:val="23"/>
          <w:szCs w:val="23"/>
        </w:rPr>
        <w:t xml:space="preserve"> </w:t>
      </w:r>
      <w:r>
        <w:rPr>
          <w:rFonts w:ascii="宋体" w:hAnsi="宋体" w:eastAsia="宋体" w:cs="宋体"/>
          <w:spacing w:val="8"/>
          <w:position w:val="15"/>
          <w:sz w:val="23"/>
          <w:szCs w:val="23"/>
        </w:rPr>
        <w:t>在</w:t>
      </w:r>
      <w:r>
        <w:rPr>
          <w:rFonts w:ascii="Times New Roman" w:hAnsi="Times New Roman" w:eastAsia="Times New Roman" w:cs="Times New Roman"/>
          <w:position w:val="15"/>
          <w:sz w:val="23"/>
          <w:szCs w:val="23"/>
        </w:rPr>
        <w:t>j</w:t>
      </w:r>
      <w:r>
        <w:rPr>
          <w:rFonts w:ascii="Times New Roman" w:hAnsi="Times New Roman" w:eastAsia="Times New Roman" w:cs="Times New Roman"/>
          <w:spacing w:val="8"/>
          <w:position w:val="15"/>
          <w:sz w:val="23"/>
          <w:szCs w:val="23"/>
        </w:rPr>
        <w:t xml:space="preserve"> </w:t>
      </w:r>
      <w:r>
        <w:rPr>
          <w:rFonts w:ascii="宋体" w:hAnsi="宋体" w:eastAsia="宋体" w:cs="宋体"/>
          <w:spacing w:val="8"/>
          <w:position w:val="15"/>
          <w:sz w:val="23"/>
          <w:szCs w:val="23"/>
        </w:rPr>
        <w:t>点的实测浓度值，</w:t>
      </w:r>
      <w:r>
        <w:rPr>
          <w:rFonts w:ascii="Times New Roman" w:hAnsi="Times New Roman" w:eastAsia="Times New Roman" w:cs="Times New Roman"/>
          <w:position w:val="15"/>
          <w:sz w:val="23"/>
          <w:szCs w:val="23"/>
        </w:rPr>
        <w:t>mg</w:t>
      </w:r>
      <w:r>
        <w:rPr>
          <w:rFonts w:ascii="Times New Roman" w:hAnsi="Times New Roman" w:eastAsia="Times New Roman" w:cs="Times New Roman"/>
          <w:spacing w:val="8"/>
          <w:position w:val="15"/>
          <w:sz w:val="23"/>
          <w:szCs w:val="23"/>
        </w:rPr>
        <w:t>/</w:t>
      </w:r>
      <w:r>
        <w:rPr>
          <w:rFonts w:ascii="Times New Roman" w:hAnsi="Times New Roman" w:eastAsia="Times New Roman" w:cs="Times New Roman"/>
          <w:position w:val="15"/>
          <w:sz w:val="23"/>
          <w:szCs w:val="23"/>
        </w:rPr>
        <w:t>L</w:t>
      </w:r>
      <w:r>
        <w:rPr>
          <w:rFonts w:ascii="宋体" w:hAnsi="宋体" w:eastAsia="宋体" w:cs="宋体"/>
          <w:spacing w:val="8"/>
          <w:position w:val="15"/>
          <w:sz w:val="23"/>
          <w:szCs w:val="23"/>
        </w:rPr>
        <w:t>；</w:t>
      </w:r>
    </w:p>
    <w:p w14:paraId="7607ECDD">
      <w:pPr>
        <w:spacing w:line="322" w:lineRule="exact"/>
        <w:ind w:left="1231"/>
        <w:rPr>
          <w:rFonts w:ascii="宋体" w:hAnsi="宋体" w:eastAsia="宋体" w:cs="宋体"/>
          <w:sz w:val="23"/>
          <w:szCs w:val="23"/>
        </w:rPr>
      </w:pPr>
      <w:r>
        <w:rPr>
          <w:rFonts w:ascii="Times New Roman" w:hAnsi="Times New Roman" w:eastAsia="Times New Roman" w:cs="Times New Roman"/>
          <w:position w:val="3"/>
          <w:sz w:val="23"/>
          <w:szCs w:val="23"/>
        </w:rPr>
        <w:t>C</w:t>
      </w:r>
      <w:r>
        <w:rPr>
          <w:rFonts w:ascii="Times New Roman" w:hAnsi="Times New Roman" w:eastAsia="Times New Roman" w:cs="Times New Roman"/>
          <w:position w:val="2"/>
          <w:sz w:val="15"/>
          <w:szCs w:val="15"/>
        </w:rPr>
        <w:t>s</w:t>
      </w:r>
      <w:r>
        <w:rPr>
          <w:rFonts w:ascii="Times New Roman" w:hAnsi="Times New Roman" w:eastAsia="Times New Roman" w:cs="Times New Roman"/>
          <w:spacing w:val="10"/>
          <w:position w:val="2"/>
          <w:sz w:val="15"/>
          <w:szCs w:val="15"/>
        </w:rPr>
        <w:t>,</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6"/>
          <w:position w:val="3"/>
          <w:sz w:val="23"/>
          <w:szCs w:val="23"/>
        </w:rPr>
        <w:t>—</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 xml:space="preserve">评价因子 </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的评价标准限值，</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L</w:t>
      </w:r>
      <w:r>
        <w:rPr>
          <w:rFonts w:ascii="宋体" w:hAnsi="宋体" w:eastAsia="宋体" w:cs="宋体"/>
          <w:spacing w:val="5"/>
          <w:position w:val="3"/>
          <w:sz w:val="23"/>
          <w:szCs w:val="23"/>
        </w:rPr>
        <w:t>。</w:t>
      </w:r>
    </w:p>
    <w:p w14:paraId="277CF6C1">
      <w:pPr>
        <w:spacing w:line="279" w:lineRule="auto"/>
        <w:rPr>
          <w:rFonts w:ascii="Arial"/>
          <w:sz w:val="21"/>
        </w:rPr>
      </w:pPr>
    </w:p>
    <w:p w14:paraId="03F177B8">
      <w:pPr>
        <w:spacing w:before="75" w:line="219" w:lineRule="auto"/>
        <w:ind w:left="543"/>
        <w:rPr>
          <w:rFonts w:ascii="宋体" w:hAnsi="宋体" w:eastAsia="宋体" w:cs="宋体"/>
          <w:sz w:val="23"/>
          <w:szCs w:val="23"/>
        </w:rPr>
      </w:pPr>
      <w:r>
        <w:rPr>
          <w:rFonts w:ascii="Times New Roman" w:hAnsi="Times New Roman" w:eastAsia="Times New Roman" w:cs="Times New Roman"/>
          <w:i/>
          <w:iCs/>
          <w:sz w:val="23"/>
          <w:szCs w:val="23"/>
        </w:rPr>
        <w:t>pH</w:t>
      </w:r>
      <w:r>
        <w:rPr>
          <w:rFonts w:ascii="Times New Roman" w:hAnsi="Times New Roman" w:eastAsia="Times New Roman" w:cs="Times New Roman"/>
          <w:spacing w:val="15"/>
          <w:sz w:val="23"/>
          <w:szCs w:val="23"/>
        </w:rPr>
        <w:t xml:space="preserve"> </w:t>
      </w:r>
      <w:r>
        <w:rPr>
          <w:rFonts w:ascii="宋体" w:hAnsi="宋体" w:eastAsia="宋体" w:cs="宋体"/>
          <w:spacing w:val="15"/>
          <w:sz w:val="23"/>
          <w:szCs w:val="23"/>
        </w:rPr>
        <w:t>值的标准指数：</w:t>
      </w:r>
    </w:p>
    <w:p w14:paraId="4A0C927E">
      <w:pPr>
        <w:spacing w:line="234" w:lineRule="exact"/>
      </w:pPr>
    </w:p>
    <w:p w14:paraId="7295015B">
      <w:pPr>
        <w:sectPr>
          <w:headerReference r:id="rId171" w:type="default"/>
          <w:footerReference r:id="rId172" w:type="default"/>
          <w:pgSz w:w="11906" w:h="16839"/>
          <w:pgMar w:top="1132" w:right="1740" w:bottom="1182" w:left="1777" w:header="878" w:footer="1022" w:gutter="0"/>
          <w:cols w:equalWidth="0" w:num="1">
            <w:col w:w="8389"/>
          </w:cols>
        </w:sectPr>
      </w:pPr>
    </w:p>
    <w:p w14:paraId="57F37EEE">
      <w:pPr>
        <w:spacing w:before="128" w:line="1092" w:lineRule="exact"/>
        <w:ind w:left="2438"/>
        <w:rPr>
          <w:rFonts w:ascii="微软雅黑" w:hAnsi="微软雅黑" w:eastAsia="微软雅黑" w:cs="微软雅黑"/>
          <w:sz w:val="23"/>
          <w:szCs w:val="23"/>
        </w:rPr>
      </w:pPr>
      <w:r>
        <w:rPr>
          <w:rFonts w:ascii="Times New Roman" w:hAnsi="Times New Roman" w:eastAsia="Times New Roman" w:cs="Times New Roman"/>
          <w:i/>
          <w:iCs/>
          <w:position w:val="51"/>
          <w:sz w:val="23"/>
          <w:szCs w:val="23"/>
        </w:rPr>
        <w:t>S</w:t>
      </w:r>
      <w:r>
        <w:rPr>
          <w:rFonts w:ascii="Times New Roman" w:hAnsi="Times New Roman" w:eastAsia="Times New Roman" w:cs="Times New Roman"/>
          <w:i/>
          <w:iCs/>
          <w:position w:val="46"/>
          <w:sz w:val="13"/>
          <w:szCs w:val="13"/>
        </w:rPr>
        <w:t>pH</w:t>
      </w:r>
      <w:r>
        <w:rPr>
          <w:rFonts w:ascii="Times New Roman" w:hAnsi="Times New Roman" w:eastAsia="Times New Roman" w:cs="Times New Roman"/>
          <w:spacing w:val="19"/>
          <w:position w:val="46"/>
          <w:sz w:val="13"/>
          <w:szCs w:val="13"/>
        </w:rPr>
        <w:t xml:space="preserve"> </w:t>
      </w:r>
      <w:r>
        <w:rPr>
          <w:rFonts w:ascii="Times New Roman" w:hAnsi="Times New Roman" w:eastAsia="Times New Roman" w:cs="Times New Roman"/>
          <w:spacing w:val="17"/>
          <w:position w:val="46"/>
          <w:sz w:val="13"/>
          <w:szCs w:val="13"/>
        </w:rPr>
        <w:t>,</w:t>
      </w:r>
      <w:r>
        <w:rPr>
          <w:rFonts w:ascii="Times New Roman" w:hAnsi="Times New Roman" w:eastAsia="Times New Roman" w:cs="Times New Roman"/>
          <w:i/>
          <w:iCs/>
          <w:position w:val="46"/>
          <w:sz w:val="13"/>
          <w:szCs w:val="13"/>
        </w:rPr>
        <w:t>j</w:t>
      </w:r>
      <w:r>
        <w:rPr>
          <w:rFonts w:ascii="Times New Roman" w:hAnsi="Times New Roman" w:eastAsia="Times New Roman" w:cs="Times New Roman"/>
          <w:spacing w:val="17"/>
          <w:position w:val="46"/>
          <w:sz w:val="13"/>
          <w:szCs w:val="13"/>
        </w:rPr>
        <w:t xml:space="preserve">   </w:t>
      </w:r>
      <w:r>
        <w:rPr>
          <w:rFonts w:ascii="Symbol" w:hAnsi="Symbol" w:eastAsia="Symbol" w:cs="Symbol"/>
          <w:spacing w:val="17"/>
          <w:position w:val="51"/>
          <w:sz w:val="23"/>
          <w:szCs w:val="23"/>
        </w:rPr>
        <w:t xml:space="preserve">= </w:t>
      </w:r>
      <w:r>
        <w:fldChar w:fldCharType="begin"/>
      </w:r>
      <w:r>
        <w:instrText xml:space="preserve">EQ \* jc3 \* hps23 \o\al(\s\up 10(</w:instrText>
      </w:r>
      <w:r>
        <w:rPr>
          <w:rFonts w:ascii="Times New Roman" w:hAnsi="Times New Roman" w:eastAsia="Times New Roman" w:cs="Times New Roman"/>
          <w:spacing w:val="30"/>
          <w:position w:val="49"/>
          <w:sz w:val="23"/>
          <w:szCs w:val="23"/>
        </w:rPr>
        <w:instrText xml:space="preserve">7</w:instrText>
      </w:r>
      <w:r>
        <w:instrText xml:space="preserve">),</w:instrText>
      </w:r>
      <w:r>
        <w:rPr>
          <w:rFonts w:ascii="Times New Roman" w:hAnsi="Times New Roman" w:eastAsia="Times New Roman" w:cs="Times New Roman"/>
          <w:spacing w:val="-5"/>
          <w:position w:val="33"/>
          <w:sz w:val="23"/>
          <w:szCs w:val="23"/>
        </w:rPr>
        <w:instrText xml:space="preserve">7</w:instrText>
      </w:r>
      <w:r>
        <w:instrText xml:space="preserve">)</w:instrText>
      </w:r>
      <w:r>
        <w:fldChar w:fldCharType="end"/>
      </w:r>
      <w:r>
        <w:fldChar w:fldCharType="begin"/>
      </w:r>
      <w:r>
        <w:instrText xml:space="preserve">EQ \* jc3 \* hps23 \o\al(\s\up 10(</w:instrText>
      </w:r>
      <w:r>
        <w:rPr>
          <w:rFonts w:ascii="Times New Roman" w:hAnsi="Times New Roman" w:eastAsia="Times New Roman" w:cs="Times New Roman"/>
          <w:spacing w:val="4"/>
          <w:position w:val="49"/>
          <w:sz w:val="23"/>
          <w:szCs w:val="23"/>
        </w:rPr>
        <w:instrText xml:space="preserve">.</w:instrText>
      </w:r>
      <w:r>
        <w:rPr>
          <w:rFonts w:ascii="Times New Roman" w:hAnsi="Times New Roman" w:eastAsia="Times New Roman" w:cs="Times New Roman"/>
          <w:spacing w:val="3"/>
          <w:position w:val="49"/>
          <w:sz w:val="23"/>
          <w:szCs w:val="23"/>
        </w:rPr>
        <w:instrText xml:space="preserve">0</w:instrText>
      </w:r>
      <w:r>
        <w:instrText xml:space="preserve">),</w:instrText>
      </w:r>
      <w:r>
        <w:rPr>
          <w:rFonts w:ascii="Times New Roman" w:hAnsi="Times New Roman" w:eastAsia="Times New Roman" w:cs="Times New Roman"/>
          <w:spacing w:val="30"/>
          <w:position w:val="33"/>
          <w:sz w:val="23"/>
          <w:szCs w:val="23"/>
        </w:rPr>
        <w:instrText xml:space="preserve">0</w:instrText>
      </w:r>
      <w:r>
        <w:instrText xml:space="preserve">)</w:instrText>
      </w:r>
      <w:r>
        <w:fldChar w:fldCharType="end"/>
      </w:r>
      <w:r>
        <w:fldChar w:fldCharType="begin"/>
      </w:r>
      <w:r>
        <w:instrText xml:space="preserve">EQ \* jc3 \* hps23 \o\al(\s\up 10(</w:instrText>
      </w:r>
      <w:r>
        <w:rPr>
          <w:rFonts w:ascii="微软雅黑" w:hAnsi="微软雅黑" w:eastAsia="微软雅黑" w:cs="微软雅黑"/>
          <w:spacing w:val="-19"/>
          <w:w w:val="84"/>
          <w:position w:val="49"/>
          <w:sz w:val="23"/>
          <w:szCs w:val="23"/>
        </w:rPr>
        <w:instrText xml:space="preserve">一</w:instrText>
      </w:r>
      <w:r>
        <w:instrText xml:space="preserve">),</w:instrText>
      </w:r>
      <w:r>
        <w:rPr>
          <w:rFonts w:ascii="微软雅黑" w:hAnsi="微软雅黑" w:eastAsia="微软雅黑" w:cs="微软雅黑"/>
          <w:spacing w:val="-15"/>
          <w:w w:val="68"/>
          <w:position w:val="33"/>
          <w:sz w:val="23"/>
          <w:szCs w:val="23"/>
        </w:rPr>
        <w:instrText xml:space="preserve">一</w:instrText>
      </w:r>
      <w:r>
        <w:instrText xml:space="preserve">)</w:instrText>
      </w:r>
      <w:r>
        <w:fldChar w:fldCharType="end"/>
      </w:r>
      <w:r>
        <w:rPr>
          <w:position w:val="23"/>
          <w:sz w:val="23"/>
          <w:szCs w:val="23"/>
        </w:rPr>
        <w:drawing>
          <wp:inline distT="0" distB="0" distL="0" distR="0">
            <wp:extent cx="315595" cy="40513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490"/>
                    <a:stretch>
                      <a:fillRect/>
                    </a:stretch>
                  </pic:blipFill>
                  <pic:spPr>
                    <a:xfrm>
                      <a:off x="0" y="0"/>
                      <a:ext cx="316221" cy="405198"/>
                    </a:xfrm>
                    <a:prstGeom prst="rect">
                      <a:avLst/>
                    </a:prstGeom>
                  </pic:spPr>
                </pic:pic>
              </a:graphicData>
            </a:graphic>
          </wp:inline>
        </w:drawing>
      </w:r>
      <w:r>
        <w:rPr>
          <w:rFonts w:ascii="微软雅黑" w:hAnsi="微软雅黑" w:eastAsia="微软雅黑" w:cs="微软雅黑"/>
          <w:position w:val="33"/>
          <w:sz w:val="23"/>
          <w:szCs w:val="23"/>
        </w:rPr>
        <w:t xml:space="preserve"> </w:t>
      </w:r>
    </w:p>
    <w:p w14:paraId="3C3AED73">
      <w:pPr>
        <w:spacing w:line="601" w:lineRule="exact"/>
        <w:ind w:left="2337"/>
        <w:rPr>
          <w:rFonts w:ascii="微软雅黑" w:hAnsi="微软雅黑" w:eastAsia="微软雅黑" w:cs="微软雅黑"/>
          <w:sz w:val="23"/>
          <w:szCs w:val="23"/>
        </w:rPr>
      </w:pPr>
      <w:r>
        <w:rPr>
          <w:rFonts w:ascii="Times New Roman" w:hAnsi="Times New Roman" w:eastAsia="Times New Roman" w:cs="Times New Roman"/>
          <w:i/>
          <w:iCs/>
          <w:position w:val="12"/>
          <w:sz w:val="23"/>
          <w:szCs w:val="23"/>
        </w:rPr>
        <w:t>S</w:t>
      </w:r>
      <w:r>
        <w:rPr>
          <w:rFonts w:ascii="Times New Roman" w:hAnsi="Times New Roman" w:eastAsia="Times New Roman" w:cs="Times New Roman"/>
          <w:i/>
          <w:iCs/>
          <w:position w:val="7"/>
          <w:sz w:val="13"/>
          <w:szCs w:val="13"/>
        </w:rPr>
        <w:t>pH</w:t>
      </w:r>
      <w:r>
        <w:rPr>
          <w:rFonts w:ascii="Times New Roman" w:hAnsi="Times New Roman" w:eastAsia="Times New Roman" w:cs="Times New Roman"/>
          <w:spacing w:val="18"/>
          <w:position w:val="7"/>
          <w:sz w:val="13"/>
          <w:szCs w:val="13"/>
        </w:rPr>
        <w:t xml:space="preserve"> </w:t>
      </w:r>
      <w:r>
        <w:rPr>
          <w:rFonts w:ascii="Times New Roman" w:hAnsi="Times New Roman" w:eastAsia="Times New Roman" w:cs="Times New Roman"/>
          <w:spacing w:val="15"/>
          <w:position w:val="7"/>
          <w:sz w:val="13"/>
          <w:szCs w:val="13"/>
        </w:rPr>
        <w:t>,</w:t>
      </w:r>
      <w:r>
        <w:rPr>
          <w:rFonts w:ascii="Times New Roman" w:hAnsi="Times New Roman" w:eastAsia="Times New Roman" w:cs="Times New Roman"/>
          <w:i/>
          <w:iCs/>
          <w:position w:val="7"/>
          <w:sz w:val="13"/>
          <w:szCs w:val="13"/>
        </w:rPr>
        <w:t>j</w:t>
      </w:r>
      <w:r>
        <w:rPr>
          <w:rFonts w:ascii="Times New Roman" w:hAnsi="Times New Roman" w:eastAsia="Times New Roman" w:cs="Times New Roman"/>
          <w:spacing w:val="15"/>
          <w:position w:val="7"/>
          <w:sz w:val="13"/>
          <w:szCs w:val="13"/>
        </w:rPr>
        <w:t xml:space="preserve">   </w:t>
      </w:r>
      <w:r>
        <w:rPr>
          <w:rFonts w:ascii="Symbol" w:hAnsi="Symbol" w:eastAsia="Symbol" w:cs="Symbol"/>
          <w:spacing w:val="15"/>
          <w:position w:val="12"/>
          <w:sz w:val="23"/>
          <w:szCs w:val="23"/>
        </w:rPr>
        <w:t xml:space="preserve">= </w:t>
      </w:r>
      <w:r>
        <w:rPr>
          <w:position w:val="-12"/>
          <w:sz w:val="23"/>
          <w:szCs w:val="23"/>
        </w:rPr>
        <w:drawing>
          <wp:inline distT="0" distB="0" distL="0" distR="0">
            <wp:extent cx="309245" cy="37909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91"/>
                    <a:stretch>
                      <a:fillRect/>
                    </a:stretch>
                  </pic:blipFill>
                  <pic:spPr>
                    <a:xfrm>
                      <a:off x="0" y="0"/>
                      <a:ext cx="309863" cy="379182"/>
                    </a:xfrm>
                    <a:prstGeom prst="rect">
                      <a:avLst/>
                    </a:prstGeom>
                  </pic:spPr>
                </pic:pic>
              </a:graphicData>
            </a:graphic>
          </wp:inline>
        </w:drawing>
      </w:r>
      <w:r>
        <w:rPr>
          <w:rFonts w:ascii="Symbol" w:hAnsi="Symbol" w:eastAsia="Symbol" w:cs="Symbol"/>
          <w:spacing w:val="15"/>
          <w:position w:val="12"/>
          <w:sz w:val="23"/>
          <w:szCs w:val="23"/>
        </w:rPr>
        <w:t xml:space="preserve"> </w:t>
      </w:r>
      <w:r>
        <w:fldChar w:fldCharType="begin"/>
      </w:r>
      <w:r>
        <w:instrText xml:space="preserve">EQ \* jc3 \* hps23 \o\al(\s\up 9(</w:instrText>
      </w:r>
      <w:r>
        <w:rPr>
          <w:rFonts w:ascii="微软雅黑" w:hAnsi="微软雅黑" w:eastAsia="微软雅黑" w:cs="微软雅黑"/>
          <w:spacing w:val="-14"/>
          <w:w w:val="60"/>
          <w:position w:val="12"/>
          <w:sz w:val="23"/>
          <w:szCs w:val="23"/>
        </w:rPr>
        <w:instrText xml:space="preserve">一</w:instrText>
      </w:r>
      <w:r>
        <w:instrText xml:space="preserve">),</w:instrText>
      </w:r>
      <w:r>
        <w:rPr>
          <w:rFonts w:ascii="微软雅黑" w:hAnsi="微软雅黑" w:eastAsia="微软雅黑" w:cs="微软雅黑"/>
          <w:spacing w:val="-17"/>
          <w:w w:val="75"/>
          <w:position w:val="-6"/>
          <w:sz w:val="23"/>
          <w:szCs w:val="23"/>
        </w:rPr>
        <w:instrText xml:space="preserve">一</w:instrText>
      </w:r>
      <w:r>
        <w:instrText xml:space="preserve">)</w:instrText>
      </w:r>
      <w:r>
        <w:fldChar w:fldCharType="end"/>
      </w:r>
      <w:r>
        <w:rPr>
          <w:position w:val="-6"/>
          <w:sz w:val="23"/>
          <w:szCs w:val="23"/>
        </w:rPr>
        <w:drawing>
          <wp:inline distT="0" distB="0" distL="0" distR="0">
            <wp:extent cx="209550" cy="34417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492"/>
                    <a:stretch>
                      <a:fillRect/>
                    </a:stretch>
                  </pic:blipFill>
                  <pic:spPr>
                    <a:xfrm>
                      <a:off x="0" y="0"/>
                      <a:ext cx="209884" cy="344194"/>
                    </a:xfrm>
                    <a:prstGeom prst="rect">
                      <a:avLst/>
                    </a:prstGeom>
                  </pic:spPr>
                </pic:pic>
              </a:graphicData>
            </a:graphic>
          </wp:inline>
        </w:drawing>
      </w:r>
      <w:r>
        <w:rPr>
          <w:rFonts w:ascii="微软雅黑" w:hAnsi="微软雅黑" w:eastAsia="微软雅黑" w:cs="微软雅黑"/>
          <w:position w:val="-6"/>
          <w:sz w:val="23"/>
          <w:szCs w:val="23"/>
        </w:rPr>
        <w:t xml:space="preserve"> </w:t>
      </w:r>
    </w:p>
    <w:p w14:paraId="7F1C38AC">
      <w:pPr>
        <w:spacing w:line="14" w:lineRule="auto"/>
        <w:rPr>
          <w:rFonts w:ascii="Arial"/>
          <w:sz w:val="2"/>
        </w:rPr>
      </w:pPr>
      <w:r>
        <w:rPr>
          <w:rFonts w:ascii="Arial" w:hAnsi="Arial" w:eastAsia="Arial" w:cs="Arial"/>
          <w:sz w:val="2"/>
          <w:szCs w:val="2"/>
        </w:rPr>
        <w:br w:type="column"/>
      </w:r>
    </w:p>
    <w:p w14:paraId="12D2F6A8">
      <w:pPr>
        <w:spacing w:before="238" w:line="342" w:lineRule="exact"/>
        <w:ind w:left="100"/>
        <w:rPr>
          <w:rFonts w:ascii="Times New Roman" w:hAnsi="Times New Roman" w:eastAsia="Times New Roman" w:cs="Times New Roman"/>
          <w:sz w:val="23"/>
          <w:szCs w:val="23"/>
        </w:rPr>
      </w:pPr>
      <w:r>
        <w:rPr>
          <w:rFonts w:ascii="Times New Roman" w:hAnsi="Times New Roman" w:eastAsia="Times New Roman" w:cs="Times New Roman"/>
          <w:position w:val="2"/>
          <w:sz w:val="23"/>
          <w:szCs w:val="23"/>
        </w:rPr>
        <w:t>p</w:t>
      </w:r>
      <w:r>
        <w:rPr>
          <w:rFonts w:ascii="Times New Roman" w:hAnsi="Times New Roman" w:eastAsia="Times New Roman" w:cs="Times New Roman"/>
          <w:i/>
          <w:iCs/>
          <w:position w:val="2"/>
          <w:sz w:val="23"/>
          <w:szCs w:val="23"/>
        </w:rPr>
        <w:t>H</w:t>
      </w:r>
      <w:r>
        <w:rPr>
          <w:rFonts w:ascii="Times New Roman" w:hAnsi="Times New Roman" w:eastAsia="Times New Roman" w:cs="Times New Roman"/>
          <w:i/>
          <w:iCs/>
          <w:position w:val="-3"/>
          <w:sz w:val="13"/>
          <w:szCs w:val="13"/>
        </w:rPr>
        <w:t>j</w:t>
      </w:r>
      <w:r>
        <w:rPr>
          <w:rFonts w:ascii="Times New Roman" w:hAnsi="Times New Roman" w:eastAsia="Times New Roman" w:cs="Times New Roman"/>
          <w:spacing w:val="12"/>
          <w:position w:val="-3"/>
          <w:sz w:val="13"/>
          <w:szCs w:val="13"/>
        </w:rPr>
        <w:t xml:space="preserve">   </w:t>
      </w:r>
      <w:r>
        <w:rPr>
          <w:position w:val="-2"/>
          <w:sz w:val="13"/>
          <w:szCs w:val="13"/>
        </w:rPr>
        <w:drawing>
          <wp:inline distT="0" distB="0" distL="0" distR="0">
            <wp:extent cx="74295" cy="1847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93"/>
                    <a:stretch>
                      <a:fillRect/>
                    </a:stretch>
                  </pic:blipFill>
                  <pic:spPr>
                    <a:xfrm>
                      <a:off x="0" y="0"/>
                      <a:ext cx="74381" cy="185045"/>
                    </a:xfrm>
                    <a:prstGeom prst="rect">
                      <a:avLst/>
                    </a:prstGeom>
                  </pic:spPr>
                </pic:pic>
              </a:graphicData>
            </a:graphic>
          </wp:inline>
        </w:drawing>
      </w:r>
      <w:r>
        <w:rPr>
          <w:rFonts w:ascii="Times New Roman" w:hAnsi="Times New Roman" w:eastAsia="Times New Roman" w:cs="Times New Roman"/>
          <w:spacing w:val="12"/>
          <w:position w:val="-3"/>
          <w:sz w:val="13"/>
          <w:szCs w:val="13"/>
        </w:rPr>
        <w:t xml:space="preserve">  </w:t>
      </w:r>
      <w:r>
        <w:rPr>
          <w:rFonts w:ascii="Times New Roman" w:hAnsi="Times New Roman" w:eastAsia="Times New Roman" w:cs="Times New Roman"/>
          <w:spacing w:val="12"/>
          <w:position w:val="2"/>
          <w:sz w:val="23"/>
          <w:szCs w:val="23"/>
        </w:rPr>
        <w:t>7.</w:t>
      </w:r>
      <w:r>
        <w:rPr>
          <w:rFonts w:ascii="Times New Roman" w:hAnsi="Times New Roman" w:eastAsia="Times New Roman" w:cs="Times New Roman"/>
          <w:spacing w:val="10"/>
          <w:position w:val="2"/>
          <w:sz w:val="23"/>
          <w:szCs w:val="23"/>
        </w:rPr>
        <w:t>0</w:t>
      </w:r>
    </w:p>
    <w:p w14:paraId="060D7F38">
      <w:pPr>
        <w:spacing w:line="337" w:lineRule="auto"/>
        <w:rPr>
          <w:rFonts w:ascii="Arial"/>
          <w:sz w:val="21"/>
        </w:rPr>
      </w:pPr>
    </w:p>
    <w:p w14:paraId="77760A03">
      <w:pPr>
        <w:spacing w:line="338" w:lineRule="auto"/>
        <w:rPr>
          <w:rFonts w:ascii="Arial"/>
          <w:sz w:val="21"/>
        </w:rPr>
      </w:pPr>
    </w:p>
    <w:p w14:paraId="75A0F834">
      <w:pPr>
        <w:spacing w:before="71" w:line="342" w:lineRule="exact"/>
        <w:rPr>
          <w:rFonts w:ascii="Times New Roman" w:hAnsi="Times New Roman" w:eastAsia="Times New Roman" w:cs="Times New Roman"/>
          <w:sz w:val="23"/>
          <w:szCs w:val="23"/>
        </w:rPr>
      </w:pPr>
      <w:r>
        <w:rPr>
          <w:rFonts w:ascii="Times New Roman" w:hAnsi="Times New Roman" w:eastAsia="Times New Roman" w:cs="Times New Roman"/>
          <w:position w:val="7"/>
          <w:sz w:val="23"/>
          <w:szCs w:val="23"/>
        </w:rPr>
        <w:t>p</w:t>
      </w:r>
      <w:r>
        <w:rPr>
          <w:rFonts w:ascii="Times New Roman" w:hAnsi="Times New Roman" w:eastAsia="Times New Roman" w:cs="Times New Roman"/>
          <w:i/>
          <w:iCs/>
          <w:position w:val="7"/>
          <w:sz w:val="23"/>
          <w:szCs w:val="23"/>
        </w:rPr>
        <w:t>H</w:t>
      </w:r>
      <w:r>
        <w:rPr>
          <w:rFonts w:ascii="Times New Roman" w:hAnsi="Times New Roman" w:eastAsia="Times New Roman" w:cs="Times New Roman"/>
          <w:i/>
          <w:iCs/>
          <w:position w:val="2"/>
          <w:sz w:val="13"/>
          <w:szCs w:val="13"/>
        </w:rPr>
        <w:t>j</w:t>
      </w:r>
      <w:r>
        <w:rPr>
          <w:rFonts w:ascii="Times New Roman" w:hAnsi="Times New Roman" w:eastAsia="Times New Roman" w:cs="Times New Roman"/>
          <w:spacing w:val="14"/>
          <w:position w:val="2"/>
          <w:sz w:val="13"/>
          <w:szCs w:val="13"/>
        </w:rPr>
        <w:t xml:space="preserve"> </w:t>
      </w:r>
      <w:r>
        <w:rPr>
          <w:rFonts w:ascii="Times New Roman" w:hAnsi="Times New Roman" w:eastAsia="Times New Roman" w:cs="Times New Roman"/>
          <w:spacing w:val="12"/>
          <w:position w:val="2"/>
          <w:sz w:val="13"/>
          <w:szCs w:val="13"/>
        </w:rPr>
        <w:t xml:space="preserve">  </w:t>
      </w:r>
      <w:r>
        <w:rPr>
          <w:rFonts w:ascii="Symbol" w:hAnsi="Symbol" w:eastAsia="Symbol" w:cs="Symbol"/>
          <w:spacing w:val="12"/>
          <w:position w:val="7"/>
          <w:sz w:val="23"/>
          <w:szCs w:val="23"/>
        </w:rPr>
        <w:t xml:space="preserve">&gt; </w:t>
      </w:r>
      <w:r>
        <w:rPr>
          <w:rFonts w:ascii="Times New Roman" w:hAnsi="Times New Roman" w:eastAsia="Times New Roman" w:cs="Times New Roman"/>
          <w:spacing w:val="12"/>
          <w:position w:val="7"/>
          <w:sz w:val="23"/>
          <w:szCs w:val="23"/>
        </w:rPr>
        <w:t>7.0</w:t>
      </w:r>
    </w:p>
    <w:p w14:paraId="278318CE">
      <w:pPr>
        <w:sectPr>
          <w:type w:val="continuous"/>
          <w:pgSz w:w="11906" w:h="16839"/>
          <w:pgMar w:top="1132" w:right="1740" w:bottom="1182" w:left="1777" w:header="878" w:footer="1022" w:gutter="0"/>
          <w:cols w:equalWidth="0" w:num="2">
            <w:col w:w="4932" w:space="100"/>
            <w:col w:w="3357"/>
          </w:cols>
        </w:sectPr>
      </w:pPr>
    </w:p>
    <w:p w14:paraId="3D1DE306">
      <w:pPr>
        <w:spacing w:line="415" w:lineRule="auto"/>
        <w:rPr>
          <w:rFonts w:ascii="Arial"/>
          <w:sz w:val="21"/>
        </w:rPr>
      </w:pPr>
    </w:p>
    <w:p w14:paraId="32B11632">
      <w:pPr>
        <w:spacing w:before="75" w:line="238" w:lineRule="auto"/>
        <w:ind w:left="517"/>
        <w:rPr>
          <w:rFonts w:ascii="宋体" w:hAnsi="宋体" w:eastAsia="宋体" w:cs="宋体"/>
          <w:sz w:val="23"/>
          <w:szCs w:val="23"/>
        </w:rPr>
      </w:pPr>
      <w:r>
        <w:rPr>
          <w:rFonts w:ascii="宋体" w:hAnsi="宋体" w:eastAsia="宋体" w:cs="宋体"/>
          <w:spacing w:val="12"/>
          <w:sz w:val="23"/>
          <w:szCs w:val="23"/>
        </w:rPr>
        <w:t>式</w:t>
      </w:r>
      <w:r>
        <w:rPr>
          <w:rFonts w:ascii="宋体" w:hAnsi="宋体" w:eastAsia="宋体" w:cs="宋体"/>
          <w:spacing w:val="7"/>
          <w:sz w:val="23"/>
          <w:szCs w:val="23"/>
        </w:rPr>
        <w:t xml:space="preserve">中： </w:t>
      </w:r>
      <w:r>
        <w:rPr>
          <w:rFonts w:ascii="Times New Roman" w:hAnsi="Times New Roman" w:eastAsia="Times New Roman" w:cs="Times New Roman"/>
          <w:i/>
          <w:iCs/>
          <w:sz w:val="23"/>
          <w:szCs w:val="23"/>
        </w:rPr>
        <w:t>S</w:t>
      </w:r>
      <w:r>
        <w:rPr>
          <w:rFonts w:ascii="Times New Roman" w:hAnsi="Times New Roman" w:eastAsia="Times New Roman" w:cs="Times New Roman"/>
          <w:i/>
          <w:iCs/>
          <w:position w:val="-5"/>
          <w:sz w:val="13"/>
          <w:szCs w:val="13"/>
        </w:rPr>
        <w:t>pH</w:t>
      </w:r>
      <w:r>
        <w:rPr>
          <w:rFonts w:ascii="Times New Roman" w:hAnsi="Times New Roman" w:eastAsia="Times New Roman" w:cs="Times New Roman"/>
          <w:spacing w:val="7"/>
          <w:position w:val="-5"/>
          <w:sz w:val="13"/>
          <w:szCs w:val="13"/>
        </w:rPr>
        <w:t xml:space="preserve"> ,</w:t>
      </w:r>
      <w:r>
        <w:rPr>
          <w:rFonts w:ascii="Times New Roman" w:hAnsi="Times New Roman" w:eastAsia="Times New Roman" w:cs="Times New Roman"/>
          <w:i/>
          <w:iCs/>
          <w:position w:val="-5"/>
          <w:sz w:val="13"/>
          <w:szCs w:val="13"/>
        </w:rPr>
        <w:t>j</w:t>
      </w:r>
      <w:r>
        <w:rPr>
          <w:rFonts w:ascii="Times New Roman" w:hAnsi="Times New Roman" w:eastAsia="Times New Roman" w:cs="Times New Roman"/>
          <w:spacing w:val="7"/>
          <w:position w:val="-5"/>
          <w:sz w:val="13"/>
          <w:szCs w:val="13"/>
        </w:rPr>
        <w:t xml:space="preserve"> </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pH</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值的标准指数；</w:t>
      </w:r>
    </w:p>
    <w:p w14:paraId="080C824D">
      <w:pPr>
        <w:spacing w:before="172" w:line="238" w:lineRule="auto"/>
        <w:ind w:left="1323"/>
        <w:rPr>
          <w:rFonts w:ascii="Times New Roman" w:hAnsi="Times New Roman" w:eastAsia="Times New Roman" w:cs="Times New Roman"/>
          <w:sz w:val="23"/>
          <w:szCs w:val="23"/>
        </w:rPr>
      </w:pPr>
      <w:r>
        <w:rPr>
          <w:rFonts w:ascii="Times New Roman" w:hAnsi="Times New Roman" w:eastAsia="Times New Roman" w:cs="Times New Roman"/>
          <w:i/>
          <w:iCs/>
          <w:sz w:val="23"/>
          <w:szCs w:val="23"/>
        </w:rPr>
        <w:t>pH</w:t>
      </w:r>
      <w:r>
        <w:rPr>
          <w:rFonts w:ascii="Times New Roman" w:hAnsi="Times New Roman" w:eastAsia="Times New Roman" w:cs="Times New Roman"/>
          <w:i/>
          <w:iCs/>
          <w:position w:val="-5"/>
          <w:sz w:val="13"/>
          <w:szCs w:val="13"/>
        </w:rPr>
        <w:t>j</w:t>
      </w:r>
      <w:r>
        <w:rPr>
          <w:rFonts w:ascii="Times New Roman" w:hAnsi="Times New Roman" w:eastAsia="Times New Roman" w:cs="Times New Roman"/>
          <w:spacing w:val="22"/>
          <w:position w:val="-5"/>
          <w:sz w:val="13"/>
          <w:szCs w:val="13"/>
        </w:rPr>
        <w:t xml:space="preserve"> </w:t>
      </w:r>
      <w:r>
        <w:rPr>
          <w:rFonts w:ascii="Times New Roman" w:hAnsi="Times New Roman" w:eastAsia="Times New Roman" w:cs="Times New Roman"/>
          <w:spacing w:val="22"/>
          <w:sz w:val="23"/>
          <w:szCs w:val="23"/>
        </w:rPr>
        <w:t>—</w:t>
      </w:r>
      <w:r>
        <w:rPr>
          <w:rFonts w:ascii="Times New Roman" w:hAnsi="Times New Roman" w:eastAsia="Times New Roman" w:cs="Times New Roman"/>
          <w:sz w:val="23"/>
          <w:szCs w:val="23"/>
        </w:rPr>
        <w:t>pH</w:t>
      </w:r>
      <w:r>
        <w:rPr>
          <w:rFonts w:ascii="Times New Roman" w:hAnsi="Times New Roman" w:eastAsia="Times New Roman" w:cs="Times New Roman"/>
          <w:spacing w:val="22"/>
          <w:sz w:val="23"/>
          <w:szCs w:val="23"/>
        </w:rPr>
        <w:t xml:space="preserve"> </w:t>
      </w:r>
      <w:r>
        <w:rPr>
          <w:rFonts w:ascii="宋体" w:hAnsi="宋体" w:eastAsia="宋体" w:cs="宋体"/>
          <w:spacing w:val="22"/>
          <w:sz w:val="23"/>
          <w:szCs w:val="23"/>
        </w:rPr>
        <w:t>值实测值</w:t>
      </w:r>
      <w:r>
        <w:rPr>
          <w:rFonts w:ascii="Times New Roman" w:hAnsi="Times New Roman" w:eastAsia="Times New Roman" w:cs="Times New Roman"/>
          <w:spacing w:val="22"/>
          <w:sz w:val="23"/>
          <w:szCs w:val="23"/>
        </w:rPr>
        <w:t>;</w:t>
      </w:r>
    </w:p>
    <w:p w14:paraId="4C3D8ECD">
      <w:pPr>
        <w:spacing w:before="99" w:line="360" w:lineRule="auto"/>
        <w:ind w:left="1263"/>
        <w:rPr>
          <w:rFonts w:ascii="宋体" w:hAnsi="宋体" w:eastAsia="宋体" w:cs="宋体"/>
          <w:sz w:val="23"/>
          <w:szCs w:val="23"/>
        </w:rPr>
      </w:pPr>
      <w:r>
        <w:rPr>
          <w:rFonts w:ascii="Times New Roman" w:hAnsi="Times New Roman" w:eastAsia="Times New Roman" w:cs="Times New Roman"/>
          <w:i/>
          <w:iCs/>
          <w:position w:val="11"/>
          <w:sz w:val="23"/>
          <w:szCs w:val="23"/>
        </w:rPr>
        <w:t>pH</w:t>
      </w:r>
      <w:r>
        <w:rPr>
          <w:rFonts w:ascii="Times New Roman" w:hAnsi="Times New Roman" w:eastAsia="Times New Roman" w:cs="Times New Roman"/>
          <w:i/>
          <w:iCs/>
          <w:position w:val="5"/>
          <w:sz w:val="13"/>
          <w:szCs w:val="13"/>
        </w:rPr>
        <w:t>sd</w:t>
      </w:r>
      <w:r>
        <w:rPr>
          <w:rFonts w:ascii="Times New Roman" w:hAnsi="Times New Roman" w:eastAsia="Times New Roman" w:cs="Times New Roman"/>
          <w:spacing w:val="6"/>
          <w:position w:val="5"/>
          <w:sz w:val="13"/>
          <w:szCs w:val="13"/>
        </w:rPr>
        <w:t xml:space="preserve"> </w:t>
      </w:r>
      <w:r>
        <w:rPr>
          <w:rFonts w:ascii="Times New Roman" w:hAnsi="Times New Roman" w:eastAsia="Times New Roman" w:cs="Times New Roman"/>
          <w:spacing w:val="6"/>
          <w:sz w:val="23"/>
          <w:szCs w:val="23"/>
        </w:rPr>
        <w:t>—</w:t>
      </w:r>
      <w:r>
        <w:rPr>
          <w:rFonts w:ascii="宋体" w:hAnsi="宋体" w:eastAsia="宋体" w:cs="宋体"/>
          <w:spacing w:val="6"/>
          <w:sz w:val="23"/>
          <w:szCs w:val="23"/>
        </w:rPr>
        <w:t>《地下</w:t>
      </w:r>
      <w:r>
        <w:rPr>
          <w:rFonts w:ascii="宋体" w:hAnsi="宋体" w:eastAsia="宋体" w:cs="宋体"/>
          <w:spacing w:val="5"/>
          <w:sz w:val="23"/>
          <w:szCs w:val="23"/>
        </w:rPr>
        <w:t>水</w:t>
      </w:r>
      <w:r>
        <w:rPr>
          <w:rFonts w:ascii="宋体" w:hAnsi="宋体" w:eastAsia="宋体" w:cs="宋体"/>
          <w:spacing w:val="3"/>
          <w:sz w:val="23"/>
          <w:szCs w:val="23"/>
        </w:rPr>
        <w:t>质量标准》</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14848-2017)</w:t>
      </w:r>
      <w:r>
        <w:rPr>
          <w:rFonts w:ascii="宋体" w:hAnsi="宋体" w:eastAsia="宋体" w:cs="宋体"/>
          <w:spacing w:val="3"/>
          <w:sz w:val="23"/>
          <w:szCs w:val="23"/>
        </w:rPr>
        <w:t>中规定的</w:t>
      </w:r>
      <w:r>
        <w:rPr>
          <w:rFonts w:ascii="Times New Roman" w:hAnsi="Times New Roman" w:eastAsia="Times New Roman" w:cs="Times New Roman"/>
          <w:sz w:val="23"/>
          <w:szCs w:val="23"/>
        </w:rPr>
        <w:t>pH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值下限值；</w:t>
      </w:r>
      <w:r>
        <w:rPr>
          <w:rFonts w:ascii="宋体" w:hAnsi="宋体" w:eastAsia="宋体" w:cs="宋体"/>
          <w:sz w:val="23"/>
          <w:szCs w:val="23"/>
        </w:rPr>
        <w:t xml:space="preserve"> </w:t>
      </w:r>
      <w:r>
        <w:rPr>
          <w:rFonts w:ascii="Times New Roman" w:hAnsi="Times New Roman" w:eastAsia="Times New Roman" w:cs="Times New Roman"/>
          <w:i/>
          <w:iCs/>
          <w:sz w:val="23"/>
          <w:szCs w:val="23"/>
        </w:rPr>
        <w:t>pH</w:t>
      </w:r>
      <w:r>
        <w:rPr>
          <w:rFonts w:ascii="Times New Roman" w:hAnsi="Times New Roman" w:eastAsia="Times New Roman" w:cs="Times New Roman"/>
          <w:i/>
          <w:iCs/>
          <w:position w:val="-5"/>
          <w:sz w:val="13"/>
          <w:szCs w:val="13"/>
        </w:rPr>
        <w:t>s</w:t>
      </w:r>
      <w:r>
        <w:rPr>
          <w:rFonts w:ascii="Times New Roman" w:hAnsi="Times New Roman" w:eastAsia="Times New Roman" w:cs="Times New Roman"/>
          <w:position w:val="-5"/>
          <w:sz w:val="13"/>
          <w:szCs w:val="13"/>
        </w:rPr>
        <w:t>u</w:t>
      </w:r>
      <w:r>
        <w:rPr>
          <w:rFonts w:ascii="Times New Roman" w:hAnsi="Times New Roman" w:eastAsia="Times New Roman" w:cs="Times New Roman"/>
          <w:spacing w:val="1"/>
          <w:position w:val="-5"/>
          <w:sz w:val="13"/>
          <w:szCs w:val="13"/>
        </w:rPr>
        <w:t xml:space="preserve"> </w:t>
      </w:r>
      <w:r>
        <w:rPr>
          <w:rFonts w:ascii="Times New Roman" w:hAnsi="Times New Roman" w:eastAsia="Times New Roman" w:cs="Times New Roman"/>
          <w:spacing w:val="1"/>
          <w:sz w:val="23"/>
          <w:szCs w:val="23"/>
        </w:rPr>
        <w:t>—</w:t>
      </w:r>
      <w:r>
        <w:rPr>
          <w:rFonts w:ascii="宋体" w:hAnsi="宋体" w:eastAsia="宋体" w:cs="宋体"/>
          <w:spacing w:val="1"/>
          <w:sz w:val="23"/>
          <w:szCs w:val="23"/>
        </w:rPr>
        <w:t>《地下水质量标准》</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14848-2017)</w:t>
      </w:r>
      <w:r>
        <w:rPr>
          <w:rFonts w:ascii="宋体" w:hAnsi="宋体" w:eastAsia="宋体" w:cs="宋体"/>
          <w:spacing w:val="1"/>
          <w:sz w:val="23"/>
          <w:szCs w:val="23"/>
        </w:rPr>
        <w:t>中</w:t>
      </w:r>
      <w:r>
        <w:rPr>
          <w:rFonts w:ascii="宋体" w:hAnsi="宋体" w:eastAsia="宋体" w:cs="宋体"/>
          <w:sz w:val="23"/>
          <w:szCs w:val="23"/>
        </w:rPr>
        <w:t xml:space="preserve">规定的 </w:t>
      </w:r>
      <w:r>
        <w:rPr>
          <w:rFonts w:ascii="Times New Roman" w:hAnsi="Times New Roman" w:eastAsia="Times New Roman" w:cs="Times New Roman"/>
          <w:sz w:val="23"/>
          <w:szCs w:val="23"/>
        </w:rPr>
        <w:t xml:space="preserve">pH </w:t>
      </w:r>
      <w:r>
        <w:rPr>
          <w:rFonts w:ascii="宋体" w:hAnsi="宋体" w:eastAsia="宋体" w:cs="宋体"/>
          <w:sz w:val="23"/>
          <w:szCs w:val="23"/>
        </w:rPr>
        <w:t>值上限值；</w:t>
      </w:r>
    </w:p>
    <w:p w14:paraId="726CD592">
      <w:pPr>
        <w:spacing w:before="189" w:line="393" w:lineRule="auto"/>
        <w:ind w:left="35" w:right="120" w:firstLine="478"/>
        <w:rPr>
          <w:rFonts w:ascii="宋体" w:hAnsi="宋体" w:eastAsia="宋体" w:cs="宋体"/>
          <w:sz w:val="23"/>
          <w:szCs w:val="23"/>
        </w:rPr>
      </w:pPr>
      <w:r>
        <w:rPr>
          <w:rFonts w:ascii="宋体" w:hAnsi="宋体" w:eastAsia="宋体" w:cs="宋体"/>
          <w:spacing w:val="12"/>
          <w:sz w:val="23"/>
          <w:szCs w:val="23"/>
        </w:rPr>
        <w:t>若水质</w:t>
      </w:r>
      <w:r>
        <w:rPr>
          <w:rFonts w:ascii="宋体" w:hAnsi="宋体" w:eastAsia="宋体" w:cs="宋体"/>
          <w:spacing w:val="6"/>
          <w:sz w:val="23"/>
          <w:szCs w:val="23"/>
        </w:rPr>
        <w:t>参数的标准指数＞</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，表明该水质参数超过了规定的水质标准限值；</w:t>
      </w:r>
      <w:r>
        <w:rPr>
          <w:rFonts w:ascii="宋体" w:hAnsi="宋体" w:eastAsia="宋体" w:cs="宋体"/>
          <w:sz w:val="23"/>
          <w:szCs w:val="23"/>
        </w:rPr>
        <w:t xml:space="preserve"> </w:t>
      </w:r>
      <w:r>
        <w:rPr>
          <w:rFonts w:ascii="宋体" w:hAnsi="宋体" w:eastAsia="宋体" w:cs="宋体"/>
          <w:spacing w:val="11"/>
          <w:sz w:val="23"/>
          <w:szCs w:val="23"/>
        </w:rPr>
        <w:t>水</w:t>
      </w:r>
      <w:r>
        <w:rPr>
          <w:rFonts w:ascii="宋体" w:hAnsi="宋体" w:eastAsia="宋体" w:cs="宋体"/>
          <w:spacing w:val="9"/>
          <w:sz w:val="23"/>
          <w:szCs w:val="23"/>
        </w:rPr>
        <w:t>质参数的标准指数越大，说明该水质参数超标越严重。</w:t>
      </w:r>
    </w:p>
    <w:p w14:paraId="03A1026F">
      <w:pPr>
        <w:spacing w:before="137" w:line="226"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评价结</w:t>
      </w:r>
      <w:r>
        <w:rPr>
          <w:rFonts w:ascii="宋体" w:hAnsi="宋体" w:eastAsia="宋体" w:cs="宋体"/>
          <w:spacing w:val="19"/>
          <w:sz w:val="23"/>
          <w:szCs w:val="23"/>
        </w:rPr>
        <w:t>果</w:t>
      </w:r>
    </w:p>
    <w:p w14:paraId="5439E5FB">
      <w:pPr>
        <w:spacing w:line="279" w:lineRule="auto"/>
        <w:rPr>
          <w:rFonts w:ascii="Arial"/>
          <w:sz w:val="21"/>
        </w:rPr>
      </w:pPr>
    </w:p>
    <w:p w14:paraId="0F91C1E6">
      <w:pPr>
        <w:spacing w:before="74" w:line="392" w:lineRule="auto"/>
        <w:ind w:left="36" w:right="58" w:firstLine="475"/>
        <w:rPr>
          <w:rFonts w:ascii="宋体" w:hAnsi="宋体" w:eastAsia="宋体" w:cs="宋体"/>
          <w:sz w:val="23"/>
          <w:szCs w:val="23"/>
        </w:rPr>
      </w:pPr>
      <w:r>
        <w:rPr>
          <w:rFonts w:ascii="宋体" w:hAnsi="宋体" w:eastAsia="宋体" w:cs="宋体"/>
          <w:spacing w:val="7"/>
          <w:sz w:val="23"/>
          <w:szCs w:val="23"/>
        </w:rPr>
        <w:t>对各监测点的原始数据进行整理，利用所选评价标准和评价方法对污染物</w:t>
      </w:r>
      <w:r>
        <w:rPr>
          <w:rFonts w:ascii="宋体" w:hAnsi="宋体" w:eastAsia="宋体" w:cs="宋体"/>
          <w:spacing w:val="3"/>
          <w:sz w:val="23"/>
          <w:szCs w:val="23"/>
        </w:rPr>
        <w:t>进</w:t>
      </w:r>
      <w:r>
        <w:rPr>
          <w:rFonts w:ascii="宋体" w:hAnsi="宋体" w:eastAsia="宋体" w:cs="宋体"/>
          <w:sz w:val="23"/>
          <w:szCs w:val="23"/>
        </w:rPr>
        <w:t xml:space="preserve"> </w:t>
      </w:r>
      <w:r>
        <w:rPr>
          <w:rFonts w:ascii="宋体" w:hAnsi="宋体" w:eastAsia="宋体" w:cs="宋体"/>
          <w:spacing w:val="10"/>
          <w:sz w:val="23"/>
          <w:szCs w:val="23"/>
        </w:rPr>
        <w:t>行评</w:t>
      </w:r>
      <w:r>
        <w:rPr>
          <w:rFonts w:ascii="宋体" w:hAnsi="宋体" w:eastAsia="宋体" w:cs="宋体"/>
          <w:spacing w:val="6"/>
          <w:sz w:val="23"/>
          <w:szCs w:val="23"/>
        </w:rPr>
        <w:t>价</w:t>
      </w:r>
      <w:r>
        <w:rPr>
          <w:rFonts w:ascii="宋体" w:hAnsi="宋体" w:eastAsia="宋体" w:cs="宋体"/>
          <w:spacing w:val="5"/>
          <w:sz w:val="23"/>
          <w:szCs w:val="23"/>
        </w:rPr>
        <w:t xml:space="preserve">，统计各监测项目标准指数、超标率及超标倍数。评价结果见表 </w:t>
      </w:r>
      <w:r>
        <w:rPr>
          <w:rFonts w:ascii="Times New Roman" w:hAnsi="Times New Roman" w:eastAsia="Times New Roman" w:cs="Times New Roman"/>
          <w:spacing w:val="5"/>
          <w:sz w:val="23"/>
          <w:szCs w:val="23"/>
        </w:rPr>
        <w:t>4- 13</w:t>
      </w:r>
      <w:r>
        <w:rPr>
          <w:rFonts w:ascii="宋体" w:hAnsi="宋体" w:eastAsia="宋体" w:cs="宋体"/>
          <w:spacing w:val="5"/>
          <w:sz w:val="23"/>
          <w:szCs w:val="23"/>
        </w:rPr>
        <w:t>。</w:t>
      </w:r>
    </w:p>
    <w:p w14:paraId="7BA89ADC">
      <w:pPr>
        <w:spacing w:before="139" w:line="226" w:lineRule="auto"/>
        <w:ind w:left="213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4"/>
          <w:sz w:val="23"/>
          <w:szCs w:val="23"/>
        </w:rPr>
        <w:t>-13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地下水水质评价结果统计表</w:t>
      </w:r>
    </w:p>
    <w:p w14:paraId="141C98A7">
      <w:pPr>
        <w:spacing w:line="19"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470"/>
        <w:gridCol w:w="1453"/>
        <w:gridCol w:w="1200"/>
        <w:gridCol w:w="1272"/>
        <w:gridCol w:w="755"/>
        <w:gridCol w:w="1357"/>
        <w:gridCol w:w="705"/>
        <w:gridCol w:w="684"/>
      </w:tblGrid>
      <w:tr w14:paraId="599B0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55" w:type="dxa"/>
            <w:tcBorders>
              <w:left w:val="nil"/>
              <w:right w:val="single" w:color="000000" w:sz="4" w:space="0"/>
            </w:tcBorders>
            <w:textDirection w:val="tbRlV"/>
            <w:vAlign w:val="top"/>
          </w:tcPr>
          <w:p w14:paraId="78D8A787">
            <w:pPr>
              <w:spacing w:before="119" w:line="218" w:lineRule="auto"/>
              <w:ind w:left="9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号</w:t>
            </w:r>
          </w:p>
        </w:tc>
        <w:tc>
          <w:tcPr>
            <w:tcW w:w="470" w:type="dxa"/>
            <w:tcBorders>
              <w:left w:val="single" w:color="000000" w:sz="4" w:space="0"/>
              <w:right w:val="single" w:color="000000" w:sz="4" w:space="0"/>
            </w:tcBorders>
            <w:vAlign w:val="top"/>
          </w:tcPr>
          <w:p w14:paraId="6A06A149">
            <w:pPr>
              <w:spacing w:before="94" w:line="258" w:lineRule="auto"/>
              <w:ind w:left="37" w:right="20" w:hanging="1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采样</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点</w:t>
            </w:r>
            <w:r>
              <w:rPr>
                <w:rFonts w:ascii="宋体" w:hAnsi="宋体" w:eastAsia="宋体" w:cs="宋体"/>
                <w:sz w:val="20"/>
                <w:szCs w:val="20"/>
                <w14:textOutline w14:w="3795" w14:cap="sq" w14:cmpd="sng">
                  <w14:solidFill>
                    <w14:srgbClr w14:val="000000"/>
                  </w14:solidFill>
                  <w14:prstDash w14:val="solid"/>
                  <w14:bevel/>
                </w14:textOutline>
              </w:rPr>
              <w:t>位</w:t>
            </w:r>
          </w:p>
        </w:tc>
        <w:tc>
          <w:tcPr>
            <w:tcW w:w="2653" w:type="dxa"/>
            <w:gridSpan w:val="2"/>
            <w:tcBorders>
              <w:left w:val="single" w:color="000000" w:sz="4" w:space="0"/>
              <w:right w:val="single" w:color="000000" w:sz="4" w:space="0"/>
            </w:tcBorders>
            <w:vAlign w:val="top"/>
          </w:tcPr>
          <w:p w14:paraId="3BD46B47">
            <w:pPr>
              <w:spacing w:before="232" w:line="228" w:lineRule="auto"/>
              <w:ind w:left="112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272" w:type="dxa"/>
            <w:tcBorders>
              <w:left w:val="single" w:color="000000" w:sz="4" w:space="0"/>
            </w:tcBorders>
            <w:vAlign w:val="top"/>
          </w:tcPr>
          <w:p w14:paraId="6D3590FC">
            <w:pPr>
              <w:spacing w:before="112" w:line="250" w:lineRule="auto"/>
              <w:ind w:left="330" w:right="211" w:hanging="112"/>
              <w:rPr>
                <w:rFonts w:ascii="Times New Roman" w:hAnsi="Times New Roman" w:eastAsia="Times New Roman" w:cs="Times New Roman"/>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测范围</w:t>
            </w:r>
            <w:r>
              <w:rPr>
                <w:rFonts w:ascii="宋体" w:hAnsi="宋体" w:eastAsia="宋体" w:cs="宋体"/>
                <w:sz w:val="20"/>
                <w:szCs w:val="20"/>
              </w:rPr>
              <w:t xml:space="preserve"> </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L</w:t>
            </w:r>
            <w:r>
              <w:rPr>
                <w:rFonts w:ascii="Times New Roman" w:hAnsi="Times New Roman" w:eastAsia="Times New Roman" w:cs="Times New Roman"/>
                <w:b/>
                <w:bCs/>
                <w:spacing w:val="6"/>
                <w:sz w:val="20"/>
                <w:szCs w:val="20"/>
              </w:rPr>
              <w:t>)</w:t>
            </w:r>
          </w:p>
        </w:tc>
        <w:tc>
          <w:tcPr>
            <w:tcW w:w="755" w:type="dxa"/>
            <w:tcBorders>
              <w:right w:val="single" w:color="000000" w:sz="4" w:space="0"/>
            </w:tcBorders>
            <w:vAlign w:val="top"/>
          </w:tcPr>
          <w:p w14:paraId="43D417A4">
            <w:pPr>
              <w:spacing w:before="112" w:line="250" w:lineRule="auto"/>
              <w:ind w:left="74" w:right="56" w:hanging="6"/>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标</w:t>
            </w:r>
            <w:r>
              <w:rPr>
                <w:rFonts w:ascii="宋体" w:hAnsi="宋体" w:eastAsia="宋体" w:cs="宋体"/>
                <w:spacing w:val="7"/>
                <w:sz w:val="20"/>
                <w:szCs w:val="20"/>
                <w14:textOutline w14:w="3795" w14:cap="sq" w14:cmpd="sng">
                  <w14:solidFill>
                    <w14:srgbClr w14:val="000000"/>
                  </w14:solidFill>
                  <w14:prstDash w14:val="solid"/>
                  <w14:bevel/>
                </w14:textOutline>
              </w:rPr>
              <w:t>准值</w:t>
            </w:r>
            <w:r>
              <w:rPr>
                <w:rFonts w:ascii="宋体" w:hAnsi="宋体" w:eastAsia="宋体" w:cs="宋体"/>
                <w:sz w:val="20"/>
                <w:szCs w:val="20"/>
              </w:rPr>
              <w:t xml:space="preserve"> </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L</w:t>
            </w:r>
            <w:r>
              <w:rPr>
                <w:rFonts w:ascii="Times New Roman" w:hAnsi="Times New Roman" w:eastAsia="Times New Roman" w:cs="Times New Roman"/>
                <w:b/>
                <w:bCs/>
                <w:spacing w:val="6"/>
                <w:sz w:val="20"/>
                <w:szCs w:val="20"/>
              </w:rPr>
              <w:t>)</w:t>
            </w:r>
          </w:p>
        </w:tc>
        <w:tc>
          <w:tcPr>
            <w:tcW w:w="1357" w:type="dxa"/>
            <w:tcBorders>
              <w:left w:val="single" w:color="000000" w:sz="4" w:space="0"/>
            </w:tcBorders>
            <w:vAlign w:val="top"/>
          </w:tcPr>
          <w:p w14:paraId="19544E0A">
            <w:pPr>
              <w:spacing w:before="231" w:line="228" w:lineRule="auto"/>
              <w:ind w:left="26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标</w:t>
            </w:r>
            <w:r>
              <w:rPr>
                <w:rFonts w:ascii="宋体" w:hAnsi="宋体" w:eastAsia="宋体" w:cs="宋体"/>
                <w:spacing w:val="8"/>
                <w:sz w:val="20"/>
                <w:szCs w:val="20"/>
                <w14:textOutline w14:w="3795" w14:cap="sq" w14:cmpd="sng">
                  <w14:solidFill>
                    <w14:srgbClr w14:val="000000"/>
                  </w14:solidFill>
                  <w14:prstDash w14:val="solid"/>
                  <w14:bevel/>
                </w14:textOutline>
              </w:rPr>
              <w:t>准指数</w:t>
            </w:r>
          </w:p>
        </w:tc>
        <w:tc>
          <w:tcPr>
            <w:tcW w:w="705" w:type="dxa"/>
            <w:vAlign w:val="top"/>
          </w:tcPr>
          <w:p w14:paraId="5A055FE8">
            <w:pPr>
              <w:spacing w:before="75" w:line="276" w:lineRule="auto"/>
              <w:ind w:left="184" w:right="33" w:hanging="142"/>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超标率</w:t>
            </w:r>
            <w:r>
              <w:rPr>
                <w:rFonts w:ascii="宋体" w:hAnsi="宋体" w:eastAsia="宋体" w:cs="宋体"/>
                <w:sz w:val="20"/>
                <w:szCs w:val="20"/>
              </w:rPr>
              <w:t xml:space="preserve"> </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pacing w:val="2"/>
                <w:sz w:val="20"/>
                <w:szCs w:val="20"/>
              </w:rPr>
              <w:t>)</w:t>
            </w:r>
          </w:p>
        </w:tc>
        <w:tc>
          <w:tcPr>
            <w:tcW w:w="684" w:type="dxa"/>
            <w:tcBorders>
              <w:right w:val="nil"/>
            </w:tcBorders>
            <w:vAlign w:val="top"/>
          </w:tcPr>
          <w:p w14:paraId="46992FC0">
            <w:pPr>
              <w:spacing w:before="94" w:line="258" w:lineRule="auto"/>
              <w:ind w:left="35" w:right="23" w:firstLine="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最大</w:t>
            </w:r>
            <w:r>
              <w:rPr>
                <w:rFonts w:ascii="宋体" w:hAnsi="宋体" w:eastAsia="宋体" w:cs="宋体"/>
                <w:spacing w:val="6"/>
                <w:sz w:val="20"/>
                <w:szCs w:val="20"/>
                <w14:textOutline w14:w="3795" w14:cap="sq" w14:cmpd="sng">
                  <w14:solidFill>
                    <w14:srgbClr w14:val="000000"/>
                  </w14:solidFill>
                  <w14:prstDash w14:val="solid"/>
                  <w14:bevel/>
                </w14:textOutline>
              </w:rPr>
              <w:t>超</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标</w:t>
            </w:r>
            <w:r>
              <w:rPr>
                <w:rFonts w:ascii="宋体" w:hAnsi="宋体" w:eastAsia="宋体" w:cs="宋体"/>
                <w:spacing w:val="7"/>
                <w:sz w:val="20"/>
                <w:szCs w:val="20"/>
                <w14:textOutline w14:w="3795" w14:cap="sq" w14:cmpd="sng">
                  <w14:solidFill>
                    <w14:srgbClr w14:val="000000"/>
                  </w14:solidFill>
                  <w14:prstDash w14:val="solid"/>
                  <w14:bevel/>
                </w14:textOutline>
              </w:rPr>
              <w:t>倍数</w:t>
            </w:r>
          </w:p>
        </w:tc>
      </w:tr>
      <w:tr w14:paraId="51A54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428A63DC">
            <w:pPr>
              <w:spacing w:before="9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70" w:type="dxa"/>
            <w:vMerge w:val="restart"/>
            <w:tcBorders>
              <w:left w:val="single" w:color="000000" w:sz="4" w:space="0"/>
              <w:bottom w:val="nil"/>
              <w:right w:val="single" w:color="000000" w:sz="4" w:space="0"/>
            </w:tcBorders>
            <w:vAlign w:val="top"/>
          </w:tcPr>
          <w:p w14:paraId="0360B5A7">
            <w:pPr>
              <w:spacing w:before="205" w:line="301" w:lineRule="auto"/>
              <w:ind w:left="26" w:right="20" w:firstLine="17"/>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1"/>
                <w:sz w:val="20"/>
                <w:szCs w:val="20"/>
              </w:rPr>
              <w:t>建</w:t>
            </w:r>
            <w:r>
              <w:rPr>
                <w:rFonts w:ascii="宋体" w:hAnsi="宋体" w:eastAsia="宋体" w:cs="宋体"/>
                <w:sz w:val="20"/>
                <w:szCs w:val="20"/>
              </w:rPr>
              <w:t xml:space="preserve"> </w:t>
            </w:r>
            <w:r>
              <w:rPr>
                <w:rFonts w:ascii="宋体" w:hAnsi="宋体" w:eastAsia="宋体" w:cs="宋体"/>
                <w:spacing w:val="5"/>
                <w:sz w:val="20"/>
                <w:szCs w:val="20"/>
              </w:rPr>
              <w:t>设项</w:t>
            </w:r>
            <w:r>
              <w:rPr>
                <w:rFonts w:ascii="宋体" w:hAnsi="宋体" w:eastAsia="宋体" w:cs="宋体"/>
                <w:sz w:val="20"/>
                <w:szCs w:val="20"/>
              </w:rPr>
              <w:t xml:space="preserve"> </w:t>
            </w:r>
            <w:r>
              <w:rPr>
                <w:rFonts w:ascii="宋体" w:hAnsi="宋体" w:eastAsia="宋体" w:cs="宋体"/>
                <w:spacing w:val="5"/>
                <w:sz w:val="20"/>
                <w:szCs w:val="20"/>
              </w:rPr>
              <w:t>目所</w:t>
            </w:r>
            <w:r>
              <w:rPr>
                <w:rFonts w:ascii="宋体" w:hAnsi="宋体" w:eastAsia="宋体" w:cs="宋体"/>
                <w:sz w:val="20"/>
                <w:szCs w:val="20"/>
              </w:rPr>
              <w:t xml:space="preserve"> </w:t>
            </w:r>
            <w:r>
              <w:rPr>
                <w:rFonts w:ascii="宋体" w:hAnsi="宋体" w:eastAsia="宋体" w:cs="宋体"/>
                <w:spacing w:val="5"/>
                <w:sz w:val="20"/>
                <w:szCs w:val="20"/>
              </w:rPr>
              <w:t>在地</w:t>
            </w:r>
          </w:p>
        </w:tc>
        <w:tc>
          <w:tcPr>
            <w:tcW w:w="1453" w:type="dxa"/>
            <w:tcBorders>
              <w:left w:val="single" w:color="000000" w:sz="4" w:space="0"/>
            </w:tcBorders>
            <w:vAlign w:val="top"/>
          </w:tcPr>
          <w:p w14:paraId="76C12FF7">
            <w:pPr>
              <w:spacing w:before="96" w:line="194"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00" w:type="dxa"/>
            <w:tcBorders>
              <w:right w:val="single" w:color="000000" w:sz="4" w:space="0"/>
            </w:tcBorders>
            <w:vAlign w:val="top"/>
          </w:tcPr>
          <w:p w14:paraId="61733228">
            <w:pPr>
              <w:spacing w:before="57" w:line="228" w:lineRule="auto"/>
              <w:ind w:left="29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1272" w:type="dxa"/>
            <w:tcBorders>
              <w:left w:val="single" w:color="000000" w:sz="4" w:space="0"/>
              <w:right w:val="single" w:color="000000" w:sz="4" w:space="0"/>
            </w:tcBorders>
            <w:vAlign w:val="top"/>
          </w:tcPr>
          <w:p w14:paraId="16EEC5A0">
            <w:pPr>
              <w:spacing w:before="93"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.62-7.66</w:t>
            </w:r>
          </w:p>
        </w:tc>
        <w:tc>
          <w:tcPr>
            <w:tcW w:w="755" w:type="dxa"/>
            <w:tcBorders>
              <w:left w:val="single" w:color="000000" w:sz="4" w:space="0"/>
              <w:right w:val="single" w:color="000000" w:sz="4" w:space="0"/>
            </w:tcBorders>
            <w:vAlign w:val="top"/>
          </w:tcPr>
          <w:p w14:paraId="28A7B85E">
            <w:pPr>
              <w:spacing w:before="93"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.5-8.5</w:t>
            </w:r>
          </w:p>
        </w:tc>
        <w:tc>
          <w:tcPr>
            <w:tcW w:w="1357" w:type="dxa"/>
            <w:tcBorders>
              <w:left w:val="single" w:color="000000" w:sz="4" w:space="0"/>
            </w:tcBorders>
            <w:vAlign w:val="top"/>
          </w:tcPr>
          <w:p w14:paraId="0AD3F7D0">
            <w:pPr>
              <w:spacing w:before="9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.41-0.44</w:t>
            </w:r>
          </w:p>
        </w:tc>
        <w:tc>
          <w:tcPr>
            <w:tcW w:w="705" w:type="dxa"/>
            <w:vAlign w:val="top"/>
          </w:tcPr>
          <w:p w14:paraId="14AC73FE">
            <w:pPr>
              <w:spacing w:before="93"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29DF5A0">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A47E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4D9923E0">
            <w:pPr>
              <w:spacing w:before="9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0" w:type="dxa"/>
            <w:vMerge w:val="continue"/>
            <w:tcBorders>
              <w:top w:val="nil"/>
              <w:left w:val="single" w:color="000000" w:sz="4" w:space="0"/>
              <w:bottom w:val="nil"/>
              <w:right w:val="single" w:color="000000" w:sz="4" w:space="0"/>
            </w:tcBorders>
            <w:vAlign w:val="top"/>
          </w:tcPr>
          <w:p w14:paraId="24370E69">
            <w:pPr>
              <w:rPr>
                <w:rFonts w:ascii="Arial"/>
                <w:sz w:val="21"/>
              </w:rPr>
            </w:pPr>
          </w:p>
        </w:tc>
        <w:tc>
          <w:tcPr>
            <w:tcW w:w="1453" w:type="dxa"/>
            <w:tcBorders>
              <w:left w:val="single" w:color="000000" w:sz="4" w:space="0"/>
            </w:tcBorders>
            <w:vAlign w:val="top"/>
          </w:tcPr>
          <w:p w14:paraId="5B997D96">
            <w:pPr>
              <w:spacing w:before="57" w:line="228" w:lineRule="auto"/>
              <w:ind w:left="415"/>
              <w:rPr>
                <w:rFonts w:ascii="宋体" w:hAnsi="宋体" w:eastAsia="宋体" w:cs="宋体"/>
                <w:sz w:val="20"/>
                <w:szCs w:val="20"/>
              </w:rPr>
            </w:pPr>
            <w:r>
              <w:rPr>
                <w:rFonts w:ascii="宋体" w:hAnsi="宋体" w:eastAsia="宋体" w:cs="宋体"/>
                <w:spacing w:val="7"/>
                <w:sz w:val="20"/>
                <w:szCs w:val="20"/>
              </w:rPr>
              <w:t>浑</w:t>
            </w:r>
            <w:r>
              <w:rPr>
                <w:rFonts w:ascii="宋体" w:hAnsi="宋体" w:eastAsia="宋体" w:cs="宋体"/>
                <w:spacing w:val="6"/>
                <w:sz w:val="20"/>
                <w:szCs w:val="20"/>
              </w:rPr>
              <w:t>浊度</w:t>
            </w:r>
          </w:p>
        </w:tc>
        <w:tc>
          <w:tcPr>
            <w:tcW w:w="1200" w:type="dxa"/>
            <w:tcBorders>
              <w:right w:val="single" w:color="000000" w:sz="4" w:space="0"/>
            </w:tcBorders>
            <w:vAlign w:val="top"/>
          </w:tcPr>
          <w:p w14:paraId="70224703">
            <w:pPr>
              <w:spacing w:before="96" w:line="192"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NT</w:t>
            </w:r>
            <w:r>
              <w:rPr>
                <w:rFonts w:ascii="Times New Roman" w:hAnsi="Times New Roman" w:eastAsia="Times New Roman" w:cs="Times New Roman"/>
                <w:spacing w:val="6"/>
                <w:sz w:val="20"/>
                <w:szCs w:val="20"/>
              </w:rPr>
              <w:t>U</w:t>
            </w:r>
          </w:p>
        </w:tc>
        <w:tc>
          <w:tcPr>
            <w:tcW w:w="1272" w:type="dxa"/>
            <w:tcBorders>
              <w:left w:val="single" w:color="000000" w:sz="4" w:space="0"/>
              <w:right w:val="single" w:color="000000" w:sz="4" w:space="0"/>
            </w:tcBorders>
            <w:vAlign w:val="top"/>
          </w:tcPr>
          <w:p w14:paraId="650D986B">
            <w:pPr>
              <w:spacing w:before="93" w:line="198"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755" w:type="dxa"/>
            <w:tcBorders>
              <w:left w:val="single" w:color="000000" w:sz="4" w:space="0"/>
              <w:right w:val="single" w:color="000000" w:sz="4" w:space="0"/>
            </w:tcBorders>
            <w:vAlign w:val="top"/>
          </w:tcPr>
          <w:p w14:paraId="2578D3A9">
            <w:pPr>
              <w:spacing w:before="93"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7" w:type="dxa"/>
            <w:tcBorders>
              <w:left w:val="single" w:color="000000" w:sz="4" w:space="0"/>
            </w:tcBorders>
            <w:vAlign w:val="top"/>
          </w:tcPr>
          <w:p w14:paraId="05576F98">
            <w:pPr>
              <w:spacing w:before="94"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.67</w:t>
            </w:r>
          </w:p>
        </w:tc>
        <w:tc>
          <w:tcPr>
            <w:tcW w:w="705" w:type="dxa"/>
            <w:vAlign w:val="top"/>
          </w:tcPr>
          <w:p w14:paraId="630C59E6">
            <w:pPr>
              <w:spacing w:before="93"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79EE5E6">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6CBE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13F2B437">
            <w:pPr>
              <w:spacing w:before="9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70" w:type="dxa"/>
            <w:vMerge w:val="continue"/>
            <w:tcBorders>
              <w:top w:val="nil"/>
              <w:left w:val="single" w:color="000000" w:sz="4" w:space="0"/>
              <w:bottom w:val="nil"/>
              <w:right w:val="single" w:color="000000" w:sz="4" w:space="0"/>
            </w:tcBorders>
            <w:vAlign w:val="top"/>
          </w:tcPr>
          <w:p w14:paraId="605C1555">
            <w:pPr>
              <w:rPr>
                <w:rFonts w:ascii="Arial"/>
                <w:sz w:val="21"/>
              </w:rPr>
            </w:pPr>
          </w:p>
        </w:tc>
        <w:tc>
          <w:tcPr>
            <w:tcW w:w="1453" w:type="dxa"/>
            <w:tcBorders>
              <w:left w:val="single" w:color="000000" w:sz="4" w:space="0"/>
            </w:tcBorders>
            <w:vAlign w:val="top"/>
          </w:tcPr>
          <w:p w14:paraId="691AA664">
            <w:pPr>
              <w:spacing w:before="58" w:line="227" w:lineRule="auto"/>
              <w:ind w:left="414"/>
              <w:rPr>
                <w:rFonts w:ascii="宋体" w:hAnsi="宋体" w:eastAsia="宋体" w:cs="宋体"/>
                <w:sz w:val="20"/>
                <w:szCs w:val="20"/>
              </w:rPr>
            </w:pPr>
            <w:r>
              <w:rPr>
                <w:rFonts w:ascii="宋体" w:hAnsi="宋体" w:eastAsia="宋体" w:cs="宋体"/>
                <w:spacing w:val="7"/>
                <w:sz w:val="20"/>
                <w:szCs w:val="20"/>
              </w:rPr>
              <w:t>耗</w:t>
            </w:r>
            <w:r>
              <w:rPr>
                <w:rFonts w:ascii="宋体" w:hAnsi="宋体" w:eastAsia="宋体" w:cs="宋体"/>
                <w:spacing w:val="6"/>
                <w:sz w:val="20"/>
                <w:szCs w:val="20"/>
              </w:rPr>
              <w:t>氧量</w:t>
            </w:r>
          </w:p>
        </w:tc>
        <w:tc>
          <w:tcPr>
            <w:tcW w:w="1200" w:type="dxa"/>
            <w:tcBorders>
              <w:right w:val="single" w:color="000000" w:sz="4" w:space="0"/>
            </w:tcBorders>
            <w:vAlign w:val="top"/>
          </w:tcPr>
          <w:p w14:paraId="529F00B6">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2" w:type="dxa"/>
            <w:tcBorders>
              <w:left w:val="single" w:color="000000" w:sz="4" w:space="0"/>
              <w:right w:val="single" w:color="000000" w:sz="4" w:space="0"/>
            </w:tcBorders>
            <w:vAlign w:val="top"/>
          </w:tcPr>
          <w:p w14:paraId="3B4E41C1">
            <w:pPr>
              <w:spacing w:before="9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1.00- 1. 1</w:t>
            </w:r>
            <w:r>
              <w:rPr>
                <w:rFonts w:ascii="Times New Roman" w:hAnsi="Times New Roman" w:eastAsia="Times New Roman" w:cs="Times New Roman"/>
                <w:spacing w:val="-6"/>
                <w:sz w:val="20"/>
                <w:szCs w:val="20"/>
              </w:rPr>
              <w:t>3</w:t>
            </w:r>
          </w:p>
        </w:tc>
        <w:tc>
          <w:tcPr>
            <w:tcW w:w="755" w:type="dxa"/>
            <w:tcBorders>
              <w:left w:val="single" w:color="000000" w:sz="4" w:space="0"/>
              <w:right w:val="single" w:color="000000" w:sz="4" w:space="0"/>
            </w:tcBorders>
            <w:vAlign w:val="top"/>
          </w:tcPr>
          <w:p w14:paraId="5704D81F">
            <w:pPr>
              <w:spacing w:before="94"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1357" w:type="dxa"/>
            <w:tcBorders>
              <w:left w:val="single" w:color="000000" w:sz="4" w:space="0"/>
              <w:right w:val="single" w:color="000000" w:sz="4" w:space="0"/>
            </w:tcBorders>
            <w:vAlign w:val="top"/>
          </w:tcPr>
          <w:p w14:paraId="57A4998B">
            <w:pPr>
              <w:spacing w:before="9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.33-0.38</w:t>
            </w:r>
          </w:p>
        </w:tc>
        <w:tc>
          <w:tcPr>
            <w:tcW w:w="705" w:type="dxa"/>
            <w:tcBorders>
              <w:left w:val="single" w:color="000000" w:sz="4" w:space="0"/>
            </w:tcBorders>
            <w:vAlign w:val="top"/>
          </w:tcPr>
          <w:p w14:paraId="78F64D28">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2A26F49">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2CF8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01D5F30C">
            <w:pPr>
              <w:spacing w:before="9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70" w:type="dxa"/>
            <w:vMerge w:val="continue"/>
            <w:tcBorders>
              <w:top w:val="nil"/>
              <w:left w:val="single" w:color="000000" w:sz="4" w:space="0"/>
              <w:bottom w:val="nil"/>
              <w:right w:val="single" w:color="000000" w:sz="4" w:space="0"/>
            </w:tcBorders>
            <w:vAlign w:val="top"/>
          </w:tcPr>
          <w:p w14:paraId="7D32A205">
            <w:pPr>
              <w:rPr>
                <w:rFonts w:ascii="Arial"/>
                <w:sz w:val="21"/>
              </w:rPr>
            </w:pPr>
          </w:p>
        </w:tc>
        <w:tc>
          <w:tcPr>
            <w:tcW w:w="1453" w:type="dxa"/>
            <w:tcBorders>
              <w:left w:val="single" w:color="000000" w:sz="4" w:space="0"/>
            </w:tcBorders>
            <w:vAlign w:val="top"/>
          </w:tcPr>
          <w:p w14:paraId="6313E3C5">
            <w:pPr>
              <w:spacing w:before="58" w:line="227" w:lineRule="auto"/>
              <w:ind w:left="519"/>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1200" w:type="dxa"/>
            <w:tcBorders>
              <w:right w:val="single" w:color="000000" w:sz="4" w:space="0"/>
            </w:tcBorders>
            <w:vAlign w:val="top"/>
          </w:tcPr>
          <w:p w14:paraId="3CE0FC99">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2" w:type="dxa"/>
            <w:tcBorders>
              <w:left w:val="single" w:color="000000" w:sz="4" w:space="0"/>
              <w:right w:val="single" w:color="000000" w:sz="4" w:space="0"/>
            </w:tcBorders>
            <w:vAlign w:val="top"/>
          </w:tcPr>
          <w:p w14:paraId="56EAFA9B">
            <w:pPr>
              <w:spacing w:before="94"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83-0.84</w:t>
            </w:r>
          </w:p>
        </w:tc>
        <w:tc>
          <w:tcPr>
            <w:tcW w:w="755" w:type="dxa"/>
            <w:tcBorders>
              <w:left w:val="single" w:color="000000" w:sz="4" w:space="0"/>
              <w:right w:val="single" w:color="000000" w:sz="4" w:space="0"/>
            </w:tcBorders>
            <w:vAlign w:val="top"/>
          </w:tcPr>
          <w:p w14:paraId="70FE88EA">
            <w:pPr>
              <w:spacing w:before="94"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357" w:type="dxa"/>
            <w:tcBorders>
              <w:left w:val="single" w:color="000000" w:sz="4" w:space="0"/>
              <w:right w:val="single" w:color="000000" w:sz="4" w:space="0"/>
            </w:tcBorders>
            <w:vAlign w:val="top"/>
          </w:tcPr>
          <w:p w14:paraId="049E8EF3">
            <w:pPr>
              <w:spacing w:before="94" w:line="198"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1.66- 1.6</w:t>
            </w:r>
            <w:r>
              <w:rPr>
                <w:rFonts w:ascii="Times New Roman" w:hAnsi="Times New Roman" w:eastAsia="Times New Roman" w:cs="Times New Roman"/>
                <w:spacing w:val="-3"/>
                <w:sz w:val="20"/>
                <w:szCs w:val="20"/>
              </w:rPr>
              <w:t>8</w:t>
            </w:r>
          </w:p>
        </w:tc>
        <w:tc>
          <w:tcPr>
            <w:tcW w:w="705" w:type="dxa"/>
            <w:tcBorders>
              <w:left w:val="single" w:color="000000" w:sz="4" w:space="0"/>
            </w:tcBorders>
            <w:vAlign w:val="top"/>
          </w:tcPr>
          <w:p w14:paraId="0525118C">
            <w:pPr>
              <w:spacing w:before="9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684" w:type="dxa"/>
            <w:tcBorders>
              <w:right w:val="nil"/>
            </w:tcBorders>
            <w:vAlign w:val="top"/>
          </w:tcPr>
          <w:p w14:paraId="3C1C01FB">
            <w:pPr>
              <w:spacing w:before="9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.68</w:t>
            </w:r>
          </w:p>
        </w:tc>
      </w:tr>
      <w:tr w14:paraId="100F0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55" w:type="dxa"/>
            <w:tcBorders>
              <w:left w:val="nil"/>
              <w:right w:val="single" w:color="000000" w:sz="4" w:space="0"/>
            </w:tcBorders>
            <w:vAlign w:val="top"/>
          </w:tcPr>
          <w:p w14:paraId="2739CC1F">
            <w:pPr>
              <w:spacing w:before="100" w:line="192"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0" w:type="dxa"/>
            <w:vMerge w:val="continue"/>
            <w:tcBorders>
              <w:top w:val="nil"/>
              <w:left w:val="single" w:color="000000" w:sz="4" w:space="0"/>
              <w:right w:val="single" w:color="000000" w:sz="4" w:space="0"/>
            </w:tcBorders>
            <w:vAlign w:val="top"/>
          </w:tcPr>
          <w:p w14:paraId="05C5B7C4">
            <w:pPr>
              <w:rPr>
                <w:rFonts w:ascii="Arial"/>
                <w:sz w:val="21"/>
              </w:rPr>
            </w:pPr>
          </w:p>
        </w:tc>
        <w:tc>
          <w:tcPr>
            <w:tcW w:w="1453" w:type="dxa"/>
            <w:tcBorders>
              <w:left w:val="single" w:color="000000" w:sz="4" w:space="0"/>
            </w:tcBorders>
            <w:vAlign w:val="top"/>
          </w:tcPr>
          <w:p w14:paraId="112C441E">
            <w:pPr>
              <w:spacing w:before="61" w:line="228" w:lineRule="auto"/>
              <w:ind w:left="419"/>
              <w:rPr>
                <w:rFonts w:ascii="宋体" w:hAnsi="宋体" w:eastAsia="宋体" w:cs="宋体"/>
                <w:sz w:val="20"/>
                <w:szCs w:val="20"/>
              </w:rPr>
            </w:pPr>
            <w:r>
              <w:rPr>
                <w:rFonts w:ascii="宋体" w:hAnsi="宋体" w:eastAsia="宋体" w:cs="宋体"/>
                <w:spacing w:val="5"/>
                <w:sz w:val="20"/>
                <w:szCs w:val="20"/>
              </w:rPr>
              <w:t>总硬度</w:t>
            </w:r>
          </w:p>
        </w:tc>
        <w:tc>
          <w:tcPr>
            <w:tcW w:w="1200" w:type="dxa"/>
            <w:tcBorders>
              <w:right w:val="single" w:color="000000" w:sz="4" w:space="0"/>
            </w:tcBorders>
            <w:vAlign w:val="top"/>
          </w:tcPr>
          <w:p w14:paraId="2DCDA25A">
            <w:pPr>
              <w:spacing w:before="23"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2" w:type="dxa"/>
            <w:tcBorders>
              <w:left w:val="single" w:color="000000" w:sz="4" w:space="0"/>
              <w:right w:val="single" w:color="000000" w:sz="4" w:space="0"/>
            </w:tcBorders>
            <w:vAlign w:val="top"/>
          </w:tcPr>
          <w:p w14:paraId="7DE02D85">
            <w:pPr>
              <w:spacing w:before="9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38</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.4-392.4</w:t>
            </w:r>
          </w:p>
        </w:tc>
        <w:tc>
          <w:tcPr>
            <w:tcW w:w="755" w:type="dxa"/>
            <w:tcBorders>
              <w:left w:val="single" w:color="000000" w:sz="4" w:space="0"/>
              <w:right w:val="single" w:color="000000" w:sz="4" w:space="0"/>
            </w:tcBorders>
            <w:vAlign w:val="top"/>
          </w:tcPr>
          <w:p w14:paraId="034F754B">
            <w:pPr>
              <w:spacing w:before="9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357" w:type="dxa"/>
            <w:tcBorders>
              <w:left w:val="single" w:color="000000" w:sz="4" w:space="0"/>
              <w:right w:val="single" w:color="000000" w:sz="4" w:space="0"/>
            </w:tcBorders>
            <w:vAlign w:val="top"/>
          </w:tcPr>
          <w:p w14:paraId="378262B7">
            <w:pPr>
              <w:spacing w:before="9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.85-0.87</w:t>
            </w:r>
          </w:p>
        </w:tc>
        <w:tc>
          <w:tcPr>
            <w:tcW w:w="705" w:type="dxa"/>
            <w:tcBorders>
              <w:left w:val="single" w:color="000000" w:sz="4" w:space="0"/>
            </w:tcBorders>
            <w:vAlign w:val="top"/>
          </w:tcPr>
          <w:p w14:paraId="184CCB8F">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6812310">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7B70CD1C">
      <w:pPr>
        <w:spacing w:line="14" w:lineRule="auto"/>
        <w:rPr>
          <w:rFonts w:ascii="Arial"/>
          <w:sz w:val="2"/>
        </w:rPr>
      </w:pPr>
    </w:p>
    <w:p w14:paraId="1185F8DB">
      <w:pPr>
        <w:sectPr>
          <w:type w:val="continuous"/>
          <w:pgSz w:w="11906" w:h="16839"/>
          <w:pgMar w:top="1132" w:right="1740" w:bottom="1182" w:left="1777" w:header="878" w:footer="1022" w:gutter="0"/>
          <w:cols w:equalWidth="0" w:num="1">
            <w:col w:w="8389"/>
          </w:cols>
        </w:sectPr>
      </w:pPr>
    </w:p>
    <w:p w14:paraId="722AAE1F">
      <w:r>
        <w:pict>
          <v:rect id="_x0000_s1222" o:spid="_x0000_s1222" o:spt="1" style="position:absolute;left:0pt;margin-left:90pt;margin-top:57.35pt;height:0.75pt;width:415.3pt;mso-position-horizontal-relative:page;mso-position-vertical-relative:page;z-index:251874304;mso-width-relative:page;mso-height-relative:page;" fillcolor="#000000" filled="t" stroked="f" coordsize="21600,21600" o:allowincell="f">
            <v:path/>
            <v:fill on="t" focussize="0,0"/>
            <v:stroke on="f"/>
            <v:imagedata o:title=""/>
            <o:lock v:ext="edit"/>
          </v:rect>
        </w:pict>
      </w:r>
    </w:p>
    <w:p w14:paraId="432F4947">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470"/>
        <w:gridCol w:w="1453"/>
        <w:gridCol w:w="1200"/>
        <w:gridCol w:w="1271"/>
        <w:gridCol w:w="756"/>
        <w:gridCol w:w="1357"/>
        <w:gridCol w:w="705"/>
        <w:gridCol w:w="684"/>
      </w:tblGrid>
      <w:tr w14:paraId="5D8A1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55" w:type="dxa"/>
            <w:tcBorders>
              <w:left w:val="nil"/>
              <w:right w:val="single" w:color="000000" w:sz="4" w:space="0"/>
            </w:tcBorders>
            <w:vAlign w:val="top"/>
          </w:tcPr>
          <w:p w14:paraId="5B4D78AA">
            <w:pPr>
              <w:spacing w:before="111"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70" w:type="dxa"/>
            <w:vMerge w:val="restart"/>
            <w:tcBorders>
              <w:left w:val="single" w:color="000000" w:sz="4" w:space="0"/>
              <w:bottom w:val="nil"/>
              <w:right w:val="single" w:color="000000" w:sz="4" w:space="0"/>
            </w:tcBorders>
            <w:vAlign w:val="top"/>
          </w:tcPr>
          <w:p w14:paraId="39999939">
            <w:pPr>
              <w:rPr>
                <w:rFonts w:ascii="Arial"/>
                <w:sz w:val="21"/>
              </w:rPr>
            </w:pPr>
          </w:p>
        </w:tc>
        <w:tc>
          <w:tcPr>
            <w:tcW w:w="1453" w:type="dxa"/>
            <w:tcBorders>
              <w:left w:val="single" w:color="000000" w:sz="4" w:space="0"/>
            </w:tcBorders>
            <w:vAlign w:val="top"/>
          </w:tcPr>
          <w:p w14:paraId="7B0B2685">
            <w:pPr>
              <w:spacing w:before="75" w:line="229" w:lineRule="auto"/>
              <w:ind w:left="413"/>
              <w:rPr>
                <w:rFonts w:ascii="宋体" w:hAnsi="宋体" w:eastAsia="宋体" w:cs="宋体"/>
                <w:sz w:val="20"/>
                <w:szCs w:val="20"/>
              </w:rPr>
            </w:pPr>
            <w:r>
              <w:rPr>
                <w:rFonts w:ascii="宋体" w:hAnsi="宋体" w:eastAsia="宋体" w:cs="宋体"/>
                <w:spacing w:val="7"/>
                <w:sz w:val="20"/>
                <w:szCs w:val="20"/>
              </w:rPr>
              <w:t>硫酸盐</w:t>
            </w:r>
          </w:p>
        </w:tc>
        <w:tc>
          <w:tcPr>
            <w:tcW w:w="1200" w:type="dxa"/>
            <w:tcBorders>
              <w:right w:val="single" w:color="000000" w:sz="4" w:space="0"/>
            </w:tcBorders>
            <w:vAlign w:val="top"/>
          </w:tcPr>
          <w:p w14:paraId="1AE6BAA1">
            <w:pPr>
              <w:spacing w:before="38"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3050C4B">
            <w:pPr>
              <w:spacing w:before="111" w:line="195" w:lineRule="auto"/>
              <w:ind w:left="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8. 17- 129.33</w:t>
            </w:r>
          </w:p>
        </w:tc>
        <w:tc>
          <w:tcPr>
            <w:tcW w:w="756" w:type="dxa"/>
            <w:tcBorders>
              <w:left w:val="single" w:color="000000" w:sz="4" w:space="0"/>
              <w:right w:val="single" w:color="000000" w:sz="4" w:space="0"/>
            </w:tcBorders>
            <w:vAlign w:val="top"/>
          </w:tcPr>
          <w:p w14:paraId="4F2032D8">
            <w:pPr>
              <w:spacing w:before="111"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357" w:type="dxa"/>
            <w:tcBorders>
              <w:left w:val="single" w:color="000000" w:sz="4" w:space="0"/>
              <w:right w:val="single" w:color="000000" w:sz="4" w:space="0"/>
            </w:tcBorders>
            <w:vAlign w:val="top"/>
          </w:tcPr>
          <w:p w14:paraId="2B4BAA6E">
            <w:pPr>
              <w:spacing w:before="11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.51-0.52</w:t>
            </w:r>
          </w:p>
        </w:tc>
        <w:tc>
          <w:tcPr>
            <w:tcW w:w="705" w:type="dxa"/>
            <w:tcBorders>
              <w:left w:val="single" w:color="000000" w:sz="4" w:space="0"/>
            </w:tcBorders>
            <w:vAlign w:val="top"/>
          </w:tcPr>
          <w:p w14:paraId="07A480E8">
            <w:pPr>
              <w:spacing w:before="11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D5B4E27">
            <w:pPr>
              <w:spacing w:before="11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29F1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78BBF40E">
            <w:pPr>
              <w:spacing w:before="94" w:line="192"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70" w:type="dxa"/>
            <w:vMerge w:val="continue"/>
            <w:tcBorders>
              <w:top w:val="nil"/>
              <w:left w:val="single" w:color="000000" w:sz="4" w:space="0"/>
              <w:bottom w:val="nil"/>
              <w:right w:val="single" w:color="000000" w:sz="4" w:space="0"/>
            </w:tcBorders>
            <w:vAlign w:val="top"/>
          </w:tcPr>
          <w:p w14:paraId="40E3263C">
            <w:pPr>
              <w:rPr>
                <w:rFonts w:ascii="Arial"/>
                <w:sz w:val="21"/>
              </w:rPr>
            </w:pPr>
          </w:p>
        </w:tc>
        <w:tc>
          <w:tcPr>
            <w:tcW w:w="1453" w:type="dxa"/>
            <w:tcBorders>
              <w:left w:val="single" w:color="000000" w:sz="4" w:space="0"/>
            </w:tcBorders>
            <w:vAlign w:val="top"/>
          </w:tcPr>
          <w:p w14:paraId="19D4504A">
            <w:pPr>
              <w:spacing w:before="55" w:line="229" w:lineRule="auto"/>
              <w:ind w:left="310"/>
              <w:rPr>
                <w:rFonts w:ascii="宋体" w:hAnsi="宋体" w:eastAsia="宋体" w:cs="宋体"/>
                <w:sz w:val="20"/>
                <w:szCs w:val="20"/>
              </w:rPr>
            </w:pPr>
            <w:r>
              <w:rPr>
                <w:rFonts w:ascii="宋体" w:hAnsi="宋体" w:eastAsia="宋体" w:cs="宋体"/>
                <w:spacing w:val="7"/>
                <w:sz w:val="20"/>
                <w:szCs w:val="20"/>
              </w:rPr>
              <w:t>亚硝酸</w:t>
            </w:r>
            <w:r>
              <w:rPr>
                <w:rFonts w:ascii="宋体" w:hAnsi="宋体" w:eastAsia="宋体" w:cs="宋体"/>
                <w:spacing w:val="6"/>
                <w:sz w:val="20"/>
                <w:szCs w:val="20"/>
              </w:rPr>
              <w:t>盐</w:t>
            </w:r>
          </w:p>
        </w:tc>
        <w:tc>
          <w:tcPr>
            <w:tcW w:w="1200" w:type="dxa"/>
            <w:tcBorders>
              <w:right w:val="single" w:color="000000" w:sz="4" w:space="0"/>
            </w:tcBorders>
            <w:vAlign w:val="top"/>
          </w:tcPr>
          <w:p w14:paraId="7642A361">
            <w:pPr>
              <w:spacing w:before="17"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84C4C11">
            <w:pPr>
              <w:spacing w:before="91"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0.006-0.00</w:t>
            </w:r>
            <w:r>
              <w:rPr>
                <w:rFonts w:ascii="Times New Roman" w:hAnsi="Times New Roman" w:eastAsia="Times New Roman" w:cs="Times New Roman"/>
                <w:spacing w:val="2"/>
                <w:sz w:val="20"/>
                <w:szCs w:val="20"/>
              </w:rPr>
              <w:t>8</w:t>
            </w:r>
          </w:p>
        </w:tc>
        <w:tc>
          <w:tcPr>
            <w:tcW w:w="756" w:type="dxa"/>
            <w:tcBorders>
              <w:left w:val="single" w:color="000000" w:sz="4" w:space="0"/>
              <w:right w:val="single" w:color="000000" w:sz="4" w:space="0"/>
            </w:tcBorders>
            <w:vAlign w:val="top"/>
          </w:tcPr>
          <w:p w14:paraId="38FC4A19">
            <w:pPr>
              <w:spacing w:before="91"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c>
          <w:tcPr>
            <w:tcW w:w="1357" w:type="dxa"/>
            <w:tcBorders>
              <w:left w:val="single" w:color="000000" w:sz="4" w:space="0"/>
              <w:right w:val="single" w:color="000000" w:sz="4" w:space="0"/>
            </w:tcBorders>
            <w:vAlign w:val="top"/>
          </w:tcPr>
          <w:p w14:paraId="46DC39B4">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3"/>
                <w:sz w:val="20"/>
                <w:szCs w:val="20"/>
              </w:rPr>
              <w:t>006-0.008</w:t>
            </w:r>
          </w:p>
        </w:tc>
        <w:tc>
          <w:tcPr>
            <w:tcW w:w="705" w:type="dxa"/>
            <w:tcBorders>
              <w:left w:val="single" w:color="000000" w:sz="4" w:space="0"/>
            </w:tcBorders>
            <w:vAlign w:val="top"/>
          </w:tcPr>
          <w:p w14:paraId="197AEED1">
            <w:pPr>
              <w:spacing w:before="9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8A7D6E9">
            <w:pPr>
              <w:spacing w:before="9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5F4C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10912E4B">
            <w:pPr>
              <w:spacing w:before="90"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70" w:type="dxa"/>
            <w:vMerge w:val="continue"/>
            <w:tcBorders>
              <w:top w:val="nil"/>
              <w:left w:val="single" w:color="000000" w:sz="4" w:space="0"/>
              <w:bottom w:val="nil"/>
              <w:right w:val="single" w:color="000000" w:sz="4" w:space="0"/>
            </w:tcBorders>
            <w:vAlign w:val="top"/>
          </w:tcPr>
          <w:p w14:paraId="1DEFF9A0">
            <w:pPr>
              <w:rPr>
                <w:rFonts w:ascii="Arial"/>
                <w:sz w:val="21"/>
              </w:rPr>
            </w:pPr>
          </w:p>
        </w:tc>
        <w:tc>
          <w:tcPr>
            <w:tcW w:w="1453" w:type="dxa"/>
            <w:tcBorders>
              <w:left w:val="single" w:color="000000" w:sz="4" w:space="0"/>
            </w:tcBorders>
            <w:vAlign w:val="top"/>
          </w:tcPr>
          <w:p w14:paraId="2BFC2421">
            <w:pPr>
              <w:spacing w:before="54" w:line="229" w:lineRule="auto"/>
              <w:ind w:left="417"/>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物</w:t>
            </w:r>
          </w:p>
        </w:tc>
        <w:tc>
          <w:tcPr>
            <w:tcW w:w="1200" w:type="dxa"/>
            <w:tcBorders>
              <w:right w:val="single" w:color="000000" w:sz="4" w:space="0"/>
            </w:tcBorders>
            <w:vAlign w:val="top"/>
          </w:tcPr>
          <w:p w14:paraId="4690537B">
            <w:pPr>
              <w:spacing w:before="17"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35D81E70">
            <w:pPr>
              <w:spacing w:before="9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7.50- 18.69</w:t>
            </w:r>
          </w:p>
        </w:tc>
        <w:tc>
          <w:tcPr>
            <w:tcW w:w="756" w:type="dxa"/>
            <w:tcBorders>
              <w:left w:val="single" w:color="000000" w:sz="4" w:space="0"/>
              <w:right w:val="single" w:color="000000" w:sz="4" w:space="0"/>
            </w:tcBorders>
            <w:vAlign w:val="top"/>
          </w:tcPr>
          <w:p w14:paraId="2E7D8D01">
            <w:pPr>
              <w:spacing w:before="90"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357" w:type="dxa"/>
            <w:tcBorders>
              <w:left w:val="single" w:color="000000" w:sz="4" w:space="0"/>
              <w:right w:val="single" w:color="000000" w:sz="4" w:space="0"/>
            </w:tcBorders>
            <w:vAlign w:val="top"/>
          </w:tcPr>
          <w:p w14:paraId="6EAFE279">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3"/>
                <w:sz w:val="20"/>
                <w:szCs w:val="20"/>
              </w:rPr>
              <w:t>070-0.075</w:t>
            </w:r>
          </w:p>
        </w:tc>
        <w:tc>
          <w:tcPr>
            <w:tcW w:w="705" w:type="dxa"/>
            <w:tcBorders>
              <w:left w:val="single" w:color="000000" w:sz="4" w:space="0"/>
            </w:tcBorders>
            <w:vAlign w:val="top"/>
          </w:tcPr>
          <w:p w14:paraId="2C335603">
            <w:pPr>
              <w:spacing w:before="9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0C9DC63">
            <w:pPr>
              <w:spacing w:before="9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9BB2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33CC0B1">
            <w:pPr>
              <w:spacing w:before="91" w:line="195"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70" w:type="dxa"/>
            <w:vMerge w:val="continue"/>
            <w:tcBorders>
              <w:top w:val="nil"/>
              <w:left w:val="single" w:color="000000" w:sz="4" w:space="0"/>
              <w:bottom w:val="nil"/>
              <w:right w:val="single" w:color="000000" w:sz="4" w:space="0"/>
            </w:tcBorders>
            <w:vAlign w:val="top"/>
          </w:tcPr>
          <w:p w14:paraId="6AD5E474">
            <w:pPr>
              <w:rPr>
                <w:rFonts w:ascii="Arial"/>
                <w:sz w:val="21"/>
              </w:rPr>
            </w:pPr>
          </w:p>
        </w:tc>
        <w:tc>
          <w:tcPr>
            <w:tcW w:w="1453" w:type="dxa"/>
            <w:tcBorders>
              <w:left w:val="single" w:color="000000" w:sz="4" w:space="0"/>
            </w:tcBorders>
            <w:vAlign w:val="top"/>
          </w:tcPr>
          <w:p w14:paraId="5A71248C">
            <w:pPr>
              <w:spacing w:before="55" w:line="228" w:lineRule="auto"/>
              <w:ind w:left="625"/>
              <w:rPr>
                <w:rFonts w:ascii="宋体" w:hAnsi="宋体" w:eastAsia="宋体" w:cs="宋体"/>
                <w:sz w:val="20"/>
                <w:szCs w:val="20"/>
              </w:rPr>
            </w:pPr>
            <w:r>
              <w:rPr>
                <w:rFonts w:ascii="宋体" w:hAnsi="宋体" w:eastAsia="宋体" w:cs="宋体"/>
                <w:sz w:val="20"/>
                <w:szCs w:val="20"/>
              </w:rPr>
              <w:t>钾</w:t>
            </w:r>
          </w:p>
        </w:tc>
        <w:tc>
          <w:tcPr>
            <w:tcW w:w="1200" w:type="dxa"/>
            <w:tcBorders>
              <w:right w:val="single" w:color="000000" w:sz="4" w:space="0"/>
            </w:tcBorders>
            <w:vAlign w:val="top"/>
          </w:tcPr>
          <w:p w14:paraId="59E33B4E">
            <w:pPr>
              <w:spacing w:before="17"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58B29292">
            <w:pPr>
              <w:spacing w:before="91"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w:t>
            </w:r>
            <w:r>
              <w:rPr>
                <w:rFonts w:ascii="Times New Roman" w:hAnsi="Times New Roman" w:eastAsia="Times New Roman" w:cs="Times New Roman"/>
                <w:spacing w:val="1"/>
                <w:sz w:val="20"/>
                <w:szCs w:val="20"/>
              </w:rPr>
              <w:t>2.47</w:t>
            </w:r>
          </w:p>
        </w:tc>
        <w:tc>
          <w:tcPr>
            <w:tcW w:w="756" w:type="dxa"/>
            <w:tcBorders>
              <w:left w:val="single" w:color="000000" w:sz="4" w:space="0"/>
              <w:right w:val="single" w:color="000000" w:sz="4" w:space="0"/>
            </w:tcBorders>
            <w:vAlign w:val="top"/>
          </w:tcPr>
          <w:p w14:paraId="5CB56ADC">
            <w:pPr>
              <w:spacing w:before="17"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6A759AAC">
            <w:pPr>
              <w:spacing w:before="17"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29816AE">
            <w:pPr>
              <w:spacing w:before="17"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61E47BB8">
            <w:pPr>
              <w:spacing w:before="17"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398A5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400A03CF">
            <w:pPr>
              <w:spacing w:before="90"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70" w:type="dxa"/>
            <w:vMerge w:val="continue"/>
            <w:tcBorders>
              <w:top w:val="nil"/>
              <w:left w:val="single" w:color="000000" w:sz="4" w:space="0"/>
              <w:bottom w:val="nil"/>
              <w:right w:val="single" w:color="000000" w:sz="4" w:space="0"/>
            </w:tcBorders>
            <w:vAlign w:val="top"/>
          </w:tcPr>
          <w:p w14:paraId="6AEEADE2">
            <w:pPr>
              <w:rPr>
                <w:rFonts w:ascii="Arial"/>
                <w:sz w:val="21"/>
              </w:rPr>
            </w:pPr>
          </w:p>
        </w:tc>
        <w:tc>
          <w:tcPr>
            <w:tcW w:w="1453" w:type="dxa"/>
            <w:tcBorders>
              <w:left w:val="single" w:color="000000" w:sz="4" w:space="0"/>
            </w:tcBorders>
            <w:vAlign w:val="top"/>
          </w:tcPr>
          <w:p w14:paraId="0F627A84">
            <w:pPr>
              <w:spacing w:before="54" w:line="230" w:lineRule="auto"/>
              <w:ind w:left="624"/>
              <w:rPr>
                <w:rFonts w:ascii="宋体" w:hAnsi="宋体" w:eastAsia="宋体" w:cs="宋体"/>
                <w:sz w:val="20"/>
                <w:szCs w:val="20"/>
              </w:rPr>
            </w:pPr>
            <w:r>
              <w:rPr>
                <w:rFonts w:ascii="宋体" w:hAnsi="宋体" w:eastAsia="宋体" w:cs="宋体"/>
                <w:spacing w:val="1"/>
                <w:sz w:val="20"/>
                <w:szCs w:val="20"/>
              </w:rPr>
              <w:t>钙</w:t>
            </w:r>
          </w:p>
        </w:tc>
        <w:tc>
          <w:tcPr>
            <w:tcW w:w="1200" w:type="dxa"/>
            <w:tcBorders>
              <w:right w:val="single" w:color="000000" w:sz="4" w:space="0"/>
            </w:tcBorders>
            <w:vAlign w:val="top"/>
          </w:tcPr>
          <w:p w14:paraId="5D89F3B4">
            <w:pPr>
              <w:spacing w:before="19"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9751CE6">
            <w:pPr>
              <w:spacing w:before="90"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7. 1- 121.62</w:t>
            </w:r>
          </w:p>
        </w:tc>
        <w:tc>
          <w:tcPr>
            <w:tcW w:w="756" w:type="dxa"/>
            <w:tcBorders>
              <w:left w:val="single" w:color="000000" w:sz="4" w:space="0"/>
              <w:right w:val="single" w:color="000000" w:sz="4" w:space="0"/>
            </w:tcBorders>
            <w:vAlign w:val="top"/>
          </w:tcPr>
          <w:p w14:paraId="0265689B">
            <w:pPr>
              <w:spacing w:before="90"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357" w:type="dxa"/>
            <w:tcBorders>
              <w:left w:val="single" w:color="000000" w:sz="4" w:space="0"/>
              <w:right w:val="single" w:color="000000" w:sz="4" w:space="0"/>
            </w:tcBorders>
            <w:vAlign w:val="top"/>
          </w:tcPr>
          <w:p w14:paraId="69868CFA">
            <w:pPr>
              <w:spacing w:before="9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.58-0.61</w:t>
            </w:r>
          </w:p>
        </w:tc>
        <w:tc>
          <w:tcPr>
            <w:tcW w:w="705" w:type="dxa"/>
            <w:tcBorders>
              <w:left w:val="single" w:color="000000" w:sz="4" w:space="0"/>
            </w:tcBorders>
            <w:vAlign w:val="top"/>
          </w:tcPr>
          <w:p w14:paraId="4FFBFECC">
            <w:pPr>
              <w:spacing w:before="9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EA46390">
            <w:pPr>
              <w:spacing w:before="9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3F28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20C9624D">
            <w:pPr>
              <w:spacing w:before="92"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470" w:type="dxa"/>
            <w:vMerge w:val="continue"/>
            <w:tcBorders>
              <w:top w:val="nil"/>
              <w:left w:val="single" w:color="000000" w:sz="4" w:space="0"/>
              <w:bottom w:val="nil"/>
              <w:right w:val="single" w:color="000000" w:sz="4" w:space="0"/>
            </w:tcBorders>
            <w:vAlign w:val="top"/>
          </w:tcPr>
          <w:p w14:paraId="29687029">
            <w:pPr>
              <w:rPr>
                <w:rFonts w:ascii="Arial"/>
                <w:sz w:val="21"/>
              </w:rPr>
            </w:pPr>
          </w:p>
        </w:tc>
        <w:tc>
          <w:tcPr>
            <w:tcW w:w="1453" w:type="dxa"/>
            <w:tcBorders>
              <w:left w:val="single" w:color="000000" w:sz="4" w:space="0"/>
            </w:tcBorders>
            <w:vAlign w:val="top"/>
          </w:tcPr>
          <w:p w14:paraId="0C9EE97B">
            <w:pPr>
              <w:spacing w:before="56" w:line="229" w:lineRule="auto"/>
              <w:ind w:left="624"/>
              <w:rPr>
                <w:rFonts w:ascii="宋体" w:hAnsi="宋体" w:eastAsia="宋体" w:cs="宋体"/>
                <w:sz w:val="20"/>
                <w:szCs w:val="20"/>
              </w:rPr>
            </w:pPr>
            <w:r>
              <w:rPr>
                <w:rFonts w:ascii="宋体" w:hAnsi="宋体" w:eastAsia="宋体" w:cs="宋体"/>
                <w:spacing w:val="1"/>
                <w:sz w:val="20"/>
                <w:szCs w:val="20"/>
              </w:rPr>
              <w:t>钠</w:t>
            </w:r>
          </w:p>
        </w:tc>
        <w:tc>
          <w:tcPr>
            <w:tcW w:w="1200" w:type="dxa"/>
            <w:tcBorders>
              <w:right w:val="single" w:color="000000" w:sz="4" w:space="0"/>
            </w:tcBorders>
            <w:vAlign w:val="top"/>
          </w:tcPr>
          <w:p w14:paraId="03017984">
            <w:pPr>
              <w:spacing w:before="18"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BE540C8">
            <w:pPr>
              <w:spacing w:before="9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16</w:t>
            </w:r>
            <w:r>
              <w:rPr>
                <w:rFonts w:ascii="Times New Roman" w:hAnsi="Times New Roman" w:eastAsia="Times New Roman" w:cs="Times New Roman"/>
                <w:spacing w:val="-5"/>
                <w:sz w:val="20"/>
                <w:szCs w:val="20"/>
              </w:rPr>
              <w:t>. 10- 16.26</w:t>
            </w:r>
          </w:p>
        </w:tc>
        <w:tc>
          <w:tcPr>
            <w:tcW w:w="756" w:type="dxa"/>
            <w:tcBorders>
              <w:left w:val="single" w:color="000000" w:sz="4" w:space="0"/>
              <w:right w:val="single" w:color="000000" w:sz="4" w:space="0"/>
            </w:tcBorders>
            <w:vAlign w:val="top"/>
          </w:tcPr>
          <w:p w14:paraId="2FDDA791">
            <w:pPr>
              <w:spacing w:before="18"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700D31ED">
            <w:pPr>
              <w:spacing w:before="18"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E49E996">
            <w:pPr>
              <w:spacing w:before="18"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10F2F46E">
            <w:pPr>
              <w:spacing w:before="18"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567D7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2716C132">
            <w:pPr>
              <w:spacing w:before="91"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470" w:type="dxa"/>
            <w:vMerge w:val="continue"/>
            <w:tcBorders>
              <w:top w:val="nil"/>
              <w:left w:val="single" w:color="000000" w:sz="4" w:space="0"/>
              <w:bottom w:val="nil"/>
              <w:right w:val="single" w:color="000000" w:sz="4" w:space="0"/>
            </w:tcBorders>
            <w:vAlign w:val="top"/>
          </w:tcPr>
          <w:p w14:paraId="427BF71B">
            <w:pPr>
              <w:rPr>
                <w:rFonts w:ascii="Arial"/>
                <w:sz w:val="21"/>
              </w:rPr>
            </w:pPr>
          </w:p>
        </w:tc>
        <w:tc>
          <w:tcPr>
            <w:tcW w:w="1453" w:type="dxa"/>
            <w:tcBorders>
              <w:left w:val="single" w:color="000000" w:sz="4" w:space="0"/>
            </w:tcBorders>
            <w:vAlign w:val="top"/>
          </w:tcPr>
          <w:p w14:paraId="58329D82">
            <w:pPr>
              <w:spacing w:before="55" w:line="230" w:lineRule="auto"/>
              <w:ind w:left="624"/>
              <w:rPr>
                <w:rFonts w:ascii="宋体" w:hAnsi="宋体" w:eastAsia="宋体" w:cs="宋体"/>
                <w:sz w:val="20"/>
                <w:szCs w:val="20"/>
              </w:rPr>
            </w:pPr>
            <w:r>
              <w:rPr>
                <w:rFonts w:ascii="宋体" w:hAnsi="宋体" w:eastAsia="宋体" w:cs="宋体"/>
                <w:spacing w:val="1"/>
                <w:sz w:val="20"/>
                <w:szCs w:val="20"/>
              </w:rPr>
              <w:t>镁</w:t>
            </w:r>
          </w:p>
        </w:tc>
        <w:tc>
          <w:tcPr>
            <w:tcW w:w="1200" w:type="dxa"/>
            <w:tcBorders>
              <w:right w:val="single" w:color="000000" w:sz="4" w:space="0"/>
            </w:tcBorders>
            <w:vAlign w:val="top"/>
          </w:tcPr>
          <w:p w14:paraId="33D3A38E">
            <w:pPr>
              <w:spacing w:before="18"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15DB502">
            <w:pPr>
              <w:spacing w:before="91" w:line="198"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2.59-22.67</w:t>
            </w:r>
          </w:p>
        </w:tc>
        <w:tc>
          <w:tcPr>
            <w:tcW w:w="756" w:type="dxa"/>
            <w:tcBorders>
              <w:left w:val="single" w:color="000000" w:sz="4" w:space="0"/>
              <w:right w:val="single" w:color="000000" w:sz="4" w:space="0"/>
            </w:tcBorders>
            <w:vAlign w:val="top"/>
          </w:tcPr>
          <w:p w14:paraId="122A963F">
            <w:pPr>
              <w:spacing w:before="18"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15BB73AF">
            <w:pPr>
              <w:spacing w:before="18"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612A46C">
            <w:pPr>
              <w:spacing w:before="18"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76B7B587">
            <w:pPr>
              <w:spacing w:before="18"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F023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7847D43C">
            <w:pPr>
              <w:spacing w:before="91"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470" w:type="dxa"/>
            <w:vMerge w:val="continue"/>
            <w:tcBorders>
              <w:top w:val="nil"/>
              <w:left w:val="single" w:color="000000" w:sz="4" w:space="0"/>
              <w:bottom w:val="nil"/>
              <w:right w:val="single" w:color="000000" w:sz="4" w:space="0"/>
            </w:tcBorders>
            <w:vAlign w:val="top"/>
          </w:tcPr>
          <w:p w14:paraId="3D6F883E">
            <w:pPr>
              <w:rPr>
                <w:rFonts w:ascii="Arial"/>
                <w:sz w:val="21"/>
              </w:rPr>
            </w:pPr>
          </w:p>
        </w:tc>
        <w:tc>
          <w:tcPr>
            <w:tcW w:w="1453" w:type="dxa"/>
            <w:tcBorders>
              <w:left w:val="single" w:color="000000" w:sz="4" w:space="0"/>
            </w:tcBorders>
            <w:vAlign w:val="top"/>
          </w:tcPr>
          <w:p w14:paraId="4887F773">
            <w:pPr>
              <w:spacing w:before="55" w:line="228" w:lineRule="auto"/>
              <w:ind w:left="413"/>
              <w:rPr>
                <w:rFonts w:ascii="宋体" w:hAnsi="宋体" w:eastAsia="宋体" w:cs="宋体"/>
                <w:sz w:val="20"/>
                <w:szCs w:val="20"/>
              </w:rPr>
            </w:pPr>
            <w:r>
              <w:rPr>
                <w:rFonts w:ascii="宋体" w:hAnsi="宋体" w:eastAsia="宋体" w:cs="宋体"/>
                <w:spacing w:val="7"/>
                <w:sz w:val="20"/>
                <w:szCs w:val="20"/>
              </w:rPr>
              <w:t>碳酸</w:t>
            </w:r>
            <w:r>
              <w:rPr>
                <w:rFonts w:ascii="宋体" w:hAnsi="宋体" w:eastAsia="宋体" w:cs="宋体"/>
                <w:spacing w:val="6"/>
                <w:sz w:val="20"/>
                <w:szCs w:val="20"/>
              </w:rPr>
              <w:t>根</w:t>
            </w:r>
          </w:p>
        </w:tc>
        <w:tc>
          <w:tcPr>
            <w:tcW w:w="1200" w:type="dxa"/>
            <w:tcBorders>
              <w:right w:val="single" w:color="000000" w:sz="4" w:space="0"/>
            </w:tcBorders>
            <w:vAlign w:val="top"/>
          </w:tcPr>
          <w:p w14:paraId="16A7CE6A">
            <w:pPr>
              <w:spacing w:before="17"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4DB6919F">
            <w:pPr>
              <w:spacing w:before="54" w:line="228" w:lineRule="auto"/>
              <w:ind w:left="32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56" w:type="dxa"/>
            <w:tcBorders>
              <w:left w:val="single" w:color="000000" w:sz="4" w:space="0"/>
              <w:right w:val="single" w:color="000000" w:sz="4" w:space="0"/>
            </w:tcBorders>
            <w:vAlign w:val="top"/>
          </w:tcPr>
          <w:p w14:paraId="5721ECA8">
            <w:pPr>
              <w:spacing w:before="17"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4BC195ED">
            <w:pPr>
              <w:spacing w:before="17"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5A62685">
            <w:pPr>
              <w:spacing w:before="17"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282BEA76">
            <w:pPr>
              <w:spacing w:before="17"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3EB5B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13D77433">
            <w:pPr>
              <w:spacing w:before="91"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470" w:type="dxa"/>
            <w:vMerge w:val="continue"/>
            <w:tcBorders>
              <w:top w:val="nil"/>
              <w:left w:val="single" w:color="000000" w:sz="4" w:space="0"/>
              <w:bottom w:val="nil"/>
              <w:right w:val="single" w:color="000000" w:sz="4" w:space="0"/>
            </w:tcBorders>
            <w:vAlign w:val="top"/>
          </w:tcPr>
          <w:p w14:paraId="6E0E3D8B">
            <w:pPr>
              <w:rPr>
                <w:rFonts w:ascii="Arial"/>
                <w:sz w:val="21"/>
              </w:rPr>
            </w:pPr>
          </w:p>
        </w:tc>
        <w:tc>
          <w:tcPr>
            <w:tcW w:w="1453" w:type="dxa"/>
            <w:tcBorders>
              <w:left w:val="single" w:color="000000" w:sz="4" w:space="0"/>
            </w:tcBorders>
            <w:vAlign w:val="top"/>
          </w:tcPr>
          <w:p w14:paraId="1259F0CC">
            <w:pPr>
              <w:spacing w:before="56" w:line="228" w:lineRule="auto"/>
              <w:ind w:left="308"/>
              <w:rPr>
                <w:rFonts w:ascii="宋体" w:hAnsi="宋体" w:eastAsia="宋体" w:cs="宋体"/>
                <w:sz w:val="20"/>
                <w:szCs w:val="20"/>
              </w:rPr>
            </w:pPr>
            <w:r>
              <w:rPr>
                <w:rFonts w:ascii="宋体" w:hAnsi="宋体" w:eastAsia="宋体" w:cs="宋体"/>
                <w:spacing w:val="8"/>
                <w:sz w:val="20"/>
                <w:szCs w:val="20"/>
              </w:rPr>
              <w:t>碳</w:t>
            </w:r>
            <w:r>
              <w:rPr>
                <w:rFonts w:ascii="宋体" w:hAnsi="宋体" w:eastAsia="宋体" w:cs="宋体"/>
                <w:spacing w:val="7"/>
                <w:sz w:val="20"/>
                <w:szCs w:val="20"/>
              </w:rPr>
              <w:t>酸氢根</w:t>
            </w:r>
          </w:p>
        </w:tc>
        <w:tc>
          <w:tcPr>
            <w:tcW w:w="1200" w:type="dxa"/>
            <w:tcBorders>
              <w:right w:val="single" w:color="000000" w:sz="4" w:space="0"/>
            </w:tcBorders>
            <w:vAlign w:val="top"/>
          </w:tcPr>
          <w:p w14:paraId="4C3BE767">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0CC08E98">
            <w:pPr>
              <w:spacing w:before="91"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3"/>
                <w:sz w:val="20"/>
                <w:szCs w:val="20"/>
              </w:rPr>
              <w:t>3.9-68.4</w:t>
            </w:r>
          </w:p>
        </w:tc>
        <w:tc>
          <w:tcPr>
            <w:tcW w:w="756" w:type="dxa"/>
            <w:tcBorders>
              <w:left w:val="single" w:color="000000" w:sz="4" w:space="0"/>
              <w:right w:val="single" w:color="000000" w:sz="4" w:space="0"/>
            </w:tcBorders>
            <w:vAlign w:val="top"/>
          </w:tcPr>
          <w:p w14:paraId="641DFEC4">
            <w:pPr>
              <w:spacing w:before="18"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1C6177B3">
            <w:pPr>
              <w:spacing w:before="18"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D157700">
            <w:pPr>
              <w:spacing w:before="18"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60413042">
            <w:pPr>
              <w:spacing w:before="18"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59024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211BE8B8">
            <w:pPr>
              <w:spacing w:before="9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70" w:type="dxa"/>
            <w:vMerge w:val="continue"/>
            <w:tcBorders>
              <w:top w:val="nil"/>
              <w:left w:val="single" w:color="000000" w:sz="4" w:space="0"/>
              <w:bottom w:val="nil"/>
              <w:right w:val="single" w:color="000000" w:sz="4" w:space="0"/>
            </w:tcBorders>
            <w:vAlign w:val="top"/>
          </w:tcPr>
          <w:p w14:paraId="5B9728D6">
            <w:pPr>
              <w:rPr>
                <w:rFonts w:ascii="Arial"/>
                <w:sz w:val="21"/>
              </w:rPr>
            </w:pPr>
          </w:p>
        </w:tc>
        <w:tc>
          <w:tcPr>
            <w:tcW w:w="1453" w:type="dxa"/>
            <w:tcBorders>
              <w:left w:val="single" w:color="000000" w:sz="4" w:space="0"/>
            </w:tcBorders>
            <w:vAlign w:val="top"/>
          </w:tcPr>
          <w:p w14:paraId="564704C4">
            <w:pPr>
              <w:spacing w:before="57" w:line="228" w:lineRule="auto"/>
              <w:ind w:left="312"/>
              <w:rPr>
                <w:rFonts w:ascii="宋体" w:hAnsi="宋体" w:eastAsia="宋体" w:cs="宋体"/>
                <w:sz w:val="20"/>
                <w:szCs w:val="20"/>
              </w:rPr>
            </w:pPr>
            <w:r>
              <w:rPr>
                <w:rFonts w:ascii="宋体" w:hAnsi="宋体" w:eastAsia="宋体" w:cs="宋体"/>
                <w:spacing w:val="7"/>
                <w:sz w:val="20"/>
                <w:szCs w:val="20"/>
              </w:rPr>
              <w:t>菌</w:t>
            </w:r>
            <w:r>
              <w:rPr>
                <w:rFonts w:ascii="宋体" w:hAnsi="宋体" w:eastAsia="宋体" w:cs="宋体"/>
                <w:spacing w:val="6"/>
                <w:sz w:val="20"/>
                <w:szCs w:val="20"/>
              </w:rPr>
              <w:t>落总数</w:t>
            </w:r>
          </w:p>
        </w:tc>
        <w:tc>
          <w:tcPr>
            <w:tcW w:w="1200" w:type="dxa"/>
            <w:tcBorders>
              <w:right w:val="single" w:color="000000" w:sz="4" w:space="0"/>
            </w:tcBorders>
            <w:vAlign w:val="top"/>
          </w:tcPr>
          <w:p w14:paraId="0EA51A61">
            <w:pPr>
              <w:spacing w:before="19" w:line="281" w:lineRule="exact"/>
              <w:ind w:left="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CFU</w:t>
            </w:r>
            <w:r>
              <w:rPr>
                <w:rFonts w:ascii="Times New Roman" w:hAnsi="Times New Roman" w:eastAsia="Times New Roman" w:cs="Times New Roman"/>
                <w:spacing w:val="26"/>
                <w:position w:val="2"/>
                <w:sz w:val="20"/>
                <w:szCs w:val="20"/>
              </w:rPr>
              <w:t>/</w:t>
            </w:r>
            <w:r>
              <w:rPr>
                <w:rFonts w:ascii="Times New Roman" w:hAnsi="Times New Roman" w:eastAsia="Times New Roman" w:cs="Times New Roman"/>
                <w:position w:val="2"/>
                <w:sz w:val="20"/>
                <w:szCs w:val="20"/>
              </w:rPr>
              <w:t>mL</w:t>
            </w:r>
          </w:p>
        </w:tc>
        <w:tc>
          <w:tcPr>
            <w:tcW w:w="1271" w:type="dxa"/>
            <w:tcBorders>
              <w:left w:val="single" w:color="000000" w:sz="4" w:space="0"/>
              <w:right w:val="single" w:color="000000" w:sz="4" w:space="0"/>
            </w:tcBorders>
            <w:vAlign w:val="top"/>
          </w:tcPr>
          <w:p w14:paraId="1AB1CAEA">
            <w:pPr>
              <w:spacing w:before="93"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5-33</w:t>
            </w:r>
          </w:p>
        </w:tc>
        <w:tc>
          <w:tcPr>
            <w:tcW w:w="756" w:type="dxa"/>
            <w:tcBorders>
              <w:left w:val="single" w:color="000000" w:sz="4" w:space="0"/>
              <w:right w:val="single" w:color="000000" w:sz="4" w:space="0"/>
            </w:tcBorders>
            <w:vAlign w:val="top"/>
          </w:tcPr>
          <w:p w14:paraId="3A1245AC">
            <w:pPr>
              <w:spacing w:before="9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57" w:type="dxa"/>
            <w:tcBorders>
              <w:left w:val="single" w:color="000000" w:sz="4" w:space="0"/>
              <w:right w:val="single" w:color="000000" w:sz="4" w:space="0"/>
            </w:tcBorders>
            <w:vAlign w:val="top"/>
          </w:tcPr>
          <w:p w14:paraId="0DC41B82">
            <w:pPr>
              <w:spacing w:before="9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.25-0.33</w:t>
            </w:r>
          </w:p>
        </w:tc>
        <w:tc>
          <w:tcPr>
            <w:tcW w:w="705" w:type="dxa"/>
            <w:tcBorders>
              <w:left w:val="single" w:color="000000" w:sz="4" w:space="0"/>
            </w:tcBorders>
            <w:vAlign w:val="top"/>
          </w:tcPr>
          <w:p w14:paraId="33DB6146">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F9446BE">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1F43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0185F623">
            <w:pPr>
              <w:spacing w:before="9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470" w:type="dxa"/>
            <w:vMerge w:val="continue"/>
            <w:tcBorders>
              <w:top w:val="nil"/>
              <w:left w:val="single" w:color="000000" w:sz="4" w:space="0"/>
              <w:bottom w:val="nil"/>
              <w:right w:val="single" w:color="000000" w:sz="4" w:space="0"/>
            </w:tcBorders>
            <w:vAlign w:val="top"/>
          </w:tcPr>
          <w:p w14:paraId="3FE0028A">
            <w:pPr>
              <w:rPr>
                <w:rFonts w:ascii="Arial"/>
                <w:sz w:val="21"/>
              </w:rPr>
            </w:pPr>
          </w:p>
        </w:tc>
        <w:tc>
          <w:tcPr>
            <w:tcW w:w="1453" w:type="dxa"/>
            <w:tcBorders>
              <w:left w:val="single" w:color="000000" w:sz="4" w:space="0"/>
            </w:tcBorders>
            <w:vAlign w:val="top"/>
          </w:tcPr>
          <w:p w14:paraId="4F628A50">
            <w:pPr>
              <w:spacing w:before="56" w:line="228" w:lineRule="auto"/>
              <w:ind w:left="210"/>
              <w:rPr>
                <w:rFonts w:ascii="宋体" w:hAnsi="宋体" w:eastAsia="宋体" w:cs="宋体"/>
                <w:sz w:val="20"/>
                <w:szCs w:val="20"/>
              </w:rPr>
            </w:pPr>
            <w:r>
              <w:rPr>
                <w:rFonts w:ascii="宋体" w:hAnsi="宋体" w:eastAsia="宋体" w:cs="宋体"/>
                <w:spacing w:val="7"/>
                <w:sz w:val="20"/>
                <w:szCs w:val="20"/>
              </w:rPr>
              <w:t>总大肠菌群</w:t>
            </w:r>
          </w:p>
        </w:tc>
        <w:tc>
          <w:tcPr>
            <w:tcW w:w="1200" w:type="dxa"/>
            <w:tcBorders>
              <w:right w:val="single" w:color="000000" w:sz="4" w:space="0"/>
            </w:tcBorders>
            <w:vAlign w:val="top"/>
          </w:tcPr>
          <w:p w14:paraId="565CA843">
            <w:pPr>
              <w:spacing w:before="19" w:line="281" w:lineRule="exact"/>
              <w:ind w:left="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MPN</w:t>
            </w:r>
            <w:r>
              <w:rPr>
                <w:rFonts w:ascii="Times New Roman" w:hAnsi="Times New Roman" w:eastAsia="Times New Roman" w:cs="Times New Roman"/>
                <w:spacing w:val="-1"/>
                <w:position w:val="2"/>
                <w:sz w:val="20"/>
                <w:szCs w:val="20"/>
              </w:rPr>
              <w:t xml:space="preserve">/ </w:t>
            </w:r>
            <w:r>
              <w:rPr>
                <w:rFonts w:ascii="Times New Roman" w:hAnsi="Times New Roman" w:eastAsia="Times New Roman" w:cs="Times New Roman"/>
                <w:position w:val="2"/>
                <w:sz w:val="20"/>
                <w:szCs w:val="20"/>
              </w:rPr>
              <w:t>100mL</w:t>
            </w:r>
          </w:p>
        </w:tc>
        <w:tc>
          <w:tcPr>
            <w:tcW w:w="1271" w:type="dxa"/>
            <w:tcBorders>
              <w:left w:val="single" w:color="000000" w:sz="4" w:space="0"/>
              <w:right w:val="single" w:color="000000" w:sz="4" w:space="0"/>
            </w:tcBorders>
            <w:vAlign w:val="top"/>
          </w:tcPr>
          <w:p w14:paraId="69EEC577">
            <w:pPr>
              <w:spacing w:before="56" w:line="228" w:lineRule="auto"/>
              <w:ind w:left="32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56" w:type="dxa"/>
            <w:tcBorders>
              <w:left w:val="single" w:color="000000" w:sz="4" w:space="0"/>
              <w:right w:val="single" w:color="000000" w:sz="4" w:space="0"/>
            </w:tcBorders>
            <w:vAlign w:val="top"/>
          </w:tcPr>
          <w:p w14:paraId="60D9BDCF">
            <w:pPr>
              <w:spacing w:before="9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1357" w:type="dxa"/>
            <w:tcBorders>
              <w:left w:val="single" w:color="000000" w:sz="4" w:space="0"/>
              <w:right w:val="single" w:color="000000" w:sz="4" w:space="0"/>
            </w:tcBorders>
            <w:vAlign w:val="top"/>
          </w:tcPr>
          <w:p w14:paraId="3FED80C4">
            <w:pPr>
              <w:spacing w:before="19"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FDD4254">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A7914D1">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06AA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40F47CD">
            <w:pPr>
              <w:spacing w:before="9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470" w:type="dxa"/>
            <w:vMerge w:val="continue"/>
            <w:tcBorders>
              <w:top w:val="nil"/>
              <w:left w:val="single" w:color="000000" w:sz="4" w:space="0"/>
              <w:right w:val="single" w:color="000000" w:sz="4" w:space="0"/>
            </w:tcBorders>
            <w:vAlign w:val="top"/>
          </w:tcPr>
          <w:p w14:paraId="3FF9545F">
            <w:pPr>
              <w:rPr>
                <w:rFonts w:ascii="Arial"/>
                <w:sz w:val="21"/>
              </w:rPr>
            </w:pPr>
          </w:p>
        </w:tc>
        <w:tc>
          <w:tcPr>
            <w:tcW w:w="1453" w:type="dxa"/>
            <w:tcBorders>
              <w:left w:val="single" w:color="000000" w:sz="4" w:space="0"/>
            </w:tcBorders>
            <w:vAlign w:val="top"/>
          </w:tcPr>
          <w:p w14:paraId="122DC4A4">
            <w:pPr>
              <w:spacing w:before="56" w:line="229" w:lineRule="auto"/>
              <w:ind w:left="415"/>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酸盐</w:t>
            </w:r>
          </w:p>
        </w:tc>
        <w:tc>
          <w:tcPr>
            <w:tcW w:w="1200" w:type="dxa"/>
            <w:tcBorders>
              <w:right w:val="single" w:color="000000" w:sz="4" w:space="0"/>
            </w:tcBorders>
            <w:vAlign w:val="top"/>
          </w:tcPr>
          <w:p w14:paraId="7BFBA9A5">
            <w:pPr>
              <w:spacing w:before="18"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66ADA06B">
            <w:pPr>
              <w:spacing w:before="9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.35-20.05</w:t>
            </w:r>
          </w:p>
        </w:tc>
        <w:tc>
          <w:tcPr>
            <w:tcW w:w="756" w:type="dxa"/>
            <w:tcBorders>
              <w:left w:val="single" w:color="000000" w:sz="4" w:space="0"/>
              <w:right w:val="single" w:color="000000" w:sz="4" w:space="0"/>
            </w:tcBorders>
            <w:vAlign w:val="top"/>
          </w:tcPr>
          <w:p w14:paraId="7CB0D661">
            <w:pPr>
              <w:spacing w:before="9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0.0</w:t>
            </w:r>
          </w:p>
        </w:tc>
        <w:tc>
          <w:tcPr>
            <w:tcW w:w="1357" w:type="dxa"/>
            <w:tcBorders>
              <w:left w:val="single" w:color="000000" w:sz="4" w:space="0"/>
              <w:right w:val="single" w:color="000000" w:sz="4" w:space="0"/>
            </w:tcBorders>
            <w:vAlign w:val="top"/>
          </w:tcPr>
          <w:p w14:paraId="1DEEDCFC">
            <w:pPr>
              <w:spacing w:before="9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0.968- 1.00</w:t>
            </w:r>
            <w:r>
              <w:rPr>
                <w:rFonts w:ascii="Times New Roman" w:hAnsi="Times New Roman" w:eastAsia="Times New Roman" w:cs="Times New Roman"/>
                <w:sz w:val="20"/>
                <w:szCs w:val="20"/>
              </w:rPr>
              <w:t>2</w:t>
            </w:r>
          </w:p>
        </w:tc>
        <w:tc>
          <w:tcPr>
            <w:tcW w:w="705" w:type="dxa"/>
            <w:tcBorders>
              <w:left w:val="single" w:color="000000" w:sz="4" w:space="0"/>
            </w:tcBorders>
            <w:vAlign w:val="top"/>
          </w:tcPr>
          <w:p w14:paraId="5BD3C38C">
            <w:pPr>
              <w:spacing w:before="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84" w:type="dxa"/>
            <w:tcBorders>
              <w:right w:val="nil"/>
            </w:tcBorders>
            <w:vAlign w:val="top"/>
          </w:tcPr>
          <w:p w14:paraId="62F633AF">
            <w:pPr>
              <w:spacing w:before="9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2</w:t>
            </w:r>
          </w:p>
        </w:tc>
      </w:tr>
      <w:tr w14:paraId="3CCB8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06792398">
            <w:pPr>
              <w:spacing w:before="91"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70" w:type="dxa"/>
            <w:vMerge w:val="restart"/>
            <w:tcBorders>
              <w:left w:val="single" w:color="000000" w:sz="4" w:space="0"/>
              <w:bottom w:val="nil"/>
              <w:right w:val="single" w:color="000000" w:sz="4" w:space="0"/>
            </w:tcBorders>
            <w:vAlign w:val="top"/>
          </w:tcPr>
          <w:p w14:paraId="662EFF53">
            <w:pPr>
              <w:spacing w:line="266" w:lineRule="auto"/>
              <w:rPr>
                <w:rFonts w:ascii="Arial"/>
                <w:sz w:val="21"/>
              </w:rPr>
            </w:pPr>
          </w:p>
          <w:p w14:paraId="1FE633A1">
            <w:pPr>
              <w:spacing w:line="266" w:lineRule="auto"/>
              <w:rPr>
                <w:rFonts w:ascii="Arial"/>
                <w:sz w:val="21"/>
              </w:rPr>
            </w:pPr>
          </w:p>
          <w:p w14:paraId="7A05FB1C">
            <w:pPr>
              <w:spacing w:line="266" w:lineRule="auto"/>
              <w:rPr>
                <w:rFonts w:ascii="Arial"/>
                <w:sz w:val="21"/>
              </w:rPr>
            </w:pPr>
          </w:p>
          <w:p w14:paraId="1D88DA56">
            <w:pPr>
              <w:spacing w:line="266" w:lineRule="auto"/>
              <w:rPr>
                <w:rFonts w:ascii="Arial"/>
                <w:sz w:val="21"/>
              </w:rPr>
            </w:pPr>
          </w:p>
          <w:p w14:paraId="7EC13943">
            <w:pPr>
              <w:spacing w:line="266" w:lineRule="auto"/>
              <w:rPr>
                <w:rFonts w:ascii="Arial"/>
                <w:sz w:val="21"/>
              </w:rPr>
            </w:pPr>
          </w:p>
          <w:p w14:paraId="0CE213BD">
            <w:pPr>
              <w:spacing w:line="266" w:lineRule="auto"/>
              <w:rPr>
                <w:rFonts w:ascii="Arial"/>
                <w:sz w:val="21"/>
              </w:rPr>
            </w:pPr>
          </w:p>
          <w:p w14:paraId="677D116A">
            <w:pPr>
              <w:spacing w:line="267" w:lineRule="auto"/>
              <w:rPr>
                <w:rFonts w:ascii="Arial"/>
                <w:sz w:val="21"/>
              </w:rPr>
            </w:pPr>
          </w:p>
          <w:p w14:paraId="1ED55351">
            <w:pPr>
              <w:spacing w:line="267" w:lineRule="auto"/>
              <w:rPr>
                <w:rFonts w:ascii="Arial"/>
                <w:sz w:val="21"/>
              </w:rPr>
            </w:pPr>
          </w:p>
          <w:p w14:paraId="2DFA2A24">
            <w:pPr>
              <w:spacing w:line="267" w:lineRule="auto"/>
              <w:rPr>
                <w:rFonts w:ascii="Arial"/>
                <w:sz w:val="21"/>
              </w:rPr>
            </w:pPr>
          </w:p>
          <w:p w14:paraId="4F5AD70D">
            <w:pPr>
              <w:spacing w:before="65" w:line="304" w:lineRule="auto"/>
              <w:ind w:left="26" w:right="20" w:hanging="3"/>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榆</w:t>
            </w:r>
            <w:r>
              <w:rPr>
                <w:rFonts w:ascii="宋体" w:hAnsi="宋体" w:eastAsia="宋体" w:cs="宋体"/>
                <w:sz w:val="20"/>
                <w:szCs w:val="20"/>
              </w:rPr>
              <w:t xml:space="preserve"> </w:t>
            </w:r>
            <w:r>
              <w:rPr>
                <w:rFonts w:ascii="宋体" w:hAnsi="宋体" w:eastAsia="宋体" w:cs="宋体"/>
                <w:spacing w:val="5"/>
                <w:sz w:val="20"/>
                <w:szCs w:val="20"/>
              </w:rPr>
              <w:t>树</w:t>
            </w:r>
            <w:r>
              <w:rPr>
                <w:rFonts w:ascii="宋体" w:hAnsi="宋体" w:eastAsia="宋体" w:cs="宋体"/>
                <w:spacing w:val="4"/>
                <w:sz w:val="20"/>
                <w:szCs w:val="20"/>
              </w:rPr>
              <w:t>底</w:t>
            </w:r>
          </w:p>
        </w:tc>
        <w:tc>
          <w:tcPr>
            <w:tcW w:w="1453" w:type="dxa"/>
            <w:tcBorders>
              <w:left w:val="single" w:color="000000" w:sz="4" w:space="0"/>
            </w:tcBorders>
            <w:vAlign w:val="top"/>
          </w:tcPr>
          <w:p w14:paraId="00DD0C6C">
            <w:pPr>
              <w:spacing w:before="94" w:line="194"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00" w:type="dxa"/>
            <w:tcBorders>
              <w:right w:val="single" w:color="000000" w:sz="4" w:space="0"/>
            </w:tcBorders>
            <w:vAlign w:val="top"/>
          </w:tcPr>
          <w:p w14:paraId="1F909BDE">
            <w:pPr>
              <w:spacing w:before="56" w:line="228" w:lineRule="auto"/>
              <w:ind w:left="29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1271" w:type="dxa"/>
            <w:tcBorders>
              <w:left w:val="single" w:color="000000" w:sz="4" w:space="0"/>
              <w:right w:val="single" w:color="000000" w:sz="4" w:space="0"/>
            </w:tcBorders>
            <w:vAlign w:val="top"/>
          </w:tcPr>
          <w:p w14:paraId="6F017276">
            <w:pPr>
              <w:spacing w:before="9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.80-7.95</w:t>
            </w:r>
          </w:p>
        </w:tc>
        <w:tc>
          <w:tcPr>
            <w:tcW w:w="756" w:type="dxa"/>
            <w:tcBorders>
              <w:left w:val="single" w:color="000000" w:sz="4" w:space="0"/>
              <w:right w:val="single" w:color="000000" w:sz="4" w:space="0"/>
            </w:tcBorders>
            <w:vAlign w:val="top"/>
          </w:tcPr>
          <w:p w14:paraId="129AD4BA">
            <w:pPr>
              <w:spacing w:before="91" w:line="195" w:lineRule="auto"/>
              <w:ind w:left="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.5-8.5</w:t>
            </w:r>
          </w:p>
        </w:tc>
        <w:tc>
          <w:tcPr>
            <w:tcW w:w="1357" w:type="dxa"/>
            <w:tcBorders>
              <w:left w:val="single" w:color="000000" w:sz="4" w:space="0"/>
              <w:right w:val="single" w:color="000000" w:sz="4" w:space="0"/>
            </w:tcBorders>
            <w:vAlign w:val="top"/>
          </w:tcPr>
          <w:p w14:paraId="1C9EFF57">
            <w:pPr>
              <w:spacing w:before="9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.53-0.63</w:t>
            </w:r>
          </w:p>
        </w:tc>
        <w:tc>
          <w:tcPr>
            <w:tcW w:w="705" w:type="dxa"/>
            <w:tcBorders>
              <w:left w:val="single" w:color="000000" w:sz="4" w:space="0"/>
            </w:tcBorders>
            <w:vAlign w:val="top"/>
          </w:tcPr>
          <w:p w14:paraId="3573A758">
            <w:pPr>
              <w:spacing w:before="9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384DF36">
            <w:pPr>
              <w:spacing w:before="9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871E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0894CF09">
            <w:pPr>
              <w:spacing w:before="94"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0" w:type="dxa"/>
            <w:vMerge w:val="continue"/>
            <w:tcBorders>
              <w:top w:val="nil"/>
              <w:left w:val="single" w:color="000000" w:sz="4" w:space="0"/>
              <w:bottom w:val="nil"/>
              <w:right w:val="single" w:color="000000" w:sz="4" w:space="0"/>
            </w:tcBorders>
            <w:vAlign w:val="top"/>
          </w:tcPr>
          <w:p w14:paraId="7ED151F6">
            <w:pPr>
              <w:rPr>
                <w:rFonts w:ascii="Arial"/>
                <w:sz w:val="21"/>
              </w:rPr>
            </w:pPr>
          </w:p>
        </w:tc>
        <w:tc>
          <w:tcPr>
            <w:tcW w:w="1453" w:type="dxa"/>
            <w:tcBorders>
              <w:left w:val="single" w:color="000000" w:sz="4" w:space="0"/>
            </w:tcBorders>
            <w:vAlign w:val="top"/>
          </w:tcPr>
          <w:p w14:paraId="24455FC2">
            <w:pPr>
              <w:spacing w:before="58" w:line="228" w:lineRule="auto"/>
              <w:ind w:left="415"/>
              <w:rPr>
                <w:rFonts w:ascii="宋体" w:hAnsi="宋体" w:eastAsia="宋体" w:cs="宋体"/>
                <w:sz w:val="20"/>
                <w:szCs w:val="20"/>
              </w:rPr>
            </w:pPr>
            <w:r>
              <w:rPr>
                <w:rFonts w:ascii="宋体" w:hAnsi="宋体" w:eastAsia="宋体" w:cs="宋体"/>
                <w:spacing w:val="7"/>
                <w:sz w:val="20"/>
                <w:szCs w:val="20"/>
              </w:rPr>
              <w:t>浑</w:t>
            </w:r>
            <w:r>
              <w:rPr>
                <w:rFonts w:ascii="宋体" w:hAnsi="宋体" w:eastAsia="宋体" w:cs="宋体"/>
                <w:spacing w:val="6"/>
                <w:sz w:val="20"/>
                <w:szCs w:val="20"/>
              </w:rPr>
              <w:t>浊度</w:t>
            </w:r>
          </w:p>
        </w:tc>
        <w:tc>
          <w:tcPr>
            <w:tcW w:w="1200" w:type="dxa"/>
            <w:tcBorders>
              <w:right w:val="single" w:color="000000" w:sz="4" w:space="0"/>
            </w:tcBorders>
            <w:vAlign w:val="top"/>
          </w:tcPr>
          <w:p w14:paraId="4B03E23B">
            <w:pPr>
              <w:spacing w:before="97" w:line="192"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NT</w:t>
            </w:r>
            <w:r>
              <w:rPr>
                <w:rFonts w:ascii="Times New Roman" w:hAnsi="Times New Roman" w:eastAsia="Times New Roman" w:cs="Times New Roman"/>
                <w:spacing w:val="6"/>
                <w:sz w:val="20"/>
                <w:szCs w:val="20"/>
              </w:rPr>
              <w:t>U</w:t>
            </w:r>
          </w:p>
        </w:tc>
        <w:tc>
          <w:tcPr>
            <w:tcW w:w="1271" w:type="dxa"/>
            <w:tcBorders>
              <w:left w:val="single" w:color="000000" w:sz="4" w:space="0"/>
              <w:right w:val="single" w:color="000000" w:sz="4" w:space="0"/>
            </w:tcBorders>
            <w:vAlign w:val="top"/>
          </w:tcPr>
          <w:p w14:paraId="177B3F93">
            <w:pPr>
              <w:spacing w:before="94" w:line="198"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756" w:type="dxa"/>
            <w:tcBorders>
              <w:left w:val="single" w:color="000000" w:sz="4" w:space="0"/>
              <w:right w:val="single" w:color="000000" w:sz="4" w:space="0"/>
            </w:tcBorders>
            <w:vAlign w:val="top"/>
          </w:tcPr>
          <w:p w14:paraId="1AF0E7B4">
            <w:pPr>
              <w:spacing w:before="94"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7" w:type="dxa"/>
            <w:tcBorders>
              <w:left w:val="single" w:color="000000" w:sz="4" w:space="0"/>
              <w:right w:val="single" w:color="000000" w:sz="4" w:space="0"/>
            </w:tcBorders>
            <w:vAlign w:val="top"/>
          </w:tcPr>
          <w:p w14:paraId="1B726D8E">
            <w:pPr>
              <w:spacing w:before="94"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.67</w:t>
            </w:r>
          </w:p>
        </w:tc>
        <w:tc>
          <w:tcPr>
            <w:tcW w:w="705" w:type="dxa"/>
            <w:tcBorders>
              <w:left w:val="single" w:color="000000" w:sz="4" w:space="0"/>
            </w:tcBorders>
            <w:vAlign w:val="top"/>
          </w:tcPr>
          <w:p w14:paraId="4825D9CD">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F7F3D04">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64F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3D860B7">
            <w:pPr>
              <w:spacing w:before="9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70" w:type="dxa"/>
            <w:vMerge w:val="continue"/>
            <w:tcBorders>
              <w:top w:val="nil"/>
              <w:left w:val="single" w:color="000000" w:sz="4" w:space="0"/>
              <w:bottom w:val="nil"/>
              <w:right w:val="single" w:color="000000" w:sz="4" w:space="0"/>
            </w:tcBorders>
            <w:vAlign w:val="top"/>
          </w:tcPr>
          <w:p w14:paraId="7356E6A0">
            <w:pPr>
              <w:rPr>
                <w:rFonts w:ascii="Arial"/>
                <w:sz w:val="21"/>
              </w:rPr>
            </w:pPr>
          </w:p>
        </w:tc>
        <w:tc>
          <w:tcPr>
            <w:tcW w:w="1453" w:type="dxa"/>
            <w:tcBorders>
              <w:left w:val="single" w:color="000000" w:sz="4" w:space="0"/>
            </w:tcBorders>
            <w:vAlign w:val="top"/>
          </w:tcPr>
          <w:p w14:paraId="15720564">
            <w:pPr>
              <w:spacing w:before="57" w:line="227" w:lineRule="auto"/>
              <w:ind w:left="414"/>
              <w:rPr>
                <w:rFonts w:ascii="宋体" w:hAnsi="宋体" w:eastAsia="宋体" w:cs="宋体"/>
                <w:sz w:val="20"/>
                <w:szCs w:val="20"/>
              </w:rPr>
            </w:pPr>
            <w:r>
              <w:rPr>
                <w:rFonts w:ascii="宋体" w:hAnsi="宋体" w:eastAsia="宋体" w:cs="宋体"/>
                <w:spacing w:val="7"/>
                <w:sz w:val="20"/>
                <w:szCs w:val="20"/>
              </w:rPr>
              <w:t>耗</w:t>
            </w:r>
            <w:r>
              <w:rPr>
                <w:rFonts w:ascii="宋体" w:hAnsi="宋体" w:eastAsia="宋体" w:cs="宋体"/>
                <w:spacing w:val="6"/>
                <w:sz w:val="20"/>
                <w:szCs w:val="20"/>
              </w:rPr>
              <w:t>氧量</w:t>
            </w:r>
          </w:p>
        </w:tc>
        <w:tc>
          <w:tcPr>
            <w:tcW w:w="1200" w:type="dxa"/>
            <w:tcBorders>
              <w:right w:val="single" w:color="000000" w:sz="4" w:space="0"/>
            </w:tcBorders>
            <w:vAlign w:val="top"/>
          </w:tcPr>
          <w:p w14:paraId="1338176E">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7D7C6C8B">
            <w:pPr>
              <w:spacing w:before="93"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21- 1.25</w:t>
            </w:r>
          </w:p>
        </w:tc>
        <w:tc>
          <w:tcPr>
            <w:tcW w:w="756" w:type="dxa"/>
            <w:tcBorders>
              <w:left w:val="single" w:color="000000" w:sz="4" w:space="0"/>
              <w:right w:val="single" w:color="000000" w:sz="4" w:space="0"/>
            </w:tcBorders>
            <w:vAlign w:val="top"/>
          </w:tcPr>
          <w:p w14:paraId="43BB9A7A">
            <w:pPr>
              <w:spacing w:before="9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1357" w:type="dxa"/>
            <w:tcBorders>
              <w:left w:val="single" w:color="000000" w:sz="4" w:space="0"/>
              <w:right w:val="single" w:color="000000" w:sz="4" w:space="0"/>
            </w:tcBorders>
            <w:vAlign w:val="top"/>
          </w:tcPr>
          <w:p w14:paraId="3C6F7AA4">
            <w:pPr>
              <w:spacing w:before="9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.40-0.42</w:t>
            </w:r>
          </w:p>
        </w:tc>
        <w:tc>
          <w:tcPr>
            <w:tcW w:w="705" w:type="dxa"/>
            <w:tcBorders>
              <w:left w:val="single" w:color="000000" w:sz="4" w:space="0"/>
            </w:tcBorders>
            <w:vAlign w:val="top"/>
          </w:tcPr>
          <w:p w14:paraId="797DAB9E">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97B5792">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488B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07BB4EDA">
            <w:pPr>
              <w:spacing w:before="93"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70" w:type="dxa"/>
            <w:vMerge w:val="continue"/>
            <w:tcBorders>
              <w:top w:val="nil"/>
              <w:left w:val="single" w:color="000000" w:sz="4" w:space="0"/>
              <w:bottom w:val="nil"/>
              <w:right w:val="single" w:color="000000" w:sz="4" w:space="0"/>
            </w:tcBorders>
            <w:vAlign w:val="top"/>
          </w:tcPr>
          <w:p w14:paraId="78E2E860">
            <w:pPr>
              <w:rPr>
                <w:rFonts w:ascii="Arial"/>
                <w:sz w:val="21"/>
              </w:rPr>
            </w:pPr>
          </w:p>
        </w:tc>
        <w:tc>
          <w:tcPr>
            <w:tcW w:w="1453" w:type="dxa"/>
            <w:tcBorders>
              <w:left w:val="single" w:color="000000" w:sz="4" w:space="0"/>
            </w:tcBorders>
            <w:vAlign w:val="top"/>
          </w:tcPr>
          <w:p w14:paraId="13AA0244">
            <w:pPr>
              <w:spacing w:before="57" w:line="227" w:lineRule="auto"/>
              <w:ind w:left="519"/>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1200" w:type="dxa"/>
            <w:tcBorders>
              <w:right w:val="single" w:color="000000" w:sz="4" w:space="0"/>
            </w:tcBorders>
            <w:vAlign w:val="top"/>
          </w:tcPr>
          <w:p w14:paraId="3B594E10">
            <w:pPr>
              <w:spacing w:before="19"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4A79FEC7">
            <w:pPr>
              <w:spacing w:before="93"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41-0.43</w:t>
            </w:r>
          </w:p>
        </w:tc>
        <w:tc>
          <w:tcPr>
            <w:tcW w:w="756" w:type="dxa"/>
            <w:tcBorders>
              <w:left w:val="single" w:color="000000" w:sz="4" w:space="0"/>
              <w:right w:val="single" w:color="000000" w:sz="4" w:space="0"/>
            </w:tcBorders>
            <w:vAlign w:val="top"/>
          </w:tcPr>
          <w:p w14:paraId="4BD4A7BA">
            <w:pPr>
              <w:spacing w:before="9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357" w:type="dxa"/>
            <w:tcBorders>
              <w:left w:val="single" w:color="000000" w:sz="4" w:space="0"/>
              <w:right w:val="single" w:color="000000" w:sz="4" w:space="0"/>
            </w:tcBorders>
            <w:vAlign w:val="top"/>
          </w:tcPr>
          <w:p w14:paraId="0E572AB1">
            <w:pPr>
              <w:spacing w:before="9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.82-0.86</w:t>
            </w:r>
          </w:p>
        </w:tc>
        <w:tc>
          <w:tcPr>
            <w:tcW w:w="705" w:type="dxa"/>
            <w:tcBorders>
              <w:left w:val="single" w:color="000000" w:sz="4" w:space="0"/>
            </w:tcBorders>
            <w:vAlign w:val="top"/>
          </w:tcPr>
          <w:p w14:paraId="5ADAF197">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5B05515">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9650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6231F479">
            <w:pPr>
              <w:spacing w:before="95" w:line="192"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0" w:type="dxa"/>
            <w:vMerge w:val="continue"/>
            <w:tcBorders>
              <w:top w:val="nil"/>
              <w:left w:val="single" w:color="000000" w:sz="4" w:space="0"/>
              <w:bottom w:val="nil"/>
              <w:right w:val="single" w:color="000000" w:sz="4" w:space="0"/>
            </w:tcBorders>
            <w:vAlign w:val="top"/>
          </w:tcPr>
          <w:p w14:paraId="0A32CEB7">
            <w:pPr>
              <w:rPr>
                <w:rFonts w:ascii="Arial"/>
                <w:sz w:val="21"/>
              </w:rPr>
            </w:pPr>
          </w:p>
        </w:tc>
        <w:tc>
          <w:tcPr>
            <w:tcW w:w="1453" w:type="dxa"/>
            <w:tcBorders>
              <w:left w:val="single" w:color="000000" w:sz="4" w:space="0"/>
            </w:tcBorders>
            <w:vAlign w:val="top"/>
          </w:tcPr>
          <w:p w14:paraId="5932B737">
            <w:pPr>
              <w:spacing w:before="57" w:line="228" w:lineRule="auto"/>
              <w:ind w:left="419"/>
              <w:rPr>
                <w:rFonts w:ascii="宋体" w:hAnsi="宋体" w:eastAsia="宋体" w:cs="宋体"/>
                <w:sz w:val="20"/>
                <w:szCs w:val="20"/>
              </w:rPr>
            </w:pPr>
            <w:r>
              <w:rPr>
                <w:rFonts w:ascii="宋体" w:hAnsi="宋体" w:eastAsia="宋体" w:cs="宋体"/>
                <w:spacing w:val="5"/>
                <w:sz w:val="20"/>
                <w:szCs w:val="20"/>
              </w:rPr>
              <w:t>总硬度</w:t>
            </w:r>
          </w:p>
        </w:tc>
        <w:tc>
          <w:tcPr>
            <w:tcW w:w="1200" w:type="dxa"/>
            <w:tcBorders>
              <w:right w:val="single" w:color="000000" w:sz="4" w:space="0"/>
            </w:tcBorders>
            <w:vAlign w:val="top"/>
          </w:tcPr>
          <w:p w14:paraId="7B22FE77">
            <w:pPr>
              <w:spacing w:before="19"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D3FBD3A">
            <w:pPr>
              <w:spacing w:before="9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5.3-420.3</w:t>
            </w:r>
          </w:p>
        </w:tc>
        <w:tc>
          <w:tcPr>
            <w:tcW w:w="756" w:type="dxa"/>
            <w:tcBorders>
              <w:left w:val="single" w:color="000000" w:sz="4" w:space="0"/>
              <w:right w:val="single" w:color="000000" w:sz="4" w:space="0"/>
            </w:tcBorders>
            <w:vAlign w:val="top"/>
          </w:tcPr>
          <w:p w14:paraId="4783205C">
            <w:pPr>
              <w:spacing w:before="9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357" w:type="dxa"/>
            <w:tcBorders>
              <w:left w:val="single" w:color="000000" w:sz="4" w:space="0"/>
              <w:right w:val="single" w:color="000000" w:sz="4" w:space="0"/>
            </w:tcBorders>
            <w:vAlign w:val="top"/>
          </w:tcPr>
          <w:p w14:paraId="13C09D09">
            <w:pPr>
              <w:spacing w:before="9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.92-0.93</w:t>
            </w:r>
          </w:p>
        </w:tc>
        <w:tc>
          <w:tcPr>
            <w:tcW w:w="705" w:type="dxa"/>
            <w:tcBorders>
              <w:left w:val="single" w:color="000000" w:sz="4" w:space="0"/>
            </w:tcBorders>
            <w:vAlign w:val="top"/>
          </w:tcPr>
          <w:p w14:paraId="0DDD00A1">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27842C2">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6FAF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3E554D24">
            <w:pPr>
              <w:spacing w:before="94"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70" w:type="dxa"/>
            <w:vMerge w:val="continue"/>
            <w:tcBorders>
              <w:top w:val="nil"/>
              <w:left w:val="single" w:color="000000" w:sz="4" w:space="0"/>
              <w:bottom w:val="nil"/>
              <w:right w:val="single" w:color="000000" w:sz="4" w:space="0"/>
            </w:tcBorders>
            <w:vAlign w:val="top"/>
          </w:tcPr>
          <w:p w14:paraId="029DA849">
            <w:pPr>
              <w:rPr>
                <w:rFonts w:ascii="Arial"/>
                <w:sz w:val="21"/>
              </w:rPr>
            </w:pPr>
          </w:p>
        </w:tc>
        <w:tc>
          <w:tcPr>
            <w:tcW w:w="1453" w:type="dxa"/>
            <w:tcBorders>
              <w:left w:val="single" w:color="000000" w:sz="4" w:space="0"/>
            </w:tcBorders>
            <w:vAlign w:val="top"/>
          </w:tcPr>
          <w:p w14:paraId="7C2B11EE">
            <w:pPr>
              <w:spacing w:before="58" w:line="229" w:lineRule="auto"/>
              <w:ind w:left="413"/>
              <w:rPr>
                <w:rFonts w:ascii="宋体" w:hAnsi="宋体" w:eastAsia="宋体" w:cs="宋体"/>
                <w:sz w:val="20"/>
                <w:szCs w:val="20"/>
              </w:rPr>
            </w:pPr>
            <w:r>
              <w:rPr>
                <w:rFonts w:ascii="宋体" w:hAnsi="宋体" w:eastAsia="宋体" w:cs="宋体"/>
                <w:spacing w:val="7"/>
                <w:sz w:val="20"/>
                <w:szCs w:val="20"/>
              </w:rPr>
              <w:t>硫酸盐</w:t>
            </w:r>
          </w:p>
        </w:tc>
        <w:tc>
          <w:tcPr>
            <w:tcW w:w="1200" w:type="dxa"/>
            <w:tcBorders>
              <w:right w:val="single" w:color="000000" w:sz="4" w:space="0"/>
            </w:tcBorders>
            <w:vAlign w:val="top"/>
          </w:tcPr>
          <w:p w14:paraId="7080D0E8">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493E626C">
            <w:pPr>
              <w:spacing w:before="94" w:line="195" w:lineRule="auto"/>
              <w:ind w:left="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0.32- 133.68</w:t>
            </w:r>
          </w:p>
        </w:tc>
        <w:tc>
          <w:tcPr>
            <w:tcW w:w="756" w:type="dxa"/>
            <w:tcBorders>
              <w:left w:val="single" w:color="000000" w:sz="4" w:space="0"/>
              <w:right w:val="single" w:color="000000" w:sz="4" w:space="0"/>
            </w:tcBorders>
            <w:vAlign w:val="top"/>
          </w:tcPr>
          <w:p w14:paraId="27BA3DA7">
            <w:pPr>
              <w:spacing w:before="94"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357" w:type="dxa"/>
            <w:tcBorders>
              <w:left w:val="single" w:color="000000" w:sz="4" w:space="0"/>
              <w:right w:val="single" w:color="000000" w:sz="4" w:space="0"/>
            </w:tcBorders>
            <w:vAlign w:val="top"/>
          </w:tcPr>
          <w:p w14:paraId="78D44573">
            <w:pPr>
              <w:spacing w:before="9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.52-0.53</w:t>
            </w:r>
          </w:p>
        </w:tc>
        <w:tc>
          <w:tcPr>
            <w:tcW w:w="705" w:type="dxa"/>
            <w:tcBorders>
              <w:left w:val="single" w:color="000000" w:sz="4" w:space="0"/>
            </w:tcBorders>
            <w:vAlign w:val="top"/>
          </w:tcPr>
          <w:p w14:paraId="3F17E559">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745D2A5">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1272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356ED550">
            <w:pPr>
              <w:spacing w:before="97" w:line="192"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70" w:type="dxa"/>
            <w:vMerge w:val="continue"/>
            <w:tcBorders>
              <w:top w:val="nil"/>
              <w:left w:val="single" w:color="000000" w:sz="4" w:space="0"/>
              <w:bottom w:val="nil"/>
              <w:right w:val="single" w:color="000000" w:sz="4" w:space="0"/>
            </w:tcBorders>
            <w:vAlign w:val="top"/>
          </w:tcPr>
          <w:p w14:paraId="504B360A">
            <w:pPr>
              <w:rPr>
                <w:rFonts w:ascii="Arial"/>
                <w:sz w:val="21"/>
              </w:rPr>
            </w:pPr>
          </w:p>
        </w:tc>
        <w:tc>
          <w:tcPr>
            <w:tcW w:w="1453" w:type="dxa"/>
            <w:tcBorders>
              <w:left w:val="single" w:color="000000" w:sz="4" w:space="0"/>
            </w:tcBorders>
            <w:vAlign w:val="top"/>
          </w:tcPr>
          <w:p w14:paraId="704FE165">
            <w:pPr>
              <w:spacing w:before="58" w:line="229" w:lineRule="auto"/>
              <w:ind w:left="310"/>
              <w:rPr>
                <w:rFonts w:ascii="宋体" w:hAnsi="宋体" w:eastAsia="宋体" w:cs="宋体"/>
                <w:sz w:val="20"/>
                <w:szCs w:val="20"/>
              </w:rPr>
            </w:pPr>
            <w:r>
              <w:rPr>
                <w:rFonts w:ascii="宋体" w:hAnsi="宋体" w:eastAsia="宋体" w:cs="宋体"/>
                <w:spacing w:val="7"/>
                <w:sz w:val="20"/>
                <w:szCs w:val="20"/>
              </w:rPr>
              <w:t>亚硝酸</w:t>
            </w:r>
            <w:r>
              <w:rPr>
                <w:rFonts w:ascii="宋体" w:hAnsi="宋体" w:eastAsia="宋体" w:cs="宋体"/>
                <w:spacing w:val="6"/>
                <w:sz w:val="20"/>
                <w:szCs w:val="20"/>
              </w:rPr>
              <w:t>盐</w:t>
            </w:r>
          </w:p>
        </w:tc>
        <w:tc>
          <w:tcPr>
            <w:tcW w:w="1200" w:type="dxa"/>
            <w:tcBorders>
              <w:right w:val="single" w:color="000000" w:sz="4" w:space="0"/>
            </w:tcBorders>
            <w:vAlign w:val="top"/>
          </w:tcPr>
          <w:p w14:paraId="36C39E9A">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5D584EB6">
            <w:pPr>
              <w:spacing w:before="9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0.031-0.03</w:t>
            </w:r>
            <w:r>
              <w:rPr>
                <w:rFonts w:ascii="Times New Roman" w:hAnsi="Times New Roman" w:eastAsia="Times New Roman" w:cs="Times New Roman"/>
                <w:spacing w:val="2"/>
                <w:sz w:val="20"/>
                <w:szCs w:val="20"/>
              </w:rPr>
              <w:t>2</w:t>
            </w:r>
          </w:p>
        </w:tc>
        <w:tc>
          <w:tcPr>
            <w:tcW w:w="756" w:type="dxa"/>
            <w:tcBorders>
              <w:left w:val="single" w:color="000000" w:sz="4" w:space="0"/>
              <w:right w:val="single" w:color="000000" w:sz="4" w:space="0"/>
            </w:tcBorders>
            <w:vAlign w:val="top"/>
          </w:tcPr>
          <w:p w14:paraId="4074FAE8">
            <w:pPr>
              <w:spacing w:before="94"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c>
          <w:tcPr>
            <w:tcW w:w="1357" w:type="dxa"/>
            <w:tcBorders>
              <w:left w:val="single" w:color="000000" w:sz="4" w:space="0"/>
              <w:right w:val="single" w:color="000000" w:sz="4" w:space="0"/>
            </w:tcBorders>
            <w:vAlign w:val="top"/>
          </w:tcPr>
          <w:p w14:paraId="21B17705">
            <w:pPr>
              <w:spacing w:before="95"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3"/>
                <w:sz w:val="20"/>
                <w:szCs w:val="20"/>
              </w:rPr>
              <w:t>031-0.032</w:t>
            </w:r>
          </w:p>
        </w:tc>
        <w:tc>
          <w:tcPr>
            <w:tcW w:w="705" w:type="dxa"/>
            <w:tcBorders>
              <w:left w:val="single" w:color="000000" w:sz="4" w:space="0"/>
            </w:tcBorders>
            <w:vAlign w:val="top"/>
          </w:tcPr>
          <w:p w14:paraId="7A8C327E">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F4900CD">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4C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058A58A">
            <w:pPr>
              <w:spacing w:before="9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70" w:type="dxa"/>
            <w:vMerge w:val="continue"/>
            <w:tcBorders>
              <w:top w:val="nil"/>
              <w:left w:val="single" w:color="000000" w:sz="4" w:space="0"/>
              <w:bottom w:val="nil"/>
              <w:right w:val="single" w:color="000000" w:sz="4" w:space="0"/>
            </w:tcBorders>
            <w:vAlign w:val="top"/>
          </w:tcPr>
          <w:p w14:paraId="34F6E842">
            <w:pPr>
              <w:rPr>
                <w:rFonts w:ascii="Arial"/>
                <w:sz w:val="21"/>
              </w:rPr>
            </w:pPr>
          </w:p>
        </w:tc>
        <w:tc>
          <w:tcPr>
            <w:tcW w:w="1453" w:type="dxa"/>
            <w:tcBorders>
              <w:left w:val="single" w:color="000000" w:sz="4" w:space="0"/>
            </w:tcBorders>
            <w:vAlign w:val="top"/>
          </w:tcPr>
          <w:p w14:paraId="07357F73">
            <w:pPr>
              <w:spacing w:before="58" w:line="229" w:lineRule="auto"/>
              <w:ind w:left="417"/>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物</w:t>
            </w:r>
          </w:p>
        </w:tc>
        <w:tc>
          <w:tcPr>
            <w:tcW w:w="1200" w:type="dxa"/>
            <w:tcBorders>
              <w:right w:val="single" w:color="000000" w:sz="4" w:space="0"/>
            </w:tcBorders>
            <w:vAlign w:val="top"/>
          </w:tcPr>
          <w:p w14:paraId="38D6F933">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45F74D6C">
            <w:pPr>
              <w:spacing w:before="94" w:line="198"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11.88- 12.0</w:t>
            </w:r>
            <w:r>
              <w:rPr>
                <w:rFonts w:ascii="Times New Roman" w:hAnsi="Times New Roman" w:eastAsia="Times New Roman" w:cs="Times New Roman"/>
                <w:spacing w:val="-2"/>
                <w:sz w:val="20"/>
                <w:szCs w:val="20"/>
              </w:rPr>
              <w:t>9</w:t>
            </w:r>
          </w:p>
        </w:tc>
        <w:tc>
          <w:tcPr>
            <w:tcW w:w="756" w:type="dxa"/>
            <w:tcBorders>
              <w:left w:val="single" w:color="000000" w:sz="4" w:space="0"/>
              <w:right w:val="single" w:color="000000" w:sz="4" w:space="0"/>
            </w:tcBorders>
            <w:vAlign w:val="top"/>
          </w:tcPr>
          <w:p w14:paraId="75A91B45">
            <w:pPr>
              <w:spacing w:before="94"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357" w:type="dxa"/>
            <w:tcBorders>
              <w:left w:val="single" w:color="000000" w:sz="4" w:space="0"/>
              <w:right w:val="single" w:color="000000" w:sz="4" w:space="0"/>
            </w:tcBorders>
            <w:vAlign w:val="top"/>
          </w:tcPr>
          <w:p w14:paraId="1A61741F">
            <w:pPr>
              <w:spacing w:before="9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3"/>
                <w:sz w:val="20"/>
                <w:szCs w:val="20"/>
              </w:rPr>
              <w:t>047-0.048</w:t>
            </w:r>
          </w:p>
        </w:tc>
        <w:tc>
          <w:tcPr>
            <w:tcW w:w="705" w:type="dxa"/>
            <w:tcBorders>
              <w:left w:val="single" w:color="000000" w:sz="4" w:space="0"/>
            </w:tcBorders>
            <w:vAlign w:val="top"/>
          </w:tcPr>
          <w:p w14:paraId="1C80646E">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63FB841">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853B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0441609A">
            <w:pPr>
              <w:spacing w:before="9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70" w:type="dxa"/>
            <w:vMerge w:val="continue"/>
            <w:tcBorders>
              <w:top w:val="nil"/>
              <w:left w:val="single" w:color="000000" w:sz="4" w:space="0"/>
              <w:bottom w:val="nil"/>
              <w:right w:val="single" w:color="000000" w:sz="4" w:space="0"/>
            </w:tcBorders>
            <w:vAlign w:val="top"/>
          </w:tcPr>
          <w:p w14:paraId="724B3D19">
            <w:pPr>
              <w:rPr>
                <w:rFonts w:ascii="Arial"/>
                <w:sz w:val="21"/>
              </w:rPr>
            </w:pPr>
          </w:p>
        </w:tc>
        <w:tc>
          <w:tcPr>
            <w:tcW w:w="1453" w:type="dxa"/>
            <w:tcBorders>
              <w:left w:val="single" w:color="000000" w:sz="4" w:space="0"/>
            </w:tcBorders>
            <w:vAlign w:val="top"/>
          </w:tcPr>
          <w:p w14:paraId="569AB454">
            <w:pPr>
              <w:spacing w:before="58" w:line="228" w:lineRule="auto"/>
              <w:ind w:left="625"/>
              <w:rPr>
                <w:rFonts w:ascii="宋体" w:hAnsi="宋体" w:eastAsia="宋体" w:cs="宋体"/>
                <w:sz w:val="20"/>
                <w:szCs w:val="20"/>
              </w:rPr>
            </w:pPr>
            <w:r>
              <w:rPr>
                <w:rFonts w:ascii="宋体" w:hAnsi="宋体" w:eastAsia="宋体" w:cs="宋体"/>
                <w:sz w:val="20"/>
                <w:szCs w:val="20"/>
              </w:rPr>
              <w:t>钾</w:t>
            </w:r>
          </w:p>
        </w:tc>
        <w:tc>
          <w:tcPr>
            <w:tcW w:w="1200" w:type="dxa"/>
            <w:tcBorders>
              <w:right w:val="single" w:color="000000" w:sz="4" w:space="0"/>
            </w:tcBorders>
            <w:vAlign w:val="top"/>
          </w:tcPr>
          <w:p w14:paraId="4867E814">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3BDEE907">
            <w:pPr>
              <w:spacing w:before="93" w:line="198"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2.61-2.9</w:t>
            </w:r>
            <w:r>
              <w:rPr>
                <w:rFonts w:ascii="Times New Roman" w:hAnsi="Times New Roman" w:eastAsia="Times New Roman" w:cs="Times New Roman"/>
                <w:spacing w:val="2"/>
                <w:sz w:val="20"/>
                <w:szCs w:val="20"/>
              </w:rPr>
              <w:t>9</w:t>
            </w:r>
          </w:p>
        </w:tc>
        <w:tc>
          <w:tcPr>
            <w:tcW w:w="756" w:type="dxa"/>
            <w:tcBorders>
              <w:left w:val="single" w:color="000000" w:sz="4" w:space="0"/>
              <w:right w:val="single" w:color="000000" w:sz="4" w:space="0"/>
            </w:tcBorders>
            <w:vAlign w:val="top"/>
          </w:tcPr>
          <w:p w14:paraId="77D4A4CE">
            <w:pPr>
              <w:spacing w:before="20"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48A312D9">
            <w:pPr>
              <w:spacing w:before="20"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F1746ED">
            <w:pPr>
              <w:spacing w:before="20"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7EC2D7D4">
            <w:pPr>
              <w:spacing w:before="20"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5E03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30D0993E">
            <w:pPr>
              <w:spacing w:before="9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70" w:type="dxa"/>
            <w:vMerge w:val="continue"/>
            <w:tcBorders>
              <w:top w:val="nil"/>
              <w:left w:val="single" w:color="000000" w:sz="4" w:space="0"/>
              <w:bottom w:val="nil"/>
              <w:right w:val="single" w:color="000000" w:sz="4" w:space="0"/>
            </w:tcBorders>
            <w:vAlign w:val="top"/>
          </w:tcPr>
          <w:p w14:paraId="293C4085">
            <w:pPr>
              <w:rPr>
                <w:rFonts w:ascii="Arial"/>
                <w:sz w:val="21"/>
              </w:rPr>
            </w:pPr>
          </w:p>
        </w:tc>
        <w:tc>
          <w:tcPr>
            <w:tcW w:w="1453" w:type="dxa"/>
            <w:tcBorders>
              <w:left w:val="single" w:color="000000" w:sz="4" w:space="0"/>
            </w:tcBorders>
            <w:vAlign w:val="top"/>
          </w:tcPr>
          <w:p w14:paraId="6F2DCFFC">
            <w:pPr>
              <w:spacing w:before="59" w:line="230" w:lineRule="auto"/>
              <w:ind w:left="624"/>
              <w:rPr>
                <w:rFonts w:ascii="宋体" w:hAnsi="宋体" w:eastAsia="宋体" w:cs="宋体"/>
                <w:sz w:val="20"/>
                <w:szCs w:val="20"/>
              </w:rPr>
            </w:pPr>
            <w:r>
              <w:rPr>
                <w:rFonts w:ascii="宋体" w:hAnsi="宋体" w:eastAsia="宋体" w:cs="宋体"/>
                <w:spacing w:val="1"/>
                <w:sz w:val="20"/>
                <w:szCs w:val="20"/>
              </w:rPr>
              <w:t>钙</w:t>
            </w:r>
          </w:p>
        </w:tc>
        <w:tc>
          <w:tcPr>
            <w:tcW w:w="1200" w:type="dxa"/>
            <w:tcBorders>
              <w:right w:val="single" w:color="000000" w:sz="4" w:space="0"/>
            </w:tcBorders>
            <w:vAlign w:val="top"/>
          </w:tcPr>
          <w:p w14:paraId="7CF7FCF5">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38623D8D">
            <w:pPr>
              <w:spacing w:before="95" w:line="195" w:lineRule="auto"/>
              <w:ind w:left="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.73- 113.31</w:t>
            </w:r>
          </w:p>
        </w:tc>
        <w:tc>
          <w:tcPr>
            <w:tcW w:w="756" w:type="dxa"/>
            <w:tcBorders>
              <w:left w:val="single" w:color="000000" w:sz="4" w:space="0"/>
              <w:right w:val="single" w:color="000000" w:sz="4" w:space="0"/>
            </w:tcBorders>
            <w:vAlign w:val="top"/>
          </w:tcPr>
          <w:p w14:paraId="5AA2BE64">
            <w:pPr>
              <w:spacing w:before="9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357" w:type="dxa"/>
            <w:tcBorders>
              <w:left w:val="single" w:color="000000" w:sz="4" w:space="0"/>
              <w:right w:val="single" w:color="000000" w:sz="4" w:space="0"/>
            </w:tcBorders>
            <w:vAlign w:val="top"/>
          </w:tcPr>
          <w:p w14:paraId="1C8868FA">
            <w:pPr>
              <w:spacing w:before="9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.56-0.57</w:t>
            </w:r>
          </w:p>
        </w:tc>
        <w:tc>
          <w:tcPr>
            <w:tcW w:w="705" w:type="dxa"/>
            <w:tcBorders>
              <w:left w:val="single" w:color="000000" w:sz="4" w:space="0"/>
            </w:tcBorders>
            <w:vAlign w:val="top"/>
          </w:tcPr>
          <w:p w14:paraId="235D5BC4">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0588380">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957D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76E0C8A8">
            <w:pPr>
              <w:spacing w:before="94"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470" w:type="dxa"/>
            <w:vMerge w:val="continue"/>
            <w:tcBorders>
              <w:top w:val="nil"/>
              <w:left w:val="single" w:color="000000" w:sz="4" w:space="0"/>
              <w:bottom w:val="nil"/>
              <w:right w:val="single" w:color="000000" w:sz="4" w:space="0"/>
            </w:tcBorders>
            <w:vAlign w:val="top"/>
          </w:tcPr>
          <w:p w14:paraId="4F0CDE63">
            <w:pPr>
              <w:rPr>
                <w:rFonts w:ascii="Arial"/>
                <w:sz w:val="21"/>
              </w:rPr>
            </w:pPr>
          </w:p>
        </w:tc>
        <w:tc>
          <w:tcPr>
            <w:tcW w:w="1453" w:type="dxa"/>
            <w:tcBorders>
              <w:left w:val="single" w:color="000000" w:sz="4" w:space="0"/>
            </w:tcBorders>
            <w:vAlign w:val="top"/>
          </w:tcPr>
          <w:p w14:paraId="0F1D8E83">
            <w:pPr>
              <w:spacing w:before="58" w:line="229" w:lineRule="auto"/>
              <w:ind w:left="624"/>
              <w:rPr>
                <w:rFonts w:ascii="宋体" w:hAnsi="宋体" w:eastAsia="宋体" w:cs="宋体"/>
                <w:sz w:val="20"/>
                <w:szCs w:val="20"/>
              </w:rPr>
            </w:pPr>
            <w:r>
              <w:rPr>
                <w:rFonts w:ascii="宋体" w:hAnsi="宋体" w:eastAsia="宋体" w:cs="宋体"/>
                <w:spacing w:val="1"/>
                <w:sz w:val="20"/>
                <w:szCs w:val="20"/>
              </w:rPr>
              <w:t>钠</w:t>
            </w:r>
          </w:p>
        </w:tc>
        <w:tc>
          <w:tcPr>
            <w:tcW w:w="1200" w:type="dxa"/>
            <w:tcBorders>
              <w:right w:val="single" w:color="000000" w:sz="4" w:space="0"/>
            </w:tcBorders>
            <w:vAlign w:val="top"/>
          </w:tcPr>
          <w:p w14:paraId="5C959A58">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2FCE9F5D">
            <w:pPr>
              <w:spacing w:before="9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5.78- 17.24</w:t>
            </w:r>
          </w:p>
        </w:tc>
        <w:tc>
          <w:tcPr>
            <w:tcW w:w="756" w:type="dxa"/>
            <w:tcBorders>
              <w:left w:val="single" w:color="000000" w:sz="4" w:space="0"/>
              <w:right w:val="single" w:color="000000" w:sz="4" w:space="0"/>
            </w:tcBorders>
            <w:vAlign w:val="top"/>
          </w:tcPr>
          <w:p w14:paraId="6AF9B034">
            <w:pPr>
              <w:spacing w:before="21"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7983D636">
            <w:pPr>
              <w:spacing w:before="21"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4092F29">
            <w:pPr>
              <w:spacing w:before="21"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59FB4FC7">
            <w:pPr>
              <w:spacing w:before="21"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00993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5A37ED9">
            <w:pPr>
              <w:spacing w:before="9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470" w:type="dxa"/>
            <w:vMerge w:val="continue"/>
            <w:tcBorders>
              <w:top w:val="nil"/>
              <w:left w:val="single" w:color="000000" w:sz="4" w:space="0"/>
              <w:bottom w:val="nil"/>
              <w:right w:val="single" w:color="000000" w:sz="4" w:space="0"/>
            </w:tcBorders>
            <w:vAlign w:val="top"/>
          </w:tcPr>
          <w:p w14:paraId="11DB9EC4">
            <w:pPr>
              <w:rPr>
                <w:rFonts w:ascii="Arial"/>
                <w:sz w:val="21"/>
              </w:rPr>
            </w:pPr>
          </w:p>
        </w:tc>
        <w:tc>
          <w:tcPr>
            <w:tcW w:w="1453" w:type="dxa"/>
            <w:tcBorders>
              <w:left w:val="single" w:color="000000" w:sz="4" w:space="0"/>
            </w:tcBorders>
            <w:vAlign w:val="top"/>
          </w:tcPr>
          <w:p w14:paraId="7FE3F9B5">
            <w:pPr>
              <w:spacing w:before="58" w:line="230" w:lineRule="auto"/>
              <w:ind w:left="624"/>
              <w:rPr>
                <w:rFonts w:ascii="宋体" w:hAnsi="宋体" w:eastAsia="宋体" w:cs="宋体"/>
                <w:sz w:val="20"/>
                <w:szCs w:val="20"/>
              </w:rPr>
            </w:pPr>
            <w:r>
              <w:rPr>
                <w:rFonts w:ascii="宋体" w:hAnsi="宋体" w:eastAsia="宋体" w:cs="宋体"/>
                <w:spacing w:val="1"/>
                <w:sz w:val="20"/>
                <w:szCs w:val="20"/>
              </w:rPr>
              <w:t>镁</w:t>
            </w:r>
          </w:p>
        </w:tc>
        <w:tc>
          <w:tcPr>
            <w:tcW w:w="1200" w:type="dxa"/>
            <w:tcBorders>
              <w:right w:val="single" w:color="000000" w:sz="4" w:space="0"/>
            </w:tcBorders>
            <w:vAlign w:val="top"/>
          </w:tcPr>
          <w:p w14:paraId="443A475E">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1FA4EBF1">
            <w:pPr>
              <w:spacing w:before="9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31</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23-32.33</w:t>
            </w:r>
          </w:p>
        </w:tc>
        <w:tc>
          <w:tcPr>
            <w:tcW w:w="756" w:type="dxa"/>
            <w:tcBorders>
              <w:left w:val="single" w:color="000000" w:sz="4" w:space="0"/>
              <w:right w:val="single" w:color="000000" w:sz="4" w:space="0"/>
            </w:tcBorders>
            <w:vAlign w:val="top"/>
          </w:tcPr>
          <w:p w14:paraId="5EFCDB47">
            <w:pPr>
              <w:spacing w:before="20"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01F8DD32">
            <w:pPr>
              <w:spacing w:before="20"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CE9CF38">
            <w:pPr>
              <w:spacing w:before="20"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580A178A">
            <w:pPr>
              <w:spacing w:before="20"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0F2E5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965DF10">
            <w:pPr>
              <w:spacing w:before="9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470" w:type="dxa"/>
            <w:vMerge w:val="continue"/>
            <w:tcBorders>
              <w:top w:val="nil"/>
              <w:left w:val="single" w:color="000000" w:sz="4" w:space="0"/>
              <w:bottom w:val="nil"/>
              <w:right w:val="single" w:color="000000" w:sz="4" w:space="0"/>
            </w:tcBorders>
            <w:vAlign w:val="top"/>
          </w:tcPr>
          <w:p w14:paraId="4D371428">
            <w:pPr>
              <w:rPr>
                <w:rFonts w:ascii="Arial"/>
                <w:sz w:val="21"/>
              </w:rPr>
            </w:pPr>
          </w:p>
        </w:tc>
        <w:tc>
          <w:tcPr>
            <w:tcW w:w="1453" w:type="dxa"/>
            <w:tcBorders>
              <w:left w:val="single" w:color="000000" w:sz="4" w:space="0"/>
            </w:tcBorders>
            <w:vAlign w:val="top"/>
          </w:tcPr>
          <w:p w14:paraId="4C85EA80">
            <w:pPr>
              <w:spacing w:before="58" w:line="228" w:lineRule="auto"/>
              <w:ind w:left="413"/>
              <w:rPr>
                <w:rFonts w:ascii="宋体" w:hAnsi="宋体" w:eastAsia="宋体" w:cs="宋体"/>
                <w:sz w:val="20"/>
                <w:szCs w:val="20"/>
              </w:rPr>
            </w:pPr>
            <w:r>
              <w:rPr>
                <w:rFonts w:ascii="宋体" w:hAnsi="宋体" w:eastAsia="宋体" w:cs="宋体"/>
                <w:spacing w:val="7"/>
                <w:sz w:val="20"/>
                <w:szCs w:val="20"/>
              </w:rPr>
              <w:t>碳酸</w:t>
            </w:r>
            <w:r>
              <w:rPr>
                <w:rFonts w:ascii="宋体" w:hAnsi="宋体" w:eastAsia="宋体" w:cs="宋体"/>
                <w:spacing w:val="6"/>
                <w:sz w:val="20"/>
                <w:szCs w:val="20"/>
              </w:rPr>
              <w:t>根</w:t>
            </w:r>
          </w:p>
        </w:tc>
        <w:tc>
          <w:tcPr>
            <w:tcW w:w="1200" w:type="dxa"/>
            <w:tcBorders>
              <w:right w:val="single" w:color="000000" w:sz="4" w:space="0"/>
            </w:tcBorders>
            <w:vAlign w:val="top"/>
          </w:tcPr>
          <w:p w14:paraId="6DE281C2">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67056F97">
            <w:pPr>
              <w:spacing w:before="57" w:line="228" w:lineRule="auto"/>
              <w:ind w:left="32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56" w:type="dxa"/>
            <w:tcBorders>
              <w:left w:val="single" w:color="000000" w:sz="4" w:space="0"/>
              <w:right w:val="single" w:color="000000" w:sz="4" w:space="0"/>
            </w:tcBorders>
            <w:vAlign w:val="top"/>
          </w:tcPr>
          <w:p w14:paraId="5126FD77">
            <w:pPr>
              <w:spacing w:before="20"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5C658A2A">
            <w:pPr>
              <w:spacing w:before="20"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F4182EF">
            <w:pPr>
              <w:spacing w:before="20"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42A800A9">
            <w:pPr>
              <w:spacing w:before="20"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396F1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12945213">
            <w:pPr>
              <w:spacing w:before="9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470" w:type="dxa"/>
            <w:vMerge w:val="continue"/>
            <w:tcBorders>
              <w:top w:val="nil"/>
              <w:left w:val="single" w:color="000000" w:sz="4" w:space="0"/>
              <w:bottom w:val="nil"/>
              <w:right w:val="single" w:color="000000" w:sz="4" w:space="0"/>
            </w:tcBorders>
            <w:vAlign w:val="top"/>
          </w:tcPr>
          <w:p w14:paraId="43CA66D0">
            <w:pPr>
              <w:rPr>
                <w:rFonts w:ascii="Arial"/>
                <w:sz w:val="21"/>
              </w:rPr>
            </w:pPr>
          </w:p>
        </w:tc>
        <w:tc>
          <w:tcPr>
            <w:tcW w:w="1453" w:type="dxa"/>
            <w:tcBorders>
              <w:left w:val="single" w:color="000000" w:sz="4" w:space="0"/>
            </w:tcBorders>
            <w:vAlign w:val="top"/>
          </w:tcPr>
          <w:p w14:paraId="4DD1638F">
            <w:pPr>
              <w:spacing w:before="59" w:line="228" w:lineRule="auto"/>
              <w:ind w:left="308"/>
              <w:rPr>
                <w:rFonts w:ascii="宋体" w:hAnsi="宋体" w:eastAsia="宋体" w:cs="宋体"/>
                <w:sz w:val="20"/>
                <w:szCs w:val="20"/>
              </w:rPr>
            </w:pPr>
            <w:r>
              <w:rPr>
                <w:rFonts w:ascii="宋体" w:hAnsi="宋体" w:eastAsia="宋体" w:cs="宋体"/>
                <w:spacing w:val="8"/>
                <w:sz w:val="20"/>
                <w:szCs w:val="20"/>
              </w:rPr>
              <w:t>碳</w:t>
            </w:r>
            <w:r>
              <w:rPr>
                <w:rFonts w:ascii="宋体" w:hAnsi="宋体" w:eastAsia="宋体" w:cs="宋体"/>
                <w:spacing w:val="7"/>
                <w:sz w:val="20"/>
                <w:szCs w:val="20"/>
              </w:rPr>
              <w:t>酸氢根</w:t>
            </w:r>
          </w:p>
        </w:tc>
        <w:tc>
          <w:tcPr>
            <w:tcW w:w="1200" w:type="dxa"/>
            <w:tcBorders>
              <w:right w:val="single" w:color="000000" w:sz="4" w:space="0"/>
            </w:tcBorders>
            <w:vAlign w:val="top"/>
          </w:tcPr>
          <w:p w14:paraId="6EAFAC14">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4339472C">
            <w:pPr>
              <w:spacing w:before="9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4"/>
                <w:sz w:val="20"/>
                <w:szCs w:val="20"/>
              </w:rPr>
              <w:t>4.7-65.8</w:t>
            </w:r>
          </w:p>
        </w:tc>
        <w:tc>
          <w:tcPr>
            <w:tcW w:w="756" w:type="dxa"/>
            <w:tcBorders>
              <w:left w:val="single" w:color="000000" w:sz="4" w:space="0"/>
              <w:right w:val="single" w:color="000000" w:sz="4" w:space="0"/>
            </w:tcBorders>
            <w:vAlign w:val="top"/>
          </w:tcPr>
          <w:p w14:paraId="5BAC2193">
            <w:pPr>
              <w:spacing w:before="21"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6DD2849F">
            <w:pPr>
              <w:spacing w:before="21"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A466862">
            <w:pPr>
              <w:spacing w:before="21"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3C345489">
            <w:pPr>
              <w:spacing w:before="21"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D4DC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433E43E8">
            <w:pPr>
              <w:spacing w:before="9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70" w:type="dxa"/>
            <w:vMerge w:val="continue"/>
            <w:tcBorders>
              <w:top w:val="nil"/>
              <w:left w:val="single" w:color="000000" w:sz="4" w:space="0"/>
              <w:bottom w:val="nil"/>
              <w:right w:val="single" w:color="000000" w:sz="4" w:space="0"/>
            </w:tcBorders>
            <w:vAlign w:val="top"/>
          </w:tcPr>
          <w:p w14:paraId="5D2C5D6B">
            <w:pPr>
              <w:rPr>
                <w:rFonts w:ascii="Arial"/>
                <w:sz w:val="21"/>
              </w:rPr>
            </w:pPr>
          </w:p>
        </w:tc>
        <w:tc>
          <w:tcPr>
            <w:tcW w:w="1453" w:type="dxa"/>
            <w:tcBorders>
              <w:left w:val="single" w:color="000000" w:sz="4" w:space="0"/>
            </w:tcBorders>
            <w:vAlign w:val="top"/>
          </w:tcPr>
          <w:p w14:paraId="54BD53DE">
            <w:pPr>
              <w:spacing w:before="58" w:line="228" w:lineRule="auto"/>
              <w:ind w:left="312"/>
              <w:rPr>
                <w:rFonts w:ascii="宋体" w:hAnsi="宋体" w:eastAsia="宋体" w:cs="宋体"/>
                <w:sz w:val="20"/>
                <w:szCs w:val="20"/>
              </w:rPr>
            </w:pPr>
            <w:r>
              <w:rPr>
                <w:rFonts w:ascii="宋体" w:hAnsi="宋体" w:eastAsia="宋体" w:cs="宋体"/>
                <w:spacing w:val="7"/>
                <w:sz w:val="20"/>
                <w:szCs w:val="20"/>
              </w:rPr>
              <w:t>菌</w:t>
            </w:r>
            <w:r>
              <w:rPr>
                <w:rFonts w:ascii="宋体" w:hAnsi="宋体" w:eastAsia="宋体" w:cs="宋体"/>
                <w:spacing w:val="6"/>
                <w:sz w:val="20"/>
                <w:szCs w:val="20"/>
              </w:rPr>
              <w:t>落总数</w:t>
            </w:r>
          </w:p>
        </w:tc>
        <w:tc>
          <w:tcPr>
            <w:tcW w:w="1200" w:type="dxa"/>
            <w:tcBorders>
              <w:right w:val="single" w:color="000000" w:sz="4" w:space="0"/>
            </w:tcBorders>
            <w:vAlign w:val="top"/>
          </w:tcPr>
          <w:p w14:paraId="10563440">
            <w:pPr>
              <w:spacing w:before="21" w:line="281" w:lineRule="exact"/>
              <w:ind w:left="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CFU</w:t>
            </w:r>
            <w:r>
              <w:rPr>
                <w:rFonts w:ascii="Times New Roman" w:hAnsi="Times New Roman" w:eastAsia="Times New Roman" w:cs="Times New Roman"/>
                <w:spacing w:val="26"/>
                <w:position w:val="2"/>
                <w:sz w:val="20"/>
                <w:szCs w:val="20"/>
              </w:rPr>
              <w:t>/</w:t>
            </w:r>
            <w:r>
              <w:rPr>
                <w:rFonts w:ascii="Times New Roman" w:hAnsi="Times New Roman" w:eastAsia="Times New Roman" w:cs="Times New Roman"/>
                <w:position w:val="2"/>
                <w:sz w:val="20"/>
                <w:szCs w:val="20"/>
              </w:rPr>
              <w:t>mL</w:t>
            </w:r>
          </w:p>
        </w:tc>
        <w:tc>
          <w:tcPr>
            <w:tcW w:w="1271" w:type="dxa"/>
            <w:tcBorders>
              <w:left w:val="single" w:color="000000" w:sz="4" w:space="0"/>
              <w:right w:val="single" w:color="000000" w:sz="4" w:space="0"/>
            </w:tcBorders>
            <w:vAlign w:val="top"/>
          </w:tcPr>
          <w:p w14:paraId="0076E68E">
            <w:pPr>
              <w:spacing w:before="9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-36</w:t>
            </w:r>
          </w:p>
        </w:tc>
        <w:tc>
          <w:tcPr>
            <w:tcW w:w="756" w:type="dxa"/>
            <w:tcBorders>
              <w:left w:val="single" w:color="000000" w:sz="4" w:space="0"/>
              <w:right w:val="single" w:color="000000" w:sz="4" w:space="0"/>
            </w:tcBorders>
            <w:vAlign w:val="top"/>
          </w:tcPr>
          <w:p w14:paraId="6FCCB374">
            <w:pPr>
              <w:spacing w:before="94"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57" w:type="dxa"/>
            <w:tcBorders>
              <w:left w:val="single" w:color="000000" w:sz="4" w:space="0"/>
              <w:right w:val="single" w:color="000000" w:sz="4" w:space="0"/>
            </w:tcBorders>
            <w:vAlign w:val="top"/>
          </w:tcPr>
          <w:p w14:paraId="0A842A2D">
            <w:pPr>
              <w:spacing w:before="9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.31-0.36</w:t>
            </w:r>
          </w:p>
        </w:tc>
        <w:tc>
          <w:tcPr>
            <w:tcW w:w="705" w:type="dxa"/>
            <w:tcBorders>
              <w:left w:val="single" w:color="000000" w:sz="4" w:space="0"/>
            </w:tcBorders>
            <w:vAlign w:val="top"/>
          </w:tcPr>
          <w:p w14:paraId="117060F4">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86A0E37">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2660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4CA58E8F">
            <w:pPr>
              <w:spacing w:before="9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470" w:type="dxa"/>
            <w:vMerge w:val="continue"/>
            <w:tcBorders>
              <w:top w:val="nil"/>
              <w:left w:val="single" w:color="000000" w:sz="4" w:space="0"/>
              <w:bottom w:val="nil"/>
              <w:right w:val="single" w:color="000000" w:sz="4" w:space="0"/>
            </w:tcBorders>
            <w:vAlign w:val="top"/>
          </w:tcPr>
          <w:p w14:paraId="6C448A64">
            <w:pPr>
              <w:rPr>
                <w:rFonts w:ascii="Arial"/>
                <w:sz w:val="21"/>
              </w:rPr>
            </w:pPr>
          </w:p>
        </w:tc>
        <w:tc>
          <w:tcPr>
            <w:tcW w:w="1453" w:type="dxa"/>
            <w:tcBorders>
              <w:left w:val="single" w:color="000000" w:sz="4" w:space="0"/>
            </w:tcBorders>
            <w:vAlign w:val="top"/>
          </w:tcPr>
          <w:p w14:paraId="4685B356">
            <w:pPr>
              <w:spacing w:before="57" w:line="228" w:lineRule="auto"/>
              <w:ind w:left="210"/>
              <w:rPr>
                <w:rFonts w:ascii="宋体" w:hAnsi="宋体" w:eastAsia="宋体" w:cs="宋体"/>
                <w:sz w:val="20"/>
                <w:szCs w:val="20"/>
              </w:rPr>
            </w:pPr>
            <w:r>
              <w:rPr>
                <w:rFonts w:ascii="宋体" w:hAnsi="宋体" w:eastAsia="宋体" w:cs="宋体"/>
                <w:spacing w:val="7"/>
                <w:sz w:val="20"/>
                <w:szCs w:val="20"/>
              </w:rPr>
              <w:t>总大肠菌群</w:t>
            </w:r>
          </w:p>
        </w:tc>
        <w:tc>
          <w:tcPr>
            <w:tcW w:w="1200" w:type="dxa"/>
            <w:tcBorders>
              <w:right w:val="single" w:color="000000" w:sz="4" w:space="0"/>
            </w:tcBorders>
            <w:vAlign w:val="top"/>
          </w:tcPr>
          <w:p w14:paraId="26E1051C">
            <w:pPr>
              <w:spacing w:before="20" w:line="281" w:lineRule="exact"/>
              <w:ind w:left="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MPN</w:t>
            </w:r>
            <w:r>
              <w:rPr>
                <w:rFonts w:ascii="Times New Roman" w:hAnsi="Times New Roman" w:eastAsia="Times New Roman" w:cs="Times New Roman"/>
                <w:spacing w:val="-1"/>
                <w:position w:val="2"/>
                <w:sz w:val="20"/>
                <w:szCs w:val="20"/>
              </w:rPr>
              <w:t xml:space="preserve">/ </w:t>
            </w:r>
            <w:r>
              <w:rPr>
                <w:rFonts w:ascii="Times New Roman" w:hAnsi="Times New Roman" w:eastAsia="Times New Roman" w:cs="Times New Roman"/>
                <w:position w:val="2"/>
                <w:sz w:val="20"/>
                <w:szCs w:val="20"/>
              </w:rPr>
              <w:t>100mL</w:t>
            </w:r>
          </w:p>
        </w:tc>
        <w:tc>
          <w:tcPr>
            <w:tcW w:w="1271" w:type="dxa"/>
            <w:tcBorders>
              <w:left w:val="single" w:color="000000" w:sz="4" w:space="0"/>
              <w:right w:val="single" w:color="000000" w:sz="4" w:space="0"/>
            </w:tcBorders>
            <w:vAlign w:val="top"/>
          </w:tcPr>
          <w:p w14:paraId="4BA0DAA4">
            <w:pPr>
              <w:spacing w:before="57" w:line="228" w:lineRule="auto"/>
              <w:ind w:left="32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56" w:type="dxa"/>
            <w:tcBorders>
              <w:left w:val="single" w:color="000000" w:sz="4" w:space="0"/>
              <w:right w:val="single" w:color="000000" w:sz="4" w:space="0"/>
            </w:tcBorders>
            <w:vAlign w:val="top"/>
          </w:tcPr>
          <w:p w14:paraId="764C31F0">
            <w:pPr>
              <w:spacing w:before="9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1357" w:type="dxa"/>
            <w:tcBorders>
              <w:left w:val="single" w:color="000000" w:sz="4" w:space="0"/>
              <w:right w:val="single" w:color="000000" w:sz="4" w:space="0"/>
            </w:tcBorders>
            <w:vAlign w:val="top"/>
          </w:tcPr>
          <w:p w14:paraId="58291DE7">
            <w:pPr>
              <w:spacing w:before="20"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CD41799">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70DCC7A">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1BF0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66F49D99">
            <w:pPr>
              <w:spacing w:before="9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470" w:type="dxa"/>
            <w:vMerge w:val="continue"/>
            <w:tcBorders>
              <w:top w:val="nil"/>
              <w:left w:val="single" w:color="000000" w:sz="4" w:space="0"/>
              <w:right w:val="single" w:color="000000" w:sz="4" w:space="0"/>
            </w:tcBorders>
            <w:vAlign w:val="top"/>
          </w:tcPr>
          <w:p w14:paraId="5A19E1F6">
            <w:pPr>
              <w:rPr>
                <w:rFonts w:ascii="Arial"/>
                <w:sz w:val="21"/>
              </w:rPr>
            </w:pPr>
          </w:p>
        </w:tc>
        <w:tc>
          <w:tcPr>
            <w:tcW w:w="1453" w:type="dxa"/>
            <w:tcBorders>
              <w:left w:val="single" w:color="000000" w:sz="4" w:space="0"/>
            </w:tcBorders>
            <w:vAlign w:val="top"/>
          </w:tcPr>
          <w:p w14:paraId="5CF59AA8">
            <w:pPr>
              <w:spacing w:before="57" w:line="229" w:lineRule="auto"/>
              <w:ind w:left="415"/>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酸盐</w:t>
            </w:r>
          </w:p>
        </w:tc>
        <w:tc>
          <w:tcPr>
            <w:tcW w:w="1200" w:type="dxa"/>
            <w:tcBorders>
              <w:right w:val="single" w:color="000000" w:sz="4" w:space="0"/>
            </w:tcBorders>
            <w:vAlign w:val="top"/>
          </w:tcPr>
          <w:p w14:paraId="58ADB99C">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3A2EB9DC">
            <w:pPr>
              <w:spacing w:before="9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23. 1</w:t>
            </w:r>
            <w:r>
              <w:rPr>
                <w:rFonts w:ascii="Times New Roman" w:hAnsi="Times New Roman" w:eastAsia="Times New Roman" w:cs="Times New Roman"/>
                <w:sz w:val="20"/>
                <w:szCs w:val="20"/>
              </w:rPr>
              <w:t>8-24.31</w:t>
            </w:r>
          </w:p>
        </w:tc>
        <w:tc>
          <w:tcPr>
            <w:tcW w:w="756" w:type="dxa"/>
            <w:tcBorders>
              <w:left w:val="single" w:color="000000" w:sz="4" w:space="0"/>
              <w:right w:val="single" w:color="000000" w:sz="4" w:space="0"/>
            </w:tcBorders>
            <w:vAlign w:val="top"/>
          </w:tcPr>
          <w:p w14:paraId="19F9C9B1">
            <w:pPr>
              <w:spacing w:before="9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0.0</w:t>
            </w:r>
          </w:p>
        </w:tc>
        <w:tc>
          <w:tcPr>
            <w:tcW w:w="1357" w:type="dxa"/>
            <w:tcBorders>
              <w:left w:val="single" w:color="000000" w:sz="4" w:space="0"/>
              <w:right w:val="single" w:color="000000" w:sz="4" w:space="0"/>
            </w:tcBorders>
            <w:vAlign w:val="top"/>
          </w:tcPr>
          <w:p w14:paraId="63015820">
            <w:pPr>
              <w:spacing w:before="9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 16- 1.22</w:t>
            </w:r>
          </w:p>
        </w:tc>
        <w:tc>
          <w:tcPr>
            <w:tcW w:w="705" w:type="dxa"/>
            <w:tcBorders>
              <w:left w:val="single" w:color="000000" w:sz="4" w:space="0"/>
            </w:tcBorders>
            <w:vAlign w:val="top"/>
          </w:tcPr>
          <w:p w14:paraId="322453D0">
            <w:pPr>
              <w:spacing w:before="9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684" w:type="dxa"/>
            <w:tcBorders>
              <w:right w:val="nil"/>
            </w:tcBorders>
            <w:vAlign w:val="top"/>
          </w:tcPr>
          <w:p w14:paraId="43176CEC">
            <w:pPr>
              <w:spacing w:before="9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.22</w:t>
            </w:r>
          </w:p>
        </w:tc>
      </w:tr>
      <w:tr w14:paraId="7E0F8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7A3C03DE">
            <w:pPr>
              <w:spacing w:before="9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70" w:type="dxa"/>
            <w:vMerge w:val="restart"/>
            <w:tcBorders>
              <w:left w:val="single" w:color="000000" w:sz="4" w:space="0"/>
              <w:bottom w:val="nil"/>
              <w:right w:val="single" w:color="000000" w:sz="4" w:space="0"/>
            </w:tcBorders>
            <w:vAlign w:val="top"/>
          </w:tcPr>
          <w:p w14:paraId="59A8FC0A">
            <w:pPr>
              <w:spacing w:line="265" w:lineRule="auto"/>
              <w:rPr>
                <w:rFonts w:ascii="Arial"/>
                <w:sz w:val="21"/>
              </w:rPr>
            </w:pPr>
          </w:p>
          <w:p w14:paraId="5C07271D">
            <w:pPr>
              <w:spacing w:line="266" w:lineRule="auto"/>
              <w:rPr>
                <w:rFonts w:ascii="Arial"/>
                <w:sz w:val="21"/>
              </w:rPr>
            </w:pPr>
          </w:p>
          <w:p w14:paraId="2871B510">
            <w:pPr>
              <w:spacing w:line="266" w:lineRule="auto"/>
              <w:rPr>
                <w:rFonts w:ascii="Arial"/>
                <w:sz w:val="21"/>
              </w:rPr>
            </w:pPr>
          </w:p>
          <w:p w14:paraId="5A7DDEF9">
            <w:pPr>
              <w:spacing w:line="266" w:lineRule="auto"/>
              <w:rPr>
                <w:rFonts w:ascii="Arial"/>
                <w:sz w:val="21"/>
              </w:rPr>
            </w:pPr>
          </w:p>
          <w:p w14:paraId="51E1AD64">
            <w:pPr>
              <w:spacing w:line="266" w:lineRule="auto"/>
              <w:rPr>
                <w:rFonts w:ascii="Arial"/>
                <w:sz w:val="21"/>
              </w:rPr>
            </w:pPr>
          </w:p>
          <w:p w14:paraId="013D6742">
            <w:pPr>
              <w:spacing w:line="266" w:lineRule="auto"/>
              <w:rPr>
                <w:rFonts w:ascii="Arial"/>
                <w:sz w:val="21"/>
              </w:rPr>
            </w:pPr>
          </w:p>
          <w:p w14:paraId="58C71A39">
            <w:pPr>
              <w:spacing w:before="65" w:line="281" w:lineRule="exact"/>
              <w:ind w:left="27"/>
              <w:rPr>
                <w:rFonts w:ascii="宋体" w:hAnsi="宋体" w:eastAsia="宋体" w:cs="宋体"/>
                <w:sz w:val="20"/>
                <w:szCs w:val="20"/>
              </w:rPr>
            </w:pPr>
            <w:r>
              <w:rPr>
                <w:rFonts w:ascii="Times New Roman" w:hAnsi="Times New Roman" w:eastAsia="Times New Roman" w:cs="Times New Roman"/>
                <w:spacing w:val="4"/>
                <w:position w:val="1"/>
                <w:sz w:val="20"/>
                <w:szCs w:val="20"/>
              </w:rPr>
              <w:t>3#</w:t>
            </w:r>
            <w:r>
              <w:rPr>
                <w:rFonts w:ascii="宋体" w:hAnsi="宋体" w:eastAsia="宋体" w:cs="宋体"/>
                <w:spacing w:val="3"/>
                <w:position w:val="1"/>
                <w:sz w:val="20"/>
                <w:szCs w:val="20"/>
              </w:rPr>
              <w:t>火</w:t>
            </w:r>
          </w:p>
          <w:p w14:paraId="08380667">
            <w:pPr>
              <w:spacing w:before="68" w:line="228" w:lineRule="auto"/>
              <w:ind w:left="27"/>
              <w:rPr>
                <w:rFonts w:ascii="宋体" w:hAnsi="宋体" w:eastAsia="宋体" w:cs="宋体"/>
                <w:sz w:val="20"/>
                <w:szCs w:val="20"/>
              </w:rPr>
            </w:pPr>
            <w:r>
              <w:rPr>
                <w:rFonts w:ascii="宋体" w:hAnsi="宋体" w:eastAsia="宋体" w:cs="宋体"/>
                <w:spacing w:val="4"/>
                <w:sz w:val="20"/>
                <w:szCs w:val="20"/>
              </w:rPr>
              <w:t>连寨</w:t>
            </w:r>
          </w:p>
          <w:p w14:paraId="11D7A7E9">
            <w:pPr>
              <w:spacing w:before="64" w:line="227" w:lineRule="auto"/>
              <w:ind w:left="133"/>
              <w:rPr>
                <w:rFonts w:ascii="宋体" w:hAnsi="宋体" w:eastAsia="宋体" w:cs="宋体"/>
                <w:sz w:val="20"/>
                <w:szCs w:val="20"/>
              </w:rPr>
            </w:pPr>
            <w:r>
              <w:rPr>
                <w:rFonts w:ascii="宋体" w:hAnsi="宋体" w:eastAsia="宋体" w:cs="宋体"/>
                <w:sz w:val="20"/>
                <w:szCs w:val="20"/>
              </w:rPr>
              <w:t>村</w:t>
            </w:r>
          </w:p>
        </w:tc>
        <w:tc>
          <w:tcPr>
            <w:tcW w:w="1453" w:type="dxa"/>
            <w:tcBorders>
              <w:left w:val="single" w:color="000000" w:sz="4" w:space="0"/>
            </w:tcBorders>
            <w:vAlign w:val="top"/>
          </w:tcPr>
          <w:p w14:paraId="3CD494BD">
            <w:pPr>
              <w:spacing w:before="98" w:line="194"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00" w:type="dxa"/>
            <w:tcBorders>
              <w:right w:val="single" w:color="000000" w:sz="4" w:space="0"/>
            </w:tcBorders>
            <w:vAlign w:val="top"/>
          </w:tcPr>
          <w:p w14:paraId="4CB6ABEE">
            <w:pPr>
              <w:spacing w:before="59" w:line="228" w:lineRule="auto"/>
              <w:ind w:left="29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c>
          <w:tcPr>
            <w:tcW w:w="1271" w:type="dxa"/>
            <w:tcBorders>
              <w:left w:val="single" w:color="000000" w:sz="4" w:space="0"/>
              <w:right w:val="single" w:color="000000" w:sz="4" w:space="0"/>
            </w:tcBorders>
            <w:vAlign w:val="top"/>
          </w:tcPr>
          <w:p w14:paraId="48CE48B6">
            <w:pPr>
              <w:spacing w:before="9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 19-7.25</w:t>
            </w:r>
          </w:p>
        </w:tc>
        <w:tc>
          <w:tcPr>
            <w:tcW w:w="756" w:type="dxa"/>
            <w:tcBorders>
              <w:left w:val="single" w:color="000000" w:sz="4" w:space="0"/>
              <w:right w:val="single" w:color="000000" w:sz="4" w:space="0"/>
            </w:tcBorders>
            <w:vAlign w:val="top"/>
          </w:tcPr>
          <w:p w14:paraId="25F6CF63">
            <w:pPr>
              <w:spacing w:before="95" w:line="195" w:lineRule="auto"/>
              <w:ind w:left="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.5-8.5</w:t>
            </w:r>
          </w:p>
        </w:tc>
        <w:tc>
          <w:tcPr>
            <w:tcW w:w="1357" w:type="dxa"/>
            <w:tcBorders>
              <w:left w:val="single" w:color="000000" w:sz="4" w:space="0"/>
              <w:right w:val="single" w:color="000000" w:sz="4" w:space="0"/>
            </w:tcBorders>
            <w:vAlign w:val="top"/>
          </w:tcPr>
          <w:p w14:paraId="368A1469">
            <w:pPr>
              <w:spacing w:before="9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0</w:t>
            </w:r>
            <w:r>
              <w:rPr>
                <w:rFonts w:ascii="Times New Roman" w:hAnsi="Times New Roman" w:eastAsia="Times New Roman" w:cs="Times New Roman"/>
                <w:spacing w:val="-6"/>
                <w:sz w:val="20"/>
                <w:szCs w:val="20"/>
              </w:rPr>
              <w:t>. 13-0. 17</w:t>
            </w:r>
          </w:p>
        </w:tc>
        <w:tc>
          <w:tcPr>
            <w:tcW w:w="705" w:type="dxa"/>
            <w:tcBorders>
              <w:left w:val="single" w:color="000000" w:sz="4" w:space="0"/>
            </w:tcBorders>
            <w:vAlign w:val="top"/>
          </w:tcPr>
          <w:p w14:paraId="0194E167">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0E17B87">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71F0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423D6022">
            <w:pPr>
              <w:spacing w:before="94"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0" w:type="dxa"/>
            <w:vMerge w:val="continue"/>
            <w:tcBorders>
              <w:top w:val="nil"/>
              <w:left w:val="single" w:color="000000" w:sz="4" w:space="0"/>
              <w:bottom w:val="nil"/>
              <w:right w:val="single" w:color="000000" w:sz="4" w:space="0"/>
            </w:tcBorders>
            <w:vAlign w:val="top"/>
          </w:tcPr>
          <w:p w14:paraId="1B421A77">
            <w:pPr>
              <w:rPr>
                <w:rFonts w:ascii="Arial"/>
                <w:sz w:val="21"/>
              </w:rPr>
            </w:pPr>
          </w:p>
        </w:tc>
        <w:tc>
          <w:tcPr>
            <w:tcW w:w="1453" w:type="dxa"/>
            <w:tcBorders>
              <w:left w:val="single" w:color="000000" w:sz="4" w:space="0"/>
            </w:tcBorders>
            <w:vAlign w:val="top"/>
          </w:tcPr>
          <w:p w14:paraId="5103AE00">
            <w:pPr>
              <w:spacing w:before="58" w:line="228" w:lineRule="auto"/>
              <w:ind w:left="415"/>
              <w:rPr>
                <w:rFonts w:ascii="宋体" w:hAnsi="宋体" w:eastAsia="宋体" w:cs="宋体"/>
                <w:sz w:val="20"/>
                <w:szCs w:val="20"/>
              </w:rPr>
            </w:pPr>
            <w:r>
              <w:rPr>
                <w:rFonts w:ascii="宋体" w:hAnsi="宋体" w:eastAsia="宋体" w:cs="宋体"/>
                <w:spacing w:val="7"/>
                <w:sz w:val="20"/>
                <w:szCs w:val="20"/>
              </w:rPr>
              <w:t>浑</w:t>
            </w:r>
            <w:r>
              <w:rPr>
                <w:rFonts w:ascii="宋体" w:hAnsi="宋体" w:eastAsia="宋体" w:cs="宋体"/>
                <w:spacing w:val="6"/>
                <w:sz w:val="20"/>
                <w:szCs w:val="20"/>
              </w:rPr>
              <w:t>浊度</w:t>
            </w:r>
          </w:p>
        </w:tc>
        <w:tc>
          <w:tcPr>
            <w:tcW w:w="1200" w:type="dxa"/>
            <w:tcBorders>
              <w:right w:val="single" w:color="000000" w:sz="4" w:space="0"/>
            </w:tcBorders>
            <w:vAlign w:val="top"/>
          </w:tcPr>
          <w:p w14:paraId="63F6AC93">
            <w:pPr>
              <w:spacing w:before="97" w:line="192"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NT</w:t>
            </w:r>
            <w:r>
              <w:rPr>
                <w:rFonts w:ascii="Times New Roman" w:hAnsi="Times New Roman" w:eastAsia="Times New Roman" w:cs="Times New Roman"/>
                <w:spacing w:val="6"/>
                <w:sz w:val="20"/>
                <w:szCs w:val="20"/>
              </w:rPr>
              <w:t>U</w:t>
            </w:r>
          </w:p>
        </w:tc>
        <w:tc>
          <w:tcPr>
            <w:tcW w:w="1271" w:type="dxa"/>
            <w:tcBorders>
              <w:left w:val="single" w:color="000000" w:sz="4" w:space="0"/>
              <w:right w:val="single" w:color="000000" w:sz="4" w:space="0"/>
            </w:tcBorders>
            <w:vAlign w:val="top"/>
          </w:tcPr>
          <w:p w14:paraId="11D10D21">
            <w:pPr>
              <w:spacing w:before="94" w:line="198"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756" w:type="dxa"/>
            <w:tcBorders>
              <w:left w:val="single" w:color="000000" w:sz="4" w:space="0"/>
              <w:right w:val="single" w:color="000000" w:sz="4" w:space="0"/>
            </w:tcBorders>
            <w:vAlign w:val="top"/>
          </w:tcPr>
          <w:p w14:paraId="15566D88">
            <w:pPr>
              <w:spacing w:before="94"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7" w:type="dxa"/>
            <w:tcBorders>
              <w:left w:val="single" w:color="000000" w:sz="4" w:space="0"/>
              <w:right w:val="single" w:color="000000" w:sz="4" w:space="0"/>
            </w:tcBorders>
            <w:vAlign w:val="top"/>
          </w:tcPr>
          <w:p w14:paraId="7828AC45">
            <w:pPr>
              <w:spacing w:before="95"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.67</w:t>
            </w:r>
          </w:p>
        </w:tc>
        <w:tc>
          <w:tcPr>
            <w:tcW w:w="705" w:type="dxa"/>
            <w:tcBorders>
              <w:left w:val="single" w:color="000000" w:sz="4" w:space="0"/>
            </w:tcBorders>
            <w:vAlign w:val="top"/>
          </w:tcPr>
          <w:p w14:paraId="48F1ECE6">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8AED9FB">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69BF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0445B169">
            <w:pPr>
              <w:spacing w:before="9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70" w:type="dxa"/>
            <w:vMerge w:val="continue"/>
            <w:tcBorders>
              <w:top w:val="nil"/>
              <w:left w:val="single" w:color="000000" w:sz="4" w:space="0"/>
              <w:bottom w:val="nil"/>
              <w:right w:val="single" w:color="000000" w:sz="4" w:space="0"/>
            </w:tcBorders>
            <w:vAlign w:val="top"/>
          </w:tcPr>
          <w:p w14:paraId="33896153">
            <w:pPr>
              <w:rPr>
                <w:rFonts w:ascii="Arial"/>
                <w:sz w:val="21"/>
              </w:rPr>
            </w:pPr>
          </w:p>
        </w:tc>
        <w:tc>
          <w:tcPr>
            <w:tcW w:w="1453" w:type="dxa"/>
            <w:tcBorders>
              <w:left w:val="single" w:color="000000" w:sz="4" w:space="0"/>
            </w:tcBorders>
            <w:vAlign w:val="top"/>
          </w:tcPr>
          <w:p w14:paraId="029E8DCE">
            <w:pPr>
              <w:spacing w:before="58" w:line="227" w:lineRule="auto"/>
              <w:ind w:left="414"/>
              <w:rPr>
                <w:rFonts w:ascii="宋体" w:hAnsi="宋体" w:eastAsia="宋体" w:cs="宋体"/>
                <w:sz w:val="20"/>
                <w:szCs w:val="20"/>
              </w:rPr>
            </w:pPr>
            <w:r>
              <w:rPr>
                <w:rFonts w:ascii="宋体" w:hAnsi="宋体" w:eastAsia="宋体" w:cs="宋体"/>
                <w:spacing w:val="7"/>
                <w:sz w:val="20"/>
                <w:szCs w:val="20"/>
              </w:rPr>
              <w:t>耗</w:t>
            </w:r>
            <w:r>
              <w:rPr>
                <w:rFonts w:ascii="宋体" w:hAnsi="宋体" w:eastAsia="宋体" w:cs="宋体"/>
                <w:spacing w:val="6"/>
                <w:sz w:val="20"/>
                <w:szCs w:val="20"/>
              </w:rPr>
              <w:t>氧量</w:t>
            </w:r>
          </w:p>
        </w:tc>
        <w:tc>
          <w:tcPr>
            <w:tcW w:w="1200" w:type="dxa"/>
            <w:tcBorders>
              <w:right w:val="single" w:color="000000" w:sz="4" w:space="0"/>
            </w:tcBorders>
            <w:vAlign w:val="top"/>
          </w:tcPr>
          <w:p w14:paraId="0FE6161A">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73C3AF55">
            <w:pPr>
              <w:spacing w:before="9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 17- 1.2</w:t>
            </w:r>
            <w:r>
              <w:rPr>
                <w:rFonts w:ascii="Times New Roman" w:hAnsi="Times New Roman" w:eastAsia="Times New Roman" w:cs="Times New Roman"/>
                <w:spacing w:val="-6"/>
                <w:sz w:val="20"/>
                <w:szCs w:val="20"/>
              </w:rPr>
              <w:t>1</w:t>
            </w:r>
          </w:p>
        </w:tc>
        <w:tc>
          <w:tcPr>
            <w:tcW w:w="756" w:type="dxa"/>
            <w:tcBorders>
              <w:left w:val="single" w:color="000000" w:sz="4" w:space="0"/>
              <w:right w:val="single" w:color="000000" w:sz="4" w:space="0"/>
            </w:tcBorders>
            <w:vAlign w:val="top"/>
          </w:tcPr>
          <w:p w14:paraId="250D0203">
            <w:pPr>
              <w:spacing w:before="9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1357" w:type="dxa"/>
            <w:tcBorders>
              <w:left w:val="single" w:color="000000" w:sz="4" w:space="0"/>
              <w:right w:val="single" w:color="000000" w:sz="4" w:space="0"/>
            </w:tcBorders>
            <w:vAlign w:val="top"/>
          </w:tcPr>
          <w:p w14:paraId="1BC40249">
            <w:pPr>
              <w:spacing w:before="9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.39-0.40</w:t>
            </w:r>
          </w:p>
        </w:tc>
        <w:tc>
          <w:tcPr>
            <w:tcW w:w="705" w:type="dxa"/>
            <w:tcBorders>
              <w:left w:val="single" w:color="000000" w:sz="4" w:space="0"/>
            </w:tcBorders>
            <w:vAlign w:val="top"/>
          </w:tcPr>
          <w:p w14:paraId="3402A2E3">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D13D6D3">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4AE2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5A695294">
            <w:pPr>
              <w:spacing w:before="94"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70" w:type="dxa"/>
            <w:vMerge w:val="continue"/>
            <w:tcBorders>
              <w:top w:val="nil"/>
              <w:left w:val="single" w:color="000000" w:sz="4" w:space="0"/>
              <w:bottom w:val="nil"/>
              <w:right w:val="single" w:color="000000" w:sz="4" w:space="0"/>
            </w:tcBorders>
            <w:vAlign w:val="top"/>
          </w:tcPr>
          <w:p w14:paraId="37F99EA5">
            <w:pPr>
              <w:rPr>
                <w:rFonts w:ascii="Arial"/>
                <w:sz w:val="21"/>
              </w:rPr>
            </w:pPr>
          </w:p>
        </w:tc>
        <w:tc>
          <w:tcPr>
            <w:tcW w:w="1453" w:type="dxa"/>
            <w:tcBorders>
              <w:left w:val="single" w:color="000000" w:sz="4" w:space="0"/>
            </w:tcBorders>
            <w:vAlign w:val="top"/>
          </w:tcPr>
          <w:p w14:paraId="2E7841CB">
            <w:pPr>
              <w:spacing w:before="58" w:line="227" w:lineRule="auto"/>
              <w:ind w:left="519"/>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1200" w:type="dxa"/>
            <w:tcBorders>
              <w:right w:val="single" w:color="000000" w:sz="4" w:space="0"/>
            </w:tcBorders>
            <w:vAlign w:val="top"/>
          </w:tcPr>
          <w:p w14:paraId="56F65647">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79409ACA">
            <w:pPr>
              <w:spacing w:before="94"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73-0.75</w:t>
            </w:r>
          </w:p>
        </w:tc>
        <w:tc>
          <w:tcPr>
            <w:tcW w:w="756" w:type="dxa"/>
            <w:tcBorders>
              <w:left w:val="single" w:color="000000" w:sz="4" w:space="0"/>
              <w:right w:val="single" w:color="000000" w:sz="4" w:space="0"/>
            </w:tcBorders>
            <w:vAlign w:val="top"/>
          </w:tcPr>
          <w:p w14:paraId="4894B37D">
            <w:pPr>
              <w:spacing w:before="94"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357" w:type="dxa"/>
            <w:tcBorders>
              <w:left w:val="single" w:color="000000" w:sz="4" w:space="0"/>
              <w:right w:val="single" w:color="000000" w:sz="4" w:space="0"/>
            </w:tcBorders>
            <w:vAlign w:val="top"/>
          </w:tcPr>
          <w:p w14:paraId="044BA8D2">
            <w:pPr>
              <w:spacing w:before="94" w:line="198"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1.46- 1.5</w:t>
            </w:r>
          </w:p>
        </w:tc>
        <w:tc>
          <w:tcPr>
            <w:tcW w:w="705" w:type="dxa"/>
            <w:tcBorders>
              <w:left w:val="single" w:color="000000" w:sz="4" w:space="0"/>
            </w:tcBorders>
            <w:vAlign w:val="top"/>
          </w:tcPr>
          <w:p w14:paraId="6F4DB78F">
            <w:pPr>
              <w:spacing w:before="9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684" w:type="dxa"/>
            <w:tcBorders>
              <w:right w:val="nil"/>
            </w:tcBorders>
            <w:vAlign w:val="top"/>
          </w:tcPr>
          <w:p w14:paraId="308F3EE2">
            <w:pPr>
              <w:spacing w:before="9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14:paraId="3C747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3D6896B0">
            <w:pPr>
              <w:spacing w:before="99" w:line="192"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0" w:type="dxa"/>
            <w:vMerge w:val="continue"/>
            <w:tcBorders>
              <w:top w:val="nil"/>
              <w:left w:val="single" w:color="000000" w:sz="4" w:space="0"/>
              <w:bottom w:val="nil"/>
              <w:right w:val="single" w:color="000000" w:sz="4" w:space="0"/>
            </w:tcBorders>
            <w:vAlign w:val="top"/>
          </w:tcPr>
          <w:p w14:paraId="4E5F99E6">
            <w:pPr>
              <w:rPr>
                <w:rFonts w:ascii="Arial"/>
                <w:sz w:val="21"/>
              </w:rPr>
            </w:pPr>
          </w:p>
        </w:tc>
        <w:tc>
          <w:tcPr>
            <w:tcW w:w="1453" w:type="dxa"/>
            <w:tcBorders>
              <w:left w:val="single" w:color="000000" w:sz="4" w:space="0"/>
            </w:tcBorders>
            <w:vAlign w:val="top"/>
          </w:tcPr>
          <w:p w14:paraId="7354AAE1">
            <w:pPr>
              <w:spacing w:before="60" w:line="228" w:lineRule="auto"/>
              <w:ind w:left="419"/>
              <w:rPr>
                <w:rFonts w:ascii="宋体" w:hAnsi="宋体" w:eastAsia="宋体" w:cs="宋体"/>
                <w:sz w:val="20"/>
                <w:szCs w:val="20"/>
              </w:rPr>
            </w:pPr>
            <w:r>
              <w:rPr>
                <w:rFonts w:ascii="宋体" w:hAnsi="宋体" w:eastAsia="宋体" w:cs="宋体"/>
                <w:spacing w:val="5"/>
                <w:sz w:val="20"/>
                <w:szCs w:val="20"/>
              </w:rPr>
              <w:t>总硬度</w:t>
            </w:r>
          </w:p>
        </w:tc>
        <w:tc>
          <w:tcPr>
            <w:tcW w:w="1200" w:type="dxa"/>
            <w:tcBorders>
              <w:right w:val="single" w:color="000000" w:sz="4" w:space="0"/>
            </w:tcBorders>
            <w:vAlign w:val="top"/>
          </w:tcPr>
          <w:p w14:paraId="6F0AAB78">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2CF465B4">
            <w:pPr>
              <w:spacing w:before="96"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457.</w:t>
            </w:r>
            <w:r>
              <w:rPr>
                <w:rFonts w:ascii="Times New Roman" w:hAnsi="Times New Roman" w:eastAsia="Times New Roman" w:cs="Times New Roman"/>
                <w:spacing w:val="-2"/>
                <w:sz w:val="20"/>
                <w:szCs w:val="20"/>
              </w:rPr>
              <w:t xml:space="preserve"> 1-462. 1</w:t>
            </w:r>
          </w:p>
        </w:tc>
        <w:tc>
          <w:tcPr>
            <w:tcW w:w="756" w:type="dxa"/>
            <w:tcBorders>
              <w:left w:val="single" w:color="000000" w:sz="4" w:space="0"/>
              <w:right w:val="single" w:color="000000" w:sz="4" w:space="0"/>
            </w:tcBorders>
            <w:vAlign w:val="top"/>
          </w:tcPr>
          <w:p w14:paraId="0389A214">
            <w:pPr>
              <w:spacing w:before="9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357" w:type="dxa"/>
            <w:tcBorders>
              <w:left w:val="single" w:color="000000" w:sz="4" w:space="0"/>
              <w:right w:val="single" w:color="000000" w:sz="4" w:space="0"/>
            </w:tcBorders>
            <w:vAlign w:val="top"/>
          </w:tcPr>
          <w:p w14:paraId="187E7713">
            <w:pPr>
              <w:spacing w:before="96" w:line="198"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1.02- 1.0</w:t>
            </w:r>
            <w:r>
              <w:rPr>
                <w:rFonts w:ascii="Times New Roman" w:hAnsi="Times New Roman" w:eastAsia="Times New Roman" w:cs="Times New Roman"/>
                <w:spacing w:val="-3"/>
                <w:sz w:val="20"/>
                <w:szCs w:val="20"/>
              </w:rPr>
              <w:t>3</w:t>
            </w:r>
          </w:p>
        </w:tc>
        <w:tc>
          <w:tcPr>
            <w:tcW w:w="705" w:type="dxa"/>
            <w:tcBorders>
              <w:left w:val="single" w:color="000000" w:sz="4" w:space="0"/>
            </w:tcBorders>
            <w:vAlign w:val="top"/>
          </w:tcPr>
          <w:p w14:paraId="63721BAB">
            <w:pPr>
              <w:spacing w:before="9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684" w:type="dxa"/>
            <w:tcBorders>
              <w:right w:val="nil"/>
            </w:tcBorders>
            <w:vAlign w:val="top"/>
          </w:tcPr>
          <w:p w14:paraId="02543635">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r>
      <w:tr w14:paraId="6B533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36C68F44">
            <w:pPr>
              <w:spacing w:before="95"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70" w:type="dxa"/>
            <w:vMerge w:val="continue"/>
            <w:tcBorders>
              <w:top w:val="nil"/>
              <w:left w:val="single" w:color="000000" w:sz="4" w:space="0"/>
              <w:bottom w:val="nil"/>
              <w:right w:val="single" w:color="000000" w:sz="4" w:space="0"/>
            </w:tcBorders>
            <w:vAlign w:val="top"/>
          </w:tcPr>
          <w:p w14:paraId="23C00C2E">
            <w:pPr>
              <w:rPr>
                <w:rFonts w:ascii="Arial"/>
                <w:sz w:val="21"/>
              </w:rPr>
            </w:pPr>
          </w:p>
        </w:tc>
        <w:tc>
          <w:tcPr>
            <w:tcW w:w="1453" w:type="dxa"/>
            <w:tcBorders>
              <w:left w:val="single" w:color="000000" w:sz="4" w:space="0"/>
            </w:tcBorders>
            <w:vAlign w:val="top"/>
          </w:tcPr>
          <w:p w14:paraId="35DCBECA">
            <w:pPr>
              <w:spacing w:before="59" w:line="229" w:lineRule="auto"/>
              <w:ind w:left="413"/>
              <w:rPr>
                <w:rFonts w:ascii="宋体" w:hAnsi="宋体" w:eastAsia="宋体" w:cs="宋体"/>
                <w:sz w:val="20"/>
                <w:szCs w:val="20"/>
              </w:rPr>
            </w:pPr>
            <w:r>
              <w:rPr>
                <w:rFonts w:ascii="宋体" w:hAnsi="宋体" w:eastAsia="宋体" w:cs="宋体"/>
                <w:spacing w:val="7"/>
                <w:sz w:val="20"/>
                <w:szCs w:val="20"/>
              </w:rPr>
              <w:t>硫酸盐</w:t>
            </w:r>
          </w:p>
        </w:tc>
        <w:tc>
          <w:tcPr>
            <w:tcW w:w="1200" w:type="dxa"/>
            <w:tcBorders>
              <w:right w:val="single" w:color="000000" w:sz="4" w:space="0"/>
            </w:tcBorders>
            <w:vAlign w:val="top"/>
          </w:tcPr>
          <w:p w14:paraId="5F43CD2B">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0D2367B8">
            <w:pPr>
              <w:spacing w:before="96" w:line="195" w:lineRule="auto"/>
              <w:ind w:left="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w:t>
            </w:r>
            <w:r>
              <w:rPr>
                <w:rFonts w:ascii="Times New Roman" w:hAnsi="Times New Roman" w:eastAsia="Times New Roman" w:cs="Times New Roman"/>
                <w:spacing w:val="-1"/>
                <w:sz w:val="20"/>
                <w:szCs w:val="20"/>
              </w:rPr>
              <w:t>4.06- 168.38</w:t>
            </w:r>
          </w:p>
        </w:tc>
        <w:tc>
          <w:tcPr>
            <w:tcW w:w="756" w:type="dxa"/>
            <w:tcBorders>
              <w:left w:val="single" w:color="000000" w:sz="4" w:space="0"/>
              <w:right w:val="single" w:color="000000" w:sz="4" w:space="0"/>
            </w:tcBorders>
            <w:vAlign w:val="top"/>
          </w:tcPr>
          <w:p w14:paraId="6A06B5A1">
            <w:pPr>
              <w:spacing w:before="9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357" w:type="dxa"/>
            <w:tcBorders>
              <w:left w:val="single" w:color="000000" w:sz="4" w:space="0"/>
              <w:right w:val="single" w:color="000000" w:sz="4" w:space="0"/>
            </w:tcBorders>
            <w:vAlign w:val="top"/>
          </w:tcPr>
          <w:p w14:paraId="35314610">
            <w:pPr>
              <w:spacing w:before="9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.66-0.67</w:t>
            </w:r>
          </w:p>
        </w:tc>
        <w:tc>
          <w:tcPr>
            <w:tcW w:w="705" w:type="dxa"/>
            <w:tcBorders>
              <w:left w:val="single" w:color="000000" w:sz="4" w:space="0"/>
            </w:tcBorders>
            <w:vAlign w:val="top"/>
          </w:tcPr>
          <w:p w14:paraId="3862EEE1">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64A2E40">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5B36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23CBBC26">
            <w:pPr>
              <w:spacing w:before="98" w:line="192"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70" w:type="dxa"/>
            <w:vMerge w:val="continue"/>
            <w:tcBorders>
              <w:top w:val="nil"/>
              <w:left w:val="single" w:color="000000" w:sz="4" w:space="0"/>
              <w:bottom w:val="nil"/>
              <w:right w:val="single" w:color="000000" w:sz="4" w:space="0"/>
            </w:tcBorders>
            <w:vAlign w:val="top"/>
          </w:tcPr>
          <w:p w14:paraId="2ABFE25C">
            <w:pPr>
              <w:rPr>
                <w:rFonts w:ascii="Arial"/>
                <w:sz w:val="21"/>
              </w:rPr>
            </w:pPr>
          </w:p>
        </w:tc>
        <w:tc>
          <w:tcPr>
            <w:tcW w:w="1453" w:type="dxa"/>
            <w:tcBorders>
              <w:left w:val="single" w:color="000000" w:sz="4" w:space="0"/>
            </w:tcBorders>
            <w:vAlign w:val="top"/>
          </w:tcPr>
          <w:p w14:paraId="2F99C39C">
            <w:pPr>
              <w:spacing w:before="59" w:line="229" w:lineRule="auto"/>
              <w:ind w:left="310"/>
              <w:rPr>
                <w:rFonts w:ascii="宋体" w:hAnsi="宋体" w:eastAsia="宋体" w:cs="宋体"/>
                <w:sz w:val="20"/>
                <w:szCs w:val="20"/>
              </w:rPr>
            </w:pPr>
            <w:r>
              <w:rPr>
                <w:rFonts w:ascii="宋体" w:hAnsi="宋体" w:eastAsia="宋体" w:cs="宋体"/>
                <w:spacing w:val="7"/>
                <w:sz w:val="20"/>
                <w:szCs w:val="20"/>
              </w:rPr>
              <w:t>亚硝酸</w:t>
            </w:r>
            <w:r>
              <w:rPr>
                <w:rFonts w:ascii="宋体" w:hAnsi="宋体" w:eastAsia="宋体" w:cs="宋体"/>
                <w:spacing w:val="6"/>
                <w:sz w:val="20"/>
                <w:szCs w:val="20"/>
              </w:rPr>
              <w:t>盐</w:t>
            </w:r>
          </w:p>
        </w:tc>
        <w:tc>
          <w:tcPr>
            <w:tcW w:w="1200" w:type="dxa"/>
            <w:tcBorders>
              <w:right w:val="single" w:color="000000" w:sz="4" w:space="0"/>
            </w:tcBorders>
            <w:vAlign w:val="top"/>
          </w:tcPr>
          <w:p w14:paraId="2ADEE6D5">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35B75207">
            <w:pPr>
              <w:spacing w:before="9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0.006-0.00</w:t>
            </w:r>
            <w:r>
              <w:rPr>
                <w:rFonts w:ascii="Times New Roman" w:hAnsi="Times New Roman" w:eastAsia="Times New Roman" w:cs="Times New Roman"/>
                <w:spacing w:val="2"/>
                <w:sz w:val="20"/>
                <w:szCs w:val="20"/>
              </w:rPr>
              <w:t>7</w:t>
            </w:r>
          </w:p>
        </w:tc>
        <w:tc>
          <w:tcPr>
            <w:tcW w:w="756" w:type="dxa"/>
            <w:tcBorders>
              <w:left w:val="single" w:color="000000" w:sz="4" w:space="0"/>
              <w:right w:val="single" w:color="000000" w:sz="4" w:space="0"/>
            </w:tcBorders>
            <w:vAlign w:val="top"/>
          </w:tcPr>
          <w:p w14:paraId="359A387F">
            <w:pPr>
              <w:spacing w:before="95"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c>
          <w:tcPr>
            <w:tcW w:w="1357" w:type="dxa"/>
            <w:tcBorders>
              <w:left w:val="single" w:color="000000" w:sz="4" w:space="0"/>
              <w:right w:val="single" w:color="000000" w:sz="4" w:space="0"/>
            </w:tcBorders>
            <w:vAlign w:val="top"/>
          </w:tcPr>
          <w:p w14:paraId="5F67B803">
            <w:pPr>
              <w:spacing w:before="95"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3"/>
                <w:sz w:val="20"/>
                <w:szCs w:val="20"/>
              </w:rPr>
              <w:t>006-0.007</w:t>
            </w:r>
          </w:p>
        </w:tc>
        <w:tc>
          <w:tcPr>
            <w:tcW w:w="705" w:type="dxa"/>
            <w:tcBorders>
              <w:left w:val="single" w:color="000000" w:sz="4" w:space="0"/>
            </w:tcBorders>
            <w:vAlign w:val="top"/>
          </w:tcPr>
          <w:p w14:paraId="79164158">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96FDF7D">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11E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125763A9">
            <w:pPr>
              <w:spacing w:before="9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70" w:type="dxa"/>
            <w:vMerge w:val="continue"/>
            <w:tcBorders>
              <w:top w:val="nil"/>
              <w:left w:val="single" w:color="000000" w:sz="4" w:space="0"/>
              <w:bottom w:val="nil"/>
              <w:right w:val="single" w:color="000000" w:sz="4" w:space="0"/>
            </w:tcBorders>
            <w:vAlign w:val="top"/>
          </w:tcPr>
          <w:p w14:paraId="717A2B9F">
            <w:pPr>
              <w:rPr>
                <w:rFonts w:ascii="Arial"/>
                <w:sz w:val="21"/>
              </w:rPr>
            </w:pPr>
          </w:p>
        </w:tc>
        <w:tc>
          <w:tcPr>
            <w:tcW w:w="1453" w:type="dxa"/>
            <w:tcBorders>
              <w:left w:val="single" w:color="000000" w:sz="4" w:space="0"/>
            </w:tcBorders>
            <w:vAlign w:val="top"/>
          </w:tcPr>
          <w:p w14:paraId="7CB355C5">
            <w:pPr>
              <w:spacing w:before="58" w:line="229" w:lineRule="auto"/>
              <w:ind w:left="417"/>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物</w:t>
            </w:r>
          </w:p>
        </w:tc>
        <w:tc>
          <w:tcPr>
            <w:tcW w:w="1200" w:type="dxa"/>
            <w:tcBorders>
              <w:right w:val="single" w:color="000000" w:sz="4" w:space="0"/>
            </w:tcBorders>
            <w:vAlign w:val="top"/>
          </w:tcPr>
          <w:p w14:paraId="0B5F4AA1">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717A1B47">
            <w:pPr>
              <w:spacing w:before="9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8.94- 19.51</w:t>
            </w:r>
          </w:p>
        </w:tc>
        <w:tc>
          <w:tcPr>
            <w:tcW w:w="756" w:type="dxa"/>
            <w:tcBorders>
              <w:left w:val="single" w:color="000000" w:sz="4" w:space="0"/>
              <w:right w:val="single" w:color="000000" w:sz="4" w:space="0"/>
            </w:tcBorders>
            <w:vAlign w:val="top"/>
          </w:tcPr>
          <w:p w14:paraId="5455E336">
            <w:pPr>
              <w:spacing w:before="94"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357" w:type="dxa"/>
            <w:tcBorders>
              <w:left w:val="single" w:color="000000" w:sz="4" w:space="0"/>
              <w:right w:val="single" w:color="000000" w:sz="4" w:space="0"/>
            </w:tcBorders>
            <w:vAlign w:val="top"/>
          </w:tcPr>
          <w:p w14:paraId="0797862D">
            <w:pPr>
              <w:spacing w:before="9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3"/>
                <w:sz w:val="20"/>
                <w:szCs w:val="20"/>
              </w:rPr>
              <w:t>076-0.078</w:t>
            </w:r>
          </w:p>
        </w:tc>
        <w:tc>
          <w:tcPr>
            <w:tcW w:w="705" w:type="dxa"/>
            <w:tcBorders>
              <w:left w:val="single" w:color="000000" w:sz="4" w:space="0"/>
            </w:tcBorders>
            <w:vAlign w:val="top"/>
          </w:tcPr>
          <w:p w14:paraId="60552E34">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4F970CA">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6C59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4554139B">
            <w:pPr>
              <w:spacing w:before="96" w:line="195"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70" w:type="dxa"/>
            <w:vMerge w:val="continue"/>
            <w:tcBorders>
              <w:top w:val="nil"/>
              <w:left w:val="single" w:color="000000" w:sz="4" w:space="0"/>
              <w:bottom w:val="nil"/>
              <w:right w:val="single" w:color="000000" w:sz="4" w:space="0"/>
            </w:tcBorders>
            <w:vAlign w:val="top"/>
          </w:tcPr>
          <w:p w14:paraId="76B41A81">
            <w:pPr>
              <w:rPr>
                <w:rFonts w:ascii="Arial"/>
                <w:sz w:val="21"/>
              </w:rPr>
            </w:pPr>
          </w:p>
        </w:tc>
        <w:tc>
          <w:tcPr>
            <w:tcW w:w="1453" w:type="dxa"/>
            <w:tcBorders>
              <w:left w:val="single" w:color="000000" w:sz="4" w:space="0"/>
            </w:tcBorders>
            <w:vAlign w:val="top"/>
          </w:tcPr>
          <w:p w14:paraId="2095F361">
            <w:pPr>
              <w:spacing w:before="60" w:line="228" w:lineRule="auto"/>
              <w:ind w:left="625"/>
              <w:rPr>
                <w:rFonts w:ascii="宋体" w:hAnsi="宋体" w:eastAsia="宋体" w:cs="宋体"/>
                <w:sz w:val="20"/>
                <w:szCs w:val="20"/>
              </w:rPr>
            </w:pPr>
            <w:r>
              <w:rPr>
                <w:rFonts w:ascii="宋体" w:hAnsi="宋体" w:eastAsia="宋体" w:cs="宋体"/>
                <w:sz w:val="20"/>
                <w:szCs w:val="20"/>
              </w:rPr>
              <w:t>钾</w:t>
            </w:r>
          </w:p>
        </w:tc>
        <w:tc>
          <w:tcPr>
            <w:tcW w:w="1200" w:type="dxa"/>
            <w:tcBorders>
              <w:right w:val="single" w:color="000000" w:sz="4" w:space="0"/>
            </w:tcBorders>
            <w:vAlign w:val="top"/>
          </w:tcPr>
          <w:p w14:paraId="0595B74F">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3F99003B">
            <w:pPr>
              <w:spacing w:before="96"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.93-8.04</w:t>
            </w:r>
          </w:p>
        </w:tc>
        <w:tc>
          <w:tcPr>
            <w:tcW w:w="756" w:type="dxa"/>
            <w:tcBorders>
              <w:left w:val="single" w:color="000000" w:sz="4" w:space="0"/>
              <w:right w:val="single" w:color="000000" w:sz="4" w:space="0"/>
            </w:tcBorders>
            <w:vAlign w:val="top"/>
          </w:tcPr>
          <w:p w14:paraId="4531ABC2">
            <w:pPr>
              <w:spacing w:before="22"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7A005027">
            <w:pPr>
              <w:spacing w:before="22"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21A666F">
            <w:pPr>
              <w:spacing w:before="22"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466A1C40">
            <w:pPr>
              <w:spacing w:before="22"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72617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111428DE">
            <w:pPr>
              <w:spacing w:before="9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70" w:type="dxa"/>
            <w:vMerge w:val="continue"/>
            <w:tcBorders>
              <w:top w:val="nil"/>
              <w:left w:val="single" w:color="000000" w:sz="4" w:space="0"/>
              <w:bottom w:val="nil"/>
              <w:right w:val="single" w:color="000000" w:sz="4" w:space="0"/>
            </w:tcBorders>
            <w:vAlign w:val="top"/>
          </w:tcPr>
          <w:p w14:paraId="4CDF0E65">
            <w:pPr>
              <w:rPr>
                <w:rFonts w:ascii="Arial"/>
                <w:sz w:val="21"/>
              </w:rPr>
            </w:pPr>
          </w:p>
        </w:tc>
        <w:tc>
          <w:tcPr>
            <w:tcW w:w="1453" w:type="dxa"/>
            <w:tcBorders>
              <w:left w:val="single" w:color="000000" w:sz="4" w:space="0"/>
            </w:tcBorders>
            <w:vAlign w:val="top"/>
          </w:tcPr>
          <w:p w14:paraId="75111576">
            <w:pPr>
              <w:spacing w:before="59" w:line="230" w:lineRule="auto"/>
              <w:ind w:left="624"/>
              <w:rPr>
                <w:rFonts w:ascii="宋体" w:hAnsi="宋体" w:eastAsia="宋体" w:cs="宋体"/>
                <w:sz w:val="20"/>
                <w:szCs w:val="20"/>
              </w:rPr>
            </w:pPr>
            <w:r>
              <w:rPr>
                <w:rFonts w:ascii="宋体" w:hAnsi="宋体" w:eastAsia="宋体" w:cs="宋体"/>
                <w:spacing w:val="1"/>
                <w:sz w:val="20"/>
                <w:szCs w:val="20"/>
              </w:rPr>
              <w:t>钙</w:t>
            </w:r>
          </w:p>
        </w:tc>
        <w:tc>
          <w:tcPr>
            <w:tcW w:w="1200" w:type="dxa"/>
            <w:tcBorders>
              <w:right w:val="single" w:color="000000" w:sz="4" w:space="0"/>
            </w:tcBorders>
            <w:vAlign w:val="top"/>
          </w:tcPr>
          <w:p w14:paraId="18071791">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694778CA">
            <w:pPr>
              <w:spacing w:before="95" w:line="195" w:lineRule="auto"/>
              <w:ind w:left="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7.38- 138.34</w:t>
            </w:r>
          </w:p>
        </w:tc>
        <w:tc>
          <w:tcPr>
            <w:tcW w:w="756" w:type="dxa"/>
            <w:tcBorders>
              <w:left w:val="single" w:color="000000" w:sz="4" w:space="0"/>
              <w:right w:val="single" w:color="000000" w:sz="4" w:space="0"/>
            </w:tcBorders>
            <w:vAlign w:val="top"/>
          </w:tcPr>
          <w:p w14:paraId="450BA6DF">
            <w:pPr>
              <w:spacing w:before="9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357" w:type="dxa"/>
            <w:tcBorders>
              <w:left w:val="single" w:color="000000" w:sz="4" w:space="0"/>
              <w:right w:val="single" w:color="000000" w:sz="4" w:space="0"/>
            </w:tcBorders>
            <w:vAlign w:val="top"/>
          </w:tcPr>
          <w:p w14:paraId="7A60E068">
            <w:pPr>
              <w:spacing w:before="9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.68-0.69</w:t>
            </w:r>
          </w:p>
        </w:tc>
        <w:tc>
          <w:tcPr>
            <w:tcW w:w="705" w:type="dxa"/>
            <w:tcBorders>
              <w:left w:val="single" w:color="000000" w:sz="4" w:space="0"/>
            </w:tcBorders>
            <w:vAlign w:val="top"/>
          </w:tcPr>
          <w:p w14:paraId="0C57FA1F">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BE83DFF">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BB73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19A30AF1">
            <w:pPr>
              <w:spacing w:before="95"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470" w:type="dxa"/>
            <w:vMerge w:val="continue"/>
            <w:tcBorders>
              <w:top w:val="nil"/>
              <w:left w:val="single" w:color="000000" w:sz="4" w:space="0"/>
              <w:bottom w:val="nil"/>
              <w:right w:val="single" w:color="000000" w:sz="4" w:space="0"/>
            </w:tcBorders>
            <w:vAlign w:val="top"/>
          </w:tcPr>
          <w:p w14:paraId="0F1CA4DF">
            <w:pPr>
              <w:rPr>
                <w:rFonts w:ascii="Arial"/>
                <w:sz w:val="21"/>
              </w:rPr>
            </w:pPr>
          </w:p>
        </w:tc>
        <w:tc>
          <w:tcPr>
            <w:tcW w:w="1453" w:type="dxa"/>
            <w:tcBorders>
              <w:left w:val="single" w:color="000000" w:sz="4" w:space="0"/>
            </w:tcBorders>
            <w:vAlign w:val="top"/>
          </w:tcPr>
          <w:p w14:paraId="39F434AD">
            <w:pPr>
              <w:spacing w:before="59" w:line="229" w:lineRule="auto"/>
              <w:ind w:left="624"/>
              <w:rPr>
                <w:rFonts w:ascii="宋体" w:hAnsi="宋体" w:eastAsia="宋体" w:cs="宋体"/>
                <w:sz w:val="20"/>
                <w:szCs w:val="20"/>
              </w:rPr>
            </w:pPr>
            <w:r>
              <w:rPr>
                <w:rFonts w:ascii="宋体" w:hAnsi="宋体" w:eastAsia="宋体" w:cs="宋体"/>
                <w:spacing w:val="1"/>
                <w:sz w:val="20"/>
                <w:szCs w:val="20"/>
              </w:rPr>
              <w:t>钠</w:t>
            </w:r>
          </w:p>
        </w:tc>
        <w:tc>
          <w:tcPr>
            <w:tcW w:w="1200" w:type="dxa"/>
            <w:tcBorders>
              <w:right w:val="single" w:color="000000" w:sz="4" w:space="0"/>
            </w:tcBorders>
            <w:vAlign w:val="top"/>
          </w:tcPr>
          <w:p w14:paraId="35F040AE">
            <w:pPr>
              <w:spacing w:before="21"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6A7DE97B">
            <w:pPr>
              <w:spacing w:before="95"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3.84-24.32</w:t>
            </w:r>
          </w:p>
        </w:tc>
        <w:tc>
          <w:tcPr>
            <w:tcW w:w="756" w:type="dxa"/>
            <w:tcBorders>
              <w:left w:val="single" w:color="000000" w:sz="4" w:space="0"/>
              <w:right w:val="single" w:color="000000" w:sz="4" w:space="0"/>
            </w:tcBorders>
            <w:vAlign w:val="top"/>
          </w:tcPr>
          <w:p w14:paraId="5BFA521D">
            <w:pPr>
              <w:spacing w:before="21"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33C77937">
            <w:pPr>
              <w:spacing w:before="21"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9881AD5">
            <w:pPr>
              <w:spacing w:before="21"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697EC13C">
            <w:pPr>
              <w:spacing w:before="21"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2B0B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55" w:type="dxa"/>
            <w:tcBorders>
              <w:left w:val="nil"/>
              <w:right w:val="single" w:color="000000" w:sz="4" w:space="0"/>
            </w:tcBorders>
            <w:vAlign w:val="top"/>
          </w:tcPr>
          <w:p w14:paraId="2CD1AF09">
            <w:pPr>
              <w:spacing w:before="9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470" w:type="dxa"/>
            <w:vMerge w:val="continue"/>
            <w:tcBorders>
              <w:top w:val="nil"/>
              <w:left w:val="single" w:color="000000" w:sz="4" w:space="0"/>
              <w:bottom w:val="nil"/>
              <w:right w:val="single" w:color="000000" w:sz="4" w:space="0"/>
            </w:tcBorders>
            <w:vAlign w:val="top"/>
          </w:tcPr>
          <w:p w14:paraId="23E8DCFB">
            <w:pPr>
              <w:rPr>
                <w:rFonts w:ascii="Arial"/>
                <w:sz w:val="21"/>
              </w:rPr>
            </w:pPr>
          </w:p>
        </w:tc>
        <w:tc>
          <w:tcPr>
            <w:tcW w:w="1453" w:type="dxa"/>
            <w:tcBorders>
              <w:left w:val="single" w:color="000000" w:sz="4" w:space="0"/>
            </w:tcBorders>
            <w:vAlign w:val="top"/>
          </w:tcPr>
          <w:p w14:paraId="3C03C773">
            <w:pPr>
              <w:spacing w:before="58" w:line="230" w:lineRule="auto"/>
              <w:ind w:left="624"/>
              <w:rPr>
                <w:rFonts w:ascii="宋体" w:hAnsi="宋体" w:eastAsia="宋体" w:cs="宋体"/>
                <w:sz w:val="20"/>
                <w:szCs w:val="20"/>
              </w:rPr>
            </w:pPr>
            <w:r>
              <w:rPr>
                <w:rFonts w:ascii="宋体" w:hAnsi="宋体" w:eastAsia="宋体" w:cs="宋体"/>
                <w:spacing w:val="1"/>
                <w:sz w:val="20"/>
                <w:szCs w:val="20"/>
              </w:rPr>
              <w:t>镁</w:t>
            </w:r>
          </w:p>
        </w:tc>
        <w:tc>
          <w:tcPr>
            <w:tcW w:w="1200" w:type="dxa"/>
            <w:tcBorders>
              <w:right w:val="single" w:color="000000" w:sz="4" w:space="0"/>
            </w:tcBorders>
            <w:vAlign w:val="top"/>
          </w:tcPr>
          <w:p w14:paraId="46802059">
            <w:pPr>
              <w:spacing w:before="23"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0554CE1E">
            <w:pPr>
              <w:spacing w:before="9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6.76-28.03</w:t>
            </w:r>
          </w:p>
        </w:tc>
        <w:tc>
          <w:tcPr>
            <w:tcW w:w="756" w:type="dxa"/>
            <w:tcBorders>
              <w:left w:val="single" w:color="000000" w:sz="4" w:space="0"/>
              <w:right w:val="single" w:color="000000" w:sz="4" w:space="0"/>
            </w:tcBorders>
            <w:vAlign w:val="top"/>
          </w:tcPr>
          <w:p w14:paraId="2551AFD5">
            <w:pPr>
              <w:spacing w:before="21"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3E9D439D">
            <w:pPr>
              <w:spacing w:before="21"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AAE1112">
            <w:pPr>
              <w:spacing w:before="21"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424E33E4">
            <w:pPr>
              <w:spacing w:before="21"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62DFC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55" w:type="dxa"/>
            <w:tcBorders>
              <w:left w:val="nil"/>
              <w:right w:val="single" w:color="000000" w:sz="4" w:space="0"/>
            </w:tcBorders>
            <w:vAlign w:val="top"/>
          </w:tcPr>
          <w:p w14:paraId="58D17D10">
            <w:pPr>
              <w:spacing w:before="96"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470" w:type="dxa"/>
            <w:vMerge w:val="continue"/>
            <w:tcBorders>
              <w:top w:val="nil"/>
              <w:left w:val="single" w:color="000000" w:sz="4" w:space="0"/>
              <w:right w:val="single" w:color="000000" w:sz="4" w:space="0"/>
            </w:tcBorders>
            <w:vAlign w:val="top"/>
          </w:tcPr>
          <w:p w14:paraId="3EFCF85F">
            <w:pPr>
              <w:rPr>
                <w:rFonts w:ascii="Arial"/>
                <w:sz w:val="21"/>
              </w:rPr>
            </w:pPr>
          </w:p>
        </w:tc>
        <w:tc>
          <w:tcPr>
            <w:tcW w:w="1453" w:type="dxa"/>
            <w:tcBorders>
              <w:left w:val="single" w:color="000000" w:sz="4" w:space="0"/>
            </w:tcBorders>
            <w:vAlign w:val="top"/>
          </w:tcPr>
          <w:p w14:paraId="3E422F5D">
            <w:pPr>
              <w:spacing w:before="60" w:line="228" w:lineRule="auto"/>
              <w:ind w:left="413"/>
              <w:rPr>
                <w:rFonts w:ascii="宋体" w:hAnsi="宋体" w:eastAsia="宋体" w:cs="宋体"/>
                <w:sz w:val="20"/>
                <w:szCs w:val="20"/>
              </w:rPr>
            </w:pPr>
            <w:r>
              <w:rPr>
                <w:rFonts w:ascii="宋体" w:hAnsi="宋体" w:eastAsia="宋体" w:cs="宋体"/>
                <w:spacing w:val="7"/>
                <w:sz w:val="20"/>
                <w:szCs w:val="20"/>
              </w:rPr>
              <w:t>碳酸</w:t>
            </w:r>
            <w:r>
              <w:rPr>
                <w:rFonts w:ascii="宋体" w:hAnsi="宋体" w:eastAsia="宋体" w:cs="宋体"/>
                <w:spacing w:val="6"/>
                <w:sz w:val="20"/>
                <w:szCs w:val="20"/>
              </w:rPr>
              <w:t>根</w:t>
            </w:r>
          </w:p>
        </w:tc>
        <w:tc>
          <w:tcPr>
            <w:tcW w:w="1200" w:type="dxa"/>
            <w:tcBorders>
              <w:right w:val="single" w:color="000000" w:sz="4" w:space="0"/>
            </w:tcBorders>
            <w:vAlign w:val="top"/>
          </w:tcPr>
          <w:p w14:paraId="4F819BC8">
            <w:pPr>
              <w:spacing w:before="22"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6CF1D611">
            <w:pPr>
              <w:spacing w:before="60" w:line="228" w:lineRule="auto"/>
              <w:ind w:left="32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56" w:type="dxa"/>
            <w:tcBorders>
              <w:left w:val="single" w:color="000000" w:sz="4" w:space="0"/>
              <w:right w:val="single" w:color="000000" w:sz="4" w:space="0"/>
            </w:tcBorders>
            <w:vAlign w:val="top"/>
          </w:tcPr>
          <w:p w14:paraId="37861D94">
            <w:pPr>
              <w:spacing w:before="22"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2687A242">
            <w:pPr>
              <w:spacing w:before="22"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D7BF8D1">
            <w:pPr>
              <w:spacing w:before="22"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04294BC4">
            <w:pPr>
              <w:spacing w:before="22"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14:paraId="1AC0BAA9">
      <w:pPr>
        <w:rPr>
          <w:rFonts w:ascii="Arial"/>
          <w:sz w:val="21"/>
        </w:rPr>
      </w:pPr>
    </w:p>
    <w:p w14:paraId="5494084C">
      <w:pPr>
        <w:sectPr>
          <w:headerReference r:id="rId173" w:type="default"/>
          <w:footerReference r:id="rId174" w:type="default"/>
          <w:pgSz w:w="11906" w:h="16839"/>
          <w:pgMar w:top="1132" w:right="1777" w:bottom="1182" w:left="1777" w:header="878" w:footer="1022" w:gutter="0"/>
          <w:cols w:space="720" w:num="1"/>
        </w:sectPr>
      </w:pPr>
    </w:p>
    <w:p w14:paraId="06F8316E">
      <w:r>
        <w:pict>
          <v:shape id="_x0000_s1223" o:spid="_x0000_s1223" style="position:absolute;left:0pt;margin-left:90pt;margin-top:57.35pt;height:0.75pt;width:415.3pt;mso-position-horizontal-relative:page;mso-position-vertical-relative:page;z-index:251875328;mso-width-relative:page;mso-height-relative:page;" fillcolor="#000000" filled="t" stroked="f" coordsize="8305,15" o:allowincell="f" path="m0,0l8305,0,8305,14,0,14,0,0xe">
            <v:path/>
            <v:fill on="t" focussize="0,0"/>
            <v:stroke on="f"/>
            <v:imagedata o:title=""/>
            <o:lock v:ext="edit"/>
          </v:shape>
        </w:pict>
      </w:r>
    </w:p>
    <w:p w14:paraId="57AE1DA5">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470"/>
        <w:gridCol w:w="1453"/>
        <w:gridCol w:w="1200"/>
        <w:gridCol w:w="1271"/>
        <w:gridCol w:w="756"/>
        <w:gridCol w:w="1357"/>
        <w:gridCol w:w="705"/>
        <w:gridCol w:w="684"/>
      </w:tblGrid>
      <w:tr w14:paraId="61516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55" w:type="dxa"/>
            <w:tcBorders>
              <w:left w:val="nil"/>
              <w:right w:val="single" w:color="000000" w:sz="4" w:space="0"/>
            </w:tcBorders>
            <w:vAlign w:val="top"/>
          </w:tcPr>
          <w:p w14:paraId="5E209D4B">
            <w:pPr>
              <w:spacing w:before="111"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470" w:type="dxa"/>
            <w:vMerge w:val="restart"/>
            <w:tcBorders>
              <w:left w:val="single" w:color="000000" w:sz="4" w:space="0"/>
              <w:bottom w:val="nil"/>
              <w:right w:val="single" w:color="000000" w:sz="4" w:space="0"/>
            </w:tcBorders>
            <w:vAlign w:val="top"/>
          </w:tcPr>
          <w:p w14:paraId="114A9100">
            <w:pPr>
              <w:rPr>
                <w:rFonts w:ascii="Arial"/>
                <w:sz w:val="21"/>
              </w:rPr>
            </w:pPr>
          </w:p>
        </w:tc>
        <w:tc>
          <w:tcPr>
            <w:tcW w:w="1453" w:type="dxa"/>
            <w:tcBorders>
              <w:left w:val="single" w:color="000000" w:sz="4" w:space="0"/>
            </w:tcBorders>
            <w:vAlign w:val="top"/>
          </w:tcPr>
          <w:p w14:paraId="625B369F">
            <w:pPr>
              <w:spacing w:before="76" w:line="228" w:lineRule="auto"/>
              <w:ind w:left="308"/>
              <w:rPr>
                <w:rFonts w:ascii="宋体" w:hAnsi="宋体" w:eastAsia="宋体" w:cs="宋体"/>
                <w:sz w:val="20"/>
                <w:szCs w:val="20"/>
              </w:rPr>
            </w:pPr>
            <w:r>
              <w:rPr>
                <w:rFonts w:ascii="宋体" w:hAnsi="宋体" w:eastAsia="宋体" w:cs="宋体"/>
                <w:spacing w:val="8"/>
                <w:sz w:val="20"/>
                <w:szCs w:val="20"/>
              </w:rPr>
              <w:t>碳</w:t>
            </w:r>
            <w:r>
              <w:rPr>
                <w:rFonts w:ascii="宋体" w:hAnsi="宋体" w:eastAsia="宋体" w:cs="宋体"/>
                <w:spacing w:val="7"/>
                <w:sz w:val="20"/>
                <w:szCs w:val="20"/>
              </w:rPr>
              <w:t>酸氢根</w:t>
            </w:r>
          </w:p>
        </w:tc>
        <w:tc>
          <w:tcPr>
            <w:tcW w:w="1200" w:type="dxa"/>
            <w:tcBorders>
              <w:right w:val="single" w:color="000000" w:sz="4" w:space="0"/>
            </w:tcBorders>
            <w:vAlign w:val="top"/>
          </w:tcPr>
          <w:p w14:paraId="429320CE">
            <w:pPr>
              <w:spacing w:before="4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02027C8F">
            <w:pPr>
              <w:spacing w:before="111"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4"/>
                <w:sz w:val="20"/>
                <w:szCs w:val="20"/>
              </w:rPr>
              <w:t>3.4-64.8</w:t>
            </w:r>
          </w:p>
        </w:tc>
        <w:tc>
          <w:tcPr>
            <w:tcW w:w="756" w:type="dxa"/>
            <w:tcBorders>
              <w:left w:val="single" w:color="000000" w:sz="4" w:space="0"/>
              <w:right w:val="single" w:color="000000" w:sz="4" w:space="0"/>
            </w:tcBorders>
            <w:vAlign w:val="top"/>
          </w:tcPr>
          <w:p w14:paraId="0201AD2F">
            <w:pPr>
              <w:spacing w:before="38" w:line="281"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357" w:type="dxa"/>
            <w:tcBorders>
              <w:left w:val="single" w:color="000000" w:sz="4" w:space="0"/>
              <w:right w:val="single" w:color="000000" w:sz="4" w:space="0"/>
            </w:tcBorders>
            <w:vAlign w:val="top"/>
          </w:tcPr>
          <w:p w14:paraId="14B382EE">
            <w:pPr>
              <w:spacing w:before="38"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080F465">
            <w:pPr>
              <w:spacing w:before="38"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69675E8C">
            <w:pPr>
              <w:spacing w:before="38"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681FA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5" w:type="dxa"/>
            <w:tcBorders>
              <w:left w:val="nil"/>
              <w:right w:val="single" w:color="000000" w:sz="4" w:space="0"/>
            </w:tcBorders>
            <w:vAlign w:val="top"/>
          </w:tcPr>
          <w:p w14:paraId="1509802C">
            <w:pPr>
              <w:spacing w:before="9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70" w:type="dxa"/>
            <w:vMerge w:val="continue"/>
            <w:tcBorders>
              <w:top w:val="nil"/>
              <w:left w:val="single" w:color="000000" w:sz="4" w:space="0"/>
              <w:bottom w:val="nil"/>
              <w:right w:val="single" w:color="000000" w:sz="4" w:space="0"/>
            </w:tcBorders>
            <w:vAlign w:val="top"/>
          </w:tcPr>
          <w:p w14:paraId="61D783EC">
            <w:pPr>
              <w:rPr>
                <w:rFonts w:ascii="Arial"/>
                <w:sz w:val="21"/>
              </w:rPr>
            </w:pPr>
          </w:p>
        </w:tc>
        <w:tc>
          <w:tcPr>
            <w:tcW w:w="1453" w:type="dxa"/>
            <w:tcBorders>
              <w:left w:val="single" w:color="000000" w:sz="4" w:space="0"/>
            </w:tcBorders>
            <w:vAlign w:val="top"/>
          </w:tcPr>
          <w:p w14:paraId="56A50DD0">
            <w:pPr>
              <w:spacing w:before="56" w:line="228" w:lineRule="auto"/>
              <w:ind w:left="312"/>
              <w:rPr>
                <w:rFonts w:ascii="宋体" w:hAnsi="宋体" w:eastAsia="宋体" w:cs="宋体"/>
                <w:sz w:val="20"/>
                <w:szCs w:val="20"/>
              </w:rPr>
            </w:pPr>
            <w:r>
              <w:rPr>
                <w:rFonts w:ascii="宋体" w:hAnsi="宋体" w:eastAsia="宋体" w:cs="宋体"/>
                <w:spacing w:val="7"/>
                <w:sz w:val="20"/>
                <w:szCs w:val="20"/>
              </w:rPr>
              <w:t>菌</w:t>
            </w:r>
            <w:r>
              <w:rPr>
                <w:rFonts w:ascii="宋体" w:hAnsi="宋体" w:eastAsia="宋体" w:cs="宋体"/>
                <w:spacing w:val="6"/>
                <w:sz w:val="20"/>
                <w:szCs w:val="20"/>
              </w:rPr>
              <w:t>落总数</w:t>
            </w:r>
          </w:p>
        </w:tc>
        <w:tc>
          <w:tcPr>
            <w:tcW w:w="1200" w:type="dxa"/>
            <w:tcBorders>
              <w:right w:val="single" w:color="000000" w:sz="4" w:space="0"/>
            </w:tcBorders>
            <w:vAlign w:val="top"/>
          </w:tcPr>
          <w:p w14:paraId="1F121A3C">
            <w:pPr>
              <w:spacing w:before="18" w:line="281" w:lineRule="exact"/>
              <w:ind w:left="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CFU</w:t>
            </w:r>
            <w:r>
              <w:rPr>
                <w:rFonts w:ascii="Times New Roman" w:hAnsi="Times New Roman" w:eastAsia="Times New Roman" w:cs="Times New Roman"/>
                <w:spacing w:val="26"/>
                <w:position w:val="2"/>
                <w:sz w:val="20"/>
                <w:szCs w:val="20"/>
              </w:rPr>
              <w:t>/</w:t>
            </w:r>
            <w:r>
              <w:rPr>
                <w:rFonts w:ascii="Times New Roman" w:hAnsi="Times New Roman" w:eastAsia="Times New Roman" w:cs="Times New Roman"/>
                <w:position w:val="2"/>
                <w:sz w:val="20"/>
                <w:szCs w:val="20"/>
              </w:rPr>
              <w:t>mL</w:t>
            </w:r>
          </w:p>
        </w:tc>
        <w:tc>
          <w:tcPr>
            <w:tcW w:w="1271" w:type="dxa"/>
            <w:tcBorders>
              <w:left w:val="single" w:color="000000" w:sz="4" w:space="0"/>
              <w:right w:val="single" w:color="000000" w:sz="4" w:space="0"/>
            </w:tcBorders>
            <w:vAlign w:val="top"/>
          </w:tcPr>
          <w:p w14:paraId="774E1190">
            <w:pPr>
              <w:spacing w:before="9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-38</w:t>
            </w:r>
          </w:p>
        </w:tc>
        <w:tc>
          <w:tcPr>
            <w:tcW w:w="756" w:type="dxa"/>
            <w:tcBorders>
              <w:left w:val="single" w:color="000000" w:sz="4" w:space="0"/>
              <w:right w:val="single" w:color="000000" w:sz="4" w:space="0"/>
            </w:tcBorders>
            <w:vAlign w:val="top"/>
          </w:tcPr>
          <w:p w14:paraId="37FCA1AF">
            <w:pPr>
              <w:spacing w:before="92"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57" w:type="dxa"/>
            <w:tcBorders>
              <w:left w:val="single" w:color="000000" w:sz="4" w:space="0"/>
              <w:right w:val="single" w:color="000000" w:sz="4" w:space="0"/>
            </w:tcBorders>
            <w:vAlign w:val="top"/>
          </w:tcPr>
          <w:p w14:paraId="3EA5D136">
            <w:pPr>
              <w:spacing w:before="9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.34-0.38</w:t>
            </w:r>
          </w:p>
        </w:tc>
        <w:tc>
          <w:tcPr>
            <w:tcW w:w="705" w:type="dxa"/>
            <w:tcBorders>
              <w:left w:val="single" w:color="000000" w:sz="4" w:space="0"/>
            </w:tcBorders>
            <w:vAlign w:val="top"/>
          </w:tcPr>
          <w:p w14:paraId="7718FEFB">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26EE8FE">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F27D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55" w:type="dxa"/>
            <w:tcBorders>
              <w:left w:val="nil"/>
              <w:right w:val="single" w:color="000000" w:sz="4" w:space="0"/>
            </w:tcBorders>
            <w:vAlign w:val="top"/>
          </w:tcPr>
          <w:p w14:paraId="1531B6CD">
            <w:pPr>
              <w:spacing w:before="9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470" w:type="dxa"/>
            <w:vMerge w:val="continue"/>
            <w:tcBorders>
              <w:top w:val="nil"/>
              <w:left w:val="single" w:color="000000" w:sz="4" w:space="0"/>
              <w:bottom w:val="nil"/>
              <w:right w:val="single" w:color="000000" w:sz="4" w:space="0"/>
            </w:tcBorders>
            <w:vAlign w:val="top"/>
          </w:tcPr>
          <w:p w14:paraId="4C619189">
            <w:pPr>
              <w:rPr>
                <w:rFonts w:ascii="Arial"/>
                <w:sz w:val="21"/>
              </w:rPr>
            </w:pPr>
          </w:p>
        </w:tc>
        <w:tc>
          <w:tcPr>
            <w:tcW w:w="1453" w:type="dxa"/>
            <w:tcBorders>
              <w:left w:val="single" w:color="000000" w:sz="4" w:space="0"/>
            </w:tcBorders>
            <w:vAlign w:val="top"/>
          </w:tcPr>
          <w:p w14:paraId="3F79C184">
            <w:pPr>
              <w:spacing w:before="56" w:line="228" w:lineRule="auto"/>
              <w:ind w:left="210"/>
              <w:rPr>
                <w:rFonts w:ascii="宋体" w:hAnsi="宋体" w:eastAsia="宋体" w:cs="宋体"/>
                <w:sz w:val="20"/>
                <w:szCs w:val="20"/>
              </w:rPr>
            </w:pPr>
            <w:r>
              <w:rPr>
                <w:rFonts w:ascii="宋体" w:hAnsi="宋体" w:eastAsia="宋体" w:cs="宋体"/>
                <w:spacing w:val="7"/>
                <w:sz w:val="20"/>
                <w:szCs w:val="20"/>
              </w:rPr>
              <w:t>总大肠菌群</w:t>
            </w:r>
          </w:p>
        </w:tc>
        <w:tc>
          <w:tcPr>
            <w:tcW w:w="1200" w:type="dxa"/>
            <w:tcBorders>
              <w:right w:val="single" w:color="000000" w:sz="4" w:space="0"/>
            </w:tcBorders>
            <w:vAlign w:val="top"/>
          </w:tcPr>
          <w:p w14:paraId="25EAFD0A">
            <w:pPr>
              <w:spacing w:before="19" w:line="281" w:lineRule="exact"/>
              <w:ind w:left="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MPN</w:t>
            </w:r>
            <w:r>
              <w:rPr>
                <w:rFonts w:ascii="Times New Roman" w:hAnsi="Times New Roman" w:eastAsia="Times New Roman" w:cs="Times New Roman"/>
                <w:spacing w:val="-1"/>
                <w:position w:val="2"/>
                <w:sz w:val="20"/>
                <w:szCs w:val="20"/>
              </w:rPr>
              <w:t xml:space="preserve">/ </w:t>
            </w:r>
            <w:r>
              <w:rPr>
                <w:rFonts w:ascii="Times New Roman" w:hAnsi="Times New Roman" w:eastAsia="Times New Roman" w:cs="Times New Roman"/>
                <w:position w:val="2"/>
                <w:sz w:val="20"/>
                <w:szCs w:val="20"/>
              </w:rPr>
              <w:t>100mL</w:t>
            </w:r>
          </w:p>
        </w:tc>
        <w:tc>
          <w:tcPr>
            <w:tcW w:w="1271" w:type="dxa"/>
            <w:tcBorders>
              <w:left w:val="single" w:color="000000" w:sz="4" w:space="0"/>
              <w:right w:val="single" w:color="000000" w:sz="4" w:space="0"/>
            </w:tcBorders>
            <w:vAlign w:val="top"/>
          </w:tcPr>
          <w:p w14:paraId="6819DCC8">
            <w:pPr>
              <w:spacing w:before="56" w:line="228" w:lineRule="auto"/>
              <w:ind w:left="327"/>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56" w:type="dxa"/>
            <w:tcBorders>
              <w:left w:val="single" w:color="000000" w:sz="4" w:space="0"/>
              <w:right w:val="single" w:color="000000" w:sz="4" w:space="0"/>
            </w:tcBorders>
            <w:vAlign w:val="top"/>
          </w:tcPr>
          <w:p w14:paraId="267CB8A2">
            <w:pPr>
              <w:spacing w:before="9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w:t>
            </w:r>
          </w:p>
        </w:tc>
        <w:tc>
          <w:tcPr>
            <w:tcW w:w="1357" w:type="dxa"/>
            <w:tcBorders>
              <w:left w:val="single" w:color="000000" w:sz="4" w:space="0"/>
              <w:right w:val="single" w:color="000000" w:sz="4" w:space="0"/>
            </w:tcBorders>
            <w:vAlign w:val="top"/>
          </w:tcPr>
          <w:p w14:paraId="3271BFEA">
            <w:pPr>
              <w:spacing w:before="19" w:line="281"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B9059F8">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49BC195">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E140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5" w:type="dxa"/>
            <w:tcBorders>
              <w:left w:val="nil"/>
              <w:right w:val="single" w:color="000000" w:sz="4" w:space="0"/>
            </w:tcBorders>
            <w:vAlign w:val="top"/>
          </w:tcPr>
          <w:p w14:paraId="52FB3177">
            <w:pPr>
              <w:spacing w:before="9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470" w:type="dxa"/>
            <w:vMerge w:val="continue"/>
            <w:tcBorders>
              <w:top w:val="nil"/>
              <w:left w:val="single" w:color="000000" w:sz="4" w:space="0"/>
              <w:right w:val="single" w:color="000000" w:sz="4" w:space="0"/>
            </w:tcBorders>
            <w:vAlign w:val="top"/>
          </w:tcPr>
          <w:p w14:paraId="790CC04B">
            <w:pPr>
              <w:rPr>
                <w:rFonts w:ascii="Arial"/>
                <w:sz w:val="21"/>
              </w:rPr>
            </w:pPr>
          </w:p>
        </w:tc>
        <w:tc>
          <w:tcPr>
            <w:tcW w:w="1453" w:type="dxa"/>
            <w:tcBorders>
              <w:left w:val="single" w:color="000000" w:sz="4" w:space="0"/>
            </w:tcBorders>
            <w:vAlign w:val="top"/>
          </w:tcPr>
          <w:p w14:paraId="7DAE6DBC">
            <w:pPr>
              <w:spacing w:before="58" w:line="229" w:lineRule="auto"/>
              <w:ind w:left="415"/>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酸盐</w:t>
            </w:r>
          </w:p>
        </w:tc>
        <w:tc>
          <w:tcPr>
            <w:tcW w:w="1200" w:type="dxa"/>
            <w:tcBorders>
              <w:right w:val="single" w:color="000000" w:sz="4" w:space="0"/>
            </w:tcBorders>
            <w:vAlign w:val="top"/>
          </w:tcPr>
          <w:p w14:paraId="08923EF8">
            <w:pPr>
              <w:spacing w:before="20" w:line="281"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6"/>
                <w:position w:val="4"/>
                <w:sz w:val="20"/>
                <w:szCs w:val="20"/>
              </w:rPr>
              <w:t>/</w:t>
            </w:r>
            <w:r>
              <w:rPr>
                <w:rFonts w:ascii="Times New Roman" w:hAnsi="Times New Roman" w:eastAsia="Times New Roman" w:cs="Times New Roman"/>
                <w:position w:val="4"/>
                <w:sz w:val="20"/>
                <w:szCs w:val="20"/>
              </w:rPr>
              <w:t>L</w:t>
            </w:r>
          </w:p>
        </w:tc>
        <w:tc>
          <w:tcPr>
            <w:tcW w:w="1271" w:type="dxa"/>
            <w:tcBorders>
              <w:left w:val="single" w:color="000000" w:sz="4" w:space="0"/>
              <w:right w:val="single" w:color="000000" w:sz="4" w:space="0"/>
            </w:tcBorders>
            <w:vAlign w:val="top"/>
          </w:tcPr>
          <w:p w14:paraId="43201848">
            <w:pPr>
              <w:spacing w:before="9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34</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99-61.61</w:t>
            </w:r>
          </w:p>
        </w:tc>
        <w:tc>
          <w:tcPr>
            <w:tcW w:w="756" w:type="dxa"/>
            <w:tcBorders>
              <w:left w:val="single" w:color="000000" w:sz="4" w:space="0"/>
              <w:right w:val="single" w:color="000000" w:sz="4" w:space="0"/>
            </w:tcBorders>
            <w:vAlign w:val="top"/>
          </w:tcPr>
          <w:p w14:paraId="35351036">
            <w:pPr>
              <w:spacing w:before="94"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0.0</w:t>
            </w:r>
          </w:p>
        </w:tc>
        <w:tc>
          <w:tcPr>
            <w:tcW w:w="1357" w:type="dxa"/>
            <w:tcBorders>
              <w:left w:val="single" w:color="000000" w:sz="4" w:space="0"/>
              <w:right w:val="single" w:color="000000" w:sz="4" w:space="0"/>
            </w:tcBorders>
            <w:vAlign w:val="top"/>
          </w:tcPr>
          <w:p w14:paraId="68912FE3">
            <w:pPr>
              <w:spacing w:before="94" w:line="198"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75-3.08</w:t>
            </w:r>
          </w:p>
        </w:tc>
        <w:tc>
          <w:tcPr>
            <w:tcW w:w="705" w:type="dxa"/>
            <w:tcBorders>
              <w:left w:val="single" w:color="000000" w:sz="4" w:space="0"/>
            </w:tcBorders>
            <w:vAlign w:val="top"/>
          </w:tcPr>
          <w:p w14:paraId="33329D8E">
            <w:pPr>
              <w:spacing w:before="9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684" w:type="dxa"/>
            <w:tcBorders>
              <w:right w:val="nil"/>
            </w:tcBorders>
            <w:vAlign w:val="top"/>
          </w:tcPr>
          <w:p w14:paraId="1C840826">
            <w:pPr>
              <w:spacing w:before="94"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.08</w:t>
            </w:r>
          </w:p>
        </w:tc>
      </w:tr>
    </w:tbl>
    <w:p w14:paraId="3631B480">
      <w:pPr>
        <w:spacing w:line="262" w:lineRule="auto"/>
        <w:rPr>
          <w:rFonts w:ascii="Arial"/>
          <w:sz w:val="21"/>
        </w:rPr>
      </w:pPr>
    </w:p>
    <w:p w14:paraId="6801405D">
      <w:pPr>
        <w:spacing w:before="75" w:line="387" w:lineRule="auto"/>
        <w:ind w:left="33" w:right="192" w:firstLine="479"/>
        <w:rPr>
          <w:rFonts w:ascii="宋体" w:hAnsi="宋体" w:eastAsia="宋体" w:cs="宋体"/>
          <w:sz w:val="23"/>
          <w:szCs w:val="23"/>
        </w:rPr>
      </w:pPr>
      <w:r>
        <w:rPr>
          <w:rFonts w:ascii="宋体" w:hAnsi="宋体" w:eastAsia="宋体" w:cs="宋体"/>
          <w:spacing w:val="7"/>
          <w:sz w:val="23"/>
          <w:szCs w:val="23"/>
        </w:rPr>
        <w:t>根据区域地下水监测结果，评价区域内地下水化学类型多为碳酸氢钙型，</w:t>
      </w:r>
      <w:r>
        <w:rPr>
          <w:rFonts w:ascii="宋体" w:hAnsi="宋体" w:eastAsia="宋体" w:cs="宋体"/>
          <w:spacing w:val="3"/>
          <w:sz w:val="23"/>
          <w:szCs w:val="23"/>
        </w:rPr>
        <w:t>地</w:t>
      </w:r>
      <w:r>
        <w:rPr>
          <w:rFonts w:ascii="宋体" w:hAnsi="宋体" w:eastAsia="宋体" w:cs="宋体"/>
          <w:sz w:val="23"/>
          <w:szCs w:val="23"/>
        </w:rPr>
        <w:t xml:space="preserve"> </w:t>
      </w:r>
      <w:r>
        <w:rPr>
          <w:rFonts w:ascii="宋体" w:hAnsi="宋体" w:eastAsia="宋体" w:cs="宋体"/>
          <w:spacing w:val="8"/>
          <w:sz w:val="23"/>
          <w:szCs w:val="23"/>
        </w:rPr>
        <w:t>下</w:t>
      </w:r>
      <w:r>
        <w:rPr>
          <w:rFonts w:ascii="宋体" w:hAnsi="宋体" w:eastAsia="宋体" w:cs="宋体"/>
          <w:spacing w:val="7"/>
          <w:sz w:val="23"/>
          <w:szCs w:val="23"/>
        </w:rPr>
        <w:t>水中阴离子以碳酸氢根为主；阳离子以钙离子为主。由上表可知，评价区域内</w:t>
      </w:r>
      <w:r>
        <w:rPr>
          <w:rFonts w:ascii="宋体" w:hAnsi="宋体" w:eastAsia="宋体" w:cs="宋体"/>
          <w:sz w:val="23"/>
          <w:szCs w:val="23"/>
        </w:rPr>
        <w:t xml:space="preserve"> </w:t>
      </w:r>
      <w:r>
        <w:rPr>
          <w:rFonts w:ascii="宋体" w:hAnsi="宋体" w:eastAsia="宋体" w:cs="宋体"/>
          <w:spacing w:val="8"/>
          <w:sz w:val="23"/>
          <w:szCs w:val="23"/>
        </w:rPr>
        <w:t>各</w:t>
      </w:r>
      <w:r>
        <w:rPr>
          <w:rFonts w:ascii="宋体" w:hAnsi="宋体" w:eastAsia="宋体" w:cs="宋体"/>
          <w:spacing w:val="7"/>
          <w:sz w:val="23"/>
          <w:szCs w:val="23"/>
        </w:rPr>
        <w:t>点位地下水各项因子中，建设项目所在地的氨氮、硝酸盐因子；榆树底的硝酸</w:t>
      </w:r>
      <w:r>
        <w:rPr>
          <w:rFonts w:ascii="宋体" w:hAnsi="宋体" w:eastAsia="宋体" w:cs="宋体"/>
          <w:sz w:val="23"/>
          <w:szCs w:val="23"/>
        </w:rPr>
        <w:t xml:space="preserve"> </w:t>
      </w:r>
      <w:r>
        <w:rPr>
          <w:rFonts w:ascii="宋体" w:hAnsi="宋体" w:eastAsia="宋体" w:cs="宋体"/>
          <w:spacing w:val="8"/>
          <w:sz w:val="23"/>
          <w:szCs w:val="23"/>
        </w:rPr>
        <w:t>盐</w:t>
      </w:r>
      <w:r>
        <w:rPr>
          <w:rFonts w:ascii="宋体" w:hAnsi="宋体" w:eastAsia="宋体" w:cs="宋体"/>
          <w:spacing w:val="5"/>
          <w:sz w:val="23"/>
          <w:szCs w:val="23"/>
        </w:rPr>
        <w:t xml:space="preserve">因子；火连寨村的总硬度、氨氮、硝酸盐因子标准指数值均大于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，其中建设</w:t>
      </w:r>
      <w:r>
        <w:rPr>
          <w:rFonts w:ascii="宋体" w:hAnsi="宋体" w:eastAsia="宋体" w:cs="宋体"/>
          <w:sz w:val="23"/>
          <w:szCs w:val="23"/>
        </w:rPr>
        <w:t xml:space="preserve"> </w:t>
      </w:r>
      <w:r>
        <w:rPr>
          <w:rFonts w:ascii="宋体" w:hAnsi="宋体" w:eastAsia="宋体" w:cs="宋体"/>
          <w:spacing w:val="8"/>
          <w:sz w:val="23"/>
          <w:szCs w:val="23"/>
        </w:rPr>
        <w:t>项目所在地的氨</w:t>
      </w:r>
      <w:r>
        <w:rPr>
          <w:rFonts w:ascii="宋体" w:hAnsi="宋体" w:eastAsia="宋体" w:cs="宋体"/>
          <w:spacing w:val="4"/>
          <w:sz w:val="23"/>
          <w:szCs w:val="23"/>
        </w:rPr>
        <w:t xml:space="preserve">氮、硝酸盐因子最大超标倍数分别为 </w:t>
      </w:r>
      <w:r>
        <w:rPr>
          <w:rFonts w:ascii="Times New Roman" w:hAnsi="Times New Roman" w:eastAsia="Times New Roman" w:cs="Times New Roman"/>
          <w:spacing w:val="4"/>
          <w:sz w:val="23"/>
          <w:szCs w:val="23"/>
        </w:rPr>
        <w:t>068</w:t>
      </w:r>
      <w:r>
        <w:rPr>
          <w:rFonts w:ascii="宋体" w:hAnsi="宋体" w:eastAsia="宋体" w:cs="宋体"/>
          <w:spacing w:val="4"/>
          <w:sz w:val="23"/>
          <w:szCs w:val="23"/>
        </w:rPr>
        <w:t>、</w:t>
      </w:r>
      <w:r>
        <w:rPr>
          <w:rFonts w:ascii="Times New Roman" w:hAnsi="Times New Roman" w:eastAsia="Times New Roman" w:cs="Times New Roman"/>
          <w:spacing w:val="4"/>
          <w:sz w:val="23"/>
          <w:szCs w:val="23"/>
        </w:rPr>
        <w:t>0.002</w:t>
      </w:r>
      <w:r>
        <w:rPr>
          <w:rFonts w:ascii="宋体" w:hAnsi="宋体" w:eastAsia="宋体" w:cs="宋体"/>
          <w:spacing w:val="4"/>
          <w:sz w:val="23"/>
          <w:szCs w:val="23"/>
        </w:rPr>
        <w:t>；榆树底的硝酸</w:t>
      </w:r>
      <w:r>
        <w:rPr>
          <w:rFonts w:ascii="宋体" w:hAnsi="宋体" w:eastAsia="宋体" w:cs="宋体"/>
          <w:sz w:val="23"/>
          <w:szCs w:val="23"/>
        </w:rPr>
        <w:t xml:space="preserve"> </w:t>
      </w:r>
      <w:r>
        <w:rPr>
          <w:rFonts w:ascii="宋体" w:hAnsi="宋体" w:eastAsia="宋体" w:cs="宋体"/>
          <w:spacing w:val="5"/>
          <w:sz w:val="23"/>
          <w:szCs w:val="23"/>
        </w:rPr>
        <w:t xml:space="preserve">盐因子最大超标倍数分别为 </w:t>
      </w:r>
      <w:r>
        <w:rPr>
          <w:rFonts w:ascii="Times New Roman" w:hAnsi="Times New Roman" w:eastAsia="Times New Roman" w:cs="Times New Roman"/>
          <w:spacing w:val="5"/>
          <w:sz w:val="23"/>
          <w:szCs w:val="23"/>
        </w:rPr>
        <w:t>0.22</w:t>
      </w:r>
      <w:r>
        <w:rPr>
          <w:rFonts w:ascii="宋体" w:hAnsi="宋体" w:eastAsia="宋体" w:cs="宋体"/>
          <w:spacing w:val="5"/>
          <w:sz w:val="23"/>
          <w:szCs w:val="23"/>
        </w:rPr>
        <w:t>；火连寨村的总硬度、氨氮、硝酸盐因子最大</w:t>
      </w:r>
      <w:r>
        <w:rPr>
          <w:rFonts w:ascii="宋体" w:hAnsi="宋体" w:eastAsia="宋体" w:cs="宋体"/>
          <w:spacing w:val="3"/>
          <w:sz w:val="23"/>
          <w:szCs w:val="23"/>
        </w:rPr>
        <w:t>超</w:t>
      </w:r>
      <w:r>
        <w:rPr>
          <w:rFonts w:ascii="宋体" w:hAnsi="宋体" w:eastAsia="宋体" w:cs="宋体"/>
          <w:sz w:val="23"/>
          <w:szCs w:val="23"/>
        </w:rPr>
        <w:t xml:space="preserve"> </w:t>
      </w:r>
      <w:r>
        <w:rPr>
          <w:rFonts w:ascii="宋体" w:hAnsi="宋体" w:eastAsia="宋体" w:cs="宋体"/>
          <w:spacing w:val="2"/>
          <w:sz w:val="23"/>
          <w:szCs w:val="23"/>
        </w:rPr>
        <w:t xml:space="preserve">标倍数分别为 </w:t>
      </w:r>
      <w:r>
        <w:rPr>
          <w:rFonts w:ascii="Times New Roman" w:hAnsi="Times New Roman" w:eastAsia="Times New Roman" w:cs="Times New Roman"/>
          <w:spacing w:val="2"/>
          <w:sz w:val="23"/>
          <w:szCs w:val="23"/>
        </w:rPr>
        <w:t xml:space="preserve">0.5 </w:t>
      </w:r>
      <w:r>
        <w:rPr>
          <w:rFonts w:ascii="宋体" w:hAnsi="宋体" w:eastAsia="宋体" w:cs="宋体"/>
          <w:spacing w:val="2"/>
          <w:sz w:val="23"/>
          <w:szCs w:val="23"/>
        </w:rPr>
        <w:t>、</w:t>
      </w:r>
      <w:r>
        <w:rPr>
          <w:rFonts w:ascii="Times New Roman" w:hAnsi="Times New Roman" w:eastAsia="Times New Roman" w:cs="Times New Roman"/>
          <w:spacing w:val="2"/>
          <w:sz w:val="23"/>
          <w:szCs w:val="23"/>
        </w:rPr>
        <w:t>0.03</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2.08 </w:t>
      </w:r>
      <w:r>
        <w:rPr>
          <w:rFonts w:ascii="宋体" w:hAnsi="宋体" w:eastAsia="宋体" w:cs="宋体"/>
          <w:spacing w:val="2"/>
          <w:sz w:val="23"/>
          <w:szCs w:val="23"/>
        </w:rPr>
        <w:t>，分析以上超标</w:t>
      </w:r>
      <w:r>
        <w:rPr>
          <w:rFonts w:ascii="宋体" w:hAnsi="宋体" w:eastAsia="宋体" w:cs="宋体"/>
          <w:spacing w:val="1"/>
          <w:sz w:val="23"/>
          <w:szCs w:val="23"/>
        </w:rPr>
        <w:t>原因，总硬度超标是由于当地地质</w:t>
      </w:r>
      <w:r>
        <w:rPr>
          <w:rFonts w:ascii="宋体" w:hAnsi="宋体" w:eastAsia="宋体" w:cs="宋体"/>
          <w:sz w:val="23"/>
          <w:szCs w:val="23"/>
        </w:rPr>
        <w:t xml:space="preserve"> </w:t>
      </w:r>
      <w:r>
        <w:rPr>
          <w:rFonts w:ascii="宋体" w:hAnsi="宋体" w:eastAsia="宋体" w:cs="宋体"/>
          <w:spacing w:val="15"/>
          <w:sz w:val="23"/>
          <w:szCs w:val="23"/>
        </w:rPr>
        <w:t>条</w:t>
      </w:r>
      <w:r>
        <w:rPr>
          <w:rFonts w:ascii="宋体" w:hAnsi="宋体" w:eastAsia="宋体" w:cs="宋体"/>
          <w:spacing w:val="9"/>
          <w:sz w:val="23"/>
          <w:szCs w:val="23"/>
        </w:rPr>
        <w:t>件造成的，氨氮、硝酸盐超标是当地居民污水散排造成的。</w:t>
      </w:r>
    </w:p>
    <w:p w14:paraId="17C4EEA2">
      <w:pPr>
        <w:spacing w:before="137" w:line="381" w:lineRule="auto"/>
        <w:ind w:left="33" w:right="192" w:firstLine="481"/>
        <w:rPr>
          <w:rFonts w:ascii="宋体" w:hAnsi="宋体" w:eastAsia="宋体" w:cs="宋体"/>
          <w:sz w:val="23"/>
          <w:szCs w:val="23"/>
        </w:rPr>
      </w:pPr>
      <w:r>
        <w:rPr>
          <w:rFonts w:ascii="宋体" w:hAnsi="宋体" w:eastAsia="宋体" w:cs="宋体"/>
          <w:spacing w:val="8"/>
          <w:sz w:val="23"/>
          <w:szCs w:val="23"/>
        </w:rPr>
        <w:t>各点位地下水</w:t>
      </w:r>
      <w:r>
        <w:rPr>
          <w:rFonts w:ascii="宋体" w:hAnsi="宋体" w:eastAsia="宋体" w:cs="宋体"/>
          <w:spacing w:val="6"/>
          <w:sz w:val="23"/>
          <w:szCs w:val="23"/>
        </w:rPr>
        <w:t>中</w:t>
      </w:r>
      <w:r>
        <w:rPr>
          <w:rFonts w:ascii="宋体" w:hAnsi="宋体" w:eastAsia="宋体" w:cs="宋体"/>
          <w:spacing w:val="4"/>
          <w:sz w:val="23"/>
          <w:szCs w:val="23"/>
        </w:rPr>
        <w:t xml:space="preserve">其他各项因子标准指数值均小于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，能够满足《地下水质量</w:t>
      </w:r>
      <w:r>
        <w:rPr>
          <w:rFonts w:ascii="宋体" w:hAnsi="宋体" w:eastAsia="宋体" w:cs="宋体"/>
          <w:sz w:val="23"/>
          <w:szCs w:val="23"/>
        </w:rPr>
        <w:t xml:space="preserve"> </w:t>
      </w:r>
      <w:r>
        <w:rPr>
          <w:rFonts w:ascii="宋体" w:hAnsi="宋体" w:eastAsia="宋体" w:cs="宋体"/>
          <w:spacing w:val="7"/>
          <w:sz w:val="23"/>
          <w:szCs w:val="23"/>
        </w:rPr>
        <w:t>标准》</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14848-2017)</w:t>
      </w:r>
      <w:r>
        <w:rPr>
          <w:rFonts w:ascii="宋体" w:hAnsi="宋体" w:eastAsia="宋体" w:cs="宋体"/>
          <w:spacing w:val="7"/>
          <w:sz w:val="23"/>
          <w:szCs w:val="23"/>
        </w:rPr>
        <w:t>中</w:t>
      </w:r>
      <w:r>
        <w:rPr>
          <w:rFonts w:ascii="Times New Roman" w:hAnsi="Times New Roman" w:eastAsia="Times New Roman" w:cs="Times New Roman"/>
          <w:spacing w:val="7"/>
          <w:sz w:val="23"/>
          <w:szCs w:val="23"/>
        </w:rPr>
        <w:t>Ⅲ</w:t>
      </w:r>
      <w:r>
        <w:rPr>
          <w:rFonts w:ascii="宋体" w:hAnsi="宋体" w:eastAsia="宋体" w:cs="宋体"/>
          <w:spacing w:val="7"/>
          <w:sz w:val="23"/>
          <w:szCs w:val="23"/>
        </w:rPr>
        <w:t>类水质量标准。</w:t>
      </w:r>
    </w:p>
    <w:p w14:paraId="271812BD">
      <w:pPr>
        <w:spacing w:before="114" w:line="224" w:lineRule="auto"/>
        <w:ind w:left="30"/>
        <w:outlineLvl w:val="1"/>
        <w:rPr>
          <w:rFonts w:ascii="宋体" w:hAnsi="宋体" w:eastAsia="宋体" w:cs="宋体"/>
          <w:sz w:val="29"/>
          <w:szCs w:val="29"/>
        </w:rPr>
      </w:pPr>
      <w:r>
        <w:rPr>
          <w:rFonts w:ascii="Times New Roman" w:hAnsi="Times New Roman" w:eastAsia="Times New Roman" w:cs="Times New Roman"/>
          <w:b/>
          <w:bCs/>
          <w:spacing w:val="8"/>
          <w:sz w:val="29"/>
          <w:szCs w:val="29"/>
        </w:rPr>
        <w:t>4.3.3</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声环境质量现状监测与评</w:t>
      </w:r>
      <w:r>
        <w:rPr>
          <w:rFonts w:ascii="宋体" w:hAnsi="宋体" w:eastAsia="宋体" w:cs="宋体"/>
          <w:spacing w:val="4"/>
          <w:sz w:val="29"/>
          <w:szCs w:val="29"/>
          <w14:textOutline w14:w="5448" w14:cap="sq" w14:cmpd="sng">
            <w14:solidFill>
              <w14:srgbClr w14:val="000000"/>
            </w14:solidFill>
            <w14:prstDash w14:val="solid"/>
            <w14:bevel/>
          </w14:textOutline>
        </w:rPr>
        <w:t>价</w:t>
      </w:r>
    </w:p>
    <w:p w14:paraId="137A0F69">
      <w:pPr>
        <w:spacing w:before="300" w:line="220" w:lineRule="auto"/>
        <w:ind w:left="30"/>
        <w:outlineLvl w:val="2"/>
        <w:rPr>
          <w:rFonts w:ascii="宋体" w:hAnsi="宋体" w:eastAsia="宋体" w:cs="宋体"/>
          <w:sz w:val="28"/>
          <w:szCs w:val="28"/>
        </w:rPr>
      </w:pPr>
      <w:r>
        <w:rPr>
          <w:rFonts w:ascii="Times New Roman" w:hAnsi="Times New Roman" w:eastAsia="Times New Roman" w:cs="Times New Roman"/>
          <w:b/>
          <w:bCs/>
          <w:spacing w:val="16"/>
          <w:sz w:val="28"/>
          <w:szCs w:val="28"/>
        </w:rPr>
        <w:t>4</w:t>
      </w:r>
      <w:r>
        <w:rPr>
          <w:rFonts w:ascii="Times New Roman" w:hAnsi="Times New Roman" w:eastAsia="Times New Roman" w:cs="Times New Roman"/>
          <w:b/>
          <w:bCs/>
          <w:spacing w:val="9"/>
          <w:sz w:val="28"/>
          <w:szCs w:val="28"/>
        </w:rPr>
        <w:t>.</w:t>
      </w:r>
      <w:r>
        <w:rPr>
          <w:rFonts w:ascii="Times New Roman" w:hAnsi="Times New Roman" w:eastAsia="Times New Roman" w:cs="Times New Roman"/>
          <w:b/>
          <w:bCs/>
          <w:spacing w:val="8"/>
          <w:sz w:val="28"/>
          <w:szCs w:val="28"/>
        </w:rPr>
        <w:t>3.3.1</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声环境质量现状监测</w:t>
      </w:r>
    </w:p>
    <w:p w14:paraId="0025C2AB">
      <w:pPr>
        <w:spacing w:line="260" w:lineRule="auto"/>
        <w:rPr>
          <w:rFonts w:ascii="Arial"/>
          <w:sz w:val="21"/>
        </w:rPr>
      </w:pPr>
    </w:p>
    <w:p w14:paraId="0260B20D">
      <w:pPr>
        <w:spacing w:before="75" w:line="227"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监测布</w:t>
      </w:r>
      <w:r>
        <w:rPr>
          <w:rFonts w:ascii="宋体" w:hAnsi="宋体" w:eastAsia="宋体" w:cs="宋体"/>
          <w:spacing w:val="19"/>
          <w:sz w:val="23"/>
          <w:szCs w:val="23"/>
        </w:rPr>
        <w:t>点</w:t>
      </w:r>
    </w:p>
    <w:p w14:paraId="1579DE90">
      <w:pPr>
        <w:spacing w:line="277" w:lineRule="auto"/>
        <w:rPr>
          <w:rFonts w:ascii="Arial"/>
          <w:sz w:val="21"/>
        </w:rPr>
      </w:pPr>
    </w:p>
    <w:p w14:paraId="20089651">
      <w:pPr>
        <w:spacing w:before="75" w:line="393" w:lineRule="auto"/>
        <w:ind w:left="37" w:right="112" w:firstLine="475"/>
        <w:rPr>
          <w:rFonts w:ascii="宋体" w:hAnsi="宋体" w:eastAsia="宋体" w:cs="宋体"/>
          <w:sz w:val="23"/>
          <w:szCs w:val="23"/>
        </w:rPr>
      </w:pPr>
      <w:r>
        <w:rPr>
          <w:rFonts w:ascii="宋体" w:hAnsi="宋体" w:eastAsia="宋体" w:cs="宋体"/>
          <w:spacing w:val="6"/>
          <w:sz w:val="23"/>
          <w:szCs w:val="23"/>
        </w:rPr>
        <w:t>根据项目所在地的</w:t>
      </w:r>
      <w:r>
        <w:rPr>
          <w:rFonts w:ascii="宋体" w:hAnsi="宋体" w:eastAsia="宋体" w:cs="宋体"/>
          <w:spacing w:val="5"/>
          <w:sz w:val="23"/>
          <w:szCs w:val="23"/>
        </w:rPr>
        <w:t>实</w:t>
      </w:r>
      <w:r>
        <w:rPr>
          <w:rFonts w:ascii="宋体" w:hAnsi="宋体" w:eastAsia="宋体" w:cs="宋体"/>
          <w:spacing w:val="3"/>
          <w:sz w:val="23"/>
          <w:szCs w:val="23"/>
        </w:rPr>
        <w:t xml:space="preserve">际情况，拟在厂界四周外 </w:t>
      </w:r>
      <w:r>
        <w:rPr>
          <w:rFonts w:ascii="Times New Roman" w:hAnsi="Times New Roman" w:eastAsia="Times New Roman" w:cs="Times New Roman"/>
          <w:spacing w:val="3"/>
          <w:sz w:val="23"/>
          <w:szCs w:val="23"/>
        </w:rPr>
        <w:t>1</w:t>
      </w:r>
      <w:r>
        <w:rPr>
          <w:rFonts w:ascii="Times New Roman" w:hAnsi="Times New Roman" w:eastAsia="Times New Roman" w:cs="Times New Roman"/>
          <w:sz w:val="23"/>
          <w:szCs w:val="23"/>
        </w:rPr>
        <w:t>m</w:t>
      </w:r>
      <w:r>
        <w:rPr>
          <w:rFonts w:ascii="宋体" w:hAnsi="宋体" w:eastAsia="宋体" w:cs="宋体"/>
          <w:spacing w:val="3"/>
          <w:sz w:val="23"/>
          <w:szCs w:val="23"/>
        </w:rPr>
        <w:t>处各布设一个噪声监测点。</w:t>
      </w:r>
      <w:r>
        <w:rPr>
          <w:rFonts w:ascii="宋体" w:hAnsi="宋体" w:eastAsia="宋体" w:cs="宋体"/>
          <w:sz w:val="23"/>
          <w:szCs w:val="23"/>
        </w:rPr>
        <w:t xml:space="preserve"> </w:t>
      </w:r>
      <w:r>
        <w:rPr>
          <w:rFonts w:ascii="宋体" w:hAnsi="宋体" w:eastAsia="宋体" w:cs="宋体"/>
          <w:spacing w:val="-10"/>
          <w:sz w:val="23"/>
          <w:szCs w:val="23"/>
        </w:rPr>
        <w:t>具</w:t>
      </w:r>
      <w:r>
        <w:rPr>
          <w:rFonts w:ascii="宋体" w:hAnsi="宋体" w:eastAsia="宋体" w:cs="宋体"/>
          <w:spacing w:val="-6"/>
          <w:sz w:val="23"/>
          <w:szCs w:val="23"/>
        </w:rPr>
        <w:t xml:space="preserve">体见表 </w:t>
      </w:r>
      <w:r>
        <w:rPr>
          <w:rFonts w:ascii="Times New Roman" w:hAnsi="Times New Roman" w:eastAsia="Times New Roman" w:cs="Times New Roman"/>
          <w:spacing w:val="-6"/>
          <w:sz w:val="23"/>
          <w:szCs w:val="23"/>
        </w:rPr>
        <w:t>4- 14</w:t>
      </w:r>
      <w:r>
        <w:rPr>
          <w:rFonts w:ascii="宋体" w:hAnsi="宋体" w:eastAsia="宋体" w:cs="宋体"/>
          <w:spacing w:val="-6"/>
          <w:sz w:val="23"/>
          <w:szCs w:val="23"/>
        </w:rPr>
        <w:t>。</w:t>
      </w:r>
    </w:p>
    <w:p w14:paraId="690A2F5B">
      <w:pPr>
        <w:spacing w:before="136" w:line="227" w:lineRule="auto"/>
        <w:ind w:left="237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4-14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声环境质量监测点布设</w:t>
      </w:r>
    </w:p>
    <w:p w14:paraId="7BF0535F">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3"/>
        <w:gridCol w:w="5487"/>
        <w:gridCol w:w="1882"/>
      </w:tblGrid>
      <w:tr w14:paraId="28F94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53" w:type="dxa"/>
            <w:tcBorders>
              <w:left w:val="nil"/>
            </w:tcBorders>
            <w:vAlign w:val="top"/>
          </w:tcPr>
          <w:p w14:paraId="2D44649C">
            <w:pPr>
              <w:spacing w:before="75" w:line="228" w:lineRule="auto"/>
              <w:ind w:left="6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测点编号</w:t>
            </w:r>
          </w:p>
        </w:tc>
        <w:tc>
          <w:tcPr>
            <w:tcW w:w="5487" w:type="dxa"/>
            <w:vAlign w:val="top"/>
          </w:tcPr>
          <w:p w14:paraId="1BF9814F">
            <w:pPr>
              <w:spacing w:before="76" w:line="228" w:lineRule="auto"/>
              <w:ind w:left="149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测点位置</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(点位经纬度)</w:t>
            </w:r>
          </w:p>
        </w:tc>
        <w:tc>
          <w:tcPr>
            <w:tcW w:w="1882" w:type="dxa"/>
            <w:tcBorders>
              <w:right w:val="nil"/>
            </w:tcBorders>
            <w:vAlign w:val="top"/>
          </w:tcPr>
          <w:p w14:paraId="6F989631">
            <w:pPr>
              <w:spacing w:before="76" w:line="229" w:lineRule="auto"/>
              <w:ind w:left="73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210C2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53" w:type="dxa"/>
            <w:tcBorders>
              <w:left w:val="nil"/>
            </w:tcBorders>
            <w:vAlign w:val="top"/>
          </w:tcPr>
          <w:p w14:paraId="2B3D989C">
            <w:pPr>
              <w:spacing w:before="15" w:line="281"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5487" w:type="dxa"/>
            <w:vAlign w:val="top"/>
          </w:tcPr>
          <w:p w14:paraId="1B19AF54">
            <w:pPr>
              <w:spacing w:before="52" w:line="228" w:lineRule="auto"/>
              <w:ind w:left="2011"/>
              <w:rPr>
                <w:rFonts w:ascii="宋体" w:hAnsi="宋体" w:eastAsia="宋体" w:cs="宋体"/>
                <w:sz w:val="20"/>
                <w:szCs w:val="20"/>
              </w:rPr>
            </w:pPr>
            <w:r>
              <w:rPr>
                <w:rFonts w:ascii="宋体" w:hAnsi="宋体" w:eastAsia="宋体" w:cs="宋体"/>
                <w:spacing w:val="9"/>
                <w:sz w:val="20"/>
                <w:szCs w:val="20"/>
              </w:rPr>
              <w:t>场界东侧边界</w:t>
            </w:r>
            <w:r>
              <w:rPr>
                <w:rFonts w:ascii="宋体" w:hAnsi="宋体" w:eastAsia="宋体" w:cs="宋体"/>
                <w:spacing w:val="7"/>
                <w:sz w:val="20"/>
                <w:szCs w:val="20"/>
              </w:rPr>
              <w:t>处</w:t>
            </w:r>
          </w:p>
        </w:tc>
        <w:tc>
          <w:tcPr>
            <w:tcW w:w="1882" w:type="dxa"/>
            <w:vMerge w:val="restart"/>
            <w:tcBorders>
              <w:bottom w:val="nil"/>
              <w:right w:val="nil"/>
            </w:tcBorders>
            <w:vAlign w:val="top"/>
          </w:tcPr>
          <w:p w14:paraId="1F5584B2">
            <w:pPr>
              <w:spacing w:line="466" w:lineRule="auto"/>
              <w:rPr>
                <w:rFonts w:ascii="Arial"/>
                <w:sz w:val="21"/>
              </w:rPr>
            </w:pPr>
          </w:p>
          <w:p w14:paraId="2BE300A3">
            <w:pPr>
              <w:spacing w:before="65" w:line="228" w:lineRule="auto"/>
              <w:ind w:left="635"/>
              <w:rPr>
                <w:rFonts w:ascii="宋体" w:hAnsi="宋体" w:eastAsia="宋体" w:cs="宋体"/>
                <w:sz w:val="20"/>
                <w:szCs w:val="20"/>
              </w:rPr>
            </w:pPr>
            <w:r>
              <w:rPr>
                <w:rFonts w:ascii="宋体" w:hAnsi="宋体" w:eastAsia="宋体" w:cs="宋体"/>
                <w:spacing w:val="6"/>
                <w:sz w:val="20"/>
                <w:szCs w:val="20"/>
              </w:rPr>
              <w:t>背景</w:t>
            </w:r>
            <w:r>
              <w:rPr>
                <w:rFonts w:ascii="宋体" w:hAnsi="宋体" w:eastAsia="宋体" w:cs="宋体"/>
                <w:spacing w:val="5"/>
                <w:sz w:val="20"/>
                <w:szCs w:val="20"/>
              </w:rPr>
              <w:t>点</w:t>
            </w:r>
          </w:p>
        </w:tc>
      </w:tr>
      <w:tr w14:paraId="1C1AE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53" w:type="dxa"/>
            <w:tcBorders>
              <w:left w:val="nil"/>
            </w:tcBorders>
            <w:vAlign w:val="top"/>
          </w:tcPr>
          <w:p w14:paraId="4AA05B1E">
            <w:pPr>
              <w:spacing w:before="15" w:line="281"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5487" w:type="dxa"/>
            <w:vAlign w:val="top"/>
          </w:tcPr>
          <w:p w14:paraId="23383E38">
            <w:pPr>
              <w:spacing w:before="53" w:line="228" w:lineRule="auto"/>
              <w:ind w:left="2011"/>
              <w:rPr>
                <w:rFonts w:ascii="宋体" w:hAnsi="宋体" w:eastAsia="宋体" w:cs="宋体"/>
                <w:sz w:val="20"/>
                <w:szCs w:val="20"/>
              </w:rPr>
            </w:pPr>
            <w:r>
              <w:rPr>
                <w:rFonts w:ascii="宋体" w:hAnsi="宋体" w:eastAsia="宋体" w:cs="宋体"/>
                <w:spacing w:val="9"/>
                <w:sz w:val="20"/>
                <w:szCs w:val="20"/>
              </w:rPr>
              <w:t>场界南侧边界</w:t>
            </w:r>
            <w:r>
              <w:rPr>
                <w:rFonts w:ascii="宋体" w:hAnsi="宋体" w:eastAsia="宋体" w:cs="宋体"/>
                <w:spacing w:val="7"/>
                <w:sz w:val="20"/>
                <w:szCs w:val="20"/>
              </w:rPr>
              <w:t>处</w:t>
            </w:r>
          </w:p>
        </w:tc>
        <w:tc>
          <w:tcPr>
            <w:tcW w:w="1882" w:type="dxa"/>
            <w:vMerge w:val="continue"/>
            <w:tcBorders>
              <w:top w:val="nil"/>
              <w:bottom w:val="nil"/>
              <w:right w:val="nil"/>
            </w:tcBorders>
            <w:vAlign w:val="top"/>
          </w:tcPr>
          <w:p w14:paraId="499EABCD">
            <w:pPr>
              <w:rPr>
                <w:rFonts w:ascii="Arial"/>
                <w:sz w:val="21"/>
              </w:rPr>
            </w:pPr>
          </w:p>
        </w:tc>
      </w:tr>
      <w:tr w14:paraId="4E79B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53" w:type="dxa"/>
            <w:tcBorders>
              <w:left w:val="nil"/>
            </w:tcBorders>
            <w:vAlign w:val="top"/>
          </w:tcPr>
          <w:p w14:paraId="5E738BE8">
            <w:pPr>
              <w:spacing w:before="18" w:line="281"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w:t>
            </w:r>
            <w:r>
              <w:rPr>
                <w:rFonts w:ascii="Times New Roman" w:hAnsi="Times New Roman" w:eastAsia="Times New Roman" w:cs="Times New Roman"/>
                <w:position w:val="2"/>
                <w:sz w:val="20"/>
                <w:szCs w:val="20"/>
              </w:rPr>
              <w:t>#</w:t>
            </w:r>
          </w:p>
        </w:tc>
        <w:tc>
          <w:tcPr>
            <w:tcW w:w="5487" w:type="dxa"/>
            <w:vAlign w:val="top"/>
          </w:tcPr>
          <w:p w14:paraId="2FC6BFC1">
            <w:pPr>
              <w:spacing w:before="56" w:line="228" w:lineRule="auto"/>
              <w:ind w:left="2011"/>
              <w:rPr>
                <w:rFonts w:ascii="宋体" w:hAnsi="宋体" w:eastAsia="宋体" w:cs="宋体"/>
                <w:sz w:val="20"/>
                <w:szCs w:val="20"/>
              </w:rPr>
            </w:pPr>
            <w:r>
              <w:rPr>
                <w:rFonts w:ascii="宋体" w:hAnsi="宋体" w:eastAsia="宋体" w:cs="宋体"/>
                <w:spacing w:val="9"/>
                <w:sz w:val="20"/>
                <w:szCs w:val="20"/>
              </w:rPr>
              <w:t>场界西侧边界</w:t>
            </w:r>
            <w:r>
              <w:rPr>
                <w:rFonts w:ascii="宋体" w:hAnsi="宋体" w:eastAsia="宋体" w:cs="宋体"/>
                <w:spacing w:val="7"/>
                <w:sz w:val="20"/>
                <w:szCs w:val="20"/>
              </w:rPr>
              <w:t>处</w:t>
            </w:r>
          </w:p>
        </w:tc>
        <w:tc>
          <w:tcPr>
            <w:tcW w:w="1882" w:type="dxa"/>
            <w:vMerge w:val="continue"/>
            <w:tcBorders>
              <w:top w:val="nil"/>
              <w:bottom w:val="nil"/>
              <w:right w:val="nil"/>
            </w:tcBorders>
            <w:vAlign w:val="top"/>
          </w:tcPr>
          <w:p w14:paraId="6E53C4AC">
            <w:pPr>
              <w:rPr>
                <w:rFonts w:ascii="Arial"/>
                <w:sz w:val="21"/>
              </w:rPr>
            </w:pPr>
          </w:p>
        </w:tc>
      </w:tr>
      <w:tr w14:paraId="096FD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53" w:type="dxa"/>
            <w:tcBorders>
              <w:left w:val="nil"/>
            </w:tcBorders>
            <w:vAlign w:val="top"/>
          </w:tcPr>
          <w:p w14:paraId="0F629999">
            <w:pPr>
              <w:spacing w:before="19" w:line="281"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5487" w:type="dxa"/>
            <w:vAlign w:val="top"/>
          </w:tcPr>
          <w:p w14:paraId="2675CA76">
            <w:pPr>
              <w:spacing w:before="56" w:line="228" w:lineRule="auto"/>
              <w:ind w:left="2011"/>
              <w:rPr>
                <w:rFonts w:ascii="宋体" w:hAnsi="宋体" w:eastAsia="宋体" w:cs="宋体"/>
                <w:sz w:val="20"/>
                <w:szCs w:val="20"/>
              </w:rPr>
            </w:pPr>
            <w:r>
              <w:rPr>
                <w:rFonts w:ascii="宋体" w:hAnsi="宋体" w:eastAsia="宋体" w:cs="宋体"/>
                <w:spacing w:val="9"/>
                <w:sz w:val="20"/>
                <w:szCs w:val="20"/>
              </w:rPr>
              <w:t>场界北侧边界</w:t>
            </w:r>
            <w:r>
              <w:rPr>
                <w:rFonts w:ascii="宋体" w:hAnsi="宋体" w:eastAsia="宋体" w:cs="宋体"/>
                <w:spacing w:val="7"/>
                <w:sz w:val="20"/>
                <w:szCs w:val="20"/>
              </w:rPr>
              <w:t>处</w:t>
            </w:r>
          </w:p>
        </w:tc>
        <w:tc>
          <w:tcPr>
            <w:tcW w:w="1882" w:type="dxa"/>
            <w:vMerge w:val="continue"/>
            <w:tcBorders>
              <w:top w:val="nil"/>
              <w:right w:val="nil"/>
            </w:tcBorders>
            <w:vAlign w:val="top"/>
          </w:tcPr>
          <w:p w14:paraId="181E6927">
            <w:pPr>
              <w:rPr>
                <w:rFonts w:ascii="Arial"/>
                <w:sz w:val="21"/>
              </w:rPr>
            </w:pPr>
          </w:p>
        </w:tc>
      </w:tr>
    </w:tbl>
    <w:p w14:paraId="09A5ECF8">
      <w:pPr>
        <w:spacing w:line="258" w:lineRule="auto"/>
        <w:rPr>
          <w:rFonts w:ascii="Arial"/>
          <w:sz w:val="21"/>
        </w:rPr>
      </w:pPr>
    </w:p>
    <w:p w14:paraId="7F34FEF5">
      <w:pPr>
        <w:spacing w:before="75" w:line="228"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监测项</w:t>
      </w:r>
      <w:r>
        <w:rPr>
          <w:rFonts w:ascii="宋体" w:hAnsi="宋体" w:eastAsia="宋体" w:cs="宋体"/>
          <w:spacing w:val="19"/>
          <w:sz w:val="23"/>
          <w:szCs w:val="23"/>
        </w:rPr>
        <w:t>目</w:t>
      </w:r>
    </w:p>
    <w:p w14:paraId="64E85206">
      <w:pPr>
        <w:spacing w:line="275" w:lineRule="auto"/>
        <w:rPr>
          <w:rFonts w:ascii="Arial"/>
          <w:sz w:val="21"/>
        </w:rPr>
      </w:pPr>
    </w:p>
    <w:p w14:paraId="22EBDC11">
      <w:pPr>
        <w:spacing w:before="75" w:line="221" w:lineRule="auto"/>
        <w:ind w:left="515"/>
        <w:rPr>
          <w:rFonts w:ascii="宋体" w:hAnsi="宋体" w:eastAsia="宋体" w:cs="宋体"/>
          <w:sz w:val="23"/>
          <w:szCs w:val="23"/>
        </w:rPr>
      </w:pPr>
      <w:r>
        <w:rPr>
          <w:rFonts w:ascii="宋体" w:hAnsi="宋体" w:eastAsia="宋体" w:cs="宋体"/>
          <w:spacing w:val="15"/>
          <w:sz w:val="23"/>
          <w:szCs w:val="23"/>
        </w:rPr>
        <w:t>分</w:t>
      </w:r>
      <w:r>
        <w:rPr>
          <w:rFonts w:ascii="宋体" w:hAnsi="宋体" w:eastAsia="宋体" w:cs="宋体"/>
          <w:spacing w:val="8"/>
          <w:sz w:val="23"/>
          <w:szCs w:val="23"/>
        </w:rPr>
        <w:t>别监测各点位的等效声级 (</w:t>
      </w:r>
      <w:r>
        <w:rPr>
          <w:rFonts w:ascii="Times New Roman" w:hAnsi="Times New Roman" w:eastAsia="Times New Roman" w:cs="Times New Roman"/>
          <w:sz w:val="23"/>
          <w:szCs w:val="23"/>
        </w:rPr>
        <w:t>Leq</w:t>
      </w:r>
      <w:r>
        <w:rPr>
          <w:rFonts w:ascii="宋体" w:hAnsi="宋体" w:eastAsia="宋体" w:cs="宋体"/>
          <w:spacing w:val="8"/>
          <w:sz w:val="23"/>
          <w:szCs w:val="23"/>
        </w:rPr>
        <w:t>) 。</w:t>
      </w:r>
    </w:p>
    <w:p w14:paraId="7B0E9D10">
      <w:pPr>
        <w:sectPr>
          <w:headerReference r:id="rId175" w:type="default"/>
          <w:footerReference r:id="rId176" w:type="default"/>
          <w:pgSz w:w="11906" w:h="16839"/>
          <w:pgMar w:top="1132" w:right="1606" w:bottom="1182" w:left="1777" w:header="878" w:footer="1022" w:gutter="0"/>
          <w:cols w:space="720" w:num="1"/>
        </w:sectPr>
      </w:pPr>
    </w:p>
    <w:p w14:paraId="720C61DA">
      <w:pPr>
        <w:spacing w:line="409" w:lineRule="auto"/>
        <w:rPr>
          <w:rFonts w:ascii="Arial"/>
          <w:sz w:val="21"/>
        </w:rPr>
      </w:pPr>
      <w:r>
        <w:pict>
          <v:shape id="_x0000_s1224" o:spid="_x0000_s1224" style="position:absolute;left:0pt;margin-left:90pt;margin-top:57.35pt;height:0.75pt;width:415.3pt;mso-position-horizontal-relative:page;mso-position-vertical-relative:page;z-index:251876352;mso-width-relative:page;mso-height-relative:page;" fillcolor="#000000" filled="t" stroked="f" coordsize="8305,15" o:allowincell="f" path="m0,0l8305,0,8305,14,0,14,0,0xe">
            <v:path/>
            <v:fill on="t" focussize="0,0"/>
            <v:stroke on="f"/>
            <v:imagedata o:title=""/>
            <o:lock v:ext="edit"/>
          </v:shape>
        </w:pict>
      </w:r>
    </w:p>
    <w:p w14:paraId="3A0D6B28">
      <w:pPr>
        <w:spacing w:before="74" w:line="227" w:lineRule="auto"/>
        <w:ind w:left="608"/>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3</w:t>
      </w:r>
      <w:r>
        <w:rPr>
          <w:rFonts w:ascii="宋体" w:hAnsi="宋体" w:eastAsia="宋体" w:cs="宋体"/>
          <w:spacing w:val="17"/>
          <w:sz w:val="23"/>
          <w:szCs w:val="23"/>
        </w:rPr>
        <w:t>) 监测时间及频率</w:t>
      </w:r>
    </w:p>
    <w:p w14:paraId="2E6ED0CE">
      <w:pPr>
        <w:spacing w:line="275" w:lineRule="auto"/>
        <w:rPr>
          <w:rFonts w:ascii="Arial"/>
          <w:sz w:val="21"/>
        </w:rPr>
      </w:pPr>
    </w:p>
    <w:p w14:paraId="528EE108">
      <w:pPr>
        <w:spacing w:before="75" w:line="227" w:lineRule="auto"/>
        <w:ind w:left="598"/>
        <w:rPr>
          <w:rFonts w:ascii="Times New Roman" w:hAnsi="Times New Roman" w:eastAsia="Times New Roman" w:cs="Times New Roman"/>
          <w:sz w:val="23"/>
          <w:szCs w:val="23"/>
        </w:rPr>
      </w:pPr>
      <w:r>
        <w:rPr>
          <w:rFonts w:ascii="宋体" w:hAnsi="宋体" w:eastAsia="宋体" w:cs="宋体"/>
          <w:spacing w:val="-1"/>
          <w:sz w:val="23"/>
          <w:szCs w:val="23"/>
        </w:rPr>
        <w:t xml:space="preserve">本项目噪声现状监测时间为 </w:t>
      </w:r>
      <w:r>
        <w:rPr>
          <w:rFonts w:ascii="Times New Roman" w:hAnsi="Times New Roman" w:eastAsia="Times New Roman" w:cs="Times New Roman"/>
          <w:spacing w:val="-1"/>
          <w:sz w:val="23"/>
          <w:szCs w:val="23"/>
        </w:rPr>
        <w:t xml:space="preserve">2019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6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20 </w:t>
      </w:r>
      <w:r>
        <w:rPr>
          <w:rFonts w:ascii="宋体" w:hAnsi="宋体" w:eastAsia="宋体" w:cs="宋体"/>
          <w:spacing w:val="-1"/>
          <w:sz w:val="23"/>
          <w:szCs w:val="23"/>
        </w:rPr>
        <w:t>日、</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 xml:space="preserve">19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6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21 </w:t>
      </w:r>
      <w:r>
        <w:rPr>
          <w:rFonts w:ascii="宋体" w:hAnsi="宋体" w:eastAsia="宋体" w:cs="宋体"/>
          <w:sz w:val="23"/>
          <w:szCs w:val="23"/>
        </w:rPr>
        <w:t xml:space="preserve">日，监测 </w:t>
      </w:r>
      <w:r>
        <w:rPr>
          <w:rFonts w:ascii="Times New Roman" w:hAnsi="Times New Roman" w:eastAsia="Times New Roman" w:cs="Times New Roman"/>
          <w:sz w:val="23"/>
          <w:szCs w:val="23"/>
        </w:rPr>
        <w:t>2</w:t>
      </w:r>
    </w:p>
    <w:p w14:paraId="239CAF33">
      <w:pPr>
        <w:spacing w:before="197" w:line="221" w:lineRule="auto"/>
        <w:ind w:left="122"/>
        <w:rPr>
          <w:rFonts w:ascii="宋体" w:hAnsi="宋体" w:eastAsia="宋体" w:cs="宋体"/>
          <w:sz w:val="23"/>
          <w:szCs w:val="23"/>
        </w:rPr>
      </w:pPr>
      <w:r>
        <w:rPr>
          <w:rFonts w:ascii="宋体" w:hAnsi="宋体" w:eastAsia="宋体" w:cs="宋体"/>
          <w:spacing w:val="12"/>
          <w:sz w:val="23"/>
          <w:szCs w:val="23"/>
        </w:rPr>
        <w:t>天，</w:t>
      </w:r>
      <w:r>
        <w:rPr>
          <w:rFonts w:ascii="宋体" w:hAnsi="宋体" w:eastAsia="宋体" w:cs="宋体"/>
          <w:spacing w:val="7"/>
          <w:sz w:val="23"/>
          <w:szCs w:val="23"/>
        </w:rPr>
        <w:t>分</w:t>
      </w:r>
      <w:r>
        <w:rPr>
          <w:rFonts w:ascii="宋体" w:hAnsi="宋体" w:eastAsia="宋体" w:cs="宋体"/>
          <w:spacing w:val="6"/>
          <w:sz w:val="23"/>
          <w:szCs w:val="23"/>
        </w:rPr>
        <w:t xml:space="preserve">别监测昼、夜间代表性时段的等效声级 </w:t>
      </w:r>
      <w:r>
        <w:rPr>
          <w:rFonts w:ascii="Times New Roman" w:hAnsi="Times New Roman" w:eastAsia="Times New Roman" w:cs="Times New Roman"/>
          <w:sz w:val="23"/>
          <w:szCs w:val="23"/>
        </w:rPr>
        <w:t>Leq</w:t>
      </w:r>
      <w:r>
        <w:rPr>
          <w:rFonts w:ascii="宋体" w:hAnsi="宋体" w:eastAsia="宋体" w:cs="宋体"/>
          <w:spacing w:val="6"/>
          <w:sz w:val="23"/>
          <w:szCs w:val="23"/>
        </w:rPr>
        <w:t>。</w:t>
      </w:r>
    </w:p>
    <w:p w14:paraId="45F64CB3">
      <w:pPr>
        <w:spacing w:line="284" w:lineRule="auto"/>
        <w:rPr>
          <w:rFonts w:ascii="Arial"/>
          <w:sz w:val="21"/>
        </w:rPr>
      </w:pPr>
    </w:p>
    <w:p w14:paraId="266D9A37">
      <w:pPr>
        <w:spacing w:before="75"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分析方</w:t>
      </w:r>
      <w:r>
        <w:rPr>
          <w:rFonts w:ascii="宋体" w:hAnsi="宋体" w:eastAsia="宋体" w:cs="宋体"/>
          <w:spacing w:val="19"/>
          <w:sz w:val="23"/>
          <w:szCs w:val="23"/>
        </w:rPr>
        <w:t>法</w:t>
      </w:r>
    </w:p>
    <w:p w14:paraId="22B342D5">
      <w:pPr>
        <w:spacing w:line="275" w:lineRule="auto"/>
        <w:rPr>
          <w:rFonts w:ascii="Arial"/>
          <w:sz w:val="21"/>
        </w:rPr>
      </w:pPr>
    </w:p>
    <w:p w14:paraId="714E88D5">
      <w:pPr>
        <w:spacing w:before="74" w:line="394" w:lineRule="auto"/>
        <w:ind w:left="144" w:right="110" w:firstLine="471"/>
        <w:rPr>
          <w:rFonts w:ascii="宋体" w:hAnsi="宋体" w:eastAsia="宋体" w:cs="宋体"/>
          <w:sz w:val="23"/>
          <w:szCs w:val="23"/>
        </w:rPr>
      </w:pPr>
      <w:r>
        <w:rPr>
          <w:rFonts w:ascii="宋体" w:hAnsi="宋体" w:eastAsia="宋体" w:cs="宋体"/>
          <w:spacing w:val="10"/>
          <w:sz w:val="23"/>
          <w:szCs w:val="23"/>
        </w:rPr>
        <w:t>按《声环境质量标准》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3096-2008</w:t>
      </w:r>
      <w:r>
        <w:rPr>
          <w:rFonts w:ascii="宋体" w:hAnsi="宋体" w:eastAsia="宋体" w:cs="宋体"/>
          <w:spacing w:val="10"/>
          <w:sz w:val="23"/>
          <w:szCs w:val="23"/>
        </w:rPr>
        <w:t>) 中监测要求进行，测点的声压</w:t>
      </w:r>
      <w:r>
        <w:rPr>
          <w:rFonts w:ascii="宋体" w:hAnsi="宋体" w:eastAsia="宋体" w:cs="宋体"/>
          <w:spacing w:val="9"/>
          <w:sz w:val="23"/>
          <w:szCs w:val="23"/>
        </w:rPr>
        <w:t>级</w:t>
      </w:r>
      <w:r>
        <w:rPr>
          <w:rFonts w:ascii="宋体" w:hAnsi="宋体" w:eastAsia="宋体" w:cs="宋体"/>
          <w:sz w:val="23"/>
          <w:szCs w:val="23"/>
        </w:rPr>
        <w:t xml:space="preserve"> </w:t>
      </w:r>
      <w:r>
        <w:rPr>
          <w:rFonts w:ascii="宋体" w:hAnsi="宋体" w:eastAsia="宋体" w:cs="宋体"/>
          <w:spacing w:val="12"/>
          <w:sz w:val="23"/>
          <w:szCs w:val="23"/>
        </w:rPr>
        <w:t xml:space="preserve">以 </w:t>
      </w:r>
      <w:r>
        <w:rPr>
          <w:rFonts w:ascii="Times New Roman" w:hAnsi="Times New Roman" w:eastAsia="Times New Roman" w:cs="Times New Roman"/>
          <w:sz w:val="23"/>
          <w:szCs w:val="23"/>
        </w:rPr>
        <w:t>A</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声</w:t>
      </w:r>
      <w:r>
        <w:rPr>
          <w:rFonts w:ascii="宋体" w:hAnsi="宋体" w:eastAsia="宋体" w:cs="宋体"/>
          <w:spacing w:val="6"/>
          <w:sz w:val="23"/>
          <w:szCs w:val="23"/>
        </w:rPr>
        <w:t xml:space="preserve">级计。测量应在无雨且风量小于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s</w:t>
      </w:r>
      <w:r>
        <w:rPr>
          <w:rFonts w:ascii="宋体" w:hAnsi="宋体" w:eastAsia="宋体" w:cs="宋体"/>
          <w:spacing w:val="6"/>
          <w:sz w:val="23"/>
          <w:szCs w:val="23"/>
        </w:rPr>
        <w:t>，加防风罩条件下进行。监测结果</w:t>
      </w:r>
    </w:p>
    <w:p w14:paraId="286F9FE8">
      <w:pPr>
        <w:spacing w:before="135"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5</w:t>
      </w:r>
      <w:r>
        <w:rPr>
          <w:rFonts w:ascii="宋体" w:hAnsi="宋体" w:eastAsia="宋体" w:cs="宋体"/>
          <w:spacing w:val="20"/>
          <w:sz w:val="23"/>
          <w:szCs w:val="23"/>
        </w:rPr>
        <w:t>) 监测结</w:t>
      </w:r>
      <w:r>
        <w:rPr>
          <w:rFonts w:ascii="宋体" w:hAnsi="宋体" w:eastAsia="宋体" w:cs="宋体"/>
          <w:spacing w:val="19"/>
          <w:sz w:val="23"/>
          <w:szCs w:val="23"/>
        </w:rPr>
        <w:t>果</w:t>
      </w:r>
    </w:p>
    <w:p w14:paraId="7F744E98">
      <w:pPr>
        <w:spacing w:line="274" w:lineRule="auto"/>
        <w:rPr>
          <w:rFonts w:ascii="Arial"/>
          <w:sz w:val="21"/>
        </w:rPr>
      </w:pPr>
    </w:p>
    <w:p w14:paraId="62DE763A">
      <w:pPr>
        <w:spacing w:before="76" w:line="227" w:lineRule="auto"/>
        <w:ind w:left="598"/>
        <w:rPr>
          <w:rFonts w:ascii="宋体" w:hAnsi="宋体" w:eastAsia="宋体" w:cs="宋体"/>
          <w:sz w:val="23"/>
          <w:szCs w:val="23"/>
        </w:rPr>
      </w:pPr>
      <w:r>
        <w:rPr>
          <w:rFonts w:ascii="宋体" w:hAnsi="宋体" w:eastAsia="宋体" w:cs="宋体"/>
          <w:spacing w:val="2"/>
          <w:sz w:val="23"/>
          <w:szCs w:val="23"/>
        </w:rPr>
        <w:t>本项目噪</w:t>
      </w:r>
      <w:r>
        <w:rPr>
          <w:rFonts w:ascii="宋体" w:hAnsi="宋体" w:eastAsia="宋体" w:cs="宋体"/>
          <w:spacing w:val="1"/>
          <w:sz w:val="23"/>
          <w:szCs w:val="23"/>
        </w:rPr>
        <w:t xml:space="preserve">声现状监测结果见表 </w:t>
      </w:r>
      <w:r>
        <w:rPr>
          <w:rFonts w:ascii="Times New Roman" w:hAnsi="Times New Roman" w:eastAsia="Times New Roman" w:cs="Times New Roman"/>
          <w:spacing w:val="1"/>
          <w:sz w:val="23"/>
          <w:szCs w:val="23"/>
        </w:rPr>
        <w:t>4- 15</w:t>
      </w:r>
      <w:r>
        <w:rPr>
          <w:rFonts w:ascii="宋体" w:hAnsi="宋体" w:eastAsia="宋体" w:cs="宋体"/>
          <w:spacing w:val="1"/>
          <w:sz w:val="23"/>
          <w:szCs w:val="23"/>
        </w:rPr>
        <w:t>。</w:t>
      </w:r>
    </w:p>
    <w:p w14:paraId="7C3F261B">
      <w:pPr>
        <w:spacing w:before="307" w:line="331" w:lineRule="exact"/>
        <w:ind w:left="1666"/>
        <w:rPr>
          <w:rFonts w:ascii="宋体" w:hAnsi="宋体" w:eastAsia="宋体" w:cs="宋体"/>
          <w:sz w:val="23"/>
          <w:szCs w:val="23"/>
        </w:rPr>
      </w:pPr>
      <w:r>
        <w:rPr>
          <w:rFonts w:ascii="宋体" w:hAnsi="宋体" w:eastAsia="宋体" w:cs="宋体"/>
          <w:spacing w:val="5"/>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5"/>
          <w:position w:val="2"/>
          <w:sz w:val="23"/>
          <w:szCs w:val="23"/>
        </w:rPr>
        <w:t xml:space="preserve"> </w:t>
      </w:r>
      <w:r>
        <w:rPr>
          <w:rFonts w:ascii="Times New Roman" w:hAnsi="Times New Roman" w:eastAsia="Times New Roman" w:cs="Times New Roman"/>
          <w:b/>
          <w:bCs/>
          <w:spacing w:val="5"/>
          <w:position w:val="2"/>
          <w:sz w:val="23"/>
          <w:szCs w:val="23"/>
        </w:rPr>
        <w:t>4-15</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14:textOutline w14:w="4358" w14:cap="sq" w14:cmpd="sng">
            <w14:solidFill>
              <w14:srgbClr w14:val="000000"/>
            </w14:solidFill>
            <w14:prstDash w14:val="solid"/>
            <w14:bevel/>
          </w14:textOutline>
        </w:rPr>
        <w:t>噪声现状监测结果表</w:t>
      </w:r>
      <w:r>
        <w:rPr>
          <w:rFonts w:ascii="宋体" w:hAnsi="宋体" w:eastAsia="宋体" w:cs="宋体"/>
          <w:spacing w:val="5"/>
          <w:position w:val="2"/>
          <w:sz w:val="23"/>
          <w:szCs w:val="23"/>
        </w:rPr>
        <w:t xml:space="preserve"> </w:t>
      </w:r>
      <w:r>
        <w:rPr>
          <w:rFonts w:ascii="宋体" w:hAnsi="宋体" w:eastAsia="宋体" w:cs="宋体"/>
          <w:spacing w:val="5"/>
          <w:position w:val="2"/>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2"/>
          <w:sz w:val="23"/>
          <w:szCs w:val="23"/>
        </w:rPr>
        <w:t>dB</w:t>
      </w:r>
      <w:r>
        <w:rPr>
          <w:rFonts w:ascii="Times New Roman" w:hAnsi="Times New Roman" w:eastAsia="Times New Roman" w:cs="Times New Roman"/>
          <w:b/>
          <w:bCs/>
          <w:spacing w:val="5"/>
          <w:position w:val="2"/>
          <w:sz w:val="23"/>
          <w:szCs w:val="23"/>
        </w:rPr>
        <w:t>(</w:t>
      </w:r>
      <w:r>
        <w:rPr>
          <w:rFonts w:ascii="Times New Roman" w:hAnsi="Times New Roman" w:eastAsia="Times New Roman" w:cs="Times New Roman"/>
          <w:b/>
          <w:bCs/>
          <w:position w:val="2"/>
          <w:sz w:val="23"/>
          <w:szCs w:val="23"/>
        </w:rPr>
        <w:t>A</w:t>
      </w:r>
      <w:r>
        <w:rPr>
          <w:rFonts w:ascii="Times New Roman" w:hAnsi="Times New Roman" w:eastAsia="Times New Roman" w:cs="Times New Roman"/>
          <w:b/>
          <w:bCs/>
          <w:spacing w:val="5"/>
          <w:position w:val="2"/>
          <w:sz w:val="23"/>
          <w:szCs w:val="23"/>
        </w:rPr>
        <w:t>)</w:t>
      </w:r>
      <w:r>
        <w:rPr>
          <w:rFonts w:ascii="宋体" w:hAnsi="宋体" w:eastAsia="宋体" w:cs="宋体"/>
          <w:spacing w:val="5"/>
          <w:position w:val="2"/>
          <w:sz w:val="23"/>
          <w:szCs w:val="23"/>
          <w14:textOutline w14:w="4358" w14:cap="sq" w14:cmpd="sng">
            <w14:solidFill>
              <w14:srgbClr w14:val="000000"/>
            </w14:solidFill>
            <w14:prstDash w14:val="solid"/>
            <w14:bevel/>
          </w14:textOutline>
        </w:rPr>
        <w:t>)</w:t>
      </w:r>
    </w:p>
    <w:p w14:paraId="7471C4BD">
      <w:pPr>
        <w:spacing w:line="17"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905"/>
        <w:gridCol w:w="905"/>
        <w:gridCol w:w="905"/>
        <w:gridCol w:w="905"/>
        <w:gridCol w:w="905"/>
        <w:gridCol w:w="905"/>
        <w:gridCol w:w="904"/>
        <w:gridCol w:w="912"/>
      </w:tblGrid>
      <w:tr w14:paraId="4BDEF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275" w:type="dxa"/>
            <w:vMerge w:val="restart"/>
            <w:tcBorders>
              <w:left w:val="nil"/>
              <w:bottom w:val="nil"/>
            </w:tcBorders>
            <w:vAlign w:val="top"/>
          </w:tcPr>
          <w:p w14:paraId="6AF65CD4">
            <w:pPr>
              <w:spacing w:line="246" w:lineRule="auto"/>
              <w:rPr>
                <w:rFonts w:ascii="Arial"/>
                <w:sz w:val="21"/>
              </w:rPr>
            </w:pPr>
          </w:p>
          <w:p w14:paraId="36354094">
            <w:pPr>
              <w:spacing w:line="246" w:lineRule="auto"/>
              <w:rPr>
                <w:rFonts w:ascii="Arial"/>
                <w:sz w:val="21"/>
              </w:rPr>
            </w:pPr>
          </w:p>
          <w:p w14:paraId="0750B869">
            <w:pPr>
              <w:spacing w:before="65" w:line="229" w:lineRule="auto"/>
              <w:ind w:left="22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测</w:t>
            </w:r>
            <w:r>
              <w:rPr>
                <w:rFonts w:ascii="宋体" w:hAnsi="宋体" w:eastAsia="宋体" w:cs="宋体"/>
                <w:spacing w:val="8"/>
                <w:sz w:val="20"/>
                <w:szCs w:val="20"/>
                <w14:textOutline w14:w="3795" w14:cap="sq" w14:cmpd="sng">
                  <w14:solidFill>
                    <w14:srgbClr w14:val="000000"/>
                  </w14:solidFill>
                  <w14:prstDash w14:val="solid"/>
                  <w14:bevel/>
                </w14:textOutline>
              </w:rPr>
              <w:t>点名称</w:t>
            </w:r>
          </w:p>
        </w:tc>
        <w:tc>
          <w:tcPr>
            <w:tcW w:w="7246" w:type="dxa"/>
            <w:gridSpan w:val="8"/>
            <w:tcBorders>
              <w:right w:val="nil"/>
            </w:tcBorders>
            <w:vAlign w:val="top"/>
          </w:tcPr>
          <w:p w14:paraId="64C2F7E9">
            <w:pPr>
              <w:spacing w:before="37" w:line="288" w:lineRule="exact"/>
              <w:ind w:left="2481"/>
              <w:rPr>
                <w:rFonts w:ascii="宋体" w:hAnsi="宋体" w:eastAsia="宋体" w:cs="宋体"/>
                <w:sz w:val="20"/>
                <w:szCs w:val="20"/>
              </w:rPr>
            </w:pPr>
            <w:r>
              <w:rPr>
                <w:rFonts w:ascii="宋体" w:hAnsi="宋体" w:eastAsia="宋体" w:cs="宋体"/>
                <w:spacing w:val="13"/>
                <w:position w:val="3"/>
                <w:sz w:val="20"/>
                <w:szCs w:val="20"/>
                <w14:textOutline w14:w="3795" w14:cap="sq" w14:cmpd="sng">
                  <w14:solidFill>
                    <w14:srgbClr w14:val="000000"/>
                  </w14:solidFill>
                  <w14:prstDash w14:val="solid"/>
                  <w14:bevel/>
                </w14:textOutline>
              </w:rPr>
              <w:t>检</w:t>
            </w:r>
            <w:r>
              <w:rPr>
                <w:rFonts w:ascii="宋体" w:hAnsi="宋体" w:eastAsia="宋体" w:cs="宋体"/>
                <w:spacing w:val="8"/>
                <w:position w:val="3"/>
                <w:sz w:val="20"/>
                <w:szCs w:val="20"/>
                <w14:textOutline w14:w="3795" w14:cap="sq" w14:cmpd="sng">
                  <w14:solidFill>
                    <w14:srgbClr w14:val="000000"/>
                  </w14:solidFill>
                  <w14:prstDash w14:val="solid"/>
                  <w14:bevel/>
                </w14:textOutline>
              </w:rPr>
              <w:t>测结果</w:t>
            </w:r>
            <w:r>
              <w:rPr>
                <w:rFonts w:ascii="宋体" w:hAnsi="宋体" w:eastAsia="宋体" w:cs="宋体"/>
                <w:spacing w:val="8"/>
                <w:position w:val="3"/>
                <w:sz w:val="20"/>
                <w:szCs w:val="20"/>
              </w:rPr>
              <w:t xml:space="preserve"> </w:t>
            </w:r>
            <w:r>
              <w:rPr>
                <w:rFonts w:ascii="宋体" w:hAnsi="宋体" w:eastAsia="宋体" w:cs="宋体"/>
                <w:spacing w:val="8"/>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3"/>
                <w:sz w:val="20"/>
                <w:szCs w:val="20"/>
              </w:rPr>
              <w:t>Leq</w:t>
            </w:r>
            <w:r>
              <w:rPr>
                <w:rFonts w:ascii="Times New Roman" w:hAnsi="Times New Roman" w:eastAsia="Times New Roman" w:cs="Times New Roman"/>
                <w:b/>
                <w:bCs/>
                <w:spacing w:val="8"/>
                <w:position w:val="3"/>
                <w:sz w:val="20"/>
                <w:szCs w:val="20"/>
              </w:rPr>
              <w:t>[</w:t>
            </w:r>
            <w:r>
              <w:rPr>
                <w:rFonts w:ascii="Times New Roman" w:hAnsi="Times New Roman" w:eastAsia="Times New Roman" w:cs="Times New Roman"/>
                <w:b/>
                <w:bCs/>
                <w:position w:val="3"/>
                <w:sz w:val="20"/>
                <w:szCs w:val="20"/>
              </w:rPr>
              <w:t>dB</w:t>
            </w:r>
            <w:r>
              <w:rPr>
                <w:rFonts w:ascii="Times New Roman" w:hAnsi="Times New Roman" w:eastAsia="Times New Roman" w:cs="Times New Roman"/>
                <w:b/>
                <w:bCs/>
                <w:spacing w:val="8"/>
                <w:position w:val="3"/>
                <w:sz w:val="20"/>
                <w:szCs w:val="20"/>
              </w:rPr>
              <w:t>(</w:t>
            </w:r>
            <w:r>
              <w:rPr>
                <w:rFonts w:ascii="Times New Roman" w:hAnsi="Times New Roman" w:eastAsia="Times New Roman" w:cs="Times New Roman"/>
                <w:b/>
                <w:bCs/>
                <w:position w:val="3"/>
                <w:sz w:val="20"/>
                <w:szCs w:val="20"/>
              </w:rPr>
              <w:t>A</w:t>
            </w:r>
            <w:r>
              <w:rPr>
                <w:rFonts w:ascii="Times New Roman" w:hAnsi="Times New Roman" w:eastAsia="Times New Roman" w:cs="Times New Roman"/>
                <w:b/>
                <w:bCs/>
                <w:spacing w:val="8"/>
                <w:position w:val="3"/>
                <w:sz w:val="20"/>
                <w:szCs w:val="20"/>
              </w:rPr>
              <w:t>)]</w:t>
            </w:r>
            <w:r>
              <w:rPr>
                <w:rFonts w:ascii="宋体" w:hAnsi="宋体" w:eastAsia="宋体" w:cs="宋体"/>
                <w:spacing w:val="8"/>
                <w:position w:val="3"/>
                <w:sz w:val="20"/>
                <w:szCs w:val="20"/>
                <w14:textOutline w14:w="3795" w14:cap="sq" w14:cmpd="sng">
                  <w14:solidFill>
                    <w14:srgbClr w14:val="000000"/>
                  </w14:solidFill>
                  <w14:prstDash w14:val="solid"/>
                  <w14:bevel/>
                </w14:textOutline>
              </w:rPr>
              <w:t>)</w:t>
            </w:r>
          </w:p>
        </w:tc>
      </w:tr>
      <w:tr w14:paraId="51E9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75" w:type="dxa"/>
            <w:vMerge w:val="continue"/>
            <w:tcBorders>
              <w:top w:val="nil"/>
              <w:left w:val="nil"/>
              <w:bottom w:val="nil"/>
            </w:tcBorders>
            <w:vAlign w:val="top"/>
          </w:tcPr>
          <w:p w14:paraId="2B6F4092">
            <w:pPr>
              <w:rPr>
                <w:rFonts w:ascii="Arial"/>
                <w:sz w:val="21"/>
              </w:rPr>
            </w:pPr>
          </w:p>
        </w:tc>
        <w:tc>
          <w:tcPr>
            <w:tcW w:w="3620" w:type="dxa"/>
            <w:gridSpan w:val="4"/>
            <w:vAlign w:val="top"/>
          </w:tcPr>
          <w:p w14:paraId="2459D11F">
            <w:pPr>
              <w:spacing w:before="50" w:line="228" w:lineRule="auto"/>
              <w:ind w:left="947"/>
              <w:rPr>
                <w:rFonts w:ascii="宋体" w:hAnsi="宋体" w:eastAsia="宋体" w:cs="宋体"/>
                <w:sz w:val="20"/>
                <w:szCs w:val="20"/>
              </w:rPr>
            </w:pPr>
            <w:r>
              <w:rPr>
                <w:rFonts w:ascii="Times New Roman" w:hAnsi="Times New Roman" w:eastAsia="Times New Roman" w:cs="Times New Roman"/>
                <w:b/>
                <w:bCs/>
                <w:spacing w:val="1"/>
                <w:sz w:val="20"/>
                <w:szCs w:val="20"/>
              </w:rPr>
              <w:t>2019</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年</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06</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月</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2</w:t>
            </w:r>
            <w:r>
              <w:rPr>
                <w:rFonts w:ascii="Times New Roman" w:hAnsi="Times New Roman" w:eastAsia="Times New Roman" w:cs="Times New Roman"/>
                <w:b/>
                <w:bCs/>
                <w:sz w:val="20"/>
                <w:szCs w:val="20"/>
              </w:rPr>
              <w:t>0</w:t>
            </w:r>
            <w:r>
              <w:rPr>
                <w:rFonts w:ascii="Times New Roman" w:hAnsi="Times New Roman" w:eastAsia="Times New Roman" w:cs="Times New Roman"/>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日</w:t>
            </w:r>
          </w:p>
        </w:tc>
        <w:tc>
          <w:tcPr>
            <w:tcW w:w="3626" w:type="dxa"/>
            <w:gridSpan w:val="4"/>
            <w:tcBorders>
              <w:right w:val="nil"/>
            </w:tcBorders>
            <w:vAlign w:val="top"/>
          </w:tcPr>
          <w:p w14:paraId="7896F11C">
            <w:pPr>
              <w:spacing w:before="50" w:line="228" w:lineRule="auto"/>
              <w:ind w:left="949"/>
              <w:rPr>
                <w:rFonts w:ascii="宋体" w:hAnsi="宋体" w:eastAsia="宋体" w:cs="宋体"/>
                <w:sz w:val="20"/>
                <w:szCs w:val="20"/>
              </w:rPr>
            </w:pPr>
            <w:r>
              <w:rPr>
                <w:rFonts w:ascii="Times New Roman" w:hAnsi="Times New Roman" w:eastAsia="Times New Roman" w:cs="Times New Roman"/>
                <w:b/>
                <w:bCs/>
                <w:spacing w:val="1"/>
                <w:sz w:val="20"/>
                <w:szCs w:val="20"/>
              </w:rPr>
              <w:t>2019</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年</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06</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月</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2</w:t>
            </w:r>
            <w:r>
              <w:rPr>
                <w:rFonts w:ascii="Times New Roman" w:hAnsi="Times New Roman" w:eastAsia="Times New Roman" w:cs="Times New Roman"/>
                <w:b/>
                <w:bCs/>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日</w:t>
            </w:r>
          </w:p>
        </w:tc>
      </w:tr>
      <w:tr w14:paraId="6EE3D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75" w:type="dxa"/>
            <w:vMerge w:val="continue"/>
            <w:tcBorders>
              <w:top w:val="nil"/>
              <w:left w:val="nil"/>
              <w:bottom w:val="nil"/>
            </w:tcBorders>
            <w:vAlign w:val="top"/>
          </w:tcPr>
          <w:p w14:paraId="3BC3D53B">
            <w:pPr>
              <w:rPr>
                <w:rFonts w:ascii="Arial"/>
                <w:sz w:val="21"/>
              </w:rPr>
            </w:pPr>
          </w:p>
        </w:tc>
        <w:tc>
          <w:tcPr>
            <w:tcW w:w="1810" w:type="dxa"/>
            <w:gridSpan w:val="2"/>
            <w:vAlign w:val="top"/>
          </w:tcPr>
          <w:p w14:paraId="739860F3">
            <w:pPr>
              <w:spacing w:before="53" w:line="231" w:lineRule="auto"/>
              <w:ind w:left="70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昼间</w:t>
            </w:r>
          </w:p>
        </w:tc>
        <w:tc>
          <w:tcPr>
            <w:tcW w:w="1810" w:type="dxa"/>
            <w:gridSpan w:val="2"/>
            <w:vAlign w:val="top"/>
          </w:tcPr>
          <w:p w14:paraId="5A299022">
            <w:pPr>
              <w:spacing w:before="53" w:line="228" w:lineRule="auto"/>
              <w:ind w:left="70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夜间</w:t>
            </w:r>
          </w:p>
        </w:tc>
        <w:tc>
          <w:tcPr>
            <w:tcW w:w="1810" w:type="dxa"/>
            <w:gridSpan w:val="2"/>
            <w:vAlign w:val="top"/>
          </w:tcPr>
          <w:p w14:paraId="57BCCC35">
            <w:pPr>
              <w:spacing w:before="53" w:line="231" w:lineRule="auto"/>
              <w:ind w:left="69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昼间</w:t>
            </w:r>
          </w:p>
        </w:tc>
        <w:tc>
          <w:tcPr>
            <w:tcW w:w="1816" w:type="dxa"/>
            <w:gridSpan w:val="2"/>
            <w:tcBorders>
              <w:right w:val="nil"/>
            </w:tcBorders>
            <w:vAlign w:val="top"/>
          </w:tcPr>
          <w:p w14:paraId="2E7A5BE3">
            <w:pPr>
              <w:spacing w:before="53" w:line="228" w:lineRule="auto"/>
              <w:ind w:left="70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夜间</w:t>
            </w:r>
          </w:p>
        </w:tc>
      </w:tr>
      <w:tr w14:paraId="3B544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75" w:type="dxa"/>
            <w:vMerge w:val="continue"/>
            <w:tcBorders>
              <w:top w:val="nil"/>
              <w:left w:val="nil"/>
            </w:tcBorders>
            <w:vAlign w:val="top"/>
          </w:tcPr>
          <w:p w14:paraId="122DAA05">
            <w:pPr>
              <w:rPr>
                <w:rFonts w:ascii="Arial"/>
                <w:sz w:val="21"/>
              </w:rPr>
            </w:pPr>
          </w:p>
        </w:tc>
        <w:tc>
          <w:tcPr>
            <w:tcW w:w="905" w:type="dxa"/>
            <w:vAlign w:val="top"/>
          </w:tcPr>
          <w:p w14:paraId="7135FE44">
            <w:pPr>
              <w:spacing w:before="54" w:line="228" w:lineRule="auto"/>
              <w:ind w:left="14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905" w:type="dxa"/>
            <w:vAlign w:val="top"/>
          </w:tcPr>
          <w:p w14:paraId="19800498">
            <w:pPr>
              <w:spacing w:before="54" w:line="228" w:lineRule="auto"/>
              <w:ind w:left="14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二次</w:t>
            </w:r>
          </w:p>
        </w:tc>
        <w:tc>
          <w:tcPr>
            <w:tcW w:w="905" w:type="dxa"/>
            <w:vAlign w:val="top"/>
          </w:tcPr>
          <w:p w14:paraId="5AC49D6C">
            <w:pPr>
              <w:spacing w:before="54" w:line="228" w:lineRule="auto"/>
              <w:ind w:left="14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905" w:type="dxa"/>
            <w:vAlign w:val="top"/>
          </w:tcPr>
          <w:p w14:paraId="31173584">
            <w:pPr>
              <w:spacing w:before="54" w:line="228" w:lineRule="auto"/>
              <w:ind w:left="14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二次</w:t>
            </w:r>
          </w:p>
        </w:tc>
        <w:tc>
          <w:tcPr>
            <w:tcW w:w="905" w:type="dxa"/>
            <w:vAlign w:val="top"/>
          </w:tcPr>
          <w:p w14:paraId="6B3EEB82">
            <w:pPr>
              <w:spacing w:before="54" w:line="228" w:lineRule="auto"/>
              <w:ind w:left="14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905" w:type="dxa"/>
            <w:vAlign w:val="top"/>
          </w:tcPr>
          <w:p w14:paraId="304211DC">
            <w:pPr>
              <w:spacing w:before="54" w:line="228" w:lineRule="auto"/>
              <w:ind w:left="14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二次</w:t>
            </w:r>
          </w:p>
        </w:tc>
        <w:tc>
          <w:tcPr>
            <w:tcW w:w="904" w:type="dxa"/>
            <w:vAlign w:val="top"/>
          </w:tcPr>
          <w:p w14:paraId="1FDAF09F">
            <w:pPr>
              <w:spacing w:before="54" w:line="228" w:lineRule="auto"/>
              <w:ind w:left="14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912" w:type="dxa"/>
            <w:tcBorders>
              <w:right w:val="nil"/>
            </w:tcBorders>
            <w:vAlign w:val="top"/>
          </w:tcPr>
          <w:p w14:paraId="147AAD5D">
            <w:pPr>
              <w:spacing w:before="54" w:line="228" w:lineRule="auto"/>
              <w:ind w:left="14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二次</w:t>
            </w:r>
          </w:p>
        </w:tc>
      </w:tr>
      <w:tr w14:paraId="1834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75" w:type="dxa"/>
            <w:tcBorders>
              <w:left w:val="nil"/>
            </w:tcBorders>
            <w:vAlign w:val="top"/>
          </w:tcPr>
          <w:p w14:paraId="5C9E250C">
            <w:pPr>
              <w:spacing w:before="54" w:line="228" w:lineRule="auto"/>
              <w:ind w:left="328"/>
              <w:rPr>
                <w:rFonts w:ascii="宋体" w:hAnsi="宋体" w:eastAsia="宋体" w:cs="宋体"/>
                <w:sz w:val="20"/>
                <w:szCs w:val="20"/>
              </w:rPr>
            </w:pPr>
            <w:r>
              <w:rPr>
                <w:rFonts w:ascii="宋体" w:hAnsi="宋体" w:eastAsia="宋体" w:cs="宋体"/>
                <w:spacing w:val="7"/>
                <w:sz w:val="20"/>
                <w:szCs w:val="20"/>
              </w:rPr>
              <w:t>场界东</w:t>
            </w:r>
          </w:p>
        </w:tc>
        <w:tc>
          <w:tcPr>
            <w:tcW w:w="905" w:type="dxa"/>
            <w:vAlign w:val="top"/>
          </w:tcPr>
          <w:p w14:paraId="15F4F59C">
            <w:pPr>
              <w:spacing w:before="90"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52.3</w:t>
            </w:r>
          </w:p>
        </w:tc>
        <w:tc>
          <w:tcPr>
            <w:tcW w:w="905" w:type="dxa"/>
            <w:vAlign w:val="top"/>
          </w:tcPr>
          <w:p w14:paraId="14DBB6DD">
            <w:pPr>
              <w:spacing w:before="90"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p>
        </w:tc>
        <w:tc>
          <w:tcPr>
            <w:tcW w:w="905" w:type="dxa"/>
            <w:vAlign w:val="top"/>
          </w:tcPr>
          <w:p w14:paraId="1A3CD87D">
            <w:pPr>
              <w:spacing w:before="9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43.5</w:t>
            </w:r>
          </w:p>
        </w:tc>
        <w:tc>
          <w:tcPr>
            <w:tcW w:w="905" w:type="dxa"/>
            <w:vAlign w:val="top"/>
          </w:tcPr>
          <w:p w14:paraId="495436F5">
            <w:pPr>
              <w:spacing w:before="9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43.2</w:t>
            </w:r>
          </w:p>
        </w:tc>
        <w:tc>
          <w:tcPr>
            <w:tcW w:w="905" w:type="dxa"/>
            <w:vAlign w:val="top"/>
          </w:tcPr>
          <w:p w14:paraId="6745C4F8">
            <w:pPr>
              <w:spacing w:before="9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2. 1</w:t>
            </w:r>
          </w:p>
        </w:tc>
        <w:tc>
          <w:tcPr>
            <w:tcW w:w="905" w:type="dxa"/>
            <w:vAlign w:val="top"/>
          </w:tcPr>
          <w:p w14:paraId="5A068156">
            <w:pPr>
              <w:spacing w:before="9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52.6</w:t>
            </w:r>
          </w:p>
        </w:tc>
        <w:tc>
          <w:tcPr>
            <w:tcW w:w="904" w:type="dxa"/>
            <w:vAlign w:val="top"/>
          </w:tcPr>
          <w:p w14:paraId="677D5987">
            <w:pPr>
              <w:spacing w:before="90" w:line="198"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2.2</w:t>
            </w:r>
          </w:p>
        </w:tc>
        <w:tc>
          <w:tcPr>
            <w:tcW w:w="912" w:type="dxa"/>
            <w:tcBorders>
              <w:right w:val="nil"/>
            </w:tcBorders>
            <w:vAlign w:val="top"/>
          </w:tcPr>
          <w:p w14:paraId="6C895949">
            <w:pPr>
              <w:spacing w:before="90" w:line="198"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42. 1</w:t>
            </w:r>
          </w:p>
        </w:tc>
      </w:tr>
      <w:tr w14:paraId="7DD5B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75" w:type="dxa"/>
            <w:tcBorders>
              <w:left w:val="nil"/>
            </w:tcBorders>
            <w:vAlign w:val="top"/>
          </w:tcPr>
          <w:p w14:paraId="6E7B90AE">
            <w:pPr>
              <w:spacing w:before="55" w:line="228" w:lineRule="auto"/>
              <w:ind w:left="328"/>
              <w:rPr>
                <w:rFonts w:ascii="宋体" w:hAnsi="宋体" w:eastAsia="宋体" w:cs="宋体"/>
                <w:sz w:val="20"/>
                <w:szCs w:val="20"/>
              </w:rPr>
            </w:pPr>
            <w:r>
              <w:rPr>
                <w:rFonts w:ascii="宋体" w:hAnsi="宋体" w:eastAsia="宋体" w:cs="宋体"/>
                <w:spacing w:val="7"/>
                <w:sz w:val="20"/>
                <w:szCs w:val="20"/>
              </w:rPr>
              <w:t>场界南</w:t>
            </w:r>
          </w:p>
        </w:tc>
        <w:tc>
          <w:tcPr>
            <w:tcW w:w="905" w:type="dxa"/>
            <w:vAlign w:val="top"/>
          </w:tcPr>
          <w:p w14:paraId="2D3A0B5C">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1.5</w:t>
            </w:r>
          </w:p>
        </w:tc>
        <w:tc>
          <w:tcPr>
            <w:tcW w:w="905" w:type="dxa"/>
            <w:vAlign w:val="top"/>
          </w:tcPr>
          <w:p w14:paraId="68506502">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53.4</w:t>
            </w:r>
          </w:p>
        </w:tc>
        <w:tc>
          <w:tcPr>
            <w:tcW w:w="905" w:type="dxa"/>
            <w:vAlign w:val="top"/>
          </w:tcPr>
          <w:p w14:paraId="156A2A95">
            <w:pPr>
              <w:spacing w:before="9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43.</w:t>
            </w:r>
            <w:r>
              <w:rPr>
                <w:rFonts w:ascii="Times New Roman" w:hAnsi="Times New Roman" w:eastAsia="Times New Roman" w:cs="Times New Roman"/>
                <w:spacing w:val="4"/>
                <w:sz w:val="20"/>
                <w:szCs w:val="20"/>
              </w:rPr>
              <w:t>3</w:t>
            </w:r>
          </w:p>
        </w:tc>
        <w:tc>
          <w:tcPr>
            <w:tcW w:w="905" w:type="dxa"/>
            <w:vAlign w:val="top"/>
          </w:tcPr>
          <w:p w14:paraId="78147681">
            <w:pPr>
              <w:spacing w:before="9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3.6</w:t>
            </w:r>
          </w:p>
        </w:tc>
        <w:tc>
          <w:tcPr>
            <w:tcW w:w="905" w:type="dxa"/>
            <w:vAlign w:val="top"/>
          </w:tcPr>
          <w:p w14:paraId="05F920F9">
            <w:pPr>
              <w:spacing w:before="9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905" w:type="dxa"/>
            <w:vAlign w:val="top"/>
          </w:tcPr>
          <w:p w14:paraId="08D4894A">
            <w:pPr>
              <w:spacing w:before="9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52.6</w:t>
            </w:r>
          </w:p>
        </w:tc>
        <w:tc>
          <w:tcPr>
            <w:tcW w:w="904" w:type="dxa"/>
            <w:vAlign w:val="top"/>
          </w:tcPr>
          <w:p w14:paraId="3456F82A">
            <w:pPr>
              <w:spacing w:before="9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43.</w:t>
            </w:r>
            <w:r>
              <w:rPr>
                <w:rFonts w:ascii="Times New Roman" w:hAnsi="Times New Roman" w:eastAsia="Times New Roman" w:cs="Times New Roman"/>
                <w:spacing w:val="4"/>
                <w:sz w:val="20"/>
                <w:szCs w:val="20"/>
              </w:rPr>
              <w:t>3</w:t>
            </w:r>
          </w:p>
        </w:tc>
        <w:tc>
          <w:tcPr>
            <w:tcW w:w="912" w:type="dxa"/>
            <w:tcBorders>
              <w:right w:val="nil"/>
            </w:tcBorders>
            <w:vAlign w:val="top"/>
          </w:tcPr>
          <w:p w14:paraId="5940742B">
            <w:pPr>
              <w:spacing w:before="9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43.</w:t>
            </w:r>
            <w:r>
              <w:rPr>
                <w:rFonts w:ascii="Times New Roman" w:hAnsi="Times New Roman" w:eastAsia="Times New Roman" w:cs="Times New Roman"/>
                <w:spacing w:val="5"/>
                <w:sz w:val="20"/>
                <w:szCs w:val="20"/>
              </w:rPr>
              <w:t>8</w:t>
            </w:r>
          </w:p>
        </w:tc>
      </w:tr>
      <w:tr w14:paraId="0F40D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75" w:type="dxa"/>
            <w:tcBorders>
              <w:left w:val="nil"/>
            </w:tcBorders>
            <w:vAlign w:val="top"/>
          </w:tcPr>
          <w:p w14:paraId="69EA9EEB">
            <w:pPr>
              <w:spacing w:before="55" w:line="228" w:lineRule="auto"/>
              <w:ind w:left="328"/>
              <w:rPr>
                <w:rFonts w:ascii="宋体" w:hAnsi="宋体" w:eastAsia="宋体" w:cs="宋体"/>
                <w:sz w:val="20"/>
                <w:szCs w:val="20"/>
              </w:rPr>
            </w:pPr>
            <w:r>
              <w:rPr>
                <w:rFonts w:ascii="宋体" w:hAnsi="宋体" w:eastAsia="宋体" w:cs="宋体"/>
                <w:spacing w:val="7"/>
                <w:sz w:val="20"/>
                <w:szCs w:val="20"/>
              </w:rPr>
              <w:t>场界西</w:t>
            </w:r>
          </w:p>
        </w:tc>
        <w:tc>
          <w:tcPr>
            <w:tcW w:w="905" w:type="dxa"/>
            <w:vAlign w:val="top"/>
          </w:tcPr>
          <w:p w14:paraId="67BBA12D">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905" w:type="dxa"/>
            <w:vAlign w:val="top"/>
          </w:tcPr>
          <w:p w14:paraId="689CBC6A">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w:t>
            </w:r>
            <w:r>
              <w:rPr>
                <w:rFonts w:ascii="Times New Roman" w:hAnsi="Times New Roman" w:eastAsia="Times New Roman" w:cs="Times New Roman"/>
                <w:spacing w:val="2"/>
                <w:sz w:val="20"/>
                <w:szCs w:val="20"/>
              </w:rPr>
              <w:t>7</w:t>
            </w:r>
          </w:p>
        </w:tc>
        <w:tc>
          <w:tcPr>
            <w:tcW w:w="905" w:type="dxa"/>
            <w:vAlign w:val="top"/>
          </w:tcPr>
          <w:p w14:paraId="65C576DF">
            <w:pPr>
              <w:spacing w:before="9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43. 1</w:t>
            </w:r>
          </w:p>
        </w:tc>
        <w:tc>
          <w:tcPr>
            <w:tcW w:w="905" w:type="dxa"/>
            <w:vAlign w:val="top"/>
          </w:tcPr>
          <w:p w14:paraId="131CFA54">
            <w:pPr>
              <w:spacing w:before="9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43.7</w:t>
            </w:r>
          </w:p>
        </w:tc>
        <w:tc>
          <w:tcPr>
            <w:tcW w:w="905" w:type="dxa"/>
            <w:vAlign w:val="top"/>
          </w:tcPr>
          <w:p w14:paraId="43B984B7">
            <w:pPr>
              <w:spacing w:before="9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51.8</w:t>
            </w:r>
          </w:p>
        </w:tc>
        <w:tc>
          <w:tcPr>
            <w:tcW w:w="905" w:type="dxa"/>
            <w:vAlign w:val="top"/>
          </w:tcPr>
          <w:p w14:paraId="42056FEE">
            <w:pPr>
              <w:spacing w:before="9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3. 1</w:t>
            </w:r>
          </w:p>
        </w:tc>
        <w:tc>
          <w:tcPr>
            <w:tcW w:w="904" w:type="dxa"/>
            <w:vAlign w:val="top"/>
          </w:tcPr>
          <w:p w14:paraId="309F4F8C">
            <w:pPr>
              <w:spacing w:before="9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3.2</w:t>
            </w:r>
          </w:p>
        </w:tc>
        <w:tc>
          <w:tcPr>
            <w:tcW w:w="912" w:type="dxa"/>
            <w:tcBorders>
              <w:right w:val="nil"/>
            </w:tcBorders>
            <w:vAlign w:val="top"/>
          </w:tcPr>
          <w:p w14:paraId="3A6FFBE0">
            <w:pPr>
              <w:spacing w:before="92" w:line="198"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42. 1</w:t>
            </w:r>
          </w:p>
        </w:tc>
      </w:tr>
      <w:tr w14:paraId="7559D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75" w:type="dxa"/>
            <w:tcBorders>
              <w:left w:val="nil"/>
            </w:tcBorders>
            <w:vAlign w:val="top"/>
          </w:tcPr>
          <w:p w14:paraId="0248A0AA">
            <w:pPr>
              <w:spacing w:before="55" w:line="228" w:lineRule="auto"/>
              <w:ind w:left="328"/>
              <w:rPr>
                <w:rFonts w:ascii="宋体" w:hAnsi="宋体" w:eastAsia="宋体" w:cs="宋体"/>
                <w:sz w:val="20"/>
                <w:szCs w:val="20"/>
              </w:rPr>
            </w:pPr>
            <w:r>
              <w:rPr>
                <w:rFonts w:ascii="宋体" w:hAnsi="宋体" w:eastAsia="宋体" w:cs="宋体"/>
                <w:spacing w:val="7"/>
                <w:sz w:val="20"/>
                <w:szCs w:val="20"/>
              </w:rPr>
              <w:t>场界北</w:t>
            </w:r>
          </w:p>
        </w:tc>
        <w:tc>
          <w:tcPr>
            <w:tcW w:w="905" w:type="dxa"/>
            <w:vAlign w:val="top"/>
          </w:tcPr>
          <w:p w14:paraId="061B3C7F">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w:t>
            </w:r>
            <w:r>
              <w:rPr>
                <w:rFonts w:ascii="Times New Roman" w:hAnsi="Times New Roman" w:eastAsia="Times New Roman" w:cs="Times New Roman"/>
                <w:spacing w:val="2"/>
                <w:sz w:val="20"/>
                <w:szCs w:val="20"/>
              </w:rPr>
              <w:t>7</w:t>
            </w:r>
          </w:p>
        </w:tc>
        <w:tc>
          <w:tcPr>
            <w:tcW w:w="905" w:type="dxa"/>
            <w:vAlign w:val="top"/>
          </w:tcPr>
          <w:p w14:paraId="7E4377A2">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905" w:type="dxa"/>
            <w:vAlign w:val="top"/>
          </w:tcPr>
          <w:p w14:paraId="77829EA0">
            <w:pPr>
              <w:spacing w:before="93" w:line="198"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2.9</w:t>
            </w:r>
          </w:p>
        </w:tc>
        <w:tc>
          <w:tcPr>
            <w:tcW w:w="905" w:type="dxa"/>
            <w:vAlign w:val="top"/>
          </w:tcPr>
          <w:p w14:paraId="726A90C5">
            <w:pPr>
              <w:spacing w:before="93" w:line="198"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42.9</w:t>
            </w:r>
          </w:p>
        </w:tc>
        <w:tc>
          <w:tcPr>
            <w:tcW w:w="905" w:type="dxa"/>
            <w:vAlign w:val="top"/>
          </w:tcPr>
          <w:p w14:paraId="13590001">
            <w:pPr>
              <w:spacing w:before="9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2. 1</w:t>
            </w:r>
          </w:p>
        </w:tc>
        <w:tc>
          <w:tcPr>
            <w:tcW w:w="905" w:type="dxa"/>
            <w:vAlign w:val="top"/>
          </w:tcPr>
          <w:p w14:paraId="018348DB">
            <w:pPr>
              <w:spacing w:before="9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52.3</w:t>
            </w:r>
          </w:p>
        </w:tc>
        <w:tc>
          <w:tcPr>
            <w:tcW w:w="904" w:type="dxa"/>
            <w:vAlign w:val="top"/>
          </w:tcPr>
          <w:p w14:paraId="1A6EC89D">
            <w:pPr>
              <w:spacing w:before="9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43. 1</w:t>
            </w:r>
          </w:p>
        </w:tc>
        <w:tc>
          <w:tcPr>
            <w:tcW w:w="912" w:type="dxa"/>
            <w:tcBorders>
              <w:right w:val="nil"/>
            </w:tcBorders>
            <w:vAlign w:val="top"/>
          </w:tcPr>
          <w:p w14:paraId="58A2A75E">
            <w:pPr>
              <w:spacing w:before="9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3.4</w:t>
            </w:r>
          </w:p>
        </w:tc>
      </w:tr>
      <w:tr w14:paraId="7C3F7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275" w:type="dxa"/>
            <w:tcBorders>
              <w:left w:val="nil"/>
            </w:tcBorders>
            <w:vAlign w:val="top"/>
          </w:tcPr>
          <w:p w14:paraId="3BB9513D">
            <w:pPr>
              <w:spacing w:before="19" w:line="310" w:lineRule="auto"/>
              <w:ind w:left="39" w:right="24" w:firstLine="24"/>
              <w:rPr>
                <w:rFonts w:ascii="宋体" w:hAnsi="宋体" w:eastAsia="宋体" w:cs="宋体"/>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8)</w:t>
            </w:r>
            <w:r>
              <w:rPr>
                <w:rFonts w:ascii="宋体" w:hAnsi="宋体" w:eastAsia="宋体" w:cs="宋体"/>
                <w:spacing w:val="-1"/>
                <w:sz w:val="20"/>
                <w:szCs w:val="20"/>
              </w:rPr>
              <w:t xml:space="preserve">中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类标</w:t>
            </w:r>
            <w:r>
              <w:rPr>
                <w:rFonts w:ascii="宋体" w:hAnsi="宋体" w:eastAsia="宋体" w:cs="宋体"/>
                <w:sz w:val="20"/>
                <w:szCs w:val="20"/>
              </w:rPr>
              <w:t>准</w:t>
            </w:r>
          </w:p>
        </w:tc>
        <w:tc>
          <w:tcPr>
            <w:tcW w:w="7246" w:type="dxa"/>
            <w:gridSpan w:val="8"/>
            <w:tcBorders>
              <w:right w:val="nil"/>
            </w:tcBorders>
            <w:vAlign w:val="top"/>
          </w:tcPr>
          <w:p w14:paraId="78E887C1">
            <w:pPr>
              <w:spacing w:before="175" w:line="281" w:lineRule="exact"/>
              <w:ind w:left="2305"/>
              <w:rPr>
                <w:rFonts w:ascii="Times New Roman" w:hAnsi="Times New Roman" w:eastAsia="Times New Roman" w:cs="Times New Roman"/>
                <w:sz w:val="20"/>
                <w:szCs w:val="20"/>
              </w:rPr>
            </w:pPr>
            <w:r>
              <w:rPr>
                <w:rFonts w:ascii="宋体" w:hAnsi="宋体" w:eastAsia="宋体" w:cs="宋体"/>
                <w:spacing w:val="-2"/>
                <w:position w:val="2"/>
                <w:sz w:val="20"/>
                <w:szCs w:val="20"/>
              </w:rPr>
              <w:t xml:space="preserve">昼间 </w:t>
            </w:r>
            <w:r>
              <w:rPr>
                <w:rFonts w:ascii="Times New Roman" w:hAnsi="Times New Roman" w:eastAsia="Times New Roman" w:cs="Times New Roman"/>
                <w:spacing w:val="-2"/>
                <w:position w:val="2"/>
                <w:sz w:val="20"/>
                <w:szCs w:val="20"/>
              </w:rPr>
              <w:t>65</w:t>
            </w:r>
            <w:r>
              <w:rPr>
                <w:rFonts w:ascii="Times New Roman" w:hAnsi="Times New Roman" w:eastAsia="Times New Roman" w:cs="Times New Roman"/>
                <w:spacing w:val="-1"/>
                <w:position w:val="2"/>
                <w:sz w:val="20"/>
                <w:szCs w:val="20"/>
              </w:rPr>
              <w:t>dB</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
                <w:position w:val="2"/>
                <w:sz w:val="20"/>
                <w:szCs w:val="20"/>
              </w:rPr>
              <w:t>A</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，夜间</w:t>
            </w:r>
            <w:r>
              <w:rPr>
                <w:rFonts w:ascii="宋体" w:hAnsi="宋体" w:eastAsia="宋体" w:cs="宋体"/>
                <w:spacing w:val="-1"/>
                <w:position w:val="2"/>
                <w:sz w:val="20"/>
                <w:szCs w:val="20"/>
              </w:rPr>
              <w:t xml:space="preserve"> </w:t>
            </w:r>
            <w:r>
              <w:rPr>
                <w:rFonts w:ascii="Times New Roman" w:hAnsi="Times New Roman" w:eastAsia="Times New Roman" w:cs="Times New Roman"/>
                <w:spacing w:val="-1"/>
                <w:position w:val="2"/>
                <w:sz w:val="20"/>
                <w:szCs w:val="20"/>
              </w:rPr>
              <w:t>55dB(A)</w:t>
            </w:r>
          </w:p>
        </w:tc>
      </w:tr>
    </w:tbl>
    <w:p w14:paraId="1A582B02">
      <w:pPr>
        <w:spacing w:before="299" w:line="219" w:lineRule="auto"/>
        <w:ind w:left="115"/>
        <w:outlineLvl w:val="2"/>
        <w:rPr>
          <w:rFonts w:ascii="宋体" w:hAnsi="宋体" w:eastAsia="宋体" w:cs="宋体"/>
          <w:sz w:val="28"/>
          <w:szCs w:val="28"/>
        </w:rPr>
      </w:pPr>
      <w:r>
        <w:rPr>
          <w:rFonts w:ascii="Times New Roman" w:hAnsi="Times New Roman" w:eastAsia="Times New Roman" w:cs="Times New Roman"/>
          <w:b/>
          <w:bCs/>
          <w:spacing w:val="16"/>
          <w:sz w:val="28"/>
          <w:szCs w:val="28"/>
        </w:rPr>
        <w:t>4</w:t>
      </w:r>
      <w:r>
        <w:rPr>
          <w:rFonts w:ascii="Times New Roman" w:hAnsi="Times New Roman" w:eastAsia="Times New Roman" w:cs="Times New Roman"/>
          <w:b/>
          <w:bCs/>
          <w:spacing w:val="9"/>
          <w:sz w:val="28"/>
          <w:szCs w:val="28"/>
        </w:rPr>
        <w:t>.</w:t>
      </w:r>
      <w:r>
        <w:rPr>
          <w:rFonts w:ascii="Times New Roman" w:hAnsi="Times New Roman" w:eastAsia="Times New Roman" w:cs="Times New Roman"/>
          <w:b/>
          <w:bCs/>
          <w:spacing w:val="8"/>
          <w:sz w:val="28"/>
          <w:szCs w:val="28"/>
        </w:rPr>
        <w:t>3.3.2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声环境质量现状评价</w:t>
      </w:r>
    </w:p>
    <w:p w14:paraId="5CBFEEDB">
      <w:pPr>
        <w:spacing w:line="263" w:lineRule="auto"/>
        <w:rPr>
          <w:rFonts w:ascii="Arial"/>
          <w:sz w:val="21"/>
        </w:rPr>
      </w:pPr>
    </w:p>
    <w:p w14:paraId="3F4D1EF3">
      <w:pPr>
        <w:spacing w:before="75" w:line="226" w:lineRule="auto"/>
        <w:ind w:left="632"/>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28"/>
          <w:sz w:val="23"/>
          <w:szCs w:val="23"/>
        </w:rPr>
        <w:t>1</w:t>
      </w:r>
      <w:r>
        <w:rPr>
          <w:rFonts w:ascii="宋体" w:hAnsi="宋体" w:eastAsia="宋体" w:cs="宋体"/>
          <w:spacing w:val="28"/>
          <w:sz w:val="23"/>
          <w:szCs w:val="23"/>
        </w:rPr>
        <w:t>) 评价标</w:t>
      </w:r>
      <w:r>
        <w:rPr>
          <w:rFonts w:ascii="宋体" w:hAnsi="宋体" w:eastAsia="宋体" w:cs="宋体"/>
          <w:spacing w:val="27"/>
          <w:sz w:val="23"/>
          <w:szCs w:val="23"/>
        </w:rPr>
        <w:t>准</w:t>
      </w:r>
    </w:p>
    <w:p w14:paraId="2D9A97BB">
      <w:pPr>
        <w:spacing w:line="278" w:lineRule="auto"/>
        <w:rPr>
          <w:rFonts w:ascii="Arial"/>
          <w:sz w:val="21"/>
        </w:rPr>
      </w:pPr>
    </w:p>
    <w:p w14:paraId="43920238">
      <w:pPr>
        <w:spacing w:before="75" w:line="383" w:lineRule="auto"/>
        <w:ind w:left="118" w:right="107" w:firstLine="478"/>
        <w:rPr>
          <w:rFonts w:ascii="宋体" w:hAnsi="宋体" w:eastAsia="宋体" w:cs="宋体"/>
          <w:sz w:val="23"/>
          <w:szCs w:val="23"/>
        </w:rPr>
      </w:pPr>
      <w:r>
        <w:rPr>
          <w:rFonts w:ascii="宋体" w:hAnsi="宋体" w:eastAsia="宋体" w:cs="宋体"/>
          <w:spacing w:val="16"/>
          <w:sz w:val="23"/>
          <w:szCs w:val="23"/>
        </w:rPr>
        <w:t>评价</w:t>
      </w:r>
      <w:r>
        <w:rPr>
          <w:rFonts w:ascii="宋体" w:hAnsi="宋体" w:eastAsia="宋体" w:cs="宋体"/>
          <w:spacing w:val="13"/>
          <w:sz w:val="23"/>
          <w:szCs w:val="23"/>
        </w:rPr>
        <w:t>标</w:t>
      </w:r>
      <w:r>
        <w:rPr>
          <w:rFonts w:ascii="宋体" w:hAnsi="宋体" w:eastAsia="宋体" w:cs="宋体"/>
          <w:spacing w:val="8"/>
          <w:sz w:val="23"/>
          <w:szCs w:val="23"/>
        </w:rPr>
        <w:t>准采用《声环境质量标准》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3096-2008</w:t>
      </w:r>
      <w:r>
        <w:rPr>
          <w:rFonts w:ascii="宋体" w:hAnsi="宋体" w:eastAsia="宋体" w:cs="宋体"/>
          <w:spacing w:val="8"/>
          <w:sz w:val="23"/>
          <w:szCs w:val="23"/>
        </w:rPr>
        <w:t xml:space="preserve">) 中 </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类标准 (即昼间</w:t>
      </w:r>
      <w:r>
        <w:rPr>
          <w:rFonts w:ascii="宋体" w:hAnsi="宋体" w:eastAsia="宋体" w:cs="宋体"/>
          <w:sz w:val="23"/>
          <w:szCs w:val="23"/>
        </w:rPr>
        <w:t xml:space="preserve"> </w:t>
      </w:r>
      <w:r>
        <w:rPr>
          <w:rFonts w:ascii="Times New Roman" w:hAnsi="Times New Roman" w:eastAsia="Times New Roman" w:cs="Times New Roman"/>
          <w:spacing w:val="-1"/>
          <w:sz w:val="23"/>
          <w:szCs w:val="23"/>
        </w:rPr>
        <w:t>65</w:t>
      </w:r>
      <w:r>
        <w:rPr>
          <w:rFonts w:ascii="Times New Roman" w:hAnsi="Times New Roman" w:eastAsia="Times New Roman" w:cs="Times New Roman"/>
          <w:sz w:val="23"/>
          <w:szCs w:val="23"/>
        </w:rPr>
        <w:t>dB</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，夜间 </w:t>
      </w:r>
      <w:r>
        <w:rPr>
          <w:rFonts w:ascii="Times New Roman" w:hAnsi="Times New Roman" w:eastAsia="Times New Roman" w:cs="Times New Roman"/>
          <w:spacing w:val="-1"/>
          <w:sz w:val="23"/>
          <w:szCs w:val="23"/>
        </w:rPr>
        <w:t>55</w:t>
      </w:r>
      <w:r>
        <w:rPr>
          <w:rFonts w:ascii="Times New Roman" w:hAnsi="Times New Roman" w:eastAsia="Times New Roman" w:cs="Times New Roman"/>
          <w:sz w:val="23"/>
          <w:szCs w:val="23"/>
        </w:rPr>
        <w:t>dB(A)</w:t>
      </w:r>
      <w:r>
        <w:rPr>
          <w:rFonts w:ascii="宋体" w:hAnsi="宋体" w:eastAsia="宋体" w:cs="宋体"/>
          <w:sz w:val="23"/>
          <w:szCs w:val="23"/>
        </w:rPr>
        <w:t>) 。</w:t>
      </w:r>
    </w:p>
    <w:p w14:paraId="7A411611">
      <w:pPr>
        <w:spacing w:before="162" w:line="226"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评价方</w:t>
      </w:r>
      <w:r>
        <w:rPr>
          <w:rFonts w:ascii="宋体" w:hAnsi="宋体" w:eastAsia="宋体" w:cs="宋体"/>
          <w:spacing w:val="19"/>
          <w:sz w:val="23"/>
          <w:szCs w:val="23"/>
        </w:rPr>
        <w:t>法</w:t>
      </w:r>
    </w:p>
    <w:p w14:paraId="08980D26">
      <w:pPr>
        <w:spacing w:line="276" w:lineRule="auto"/>
        <w:rPr>
          <w:rFonts w:ascii="Arial"/>
          <w:sz w:val="21"/>
        </w:rPr>
      </w:pPr>
    </w:p>
    <w:p w14:paraId="24FBF365">
      <w:pPr>
        <w:spacing w:before="75" w:line="511" w:lineRule="auto"/>
        <w:ind w:left="608" w:right="600" w:hanging="6"/>
        <w:rPr>
          <w:rFonts w:ascii="宋体" w:hAnsi="宋体" w:eastAsia="宋体" w:cs="宋体"/>
          <w:sz w:val="23"/>
          <w:szCs w:val="23"/>
        </w:rPr>
      </w:pPr>
      <w:r>
        <w:rPr>
          <w:rFonts w:ascii="宋体" w:hAnsi="宋体" w:eastAsia="宋体" w:cs="宋体"/>
          <w:spacing w:val="6"/>
          <w:sz w:val="23"/>
          <w:szCs w:val="23"/>
        </w:rPr>
        <w:t>声环境质量现状对</w:t>
      </w:r>
      <w:r>
        <w:rPr>
          <w:rFonts w:ascii="宋体" w:hAnsi="宋体" w:eastAsia="宋体" w:cs="宋体"/>
          <w:spacing w:val="5"/>
          <w:sz w:val="23"/>
          <w:szCs w:val="23"/>
        </w:rPr>
        <w:t>照</w:t>
      </w:r>
      <w:r>
        <w:rPr>
          <w:rFonts w:ascii="宋体" w:hAnsi="宋体" w:eastAsia="宋体" w:cs="宋体"/>
          <w:spacing w:val="3"/>
          <w:sz w:val="23"/>
          <w:szCs w:val="23"/>
        </w:rPr>
        <w:t>《声环境质量标准》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3096-2008</w:t>
      </w:r>
      <w:r>
        <w:rPr>
          <w:rFonts w:ascii="宋体" w:hAnsi="宋体" w:eastAsia="宋体" w:cs="宋体"/>
          <w:spacing w:val="3"/>
          <w:sz w:val="23"/>
          <w:szCs w:val="23"/>
        </w:rPr>
        <w:t>) 进行评价。</w:t>
      </w:r>
      <w:r>
        <w:rPr>
          <w:rFonts w:ascii="宋体" w:hAnsi="宋体" w:eastAsia="宋体" w:cs="宋体"/>
          <w:sz w:val="23"/>
          <w:szCs w:val="23"/>
        </w:rPr>
        <w:t xml:space="preserve"> </w:t>
      </w: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评价结</w:t>
      </w:r>
      <w:r>
        <w:rPr>
          <w:rFonts w:ascii="宋体" w:hAnsi="宋体" w:eastAsia="宋体" w:cs="宋体"/>
          <w:spacing w:val="19"/>
          <w:sz w:val="23"/>
          <w:szCs w:val="23"/>
        </w:rPr>
        <w:t>果</w:t>
      </w:r>
    </w:p>
    <w:p w14:paraId="73026EAC">
      <w:pPr>
        <w:spacing w:before="1" w:line="225" w:lineRule="auto"/>
        <w:ind w:left="598"/>
        <w:rPr>
          <w:rFonts w:ascii="宋体" w:hAnsi="宋体" w:eastAsia="宋体" w:cs="宋体"/>
          <w:sz w:val="23"/>
          <w:szCs w:val="23"/>
        </w:rPr>
      </w:pPr>
      <w:r>
        <w:rPr>
          <w:rFonts w:ascii="宋体" w:hAnsi="宋体" w:eastAsia="宋体" w:cs="宋体"/>
          <w:spacing w:val="4"/>
          <w:sz w:val="23"/>
          <w:szCs w:val="23"/>
        </w:rPr>
        <w:t>本项目声环境现状</w:t>
      </w:r>
      <w:r>
        <w:rPr>
          <w:rFonts w:ascii="宋体" w:hAnsi="宋体" w:eastAsia="宋体" w:cs="宋体"/>
          <w:spacing w:val="2"/>
          <w:sz w:val="23"/>
          <w:szCs w:val="23"/>
        </w:rPr>
        <w:t xml:space="preserve">监测及评价结果见表 </w:t>
      </w:r>
      <w:r>
        <w:rPr>
          <w:rFonts w:ascii="Times New Roman" w:hAnsi="Times New Roman" w:eastAsia="Times New Roman" w:cs="Times New Roman"/>
          <w:spacing w:val="2"/>
          <w:sz w:val="23"/>
          <w:szCs w:val="23"/>
        </w:rPr>
        <w:t>4- 16</w:t>
      </w:r>
      <w:r>
        <w:rPr>
          <w:rFonts w:ascii="宋体" w:hAnsi="宋体" w:eastAsia="宋体" w:cs="宋体"/>
          <w:spacing w:val="2"/>
          <w:sz w:val="23"/>
          <w:szCs w:val="23"/>
        </w:rPr>
        <w:t>：</w:t>
      </w:r>
    </w:p>
    <w:p w14:paraId="146C61BD">
      <w:pPr>
        <w:sectPr>
          <w:headerReference r:id="rId177" w:type="default"/>
          <w:footerReference r:id="rId178" w:type="default"/>
          <w:pgSz w:w="11906" w:h="16839"/>
          <w:pgMar w:top="1132" w:right="1691" w:bottom="1182" w:left="1691" w:header="878" w:footer="1022" w:gutter="0"/>
          <w:cols w:space="720" w:num="1"/>
        </w:sectPr>
      </w:pPr>
    </w:p>
    <w:p w14:paraId="498CF278">
      <w:pPr>
        <w:spacing w:line="408" w:lineRule="auto"/>
        <w:rPr>
          <w:rFonts w:ascii="Arial"/>
          <w:sz w:val="21"/>
        </w:rPr>
      </w:pPr>
      <w:r>
        <w:pict>
          <v:shape id="_x0000_s1225" o:spid="_x0000_s1225" style="position:absolute;left:0pt;margin-left:90pt;margin-top:57.35pt;height:0.75pt;width:415.3pt;mso-position-horizontal-relative:page;mso-position-vertical-relative:page;z-index:251877376;mso-width-relative:page;mso-height-relative:page;" fillcolor="#000000" filled="t" stroked="f" coordsize="8305,15" o:allowincell="f" path="m0,0l8305,0,8305,14,0,14,0,0xe">
            <v:path/>
            <v:fill on="t" focussize="0,0"/>
            <v:stroke on="f"/>
            <v:imagedata o:title=""/>
            <o:lock v:ext="edit"/>
          </v:shape>
        </w:pict>
      </w:r>
    </w:p>
    <w:p w14:paraId="5F2B1CB5">
      <w:pPr>
        <w:spacing w:before="75" w:line="226" w:lineRule="auto"/>
        <w:ind w:left="173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5"/>
          <w:sz w:val="23"/>
          <w:szCs w:val="23"/>
        </w:rPr>
        <w:t>4-16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评价区域声环境现状监测及评价结果</w:t>
      </w:r>
    </w:p>
    <w:p w14:paraId="766C3C13">
      <w:pPr>
        <w:spacing w:line="19" w:lineRule="exact"/>
      </w:pPr>
    </w:p>
    <w:tbl>
      <w:tblPr>
        <w:tblStyle w:val="4"/>
        <w:tblW w:w="8361"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9"/>
        <w:gridCol w:w="1181"/>
        <w:gridCol w:w="2115"/>
        <w:gridCol w:w="1761"/>
        <w:gridCol w:w="1425"/>
      </w:tblGrid>
      <w:tr w14:paraId="28D50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79" w:type="dxa"/>
            <w:tcBorders>
              <w:left w:val="nil"/>
            </w:tcBorders>
            <w:vAlign w:val="top"/>
          </w:tcPr>
          <w:p w14:paraId="05AE5704">
            <w:pPr>
              <w:spacing w:before="75" w:line="229" w:lineRule="auto"/>
              <w:ind w:left="42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测点名称</w:t>
            </w:r>
          </w:p>
        </w:tc>
        <w:tc>
          <w:tcPr>
            <w:tcW w:w="1181" w:type="dxa"/>
            <w:vAlign w:val="top"/>
          </w:tcPr>
          <w:p w14:paraId="1D3975A8">
            <w:pPr>
              <w:spacing w:before="75" w:line="229" w:lineRule="auto"/>
              <w:ind w:left="17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测时段</w:t>
            </w:r>
          </w:p>
        </w:tc>
        <w:tc>
          <w:tcPr>
            <w:tcW w:w="2115" w:type="dxa"/>
            <w:vAlign w:val="top"/>
          </w:tcPr>
          <w:p w14:paraId="6036D74D">
            <w:pPr>
              <w:spacing w:before="34" w:line="289" w:lineRule="exact"/>
              <w:ind w:left="98"/>
              <w:rPr>
                <w:rFonts w:ascii="宋体" w:hAnsi="宋体" w:eastAsia="宋体" w:cs="宋体"/>
                <w:sz w:val="20"/>
                <w:szCs w:val="20"/>
              </w:rPr>
            </w:pPr>
            <w:r>
              <w:rPr>
                <w:rFonts w:ascii="宋体" w:hAnsi="宋体" w:eastAsia="宋体" w:cs="宋体"/>
                <w:spacing w:val="2"/>
                <w:position w:val="2"/>
                <w:sz w:val="20"/>
                <w:szCs w:val="20"/>
                <w14:textOutline w14:w="3795" w14:cap="sq" w14:cmpd="sng">
                  <w14:solidFill>
                    <w14:srgbClr w14:val="000000"/>
                  </w14:solidFill>
                  <w14:prstDash w14:val="solid"/>
                  <w14:bevel/>
                </w14:textOutline>
              </w:rPr>
              <w:t>统计噪声</w:t>
            </w:r>
            <w:r>
              <w:rPr>
                <w:rFonts w:ascii="宋体" w:hAnsi="宋体" w:eastAsia="宋体" w:cs="宋体"/>
                <w:spacing w:val="2"/>
                <w:position w:val="2"/>
                <w:sz w:val="20"/>
                <w:szCs w:val="20"/>
              </w:rPr>
              <w:t xml:space="preserve"> </w:t>
            </w:r>
            <w:r>
              <w:rPr>
                <w:rFonts w:ascii="Times New Roman" w:hAnsi="Times New Roman" w:eastAsia="Times New Roman" w:cs="Times New Roman"/>
                <w:b/>
                <w:bCs/>
                <w:position w:val="2"/>
                <w:sz w:val="20"/>
                <w:szCs w:val="20"/>
              </w:rPr>
              <w:t>L</w:t>
            </w:r>
            <w:r>
              <w:rPr>
                <w:rFonts w:ascii="Times New Roman" w:hAnsi="Times New Roman" w:eastAsia="Times New Roman" w:cs="Times New Roman"/>
                <w:b/>
                <w:bCs/>
                <w:position w:val="1"/>
                <w:sz w:val="13"/>
                <w:szCs w:val="13"/>
              </w:rPr>
              <w:t>Aeq</w:t>
            </w:r>
            <w:r>
              <w:rPr>
                <w:rFonts w:ascii="Times New Roman" w:hAnsi="Times New Roman" w:eastAsia="Times New Roman" w:cs="Times New Roman"/>
                <w:spacing w:val="2"/>
                <w:position w:val="1"/>
                <w:sz w:val="13"/>
                <w:szCs w:val="13"/>
              </w:rPr>
              <w:t xml:space="preserve">   </w:t>
            </w:r>
            <w:r>
              <w:rPr>
                <w:rFonts w:ascii="宋体" w:hAnsi="宋体" w:eastAsia="宋体" w:cs="宋体"/>
                <w:spacing w:val="2"/>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dB</w:t>
            </w:r>
            <w:r>
              <w:rPr>
                <w:rFonts w:ascii="宋体" w:hAnsi="宋体" w:eastAsia="宋体" w:cs="宋体"/>
                <w:spacing w:val="2"/>
                <w:position w:val="2"/>
                <w:sz w:val="20"/>
                <w:szCs w:val="20"/>
                <w14:textOutline w14:w="3795" w14:cap="sq" w14:cmpd="sng">
                  <w14:solidFill>
                    <w14:srgbClr w14:val="000000"/>
                  </w14:solidFill>
                  <w14:prstDash w14:val="solid"/>
                  <w14:bevel/>
                </w14:textOutline>
              </w:rPr>
              <w:t>)</w:t>
            </w:r>
          </w:p>
        </w:tc>
        <w:tc>
          <w:tcPr>
            <w:tcW w:w="1761" w:type="dxa"/>
            <w:vAlign w:val="top"/>
          </w:tcPr>
          <w:p w14:paraId="31D64386">
            <w:pPr>
              <w:spacing w:before="34" w:line="289" w:lineRule="exact"/>
              <w:ind w:left="128"/>
              <w:rPr>
                <w:rFonts w:ascii="宋体" w:hAnsi="宋体" w:eastAsia="宋体" w:cs="宋体"/>
                <w:sz w:val="20"/>
                <w:szCs w:val="20"/>
              </w:rPr>
            </w:pPr>
            <w:r>
              <w:rPr>
                <w:rFonts w:ascii="宋体" w:hAnsi="宋体" w:eastAsia="宋体" w:cs="宋体"/>
                <w:spacing w:val="8"/>
                <w:position w:val="2"/>
                <w:sz w:val="20"/>
                <w:szCs w:val="20"/>
                <w14:textOutline w14:w="3795" w14:cap="sq" w14:cmpd="sng">
                  <w14:solidFill>
                    <w14:srgbClr w14:val="000000"/>
                  </w14:solidFill>
                  <w14:prstDash w14:val="solid"/>
                  <w14:bevel/>
                </w14:textOutline>
              </w:rPr>
              <w:t>评价标准</w:t>
            </w:r>
            <w:r>
              <w:rPr>
                <w:rFonts w:ascii="宋体" w:hAnsi="宋体" w:eastAsia="宋体" w:cs="宋体"/>
                <w:spacing w:val="8"/>
                <w:position w:val="2"/>
                <w:sz w:val="20"/>
                <w:szCs w:val="20"/>
              </w:rPr>
              <w:t xml:space="preserve"> </w:t>
            </w:r>
            <w:r>
              <w:rPr>
                <w:rFonts w:ascii="宋体" w:hAnsi="宋体" w:eastAsia="宋体" w:cs="宋体"/>
                <w:spacing w:val="8"/>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dB</w:t>
            </w:r>
            <w:r>
              <w:rPr>
                <w:rFonts w:ascii="宋体" w:hAnsi="宋体" w:eastAsia="宋体" w:cs="宋体"/>
                <w:spacing w:val="8"/>
                <w:position w:val="2"/>
                <w:sz w:val="20"/>
                <w:szCs w:val="20"/>
                <w14:textOutline w14:w="3795" w14:cap="sq" w14:cmpd="sng">
                  <w14:solidFill>
                    <w14:srgbClr w14:val="000000"/>
                  </w14:solidFill>
                  <w14:prstDash w14:val="solid"/>
                  <w14:bevel/>
                </w14:textOutline>
              </w:rPr>
              <w:t>)</w:t>
            </w:r>
          </w:p>
        </w:tc>
        <w:tc>
          <w:tcPr>
            <w:tcW w:w="1425" w:type="dxa"/>
            <w:tcBorders>
              <w:right w:val="nil"/>
            </w:tcBorders>
            <w:vAlign w:val="top"/>
          </w:tcPr>
          <w:p w14:paraId="6CD15E08">
            <w:pPr>
              <w:spacing w:before="76" w:line="228" w:lineRule="auto"/>
              <w:ind w:left="29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达标情</w:t>
            </w:r>
            <w:r>
              <w:rPr>
                <w:rFonts w:ascii="宋体" w:hAnsi="宋体" w:eastAsia="宋体" w:cs="宋体"/>
                <w:spacing w:val="8"/>
                <w:sz w:val="20"/>
                <w:szCs w:val="20"/>
                <w14:textOutline w14:w="3795" w14:cap="sq" w14:cmpd="sng">
                  <w14:solidFill>
                    <w14:srgbClr w14:val="000000"/>
                  </w14:solidFill>
                  <w14:prstDash w14:val="solid"/>
                  <w14:bevel/>
                </w14:textOutline>
              </w:rPr>
              <w:t>况</w:t>
            </w:r>
          </w:p>
        </w:tc>
      </w:tr>
      <w:tr w14:paraId="475B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79" w:type="dxa"/>
            <w:vMerge w:val="restart"/>
            <w:tcBorders>
              <w:left w:val="nil"/>
              <w:bottom w:val="nil"/>
            </w:tcBorders>
            <w:vAlign w:val="top"/>
          </w:tcPr>
          <w:p w14:paraId="38F4C677">
            <w:pPr>
              <w:spacing w:before="213" w:line="228" w:lineRule="auto"/>
              <w:ind w:left="210"/>
              <w:rPr>
                <w:rFonts w:ascii="宋体" w:hAnsi="宋体" w:eastAsia="宋体" w:cs="宋体"/>
                <w:sz w:val="20"/>
                <w:szCs w:val="20"/>
              </w:rPr>
            </w:pPr>
            <w:r>
              <w:rPr>
                <w:rFonts w:ascii="宋体" w:hAnsi="宋体" w:eastAsia="宋体" w:cs="宋体"/>
                <w:spacing w:val="9"/>
                <w:sz w:val="20"/>
                <w:szCs w:val="20"/>
              </w:rPr>
              <w:t>场界东侧边界</w:t>
            </w:r>
            <w:r>
              <w:rPr>
                <w:rFonts w:ascii="宋体" w:hAnsi="宋体" w:eastAsia="宋体" w:cs="宋体"/>
                <w:spacing w:val="7"/>
                <w:sz w:val="20"/>
                <w:szCs w:val="20"/>
              </w:rPr>
              <w:t>处</w:t>
            </w:r>
          </w:p>
        </w:tc>
        <w:tc>
          <w:tcPr>
            <w:tcW w:w="1181" w:type="dxa"/>
            <w:vAlign w:val="top"/>
          </w:tcPr>
          <w:p w14:paraId="6BCB7C11">
            <w:pPr>
              <w:spacing w:before="52" w:line="231" w:lineRule="auto"/>
              <w:ind w:left="385"/>
              <w:rPr>
                <w:rFonts w:ascii="宋体" w:hAnsi="宋体" w:eastAsia="宋体" w:cs="宋体"/>
                <w:sz w:val="20"/>
                <w:szCs w:val="20"/>
              </w:rPr>
            </w:pPr>
            <w:r>
              <w:rPr>
                <w:rFonts w:ascii="宋体" w:hAnsi="宋体" w:eastAsia="宋体" w:cs="宋体"/>
                <w:spacing w:val="5"/>
                <w:sz w:val="20"/>
                <w:szCs w:val="20"/>
              </w:rPr>
              <w:t>昼间</w:t>
            </w:r>
          </w:p>
        </w:tc>
        <w:tc>
          <w:tcPr>
            <w:tcW w:w="2115" w:type="dxa"/>
            <w:vAlign w:val="top"/>
          </w:tcPr>
          <w:p w14:paraId="546EBCD5">
            <w:pPr>
              <w:spacing w:before="89"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 1~53.2</w:t>
            </w:r>
          </w:p>
        </w:tc>
        <w:tc>
          <w:tcPr>
            <w:tcW w:w="1761" w:type="dxa"/>
            <w:vAlign w:val="top"/>
          </w:tcPr>
          <w:p w14:paraId="18891063">
            <w:pPr>
              <w:spacing w:before="89"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425" w:type="dxa"/>
            <w:tcBorders>
              <w:right w:val="nil"/>
            </w:tcBorders>
            <w:vAlign w:val="top"/>
          </w:tcPr>
          <w:p w14:paraId="21087C9C">
            <w:pPr>
              <w:spacing w:before="53"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54810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79" w:type="dxa"/>
            <w:vMerge w:val="continue"/>
            <w:tcBorders>
              <w:top w:val="nil"/>
              <w:left w:val="nil"/>
            </w:tcBorders>
            <w:vAlign w:val="top"/>
          </w:tcPr>
          <w:p w14:paraId="2D678E49">
            <w:pPr>
              <w:rPr>
                <w:rFonts w:ascii="Arial"/>
                <w:sz w:val="21"/>
              </w:rPr>
            </w:pPr>
          </w:p>
        </w:tc>
        <w:tc>
          <w:tcPr>
            <w:tcW w:w="1181" w:type="dxa"/>
            <w:vAlign w:val="top"/>
          </w:tcPr>
          <w:p w14:paraId="65302D32">
            <w:pPr>
              <w:spacing w:before="53" w:line="228" w:lineRule="auto"/>
              <w:ind w:left="389"/>
              <w:rPr>
                <w:rFonts w:ascii="宋体" w:hAnsi="宋体" w:eastAsia="宋体" w:cs="宋体"/>
                <w:sz w:val="20"/>
                <w:szCs w:val="20"/>
              </w:rPr>
            </w:pPr>
            <w:r>
              <w:rPr>
                <w:rFonts w:ascii="宋体" w:hAnsi="宋体" w:eastAsia="宋体" w:cs="宋体"/>
                <w:spacing w:val="3"/>
                <w:sz w:val="20"/>
                <w:szCs w:val="20"/>
              </w:rPr>
              <w:t>夜间</w:t>
            </w:r>
          </w:p>
        </w:tc>
        <w:tc>
          <w:tcPr>
            <w:tcW w:w="2115" w:type="dxa"/>
            <w:vAlign w:val="top"/>
          </w:tcPr>
          <w:p w14:paraId="001ADDE5">
            <w:pPr>
              <w:spacing w:before="90"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42. 1~43</w:t>
            </w:r>
            <w:r>
              <w:rPr>
                <w:rFonts w:ascii="Times New Roman" w:hAnsi="Times New Roman" w:eastAsia="Times New Roman" w:cs="Times New Roman"/>
                <w:sz w:val="20"/>
                <w:szCs w:val="20"/>
              </w:rPr>
              <w:t>.5</w:t>
            </w:r>
          </w:p>
        </w:tc>
        <w:tc>
          <w:tcPr>
            <w:tcW w:w="1761" w:type="dxa"/>
            <w:vAlign w:val="top"/>
          </w:tcPr>
          <w:p w14:paraId="46186D69">
            <w:pPr>
              <w:spacing w:before="92" w:line="192"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25" w:type="dxa"/>
            <w:tcBorders>
              <w:right w:val="nil"/>
            </w:tcBorders>
            <w:vAlign w:val="top"/>
          </w:tcPr>
          <w:p w14:paraId="606B8913">
            <w:pPr>
              <w:spacing w:before="54"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7E843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79" w:type="dxa"/>
            <w:vMerge w:val="restart"/>
            <w:tcBorders>
              <w:left w:val="nil"/>
              <w:bottom w:val="nil"/>
            </w:tcBorders>
            <w:vAlign w:val="top"/>
          </w:tcPr>
          <w:p w14:paraId="3421CEAD">
            <w:pPr>
              <w:spacing w:before="214" w:line="228" w:lineRule="auto"/>
              <w:ind w:left="210"/>
              <w:rPr>
                <w:rFonts w:ascii="宋体" w:hAnsi="宋体" w:eastAsia="宋体" w:cs="宋体"/>
                <w:sz w:val="20"/>
                <w:szCs w:val="20"/>
              </w:rPr>
            </w:pPr>
            <w:r>
              <w:rPr>
                <w:rFonts w:ascii="宋体" w:hAnsi="宋体" w:eastAsia="宋体" w:cs="宋体"/>
                <w:spacing w:val="9"/>
                <w:sz w:val="20"/>
                <w:szCs w:val="20"/>
              </w:rPr>
              <w:t>场界南侧边界</w:t>
            </w:r>
            <w:r>
              <w:rPr>
                <w:rFonts w:ascii="宋体" w:hAnsi="宋体" w:eastAsia="宋体" w:cs="宋体"/>
                <w:spacing w:val="7"/>
                <w:sz w:val="20"/>
                <w:szCs w:val="20"/>
              </w:rPr>
              <w:t>处</w:t>
            </w:r>
          </w:p>
        </w:tc>
        <w:tc>
          <w:tcPr>
            <w:tcW w:w="1181" w:type="dxa"/>
            <w:vAlign w:val="top"/>
          </w:tcPr>
          <w:p w14:paraId="314E3ED2">
            <w:pPr>
              <w:spacing w:before="53" w:line="231" w:lineRule="auto"/>
              <w:ind w:left="385"/>
              <w:rPr>
                <w:rFonts w:ascii="宋体" w:hAnsi="宋体" w:eastAsia="宋体" w:cs="宋体"/>
                <w:sz w:val="20"/>
                <w:szCs w:val="20"/>
              </w:rPr>
            </w:pPr>
            <w:r>
              <w:rPr>
                <w:rFonts w:ascii="宋体" w:hAnsi="宋体" w:eastAsia="宋体" w:cs="宋体"/>
                <w:spacing w:val="5"/>
                <w:sz w:val="20"/>
                <w:szCs w:val="20"/>
              </w:rPr>
              <w:t>昼间</w:t>
            </w:r>
          </w:p>
        </w:tc>
        <w:tc>
          <w:tcPr>
            <w:tcW w:w="2115" w:type="dxa"/>
            <w:vAlign w:val="top"/>
          </w:tcPr>
          <w:p w14:paraId="08D3E0D8">
            <w:pPr>
              <w:spacing w:before="90"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3"/>
                <w:sz w:val="20"/>
                <w:szCs w:val="20"/>
              </w:rPr>
              <w:t>1.5~53.4</w:t>
            </w:r>
          </w:p>
        </w:tc>
        <w:tc>
          <w:tcPr>
            <w:tcW w:w="1761" w:type="dxa"/>
            <w:vAlign w:val="top"/>
          </w:tcPr>
          <w:p w14:paraId="3A57BED1">
            <w:pPr>
              <w:spacing w:before="90"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425" w:type="dxa"/>
            <w:tcBorders>
              <w:right w:val="nil"/>
            </w:tcBorders>
            <w:vAlign w:val="top"/>
          </w:tcPr>
          <w:p w14:paraId="31A07448">
            <w:pPr>
              <w:spacing w:before="54"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6D952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79" w:type="dxa"/>
            <w:vMerge w:val="continue"/>
            <w:tcBorders>
              <w:top w:val="nil"/>
              <w:left w:val="nil"/>
            </w:tcBorders>
            <w:vAlign w:val="top"/>
          </w:tcPr>
          <w:p w14:paraId="536625F7">
            <w:pPr>
              <w:rPr>
                <w:rFonts w:ascii="Arial"/>
                <w:sz w:val="21"/>
              </w:rPr>
            </w:pPr>
          </w:p>
        </w:tc>
        <w:tc>
          <w:tcPr>
            <w:tcW w:w="1181" w:type="dxa"/>
            <w:vAlign w:val="top"/>
          </w:tcPr>
          <w:p w14:paraId="434E802C">
            <w:pPr>
              <w:spacing w:before="53" w:line="228" w:lineRule="auto"/>
              <w:ind w:left="389"/>
              <w:rPr>
                <w:rFonts w:ascii="宋体" w:hAnsi="宋体" w:eastAsia="宋体" w:cs="宋体"/>
                <w:sz w:val="20"/>
                <w:szCs w:val="20"/>
              </w:rPr>
            </w:pPr>
            <w:r>
              <w:rPr>
                <w:rFonts w:ascii="宋体" w:hAnsi="宋体" w:eastAsia="宋体" w:cs="宋体"/>
                <w:spacing w:val="3"/>
                <w:sz w:val="20"/>
                <w:szCs w:val="20"/>
              </w:rPr>
              <w:t>夜间</w:t>
            </w:r>
          </w:p>
        </w:tc>
        <w:tc>
          <w:tcPr>
            <w:tcW w:w="2115" w:type="dxa"/>
            <w:vAlign w:val="top"/>
          </w:tcPr>
          <w:p w14:paraId="23B1C595">
            <w:pPr>
              <w:spacing w:before="90"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43.3~43.8</w:t>
            </w:r>
          </w:p>
        </w:tc>
        <w:tc>
          <w:tcPr>
            <w:tcW w:w="1761" w:type="dxa"/>
            <w:vAlign w:val="top"/>
          </w:tcPr>
          <w:p w14:paraId="0891595F">
            <w:pPr>
              <w:spacing w:before="92" w:line="192"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25" w:type="dxa"/>
            <w:tcBorders>
              <w:right w:val="nil"/>
            </w:tcBorders>
            <w:vAlign w:val="top"/>
          </w:tcPr>
          <w:p w14:paraId="42C94213">
            <w:pPr>
              <w:spacing w:before="54"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56F8B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79" w:type="dxa"/>
            <w:vMerge w:val="restart"/>
            <w:tcBorders>
              <w:left w:val="nil"/>
              <w:bottom w:val="nil"/>
            </w:tcBorders>
            <w:vAlign w:val="top"/>
          </w:tcPr>
          <w:p w14:paraId="61C6AABF">
            <w:pPr>
              <w:spacing w:before="215" w:line="228" w:lineRule="auto"/>
              <w:ind w:left="210"/>
              <w:rPr>
                <w:rFonts w:ascii="宋体" w:hAnsi="宋体" w:eastAsia="宋体" w:cs="宋体"/>
                <w:sz w:val="20"/>
                <w:szCs w:val="20"/>
              </w:rPr>
            </w:pPr>
            <w:r>
              <w:rPr>
                <w:rFonts w:ascii="宋体" w:hAnsi="宋体" w:eastAsia="宋体" w:cs="宋体"/>
                <w:spacing w:val="9"/>
                <w:sz w:val="20"/>
                <w:szCs w:val="20"/>
              </w:rPr>
              <w:t>场界西侧边界</w:t>
            </w:r>
            <w:r>
              <w:rPr>
                <w:rFonts w:ascii="宋体" w:hAnsi="宋体" w:eastAsia="宋体" w:cs="宋体"/>
                <w:spacing w:val="7"/>
                <w:sz w:val="20"/>
                <w:szCs w:val="20"/>
              </w:rPr>
              <w:t>处</w:t>
            </w:r>
          </w:p>
        </w:tc>
        <w:tc>
          <w:tcPr>
            <w:tcW w:w="1181" w:type="dxa"/>
            <w:vAlign w:val="top"/>
          </w:tcPr>
          <w:p w14:paraId="76475B55">
            <w:pPr>
              <w:spacing w:before="54" w:line="231" w:lineRule="auto"/>
              <w:ind w:left="385"/>
              <w:rPr>
                <w:rFonts w:ascii="宋体" w:hAnsi="宋体" w:eastAsia="宋体" w:cs="宋体"/>
                <w:sz w:val="20"/>
                <w:szCs w:val="20"/>
              </w:rPr>
            </w:pPr>
            <w:r>
              <w:rPr>
                <w:rFonts w:ascii="宋体" w:hAnsi="宋体" w:eastAsia="宋体" w:cs="宋体"/>
                <w:spacing w:val="5"/>
                <w:sz w:val="20"/>
                <w:szCs w:val="20"/>
              </w:rPr>
              <w:t>昼间</w:t>
            </w:r>
          </w:p>
        </w:tc>
        <w:tc>
          <w:tcPr>
            <w:tcW w:w="2115" w:type="dxa"/>
            <w:vAlign w:val="top"/>
          </w:tcPr>
          <w:p w14:paraId="7C1BF827">
            <w:pPr>
              <w:spacing w:before="90" w:line="195" w:lineRule="auto"/>
              <w:ind w:left="642"/>
              <w:rPr>
                <w:rFonts w:ascii="Times New Roman" w:hAnsi="Times New Roman" w:eastAsia="Times New Roman" w:cs="Times New Roman"/>
                <w:sz w:val="20"/>
                <w:szCs w:val="20"/>
              </w:rPr>
            </w:pPr>
            <w:r>
              <w:rPr>
                <w:rFonts w:ascii="Times New Roman" w:hAnsi="Times New Roman" w:eastAsia="Times New Roman" w:cs="Times New Roman"/>
                <w:sz w:val="20"/>
                <w:szCs w:val="20"/>
              </w:rPr>
              <w:t>51.8~53. 1</w:t>
            </w:r>
          </w:p>
        </w:tc>
        <w:tc>
          <w:tcPr>
            <w:tcW w:w="1761" w:type="dxa"/>
            <w:vAlign w:val="top"/>
          </w:tcPr>
          <w:p w14:paraId="24E64B2D">
            <w:pPr>
              <w:spacing w:before="90"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425" w:type="dxa"/>
            <w:tcBorders>
              <w:right w:val="nil"/>
            </w:tcBorders>
            <w:vAlign w:val="top"/>
          </w:tcPr>
          <w:p w14:paraId="6A5C5088">
            <w:pPr>
              <w:spacing w:before="55"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1D633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79" w:type="dxa"/>
            <w:vMerge w:val="continue"/>
            <w:tcBorders>
              <w:top w:val="nil"/>
              <w:left w:val="nil"/>
            </w:tcBorders>
            <w:vAlign w:val="top"/>
          </w:tcPr>
          <w:p w14:paraId="76124702">
            <w:pPr>
              <w:rPr>
                <w:rFonts w:ascii="Arial"/>
                <w:sz w:val="21"/>
              </w:rPr>
            </w:pPr>
          </w:p>
        </w:tc>
        <w:tc>
          <w:tcPr>
            <w:tcW w:w="1181" w:type="dxa"/>
            <w:vAlign w:val="top"/>
          </w:tcPr>
          <w:p w14:paraId="6721A17F">
            <w:pPr>
              <w:spacing w:before="54" w:line="228" w:lineRule="auto"/>
              <w:ind w:left="389"/>
              <w:rPr>
                <w:rFonts w:ascii="宋体" w:hAnsi="宋体" w:eastAsia="宋体" w:cs="宋体"/>
                <w:sz w:val="20"/>
                <w:szCs w:val="20"/>
              </w:rPr>
            </w:pPr>
            <w:r>
              <w:rPr>
                <w:rFonts w:ascii="宋体" w:hAnsi="宋体" w:eastAsia="宋体" w:cs="宋体"/>
                <w:spacing w:val="3"/>
                <w:sz w:val="20"/>
                <w:szCs w:val="20"/>
              </w:rPr>
              <w:t>夜间</w:t>
            </w:r>
          </w:p>
        </w:tc>
        <w:tc>
          <w:tcPr>
            <w:tcW w:w="2115" w:type="dxa"/>
            <w:vAlign w:val="top"/>
          </w:tcPr>
          <w:p w14:paraId="004C7B52">
            <w:pPr>
              <w:spacing w:before="91"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42. 1~43.7</w:t>
            </w:r>
          </w:p>
        </w:tc>
        <w:tc>
          <w:tcPr>
            <w:tcW w:w="1761" w:type="dxa"/>
            <w:vAlign w:val="top"/>
          </w:tcPr>
          <w:p w14:paraId="5EAC9F2C">
            <w:pPr>
              <w:spacing w:before="94" w:line="192"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25" w:type="dxa"/>
            <w:tcBorders>
              <w:right w:val="nil"/>
            </w:tcBorders>
            <w:vAlign w:val="top"/>
          </w:tcPr>
          <w:p w14:paraId="209F7EE5">
            <w:pPr>
              <w:spacing w:before="55"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0EB7E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79" w:type="dxa"/>
            <w:vMerge w:val="restart"/>
            <w:tcBorders>
              <w:left w:val="nil"/>
              <w:bottom w:val="nil"/>
            </w:tcBorders>
            <w:vAlign w:val="top"/>
          </w:tcPr>
          <w:p w14:paraId="6449895E">
            <w:pPr>
              <w:spacing w:before="224" w:line="228" w:lineRule="auto"/>
              <w:ind w:left="210"/>
              <w:rPr>
                <w:rFonts w:ascii="宋体" w:hAnsi="宋体" w:eastAsia="宋体" w:cs="宋体"/>
                <w:sz w:val="20"/>
                <w:szCs w:val="20"/>
              </w:rPr>
            </w:pPr>
            <w:r>
              <w:rPr>
                <w:rFonts w:ascii="宋体" w:hAnsi="宋体" w:eastAsia="宋体" w:cs="宋体"/>
                <w:spacing w:val="9"/>
                <w:sz w:val="20"/>
                <w:szCs w:val="20"/>
              </w:rPr>
              <w:t>场界北侧边界</w:t>
            </w:r>
            <w:r>
              <w:rPr>
                <w:rFonts w:ascii="宋体" w:hAnsi="宋体" w:eastAsia="宋体" w:cs="宋体"/>
                <w:spacing w:val="7"/>
                <w:sz w:val="20"/>
                <w:szCs w:val="20"/>
              </w:rPr>
              <w:t>处</w:t>
            </w:r>
          </w:p>
        </w:tc>
        <w:tc>
          <w:tcPr>
            <w:tcW w:w="1181" w:type="dxa"/>
            <w:vAlign w:val="top"/>
          </w:tcPr>
          <w:p w14:paraId="0320F47C">
            <w:pPr>
              <w:spacing w:before="56" w:line="231" w:lineRule="auto"/>
              <w:ind w:left="385"/>
              <w:rPr>
                <w:rFonts w:ascii="宋体" w:hAnsi="宋体" w:eastAsia="宋体" w:cs="宋体"/>
                <w:sz w:val="20"/>
                <w:szCs w:val="20"/>
              </w:rPr>
            </w:pPr>
            <w:r>
              <w:rPr>
                <w:rFonts w:ascii="宋体" w:hAnsi="宋体" w:eastAsia="宋体" w:cs="宋体"/>
                <w:spacing w:val="5"/>
                <w:sz w:val="20"/>
                <w:szCs w:val="20"/>
              </w:rPr>
              <w:t>昼间</w:t>
            </w:r>
          </w:p>
        </w:tc>
        <w:tc>
          <w:tcPr>
            <w:tcW w:w="2115" w:type="dxa"/>
            <w:vAlign w:val="top"/>
          </w:tcPr>
          <w:p w14:paraId="5C8716A9">
            <w:pPr>
              <w:spacing w:before="93"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 1~5</w:t>
            </w:r>
            <w:r>
              <w:rPr>
                <w:rFonts w:ascii="Times New Roman" w:hAnsi="Times New Roman" w:eastAsia="Times New Roman" w:cs="Times New Roman"/>
                <w:spacing w:val="-1"/>
                <w:sz w:val="20"/>
                <w:szCs w:val="20"/>
              </w:rPr>
              <w:t>2.7</w:t>
            </w:r>
          </w:p>
        </w:tc>
        <w:tc>
          <w:tcPr>
            <w:tcW w:w="1761" w:type="dxa"/>
            <w:vAlign w:val="top"/>
          </w:tcPr>
          <w:p w14:paraId="59752525">
            <w:pPr>
              <w:spacing w:before="9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425" w:type="dxa"/>
            <w:tcBorders>
              <w:right w:val="nil"/>
            </w:tcBorders>
            <w:vAlign w:val="top"/>
          </w:tcPr>
          <w:p w14:paraId="4D011E9F">
            <w:pPr>
              <w:spacing w:before="57" w:line="228" w:lineRule="auto"/>
              <w:ind w:left="507"/>
              <w:rPr>
                <w:rFonts w:ascii="宋体" w:hAnsi="宋体" w:eastAsia="宋体" w:cs="宋体"/>
                <w:sz w:val="20"/>
                <w:szCs w:val="20"/>
              </w:rPr>
            </w:pPr>
            <w:r>
              <w:rPr>
                <w:rFonts w:ascii="宋体" w:hAnsi="宋体" w:eastAsia="宋体" w:cs="宋体"/>
                <w:spacing w:val="5"/>
                <w:sz w:val="20"/>
                <w:szCs w:val="20"/>
              </w:rPr>
              <w:t>达标</w:t>
            </w:r>
          </w:p>
        </w:tc>
      </w:tr>
      <w:tr w14:paraId="332DA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879" w:type="dxa"/>
            <w:vMerge w:val="continue"/>
            <w:tcBorders>
              <w:top w:val="nil"/>
              <w:left w:val="nil"/>
            </w:tcBorders>
            <w:vAlign w:val="top"/>
          </w:tcPr>
          <w:p w14:paraId="70C30B69">
            <w:pPr>
              <w:rPr>
                <w:rFonts w:ascii="Arial"/>
                <w:sz w:val="21"/>
              </w:rPr>
            </w:pPr>
          </w:p>
        </w:tc>
        <w:tc>
          <w:tcPr>
            <w:tcW w:w="1181" w:type="dxa"/>
            <w:vAlign w:val="top"/>
          </w:tcPr>
          <w:p w14:paraId="1EDCF887">
            <w:pPr>
              <w:spacing w:before="66" w:line="228" w:lineRule="auto"/>
              <w:ind w:left="389"/>
              <w:rPr>
                <w:rFonts w:ascii="宋体" w:hAnsi="宋体" w:eastAsia="宋体" w:cs="宋体"/>
                <w:sz w:val="20"/>
                <w:szCs w:val="20"/>
              </w:rPr>
            </w:pPr>
            <w:r>
              <w:rPr>
                <w:rFonts w:ascii="宋体" w:hAnsi="宋体" w:eastAsia="宋体" w:cs="宋体"/>
                <w:spacing w:val="3"/>
                <w:sz w:val="20"/>
                <w:szCs w:val="20"/>
              </w:rPr>
              <w:t>夜间</w:t>
            </w:r>
          </w:p>
        </w:tc>
        <w:tc>
          <w:tcPr>
            <w:tcW w:w="2115" w:type="dxa"/>
            <w:vAlign w:val="top"/>
          </w:tcPr>
          <w:p w14:paraId="7D26A957">
            <w:pPr>
              <w:spacing w:before="102" w:line="198"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42.9~43.4</w:t>
            </w:r>
          </w:p>
        </w:tc>
        <w:tc>
          <w:tcPr>
            <w:tcW w:w="1761" w:type="dxa"/>
            <w:vAlign w:val="top"/>
          </w:tcPr>
          <w:p w14:paraId="2E5DD5E4">
            <w:pPr>
              <w:spacing w:before="105" w:line="192"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25" w:type="dxa"/>
            <w:tcBorders>
              <w:right w:val="nil"/>
            </w:tcBorders>
            <w:vAlign w:val="top"/>
          </w:tcPr>
          <w:p w14:paraId="46E2E2F5">
            <w:pPr>
              <w:spacing w:before="66" w:line="228" w:lineRule="auto"/>
              <w:ind w:left="507"/>
              <w:rPr>
                <w:rFonts w:ascii="宋体" w:hAnsi="宋体" w:eastAsia="宋体" w:cs="宋体"/>
                <w:sz w:val="20"/>
                <w:szCs w:val="20"/>
              </w:rPr>
            </w:pPr>
            <w:r>
              <w:rPr>
                <w:rFonts w:ascii="宋体" w:hAnsi="宋体" w:eastAsia="宋体" w:cs="宋体"/>
                <w:spacing w:val="5"/>
                <w:sz w:val="20"/>
                <w:szCs w:val="20"/>
              </w:rPr>
              <w:t>达标</w:t>
            </w:r>
          </w:p>
        </w:tc>
      </w:tr>
    </w:tbl>
    <w:p w14:paraId="4A75C547">
      <w:pPr>
        <w:spacing w:line="261" w:lineRule="auto"/>
        <w:rPr>
          <w:rFonts w:ascii="Arial"/>
          <w:sz w:val="21"/>
        </w:rPr>
      </w:pPr>
    </w:p>
    <w:p w14:paraId="4F9E7675">
      <w:pPr>
        <w:spacing w:before="75" w:line="390" w:lineRule="auto"/>
        <w:ind w:left="117" w:right="105" w:firstLine="509"/>
        <w:rPr>
          <w:rFonts w:ascii="宋体" w:hAnsi="宋体" w:eastAsia="宋体" w:cs="宋体"/>
          <w:sz w:val="23"/>
          <w:szCs w:val="23"/>
        </w:rPr>
      </w:pPr>
      <w:r>
        <w:rPr>
          <w:rFonts w:ascii="宋体" w:hAnsi="宋体" w:eastAsia="宋体" w:cs="宋体"/>
          <w:spacing w:val="12"/>
          <w:sz w:val="23"/>
          <w:szCs w:val="23"/>
        </w:rPr>
        <w:t>由表</w:t>
      </w:r>
      <w:r>
        <w:rPr>
          <w:rFonts w:ascii="宋体" w:hAnsi="宋体" w:eastAsia="宋体" w:cs="宋体"/>
          <w:spacing w:val="8"/>
          <w:sz w:val="23"/>
          <w:szCs w:val="23"/>
        </w:rPr>
        <w:t xml:space="preserve"> </w:t>
      </w:r>
      <w:r>
        <w:rPr>
          <w:rFonts w:ascii="Times New Roman" w:hAnsi="Times New Roman" w:eastAsia="Times New Roman" w:cs="Times New Roman"/>
          <w:spacing w:val="6"/>
          <w:sz w:val="23"/>
          <w:szCs w:val="23"/>
        </w:rPr>
        <w:t xml:space="preserve">4- 16 </w:t>
      </w:r>
      <w:r>
        <w:rPr>
          <w:rFonts w:ascii="宋体" w:hAnsi="宋体" w:eastAsia="宋体" w:cs="宋体"/>
          <w:spacing w:val="6"/>
          <w:sz w:val="23"/>
          <w:szCs w:val="23"/>
        </w:rPr>
        <w:t>中可见，项目所在区域东、南、西、北厂界处昼、夜间声环境质</w:t>
      </w:r>
      <w:r>
        <w:rPr>
          <w:rFonts w:ascii="宋体" w:hAnsi="宋体" w:eastAsia="宋体" w:cs="宋体"/>
          <w:sz w:val="23"/>
          <w:szCs w:val="23"/>
        </w:rPr>
        <w:t xml:space="preserve"> </w:t>
      </w:r>
      <w:r>
        <w:rPr>
          <w:rFonts w:ascii="宋体" w:hAnsi="宋体" w:eastAsia="宋体" w:cs="宋体"/>
          <w:spacing w:val="6"/>
          <w:sz w:val="23"/>
          <w:szCs w:val="23"/>
        </w:rPr>
        <w:t>量均能</w:t>
      </w:r>
      <w:r>
        <w:rPr>
          <w:rFonts w:ascii="宋体" w:hAnsi="宋体" w:eastAsia="宋体" w:cs="宋体"/>
          <w:spacing w:val="5"/>
          <w:sz w:val="23"/>
          <w:szCs w:val="23"/>
        </w:rPr>
        <w:t>达</w:t>
      </w:r>
      <w:r>
        <w:rPr>
          <w:rFonts w:ascii="宋体" w:hAnsi="宋体" w:eastAsia="宋体" w:cs="宋体"/>
          <w:spacing w:val="3"/>
          <w:sz w:val="23"/>
          <w:szCs w:val="23"/>
        </w:rPr>
        <w:t>到《声环境质量标准》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3096-2008</w:t>
      </w:r>
      <w:r>
        <w:rPr>
          <w:rFonts w:ascii="宋体" w:hAnsi="宋体" w:eastAsia="宋体" w:cs="宋体"/>
          <w:spacing w:val="3"/>
          <w:sz w:val="23"/>
          <w:szCs w:val="23"/>
        </w:rPr>
        <w:t xml:space="preserve">) 中 </w:t>
      </w:r>
      <w:r>
        <w:rPr>
          <w:rFonts w:ascii="Times New Roman" w:hAnsi="Times New Roman" w:eastAsia="Times New Roman" w:cs="Times New Roman"/>
          <w:spacing w:val="3"/>
          <w:sz w:val="23"/>
          <w:szCs w:val="23"/>
        </w:rPr>
        <w:t xml:space="preserve">3 </w:t>
      </w:r>
      <w:r>
        <w:rPr>
          <w:rFonts w:ascii="宋体" w:hAnsi="宋体" w:eastAsia="宋体" w:cs="宋体"/>
          <w:spacing w:val="3"/>
          <w:sz w:val="23"/>
          <w:szCs w:val="23"/>
        </w:rPr>
        <w:t>类区标准要求，区域声环</w:t>
      </w:r>
      <w:r>
        <w:rPr>
          <w:rFonts w:ascii="宋体" w:hAnsi="宋体" w:eastAsia="宋体" w:cs="宋体"/>
          <w:sz w:val="23"/>
          <w:szCs w:val="23"/>
        </w:rPr>
        <w:t xml:space="preserve"> </w:t>
      </w:r>
      <w:r>
        <w:rPr>
          <w:rFonts w:ascii="宋体" w:hAnsi="宋体" w:eastAsia="宋体" w:cs="宋体"/>
          <w:spacing w:val="11"/>
          <w:sz w:val="23"/>
          <w:szCs w:val="23"/>
        </w:rPr>
        <w:t>境</w:t>
      </w:r>
      <w:r>
        <w:rPr>
          <w:rFonts w:ascii="宋体" w:hAnsi="宋体" w:eastAsia="宋体" w:cs="宋体"/>
          <w:spacing w:val="7"/>
          <w:sz w:val="23"/>
          <w:szCs w:val="23"/>
        </w:rPr>
        <w:t>质量现状较好。</w:t>
      </w:r>
    </w:p>
    <w:p w14:paraId="6E8F5A49">
      <w:pPr>
        <w:spacing w:before="85" w:line="224" w:lineRule="auto"/>
        <w:ind w:left="115"/>
        <w:outlineLvl w:val="1"/>
        <w:rPr>
          <w:rFonts w:ascii="宋体" w:hAnsi="宋体" w:eastAsia="宋体" w:cs="宋体"/>
          <w:sz w:val="29"/>
          <w:szCs w:val="29"/>
        </w:rPr>
      </w:pPr>
      <w:r>
        <w:rPr>
          <w:rFonts w:ascii="Times New Roman" w:hAnsi="Times New Roman" w:eastAsia="Times New Roman" w:cs="Times New Roman"/>
          <w:b/>
          <w:bCs/>
          <w:spacing w:val="8"/>
          <w:sz w:val="29"/>
          <w:szCs w:val="29"/>
        </w:rPr>
        <w:t>4.3.4</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土壤环境质量现状监测与评价</w:t>
      </w:r>
    </w:p>
    <w:p w14:paraId="3FF0B0B2">
      <w:pPr>
        <w:spacing w:before="300" w:line="220" w:lineRule="auto"/>
        <w:ind w:left="115"/>
        <w:outlineLvl w:val="2"/>
        <w:rPr>
          <w:rFonts w:ascii="宋体" w:hAnsi="宋体" w:eastAsia="宋体" w:cs="宋体"/>
          <w:sz w:val="28"/>
          <w:szCs w:val="28"/>
        </w:rPr>
      </w:pPr>
      <w:r>
        <w:rPr>
          <w:rFonts w:ascii="Times New Roman" w:hAnsi="Times New Roman" w:eastAsia="Times New Roman" w:cs="Times New Roman"/>
          <w:b/>
          <w:bCs/>
          <w:spacing w:val="16"/>
          <w:sz w:val="28"/>
          <w:szCs w:val="28"/>
        </w:rPr>
        <w:t>4</w:t>
      </w:r>
      <w:r>
        <w:rPr>
          <w:rFonts w:ascii="Times New Roman" w:hAnsi="Times New Roman" w:eastAsia="Times New Roman" w:cs="Times New Roman"/>
          <w:b/>
          <w:bCs/>
          <w:spacing w:val="13"/>
          <w:sz w:val="28"/>
          <w:szCs w:val="28"/>
        </w:rPr>
        <w:t>.</w:t>
      </w:r>
      <w:r>
        <w:rPr>
          <w:rFonts w:ascii="Times New Roman" w:hAnsi="Times New Roman" w:eastAsia="Times New Roman" w:cs="Times New Roman"/>
          <w:b/>
          <w:bCs/>
          <w:spacing w:val="8"/>
          <w:sz w:val="28"/>
          <w:szCs w:val="28"/>
        </w:rPr>
        <w:t>3.4.1</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土壤环境质量现状监测</w:t>
      </w:r>
    </w:p>
    <w:p w14:paraId="43ADBC90">
      <w:pPr>
        <w:spacing w:line="260" w:lineRule="auto"/>
        <w:rPr>
          <w:rFonts w:ascii="Arial"/>
          <w:sz w:val="21"/>
        </w:rPr>
      </w:pPr>
    </w:p>
    <w:p w14:paraId="304439D4">
      <w:pPr>
        <w:spacing w:before="75" w:line="227" w:lineRule="auto"/>
        <w:ind w:left="445"/>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监测布</w:t>
      </w:r>
      <w:r>
        <w:rPr>
          <w:rFonts w:ascii="宋体" w:hAnsi="宋体" w:eastAsia="宋体" w:cs="宋体"/>
          <w:spacing w:val="19"/>
          <w:sz w:val="23"/>
          <w:szCs w:val="23"/>
        </w:rPr>
        <w:t>点</w:t>
      </w:r>
    </w:p>
    <w:p w14:paraId="79084951">
      <w:pPr>
        <w:spacing w:line="278" w:lineRule="auto"/>
        <w:rPr>
          <w:rFonts w:ascii="Arial"/>
          <w:sz w:val="21"/>
        </w:rPr>
      </w:pPr>
    </w:p>
    <w:p w14:paraId="1163C24B">
      <w:pPr>
        <w:spacing w:before="75" w:line="393" w:lineRule="auto"/>
        <w:ind w:left="117" w:right="107" w:firstLine="480"/>
        <w:rPr>
          <w:rFonts w:ascii="宋体" w:hAnsi="宋体" w:eastAsia="宋体" w:cs="宋体"/>
          <w:sz w:val="23"/>
          <w:szCs w:val="23"/>
        </w:rPr>
      </w:pPr>
      <w:r>
        <w:rPr>
          <w:rFonts w:ascii="宋体" w:hAnsi="宋体" w:eastAsia="宋体" w:cs="宋体"/>
          <w:spacing w:val="5"/>
          <w:sz w:val="23"/>
          <w:szCs w:val="23"/>
        </w:rPr>
        <w:t xml:space="preserve">根据拟建项目场址所在地区的环境地质条件，在占地范围内共布设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个</w:t>
      </w:r>
      <w:r>
        <w:rPr>
          <w:rFonts w:ascii="宋体" w:hAnsi="宋体" w:eastAsia="宋体" w:cs="宋体"/>
          <w:spacing w:val="4"/>
          <w:sz w:val="23"/>
          <w:szCs w:val="23"/>
        </w:rPr>
        <w:t>土</w:t>
      </w:r>
      <w:r>
        <w:rPr>
          <w:rFonts w:ascii="宋体" w:hAnsi="宋体" w:eastAsia="宋体" w:cs="宋体"/>
          <w:sz w:val="23"/>
          <w:szCs w:val="23"/>
        </w:rPr>
        <w:t xml:space="preserve">壤 </w:t>
      </w:r>
      <w:r>
        <w:rPr>
          <w:rFonts w:ascii="宋体" w:hAnsi="宋体" w:eastAsia="宋体" w:cs="宋体"/>
          <w:spacing w:val="2"/>
          <w:sz w:val="23"/>
          <w:szCs w:val="23"/>
        </w:rPr>
        <w:t>环境环境质量监测点，具体见表</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4- 17</w:t>
      </w:r>
      <w:r>
        <w:rPr>
          <w:rFonts w:ascii="宋体" w:hAnsi="宋体" w:eastAsia="宋体" w:cs="宋体"/>
          <w:spacing w:val="1"/>
          <w:sz w:val="23"/>
          <w:szCs w:val="23"/>
        </w:rPr>
        <w:t>。</w:t>
      </w:r>
    </w:p>
    <w:p w14:paraId="5FBE7743">
      <w:pPr>
        <w:spacing w:before="135" w:line="227" w:lineRule="auto"/>
        <w:ind w:left="285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3"/>
          <w:sz w:val="23"/>
          <w:szCs w:val="23"/>
        </w:rPr>
        <w:t>4-17</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土壤监测点位布设</w:t>
      </w:r>
    </w:p>
    <w:p w14:paraId="784691EF">
      <w:pPr>
        <w:spacing w:line="19"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2093"/>
        <w:gridCol w:w="3428"/>
        <w:gridCol w:w="2181"/>
      </w:tblGrid>
      <w:tr w14:paraId="1DAD9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19" w:type="dxa"/>
            <w:tcBorders>
              <w:left w:val="nil"/>
            </w:tcBorders>
            <w:vAlign w:val="top"/>
          </w:tcPr>
          <w:p w14:paraId="02E22156">
            <w:pPr>
              <w:spacing w:before="75" w:line="229" w:lineRule="auto"/>
              <w:ind w:left="20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093" w:type="dxa"/>
            <w:vAlign w:val="top"/>
          </w:tcPr>
          <w:p w14:paraId="6F7268CB">
            <w:pPr>
              <w:spacing w:before="75" w:line="229" w:lineRule="auto"/>
              <w:ind w:left="52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测点名称</w:t>
            </w:r>
          </w:p>
        </w:tc>
        <w:tc>
          <w:tcPr>
            <w:tcW w:w="3428" w:type="dxa"/>
            <w:vAlign w:val="top"/>
          </w:tcPr>
          <w:p w14:paraId="1C5AA1E5">
            <w:pPr>
              <w:spacing w:before="75" w:line="229" w:lineRule="auto"/>
              <w:ind w:left="119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测点位置</w:t>
            </w:r>
          </w:p>
        </w:tc>
        <w:tc>
          <w:tcPr>
            <w:tcW w:w="2181" w:type="dxa"/>
            <w:tcBorders>
              <w:right w:val="nil"/>
            </w:tcBorders>
            <w:vAlign w:val="top"/>
          </w:tcPr>
          <w:p w14:paraId="4139A0A2">
            <w:pPr>
              <w:spacing w:before="75" w:line="229" w:lineRule="auto"/>
              <w:ind w:left="88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3BDD9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819" w:type="dxa"/>
            <w:tcBorders>
              <w:left w:val="nil"/>
            </w:tcBorders>
            <w:vAlign w:val="top"/>
          </w:tcPr>
          <w:p w14:paraId="107FB86D">
            <w:pPr>
              <w:spacing w:before="23" w:line="281"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2093" w:type="dxa"/>
            <w:vMerge w:val="restart"/>
            <w:tcBorders>
              <w:bottom w:val="nil"/>
            </w:tcBorders>
            <w:vAlign w:val="top"/>
          </w:tcPr>
          <w:p w14:paraId="2F799D7B">
            <w:pPr>
              <w:spacing w:line="335" w:lineRule="auto"/>
              <w:rPr>
                <w:rFonts w:ascii="Arial"/>
                <w:sz w:val="21"/>
              </w:rPr>
            </w:pPr>
          </w:p>
          <w:p w14:paraId="6BA95D0D">
            <w:pPr>
              <w:spacing w:before="65" w:line="228" w:lineRule="auto"/>
              <w:ind w:left="319"/>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设项目所在地</w:t>
            </w:r>
          </w:p>
        </w:tc>
        <w:tc>
          <w:tcPr>
            <w:tcW w:w="3428" w:type="dxa"/>
            <w:vAlign w:val="top"/>
          </w:tcPr>
          <w:p w14:paraId="26253C05">
            <w:pPr>
              <w:spacing w:before="61" w:line="228" w:lineRule="auto"/>
              <w:ind w:left="1198"/>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c>
        <w:tc>
          <w:tcPr>
            <w:tcW w:w="2181" w:type="dxa"/>
            <w:tcBorders>
              <w:right w:val="nil"/>
            </w:tcBorders>
            <w:vAlign w:val="top"/>
          </w:tcPr>
          <w:p w14:paraId="351A32EB">
            <w:pPr>
              <w:spacing w:before="61" w:line="228" w:lineRule="auto"/>
              <w:ind w:left="784"/>
              <w:rPr>
                <w:rFonts w:ascii="宋体" w:hAnsi="宋体" w:eastAsia="宋体" w:cs="宋体"/>
                <w:sz w:val="20"/>
                <w:szCs w:val="20"/>
              </w:rPr>
            </w:pPr>
            <w:r>
              <w:rPr>
                <w:rFonts w:ascii="宋体" w:hAnsi="宋体" w:eastAsia="宋体" w:cs="宋体"/>
                <w:spacing w:val="6"/>
                <w:sz w:val="20"/>
                <w:szCs w:val="20"/>
              </w:rPr>
              <w:t>背景</w:t>
            </w:r>
            <w:r>
              <w:rPr>
                <w:rFonts w:ascii="宋体" w:hAnsi="宋体" w:eastAsia="宋体" w:cs="宋体"/>
                <w:spacing w:val="5"/>
                <w:sz w:val="20"/>
                <w:szCs w:val="20"/>
              </w:rPr>
              <w:t>点</w:t>
            </w:r>
          </w:p>
        </w:tc>
      </w:tr>
      <w:tr w14:paraId="7FCFB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819" w:type="dxa"/>
            <w:tcBorders>
              <w:left w:val="nil"/>
            </w:tcBorders>
            <w:vAlign w:val="top"/>
          </w:tcPr>
          <w:p w14:paraId="3736DE47">
            <w:pPr>
              <w:spacing w:before="25" w:line="281"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2093" w:type="dxa"/>
            <w:vMerge w:val="continue"/>
            <w:tcBorders>
              <w:top w:val="nil"/>
              <w:bottom w:val="nil"/>
            </w:tcBorders>
            <w:vAlign w:val="top"/>
          </w:tcPr>
          <w:p w14:paraId="5FC9CCF4">
            <w:pPr>
              <w:rPr>
                <w:rFonts w:ascii="Arial"/>
                <w:sz w:val="21"/>
              </w:rPr>
            </w:pPr>
          </w:p>
        </w:tc>
        <w:tc>
          <w:tcPr>
            <w:tcW w:w="3428" w:type="dxa"/>
            <w:vAlign w:val="top"/>
          </w:tcPr>
          <w:p w14:paraId="6186E08E">
            <w:pPr>
              <w:spacing w:before="62" w:line="228" w:lineRule="auto"/>
              <w:ind w:left="778"/>
              <w:rPr>
                <w:rFonts w:ascii="宋体" w:hAnsi="宋体" w:eastAsia="宋体" w:cs="宋体"/>
                <w:sz w:val="20"/>
                <w:szCs w:val="20"/>
              </w:rPr>
            </w:pPr>
            <w:r>
              <w:rPr>
                <w:rFonts w:ascii="宋体" w:hAnsi="宋体" w:eastAsia="宋体" w:cs="宋体"/>
                <w:spacing w:val="13"/>
                <w:sz w:val="20"/>
                <w:szCs w:val="20"/>
              </w:rPr>
              <w:t>项</w:t>
            </w:r>
            <w:r>
              <w:rPr>
                <w:rFonts w:ascii="宋体" w:hAnsi="宋体" w:eastAsia="宋体" w:cs="宋体"/>
                <w:spacing w:val="8"/>
                <w:sz w:val="20"/>
                <w:szCs w:val="20"/>
              </w:rPr>
              <w:t>目占地范围内东侧</w:t>
            </w:r>
          </w:p>
        </w:tc>
        <w:tc>
          <w:tcPr>
            <w:tcW w:w="2181" w:type="dxa"/>
            <w:tcBorders>
              <w:right w:val="nil"/>
            </w:tcBorders>
            <w:vAlign w:val="top"/>
          </w:tcPr>
          <w:p w14:paraId="567D4FA4">
            <w:pPr>
              <w:spacing w:before="63" w:line="229" w:lineRule="auto"/>
              <w:ind w:left="780"/>
              <w:rPr>
                <w:rFonts w:ascii="宋体" w:hAnsi="宋体" w:eastAsia="宋体" w:cs="宋体"/>
                <w:sz w:val="20"/>
                <w:szCs w:val="20"/>
              </w:rPr>
            </w:pPr>
            <w:r>
              <w:rPr>
                <w:rFonts w:ascii="宋体" w:hAnsi="宋体" w:eastAsia="宋体" w:cs="宋体"/>
                <w:spacing w:val="7"/>
                <w:sz w:val="20"/>
                <w:szCs w:val="20"/>
              </w:rPr>
              <w:t>对照点</w:t>
            </w:r>
          </w:p>
        </w:tc>
      </w:tr>
      <w:tr w14:paraId="7E03C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19" w:type="dxa"/>
            <w:tcBorders>
              <w:left w:val="nil"/>
            </w:tcBorders>
            <w:vAlign w:val="top"/>
          </w:tcPr>
          <w:p w14:paraId="07EFC5B7">
            <w:pPr>
              <w:spacing w:before="27" w:line="281"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w:t>
            </w:r>
            <w:r>
              <w:rPr>
                <w:rFonts w:ascii="Times New Roman" w:hAnsi="Times New Roman" w:eastAsia="Times New Roman" w:cs="Times New Roman"/>
                <w:position w:val="2"/>
                <w:sz w:val="20"/>
                <w:szCs w:val="20"/>
              </w:rPr>
              <w:t>#</w:t>
            </w:r>
          </w:p>
        </w:tc>
        <w:tc>
          <w:tcPr>
            <w:tcW w:w="2093" w:type="dxa"/>
            <w:vMerge w:val="continue"/>
            <w:tcBorders>
              <w:top w:val="nil"/>
            </w:tcBorders>
            <w:vAlign w:val="top"/>
          </w:tcPr>
          <w:p w14:paraId="0775ACF4">
            <w:pPr>
              <w:rPr>
                <w:rFonts w:ascii="Arial"/>
                <w:sz w:val="21"/>
              </w:rPr>
            </w:pPr>
          </w:p>
        </w:tc>
        <w:tc>
          <w:tcPr>
            <w:tcW w:w="3428" w:type="dxa"/>
            <w:vAlign w:val="top"/>
          </w:tcPr>
          <w:p w14:paraId="42EAB3FE">
            <w:pPr>
              <w:spacing w:before="64" w:line="228" w:lineRule="auto"/>
              <w:ind w:left="778"/>
              <w:rPr>
                <w:rFonts w:ascii="宋体" w:hAnsi="宋体" w:eastAsia="宋体" w:cs="宋体"/>
                <w:sz w:val="20"/>
                <w:szCs w:val="20"/>
              </w:rPr>
            </w:pPr>
            <w:r>
              <w:rPr>
                <w:rFonts w:ascii="宋体" w:hAnsi="宋体" w:eastAsia="宋体" w:cs="宋体"/>
                <w:spacing w:val="13"/>
                <w:sz w:val="20"/>
                <w:szCs w:val="20"/>
              </w:rPr>
              <w:t>项</w:t>
            </w:r>
            <w:r>
              <w:rPr>
                <w:rFonts w:ascii="宋体" w:hAnsi="宋体" w:eastAsia="宋体" w:cs="宋体"/>
                <w:spacing w:val="8"/>
                <w:sz w:val="20"/>
                <w:szCs w:val="20"/>
              </w:rPr>
              <w:t>目占地范围内西侧</w:t>
            </w:r>
          </w:p>
        </w:tc>
        <w:tc>
          <w:tcPr>
            <w:tcW w:w="2181" w:type="dxa"/>
            <w:tcBorders>
              <w:right w:val="nil"/>
            </w:tcBorders>
            <w:vAlign w:val="top"/>
          </w:tcPr>
          <w:p w14:paraId="53C8BE10">
            <w:pPr>
              <w:spacing w:before="65" w:line="229" w:lineRule="auto"/>
              <w:ind w:left="780"/>
              <w:rPr>
                <w:rFonts w:ascii="宋体" w:hAnsi="宋体" w:eastAsia="宋体" w:cs="宋体"/>
                <w:sz w:val="20"/>
                <w:szCs w:val="20"/>
              </w:rPr>
            </w:pPr>
            <w:r>
              <w:rPr>
                <w:rFonts w:ascii="宋体" w:hAnsi="宋体" w:eastAsia="宋体" w:cs="宋体"/>
                <w:spacing w:val="7"/>
                <w:sz w:val="20"/>
                <w:szCs w:val="20"/>
              </w:rPr>
              <w:t>对照点</w:t>
            </w:r>
          </w:p>
        </w:tc>
      </w:tr>
    </w:tbl>
    <w:p w14:paraId="5BBD256A">
      <w:pPr>
        <w:spacing w:line="259" w:lineRule="auto"/>
        <w:rPr>
          <w:rFonts w:ascii="Arial"/>
          <w:sz w:val="21"/>
        </w:rPr>
      </w:pPr>
    </w:p>
    <w:p w14:paraId="3CB7C254">
      <w:pPr>
        <w:spacing w:before="75" w:line="228"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监测项</w:t>
      </w:r>
      <w:r>
        <w:rPr>
          <w:rFonts w:ascii="宋体" w:hAnsi="宋体" w:eastAsia="宋体" w:cs="宋体"/>
          <w:spacing w:val="19"/>
          <w:sz w:val="23"/>
          <w:szCs w:val="23"/>
        </w:rPr>
        <w:t>目</w:t>
      </w:r>
    </w:p>
    <w:p w14:paraId="2E83B2D0">
      <w:pPr>
        <w:spacing w:line="273" w:lineRule="auto"/>
        <w:rPr>
          <w:rFonts w:ascii="Arial"/>
          <w:sz w:val="21"/>
        </w:rPr>
      </w:pPr>
    </w:p>
    <w:p w14:paraId="2E0B4610">
      <w:pPr>
        <w:spacing w:before="75" w:line="387" w:lineRule="auto"/>
        <w:ind w:left="116" w:right="20" w:firstLine="481"/>
        <w:rPr>
          <w:rFonts w:ascii="宋体" w:hAnsi="宋体" w:eastAsia="宋体" w:cs="宋体"/>
          <w:sz w:val="23"/>
          <w:szCs w:val="23"/>
        </w:rPr>
      </w:pPr>
      <w:r>
        <w:rPr>
          <w:rFonts w:ascii="宋体" w:hAnsi="宋体" w:eastAsia="宋体" w:cs="宋体"/>
          <w:spacing w:val="10"/>
          <w:sz w:val="23"/>
          <w:szCs w:val="23"/>
        </w:rPr>
        <w:t>土壤监</w:t>
      </w:r>
      <w:r>
        <w:rPr>
          <w:rFonts w:ascii="宋体" w:hAnsi="宋体" w:eastAsia="宋体" w:cs="宋体"/>
          <w:spacing w:val="6"/>
          <w:sz w:val="23"/>
          <w:szCs w:val="23"/>
        </w:rPr>
        <w:t>测</w:t>
      </w:r>
      <w:r>
        <w:rPr>
          <w:rFonts w:ascii="宋体" w:hAnsi="宋体" w:eastAsia="宋体" w:cs="宋体"/>
          <w:spacing w:val="5"/>
          <w:sz w:val="23"/>
          <w:szCs w:val="23"/>
        </w:rPr>
        <w:t>项目为：</w:t>
      </w:r>
      <w:r>
        <w:rPr>
          <w:rFonts w:ascii="Times New Roman" w:hAnsi="Times New Roman" w:eastAsia="Times New Roman" w:cs="Times New Roman"/>
          <w:sz w:val="23"/>
          <w:szCs w:val="23"/>
        </w:rPr>
        <w:t>PH</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、铬 (六价) 、镉、汞、砷、铅、铜、镍、四氯化碳、</w:t>
      </w:r>
      <w:r>
        <w:rPr>
          <w:rFonts w:ascii="宋体" w:hAnsi="宋体" w:eastAsia="宋体" w:cs="宋体"/>
          <w:sz w:val="23"/>
          <w:szCs w:val="23"/>
        </w:rPr>
        <w:t xml:space="preserve"> </w:t>
      </w:r>
      <w:r>
        <w:rPr>
          <w:rFonts w:ascii="宋体" w:hAnsi="宋体" w:eastAsia="宋体" w:cs="宋体"/>
          <w:spacing w:val="4"/>
          <w:sz w:val="23"/>
          <w:szCs w:val="23"/>
        </w:rPr>
        <w:t>氯仿、氯甲烷、</w:t>
      </w:r>
      <w:r>
        <w:rPr>
          <w:rFonts w:ascii="Times New Roman" w:hAnsi="Times New Roman" w:eastAsia="Times New Roman" w:cs="Times New Roman"/>
          <w:spacing w:val="4"/>
          <w:sz w:val="23"/>
          <w:szCs w:val="23"/>
        </w:rPr>
        <w:t>1, 1-</w:t>
      </w:r>
      <w:r>
        <w:rPr>
          <w:rFonts w:ascii="宋体" w:hAnsi="宋体" w:eastAsia="宋体" w:cs="宋体"/>
          <w:spacing w:val="4"/>
          <w:sz w:val="23"/>
          <w:szCs w:val="23"/>
        </w:rPr>
        <w:t>二氯乙烷、</w:t>
      </w:r>
      <w:r>
        <w:rPr>
          <w:rFonts w:ascii="Times New Roman" w:hAnsi="Times New Roman" w:eastAsia="Times New Roman" w:cs="Times New Roman"/>
          <w:spacing w:val="4"/>
          <w:sz w:val="23"/>
          <w:szCs w:val="23"/>
        </w:rPr>
        <w:t>1,2-</w:t>
      </w:r>
      <w:r>
        <w:rPr>
          <w:rFonts w:ascii="宋体" w:hAnsi="宋体" w:eastAsia="宋体" w:cs="宋体"/>
          <w:spacing w:val="4"/>
          <w:sz w:val="23"/>
          <w:szCs w:val="23"/>
        </w:rPr>
        <w:t>二氯乙烷、</w:t>
      </w:r>
      <w:r>
        <w:rPr>
          <w:rFonts w:ascii="Times New Roman" w:hAnsi="Times New Roman" w:eastAsia="Times New Roman" w:cs="Times New Roman"/>
          <w:spacing w:val="4"/>
          <w:sz w:val="23"/>
          <w:szCs w:val="23"/>
        </w:rPr>
        <w:t>1, 1-</w:t>
      </w:r>
      <w:r>
        <w:rPr>
          <w:rFonts w:ascii="宋体" w:hAnsi="宋体" w:eastAsia="宋体" w:cs="宋体"/>
          <w:spacing w:val="4"/>
          <w:sz w:val="23"/>
          <w:szCs w:val="23"/>
        </w:rPr>
        <w:t>二氯乙烯、顺</w:t>
      </w:r>
      <w:r>
        <w:rPr>
          <w:rFonts w:ascii="Times New Roman" w:hAnsi="Times New Roman" w:eastAsia="Times New Roman" w:cs="Times New Roman"/>
          <w:spacing w:val="4"/>
          <w:sz w:val="23"/>
          <w:szCs w:val="23"/>
        </w:rPr>
        <w:t>- 1,2-</w:t>
      </w:r>
      <w:r>
        <w:rPr>
          <w:rFonts w:ascii="宋体" w:hAnsi="宋体" w:eastAsia="宋体" w:cs="宋体"/>
          <w:spacing w:val="4"/>
          <w:sz w:val="23"/>
          <w:szCs w:val="23"/>
        </w:rPr>
        <w:t>二氯乙</w:t>
      </w:r>
      <w:r>
        <w:rPr>
          <w:rFonts w:ascii="宋体" w:hAnsi="宋体" w:eastAsia="宋体" w:cs="宋体"/>
          <w:spacing w:val="1"/>
          <w:sz w:val="23"/>
          <w:szCs w:val="23"/>
        </w:rPr>
        <w:t>烯</w:t>
      </w:r>
      <w:r>
        <w:rPr>
          <w:rFonts w:ascii="宋体" w:hAnsi="宋体" w:eastAsia="宋体" w:cs="宋体"/>
          <w:sz w:val="23"/>
          <w:szCs w:val="23"/>
        </w:rPr>
        <w:t xml:space="preserve">、 </w:t>
      </w:r>
      <w:r>
        <w:rPr>
          <w:rFonts w:ascii="宋体" w:hAnsi="宋体" w:eastAsia="宋体" w:cs="宋体"/>
          <w:spacing w:val="-3"/>
          <w:sz w:val="23"/>
          <w:szCs w:val="23"/>
        </w:rPr>
        <w:t>反</w:t>
      </w:r>
      <w:r>
        <w:rPr>
          <w:rFonts w:ascii="Times New Roman" w:hAnsi="Times New Roman" w:eastAsia="Times New Roman" w:cs="Times New Roman"/>
          <w:spacing w:val="-3"/>
          <w:sz w:val="23"/>
          <w:szCs w:val="23"/>
        </w:rPr>
        <w:t>- 1,2-</w:t>
      </w:r>
      <w:r>
        <w:rPr>
          <w:rFonts w:ascii="宋体" w:hAnsi="宋体" w:eastAsia="宋体" w:cs="宋体"/>
          <w:spacing w:val="-3"/>
          <w:sz w:val="23"/>
          <w:szCs w:val="23"/>
        </w:rPr>
        <w:t>二氯乙烯、二氯甲烷、</w:t>
      </w:r>
      <w:r>
        <w:rPr>
          <w:rFonts w:ascii="Times New Roman" w:hAnsi="Times New Roman" w:eastAsia="Times New Roman" w:cs="Times New Roman"/>
          <w:spacing w:val="-3"/>
          <w:sz w:val="23"/>
          <w:szCs w:val="23"/>
        </w:rPr>
        <w:t>1,2-</w:t>
      </w:r>
      <w:r>
        <w:rPr>
          <w:rFonts w:ascii="宋体" w:hAnsi="宋体" w:eastAsia="宋体" w:cs="宋体"/>
          <w:spacing w:val="-3"/>
          <w:sz w:val="23"/>
          <w:szCs w:val="23"/>
        </w:rPr>
        <w:t>二氯丙烷、</w:t>
      </w:r>
      <w:r>
        <w:rPr>
          <w:rFonts w:ascii="Times New Roman" w:hAnsi="Times New Roman" w:eastAsia="Times New Roman" w:cs="Times New Roman"/>
          <w:spacing w:val="-3"/>
          <w:sz w:val="23"/>
          <w:szCs w:val="23"/>
        </w:rPr>
        <w:t xml:space="preserve">1, 1, 1,2- </w:t>
      </w:r>
      <w:r>
        <w:rPr>
          <w:rFonts w:ascii="宋体" w:hAnsi="宋体" w:eastAsia="宋体" w:cs="宋体"/>
          <w:spacing w:val="-3"/>
          <w:sz w:val="23"/>
          <w:szCs w:val="23"/>
        </w:rPr>
        <w:t>四氯乙烷、</w:t>
      </w:r>
      <w:r>
        <w:rPr>
          <w:rFonts w:ascii="Times New Roman" w:hAnsi="Times New Roman" w:eastAsia="Times New Roman" w:cs="Times New Roman"/>
          <w:spacing w:val="-3"/>
          <w:sz w:val="23"/>
          <w:szCs w:val="23"/>
        </w:rPr>
        <w:t xml:space="preserve">1, 1,2,2- </w:t>
      </w:r>
      <w:r>
        <w:rPr>
          <w:rFonts w:ascii="宋体" w:hAnsi="宋体" w:eastAsia="宋体" w:cs="宋体"/>
          <w:spacing w:val="-3"/>
          <w:sz w:val="23"/>
          <w:szCs w:val="23"/>
        </w:rPr>
        <w:t>四氯</w:t>
      </w:r>
      <w:r>
        <w:rPr>
          <w:rFonts w:ascii="宋体" w:hAnsi="宋体" w:eastAsia="宋体" w:cs="宋体"/>
          <w:spacing w:val="-1"/>
          <w:sz w:val="23"/>
          <w:szCs w:val="23"/>
        </w:rPr>
        <w:t>乙</w:t>
      </w:r>
      <w:r>
        <w:rPr>
          <w:rFonts w:ascii="宋体" w:hAnsi="宋体" w:eastAsia="宋体" w:cs="宋体"/>
          <w:sz w:val="23"/>
          <w:szCs w:val="23"/>
        </w:rPr>
        <w:t xml:space="preserve">烷、 </w:t>
      </w:r>
      <w:r>
        <w:rPr>
          <w:rFonts w:ascii="宋体" w:hAnsi="宋体" w:eastAsia="宋体" w:cs="宋体"/>
          <w:spacing w:val="-2"/>
          <w:sz w:val="23"/>
          <w:szCs w:val="23"/>
        </w:rPr>
        <w:t>四氯乙烯、</w:t>
      </w:r>
      <w:r>
        <w:rPr>
          <w:rFonts w:ascii="Times New Roman" w:hAnsi="Times New Roman" w:eastAsia="Times New Roman" w:cs="Times New Roman"/>
          <w:spacing w:val="-2"/>
          <w:sz w:val="23"/>
          <w:szCs w:val="23"/>
        </w:rPr>
        <w:t>1, 1, 1-</w:t>
      </w:r>
      <w:r>
        <w:rPr>
          <w:rFonts w:ascii="宋体" w:hAnsi="宋体" w:eastAsia="宋体" w:cs="宋体"/>
          <w:spacing w:val="-2"/>
          <w:sz w:val="23"/>
          <w:szCs w:val="23"/>
        </w:rPr>
        <w:t>三氯乙烷</w:t>
      </w:r>
      <w:r>
        <w:rPr>
          <w:rFonts w:ascii="宋体" w:hAnsi="宋体" w:eastAsia="宋体" w:cs="宋体"/>
          <w:spacing w:val="-1"/>
          <w:sz w:val="23"/>
          <w:szCs w:val="23"/>
        </w:rPr>
        <w:t>、</w:t>
      </w:r>
      <w:r>
        <w:rPr>
          <w:rFonts w:ascii="Times New Roman" w:hAnsi="Times New Roman" w:eastAsia="Times New Roman" w:cs="Times New Roman"/>
          <w:spacing w:val="-1"/>
          <w:sz w:val="23"/>
          <w:szCs w:val="23"/>
        </w:rPr>
        <w:t>1, 1,2-</w:t>
      </w:r>
      <w:r>
        <w:rPr>
          <w:rFonts w:ascii="宋体" w:hAnsi="宋体" w:eastAsia="宋体" w:cs="宋体"/>
          <w:spacing w:val="-1"/>
          <w:sz w:val="23"/>
          <w:szCs w:val="23"/>
        </w:rPr>
        <w:t>三氯乙烷、三氯乙烯、</w:t>
      </w:r>
      <w:r>
        <w:rPr>
          <w:rFonts w:ascii="Times New Roman" w:hAnsi="Times New Roman" w:eastAsia="Times New Roman" w:cs="Times New Roman"/>
          <w:spacing w:val="-1"/>
          <w:sz w:val="23"/>
          <w:szCs w:val="23"/>
        </w:rPr>
        <w:t>1,2,3-</w:t>
      </w:r>
      <w:r>
        <w:rPr>
          <w:rFonts w:ascii="宋体" w:hAnsi="宋体" w:eastAsia="宋体" w:cs="宋体"/>
          <w:spacing w:val="-1"/>
          <w:sz w:val="23"/>
          <w:szCs w:val="23"/>
        </w:rPr>
        <w:t>三氯丙烷、氯乙烯、</w:t>
      </w:r>
      <w:r>
        <w:rPr>
          <w:rFonts w:ascii="宋体" w:hAnsi="宋体" w:eastAsia="宋体" w:cs="宋体"/>
          <w:sz w:val="23"/>
          <w:szCs w:val="23"/>
        </w:rPr>
        <w:t xml:space="preserve"> </w:t>
      </w:r>
      <w:r>
        <w:rPr>
          <w:rFonts w:ascii="宋体" w:hAnsi="宋体" w:eastAsia="宋体" w:cs="宋体"/>
          <w:spacing w:val="7"/>
          <w:sz w:val="23"/>
          <w:szCs w:val="23"/>
        </w:rPr>
        <w:t>苯</w:t>
      </w:r>
      <w:r>
        <w:rPr>
          <w:rFonts w:ascii="宋体" w:hAnsi="宋体" w:eastAsia="宋体" w:cs="宋体"/>
          <w:spacing w:val="4"/>
          <w:sz w:val="23"/>
          <w:szCs w:val="23"/>
        </w:rPr>
        <w:t>、氯苯、</w:t>
      </w:r>
      <w:r>
        <w:rPr>
          <w:rFonts w:ascii="Times New Roman" w:hAnsi="Times New Roman" w:eastAsia="Times New Roman" w:cs="Times New Roman"/>
          <w:spacing w:val="4"/>
          <w:sz w:val="23"/>
          <w:szCs w:val="23"/>
        </w:rPr>
        <w:t>1,2-</w:t>
      </w:r>
      <w:r>
        <w:rPr>
          <w:rFonts w:ascii="宋体" w:hAnsi="宋体" w:eastAsia="宋体" w:cs="宋体"/>
          <w:spacing w:val="4"/>
          <w:sz w:val="23"/>
          <w:szCs w:val="23"/>
        </w:rPr>
        <w:t>二氯苯、</w:t>
      </w:r>
      <w:r>
        <w:rPr>
          <w:rFonts w:ascii="Times New Roman" w:hAnsi="Times New Roman" w:eastAsia="Times New Roman" w:cs="Times New Roman"/>
          <w:spacing w:val="4"/>
          <w:sz w:val="23"/>
          <w:szCs w:val="23"/>
        </w:rPr>
        <w:t>1,4-</w:t>
      </w:r>
      <w:r>
        <w:rPr>
          <w:rFonts w:ascii="宋体" w:hAnsi="宋体" w:eastAsia="宋体" w:cs="宋体"/>
          <w:spacing w:val="4"/>
          <w:sz w:val="23"/>
          <w:szCs w:val="23"/>
        </w:rPr>
        <w:t>二氯苯、乙苯、苯乙烯、甲苯、间二甲苯</w:t>
      </w:r>
      <w:r>
        <w:rPr>
          <w:rFonts w:ascii="Times New Roman" w:hAnsi="Times New Roman" w:eastAsia="Times New Roman" w:cs="Times New Roman"/>
          <w:spacing w:val="4"/>
          <w:sz w:val="23"/>
          <w:szCs w:val="23"/>
        </w:rPr>
        <w:t>+</w:t>
      </w:r>
      <w:r>
        <w:rPr>
          <w:rFonts w:ascii="宋体" w:hAnsi="宋体" w:eastAsia="宋体" w:cs="宋体"/>
          <w:spacing w:val="4"/>
          <w:sz w:val="23"/>
          <w:szCs w:val="23"/>
        </w:rPr>
        <w:t>对二甲苯、</w:t>
      </w:r>
      <w:r>
        <w:rPr>
          <w:rFonts w:ascii="宋体" w:hAnsi="宋体" w:eastAsia="宋体" w:cs="宋体"/>
          <w:sz w:val="23"/>
          <w:szCs w:val="23"/>
        </w:rPr>
        <w:t xml:space="preserve"> </w:t>
      </w:r>
      <w:r>
        <w:rPr>
          <w:rFonts w:ascii="宋体" w:hAnsi="宋体" w:eastAsia="宋体" w:cs="宋体"/>
          <w:spacing w:val="15"/>
          <w:sz w:val="23"/>
          <w:szCs w:val="23"/>
        </w:rPr>
        <w:t>邻</w:t>
      </w:r>
      <w:r>
        <w:rPr>
          <w:rFonts w:ascii="宋体" w:hAnsi="宋体" w:eastAsia="宋体" w:cs="宋体"/>
          <w:spacing w:val="8"/>
          <w:sz w:val="23"/>
          <w:szCs w:val="23"/>
        </w:rPr>
        <w:t>二甲苯 、硝基苯、苯胺、</w:t>
      </w:r>
      <w:r>
        <w:rPr>
          <w:rFonts w:ascii="Times New Roman" w:hAnsi="Times New Roman" w:eastAsia="Times New Roman" w:cs="Times New Roman"/>
          <w:spacing w:val="8"/>
          <w:sz w:val="23"/>
          <w:szCs w:val="23"/>
        </w:rPr>
        <w:t>2-</w:t>
      </w:r>
      <w:r>
        <w:rPr>
          <w:rFonts w:ascii="宋体" w:hAnsi="宋体" w:eastAsia="宋体" w:cs="宋体"/>
          <w:spacing w:val="8"/>
          <w:sz w:val="23"/>
          <w:szCs w:val="23"/>
        </w:rPr>
        <w:t>氯酚、苯并</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8"/>
          <w:sz w:val="23"/>
          <w:szCs w:val="23"/>
        </w:rPr>
        <w:t>]</w:t>
      </w:r>
      <w:r>
        <w:rPr>
          <w:rFonts w:ascii="宋体" w:hAnsi="宋体" w:eastAsia="宋体" w:cs="宋体"/>
          <w:spacing w:val="8"/>
          <w:sz w:val="23"/>
          <w:szCs w:val="23"/>
        </w:rPr>
        <w:t>蒽、苯并</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8"/>
          <w:sz w:val="23"/>
          <w:szCs w:val="23"/>
        </w:rPr>
        <w:t>]</w:t>
      </w:r>
      <w:r>
        <w:rPr>
          <w:rFonts w:ascii="宋体" w:hAnsi="宋体" w:eastAsia="宋体" w:cs="宋体"/>
          <w:spacing w:val="8"/>
          <w:sz w:val="23"/>
          <w:szCs w:val="23"/>
        </w:rPr>
        <w:t>芘、苯并</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b</w:t>
      </w:r>
      <w:r>
        <w:rPr>
          <w:rFonts w:ascii="Times New Roman" w:hAnsi="Times New Roman" w:eastAsia="Times New Roman" w:cs="Times New Roman"/>
          <w:spacing w:val="8"/>
          <w:sz w:val="23"/>
          <w:szCs w:val="23"/>
        </w:rPr>
        <w:t>]</w:t>
      </w:r>
      <w:r>
        <w:rPr>
          <w:rFonts w:ascii="宋体" w:hAnsi="宋体" w:eastAsia="宋体" w:cs="宋体"/>
          <w:spacing w:val="8"/>
          <w:sz w:val="23"/>
          <w:szCs w:val="23"/>
        </w:rPr>
        <w:t>荧蒽、苯并</w:t>
      </w:r>
    </w:p>
    <w:p w14:paraId="52800D63">
      <w:pPr>
        <w:sectPr>
          <w:footerReference r:id="rId179" w:type="default"/>
          <w:pgSz w:w="11906" w:h="16839"/>
          <w:pgMar w:top="1132" w:right="1691" w:bottom="1182" w:left="1691" w:header="878" w:footer="1022" w:gutter="0"/>
          <w:cols w:space="720" w:num="1"/>
        </w:sectPr>
      </w:pPr>
    </w:p>
    <w:p w14:paraId="7FAF8423">
      <w:pPr>
        <w:spacing w:line="365" w:lineRule="auto"/>
        <w:rPr>
          <w:rFonts w:ascii="Arial"/>
          <w:sz w:val="21"/>
        </w:rPr>
      </w:pPr>
      <w:r>
        <w:pict>
          <v:shape id="_x0000_s1226" o:spid="_x0000_s1226" style="position:absolute;left:0pt;margin-left:90pt;margin-top:57.35pt;height:0.75pt;width:415.3pt;mso-position-horizontal-relative:page;mso-position-vertical-relative:page;z-index:251878400;mso-width-relative:page;mso-height-relative:page;" fillcolor="#000000" filled="t" stroked="f" coordsize="8305,15" o:allowincell="f" path="m0,0l8305,0,8305,14,0,14,0,0xe">
            <v:path/>
            <v:fill on="t" focussize="0,0"/>
            <v:stroke on="f"/>
            <v:imagedata o:title=""/>
            <o:lock v:ext="edit"/>
          </v:shape>
        </w:pict>
      </w:r>
    </w:p>
    <w:p w14:paraId="3EFACB26">
      <w:pPr>
        <w:spacing w:before="75" w:line="323" w:lineRule="exact"/>
        <w:ind w:left="42"/>
        <w:rPr>
          <w:rFonts w:ascii="宋体" w:hAnsi="宋体" w:eastAsia="宋体" w:cs="宋体"/>
          <w:sz w:val="23"/>
          <w:szCs w:val="23"/>
        </w:rPr>
      </w:pPr>
      <w:r>
        <w:rPr>
          <w:rFonts w:ascii="Times New Roman" w:hAnsi="Times New Roman" w:eastAsia="Times New Roman" w:cs="Times New Roman"/>
          <w:spacing w:val="8"/>
          <w:position w:val="3"/>
          <w:sz w:val="23"/>
          <w:szCs w:val="23"/>
        </w:rPr>
        <w:t>[</w:t>
      </w:r>
      <w:r>
        <w:rPr>
          <w:rFonts w:ascii="Times New Roman" w:hAnsi="Times New Roman" w:eastAsia="Times New Roman" w:cs="Times New Roman"/>
          <w:position w:val="3"/>
          <w:sz w:val="23"/>
          <w:szCs w:val="23"/>
        </w:rPr>
        <w:t>k</w:t>
      </w:r>
      <w:r>
        <w:rPr>
          <w:rFonts w:ascii="Times New Roman" w:hAnsi="Times New Roman" w:eastAsia="Times New Roman" w:cs="Times New Roman"/>
          <w:spacing w:val="8"/>
          <w:position w:val="3"/>
          <w:sz w:val="23"/>
          <w:szCs w:val="23"/>
        </w:rPr>
        <w:t>]</w:t>
      </w:r>
      <w:r>
        <w:rPr>
          <w:rFonts w:ascii="宋体" w:hAnsi="宋体" w:eastAsia="宋体" w:cs="宋体"/>
          <w:spacing w:val="8"/>
          <w:position w:val="3"/>
          <w:sz w:val="23"/>
          <w:szCs w:val="23"/>
        </w:rPr>
        <w:t>荧蒽、䓛</w:t>
      </w:r>
      <w:r>
        <w:rPr>
          <w:rFonts w:ascii="宋体" w:hAnsi="宋体" w:eastAsia="宋体" w:cs="宋体"/>
          <w:spacing w:val="5"/>
          <w:position w:val="3"/>
          <w:sz w:val="23"/>
          <w:szCs w:val="23"/>
        </w:rPr>
        <w:t>、</w:t>
      </w:r>
      <w:r>
        <w:rPr>
          <w:rFonts w:ascii="宋体" w:hAnsi="宋体" w:eastAsia="宋体" w:cs="宋体"/>
          <w:spacing w:val="4"/>
          <w:position w:val="3"/>
          <w:sz w:val="23"/>
          <w:szCs w:val="23"/>
        </w:rPr>
        <w:t>二苯并</w:t>
      </w:r>
      <w:r>
        <w:rPr>
          <w:rFonts w:ascii="Times New Roman" w:hAnsi="Times New Roman" w:eastAsia="Times New Roman" w:cs="Times New Roman"/>
          <w:spacing w:val="4"/>
          <w:position w:val="3"/>
          <w:sz w:val="23"/>
          <w:szCs w:val="23"/>
        </w:rPr>
        <w:t>[</w:t>
      </w:r>
      <w:r>
        <w:rPr>
          <w:rFonts w:ascii="Times New Roman" w:hAnsi="Times New Roman" w:eastAsia="Times New Roman" w:cs="Times New Roman"/>
          <w:position w:val="3"/>
          <w:sz w:val="23"/>
          <w:szCs w:val="23"/>
        </w:rPr>
        <w:t>a</w:t>
      </w:r>
      <w:r>
        <w:rPr>
          <w:rFonts w:ascii="Times New Roman" w:hAnsi="Times New Roman" w:eastAsia="Times New Roman" w:cs="Times New Roman"/>
          <w:spacing w:val="4"/>
          <w:position w:val="3"/>
          <w:sz w:val="23"/>
          <w:szCs w:val="23"/>
        </w:rPr>
        <w:t xml:space="preserve"> </w:t>
      </w:r>
      <w:r>
        <w:rPr>
          <w:rFonts w:ascii="宋体" w:hAnsi="宋体" w:eastAsia="宋体" w:cs="宋体"/>
          <w:spacing w:val="4"/>
          <w:position w:val="3"/>
          <w:sz w:val="23"/>
          <w:szCs w:val="23"/>
        </w:rPr>
        <w:t>、</w:t>
      </w:r>
      <w:r>
        <w:rPr>
          <w:rFonts w:ascii="Times New Roman" w:hAnsi="Times New Roman" w:eastAsia="Times New Roman" w:cs="Times New Roman"/>
          <w:position w:val="3"/>
          <w:sz w:val="23"/>
          <w:szCs w:val="23"/>
        </w:rPr>
        <w:t>h</w:t>
      </w:r>
      <w:r>
        <w:rPr>
          <w:rFonts w:ascii="Times New Roman" w:hAnsi="Times New Roman" w:eastAsia="Times New Roman" w:cs="Times New Roman"/>
          <w:spacing w:val="4"/>
          <w:position w:val="3"/>
          <w:sz w:val="23"/>
          <w:szCs w:val="23"/>
        </w:rPr>
        <w:t>]</w:t>
      </w:r>
      <w:r>
        <w:rPr>
          <w:rFonts w:ascii="宋体" w:hAnsi="宋体" w:eastAsia="宋体" w:cs="宋体"/>
          <w:spacing w:val="4"/>
          <w:position w:val="3"/>
          <w:sz w:val="23"/>
          <w:szCs w:val="23"/>
        </w:rPr>
        <w:t>蒽、茚并</w:t>
      </w:r>
      <w:r>
        <w:rPr>
          <w:rFonts w:ascii="Times New Roman" w:hAnsi="Times New Roman" w:eastAsia="Times New Roman" w:cs="Times New Roman"/>
          <w:spacing w:val="4"/>
          <w:position w:val="3"/>
          <w:sz w:val="23"/>
          <w:szCs w:val="23"/>
        </w:rPr>
        <w:t>[1,2,3-</w:t>
      </w:r>
      <w:r>
        <w:rPr>
          <w:rFonts w:ascii="Times New Roman" w:hAnsi="Times New Roman" w:eastAsia="Times New Roman" w:cs="Times New Roman"/>
          <w:position w:val="3"/>
          <w:sz w:val="23"/>
          <w:szCs w:val="23"/>
        </w:rPr>
        <w:t>cd</w:t>
      </w:r>
      <w:r>
        <w:rPr>
          <w:rFonts w:ascii="Times New Roman" w:hAnsi="Times New Roman" w:eastAsia="Times New Roman" w:cs="Times New Roman"/>
          <w:spacing w:val="4"/>
          <w:position w:val="3"/>
          <w:sz w:val="23"/>
          <w:szCs w:val="23"/>
        </w:rPr>
        <w:t>]</w:t>
      </w:r>
      <w:r>
        <w:rPr>
          <w:rFonts w:ascii="宋体" w:hAnsi="宋体" w:eastAsia="宋体" w:cs="宋体"/>
          <w:spacing w:val="4"/>
          <w:position w:val="3"/>
          <w:sz w:val="23"/>
          <w:szCs w:val="23"/>
        </w:rPr>
        <w:t xml:space="preserve">芘、萘、土壤含盐量，共 </w:t>
      </w:r>
      <w:r>
        <w:rPr>
          <w:rFonts w:ascii="Times New Roman" w:hAnsi="Times New Roman" w:eastAsia="Times New Roman" w:cs="Times New Roman"/>
          <w:spacing w:val="4"/>
          <w:position w:val="3"/>
          <w:sz w:val="23"/>
          <w:szCs w:val="23"/>
        </w:rPr>
        <w:t xml:space="preserve">47 </w:t>
      </w:r>
      <w:r>
        <w:rPr>
          <w:rFonts w:ascii="宋体" w:hAnsi="宋体" w:eastAsia="宋体" w:cs="宋体"/>
          <w:spacing w:val="4"/>
          <w:position w:val="3"/>
          <w:sz w:val="23"/>
          <w:szCs w:val="23"/>
        </w:rPr>
        <w:t>项。</w:t>
      </w:r>
    </w:p>
    <w:p w14:paraId="22EDC06E">
      <w:pPr>
        <w:spacing w:line="280" w:lineRule="auto"/>
        <w:rPr>
          <w:rFonts w:ascii="Arial"/>
          <w:sz w:val="21"/>
        </w:rPr>
      </w:pPr>
    </w:p>
    <w:p w14:paraId="64E6E5D2">
      <w:pPr>
        <w:spacing w:before="75" w:line="227" w:lineRule="auto"/>
        <w:ind w:left="523"/>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3</w:t>
      </w:r>
      <w:r>
        <w:rPr>
          <w:rFonts w:ascii="宋体" w:hAnsi="宋体" w:eastAsia="宋体" w:cs="宋体"/>
          <w:spacing w:val="17"/>
          <w:sz w:val="23"/>
          <w:szCs w:val="23"/>
        </w:rPr>
        <w:t>) 监测时间与频率</w:t>
      </w:r>
    </w:p>
    <w:p w14:paraId="4A93F867">
      <w:pPr>
        <w:spacing w:line="276" w:lineRule="auto"/>
        <w:rPr>
          <w:rFonts w:ascii="Arial"/>
          <w:sz w:val="21"/>
        </w:rPr>
      </w:pPr>
    </w:p>
    <w:p w14:paraId="2E8CC6F4">
      <w:pPr>
        <w:spacing w:before="75" w:line="227" w:lineRule="auto"/>
        <w:ind w:left="513"/>
        <w:rPr>
          <w:rFonts w:ascii="宋体" w:hAnsi="宋体" w:eastAsia="宋体" w:cs="宋体"/>
          <w:sz w:val="23"/>
          <w:szCs w:val="23"/>
        </w:rPr>
      </w:pPr>
      <w:r>
        <w:rPr>
          <w:rFonts w:ascii="宋体" w:hAnsi="宋体" w:eastAsia="宋体" w:cs="宋体"/>
          <w:spacing w:val="2"/>
          <w:sz w:val="23"/>
          <w:szCs w:val="23"/>
        </w:rPr>
        <w:t xml:space="preserve">连续监测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天</w:t>
      </w:r>
      <w:r>
        <w:rPr>
          <w:rFonts w:ascii="宋体" w:hAnsi="宋体" w:eastAsia="宋体" w:cs="宋体"/>
          <w:spacing w:val="1"/>
          <w:sz w:val="23"/>
          <w:szCs w:val="23"/>
        </w:rPr>
        <w:t xml:space="preserve">，每天采样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次，采样点不少于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个。</w:t>
      </w:r>
    </w:p>
    <w:p w14:paraId="2FB0E502">
      <w:pPr>
        <w:spacing w:line="276" w:lineRule="auto"/>
        <w:rPr>
          <w:rFonts w:ascii="Arial"/>
          <w:sz w:val="21"/>
        </w:rPr>
      </w:pPr>
    </w:p>
    <w:p w14:paraId="0DC9BFB5">
      <w:pPr>
        <w:spacing w:before="75" w:line="228" w:lineRule="auto"/>
        <w:ind w:left="40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分析方</w:t>
      </w:r>
      <w:r>
        <w:rPr>
          <w:rFonts w:ascii="宋体" w:hAnsi="宋体" w:eastAsia="宋体" w:cs="宋体"/>
          <w:spacing w:val="19"/>
          <w:sz w:val="23"/>
          <w:szCs w:val="23"/>
        </w:rPr>
        <w:t>法</w:t>
      </w:r>
    </w:p>
    <w:p w14:paraId="09A57845">
      <w:pPr>
        <w:spacing w:before="308" w:line="396" w:lineRule="auto"/>
        <w:ind w:left="32" w:right="20" w:firstLine="480"/>
        <w:rPr>
          <w:rFonts w:ascii="宋体" w:hAnsi="宋体" w:eastAsia="宋体" w:cs="宋体"/>
          <w:sz w:val="23"/>
          <w:szCs w:val="23"/>
        </w:rPr>
      </w:pPr>
      <w:r>
        <w:rPr>
          <w:rFonts w:ascii="宋体" w:hAnsi="宋体" w:eastAsia="宋体" w:cs="宋体"/>
          <w:spacing w:val="4"/>
          <w:sz w:val="23"/>
          <w:szCs w:val="23"/>
        </w:rPr>
        <w:t>根据《土壤环境监测技术规范》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166-2004</w:t>
      </w:r>
      <w:r>
        <w:rPr>
          <w:rFonts w:ascii="宋体" w:hAnsi="宋体" w:eastAsia="宋体" w:cs="宋体"/>
          <w:spacing w:val="4"/>
          <w:sz w:val="23"/>
          <w:szCs w:val="23"/>
        </w:rPr>
        <w:t>) 中土壤样品的管理、分</w:t>
      </w:r>
      <w:r>
        <w:rPr>
          <w:rFonts w:ascii="宋体" w:hAnsi="宋体" w:eastAsia="宋体" w:cs="宋体"/>
          <w:sz w:val="23"/>
          <w:szCs w:val="23"/>
        </w:rPr>
        <w:t xml:space="preserve">析 </w:t>
      </w:r>
      <w:r>
        <w:rPr>
          <w:rFonts w:ascii="宋体" w:hAnsi="宋体" w:eastAsia="宋体" w:cs="宋体"/>
          <w:spacing w:val="4"/>
          <w:sz w:val="23"/>
          <w:szCs w:val="23"/>
        </w:rPr>
        <w:t>执行。具</w:t>
      </w:r>
      <w:r>
        <w:rPr>
          <w:rFonts w:ascii="宋体" w:hAnsi="宋体" w:eastAsia="宋体" w:cs="宋体"/>
          <w:spacing w:val="3"/>
          <w:sz w:val="23"/>
          <w:szCs w:val="23"/>
        </w:rPr>
        <w:t>体</w:t>
      </w:r>
      <w:r>
        <w:rPr>
          <w:rFonts w:ascii="宋体" w:hAnsi="宋体" w:eastAsia="宋体" w:cs="宋体"/>
          <w:spacing w:val="2"/>
          <w:sz w:val="23"/>
          <w:szCs w:val="23"/>
        </w:rPr>
        <w:t xml:space="preserve">监测项目及分析方法见表 </w:t>
      </w:r>
      <w:r>
        <w:rPr>
          <w:rFonts w:ascii="Times New Roman" w:hAnsi="Times New Roman" w:eastAsia="Times New Roman" w:cs="Times New Roman"/>
          <w:spacing w:val="2"/>
          <w:sz w:val="23"/>
          <w:szCs w:val="23"/>
        </w:rPr>
        <w:t>4- 18</w:t>
      </w:r>
      <w:r>
        <w:rPr>
          <w:rFonts w:ascii="宋体" w:hAnsi="宋体" w:eastAsia="宋体" w:cs="宋体"/>
          <w:spacing w:val="2"/>
          <w:sz w:val="23"/>
          <w:szCs w:val="23"/>
        </w:rPr>
        <w:t>。</w:t>
      </w:r>
    </w:p>
    <w:p w14:paraId="591196A3">
      <w:pPr>
        <w:spacing w:before="172" w:line="228" w:lineRule="auto"/>
        <w:ind w:left="2253"/>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4-18</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土壤监测项目及分析方法</w:t>
      </w:r>
    </w:p>
    <w:p w14:paraId="30D17F59">
      <w:pPr>
        <w:spacing w:line="17"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6"/>
        <w:gridCol w:w="1650"/>
        <w:gridCol w:w="3420"/>
        <w:gridCol w:w="1680"/>
        <w:gridCol w:w="1056"/>
      </w:tblGrid>
      <w:tr w14:paraId="75800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46" w:type="dxa"/>
            <w:tcBorders>
              <w:left w:val="nil"/>
            </w:tcBorders>
            <w:vAlign w:val="top"/>
          </w:tcPr>
          <w:p w14:paraId="786FD1CC">
            <w:pPr>
              <w:spacing w:before="231" w:line="229" w:lineRule="auto"/>
              <w:ind w:left="7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650" w:type="dxa"/>
            <w:vAlign w:val="top"/>
          </w:tcPr>
          <w:p w14:paraId="33CCD358">
            <w:pPr>
              <w:spacing w:before="231" w:line="228" w:lineRule="auto"/>
              <w:ind w:left="41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3420" w:type="dxa"/>
            <w:vAlign w:val="top"/>
          </w:tcPr>
          <w:p w14:paraId="5EFA5524">
            <w:pPr>
              <w:spacing w:before="231" w:line="228" w:lineRule="auto"/>
              <w:ind w:left="87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测标准</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(方法)</w:t>
            </w:r>
          </w:p>
        </w:tc>
        <w:tc>
          <w:tcPr>
            <w:tcW w:w="1680" w:type="dxa"/>
            <w:vAlign w:val="top"/>
          </w:tcPr>
          <w:p w14:paraId="7F553CD0">
            <w:pPr>
              <w:spacing w:before="75" w:line="259" w:lineRule="auto"/>
              <w:ind w:left="33" w:right="19" w:firstLine="7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分析、采样仪器</w:t>
            </w:r>
            <w:r>
              <w:rPr>
                <w:rFonts w:ascii="宋体" w:hAnsi="宋体" w:eastAsia="宋体" w:cs="宋体"/>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名称</w:t>
            </w:r>
            <w:r>
              <w:rPr>
                <w:rFonts w:ascii="宋体" w:hAnsi="宋体" w:eastAsia="宋体" w:cs="宋体"/>
                <w:spacing w:val="3"/>
                <w:sz w:val="20"/>
                <w:szCs w:val="20"/>
                <w14:textOutline w14:w="3795" w14:cap="sq" w14:cmpd="sng">
                  <w14:solidFill>
                    <w14:srgbClr w14:val="000000"/>
                  </w14:solidFill>
                  <w14:prstDash w14:val="solid"/>
                  <w14:bevel/>
                </w14:textOutline>
              </w:rPr>
              <w:t>、</w:t>
            </w:r>
            <w:r>
              <w:rPr>
                <w:rFonts w:ascii="宋体" w:hAnsi="宋体" w:eastAsia="宋体" w:cs="宋体"/>
                <w:spacing w:val="2"/>
                <w:sz w:val="20"/>
                <w:szCs w:val="20"/>
                <w14:textOutline w14:w="3795" w14:cap="sq" w14:cmpd="sng">
                  <w14:solidFill>
                    <w14:srgbClr w14:val="000000"/>
                  </w14:solidFill>
                  <w14:prstDash w14:val="solid"/>
                  <w14:bevel/>
                </w14:textOutline>
              </w:rPr>
              <w:t>型号、编号</w:t>
            </w:r>
          </w:p>
        </w:tc>
        <w:tc>
          <w:tcPr>
            <w:tcW w:w="1056" w:type="dxa"/>
            <w:tcBorders>
              <w:right w:val="nil"/>
            </w:tcBorders>
            <w:vAlign w:val="top"/>
          </w:tcPr>
          <w:p w14:paraId="5F8BCCDB">
            <w:pPr>
              <w:spacing w:before="231" w:line="228" w:lineRule="auto"/>
              <w:ind w:left="21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出限</w:t>
            </w:r>
          </w:p>
        </w:tc>
      </w:tr>
      <w:tr w14:paraId="17E5B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6" w:type="dxa"/>
            <w:tcBorders>
              <w:left w:val="nil"/>
            </w:tcBorders>
            <w:vAlign w:val="top"/>
          </w:tcPr>
          <w:p w14:paraId="5E8FB766">
            <w:pPr>
              <w:spacing w:before="24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50" w:type="dxa"/>
            <w:vAlign w:val="top"/>
          </w:tcPr>
          <w:p w14:paraId="6FB229A0">
            <w:pPr>
              <w:spacing w:before="246" w:line="192"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c>
          <w:tcPr>
            <w:tcW w:w="3420" w:type="dxa"/>
            <w:vAlign w:val="top"/>
          </w:tcPr>
          <w:p w14:paraId="646FE84D">
            <w:pPr>
              <w:spacing w:before="51" w:line="283" w:lineRule="auto"/>
              <w:ind w:left="907" w:right="58" w:hanging="842"/>
              <w:rPr>
                <w:rFonts w:ascii="Times New Roman" w:hAnsi="Times New Roman" w:eastAsia="Times New Roman" w:cs="Times New Roman"/>
                <w:sz w:val="20"/>
                <w:szCs w:val="20"/>
              </w:rPr>
            </w:pPr>
            <w:r>
              <w:rPr>
                <w:rFonts w:ascii="宋体" w:hAnsi="宋体" w:eastAsia="宋体" w:cs="宋体"/>
                <w:spacing w:val="4"/>
                <w:sz w:val="20"/>
                <w:szCs w:val="20"/>
              </w:rPr>
              <w:t>土壤检测第</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部分：土壤 </w:t>
            </w:r>
            <w:r>
              <w:rPr>
                <w:rFonts w:ascii="Times New Roman" w:hAnsi="Times New Roman" w:eastAsia="Times New Roman" w:cs="Times New Roman"/>
                <w:sz w:val="20"/>
                <w:szCs w:val="20"/>
              </w:rPr>
              <w:t>pH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的测定</w:t>
            </w:r>
            <w:r>
              <w:rPr>
                <w:rFonts w:ascii="宋体" w:hAnsi="宋体" w:eastAsia="宋体" w:cs="宋体"/>
                <w:sz w:val="20"/>
                <w:szCs w:val="20"/>
              </w:rPr>
              <w:t xml:space="preserve"> </w:t>
            </w:r>
            <w:r>
              <w:rPr>
                <w:rFonts w:ascii="Times New Roman" w:hAnsi="Times New Roman" w:eastAsia="Times New Roman" w:cs="Times New Roman"/>
                <w:sz w:val="20"/>
                <w:szCs w:val="20"/>
              </w:rPr>
              <w:t>NY</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 xml:space="preserve"> 1121.2-2006</w:t>
            </w:r>
          </w:p>
        </w:tc>
        <w:tc>
          <w:tcPr>
            <w:tcW w:w="1680" w:type="dxa"/>
            <w:vAlign w:val="top"/>
          </w:tcPr>
          <w:p w14:paraId="45B33823">
            <w:pPr>
              <w:spacing w:before="51" w:line="348" w:lineRule="exact"/>
              <w:ind w:left="576"/>
              <w:rPr>
                <w:rFonts w:ascii="宋体" w:hAnsi="宋体" w:eastAsia="宋体" w:cs="宋体"/>
                <w:sz w:val="20"/>
                <w:szCs w:val="20"/>
              </w:rPr>
            </w:pPr>
            <w:r>
              <w:rPr>
                <w:rFonts w:ascii="Times New Roman" w:hAnsi="Times New Roman" w:eastAsia="Times New Roman" w:cs="Times New Roman"/>
                <w:position w:val="11"/>
                <w:sz w:val="20"/>
                <w:szCs w:val="20"/>
              </w:rPr>
              <w:t>pH</w:t>
            </w:r>
            <w:r>
              <w:rPr>
                <w:rFonts w:ascii="Times New Roman" w:hAnsi="Times New Roman" w:eastAsia="Times New Roman" w:cs="Times New Roman"/>
                <w:spacing w:val="12"/>
                <w:position w:val="11"/>
                <w:sz w:val="20"/>
                <w:szCs w:val="20"/>
              </w:rPr>
              <w:t xml:space="preserve"> </w:t>
            </w:r>
            <w:r>
              <w:rPr>
                <w:rFonts w:ascii="宋体" w:hAnsi="宋体" w:eastAsia="宋体" w:cs="宋体"/>
                <w:spacing w:val="12"/>
                <w:position w:val="11"/>
                <w:sz w:val="20"/>
                <w:szCs w:val="20"/>
              </w:rPr>
              <w:t>计</w:t>
            </w:r>
          </w:p>
          <w:p w14:paraId="7A6BA783">
            <w:pPr>
              <w:spacing w:line="194"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3</w:t>
            </w:r>
          </w:p>
        </w:tc>
        <w:tc>
          <w:tcPr>
            <w:tcW w:w="1056" w:type="dxa"/>
            <w:tcBorders>
              <w:right w:val="nil"/>
            </w:tcBorders>
            <w:vAlign w:val="top"/>
          </w:tcPr>
          <w:p w14:paraId="3298FB5C">
            <w:pPr>
              <w:spacing w:before="169" w:line="281"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6024C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6" w:type="dxa"/>
            <w:tcBorders>
              <w:left w:val="nil"/>
            </w:tcBorders>
            <w:vAlign w:val="top"/>
          </w:tcPr>
          <w:p w14:paraId="77FEA591">
            <w:pPr>
              <w:spacing w:line="341" w:lineRule="auto"/>
              <w:rPr>
                <w:rFonts w:ascii="Arial"/>
                <w:sz w:val="21"/>
              </w:rPr>
            </w:pPr>
          </w:p>
          <w:p w14:paraId="20B3BF74">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50" w:type="dxa"/>
            <w:vAlign w:val="top"/>
          </w:tcPr>
          <w:p w14:paraId="74EE60CF">
            <w:pPr>
              <w:spacing w:line="298" w:lineRule="auto"/>
              <w:rPr>
                <w:rFonts w:ascii="Arial"/>
                <w:sz w:val="21"/>
              </w:rPr>
            </w:pPr>
          </w:p>
          <w:p w14:paraId="4398D551">
            <w:pPr>
              <w:spacing w:before="65" w:line="228" w:lineRule="auto"/>
              <w:ind w:left="724"/>
              <w:rPr>
                <w:rFonts w:ascii="宋体" w:hAnsi="宋体" w:eastAsia="宋体" w:cs="宋体"/>
                <w:sz w:val="20"/>
                <w:szCs w:val="20"/>
              </w:rPr>
            </w:pPr>
            <w:r>
              <w:rPr>
                <w:rFonts w:ascii="宋体" w:hAnsi="宋体" w:eastAsia="宋体" w:cs="宋体"/>
                <w:spacing w:val="1"/>
                <w:sz w:val="20"/>
                <w:szCs w:val="20"/>
              </w:rPr>
              <w:t>砷</w:t>
            </w:r>
          </w:p>
        </w:tc>
        <w:tc>
          <w:tcPr>
            <w:tcW w:w="3420" w:type="dxa"/>
            <w:vAlign w:val="top"/>
          </w:tcPr>
          <w:p w14:paraId="71779CA9">
            <w:pPr>
              <w:spacing w:before="53" w:line="228" w:lineRule="auto"/>
              <w:ind w:left="29"/>
              <w:rPr>
                <w:rFonts w:ascii="宋体" w:hAnsi="宋体" w:eastAsia="宋体" w:cs="宋体"/>
                <w:sz w:val="20"/>
                <w:szCs w:val="20"/>
              </w:rPr>
            </w:pPr>
            <w:r>
              <w:rPr>
                <w:rFonts w:ascii="宋体" w:hAnsi="宋体" w:eastAsia="宋体" w:cs="宋体"/>
                <w:spacing w:val="-2"/>
                <w:sz w:val="20"/>
                <w:szCs w:val="20"/>
              </w:rPr>
              <w:t>土壤质量 总汞、总砷、总铅的测定</w:t>
            </w:r>
            <w:r>
              <w:rPr>
                <w:rFonts w:ascii="宋体" w:hAnsi="宋体" w:eastAsia="宋体" w:cs="宋体"/>
                <w:spacing w:val="-1"/>
                <w:sz w:val="20"/>
                <w:szCs w:val="20"/>
              </w:rPr>
              <w:t xml:space="preserve"> </w:t>
            </w:r>
            <w:r>
              <w:rPr>
                <w:rFonts w:ascii="宋体" w:hAnsi="宋体" w:eastAsia="宋体" w:cs="宋体"/>
                <w:sz w:val="20"/>
                <w:szCs w:val="20"/>
              </w:rPr>
              <w:t>原</w:t>
            </w:r>
          </w:p>
          <w:p w14:paraId="3D5F3F73">
            <w:pPr>
              <w:spacing w:before="64" w:line="228" w:lineRule="auto"/>
              <w:ind w:left="36"/>
              <w:rPr>
                <w:rFonts w:ascii="宋体" w:hAnsi="宋体" w:eastAsia="宋体" w:cs="宋体"/>
                <w:sz w:val="20"/>
                <w:szCs w:val="20"/>
              </w:rPr>
            </w:pPr>
            <w:r>
              <w:rPr>
                <w:rFonts w:ascii="宋体" w:hAnsi="宋体" w:eastAsia="宋体" w:cs="宋体"/>
                <w:spacing w:val="10"/>
                <w:sz w:val="20"/>
                <w:szCs w:val="20"/>
              </w:rPr>
              <w:t>子</w:t>
            </w:r>
            <w:r>
              <w:rPr>
                <w:rFonts w:ascii="宋体" w:hAnsi="宋体" w:eastAsia="宋体" w:cs="宋体"/>
                <w:spacing w:val="8"/>
                <w:sz w:val="20"/>
                <w:szCs w:val="20"/>
              </w:rPr>
              <w:t>荧</w:t>
            </w:r>
            <w:r>
              <w:rPr>
                <w:rFonts w:ascii="宋体" w:hAnsi="宋体" w:eastAsia="宋体" w:cs="宋体"/>
                <w:spacing w:val="5"/>
                <w:sz w:val="20"/>
                <w:szCs w:val="20"/>
              </w:rPr>
              <w:t xml:space="preserve">光法，第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部分：土壤中总砷的</w:t>
            </w:r>
          </w:p>
          <w:p w14:paraId="58C22215">
            <w:pPr>
              <w:spacing w:before="27" w:line="281" w:lineRule="exact"/>
              <w:ind w:left="605"/>
              <w:rPr>
                <w:rFonts w:ascii="Times New Roman" w:hAnsi="Times New Roman" w:eastAsia="Times New Roman" w:cs="Times New Roman"/>
                <w:sz w:val="20"/>
                <w:szCs w:val="20"/>
              </w:rPr>
            </w:pPr>
            <w:r>
              <w:rPr>
                <w:rFonts w:ascii="宋体" w:hAnsi="宋体" w:eastAsia="宋体" w:cs="宋体"/>
                <w:spacing w:val="10"/>
                <w:position w:val="1"/>
                <w:sz w:val="20"/>
                <w:szCs w:val="20"/>
              </w:rPr>
              <w:t>测</w:t>
            </w:r>
            <w:r>
              <w:rPr>
                <w:rFonts w:ascii="宋体" w:hAnsi="宋体" w:eastAsia="宋体" w:cs="宋体"/>
                <w:spacing w:val="7"/>
                <w:position w:val="1"/>
                <w:sz w:val="20"/>
                <w:szCs w:val="20"/>
              </w:rPr>
              <w:t>定</w:t>
            </w:r>
            <w:r>
              <w:rPr>
                <w:rFonts w:ascii="宋体" w:hAnsi="宋体" w:eastAsia="宋体" w:cs="宋体"/>
                <w:spacing w:val="5"/>
                <w:position w:val="1"/>
                <w:sz w:val="20"/>
                <w:szCs w:val="20"/>
              </w:rPr>
              <w:t xml:space="preserve"> </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5"/>
                <w:position w:val="1"/>
                <w:sz w:val="20"/>
                <w:szCs w:val="20"/>
              </w:rPr>
              <w:t xml:space="preserve"> 22105.2-2008</w:t>
            </w:r>
          </w:p>
        </w:tc>
        <w:tc>
          <w:tcPr>
            <w:tcW w:w="1680" w:type="dxa"/>
            <w:vAlign w:val="top"/>
          </w:tcPr>
          <w:p w14:paraId="0B8675FE">
            <w:pPr>
              <w:spacing w:before="210" w:line="323" w:lineRule="auto"/>
              <w:ind w:left="568" w:right="103" w:hanging="453"/>
              <w:rPr>
                <w:rFonts w:ascii="Times New Roman" w:hAnsi="Times New Roman" w:eastAsia="Times New Roman" w:cs="Times New Roman"/>
                <w:sz w:val="20"/>
                <w:szCs w:val="20"/>
              </w:rPr>
            </w:pPr>
            <w:r>
              <w:rPr>
                <w:rFonts w:ascii="宋体" w:hAnsi="宋体" w:eastAsia="宋体" w:cs="宋体"/>
                <w:spacing w:val="8"/>
                <w:sz w:val="20"/>
                <w:szCs w:val="20"/>
              </w:rPr>
              <w:t>原子荧光光度</w:t>
            </w:r>
            <w:r>
              <w:rPr>
                <w:rFonts w:ascii="宋体" w:hAnsi="宋体" w:eastAsia="宋体" w:cs="宋体"/>
                <w:spacing w:val="7"/>
                <w:sz w:val="20"/>
                <w:szCs w:val="20"/>
              </w:rPr>
              <w:t>计</w:t>
            </w:r>
            <w:r>
              <w:rPr>
                <w:rFonts w:ascii="宋体" w:hAnsi="宋体" w:eastAsia="宋体" w:cs="宋体"/>
                <w:sz w:val="20"/>
                <w:szCs w:val="20"/>
              </w:rPr>
              <w:t xml:space="preserve"> </w:t>
            </w: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6"/>
                <w:sz w:val="20"/>
                <w:szCs w:val="20"/>
              </w:rPr>
              <w:t>3</w:t>
            </w:r>
          </w:p>
        </w:tc>
        <w:tc>
          <w:tcPr>
            <w:tcW w:w="1056" w:type="dxa"/>
            <w:tcBorders>
              <w:right w:val="nil"/>
            </w:tcBorders>
            <w:vAlign w:val="top"/>
          </w:tcPr>
          <w:p w14:paraId="619FFED7">
            <w:pPr>
              <w:spacing w:line="268" w:lineRule="auto"/>
              <w:rPr>
                <w:rFonts w:ascii="Arial"/>
                <w:sz w:val="21"/>
              </w:rPr>
            </w:pPr>
          </w:p>
          <w:p w14:paraId="5B130E1D">
            <w:pPr>
              <w:spacing w:before="57" w:line="282"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.01</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r>
      <w:tr w14:paraId="3959C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6" w:type="dxa"/>
            <w:tcBorders>
              <w:left w:val="nil"/>
            </w:tcBorders>
            <w:vAlign w:val="top"/>
          </w:tcPr>
          <w:p w14:paraId="662E02EC">
            <w:pPr>
              <w:spacing w:before="24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50" w:type="dxa"/>
            <w:vAlign w:val="top"/>
          </w:tcPr>
          <w:p w14:paraId="6A362F8D">
            <w:pPr>
              <w:spacing w:before="209" w:line="231" w:lineRule="auto"/>
              <w:ind w:left="724"/>
              <w:rPr>
                <w:rFonts w:ascii="宋体" w:hAnsi="宋体" w:eastAsia="宋体" w:cs="宋体"/>
                <w:sz w:val="20"/>
                <w:szCs w:val="20"/>
              </w:rPr>
            </w:pPr>
            <w:r>
              <w:rPr>
                <w:rFonts w:ascii="宋体" w:hAnsi="宋体" w:eastAsia="宋体" w:cs="宋体"/>
                <w:spacing w:val="2"/>
                <w:sz w:val="20"/>
                <w:szCs w:val="20"/>
              </w:rPr>
              <w:t>镉</w:t>
            </w:r>
          </w:p>
        </w:tc>
        <w:tc>
          <w:tcPr>
            <w:tcW w:w="3420" w:type="dxa"/>
            <w:vAlign w:val="top"/>
          </w:tcPr>
          <w:p w14:paraId="4F5E9FF2">
            <w:pPr>
              <w:spacing w:before="54" w:line="265" w:lineRule="auto"/>
              <w:ind w:left="192" w:right="29" w:hanging="156"/>
              <w:rPr>
                <w:rFonts w:ascii="Times New Roman" w:hAnsi="Times New Roman" w:eastAsia="Times New Roman" w:cs="Times New Roman"/>
                <w:sz w:val="20"/>
                <w:szCs w:val="20"/>
              </w:rPr>
            </w:pPr>
            <w:r>
              <w:rPr>
                <w:rFonts w:ascii="宋体" w:hAnsi="宋体" w:eastAsia="宋体" w:cs="宋体"/>
                <w:spacing w:val="16"/>
                <w:sz w:val="20"/>
                <w:szCs w:val="20"/>
              </w:rPr>
              <w:t>土</w:t>
            </w:r>
            <w:r>
              <w:rPr>
                <w:rFonts w:ascii="宋体" w:hAnsi="宋体" w:eastAsia="宋体" w:cs="宋体"/>
                <w:spacing w:val="12"/>
                <w:sz w:val="20"/>
                <w:szCs w:val="20"/>
              </w:rPr>
              <w:t>壤</w:t>
            </w:r>
            <w:r>
              <w:rPr>
                <w:rFonts w:ascii="宋体" w:hAnsi="宋体" w:eastAsia="宋体" w:cs="宋体"/>
                <w:spacing w:val="8"/>
                <w:sz w:val="20"/>
                <w:szCs w:val="20"/>
              </w:rPr>
              <w:t>质量 铅、镉的测定 石墨炉原子</w:t>
            </w:r>
            <w:r>
              <w:rPr>
                <w:rFonts w:ascii="宋体" w:hAnsi="宋体" w:eastAsia="宋体" w:cs="宋体"/>
                <w:sz w:val="20"/>
                <w:szCs w:val="20"/>
              </w:rPr>
              <w:t xml:space="preserve"> </w:t>
            </w:r>
            <w:r>
              <w:rPr>
                <w:rFonts w:ascii="宋体" w:hAnsi="宋体" w:eastAsia="宋体" w:cs="宋体"/>
                <w:spacing w:val="2"/>
                <w:sz w:val="20"/>
                <w:szCs w:val="20"/>
              </w:rPr>
              <w:t>吸收分光</w:t>
            </w:r>
            <w:r>
              <w:rPr>
                <w:rFonts w:ascii="宋体" w:hAnsi="宋体" w:eastAsia="宋体" w:cs="宋体"/>
                <w:spacing w:val="1"/>
                <w:sz w:val="20"/>
                <w:szCs w:val="20"/>
              </w:rPr>
              <w:t xml:space="preserve">光度法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
                <w:sz w:val="20"/>
                <w:szCs w:val="20"/>
              </w:rPr>
              <w:t xml:space="preserve"> 17141- 1997</w:t>
            </w:r>
          </w:p>
        </w:tc>
        <w:tc>
          <w:tcPr>
            <w:tcW w:w="1680" w:type="dxa"/>
            <w:vAlign w:val="top"/>
          </w:tcPr>
          <w:p w14:paraId="37D68E48">
            <w:pPr>
              <w:spacing w:before="54" w:line="258" w:lineRule="auto"/>
              <w:ind w:left="334" w:right="103" w:hanging="219"/>
              <w:rPr>
                <w:rFonts w:ascii="Times New Roman" w:hAnsi="Times New Roman" w:eastAsia="Times New Roman" w:cs="Times New Roman"/>
                <w:sz w:val="20"/>
                <w:szCs w:val="20"/>
              </w:rPr>
            </w:pPr>
            <w:r>
              <w:rPr>
                <w:rFonts w:ascii="宋体" w:hAnsi="宋体" w:eastAsia="宋体" w:cs="宋体"/>
                <w:spacing w:val="8"/>
                <w:sz w:val="20"/>
                <w:szCs w:val="20"/>
              </w:rPr>
              <w:t>原子吸收分光</w:t>
            </w:r>
            <w:r>
              <w:rPr>
                <w:rFonts w:ascii="宋体" w:hAnsi="宋体" w:eastAsia="宋体" w:cs="宋体"/>
                <w:spacing w:val="7"/>
                <w:sz w:val="20"/>
                <w:szCs w:val="20"/>
              </w:rPr>
              <w:t>光</w:t>
            </w:r>
            <w:r>
              <w:rPr>
                <w:rFonts w:ascii="宋体" w:hAnsi="宋体" w:eastAsia="宋体" w:cs="宋体"/>
                <w:sz w:val="20"/>
                <w:szCs w:val="20"/>
              </w:rPr>
              <w:t xml:space="preserve"> </w:t>
            </w:r>
            <w:r>
              <w:rPr>
                <w:rFonts w:ascii="宋体" w:hAnsi="宋体" w:eastAsia="宋体" w:cs="宋体"/>
                <w:spacing w:val="-2"/>
                <w:sz w:val="20"/>
                <w:szCs w:val="20"/>
              </w:rPr>
              <w:t xml:space="preserve">度计 </w:t>
            </w:r>
            <w:r>
              <w:rPr>
                <w:rFonts w:ascii="Times New Roman" w:hAnsi="Times New Roman" w:eastAsia="Times New Roman" w:cs="Times New Roman"/>
                <w:spacing w:val="-1"/>
                <w:sz w:val="20"/>
                <w:szCs w:val="20"/>
              </w:rPr>
              <w:t>FX-02</w:t>
            </w:r>
          </w:p>
        </w:tc>
        <w:tc>
          <w:tcPr>
            <w:tcW w:w="1056" w:type="dxa"/>
            <w:tcBorders>
              <w:right w:val="nil"/>
            </w:tcBorders>
            <w:vAlign w:val="top"/>
          </w:tcPr>
          <w:p w14:paraId="642943CA">
            <w:pPr>
              <w:spacing w:before="172" w:line="281"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.01</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r>
      <w:tr w14:paraId="5DF9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6" w:type="dxa"/>
            <w:tcBorders>
              <w:left w:val="nil"/>
            </w:tcBorders>
            <w:vAlign w:val="top"/>
          </w:tcPr>
          <w:p w14:paraId="3B1A6BE9">
            <w:pPr>
              <w:spacing w:before="24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50" w:type="dxa"/>
            <w:vAlign w:val="top"/>
          </w:tcPr>
          <w:p w14:paraId="4138FCE3">
            <w:pPr>
              <w:spacing w:before="171" w:line="281" w:lineRule="exact"/>
              <w:ind w:left="446"/>
              <w:rPr>
                <w:rFonts w:ascii="Times New Roman" w:hAnsi="Times New Roman" w:eastAsia="Times New Roman" w:cs="Times New Roman"/>
                <w:sz w:val="20"/>
                <w:szCs w:val="20"/>
              </w:rPr>
            </w:pPr>
            <w:r>
              <w:rPr>
                <w:rFonts w:ascii="宋体" w:hAnsi="宋体" w:eastAsia="宋体" w:cs="宋体"/>
                <w:spacing w:val="7"/>
                <w:position w:val="2"/>
                <w:sz w:val="20"/>
                <w:szCs w:val="20"/>
              </w:rPr>
              <w:t>铬</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六价</w:t>
            </w:r>
            <w:r>
              <w:rPr>
                <w:rFonts w:ascii="Times New Roman" w:hAnsi="Times New Roman" w:eastAsia="Times New Roman" w:cs="Times New Roman"/>
                <w:spacing w:val="5"/>
                <w:position w:val="2"/>
                <w:sz w:val="20"/>
                <w:szCs w:val="20"/>
              </w:rPr>
              <w:t>)</w:t>
            </w:r>
          </w:p>
        </w:tc>
        <w:tc>
          <w:tcPr>
            <w:tcW w:w="3420" w:type="dxa"/>
            <w:vAlign w:val="top"/>
          </w:tcPr>
          <w:p w14:paraId="4F225CF3">
            <w:pPr>
              <w:spacing w:before="16" w:line="275" w:lineRule="auto"/>
              <w:ind w:left="206" w:right="53" w:hanging="131"/>
              <w:rPr>
                <w:rFonts w:ascii="Times New Roman" w:hAnsi="Times New Roman" w:eastAsia="Times New Roman" w:cs="Times New Roman"/>
                <w:sz w:val="20"/>
                <w:szCs w:val="20"/>
              </w:rPr>
            </w:pPr>
            <w:r>
              <w:rPr>
                <w:rFonts w:ascii="宋体" w:hAnsi="宋体" w:eastAsia="宋体" w:cs="宋体"/>
                <w:spacing w:val="14"/>
                <w:sz w:val="20"/>
                <w:szCs w:val="20"/>
              </w:rPr>
              <w:t>固</w:t>
            </w:r>
            <w:r>
              <w:rPr>
                <w:rFonts w:ascii="宋体" w:hAnsi="宋体" w:eastAsia="宋体" w:cs="宋体"/>
                <w:spacing w:val="11"/>
                <w:sz w:val="20"/>
                <w:szCs w:val="20"/>
              </w:rPr>
              <w:t>体</w:t>
            </w:r>
            <w:r>
              <w:rPr>
                <w:rFonts w:ascii="宋体" w:hAnsi="宋体" w:eastAsia="宋体" w:cs="宋体"/>
                <w:spacing w:val="7"/>
                <w:sz w:val="20"/>
                <w:szCs w:val="20"/>
              </w:rPr>
              <w:t>废物 六价铬的测定碱消解</w:t>
            </w:r>
            <w:r>
              <w:rPr>
                <w:rFonts w:ascii="Times New Roman" w:hAnsi="Times New Roman" w:eastAsia="Times New Roman" w:cs="Times New Roman"/>
                <w:spacing w:val="7"/>
                <w:sz w:val="20"/>
                <w:szCs w:val="20"/>
              </w:rPr>
              <w:t>/</w:t>
            </w:r>
            <w:r>
              <w:rPr>
                <w:rFonts w:ascii="宋体" w:hAnsi="宋体" w:eastAsia="宋体" w:cs="宋体"/>
                <w:spacing w:val="7"/>
                <w:sz w:val="20"/>
                <w:szCs w:val="20"/>
              </w:rPr>
              <w:t>火焰</w:t>
            </w:r>
            <w:r>
              <w:rPr>
                <w:rFonts w:ascii="宋体" w:hAnsi="宋体" w:eastAsia="宋体" w:cs="宋体"/>
                <w:sz w:val="20"/>
                <w:szCs w:val="20"/>
              </w:rPr>
              <w:t xml:space="preserve"> </w:t>
            </w:r>
            <w:r>
              <w:rPr>
                <w:rFonts w:ascii="宋体" w:hAnsi="宋体" w:eastAsia="宋体" w:cs="宋体"/>
                <w:spacing w:val="8"/>
                <w:sz w:val="20"/>
                <w:szCs w:val="20"/>
              </w:rPr>
              <w:t>原</w:t>
            </w:r>
            <w:r>
              <w:rPr>
                <w:rFonts w:ascii="宋体" w:hAnsi="宋体" w:eastAsia="宋体" w:cs="宋体"/>
                <w:spacing w:val="4"/>
                <w:sz w:val="20"/>
                <w:szCs w:val="20"/>
              </w:rPr>
              <w:t xml:space="preserve">子吸收分光光度法 </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 xml:space="preserve"> 687-2014</w:t>
            </w:r>
          </w:p>
        </w:tc>
        <w:tc>
          <w:tcPr>
            <w:tcW w:w="1680" w:type="dxa"/>
            <w:vAlign w:val="top"/>
          </w:tcPr>
          <w:p w14:paraId="32EE612C">
            <w:pPr>
              <w:spacing w:before="53" w:line="258" w:lineRule="auto"/>
              <w:ind w:left="334" w:right="103" w:hanging="219"/>
              <w:rPr>
                <w:rFonts w:ascii="Times New Roman" w:hAnsi="Times New Roman" w:eastAsia="Times New Roman" w:cs="Times New Roman"/>
                <w:sz w:val="20"/>
                <w:szCs w:val="20"/>
              </w:rPr>
            </w:pPr>
            <w:r>
              <w:rPr>
                <w:rFonts w:ascii="宋体" w:hAnsi="宋体" w:eastAsia="宋体" w:cs="宋体"/>
                <w:spacing w:val="8"/>
                <w:sz w:val="20"/>
                <w:szCs w:val="20"/>
              </w:rPr>
              <w:t>原子吸收分光</w:t>
            </w:r>
            <w:r>
              <w:rPr>
                <w:rFonts w:ascii="宋体" w:hAnsi="宋体" w:eastAsia="宋体" w:cs="宋体"/>
                <w:spacing w:val="7"/>
                <w:sz w:val="20"/>
                <w:szCs w:val="20"/>
              </w:rPr>
              <w:t>光</w:t>
            </w:r>
            <w:r>
              <w:rPr>
                <w:rFonts w:ascii="宋体" w:hAnsi="宋体" w:eastAsia="宋体" w:cs="宋体"/>
                <w:sz w:val="20"/>
                <w:szCs w:val="20"/>
              </w:rPr>
              <w:t xml:space="preserve"> </w:t>
            </w:r>
            <w:r>
              <w:rPr>
                <w:rFonts w:ascii="宋体" w:hAnsi="宋体" w:eastAsia="宋体" w:cs="宋体"/>
                <w:spacing w:val="-2"/>
                <w:sz w:val="20"/>
                <w:szCs w:val="20"/>
              </w:rPr>
              <w:t xml:space="preserve">度计 </w:t>
            </w:r>
            <w:r>
              <w:rPr>
                <w:rFonts w:ascii="Times New Roman" w:hAnsi="Times New Roman" w:eastAsia="Times New Roman" w:cs="Times New Roman"/>
                <w:spacing w:val="-1"/>
                <w:sz w:val="20"/>
                <w:szCs w:val="20"/>
              </w:rPr>
              <w:t>FX-02</w:t>
            </w:r>
          </w:p>
        </w:tc>
        <w:tc>
          <w:tcPr>
            <w:tcW w:w="1056" w:type="dxa"/>
            <w:tcBorders>
              <w:right w:val="nil"/>
            </w:tcBorders>
            <w:vAlign w:val="top"/>
          </w:tcPr>
          <w:p w14:paraId="726EF32C">
            <w:pPr>
              <w:spacing w:before="171" w:line="281"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12"/>
                <w:position w:val="4"/>
                <w:sz w:val="20"/>
                <w:szCs w:val="20"/>
              </w:rPr>
              <w:t>2</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2"/>
                <w:position w:val="4"/>
                <w:sz w:val="20"/>
                <w:szCs w:val="20"/>
              </w:rPr>
              <w:t>/</w:t>
            </w:r>
            <w:r>
              <w:rPr>
                <w:rFonts w:ascii="Times New Roman" w:hAnsi="Times New Roman" w:eastAsia="Times New Roman" w:cs="Times New Roman"/>
                <w:position w:val="4"/>
                <w:sz w:val="20"/>
                <w:szCs w:val="20"/>
              </w:rPr>
              <w:t>kg</w:t>
            </w:r>
          </w:p>
        </w:tc>
      </w:tr>
      <w:tr w14:paraId="0771D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6" w:type="dxa"/>
            <w:tcBorders>
              <w:left w:val="nil"/>
            </w:tcBorders>
            <w:vAlign w:val="top"/>
          </w:tcPr>
          <w:p w14:paraId="272CD733">
            <w:pPr>
              <w:spacing w:before="248" w:line="192"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50" w:type="dxa"/>
            <w:vAlign w:val="top"/>
          </w:tcPr>
          <w:p w14:paraId="7555C16A">
            <w:pPr>
              <w:spacing w:before="210" w:line="229" w:lineRule="auto"/>
              <w:ind w:left="725"/>
              <w:rPr>
                <w:rFonts w:ascii="宋体" w:hAnsi="宋体" w:eastAsia="宋体" w:cs="宋体"/>
                <w:sz w:val="20"/>
                <w:szCs w:val="20"/>
              </w:rPr>
            </w:pPr>
            <w:r>
              <w:rPr>
                <w:rFonts w:ascii="宋体" w:hAnsi="宋体" w:eastAsia="宋体" w:cs="宋体"/>
                <w:sz w:val="20"/>
                <w:szCs w:val="20"/>
              </w:rPr>
              <w:t>铜</w:t>
            </w:r>
          </w:p>
        </w:tc>
        <w:tc>
          <w:tcPr>
            <w:tcW w:w="3420" w:type="dxa"/>
            <w:vAlign w:val="top"/>
          </w:tcPr>
          <w:p w14:paraId="100E55CD">
            <w:pPr>
              <w:spacing w:before="53" w:line="265" w:lineRule="auto"/>
              <w:ind w:left="270" w:right="29" w:hanging="234"/>
              <w:rPr>
                <w:rFonts w:ascii="Times New Roman" w:hAnsi="Times New Roman" w:eastAsia="Times New Roman" w:cs="Times New Roman"/>
                <w:sz w:val="20"/>
                <w:szCs w:val="20"/>
              </w:rPr>
            </w:pPr>
            <w:r>
              <w:rPr>
                <w:rFonts w:ascii="宋体" w:hAnsi="宋体" w:eastAsia="宋体" w:cs="宋体"/>
                <w:spacing w:val="16"/>
                <w:sz w:val="20"/>
                <w:szCs w:val="20"/>
              </w:rPr>
              <w:t>土</w:t>
            </w:r>
            <w:r>
              <w:rPr>
                <w:rFonts w:ascii="宋体" w:hAnsi="宋体" w:eastAsia="宋体" w:cs="宋体"/>
                <w:spacing w:val="12"/>
                <w:sz w:val="20"/>
                <w:szCs w:val="20"/>
              </w:rPr>
              <w:t>壤</w:t>
            </w:r>
            <w:r>
              <w:rPr>
                <w:rFonts w:ascii="宋体" w:hAnsi="宋体" w:eastAsia="宋体" w:cs="宋体"/>
                <w:spacing w:val="8"/>
                <w:sz w:val="20"/>
                <w:szCs w:val="20"/>
              </w:rPr>
              <w:t>质量 铜、锌的测定 火焰原子吸</w:t>
            </w:r>
            <w:r>
              <w:rPr>
                <w:rFonts w:ascii="宋体" w:hAnsi="宋体" w:eastAsia="宋体" w:cs="宋体"/>
                <w:sz w:val="20"/>
                <w:szCs w:val="20"/>
              </w:rPr>
              <w:t xml:space="preserve"> </w:t>
            </w:r>
            <w:r>
              <w:rPr>
                <w:rFonts w:ascii="宋体" w:hAnsi="宋体" w:eastAsia="宋体" w:cs="宋体"/>
                <w:spacing w:val="6"/>
                <w:sz w:val="20"/>
                <w:szCs w:val="20"/>
              </w:rPr>
              <w:t>收分</w:t>
            </w:r>
            <w:r>
              <w:rPr>
                <w:rFonts w:ascii="宋体" w:hAnsi="宋体" w:eastAsia="宋体" w:cs="宋体"/>
                <w:spacing w:val="4"/>
                <w:sz w:val="20"/>
                <w:szCs w:val="20"/>
              </w:rPr>
              <w:t>光</w:t>
            </w:r>
            <w:r>
              <w:rPr>
                <w:rFonts w:ascii="宋体" w:hAnsi="宋体" w:eastAsia="宋体" w:cs="宋体"/>
                <w:spacing w:val="3"/>
                <w:sz w:val="20"/>
                <w:szCs w:val="20"/>
              </w:rPr>
              <w:t xml:space="preserve">光度法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 xml:space="preserve"> 17138- 1997</w:t>
            </w:r>
          </w:p>
        </w:tc>
        <w:tc>
          <w:tcPr>
            <w:tcW w:w="1680" w:type="dxa"/>
            <w:vAlign w:val="top"/>
          </w:tcPr>
          <w:p w14:paraId="3AD17994">
            <w:pPr>
              <w:spacing w:before="54" w:line="258" w:lineRule="auto"/>
              <w:ind w:left="334" w:right="103" w:hanging="219"/>
              <w:rPr>
                <w:rFonts w:ascii="Times New Roman" w:hAnsi="Times New Roman" w:eastAsia="Times New Roman" w:cs="Times New Roman"/>
                <w:sz w:val="20"/>
                <w:szCs w:val="20"/>
              </w:rPr>
            </w:pPr>
            <w:r>
              <w:rPr>
                <w:rFonts w:ascii="宋体" w:hAnsi="宋体" w:eastAsia="宋体" w:cs="宋体"/>
                <w:spacing w:val="8"/>
                <w:sz w:val="20"/>
                <w:szCs w:val="20"/>
              </w:rPr>
              <w:t>原子吸收分光</w:t>
            </w:r>
            <w:r>
              <w:rPr>
                <w:rFonts w:ascii="宋体" w:hAnsi="宋体" w:eastAsia="宋体" w:cs="宋体"/>
                <w:spacing w:val="7"/>
                <w:sz w:val="20"/>
                <w:szCs w:val="20"/>
              </w:rPr>
              <w:t>光</w:t>
            </w:r>
            <w:r>
              <w:rPr>
                <w:rFonts w:ascii="宋体" w:hAnsi="宋体" w:eastAsia="宋体" w:cs="宋体"/>
                <w:sz w:val="20"/>
                <w:szCs w:val="20"/>
              </w:rPr>
              <w:t xml:space="preserve"> </w:t>
            </w:r>
            <w:r>
              <w:rPr>
                <w:rFonts w:ascii="宋体" w:hAnsi="宋体" w:eastAsia="宋体" w:cs="宋体"/>
                <w:spacing w:val="-2"/>
                <w:sz w:val="20"/>
                <w:szCs w:val="20"/>
              </w:rPr>
              <w:t xml:space="preserve">度计 </w:t>
            </w:r>
            <w:r>
              <w:rPr>
                <w:rFonts w:ascii="Times New Roman" w:hAnsi="Times New Roman" w:eastAsia="Times New Roman" w:cs="Times New Roman"/>
                <w:spacing w:val="-1"/>
                <w:sz w:val="20"/>
                <w:szCs w:val="20"/>
              </w:rPr>
              <w:t>FX-02</w:t>
            </w:r>
          </w:p>
        </w:tc>
        <w:tc>
          <w:tcPr>
            <w:tcW w:w="1056" w:type="dxa"/>
            <w:tcBorders>
              <w:right w:val="nil"/>
            </w:tcBorders>
            <w:vAlign w:val="top"/>
          </w:tcPr>
          <w:p w14:paraId="55991471">
            <w:pPr>
              <w:spacing w:before="172" w:line="281"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1</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2"/>
                <w:position w:val="4"/>
                <w:sz w:val="20"/>
                <w:szCs w:val="20"/>
              </w:rPr>
              <w:t>/</w:t>
            </w:r>
            <w:r>
              <w:rPr>
                <w:rFonts w:ascii="Times New Roman" w:hAnsi="Times New Roman" w:eastAsia="Times New Roman" w:cs="Times New Roman"/>
                <w:position w:val="4"/>
                <w:sz w:val="20"/>
                <w:szCs w:val="20"/>
              </w:rPr>
              <w:t>kg</w:t>
            </w:r>
          </w:p>
        </w:tc>
      </w:tr>
      <w:tr w14:paraId="749CE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6" w:type="dxa"/>
            <w:tcBorders>
              <w:left w:val="nil"/>
            </w:tcBorders>
            <w:vAlign w:val="top"/>
          </w:tcPr>
          <w:p w14:paraId="6EE2F2F6">
            <w:pPr>
              <w:spacing w:before="246"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50" w:type="dxa"/>
            <w:vAlign w:val="top"/>
          </w:tcPr>
          <w:p w14:paraId="3FB20BFD">
            <w:pPr>
              <w:spacing w:before="210" w:line="232" w:lineRule="auto"/>
              <w:ind w:left="725"/>
              <w:rPr>
                <w:rFonts w:ascii="宋体" w:hAnsi="宋体" w:eastAsia="宋体" w:cs="宋体"/>
                <w:sz w:val="20"/>
                <w:szCs w:val="20"/>
              </w:rPr>
            </w:pPr>
            <w:r>
              <w:rPr>
                <w:rFonts w:ascii="宋体" w:hAnsi="宋体" w:eastAsia="宋体" w:cs="宋体"/>
                <w:sz w:val="20"/>
                <w:szCs w:val="20"/>
              </w:rPr>
              <w:t>铅</w:t>
            </w:r>
          </w:p>
        </w:tc>
        <w:tc>
          <w:tcPr>
            <w:tcW w:w="3420" w:type="dxa"/>
            <w:vAlign w:val="top"/>
          </w:tcPr>
          <w:p w14:paraId="29B85C20">
            <w:pPr>
              <w:spacing w:before="53" w:line="265" w:lineRule="auto"/>
              <w:ind w:left="192" w:right="29" w:hanging="156"/>
              <w:rPr>
                <w:rFonts w:ascii="Times New Roman" w:hAnsi="Times New Roman" w:eastAsia="Times New Roman" w:cs="Times New Roman"/>
                <w:sz w:val="20"/>
                <w:szCs w:val="20"/>
              </w:rPr>
            </w:pPr>
            <w:r>
              <w:rPr>
                <w:rFonts w:ascii="宋体" w:hAnsi="宋体" w:eastAsia="宋体" w:cs="宋体"/>
                <w:spacing w:val="16"/>
                <w:sz w:val="20"/>
                <w:szCs w:val="20"/>
              </w:rPr>
              <w:t>土</w:t>
            </w:r>
            <w:r>
              <w:rPr>
                <w:rFonts w:ascii="宋体" w:hAnsi="宋体" w:eastAsia="宋体" w:cs="宋体"/>
                <w:spacing w:val="12"/>
                <w:sz w:val="20"/>
                <w:szCs w:val="20"/>
              </w:rPr>
              <w:t>壤</w:t>
            </w:r>
            <w:r>
              <w:rPr>
                <w:rFonts w:ascii="宋体" w:hAnsi="宋体" w:eastAsia="宋体" w:cs="宋体"/>
                <w:spacing w:val="8"/>
                <w:sz w:val="20"/>
                <w:szCs w:val="20"/>
              </w:rPr>
              <w:t>质量 铅、镉的测定 石墨炉原子</w:t>
            </w:r>
            <w:r>
              <w:rPr>
                <w:rFonts w:ascii="宋体" w:hAnsi="宋体" w:eastAsia="宋体" w:cs="宋体"/>
                <w:sz w:val="20"/>
                <w:szCs w:val="20"/>
              </w:rPr>
              <w:t xml:space="preserve"> </w:t>
            </w:r>
            <w:r>
              <w:rPr>
                <w:rFonts w:ascii="宋体" w:hAnsi="宋体" w:eastAsia="宋体" w:cs="宋体"/>
                <w:spacing w:val="2"/>
                <w:sz w:val="20"/>
                <w:szCs w:val="20"/>
              </w:rPr>
              <w:t>吸收分光</w:t>
            </w:r>
            <w:r>
              <w:rPr>
                <w:rFonts w:ascii="宋体" w:hAnsi="宋体" w:eastAsia="宋体" w:cs="宋体"/>
                <w:spacing w:val="1"/>
                <w:sz w:val="20"/>
                <w:szCs w:val="20"/>
              </w:rPr>
              <w:t xml:space="preserve">光度法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
                <w:sz w:val="20"/>
                <w:szCs w:val="20"/>
              </w:rPr>
              <w:t xml:space="preserve"> 17141- 1997</w:t>
            </w:r>
          </w:p>
        </w:tc>
        <w:tc>
          <w:tcPr>
            <w:tcW w:w="1680" w:type="dxa"/>
            <w:vAlign w:val="top"/>
          </w:tcPr>
          <w:p w14:paraId="2B3D84D5">
            <w:pPr>
              <w:spacing w:before="55" w:line="258" w:lineRule="auto"/>
              <w:ind w:left="334" w:right="103" w:hanging="219"/>
              <w:rPr>
                <w:rFonts w:ascii="Times New Roman" w:hAnsi="Times New Roman" w:eastAsia="Times New Roman" w:cs="Times New Roman"/>
                <w:sz w:val="20"/>
                <w:szCs w:val="20"/>
              </w:rPr>
            </w:pPr>
            <w:r>
              <w:rPr>
                <w:rFonts w:ascii="宋体" w:hAnsi="宋体" w:eastAsia="宋体" w:cs="宋体"/>
                <w:spacing w:val="8"/>
                <w:sz w:val="20"/>
                <w:szCs w:val="20"/>
              </w:rPr>
              <w:t>原子吸收分光</w:t>
            </w:r>
            <w:r>
              <w:rPr>
                <w:rFonts w:ascii="宋体" w:hAnsi="宋体" w:eastAsia="宋体" w:cs="宋体"/>
                <w:spacing w:val="7"/>
                <w:sz w:val="20"/>
                <w:szCs w:val="20"/>
              </w:rPr>
              <w:t>光</w:t>
            </w:r>
            <w:r>
              <w:rPr>
                <w:rFonts w:ascii="宋体" w:hAnsi="宋体" w:eastAsia="宋体" w:cs="宋体"/>
                <w:sz w:val="20"/>
                <w:szCs w:val="20"/>
              </w:rPr>
              <w:t xml:space="preserve"> </w:t>
            </w:r>
            <w:r>
              <w:rPr>
                <w:rFonts w:ascii="宋体" w:hAnsi="宋体" w:eastAsia="宋体" w:cs="宋体"/>
                <w:spacing w:val="-2"/>
                <w:sz w:val="20"/>
                <w:szCs w:val="20"/>
              </w:rPr>
              <w:t xml:space="preserve">度计 </w:t>
            </w:r>
            <w:r>
              <w:rPr>
                <w:rFonts w:ascii="Times New Roman" w:hAnsi="Times New Roman" w:eastAsia="Times New Roman" w:cs="Times New Roman"/>
                <w:spacing w:val="-1"/>
                <w:sz w:val="20"/>
                <w:szCs w:val="20"/>
              </w:rPr>
              <w:t>FX-02</w:t>
            </w:r>
          </w:p>
        </w:tc>
        <w:tc>
          <w:tcPr>
            <w:tcW w:w="1056" w:type="dxa"/>
            <w:tcBorders>
              <w:right w:val="nil"/>
            </w:tcBorders>
            <w:vAlign w:val="top"/>
          </w:tcPr>
          <w:p w14:paraId="61D48465">
            <w:pPr>
              <w:spacing w:before="173"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5C66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6" w:type="dxa"/>
            <w:tcBorders>
              <w:left w:val="nil"/>
            </w:tcBorders>
            <w:vAlign w:val="top"/>
          </w:tcPr>
          <w:p w14:paraId="514237EF">
            <w:pPr>
              <w:spacing w:line="346" w:lineRule="auto"/>
              <w:rPr>
                <w:rFonts w:ascii="Arial"/>
                <w:sz w:val="21"/>
              </w:rPr>
            </w:pPr>
          </w:p>
          <w:p w14:paraId="5EFDDDF9">
            <w:pPr>
              <w:spacing w:before="57" w:line="192"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50" w:type="dxa"/>
            <w:vAlign w:val="top"/>
          </w:tcPr>
          <w:p w14:paraId="79286A1A">
            <w:pPr>
              <w:spacing w:line="300" w:lineRule="auto"/>
              <w:rPr>
                <w:rFonts w:ascii="Arial"/>
                <w:sz w:val="21"/>
              </w:rPr>
            </w:pPr>
          </w:p>
          <w:p w14:paraId="146A99E8">
            <w:pPr>
              <w:spacing w:before="65" w:line="228" w:lineRule="auto"/>
              <w:ind w:left="726"/>
              <w:rPr>
                <w:rFonts w:ascii="宋体" w:hAnsi="宋体" w:eastAsia="宋体" w:cs="宋体"/>
                <w:sz w:val="20"/>
                <w:szCs w:val="20"/>
              </w:rPr>
            </w:pPr>
            <w:r>
              <w:rPr>
                <w:rFonts w:ascii="宋体" w:hAnsi="宋体" w:eastAsia="宋体" w:cs="宋体"/>
                <w:sz w:val="20"/>
                <w:szCs w:val="20"/>
              </w:rPr>
              <w:t>汞</w:t>
            </w:r>
          </w:p>
        </w:tc>
        <w:tc>
          <w:tcPr>
            <w:tcW w:w="3420" w:type="dxa"/>
            <w:vAlign w:val="top"/>
          </w:tcPr>
          <w:p w14:paraId="038AA061">
            <w:pPr>
              <w:spacing w:before="55" w:line="228" w:lineRule="auto"/>
              <w:ind w:left="29"/>
              <w:rPr>
                <w:rFonts w:ascii="宋体" w:hAnsi="宋体" w:eastAsia="宋体" w:cs="宋体"/>
                <w:sz w:val="20"/>
                <w:szCs w:val="20"/>
              </w:rPr>
            </w:pPr>
            <w:r>
              <w:rPr>
                <w:rFonts w:ascii="宋体" w:hAnsi="宋体" w:eastAsia="宋体" w:cs="宋体"/>
                <w:spacing w:val="-2"/>
                <w:sz w:val="20"/>
                <w:szCs w:val="20"/>
              </w:rPr>
              <w:t>土壤质量 总汞、总砷、总铅的测定</w:t>
            </w:r>
            <w:r>
              <w:rPr>
                <w:rFonts w:ascii="宋体" w:hAnsi="宋体" w:eastAsia="宋体" w:cs="宋体"/>
                <w:spacing w:val="-1"/>
                <w:sz w:val="20"/>
                <w:szCs w:val="20"/>
              </w:rPr>
              <w:t xml:space="preserve"> </w:t>
            </w:r>
            <w:r>
              <w:rPr>
                <w:rFonts w:ascii="宋体" w:hAnsi="宋体" w:eastAsia="宋体" w:cs="宋体"/>
                <w:sz w:val="20"/>
                <w:szCs w:val="20"/>
              </w:rPr>
              <w:t>原</w:t>
            </w:r>
          </w:p>
          <w:p w14:paraId="3AEF662B">
            <w:pPr>
              <w:spacing w:before="64" w:line="228" w:lineRule="auto"/>
              <w:ind w:left="29"/>
              <w:rPr>
                <w:rFonts w:ascii="宋体" w:hAnsi="宋体" w:eastAsia="宋体" w:cs="宋体"/>
                <w:sz w:val="20"/>
                <w:szCs w:val="20"/>
              </w:rPr>
            </w:pPr>
            <w:r>
              <w:rPr>
                <w:rFonts w:ascii="宋体" w:hAnsi="宋体" w:eastAsia="宋体" w:cs="宋体"/>
                <w:spacing w:val="6"/>
                <w:sz w:val="20"/>
                <w:szCs w:val="20"/>
              </w:rPr>
              <w:t>子荧</w:t>
            </w:r>
            <w:r>
              <w:rPr>
                <w:rFonts w:ascii="宋体" w:hAnsi="宋体" w:eastAsia="宋体" w:cs="宋体"/>
                <w:spacing w:val="3"/>
                <w:sz w:val="20"/>
                <w:szCs w:val="20"/>
              </w:rPr>
              <w:t xml:space="preserve">光法，第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部分：土壤中总汞的</w:t>
            </w:r>
          </w:p>
          <w:p w14:paraId="42A236EE">
            <w:pPr>
              <w:spacing w:before="27" w:line="281" w:lineRule="exact"/>
              <w:ind w:left="605"/>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测定 </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 xml:space="preserve"> 22105. 1-2008</w:t>
            </w:r>
          </w:p>
        </w:tc>
        <w:tc>
          <w:tcPr>
            <w:tcW w:w="1680" w:type="dxa"/>
            <w:vAlign w:val="top"/>
          </w:tcPr>
          <w:p w14:paraId="468EF1DF">
            <w:pPr>
              <w:spacing w:before="212" w:line="323" w:lineRule="auto"/>
              <w:ind w:left="568" w:right="103" w:hanging="453"/>
              <w:rPr>
                <w:rFonts w:ascii="Times New Roman" w:hAnsi="Times New Roman" w:eastAsia="Times New Roman" w:cs="Times New Roman"/>
                <w:sz w:val="20"/>
                <w:szCs w:val="20"/>
              </w:rPr>
            </w:pPr>
            <w:r>
              <w:rPr>
                <w:rFonts w:ascii="宋体" w:hAnsi="宋体" w:eastAsia="宋体" w:cs="宋体"/>
                <w:spacing w:val="8"/>
                <w:sz w:val="20"/>
                <w:szCs w:val="20"/>
              </w:rPr>
              <w:t>原子荧光光度</w:t>
            </w:r>
            <w:r>
              <w:rPr>
                <w:rFonts w:ascii="宋体" w:hAnsi="宋体" w:eastAsia="宋体" w:cs="宋体"/>
                <w:spacing w:val="7"/>
                <w:sz w:val="20"/>
                <w:szCs w:val="20"/>
              </w:rPr>
              <w:t>计</w:t>
            </w:r>
            <w:r>
              <w:rPr>
                <w:rFonts w:ascii="宋体" w:hAnsi="宋体" w:eastAsia="宋体" w:cs="宋体"/>
                <w:sz w:val="20"/>
                <w:szCs w:val="20"/>
              </w:rPr>
              <w:t xml:space="preserve"> </w:t>
            </w: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6"/>
                <w:sz w:val="20"/>
                <w:szCs w:val="20"/>
              </w:rPr>
              <w:t>3</w:t>
            </w:r>
          </w:p>
        </w:tc>
        <w:tc>
          <w:tcPr>
            <w:tcW w:w="1056" w:type="dxa"/>
            <w:tcBorders>
              <w:right w:val="nil"/>
            </w:tcBorders>
            <w:vAlign w:val="top"/>
          </w:tcPr>
          <w:p w14:paraId="2EB5DFDA">
            <w:pPr>
              <w:spacing w:line="270" w:lineRule="auto"/>
              <w:rPr>
                <w:rFonts w:ascii="Arial"/>
                <w:sz w:val="21"/>
              </w:rPr>
            </w:pPr>
          </w:p>
          <w:p w14:paraId="6167BC87">
            <w:pPr>
              <w:spacing w:before="57" w:line="282" w:lineRule="exact"/>
              <w:ind w:left="2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.002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r>
      <w:tr w14:paraId="48AB8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6" w:type="dxa"/>
            <w:tcBorders>
              <w:left w:val="nil"/>
            </w:tcBorders>
            <w:vAlign w:val="top"/>
          </w:tcPr>
          <w:p w14:paraId="76245616">
            <w:pPr>
              <w:spacing w:before="25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50" w:type="dxa"/>
            <w:vAlign w:val="top"/>
          </w:tcPr>
          <w:p w14:paraId="5CA72502">
            <w:pPr>
              <w:spacing w:before="214" w:line="228" w:lineRule="auto"/>
              <w:ind w:left="724"/>
              <w:rPr>
                <w:rFonts w:ascii="宋体" w:hAnsi="宋体" w:eastAsia="宋体" w:cs="宋体"/>
                <w:sz w:val="20"/>
                <w:szCs w:val="20"/>
              </w:rPr>
            </w:pPr>
            <w:r>
              <w:rPr>
                <w:rFonts w:ascii="宋体" w:hAnsi="宋体" w:eastAsia="宋体" w:cs="宋体"/>
                <w:spacing w:val="1"/>
                <w:sz w:val="20"/>
                <w:szCs w:val="20"/>
              </w:rPr>
              <w:t>镍</w:t>
            </w:r>
          </w:p>
        </w:tc>
        <w:tc>
          <w:tcPr>
            <w:tcW w:w="3420" w:type="dxa"/>
            <w:vAlign w:val="top"/>
          </w:tcPr>
          <w:p w14:paraId="7C25404F">
            <w:pPr>
              <w:spacing w:before="59" w:line="263" w:lineRule="auto"/>
              <w:ind w:left="682" w:right="29" w:hanging="646"/>
              <w:rPr>
                <w:rFonts w:ascii="Times New Roman" w:hAnsi="Times New Roman" w:eastAsia="Times New Roman" w:cs="Times New Roman"/>
                <w:sz w:val="20"/>
                <w:szCs w:val="20"/>
              </w:rPr>
            </w:pPr>
            <w:r>
              <w:rPr>
                <w:rFonts w:ascii="宋体" w:hAnsi="宋体" w:eastAsia="宋体" w:cs="宋体"/>
                <w:spacing w:val="16"/>
                <w:sz w:val="20"/>
                <w:szCs w:val="20"/>
              </w:rPr>
              <w:t>土</w:t>
            </w:r>
            <w:r>
              <w:rPr>
                <w:rFonts w:ascii="宋体" w:hAnsi="宋体" w:eastAsia="宋体" w:cs="宋体"/>
                <w:spacing w:val="12"/>
                <w:sz w:val="20"/>
                <w:szCs w:val="20"/>
              </w:rPr>
              <w:t>壤</w:t>
            </w:r>
            <w:r>
              <w:rPr>
                <w:rFonts w:ascii="宋体" w:hAnsi="宋体" w:eastAsia="宋体" w:cs="宋体"/>
                <w:spacing w:val="8"/>
                <w:sz w:val="20"/>
                <w:szCs w:val="20"/>
              </w:rPr>
              <w:t xml:space="preserve"> 镍的测定 火焰原子吸收分光光</w:t>
            </w:r>
            <w:r>
              <w:rPr>
                <w:rFonts w:ascii="宋体" w:hAnsi="宋体" w:eastAsia="宋体" w:cs="宋体"/>
                <w:sz w:val="20"/>
                <w:szCs w:val="20"/>
              </w:rPr>
              <w:t xml:space="preserve"> </w:t>
            </w:r>
            <w:r>
              <w:rPr>
                <w:rFonts w:ascii="宋体" w:hAnsi="宋体" w:eastAsia="宋体" w:cs="宋体"/>
                <w:spacing w:val="4"/>
                <w:sz w:val="20"/>
                <w:szCs w:val="20"/>
              </w:rPr>
              <w:t>度</w:t>
            </w:r>
            <w:r>
              <w:rPr>
                <w:rFonts w:ascii="宋体" w:hAnsi="宋体" w:eastAsia="宋体" w:cs="宋体"/>
                <w:spacing w:val="3"/>
                <w:sz w:val="20"/>
                <w:szCs w:val="20"/>
              </w:rPr>
              <w:t>法</w:t>
            </w:r>
            <w:r>
              <w:rPr>
                <w:rFonts w:ascii="宋体" w:hAnsi="宋体" w:eastAsia="宋体" w:cs="宋体"/>
                <w:spacing w:val="2"/>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2"/>
                <w:sz w:val="20"/>
                <w:szCs w:val="20"/>
              </w:rPr>
              <w:t xml:space="preserve"> 17139- 1997</w:t>
            </w:r>
          </w:p>
        </w:tc>
        <w:tc>
          <w:tcPr>
            <w:tcW w:w="1680" w:type="dxa"/>
            <w:vAlign w:val="top"/>
          </w:tcPr>
          <w:p w14:paraId="2EED3EFB">
            <w:pPr>
              <w:spacing w:before="58" w:line="258" w:lineRule="auto"/>
              <w:ind w:left="334" w:right="103" w:hanging="219"/>
              <w:rPr>
                <w:rFonts w:ascii="Times New Roman" w:hAnsi="Times New Roman" w:eastAsia="Times New Roman" w:cs="Times New Roman"/>
                <w:sz w:val="20"/>
                <w:szCs w:val="20"/>
              </w:rPr>
            </w:pPr>
            <w:r>
              <w:rPr>
                <w:rFonts w:ascii="宋体" w:hAnsi="宋体" w:eastAsia="宋体" w:cs="宋体"/>
                <w:spacing w:val="8"/>
                <w:sz w:val="20"/>
                <w:szCs w:val="20"/>
              </w:rPr>
              <w:t>原子吸收分光</w:t>
            </w:r>
            <w:r>
              <w:rPr>
                <w:rFonts w:ascii="宋体" w:hAnsi="宋体" w:eastAsia="宋体" w:cs="宋体"/>
                <w:spacing w:val="7"/>
                <w:sz w:val="20"/>
                <w:szCs w:val="20"/>
              </w:rPr>
              <w:t>光</w:t>
            </w:r>
            <w:r>
              <w:rPr>
                <w:rFonts w:ascii="宋体" w:hAnsi="宋体" w:eastAsia="宋体" w:cs="宋体"/>
                <w:sz w:val="20"/>
                <w:szCs w:val="20"/>
              </w:rPr>
              <w:t xml:space="preserve"> </w:t>
            </w:r>
            <w:r>
              <w:rPr>
                <w:rFonts w:ascii="宋体" w:hAnsi="宋体" w:eastAsia="宋体" w:cs="宋体"/>
                <w:spacing w:val="-2"/>
                <w:sz w:val="20"/>
                <w:szCs w:val="20"/>
              </w:rPr>
              <w:t xml:space="preserve">度计 </w:t>
            </w:r>
            <w:r>
              <w:rPr>
                <w:rFonts w:ascii="Times New Roman" w:hAnsi="Times New Roman" w:eastAsia="Times New Roman" w:cs="Times New Roman"/>
                <w:spacing w:val="-1"/>
                <w:sz w:val="20"/>
                <w:szCs w:val="20"/>
              </w:rPr>
              <w:t>FX-02</w:t>
            </w:r>
          </w:p>
        </w:tc>
        <w:tc>
          <w:tcPr>
            <w:tcW w:w="1056" w:type="dxa"/>
            <w:tcBorders>
              <w:right w:val="nil"/>
            </w:tcBorders>
            <w:vAlign w:val="top"/>
          </w:tcPr>
          <w:p w14:paraId="40A7C183">
            <w:pPr>
              <w:spacing w:before="176" w:line="281"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5</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9"/>
                <w:position w:val="4"/>
                <w:sz w:val="20"/>
                <w:szCs w:val="20"/>
              </w:rPr>
              <w:t>/</w:t>
            </w:r>
            <w:r>
              <w:rPr>
                <w:rFonts w:ascii="Times New Roman" w:hAnsi="Times New Roman" w:eastAsia="Times New Roman" w:cs="Times New Roman"/>
                <w:position w:val="4"/>
                <w:sz w:val="20"/>
                <w:szCs w:val="20"/>
              </w:rPr>
              <w:t>kg</w:t>
            </w:r>
          </w:p>
        </w:tc>
      </w:tr>
      <w:tr w14:paraId="3E403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6" w:type="dxa"/>
            <w:tcBorders>
              <w:left w:val="nil"/>
            </w:tcBorders>
            <w:vAlign w:val="top"/>
          </w:tcPr>
          <w:p w14:paraId="230D95CE">
            <w:pPr>
              <w:spacing w:before="249"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50" w:type="dxa"/>
            <w:vAlign w:val="top"/>
          </w:tcPr>
          <w:p w14:paraId="0A19D430">
            <w:pPr>
              <w:spacing w:before="214" w:line="233" w:lineRule="auto"/>
              <w:ind w:left="514"/>
              <w:rPr>
                <w:rFonts w:ascii="宋体" w:hAnsi="宋体" w:eastAsia="宋体" w:cs="宋体"/>
                <w:sz w:val="20"/>
                <w:szCs w:val="20"/>
              </w:rPr>
            </w:pPr>
            <w:r>
              <w:rPr>
                <w:rFonts w:ascii="宋体" w:hAnsi="宋体" w:eastAsia="宋体" w:cs="宋体"/>
                <w:spacing w:val="7"/>
                <w:sz w:val="20"/>
                <w:szCs w:val="20"/>
              </w:rPr>
              <w:t>全盐</w:t>
            </w:r>
            <w:r>
              <w:rPr>
                <w:rFonts w:ascii="宋体" w:hAnsi="宋体" w:eastAsia="宋体" w:cs="宋体"/>
                <w:spacing w:val="6"/>
                <w:sz w:val="20"/>
                <w:szCs w:val="20"/>
              </w:rPr>
              <w:t>量</w:t>
            </w:r>
          </w:p>
        </w:tc>
        <w:tc>
          <w:tcPr>
            <w:tcW w:w="3420" w:type="dxa"/>
            <w:vAlign w:val="top"/>
          </w:tcPr>
          <w:p w14:paraId="5D72F2C8">
            <w:pPr>
              <w:spacing w:before="20" w:line="281" w:lineRule="exact"/>
              <w:ind w:left="314"/>
              <w:rPr>
                <w:rFonts w:ascii="Times New Roman" w:hAnsi="Times New Roman" w:eastAsia="Times New Roman" w:cs="Times New Roman"/>
                <w:sz w:val="20"/>
                <w:szCs w:val="20"/>
              </w:rPr>
            </w:pPr>
            <w:r>
              <w:rPr>
                <w:rFonts w:ascii="宋体" w:hAnsi="宋体" w:eastAsia="宋体" w:cs="宋体"/>
                <w:spacing w:val="5"/>
                <w:position w:val="1"/>
                <w:sz w:val="20"/>
                <w:szCs w:val="20"/>
              </w:rPr>
              <w:t>森</w:t>
            </w:r>
            <w:r>
              <w:rPr>
                <w:rFonts w:ascii="宋体" w:hAnsi="宋体" w:eastAsia="宋体" w:cs="宋体"/>
                <w:spacing w:val="4"/>
                <w:position w:val="1"/>
                <w:sz w:val="20"/>
                <w:szCs w:val="20"/>
              </w:rPr>
              <w:t xml:space="preserve">林土壤水溶性盐分分析 </w:t>
            </w:r>
            <w:r>
              <w:rPr>
                <w:rFonts w:ascii="Times New Roman" w:hAnsi="Times New Roman" w:eastAsia="Times New Roman" w:cs="Times New Roman"/>
                <w:position w:val="1"/>
                <w:sz w:val="20"/>
                <w:szCs w:val="20"/>
              </w:rPr>
              <w:t>LY</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T</w:t>
            </w:r>
          </w:p>
          <w:p w14:paraId="511A24CA">
            <w:pPr>
              <w:spacing w:before="104" w:line="195" w:lineRule="auto"/>
              <w:ind w:left="12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251- 1999</w:t>
            </w:r>
          </w:p>
        </w:tc>
        <w:tc>
          <w:tcPr>
            <w:tcW w:w="1680" w:type="dxa"/>
            <w:vAlign w:val="top"/>
          </w:tcPr>
          <w:p w14:paraId="60ADAE08">
            <w:pPr>
              <w:spacing w:before="57" w:line="349" w:lineRule="exact"/>
              <w:ind w:left="449"/>
              <w:rPr>
                <w:rFonts w:ascii="宋体" w:hAnsi="宋体" w:eastAsia="宋体" w:cs="宋体"/>
                <w:sz w:val="20"/>
                <w:szCs w:val="20"/>
              </w:rPr>
            </w:pPr>
            <w:r>
              <w:rPr>
                <w:rFonts w:ascii="宋体" w:hAnsi="宋体" w:eastAsia="宋体" w:cs="宋体"/>
                <w:spacing w:val="2"/>
                <w:position w:val="10"/>
                <w:sz w:val="20"/>
                <w:szCs w:val="20"/>
              </w:rPr>
              <w:t>电</w:t>
            </w:r>
            <w:r>
              <w:rPr>
                <w:rFonts w:ascii="宋体" w:hAnsi="宋体" w:eastAsia="宋体" w:cs="宋体"/>
                <w:spacing w:val="1"/>
                <w:position w:val="10"/>
                <w:sz w:val="20"/>
                <w:szCs w:val="20"/>
              </w:rPr>
              <w:t>子天平</w:t>
            </w:r>
          </w:p>
          <w:p w14:paraId="3C3E06B8">
            <w:pPr>
              <w:spacing w:line="194"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6"/>
                <w:sz w:val="20"/>
                <w:szCs w:val="20"/>
              </w:rPr>
              <w:t>7</w:t>
            </w:r>
          </w:p>
        </w:tc>
        <w:tc>
          <w:tcPr>
            <w:tcW w:w="1056" w:type="dxa"/>
            <w:tcBorders>
              <w:right w:val="nil"/>
            </w:tcBorders>
            <w:vAlign w:val="top"/>
          </w:tcPr>
          <w:p w14:paraId="1AD5811D">
            <w:pPr>
              <w:spacing w:before="176" w:line="281"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39AE1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33F95F80">
            <w:pPr>
              <w:spacing w:before="9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650" w:type="dxa"/>
            <w:vAlign w:val="top"/>
          </w:tcPr>
          <w:p w14:paraId="070E298A">
            <w:pPr>
              <w:spacing w:before="57" w:line="228" w:lineRule="auto"/>
              <w:ind w:left="43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3420" w:type="dxa"/>
            <w:vMerge w:val="restart"/>
            <w:tcBorders>
              <w:bottom w:val="nil"/>
            </w:tcBorders>
            <w:vAlign w:val="top"/>
          </w:tcPr>
          <w:p w14:paraId="02959306">
            <w:pPr>
              <w:spacing w:line="267" w:lineRule="auto"/>
              <w:rPr>
                <w:rFonts w:ascii="Arial"/>
                <w:sz w:val="21"/>
              </w:rPr>
            </w:pPr>
          </w:p>
          <w:p w14:paraId="02911CA4">
            <w:pPr>
              <w:spacing w:line="268" w:lineRule="auto"/>
              <w:rPr>
                <w:rFonts w:ascii="Arial"/>
                <w:sz w:val="21"/>
              </w:rPr>
            </w:pPr>
          </w:p>
          <w:p w14:paraId="6D82332B">
            <w:pPr>
              <w:spacing w:line="268" w:lineRule="auto"/>
              <w:rPr>
                <w:rFonts w:ascii="Arial"/>
                <w:sz w:val="21"/>
              </w:rPr>
            </w:pPr>
          </w:p>
          <w:p w14:paraId="2C96B89A">
            <w:pPr>
              <w:spacing w:before="65" w:line="301" w:lineRule="auto"/>
              <w:ind w:left="365" w:right="82" w:hanging="276"/>
              <w:rPr>
                <w:rFonts w:ascii="Times New Roman" w:hAnsi="Times New Roman" w:eastAsia="Times New Roman" w:cs="Times New Roman"/>
                <w:sz w:val="20"/>
                <w:szCs w:val="20"/>
              </w:rPr>
            </w:pPr>
            <w:r>
              <w:rPr>
                <w:rFonts w:ascii="宋体" w:hAnsi="宋体" w:eastAsia="宋体" w:cs="宋体"/>
                <w:spacing w:val="9"/>
                <w:sz w:val="20"/>
                <w:szCs w:val="20"/>
              </w:rPr>
              <w:t>土壤和沉积物 挥发性有机物的测</w:t>
            </w:r>
            <w:r>
              <w:rPr>
                <w:rFonts w:ascii="宋体" w:hAnsi="宋体" w:eastAsia="宋体" w:cs="宋体"/>
                <w:spacing w:val="8"/>
                <w:sz w:val="20"/>
                <w:szCs w:val="20"/>
              </w:rPr>
              <w:t>定</w:t>
            </w:r>
            <w:r>
              <w:rPr>
                <w:rFonts w:ascii="宋体" w:hAnsi="宋体" w:eastAsia="宋体" w:cs="宋体"/>
                <w:sz w:val="20"/>
                <w:szCs w:val="20"/>
              </w:rPr>
              <w:t xml:space="preserve"> </w:t>
            </w:r>
            <w:r>
              <w:rPr>
                <w:rFonts w:ascii="宋体" w:hAnsi="宋体" w:eastAsia="宋体" w:cs="宋体"/>
                <w:spacing w:val="6"/>
                <w:sz w:val="20"/>
                <w:szCs w:val="20"/>
              </w:rPr>
              <w:t>吹</w:t>
            </w:r>
            <w:r>
              <w:rPr>
                <w:rFonts w:ascii="宋体" w:hAnsi="宋体" w:eastAsia="宋体" w:cs="宋体"/>
                <w:spacing w:val="4"/>
                <w:sz w:val="20"/>
                <w:szCs w:val="20"/>
              </w:rPr>
              <w:t>扫捕集</w:t>
            </w:r>
            <w:r>
              <w:rPr>
                <w:rFonts w:ascii="Times New Roman" w:hAnsi="Times New Roman" w:eastAsia="Times New Roman" w:cs="Times New Roman"/>
                <w:spacing w:val="4"/>
                <w:sz w:val="20"/>
                <w:szCs w:val="20"/>
              </w:rPr>
              <w:t>/</w:t>
            </w:r>
            <w:r>
              <w:rPr>
                <w:rFonts w:ascii="宋体" w:hAnsi="宋体" w:eastAsia="宋体" w:cs="宋体"/>
                <w:spacing w:val="4"/>
                <w:sz w:val="20"/>
                <w:szCs w:val="20"/>
              </w:rPr>
              <w:t>气相色谱</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质谱法 </w:t>
            </w:r>
            <w:r>
              <w:rPr>
                <w:rFonts w:ascii="Times New Roman" w:hAnsi="Times New Roman" w:eastAsia="Times New Roman" w:cs="Times New Roman"/>
                <w:sz w:val="20"/>
                <w:szCs w:val="20"/>
              </w:rPr>
              <w:t>HJ</w:t>
            </w:r>
          </w:p>
          <w:p w14:paraId="093DC4CE">
            <w:pPr>
              <w:spacing w:before="7" w:line="195" w:lineRule="auto"/>
              <w:ind w:left="1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605-2011</w:t>
            </w:r>
          </w:p>
        </w:tc>
        <w:tc>
          <w:tcPr>
            <w:tcW w:w="1680" w:type="dxa"/>
            <w:vMerge w:val="restart"/>
            <w:tcBorders>
              <w:bottom w:val="nil"/>
            </w:tcBorders>
            <w:vAlign w:val="top"/>
          </w:tcPr>
          <w:p w14:paraId="3BB3F946">
            <w:pPr>
              <w:spacing w:line="319" w:lineRule="auto"/>
              <w:rPr>
                <w:rFonts w:ascii="Arial"/>
                <w:sz w:val="21"/>
              </w:rPr>
            </w:pPr>
          </w:p>
          <w:p w14:paraId="709AE8B4">
            <w:pPr>
              <w:spacing w:line="319" w:lineRule="auto"/>
              <w:rPr>
                <w:rFonts w:ascii="Arial"/>
                <w:sz w:val="21"/>
              </w:rPr>
            </w:pPr>
          </w:p>
          <w:p w14:paraId="2DBB7AC0">
            <w:pPr>
              <w:spacing w:line="319" w:lineRule="auto"/>
              <w:rPr>
                <w:rFonts w:ascii="Arial"/>
                <w:sz w:val="21"/>
              </w:rPr>
            </w:pPr>
          </w:p>
          <w:p w14:paraId="57436937">
            <w:pPr>
              <w:spacing w:before="65" w:line="301" w:lineRule="auto"/>
              <w:ind w:left="337" w:right="103" w:hanging="226"/>
              <w:rPr>
                <w:rFonts w:ascii="Times New Roman" w:hAnsi="Times New Roman" w:eastAsia="Times New Roman" w:cs="Times New Roman"/>
                <w:sz w:val="20"/>
                <w:szCs w:val="20"/>
              </w:rPr>
            </w:pPr>
            <w:r>
              <w:rPr>
                <w:rFonts w:ascii="宋体" w:hAnsi="宋体" w:eastAsia="宋体" w:cs="宋体"/>
                <w:spacing w:val="11"/>
                <w:sz w:val="20"/>
                <w:szCs w:val="20"/>
              </w:rPr>
              <w:t>气</w:t>
            </w:r>
            <w:r>
              <w:rPr>
                <w:rFonts w:ascii="宋体" w:hAnsi="宋体" w:eastAsia="宋体" w:cs="宋体"/>
                <w:spacing w:val="8"/>
                <w:sz w:val="20"/>
                <w:szCs w:val="20"/>
              </w:rPr>
              <w:t>相色谱质谱联</w:t>
            </w:r>
            <w:r>
              <w:rPr>
                <w:rFonts w:ascii="宋体" w:hAnsi="宋体" w:eastAsia="宋体" w:cs="宋体"/>
                <w:sz w:val="20"/>
                <w:szCs w:val="20"/>
              </w:rPr>
              <w:t xml:space="preserve"> </w:t>
            </w:r>
            <w:r>
              <w:rPr>
                <w:rFonts w:ascii="宋体" w:hAnsi="宋体" w:eastAsia="宋体" w:cs="宋体"/>
                <w:spacing w:val="-2"/>
                <w:sz w:val="20"/>
                <w:szCs w:val="20"/>
              </w:rPr>
              <w:t xml:space="preserve">用仪 </w:t>
            </w:r>
            <w:r>
              <w:rPr>
                <w:rFonts w:ascii="Times New Roman" w:hAnsi="Times New Roman" w:eastAsia="Times New Roman" w:cs="Times New Roman"/>
                <w:spacing w:val="-1"/>
                <w:sz w:val="20"/>
                <w:szCs w:val="20"/>
              </w:rPr>
              <w:t>FX</w:t>
            </w:r>
            <w:r>
              <w:rPr>
                <w:rFonts w:ascii="Times New Roman" w:hAnsi="Times New Roman" w:eastAsia="Times New Roman" w:cs="Times New Roman"/>
                <w:spacing w:val="-2"/>
                <w:sz w:val="20"/>
                <w:szCs w:val="20"/>
              </w:rPr>
              <w:t>-29</w:t>
            </w:r>
          </w:p>
        </w:tc>
        <w:tc>
          <w:tcPr>
            <w:tcW w:w="1056" w:type="dxa"/>
            <w:tcBorders>
              <w:right w:val="nil"/>
            </w:tcBorders>
            <w:vAlign w:val="top"/>
          </w:tcPr>
          <w:p w14:paraId="4D15ACBC">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1FF3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5B5CFDD3">
            <w:pPr>
              <w:spacing w:before="9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650" w:type="dxa"/>
            <w:vAlign w:val="top"/>
          </w:tcPr>
          <w:p w14:paraId="5F5D1C44">
            <w:pPr>
              <w:spacing w:before="57" w:line="228" w:lineRule="auto"/>
              <w:ind w:left="623"/>
              <w:rPr>
                <w:rFonts w:ascii="宋体" w:hAnsi="宋体" w:eastAsia="宋体" w:cs="宋体"/>
                <w:sz w:val="20"/>
                <w:szCs w:val="20"/>
              </w:rPr>
            </w:pPr>
            <w:r>
              <w:rPr>
                <w:rFonts w:ascii="宋体" w:hAnsi="宋体" w:eastAsia="宋体" w:cs="宋体"/>
                <w:spacing w:val="3"/>
                <w:sz w:val="20"/>
                <w:szCs w:val="20"/>
              </w:rPr>
              <w:t>氯仿</w:t>
            </w:r>
          </w:p>
        </w:tc>
        <w:tc>
          <w:tcPr>
            <w:tcW w:w="3420" w:type="dxa"/>
            <w:vMerge w:val="continue"/>
            <w:tcBorders>
              <w:top w:val="nil"/>
              <w:bottom w:val="nil"/>
            </w:tcBorders>
            <w:vAlign w:val="top"/>
          </w:tcPr>
          <w:p w14:paraId="3D4E25BD">
            <w:pPr>
              <w:rPr>
                <w:rFonts w:ascii="Arial"/>
                <w:sz w:val="21"/>
              </w:rPr>
            </w:pPr>
          </w:p>
        </w:tc>
        <w:tc>
          <w:tcPr>
            <w:tcW w:w="1680" w:type="dxa"/>
            <w:vMerge w:val="continue"/>
            <w:tcBorders>
              <w:top w:val="nil"/>
              <w:bottom w:val="nil"/>
            </w:tcBorders>
            <w:vAlign w:val="top"/>
          </w:tcPr>
          <w:p w14:paraId="072EAAC5">
            <w:pPr>
              <w:rPr>
                <w:rFonts w:ascii="Arial"/>
                <w:sz w:val="21"/>
              </w:rPr>
            </w:pPr>
          </w:p>
        </w:tc>
        <w:tc>
          <w:tcPr>
            <w:tcW w:w="1056" w:type="dxa"/>
            <w:tcBorders>
              <w:right w:val="nil"/>
            </w:tcBorders>
            <w:vAlign w:val="top"/>
          </w:tcPr>
          <w:p w14:paraId="705497B8">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1</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spacing w:val="-4"/>
                <w:position w:val="4"/>
                <w:sz w:val="20"/>
                <w:szCs w:val="20"/>
              </w:rPr>
              <w:t xml:space="preserve"> 1μg/kg</w:t>
            </w:r>
          </w:p>
        </w:tc>
      </w:tr>
      <w:tr w14:paraId="7E868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70A0EF2D">
            <w:pPr>
              <w:spacing w:before="9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650" w:type="dxa"/>
            <w:vAlign w:val="top"/>
          </w:tcPr>
          <w:p w14:paraId="5BF32E0B">
            <w:pPr>
              <w:spacing w:before="57" w:line="228" w:lineRule="auto"/>
              <w:ind w:left="517"/>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3420" w:type="dxa"/>
            <w:vMerge w:val="continue"/>
            <w:tcBorders>
              <w:top w:val="nil"/>
              <w:bottom w:val="nil"/>
            </w:tcBorders>
            <w:vAlign w:val="top"/>
          </w:tcPr>
          <w:p w14:paraId="2BAB557D">
            <w:pPr>
              <w:rPr>
                <w:rFonts w:ascii="Arial"/>
                <w:sz w:val="21"/>
              </w:rPr>
            </w:pPr>
          </w:p>
        </w:tc>
        <w:tc>
          <w:tcPr>
            <w:tcW w:w="1680" w:type="dxa"/>
            <w:vMerge w:val="continue"/>
            <w:tcBorders>
              <w:top w:val="nil"/>
              <w:bottom w:val="nil"/>
            </w:tcBorders>
            <w:vAlign w:val="top"/>
          </w:tcPr>
          <w:p w14:paraId="018BC6E9">
            <w:pPr>
              <w:rPr>
                <w:rFonts w:ascii="Arial"/>
                <w:sz w:val="21"/>
              </w:rPr>
            </w:pPr>
          </w:p>
        </w:tc>
        <w:tc>
          <w:tcPr>
            <w:tcW w:w="1056" w:type="dxa"/>
            <w:tcBorders>
              <w:right w:val="nil"/>
            </w:tcBorders>
            <w:vAlign w:val="top"/>
          </w:tcPr>
          <w:p w14:paraId="59FBEE04">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6C104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34E6DA4A">
            <w:pPr>
              <w:spacing w:before="9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650" w:type="dxa"/>
            <w:vAlign w:val="top"/>
          </w:tcPr>
          <w:p w14:paraId="6A3F3B51">
            <w:pPr>
              <w:spacing w:before="56" w:line="233" w:lineRule="auto"/>
              <w:ind w:left="259"/>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二氯乙烷</w:t>
            </w:r>
          </w:p>
        </w:tc>
        <w:tc>
          <w:tcPr>
            <w:tcW w:w="3420" w:type="dxa"/>
            <w:vMerge w:val="continue"/>
            <w:tcBorders>
              <w:top w:val="nil"/>
              <w:bottom w:val="nil"/>
            </w:tcBorders>
            <w:vAlign w:val="top"/>
          </w:tcPr>
          <w:p w14:paraId="05D7B705">
            <w:pPr>
              <w:rPr>
                <w:rFonts w:ascii="Arial"/>
                <w:sz w:val="21"/>
              </w:rPr>
            </w:pPr>
          </w:p>
        </w:tc>
        <w:tc>
          <w:tcPr>
            <w:tcW w:w="1680" w:type="dxa"/>
            <w:vMerge w:val="continue"/>
            <w:tcBorders>
              <w:top w:val="nil"/>
              <w:bottom w:val="nil"/>
            </w:tcBorders>
            <w:vAlign w:val="top"/>
          </w:tcPr>
          <w:p w14:paraId="50AFC256">
            <w:pPr>
              <w:rPr>
                <w:rFonts w:ascii="Arial"/>
                <w:sz w:val="21"/>
              </w:rPr>
            </w:pPr>
          </w:p>
        </w:tc>
        <w:tc>
          <w:tcPr>
            <w:tcW w:w="1056" w:type="dxa"/>
            <w:tcBorders>
              <w:right w:val="nil"/>
            </w:tcBorders>
            <w:vAlign w:val="top"/>
          </w:tcPr>
          <w:p w14:paraId="7A18192D">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7297C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06BC4020">
            <w:pPr>
              <w:spacing w:before="9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650" w:type="dxa"/>
            <w:vAlign w:val="top"/>
          </w:tcPr>
          <w:p w14:paraId="72167A98">
            <w:pPr>
              <w:spacing w:before="58" w:line="233" w:lineRule="auto"/>
              <w:ind w:left="259"/>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二氯乙烷</w:t>
            </w:r>
          </w:p>
        </w:tc>
        <w:tc>
          <w:tcPr>
            <w:tcW w:w="3420" w:type="dxa"/>
            <w:vMerge w:val="continue"/>
            <w:tcBorders>
              <w:top w:val="nil"/>
              <w:bottom w:val="nil"/>
            </w:tcBorders>
            <w:vAlign w:val="top"/>
          </w:tcPr>
          <w:p w14:paraId="29F43DA0">
            <w:pPr>
              <w:rPr>
                <w:rFonts w:ascii="Arial"/>
                <w:sz w:val="21"/>
              </w:rPr>
            </w:pPr>
          </w:p>
        </w:tc>
        <w:tc>
          <w:tcPr>
            <w:tcW w:w="1680" w:type="dxa"/>
            <w:vMerge w:val="continue"/>
            <w:tcBorders>
              <w:top w:val="nil"/>
              <w:bottom w:val="nil"/>
            </w:tcBorders>
            <w:vAlign w:val="top"/>
          </w:tcPr>
          <w:p w14:paraId="57A675F6">
            <w:pPr>
              <w:rPr>
                <w:rFonts w:ascii="Arial"/>
                <w:sz w:val="21"/>
              </w:rPr>
            </w:pPr>
          </w:p>
        </w:tc>
        <w:tc>
          <w:tcPr>
            <w:tcW w:w="1056" w:type="dxa"/>
            <w:tcBorders>
              <w:right w:val="nil"/>
            </w:tcBorders>
            <w:vAlign w:val="top"/>
          </w:tcPr>
          <w:p w14:paraId="007F3B29">
            <w:pPr>
              <w:spacing w:before="20"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261B5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6A9188FE">
            <w:pPr>
              <w:spacing w:before="9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650" w:type="dxa"/>
            <w:vAlign w:val="top"/>
          </w:tcPr>
          <w:p w14:paraId="41ACDBF5">
            <w:pPr>
              <w:spacing w:before="57" w:line="233" w:lineRule="auto"/>
              <w:ind w:left="259"/>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二氯乙烯</w:t>
            </w:r>
          </w:p>
        </w:tc>
        <w:tc>
          <w:tcPr>
            <w:tcW w:w="3420" w:type="dxa"/>
            <w:vMerge w:val="continue"/>
            <w:tcBorders>
              <w:top w:val="nil"/>
              <w:bottom w:val="nil"/>
            </w:tcBorders>
            <w:vAlign w:val="top"/>
          </w:tcPr>
          <w:p w14:paraId="42A96ACB">
            <w:pPr>
              <w:rPr>
                <w:rFonts w:ascii="Arial"/>
                <w:sz w:val="21"/>
              </w:rPr>
            </w:pPr>
          </w:p>
        </w:tc>
        <w:tc>
          <w:tcPr>
            <w:tcW w:w="1680" w:type="dxa"/>
            <w:vMerge w:val="continue"/>
            <w:tcBorders>
              <w:top w:val="nil"/>
              <w:bottom w:val="nil"/>
            </w:tcBorders>
            <w:vAlign w:val="top"/>
          </w:tcPr>
          <w:p w14:paraId="7836CD0E">
            <w:pPr>
              <w:rPr>
                <w:rFonts w:ascii="Arial"/>
                <w:sz w:val="21"/>
              </w:rPr>
            </w:pPr>
          </w:p>
        </w:tc>
        <w:tc>
          <w:tcPr>
            <w:tcW w:w="1056" w:type="dxa"/>
            <w:tcBorders>
              <w:right w:val="nil"/>
            </w:tcBorders>
            <w:vAlign w:val="top"/>
          </w:tcPr>
          <w:p w14:paraId="7411F792">
            <w:pPr>
              <w:spacing w:before="20"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7D14B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369D6BDE">
            <w:pPr>
              <w:spacing w:before="9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650" w:type="dxa"/>
            <w:vAlign w:val="top"/>
          </w:tcPr>
          <w:p w14:paraId="1050961A">
            <w:pPr>
              <w:spacing w:before="57" w:line="233" w:lineRule="auto"/>
              <w:ind w:left="107"/>
              <w:rPr>
                <w:rFonts w:ascii="宋体" w:hAnsi="宋体" w:eastAsia="宋体" w:cs="宋体"/>
                <w:sz w:val="20"/>
                <w:szCs w:val="20"/>
              </w:rPr>
            </w:pPr>
            <w:r>
              <w:rPr>
                <w:rFonts w:ascii="宋体" w:hAnsi="宋体" w:eastAsia="宋体" w:cs="宋体"/>
                <w:spacing w:val="1"/>
                <w:sz w:val="20"/>
                <w:szCs w:val="20"/>
              </w:rPr>
              <w:t>顺</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3420" w:type="dxa"/>
            <w:vMerge w:val="continue"/>
            <w:tcBorders>
              <w:top w:val="nil"/>
              <w:bottom w:val="nil"/>
            </w:tcBorders>
            <w:vAlign w:val="top"/>
          </w:tcPr>
          <w:p w14:paraId="288FF2AE">
            <w:pPr>
              <w:rPr>
                <w:rFonts w:ascii="Arial"/>
                <w:sz w:val="21"/>
              </w:rPr>
            </w:pPr>
          </w:p>
        </w:tc>
        <w:tc>
          <w:tcPr>
            <w:tcW w:w="1680" w:type="dxa"/>
            <w:vMerge w:val="continue"/>
            <w:tcBorders>
              <w:top w:val="nil"/>
              <w:bottom w:val="nil"/>
            </w:tcBorders>
            <w:vAlign w:val="top"/>
          </w:tcPr>
          <w:p w14:paraId="2F118B8D">
            <w:pPr>
              <w:rPr>
                <w:rFonts w:ascii="Arial"/>
                <w:sz w:val="21"/>
              </w:rPr>
            </w:pPr>
          </w:p>
        </w:tc>
        <w:tc>
          <w:tcPr>
            <w:tcW w:w="1056" w:type="dxa"/>
            <w:tcBorders>
              <w:right w:val="nil"/>
            </w:tcBorders>
            <w:vAlign w:val="top"/>
          </w:tcPr>
          <w:p w14:paraId="065C4D10">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7711E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46" w:type="dxa"/>
            <w:tcBorders>
              <w:left w:val="nil"/>
            </w:tcBorders>
            <w:vAlign w:val="top"/>
          </w:tcPr>
          <w:p w14:paraId="5BD214FE">
            <w:pPr>
              <w:spacing w:before="9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650" w:type="dxa"/>
            <w:vAlign w:val="top"/>
          </w:tcPr>
          <w:p w14:paraId="6742F14F">
            <w:pPr>
              <w:spacing w:before="56" w:line="233" w:lineRule="auto"/>
              <w:ind w:left="107"/>
              <w:rPr>
                <w:rFonts w:ascii="宋体" w:hAnsi="宋体" w:eastAsia="宋体" w:cs="宋体"/>
                <w:sz w:val="20"/>
                <w:szCs w:val="20"/>
              </w:rPr>
            </w:pPr>
            <w:r>
              <w:rPr>
                <w:rFonts w:ascii="宋体" w:hAnsi="宋体" w:eastAsia="宋体" w:cs="宋体"/>
                <w:spacing w:val="1"/>
                <w:sz w:val="20"/>
                <w:szCs w:val="20"/>
              </w:rPr>
              <w:t>反</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3420" w:type="dxa"/>
            <w:vMerge w:val="continue"/>
            <w:tcBorders>
              <w:top w:val="nil"/>
            </w:tcBorders>
            <w:vAlign w:val="top"/>
          </w:tcPr>
          <w:p w14:paraId="726F1C6B">
            <w:pPr>
              <w:rPr>
                <w:rFonts w:ascii="Arial"/>
                <w:sz w:val="21"/>
              </w:rPr>
            </w:pPr>
          </w:p>
        </w:tc>
        <w:tc>
          <w:tcPr>
            <w:tcW w:w="1680" w:type="dxa"/>
            <w:vMerge w:val="continue"/>
            <w:tcBorders>
              <w:top w:val="nil"/>
            </w:tcBorders>
            <w:vAlign w:val="top"/>
          </w:tcPr>
          <w:p w14:paraId="1CDBA8B0">
            <w:pPr>
              <w:rPr>
                <w:rFonts w:ascii="Arial"/>
                <w:sz w:val="21"/>
              </w:rPr>
            </w:pPr>
          </w:p>
        </w:tc>
        <w:tc>
          <w:tcPr>
            <w:tcW w:w="1056" w:type="dxa"/>
            <w:tcBorders>
              <w:right w:val="nil"/>
            </w:tcBorders>
            <w:vAlign w:val="top"/>
          </w:tcPr>
          <w:p w14:paraId="2FAEFED9">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bl>
    <w:p w14:paraId="24DBE359">
      <w:pPr>
        <w:rPr>
          <w:rFonts w:ascii="Arial"/>
          <w:sz w:val="21"/>
        </w:rPr>
      </w:pPr>
    </w:p>
    <w:p w14:paraId="19227020">
      <w:pPr>
        <w:sectPr>
          <w:headerReference r:id="rId180" w:type="default"/>
          <w:footerReference r:id="rId181" w:type="default"/>
          <w:pgSz w:w="11906" w:h="16839"/>
          <w:pgMar w:top="1132" w:right="1776" w:bottom="1182" w:left="1776" w:header="878" w:footer="1022" w:gutter="0"/>
          <w:cols w:space="720" w:num="1"/>
        </w:sectPr>
      </w:pPr>
    </w:p>
    <w:p w14:paraId="03E2006D">
      <w:r>
        <w:pict>
          <v:rect id="_x0000_s1227" o:spid="_x0000_s1227" o:spt="1" style="position:absolute;left:0pt;margin-left:90pt;margin-top:57.35pt;height:0.75pt;width:415.3pt;mso-position-horizontal-relative:page;mso-position-vertical-relative:page;z-index:251879424;mso-width-relative:page;mso-height-relative:page;" fillcolor="#000000" filled="t" stroked="f" coordsize="21600,21600" o:allowincell="f">
            <v:path/>
            <v:fill on="t" focussize="0,0"/>
            <v:stroke on="f"/>
            <v:imagedata o:title=""/>
            <o:lock v:ext="edit"/>
          </v:rect>
        </w:pict>
      </w:r>
    </w:p>
    <w:p w14:paraId="01733785">
      <w:pPr>
        <w:spacing w:line="65"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6"/>
        <w:gridCol w:w="1650"/>
        <w:gridCol w:w="3420"/>
        <w:gridCol w:w="1680"/>
        <w:gridCol w:w="1056"/>
      </w:tblGrid>
      <w:tr w14:paraId="56C82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46" w:type="dxa"/>
            <w:tcBorders>
              <w:left w:val="nil"/>
            </w:tcBorders>
            <w:vAlign w:val="top"/>
          </w:tcPr>
          <w:p w14:paraId="50F1CC3C">
            <w:pPr>
              <w:spacing w:before="111"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650" w:type="dxa"/>
            <w:vAlign w:val="top"/>
          </w:tcPr>
          <w:p w14:paraId="642B04F1">
            <w:pPr>
              <w:spacing w:before="76" w:line="228" w:lineRule="auto"/>
              <w:ind w:left="414"/>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3420" w:type="dxa"/>
            <w:vMerge w:val="restart"/>
            <w:tcBorders>
              <w:bottom w:val="nil"/>
            </w:tcBorders>
            <w:vAlign w:val="top"/>
          </w:tcPr>
          <w:p w14:paraId="766083A6">
            <w:pPr>
              <w:rPr>
                <w:rFonts w:ascii="Arial"/>
                <w:sz w:val="21"/>
              </w:rPr>
            </w:pPr>
          </w:p>
        </w:tc>
        <w:tc>
          <w:tcPr>
            <w:tcW w:w="1680" w:type="dxa"/>
            <w:vMerge w:val="restart"/>
            <w:tcBorders>
              <w:bottom w:val="nil"/>
            </w:tcBorders>
            <w:vAlign w:val="top"/>
          </w:tcPr>
          <w:p w14:paraId="2A0243A7">
            <w:pPr>
              <w:rPr>
                <w:rFonts w:ascii="Arial"/>
                <w:sz w:val="21"/>
              </w:rPr>
            </w:pPr>
          </w:p>
        </w:tc>
        <w:tc>
          <w:tcPr>
            <w:tcW w:w="1056" w:type="dxa"/>
            <w:tcBorders>
              <w:right w:val="nil"/>
            </w:tcBorders>
            <w:vAlign w:val="top"/>
          </w:tcPr>
          <w:p w14:paraId="413C332B">
            <w:pPr>
              <w:spacing w:before="3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1.5</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59C62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5F0006C2">
            <w:pPr>
              <w:spacing w:before="8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650" w:type="dxa"/>
            <w:vAlign w:val="top"/>
          </w:tcPr>
          <w:p w14:paraId="114B39AB">
            <w:pPr>
              <w:spacing w:before="51" w:line="233" w:lineRule="auto"/>
              <w:ind w:left="259"/>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二氯丙烷</w:t>
            </w:r>
          </w:p>
        </w:tc>
        <w:tc>
          <w:tcPr>
            <w:tcW w:w="3420" w:type="dxa"/>
            <w:vMerge w:val="continue"/>
            <w:tcBorders>
              <w:top w:val="nil"/>
              <w:bottom w:val="nil"/>
            </w:tcBorders>
            <w:vAlign w:val="top"/>
          </w:tcPr>
          <w:p w14:paraId="36E24318">
            <w:pPr>
              <w:rPr>
                <w:rFonts w:ascii="Arial"/>
                <w:sz w:val="21"/>
              </w:rPr>
            </w:pPr>
          </w:p>
        </w:tc>
        <w:tc>
          <w:tcPr>
            <w:tcW w:w="1680" w:type="dxa"/>
            <w:vMerge w:val="continue"/>
            <w:tcBorders>
              <w:top w:val="nil"/>
              <w:bottom w:val="nil"/>
            </w:tcBorders>
            <w:vAlign w:val="top"/>
          </w:tcPr>
          <w:p w14:paraId="089F7BDF">
            <w:pPr>
              <w:rPr>
                <w:rFonts w:ascii="Arial"/>
                <w:sz w:val="21"/>
              </w:rPr>
            </w:pPr>
          </w:p>
        </w:tc>
        <w:tc>
          <w:tcPr>
            <w:tcW w:w="1056" w:type="dxa"/>
            <w:tcBorders>
              <w:right w:val="nil"/>
            </w:tcBorders>
            <w:vAlign w:val="top"/>
          </w:tcPr>
          <w:p w14:paraId="6D9BCF4F">
            <w:pPr>
              <w:spacing w:before="13"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1</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spacing w:val="-4"/>
                <w:position w:val="4"/>
                <w:sz w:val="20"/>
                <w:szCs w:val="20"/>
              </w:rPr>
              <w:t xml:space="preserve"> 1μg/kg</w:t>
            </w:r>
          </w:p>
        </w:tc>
      </w:tr>
      <w:tr w14:paraId="54982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59EAB850">
            <w:pPr>
              <w:spacing w:before="8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650" w:type="dxa"/>
            <w:vAlign w:val="top"/>
          </w:tcPr>
          <w:p w14:paraId="0A13D00F">
            <w:pPr>
              <w:spacing w:before="52" w:line="221" w:lineRule="auto"/>
              <w:ind w:left="103"/>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 xml:space="preserve">, 1, 1,2- </w:t>
            </w:r>
            <w:r>
              <w:rPr>
                <w:rFonts w:ascii="宋体" w:hAnsi="宋体" w:eastAsia="宋体" w:cs="宋体"/>
                <w:spacing w:val="-7"/>
                <w:sz w:val="20"/>
                <w:szCs w:val="20"/>
              </w:rPr>
              <w:t>四氯乙烷</w:t>
            </w:r>
          </w:p>
        </w:tc>
        <w:tc>
          <w:tcPr>
            <w:tcW w:w="3420" w:type="dxa"/>
            <w:vMerge w:val="continue"/>
            <w:tcBorders>
              <w:top w:val="nil"/>
              <w:bottom w:val="nil"/>
            </w:tcBorders>
            <w:vAlign w:val="top"/>
          </w:tcPr>
          <w:p w14:paraId="1756454A">
            <w:pPr>
              <w:rPr>
                <w:rFonts w:ascii="Arial"/>
                <w:sz w:val="21"/>
              </w:rPr>
            </w:pPr>
          </w:p>
        </w:tc>
        <w:tc>
          <w:tcPr>
            <w:tcW w:w="1680" w:type="dxa"/>
            <w:vMerge w:val="continue"/>
            <w:tcBorders>
              <w:top w:val="nil"/>
              <w:bottom w:val="nil"/>
            </w:tcBorders>
            <w:vAlign w:val="top"/>
          </w:tcPr>
          <w:p w14:paraId="75E7460C">
            <w:pPr>
              <w:rPr>
                <w:rFonts w:ascii="Arial"/>
                <w:sz w:val="21"/>
              </w:rPr>
            </w:pPr>
          </w:p>
        </w:tc>
        <w:tc>
          <w:tcPr>
            <w:tcW w:w="1056" w:type="dxa"/>
            <w:tcBorders>
              <w:right w:val="nil"/>
            </w:tcBorders>
            <w:vAlign w:val="top"/>
          </w:tcPr>
          <w:p w14:paraId="4AF23C65">
            <w:pPr>
              <w:spacing w:before="15"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01964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tcBorders>
              <w:left w:val="nil"/>
            </w:tcBorders>
            <w:vAlign w:val="top"/>
          </w:tcPr>
          <w:p w14:paraId="082C55A2">
            <w:pPr>
              <w:spacing w:before="8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650" w:type="dxa"/>
            <w:vAlign w:val="top"/>
          </w:tcPr>
          <w:p w14:paraId="209EDE11">
            <w:pPr>
              <w:spacing w:before="53" w:line="233" w:lineRule="auto"/>
              <w:ind w:left="103"/>
              <w:rPr>
                <w:rFonts w:ascii="宋体" w:hAnsi="宋体" w:eastAsia="宋体" w:cs="宋体"/>
                <w:sz w:val="20"/>
                <w:szCs w:val="20"/>
              </w:rPr>
            </w:pPr>
            <w:r>
              <w:rPr>
                <w:rFonts w:ascii="Times New Roman" w:hAnsi="Times New Roman" w:eastAsia="Times New Roman" w:cs="Times New Roman"/>
                <w:spacing w:val="-4"/>
                <w:sz w:val="20"/>
                <w:szCs w:val="20"/>
              </w:rPr>
              <w:t xml:space="preserve">1, 1,2,2- </w:t>
            </w:r>
            <w:r>
              <w:rPr>
                <w:rFonts w:ascii="宋体" w:hAnsi="宋体" w:eastAsia="宋体" w:cs="宋体"/>
                <w:spacing w:val="-4"/>
                <w:sz w:val="20"/>
                <w:szCs w:val="20"/>
              </w:rPr>
              <w:t>四氯乙烷</w:t>
            </w:r>
          </w:p>
        </w:tc>
        <w:tc>
          <w:tcPr>
            <w:tcW w:w="3420" w:type="dxa"/>
            <w:vMerge w:val="continue"/>
            <w:tcBorders>
              <w:top w:val="nil"/>
              <w:bottom w:val="nil"/>
            </w:tcBorders>
            <w:vAlign w:val="top"/>
          </w:tcPr>
          <w:p w14:paraId="2884742C">
            <w:pPr>
              <w:rPr>
                <w:rFonts w:ascii="Arial"/>
                <w:sz w:val="21"/>
              </w:rPr>
            </w:pPr>
          </w:p>
        </w:tc>
        <w:tc>
          <w:tcPr>
            <w:tcW w:w="1680" w:type="dxa"/>
            <w:vMerge w:val="continue"/>
            <w:tcBorders>
              <w:top w:val="nil"/>
              <w:bottom w:val="nil"/>
            </w:tcBorders>
            <w:vAlign w:val="top"/>
          </w:tcPr>
          <w:p w14:paraId="1612CE92">
            <w:pPr>
              <w:rPr>
                <w:rFonts w:ascii="Arial"/>
                <w:sz w:val="21"/>
              </w:rPr>
            </w:pPr>
          </w:p>
        </w:tc>
        <w:tc>
          <w:tcPr>
            <w:tcW w:w="1056" w:type="dxa"/>
            <w:tcBorders>
              <w:right w:val="nil"/>
            </w:tcBorders>
            <w:vAlign w:val="top"/>
          </w:tcPr>
          <w:p w14:paraId="58B4754C">
            <w:pPr>
              <w:spacing w:before="15"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41A55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tcBorders>
              <w:left w:val="nil"/>
            </w:tcBorders>
            <w:vAlign w:val="top"/>
          </w:tcPr>
          <w:p w14:paraId="69EC2E2A">
            <w:pPr>
              <w:spacing w:before="8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650" w:type="dxa"/>
            <w:vAlign w:val="top"/>
          </w:tcPr>
          <w:p w14:paraId="45AAFBB1">
            <w:pPr>
              <w:spacing w:before="53" w:line="228" w:lineRule="auto"/>
              <w:ind w:left="43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3420" w:type="dxa"/>
            <w:vMerge w:val="continue"/>
            <w:tcBorders>
              <w:top w:val="nil"/>
              <w:bottom w:val="nil"/>
            </w:tcBorders>
            <w:vAlign w:val="top"/>
          </w:tcPr>
          <w:p w14:paraId="33B5ED78">
            <w:pPr>
              <w:rPr>
                <w:rFonts w:ascii="Arial"/>
                <w:sz w:val="21"/>
              </w:rPr>
            </w:pPr>
          </w:p>
        </w:tc>
        <w:tc>
          <w:tcPr>
            <w:tcW w:w="1680" w:type="dxa"/>
            <w:vMerge w:val="continue"/>
            <w:tcBorders>
              <w:top w:val="nil"/>
              <w:bottom w:val="nil"/>
            </w:tcBorders>
            <w:vAlign w:val="top"/>
          </w:tcPr>
          <w:p w14:paraId="628A0ED7">
            <w:pPr>
              <w:rPr>
                <w:rFonts w:ascii="Arial"/>
                <w:sz w:val="21"/>
              </w:rPr>
            </w:pPr>
          </w:p>
        </w:tc>
        <w:tc>
          <w:tcPr>
            <w:tcW w:w="1056" w:type="dxa"/>
            <w:tcBorders>
              <w:right w:val="nil"/>
            </w:tcBorders>
            <w:vAlign w:val="top"/>
          </w:tcPr>
          <w:p w14:paraId="73DB9FE9">
            <w:pPr>
              <w:spacing w:before="15"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56495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104D6555">
            <w:pPr>
              <w:spacing w:before="8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650" w:type="dxa"/>
            <w:vAlign w:val="top"/>
          </w:tcPr>
          <w:p w14:paraId="61340492">
            <w:pPr>
              <w:spacing w:before="54" w:line="233" w:lineRule="auto"/>
              <w:ind w:left="182"/>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 1, 1-</w:t>
            </w:r>
            <w:r>
              <w:rPr>
                <w:rFonts w:ascii="宋体" w:hAnsi="宋体" w:eastAsia="宋体" w:cs="宋体"/>
                <w:spacing w:val="-5"/>
                <w:sz w:val="20"/>
                <w:szCs w:val="20"/>
              </w:rPr>
              <w:t>三氯乙烷</w:t>
            </w:r>
          </w:p>
        </w:tc>
        <w:tc>
          <w:tcPr>
            <w:tcW w:w="3420" w:type="dxa"/>
            <w:vMerge w:val="continue"/>
            <w:tcBorders>
              <w:top w:val="nil"/>
              <w:bottom w:val="nil"/>
            </w:tcBorders>
            <w:vAlign w:val="top"/>
          </w:tcPr>
          <w:p w14:paraId="4323617B">
            <w:pPr>
              <w:rPr>
                <w:rFonts w:ascii="Arial"/>
                <w:sz w:val="21"/>
              </w:rPr>
            </w:pPr>
          </w:p>
        </w:tc>
        <w:tc>
          <w:tcPr>
            <w:tcW w:w="1680" w:type="dxa"/>
            <w:vMerge w:val="continue"/>
            <w:tcBorders>
              <w:top w:val="nil"/>
              <w:bottom w:val="nil"/>
            </w:tcBorders>
            <w:vAlign w:val="top"/>
          </w:tcPr>
          <w:p w14:paraId="4DE896ED">
            <w:pPr>
              <w:rPr>
                <w:rFonts w:ascii="Arial"/>
                <w:sz w:val="21"/>
              </w:rPr>
            </w:pPr>
          </w:p>
        </w:tc>
        <w:tc>
          <w:tcPr>
            <w:tcW w:w="1056" w:type="dxa"/>
            <w:tcBorders>
              <w:right w:val="nil"/>
            </w:tcBorders>
            <w:vAlign w:val="top"/>
          </w:tcPr>
          <w:p w14:paraId="6DA0EF9B">
            <w:pPr>
              <w:spacing w:before="16"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3F8B9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22F15E32">
            <w:pPr>
              <w:spacing w:before="8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650" w:type="dxa"/>
            <w:vAlign w:val="top"/>
          </w:tcPr>
          <w:p w14:paraId="04258293">
            <w:pPr>
              <w:spacing w:before="54" w:line="233" w:lineRule="auto"/>
              <w:ind w:left="182"/>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1,2-</w:t>
            </w:r>
            <w:r>
              <w:rPr>
                <w:rFonts w:ascii="宋体" w:hAnsi="宋体" w:eastAsia="宋体" w:cs="宋体"/>
                <w:spacing w:val="-1"/>
                <w:sz w:val="20"/>
                <w:szCs w:val="20"/>
              </w:rPr>
              <w:t>三氯乙烷</w:t>
            </w:r>
          </w:p>
        </w:tc>
        <w:tc>
          <w:tcPr>
            <w:tcW w:w="3420" w:type="dxa"/>
            <w:vMerge w:val="continue"/>
            <w:tcBorders>
              <w:top w:val="nil"/>
              <w:bottom w:val="nil"/>
            </w:tcBorders>
            <w:vAlign w:val="top"/>
          </w:tcPr>
          <w:p w14:paraId="7FD84781">
            <w:pPr>
              <w:rPr>
                <w:rFonts w:ascii="Arial"/>
                <w:sz w:val="21"/>
              </w:rPr>
            </w:pPr>
          </w:p>
        </w:tc>
        <w:tc>
          <w:tcPr>
            <w:tcW w:w="1680" w:type="dxa"/>
            <w:vMerge w:val="continue"/>
            <w:tcBorders>
              <w:top w:val="nil"/>
              <w:bottom w:val="nil"/>
            </w:tcBorders>
            <w:vAlign w:val="top"/>
          </w:tcPr>
          <w:p w14:paraId="152D4273">
            <w:pPr>
              <w:rPr>
                <w:rFonts w:ascii="Arial"/>
                <w:sz w:val="21"/>
              </w:rPr>
            </w:pPr>
          </w:p>
        </w:tc>
        <w:tc>
          <w:tcPr>
            <w:tcW w:w="1056" w:type="dxa"/>
            <w:tcBorders>
              <w:right w:val="nil"/>
            </w:tcBorders>
            <w:vAlign w:val="top"/>
          </w:tcPr>
          <w:p w14:paraId="65EA631B">
            <w:pPr>
              <w:spacing w:before="16"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22A11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322E59EF">
            <w:pPr>
              <w:spacing w:before="8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650" w:type="dxa"/>
            <w:vAlign w:val="top"/>
          </w:tcPr>
          <w:p w14:paraId="2139EBFF">
            <w:pPr>
              <w:spacing w:before="52" w:line="228" w:lineRule="auto"/>
              <w:ind w:left="411"/>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3420" w:type="dxa"/>
            <w:vMerge w:val="continue"/>
            <w:tcBorders>
              <w:top w:val="nil"/>
              <w:bottom w:val="nil"/>
            </w:tcBorders>
            <w:vAlign w:val="top"/>
          </w:tcPr>
          <w:p w14:paraId="2DB898F0">
            <w:pPr>
              <w:rPr>
                <w:rFonts w:ascii="Arial"/>
                <w:sz w:val="21"/>
              </w:rPr>
            </w:pPr>
          </w:p>
        </w:tc>
        <w:tc>
          <w:tcPr>
            <w:tcW w:w="1680" w:type="dxa"/>
            <w:vMerge w:val="continue"/>
            <w:tcBorders>
              <w:top w:val="nil"/>
              <w:bottom w:val="nil"/>
            </w:tcBorders>
            <w:vAlign w:val="top"/>
          </w:tcPr>
          <w:p w14:paraId="67879F4D">
            <w:pPr>
              <w:rPr>
                <w:rFonts w:ascii="Arial"/>
                <w:sz w:val="21"/>
              </w:rPr>
            </w:pPr>
          </w:p>
        </w:tc>
        <w:tc>
          <w:tcPr>
            <w:tcW w:w="1056" w:type="dxa"/>
            <w:tcBorders>
              <w:right w:val="nil"/>
            </w:tcBorders>
            <w:vAlign w:val="top"/>
          </w:tcPr>
          <w:p w14:paraId="4D7EEA8D">
            <w:pPr>
              <w:spacing w:before="15"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0A15A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tcBorders>
              <w:left w:val="nil"/>
            </w:tcBorders>
            <w:vAlign w:val="top"/>
          </w:tcPr>
          <w:p w14:paraId="27329442">
            <w:pPr>
              <w:spacing w:before="9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1650" w:type="dxa"/>
            <w:vAlign w:val="top"/>
          </w:tcPr>
          <w:p w14:paraId="7F51B35F">
            <w:pPr>
              <w:spacing w:before="55" w:line="233" w:lineRule="auto"/>
              <w:ind w:left="18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2,3-</w:t>
            </w:r>
            <w:r>
              <w:rPr>
                <w:rFonts w:ascii="宋体" w:hAnsi="宋体" w:eastAsia="宋体" w:cs="宋体"/>
                <w:spacing w:val="3"/>
                <w:sz w:val="20"/>
                <w:szCs w:val="20"/>
              </w:rPr>
              <w:t>三氯丙烷</w:t>
            </w:r>
          </w:p>
        </w:tc>
        <w:tc>
          <w:tcPr>
            <w:tcW w:w="3420" w:type="dxa"/>
            <w:vMerge w:val="continue"/>
            <w:tcBorders>
              <w:top w:val="nil"/>
              <w:bottom w:val="nil"/>
            </w:tcBorders>
            <w:vAlign w:val="top"/>
          </w:tcPr>
          <w:p w14:paraId="57F32A1E">
            <w:pPr>
              <w:rPr>
                <w:rFonts w:ascii="Arial"/>
                <w:sz w:val="21"/>
              </w:rPr>
            </w:pPr>
          </w:p>
        </w:tc>
        <w:tc>
          <w:tcPr>
            <w:tcW w:w="1680" w:type="dxa"/>
            <w:vMerge w:val="continue"/>
            <w:tcBorders>
              <w:top w:val="nil"/>
              <w:bottom w:val="nil"/>
            </w:tcBorders>
            <w:vAlign w:val="top"/>
          </w:tcPr>
          <w:p w14:paraId="2860CBF5">
            <w:pPr>
              <w:rPr>
                <w:rFonts w:ascii="Arial"/>
                <w:sz w:val="21"/>
              </w:rPr>
            </w:pPr>
          </w:p>
        </w:tc>
        <w:tc>
          <w:tcPr>
            <w:tcW w:w="1056" w:type="dxa"/>
            <w:tcBorders>
              <w:right w:val="nil"/>
            </w:tcBorders>
            <w:vAlign w:val="top"/>
          </w:tcPr>
          <w:p w14:paraId="18F3E958">
            <w:pPr>
              <w:spacing w:before="17"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55643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tcBorders>
              <w:left w:val="nil"/>
            </w:tcBorders>
            <w:vAlign w:val="top"/>
          </w:tcPr>
          <w:p w14:paraId="3291525E">
            <w:pPr>
              <w:spacing w:before="9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1650" w:type="dxa"/>
            <w:vAlign w:val="top"/>
          </w:tcPr>
          <w:p w14:paraId="596A2B12">
            <w:pPr>
              <w:spacing w:before="55" w:line="228" w:lineRule="auto"/>
              <w:ind w:left="517"/>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3420" w:type="dxa"/>
            <w:vMerge w:val="continue"/>
            <w:tcBorders>
              <w:top w:val="nil"/>
              <w:bottom w:val="nil"/>
            </w:tcBorders>
            <w:vAlign w:val="top"/>
          </w:tcPr>
          <w:p w14:paraId="6ACC9CC7">
            <w:pPr>
              <w:rPr>
                <w:rFonts w:ascii="Arial"/>
                <w:sz w:val="21"/>
              </w:rPr>
            </w:pPr>
          </w:p>
        </w:tc>
        <w:tc>
          <w:tcPr>
            <w:tcW w:w="1680" w:type="dxa"/>
            <w:vMerge w:val="continue"/>
            <w:tcBorders>
              <w:top w:val="nil"/>
              <w:bottom w:val="nil"/>
            </w:tcBorders>
            <w:vAlign w:val="top"/>
          </w:tcPr>
          <w:p w14:paraId="6F33108A">
            <w:pPr>
              <w:rPr>
                <w:rFonts w:ascii="Arial"/>
                <w:sz w:val="21"/>
              </w:rPr>
            </w:pPr>
          </w:p>
        </w:tc>
        <w:tc>
          <w:tcPr>
            <w:tcW w:w="1056" w:type="dxa"/>
            <w:tcBorders>
              <w:right w:val="nil"/>
            </w:tcBorders>
            <w:vAlign w:val="top"/>
          </w:tcPr>
          <w:p w14:paraId="2F74412A">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3F399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46E8D98E">
            <w:pPr>
              <w:spacing w:before="9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650" w:type="dxa"/>
            <w:vAlign w:val="top"/>
          </w:tcPr>
          <w:p w14:paraId="092E31D4">
            <w:pPr>
              <w:spacing w:before="56" w:line="227" w:lineRule="auto"/>
              <w:ind w:left="728"/>
              <w:rPr>
                <w:rFonts w:ascii="宋体" w:hAnsi="宋体" w:eastAsia="宋体" w:cs="宋体"/>
                <w:sz w:val="20"/>
                <w:szCs w:val="20"/>
              </w:rPr>
            </w:pPr>
            <w:r>
              <w:rPr>
                <w:rFonts w:ascii="宋体" w:hAnsi="宋体" w:eastAsia="宋体" w:cs="宋体"/>
                <w:sz w:val="20"/>
                <w:szCs w:val="20"/>
              </w:rPr>
              <w:t>苯</w:t>
            </w:r>
          </w:p>
        </w:tc>
        <w:tc>
          <w:tcPr>
            <w:tcW w:w="3420" w:type="dxa"/>
            <w:vMerge w:val="continue"/>
            <w:tcBorders>
              <w:top w:val="nil"/>
              <w:bottom w:val="nil"/>
            </w:tcBorders>
            <w:vAlign w:val="top"/>
          </w:tcPr>
          <w:p w14:paraId="7023B1AA">
            <w:pPr>
              <w:rPr>
                <w:rFonts w:ascii="Arial"/>
                <w:sz w:val="21"/>
              </w:rPr>
            </w:pPr>
          </w:p>
        </w:tc>
        <w:tc>
          <w:tcPr>
            <w:tcW w:w="1680" w:type="dxa"/>
            <w:vMerge w:val="continue"/>
            <w:tcBorders>
              <w:top w:val="nil"/>
              <w:bottom w:val="nil"/>
            </w:tcBorders>
            <w:vAlign w:val="top"/>
          </w:tcPr>
          <w:p w14:paraId="3D1A21FE">
            <w:pPr>
              <w:rPr>
                <w:rFonts w:ascii="Arial"/>
                <w:sz w:val="21"/>
              </w:rPr>
            </w:pPr>
          </w:p>
        </w:tc>
        <w:tc>
          <w:tcPr>
            <w:tcW w:w="1056" w:type="dxa"/>
            <w:tcBorders>
              <w:right w:val="nil"/>
            </w:tcBorders>
            <w:vAlign w:val="top"/>
          </w:tcPr>
          <w:p w14:paraId="07FCFB6D">
            <w:pPr>
              <w:spacing w:before="18" w:line="281"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1.9 μ</w:t>
            </w:r>
            <w:r>
              <w:rPr>
                <w:rFonts w:ascii="Times New Roman" w:hAnsi="Times New Roman" w:eastAsia="Times New Roman" w:cs="Times New Roman"/>
                <w:position w:val="4"/>
                <w:sz w:val="20"/>
                <w:szCs w:val="20"/>
              </w:rPr>
              <w:t>g/kg</w:t>
            </w:r>
          </w:p>
        </w:tc>
      </w:tr>
      <w:tr w14:paraId="0994F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05860EF4">
            <w:pPr>
              <w:spacing w:before="9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1650" w:type="dxa"/>
            <w:vAlign w:val="top"/>
          </w:tcPr>
          <w:p w14:paraId="376739B6">
            <w:pPr>
              <w:spacing w:before="55" w:line="227" w:lineRule="auto"/>
              <w:ind w:left="623"/>
              <w:rPr>
                <w:rFonts w:ascii="宋体" w:hAnsi="宋体" w:eastAsia="宋体" w:cs="宋体"/>
                <w:sz w:val="20"/>
                <w:szCs w:val="20"/>
              </w:rPr>
            </w:pPr>
            <w:r>
              <w:rPr>
                <w:rFonts w:ascii="宋体" w:hAnsi="宋体" w:eastAsia="宋体" w:cs="宋体"/>
                <w:spacing w:val="3"/>
                <w:sz w:val="20"/>
                <w:szCs w:val="20"/>
              </w:rPr>
              <w:t>氯苯</w:t>
            </w:r>
          </w:p>
        </w:tc>
        <w:tc>
          <w:tcPr>
            <w:tcW w:w="3420" w:type="dxa"/>
            <w:vMerge w:val="continue"/>
            <w:tcBorders>
              <w:top w:val="nil"/>
              <w:bottom w:val="nil"/>
            </w:tcBorders>
            <w:vAlign w:val="top"/>
          </w:tcPr>
          <w:p w14:paraId="4EDBD85E">
            <w:pPr>
              <w:rPr>
                <w:rFonts w:ascii="Arial"/>
                <w:sz w:val="21"/>
              </w:rPr>
            </w:pPr>
          </w:p>
        </w:tc>
        <w:tc>
          <w:tcPr>
            <w:tcW w:w="1680" w:type="dxa"/>
            <w:vMerge w:val="continue"/>
            <w:tcBorders>
              <w:top w:val="nil"/>
              <w:bottom w:val="nil"/>
            </w:tcBorders>
            <w:vAlign w:val="top"/>
          </w:tcPr>
          <w:p w14:paraId="7B09B4A0">
            <w:pPr>
              <w:rPr>
                <w:rFonts w:ascii="Arial"/>
                <w:sz w:val="21"/>
              </w:rPr>
            </w:pPr>
          </w:p>
        </w:tc>
        <w:tc>
          <w:tcPr>
            <w:tcW w:w="1056" w:type="dxa"/>
            <w:tcBorders>
              <w:right w:val="nil"/>
            </w:tcBorders>
            <w:vAlign w:val="top"/>
          </w:tcPr>
          <w:p w14:paraId="193AEACA">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2E447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121B3C96">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650" w:type="dxa"/>
            <w:vAlign w:val="top"/>
          </w:tcPr>
          <w:p w14:paraId="70AF8D19">
            <w:pPr>
              <w:spacing w:before="55" w:line="232" w:lineRule="auto"/>
              <w:ind w:left="365"/>
              <w:rPr>
                <w:rFonts w:ascii="宋体" w:hAnsi="宋体" w:eastAsia="宋体" w:cs="宋体"/>
                <w:sz w:val="20"/>
                <w:szCs w:val="20"/>
              </w:rPr>
            </w:pPr>
            <w:r>
              <w:rPr>
                <w:rFonts w:ascii="Times New Roman" w:hAnsi="Times New Roman" w:eastAsia="Times New Roman" w:cs="Times New Roman"/>
                <w:spacing w:val="3"/>
                <w:sz w:val="20"/>
                <w:szCs w:val="20"/>
              </w:rPr>
              <w:t>1,2-</w:t>
            </w:r>
            <w:r>
              <w:rPr>
                <w:rFonts w:ascii="宋体" w:hAnsi="宋体" w:eastAsia="宋体" w:cs="宋体"/>
                <w:spacing w:val="3"/>
                <w:sz w:val="20"/>
                <w:szCs w:val="20"/>
              </w:rPr>
              <w:t>二氯苯</w:t>
            </w:r>
          </w:p>
        </w:tc>
        <w:tc>
          <w:tcPr>
            <w:tcW w:w="3420" w:type="dxa"/>
            <w:vMerge w:val="continue"/>
            <w:tcBorders>
              <w:top w:val="nil"/>
              <w:bottom w:val="nil"/>
            </w:tcBorders>
            <w:vAlign w:val="top"/>
          </w:tcPr>
          <w:p w14:paraId="5D11820B">
            <w:pPr>
              <w:rPr>
                <w:rFonts w:ascii="Arial"/>
                <w:sz w:val="21"/>
              </w:rPr>
            </w:pPr>
          </w:p>
        </w:tc>
        <w:tc>
          <w:tcPr>
            <w:tcW w:w="1680" w:type="dxa"/>
            <w:vMerge w:val="continue"/>
            <w:tcBorders>
              <w:top w:val="nil"/>
              <w:bottom w:val="nil"/>
            </w:tcBorders>
            <w:vAlign w:val="top"/>
          </w:tcPr>
          <w:p w14:paraId="108A283B">
            <w:pPr>
              <w:rPr>
                <w:rFonts w:ascii="Arial"/>
                <w:sz w:val="21"/>
              </w:rPr>
            </w:pPr>
          </w:p>
        </w:tc>
        <w:tc>
          <w:tcPr>
            <w:tcW w:w="1056" w:type="dxa"/>
            <w:tcBorders>
              <w:right w:val="nil"/>
            </w:tcBorders>
            <w:vAlign w:val="top"/>
          </w:tcPr>
          <w:p w14:paraId="31DF8769">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1.5</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26E15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4F5BE7A0">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1650" w:type="dxa"/>
            <w:vAlign w:val="top"/>
          </w:tcPr>
          <w:p w14:paraId="5EE5F680">
            <w:pPr>
              <w:spacing w:before="55" w:line="232" w:lineRule="auto"/>
              <w:ind w:left="365"/>
              <w:rPr>
                <w:rFonts w:ascii="宋体" w:hAnsi="宋体" w:eastAsia="宋体" w:cs="宋体"/>
                <w:sz w:val="20"/>
                <w:szCs w:val="20"/>
              </w:rPr>
            </w:pPr>
            <w:r>
              <w:rPr>
                <w:rFonts w:ascii="Times New Roman" w:hAnsi="Times New Roman" w:eastAsia="Times New Roman" w:cs="Times New Roman"/>
                <w:spacing w:val="3"/>
                <w:sz w:val="20"/>
                <w:szCs w:val="20"/>
              </w:rPr>
              <w:t>1,4-</w:t>
            </w:r>
            <w:r>
              <w:rPr>
                <w:rFonts w:ascii="宋体" w:hAnsi="宋体" w:eastAsia="宋体" w:cs="宋体"/>
                <w:spacing w:val="3"/>
                <w:sz w:val="20"/>
                <w:szCs w:val="20"/>
              </w:rPr>
              <w:t>二氯苯</w:t>
            </w:r>
          </w:p>
        </w:tc>
        <w:tc>
          <w:tcPr>
            <w:tcW w:w="3420" w:type="dxa"/>
            <w:vMerge w:val="continue"/>
            <w:tcBorders>
              <w:top w:val="nil"/>
              <w:bottom w:val="nil"/>
            </w:tcBorders>
            <w:vAlign w:val="top"/>
          </w:tcPr>
          <w:p w14:paraId="2E076EB6">
            <w:pPr>
              <w:rPr>
                <w:rFonts w:ascii="Arial"/>
                <w:sz w:val="21"/>
              </w:rPr>
            </w:pPr>
          </w:p>
        </w:tc>
        <w:tc>
          <w:tcPr>
            <w:tcW w:w="1680" w:type="dxa"/>
            <w:vMerge w:val="continue"/>
            <w:tcBorders>
              <w:top w:val="nil"/>
              <w:bottom w:val="nil"/>
            </w:tcBorders>
            <w:vAlign w:val="top"/>
          </w:tcPr>
          <w:p w14:paraId="5A68CA15">
            <w:pPr>
              <w:rPr>
                <w:rFonts w:ascii="Arial"/>
                <w:sz w:val="21"/>
              </w:rPr>
            </w:pPr>
          </w:p>
        </w:tc>
        <w:tc>
          <w:tcPr>
            <w:tcW w:w="1056" w:type="dxa"/>
            <w:tcBorders>
              <w:right w:val="nil"/>
            </w:tcBorders>
            <w:vAlign w:val="top"/>
          </w:tcPr>
          <w:p w14:paraId="1B37DAC7">
            <w:pPr>
              <w:spacing w:before="17"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1.5</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134D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191CC903">
            <w:pPr>
              <w:spacing w:before="9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1650" w:type="dxa"/>
            <w:vAlign w:val="top"/>
          </w:tcPr>
          <w:p w14:paraId="134667EA">
            <w:pPr>
              <w:spacing w:before="57" w:line="227" w:lineRule="auto"/>
              <w:ind w:left="640"/>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3420" w:type="dxa"/>
            <w:vMerge w:val="continue"/>
            <w:tcBorders>
              <w:top w:val="nil"/>
              <w:bottom w:val="nil"/>
            </w:tcBorders>
            <w:vAlign w:val="top"/>
          </w:tcPr>
          <w:p w14:paraId="473D6D74">
            <w:pPr>
              <w:rPr>
                <w:rFonts w:ascii="Arial"/>
                <w:sz w:val="21"/>
              </w:rPr>
            </w:pPr>
          </w:p>
        </w:tc>
        <w:tc>
          <w:tcPr>
            <w:tcW w:w="1680" w:type="dxa"/>
            <w:vMerge w:val="continue"/>
            <w:tcBorders>
              <w:top w:val="nil"/>
              <w:bottom w:val="nil"/>
            </w:tcBorders>
            <w:vAlign w:val="top"/>
          </w:tcPr>
          <w:p w14:paraId="59CB6DB3">
            <w:pPr>
              <w:rPr>
                <w:rFonts w:ascii="Arial"/>
                <w:sz w:val="21"/>
              </w:rPr>
            </w:pPr>
          </w:p>
        </w:tc>
        <w:tc>
          <w:tcPr>
            <w:tcW w:w="1056" w:type="dxa"/>
            <w:tcBorders>
              <w:right w:val="nil"/>
            </w:tcBorders>
            <w:vAlign w:val="top"/>
          </w:tcPr>
          <w:p w14:paraId="45C5CBAB">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65CD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68245B47">
            <w:pPr>
              <w:spacing w:before="9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1650" w:type="dxa"/>
            <w:vAlign w:val="top"/>
          </w:tcPr>
          <w:p w14:paraId="73156ED1">
            <w:pPr>
              <w:spacing w:before="56" w:line="227" w:lineRule="auto"/>
              <w:ind w:left="517"/>
              <w:rPr>
                <w:rFonts w:ascii="宋体" w:hAnsi="宋体" w:eastAsia="宋体" w:cs="宋体"/>
                <w:sz w:val="20"/>
                <w:szCs w:val="20"/>
              </w:rPr>
            </w:pPr>
            <w:r>
              <w:rPr>
                <w:rFonts w:ascii="宋体" w:hAnsi="宋体" w:eastAsia="宋体" w:cs="宋体"/>
                <w:spacing w:val="6"/>
                <w:sz w:val="20"/>
                <w:szCs w:val="20"/>
              </w:rPr>
              <w:t>苯乙烯</w:t>
            </w:r>
          </w:p>
        </w:tc>
        <w:tc>
          <w:tcPr>
            <w:tcW w:w="3420" w:type="dxa"/>
            <w:vMerge w:val="continue"/>
            <w:tcBorders>
              <w:top w:val="nil"/>
              <w:bottom w:val="nil"/>
            </w:tcBorders>
            <w:vAlign w:val="top"/>
          </w:tcPr>
          <w:p w14:paraId="72A479F1">
            <w:pPr>
              <w:rPr>
                <w:rFonts w:ascii="Arial"/>
                <w:sz w:val="21"/>
              </w:rPr>
            </w:pPr>
          </w:p>
        </w:tc>
        <w:tc>
          <w:tcPr>
            <w:tcW w:w="1680" w:type="dxa"/>
            <w:vMerge w:val="continue"/>
            <w:tcBorders>
              <w:top w:val="nil"/>
              <w:bottom w:val="nil"/>
            </w:tcBorders>
            <w:vAlign w:val="top"/>
          </w:tcPr>
          <w:p w14:paraId="422C11A4">
            <w:pPr>
              <w:rPr>
                <w:rFonts w:ascii="Arial"/>
                <w:sz w:val="21"/>
              </w:rPr>
            </w:pPr>
          </w:p>
        </w:tc>
        <w:tc>
          <w:tcPr>
            <w:tcW w:w="1056" w:type="dxa"/>
            <w:tcBorders>
              <w:right w:val="nil"/>
            </w:tcBorders>
            <w:vAlign w:val="top"/>
          </w:tcPr>
          <w:p w14:paraId="2C784192">
            <w:pPr>
              <w:spacing w:before="19"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1</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spacing w:val="-4"/>
                <w:position w:val="4"/>
                <w:sz w:val="20"/>
                <w:szCs w:val="20"/>
              </w:rPr>
              <w:t xml:space="preserve"> 1μg/kg</w:t>
            </w:r>
          </w:p>
        </w:tc>
      </w:tr>
      <w:tr w14:paraId="29B78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6D65517F">
            <w:pPr>
              <w:spacing w:before="9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1650" w:type="dxa"/>
            <w:vAlign w:val="top"/>
          </w:tcPr>
          <w:p w14:paraId="2A4ED6A4">
            <w:pPr>
              <w:spacing w:before="56" w:line="227" w:lineRule="auto"/>
              <w:ind w:left="647"/>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3420" w:type="dxa"/>
            <w:vMerge w:val="continue"/>
            <w:tcBorders>
              <w:top w:val="nil"/>
              <w:bottom w:val="nil"/>
            </w:tcBorders>
            <w:vAlign w:val="top"/>
          </w:tcPr>
          <w:p w14:paraId="1CA197E3">
            <w:pPr>
              <w:rPr>
                <w:rFonts w:ascii="Arial"/>
                <w:sz w:val="21"/>
              </w:rPr>
            </w:pPr>
          </w:p>
        </w:tc>
        <w:tc>
          <w:tcPr>
            <w:tcW w:w="1680" w:type="dxa"/>
            <w:vMerge w:val="continue"/>
            <w:tcBorders>
              <w:top w:val="nil"/>
              <w:bottom w:val="nil"/>
            </w:tcBorders>
            <w:vAlign w:val="top"/>
          </w:tcPr>
          <w:p w14:paraId="0A099D70">
            <w:pPr>
              <w:rPr>
                <w:rFonts w:ascii="Arial"/>
                <w:sz w:val="21"/>
              </w:rPr>
            </w:pPr>
          </w:p>
        </w:tc>
        <w:tc>
          <w:tcPr>
            <w:tcW w:w="1056" w:type="dxa"/>
            <w:tcBorders>
              <w:right w:val="nil"/>
            </w:tcBorders>
            <w:vAlign w:val="top"/>
          </w:tcPr>
          <w:p w14:paraId="1B5F7664">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5291E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6DADD044">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1650" w:type="dxa"/>
            <w:vAlign w:val="top"/>
          </w:tcPr>
          <w:p w14:paraId="35139B33">
            <w:pPr>
              <w:spacing w:before="18" w:line="281" w:lineRule="exact"/>
              <w:ind w:left="293"/>
              <w:rPr>
                <w:rFonts w:ascii="宋体" w:hAnsi="宋体" w:eastAsia="宋体" w:cs="宋体"/>
                <w:sz w:val="20"/>
                <w:szCs w:val="20"/>
              </w:rPr>
            </w:pPr>
            <w:r>
              <w:rPr>
                <w:rFonts w:ascii="宋体" w:hAnsi="宋体" w:eastAsia="宋体" w:cs="宋体"/>
                <w:spacing w:val="4"/>
                <w:position w:val="1"/>
                <w:sz w:val="20"/>
                <w:szCs w:val="20"/>
              </w:rPr>
              <w:t>间</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对二甲苯</w:t>
            </w:r>
          </w:p>
        </w:tc>
        <w:tc>
          <w:tcPr>
            <w:tcW w:w="3420" w:type="dxa"/>
            <w:vMerge w:val="continue"/>
            <w:tcBorders>
              <w:top w:val="nil"/>
              <w:bottom w:val="nil"/>
            </w:tcBorders>
            <w:vAlign w:val="top"/>
          </w:tcPr>
          <w:p w14:paraId="5904AA3D">
            <w:pPr>
              <w:rPr>
                <w:rFonts w:ascii="Arial"/>
                <w:sz w:val="21"/>
              </w:rPr>
            </w:pPr>
          </w:p>
        </w:tc>
        <w:tc>
          <w:tcPr>
            <w:tcW w:w="1680" w:type="dxa"/>
            <w:vMerge w:val="continue"/>
            <w:tcBorders>
              <w:top w:val="nil"/>
              <w:bottom w:val="nil"/>
            </w:tcBorders>
            <w:vAlign w:val="top"/>
          </w:tcPr>
          <w:p w14:paraId="4D34B288">
            <w:pPr>
              <w:rPr>
                <w:rFonts w:ascii="Arial"/>
                <w:sz w:val="21"/>
              </w:rPr>
            </w:pPr>
          </w:p>
        </w:tc>
        <w:tc>
          <w:tcPr>
            <w:tcW w:w="1056" w:type="dxa"/>
            <w:tcBorders>
              <w:right w:val="nil"/>
            </w:tcBorders>
            <w:vAlign w:val="top"/>
          </w:tcPr>
          <w:p w14:paraId="581A369C">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34C77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64A8DA8C">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1650" w:type="dxa"/>
            <w:vAlign w:val="top"/>
          </w:tcPr>
          <w:p w14:paraId="53A1A318">
            <w:pPr>
              <w:spacing w:before="55" w:line="227" w:lineRule="auto"/>
              <w:ind w:left="410"/>
              <w:rPr>
                <w:rFonts w:ascii="宋体" w:hAnsi="宋体" w:eastAsia="宋体" w:cs="宋体"/>
                <w:sz w:val="20"/>
                <w:szCs w:val="20"/>
              </w:rPr>
            </w:pPr>
            <w:r>
              <w:rPr>
                <w:rFonts w:ascii="宋体" w:hAnsi="宋体" w:eastAsia="宋体" w:cs="宋体"/>
                <w:spacing w:val="9"/>
                <w:sz w:val="20"/>
                <w:szCs w:val="20"/>
              </w:rPr>
              <w:t>邻</w:t>
            </w:r>
            <w:r>
              <w:rPr>
                <w:rFonts w:ascii="宋体" w:hAnsi="宋体" w:eastAsia="宋体" w:cs="宋体"/>
                <w:spacing w:val="7"/>
                <w:sz w:val="20"/>
                <w:szCs w:val="20"/>
              </w:rPr>
              <w:t>二甲苯</w:t>
            </w:r>
          </w:p>
        </w:tc>
        <w:tc>
          <w:tcPr>
            <w:tcW w:w="3420" w:type="dxa"/>
            <w:vMerge w:val="continue"/>
            <w:tcBorders>
              <w:top w:val="nil"/>
            </w:tcBorders>
            <w:vAlign w:val="top"/>
          </w:tcPr>
          <w:p w14:paraId="10A261AD">
            <w:pPr>
              <w:rPr>
                <w:rFonts w:ascii="Arial"/>
                <w:sz w:val="21"/>
              </w:rPr>
            </w:pPr>
          </w:p>
        </w:tc>
        <w:tc>
          <w:tcPr>
            <w:tcW w:w="1680" w:type="dxa"/>
            <w:vMerge w:val="continue"/>
            <w:tcBorders>
              <w:top w:val="nil"/>
            </w:tcBorders>
            <w:vAlign w:val="top"/>
          </w:tcPr>
          <w:p w14:paraId="43F98D23">
            <w:pPr>
              <w:rPr>
                <w:rFonts w:ascii="Arial"/>
                <w:sz w:val="21"/>
              </w:rPr>
            </w:pPr>
          </w:p>
        </w:tc>
        <w:tc>
          <w:tcPr>
            <w:tcW w:w="1056" w:type="dxa"/>
            <w:tcBorders>
              <w:right w:val="nil"/>
            </w:tcBorders>
            <w:vAlign w:val="top"/>
          </w:tcPr>
          <w:p w14:paraId="0B9ADFA0">
            <w:pPr>
              <w:spacing w:before="18" w:line="281"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w:t>
            </w:r>
            <w:r>
              <w:rPr>
                <w:rFonts w:ascii="Times New Roman" w:hAnsi="Times New Roman" w:eastAsia="Times New Roman" w:cs="Times New Roman"/>
                <w:spacing w:val="1"/>
                <w:position w:val="2"/>
                <w:sz w:val="20"/>
                <w:szCs w:val="20"/>
              </w:rPr>
              <w:t>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kg</w:t>
            </w:r>
          </w:p>
        </w:tc>
      </w:tr>
      <w:tr w14:paraId="6DBAC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02462094">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1650" w:type="dxa"/>
            <w:vAlign w:val="top"/>
          </w:tcPr>
          <w:p w14:paraId="5D27C47C">
            <w:pPr>
              <w:spacing w:before="55" w:line="227" w:lineRule="auto"/>
              <w:ind w:left="516"/>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3420" w:type="dxa"/>
            <w:vMerge w:val="restart"/>
            <w:tcBorders>
              <w:bottom w:val="nil"/>
            </w:tcBorders>
            <w:vAlign w:val="top"/>
          </w:tcPr>
          <w:p w14:paraId="675E337C">
            <w:pPr>
              <w:spacing w:line="287" w:lineRule="auto"/>
              <w:rPr>
                <w:rFonts w:ascii="Arial"/>
                <w:sz w:val="21"/>
              </w:rPr>
            </w:pPr>
          </w:p>
          <w:p w14:paraId="7D458020">
            <w:pPr>
              <w:spacing w:line="287" w:lineRule="auto"/>
              <w:rPr>
                <w:rFonts w:ascii="Arial"/>
                <w:sz w:val="21"/>
              </w:rPr>
            </w:pPr>
          </w:p>
          <w:p w14:paraId="78D890BB">
            <w:pPr>
              <w:spacing w:line="287" w:lineRule="auto"/>
              <w:rPr>
                <w:rFonts w:ascii="Arial"/>
                <w:sz w:val="21"/>
              </w:rPr>
            </w:pPr>
          </w:p>
          <w:p w14:paraId="5353ABFC">
            <w:pPr>
              <w:spacing w:line="287" w:lineRule="auto"/>
              <w:rPr>
                <w:rFonts w:ascii="Arial"/>
                <w:sz w:val="21"/>
              </w:rPr>
            </w:pPr>
          </w:p>
          <w:p w14:paraId="32011C72">
            <w:pPr>
              <w:spacing w:line="287" w:lineRule="auto"/>
              <w:rPr>
                <w:rFonts w:ascii="Arial"/>
                <w:sz w:val="21"/>
              </w:rPr>
            </w:pPr>
          </w:p>
          <w:p w14:paraId="531526F3">
            <w:pPr>
              <w:spacing w:before="65" w:line="301" w:lineRule="auto"/>
              <w:ind w:left="222" w:right="82" w:hanging="133"/>
              <w:rPr>
                <w:rFonts w:ascii="Times New Roman" w:hAnsi="Times New Roman" w:eastAsia="Times New Roman" w:cs="Times New Roman"/>
                <w:sz w:val="20"/>
                <w:szCs w:val="20"/>
              </w:rPr>
            </w:pPr>
            <w:r>
              <w:rPr>
                <w:rFonts w:ascii="宋体" w:hAnsi="宋体" w:eastAsia="宋体" w:cs="宋体"/>
                <w:spacing w:val="9"/>
                <w:sz w:val="20"/>
                <w:szCs w:val="20"/>
              </w:rPr>
              <w:t>土壤和沉积物 半挥发性有机物的</w:t>
            </w:r>
            <w:r>
              <w:rPr>
                <w:rFonts w:ascii="宋体" w:hAnsi="宋体" w:eastAsia="宋体" w:cs="宋体"/>
                <w:spacing w:val="8"/>
                <w:sz w:val="20"/>
                <w:szCs w:val="20"/>
              </w:rPr>
              <w:t>测</w:t>
            </w:r>
            <w:r>
              <w:rPr>
                <w:rFonts w:ascii="宋体" w:hAnsi="宋体" w:eastAsia="宋体" w:cs="宋体"/>
                <w:sz w:val="20"/>
                <w:szCs w:val="20"/>
              </w:rPr>
              <w:t xml:space="preserve"> </w:t>
            </w:r>
            <w:r>
              <w:rPr>
                <w:rFonts w:ascii="宋体" w:hAnsi="宋体" w:eastAsia="宋体" w:cs="宋体"/>
                <w:spacing w:val="4"/>
                <w:sz w:val="20"/>
                <w:szCs w:val="20"/>
              </w:rPr>
              <w:t>定 气相色谱</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质谱法 </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 xml:space="preserve"> 834-2017</w:t>
            </w:r>
          </w:p>
        </w:tc>
        <w:tc>
          <w:tcPr>
            <w:tcW w:w="1680" w:type="dxa"/>
            <w:vMerge w:val="restart"/>
            <w:tcBorders>
              <w:bottom w:val="nil"/>
            </w:tcBorders>
            <w:vAlign w:val="top"/>
          </w:tcPr>
          <w:p w14:paraId="2745300D">
            <w:pPr>
              <w:spacing w:line="287" w:lineRule="auto"/>
              <w:rPr>
                <w:rFonts w:ascii="Arial"/>
                <w:sz w:val="21"/>
              </w:rPr>
            </w:pPr>
          </w:p>
          <w:p w14:paraId="2399E408">
            <w:pPr>
              <w:spacing w:line="287" w:lineRule="auto"/>
              <w:rPr>
                <w:rFonts w:ascii="Arial"/>
                <w:sz w:val="21"/>
              </w:rPr>
            </w:pPr>
          </w:p>
          <w:p w14:paraId="70333166">
            <w:pPr>
              <w:spacing w:line="287" w:lineRule="auto"/>
              <w:rPr>
                <w:rFonts w:ascii="Arial"/>
                <w:sz w:val="21"/>
              </w:rPr>
            </w:pPr>
          </w:p>
          <w:p w14:paraId="0D39D6CC">
            <w:pPr>
              <w:spacing w:line="287" w:lineRule="auto"/>
              <w:rPr>
                <w:rFonts w:ascii="Arial"/>
                <w:sz w:val="21"/>
              </w:rPr>
            </w:pPr>
          </w:p>
          <w:p w14:paraId="1CBA144B">
            <w:pPr>
              <w:spacing w:line="287" w:lineRule="auto"/>
              <w:rPr>
                <w:rFonts w:ascii="Arial"/>
                <w:sz w:val="21"/>
              </w:rPr>
            </w:pPr>
          </w:p>
          <w:p w14:paraId="1FABF8AF">
            <w:pPr>
              <w:spacing w:before="65" w:line="301" w:lineRule="auto"/>
              <w:ind w:left="337" w:right="103" w:hanging="226"/>
              <w:rPr>
                <w:rFonts w:ascii="Times New Roman" w:hAnsi="Times New Roman" w:eastAsia="Times New Roman" w:cs="Times New Roman"/>
                <w:sz w:val="20"/>
                <w:szCs w:val="20"/>
              </w:rPr>
            </w:pPr>
            <w:r>
              <w:rPr>
                <w:rFonts w:ascii="宋体" w:hAnsi="宋体" w:eastAsia="宋体" w:cs="宋体"/>
                <w:spacing w:val="11"/>
                <w:sz w:val="20"/>
                <w:szCs w:val="20"/>
              </w:rPr>
              <w:t>气</w:t>
            </w:r>
            <w:r>
              <w:rPr>
                <w:rFonts w:ascii="宋体" w:hAnsi="宋体" w:eastAsia="宋体" w:cs="宋体"/>
                <w:spacing w:val="8"/>
                <w:sz w:val="20"/>
                <w:szCs w:val="20"/>
              </w:rPr>
              <w:t>相色谱质谱联</w:t>
            </w:r>
            <w:r>
              <w:rPr>
                <w:rFonts w:ascii="宋体" w:hAnsi="宋体" w:eastAsia="宋体" w:cs="宋体"/>
                <w:sz w:val="20"/>
                <w:szCs w:val="20"/>
              </w:rPr>
              <w:t xml:space="preserve"> </w:t>
            </w:r>
            <w:r>
              <w:rPr>
                <w:rFonts w:ascii="宋体" w:hAnsi="宋体" w:eastAsia="宋体" w:cs="宋体"/>
                <w:spacing w:val="-2"/>
                <w:sz w:val="20"/>
                <w:szCs w:val="20"/>
              </w:rPr>
              <w:t xml:space="preserve">用仪 </w:t>
            </w:r>
            <w:r>
              <w:rPr>
                <w:rFonts w:ascii="Times New Roman" w:hAnsi="Times New Roman" w:eastAsia="Times New Roman" w:cs="Times New Roman"/>
                <w:spacing w:val="-1"/>
                <w:sz w:val="20"/>
                <w:szCs w:val="20"/>
              </w:rPr>
              <w:t>FX</w:t>
            </w:r>
            <w:r>
              <w:rPr>
                <w:rFonts w:ascii="Times New Roman" w:hAnsi="Times New Roman" w:eastAsia="Times New Roman" w:cs="Times New Roman"/>
                <w:spacing w:val="-2"/>
                <w:sz w:val="20"/>
                <w:szCs w:val="20"/>
              </w:rPr>
              <w:t>-29</w:t>
            </w:r>
          </w:p>
        </w:tc>
        <w:tc>
          <w:tcPr>
            <w:tcW w:w="1056" w:type="dxa"/>
            <w:tcBorders>
              <w:right w:val="nil"/>
            </w:tcBorders>
            <w:vAlign w:val="top"/>
          </w:tcPr>
          <w:p w14:paraId="161BD409">
            <w:pPr>
              <w:spacing w:before="17" w:line="281"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r>
      <w:tr w14:paraId="41D4D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58DDC9B7">
            <w:pPr>
              <w:spacing w:before="9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650" w:type="dxa"/>
            <w:vAlign w:val="top"/>
          </w:tcPr>
          <w:p w14:paraId="39F8FA44">
            <w:pPr>
              <w:spacing w:before="57" w:line="227" w:lineRule="auto"/>
              <w:ind w:left="622"/>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3420" w:type="dxa"/>
            <w:vMerge w:val="continue"/>
            <w:tcBorders>
              <w:top w:val="nil"/>
              <w:bottom w:val="nil"/>
            </w:tcBorders>
            <w:vAlign w:val="top"/>
          </w:tcPr>
          <w:p w14:paraId="0B459709">
            <w:pPr>
              <w:rPr>
                <w:rFonts w:ascii="Arial"/>
                <w:sz w:val="21"/>
              </w:rPr>
            </w:pPr>
          </w:p>
        </w:tc>
        <w:tc>
          <w:tcPr>
            <w:tcW w:w="1680" w:type="dxa"/>
            <w:vMerge w:val="continue"/>
            <w:tcBorders>
              <w:top w:val="nil"/>
              <w:bottom w:val="nil"/>
            </w:tcBorders>
            <w:vAlign w:val="top"/>
          </w:tcPr>
          <w:p w14:paraId="25F42051">
            <w:pPr>
              <w:rPr>
                <w:rFonts w:ascii="Arial"/>
                <w:sz w:val="21"/>
              </w:rPr>
            </w:pPr>
          </w:p>
        </w:tc>
        <w:tc>
          <w:tcPr>
            <w:tcW w:w="1056" w:type="dxa"/>
            <w:tcBorders>
              <w:right w:val="nil"/>
            </w:tcBorders>
            <w:vAlign w:val="top"/>
          </w:tcPr>
          <w:p w14:paraId="3252ABE2">
            <w:pPr>
              <w:spacing w:before="19"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3312F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3C6AD542">
            <w:pPr>
              <w:spacing w:before="9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1650" w:type="dxa"/>
            <w:vAlign w:val="top"/>
          </w:tcPr>
          <w:p w14:paraId="55DE0F4C">
            <w:pPr>
              <w:spacing w:before="56" w:line="229" w:lineRule="auto"/>
              <w:ind w:left="530"/>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氯</w:t>
            </w:r>
            <w:r>
              <w:rPr>
                <w:rFonts w:ascii="宋体" w:hAnsi="宋体" w:eastAsia="宋体" w:cs="宋体"/>
                <w:spacing w:val="4"/>
                <w:sz w:val="20"/>
                <w:szCs w:val="20"/>
              </w:rPr>
              <w:t>酚</w:t>
            </w:r>
          </w:p>
        </w:tc>
        <w:tc>
          <w:tcPr>
            <w:tcW w:w="3420" w:type="dxa"/>
            <w:vMerge w:val="continue"/>
            <w:tcBorders>
              <w:top w:val="nil"/>
              <w:bottom w:val="nil"/>
            </w:tcBorders>
            <w:vAlign w:val="top"/>
          </w:tcPr>
          <w:p w14:paraId="70D6874B">
            <w:pPr>
              <w:rPr>
                <w:rFonts w:ascii="Arial"/>
                <w:sz w:val="21"/>
              </w:rPr>
            </w:pPr>
          </w:p>
        </w:tc>
        <w:tc>
          <w:tcPr>
            <w:tcW w:w="1680" w:type="dxa"/>
            <w:vMerge w:val="continue"/>
            <w:tcBorders>
              <w:top w:val="nil"/>
              <w:bottom w:val="nil"/>
            </w:tcBorders>
            <w:vAlign w:val="top"/>
          </w:tcPr>
          <w:p w14:paraId="341CB653">
            <w:pPr>
              <w:rPr>
                <w:rFonts w:ascii="Arial"/>
                <w:sz w:val="21"/>
              </w:rPr>
            </w:pPr>
          </w:p>
        </w:tc>
        <w:tc>
          <w:tcPr>
            <w:tcW w:w="1056" w:type="dxa"/>
            <w:tcBorders>
              <w:right w:val="nil"/>
            </w:tcBorders>
            <w:vAlign w:val="top"/>
          </w:tcPr>
          <w:p w14:paraId="4F724B1D">
            <w:pPr>
              <w:spacing w:before="19" w:line="281"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r>
      <w:tr w14:paraId="5788A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113CC8A2">
            <w:pPr>
              <w:spacing w:before="9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50" w:type="dxa"/>
            <w:vAlign w:val="top"/>
          </w:tcPr>
          <w:p w14:paraId="37162789">
            <w:pPr>
              <w:spacing w:before="18" w:line="281" w:lineRule="exact"/>
              <w:ind w:left="401"/>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蒽</w:t>
            </w:r>
          </w:p>
        </w:tc>
        <w:tc>
          <w:tcPr>
            <w:tcW w:w="3420" w:type="dxa"/>
            <w:vMerge w:val="continue"/>
            <w:tcBorders>
              <w:top w:val="nil"/>
              <w:bottom w:val="nil"/>
            </w:tcBorders>
            <w:vAlign w:val="top"/>
          </w:tcPr>
          <w:p w14:paraId="380732BD">
            <w:pPr>
              <w:rPr>
                <w:rFonts w:ascii="Arial"/>
                <w:sz w:val="21"/>
              </w:rPr>
            </w:pPr>
          </w:p>
        </w:tc>
        <w:tc>
          <w:tcPr>
            <w:tcW w:w="1680" w:type="dxa"/>
            <w:vMerge w:val="continue"/>
            <w:tcBorders>
              <w:top w:val="nil"/>
              <w:bottom w:val="nil"/>
            </w:tcBorders>
            <w:vAlign w:val="top"/>
          </w:tcPr>
          <w:p w14:paraId="2DD60BF6">
            <w:pPr>
              <w:rPr>
                <w:rFonts w:ascii="Arial"/>
                <w:sz w:val="21"/>
              </w:rPr>
            </w:pPr>
          </w:p>
        </w:tc>
        <w:tc>
          <w:tcPr>
            <w:tcW w:w="1056" w:type="dxa"/>
            <w:tcBorders>
              <w:right w:val="nil"/>
            </w:tcBorders>
            <w:vAlign w:val="top"/>
          </w:tcPr>
          <w:p w14:paraId="41E144F0">
            <w:pPr>
              <w:spacing w:before="18"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5524B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535DC5E6">
            <w:pPr>
              <w:spacing w:before="9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650" w:type="dxa"/>
            <w:vAlign w:val="top"/>
          </w:tcPr>
          <w:p w14:paraId="16A9DBE4">
            <w:pPr>
              <w:spacing w:before="18" w:line="281" w:lineRule="exact"/>
              <w:ind w:left="401"/>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芘</w:t>
            </w:r>
          </w:p>
        </w:tc>
        <w:tc>
          <w:tcPr>
            <w:tcW w:w="3420" w:type="dxa"/>
            <w:vMerge w:val="continue"/>
            <w:tcBorders>
              <w:top w:val="nil"/>
              <w:bottom w:val="nil"/>
            </w:tcBorders>
            <w:vAlign w:val="top"/>
          </w:tcPr>
          <w:p w14:paraId="50CF8E19">
            <w:pPr>
              <w:rPr>
                <w:rFonts w:ascii="Arial"/>
                <w:sz w:val="21"/>
              </w:rPr>
            </w:pPr>
          </w:p>
        </w:tc>
        <w:tc>
          <w:tcPr>
            <w:tcW w:w="1680" w:type="dxa"/>
            <w:vMerge w:val="continue"/>
            <w:tcBorders>
              <w:top w:val="nil"/>
              <w:bottom w:val="nil"/>
            </w:tcBorders>
            <w:vAlign w:val="top"/>
          </w:tcPr>
          <w:p w14:paraId="0F23AB15">
            <w:pPr>
              <w:rPr>
                <w:rFonts w:ascii="Arial"/>
                <w:sz w:val="21"/>
              </w:rPr>
            </w:pPr>
          </w:p>
        </w:tc>
        <w:tc>
          <w:tcPr>
            <w:tcW w:w="1056" w:type="dxa"/>
            <w:tcBorders>
              <w:right w:val="nil"/>
            </w:tcBorders>
            <w:vAlign w:val="top"/>
          </w:tcPr>
          <w:p w14:paraId="505EC395">
            <w:pPr>
              <w:spacing w:before="18"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1A030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4098DEBF">
            <w:pPr>
              <w:spacing w:before="91"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650" w:type="dxa"/>
            <w:vAlign w:val="top"/>
          </w:tcPr>
          <w:p w14:paraId="1D672DC1">
            <w:pPr>
              <w:spacing w:before="18" w:line="281" w:lineRule="exact"/>
              <w:ind w:left="291"/>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3420" w:type="dxa"/>
            <w:vMerge w:val="continue"/>
            <w:tcBorders>
              <w:top w:val="nil"/>
              <w:bottom w:val="nil"/>
            </w:tcBorders>
            <w:vAlign w:val="top"/>
          </w:tcPr>
          <w:p w14:paraId="1136C919">
            <w:pPr>
              <w:rPr>
                <w:rFonts w:ascii="Arial"/>
                <w:sz w:val="21"/>
              </w:rPr>
            </w:pPr>
          </w:p>
        </w:tc>
        <w:tc>
          <w:tcPr>
            <w:tcW w:w="1680" w:type="dxa"/>
            <w:vMerge w:val="continue"/>
            <w:tcBorders>
              <w:top w:val="nil"/>
              <w:bottom w:val="nil"/>
            </w:tcBorders>
            <w:vAlign w:val="top"/>
          </w:tcPr>
          <w:p w14:paraId="5B0AA195">
            <w:pPr>
              <w:rPr>
                <w:rFonts w:ascii="Arial"/>
                <w:sz w:val="21"/>
              </w:rPr>
            </w:pPr>
          </w:p>
        </w:tc>
        <w:tc>
          <w:tcPr>
            <w:tcW w:w="1056" w:type="dxa"/>
            <w:tcBorders>
              <w:right w:val="nil"/>
            </w:tcBorders>
            <w:vAlign w:val="top"/>
          </w:tcPr>
          <w:p w14:paraId="7DB18337">
            <w:pPr>
              <w:spacing w:before="18"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7"/>
                <w:position w:val="2"/>
                <w:sz w:val="20"/>
                <w:szCs w:val="20"/>
              </w:rPr>
              <w:t>.2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kg</w:t>
            </w:r>
          </w:p>
        </w:tc>
      </w:tr>
      <w:tr w14:paraId="1D1E6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4EC9AB5D">
            <w:pPr>
              <w:spacing w:before="91"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650" w:type="dxa"/>
            <w:vAlign w:val="top"/>
          </w:tcPr>
          <w:p w14:paraId="2D9E3660">
            <w:pPr>
              <w:spacing w:before="17" w:line="281" w:lineRule="exact"/>
              <w:ind w:left="291"/>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3420" w:type="dxa"/>
            <w:vMerge w:val="continue"/>
            <w:tcBorders>
              <w:top w:val="nil"/>
              <w:bottom w:val="nil"/>
            </w:tcBorders>
            <w:vAlign w:val="top"/>
          </w:tcPr>
          <w:p w14:paraId="489F4AC7">
            <w:pPr>
              <w:rPr>
                <w:rFonts w:ascii="Arial"/>
                <w:sz w:val="21"/>
              </w:rPr>
            </w:pPr>
          </w:p>
        </w:tc>
        <w:tc>
          <w:tcPr>
            <w:tcW w:w="1680" w:type="dxa"/>
            <w:vMerge w:val="continue"/>
            <w:tcBorders>
              <w:top w:val="nil"/>
              <w:bottom w:val="nil"/>
            </w:tcBorders>
            <w:vAlign w:val="top"/>
          </w:tcPr>
          <w:p w14:paraId="1A273860">
            <w:pPr>
              <w:rPr>
                <w:rFonts w:ascii="Arial"/>
                <w:sz w:val="21"/>
              </w:rPr>
            </w:pPr>
          </w:p>
        </w:tc>
        <w:tc>
          <w:tcPr>
            <w:tcW w:w="1056" w:type="dxa"/>
            <w:tcBorders>
              <w:right w:val="nil"/>
            </w:tcBorders>
            <w:vAlign w:val="top"/>
          </w:tcPr>
          <w:p w14:paraId="08A380B9">
            <w:pPr>
              <w:spacing w:before="17"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639F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72AF8FD4">
            <w:pPr>
              <w:spacing w:before="93"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650" w:type="dxa"/>
            <w:vAlign w:val="top"/>
          </w:tcPr>
          <w:p w14:paraId="3C03E987">
            <w:pPr>
              <w:spacing w:before="57" w:line="229" w:lineRule="auto"/>
              <w:ind w:left="724"/>
              <w:rPr>
                <w:rFonts w:ascii="宋体" w:hAnsi="宋体" w:eastAsia="宋体" w:cs="宋体"/>
                <w:sz w:val="20"/>
                <w:szCs w:val="20"/>
              </w:rPr>
            </w:pPr>
            <w:r>
              <w:rPr>
                <w:rFonts w:ascii="宋体" w:hAnsi="宋体" w:eastAsia="宋体" w:cs="宋体"/>
                <w:spacing w:val="2"/>
                <w:sz w:val="20"/>
                <w:szCs w:val="20"/>
              </w:rPr>
              <w:t>䓛</w:t>
            </w:r>
          </w:p>
        </w:tc>
        <w:tc>
          <w:tcPr>
            <w:tcW w:w="3420" w:type="dxa"/>
            <w:vMerge w:val="continue"/>
            <w:tcBorders>
              <w:top w:val="nil"/>
              <w:bottom w:val="nil"/>
            </w:tcBorders>
            <w:vAlign w:val="top"/>
          </w:tcPr>
          <w:p w14:paraId="2352C6DD">
            <w:pPr>
              <w:rPr>
                <w:rFonts w:ascii="Arial"/>
                <w:sz w:val="21"/>
              </w:rPr>
            </w:pPr>
          </w:p>
        </w:tc>
        <w:tc>
          <w:tcPr>
            <w:tcW w:w="1680" w:type="dxa"/>
            <w:vMerge w:val="continue"/>
            <w:tcBorders>
              <w:top w:val="nil"/>
              <w:bottom w:val="nil"/>
            </w:tcBorders>
            <w:vAlign w:val="top"/>
          </w:tcPr>
          <w:p w14:paraId="623C1FB8">
            <w:pPr>
              <w:rPr>
                <w:rFonts w:ascii="Arial"/>
                <w:sz w:val="21"/>
              </w:rPr>
            </w:pPr>
          </w:p>
        </w:tc>
        <w:tc>
          <w:tcPr>
            <w:tcW w:w="1056" w:type="dxa"/>
            <w:tcBorders>
              <w:right w:val="nil"/>
            </w:tcBorders>
            <w:vAlign w:val="top"/>
          </w:tcPr>
          <w:p w14:paraId="01BD6AEF">
            <w:pPr>
              <w:spacing w:before="19"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022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5483C484">
            <w:pPr>
              <w:spacing w:before="9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650" w:type="dxa"/>
            <w:vAlign w:val="top"/>
          </w:tcPr>
          <w:p w14:paraId="67C6E3FE">
            <w:pPr>
              <w:spacing w:before="19" w:line="281" w:lineRule="exact"/>
              <w:ind w:left="141"/>
              <w:rPr>
                <w:rFonts w:ascii="宋体" w:hAnsi="宋体" w:eastAsia="宋体" w:cs="宋体"/>
                <w:sz w:val="20"/>
                <w:szCs w:val="20"/>
              </w:rPr>
            </w:pPr>
            <w:r>
              <w:rPr>
                <w:rFonts w:ascii="宋体" w:hAnsi="宋体" w:eastAsia="宋体" w:cs="宋体"/>
                <w:spacing w:val="1"/>
                <w:position w:val="2"/>
                <w:sz w:val="20"/>
                <w:szCs w:val="20"/>
              </w:rPr>
              <w:t>二苯并</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position w:val="2"/>
                <w:sz w:val="20"/>
                <w:szCs w:val="20"/>
              </w:rPr>
              <w:t>蒽</w:t>
            </w:r>
          </w:p>
        </w:tc>
        <w:tc>
          <w:tcPr>
            <w:tcW w:w="3420" w:type="dxa"/>
            <w:vMerge w:val="continue"/>
            <w:tcBorders>
              <w:top w:val="nil"/>
              <w:bottom w:val="nil"/>
            </w:tcBorders>
            <w:vAlign w:val="top"/>
          </w:tcPr>
          <w:p w14:paraId="136F9200">
            <w:pPr>
              <w:rPr>
                <w:rFonts w:ascii="Arial"/>
                <w:sz w:val="21"/>
              </w:rPr>
            </w:pPr>
          </w:p>
        </w:tc>
        <w:tc>
          <w:tcPr>
            <w:tcW w:w="1680" w:type="dxa"/>
            <w:vMerge w:val="continue"/>
            <w:tcBorders>
              <w:top w:val="nil"/>
              <w:bottom w:val="nil"/>
            </w:tcBorders>
            <w:vAlign w:val="top"/>
          </w:tcPr>
          <w:p w14:paraId="1B6851AD">
            <w:pPr>
              <w:rPr>
                <w:rFonts w:ascii="Arial"/>
                <w:sz w:val="21"/>
              </w:rPr>
            </w:pPr>
          </w:p>
        </w:tc>
        <w:tc>
          <w:tcPr>
            <w:tcW w:w="1056" w:type="dxa"/>
            <w:tcBorders>
              <w:right w:val="nil"/>
            </w:tcBorders>
            <w:vAlign w:val="top"/>
          </w:tcPr>
          <w:p w14:paraId="1A98C5D1">
            <w:pPr>
              <w:spacing w:before="19"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535D8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tcBorders>
              <w:left w:val="nil"/>
            </w:tcBorders>
            <w:vAlign w:val="top"/>
          </w:tcPr>
          <w:p w14:paraId="18B02587">
            <w:pPr>
              <w:spacing w:before="9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50" w:type="dxa"/>
            <w:vAlign w:val="top"/>
          </w:tcPr>
          <w:p w14:paraId="2EC52719">
            <w:pPr>
              <w:spacing w:before="18" w:line="281" w:lineRule="exact"/>
              <w:ind w:left="108"/>
              <w:rPr>
                <w:rFonts w:ascii="宋体" w:hAnsi="宋体" w:eastAsia="宋体" w:cs="宋体"/>
                <w:sz w:val="20"/>
                <w:szCs w:val="20"/>
              </w:rPr>
            </w:pPr>
            <w:r>
              <w:rPr>
                <w:rFonts w:ascii="宋体" w:hAnsi="宋体" w:eastAsia="宋体" w:cs="宋体"/>
                <w:spacing w:val="6"/>
                <w:position w:val="2"/>
                <w:sz w:val="20"/>
                <w:szCs w:val="20"/>
              </w:rPr>
              <w:t>茚</w:t>
            </w:r>
            <w:r>
              <w:rPr>
                <w:rFonts w:ascii="宋体" w:hAnsi="宋体" w:eastAsia="宋体" w:cs="宋体"/>
                <w:spacing w:val="5"/>
                <w:position w:val="2"/>
                <w:sz w:val="20"/>
                <w:szCs w:val="20"/>
              </w:rPr>
              <w:t>并</w:t>
            </w:r>
            <w:r>
              <w:rPr>
                <w:rFonts w:ascii="Times New Roman" w:hAnsi="Times New Roman" w:eastAsia="Times New Roman" w:cs="Times New Roman"/>
                <w:spacing w:val="5"/>
                <w:position w:val="2"/>
                <w:sz w:val="20"/>
                <w:szCs w:val="20"/>
              </w:rPr>
              <w:t>[1,2,3-</w:t>
            </w:r>
            <w:r>
              <w:rPr>
                <w:rFonts w:ascii="Times New Roman" w:hAnsi="Times New Roman" w:eastAsia="Times New Roman" w:cs="Times New Roman"/>
                <w:position w:val="2"/>
                <w:sz w:val="20"/>
                <w:szCs w:val="20"/>
              </w:rPr>
              <w:t>cd</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芘</w:t>
            </w:r>
          </w:p>
        </w:tc>
        <w:tc>
          <w:tcPr>
            <w:tcW w:w="3420" w:type="dxa"/>
            <w:vMerge w:val="continue"/>
            <w:tcBorders>
              <w:top w:val="nil"/>
              <w:bottom w:val="nil"/>
            </w:tcBorders>
            <w:vAlign w:val="top"/>
          </w:tcPr>
          <w:p w14:paraId="19931DC3">
            <w:pPr>
              <w:rPr>
                <w:rFonts w:ascii="Arial"/>
                <w:sz w:val="21"/>
              </w:rPr>
            </w:pPr>
          </w:p>
        </w:tc>
        <w:tc>
          <w:tcPr>
            <w:tcW w:w="1680" w:type="dxa"/>
            <w:vMerge w:val="continue"/>
            <w:tcBorders>
              <w:top w:val="nil"/>
              <w:bottom w:val="nil"/>
            </w:tcBorders>
            <w:vAlign w:val="top"/>
          </w:tcPr>
          <w:p w14:paraId="6AE7F407">
            <w:pPr>
              <w:rPr>
                <w:rFonts w:ascii="Arial"/>
                <w:sz w:val="21"/>
              </w:rPr>
            </w:pPr>
          </w:p>
        </w:tc>
        <w:tc>
          <w:tcPr>
            <w:tcW w:w="1056" w:type="dxa"/>
            <w:tcBorders>
              <w:right w:val="nil"/>
            </w:tcBorders>
            <w:vAlign w:val="top"/>
          </w:tcPr>
          <w:p w14:paraId="09151B0C">
            <w:pPr>
              <w:spacing w:before="18" w:line="281"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0</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spacing w:val="-2"/>
                <w:position w:val="4"/>
                <w:sz w:val="20"/>
                <w:szCs w:val="20"/>
              </w:rPr>
              <w:t xml:space="preserve"> 1mg/kg</w:t>
            </w:r>
          </w:p>
        </w:tc>
      </w:tr>
      <w:tr w14:paraId="1E831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46" w:type="dxa"/>
            <w:tcBorders>
              <w:left w:val="nil"/>
            </w:tcBorders>
            <w:vAlign w:val="top"/>
          </w:tcPr>
          <w:p w14:paraId="44DE3A06">
            <w:pPr>
              <w:spacing w:before="91"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650" w:type="dxa"/>
            <w:vAlign w:val="top"/>
          </w:tcPr>
          <w:p w14:paraId="01074695">
            <w:pPr>
              <w:spacing w:before="56" w:line="228" w:lineRule="auto"/>
              <w:ind w:left="726"/>
              <w:rPr>
                <w:rFonts w:ascii="宋体" w:hAnsi="宋体" w:eastAsia="宋体" w:cs="宋体"/>
                <w:sz w:val="20"/>
                <w:szCs w:val="20"/>
              </w:rPr>
            </w:pPr>
            <w:r>
              <w:rPr>
                <w:rFonts w:ascii="宋体" w:hAnsi="宋体" w:eastAsia="宋体" w:cs="宋体"/>
                <w:sz w:val="20"/>
                <w:szCs w:val="20"/>
              </w:rPr>
              <w:t>萘</w:t>
            </w:r>
          </w:p>
        </w:tc>
        <w:tc>
          <w:tcPr>
            <w:tcW w:w="3420" w:type="dxa"/>
            <w:vMerge w:val="continue"/>
            <w:tcBorders>
              <w:top w:val="nil"/>
            </w:tcBorders>
            <w:vAlign w:val="top"/>
          </w:tcPr>
          <w:p w14:paraId="6BB9EC32">
            <w:pPr>
              <w:rPr>
                <w:rFonts w:ascii="Arial"/>
                <w:sz w:val="21"/>
              </w:rPr>
            </w:pPr>
          </w:p>
        </w:tc>
        <w:tc>
          <w:tcPr>
            <w:tcW w:w="1680" w:type="dxa"/>
            <w:vMerge w:val="continue"/>
            <w:tcBorders>
              <w:top w:val="nil"/>
            </w:tcBorders>
            <w:vAlign w:val="top"/>
          </w:tcPr>
          <w:p w14:paraId="5064B3DF">
            <w:pPr>
              <w:rPr>
                <w:rFonts w:ascii="Arial"/>
                <w:sz w:val="21"/>
              </w:rPr>
            </w:pPr>
          </w:p>
        </w:tc>
        <w:tc>
          <w:tcPr>
            <w:tcW w:w="1056" w:type="dxa"/>
            <w:tcBorders>
              <w:right w:val="nil"/>
            </w:tcBorders>
            <w:vAlign w:val="top"/>
          </w:tcPr>
          <w:p w14:paraId="586695D3">
            <w:pPr>
              <w:spacing w:before="18" w:line="281"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r>
    </w:tbl>
    <w:p w14:paraId="45A15BCE">
      <w:pPr>
        <w:spacing w:line="260" w:lineRule="auto"/>
        <w:rPr>
          <w:rFonts w:ascii="Arial"/>
          <w:sz w:val="21"/>
        </w:rPr>
      </w:pPr>
    </w:p>
    <w:p w14:paraId="5A31833E">
      <w:pPr>
        <w:spacing w:before="74" w:line="228" w:lineRule="auto"/>
        <w:ind w:left="40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监测结</w:t>
      </w:r>
      <w:r>
        <w:rPr>
          <w:rFonts w:ascii="宋体" w:hAnsi="宋体" w:eastAsia="宋体" w:cs="宋体"/>
          <w:spacing w:val="19"/>
          <w:sz w:val="23"/>
          <w:szCs w:val="23"/>
        </w:rPr>
        <w:t>果</w:t>
      </w:r>
    </w:p>
    <w:p w14:paraId="0719A9E2">
      <w:pPr>
        <w:spacing w:line="275" w:lineRule="auto"/>
        <w:rPr>
          <w:rFonts w:ascii="Arial"/>
          <w:sz w:val="21"/>
        </w:rPr>
      </w:pPr>
    </w:p>
    <w:p w14:paraId="4854A591">
      <w:pPr>
        <w:spacing w:before="75" w:line="227" w:lineRule="auto"/>
        <w:ind w:left="516"/>
        <w:rPr>
          <w:rFonts w:ascii="宋体" w:hAnsi="宋体" w:eastAsia="宋体" w:cs="宋体"/>
          <w:sz w:val="23"/>
          <w:szCs w:val="23"/>
        </w:rPr>
      </w:pPr>
      <w:r>
        <w:rPr>
          <w:rFonts w:ascii="宋体" w:hAnsi="宋体" w:eastAsia="宋体" w:cs="宋体"/>
          <w:spacing w:val="3"/>
          <w:sz w:val="23"/>
          <w:szCs w:val="23"/>
        </w:rPr>
        <w:t xml:space="preserve">项目所在区域土壤环境现状监测结果见表 </w:t>
      </w:r>
      <w:r>
        <w:rPr>
          <w:rFonts w:ascii="Times New Roman" w:hAnsi="Times New Roman" w:eastAsia="Times New Roman" w:cs="Times New Roman"/>
          <w:spacing w:val="3"/>
          <w:sz w:val="23"/>
          <w:szCs w:val="23"/>
        </w:rPr>
        <w:t>4- 1</w:t>
      </w:r>
      <w:r>
        <w:rPr>
          <w:rFonts w:ascii="Times New Roman" w:hAnsi="Times New Roman" w:eastAsia="Times New Roman" w:cs="Times New Roman"/>
          <w:spacing w:val="2"/>
          <w:sz w:val="23"/>
          <w:szCs w:val="23"/>
        </w:rPr>
        <w:t>9</w:t>
      </w:r>
      <w:r>
        <w:rPr>
          <w:rFonts w:ascii="宋体" w:hAnsi="宋体" w:eastAsia="宋体" w:cs="宋体"/>
          <w:sz w:val="23"/>
          <w:szCs w:val="23"/>
        </w:rPr>
        <w:t>。</w:t>
      </w:r>
    </w:p>
    <w:p w14:paraId="5A7DEBF8">
      <w:pPr>
        <w:spacing w:line="276" w:lineRule="auto"/>
        <w:rPr>
          <w:rFonts w:ascii="Arial"/>
          <w:sz w:val="21"/>
        </w:rPr>
      </w:pPr>
    </w:p>
    <w:p w14:paraId="06873183">
      <w:pPr>
        <w:spacing w:before="75" w:line="228" w:lineRule="auto"/>
        <w:ind w:left="225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4"/>
          <w:sz w:val="23"/>
          <w:szCs w:val="23"/>
        </w:rPr>
        <w:t>4-19</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土壤环境质量监测结果表</w:t>
      </w:r>
    </w:p>
    <w:p w14:paraId="05653C56">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53"/>
        <w:gridCol w:w="1445"/>
        <w:gridCol w:w="2096"/>
        <w:gridCol w:w="2097"/>
        <w:gridCol w:w="748"/>
      </w:tblGrid>
      <w:tr w14:paraId="1496E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83" w:type="dxa"/>
            <w:vMerge w:val="restart"/>
            <w:tcBorders>
              <w:left w:val="nil"/>
              <w:bottom w:val="nil"/>
            </w:tcBorders>
            <w:vAlign w:val="top"/>
          </w:tcPr>
          <w:p w14:paraId="321CCD85">
            <w:pPr>
              <w:spacing w:line="290" w:lineRule="auto"/>
              <w:rPr>
                <w:rFonts w:ascii="Arial"/>
                <w:sz w:val="21"/>
              </w:rPr>
            </w:pPr>
          </w:p>
          <w:p w14:paraId="2C65BD17">
            <w:pPr>
              <w:spacing w:before="65" w:line="229"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7191" w:type="dxa"/>
            <w:gridSpan w:val="4"/>
            <w:vAlign w:val="top"/>
          </w:tcPr>
          <w:p w14:paraId="7C9BD9C7">
            <w:pPr>
              <w:spacing w:before="57" w:line="225" w:lineRule="auto"/>
              <w:ind w:left="318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测结果</w:t>
            </w:r>
          </w:p>
        </w:tc>
        <w:tc>
          <w:tcPr>
            <w:tcW w:w="748" w:type="dxa"/>
            <w:vMerge w:val="restart"/>
            <w:tcBorders>
              <w:bottom w:val="nil"/>
              <w:right w:val="nil"/>
            </w:tcBorders>
            <w:vAlign w:val="top"/>
          </w:tcPr>
          <w:p w14:paraId="7465884C">
            <w:pPr>
              <w:spacing w:line="290" w:lineRule="auto"/>
              <w:rPr>
                <w:rFonts w:ascii="Arial"/>
                <w:sz w:val="21"/>
              </w:rPr>
            </w:pPr>
          </w:p>
          <w:p w14:paraId="27EA31FD">
            <w:pPr>
              <w:spacing w:before="65" w:line="228" w:lineRule="auto"/>
              <w:ind w:left="17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r>
      <w:tr w14:paraId="4198A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83" w:type="dxa"/>
            <w:vMerge w:val="continue"/>
            <w:tcBorders>
              <w:top w:val="nil"/>
              <w:left w:val="nil"/>
              <w:bottom w:val="nil"/>
            </w:tcBorders>
            <w:vAlign w:val="top"/>
          </w:tcPr>
          <w:p w14:paraId="1BF1C4D2">
            <w:pPr>
              <w:rPr>
                <w:rFonts w:ascii="Arial"/>
                <w:sz w:val="21"/>
              </w:rPr>
            </w:pPr>
          </w:p>
        </w:tc>
        <w:tc>
          <w:tcPr>
            <w:tcW w:w="1553" w:type="dxa"/>
            <w:vAlign w:val="top"/>
          </w:tcPr>
          <w:p w14:paraId="45719F39">
            <w:pPr>
              <w:spacing w:before="31" w:line="227" w:lineRule="auto"/>
              <w:ind w:left="36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采样日</w:t>
            </w:r>
            <w:r>
              <w:rPr>
                <w:rFonts w:ascii="宋体" w:hAnsi="宋体" w:eastAsia="宋体" w:cs="宋体"/>
                <w:spacing w:val="8"/>
                <w:sz w:val="20"/>
                <w:szCs w:val="20"/>
                <w14:textOutline w14:w="3795" w14:cap="sq" w14:cmpd="sng">
                  <w14:solidFill>
                    <w14:srgbClr w14:val="000000"/>
                  </w14:solidFill>
                  <w14:prstDash w14:val="solid"/>
                  <w14:bevel/>
                </w14:textOutline>
              </w:rPr>
              <w:t>期</w:t>
            </w:r>
          </w:p>
        </w:tc>
        <w:tc>
          <w:tcPr>
            <w:tcW w:w="5638" w:type="dxa"/>
            <w:gridSpan w:val="3"/>
            <w:vAlign w:val="top"/>
          </w:tcPr>
          <w:p w14:paraId="7FA786D0">
            <w:pPr>
              <w:spacing w:before="32" w:line="227" w:lineRule="auto"/>
              <w:ind w:left="1955"/>
              <w:rPr>
                <w:rFonts w:ascii="宋体" w:hAnsi="宋体" w:eastAsia="宋体" w:cs="宋体"/>
                <w:sz w:val="20"/>
                <w:szCs w:val="20"/>
              </w:rPr>
            </w:pPr>
            <w:r>
              <w:rPr>
                <w:rFonts w:ascii="Times New Roman" w:hAnsi="Times New Roman" w:eastAsia="Times New Roman" w:cs="Times New Roman"/>
                <w:b/>
                <w:bCs/>
                <w:spacing w:val="1"/>
                <w:sz w:val="20"/>
                <w:szCs w:val="20"/>
              </w:rPr>
              <w:t>2019</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年</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08</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月</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0</w:t>
            </w:r>
            <w:r>
              <w:rPr>
                <w:rFonts w:ascii="Times New Roman" w:hAnsi="Times New Roman" w:eastAsia="Times New Roman" w:cs="Times New Roman"/>
                <w:b/>
                <w:bCs/>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日</w:t>
            </w:r>
          </w:p>
        </w:tc>
        <w:tc>
          <w:tcPr>
            <w:tcW w:w="748" w:type="dxa"/>
            <w:vMerge w:val="continue"/>
            <w:tcBorders>
              <w:top w:val="nil"/>
              <w:bottom w:val="nil"/>
              <w:right w:val="nil"/>
            </w:tcBorders>
            <w:vAlign w:val="top"/>
          </w:tcPr>
          <w:p w14:paraId="5A646236">
            <w:pPr>
              <w:rPr>
                <w:rFonts w:ascii="Arial"/>
                <w:sz w:val="21"/>
              </w:rPr>
            </w:pPr>
          </w:p>
        </w:tc>
      </w:tr>
      <w:tr w14:paraId="5BEA2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nil"/>
              <w:left w:val="nil"/>
            </w:tcBorders>
            <w:vAlign w:val="top"/>
          </w:tcPr>
          <w:p w14:paraId="1DC521DE">
            <w:pPr>
              <w:rPr>
                <w:rFonts w:ascii="Arial"/>
                <w:sz w:val="21"/>
              </w:rPr>
            </w:pPr>
          </w:p>
        </w:tc>
        <w:tc>
          <w:tcPr>
            <w:tcW w:w="1553" w:type="dxa"/>
            <w:vAlign w:val="top"/>
          </w:tcPr>
          <w:p w14:paraId="4D3E2144">
            <w:pPr>
              <w:spacing w:before="50" w:line="228" w:lineRule="auto"/>
              <w:ind w:left="36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1445" w:type="dxa"/>
            <w:vAlign w:val="top"/>
          </w:tcPr>
          <w:p w14:paraId="6AAA21D7">
            <w:pPr>
              <w:spacing w:before="51" w:line="228" w:lineRule="auto"/>
              <w:ind w:left="20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项目所在</w:t>
            </w:r>
            <w:r>
              <w:rPr>
                <w:rFonts w:ascii="宋体" w:hAnsi="宋体" w:eastAsia="宋体" w:cs="宋体"/>
                <w:spacing w:val="7"/>
                <w:sz w:val="20"/>
                <w:szCs w:val="20"/>
                <w14:textOutline w14:w="3795" w14:cap="sq" w14:cmpd="sng">
                  <w14:solidFill>
                    <w14:srgbClr w14:val="000000"/>
                  </w14:solidFill>
                  <w14:prstDash w14:val="solid"/>
                  <w14:bevel/>
                </w14:textOutline>
              </w:rPr>
              <w:t>地</w:t>
            </w:r>
          </w:p>
        </w:tc>
        <w:tc>
          <w:tcPr>
            <w:tcW w:w="2096" w:type="dxa"/>
            <w:vAlign w:val="top"/>
          </w:tcPr>
          <w:p w14:paraId="77E98D57">
            <w:pPr>
              <w:spacing w:before="50" w:line="228" w:lineRule="auto"/>
              <w:ind w:left="11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项</w:t>
            </w:r>
            <w:r>
              <w:rPr>
                <w:rFonts w:ascii="宋体" w:hAnsi="宋体" w:eastAsia="宋体" w:cs="宋体"/>
                <w:spacing w:val="9"/>
                <w:sz w:val="20"/>
                <w:szCs w:val="20"/>
                <w14:textOutline w14:w="3795" w14:cap="sq" w14:cmpd="sng">
                  <w14:solidFill>
                    <w14:srgbClr w14:val="000000"/>
                  </w14:solidFill>
                  <w14:prstDash w14:val="solid"/>
                  <w14:bevel/>
                </w14:textOutline>
              </w:rPr>
              <w:t>目占地范围内东侧</w:t>
            </w:r>
          </w:p>
        </w:tc>
        <w:tc>
          <w:tcPr>
            <w:tcW w:w="2097" w:type="dxa"/>
            <w:vAlign w:val="top"/>
          </w:tcPr>
          <w:p w14:paraId="44FD5656">
            <w:pPr>
              <w:spacing w:before="50" w:line="228" w:lineRule="auto"/>
              <w:ind w:left="11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项</w:t>
            </w:r>
            <w:r>
              <w:rPr>
                <w:rFonts w:ascii="宋体" w:hAnsi="宋体" w:eastAsia="宋体" w:cs="宋体"/>
                <w:spacing w:val="9"/>
                <w:sz w:val="20"/>
                <w:szCs w:val="20"/>
                <w14:textOutline w14:w="3795" w14:cap="sq" w14:cmpd="sng">
                  <w14:solidFill>
                    <w14:srgbClr w14:val="000000"/>
                  </w14:solidFill>
                  <w14:prstDash w14:val="solid"/>
                  <w14:bevel/>
                </w14:textOutline>
              </w:rPr>
              <w:t>目占地范围内西侧</w:t>
            </w:r>
          </w:p>
        </w:tc>
        <w:tc>
          <w:tcPr>
            <w:tcW w:w="748" w:type="dxa"/>
            <w:vMerge w:val="continue"/>
            <w:tcBorders>
              <w:top w:val="nil"/>
              <w:right w:val="nil"/>
            </w:tcBorders>
            <w:vAlign w:val="top"/>
          </w:tcPr>
          <w:p w14:paraId="6625DF22">
            <w:pPr>
              <w:rPr>
                <w:rFonts w:ascii="Arial"/>
                <w:sz w:val="21"/>
              </w:rPr>
            </w:pPr>
          </w:p>
        </w:tc>
      </w:tr>
      <w:tr w14:paraId="3E479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55D62441">
            <w:pPr>
              <w:spacing w:before="8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53" w:type="dxa"/>
            <w:vAlign w:val="top"/>
          </w:tcPr>
          <w:p w14:paraId="57C75A6B">
            <w:pPr>
              <w:spacing w:before="90" w:line="192"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c>
          <w:tcPr>
            <w:tcW w:w="1445" w:type="dxa"/>
            <w:vAlign w:val="top"/>
          </w:tcPr>
          <w:p w14:paraId="5353FBE8">
            <w:pPr>
              <w:spacing w:before="8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.04</w:t>
            </w:r>
          </w:p>
        </w:tc>
        <w:tc>
          <w:tcPr>
            <w:tcW w:w="2096" w:type="dxa"/>
            <w:vAlign w:val="top"/>
          </w:tcPr>
          <w:p w14:paraId="3E837A20">
            <w:pPr>
              <w:spacing w:before="87" w:line="195" w:lineRule="auto"/>
              <w:ind w:left="87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8. 15</w:t>
            </w:r>
          </w:p>
        </w:tc>
        <w:tc>
          <w:tcPr>
            <w:tcW w:w="2097" w:type="dxa"/>
            <w:vAlign w:val="top"/>
          </w:tcPr>
          <w:p w14:paraId="6602700C">
            <w:pPr>
              <w:spacing w:before="87" w:line="195"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.37</w:t>
            </w:r>
          </w:p>
        </w:tc>
        <w:tc>
          <w:tcPr>
            <w:tcW w:w="748" w:type="dxa"/>
            <w:tcBorders>
              <w:right w:val="nil"/>
            </w:tcBorders>
            <w:vAlign w:val="top"/>
          </w:tcPr>
          <w:p w14:paraId="5D6FAFB5">
            <w:pPr>
              <w:spacing w:before="52" w:line="228" w:lineRule="auto"/>
              <w:ind w:left="65"/>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量纲</w:t>
            </w:r>
          </w:p>
        </w:tc>
      </w:tr>
      <w:tr w14:paraId="55AE8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428C4E49">
            <w:pPr>
              <w:spacing w:before="8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53" w:type="dxa"/>
            <w:vAlign w:val="top"/>
          </w:tcPr>
          <w:p w14:paraId="5568CAB9">
            <w:pPr>
              <w:spacing w:before="52" w:line="228" w:lineRule="auto"/>
              <w:ind w:left="675"/>
              <w:rPr>
                <w:rFonts w:ascii="宋体" w:hAnsi="宋体" w:eastAsia="宋体" w:cs="宋体"/>
                <w:sz w:val="20"/>
                <w:szCs w:val="20"/>
              </w:rPr>
            </w:pPr>
            <w:r>
              <w:rPr>
                <w:rFonts w:ascii="宋体" w:hAnsi="宋体" w:eastAsia="宋体" w:cs="宋体"/>
                <w:spacing w:val="1"/>
                <w:sz w:val="20"/>
                <w:szCs w:val="20"/>
              </w:rPr>
              <w:t>砷</w:t>
            </w:r>
          </w:p>
        </w:tc>
        <w:tc>
          <w:tcPr>
            <w:tcW w:w="1445" w:type="dxa"/>
            <w:vAlign w:val="top"/>
          </w:tcPr>
          <w:p w14:paraId="7A930838">
            <w:pPr>
              <w:spacing w:before="88" w:line="198"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22</w:t>
            </w:r>
          </w:p>
        </w:tc>
        <w:tc>
          <w:tcPr>
            <w:tcW w:w="2096" w:type="dxa"/>
            <w:vAlign w:val="top"/>
          </w:tcPr>
          <w:p w14:paraId="4790AD7B">
            <w:pPr>
              <w:spacing w:before="88" w:line="198"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06</w:t>
            </w:r>
          </w:p>
        </w:tc>
        <w:tc>
          <w:tcPr>
            <w:tcW w:w="2097" w:type="dxa"/>
            <w:vAlign w:val="top"/>
          </w:tcPr>
          <w:p w14:paraId="69D60FDF">
            <w:pPr>
              <w:spacing w:before="88" w:line="195" w:lineRule="auto"/>
              <w:ind w:left="886"/>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16</w:t>
            </w:r>
          </w:p>
        </w:tc>
        <w:tc>
          <w:tcPr>
            <w:tcW w:w="748" w:type="dxa"/>
            <w:tcBorders>
              <w:right w:val="nil"/>
            </w:tcBorders>
            <w:vAlign w:val="top"/>
          </w:tcPr>
          <w:p w14:paraId="44934E68">
            <w:pPr>
              <w:spacing w:before="14"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38906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4A577F0D">
            <w:pPr>
              <w:spacing w:before="9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53" w:type="dxa"/>
            <w:vAlign w:val="top"/>
          </w:tcPr>
          <w:p w14:paraId="0A495052">
            <w:pPr>
              <w:spacing w:before="54" w:line="231" w:lineRule="auto"/>
              <w:ind w:left="675"/>
              <w:rPr>
                <w:rFonts w:ascii="宋体" w:hAnsi="宋体" w:eastAsia="宋体" w:cs="宋体"/>
                <w:sz w:val="20"/>
                <w:szCs w:val="20"/>
              </w:rPr>
            </w:pPr>
            <w:r>
              <w:rPr>
                <w:rFonts w:ascii="宋体" w:hAnsi="宋体" w:eastAsia="宋体" w:cs="宋体"/>
                <w:spacing w:val="2"/>
                <w:sz w:val="20"/>
                <w:szCs w:val="20"/>
              </w:rPr>
              <w:t>镉</w:t>
            </w:r>
          </w:p>
        </w:tc>
        <w:tc>
          <w:tcPr>
            <w:tcW w:w="1445" w:type="dxa"/>
            <w:vAlign w:val="top"/>
          </w:tcPr>
          <w:p w14:paraId="66455075">
            <w:pPr>
              <w:spacing w:before="9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.223</w:t>
            </w:r>
          </w:p>
        </w:tc>
        <w:tc>
          <w:tcPr>
            <w:tcW w:w="2096" w:type="dxa"/>
            <w:vAlign w:val="top"/>
          </w:tcPr>
          <w:p w14:paraId="3E0D87B4">
            <w:pPr>
              <w:spacing w:before="91"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w:t>
            </w:r>
            <w:r>
              <w:rPr>
                <w:rFonts w:ascii="Times New Roman" w:hAnsi="Times New Roman" w:eastAsia="Times New Roman" w:cs="Times New Roman"/>
                <w:spacing w:val="2"/>
                <w:sz w:val="20"/>
                <w:szCs w:val="20"/>
              </w:rPr>
              <w:t>1</w:t>
            </w:r>
          </w:p>
        </w:tc>
        <w:tc>
          <w:tcPr>
            <w:tcW w:w="2097" w:type="dxa"/>
            <w:vAlign w:val="top"/>
          </w:tcPr>
          <w:p w14:paraId="2591D30D">
            <w:pPr>
              <w:spacing w:before="91"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5"/>
                <w:sz w:val="20"/>
                <w:szCs w:val="20"/>
              </w:rPr>
              <w:t>. 138</w:t>
            </w:r>
          </w:p>
        </w:tc>
        <w:tc>
          <w:tcPr>
            <w:tcW w:w="748" w:type="dxa"/>
            <w:tcBorders>
              <w:right w:val="nil"/>
            </w:tcBorders>
            <w:vAlign w:val="top"/>
          </w:tcPr>
          <w:p w14:paraId="60B62B90">
            <w:pPr>
              <w:spacing w:before="17"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06A00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83" w:type="dxa"/>
            <w:tcBorders>
              <w:left w:val="nil"/>
            </w:tcBorders>
            <w:vAlign w:val="top"/>
          </w:tcPr>
          <w:p w14:paraId="4886A1AE">
            <w:pPr>
              <w:spacing w:before="9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53" w:type="dxa"/>
            <w:vAlign w:val="top"/>
          </w:tcPr>
          <w:p w14:paraId="3A4D11A3">
            <w:pPr>
              <w:spacing w:before="18" w:line="281" w:lineRule="exact"/>
              <w:ind w:left="397"/>
              <w:rPr>
                <w:rFonts w:ascii="Times New Roman" w:hAnsi="Times New Roman" w:eastAsia="Times New Roman" w:cs="Times New Roman"/>
                <w:sz w:val="20"/>
                <w:szCs w:val="20"/>
              </w:rPr>
            </w:pPr>
            <w:r>
              <w:rPr>
                <w:rFonts w:ascii="宋体" w:hAnsi="宋体" w:eastAsia="宋体" w:cs="宋体"/>
                <w:spacing w:val="7"/>
                <w:position w:val="2"/>
                <w:sz w:val="20"/>
                <w:szCs w:val="20"/>
              </w:rPr>
              <w:t>铬</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六价</w:t>
            </w:r>
            <w:r>
              <w:rPr>
                <w:rFonts w:ascii="Times New Roman" w:hAnsi="Times New Roman" w:eastAsia="Times New Roman" w:cs="Times New Roman"/>
                <w:spacing w:val="5"/>
                <w:position w:val="2"/>
                <w:sz w:val="20"/>
                <w:szCs w:val="20"/>
              </w:rPr>
              <w:t>)</w:t>
            </w:r>
          </w:p>
        </w:tc>
        <w:tc>
          <w:tcPr>
            <w:tcW w:w="1445" w:type="dxa"/>
            <w:vAlign w:val="top"/>
          </w:tcPr>
          <w:p w14:paraId="0CFB3F23">
            <w:pPr>
              <w:spacing w:before="53" w:line="267" w:lineRule="exact"/>
              <w:ind w:left="586"/>
              <w:rPr>
                <w:rFonts w:ascii="Times New Roman" w:hAnsi="Times New Roman" w:eastAsia="Times New Roman" w:cs="Times New Roman"/>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5"/>
                <w:position w:val="1"/>
                <w:sz w:val="20"/>
                <w:szCs w:val="20"/>
              </w:rPr>
              <w:t>2</w:t>
            </w:r>
          </w:p>
        </w:tc>
        <w:tc>
          <w:tcPr>
            <w:tcW w:w="2096" w:type="dxa"/>
            <w:vAlign w:val="top"/>
          </w:tcPr>
          <w:p w14:paraId="104F2448">
            <w:pPr>
              <w:spacing w:before="53" w:line="267" w:lineRule="exact"/>
              <w:ind w:left="910"/>
              <w:rPr>
                <w:rFonts w:ascii="Times New Roman" w:hAnsi="Times New Roman" w:eastAsia="Times New Roman" w:cs="Times New Roman"/>
                <w:sz w:val="20"/>
                <w:szCs w:val="20"/>
              </w:rPr>
            </w:pP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2</w:t>
            </w:r>
          </w:p>
        </w:tc>
        <w:tc>
          <w:tcPr>
            <w:tcW w:w="2097" w:type="dxa"/>
            <w:vAlign w:val="top"/>
          </w:tcPr>
          <w:p w14:paraId="25F24902">
            <w:pPr>
              <w:spacing w:before="53" w:line="267" w:lineRule="exact"/>
              <w:ind w:left="911"/>
              <w:rPr>
                <w:rFonts w:ascii="Times New Roman" w:hAnsi="Times New Roman" w:eastAsia="Times New Roman" w:cs="Times New Roman"/>
                <w:sz w:val="20"/>
                <w:szCs w:val="20"/>
              </w:rPr>
            </w:pP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2</w:t>
            </w:r>
          </w:p>
        </w:tc>
        <w:tc>
          <w:tcPr>
            <w:tcW w:w="748" w:type="dxa"/>
            <w:tcBorders>
              <w:right w:val="nil"/>
            </w:tcBorders>
            <w:vAlign w:val="top"/>
          </w:tcPr>
          <w:p w14:paraId="6101141C">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bl>
    <w:p w14:paraId="24514033">
      <w:pPr>
        <w:rPr>
          <w:rFonts w:ascii="Arial"/>
          <w:sz w:val="21"/>
        </w:rPr>
      </w:pPr>
    </w:p>
    <w:p w14:paraId="15353AEC">
      <w:pPr>
        <w:sectPr>
          <w:headerReference r:id="rId182" w:type="default"/>
          <w:footerReference r:id="rId183" w:type="default"/>
          <w:pgSz w:w="11906" w:h="16839"/>
          <w:pgMar w:top="1132" w:right="1606" w:bottom="1182" w:left="1777" w:header="878" w:footer="1022" w:gutter="0"/>
          <w:cols w:space="720" w:num="1"/>
        </w:sectPr>
      </w:pPr>
    </w:p>
    <w:p w14:paraId="7A0B3BD6">
      <w:r>
        <w:pict>
          <v:rect id="_x0000_s1228" o:spid="_x0000_s1228" o:spt="1" style="position:absolute;left:0pt;margin-left:90pt;margin-top:57.35pt;height:0.75pt;width:415.3pt;mso-position-horizontal-relative:page;mso-position-vertical-relative:page;z-index:251880448;mso-width-relative:page;mso-height-relative:page;" fillcolor="#000000" filled="t" stroked="f" coordsize="21600,21600" o:allowincell="f">
            <v:path/>
            <v:fill on="t" focussize="0,0"/>
            <v:stroke on="f"/>
            <v:imagedata o:title=""/>
            <o:lock v:ext="edit"/>
          </v:rect>
        </w:pict>
      </w:r>
    </w:p>
    <w:p w14:paraId="5B02294A">
      <w:pPr>
        <w:spacing w:line="65"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53"/>
        <w:gridCol w:w="1445"/>
        <w:gridCol w:w="2096"/>
        <w:gridCol w:w="2097"/>
        <w:gridCol w:w="748"/>
      </w:tblGrid>
      <w:tr w14:paraId="23CF1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83" w:type="dxa"/>
            <w:tcBorders>
              <w:left w:val="nil"/>
            </w:tcBorders>
            <w:vAlign w:val="top"/>
          </w:tcPr>
          <w:p w14:paraId="7B11FAD0">
            <w:pPr>
              <w:spacing w:before="114" w:line="192"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3" w:type="dxa"/>
            <w:vAlign w:val="top"/>
          </w:tcPr>
          <w:p w14:paraId="6F8C35B6">
            <w:pPr>
              <w:spacing w:before="75" w:line="229" w:lineRule="auto"/>
              <w:ind w:left="676"/>
              <w:rPr>
                <w:rFonts w:ascii="宋体" w:hAnsi="宋体" w:eastAsia="宋体" w:cs="宋体"/>
                <w:sz w:val="20"/>
                <w:szCs w:val="20"/>
              </w:rPr>
            </w:pPr>
            <w:r>
              <w:rPr>
                <w:rFonts w:ascii="宋体" w:hAnsi="宋体" w:eastAsia="宋体" w:cs="宋体"/>
                <w:sz w:val="20"/>
                <w:szCs w:val="20"/>
              </w:rPr>
              <w:t>铜</w:t>
            </w:r>
          </w:p>
        </w:tc>
        <w:tc>
          <w:tcPr>
            <w:tcW w:w="1445" w:type="dxa"/>
            <w:vAlign w:val="top"/>
          </w:tcPr>
          <w:p w14:paraId="33287F79">
            <w:pPr>
              <w:spacing w:before="111"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26</w:t>
            </w:r>
          </w:p>
        </w:tc>
        <w:tc>
          <w:tcPr>
            <w:tcW w:w="2096" w:type="dxa"/>
            <w:vAlign w:val="top"/>
          </w:tcPr>
          <w:p w14:paraId="7275E633">
            <w:pPr>
              <w:spacing w:before="111" w:line="195" w:lineRule="auto"/>
              <w:ind w:left="8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72</w:t>
            </w:r>
          </w:p>
        </w:tc>
        <w:tc>
          <w:tcPr>
            <w:tcW w:w="2097" w:type="dxa"/>
            <w:vAlign w:val="top"/>
          </w:tcPr>
          <w:p w14:paraId="2DC2C2DB">
            <w:pPr>
              <w:spacing w:before="111" w:line="195" w:lineRule="auto"/>
              <w:ind w:left="8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748" w:type="dxa"/>
            <w:tcBorders>
              <w:right w:val="nil"/>
            </w:tcBorders>
            <w:vAlign w:val="top"/>
          </w:tcPr>
          <w:p w14:paraId="01ED734D">
            <w:pPr>
              <w:spacing w:before="3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362FA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0A809587">
            <w:pPr>
              <w:spacing w:before="8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53" w:type="dxa"/>
            <w:vAlign w:val="top"/>
          </w:tcPr>
          <w:p w14:paraId="60EF014D">
            <w:pPr>
              <w:spacing w:before="51" w:line="232" w:lineRule="auto"/>
              <w:ind w:left="676"/>
              <w:rPr>
                <w:rFonts w:ascii="宋体" w:hAnsi="宋体" w:eastAsia="宋体" w:cs="宋体"/>
                <w:sz w:val="20"/>
                <w:szCs w:val="20"/>
              </w:rPr>
            </w:pPr>
            <w:r>
              <w:rPr>
                <w:rFonts w:ascii="宋体" w:hAnsi="宋体" w:eastAsia="宋体" w:cs="宋体"/>
                <w:sz w:val="20"/>
                <w:szCs w:val="20"/>
              </w:rPr>
              <w:t>铅</w:t>
            </w:r>
          </w:p>
        </w:tc>
        <w:tc>
          <w:tcPr>
            <w:tcW w:w="1445" w:type="dxa"/>
            <w:vAlign w:val="top"/>
          </w:tcPr>
          <w:p w14:paraId="03C72681">
            <w:pPr>
              <w:spacing w:before="87"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3</w:t>
            </w:r>
          </w:p>
        </w:tc>
        <w:tc>
          <w:tcPr>
            <w:tcW w:w="2096" w:type="dxa"/>
            <w:vAlign w:val="top"/>
          </w:tcPr>
          <w:p w14:paraId="16EE3DA0">
            <w:pPr>
              <w:spacing w:before="87"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4</w:t>
            </w:r>
          </w:p>
        </w:tc>
        <w:tc>
          <w:tcPr>
            <w:tcW w:w="2097" w:type="dxa"/>
            <w:vAlign w:val="top"/>
          </w:tcPr>
          <w:p w14:paraId="2B635CA1">
            <w:pPr>
              <w:spacing w:before="87"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.0</w:t>
            </w:r>
          </w:p>
        </w:tc>
        <w:tc>
          <w:tcPr>
            <w:tcW w:w="748" w:type="dxa"/>
            <w:tcBorders>
              <w:right w:val="nil"/>
            </w:tcBorders>
            <w:vAlign w:val="top"/>
          </w:tcPr>
          <w:p w14:paraId="1A824D16">
            <w:pPr>
              <w:spacing w:before="13"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45333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61BA82F1">
            <w:pPr>
              <w:spacing w:before="92"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53" w:type="dxa"/>
            <w:vAlign w:val="top"/>
          </w:tcPr>
          <w:p w14:paraId="39E0368D">
            <w:pPr>
              <w:spacing w:before="53" w:line="228" w:lineRule="auto"/>
              <w:ind w:left="677"/>
              <w:rPr>
                <w:rFonts w:ascii="宋体" w:hAnsi="宋体" w:eastAsia="宋体" w:cs="宋体"/>
                <w:sz w:val="20"/>
                <w:szCs w:val="20"/>
              </w:rPr>
            </w:pPr>
            <w:r>
              <w:rPr>
                <w:rFonts w:ascii="宋体" w:hAnsi="宋体" w:eastAsia="宋体" w:cs="宋体"/>
                <w:sz w:val="20"/>
                <w:szCs w:val="20"/>
              </w:rPr>
              <w:t>汞</w:t>
            </w:r>
          </w:p>
        </w:tc>
        <w:tc>
          <w:tcPr>
            <w:tcW w:w="1445" w:type="dxa"/>
            <w:vAlign w:val="top"/>
          </w:tcPr>
          <w:p w14:paraId="7D58F822">
            <w:pPr>
              <w:spacing w:before="89"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.629</w:t>
            </w:r>
          </w:p>
        </w:tc>
        <w:tc>
          <w:tcPr>
            <w:tcW w:w="2096" w:type="dxa"/>
            <w:vAlign w:val="top"/>
          </w:tcPr>
          <w:p w14:paraId="457C244E">
            <w:pPr>
              <w:spacing w:before="89"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0.62</w:t>
            </w:r>
            <w:r>
              <w:rPr>
                <w:rFonts w:ascii="Times New Roman" w:hAnsi="Times New Roman" w:eastAsia="Times New Roman" w:cs="Times New Roman"/>
                <w:spacing w:val="2"/>
                <w:sz w:val="20"/>
                <w:szCs w:val="20"/>
              </w:rPr>
              <w:t>0</w:t>
            </w:r>
          </w:p>
        </w:tc>
        <w:tc>
          <w:tcPr>
            <w:tcW w:w="2097" w:type="dxa"/>
            <w:vAlign w:val="top"/>
          </w:tcPr>
          <w:p w14:paraId="21BC5D78">
            <w:pPr>
              <w:spacing w:before="89"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.723</w:t>
            </w:r>
          </w:p>
        </w:tc>
        <w:tc>
          <w:tcPr>
            <w:tcW w:w="748" w:type="dxa"/>
            <w:tcBorders>
              <w:right w:val="nil"/>
            </w:tcBorders>
            <w:vAlign w:val="top"/>
          </w:tcPr>
          <w:p w14:paraId="21DFDC66">
            <w:pPr>
              <w:spacing w:before="15"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23957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3151BB49">
            <w:pPr>
              <w:spacing w:before="8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53" w:type="dxa"/>
            <w:vAlign w:val="top"/>
          </w:tcPr>
          <w:p w14:paraId="2EF89CDA">
            <w:pPr>
              <w:spacing w:before="53" w:line="228" w:lineRule="auto"/>
              <w:ind w:left="675"/>
              <w:rPr>
                <w:rFonts w:ascii="宋体" w:hAnsi="宋体" w:eastAsia="宋体" w:cs="宋体"/>
                <w:sz w:val="20"/>
                <w:szCs w:val="20"/>
              </w:rPr>
            </w:pPr>
            <w:r>
              <w:rPr>
                <w:rFonts w:ascii="宋体" w:hAnsi="宋体" w:eastAsia="宋体" w:cs="宋体"/>
                <w:spacing w:val="1"/>
                <w:sz w:val="20"/>
                <w:szCs w:val="20"/>
              </w:rPr>
              <w:t>镍</w:t>
            </w:r>
          </w:p>
        </w:tc>
        <w:tc>
          <w:tcPr>
            <w:tcW w:w="1445" w:type="dxa"/>
            <w:vAlign w:val="top"/>
          </w:tcPr>
          <w:p w14:paraId="4E29AD2D">
            <w:pPr>
              <w:spacing w:before="88"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2096" w:type="dxa"/>
            <w:vAlign w:val="top"/>
          </w:tcPr>
          <w:p w14:paraId="6A96E7BB">
            <w:pPr>
              <w:spacing w:before="88" w:line="195" w:lineRule="auto"/>
              <w:ind w:left="8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71</w:t>
            </w:r>
          </w:p>
        </w:tc>
        <w:tc>
          <w:tcPr>
            <w:tcW w:w="2097" w:type="dxa"/>
            <w:vAlign w:val="top"/>
          </w:tcPr>
          <w:p w14:paraId="1927DD96">
            <w:pPr>
              <w:spacing w:before="88" w:line="195" w:lineRule="auto"/>
              <w:ind w:left="89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77</w:t>
            </w:r>
          </w:p>
        </w:tc>
        <w:tc>
          <w:tcPr>
            <w:tcW w:w="748" w:type="dxa"/>
            <w:tcBorders>
              <w:right w:val="nil"/>
            </w:tcBorders>
            <w:vAlign w:val="top"/>
          </w:tcPr>
          <w:p w14:paraId="5AAC787C">
            <w:pPr>
              <w:spacing w:before="15"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1DB03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7B5BB72E">
            <w:pPr>
              <w:spacing w:before="8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53" w:type="dxa"/>
            <w:vAlign w:val="top"/>
          </w:tcPr>
          <w:p w14:paraId="27B9CEA6">
            <w:pPr>
              <w:spacing w:before="52" w:line="233" w:lineRule="auto"/>
              <w:ind w:left="465"/>
              <w:rPr>
                <w:rFonts w:ascii="宋体" w:hAnsi="宋体" w:eastAsia="宋体" w:cs="宋体"/>
                <w:sz w:val="20"/>
                <w:szCs w:val="20"/>
              </w:rPr>
            </w:pPr>
            <w:r>
              <w:rPr>
                <w:rFonts w:ascii="宋体" w:hAnsi="宋体" w:eastAsia="宋体" w:cs="宋体"/>
                <w:spacing w:val="7"/>
                <w:sz w:val="20"/>
                <w:szCs w:val="20"/>
              </w:rPr>
              <w:t>全盐</w:t>
            </w:r>
            <w:r>
              <w:rPr>
                <w:rFonts w:ascii="宋体" w:hAnsi="宋体" w:eastAsia="宋体" w:cs="宋体"/>
                <w:spacing w:val="6"/>
                <w:sz w:val="20"/>
                <w:szCs w:val="20"/>
              </w:rPr>
              <w:t>量</w:t>
            </w:r>
          </w:p>
        </w:tc>
        <w:tc>
          <w:tcPr>
            <w:tcW w:w="1445" w:type="dxa"/>
            <w:vAlign w:val="top"/>
          </w:tcPr>
          <w:p w14:paraId="6D284D96">
            <w:pPr>
              <w:spacing w:before="88" w:line="198"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w:t>
            </w:r>
          </w:p>
        </w:tc>
        <w:tc>
          <w:tcPr>
            <w:tcW w:w="2096" w:type="dxa"/>
            <w:vAlign w:val="top"/>
          </w:tcPr>
          <w:p w14:paraId="1D264FA5">
            <w:pPr>
              <w:spacing w:before="88" w:line="198" w:lineRule="auto"/>
              <w:ind w:left="9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2097" w:type="dxa"/>
            <w:vAlign w:val="top"/>
          </w:tcPr>
          <w:p w14:paraId="045F2717">
            <w:pPr>
              <w:spacing w:before="88" w:line="198" w:lineRule="auto"/>
              <w:ind w:left="91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.1</w:t>
            </w:r>
          </w:p>
        </w:tc>
        <w:tc>
          <w:tcPr>
            <w:tcW w:w="748" w:type="dxa"/>
            <w:tcBorders>
              <w:right w:val="nil"/>
            </w:tcBorders>
            <w:vAlign w:val="top"/>
          </w:tcPr>
          <w:p w14:paraId="061E95A1">
            <w:pPr>
              <w:spacing w:before="14" w:line="281" w:lineRule="exact"/>
              <w:ind w:left="18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g</w:t>
            </w:r>
            <w:r>
              <w:rPr>
                <w:rFonts w:ascii="Times New Roman" w:hAnsi="Times New Roman" w:eastAsia="Times New Roman" w:cs="Times New Roman"/>
                <w:spacing w:val="9"/>
                <w:position w:val="4"/>
                <w:sz w:val="20"/>
                <w:szCs w:val="20"/>
              </w:rPr>
              <w:t>/</w:t>
            </w:r>
            <w:r>
              <w:rPr>
                <w:rFonts w:ascii="Times New Roman" w:hAnsi="Times New Roman" w:eastAsia="Times New Roman" w:cs="Times New Roman"/>
                <w:position w:val="4"/>
                <w:sz w:val="20"/>
                <w:szCs w:val="20"/>
              </w:rPr>
              <w:t>kg</w:t>
            </w:r>
          </w:p>
        </w:tc>
      </w:tr>
      <w:tr w14:paraId="4B570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2AB81BD">
            <w:pPr>
              <w:spacing w:before="8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553" w:type="dxa"/>
            <w:vAlign w:val="top"/>
          </w:tcPr>
          <w:p w14:paraId="511764FA">
            <w:pPr>
              <w:spacing w:before="53" w:line="228" w:lineRule="auto"/>
              <w:ind w:left="382"/>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1445" w:type="dxa"/>
            <w:vAlign w:val="top"/>
          </w:tcPr>
          <w:p w14:paraId="29BE93B4">
            <w:pPr>
              <w:spacing w:before="53" w:line="263"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.3</w:t>
            </w:r>
          </w:p>
        </w:tc>
        <w:tc>
          <w:tcPr>
            <w:tcW w:w="2096" w:type="dxa"/>
            <w:vAlign w:val="top"/>
          </w:tcPr>
          <w:p w14:paraId="07B73342">
            <w:pPr>
              <w:spacing w:before="53" w:line="263"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.3</w:t>
            </w:r>
          </w:p>
        </w:tc>
        <w:tc>
          <w:tcPr>
            <w:tcW w:w="2097" w:type="dxa"/>
            <w:vAlign w:val="top"/>
          </w:tcPr>
          <w:p w14:paraId="462F21DC">
            <w:pPr>
              <w:spacing w:before="53" w:line="263" w:lineRule="exact"/>
              <w:ind w:left="832"/>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1.3</w:t>
            </w:r>
          </w:p>
        </w:tc>
        <w:tc>
          <w:tcPr>
            <w:tcW w:w="748" w:type="dxa"/>
            <w:tcBorders>
              <w:right w:val="nil"/>
            </w:tcBorders>
            <w:vAlign w:val="top"/>
          </w:tcPr>
          <w:p w14:paraId="1D3778EA">
            <w:pPr>
              <w:spacing w:before="15"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3EC04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0D203BF6">
            <w:pPr>
              <w:spacing w:before="8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553" w:type="dxa"/>
            <w:vAlign w:val="top"/>
          </w:tcPr>
          <w:p w14:paraId="3402176A">
            <w:pPr>
              <w:spacing w:before="53" w:line="228" w:lineRule="auto"/>
              <w:ind w:left="574"/>
              <w:rPr>
                <w:rFonts w:ascii="宋体" w:hAnsi="宋体" w:eastAsia="宋体" w:cs="宋体"/>
                <w:sz w:val="20"/>
                <w:szCs w:val="20"/>
              </w:rPr>
            </w:pPr>
            <w:r>
              <w:rPr>
                <w:rFonts w:ascii="宋体" w:hAnsi="宋体" w:eastAsia="宋体" w:cs="宋体"/>
                <w:spacing w:val="3"/>
                <w:sz w:val="20"/>
                <w:szCs w:val="20"/>
              </w:rPr>
              <w:t>氯仿</w:t>
            </w:r>
          </w:p>
        </w:tc>
        <w:tc>
          <w:tcPr>
            <w:tcW w:w="1445" w:type="dxa"/>
            <w:vAlign w:val="top"/>
          </w:tcPr>
          <w:p w14:paraId="4FEBE862">
            <w:pPr>
              <w:spacing w:before="52" w:line="264" w:lineRule="exact"/>
              <w:ind w:left="507"/>
              <w:rPr>
                <w:rFonts w:ascii="Times New Roman" w:hAnsi="Times New Roman" w:eastAsia="Times New Roman" w:cs="Times New Roman"/>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4"/>
                <w:position w:val="1"/>
                <w:sz w:val="20"/>
                <w:szCs w:val="20"/>
              </w:rPr>
              <w:t>1.1</w:t>
            </w:r>
          </w:p>
        </w:tc>
        <w:tc>
          <w:tcPr>
            <w:tcW w:w="2096" w:type="dxa"/>
            <w:vAlign w:val="top"/>
          </w:tcPr>
          <w:p w14:paraId="4F6207A4">
            <w:pPr>
              <w:spacing w:before="52" w:line="264" w:lineRule="exact"/>
              <w:ind w:left="833"/>
              <w:rPr>
                <w:rFonts w:ascii="Times New Roman" w:hAnsi="Times New Roman" w:eastAsia="Times New Roman" w:cs="Times New Roman"/>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4"/>
                <w:position w:val="1"/>
                <w:sz w:val="20"/>
                <w:szCs w:val="20"/>
              </w:rPr>
              <w:t>1.1</w:t>
            </w:r>
          </w:p>
        </w:tc>
        <w:tc>
          <w:tcPr>
            <w:tcW w:w="2097" w:type="dxa"/>
            <w:vAlign w:val="top"/>
          </w:tcPr>
          <w:p w14:paraId="2761EF16">
            <w:pPr>
              <w:spacing w:before="52" w:line="264" w:lineRule="exact"/>
              <w:ind w:left="832"/>
              <w:rPr>
                <w:rFonts w:ascii="Times New Roman" w:hAnsi="Times New Roman" w:eastAsia="Times New Roman" w:cs="Times New Roman"/>
                <w:sz w:val="20"/>
                <w:szCs w:val="20"/>
              </w:rPr>
            </w:pPr>
            <w:r>
              <w:rPr>
                <w:rFonts w:ascii="宋体" w:hAnsi="宋体" w:eastAsia="宋体" w:cs="宋体"/>
                <w:spacing w:val="5"/>
                <w:position w:val="1"/>
                <w:sz w:val="20"/>
                <w:szCs w:val="20"/>
              </w:rPr>
              <w:t>＜</w:t>
            </w:r>
            <w:r>
              <w:rPr>
                <w:rFonts w:ascii="Times New Roman" w:hAnsi="Times New Roman" w:eastAsia="Times New Roman" w:cs="Times New Roman"/>
                <w:spacing w:val="5"/>
                <w:position w:val="1"/>
                <w:sz w:val="20"/>
                <w:szCs w:val="20"/>
              </w:rPr>
              <w:t>1.1</w:t>
            </w:r>
          </w:p>
        </w:tc>
        <w:tc>
          <w:tcPr>
            <w:tcW w:w="748" w:type="dxa"/>
            <w:tcBorders>
              <w:right w:val="nil"/>
            </w:tcBorders>
            <w:vAlign w:val="top"/>
          </w:tcPr>
          <w:p w14:paraId="28E3A805">
            <w:pPr>
              <w:spacing w:before="15"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45B9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58F6626F">
            <w:pPr>
              <w:spacing w:before="8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553" w:type="dxa"/>
            <w:vAlign w:val="top"/>
          </w:tcPr>
          <w:p w14:paraId="603AC9AE">
            <w:pPr>
              <w:spacing w:before="52" w:line="228" w:lineRule="auto"/>
              <w:ind w:left="468"/>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1445" w:type="dxa"/>
            <w:vAlign w:val="top"/>
          </w:tcPr>
          <w:p w14:paraId="32E0B54E">
            <w:pPr>
              <w:spacing w:before="52" w:line="264"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position w:val="1"/>
                <w:sz w:val="20"/>
                <w:szCs w:val="20"/>
              </w:rPr>
              <w:t>1.0</w:t>
            </w:r>
          </w:p>
        </w:tc>
        <w:tc>
          <w:tcPr>
            <w:tcW w:w="2096" w:type="dxa"/>
            <w:vAlign w:val="top"/>
          </w:tcPr>
          <w:p w14:paraId="5CC2A648">
            <w:pPr>
              <w:spacing w:before="52" w:line="264"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position w:val="1"/>
                <w:sz w:val="20"/>
                <w:szCs w:val="20"/>
              </w:rPr>
              <w:t>1.0</w:t>
            </w:r>
          </w:p>
        </w:tc>
        <w:tc>
          <w:tcPr>
            <w:tcW w:w="2097" w:type="dxa"/>
            <w:vAlign w:val="top"/>
          </w:tcPr>
          <w:p w14:paraId="1AAD08CD">
            <w:pPr>
              <w:spacing w:before="52" w:line="264" w:lineRule="exact"/>
              <w:ind w:left="832"/>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0</w:t>
            </w:r>
          </w:p>
        </w:tc>
        <w:tc>
          <w:tcPr>
            <w:tcW w:w="748" w:type="dxa"/>
            <w:tcBorders>
              <w:right w:val="nil"/>
            </w:tcBorders>
            <w:vAlign w:val="top"/>
          </w:tcPr>
          <w:p w14:paraId="0D58CA2C">
            <w:pPr>
              <w:spacing w:before="14"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0AB73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1D6CD74A">
            <w:pPr>
              <w:spacing w:before="9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553" w:type="dxa"/>
            <w:vAlign w:val="top"/>
          </w:tcPr>
          <w:p w14:paraId="0046CA0B">
            <w:pPr>
              <w:spacing w:before="54" w:line="233" w:lineRule="auto"/>
              <w:ind w:left="213"/>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1-</w:t>
            </w:r>
            <w:r>
              <w:rPr>
                <w:rFonts w:ascii="宋体" w:hAnsi="宋体" w:eastAsia="宋体" w:cs="宋体"/>
                <w:spacing w:val="-2"/>
                <w:sz w:val="20"/>
                <w:szCs w:val="20"/>
              </w:rPr>
              <w:t>二氯乙烷</w:t>
            </w:r>
          </w:p>
        </w:tc>
        <w:tc>
          <w:tcPr>
            <w:tcW w:w="1445" w:type="dxa"/>
            <w:vAlign w:val="top"/>
          </w:tcPr>
          <w:p w14:paraId="46AEAF2F">
            <w:pPr>
              <w:spacing w:before="51" w:line="265"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6" w:type="dxa"/>
            <w:vAlign w:val="top"/>
          </w:tcPr>
          <w:p w14:paraId="42FA211D">
            <w:pPr>
              <w:spacing w:before="51" w:line="265"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7" w:type="dxa"/>
            <w:vAlign w:val="top"/>
          </w:tcPr>
          <w:p w14:paraId="26CA7F31">
            <w:pPr>
              <w:spacing w:before="51" w:line="265" w:lineRule="exact"/>
              <w:ind w:left="832"/>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1.2</w:t>
            </w:r>
          </w:p>
        </w:tc>
        <w:tc>
          <w:tcPr>
            <w:tcW w:w="748" w:type="dxa"/>
            <w:tcBorders>
              <w:right w:val="nil"/>
            </w:tcBorders>
            <w:vAlign w:val="top"/>
          </w:tcPr>
          <w:p w14:paraId="62F3048D">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24CB8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314EB6C9">
            <w:pPr>
              <w:spacing w:before="89"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553" w:type="dxa"/>
            <w:vAlign w:val="top"/>
          </w:tcPr>
          <w:p w14:paraId="68A9ECD0">
            <w:pPr>
              <w:spacing w:before="54" w:line="233" w:lineRule="auto"/>
              <w:ind w:left="213"/>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二氯乙烷</w:t>
            </w:r>
          </w:p>
        </w:tc>
        <w:tc>
          <w:tcPr>
            <w:tcW w:w="1445" w:type="dxa"/>
            <w:vAlign w:val="top"/>
          </w:tcPr>
          <w:p w14:paraId="5D8683DE">
            <w:pPr>
              <w:spacing w:before="51" w:line="264"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.3</w:t>
            </w:r>
          </w:p>
        </w:tc>
        <w:tc>
          <w:tcPr>
            <w:tcW w:w="2096" w:type="dxa"/>
            <w:vAlign w:val="top"/>
          </w:tcPr>
          <w:p w14:paraId="048505A5">
            <w:pPr>
              <w:spacing w:before="51" w:line="264"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.3</w:t>
            </w:r>
          </w:p>
        </w:tc>
        <w:tc>
          <w:tcPr>
            <w:tcW w:w="2097" w:type="dxa"/>
            <w:vAlign w:val="top"/>
          </w:tcPr>
          <w:p w14:paraId="0367617E">
            <w:pPr>
              <w:spacing w:before="51" w:line="264" w:lineRule="exact"/>
              <w:ind w:left="832"/>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1.3</w:t>
            </w:r>
          </w:p>
        </w:tc>
        <w:tc>
          <w:tcPr>
            <w:tcW w:w="748" w:type="dxa"/>
            <w:tcBorders>
              <w:right w:val="nil"/>
            </w:tcBorders>
            <w:vAlign w:val="top"/>
          </w:tcPr>
          <w:p w14:paraId="1DC64CE0">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62580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570C1F9">
            <w:pPr>
              <w:spacing w:before="9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553" w:type="dxa"/>
            <w:vAlign w:val="top"/>
          </w:tcPr>
          <w:p w14:paraId="35D0D1E5">
            <w:pPr>
              <w:spacing w:before="54" w:line="233" w:lineRule="auto"/>
              <w:ind w:left="213"/>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1-</w:t>
            </w:r>
            <w:r>
              <w:rPr>
                <w:rFonts w:ascii="宋体" w:hAnsi="宋体" w:eastAsia="宋体" w:cs="宋体"/>
                <w:spacing w:val="-2"/>
                <w:sz w:val="20"/>
                <w:szCs w:val="20"/>
              </w:rPr>
              <w:t>二氯乙烯</w:t>
            </w:r>
          </w:p>
        </w:tc>
        <w:tc>
          <w:tcPr>
            <w:tcW w:w="1445" w:type="dxa"/>
            <w:vAlign w:val="top"/>
          </w:tcPr>
          <w:p w14:paraId="2ECFC4D0">
            <w:pPr>
              <w:spacing w:before="54" w:line="242"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z w:val="20"/>
                <w:szCs w:val="20"/>
              </w:rPr>
              <w:t>1.0</w:t>
            </w:r>
          </w:p>
        </w:tc>
        <w:tc>
          <w:tcPr>
            <w:tcW w:w="2096" w:type="dxa"/>
            <w:vAlign w:val="top"/>
          </w:tcPr>
          <w:p w14:paraId="52F7BFBA">
            <w:pPr>
              <w:spacing w:before="54" w:line="242"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z w:val="20"/>
                <w:szCs w:val="20"/>
              </w:rPr>
              <w:t>1.0</w:t>
            </w:r>
          </w:p>
        </w:tc>
        <w:tc>
          <w:tcPr>
            <w:tcW w:w="2097" w:type="dxa"/>
            <w:vAlign w:val="top"/>
          </w:tcPr>
          <w:p w14:paraId="0294B84A">
            <w:pPr>
              <w:spacing w:before="54" w:line="242" w:lineRule="auto"/>
              <w:ind w:left="832"/>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w:t>
            </w:r>
          </w:p>
        </w:tc>
        <w:tc>
          <w:tcPr>
            <w:tcW w:w="748" w:type="dxa"/>
            <w:tcBorders>
              <w:right w:val="nil"/>
            </w:tcBorders>
            <w:vAlign w:val="top"/>
          </w:tcPr>
          <w:p w14:paraId="761A9E9C">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55E85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1E19D0DB">
            <w:pPr>
              <w:spacing w:before="89"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553" w:type="dxa"/>
            <w:vAlign w:val="top"/>
          </w:tcPr>
          <w:p w14:paraId="58ADC80B">
            <w:pPr>
              <w:spacing w:before="53" w:line="233" w:lineRule="auto"/>
              <w:ind w:left="58"/>
              <w:rPr>
                <w:rFonts w:ascii="宋体" w:hAnsi="宋体" w:eastAsia="宋体" w:cs="宋体"/>
                <w:sz w:val="20"/>
                <w:szCs w:val="20"/>
              </w:rPr>
            </w:pPr>
            <w:r>
              <w:rPr>
                <w:rFonts w:ascii="宋体" w:hAnsi="宋体" w:eastAsia="宋体" w:cs="宋体"/>
                <w:spacing w:val="1"/>
                <w:sz w:val="20"/>
                <w:szCs w:val="20"/>
              </w:rPr>
              <w:t>顺</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445" w:type="dxa"/>
            <w:vAlign w:val="top"/>
          </w:tcPr>
          <w:p w14:paraId="0B48552D">
            <w:pPr>
              <w:spacing w:before="54" w:line="262"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.3</w:t>
            </w:r>
          </w:p>
        </w:tc>
        <w:tc>
          <w:tcPr>
            <w:tcW w:w="2096" w:type="dxa"/>
            <w:vAlign w:val="top"/>
          </w:tcPr>
          <w:p w14:paraId="79DA614B">
            <w:pPr>
              <w:spacing w:before="54" w:line="262"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.3</w:t>
            </w:r>
          </w:p>
        </w:tc>
        <w:tc>
          <w:tcPr>
            <w:tcW w:w="2097" w:type="dxa"/>
            <w:vAlign w:val="top"/>
          </w:tcPr>
          <w:p w14:paraId="02B377C9">
            <w:pPr>
              <w:spacing w:before="54" w:line="262" w:lineRule="exact"/>
              <w:ind w:left="832"/>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1.3</w:t>
            </w:r>
          </w:p>
        </w:tc>
        <w:tc>
          <w:tcPr>
            <w:tcW w:w="748" w:type="dxa"/>
            <w:tcBorders>
              <w:right w:val="nil"/>
            </w:tcBorders>
            <w:vAlign w:val="top"/>
          </w:tcPr>
          <w:p w14:paraId="3D1A1390">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5191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4306D855">
            <w:pPr>
              <w:spacing w:before="89"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553" w:type="dxa"/>
            <w:vAlign w:val="top"/>
          </w:tcPr>
          <w:p w14:paraId="40AE815A">
            <w:pPr>
              <w:spacing w:before="53" w:line="233" w:lineRule="auto"/>
              <w:ind w:left="58"/>
              <w:rPr>
                <w:rFonts w:ascii="宋体" w:hAnsi="宋体" w:eastAsia="宋体" w:cs="宋体"/>
                <w:sz w:val="20"/>
                <w:szCs w:val="20"/>
              </w:rPr>
            </w:pPr>
            <w:r>
              <w:rPr>
                <w:rFonts w:ascii="宋体" w:hAnsi="宋体" w:eastAsia="宋体" w:cs="宋体"/>
                <w:spacing w:val="1"/>
                <w:sz w:val="20"/>
                <w:szCs w:val="20"/>
              </w:rPr>
              <w:t>反</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445" w:type="dxa"/>
            <w:vAlign w:val="top"/>
          </w:tcPr>
          <w:p w14:paraId="17D02F2C">
            <w:pPr>
              <w:spacing w:before="53" w:line="263"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.4</w:t>
            </w:r>
          </w:p>
        </w:tc>
        <w:tc>
          <w:tcPr>
            <w:tcW w:w="2096" w:type="dxa"/>
            <w:vAlign w:val="top"/>
          </w:tcPr>
          <w:p w14:paraId="124F61B5">
            <w:pPr>
              <w:spacing w:before="53" w:line="263"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.4</w:t>
            </w:r>
          </w:p>
        </w:tc>
        <w:tc>
          <w:tcPr>
            <w:tcW w:w="2097" w:type="dxa"/>
            <w:vAlign w:val="top"/>
          </w:tcPr>
          <w:p w14:paraId="44109558">
            <w:pPr>
              <w:spacing w:before="53" w:line="263" w:lineRule="exact"/>
              <w:ind w:left="832"/>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1.4</w:t>
            </w:r>
          </w:p>
        </w:tc>
        <w:tc>
          <w:tcPr>
            <w:tcW w:w="748" w:type="dxa"/>
            <w:tcBorders>
              <w:right w:val="nil"/>
            </w:tcBorders>
            <w:vAlign w:val="top"/>
          </w:tcPr>
          <w:p w14:paraId="4C4AA470">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7E93A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3F4C754F">
            <w:pPr>
              <w:spacing w:before="89"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553" w:type="dxa"/>
            <w:vAlign w:val="top"/>
          </w:tcPr>
          <w:p w14:paraId="261F5B1B">
            <w:pPr>
              <w:spacing w:before="53" w:line="228" w:lineRule="auto"/>
              <w:ind w:left="365"/>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1445" w:type="dxa"/>
            <w:vAlign w:val="top"/>
          </w:tcPr>
          <w:p w14:paraId="0CF55A3F">
            <w:pPr>
              <w:spacing w:before="53" w:line="263"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5</w:t>
            </w:r>
          </w:p>
        </w:tc>
        <w:tc>
          <w:tcPr>
            <w:tcW w:w="2096" w:type="dxa"/>
            <w:vAlign w:val="top"/>
          </w:tcPr>
          <w:p w14:paraId="782BB007">
            <w:pPr>
              <w:spacing w:before="53" w:line="263"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5</w:t>
            </w:r>
          </w:p>
        </w:tc>
        <w:tc>
          <w:tcPr>
            <w:tcW w:w="2097" w:type="dxa"/>
            <w:vAlign w:val="top"/>
          </w:tcPr>
          <w:p w14:paraId="7D496526">
            <w:pPr>
              <w:spacing w:before="53" w:line="263" w:lineRule="exact"/>
              <w:ind w:left="832"/>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
                <w:position w:val="1"/>
                <w:sz w:val="20"/>
                <w:szCs w:val="20"/>
              </w:rPr>
              <w:t>.5</w:t>
            </w:r>
          </w:p>
        </w:tc>
        <w:tc>
          <w:tcPr>
            <w:tcW w:w="748" w:type="dxa"/>
            <w:tcBorders>
              <w:right w:val="nil"/>
            </w:tcBorders>
            <w:vAlign w:val="top"/>
          </w:tcPr>
          <w:p w14:paraId="67905CA5">
            <w:pPr>
              <w:spacing w:before="15"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71D97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18A0EA01">
            <w:pPr>
              <w:spacing w:before="91"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553" w:type="dxa"/>
            <w:vAlign w:val="top"/>
          </w:tcPr>
          <w:p w14:paraId="715DB96E">
            <w:pPr>
              <w:spacing w:before="55" w:line="233" w:lineRule="auto"/>
              <w:ind w:left="213"/>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二氯丙烷</w:t>
            </w:r>
          </w:p>
        </w:tc>
        <w:tc>
          <w:tcPr>
            <w:tcW w:w="1445" w:type="dxa"/>
            <w:vAlign w:val="top"/>
          </w:tcPr>
          <w:p w14:paraId="7D59B72B">
            <w:pPr>
              <w:spacing w:before="52" w:line="263" w:lineRule="exact"/>
              <w:ind w:left="507"/>
              <w:rPr>
                <w:rFonts w:ascii="Times New Roman" w:hAnsi="Times New Roman" w:eastAsia="Times New Roman" w:cs="Times New Roman"/>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4"/>
                <w:position w:val="1"/>
                <w:sz w:val="20"/>
                <w:szCs w:val="20"/>
              </w:rPr>
              <w:t>1.1</w:t>
            </w:r>
          </w:p>
        </w:tc>
        <w:tc>
          <w:tcPr>
            <w:tcW w:w="2096" w:type="dxa"/>
            <w:vAlign w:val="top"/>
          </w:tcPr>
          <w:p w14:paraId="6ADD0F45">
            <w:pPr>
              <w:spacing w:before="52" w:line="263" w:lineRule="exact"/>
              <w:ind w:left="833"/>
              <w:rPr>
                <w:rFonts w:ascii="Times New Roman" w:hAnsi="Times New Roman" w:eastAsia="Times New Roman" w:cs="Times New Roman"/>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4"/>
                <w:position w:val="1"/>
                <w:sz w:val="20"/>
                <w:szCs w:val="20"/>
              </w:rPr>
              <w:t>1.1</w:t>
            </w:r>
          </w:p>
        </w:tc>
        <w:tc>
          <w:tcPr>
            <w:tcW w:w="2097" w:type="dxa"/>
            <w:vAlign w:val="top"/>
          </w:tcPr>
          <w:p w14:paraId="68B8D474">
            <w:pPr>
              <w:spacing w:before="52" w:line="263" w:lineRule="exact"/>
              <w:ind w:left="832"/>
              <w:rPr>
                <w:rFonts w:ascii="Times New Roman" w:hAnsi="Times New Roman" w:eastAsia="Times New Roman" w:cs="Times New Roman"/>
                <w:sz w:val="20"/>
                <w:szCs w:val="20"/>
              </w:rPr>
            </w:pPr>
            <w:r>
              <w:rPr>
                <w:rFonts w:ascii="宋体" w:hAnsi="宋体" w:eastAsia="宋体" w:cs="宋体"/>
                <w:spacing w:val="5"/>
                <w:position w:val="1"/>
                <w:sz w:val="20"/>
                <w:szCs w:val="20"/>
              </w:rPr>
              <w:t>＜</w:t>
            </w:r>
            <w:r>
              <w:rPr>
                <w:rFonts w:ascii="Times New Roman" w:hAnsi="Times New Roman" w:eastAsia="Times New Roman" w:cs="Times New Roman"/>
                <w:spacing w:val="5"/>
                <w:position w:val="1"/>
                <w:sz w:val="20"/>
                <w:szCs w:val="20"/>
              </w:rPr>
              <w:t>1.1</w:t>
            </w:r>
          </w:p>
        </w:tc>
        <w:tc>
          <w:tcPr>
            <w:tcW w:w="748" w:type="dxa"/>
            <w:tcBorders>
              <w:right w:val="nil"/>
            </w:tcBorders>
            <w:vAlign w:val="top"/>
          </w:tcPr>
          <w:p w14:paraId="28D7C7C8">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0974A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43AB081D">
            <w:pPr>
              <w:spacing w:before="9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553" w:type="dxa"/>
            <w:vAlign w:val="top"/>
          </w:tcPr>
          <w:p w14:paraId="29BF6DE6">
            <w:pPr>
              <w:spacing w:before="55" w:line="221" w:lineRule="auto"/>
              <w:ind w:left="54"/>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 xml:space="preserve">, 1, 1,2- </w:t>
            </w:r>
            <w:r>
              <w:rPr>
                <w:rFonts w:ascii="宋体" w:hAnsi="宋体" w:eastAsia="宋体" w:cs="宋体"/>
                <w:spacing w:val="-7"/>
                <w:sz w:val="20"/>
                <w:szCs w:val="20"/>
              </w:rPr>
              <w:t>四氯乙烷</w:t>
            </w:r>
          </w:p>
        </w:tc>
        <w:tc>
          <w:tcPr>
            <w:tcW w:w="1445" w:type="dxa"/>
            <w:vAlign w:val="top"/>
          </w:tcPr>
          <w:p w14:paraId="39C6945C">
            <w:pPr>
              <w:spacing w:before="53" w:line="264"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6" w:type="dxa"/>
            <w:vAlign w:val="top"/>
          </w:tcPr>
          <w:p w14:paraId="5582AA5C">
            <w:pPr>
              <w:spacing w:before="53" w:line="264"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7" w:type="dxa"/>
            <w:vAlign w:val="top"/>
          </w:tcPr>
          <w:p w14:paraId="1B5FD17C">
            <w:pPr>
              <w:spacing w:before="53" w:line="264" w:lineRule="exact"/>
              <w:ind w:left="832"/>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1.2</w:t>
            </w:r>
          </w:p>
        </w:tc>
        <w:tc>
          <w:tcPr>
            <w:tcW w:w="748" w:type="dxa"/>
            <w:tcBorders>
              <w:right w:val="nil"/>
            </w:tcBorders>
            <w:vAlign w:val="top"/>
          </w:tcPr>
          <w:p w14:paraId="2EF9C581">
            <w:pPr>
              <w:spacing w:before="18"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74381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FF0AF62">
            <w:pPr>
              <w:spacing w:before="9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553" w:type="dxa"/>
            <w:vAlign w:val="top"/>
          </w:tcPr>
          <w:p w14:paraId="2B2B71D3">
            <w:pPr>
              <w:spacing w:before="55" w:line="233" w:lineRule="auto"/>
              <w:ind w:left="54"/>
              <w:rPr>
                <w:rFonts w:ascii="宋体" w:hAnsi="宋体" w:eastAsia="宋体" w:cs="宋体"/>
                <w:sz w:val="20"/>
                <w:szCs w:val="20"/>
              </w:rPr>
            </w:pPr>
            <w:r>
              <w:rPr>
                <w:rFonts w:ascii="Times New Roman" w:hAnsi="Times New Roman" w:eastAsia="Times New Roman" w:cs="Times New Roman"/>
                <w:spacing w:val="-4"/>
                <w:sz w:val="20"/>
                <w:szCs w:val="20"/>
              </w:rPr>
              <w:t xml:space="preserve">1, 1,2,2- </w:t>
            </w:r>
            <w:r>
              <w:rPr>
                <w:rFonts w:ascii="宋体" w:hAnsi="宋体" w:eastAsia="宋体" w:cs="宋体"/>
                <w:spacing w:val="-4"/>
                <w:sz w:val="20"/>
                <w:szCs w:val="20"/>
              </w:rPr>
              <w:t>四氯乙烷</w:t>
            </w:r>
          </w:p>
        </w:tc>
        <w:tc>
          <w:tcPr>
            <w:tcW w:w="1445" w:type="dxa"/>
            <w:vAlign w:val="top"/>
          </w:tcPr>
          <w:p w14:paraId="2A17EEC0">
            <w:pPr>
              <w:spacing w:before="55" w:line="241"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w:t>
            </w:r>
          </w:p>
        </w:tc>
        <w:tc>
          <w:tcPr>
            <w:tcW w:w="2096" w:type="dxa"/>
            <w:vAlign w:val="top"/>
          </w:tcPr>
          <w:p w14:paraId="044CA8B2">
            <w:pPr>
              <w:spacing w:before="55" w:line="241"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w:t>
            </w:r>
          </w:p>
        </w:tc>
        <w:tc>
          <w:tcPr>
            <w:tcW w:w="2097" w:type="dxa"/>
            <w:vAlign w:val="top"/>
          </w:tcPr>
          <w:p w14:paraId="15D32E51">
            <w:pPr>
              <w:spacing w:before="55" w:line="241" w:lineRule="auto"/>
              <w:ind w:left="832"/>
              <w:rPr>
                <w:rFonts w:ascii="Times New Roman" w:hAnsi="Times New Roman" w:eastAsia="Times New Roman" w:cs="Times New Roman"/>
                <w:sz w:val="20"/>
                <w:szCs w:val="20"/>
              </w:rPr>
            </w:pPr>
            <w:r>
              <w:rPr>
                <w:rFonts w:ascii="宋体" w:hAnsi="宋体" w:eastAsia="宋体" w:cs="宋体"/>
                <w:sz w:val="20"/>
                <w:szCs w:val="20"/>
              </w:rPr>
              <w:t>＜</w:t>
            </w:r>
            <w:r>
              <w:rPr>
                <w:rFonts w:ascii="Times New Roman" w:hAnsi="Times New Roman" w:eastAsia="Times New Roman" w:cs="Times New Roman"/>
                <w:sz w:val="20"/>
                <w:szCs w:val="20"/>
              </w:rPr>
              <w:t>1.2</w:t>
            </w:r>
          </w:p>
        </w:tc>
        <w:tc>
          <w:tcPr>
            <w:tcW w:w="748" w:type="dxa"/>
            <w:tcBorders>
              <w:right w:val="nil"/>
            </w:tcBorders>
            <w:vAlign w:val="top"/>
          </w:tcPr>
          <w:p w14:paraId="07D50AAA">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265B9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0218B4AA">
            <w:pPr>
              <w:spacing w:before="9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553" w:type="dxa"/>
            <w:vAlign w:val="top"/>
          </w:tcPr>
          <w:p w14:paraId="4D54C7ED">
            <w:pPr>
              <w:spacing w:before="54" w:line="228" w:lineRule="auto"/>
              <w:ind w:left="382"/>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1445" w:type="dxa"/>
            <w:vAlign w:val="top"/>
          </w:tcPr>
          <w:p w14:paraId="5EB2ECA4">
            <w:pPr>
              <w:spacing w:before="54" w:line="242"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w:t>
            </w:r>
          </w:p>
        </w:tc>
        <w:tc>
          <w:tcPr>
            <w:tcW w:w="2096" w:type="dxa"/>
            <w:vAlign w:val="top"/>
          </w:tcPr>
          <w:p w14:paraId="05E4FF3A">
            <w:pPr>
              <w:spacing w:before="54" w:line="242"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w:t>
            </w:r>
          </w:p>
        </w:tc>
        <w:tc>
          <w:tcPr>
            <w:tcW w:w="2097" w:type="dxa"/>
            <w:vAlign w:val="top"/>
          </w:tcPr>
          <w:p w14:paraId="5A852112">
            <w:pPr>
              <w:spacing w:before="54" w:line="242" w:lineRule="auto"/>
              <w:ind w:left="832"/>
              <w:rPr>
                <w:rFonts w:ascii="Times New Roman" w:hAnsi="Times New Roman" w:eastAsia="Times New Roman" w:cs="Times New Roman"/>
                <w:sz w:val="20"/>
                <w:szCs w:val="20"/>
              </w:rPr>
            </w:pPr>
            <w:r>
              <w:rPr>
                <w:rFonts w:ascii="宋体" w:hAnsi="宋体" w:eastAsia="宋体" w:cs="宋体"/>
                <w:sz w:val="20"/>
                <w:szCs w:val="20"/>
              </w:rPr>
              <w:t>＜</w:t>
            </w:r>
            <w:r>
              <w:rPr>
                <w:rFonts w:ascii="Times New Roman" w:hAnsi="Times New Roman" w:eastAsia="Times New Roman" w:cs="Times New Roman"/>
                <w:sz w:val="20"/>
                <w:szCs w:val="20"/>
              </w:rPr>
              <w:t>1.4</w:t>
            </w:r>
          </w:p>
        </w:tc>
        <w:tc>
          <w:tcPr>
            <w:tcW w:w="748" w:type="dxa"/>
            <w:tcBorders>
              <w:right w:val="nil"/>
            </w:tcBorders>
            <w:vAlign w:val="top"/>
          </w:tcPr>
          <w:p w14:paraId="36580D26">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61508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2060053F">
            <w:pPr>
              <w:spacing w:before="9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553" w:type="dxa"/>
            <w:vAlign w:val="top"/>
          </w:tcPr>
          <w:p w14:paraId="73B25DB5">
            <w:pPr>
              <w:spacing w:before="55" w:line="233" w:lineRule="auto"/>
              <w:ind w:left="133"/>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 1, 1-</w:t>
            </w:r>
            <w:r>
              <w:rPr>
                <w:rFonts w:ascii="宋体" w:hAnsi="宋体" w:eastAsia="宋体" w:cs="宋体"/>
                <w:spacing w:val="-5"/>
                <w:sz w:val="20"/>
                <w:szCs w:val="20"/>
              </w:rPr>
              <w:t>三氯乙烷</w:t>
            </w:r>
          </w:p>
        </w:tc>
        <w:tc>
          <w:tcPr>
            <w:tcW w:w="1445" w:type="dxa"/>
            <w:vAlign w:val="top"/>
          </w:tcPr>
          <w:p w14:paraId="0909B143">
            <w:pPr>
              <w:spacing w:before="54" w:line="242"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.3</w:t>
            </w:r>
          </w:p>
        </w:tc>
        <w:tc>
          <w:tcPr>
            <w:tcW w:w="2096" w:type="dxa"/>
            <w:vAlign w:val="top"/>
          </w:tcPr>
          <w:p w14:paraId="74A15C62">
            <w:pPr>
              <w:spacing w:before="54" w:line="242"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.3</w:t>
            </w:r>
          </w:p>
        </w:tc>
        <w:tc>
          <w:tcPr>
            <w:tcW w:w="2097" w:type="dxa"/>
            <w:vAlign w:val="top"/>
          </w:tcPr>
          <w:p w14:paraId="71DF45A3">
            <w:pPr>
              <w:spacing w:before="54" w:line="242" w:lineRule="auto"/>
              <w:ind w:left="832"/>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1.3</w:t>
            </w:r>
          </w:p>
        </w:tc>
        <w:tc>
          <w:tcPr>
            <w:tcW w:w="748" w:type="dxa"/>
            <w:tcBorders>
              <w:right w:val="nil"/>
            </w:tcBorders>
            <w:vAlign w:val="top"/>
          </w:tcPr>
          <w:p w14:paraId="0BFC5B5C">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79CBF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1C75ED4B">
            <w:pPr>
              <w:spacing w:before="9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553" w:type="dxa"/>
            <w:vAlign w:val="top"/>
          </w:tcPr>
          <w:p w14:paraId="69380D1A">
            <w:pPr>
              <w:spacing w:before="54" w:line="233" w:lineRule="auto"/>
              <w:ind w:left="133"/>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1,2-</w:t>
            </w:r>
            <w:r>
              <w:rPr>
                <w:rFonts w:ascii="宋体" w:hAnsi="宋体" w:eastAsia="宋体" w:cs="宋体"/>
                <w:spacing w:val="-1"/>
                <w:sz w:val="20"/>
                <w:szCs w:val="20"/>
              </w:rPr>
              <w:t>三氯乙烷</w:t>
            </w:r>
          </w:p>
        </w:tc>
        <w:tc>
          <w:tcPr>
            <w:tcW w:w="1445" w:type="dxa"/>
            <w:vAlign w:val="top"/>
          </w:tcPr>
          <w:p w14:paraId="3883F39F">
            <w:pPr>
              <w:spacing w:before="54" w:line="263"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6" w:type="dxa"/>
            <w:vAlign w:val="top"/>
          </w:tcPr>
          <w:p w14:paraId="24802FA7">
            <w:pPr>
              <w:spacing w:before="54" w:line="263"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7" w:type="dxa"/>
            <w:vAlign w:val="top"/>
          </w:tcPr>
          <w:p w14:paraId="47B0E9F3">
            <w:pPr>
              <w:spacing w:before="54" w:line="263" w:lineRule="exact"/>
              <w:ind w:left="832"/>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1.2</w:t>
            </w:r>
          </w:p>
        </w:tc>
        <w:tc>
          <w:tcPr>
            <w:tcW w:w="748" w:type="dxa"/>
            <w:tcBorders>
              <w:right w:val="nil"/>
            </w:tcBorders>
            <w:vAlign w:val="top"/>
          </w:tcPr>
          <w:p w14:paraId="4BB5DA0F">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460D4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4EC28209">
            <w:pPr>
              <w:spacing w:before="92"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553" w:type="dxa"/>
            <w:vAlign w:val="top"/>
          </w:tcPr>
          <w:p w14:paraId="13EC4EC7">
            <w:pPr>
              <w:spacing w:before="55" w:line="228" w:lineRule="auto"/>
              <w:ind w:left="362"/>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1445" w:type="dxa"/>
            <w:vAlign w:val="top"/>
          </w:tcPr>
          <w:p w14:paraId="15D29A99">
            <w:pPr>
              <w:spacing w:before="53" w:line="264"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6" w:type="dxa"/>
            <w:vAlign w:val="top"/>
          </w:tcPr>
          <w:p w14:paraId="2ABB780A">
            <w:pPr>
              <w:spacing w:before="53" w:line="264"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7" w:type="dxa"/>
            <w:vAlign w:val="top"/>
          </w:tcPr>
          <w:p w14:paraId="53ADCF0B">
            <w:pPr>
              <w:spacing w:before="53" w:line="264" w:lineRule="exact"/>
              <w:ind w:left="832"/>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1.2</w:t>
            </w:r>
          </w:p>
        </w:tc>
        <w:tc>
          <w:tcPr>
            <w:tcW w:w="748" w:type="dxa"/>
            <w:tcBorders>
              <w:right w:val="nil"/>
            </w:tcBorders>
            <w:vAlign w:val="top"/>
          </w:tcPr>
          <w:p w14:paraId="595B774A">
            <w:pPr>
              <w:spacing w:before="18"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35024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3D1219C">
            <w:pPr>
              <w:spacing w:before="9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1553" w:type="dxa"/>
            <w:vAlign w:val="top"/>
          </w:tcPr>
          <w:p w14:paraId="1723D315">
            <w:pPr>
              <w:spacing w:before="56" w:line="233" w:lineRule="auto"/>
              <w:ind w:left="133"/>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2,3-</w:t>
            </w:r>
            <w:r>
              <w:rPr>
                <w:rFonts w:ascii="宋体" w:hAnsi="宋体" w:eastAsia="宋体" w:cs="宋体"/>
                <w:spacing w:val="3"/>
                <w:sz w:val="20"/>
                <w:szCs w:val="20"/>
              </w:rPr>
              <w:t>三氯丙烷</w:t>
            </w:r>
          </w:p>
        </w:tc>
        <w:tc>
          <w:tcPr>
            <w:tcW w:w="1445" w:type="dxa"/>
            <w:vAlign w:val="top"/>
          </w:tcPr>
          <w:p w14:paraId="724839F4">
            <w:pPr>
              <w:spacing w:before="53" w:line="264"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6" w:type="dxa"/>
            <w:vAlign w:val="top"/>
          </w:tcPr>
          <w:p w14:paraId="2E374DA6">
            <w:pPr>
              <w:spacing w:before="53" w:line="264"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.2</w:t>
            </w:r>
          </w:p>
        </w:tc>
        <w:tc>
          <w:tcPr>
            <w:tcW w:w="2097" w:type="dxa"/>
            <w:vAlign w:val="top"/>
          </w:tcPr>
          <w:p w14:paraId="202EF635">
            <w:pPr>
              <w:spacing w:before="53" w:line="264" w:lineRule="exact"/>
              <w:ind w:left="832"/>
              <w:rPr>
                <w:rFonts w:ascii="Times New Roman" w:hAnsi="Times New Roman" w:eastAsia="Times New Roman" w:cs="Times New Roman"/>
                <w:sz w:val="20"/>
                <w:szCs w:val="20"/>
              </w:rPr>
            </w:pPr>
            <w:r>
              <w:rPr>
                <w:rFonts w:ascii="宋体" w:hAnsi="宋体" w:eastAsia="宋体" w:cs="宋体"/>
                <w:position w:val="1"/>
                <w:sz w:val="20"/>
                <w:szCs w:val="20"/>
              </w:rPr>
              <w:t>＜</w:t>
            </w:r>
            <w:r>
              <w:rPr>
                <w:rFonts w:ascii="Times New Roman" w:hAnsi="Times New Roman" w:eastAsia="Times New Roman" w:cs="Times New Roman"/>
                <w:position w:val="1"/>
                <w:sz w:val="20"/>
                <w:szCs w:val="20"/>
              </w:rPr>
              <w:t>1.2</w:t>
            </w:r>
          </w:p>
        </w:tc>
        <w:tc>
          <w:tcPr>
            <w:tcW w:w="748" w:type="dxa"/>
            <w:tcBorders>
              <w:right w:val="nil"/>
            </w:tcBorders>
            <w:vAlign w:val="top"/>
          </w:tcPr>
          <w:p w14:paraId="32E7851A">
            <w:pPr>
              <w:spacing w:before="18"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4F3D0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55FAC51F">
            <w:pPr>
              <w:spacing w:before="9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1553" w:type="dxa"/>
            <w:vAlign w:val="top"/>
          </w:tcPr>
          <w:p w14:paraId="32F827DB">
            <w:pPr>
              <w:spacing w:before="55" w:line="228" w:lineRule="auto"/>
              <w:ind w:left="468"/>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1445" w:type="dxa"/>
            <w:vAlign w:val="top"/>
          </w:tcPr>
          <w:p w14:paraId="2479516E">
            <w:pPr>
              <w:spacing w:before="55" w:line="241"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z w:val="20"/>
                <w:szCs w:val="20"/>
              </w:rPr>
              <w:t>1.0</w:t>
            </w:r>
          </w:p>
        </w:tc>
        <w:tc>
          <w:tcPr>
            <w:tcW w:w="2096" w:type="dxa"/>
            <w:vAlign w:val="top"/>
          </w:tcPr>
          <w:p w14:paraId="1D78A4AF">
            <w:pPr>
              <w:spacing w:before="55" w:line="241"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z w:val="20"/>
                <w:szCs w:val="20"/>
              </w:rPr>
              <w:t>1.0</w:t>
            </w:r>
          </w:p>
        </w:tc>
        <w:tc>
          <w:tcPr>
            <w:tcW w:w="2097" w:type="dxa"/>
            <w:vAlign w:val="top"/>
          </w:tcPr>
          <w:p w14:paraId="3C0A5A8E">
            <w:pPr>
              <w:spacing w:before="55" w:line="241" w:lineRule="auto"/>
              <w:ind w:left="832"/>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w:t>
            </w:r>
          </w:p>
        </w:tc>
        <w:tc>
          <w:tcPr>
            <w:tcW w:w="748" w:type="dxa"/>
            <w:tcBorders>
              <w:right w:val="nil"/>
            </w:tcBorders>
            <w:vAlign w:val="top"/>
          </w:tcPr>
          <w:p w14:paraId="75DE74EC">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29FCF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B4884E4">
            <w:pPr>
              <w:spacing w:before="9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553" w:type="dxa"/>
            <w:vAlign w:val="top"/>
          </w:tcPr>
          <w:p w14:paraId="601664B0">
            <w:pPr>
              <w:spacing w:before="54" w:line="227" w:lineRule="auto"/>
              <w:ind w:left="679"/>
              <w:rPr>
                <w:rFonts w:ascii="宋体" w:hAnsi="宋体" w:eastAsia="宋体" w:cs="宋体"/>
                <w:sz w:val="20"/>
                <w:szCs w:val="20"/>
              </w:rPr>
            </w:pPr>
            <w:r>
              <w:rPr>
                <w:rFonts w:ascii="宋体" w:hAnsi="宋体" w:eastAsia="宋体" w:cs="宋体"/>
                <w:sz w:val="20"/>
                <w:szCs w:val="20"/>
              </w:rPr>
              <w:t>苯</w:t>
            </w:r>
          </w:p>
        </w:tc>
        <w:tc>
          <w:tcPr>
            <w:tcW w:w="1445" w:type="dxa"/>
            <w:vAlign w:val="top"/>
          </w:tcPr>
          <w:p w14:paraId="69B17696">
            <w:pPr>
              <w:spacing w:before="9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w:t>
            </w:r>
            <w:r>
              <w:rPr>
                <w:rFonts w:ascii="Times New Roman" w:hAnsi="Times New Roman" w:eastAsia="Times New Roman" w:cs="Times New Roman"/>
                <w:spacing w:val="3"/>
                <w:sz w:val="20"/>
                <w:szCs w:val="20"/>
              </w:rPr>
              <w:t>1.9</w:t>
            </w:r>
          </w:p>
        </w:tc>
        <w:tc>
          <w:tcPr>
            <w:tcW w:w="2096" w:type="dxa"/>
            <w:vAlign w:val="top"/>
          </w:tcPr>
          <w:p w14:paraId="2ABB0A8B">
            <w:pPr>
              <w:spacing w:before="91"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43.</w:t>
            </w:r>
            <w:r>
              <w:rPr>
                <w:rFonts w:ascii="Times New Roman" w:hAnsi="Times New Roman" w:eastAsia="Times New Roman" w:cs="Times New Roman"/>
                <w:spacing w:val="4"/>
                <w:sz w:val="20"/>
                <w:szCs w:val="20"/>
              </w:rPr>
              <w:t>3</w:t>
            </w:r>
          </w:p>
        </w:tc>
        <w:tc>
          <w:tcPr>
            <w:tcW w:w="2097" w:type="dxa"/>
            <w:vAlign w:val="top"/>
          </w:tcPr>
          <w:p w14:paraId="2CFBF126">
            <w:pPr>
              <w:spacing w:before="91" w:line="195" w:lineRule="auto"/>
              <w:ind w:left="86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0.9</w:t>
            </w:r>
          </w:p>
        </w:tc>
        <w:tc>
          <w:tcPr>
            <w:tcW w:w="748" w:type="dxa"/>
            <w:tcBorders>
              <w:right w:val="nil"/>
            </w:tcBorders>
            <w:vAlign w:val="top"/>
          </w:tcPr>
          <w:p w14:paraId="1152130A">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00C8A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0B2D1B97">
            <w:pPr>
              <w:spacing w:before="9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1553" w:type="dxa"/>
            <w:vAlign w:val="top"/>
          </w:tcPr>
          <w:p w14:paraId="2024B759">
            <w:pPr>
              <w:spacing w:before="54" w:line="227" w:lineRule="auto"/>
              <w:ind w:left="574"/>
              <w:rPr>
                <w:rFonts w:ascii="宋体" w:hAnsi="宋体" w:eastAsia="宋体" w:cs="宋体"/>
                <w:sz w:val="20"/>
                <w:szCs w:val="20"/>
              </w:rPr>
            </w:pPr>
            <w:r>
              <w:rPr>
                <w:rFonts w:ascii="宋体" w:hAnsi="宋体" w:eastAsia="宋体" w:cs="宋体"/>
                <w:spacing w:val="3"/>
                <w:sz w:val="20"/>
                <w:szCs w:val="20"/>
              </w:rPr>
              <w:t>氯苯</w:t>
            </w:r>
          </w:p>
        </w:tc>
        <w:tc>
          <w:tcPr>
            <w:tcW w:w="1445" w:type="dxa"/>
            <w:vAlign w:val="top"/>
          </w:tcPr>
          <w:p w14:paraId="59BC442E">
            <w:pPr>
              <w:spacing w:before="54" w:line="242"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w:t>
            </w:r>
          </w:p>
        </w:tc>
        <w:tc>
          <w:tcPr>
            <w:tcW w:w="2096" w:type="dxa"/>
            <w:vAlign w:val="top"/>
          </w:tcPr>
          <w:p w14:paraId="197FF933">
            <w:pPr>
              <w:spacing w:before="54" w:line="242"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w:t>
            </w:r>
          </w:p>
        </w:tc>
        <w:tc>
          <w:tcPr>
            <w:tcW w:w="2097" w:type="dxa"/>
            <w:vAlign w:val="top"/>
          </w:tcPr>
          <w:p w14:paraId="3D54B28F">
            <w:pPr>
              <w:spacing w:before="54" w:line="242" w:lineRule="auto"/>
              <w:ind w:left="832"/>
              <w:rPr>
                <w:rFonts w:ascii="Times New Roman" w:hAnsi="Times New Roman" w:eastAsia="Times New Roman" w:cs="Times New Roman"/>
                <w:sz w:val="20"/>
                <w:szCs w:val="20"/>
              </w:rPr>
            </w:pPr>
            <w:r>
              <w:rPr>
                <w:rFonts w:ascii="宋体" w:hAnsi="宋体" w:eastAsia="宋体" w:cs="宋体"/>
                <w:sz w:val="20"/>
                <w:szCs w:val="20"/>
              </w:rPr>
              <w:t>＜</w:t>
            </w:r>
            <w:r>
              <w:rPr>
                <w:rFonts w:ascii="Times New Roman" w:hAnsi="Times New Roman" w:eastAsia="Times New Roman" w:cs="Times New Roman"/>
                <w:sz w:val="20"/>
                <w:szCs w:val="20"/>
              </w:rPr>
              <w:t>1.2</w:t>
            </w:r>
          </w:p>
        </w:tc>
        <w:tc>
          <w:tcPr>
            <w:tcW w:w="748" w:type="dxa"/>
            <w:tcBorders>
              <w:right w:val="nil"/>
            </w:tcBorders>
            <w:vAlign w:val="top"/>
          </w:tcPr>
          <w:p w14:paraId="65EE35BF">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6F068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3994D923">
            <w:pPr>
              <w:spacing w:before="9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553" w:type="dxa"/>
            <w:vAlign w:val="top"/>
          </w:tcPr>
          <w:p w14:paraId="5FFE9363">
            <w:pPr>
              <w:spacing w:before="54" w:line="232" w:lineRule="auto"/>
              <w:ind w:left="31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445" w:type="dxa"/>
            <w:vAlign w:val="top"/>
          </w:tcPr>
          <w:p w14:paraId="0EEAD697">
            <w:pPr>
              <w:spacing w:before="54" w:line="263"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5</w:t>
            </w:r>
          </w:p>
        </w:tc>
        <w:tc>
          <w:tcPr>
            <w:tcW w:w="2096" w:type="dxa"/>
            <w:vAlign w:val="top"/>
          </w:tcPr>
          <w:p w14:paraId="2DF72823">
            <w:pPr>
              <w:spacing w:before="54" w:line="263"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5</w:t>
            </w:r>
          </w:p>
        </w:tc>
        <w:tc>
          <w:tcPr>
            <w:tcW w:w="2097" w:type="dxa"/>
            <w:vAlign w:val="top"/>
          </w:tcPr>
          <w:p w14:paraId="5079FBC4">
            <w:pPr>
              <w:spacing w:before="54" w:line="263" w:lineRule="exact"/>
              <w:ind w:left="832"/>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
                <w:position w:val="1"/>
                <w:sz w:val="20"/>
                <w:szCs w:val="20"/>
              </w:rPr>
              <w:t>.5</w:t>
            </w:r>
          </w:p>
        </w:tc>
        <w:tc>
          <w:tcPr>
            <w:tcW w:w="748" w:type="dxa"/>
            <w:tcBorders>
              <w:right w:val="nil"/>
            </w:tcBorders>
            <w:vAlign w:val="top"/>
          </w:tcPr>
          <w:p w14:paraId="433E7F89">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26761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1FC1C7C0">
            <w:pPr>
              <w:spacing w:before="9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1553" w:type="dxa"/>
            <w:vAlign w:val="top"/>
          </w:tcPr>
          <w:p w14:paraId="2C6C5026">
            <w:pPr>
              <w:spacing w:before="56" w:line="232" w:lineRule="auto"/>
              <w:ind w:left="31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445" w:type="dxa"/>
            <w:vAlign w:val="top"/>
          </w:tcPr>
          <w:p w14:paraId="75298930">
            <w:pPr>
              <w:spacing w:before="53" w:line="264" w:lineRule="exact"/>
              <w:ind w:left="507"/>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5</w:t>
            </w:r>
          </w:p>
        </w:tc>
        <w:tc>
          <w:tcPr>
            <w:tcW w:w="2096" w:type="dxa"/>
            <w:vAlign w:val="top"/>
          </w:tcPr>
          <w:p w14:paraId="5338C768">
            <w:pPr>
              <w:spacing w:before="53" w:line="264" w:lineRule="exact"/>
              <w:ind w:left="833"/>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position w:val="1"/>
                <w:sz w:val="20"/>
                <w:szCs w:val="20"/>
              </w:rPr>
              <w:t>5</w:t>
            </w:r>
          </w:p>
        </w:tc>
        <w:tc>
          <w:tcPr>
            <w:tcW w:w="2097" w:type="dxa"/>
            <w:vAlign w:val="top"/>
          </w:tcPr>
          <w:p w14:paraId="31CCEF75">
            <w:pPr>
              <w:spacing w:before="53" w:line="264" w:lineRule="exact"/>
              <w:ind w:left="832"/>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
                <w:position w:val="1"/>
                <w:sz w:val="20"/>
                <w:szCs w:val="20"/>
              </w:rPr>
              <w:t>.5</w:t>
            </w:r>
          </w:p>
        </w:tc>
        <w:tc>
          <w:tcPr>
            <w:tcW w:w="748" w:type="dxa"/>
            <w:tcBorders>
              <w:right w:val="nil"/>
            </w:tcBorders>
            <w:vAlign w:val="top"/>
          </w:tcPr>
          <w:p w14:paraId="157F7071">
            <w:pPr>
              <w:spacing w:before="18"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5B352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64B9F0BD">
            <w:pPr>
              <w:spacing w:before="91"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1553" w:type="dxa"/>
            <w:vAlign w:val="top"/>
          </w:tcPr>
          <w:p w14:paraId="03FA6A67">
            <w:pPr>
              <w:spacing w:before="55" w:line="227" w:lineRule="auto"/>
              <w:ind w:left="591"/>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1445" w:type="dxa"/>
            <w:vAlign w:val="top"/>
          </w:tcPr>
          <w:p w14:paraId="00C661F0">
            <w:pPr>
              <w:spacing w:before="9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3.6</w:t>
            </w:r>
          </w:p>
        </w:tc>
        <w:tc>
          <w:tcPr>
            <w:tcW w:w="2096" w:type="dxa"/>
            <w:vAlign w:val="top"/>
          </w:tcPr>
          <w:p w14:paraId="7B465794">
            <w:pPr>
              <w:spacing w:before="92"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63.7</w:t>
            </w:r>
          </w:p>
        </w:tc>
        <w:tc>
          <w:tcPr>
            <w:tcW w:w="2097" w:type="dxa"/>
            <w:vAlign w:val="top"/>
          </w:tcPr>
          <w:p w14:paraId="6F2B2196">
            <w:pPr>
              <w:spacing w:before="92"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3.6</w:t>
            </w:r>
          </w:p>
        </w:tc>
        <w:tc>
          <w:tcPr>
            <w:tcW w:w="748" w:type="dxa"/>
            <w:tcBorders>
              <w:right w:val="nil"/>
            </w:tcBorders>
            <w:vAlign w:val="top"/>
          </w:tcPr>
          <w:p w14:paraId="4C4E3CDD">
            <w:pPr>
              <w:spacing w:before="18"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6F32D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2C4219E9">
            <w:pPr>
              <w:spacing w:before="91"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1553" w:type="dxa"/>
            <w:vAlign w:val="top"/>
          </w:tcPr>
          <w:p w14:paraId="2049FB57">
            <w:pPr>
              <w:spacing w:before="55" w:line="227" w:lineRule="auto"/>
              <w:ind w:left="468"/>
              <w:rPr>
                <w:rFonts w:ascii="宋体" w:hAnsi="宋体" w:eastAsia="宋体" w:cs="宋体"/>
                <w:sz w:val="20"/>
                <w:szCs w:val="20"/>
              </w:rPr>
            </w:pPr>
            <w:r>
              <w:rPr>
                <w:rFonts w:ascii="宋体" w:hAnsi="宋体" w:eastAsia="宋体" w:cs="宋体"/>
                <w:spacing w:val="6"/>
                <w:sz w:val="20"/>
                <w:szCs w:val="20"/>
              </w:rPr>
              <w:t>苯乙烯</w:t>
            </w:r>
          </w:p>
        </w:tc>
        <w:tc>
          <w:tcPr>
            <w:tcW w:w="1445" w:type="dxa"/>
            <w:vAlign w:val="top"/>
          </w:tcPr>
          <w:p w14:paraId="7C618FF8">
            <w:pPr>
              <w:spacing w:before="91" w:line="198"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42.</w:t>
            </w:r>
            <w:r>
              <w:rPr>
                <w:rFonts w:ascii="Times New Roman" w:hAnsi="Times New Roman" w:eastAsia="Times New Roman" w:cs="Times New Roman"/>
                <w:spacing w:val="4"/>
                <w:sz w:val="20"/>
                <w:szCs w:val="20"/>
              </w:rPr>
              <w:t>3</w:t>
            </w:r>
          </w:p>
        </w:tc>
        <w:tc>
          <w:tcPr>
            <w:tcW w:w="2096" w:type="dxa"/>
            <w:vAlign w:val="top"/>
          </w:tcPr>
          <w:p w14:paraId="29D26496">
            <w:pPr>
              <w:spacing w:before="91"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0.6</w:t>
            </w:r>
          </w:p>
        </w:tc>
        <w:tc>
          <w:tcPr>
            <w:tcW w:w="2097" w:type="dxa"/>
            <w:vAlign w:val="top"/>
          </w:tcPr>
          <w:p w14:paraId="60AD5518">
            <w:pPr>
              <w:spacing w:before="91"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0.5</w:t>
            </w:r>
          </w:p>
        </w:tc>
        <w:tc>
          <w:tcPr>
            <w:tcW w:w="748" w:type="dxa"/>
            <w:tcBorders>
              <w:right w:val="nil"/>
            </w:tcBorders>
            <w:vAlign w:val="top"/>
          </w:tcPr>
          <w:p w14:paraId="776F4E3F">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5EF03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50F3D729">
            <w:pPr>
              <w:spacing w:before="9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1553" w:type="dxa"/>
            <w:vAlign w:val="top"/>
          </w:tcPr>
          <w:p w14:paraId="151E1BFF">
            <w:pPr>
              <w:spacing w:before="54" w:line="227" w:lineRule="auto"/>
              <w:ind w:left="59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445" w:type="dxa"/>
            <w:vAlign w:val="top"/>
          </w:tcPr>
          <w:p w14:paraId="12E1CC44">
            <w:pPr>
              <w:spacing w:before="9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w:t>
            </w:r>
            <w:r>
              <w:rPr>
                <w:rFonts w:ascii="Times New Roman" w:hAnsi="Times New Roman" w:eastAsia="Times New Roman" w:cs="Times New Roman"/>
                <w:spacing w:val="4"/>
                <w:sz w:val="20"/>
                <w:szCs w:val="20"/>
              </w:rPr>
              <w:t>8.8</w:t>
            </w:r>
          </w:p>
        </w:tc>
        <w:tc>
          <w:tcPr>
            <w:tcW w:w="2096" w:type="dxa"/>
            <w:vAlign w:val="top"/>
          </w:tcPr>
          <w:p w14:paraId="29A28D46">
            <w:pPr>
              <w:spacing w:before="93" w:line="192"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7.5</w:t>
            </w:r>
          </w:p>
        </w:tc>
        <w:tc>
          <w:tcPr>
            <w:tcW w:w="2097" w:type="dxa"/>
            <w:vAlign w:val="top"/>
          </w:tcPr>
          <w:p w14:paraId="11885681">
            <w:pPr>
              <w:spacing w:before="90"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4.0</w:t>
            </w:r>
          </w:p>
        </w:tc>
        <w:tc>
          <w:tcPr>
            <w:tcW w:w="748" w:type="dxa"/>
            <w:tcBorders>
              <w:right w:val="nil"/>
            </w:tcBorders>
            <w:vAlign w:val="top"/>
          </w:tcPr>
          <w:p w14:paraId="2FADB7CD">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7711B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10198915">
            <w:pPr>
              <w:spacing w:before="9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1553" w:type="dxa"/>
            <w:vAlign w:val="top"/>
          </w:tcPr>
          <w:p w14:paraId="6F4EE28D">
            <w:pPr>
              <w:spacing w:before="17" w:line="281" w:lineRule="exact"/>
              <w:ind w:left="244"/>
              <w:rPr>
                <w:rFonts w:ascii="宋体" w:hAnsi="宋体" w:eastAsia="宋体" w:cs="宋体"/>
                <w:sz w:val="20"/>
                <w:szCs w:val="20"/>
              </w:rPr>
            </w:pPr>
            <w:r>
              <w:rPr>
                <w:rFonts w:ascii="宋体" w:hAnsi="宋体" w:eastAsia="宋体" w:cs="宋体"/>
                <w:spacing w:val="4"/>
                <w:position w:val="1"/>
                <w:sz w:val="20"/>
                <w:szCs w:val="20"/>
              </w:rPr>
              <w:t>间</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对二甲苯</w:t>
            </w:r>
          </w:p>
        </w:tc>
        <w:tc>
          <w:tcPr>
            <w:tcW w:w="1445" w:type="dxa"/>
            <w:vAlign w:val="top"/>
          </w:tcPr>
          <w:p w14:paraId="40E4366A">
            <w:pPr>
              <w:spacing w:before="90"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56.3</w:t>
            </w:r>
          </w:p>
        </w:tc>
        <w:tc>
          <w:tcPr>
            <w:tcW w:w="2096" w:type="dxa"/>
            <w:vAlign w:val="top"/>
          </w:tcPr>
          <w:p w14:paraId="073CD01A">
            <w:pPr>
              <w:spacing w:before="90"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2.5</w:t>
            </w:r>
          </w:p>
        </w:tc>
        <w:tc>
          <w:tcPr>
            <w:tcW w:w="2097" w:type="dxa"/>
            <w:vAlign w:val="top"/>
          </w:tcPr>
          <w:p w14:paraId="4D04294B">
            <w:pPr>
              <w:spacing w:before="90"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3.5</w:t>
            </w:r>
          </w:p>
        </w:tc>
        <w:tc>
          <w:tcPr>
            <w:tcW w:w="748" w:type="dxa"/>
            <w:tcBorders>
              <w:right w:val="nil"/>
            </w:tcBorders>
            <w:vAlign w:val="top"/>
          </w:tcPr>
          <w:p w14:paraId="19432A69">
            <w:pPr>
              <w:spacing w:before="17"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06607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9998024">
            <w:pPr>
              <w:spacing w:before="9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1553" w:type="dxa"/>
            <w:vAlign w:val="top"/>
          </w:tcPr>
          <w:p w14:paraId="233D46EC">
            <w:pPr>
              <w:spacing w:before="54" w:line="227" w:lineRule="auto"/>
              <w:ind w:left="361"/>
              <w:rPr>
                <w:rFonts w:ascii="宋体" w:hAnsi="宋体" w:eastAsia="宋体" w:cs="宋体"/>
                <w:sz w:val="20"/>
                <w:szCs w:val="20"/>
              </w:rPr>
            </w:pPr>
            <w:r>
              <w:rPr>
                <w:rFonts w:ascii="宋体" w:hAnsi="宋体" w:eastAsia="宋体" w:cs="宋体"/>
                <w:spacing w:val="9"/>
                <w:sz w:val="20"/>
                <w:szCs w:val="20"/>
              </w:rPr>
              <w:t>邻</w:t>
            </w:r>
            <w:r>
              <w:rPr>
                <w:rFonts w:ascii="宋体" w:hAnsi="宋体" w:eastAsia="宋体" w:cs="宋体"/>
                <w:spacing w:val="7"/>
                <w:sz w:val="20"/>
                <w:szCs w:val="20"/>
              </w:rPr>
              <w:t>二甲苯</w:t>
            </w:r>
          </w:p>
        </w:tc>
        <w:tc>
          <w:tcPr>
            <w:tcW w:w="1445" w:type="dxa"/>
            <w:vAlign w:val="top"/>
          </w:tcPr>
          <w:p w14:paraId="009C967E">
            <w:pPr>
              <w:spacing w:before="9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7.9</w:t>
            </w:r>
          </w:p>
        </w:tc>
        <w:tc>
          <w:tcPr>
            <w:tcW w:w="2096" w:type="dxa"/>
            <w:vAlign w:val="top"/>
          </w:tcPr>
          <w:p w14:paraId="11DF1434">
            <w:pPr>
              <w:spacing w:before="90"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3.3</w:t>
            </w:r>
          </w:p>
        </w:tc>
        <w:tc>
          <w:tcPr>
            <w:tcW w:w="2097" w:type="dxa"/>
            <w:vAlign w:val="top"/>
          </w:tcPr>
          <w:p w14:paraId="45430E78">
            <w:pPr>
              <w:spacing w:before="9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4"/>
                <w:sz w:val="20"/>
                <w:szCs w:val="20"/>
              </w:rPr>
              <w:t>5.8</w:t>
            </w:r>
          </w:p>
        </w:tc>
        <w:tc>
          <w:tcPr>
            <w:tcW w:w="748" w:type="dxa"/>
            <w:tcBorders>
              <w:right w:val="nil"/>
            </w:tcBorders>
            <w:vAlign w:val="top"/>
          </w:tcPr>
          <w:p w14:paraId="0FFEBB28">
            <w:pPr>
              <w:spacing w:before="16"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μ</w:t>
            </w:r>
            <w:r>
              <w:rPr>
                <w:rFonts w:ascii="Times New Roman" w:hAnsi="Times New Roman" w:eastAsia="Times New Roman" w:cs="Times New Roman"/>
                <w:position w:val="4"/>
                <w:sz w:val="20"/>
                <w:szCs w:val="20"/>
              </w:rPr>
              <w:t>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r>
      <w:tr w14:paraId="4528F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left w:val="nil"/>
            </w:tcBorders>
            <w:vAlign w:val="top"/>
          </w:tcPr>
          <w:p w14:paraId="14E76837">
            <w:pPr>
              <w:spacing w:before="9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1553" w:type="dxa"/>
            <w:vAlign w:val="top"/>
          </w:tcPr>
          <w:p w14:paraId="525A5858">
            <w:pPr>
              <w:spacing w:before="56" w:line="227" w:lineRule="auto"/>
              <w:ind w:left="467"/>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1445" w:type="dxa"/>
            <w:vAlign w:val="top"/>
          </w:tcPr>
          <w:p w14:paraId="65AAF8D6">
            <w:pPr>
              <w:spacing w:before="53" w:line="242" w:lineRule="auto"/>
              <w:ind w:left="454"/>
              <w:rPr>
                <w:rFonts w:ascii="Times New Roman" w:hAnsi="Times New Roman" w:eastAsia="Times New Roman" w:cs="Times New Roman"/>
                <w:sz w:val="20"/>
                <w:szCs w:val="20"/>
              </w:rPr>
            </w:pPr>
            <w:r>
              <w:rPr>
                <w:rFonts w:ascii="宋体" w:hAnsi="宋体" w:eastAsia="宋体" w:cs="宋体"/>
                <w:spacing w:val="2"/>
                <w:sz w:val="20"/>
                <w:szCs w:val="20"/>
              </w:rPr>
              <w:t>＜</w:t>
            </w:r>
            <w:r>
              <w:rPr>
                <w:rFonts w:ascii="Times New Roman" w:hAnsi="Times New Roman" w:eastAsia="Times New Roman" w:cs="Times New Roman"/>
                <w:spacing w:val="1"/>
                <w:sz w:val="20"/>
                <w:szCs w:val="20"/>
              </w:rPr>
              <w:t>0.09</w:t>
            </w:r>
          </w:p>
        </w:tc>
        <w:tc>
          <w:tcPr>
            <w:tcW w:w="2096" w:type="dxa"/>
            <w:vAlign w:val="top"/>
          </w:tcPr>
          <w:p w14:paraId="0E30C673">
            <w:pPr>
              <w:spacing w:before="53" w:line="242" w:lineRule="auto"/>
              <w:ind w:left="780"/>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09</w:t>
            </w:r>
          </w:p>
        </w:tc>
        <w:tc>
          <w:tcPr>
            <w:tcW w:w="2097" w:type="dxa"/>
            <w:vAlign w:val="top"/>
          </w:tcPr>
          <w:p w14:paraId="484C75D3">
            <w:pPr>
              <w:spacing w:before="53" w:line="242" w:lineRule="auto"/>
              <w:ind w:left="779"/>
              <w:rPr>
                <w:rFonts w:ascii="Times New Roman" w:hAnsi="Times New Roman" w:eastAsia="Times New Roman" w:cs="Times New Roman"/>
                <w:sz w:val="20"/>
                <w:szCs w:val="20"/>
              </w:rPr>
            </w:pPr>
            <w:r>
              <w:rPr>
                <w:rFonts w:ascii="宋体" w:hAnsi="宋体" w:eastAsia="宋体" w:cs="宋体"/>
                <w:spacing w:val="2"/>
                <w:sz w:val="20"/>
                <w:szCs w:val="20"/>
              </w:rPr>
              <w:t>＜</w:t>
            </w:r>
            <w:r>
              <w:rPr>
                <w:rFonts w:ascii="Times New Roman" w:hAnsi="Times New Roman" w:eastAsia="Times New Roman" w:cs="Times New Roman"/>
                <w:spacing w:val="1"/>
                <w:sz w:val="20"/>
                <w:szCs w:val="20"/>
              </w:rPr>
              <w:t>0.09</w:t>
            </w:r>
          </w:p>
        </w:tc>
        <w:tc>
          <w:tcPr>
            <w:tcW w:w="748" w:type="dxa"/>
            <w:tcBorders>
              <w:right w:val="nil"/>
            </w:tcBorders>
            <w:vAlign w:val="top"/>
          </w:tcPr>
          <w:p w14:paraId="66186ABD">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2B0A4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6A197F59">
            <w:pPr>
              <w:spacing w:before="9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553" w:type="dxa"/>
            <w:vAlign w:val="top"/>
          </w:tcPr>
          <w:p w14:paraId="2C29E3B7">
            <w:pPr>
              <w:spacing w:before="56" w:line="227" w:lineRule="auto"/>
              <w:ind w:left="573"/>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1445" w:type="dxa"/>
            <w:vAlign w:val="top"/>
          </w:tcPr>
          <w:p w14:paraId="575C1241">
            <w:pPr>
              <w:spacing w:before="54" w:line="242" w:lineRule="auto"/>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05D69828">
            <w:pPr>
              <w:spacing w:before="54" w:line="242" w:lineRule="auto"/>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0304E2BB">
            <w:pPr>
              <w:spacing w:before="54" w:line="242" w:lineRule="auto"/>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799875F6">
            <w:pPr>
              <w:spacing w:before="19"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70FFB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0D657AB5">
            <w:pPr>
              <w:spacing w:before="9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1553" w:type="dxa"/>
            <w:vAlign w:val="top"/>
          </w:tcPr>
          <w:p w14:paraId="62F1F291">
            <w:pPr>
              <w:spacing w:before="56" w:line="229" w:lineRule="auto"/>
              <w:ind w:left="481"/>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氯</w:t>
            </w:r>
            <w:r>
              <w:rPr>
                <w:rFonts w:ascii="宋体" w:hAnsi="宋体" w:eastAsia="宋体" w:cs="宋体"/>
                <w:spacing w:val="4"/>
                <w:sz w:val="20"/>
                <w:szCs w:val="20"/>
              </w:rPr>
              <w:t>酚</w:t>
            </w:r>
          </w:p>
        </w:tc>
        <w:tc>
          <w:tcPr>
            <w:tcW w:w="1445" w:type="dxa"/>
            <w:vAlign w:val="top"/>
          </w:tcPr>
          <w:p w14:paraId="5564217A">
            <w:pPr>
              <w:spacing w:before="57"/>
              <w:ind w:left="454"/>
              <w:rPr>
                <w:rFonts w:ascii="Times New Roman" w:hAnsi="Times New Roman" w:eastAsia="Times New Roman" w:cs="Times New Roman"/>
                <w:sz w:val="20"/>
                <w:szCs w:val="20"/>
              </w:rPr>
            </w:pPr>
            <w:r>
              <w:rPr>
                <w:rFonts w:ascii="宋体" w:hAnsi="宋体" w:eastAsia="宋体" w:cs="宋体"/>
                <w:spacing w:val="2"/>
                <w:sz w:val="20"/>
                <w:szCs w:val="20"/>
              </w:rPr>
              <w:t>＜</w:t>
            </w:r>
            <w:r>
              <w:rPr>
                <w:rFonts w:ascii="Times New Roman" w:hAnsi="Times New Roman" w:eastAsia="Times New Roman" w:cs="Times New Roman"/>
                <w:spacing w:val="1"/>
                <w:sz w:val="20"/>
                <w:szCs w:val="20"/>
              </w:rPr>
              <w:t>0.06</w:t>
            </w:r>
          </w:p>
        </w:tc>
        <w:tc>
          <w:tcPr>
            <w:tcW w:w="2096" w:type="dxa"/>
            <w:vAlign w:val="top"/>
          </w:tcPr>
          <w:p w14:paraId="28C3474F">
            <w:pPr>
              <w:spacing w:before="57"/>
              <w:ind w:left="780"/>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06</w:t>
            </w:r>
          </w:p>
        </w:tc>
        <w:tc>
          <w:tcPr>
            <w:tcW w:w="2097" w:type="dxa"/>
            <w:vAlign w:val="top"/>
          </w:tcPr>
          <w:p w14:paraId="4ABFAA61">
            <w:pPr>
              <w:spacing w:before="57"/>
              <w:ind w:left="779"/>
              <w:rPr>
                <w:rFonts w:ascii="Times New Roman" w:hAnsi="Times New Roman" w:eastAsia="Times New Roman" w:cs="Times New Roman"/>
                <w:sz w:val="20"/>
                <w:szCs w:val="20"/>
              </w:rPr>
            </w:pPr>
            <w:r>
              <w:rPr>
                <w:rFonts w:ascii="宋体" w:hAnsi="宋体" w:eastAsia="宋体" w:cs="宋体"/>
                <w:spacing w:val="2"/>
                <w:sz w:val="20"/>
                <w:szCs w:val="20"/>
              </w:rPr>
              <w:t>＜</w:t>
            </w:r>
            <w:r>
              <w:rPr>
                <w:rFonts w:ascii="Times New Roman" w:hAnsi="Times New Roman" w:eastAsia="Times New Roman" w:cs="Times New Roman"/>
                <w:spacing w:val="1"/>
                <w:sz w:val="20"/>
                <w:szCs w:val="20"/>
              </w:rPr>
              <w:t>0.06</w:t>
            </w:r>
          </w:p>
        </w:tc>
        <w:tc>
          <w:tcPr>
            <w:tcW w:w="748" w:type="dxa"/>
            <w:tcBorders>
              <w:right w:val="nil"/>
            </w:tcBorders>
            <w:vAlign w:val="top"/>
          </w:tcPr>
          <w:p w14:paraId="48A35AF6">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7DF24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48060624">
            <w:pPr>
              <w:spacing w:before="9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53" w:type="dxa"/>
            <w:vAlign w:val="top"/>
          </w:tcPr>
          <w:p w14:paraId="4FFD76F9">
            <w:pPr>
              <w:spacing w:before="18" w:line="281" w:lineRule="exact"/>
              <w:ind w:left="352"/>
              <w:rPr>
                <w:rFonts w:ascii="宋体" w:hAnsi="宋体" w:eastAsia="宋体" w:cs="宋体"/>
                <w:sz w:val="20"/>
                <w:szCs w:val="20"/>
              </w:rPr>
            </w:pPr>
            <w:r>
              <w:rPr>
                <w:rFonts w:ascii="宋体" w:hAnsi="宋体" w:eastAsia="宋体" w:cs="宋体"/>
                <w:spacing w:val="7"/>
                <w:position w:val="2"/>
                <w:sz w:val="20"/>
                <w:szCs w:val="20"/>
              </w:rPr>
              <w:t>苯</w:t>
            </w:r>
            <w:r>
              <w:rPr>
                <w:rFonts w:ascii="宋体" w:hAnsi="宋体" w:eastAsia="宋体" w:cs="宋体"/>
                <w:spacing w:val="6"/>
                <w:position w:val="2"/>
                <w:sz w:val="20"/>
                <w:szCs w:val="20"/>
              </w:rPr>
              <w:t>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蒽</w:t>
            </w:r>
          </w:p>
        </w:tc>
        <w:tc>
          <w:tcPr>
            <w:tcW w:w="1445" w:type="dxa"/>
            <w:vAlign w:val="top"/>
          </w:tcPr>
          <w:p w14:paraId="3815834D">
            <w:pPr>
              <w:spacing w:before="55" w:line="241" w:lineRule="auto"/>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33704E86">
            <w:pPr>
              <w:spacing w:before="55" w:line="241" w:lineRule="auto"/>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5479A6F4">
            <w:pPr>
              <w:spacing w:before="55" w:line="241" w:lineRule="auto"/>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06AA038A">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1D806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772A7E8">
            <w:pPr>
              <w:spacing w:before="9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553" w:type="dxa"/>
            <w:vAlign w:val="top"/>
          </w:tcPr>
          <w:p w14:paraId="7BBF773D">
            <w:pPr>
              <w:spacing w:before="18" w:line="281" w:lineRule="exact"/>
              <w:ind w:left="352"/>
              <w:rPr>
                <w:rFonts w:ascii="宋体" w:hAnsi="宋体" w:eastAsia="宋体" w:cs="宋体"/>
                <w:sz w:val="20"/>
                <w:szCs w:val="20"/>
              </w:rPr>
            </w:pPr>
            <w:r>
              <w:rPr>
                <w:rFonts w:ascii="宋体" w:hAnsi="宋体" w:eastAsia="宋体" w:cs="宋体"/>
                <w:spacing w:val="7"/>
                <w:position w:val="2"/>
                <w:sz w:val="20"/>
                <w:szCs w:val="20"/>
              </w:rPr>
              <w:t>苯</w:t>
            </w:r>
            <w:r>
              <w:rPr>
                <w:rFonts w:ascii="宋体" w:hAnsi="宋体" w:eastAsia="宋体" w:cs="宋体"/>
                <w:spacing w:val="6"/>
                <w:position w:val="2"/>
                <w:sz w:val="20"/>
                <w:szCs w:val="20"/>
              </w:rPr>
              <w:t>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芘</w:t>
            </w:r>
          </w:p>
        </w:tc>
        <w:tc>
          <w:tcPr>
            <w:tcW w:w="1445" w:type="dxa"/>
            <w:vAlign w:val="top"/>
          </w:tcPr>
          <w:p w14:paraId="48B41E83">
            <w:pPr>
              <w:spacing w:before="55" w:line="241" w:lineRule="auto"/>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0B15BF13">
            <w:pPr>
              <w:spacing w:before="55" w:line="241" w:lineRule="auto"/>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5C672005">
            <w:pPr>
              <w:spacing w:before="55" w:line="241" w:lineRule="auto"/>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04EFD966">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42F7A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25A7160A">
            <w:pPr>
              <w:spacing w:before="9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553" w:type="dxa"/>
            <w:vAlign w:val="top"/>
          </w:tcPr>
          <w:p w14:paraId="315FFCFE">
            <w:pPr>
              <w:spacing w:before="17" w:line="281" w:lineRule="exact"/>
              <w:ind w:left="242"/>
              <w:rPr>
                <w:rFonts w:ascii="宋体" w:hAnsi="宋体" w:eastAsia="宋体" w:cs="宋体"/>
                <w:sz w:val="20"/>
                <w:szCs w:val="20"/>
              </w:rPr>
            </w:pPr>
            <w:r>
              <w:rPr>
                <w:rFonts w:ascii="宋体" w:hAnsi="宋体" w:eastAsia="宋体" w:cs="宋体"/>
                <w:spacing w:val="8"/>
                <w:position w:val="2"/>
                <w:sz w:val="20"/>
                <w:szCs w:val="20"/>
              </w:rPr>
              <w:t>苯</w:t>
            </w:r>
            <w:r>
              <w:rPr>
                <w:rFonts w:ascii="宋体" w:hAnsi="宋体" w:eastAsia="宋体" w:cs="宋体"/>
                <w:spacing w:val="6"/>
                <w:position w:val="2"/>
                <w:sz w:val="20"/>
                <w:szCs w:val="20"/>
              </w:rPr>
              <w:t>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445" w:type="dxa"/>
            <w:vAlign w:val="top"/>
          </w:tcPr>
          <w:p w14:paraId="61AAC1E9">
            <w:pPr>
              <w:spacing w:before="54" w:line="242" w:lineRule="auto"/>
              <w:ind w:left="507"/>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.2</w:t>
            </w:r>
          </w:p>
        </w:tc>
        <w:tc>
          <w:tcPr>
            <w:tcW w:w="2096" w:type="dxa"/>
            <w:vAlign w:val="top"/>
          </w:tcPr>
          <w:p w14:paraId="6AB7DEB6">
            <w:pPr>
              <w:spacing w:before="54" w:line="242" w:lineRule="auto"/>
              <w:ind w:left="8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.2</w:t>
            </w:r>
          </w:p>
        </w:tc>
        <w:tc>
          <w:tcPr>
            <w:tcW w:w="2097" w:type="dxa"/>
            <w:vAlign w:val="top"/>
          </w:tcPr>
          <w:p w14:paraId="410D9EAD">
            <w:pPr>
              <w:spacing w:before="54" w:line="242" w:lineRule="auto"/>
              <w:ind w:left="832"/>
              <w:rPr>
                <w:rFonts w:ascii="Times New Roman" w:hAnsi="Times New Roman" w:eastAsia="Times New Roman" w:cs="Times New Roman"/>
                <w:sz w:val="20"/>
                <w:szCs w:val="20"/>
              </w:rPr>
            </w:pPr>
            <w:r>
              <w:rPr>
                <w:rFonts w:ascii="宋体" w:hAnsi="宋体" w:eastAsia="宋体" w:cs="宋体"/>
                <w:sz w:val="20"/>
                <w:szCs w:val="20"/>
              </w:rPr>
              <w:t>＜</w:t>
            </w:r>
            <w:r>
              <w:rPr>
                <w:rFonts w:ascii="Times New Roman" w:hAnsi="Times New Roman" w:eastAsia="Times New Roman" w:cs="Times New Roman"/>
                <w:sz w:val="20"/>
                <w:szCs w:val="20"/>
              </w:rPr>
              <w:t>0.2</w:t>
            </w:r>
          </w:p>
        </w:tc>
        <w:tc>
          <w:tcPr>
            <w:tcW w:w="748" w:type="dxa"/>
            <w:tcBorders>
              <w:right w:val="nil"/>
            </w:tcBorders>
            <w:vAlign w:val="top"/>
          </w:tcPr>
          <w:p w14:paraId="63AB438C">
            <w:pPr>
              <w:spacing w:before="17"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19123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4589EFB9">
            <w:pPr>
              <w:spacing w:before="93"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553" w:type="dxa"/>
            <w:vAlign w:val="top"/>
          </w:tcPr>
          <w:p w14:paraId="26451742">
            <w:pPr>
              <w:spacing w:before="19" w:line="281" w:lineRule="exact"/>
              <w:ind w:left="242"/>
              <w:rPr>
                <w:rFonts w:ascii="宋体" w:hAnsi="宋体" w:eastAsia="宋体" w:cs="宋体"/>
                <w:sz w:val="20"/>
                <w:szCs w:val="20"/>
              </w:rPr>
            </w:pPr>
            <w:r>
              <w:rPr>
                <w:rFonts w:ascii="宋体" w:hAnsi="宋体" w:eastAsia="宋体" w:cs="宋体"/>
                <w:spacing w:val="8"/>
                <w:position w:val="2"/>
                <w:sz w:val="20"/>
                <w:szCs w:val="20"/>
              </w:rPr>
              <w:t>苯</w:t>
            </w:r>
            <w:r>
              <w:rPr>
                <w:rFonts w:ascii="宋体" w:hAnsi="宋体" w:eastAsia="宋体" w:cs="宋体"/>
                <w:spacing w:val="6"/>
                <w:position w:val="2"/>
                <w:sz w:val="20"/>
                <w:szCs w:val="20"/>
              </w:rPr>
              <w:t>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445" w:type="dxa"/>
            <w:vAlign w:val="top"/>
          </w:tcPr>
          <w:p w14:paraId="24E0D964">
            <w:pPr>
              <w:spacing w:before="54" w:line="242" w:lineRule="auto"/>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7485E117">
            <w:pPr>
              <w:spacing w:before="54" w:line="242" w:lineRule="auto"/>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640FE7B9">
            <w:pPr>
              <w:spacing w:before="54" w:line="242" w:lineRule="auto"/>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29D9706C">
            <w:pPr>
              <w:spacing w:before="19"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136BA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5578FCE0">
            <w:pPr>
              <w:spacing w:before="92"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553" w:type="dxa"/>
            <w:vAlign w:val="top"/>
          </w:tcPr>
          <w:p w14:paraId="00E6D968">
            <w:pPr>
              <w:spacing w:before="56" w:line="229" w:lineRule="auto"/>
              <w:ind w:left="675"/>
              <w:rPr>
                <w:rFonts w:ascii="宋体" w:hAnsi="宋体" w:eastAsia="宋体" w:cs="宋体"/>
                <w:sz w:val="20"/>
                <w:szCs w:val="20"/>
              </w:rPr>
            </w:pPr>
            <w:r>
              <w:rPr>
                <w:rFonts w:ascii="宋体" w:hAnsi="宋体" w:eastAsia="宋体" w:cs="宋体"/>
                <w:spacing w:val="2"/>
                <w:sz w:val="20"/>
                <w:szCs w:val="20"/>
              </w:rPr>
              <w:t>䓛</w:t>
            </w:r>
          </w:p>
        </w:tc>
        <w:tc>
          <w:tcPr>
            <w:tcW w:w="1445" w:type="dxa"/>
            <w:vAlign w:val="top"/>
          </w:tcPr>
          <w:p w14:paraId="357AEB64">
            <w:pPr>
              <w:spacing w:before="54" w:line="242" w:lineRule="auto"/>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7CF8AD43">
            <w:pPr>
              <w:spacing w:before="54" w:line="242" w:lineRule="auto"/>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3B018D1A">
            <w:pPr>
              <w:spacing w:before="54" w:line="242" w:lineRule="auto"/>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35EBC7AB">
            <w:pPr>
              <w:spacing w:before="19"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5FBE2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72805BF5">
            <w:pPr>
              <w:spacing w:before="92"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553" w:type="dxa"/>
            <w:vAlign w:val="top"/>
          </w:tcPr>
          <w:p w14:paraId="71A25041">
            <w:pPr>
              <w:spacing w:before="18" w:line="281" w:lineRule="exact"/>
              <w:ind w:left="92"/>
              <w:rPr>
                <w:rFonts w:ascii="宋体" w:hAnsi="宋体" w:eastAsia="宋体" w:cs="宋体"/>
                <w:sz w:val="20"/>
                <w:szCs w:val="20"/>
              </w:rPr>
            </w:pPr>
            <w:r>
              <w:rPr>
                <w:rFonts w:ascii="宋体" w:hAnsi="宋体" w:eastAsia="宋体" w:cs="宋体"/>
                <w:spacing w:val="1"/>
                <w:position w:val="2"/>
                <w:sz w:val="20"/>
                <w:szCs w:val="20"/>
              </w:rPr>
              <w:t>二苯并</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position w:val="2"/>
                <w:sz w:val="20"/>
                <w:szCs w:val="20"/>
              </w:rPr>
              <w:t>蒽</w:t>
            </w:r>
          </w:p>
        </w:tc>
        <w:tc>
          <w:tcPr>
            <w:tcW w:w="1445" w:type="dxa"/>
            <w:vAlign w:val="top"/>
          </w:tcPr>
          <w:p w14:paraId="74679D22">
            <w:pPr>
              <w:spacing w:before="56"/>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413307B1">
            <w:pPr>
              <w:spacing w:before="56"/>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526B314F">
            <w:pPr>
              <w:spacing w:before="56"/>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133FF3C9">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1EE0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tcBorders>
              <w:left w:val="nil"/>
            </w:tcBorders>
            <w:vAlign w:val="top"/>
          </w:tcPr>
          <w:p w14:paraId="051835EE">
            <w:pPr>
              <w:spacing w:before="9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553" w:type="dxa"/>
            <w:vAlign w:val="top"/>
          </w:tcPr>
          <w:p w14:paraId="60A971A1">
            <w:pPr>
              <w:spacing w:before="18" w:line="281" w:lineRule="exact"/>
              <w:ind w:left="59"/>
              <w:rPr>
                <w:rFonts w:ascii="宋体" w:hAnsi="宋体" w:eastAsia="宋体" w:cs="宋体"/>
                <w:sz w:val="20"/>
                <w:szCs w:val="20"/>
              </w:rPr>
            </w:pPr>
            <w:r>
              <w:rPr>
                <w:rFonts w:ascii="宋体" w:hAnsi="宋体" w:eastAsia="宋体" w:cs="宋体"/>
                <w:spacing w:val="6"/>
                <w:position w:val="2"/>
                <w:sz w:val="20"/>
                <w:szCs w:val="20"/>
              </w:rPr>
              <w:t>茚</w:t>
            </w:r>
            <w:r>
              <w:rPr>
                <w:rFonts w:ascii="宋体" w:hAnsi="宋体" w:eastAsia="宋体" w:cs="宋体"/>
                <w:spacing w:val="5"/>
                <w:position w:val="2"/>
                <w:sz w:val="20"/>
                <w:szCs w:val="20"/>
              </w:rPr>
              <w:t>并</w:t>
            </w:r>
            <w:r>
              <w:rPr>
                <w:rFonts w:ascii="Times New Roman" w:hAnsi="Times New Roman" w:eastAsia="Times New Roman" w:cs="Times New Roman"/>
                <w:spacing w:val="5"/>
                <w:position w:val="2"/>
                <w:sz w:val="20"/>
                <w:szCs w:val="20"/>
              </w:rPr>
              <w:t>[1,2,3-</w:t>
            </w:r>
            <w:r>
              <w:rPr>
                <w:rFonts w:ascii="Times New Roman" w:hAnsi="Times New Roman" w:eastAsia="Times New Roman" w:cs="Times New Roman"/>
                <w:position w:val="2"/>
                <w:sz w:val="20"/>
                <w:szCs w:val="20"/>
              </w:rPr>
              <w:t>cd</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芘</w:t>
            </w:r>
          </w:p>
        </w:tc>
        <w:tc>
          <w:tcPr>
            <w:tcW w:w="1445" w:type="dxa"/>
            <w:vAlign w:val="top"/>
          </w:tcPr>
          <w:p w14:paraId="453A726E">
            <w:pPr>
              <w:spacing w:before="55" w:line="241" w:lineRule="auto"/>
              <w:ind w:left="507"/>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6" w:type="dxa"/>
            <w:vAlign w:val="top"/>
          </w:tcPr>
          <w:p w14:paraId="7445D3D6">
            <w:pPr>
              <w:spacing w:before="55" w:line="241" w:lineRule="auto"/>
              <w:ind w:left="833"/>
              <w:rPr>
                <w:rFonts w:ascii="Times New Roman" w:hAnsi="Times New Roman" w:eastAsia="Times New Roman" w:cs="Times New Roman"/>
                <w:sz w:val="20"/>
                <w:szCs w:val="20"/>
              </w:rPr>
            </w:pPr>
            <w:r>
              <w:rPr>
                <w:rFonts w:ascii="宋体" w:hAnsi="宋体" w:eastAsia="宋体" w:cs="宋体"/>
                <w:spacing w:val="6"/>
                <w:sz w:val="20"/>
                <w:szCs w:val="20"/>
              </w:rPr>
              <w:t>＜</w:t>
            </w:r>
            <w:r>
              <w:rPr>
                <w:rFonts w:ascii="Times New Roman" w:hAnsi="Times New Roman" w:eastAsia="Times New Roman" w:cs="Times New Roman"/>
                <w:spacing w:val="4"/>
                <w:sz w:val="20"/>
                <w:szCs w:val="20"/>
              </w:rPr>
              <w:t>0.1</w:t>
            </w:r>
          </w:p>
        </w:tc>
        <w:tc>
          <w:tcPr>
            <w:tcW w:w="2097" w:type="dxa"/>
            <w:vAlign w:val="top"/>
          </w:tcPr>
          <w:p w14:paraId="0C3CF073">
            <w:pPr>
              <w:spacing w:before="55" w:line="241" w:lineRule="auto"/>
              <w:ind w:left="832"/>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0.1</w:t>
            </w:r>
          </w:p>
        </w:tc>
        <w:tc>
          <w:tcPr>
            <w:tcW w:w="748" w:type="dxa"/>
            <w:tcBorders>
              <w:right w:val="nil"/>
            </w:tcBorders>
            <w:vAlign w:val="top"/>
          </w:tcPr>
          <w:p w14:paraId="46CB6746">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r w14:paraId="21E10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83" w:type="dxa"/>
            <w:tcBorders>
              <w:left w:val="nil"/>
            </w:tcBorders>
            <w:vAlign w:val="top"/>
          </w:tcPr>
          <w:p w14:paraId="24ECBFC9">
            <w:pPr>
              <w:spacing w:before="9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553" w:type="dxa"/>
            <w:vAlign w:val="top"/>
          </w:tcPr>
          <w:p w14:paraId="09C64D8B">
            <w:pPr>
              <w:spacing w:before="56" w:line="228" w:lineRule="auto"/>
              <w:ind w:left="677"/>
              <w:rPr>
                <w:rFonts w:ascii="宋体" w:hAnsi="宋体" w:eastAsia="宋体" w:cs="宋体"/>
                <w:sz w:val="20"/>
                <w:szCs w:val="20"/>
              </w:rPr>
            </w:pPr>
            <w:r>
              <w:rPr>
                <w:rFonts w:ascii="宋体" w:hAnsi="宋体" w:eastAsia="宋体" w:cs="宋体"/>
                <w:sz w:val="20"/>
                <w:szCs w:val="20"/>
              </w:rPr>
              <w:t>萘</w:t>
            </w:r>
          </w:p>
        </w:tc>
        <w:tc>
          <w:tcPr>
            <w:tcW w:w="1445" w:type="dxa"/>
            <w:vAlign w:val="top"/>
          </w:tcPr>
          <w:p w14:paraId="02B4CD36">
            <w:pPr>
              <w:spacing w:before="55" w:line="265" w:lineRule="exact"/>
              <w:ind w:left="454"/>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1"/>
                <w:position w:val="1"/>
                <w:sz w:val="20"/>
                <w:szCs w:val="20"/>
              </w:rPr>
              <w:t>0.09</w:t>
            </w:r>
          </w:p>
        </w:tc>
        <w:tc>
          <w:tcPr>
            <w:tcW w:w="2096" w:type="dxa"/>
            <w:vAlign w:val="top"/>
          </w:tcPr>
          <w:p w14:paraId="67EB2F3B">
            <w:pPr>
              <w:spacing w:before="55" w:line="265" w:lineRule="exact"/>
              <w:ind w:left="780"/>
              <w:rPr>
                <w:rFonts w:ascii="Times New Roman" w:hAnsi="Times New Roman" w:eastAsia="Times New Roman" w:cs="Times New Roman"/>
                <w:sz w:val="20"/>
                <w:szCs w:val="20"/>
              </w:rPr>
            </w:pP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position w:val="1"/>
                <w:sz w:val="20"/>
                <w:szCs w:val="20"/>
              </w:rPr>
              <w:t>09</w:t>
            </w:r>
          </w:p>
        </w:tc>
        <w:tc>
          <w:tcPr>
            <w:tcW w:w="2097" w:type="dxa"/>
            <w:vAlign w:val="top"/>
          </w:tcPr>
          <w:p w14:paraId="29935653">
            <w:pPr>
              <w:spacing w:before="55" w:line="265" w:lineRule="exact"/>
              <w:ind w:left="779"/>
              <w:rPr>
                <w:rFonts w:ascii="Times New Roman" w:hAnsi="Times New Roman" w:eastAsia="Times New Roman" w:cs="Times New Roman"/>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1"/>
                <w:position w:val="1"/>
                <w:sz w:val="20"/>
                <w:szCs w:val="20"/>
              </w:rPr>
              <w:t>0.09</w:t>
            </w:r>
          </w:p>
        </w:tc>
        <w:tc>
          <w:tcPr>
            <w:tcW w:w="748" w:type="dxa"/>
            <w:tcBorders>
              <w:right w:val="nil"/>
            </w:tcBorders>
            <w:vAlign w:val="top"/>
          </w:tcPr>
          <w:p w14:paraId="5FD5F60D">
            <w:pPr>
              <w:spacing w:before="18" w:line="281"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21"/>
                <w:position w:val="4"/>
                <w:sz w:val="20"/>
                <w:szCs w:val="20"/>
              </w:rPr>
              <w:t>/</w:t>
            </w:r>
            <w:r>
              <w:rPr>
                <w:rFonts w:ascii="Times New Roman" w:hAnsi="Times New Roman" w:eastAsia="Times New Roman" w:cs="Times New Roman"/>
                <w:position w:val="4"/>
                <w:sz w:val="20"/>
                <w:szCs w:val="20"/>
              </w:rPr>
              <w:t>kg</w:t>
            </w:r>
          </w:p>
        </w:tc>
      </w:tr>
    </w:tbl>
    <w:p w14:paraId="0DFE0B0A">
      <w:pPr>
        <w:rPr>
          <w:rFonts w:ascii="Arial"/>
          <w:sz w:val="21"/>
        </w:rPr>
      </w:pPr>
    </w:p>
    <w:p w14:paraId="25E51315">
      <w:pPr>
        <w:sectPr>
          <w:footerReference r:id="rId184" w:type="default"/>
          <w:pgSz w:w="11906" w:h="16839"/>
          <w:pgMar w:top="1132" w:right="1606" w:bottom="1182" w:left="1777" w:header="878" w:footer="1022" w:gutter="0"/>
          <w:cols w:space="720" w:num="1"/>
        </w:sectPr>
      </w:pPr>
    </w:p>
    <w:p w14:paraId="6B249F88">
      <w:pPr>
        <w:spacing w:line="356" w:lineRule="auto"/>
        <w:rPr>
          <w:rFonts w:ascii="Arial"/>
          <w:sz w:val="21"/>
        </w:rPr>
      </w:pPr>
      <w:r>
        <w:pict>
          <v:shape id="_x0000_s1229" o:spid="_x0000_s1229" style="position:absolute;left:0pt;margin-left:90pt;margin-top:57.35pt;height:0.75pt;width:415.3pt;mso-position-horizontal-relative:page;mso-position-vertical-relative:page;z-index:251881472;mso-width-relative:page;mso-height-relative:page;" fillcolor="#000000" filled="t" stroked="f" coordsize="8305,15" o:allowincell="f" path="m0,0l8305,0,8305,14,0,14,0,0xe">
            <v:path/>
            <v:fill on="t" focussize="0,0"/>
            <v:stroke on="f"/>
            <v:imagedata o:title=""/>
            <o:lock v:ext="edit"/>
          </v:shape>
        </w:pict>
      </w:r>
    </w:p>
    <w:p w14:paraId="72FFFE68">
      <w:pPr>
        <w:spacing w:before="91" w:line="219" w:lineRule="auto"/>
        <w:ind w:left="115"/>
        <w:outlineLvl w:val="2"/>
        <w:rPr>
          <w:rFonts w:ascii="宋体" w:hAnsi="宋体" w:eastAsia="宋体" w:cs="宋体"/>
          <w:sz w:val="28"/>
          <w:szCs w:val="28"/>
        </w:rPr>
      </w:pPr>
      <w:r>
        <w:rPr>
          <w:rFonts w:ascii="Times New Roman" w:hAnsi="Times New Roman" w:eastAsia="Times New Roman" w:cs="Times New Roman"/>
          <w:b/>
          <w:bCs/>
          <w:spacing w:val="16"/>
          <w:sz w:val="28"/>
          <w:szCs w:val="28"/>
        </w:rPr>
        <w:t>4</w:t>
      </w:r>
      <w:r>
        <w:rPr>
          <w:rFonts w:ascii="Times New Roman" w:hAnsi="Times New Roman" w:eastAsia="Times New Roman" w:cs="Times New Roman"/>
          <w:b/>
          <w:bCs/>
          <w:spacing w:val="13"/>
          <w:sz w:val="28"/>
          <w:szCs w:val="28"/>
        </w:rPr>
        <w:t>.</w:t>
      </w:r>
      <w:r>
        <w:rPr>
          <w:rFonts w:ascii="Times New Roman" w:hAnsi="Times New Roman" w:eastAsia="Times New Roman" w:cs="Times New Roman"/>
          <w:b/>
          <w:bCs/>
          <w:spacing w:val="8"/>
          <w:sz w:val="28"/>
          <w:szCs w:val="28"/>
        </w:rPr>
        <w:t>3.4.2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土壤环境质量现状评价</w:t>
      </w:r>
    </w:p>
    <w:p w14:paraId="2F2A9452">
      <w:pPr>
        <w:spacing w:line="263" w:lineRule="auto"/>
        <w:rPr>
          <w:rFonts w:ascii="Arial"/>
          <w:sz w:val="21"/>
        </w:rPr>
      </w:pPr>
    </w:p>
    <w:p w14:paraId="4261224F">
      <w:pPr>
        <w:spacing w:before="75" w:line="226" w:lineRule="auto"/>
        <w:ind w:left="128"/>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28"/>
          <w:sz w:val="23"/>
          <w:szCs w:val="23"/>
        </w:rPr>
        <w:t>1</w:t>
      </w:r>
      <w:r>
        <w:rPr>
          <w:rFonts w:ascii="宋体" w:hAnsi="宋体" w:eastAsia="宋体" w:cs="宋体"/>
          <w:spacing w:val="28"/>
          <w:sz w:val="23"/>
          <w:szCs w:val="23"/>
        </w:rPr>
        <w:t>) 评价标</w:t>
      </w:r>
      <w:r>
        <w:rPr>
          <w:rFonts w:ascii="宋体" w:hAnsi="宋体" w:eastAsia="宋体" w:cs="宋体"/>
          <w:spacing w:val="27"/>
          <w:sz w:val="23"/>
          <w:szCs w:val="23"/>
        </w:rPr>
        <w:t>准</w:t>
      </w:r>
    </w:p>
    <w:p w14:paraId="705CE338">
      <w:pPr>
        <w:spacing w:line="277" w:lineRule="auto"/>
        <w:rPr>
          <w:rFonts w:ascii="Arial"/>
          <w:sz w:val="21"/>
        </w:rPr>
      </w:pPr>
    </w:p>
    <w:p w14:paraId="0AA7B5FF">
      <w:pPr>
        <w:spacing w:before="75" w:line="391" w:lineRule="auto"/>
        <w:ind w:left="116" w:right="107" w:firstLine="483"/>
        <w:rPr>
          <w:rFonts w:ascii="宋体" w:hAnsi="宋体" w:eastAsia="宋体" w:cs="宋体"/>
          <w:sz w:val="23"/>
          <w:szCs w:val="23"/>
        </w:rPr>
      </w:pPr>
      <w:r>
        <w:rPr>
          <w:rFonts w:ascii="宋体" w:hAnsi="宋体" w:eastAsia="宋体" w:cs="宋体"/>
          <w:spacing w:val="19"/>
          <w:sz w:val="23"/>
          <w:szCs w:val="23"/>
        </w:rPr>
        <w:t>建</w:t>
      </w:r>
      <w:r>
        <w:rPr>
          <w:rFonts w:ascii="宋体" w:hAnsi="宋体" w:eastAsia="宋体" w:cs="宋体"/>
          <w:spacing w:val="10"/>
          <w:sz w:val="23"/>
          <w:szCs w:val="23"/>
        </w:rPr>
        <w:t>设项目占地范围内土壤环境质量参照执行《土壤环境质量 建设用地土壤</w:t>
      </w:r>
      <w:r>
        <w:rPr>
          <w:rFonts w:ascii="宋体" w:hAnsi="宋体" w:eastAsia="宋体" w:cs="宋体"/>
          <w:sz w:val="23"/>
          <w:szCs w:val="23"/>
        </w:rPr>
        <w:t xml:space="preserve"> </w:t>
      </w:r>
      <w:r>
        <w:rPr>
          <w:rFonts w:ascii="宋体" w:hAnsi="宋体" w:eastAsia="宋体" w:cs="宋体"/>
          <w:spacing w:val="14"/>
          <w:sz w:val="23"/>
          <w:szCs w:val="23"/>
        </w:rPr>
        <w:t>污</w:t>
      </w:r>
      <w:r>
        <w:rPr>
          <w:rFonts w:ascii="宋体" w:hAnsi="宋体" w:eastAsia="宋体" w:cs="宋体"/>
          <w:spacing w:val="10"/>
          <w:sz w:val="23"/>
          <w:szCs w:val="23"/>
        </w:rPr>
        <w:t>染</w:t>
      </w:r>
      <w:r>
        <w:rPr>
          <w:rFonts w:ascii="宋体" w:hAnsi="宋体" w:eastAsia="宋体" w:cs="宋体"/>
          <w:spacing w:val="7"/>
          <w:sz w:val="23"/>
          <w:szCs w:val="23"/>
        </w:rPr>
        <w:t>风险管控标准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36600-2018</w:t>
      </w:r>
      <w:r>
        <w:rPr>
          <w:rFonts w:ascii="宋体" w:hAnsi="宋体" w:eastAsia="宋体" w:cs="宋体"/>
          <w:spacing w:val="7"/>
          <w:sz w:val="23"/>
          <w:szCs w:val="23"/>
        </w:rPr>
        <w:t>) 中筛选值第二类标准，具体见</w:t>
      </w:r>
      <w:r>
        <w:rPr>
          <w:rFonts w:ascii="宋体" w:hAnsi="宋体" w:eastAsia="宋体" w:cs="宋体"/>
          <w:sz w:val="23"/>
          <w:szCs w:val="23"/>
        </w:rPr>
        <w:t xml:space="preserve"> </w:t>
      </w:r>
      <w:r>
        <w:rPr>
          <w:rFonts w:ascii="宋体" w:hAnsi="宋体" w:eastAsia="宋体" w:cs="宋体"/>
          <w:spacing w:val="-6"/>
          <w:sz w:val="23"/>
          <w:szCs w:val="23"/>
        </w:rPr>
        <w:t>表</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4-20</w:t>
      </w:r>
      <w:r>
        <w:rPr>
          <w:rFonts w:ascii="宋体" w:hAnsi="宋体" w:eastAsia="宋体" w:cs="宋体"/>
          <w:spacing w:val="-5"/>
          <w:sz w:val="23"/>
          <w:szCs w:val="23"/>
        </w:rPr>
        <w:t>：</w:t>
      </w:r>
    </w:p>
    <w:p w14:paraId="7099CAF4">
      <w:pPr>
        <w:spacing w:before="87" w:line="332" w:lineRule="exact"/>
        <w:ind w:left="1779"/>
        <w:rPr>
          <w:rFonts w:ascii="Times New Roman" w:hAnsi="Times New Roman" w:eastAsia="Times New Roman" w:cs="Times New Roman"/>
          <w:sz w:val="23"/>
          <w:szCs w:val="23"/>
        </w:rPr>
      </w:pPr>
      <w:r>
        <w:rPr>
          <w:rFonts w:ascii="宋体" w:hAnsi="宋体" w:eastAsia="宋体" w:cs="宋体"/>
          <w:spacing w:val="8"/>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5"/>
          <w:position w:val="3"/>
          <w:sz w:val="23"/>
          <w:szCs w:val="23"/>
        </w:rPr>
        <w:t xml:space="preserve"> </w:t>
      </w:r>
      <w:r>
        <w:rPr>
          <w:rFonts w:ascii="Times New Roman" w:hAnsi="Times New Roman" w:eastAsia="Times New Roman" w:cs="Times New Roman"/>
          <w:b/>
          <w:bCs/>
          <w:spacing w:val="5"/>
          <w:position w:val="3"/>
          <w:sz w:val="23"/>
          <w:szCs w:val="23"/>
        </w:rPr>
        <w:t>4-20</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土壤环境质量标准</w:t>
      </w:r>
      <w:r>
        <w:rPr>
          <w:rFonts w:ascii="宋体" w:hAnsi="宋体" w:eastAsia="宋体" w:cs="宋体"/>
          <w:spacing w:val="5"/>
          <w:position w:val="3"/>
          <w:sz w:val="23"/>
          <w:szCs w:val="23"/>
        </w:rPr>
        <w:t xml:space="preserve">    </w:t>
      </w:r>
      <w:r>
        <w:rPr>
          <w:rFonts w:ascii="宋体" w:hAnsi="宋体" w:eastAsia="宋体" w:cs="宋体"/>
          <w:spacing w:val="5"/>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3"/>
          <w:sz w:val="23"/>
          <w:szCs w:val="23"/>
        </w:rPr>
        <w:t>mg</w:t>
      </w:r>
      <w:r>
        <w:rPr>
          <w:rFonts w:ascii="Times New Roman" w:hAnsi="Times New Roman" w:eastAsia="Times New Roman" w:cs="Times New Roman"/>
          <w:b/>
          <w:bCs/>
          <w:spacing w:val="5"/>
          <w:position w:val="3"/>
          <w:sz w:val="23"/>
          <w:szCs w:val="23"/>
        </w:rPr>
        <w:t>/</w:t>
      </w:r>
      <w:r>
        <w:rPr>
          <w:rFonts w:ascii="Times New Roman" w:hAnsi="Times New Roman" w:eastAsia="Times New Roman" w:cs="Times New Roman"/>
          <w:b/>
          <w:bCs/>
          <w:position w:val="3"/>
          <w:sz w:val="23"/>
          <w:szCs w:val="23"/>
        </w:rPr>
        <w:t>kg</w:t>
      </w:r>
    </w:p>
    <w:p w14:paraId="2E2DB829">
      <w:pPr>
        <w:spacing w:line="16"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2130"/>
        <w:gridCol w:w="2130"/>
        <w:gridCol w:w="2132"/>
      </w:tblGrid>
      <w:tr w14:paraId="30003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0" w:type="dxa"/>
            <w:tcBorders>
              <w:left w:val="nil"/>
              <w:right w:val="single" w:color="000000" w:sz="4" w:space="0"/>
            </w:tcBorders>
            <w:vAlign w:val="top"/>
          </w:tcPr>
          <w:p w14:paraId="6A86F54B">
            <w:pPr>
              <w:spacing w:before="76" w:line="228" w:lineRule="auto"/>
              <w:ind w:left="54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染物项目</w:t>
            </w:r>
          </w:p>
        </w:tc>
        <w:tc>
          <w:tcPr>
            <w:tcW w:w="2130" w:type="dxa"/>
            <w:tcBorders>
              <w:left w:val="single" w:color="000000" w:sz="4" w:space="0"/>
              <w:right w:val="single" w:color="000000" w:sz="4" w:space="0"/>
            </w:tcBorders>
            <w:vAlign w:val="top"/>
          </w:tcPr>
          <w:p w14:paraId="1875E59A">
            <w:pPr>
              <w:spacing w:before="75" w:line="228" w:lineRule="auto"/>
              <w:ind w:left="116"/>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筛</w:t>
            </w:r>
            <w:r>
              <w:rPr>
                <w:rFonts w:ascii="宋体" w:hAnsi="宋体" w:eastAsia="宋体" w:cs="宋体"/>
                <w:spacing w:val="9"/>
                <w:sz w:val="20"/>
                <w:szCs w:val="20"/>
                <w14:textOutline w14:w="3795" w14:cap="sq" w14:cmpd="sng">
                  <w14:solidFill>
                    <w14:srgbClr w14:val="000000"/>
                  </w14:solidFill>
                  <w14:prstDash w14:val="solid"/>
                  <w14:bevel/>
                </w14:textOutline>
              </w:rPr>
              <w:t>选值(第二类用地)</w:t>
            </w:r>
          </w:p>
        </w:tc>
        <w:tc>
          <w:tcPr>
            <w:tcW w:w="2130" w:type="dxa"/>
            <w:tcBorders>
              <w:left w:val="single" w:color="000000" w:sz="4" w:space="0"/>
              <w:right w:val="single" w:color="000000" w:sz="4" w:space="0"/>
            </w:tcBorders>
            <w:vAlign w:val="top"/>
          </w:tcPr>
          <w:p w14:paraId="29918923">
            <w:pPr>
              <w:spacing w:before="76" w:line="228" w:lineRule="auto"/>
              <w:ind w:left="54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染物项目</w:t>
            </w:r>
          </w:p>
        </w:tc>
        <w:tc>
          <w:tcPr>
            <w:tcW w:w="2132" w:type="dxa"/>
            <w:tcBorders>
              <w:left w:val="single" w:color="000000" w:sz="4" w:space="0"/>
              <w:right w:val="nil"/>
            </w:tcBorders>
            <w:vAlign w:val="top"/>
          </w:tcPr>
          <w:p w14:paraId="3FE0B9F3">
            <w:pPr>
              <w:spacing w:before="75" w:line="228" w:lineRule="auto"/>
              <w:ind w:left="116"/>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筛</w:t>
            </w:r>
            <w:r>
              <w:rPr>
                <w:rFonts w:ascii="宋体" w:hAnsi="宋体" w:eastAsia="宋体" w:cs="宋体"/>
                <w:spacing w:val="9"/>
                <w:sz w:val="20"/>
                <w:szCs w:val="20"/>
                <w14:textOutline w14:w="3795" w14:cap="sq" w14:cmpd="sng">
                  <w14:solidFill>
                    <w14:srgbClr w14:val="000000"/>
                  </w14:solidFill>
                  <w14:prstDash w14:val="solid"/>
                  <w14:bevel/>
                </w14:textOutline>
              </w:rPr>
              <w:t>选值(第二类用地)</w:t>
            </w:r>
          </w:p>
        </w:tc>
      </w:tr>
      <w:tr w14:paraId="563DC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0B8BCE5D">
            <w:pPr>
              <w:spacing w:before="55" w:line="228" w:lineRule="auto"/>
              <w:ind w:left="967"/>
              <w:rPr>
                <w:rFonts w:ascii="宋体" w:hAnsi="宋体" w:eastAsia="宋体" w:cs="宋体"/>
                <w:sz w:val="20"/>
                <w:szCs w:val="20"/>
              </w:rPr>
            </w:pPr>
            <w:r>
              <w:rPr>
                <w:rFonts w:ascii="宋体" w:hAnsi="宋体" w:eastAsia="宋体" w:cs="宋体"/>
                <w:spacing w:val="1"/>
                <w:sz w:val="20"/>
                <w:szCs w:val="20"/>
              </w:rPr>
              <w:t>砷</w:t>
            </w:r>
          </w:p>
        </w:tc>
        <w:tc>
          <w:tcPr>
            <w:tcW w:w="2130" w:type="dxa"/>
            <w:tcBorders>
              <w:left w:val="single" w:color="000000" w:sz="4" w:space="0"/>
              <w:right w:val="single" w:color="000000" w:sz="4" w:space="0"/>
            </w:tcBorders>
            <w:vAlign w:val="top"/>
          </w:tcPr>
          <w:p w14:paraId="25FF7B7D">
            <w:pPr>
              <w:spacing w:before="91"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2130" w:type="dxa"/>
            <w:tcBorders>
              <w:left w:val="single" w:color="000000" w:sz="4" w:space="0"/>
              <w:right w:val="single" w:color="000000" w:sz="4" w:space="0"/>
            </w:tcBorders>
            <w:vAlign w:val="top"/>
          </w:tcPr>
          <w:p w14:paraId="1477954F">
            <w:pPr>
              <w:spacing w:before="55" w:line="228" w:lineRule="auto"/>
              <w:ind w:left="648"/>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2132" w:type="dxa"/>
            <w:tcBorders>
              <w:left w:val="single" w:color="000000" w:sz="4" w:space="0"/>
              <w:right w:val="nil"/>
            </w:tcBorders>
            <w:vAlign w:val="top"/>
          </w:tcPr>
          <w:p w14:paraId="706D1CDF">
            <w:pPr>
              <w:spacing w:before="91" w:line="198"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r>
      <w:tr w14:paraId="5779B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6A853A9D">
            <w:pPr>
              <w:spacing w:before="54" w:line="231" w:lineRule="auto"/>
              <w:ind w:left="966"/>
              <w:rPr>
                <w:rFonts w:ascii="宋体" w:hAnsi="宋体" w:eastAsia="宋体" w:cs="宋体"/>
                <w:sz w:val="20"/>
                <w:szCs w:val="20"/>
              </w:rPr>
            </w:pPr>
            <w:r>
              <w:rPr>
                <w:rFonts w:ascii="宋体" w:hAnsi="宋体" w:eastAsia="宋体" w:cs="宋体"/>
                <w:spacing w:val="2"/>
                <w:sz w:val="20"/>
                <w:szCs w:val="20"/>
              </w:rPr>
              <w:t>镉</w:t>
            </w:r>
          </w:p>
        </w:tc>
        <w:tc>
          <w:tcPr>
            <w:tcW w:w="2130" w:type="dxa"/>
            <w:tcBorders>
              <w:left w:val="single" w:color="000000" w:sz="4" w:space="0"/>
              <w:right w:val="single" w:color="000000" w:sz="4" w:space="0"/>
            </w:tcBorders>
            <w:vAlign w:val="top"/>
          </w:tcPr>
          <w:p w14:paraId="17FDFA2A">
            <w:pPr>
              <w:spacing w:before="90"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2130" w:type="dxa"/>
            <w:tcBorders>
              <w:left w:val="single" w:color="000000" w:sz="4" w:space="0"/>
              <w:right w:val="single" w:color="000000" w:sz="4" w:space="0"/>
            </w:tcBorders>
            <w:vAlign w:val="top"/>
          </w:tcPr>
          <w:p w14:paraId="1785EFBA">
            <w:pPr>
              <w:spacing w:before="55" w:line="233" w:lineRule="auto"/>
              <w:ind w:left="420"/>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2,3-</w:t>
            </w:r>
            <w:r>
              <w:rPr>
                <w:rFonts w:ascii="宋体" w:hAnsi="宋体" w:eastAsia="宋体" w:cs="宋体"/>
                <w:spacing w:val="3"/>
                <w:sz w:val="20"/>
                <w:szCs w:val="20"/>
              </w:rPr>
              <w:t>三氯丙烷</w:t>
            </w:r>
          </w:p>
        </w:tc>
        <w:tc>
          <w:tcPr>
            <w:tcW w:w="2132" w:type="dxa"/>
            <w:tcBorders>
              <w:left w:val="single" w:color="000000" w:sz="4" w:space="0"/>
              <w:right w:val="nil"/>
            </w:tcBorders>
            <w:vAlign w:val="top"/>
          </w:tcPr>
          <w:p w14:paraId="22174D2A">
            <w:pPr>
              <w:spacing w:before="91"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14:paraId="65833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4DCEB167">
            <w:pPr>
              <w:spacing w:before="54" w:line="226" w:lineRule="auto"/>
              <w:ind w:left="547"/>
              <w:rPr>
                <w:rFonts w:ascii="宋体" w:hAnsi="宋体" w:eastAsia="宋体" w:cs="宋体"/>
                <w:sz w:val="20"/>
                <w:szCs w:val="20"/>
              </w:rPr>
            </w:pPr>
            <w:r>
              <w:rPr>
                <w:rFonts w:ascii="宋体" w:hAnsi="宋体" w:eastAsia="宋体" w:cs="宋体"/>
                <w:spacing w:val="5"/>
                <w:sz w:val="20"/>
                <w:szCs w:val="20"/>
              </w:rPr>
              <w:t>铬 (六价)</w:t>
            </w:r>
          </w:p>
        </w:tc>
        <w:tc>
          <w:tcPr>
            <w:tcW w:w="2130" w:type="dxa"/>
            <w:tcBorders>
              <w:left w:val="single" w:color="000000" w:sz="4" w:space="0"/>
              <w:right w:val="single" w:color="000000" w:sz="4" w:space="0"/>
            </w:tcBorders>
            <w:vAlign w:val="top"/>
          </w:tcPr>
          <w:p w14:paraId="1FA28551">
            <w:pPr>
              <w:spacing w:before="93" w:line="192" w:lineRule="auto"/>
              <w:ind w:left="9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2130" w:type="dxa"/>
            <w:tcBorders>
              <w:left w:val="single" w:color="000000" w:sz="4" w:space="0"/>
              <w:right w:val="single" w:color="000000" w:sz="4" w:space="0"/>
            </w:tcBorders>
            <w:vAlign w:val="top"/>
          </w:tcPr>
          <w:p w14:paraId="76DE750F">
            <w:pPr>
              <w:spacing w:before="53" w:line="228" w:lineRule="auto"/>
              <w:ind w:left="755"/>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2132" w:type="dxa"/>
            <w:tcBorders>
              <w:left w:val="single" w:color="000000" w:sz="4" w:space="0"/>
              <w:right w:val="nil"/>
            </w:tcBorders>
            <w:vAlign w:val="top"/>
          </w:tcPr>
          <w:p w14:paraId="47F4070C">
            <w:pPr>
              <w:spacing w:before="90"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.43</w:t>
            </w:r>
          </w:p>
        </w:tc>
      </w:tr>
      <w:tr w14:paraId="2715A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tcBorders>
              <w:left w:val="nil"/>
              <w:right w:val="single" w:color="000000" w:sz="4" w:space="0"/>
            </w:tcBorders>
            <w:vAlign w:val="top"/>
          </w:tcPr>
          <w:p w14:paraId="0070248D">
            <w:pPr>
              <w:spacing w:before="53" w:line="229" w:lineRule="auto"/>
              <w:ind w:left="968"/>
              <w:rPr>
                <w:rFonts w:ascii="宋体" w:hAnsi="宋体" w:eastAsia="宋体" w:cs="宋体"/>
                <w:sz w:val="20"/>
                <w:szCs w:val="20"/>
              </w:rPr>
            </w:pPr>
            <w:r>
              <w:rPr>
                <w:rFonts w:ascii="宋体" w:hAnsi="宋体" w:eastAsia="宋体" w:cs="宋体"/>
                <w:sz w:val="20"/>
                <w:szCs w:val="20"/>
              </w:rPr>
              <w:t>铜</w:t>
            </w:r>
          </w:p>
        </w:tc>
        <w:tc>
          <w:tcPr>
            <w:tcW w:w="2130" w:type="dxa"/>
            <w:tcBorders>
              <w:left w:val="single" w:color="000000" w:sz="4" w:space="0"/>
              <w:right w:val="single" w:color="000000" w:sz="4" w:space="0"/>
            </w:tcBorders>
            <w:vAlign w:val="top"/>
          </w:tcPr>
          <w:p w14:paraId="3C2A8744">
            <w:pPr>
              <w:spacing w:before="89" w:line="195" w:lineRule="auto"/>
              <w:ind w:left="822"/>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2130" w:type="dxa"/>
            <w:tcBorders>
              <w:left w:val="single" w:color="000000" w:sz="4" w:space="0"/>
              <w:right w:val="single" w:color="000000" w:sz="4" w:space="0"/>
            </w:tcBorders>
            <w:vAlign w:val="top"/>
          </w:tcPr>
          <w:p w14:paraId="34F56836">
            <w:pPr>
              <w:spacing w:before="53" w:line="227" w:lineRule="auto"/>
              <w:ind w:left="965"/>
              <w:rPr>
                <w:rFonts w:ascii="宋体" w:hAnsi="宋体" w:eastAsia="宋体" w:cs="宋体"/>
                <w:sz w:val="20"/>
                <w:szCs w:val="20"/>
              </w:rPr>
            </w:pPr>
            <w:r>
              <w:rPr>
                <w:rFonts w:ascii="宋体" w:hAnsi="宋体" w:eastAsia="宋体" w:cs="宋体"/>
                <w:sz w:val="20"/>
                <w:szCs w:val="20"/>
              </w:rPr>
              <w:t>苯</w:t>
            </w:r>
          </w:p>
        </w:tc>
        <w:tc>
          <w:tcPr>
            <w:tcW w:w="2132" w:type="dxa"/>
            <w:tcBorders>
              <w:left w:val="single" w:color="000000" w:sz="4" w:space="0"/>
              <w:right w:val="nil"/>
            </w:tcBorders>
            <w:vAlign w:val="top"/>
          </w:tcPr>
          <w:p w14:paraId="555728A3">
            <w:pPr>
              <w:spacing w:before="89" w:line="195" w:lineRule="auto"/>
              <w:ind w:left="10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03AA8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735190CA">
            <w:pPr>
              <w:spacing w:before="56" w:line="232" w:lineRule="auto"/>
              <w:ind w:left="968"/>
              <w:rPr>
                <w:rFonts w:ascii="宋体" w:hAnsi="宋体" w:eastAsia="宋体" w:cs="宋体"/>
                <w:sz w:val="20"/>
                <w:szCs w:val="20"/>
              </w:rPr>
            </w:pPr>
            <w:r>
              <w:rPr>
                <w:rFonts w:ascii="宋体" w:hAnsi="宋体" w:eastAsia="宋体" w:cs="宋体"/>
                <w:sz w:val="20"/>
                <w:szCs w:val="20"/>
              </w:rPr>
              <w:t>铅</w:t>
            </w:r>
          </w:p>
        </w:tc>
        <w:tc>
          <w:tcPr>
            <w:tcW w:w="2130" w:type="dxa"/>
            <w:tcBorders>
              <w:left w:val="single" w:color="000000" w:sz="4" w:space="0"/>
              <w:right w:val="single" w:color="000000" w:sz="4" w:space="0"/>
            </w:tcBorders>
            <w:vAlign w:val="top"/>
          </w:tcPr>
          <w:p w14:paraId="2684E529">
            <w:pPr>
              <w:spacing w:before="92"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2130" w:type="dxa"/>
            <w:tcBorders>
              <w:left w:val="single" w:color="000000" w:sz="4" w:space="0"/>
              <w:right w:val="single" w:color="000000" w:sz="4" w:space="0"/>
            </w:tcBorders>
            <w:vAlign w:val="top"/>
          </w:tcPr>
          <w:p w14:paraId="10F74AF2">
            <w:pPr>
              <w:spacing w:before="56" w:line="227" w:lineRule="auto"/>
              <w:ind w:left="860"/>
              <w:rPr>
                <w:rFonts w:ascii="宋体" w:hAnsi="宋体" w:eastAsia="宋体" w:cs="宋体"/>
                <w:sz w:val="20"/>
                <w:szCs w:val="20"/>
              </w:rPr>
            </w:pPr>
            <w:r>
              <w:rPr>
                <w:rFonts w:ascii="宋体" w:hAnsi="宋体" w:eastAsia="宋体" w:cs="宋体"/>
                <w:spacing w:val="3"/>
                <w:sz w:val="20"/>
                <w:szCs w:val="20"/>
              </w:rPr>
              <w:t>氯苯</w:t>
            </w:r>
          </w:p>
        </w:tc>
        <w:tc>
          <w:tcPr>
            <w:tcW w:w="2132" w:type="dxa"/>
            <w:tcBorders>
              <w:left w:val="single" w:color="000000" w:sz="4" w:space="0"/>
              <w:right w:val="nil"/>
            </w:tcBorders>
            <w:vAlign w:val="top"/>
          </w:tcPr>
          <w:p w14:paraId="655DD0C5">
            <w:pPr>
              <w:spacing w:before="92"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w:t>
            </w:r>
          </w:p>
        </w:tc>
      </w:tr>
      <w:tr w14:paraId="21690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3D501A8F">
            <w:pPr>
              <w:spacing w:before="56" w:line="228" w:lineRule="auto"/>
              <w:ind w:left="968"/>
              <w:rPr>
                <w:rFonts w:ascii="宋体" w:hAnsi="宋体" w:eastAsia="宋体" w:cs="宋体"/>
                <w:sz w:val="20"/>
                <w:szCs w:val="20"/>
              </w:rPr>
            </w:pPr>
            <w:r>
              <w:rPr>
                <w:rFonts w:ascii="宋体" w:hAnsi="宋体" w:eastAsia="宋体" w:cs="宋体"/>
                <w:sz w:val="20"/>
                <w:szCs w:val="20"/>
              </w:rPr>
              <w:t>汞</w:t>
            </w:r>
          </w:p>
        </w:tc>
        <w:tc>
          <w:tcPr>
            <w:tcW w:w="2130" w:type="dxa"/>
            <w:tcBorders>
              <w:left w:val="single" w:color="000000" w:sz="4" w:space="0"/>
              <w:right w:val="single" w:color="000000" w:sz="4" w:space="0"/>
            </w:tcBorders>
            <w:vAlign w:val="top"/>
          </w:tcPr>
          <w:p w14:paraId="4881B1C2">
            <w:pPr>
              <w:spacing w:before="91"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2130" w:type="dxa"/>
            <w:tcBorders>
              <w:left w:val="single" w:color="000000" w:sz="4" w:space="0"/>
              <w:right w:val="single" w:color="000000" w:sz="4" w:space="0"/>
            </w:tcBorders>
            <w:vAlign w:val="top"/>
          </w:tcPr>
          <w:p w14:paraId="6A43D581">
            <w:pPr>
              <w:spacing w:before="55" w:line="232" w:lineRule="auto"/>
              <w:ind w:left="602"/>
              <w:rPr>
                <w:rFonts w:ascii="宋体" w:hAnsi="宋体" w:eastAsia="宋体" w:cs="宋体"/>
                <w:sz w:val="20"/>
                <w:szCs w:val="20"/>
              </w:rPr>
            </w:pPr>
            <w:r>
              <w:rPr>
                <w:rFonts w:ascii="Times New Roman" w:hAnsi="Times New Roman" w:eastAsia="Times New Roman" w:cs="Times New Roman"/>
                <w:spacing w:val="3"/>
                <w:sz w:val="20"/>
                <w:szCs w:val="20"/>
              </w:rPr>
              <w:t>1,2-</w:t>
            </w:r>
            <w:r>
              <w:rPr>
                <w:rFonts w:ascii="宋体" w:hAnsi="宋体" w:eastAsia="宋体" w:cs="宋体"/>
                <w:spacing w:val="3"/>
                <w:sz w:val="20"/>
                <w:szCs w:val="20"/>
              </w:rPr>
              <w:t>二氯苯</w:t>
            </w:r>
          </w:p>
        </w:tc>
        <w:tc>
          <w:tcPr>
            <w:tcW w:w="2132" w:type="dxa"/>
            <w:tcBorders>
              <w:left w:val="single" w:color="000000" w:sz="4" w:space="0"/>
              <w:right w:val="nil"/>
            </w:tcBorders>
            <w:vAlign w:val="top"/>
          </w:tcPr>
          <w:p w14:paraId="66BCE1FE">
            <w:pPr>
              <w:spacing w:before="91"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r>
      <w:tr w14:paraId="1800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tcBorders>
              <w:left w:val="nil"/>
              <w:right w:val="single" w:color="000000" w:sz="4" w:space="0"/>
            </w:tcBorders>
            <w:vAlign w:val="top"/>
          </w:tcPr>
          <w:p w14:paraId="780D4DC0">
            <w:pPr>
              <w:spacing w:before="55" w:line="228" w:lineRule="auto"/>
              <w:ind w:left="967"/>
              <w:rPr>
                <w:rFonts w:ascii="宋体" w:hAnsi="宋体" w:eastAsia="宋体" w:cs="宋体"/>
                <w:sz w:val="20"/>
                <w:szCs w:val="20"/>
              </w:rPr>
            </w:pPr>
            <w:r>
              <w:rPr>
                <w:rFonts w:ascii="宋体" w:hAnsi="宋体" w:eastAsia="宋体" w:cs="宋体"/>
                <w:spacing w:val="1"/>
                <w:sz w:val="20"/>
                <w:szCs w:val="20"/>
              </w:rPr>
              <w:t>镍</w:t>
            </w:r>
          </w:p>
        </w:tc>
        <w:tc>
          <w:tcPr>
            <w:tcW w:w="2130" w:type="dxa"/>
            <w:tcBorders>
              <w:left w:val="single" w:color="000000" w:sz="4" w:space="0"/>
              <w:right w:val="single" w:color="000000" w:sz="4" w:space="0"/>
            </w:tcBorders>
            <w:vAlign w:val="top"/>
          </w:tcPr>
          <w:p w14:paraId="6EF3B656">
            <w:pPr>
              <w:spacing w:before="91"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2130" w:type="dxa"/>
            <w:tcBorders>
              <w:left w:val="single" w:color="000000" w:sz="4" w:space="0"/>
              <w:right w:val="single" w:color="000000" w:sz="4" w:space="0"/>
            </w:tcBorders>
            <w:vAlign w:val="top"/>
          </w:tcPr>
          <w:p w14:paraId="7A4306D6">
            <w:pPr>
              <w:spacing w:before="55" w:line="232" w:lineRule="auto"/>
              <w:ind w:left="602"/>
              <w:rPr>
                <w:rFonts w:ascii="宋体" w:hAnsi="宋体" w:eastAsia="宋体" w:cs="宋体"/>
                <w:sz w:val="20"/>
                <w:szCs w:val="20"/>
              </w:rPr>
            </w:pPr>
            <w:r>
              <w:rPr>
                <w:rFonts w:ascii="Times New Roman" w:hAnsi="Times New Roman" w:eastAsia="Times New Roman" w:cs="Times New Roman"/>
                <w:spacing w:val="3"/>
                <w:sz w:val="20"/>
                <w:szCs w:val="20"/>
              </w:rPr>
              <w:t>1,4-</w:t>
            </w:r>
            <w:r>
              <w:rPr>
                <w:rFonts w:ascii="宋体" w:hAnsi="宋体" w:eastAsia="宋体" w:cs="宋体"/>
                <w:spacing w:val="3"/>
                <w:sz w:val="20"/>
                <w:szCs w:val="20"/>
              </w:rPr>
              <w:t>二氯苯</w:t>
            </w:r>
          </w:p>
        </w:tc>
        <w:tc>
          <w:tcPr>
            <w:tcW w:w="2132" w:type="dxa"/>
            <w:tcBorders>
              <w:left w:val="single" w:color="000000" w:sz="4" w:space="0"/>
              <w:right w:val="nil"/>
            </w:tcBorders>
            <w:vAlign w:val="top"/>
          </w:tcPr>
          <w:p w14:paraId="4C0B43DD">
            <w:pPr>
              <w:spacing w:before="91"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r>
      <w:tr w14:paraId="786BE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796BE0F9">
            <w:pPr>
              <w:spacing w:before="56" w:line="228" w:lineRule="auto"/>
              <w:ind w:left="673"/>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2130" w:type="dxa"/>
            <w:tcBorders>
              <w:left w:val="single" w:color="000000" w:sz="4" w:space="0"/>
              <w:right w:val="single" w:color="000000" w:sz="4" w:space="0"/>
            </w:tcBorders>
            <w:vAlign w:val="top"/>
          </w:tcPr>
          <w:p w14:paraId="6BDEB14C">
            <w:pPr>
              <w:spacing w:before="91" w:line="198"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2130" w:type="dxa"/>
            <w:tcBorders>
              <w:left w:val="single" w:color="000000" w:sz="4" w:space="0"/>
              <w:right w:val="single" w:color="000000" w:sz="4" w:space="0"/>
            </w:tcBorders>
            <w:vAlign w:val="top"/>
          </w:tcPr>
          <w:p w14:paraId="25B2DBFF">
            <w:pPr>
              <w:spacing w:before="55" w:line="227" w:lineRule="auto"/>
              <w:ind w:left="878"/>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2132" w:type="dxa"/>
            <w:tcBorders>
              <w:left w:val="single" w:color="000000" w:sz="4" w:space="0"/>
              <w:right w:val="nil"/>
            </w:tcBorders>
            <w:vAlign w:val="top"/>
          </w:tcPr>
          <w:p w14:paraId="09041CF0">
            <w:pPr>
              <w:spacing w:before="91"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r>
      <w:tr w14:paraId="15141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3EA3D708">
            <w:pPr>
              <w:spacing w:before="57" w:line="228" w:lineRule="auto"/>
              <w:ind w:left="865"/>
              <w:rPr>
                <w:rFonts w:ascii="宋体" w:hAnsi="宋体" w:eastAsia="宋体" w:cs="宋体"/>
                <w:sz w:val="20"/>
                <w:szCs w:val="20"/>
              </w:rPr>
            </w:pPr>
            <w:r>
              <w:rPr>
                <w:rFonts w:ascii="宋体" w:hAnsi="宋体" w:eastAsia="宋体" w:cs="宋体"/>
                <w:spacing w:val="3"/>
                <w:sz w:val="20"/>
                <w:szCs w:val="20"/>
              </w:rPr>
              <w:t>氯仿</w:t>
            </w:r>
          </w:p>
        </w:tc>
        <w:tc>
          <w:tcPr>
            <w:tcW w:w="2130" w:type="dxa"/>
            <w:tcBorders>
              <w:left w:val="single" w:color="000000" w:sz="4" w:space="0"/>
              <w:right w:val="single" w:color="000000" w:sz="4" w:space="0"/>
            </w:tcBorders>
            <w:vAlign w:val="top"/>
          </w:tcPr>
          <w:p w14:paraId="57AD0E28">
            <w:pPr>
              <w:spacing w:before="93"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2130" w:type="dxa"/>
            <w:tcBorders>
              <w:left w:val="single" w:color="000000" w:sz="4" w:space="0"/>
              <w:right w:val="single" w:color="000000" w:sz="4" w:space="0"/>
            </w:tcBorders>
            <w:vAlign w:val="top"/>
          </w:tcPr>
          <w:p w14:paraId="71090E2F">
            <w:pPr>
              <w:spacing w:before="57" w:line="227" w:lineRule="auto"/>
              <w:ind w:left="754"/>
              <w:rPr>
                <w:rFonts w:ascii="宋体" w:hAnsi="宋体" w:eastAsia="宋体" w:cs="宋体"/>
                <w:sz w:val="20"/>
                <w:szCs w:val="20"/>
              </w:rPr>
            </w:pPr>
            <w:r>
              <w:rPr>
                <w:rFonts w:ascii="宋体" w:hAnsi="宋体" w:eastAsia="宋体" w:cs="宋体"/>
                <w:spacing w:val="6"/>
                <w:sz w:val="20"/>
                <w:szCs w:val="20"/>
              </w:rPr>
              <w:t>苯乙烯</w:t>
            </w:r>
          </w:p>
        </w:tc>
        <w:tc>
          <w:tcPr>
            <w:tcW w:w="2132" w:type="dxa"/>
            <w:tcBorders>
              <w:left w:val="single" w:color="000000" w:sz="4" w:space="0"/>
              <w:right w:val="nil"/>
            </w:tcBorders>
            <w:vAlign w:val="top"/>
          </w:tcPr>
          <w:p w14:paraId="57622802">
            <w:pPr>
              <w:spacing w:before="93"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r>
      <w:tr w14:paraId="497FB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603C1A95">
            <w:pPr>
              <w:spacing w:before="57" w:line="228" w:lineRule="auto"/>
              <w:ind w:left="760"/>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2130" w:type="dxa"/>
            <w:tcBorders>
              <w:left w:val="single" w:color="000000" w:sz="4" w:space="0"/>
              <w:right w:val="single" w:color="000000" w:sz="4" w:space="0"/>
            </w:tcBorders>
            <w:vAlign w:val="top"/>
          </w:tcPr>
          <w:p w14:paraId="53EC1118">
            <w:pPr>
              <w:spacing w:before="92"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2130" w:type="dxa"/>
            <w:tcBorders>
              <w:left w:val="single" w:color="000000" w:sz="4" w:space="0"/>
              <w:right w:val="single" w:color="000000" w:sz="4" w:space="0"/>
            </w:tcBorders>
            <w:vAlign w:val="top"/>
          </w:tcPr>
          <w:p w14:paraId="17DCF6F9">
            <w:pPr>
              <w:spacing w:before="56" w:line="227" w:lineRule="auto"/>
              <w:ind w:left="88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132" w:type="dxa"/>
            <w:tcBorders>
              <w:left w:val="single" w:color="000000" w:sz="4" w:space="0"/>
              <w:right w:val="nil"/>
            </w:tcBorders>
            <w:vAlign w:val="top"/>
          </w:tcPr>
          <w:p w14:paraId="5D3F06E4">
            <w:pPr>
              <w:spacing w:before="92"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r>
      <w:tr w14:paraId="70F1E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1F89D4F9">
            <w:pPr>
              <w:spacing w:before="56" w:line="233" w:lineRule="auto"/>
              <w:ind w:left="504"/>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1-</w:t>
            </w:r>
            <w:r>
              <w:rPr>
                <w:rFonts w:ascii="宋体" w:hAnsi="宋体" w:eastAsia="宋体" w:cs="宋体"/>
                <w:spacing w:val="-2"/>
                <w:sz w:val="20"/>
                <w:szCs w:val="20"/>
              </w:rPr>
              <w:t>二氯乙烷</w:t>
            </w:r>
          </w:p>
        </w:tc>
        <w:tc>
          <w:tcPr>
            <w:tcW w:w="2130" w:type="dxa"/>
            <w:tcBorders>
              <w:left w:val="single" w:color="000000" w:sz="4" w:space="0"/>
              <w:right w:val="single" w:color="000000" w:sz="4" w:space="0"/>
            </w:tcBorders>
            <w:vAlign w:val="top"/>
          </w:tcPr>
          <w:p w14:paraId="2898FE24">
            <w:pPr>
              <w:spacing w:before="92" w:line="195" w:lineRule="auto"/>
              <w:ind w:left="101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0" w:type="dxa"/>
            <w:tcBorders>
              <w:left w:val="single" w:color="000000" w:sz="4" w:space="0"/>
              <w:right w:val="single" w:color="000000" w:sz="4" w:space="0"/>
            </w:tcBorders>
            <w:vAlign w:val="top"/>
          </w:tcPr>
          <w:p w14:paraId="2BCFFE05">
            <w:pPr>
              <w:spacing w:before="18" w:line="281" w:lineRule="exact"/>
              <w:ind w:left="185"/>
              <w:rPr>
                <w:rFonts w:ascii="宋体" w:hAnsi="宋体" w:eastAsia="宋体" w:cs="宋体"/>
                <w:sz w:val="20"/>
                <w:szCs w:val="20"/>
              </w:rPr>
            </w:pPr>
            <w:r>
              <w:rPr>
                <w:rFonts w:ascii="宋体" w:hAnsi="宋体" w:eastAsia="宋体" w:cs="宋体"/>
                <w:spacing w:val="10"/>
                <w:position w:val="1"/>
                <w:sz w:val="20"/>
                <w:szCs w:val="20"/>
              </w:rPr>
              <w:t>间</w:t>
            </w:r>
            <w:r>
              <w:rPr>
                <w:rFonts w:ascii="宋体" w:hAnsi="宋体" w:eastAsia="宋体" w:cs="宋体"/>
                <w:spacing w:val="6"/>
                <w:position w:val="1"/>
                <w:sz w:val="20"/>
                <w:szCs w:val="20"/>
              </w:rPr>
              <w:t>二甲苯</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对二甲苯</w:t>
            </w:r>
          </w:p>
        </w:tc>
        <w:tc>
          <w:tcPr>
            <w:tcW w:w="2132" w:type="dxa"/>
            <w:tcBorders>
              <w:left w:val="single" w:color="000000" w:sz="4" w:space="0"/>
              <w:right w:val="nil"/>
            </w:tcBorders>
            <w:vAlign w:val="top"/>
          </w:tcPr>
          <w:p w14:paraId="675C4DA7">
            <w:pPr>
              <w:spacing w:before="92"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r>
              <w:rPr>
                <w:rFonts w:ascii="Times New Roman" w:hAnsi="Times New Roman" w:eastAsia="Times New Roman" w:cs="Times New Roman"/>
                <w:spacing w:val="1"/>
                <w:sz w:val="20"/>
                <w:szCs w:val="20"/>
              </w:rPr>
              <w:t>0</w:t>
            </w:r>
          </w:p>
        </w:tc>
      </w:tr>
      <w:tr w14:paraId="7A1B7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tcBorders>
              <w:left w:val="nil"/>
              <w:right w:val="single" w:color="000000" w:sz="4" w:space="0"/>
            </w:tcBorders>
            <w:vAlign w:val="top"/>
          </w:tcPr>
          <w:p w14:paraId="7B7C4FAD">
            <w:pPr>
              <w:spacing w:before="56" w:line="233" w:lineRule="auto"/>
              <w:ind w:left="504"/>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二氯乙烷</w:t>
            </w:r>
          </w:p>
        </w:tc>
        <w:tc>
          <w:tcPr>
            <w:tcW w:w="2130" w:type="dxa"/>
            <w:tcBorders>
              <w:left w:val="single" w:color="000000" w:sz="4" w:space="0"/>
              <w:right w:val="single" w:color="000000" w:sz="4" w:space="0"/>
            </w:tcBorders>
            <w:vAlign w:val="top"/>
          </w:tcPr>
          <w:p w14:paraId="4FA5F594">
            <w:pPr>
              <w:spacing w:before="94" w:line="192"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0" w:type="dxa"/>
            <w:tcBorders>
              <w:left w:val="single" w:color="000000" w:sz="4" w:space="0"/>
              <w:right w:val="single" w:color="000000" w:sz="4" w:space="0"/>
            </w:tcBorders>
            <w:vAlign w:val="top"/>
          </w:tcPr>
          <w:p w14:paraId="52B683A1">
            <w:pPr>
              <w:spacing w:before="55" w:line="227" w:lineRule="auto"/>
              <w:ind w:left="647"/>
              <w:rPr>
                <w:rFonts w:ascii="宋体" w:hAnsi="宋体" w:eastAsia="宋体" w:cs="宋体"/>
                <w:sz w:val="20"/>
                <w:szCs w:val="20"/>
              </w:rPr>
            </w:pPr>
            <w:r>
              <w:rPr>
                <w:rFonts w:ascii="宋体" w:hAnsi="宋体" w:eastAsia="宋体" w:cs="宋体"/>
                <w:spacing w:val="9"/>
                <w:sz w:val="20"/>
                <w:szCs w:val="20"/>
              </w:rPr>
              <w:t>邻</w:t>
            </w:r>
            <w:r>
              <w:rPr>
                <w:rFonts w:ascii="宋体" w:hAnsi="宋体" w:eastAsia="宋体" w:cs="宋体"/>
                <w:spacing w:val="7"/>
                <w:sz w:val="20"/>
                <w:szCs w:val="20"/>
              </w:rPr>
              <w:t>二甲苯</w:t>
            </w:r>
          </w:p>
        </w:tc>
        <w:tc>
          <w:tcPr>
            <w:tcW w:w="2132" w:type="dxa"/>
            <w:tcBorders>
              <w:left w:val="single" w:color="000000" w:sz="4" w:space="0"/>
              <w:right w:val="nil"/>
            </w:tcBorders>
            <w:vAlign w:val="top"/>
          </w:tcPr>
          <w:p w14:paraId="6D1C5508">
            <w:pPr>
              <w:spacing w:before="91" w:line="195" w:lineRule="auto"/>
              <w:ind w:left="9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r>
      <w:tr w14:paraId="2EBE3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1D636CB4">
            <w:pPr>
              <w:spacing w:before="58" w:line="233" w:lineRule="auto"/>
              <w:ind w:left="504"/>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1-</w:t>
            </w:r>
            <w:r>
              <w:rPr>
                <w:rFonts w:ascii="宋体" w:hAnsi="宋体" w:eastAsia="宋体" w:cs="宋体"/>
                <w:spacing w:val="-2"/>
                <w:sz w:val="20"/>
                <w:szCs w:val="20"/>
              </w:rPr>
              <w:t>二氯乙烯</w:t>
            </w:r>
          </w:p>
        </w:tc>
        <w:tc>
          <w:tcPr>
            <w:tcW w:w="2130" w:type="dxa"/>
            <w:tcBorders>
              <w:left w:val="single" w:color="000000" w:sz="4" w:space="0"/>
              <w:right w:val="single" w:color="000000" w:sz="4" w:space="0"/>
            </w:tcBorders>
            <w:vAlign w:val="top"/>
          </w:tcPr>
          <w:p w14:paraId="691A8EB2">
            <w:pPr>
              <w:spacing w:before="94"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2130" w:type="dxa"/>
            <w:tcBorders>
              <w:left w:val="single" w:color="000000" w:sz="4" w:space="0"/>
              <w:right w:val="single" w:color="000000" w:sz="4" w:space="0"/>
            </w:tcBorders>
            <w:vAlign w:val="top"/>
          </w:tcPr>
          <w:p w14:paraId="2EAA5BD8">
            <w:pPr>
              <w:spacing w:before="58" w:line="227" w:lineRule="auto"/>
              <w:ind w:left="753"/>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2132" w:type="dxa"/>
            <w:tcBorders>
              <w:left w:val="single" w:color="000000" w:sz="4" w:space="0"/>
              <w:right w:val="nil"/>
            </w:tcBorders>
            <w:vAlign w:val="top"/>
          </w:tcPr>
          <w:p w14:paraId="14BD4224">
            <w:pPr>
              <w:spacing w:before="94" w:line="195"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r>
      <w:tr w14:paraId="5AEE4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7A4F8C3D">
            <w:pPr>
              <w:spacing w:before="57" w:line="233" w:lineRule="auto"/>
              <w:ind w:left="349"/>
              <w:rPr>
                <w:rFonts w:ascii="宋体" w:hAnsi="宋体" w:eastAsia="宋体" w:cs="宋体"/>
                <w:sz w:val="20"/>
                <w:szCs w:val="20"/>
              </w:rPr>
            </w:pPr>
            <w:r>
              <w:rPr>
                <w:rFonts w:ascii="宋体" w:hAnsi="宋体" w:eastAsia="宋体" w:cs="宋体"/>
                <w:spacing w:val="1"/>
                <w:sz w:val="20"/>
                <w:szCs w:val="20"/>
              </w:rPr>
              <w:t>顺</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2130" w:type="dxa"/>
            <w:tcBorders>
              <w:left w:val="single" w:color="000000" w:sz="4" w:space="0"/>
              <w:right w:val="single" w:color="000000" w:sz="4" w:space="0"/>
            </w:tcBorders>
            <w:vAlign w:val="top"/>
          </w:tcPr>
          <w:p w14:paraId="2CD14AE8">
            <w:pPr>
              <w:spacing w:before="93" w:line="195" w:lineRule="auto"/>
              <w:ind w:left="9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6</w:t>
            </w:r>
          </w:p>
        </w:tc>
        <w:tc>
          <w:tcPr>
            <w:tcW w:w="2130" w:type="dxa"/>
            <w:tcBorders>
              <w:left w:val="single" w:color="000000" w:sz="4" w:space="0"/>
              <w:right w:val="single" w:color="000000" w:sz="4" w:space="0"/>
            </w:tcBorders>
            <w:vAlign w:val="top"/>
          </w:tcPr>
          <w:p w14:paraId="33DFCC32">
            <w:pPr>
              <w:spacing w:before="57" w:line="227" w:lineRule="auto"/>
              <w:ind w:left="860"/>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2132" w:type="dxa"/>
            <w:tcBorders>
              <w:left w:val="single" w:color="000000" w:sz="4" w:space="0"/>
              <w:right w:val="nil"/>
            </w:tcBorders>
            <w:vAlign w:val="top"/>
          </w:tcPr>
          <w:p w14:paraId="4889F39F">
            <w:pPr>
              <w:spacing w:before="93"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r>
      <w:tr w14:paraId="7198D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366FC936">
            <w:pPr>
              <w:spacing w:before="56" w:line="233" w:lineRule="auto"/>
              <w:ind w:left="349"/>
              <w:rPr>
                <w:rFonts w:ascii="宋体" w:hAnsi="宋体" w:eastAsia="宋体" w:cs="宋体"/>
                <w:sz w:val="20"/>
                <w:szCs w:val="20"/>
              </w:rPr>
            </w:pPr>
            <w:r>
              <w:rPr>
                <w:rFonts w:ascii="宋体" w:hAnsi="宋体" w:eastAsia="宋体" w:cs="宋体"/>
                <w:spacing w:val="1"/>
                <w:sz w:val="20"/>
                <w:szCs w:val="20"/>
              </w:rPr>
              <w:t>反</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2130" w:type="dxa"/>
            <w:tcBorders>
              <w:left w:val="single" w:color="000000" w:sz="4" w:space="0"/>
              <w:right w:val="single" w:color="000000" w:sz="4" w:space="0"/>
            </w:tcBorders>
            <w:vAlign w:val="top"/>
          </w:tcPr>
          <w:p w14:paraId="2EF47DDC">
            <w:pPr>
              <w:spacing w:before="93" w:line="195" w:lineRule="auto"/>
              <w:ind w:left="96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130" w:type="dxa"/>
            <w:tcBorders>
              <w:left w:val="single" w:color="000000" w:sz="4" w:space="0"/>
              <w:right w:val="single" w:color="000000" w:sz="4" w:space="0"/>
            </w:tcBorders>
            <w:vAlign w:val="top"/>
          </w:tcPr>
          <w:p w14:paraId="53D5EFFA">
            <w:pPr>
              <w:spacing w:before="57" w:line="229" w:lineRule="auto"/>
              <w:ind w:left="767"/>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氯</w:t>
            </w:r>
            <w:r>
              <w:rPr>
                <w:rFonts w:ascii="宋体" w:hAnsi="宋体" w:eastAsia="宋体" w:cs="宋体"/>
                <w:spacing w:val="4"/>
                <w:sz w:val="20"/>
                <w:szCs w:val="20"/>
              </w:rPr>
              <w:t>酚</w:t>
            </w:r>
          </w:p>
        </w:tc>
        <w:tc>
          <w:tcPr>
            <w:tcW w:w="2132" w:type="dxa"/>
            <w:tcBorders>
              <w:left w:val="single" w:color="000000" w:sz="4" w:space="0"/>
              <w:right w:val="nil"/>
            </w:tcBorders>
            <w:vAlign w:val="top"/>
          </w:tcPr>
          <w:p w14:paraId="55C795F1">
            <w:pPr>
              <w:spacing w:before="93" w:line="195" w:lineRule="auto"/>
              <w:ind w:left="8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r>
      <w:tr w14:paraId="469CD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6121B968">
            <w:pPr>
              <w:spacing w:before="57" w:line="228" w:lineRule="auto"/>
              <w:ind w:left="657"/>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2130" w:type="dxa"/>
            <w:tcBorders>
              <w:left w:val="single" w:color="000000" w:sz="4" w:space="0"/>
              <w:right w:val="single" w:color="000000" w:sz="4" w:space="0"/>
            </w:tcBorders>
            <w:vAlign w:val="top"/>
          </w:tcPr>
          <w:p w14:paraId="2C96619F">
            <w:pPr>
              <w:spacing w:before="92"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2130" w:type="dxa"/>
            <w:tcBorders>
              <w:left w:val="single" w:color="000000" w:sz="4" w:space="0"/>
              <w:right w:val="single" w:color="000000" w:sz="4" w:space="0"/>
            </w:tcBorders>
            <w:vAlign w:val="top"/>
          </w:tcPr>
          <w:p w14:paraId="20BE007F">
            <w:pPr>
              <w:spacing w:before="19" w:line="281" w:lineRule="exact"/>
              <w:ind w:left="639"/>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蒽</w:t>
            </w:r>
          </w:p>
        </w:tc>
        <w:tc>
          <w:tcPr>
            <w:tcW w:w="2132" w:type="dxa"/>
            <w:tcBorders>
              <w:left w:val="single" w:color="000000" w:sz="4" w:space="0"/>
              <w:right w:val="nil"/>
            </w:tcBorders>
            <w:vAlign w:val="top"/>
          </w:tcPr>
          <w:p w14:paraId="1CB33122">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14:paraId="0BA07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tcBorders>
              <w:left w:val="nil"/>
              <w:right w:val="single" w:color="000000" w:sz="4" w:space="0"/>
            </w:tcBorders>
            <w:vAlign w:val="top"/>
          </w:tcPr>
          <w:p w14:paraId="664ED192">
            <w:pPr>
              <w:spacing w:before="58" w:line="233" w:lineRule="auto"/>
              <w:ind w:left="504"/>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二氯丙烷</w:t>
            </w:r>
          </w:p>
        </w:tc>
        <w:tc>
          <w:tcPr>
            <w:tcW w:w="2130" w:type="dxa"/>
            <w:tcBorders>
              <w:left w:val="single" w:color="000000" w:sz="4" w:space="0"/>
              <w:right w:val="single" w:color="000000" w:sz="4" w:space="0"/>
            </w:tcBorders>
            <w:vAlign w:val="top"/>
          </w:tcPr>
          <w:p w14:paraId="19458D53">
            <w:pPr>
              <w:spacing w:before="97" w:line="192"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0" w:type="dxa"/>
            <w:tcBorders>
              <w:left w:val="single" w:color="000000" w:sz="4" w:space="0"/>
              <w:right w:val="single" w:color="000000" w:sz="4" w:space="0"/>
            </w:tcBorders>
            <w:vAlign w:val="top"/>
          </w:tcPr>
          <w:p w14:paraId="1431B794">
            <w:pPr>
              <w:spacing w:before="20" w:line="281" w:lineRule="exact"/>
              <w:ind w:left="639"/>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芘</w:t>
            </w:r>
          </w:p>
        </w:tc>
        <w:tc>
          <w:tcPr>
            <w:tcW w:w="2132" w:type="dxa"/>
            <w:tcBorders>
              <w:left w:val="single" w:color="000000" w:sz="4" w:space="0"/>
              <w:right w:val="nil"/>
            </w:tcBorders>
            <w:vAlign w:val="top"/>
          </w:tcPr>
          <w:p w14:paraId="139540F5">
            <w:pPr>
              <w:spacing w:before="94" w:line="198" w:lineRule="auto"/>
              <w:ind w:left="9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r>
      <w:tr w14:paraId="772E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4DFD125B">
            <w:pPr>
              <w:spacing w:before="58" w:line="221" w:lineRule="auto"/>
              <w:ind w:left="346"/>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 xml:space="preserve">, 1, 1,2- </w:t>
            </w:r>
            <w:r>
              <w:rPr>
                <w:rFonts w:ascii="宋体" w:hAnsi="宋体" w:eastAsia="宋体" w:cs="宋体"/>
                <w:spacing w:val="-7"/>
                <w:sz w:val="20"/>
                <w:szCs w:val="20"/>
              </w:rPr>
              <w:t>四氯乙烷</w:t>
            </w:r>
          </w:p>
        </w:tc>
        <w:tc>
          <w:tcPr>
            <w:tcW w:w="2130" w:type="dxa"/>
            <w:tcBorders>
              <w:left w:val="single" w:color="000000" w:sz="4" w:space="0"/>
              <w:right w:val="single" w:color="000000" w:sz="4" w:space="0"/>
            </w:tcBorders>
            <w:vAlign w:val="top"/>
          </w:tcPr>
          <w:p w14:paraId="4B11C854">
            <w:pPr>
              <w:spacing w:before="94" w:line="195" w:lineRule="auto"/>
              <w:ind w:left="9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30" w:type="dxa"/>
            <w:tcBorders>
              <w:left w:val="single" w:color="000000" w:sz="4" w:space="0"/>
              <w:right w:val="single" w:color="000000" w:sz="4" w:space="0"/>
            </w:tcBorders>
            <w:vAlign w:val="top"/>
          </w:tcPr>
          <w:p w14:paraId="487943BA">
            <w:pPr>
              <w:spacing w:before="21" w:line="281" w:lineRule="exact"/>
              <w:ind w:left="528"/>
              <w:rPr>
                <w:rFonts w:ascii="宋体" w:hAnsi="宋体" w:eastAsia="宋体" w:cs="宋体"/>
                <w:sz w:val="20"/>
                <w:szCs w:val="20"/>
              </w:rPr>
            </w:pPr>
            <w:r>
              <w:rPr>
                <w:rFonts w:ascii="宋体" w:hAnsi="宋体" w:eastAsia="宋体" w:cs="宋体"/>
                <w:spacing w:val="8"/>
                <w:position w:val="2"/>
                <w:sz w:val="20"/>
                <w:szCs w:val="20"/>
              </w:rPr>
              <w:t>苯</w:t>
            </w:r>
            <w:r>
              <w:rPr>
                <w:rFonts w:ascii="宋体" w:hAnsi="宋体" w:eastAsia="宋体" w:cs="宋体"/>
                <w:spacing w:val="6"/>
                <w:position w:val="2"/>
                <w:sz w:val="20"/>
                <w:szCs w:val="20"/>
              </w:rPr>
              <w:t>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2132" w:type="dxa"/>
            <w:tcBorders>
              <w:left w:val="single" w:color="000000" w:sz="4" w:space="0"/>
              <w:right w:val="nil"/>
            </w:tcBorders>
            <w:vAlign w:val="top"/>
          </w:tcPr>
          <w:p w14:paraId="482E5E00">
            <w:pPr>
              <w:spacing w:before="94"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14:paraId="0892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1F2FCDA4">
            <w:pPr>
              <w:spacing w:before="58" w:line="233" w:lineRule="auto"/>
              <w:ind w:left="346"/>
              <w:rPr>
                <w:rFonts w:ascii="宋体" w:hAnsi="宋体" w:eastAsia="宋体" w:cs="宋体"/>
                <w:sz w:val="20"/>
                <w:szCs w:val="20"/>
              </w:rPr>
            </w:pPr>
            <w:r>
              <w:rPr>
                <w:rFonts w:ascii="Times New Roman" w:hAnsi="Times New Roman" w:eastAsia="Times New Roman" w:cs="Times New Roman"/>
                <w:spacing w:val="-4"/>
                <w:sz w:val="20"/>
                <w:szCs w:val="20"/>
              </w:rPr>
              <w:t xml:space="preserve">1, 1,2,2- </w:t>
            </w:r>
            <w:r>
              <w:rPr>
                <w:rFonts w:ascii="宋体" w:hAnsi="宋体" w:eastAsia="宋体" w:cs="宋体"/>
                <w:spacing w:val="-4"/>
                <w:sz w:val="20"/>
                <w:szCs w:val="20"/>
              </w:rPr>
              <w:t>四氯乙烷</w:t>
            </w:r>
          </w:p>
        </w:tc>
        <w:tc>
          <w:tcPr>
            <w:tcW w:w="2130" w:type="dxa"/>
            <w:tcBorders>
              <w:left w:val="single" w:color="000000" w:sz="4" w:space="0"/>
              <w:right w:val="single" w:color="000000" w:sz="4" w:space="0"/>
            </w:tcBorders>
            <w:vAlign w:val="top"/>
          </w:tcPr>
          <w:p w14:paraId="23B0726B">
            <w:pPr>
              <w:spacing w:before="94" w:line="195"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2130" w:type="dxa"/>
            <w:tcBorders>
              <w:left w:val="single" w:color="000000" w:sz="4" w:space="0"/>
              <w:right w:val="single" w:color="000000" w:sz="4" w:space="0"/>
            </w:tcBorders>
            <w:vAlign w:val="top"/>
          </w:tcPr>
          <w:p w14:paraId="0F3A4429">
            <w:pPr>
              <w:spacing w:before="20" w:line="281" w:lineRule="exact"/>
              <w:ind w:left="528"/>
              <w:rPr>
                <w:rFonts w:ascii="宋体" w:hAnsi="宋体" w:eastAsia="宋体" w:cs="宋体"/>
                <w:sz w:val="20"/>
                <w:szCs w:val="20"/>
              </w:rPr>
            </w:pPr>
            <w:r>
              <w:rPr>
                <w:rFonts w:ascii="宋体" w:hAnsi="宋体" w:eastAsia="宋体" w:cs="宋体"/>
                <w:spacing w:val="8"/>
                <w:position w:val="2"/>
                <w:sz w:val="20"/>
                <w:szCs w:val="20"/>
              </w:rPr>
              <w:t>苯</w:t>
            </w:r>
            <w:r>
              <w:rPr>
                <w:rFonts w:ascii="宋体" w:hAnsi="宋体" w:eastAsia="宋体" w:cs="宋体"/>
                <w:spacing w:val="6"/>
                <w:position w:val="2"/>
                <w:sz w:val="20"/>
                <w:szCs w:val="20"/>
              </w:rPr>
              <w:t>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2132" w:type="dxa"/>
            <w:tcBorders>
              <w:left w:val="single" w:color="000000" w:sz="4" w:space="0"/>
              <w:right w:val="nil"/>
            </w:tcBorders>
            <w:vAlign w:val="top"/>
          </w:tcPr>
          <w:p w14:paraId="042AC8AD">
            <w:pPr>
              <w:spacing w:before="94"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r>
      <w:tr w14:paraId="766F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7F1331D1">
            <w:pPr>
              <w:spacing w:before="57" w:line="228" w:lineRule="auto"/>
              <w:ind w:left="673"/>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2130" w:type="dxa"/>
            <w:tcBorders>
              <w:left w:val="single" w:color="000000" w:sz="4" w:space="0"/>
              <w:right w:val="single" w:color="000000" w:sz="4" w:space="0"/>
            </w:tcBorders>
            <w:vAlign w:val="top"/>
          </w:tcPr>
          <w:p w14:paraId="1253A63D">
            <w:pPr>
              <w:spacing w:before="93" w:line="195" w:lineRule="auto"/>
              <w:ind w:left="96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2130" w:type="dxa"/>
            <w:tcBorders>
              <w:left w:val="single" w:color="000000" w:sz="4" w:space="0"/>
              <w:right w:val="single" w:color="000000" w:sz="4" w:space="0"/>
            </w:tcBorders>
            <w:vAlign w:val="top"/>
          </w:tcPr>
          <w:p w14:paraId="08B45BB5">
            <w:pPr>
              <w:spacing w:before="57" w:line="229" w:lineRule="auto"/>
              <w:ind w:left="961"/>
              <w:rPr>
                <w:rFonts w:ascii="宋体" w:hAnsi="宋体" w:eastAsia="宋体" w:cs="宋体"/>
                <w:sz w:val="20"/>
                <w:szCs w:val="20"/>
              </w:rPr>
            </w:pPr>
            <w:r>
              <w:rPr>
                <w:rFonts w:ascii="宋体" w:hAnsi="宋体" w:eastAsia="宋体" w:cs="宋体"/>
                <w:spacing w:val="2"/>
                <w:sz w:val="20"/>
                <w:szCs w:val="20"/>
              </w:rPr>
              <w:t>䓛</w:t>
            </w:r>
          </w:p>
        </w:tc>
        <w:tc>
          <w:tcPr>
            <w:tcW w:w="2132" w:type="dxa"/>
            <w:tcBorders>
              <w:left w:val="single" w:color="000000" w:sz="4" w:space="0"/>
              <w:right w:val="nil"/>
            </w:tcBorders>
            <w:vAlign w:val="top"/>
          </w:tcPr>
          <w:p w14:paraId="0B9CABD1">
            <w:pPr>
              <w:spacing w:before="93"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r>
      <w:tr w14:paraId="1592B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130" w:type="dxa"/>
            <w:tcBorders>
              <w:left w:val="nil"/>
              <w:right w:val="single" w:color="000000" w:sz="4" w:space="0"/>
            </w:tcBorders>
            <w:vAlign w:val="top"/>
          </w:tcPr>
          <w:p w14:paraId="0DE0EAA5">
            <w:pPr>
              <w:spacing w:before="59" w:line="233" w:lineRule="auto"/>
              <w:ind w:left="425"/>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5"/>
                <w:sz w:val="20"/>
                <w:szCs w:val="20"/>
              </w:rPr>
              <w:t>, 1, 1-</w:t>
            </w:r>
            <w:r>
              <w:rPr>
                <w:rFonts w:ascii="宋体" w:hAnsi="宋体" w:eastAsia="宋体" w:cs="宋体"/>
                <w:spacing w:val="-5"/>
                <w:sz w:val="20"/>
                <w:szCs w:val="20"/>
              </w:rPr>
              <w:t>三氯乙烷</w:t>
            </w:r>
          </w:p>
        </w:tc>
        <w:tc>
          <w:tcPr>
            <w:tcW w:w="2130" w:type="dxa"/>
            <w:tcBorders>
              <w:left w:val="single" w:color="000000" w:sz="4" w:space="0"/>
              <w:right w:val="single" w:color="000000" w:sz="4" w:space="0"/>
            </w:tcBorders>
            <w:vAlign w:val="top"/>
          </w:tcPr>
          <w:p w14:paraId="34F57057">
            <w:pPr>
              <w:spacing w:before="95"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w:t>
            </w:r>
            <w:r>
              <w:rPr>
                <w:rFonts w:ascii="Times New Roman" w:hAnsi="Times New Roman" w:eastAsia="Times New Roman" w:cs="Times New Roman"/>
                <w:sz w:val="20"/>
                <w:szCs w:val="20"/>
              </w:rPr>
              <w:t>0</w:t>
            </w:r>
          </w:p>
        </w:tc>
        <w:tc>
          <w:tcPr>
            <w:tcW w:w="2130" w:type="dxa"/>
            <w:tcBorders>
              <w:left w:val="single" w:color="000000" w:sz="4" w:space="0"/>
              <w:right w:val="single" w:color="000000" w:sz="4" w:space="0"/>
            </w:tcBorders>
            <w:vAlign w:val="top"/>
          </w:tcPr>
          <w:p w14:paraId="1A3090BA">
            <w:pPr>
              <w:spacing w:before="21" w:line="281" w:lineRule="exact"/>
              <w:ind w:left="378"/>
              <w:rPr>
                <w:rFonts w:ascii="宋体" w:hAnsi="宋体" w:eastAsia="宋体" w:cs="宋体"/>
                <w:sz w:val="20"/>
                <w:szCs w:val="20"/>
              </w:rPr>
            </w:pPr>
            <w:r>
              <w:rPr>
                <w:rFonts w:ascii="宋体" w:hAnsi="宋体" w:eastAsia="宋体" w:cs="宋体"/>
                <w:spacing w:val="1"/>
                <w:position w:val="2"/>
                <w:sz w:val="20"/>
                <w:szCs w:val="20"/>
              </w:rPr>
              <w:t>二苯并</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position w:val="2"/>
                <w:sz w:val="20"/>
                <w:szCs w:val="20"/>
              </w:rPr>
              <w:t>蒽</w:t>
            </w:r>
          </w:p>
        </w:tc>
        <w:tc>
          <w:tcPr>
            <w:tcW w:w="2132" w:type="dxa"/>
            <w:tcBorders>
              <w:left w:val="single" w:color="000000" w:sz="4" w:space="0"/>
              <w:right w:val="nil"/>
            </w:tcBorders>
            <w:vAlign w:val="top"/>
          </w:tcPr>
          <w:p w14:paraId="61A82800">
            <w:pPr>
              <w:spacing w:before="95" w:line="195" w:lineRule="auto"/>
              <w:ind w:left="9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5</w:t>
            </w:r>
          </w:p>
        </w:tc>
      </w:tr>
      <w:tr w14:paraId="45572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0" w:type="dxa"/>
            <w:tcBorders>
              <w:left w:val="nil"/>
              <w:right w:val="single" w:color="000000" w:sz="4" w:space="0"/>
            </w:tcBorders>
            <w:vAlign w:val="top"/>
          </w:tcPr>
          <w:p w14:paraId="02F2B1A6">
            <w:pPr>
              <w:spacing w:before="59" w:line="233" w:lineRule="auto"/>
              <w:ind w:left="425"/>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1,2-</w:t>
            </w:r>
            <w:r>
              <w:rPr>
                <w:rFonts w:ascii="宋体" w:hAnsi="宋体" w:eastAsia="宋体" w:cs="宋体"/>
                <w:spacing w:val="-1"/>
                <w:sz w:val="20"/>
                <w:szCs w:val="20"/>
              </w:rPr>
              <w:t>三氯乙烷</w:t>
            </w:r>
          </w:p>
        </w:tc>
        <w:tc>
          <w:tcPr>
            <w:tcW w:w="2130" w:type="dxa"/>
            <w:tcBorders>
              <w:left w:val="single" w:color="000000" w:sz="4" w:space="0"/>
              <w:right w:val="single" w:color="000000" w:sz="4" w:space="0"/>
            </w:tcBorders>
            <w:vAlign w:val="top"/>
          </w:tcPr>
          <w:p w14:paraId="446BD23D">
            <w:pPr>
              <w:spacing w:before="94" w:line="198"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2130" w:type="dxa"/>
            <w:tcBorders>
              <w:left w:val="single" w:color="000000" w:sz="4" w:space="0"/>
              <w:right w:val="single" w:color="000000" w:sz="4" w:space="0"/>
            </w:tcBorders>
            <w:vAlign w:val="top"/>
          </w:tcPr>
          <w:p w14:paraId="410490F4">
            <w:pPr>
              <w:spacing w:before="21" w:line="281" w:lineRule="exact"/>
              <w:ind w:left="345"/>
              <w:rPr>
                <w:rFonts w:ascii="宋体" w:hAnsi="宋体" w:eastAsia="宋体" w:cs="宋体"/>
                <w:sz w:val="20"/>
                <w:szCs w:val="20"/>
              </w:rPr>
            </w:pPr>
            <w:r>
              <w:rPr>
                <w:rFonts w:ascii="宋体" w:hAnsi="宋体" w:eastAsia="宋体" w:cs="宋体"/>
                <w:spacing w:val="6"/>
                <w:position w:val="2"/>
                <w:sz w:val="20"/>
                <w:szCs w:val="20"/>
              </w:rPr>
              <w:t>茚</w:t>
            </w:r>
            <w:r>
              <w:rPr>
                <w:rFonts w:ascii="宋体" w:hAnsi="宋体" w:eastAsia="宋体" w:cs="宋体"/>
                <w:spacing w:val="5"/>
                <w:position w:val="2"/>
                <w:sz w:val="20"/>
                <w:szCs w:val="20"/>
              </w:rPr>
              <w:t>并</w:t>
            </w:r>
            <w:r>
              <w:rPr>
                <w:rFonts w:ascii="Times New Roman" w:hAnsi="Times New Roman" w:eastAsia="Times New Roman" w:cs="Times New Roman"/>
                <w:spacing w:val="5"/>
                <w:position w:val="2"/>
                <w:sz w:val="20"/>
                <w:szCs w:val="20"/>
              </w:rPr>
              <w:t>[1,2,3-</w:t>
            </w:r>
            <w:r>
              <w:rPr>
                <w:rFonts w:ascii="Times New Roman" w:hAnsi="Times New Roman" w:eastAsia="Times New Roman" w:cs="Times New Roman"/>
                <w:position w:val="2"/>
                <w:sz w:val="20"/>
                <w:szCs w:val="20"/>
              </w:rPr>
              <w:t>cd</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芘</w:t>
            </w:r>
          </w:p>
        </w:tc>
        <w:tc>
          <w:tcPr>
            <w:tcW w:w="2132" w:type="dxa"/>
            <w:tcBorders>
              <w:left w:val="single" w:color="000000" w:sz="4" w:space="0"/>
              <w:right w:val="nil"/>
            </w:tcBorders>
            <w:vAlign w:val="top"/>
          </w:tcPr>
          <w:p w14:paraId="0F1ABF25">
            <w:pPr>
              <w:spacing w:before="94"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14:paraId="11A71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0" w:type="dxa"/>
            <w:tcBorders>
              <w:left w:val="nil"/>
              <w:right w:val="single" w:color="000000" w:sz="4" w:space="0"/>
            </w:tcBorders>
            <w:vAlign w:val="top"/>
          </w:tcPr>
          <w:p w14:paraId="7DB7631D">
            <w:pPr>
              <w:spacing w:before="59" w:line="228" w:lineRule="auto"/>
              <w:ind w:left="968"/>
              <w:rPr>
                <w:rFonts w:ascii="宋体" w:hAnsi="宋体" w:eastAsia="宋体" w:cs="宋体"/>
                <w:sz w:val="20"/>
                <w:szCs w:val="20"/>
              </w:rPr>
            </w:pPr>
            <w:r>
              <w:rPr>
                <w:rFonts w:ascii="宋体" w:hAnsi="宋体" w:eastAsia="宋体" w:cs="宋体"/>
                <w:sz w:val="20"/>
                <w:szCs w:val="20"/>
              </w:rPr>
              <w:t>萘</w:t>
            </w:r>
          </w:p>
        </w:tc>
        <w:tc>
          <w:tcPr>
            <w:tcW w:w="2130" w:type="dxa"/>
            <w:tcBorders>
              <w:left w:val="single" w:color="000000" w:sz="4" w:space="0"/>
              <w:right w:val="single" w:color="000000" w:sz="4" w:space="0"/>
            </w:tcBorders>
            <w:vAlign w:val="top"/>
          </w:tcPr>
          <w:p w14:paraId="58690148">
            <w:pPr>
              <w:spacing w:before="95" w:line="195" w:lineRule="auto"/>
              <w:ind w:left="9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262" w:type="dxa"/>
            <w:gridSpan w:val="2"/>
            <w:tcBorders>
              <w:left w:val="single" w:color="000000" w:sz="4" w:space="0"/>
              <w:right w:val="nil"/>
            </w:tcBorders>
            <w:vAlign w:val="top"/>
          </w:tcPr>
          <w:p w14:paraId="0D3ABE67">
            <w:pPr>
              <w:rPr>
                <w:rFonts w:ascii="Arial"/>
                <w:sz w:val="21"/>
              </w:rPr>
            </w:pPr>
          </w:p>
        </w:tc>
      </w:tr>
    </w:tbl>
    <w:p w14:paraId="211E3127">
      <w:pPr>
        <w:spacing w:line="260" w:lineRule="auto"/>
        <w:rPr>
          <w:rFonts w:ascii="Arial"/>
          <w:sz w:val="21"/>
        </w:rPr>
      </w:pPr>
    </w:p>
    <w:p w14:paraId="4589C0C3">
      <w:pPr>
        <w:spacing w:before="75" w:line="226"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评价方</w:t>
      </w:r>
      <w:r>
        <w:rPr>
          <w:rFonts w:ascii="宋体" w:hAnsi="宋体" w:eastAsia="宋体" w:cs="宋体"/>
          <w:spacing w:val="19"/>
          <w:sz w:val="23"/>
          <w:szCs w:val="23"/>
        </w:rPr>
        <w:t>法</w:t>
      </w:r>
    </w:p>
    <w:p w14:paraId="502A36CE">
      <w:pPr>
        <w:spacing w:line="277" w:lineRule="auto"/>
        <w:rPr>
          <w:rFonts w:ascii="Arial"/>
          <w:sz w:val="21"/>
        </w:rPr>
      </w:pPr>
    </w:p>
    <w:p w14:paraId="30DACA9C">
      <w:pPr>
        <w:spacing w:before="76" w:line="226" w:lineRule="auto"/>
        <w:ind w:left="596"/>
        <w:rPr>
          <w:rFonts w:ascii="宋体" w:hAnsi="宋体" w:eastAsia="宋体" w:cs="宋体"/>
          <w:sz w:val="23"/>
          <w:szCs w:val="23"/>
        </w:rPr>
      </w:pPr>
      <w:r>
        <w:rPr>
          <w:rFonts w:ascii="宋体" w:hAnsi="宋体" w:eastAsia="宋体" w:cs="宋体"/>
          <w:spacing w:val="15"/>
          <w:sz w:val="23"/>
          <w:szCs w:val="23"/>
        </w:rPr>
        <w:t>评</w:t>
      </w:r>
      <w:r>
        <w:rPr>
          <w:rFonts w:ascii="宋体" w:hAnsi="宋体" w:eastAsia="宋体" w:cs="宋体"/>
          <w:spacing w:val="8"/>
          <w:sz w:val="23"/>
          <w:szCs w:val="23"/>
        </w:rPr>
        <w:t>价方法采用单因子指数法。</w:t>
      </w:r>
    </w:p>
    <w:p w14:paraId="246891AA">
      <w:pPr>
        <w:spacing w:before="309" w:line="322" w:lineRule="exact"/>
        <w:ind w:left="599"/>
        <w:rPr>
          <w:rFonts w:ascii="宋体" w:hAnsi="宋体" w:eastAsia="宋体" w:cs="宋体"/>
          <w:sz w:val="23"/>
          <w:szCs w:val="23"/>
        </w:rPr>
      </w:pPr>
      <w:r>
        <w:rPr>
          <w:rFonts w:ascii="宋体" w:hAnsi="宋体" w:eastAsia="宋体" w:cs="宋体"/>
          <w:spacing w:val="8"/>
          <w:position w:val="3"/>
          <w:sz w:val="23"/>
          <w:szCs w:val="23"/>
        </w:rPr>
        <w:t xml:space="preserve">单项土壤因子 </w:t>
      </w:r>
      <w:r>
        <w:rPr>
          <w:rFonts w:ascii="Times New Roman" w:hAnsi="Times New Roman" w:eastAsia="Times New Roman" w:cs="Times New Roman"/>
          <w:position w:val="3"/>
          <w:sz w:val="23"/>
          <w:szCs w:val="23"/>
        </w:rPr>
        <w:t>i</w:t>
      </w:r>
      <w:r>
        <w:rPr>
          <w:rFonts w:ascii="Times New Roman" w:hAnsi="Times New Roman" w:eastAsia="Times New Roman" w:cs="Times New Roman"/>
          <w:spacing w:val="8"/>
          <w:position w:val="3"/>
          <w:sz w:val="23"/>
          <w:szCs w:val="23"/>
        </w:rPr>
        <w:t xml:space="preserve"> </w:t>
      </w:r>
      <w:r>
        <w:rPr>
          <w:rFonts w:ascii="宋体" w:hAnsi="宋体" w:eastAsia="宋体" w:cs="宋体"/>
          <w:spacing w:val="8"/>
          <w:position w:val="3"/>
          <w:sz w:val="23"/>
          <w:szCs w:val="23"/>
        </w:rPr>
        <w:t>在第</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8"/>
          <w:position w:val="3"/>
          <w:sz w:val="23"/>
          <w:szCs w:val="23"/>
        </w:rPr>
        <w:t xml:space="preserve"> </w:t>
      </w:r>
      <w:r>
        <w:rPr>
          <w:rFonts w:ascii="宋体" w:hAnsi="宋体" w:eastAsia="宋体" w:cs="宋体"/>
          <w:spacing w:val="8"/>
          <w:position w:val="3"/>
          <w:sz w:val="23"/>
          <w:szCs w:val="23"/>
        </w:rPr>
        <w:t>点的标准指数</w:t>
      </w:r>
      <w:r>
        <w:rPr>
          <w:rFonts w:ascii="宋体" w:hAnsi="宋体" w:eastAsia="宋体" w:cs="宋体"/>
          <w:spacing w:val="6"/>
          <w:position w:val="3"/>
          <w:sz w:val="23"/>
          <w:szCs w:val="23"/>
        </w:rPr>
        <w:t>：</w:t>
      </w:r>
    </w:p>
    <w:p w14:paraId="133183F2">
      <w:pPr>
        <w:sectPr>
          <w:headerReference r:id="rId185" w:type="default"/>
          <w:footerReference r:id="rId186" w:type="default"/>
          <w:pgSz w:w="11906" w:h="16839"/>
          <w:pgMar w:top="1132" w:right="1691" w:bottom="1182" w:left="1691" w:header="878" w:footer="1022" w:gutter="0"/>
          <w:cols w:space="720" w:num="1"/>
        </w:sectPr>
      </w:pPr>
    </w:p>
    <w:p w14:paraId="5A5F5DF2">
      <w:pPr>
        <w:spacing w:line="435" w:lineRule="auto"/>
        <w:rPr>
          <w:rFonts w:ascii="Arial"/>
          <w:sz w:val="21"/>
        </w:rPr>
      </w:pPr>
      <w:r>
        <w:pict>
          <v:shape id="_x0000_s1230" o:spid="_x0000_s1230" style="position:absolute;left:0pt;margin-left:90pt;margin-top:57.35pt;height:0.75pt;width:415.3pt;mso-position-horizontal-relative:page;mso-position-vertical-relative:page;z-index:251882496;mso-width-relative:page;mso-height-relative:page;" fillcolor="#000000" filled="t" stroked="f" coordsize="8305,15" o:allowincell="f" path="m0,0l8305,0,8305,14,0,14,0,0xe">
            <v:path/>
            <v:fill on="t" focussize="0,0"/>
            <v:stroke on="f"/>
            <v:imagedata o:title=""/>
            <o:lock v:ext="edit"/>
          </v:shape>
        </w:pict>
      </w:r>
    </w:p>
    <w:p w14:paraId="23E4EE0F">
      <w:pPr>
        <w:spacing w:before="61" w:line="164" w:lineRule="auto"/>
        <w:ind w:left="3826"/>
        <w:rPr>
          <w:rFonts w:ascii="Times New Roman" w:hAnsi="Times New Roman" w:eastAsia="Times New Roman" w:cs="Times New Roman"/>
          <w:sz w:val="12"/>
          <w:szCs w:val="12"/>
        </w:rPr>
      </w:pPr>
      <w:r>
        <w:rPr>
          <w:rFonts w:ascii="Times New Roman" w:hAnsi="Times New Roman" w:eastAsia="Times New Roman" w:cs="Times New Roman"/>
          <w:position w:val="-6"/>
          <w:sz w:val="20"/>
          <w:szCs w:val="20"/>
        </w:rPr>
        <w:t>P</w:t>
      </w:r>
      <w:r>
        <w:rPr>
          <w:rFonts w:ascii="Times New Roman" w:hAnsi="Times New Roman" w:eastAsia="Times New Roman" w:cs="Times New Roman"/>
          <w:spacing w:val="10"/>
          <w:position w:val="-6"/>
          <w:sz w:val="20"/>
          <w:szCs w:val="20"/>
        </w:rPr>
        <w:t xml:space="preserve">  </w:t>
      </w:r>
      <w:r>
        <w:rPr>
          <w:rFonts w:ascii="Symbol" w:hAnsi="Symbol" w:eastAsia="Symbol" w:cs="Symbol"/>
          <w:spacing w:val="10"/>
          <w:position w:val="-6"/>
          <w:sz w:val="20"/>
          <w:szCs w:val="20"/>
        </w:rPr>
        <w:t xml:space="preserve">= </w:t>
      </w:r>
      <w:r>
        <w:rPr>
          <w:rFonts w:ascii="Times New Roman" w:hAnsi="Times New Roman" w:eastAsia="Times New Roman" w:cs="Times New Roman"/>
          <w:spacing w:val="10"/>
          <w:position w:val="6"/>
          <w:sz w:val="20"/>
          <w:szCs w:val="20"/>
          <w:u w:val="single" w:color="auto"/>
        </w:rPr>
        <w:t xml:space="preserve"> </w:t>
      </w:r>
      <w:r>
        <w:rPr>
          <w:rFonts w:ascii="Times New Roman" w:hAnsi="Times New Roman" w:eastAsia="Times New Roman" w:cs="Times New Roman"/>
          <w:position w:val="6"/>
          <w:sz w:val="20"/>
          <w:szCs w:val="20"/>
          <w:u w:val="single" w:color="auto"/>
        </w:rPr>
        <w:t>C</w:t>
      </w:r>
      <w:r>
        <w:rPr>
          <w:rFonts w:ascii="Times New Roman" w:hAnsi="Times New Roman" w:eastAsia="Times New Roman" w:cs="Times New Roman"/>
          <w:i/>
          <w:iCs/>
          <w:position w:val="1"/>
          <w:sz w:val="12"/>
          <w:szCs w:val="12"/>
          <w:u w:val="single" w:color="auto"/>
        </w:rPr>
        <w:t>i</w:t>
      </w:r>
    </w:p>
    <w:p w14:paraId="05FBF06F">
      <w:pPr>
        <w:spacing w:line="331" w:lineRule="exact"/>
        <w:ind w:left="3939"/>
        <w:rPr>
          <w:rFonts w:ascii="Times New Roman" w:hAnsi="Times New Roman" w:eastAsia="Times New Roman" w:cs="Times New Roman"/>
          <w:sz w:val="12"/>
          <w:szCs w:val="12"/>
        </w:rPr>
      </w:pPr>
      <w:r>
        <w:rPr>
          <w:rFonts w:ascii="Times New Roman" w:hAnsi="Times New Roman" w:eastAsia="Times New Roman" w:cs="Times New Roman"/>
          <w:position w:val="14"/>
          <w:sz w:val="12"/>
          <w:szCs w:val="12"/>
        </w:rPr>
        <w:t>i</w:t>
      </w:r>
      <w:r>
        <w:rPr>
          <w:rFonts w:ascii="Times New Roman" w:hAnsi="Times New Roman" w:eastAsia="Times New Roman" w:cs="Times New Roman"/>
          <w:spacing w:val="3"/>
          <w:position w:val="14"/>
          <w:sz w:val="12"/>
          <w:szCs w:val="12"/>
        </w:rPr>
        <w:t xml:space="preserve"> </w:t>
      </w:r>
      <w:r>
        <w:rPr>
          <w:rFonts w:ascii="Times New Roman" w:hAnsi="Times New Roman" w:eastAsia="Times New Roman" w:cs="Times New Roman"/>
          <w:spacing w:val="2"/>
          <w:position w:val="14"/>
          <w:sz w:val="12"/>
          <w:szCs w:val="12"/>
        </w:rPr>
        <w:t xml:space="preserve">         </w:t>
      </w:r>
      <w:r>
        <w:rPr>
          <w:rFonts w:ascii="Times New Roman" w:hAnsi="Times New Roman" w:eastAsia="Times New Roman" w:cs="Times New Roman"/>
          <w:position w:val="3"/>
          <w:sz w:val="21"/>
          <w:szCs w:val="21"/>
        </w:rPr>
        <w:t>S</w:t>
      </w:r>
      <w:r>
        <w:rPr>
          <w:rFonts w:ascii="Times New Roman" w:hAnsi="Times New Roman" w:eastAsia="Times New Roman" w:cs="Times New Roman"/>
          <w:position w:val="-2"/>
          <w:sz w:val="12"/>
          <w:szCs w:val="12"/>
        </w:rPr>
        <w:t>i</w:t>
      </w:r>
    </w:p>
    <w:p w14:paraId="2707E830">
      <w:pPr>
        <w:spacing w:line="289" w:lineRule="auto"/>
        <w:rPr>
          <w:rFonts w:ascii="Arial"/>
          <w:sz w:val="21"/>
        </w:rPr>
      </w:pPr>
    </w:p>
    <w:p w14:paraId="60908A3E">
      <w:pPr>
        <w:spacing w:before="75" w:line="323" w:lineRule="exact"/>
        <w:ind w:left="517"/>
        <w:rPr>
          <w:rFonts w:ascii="宋体" w:hAnsi="宋体" w:eastAsia="宋体" w:cs="宋体"/>
          <w:sz w:val="23"/>
          <w:szCs w:val="23"/>
        </w:rPr>
      </w:pPr>
      <w:r>
        <w:rPr>
          <w:rFonts w:ascii="宋体" w:hAnsi="宋体" w:eastAsia="宋体" w:cs="宋体"/>
          <w:spacing w:val="12"/>
          <w:position w:val="1"/>
          <w:sz w:val="23"/>
          <w:szCs w:val="23"/>
        </w:rPr>
        <w:t>式中：</w:t>
      </w:r>
      <w:r>
        <w:rPr>
          <w:rFonts w:ascii="Times New Roman" w:hAnsi="Times New Roman" w:eastAsia="Times New Roman" w:cs="Times New Roman"/>
          <w:position w:val="1"/>
          <w:sz w:val="23"/>
          <w:szCs w:val="23"/>
        </w:rPr>
        <w:t>Pi</w:t>
      </w:r>
      <w:r>
        <w:rPr>
          <w:rFonts w:ascii="Times New Roman" w:hAnsi="Times New Roman" w:eastAsia="Times New Roman" w:cs="Times New Roman"/>
          <w:spacing w:val="12"/>
          <w:position w:val="1"/>
          <w:sz w:val="23"/>
          <w:szCs w:val="23"/>
        </w:rPr>
        <w:t>—</w:t>
      </w:r>
      <w:r>
        <w:rPr>
          <w:rFonts w:ascii="宋体" w:hAnsi="宋体" w:eastAsia="宋体" w:cs="宋体"/>
          <w:spacing w:val="12"/>
          <w:position w:val="1"/>
          <w:sz w:val="23"/>
          <w:szCs w:val="23"/>
        </w:rPr>
        <w:t>土壤中污染物</w:t>
      </w:r>
      <w:r>
        <w:rPr>
          <w:rFonts w:ascii="Times New Roman" w:hAnsi="Times New Roman" w:eastAsia="Times New Roman" w:cs="Times New Roman"/>
          <w:position w:val="1"/>
          <w:sz w:val="23"/>
          <w:szCs w:val="23"/>
        </w:rPr>
        <w:t>i</w:t>
      </w:r>
      <w:r>
        <w:rPr>
          <w:rFonts w:ascii="Times New Roman" w:hAnsi="Times New Roman" w:eastAsia="Times New Roman" w:cs="Times New Roman"/>
          <w:spacing w:val="12"/>
          <w:position w:val="1"/>
          <w:sz w:val="23"/>
          <w:szCs w:val="23"/>
        </w:rPr>
        <w:t xml:space="preserve"> </w:t>
      </w:r>
      <w:r>
        <w:rPr>
          <w:rFonts w:ascii="宋体" w:hAnsi="宋体" w:eastAsia="宋体" w:cs="宋体"/>
          <w:spacing w:val="12"/>
          <w:position w:val="1"/>
          <w:sz w:val="23"/>
          <w:szCs w:val="23"/>
        </w:rPr>
        <w:t>的单因子污染指数</w:t>
      </w:r>
      <w:r>
        <w:rPr>
          <w:rFonts w:ascii="宋体" w:hAnsi="宋体" w:eastAsia="宋体" w:cs="宋体"/>
          <w:spacing w:val="11"/>
          <w:position w:val="1"/>
          <w:sz w:val="23"/>
          <w:szCs w:val="23"/>
        </w:rPr>
        <w:t>；</w:t>
      </w:r>
    </w:p>
    <w:p w14:paraId="7BB32D23">
      <w:pPr>
        <w:spacing w:before="79" w:line="333" w:lineRule="auto"/>
        <w:ind w:left="1237" w:right="938" w:hanging="6"/>
        <w:rPr>
          <w:rFonts w:ascii="宋体" w:hAnsi="宋体" w:eastAsia="宋体" w:cs="宋体"/>
          <w:sz w:val="23"/>
          <w:szCs w:val="23"/>
        </w:rPr>
      </w:pPr>
      <w:r>
        <w:rPr>
          <w:rFonts w:ascii="Times New Roman" w:hAnsi="Times New Roman" w:eastAsia="Times New Roman" w:cs="Times New Roman"/>
          <w:sz w:val="23"/>
          <w:szCs w:val="23"/>
        </w:rPr>
        <w:t>Ci</w:t>
      </w:r>
      <w:r>
        <w:rPr>
          <w:rFonts w:ascii="Times New Roman" w:hAnsi="Times New Roman" w:eastAsia="Times New Roman" w:cs="Times New Roman"/>
          <w:spacing w:val="14"/>
          <w:sz w:val="23"/>
          <w:szCs w:val="23"/>
        </w:rPr>
        <w:t>—</w:t>
      </w:r>
      <w:r>
        <w:rPr>
          <w:rFonts w:ascii="宋体" w:hAnsi="宋体" w:eastAsia="宋体" w:cs="宋体"/>
          <w:spacing w:val="7"/>
          <w:sz w:val="23"/>
          <w:szCs w:val="23"/>
        </w:rPr>
        <w:t>监测点位土壤中污染物</w:t>
      </w:r>
      <w:r>
        <w:rPr>
          <w:rFonts w:ascii="Times New Roman" w:hAnsi="Times New Roman" w:eastAsia="Times New Roman" w:cs="Times New Roman"/>
          <w:sz w:val="23"/>
          <w:szCs w:val="23"/>
        </w:rPr>
        <w:t>i</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的实测浓度，单位与 </w:t>
      </w:r>
      <w:r>
        <w:rPr>
          <w:rFonts w:ascii="Times New Roman" w:hAnsi="Times New Roman" w:eastAsia="Times New Roman" w:cs="Times New Roman"/>
          <w:sz w:val="23"/>
          <w:szCs w:val="23"/>
        </w:rPr>
        <w:t>Si</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一致；</w:t>
      </w:r>
      <w:r>
        <w:rPr>
          <w:rFonts w:ascii="宋体" w:hAnsi="宋体" w:eastAsia="宋体" w:cs="宋体"/>
          <w:sz w:val="23"/>
          <w:szCs w:val="23"/>
        </w:rPr>
        <w:t xml:space="preserve"> </w:t>
      </w:r>
      <w:r>
        <w:rPr>
          <w:rFonts w:ascii="Times New Roman" w:hAnsi="Times New Roman" w:eastAsia="Times New Roman" w:cs="Times New Roman"/>
          <w:sz w:val="23"/>
          <w:szCs w:val="23"/>
        </w:rPr>
        <w:t>Si</w:t>
      </w:r>
      <w:r>
        <w:rPr>
          <w:rFonts w:ascii="Times New Roman" w:hAnsi="Times New Roman" w:eastAsia="Times New Roman" w:cs="Times New Roman"/>
          <w:spacing w:val="16"/>
          <w:sz w:val="23"/>
          <w:szCs w:val="23"/>
        </w:rPr>
        <w:t>—</w:t>
      </w:r>
      <w:r>
        <w:rPr>
          <w:rFonts w:ascii="Times New Roman" w:hAnsi="Times New Roman" w:eastAsia="Times New Roman" w:cs="Times New Roman"/>
          <w:spacing w:val="12"/>
          <w:sz w:val="23"/>
          <w:szCs w:val="23"/>
        </w:rPr>
        <w:t>—</w:t>
      </w:r>
      <w:r>
        <w:rPr>
          <w:rFonts w:ascii="宋体" w:hAnsi="宋体" w:eastAsia="宋体" w:cs="宋体"/>
          <w:spacing w:val="12"/>
          <w:sz w:val="23"/>
          <w:szCs w:val="23"/>
        </w:rPr>
        <w:t>污染物</w:t>
      </w:r>
      <w:r>
        <w:rPr>
          <w:rFonts w:ascii="Times New Roman" w:hAnsi="Times New Roman" w:eastAsia="Times New Roman" w:cs="Times New Roman"/>
          <w:sz w:val="23"/>
          <w:szCs w:val="23"/>
        </w:rPr>
        <w:t>i</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的评价标准值或参考值。</w:t>
      </w:r>
    </w:p>
    <w:p w14:paraId="31C7243A">
      <w:pPr>
        <w:spacing w:before="189" w:line="396" w:lineRule="auto"/>
        <w:ind w:left="32" w:right="22" w:firstLine="480"/>
        <w:rPr>
          <w:rFonts w:ascii="宋体" w:hAnsi="宋体" w:eastAsia="宋体" w:cs="宋体"/>
          <w:sz w:val="23"/>
          <w:szCs w:val="23"/>
        </w:rPr>
      </w:pPr>
      <w:r>
        <w:rPr>
          <w:rFonts w:ascii="宋体" w:hAnsi="宋体" w:eastAsia="宋体" w:cs="宋体"/>
          <w:spacing w:val="22"/>
          <w:sz w:val="23"/>
          <w:szCs w:val="23"/>
        </w:rPr>
        <w:t>若</w:t>
      </w:r>
      <w:r>
        <w:rPr>
          <w:rFonts w:ascii="宋体" w:hAnsi="宋体" w:eastAsia="宋体" w:cs="宋体"/>
          <w:spacing w:val="18"/>
          <w:sz w:val="23"/>
          <w:szCs w:val="23"/>
        </w:rPr>
        <w:t>土</w:t>
      </w:r>
      <w:r>
        <w:rPr>
          <w:rFonts w:ascii="宋体" w:hAnsi="宋体" w:eastAsia="宋体" w:cs="宋体"/>
          <w:spacing w:val="11"/>
          <w:sz w:val="23"/>
          <w:szCs w:val="23"/>
        </w:rPr>
        <w:t>壤中污染物</w:t>
      </w:r>
      <w:r>
        <w:rPr>
          <w:rFonts w:ascii="Times New Roman" w:hAnsi="Times New Roman" w:eastAsia="Times New Roman" w:cs="Times New Roman"/>
          <w:sz w:val="23"/>
          <w:szCs w:val="23"/>
        </w:rPr>
        <w:t>i</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的单因子污染指数＞</w:t>
      </w:r>
      <w:r>
        <w:rPr>
          <w:rFonts w:ascii="Times New Roman" w:hAnsi="Times New Roman" w:eastAsia="Times New Roman" w:cs="Times New Roman"/>
          <w:spacing w:val="11"/>
          <w:sz w:val="23"/>
          <w:szCs w:val="23"/>
        </w:rPr>
        <w:t xml:space="preserve">1 </w:t>
      </w:r>
      <w:r>
        <w:rPr>
          <w:rFonts w:ascii="宋体" w:hAnsi="宋体" w:eastAsia="宋体" w:cs="宋体"/>
          <w:spacing w:val="11"/>
          <w:sz w:val="23"/>
          <w:szCs w:val="23"/>
        </w:rPr>
        <w:t>，表明该土壤参数超过了规定的土</w:t>
      </w:r>
      <w:r>
        <w:rPr>
          <w:rFonts w:ascii="宋体" w:hAnsi="宋体" w:eastAsia="宋体" w:cs="宋体"/>
          <w:sz w:val="23"/>
          <w:szCs w:val="23"/>
        </w:rPr>
        <w:t xml:space="preserve"> </w:t>
      </w:r>
      <w:r>
        <w:rPr>
          <w:rFonts w:ascii="宋体" w:hAnsi="宋体" w:eastAsia="宋体" w:cs="宋体"/>
          <w:spacing w:val="18"/>
          <w:sz w:val="23"/>
          <w:szCs w:val="23"/>
        </w:rPr>
        <w:t>壤</w:t>
      </w:r>
      <w:r>
        <w:rPr>
          <w:rFonts w:ascii="宋体" w:hAnsi="宋体" w:eastAsia="宋体" w:cs="宋体"/>
          <w:spacing w:val="11"/>
          <w:sz w:val="23"/>
          <w:szCs w:val="23"/>
        </w:rPr>
        <w:t>标</w:t>
      </w:r>
      <w:r>
        <w:rPr>
          <w:rFonts w:ascii="宋体" w:hAnsi="宋体" w:eastAsia="宋体" w:cs="宋体"/>
          <w:spacing w:val="9"/>
          <w:sz w:val="23"/>
          <w:szCs w:val="23"/>
        </w:rPr>
        <w:t>准限值；土壤参数的标准指数越大，说明该土壤参数超标越严重。</w:t>
      </w:r>
    </w:p>
    <w:p w14:paraId="2979A234">
      <w:pPr>
        <w:spacing w:before="172" w:line="226" w:lineRule="auto"/>
        <w:ind w:left="5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评价结</w:t>
      </w:r>
      <w:r>
        <w:rPr>
          <w:rFonts w:ascii="宋体" w:hAnsi="宋体" w:eastAsia="宋体" w:cs="宋体"/>
          <w:spacing w:val="19"/>
          <w:sz w:val="23"/>
          <w:szCs w:val="23"/>
        </w:rPr>
        <w:t>果</w:t>
      </w:r>
    </w:p>
    <w:p w14:paraId="6AECAE6F">
      <w:pPr>
        <w:spacing w:line="279" w:lineRule="auto"/>
        <w:rPr>
          <w:rFonts w:ascii="Arial"/>
          <w:sz w:val="21"/>
        </w:rPr>
      </w:pPr>
    </w:p>
    <w:p w14:paraId="39A34D09">
      <w:pPr>
        <w:spacing w:before="74" w:line="392" w:lineRule="auto"/>
        <w:ind w:left="36" w:right="22" w:firstLine="475"/>
        <w:rPr>
          <w:rFonts w:ascii="宋体" w:hAnsi="宋体" w:eastAsia="宋体" w:cs="宋体"/>
          <w:sz w:val="23"/>
          <w:szCs w:val="23"/>
        </w:rPr>
      </w:pPr>
      <w:r>
        <w:rPr>
          <w:rFonts w:ascii="宋体" w:hAnsi="宋体" w:eastAsia="宋体" w:cs="宋体"/>
          <w:spacing w:val="7"/>
          <w:sz w:val="23"/>
          <w:szCs w:val="23"/>
        </w:rPr>
        <w:t>对各监测点的原始数据进行整理，利用所选评价标准和评价方法对污染物</w:t>
      </w:r>
      <w:r>
        <w:rPr>
          <w:rFonts w:ascii="宋体" w:hAnsi="宋体" w:eastAsia="宋体" w:cs="宋体"/>
          <w:spacing w:val="3"/>
          <w:sz w:val="23"/>
          <w:szCs w:val="23"/>
        </w:rPr>
        <w:t>进</w:t>
      </w:r>
      <w:r>
        <w:rPr>
          <w:rFonts w:ascii="宋体" w:hAnsi="宋体" w:eastAsia="宋体" w:cs="宋体"/>
          <w:sz w:val="23"/>
          <w:szCs w:val="23"/>
        </w:rPr>
        <w:t xml:space="preserve"> </w:t>
      </w:r>
      <w:r>
        <w:rPr>
          <w:rFonts w:ascii="宋体" w:hAnsi="宋体" w:eastAsia="宋体" w:cs="宋体"/>
          <w:spacing w:val="7"/>
          <w:sz w:val="23"/>
          <w:szCs w:val="23"/>
        </w:rPr>
        <w:t xml:space="preserve">行评价，统计各监测项目标准指数、超标率及超标倍数。评价结果见表 </w:t>
      </w:r>
      <w:r>
        <w:rPr>
          <w:rFonts w:ascii="Times New Roman" w:hAnsi="Times New Roman" w:eastAsia="Times New Roman" w:cs="Times New Roman"/>
          <w:spacing w:val="7"/>
          <w:sz w:val="23"/>
          <w:szCs w:val="23"/>
        </w:rPr>
        <w:t>4-21</w:t>
      </w:r>
      <w:r>
        <w:rPr>
          <w:rFonts w:ascii="宋体" w:hAnsi="宋体" w:eastAsia="宋体" w:cs="宋体"/>
          <w:spacing w:val="7"/>
          <w:sz w:val="23"/>
          <w:szCs w:val="23"/>
        </w:rPr>
        <w:t>。</w:t>
      </w:r>
    </w:p>
    <w:p w14:paraId="338C8966">
      <w:pPr>
        <w:spacing w:before="138" w:line="226" w:lineRule="auto"/>
        <w:ind w:left="2073"/>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4-21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土壤环境质量评价结果统计</w:t>
      </w:r>
      <w:r>
        <w:rPr>
          <w:rFonts w:ascii="宋体" w:hAnsi="宋体" w:eastAsia="宋体" w:cs="宋体"/>
          <w:spacing w:val="1"/>
          <w:sz w:val="23"/>
          <w:szCs w:val="23"/>
          <w14:textOutline w14:w="4358" w14:cap="sq" w14:cmpd="sng">
            <w14:solidFill>
              <w14:srgbClr w14:val="000000"/>
            </w14:solidFill>
            <w14:prstDash w14:val="solid"/>
            <w14:bevel/>
          </w14:textOutline>
        </w:rPr>
        <w:t>表</w:t>
      </w:r>
    </w:p>
    <w:p w14:paraId="74DDEE72">
      <w:pPr>
        <w:spacing w:line="20"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944"/>
        <w:gridCol w:w="1680"/>
        <w:gridCol w:w="1651"/>
        <w:gridCol w:w="930"/>
        <w:gridCol w:w="1226"/>
        <w:gridCol w:w="705"/>
        <w:gridCol w:w="684"/>
      </w:tblGrid>
      <w:tr w14:paraId="40691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32" w:type="dxa"/>
            <w:tcBorders>
              <w:left w:val="nil"/>
              <w:right w:val="single" w:color="000000" w:sz="4" w:space="0"/>
            </w:tcBorders>
            <w:vAlign w:val="top"/>
          </w:tcPr>
          <w:p w14:paraId="78FA3183">
            <w:pPr>
              <w:spacing w:before="178" w:line="229" w:lineRule="auto"/>
              <w:ind w:left="6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944" w:type="dxa"/>
            <w:tcBorders>
              <w:left w:val="single" w:color="000000" w:sz="4" w:space="0"/>
              <w:right w:val="single" w:color="000000" w:sz="4" w:space="0"/>
            </w:tcBorders>
            <w:vAlign w:val="top"/>
          </w:tcPr>
          <w:p w14:paraId="4EB852DF">
            <w:pPr>
              <w:spacing w:before="68" w:line="204" w:lineRule="auto"/>
              <w:ind w:left="26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采样</w:t>
            </w:r>
          </w:p>
          <w:p w14:paraId="31C58C45">
            <w:pPr>
              <w:spacing w:line="229" w:lineRule="auto"/>
              <w:ind w:left="27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点</w:t>
            </w:r>
            <w:r>
              <w:rPr>
                <w:rFonts w:ascii="宋体" w:hAnsi="宋体" w:eastAsia="宋体" w:cs="宋体"/>
                <w:sz w:val="20"/>
                <w:szCs w:val="20"/>
                <w14:textOutline w14:w="3795" w14:cap="sq" w14:cmpd="sng">
                  <w14:solidFill>
                    <w14:srgbClr w14:val="000000"/>
                  </w14:solidFill>
                  <w14:prstDash w14:val="solid"/>
                  <w14:bevel/>
                </w14:textOutline>
              </w:rPr>
              <w:t>位</w:t>
            </w:r>
          </w:p>
        </w:tc>
        <w:tc>
          <w:tcPr>
            <w:tcW w:w="1680" w:type="dxa"/>
            <w:tcBorders>
              <w:left w:val="single" w:color="000000" w:sz="4" w:space="0"/>
              <w:right w:val="single" w:color="000000" w:sz="4" w:space="0"/>
            </w:tcBorders>
            <w:vAlign w:val="top"/>
          </w:tcPr>
          <w:p w14:paraId="75C54CA9">
            <w:pPr>
              <w:spacing w:before="188" w:line="228" w:lineRule="auto"/>
              <w:ind w:left="636"/>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651" w:type="dxa"/>
            <w:tcBorders>
              <w:left w:val="single" w:color="000000" w:sz="4" w:space="0"/>
            </w:tcBorders>
            <w:vAlign w:val="top"/>
          </w:tcPr>
          <w:p w14:paraId="1DFCADC1">
            <w:pPr>
              <w:spacing w:before="188" w:line="228" w:lineRule="auto"/>
              <w:ind w:left="40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测范围</w:t>
            </w:r>
          </w:p>
        </w:tc>
        <w:tc>
          <w:tcPr>
            <w:tcW w:w="930" w:type="dxa"/>
            <w:tcBorders>
              <w:right w:val="single" w:color="000000" w:sz="4" w:space="0"/>
            </w:tcBorders>
            <w:vAlign w:val="top"/>
          </w:tcPr>
          <w:p w14:paraId="066080F0">
            <w:pPr>
              <w:spacing w:before="68" w:line="245" w:lineRule="auto"/>
              <w:ind w:left="122" w:right="107" w:firstLine="34"/>
              <w:rPr>
                <w:rFonts w:ascii="Times New Roman" w:hAnsi="Times New Roman" w:eastAsia="Times New Roman" w:cs="Times New Roman"/>
                <w:sz w:val="20"/>
                <w:szCs w:val="20"/>
              </w:rPr>
            </w:pPr>
            <w:r>
              <w:rPr>
                <w:rFonts w:ascii="宋体" w:hAnsi="宋体" w:eastAsia="宋体" w:cs="宋体"/>
                <w:spacing w:val="8"/>
                <w:sz w:val="20"/>
                <w:szCs w:val="20"/>
                <w14:textOutline w14:w="3764" w14:cap="sq" w14:cmpd="sng">
                  <w14:solidFill>
                    <w14:srgbClr w14:val="000000"/>
                  </w14:solidFill>
                  <w14:prstDash w14:val="solid"/>
                  <w14:bevel/>
                </w14:textOutline>
              </w:rPr>
              <w:t>标</w:t>
            </w:r>
            <w:r>
              <w:rPr>
                <w:rFonts w:ascii="宋体" w:hAnsi="宋体" w:eastAsia="宋体" w:cs="宋体"/>
                <w:spacing w:val="7"/>
                <w:sz w:val="20"/>
                <w:szCs w:val="20"/>
                <w14:textOutline w14:w="3764" w14:cap="sq" w14:cmpd="sng">
                  <w14:solidFill>
                    <w14:srgbClr w14:val="000000"/>
                  </w14:solidFill>
                  <w14:prstDash w14:val="solid"/>
                  <w14:bevel/>
                </w14:textOutline>
              </w:rPr>
              <w:t>准值</w:t>
            </w:r>
            <w:r>
              <w:rPr>
                <w:rFonts w:ascii="宋体" w:hAnsi="宋体" w:eastAsia="宋体" w:cs="宋体"/>
                <w:sz w:val="20"/>
                <w:szCs w:val="20"/>
              </w:rPr>
              <w:t xml:space="preserve"> </w:t>
            </w:r>
            <w:r>
              <w:rPr>
                <w:rFonts w:ascii="Times New Roman" w:hAnsi="Times New Roman" w:eastAsia="Times New Roman" w:cs="Times New Roman"/>
                <w:b/>
                <w:bCs/>
                <w:spacing w:val="9"/>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8"/>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8"/>
                <w:sz w:val="20"/>
                <w:szCs w:val="20"/>
              </w:rPr>
              <w:t>)</w:t>
            </w:r>
          </w:p>
        </w:tc>
        <w:tc>
          <w:tcPr>
            <w:tcW w:w="1226" w:type="dxa"/>
            <w:tcBorders>
              <w:left w:val="single" w:color="000000" w:sz="4" w:space="0"/>
            </w:tcBorders>
            <w:vAlign w:val="top"/>
          </w:tcPr>
          <w:p w14:paraId="2A9E12E4">
            <w:pPr>
              <w:spacing w:before="188" w:line="228" w:lineRule="auto"/>
              <w:ind w:left="19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标</w:t>
            </w:r>
            <w:r>
              <w:rPr>
                <w:rFonts w:ascii="宋体" w:hAnsi="宋体" w:eastAsia="宋体" w:cs="宋体"/>
                <w:spacing w:val="8"/>
                <w:sz w:val="20"/>
                <w:szCs w:val="20"/>
                <w14:textOutline w14:w="3795" w14:cap="sq" w14:cmpd="sng">
                  <w14:solidFill>
                    <w14:srgbClr w14:val="000000"/>
                  </w14:solidFill>
                  <w14:prstDash w14:val="solid"/>
                  <w14:bevel/>
                </w14:textOutline>
              </w:rPr>
              <w:t>准指数</w:t>
            </w:r>
          </w:p>
        </w:tc>
        <w:tc>
          <w:tcPr>
            <w:tcW w:w="705" w:type="dxa"/>
            <w:vAlign w:val="top"/>
          </w:tcPr>
          <w:p w14:paraId="06147767">
            <w:pPr>
              <w:spacing w:before="68" w:line="231" w:lineRule="auto"/>
              <w:ind w:left="183" w:right="34" w:hanging="142"/>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超标率</w:t>
            </w:r>
            <w:r>
              <w:rPr>
                <w:rFonts w:ascii="宋体" w:hAnsi="宋体" w:eastAsia="宋体" w:cs="宋体"/>
                <w:sz w:val="20"/>
                <w:szCs w:val="20"/>
              </w:rPr>
              <w:t xml:space="preserve"> </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pacing w:val="2"/>
                <w:sz w:val="20"/>
                <w:szCs w:val="20"/>
              </w:rPr>
              <w:t>)</w:t>
            </w:r>
          </w:p>
        </w:tc>
        <w:tc>
          <w:tcPr>
            <w:tcW w:w="684" w:type="dxa"/>
            <w:tcBorders>
              <w:right w:val="nil"/>
            </w:tcBorders>
            <w:vAlign w:val="top"/>
          </w:tcPr>
          <w:p w14:paraId="6DDFE4EE">
            <w:pPr>
              <w:spacing w:before="67" w:line="221" w:lineRule="auto"/>
              <w:ind w:left="34" w:right="24" w:firstLine="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最大</w:t>
            </w:r>
            <w:r>
              <w:rPr>
                <w:rFonts w:ascii="宋体" w:hAnsi="宋体" w:eastAsia="宋体" w:cs="宋体"/>
                <w:spacing w:val="6"/>
                <w:sz w:val="20"/>
                <w:szCs w:val="20"/>
                <w14:textOutline w14:w="3795" w14:cap="sq" w14:cmpd="sng">
                  <w14:solidFill>
                    <w14:srgbClr w14:val="000000"/>
                  </w14:solidFill>
                  <w14:prstDash w14:val="solid"/>
                  <w14:bevel/>
                </w14:textOutline>
              </w:rPr>
              <w:t>超</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标</w:t>
            </w:r>
            <w:r>
              <w:rPr>
                <w:rFonts w:ascii="宋体" w:hAnsi="宋体" w:eastAsia="宋体" w:cs="宋体"/>
                <w:spacing w:val="7"/>
                <w:sz w:val="20"/>
                <w:szCs w:val="20"/>
                <w14:textOutline w14:w="3795" w14:cap="sq" w14:cmpd="sng">
                  <w14:solidFill>
                    <w14:srgbClr w14:val="000000"/>
                  </w14:solidFill>
                  <w14:prstDash w14:val="solid"/>
                  <w14:bevel/>
                </w14:textOutline>
              </w:rPr>
              <w:t>倍数</w:t>
            </w:r>
          </w:p>
        </w:tc>
      </w:tr>
      <w:tr w14:paraId="5A2B4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32" w:type="dxa"/>
            <w:tcBorders>
              <w:left w:val="nil"/>
              <w:right w:val="single" w:color="000000" w:sz="4" w:space="0"/>
            </w:tcBorders>
            <w:vAlign w:val="top"/>
          </w:tcPr>
          <w:p w14:paraId="0B98D64E">
            <w:pPr>
              <w:spacing w:before="89" w:line="195"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4" w:type="dxa"/>
            <w:vMerge w:val="restart"/>
            <w:tcBorders>
              <w:left w:val="single" w:color="000000" w:sz="4" w:space="0"/>
              <w:bottom w:val="nil"/>
              <w:right w:val="single" w:color="000000" w:sz="4" w:space="0"/>
            </w:tcBorders>
            <w:vAlign w:val="top"/>
          </w:tcPr>
          <w:p w14:paraId="514B431F">
            <w:pPr>
              <w:rPr>
                <w:rFonts w:ascii="Arial"/>
                <w:sz w:val="21"/>
              </w:rPr>
            </w:pPr>
          </w:p>
          <w:p w14:paraId="5231DBDE">
            <w:pPr>
              <w:rPr>
                <w:rFonts w:ascii="Arial"/>
                <w:sz w:val="21"/>
              </w:rPr>
            </w:pPr>
          </w:p>
          <w:p w14:paraId="7ADA18A9">
            <w:pPr>
              <w:rPr>
                <w:rFonts w:ascii="Arial"/>
                <w:sz w:val="21"/>
              </w:rPr>
            </w:pPr>
          </w:p>
          <w:p w14:paraId="4A84812E">
            <w:pPr>
              <w:spacing w:line="241" w:lineRule="auto"/>
              <w:rPr>
                <w:rFonts w:ascii="Arial"/>
                <w:sz w:val="21"/>
              </w:rPr>
            </w:pPr>
          </w:p>
          <w:p w14:paraId="7AB34C56">
            <w:pPr>
              <w:spacing w:line="241" w:lineRule="auto"/>
              <w:rPr>
                <w:rFonts w:ascii="Arial"/>
                <w:sz w:val="21"/>
              </w:rPr>
            </w:pPr>
          </w:p>
          <w:p w14:paraId="49554409">
            <w:pPr>
              <w:spacing w:line="241" w:lineRule="auto"/>
              <w:rPr>
                <w:rFonts w:ascii="Arial"/>
                <w:sz w:val="21"/>
              </w:rPr>
            </w:pPr>
          </w:p>
          <w:p w14:paraId="1B43788D">
            <w:pPr>
              <w:spacing w:line="241" w:lineRule="auto"/>
              <w:rPr>
                <w:rFonts w:ascii="Arial"/>
                <w:sz w:val="21"/>
              </w:rPr>
            </w:pPr>
          </w:p>
          <w:p w14:paraId="6C1AF64E">
            <w:pPr>
              <w:spacing w:line="241" w:lineRule="auto"/>
              <w:rPr>
                <w:rFonts w:ascii="Arial"/>
                <w:sz w:val="21"/>
              </w:rPr>
            </w:pPr>
          </w:p>
          <w:p w14:paraId="1C749621">
            <w:pPr>
              <w:spacing w:line="241" w:lineRule="auto"/>
              <w:rPr>
                <w:rFonts w:ascii="Arial"/>
                <w:sz w:val="21"/>
              </w:rPr>
            </w:pPr>
          </w:p>
          <w:p w14:paraId="43AB7510">
            <w:pPr>
              <w:spacing w:line="241" w:lineRule="auto"/>
              <w:rPr>
                <w:rFonts w:ascii="Arial"/>
                <w:sz w:val="21"/>
              </w:rPr>
            </w:pPr>
          </w:p>
          <w:p w14:paraId="66EEABA7">
            <w:pPr>
              <w:spacing w:line="241" w:lineRule="auto"/>
              <w:rPr>
                <w:rFonts w:ascii="Arial"/>
                <w:sz w:val="21"/>
              </w:rPr>
            </w:pPr>
          </w:p>
          <w:p w14:paraId="4CBDF226">
            <w:pPr>
              <w:spacing w:line="241" w:lineRule="auto"/>
              <w:rPr>
                <w:rFonts w:ascii="Arial"/>
                <w:sz w:val="21"/>
              </w:rPr>
            </w:pPr>
          </w:p>
          <w:p w14:paraId="2C7B832F">
            <w:pPr>
              <w:spacing w:line="241" w:lineRule="auto"/>
              <w:rPr>
                <w:rFonts w:ascii="Arial"/>
                <w:sz w:val="21"/>
              </w:rPr>
            </w:pPr>
          </w:p>
          <w:p w14:paraId="3F42F309">
            <w:pPr>
              <w:spacing w:line="241" w:lineRule="auto"/>
              <w:rPr>
                <w:rFonts w:ascii="Arial"/>
                <w:sz w:val="21"/>
              </w:rPr>
            </w:pPr>
          </w:p>
          <w:p w14:paraId="4C101F9D">
            <w:pPr>
              <w:spacing w:before="65" w:line="304" w:lineRule="auto"/>
              <w:ind w:left="158" w:right="154" w:firstLine="16"/>
              <w:rPr>
                <w:rFonts w:ascii="宋体" w:hAnsi="宋体" w:eastAsia="宋体" w:cs="宋体"/>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项目</w:t>
            </w:r>
            <w:r>
              <w:rPr>
                <w:rFonts w:ascii="宋体" w:hAnsi="宋体" w:eastAsia="宋体" w:cs="宋体"/>
                <w:sz w:val="20"/>
                <w:szCs w:val="20"/>
              </w:rPr>
              <w:t xml:space="preserve"> </w:t>
            </w:r>
            <w:r>
              <w:rPr>
                <w:rFonts w:ascii="宋体" w:hAnsi="宋体" w:eastAsia="宋体" w:cs="宋体"/>
                <w:spacing w:val="7"/>
                <w:sz w:val="20"/>
                <w:szCs w:val="20"/>
              </w:rPr>
              <w:t>所在</w:t>
            </w:r>
            <w:r>
              <w:rPr>
                <w:rFonts w:ascii="宋体" w:hAnsi="宋体" w:eastAsia="宋体" w:cs="宋体"/>
                <w:spacing w:val="6"/>
                <w:sz w:val="20"/>
                <w:szCs w:val="20"/>
              </w:rPr>
              <w:t>地</w:t>
            </w:r>
          </w:p>
        </w:tc>
        <w:tc>
          <w:tcPr>
            <w:tcW w:w="1680" w:type="dxa"/>
            <w:tcBorders>
              <w:left w:val="single" w:color="000000" w:sz="4" w:space="0"/>
              <w:right w:val="single" w:color="000000" w:sz="4" w:space="0"/>
            </w:tcBorders>
            <w:vAlign w:val="top"/>
          </w:tcPr>
          <w:p w14:paraId="3BEC057D">
            <w:pPr>
              <w:spacing w:before="92" w:line="192"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c>
          <w:tcPr>
            <w:tcW w:w="1651" w:type="dxa"/>
            <w:tcBorders>
              <w:left w:val="single" w:color="000000" w:sz="4" w:space="0"/>
              <w:right w:val="single" w:color="000000" w:sz="4" w:space="0"/>
            </w:tcBorders>
            <w:vAlign w:val="top"/>
          </w:tcPr>
          <w:p w14:paraId="23E989ED">
            <w:pPr>
              <w:spacing w:before="68"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.04</w:t>
            </w:r>
          </w:p>
        </w:tc>
        <w:tc>
          <w:tcPr>
            <w:tcW w:w="930" w:type="dxa"/>
            <w:tcBorders>
              <w:left w:val="single" w:color="000000" w:sz="4" w:space="0"/>
              <w:right w:val="single" w:color="000000" w:sz="4" w:space="0"/>
            </w:tcBorders>
            <w:vAlign w:val="top"/>
          </w:tcPr>
          <w:p w14:paraId="58D7A8C3">
            <w:pPr>
              <w:spacing w:before="16" w:line="263" w:lineRule="exact"/>
              <w:ind w:left="431"/>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c>
          <w:tcPr>
            <w:tcW w:w="1226" w:type="dxa"/>
            <w:tcBorders>
              <w:left w:val="single" w:color="000000" w:sz="4" w:space="0"/>
            </w:tcBorders>
            <w:vAlign w:val="top"/>
          </w:tcPr>
          <w:p w14:paraId="5DB4BE0F">
            <w:pPr>
              <w:spacing w:before="16" w:line="263" w:lineRule="exact"/>
              <w:ind w:left="578"/>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c>
          <w:tcPr>
            <w:tcW w:w="705" w:type="dxa"/>
            <w:vAlign w:val="top"/>
          </w:tcPr>
          <w:p w14:paraId="6173B2D8">
            <w:pPr>
              <w:spacing w:before="16" w:line="263" w:lineRule="exact"/>
              <w:ind w:left="320"/>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c>
          <w:tcPr>
            <w:tcW w:w="684" w:type="dxa"/>
            <w:tcBorders>
              <w:right w:val="nil"/>
            </w:tcBorders>
            <w:vAlign w:val="top"/>
          </w:tcPr>
          <w:p w14:paraId="2CE6BDB7">
            <w:pPr>
              <w:spacing w:before="16" w:line="263" w:lineRule="exact"/>
              <w:ind w:left="311"/>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r>
      <w:tr w14:paraId="3389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51A50DFE">
            <w:pPr>
              <w:spacing w:before="9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4" w:type="dxa"/>
            <w:vMerge w:val="continue"/>
            <w:tcBorders>
              <w:top w:val="nil"/>
              <w:left w:val="single" w:color="000000" w:sz="4" w:space="0"/>
              <w:bottom w:val="nil"/>
              <w:right w:val="single" w:color="000000" w:sz="4" w:space="0"/>
            </w:tcBorders>
            <w:vAlign w:val="top"/>
          </w:tcPr>
          <w:p w14:paraId="50BB6B94">
            <w:pPr>
              <w:rPr>
                <w:rFonts w:ascii="Arial"/>
                <w:sz w:val="21"/>
              </w:rPr>
            </w:pPr>
          </w:p>
        </w:tc>
        <w:tc>
          <w:tcPr>
            <w:tcW w:w="1680" w:type="dxa"/>
            <w:tcBorders>
              <w:left w:val="single" w:color="000000" w:sz="4" w:space="0"/>
              <w:right w:val="single" w:color="000000" w:sz="4" w:space="0"/>
            </w:tcBorders>
            <w:vAlign w:val="top"/>
          </w:tcPr>
          <w:p w14:paraId="1CB2CB57">
            <w:pPr>
              <w:spacing w:before="55" w:line="228" w:lineRule="auto"/>
              <w:ind w:left="738"/>
              <w:rPr>
                <w:rFonts w:ascii="宋体" w:hAnsi="宋体" w:eastAsia="宋体" w:cs="宋体"/>
                <w:sz w:val="20"/>
                <w:szCs w:val="20"/>
              </w:rPr>
            </w:pPr>
            <w:r>
              <w:rPr>
                <w:rFonts w:ascii="宋体" w:hAnsi="宋体" w:eastAsia="宋体" w:cs="宋体"/>
                <w:spacing w:val="1"/>
                <w:sz w:val="20"/>
                <w:szCs w:val="20"/>
              </w:rPr>
              <w:t>砷</w:t>
            </w:r>
          </w:p>
        </w:tc>
        <w:tc>
          <w:tcPr>
            <w:tcW w:w="1651" w:type="dxa"/>
            <w:tcBorders>
              <w:left w:val="single" w:color="000000" w:sz="4" w:space="0"/>
              <w:right w:val="single" w:color="000000" w:sz="4" w:space="0"/>
            </w:tcBorders>
            <w:vAlign w:val="top"/>
          </w:tcPr>
          <w:p w14:paraId="0F1D5733">
            <w:pPr>
              <w:spacing w:before="17" w:line="281"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C6AE9DE">
            <w:pPr>
              <w:spacing w:before="91"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26" w:type="dxa"/>
            <w:tcBorders>
              <w:left w:val="single" w:color="000000" w:sz="4" w:space="0"/>
            </w:tcBorders>
            <w:vAlign w:val="top"/>
          </w:tcPr>
          <w:p w14:paraId="278373EF">
            <w:pPr>
              <w:spacing w:before="91"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vAlign w:val="top"/>
          </w:tcPr>
          <w:p w14:paraId="7F34027C">
            <w:pPr>
              <w:spacing w:before="9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05AF456">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E44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F003B0F">
            <w:pPr>
              <w:spacing w:before="9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4" w:type="dxa"/>
            <w:vMerge w:val="continue"/>
            <w:tcBorders>
              <w:top w:val="nil"/>
              <w:left w:val="single" w:color="000000" w:sz="4" w:space="0"/>
              <w:bottom w:val="nil"/>
              <w:right w:val="single" w:color="000000" w:sz="4" w:space="0"/>
            </w:tcBorders>
            <w:vAlign w:val="top"/>
          </w:tcPr>
          <w:p w14:paraId="09089F75">
            <w:pPr>
              <w:rPr>
                <w:rFonts w:ascii="Arial"/>
                <w:sz w:val="21"/>
              </w:rPr>
            </w:pPr>
          </w:p>
        </w:tc>
        <w:tc>
          <w:tcPr>
            <w:tcW w:w="1680" w:type="dxa"/>
            <w:tcBorders>
              <w:left w:val="single" w:color="000000" w:sz="4" w:space="0"/>
              <w:right w:val="single" w:color="000000" w:sz="4" w:space="0"/>
            </w:tcBorders>
            <w:vAlign w:val="top"/>
          </w:tcPr>
          <w:p w14:paraId="5A2E67E8">
            <w:pPr>
              <w:spacing w:before="55" w:line="231" w:lineRule="auto"/>
              <w:ind w:left="737"/>
              <w:rPr>
                <w:rFonts w:ascii="宋体" w:hAnsi="宋体" w:eastAsia="宋体" w:cs="宋体"/>
                <w:sz w:val="20"/>
                <w:szCs w:val="20"/>
              </w:rPr>
            </w:pPr>
            <w:r>
              <w:rPr>
                <w:rFonts w:ascii="宋体" w:hAnsi="宋体" w:eastAsia="宋体" w:cs="宋体"/>
                <w:spacing w:val="2"/>
                <w:sz w:val="20"/>
                <w:szCs w:val="20"/>
              </w:rPr>
              <w:t>镉</w:t>
            </w:r>
          </w:p>
        </w:tc>
        <w:tc>
          <w:tcPr>
            <w:tcW w:w="1651" w:type="dxa"/>
            <w:tcBorders>
              <w:left w:val="single" w:color="000000" w:sz="4" w:space="0"/>
              <w:right w:val="single" w:color="000000" w:sz="4" w:space="0"/>
            </w:tcBorders>
            <w:vAlign w:val="top"/>
          </w:tcPr>
          <w:p w14:paraId="66FD7D72">
            <w:pPr>
              <w:spacing w:before="18" w:line="281"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.223</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AE77136">
            <w:pPr>
              <w:spacing w:before="91"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415403A2">
            <w:pPr>
              <w:spacing w:before="9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c>
          <w:tcPr>
            <w:tcW w:w="705" w:type="dxa"/>
            <w:tcBorders>
              <w:left w:val="single" w:color="000000" w:sz="4" w:space="0"/>
            </w:tcBorders>
            <w:vAlign w:val="top"/>
          </w:tcPr>
          <w:p w14:paraId="2D61AF65">
            <w:pPr>
              <w:spacing w:before="9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E27BD59">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B327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1E10862">
            <w:pPr>
              <w:spacing w:before="9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44" w:type="dxa"/>
            <w:vMerge w:val="continue"/>
            <w:tcBorders>
              <w:top w:val="nil"/>
              <w:left w:val="single" w:color="000000" w:sz="4" w:space="0"/>
              <w:bottom w:val="nil"/>
              <w:right w:val="single" w:color="000000" w:sz="4" w:space="0"/>
            </w:tcBorders>
            <w:vAlign w:val="top"/>
          </w:tcPr>
          <w:p w14:paraId="3D13EAAD">
            <w:pPr>
              <w:rPr>
                <w:rFonts w:ascii="Arial"/>
                <w:sz w:val="21"/>
              </w:rPr>
            </w:pPr>
          </w:p>
        </w:tc>
        <w:tc>
          <w:tcPr>
            <w:tcW w:w="1680" w:type="dxa"/>
            <w:tcBorders>
              <w:left w:val="single" w:color="000000" w:sz="4" w:space="0"/>
              <w:right w:val="single" w:color="000000" w:sz="4" w:space="0"/>
            </w:tcBorders>
            <w:vAlign w:val="top"/>
          </w:tcPr>
          <w:p w14:paraId="51F764CC">
            <w:pPr>
              <w:spacing w:before="18" w:line="281" w:lineRule="exact"/>
              <w:ind w:left="457"/>
              <w:rPr>
                <w:rFonts w:ascii="Times New Roman" w:hAnsi="Times New Roman" w:eastAsia="Times New Roman" w:cs="Times New Roman"/>
                <w:sz w:val="20"/>
                <w:szCs w:val="20"/>
              </w:rPr>
            </w:pPr>
            <w:r>
              <w:rPr>
                <w:rFonts w:ascii="宋体" w:hAnsi="宋体" w:eastAsia="宋体" w:cs="宋体"/>
                <w:spacing w:val="6"/>
                <w:position w:val="2"/>
                <w:sz w:val="20"/>
                <w:szCs w:val="20"/>
              </w:rPr>
              <w:t>铬</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六价</w:t>
            </w:r>
            <w:r>
              <w:rPr>
                <w:rFonts w:ascii="Times New Roman" w:hAnsi="Times New Roman" w:eastAsia="Times New Roman" w:cs="Times New Roman"/>
                <w:spacing w:val="5"/>
                <w:position w:val="2"/>
                <w:sz w:val="20"/>
                <w:szCs w:val="20"/>
              </w:rPr>
              <w:t>)</w:t>
            </w:r>
          </w:p>
        </w:tc>
        <w:tc>
          <w:tcPr>
            <w:tcW w:w="1651" w:type="dxa"/>
            <w:tcBorders>
              <w:left w:val="single" w:color="000000" w:sz="4" w:space="0"/>
              <w:right w:val="single" w:color="000000" w:sz="4" w:space="0"/>
            </w:tcBorders>
            <w:vAlign w:val="top"/>
          </w:tcPr>
          <w:p w14:paraId="2450F5D5">
            <w:pPr>
              <w:spacing w:before="18" w:line="281" w:lineRule="exact"/>
              <w:ind w:left="418"/>
              <w:rPr>
                <w:rFonts w:ascii="Times New Roman" w:hAnsi="Times New Roman" w:eastAsia="Times New Roman" w:cs="Times New Roman"/>
                <w:sz w:val="20"/>
                <w:szCs w:val="20"/>
              </w:rPr>
            </w:pPr>
            <w:r>
              <w:rPr>
                <w:rFonts w:ascii="宋体" w:hAnsi="宋体" w:eastAsia="宋体" w:cs="宋体"/>
                <w:spacing w:val="5"/>
                <w:position w:val="4"/>
                <w:sz w:val="20"/>
                <w:szCs w:val="20"/>
              </w:rPr>
              <w:t>＜</w:t>
            </w:r>
            <w:r>
              <w:rPr>
                <w:rFonts w:ascii="Times New Roman" w:hAnsi="Times New Roman" w:eastAsia="Times New Roman" w:cs="Times New Roman"/>
                <w:spacing w:val="4"/>
                <w:position w:val="4"/>
                <w:sz w:val="20"/>
                <w:szCs w:val="20"/>
              </w:rPr>
              <w:t>2</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000DD13A">
            <w:pPr>
              <w:spacing w:before="95" w:line="192"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1226" w:type="dxa"/>
            <w:tcBorders>
              <w:left w:val="single" w:color="000000" w:sz="4" w:space="0"/>
              <w:right w:val="single" w:color="000000" w:sz="4" w:space="0"/>
            </w:tcBorders>
            <w:vAlign w:val="top"/>
          </w:tcPr>
          <w:p w14:paraId="51A1ACAA">
            <w:pPr>
              <w:spacing w:before="18"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A6B38F1">
            <w:pPr>
              <w:spacing w:before="9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F35641D">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EBB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7A92D799">
            <w:pPr>
              <w:spacing w:before="94"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44" w:type="dxa"/>
            <w:vMerge w:val="continue"/>
            <w:tcBorders>
              <w:top w:val="nil"/>
              <w:left w:val="single" w:color="000000" w:sz="4" w:space="0"/>
              <w:bottom w:val="nil"/>
              <w:right w:val="single" w:color="000000" w:sz="4" w:space="0"/>
            </w:tcBorders>
            <w:vAlign w:val="top"/>
          </w:tcPr>
          <w:p w14:paraId="65323551">
            <w:pPr>
              <w:rPr>
                <w:rFonts w:ascii="Arial"/>
                <w:sz w:val="21"/>
              </w:rPr>
            </w:pPr>
          </w:p>
        </w:tc>
        <w:tc>
          <w:tcPr>
            <w:tcW w:w="1680" w:type="dxa"/>
            <w:tcBorders>
              <w:left w:val="single" w:color="000000" w:sz="4" w:space="0"/>
              <w:right w:val="single" w:color="000000" w:sz="4" w:space="0"/>
            </w:tcBorders>
            <w:vAlign w:val="top"/>
          </w:tcPr>
          <w:p w14:paraId="5558B3FD">
            <w:pPr>
              <w:spacing w:before="55" w:line="229" w:lineRule="auto"/>
              <w:ind w:left="738"/>
              <w:rPr>
                <w:rFonts w:ascii="宋体" w:hAnsi="宋体" w:eastAsia="宋体" w:cs="宋体"/>
                <w:sz w:val="20"/>
                <w:szCs w:val="20"/>
              </w:rPr>
            </w:pPr>
            <w:r>
              <w:rPr>
                <w:rFonts w:ascii="宋体" w:hAnsi="宋体" w:eastAsia="宋体" w:cs="宋体"/>
                <w:sz w:val="20"/>
                <w:szCs w:val="20"/>
              </w:rPr>
              <w:t>铜</w:t>
            </w:r>
          </w:p>
        </w:tc>
        <w:tc>
          <w:tcPr>
            <w:tcW w:w="1651" w:type="dxa"/>
            <w:tcBorders>
              <w:left w:val="single" w:color="000000" w:sz="4" w:space="0"/>
              <w:right w:val="single" w:color="000000" w:sz="4" w:space="0"/>
            </w:tcBorders>
            <w:vAlign w:val="top"/>
          </w:tcPr>
          <w:p w14:paraId="2FF32767">
            <w:pPr>
              <w:spacing w:before="18"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326</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20AAA964">
            <w:pPr>
              <w:spacing w:before="91"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26" w:type="dxa"/>
            <w:tcBorders>
              <w:left w:val="single" w:color="000000" w:sz="4" w:space="0"/>
              <w:right w:val="single" w:color="000000" w:sz="4" w:space="0"/>
            </w:tcBorders>
            <w:vAlign w:val="top"/>
          </w:tcPr>
          <w:p w14:paraId="27B7C458">
            <w:pPr>
              <w:spacing w:before="91"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78C67CFE">
            <w:pPr>
              <w:spacing w:before="9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2E504AB">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754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76DB60E">
            <w:pPr>
              <w:spacing w:before="9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44" w:type="dxa"/>
            <w:vMerge w:val="continue"/>
            <w:tcBorders>
              <w:top w:val="nil"/>
              <w:left w:val="single" w:color="000000" w:sz="4" w:space="0"/>
              <w:bottom w:val="nil"/>
              <w:right w:val="single" w:color="000000" w:sz="4" w:space="0"/>
            </w:tcBorders>
            <w:vAlign w:val="top"/>
          </w:tcPr>
          <w:p w14:paraId="4A5E5568">
            <w:pPr>
              <w:rPr>
                <w:rFonts w:ascii="Arial"/>
                <w:sz w:val="21"/>
              </w:rPr>
            </w:pPr>
          </w:p>
        </w:tc>
        <w:tc>
          <w:tcPr>
            <w:tcW w:w="1680" w:type="dxa"/>
            <w:tcBorders>
              <w:left w:val="single" w:color="000000" w:sz="4" w:space="0"/>
              <w:right w:val="single" w:color="000000" w:sz="4" w:space="0"/>
            </w:tcBorders>
            <w:vAlign w:val="top"/>
          </w:tcPr>
          <w:p w14:paraId="0E62C682">
            <w:pPr>
              <w:spacing w:before="56" w:line="232" w:lineRule="auto"/>
              <w:ind w:left="738"/>
              <w:rPr>
                <w:rFonts w:ascii="宋体" w:hAnsi="宋体" w:eastAsia="宋体" w:cs="宋体"/>
                <w:sz w:val="20"/>
                <w:szCs w:val="20"/>
              </w:rPr>
            </w:pPr>
            <w:r>
              <w:rPr>
                <w:rFonts w:ascii="宋体" w:hAnsi="宋体" w:eastAsia="宋体" w:cs="宋体"/>
                <w:sz w:val="20"/>
                <w:szCs w:val="20"/>
              </w:rPr>
              <w:t>铅</w:t>
            </w:r>
          </w:p>
        </w:tc>
        <w:tc>
          <w:tcPr>
            <w:tcW w:w="1651" w:type="dxa"/>
            <w:tcBorders>
              <w:left w:val="single" w:color="000000" w:sz="4" w:space="0"/>
              <w:right w:val="single" w:color="000000" w:sz="4" w:space="0"/>
            </w:tcBorders>
            <w:vAlign w:val="top"/>
          </w:tcPr>
          <w:p w14:paraId="57A9FA5A">
            <w:pPr>
              <w:spacing w:before="18" w:line="281"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9</w:t>
            </w: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92150CC">
            <w:pPr>
              <w:spacing w:before="9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14855F76">
            <w:pPr>
              <w:spacing w:before="92"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05" w:type="dxa"/>
            <w:tcBorders>
              <w:left w:val="single" w:color="000000" w:sz="4" w:space="0"/>
            </w:tcBorders>
            <w:vAlign w:val="top"/>
          </w:tcPr>
          <w:p w14:paraId="202C91E3">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BDBB885">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35E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01A3D914">
            <w:pPr>
              <w:spacing w:before="95" w:line="192"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44" w:type="dxa"/>
            <w:vMerge w:val="continue"/>
            <w:tcBorders>
              <w:top w:val="nil"/>
              <w:left w:val="single" w:color="000000" w:sz="4" w:space="0"/>
              <w:bottom w:val="nil"/>
              <w:right w:val="single" w:color="000000" w:sz="4" w:space="0"/>
            </w:tcBorders>
            <w:vAlign w:val="top"/>
          </w:tcPr>
          <w:p w14:paraId="7E86589E">
            <w:pPr>
              <w:rPr>
                <w:rFonts w:ascii="Arial"/>
                <w:sz w:val="21"/>
              </w:rPr>
            </w:pPr>
          </w:p>
        </w:tc>
        <w:tc>
          <w:tcPr>
            <w:tcW w:w="1680" w:type="dxa"/>
            <w:tcBorders>
              <w:left w:val="single" w:color="000000" w:sz="4" w:space="0"/>
              <w:right w:val="single" w:color="000000" w:sz="4" w:space="0"/>
            </w:tcBorders>
            <w:vAlign w:val="top"/>
          </w:tcPr>
          <w:p w14:paraId="2C93B7F1">
            <w:pPr>
              <w:spacing w:before="56" w:line="228" w:lineRule="auto"/>
              <w:ind w:left="739"/>
              <w:rPr>
                <w:rFonts w:ascii="宋体" w:hAnsi="宋体" w:eastAsia="宋体" w:cs="宋体"/>
                <w:sz w:val="20"/>
                <w:szCs w:val="20"/>
              </w:rPr>
            </w:pPr>
            <w:r>
              <w:rPr>
                <w:rFonts w:ascii="宋体" w:hAnsi="宋体" w:eastAsia="宋体" w:cs="宋体"/>
                <w:sz w:val="20"/>
                <w:szCs w:val="20"/>
              </w:rPr>
              <w:t>汞</w:t>
            </w:r>
          </w:p>
        </w:tc>
        <w:tc>
          <w:tcPr>
            <w:tcW w:w="1651" w:type="dxa"/>
            <w:tcBorders>
              <w:left w:val="single" w:color="000000" w:sz="4" w:space="0"/>
              <w:right w:val="single" w:color="000000" w:sz="4" w:space="0"/>
            </w:tcBorders>
            <w:vAlign w:val="top"/>
          </w:tcPr>
          <w:p w14:paraId="3635BAA2">
            <w:pPr>
              <w:spacing w:before="18" w:line="281"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.629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6DEB076">
            <w:pPr>
              <w:spacing w:before="92"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226" w:type="dxa"/>
            <w:tcBorders>
              <w:left w:val="single" w:color="000000" w:sz="4" w:space="0"/>
              <w:right w:val="single" w:color="000000" w:sz="4" w:space="0"/>
            </w:tcBorders>
            <w:vAlign w:val="top"/>
          </w:tcPr>
          <w:p w14:paraId="260FA4F5">
            <w:pPr>
              <w:spacing w:before="92"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376E36F8">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F4E8EFA">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03AB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56086C4">
            <w:pPr>
              <w:spacing w:before="9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44" w:type="dxa"/>
            <w:vMerge w:val="continue"/>
            <w:tcBorders>
              <w:top w:val="nil"/>
              <w:left w:val="single" w:color="000000" w:sz="4" w:space="0"/>
              <w:bottom w:val="nil"/>
              <w:right w:val="single" w:color="000000" w:sz="4" w:space="0"/>
            </w:tcBorders>
            <w:vAlign w:val="top"/>
          </w:tcPr>
          <w:p w14:paraId="40FD6E40">
            <w:pPr>
              <w:rPr>
                <w:rFonts w:ascii="Arial"/>
                <w:sz w:val="21"/>
              </w:rPr>
            </w:pPr>
          </w:p>
        </w:tc>
        <w:tc>
          <w:tcPr>
            <w:tcW w:w="1680" w:type="dxa"/>
            <w:tcBorders>
              <w:left w:val="single" w:color="000000" w:sz="4" w:space="0"/>
              <w:right w:val="single" w:color="000000" w:sz="4" w:space="0"/>
            </w:tcBorders>
            <w:vAlign w:val="top"/>
          </w:tcPr>
          <w:p w14:paraId="77622AA9">
            <w:pPr>
              <w:spacing w:before="59" w:line="228" w:lineRule="auto"/>
              <w:ind w:left="738"/>
              <w:rPr>
                <w:rFonts w:ascii="宋体" w:hAnsi="宋体" w:eastAsia="宋体" w:cs="宋体"/>
                <w:sz w:val="20"/>
                <w:szCs w:val="20"/>
              </w:rPr>
            </w:pPr>
            <w:r>
              <w:rPr>
                <w:rFonts w:ascii="宋体" w:hAnsi="宋体" w:eastAsia="宋体" w:cs="宋体"/>
                <w:spacing w:val="1"/>
                <w:sz w:val="20"/>
                <w:szCs w:val="20"/>
              </w:rPr>
              <w:t>镍</w:t>
            </w:r>
          </w:p>
        </w:tc>
        <w:tc>
          <w:tcPr>
            <w:tcW w:w="1651" w:type="dxa"/>
            <w:tcBorders>
              <w:left w:val="single" w:color="000000" w:sz="4" w:space="0"/>
              <w:right w:val="single" w:color="000000" w:sz="4" w:space="0"/>
            </w:tcBorders>
            <w:vAlign w:val="top"/>
          </w:tcPr>
          <w:p w14:paraId="67952DC0">
            <w:pPr>
              <w:spacing w:before="21"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300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58A52A4D">
            <w:pPr>
              <w:spacing w:before="9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1226" w:type="dxa"/>
            <w:tcBorders>
              <w:left w:val="single" w:color="000000" w:sz="4" w:space="0"/>
              <w:right w:val="single" w:color="000000" w:sz="4" w:space="0"/>
            </w:tcBorders>
            <w:vAlign w:val="top"/>
          </w:tcPr>
          <w:p w14:paraId="111165AA">
            <w:pPr>
              <w:spacing w:before="95"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705" w:type="dxa"/>
            <w:tcBorders>
              <w:left w:val="single" w:color="000000" w:sz="4" w:space="0"/>
            </w:tcBorders>
            <w:vAlign w:val="top"/>
          </w:tcPr>
          <w:p w14:paraId="7162002A">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42F1E98">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453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CFD2ACA">
            <w:pPr>
              <w:spacing w:before="9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44" w:type="dxa"/>
            <w:vMerge w:val="continue"/>
            <w:tcBorders>
              <w:top w:val="nil"/>
              <w:left w:val="single" w:color="000000" w:sz="4" w:space="0"/>
              <w:bottom w:val="nil"/>
              <w:right w:val="single" w:color="000000" w:sz="4" w:space="0"/>
            </w:tcBorders>
            <w:vAlign w:val="top"/>
          </w:tcPr>
          <w:p w14:paraId="2764DBCF">
            <w:pPr>
              <w:rPr>
                <w:rFonts w:ascii="Arial"/>
                <w:sz w:val="21"/>
              </w:rPr>
            </w:pPr>
          </w:p>
        </w:tc>
        <w:tc>
          <w:tcPr>
            <w:tcW w:w="1680" w:type="dxa"/>
            <w:tcBorders>
              <w:left w:val="single" w:color="000000" w:sz="4" w:space="0"/>
              <w:right w:val="single" w:color="000000" w:sz="4" w:space="0"/>
            </w:tcBorders>
            <w:vAlign w:val="top"/>
          </w:tcPr>
          <w:p w14:paraId="2BAF56B3">
            <w:pPr>
              <w:spacing w:before="59" w:line="233" w:lineRule="auto"/>
              <w:ind w:left="527"/>
              <w:rPr>
                <w:rFonts w:ascii="宋体" w:hAnsi="宋体" w:eastAsia="宋体" w:cs="宋体"/>
                <w:sz w:val="20"/>
                <w:szCs w:val="20"/>
              </w:rPr>
            </w:pPr>
            <w:r>
              <w:rPr>
                <w:rFonts w:ascii="宋体" w:hAnsi="宋体" w:eastAsia="宋体" w:cs="宋体"/>
                <w:spacing w:val="7"/>
                <w:sz w:val="20"/>
                <w:szCs w:val="20"/>
              </w:rPr>
              <w:t>全盐</w:t>
            </w:r>
            <w:r>
              <w:rPr>
                <w:rFonts w:ascii="宋体" w:hAnsi="宋体" w:eastAsia="宋体" w:cs="宋体"/>
                <w:spacing w:val="6"/>
                <w:sz w:val="20"/>
                <w:szCs w:val="20"/>
              </w:rPr>
              <w:t>量</w:t>
            </w:r>
          </w:p>
        </w:tc>
        <w:tc>
          <w:tcPr>
            <w:tcW w:w="1651" w:type="dxa"/>
            <w:tcBorders>
              <w:left w:val="single" w:color="000000" w:sz="4" w:space="0"/>
              <w:right w:val="single" w:color="000000" w:sz="4" w:space="0"/>
            </w:tcBorders>
            <w:vAlign w:val="top"/>
          </w:tcPr>
          <w:p w14:paraId="79900788">
            <w:pPr>
              <w:spacing w:before="21" w:line="281"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2</w:t>
            </w:r>
            <w:r>
              <w:rPr>
                <w:rFonts w:ascii="Times New Roman" w:hAnsi="Times New Roman" w:eastAsia="Times New Roman" w:cs="Times New Roman"/>
                <w:spacing w:val="5"/>
                <w:position w:val="2"/>
                <w:sz w:val="20"/>
                <w:szCs w:val="20"/>
              </w:rPr>
              <w:t>.3</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8367856">
            <w:pPr>
              <w:spacing w:before="21" w:line="281"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26" w:type="dxa"/>
            <w:tcBorders>
              <w:left w:val="single" w:color="000000" w:sz="4" w:space="0"/>
              <w:right w:val="single" w:color="000000" w:sz="4" w:space="0"/>
            </w:tcBorders>
            <w:vAlign w:val="top"/>
          </w:tcPr>
          <w:p w14:paraId="5A5980EE">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B76166F">
            <w:pPr>
              <w:spacing w:before="21" w:line="281"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2FC3A1BD">
            <w:pPr>
              <w:spacing w:before="21" w:line="281"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54A9B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14F6730">
            <w:pPr>
              <w:spacing w:before="9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944" w:type="dxa"/>
            <w:vMerge w:val="continue"/>
            <w:tcBorders>
              <w:top w:val="nil"/>
              <w:left w:val="single" w:color="000000" w:sz="4" w:space="0"/>
              <w:bottom w:val="nil"/>
              <w:right w:val="single" w:color="000000" w:sz="4" w:space="0"/>
            </w:tcBorders>
            <w:vAlign w:val="top"/>
          </w:tcPr>
          <w:p w14:paraId="0A969F06">
            <w:pPr>
              <w:rPr>
                <w:rFonts w:ascii="Arial"/>
                <w:sz w:val="21"/>
              </w:rPr>
            </w:pPr>
          </w:p>
        </w:tc>
        <w:tc>
          <w:tcPr>
            <w:tcW w:w="1680" w:type="dxa"/>
            <w:tcBorders>
              <w:left w:val="single" w:color="000000" w:sz="4" w:space="0"/>
              <w:right w:val="single" w:color="000000" w:sz="4" w:space="0"/>
            </w:tcBorders>
            <w:vAlign w:val="top"/>
          </w:tcPr>
          <w:p w14:paraId="0E774787">
            <w:pPr>
              <w:spacing w:before="59" w:line="228" w:lineRule="auto"/>
              <w:ind w:left="44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1651" w:type="dxa"/>
            <w:tcBorders>
              <w:left w:val="single" w:color="000000" w:sz="4" w:space="0"/>
              <w:right w:val="single" w:color="000000" w:sz="4" w:space="0"/>
            </w:tcBorders>
            <w:vAlign w:val="top"/>
          </w:tcPr>
          <w:p w14:paraId="2BA416D5">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B5735DD">
            <w:pPr>
              <w:spacing w:before="94" w:line="198"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030E60CD">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4024B8C">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8BF1822">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6462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D86B5B1">
            <w:pPr>
              <w:spacing w:before="94"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944" w:type="dxa"/>
            <w:vMerge w:val="continue"/>
            <w:tcBorders>
              <w:top w:val="nil"/>
              <w:left w:val="single" w:color="000000" w:sz="4" w:space="0"/>
              <w:bottom w:val="nil"/>
              <w:right w:val="single" w:color="000000" w:sz="4" w:space="0"/>
            </w:tcBorders>
            <w:vAlign w:val="top"/>
          </w:tcPr>
          <w:p w14:paraId="4290DA7D">
            <w:pPr>
              <w:rPr>
                <w:rFonts w:ascii="Arial"/>
                <w:sz w:val="21"/>
              </w:rPr>
            </w:pPr>
          </w:p>
        </w:tc>
        <w:tc>
          <w:tcPr>
            <w:tcW w:w="1680" w:type="dxa"/>
            <w:tcBorders>
              <w:left w:val="single" w:color="000000" w:sz="4" w:space="0"/>
              <w:right w:val="single" w:color="000000" w:sz="4" w:space="0"/>
            </w:tcBorders>
            <w:vAlign w:val="top"/>
          </w:tcPr>
          <w:p w14:paraId="005E49F3">
            <w:pPr>
              <w:spacing w:before="59" w:line="228" w:lineRule="auto"/>
              <w:ind w:left="636"/>
              <w:rPr>
                <w:rFonts w:ascii="宋体" w:hAnsi="宋体" w:eastAsia="宋体" w:cs="宋体"/>
                <w:sz w:val="20"/>
                <w:szCs w:val="20"/>
              </w:rPr>
            </w:pPr>
            <w:r>
              <w:rPr>
                <w:rFonts w:ascii="宋体" w:hAnsi="宋体" w:eastAsia="宋体" w:cs="宋体"/>
                <w:spacing w:val="3"/>
                <w:sz w:val="20"/>
                <w:szCs w:val="20"/>
              </w:rPr>
              <w:t>氯仿</w:t>
            </w:r>
          </w:p>
        </w:tc>
        <w:tc>
          <w:tcPr>
            <w:tcW w:w="1651" w:type="dxa"/>
            <w:tcBorders>
              <w:left w:val="single" w:color="000000" w:sz="4" w:space="0"/>
              <w:right w:val="single" w:color="000000" w:sz="4" w:space="0"/>
            </w:tcBorders>
            <w:vAlign w:val="top"/>
          </w:tcPr>
          <w:p w14:paraId="5A040C96">
            <w:pPr>
              <w:spacing w:before="18" w:line="281" w:lineRule="exact"/>
              <w:ind w:left="365"/>
              <w:rPr>
                <w:rFonts w:ascii="Times New Roman" w:hAnsi="Times New Roman" w:eastAsia="Times New Roman" w:cs="Times New Roman"/>
                <w:sz w:val="20"/>
                <w:szCs w:val="20"/>
              </w:rPr>
            </w:pP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 1μg/kg</w:t>
            </w:r>
          </w:p>
        </w:tc>
        <w:tc>
          <w:tcPr>
            <w:tcW w:w="930" w:type="dxa"/>
            <w:tcBorders>
              <w:left w:val="single" w:color="000000" w:sz="4" w:space="0"/>
              <w:right w:val="single" w:color="000000" w:sz="4" w:space="0"/>
            </w:tcBorders>
            <w:vAlign w:val="top"/>
          </w:tcPr>
          <w:p w14:paraId="42987E10">
            <w:pPr>
              <w:spacing w:before="95"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1226" w:type="dxa"/>
            <w:tcBorders>
              <w:left w:val="single" w:color="000000" w:sz="4" w:space="0"/>
              <w:right w:val="single" w:color="000000" w:sz="4" w:space="0"/>
            </w:tcBorders>
            <w:vAlign w:val="top"/>
          </w:tcPr>
          <w:p w14:paraId="2B4B4CCB">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8C717D2">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9F754D0">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B3C4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4B690C77">
            <w:pPr>
              <w:spacing w:before="9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44" w:type="dxa"/>
            <w:vMerge w:val="continue"/>
            <w:tcBorders>
              <w:top w:val="nil"/>
              <w:left w:val="single" w:color="000000" w:sz="4" w:space="0"/>
              <w:bottom w:val="nil"/>
              <w:right w:val="single" w:color="000000" w:sz="4" w:space="0"/>
            </w:tcBorders>
            <w:vAlign w:val="top"/>
          </w:tcPr>
          <w:p w14:paraId="18558C24">
            <w:pPr>
              <w:rPr>
                <w:rFonts w:ascii="Arial"/>
                <w:sz w:val="21"/>
              </w:rPr>
            </w:pPr>
          </w:p>
        </w:tc>
        <w:tc>
          <w:tcPr>
            <w:tcW w:w="1680" w:type="dxa"/>
            <w:tcBorders>
              <w:left w:val="single" w:color="000000" w:sz="4" w:space="0"/>
              <w:right w:val="single" w:color="000000" w:sz="4" w:space="0"/>
            </w:tcBorders>
            <w:vAlign w:val="top"/>
          </w:tcPr>
          <w:p w14:paraId="176FC25B">
            <w:pPr>
              <w:spacing w:before="59" w:line="228" w:lineRule="auto"/>
              <w:ind w:left="531"/>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1651" w:type="dxa"/>
            <w:tcBorders>
              <w:left w:val="single" w:color="000000" w:sz="4" w:space="0"/>
              <w:right w:val="single" w:color="000000" w:sz="4" w:space="0"/>
            </w:tcBorders>
            <w:vAlign w:val="top"/>
          </w:tcPr>
          <w:p w14:paraId="730ED5FD">
            <w:pPr>
              <w:spacing w:before="18"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10DC636">
            <w:pPr>
              <w:spacing w:before="94"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1226" w:type="dxa"/>
            <w:tcBorders>
              <w:left w:val="single" w:color="000000" w:sz="4" w:space="0"/>
              <w:right w:val="single" w:color="000000" w:sz="4" w:space="0"/>
            </w:tcBorders>
            <w:vAlign w:val="top"/>
          </w:tcPr>
          <w:p w14:paraId="2861B587">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7508DA0">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6795122">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5DC3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C9711B6">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944" w:type="dxa"/>
            <w:vMerge w:val="continue"/>
            <w:tcBorders>
              <w:top w:val="nil"/>
              <w:left w:val="single" w:color="000000" w:sz="4" w:space="0"/>
              <w:bottom w:val="nil"/>
              <w:right w:val="single" w:color="000000" w:sz="4" w:space="0"/>
            </w:tcBorders>
            <w:vAlign w:val="top"/>
          </w:tcPr>
          <w:p w14:paraId="38432302">
            <w:pPr>
              <w:rPr>
                <w:rFonts w:ascii="Arial"/>
                <w:sz w:val="21"/>
              </w:rPr>
            </w:pPr>
          </w:p>
        </w:tc>
        <w:tc>
          <w:tcPr>
            <w:tcW w:w="1680" w:type="dxa"/>
            <w:tcBorders>
              <w:left w:val="single" w:color="000000" w:sz="4" w:space="0"/>
              <w:right w:val="single" w:color="000000" w:sz="4" w:space="0"/>
            </w:tcBorders>
            <w:vAlign w:val="top"/>
          </w:tcPr>
          <w:p w14:paraId="2684AAD5">
            <w:pPr>
              <w:spacing w:before="59" w:line="233" w:lineRule="auto"/>
              <w:ind w:left="27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二氯乙烷</w:t>
            </w:r>
          </w:p>
        </w:tc>
        <w:tc>
          <w:tcPr>
            <w:tcW w:w="1651" w:type="dxa"/>
            <w:tcBorders>
              <w:left w:val="single" w:color="000000" w:sz="4" w:space="0"/>
              <w:right w:val="single" w:color="000000" w:sz="4" w:space="0"/>
            </w:tcBorders>
            <w:vAlign w:val="top"/>
          </w:tcPr>
          <w:p w14:paraId="1534DAF2">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C867521">
            <w:pPr>
              <w:spacing w:before="95"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26" w:type="dxa"/>
            <w:tcBorders>
              <w:left w:val="single" w:color="000000" w:sz="4" w:space="0"/>
              <w:right w:val="single" w:color="000000" w:sz="4" w:space="0"/>
            </w:tcBorders>
            <w:vAlign w:val="top"/>
          </w:tcPr>
          <w:p w14:paraId="39F918F3">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5E16DBD">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F3CE47A">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57F8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43BFB02">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944" w:type="dxa"/>
            <w:vMerge w:val="continue"/>
            <w:tcBorders>
              <w:top w:val="nil"/>
              <w:left w:val="single" w:color="000000" w:sz="4" w:space="0"/>
              <w:bottom w:val="nil"/>
              <w:right w:val="single" w:color="000000" w:sz="4" w:space="0"/>
            </w:tcBorders>
            <w:vAlign w:val="top"/>
          </w:tcPr>
          <w:p w14:paraId="4FD6C77F">
            <w:pPr>
              <w:rPr>
                <w:rFonts w:ascii="Arial"/>
                <w:sz w:val="21"/>
              </w:rPr>
            </w:pPr>
          </w:p>
        </w:tc>
        <w:tc>
          <w:tcPr>
            <w:tcW w:w="1680" w:type="dxa"/>
            <w:tcBorders>
              <w:left w:val="single" w:color="000000" w:sz="4" w:space="0"/>
              <w:right w:val="single" w:color="000000" w:sz="4" w:space="0"/>
            </w:tcBorders>
            <w:vAlign w:val="top"/>
          </w:tcPr>
          <w:p w14:paraId="7DB66AAB">
            <w:pPr>
              <w:spacing w:before="59" w:line="233" w:lineRule="auto"/>
              <w:ind w:left="27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二氯乙烷</w:t>
            </w:r>
          </w:p>
        </w:tc>
        <w:tc>
          <w:tcPr>
            <w:tcW w:w="1651" w:type="dxa"/>
            <w:tcBorders>
              <w:left w:val="single" w:color="000000" w:sz="4" w:space="0"/>
              <w:right w:val="single" w:color="000000" w:sz="4" w:space="0"/>
            </w:tcBorders>
            <w:vAlign w:val="top"/>
          </w:tcPr>
          <w:p w14:paraId="2F045C1B">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EE52551">
            <w:pPr>
              <w:spacing w:before="98" w:line="192"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7F93A2F0">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E0EFC4B">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6928B50">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709B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286B92E">
            <w:pPr>
              <w:spacing w:before="9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944" w:type="dxa"/>
            <w:vMerge w:val="continue"/>
            <w:tcBorders>
              <w:top w:val="nil"/>
              <w:left w:val="single" w:color="000000" w:sz="4" w:space="0"/>
              <w:bottom w:val="nil"/>
              <w:right w:val="single" w:color="000000" w:sz="4" w:space="0"/>
            </w:tcBorders>
            <w:vAlign w:val="top"/>
          </w:tcPr>
          <w:p w14:paraId="4AF35712">
            <w:pPr>
              <w:rPr>
                <w:rFonts w:ascii="Arial"/>
                <w:sz w:val="21"/>
              </w:rPr>
            </w:pPr>
          </w:p>
        </w:tc>
        <w:tc>
          <w:tcPr>
            <w:tcW w:w="1680" w:type="dxa"/>
            <w:tcBorders>
              <w:left w:val="single" w:color="000000" w:sz="4" w:space="0"/>
              <w:right w:val="single" w:color="000000" w:sz="4" w:space="0"/>
            </w:tcBorders>
            <w:vAlign w:val="top"/>
          </w:tcPr>
          <w:p w14:paraId="06EFF76A">
            <w:pPr>
              <w:spacing w:before="58" w:line="233" w:lineRule="auto"/>
              <w:ind w:left="27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二氯乙烯</w:t>
            </w:r>
          </w:p>
        </w:tc>
        <w:tc>
          <w:tcPr>
            <w:tcW w:w="1651" w:type="dxa"/>
            <w:tcBorders>
              <w:left w:val="single" w:color="000000" w:sz="4" w:space="0"/>
              <w:right w:val="single" w:color="000000" w:sz="4" w:space="0"/>
            </w:tcBorders>
            <w:vAlign w:val="top"/>
          </w:tcPr>
          <w:p w14:paraId="39E98697">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69F1927">
            <w:pPr>
              <w:spacing w:before="94"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1226" w:type="dxa"/>
            <w:tcBorders>
              <w:left w:val="single" w:color="000000" w:sz="4" w:space="0"/>
              <w:right w:val="single" w:color="000000" w:sz="4" w:space="0"/>
            </w:tcBorders>
            <w:vAlign w:val="top"/>
          </w:tcPr>
          <w:p w14:paraId="3EC00AD4">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E68CCAD">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07D5BC2">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CD0F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E79AAF4">
            <w:pPr>
              <w:spacing w:before="9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944" w:type="dxa"/>
            <w:vMerge w:val="continue"/>
            <w:tcBorders>
              <w:top w:val="nil"/>
              <w:left w:val="single" w:color="000000" w:sz="4" w:space="0"/>
              <w:bottom w:val="nil"/>
              <w:right w:val="single" w:color="000000" w:sz="4" w:space="0"/>
            </w:tcBorders>
            <w:vAlign w:val="top"/>
          </w:tcPr>
          <w:p w14:paraId="00EF40BE">
            <w:pPr>
              <w:rPr>
                <w:rFonts w:ascii="Arial"/>
                <w:sz w:val="21"/>
              </w:rPr>
            </w:pPr>
          </w:p>
        </w:tc>
        <w:tc>
          <w:tcPr>
            <w:tcW w:w="1680" w:type="dxa"/>
            <w:tcBorders>
              <w:left w:val="single" w:color="000000" w:sz="4" w:space="0"/>
              <w:right w:val="single" w:color="000000" w:sz="4" w:space="0"/>
            </w:tcBorders>
            <w:vAlign w:val="top"/>
          </w:tcPr>
          <w:p w14:paraId="0CE4BDBE">
            <w:pPr>
              <w:spacing w:before="58" w:line="233" w:lineRule="auto"/>
              <w:ind w:left="118"/>
              <w:rPr>
                <w:rFonts w:ascii="宋体" w:hAnsi="宋体" w:eastAsia="宋体" w:cs="宋体"/>
                <w:sz w:val="20"/>
                <w:szCs w:val="20"/>
              </w:rPr>
            </w:pPr>
            <w:r>
              <w:rPr>
                <w:rFonts w:ascii="宋体" w:hAnsi="宋体" w:eastAsia="宋体" w:cs="宋体"/>
                <w:spacing w:val="1"/>
                <w:sz w:val="20"/>
                <w:szCs w:val="20"/>
              </w:rPr>
              <w:t>顺</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651" w:type="dxa"/>
            <w:tcBorders>
              <w:left w:val="single" w:color="000000" w:sz="4" w:space="0"/>
              <w:right w:val="single" w:color="000000" w:sz="4" w:space="0"/>
            </w:tcBorders>
            <w:vAlign w:val="top"/>
          </w:tcPr>
          <w:p w14:paraId="502E8BC0">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59D5CCA">
            <w:pPr>
              <w:spacing w:before="9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6</w:t>
            </w:r>
          </w:p>
        </w:tc>
        <w:tc>
          <w:tcPr>
            <w:tcW w:w="1226" w:type="dxa"/>
            <w:tcBorders>
              <w:left w:val="single" w:color="000000" w:sz="4" w:space="0"/>
              <w:right w:val="single" w:color="000000" w:sz="4" w:space="0"/>
            </w:tcBorders>
            <w:vAlign w:val="top"/>
          </w:tcPr>
          <w:p w14:paraId="1A36CEBD">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D507BA0">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307636D">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6E5F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462C04A">
            <w:pPr>
              <w:spacing w:before="9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944" w:type="dxa"/>
            <w:vMerge w:val="continue"/>
            <w:tcBorders>
              <w:top w:val="nil"/>
              <w:left w:val="single" w:color="000000" w:sz="4" w:space="0"/>
              <w:bottom w:val="nil"/>
              <w:right w:val="single" w:color="000000" w:sz="4" w:space="0"/>
            </w:tcBorders>
            <w:vAlign w:val="top"/>
          </w:tcPr>
          <w:p w14:paraId="662BE0C9">
            <w:pPr>
              <w:rPr>
                <w:rFonts w:ascii="Arial"/>
                <w:sz w:val="21"/>
              </w:rPr>
            </w:pPr>
          </w:p>
        </w:tc>
        <w:tc>
          <w:tcPr>
            <w:tcW w:w="1680" w:type="dxa"/>
            <w:tcBorders>
              <w:left w:val="single" w:color="000000" w:sz="4" w:space="0"/>
              <w:right w:val="single" w:color="000000" w:sz="4" w:space="0"/>
            </w:tcBorders>
            <w:vAlign w:val="top"/>
          </w:tcPr>
          <w:p w14:paraId="0373E491">
            <w:pPr>
              <w:spacing w:before="58" w:line="233" w:lineRule="auto"/>
              <w:ind w:left="118"/>
              <w:rPr>
                <w:rFonts w:ascii="宋体" w:hAnsi="宋体" w:eastAsia="宋体" w:cs="宋体"/>
                <w:sz w:val="20"/>
                <w:szCs w:val="20"/>
              </w:rPr>
            </w:pPr>
            <w:r>
              <w:rPr>
                <w:rFonts w:ascii="宋体" w:hAnsi="宋体" w:eastAsia="宋体" w:cs="宋体"/>
                <w:spacing w:val="1"/>
                <w:sz w:val="20"/>
                <w:szCs w:val="20"/>
              </w:rPr>
              <w:t>反</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651" w:type="dxa"/>
            <w:tcBorders>
              <w:left w:val="single" w:color="000000" w:sz="4" w:space="0"/>
              <w:right w:val="single" w:color="000000" w:sz="4" w:space="0"/>
            </w:tcBorders>
            <w:vAlign w:val="top"/>
          </w:tcPr>
          <w:p w14:paraId="6DAD3D41">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1.4μ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6569D8B">
            <w:pPr>
              <w:spacing w:before="9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26" w:type="dxa"/>
            <w:tcBorders>
              <w:left w:val="single" w:color="000000" w:sz="4" w:space="0"/>
              <w:right w:val="single" w:color="000000" w:sz="4" w:space="0"/>
            </w:tcBorders>
            <w:vAlign w:val="top"/>
          </w:tcPr>
          <w:p w14:paraId="0A0DFFE2">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37D27B7">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83E80D2">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1B4E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5C790085">
            <w:pPr>
              <w:spacing w:before="9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944" w:type="dxa"/>
            <w:vMerge w:val="continue"/>
            <w:tcBorders>
              <w:top w:val="nil"/>
              <w:left w:val="single" w:color="000000" w:sz="4" w:space="0"/>
              <w:bottom w:val="nil"/>
              <w:right w:val="single" w:color="000000" w:sz="4" w:space="0"/>
            </w:tcBorders>
            <w:vAlign w:val="top"/>
          </w:tcPr>
          <w:p w14:paraId="2E279097">
            <w:pPr>
              <w:rPr>
                <w:rFonts w:ascii="Arial"/>
                <w:sz w:val="21"/>
              </w:rPr>
            </w:pPr>
          </w:p>
        </w:tc>
        <w:tc>
          <w:tcPr>
            <w:tcW w:w="1680" w:type="dxa"/>
            <w:tcBorders>
              <w:left w:val="single" w:color="000000" w:sz="4" w:space="0"/>
              <w:right w:val="single" w:color="000000" w:sz="4" w:space="0"/>
            </w:tcBorders>
            <w:vAlign w:val="top"/>
          </w:tcPr>
          <w:p w14:paraId="34EB2081">
            <w:pPr>
              <w:spacing w:before="58" w:line="228" w:lineRule="auto"/>
              <w:ind w:left="425"/>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1651" w:type="dxa"/>
            <w:tcBorders>
              <w:left w:val="single" w:color="000000" w:sz="4" w:space="0"/>
              <w:right w:val="single" w:color="000000" w:sz="4" w:space="0"/>
            </w:tcBorders>
            <w:vAlign w:val="top"/>
          </w:tcPr>
          <w:p w14:paraId="34B81B9C">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9231F5B">
            <w:pPr>
              <w:spacing w:before="9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226" w:type="dxa"/>
            <w:tcBorders>
              <w:left w:val="single" w:color="000000" w:sz="4" w:space="0"/>
              <w:right w:val="single" w:color="000000" w:sz="4" w:space="0"/>
            </w:tcBorders>
            <w:vAlign w:val="top"/>
          </w:tcPr>
          <w:p w14:paraId="7D86C38B">
            <w:pPr>
              <w:spacing w:before="20"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9742035">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75EADD3">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E9CC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92D1840">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944" w:type="dxa"/>
            <w:vMerge w:val="continue"/>
            <w:tcBorders>
              <w:top w:val="nil"/>
              <w:left w:val="single" w:color="000000" w:sz="4" w:space="0"/>
              <w:bottom w:val="nil"/>
              <w:right w:val="single" w:color="000000" w:sz="4" w:space="0"/>
            </w:tcBorders>
            <w:vAlign w:val="top"/>
          </w:tcPr>
          <w:p w14:paraId="73D0B209">
            <w:pPr>
              <w:rPr>
                <w:rFonts w:ascii="Arial"/>
                <w:sz w:val="21"/>
              </w:rPr>
            </w:pPr>
          </w:p>
        </w:tc>
        <w:tc>
          <w:tcPr>
            <w:tcW w:w="1680" w:type="dxa"/>
            <w:tcBorders>
              <w:left w:val="single" w:color="000000" w:sz="4" w:space="0"/>
              <w:right w:val="single" w:color="000000" w:sz="4" w:space="0"/>
            </w:tcBorders>
            <w:vAlign w:val="top"/>
          </w:tcPr>
          <w:p w14:paraId="7F3EFCC1">
            <w:pPr>
              <w:spacing w:before="59" w:line="233" w:lineRule="auto"/>
              <w:ind w:left="27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二氯丙烷</w:t>
            </w:r>
          </w:p>
        </w:tc>
        <w:tc>
          <w:tcPr>
            <w:tcW w:w="1651" w:type="dxa"/>
            <w:tcBorders>
              <w:left w:val="single" w:color="000000" w:sz="4" w:space="0"/>
              <w:right w:val="single" w:color="000000" w:sz="4" w:space="0"/>
            </w:tcBorders>
            <w:vAlign w:val="top"/>
          </w:tcPr>
          <w:p w14:paraId="6EA3704F">
            <w:pPr>
              <w:spacing w:before="21" w:line="281" w:lineRule="exact"/>
              <w:ind w:left="365"/>
              <w:rPr>
                <w:rFonts w:ascii="Times New Roman" w:hAnsi="Times New Roman" w:eastAsia="Times New Roman" w:cs="Times New Roman"/>
                <w:sz w:val="20"/>
                <w:szCs w:val="20"/>
              </w:rPr>
            </w:pP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 1μg/kg</w:t>
            </w:r>
          </w:p>
        </w:tc>
        <w:tc>
          <w:tcPr>
            <w:tcW w:w="930" w:type="dxa"/>
            <w:tcBorders>
              <w:left w:val="single" w:color="000000" w:sz="4" w:space="0"/>
              <w:right w:val="single" w:color="000000" w:sz="4" w:space="0"/>
            </w:tcBorders>
            <w:vAlign w:val="top"/>
          </w:tcPr>
          <w:p w14:paraId="72C317E6">
            <w:pPr>
              <w:spacing w:before="98" w:line="192"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59D503AF">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96C20F1">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E1A6FEE">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2ABC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E696A86">
            <w:pPr>
              <w:spacing w:before="9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944" w:type="dxa"/>
            <w:vMerge w:val="continue"/>
            <w:tcBorders>
              <w:top w:val="nil"/>
              <w:left w:val="single" w:color="000000" w:sz="4" w:space="0"/>
              <w:bottom w:val="nil"/>
              <w:right w:val="single" w:color="000000" w:sz="4" w:space="0"/>
            </w:tcBorders>
            <w:vAlign w:val="top"/>
          </w:tcPr>
          <w:p w14:paraId="13B8698C">
            <w:pPr>
              <w:rPr>
                <w:rFonts w:ascii="Arial"/>
                <w:sz w:val="21"/>
              </w:rPr>
            </w:pPr>
          </w:p>
        </w:tc>
        <w:tc>
          <w:tcPr>
            <w:tcW w:w="1680" w:type="dxa"/>
            <w:tcBorders>
              <w:left w:val="single" w:color="000000" w:sz="4" w:space="0"/>
              <w:right w:val="single" w:color="000000" w:sz="4" w:space="0"/>
            </w:tcBorders>
            <w:vAlign w:val="top"/>
          </w:tcPr>
          <w:p w14:paraId="671687DF">
            <w:pPr>
              <w:spacing w:before="61" w:line="221" w:lineRule="auto"/>
              <w:ind w:left="11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xml:space="preserve">, 1, 1,2- </w:t>
            </w:r>
            <w:r>
              <w:rPr>
                <w:rFonts w:ascii="宋体" w:hAnsi="宋体" w:eastAsia="宋体" w:cs="宋体"/>
                <w:spacing w:val="-7"/>
                <w:sz w:val="20"/>
                <w:szCs w:val="20"/>
              </w:rPr>
              <w:t>四氯乙烷</w:t>
            </w:r>
          </w:p>
        </w:tc>
        <w:tc>
          <w:tcPr>
            <w:tcW w:w="1651" w:type="dxa"/>
            <w:tcBorders>
              <w:left w:val="single" w:color="000000" w:sz="4" w:space="0"/>
              <w:right w:val="single" w:color="000000" w:sz="4" w:space="0"/>
            </w:tcBorders>
            <w:vAlign w:val="top"/>
          </w:tcPr>
          <w:p w14:paraId="152C5E32">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B490920">
            <w:pPr>
              <w:spacing w:before="97"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26" w:type="dxa"/>
            <w:tcBorders>
              <w:left w:val="single" w:color="000000" w:sz="4" w:space="0"/>
              <w:right w:val="single" w:color="000000" w:sz="4" w:space="0"/>
            </w:tcBorders>
            <w:vAlign w:val="top"/>
          </w:tcPr>
          <w:p w14:paraId="2153A414">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E920F87">
            <w:pPr>
              <w:spacing w:before="9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1625825">
            <w:pPr>
              <w:spacing w:before="9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3D0B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D0A1541">
            <w:pPr>
              <w:spacing w:before="9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944" w:type="dxa"/>
            <w:vMerge w:val="continue"/>
            <w:tcBorders>
              <w:top w:val="nil"/>
              <w:left w:val="single" w:color="000000" w:sz="4" w:space="0"/>
              <w:bottom w:val="nil"/>
              <w:right w:val="single" w:color="000000" w:sz="4" w:space="0"/>
            </w:tcBorders>
            <w:vAlign w:val="top"/>
          </w:tcPr>
          <w:p w14:paraId="14F01448">
            <w:pPr>
              <w:rPr>
                <w:rFonts w:ascii="Arial"/>
                <w:sz w:val="21"/>
              </w:rPr>
            </w:pPr>
          </w:p>
        </w:tc>
        <w:tc>
          <w:tcPr>
            <w:tcW w:w="1680" w:type="dxa"/>
            <w:tcBorders>
              <w:left w:val="single" w:color="000000" w:sz="4" w:space="0"/>
              <w:right w:val="single" w:color="000000" w:sz="4" w:space="0"/>
            </w:tcBorders>
            <w:vAlign w:val="top"/>
          </w:tcPr>
          <w:p w14:paraId="05FC6988">
            <w:pPr>
              <w:spacing w:before="61" w:line="233" w:lineRule="auto"/>
              <w:ind w:left="11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1,2,2- </w:t>
            </w:r>
            <w:r>
              <w:rPr>
                <w:rFonts w:ascii="宋体" w:hAnsi="宋体" w:eastAsia="宋体" w:cs="宋体"/>
                <w:spacing w:val="-4"/>
                <w:sz w:val="20"/>
                <w:szCs w:val="20"/>
              </w:rPr>
              <w:t>四氯乙烷</w:t>
            </w:r>
          </w:p>
        </w:tc>
        <w:tc>
          <w:tcPr>
            <w:tcW w:w="1651" w:type="dxa"/>
            <w:tcBorders>
              <w:left w:val="single" w:color="000000" w:sz="4" w:space="0"/>
              <w:right w:val="single" w:color="000000" w:sz="4" w:space="0"/>
            </w:tcBorders>
            <w:vAlign w:val="top"/>
          </w:tcPr>
          <w:p w14:paraId="0AA4E349">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728FE1F">
            <w:pPr>
              <w:spacing w:before="9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1226" w:type="dxa"/>
            <w:tcBorders>
              <w:left w:val="single" w:color="000000" w:sz="4" w:space="0"/>
              <w:right w:val="single" w:color="000000" w:sz="4" w:space="0"/>
            </w:tcBorders>
            <w:vAlign w:val="top"/>
          </w:tcPr>
          <w:p w14:paraId="71508068">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D171E66">
            <w:pPr>
              <w:spacing w:before="9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BDFB193">
            <w:pPr>
              <w:spacing w:before="9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909D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A64615D">
            <w:pPr>
              <w:spacing w:before="9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944" w:type="dxa"/>
            <w:vMerge w:val="continue"/>
            <w:tcBorders>
              <w:top w:val="nil"/>
              <w:left w:val="single" w:color="000000" w:sz="4" w:space="0"/>
              <w:bottom w:val="nil"/>
              <w:right w:val="single" w:color="000000" w:sz="4" w:space="0"/>
            </w:tcBorders>
            <w:vAlign w:val="top"/>
          </w:tcPr>
          <w:p w14:paraId="63C70064">
            <w:pPr>
              <w:rPr>
                <w:rFonts w:ascii="Arial"/>
                <w:sz w:val="21"/>
              </w:rPr>
            </w:pPr>
          </w:p>
        </w:tc>
        <w:tc>
          <w:tcPr>
            <w:tcW w:w="1680" w:type="dxa"/>
            <w:tcBorders>
              <w:left w:val="single" w:color="000000" w:sz="4" w:space="0"/>
              <w:right w:val="single" w:color="000000" w:sz="4" w:space="0"/>
            </w:tcBorders>
            <w:vAlign w:val="top"/>
          </w:tcPr>
          <w:p w14:paraId="42E7C72E">
            <w:pPr>
              <w:spacing w:before="60" w:line="228" w:lineRule="auto"/>
              <w:ind w:left="44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1651" w:type="dxa"/>
            <w:tcBorders>
              <w:left w:val="single" w:color="000000" w:sz="4" w:space="0"/>
              <w:right w:val="single" w:color="000000" w:sz="4" w:space="0"/>
            </w:tcBorders>
            <w:vAlign w:val="top"/>
          </w:tcPr>
          <w:p w14:paraId="119878A6">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1.4μ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439CA3B">
            <w:pPr>
              <w:spacing w:before="9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26" w:type="dxa"/>
            <w:tcBorders>
              <w:left w:val="single" w:color="000000" w:sz="4" w:space="0"/>
              <w:right w:val="single" w:color="000000" w:sz="4" w:space="0"/>
            </w:tcBorders>
            <w:vAlign w:val="top"/>
          </w:tcPr>
          <w:p w14:paraId="2C3F9447">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3909566">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8CBE447">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56BC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32" w:type="dxa"/>
            <w:tcBorders>
              <w:left w:val="nil"/>
              <w:right w:val="single" w:color="000000" w:sz="4" w:space="0"/>
            </w:tcBorders>
            <w:vAlign w:val="top"/>
          </w:tcPr>
          <w:p w14:paraId="17358C94">
            <w:pPr>
              <w:spacing w:before="9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944" w:type="dxa"/>
            <w:vMerge w:val="continue"/>
            <w:tcBorders>
              <w:top w:val="nil"/>
              <w:left w:val="single" w:color="000000" w:sz="4" w:space="0"/>
              <w:right w:val="single" w:color="000000" w:sz="4" w:space="0"/>
            </w:tcBorders>
            <w:vAlign w:val="top"/>
          </w:tcPr>
          <w:p w14:paraId="12BF8FB5">
            <w:pPr>
              <w:rPr>
                <w:rFonts w:ascii="Arial"/>
                <w:sz w:val="21"/>
              </w:rPr>
            </w:pPr>
          </w:p>
        </w:tc>
        <w:tc>
          <w:tcPr>
            <w:tcW w:w="1680" w:type="dxa"/>
            <w:tcBorders>
              <w:left w:val="single" w:color="000000" w:sz="4" w:space="0"/>
              <w:right w:val="single" w:color="000000" w:sz="4" w:space="0"/>
            </w:tcBorders>
            <w:vAlign w:val="top"/>
          </w:tcPr>
          <w:p w14:paraId="3A01C719">
            <w:pPr>
              <w:spacing w:before="61" w:line="233" w:lineRule="auto"/>
              <w:ind w:left="19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 1, 1-</w:t>
            </w:r>
            <w:r>
              <w:rPr>
                <w:rFonts w:ascii="宋体" w:hAnsi="宋体" w:eastAsia="宋体" w:cs="宋体"/>
                <w:spacing w:val="-5"/>
                <w:sz w:val="20"/>
                <w:szCs w:val="20"/>
              </w:rPr>
              <w:t>三氯乙烷</w:t>
            </w:r>
          </w:p>
        </w:tc>
        <w:tc>
          <w:tcPr>
            <w:tcW w:w="1651" w:type="dxa"/>
            <w:tcBorders>
              <w:left w:val="single" w:color="000000" w:sz="4" w:space="0"/>
              <w:right w:val="single" w:color="000000" w:sz="4" w:space="0"/>
            </w:tcBorders>
            <w:vAlign w:val="top"/>
          </w:tcPr>
          <w:p w14:paraId="290F93DB">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59878F9">
            <w:pPr>
              <w:spacing w:before="9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3645E52B">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9677520">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56103F0">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1FDA65C1">
      <w:pPr>
        <w:rPr>
          <w:rFonts w:ascii="Arial"/>
          <w:sz w:val="21"/>
        </w:rPr>
      </w:pPr>
    </w:p>
    <w:p w14:paraId="26AD8D3C">
      <w:pPr>
        <w:sectPr>
          <w:headerReference r:id="rId187" w:type="default"/>
          <w:footerReference r:id="rId188" w:type="default"/>
          <w:pgSz w:w="11906" w:h="16839"/>
          <w:pgMar w:top="1132" w:right="1776" w:bottom="1182" w:left="1776" w:header="878" w:footer="1022" w:gutter="0"/>
          <w:cols w:space="720" w:num="1"/>
        </w:sectPr>
      </w:pPr>
    </w:p>
    <w:p w14:paraId="30AD5012">
      <w:r>
        <w:pict>
          <v:rect id="_x0000_s1231" o:spid="_x0000_s1231" o:spt="1" style="position:absolute;left:0pt;margin-left:90pt;margin-top:57.35pt;height:0.75pt;width:415.3pt;mso-position-horizontal-relative:page;mso-position-vertical-relative:page;z-index:251883520;mso-width-relative:page;mso-height-relative:page;" fillcolor="#000000" filled="t" stroked="f" coordsize="21600,21600" o:allowincell="f">
            <v:path/>
            <v:fill on="t" focussize="0,0"/>
            <v:stroke on="f"/>
            <v:imagedata o:title=""/>
            <o:lock v:ext="edit"/>
          </v:rect>
        </w:pict>
      </w:r>
    </w:p>
    <w:p w14:paraId="6E88B00C">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944"/>
        <w:gridCol w:w="1680"/>
        <w:gridCol w:w="1650"/>
        <w:gridCol w:w="930"/>
        <w:gridCol w:w="1226"/>
        <w:gridCol w:w="705"/>
        <w:gridCol w:w="684"/>
      </w:tblGrid>
      <w:tr w14:paraId="14652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32" w:type="dxa"/>
            <w:tcBorders>
              <w:left w:val="nil"/>
              <w:right w:val="single" w:color="000000" w:sz="4" w:space="0"/>
            </w:tcBorders>
            <w:vAlign w:val="top"/>
          </w:tcPr>
          <w:p w14:paraId="51ACE46B">
            <w:pPr>
              <w:spacing w:before="11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944" w:type="dxa"/>
            <w:vMerge w:val="restart"/>
            <w:tcBorders>
              <w:left w:val="single" w:color="000000" w:sz="4" w:space="0"/>
              <w:bottom w:val="nil"/>
              <w:right w:val="single" w:color="000000" w:sz="4" w:space="0"/>
            </w:tcBorders>
            <w:vAlign w:val="top"/>
          </w:tcPr>
          <w:p w14:paraId="5C4B84E7">
            <w:pPr>
              <w:rPr>
                <w:rFonts w:ascii="Arial"/>
                <w:sz w:val="21"/>
              </w:rPr>
            </w:pPr>
          </w:p>
        </w:tc>
        <w:tc>
          <w:tcPr>
            <w:tcW w:w="1680" w:type="dxa"/>
            <w:tcBorders>
              <w:left w:val="single" w:color="000000" w:sz="4" w:space="0"/>
              <w:right w:val="single" w:color="000000" w:sz="4" w:space="0"/>
            </w:tcBorders>
            <w:vAlign w:val="top"/>
          </w:tcPr>
          <w:p w14:paraId="7BD8FD89">
            <w:pPr>
              <w:spacing w:before="76" w:line="233" w:lineRule="auto"/>
              <w:ind w:left="196"/>
              <w:rPr>
                <w:rFonts w:ascii="宋体" w:hAnsi="宋体" w:eastAsia="宋体" w:cs="宋体"/>
                <w:sz w:val="20"/>
                <w:szCs w:val="20"/>
              </w:rPr>
            </w:pPr>
            <w:r>
              <w:rPr>
                <w:rFonts w:ascii="Times New Roman" w:hAnsi="Times New Roman" w:eastAsia="Times New Roman" w:cs="Times New Roman"/>
                <w:spacing w:val="-2"/>
                <w:sz w:val="20"/>
                <w:szCs w:val="20"/>
              </w:rPr>
              <w:t>1, 1,2</w:t>
            </w:r>
            <w:r>
              <w:rPr>
                <w:rFonts w:ascii="Times New Roman" w:hAnsi="Times New Roman" w:eastAsia="Times New Roman" w:cs="Times New Roman"/>
                <w:spacing w:val="-1"/>
                <w:sz w:val="20"/>
                <w:szCs w:val="20"/>
              </w:rPr>
              <w:t>-</w:t>
            </w:r>
            <w:r>
              <w:rPr>
                <w:rFonts w:ascii="宋体" w:hAnsi="宋体" w:eastAsia="宋体" w:cs="宋体"/>
                <w:spacing w:val="-1"/>
                <w:sz w:val="20"/>
                <w:szCs w:val="20"/>
              </w:rPr>
              <w:t>三氯乙烷</w:t>
            </w:r>
          </w:p>
        </w:tc>
        <w:tc>
          <w:tcPr>
            <w:tcW w:w="1650" w:type="dxa"/>
            <w:tcBorders>
              <w:left w:val="single" w:color="000000" w:sz="4" w:space="0"/>
              <w:right w:val="single" w:color="000000" w:sz="4" w:space="0"/>
            </w:tcBorders>
            <w:vAlign w:val="top"/>
          </w:tcPr>
          <w:p w14:paraId="386ED4A0">
            <w:pPr>
              <w:spacing w:before="3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7A65EEC">
            <w:pPr>
              <w:spacing w:before="111"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58815B73">
            <w:pPr>
              <w:spacing w:before="38"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D0FDB49">
            <w:pPr>
              <w:spacing w:before="11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C188949">
            <w:pPr>
              <w:spacing w:before="11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D97C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7D3F3678">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944" w:type="dxa"/>
            <w:vMerge w:val="continue"/>
            <w:tcBorders>
              <w:top w:val="nil"/>
              <w:left w:val="single" w:color="000000" w:sz="4" w:space="0"/>
              <w:bottom w:val="nil"/>
              <w:right w:val="single" w:color="000000" w:sz="4" w:space="0"/>
            </w:tcBorders>
            <w:vAlign w:val="top"/>
          </w:tcPr>
          <w:p w14:paraId="28C67E0B">
            <w:pPr>
              <w:rPr>
                <w:rFonts w:ascii="Arial"/>
                <w:sz w:val="21"/>
              </w:rPr>
            </w:pPr>
          </w:p>
        </w:tc>
        <w:tc>
          <w:tcPr>
            <w:tcW w:w="1680" w:type="dxa"/>
            <w:tcBorders>
              <w:left w:val="single" w:color="000000" w:sz="4" w:space="0"/>
              <w:right w:val="single" w:color="000000" w:sz="4" w:space="0"/>
            </w:tcBorders>
            <w:vAlign w:val="top"/>
          </w:tcPr>
          <w:p w14:paraId="64AAD8A1">
            <w:pPr>
              <w:spacing w:before="56" w:line="228" w:lineRule="auto"/>
              <w:ind w:left="422"/>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1650" w:type="dxa"/>
            <w:tcBorders>
              <w:left w:val="single" w:color="000000" w:sz="4" w:space="0"/>
              <w:right w:val="single" w:color="000000" w:sz="4" w:space="0"/>
            </w:tcBorders>
            <w:vAlign w:val="top"/>
          </w:tcPr>
          <w:p w14:paraId="6387FFD3">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DFFC3E2">
            <w:pPr>
              <w:spacing w:before="92"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36E357EE">
            <w:pPr>
              <w:spacing w:before="18"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3CAD8F4">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925DFC2">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005E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7E4CCF3">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944" w:type="dxa"/>
            <w:vMerge w:val="continue"/>
            <w:tcBorders>
              <w:top w:val="nil"/>
              <w:left w:val="single" w:color="000000" w:sz="4" w:space="0"/>
              <w:bottom w:val="nil"/>
              <w:right w:val="single" w:color="000000" w:sz="4" w:space="0"/>
            </w:tcBorders>
            <w:vAlign w:val="top"/>
          </w:tcPr>
          <w:p w14:paraId="33AF8B79">
            <w:pPr>
              <w:rPr>
                <w:rFonts w:ascii="Arial"/>
                <w:sz w:val="21"/>
              </w:rPr>
            </w:pPr>
          </w:p>
        </w:tc>
        <w:tc>
          <w:tcPr>
            <w:tcW w:w="1680" w:type="dxa"/>
            <w:tcBorders>
              <w:left w:val="single" w:color="000000" w:sz="4" w:space="0"/>
              <w:right w:val="single" w:color="000000" w:sz="4" w:space="0"/>
            </w:tcBorders>
            <w:vAlign w:val="top"/>
          </w:tcPr>
          <w:p w14:paraId="0E44311F">
            <w:pPr>
              <w:spacing w:before="57" w:line="233" w:lineRule="auto"/>
              <w:ind w:left="19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,2,3-</w:t>
            </w:r>
            <w:r>
              <w:rPr>
                <w:rFonts w:ascii="宋体" w:hAnsi="宋体" w:eastAsia="宋体" w:cs="宋体"/>
                <w:spacing w:val="3"/>
                <w:sz w:val="20"/>
                <w:szCs w:val="20"/>
              </w:rPr>
              <w:t>三氯丙烷</w:t>
            </w:r>
          </w:p>
        </w:tc>
        <w:tc>
          <w:tcPr>
            <w:tcW w:w="1650" w:type="dxa"/>
            <w:tcBorders>
              <w:left w:val="single" w:color="000000" w:sz="4" w:space="0"/>
              <w:right w:val="single" w:color="000000" w:sz="4" w:space="0"/>
            </w:tcBorders>
            <w:vAlign w:val="top"/>
          </w:tcPr>
          <w:p w14:paraId="02ACCDCC">
            <w:pPr>
              <w:spacing w:before="17"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51F5AB1">
            <w:pPr>
              <w:spacing w:before="9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226" w:type="dxa"/>
            <w:tcBorders>
              <w:left w:val="single" w:color="000000" w:sz="4" w:space="0"/>
              <w:right w:val="single" w:color="000000" w:sz="4" w:space="0"/>
            </w:tcBorders>
            <w:vAlign w:val="top"/>
          </w:tcPr>
          <w:p w14:paraId="2197659E">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838792E">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41CEF2D">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444A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00FCAC7">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944" w:type="dxa"/>
            <w:vMerge w:val="continue"/>
            <w:tcBorders>
              <w:top w:val="nil"/>
              <w:left w:val="single" w:color="000000" w:sz="4" w:space="0"/>
              <w:bottom w:val="nil"/>
              <w:right w:val="single" w:color="000000" w:sz="4" w:space="0"/>
            </w:tcBorders>
            <w:vAlign w:val="top"/>
          </w:tcPr>
          <w:p w14:paraId="56F5583F">
            <w:pPr>
              <w:rPr>
                <w:rFonts w:ascii="Arial"/>
                <w:sz w:val="21"/>
              </w:rPr>
            </w:pPr>
          </w:p>
        </w:tc>
        <w:tc>
          <w:tcPr>
            <w:tcW w:w="1680" w:type="dxa"/>
            <w:tcBorders>
              <w:left w:val="single" w:color="000000" w:sz="4" w:space="0"/>
              <w:right w:val="single" w:color="000000" w:sz="4" w:space="0"/>
            </w:tcBorders>
            <w:vAlign w:val="top"/>
          </w:tcPr>
          <w:p w14:paraId="511797E8">
            <w:pPr>
              <w:spacing w:before="56" w:line="228" w:lineRule="auto"/>
              <w:ind w:left="531"/>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1650" w:type="dxa"/>
            <w:tcBorders>
              <w:left w:val="single" w:color="000000" w:sz="4" w:space="0"/>
              <w:right w:val="single" w:color="000000" w:sz="4" w:space="0"/>
            </w:tcBorders>
            <w:vAlign w:val="top"/>
          </w:tcPr>
          <w:p w14:paraId="5F89EE6A">
            <w:pPr>
              <w:spacing w:before="17"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6CA2E01">
            <w:pPr>
              <w:spacing w:before="93"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.43</w:t>
            </w:r>
          </w:p>
        </w:tc>
        <w:tc>
          <w:tcPr>
            <w:tcW w:w="1226" w:type="dxa"/>
            <w:tcBorders>
              <w:left w:val="single" w:color="000000" w:sz="4" w:space="0"/>
              <w:right w:val="single" w:color="000000" w:sz="4" w:space="0"/>
            </w:tcBorders>
            <w:vAlign w:val="top"/>
          </w:tcPr>
          <w:p w14:paraId="1C40ADE4">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1D89A7E">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8C220F0">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7436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6FD2518">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944" w:type="dxa"/>
            <w:vMerge w:val="continue"/>
            <w:tcBorders>
              <w:top w:val="nil"/>
              <w:left w:val="single" w:color="000000" w:sz="4" w:space="0"/>
              <w:bottom w:val="nil"/>
              <w:right w:val="single" w:color="000000" w:sz="4" w:space="0"/>
            </w:tcBorders>
            <w:vAlign w:val="top"/>
          </w:tcPr>
          <w:p w14:paraId="0B0FC7EE">
            <w:pPr>
              <w:rPr>
                <w:rFonts w:ascii="Arial"/>
                <w:sz w:val="21"/>
              </w:rPr>
            </w:pPr>
          </w:p>
        </w:tc>
        <w:tc>
          <w:tcPr>
            <w:tcW w:w="1680" w:type="dxa"/>
            <w:tcBorders>
              <w:left w:val="single" w:color="000000" w:sz="4" w:space="0"/>
              <w:right w:val="single" w:color="000000" w:sz="4" w:space="0"/>
            </w:tcBorders>
            <w:vAlign w:val="top"/>
          </w:tcPr>
          <w:p w14:paraId="598632CC">
            <w:pPr>
              <w:spacing w:before="56" w:line="227" w:lineRule="auto"/>
              <w:ind w:left="741"/>
              <w:rPr>
                <w:rFonts w:ascii="宋体" w:hAnsi="宋体" w:eastAsia="宋体" w:cs="宋体"/>
                <w:sz w:val="20"/>
                <w:szCs w:val="20"/>
              </w:rPr>
            </w:pPr>
            <w:r>
              <w:rPr>
                <w:rFonts w:ascii="宋体" w:hAnsi="宋体" w:eastAsia="宋体" w:cs="宋体"/>
                <w:sz w:val="20"/>
                <w:szCs w:val="20"/>
              </w:rPr>
              <w:t>苯</w:t>
            </w:r>
          </w:p>
        </w:tc>
        <w:tc>
          <w:tcPr>
            <w:tcW w:w="1650" w:type="dxa"/>
            <w:tcBorders>
              <w:left w:val="single" w:color="000000" w:sz="4" w:space="0"/>
              <w:right w:val="single" w:color="000000" w:sz="4" w:space="0"/>
            </w:tcBorders>
            <w:vAlign w:val="top"/>
          </w:tcPr>
          <w:p w14:paraId="0AF16D5A">
            <w:pPr>
              <w:spacing w:before="19" w:line="281"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71.9μ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63C5EBF">
            <w:pPr>
              <w:spacing w:before="92"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26" w:type="dxa"/>
            <w:tcBorders>
              <w:left w:val="single" w:color="000000" w:sz="4" w:space="0"/>
              <w:right w:val="single" w:color="000000" w:sz="4" w:space="0"/>
            </w:tcBorders>
            <w:vAlign w:val="top"/>
          </w:tcPr>
          <w:p w14:paraId="23378691">
            <w:pPr>
              <w:spacing w:before="9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37C67E2E">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73C9E74">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4DCE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554CC0F">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944" w:type="dxa"/>
            <w:vMerge w:val="continue"/>
            <w:tcBorders>
              <w:top w:val="nil"/>
              <w:left w:val="single" w:color="000000" w:sz="4" w:space="0"/>
              <w:bottom w:val="nil"/>
              <w:right w:val="single" w:color="000000" w:sz="4" w:space="0"/>
            </w:tcBorders>
            <w:vAlign w:val="top"/>
          </w:tcPr>
          <w:p w14:paraId="4D937168">
            <w:pPr>
              <w:rPr>
                <w:rFonts w:ascii="Arial"/>
                <w:sz w:val="21"/>
              </w:rPr>
            </w:pPr>
          </w:p>
        </w:tc>
        <w:tc>
          <w:tcPr>
            <w:tcW w:w="1680" w:type="dxa"/>
            <w:tcBorders>
              <w:left w:val="single" w:color="000000" w:sz="4" w:space="0"/>
              <w:right w:val="single" w:color="000000" w:sz="4" w:space="0"/>
            </w:tcBorders>
            <w:vAlign w:val="top"/>
          </w:tcPr>
          <w:p w14:paraId="187EF117">
            <w:pPr>
              <w:spacing w:before="56" w:line="227" w:lineRule="auto"/>
              <w:ind w:left="636"/>
              <w:rPr>
                <w:rFonts w:ascii="宋体" w:hAnsi="宋体" w:eastAsia="宋体" w:cs="宋体"/>
                <w:sz w:val="20"/>
                <w:szCs w:val="20"/>
              </w:rPr>
            </w:pPr>
            <w:r>
              <w:rPr>
                <w:rFonts w:ascii="宋体" w:hAnsi="宋体" w:eastAsia="宋体" w:cs="宋体"/>
                <w:spacing w:val="3"/>
                <w:sz w:val="20"/>
                <w:szCs w:val="20"/>
              </w:rPr>
              <w:t>氯苯</w:t>
            </w:r>
          </w:p>
        </w:tc>
        <w:tc>
          <w:tcPr>
            <w:tcW w:w="1650" w:type="dxa"/>
            <w:tcBorders>
              <w:left w:val="single" w:color="000000" w:sz="4" w:space="0"/>
              <w:right w:val="single" w:color="000000" w:sz="4" w:space="0"/>
            </w:tcBorders>
            <w:vAlign w:val="top"/>
          </w:tcPr>
          <w:p w14:paraId="3DF8606D">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BA3AB42">
            <w:pPr>
              <w:spacing w:before="92"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w:t>
            </w:r>
          </w:p>
        </w:tc>
        <w:tc>
          <w:tcPr>
            <w:tcW w:w="1226" w:type="dxa"/>
            <w:tcBorders>
              <w:left w:val="single" w:color="000000" w:sz="4" w:space="0"/>
              <w:right w:val="single" w:color="000000" w:sz="4" w:space="0"/>
            </w:tcBorders>
            <w:vAlign w:val="top"/>
          </w:tcPr>
          <w:p w14:paraId="6DA67390">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AC36DFD">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B40982E">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6A19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7DC91434">
            <w:pPr>
              <w:spacing w:before="92"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944" w:type="dxa"/>
            <w:vMerge w:val="continue"/>
            <w:tcBorders>
              <w:top w:val="nil"/>
              <w:left w:val="single" w:color="000000" w:sz="4" w:space="0"/>
              <w:bottom w:val="nil"/>
              <w:right w:val="single" w:color="000000" w:sz="4" w:space="0"/>
            </w:tcBorders>
            <w:vAlign w:val="top"/>
          </w:tcPr>
          <w:p w14:paraId="7E09AF7F">
            <w:pPr>
              <w:rPr>
                <w:rFonts w:ascii="Arial"/>
                <w:sz w:val="21"/>
              </w:rPr>
            </w:pPr>
          </w:p>
        </w:tc>
        <w:tc>
          <w:tcPr>
            <w:tcW w:w="1680" w:type="dxa"/>
            <w:tcBorders>
              <w:left w:val="single" w:color="000000" w:sz="4" w:space="0"/>
              <w:right w:val="single" w:color="000000" w:sz="4" w:space="0"/>
            </w:tcBorders>
            <w:vAlign w:val="top"/>
          </w:tcPr>
          <w:p w14:paraId="12EDE121">
            <w:pPr>
              <w:spacing w:before="56" w:line="232" w:lineRule="auto"/>
              <w:ind w:left="37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650" w:type="dxa"/>
            <w:tcBorders>
              <w:left w:val="single" w:color="000000" w:sz="4" w:space="0"/>
              <w:right w:val="single" w:color="000000" w:sz="4" w:space="0"/>
            </w:tcBorders>
            <w:vAlign w:val="top"/>
          </w:tcPr>
          <w:p w14:paraId="61ACE79F">
            <w:pPr>
              <w:spacing w:before="18"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0BED5E4">
            <w:pPr>
              <w:spacing w:before="9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c>
          <w:tcPr>
            <w:tcW w:w="1226" w:type="dxa"/>
            <w:tcBorders>
              <w:left w:val="single" w:color="000000" w:sz="4" w:space="0"/>
              <w:right w:val="single" w:color="000000" w:sz="4" w:space="0"/>
            </w:tcBorders>
            <w:vAlign w:val="top"/>
          </w:tcPr>
          <w:p w14:paraId="08989C43">
            <w:pPr>
              <w:spacing w:before="18"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A25237F">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F538467">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0E9A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E88E8BE">
            <w:pPr>
              <w:spacing w:before="9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944" w:type="dxa"/>
            <w:vMerge w:val="continue"/>
            <w:tcBorders>
              <w:top w:val="nil"/>
              <w:left w:val="single" w:color="000000" w:sz="4" w:space="0"/>
              <w:bottom w:val="nil"/>
              <w:right w:val="single" w:color="000000" w:sz="4" w:space="0"/>
            </w:tcBorders>
            <w:vAlign w:val="top"/>
          </w:tcPr>
          <w:p w14:paraId="7AD03C14">
            <w:pPr>
              <w:rPr>
                <w:rFonts w:ascii="Arial"/>
                <w:sz w:val="21"/>
              </w:rPr>
            </w:pPr>
          </w:p>
        </w:tc>
        <w:tc>
          <w:tcPr>
            <w:tcW w:w="1680" w:type="dxa"/>
            <w:tcBorders>
              <w:left w:val="single" w:color="000000" w:sz="4" w:space="0"/>
              <w:right w:val="single" w:color="000000" w:sz="4" w:space="0"/>
            </w:tcBorders>
            <w:vAlign w:val="top"/>
          </w:tcPr>
          <w:p w14:paraId="1C774E3F">
            <w:pPr>
              <w:spacing w:before="57" w:line="232" w:lineRule="auto"/>
              <w:ind w:left="37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650" w:type="dxa"/>
            <w:tcBorders>
              <w:left w:val="single" w:color="000000" w:sz="4" w:space="0"/>
              <w:right w:val="single" w:color="000000" w:sz="4" w:space="0"/>
            </w:tcBorders>
            <w:vAlign w:val="top"/>
          </w:tcPr>
          <w:p w14:paraId="55449566">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F6F357B">
            <w:pPr>
              <w:spacing w:before="93"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26" w:type="dxa"/>
            <w:tcBorders>
              <w:left w:val="single" w:color="000000" w:sz="4" w:space="0"/>
              <w:right w:val="single" w:color="000000" w:sz="4" w:space="0"/>
            </w:tcBorders>
            <w:vAlign w:val="top"/>
          </w:tcPr>
          <w:p w14:paraId="4D41C59F">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F97A748">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9878ADD">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ACD2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1DDE1BC7">
            <w:pPr>
              <w:spacing w:before="92"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944" w:type="dxa"/>
            <w:vMerge w:val="continue"/>
            <w:tcBorders>
              <w:top w:val="nil"/>
              <w:left w:val="single" w:color="000000" w:sz="4" w:space="0"/>
              <w:bottom w:val="nil"/>
              <w:right w:val="single" w:color="000000" w:sz="4" w:space="0"/>
            </w:tcBorders>
            <w:vAlign w:val="top"/>
          </w:tcPr>
          <w:p w14:paraId="1998CD57">
            <w:pPr>
              <w:rPr>
                <w:rFonts w:ascii="Arial"/>
                <w:sz w:val="21"/>
              </w:rPr>
            </w:pPr>
          </w:p>
        </w:tc>
        <w:tc>
          <w:tcPr>
            <w:tcW w:w="1680" w:type="dxa"/>
            <w:tcBorders>
              <w:left w:val="single" w:color="000000" w:sz="4" w:space="0"/>
              <w:right w:val="single" w:color="000000" w:sz="4" w:space="0"/>
            </w:tcBorders>
            <w:vAlign w:val="top"/>
          </w:tcPr>
          <w:p w14:paraId="745F6960">
            <w:pPr>
              <w:spacing w:before="56" w:line="227" w:lineRule="auto"/>
              <w:ind w:left="653"/>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1650" w:type="dxa"/>
            <w:tcBorders>
              <w:left w:val="single" w:color="000000" w:sz="4" w:space="0"/>
              <w:right w:val="single" w:color="000000" w:sz="4" w:space="0"/>
            </w:tcBorders>
            <w:vAlign w:val="top"/>
          </w:tcPr>
          <w:p w14:paraId="52ADE2B4">
            <w:pPr>
              <w:spacing w:before="19"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63.6μ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FDA2510">
            <w:pPr>
              <w:spacing w:before="92"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226" w:type="dxa"/>
            <w:tcBorders>
              <w:left w:val="single" w:color="000000" w:sz="4" w:space="0"/>
              <w:right w:val="single" w:color="000000" w:sz="4" w:space="0"/>
            </w:tcBorders>
            <w:vAlign w:val="top"/>
          </w:tcPr>
          <w:p w14:paraId="028A7E4E">
            <w:pPr>
              <w:spacing w:before="93"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.002</w:t>
            </w:r>
          </w:p>
        </w:tc>
        <w:tc>
          <w:tcPr>
            <w:tcW w:w="705" w:type="dxa"/>
            <w:tcBorders>
              <w:left w:val="single" w:color="000000" w:sz="4" w:space="0"/>
            </w:tcBorders>
            <w:vAlign w:val="top"/>
          </w:tcPr>
          <w:p w14:paraId="5A457701">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7A9CF8A">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6FE7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DC5491B">
            <w:pPr>
              <w:spacing w:before="9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944" w:type="dxa"/>
            <w:vMerge w:val="continue"/>
            <w:tcBorders>
              <w:top w:val="nil"/>
              <w:left w:val="single" w:color="000000" w:sz="4" w:space="0"/>
              <w:bottom w:val="nil"/>
              <w:right w:val="single" w:color="000000" w:sz="4" w:space="0"/>
            </w:tcBorders>
            <w:vAlign w:val="top"/>
          </w:tcPr>
          <w:p w14:paraId="289FA7D6">
            <w:pPr>
              <w:rPr>
                <w:rFonts w:ascii="Arial"/>
                <w:sz w:val="21"/>
              </w:rPr>
            </w:pPr>
          </w:p>
        </w:tc>
        <w:tc>
          <w:tcPr>
            <w:tcW w:w="1680" w:type="dxa"/>
            <w:tcBorders>
              <w:left w:val="single" w:color="000000" w:sz="4" w:space="0"/>
              <w:right w:val="single" w:color="000000" w:sz="4" w:space="0"/>
            </w:tcBorders>
            <w:vAlign w:val="top"/>
          </w:tcPr>
          <w:p w14:paraId="5CADBAAB">
            <w:pPr>
              <w:spacing w:before="57" w:line="227" w:lineRule="auto"/>
              <w:ind w:left="530"/>
              <w:rPr>
                <w:rFonts w:ascii="宋体" w:hAnsi="宋体" w:eastAsia="宋体" w:cs="宋体"/>
                <w:sz w:val="20"/>
                <w:szCs w:val="20"/>
              </w:rPr>
            </w:pPr>
            <w:r>
              <w:rPr>
                <w:rFonts w:ascii="宋体" w:hAnsi="宋体" w:eastAsia="宋体" w:cs="宋体"/>
                <w:spacing w:val="6"/>
                <w:sz w:val="20"/>
                <w:szCs w:val="20"/>
              </w:rPr>
              <w:t>苯乙烯</w:t>
            </w:r>
          </w:p>
        </w:tc>
        <w:tc>
          <w:tcPr>
            <w:tcW w:w="1650" w:type="dxa"/>
            <w:tcBorders>
              <w:left w:val="single" w:color="000000" w:sz="4" w:space="0"/>
              <w:right w:val="single" w:color="000000" w:sz="4" w:space="0"/>
            </w:tcBorders>
            <w:vAlign w:val="top"/>
          </w:tcPr>
          <w:p w14:paraId="601155E2">
            <w:pPr>
              <w:spacing w:before="20"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4</w:t>
            </w:r>
            <w:r>
              <w:rPr>
                <w:rFonts w:ascii="Times New Roman" w:hAnsi="Times New Roman" w:eastAsia="Times New Roman" w:cs="Times New Roman"/>
                <w:spacing w:val="5"/>
                <w:position w:val="2"/>
                <w:sz w:val="20"/>
                <w:szCs w:val="20"/>
              </w:rPr>
              <w:t>2.3μ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E1E2D9F">
            <w:pPr>
              <w:spacing w:before="93"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90</w:t>
            </w:r>
          </w:p>
        </w:tc>
        <w:tc>
          <w:tcPr>
            <w:tcW w:w="1226" w:type="dxa"/>
            <w:tcBorders>
              <w:left w:val="single" w:color="000000" w:sz="4" w:space="0"/>
              <w:right w:val="single" w:color="000000" w:sz="4" w:space="0"/>
            </w:tcBorders>
            <w:vAlign w:val="top"/>
          </w:tcPr>
          <w:p w14:paraId="28C0EF90">
            <w:pPr>
              <w:spacing w:before="9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00003</w:t>
            </w:r>
          </w:p>
        </w:tc>
        <w:tc>
          <w:tcPr>
            <w:tcW w:w="705" w:type="dxa"/>
            <w:tcBorders>
              <w:left w:val="single" w:color="000000" w:sz="4" w:space="0"/>
            </w:tcBorders>
            <w:vAlign w:val="top"/>
          </w:tcPr>
          <w:p w14:paraId="4F80BE15">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653B71D">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FA0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7298C66">
            <w:pPr>
              <w:spacing w:before="9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944" w:type="dxa"/>
            <w:vMerge w:val="continue"/>
            <w:tcBorders>
              <w:top w:val="nil"/>
              <w:left w:val="single" w:color="000000" w:sz="4" w:space="0"/>
              <w:bottom w:val="nil"/>
              <w:right w:val="single" w:color="000000" w:sz="4" w:space="0"/>
            </w:tcBorders>
            <w:vAlign w:val="top"/>
          </w:tcPr>
          <w:p w14:paraId="67DD6D8F">
            <w:pPr>
              <w:rPr>
                <w:rFonts w:ascii="Arial"/>
                <w:sz w:val="21"/>
              </w:rPr>
            </w:pPr>
          </w:p>
        </w:tc>
        <w:tc>
          <w:tcPr>
            <w:tcW w:w="1680" w:type="dxa"/>
            <w:tcBorders>
              <w:left w:val="single" w:color="000000" w:sz="4" w:space="0"/>
              <w:right w:val="single" w:color="000000" w:sz="4" w:space="0"/>
            </w:tcBorders>
            <w:vAlign w:val="top"/>
          </w:tcPr>
          <w:p w14:paraId="1CCFE5EE">
            <w:pPr>
              <w:spacing w:before="57" w:line="227" w:lineRule="auto"/>
              <w:ind w:left="66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650" w:type="dxa"/>
            <w:tcBorders>
              <w:left w:val="single" w:color="000000" w:sz="4" w:space="0"/>
              <w:right w:val="single" w:color="000000" w:sz="4" w:space="0"/>
            </w:tcBorders>
            <w:vAlign w:val="top"/>
          </w:tcPr>
          <w:p w14:paraId="70DD8452">
            <w:pPr>
              <w:spacing w:before="20"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98.8μ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2C6157E">
            <w:pPr>
              <w:spacing w:before="93"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00</w:t>
            </w:r>
          </w:p>
        </w:tc>
        <w:tc>
          <w:tcPr>
            <w:tcW w:w="1226" w:type="dxa"/>
            <w:tcBorders>
              <w:left w:val="single" w:color="000000" w:sz="4" w:space="0"/>
              <w:right w:val="single" w:color="000000" w:sz="4" w:space="0"/>
            </w:tcBorders>
            <w:vAlign w:val="top"/>
          </w:tcPr>
          <w:p w14:paraId="2D2455B1">
            <w:pPr>
              <w:spacing w:before="9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705" w:type="dxa"/>
            <w:tcBorders>
              <w:left w:val="single" w:color="000000" w:sz="4" w:space="0"/>
            </w:tcBorders>
            <w:vAlign w:val="top"/>
          </w:tcPr>
          <w:p w14:paraId="2CE87F20">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C4DE416">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F6CF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660890B2">
            <w:pPr>
              <w:spacing w:before="9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944" w:type="dxa"/>
            <w:vMerge w:val="continue"/>
            <w:tcBorders>
              <w:top w:val="nil"/>
              <w:left w:val="single" w:color="000000" w:sz="4" w:space="0"/>
              <w:bottom w:val="nil"/>
              <w:right w:val="single" w:color="000000" w:sz="4" w:space="0"/>
            </w:tcBorders>
            <w:vAlign w:val="top"/>
          </w:tcPr>
          <w:p w14:paraId="48367A80">
            <w:pPr>
              <w:rPr>
                <w:rFonts w:ascii="Arial"/>
                <w:sz w:val="21"/>
              </w:rPr>
            </w:pPr>
          </w:p>
        </w:tc>
        <w:tc>
          <w:tcPr>
            <w:tcW w:w="1680" w:type="dxa"/>
            <w:tcBorders>
              <w:left w:val="single" w:color="000000" w:sz="4" w:space="0"/>
              <w:right w:val="single" w:color="000000" w:sz="4" w:space="0"/>
            </w:tcBorders>
            <w:vAlign w:val="top"/>
          </w:tcPr>
          <w:p w14:paraId="1E686DA8">
            <w:pPr>
              <w:spacing w:before="19" w:line="281" w:lineRule="exact"/>
              <w:ind w:left="306"/>
              <w:rPr>
                <w:rFonts w:ascii="宋体" w:hAnsi="宋体" w:eastAsia="宋体" w:cs="宋体"/>
                <w:sz w:val="20"/>
                <w:szCs w:val="20"/>
              </w:rPr>
            </w:pPr>
            <w:r>
              <w:rPr>
                <w:rFonts w:ascii="宋体" w:hAnsi="宋体" w:eastAsia="宋体" w:cs="宋体"/>
                <w:spacing w:val="4"/>
                <w:position w:val="1"/>
                <w:sz w:val="20"/>
                <w:szCs w:val="20"/>
              </w:rPr>
              <w:t>间</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对二甲苯</w:t>
            </w:r>
          </w:p>
        </w:tc>
        <w:tc>
          <w:tcPr>
            <w:tcW w:w="1650" w:type="dxa"/>
            <w:tcBorders>
              <w:left w:val="single" w:color="000000" w:sz="4" w:space="0"/>
              <w:right w:val="single" w:color="000000" w:sz="4" w:space="0"/>
            </w:tcBorders>
            <w:vAlign w:val="top"/>
          </w:tcPr>
          <w:p w14:paraId="3B5AFD8E">
            <w:pPr>
              <w:spacing w:before="19" w:line="281" w:lineRule="exact"/>
              <w:ind w:left="40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5</w:t>
            </w:r>
            <w:r>
              <w:rPr>
                <w:rFonts w:ascii="Times New Roman" w:hAnsi="Times New Roman" w:eastAsia="Times New Roman" w:cs="Times New Roman"/>
                <w:spacing w:val="4"/>
                <w:position w:val="2"/>
                <w:sz w:val="20"/>
                <w:szCs w:val="20"/>
              </w:rPr>
              <w:t>6.3μ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810ADC1">
            <w:pPr>
              <w:spacing w:before="9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r>
              <w:rPr>
                <w:rFonts w:ascii="Times New Roman" w:hAnsi="Times New Roman" w:eastAsia="Times New Roman" w:cs="Times New Roman"/>
                <w:spacing w:val="1"/>
                <w:sz w:val="20"/>
                <w:szCs w:val="20"/>
              </w:rPr>
              <w:t>0</w:t>
            </w:r>
          </w:p>
        </w:tc>
        <w:tc>
          <w:tcPr>
            <w:tcW w:w="1226" w:type="dxa"/>
            <w:tcBorders>
              <w:left w:val="single" w:color="000000" w:sz="4" w:space="0"/>
              <w:right w:val="single" w:color="000000" w:sz="4" w:space="0"/>
            </w:tcBorders>
            <w:vAlign w:val="top"/>
          </w:tcPr>
          <w:p w14:paraId="78981A85">
            <w:pPr>
              <w:spacing w:before="9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705" w:type="dxa"/>
            <w:tcBorders>
              <w:left w:val="single" w:color="000000" w:sz="4" w:space="0"/>
            </w:tcBorders>
            <w:vAlign w:val="top"/>
          </w:tcPr>
          <w:p w14:paraId="6E2162C9">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84167FD">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55C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F8D130E">
            <w:pPr>
              <w:spacing w:before="9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944" w:type="dxa"/>
            <w:vMerge w:val="continue"/>
            <w:tcBorders>
              <w:top w:val="nil"/>
              <w:left w:val="single" w:color="000000" w:sz="4" w:space="0"/>
              <w:bottom w:val="nil"/>
              <w:right w:val="single" w:color="000000" w:sz="4" w:space="0"/>
            </w:tcBorders>
            <w:vAlign w:val="top"/>
          </w:tcPr>
          <w:p w14:paraId="184F7B7E">
            <w:pPr>
              <w:rPr>
                <w:rFonts w:ascii="Arial"/>
                <w:sz w:val="21"/>
              </w:rPr>
            </w:pPr>
          </w:p>
        </w:tc>
        <w:tc>
          <w:tcPr>
            <w:tcW w:w="1680" w:type="dxa"/>
            <w:tcBorders>
              <w:left w:val="single" w:color="000000" w:sz="4" w:space="0"/>
              <w:right w:val="single" w:color="000000" w:sz="4" w:space="0"/>
            </w:tcBorders>
            <w:vAlign w:val="top"/>
          </w:tcPr>
          <w:p w14:paraId="18F1FC35">
            <w:pPr>
              <w:spacing w:before="58" w:line="227" w:lineRule="auto"/>
              <w:ind w:left="421"/>
              <w:rPr>
                <w:rFonts w:ascii="宋体" w:hAnsi="宋体" w:eastAsia="宋体" w:cs="宋体"/>
                <w:sz w:val="20"/>
                <w:szCs w:val="20"/>
              </w:rPr>
            </w:pPr>
            <w:r>
              <w:rPr>
                <w:rFonts w:ascii="宋体" w:hAnsi="宋体" w:eastAsia="宋体" w:cs="宋体"/>
                <w:spacing w:val="9"/>
                <w:sz w:val="20"/>
                <w:szCs w:val="20"/>
              </w:rPr>
              <w:t>邻</w:t>
            </w:r>
            <w:r>
              <w:rPr>
                <w:rFonts w:ascii="宋体" w:hAnsi="宋体" w:eastAsia="宋体" w:cs="宋体"/>
                <w:spacing w:val="7"/>
                <w:sz w:val="20"/>
                <w:szCs w:val="20"/>
              </w:rPr>
              <w:t>二甲苯</w:t>
            </w:r>
          </w:p>
        </w:tc>
        <w:tc>
          <w:tcPr>
            <w:tcW w:w="1650" w:type="dxa"/>
            <w:tcBorders>
              <w:left w:val="single" w:color="000000" w:sz="4" w:space="0"/>
              <w:right w:val="single" w:color="000000" w:sz="4" w:space="0"/>
            </w:tcBorders>
            <w:vAlign w:val="top"/>
          </w:tcPr>
          <w:p w14:paraId="2F600A44">
            <w:pPr>
              <w:spacing w:before="20"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67.9μ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B6F7AD7">
            <w:pPr>
              <w:spacing w:before="9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226" w:type="dxa"/>
            <w:tcBorders>
              <w:left w:val="single" w:color="000000" w:sz="4" w:space="0"/>
              <w:right w:val="single" w:color="000000" w:sz="4" w:space="0"/>
            </w:tcBorders>
            <w:vAlign w:val="top"/>
          </w:tcPr>
          <w:p w14:paraId="3B0AB7F6">
            <w:pPr>
              <w:spacing w:before="94"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c>
          <w:tcPr>
            <w:tcW w:w="705" w:type="dxa"/>
            <w:tcBorders>
              <w:left w:val="single" w:color="000000" w:sz="4" w:space="0"/>
            </w:tcBorders>
            <w:vAlign w:val="top"/>
          </w:tcPr>
          <w:p w14:paraId="32546D14">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11C7D11">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A32D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50D06433">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944" w:type="dxa"/>
            <w:vMerge w:val="continue"/>
            <w:tcBorders>
              <w:top w:val="nil"/>
              <w:left w:val="single" w:color="000000" w:sz="4" w:space="0"/>
              <w:bottom w:val="nil"/>
              <w:right w:val="single" w:color="000000" w:sz="4" w:space="0"/>
            </w:tcBorders>
            <w:vAlign w:val="top"/>
          </w:tcPr>
          <w:p w14:paraId="0B8D3657">
            <w:pPr>
              <w:rPr>
                <w:rFonts w:ascii="Arial"/>
                <w:sz w:val="21"/>
              </w:rPr>
            </w:pPr>
          </w:p>
        </w:tc>
        <w:tc>
          <w:tcPr>
            <w:tcW w:w="1680" w:type="dxa"/>
            <w:tcBorders>
              <w:left w:val="single" w:color="000000" w:sz="4" w:space="0"/>
              <w:right w:val="single" w:color="000000" w:sz="4" w:space="0"/>
            </w:tcBorders>
            <w:vAlign w:val="top"/>
          </w:tcPr>
          <w:p w14:paraId="24AFEA47">
            <w:pPr>
              <w:spacing w:before="60" w:line="227" w:lineRule="auto"/>
              <w:ind w:left="529"/>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1650" w:type="dxa"/>
            <w:tcBorders>
              <w:left w:val="single" w:color="000000" w:sz="4" w:space="0"/>
              <w:right w:val="single" w:color="000000" w:sz="4" w:space="0"/>
            </w:tcBorders>
            <w:vAlign w:val="top"/>
          </w:tcPr>
          <w:p w14:paraId="663C124D">
            <w:pPr>
              <w:spacing w:before="20"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DA22985">
            <w:pPr>
              <w:spacing w:before="9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26" w:type="dxa"/>
            <w:tcBorders>
              <w:left w:val="single" w:color="000000" w:sz="4" w:space="0"/>
              <w:right w:val="single" w:color="000000" w:sz="4" w:space="0"/>
            </w:tcBorders>
            <w:vAlign w:val="top"/>
          </w:tcPr>
          <w:p w14:paraId="381AA1B6">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F9A23E2">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C935E56">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B763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06BA792">
            <w:pPr>
              <w:spacing w:before="9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944" w:type="dxa"/>
            <w:vMerge w:val="continue"/>
            <w:tcBorders>
              <w:top w:val="nil"/>
              <w:left w:val="single" w:color="000000" w:sz="4" w:space="0"/>
              <w:bottom w:val="nil"/>
              <w:right w:val="single" w:color="000000" w:sz="4" w:space="0"/>
            </w:tcBorders>
            <w:vAlign w:val="top"/>
          </w:tcPr>
          <w:p w14:paraId="5A3DB4D4">
            <w:pPr>
              <w:rPr>
                <w:rFonts w:ascii="Arial"/>
                <w:sz w:val="21"/>
              </w:rPr>
            </w:pPr>
          </w:p>
        </w:tc>
        <w:tc>
          <w:tcPr>
            <w:tcW w:w="1680" w:type="dxa"/>
            <w:tcBorders>
              <w:left w:val="single" w:color="000000" w:sz="4" w:space="0"/>
              <w:right w:val="single" w:color="000000" w:sz="4" w:space="0"/>
            </w:tcBorders>
            <w:vAlign w:val="top"/>
          </w:tcPr>
          <w:p w14:paraId="6789D4B6">
            <w:pPr>
              <w:spacing w:before="61" w:line="227" w:lineRule="auto"/>
              <w:ind w:left="635"/>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1650" w:type="dxa"/>
            <w:tcBorders>
              <w:left w:val="single" w:color="000000" w:sz="4" w:space="0"/>
              <w:right w:val="single" w:color="000000" w:sz="4" w:space="0"/>
            </w:tcBorders>
            <w:vAlign w:val="top"/>
          </w:tcPr>
          <w:p w14:paraId="1DE50B39">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5CA3FDED">
            <w:pPr>
              <w:spacing w:before="9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c>
          <w:tcPr>
            <w:tcW w:w="1226" w:type="dxa"/>
            <w:tcBorders>
              <w:left w:val="single" w:color="000000" w:sz="4" w:space="0"/>
              <w:right w:val="single" w:color="000000" w:sz="4" w:space="0"/>
            </w:tcBorders>
            <w:vAlign w:val="top"/>
          </w:tcPr>
          <w:p w14:paraId="00438870">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B17983F">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1751652">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3F8D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D9DA10D">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944" w:type="dxa"/>
            <w:vMerge w:val="continue"/>
            <w:tcBorders>
              <w:top w:val="nil"/>
              <w:left w:val="single" w:color="000000" w:sz="4" w:space="0"/>
              <w:bottom w:val="nil"/>
              <w:right w:val="single" w:color="000000" w:sz="4" w:space="0"/>
            </w:tcBorders>
            <w:vAlign w:val="top"/>
          </w:tcPr>
          <w:p w14:paraId="52DDCA7A">
            <w:pPr>
              <w:rPr>
                <w:rFonts w:ascii="Arial"/>
                <w:sz w:val="21"/>
              </w:rPr>
            </w:pPr>
          </w:p>
        </w:tc>
        <w:tc>
          <w:tcPr>
            <w:tcW w:w="1680" w:type="dxa"/>
            <w:tcBorders>
              <w:left w:val="single" w:color="000000" w:sz="4" w:space="0"/>
              <w:right w:val="single" w:color="000000" w:sz="4" w:space="0"/>
            </w:tcBorders>
            <w:vAlign w:val="top"/>
          </w:tcPr>
          <w:p w14:paraId="7484EE59">
            <w:pPr>
              <w:spacing w:before="61" w:line="229" w:lineRule="auto"/>
              <w:ind w:left="543"/>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氯</w:t>
            </w:r>
            <w:r>
              <w:rPr>
                <w:rFonts w:ascii="宋体" w:hAnsi="宋体" w:eastAsia="宋体" w:cs="宋体"/>
                <w:spacing w:val="4"/>
                <w:sz w:val="20"/>
                <w:szCs w:val="20"/>
              </w:rPr>
              <w:t>酚</w:t>
            </w:r>
          </w:p>
        </w:tc>
        <w:tc>
          <w:tcPr>
            <w:tcW w:w="1650" w:type="dxa"/>
            <w:tcBorders>
              <w:left w:val="single" w:color="000000" w:sz="4" w:space="0"/>
              <w:right w:val="single" w:color="000000" w:sz="4" w:space="0"/>
            </w:tcBorders>
            <w:vAlign w:val="top"/>
          </w:tcPr>
          <w:p w14:paraId="2EE70790">
            <w:pPr>
              <w:spacing w:before="21"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807E460">
            <w:pPr>
              <w:spacing w:before="9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256</w:t>
            </w:r>
          </w:p>
        </w:tc>
        <w:tc>
          <w:tcPr>
            <w:tcW w:w="1226" w:type="dxa"/>
            <w:tcBorders>
              <w:left w:val="single" w:color="000000" w:sz="4" w:space="0"/>
              <w:right w:val="single" w:color="000000" w:sz="4" w:space="0"/>
            </w:tcBorders>
            <w:vAlign w:val="top"/>
          </w:tcPr>
          <w:p w14:paraId="176F8C96">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F2BFC83">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E93AEF9">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B1F6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BFCA0AA">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44" w:type="dxa"/>
            <w:vMerge w:val="continue"/>
            <w:tcBorders>
              <w:top w:val="nil"/>
              <w:left w:val="single" w:color="000000" w:sz="4" w:space="0"/>
              <w:bottom w:val="nil"/>
              <w:right w:val="single" w:color="000000" w:sz="4" w:space="0"/>
            </w:tcBorders>
            <w:vAlign w:val="top"/>
          </w:tcPr>
          <w:p w14:paraId="614FE457">
            <w:pPr>
              <w:rPr>
                <w:rFonts w:ascii="Arial"/>
                <w:sz w:val="21"/>
              </w:rPr>
            </w:pPr>
          </w:p>
        </w:tc>
        <w:tc>
          <w:tcPr>
            <w:tcW w:w="1680" w:type="dxa"/>
            <w:tcBorders>
              <w:left w:val="single" w:color="000000" w:sz="4" w:space="0"/>
              <w:right w:val="single" w:color="000000" w:sz="4" w:space="0"/>
            </w:tcBorders>
            <w:vAlign w:val="top"/>
          </w:tcPr>
          <w:p w14:paraId="6AB90AC9">
            <w:pPr>
              <w:spacing w:before="23" w:line="281" w:lineRule="exact"/>
              <w:ind w:left="415"/>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蒽</w:t>
            </w:r>
          </w:p>
        </w:tc>
        <w:tc>
          <w:tcPr>
            <w:tcW w:w="1650" w:type="dxa"/>
            <w:tcBorders>
              <w:left w:val="single" w:color="000000" w:sz="4" w:space="0"/>
              <w:right w:val="single" w:color="000000" w:sz="4" w:space="0"/>
            </w:tcBorders>
            <w:vAlign w:val="top"/>
          </w:tcPr>
          <w:p w14:paraId="30902B31">
            <w:pPr>
              <w:spacing w:before="20"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61CB88AF">
            <w:pPr>
              <w:spacing w:before="9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0A16CAC2">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B227462">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37FB624">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8D6F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AC45D40">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944" w:type="dxa"/>
            <w:vMerge w:val="continue"/>
            <w:tcBorders>
              <w:top w:val="nil"/>
              <w:left w:val="single" w:color="000000" w:sz="4" w:space="0"/>
              <w:bottom w:val="nil"/>
              <w:right w:val="single" w:color="000000" w:sz="4" w:space="0"/>
            </w:tcBorders>
            <w:vAlign w:val="top"/>
          </w:tcPr>
          <w:p w14:paraId="01201BF2">
            <w:pPr>
              <w:rPr>
                <w:rFonts w:ascii="Arial"/>
                <w:sz w:val="21"/>
              </w:rPr>
            </w:pPr>
          </w:p>
        </w:tc>
        <w:tc>
          <w:tcPr>
            <w:tcW w:w="1680" w:type="dxa"/>
            <w:tcBorders>
              <w:left w:val="single" w:color="000000" w:sz="4" w:space="0"/>
              <w:right w:val="single" w:color="000000" w:sz="4" w:space="0"/>
            </w:tcBorders>
            <w:vAlign w:val="top"/>
          </w:tcPr>
          <w:p w14:paraId="64596F77">
            <w:pPr>
              <w:spacing w:before="23" w:line="281" w:lineRule="exact"/>
              <w:ind w:left="415"/>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芘</w:t>
            </w:r>
          </w:p>
        </w:tc>
        <w:tc>
          <w:tcPr>
            <w:tcW w:w="1650" w:type="dxa"/>
            <w:tcBorders>
              <w:left w:val="single" w:color="000000" w:sz="4" w:space="0"/>
              <w:right w:val="single" w:color="000000" w:sz="4" w:space="0"/>
            </w:tcBorders>
            <w:vAlign w:val="top"/>
          </w:tcPr>
          <w:p w14:paraId="27C6CDAA">
            <w:pPr>
              <w:spacing w:before="20"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5055D5BD">
            <w:pPr>
              <w:spacing w:before="96"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26" w:type="dxa"/>
            <w:tcBorders>
              <w:left w:val="single" w:color="000000" w:sz="4" w:space="0"/>
              <w:right w:val="single" w:color="000000" w:sz="4" w:space="0"/>
            </w:tcBorders>
            <w:vAlign w:val="top"/>
          </w:tcPr>
          <w:p w14:paraId="209A6B04">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3479C54">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A9E8240">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C0B8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5F2F527">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944" w:type="dxa"/>
            <w:vMerge w:val="continue"/>
            <w:tcBorders>
              <w:top w:val="nil"/>
              <w:left w:val="single" w:color="000000" w:sz="4" w:space="0"/>
              <w:bottom w:val="nil"/>
              <w:right w:val="single" w:color="000000" w:sz="4" w:space="0"/>
            </w:tcBorders>
            <w:vAlign w:val="top"/>
          </w:tcPr>
          <w:p w14:paraId="62CEF654">
            <w:pPr>
              <w:rPr>
                <w:rFonts w:ascii="Arial"/>
                <w:sz w:val="21"/>
              </w:rPr>
            </w:pPr>
          </w:p>
        </w:tc>
        <w:tc>
          <w:tcPr>
            <w:tcW w:w="1680" w:type="dxa"/>
            <w:tcBorders>
              <w:left w:val="single" w:color="000000" w:sz="4" w:space="0"/>
              <w:right w:val="single" w:color="000000" w:sz="4" w:space="0"/>
            </w:tcBorders>
            <w:vAlign w:val="top"/>
          </w:tcPr>
          <w:p w14:paraId="6A808131">
            <w:pPr>
              <w:spacing w:before="22" w:line="281" w:lineRule="exact"/>
              <w:ind w:left="304"/>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650" w:type="dxa"/>
            <w:tcBorders>
              <w:left w:val="single" w:color="000000" w:sz="4" w:space="0"/>
              <w:right w:val="single" w:color="000000" w:sz="4" w:space="0"/>
            </w:tcBorders>
            <w:vAlign w:val="top"/>
          </w:tcPr>
          <w:p w14:paraId="659E8656">
            <w:pPr>
              <w:spacing w:before="22" w:line="281" w:lineRule="exact"/>
              <w:ind w:left="339"/>
              <w:rPr>
                <w:rFonts w:ascii="Times New Roman" w:hAnsi="Times New Roman" w:eastAsia="Times New Roman" w:cs="Times New Roman"/>
                <w:sz w:val="20"/>
                <w:szCs w:val="20"/>
              </w:rPr>
            </w:pPr>
            <w:r>
              <w:rPr>
                <w:rFonts w:ascii="宋体" w:hAnsi="宋体" w:eastAsia="宋体" w:cs="宋体"/>
                <w:spacing w:val="6"/>
                <w:position w:val="2"/>
                <w:sz w:val="20"/>
                <w:szCs w:val="20"/>
              </w:rPr>
              <w:t>＜</w:t>
            </w:r>
            <w:r>
              <w:rPr>
                <w:rFonts w:ascii="Times New Roman" w:hAnsi="Times New Roman" w:eastAsia="Times New Roman" w:cs="Times New Roman"/>
                <w:spacing w:val="4"/>
                <w:position w:val="2"/>
                <w:sz w:val="20"/>
                <w:szCs w:val="20"/>
              </w:rPr>
              <w:t>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483406D">
            <w:pPr>
              <w:spacing w:before="9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5593AB4C">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8C2F966">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E1B0D70">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F5A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919EF69">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944" w:type="dxa"/>
            <w:vMerge w:val="continue"/>
            <w:tcBorders>
              <w:top w:val="nil"/>
              <w:left w:val="single" w:color="000000" w:sz="4" w:space="0"/>
              <w:bottom w:val="nil"/>
              <w:right w:val="single" w:color="000000" w:sz="4" w:space="0"/>
            </w:tcBorders>
            <w:vAlign w:val="top"/>
          </w:tcPr>
          <w:p w14:paraId="3EEBD381">
            <w:pPr>
              <w:rPr>
                <w:rFonts w:ascii="Arial"/>
                <w:sz w:val="21"/>
              </w:rPr>
            </w:pPr>
          </w:p>
        </w:tc>
        <w:tc>
          <w:tcPr>
            <w:tcW w:w="1680" w:type="dxa"/>
            <w:tcBorders>
              <w:left w:val="single" w:color="000000" w:sz="4" w:space="0"/>
              <w:right w:val="single" w:color="000000" w:sz="4" w:space="0"/>
            </w:tcBorders>
            <w:vAlign w:val="top"/>
          </w:tcPr>
          <w:p w14:paraId="5C2CB9CE">
            <w:pPr>
              <w:spacing w:before="22" w:line="281" w:lineRule="exact"/>
              <w:ind w:left="304"/>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650" w:type="dxa"/>
            <w:tcBorders>
              <w:left w:val="single" w:color="000000" w:sz="4" w:space="0"/>
              <w:right w:val="single" w:color="000000" w:sz="4" w:space="0"/>
            </w:tcBorders>
            <w:vAlign w:val="top"/>
          </w:tcPr>
          <w:p w14:paraId="64A6144A">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6BCDBAAE">
            <w:pPr>
              <w:spacing w:before="96"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226" w:type="dxa"/>
            <w:tcBorders>
              <w:left w:val="single" w:color="000000" w:sz="4" w:space="0"/>
              <w:right w:val="single" w:color="000000" w:sz="4" w:space="0"/>
            </w:tcBorders>
            <w:vAlign w:val="top"/>
          </w:tcPr>
          <w:p w14:paraId="1D2713DD">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223FF9A">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1D74AEB">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2373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A3F8354">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944" w:type="dxa"/>
            <w:vMerge w:val="continue"/>
            <w:tcBorders>
              <w:top w:val="nil"/>
              <w:left w:val="single" w:color="000000" w:sz="4" w:space="0"/>
              <w:bottom w:val="nil"/>
              <w:right w:val="single" w:color="000000" w:sz="4" w:space="0"/>
            </w:tcBorders>
            <w:vAlign w:val="top"/>
          </w:tcPr>
          <w:p w14:paraId="71BBEFC1">
            <w:pPr>
              <w:rPr>
                <w:rFonts w:ascii="Arial"/>
                <w:sz w:val="21"/>
              </w:rPr>
            </w:pPr>
          </w:p>
        </w:tc>
        <w:tc>
          <w:tcPr>
            <w:tcW w:w="1680" w:type="dxa"/>
            <w:tcBorders>
              <w:left w:val="single" w:color="000000" w:sz="4" w:space="0"/>
              <w:right w:val="single" w:color="000000" w:sz="4" w:space="0"/>
            </w:tcBorders>
            <w:vAlign w:val="top"/>
          </w:tcPr>
          <w:p w14:paraId="46E73534">
            <w:pPr>
              <w:spacing w:before="60" w:line="229" w:lineRule="auto"/>
              <w:ind w:left="737"/>
              <w:rPr>
                <w:rFonts w:ascii="宋体" w:hAnsi="宋体" w:eastAsia="宋体" w:cs="宋体"/>
                <w:sz w:val="20"/>
                <w:szCs w:val="20"/>
              </w:rPr>
            </w:pPr>
            <w:r>
              <w:rPr>
                <w:rFonts w:ascii="宋体" w:hAnsi="宋体" w:eastAsia="宋体" w:cs="宋体"/>
                <w:spacing w:val="2"/>
                <w:sz w:val="20"/>
                <w:szCs w:val="20"/>
              </w:rPr>
              <w:t>䓛</w:t>
            </w:r>
          </w:p>
        </w:tc>
        <w:tc>
          <w:tcPr>
            <w:tcW w:w="1650" w:type="dxa"/>
            <w:tcBorders>
              <w:left w:val="single" w:color="000000" w:sz="4" w:space="0"/>
              <w:right w:val="single" w:color="000000" w:sz="4" w:space="0"/>
            </w:tcBorders>
            <w:vAlign w:val="top"/>
          </w:tcPr>
          <w:p w14:paraId="55660A27">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7C1DC277">
            <w:pPr>
              <w:spacing w:before="95"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93</w:t>
            </w:r>
          </w:p>
        </w:tc>
        <w:tc>
          <w:tcPr>
            <w:tcW w:w="1226" w:type="dxa"/>
            <w:tcBorders>
              <w:left w:val="single" w:color="000000" w:sz="4" w:space="0"/>
              <w:right w:val="single" w:color="000000" w:sz="4" w:space="0"/>
            </w:tcBorders>
            <w:vAlign w:val="top"/>
          </w:tcPr>
          <w:p w14:paraId="749C6C40">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2EE7A6D">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C2D236E">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9A66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5150FB8">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44" w:type="dxa"/>
            <w:vMerge w:val="continue"/>
            <w:tcBorders>
              <w:top w:val="nil"/>
              <w:left w:val="single" w:color="000000" w:sz="4" w:space="0"/>
              <w:bottom w:val="nil"/>
              <w:right w:val="single" w:color="000000" w:sz="4" w:space="0"/>
            </w:tcBorders>
            <w:vAlign w:val="top"/>
          </w:tcPr>
          <w:p w14:paraId="06474622">
            <w:pPr>
              <w:rPr>
                <w:rFonts w:ascii="Arial"/>
                <w:sz w:val="21"/>
              </w:rPr>
            </w:pPr>
          </w:p>
        </w:tc>
        <w:tc>
          <w:tcPr>
            <w:tcW w:w="1680" w:type="dxa"/>
            <w:tcBorders>
              <w:left w:val="single" w:color="000000" w:sz="4" w:space="0"/>
              <w:right w:val="single" w:color="000000" w:sz="4" w:space="0"/>
            </w:tcBorders>
            <w:vAlign w:val="top"/>
          </w:tcPr>
          <w:p w14:paraId="0D87BB20">
            <w:pPr>
              <w:spacing w:before="22" w:line="281" w:lineRule="exact"/>
              <w:ind w:left="154"/>
              <w:rPr>
                <w:rFonts w:ascii="宋体" w:hAnsi="宋体" w:eastAsia="宋体" w:cs="宋体"/>
                <w:sz w:val="20"/>
                <w:szCs w:val="20"/>
              </w:rPr>
            </w:pPr>
            <w:r>
              <w:rPr>
                <w:rFonts w:ascii="宋体" w:hAnsi="宋体" w:eastAsia="宋体" w:cs="宋体"/>
                <w:spacing w:val="1"/>
                <w:position w:val="2"/>
                <w:sz w:val="20"/>
                <w:szCs w:val="20"/>
              </w:rPr>
              <w:t>二</w:t>
            </w:r>
            <w:r>
              <w:rPr>
                <w:rFonts w:ascii="宋体" w:hAnsi="宋体" w:eastAsia="宋体" w:cs="宋体"/>
                <w:position w:val="2"/>
                <w:sz w:val="20"/>
                <w:szCs w:val="20"/>
              </w:rPr>
              <w:t>苯并</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position w:val="2"/>
                <w:sz w:val="20"/>
                <w:szCs w:val="20"/>
              </w:rPr>
              <w:t>蒽</w:t>
            </w:r>
          </w:p>
        </w:tc>
        <w:tc>
          <w:tcPr>
            <w:tcW w:w="1650" w:type="dxa"/>
            <w:tcBorders>
              <w:left w:val="single" w:color="000000" w:sz="4" w:space="0"/>
              <w:right w:val="single" w:color="000000" w:sz="4" w:space="0"/>
            </w:tcBorders>
            <w:vAlign w:val="top"/>
          </w:tcPr>
          <w:p w14:paraId="3D8BCBD5">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61DAAE40">
            <w:pPr>
              <w:spacing w:before="95"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26" w:type="dxa"/>
            <w:tcBorders>
              <w:left w:val="single" w:color="000000" w:sz="4" w:space="0"/>
              <w:right w:val="single" w:color="000000" w:sz="4" w:space="0"/>
            </w:tcBorders>
            <w:vAlign w:val="top"/>
          </w:tcPr>
          <w:p w14:paraId="70BAC3CA">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EFE0C9A">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81BA711">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C66F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E82A55C">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944" w:type="dxa"/>
            <w:vMerge w:val="continue"/>
            <w:tcBorders>
              <w:top w:val="nil"/>
              <w:left w:val="single" w:color="000000" w:sz="4" w:space="0"/>
              <w:bottom w:val="nil"/>
              <w:right w:val="single" w:color="000000" w:sz="4" w:space="0"/>
            </w:tcBorders>
            <w:vAlign w:val="top"/>
          </w:tcPr>
          <w:p w14:paraId="2A6C8D9A">
            <w:pPr>
              <w:rPr>
                <w:rFonts w:ascii="Arial"/>
                <w:sz w:val="21"/>
              </w:rPr>
            </w:pPr>
          </w:p>
        </w:tc>
        <w:tc>
          <w:tcPr>
            <w:tcW w:w="1680" w:type="dxa"/>
            <w:tcBorders>
              <w:left w:val="single" w:color="000000" w:sz="4" w:space="0"/>
              <w:right w:val="single" w:color="000000" w:sz="4" w:space="0"/>
            </w:tcBorders>
            <w:vAlign w:val="top"/>
          </w:tcPr>
          <w:p w14:paraId="6CD5EF26">
            <w:pPr>
              <w:spacing w:before="22" w:line="281" w:lineRule="exact"/>
              <w:ind w:left="119"/>
              <w:rPr>
                <w:rFonts w:ascii="宋体" w:hAnsi="宋体" w:eastAsia="宋体" w:cs="宋体"/>
                <w:sz w:val="20"/>
                <w:szCs w:val="20"/>
              </w:rPr>
            </w:pPr>
            <w:r>
              <w:rPr>
                <w:rFonts w:ascii="宋体" w:hAnsi="宋体" w:eastAsia="宋体" w:cs="宋体"/>
                <w:spacing w:val="6"/>
                <w:position w:val="2"/>
                <w:sz w:val="20"/>
                <w:szCs w:val="20"/>
              </w:rPr>
              <w:t>茚</w:t>
            </w:r>
            <w:r>
              <w:rPr>
                <w:rFonts w:ascii="宋体" w:hAnsi="宋体" w:eastAsia="宋体" w:cs="宋体"/>
                <w:spacing w:val="5"/>
                <w:position w:val="2"/>
                <w:sz w:val="20"/>
                <w:szCs w:val="20"/>
              </w:rPr>
              <w:t>并</w:t>
            </w:r>
            <w:r>
              <w:rPr>
                <w:rFonts w:ascii="Times New Roman" w:hAnsi="Times New Roman" w:eastAsia="Times New Roman" w:cs="Times New Roman"/>
                <w:spacing w:val="5"/>
                <w:position w:val="2"/>
                <w:sz w:val="20"/>
                <w:szCs w:val="20"/>
              </w:rPr>
              <w:t>[1,2,3-</w:t>
            </w:r>
            <w:r>
              <w:rPr>
                <w:rFonts w:ascii="Times New Roman" w:hAnsi="Times New Roman" w:eastAsia="Times New Roman" w:cs="Times New Roman"/>
                <w:position w:val="2"/>
                <w:sz w:val="20"/>
                <w:szCs w:val="20"/>
              </w:rPr>
              <w:t>cd</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芘</w:t>
            </w:r>
          </w:p>
        </w:tc>
        <w:tc>
          <w:tcPr>
            <w:tcW w:w="1650" w:type="dxa"/>
            <w:tcBorders>
              <w:left w:val="single" w:color="000000" w:sz="4" w:space="0"/>
              <w:right w:val="single" w:color="000000" w:sz="4" w:space="0"/>
            </w:tcBorders>
            <w:vAlign w:val="top"/>
          </w:tcPr>
          <w:p w14:paraId="0C1D3895">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20546A57">
            <w:pPr>
              <w:spacing w:before="9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63B1534D">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A6FE134">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0BC330C">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50F6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7B1494F">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944" w:type="dxa"/>
            <w:vMerge w:val="continue"/>
            <w:tcBorders>
              <w:top w:val="nil"/>
              <w:left w:val="single" w:color="000000" w:sz="4" w:space="0"/>
              <w:right w:val="single" w:color="000000" w:sz="4" w:space="0"/>
            </w:tcBorders>
            <w:vAlign w:val="top"/>
          </w:tcPr>
          <w:p w14:paraId="62D966FF">
            <w:pPr>
              <w:rPr>
                <w:rFonts w:ascii="Arial"/>
                <w:sz w:val="21"/>
              </w:rPr>
            </w:pPr>
          </w:p>
        </w:tc>
        <w:tc>
          <w:tcPr>
            <w:tcW w:w="1680" w:type="dxa"/>
            <w:tcBorders>
              <w:left w:val="single" w:color="000000" w:sz="4" w:space="0"/>
              <w:right w:val="single" w:color="000000" w:sz="4" w:space="0"/>
            </w:tcBorders>
            <w:vAlign w:val="top"/>
          </w:tcPr>
          <w:p w14:paraId="37618ACF">
            <w:pPr>
              <w:spacing w:before="59" w:line="228" w:lineRule="auto"/>
              <w:ind w:left="739"/>
              <w:rPr>
                <w:rFonts w:ascii="宋体" w:hAnsi="宋体" w:eastAsia="宋体" w:cs="宋体"/>
                <w:sz w:val="20"/>
                <w:szCs w:val="20"/>
              </w:rPr>
            </w:pPr>
            <w:r>
              <w:rPr>
                <w:rFonts w:ascii="宋体" w:hAnsi="宋体" w:eastAsia="宋体" w:cs="宋体"/>
                <w:sz w:val="20"/>
                <w:szCs w:val="20"/>
              </w:rPr>
              <w:t>萘</w:t>
            </w:r>
          </w:p>
        </w:tc>
        <w:tc>
          <w:tcPr>
            <w:tcW w:w="1650" w:type="dxa"/>
            <w:tcBorders>
              <w:left w:val="single" w:color="000000" w:sz="4" w:space="0"/>
              <w:right w:val="single" w:color="000000" w:sz="4" w:space="0"/>
            </w:tcBorders>
            <w:vAlign w:val="top"/>
          </w:tcPr>
          <w:p w14:paraId="20CD2158">
            <w:pPr>
              <w:spacing w:before="21"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4042DF5">
            <w:pPr>
              <w:spacing w:before="95"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26" w:type="dxa"/>
            <w:tcBorders>
              <w:left w:val="single" w:color="000000" w:sz="4" w:space="0"/>
              <w:right w:val="single" w:color="000000" w:sz="4" w:space="0"/>
            </w:tcBorders>
            <w:vAlign w:val="top"/>
          </w:tcPr>
          <w:p w14:paraId="02842BA0">
            <w:pPr>
              <w:spacing w:before="21"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D22D9E2">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935C180">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4E43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1F77227">
            <w:pPr>
              <w:spacing w:before="9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4" w:type="dxa"/>
            <w:vMerge w:val="restart"/>
            <w:tcBorders>
              <w:left w:val="single" w:color="000000" w:sz="4" w:space="0"/>
              <w:bottom w:val="nil"/>
              <w:right w:val="single" w:color="000000" w:sz="4" w:space="0"/>
            </w:tcBorders>
            <w:vAlign w:val="top"/>
          </w:tcPr>
          <w:p w14:paraId="27E4B788">
            <w:pPr>
              <w:spacing w:line="242" w:lineRule="auto"/>
              <w:rPr>
                <w:rFonts w:ascii="Arial"/>
                <w:sz w:val="21"/>
              </w:rPr>
            </w:pPr>
          </w:p>
          <w:p w14:paraId="2B922F6C">
            <w:pPr>
              <w:spacing w:line="242" w:lineRule="auto"/>
              <w:rPr>
                <w:rFonts w:ascii="Arial"/>
                <w:sz w:val="21"/>
              </w:rPr>
            </w:pPr>
          </w:p>
          <w:p w14:paraId="1C580684">
            <w:pPr>
              <w:spacing w:line="242" w:lineRule="auto"/>
              <w:rPr>
                <w:rFonts w:ascii="Arial"/>
                <w:sz w:val="21"/>
              </w:rPr>
            </w:pPr>
          </w:p>
          <w:p w14:paraId="09605AD6">
            <w:pPr>
              <w:spacing w:line="242" w:lineRule="auto"/>
              <w:rPr>
                <w:rFonts w:ascii="Arial"/>
                <w:sz w:val="21"/>
              </w:rPr>
            </w:pPr>
          </w:p>
          <w:p w14:paraId="2FC913E3">
            <w:pPr>
              <w:spacing w:line="242" w:lineRule="auto"/>
              <w:rPr>
                <w:rFonts w:ascii="Arial"/>
                <w:sz w:val="21"/>
              </w:rPr>
            </w:pPr>
          </w:p>
          <w:p w14:paraId="08021ADD">
            <w:pPr>
              <w:spacing w:line="243" w:lineRule="auto"/>
              <w:rPr>
                <w:rFonts w:ascii="Arial"/>
                <w:sz w:val="21"/>
              </w:rPr>
            </w:pPr>
          </w:p>
          <w:p w14:paraId="7F50D312">
            <w:pPr>
              <w:spacing w:line="243" w:lineRule="auto"/>
              <w:rPr>
                <w:rFonts w:ascii="Arial"/>
                <w:sz w:val="21"/>
              </w:rPr>
            </w:pPr>
          </w:p>
          <w:p w14:paraId="1A1F80C7">
            <w:pPr>
              <w:spacing w:line="243" w:lineRule="auto"/>
              <w:rPr>
                <w:rFonts w:ascii="Arial"/>
                <w:sz w:val="21"/>
              </w:rPr>
            </w:pPr>
          </w:p>
          <w:p w14:paraId="552B2DE1">
            <w:pPr>
              <w:spacing w:line="243" w:lineRule="auto"/>
              <w:rPr>
                <w:rFonts w:ascii="Arial"/>
                <w:sz w:val="21"/>
              </w:rPr>
            </w:pPr>
          </w:p>
          <w:p w14:paraId="4E791382">
            <w:pPr>
              <w:spacing w:line="243" w:lineRule="auto"/>
              <w:rPr>
                <w:rFonts w:ascii="Arial"/>
                <w:sz w:val="21"/>
              </w:rPr>
            </w:pPr>
          </w:p>
          <w:p w14:paraId="0A5AD9A2">
            <w:pPr>
              <w:spacing w:before="65" w:line="281" w:lineRule="exact"/>
              <w:ind w:left="51"/>
              <w:rPr>
                <w:rFonts w:ascii="宋体" w:hAnsi="宋体" w:eastAsia="宋体" w:cs="宋体"/>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项目占</w:t>
            </w:r>
          </w:p>
          <w:p w14:paraId="1C4CA87B">
            <w:pPr>
              <w:spacing w:before="68" w:line="228" w:lineRule="auto"/>
              <w:ind w:left="55"/>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7"/>
                <w:sz w:val="20"/>
                <w:szCs w:val="20"/>
              </w:rPr>
              <w:t>范围内</w:t>
            </w:r>
          </w:p>
          <w:p w14:paraId="29467802">
            <w:pPr>
              <w:spacing w:before="65" w:line="228" w:lineRule="auto"/>
              <w:ind w:left="271"/>
              <w:rPr>
                <w:rFonts w:ascii="宋体" w:hAnsi="宋体" w:eastAsia="宋体" w:cs="宋体"/>
                <w:sz w:val="20"/>
                <w:szCs w:val="20"/>
              </w:rPr>
            </w:pPr>
            <w:r>
              <w:rPr>
                <w:rFonts w:ascii="宋体" w:hAnsi="宋体" w:eastAsia="宋体" w:cs="宋体"/>
                <w:spacing w:val="1"/>
                <w:sz w:val="20"/>
                <w:szCs w:val="20"/>
              </w:rPr>
              <w:t>东侧</w:t>
            </w:r>
          </w:p>
        </w:tc>
        <w:tc>
          <w:tcPr>
            <w:tcW w:w="1680" w:type="dxa"/>
            <w:tcBorders>
              <w:left w:val="single" w:color="000000" w:sz="4" w:space="0"/>
              <w:right w:val="single" w:color="000000" w:sz="4" w:space="0"/>
            </w:tcBorders>
            <w:vAlign w:val="top"/>
          </w:tcPr>
          <w:p w14:paraId="255F3368">
            <w:pPr>
              <w:spacing w:before="98" w:line="192"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c>
          <w:tcPr>
            <w:tcW w:w="1650" w:type="dxa"/>
            <w:tcBorders>
              <w:left w:val="single" w:color="000000" w:sz="4" w:space="0"/>
              <w:right w:val="single" w:color="000000" w:sz="4" w:space="0"/>
            </w:tcBorders>
            <w:vAlign w:val="top"/>
          </w:tcPr>
          <w:p w14:paraId="021232A9">
            <w:pPr>
              <w:spacing w:before="95"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8. 15</w:t>
            </w:r>
          </w:p>
        </w:tc>
        <w:tc>
          <w:tcPr>
            <w:tcW w:w="930" w:type="dxa"/>
            <w:tcBorders>
              <w:left w:val="single" w:color="000000" w:sz="4" w:space="0"/>
              <w:right w:val="single" w:color="000000" w:sz="4" w:space="0"/>
            </w:tcBorders>
            <w:vAlign w:val="top"/>
          </w:tcPr>
          <w:p w14:paraId="10A088A3">
            <w:pPr>
              <w:spacing w:before="21" w:line="281"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26" w:type="dxa"/>
            <w:tcBorders>
              <w:left w:val="single" w:color="000000" w:sz="4" w:space="0"/>
              <w:right w:val="single" w:color="000000" w:sz="4" w:space="0"/>
            </w:tcBorders>
            <w:vAlign w:val="top"/>
          </w:tcPr>
          <w:p w14:paraId="769FACA4">
            <w:pPr>
              <w:spacing w:before="21"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C8D0CA6">
            <w:pPr>
              <w:spacing w:before="21"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09F59B1B">
            <w:pPr>
              <w:spacing w:before="21"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0E3E2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1611FB6">
            <w:pPr>
              <w:spacing w:before="9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4" w:type="dxa"/>
            <w:vMerge w:val="continue"/>
            <w:tcBorders>
              <w:top w:val="nil"/>
              <w:left w:val="single" w:color="000000" w:sz="4" w:space="0"/>
              <w:bottom w:val="nil"/>
              <w:right w:val="single" w:color="000000" w:sz="4" w:space="0"/>
            </w:tcBorders>
            <w:vAlign w:val="top"/>
          </w:tcPr>
          <w:p w14:paraId="1C1DAE34">
            <w:pPr>
              <w:rPr>
                <w:rFonts w:ascii="Arial"/>
                <w:sz w:val="21"/>
              </w:rPr>
            </w:pPr>
          </w:p>
        </w:tc>
        <w:tc>
          <w:tcPr>
            <w:tcW w:w="1680" w:type="dxa"/>
            <w:tcBorders>
              <w:left w:val="single" w:color="000000" w:sz="4" w:space="0"/>
              <w:right w:val="single" w:color="000000" w:sz="4" w:space="0"/>
            </w:tcBorders>
            <w:vAlign w:val="top"/>
          </w:tcPr>
          <w:p w14:paraId="662E0BDC">
            <w:pPr>
              <w:spacing w:before="61" w:line="228" w:lineRule="auto"/>
              <w:ind w:left="738"/>
              <w:rPr>
                <w:rFonts w:ascii="宋体" w:hAnsi="宋体" w:eastAsia="宋体" w:cs="宋体"/>
                <w:sz w:val="20"/>
                <w:szCs w:val="20"/>
              </w:rPr>
            </w:pPr>
            <w:r>
              <w:rPr>
                <w:rFonts w:ascii="宋体" w:hAnsi="宋体" w:eastAsia="宋体" w:cs="宋体"/>
                <w:spacing w:val="1"/>
                <w:sz w:val="20"/>
                <w:szCs w:val="20"/>
              </w:rPr>
              <w:t>砷</w:t>
            </w:r>
          </w:p>
        </w:tc>
        <w:tc>
          <w:tcPr>
            <w:tcW w:w="1650" w:type="dxa"/>
            <w:tcBorders>
              <w:left w:val="single" w:color="000000" w:sz="4" w:space="0"/>
              <w:right w:val="single" w:color="000000" w:sz="4" w:space="0"/>
            </w:tcBorders>
            <w:vAlign w:val="top"/>
          </w:tcPr>
          <w:p w14:paraId="00B0098E">
            <w:pPr>
              <w:spacing w:before="23" w:line="281"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8A66C3F">
            <w:pPr>
              <w:spacing w:before="9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15795947">
            <w:pPr>
              <w:spacing w:before="9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07D659FE">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9C4D754">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1EE4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75F3E05">
            <w:pPr>
              <w:spacing w:before="9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4" w:type="dxa"/>
            <w:vMerge w:val="continue"/>
            <w:tcBorders>
              <w:top w:val="nil"/>
              <w:left w:val="single" w:color="000000" w:sz="4" w:space="0"/>
              <w:bottom w:val="nil"/>
              <w:right w:val="single" w:color="000000" w:sz="4" w:space="0"/>
            </w:tcBorders>
            <w:vAlign w:val="top"/>
          </w:tcPr>
          <w:p w14:paraId="09F0582F">
            <w:pPr>
              <w:rPr>
                <w:rFonts w:ascii="Arial"/>
                <w:sz w:val="21"/>
              </w:rPr>
            </w:pPr>
          </w:p>
        </w:tc>
        <w:tc>
          <w:tcPr>
            <w:tcW w:w="1680" w:type="dxa"/>
            <w:tcBorders>
              <w:left w:val="single" w:color="000000" w:sz="4" w:space="0"/>
              <w:right w:val="single" w:color="000000" w:sz="4" w:space="0"/>
            </w:tcBorders>
            <w:vAlign w:val="top"/>
          </w:tcPr>
          <w:p w14:paraId="315A5C4F">
            <w:pPr>
              <w:spacing w:before="60" w:line="231" w:lineRule="auto"/>
              <w:ind w:left="737"/>
              <w:rPr>
                <w:rFonts w:ascii="宋体" w:hAnsi="宋体" w:eastAsia="宋体" w:cs="宋体"/>
                <w:sz w:val="20"/>
                <w:szCs w:val="20"/>
              </w:rPr>
            </w:pPr>
            <w:r>
              <w:rPr>
                <w:rFonts w:ascii="宋体" w:hAnsi="宋体" w:eastAsia="宋体" w:cs="宋体"/>
                <w:spacing w:val="2"/>
                <w:sz w:val="20"/>
                <w:szCs w:val="20"/>
              </w:rPr>
              <w:t>镉</w:t>
            </w:r>
          </w:p>
        </w:tc>
        <w:tc>
          <w:tcPr>
            <w:tcW w:w="1650" w:type="dxa"/>
            <w:tcBorders>
              <w:left w:val="single" w:color="000000" w:sz="4" w:space="0"/>
              <w:right w:val="single" w:color="000000" w:sz="4" w:space="0"/>
            </w:tcBorders>
            <w:vAlign w:val="top"/>
          </w:tcPr>
          <w:p w14:paraId="1405CBFA">
            <w:pPr>
              <w:spacing w:before="23" w:line="281"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.261</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2DCD76D">
            <w:pPr>
              <w:spacing w:before="9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0FE18B2D">
            <w:pPr>
              <w:spacing w:before="9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.004</w:t>
            </w:r>
          </w:p>
        </w:tc>
        <w:tc>
          <w:tcPr>
            <w:tcW w:w="705" w:type="dxa"/>
            <w:tcBorders>
              <w:left w:val="single" w:color="000000" w:sz="4" w:space="0"/>
            </w:tcBorders>
            <w:vAlign w:val="top"/>
          </w:tcPr>
          <w:p w14:paraId="4A412552">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AF7BDA7">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592E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52E3C0B">
            <w:pPr>
              <w:spacing w:before="9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44" w:type="dxa"/>
            <w:vMerge w:val="continue"/>
            <w:tcBorders>
              <w:top w:val="nil"/>
              <w:left w:val="single" w:color="000000" w:sz="4" w:space="0"/>
              <w:bottom w:val="nil"/>
              <w:right w:val="single" w:color="000000" w:sz="4" w:space="0"/>
            </w:tcBorders>
            <w:vAlign w:val="top"/>
          </w:tcPr>
          <w:p w14:paraId="68575216">
            <w:pPr>
              <w:rPr>
                <w:rFonts w:ascii="Arial"/>
                <w:sz w:val="21"/>
              </w:rPr>
            </w:pPr>
          </w:p>
        </w:tc>
        <w:tc>
          <w:tcPr>
            <w:tcW w:w="1680" w:type="dxa"/>
            <w:tcBorders>
              <w:left w:val="single" w:color="000000" w:sz="4" w:space="0"/>
              <w:right w:val="single" w:color="000000" w:sz="4" w:space="0"/>
            </w:tcBorders>
            <w:vAlign w:val="top"/>
          </w:tcPr>
          <w:p w14:paraId="4653FF5D">
            <w:pPr>
              <w:spacing w:before="23" w:line="281" w:lineRule="exact"/>
              <w:ind w:left="457"/>
              <w:rPr>
                <w:rFonts w:ascii="Times New Roman" w:hAnsi="Times New Roman" w:eastAsia="Times New Roman" w:cs="Times New Roman"/>
                <w:sz w:val="20"/>
                <w:szCs w:val="20"/>
              </w:rPr>
            </w:pPr>
            <w:r>
              <w:rPr>
                <w:rFonts w:ascii="宋体" w:hAnsi="宋体" w:eastAsia="宋体" w:cs="宋体"/>
                <w:spacing w:val="6"/>
                <w:position w:val="2"/>
                <w:sz w:val="20"/>
                <w:szCs w:val="20"/>
              </w:rPr>
              <w:t>铬</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六价</w:t>
            </w:r>
            <w:r>
              <w:rPr>
                <w:rFonts w:ascii="Times New Roman" w:hAnsi="Times New Roman" w:eastAsia="Times New Roman" w:cs="Times New Roman"/>
                <w:spacing w:val="5"/>
                <w:position w:val="2"/>
                <w:sz w:val="20"/>
                <w:szCs w:val="20"/>
              </w:rPr>
              <w:t>)</w:t>
            </w:r>
          </w:p>
        </w:tc>
        <w:tc>
          <w:tcPr>
            <w:tcW w:w="1650" w:type="dxa"/>
            <w:tcBorders>
              <w:left w:val="single" w:color="000000" w:sz="4" w:space="0"/>
              <w:right w:val="single" w:color="000000" w:sz="4" w:space="0"/>
            </w:tcBorders>
            <w:vAlign w:val="top"/>
          </w:tcPr>
          <w:p w14:paraId="3CFF52BD">
            <w:pPr>
              <w:spacing w:before="21" w:line="281" w:lineRule="exact"/>
              <w:ind w:left="418"/>
              <w:rPr>
                <w:rFonts w:ascii="Times New Roman" w:hAnsi="Times New Roman" w:eastAsia="Times New Roman" w:cs="Times New Roman"/>
                <w:sz w:val="20"/>
                <w:szCs w:val="20"/>
              </w:rPr>
            </w:pPr>
            <w:r>
              <w:rPr>
                <w:rFonts w:ascii="宋体" w:hAnsi="宋体" w:eastAsia="宋体" w:cs="宋体"/>
                <w:spacing w:val="5"/>
                <w:position w:val="4"/>
                <w:sz w:val="20"/>
                <w:szCs w:val="20"/>
              </w:rPr>
              <w:t>＜</w:t>
            </w:r>
            <w:r>
              <w:rPr>
                <w:rFonts w:ascii="Times New Roman" w:hAnsi="Times New Roman" w:eastAsia="Times New Roman" w:cs="Times New Roman"/>
                <w:spacing w:val="4"/>
                <w:position w:val="4"/>
                <w:sz w:val="20"/>
                <w:szCs w:val="20"/>
              </w:rPr>
              <w:t>2</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71D5F804">
            <w:pPr>
              <w:spacing w:before="100" w:line="192"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1226" w:type="dxa"/>
            <w:tcBorders>
              <w:left w:val="single" w:color="000000" w:sz="4" w:space="0"/>
              <w:right w:val="single" w:color="000000" w:sz="4" w:space="0"/>
            </w:tcBorders>
            <w:vAlign w:val="top"/>
          </w:tcPr>
          <w:p w14:paraId="5B916767">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77AF20C">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8C9D892">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00FA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23F0F6F">
            <w:pPr>
              <w:spacing w:before="99"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44" w:type="dxa"/>
            <w:vMerge w:val="continue"/>
            <w:tcBorders>
              <w:top w:val="nil"/>
              <w:left w:val="single" w:color="000000" w:sz="4" w:space="0"/>
              <w:bottom w:val="nil"/>
              <w:right w:val="single" w:color="000000" w:sz="4" w:space="0"/>
            </w:tcBorders>
            <w:vAlign w:val="top"/>
          </w:tcPr>
          <w:p w14:paraId="18C22FC1">
            <w:pPr>
              <w:rPr>
                <w:rFonts w:ascii="Arial"/>
                <w:sz w:val="21"/>
              </w:rPr>
            </w:pPr>
          </w:p>
        </w:tc>
        <w:tc>
          <w:tcPr>
            <w:tcW w:w="1680" w:type="dxa"/>
            <w:tcBorders>
              <w:left w:val="single" w:color="000000" w:sz="4" w:space="0"/>
              <w:right w:val="single" w:color="000000" w:sz="4" w:space="0"/>
            </w:tcBorders>
            <w:vAlign w:val="top"/>
          </w:tcPr>
          <w:p w14:paraId="65E14082">
            <w:pPr>
              <w:spacing w:before="60" w:line="229" w:lineRule="auto"/>
              <w:ind w:left="738"/>
              <w:rPr>
                <w:rFonts w:ascii="宋体" w:hAnsi="宋体" w:eastAsia="宋体" w:cs="宋体"/>
                <w:sz w:val="20"/>
                <w:szCs w:val="20"/>
              </w:rPr>
            </w:pPr>
            <w:r>
              <w:rPr>
                <w:rFonts w:ascii="宋体" w:hAnsi="宋体" w:eastAsia="宋体" w:cs="宋体"/>
                <w:sz w:val="20"/>
                <w:szCs w:val="20"/>
              </w:rPr>
              <w:t>铜</w:t>
            </w:r>
          </w:p>
        </w:tc>
        <w:tc>
          <w:tcPr>
            <w:tcW w:w="1650" w:type="dxa"/>
            <w:tcBorders>
              <w:left w:val="single" w:color="000000" w:sz="4" w:space="0"/>
              <w:right w:val="single" w:color="000000" w:sz="4" w:space="0"/>
            </w:tcBorders>
            <w:vAlign w:val="top"/>
          </w:tcPr>
          <w:p w14:paraId="6E802D08">
            <w:pPr>
              <w:spacing w:before="23" w:line="281"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272</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1D4B6AA9">
            <w:pPr>
              <w:spacing w:before="9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26" w:type="dxa"/>
            <w:tcBorders>
              <w:left w:val="single" w:color="000000" w:sz="4" w:space="0"/>
              <w:right w:val="single" w:color="000000" w:sz="4" w:space="0"/>
            </w:tcBorders>
            <w:vAlign w:val="top"/>
          </w:tcPr>
          <w:p w14:paraId="63650B4E">
            <w:pPr>
              <w:spacing w:before="9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35FD589A">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82FDB23">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110B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95064E3">
            <w:pPr>
              <w:spacing w:before="9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44" w:type="dxa"/>
            <w:vMerge w:val="continue"/>
            <w:tcBorders>
              <w:top w:val="nil"/>
              <w:left w:val="single" w:color="000000" w:sz="4" w:space="0"/>
              <w:bottom w:val="nil"/>
              <w:right w:val="single" w:color="000000" w:sz="4" w:space="0"/>
            </w:tcBorders>
            <w:vAlign w:val="top"/>
          </w:tcPr>
          <w:p w14:paraId="6314A4C3">
            <w:pPr>
              <w:rPr>
                <w:rFonts w:ascii="Arial"/>
                <w:sz w:val="21"/>
              </w:rPr>
            </w:pPr>
          </w:p>
        </w:tc>
        <w:tc>
          <w:tcPr>
            <w:tcW w:w="1680" w:type="dxa"/>
            <w:tcBorders>
              <w:left w:val="single" w:color="000000" w:sz="4" w:space="0"/>
              <w:right w:val="single" w:color="000000" w:sz="4" w:space="0"/>
            </w:tcBorders>
            <w:vAlign w:val="top"/>
          </w:tcPr>
          <w:p w14:paraId="174CB326">
            <w:pPr>
              <w:spacing w:before="60" w:line="232" w:lineRule="auto"/>
              <w:ind w:left="738"/>
              <w:rPr>
                <w:rFonts w:ascii="宋体" w:hAnsi="宋体" w:eastAsia="宋体" w:cs="宋体"/>
                <w:sz w:val="20"/>
                <w:szCs w:val="20"/>
              </w:rPr>
            </w:pPr>
            <w:r>
              <w:rPr>
                <w:rFonts w:ascii="宋体" w:hAnsi="宋体" w:eastAsia="宋体" w:cs="宋体"/>
                <w:sz w:val="20"/>
                <w:szCs w:val="20"/>
              </w:rPr>
              <w:t>铅</w:t>
            </w:r>
          </w:p>
        </w:tc>
        <w:tc>
          <w:tcPr>
            <w:tcW w:w="1650" w:type="dxa"/>
            <w:tcBorders>
              <w:left w:val="single" w:color="000000" w:sz="4" w:space="0"/>
              <w:right w:val="single" w:color="000000" w:sz="4" w:space="0"/>
            </w:tcBorders>
            <w:vAlign w:val="top"/>
          </w:tcPr>
          <w:p w14:paraId="36E42535">
            <w:pPr>
              <w:spacing w:before="23" w:line="281"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7</w:t>
            </w:r>
            <w:r>
              <w:rPr>
                <w:rFonts w:ascii="Times New Roman" w:hAnsi="Times New Roman" w:eastAsia="Times New Roman" w:cs="Times New Roman"/>
                <w:spacing w:val="6"/>
                <w:position w:val="2"/>
                <w:sz w:val="20"/>
                <w:szCs w:val="20"/>
              </w:rPr>
              <w:t>.4</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4EECBA4">
            <w:pPr>
              <w:spacing w:before="96"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62ADEBE6">
            <w:pPr>
              <w:spacing w:before="9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05" w:type="dxa"/>
            <w:tcBorders>
              <w:left w:val="single" w:color="000000" w:sz="4" w:space="0"/>
            </w:tcBorders>
            <w:vAlign w:val="top"/>
          </w:tcPr>
          <w:p w14:paraId="2EDA6DF3">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B6CEBAC">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8245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B7E08AF">
            <w:pPr>
              <w:spacing w:before="99" w:line="192"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44" w:type="dxa"/>
            <w:vMerge w:val="continue"/>
            <w:tcBorders>
              <w:top w:val="nil"/>
              <w:left w:val="single" w:color="000000" w:sz="4" w:space="0"/>
              <w:bottom w:val="nil"/>
              <w:right w:val="single" w:color="000000" w:sz="4" w:space="0"/>
            </w:tcBorders>
            <w:vAlign w:val="top"/>
          </w:tcPr>
          <w:p w14:paraId="166FD2E5">
            <w:pPr>
              <w:rPr>
                <w:rFonts w:ascii="Arial"/>
                <w:sz w:val="21"/>
              </w:rPr>
            </w:pPr>
          </w:p>
        </w:tc>
        <w:tc>
          <w:tcPr>
            <w:tcW w:w="1680" w:type="dxa"/>
            <w:tcBorders>
              <w:left w:val="single" w:color="000000" w:sz="4" w:space="0"/>
              <w:right w:val="single" w:color="000000" w:sz="4" w:space="0"/>
            </w:tcBorders>
            <w:vAlign w:val="top"/>
          </w:tcPr>
          <w:p w14:paraId="0C915052">
            <w:pPr>
              <w:spacing w:before="60" w:line="228" w:lineRule="auto"/>
              <w:ind w:left="739"/>
              <w:rPr>
                <w:rFonts w:ascii="宋体" w:hAnsi="宋体" w:eastAsia="宋体" w:cs="宋体"/>
                <w:sz w:val="20"/>
                <w:szCs w:val="20"/>
              </w:rPr>
            </w:pPr>
            <w:r>
              <w:rPr>
                <w:rFonts w:ascii="宋体" w:hAnsi="宋体" w:eastAsia="宋体" w:cs="宋体"/>
                <w:sz w:val="20"/>
                <w:szCs w:val="20"/>
              </w:rPr>
              <w:t>汞</w:t>
            </w:r>
          </w:p>
        </w:tc>
        <w:tc>
          <w:tcPr>
            <w:tcW w:w="1650" w:type="dxa"/>
            <w:tcBorders>
              <w:left w:val="single" w:color="000000" w:sz="4" w:space="0"/>
              <w:right w:val="single" w:color="000000" w:sz="4" w:space="0"/>
            </w:tcBorders>
            <w:vAlign w:val="top"/>
          </w:tcPr>
          <w:p w14:paraId="36D2C1E7">
            <w:pPr>
              <w:spacing w:before="22" w:line="281"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.620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BA31CAA">
            <w:pPr>
              <w:spacing w:before="9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226" w:type="dxa"/>
            <w:tcBorders>
              <w:left w:val="single" w:color="000000" w:sz="4" w:space="0"/>
              <w:right w:val="single" w:color="000000" w:sz="4" w:space="0"/>
            </w:tcBorders>
            <w:vAlign w:val="top"/>
          </w:tcPr>
          <w:p w14:paraId="2B400D42">
            <w:pPr>
              <w:spacing w:before="9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55485295">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60B40EF">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5A93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976AD5D">
            <w:pPr>
              <w:spacing w:before="96"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44" w:type="dxa"/>
            <w:vMerge w:val="continue"/>
            <w:tcBorders>
              <w:top w:val="nil"/>
              <w:left w:val="single" w:color="000000" w:sz="4" w:space="0"/>
              <w:bottom w:val="nil"/>
              <w:right w:val="single" w:color="000000" w:sz="4" w:space="0"/>
            </w:tcBorders>
            <w:vAlign w:val="top"/>
          </w:tcPr>
          <w:p w14:paraId="1356869F">
            <w:pPr>
              <w:rPr>
                <w:rFonts w:ascii="Arial"/>
                <w:sz w:val="21"/>
              </w:rPr>
            </w:pPr>
          </w:p>
        </w:tc>
        <w:tc>
          <w:tcPr>
            <w:tcW w:w="1680" w:type="dxa"/>
            <w:tcBorders>
              <w:left w:val="single" w:color="000000" w:sz="4" w:space="0"/>
              <w:right w:val="single" w:color="000000" w:sz="4" w:space="0"/>
            </w:tcBorders>
            <w:vAlign w:val="top"/>
          </w:tcPr>
          <w:p w14:paraId="7090CAAF">
            <w:pPr>
              <w:spacing w:before="60" w:line="228" w:lineRule="auto"/>
              <w:ind w:left="738"/>
              <w:rPr>
                <w:rFonts w:ascii="宋体" w:hAnsi="宋体" w:eastAsia="宋体" w:cs="宋体"/>
                <w:sz w:val="20"/>
                <w:szCs w:val="20"/>
              </w:rPr>
            </w:pPr>
            <w:r>
              <w:rPr>
                <w:rFonts w:ascii="宋体" w:hAnsi="宋体" w:eastAsia="宋体" w:cs="宋体"/>
                <w:spacing w:val="1"/>
                <w:sz w:val="20"/>
                <w:szCs w:val="20"/>
              </w:rPr>
              <w:t>镍</w:t>
            </w:r>
          </w:p>
        </w:tc>
        <w:tc>
          <w:tcPr>
            <w:tcW w:w="1650" w:type="dxa"/>
            <w:tcBorders>
              <w:left w:val="single" w:color="000000" w:sz="4" w:space="0"/>
              <w:right w:val="single" w:color="000000" w:sz="4" w:space="0"/>
            </w:tcBorders>
            <w:vAlign w:val="top"/>
          </w:tcPr>
          <w:p w14:paraId="5B21235F">
            <w:pPr>
              <w:spacing w:before="22" w:line="281"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271</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31F7A4D5">
            <w:pPr>
              <w:spacing w:before="96"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1226" w:type="dxa"/>
            <w:tcBorders>
              <w:left w:val="single" w:color="000000" w:sz="4" w:space="0"/>
              <w:right w:val="single" w:color="000000" w:sz="4" w:space="0"/>
            </w:tcBorders>
            <w:vAlign w:val="top"/>
          </w:tcPr>
          <w:p w14:paraId="71163C2E">
            <w:pPr>
              <w:spacing w:before="9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w:t>
            </w:r>
          </w:p>
        </w:tc>
        <w:tc>
          <w:tcPr>
            <w:tcW w:w="705" w:type="dxa"/>
            <w:tcBorders>
              <w:left w:val="single" w:color="000000" w:sz="4" w:space="0"/>
            </w:tcBorders>
            <w:vAlign w:val="top"/>
          </w:tcPr>
          <w:p w14:paraId="1FFD8389">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73C8B06">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C026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6FB5248">
            <w:pPr>
              <w:spacing w:before="9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44" w:type="dxa"/>
            <w:vMerge w:val="continue"/>
            <w:tcBorders>
              <w:top w:val="nil"/>
              <w:left w:val="single" w:color="000000" w:sz="4" w:space="0"/>
              <w:bottom w:val="nil"/>
              <w:right w:val="single" w:color="000000" w:sz="4" w:space="0"/>
            </w:tcBorders>
            <w:vAlign w:val="top"/>
          </w:tcPr>
          <w:p w14:paraId="633B4342">
            <w:pPr>
              <w:rPr>
                <w:rFonts w:ascii="Arial"/>
                <w:sz w:val="21"/>
              </w:rPr>
            </w:pPr>
          </w:p>
        </w:tc>
        <w:tc>
          <w:tcPr>
            <w:tcW w:w="1680" w:type="dxa"/>
            <w:tcBorders>
              <w:left w:val="single" w:color="000000" w:sz="4" w:space="0"/>
              <w:right w:val="single" w:color="000000" w:sz="4" w:space="0"/>
            </w:tcBorders>
            <w:vAlign w:val="top"/>
          </w:tcPr>
          <w:p w14:paraId="1A30875D">
            <w:pPr>
              <w:spacing w:before="60" w:line="233" w:lineRule="auto"/>
              <w:ind w:left="527"/>
              <w:rPr>
                <w:rFonts w:ascii="宋体" w:hAnsi="宋体" w:eastAsia="宋体" w:cs="宋体"/>
                <w:sz w:val="20"/>
                <w:szCs w:val="20"/>
              </w:rPr>
            </w:pPr>
            <w:r>
              <w:rPr>
                <w:rFonts w:ascii="宋体" w:hAnsi="宋体" w:eastAsia="宋体" w:cs="宋体"/>
                <w:spacing w:val="7"/>
                <w:sz w:val="20"/>
                <w:szCs w:val="20"/>
              </w:rPr>
              <w:t>全盐</w:t>
            </w:r>
            <w:r>
              <w:rPr>
                <w:rFonts w:ascii="宋体" w:hAnsi="宋体" w:eastAsia="宋体" w:cs="宋体"/>
                <w:spacing w:val="6"/>
                <w:sz w:val="20"/>
                <w:szCs w:val="20"/>
              </w:rPr>
              <w:t>量</w:t>
            </w:r>
          </w:p>
        </w:tc>
        <w:tc>
          <w:tcPr>
            <w:tcW w:w="1650" w:type="dxa"/>
            <w:tcBorders>
              <w:left w:val="single" w:color="000000" w:sz="4" w:space="0"/>
              <w:right w:val="single" w:color="000000" w:sz="4" w:space="0"/>
            </w:tcBorders>
            <w:vAlign w:val="top"/>
          </w:tcPr>
          <w:p w14:paraId="37D40D4C">
            <w:pPr>
              <w:spacing w:before="22" w:line="281"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2</w:t>
            </w: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A883747">
            <w:pPr>
              <w:spacing w:before="22" w:line="281"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26" w:type="dxa"/>
            <w:tcBorders>
              <w:left w:val="single" w:color="000000" w:sz="4" w:space="0"/>
              <w:right w:val="single" w:color="000000" w:sz="4" w:space="0"/>
            </w:tcBorders>
            <w:vAlign w:val="top"/>
          </w:tcPr>
          <w:p w14:paraId="6DDE2A3C">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CE23DE9">
            <w:pPr>
              <w:spacing w:before="22"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04E11FCD">
            <w:pPr>
              <w:spacing w:before="22"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06C7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3EFFD7C">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944" w:type="dxa"/>
            <w:vMerge w:val="continue"/>
            <w:tcBorders>
              <w:top w:val="nil"/>
              <w:left w:val="single" w:color="000000" w:sz="4" w:space="0"/>
              <w:bottom w:val="nil"/>
              <w:right w:val="single" w:color="000000" w:sz="4" w:space="0"/>
            </w:tcBorders>
            <w:vAlign w:val="top"/>
          </w:tcPr>
          <w:p w14:paraId="0D2C544D">
            <w:pPr>
              <w:rPr>
                <w:rFonts w:ascii="Arial"/>
                <w:sz w:val="21"/>
              </w:rPr>
            </w:pPr>
          </w:p>
        </w:tc>
        <w:tc>
          <w:tcPr>
            <w:tcW w:w="1680" w:type="dxa"/>
            <w:tcBorders>
              <w:left w:val="single" w:color="000000" w:sz="4" w:space="0"/>
              <w:right w:val="single" w:color="000000" w:sz="4" w:space="0"/>
            </w:tcBorders>
            <w:vAlign w:val="top"/>
          </w:tcPr>
          <w:p w14:paraId="2DE7B111">
            <w:pPr>
              <w:spacing w:before="60" w:line="228" w:lineRule="auto"/>
              <w:ind w:left="44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1650" w:type="dxa"/>
            <w:tcBorders>
              <w:left w:val="single" w:color="000000" w:sz="4" w:space="0"/>
              <w:right w:val="single" w:color="000000" w:sz="4" w:space="0"/>
            </w:tcBorders>
            <w:vAlign w:val="top"/>
          </w:tcPr>
          <w:p w14:paraId="1302D8F6">
            <w:pPr>
              <w:spacing w:before="22"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A8B1956">
            <w:pPr>
              <w:spacing w:before="95"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5FB10030">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B86BAB9">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596FDD7">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D3F1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147D478">
            <w:pPr>
              <w:spacing w:before="95"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944" w:type="dxa"/>
            <w:vMerge w:val="continue"/>
            <w:tcBorders>
              <w:top w:val="nil"/>
              <w:left w:val="single" w:color="000000" w:sz="4" w:space="0"/>
              <w:bottom w:val="nil"/>
              <w:right w:val="single" w:color="000000" w:sz="4" w:space="0"/>
            </w:tcBorders>
            <w:vAlign w:val="top"/>
          </w:tcPr>
          <w:p w14:paraId="348FAC29">
            <w:pPr>
              <w:rPr>
                <w:rFonts w:ascii="Arial"/>
                <w:sz w:val="21"/>
              </w:rPr>
            </w:pPr>
          </w:p>
        </w:tc>
        <w:tc>
          <w:tcPr>
            <w:tcW w:w="1680" w:type="dxa"/>
            <w:tcBorders>
              <w:left w:val="single" w:color="000000" w:sz="4" w:space="0"/>
              <w:right w:val="single" w:color="000000" w:sz="4" w:space="0"/>
            </w:tcBorders>
            <w:vAlign w:val="top"/>
          </w:tcPr>
          <w:p w14:paraId="61C6D9E4">
            <w:pPr>
              <w:spacing w:before="60" w:line="228" w:lineRule="auto"/>
              <w:ind w:left="636"/>
              <w:rPr>
                <w:rFonts w:ascii="宋体" w:hAnsi="宋体" w:eastAsia="宋体" w:cs="宋体"/>
                <w:sz w:val="20"/>
                <w:szCs w:val="20"/>
              </w:rPr>
            </w:pPr>
            <w:r>
              <w:rPr>
                <w:rFonts w:ascii="宋体" w:hAnsi="宋体" w:eastAsia="宋体" w:cs="宋体"/>
                <w:spacing w:val="3"/>
                <w:sz w:val="20"/>
                <w:szCs w:val="20"/>
              </w:rPr>
              <w:t>氯仿</w:t>
            </w:r>
          </w:p>
        </w:tc>
        <w:tc>
          <w:tcPr>
            <w:tcW w:w="1650" w:type="dxa"/>
            <w:tcBorders>
              <w:left w:val="single" w:color="000000" w:sz="4" w:space="0"/>
              <w:right w:val="single" w:color="000000" w:sz="4" w:space="0"/>
            </w:tcBorders>
            <w:vAlign w:val="top"/>
          </w:tcPr>
          <w:p w14:paraId="481CCA29">
            <w:pPr>
              <w:spacing w:before="22" w:line="281" w:lineRule="exact"/>
              <w:ind w:left="365"/>
              <w:rPr>
                <w:rFonts w:ascii="Times New Roman" w:hAnsi="Times New Roman" w:eastAsia="Times New Roman" w:cs="Times New Roman"/>
                <w:sz w:val="20"/>
                <w:szCs w:val="20"/>
              </w:rPr>
            </w:pP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 1μg/kg</w:t>
            </w:r>
          </w:p>
        </w:tc>
        <w:tc>
          <w:tcPr>
            <w:tcW w:w="930" w:type="dxa"/>
            <w:tcBorders>
              <w:left w:val="single" w:color="000000" w:sz="4" w:space="0"/>
              <w:right w:val="single" w:color="000000" w:sz="4" w:space="0"/>
            </w:tcBorders>
            <w:vAlign w:val="top"/>
          </w:tcPr>
          <w:p w14:paraId="20615F6F">
            <w:pPr>
              <w:spacing w:before="95"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1226" w:type="dxa"/>
            <w:tcBorders>
              <w:left w:val="single" w:color="000000" w:sz="4" w:space="0"/>
              <w:right w:val="single" w:color="000000" w:sz="4" w:space="0"/>
            </w:tcBorders>
            <w:vAlign w:val="top"/>
          </w:tcPr>
          <w:p w14:paraId="655C4CA9">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07EB48F">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BD6936E">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B1C0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1EFE7D4">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44" w:type="dxa"/>
            <w:vMerge w:val="continue"/>
            <w:tcBorders>
              <w:top w:val="nil"/>
              <w:left w:val="single" w:color="000000" w:sz="4" w:space="0"/>
              <w:bottom w:val="nil"/>
              <w:right w:val="single" w:color="000000" w:sz="4" w:space="0"/>
            </w:tcBorders>
            <w:vAlign w:val="top"/>
          </w:tcPr>
          <w:p w14:paraId="5D896880">
            <w:pPr>
              <w:rPr>
                <w:rFonts w:ascii="Arial"/>
                <w:sz w:val="21"/>
              </w:rPr>
            </w:pPr>
          </w:p>
        </w:tc>
        <w:tc>
          <w:tcPr>
            <w:tcW w:w="1680" w:type="dxa"/>
            <w:tcBorders>
              <w:left w:val="single" w:color="000000" w:sz="4" w:space="0"/>
              <w:right w:val="single" w:color="000000" w:sz="4" w:space="0"/>
            </w:tcBorders>
            <w:vAlign w:val="top"/>
          </w:tcPr>
          <w:p w14:paraId="4A645ABF">
            <w:pPr>
              <w:spacing w:before="59" w:line="228" w:lineRule="auto"/>
              <w:ind w:left="531"/>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1650" w:type="dxa"/>
            <w:tcBorders>
              <w:left w:val="single" w:color="000000" w:sz="4" w:space="0"/>
              <w:right w:val="single" w:color="000000" w:sz="4" w:space="0"/>
            </w:tcBorders>
            <w:vAlign w:val="top"/>
          </w:tcPr>
          <w:p w14:paraId="10CC4A56">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102B85C">
            <w:pPr>
              <w:spacing w:before="9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1226" w:type="dxa"/>
            <w:tcBorders>
              <w:left w:val="single" w:color="000000" w:sz="4" w:space="0"/>
              <w:right w:val="single" w:color="000000" w:sz="4" w:space="0"/>
            </w:tcBorders>
            <w:vAlign w:val="top"/>
          </w:tcPr>
          <w:p w14:paraId="756F1C9A">
            <w:pPr>
              <w:spacing w:before="21"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B4D9FD6">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CBFEC44">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FA9B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8F0316C">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944" w:type="dxa"/>
            <w:vMerge w:val="continue"/>
            <w:tcBorders>
              <w:top w:val="nil"/>
              <w:left w:val="single" w:color="000000" w:sz="4" w:space="0"/>
              <w:bottom w:val="nil"/>
              <w:right w:val="single" w:color="000000" w:sz="4" w:space="0"/>
            </w:tcBorders>
            <w:vAlign w:val="top"/>
          </w:tcPr>
          <w:p w14:paraId="7BB06AFA">
            <w:pPr>
              <w:rPr>
                <w:rFonts w:ascii="Arial"/>
                <w:sz w:val="21"/>
              </w:rPr>
            </w:pPr>
          </w:p>
        </w:tc>
        <w:tc>
          <w:tcPr>
            <w:tcW w:w="1680" w:type="dxa"/>
            <w:tcBorders>
              <w:left w:val="single" w:color="000000" w:sz="4" w:space="0"/>
              <w:right w:val="single" w:color="000000" w:sz="4" w:space="0"/>
            </w:tcBorders>
            <w:vAlign w:val="top"/>
          </w:tcPr>
          <w:p w14:paraId="12C95C98">
            <w:pPr>
              <w:spacing w:before="59" w:line="233" w:lineRule="auto"/>
              <w:ind w:left="27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二氯乙烷</w:t>
            </w:r>
          </w:p>
        </w:tc>
        <w:tc>
          <w:tcPr>
            <w:tcW w:w="1650" w:type="dxa"/>
            <w:tcBorders>
              <w:left w:val="single" w:color="000000" w:sz="4" w:space="0"/>
              <w:right w:val="single" w:color="000000" w:sz="4" w:space="0"/>
            </w:tcBorders>
            <w:vAlign w:val="top"/>
          </w:tcPr>
          <w:p w14:paraId="03997094">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F2A3889">
            <w:pPr>
              <w:spacing w:before="95"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26" w:type="dxa"/>
            <w:tcBorders>
              <w:left w:val="single" w:color="000000" w:sz="4" w:space="0"/>
              <w:right w:val="single" w:color="000000" w:sz="4" w:space="0"/>
            </w:tcBorders>
            <w:vAlign w:val="top"/>
          </w:tcPr>
          <w:p w14:paraId="22FD6806">
            <w:pPr>
              <w:spacing w:before="21"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062A1A8">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ABE9E18">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A8DF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142B8D0">
            <w:pPr>
              <w:spacing w:before="9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944" w:type="dxa"/>
            <w:vMerge w:val="continue"/>
            <w:tcBorders>
              <w:top w:val="nil"/>
              <w:left w:val="single" w:color="000000" w:sz="4" w:space="0"/>
              <w:bottom w:val="nil"/>
              <w:right w:val="single" w:color="000000" w:sz="4" w:space="0"/>
            </w:tcBorders>
            <w:vAlign w:val="top"/>
          </w:tcPr>
          <w:p w14:paraId="030D7A28">
            <w:pPr>
              <w:rPr>
                <w:rFonts w:ascii="Arial"/>
                <w:sz w:val="21"/>
              </w:rPr>
            </w:pPr>
          </w:p>
        </w:tc>
        <w:tc>
          <w:tcPr>
            <w:tcW w:w="1680" w:type="dxa"/>
            <w:tcBorders>
              <w:left w:val="single" w:color="000000" w:sz="4" w:space="0"/>
              <w:right w:val="single" w:color="000000" w:sz="4" w:space="0"/>
            </w:tcBorders>
            <w:vAlign w:val="top"/>
          </w:tcPr>
          <w:p w14:paraId="1815C913">
            <w:pPr>
              <w:spacing w:before="61" w:line="233" w:lineRule="auto"/>
              <w:ind w:left="27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二氯乙烷</w:t>
            </w:r>
          </w:p>
        </w:tc>
        <w:tc>
          <w:tcPr>
            <w:tcW w:w="1650" w:type="dxa"/>
            <w:tcBorders>
              <w:left w:val="single" w:color="000000" w:sz="4" w:space="0"/>
              <w:right w:val="single" w:color="000000" w:sz="4" w:space="0"/>
            </w:tcBorders>
            <w:vAlign w:val="top"/>
          </w:tcPr>
          <w:p w14:paraId="1EE8EF53">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F43E039">
            <w:pPr>
              <w:spacing w:before="100" w:line="192"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34BF2861">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69F5875">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5EF1AF8">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0C7F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C75FF8A">
            <w:pPr>
              <w:spacing w:before="9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944" w:type="dxa"/>
            <w:vMerge w:val="continue"/>
            <w:tcBorders>
              <w:top w:val="nil"/>
              <w:left w:val="single" w:color="000000" w:sz="4" w:space="0"/>
              <w:bottom w:val="nil"/>
              <w:right w:val="single" w:color="000000" w:sz="4" w:space="0"/>
            </w:tcBorders>
            <w:vAlign w:val="top"/>
          </w:tcPr>
          <w:p w14:paraId="282F2077">
            <w:pPr>
              <w:rPr>
                <w:rFonts w:ascii="Arial"/>
                <w:sz w:val="21"/>
              </w:rPr>
            </w:pPr>
          </w:p>
        </w:tc>
        <w:tc>
          <w:tcPr>
            <w:tcW w:w="1680" w:type="dxa"/>
            <w:tcBorders>
              <w:left w:val="single" w:color="000000" w:sz="4" w:space="0"/>
              <w:right w:val="single" w:color="000000" w:sz="4" w:space="0"/>
            </w:tcBorders>
            <w:vAlign w:val="top"/>
          </w:tcPr>
          <w:p w14:paraId="768B8421">
            <w:pPr>
              <w:spacing w:before="60" w:line="233" w:lineRule="auto"/>
              <w:ind w:left="27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二氯乙烯</w:t>
            </w:r>
          </w:p>
        </w:tc>
        <w:tc>
          <w:tcPr>
            <w:tcW w:w="1650" w:type="dxa"/>
            <w:tcBorders>
              <w:left w:val="single" w:color="000000" w:sz="4" w:space="0"/>
              <w:right w:val="single" w:color="000000" w:sz="4" w:space="0"/>
            </w:tcBorders>
            <w:vAlign w:val="top"/>
          </w:tcPr>
          <w:p w14:paraId="4449BB52">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0EEA48C">
            <w:pPr>
              <w:spacing w:before="9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1226" w:type="dxa"/>
            <w:tcBorders>
              <w:left w:val="single" w:color="000000" w:sz="4" w:space="0"/>
              <w:right w:val="single" w:color="000000" w:sz="4" w:space="0"/>
            </w:tcBorders>
            <w:vAlign w:val="top"/>
          </w:tcPr>
          <w:p w14:paraId="0997383B">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D57CFC9">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A27239E">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6622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D6DC1AD">
            <w:pPr>
              <w:spacing w:before="9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944" w:type="dxa"/>
            <w:vMerge w:val="continue"/>
            <w:tcBorders>
              <w:top w:val="nil"/>
              <w:left w:val="single" w:color="000000" w:sz="4" w:space="0"/>
              <w:bottom w:val="nil"/>
              <w:right w:val="single" w:color="000000" w:sz="4" w:space="0"/>
            </w:tcBorders>
            <w:vAlign w:val="top"/>
          </w:tcPr>
          <w:p w14:paraId="1BB25061">
            <w:pPr>
              <w:rPr>
                <w:rFonts w:ascii="Arial"/>
                <w:sz w:val="21"/>
              </w:rPr>
            </w:pPr>
          </w:p>
        </w:tc>
        <w:tc>
          <w:tcPr>
            <w:tcW w:w="1680" w:type="dxa"/>
            <w:tcBorders>
              <w:left w:val="single" w:color="000000" w:sz="4" w:space="0"/>
              <w:right w:val="single" w:color="000000" w:sz="4" w:space="0"/>
            </w:tcBorders>
            <w:vAlign w:val="top"/>
          </w:tcPr>
          <w:p w14:paraId="5A48C91B">
            <w:pPr>
              <w:spacing w:before="60" w:line="233" w:lineRule="auto"/>
              <w:ind w:left="118"/>
              <w:rPr>
                <w:rFonts w:ascii="宋体" w:hAnsi="宋体" w:eastAsia="宋体" w:cs="宋体"/>
                <w:sz w:val="20"/>
                <w:szCs w:val="20"/>
              </w:rPr>
            </w:pPr>
            <w:r>
              <w:rPr>
                <w:rFonts w:ascii="宋体" w:hAnsi="宋体" w:eastAsia="宋体" w:cs="宋体"/>
                <w:spacing w:val="1"/>
                <w:sz w:val="20"/>
                <w:szCs w:val="20"/>
              </w:rPr>
              <w:t>顺</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650" w:type="dxa"/>
            <w:tcBorders>
              <w:left w:val="single" w:color="000000" w:sz="4" w:space="0"/>
              <w:right w:val="single" w:color="000000" w:sz="4" w:space="0"/>
            </w:tcBorders>
            <w:vAlign w:val="top"/>
          </w:tcPr>
          <w:p w14:paraId="1DFB3339">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49B87EB">
            <w:pPr>
              <w:spacing w:before="9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6</w:t>
            </w:r>
          </w:p>
        </w:tc>
        <w:tc>
          <w:tcPr>
            <w:tcW w:w="1226" w:type="dxa"/>
            <w:tcBorders>
              <w:left w:val="single" w:color="000000" w:sz="4" w:space="0"/>
              <w:right w:val="single" w:color="000000" w:sz="4" w:space="0"/>
            </w:tcBorders>
            <w:vAlign w:val="top"/>
          </w:tcPr>
          <w:p w14:paraId="5872783A">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0889F52">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449E81C">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C8CB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649CB5D">
            <w:pPr>
              <w:spacing w:before="9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944" w:type="dxa"/>
            <w:vMerge w:val="continue"/>
            <w:tcBorders>
              <w:top w:val="nil"/>
              <w:left w:val="single" w:color="000000" w:sz="4" w:space="0"/>
              <w:bottom w:val="nil"/>
              <w:right w:val="single" w:color="000000" w:sz="4" w:space="0"/>
            </w:tcBorders>
            <w:vAlign w:val="top"/>
          </w:tcPr>
          <w:p w14:paraId="0476378E">
            <w:pPr>
              <w:rPr>
                <w:rFonts w:ascii="Arial"/>
                <w:sz w:val="21"/>
              </w:rPr>
            </w:pPr>
          </w:p>
        </w:tc>
        <w:tc>
          <w:tcPr>
            <w:tcW w:w="1680" w:type="dxa"/>
            <w:tcBorders>
              <w:left w:val="single" w:color="000000" w:sz="4" w:space="0"/>
              <w:right w:val="single" w:color="000000" w:sz="4" w:space="0"/>
            </w:tcBorders>
            <w:vAlign w:val="top"/>
          </w:tcPr>
          <w:p w14:paraId="3BFE6426">
            <w:pPr>
              <w:spacing w:before="60" w:line="233" w:lineRule="auto"/>
              <w:ind w:left="118"/>
              <w:rPr>
                <w:rFonts w:ascii="宋体" w:hAnsi="宋体" w:eastAsia="宋体" w:cs="宋体"/>
                <w:sz w:val="20"/>
                <w:szCs w:val="20"/>
              </w:rPr>
            </w:pPr>
            <w:r>
              <w:rPr>
                <w:rFonts w:ascii="宋体" w:hAnsi="宋体" w:eastAsia="宋体" w:cs="宋体"/>
                <w:spacing w:val="1"/>
                <w:sz w:val="20"/>
                <w:szCs w:val="20"/>
              </w:rPr>
              <w:t>反</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650" w:type="dxa"/>
            <w:tcBorders>
              <w:left w:val="single" w:color="000000" w:sz="4" w:space="0"/>
              <w:right w:val="single" w:color="000000" w:sz="4" w:space="0"/>
            </w:tcBorders>
            <w:vAlign w:val="top"/>
          </w:tcPr>
          <w:p w14:paraId="63F289C7">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1.4μ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0C2BCAD">
            <w:pPr>
              <w:spacing w:before="9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26" w:type="dxa"/>
            <w:tcBorders>
              <w:left w:val="single" w:color="000000" w:sz="4" w:space="0"/>
              <w:right w:val="single" w:color="000000" w:sz="4" w:space="0"/>
            </w:tcBorders>
            <w:vAlign w:val="top"/>
          </w:tcPr>
          <w:p w14:paraId="0A6B7044">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1D180FF">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CBA76B1">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27D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32" w:type="dxa"/>
            <w:tcBorders>
              <w:left w:val="nil"/>
              <w:right w:val="single" w:color="000000" w:sz="4" w:space="0"/>
            </w:tcBorders>
            <w:vAlign w:val="top"/>
          </w:tcPr>
          <w:p w14:paraId="07C8D440">
            <w:pPr>
              <w:spacing w:before="9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944" w:type="dxa"/>
            <w:vMerge w:val="continue"/>
            <w:tcBorders>
              <w:top w:val="nil"/>
              <w:left w:val="single" w:color="000000" w:sz="4" w:space="0"/>
              <w:right w:val="single" w:color="000000" w:sz="4" w:space="0"/>
            </w:tcBorders>
            <w:vAlign w:val="top"/>
          </w:tcPr>
          <w:p w14:paraId="0E7EB8D2">
            <w:pPr>
              <w:rPr>
                <w:rFonts w:ascii="Arial"/>
                <w:sz w:val="21"/>
              </w:rPr>
            </w:pPr>
          </w:p>
        </w:tc>
        <w:tc>
          <w:tcPr>
            <w:tcW w:w="1680" w:type="dxa"/>
            <w:tcBorders>
              <w:left w:val="single" w:color="000000" w:sz="4" w:space="0"/>
              <w:right w:val="single" w:color="000000" w:sz="4" w:space="0"/>
            </w:tcBorders>
            <w:vAlign w:val="top"/>
          </w:tcPr>
          <w:p w14:paraId="2D719BFC">
            <w:pPr>
              <w:spacing w:before="61" w:line="228" w:lineRule="auto"/>
              <w:ind w:left="425"/>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1650" w:type="dxa"/>
            <w:tcBorders>
              <w:left w:val="single" w:color="000000" w:sz="4" w:space="0"/>
              <w:right w:val="single" w:color="000000" w:sz="4" w:space="0"/>
            </w:tcBorders>
            <w:vAlign w:val="top"/>
          </w:tcPr>
          <w:p w14:paraId="6392D0D2">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FE50B43">
            <w:pPr>
              <w:spacing w:before="9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226" w:type="dxa"/>
            <w:tcBorders>
              <w:left w:val="single" w:color="000000" w:sz="4" w:space="0"/>
              <w:right w:val="single" w:color="000000" w:sz="4" w:space="0"/>
            </w:tcBorders>
            <w:vAlign w:val="top"/>
          </w:tcPr>
          <w:p w14:paraId="224C12E2">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7456FB6">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B86B691">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595E1C15">
      <w:pPr>
        <w:rPr>
          <w:rFonts w:ascii="Arial"/>
          <w:sz w:val="21"/>
        </w:rPr>
      </w:pPr>
    </w:p>
    <w:p w14:paraId="6969E6AA">
      <w:pPr>
        <w:sectPr>
          <w:headerReference r:id="rId189" w:type="default"/>
          <w:footerReference r:id="rId190" w:type="default"/>
          <w:pgSz w:w="11906" w:h="16839"/>
          <w:pgMar w:top="1132" w:right="1777" w:bottom="1182" w:left="1777" w:header="878" w:footer="1022" w:gutter="0"/>
          <w:cols w:space="720" w:num="1"/>
        </w:sectPr>
      </w:pPr>
    </w:p>
    <w:p w14:paraId="4BD4119D">
      <w:r>
        <w:pict>
          <v:rect id="_x0000_s1232" o:spid="_x0000_s1232" o:spt="1" style="position:absolute;left:0pt;margin-left:90pt;margin-top:57.35pt;height:0.75pt;width:415.3pt;mso-position-horizontal-relative:page;mso-position-vertical-relative:page;z-index:251884544;mso-width-relative:page;mso-height-relative:page;" fillcolor="#000000" filled="t" stroked="f" coordsize="21600,21600" o:allowincell="f">
            <v:path/>
            <v:fill on="t" focussize="0,0"/>
            <v:stroke on="f"/>
            <v:imagedata o:title=""/>
            <o:lock v:ext="edit"/>
          </v:rect>
        </w:pict>
      </w:r>
    </w:p>
    <w:p w14:paraId="4D944C36">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944"/>
        <w:gridCol w:w="1680"/>
        <w:gridCol w:w="1650"/>
        <w:gridCol w:w="930"/>
        <w:gridCol w:w="1226"/>
        <w:gridCol w:w="705"/>
        <w:gridCol w:w="684"/>
      </w:tblGrid>
      <w:tr w14:paraId="1D3C0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32" w:type="dxa"/>
            <w:tcBorders>
              <w:left w:val="nil"/>
              <w:right w:val="single" w:color="000000" w:sz="4" w:space="0"/>
            </w:tcBorders>
            <w:vAlign w:val="top"/>
          </w:tcPr>
          <w:p w14:paraId="61FCFCDA">
            <w:pPr>
              <w:spacing w:before="111"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944" w:type="dxa"/>
            <w:vMerge w:val="restart"/>
            <w:tcBorders>
              <w:left w:val="single" w:color="000000" w:sz="4" w:space="0"/>
              <w:bottom w:val="nil"/>
              <w:right w:val="single" w:color="000000" w:sz="4" w:space="0"/>
            </w:tcBorders>
            <w:vAlign w:val="top"/>
          </w:tcPr>
          <w:p w14:paraId="35EB9494">
            <w:pPr>
              <w:rPr>
                <w:rFonts w:ascii="Arial"/>
                <w:sz w:val="21"/>
              </w:rPr>
            </w:pPr>
          </w:p>
        </w:tc>
        <w:tc>
          <w:tcPr>
            <w:tcW w:w="1680" w:type="dxa"/>
            <w:tcBorders>
              <w:left w:val="single" w:color="000000" w:sz="4" w:space="0"/>
              <w:right w:val="single" w:color="000000" w:sz="4" w:space="0"/>
            </w:tcBorders>
            <w:vAlign w:val="top"/>
          </w:tcPr>
          <w:p w14:paraId="334B8070">
            <w:pPr>
              <w:spacing w:before="76" w:line="233" w:lineRule="auto"/>
              <w:ind w:left="27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二氯丙烷</w:t>
            </w:r>
          </w:p>
        </w:tc>
        <w:tc>
          <w:tcPr>
            <w:tcW w:w="1650" w:type="dxa"/>
            <w:tcBorders>
              <w:left w:val="single" w:color="000000" w:sz="4" w:space="0"/>
              <w:right w:val="single" w:color="000000" w:sz="4" w:space="0"/>
            </w:tcBorders>
            <w:vAlign w:val="top"/>
          </w:tcPr>
          <w:p w14:paraId="57F1E8AD">
            <w:pPr>
              <w:spacing w:before="30" w:line="281" w:lineRule="exact"/>
              <w:ind w:left="365"/>
              <w:rPr>
                <w:rFonts w:ascii="Times New Roman" w:hAnsi="Times New Roman" w:eastAsia="Times New Roman" w:cs="Times New Roman"/>
                <w:sz w:val="20"/>
                <w:szCs w:val="20"/>
              </w:rPr>
            </w:pP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 1μg/kg</w:t>
            </w:r>
          </w:p>
        </w:tc>
        <w:tc>
          <w:tcPr>
            <w:tcW w:w="930" w:type="dxa"/>
            <w:tcBorders>
              <w:left w:val="single" w:color="000000" w:sz="4" w:space="0"/>
              <w:right w:val="single" w:color="000000" w:sz="4" w:space="0"/>
            </w:tcBorders>
            <w:vAlign w:val="top"/>
          </w:tcPr>
          <w:p w14:paraId="060B4F34">
            <w:pPr>
              <w:spacing w:before="114" w:line="192"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1B78B99B">
            <w:pPr>
              <w:spacing w:before="38"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1E4CB70">
            <w:pPr>
              <w:spacing w:before="11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3456CA4">
            <w:pPr>
              <w:spacing w:before="11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C2AD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75D0EF90">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944" w:type="dxa"/>
            <w:vMerge w:val="continue"/>
            <w:tcBorders>
              <w:top w:val="nil"/>
              <w:left w:val="single" w:color="000000" w:sz="4" w:space="0"/>
              <w:bottom w:val="nil"/>
              <w:right w:val="single" w:color="000000" w:sz="4" w:space="0"/>
            </w:tcBorders>
            <w:vAlign w:val="top"/>
          </w:tcPr>
          <w:p w14:paraId="38967C31">
            <w:pPr>
              <w:rPr>
                <w:rFonts w:ascii="Arial"/>
                <w:sz w:val="21"/>
              </w:rPr>
            </w:pPr>
          </w:p>
        </w:tc>
        <w:tc>
          <w:tcPr>
            <w:tcW w:w="1680" w:type="dxa"/>
            <w:tcBorders>
              <w:left w:val="single" w:color="000000" w:sz="4" w:space="0"/>
              <w:right w:val="single" w:color="000000" w:sz="4" w:space="0"/>
            </w:tcBorders>
            <w:vAlign w:val="top"/>
          </w:tcPr>
          <w:p w14:paraId="5761C81F">
            <w:pPr>
              <w:spacing w:before="56" w:line="221" w:lineRule="auto"/>
              <w:ind w:left="11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xml:space="preserve">, 1, 1,2- </w:t>
            </w:r>
            <w:r>
              <w:rPr>
                <w:rFonts w:ascii="宋体" w:hAnsi="宋体" w:eastAsia="宋体" w:cs="宋体"/>
                <w:spacing w:val="-7"/>
                <w:sz w:val="20"/>
                <w:szCs w:val="20"/>
              </w:rPr>
              <w:t>四氯乙烷</w:t>
            </w:r>
          </w:p>
        </w:tc>
        <w:tc>
          <w:tcPr>
            <w:tcW w:w="1650" w:type="dxa"/>
            <w:tcBorders>
              <w:left w:val="single" w:color="000000" w:sz="4" w:space="0"/>
              <w:right w:val="single" w:color="000000" w:sz="4" w:space="0"/>
            </w:tcBorders>
            <w:vAlign w:val="top"/>
          </w:tcPr>
          <w:p w14:paraId="5627169D">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ACBF88C">
            <w:pPr>
              <w:spacing w:before="9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26" w:type="dxa"/>
            <w:tcBorders>
              <w:left w:val="single" w:color="000000" w:sz="4" w:space="0"/>
              <w:right w:val="single" w:color="000000" w:sz="4" w:space="0"/>
            </w:tcBorders>
            <w:vAlign w:val="top"/>
          </w:tcPr>
          <w:p w14:paraId="3F00A653">
            <w:pPr>
              <w:spacing w:before="18"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19C3B83">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FD2B8B0">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4A4A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104403F">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944" w:type="dxa"/>
            <w:vMerge w:val="continue"/>
            <w:tcBorders>
              <w:top w:val="nil"/>
              <w:left w:val="single" w:color="000000" w:sz="4" w:space="0"/>
              <w:bottom w:val="nil"/>
              <w:right w:val="single" w:color="000000" w:sz="4" w:space="0"/>
            </w:tcBorders>
            <w:vAlign w:val="top"/>
          </w:tcPr>
          <w:p w14:paraId="7192BC87">
            <w:pPr>
              <w:rPr>
                <w:rFonts w:ascii="Arial"/>
                <w:sz w:val="21"/>
              </w:rPr>
            </w:pPr>
          </w:p>
        </w:tc>
        <w:tc>
          <w:tcPr>
            <w:tcW w:w="1680" w:type="dxa"/>
            <w:tcBorders>
              <w:left w:val="single" w:color="000000" w:sz="4" w:space="0"/>
              <w:right w:val="single" w:color="000000" w:sz="4" w:space="0"/>
            </w:tcBorders>
            <w:vAlign w:val="top"/>
          </w:tcPr>
          <w:p w14:paraId="616ECECF">
            <w:pPr>
              <w:spacing w:before="57" w:line="233" w:lineRule="auto"/>
              <w:ind w:left="11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1,2,2- </w:t>
            </w:r>
            <w:r>
              <w:rPr>
                <w:rFonts w:ascii="宋体" w:hAnsi="宋体" w:eastAsia="宋体" w:cs="宋体"/>
                <w:spacing w:val="-4"/>
                <w:sz w:val="20"/>
                <w:szCs w:val="20"/>
              </w:rPr>
              <w:t>四氯乙烷</w:t>
            </w:r>
          </w:p>
        </w:tc>
        <w:tc>
          <w:tcPr>
            <w:tcW w:w="1650" w:type="dxa"/>
            <w:tcBorders>
              <w:left w:val="single" w:color="000000" w:sz="4" w:space="0"/>
              <w:right w:val="single" w:color="000000" w:sz="4" w:space="0"/>
            </w:tcBorders>
            <w:vAlign w:val="top"/>
          </w:tcPr>
          <w:p w14:paraId="3F0F78BA">
            <w:pPr>
              <w:spacing w:before="17"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42F1BEA">
            <w:pPr>
              <w:spacing w:before="93"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1226" w:type="dxa"/>
            <w:tcBorders>
              <w:left w:val="single" w:color="000000" w:sz="4" w:space="0"/>
              <w:right w:val="single" w:color="000000" w:sz="4" w:space="0"/>
            </w:tcBorders>
            <w:vAlign w:val="top"/>
          </w:tcPr>
          <w:p w14:paraId="6DB62002">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F993C6F">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E8927C0">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F4E2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E7BDDBE">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944" w:type="dxa"/>
            <w:vMerge w:val="continue"/>
            <w:tcBorders>
              <w:top w:val="nil"/>
              <w:left w:val="single" w:color="000000" w:sz="4" w:space="0"/>
              <w:bottom w:val="nil"/>
              <w:right w:val="single" w:color="000000" w:sz="4" w:space="0"/>
            </w:tcBorders>
            <w:vAlign w:val="top"/>
          </w:tcPr>
          <w:p w14:paraId="78A2CD6F">
            <w:pPr>
              <w:rPr>
                <w:rFonts w:ascii="Arial"/>
                <w:sz w:val="21"/>
              </w:rPr>
            </w:pPr>
          </w:p>
        </w:tc>
        <w:tc>
          <w:tcPr>
            <w:tcW w:w="1680" w:type="dxa"/>
            <w:tcBorders>
              <w:left w:val="single" w:color="000000" w:sz="4" w:space="0"/>
              <w:right w:val="single" w:color="000000" w:sz="4" w:space="0"/>
            </w:tcBorders>
            <w:vAlign w:val="top"/>
          </w:tcPr>
          <w:p w14:paraId="6065FDE1">
            <w:pPr>
              <w:spacing w:before="56" w:line="228" w:lineRule="auto"/>
              <w:ind w:left="44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1650" w:type="dxa"/>
            <w:tcBorders>
              <w:left w:val="single" w:color="000000" w:sz="4" w:space="0"/>
              <w:right w:val="single" w:color="000000" w:sz="4" w:space="0"/>
            </w:tcBorders>
            <w:vAlign w:val="top"/>
          </w:tcPr>
          <w:p w14:paraId="26B13751">
            <w:pPr>
              <w:spacing w:before="17"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1.4μ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A063778">
            <w:pPr>
              <w:spacing w:before="92"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26" w:type="dxa"/>
            <w:tcBorders>
              <w:left w:val="single" w:color="000000" w:sz="4" w:space="0"/>
              <w:right w:val="single" w:color="000000" w:sz="4" w:space="0"/>
            </w:tcBorders>
            <w:vAlign w:val="top"/>
          </w:tcPr>
          <w:p w14:paraId="48B5F92F">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08CC41E">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BA09326">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F15B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DCC5994">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944" w:type="dxa"/>
            <w:vMerge w:val="continue"/>
            <w:tcBorders>
              <w:top w:val="nil"/>
              <w:left w:val="single" w:color="000000" w:sz="4" w:space="0"/>
              <w:bottom w:val="nil"/>
              <w:right w:val="single" w:color="000000" w:sz="4" w:space="0"/>
            </w:tcBorders>
            <w:vAlign w:val="top"/>
          </w:tcPr>
          <w:p w14:paraId="61772140">
            <w:pPr>
              <w:rPr>
                <w:rFonts w:ascii="Arial"/>
                <w:sz w:val="21"/>
              </w:rPr>
            </w:pPr>
          </w:p>
        </w:tc>
        <w:tc>
          <w:tcPr>
            <w:tcW w:w="1680" w:type="dxa"/>
            <w:tcBorders>
              <w:left w:val="single" w:color="000000" w:sz="4" w:space="0"/>
              <w:right w:val="single" w:color="000000" w:sz="4" w:space="0"/>
            </w:tcBorders>
            <w:vAlign w:val="top"/>
          </w:tcPr>
          <w:p w14:paraId="0A2C236C">
            <w:pPr>
              <w:spacing w:before="57" w:line="233" w:lineRule="auto"/>
              <w:ind w:left="19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 1, 1-</w:t>
            </w:r>
            <w:r>
              <w:rPr>
                <w:rFonts w:ascii="宋体" w:hAnsi="宋体" w:eastAsia="宋体" w:cs="宋体"/>
                <w:spacing w:val="-5"/>
                <w:sz w:val="20"/>
                <w:szCs w:val="20"/>
              </w:rPr>
              <w:t>三氯乙烷</w:t>
            </w:r>
          </w:p>
        </w:tc>
        <w:tc>
          <w:tcPr>
            <w:tcW w:w="1650" w:type="dxa"/>
            <w:tcBorders>
              <w:left w:val="single" w:color="000000" w:sz="4" w:space="0"/>
              <w:right w:val="single" w:color="000000" w:sz="4" w:space="0"/>
            </w:tcBorders>
            <w:vAlign w:val="top"/>
          </w:tcPr>
          <w:p w14:paraId="1BA8BEA8">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791FA88">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3A0F563F">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78B468C">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846B827">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5697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D0BE954">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944" w:type="dxa"/>
            <w:vMerge w:val="continue"/>
            <w:tcBorders>
              <w:top w:val="nil"/>
              <w:left w:val="single" w:color="000000" w:sz="4" w:space="0"/>
              <w:bottom w:val="nil"/>
              <w:right w:val="single" w:color="000000" w:sz="4" w:space="0"/>
            </w:tcBorders>
            <w:vAlign w:val="top"/>
          </w:tcPr>
          <w:p w14:paraId="0C42E868">
            <w:pPr>
              <w:rPr>
                <w:rFonts w:ascii="Arial"/>
                <w:sz w:val="21"/>
              </w:rPr>
            </w:pPr>
          </w:p>
        </w:tc>
        <w:tc>
          <w:tcPr>
            <w:tcW w:w="1680" w:type="dxa"/>
            <w:tcBorders>
              <w:left w:val="single" w:color="000000" w:sz="4" w:space="0"/>
              <w:right w:val="single" w:color="000000" w:sz="4" w:space="0"/>
            </w:tcBorders>
            <w:vAlign w:val="top"/>
          </w:tcPr>
          <w:p w14:paraId="197CD4C5">
            <w:pPr>
              <w:spacing w:before="57" w:line="233" w:lineRule="auto"/>
              <w:ind w:left="196"/>
              <w:rPr>
                <w:rFonts w:ascii="宋体" w:hAnsi="宋体" w:eastAsia="宋体" w:cs="宋体"/>
                <w:sz w:val="20"/>
                <w:szCs w:val="20"/>
              </w:rPr>
            </w:pPr>
            <w:r>
              <w:rPr>
                <w:rFonts w:ascii="Times New Roman" w:hAnsi="Times New Roman" w:eastAsia="Times New Roman" w:cs="Times New Roman"/>
                <w:spacing w:val="-2"/>
                <w:sz w:val="20"/>
                <w:szCs w:val="20"/>
              </w:rPr>
              <w:t>1, 1,2</w:t>
            </w:r>
            <w:r>
              <w:rPr>
                <w:rFonts w:ascii="Times New Roman" w:hAnsi="Times New Roman" w:eastAsia="Times New Roman" w:cs="Times New Roman"/>
                <w:spacing w:val="-1"/>
                <w:sz w:val="20"/>
                <w:szCs w:val="20"/>
              </w:rPr>
              <w:t>-</w:t>
            </w:r>
            <w:r>
              <w:rPr>
                <w:rFonts w:ascii="宋体" w:hAnsi="宋体" w:eastAsia="宋体" w:cs="宋体"/>
                <w:spacing w:val="-1"/>
                <w:sz w:val="20"/>
                <w:szCs w:val="20"/>
              </w:rPr>
              <w:t>三氯乙烷</w:t>
            </w:r>
          </w:p>
        </w:tc>
        <w:tc>
          <w:tcPr>
            <w:tcW w:w="1650" w:type="dxa"/>
            <w:tcBorders>
              <w:left w:val="single" w:color="000000" w:sz="4" w:space="0"/>
              <w:right w:val="single" w:color="000000" w:sz="4" w:space="0"/>
            </w:tcBorders>
            <w:vAlign w:val="top"/>
          </w:tcPr>
          <w:p w14:paraId="3578987F">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2D128EC">
            <w:pPr>
              <w:spacing w:before="92"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6598832D">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E4C2F63">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41BDA58">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D457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276E104D">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944" w:type="dxa"/>
            <w:vMerge w:val="continue"/>
            <w:tcBorders>
              <w:top w:val="nil"/>
              <w:left w:val="single" w:color="000000" w:sz="4" w:space="0"/>
              <w:bottom w:val="nil"/>
              <w:right w:val="single" w:color="000000" w:sz="4" w:space="0"/>
            </w:tcBorders>
            <w:vAlign w:val="top"/>
          </w:tcPr>
          <w:p w14:paraId="0F9A0814">
            <w:pPr>
              <w:rPr>
                <w:rFonts w:ascii="Arial"/>
                <w:sz w:val="21"/>
              </w:rPr>
            </w:pPr>
          </w:p>
        </w:tc>
        <w:tc>
          <w:tcPr>
            <w:tcW w:w="1680" w:type="dxa"/>
            <w:tcBorders>
              <w:left w:val="single" w:color="000000" w:sz="4" w:space="0"/>
              <w:right w:val="single" w:color="000000" w:sz="4" w:space="0"/>
            </w:tcBorders>
            <w:vAlign w:val="top"/>
          </w:tcPr>
          <w:p w14:paraId="6F7B7151">
            <w:pPr>
              <w:spacing w:before="56" w:line="228" w:lineRule="auto"/>
              <w:ind w:left="422"/>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1650" w:type="dxa"/>
            <w:tcBorders>
              <w:left w:val="single" w:color="000000" w:sz="4" w:space="0"/>
              <w:right w:val="single" w:color="000000" w:sz="4" w:space="0"/>
            </w:tcBorders>
            <w:vAlign w:val="top"/>
          </w:tcPr>
          <w:p w14:paraId="72769213">
            <w:pPr>
              <w:spacing w:before="18"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6E60FC4">
            <w:pPr>
              <w:spacing w:before="92"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1CC90881">
            <w:pPr>
              <w:spacing w:before="18"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CD1A67A">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2E9603F">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877D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F13E94C">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944" w:type="dxa"/>
            <w:vMerge w:val="continue"/>
            <w:tcBorders>
              <w:top w:val="nil"/>
              <w:left w:val="single" w:color="000000" w:sz="4" w:space="0"/>
              <w:bottom w:val="nil"/>
              <w:right w:val="single" w:color="000000" w:sz="4" w:space="0"/>
            </w:tcBorders>
            <w:vAlign w:val="top"/>
          </w:tcPr>
          <w:p w14:paraId="6A4A5C7D">
            <w:pPr>
              <w:rPr>
                <w:rFonts w:ascii="Arial"/>
                <w:sz w:val="21"/>
              </w:rPr>
            </w:pPr>
          </w:p>
        </w:tc>
        <w:tc>
          <w:tcPr>
            <w:tcW w:w="1680" w:type="dxa"/>
            <w:tcBorders>
              <w:left w:val="single" w:color="000000" w:sz="4" w:space="0"/>
              <w:right w:val="single" w:color="000000" w:sz="4" w:space="0"/>
            </w:tcBorders>
            <w:vAlign w:val="top"/>
          </w:tcPr>
          <w:p w14:paraId="664DC75A">
            <w:pPr>
              <w:spacing w:before="57" w:line="233" w:lineRule="auto"/>
              <w:ind w:left="19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,2,3-</w:t>
            </w:r>
            <w:r>
              <w:rPr>
                <w:rFonts w:ascii="宋体" w:hAnsi="宋体" w:eastAsia="宋体" w:cs="宋体"/>
                <w:spacing w:val="3"/>
                <w:sz w:val="20"/>
                <w:szCs w:val="20"/>
              </w:rPr>
              <w:t>三氯丙烷</w:t>
            </w:r>
          </w:p>
        </w:tc>
        <w:tc>
          <w:tcPr>
            <w:tcW w:w="1650" w:type="dxa"/>
            <w:tcBorders>
              <w:left w:val="single" w:color="000000" w:sz="4" w:space="0"/>
              <w:right w:val="single" w:color="000000" w:sz="4" w:space="0"/>
            </w:tcBorders>
            <w:vAlign w:val="top"/>
          </w:tcPr>
          <w:p w14:paraId="612729A0">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81E7D4A">
            <w:pPr>
              <w:spacing w:before="9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226" w:type="dxa"/>
            <w:tcBorders>
              <w:left w:val="single" w:color="000000" w:sz="4" w:space="0"/>
              <w:right w:val="single" w:color="000000" w:sz="4" w:space="0"/>
            </w:tcBorders>
            <w:vAlign w:val="top"/>
          </w:tcPr>
          <w:p w14:paraId="2E782DB2">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E9C6DDD">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A62100E">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8043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210E5861">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944" w:type="dxa"/>
            <w:vMerge w:val="continue"/>
            <w:tcBorders>
              <w:top w:val="nil"/>
              <w:left w:val="single" w:color="000000" w:sz="4" w:space="0"/>
              <w:bottom w:val="nil"/>
              <w:right w:val="single" w:color="000000" w:sz="4" w:space="0"/>
            </w:tcBorders>
            <w:vAlign w:val="top"/>
          </w:tcPr>
          <w:p w14:paraId="069C0764">
            <w:pPr>
              <w:rPr>
                <w:rFonts w:ascii="Arial"/>
                <w:sz w:val="21"/>
              </w:rPr>
            </w:pPr>
          </w:p>
        </w:tc>
        <w:tc>
          <w:tcPr>
            <w:tcW w:w="1680" w:type="dxa"/>
            <w:tcBorders>
              <w:left w:val="single" w:color="000000" w:sz="4" w:space="0"/>
              <w:right w:val="single" w:color="000000" w:sz="4" w:space="0"/>
            </w:tcBorders>
            <w:vAlign w:val="top"/>
          </w:tcPr>
          <w:p w14:paraId="10430B2C">
            <w:pPr>
              <w:spacing w:before="56" w:line="228" w:lineRule="auto"/>
              <w:ind w:left="531"/>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1650" w:type="dxa"/>
            <w:tcBorders>
              <w:left w:val="single" w:color="000000" w:sz="4" w:space="0"/>
              <w:right w:val="single" w:color="000000" w:sz="4" w:space="0"/>
            </w:tcBorders>
            <w:vAlign w:val="top"/>
          </w:tcPr>
          <w:p w14:paraId="40E062D7">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27A4B22">
            <w:pPr>
              <w:spacing w:before="93"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.43</w:t>
            </w:r>
          </w:p>
        </w:tc>
        <w:tc>
          <w:tcPr>
            <w:tcW w:w="1226" w:type="dxa"/>
            <w:tcBorders>
              <w:left w:val="single" w:color="000000" w:sz="4" w:space="0"/>
              <w:right w:val="single" w:color="000000" w:sz="4" w:space="0"/>
            </w:tcBorders>
            <w:vAlign w:val="top"/>
          </w:tcPr>
          <w:p w14:paraId="7049E49C">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D511AA7">
            <w:pPr>
              <w:spacing w:before="9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16F2A45">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15C3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C21D1C2">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944" w:type="dxa"/>
            <w:vMerge w:val="continue"/>
            <w:tcBorders>
              <w:top w:val="nil"/>
              <w:left w:val="single" w:color="000000" w:sz="4" w:space="0"/>
              <w:bottom w:val="nil"/>
              <w:right w:val="single" w:color="000000" w:sz="4" w:space="0"/>
            </w:tcBorders>
            <w:vAlign w:val="top"/>
          </w:tcPr>
          <w:p w14:paraId="46DE13EC">
            <w:pPr>
              <w:rPr>
                <w:rFonts w:ascii="Arial"/>
                <w:sz w:val="21"/>
              </w:rPr>
            </w:pPr>
          </w:p>
        </w:tc>
        <w:tc>
          <w:tcPr>
            <w:tcW w:w="1680" w:type="dxa"/>
            <w:tcBorders>
              <w:left w:val="single" w:color="000000" w:sz="4" w:space="0"/>
              <w:right w:val="single" w:color="000000" w:sz="4" w:space="0"/>
            </w:tcBorders>
            <w:vAlign w:val="top"/>
          </w:tcPr>
          <w:p w14:paraId="1EEBE16C">
            <w:pPr>
              <w:spacing w:before="57" w:line="227" w:lineRule="auto"/>
              <w:ind w:left="741"/>
              <w:rPr>
                <w:rFonts w:ascii="宋体" w:hAnsi="宋体" w:eastAsia="宋体" w:cs="宋体"/>
                <w:sz w:val="20"/>
                <w:szCs w:val="20"/>
              </w:rPr>
            </w:pPr>
            <w:r>
              <w:rPr>
                <w:rFonts w:ascii="宋体" w:hAnsi="宋体" w:eastAsia="宋体" w:cs="宋体"/>
                <w:sz w:val="20"/>
                <w:szCs w:val="20"/>
              </w:rPr>
              <w:t>苯</w:t>
            </w:r>
          </w:p>
        </w:tc>
        <w:tc>
          <w:tcPr>
            <w:tcW w:w="1650" w:type="dxa"/>
            <w:tcBorders>
              <w:left w:val="single" w:color="000000" w:sz="4" w:space="0"/>
              <w:right w:val="single" w:color="000000" w:sz="4" w:space="0"/>
            </w:tcBorders>
            <w:vAlign w:val="top"/>
          </w:tcPr>
          <w:p w14:paraId="330F47E0">
            <w:pPr>
              <w:spacing w:before="20"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4</w:t>
            </w:r>
            <w:r>
              <w:rPr>
                <w:rFonts w:ascii="Times New Roman" w:hAnsi="Times New Roman" w:eastAsia="Times New Roman" w:cs="Times New Roman"/>
                <w:spacing w:val="5"/>
                <w:position w:val="2"/>
                <w:sz w:val="20"/>
                <w:szCs w:val="20"/>
              </w:rPr>
              <w:t>3.3μ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D2F2850">
            <w:pPr>
              <w:spacing w:before="9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26" w:type="dxa"/>
            <w:tcBorders>
              <w:left w:val="single" w:color="000000" w:sz="4" w:space="0"/>
              <w:right w:val="single" w:color="000000" w:sz="4" w:space="0"/>
            </w:tcBorders>
            <w:vAlign w:val="top"/>
          </w:tcPr>
          <w:p w14:paraId="273548A7">
            <w:pPr>
              <w:spacing w:before="9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05" w:type="dxa"/>
            <w:tcBorders>
              <w:left w:val="single" w:color="000000" w:sz="4" w:space="0"/>
            </w:tcBorders>
            <w:vAlign w:val="top"/>
          </w:tcPr>
          <w:p w14:paraId="427C4838">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0587AE6">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DE33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316D973">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944" w:type="dxa"/>
            <w:vMerge w:val="continue"/>
            <w:tcBorders>
              <w:top w:val="nil"/>
              <w:left w:val="single" w:color="000000" w:sz="4" w:space="0"/>
              <w:bottom w:val="nil"/>
              <w:right w:val="single" w:color="000000" w:sz="4" w:space="0"/>
            </w:tcBorders>
            <w:vAlign w:val="top"/>
          </w:tcPr>
          <w:p w14:paraId="00785D32">
            <w:pPr>
              <w:rPr>
                <w:rFonts w:ascii="Arial"/>
                <w:sz w:val="21"/>
              </w:rPr>
            </w:pPr>
          </w:p>
        </w:tc>
        <w:tc>
          <w:tcPr>
            <w:tcW w:w="1680" w:type="dxa"/>
            <w:tcBorders>
              <w:left w:val="single" w:color="000000" w:sz="4" w:space="0"/>
              <w:right w:val="single" w:color="000000" w:sz="4" w:space="0"/>
            </w:tcBorders>
            <w:vAlign w:val="top"/>
          </w:tcPr>
          <w:p w14:paraId="7AEDA4CF">
            <w:pPr>
              <w:spacing w:before="57" w:line="227" w:lineRule="auto"/>
              <w:ind w:left="636"/>
              <w:rPr>
                <w:rFonts w:ascii="宋体" w:hAnsi="宋体" w:eastAsia="宋体" w:cs="宋体"/>
                <w:sz w:val="20"/>
                <w:szCs w:val="20"/>
              </w:rPr>
            </w:pPr>
            <w:r>
              <w:rPr>
                <w:rFonts w:ascii="宋体" w:hAnsi="宋体" w:eastAsia="宋体" w:cs="宋体"/>
                <w:spacing w:val="3"/>
                <w:sz w:val="20"/>
                <w:szCs w:val="20"/>
              </w:rPr>
              <w:t>氯苯</w:t>
            </w:r>
          </w:p>
        </w:tc>
        <w:tc>
          <w:tcPr>
            <w:tcW w:w="1650" w:type="dxa"/>
            <w:tcBorders>
              <w:left w:val="single" w:color="000000" w:sz="4" w:space="0"/>
              <w:right w:val="single" w:color="000000" w:sz="4" w:space="0"/>
            </w:tcBorders>
            <w:vAlign w:val="top"/>
          </w:tcPr>
          <w:p w14:paraId="44FA7580">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8B61851">
            <w:pPr>
              <w:spacing w:before="93"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w:t>
            </w:r>
          </w:p>
        </w:tc>
        <w:tc>
          <w:tcPr>
            <w:tcW w:w="1226" w:type="dxa"/>
            <w:tcBorders>
              <w:left w:val="single" w:color="000000" w:sz="4" w:space="0"/>
              <w:right w:val="single" w:color="000000" w:sz="4" w:space="0"/>
            </w:tcBorders>
            <w:vAlign w:val="top"/>
          </w:tcPr>
          <w:p w14:paraId="67510D64">
            <w:pPr>
              <w:spacing w:before="20"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A0726D9">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D163FBE">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9E3F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50CCEEA4">
            <w:pPr>
              <w:spacing w:before="9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944" w:type="dxa"/>
            <w:vMerge w:val="continue"/>
            <w:tcBorders>
              <w:top w:val="nil"/>
              <w:left w:val="single" w:color="000000" w:sz="4" w:space="0"/>
              <w:bottom w:val="nil"/>
              <w:right w:val="single" w:color="000000" w:sz="4" w:space="0"/>
            </w:tcBorders>
            <w:vAlign w:val="top"/>
          </w:tcPr>
          <w:p w14:paraId="6E0C85A2">
            <w:pPr>
              <w:rPr>
                <w:rFonts w:ascii="Arial"/>
                <w:sz w:val="21"/>
              </w:rPr>
            </w:pPr>
          </w:p>
        </w:tc>
        <w:tc>
          <w:tcPr>
            <w:tcW w:w="1680" w:type="dxa"/>
            <w:tcBorders>
              <w:left w:val="single" w:color="000000" w:sz="4" w:space="0"/>
              <w:right w:val="single" w:color="000000" w:sz="4" w:space="0"/>
            </w:tcBorders>
            <w:vAlign w:val="top"/>
          </w:tcPr>
          <w:p w14:paraId="50865338">
            <w:pPr>
              <w:spacing w:before="57" w:line="232" w:lineRule="auto"/>
              <w:ind w:left="37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650" w:type="dxa"/>
            <w:tcBorders>
              <w:left w:val="single" w:color="000000" w:sz="4" w:space="0"/>
              <w:right w:val="single" w:color="000000" w:sz="4" w:space="0"/>
            </w:tcBorders>
            <w:vAlign w:val="top"/>
          </w:tcPr>
          <w:p w14:paraId="71BE1B14">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B634F52">
            <w:pPr>
              <w:spacing w:before="9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c>
          <w:tcPr>
            <w:tcW w:w="1226" w:type="dxa"/>
            <w:tcBorders>
              <w:left w:val="single" w:color="000000" w:sz="4" w:space="0"/>
              <w:right w:val="single" w:color="000000" w:sz="4" w:space="0"/>
            </w:tcBorders>
            <w:vAlign w:val="top"/>
          </w:tcPr>
          <w:p w14:paraId="4F0B46A6">
            <w:pPr>
              <w:spacing w:before="19"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91C2F99">
            <w:pPr>
              <w:spacing w:before="9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6A7763B">
            <w:pPr>
              <w:spacing w:before="9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61E1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68D3257">
            <w:pPr>
              <w:spacing w:before="9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944" w:type="dxa"/>
            <w:vMerge w:val="continue"/>
            <w:tcBorders>
              <w:top w:val="nil"/>
              <w:left w:val="single" w:color="000000" w:sz="4" w:space="0"/>
              <w:bottom w:val="nil"/>
              <w:right w:val="single" w:color="000000" w:sz="4" w:space="0"/>
            </w:tcBorders>
            <w:vAlign w:val="top"/>
          </w:tcPr>
          <w:p w14:paraId="161A0638">
            <w:pPr>
              <w:rPr>
                <w:rFonts w:ascii="Arial"/>
                <w:sz w:val="21"/>
              </w:rPr>
            </w:pPr>
          </w:p>
        </w:tc>
        <w:tc>
          <w:tcPr>
            <w:tcW w:w="1680" w:type="dxa"/>
            <w:tcBorders>
              <w:left w:val="single" w:color="000000" w:sz="4" w:space="0"/>
              <w:right w:val="single" w:color="000000" w:sz="4" w:space="0"/>
            </w:tcBorders>
            <w:vAlign w:val="top"/>
          </w:tcPr>
          <w:p w14:paraId="31950434">
            <w:pPr>
              <w:spacing w:before="58" w:line="232" w:lineRule="auto"/>
              <w:ind w:left="37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650" w:type="dxa"/>
            <w:tcBorders>
              <w:left w:val="single" w:color="000000" w:sz="4" w:space="0"/>
              <w:right w:val="single" w:color="000000" w:sz="4" w:space="0"/>
            </w:tcBorders>
            <w:vAlign w:val="top"/>
          </w:tcPr>
          <w:p w14:paraId="296B7D5A">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B53EE19">
            <w:pPr>
              <w:spacing w:before="94"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26" w:type="dxa"/>
            <w:tcBorders>
              <w:left w:val="single" w:color="000000" w:sz="4" w:space="0"/>
              <w:right w:val="single" w:color="000000" w:sz="4" w:space="0"/>
            </w:tcBorders>
            <w:vAlign w:val="top"/>
          </w:tcPr>
          <w:p w14:paraId="64A3755D">
            <w:pPr>
              <w:spacing w:before="20"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FF32BDD">
            <w:pPr>
              <w:spacing w:before="9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51D74A6">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A441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2311EEEC">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944" w:type="dxa"/>
            <w:vMerge w:val="continue"/>
            <w:tcBorders>
              <w:top w:val="nil"/>
              <w:left w:val="single" w:color="000000" w:sz="4" w:space="0"/>
              <w:bottom w:val="nil"/>
              <w:right w:val="single" w:color="000000" w:sz="4" w:space="0"/>
            </w:tcBorders>
            <w:vAlign w:val="top"/>
          </w:tcPr>
          <w:p w14:paraId="77C84FA1">
            <w:pPr>
              <w:rPr>
                <w:rFonts w:ascii="Arial"/>
                <w:sz w:val="21"/>
              </w:rPr>
            </w:pPr>
          </w:p>
        </w:tc>
        <w:tc>
          <w:tcPr>
            <w:tcW w:w="1680" w:type="dxa"/>
            <w:tcBorders>
              <w:left w:val="single" w:color="000000" w:sz="4" w:space="0"/>
              <w:right w:val="single" w:color="000000" w:sz="4" w:space="0"/>
            </w:tcBorders>
            <w:vAlign w:val="top"/>
          </w:tcPr>
          <w:p w14:paraId="3E645184">
            <w:pPr>
              <w:spacing w:before="60" w:line="227" w:lineRule="auto"/>
              <w:ind w:left="653"/>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1650" w:type="dxa"/>
            <w:tcBorders>
              <w:left w:val="single" w:color="000000" w:sz="4" w:space="0"/>
              <w:right w:val="single" w:color="000000" w:sz="4" w:space="0"/>
            </w:tcBorders>
            <w:vAlign w:val="top"/>
          </w:tcPr>
          <w:p w14:paraId="1855B0FB">
            <w:pPr>
              <w:spacing w:before="22"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63.7μ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05F22C1">
            <w:pPr>
              <w:spacing w:before="96"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226" w:type="dxa"/>
            <w:tcBorders>
              <w:left w:val="single" w:color="000000" w:sz="4" w:space="0"/>
              <w:right w:val="single" w:color="000000" w:sz="4" w:space="0"/>
            </w:tcBorders>
            <w:vAlign w:val="top"/>
          </w:tcPr>
          <w:p w14:paraId="6601E6A0">
            <w:pPr>
              <w:spacing w:before="96"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.002</w:t>
            </w:r>
          </w:p>
        </w:tc>
        <w:tc>
          <w:tcPr>
            <w:tcW w:w="705" w:type="dxa"/>
            <w:tcBorders>
              <w:left w:val="single" w:color="000000" w:sz="4" w:space="0"/>
            </w:tcBorders>
            <w:vAlign w:val="top"/>
          </w:tcPr>
          <w:p w14:paraId="466F1063">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CDC3513">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F15A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0CD93FF">
            <w:pPr>
              <w:spacing w:before="9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944" w:type="dxa"/>
            <w:vMerge w:val="continue"/>
            <w:tcBorders>
              <w:top w:val="nil"/>
              <w:left w:val="single" w:color="000000" w:sz="4" w:space="0"/>
              <w:bottom w:val="nil"/>
              <w:right w:val="single" w:color="000000" w:sz="4" w:space="0"/>
            </w:tcBorders>
            <w:vAlign w:val="top"/>
          </w:tcPr>
          <w:p w14:paraId="27780B4B">
            <w:pPr>
              <w:rPr>
                <w:rFonts w:ascii="Arial"/>
                <w:sz w:val="21"/>
              </w:rPr>
            </w:pPr>
          </w:p>
        </w:tc>
        <w:tc>
          <w:tcPr>
            <w:tcW w:w="1680" w:type="dxa"/>
            <w:tcBorders>
              <w:left w:val="single" w:color="000000" w:sz="4" w:space="0"/>
              <w:right w:val="single" w:color="000000" w:sz="4" w:space="0"/>
            </w:tcBorders>
            <w:vAlign w:val="top"/>
          </w:tcPr>
          <w:p w14:paraId="33C11FD1">
            <w:pPr>
              <w:spacing w:before="61" w:line="227" w:lineRule="auto"/>
              <w:ind w:left="530"/>
              <w:rPr>
                <w:rFonts w:ascii="宋体" w:hAnsi="宋体" w:eastAsia="宋体" w:cs="宋体"/>
                <w:sz w:val="20"/>
                <w:szCs w:val="20"/>
              </w:rPr>
            </w:pPr>
            <w:r>
              <w:rPr>
                <w:rFonts w:ascii="宋体" w:hAnsi="宋体" w:eastAsia="宋体" w:cs="宋体"/>
                <w:spacing w:val="6"/>
                <w:sz w:val="20"/>
                <w:szCs w:val="20"/>
              </w:rPr>
              <w:t>苯乙烯</w:t>
            </w:r>
          </w:p>
        </w:tc>
        <w:tc>
          <w:tcPr>
            <w:tcW w:w="1650" w:type="dxa"/>
            <w:tcBorders>
              <w:left w:val="single" w:color="000000" w:sz="4" w:space="0"/>
              <w:right w:val="single" w:color="000000" w:sz="4" w:space="0"/>
            </w:tcBorders>
            <w:vAlign w:val="top"/>
          </w:tcPr>
          <w:p w14:paraId="1AA2BB9F">
            <w:pPr>
              <w:spacing w:before="23"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60.6μ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58B86425">
            <w:pPr>
              <w:spacing w:before="9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90</w:t>
            </w:r>
          </w:p>
        </w:tc>
        <w:tc>
          <w:tcPr>
            <w:tcW w:w="1226" w:type="dxa"/>
            <w:tcBorders>
              <w:left w:val="single" w:color="000000" w:sz="4" w:space="0"/>
              <w:right w:val="single" w:color="000000" w:sz="4" w:space="0"/>
            </w:tcBorders>
            <w:vAlign w:val="top"/>
          </w:tcPr>
          <w:p w14:paraId="4F614347">
            <w:pPr>
              <w:spacing w:before="9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00005</w:t>
            </w:r>
          </w:p>
        </w:tc>
        <w:tc>
          <w:tcPr>
            <w:tcW w:w="705" w:type="dxa"/>
            <w:tcBorders>
              <w:left w:val="single" w:color="000000" w:sz="4" w:space="0"/>
            </w:tcBorders>
            <w:vAlign w:val="top"/>
          </w:tcPr>
          <w:p w14:paraId="167977D3">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2EF1D62">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CB7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B55CAFF">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944" w:type="dxa"/>
            <w:vMerge w:val="continue"/>
            <w:tcBorders>
              <w:top w:val="nil"/>
              <w:left w:val="single" w:color="000000" w:sz="4" w:space="0"/>
              <w:bottom w:val="nil"/>
              <w:right w:val="single" w:color="000000" w:sz="4" w:space="0"/>
            </w:tcBorders>
            <w:vAlign w:val="top"/>
          </w:tcPr>
          <w:p w14:paraId="2B5B1A3B">
            <w:pPr>
              <w:rPr>
                <w:rFonts w:ascii="Arial"/>
                <w:sz w:val="21"/>
              </w:rPr>
            </w:pPr>
          </w:p>
        </w:tc>
        <w:tc>
          <w:tcPr>
            <w:tcW w:w="1680" w:type="dxa"/>
            <w:tcBorders>
              <w:left w:val="single" w:color="000000" w:sz="4" w:space="0"/>
              <w:right w:val="single" w:color="000000" w:sz="4" w:space="0"/>
            </w:tcBorders>
            <w:vAlign w:val="top"/>
          </w:tcPr>
          <w:p w14:paraId="1005511E">
            <w:pPr>
              <w:spacing w:before="60" w:line="227" w:lineRule="auto"/>
              <w:ind w:left="66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650" w:type="dxa"/>
            <w:tcBorders>
              <w:left w:val="single" w:color="000000" w:sz="4" w:space="0"/>
              <w:right w:val="single" w:color="000000" w:sz="4" w:space="0"/>
            </w:tcBorders>
            <w:vAlign w:val="top"/>
          </w:tcPr>
          <w:p w14:paraId="5A91BEDC">
            <w:pPr>
              <w:spacing w:before="23" w:line="281" w:lineRule="exact"/>
              <w:ind w:left="40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5</w:t>
            </w:r>
            <w:r>
              <w:rPr>
                <w:rFonts w:ascii="Times New Roman" w:hAnsi="Times New Roman" w:eastAsia="Times New Roman" w:cs="Times New Roman"/>
                <w:spacing w:val="4"/>
                <w:position w:val="2"/>
                <w:sz w:val="20"/>
                <w:szCs w:val="20"/>
              </w:rPr>
              <w:t>7.5μ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6DF2CCD">
            <w:pPr>
              <w:spacing w:before="96"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00</w:t>
            </w:r>
          </w:p>
        </w:tc>
        <w:tc>
          <w:tcPr>
            <w:tcW w:w="1226" w:type="dxa"/>
            <w:tcBorders>
              <w:left w:val="single" w:color="000000" w:sz="4" w:space="0"/>
              <w:right w:val="single" w:color="000000" w:sz="4" w:space="0"/>
            </w:tcBorders>
            <w:vAlign w:val="top"/>
          </w:tcPr>
          <w:p w14:paraId="7ABC3B91">
            <w:pPr>
              <w:spacing w:before="9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00005</w:t>
            </w:r>
          </w:p>
        </w:tc>
        <w:tc>
          <w:tcPr>
            <w:tcW w:w="705" w:type="dxa"/>
            <w:tcBorders>
              <w:left w:val="single" w:color="000000" w:sz="4" w:space="0"/>
            </w:tcBorders>
            <w:vAlign w:val="top"/>
          </w:tcPr>
          <w:p w14:paraId="03201ED1">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0E6CCC0">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DDE7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8A3A126">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944" w:type="dxa"/>
            <w:vMerge w:val="continue"/>
            <w:tcBorders>
              <w:top w:val="nil"/>
              <w:left w:val="single" w:color="000000" w:sz="4" w:space="0"/>
              <w:bottom w:val="nil"/>
              <w:right w:val="single" w:color="000000" w:sz="4" w:space="0"/>
            </w:tcBorders>
            <w:vAlign w:val="top"/>
          </w:tcPr>
          <w:p w14:paraId="78E9618D">
            <w:pPr>
              <w:rPr>
                <w:rFonts w:ascii="Arial"/>
                <w:sz w:val="21"/>
              </w:rPr>
            </w:pPr>
          </w:p>
        </w:tc>
        <w:tc>
          <w:tcPr>
            <w:tcW w:w="1680" w:type="dxa"/>
            <w:tcBorders>
              <w:left w:val="single" w:color="000000" w:sz="4" w:space="0"/>
              <w:right w:val="single" w:color="000000" w:sz="4" w:space="0"/>
            </w:tcBorders>
            <w:vAlign w:val="top"/>
          </w:tcPr>
          <w:p w14:paraId="0B5A4CE5">
            <w:pPr>
              <w:spacing w:before="23" w:line="281" w:lineRule="exact"/>
              <w:ind w:left="306"/>
              <w:rPr>
                <w:rFonts w:ascii="宋体" w:hAnsi="宋体" w:eastAsia="宋体" w:cs="宋体"/>
                <w:sz w:val="20"/>
                <w:szCs w:val="20"/>
              </w:rPr>
            </w:pPr>
            <w:r>
              <w:rPr>
                <w:rFonts w:ascii="宋体" w:hAnsi="宋体" w:eastAsia="宋体" w:cs="宋体"/>
                <w:spacing w:val="4"/>
                <w:position w:val="1"/>
                <w:sz w:val="20"/>
                <w:szCs w:val="20"/>
              </w:rPr>
              <w:t>间</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对二甲苯</w:t>
            </w:r>
          </w:p>
        </w:tc>
        <w:tc>
          <w:tcPr>
            <w:tcW w:w="1650" w:type="dxa"/>
            <w:tcBorders>
              <w:left w:val="single" w:color="000000" w:sz="4" w:space="0"/>
              <w:right w:val="single" w:color="000000" w:sz="4" w:space="0"/>
            </w:tcBorders>
            <w:vAlign w:val="top"/>
          </w:tcPr>
          <w:p w14:paraId="4556671B">
            <w:pPr>
              <w:spacing w:before="23"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62.5μ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3ADE7A0">
            <w:pPr>
              <w:spacing w:before="9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r>
              <w:rPr>
                <w:rFonts w:ascii="Times New Roman" w:hAnsi="Times New Roman" w:eastAsia="Times New Roman" w:cs="Times New Roman"/>
                <w:spacing w:val="1"/>
                <w:sz w:val="20"/>
                <w:szCs w:val="20"/>
              </w:rPr>
              <w:t>0</w:t>
            </w:r>
          </w:p>
        </w:tc>
        <w:tc>
          <w:tcPr>
            <w:tcW w:w="1226" w:type="dxa"/>
            <w:tcBorders>
              <w:left w:val="single" w:color="000000" w:sz="4" w:space="0"/>
              <w:right w:val="single" w:color="000000" w:sz="4" w:space="0"/>
            </w:tcBorders>
            <w:vAlign w:val="top"/>
          </w:tcPr>
          <w:p w14:paraId="4D81EE76">
            <w:pPr>
              <w:spacing w:before="9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705" w:type="dxa"/>
            <w:tcBorders>
              <w:left w:val="single" w:color="000000" w:sz="4" w:space="0"/>
            </w:tcBorders>
            <w:vAlign w:val="top"/>
          </w:tcPr>
          <w:p w14:paraId="02D47F4C">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3405070">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8395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99FECBD">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944" w:type="dxa"/>
            <w:vMerge w:val="continue"/>
            <w:tcBorders>
              <w:top w:val="nil"/>
              <w:left w:val="single" w:color="000000" w:sz="4" w:space="0"/>
              <w:bottom w:val="nil"/>
              <w:right w:val="single" w:color="000000" w:sz="4" w:space="0"/>
            </w:tcBorders>
            <w:vAlign w:val="top"/>
          </w:tcPr>
          <w:p w14:paraId="31FF60CC">
            <w:pPr>
              <w:rPr>
                <w:rFonts w:ascii="Arial"/>
                <w:sz w:val="21"/>
              </w:rPr>
            </w:pPr>
          </w:p>
        </w:tc>
        <w:tc>
          <w:tcPr>
            <w:tcW w:w="1680" w:type="dxa"/>
            <w:tcBorders>
              <w:left w:val="single" w:color="000000" w:sz="4" w:space="0"/>
              <w:right w:val="single" w:color="000000" w:sz="4" w:space="0"/>
            </w:tcBorders>
            <w:vAlign w:val="top"/>
          </w:tcPr>
          <w:p w14:paraId="0C89BFC5">
            <w:pPr>
              <w:spacing w:before="60" w:line="227" w:lineRule="auto"/>
              <w:ind w:left="421"/>
              <w:rPr>
                <w:rFonts w:ascii="宋体" w:hAnsi="宋体" w:eastAsia="宋体" w:cs="宋体"/>
                <w:sz w:val="20"/>
                <w:szCs w:val="20"/>
              </w:rPr>
            </w:pPr>
            <w:r>
              <w:rPr>
                <w:rFonts w:ascii="宋体" w:hAnsi="宋体" w:eastAsia="宋体" w:cs="宋体"/>
                <w:spacing w:val="9"/>
                <w:sz w:val="20"/>
                <w:szCs w:val="20"/>
              </w:rPr>
              <w:t>邻</w:t>
            </w:r>
            <w:r>
              <w:rPr>
                <w:rFonts w:ascii="宋体" w:hAnsi="宋体" w:eastAsia="宋体" w:cs="宋体"/>
                <w:spacing w:val="7"/>
                <w:sz w:val="20"/>
                <w:szCs w:val="20"/>
              </w:rPr>
              <w:t>二甲苯</w:t>
            </w:r>
          </w:p>
        </w:tc>
        <w:tc>
          <w:tcPr>
            <w:tcW w:w="1650" w:type="dxa"/>
            <w:tcBorders>
              <w:left w:val="single" w:color="000000" w:sz="4" w:space="0"/>
              <w:right w:val="single" w:color="000000" w:sz="4" w:space="0"/>
            </w:tcBorders>
            <w:vAlign w:val="top"/>
          </w:tcPr>
          <w:p w14:paraId="6224D714">
            <w:pPr>
              <w:spacing w:before="23"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63.3μ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5A1A50B">
            <w:pPr>
              <w:spacing w:before="9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226" w:type="dxa"/>
            <w:tcBorders>
              <w:left w:val="single" w:color="000000" w:sz="4" w:space="0"/>
              <w:right w:val="single" w:color="000000" w:sz="4" w:space="0"/>
            </w:tcBorders>
            <w:vAlign w:val="top"/>
          </w:tcPr>
          <w:p w14:paraId="17AE43FF">
            <w:pPr>
              <w:spacing w:before="9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705" w:type="dxa"/>
            <w:tcBorders>
              <w:left w:val="single" w:color="000000" w:sz="4" w:space="0"/>
            </w:tcBorders>
            <w:vAlign w:val="top"/>
          </w:tcPr>
          <w:p w14:paraId="4DD2B543">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7C343C7">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E91F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42E415E">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944" w:type="dxa"/>
            <w:vMerge w:val="continue"/>
            <w:tcBorders>
              <w:top w:val="nil"/>
              <w:left w:val="single" w:color="000000" w:sz="4" w:space="0"/>
              <w:bottom w:val="nil"/>
              <w:right w:val="single" w:color="000000" w:sz="4" w:space="0"/>
            </w:tcBorders>
            <w:vAlign w:val="top"/>
          </w:tcPr>
          <w:p w14:paraId="1BF11FD9">
            <w:pPr>
              <w:rPr>
                <w:rFonts w:ascii="Arial"/>
                <w:sz w:val="21"/>
              </w:rPr>
            </w:pPr>
          </w:p>
        </w:tc>
        <w:tc>
          <w:tcPr>
            <w:tcW w:w="1680" w:type="dxa"/>
            <w:tcBorders>
              <w:left w:val="single" w:color="000000" w:sz="4" w:space="0"/>
              <w:right w:val="single" w:color="000000" w:sz="4" w:space="0"/>
            </w:tcBorders>
            <w:vAlign w:val="top"/>
          </w:tcPr>
          <w:p w14:paraId="6D178358">
            <w:pPr>
              <w:spacing w:before="60" w:line="227" w:lineRule="auto"/>
              <w:ind w:left="529"/>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1650" w:type="dxa"/>
            <w:tcBorders>
              <w:left w:val="single" w:color="000000" w:sz="4" w:space="0"/>
              <w:right w:val="single" w:color="000000" w:sz="4" w:space="0"/>
            </w:tcBorders>
            <w:vAlign w:val="top"/>
          </w:tcPr>
          <w:p w14:paraId="559C65D8">
            <w:pPr>
              <w:spacing w:before="22"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BCBD8ED">
            <w:pPr>
              <w:spacing w:before="9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26" w:type="dxa"/>
            <w:tcBorders>
              <w:left w:val="single" w:color="000000" w:sz="4" w:space="0"/>
              <w:right w:val="single" w:color="000000" w:sz="4" w:space="0"/>
            </w:tcBorders>
            <w:vAlign w:val="top"/>
          </w:tcPr>
          <w:p w14:paraId="7034523C">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DF55C6A">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8A8AF61">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AA7F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D069ED8">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944" w:type="dxa"/>
            <w:vMerge w:val="continue"/>
            <w:tcBorders>
              <w:top w:val="nil"/>
              <w:left w:val="single" w:color="000000" w:sz="4" w:space="0"/>
              <w:bottom w:val="nil"/>
              <w:right w:val="single" w:color="000000" w:sz="4" w:space="0"/>
            </w:tcBorders>
            <w:vAlign w:val="top"/>
          </w:tcPr>
          <w:p w14:paraId="7C875355">
            <w:pPr>
              <w:rPr>
                <w:rFonts w:ascii="Arial"/>
                <w:sz w:val="21"/>
              </w:rPr>
            </w:pPr>
          </w:p>
        </w:tc>
        <w:tc>
          <w:tcPr>
            <w:tcW w:w="1680" w:type="dxa"/>
            <w:tcBorders>
              <w:left w:val="single" w:color="000000" w:sz="4" w:space="0"/>
              <w:right w:val="single" w:color="000000" w:sz="4" w:space="0"/>
            </w:tcBorders>
            <w:vAlign w:val="top"/>
          </w:tcPr>
          <w:p w14:paraId="102A8803">
            <w:pPr>
              <w:spacing w:before="60" w:line="227" w:lineRule="auto"/>
              <w:ind w:left="635"/>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1650" w:type="dxa"/>
            <w:tcBorders>
              <w:left w:val="single" w:color="000000" w:sz="4" w:space="0"/>
              <w:right w:val="single" w:color="000000" w:sz="4" w:space="0"/>
            </w:tcBorders>
            <w:vAlign w:val="top"/>
          </w:tcPr>
          <w:p w14:paraId="258E449B">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0AEC608D">
            <w:pPr>
              <w:spacing w:before="96"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c>
          <w:tcPr>
            <w:tcW w:w="1226" w:type="dxa"/>
            <w:tcBorders>
              <w:left w:val="single" w:color="000000" w:sz="4" w:space="0"/>
              <w:right w:val="single" w:color="000000" w:sz="4" w:space="0"/>
            </w:tcBorders>
            <w:vAlign w:val="top"/>
          </w:tcPr>
          <w:p w14:paraId="3448F1FB">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63F6E9F">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7DB0459">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3CD5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391A857">
            <w:pPr>
              <w:spacing w:before="9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944" w:type="dxa"/>
            <w:vMerge w:val="continue"/>
            <w:tcBorders>
              <w:top w:val="nil"/>
              <w:left w:val="single" w:color="000000" w:sz="4" w:space="0"/>
              <w:bottom w:val="nil"/>
              <w:right w:val="single" w:color="000000" w:sz="4" w:space="0"/>
            </w:tcBorders>
            <w:vAlign w:val="top"/>
          </w:tcPr>
          <w:p w14:paraId="5257C74F">
            <w:pPr>
              <w:rPr>
                <w:rFonts w:ascii="Arial"/>
                <w:sz w:val="21"/>
              </w:rPr>
            </w:pPr>
          </w:p>
        </w:tc>
        <w:tc>
          <w:tcPr>
            <w:tcW w:w="1680" w:type="dxa"/>
            <w:tcBorders>
              <w:left w:val="single" w:color="000000" w:sz="4" w:space="0"/>
              <w:right w:val="single" w:color="000000" w:sz="4" w:space="0"/>
            </w:tcBorders>
            <w:vAlign w:val="top"/>
          </w:tcPr>
          <w:p w14:paraId="223D7EAB">
            <w:pPr>
              <w:spacing w:before="60" w:line="229" w:lineRule="auto"/>
              <w:ind w:left="543"/>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氯</w:t>
            </w:r>
            <w:r>
              <w:rPr>
                <w:rFonts w:ascii="宋体" w:hAnsi="宋体" w:eastAsia="宋体" w:cs="宋体"/>
                <w:spacing w:val="4"/>
                <w:sz w:val="20"/>
                <w:szCs w:val="20"/>
              </w:rPr>
              <w:t>酚</w:t>
            </w:r>
          </w:p>
        </w:tc>
        <w:tc>
          <w:tcPr>
            <w:tcW w:w="1650" w:type="dxa"/>
            <w:tcBorders>
              <w:left w:val="single" w:color="000000" w:sz="4" w:space="0"/>
              <w:right w:val="single" w:color="000000" w:sz="4" w:space="0"/>
            </w:tcBorders>
            <w:vAlign w:val="top"/>
          </w:tcPr>
          <w:p w14:paraId="46829C60">
            <w:pPr>
              <w:spacing w:before="22"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620C3B8">
            <w:pPr>
              <w:spacing w:before="9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256</w:t>
            </w:r>
          </w:p>
        </w:tc>
        <w:tc>
          <w:tcPr>
            <w:tcW w:w="1226" w:type="dxa"/>
            <w:tcBorders>
              <w:left w:val="single" w:color="000000" w:sz="4" w:space="0"/>
              <w:right w:val="single" w:color="000000" w:sz="4" w:space="0"/>
            </w:tcBorders>
            <w:vAlign w:val="top"/>
          </w:tcPr>
          <w:p w14:paraId="7F0239BD">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29AECC9">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2CFF8FC">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C96F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EF46564">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44" w:type="dxa"/>
            <w:vMerge w:val="continue"/>
            <w:tcBorders>
              <w:top w:val="nil"/>
              <w:left w:val="single" w:color="000000" w:sz="4" w:space="0"/>
              <w:bottom w:val="nil"/>
              <w:right w:val="single" w:color="000000" w:sz="4" w:space="0"/>
            </w:tcBorders>
            <w:vAlign w:val="top"/>
          </w:tcPr>
          <w:p w14:paraId="6ED24A8E">
            <w:pPr>
              <w:rPr>
                <w:rFonts w:ascii="Arial"/>
                <w:sz w:val="21"/>
              </w:rPr>
            </w:pPr>
          </w:p>
        </w:tc>
        <w:tc>
          <w:tcPr>
            <w:tcW w:w="1680" w:type="dxa"/>
            <w:tcBorders>
              <w:left w:val="single" w:color="000000" w:sz="4" w:space="0"/>
              <w:right w:val="single" w:color="000000" w:sz="4" w:space="0"/>
            </w:tcBorders>
            <w:vAlign w:val="top"/>
          </w:tcPr>
          <w:p w14:paraId="2BA420A1">
            <w:pPr>
              <w:spacing w:before="22" w:line="281" w:lineRule="exact"/>
              <w:ind w:left="415"/>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蒽</w:t>
            </w:r>
          </w:p>
        </w:tc>
        <w:tc>
          <w:tcPr>
            <w:tcW w:w="1650" w:type="dxa"/>
            <w:tcBorders>
              <w:left w:val="single" w:color="000000" w:sz="4" w:space="0"/>
              <w:right w:val="single" w:color="000000" w:sz="4" w:space="0"/>
            </w:tcBorders>
            <w:vAlign w:val="top"/>
          </w:tcPr>
          <w:p w14:paraId="12A3F157">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27BF0512">
            <w:pPr>
              <w:spacing w:before="9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260B9256">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1B195E2">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DE2BB29">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95A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6BE41E2">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944" w:type="dxa"/>
            <w:vMerge w:val="continue"/>
            <w:tcBorders>
              <w:top w:val="nil"/>
              <w:left w:val="single" w:color="000000" w:sz="4" w:space="0"/>
              <w:bottom w:val="nil"/>
              <w:right w:val="single" w:color="000000" w:sz="4" w:space="0"/>
            </w:tcBorders>
            <w:vAlign w:val="top"/>
          </w:tcPr>
          <w:p w14:paraId="31B5A891">
            <w:pPr>
              <w:rPr>
                <w:rFonts w:ascii="Arial"/>
                <w:sz w:val="21"/>
              </w:rPr>
            </w:pPr>
          </w:p>
        </w:tc>
        <w:tc>
          <w:tcPr>
            <w:tcW w:w="1680" w:type="dxa"/>
            <w:tcBorders>
              <w:left w:val="single" w:color="000000" w:sz="4" w:space="0"/>
              <w:right w:val="single" w:color="000000" w:sz="4" w:space="0"/>
            </w:tcBorders>
            <w:vAlign w:val="top"/>
          </w:tcPr>
          <w:p w14:paraId="49488911">
            <w:pPr>
              <w:spacing w:before="22" w:line="281" w:lineRule="exact"/>
              <w:ind w:left="415"/>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芘</w:t>
            </w:r>
          </w:p>
        </w:tc>
        <w:tc>
          <w:tcPr>
            <w:tcW w:w="1650" w:type="dxa"/>
            <w:tcBorders>
              <w:left w:val="single" w:color="000000" w:sz="4" w:space="0"/>
              <w:right w:val="single" w:color="000000" w:sz="4" w:space="0"/>
            </w:tcBorders>
            <w:vAlign w:val="top"/>
          </w:tcPr>
          <w:p w14:paraId="63BC408D">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73D5453D">
            <w:pPr>
              <w:spacing w:before="95"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26" w:type="dxa"/>
            <w:tcBorders>
              <w:left w:val="single" w:color="000000" w:sz="4" w:space="0"/>
              <w:right w:val="single" w:color="000000" w:sz="4" w:space="0"/>
            </w:tcBorders>
            <w:vAlign w:val="top"/>
          </w:tcPr>
          <w:p w14:paraId="231C8A22">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A313597">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E0C03CB">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CC7C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FA74E29">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944" w:type="dxa"/>
            <w:vMerge w:val="continue"/>
            <w:tcBorders>
              <w:top w:val="nil"/>
              <w:left w:val="single" w:color="000000" w:sz="4" w:space="0"/>
              <w:bottom w:val="nil"/>
              <w:right w:val="single" w:color="000000" w:sz="4" w:space="0"/>
            </w:tcBorders>
            <w:vAlign w:val="top"/>
          </w:tcPr>
          <w:p w14:paraId="7435ADF8">
            <w:pPr>
              <w:rPr>
                <w:rFonts w:ascii="Arial"/>
                <w:sz w:val="21"/>
              </w:rPr>
            </w:pPr>
          </w:p>
        </w:tc>
        <w:tc>
          <w:tcPr>
            <w:tcW w:w="1680" w:type="dxa"/>
            <w:tcBorders>
              <w:left w:val="single" w:color="000000" w:sz="4" w:space="0"/>
              <w:right w:val="single" w:color="000000" w:sz="4" w:space="0"/>
            </w:tcBorders>
            <w:vAlign w:val="top"/>
          </w:tcPr>
          <w:p w14:paraId="4CE654F1">
            <w:pPr>
              <w:spacing w:before="21" w:line="281" w:lineRule="exact"/>
              <w:ind w:left="304"/>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650" w:type="dxa"/>
            <w:tcBorders>
              <w:left w:val="single" w:color="000000" w:sz="4" w:space="0"/>
              <w:right w:val="single" w:color="000000" w:sz="4" w:space="0"/>
            </w:tcBorders>
            <w:vAlign w:val="top"/>
          </w:tcPr>
          <w:p w14:paraId="1A30F1AC">
            <w:pPr>
              <w:spacing w:before="21" w:line="281" w:lineRule="exact"/>
              <w:ind w:left="339"/>
              <w:rPr>
                <w:rFonts w:ascii="Times New Roman" w:hAnsi="Times New Roman" w:eastAsia="Times New Roman" w:cs="Times New Roman"/>
                <w:sz w:val="20"/>
                <w:szCs w:val="20"/>
              </w:rPr>
            </w:pPr>
            <w:r>
              <w:rPr>
                <w:rFonts w:ascii="宋体" w:hAnsi="宋体" w:eastAsia="宋体" w:cs="宋体"/>
                <w:spacing w:val="6"/>
                <w:position w:val="2"/>
                <w:sz w:val="20"/>
                <w:szCs w:val="20"/>
              </w:rPr>
              <w:t>＜</w:t>
            </w:r>
            <w:r>
              <w:rPr>
                <w:rFonts w:ascii="Times New Roman" w:hAnsi="Times New Roman" w:eastAsia="Times New Roman" w:cs="Times New Roman"/>
                <w:spacing w:val="4"/>
                <w:position w:val="2"/>
                <w:sz w:val="20"/>
                <w:szCs w:val="20"/>
              </w:rPr>
              <w:t>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E47D15C">
            <w:pPr>
              <w:spacing w:before="9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17D8FC29">
            <w:pPr>
              <w:spacing w:before="21"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24F757E">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0A84503">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0798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D682414">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944" w:type="dxa"/>
            <w:vMerge w:val="continue"/>
            <w:tcBorders>
              <w:top w:val="nil"/>
              <w:left w:val="single" w:color="000000" w:sz="4" w:space="0"/>
              <w:bottom w:val="nil"/>
              <w:right w:val="single" w:color="000000" w:sz="4" w:space="0"/>
            </w:tcBorders>
            <w:vAlign w:val="top"/>
          </w:tcPr>
          <w:p w14:paraId="4426B61A">
            <w:pPr>
              <w:rPr>
                <w:rFonts w:ascii="Arial"/>
                <w:sz w:val="21"/>
              </w:rPr>
            </w:pPr>
          </w:p>
        </w:tc>
        <w:tc>
          <w:tcPr>
            <w:tcW w:w="1680" w:type="dxa"/>
            <w:tcBorders>
              <w:left w:val="single" w:color="000000" w:sz="4" w:space="0"/>
              <w:right w:val="single" w:color="000000" w:sz="4" w:space="0"/>
            </w:tcBorders>
            <w:vAlign w:val="top"/>
          </w:tcPr>
          <w:p w14:paraId="1A4C544C">
            <w:pPr>
              <w:spacing w:before="21" w:line="281" w:lineRule="exact"/>
              <w:ind w:left="304"/>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650" w:type="dxa"/>
            <w:tcBorders>
              <w:left w:val="single" w:color="000000" w:sz="4" w:space="0"/>
              <w:right w:val="single" w:color="000000" w:sz="4" w:space="0"/>
            </w:tcBorders>
            <w:vAlign w:val="top"/>
          </w:tcPr>
          <w:p w14:paraId="78F59441">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1716DBCB">
            <w:pPr>
              <w:spacing w:before="9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226" w:type="dxa"/>
            <w:tcBorders>
              <w:left w:val="single" w:color="000000" w:sz="4" w:space="0"/>
              <w:right w:val="single" w:color="000000" w:sz="4" w:space="0"/>
            </w:tcBorders>
            <w:vAlign w:val="top"/>
          </w:tcPr>
          <w:p w14:paraId="617C0C2C">
            <w:pPr>
              <w:spacing w:before="21"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FD218C1">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AA87DDD">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2EAB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BCC90CF">
            <w:pPr>
              <w:spacing w:before="9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944" w:type="dxa"/>
            <w:vMerge w:val="continue"/>
            <w:tcBorders>
              <w:top w:val="nil"/>
              <w:left w:val="single" w:color="000000" w:sz="4" w:space="0"/>
              <w:bottom w:val="nil"/>
              <w:right w:val="single" w:color="000000" w:sz="4" w:space="0"/>
            </w:tcBorders>
            <w:vAlign w:val="top"/>
          </w:tcPr>
          <w:p w14:paraId="5487263F">
            <w:pPr>
              <w:rPr>
                <w:rFonts w:ascii="Arial"/>
                <w:sz w:val="21"/>
              </w:rPr>
            </w:pPr>
          </w:p>
        </w:tc>
        <w:tc>
          <w:tcPr>
            <w:tcW w:w="1680" w:type="dxa"/>
            <w:tcBorders>
              <w:left w:val="single" w:color="000000" w:sz="4" w:space="0"/>
              <w:right w:val="single" w:color="000000" w:sz="4" w:space="0"/>
            </w:tcBorders>
            <w:vAlign w:val="top"/>
          </w:tcPr>
          <w:p w14:paraId="3F24D730">
            <w:pPr>
              <w:spacing w:before="61" w:line="229" w:lineRule="auto"/>
              <w:ind w:left="737"/>
              <w:rPr>
                <w:rFonts w:ascii="宋体" w:hAnsi="宋体" w:eastAsia="宋体" w:cs="宋体"/>
                <w:sz w:val="20"/>
                <w:szCs w:val="20"/>
              </w:rPr>
            </w:pPr>
            <w:r>
              <w:rPr>
                <w:rFonts w:ascii="宋体" w:hAnsi="宋体" w:eastAsia="宋体" w:cs="宋体"/>
                <w:spacing w:val="2"/>
                <w:sz w:val="20"/>
                <w:szCs w:val="20"/>
              </w:rPr>
              <w:t>䓛</w:t>
            </w:r>
          </w:p>
        </w:tc>
        <w:tc>
          <w:tcPr>
            <w:tcW w:w="1650" w:type="dxa"/>
            <w:tcBorders>
              <w:left w:val="single" w:color="000000" w:sz="4" w:space="0"/>
              <w:right w:val="single" w:color="000000" w:sz="4" w:space="0"/>
            </w:tcBorders>
            <w:vAlign w:val="top"/>
          </w:tcPr>
          <w:p w14:paraId="3863636F">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7D30FC64">
            <w:pPr>
              <w:spacing w:before="9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93</w:t>
            </w:r>
          </w:p>
        </w:tc>
        <w:tc>
          <w:tcPr>
            <w:tcW w:w="1226" w:type="dxa"/>
            <w:tcBorders>
              <w:left w:val="single" w:color="000000" w:sz="4" w:space="0"/>
              <w:right w:val="single" w:color="000000" w:sz="4" w:space="0"/>
            </w:tcBorders>
            <w:vAlign w:val="top"/>
          </w:tcPr>
          <w:p w14:paraId="20678461">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B5CB4D5">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C56F705">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E8E6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406D86D">
            <w:pPr>
              <w:spacing w:before="9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44" w:type="dxa"/>
            <w:vMerge w:val="continue"/>
            <w:tcBorders>
              <w:top w:val="nil"/>
              <w:left w:val="single" w:color="000000" w:sz="4" w:space="0"/>
              <w:bottom w:val="nil"/>
              <w:right w:val="single" w:color="000000" w:sz="4" w:space="0"/>
            </w:tcBorders>
            <w:vAlign w:val="top"/>
          </w:tcPr>
          <w:p w14:paraId="288CC68A">
            <w:pPr>
              <w:rPr>
                <w:rFonts w:ascii="Arial"/>
                <w:sz w:val="21"/>
              </w:rPr>
            </w:pPr>
          </w:p>
        </w:tc>
        <w:tc>
          <w:tcPr>
            <w:tcW w:w="1680" w:type="dxa"/>
            <w:tcBorders>
              <w:left w:val="single" w:color="000000" w:sz="4" w:space="0"/>
              <w:right w:val="single" w:color="000000" w:sz="4" w:space="0"/>
            </w:tcBorders>
            <w:vAlign w:val="top"/>
          </w:tcPr>
          <w:p w14:paraId="1C9C8E3A">
            <w:pPr>
              <w:spacing w:before="23" w:line="281" w:lineRule="exact"/>
              <w:ind w:left="154"/>
              <w:rPr>
                <w:rFonts w:ascii="宋体" w:hAnsi="宋体" w:eastAsia="宋体" w:cs="宋体"/>
                <w:sz w:val="20"/>
                <w:szCs w:val="20"/>
              </w:rPr>
            </w:pPr>
            <w:r>
              <w:rPr>
                <w:rFonts w:ascii="宋体" w:hAnsi="宋体" w:eastAsia="宋体" w:cs="宋体"/>
                <w:spacing w:val="1"/>
                <w:position w:val="2"/>
                <w:sz w:val="20"/>
                <w:szCs w:val="20"/>
              </w:rPr>
              <w:t>二</w:t>
            </w:r>
            <w:r>
              <w:rPr>
                <w:rFonts w:ascii="宋体" w:hAnsi="宋体" w:eastAsia="宋体" w:cs="宋体"/>
                <w:position w:val="2"/>
                <w:sz w:val="20"/>
                <w:szCs w:val="20"/>
              </w:rPr>
              <w:t>苯并</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position w:val="2"/>
                <w:sz w:val="20"/>
                <w:szCs w:val="20"/>
              </w:rPr>
              <w:t>蒽</w:t>
            </w:r>
          </w:p>
        </w:tc>
        <w:tc>
          <w:tcPr>
            <w:tcW w:w="1650" w:type="dxa"/>
            <w:tcBorders>
              <w:left w:val="single" w:color="000000" w:sz="4" w:space="0"/>
              <w:right w:val="single" w:color="000000" w:sz="4" w:space="0"/>
            </w:tcBorders>
            <w:vAlign w:val="top"/>
          </w:tcPr>
          <w:p w14:paraId="0F7AC9B9">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5AB83E8E">
            <w:pPr>
              <w:spacing w:before="97" w:line="198"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26" w:type="dxa"/>
            <w:tcBorders>
              <w:left w:val="single" w:color="000000" w:sz="4" w:space="0"/>
              <w:right w:val="single" w:color="000000" w:sz="4" w:space="0"/>
            </w:tcBorders>
            <w:vAlign w:val="top"/>
          </w:tcPr>
          <w:p w14:paraId="167BC50F">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77FECA2">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1F5EBA8">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D0FC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791FA04">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944" w:type="dxa"/>
            <w:vMerge w:val="continue"/>
            <w:tcBorders>
              <w:top w:val="nil"/>
              <w:left w:val="single" w:color="000000" w:sz="4" w:space="0"/>
              <w:bottom w:val="nil"/>
              <w:right w:val="single" w:color="000000" w:sz="4" w:space="0"/>
            </w:tcBorders>
            <w:vAlign w:val="top"/>
          </w:tcPr>
          <w:p w14:paraId="7B493E28">
            <w:pPr>
              <w:rPr>
                <w:rFonts w:ascii="Arial"/>
                <w:sz w:val="21"/>
              </w:rPr>
            </w:pPr>
          </w:p>
        </w:tc>
        <w:tc>
          <w:tcPr>
            <w:tcW w:w="1680" w:type="dxa"/>
            <w:tcBorders>
              <w:left w:val="single" w:color="000000" w:sz="4" w:space="0"/>
              <w:right w:val="single" w:color="000000" w:sz="4" w:space="0"/>
            </w:tcBorders>
            <w:vAlign w:val="top"/>
          </w:tcPr>
          <w:p w14:paraId="71FCC769">
            <w:pPr>
              <w:spacing w:before="23" w:line="281" w:lineRule="exact"/>
              <w:ind w:left="119"/>
              <w:rPr>
                <w:rFonts w:ascii="宋体" w:hAnsi="宋体" w:eastAsia="宋体" w:cs="宋体"/>
                <w:sz w:val="20"/>
                <w:szCs w:val="20"/>
              </w:rPr>
            </w:pPr>
            <w:r>
              <w:rPr>
                <w:rFonts w:ascii="宋体" w:hAnsi="宋体" w:eastAsia="宋体" w:cs="宋体"/>
                <w:spacing w:val="6"/>
                <w:position w:val="2"/>
                <w:sz w:val="20"/>
                <w:szCs w:val="20"/>
              </w:rPr>
              <w:t>茚</w:t>
            </w:r>
            <w:r>
              <w:rPr>
                <w:rFonts w:ascii="宋体" w:hAnsi="宋体" w:eastAsia="宋体" w:cs="宋体"/>
                <w:spacing w:val="5"/>
                <w:position w:val="2"/>
                <w:sz w:val="20"/>
                <w:szCs w:val="20"/>
              </w:rPr>
              <w:t>并</w:t>
            </w:r>
            <w:r>
              <w:rPr>
                <w:rFonts w:ascii="Times New Roman" w:hAnsi="Times New Roman" w:eastAsia="Times New Roman" w:cs="Times New Roman"/>
                <w:spacing w:val="5"/>
                <w:position w:val="2"/>
                <w:sz w:val="20"/>
                <w:szCs w:val="20"/>
              </w:rPr>
              <w:t>[1,2,3-</w:t>
            </w:r>
            <w:r>
              <w:rPr>
                <w:rFonts w:ascii="Times New Roman" w:hAnsi="Times New Roman" w:eastAsia="Times New Roman" w:cs="Times New Roman"/>
                <w:position w:val="2"/>
                <w:sz w:val="20"/>
                <w:szCs w:val="20"/>
              </w:rPr>
              <w:t>cd</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芘</w:t>
            </w:r>
          </w:p>
        </w:tc>
        <w:tc>
          <w:tcPr>
            <w:tcW w:w="1650" w:type="dxa"/>
            <w:tcBorders>
              <w:left w:val="single" w:color="000000" w:sz="4" w:space="0"/>
              <w:right w:val="single" w:color="000000" w:sz="4" w:space="0"/>
            </w:tcBorders>
            <w:vAlign w:val="top"/>
          </w:tcPr>
          <w:p w14:paraId="3F3757E4">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4C7D671D">
            <w:pPr>
              <w:spacing w:before="9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534B79B5">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4A523F6">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E6A7809">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DC1A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5971372">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944" w:type="dxa"/>
            <w:vMerge w:val="continue"/>
            <w:tcBorders>
              <w:top w:val="nil"/>
              <w:left w:val="single" w:color="000000" w:sz="4" w:space="0"/>
              <w:right w:val="single" w:color="000000" w:sz="4" w:space="0"/>
            </w:tcBorders>
            <w:vAlign w:val="top"/>
          </w:tcPr>
          <w:p w14:paraId="5D6B917F">
            <w:pPr>
              <w:rPr>
                <w:rFonts w:ascii="Arial"/>
                <w:sz w:val="21"/>
              </w:rPr>
            </w:pPr>
          </w:p>
        </w:tc>
        <w:tc>
          <w:tcPr>
            <w:tcW w:w="1680" w:type="dxa"/>
            <w:tcBorders>
              <w:left w:val="single" w:color="000000" w:sz="4" w:space="0"/>
              <w:right w:val="single" w:color="000000" w:sz="4" w:space="0"/>
            </w:tcBorders>
            <w:vAlign w:val="top"/>
          </w:tcPr>
          <w:p w14:paraId="4C42E7FF">
            <w:pPr>
              <w:spacing w:before="61" w:line="228" w:lineRule="auto"/>
              <w:ind w:left="739"/>
              <w:rPr>
                <w:rFonts w:ascii="宋体" w:hAnsi="宋体" w:eastAsia="宋体" w:cs="宋体"/>
                <w:sz w:val="20"/>
                <w:szCs w:val="20"/>
              </w:rPr>
            </w:pPr>
            <w:r>
              <w:rPr>
                <w:rFonts w:ascii="宋体" w:hAnsi="宋体" w:eastAsia="宋体" w:cs="宋体"/>
                <w:sz w:val="20"/>
                <w:szCs w:val="20"/>
              </w:rPr>
              <w:t>萘</w:t>
            </w:r>
          </w:p>
        </w:tc>
        <w:tc>
          <w:tcPr>
            <w:tcW w:w="1650" w:type="dxa"/>
            <w:tcBorders>
              <w:left w:val="single" w:color="000000" w:sz="4" w:space="0"/>
              <w:right w:val="single" w:color="000000" w:sz="4" w:space="0"/>
            </w:tcBorders>
            <w:vAlign w:val="top"/>
          </w:tcPr>
          <w:p w14:paraId="6922235B">
            <w:pPr>
              <w:spacing w:before="20"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6C78728">
            <w:pPr>
              <w:spacing w:before="9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26" w:type="dxa"/>
            <w:tcBorders>
              <w:left w:val="single" w:color="000000" w:sz="4" w:space="0"/>
              <w:right w:val="single" w:color="000000" w:sz="4" w:space="0"/>
            </w:tcBorders>
            <w:vAlign w:val="top"/>
          </w:tcPr>
          <w:p w14:paraId="5177DA9B">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F82F446">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323AA48">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82A8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762D89F">
            <w:pPr>
              <w:spacing w:before="96" w:line="195"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4" w:type="dxa"/>
            <w:vMerge w:val="restart"/>
            <w:tcBorders>
              <w:left w:val="single" w:color="000000" w:sz="4" w:space="0"/>
              <w:bottom w:val="nil"/>
              <w:right w:val="single" w:color="000000" w:sz="4" w:space="0"/>
            </w:tcBorders>
            <w:vAlign w:val="top"/>
          </w:tcPr>
          <w:p w14:paraId="00EB1FDB">
            <w:pPr>
              <w:spacing w:line="268" w:lineRule="auto"/>
              <w:rPr>
                <w:rFonts w:ascii="Arial"/>
                <w:sz w:val="21"/>
              </w:rPr>
            </w:pPr>
          </w:p>
          <w:p w14:paraId="6B378CA1">
            <w:pPr>
              <w:spacing w:line="268" w:lineRule="auto"/>
              <w:rPr>
                <w:rFonts w:ascii="Arial"/>
                <w:sz w:val="21"/>
              </w:rPr>
            </w:pPr>
          </w:p>
          <w:p w14:paraId="195475C5">
            <w:pPr>
              <w:spacing w:line="268" w:lineRule="auto"/>
              <w:rPr>
                <w:rFonts w:ascii="Arial"/>
                <w:sz w:val="21"/>
              </w:rPr>
            </w:pPr>
          </w:p>
          <w:p w14:paraId="60B67453">
            <w:pPr>
              <w:spacing w:line="268" w:lineRule="auto"/>
              <w:rPr>
                <w:rFonts w:ascii="Arial"/>
                <w:sz w:val="21"/>
              </w:rPr>
            </w:pPr>
          </w:p>
          <w:p w14:paraId="40A87B1F">
            <w:pPr>
              <w:spacing w:line="268" w:lineRule="auto"/>
              <w:rPr>
                <w:rFonts w:ascii="Arial"/>
                <w:sz w:val="21"/>
              </w:rPr>
            </w:pPr>
          </w:p>
          <w:p w14:paraId="299429C5">
            <w:pPr>
              <w:spacing w:line="268" w:lineRule="auto"/>
              <w:rPr>
                <w:rFonts w:ascii="Arial"/>
                <w:sz w:val="21"/>
              </w:rPr>
            </w:pPr>
          </w:p>
          <w:p w14:paraId="16B5D5ED">
            <w:pPr>
              <w:spacing w:before="65" w:line="282" w:lineRule="exact"/>
              <w:ind w:left="56"/>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宋体" w:hAnsi="宋体" w:eastAsia="宋体" w:cs="宋体"/>
                <w:spacing w:val="6"/>
                <w:position w:val="1"/>
                <w:sz w:val="20"/>
                <w:szCs w:val="20"/>
              </w:rPr>
              <w:t>项目</w:t>
            </w:r>
            <w:r>
              <w:rPr>
                <w:rFonts w:ascii="宋体" w:hAnsi="宋体" w:eastAsia="宋体" w:cs="宋体"/>
                <w:spacing w:val="5"/>
                <w:position w:val="1"/>
                <w:sz w:val="20"/>
                <w:szCs w:val="20"/>
              </w:rPr>
              <w:t>占</w:t>
            </w:r>
          </w:p>
          <w:p w14:paraId="14EC83F7">
            <w:pPr>
              <w:spacing w:before="68" w:line="228" w:lineRule="auto"/>
              <w:ind w:left="55"/>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7"/>
                <w:sz w:val="20"/>
                <w:szCs w:val="20"/>
              </w:rPr>
              <w:t>范围内</w:t>
            </w:r>
          </w:p>
          <w:p w14:paraId="5FB3622C">
            <w:pPr>
              <w:spacing w:before="64" w:line="228" w:lineRule="auto"/>
              <w:ind w:left="269"/>
              <w:rPr>
                <w:rFonts w:ascii="宋体" w:hAnsi="宋体" w:eastAsia="宋体" w:cs="宋体"/>
                <w:sz w:val="20"/>
                <w:szCs w:val="20"/>
              </w:rPr>
            </w:pPr>
            <w:r>
              <w:rPr>
                <w:rFonts w:ascii="宋体" w:hAnsi="宋体" w:eastAsia="宋体" w:cs="宋体"/>
                <w:spacing w:val="2"/>
                <w:sz w:val="20"/>
                <w:szCs w:val="20"/>
              </w:rPr>
              <w:t>西侧</w:t>
            </w:r>
          </w:p>
        </w:tc>
        <w:tc>
          <w:tcPr>
            <w:tcW w:w="1680" w:type="dxa"/>
            <w:tcBorders>
              <w:left w:val="single" w:color="000000" w:sz="4" w:space="0"/>
              <w:right w:val="single" w:color="000000" w:sz="4" w:space="0"/>
            </w:tcBorders>
            <w:vAlign w:val="top"/>
          </w:tcPr>
          <w:p w14:paraId="13793D1D">
            <w:pPr>
              <w:spacing w:before="99" w:line="192"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c>
          <w:tcPr>
            <w:tcW w:w="1650" w:type="dxa"/>
            <w:tcBorders>
              <w:left w:val="single" w:color="000000" w:sz="4" w:space="0"/>
              <w:right w:val="single" w:color="000000" w:sz="4" w:space="0"/>
            </w:tcBorders>
            <w:vAlign w:val="top"/>
          </w:tcPr>
          <w:p w14:paraId="019B3195">
            <w:pPr>
              <w:spacing w:before="96"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.37</w:t>
            </w:r>
          </w:p>
        </w:tc>
        <w:tc>
          <w:tcPr>
            <w:tcW w:w="930" w:type="dxa"/>
            <w:tcBorders>
              <w:left w:val="single" w:color="000000" w:sz="4" w:space="0"/>
              <w:right w:val="single" w:color="000000" w:sz="4" w:space="0"/>
            </w:tcBorders>
            <w:vAlign w:val="top"/>
          </w:tcPr>
          <w:p w14:paraId="67F46AAC">
            <w:pPr>
              <w:spacing w:before="23" w:line="281"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26" w:type="dxa"/>
            <w:tcBorders>
              <w:left w:val="single" w:color="000000" w:sz="4" w:space="0"/>
              <w:right w:val="single" w:color="000000" w:sz="4" w:space="0"/>
            </w:tcBorders>
            <w:vAlign w:val="top"/>
          </w:tcPr>
          <w:p w14:paraId="39B76142">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3D1F635">
            <w:pPr>
              <w:spacing w:before="23"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7747BF8D">
            <w:pPr>
              <w:spacing w:before="23"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196A8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0310C67">
            <w:pPr>
              <w:spacing w:before="9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4" w:type="dxa"/>
            <w:vMerge w:val="continue"/>
            <w:tcBorders>
              <w:top w:val="nil"/>
              <w:left w:val="single" w:color="000000" w:sz="4" w:space="0"/>
              <w:bottom w:val="nil"/>
              <w:right w:val="single" w:color="000000" w:sz="4" w:space="0"/>
            </w:tcBorders>
            <w:vAlign w:val="top"/>
          </w:tcPr>
          <w:p w14:paraId="4474E173">
            <w:pPr>
              <w:rPr>
                <w:rFonts w:ascii="Arial"/>
                <w:sz w:val="21"/>
              </w:rPr>
            </w:pPr>
          </w:p>
        </w:tc>
        <w:tc>
          <w:tcPr>
            <w:tcW w:w="1680" w:type="dxa"/>
            <w:tcBorders>
              <w:left w:val="single" w:color="000000" w:sz="4" w:space="0"/>
              <w:right w:val="single" w:color="000000" w:sz="4" w:space="0"/>
            </w:tcBorders>
            <w:vAlign w:val="top"/>
          </w:tcPr>
          <w:p w14:paraId="1D326A08">
            <w:pPr>
              <w:spacing w:before="60" w:line="228" w:lineRule="auto"/>
              <w:ind w:left="738"/>
              <w:rPr>
                <w:rFonts w:ascii="宋体" w:hAnsi="宋体" w:eastAsia="宋体" w:cs="宋体"/>
                <w:sz w:val="20"/>
                <w:szCs w:val="20"/>
              </w:rPr>
            </w:pPr>
            <w:r>
              <w:rPr>
                <w:rFonts w:ascii="宋体" w:hAnsi="宋体" w:eastAsia="宋体" w:cs="宋体"/>
                <w:spacing w:val="1"/>
                <w:sz w:val="20"/>
                <w:szCs w:val="20"/>
              </w:rPr>
              <w:t>砷</w:t>
            </w:r>
          </w:p>
        </w:tc>
        <w:tc>
          <w:tcPr>
            <w:tcW w:w="1650" w:type="dxa"/>
            <w:tcBorders>
              <w:left w:val="single" w:color="000000" w:sz="4" w:space="0"/>
              <w:right w:val="single" w:color="000000" w:sz="4" w:space="0"/>
            </w:tcBorders>
            <w:vAlign w:val="top"/>
          </w:tcPr>
          <w:p w14:paraId="6D9658FE">
            <w:pPr>
              <w:spacing w:before="22" w:line="281"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6"/>
                <w:position w:val="4"/>
                <w:sz w:val="20"/>
                <w:szCs w:val="20"/>
              </w:rPr>
              <w:t>1</w:t>
            </w:r>
            <w:r>
              <w:rPr>
                <w:rFonts w:ascii="Times New Roman" w:hAnsi="Times New Roman" w:eastAsia="Times New Roman" w:cs="Times New Roman"/>
                <w:spacing w:val="-5"/>
                <w:position w:val="4"/>
                <w:sz w:val="20"/>
                <w:szCs w:val="20"/>
              </w:rPr>
              <w:t>.</w:t>
            </w:r>
            <w:r>
              <w:rPr>
                <w:rFonts w:ascii="Times New Roman" w:hAnsi="Times New Roman" w:eastAsia="Times New Roman" w:cs="Times New Roman"/>
                <w:spacing w:val="-3"/>
                <w:position w:val="4"/>
                <w:sz w:val="20"/>
                <w:szCs w:val="20"/>
              </w:rPr>
              <w:t xml:space="preserve"> 16mg/kg</w:t>
            </w:r>
          </w:p>
        </w:tc>
        <w:tc>
          <w:tcPr>
            <w:tcW w:w="930" w:type="dxa"/>
            <w:tcBorders>
              <w:left w:val="single" w:color="000000" w:sz="4" w:space="0"/>
              <w:right w:val="single" w:color="000000" w:sz="4" w:space="0"/>
            </w:tcBorders>
            <w:vAlign w:val="top"/>
          </w:tcPr>
          <w:p w14:paraId="56E0A6C6">
            <w:pPr>
              <w:spacing w:before="9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1302A991">
            <w:pPr>
              <w:spacing w:before="9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3E05A7C8">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6849A38">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BB55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77ECAF6">
            <w:pPr>
              <w:spacing w:before="9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4" w:type="dxa"/>
            <w:vMerge w:val="continue"/>
            <w:tcBorders>
              <w:top w:val="nil"/>
              <w:left w:val="single" w:color="000000" w:sz="4" w:space="0"/>
              <w:bottom w:val="nil"/>
              <w:right w:val="single" w:color="000000" w:sz="4" w:space="0"/>
            </w:tcBorders>
            <w:vAlign w:val="top"/>
          </w:tcPr>
          <w:p w14:paraId="13B76D59">
            <w:pPr>
              <w:rPr>
                <w:rFonts w:ascii="Arial"/>
                <w:sz w:val="21"/>
              </w:rPr>
            </w:pPr>
          </w:p>
        </w:tc>
        <w:tc>
          <w:tcPr>
            <w:tcW w:w="1680" w:type="dxa"/>
            <w:tcBorders>
              <w:left w:val="single" w:color="000000" w:sz="4" w:space="0"/>
              <w:right w:val="single" w:color="000000" w:sz="4" w:space="0"/>
            </w:tcBorders>
            <w:vAlign w:val="top"/>
          </w:tcPr>
          <w:p w14:paraId="56BD93C4">
            <w:pPr>
              <w:spacing w:before="59" w:line="231" w:lineRule="auto"/>
              <w:ind w:left="737"/>
              <w:rPr>
                <w:rFonts w:ascii="宋体" w:hAnsi="宋体" w:eastAsia="宋体" w:cs="宋体"/>
                <w:sz w:val="20"/>
                <w:szCs w:val="20"/>
              </w:rPr>
            </w:pPr>
            <w:r>
              <w:rPr>
                <w:rFonts w:ascii="宋体" w:hAnsi="宋体" w:eastAsia="宋体" w:cs="宋体"/>
                <w:spacing w:val="2"/>
                <w:sz w:val="20"/>
                <w:szCs w:val="20"/>
              </w:rPr>
              <w:t>镉</w:t>
            </w:r>
          </w:p>
        </w:tc>
        <w:tc>
          <w:tcPr>
            <w:tcW w:w="1650" w:type="dxa"/>
            <w:tcBorders>
              <w:left w:val="single" w:color="000000" w:sz="4" w:space="0"/>
              <w:right w:val="single" w:color="000000" w:sz="4" w:space="0"/>
            </w:tcBorders>
            <w:vAlign w:val="top"/>
          </w:tcPr>
          <w:p w14:paraId="59BCCCD8">
            <w:pPr>
              <w:spacing w:before="22" w:line="281"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0</w:t>
            </w:r>
            <w:r>
              <w:rPr>
                <w:rFonts w:ascii="Times New Roman" w:hAnsi="Times New Roman" w:eastAsia="Times New Roman" w:cs="Times New Roman"/>
                <w:spacing w:val="-1"/>
                <w:position w:val="4"/>
                <w:sz w:val="20"/>
                <w:szCs w:val="20"/>
              </w:rPr>
              <w:t>. 138mg/kg</w:t>
            </w:r>
          </w:p>
        </w:tc>
        <w:tc>
          <w:tcPr>
            <w:tcW w:w="930" w:type="dxa"/>
            <w:tcBorders>
              <w:left w:val="single" w:color="000000" w:sz="4" w:space="0"/>
              <w:right w:val="single" w:color="000000" w:sz="4" w:space="0"/>
            </w:tcBorders>
            <w:vAlign w:val="top"/>
          </w:tcPr>
          <w:p w14:paraId="7DD2B200">
            <w:pPr>
              <w:spacing w:before="9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050E858F">
            <w:pPr>
              <w:spacing w:before="96"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.002</w:t>
            </w:r>
          </w:p>
        </w:tc>
        <w:tc>
          <w:tcPr>
            <w:tcW w:w="705" w:type="dxa"/>
            <w:tcBorders>
              <w:left w:val="single" w:color="000000" w:sz="4" w:space="0"/>
            </w:tcBorders>
            <w:vAlign w:val="top"/>
          </w:tcPr>
          <w:p w14:paraId="0CF2CDFB">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520F0F8">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7BE2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5AF67C3">
            <w:pPr>
              <w:spacing w:before="9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44" w:type="dxa"/>
            <w:vMerge w:val="continue"/>
            <w:tcBorders>
              <w:top w:val="nil"/>
              <w:left w:val="single" w:color="000000" w:sz="4" w:space="0"/>
              <w:bottom w:val="nil"/>
              <w:right w:val="single" w:color="000000" w:sz="4" w:space="0"/>
            </w:tcBorders>
            <w:vAlign w:val="top"/>
          </w:tcPr>
          <w:p w14:paraId="2D792E6A">
            <w:pPr>
              <w:rPr>
                <w:rFonts w:ascii="Arial"/>
                <w:sz w:val="21"/>
              </w:rPr>
            </w:pPr>
          </w:p>
        </w:tc>
        <w:tc>
          <w:tcPr>
            <w:tcW w:w="1680" w:type="dxa"/>
            <w:tcBorders>
              <w:left w:val="single" w:color="000000" w:sz="4" w:space="0"/>
              <w:right w:val="single" w:color="000000" w:sz="4" w:space="0"/>
            </w:tcBorders>
            <w:vAlign w:val="top"/>
          </w:tcPr>
          <w:p w14:paraId="011CD836">
            <w:pPr>
              <w:spacing w:before="22" w:line="281" w:lineRule="exact"/>
              <w:ind w:left="457"/>
              <w:rPr>
                <w:rFonts w:ascii="Times New Roman" w:hAnsi="Times New Roman" w:eastAsia="Times New Roman" w:cs="Times New Roman"/>
                <w:sz w:val="20"/>
                <w:szCs w:val="20"/>
              </w:rPr>
            </w:pPr>
            <w:r>
              <w:rPr>
                <w:rFonts w:ascii="宋体" w:hAnsi="宋体" w:eastAsia="宋体" w:cs="宋体"/>
                <w:spacing w:val="6"/>
                <w:position w:val="2"/>
                <w:sz w:val="20"/>
                <w:szCs w:val="20"/>
              </w:rPr>
              <w:t>铬</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六价</w:t>
            </w:r>
            <w:r>
              <w:rPr>
                <w:rFonts w:ascii="Times New Roman" w:hAnsi="Times New Roman" w:eastAsia="Times New Roman" w:cs="Times New Roman"/>
                <w:spacing w:val="5"/>
                <w:position w:val="2"/>
                <w:sz w:val="20"/>
                <w:szCs w:val="20"/>
              </w:rPr>
              <w:t>)</w:t>
            </w:r>
          </w:p>
        </w:tc>
        <w:tc>
          <w:tcPr>
            <w:tcW w:w="1650" w:type="dxa"/>
            <w:tcBorders>
              <w:left w:val="single" w:color="000000" w:sz="4" w:space="0"/>
              <w:right w:val="single" w:color="000000" w:sz="4" w:space="0"/>
            </w:tcBorders>
            <w:vAlign w:val="top"/>
          </w:tcPr>
          <w:p w14:paraId="050129A2">
            <w:pPr>
              <w:spacing w:before="22" w:line="281" w:lineRule="exact"/>
              <w:ind w:left="418"/>
              <w:rPr>
                <w:rFonts w:ascii="Times New Roman" w:hAnsi="Times New Roman" w:eastAsia="Times New Roman" w:cs="Times New Roman"/>
                <w:sz w:val="20"/>
                <w:szCs w:val="20"/>
              </w:rPr>
            </w:pPr>
            <w:r>
              <w:rPr>
                <w:rFonts w:ascii="宋体" w:hAnsi="宋体" w:eastAsia="宋体" w:cs="宋体"/>
                <w:spacing w:val="5"/>
                <w:position w:val="4"/>
                <w:sz w:val="20"/>
                <w:szCs w:val="20"/>
              </w:rPr>
              <w:t>＜</w:t>
            </w:r>
            <w:r>
              <w:rPr>
                <w:rFonts w:ascii="Times New Roman" w:hAnsi="Times New Roman" w:eastAsia="Times New Roman" w:cs="Times New Roman"/>
                <w:spacing w:val="4"/>
                <w:position w:val="4"/>
                <w:sz w:val="20"/>
                <w:szCs w:val="20"/>
              </w:rPr>
              <w:t>2</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1E5370FB">
            <w:pPr>
              <w:spacing w:before="99" w:line="192"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1226" w:type="dxa"/>
            <w:tcBorders>
              <w:left w:val="single" w:color="000000" w:sz="4" w:space="0"/>
              <w:right w:val="single" w:color="000000" w:sz="4" w:space="0"/>
            </w:tcBorders>
            <w:vAlign w:val="top"/>
          </w:tcPr>
          <w:p w14:paraId="2CFC362E">
            <w:pPr>
              <w:spacing w:before="22"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256D716">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F4DC4A2">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99B8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C2C34A8">
            <w:pPr>
              <w:spacing w:before="98"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44" w:type="dxa"/>
            <w:vMerge w:val="continue"/>
            <w:tcBorders>
              <w:top w:val="nil"/>
              <w:left w:val="single" w:color="000000" w:sz="4" w:space="0"/>
              <w:bottom w:val="nil"/>
              <w:right w:val="single" w:color="000000" w:sz="4" w:space="0"/>
            </w:tcBorders>
            <w:vAlign w:val="top"/>
          </w:tcPr>
          <w:p w14:paraId="1AA1641A">
            <w:pPr>
              <w:rPr>
                <w:rFonts w:ascii="Arial"/>
                <w:sz w:val="21"/>
              </w:rPr>
            </w:pPr>
          </w:p>
        </w:tc>
        <w:tc>
          <w:tcPr>
            <w:tcW w:w="1680" w:type="dxa"/>
            <w:tcBorders>
              <w:left w:val="single" w:color="000000" w:sz="4" w:space="0"/>
              <w:right w:val="single" w:color="000000" w:sz="4" w:space="0"/>
            </w:tcBorders>
            <w:vAlign w:val="top"/>
          </w:tcPr>
          <w:p w14:paraId="1C6D0AF9">
            <w:pPr>
              <w:spacing w:before="59" w:line="229" w:lineRule="auto"/>
              <w:ind w:left="738"/>
              <w:rPr>
                <w:rFonts w:ascii="宋体" w:hAnsi="宋体" w:eastAsia="宋体" w:cs="宋体"/>
                <w:sz w:val="20"/>
                <w:szCs w:val="20"/>
              </w:rPr>
            </w:pPr>
            <w:r>
              <w:rPr>
                <w:rFonts w:ascii="宋体" w:hAnsi="宋体" w:eastAsia="宋体" w:cs="宋体"/>
                <w:sz w:val="20"/>
                <w:szCs w:val="20"/>
              </w:rPr>
              <w:t>铜</w:t>
            </w:r>
          </w:p>
        </w:tc>
        <w:tc>
          <w:tcPr>
            <w:tcW w:w="1650" w:type="dxa"/>
            <w:tcBorders>
              <w:left w:val="single" w:color="000000" w:sz="4" w:space="0"/>
              <w:right w:val="single" w:color="000000" w:sz="4" w:space="0"/>
            </w:tcBorders>
            <w:vAlign w:val="top"/>
          </w:tcPr>
          <w:p w14:paraId="40A19A7A">
            <w:pPr>
              <w:spacing w:before="22"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300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54991DF4">
            <w:pPr>
              <w:spacing w:before="9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26" w:type="dxa"/>
            <w:tcBorders>
              <w:left w:val="single" w:color="000000" w:sz="4" w:space="0"/>
              <w:right w:val="single" w:color="000000" w:sz="4" w:space="0"/>
            </w:tcBorders>
            <w:vAlign w:val="top"/>
          </w:tcPr>
          <w:p w14:paraId="2B41AE81">
            <w:pPr>
              <w:spacing w:before="9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6B8B4254">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E99EADF">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C072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C9EF827">
            <w:pPr>
              <w:spacing w:before="9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44" w:type="dxa"/>
            <w:vMerge w:val="continue"/>
            <w:tcBorders>
              <w:top w:val="nil"/>
              <w:left w:val="single" w:color="000000" w:sz="4" w:space="0"/>
              <w:bottom w:val="nil"/>
              <w:right w:val="single" w:color="000000" w:sz="4" w:space="0"/>
            </w:tcBorders>
            <w:vAlign w:val="top"/>
          </w:tcPr>
          <w:p w14:paraId="20CC5B35">
            <w:pPr>
              <w:rPr>
                <w:rFonts w:ascii="Arial"/>
                <w:sz w:val="21"/>
              </w:rPr>
            </w:pPr>
          </w:p>
        </w:tc>
        <w:tc>
          <w:tcPr>
            <w:tcW w:w="1680" w:type="dxa"/>
            <w:tcBorders>
              <w:left w:val="single" w:color="000000" w:sz="4" w:space="0"/>
              <w:right w:val="single" w:color="000000" w:sz="4" w:space="0"/>
            </w:tcBorders>
            <w:vAlign w:val="top"/>
          </w:tcPr>
          <w:p w14:paraId="4EA80CCA">
            <w:pPr>
              <w:spacing w:before="59" w:line="232" w:lineRule="auto"/>
              <w:ind w:left="738"/>
              <w:rPr>
                <w:rFonts w:ascii="宋体" w:hAnsi="宋体" w:eastAsia="宋体" w:cs="宋体"/>
                <w:sz w:val="20"/>
                <w:szCs w:val="20"/>
              </w:rPr>
            </w:pPr>
            <w:r>
              <w:rPr>
                <w:rFonts w:ascii="宋体" w:hAnsi="宋体" w:eastAsia="宋体" w:cs="宋体"/>
                <w:sz w:val="20"/>
                <w:szCs w:val="20"/>
              </w:rPr>
              <w:t>铅</w:t>
            </w:r>
          </w:p>
        </w:tc>
        <w:tc>
          <w:tcPr>
            <w:tcW w:w="1650" w:type="dxa"/>
            <w:tcBorders>
              <w:left w:val="single" w:color="000000" w:sz="4" w:space="0"/>
              <w:right w:val="single" w:color="000000" w:sz="4" w:space="0"/>
            </w:tcBorders>
            <w:vAlign w:val="top"/>
          </w:tcPr>
          <w:p w14:paraId="716BC359">
            <w:pPr>
              <w:spacing w:before="22" w:line="281"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7</w:t>
            </w:r>
            <w:r>
              <w:rPr>
                <w:rFonts w:ascii="Times New Roman" w:hAnsi="Times New Roman" w:eastAsia="Times New Roman" w:cs="Times New Roman"/>
                <w:spacing w:val="6"/>
                <w:position w:val="2"/>
                <w:sz w:val="20"/>
                <w:szCs w:val="20"/>
              </w:rPr>
              <w:t>.0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13E7E78">
            <w:pPr>
              <w:spacing w:before="95"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717DB736">
            <w:pPr>
              <w:spacing w:before="95"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.009</w:t>
            </w:r>
          </w:p>
        </w:tc>
        <w:tc>
          <w:tcPr>
            <w:tcW w:w="705" w:type="dxa"/>
            <w:tcBorders>
              <w:left w:val="single" w:color="000000" w:sz="4" w:space="0"/>
            </w:tcBorders>
            <w:vAlign w:val="top"/>
          </w:tcPr>
          <w:p w14:paraId="30ECECAE">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415A245">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7794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EF82F3B">
            <w:pPr>
              <w:spacing w:before="98" w:line="192"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44" w:type="dxa"/>
            <w:vMerge w:val="continue"/>
            <w:tcBorders>
              <w:top w:val="nil"/>
              <w:left w:val="single" w:color="000000" w:sz="4" w:space="0"/>
              <w:bottom w:val="nil"/>
              <w:right w:val="single" w:color="000000" w:sz="4" w:space="0"/>
            </w:tcBorders>
            <w:vAlign w:val="top"/>
          </w:tcPr>
          <w:p w14:paraId="10D98C73">
            <w:pPr>
              <w:rPr>
                <w:rFonts w:ascii="Arial"/>
                <w:sz w:val="21"/>
              </w:rPr>
            </w:pPr>
          </w:p>
        </w:tc>
        <w:tc>
          <w:tcPr>
            <w:tcW w:w="1680" w:type="dxa"/>
            <w:tcBorders>
              <w:left w:val="single" w:color="000000" w:sz="4" w:space="0"/>
              <w:right w:val="single" w:color="000000" w:sz="4" w:space="0"/>
            </w:tcBorders>
            <w:vAlign w:val="top"/>
          </w:tcPr>
          <w:p w14:paraId="4FB82328">
            <w:pPr>
              <w:spacing w:before="59" w:line="228" w:lineRule="auto"/>
              <w:ind w:left="739"/>
              <w:rPr>
                <w:rFonts w:ascii="宋体" w:hAnsi="宋体" w:eastAsia="宋体" w:cs="宋体"/>
                <w:sz w:val="20"/>
                <w:szCs w:val="20"/>
              </w:rPr>
            </w:pPr>
            <w:r>
              <w:rPr>
                <w:rFonts w:ascii="宋体" w:hAnsi="宋体" w:eastAsia="宋体" w:cs="宋体"/>
                <w:sz w:val="20"/>
                <w:szCs w:val="20"/>
              </w:rPr>
              <w:t>汞</w:t>
            </w:r>
          </w:p>
        </w:tc>
        <w:tc>
          <w:tcPr>
            <w:tcW w:w="1650" w:type="dxa"/>
            <w:tcBorders>
              <w:left w:val="single" w:color="000000" w:sz="4" w:space="0"/>
              <w:right w:val="single" w:color="000000" w:sz="4" w:space="0"/>
            </w:tcBorders>
            <w:vAlign w:val="top"/>
          </w:tcPr>
          <w:p w14:paraId="7B0EB0EF">
            <w:pPr>
              <w:spacing w:before="21" w:line="281"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6"/>
                <w:position w:val="2"/>
                <w:sz w:val="20"/>
                <w:szCs w:val="20"/>
              </w:rPr>
              <w:t>.723</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228A9F9">
            <w:pPr>
              <w:spacing w:before="9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226" w:type="dxa"/>
            <w:tcBorders>
              <w:left w:val="single" w:color="000000" w:sz="4" w:space="0"/>
              <w:right w:val="single" w:color="000000" w:sz="4" w:space="0"/>
            </w:tcBorders>
            <w:vAlign w:val="top"/>
          </w:tcPr>
          <w:p w14:paraId="78742757">
            <w:pPr>
              <w:spacing w:before="95"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05" w:type="dxa"/>
            <w:tcBorders>
              <w:left w:val="single" w:color="000000" w:sz="4" w:space="0"/>
            </w:tcBorders>
            <w:vAlign w:val="top"/>
          </w:tcPr>
          <w:p w14:paraId="4C625EB6">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7AA4035">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B3FB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BC53872">
            <w:pPr>
              <w:spacing w:before="95"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44" w:type="dxa"/>
            <w:vMerge w:val="continue"/>
            <w:tcBorders>
              <w:top w:val="nil"/>
              <w:left w:val="single" w:color="000000" w:sz="4" w:space="0"/>
              <w:bottom w:val="nil"/>
              <w:right w:val="single" w:color="000000" w:sz="4" w:space="0"/>
            </w:tcBorders>
            <w:vAlign w:val="top"/>
          </w:tcPr>
          <w:p w14:paraId="0B702D9D">
            <w:pPr>
              <w:rPr>
                <w:rFonts w:ascii="Arial"/>
                <w:sz w:val="21"/>
              </w:rPr>
            </w:pPr>
          </w:p>
        </w:tc>
        <w:tc>
          <w:tcPr>
            <w:tcW w:w="1680" w:type="dxa"/>
            <w:tcBorders>
              <w:left w:val="single" w:color="000000" w:sz="4" w:space="0"/>
              <w:right w:val="single" w:color="000000" w:sz="4" w:space="0"/>
            </w:tcBorders>
            <w:vAlign w:val="top"/>
          </w:tcPr>
          <w:p w14:paraId="11F1F3DE">
            <w:pPr>
              <w:spacing w:before="59" w:line="228" w:lineRule="auto"/>
              <w:ind w:left="738"/>
              <w:rPr>
                <w:rFonts w:ascii="宋体" w:hAnsi="宋体" w:eastAsia="宋体" w:cs="宋体"/>
                <w:sz w:val="20"/>
                <w:szCs w:val="20"/>
              </w:rPr>
            </w:pPr>
            <w:r>
              <w:rPr>
                <w:rFonts w:ascii="宋体" w:hAnsi="宋体" w:eastAsia="宋体" w:cs="宋体"/>
                <w:spacing w:val="1"/>
                <w:sz w:val="20"/>
                <w:szCs w:val="20"/>
              </w:rPr>
              <w:t>镍</w:t>
            </w:r>
          </w:p>
        </w:tc>
        <w:tc>
          <w:tcPr>
            <w:tcW w:w="1650" w:type="dxa"/>
            <w:tcBorders>
              <w:left w:val="single" w:color="000000" w:sz="4" w:space="0"/>
              <w:right w:val="single" w:color="000000" w:sz="4" w:space="0"/>
            </w:tcBorders>
            <w:vAlign w:val="top"/>
          </w:tcPr>
          <w:p w14:paraId="29FA621A">
            <w:pPr>
              <w:spacing w:before="21" w:line="281"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277</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kg</w:t>
            </w:r>
          </w:p>
        </w:tc>
        <w:tc>
          <w:tcPr>
            <w:tcW w:w="930" w:type="dxa"/>
            <w:tcBorders>
              <w:left w:val="single" w:color="000000" w:sz="4" w:space="0"/>
              <w:right w:val="single" w:color="000000" w:sz="4" w:space="0"/>
            </w:tcBorders>
            <w:vAlign w:val="top"/>
          </w:tcPr>
          <w:p w14:paraId="4EE20EE2">
            <w:pPr>
              <w:spacing w:before="95"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1226" w:type="dxa"/>
            <w:tcBorders>
              <w:left w:val="single" w:color="000000" w:sz="4" w:space="0"/>
              <w:right w:val="single" w:color="000000" w:sz="4" w:space="0"/>
            </w:tcBorders>
            <w:vAlign w:val="top"/>
          </w:tcPr>
          <w:p w14:paraId="54478B9C">
            <w:pPr>
              <w:spacing w:before="95"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705" w:type="dxa"/>
            <w:tcBorders>
              <w:left w:val="single" w:color="000000" w:sz="4" w:space="0"/>
            </w:tcBorders>
            <w:vAlign w:val="top"/>
          </w:tcPr>
          <w:p w14:paraId="36696A6A">
            <w:pPr>
              <w:spacing w:before="9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994FF7F">
            <w:pPr>
              <w:spacing w:before="9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F3A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00D8FB8">
            <w:pPr>
              <w:spacing w:before="97"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44" w:type="dxa"/>
            <w:vMerge w:val="continue"/>
            <w:tcBorders>
              <w:top w:val="nil"/>
              <w:left w:val="single" w:color="000000" w:sz="4" w:space="0"/>
              <w:bottom w:val="nil"/>
              <w:right w:val="single" w:color="000000" w:sz="4" w:space="0"/>
            </w:tcBorders>
            <w:vAlign w:val="top"/>
          </w:tcPr>
          <w:p w14:paraId="7ACB96E0">
            <w:pPr>
              <w:rPr>
                <w:rFonts w:ascii="Arial"/>
                <w:sz w:val="21"/>
              </w:rPr>
            </w:pPr>
          </w:p>
        </w:tc>
        <w:tc>
          <w:tcPr>
            <w:tcW w:w="1680" w:type="dxa"/>
            <w:tcBorders>
              <w:left w:val="single" w:color="000000" w:sz="4" w:space="0"/>
              <w:right w:val="single" w:color="000000" w:sz="4" w:space="0"/>
            </w:tcBorders>
            <w:vAlign w:val="top"/>
          </w:tcPr>
          <w:p w14:paraId="6262C26A">
            <w:pPr>
              <w:spacing w:before="61" w:line="233" w:lineRule="auto"/>
              <w:ind w:left="527"/>
              <w:rPr>
                <w:rFonts w:ascii="宋体" w:hAnsi="宋体" w:eastAsia="宋体" w:cs="宋体"/>
                <w:sz w:val="20"/>
                <w:szCs w:val="20"/>
              </w:rPr>
            </w:pPr>
            <w:r>
              <w:rPr>
                <w:rFonts w:ascii="宋体" w:hAnsi="宋体" w:eastAsia="宋体" w:cs="宋体"/>
                <w:spacing w:val="7"/>
                <w:sz w:val="20"/>
                <w:szCs w:val="20"/>
              </w:rPr>
              <w:t>全盐</w:t>
            </w:r>
            <w:r>
              <w:rPr>
                <w:rFonts w:ascii="宋体" w:hAnsi="宋体" w:eastAsia="宋体" w:cs="宋体"/>
                <w:spacing w:val="6"/>
                <w:sz w:val="20"/>
                <w:szCs w:val="20"/>
              </w:rPr>
              <w:t>量</w:t>
            </w:r>
          </w:p>
        </w:tc>
        <w:tc>
          <w:tcPr>
            <w:tcW w:w="1650" w:type="dxa"/>
            <w:tcBorders>
              <w:left w:val="single" w:color="000000" w:sz="4" w:space="0"/>
              <w:right w:val="single" w:color="000000" w:sz="4" w:space="0"/>
            </w:tcBorders>
            <w:vAlign w:val="top"/>
          </w:tcPr>
          <w:p w14:paraId="69A51B7E">
            <w:pPr>
              <w:spacing w:before="23" w:line="281"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6"/>
                <w:position w:val="4"/>
                <w:sz w:val="20"/>
                <w:szCs w:val="20"/>
              </w:rPr>
              <w:t>2</w:t>
            </w:r>
            <w:r>
              <w:rPr>
                <w:rFonts w:ascii="Times New Roman" w:hAnsi="Times New Roman" w:eastAsia="Times New Roman" w:cs="Times New Roman"/>
                <w:spacing w:val="-4"/>
                <w:position w:val="4"/>
                <w:sz w:val="20"/>
                <w:szCs w:val="20"/>
              </w:rPr>
              <w:t>.</w:t>
            </w:r>
            <w:r>
              <w:rPr>
                <w:rFonts w:ascii="Times New Roman" w:hAnsi="Times New Roman" w:eastAsia="Times New Roman" w:cs="Times New Roman"/>
                <w:spacing w:val="-3"/>
                <w:position w:val="4"/>
                <w:sz w:val="20"/>
                <w:szCs w:val="20"/>
              </w:rPr>
              <w:t xml:space="preserve"> 1g/kg</w:t>
            </w:r>
          </w:p>
        </w:tc>
        <w:tc>
          <w:tcPr>
            <w:tcW w:w="930" w:type="dxa"/>
            <w:tcBorders>
              <w:left w:val="single" w:color="000000" w:sz="4" w:space="0"/>
              <w:right w:val="single" w:color="000000" w:sz="4" w:space="0"/>
            </w:tcBorders>
            <w:vAlign w:val="top"/>
          </w:tcPr>
          <w:p w14:paraId="55EABAF7">
            <w:pPr>
              <w:spacing w:before="23" w:line="281"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26" w:type="dxa"/>
            <w:tcBorders>
              <w:left w:val="single" w:color="000000" w:sz="4" w:space="0"/>
              <w:right w:val="single" w:color="000000" w:sz="4" w:space="0"/>
            </w:tcBorders>
            <w:vAlign w:val="top"/>
          </w:tcPr>
          <w:p w14:paraId="232C021E">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19497D0">
            <w:pPr>
              <w:spacing w:before="23" w:line="281"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84" w:type="dxa"/>
            <w:tcBorders>
              <w:right w:val="nil"/>
            </w:tcBorders>
            <w:vAlign w:val="top"/>
          </w:tcPr>
          <w:p w14:paraId="1A0630AF">
            <w:pPr>
              <w:spacing w:before="23"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40B4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8BB0853">
            <w:pPr>
              <w:spacing w:before="9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944" w:type="dxa"/>
            <w:vMerge w:val="continue"/>
            <w:tcBorders>
              <w:top w:val="nil"/>
              <w:left w:val="single" w:color="000000" w:sz="4" w:space="0"/>
              <w:bottom w:val="nil"/>
              <w:right w:val="single" w:color="000000" w:sz="4" w:space="0"/>
            </w:tcBorders>
            <w:vAlign w:val="top"/>
          </w:tcPr>
          <w:p w14:paraId="35A62FA1">
            <w:pPr>
              <w:rPr>
                <w:rFonts w:ascii="Arial"/>
                <w:sz w:val="21"/>
              </w:rPr>
            </w:pPr>
          </w:p>
        </w:tc>
        <w:tc>
          <w:tcPr>
            <w:tcW w:w="1680" w:type="dxa"/>
            <w:tcBorders>
              <w:left w:val="single" w:color="000000" w:sz="4" w:space="0"/>
              <w:right w:val="single" w:color="000000" w:sz="4" w:space="0"/>
            </w:tcBorders>
            <w:vAlign w:val="top"/>
          </w:tcPr>
          <w:p w14:paraId="5D2CC0BC">
            <w:pPr>
              <w:spacing w:before="61" w:line="228" w:lineRule="auto"/>
              <w:ind w:left="44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氯化碳</w:t>
            </w:r>
          </w:p>
        </w:tc>
        <w:tc>
          <w:tcPr>
            <w:tcW w:w="1650" w:type="dxa"/>
            <w:tcBorders>
              <w:left w:val="single" w:color="000000" w:sz="4" w:space="0"/>
              <w:right w:val="single" w:color="000000" w:sz="4" w:space="0"/>
            </w:tcBorders>
            <w:vAlign w:val="top"/>
          </w:tcPr>
          <w:p w14:paraId="360FCDA4">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8A7452F">
            <w:pPr>
              <w:spacing w:before="97" w:line="198"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717E4A62">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12A919D">
            <w:pPr>
              <w:spacing w:before="9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30DA5CB">
            <w:pPr>
              <w:spacing w:before="9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25D2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C9BD078">
            <w:pPr>
              <w:spacing w:before="96"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944" w:type="dxa"/>
            <w:vMerge w:val="continue"/>
            <w:tcBorders>
              <w:top w:val="nil"/>
              <w:left w:val="single" w:color="000000" w:sz="4" w:space="0"/>
              <w:bottom w:val="nil"/>
              <w:right w:val="single" w:color="000000" w:sz="4" w:space="0"/>
            </w:tcBorders>
            <w:vAlign w:val="top"/>
          </w:tcPr>
          <w:p w14:paraId="08E16D35">
            <w:pPr>
              <w:rPr>
                <w:rFonts w:ascii="Arial"/>
                <w:sz w:val="21"/>
              </w:rPr>
            </w:pPr>
          </w:p>
        </w:tc>
        <w:tc>
          <w:tcPr>
            <w:tcW w:w="1680" w:type="dxa"/>
            <w:tcBorders>
              <w:left w:val="single" w:color="000000" w:sz="4" w:space="0"/>
              <w:right w:val="single" w:color="000000" w:sz="4" w:space="0"/>
            </w:tcBorders>
            <w:vAlign w:val="top"/>
          </w:tcPr>
          <w:p w14:paraId="14BB0143">
            <w:pPr>
              <w:spacing w:before="61" w:line="228" w:lineRule="auto"/>
              <w:ind w:left="636"/>
              <w:rPr>
                <w:rFonts w:ascii="宋体" w:hAnsi="宋体" w:eastAsia="宋体" w:cs="宋体"/>
                <w:sz w:val="20"/>
                <w:szCs w:val="20"/>
              </w:rPr>
            </w:pPr>
            <w:r>
              <w:rPr>
                <w:rFonts w:ascii="宋体" w:hAnsi="宋体" w:eastAsia="宋体" w:cs="宋体"/>
                <w:spacing w:val="3"/>
                <w:sz w:val="20"/>
                <w:szCs w:val="20"/>
              </w:rPr>
              <w:t>氯仿</w:t>
            </w:r>
          </w:p>
        </w:tc>
        <w:tc>
          <w:tcPr>
            <w:tcW w:w="1650" w:type="dxa"/>
            <w:tcBorders>
              <w:left w:val="single" w:color="000000" w:sz="4" w:space="0"/>
              <w:right w:val="single" w:color="000000" w:sz="4" w:space="0"/>
            </w:tcBorders>
            <w:vAlign w:val="top"/>
          </w:tcPr>
          <w:p w14:paraId="7D7BEC94">
            <w:pPr>
              <w:spacing w:before="21" w:line="281" w:lineRule="exact"/>
              <w:ind w:left="365"/>
              <w:rPr>
                <w:rFonts w:ascii="Times New Roman" w:hAnsi="Times New Roman" w:eastAsia="Times New Roman" w:cs="Times New Roman"/>
                <w:sz w:val="20"/>
                <w:szCs w:val="20"/>
              </w:rPr>
            </w:pP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 1μg/kg</w:t>
            </w:r>
          </w:p>
        </w:tc>
        <w:tc>
          <w:tcPr>
            <w:tcW w:w="930" w:type="dxa"/>
            <w:tcBorders>
              <w:left w:val="single" w:color="000000" w:sz="4" w:space="0"/>
              <w:right w:val="single" w:color="000000" w:sz="4" w:space="0"/>
            </w:tcBorders>
            <w:vAlign w:val="top"/>
          </w:tcPr>
          <w:p w14:paraId="270279CC">
            <w:pPr>
              <w:spacing w:before="9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1226" w:type="dxa"/>
            <w:tcBorders>
              <w:left w:val="single" w:color="000000" w:sz="4" w:space="0"/>
              <w:right w:val="single" w:color="000000" w:sz="4" w:space="0"/>
            </w:tcBorders>
            <w:vAlign w:val="top"/>
          </w:tcPr>
          <w:p w14:paraId="49DC06D4">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B31FFC2">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335DEA1">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6F9A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7936231">
            <w:pPr>
              <w:spacing w:before="9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44" w:type="dxa"/>
            <w:vMerge w:val="continue"/>
            <w:tcBorders>
              <w:top w:val="nil"/>
              <w:left w:val="single" w:color="000000" w:sz="4" w:space="0"/>
              <w:bottom w:val="nil"/>
              <w:right w:val="single" w:color="000000" w:sz="4" w:space="0"/>
            </w:tcBorders>
            <w:vAlign w:val="top"/>
          </w:tcPr>
          <w:p w14:paraId="402C7333">
            <w:pPr>
              <w:rPr>
                <w:rFonts w:ascii="Arial"/>
                <w:sz w:val="21"/>
              </w:rPr>
            </w:pPr>
          </w:p>
        </w:tc>
        <w:tc>
          <w:tcPr>
            <w:tcW w:w="1680" w:type="dxa"/>
            <w:tcBorders>
              <w:left w:val="single" w:color="000000" w:sz="4" w:space="0"/>
              <w:right w:val="single" w:color="000000" w:sz="4" w:space="0"/>
            </w:tcBorders>
            <w:vAlign w:val="top"/>
          </w:tcPr>
          <w:p w14:paraId="64888DBF">
            <w:pPr>
              <w:spacing w:before="61" w:line="228" w:lineRule="auto"/>
              <w:ind w:left="531"/>
              <w:rPr>
                <w:rFonts w:ascii="宋体" w:hAnsi="宋体" w:eastAsia="宋体" w:cs="宋体"/>
                <w:sz w:val="20"/>
                <w:szCs w:val="20"/>
              </w:rPr>
            </w:pPr>
            <w:r>
              <w:rPr>
                <w:rFonts w:ascii="宋体" w:hAnsi="宋体" w:eastAsia="宋体" w:cs="宋体"/>
                <w:spacing w:val="6"/>
                <w:sz w:val="20"/>
                <w:szCs w:val="20"/>
              </w:rPr>
              <w:t>氯甲</w:t>
            </w:r>
            <w:r>
              <w:rPr>
                <w:rFonts w:ascii="宋体" w:hAnsi="宋体" w:eastAsia="宋体" w:cs="宋体"/>
                <w:spacing w:val="5"/>
                <w:sz w:val="20"/>
                <w:szCs w:val="20"/>
              </w:rPr>
              <w:t>烷</w:t>
            </w:r>
          </w:p>
        </w:tc>
        <w:tc>
          <w:tcPr>
            <w:tcW w:w="1650" w:type="dxa"/>
            <w:tcBorders>
              <w:left w:val="single" w:color="000000" w:sz="4" w:space="0"/>
              <w:right w:val="single" w:color="000000" w:sz="4" w:space="0"/>
            </w:tcBorders>
            <w:vAlign w:val="top"/>
          </w:tcPr>
          <w:p w14:paraId="05B5BC7B">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B558436">
            <w:pPr>
              <w:spacing w:before="9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1226" w:type="dxa"/>
            <w:tcBorders>
              <w:left w:val="single" w:color="000000" w:sz="4" w:space="0"/>
              <w:right w:val="single" w:color="000000" w:sz="4" w:space="0"/>
            </w:tcBorders>
            <w:vAlign w:val="top"/>
          </w:tcPr>
          <w:p w14:paraId="07EFD637">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CB64A2A">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F0597F5">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8105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32" w:type="dxa"/>
            <w:tcBorders>
              <w:left w:val="nil"/>
              <w:right w:val="single" w:color="000000" w:sz="4" w:space="0"/>
            </w:tcBorders>
            <w:vAlign w:val="top"/>
          </w:tcPr>
          <w:p w14:paraId="2B1F5594">
            <w:pPr>
              <w:spacing w:before="9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944" w:type="dxa"/>
            <w:vMerge w:val="continue"/>
            <w:tcBorders>
              <w:top w:val="nil"/>
              <w:left w:val="single" w:color="000000" w:sz="4" w:space="0"/>
              <w:right w:val="single" w:color="000000" w:sz="4" w:space="0"/>
            </w:tcBorders>
            <w:vAlign w:val="top"/>
          </w:tcPr>
          <w:p w14:paraId="290753BA">
            <w:pPr>
              <w:rPr>
                <w:rFonts w:ascii="Arial"/>
                <w:sz w:val="21"/>
              </w:rPr>
            </w:pPr>
          </w:p>
        </w:tc>
        <w:tc>
          <w:tcPr>
            <w:tcW w:w="1680" w:type="dxa"/>
            <w:tcBorders>
              <w:left w:val="single" w:color="000000" w:sz="4" w:space="0"/>
              <w:right w:val="single" w:color="000000" w:sz="4" w:space="0"/>
            </w:tcBorders>
            <w:vAlign w:val="top"/>
          </w:tcPr>
          <w:p w14:paraId="580CE804">
            <w:pPr>
              <w:spacing w:before="61" w:line="233" w:lineRule="auto"/>
              <w:ind w:left="27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二氯乙烷</w:t>
            </w:r>
          </w:p>
        </w:tc>
        <w:tc>
          <w:tcPr>
            <w:tcW w:w="1650" w:type="dxa"/>
            <w:tcBorders>
              <w:left w:val="single" w:color="000000" w:sz="4" w:space="0"/>
              <w:right w:val="single" w:color="000000" w:sz="4" w:space="0"/>
            </w:tcBorders>
            <w:vAlign w:val="top"/>
          </w:tcPr>
          <w:p w14:paraId="2A12E25D">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CF9F808">
            <w:pPr>
              <w:spacing w:before="96"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26" w:type="dxa"/>
            <w:tcBorders>
              <w:left w:val="single" w:color="000000" w:sz="4" w:space="0"/>
              <w:right w:val="single" w:color="000000" w:sz="4" w:space="0"/>
            </w:tcBorders>
            <w:vAlign w:val="top"/>
          </w:tcPr>
          <w:p w14:paraId="1CDD62C4">
            <w:pPr>
              <w:spacing w:before="23" w:line="281" w:lineRule="exact"/>
              <w:ind w:left="5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38FF5AC">
            <w:pPr>
              <w:spacing w:before="9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34D961D">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5BACE3B5">
      <w:pPr>
        <w:rPr>
          <w:rFonts w:ascii="Arial"/>
          <w:sz w:val="21"/>
        </w:rPr>
      </w:pPr>
    </w:p>
    <w:p w14:paraId="2717E18D">
      <w:pPr>
        <w:sectPr>
          <w:footerReference r:id="rId191" w:type="default"/>
          <w:pgSz w:w="11906" w:h="16839"/>
          <w:pgMar w:top="1132" w:right="1777" w:bottom="1182" w:left="1777" w:header="878" w:footer="1022" w:gutter="0"/>
          <w:cols w:space="720" w:num="1"/>
        </w:sectPr>
      </w:pPr>
    </w:p>
    <w:p w14:paraId="4E8CC6AA">
      <w:r>
        <w:pict>
          <v:shape id="_x0000_s1233" o:spid="_x0000_s1233" style="position:absolute;left:0pt;margin-left:90pt;margin-top:57.35pt;height:0.75pt;width:415.3pt;mso-position-horizontal-relative:page;mso-position-vertical-relative:page;z-index:251885568;mso-width-relative:page;mso-height-relative:page;" fillcolor="#000000" filled="t" stroked="f" coordsize="8305,15" o:allowincell="f" path="m0,0l8305,0,8305,14,0,14,0,0xe">
            <v:path/>
            <v:fill on="t" focussize="0,0"/>
            <v:stroke on="f"/>
            <v:imagedata o:title=""/>
            <o:lock v:ext="edit"/>
          </v:shape>
        </w:pict>
      </w:r>
    </w:p>
    <w:p w14:paraId="45232119">
      <w:pPr>
        <w:spacing w:line="65"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944"/>
        <w:gridCol w:w="1680"/>
        <w:gridCol w:w="1651"/>
        <w:gridCol w:w="930"/>
        <w:gridCol w:w="1226"/>
        <w:gridCol w:w="705"/>
        <w:gridCol w:w="684"/>
      </w:tblGrid>
      <w:tr w14:paraId="635F1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32" w:type="dxa"/>
            <w:tcBorders>
              <w:left w:val="nil"/>
              <w:right w:val="single" w:color="000000" w:sz="4" w:space="0"/>
            </w:tcBorders>
            <w:vAlign w:val="top"/>
          </w:tcPr>
          <w:p w14:paraId="76A9D6DC">
            <w:pPr>
              <w:spacing w:before="111"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944" w:type="dxa"/>
            <w:vMerge w:val="restart"/>
            <w:tcBorders>
              <w:left w:val="single" w:color="000000" w:sz="4" w:space="0"/>
              <w:bottom w:val="nil"/>
              <w:right w:val="single" w:color="000000" w:sz="4" w:space="0"/>
            </w:tcBorders>
            <w:vAlign w:val="top"/>
          </w:tcPr>
          <w:p w14:paraId="1125AA0E">
            <w:pPr>
              <w:rPr>
                <w:rFonts w:ascii="Arial"/>
                <w:sz w:val="21"/>
              </w:rPr>
            </w:pPr>
          </w:p>
        </w:tc>
        <w:tc>
          <w:tcPr>
            <w:tcW w:w="1680" w:type="dxa"/>
            <w:tcBorders>
              <w:left w:val="single" w:color="000000" w:sz="4" w:space="0"/>
              <w:right w:val="single" w:color="000000" w:sz="4" w:space="0"/>
            </w:tcBorders>
            <w:vAlign w:val="top"/>
          </w:tcPr>
          <w:p w14:paraId="3A7D7A91">
            <w:pPr>
              <w:spacing w:before="76" w:line="233" w:lineRule="auto"/>
              <w:ind w:left="27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二氯乙烷</w:t>
            </w:r>
          </w:p>
        </w:tc>
        <w:tc>
          <w:tcPr>
            <w:tcW w:w="1651" w:type="dxa"/>
            <w:tcBorders>
              <w:left w:val="single" w:color="000000" w:sz="4" w:space="0"/>
              <w:right w:val="single" w:color="000000" w:sz="4" w:space="0"/>
            </w:tcBorders>
            <w:vAlign w:val="top"/>
          </w:tcPr>
          <w:p w14:paraId="515E2E05">
            <w:pPr>
              <w:spacing w:before="3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8814DA6">
            <w:pPr>
              <w:spacing w:before="114" w:line="192"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25F0B718">
            <w:pPr>
              <w:spacing w:before="38"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FFD5506">
            <w:pPr>
              <w:spacing w:before="11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D767459">
            <w:pPr>
              <w:spacing w:before="11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11A0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2F020CAA">
            <w:pPr>
              <w:spacing w:before="9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944" w:type="dxa"/>
            <w:vMerge w:val="continue"/>
            <w:tcBorders>
              <w:top w:val="nil"/>
              <w:left w:val="single" w:color="000000" w:sz="4" w:space="0"/>
              <w:bottom w:val="nil"/>
              <w:right w:val="single" w:color="000000" w:sz="4" w:space="0"/>
            </w:tcBorders>
            <w:vAlign w:val="top"/>
          </w:tcPr>
          <w:p w14:paraId="44C4238A">
            <w:pPr>
              <w:rPr>
                <w:rFonts w:ascii="Arial"/>
                <w:sz w:val="21"/>
              </w:rPr>
            </w:pPr>
          </w:p>
        </w:tc>
        <w:tc>
          <w:tcPr>
            <w:tcW w:w="1680" w:type="dxa"/>
            <w:tcBorders>
              <w:left w:val="single" w:color="000000" w:sz="4" w:space="0"/>
              <w:right w:val="single" w:color="000000" w:sz="4" w:space="0"/>
            </w:tcBorders>
            <w:vAlign w:val="top"/>
          </w:tcPr>
          <w:p w14:paraId="39819762">
            <w:pPr>
              <w:spacing w:before="56" w:line="233" w:lineRule="auto"/>
              <w:ind w:left="272"/>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r>
              <w:rPr>
                <w:rFonts w:ascii="宋体" w:hAnsi="宋体" w:eastAsia="宋体" w:cs="宋体"/>
                <w:spacing w:val="-2"/>
                <w:sz w:val="20"/>
                <w:szCs w:val="20"/>
              </w:rPr>
              <w:t>二氯乙烯</w:t>
            </w:r>
          </w:p>
        </w:tc>
        <w:tc>
          <w:tcPr>
            <w:tcW w:w="1651" w:type="dxa"/>
            <w:tcBorders>
              <w:left w:val="single" w:color="000000" w:sz="4" w:space="0"/>
              <w:right w:val="single" w:color="000000" w:sz="4" w:space="0"/>
            </w:tcBorders>
            <w:vAlign w:val="top"/>
          </w:tcPr>
          <w:p w14:paraId="1D81F6C8">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D6E8124">
            <w:pPr>
              <w:spacing w:before="92"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1226" w:type="dxa"/>
            <w:tcBorders>
              <w:left w:val="single" w:color="000000" w:sz="4" w:space="0"/>
              <w:right w:val="single" w:color="000000" w:sz="4" w:space="0"/>
            </w:tcBorders>
            <w:vAlign w:val="top"/>
          </w:tcPr>
          <w:p w14:paraId="7F11FBFB">
            <w:pPr>
              <w:spacing w:before="18"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50168B4">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01206DD">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3D7B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4E25874">
            <w:pPr>
              <w:spacing w:before="9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944" w:type="dxa"/>
            <w:vMerge w:val="continue"/>
            <w:tcBorders>
              <w:top w:val="nil"/>
              <w:left w:val="single" w:color="000000" w:sz="4" w:space="0"/>
              <w:bottom w:val="nil"/>
              <w:right w:val="single" w:color="000000" w:sz="4" w:space="0"/>
            </w:tcBorders>
            <w:vAlign w:val="top"/>
          </w:tcPr>
          <w:p w14:paraId="798DE0A7">
            <w:pPr>
              <w:rPr>
                <w:rFonts w:ascii="Arial"/>
                <w:sz w:val="21"/>
              </w:rPr>
            </w:pPr>
          </w:p>
        </w:tc>
        <w:tc>
          <w:tcPr>
            <w:tcW w:w="1680" w:type="dxa"/>
            <w:tcBorders>
              <w:left w:val="single" w:color="000000" w:sz="4" w:space="0"/>
              <w:right w:val="single" w:color="000000" w:sz="4" w:space="0"/>
            </w:tcBorders>
            <w:vAlign w:val="top"/>
          </w:tcPr>
          <w:p w14:paraId="28670212">
            <w:pPr>
              <w:spacing w:before="56" w:line="233" w:lineRule="auto"/>
              <w:ind w:left="118"/>
              <w:rPr>
                <w:rFonts w:ascii="宋体" w:hAnsi="宋体" w:eastAsia="宋体" w:cs="宋体"/>
                <w:sz w:val="20"/>
                <w:szCs w:val="20"/>
              </w:rPr>
            </w:pPr>
            <w:r>
              <w:rPr>
                <w:rFonts w:ascii="宋体" w:hAnsi="宋体" w:eastAsia="宋体" w:cs="宋体"/>
                <w:spacing w:val="1"/>
                <w:sz w:val="20"/>
                <w:szCs w:val="20"/>
              </w:rPr>
              <w:t>顺</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651" w:type="dxa"/>
            <w:tcBorders>
              <w:left w:val="single" w:color="000000" w:sz="4" w:space="0"/>
              <w:right w:val="single" w:color="000000" w:sz="4" w:space="0"/>
            </w:tcBorders>
            <w:vAlign w:val="top"/>
          </w:tcPr>
          <w:p w14:paraId="32FB388A">
            <w:pPr>
              <w:spacing w:before="17"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08C86CB">
            <w:pPr>
              <w:spacing w:before="9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6</w:t>
            </w:r>
          </w:p>
        </w:tc>
        <w:tc>
          <w:tcPr>
            <w:tcW w:w="1226" w:type="dxa"/>
            <w:tcBorders>
              <w:left w:val="single" w:color="000000" w:sz="4" w:space="0"/>
              <w:right w:val="single" w:color="000000" w:sz="4" w:space="0"/>
            </w:tcBorders>
            <w:vAlign w:val="top"/>
          </w:tcPr>
          <w:p w14:paraId="073C8262">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FAD353C">
            <w:pPr>
              <w:spacing w:before="9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B66247B">
            <w:pPr>
              <w:spacing w:before="9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129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9AE9DFD">
            <w:pPr>
              <w:spacing w:before="9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944" w:type="dxa"/>
            <w:vMerge w:val="continue"/>
            <w:tcBorders>
              <w:top w:val="nil"/>
              <w:left w:val="single" w:color="000000" w:sz="4" w:space="0"/>
              <w:bottom w:val="nil"/>
              <w:right w:val="single" w:color="000000" w:sz="4" w:space="0"/>
            </w:tcBorders>
            <w:vAlign w:val="top"/>
          </w:tcPr>
          <w:p w14:paraId="07E7AF47">
            <w:pPr>
              <w:rPr>
                <w:rFonts w:ascii="Arial"/>
                <w:sz w:val="21"/>
              </w:rPr>
            </w:pPr>
          </w:p>
        </w:tc>
        <w:tc>
          <w:tcPr>
            <w:tcW w:w="1680" w:type="dxa"/>
            <w:tcBorders>
              <w:left w:val="single" w:color="000000" w:sz="4" w:space="0"/>
              <w:right w:val="single" w:color="000000" w:sz="4" w:space="0"/>
            </w:tcBorders>
            <w:vAlign w:val="top"/>
          </w:tcPr>
          <w:p w14:paraId="2BC9FC59">
            <w:pPr>
              <w:spacing w:before="56" w:line="233" w:lineRule="auto"/>
              <w:ind w:left="118"/>
              <w:rPr>
                <w:rFonts w:ascii="宋体" w:hAnsi="宋体" w:eastAsia="宋体" w:cs="宋体"/>
                <w:sz w:val="20"/>
                <w:szCs w:val="20"/>
              </w:rPr>
            </w:pPr>
            <w:r>
              <w:rPr>
                <w:rFonts w:ascii="宋体" w:hAnsi="宋体" w:eastAsia="宋体" w:cs="宋体"/>
                <w:spacing w:val="1"/>
                <w:sz w:val="20"/>
                <w:szCs w:val="20"/>
              </w:rPr>
              <w:t>反</w:t>
            </w:r>
            <w:r>
              <w:rPr>
                <w:rFonts w:ascii="Times New Roman" w:hAnsi="Times New Roman" w:eastAsia="Times New Roman" w:cs="Times New Roman"/>
                <w:spacing w:val="1"/>
                <w:sz w:val="20"/>
                <w:szCs w:val="20"/>
              </w:rPr>
              <w:t>- 1,2-</w:t>
            </w:r>
            <w:r>
              <w:rPr>
                <w:rFonts w:ascii="宋体" w:hAnsi="宋体" w:eastAsia="宋体" w:cs="宋体"/>
                <w:sz w:val="20"/>
                <w:szCs w:val="20"/>
              </w:rPr>
              <w:t>二氯乙烯</w:t>
            </w:r>
          </w:p>
        </w:tc>
        <w:tc>
          <w:tcPr>
            <w:tcW w:w="1651" w:type="dxa"/>
            <w:tcBorders>
              <w:left w:val="single" w:color="000000" w:sz="4" w:space="0"/>
              <w:right w:val="single" w:color="000000" w:sz="4" w:space="0"/>
            </w:tcBorders>
            <w:vAlign w:val="top"/>
          </w:tcPr>
          <w:p w14:paraId="60DA0498">
            <w:pPr>
              <w:spacing w:before="17"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1.4μ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56E4B73">
            <w:pPr>
              <w:spacing w:before="9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26" w:type="dxa"/>
            <w:tcBorders>
              <w:left w:val="single" w:color="000000" w:sz="4" w:space="0"/>
              <w:right w:val="single" w:color="000000" w:sz="4" w:space="0"/>
            </w:tcBorders>
            <w:vAlign w:val="top"/>
          </w:tcPr>
          <w:p w14:paraId="4E6EB0CB">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0C6649E">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5B7B5CB">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BAEC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C256CDF">
            <w:pPr>
              <w:spacing w:before="9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944" w:type="dxa"/>
            <w:vMerge w:val="continue"/>
            <w:tcBorders>
              <w:top w:val="nil"/>
              <w:left w:val="single" w:color="000000" w:sz="4" w:space="0"/>
              <w:bottom w:val="nil"/>
              <w:right w:val="single" w:color="000000" w:sz="4" w:space="0"/>
            </w:tcBorders>
            <w:vAlign w:val="top"/>
          </w:tcPr>
          <w:p w14:paraId="3A2C5FA6">
            <w:pPr>
              <w:rPr>
                <w:rFonts w:ascii="Arial"/>
                <w:sz w:val="21"/>
              </w:rPr>
            </w:pPr>
          </w:p>
        </w:tc>
        <w:tc>
          <w:tcPr>
            <w:tcW w:w="1680" w:type="dxa"/>
            <w:tcBorders>
              <w:left w:val="single" w:color="000000" w:sz="4" w:space="0"/>
              <w:right w:val="single" w:color="000000" w:sz="4" w:space="0"/>
            </w:tcBorders>
            <w:vAlign w:val="top"/>
          </w:tcPr>
          <w:p w14:paraId="0A402806">
            <w:pPr>
              <w:spacing w:before="57" w:line="228" w:lineRule="auto"/>
              <w:ind w:left="425"/>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氯甲烷</w:t>
            </w:r>
          </w:p>
        </w:tc>
        <w:tc>
          <w:tcPr>
            <w:tcW w:w="1651" w:type="dxa"/>
            <w:tcBorders>
              <w:left w:val="single" w:color="000000" w:sz="4" w:space="0"/>
              <w:right w:val="single" w:color="000000" w:sz="4" w:space="0"/>
            </w:tcBorders>
            <w:vAlign w:val="top"/>
          </w:tcPr>
          <w:p w14:paraId="3A39AC1C">
            <w:pPr>
              <w:spacing w:before="16"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B227D1D">
            <w:pPr>
              <w:spacing w:before="92"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226" w:type="dxa"/>
            <w:tcBorders>
              <w:left w:val="single" w:color="000000" w:sz="4" w:space="0"/>
              <w:right w:val="single" w:color="000000" w:sz="4" w:space="0"/>
            </w:tcBorders>
            <w:vAlign w:val="top"/>
          </w:tcPr>
          <w:p w14:paraId="5223DCA7">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8D1A17C">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AF4CA15">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B441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BAC0FA1">
            <w:pPr>
              <w:spacing w:before="9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944" w:type="dxa"/>
            <w:vMerge w:val="continue"/>
            <w:tcBorders>
              <w:top w:val="nil"/>
              <w:left w:val="single" w:color="000000" w:sz="4" w:space="0"/>
              <w:bottom w:val="nil"/>
              <w:right w:val="single" w:color="000000" w:sz="4" w:space="0"/>
            </w:tcBorders>
            <w:vAlign w:val="top"/>
          </w:tcPr>
          <w:p w14:paraId="73A9128F">
            <w:pPr>
              <w:rPr>
                <w:rFonts w:ascii="Arial"/>
                <w:sz w:val="21"/>
              </w:rPr>
            </w:pPr>
          </w:p>
        </w:tc>
        <w:tc>
          <w:tcPr>
            <w:tcW w:w="1680" w:type="dxa"/>
            <w:tcBorders>
              <w:left w:val="single" w:color="000000" w:sz="4" w:space="0"/>
              <w:right w:val="single" w:color="000000" w:sz="4" w:space="0"/>
            </w:tcBorders>
            <w:vAlign w:val="top"/>
          </w:tcPr>
          <w:p w14:paraId="7F6A43F4">
            <w:pPr>
              <w:spacing w:before="57" w:line="233" w:lineRule="auto"/>
              <w:ind w:left="27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二氯丙烷</w:t>
            </w:r>
          </w:p>
        </w:tc>
        <w:tc>
          <w:tcPr>
            <w:tcW w:w="1651" w:type="dxa"/>
            <w:tcBorders>
              <w:left w:val="single" w:color="000000" w:sz="4" w:space="0"/>
              <w:right w:val="single" w:color="000000" w:sz="4" w:space="0"/>
            </w:tcBorders>
            <w:vAlign w:val="top"/>
          </w:tcPr>
          <w:p w14:paraId="75C44EF8">
            <w:pPr>
              <w:spacing w:before="16" w:line="281" w:lineRule="exact"/>
              <w:ind w:left="365"/>
              <w:rPr>
                <w:rFonts w:ascii="Times New Roman" w:hAnsi="Times New Roman" w:eastAsia="Times New Roman" w:cs="Times New Roman"/>
                <w:sz w:val="20"/>
                <w:szCs w:val="20"/>
              </w:rPr>
            </w:pPr>
            <w:r>
              <w:rPr>
                <w:rFonts w:ascii="宋体" w:hAnsi="宋体" w:eastAsia="宋体" w:cs="宋体"/>
                <w:spacing w:val="-3"/>
                <w:position w:val="4"/>
                <w:sz w:val="20"/>
                <w:szCs w:val="20"/>
              </w:rPr>
              <w:t>＜</w:t>
            </w:r>
            <w:r>
              <w:rPr>
                <w:rFonts w:ascii="Times New Roman" w:hAnsi="Times New Roman" w:eastAsia="Times New Roman" w:cs="Times New Roman"/>
                <w:spacing w:val="-3"/>
                <w:position w:val="4"/>
                <w:sz w:val="20"/>
                <w:szCs w:val="20"/>
              </w:rPr>
              <w:t>1. 1μg/kg</w:t>
            </w:r>
          </w:p>
        </w:tc>
        <w:tc>
          <w:tcPr>
            <w:tcW w:w="930" w:type="dxa"/>
            <w:tcBorders>
              <w:left w:val="single" w:color="000000" w:sz="4" w:space="0"/>
              <w:right w:val="single" w:color="000000" w:sz="4" w:space="0"/>
            </w:tcBorders>
            <w:vAlign w:val="top"/>
          </w:tcPr>
          <w:p w14:paraId="24F2BB64">
            <w:pPr>
              <w:spacing w:before="95" w:line="192"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6" w:type="dxa"/>
            <w:tcBorders>
              <w:left w:val="single" w:color="000000" w:sz="4" w:space="0"/>
              <w:right w:val="single" w:color="000000" w:sz="4" w:space="0"/>
            </w:tcBorders>
            <w:vAlign w:val="top"/>
          </w:tcPr>
          <w:p w14:paraId="07470DFA">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0BABA6C">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2058F1A">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F58D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2E43B8AD">
            <w:pPr>
              <w:spacing w:before="9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944" w:type="dxa"/>
            <w:vMerge w:val="continue"/>
            <w:tcBorders>
              <w:top w:val="nil"/>
              <w:left w:val="single" w:color="000000" w:sz="4" w:space="0"/>
              <w:bottom w:val="nil"/>
              <w:right w:val="single" w:color="000000" w:sz="4" w:space="0"/>
            </w:tcBorders>
            <w:vAlign w:val="top"/>
          </w:tcPr>
          <w:p w14:paraId="2B4BAC84">
            <w:pPr>
              <w:rPr>
                <w:rFonts w:ascii="Arial"/>
                <w:sz w:val="21"/>
              </w:rPr>
            </w:pPr>
          </w:p>
        </w:tc>
        <w:tc>
          <w:tcPr>
            <w:tcW w:w="1680" w:type="dxa"/>
            <w:tcBorders>
              <w:left w:val="single" w:color="000000" w:sz="4" w:space="0"/>
              <w:right w:val="single" w:color="000000" w:sz="4" w:space="0"/>
            </w:tcBorders>
            <w:vAlign w:val="top"/>
          </w:tcPr>
          <w:p w14:paraId="4E8FE71D">
            <w:pPr>
              <w:spacing w:before="56" w:line="221" w:lineRule="auto"/>
              <w:ind w:left="11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xml:space="preserve">, 1, 1,2- </w:t>
            </w:r>
            <w:r>
              <w:rPr>
                <w:rFonts w:ascii="宋体" w:hAnsi="宋体" w:eastAsia="宋体" w:cs="宋体"/>
                <w:spacing w:val="-7"/>
                <w:sz w:val="20"/>
                <w:szCs w:val="20"/>
              </w:rPr>
              <w:t>四氯乙烷</w:t>
            </w:r>
          </w:p>
        </w:tc>
        <w:tc>
          <w:tcPr>
            <w:tcW w:w="1651" w:type="dxa"/>
            <w:tcBorders>
              <w:left w:val="single" w:color="000000" w:sz="4" w:space="0"/>
              <w:right w:val="single" w:color="000000" w:sz="4" w:space="0"/>
            </w:tcBorders>
            <w:vAlign w:val="top"/>
          </w:tcPr>
          <w:p w14:paraId="11565F46">
            <w:pPr>
              <w:spacing w:before="18"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5C6D161">
            <w:pPr>
              <w:spacing w:before="92"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26" w:type="dxa"/>
            <w:tcBorders>
              <w:left w:val="single" w:color="000000" w:sz="4" w:space="0"/>
              <w:right w:val="single" w:color="000000" w:sz="4" w:space="0"/>
            </w:tcBorders>
            <w:vAlign w:val="top"/>
          </w:tcPr>
          <w:p w14:paraId="21097B02">
            <w:pPr>
              <w:spacing w:before="18"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2A2CC47E">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DD1CAE1">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514E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172F880">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944" w:type="dxa"/>
            <w:vMerge w:val="continue"/>
            <w:tcBorders>
              <w:top w:val="nil"/>
              <w:left w:val="single" w:color="000000" w:sz="4" w:space="0"/>
              <w:bottom w:val="nil"/>
              <w:right w:val="single" w:color="000000" w:sz="4" w:space="0"/>
            </w:tcBorders>
            <w:vAlign w:val="top"/>
          </w:tcPr>
          <w:p w14:paraId="6606F734">
            <w:pPr>
              <w:rPr>
                <w:rFonts w:ascii="Arial"/>
                <w:sz w:val="21"/>
              </w:rPr>
            </w:pPr>
          </w:p>
        </w:tc>
        <w:tc>
          <w:tcPr>
            <w:tcW w:w="1680" w:type="dxa"/>
            <w:tcBorders>
              <w:left w:val="single" w:color="000000" w:sz="4" w:space="0"/>
              <w:right w:val="single" w:color="000000" w:sz="4" w:space="0"/>
            </w:tcBorders>
            <w:vAlign w:val="top"/>
          </w:tcPr>
          <w:p w14:paraId="2F65E5C3">
            <w:pPr>
              <w:spacing w:before="57" w:line="233" w:lineRule="auto"/>
              <w:ind w:left="11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1,2,2- </w:t>
            </w:r>
            <w:r>
              <w:rPr>
                <w:rFonts w:ascii="宋体" w:hAnsi="宋体" w:eastAsia="宋体" w:cs="宋体"/>
                <w:spacing w:val="-4"/>
                <w:sz w:val="20"/>
                <w:szCs w:val="20"/>
              </w:rPr>
              <w:t>四氯乙烷</w:t>
            </w:r>
          </w:p>
        </w:tc>
        <w:tc>
          <w:tcPr>
            <w:tcW w:w="1651" w:type="dxa"/>
            <w:tcBorders>
              <w:left w:val="single" w:color="000000" w:sz="4" w:space="0"/>
              <w:right w:val="single" w:color="000000" w:sz="4" w:space="0"/>
            </w:tcBorders>
            <w:vAlign w:val="top"/>
          </w:tcPr>
          <w:p w14:paraId="5EBECF1C">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6FA624A">
            <w:pPr>
              <w:spacing w:before="9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1226" w:type="dxa"/>
            <w:tcBorders>
              <w:left w:val="single" w:color="000000" w:sz="4" w:space="0"/>
              <w:right w:val="single" w:color="000000" w:sz="4" w:space="0"/>
            </w:tcBorders>
            <w:vAlign w:val="top"/>
          </w:tcPr>
          <w:p w14:paraId="75115C74">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ED5C826">
            <w:pPr>
              <w:spacing w:before="9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8080180">
            <w:pPr>
              <w:spacing w:before="9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8F0E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5A90613C">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944" w:type="dxa"/>
            <w:vMerge w:val="continue"/>
            <w:tcBorders>
              <w:top w:val="nil"/>
              <w:left w:val="single" w:color="000000" w:sz="4" w:space="0"/>
              <w:bottom w:val="nil"/>
              <w:right w:val="single" w:color="000000" w:sz="4" w:space="0"/>
            </w:tcBorders>
            <w:vAlign w:val="top"/>
          </w:tcPr>
          <w:p w14:paraId="17B97D9B">
            <w:pPr>
              <w:rPr>
                <w:rFonts w:ascii="Arial"/>
                <w:sz w:val="21"/>
              </w:rPr>
            </w:pPr>
          </w:p>
        </w:tc>
        <w:tc>
          <w:tcPr>
            <w:tcW w:w="1680" w:type="dxa"/>
            <w:tcBorders>
              <w:left w:val="single" w:color="000000" w:sz="4" w:space="0"/>
              <w:right w:val="single" w:color="000000" w:sz="4" w:space="0"/>
            </w:tcBorders>
            <w:vAlign w:val="top"/>
          </w:tcPr>
          <w:p w14:paraId="0E3F5C25">
            <w:pPr>
              <w:spacing w:before="56" w:line="228" w:lineRule="auto"/>
              <w:ind w:left="441"/>
              <w:rPr>
                <w:rFonts w:ascii="宋体" w:hAnsi="宋体" w:eastAsia="宋体" w:cs="宋体"/>
                <w:sz w:val="20"/>
                <w:szCs w:val="20"/>
              </w:rPr>
            </w:pPr>
            <w:r>
              <w:rPr>
                <w:rFonts w:ascii="宋体" w:hAnsi="宋体" w:eastAsia="宋体" w:cs="宋体"/>
                <w:spacing w:val="3"/>
                <w:sz w:val="20"/>
                <w:szCs w:val="20"/>
              </w:rPr>
              <w:t>四</w:t>
            </w:r>
            <w:r>
              <w:rPr>
                <w:rFonts w:ascii="宋体" w:hAnsi="宋体" w:eastAsia="宋体" w:cs="宋体"/>
                <w:spacing w:val="2"/>
                <w:sz w:val="20"/>
                <w:szCs w:val="20"/>
              </w:rPr>
              <w:t>氯乙烯</w:t>
            </w:r>
          </w:p>
        </w:tc>
        <w:tc>
          <w:tcPr>
            <w:tcW w:w="1651" w:type="dxa"/>
            <w:tcBorders>
              <w:left w:val="single" w:color="000000" w:sz="4" w:space="0"/>
              <w:right w:val="single" w:color="000000" w:sz="4" w:space="0"/>
            </w:tcBorders>
            <w:vAlign w:val="top"/>
          </w:tcPr>
          <w:p w14:paraId="31275711">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1.4μ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680EA6A3">
            <w:pPr>
              <w:spacing w:before="9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26" w:type="dxa"/>
            <w:tcBorders>
              <w:left w:val="single" w:color="000000" w:sz="4" w:space="0"/>
              <w:right w:val="single" w:color="000000" w:sz="4" w:space="0"/>
            </w:tcBorders>
            <w:vAlign w:val="top"/>
          </w:tcPr>
          <w:p w14:paraId="1A540D49">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18834D3">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85CC3C8">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FD5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903FCF3">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944" w:type="dxa"/>
            <w:vMerge w:val="continue"/>
            <w:tcBorders>
              <w:top w:val="nil"/>
              <w:left w:val="single" w:color="000000" w:sz="4" w:space="0"/>
              <w:bottom w:val="nil"/>
              <w:right w:val="single" w:color="000000" w:sz="4" w:space="0"/>
            </w:tcBorders>
            <w:vAlign w:val="top"/>
          </w:tcPr>
          <w:p w14:paraId="6E599578">
            <w:pPr>
              <w:rPr>
                <w:rFonts w:ascii="Arial"/>
                <w:sz w:val="21"/>
              </w:rPr>
            </w:pPr>
          </w:p>
        </w:tc>
        <w:tc>
          <w:tcPr>
            <w:tcW w:w="1680" w:type="dxa"/>
            <w:tcBorders>
              <w:left w:val="single" w:color="000000" w:sz="4" w:space="0"/>
              <w:right w:val="single" w:color="000000" w:sz="4" w:space="0"/>
            </w:tcBorders>
            <w:vAlign w:val="top"/>
          </w:tcPr>
          <w:p w14:paraId="5EBE2075">
            <w:pPr>
              <w:spacing w:before="58" w:line="233" w:lineRule="auto"/>
              <w:ind w:left="19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 1, 1-</w:t>
            </w:r>
            <w:r>
              <w:rPr>
                <w:rFonts w:ascii="宋体" w:hAnsi="宋体" w:eastAsia="宋体" w:cs="宋体"/>
                <w:spacing w:val="-5"/>
                <w:sz w:val="20"/>
                <w:szCs w:val="20"/>
              </w:rPr>
              <w:t>三氯乙烷</w:t>
            </w:r>
          </w:p>
        </w:tc>
        <w:tc>
          <w:tcPr>
            <w:tcW w:w="1651" w:type="dxa"/>
            <w:tcBorders>
              <w:left w:val="single" w:color="000000" w:sz="4" w:space="0"/>
              <w:right w:val="single" w:color="000000" w:sz="4" w:space="0"/>
            </w:tcBorders>
            <w:vAlign w:val="top"/>
          </w:tcPr>
          <w:p w14:paraId="4208FD12">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1.3μ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2304682">
            <w:pPr>
              <w:spacing w:before="9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w:t>
            </w:r>
            <w:r>
              <w:rPr>
                <w:rFonts w:ascii="Times New Roman" w:hAnsi="Times New Roman" w:eastAsia="Times New Roman" w:cs="Times New Roman"/>
                <w:sz w:val="20"/>
                <w:szCs w:val="20"/>
              </w:rPr>
              <w:t>0</w:t>
            </w:r>
          </w:p>
        </w:tc>
        <w:tc>
          <w:tcPr>
            <w:tcW w:w="1226" w:type="dxa"/>
            <w:tcBorders>
              <w:left w:val="single" w:color="000000" w:sz="4" w:space="0"/>
              <w:right w:val="single" w:color="000000" w:sz="4" w:space="0"/>
            </w:tcBorders>
            <w:vAlign w:val="top"/>
          </w:tcPr>
          <w:p w14:paraId="0954D580">
            <w:pPr>
              <w:spacing w:before="20"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1E4BA8CD">
            <w:pPr>
              <w:spacing w:before="9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566E5F7">
            <w:pPr>
              <w:spacing w:before="9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5BC4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208D4DE">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944" w:type="dxa"/>
            <w:vMerge w:val="continue"/>
            <w:tcBorders>
              <w:top w:val="nil"/>
              <w:left w:val="single" w:color="000000" w:sz="4" w:space="0"/>
              <w:bottom w:val="nil"/>
              <w:right w:val="single" w:color="000000" w:sz="4" w:space="0"/>
            </w:tcBorders>
            <w:vAlign w:val="top"/>
          </w:tcPr>
          <w:p w14:paraId="576F7361">
            <w:pPr>
              <w:rPr>
                <w:rFonts w:ascii="Arial"/>
                <w:sz w:val="21"/>
              </w:rPr>
            </w:pPr>
          </w:p>
        </w:tc>
        <w:tc>
          <w:tcPr>
            <w:tcW w:w="1680" w:type="dxa"/>
            <w:tcBorders>
              <w:left w:val="single" w:color="000000" w:sz="4" w:space="0"/>
              <w:right w:val="single" w:color="000000" w:sz="4" w:space="0"/>
            </w:tcBorders>
            <w:vAlign w:val="top"/>
          </w:tcPr>
          <w:p w14:paraId="328415CA">
            <w:pPr>
              <w:spacing w:before="58" w:line="233" w:lineRule="auto"/>
              <w:ind w:left="196"/>
              <w:rPr>
                <w:rFonts w:ascii="宋体" w:hAnsi="宋体" w:eastAsia="宋体" w:cs="宋体"/>
                <w:sz w:val="20"/>
                <w:szCs w:val="20"/>
              </w:rPr>
            </w:pPr>
            <w:r>
              <w:rPr>
                <w:rFonts w:ascii="Times New Roman" w:hAnsi="Times New Roman" w:eastAsia="Times New Roman" w:cs="Times New Roman"/>
                <w:spacing w:val="-2"/>
                <w:sz w:val="20"/>
                <w:szCs w:val="20"/>
              </w:rPr>
              <w:t>1, 1,2</w:t>
            </w:r>
            <w:r>
              <w:rPr>
                <w:rFonts w:ascii="Times New Roman" w:hAnsi="Times New Roman" w:eastAsia="Times New Roman" w:cs="Times New Roman"/>
                <w:spacing w:val="-1"/>
                <w:sz w:val="20"/>
                <w:szCs w:val="20"/>
              </w:rPr>
              <w:t>-</w:t>
            </w:r>
            <w:r>
              <w:rPr>
                <w:rFonts w:ascii="宋体" w:hAnsi="宋体" w:eastAsia="宋体" w:cs="宋体"/>
                <w:spacing w:val="-1"/>
                <w:sz w:val="20"/>
                <w:szCs w:val="20"/>
              </w:rPr>
              <w:t>三氯乙烷</w:t>
            </w:r>
          </w:p>
        </w:tc>
        <w:tc>
          <w:tcPr>
            <w:tcW w:w="1651" w:type="dxa"/>
            <w:tcBorders>
              <w:left w:val="single" w:color="000000" w:sz="4" w:space="0"/>
              <w:right w:val="single" w:color="000000" w:sz="4" w:space="0"/>
            </w:tcBorders>
            <w:vAlign w:val="top"/>
          </w:tcPr>
          <w:p w14:paraId="3CAC16EF">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AE26D6E">
            <w:pPr>
              <w:spacing w:before="93" w:line="198"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10106AB9">
            <w:pPr>
              <w:spacing w:before="20"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52EC35F">
            <w:pPr>
              <w:spacing w:before="9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00517E4">
            <w:pPr>
              <w:spacing w:before="9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E5BC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3DC20AED">
            <w:pPr>
              <w:spacing w:before="9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944" w:type="dxa"/>
            <w:vMerge w:val="continue"/>
            <w:tcBorders>
              <w:top w:val="nil"/>
              <w:left w:val="single" w:color="000000" w:sz="4" w:space="0"/>
              <w:bottom w:val="nil"/>
              <w:right w:val="single" w:color="000000" w:sz="4" w:space="0"/>
            </w:tcBorders>
            <w:vAlign w:val="top"/>
          </w:tcPr>
          <w:p w14:paraId="0E6583F9">
            <w:pPr>
              <w:rPr>
                <w:rFonts w:ascii="Arial"/>
                <w:sz w:val="21"/>
              </w:rPr>
            </w:pPr>
          </w:p>
        </w:tc>
        <w:tc>
          <w:tcPr>
            <w:tcW w:w="1680" w:type="dxa"/>
            <w:tcBorders>
              <w:left w:val="single" w:color="000000" w:sz="4" w:space="0"/>
              <w:right w:val="single" w:color="000000" w:sz="4" w:space="0"/>
            </w:tcBorders>
            <w:vAlign w:val="top"/>
          </w:tcPr>
          <w:p w14:paraId="6416DFD8">
            <w:pPr>
              <w:spacing w:before="57" w:line="228" w:lineRule="auto"/>
              <w:ind w:left="422"/>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氯乙烯</w:t>
            </w:r>
          </w:p>
        </w:tc>
        <w:tc>
          <w:tcPr>
            <w:tcW w:w="1651" w:type="dxa"/>
            <w:tcBorders>
              <w:left w:val="single" w:color="000000" w:sz="4" w:space="0"/>
              <w:right w:val="single" w:color="000000" w:sz="4" w:space="0"/>
            </w:tcBorders>
            <w:vAlign w:val="top"/>
          </w:tcPr>
          <w:p w14:paraId="49A2F7A5">
            <w:pPr>
              <w:spacing w:before="19"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B46AAEB">
            <w:pPr>
              <w:spacing w:before="93" w:line="198"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.8</w:t>
            </w:r>
          </w:p>
        </w:tc>
        <w:tc>
          <w:tcPr>
            <w:tcW w:w="1226" w:type="dxa"/>
            <w:tcBorders>
              <w:left w:val="single" w:color="000000" w:sz="4" w:space="0"/>
              <w:right w:val="single" w:color="000000" w:sz="4" w:space="0"/>
            </w:tcBorders>
            <w:vAlign w:val="top"/>
          </w:tcPr>
          <w:p w14:paraId="4DAE7079">
            <w:pPr>
              <w:spacing w:before="19"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08F2C36">
            <w:pPr>
              <w:spacing w:before="9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6B2FB6B">
            <w:pPr>
              <w:spacing w:before="9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E19A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0404EAAE">
            <w:pPr>
              <w:spacing w:before="9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944" w:type="dxa"/>
            <w:vMerge w:val="continue"/>
            <w:tcBorders>
              <w:top w:val="nil"/>
              <w:left w:val="single" w:color="000000" w:sz="4" w:space="0"/>
              <w:bottom w:val="nil"/>
              <w:right w:val="single" w:color="000000" w:sz="4" w:space="0"/>
            </w:tcBorders>
            <w:vAlign w:val="top"/>
          </w:tcPr>
          <w:p w14:paraId="689E7095">
            <w:pPr>
              <w:rPr>
                <w:rFonts w:ascii="Arial"/>
                <w:sz w:val="21"/>
              </w:rPr>
            </w:pPr>
          </w:p>
        </w:tc>
        <w:tc>
          <w:tcPr>
            <w:tcW w:w="1680" w:type="dxa"/>
            <w:tcBorders>
              <w:left w:val="single" w:color="000000" w:sz="4" w:space="0"/>
              <w:right w:val="single" w:color="000000" w:sz="4" w:space="0"/>
            </w:tcBorders>
            <w:vAlign w:val="top"/>
          </w:tcPr>
          <w:p w14:paraId="6DD28EE9">
            <w:pPr>
              <w:spacing w:before="58" w:line="233" w:lineRule="auto"/>
              <w:ind w:left="19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,2,3-</w:t>
            </w:r>
            <w:r>
              <w:rPr>
                <w:rFonts w:ascii="宋体" w:hAnsi="宋体" w:eastAsia="宋体" w:cs="宋体"/>
                <w:spacing w:val="3"/>
                <w:sz w:val="20"/>
                <w:szCs w:val="20"/>
              </w:rPr>
              <w:t>三氯丙烷</w:t>
            </w:r>
          </w:p>
        </w:tc>
        <w:tc>
          <w:tcPr>
            <w:tcW w:w="1651" w:type="dxa"/>
            <w:tcBorders>
              <w:left w:val="single" w:color="000000" w:sz="4" w:space="0"/>
              <w:right w:val="single" w:color="000000" w:sz="4" w:space="0"/>
            </w:tcBorders>
            <w:vAlign w:val="top"/>
          </w:tcPr>
          <w:p w14:paraId="44D63084">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C1D5578">
            <w:pPr>
              <w:spacing w:before="94"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226" w:type="dxa"/>
            <w:tcBorders>
              <w:left w:val="single" w:color="000000" w:sz="4" w:space="0"/>
              <w:right w:val="single" w:color="000000" w:sz="4" w:space="0"/>
            </w:tcBorders>
            <w:vAlign w:val="top"/>
          </w:tcPr>
          <w:p w14:paraId="47CB3FD7">
            <w:pPr>
              <w:spacing w:before="20"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1BE8ABA">
            <w:pPr>
              <w:spacing w:before="9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096DDE8">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AAB2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2" w:type="dxa"/>
            <w:tcBorders>
              <w:left w:val="nil"/>
              <w:right w:val="single" w:color="000000" w:sz="4" w:space="0"/>
            </w:tcBorders>
            <w:vAlign w:val="top"/>
          </w:tcPr>
          <w:p w14:paraId="765CA139">
            <w:pPr>
              <w:spacing w:before="9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944" w:type="dxa"/>
            <w:vMerge w:val="continue"/>
            <w:tcBorders>
              <w:top w:val="nil"/>
              <w:left w:val="single" w:color="000000" w:sz="4" w:space="0"/>
              <w:bottom w:val="nil"/>
              <w:right w:val="single" w:color="000000" w:sz="4" w:space="0"/>
            </w:tcBorders>
            <w:vAlign w:val="top"/>
          </w:tcPr>
          <w:p w14:paraId="7BA56C47">
            <w:pPr>
              <w:rPr>
                <w:rFonts w:ascii="Arial"/>
                <w:sz w:val="21"/>
              </w:rPr>
            </w:pPr>
          </w:p>
        </w:tc>
        <w:tc>
          <w:tcPr>
            <w:tcW w:w="1680" w:type="dxa"/>
            <w:tcBorders>
              <w:left w:val="single" w:color="000000" w:sz="4" w:space="0"/>
              <w:right w:val="single" w:color="000000" w:sz="4" w:space="0"/>
            </w:tcBorders>
            <w:vAlign w:val="top"/>
          </w:tcPr>
          <w:p w14:paraId="40F907A1">
            <w:pPr>
              <w:spacing w:before="60" w:line="228" w:lineRule="auto"/>
              <w:ind w:left="531"/>
              <w:rPr>
                <w:rFonts w:ascii="宋体" w:hAnsi="宋体" w:eastAsia="宋体" w:cs="宋体"/>
                <w:sz w:val="20"/>
                <w:szCs w:val="20"/>
              </w:rPr>
            </w:pPr>
            <w:r>
              <w:rPr>
                <w:rFonts w:ascii="宋体" w:hAnsi="宋体" w:eastAsia="宋体" w:cs="宋体"/>
                <w:spacing w:val="6"/>
                <w:sz w:val="20"/>
                <w:szCs w:val="20"/>
              </w:rPr>
              <w:t>氯乙</w:t>
            </w:r>
            <w:r>
              <w:rPr>
                <w:rFonts w:ascii="宋体" w:hAnsi="宋体" w:eastAsia="宋体" w:cs="宋体"/>
                <w:spacing w:val="5"/>
                <w:sz w:val="20"/>
                <w:szCs w:val="20"/>
              </w:rPr>
              <w:t>烯</w:t>
            </w:r>
          </w:p>
        </w:tc>
        <w:tc>
          <w:tcPr>
            <w:tcW w:w="1651" w:type="dxa"/>
            <w:tcBorders>
              <w:left w:val="single" w:color="000000" w:sz="4" w:space="0"/>
              <w:right w:val="single" w:color="000000" w:sz="4" w:space="0"/>
            </w:tcBorders>
            <w:vAlign w:val="top"/>
          </w:tcPr>
          <w:p w14:paraId="1900A27E">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2FF96A3">
            <w:pPr>
              <w:spacing w:before="9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.43</w:t>
            </w:r>
          </w:p>
        </w:tc>
        <w:tc>
          <w:tcPr>
            <w:tcW w:w="1226" w:type="dxa"/>
            <w:tcBorders>
              <w:left w:val="single" w:color="000000" w:sz="4" w:space="0"/>
              <w:right w:val="single" w:color="000000" w:sz="4" w:space="0"/>
            </w:tcBorders>
            <w:vAlign w:val="top"/>
          </w:tcPr>
          <w:p w14:paraId="2A1C3D1D">
            <w:pPr>
              <w:spacing w:before="22"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6687F822">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71DE599">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DBB8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7F14B14">
            <w:pPr>
              <w:spacing w:before="9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944" w:type="dxa"/>
            <w:vMerge w:val="continue"/>
            <w:tcBorders>
              <w:top w:val="nil"/>
              <w:left w:val="single" w:color="000000" w:sz="4" w:space="0"/>
              <w:bottom w:val="nil"/>
              <w:right w:val="single" w:color="000000" w:sz="4" w:space="0"/>
            </w:tcBorders>
            <w:vAlign w:val="top"/>
          </w:tcPr>
          <w:p w14:paraId="5072D54C">
            <w:pPr>
              <w:rPr>
                <w:rFonts w:ascii="Arial"/>
                <w:sz w:val="21"/>
              </w:rPr>
            </w:pPr>
          </w:p>
        </w:tc>
        <w:tc>
          <w:tcPr>
            <w:tcW w:w="1680" w:type="dxa"/>
            <w:tcBorders>
              <w:left w:val="single" w:color="000000" w:sz="4" w:space="0"/>
              <w:right w:val="single" w:color="000000" w:sz="4" w:space="0"/>
            </w:tcBorders>
            <w:vAlign w:val="top"/>
          </w:tcPr>
          <w:p w14:paraId="456C74C4">
            <w:pPr>
              <w:spacing w:before="61" w:line="227" w:lineRule="auto"/>
              <w:ind w:left="741"/>
              <w:rPr>
                <w:rFonts w:ascii="宋体" w:hAnsi="宋体" w:eastAsia="宋体" w:cs="宋体"/>
                <w:sz w:val="20"/>
                <w:szCs w:val="20"/>
              </w:rPr>
            </w:pPr>
            <w:r>
              <w:rPr>
                <w:rFonts w:ascii="宋体" w:hAnsi="宋体" w:eastAsia="宋体" w:cs="宋体"/>
                <w:sz w:val="20"/>
                <w:szCs w:val="20"/>
              </w:rPr>
              <w:t>苯</w:t>
            </w:r>
          </w:p>
        </w:tc>
        <w:tc>
          <w:tcPr>
            <w:tcW w:w="1651" w:type="dxa"/>
            <w:tcBorders>
              <w:left w:val="single" w:color="000000" w:sz="4" w:space="0"/>
              <w:right w:val="single" w:color="000000" w:sz="4" w:space="0"/>
            </w:tcBorders>
            <w:vAlign w:val="top"/>
          </w:tcPr>
          <w:p w14:paraId="13E705CA">
            <w:pPr>
              <w:spacing w:before="23" w:line="281"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4</w:t>
            </w:r>
            <w:r>
              <w:rPr>
                <w:rFonts w:ascii="Times New Roman" w:hAnsi="Times New Roman" w:eastAsia="Times New Roman" w:cs="Times New Roman"/>
                <w:spacing w:val="5"/>
                <w:position w:val="2"/>
                <w:sz w:val="20"/>
                <w:szCs w:val="20"/>
              </w:rPr>
              <w:t>0.9μ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5BBB9AE">
            <w:pPr>
              <w:spacing w:before="97"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26" w:type="dxa"/>
            <w:tcBorders>
              <w:left w:val="single" w:color="000000" w:sz="4" w:space="0"/>
              <w:right w:val="single" w:color="000000" w:sz="4" w:space="0"/>
            </w:tcBorders>
            <w:vAlign w:val="top"/>
          </w:tcPr>
          <w:p w14:paraId="147AE7E5">
            <w:pPr>
              <w:spacing w:before="97"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05" w:type="dxa"/>
            <w:tcBorders>
              <w:left w:val="single" w:color="000000" w:sz="4" w:space="0"/>
            </w:tcBorders>
            <w:vAlign w:val="top"/>
          </w:tcPr>
          <w:p w14:paraId="35EB16B6">
            <w:pPr>
              <w:spacing w:before="9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9B064FC">
            <w:pPr>
              <w:spacing w:before="9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4CCF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22B9153">
            <w:pPr>
              <w:spacing w:before="9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944" w:type="dxa"/>
            <w:vMerge w:val="continue"/>
            <w:tcBorders>
              <w:top w:val="nil"/>
              <w:left w:val="single" w:color="000000" w:sz="4" w:space="0"/>
              <w:bottom w:val="nil"/>
              <w:right w:val="single" w:color="000000" w:sz="4" w:space="0"/>
            </w:tcBorders>
            <w:vAlign w:val="top"/>
          </w:tcPr>
          <w:p w14:paraId="1F6374BA">
            <w:pPr>
              <w:rPr>
                <w:rFonts w:ascii="Arial"/>
                <w:sz w:val="21"/>
              </w:rPr>
            </w:pPr>
          </w:p>
        </w:tc>
        <w:tc>
          <w:tcPr>
            <w:tcW w:w="1680" w:type="dxa"/>
            <w:tcBorders>
              <w:left w:val="single" w:color="000000" w:sz="4" w:space="0"/>
              <w:right w:val="single" w:color="000000" w:sz="4" w:space="0"/>
            </w:tcBorders>
            <w:vAlign w:val="top"/>
          </w:tcPr>
          <w:p w14:paraId="7D670BD5">
            <w:pPr>
              <w:spacing w:before="60" w:line="227" w:lineRule="auto"/>
              <w:ind w:left="636"/>
              <w:rPr>
                <w:rFonts w:ascii="宋体" w:hAnsi="宋体" w:eastAsia="宋体" w:cs="宋体"/>
                <w:sz w:val="20"/>
                <w:szCs w:val="20"/>
              </w:rPr>
            </w:pPr>
            <w:r>
              <w:rPr>
                <w:rFonts w:ascii="宋体" w:hAnsi="宋体" w:eastAsia="宋体" w:cs="宋体"/>
                <w:spacing w:val="3"/>
                <w:sz w:val="20"/>
                <w:szCs w:val="20"/>
              </w:rPr>
              <w:t>氯苯</w:t>
            </w:r>
          </w:p>
        </w:tc>
        <w:tc>
          <w:tcPr>
            <w:tcW w:w="1651" w:type="dxa"/>
            <w:tcBorders>
              <w:left w:val="single" w:color="000000" w:sz="4" w:space="0"/>
              <w:right w:val="single" w:color="000000" w:sz="4" w:space="0"/>
            </w:tcBorders>
            <w:vAlign w:val="top"/>
          </w:tcPr>
          <w:p w14:paraId="04534A23">
            <w:pPr>
              <w:spacing w:before="21"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1.2μ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9214C12">
            <w:pPr>
              <w:spacing w:before="9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w:t>
            </w:r>
          </w:p>
        </w:tc>
        <w:tc>
          <w:tcPr>
            <w:tcW w:w="1226" w:type="dxa"/>
            <w:tcBorders>
              <w:left w:val="single" w:color="000000" w:sz="4" w:space="0"/>
              <w:right w:val="single" w:color="000000" w:sz="4" w:space="0"/>
            </w:tcBorders>
            <w:vAlign w:val="top"/>
          </w:tcPr>
          <w:p w14:paraId="7AC31809">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6ADF93E">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51E859A">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A41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378F2973">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944" w:type="dxa"/>
            <w:vMerge w:val="continue"/>
            <w:tcBorders>
              <w:top w:val="nil"/>
              <w:left w:val="single" w:color="000000" w:sz="4" w:space="0"/>
              <w:bottom w:val="nil"/>
              <w:right w:val="single" w:color="000000" w:sz="4" w:space="0"/>
            </w:tcBorders>
            <w:vAlign w:val="top"/>
          </w:tcPr>
          <w:p w14:paraId="0893D147">
            <w:pPr>
              <w:rPr>
                <w:rFonts w:ascii="Arial"/>
                <w:sz w:val="21"/>
              </w:rPr>
            </w:pPr>
          </w:p>
        </w:tc>
        <w:tc>
          <w:tcPr>
            <w:tcW w:w="1680" w:type="dxa"/>
            <w:tcBorders>
              <w:left w:val="single" w:color="000000" w:sz="4" w:space="0"/>
              <w:right w:val="single" w:color="000000" w:sz="4" w:space="0"/>
            </w:tcBorders>
            <w:vAlign w:val="top"/>
          </w:tcPr>
          <w:p w14:paraId="7138DE22">
            <w:pPr>
              <w:spacing w:before="60" w:line="232" w:lineRule="auto"/>
              <w:ind w:left="37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651" w:type="dxa"/>
            <w:tcBorders>
              <w:left w:val="single" w:color="000000" w:sz="4" w:space="0"/>
              <w:right w:val="single" w:color="000000" w:sz="4" w:space="0"/>
            </w:tcBorders>
            <w:vAlign w:val="top"/>
          </w:tcPr>
          <w:p w14:paraId="67C922EF">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3AAF9D3">
            <w:pPr>
              <w:spacing w:before="9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c>
          <w:tcPr>
            <w:tcW w:w="1226" w:type="dxa"/>
            <w:tcBorders>
              <w:left w:val="single" w:color="000000" w:sz="4" w:space="0"/>
              <w:right w:val="single" w:color="000000" w:sz="4" w:space="0"/>
            </w:tcBorders>
            <w:vAlign w:val="top"/>
          </w:tcPr>
          <w:p w14:paraId="520A407D">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7A671112">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B0675A6">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B717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E3D3729">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944" w:type="dxa"/>
            <w:vMerge w:val="continue"/>
            <w:tcBorders>
              <w:top w:val="nil"/>
              <w:left w:val="single" w:color="000000" w:sz="4" w:space="0"/>
              <w:bottom w:val="nil"/>
              <w:right w:val="single" w:color="000000" w:sz="4" w:space="0"/>
            </w:tcBorders>
            <w:vAlign w:val="top"/>
          </w:tcPr>
          <w:p w14:paraId="331AC7DD">
            <w:pPr>
              <w:rPr>
                <w:rFonts w:ascii="Arial"/>
                <w:sz w:val="21"/>
              </w:rPr>
            </w:pPr>
          </w:p>
        </w:tc>
        <w:tc>
          <w:tcPr>
            <w:tcW w:w="1680" w:type="dxa"/>
            <w:tcBorders>
              <w:left w:val="single" w:color="000000" w:sz="4" w:space="0"/>
              <w:right w:val="single" w:color="000000" w:sz="4" w:space="0"/>
            </w:tcBorders>
            <w:vAlign w:val="top"/>
          </w:tcPr>
          <w:p w14:paraId="08031FC4">
            <w:pPr>
              <w:spacing w:before="60" w:line="232" w:lineRule="auto"/>
              <w:ind w:left="378"/>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w:t>
            </w:r>
            <w:r>
              <w:rPr>
                <w:rFonts w:ascii="宋体" w:hAnsi="宋体" w:eastAsia="宋体" w:cs="宋体"/>
                <w:spacing w:val="2"/>
                <w:sz w:val="20"/>
                <w:szCs w:val="20"/>
              </w:rPr>
              <w:t>二氯苯</w:t>
            </w:r>
          </w:p>
        </w:tc>
        <w:tc>
          <w:tcPr>
            <w:tcW w:w="1651" w:type="dxa"/>
            <w:tcBorders>
              <w:left w:val="single" w:color="000000" w:sz="4" w:space="0"/>
              <w:right w:val="single" w:color="000000" w:sz="4" w:space="0"/>
            </w:tcBorders>
            <w:vAlign w:val="top"/>
          </w:tcPr>
          <w:p w14:paraId="64412F93">
            <w:pPr>
              <w:spacing w:before="20" w:line="281" w:lineRule="exact"/>
              <w:ind w:left="365"/>
              <w:rPr>
                <w:rFonts w:ascii="Times New Roman" w:hAnsi="Times New Roman" w:eastAsia="Times New Roman" w:cs="Times New Roman"/>
                <w:sz w:val="20"/>
                <w:szCs w:val="20"/>
              </w:rPr>
            </w:pPr>
            <w:r>
              <w:rPr>
                <w:rFonts w:ascii="宋体" w:hAnsi="宋体" w:eastAsia="宋体" w:cs="宋体"/>
                <w:spacing w:val="5"/>
                <w:position w:val="2"/>
                <w:sz w:val="20"/>
                <w:szCs w:val="20"/>
              </w:rPr>
              <w:t>＜</w:t>
            </w:r>
            <w:r>
              <w:rPr>
                <w:rFonts w:ascii="Times New Roman" w:hAnsi="Times New Roman" w:eastAsia="Times New Roman" w:cs="Times New Roman"/>
                <w:spacing w:val="3"/>
                <w:position w:val="2"/>
                <w:sz w:val="20"/>
                <w:szCs w:val="20"/>
              </w:rPr>
              <w:t>1.5μ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73A719C">
            <w:pPr>
              <w:spacing w:before="96"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26" w:type="dxa"/>
            <w:tcBorders>
              <w:left w:val="single" w:color="000000" w:sz="4" w:space="0"/>
              <w:right w:val="single" w:color="000000" w:sz="4" w:space="0"/>
            </w:tcBorders>
            <w:vAlign w:val="top"/>
          </w:tcPr>
          <w:p w14:paraId="3B4D104B">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D16E6C8">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9CA35EF">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EE92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AD34CE4">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944" w:type="dxa"/>
            <w:vMerge w:val="continue"/>
            <w:tcBorders>
              <w:top w:val="nil"/>
              <w:left w:val="single" w:color="000000" w:sz="4" w:space="0"/>
              <w:bottom w:val="nil"/>
              <w:right w:val="single" w:color="000000" w:sz="4" w:space="0"/>
            </w:tcBorders>
            <w:vAlign w:val="top"/>
          </w:tcPr>
          <w:p w14:paraId="178C8B1E">
            <w:pPr>
              <w:rPr>
                <w:rFonts w:ascii="Arial"/>
                <w:sz w:val="21"/>
              </w:rPr>
            </w:pPr>
          </w:p>
        </w:tc>
        <w:tc>
          <w:tcPr>
            <w:tcW w:w="1680" w:type="dxa"/>
            <w:tcBorders>
              <w:left w:val="single" w:color="000000" w:sz="4" w:space="0"/>
              <w:right w:val="single" w:color="000000" w:sz="4" w:space="0"/>
            </w:tcBorders>
            <w:vAlign w:val="top"/>
          </w:tcPr>
          <w:p w14:paraId="0BD9EC45">
            <w:pPr>
              <w:spacing w:before="60" w:line="227" w:lineRule="auto"/>
              <w:ind w:left="653"/>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苯</w:t>
            </w:r>
          </w:p>
        </w:tc>
        <w:tc>
          <w:tcPr>
            <w:tcW w:w="1651" w:type="dxa"/>
            <w:tcBorders>
              <w:left w:val="single" w:color="000000" w:sz="4" w:space="0"/>
              <w:right w:val="single" w:color="000000" w:sz="4" w:space="0"/>
            </w:tcBorders>
            <w:vAlign w:val="top"/>
          </w:tcPr>
          <w:p w14:paraId="61F923A5">
            <w:pPr>
              <w:spacing w:before="22"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63.6μ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D203FE7">
            <w:pPr>
              <w:spacing w:before="96"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226" w:type="dxa"/>
            <w:tcBorders>
              <w:left w:val="single" w:color="000000" w:sz="4" w:space="0"/>
              <w:right w:val="single" w:color="000000" w:sz="4" w:space="0"/>
            </w:tcBorders>
            <w:vAlign w:val="top"/>
          </w:tcPr>
          <w:p w14:paraId="0F56B6C3">
            <w:pPr>
              <w:spacing w:before="9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.002</w:t>
            </w:r>
          </w:p>
        </w:tc>
        <w:tc>
          <w:tcPr>
            <w:tcW w:w="705" w:type="dxa"/>
            <w:tcBorders>
              <w:left w:val="single" w:color="000000" w:sz="4" w:space="0"/>
            </w:tcBorders>
            <w:vAlign w:val="top"/>
          </w:tcPr>
          <w:p w14:paraId="5ED9F846">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4B665A6">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E169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B670109">
            <w:pPr>
              <w:spacing w:before="9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944" w:type="dxa"/>
            <w:vMerge w:val="continue"/>
            <w:tcBorders>
              <w:top w:val="nil"/>
              <w:left w:val="single" w:color="000000" w:sz="4" w:space="0"/>
              <w:bottom w:val="nil"/>
              <w:right w:val="single" w:color="000000" w:sz="4" w:space="0"/>
            </w:tcBorders>
            <w:vAlign w:val="top"/>
          </w:tcPr>
          <w:p w14:paraId="3A3E60D3">
            <w:pPr>
              <w:rPr>
                <w:rFonts w:ascii="Arial"/>
                <w:sz w:val="21"/>
              </w:rPr>
            </w:pPr>
          </w:p>
        </w:tc>
        <w:tc>
          <w:tcPr>
            <w:tcW w:w="1680" w:type="dxa"/>
            <w:tcBorders>
              <w:left w:val="single" w:color="000000" w:sz="4" w:space="0"/>
              <w:right w:val="single" w:color="000000" w:sz="4" w:space="0"/>
            </w:tcBorders>
            <w:vAlign w:val="top"/>
          </w:tcPr>
          <w:p w14:paraId="4F108463">
            <w:pPr>
              <w:spacing w:before="60" w:line="227" w:lineRule="auto"/>
              <w:ind w:left="530"/>
              <w:rPr>
                <w:rFonts w:ascii="宋体" w:hAnsi="宋体" w:eastAsia="宋体" w:cs="宋体"/>
                <w:sz w:val="20"/>
                <w:szCs w:val="20"/>
              </w:rPr>
            </w:pPr>
            <w:r>
              <w:rPr>
                <w:rFonts w:ascii="宋体" w:hAnsi="宋体" w:eastAsia="宋体" w:cs="宋体"/>
                <w:spacing w:val="6"/>
                <w:sz w:val="20"/>
                <w:szCs w:val="20"/>
              </w:rPr>
              <w:t>苯乙烯</w:t>
            </w:r>
          </w:p>
        </w:tc>
        <w:tc>
          <w:tcPr>
            <w:tcW w:w="1651" w:type="dxa"/>
            <w:tcBorders>
              <w:left w:val="single" w:color="000000" w:sz="4" w:space="0"/>
              <w:right w:val="single" w:color="000000" w:sz="4" w:space="0"/>
            </w:tcBorders>
            <w:vAlign w:val="top"/>
          </w:tcPr>
          <w:p w14:paraId="7F0A8051">
            <w:pPr>
              <w:spacing w:before="22"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60.5μ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7F620F0A">
            <w:pPr>
              <w:spacing w:before="96"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90</w:t>
            </w:r>
          </w:p>
        </w:tc>
        <w:tc>
          <w:tcPr>
            <w:tcW w:w="1226" w:type="dxa"/>
            <w:tcBorders>
              <w:left w:val="single" w:color="000000" w:sz="4" w:space="0"/>
              <w:right w:val="single" w:color="000000" w:sz="4" w:space="0"/>
            </w:tcBorders>
            <w:vAlign w:val="top"/>
          </w:tcPr>
          <w:p w14:paraId="6742C215">
            <w:pPr>
              <w:spacing w:before="96"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00005</w:t>
            </w:r>
          </w:p>
        </w:tc>
        <w:tc>
          <w:tcPr>
            <w:tcW w:w="705" w:type="dxa"/>
            <w:tcBorders>
              <w:left w:val="single" w:color="000000" w:sz="4" w:space="0"/>
            </w:tcBorders>
            <w:vAlign w:val="top"/>
          </w:tcPr>
          <w:p w14:paraId="71DCB638">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4417DC53">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C1C6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B3C0DB9">
            <w:pPr>
              <w:spacing w:before="9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944" w:type="dxa"/>
            <w:vMerge w:val="continue"/>
            <w:tcBorders>
              <w:top w:val="nil"/>
              <w:left w:val="single" w:color="000000" w:sz="4" w:space="0"/>
              <w:bottom w:val="nil"/>
              <w:right w:val="single" w:color="000000" w:sz="4" w:space="0"/>
            </w:tcBorders>
            <w:vAlign w:val="top"/>
          </w:tcPr>
          <w:p w14:paraId="380FEC4A">
            <w:pPr>
              <w:rPr>
                <w:rFonts w:ascii="Arial"/>
                <w:sz w:val="21"/>
              </w:rPr>
            </w:pPr>
          </w:p>
        </w:tc>
        <w:tc>
          <w:tcPr>
            <w:tcW w:w="1680" w:type="dxa"/>
            <w:tcBorders>
              <w:left w:val="single" w:color="000000" w:sz="4" w:space="0"/>
              <w:right w:val="single" w:color="000000" w:sz="4" w:space="0"/>
            </w:tcBorders>
            <w:vAlign w:val="top"/>
          </w:tcPr>
          <w:p w14:paraId="6E7981D9">
            <w:pPr>
              <w:spacing w:before="59" w:line="227" w:lineRule="auto"/>
              <w:ind w:left="66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651" w:type="dxa"/>
            <w:tcBorders>
              <w:left w:val="single" w:color="000000" w:sz="4" w:space="0"/>
              <w:right w:val="single" w:color="000000" w:sz="4" w:space="0"/>
            </w:tcBorders>
            <w:vAlign w:val="top"/>
          </w:tcPr>
          <w:p w14:paraId="1C27F310">
            <w:pPr>
              <w:spacing w:before="22" w:line="281"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74.0μ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815633F">
            <w:pPr>
              <w:spacing w:before="9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00</w:t>
            </w:r>
          </w:p>
        </w:tc>
        <w:tc>
          <w:tcPr>
            <w:tcW w:w="1226" w:type="dxa"/>
            <w:tcBorders>
              <w:left w:val="single" w:color="000000" w:sz="4" w:space="0"/>
              <w:right w:val="single" w:color="000000" w:sz="4" w:space="0"/>
            </w:tcBorders>
            <w:vAlign w:val="top"/>
          </w:tcPr>
          <w:p w14:paraId="2AC09B48">
            <w:pPr>
              <w:spacing w:before="96"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00006</w:t>
            </w:r>
          </w:p>
        </w:tc>
        <w:tc>
          <w:tcPr>
            <w:tcW w:w="705" w:type="dxa"/>
            <w:tcBorders>
              <w:left w:val="single" w:color="000000" w:sz="4" w:space="0"/>
            </w:tcBorders>
            <w:vAlign w:val="top"/>
          </w:tcPr>
          <w:p w14:paraId="215CEF69">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4A4B3B4">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1661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ABC9278">
            <w:pPr>
              <w:spacing w:before="9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944" w:type="dxa"/>
            <w:vMerge w:val="continue"/>
            <w:tcBorders>
              <w:top w:val="nil"/>
              <w:left w:val="single" w:color="000000" w:sz="4" w:space="0"/>
              <w:bottom w:val="nil"/>
              <w:right w:val="single" w:color="000000" w:sz="4" w:space="0"/>
            </w:tcBorders>
            <w:vAlign w:val="top"/>
          </w:tcPr>
          <w:p w14:paraId="37AE129E">
            <w:pPr>
              <w:rPr>
                <w:rFonts w:ascii="Arial"/>
                <w:sz w:val="21"/>
              </w:rPr>
            </w:pPr>
          </w:p>
        </w:tc>
        <w:tc>
          <w:tcPr>
            <w:tcW w:w="1680" w:type="dxa"/>
            <w:tcBorders>
              <w:left w:val="single" w:color="000000" w:sz="4" w:space="0"/>
              <w:right w:val="single" w:color="000000" w:sz="4" w:space="0"/>
            </w:tcBorders>
            <w:vAlign w:val="top"/>
          </w:tcPr>
          <w:p w14:paraId="1F00BD02">
            <w:pPr>
              <w:spacing w:before="22" w:line="281" w:lineRule="exact"/>
              <w:ind w:left="306"/>
              <w:rPr>
                <w:rFonts w:ascii="宋体" w:hAnsi="宋体" w:eastAsia="宋体" w:cs="宋体"/>
                <w:sz w:val="20"/>
                <w:szCs w:val="20"/>
              </w:rPr>
            </w:pPr>
            <w:r>
              <w:rPr>
                <w:rFonts w:ascii="宋体" w:hAnsi="宋体" w:eastAsia="宋体" w:cs="宋体"/>
                <w:spacing w:val="4"/>
                <w:position w:val="1"/>
                <w:sz w:val="20"/>
                <w:szCs w:val="20"/>
              </w:rPr>
              <w:t>间</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对二甲苯</w:t>
            </w:r>
          </w:p>
        </w:tc>
        <w:tc>
          <w:tcPr>
            <w:tcW w:w="1651" w:type="dxa"/>
            <w:tcBorders>
              <w:left w:val="single" w:color="000000" w:sz="4" w:space="0"/>
              <w:right w:val="single" w:color="000000" w:sz="4" w:space="0"/>
            </w:tcBorders>
            <w:vAlign w:val="top"/>
          </w:tcPr>
          <w:p w14:paraId="64BA88C8">
            <w:pPr>
              <w:spacing w:before="22" w:line="281" w:lineRule="exact"/>
              <w:ind w:left="40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5</w:t>
            </w:r>
            <w:r>
              <w:rPr>
                <w:rFonts w:ascii="Times New Roman" w:hAnsi="Times New Roman" w:eastAsia="Times New Roman" w:cs="Times New Roman"/>
                <w:spacing w:val="4"/>
                <w:position w:val="2"/>
                <w:sz w:val="20"/>
                <w:szCs w:val="20"/>
              </w:rPr>
              <w:t>3.5μ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820AB36">
            <w:pPr>
              <w:spacing w:before="9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r>
              <w:rPr>
                <w:rFonts w:ascii="Times New Roman" w:hAnsi="Times New Roman" w:eastAsia="Times New Roman" w:cs="Times New Roman"/>
                <w:spacing w:val="1"/>
                <w:sz w:val="20"/>
                <w:szCs w:val="20"/>
              </w:rPr>
              <w:t>0</w:t>
            </w:r>
          </w:p>
        </w:tc>
        <w:tc>
          <w:tcPr>
            <w:tcW w:w="1226" w:type="dxa"/>
            <w:tcBorders>
              <w:left w:val="single" w:color="000000" w:sz="4" w:space="0"/>
              <w:right w:val="single" w:color="000000" w:sz="4" w:space="0"/>
            </w:tcBorders>
            <w:vAlign w:val="top"/>
          </w:tcPr>
          <w:p w14:paraId="30F0456C">
            <w:pPr>
              <w:spacing w:before="96"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705" w:type="dxa"/>
            <w:tcBorders>
              <w:left w:val="single" w:color="000000" w:sz="4" w:space="0"/>
            </w:tcBorders>
            <w:vAlign w:val="top"/>
          </w:tcPr>
          <w:p w14:paraId="486230E8">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EFB45F3">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8F07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CB4D069">
            <w:pPr>
              <w:spacing w:before="9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944" w:type="dxa"/>
            <w:vMerge w:val="continue"/>
            <w:tcBorders>
              <w:top w:val="nil"/>
              <w:left w:val="single" w:color="000000" w:sz="4" w:space="0"/>
              <w:bottom w:val="nil"/>
              <w:right w:val="single" w:color="000000" w:sz="4" w:space="0"/>
            </w:tcBorders>
            <w:vAlign w:val="top"/>
          </w:tcPr>
          <w:p w14:paraId="21F115F3">
            <w:pPr>
              <w:rPr>
                <w:rFonts w:ascii="Arial"/>
                <w:sz w:val="21"/>
              </w:rPr>
            </w:pPr>
          </w:p>
        </w:tc>
        <w:tc>
          <w:tcPr>
            <w:tcW w:w="1680" w:type="dxa"/>
            <w:tcBorders>
              <w:left w:val="single" w:color="000000" w:sz="4" w:space="0"/>
              <w:right w:val="single" w:color="000000" w:sz="4" w:space="0"/>
            </w:tcBorders>
            <w:vAlign w:val="top"/>
          </w:tcPr>
          <w:p w14:paraId="3BD32B2D">
            <w:pPr>
              <w:spacing w:before="59" w:line="227" w:lineRule="auto"/>
              <w:ind w:left="421"/>
              <w:rPr>
                <w:rFonts w:ascii="宋体" w:hAnsi="宋体" w:eastAsia="宋体" w:cs="宋体"/>
                <w:sz w:val="20"/>
                <w:szCs w:val="20"/>
              </w:rPr>
            </w:pPr>
            <w:r>
              <w:rPr>
                <w:rFonts w:ascii="宋体" w:hAnsi="宋体" w:eastAsia="宋体" w:cs="宋体"/>
                <w:spacing w:val="9"/>
                <w:sz w:val="20"/>
                <w:szCs w:val="20"/>
              </w:rPr>
              <w:t>邻</w:t>
            </w:r>
            <w:r>
              <w:rPr>
                <w:rFonts w:ascii="宋体" w:hAnsi="宋体" w:eastAsia="宋体" w:cs="宋体"/>
                <w:spacing w:val="7"/>
                <w:sz w:val="20"/>
                <w:szCs w:val="20"/>
              </w:rPr>
              <w:t>二甲苯</w:t>
            </w:r>
          </w:p>
        </w:tc>
        <w:tc>
          <w:tcPr>
            <w:tcW w:w="1651" w:type="dxa"/>
            <w:tcBorders>
              <w:left w:val="single" w:color="000000" w:sz="4" w:space="0"/>
              <w:right w:val="single" w:color="000000" w:sz="4" w:space="0"/>
            </w:tcBorders>
            <w:vAlign w:val="top"/>
          </w:tcPr>
          <w:p w14:paraId="1C3591F9">
            <w:pPr>
              <w:spacing w:before="22"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65.8μ</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2F518850">
            <w:pPr>
              <w:spacing w:before="95"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226" w:type="dxa"/>
            <w:tcBorders>
              <w:left w:val="single" w:color="000000" w:sz="4" w:space="0"/>
              <w:right w:val="single" w:color="000000" w:sz="4" w:space="0"/>
            </w:tcBorders>
            <w:vAlign w:val="top"/>
          </w:tcPr>
          <w:p w14:paraId="4D4D251A">
            <w:pPr>
              <w:spacing w:before="9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705" w:type="dxa"/>
            <w:tcBorders>
              <w:left w:val="single" w:color="000000" w:sz="4" w:space="0"/>
            </w:tcBorders>
            <w:vAlign w:val="top"/>
          </w:tcPr>
          <w:p w14:paraId="7740985F">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0C3AAEB7">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A576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F7F7567">
            <w:pPr>
              <w:spacing w:before="9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944" w:type="dxa"/>
            <w:vMerge w:val="continue"/>
            <w:tcBorders>
              <w:top w:val="nil"/>
              <w:left w:val="single" w:color="000000" w:sz="4" w:space="0"/>
              <w:bottom w:val="nil"/>
              <w:right w:val="single" w:color="000000" w:sz="4" w:space="0"/>
            </w:tcBorders>
            <w:vAlign w:val="top"/>
          </w:tcPr>
          <w:p w14:paraId="383EF1D7">
            <w:pPr>
              <w:rPr>
                <w:rFonts w:ascii="Arial"/>
                <w:sz w:val="21"/>
              </w:rPr>
            </w:pPr>
          </w:p>
        </w:tc>
        <w:tc>
          <w:tcPr>
            <w:tcW w:w="1680" w:type="dxa"/>
            <w:tcBorders>
              <w:left w:val="single" w:color="000000" w:sz="4" w:space="0"/>
              <w:right w:val="single" w:color="000000" w:sz="4" w:space="0"/>
            </w:tcBorders>
            <w:vAlign w:val="top"/>
          </w:tcPr>
          <w:p w14:paraId="5D7399FE">
            <w:pPr>
              <w:spacing w:before="59" w:line="227" w:lineRule="auto"/>
              <w:ind w:left="529"/>
              <w:rPr>
                <w:rFonts w:ascii="宋体" w:hAnsi="宋体" w:eastAsia="宋体" w:cs="宋体"/>
                <w:sz w:val="20"/>
                <w:szCs w:val="20"/>
              </w:rPr>
            </w:pPr>
            <w:r>
              <w:rPr>
                <w:rFonts w:ascii="宋体" w:hAnsi="宋体" w:eastAsia="宋体" w:cs="宋体"/>
                <w:spacing w:val="7"/>
                <w:sz w:val="20"/>
                <w:szCs w:val="20"/>
              </w:rPr>
              <w:t>硝</w:t>
            </w:r>
            <w:r>
              <w:rPr>
                <w:rFonts w:ascii="宋体" w:hAnsi="宋体" w:eastAsia="宋体" w:cs="宋体"/>
                <w:spacing w:val="6"/>
                <w:sz w:val="20"/>
                <w:szCs w:val="20"/>
              </w:rPr>
              <w:t>基苯</w:t>
            </w:r>
          </w:p>
        </w:tc>
        <w:tc>
          <w:tcPr>
            <w:tcW w:w="1651" w:type="dxa"/>
            <w:tcBorders>
              <w:left w:val="single" w:color="000000" w:sz="4" w:space="0"/>
              <w:right w:val="single" w:color="000000" w:sz="4" w:space="0"/>
            </w:tcBorders>
            <w:vAlign w:val="top"/>
          </w:tcPr>
          <w:p w14:paraId="1ECCFBC5">
            <w:pPr>
              <w:spacing w:before="21"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0EE92D07">
            <w:pPr>
              <w:spacing w:before="9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26" w:type="dxa"/>
            <w:tcBorders>
              <w:left w:val="single" w:color="000000" w:sz="4" w:space="0"/>
              <w:right w:val="single" w:color="000000" w:sz="4" w:space="0"/>
            </w:tcBorders>
            <w:vAlign w:val="top"/>
          </w:tcPr>
          <w:p w14:paraId="3085C7A2">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C39AD74">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7E86E644">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8E68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65443BA">
            <w:pPr>
              <w:spacing w:before="9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944" w:type="dxa"/>
            <w:vMerge w:val="continue"/>
            <w:tcBorders>
              <w:top w:val="nil"/>
              <w:left w:val="single" w:color="000000" w:sz="4" w:space="0"/>
              <w:bottom w:val="nil"/>
              <w:right w:val="single" w:color="000000" w:sz="4" w:space="0"/>
            </w:tcBorders>
            <w:vAlign w:val="top"/>
          </w:tcPr>
          <w:p w14:paraId="7577947A">
            <w:pPr>
              <w:rPr>
                <w:rFonts w:ascii="Arial"/>
                <w:sz w:val="21"/>
              </w:rPr>
            </w:pPr>
          </w:p>
        </w:tc>
        <w:tc>
          <w:tcPr>
            <w:tcW w:w="1680" w:type="dxa"/>
            <w:tcBorders>
              <w:left w:val="single" w:color="000000" w:sz="4" w:space="0"/>
              <w:right w:val="single" w:color="000000" w:sz="4" w:space="0"/>
            </w:tcBorders>
            <w:vAlign w:val="top"/>
          </w:tcPr>
          <w:p w14:paraId="1229C840">
            <w:pPr>
              <w:spacing w:before="59" w:line="227" w:lineRule="auto"/>
              <w:ind w:left="635"/>
              <w:rPr>
                <w:rFonts w:ascii="宋体" w:hAnsi="宋体" w:eastAsia="宋体" w:cs="宋体"/>
                <w:sz w:val="20"/>
                <w:szCs w:val="20"/>
              </w:rPr>
            </w:pPr>
            <w:r>
              <w:rPr>
                <w:rFonts w:ascii="宋体" w:hAnsi="宋体" w:eastAsia="宋体" w:cs="宋体"/>
                <w:spacing w:val="4"/>
                <w:sz w:val="20"/>
                <w:szCs w:val="20"/>
              </w:rPr>
              <w:t>苯</w:t>
            </w:r>
            <w:r>
              <w:rPr>
                <w:rFonts w:ascii="宋体" w:hAnsi="宋体" w:eastAsia="宋体" w:cs="宋体"/>
                <w:spacing w:val="3"/>
                <w:sz w:val="20"/>
                <w:szCs w:val="20"/>
              </w:rPr>
              <w:t>胺</w:t>
            </w:r>
          </w:p>
        </w:tc>
        <w:tc>
          <w:tcPr>
            <w:tcW w:w="1651" w:type="dxa"/>
            <w:tcBorders>
              <w:left w:val="single" w:color="000000" w:sz="4" w:space="0"/>
              <w:right w:val="single" w:color="000000" w:sz="4" w:space="0"/>
            </w:tcBorders>
            <w:vAlign w:val="top"/>
          </w:tcPr>
          <w:p w14:paraId="08E0A4E1">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631BB2D9">
            <w:pPr>
              <w:spacing w:before="95"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c>
          <w:tcPr>
            <w:tcW w:w="1226" w:type="dxa"/>
            <w:tcBorders>
              <w:left w:val="single" w:color="000000" w:sz="4" w:space="0"/>
              <w:right w:val="single" w:color="000000" w:sz="4" w:space="0"/>
            </w:tcBorders>
            <w:vAlign w:val="top"/>
          </w:tcPr>
          <w:p w14:paraId="0F2F2B68">
            <w:pPr>
              <w:spacing w:before="21"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018C717">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18A5BC80">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7760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4EC34BD0">
            <w:pPr>
              <w:spacing w:before="9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944" w:type="dxa"/>
            <w:vMerge w:val="continue"/>
            <w:tcBorders>
              <w:top w:val="nil"/>
              <w:left w:val="single" w:color="000000" w:sz="4" w:space="0"/>
              <w:bottom w:val="nil"/>
              <w:right w:val="single" w:color="000000" w:sz="4" w:space="0"/>
            </w:tcBorders>
            <w:vAlign w:val="top"/>
          </w:tcPr>
          <w:p w14:paraId="749A5BD3">
            <w:pPr>
              <w:rPr>
                <w:rFonts w:ascii="Arial"/>
                <w:sz w:val="21"/>
              </w:rPr>
            </w:pPr>
          </w:p>
        </w:tc>
        <w:tc>
          <w:tcPr>
            <w:tcW w:w="1680" w:type="dxa"/>
            <w:tcBorders>
              <w:left w:val="single" w:color="000000" w:sz="4" w:space="0"/>
              <w:right w:val="single" w:color="000000" w:sz="4" w:space="0"/>
            </w:tcBorders>
            <w:vAlign w:val="top"/>
          </w:tcPr>
          <w:p w14:paraId="65B35AE4">
            <w:pPr>
              <w:spacing w:before="61" w:line="229" w:lineRule="auto"/>
              <w:ind w:left="543"/>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氯</w:t>
            </w:r>
            <w:r>
              <w:rPr>
                <w:rFonts w:ascii="宋体" w:hAnsi="宋体" w:eastAsia="宋体" w:cs="宋体"/>
                <w:spacing w:val="4"/>
                <w:sz w:val="20"/>
                <w:szCs w:val="20"/>
              </w:rPr>
              <w:t>酚</w:t>
            </w:r>
          </w:p>
        </w:tc>
        <w:tc>
          <w:tcPr>
            <w:tcW w:w="1651" w:type="dxa"/>
            <w:tcBorders>
              <w:left w:val="single" w:color="000000" w:sz="4" w:space="0"/>
              <w:right w:val="single" w:color="000000" w:sz="4" w:space="0"/>
            </w:tcBorders>
            <w:vAlign w:val="top"/>
          </w:tcPr>
          <w:p w14:paraId="14C4FBB1">
            <w:pPr>
              <w:spacing w:before="21"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3D64B463">
            <w:pPr>
              <w:spacing w:before="9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256</w:t>
            </w:r>
          </w:p>
        </w:tc>
        <w:tc>
          <w:tcPr>
            <w:tcW w:w="1226" w:type="dxa"/>
            <w:tcBorders>
              <w:left w:val="single" w:color="000000" w:sz="4" w:space="0"/>
              <w:right w:val="single" w:color="000000" w:sz="4" w:space="0"/>
            </w:tcBorders>
            <w:vAlign w:val="top"/>
          </w:tcPr>
          <w:p w14:paraId="3E3C46C4">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FB188BC">
            <w:pPr>
              <w:spacing w:before="9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37153F3">
            <w:pPr>
              <w:spacing w:before="9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AEC3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8A7B19B">
            <w:pPr>
              <w:spacing w:before="9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44" w:type="dxa"/>
            <w:vMerge w:val="continue"/>
            <w:tcBorders>
              <w:top w:val="nil"/>
              <w:left w:val="single" w:color="000000" w:sz="4" w:space="0"/>
              <w:bottom w:val="nil"/>
              <w:right w:val="single" w:color="000000" w:sz="4" w:space="0"/>
            </w:tcBorders>
            <w:vAlign w:val="top"/>
          </w:tcPr>
          <w:p w14:paraId="39CCCBA9">
            <w:pPr>
              <w:rPr>
                <w:rFonts w:ascii="Arial"/>
                <w:sz w:val="21"/>
              </w:rPr>
            </w:pPr>
          </w:p>
        </w:tc>
        <w:tc>
          <w:tcPr>
            <w:tcW w:w="1680" w:type="dxa"/>
            <w:tcBorders>
              <w:left w:val="single" w:color="000000" w:sz="4" w:space="0"/>
              <w:right w:val="single" w:color="000000" w:sz="4" w:space="0"/>
            </w:tcBorders>
            <w:vAlign w:val="top"/>
          </w:tcPr>
          <w:p w14:paraId="03187E1B">
            <w:pPr>
              <w:spacing w:before="23" w:line="281" w:lineRule="exact"/>
              <w:ind w:left="415"/>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蒽</w:t>
            </w:r>
          </w:p>
        </w:tc>
        <w:tc>
          <w:tcPr>
            <w:tcW w:w="1651" w:type="dxa"/>
            <w:tcBorders>
              <w:left w:val="single" w:color="000000" w:sz="4" w:space="0"/>
              <w:right w:val="single" w:color="000000" w:sz="4" w:space="0"/>
            </w:tcBorders>
            <w:vAlign w:val="top"/>
          </w:tcPr>
          <w:p w14:paraId="25BAE78B">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621F061E">
            <w:pPr>
              <w:spacing w:before="97"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30FEEFFD">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8550E3C">
            <w:pPr>
              <w:spacing w:before="9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26391D6">
            <w:pPr>
              <w:spacing w:before="9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70CC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1003511C">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944" w:type="dxa"/>
            <w:vMerge w:val="continue"/>
            <w:tcBorders>
              <w:top w:val="nil"/>
              <w:left w:val="single" w:color="000000" w:sz="4" w:space="0"/>
              <w:bottom w:val="nil"/>
              <w:right w:val="single" w:color="000000" w:sz="4" w:space="0"/>
            </w:tcBorders>
            <w:vAlign w:val="top"/>
          </w:tcPr>
          <w:p w14:paraId="41AB4F07">
            <w:pPr>
              <w:rPr>
                <w:rFonts w:ascii="Arial"/>
                <w:sz w:val="21"/>
              </w:rPr>
            </w:pPr>
          </w:p>
        </w:tc>
        <w:tc>
          <w:tcPr>
            <w:tcW w:w="1680" w:type="dxa"/>
            <w:tcBorders>
              <w:left w:val="single" w:color="000000" w:sz="4" w:space="0"/>
              <w:right w:val="single" w:color="000000" w:sz="4" w:space="0"/>
            </w:tcBorders>
            <w:vAlign w:val="top"/>
          </w:tcPr>
          <w:p w14:paraId="4503CBB1">
            <w:pPr>
              <w:spacing w:before="23" w:line="281" w:lineRule="exact"/>
              <w:ind w:left="415"/>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6"/>
                <w:position w:val="2"/>
                <w:sz w:val="20"/>
                <w:szCs w:val="20"/>
              </w:rPr>
              <w:t>]</w:t>
            </w:r>
            <w:r>
              <w:rPr>
                <w:rFonts w:ascii="宋体" w:hAnsi="宋体" w:eastAsia="宋体" w:cs="宋体"/>
                <w:spacing w:val="5"/>
                <w:position w:val="2"/>
                <w:sz w:val="20"/>
                <w:szCs w:val="20"/>
              </w:rPr>
              <w:t>芘</w:t>
            </w:r>
          </w:p>
        </w:tc>
        <w:tc>
          <w:tcPr>
            <w:tcW w:w="1651" w:type="dxa"/>
            <w:tcBorders>
              <w:left w:val="single" w:color="000000" w:sz="4" w:space="0"/>
              <w:right w:val="single" w:color="000000" w:sz="4" w:space="0"/>
            </w:tcBorders>
            <w:vAlign w:val="top"/>
          </w:tcPr>
          <w:p w14:paraId="631FD011">
            <w:pPr>
              <w:spacing w:before="21"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4AF30602">
            <w:pPr>
              <w:spacing w:before="96"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26" w:type="dxa"/>
            <w:tcBorders>
              <w:left w:val="single" w:color="000000" w:sz="4" w:space="0"/>
              <w:right w:val="single" w:color="000000" w:sz="4" w:space="0"/>
            </w:tcBorders>
            <w:vAlign w:val="top"/>
          </w:tcPr>
          <w:p w14:paraId="2117D2CA">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EA21E31">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2B9D54B">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E8D3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59438EF8">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944" w:type="dxa"/>
            <w:vMerge w:val="continue"/>
            <w:tcBorders>
              <w:top w:val="nil"/>
              <w:left w:val="single" w:color="000000" w:sz="4" w:space="0"/>
              <w:bottom w:val="nil"/>
              <w:right w:val="single" w:color="000000" w:sz="4" w:space="0"/>
            </w:tcBorders>
            <w:vAlign w:val="top"/>
          </w:tcPr>
          <w:p w14:paraId="299F81E8">
            <w:pPr>
              <w:rPr>
                <w:rFonts w:ascii="Arial"/>
                <w:sz w:val="21"/>
              </w:rPr>
            </w:pPr>
          </w:p>
        </w:tc>
        <w:tc>
          <w:tcPr>
            <w:tcW w:w="1680" w:type="dxa"/>
            <w:tcBorders>
              <w:left w:val="single" w:color="000000" w:sz="4" w:space="0"/>
              <w:right w:val="single" w:color="000000" w:sz="4" w:space="0"/>
            </w:tcBorders>
            <w:vAlign w:val="top"/>
          </w:tcPr>
          <w:p w14:paraId="2E36A4E2">
            <w:pPr>
              <w:spacing w:before="23" w:line="281" w:lineRule="exact"/>
              <w:ind w:left="304"/>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b</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651" w:type="dxa"/>
            <w:tcBorders>
              <w:left w:val="single" w:color="000000" w:sz="4" w:space="0"/>
              <w:right w:val="single" w:color="000000" w:sz="4" w:space="0"/>
            </w:tcBorders>
            <w:vAlign w:val="top"/>
          </w:tcPr>
          <w:p w14:paraId="07C7F44A">
            <w:pPr>
              <w:spacing w:before="20" w:line="281" w:lineRule="exact"/>
              <w:ind w:left="339"/>
              <w:rPr>
                <w:rFonts w:ascii="Times New Roman" w:hAnsi="Times New Roman" w:eastAsia="Times New Roman" w:cs="Times New Roman"/>
                <w:sz w:val="20"/>
                <w:szCs w:val="20"/>
              </w:rPr>
            </w:pPr>
            <w:r>
              <w:rPr>
                <w:rFonts w:ascii="宋体" w:hAnsi="宋体" w:eastAsia="宋体" w:cs="宋体"/>
                <w:spacing w:val="6"/>
                <w:position w:val="2"/>
                <w:sz w:val="20"/>
                <w:szCs w:val="20"/>
              </w:rPr>
              <w:t>＜</w:t>
            </w:r>
            <w:r>
              <w:rPr>
                <w:rFonts w:ascii="Times New Roman" w:hAnsi="Times New Roman" w:eastAsia="Times New Roman" w:cs="Times New Roman"/>
                <w:spacing w:val="4"/>
                <w:position w:val="2"/>
                <w:sz w:val="20"/>
                <w:szCs w:val="20"/>
              </w:rPr>
              <w:t>0.2</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41820A93">
            <w:pPr>
              <w:spacing w:before="96"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5B1C22E9">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37A5CE85">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F07C7C1">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DDF1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22DB614E">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944" w:type="dxa"/>
            <w:vMerge w:val="continue"/>
            <w:tcBorders>
              <w:top w:val="nil"/>
              <w:left w:val="single" w:color="000000" w:sz="4" w:space="0"/>
              <w:bottom w:val="nil"/>
              <w:right w:val="single" w:color="000000" w:sz="4" w:space="0"/>
            </w:tcBorders>
            <w:vAlign w:val="top"/>
          </w:tcPr>
          <w:p w14:paraId="019C0F4C">
            <w:pPr>
              <w:rPr>
                <w:rFonts w:ascii="Arial"/>
                <w:sz w:val="21"/>
              </w:rPr>
            </w:pPr>
          </w:p>
        </w:tc>
        <w:tc>
          <w:tcPr>
            <w:tcW w:w="1680" w:type="dxa"/>
            <w:tcBorders>
              <w:left w:val="single" w:color="000000" w:sz="4" w:space="0"/>
              <w:right w:val="single" w:color="000000" w:sz="4" w:space="0"/>
            </w:tcBorders>
            <w:vAlign w:val="top"/>
          </w:tcPr>
          <w:p w14:paraId="1E24B48A">
            <w:pPr>
              <w:spacing w:before="23" w:line="281" w:lineRule="exact"/>
              <w:ind w:left="304"/>
              <w:rPr>
                <w:rFonts w:ascii="宋体" w:hAnsi="宋体" w:eastAsia="宋体" w:cs="宋体"/>
                <w:sz w:val="20"/>
                <w:szCs w:val="20"/>
              </w:rPr>
            </w:pPr>
            <w:r>
              <w:rPr>
                <w:rFonts w:ascii="宋体" w:hAnsi="宋体" w:eastAsia="宋体" w:cs="宋体"/>
                <w:spacing w:val="6"/>
                <w:position w:val="2"/>
                <w:sz w:val="20"/>
                <w:szCs w:val="20"/>
              </w:rPr>
              <w:t>苯并</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荧蒽</w:t>
            </w:r>
          </w:p>
        </w:tc>
        <w:tc>
          <w:tcPr>
            <w:tcW w:w="1651" w:type="dxa"/>
            <w:tcBorders>
              <w:left w:val="single" w:color="000000" w:sz="4" w:space="0"/>
              <w:right w:val="single" w:color="000000" w:sz="4" w:space="0"/>
            </w:tcBorders>
            <w:vAlign w:val="top"/>
          </w:tcPr>
          <w:p w14:paraId="52889402">
            <w:pPr>
              <w:spacing w:before="20"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6C34E623">
            <w:pPr>
              <w:spacing w:before="96"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226" w:type="dxa"/>
            <w:tcBorders>
              <w:left w:val="single" w:color="000000" w:sz="4" w:space="0"/>
              <w:right w:val="single" w:color="000000" w:sz="4" w:space="0"/>
            </w:tcBorders>
            <w:vAlign w:val="top"/>
          </w:tcPr>
          <w:p w14:paraId="39F1D7C4">
            <w:pPr>
              <w:spacing w:before="23"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4B14E2F0">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5D545689">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59B3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D053C13">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944" w:type="dxa"/>
            <w:vMerge w:val="continue"/>
            <w:tcBorders>
              <w:top w:val="nil"/>
              <w:left w:val="single" w:color="000000" w:sz="4" w:space="0"/>
              <w:bottom w:val="nil"/>
              <w:right w:val="single" w:color="000000" w:sz="4" w:space="0"/>
            </w:tcBorders>
            <w:vAlign w:val="top"/>
          </w:tcPr>
          <w:p w14:paraId="3AB0F628">
            <w:pPr>
              <w:rPr>
                <w:rFonts w:ascii="Arial"/>
                <w:sz w:val="21"/>
              </w:rPr>
            </w:pPr>
          </w:p>
        </w:tc>
        <w:tc>
          <w:tcPr>
            <w:tcW w:w="1680" w:type="dxa"/>
            <w:tcBorders>
              <w:left w:val="single" w:color="000000" w:sz="4" w:space="0"/>
              <w:right w:val="single" w:color="000000" w:sz="4" w:space="0"/>
            </w:tcBorders>
            <w:vAlign w:val="top"/>
          </w:tcPr>
          <w:p w14:paraId="181B3899">
            <w:pPr>
              <w:spacing w:before="60" w:line="229" w:lineRule="auto"/>
              <w:ind w:left="737"/>
              <w:rPr>
                <w:rFonts w:ascii="宋体" w:hAnsi="宋体" w:eastAsia="宋体" w:cs="宋体"/>
                <w:sz w:val="20"/>
                <w:szCs w:val="20"/>
              </w:rPr>
            </w:pPr>
            <w:r>
              <w:rPr>
                <w:rFonts w:ascii="宋体" w:hAnsi="宋体" w:eastAsia="宋体" w:cs="宋体"/>
                <w:spacing w:val="2"/>
                <w:sz w:val="20"/>
                <w:szCs w:val="20"/>
              </w:rPr>
              <w:t>䓛</w:t>
            </w:r>
          </w:p>
        </w:tc>
        <w:tc>
          <w:tcPr>
            <w:tcW w:w="1651" w:type="dxa"/>
            <w:tcBorders>
              <w:left w:val="single" w:color="000000" w:sz="4" w:space="0"/>
              <w:right w:val="single" w:color="000000" w:sz="4" w:space="0"/>
            </w:tcBorders>
            <w:vAlign w:val="top"/>
          </w:tcPr>
          <w:p w14:paraId="5BF71345">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3128ADF4">
            <w:pPr>
              <w:spacing w:before="96"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93</w:t>
            </w:r>
          </w:p>
        </w:tc>
        <w:tc>
          <w:tcPr>
            <w:tcW w:w="1226" w:type="dxa"/>
            <w:tcBorders>
              <w:left w:val="single" w:color="000000" w:sz="4" w:space="0"/>
              <w:right w:val="single" w:color="000000" w:sz="4" w:space="0"/>
            </w:tcBorders>
            <w:vAlign w:val="top"/>
          </w:tcPr>
          <w:p w14:paraId="584ACD4D">
            <w:pPr>
              <w:spacing w:before="22"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EA40B1F">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3CB23700">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33A4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61F9BE7F">
            <w:pPr>
              <w:spacing w:before="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44" w:type="dxa"/>
            <w:vMerge w:val="continue"/>
            <w:tcBorders>
              <w:top w:val="nil"/>
              <w:left w:val="single" w:color="000000" w:sz="4" w:space="0"/>
              <w:bottom w:val="nil"/>
              <w:right w:val="single" w:color="000000" w:sz="4" w:space="0"/>
            </w:tcBorders>
            <w:vAlign w:val="top"/>
          </w:tcPr>
          <w:p w14:paraId="5E328E0E">
            <w:pPr>
              <w:rPr>
                <w:rFonts w:ascii="Arial"/>
                <w:sz w:val="21"/>
              </w:rPr>
            </w:pPr>
          </w:p>
        </w:tc>
        <w:tc>
          <w:tcPr>
            <w:tcW w:w="1680" w:type="dxa"/>
            <w:tcBorders>
              <w:left w:val="single" w:color="000000" w:sz="4" w:space="0"/>
              <w:right w:val="single" w:color="000000" w:sz="4" w:space="0"/>
            </w:tcBorders>
            <w:vAlign w:val="top"/>
          </w:tcPr>
          <w:p w14:paraId="3A30A497">
            <w:pPr>
              <w:spacing w:before="22" w:line="281" w:lineRule="exact"/>
              <w:ind w:left="154"/>
              <w:rPr>
                <w:rFonts w:ascii="宋体" w:hAnsi="宋体" w:eastAsia="宋体" w:cs="宋体"/>
                <w:sz w:val="20"/>
                <w:szCs w:val="20"/>
              </w:rPr>
            </w:pPr>
            <w:r>
              <w:rPr>
                <w:rFonts w:ascii="宋体" w:hAnsi="宋体" w:eastAsia="宋体" w:cs="宋体"/>
                <w:spacing w:val="1"/>
                <w:position w:val="2"/>
                <w:sz w:val="20"/>
                <w:szCs w:val="20"/>
              </w:rPr>
              <w:t>二</w:t>
            </w:r>
            <w:r>
              <w:rPr>
                <w:rFonts w:ascii="宋体" w:hAnsi="宋体" w:eastAsia="宋体" w:cs="宋体"/>
                <w:position w:val="2"/>
                <w:sz w:val="20"/>
                <w:szCs w:val="20"/>
              </w:rPr>
              <w:t>苯并</w:t>
            </w:r>
            <w:r>
              <w:rPr>
                <w:rFonts w:ascii="Times New Roman" w:hAnsi="Times New Roman" w:eastAsia="Times New Roman" w:cs="Times New Roman"/>
                <w:position w:val="2"/>
                <w:sz w:val="20"/>
                <w:szCs w:val="20"/>
              </w:rPr>
              <w:t xml:space="preserve">[a </w:t>
            </w:r>
            <w:r>
              <w:rPr>
                <w:rFonts w:ascii="宋体" w:hAnsi="宋体" w:eastAsia="宋体" w:cs="宋体"/>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position w:val="2"/>
                <w:sz w:val="20"/>
                <w:szCs w:val="20"/>
              </w:rPr>
              <w:t>蒽</w:t>
            </w:r>
          </w:p>
        </w:tc>
        <w:tc>
          <w:tcPr>
            <w:tcW w:w="1651" w:type="dxa"/>
            <w:tcBorders>
              <w:left w:val="single" w:color="000000" w:sz="4" w:space="0"/>
              <w:right w:val="single" w:color="000000" w:sz="4" w:space="0"/>
            </w:tcBorders>
            <w:vAlign w:val="top"/>
          </w:tcPr>
          <w:p w14:paraId="686CA25B">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59480677">
            <w:pPr>
              <w:spacing w:before="96"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26" w:type="dxa"/>
            <w:tcBorders>
              <w:left w:val="single" w:color="000000" w:sz="4" w:space="0"/>
              <w:right w:val="single" w:color="000000" w:sz="4" w:space="0"/>
            </w:tcBorders>
            <w:vAlign w:val="top"/>
          </w:tcPr>
          <w:p w14:paraId="20FD0045">
            <w:pPr>
              <w:spacing w:before="22"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6884DB1">
            <w:pPr>
              <w:spacing w:before="9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9F7B86F">
            <w:pPr>
              <w:spacing w:before="9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27CC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2" w:type="dxa"/>
            <w:tcBorders>
              <w:left w:val="nil"/>
              <w:right w:val="single" w:color="000000" w:sz="4" w:space="0"/>
            </w:tcBorders>
            <w:vAlign w:val="top"/>
          </w:tcPr>
          <w:p w14:paraId="7086CA62">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944" w:type="dxa"/>
            <w:vMerge w:val="continue"/>
            <w:tcBorders>
              <w:top w:val="nil"/>
              <w:left w:val="single" w:color="000000" w:sz="4" w:space="0"/>
              <w:bottom w:val="nil"/>
              <w:right w:val="single" w:color="000000" w:sz="4" w:space="0"/>
            </w:tcBorders>
            <w:vAlign w:val="top"/>
          </w:tcPr>
          <w:p w14:paraId="11962C44">
            <w:pPr>
              <w:rPr>
                <w:rFonts w:ascii="Arial"/>
                <w:sz w:val="21"/>
              </w:rPr>
            </w:pPr>
          </w:p>
        </w:tc>
        <w:tc>
          <w:tcPr>
            <w:tcW w:w="1680" w:type="dxa"/>
            <w:tcBorders>
              <w:left w:val="single" w:color="000000" w:sz="4" w:space="0"/>
              <w:right w:val="single" w:color="000000" w:sz="4" w:space="0"/>
            </w:tcBorders>
            <w:vAlign w:val="top"/>
          </w:tcPr>
          <w:p w14:paraId="2DF931D0">
            <w:pPr>
              <w:spacing w:before="22" w:line="281" w:lineRule="exact"/>
              <w:ind w:left="119"/>
              <w:rPr>
                <w:rFonts w:ascii="宋体" w:hAnsi="宋体" w:eastAsia="宋体" w:cs="宋体"/>
                <w:sz w:val="20"/>
                <w:szCs w:val="20"/>
              </w:rPr>
            </w:pPr>
            <w:r>
              <w:rPr>
                <w:rFonts w:ascii="宋体" w:hAnsi="宋体" w:eastAsia="宋体" w:cs="宋体"/>
                <w:spacing w:val="6"/>
                <w:position w:val="2"/>
                <w:sz w:val="20"/>
                <w:szCs w:val="20"/>
              </w:rPr>
              <w:t>茚</w:t>
            </w:r>
            <w:r>
              <w:rPr>
                <w:rFonts w:ascii="宋体" w:hAnsi="宋体" w:eastAsia="宋体" w:cs="宋体"/>
                <w:spacing w:val="5"/>
                <w:position w:val="2"/>
                <w:sz w:val="20"/>
                <w:szCs w:val="20"/>
              </w:rPr>
              <w:t>并</w:t>
            </w:r>
            <w:r>
              <w:rPr>
                <w:rFonts w:ascii="Times New Roman" w:hAnsi="Times New Roman" w:eastAsia="Times New Roman" w:cs="Times New Roman"/>
                <w:spacing w:val="5"/>
                <w:position w:val="2"/>
                <w:sz w:val="20"/>
                <w:szCs w:val="20"/>
              </w:rPr>
              <w:t>[1,2,3-</w:t>
            </w:r>
            <w:r>
              <w:rPr>
                <w:rFonts w:ascii="Times New Roman" w:hAnsi="Times New Roman" w:eastAsia="Times New Roman" w:cs="Times New Roman"/>
                <w:position w:val="2"/>
                <w:sz w:val="20"/>
                <w:szCs w:val="20"/>
              </w:rPr>
              <w:t>cd</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芘</w:t>
            </w:r>
          </w:p>
        </w:tc>
        <w:tc>
          <w:tcPr>
            <w:tcW w:w="1651" w:type="dxa"/>
            <w:tcBorders>
              <w:left w:val="single" w:color="000000" w:sz="4" w:space="0"/>
              <w:right w:val="single" w:color="000000" w:sz="4" w:space="0"/>
            </w:tcBorders>
            <w:vAlign w:val="top"/>
          </w:tcPr>
          <w:p w14:paraId="39EAD68B">
            <w:pPr>
              <w:spacing w:before="22" w:line="281" w:lineRule="exact"/>
              <w:ind w:left="339"/>
              <w:rPr>
                <w:rFonts w:ascii="Times New Roman" w:hAnsi="Times New Roman" w:eastAsia="Times New Roman" w:cs="Times New Roman"/>
                <w:sz w:val="20"/>
                <w:szCs w:val="20"/>
              </w:rPr>
            </w:pPr>
            <w:r>
              <w:rPr>
                <w:rFonts w:ascii="宋体" w:hAnsi="宋体" w:eastAsia="宋体" w:cs="宋体"/>
                <w:spacing w:val="-4"/>
                <w:position w:val="4"/>
                <w:sz w:val="20"/>
                <w:szCs w:val="20"/>
              </w:rPr>
              <w:t>＜</w:t>
            </w:r>
            <w:r>
              <w:rPr>
                <w:rFonts w:ascii="Times New Roman" w:hAnsi="Times New Roman" w:eastAsia="Times New Roman" w:cs="Times New Roman"/>
                <w:spacing w:val="-4"/>
                <w:position w:val="4"/>
                <w:sz w:val="20"/>
                <w:szCs w:val="20"/>
              </w:rPr>
              <w:t xml:space="preserve">0. </w:t>
            </w:r>
            <w:r>
              <w:rPr>
                <w:rFonts w:ascii="Times New Roman" w:hAnsi="Times New Roman" w:eastAsia="Times New Roman" w:cs="Times New Roman"/>
                <w:spacing w:val="-2"/>
                <w:position w:val="4"/>
                <w:sz w:val="20"/>
                <w:szCs w:val="20"/>
              </w:rPr>
              <w:t>1mg/kg</w:t>
            </w:r>
          </w:p>
        </w:tc>
        <w:tc>
          <w:tcPr>
            <w:tcW w:w="930" w:type="dxa"/>
            <w:tcBorders>
              <w:left w:val="single" w:color="000000" w:sz="4" w:space="0"/>
              <w:right w:val="single" w:color="000000" w:sz="4" w:space="0"/>
            </w:tcBorders>
            <w:vAlign w:val="top"/>
          </w:tcPr>
          <w:p w14:paraId="75259C3A">
            <w:pPr>
              <w:spacing w:before="95"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26" w:type="dxa"/>
            <w:tcBorders>
              <w:left w:val="single" w:color="000000" w:sz="4" w:space="0"/>
              <w:right w:val="single" w:color="000000" w:sz="4" w:space="0"/>
            </w:tcBorders>
            <w:vAlign w:val="top"/>
          </w:tcPr>
          <w:p w14:paraId="047918DD">
            <w:pPr>
              <w:spacing w:before="22"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067139CC">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6728BFC7">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81A8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32" w:type="dxa"/>
            <w:tcBorders>
              <w:left w:val="nil"/>
              <w:right w:val="single" w:color="000000" w:sz="4" w:space="0"/>
            </w:tcBorders>
            <w:vAlign w:val="top"/>
          </w:tcPr>
          <w:p w14:paraId="2A684AE2">
            <w:pPr>
              <w:spacing w:before="9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944" w:type="dxa"/>
            <w:vMerge w:val="continue"/>
            <w:tcBorders>
              <w:top w:val="nil"/>
              <w:left w:val="single" w:color="000000" w:sz="4" w:space="0"/>
              <w:right w:val="single" w:color="000000" w:sz="4" w:space="0"/>
            </w:tcBorders>
            <w:vAlign w:val="top"/>
          </w:tcPr>
          <w:p w14:paraId="4D0009D4">
            <w:pPr>
              <w:rPr>
                <w:rFonts w:ascii="Arial"/>
                <w:sz w:val="21"/>
              </w:rPr>
            </w:pPr>
          </w:p>
        </w:tc>
        <w:tc>
          <w:tcPr>
            <w:tcW w:w="1680" w:type="dxa"/>
            <w:tcBorders>
              <w:left w:val="single" w:color="000000" w:sz="4" w:space="0"/>
              <w:right w:val="single" w:color="000000" w:sz="4" w:space="0"/>
            </w:tcBorders>
            <w:vAlign w:val="top"/>
          </w:tcPr>
          <w:p w14:paraId="052BA9F2">
            <w:pPr>
              <w:spacing w:before="60" w:line="228" w:lineRule="auto"/>
              <w:ind w:left="739"/>
              <w:rPr>
                <w:rFonts w:ascii="宋体" w:hAnsi="宋体" w:eastAsia="宋体" w:cs="宋体"/>
                <w:sz w:val="20"/>
                <w:szCs w:val="20"/>
              </w:rPr>
            </w:pPr>
            <w:r>
              <w:rPr>
                <w:rFonts w:ascii="宋体" w:hAnsi="宋体" w:eastAsia="宋体" w:cs="宋体"/>
                <w:sz w:val="20"/>
                <w:szCs w:val="20"/>
              </w:rPr>
              <w:t>萘</w:t>
            </w:r>
          </w:p>
        </w:tc>
        <w:tc>
          <w:tcPr>
            <w:tcW w:w="1651" w:type="dxa"/>
            <w:tcBorders>
              <w:left w:val="single" w:color="000000" w:sz="4" w:space="0"/>
              <w:right w:val="single" w:color="000000" w:sz="4" w:space="0"/>
            </w:tcBorders>
            <w:vAlign w:val="top"/>
          </w:tcPr>
          <w:p w14:paraId="330A7A83">
            <w:pPr>
              <w:spacing w:before="22" w:line="281" w:lineRule="exact"/>
              <w:ind w:left="286"/>
              <w:rPr>
                <w:rFonts w:ascii="Times New Roman" w:hAnsi="Times New Roman" w:eastAsia="Times New Roman" w:cs="Times New Roman"/>
                <w:sz w:val="20"/>
                <w:szCs w:val="20"/>
              </w:rPr>
            </w:pPr>
            <w:r>
              <w:rPr>
                <w:rFonts w:ascii="宋体" w:hAnsi="宋体" w:eastAsia="宋体" w:cs="宋体"/>
                <w:spacing w:val="7"/>
                <w:position w:val="2"/>
                <w:sz w:val="20"/>
                <w:szCs w:val="20"/>
              </w:rPr>
              <w:t>＜</w:t>
            </w:r>
            <w:r>
              <w:rPr>
                <w:rFonts w:ascii="Times New Roman" w:hAnsi="Times New Roman" w:eastAsia="Times New Roman" w:cs="Times New Roman"/>
                <w:spacing w:val="4"/>
                <w:position w:val="2"/>
                <w:sz w:val="20"/>
                <w:szCs w:val="20"/>
              </w:rPr>
              <w:t>0.09</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p>
        </w:tc>
        <w:tc>
          <w:tcPr>
            <w:tcW w:w="930" w:type="dxa"/>
            <w:tcBorders>
              <w:left w:val="single" w:color="000000" w:sz="4" w:space="0"/>
              <w:right w:val="single" w:color="000000" w:sz="4" w:space="0"/>
            </w:tcBorders>
            <w:vAlign w:val="top"/>
          </w:tcPr>
          <w:p w14:paraId="14875593">
            <w:pPr>
              <w:spacing w:before="9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26" w:type="dxa"/>
            <w:tcBorders>
              <w:left w:val="single" w:color="000000" w:sz="4" w:space="0"/>
              <w:right w:val="single" w:color="000000" w:sz="4" w:space="0"/>
            </w:tcBorders>
            <w:vAlign w:val="top"/>
          </w:tcPr>
          <w:p w14:paraId="670485F1">
            <w:pPr>
              <w:spacing w:before="22" w:line="281"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705" w:type="dxa"/>
            <w:tcBorders>
              <w:left w:val="single" w:color="000000" w:sz="4" w:space="0"/>
            </w:tcBorders>
            <w:vAlign w:val="top"/>
          </w:tcPr>
          <w:p w14:paraId="53369A04">
            <w:pPr>
              <w:spacing w:before="9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tcBorders>
              <w:right w:val="nil"/>
            </w:tcBorders>
            <w:vAlign w:val="top"/>
          </w:tcPr>
          <w:p w14:paraId="2BC8F070">
            <w:pPr>
              <w:spacing w:before="9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60703973">
      <w:pPr>
        <w:spacing w:line="259" w:lineRule="auto"/>
        <w:rPr>
          <w:rFonts w:ascii="Arial"/>
          <w:sz w:val="21"/>
        </w:rPr>
      </w:pPr>
    </w:p>
    <w:p w14:paraId="1BB9FEE1">
      <w:pPr>
        <w:spacing w:before="75" w:line="389" w:lineRule="auto"/>
        <w:ind w:left="31" w:right="20" w:firstLine="510"/>
        <w:rPr>
          <w:rFonts w:ascii="宋体" w:hAnsi="宋体" w:eastAsia="宋体" w:cs="宋体"/>
          <w:sz w:val="23"/>
          <w:szCs w:val="23"/>
        </w:rPr>
      </w:pPr>
      <w:r>
        <w:rPr>
          <w:rFonts w:ascii="宋体" w:hAnsi="宋体" w:eastAsia="宋体" w:cs="宋体"/>
          <w:spacing w:val="8"/>
          <w:sz w:val="23"/>
          <w:szCs w:val="23"/>
        </w:rPr>
        <w:t>由</w:t>
      </w:r>
      <w:r>
        <w:rPr>
          <w:rFonts w:ascii="宋体" w:hAnsi="宋体" w:eastAsia="宋体" w:cs="宋体"/>
          <w:spacing w:val="6"/>
          <w:sz w:val="23"/>
          <w:szCs w:val="23"/>
        </w:rPr>
        <w:t>上表可知，建设项目占地范围内土壤酸化、碱化强度为无酸化或碱化，盐</w:t>
      </w:r>
      <w:r>
        <w:rPr>
          <w:rFonts w:ascii="宋体" w:hAnsi="宋体" w:eastAsia="宋体" w:cs="宋体"/>
          <w:sz w:val="23"/>
          <w:szCs w:val="23"/>
        </w:rPr>
        <w:t xml:space="preserve"> </w:t>
      </w:r>
      <w:r>
        <w:rPr>
          <w:rFonts w:ascii="宋体" w:hAnsi="宋体" w:eastAsia="宋体" w:cs="宋体"/>
          <w:spacing w:val="1"/>
          <w:sz w:val="23"/>
          <w:szCs w:val="23"/>
        </w:rPr>
        <w:t>化等级为中度盐化，监测点位的土壤各</w:t>
      </w:r>
      <w:r>
        <w:rPr>
          <w:rFonts w:ascii="宋体" w:hAnsi="宋体" w:eastAsia="宋体" w:cs="宋体"/>
          <w:sz w:val="23"/>
          <w:szCs w:val="23"/>
        </w:rPr>
        <w:t xml:space="preserve">项因子标准指数值均小于 </w:t>
      </w:r>
      <w:r>
        <w:rPr>
          <w:rFonts w:ascii="Times New Roman" w:hAnsi="Times New Roman" w:eastAsia="Times New Roman" w:cs="Times New Roman"/>
          <w:sz w:val="23"/>
          <w:szCs w:val="23"/>
        </w:rPr>
        <w:t>1</w:t>
      </w:r>
      <w:r>
        <w:rPr>
          <w:rFonts w:ascii="宋体" w:hAnsi="宋体" w:eastAsia="宋体" w:cs="宋体"/>
          <w:sz w:val="23"/>
          <w:szCs w:val="23"/>
        </w:rPr>
        <w:t xml:space="preserve">，能够满足《土 </w:t>
      </w:r>
      <w:r>
        <w:rPr>
          <w:rFonts w:ascii="宋体" w:hAnsi="宋体" w:eastAsia="宋体" w:cs="宋体"/>
          <w:spacing w:val="8"/>
          <w:sz w:val="23"/>
          <w:szCs w:val="23"/>
        </w:rPr>
        <w:t>壤环境质量</w:t>
      </w:r>
      <w:r>
        <w:rPr>
          <w:rFonts w:ascii="宋体" w:hAnsi="宋体" w:eastAsia="宋体" w:cs="宋体"/>
          <w:spacing w:val="7"/>
          <w:sz w:val="23"/>
          <w:szCs w:val="23"/>
        </w:rPr>
        <w:t xml:space="preserve"> </w:t>
      </w:r>
      <w:r>
        <w:rPr>
          <w:rFonts w:ascii="宋体" w:hAnsi="宋体" w:eastAsia="宋体" w:cs="宋体"/>
          <w:spacing w:val="4"/>
          <w:sz w:val="23"/>
          <w:szCs w:val="23"/>
        </w:rPr>
        <w:t>建设用地土壤污染风险管控标准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36600-2018</w:t>
      </w:r>
      <w:r>
        <w:rPr>
          <w:rFonts w:ascii="宋体" w:hAnsi="宋体" w:eastAsia="宋体" w:cs="宋体"/>
          <w:spacing w:val="4"/>
          <w:sz w:val="23"/>
          <w:szCs w:val="23"/>
        </w:rPr>
        <w:t>) 中筛</w:t>
      </w:r>
      <w:r>
        <w:rPr>
          <w:rFonts w:ascii="宋体" w:hAnsi="宋体" w:eastAsia="宋体" w:cs="宋体"/>
          <w:sz w:val="23"/>
          <w:szCs w:val="23"/>
        </w:rPr>
        <w:t xml:space="preserve"> </w:t>
      </w:r>
      <w:r>
        <w:rPr>
          <w:rFonts w:ascii="宋体" w:hAnsi="宋体" w:eastAsia="宋体" w:cs="宋体"/>
          <w:spacing w:val="14"/>
          <w:sz w:val="23"/>
          <w:szCs w:val="23"/>
        </w:rPr>
        <w:t>选</w:t>
      </w:r>
      <w:r>
        <w:rPr>
          <w:rFonts w:ascii="宋体" w:hAnsi="宋体" w:eastAsia="宋体" w:cs="宋体"/>
          <w:spacing w:val="9"/>
          <w:sz w:val="23"/>
          <w:szCs w:val="23"/>
        </w:rPr>
        <w:t>值第二类标准；说明评价区域内土壤环境质量较好。</w:t>
      </w:r>
    </w:p>
    <w:p w14:paraId="60CF9B07">
      <w:pPr>
        <w:sectPr>
          <w:headerReference r:id="rId192" w:type="default"/>
          <w:footerReference r:id="rId193" w:type="default"/>
          <w:pgSz w:w="11906" w:h="16839"/>
          <w:pgMar w:top="1132" w:right="1776" w:bottom="1182" w:left="1777" w:header="878" w:footer="1022" w:gutter="0"/>
          <w:cols w:space="720" w:num="1"/>
        </w:sectPr>
      </w:pPr>
    </w:p>
    <w:p w14:paraId="243A0352">
      <w:r>
        <w:pict>
          <v:shape id="_x0000_s1234" o:spid="_x0000_s1234" style="position:absolute;left:0pt;margin-left:72pt;margin-top:57.35pt;height:0.75pt;width:697.95pt;mso-position-horizontal-relative:page;mso-position-vertical-relative:page;z-index:251888640;mso-width-relative:page;mso-height-relative:page;" fillcolor="#000000" filled="t" stroked="f" coordsize="13959,15" o:allowincell="f" path="m0,0l13958,0,13958,14,0,14,0,0xe">
            <v:path/>
            <v:fill on="t" focussize="0,0"/>
            <v:stroke on="f"/>
            <v:imagedata o:title=""/>
            <o:lock v:ext="edit"/>
          </v:shape>
        </w:pict>
      </w:r>
      <w:r>
        <w:pict>
          <v:shape id="_x0000_s1235" o:spid="_x0000_s1235" o:spt="202" type="#_x0000_t202" style="position:absolute;left:0pt;margin-left:341pt;margin-top:476.8pt;height:33.4pt;width:163.5pt;mso-position-horizontal-relative:page;mso-position-vertical-relative:page;z-index:-251429888;mso-width-relative:page;mso-height-relative:page;" fillcolor="#FFFF00" filled="t" stroked="f" coordsize="21600,21600" o:allowincell="f">
            <v:path/>
            <v:fill on="t" focussize="0,0"/>
            <v:stroke on="f"/>
            <v:imagedata o:title=""/>
            <o:lock v:ext="edit" aspectratio="f"/>
            <v:textbox inset="0mm,0mm,0mm,0mm">
              <w:txbxContent>
                <w:p w14:paraId="02B400E9">
                  <w:pPr>
                    <w:spacing w:line="272" w:lineRule="auto"/>
                    <w:rPr>
                      <w:rFonts w:ascii="Arial"/>
                      <w:sz w:val="21"/>
                    </w:rPr>
                  </w:pPr>
                </w:p>
                <w:p w14:paraId="32616784">
                  <w:pPr>
                    <w:spacing w:before="74" w:line="228" w:lineRule="auto"/>
                    <w:ind w:left="3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w:t>
                  </w:r>
                  <w:r>
                    <w:rPr>
                      <w:rFonts w:ascii="Times New Roman" w:hAnsi="Times New Roman" w:eastAsia="Times New Roman" w:cs="Times New Roman"/>
                      <w:b/>
                      <w:bCs/>
                      <w:spacing w:val="3"/>
                      <w:sz w:val="23"/>
                      <w:szCs w:val="23"/>
                    </w:rPr>
                    <w:t>-</w:t>
                  </w:r>
                  <w:r>
                    <w:rPr>
                      <w:rFonts w:ascii="Times New Roman" w:hAnsi="Times New Roman" w:eastAsia="Times New Roman" w:cs="Times New Roman"/>
                      <w:b/>
                      <w:bCs/>
                      <w:spacing w:val="2"/>
                      <w:sz w:val="23"/>
                      <w:szCs w:val="23"/>
                    </w:rPr>
                    <w:t>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建设项目监测点位图</w:t>
                  </w:r>
                </w:p>
              </w:txbxContent>
            </v:textbox>
          </v:shape>
        </w:pict>
      </w:r>
    </w:p>
    <w:p w14:paraId="2DE52A0F"/>
    <w:p w14:paraId="0DA0002B"/>
    <w:p w14:paraId="748B1273"/>
    <w:p w14:paraId="34D864AE">
      <w:pPr>
        <w:spacing w:line="44" w:lineRule="exact"/>
      </w:pPr>
    </w:p>
    <w:tbl>
      <w:tblPr>
        <w:tblStyle w:val="4"/>
        <w:tblW w:w="14011" w:type="dxa"/>
        <w:tblInd w:w="3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14011"/>
      </w:tblGrid>
      <w:tr w14:paraId="1C2BA45C">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7459" w:hRule="atLeast"/>
        </w:trPr>
        <w:tc>
          <w:tcPr>
            <w:tcW w:w="14011" w:type="dxa"/>
            <w:vAlign w:val="top"/>
          </w:tcPr>
          <w:p w14:paraId="16748A7B">
            <w:pPr>
              <w:spacing w:line="1569" w:lineRule="exact"/>
              <w:textAlignment w:val="center"/>
            </w:pPr>
            <w:r>
              <w:drawing>
                <wp:anchor distT="0" distB="0" distL="0" distR="0" simplePos="0" relativeHeight="251891712" behindDoc="0" locked="0" layoutInCell="1" allowOverlap="1">
                  <wp:simplePos x="0" y="0"/>
                  <wp:positionH relativeFrom="rightMargin">
                    <wp:posOffset>-991870</wp:posOffset>
                  </wp:positionH>
                  <wp:positionV relativeFrom="topMargin">
                    <wp:posOffset>4144645</wp:posOffset>
                  </wp:positionV>
                  <wp:extent cx="732790" cy="514985"/>
                  <wp:effectExtent l="0" t="0" r="0" b="0"/>
                  <wp:wrapNone/>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494"/>
                          <a:stretch>
                            <a:fillRect/>
                          </a:stretch>
                        </pic:blipFill>
                        <pic:spPr>
                          <a:xfrm>
                            <a:off x="0" y="0"/>
                            <a:ext cx="733044" cy="515111"/>
                          </a:xfrm>
                          <a:prstGeom prst="rect">
                            <a:avLst/>
                          </a:prstGeom>
                        </pic:spPr>
                      </pic:pic>
                    </a:graphicData>
                  </a:graphic>
                </wp:anchor>
              </w:drawing>
            </w:r>
            <w:r>
              <w:drawing>
                <wp:anchor distT="0" distB="0" distL="0" distR="0" simplePos="0" relativeHeight="251892736" behindDoc="0" locked="0" layoutInCell="1" allowOverlap="1">
                  <wp:simplePos x="0" y="0"/>
                  <wp:positionH relativeFrom="rightMargin">
                    <wp:posOffset>-6503670</wp:posOffset>
                  </wp:positionH>
                  <wp:positionV relativeFrom="topMargin">
                    <wp:posOffset>899795</wp:posOffset>
                  </wp:positionV>
                  <wp:extent cx="313690" cy="27051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95"/>
                          <a:stretch>
                            <a:fillRect/>
                          </a:stretch>
                        </pic:blipFill>
                        <pic:spPr>
                          <a:xfrm>
                            <a:off x="0" y="0"/>
                            <a:ext cx="313575" cy="270331"/>
                          </a:xfrm>
                          <a:prstGeom prst="rect">
                            <a:avLst/>
                          </a:prstGeom>
                        </pic:spPr>
                      </pic:pic>
                    </a:graphicData>
                  </a:graphic>
                </wp:anchor>
              </w:drawing>
            </w:r>
            <w:r>
              <w:drawing>
                <wp:anchor distT="0" distB="0" distL="0" distR="0" simplePos="0" relativeHeight="251890688" behindDoc="0" locked="0" layoutInCell="1" allowOverlap="1">
                  <wp:simplePos x="0" y="0"/>
                  <wp:positionH relativeFrom="rightMargin">
                    <wp:posOffset>-5300980</wp:posOffset>
                  </wp:positionH>
                  <wp:positionV relativeFrom="topMargin">
                    <wp:posOffset>1622425</wp:posOffset>
                  </wp:positionV>
                  <wp:extent cx="159385" cy="159385"/>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496"/>
                          <a:stretch>
                            <a:fillRect/>
                          </a:stretch>
                        </pic:blipFill>
                        <pic:spPr>
                          <a:xfrm>
                            <a:off x="0" y="0"/>
                            <a:ext cx="159562" cy="159562"/>
                          </a:xfrm>
                          <a:prstGeom prst="rect">
                            <a:avLst/>
                          </a:prstGeom>
                        </pic:spPr>
                      </pic:pic>
                    </a:graphicData>
                  </a:graphic>
                </wp:anchor>
              </w:drawing>
            </w:r>
            <w:r>
              <w:drawing>
                <wp:anchor distT="0" distB="0" distL="0" distR="0" simplePos="0" relativeHeight="251889664" behindDoc="0" locked="0" layoutInCell="1" allowOverlap="1">
                  <wp:simplePos x="0" y="0"/>
                  <wp:positionH relativeFrom="rightMargin">
                    <wp:posOffset>-5013960</wp:posOffset>
                  </wp:positionH>
                  <wp:positionV relativeFrom="topMargin">
                    <wp:posOffset>1799590</wp:posOffset>
                  </wp:positionV>
                  <wp:extent cx="81280" cy="8128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97"/>
                          <a:stretch>
                            <a:fillRect/>
                          </a:stretch>
                        </pic:blipFill>
                        <pic:spPr>
                          <a:xfrm>
                            <a:off x="0" y="0"/>
                            <a:ext cx="81279" cy="81280"/>
                          </a:xfrm>
                          <a:prstGeom prst="rect">
                            <a:avLst/>
                          </a:prstGeom>
                        </pic:spPr>
                      </pic:pic>
                    </a:graphicData>
                  </a:graphic>
                </wp:anchor>
              </w:drawing>
            </w:r>
            <w:r>
              <w:drawing>
                <wp:anchor distT="0" distB="0" distL="0" distR="0" simplePos="0" relativeHeight="251893760" behindDoc="0" locked="0" layoutInCell="1" allowOverlap="1">
                  <wp:simplePos x="0" y="0"/>
                  <wp:positionH relativeFrom="rightMargin">
                    <wp:posOffset>-5034280</wp:posOffset>
                  </wp:positionH>
                  <wp:positionV relativeFrom="topMargin">
                    <wp:posOffset>2003425</wp:posOffset>
                  </wp:positionV>
                  <wp:extent cx="159385" cy="159385"/>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496"/>
                          <a:stretch>
                            <a:fillRect/>
                          </a:stretch>
                        </pic:blipFill>
                        <pic:spPr>
                          <a:xfrm>
                            <a:off x="0" y="0"/>
                            <a:ext cx="159562" cy="159562"/>
                          </a:xfrm>
                          <a:prstGeom prst="rect">
                            <a:avLst/>
                          </a:prstGeom>
                        </pic:spPr>
                      </pic:pic>
                    </a:graphicData>
                  </a:graphic>
                </wp:anchor>
              </w:drawing>
            </w:r>
            <w:r>
              <w:drawing>
                <wp:inline distT="0" distB="0" distL="0" distR="0">
                  <wp:extent cx="972185" cy="99631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98"/>
                          <a:stretch>
                            <a:fillRect/>
                          </a:stretch>
                        </pic:blipFill>
                        <pic:spPr>
                          <a:xfrm>
                            <a:off x="0" y="0"/>
                            <a:ext cx="972311" cy="996696"/>
                          </a:xfrm>
                          <a:prstGeom prst="rect">
                            <a:avLst/>
                          </a:prstGeom>
                        </pic:spPr>
                      </pic:pic>
                    </a:graphicData>
                  </a:graphic>
                </wp:inline>
              </w:drawing>
            </w:r>
          </w:p>
          <w:p w14:paraId="1CBAE217">
            <w:pPr>
              <w:spacing w:line="311" w:lineRule="auto"/>
              <w:rPr>
                <w:rFonts w:ascii="Arial"/>
                <w:sz w:val="21"/>
              </w:rPr>
            </w:pPr>
          </w:p>
          <w:p w14:paraId="0A414F33">
            <w:pPr>
              <w:spacing w:line="311" w:lineRule="auto"/>
              <w:rPr>
                <w:rFonts w:ascii="Arial"/>
                <w:sz w:val="21"/>
              </w:rPr>
            </w:pPr>
          </w:p>
          <w:p w14:paraId="3F2D422A">
            <w:pPr>
              <w:spacing w:line="312" w:lineRule="auto"/>
              <w:rPr>
                <w:rFonts w:ascii="Arial"/>
                <w:sz w:val="21"/>
              </w:rPr>
            </w:pPr>
          </w:p>
          <w:p w14:paraId="17B39C95">
            <w:pPr>
              <w:spacing w:line="251" w:lineRule="exact"/>
              <w:ind w:firstLine="6277"/>
              <w:textAlignment w:val="center"/>
            </w:pPr>
            <w:r>
              <w:drawing>
                <wp:inline distT="0" distB="0" distL="0" distR="0">
                  <wp:extent cx="159385" cy="15938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499"/>
                          <a:stretch>
                            <a:fillRect/>
                          </a:stretch>
                        </pic:blipFill>
                        <pic:spPr>
                          <a:xfrm>
                            <a:off x="0" y="0"/>
                            <a:ext cx="159562" cy="159562"/>
                          </a:xfrm>
                          <a:prstGeom prst="rect">
                            <a:avLst/>
                          </a:prstGeom>
                        </pic:spPr>
                      </pic:pic>
                    </a:graphicData>
                  </a:graphic>
                </wp:inline>
              </w:drawing>
            </w:r>
          </w:p>
          <w:p w14:paraId="3F14BF31">
            <w:pPr>
              <w:spacing w:before="98" w:line="592" w:lineRule="exact"/>
              <w:ind w:firstLine="5407"/>
              <w:textAlignment w:val="center"/>
            </w:pPr>
            <w:r>
              <w:drawing>
                <wp:inline distT="0" distB="0" distL="0" distR="0">
                  <wp:extent cx="388620" cy="3752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00"/>
                          <a:stretch>
                            <a:fillRect/>
                          </a:stretch>
                        </pic:blipFill>
                        <pic:spPr>
                          <a:xfrm>
                            <a:off x="0" y="0"/>
                            <a:ext cx="388620" cy="375513"/>
                          </a:xfrm>
                          <a:prstGeom prst="rect">
                            <a:avLst/>
                          </a:prstGeom>
                        </pic:spPr>
                      </pic:pic>
                    </a:graphicData>
                  </a:graphic>
                </wp:inline>
              </w:drawing>
            </w:r>
          </w:p>
          <w:p w14:paraId="3D816996">
            <w:pPr>
              <w:spacing w:line="290" w:lineRule="auto"/>
              <w:rPr>
                <w:rFonts w:ascii="Arial"/>
                <w:sz w:val="21"/>
              </w:rPr>
            </w:pPr>
          </w:p>
          <w:p w14:paraId="6CD8666E">
            <w:pPr>
              <w:spacing w:line="291" w:lineRule="auto"/>
              <w:rPr>
                <w:rFonts w:ascii="Arial"/>
                <w:sz w:val="21"/>
              </w:rPr>
            </w:pPr>
          </w:p>
          <w:p w14:paraId="226AC41A">
            <w:pPr>
              <w:spacing w:line="327" w:lineRule="exact"/>
              <w:ind w:firstLine="10848"/>
              <w:textAlignment w:val="center"/>
            </w:pPr>
            <w:r>
              <w:drawing>
                <wp:inline distT="0" distB="0" distL="0" distR="0">
                  <wp:extent cx="206375" cy="20701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501"/>
                          <a:stretch>
                            <a:fillRect/>
                          </a:stretch>
                        </pic:blipFill>
                        <pic:spPr>
                          <a:xfrm>
                            <a:off x="0" y="0"/>
                            <a:ext cx="206857" cy="207607"/>
                          </a:xfrm>
                          <a:prstGeom prst="rect">
                            <a:avLst/>
                          </a:prstGeom>
                        </pic:spPr>
                      </pic:pic>
                    </a:graphicData>
                  </a:graphic>
                </wp:inline>
              </w:drawing>
            </w:r>
          </w:p>
          <w:p w14:paraId="063ABC32"/>
          <w:p w14:paraId="285D3D1C"/>
          <w:p w14:paraId="10480C19"/>
          <w:p w14:paraId="00678FA4"/>
          <w:p w14:paraId="25133E6A">
            <w:pPr>
              <w:spacing w:line="96" w:lineRule="exact"/>
            </w:pPr>
          </w:p>
          <w:tbl>
            <w:tblPr>
              <w:tblStyle w:val="4"/>
              <w:tblW w:w="2913" w:type="dxa"/>
              <w:tblInd w:w="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913"/>
            </w:tblGrid>
            <w:tr w14:paraId="6096DFB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992" w:hRule="atLeast"/>
              </w:trPr>
              <w:tc>
                <w:tcPr>
                  <w:tcW w:w="2913" w:type="dxa"/>
                  <w:shd w:val="clear" w:color="auto" w:fill="FFFFFF"/>
                  <w:vAlign w:val="top"/>
                </w:tcPr>
                <w:p w14:paraId="15CCAEAB">
                  <w:pPr>
                    <w:spacing w:before="129" w:line="229" w:lineRule="auto"/>
                    <w:ind w:left="1093"/>
                    <w:rPr>
                      <w:rFonts w:ascii="宋体" w:hAnsi="宋体" w:eastAsia="宋体" w:cs="宋体"/>
                      <w:sz w:val="20"/>
                      <w:szCs w:val="20"/>
                    </w:rPr>
                  </w:pPr>
                  <w:r>
                    <w:drawing>
                      <wp:anchor distT="0" distB="0" distL="0" distR="0" simplePos="0" relativeHeight="251887616" behindDoc="1" locked="0" layoutInCell="1" allowOverlap="1">
                        <wp:simplePos x="0" y="0"/>
                        <wp:positionH relativeFrom="column">
                          <wp:posOffset>-12700</wp:posOffset>
                        </wp:positionH>
                        <wp:positionV relativeFrom="paragraph">
                          <wp:posOffset>-3457575</wp:posOffset>
                        </wp:positionV>
                        <wp:extent cx="8858885" cy="473646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02"/>
                                <a:stretch>
                                  <a:fillRect/>
                                </a:stretch>
                              </pic:blipFill>
                              <pic:spPr>
                                <a:xfrm>
                                  <a:off x="0" y="0"/>
                                  <a:ext cx="8859011" cy="4736591"/>
                                </a:xfrm>
                                <a:prstGeom prst="rect">
                                  <a:avLst/>
                                </a:prstGeom>
                              </pic:spPr>
                            </pic:pic>
                          </a:graphicData>
                        </a:graphic>
                      </wp:anchor>
                    </w:drawing>
                  </w:r>
                  <w:r>
                    <w:rPr>
                      <w:rFonts w:ascii="宋体" w:hAnsi="宋体" w:eastAsia="宋体" w:cs="宋体"/>
                      <w:spacing w:val="1"/>
                      <w:sz w:val="20"/>
                      <w:szCs w:val="20"/>
                      <w:u w:val="single" w:color="auto"/>
                      <w14:textOutline w14:w="3795" w14:cap="sq" w14:cmpd="sng">
                        <w14:solidFill>
                          <w14:srgbClr w14:val="000000"/>
                        </w14:solidFill>
                        <w14:prstDash w14:val="solid"/>
                        <w14:bevel/>
                      </w14:textOutline>
                    </w:rPr>
                    <w:t>图</w:t>
                  </w:r>
                  <w:r>
                    <w:rPr>
                      <w:rFonts w:ascii="宋体" w:hAnsi="宋体" w:eastAsia="宋体" w:cs="宋体"/>
                      <w:spacing w:val="1"/>
                      <w:sz w:val="20"/>
                      <w:szCs w:val="20"/>
                      <w:u w:val="single" w:color="auto"/>
                    </w:rPr>
                    <w:t xml:space="preserve">   </w:t>
                  </w:r>
                  <w:r>
                    <w:rPr>
                      <w:rFonts w:ascii="宋体" w:hAnsi="宋体" w:eastAsia="宋体" w:cs="宋体"/>
                      <w:spacing w:val="1"/>
                      <w:sz w:val="20"/>
                      <w:szCs w:val="20"/>
                      <w:u w:val="single" w:color="auto"/>
                      <w14:textOutline w14:w="3795" w14:cap="sq" w14:cmpd="sng">
                        <w14:solidFill>
                          <w14:srgbClr w14:val="000000"/>
                        </w14:solidFill>
                        <w14:prstDash w14:val="solid"/>
                        <w14:bevel/>
                      </w14:textOutline>
                    </w:rPr>
                    <w:t>例</w:t>
                  </w:r>
                </w:p>
                <w:p w14:paraId="59D85796">
                  <w:pPr>
                    <w:spacing w:before="28" w:line="241" w:lineRule="auto"/>
                    <w:ind w:left="234"/>
                    <w:rPr>
                      <w:rFonts w:ascii="宋体" w:hAnsi="宋体" w:eastAsia="宋体" w:cs="宋体"/>
                      <w:sz w:val="20"/>
                      <w:szCs w:val="20"/>
                    </w:rPr>
                  </w:pPr>
                  <w:r>
                    <w:rPr>
                      <w:rFonts w:ascii="宋体" w:hAnsi="宋体" w:eastAsia="宋体" w:cs="宋体"/>
                      <w:position w:val="-1"/>
                      <w:sz w:val="20"/>
                      <w:szCs w:val="20"/>
                    </w:rPr>
                    <w:drawing>
                      <wp:inline distT="0" distB="0" distL="0" distR="0">
                        <wp:extent cx="130175" cy="131445"/>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503"/>
                                <a:stretch>
                                  <a:fillRect/>
                                </a:stretch>
                              </pic:blipFill>
                              <pic:spPr>
                                <a:xfrm>
                                  <a:off x="0" y="0"/>
                                  <a:ext cx="130175" cy="131445"/>
                                </a:xfrm>
                                <a:prstGeom prst="rect">
                                  <a:avLst/>
                                </a:prstGeom>
                              </pic:spPr>
                            </pic:pic>
                          </a:graphicData>
                        </a:graphic>
                      </wp:inline>
                    </w:drawing>
                  </w:r>
                  <w:r>
                    <w:rPr>
                      <w:rFonts w:ascii="宋体" w:hAnsi="宋体" w:eastAsia="宋体" w:cs="宋体"/>
                      <w:spacing w:val="7"/>
                      <w:sz w:val="20"/>
                      <w:szCs w:val="20"/>
                    </w:rPr>
                    <w:t xml:space="preserve"> </w:t>
                  </w:r>
                  <w:r>
                    <w:rPr>
                      <w:rFonts w:ascii="宋体" w:hAnsi="宋体" w:eastAsia="宋体" w:cs="宋体"/>
                      <w:spacing w:val="6"/>
                      <w:sz w:val="20"/>
                      <w:szCs w:val="20"/>
                    </w:rPr>
                    <w:t>建设项目所在地</w:t>
                  </w:r>
                </w:p>
                <w:p w14:paraId="2B5D74F9">
                  <w:pPr>
                    <w:tabs>
                      <w:tab w:val="left" w:pos="255"/>
                    </w:tabs>
                    <w:spacing w:before="64" w:line="279" w:lineRule="auto"/>
                    <w:ind w:left="216" w:right="265" w:firstLine="28"/>
                    <w:rPr>
                      <w:rFonts w:ascii="宋体" w:hAnsi="宋体" w:eastAsia="宋体" w:cs="宋体"/>
                      <w:sz w:val="20"/>
                      <w:szCs w:val="20"/>
                    </w:rPr>
                  </w:pPr>
                  <w:r>
                    <w:rPr>
                      <w:rFonts w:ascii="宋体" w:hAnsi="宋体" w:eastAsia="宋体" w:cs="宋体"/>
                      <w:position w:val="-1"/>
                      <w:sz w:val="20"/>
                      <w:szCs w:val="20"/>
                    </w:rPr>
                    <w:drawing>
                      <wp:inline distT="0" distB="0" distL="0" distR="0">
                        <wp:extent cx="117475" cy="11747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504"/>
                                <a:stretch>
                                  <a:fillRect/>
                                </a:stretch>
                              </pic:blipFill>
                              <pic:spPr>
                                <a:xfrm>
                                  <a:off x="0" y="0"/>
                                  <a:ext cx="117475" cy="117475"/>
                                </a:xfrm>
                                <a:prstGeom prst="rect">
                                  <a:avLst/>
                                </a:prstGeom>
                              </pic:spPr>
                            </pic:pic>
                          </a:graphicData>
                        </a:graphic>
                      </wp:inline>
                    </w:drawing>
                  </w:r>
                  <w:r>
                    <w:rPr>
                      <w:rFonts w:ascii="宋体" w:hAnsi="宋体" w:eastAsia="宋体" w:cs="宋体"/>
                      <w:spacing w:val="8"/>
                      <w:sz w:val="20"/>
                      <w:szCs w:val="20"/>
                    </w:rPr>
                    <w:t xml:space="preserve"> 空气环境质量监测</w:t>
                  </w:r>
                  <w:r>
                    <w:rPr>
                      <w:rFonts w:ascii="宋体" w:hAnsi="宋体" w:eastAsia="宋体" w:cs="宋体"/>
                      <w:spacing w:val="7"/>
                      <w:sz w:val="20"/>
                      <w:szCs w:val="20"/>
                    </w:rPr>
                    <w:t>点</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z w:val="20"/>
                      <w:szCs w:val="20"/>
                    </w:rPr>
                    <w:drawing>
                      <wp:inline distT="0" distB="0" distL="0" distR="0">
                        <wp:extent cx="123190" cy="123190"/>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505"/>
                                <a:stretch>
                                  <a:fillRect/>
                                </a:stretch>
                              </pic:blipFill>
                              <pic:spPr>
                                <a:xfrm>
                                  <a:off x="0" y="0"/>
                                  <a:ext cx="123532" cy="123368"/>
                                </a:xfrm>
                                <a:prstGeom prst="rect">
                                  <a:avLst/>
                                </a:prstGeom>
                              </pic:spPr>
                            </pic:pic>
                          </a:graphicData>
                        </a:graphic>
                      </wp:inline>
                    </w:drawing>
                  </w:r>
                  <w:r>
                    <w:rPr>
                      <w:rFonts w:ascii="宋体" w:hAnsi="宋体" w:eastAsia="宋体" w:cs="宋体"/>
                      <w:spacing w:val="9"/>
                      <w:sz w:val="20"/>
                      <w:szCs w:val="20"/>
                    </w:rPr>
                    <w:t xml:space="preserve"> </w:t>
                  </w:r>
                  <w:r>
                    <w:rPr>
                      <w:rFonts w:ascii="宋体" w:hAnsi="宋体" w:eastAsia="宋体" w:cs="宋体"/>
                      <w:spacing w:val="6"/>
                      <w:sz w:val="20"/>
                      <w:szCs w:val="20"/>
                    </w:rPr>
                    <w:t>声环境质量监测点</w:t>
                  </w:r>
                  <w:r>
                    <w:rPr>
                      <w:rFonts w:ascii="宋体" w:hAnsi="宋体" w:eastAsia="宋体" w:cs="宋体"/>
                      <w:sz w:val="20"/>
                      <w:szCs w:val="20"/>
                    </w:rPr>
                    <w:t xml:space="preserve">    </w:t>
                  </w:r>
                  <w:r>
                    <w:rPr>
                      <w:rFonts w:ascii="宋体" w:hAnsi="宋体" w:eastAsia="宋体" w:cs="宋体"/>
                      <w:position w:val="-4"/>
                      <w:sz w:val="20"/>
                      <w:szCs w:val="20"/>
                    </w:rPr>
                    <w:drawing>
                      <wp:inline distT="0" distB="0" distL="0" distR="0">
                        <wp:extent cx="171450" cy="1720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506"/>
                                <a:stretch>
                                  <a:fillRect/>
                                </a:stretch>
                              </pic:blipFill>
                              <pic:spPr>
                                <a:xfrm>
                                  <a:off x="0" y="0"/>
                                  <a:ext cx="171450" cy="172199"/>
                                </a:xfrm>
                                <a:prstGeom prst="rect">
                                  <a:avLst/>
                                </a:prstGeom>
                              </pic:spPr>
                            </pic:pic>
                          </a:graphicData>
                        </a:graphic>
                      </wp:inline>
                    </w:drawing>
                  </w:r>
                  <w:r>
                    <w:rPr>
                      <w:rFonts w:ascii="宋体" w:hAnsi="宋体" w:eastAsia="宋体" w:cs="宋体"/>
                      <w:spacing w:val="14"/>
                      <w:sz w:val="20"/>
                      <w:szCs w:val="20"/>
                    </w:rPr>
                    <w:t>地下水环境质量监测点</w:t>
                  </w:r>
                </w:p>
                <w:p w14:paraId="780E65E2">
                  <w:pPr>
                    <w:spacing w:line="228" w:lineRule="auto"/>
                    <w:ind w:left="225"/>
                    <w:rPr>
                      <w:rFonts w:ascii="宋体" w:hAnsi="宋体" w:eastAsia="宋体" w:cs="宋体"/>
                      <w:sz w:val="20"/>
                      <w:szCs w:val="20"/>
                    </w:rPr>
                  </w:pPr>
                  <w:r>
                    <w:rPr>
                      <w:rFonts w:ascii="宋体" w:hAnsi="宋体" w:eastAsia="宋体" w:cs="宋体"/>
                      <w:position w:val="-1"/>
                      <w:sz w:val="20"/>
                      <w:szCs w:val="20"/>
                    </w:rPr>
                    <w:drawing>
                      <wp:inline distT="0" distB="0" distL="0" distR="0">
                        <wp:extent cx="117475" cy="11747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507"/>
                                <a:stretch>
                                  <a:fillRect/>
                                </a:stretch>
                              </pic:blipFill>
                              <pic:spPr>
                                <a:xfrm>
                                  <a:off x="0" y="0"/>
                                  <a:ext cx="117475" cy="117475"/>
                                </a:xfrm>
                                <a:prstGeom prst="rect">
                                  <a:avLst/>
                                </a:prstGeom>
                              </pic:spPr>
                            </pic:pic>
                          </a:graphicData>
                        </a:graphic>
                      </wp:inline>
                    </w:drawing>
                  </w:r>
                  <w:r>
                    <w:rPr>
                      <w:rFonts w:ascii="宋体" w:hAnsi="宋体" w:eastAsia="宋体" w:cs="宋体"/>
                      <w:spacing w:val="17"/>
                      <w:sz w:val="20"/>
                      <w:szCs w:val="20"/>
                    </w:rPr>
                    <w:t xml:space="preserve"> </w:t>
                  </w:r>
                  <w:r>
                    <w:rPr>
                      <w:rFonts w:ascii="宋体" w:hAnsi="宋体" w:eastAsia="宋体" w:cs="宋体"/>
                      <w:spacing w:val="10"/>
                      <w:sz w:val="20"/>
                      <w:szCs w:val="20"/>
                    </w:rPr>
                    <w:t>土壤环境质量监测点</w:t>
                  </w:r>
                </w:p>
              </w:tc>
            </w:tr>
          </w:tbl>
          <w:p w14:paraId="6B289104">
            <w:pPr>
              <w:spacing w:line="14" w:lineRule="auto"/>
              <w:rPr>
                <w:rFonts w:ascii="Arial"/>
                <w:sz w:val="2"/>
              </w:rPr>
            </w:pPr>
          </w:p>
        </w:tc>
      </w:tr>
    </w:tbl>
    <w:p w14:paraId="7354EDE9">
      <w:pPr>
        <w:rPr>
          <w:rFonts w:ascii="Arial"/>
          <w:sz w:val="21"/>
        </w:rPr>
      </w:pPr>
    </w:p>
    <w:p w14:paraId="3CA842C7">
      <w:pPr>
        <w:sectPr>
          <w:headerReference r:id="rId194" w:type="default"/>
          <w:footerReference r:id="rId195" w:type="default"/>
          <w:pgSz w:w="16839" w:h="11906"/>
          <w:pgMar w:top="1132" w:right="1341" w:bottom="1182" w:left="1425" w:header="878" w:footer="1022" w:gutter="0"/>
          <w:cols w:space="720" w:num="1"/>
        </w:sectPr>
      </w:pPr>
    </w:p>
    <w:p w14:paraId="217A90C7">
      <w:pPr>
        <w:spacing w:line="422" w:lineRule="auto"/>
        <w:rPr>
          <w:rFonts w:ascii="Arial"/>
          <w:sz w:val="21"/>
        </w:rPr>
      </w:pPr>
      <w:r>
        <w:pict>
          <v:shape id="_x0000_s1236" o:spid="_x0000_s1236" style="position:absolute;left:0pt;margin-left:90pt;margin-top:57.35pt;height:0.75pt;width:415.3pt;mso-position-horizontal-relative:page;mso-position-vertical-relative:page;z-index:251894784;mso-width-relative:page;mso-height-relative:page;" fillcolor="#000000" filled="t" stroked="f" coordsize="8305,15" o:allowincell="f" path="m0,0l8305,0,8305,14,0,14,0,0xe">
            <v:path/>
            <v:fill on="t" focussize="0,0"/>
            <v:stroke on="f"/>
            <v:imagedata o:title=""/>
            <o:lock v:ext="edit"/>
          </v:shape>
        </w:pict>
      </w:r>
    </w:p>
    <w:p w14:paraId="6467E0BE">
      <w:pPr>
        <w:spacing w:before="114" w:line="223" w:lineRule="auto"/>
        <w:ind w:left="26"/>
        <w:outlineLvl w:val="0"/>
        <w:rPr>
          <w:rFonts w:ascii="宋体" w:hAnsi="宋体" w:eastAsia="宋体" w:cs="宋体"/>
          <w:sz w:val="35"/>
          <w:szCs w:val="35"/>
        </w:rPr>
      </w:pPr>
      <w:bookmarkStart w:id="22" w:name="_bookmark23"/>
      <w:bookmarkEnd w:id="22"/>
      <w:r>
        <w:rPr>
          <w:rFonts w:ascii="Times New Roman" w:hAnsi="Times New Roman" w:eastAsia="Times New Roman" w:cs="Times New Roman"/>
          <w:b/>
          <w:bCs/>
          <w:spacing w:val="11"/>
          <w:sz w:val="35"/>
          <w:szCs w:val="35"/>
        </w:rPr>
        <w:t>5</w:t>
      </w:r>
      <w:r>
        <w:rPr>
          <w:rFonts w:ascii="Times New Roman" w:hAnsi="Times New Roman" w:eastAsia="Times New Roman" w:cs="Times New Roman"/>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环境影响预测与评价</w:t>
      </w:r>
    </w:p>
    <w:p w14:paraId="1538B571">
      <w:pPr>
        <w:spacing w:before="248" w:line="223" w:lineRule="auto"/>
        <w:ind w:left="24"/>
        <w:outlineLvl w:val="1"/>
        <w:rPr>
          <w:rFonts w:ascii="宋体" w:hAnsi="宋体" w:eastAsia="宋体" w:cs="宋体"/>
          <w:sz w:val="31"/>
          <w:szCs w:val="31"/>
        </w:rPr>
      </w:pPr>
      <w:bookmarkStart w:id="23" w:name="_bookmark24"/>
      <w:bookmarkEnd w:id="23"/>
      <w:r>
        <w:rPr>
          <w:rFonts w:ascii="Times New Roman" w:hAnsi="Times New Roman" w:eastAsia="Times New Roman" w:cs="Times New Roman"/>
          <w:b/>
          <w:bCs/>
          <w:spacing w:val="8"/>
          <w:sz w:val="31"/>
          <w:szCs w:val="31"/>
        </w:rPr>
        <w:t>5.1</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施工期环境影响评</w:t>
      </w:r>
      <w:r>
        <w:rPr>
          <w:rFonts w:ascii="宋体" w:hAnsi="宋体" w:eastAsia="宋体" w:cs="宋体"/>
          <w:spacing w:val="7"/>
          <w:sz w:val="31"/>
          <w:szCs w:val="31"/>
          <w14:textOutline w14:w="5793" w14:cap="sq" w14:cmpd="sng">
            <w14:solidFill>
              <w14:srgbClr w14:val="000000"/>
            </w14:solidFill>
            <w14:prstDash w14:val="solid"/>
            <w14:bevel/>
          </w14:textOutline>
        </w:rPr>
        <w:t>价</w:t>
      </w:r>
    </w:p>
    <w:p w14:paraId="6AD3FF39">
      <w:pPr>
        <w:spacing w:before="278" w:line="226" w:lineRule="auto"/>
        <w:ind w:left="24"/>
        <w:outlineLvl w:val="2"/>
        <w:rPr>
          <w:rFonts w:ascii="宋体" w:hAnsi="宋体" w:eastAsia="宋体" w:cs="宋体"/>
          <w:sz w:val="29"/>
          <w:szCs w:val="29"/>
        </w:rPr>
      </w:pPr>
      <w:r>
        <w:rPr>
          <w:rFonts w:ascii="Times New Roman" w:hAnsi="Times New Roman" w:eastAsia="Times New Roman" w:cs="Times New Roman"/>
          <w:b/>
          <w:bCs/>
          <w:spacing w:val="8"/>
          <w:sz w:val="29"/>
          <w:szCs w:val="29"/>
        </w:rPr>
        <w:t>5.1.1</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施工期环境空气影响分</w:t>
      </w:r>
      <w:r>
        <w:rPr>
          <w:rFonts w:ascii="宋体" w:hAnsi="宋体" w:eastAsia="宋体" w:cs="宋体"/>
          <w:spacing w:val="5"/>
          <w:sz w:val="29"/>
          <w:szCs w:val="29"/>
          <w14:textOutline w14:w="5448" w14:cap="sq" w14:cmpd="sng">
            <w14:solidFill>
              <w14:srgbClr w14:val="000000"/>
            </w14:solidFill>
            <w14:prstDash w14:val="solid"/>
            <w14:bevel/>
          </w14:textOutline>
        </w:rPr>
        <w:t>析</w:t>
      </w:r>
    </w:p>
    <w:p w14:paraId="5AADEE16">
      <w:pPr>
        <w:spacing w:line="252" w:lineRule="auto"/>
        <w:rPr>
          <w:rFonts w:ascii="Arial"/>
          <w:sz w:val="21"/>
        </w:rPr>
      </w:pPr>
    </w:p>
    <w:p w14:paraId="5C0ED3E1">
      <w:pPr>
        <w:spacing w:before="75" w:line="389" w:lineRule="auto"/>
        <w:ind w:left="24" w:right="23" w:firstLine="482"/>
        <w:rPr>
          <w:rFonts w:ascii="宋体" w:hAnsi="宋体" w:eastAsia="宋体" w:cs="宋体"/>
          <w:sz w:val="23"/>
          <w:szCs w:val="23"/>
        </w:rPr>
      </w:pPr>
      <w:r>
        <w:rPr>
          <w:rFonts w:ascii="宋体" w:hAnsi="宋体" w:eastAsia="宋体" w:cs="宋体"/>
          <w:spacing w:val="12"/>
          <w:sz w:val="23"/>
          <w:szCs w:val="23"/>
        </w:rPr>
        <w:t>项目施工</w:t>
      </w:r>
      <w:r>
        <w:rPr>
          <w:rFonts w:ascii="宋体" w:hAnsi="宋体" w:eastAsia="宋体" w:cs="宋体"/>
          <w:spacing w:val="7"/>
          <w:sz w:val="23"/>
          <w:szCs w:val="23"/>
        </w:rPr>
        <w:t>期</w:t>
      </w:r>
      <w:r>
        <w:rPr>
          <w:rFonts w:ascii="宋体" w:hAnsi="宋体" w:eastAsia="宋体" w:cs="宋体"/>
          <w:spacing w:val="6"/>
          <w:sz w:val="23"/>
          <w:szCs w:val="23"/>
        </w:rPr>
        <w:t>大气污染源主要为扬尘源和机动车尾气污染源。扬尘源主要来自</w:t>
      </w:r>
      <w:r>
        <w:rPr>
          <w:rFonts w:ascii="宋体" w:hAnsi="宋体" w:eastAsia="宋体" w:cs="宋体"/>
          <w:sz w:val="23"/>
          <w:szCs w:val="23"/>
        </w:rPr>
        <w:t xml:space="preserve"> </w:t>
      </w:r>
      <w:r>
        <w:rPr>
          <w:rFonts w:ascii="宋体" w:hAnsi="宋体" w:eastAsia="宋体" w:cs="宋体"/>
          <w:spacing w:val="4"/>
          <w:sz w:val="23"/>
          <w:szCs w:val="23"/>
        </w:rPr>
        <w:t>土方的</w:t>
      </w:r>
      <w:r>
        <w:rPr>
          <w:rFonts w:ascii="宋体" w:hAnsi="宋体" w:eastAsia="宋体" w:cs="宋体"/>
          <w:spacing w:val="3"/>
          <w:sz w:val="23"/>
          <w:szCs w:val="23"/>
        </w:rPr>
        <w:t>挖</w:t>
      </w:r>
      <w:r>
        <w:rPr>
          <w:rFonts w:ascii="宋体" w:hAnsi="宋体" w:eastAsia="宋体" w:cs="宋体"/>
          <w:spacing w:val="2"/>
          <w:sz w:val="23"/>
          <w:szCs w:val="23"/>
        </w:rPr>
        <w:t>掘、运输及现场堆放；建筑材料的运输及堆放；施工垃圾的运输及堆放，</w:t>
      </w:r>
      <w:r>
        <w:rPr>
          <w:rFonts w:ascii="宋体" w:hAnsi="宋体" w:eastAsia="宋体" w:cs="宋体"/>
          <w:sz w:val="23"/>
          <w:szCs w:val="23"/>
        </w:rPr>
        <w:t xml:space="preserve"> </w:t>
      </w:r>
      <w:r>
        <w:rPr>
          <w:rFonts w:ascii="宋体" w:hAnsi="宋体" w:eastAsia="宋体" w:cs="宋体"/>
          <w:spacing w:val="20"/>
          <w:sz w:val="23"/>
          <w:szCs w:val="23"/>
        </w:rPr>
        <w:t>以及</w:t>
      </w:r>
      <w:r>
        <w:rPr>
          <w:rFonts w:ascii="宋体" w:hAnsi="宋体" w:eastAsia="宋体" w:cs="宋体"/>
          <w:spacing w:val="17"/>
          <w:sz w:val="23"/>
          <w:szCs w:val="23"/>
        </w:rPr>
        <w:t>裸</w:t>
      </w:r>
      <w:r>
        <w:rPr>
          <w:rFonts w:ascii="宋体" w:hAnsi="宋体" w:eastAsia="宋体" w:cs="宋体"/>
          <w:spacing w:val="10"/>
          <w:sz w:val="23"/>
          <w:szCs w:val="23"/>
        </w:rPr>
        <w:t xml:space="preserve">露地面的风致扬尘，主要污染物是 </w:t>
      </w:r>
      <w:r>
        <w:rPr>
          <w:rFonts w:ascii="Times New Roman" w:hAnsi="Times New Roman" w:eastAsia="Times New Roman" w:cs="Times New Roman"/>
          <w:sz w:val="23"/>
          <w:szCs w:val="23"/>
        </w:rPr>
        <w:t>TSP</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等。机动车尾气污染源主要是施</w:t>
      </w:r>
      <w:r>
        <w:rPr>
          <w:rFonts w:ascii="宋体" w:hAnsi="宋体" w:eastAsia="宋体" w:cs="宋体"/>
          <w:sz w:val="23"/>
          <w:szCs w:val="23"/>
        </w:rPr>
        <w:t xml:space="preserve"> </w:t>
      </w:r>
      <w:r>
        <w:rPr>
          <w:rFonts w:ascii="宋体" w:hAnsi="宋体" w:eastAsia="宋体" w:cs="宋体"/>
          <w:spacing w:val="8"/>
          <w:sz w:val="23"/>
          <w:szCs w:val="23"/>
        </w:rPr>
        <w:t>工机</w:t>
      </w:r>
      <w:r>
        <w:rPr>
          <w:rFonts w:ascii="宋体" w:hAnsi="宋体" w:eastAsia="宋体" w:cs="宋体"/>
          <w:spacing w:val="4"/>
          <w:sz w:val="23"/>
          <w:szCs w:val="23"/>
        </w:rPr>
        <w:t xml:space="preserve">械和车辆排放的尾气，主要污染物是 </w:t>
      </w:r>
      <w:r>
        <w:rPr>
          <w:rFonts w:ascii="Times New Roman" w:hAnsi="Times New Roman" w:eastAsia="Times New Roman" w:cs="Times New Roman"/>
          <w:sz w:val="23"/>
          <w:szCs w:val="23"/>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4"/>
          <w:position w:val="-1"/>
          <w:sz w:val="15"/>
          <w:szCs w:val="15"/>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THC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。主要的大气污染源</w:t>
      </w:r>
      <w:r>
        <w:rPr>
          <w:rFonts w:ascii="宋体" w:hAnsi="宋体" w:eastAsia="宋体" w:cs="宋体"/>
          <w:sz w:val="23"/>
          <w:szCs w:val="23"/>
        </w:rPr>
        <w:t xml:space="preserve"> </w:t>
      </w:r>
      <w:r>
        <w:rPr>
          <w:rFonts w:ascii="宋体" w:hAnsi="宋体" w:eastAsia="宋体" w:cs="宋体"/>
          <w:spacing w:val="3"/>
          <w:sz w:val="23"/>
          <w:szCs w:val="23"/>
        </w:rPr>
        <w:t>如下：</w:t>
      </w:r>
    </w:p>
    <w:p w14:paraId="794B9EA6">
      <w:pPr>
        <w:spacing w:before="135" w:line="229" w:lineRule="auto"/>
        <w:ind w:left="514"/>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1</w:t>
      </w:r>
      <w:r>
        <w:rPr>
          <w:rFonts w:ascii="宋体" w:hAnsi="宋体" w:eastAsia="宋体" w:cs="宋体"/>
          <w:spacing w:val="12"/>
          <w:sz w:val="23"/>
          <w:szCs w:val="23"/>
        </w:rPr>
        <w:t>) 土方的挖掘、堆放、清运、回填和场地平整等过程产生的扬尘；</w:t>
      </w:r>
    </w:p>
    <w:p w14:paraId="57848C6A">
      <w:pPr>
        <w:spacing w:line="274" w:lineRule="auto"/>
        <w:rPr>
          <w:rFonts w:ascii="Arial"/>
          <w:sz w:val="21"/>
        </w:rPr>
      </w:pPr>
    </w:p>
    <w:p w14:paraId="6B047C66">
      <w:pPr>
        <w:spacing w:before="75" w:line="393" w:lineRule="auto"/>
        <w:ind w:left="24" w:right="89" w:firstLine="490"/>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建筑材料如水泥、石灰、砂子等在其装卸、运输、堆放等过程中，因</w:t>
      </w:r>
      <w:r>
        <w:rPr>
          <w:rFonts w:ascii="宋体" w:hAnsi="宋体" w:eastAsia="宋体" w:cs="宋体"/>
          <w:sz w:val="23"/>
          <w:szCs w:val="23"/>
        </w:rPr>
        <w:t xml:space="preserve"> </w:t>
      </w:r>
      <w:r>
        <w:rPr>
          <w:rFonts w:ascii="宋体" w:hAnsi="宋体" w:eastAsia="宋体" w:cs="宋体"/>
          <w:spacing w:val="13"/>
          <w:sz w:val="23"/>
          <w:szCs w:val="23"/>
        </w:rPr>
        <w:t>风</w:t>
      </w:r>
      <w:r>
        <w:rPr>
          <w:rFonts w:ascii="宋体" w:hAnsi="宋体" w:eastAsia="宋体" w:cs="宋体"/>
          <w:spacing w:val="8"/>
          <w:sz w:val="23"/>
          <w:szCs w:val="23"/>
        </w:rPr>
        <w:t>力作用而产生的扬尘污染；</w:t>
      </w:r>
    </w:p>
    <w:p w14:paraId="72AE73BB">
      <w:pPr>
        <w:spacing w:before="136" w:line="227" w:lineRule="auto"/>
        <w:ind w:left="514"/>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3</w:t>
      </w:r>
      <w:r>
        <w:rPr>
          <w:rFonts w:ascii="宋体" w:hAnsi="宋体" w:eastAsia="宋体" w:cs="宋体"/>
          <w:spacing w:val="13"/>
          <w:sz w:val="23"/>
          <w:szCs w:val="23"/>
        </w:rPr>
        <w:t>) 施工机械和运输车辆往来造成地面扬尘；</w:t>
      </w:r>
    </w:p>
    <w:p w14:paraId="2A42A4FD">
      <w:pPr>
        <w:spacing w:line="277" w:lineRule="auto"/>
        <w:rPr>
          <w:rFonts w:ascii="Arial"/>
          <w:sz w:val="21"/>
        </w:rPr>
      </w:pPr>
    </w:p>
    <w:p w14:paraId="26CB6225">
      <w:pPr>
        <w:spacing w:before="76" w:line="227" w:lineRule="auto"/>
        <w:ind w:left="514"/>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施工垃圾堆放及清运过程中产生的扬尘；</w:t>
      </w:r>
    </w:p>
    <w:p w14:paraId="2F676708">
      <w:pPr>
        <w:spacing w:line="275" w:lineRule="auto"/>
        <w:rPr>
          <w:rFonts w:ascii="Arial"/>
          <w:sz w:val="21"/>
        </w:rPr>
      </w:pPr>
    </w:p>
    <w:p w14:paraId="3E8C3F9D">
      <w:pPr>
        <w:spacing w:before="75" w:line="227" w:lineRule="auto"/>
        <w:ind w:left="514"/>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5</w:t>
      </w:r>
      <w:r>
        <w:rPr>
          <w:rFonts w:ascii="宋体" w:hAnsi="宋体" w:eastAsia="宋体" w:cs="宋体"/>
          <w:spacing w:val="9"/>
          <w:sz w:val="23"/>
          <w:szCs w:val="23"/>
        </w:rPr>
        <w:t>)</w:t>
      </w:r>
      <w:r>
        <w:rPr>
          <w:rFonts w:ascii="宋体" w:hAnsi="宋体" w:eastAsia="宋体" w:cs="宋体"/>
          <w:spacing w:val="6"/>
          <w:sz w:val="23"/>
          <w:szCs w:val="23"/>
        </w:rPr>
        <w:t xml:space="preserve"> 施工机械和运输车辆往来排放的主要污染物为 </w:t>
      </w:r>
      <w:r>
        <w:rPr>
          <w:rFonts w:ascii="Times New Roman" w:hAnsi="Times New Roman" w:eastAsia="Times New Roman" w:cs="Times New Roman"/>
          <w:sz w:val="23"/>
          <w:szCs w:val="23"/>
        </w:rPr>
        <w:t>NOx</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和烃类物等。</w:t>
      </w:r>
    </w:p>
    <w:p w14:paraId="318A6B91">
      <w:pPr>
        <w:spacing w:line="277" w:lineRule="auto"/>
        <w:rPr>
          <w:rFonts w:ascii="Arial"/>
          <w:sz w:val="21"/>
        </w:rPr>
      </w:pPr>
    </w:p>
    <w:p w14:paraId="0A3A85FD">
      <w:pPr>
        <w:spacing w:before="75" w:line="303" w:lineRule="exact"/>
        <w:ind w:left="522"/>
        <w:rPr>
          <w:rFonts w:ascii="宋体" w:hAnsi="宋体" w:eastAsia="宋体" w:cs="宋体"/>
          <w:sz w:val="23"/>
          <w:szCs w:val="23"/>
        </w:rPr>
      </w:pPr>
      <w:r>
        <w:rPr>
          <w:rFonts w:ascii="Times New Roman" w:hAnsi="Times New Roman" w:eastAsia="Times New Roman" w:cs="Times New Roman"/>
          <w:spacing w:val="-11"/>
          <w:position w:val="1"/>
          <w:sz w:val="23"/>
          <w:szCs w:val="23"/>
        </w:rPr>
        <w:t>1</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、扬尘</w:t>
      </w:r>
    </w:p>
    <w:p w14:paraId="62D5E639">
      <w:pPr>
        <w:spacing w:line="258" w:lineRule="auto"/>
        <w:rPr>
          <w:rFonts w:ascii="Arial"/>
          <w:sz w:val="21"/>
        </w:rPr>
      </w:pPr>
    </w:p>
    <w:p w14:paraId="25F25408">
      <w:pPr>
        <w:spacing w:before="76" w:line="389" w:lineRule="auto"/>
        <w:ind w:left="22" w:right="52" w:firstLine="480"/>
        <w:rPr>
          <w:rFonts w:ascii="宋体" w:hAnsi="宋体" w:eastAsia="宋体" w:cs="宋体"/>
          <w:sz w:val="23"/>
          <w:szCs w:val="23"/>
        </w:rPr>
      </w:pPr>
      <w:r>
        <w:rPr>
          <w:rFonts w:ascii="宋体" w:hAnsi="宋体" w:eastAsia="宋体" w:cs="宋体"/>
          <w:spacing w:val="7"/>
          <w:sz w:val="23"/>
          <w:szCs w:val="23"/>
        </w:rPr>
        <w:t>施工扬尘污染属低空面源污染，其影响范围有限，影响面主要为施工场地</w:t>
      </w:r>
      <w:r>
        <w:rPr>
          <w:rFonts w:ascii="宋体" w:hAnsi="宋体" w:eastAsia="宋体" w:cs="宋体"/>
          <w:spacing w:val="3"/>
          <w:sz w:val="23"/>
          <w:szCs w:val="23"/>
        </w:rPr>
        <w:t>附</w:t>
      </w:r>
      <w:r>
        <w:rPr>
          <w:rFonts w:ascii="宋体" w:hAnsi="宋体" w:eastAsia="宋体" w:cs="宋体"/>
          <w:sz w:val="23"/>
          <w:szCs w:val="23"/>
        </w:rPr>
        <w:t xml:space="preserve"> </w:t>
      </w:r>
      <w:r>
        <w:rPr>
          <w:rFonts w:ascii="宋体" w:hAnsi="宋体" w:eastAsia="宋体" w:cs="宋体"/>
          <w:spacing w:val="11"/>
          <w:sz w:val="23"/>
          <w:szCs w:val="23"/>
        </w:rPr>
        <w:t>近</w:t>
      </w:r>
      <w:r>
        <w:rPr>
          <w:rFonts w:ascii="宋体" w:hAnsi="宋体" w:eastAsia="宋体" w:cs="宋体"/>
          <w:spacing w:val="8"/>
          <w:sz w:val="23"/>
          <w:szCs w:val="23"/>
        </w:rPr>
        <w:t>区域。施工扬尘产生量受天气和施工场地状况及管理等多因素影响，变化大，</w:t>
      </w:r>
      <w:r>
        <w:rPr>
          <w:rFonts w:ascii="宋体" w:hAnsi="宋体" w:eastAsia="宋体" w:cs="宋体"/>
          <w:sz w:val="23"/>
          <w:szCs w:val="23"/>
        </w:rPr>
        <w:t xml:space="preserve"> </w:t>
      </w:r>
      <w:r>
        <w:rPr>
          <w:rFonts w:ascii="宋体" w:hAnsi="宋体" w:eastAsia="宋体" w:cs="宋体"/>
          <w:spacing w:val="9"/>
          <w:sz w:val="23"/>
          <w:szCs w:val="23"/>
        </w:rPr>
        <w:t>随</w:t>
      </w:r>
      <w:r>
        <w:rPr>
          <w:rFonts w:ascii="宋体" w:hAnsi="宋体" w:eastAsia="宋体" w:cs="宋体"/>
          <w:spacing w:val="7"/>
          <w:sz w:val="23"/>
          <w:szCs w:val="23"/>
        </w:rPr>
        <w:t>机性强，是一个复杂、较难定量的问题。本评价采用类比法，参考其他项目施</w:t>
      </w:r>
      <w:r>
        <w:rPr>
          <w:rFonts w:ascii="宋体" w:hAnsi="宋体" w:eastAsia="宋体" w:cs="宋体"/>
          <w:sz w:val="23"/>
          <w:szCs w:val="23"/>
        </w:rPr>
        <w:t xml:space="preserve"> </w:t>
      </w:r>
      <w:r>
        <w:rPr>
          <w:rFonts w:ascii="宋体" w:hAnsi="宋体" w:eastAsia="宋体" w:cs="宋体"/>
          <w:spacing w:val="13"/>
          <w:sz w:val="23"/>
          <w:szCs w:val="23"/>
        </w:rPr>
        <w:t>工</w:t>
      </w:r>
      <w:r>
        <w:rPr>
          <w:rFonts w:ascii="宋体" w:hAnsi="宋体" w:eastAsia="宋体" w:cs="宋体"/>
          <w:spacing w:val="8"/>
          <w:sz w:val="23"/>
          <w:szCs w:val="23"/>
        </w:rPr>
        <w:t>场地实测资料进行分析。</w:t>
      </w:r>
    </w:p>
    <w:p w14:paraId="52E73708">
      <w:pPr>
        <w:spacing w:before="135" w:line="394" w:lineRule="auto"/>
        <w:ind w:left="30" w:right="89" w:firstLine="474"/>
        <w:rPr>
          <w:rFonts w:ascii="宋体" w:hAnsi="宋体" w:eastAsia="宋体" w:cs="宋体"/>
          <w:sz w:val="23"/>
          <w:szCs w:val="23"/>
        </w:rPr>
      </w:pPr>
      <w:r>
        <w:rPr>
          <w:rFonts w:ascii="宋体" w:hAnsi="宋体" w:eastAsia="宋体" w:cs="宋体"/>
          <w:spacing w:val="22"/>
          <w:sz w:val="23"/>
          <w:szCs w:val="23"/>
        </w:rPr>
        <w:t>参</w:t>
      </w:r>
      <w:r>
        <w:rPr>
          <w:rFonts w:ascii="宋体" w:hAnsi="宋体" w:eastAsia="宋体" w:cs="宋体"/>
          <w:spacing w:val="21"/>
          <w:sz w:val="23"/>
          <w:szCs w:val="23"/>
        </w:rPr>
        <w:t>照</w:t>
      </w:r>
      <w:r>
        <w:rPr>
          <w:rFonts w:ascii="宋体" w:hAnsi="宋体" w:eastAsia="宋体" w:cs="宋体"/>
          <w:spacing w:val="11"/>
          <w:sz w:val="23"/>
          <w:szCs w:val="23"/>
        </w:rPr>
        <w:t xml:space="preserve">北京市环科院曾对 </w:t>
      </w:r>
      <w:r>
        <w:rPr>
          <w:rFonts w:ascii="Times New Roman" w:hAnsi="Times New Roman" w:eastAsia="Times New Roman" w:cs="Times New Roman"/>
          <w:spacing w:val="11"/>
          <w:sz w:val="23"/>
          <w:szCs w:val="23"/>
        </w:rPr>
        <w:t xml:space="preserve">7 </w:t>
      </w:r>
      <w:r>
        <w:rPr>
          <w:rFonts w:ascii="宋体" w:hAnsi="宋体" w:eastAsia="宋体" w:cs="宋体"/>
          <w:spacing w:val="11"/>
          <w:sz w:val="23"/>
          <w:szCs w:val="23"/>
        </w:rPr>
        <w:t>个建筑施工工地的扬尘情况进行了测定，结果如</w:t>
      </w:r>
      <w:r>
        <w:rPr>
          <w:rFonts w:ascii="宋体" w:hAnsi="宋体" w:eastAsia="宋体" w:cs="宋体"/>
          <w:sz w:val="23"/>
          <w:szCs w:val="23"/>
        </w:rPr>
        <w:t xml:space="preserve"> </w:t>
      </w:r>
      <w:r>
        <w:rPr>
          <w:rFonts w:ascii="宋体" w:hAnsi="宋体" w:eastAsia="宋体" w:cs="宋体"/>
          <w:spacing w:val="-4"/>
          <w:sz w:val="23"/>
          <w:szCs w:val="23"/>
        </w:rPr>
        <w:t>下</w:t>
      </w:r>
      <w:r>
        <w:rPr>
          <w:rFonts w:ascii="宋体" w:hAnsi="宋体" w:eastAsia="宋体" w:cs="宋体"/>
          <w:spacing w:val="-3"/>
          <w:sz w:val="23"/>
          <w:szCs w:val="23"/>
        </w:rPr>
        <w:t>：</w:t>
      </w:r>
    </w:p>
    <w:p w14:paraId="2C266D84">
      <w:pPr>
        <w:spacing w:before="91" w:line="323" w:lineRule="exact"/>
        <w:ind w:left="504"/>
        <w:rPr>
          <w:rFonts w:ascii="宋体" w:hAnsi="宋体" w:eastAsia="宋体" w:cs="宋体"/>
          <w:sz w:val="23"/>
          <w:szCs w:val="23"/>
        </w:rPr>
      </w:pPr>
      <w:r>
        <w:rPr>
          <w:rFonts w:ascii="宋体" w:hAnsi="宋体" w:eastAsia="宋体" w:cs="宋体"/>
          <w:spacing w:val="10"/>
          <w:position w:val="1"/>
          <w:sz w:val="23"/>
          <w:szCs w:val="23"/>
        </w:rPr>
        <w:t>风</w:t>
      </w:r>
      <w:r>
        <w:rPr>
          <w:rFonts w:ascii="宋体" w:hAnsi="宋体" w:eastAsia="宋体" w:cs="宋体"/>
          <w:spacing w:val="7"/>
          <w:position w:val="1"/>
          <w:sz w:val="23"/>
          <w:szCs w:val="23"/>
        </w:rPr>
        <w:t>速</w:t>
      </w:r>
      <w:r>
        <w:rPr>
          <w:rFonts w:ascii="宋体" w:hAnsi="宋体" w:eastAsia="宋体" w:cs="宋体"/>
          <w:spacing w:val="5"/>
          <w:position w:val="1"/>
          <w:sz w:val="23"/>
          <w:szCs w:val="23"/>
        </w:rPr>
        <w:t>：</w:t>
      </w:r>
      <w:r>
        <w:rPr>
          <w:rFonts w:ascii="Times New Roman" w:hAnsi="Times New Roman" w:eastAsia="Times New Roman" w:cs="Times New Roman"/>
          <w:spacing w:val="5"/>
          <w:position w:val="1"/>
          <w:sz w:val="23"/>
          <w:szCs w:val="23"/>
        </w:rPr>
        <w:t>2.4</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s</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时；</w:t>
      </w:r>
    </w:p>
    <w:p w14:paraId="37877B5B">
      <w:pPr>
        <w:spacing w:line="280" w:lineRule="auto"/>
        <w:rPr>
          <w:rFonts w:ascii="Arial"/>
          <w:sz w:val="21"/>
        </w:rPr>
      </w:pPr>
    </w:p>
    <w:p w14:paraId="1B9223D5">
      <w:pPr>
        <w:spacing w:before="75" w:line="227" w:lineRule="auto"/>
        <w:ind w:left="504"/>
        <w:rPr>
          <w:rFonts w:ascii="宋体" w:hAnsi="宋体" w:eastAsia="宋体" w:cs="宋体"/>
          <w:sz w:val="23"/>
          <w:szCs w:val="23"/>
        </w:rPr>
      </w:pPr>
      <w:r>
        <w:rPr>
          <w:rFonts w:ascii="宋体" w:hAnsi="宋体" w:eastAsia="宋体" w:cs="宋体"/>
          <w:spacing w:val="6"/>
          <w:sz w:val="23"/>
          <w:szCs w:val="23"/>
        </w:rPr>
        <w:t xml:space="preserve">测点：上风向对照点、工地内、下风向 </w:t>
      </w:r>
      <w:r>
        <w:rPr>
          <w:rFonts w:ascii="Times New Roman" w:hAnsi="Times New Roman" w:eastAsia="Times New Roman" w:cs="Times New Roman"/>
          <w:spacing w:val="6"/>
          <w:sz w:val="23"/>
          <w:szCs w:val="23"/>
        </w:rPr>
        <w:t>150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之内</w:t>
      </w:r>
      <w:r>
        <w:rPr>
          <w:rFonts w:ascii="宋体" w:hAnsi="宋体" w:eastAsia="宋体" w:cs="宋体"/>
          <w:spacing w:val="4"/>
          <w:sz w:val="23"/>
          <w:szCs w:val="23"/>
        </w:rPr>
        <w:t>；</w:t>
      </w:r>
    </w:p>
    <w:p w14:paraId="0A9D1216">
      <w:pPr>
        <w:spacing w:before="310" w:line="323" w:lineRule="exact"/>
        <w:ind w:left="504"/>
        <w:rPr>
          <w:rFonts w:ascii="宋体" w:hAnsi="宋体" w:eastAsia="宋体" w:cs="宋体"/>
          <w:sz w:val="23"/>
          <w:szCs w:val="23"/>
        </w:rPr>
      </w:pPr>
      <w:r>
        <w:rPr>
          <w:rFonts w:ascii="宋体" w:hAnsi="宋体" w:eastAsia="宋体" w:cs="宋体"/>
          <w:spacing w:val="-1"/>
          <w:position w:val="1"/>
          <w:sz w:val="23"/>
          <w:szCs w:val="23"/>
        </w:rPr>
        <w:t xml:space="preserve">监测结果：上风向对照点的 </w:t>
      </w:r>
      <w:r>
        <w:rPr>
          <w:rFonts w:ascii="Times New Roman" w:hAnsi="Times New Roman" w:eastAsia="Times New Roman" w:cs="Times New Roman"/>
          <w:spacing w:val="-1"/>
          <w:position w:val="1"/>
          <w:sz w:val="23"/>
          <w:szCs w:val="23"/>
        </w:rPr>
        <w:t>T</w:t>
      </w:r>
      <w:r>
        <w:rPr>
          <w:rFonts w:ascii="Times New Roman" w:hAnsi="Times New Roman" w:eastAsia="Times New Roman" w:cs="Times New Roman"/>
          <w:position w:val="1"/>
          <w:sz w:val="23"/>
          <w:szCs w:val="23"/>
        </w:rPr>
        <w:t>SP</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 xml:space="preserve">浓度为 </w:t>
      </w:r>
      <w:r>
        <w:rPr>
          <w:rFonts w:ascii="Times New Roman" w:hAnsi="Times New Roman" w:eastAsia="Times New Roman" w:cs="Times New Roman"/>
          <w:spacing w:val="-1"/>
          <w:position w:val="1"/>
          <w:sz w:val="23"/>
          <w:szCs w:val="23"/>
        </w:rPr>
        <w:t>0.28</w:t>
      </w:r>
      <w:r>
        <w:rPr>
          <w:rFonts w:ascii="宋体" w:hAnsi="宋体" w:eastAsia="宋体" w:cs="宋体"/>
          <w:spacing w:val="-1"/>
          <w:position w:val="1"/>
          <w:sz w:val="23"/>
          <w:szCs w:val="23"/>
        </w:rPr>
        <w:t>~</w:t>
      </w:r>
      <w:r>
        <w:rPr>
          <w:rFonts w:ascii="Times New Roman" w:hAnsi="Times New Roman" w:eastAsia="Times New Roman" w:cs="Times New Roman"/>
          <w:spacing w:val="-1"/>
          <w:position w:val="1"/>
          <w:sz w:val="23"/>
          <w:szCs w:val="23"/>
        </w:rPr>
        <w:t>0.33</w:t>
      </w:r>
      <w:r>
        <w:rPr>
          <w:rFonts w:ascii="Times New Roman" w:hAnsi="Times New Roman" w:eastAsia="Times New Roman" w:cs="Times New Roman"/>
          <w:position w:val="1"/>
          <w:sz w:val="23"/>
          <w:szCs w:val="23"/>
        </w:rPr>
        <w:t>mg</w:t>
      </w:r>
      <w:r>
        <w:rPr>
          <w:rFonts w:ascii="Times New Roman" w:hAnsi="Times New Roman" w:eastAsia="Times New Roman" w:cs="Times New Roman"/>
          <w:spacing w:val="-1"/>
          <w:position w:val="1"/>
          <w:sz w:val="23"/>
          <w:szCs w:val="23"/>
        </w:rPr>
        <w:t>/</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1"/>
          <w:position w:val="9"/>
          <w:sz w:val="15"/>
          <w:szCs w:val="15"/>
        </w:rPr>
        <w:t>3</w:t>
      </w:r>
      <w:r>
        <w:rPr>
          <w:rFonts w:ascii="宋体" w:hAnsi="宋体" w:eastAsia="宋体" w:cs="宋体"/>
          <w:spacing w:val="-1"/>
          <w:position w:val="1"/>
          <w:sz w:val="23"/>
          <w:szCs w:val="23"/>
        </w:rPr>
        <w:t xml:space="preserve">，平均为 </w:t>
      </w:r>
      <w:r>
        <w:rPr>
          <w:rFonts w:ascii="Times New Roman" w:hAnsi="Times New Roman" w:eastAsia="Times New Roman" w:cs="Times New Roman"/>
          <w:spacing w:val="-1"/>
          <w:position w:val="1"/>
          <w:sz w:val="23"/>
          <w:szCs w:val="23"/>
        </w:rPr>
        <w:t>0.31</w:t>
      </w:r>
      <w:r>
        <w:rPr>
          <w:rFonts w:ascii="Times New Roman" w:hAnsi="Times New Roman" w:eastAsia="Times New Roman" w:cs="Times New Roman"/>
          <w:position w:val="1"/>
          <w:sz w:val="23"/>
          <w:szCs w:val="23"/>
        </w:rPr>
        <w:t>mg</w:t>
      </w:r>
      <w:r>
        <w:rPr>
          <w:rFonts w:ascii="Times New Roman" w:hAnsi="Times New Roman" w:eastAsia="Times New Roman" w:cs="Times New Roman"/>
          <w:spacing w:val="-1"/>
          <w:position w:val="1"/>
          <w:sz w:val="23"/>
          <w:szCs w:val="23"/>
        </w:rPr>
        <w:t>/</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1"/>
          <w:position w:val="9"/>
          <w:sz w:val="15"/>
          <w:szCs w:val="15"/>
        </w:rPr>
        <w:t>3</w:t>
      </w:r>
      <w:r>
        <w:rPr>
          <w:rFonts w:ascii="宋体" w:hAnsi="宋体" w:eastAsia="宋体" w:cs="宋体"/>
          <w:spacing w:val="-1"/>
          <w:position w:val="1"/>
          <w:sz w:val="23"/>
          <w:szCs w:val="23"/>
        </w:rPr>
        <w:t>。</w:t>
      </w:r>
    </w:p>
    <w:p w14:paraId="0069FE94">
      <w:pPr>
        <w:sectPr>
          <w:headerReference r:id="rId196" w:type="default"/>
          <w:footerReference r:id="rId197" w:type="default"/>
          <w:pgSz w:w="11906" w:h="16839"/>
          <w:pgMar w:top="1132" w:right="1712" w:bottom="1182" w:left="1785" w:header="878" w:footer="1022" w:gutter="0"/>
          <w:cols w:space="720" w:num="1"/>
        </w:sectPr>
      </w:pPr>
    </w:p>
    <w:p w14:paraId="2A14F029">
      <w:pPr>
        <w:spacing w:line="368" w:lineRule="auto"/>
        <w:rPr>
          <w:rFonts w:ascii="Arial"/>
          <w:sz w:val="21"/>
        </w:rPr>
      </w:pPr>
      <w:r>
        <w:pict>
          <v:shape id="_x0000_s1237" o:spid="_x0000_s1237" style="position:absolute;left:0pt;margin-left:90pt;margin-top:57.35pt;height:0.75pt;width:415.3pt;mso-position-horizontal-relative:page;mso-position-vertical-relative:page;z-index:251895808;mso-width-relative:page;mso-height-relative:page;" fillcolor="#000000" filled="t" stroked="f" coordsize="8305,15" o:allowincell="f" path="m0,0l8305,0,8305,14,0,14,0,0xe">
            <v:path/>
            <v:fill on="t" focussize="0,0"/>
            <v:stroke on="f"/>
            <v:imagedata o:title=""/>
            <o:lock v:ext="edit"/>
          </v:shape>
        </w:pict>
      </w:r>
    </w:p>
    <w:p w14:paraId="0B439477">
      <w:pPr>
        <w:spacing w:before="74" w:line="390" w:lineRule="auto"/>
        <w:ind w:left="113" w:right="102" w:firstLine="7"/>
        <w:rPr>
          <w:rFonts w:ascii="宋体" w:hAnsi="宋体" w:eastAsia="宋体" w:cs="宋体"/>
          <w:sz w:val="23"/>
          <w:szCs w:val="23"/>
        </w:rPr>
      </w:pPr>
      <w:r>
        <w:rPr>
          <w:rFonts w:ascii="宋体" w:hAnsi="宋体" w:eastAsia="宋体" w:cs="宋体"/>
          <w:spacing w:val="2"/>
          <w:sz w:val="23"/>
          <w:szCs w:val="23"/>
        </w:rPr>
        <w:t xml:space="preserve">工地内的 </w:t>
      </w:r>
      <w:r>
        <w:rPr>
          <w:rFonts w:ascii="Times New Roman" w:hAnsi="Times New Roman" w:eastAsia="Times New Roman" w:cs="Times New Roman"/>
          <w:sz w:val="23"/>
          <w:szCs w:val="23"/>
        </w:rPr>
        <w:t>TSP</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rPr>
        <w:t xml:space="preserve">浓度为 </w:t>
      </w:r>
      <w:r>
        <w:rPr>
          <w:rFonts w:ascii="Times New Roman" w:hAnsi="Times New Roman" w:eastAsia="Times New Roman" w:cs="Times New Roman"/>
          <w:spacing w:val="1"/>
          <w:sz w:val="23"/>
          <w:szCs w:val="23"/>
        </w:rPr>
        <w:t>0.42</w:t>
      </w:r>
      <w:r>
        <w:rPr>
          <w:rFonts w:ascii="宋体" w:hAnsi="宋体" w:eastAsia="宋体" w:cs="宋体"/>
          <w:spacing w:val="1"/>
          <w:sz w:val="23"/>
          <w:szCs w:val="23"/>
        </w:rPr>
        <w:t>~</w:t>
      </w:r>
      <w:r>
        <w:rPr>
          <w:rFonts w:ascii="Times New Roman" w:hAnsi="Times New Roman" w:eastAsia="Times New Roman" w:cs="Times New Roman"/>
          <w:spacing w:val="1"/>
          <w:sz w:val="23"/>
          <w:szCs w:val="23"/>
        </w:rPr>
        <w:t>0.75</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宋体" w:hAnsi="宋体" w:eastAsia="宋体" w:cs="宋体"/>
          <w:spacing w:val="1"/>
          <w:sz w:val="23"/>
          <w:szCs w:val="23"/>
        </w:rPr>
        <w:t xml:space="preserve">，平均 </w:t>
      </w:r>
      <w:r>
        <w:rPr>
          <w:rFonts w:ascii="Times New Roman" w:hAnsi="Times New Roman" w:eastAsia="Times New Roman" w:cs="Times New Roman"/>
          <w:spacing w:val="1"/>
          <w:sz w:val="23"/>
          <w:szCs w:val="23"/>
        </w:rPr>
        <w:t>0.59</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宋体" w:hAnsi="宋体" w:eastAsia="宋体" w:cs="宋体"/>
          <w:spacing w:val="1"/>
          <w:sz w:val="23"/>
          <w:szCs w:val="23"/>
        </w:rPr>
        <w:t xml:space="preserve">，是上风向对照点的 </w:t>
      </w:r>
      <w:r>
        <w:rPr>
          <w:rFonts w:ascii="Times New Roman" w:hAnsi="Times New Roman" w:eastAsia="Times New Roman" w:cs="Times New Roman"/>
          <w:spacing w:val="1"/>
          <w:sz w:val="23"/>
          <w:szCs w:val="23"/>
        </w:rPr>
        <w:t>1.5</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2.3</w:t>
      </w:r>
      <w:r>
        <w:rPr>
          <w:rFonts w:ascii="Times New Roman" w:hAnsi="Times New Roman" w:eastAsia="Times New Roman" w:cs="Times New Roman"/>
          <w:spacing w:val="7"/>
          <w:sz w:val="23"/>
          <w:szCs w:val="23"/>
        </w:rPr>
        <w:t xml:space="preserve"> </w:t>
      </w:r>
      <w:r>
        <w:rPr>
          <w:rFonts w:ascii="宋体" w:hAnsi="宋体" w:eastAsia="宋体" w:cs="宋体"/>
          <w:spacing w:val="6"/>
          <w:sz w:val="23"/>
          <w:szCs w:val="23"/>
        </w:rPr>
        <w:t xml:space="preserve">倍，平均 </w:t>
      </w:r>
      <w:r>
        <w:rPr>
          <w:rFonts w:ascii="Times New Roman" w:hAnsi="Times New Roman" w:eastAsia="Times New Roman" w:cs="Times New Roman"/>
          <w:spacing w:val="6"/>
          <w:sz w:val="23"/>
          <w:szCs w:val="23"/>
        </w:rPr>
        <w:t xml:space="preserve">1.9 </w:t>
      </w:r>
      <w:r>
        <w:rPr>
          <w:rFonts w:ascii="宋体" w:hAnsi="宋体" w:eastAsia="宋体" w:cs="宋体"/>
          <w:spacing w:val="6"/>
          <w:sz w:val="23"/>
          <w:szCs w:val="23"/>
        </w:rPr>
        <w:t xml:space="preserve">倍，相当于环境空气标准日均值的 </w:t>
      </w:r>
      <w:r>
        <w:rPr>
          <w:rFonts w:ascii="Times New Roman" w:hAnsi="Times New Roman" w:eastAsia="Times New Roman" w:cs="Times New Roman"/>
          <w:spacing w:val="6"/>
          <w:sz w:val="23"/>
          <w:szCs w:val="23"/>
        </w:rPr>
        <w:t>1.4</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2.5 </w:t>
      </w:r>
      <w:r>
        <w:rPr>
          <w:rFonts w:ascii="宋体" w:hAnsi="宋体" w:eastAsia="宋体" w:cs="宋体"/>
          <w:spacing w:val="6"/>
          <w:sz w:val="23"/>
          <w:szCs w:val="23"/>
        </w:rPr>
        <w:t xml:space="preserve">倍，平均 </w:t>
      </w:r>
      <w:r>
        <w:rPr>
          <w:rFonts w:ascii="Times New Roman" w:hAnsi="Times New Roman" w:eastAsia="Times New Roman" w:cs="Times New Roman"/>
          <w:spacing w:val="6"/>
          <w:sz w:val="23"/>
          <w:szCs w:val="23"/>
        </w:rPr>
        <w:t xml:space="preserve">1.97 </w:t>
      </w:r>
      <w:r>
        <w:rPr>
          <w:rFonts w:ascii="宋体" w:hAnsi="宋体" w:eastAsia="宋体" w:cs="宋体"/>
          <w:spacing w:val="6"/>
          <w:sz w:val="23"/>
          <w:szCs w:val="23"/>
        </w:rPr>
        <w:t>倍。</w:t>
      </w:r>
      <w:r>
        <w:rPr>
          <w:rFonts w:ascii="宋体" w:hAnsi="宋体" w:eastAsia="宋体" w:cs="宋体"/>
          <w:sz w:val="23"/>
          <w:szCs w:val="23"/>
        </w:rPr>
        <w:t xml:space="preserve"> </w:t>
      </w:r>
      <w:r>
        <w:rPr>
          <w:rFonts w:ascii="宋体" w:hAnsi="宋体" w:eastAsia="宋体" w:cs="宋体"/>
          <w:spacing w:val="2"/>
          <w:sz w:val="23"/>
          <w:szCs w:val="23"/>
        </w:rPr>
        <w:t xml:space="preserve">下风向 </w:t>
      </w:r>
      <w:r>
        <w:rPr>
          <w:rFonts w:ascii="Times New Roman" w:hAnsi="Times New Roman" w:eastAsia="Times New Roman" w:cs="Times New Roman"/>
          <w:spacing w:val="2"/>
          <w:sz w:val="23"/>
          <w:szCs w:val="23"/>
        </w:rPr>
        <w:t>150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之内的 </w:t>
      </w:r>
      <w:r>
        <w:rPr>
          <w:rFonts w:ascii="Times New Roman" w:hAnsi="Times New Roman" w:eastAsia="Times New Roman" w:cs="Times New Roman"/>
          <w:sz w:val="23"/>
          <w:szCs w:val="23"/>
        </w:rPr>
        <w:t>TSP</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平均浓度为 </w:t>
      </w:r>
      <w:r>
        <w:rPr>
          <w:rFonts w:ascii="Times New Roman" w:hAnsi="Times New Roman" w:eastAsia="Times New Roman" w:cs="Times New Roman"/>
          <w:spacing w:val="2"/>
          <w:sz w:val="23"/>
          <w:szCs w:val="23"/>
        </w:rPr>
        <w:t>0.4</w:t>
      </w:r>
      <w:r>
        <w:rPr>
          <w:rFonts w:ascii="Times New Roman" w:hAnsi="Times New Roman" w:eastAsia="Times New Roman" w:cs="Times New Roman"/>
          <w:spacing w:val="1"/>
          <w:sz w:val="23"/>
          <w:szCs w:val="23"/>
        </w:rPr>
        <w:t xml:space="preserve">9 </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 xml:space="preserve">。是上风向对照点的 </w:t>
      </w:r>
      <w:r>
        <w:rPr>
          <w:rFonts w:ascii="Times New Roman" w:hAnsi="Times New Roman" w:eastAsia="Times New Roman" w:cs="Times New Roman"/>
          <w:spacing w:val="1"/>
          <w:sz w:val="23"/>
          <w:szCs w:val="23"/>
        </w:rPr>
        <w:t xml:space="preserve">1.6 </w:t>
      </w:r>
      <w:r>
        <w:rPr>
          <w:rFonts w:ascii="宋体" w:hAnsi="宋体" w:eastAsia="宋体" w:cs="宋体"/>
          <w:spacing w:val="1"/>
          <w:sz w:val="23"/>
          <w:szCs w:val="23"/>
        </w:rPr>
        <w:t>倍，相</w:t>
      </w:r>
      <w:r>
        <w:rPr>
          <w:rFonts w:ascii="宋体" w:hAnsi="宋体" w:eastAsia="宋体" w:cs="宋体"/>
          <w:sz w:val="23"/>
          <w:szCs w:val="23"/>
        </w:rPr>
        <w:t xml:space="preserve"> </w:t>
      </w:r>
      <w:r>
        <w:rPr>
          <w:rFonts w:ascii="宋体" w:hAnsi="宋体" w:eastAsia="宋体" w:cs="宋体"/>
          <w:spacing w:val="8"/>
          <w:sz w:val="23"/>
          <w:szCs w:val="23"/>
        </w:rPr>
        <w:t>当于</w:t>
      </w:r>
      <w:r>
        <w:rPr>
          <w:rFonts w:ascii="宋体" w:hAnsi="宋体" w:eastAsia="宋体" w:cs="宋体"/>
          <w:spacing w:val="4"/>
          <w:sz w:val="23"/>
          <w:szCs w:val="23"/>
        </w:rPr>
        <w:t xml:space="preserve">环境空气标准日均值的 </w:t>
      </w:r>
      <w:r>
        <w:rPr>
          <w:rFonts w:ascii="Times New Roman" w:hAnsi="Times New Roman" w:eastAsia="Times New Roman" w:cs="Times New Roman"/>
          <w:spacing w:val="4"/>
          <w:sz w:val="23"/>
          <w:szCs w:val="23"/>
        </w:rPr>
        <w:t xml:space="preserve">1.6 </w:t>
      </w:r>
      <w:r>
        <w:rPr>
          <w:rFonts w:ascii="宋体" w:hAnsi="宋体" w:eastAsia="宋体" w:cs="宋体"/>
          <w:spacing w:val="4"/>
          <w:sz w:val="23"/>
          <w:szCs w:val="23"/>
        </w:rPr>
        <w:t>倍。</w:t>
      </w:r>
    </w:p>
    <w:p w14:paraId="5CE64090">
      <w:pPr>
        <w:spacing w:before="175" w:line="390" w:lineRule="auto"/>
        <w:ind w:left="113" w:right="107" w:firstLine="511"/>
        <w:rPr>
          <w:rFonts w:ascii="宋体" w:hAnsi="宋体" w:eastAsia="宋体" w:cs="宋体"/>
          <w:sz w:val="23"/>
          <w:szCs w:val="23"/>
        </w:rPr>
      </w:pPr>
      <w:r>
        <w:rPr>
          <w:rFonts w:ascii="宋体" w:hAnsi="宋体" w:eastAsia="宋体" w:cs="宋体"/>
          <w:spacing w:val="7"/>
          <w:sz w:val="23"/>
          <w:szCs w:val="23"/>
        </w:rPr>
        <w:t>以</w:t>
      </w:r>
      <w:r>
        <w:rPr>
          <w:rFonts w:ascii="宋体" w:hAnsi="宋体" w:eastAsia="宋体" w:cs="宋体"/>
          <w:spacing w:val="6"/>
          <w:sz w:val="23"/>
          <w:szCs w:val="23"/>
        </w:rPr>
        <w:t>上结果表明，建筑施工扬尘严重，但影响范围有限。国内外的其它研究成</w:t>
      </w:r>
      <w:r>
        <w:rPr>
          <w:rFonts w:ascii="宋体" w:hAnsi="宋体" w:eastAsia="宋体" w:cs="宋体"/>
          <w:sz w:val="23"/>
          <w:szCs w:val="23"/>
        </w:rPr>
        <w:t xml:space="preserve"> </w:t>
      </w:r>
      <w:r>
        <w:rPr>
          <w:rFonts w:ascii="宋体" w:hAnsi="宋体" w:eastAsia="宋体" w:cs="宋体"/>
          <w:spacing w:val="5"/>
          <w:sz w:val="23"/>
          <w:szCs w:val="23"/>
        </w:rPr>
        <w:t>果</w:t>
      </w:r>
      <w:r>
        <w:rPr>
          <w:rFonts w:ascii="宋体" w:hAnsi="宋体" w:eastAsia="宋体" w:cs="宋体"/>
          <w:spacing w:val="3"/>
          <w:sz w:val="23"/>
          <w:szCs w:val="23"/>
        </w:rPr>
        <w:t xml:space="preserve">也表明，地面、堆场和道路扬尘由于排放高度低，一般影响范围在下风向 </w:t>
      </w:r>
      <w:r>
        <w:rPr>
          <w:rFonts w:ascii="Times New Roman" w:hAnsi="Times New Roman" w:eastAsia="Times New Roman" w:cs="Times New Roman"/>
          <w:spacing w:val="3"/>
          <w:sz w:val="23"/>
          <w:szCs w:val="23"/>
        </w:rPr>
        <w:t>100</w:t>
      </w:r>
      <w:r>
        <w:rPr>
          <w:rFonts w:ascii="宋体" w:hAnsi="宋体" w:eastAsia="宋体" w:cs="宋体"/>
          <w:spacing w:val="3"/>
          <w:sz w:val="23"/>
          <w:szCs w:val="23"/>
        </w:rPr>
        <w:t>~</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2</w:t>
      </w:r>
      <w:r>
        <w:rPr>
          <w:rFonts w:ascii="Times New Roman" w:hAnsi="Times New Roman" w:eastAsia="Times New Roman" w:cs="Times New Roman"/>
          <w:spacing w:val="6"/>
          <w:sz w:val="23"/>
          <w:szCs w:val="23"/>
        </w:rPr>
        <w:t>00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以内区域。</w:t>
      </w:r>
    </w:p>
    <w:p w14:paraId="4137D0BC">
      <w:pPr>
        <w:spacing w:before="136" w:line="393" w:lineRule="auto"/>
        <w:ind w:left="117" w:right="107" w:firstLine="482"/>
        <w:rPr>
          <w:rFonts w:ascii="宋体" w:hAnsi="宋体" w:eastAsia="宋体" w:cs="宋体"/>
          <w:sz w:val="23"/>
          <w:szCs w:val="23"/>
        </w:rPr>
      </w:pPr>
      <w:r>
        <w:rPr>
          <w:rFonts w:ascii="宋体" w:hAnsi="宋体" w:eastAsia="宋体" w:cs="宋体"/>
          <w:spacing w:val="12"/>
          <w:sz w:val="23"/>
          <w:szCs w:val="23"/>
        </w:rPr>
        <w:t>从本项目</w:t>
      </w:r>
      <w:r>
        <w:rPr>
          <w:rFonts w:ascii="宋体" w:hAnsi="宋体" w:eastAsia="宋体" w:cs="宋体"/>
          <w:spacing w:val="8"/>
          <w:sz w:val="23"/>
          <w:szCs w:val="23"/>
        </w:rPr>
        <w:t>施</w:t>
      </w:r>
      <w:r>
        <w:rPr>
          <w:rFonts w:ascii="宋体" w:hAnsi="宋体" w:eastAsia="宋体" w:cs="宋体"/>
          <w:spacing w:val="6"/>
          <w:sz w:val="23"/>
          <w:szCs w:val="23"/>
        </w:rPr>
        <w:t>工场地周围的社会环境现状看，最近的居民区未处于施工扬尘的</w:t>
      </w:r>
      <w:r>
        <w:rPr>
          <w:rFonts w:ascii="宋体" w:hAnsi="宋体" w:eastAsia="宋体" w:cs="宋体"/>
          <w:sz w:val="23"/>
          <w:szCs w:val="23"/>
        </w:rPr>
        <w:t xml:space="preserve"> </w:t>
      </w:r>
      <w:r>
        <w:rPr>
          <w:rFonts w:ascii="宋体" w:hAnsi="宋体" w:eastAsia="宋体" w:cs="宋体"/>
          <w:spacing w:val="12"/>
          <w:sz w:val="23"/>
          <w:szCs w:val="23"/>
        </w:rPr>
        <w:t>影</w:t>
      </w:r>
      <w:r>
        <w:rPr>
          <w:rFonts w:ascii="宋体" w:hAnsi="宋体" w:eastAsia="宋体" w:cs="宋体"/>
          <w:spacing w:val="9"/>
          <w:sz w:val="23"/>
          <w:szCs w:val="23"/>
        </w:rPr>
        <w:t>响范围之内，项目施工扬尘会对其产生影响很小。</w:t>
      </w:r>
    </w:p>
    <w:p w14:paraId="1FC21AF0">
      <w:pPr>
        <w:spacing w:before="136" w:line="303" w:lineRule="exact"/>
        <w:ind w:left="593"/>
        <w:rPr>
          <w:rFonts w:ascii="宋体" w:hAnsi="宋体" w:eastAsia="宋体" w:cs="宋体"/>
          <w:sz w:val="23"/>
          <w:szCs w:val="23"/>
        </w:rPr>
      </w:pPr>
      <w:r>
        <w:rPr>
          <w:rFonts w:ascii="Times New Roman" w:hAnsi="Times New Roman" w:eastAsia="Times New Roman" w:cs="Times New Roman"/>
          <w:spacing w:val="-2"/>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、汽车尾气</w:t>
      </w:r>
    </w:p>
    <w:p w14:paraId="33B7B4B2">
      <w:pPr>
        <w:spacing w:line="259" w:lineRule="auto"/>
        <w:rPr>
          <w:rFonts w:ascii="Arial"/>
          <w:sz w:val="21"/>
        </w:rPr>
      </w:pPr>
    </w:p>
    <w:p w14:paraId="3CAE873F">
      <w:pPr>
        <w:spacing w:before="75" w:line="385" w:lineRule="auto"/>
        <w:ind w:left="116" w:right="105" w:firstLine="480"/>
        <w:rPr>
          <w:rFonts w:ascii="宋体" w:hAnsi="宋体" w:eastAsia="宋体" w:cs="宋体"/>
          <w:sz w:val="23"/>
          <w:szCs w:val="23"/>
        </w:rPr>
      </w:pPr>
      <w:r>
        <w:rPr>
          <w:rFonts w:ascii="宋体" w:hAnsi="宋体" w:eastAsia="宋体" w:cs="宋体"/>
          <w:spacing w:val="7"/>
          <w:sz w:val="23"/>
          <w:szCs w:val="23"/>
        </w:rPr>
        <w:t>施工期尾气污染源主要是各种施工车辆。在土石方和结构施工阶段，施工</w:t>
      </w:r>
      <w:r>
        <w:rPr>
          <w:rFonts w:ascii="宋体" w:hAnsi="宋体" w:eastAsia="宋体" w:cs="宋体"/>
          <w:spacing w:val="3"/>
          <w:sz w:val="23"/>
          <w:szCs w:val="23"/>
        </w:rPr>
        <w:t>作</w:t>
      </w:r>
      <w:r>
        <w:rPr>
          <w:rFonts w:ascii="宋体" w:hAnsi="宋体" w:eastAsia="宋体" w:cs="宋体"/>
          <w:sz w:val="23"/>
          <w:szCs w:val="23"/>
        </w:rPr>
        <w:t xml:space="preserve"> </w:t>
      </w:r>
      <w:r>
        <w:rPr>
          <w:rFonts w:ascii="宋体" w:hAnsi="宋体" w:eastAsia="宋体" w:cs="宋体"/>
          <w:spacing w:val="9"/>
          <w:sz w:val="23"/>
          <w:szCs w:val="23"/>
        </w:rPr>
        <w:t>业</w:t>
      </w:r>
      <w:r>
        <w:rPr>
          <w:rFonts w:ascii="宋体" w:hAnsi="宋体" w:eastAsia="宋体" w:cs="宋体"/>
          <w:spacing w:val="7"/>
          <w:sz w:val="23"/>
          <w:szCs w:val="23"/>
        </w:rPr>
        <w:t>车辆相对较多，是污染物排放较集中的阶段，主要污染源是大型运输车，主要</w:t>
      </w:r>
      <w:r>
        <w:rPr>
          <w:rFonts w:ascii="宋体" w:hAnsi="宋体" w:eastAsia="宋体" w:cs="宋体"/>
          <w:sz w:val="23"/>
          <w:szCs w:val="23"/>
        </w:rPr>
        <w:t xml:space="preserve"> </w:t>
      </w:r>
      <w:r>
        <w:rPr>
          <w:rFonts w:ascii="宋体" w:hAnsi="宋体" w:eastAsia="宋体" w:cs="宋体"/>
          <w:spacing w:val="6"/>
          <w:sz w:val="23"/>
          <w:szCs w:val="23"/>
        </w:rPr>
        <w:t>污染物是</w:t>
      </w:r>
      <w:r>
        <w:rPr>
          <w:rFonts w:ascii="宋体" w:hAnsi="宋体" w:eastAsia="宋体" w:cs="宋体"/>
          <w:spacing w:val="4"/>
          <w:sz w:val="23"/>
          <w:szCs w:val="23"/>
        </w:rPr>
        <w:t xml:space="preserve"> </w:t>
      </w:r>
      <w:r>
        <w:rPr>
          <w:rFonts w:ascii="Times New Roman" w:hAnsi="Times New Roman" w:eastAsia="Times New Roman" w:cs="Times New Roman"/>
          <w:sz w:val="23"/>
          <w:szCs w:val="23"/>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3"/>
          <w:position w:val="-1"/>
          <w:sz w:val="15"/>
          <w:szCs w:val="15"/>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THC</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等。施工期预计使用燃柴油施工机械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台、重型运输</w:t>
      </w:r>
      <w:r>
        <w:rPr>
          <w:rFonts w:ascii="宋体" w:hAnsi="宋体" w:eastAsia="宋体" w:cs="宋体"/>
          <w:sz w:val="23"/>
          <w:szCs w:val="23"/>
        </w:rPr>
        <w:t xml:space="preserve"> </w:t>
      </w:r>
      <w:r>
        <w:rPr>
          <w:rFonts w:ascii="宋体" w:hAnsi="宋体" w:eastAsia="宋体" w:cs="宋体"/>
          <w:spacing w:val="6"/>
          <w:sz w:val="23"/>
          <w:szCs w:val="23"/>
        </w:rPr>
        <w:t xml:space="preserve">汽车 </w:t>
      </w:r>
      <w:r>
        <w:rPr>
          <w:rFonts w:ascii="Times New Roman" w:hAnsi="Times New Roman" w:eastAsia="Times New Roman" w:cs="Times New Roman"/>
          <w:spacing w:val="6"/>
          <w:sz w:val="23"/>
          <w:szCs w:val="23"/>
        </w:rPr>
        <w:t xml:space="preserve">2 </w:t>
      </w:r>
      <w:r>
        <w:rPr>
          <w:rFonts w:ascii="宋体" w:hAnsi="宋体" w:eastAsia="宋体" w:cs="宋体"/>
          <w:spacing w:val="3"/>
          <w:sz w:val="23"/>
          <w:szCs w:val="23"/>
        </w:rPr>
        <w:t xml:space="preserve">辆，预测日耗柴油量为 </w:t>
      </w:r>
      <w:r>
        <w:rPr>
          <w:rFonts w:ascii="Times New Roman" w:hAnsi="Times New Roman" w:eastAsia="Times New Roman" w:cs="Times New Roman"/>
          <w:spacing w:val="3"/>
          <w:sz w:val="23"/>
          <w:szCs w:val="23"/>
        </w:rPr>
        <w:t>140</w:t>
      </w:r>
      <w:r>
        <w:rPr>
          <w:rFonts w:ascii="Times New Roman" w:hAnsi="Times New Roman" w:eastAsia="Times New Roman" w:cs="Times New Roman"/>
          <w:sz w:val="23"/>
          <w:szCs w:val="23"/>
        </w:rPr>
        <w:t>kg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，其汽车尾气主要污染物排放负荷预测结果</w:t>
      </w:r>
      <w:r>
        <w:rPr>
          <w:rFonts w:ascii="宋体" w:hAnsi="宋体" w:eastAsia="宋体" w:cs="宋体"/>
          <w:sz w:val="23"/>
          <w:szCs w:val="23"/>
        </w:rPr>
        <w:t xml:space="preserve"> </w:t>
      </w:r>
      <w:r>
        <w:rPr>
          <w:rFonts w:ascii="宋体" w:hAnsi="宋体" w:eastAsia="宋体" w:cs="宋体"/>
          <w:spacing w:val="-12"/>
          <w:sz w:val="23"/>
          <w:szCs w:val="23"/>
        </w:rPr>
        <w:t>见</w:t>
      </w:r>
      <w:r>
        <w:rPr>
          <w:rFonts w:ascii="宋体" w:hAnsi="宋体" w:eastAsia="宋体" w:cs="宋体"/>
          <w:spacing w:val="-11"/>
          <w:sz w:val="23"/>
          <w:szCs w:val="23"/>
        </w:rPr>
        <w:t xml:space="preserve">表 </w:t>
      </w:r>
      <w:r>
        <w:rPr>
          <w:rFonts w:ascii="Times New Roman" w:hAnsi="Times New Roman" w:eastAsia="Times New Roman" w:cs="Times New Roman"/>
          <w:spacing w:val="-11"/>
          <w:sz w:val="23"/>
          <w:szCs w:val="23"/>
        </w:rPr>
        <w:t>5- 1</w:t>
      </w:r>
      <w:r>
        <w:rPr>
          <w:rFonts w:ascii="宋体" w:hAnsi="宋体" w:eastAsia="宋体" w:cs="宋体"/>
          <w:spacing w:val="-11"/>
          <w:sz w:val="23"/>
          <w:szCs w:val="23"/>
        </w:rPr>
        <w:t>。</w:t>
      </w:r>
    </w:p>
    <w:p w14:paraId="2E6A1689">
      <w:pPr>
        <w:spacing w:before="156" w:line="227" w:lineRule="auto"/>
        <w:ind w:left="179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5"/>
          <w:sz w:val="23"/>
          <w:szCs w:val="23"/>
        </w:rPr>
        <w:t>5-1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施工期汽车尾气污染物负荷预测结果</w:t>
      </w:r>
    </w:p>
    <w:p w14:paraId="0020004E">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2"/>
        <w:gridCol w:w="2121"/>
        <w:gridCol w:w="2120"/>
        <w:gridCol w:w="2119"/>
      </w:tblGrid>
      <w:tr w14:paraId="43170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62" w:type="dxa"/>
            <w:tcBorders>
              <w:left w:val="nil"/>
            </w:tcBorders>
            <w:vAlign w:val="top"/>
          </w:tcPr>
          <w:p w14:paraId="5DCA8533">
            <w:pPr>
              <w:spacing w:before="76" w:line="228" w:lineRule="auto"/>
              <w:ind w:left="775"/>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染物</w:t>
            </w:r>
          </w:p>
        </w:tc>
        <w:tc>
          <w:tcPr>
            <w:tcW w:w="2121" w:type="dxa"/>
            <w:vAlign w:val="top"/>
          </w:tcPr>
          <w:p w14:paraId="1F268A02">
            <w:pPr>
              <w:spacing w:before="111" w:line="195" w:lineRule="auto"/>
              <w:ind w:left="85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6"/>
                <w:sz w:val="20"/>
                <w:szCs w:val="20"/>
              </w:rPr>
              <w:t>x</w:t>
            </w:r>
          </w:p>
        </w:tc>
        <w:tc>
          <w:tcPr>
            <w:tcW w:w="2120" w:type="dxa"/>
            <w:vAlign w:val="top"/>
          </w:tcPr>
          <w:p w14:paraId="6782355B">
            <w:pPr>
              <w:spacing w:before="111"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119" w:type="dxa"/>
            <w:tcBorders>
              <w:right w:val="nil"/>
            </w:tcBorders>
            <w:vAlign w:val="top"/>
          </w:tcPr>
          <w:p w14:paraId="15555EE0">
            <w:pPr>
              <w:spacing w:before="111" w:line="195" w:lineRule="auto"/>
              <w:ind w:left="85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3"/>
                <w:sz w:val="20"/>
                <w:szCs w:val="20"/>
              </w:rPr>
              <w:t>HC</w:t>
            </w:r>
          </w:p>
        </w:tc>
      </w:tr>
      <w:tr w14:paraId="3B21F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162" w:type="dxa"/>
            <w:tcBorders>
              <w:left w:val="nil"/>
            </w:tcBorders>
            <w:vAlign w:val="top"/>
          </w:tcPr>
          <w:p w14:paraId="1A9BA49F">
            <w:pPr>
              <w:spacing w:before="24" w:line="281" w:lineRule="exact"/>
              <w:ind w:left="377"/>
              <w:rPr>
                <w:rFonts w:ascii="宋体" w:hAnsi="宋体" w:eastAsia="宋体" w:cs="宋体"/>
                <w:sz w:val="20"/>
                <w:szCs w:val="20"/>
              </w:rPr>
            </w:pPr>
            <w:r>
              <w:rPr>
                <w:rFonts w:ascii="宋体" w:hAnsi="宋体" w:eastAsia="宋体" w:cs="宋体"/>
                <w:spacing w:val="11"/>
                <w:position w:val="2"/>
                <w:sz w:val="20"/>
                <w:szCs w:val="20"/>
              </w:rPr>
              <w:t>排</w:t>
            </w:r>
            <w:r>
              <w:rPr>
                <w:rFonts w:ascii="宋体" w:hAnsi="宋体" w:eastAsia="宋体" w:cs="宋体"/>
                <w:spacing w:val="6"/>
                <w:position w:val="2"/>
                <w:sz w:val="20"/>
                <w:szCs w:val="20"/>
              </w:rPr>
              <w:t>放量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w:t>
            </w:r>
            <w:r>
              <w:rPr>
                <w:rFonts w:ascii="宋体" w:hAnsi="宋体" w:eastAsia="宋体" w:cs="宋体"/>
                <w:spacing w:val="6"/>
                <w:position w:val="2"/>
                <w:sz w:val="20"/>
                <w:szCs w:val="20"/>
              </w:rPr>
              <w:t>)</w:t>
            </w:r>
          </w:p>
        </w:tc>
        <w:tc>
          <w:tcPr>
            <w:tcW w:w="2121" w:type="dxa"/>
            <w:vAlign w:val="top"/>
          </w:tcPr>
          <w:p w14:paraId="54FC6014">
            <w:pPr>
              <w:spacing w:before="98"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5.35</w:t>
            </w:r>
          </w:p>
        </w:tc>
        <w:tc>
          <w:tcPr>
            <w:tcW w:w="2120" w:type="dxa"/>
            <w:vAlign w:val="top"/>
          </w:tcPr>
          <w:p w14:paraId="6C774C67">
            <w:pPr>
              <w:spacing w:before="98"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.7</w:t>
            </w:r>
          </w:p>
        </w:tc>
        <w:tc>
          <w:tcPr>
            <w:tcW w:w="2119" w:type="dxa"/>
            <w:tcBorders>
              <w:right w:val="nil"/>
            </w:tcBorders>
            <w:vAlign w:val="top"/>
          </w:tcPr>
          <w:p w14:paraId="5EBFC66D">
            <w:pPr>
              <w:spacing w:before="98" w:line="198" w:lineRule="auto"/>
              <w:ind w:left="9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.1</w:t>
            </w:r>
          </w:p>
        </w:tc>
      </w:tr>
    </w:tbl>
    <w:p w14:paraId="170C5480">
      <w:pPr>
        <w:spacing w:line="260" w:lineRule="auto"/>
        <w:rPr>
          <w:rFonts w:ascii="Arial"/>
          <w:sz w:val="21"/>
        </w:rPr>
      </w:pPr>
    </w:p>
    <w:p w14:paraId="0D6149C2">
      <w:pPr>
        <w:spacing w:before="76" w:line="393" w:lineRule="auto"/>
        <w:ind w:left="138" w:right="105" w:firstLine="458"/>
        <w:rPr>
          <w:rFonts w:ascii="宋体" w:hAnsi="宋体" w:eastAsia="宋体" w:cs="宋体"/>
          <w:sz w:val="23"/>
          <w:szCs w:val="23"/>
        </w:rPr>
      </w:pPr>
      <w:r>
        <w:rPr>
          <w:rFonts w:ascii="宋体" w:hAnsi="宋体" w:eastAsia="宋体" w:cs="宋体"/>
          <w:spacing w:val="6"/>
          <w:sz w:val="23"/>
          <w:szCs w:val="23"/>
        </w:rPr>
        <w:t xml:space="preserve">表 </w:t>
      </w:r>
      <w:r>
        <w:rPr>
          <w:rFonts w:ascii="Times New Roman" w:hAnsi="Times New Roman" w:eastAsia="Times New Roman" w:cs="Times New Roman"/>
          <w:spacing w:val="6"/>
          <w:sz w:val="23"/>
          <w:szCs w:val="23"/>
        </w:rPr>
        <w:t>5-2</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 xml:space="preserve">列出了不同工况条件下汽车排气中的 </w:t>
      </w:r>
      <w:r>
        <w:rPr>
          <w:rFonts w:ascii="Times New Roman" w:hAnsi="Times New Roman" w:eastAsia="Times New Roman" w:cs="Times New Roman"/>
          <w:sz w:val="23"/>
          <w:szCs w:val="23"/>
        </w:rPr>
        <w:t>CO</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THC</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的变化情况，可以看</w:t>
      </w:r>
      <w:r>
        <w:rPr>
          <w:rFonts w:ascii="宋体" w:hAnsi="宋体" w:eastAsia="宋体" w:cs="宋体"/>
          <w:sz w:val="23"/>
          <w:szCs w:val="23"/>
        </w:rPr>
        <w:t xml:space="preserve"> </w:t>
      </w:r>
      <w:r>
        <w:rPr>
          <w:rFonts w:ascii="宋体" w:hAnsi="宋体" w:eastAsia="宋体" w:cs="宋体"/>
          <w:spacing w:val="8"/>
          <w:sz w:val="23"/>
          <w:szCs w:val="23"/>
        </w:rPr>
        <w:t>出空挡、减</w:t>
      </w:r>
      <w:r>
        <w:rPr>
          <w:rFonts w:ascii="宋体" w:hAnsi="宋体" w:eastAsia="宋体" w:cs="宋体"/>
          <w:spacing w:val="6"/>
          <w:sz w:val="23"/>
          <w:szCs w:val="23"/>
        </w:rPr>
        <w:t>速</w:t>
      </w:r>
      <w:r>
        <w:rPr>
          <w:rFonts w:ascii="宋体" w:hAnsi="宋体" w:eastAsia="宋体" w:cs="宋体"/>
          <w:spacing w:val="4"/>
          <w:sz w:val="23"/>
          <w:szCs w:val="23"/>
        </w:rPr>
        <w:t xml:space="preserve">时排放的尾气中 </w:t>
      </w:r>
      <w:r>
        <w:rPr>
          <w:rFonts w:ascii="Times New Roman" w:hAnsi="Times New Roman" w:eastAsia="Times New Roman" w:cs="Times New Roman"/>
          <w:sz w:val="23"/>
          <w:szCs w:val="23"/>
        </w:rPr>
        <w:t>CO</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THC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的浓度比正常行驶时高。</w:t>
      </w:r>
    </w:p>
    <w:p w14:paraId="34EDCF8F">
      <w:pPr>
        <w:spacing w:before="137" w:line="227" w:lineRule="auto"/>
        <w:ind w:left="165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5-2</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汽车尾气中</w:t>
      </w:r>
      <w:r>
        <w:rPr>
          <w:rFonts w:ascii="宋体" w:hAnsi="宋体" w:eastAsia="宋体" w:cs="宋体"/>
          <w:spacing w:val="2"/>
          <w:sz w:val="23"/>
          <w:szCs w:val="23"/>
        </w:rPr>
        <w:t xml:space="preserve"> </w:t>
      </w:r>
      <w:r>
        <w:rPr>
          <w:rFonts w:ascii="Times New Roman" w:hAnsi="Times New Roman" w:eastAsia="Times New Roman" w:cs="Times New Roman"/>
          <w:b/>
          <w:bCs/>
          <w:sz w:val="23"/>
          <w:szCs w:val="23"/>
        </w:rPr>
        <w:t>CO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THC</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浓度的变化情况</w:t>
      </w:r>
    </w:p>
    <w:p w14:paraId="3080A601">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1"/>
        <w:gridCol w:w="1113"/>
        <w:gridCol w:w="1111"/>
        <w:gridCol w:w="1111"/>
        <w:gridCol w:w="1111"/>
        <w:gridCol w:w="1114"/>
        <w:gridCol w:w="1111"/>
      </w:tblGrid>
      <w:tr w14:paraId="1A39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51" w:type="dxa"/>
            <w:vMerge w:val="restart"/>
            <w:tcBorders>
              <w:left w:val="nil"/>
              <w:bottom w:val="nil"/>
            </w:tcBorders>
            <w:vAlign w:val="top"/>
          </w:tcPr>
          <w:p w14:paraId="0499947E">
            <w:pPr>
              <w:spacing w:before="243" w:line="228" w:lineRule="auto"/>
              <w:ind w:left="515"/>
              <w:rPr>
                <w:rFonts w:ascii="宋体" w:hAnsi="宋体" w:eastAsia="宋体" w:cs="宋体"/>
                <w:sz w:val="20"/>
                <w:szCs w:val="20"/>
              </w:rPr>
            </w:pPr>
            <w:r>
              <w:rPr>
                <w:rFonts w:ascii="宋体" w:hAnsi="宋体" w:eastAsia="宋体" w:cs="宋体"/>
                <w:spacing w:val="8"/>
                <w:sz w:val="20"/>
                <w:szCs w:val="20"/>
              </w:rPr>
              <w:t>行</w:t>
            </w:r>
            <w:r>
              <w:rPr>
                <w:rFonts w:ascii="宋体" w:hAnsi="宋体" w:eastAsia="宋体" w:cs="宋体"/>
                <w:spacing w:val="6"/>
                <w:sz w:val="20"/>
                <w:szCs w:val="20"/>
              </w:rPr>
              <w:t>车情况</w:t>
            </w:r>
          </w:p>
        </w:tc>
        <w:tc>
          <w:tcPr>
            <w:tcW w:w="1113" w:type="dxa"/>
            <w:vMerge w:val="restart"/>
            <w:tcBorders>
              <w:bottom w:val="nil"/>
            </w:tcBorders>
            <w:vAlign w:val="top"/>
          </w:tcPr>
          <w:p w14:paraId="041B3A6B">
            <w:pPr>
              <w:spacing w:before="243" w:line="228" w:lineRule="auto"/>
              <w:ind w:left="357"/>
              <w:rPr>
                <w:rFonts w:ascii="宋体" w:hAnsi="宋体" w:eastAsia="宋体" w:cs="宋体"/>
                <w:sz w:val="20"/>
                <w:szCs w:val="20"/>
              </w:rPr>
            </w:pPr>
            <w:r>
              <w:rPr>
                <w:rFonts w:ascii="宋体" w:hAnsi="宋体" w:eastAsia="宋体" w:cs="宋体"/>
                <w:spacing w:val="2"/>
                <w:sz w:val="20"/>
                <w:szCs w:val="20"/>
              </w:rPr>
              <w:t>空</w:t>
            </w:r>
            <w:r>
              <w:rPr>
                <w:rFonts w:ascii="宋体" w:hAnsi="宋体" w:eastAsia="宋体" w:cs="宋体"/>
                <w:spacing w:val="1"/>
                <w:sz w:val="20"/>
                <w:szCs w:val="20"/>
              </w:rPr>
              <w:t>挡</w:t>
            </w:r>
          </w:p>
        </w:tc>
        <w:tc>
          <w:tcPr>
            <w:tcW w:w="2222" w:type="dxa"/>
            <w:gridSpan w:val="2"/>
            <w:vAlign w:val="top"/>
          </w:tcPr>
          <w:p w14:paraId="7AF04EBF">
            <w:pPr>
              <w:spacing w:before="73" w:line="228" w:lineRule="auto"/>
              <w:ind w:left="701"/>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常行驶</w:t>
            </w:r>
          </w:p>
        </w:tc>
        <w:tc>
          <w:tcPr>
            <w:tcW w:w="2225" w:type="dxa"/>
            <w:gridSpan w:val="2"/>
            <w:vAlign w:val="top"/>
          </w:tcPr>
          <w:p w14:paraId="1BB0C5F0">
            <w:pPr>
              <w:spacing w:before="73" w:line="231" w:lineRule="auto"/>
              <w:ind w:left="908"/>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速</w:t>
            </w:r>
          </w:p>
        </w:tc>
        <w:tc>
          <w:tcPr>
            <w:tcW w:w="1111" w:type="dxa"/>
            <w:vMerge w:val="restart"/>
            <w:tcBorders>
              <w:bottom w:val="nil"/>
              <w:right w:val="nil"/>
            </w:tcBorders>
            <w:vAlign w:val="top"/>
          </w:tcPr>
          <w:p w14:paraId="5BFB3496">
            <w:pPr>
              <w:spacing w:before="244" w:line="229" w:lineRule="auto"/>
              <w:ind w:left="351"/>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速</w:t>
            </w:r>
          </w:p>
        </w:tc>
      </w:tr>
      <w:tr w14:paraId="46D8E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51" w:type="dxa"/>
            <w:vMerge w:val="continue"/>
            <w:tcBorders>
              <w:top w:val="nil"/>
              <w:left w:val="nil"/>
            </w:tcBorders>
            <w:vAlign w:val="top"/>
          </w:tcPr>
          <w:p w14:paraId="0602C932">
            <w:pPr>
              <w:rPr>
                <w:rFonts w:ascii="Arial"/>
                <w:sz w:val="21"/>
              </w:rPr>
            </w:pPr>
          </w:p>
        </w:tc>
        <w:tc>
          <w:tcPr>
            <w:tcW w:w="1113" w:type="dxa"/>
            <w:vMerge w:val="continue"/>
            <w:tcBorders>
              <w:top w:val="nil"/>
            </w:tcBorders>
            <w:vAlign w:val="top"/>
          </w:tcPr>
          <w:p w14:paraId="01050A2E">
            <w:pPr>
              <w:rPr>
                <w:rFonts w:ascii="Arial"/>
                <w:sz w:val="21"/>
              </w:rPr>
            </w:pPr>
          </w:p>
        </w:tc>
        <w:tc>
          <w:tcPr>
            <w:tcW w:w="1111" w:type="dxa"/>
            <w:vAlign w:val="top"/>
          </w:tcPr>
          <w:p w14:paraId="11DBD216">
            <w:pPr>
              <w:spacing w:before="62" w:line="228" w:lineRule="auto"/>
              <w:ind w:left="352"/>
              <w:rPr>
                <w:rFonts w:ascii="宋体" w:hAnsi="宋体" w:eastAsia="宋体" w:cs="宋体"/>
                <w:sz w:val="20"/>
                <w:szCs w:val="20"/>
              </w:rPr>
            </w:pPr>
            <w:r>
              <w:rPr>
                <w:rFonts w:ascii="宋体" w:hAnsi="宋体" w:eastAsia="宋体" w:cs="宋体"/>
                <w:spacing w:val="4"/>
                <w:sz w:val="20"/>
                <w:szCs w:val="20"/>
              </w:rPr>
              <w:t>慢速</w:t>
            </w:r>
          </w:p>
        </w:tc>
        <w:tc>
          <w:tcPr>
            <w:tcW w:w="1111" w:type="dxa"/>
            <w:vAlign w:val="top"/>
          </w:tcPr>
          <w:p w14:paraId="0F42D6DD">
            <w:pPr>
              <w:spacing w:before="62" w:line="228" w:lineRule="auto"/>
              <w:ind w:left="353"/>
              <w:rPr>
                <w:rFonts w:ascii="宋体" w:hAnsi="宋体" w:eastAsia="宋体" w:cs="宋体"/>
                <w:sz w:val="20"/>
                <w:szCs w:val="20"/>
              </w:rPr>
            </w:pPr>
            <w:r>
              <w:rPr>
                <w:rFonts w:ascii="宋体" w:hAnsi="宋体" w:eastAsia="宋体" w:cs="宋体"/>
                <w:spacing w:val="4"/>
                <w:sz w:val="20"/>
                <w:szCs w:val="20"/>
              </w:rPr>
              <w:t>快</w:t>
            </w:r>
            <w:r>
              <w:rPr>
                <w:rFonts w:ascii="宋体" w:hAnsi="宋体" w:eastAsia="宋体" w:cs="宋体"/>
                <w:spacing w:val="3"/>
                <w:sz w:val="20"/>
                <w:szCs w:val="20"/>
              </w:rPr>
              <w:t>速</w:t>
            </w:r>
          </w:p>
        </w:tc>
        <w:tc>
          <w:tcPr>
            <w:tcW w:w="1111" w:type="dxa"/>
            <w:vAlign w:val="top"/>
          </w:tcPr>
          <w:p w14:paraId="74085277">
            <w:pPr>
              <w:spacing w:before="61" w:line="228" w:lineRule="auto"/>
              <w:ind w:left="371"/>
              <w:rPr>
                <w:rFonts w:ascii="宋体" w:hAnsi="宋体" w:eastAsia="宋体" w:cs="宋体"/>
                <w:sz w:val="20"/>
                <w:szCs w:val="20"/>
              </w:rPr>
            </w:pPr>
            <w:r>
              <w:rPr>
                <w:rFonts w:ascii="宋体" w:hAnsi="宋体" w:eastAsia="宋体" w:cs="宋体"/>
                <w:spacing w:val="-5"/>
                <w:sz w:val="20"/>
                <w:szCs w:val="20"/>
              </w:rPr>
              <w:t>中等</w:t>
            </w:r>
          </w:p>
        </w:tc>
        <w:tc>
          <w:tcPr>
            <w:tcW w:w="1114" w:type="dxa"/>
            <w:vAlign w:val="top"/>
          </w:tcPr>
          <w:p w14:paraId="6F89655B">
            <w:pPr>
              <w:spacing w:before="62" w:line="228" w:lineRule="auto"/>
              <w:ind w:left="354"/>
              <w:rPr>
                <w:rFonts w:ascii="宋体" w:hAnsi="宋体" w:eastAsia="宋体" w:cs="宋体"/>
                <w:sz w:val="20"/>
                <w:szCs w:val="20"/>
              </w:rPr>
            </w:pPr>
            <w:r>
              <w:rPr>
                <w:rFonts w:ascii="宋体" w:hAnsi="宋体" w:eastAsia="宋体" w:cs="宋体"/>
                <w:spacing w:val="4"/>
                <w:sz w:val="20"/>
                <w:szCs w:val="20"/>
              </w:rPr>
              <w:t>快</w:t>
            </w:r>
            <w:r>
              <w:rPr>
                <w:rFonts w:ascii="宋体" w:hAnsi="宋体" w:eastAsia="宋体" w:cs="宋体"/>
                <w:spacing w:val="3"/>
                <w:sz w:val="20"/>
                <w:szCs w:val="20"/>
              </w:rPr>
              <w:t>速</w:t>
            </w:r>
          </w:p>
        </w:tc>
        <w:tc>
          <w:tcPr>
            <w:tcW w:w="1111" w:type="dxa"/>
            <w:vMerge w:val="continue"/>
            <w:tcBorders>
              <w:top w:val="nil"/>
              <w:right w:val="nil"/>
            </w:tcBorders>
            <w:vAlign w:val="top"/>
          </w:tcPr>
          <w:p w14:paraId="5960122E">
            <w:pPr>
              <w:rPr>
                <w:rFonts w:ascii="Arial"/>
                <w:sz w:val="21"/>
              </w:rPr>
            </w:pPr>
          </w:p>
        </w:tc>
      </w:tr>
      <w:tr w14:paraId="38B05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51" w:type="dxa"/>
            <w:tcBorders>
              <w:left w:val="nil"/>
            </w:tcBorders>
            <w:vAlign w:val="top"/>
          </w:tcPr>
          <w:p w14:paraId="35D99122">
            <w:pPr>
              <w:spacing w:before="61" w:line="228" w:lineRule="auto"/>
              <w:ind w:left="549"/>
              <w:rPr>
                <w:rFonts w:ascii="宋体" w:hAnsi="宋体" w:eastAsia="宋体" w:cs="宋体"/>
                <w:sz w:val="20"/>
                <w:szCs w:val="20"/>
              </w:rPr>
            </w:pPr>
            <w:r>
              <w:rPr>
                <w:rFonts w:ascii="Times New Roman" w:hAnsi="Times New Roman" w:eastAsia="Times New Roman" w:cs="Times New Roman"/>
                <w:sz w:val="20"/>
                <w:szCs w:val="20"/>
              </w:rPr>
              <w:t>CO</w:t>
            </w:r>
            <w:r>
              <w:rPr>
                <w:rFonts w:ascii="Times New Roman" w:hAnsi="Times New Roman" w:eastAsia="Times New Roman" w:cs="Times New Roman"/>
                <w:spacing w:val="10"/>
                <w:sz w:val="20"/>
                <w:szCs w:val="20"/>
              </w:rPr>
              <w:t xml:space="preserve"> </w:t>
            </w:r>
            <w:r>
              <w:rPr>
                <w:rFonts w:ascii="宋体" w:hAnsi="宋体" w:eastAsia="宋体" w:cs="宋体"/>
                <w:spacing w:val="9"/>
                <w:sz w:val="20"/>
                <w:szCs w:val="20"/>
              </w:rPr>
              <w:t>浓度</w:t>
            </w:r>
          </w:p>
        </w:tc>
        <w:tc>
          <w:tcPr>
            <w:tcW w:w="1113" w:type="dxa"/>
            <w:vAlign w:val="top"/>
          </w:tcPr>
          <w:p w14:paraId="7C74AC66">
            <w:pPr>
              <w:spacing w:before="60" w:line="228" w:lineRule="auto"/>
              <w:ind w:left="461"/>
              <w:rPr>
                <w:rFonts w:ascii="宋体" w:hAnsi="宋体" w:eastAsia="宋体" w:cs="宋体"/>
                <w:sz w:val="20"/>
                <w:szCs w:val="20"/>
              </w:rPr>
            </w:pPr>
            <w:r>
              <w:rPr>
                <w:rFonts w:ascii="宋体" w:hAnsi="宋体" w:eastAsia="宋体" w:cs="宋体"/>
                <w:sz w:val="20"/>
                <w:szCs w:val="20"/>
              </w:rPr>
              <w:t>高</w:t>
            </w:r>
          </w:p>
        </w:tc>
        <w:tc>
          <w:tcPr>
            <w:tcW w:w="1111" w:type="dxa"/>
            <w:vAlign w:val="top"/>
          </w:tcPr>
          <w:p w14:paraId="7EA00ACB">
            <w:pPr>
              <w:spacing w:before="61" w:line="229" w:lineRule="auto"/>
              <w:ind w:left="453"/>
              <w:rPr>
                <w:rFonts w:ascii="宋体" w:hAnsi="宋体" w:eastAsia="宋体" w:cs="宋体"/>
                <w:sz w:val="20"/>
                <w:szCs w:val="20"/>
              </w:rPr>
            </w:pPr>
            <w:r>
              <w:rPr>
                <w:rFonts w:ascii="宋体" w:hAnsi="宋体" w:eastAsia="宋体" w:cs="宋体"/>
                <w:spacing w:val="1"/>
                <w:sz w:val="20"/>
                <w:szCs w:val="20"/>
              </w:rPr>
              <w:t>低</w:t>
            </w:r>
          </w:p>
        </w:tc>
        <w:tc>
          <w:tcPr>
            <w:tcW w:w="1111" w:type="dxa"/>
            <w:vAlign w:val="top"/>
          </w:tcPr>
          <w:p w14:paraId="21490572">
            <w:pPr>
              <w:spacing w:before="61" w:line="228" w:lineRule="auto"/>
              <w:ind w:left="353"/>
              <w:rPr>
                <w:rFonts w:ascii="宋体" w:hAnsi="宋体" w:eastAsia="宋体" w:cs="宋体"/>
                <w:sz w:val="20"/>
                <w:szCs w:val="20"/>
              </w:rPr>
            </w:pPr>
            <w:r>
              <w:rPr>
                <w:rFonts w:ascii="宋体" w:hAnsi="宋体" w:eastAsia="宋体" w:cs="宋体"/>
                <w:spacing w:val="4"/>
                <w:sz w:val="20"/>
                <w:szCs w:val="20"/>
              </w:rPr>
              <w:t>极</w:t>
            </w:r>
            <w:r>
              <w:rPr>
                <w:rFonts w:ascii="宋体" w:hAnsi="宋体" w:eastAsia="宋体" w:cs="宋体"/>
                <w:spacing w:val="3"/>
                <w:sz w:val="20"/>
                <w:szCs w:val="20"/>
              </w:rPr>
              <w:t>低</w:t>
            </w:r>
          </w:p>
        </w:tc>
        <w:tc>
          <w:tcPr>
            <w:tcW w:w="1111" w:type="dxa"/>
            <w:vAlign w:val="top"/>
          </w:tcPr>
          <w:p w14:paraId="106063D3">
            <w:pPr>
              <w:spacing w:before="61" w:line="229" w:lineRule="auto"/>
              <w:ind w:left="453"/>
              <w:rPr>
                <w:rFonts w:ascii="宋体" w:hAnsi="宋体" w:eastAsia="宋体" w:cs="宋体"/>
                <w:sz w:val="20"/>
                <w:szCs w:val="20"/>
              </w:rPr>
            </w:pPr>
            <w:r>
              <w:rPr>
                <w:rFonts w:ascii="宋体" w:hAnsi="宋体" w:eastAsia="宋体" w:cs="宋体"/>
                <w:spacing w:val="1"/>
                <w:sz w:val="20"/>
                <w:szCs w:val="20"/>
              </w:rPr>
              <w:t>低</w:t>
            </w:r>
          </w:p>
        </w:tc>
        <w:tc>
          <w:tcPr>
            <w:tcW w:w="1114" w:type="dxa"/>
            <w:vAlign w:val="top"/>
          </w:tcPr>
          <w:p w14:paraId="0C2574EB">
            <w:pPr>
              <w:spacing w:before="60" w:line="228" w:lineRule="auto"/>
              <w:ind w:left="463"/>
              <w:rPr>
                <w:rFonts w:ascii="宋体" w:hAnsi="宋体" w:eastAsia="宋体" w:cs="宋体"/>
                <w:sz w:val="20"/>
                <w:szCs w:val="20"/>
              </w:rPr>
            </w:pPr>
            <w:r>
              <w:rPr>
                <w:rFonts w:ascii="宋体" w:hAnsi="宋体" w:eastAsia="宋体" w:cs="宋体"/>
                <w:sz w:val="20"/>
                <w:szCs w:val="20"/>
              </w:rPr>
              <w:t>高</w:t>
            </w:r>
          </w:p>
        </w:tc>
        <w:tc>
          <w:tcPr>
            <w:tcW w:w="1111" w:type="dxa"/>
            <w:tcBorders>
              <w:right w:val="nil"/>
            </w:tcBorders>
            <w:vAlign w:val="top"/>
          </w:tcPr>
          <w:p w14:paraId="6F699D0C">
            <w:pPr>
              <w:spacing w:before="61" w:line="229" w:lineRule="auto"/>
              <w:ind w:left="453"/>
              <w:rPr>
                <w:rFonts w:ascii="宋体" w:hAnsi="宋体" w:eastAsia="宋体" w:cs="宋体"/>
                <w:sz w:val="20"/>
                <w:szCs w:val="20"/>
              </w:rPr>
            </w:pPr>
            <w:r>
              <w:rPr>
                <w:rFonts w:ascii="宋体" w:hAnsi="宋体" w:eastAsia="宋体" w:cs="宋体"/>
                <w:spacing w:val="1"/>
                <w:sz w:val="20"/>
                <w:szCs w:val="20"/>
              </w:rPr>
              <w:t>低</w:t>
            </w:r>
          </w:p>
        </w:tc>
      </w:tr>
      <w:tr w14:paraId="5516A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851" w:type="dxa"/>
            <w:tcBorders>
              <w:left w:val="nil"/>
            </w:tcBorders>
            <w:vAlign w:val="top"/>
          </w:tcPr>
          <w:p w14:paraId="3639BFB1">
            <w:pPr>
              <w:spacing w:before="63" w:line="228" w:lineRule="auto"/>
              <w:ind w:left="486"/>
              <w:rPr>
                <w:rFonts w:ascii="宋体" w:hAnsi="宋体" w:eastAsia="宋体" w:cs="宋体"/>
                <w:sz w:val="20"/>
                <w:szCs w:val="20"/>
              </w:rPr>
            </w:pPr>
            <w:r>
              <w:rPr>
                <w:rFonts w:ascii="Times New Roman" w:hAnsi="Times New Roman" w:eastAsia="Times New Roman" w:cs="Times New Roman"/>
                <w:sz w:val="20"/>
                <w:szCs w:val="20"/>
              </w:rPr>
              <w:t>THC</w:t>
            </w:r>
            <w:r>
              <w:rPr>
                <w:rFonts w:ascii="Times New Roman" w:hAnsi="Times New Roman" w:eastAsia="Times New Roman" w:cs="Times New Roman"/>
                <w:spacing w:val="12"/>
                <w:sz w:val="20"/>
                <w:szCs w:val="20"/>
              </w:rPr>
              <w:t xml:space="preserve"> </w:t>
            </w:r>
            <w:r>
              <w:rPr>
                <w:rFonts w:ascii="宋体" w:hAnsi="宋体" w:eastAsia="宋体" w:cs="宋体"/>
                <w:spacing w:val="11"/>
                <w:sz w:val="20"/>
                <w:szCs w:val="20"/>
              </w:rPr>
              <w:t>浓度</w:t>
            </w:r>
          </w:p>
        </w:tc>
        <w:tc>
          <w:tcPr>
            <w:tcW w:w="1113" w:type="dxa"/>
            <w:vAlign w:val="top"/>
          </w:tcPr>
          <w:p w14:paraId="3AFCDFAB">
            <w:pPr>
              <w:spacing w:before="62" w:line="228" w:lineRule="auto"/>
              <w:ind w:left="461"/>
              <w:rPr>
                <w:rFonts w:ascii="宋体" w:hAnsi="宋体" w:eastAsia="宋体" w:cs="宋体"/>
                <w:sz w:val="20"/>
                <w:szCs w:val="20"/>
              </w:rPr>
            </w:pPr>
            <w:r>
              <w:rPr>
                <w:rFonts w:ascii="宋体" w:hAnsi="宋体" w:eastAsia="宋体" w:cs="宋体"/>
                <w:sz w:val="20"/>
                <w:szCs w:val="20"/>
              </w:rPr>
              <w:t>高</w:t>
            </w:r>
          </w:p>
        </w:tc>
        <w:tc>
          <w:tcPr>
            <w:tcW w:w="1111" w:type="dxa"/>
            <w:vAlign w:val="top"/>
          </w:tcPr>
          <w:p w14:paraId="38883974">
            <w:pPr>
              <w:spacing w:before="63" w:line="229" w:lineRule="auto"/>
              <w:ind w:left="453"/>
              <w:rPr>
                <w:rFonts w:ascii="宋体" w:hAnsi="宋体" w:eastAsia="宋体" w:cs="宋体"/>
                <w:sz w:val="20"/>
                <w:szCs w:val="20"/>
              </w:rPr>
            </w:pPr>
            <w:r>
              <w:rPr>
                <w:rFonts w:ascii="宋体" w:hAnsi="宋体" w:eastAsia="宋体" w:cs="宋体"/>
                <w:spacing w:val="1"/>
                <w:sz w:val="20"/>
                <w:szCs w:val="20"/>
              </w:rPr>
              <w:t>低</w:t>
            </w:r>
          </w:p>
        </w:tc>
        <w:tc>
          <w:tcPr>
            <w:tcW w:w="1111" w:type="dxa"/>
            <w:vAlign w:val="top"/>
          </w:tcPr>
          <w:p w14:paraId="2F8DC95B">
            <w:pPr>
              <w:spacing w:before="63" w:line="228" w:lineRule="auto"/>
              <w:ind w:left="353"/>
              <w:rPr>
                <w:rFonts w:ascii="宋体" w:hAnsi="宋体" w:eastAsia="宋体" w:cs="宋体"/>
                <w:sz w:val="20"/>
                <w:szCs w:val="20"/>
              </w:rPr>
            </w:pPr>
            <w:r>
              <w:rPr>
                <w:rFonts w:ascii="宋体" w:hAnsi="宋体" w:eastAsia="宋体" w:cs="宋体"/>
                <w:spacing w:val="4"/>
                <w:sz w:val="20"/>
                <w:szCs w:val="20"/>
              </w:rPr>
              <w:t>极</w:t>
            </w:r>
            <w:r>
              <w:rPr>
                <w:rFonts w:ascii="宋体" w:hAnsi="宋体" w:eastAsia="宋体" w:cs="宋体"/>
                <w:spacing w:val="3"/>
                <w:sz w:val="20"/>
                <w:szCs w:val="20"/>
              </w:rPr>
              <w:t>低</w:t>
            </w:r>
          </w:p>
        </w:tc>
        <w:tc>
          <w:tcPr>
            <w:tcW w:w="1111" w:type="dxa"/>
            <w:vAlign w:val="top"/>
          </w:tcPr>
          <w:p w14:paraId="0FFD6896">
            <w:pPr>
              <w:spacing w:before="63" w:line="229" w:lineRule="auto"/>
              <w:ind w:left="453"/>
              <w:rPr>
                <w:rFonts w:ascii="宋体" w:hAnsi="宋体" w:eastAsia="宋体" w:cs="宋体"/>
                <w:sz w:val="20"/>
                <w:szCs w:val="20"/>
              </w:rPr>
            </w:pPr>
            <w:r>
              <w:rPr>
                <w:rFonts w:ascii="宋体" w:hAnsi="宋体" w:eastAsia="宋体" w:cs="宋体"/>
                <w:spacing w:val="1"/>
                <w:sz w:val="20"/>
                <w:szCs w:val="20"/>
              </w:rPr>
              <w:t>低</w:t>
            </w:r>
          </w:p>
        </w:tc>
        <w:tc>
          <w:tcPr>
            <w:tcW w:w="1114" w:type="dxa"/>
            <w:vAlign w:val="top"/>
          </w:tcPr>
          <w:p w14:paraId="77D91BAB">
            <w:pPr>
              <w:spacing w:before="62" w:line="228" w:lineRule="auto"/>
              <w:ind w:left="371"/>
              <w:rPr>
                <w:rFonts w:ascii="宋体" w:hAnsi="宋体" w:eastAsia="宋体" w:cs="宋体"/>
                <w:sz w:val="20"/>
                <w:szCs w:val="20"/>
              </w:rPr>
            </w:pPr>
            <w:r>
              <w:rPr>
                <w:rFonts w:ascii="宋体" w:hAnsi="宋体" w:eastAsia="宋体" w:cs="宋体"/>
                <w:spacing w:val="-5"/>
                <w:sz w:val="20"/>
                <w:szCs w:val="20"/>
              </w:rPr>
              <w:t>中等</w:t>
            </w:r>
          </w:p>
        </w:tc>
        <w:tc>
          <w:tcPr>
            <w:tcW w:w="1111" w:type="dxa"/>
            <w:tcBorders>
              <w:right w:val="nil"/>
            </w:tcBorders>
            <w:vAlign w:val="top"/>
          </w:tcPr>
          <w:p w14:paraId="0F8FB744">
            <w:pPr>
              <w:spacing w:before="63" w:line="229" w:lineRule="auto"/>
              <w:ind w:left="453"/>
              <w:rPr>
                <w:rFonts w:ascii="宋体" w:hAnsi="宋体" w:eastAsia="宋体" w:cs="宋体"/>
                <w:sz w:val="20"/>
                <w:szCs w:val="20"/>
              </w:rPr>
            </w:pPr>
            <w:r>
              <w:rPr>
                <w:rFonts w:ascii="宋体" w:hAnsi="宋体" w:eastAsia="宋体" w:cs="宋体"/>
                <w:spacing w:val="1"/>
                <w:sz w:val="20"/>
                <w:szCs w:val="20"/>
              </w:rPr>
              <w:t>低</w:t>
            </w:r>
          </w:p>
        </w:tc>
      </w:tr>
    </w:tbl>
    <w:p w14:paraId="29EC0E3F">
      <w:pPr>
        <w:spacing w:line="261" w:lineRule="auto"/>
        <w:rPr>
          <w:rFonts w:ascii="Arial"/>
          <w:sz w:val="21"/>
        </w:rPr>
      </w:pPr>
    </w:p>
    <w:p w14:paraId="20F08F44">
      <w:pPr>
        <w:spacing w:before="75" w:line="390" w:lineRule="auto"/>
        <w:ind w:left="117" w:right="107" w:firstLine="479"/>
        <w:rPr>
          <w:rFonts w:ascii="宋体" w:hAnsi="宋体" w:eastAsia="宋体" w:cs="宋体"/>
          <w:sz w:val="23"/>
          <w:szCs w:val="23"/>
        </w:rPr>
      </w:pPr>
      <w:r>
        <w:rPr>
          <w:rFonts w:ascii="宋体" w:hAnsi="宋体" w:eastAsia="宋体" w:cs="宋体"/>
          <w:spacing w:val="7"/>
          <w:sz w:val="23"/>
          <w:szCs w:val="23"/>
        </w:rPr>
        <w:t>在施工过程中施工方应保证施工机械及车辆运行状态的良好。在机械、车</w:t>
      </w:r>
      <w:r>
        <w:rPr>
          <w:rFonts w:ascii="宋体" w:hAnsi="宋体" w:eastAsia="宋体" w:cs="宋体"/>
          <w:spacing w:val="3"/>
          <w:sz w:val="23"/>
          <w:szCs w:val="23"/>
        </w:rPr>
        <w:t>辆</w:t>
      </w:r>
      <w:r>
        <w:rPr>
          <w:rFonts w:ascii="宋体" w:hAnsi="宋体" w:eastAsia="宋体" w:cs="宋体"/>
          <w:sz w:val="23"/>
          <w:szCs w:val="23"/>
        </w:rPr>
        <w:t xml:space="preserve"> </w:t>
      </w:r>
      <w:r>
        <w:rPr>
          <w:rFonts w:ascii="宋体" w:hAnsi="宋体" w:eastAsia="宋体" w:cs="宋体"/>
          <w:spacing w:val="9"/>
          <w:sz w:val="23"/>
          <w:szCs w:val="23"/>
        </w:rPr>
        <w:t>运</w:t>
      </w:r>
      <w:r>
        <w:rPr>
          <w:rFonts w:ascii="宋体" w:hAnsi="宋体" w:eastAsia="宋体" w:cs="宋体"/>
          <w:spacing w:val="7"/>
          <w:sz w:val="23"/>
          <w:szCs w:val="23"/>
        </w:rPr>
        <w:t>转状况良好的条件下，产生的上述污染物浓度较低，不会对环境空气质量产生</w:t>
      </w:r>
      <w:r>
        <w:rPr>
          <w:rFonts w:ascii="宋体" w:hAnsi="宋体" w:eastAsia="宋体" w:cs="宋体"/>
          <w:sz w:val="23"/>
          <w:szCs w:val="23"/>
        </w:rPr>
        <w:t xml:space="preserve"> </w:t>
      </w:r>
      <w:r>
        <w:rPr>
          <w:rFonts w:ascii="宋体" w:hAnsi="宋体" w:eastAsia="宋体" w:cs="宋体"/>
          <w:spacing w:val="9"/>
          <w:sz w:val="23"/>
          <w:szCs w:val="23"/>
        </w:rPr>
        <w:t>较</w:t>
      </w:r>
      <w:r>
        <w:rPr>
          <w:rFonts w:ascii="宋体" w:hAnsi="宋体" w:eastAsia="宋体" w:cs="宋体"/>
          <w:spacing w:val="7"/>
          <w:sz w:val="23"/>
          <w:szCs w:val="23"/>
        </w:rPr>
        <w:t>明显的影响，并且施工期在一般情况下相对运营期较短，主体建筑物施工结束</w:t>
      </w:r>
    </w:p>
    <w:p w14:paraId="0405DAE5">
      <w:pPr>
        <w:sectPr>
          <w:headerReference r:id="rId198" w:type="default"/>
          <w:footerReference r:id="rId199" w:type="default"/>
          <w:pgSz w:w="11906" w:h="16839"/>
          <w:pgMar w:top="1132" w:right="1691" w:bottom="1182" w:left="1691" w:header="878" w:footer="1022" w:gutter="0"/>
          <w:cols w:space="720" w:num="1"/>
        </w:sectPr>
      </w:pPr>
    </w:p>
    <w:p w14:paraId="2B5491CB">
      <w:pPr>
        <w:spacing w:line="409" w:lineRule="auto"/>
        <w:rPr>
          <w:rFonts w:ascii="Arial"/>
          <w:sz w:val="21"/>
        </w:rPr>
      </w:pPr>
      <w:r>
        <w:pict>
          <v:shape id="_x0000_s1238" o:spid="_x0000_s1238" style="position:absolute;left:0pt;margin-left:90pt;margin-top:57.35pt;height:0.75pt;width:415.3pt;mso-position-horizontal-relative:page;mso-position-vertical-relative:page;z-index:251896832;mso-width-relative:page;mso-height-relative:page;" fillcolor="#000000" filled="t" stroked="f" coordsize="8305,15" o:allowincell="f" path="m0,0l8305,0,8305,14,0,14,0,0xe">
            <v:path/>
            <v:fill on="t" focussize="0,0"/>
            <v:stroke on="f"/>
            <v:imagedata o:title=""/>
            <o:lock v:ext="edit"/>
          </v:shape>
        </w:pict>
      </w:r>
    </w:p>
    <w:p w14:paraId="0C8E06F1">
      <w:pPr>
        <w:spacing w:before="74" w:line="393" w:lineRule="auto"/>
        <w:ind w:left="117" w:right="113" w:firstLine="1"/>
        <w:rPr>
          <w:rFonts w:ascii="宋体" w:hAnsi="宋体" w:eastAsia="宋体" w:cs="宋体"/>
          <w:sz w:val="23"/>
          <w:szCs w:val="23"/>
        </w:rPr>
      </w:pPr>
      <w:r>
        <w:rPr>
          <w:rFonts w:ascii="宋体" w:hAnsi="宋体" w:eastAsia="宋体" w:cs="宋体"/>
          <w:spacing w:val="7"/>
          <w:sz w:val="23"/>
          <w:szCs w:val="23"/>
        </w:rPr>
        <w:t>后，施工机械即停止运转，因此施工机械对环境的影响仅是暂时性的，不会对当</w:t>
      </w:r>
      <w:r>
        <w:rPr>
          <w:rFonts w:ascii="宋体" w:hAnsi="宋体" w:eastAsia="宋体" w:cs="宋体"/>
          <w:sz w:val="23"/>
          <w:szCs w:val="23"/>
        </w:rPr>
        <w:t xml:space="preserve"> </w:t>
      </w:r>
      <w:r>
        <w:rPr>
          <w:rFonts w:ascii="宋体" w:hAnsi="宋体" w:eastAsia="宋体" w:cs="宋体"/>
          <w:spacing w:val="16"/>
          <w:sz w:val="23"/>
          <w:szCs w:val="23"/>
        </w:rPr>
        <w:t>地</w:t>
      </w:r>
      <w:r>
        <w:rPr>
          <w:rFonts w:ascii="宋体" w:hAnsi="宋体" w:eastAsia="宋体" w:cs="宋体"/>
          <w:spacing w:val="12"/>
          <w:sz w:val="23"/>
          <w:szCs w:val="23"/>
        </w:rPr>
        <w:t>的</w:t>
      </w:r>
      <w:r>
        <w:rPr>
          <w:rFonts w:ascii="宋体" w:hAnsi="宋体" w:eastAsia="宋体" w:cs="宋体"/>
          <w:spacing w:val="8"/>
          <w:sz w:val="23"/>
          <w:szCs w:val="23"/>
        </w:rPr>
        <w:t>环境空气质量带来长久的影响。</w:t>
      </w:r>
    </w:p>
    <w:p w14:paraId="79CC704C">
      <w:pPr>
        <w:spacing w:before="84"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14"/>
          <w:sz w:val="29"/>
          <w:szCs w:val="29"/>
        </w:rPr>
        <w:t>5</w:t>
      </w:r>
      <w:r>
        <w:rPr>
          <w:rFonts w:ascii="Times New Roman" w:hAnsi="Times New Roman" w:eastAsia="Times New Roman" w:cs="Times New Roman"/>
          <w:b/>
          <w:bCs/>
          <w:spacing w:val="9"/>
          <w:sz w:val="29"/>
          <w:szCs w:val="29"/>
        </w:rPr>
        <w:t>.</w:t>
      </w:r>
      <w:r>
        <w:rPr>
          <w:rFonts w:ascii="Times New Roman" w:hAnsi="Times New Roman" w:eastAsia="Times New Roman" w:cs="Times New Roman"/>
          <w:b/>
          <w:bCs/>
          <w:spacing w:val="7"/>
          <w:sz w:val="29"/>
          <w:szCs w:val="29"/>
        </w:rPr>
        <w:t>1.2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施工期水环境影响分析</w:t>
      </w:r>
    </w:p>
    <w:p w14:paraId="3F517B67">
      <w:pPr>
        <w:spacing w:line="257" w:lineRule="auto"/>
        <w:rPr>
          <w:rFonts w:ascii="Arial"/>
          <w:sz w:val="21"/>
        </w:rPr>
      </w:pPr>
    </w:p>
    <w:p w14:paraId="28AE0378">
      <w:pPr>
        <w:spacing w:before="74" w:line="227" w:lineRule="auto"/>
        <w:ind w:left="596"/>
        <w:rPr>
          <w:rFonts w:ascii="宋体" w:hAnsi="宋体" w:eastAsia="宋体" w:cs="宋体"/>
          <w:sz w:val="23"/>
          <w:szCs w:val="23"/>
        </w:rPr>
      </w:pPr>
      <w:r>
        <w:rPr>
          <w:rFonts w:ascii="宋体" w:hAnsi="宋体" w:eastAsia="宋体" w:cs="宋体"/>
          <w:spacing w:val="12"/>
          <w:sz w:val="23"/>
          <w:szCs w:val="23"/>
        </w:rPr>
        <w:t>施</w:t>
      </w:r>
      <w:r>
        <w:rPr>
          <w:rFonts w:ascii="宋体" w:hAnsi="宋体" w:eastAsia="宋体" w:cs="宋体"/>
          <w:spacing w:val="9"/>
          <w:sz w:val="23"/>
          <w:szCs w:val="23"/>
        </w:rPr>
        <w:t>工期产生的废水主要包括施工废水和生活污水。</w:t>
      </w:r>
    </w:p>
    <w:p w14:paraId="6BCA1EA4">
      <w:pPr>
        <w:spacing w:line="275" w:lineRule="auto"/>
        <w:rPr>
          <w:rFonts w:ascii="Arial"/>
          <w:sz w:val="21"/>
        </w:rPr>
      </w:pPr>
    </w:p>
    <w:p w14:paraId="2CE48DF0">
      <w:pPr>
        <w:spacing w:before="75" w:line="394" w:lineRule="auto"/>
        <w:ind w:left="120" w:right="113" w:firstLine="479"/>
        <w:rPr>
          <w:rFonts w:ascii="宋体" w:hAnsi="宋体" w:eastAsia="宋体" w:cs="宋体"/>
          <w:sz w:val="23"/>
          <w:szCs w:val="23"/>
        </w:rPr>
      </w:pPr>
      <w:r>
        <w:rPr>
          <w:rFonts w:ascii="宋体" w:hAnsi="宋体" w:eastAsia="宋体" w:cs="宋体"/>
          <w:spacing w:val="9"/>
          <w:sz w:val="23"/>
          <w:szCs w:val="23"/>
        </w:rPr>
        <w:t>生</w:t>
      </w:r>
      <w:r>
        <w:rPr>
          <w:rFonts w:ascii="宋体" w:hAnsi="宋体" w:eastAsia="宋体" w:cs="宋体"/>
          <w:spacing w:val="8"/>
          <w:sz w:val="23"/>
          <w:szCs w:val="23"/>
        </w:rPr>
        <w:t xml:space="preserve">活污水：本项目施工期生活污水主要成分为 </w:t>
      </w:r>
      <w:r>
        <w:rPr>
          <w:rFonts w:ascii="Times New Roman" w:hAnsi="Times New Roman" w:eastAsia="Times New Roman" w:cs="Times New Roman"/>
          <w:sz w:val="23"/>
          <w:szCs w:val="23"/>
        </w:rPr>
        <w:t>COD</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和氨氮，排入自建防渗</w:t>
      </w:r>
      <w:r>
        <w:rPr>
          <w:rFonts w:ascii="宋体" w:hAnsi="宋体" w:eastAsia="宋体" w:cs="宋体"/>
          <w:sz w:val="23"/>
          <w:szCs w:val="23"/>
        </w:rPr>
        <w:t xml:space="preserve"> </w:t>
      </w:r>
      <w:r>
        <w:rPr>
          <w:rFonts w:ascii="宋体" w:hAnsi="宋体" w:eastAsia="宋体" w:cs="宋体"/>
          <w:spacing w:val="8"/>
          <w:sz w:val="23"/>
          <w:szCs w:val="23"/>
        </w:rPr>
        <w:t>旱</w:t>
      </w:r>
      <w:r>
        <w:rPr>
          <w:rFonts w:ascii="宋体" w:hAnsi="宋体" w:eastAsia="宋体" w:cs="宋体"/>
          <w:spacing w:val="7"/>
          <w:sz w:val="23"/>
          <w:szCs w:val="23"/>
        </w:rPr>
        <w:t>厕，定期清掏。</w:t>
      </w:r>
    </w:p>
    <w:p w14:paraId="7E628A28">
      <w:pPr>
        <w:spacing w:before="136" w:line="389" w:lineRule="auto"/>
        <w:ind w:left="116" w:right="113" w:firstLine="480"/>
        <w:rPr>
          <w:rFonts w:ascii="宋体" w:hAnsi="宋体" w:eastAsia="宋体" w:cs="宋体"/>
          <w:sz w:val="23"/>
          <w:szCs w:val="23"/>
        </w:rPr>
      </w:pPr>
      <w:r>
        <w:rPr>
          <w:rFonts w:ascii="宋体" w:hAnsi="宋体" w:eastAsia="宋体" w:cs="宋体"/>
          <w:spacing w:val="7"/>
          <w:sz w:val="23"/>
          <w:szCs w:val="23"/>
        </w:rPr>
        <w:t>施工废水：施工临时用地如储料厂、施工机械、车辆停放区等，其中施工</w:t>
      </w:r>
      <w:r>
        <w:rPr>
          <w:rFonts w:ascii="宋体" w:hAnsi="宋体" w:eastAsia="宋体" w:cs="宋体"/>
          <w:spacing w:val="3"/>
          <w:sz w:val="23"/>
          <w:szCs w:val="23"/>
        </w:rPr>
        <w:t>机</w:t>
      </w:r>
      <w:r>
        <w:rPr>
          <w:rFonts w:ascii="宋体" w:hAnsi="宋体" w:eastAsia="宋体" w:cs="宋体"/>
          <w:sz w:val="23"/>
          <w:szCs w:val="23"/>
        </w:rPr>
        <w:t xml:space="preserve"> </w:t>
      </w:r>
      <w:r>
        <w:rPr>
          <w:rFonts w:ascii="宋体" w:hAnsi="宋体" w:eastAsia="宋体" w:cs="宋体"/>
          <w:spacing w:val="8"/>
          <w:sz w:val="23"/>
          <w:szCs w:val="23"/>
        </w:rPr>
        <w:t xml:space="preserve">械、车辆停放维修区在设备冲洗时将产生含石油类物质和 </w:t>
      </w:r>
      <w:r>
        <w:rPr>
          <w:rFonts w:ascii="Times New Roman" w:hAnsi="Times New Roman" w:eastAsia="Times New Roman" w:cs="Times New Roman"/>
          <w:sz w:val="23"/>
          <w:szCs w:val="23"/>
        </w:rPr>
        <w:t>SS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的废水，经隔油</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9"/>
          <w:sz w:val="23"/>
          <w:szCs w:val="23"/>
        </w:rPr>
        <w:t>沉</w:t>
      </w:r>
      <w:r>
        <w:rPr>
          <w:rFonts w:ascii="宋体" w:hAnsi="宋体" w:eastAsia="宋体" w:cs="宋体"/>
          <w:spacing w:val="7"/>
          <w:sz w:val="23"/>
          <w:szCs w:val="23"/>
        </w:rPr>
        <w:t>淀后用于厂区洒水降尘，不会对周围水体造成不良影响，并且随着施工的结束</w:t>
      </w:r>
      <w:r>
        <w:rPr>
          <w:rFonts w:ascii="宋体" w:hAnsi="宋体" w:eastAsia="宋体" w:cs="宋体"/>
          <w:sz w:val="23"/>
          <w:szCs w:val="23"/>
        </w:rPr>
        <w:t xml:space="preserve"> </w:t>
      </w:r>
      <w:r>
        <w:rPr>
          <w:rFonts w:ascii="宋体" w:hAnsi="宋体" w:eastAsia="宋体" w:cs="宋体"/>
          <w:spacing w:val="8"/>
          <w:sz w:val="23"/>
          <w:szCs w:val="23"/>
        </w:rPr>
        <w:t>该影响也随着结束</w:t>
      </w:r>
      <w:r>
        <w:rPr>
          <w:rFonts w:ascii="宋体" w:hAnsi="宋体" w:eastAsia="宋体" w:cs="宋体"/>
          <w:spacing w:val="7"/>
          <w:sz w:val="23"/>
          <w:szCs w:val="23"/>
        </w:rPr>
        <w:t>。</w:t>
      </w:r>
    </w:p>
    <w:p w14:paraId="7EDF9D19">
      <w:pPr>
        <w:spacing w:before="86"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8"/>
          <w:sz w:val="29"/>
          <w:szCs w:val="29"/>
        </w:rPr>
        <w:t>5</w:t>
      </w:r>
      <w:r>
        <w:rPr>
          <w:rFonts w:ascii="Times New Roman" w:hAnsi="Times New Roman" w:eastAsia="Times New Roman" w:cs="Times New Roman"/>
          <w:b/>
          <w:bCs/>
          <w:spacing w:val="7"/>
          <w:sz w:val="29"/>
          <w:szCs w:val="29"/>
        </w:rPr>
        <w:t>.1.3</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施工期噪声影响分析</w:t>
      </w:r>
    </w:p>
    <w:p w14:paraId="6D34FEAF">
      <w:pPr>
        <w:spacing w:line="257" w:lineRule="auto"/>
        <w:rPr>
          <w:rFonts w:ascii="Arial"/>
          <w:sz w:val="21"/>
        </w:rPr>
      </w:pPr>
    </w:p>
    <w:p w14:paraId="75FBD0A4">
      <w:pPr>
        <w:spacing w:before="75" w:line="389" w:lineRule="auto"/>
        <w:ind w:left="118" w:right="49" w:firstLine="482"/>
        <w:rPr>
          <w:rFonts w:ascii="宋体" w:hAnsi="宋体" w:eastAsia="宋体" w:cs="宋体"/>
          <w:sz w:val="23"/>
          <w:szCs w:val="23"/>
        </w:rPr>
      </w:pPr>
      <w:r>
        <w:rPr>
          <w:rFonts w:ascii="宋体" w:hAnsi="宋体" w:eastAsia="宋体" w:cs="宋体"/>
          <w:spacing w:val="12"/>
          <w:sz w:val="23"/>
          <w:szCs w:val="23"/>
        </w:rPr>
        <w:t>项目施工</w:t>
      </w:r>
      <w:r>
        <w:rPr>
          <w:rFonts w:ascii="宋体" w:hAnsi="宋体" w:eastAsia="宋体" w:cs="宋体"/>
          <w:spacing w:val="7"/>
          <w:sz w:val="23"/>
          <w:szCs w:val="23"/>
        </w:rPr>
        <w:t>期</w:t>
      </w:r>
      <w:r>
        <w:rPr>
          <w:rFonts w:ascii="宋体" w:hAnsi="宋体" w:eastAsia="宋体" w:cs="宋体"/>
          <w:spacing w:val="6"/>
          <w:sz w:val="23"/>
          <w:szCs w:val="23"/>
        </w:rPr>
        <w:t>噪声主要是施工现场的机械设备运行及作业中产生的噪声，以及</w:t>
      </w:r>
      <w:r>
        <w:rPr>
          <w:rFonts w:ascii="宋体" w:hAnsi="宋体" w:eastAsia="宋体" w:cs="宋体"/>
          <w:sz w:val="23"/>
          <w:szCs w:val="23"/>
        </w:rPr>
        <w:t xml:space="preserve"> </w:t>
      </w:r>
      <w:r>
        <w:rPr>
          <w:rFonts w:ascii="宋体" w:hAnsi="宋体" w:eastAsia="宋体" w:cs="宋体"/>
          <w:spacing w:val="4"/>
          <w:sz w:val="23"/>
          <w:szCs w:val="23"/>
        </w:rPr>
        <w:t>车辆运</w:t>
      </w:r>
      <w:r>
        <w:rPr>
          <w:rFonts w:ascii="宋体" w:hAnsi="宋体" w:eastAsia="宋体" w:cs="宋体"/>
          <w:spacing w:val="3"/>
          <w:sz w:val="23"/>
          <w:szCs w:val="23"/>
        </w:rPr>
        <w:t>输</w:t>
      </w:r>
      <w:r>
        <w:rPr>
          <w:rFonts w:ascii="宋体" w:hAnsi="宋体" w:eastAsia="宋体" w:cs="宋体"/>
          <w:spacing w:val="2"/>
          <w:sz w:val="23"/>
          <w:szCs w:val="23"/>
        </w:rPr>
        <w:t>产生的噪声，这些噪声源的数量和种类较多，既有固定源，也有流动源，</w:t>
      </w:r>
      <w:r>
        <w:rPr>
          <w:rFonts w:ascii="宋体" w:hAnsi="宋体" w:eastAsia="宋体" w:cs="宋体"/>
          <w:sz w:val="23"/>
          <w:szCs w:val="23"/>
        </w:rPr>
        <w:t xml:space="preserve"> </w:t>
      </w:r>
      <w:r>
        <w:rPr>
          <w:rFonts w:ascii="宋体" w:hAnsi="宋体" w:eastAsia="宋体" w:cs="宋体"/>
          <w:spacing w:val="12"/>
          <w:sz w:val="23"/>
          <w:szCs w:val="23"/>
        </w:rPr>
        <w:t>有的是连</w:t>
      </w:r>
      <w:r>
        <w:rPr>
          <w:rFonts w:ascii="宋体" w:hAnsi="宋体" w:eastAsia="宋体" w:cs="宋体"/>
          <w:spacing w:val="6"/>
          <w:sz w:val="23"/>
          <w:szCs w:val="23"/>
        </w:rPr>
        <w:t>续源，也有不少属瞬时源 (突发性噪声) ，且一般噪声源强较大，对周</w:t>
      </w:r>
      <w:r>
        <w:rPr>
          <w:rFonts w:ascii="宋体" w:hAnsi="宋体" w:eastAsia="宋体" w:cs="宋体"/>
          <w:sz w:val="23"/>
          <w:szCs w:val="23"/>
        </w:rPr>
        <w:t xml:space="preserve"> </w:t>
      </w:r>
      <w:r>
        <w:rPr>
          <w:rFonts w:ascii="宋体" w:hAnsi="宋体" w:eastAsia="宋体" w:cs="宋体"/>
          <w:spacing w:val="10"/>
          <w:sz w:val="23"/>
          <w:szCs w:val="23"/>
        </w:rPr>
        <w:t>围</w:t>
      </w:r>
      <w:r>
        <w:rPr>
          <w:rFonts w:ascii="宋体" w:hAnsi="宋体" w:eastAsia="宋体" w:cs="宋体"/>
          <w:spacing w:val="7"/>
          <w:sz w:val="23"/>
          <w:szCs w:val="23"/>
        </w:rPr>
        <w:t>环境影响较大。</w:t>
      </w:r>
    </w:p>
    <w:p w14:paraId="1BFF9DB8">
      <w:pPr>
        <w:spacing w:before="135" w:line="393" w:lineRule="auto"/>
        <w:ind w:left="122" w:right="113" w:firstLine="475"/>
        <w:rPr>
          <w:rFonts w:ascii="宋体" w:hAnsi="宋体" w:eastAsia="宋体" w:cs="宋体"/>
          <w:sz w:val="23"/>
          <w:szCs w:val="23"/>
        </w:rPr>
      </w:pPr>
      <w:r>
        <w:rPr>
          <w:rFonts w:ascii="宋体" w:hAnsi="宋体" w:eastAsia="宋体" w:cs="宋体"/>
          <w:spacing w:val="7"/>
          <w:sz w:val="23"/>
          <w:szCs w:val="23"/>
        </w:rPr>
        <w:t>根据类比相关资料，仅按点声源的距离衰减估算，各施工段主要使用设备</w:t>
      </w:r>
      <w:r>
        <w:rPr>
          <w:rFonts w:ascii="宋体" w:hAnsi="宋体" w:eastAsia="宋体" w:cs="宋体"/>
          <w:spacing w:val="3"/>
          <w:sz w:val="23"/>
          <w:szCs w:val="23"/>
        </w:rPr>
        <w:t>噪</w:t>
      </w:r>
      <w:r>
        <w:rPr>
          <w:rFonts w:ascii="宋体" w:hAnsi="宋体" w:eastAsia="宋体" w:cs="宋体"/>
          <w:sz w:val="23"/>
          <w:szCs w:val="23"/>
        </w:rPr>
        <w:t xml:space="preserve"> </w:t>
      </w:r>
      <w:r>
        <w:rPr>
          <w:rFonts w:ascii="宋体" w:hAnsi="宋体" w:eastAsia="宋体" w:cs="宋体"/>
          <w:spacing w:val="7"/>
          <w:sz w:val="23"/>
          <w:szCs w:val="23"/>
        </w:rPr>
        <w:t xml:space="preserve">声源强及各施工期主要施工机械对应于不同噪声限值的干扰半径见表 </w:t>
      </w:r>
      <w:r>
        <w:rPr>
          <w:rFonts w:ascii="Times New Roman" w:hAnsi="Times New Roman" w:eastAsia="Times New Roman" w:cs="Times New Roman"/>
          <w:spacing w:val="7"/>
          <w:sz w:val="23"/>
          <w:szCs w:val="23"/>
        </w:rPr>
        <w:t>5-3</w:t>
      </w:r>
      <w:r>
        <w:rPr>
          <w:rFonts w:ascii="宋体" w:hAnsi="宋体" w:eastAsia="宋体" w:cs="宋体"/>
          <w:spacing w:val="5"/>
          <w:sz w:val="23"/>
          <w:szCs w:val="23"/>
        </w:rPr>
        <w:t>：</w:t>
      </w:r>
    </w:p>
    <w:p w14:paraId="0D31E7C4">
      <w:pPr>
        <w:spacing w:before="137" w:line="227" w:lineRule="auto"/>
        <w:ind w:left="13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各种施工机械对应于不同噪声限值的干扰半径</w:t>
      </w:r>
    </w:p>
    <w:p w14:paraId="75F65401">
      <w:pPr>
        <w:spacing w:line="18" w:lineRule="exact"/>
      </w:pPr>
    </w:p>
    <w:tbl>
      <w:tblPr>
        <w:tblStyle w:val="4"/>
        <w:tblW w:w="85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67"/>
        <w:gridCol w:w="1950"/>
        <w:gridCol w:w="1371"/>
        <w:gridCol w:w="1370"/>
        <w:gridCol w:w="1369"/>
      </w:tblGrid>
      <w:tr w14:paraId="6350A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467" w:type="dxa"/>
            <w:vMerge w:val="restart"/>
            <w:tcBorders>
              <w:left w:val="nil"/>
              <w:bottom w:val="nil"/>
            </w:tcBorders>
            <w:vAlign w:val="top"/>
          </w:tcPr>
          <w:p w14:paraId="74C686D2">
            <w:pPr>
              <w:spacing w:before="246" w:line="228" w:lineRule="auto"/>
              <w:ind w:left="612"/>
              <w:rPr>
                <w:rFonts w:ascii="宋体" w:hAnsi="宋体" w:eastAsia="宋体" w:cs="宋体"/>
                <w:sz w:val="20"/>
                <w:szCs w:val="20"/>
              </w:rPr>
            </w:pPr>
            <w:r>
              <w:rPr>
                <w:rFonts w:ascii="宋体" w:hAnsi="宋体" w:eastAsia="宋体" w:cs="宋体"/>
                <w:spacing w:val="8"/>
                <w:sz w:val="20"/>
                <w:szCs w:val="20"/>
              </w:rPr>
              <w:t>主要声源名</w:t>
            </w:r>
            <w:r>
              <w:rPr>
                <w:rFonts w:ascii="宋体" w:hAnsi="宋体" w:eastAsia="宋体" w:cs="宋体"/>
                <w:spacing w:val="7"/>
                <w:sz w:val="20"/>
                <w:szCs w:val="20"/>
              </w:rPr>
              <w:t>称</w:t>
            </w:r>
          </w:p>
        </w:tc>
        <w:tc>
          <w:tcPr>
            <w:tcW w:w="1950" w:type="dxa"/>
            <w:vMerge w:val="restart"/>
            <w:tcBorders>
              <w:bottom w:val="nil"/>
            </w:tcBorders>
            <w:vAlign w:val="top"/>
          </w:tcPr>
          <w:p w14:paraId="01098FBE">
            <w:pPr>
              <w:spacing w:before="89" w:line="272" w:lineRule="auto"/>
              <w:ind w:left="373" w:right="374" w:firstLine="196"/>
              <w:rPr>
                <w:rFonts w:ascii="宋体" w:hAnsi="宋体" w:eastAsia="宋体" w:cs="宋体"/>
                <w:sz w:val="20"/>
                <w:szCs w:val="20"/>
              </w:rPr>
            </w:pPr>
            <w:r>
              <w:rPr>
                <w:rFonts w:ascii="宋体" w:hAnsi="宋体" w:eastAsia="宋体" w:cs="宋体"/>
                <w:spacing w:val="5"/>
                <w:sz w:val="20"/>
                <w:szCs w:val="20"/>
              </w:rPr>
              <w:t>噪声源</w:t>
            </w:r>
            <w:r>
              <w:rPr>
                <w:rFonts w:ascii="宋体" w:hAnsi="宋体" w:eastAsia="宋体" w:cs="宋体"/>
                <w:spacing w:val="4"/>
                <w:sz w:val="20"/>
                <w:szCs w:val="20"/>
              </w:rPr>
              <w:t>强</w:t>
            </w:r>
            <w:r>
              <w:rPr>
                <w:rFonts w:ascii="宋体" w:hAnsi="宋体" w:eastAsia="宋体" w:cs="宋体"/>
                <w:sz w:val="20"/>
                <w:szCs w:val="20"/>
              </w:rPr>
              <w:t xml:space="preserve">  </w:t>
            </w:r>
            <w:r>
              <w:rPr>
                <w:rFonts w:ascii="宋体" w:hAnsi="宋体" w:eastAsia="宋体" w:cs="宋体"/>
                <w:spacing w:val="1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7"/>
                <w:sz w:val="20"/>
                <w:szCs w:val="20"/>
              </w:rPr>
              <w:t xml:space="preserve">  </w:t>
            </w:r>
            <w:r>
              <w:rPr>
                <w:rFonts w:ascii="宋体" w:hAnsi="宋体" w:eastAsia="宋体" w:cs="宋体"/>
                <w:spacing w:val="17"/>
                <w:sz w:val="20"/>
                <w:szCs w:val="20"/>
              </w:rPr>
              <w:t>(</w:t>
            </w:r>
            <w:r>
              <w:rPr>
                <w:rFonts w:ascii="Times New Roman" w:hAnsi="Times New Roman" w:eastAsia="Times New Roman" w:cs="Times New Roman"/>
                <w:sz w:val="20"/>
                <w:szCs w:val="20"/>
              </w:rPr>
              <w:t>A</w:t>
            </w:r>
            <w:r>
              <w:rPr>
                <w:rFonts w:ascii="宋体" w:hAnsi="宋体" w:eastAsia="宋体" w:cs="宋体"/>
                <w:spacing w:val="17"/>
                <w:sz w:val="20"/>
                <w:szCs w:val="20"/>
              </w:rPr>
              <w:t>) )</w:t>
            </w:r>
          </w:p>
        </w:tc>
        <w:tc>
          <w:tcPr>
            <w:tcW w:w="4110" w:type="dxa"/>
            <w:gridSpan w:val="3"/>
            <w:tcBorders>
              <w:right w:val="nil"/>
            </w:tcBorders>
            <w:vAlign w:val="top"/>
          </w:tcPr>
          <w:p w14:paraId="5D376F1F">
            <w:pPr>
              <w:spacing w:before="75" w:line="227" w:lineRule="auto"/>
              <w:ind w:left="507"/>
              <w:rPr>
                <w:rFonts w:ascii="宋体" w:hAnsi="宋体" w:eastAsia="宋体" w:cs="宋体"/>
                <w:sz w:val="20"/>
                <w:szCs w:val="20"/>
              </w:rPr>
            </w:pPr>
            <w:r>
              <w:rPr>
                <w:rFonts w:ascii="宋体" w:hAnsi="宋体" w:eastAsia="宋体" w:cs="宋体"/>
                <w:spacing w:val="7"/>
                <w:sz w:val="20"/>
                <w:szCs w:val="20"/>
              </w:rPr>
              <w:t>对应于不同限值的干扰半径 (</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w:t>
            </w:r>
          </w:p>
        </w:tc>
      </w:tr>
      <w:tr w14:paraId="02A91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67" w:type="dxa"/>
            <w:vMerge w:val="continue"/>
            <w:tcBorders>
              <w:top w:val="nil"/>
              <w:left w:val="nil"/>
            </w:tcBorders>
            <w:vAlign w:val="top"/>
          </w:tcPr>
          <w:p w14:paraId="6F9EE3B9">
            <w:pPr>
              <w:rPr>
                <w:rFonts w:ascii="Arial"/>
                <w:sz w:val="21"/>
              </w:rPr>
            </w:pPr>
          </w:p>
        </w:tc>
        <w:tc>
          <w:tcPr>
            <w:tcW w:w="1950" w:type="dxa"/>
            <w:vMerge w:val="continue"/>
            <w:tcBorders>
              <w:top w:val="nil"/>
            </w:tcBorders>
            <w:vAlign w:val="top"/>
          </w:tcPr>
          <w:p w14:paraId="59D7AED9">
            <w:pPr>
              <w:rPr>
                <w:rFonts w:ascii="Arial"/>
                <w:sz w:val="21"/>
              </w:rPr>
            </w:pPr>
          </w:p>
        </w:tc>
        <w:tc>
          <w:tcPr>
            <w:tcW w:w="1371" w:type="dxa"/>
            <w:vAlign w:val="top"/>
          </w:tcPr>
          <w:p w14:paraId="06402515">
            <w:pPr>
              <w:spacing w:before="99"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r</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5"/>
                <w:sz w:val="20"/>
                <w:szCs w:val="20"/>
              </w:rPr>
              <w:t>5</w:t>
            </w:r>
          </w:p>
        </w:tc>
        <w:tc>
          <w:tcPr>
            <w:tcW w:w="1370" w:type="dxa"/>
            <w:vAlign w:val="top"/>
          </w:tcPr>
          <w:p w14:paraId="45130E59">
            <w:pPr>
              <w:spacing w:before="96"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r</w:t>
            </w: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5</w:t>
            </w:r>
          </w:p>
        </w:tc>
        <w:tc>
          <w:tcPr>
            <w:tcW w:w="1369" w:type="dxa"/>
            <w:tcBorders>
              <w:right w:val="nil"/>
            </w:tcBorders>
            <w:vAlign w:val="top"/>
          </w:tcPr>
          <w:p w14:paraId="06E175F5">
            <w:pPr>
              <w:spacing w:before="96"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r</w:t>
            </w:r>
            <w:r>
              <w:rPr>
                <w:rFonts w:ascii="Times New Roman" w:hAnsi="Times New Roman" w:eastAsia="Times New Roman" w:cs="Times New Roman"/>
                <w:spacing w:val="6"/>
                <w:sz w:val="20"/>
                <w:szCs w:val="20"/>
              </w:rPr>
              <w:t>7</w:t>
            </w:r>
            <w:r>
              <w:rPr>
                <w:rFonts w:ascii="Times New Roman" w:hAnsi="Times New Roman" w:eastAsia="Times New Roman" w:cs="Times New Roman"/>
                <w:spacing w:val="5"/>
                <w:sz w:val="20"/>
                <w:szCs w:val="20"/>
              </w:rPr>
              <w:t>0</w:t>
            </w:r>
          </w:p>
        </w:tc>
      </w:tr>
      <w:tr w14:paraId="66A82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467" w:type="dxa"/>
            <w:tcBorders>
              <w:left w:val="nil"/>
            </w:tcBorders>
            <w:vAlign w:val="top"/>
          </w:tcPr>
          <w:p w14:paraId="5D4D5D20">
            <w:pPr>
              <w:spacing w:before="61" w:line="227" w:lineRule="auto"/>
              <w:ind w:left="926"/>
              <w:rPr>
                <w:rFonts w:ascii="宋体" w:hAnsi="宋体" w:eastAsia="宋体" w:cs="宋体"/>
                <w:sz w:val="20"/>
                <w:szCs w:val="20"/>
              </w:rPr>
            </w:pPr>
            <w:r>
              <w:rPr>
                <w:rFonts w:ascii="宋体" w:hAnsi="宋体" w:eastAsia="宋体" w:cs="宋体"/>
                <w:spacing w:val="7"/>
                <w:sz w:val="20"/>
                <w:szCs w:val="20"/>
              </w:rPr>
              <w:t>折</w:t>
            </w:r>
            <w:r>
              <w:rPr>
                <w:rFonts w:ascii="宋体" w:hAnsi="宋体" w:eastAsia="宋体" w:cs="宋体"/>
                <w:spacing w:val="6"/>
                <w:sz w:val="20"/>
                <w:szCs w:val="20"/>
              </w:rPr>
              <w:t>弯机</w:t>
            </w:r>
          </w:p>
        </w:tc>
        <w:tc>
          <w:tcPr>
            <w:tcW w:w="1950" w:type="dxa"/>
            <w:vAlign w:val="top"/>
          </w:tcPr>
          <w:p w14:paraId="55F008D4">
            <w:pPr>
              <w:spacing w:before="60" w:line="231" w:lineRule="auto"/>
              <w:ind w:left="531"/>
              <w:rPr>
                <w:rFonts w:ascii="宋体" w:hAnsi="宋体" w:eastAsia="宋体" w:cs="宋体"/>
                <w:sz w:val="20"/>
                <w:szCs w:val="20"/>
              </w:rPr>
            </w:pPr>
            <w:r>
              <w:rPr>
                <w:rFonts w:ascii="Times New Roman" w:hAnsi="Times New Roman" w:eastAsia="Times New Roman" w:cs="Times New Roman"/>
                <w:spacing w:val="6"/>
                <w:sz w:val="20"/>
                <w:szCs w:val="20"/>
              </w:rPr>
              <w:t>9</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m</w:t>
            </w:r>
            <w:r>
              <w:rPr>
                <w:rFonts w:ascii="宋体" w:hAnsi="宋体" w:eastAsia="宋体" w:cs="宋体"/>
                <w:spacing w:val="3"/>
                <w:sz w:val="20"/>
                <w:szCs w:val="20"/>
              </w:rPr>
              <w:t>)</w:t>
            </w:r>
          </w:p>
        </w:tc>
        <w:tc>
          <w:tcPr>
            <w:tcW w:w="1371" w:type="dxa"/>
            <w:vAlign w:val="top"/>
          </w:tcPr>
          <w:p w14:paraId="068637FE">
            <w:pPr>
              <w:spacing w:before="9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81</w:t>
            </w:r>
          </w:p>
        </w:tc>
        <w:tc>
          <w:tcPr>
            <w:tcW w:w="1370" w:type="dxa"/>
            <w:vAlign w:val="top"/>
          </w:tcPr>
          <w:p w14:paraId="02C3A859">
            <w:pPr>
              <w:spacing w:before="106"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9</w:t>
            </w:r>
          </w:p>
        </w:tc>
        <w:tc>
          <w:tcPr>
            <w:tcW w:w="1369" w:type="dxa"/>
            <w:tcBorders>
              <w:right w:val="nil"/>
            </w:tcBorders>
            <w:vAlign w:val="top"/>
          </w:tcPr>
          <w:p w14:paraId="0291AEFA">
            <w:pPr>
              <w:spacing w:before="106"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67B29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467" w:type="dxa"/>
            <w:tcBorders>
              <w:left w:val="nil"/>
            </w:tcBorders>
            <w:vAlign w:val="top"/>
          </w:tcPr>
          <w:p w14:paraId="11030311">
            <w:pPr>
              <w:spacing w:before="62" w:line="227" w:lineRule="auto"/>
              <w:ind w:left="924"/>
              <w:rPr>
                <w:rFonts w:ascii="宋体" w:hAnsi="宋体" w:eastAsia="宋体" w:cs="宋体"/>
                <w:sz w:val="20"/>
                <w:szCs w:val="20"/>
              </w:rPr>
            </w:pPr>
            <w:r>
              <w:rPr>
                <w:rFonts w:ascii="宋体" w:hAnsi="宋体" w:eastAsia="宋体" w:cs="宋体"/>
                <w:spacing w:val="7"/>
                <w:sz w:val="20"/>
                <w:szCs w:val="20"/>
              </w:rPr>
              <w:t>挖掘机</w:t>
            </w:r>
          </w:p>
        </w:tc>
        <w:tc>
          <w:tcPr>
            <w:tcW w:w="1950" w:type="dxa"/>
            <w:vAlign w:val="top"/>
          </w:tcPr>
          <w:p w14:paraId="397B0C34">
            <w:pPr>
              <w:spacing w:before="62" w:line="231" w:lineRule="auto"/>
              <w:ind w:left="536"/>
              <w:rPr>
                <w:rFonts w:ascii="宋体" w:hAnsi="宋体" w:eastAsia="宋体" w:cs="宋体"/>
                <w:sz w:val="20"/>
                <w:szCs w:val="20"/>
              </w:rPr>
            </w:pPr>
            <w:r>
              <w:rPr>
                <w:rFonts w:ascii="Times New Roman" w:hAnsi="Times New Roman" w:eastAsia="Times New Roman" w:cs="Times New Roman"/>
                <w:spacing w:val="3"/>
                <w:sz w:val="20"/>
                <w:szCs w:val="20"/>
              </w:rPr>
              <w:t xml:space="preserve">81  </w:t>
            </w:r>
            <w:r>
              <w:rPr>
                <w:rFonts w:ascii="宋体" w:hAnsi="宋体" w:eastAsia="宋体" w:cs="宋体"/>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1371" w:type="dxa"/>
            <w:vAlign w:val="top"/>
          </w:tcPr>
          <w:p w14:paraId="7F9C023C">
            <w:pPr>
              <w:spacing w:before="9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70" w:type="dxa"/>
            <w:vAlign w:val="top"/>
          </w:tcPr>
          <w:p w14:paraId="19607483">
            <w:pPr>
              <w:spacing w:before="106"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1369" w:type="dxa"/>
            <w:tcBorders>
              <w:right w:val="nil"/>
            </w:tcBorders>
            <w:vAlign w:val="top"/>
          </w:tcPr>
          <w:p w14:paraId="1B85E643">
            <w:pPr>
              <w:spacing w:before="106"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r>
      <w:tr w14:paraId="205FA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467" w:type="dxa"/>
            <w:tcBorders>
              <w:left w:val="nil"/>
            </w:tcBorders>
            <w:vAlign w:val="top"/>
          </w:tcPr>
          <w:p w14:paraId="5DEC63EA">
            <w:pPr>
              <w:spacing w:before="62" w:line="227" w:lineRule="auto"/>
              <w:ind w:left="949"/>
              <w:rPr>
                <w:rFonts w:ascii="宋体" w:hAnsi="宋体" w:eastAsia="宋体" w:cs="宋体"/>
                <w:sz w:val="20"/>
                <w:szCs w:val="20"/>
              </w:rPr>
            </w:pPr>
            <w:r>
              <w:rPr>
                <w:rFonts w:ascii="宋体" w:hAnsi="宋体" w:eastAsia="宋体" w:cs="宋体"/>
                <w:spacing w:val="-2"/>
                <w:sz w:val="20"/>
                <w:szCs w:val="20"/>
              </w:rPr>
              <w:t>电</w:t>
            </w:r>
            <w:r>
              <w:rPr>
                <w:rFonts w:ascii="宋体" w:hAnsi="宋体" w:eastAsia="宋体" w:cs="宋体"/>
                <w:spacing w:val="-1"/>
                <w:sz w:val="20"/>
                <w:szCs w:val="20"/>
              </w:rPr>
              <w:t>焊机</w:t>
            </w:r>
          </w:p>
        </w:tc>
        <w:tc>
          <w:tcPr>
            <w:tcW w:w="1950" w:type="dxa"/>
            <w:vAlign w:val="top"/>
          </w:tcPr>
          <w:p w14:paraId="611B124D">
            <w:pPr>
              <w:spacing w:before="61" w:line="231" w:lineRule="auto"/>
              <w:ind w:left="536"/>
              <w:rPr>
                <w:rFonts w:ascii="宋体" w:hAnsi="宋体" w:eastAsia="宋体" w:cs="宋体"/>
                <w:sz w:val="20"/>
                <w:szCs w:val="20"/>
              </w:rPr>
            </w:pPr>
            <w:r>
              <w:rPr>
                <w:rFonts w:ascii="Times New Roman" w:hAnsi="Times New Roman" w:eastAsia="Times New Roman" w:cs="Times New Roman"/>
                <w:spacing w:val="3"/>
                <w:sz w:val="20"/>
                <w:szCs w:val="20"/>
              </w:rPr>
              <w:t xml:space="preserve">86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1371" w:type="dxa"/>
            <w:vAlign w:val="top"/>
          </w:tcPr>
          <w:p w14:paraId="4249C2B5">
            <w:pPr>
              <w:spacing w:before="9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177</w:t>
            </w:r>
          </w:p>
        </w:tc>
        <w:tc>
          <w:tcPr>
            <w:tcW w:w="1370" w:type="dxa"/>
            <w:vAlign w:val="top"/>
          </w:tcPr>
          <w:p w14:paraId="7E56D9D6">
            <w:pPr>
              <w:spacing w:before="107"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369" w:type="dxa"/>
            <w:tcBorders>
              <w:right w:val="nil"/>
            </w:tcBorders>
            <w:vAlign w:val="top"/>
          </w:tcPr>
          <w:p w14:paraId="258C1A87">
            <w:pPr>
              <w:spacing w:before="107"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r>
      <w:tr w14:paraId="46096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467" w:type="dxa"/>
            <w:tcBorders>
              <w:left w:val="nil"/>
            </w:tcBorders>
            <w:vAlign w:val="top"/>
          </w:tcPr>
          <w:p w14:paraId="257D8B52">
            <w:pPr>
              <w:spacing w:before="63" w:line="228" w:lineRule="auto"/>
              <w:ind w:left="613"/>
              <w:rPr>
                <w:rFonts w:ascii="宋体" w:hAnsi="宋体" w:eastAsia="宋体" w:cs="宋体"/>
                <w:sz w:val="20"/>
                <w:szCs w:val="20"/>
              </w:rPr>
            </w:pPr>
            <w:r>
              <w:rPr>
                <w:rFonts w:ascii="宋体" w:hAnsi="宋体" w:eastAsia="宋体" w:cs="宋体"/>
                <w:spacing w:val="8"/>
                <w:sz w:val="20"/>
                <w:szCs w:val="20"/>
              </w:rPr>
              <w:t>混凝土搅拌</w:t>
            </w:r>
            <w:r>
              <w:rPr>
                <w:rFonts w:ascii="宋体" w:hAnsi="宋体" w:eastAsia="宋体" w:cs="宋体"/>
                <w:spacing w:val="7"/>
                <w:sz w:val="20"/>
                <w:szCs w:val="20"/>
              </w:rPr>
              <w:t>车</w:t>
            </w:r>
          </w:p>
        </w:tc>
        <w:tc>
          <w:tcPr>
            <w:tcW w:w="1950" w:type="dxa"/>
            <w:vAlign w:val="top"/>
          </w:tcPr>
          <w:p w14:paraId="58E59EA6">
            <w:pPr>
              <w:spacing w:before="63" w:line="231" w:lineRule="auto"/>
              <w:ind w:left="536"/>
              <w:rPr>
                <w:rFonts w:ascii="宋体" w:hAnsi="宋体" w:eastAsia="宋体" w:cs="宋体"/>
                <w:sz w:val="20"/>
                <w:szCs w:val="20"/>
              </w:rPr>
            </w:pPr>
            <w:r>
              <w:rPr>
                <w:rFonts w:ascii="Times New Roman" w:hAnsi="Times New Roman" w:eastAsia="Times New Roman" w:cs="Times New Roman"/>
                <w:spacing w:val="3"/>
                <w:sz w:val="20"/>
                <w:szCs w:val="20"/>
              </w:rPr>
              <w:t xml:space="preserve">87  </w:t>
            </w:r>
            <w:r>
              <w:rPr>
                <w:rFonts w:ascii="宋体" w:hAnsi="宋体" w:eastAsia="宋体" w:cs="宋体"/>
                <w:spacing w:val="3"/>
                <w:sz w:val="20"/>
                <w:szCs w:val="20"/>
              </w:rPr>
              <w:t>(</w:t>
            </w:r>
            <w:r>
              <w:rPr>
                <w:rFonts w:ascii="Times New Roman" w:hAnsi="Times New Roman" w:eastAsia="Times New Roman" w:cs="Times New Roman"/>
                <w:spacing w:val="3"/>
                <w:sz w:val="20"/>
                <w:szCs w:val="20"/>
              </w:rPr>
              <w:t>3</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1371" w:type="dxa"/>
            <w:vAlign w:val="top"/>
          </w:tcPr>
          <w:p w14:paraId="26728BF4">
            <w:pPr>
              <w:spacing w:before="100"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19</w:t>
            </w:r>
          </w:p>
        </w:tc>
        <w:tc>
          <w:tcPr>
            <w:tcW w:w="1370" w:type="dxa"/>
            <w:vAlign w:val="top"/>
          </w:tcPr>
          <w:p w14:paraId="3CDB5D04">
            <w:pPr>
              <w:spacing w:before="109"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369" w:type="dxa"/>
            <w:tcBorders>
              <w:right w:val="nil"/>
            </w:tcBorders>
            <w:vAlign w:val="top"/>
          </w:tcPr>
          <w:p w14:paraId="2C349A04">
            <w:pPr>
              <w:spacing w:before="109"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r>
      <w:tr w14:paraId="65ED6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67" w:type="dxa"/>
            <w:tcBorders>
              <w:left w:val="nil"/>
            </w:tcBorders>
            <w:vAlign w:val="top"/>
          </w:tcPr>
          <w:p w14:paraId="390756E7">
            <w:pPr>
              <w:spacing w:before="65" w:line="227" w:lineRule="auto"/>
              <w:ind w:left="714"/>
              <w:rPr>
                <w:rFonts w:ascii="宋体" w:hAnsi="宋体" w:eastAsia="宋体" w:cs="宋体"/>
                <w:sz w:val="20"/>
                <w:szCs w:val="20"/>
              </w:rPr>
            </w:pPr>
            <w:r>
              <w:rPr>
                <w:rFonts w:ascii="宋体" w:hAnsi="宋体" w:eastAsia="宋体" w:cs="宋体"/>
                <w:spacing w:val="10"/>
                <w:sz w:val="20"/>
                <w:szCs w:val="20"/>
              </w:rPr>
              <w:t>钢</w:t>
            </w:r>
            <w:r>
              <w:rPr>
                <w:rFonts w:ascii="宋体" w:hAnsi="宋体" w:eastAsia="宋体" w:cs="宋体"/>
                <w:spacing w:val="8"/>
                <w:sz w:val="20"/>
                <w:szCs w:val="20"/>
              </w:rPr>
              <w:t>筋切断机</w:t>
            </w:r>
          </w:p>
        </w:tc>
        <w:tc>
          <w:tcPr>
            <w:tcW w:w="1950" w:type="dxa"/>
            <w:vAlign w:val="top"/>
          </w:tcPr>
          <w:p w14:paraId="091F9FDD">
            <w:pPr>
              <w:spacing w:before="65" w:line="231" w:lineRule="auto"/>
              <w:ind w:left="531"/>
              <w:rPr>
                <w:rFonts w:ascii="宋体" w:hAnsi="宋体" w:eastAsia="宋体" w:cs="宋体"/>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 xml:space="preserve">7  </w:t>
            </w:r>
            <w:r>
              <w:rPr>
                <w:rFonts w:ascii="宋体" w:hAnsi="宋体" w:eastAsia="宋体" w:cs="宋体"/>
                <w:spacing w:val="3"/>
                <w:sz w:val="20"/>
                <w:szCs w:val="20"/>
              </w:rPr>
              <w:t>(</w:t>
            </w:r>
            <w:r>
              <w:rPr>
                <w:rFonts w:ascii="Times New Roman" w:hAnsi="Times New Roman" w:eastAsia="Times New Roman" w:cs="Times New Roman"/>
                <w:spacing w:val="3"/>
                <w:sz w:val="20"/>
                <w:szCs w:val="20"/>
              </w:rPr>
              <w:t>7</w:t>
            </w:r>
            <w:r>
              <w:rPr>
                <w:rFonts w:ascii="Times New Roman" w:hAnsi="Times New Roman" w:eastAsia="Times New Roman" w:cs="Times New Roman"/>
                <w:sz w:val="20"/>
                <w:szCs w:val="20"/>
              </w:rPr>
              <w:t>m</w:t>
            </w:r>
            <w:r>
              <w:rPr>
                <w:rFonts w:ascii="宋体" w:hAnsi="宋体" w:eastAsia="宋体" w:cs="宋体"/>
                <w:spacing w:val="3"/>
                <w:sz w:val="20"/>
                <w:szCs w:val="20"/>
              </w:rPr>
              <w:t>)</w:t>
            </w:r>
          </w:p>
        </w:tc>
        <w:tc>
          <w:tcPr>
            <w:tcW w:w="1371" w:type="dxa"/>
            <w:vAlign w:val="top"/>
          </w:tcPr>
          <w:p w14:paraId="63043166">
            <w:pPr>
              <w:spacing w:before="101"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8</w:t>
            </w:r>
          </w:p>
        </w:tc>
        <w:tc>
          <w:tcPr>
            <w:tcW w:w="1370" w:type="dxa"/>
            <w:vAlign w:val="top"/>
          </w:tcPr>
          <w:p w14:paraId="6477503B">
            <w:pPr>
              <w:spacing w:before="109"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369" w:type="dxa"/>
            <w:tcBorders>
              <w:right w:val="nil"/>
            </w:tcBorders>
            <w:vAlign w:val="top"/>
          </w:tcPr>
          <w:p w14:paraId="5DC0B69D">
            <w:pPr>
              <w:spacing w:before="109"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r>
      <w:tr w14:paraId="748E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67" w:type="dxa"/>
            <w:tcBorders>
              <w:left w:val="nil"/>
            </w:tcBorders>
            <w:vAlign w:val="top"/>
          </w:tcPr>
          <w:p w14:paraId="37D7CEC4">
            <w:pPr>
              <w:spacing w:before="64" w:line="228" w:lineRule="auto"/>
              <w:ind w:left="718"/>
              <w:rPr>
                <w:rFonts w:ascii="宋体" w:hAnsi="宋体" w:eastAsia="宋体" w:cs="宋体"/>
                <w:sz w:val="20"/>
                <w:szCs w:val="20"/>
              </w:rPr>
            </w:pPr>
            <w:r>
              <w:rPr>
                <w:rFonts w:ascii="宋体" w:hAnsi="宋体" w:eastAsia="宋体" w:cs="宋体"/>
                <w:spacing w:val="10"/>
                <w:sz w:val="20"/>
                <w:szCs w:val="20"/>
              </w:rPr>
              <w:t>混</w:t>
            </w:r>
            <w:r>
              <w:rPr>
                <w:rFonts w:ascii="宋体" w:hAnsi="宋体" w:eastAsia="宋体" w:cs="宋体"/>
                <w:spacing w:val="7"/>
                <w:sz w:val="20"/>
                <w:szCs w:val="20"/>
              </w:rPr>
              <w:t>凝土泵车</w:t>
            </w:r>
          </w:p>
        </w:tc>
        <w:tc>
          <w:tcPr>
            <w:tcW w:w="1950" w:type="dxa"/>
            <w:vAlign w:val="top"/>
          </w:tcPr>
          <w:p w14:paraId="15821881">
            <w:pPr>
              <w:spacing w:before="63" w:line="231" w:lineRule="auto"/>
              <w:ind w:left="536"/>
              <w:rPr>
                <w:rFonts w:ascii="宋体" w:hAnsi="宋体" w:eastAsia="宋体" w:cs="宋体"/>
                <w:sz w:val="20"/>
                <w:szCs w:val="20"/>
              </w:rPr>
            </w:pPr>
            <w:r>
              <w:rPr>
                <w:rFonts w:ascii="Times New Roman" w:hAnsi="Times New Roman" w:eastAsia="Times New Roman" w:cs="Times New Roman"/>
                <w:spacing w:val="3"/>
                <w:sz w:val="20"/>
                <w:szCs w:val="20"/>
              </w:rPr>
              <w:t xml:space="preserve">85  </w:t>
            </w:r>
            <w:r>
              <w:rPr>
                <w:rFonts w:ascii="宋体" w:hAnsi="宋体" w:eastAsia="宋体" w:cs="宋体"/>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1371" w:type="dxa"/>
            <w:vAlign w:val="top"/>
          </w:tcPr>
          <w:p w14:paraId="7D33EDC0">
            <w:pPr>
              <w:spacing w:before="100"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w:t>
            </w:r>
          </w:p>
        </w:tc>
        <w:tc>
          <w:tcPr>
            <w:tcW w:w="1370" w:type="dxa"/>
            <w:vAlign w:val="top"/>
          </w:tcPr>
          <w:p w14:paraId="40334CFB">
            <w:pPr>
              <w:spacing w:before="109"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69" w:type="dxa"/>
            <w:tcBorders>
              <w:right w:val="nil"/>
            </w:tcBorders>
            <w:vAlign w:val="top"/>
          </w:tcPr>
          <w:p w14:paraId="68607E4C">
            <w:pPr>
              <w:spacing w:before="109"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r>
      <w:tr w14:paraId="32957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67" w:type="dxa"/>
            <w:tcBorders>
              <w:left w:val="nil"/>
            </w:tcBorders>
            <w:vAlign w:val="top"/>
          </w:tcPr>
          <w:p w14:paraId="44AA8439">
            <w:pPr>
              <w:spacing w:before="65" w:line="228" w:lineRule="auto"/>
              <w:ind w:left="925"/>
              <w:rPr>
                <w:rFonts w:ascii="宋体" w:hAnsi="宋体" w:eastAsia="宋体" w:cs="宋体"/>
                <w:sz w:val="20"/>
                <w:szCs w:val="20"/>
              </w:rPr>
            </w:pPr>
            <w:r>
              <w:rPr>
                <w:rFonts w:ascii="宋体" w:hAnsi="宋体" w:eastAsia="宋体" w:cs="宋体"/>
                <w:spacing w:val="7"/>
                <w:sz w:val="20"/>
                <w:szCs w:val="20"/>
              </w:rPr>
              <w:t>木</w:t>
            </w:r>
            <w:r>
              <w:rPr>
                <w:rFonts w:ascii="宋体" w:hAnsi="宋体" w:eastAsia="宋体" w:cs="宋体"/>
                <w:spacing w:val="6"/>
                <w:sz w:val="20"/>
                <w:szCs w:val="20"/>
              </w:rPr>
              <w:t>工刨</w:t>
            </w:r>
          </w:p>
        </w:tc>
        <w:tc>
          <w:tcPr>
            <w:tcW w:w="1950" w:type="dxa"/>
            <w:vAlign w:val="top"/>
          </w:tcPr>
          <w:p w14:paraId="4B3F825E">
            <w:pPr>
              <w:spacing w:before="64" w:line="231" w:lineRule="auto"/>
              <w:ind w:left="536"/>
              <w:rPr>
                <w:rFonts w:ascii="宋体" w:hAnsi="宋体" w:eastAsia="宋体" w:cs="宋体"/>
                <w:sz w:val="20"/>
                <w:szCs w:val="20"/>
              </w:rPr>
            </w:pPr>
            <w:r>
              <w:rPr>
                <w:rFonts w:ascii="Times New Roman" w:hAnsi="Times New Roman" w:eastAsia="Times New Roman" w:cs="Times New Roman"/>
                <w:spacing w:val="3"/>
                <w:sz w:val="20"/>
                <w:szCs w:val="20"/>
              </w:rPr>
              <w:t xml:space="preserve">87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1371" w:type="dxa"/>
            <w:vAlign w:val="top"/>
          </w:tcPr>
          <w:p w14:paraId="05A996A4">
            <w:pPr>
              <w:spacing w:before="101"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19</w:t>
            </w:r>
          </w:p>
        </w:tc>
        <w:tc>
          <w:tcPr>
            <w:tcW w:w="1370" w:type="dxa"/>
            <w:vAlign w:val="top"/>
          </w:tcPr>
          <w:p w14:paraId="75436CD9">
            <w:pPr>
              <w:spacing w:before="110"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1369" w:type="dxa"/>
            <w:tcBorders>
              <w:right w:val="nil"/>
            </w:tcBorders>
            <w:vAlign w:val="top"/>
          </w:tcPr>
          <w:p w14:paraId="57E2253F">
            <w:pPr>
              <w:spacing w:before="110"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r>
      <w:tr w14:paraId="152A9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67" w:type="dxa"/>
            <w:tcBorders>
              <w:left w:val="nil"/>
            </w:tcBorders>
            <w:vAlign w:val="top"/>
          </w:tcPr>
          <w:p w14:paraId="58988092">
            <w:pPr>
              <w:spacing w:before="65" w:line="230" w:lineRule="auto"/>
              <w:ind w:left="1055"/>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锯</w:t>
            </w:r>
          </w:p>
        </w:tc>
        <w:tc>
          <w:tcPr>
            <w:tcW w:w="1950" w:type="dxa"/>
            <w:vAlign w:val="top"/>
          </w:tcPr>
          <w:p w14:paraId="72F007C5">
            <w:pPr>
              <w:spacing w:before="65" w:line="231" w:lineRule="auto"/>
              <w:ind w:left="494"/>
              <w:rPr>
                <w:rFonts w:ascii="宋体" w:hAnsi="宋体" w:eastAsia="宋体" w:cs="宋体"/>
                <w:sz w:val="20"/>
                <w:szCs w:val="20"/>
              </w:rPr>
            </w:pPr>
            <w:r>
              <w:rPr>
                <w:rFonts w:ascii="Times New Roman" w:hAnsi="Times New Roman" w:eastAsia="Times New Roman" w:cs="Times New Roman"/>
                <w:spacing w:val="2"/>
                <w:sz w:val="20"/>
                <w:szCs w:val="20"/>
              </w:rPr>
              <w:t xml:space="preserve">103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m</w:t>
            </w:r>
            <w:r>
              <w:rPr>
                <w:rFonts w:ascii="宋体" w:hAnsi="宋体" w:eastAsia="宋体" w:cs="宋体"/>
                <w:spacing w:val="1"/>
                <w:sz w:val="20"/>
                <w:szCs w:val="20"/>
              </w:rPr>
              <w:t>)</w:t>
            </w:r>
          </w:p>
        </w:tc>
        <w:tc>
          <w:tcPr>
            <w:tcW w:w="1371" w:type="dxa"/>
            <w:vAlign w:val="top"/>
          </w:tcPr>
          <w:p w14:paraId="71B3C38D">
            <w:pPr>
              <w:spacing w:before="10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51</w:t>
            </w:r>
          </w:p>
        </w:tc>
        <w:tc>
          <w:tcPr>
            <w:tcW w:w="1370" w:type="dxa"/>
            <w:vAlign w:val="top"/>
          </w:tcPr>
          <w:p w14:paraId="7741D983">
            <w:pPr>
              <w:spacing w:before="109"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369" w:type="dxa"/>
            <w:tcBorders>
              <w:right w:val="nil"/>
            </w:tcBorders>
            <w:vAlign w:val="top"/>
          </w:tcPr>
          <w:p w14:paraId="48603A9F">
            <w:pPr>
              <w:spacing w:before="109" w:line="195"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bl>
    <w:p w14:paraId="78BD38CD">
      <w:pPr>
        <w:spacing w:before="53" w:line="232" w:lineRule="auto"/>
        <w:ind w:left="11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注：表中为每种设备单台作业时的数据，多台时会有所变化。</w:t>
      </w:r>
    </w:p>
    <w:p w14:paraId="239EED71">
      <w:pPr>
        <w:sectPr>
          <w:headerReference r:id="rId200" w:type="default"/>
          <w:footerReference r:id="rId201" w:type="default"/>
          <w:pgSz w:w="11906" w:h="16839"/>
          <w:pgMar w:top="1132" w:right="1685" w:bottom="1182" w:left="1691" w:header="878" w:footer="1022" w:gutter="0"/>
          <w:cols w:space="720" w:num="1"/>
        </w:sectPr>
      </w:pPr>
    </w:p>
    <w:p w14:paraId="0A6F41B9">
      <w:pPr>
        <w:spacing w:line="410" w:lineRule="auto"/>
        <w:rPr>
          <w:rFonts w:ascii="Arial"/>
          <w:sz w:val="21"/>
        </w:rPr>
      </w:pPr>
      <w:r>
        <w:pict>
          <v:shape id="_x0000_s1239" o:spid="_x0000_s1239" style="position:absolute;left:0pt;margin-left:90pt;margin-top:57.35pt;height:0.75pt;width:415.3pt;mso-position-horizontal-relative:page;mso-position-vertical-relative:page;z-index:251912192;mso-width-relative:page;mso-height-relative:page;" fillcolor="#000000" filled="t" stroked="f" coordsize="8305,15" o:allowincell="f" path="m0,0l8305,0,8305,14,0,14,0,0xe">
            <v:path/>
            <v:fill on="t" focussize="0,0"/>
            <v:stroke on="f"/>
            <v:imagedata o:title=""/>
            <o:lock v:ext="edit"/>
          </v:shape>
        </w:pict>
      </w:r>
    </w:p>
    <w:p w14:paraId="5811E71E">
      <w:pPr>
        <w:spacing w:before="75" w:line="386" w:lineRule="auto"/>
        <w:ind w:left="24" w:firstLine="480"/>
        <w:rPr>
          <w:rFonts w:ascii="宋体" w:hAnsi="宋体" w:eastAsia="宋体" w:cs="宋体"/>
          <w:sz w:val="23"/>
          <w:szCs w:val="23"/>
        </w:rPr>
      </w:pPr>
      <w:r>
        <w:rPr>
          <w:rFonts w:ascii="宋体" w:hAnsi="宋体" w:eastAsia="宋体" w:cs="宋体"/>
          <w:spacing w:val="10"/>
          <w:sz w:val="23"/>
          <w:szCs w:val="23"/>
        </w:rPr>
        <w:t>本项目厂</w:t>
      </w:r>
      <w:r>
        <w:rPr>
          <w:rFonts w:ascii="宋体" w:hAnsi="宋体" w:eastAsia="宋体" w:cs="宋体"/>
          <w:spacing w:val="9"/>
          <w:sz w:val="23"/>
          <w:szCs w:val="23"/>
        </w:rPr>
        <w:t>界</w:t>
      </w:r>
      <w:r>
        <w:rPr>
          <w:rFonts w:ascii="宋体" w:hAnsi="宋体" w:eastAsia="宋体" w:cs="宋体"/>
          <w:spacing w:val="5"/>
          <w:sz w:val="23"/>
          <w:szCs w:val="23"/>
        </w:rPr>
        <w:t>噪声执行《建筑施工场界环境噪声排放标准》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 xml:space="preserve"> 12523-2011</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
          <w:sz w:val="23"/>
          <w:szCs w:val="23"/>
        </w:rPr>
        <w:t xml:space="preserve">标准中昼间 </w:t>
      </w:r>
      <w:r>
        <w:rPr>
          <w:rFonts w:ascii="Times New Roman" w:hAnsi="Times New Roman" w:eastAsia="Times New Roman" w:cs="Times New Roman"/>
          <w:spacing w:val="1"/>
          <w:sz w:val="23"/>
          <w:szCs w:val="23"/>
        </w:rPr>
        <w:t>70</w:t>
      </w:r>
      <w:r>
        <w:rPr>
          <w:rFonts w:ascii="Times New Roman" w:hAnsi="Times New Roman" w:eastAsia="Times New Roman" w:cs="Times New Roman"/>
          <w:sz w:val="23"/>
          <w:szCs w:val="23"/>
        </w:rPr>
        <w:t>dB</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，夜间 </w:t>
      </w:r>
      <w:r>
        <w:rPr>
          <w:rFonts w:ascii="Times New Roman" w:hAnsi="Times New Roman" w:eastAsia="Times New Roman" w:cs="Times New Roman"/>
          <w:spacing w:val="1"/>
          <w:sz w:val="23"/>
          <w:szCs w:val="23"/>
        </w:rPr>
        <w:t>55</w:t>
      </w:r>
      <w:r>
        <w:rPr>
          <w:rFonts w:ascii="Times New Roman" w:hAnsi="Times New Roman" w:eastAsia="Times New Roman" w:cs="Times New Roman"/>
          <w:sz w:val="23"/>
          <w:szCs w:val="23"/>
        </w:rPr>
        <w:t>dB</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，从表 </w:t>
      </w:r>
      <w:r>
        <w:rPr>
          <w:rFonts w:ascii="Times New Roman" w:hAnsi="Times New Roman" w:eastAsia="Times New Roman" w:cs="Times New Roman"/>
          <w:spacing w:val="1"/>
          <w:sz w:val="23"/>
          <w:szCs w:val="23"/>
        </w:rPr>
        <w:t xml:space="preserve">5-3 </w:t>
      </w:r>
      <w:r>
        <w:rPr>
          <w:rFonts w:ascii="宋体" w:hAnsi="宋体" w:eastAsia="宋体" w:cs="宋体"/>
          <w:spacing w:val="1"/>
          <w:sz w:val="23"/>
          <w:szCs w:val="23"/>
        </w:rPr>
        <w:t>中可以看出，施工设备在</w:t>
      </w:r>
      <w:r>
        <w:rPr>
          <w:rFonts w:ascii="宋体" w:hAnsi="宋体" w:eastAsia="宋体" w:cs="宋体"/>
          <w:sz w:val="23"/>
          <w:szCs w:val="23"/>
        </w:rPr>
        <w:t xml:space="preserve">距周边场界距 </w:t>
      </w:r>
      <w:r>
        <w:rPr>
          <w:rFonts w:ascii="宋体" w:hAnsi="宋体" w:eastAsia="宋体" w:cs="宋体"/>
          <w:spacing w:val="8"/>
          <w:sz w:val="23"/>
          <w:szCs w:val="23"/>
        </w:rPr>
        <w:t xml:space="preserve">离为 </w:t>
      </w:r>
      <w:r>
        <w:rPr>
          <w:rFonts w:ascii="Times New Roman" w:hAnsi="Times New Roman" w:eastAsia="Times New Roman" w:cs="Times New Roman"/>
          <w:spacing w:val="8"/>
          <w:sz w:val="23"/>
          <w:szCs w:val="23"/>
        </w:rPr>
        <w:t>12</w:t>
      </w:r>
      <w:r>
        <w:rPr>
          <w:rFonts w:ascii="Times New Roman" w:hAnsi="Times New Roman" w:eastAsia="Times New Roman" w:cs="Times New Roman"/>
          <w:sz w:val="23"/>
          <w:szCs w:val="23"/>
        </w:rPr>
        <w:t>m</w:t>
      </w:r>
      <w:r>
        <w:rPr>
          <w:rFonts w:ascii="宋体" w:hAnsi="宋体" w:eastAsia="宋体" w:cs="宋体"/>
          <w:spacing w:val="8"/>
          <w:sz w:val="23"/>
          <w:szCs w:val="23"/>
        </w:rPr>
        <w:t>~</w:t>
      </w:r>
      <w:r>
        <w:rPr>
          <w:rFonts w:ascii="Times New Roman" w:hAnsi="Times New Roman" w:eastAsia="Times New Roman" w:cs="Times New Roman"/>
          <w:spacing w:val="8"/>
          <w:sz w:val="23"/>
          <w:szCs w:val="23"/>
        </w:rPr>
        <w:t>50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以外的范围作业时，昼间场界噪声可以达标；夜间场界噪声达</w:t>
      </w:r>
      <w:r>
        <w:rPr>
          <w:rFonts w:ascii="宋体" w:hAnsi="宋体" w:eastAsia="宋体" w:cs="宋体"/>
          <w:spacing w:val="2"/>
          <w:sz w:val="23"/>
          <w:szCs w:val="23"/>
        </w:rPr>
        <w:t>标</w:t>
      </w:r>
      <w:r>
        <w:rPr>
          <w:rFonts w:ascii="宋体" w:hAnsi="宋体" w:eastAsia="宋体" w:cs="宋体"/>
          <w:sz w:val="23"/>
          <w:szCs w:val="23"/>
        </w:rPr>
        <w:t xml:space="preserve"> </w:t>
      </w:r>
      <w:r>
        <w:rPr>
          <w:rFonts w:ascii="宋体" w:hAnsi="宋体" w:eastAsia="宋体" w:cs="宋体"/>
          <w:spacing w:val="11"/>
          <w:sz w:val="23"/>
          <w:szCs w:val="23"/>
        </w:rPr>
        <w:t xml:space="preserve">则需要施工设备在距周边场界距离 </w:t>
      </w:r>
      <w:r>
        <w:rPr>
          <w:rFonts w:ascii="Times New Roman" w:hAnsi="Times New Roman" w:eastAsia="Times New Roman" w:cs="Times New Roman"/>
          <w:spacing w:val="11"/>
          <w:sz w:val="23"/>
          <w:szCs w:val="23"/>
        </w:rPr>
        <w:t>67</w:t>
      </w:r>
      <w:r>
        <w:rPr>
          <w:rFonts w:ascii="Times New Roman" w:hAnsi="Times New Roman" w:eastAsia="Times New Roman" w:cs="Times New Roman"/>
          <w:sz w:val="23"/>
          <w:szCs w:val="23"/>
        </w:rPr>
        <w:t>m</w:t>
      </w:r>
      <w:r>
        <w:rPr>
          <w:rFonts w:ascii="宋体" w:hAnsi="宋体" w:eastAsia="宋体" w:cs="宋体"/>
          <w:spacing w:val="11"/>
          <w:sz w:val="23"/>
          <w:szCs w:val="23"/>
        </w:rPr>
        <w:t>~</w:t>
      </w:r>
      <w:r>
        <w:rPr>
          <w:rFonts w:ascii="Times New Roman" w:hAnsi="Times New Roman" w:eastAsia="Times New Roman" w:cs="Times New Roman"/>
          <w:spacing w:val="11"/>
          <w:sz w:val="23"/>
          <w:szCs w:val="23"/>
        </w:rPr>
        <w:t>281</w:t>
      </w:r>
      <w:r>
        <w:rPr>
          <w:rFonts w:ascii="Times New Roman" w:hAnsi="Times New Roman" w:eastAsia="Times New Roman" w:cs="Times New Roman"/>
          <w:sz w:val="23"/>
          <w:szCs w:val="23"/>
        </w:rPr>
        <w:t>m</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以外范围。本项目施工厂界为</w:t>
      </w:r>
      <w:r>
        <w:rPr>
          <w:rFonts w:ascii="宋体" w:hAnsi="宋体" w:eastAsia="宋体" w:cs="宋体"/>
          <w:spacing w:val="9"/>
          <w:sz w:val="23"/>
          <w:szCs w:val="23"/>
        </w:rPr>
        <w:t>长</w:t>
      </w:r>
      <w:r>
        <w:rPr>
          <w:rFonts w:ascii="宋体" w:hAnsi="宋体" w:eastAsia="宋体" w:cs="宋体"/>
          <w:sz w:val="23"/>
          <w:szCs w:val="23"/>
        </w:rPr>
        <w:t xml:space="preserve"> </w:t>
      </w:r>
      <w:r>
        <w:rPr>
          <w:rFonts w:ascii="宋体" w:hAnsi="宋体" w:eastAsia="宋体" w:cs="宋体"/>
          <w:spacing w:val="1"/>
          <w:sz w:val="23"/>
          <w:szCs w:val="23"/>
        </w:rPr>
        <w:t>方形区</w:t>
      </w:r>
      <w:r>
        <w:rPr>
          <w:rFonts w:ascii="宋体" w:hAnsi="宋体" w:eastAsia="宋体" w:cs="宋体"/>
          <w:sz w:val="23"/>
          <w:szCs w:val="23"/>
        </w:rPr>
        <w:t xml:space="preserve">域，南北长约 </w:t>
      </w:r>
      <w:r>
        <w:rPr>
          <w:rFonts w:ascii="Times New Roman" w:hAnsi="Times New Roman" w:eastAsia="Times New Roman" w:cs="Times New Roman"/>
          <w:sz w:val="23"/>
          <w:szCs w:val="23"/>
        </w:rPr>
        <w:t xml:space="preserve">217m </w:t>
      </w:r>
      <w:r>
        <w:rPr>
          <w:rFonts w:ascii="宋体" w:hAnsi="宋体" w:eastAsia="宋体" w:cs="宋体"/>
          <w:sz w:val="23"/>
          <w:szCs w:val="23"/>
        </w:rPr>
        <w:t xml:space="preserve">，东西宽约 </w:t>
      </w:r>
      <w:r>
        <w:rPr>
          <w:rFonts w:ascii="Times New Roman" w:hAnsi="Times New Roman" w:eastAsia="Times New Roman" w:cs="Times New Roman"/>
          <w:sz w:val="23"/>
          <w:szCs w:val="23"/>
        </w:rPr>
        <w:t xml:space="preserve">149m </w:t>
      </w:r>
      <w:r>
        <w:rPr>
          <w:rFonts w:ascii="宋体" w:hAnsi="宋体" w:eastAsia="宋体" w:cs="宋体"/>
          <w:sz w:val="23"/>
          <w:szCs w:val="23"/>
        </w:rPr>
        <w:t xml:space="preserve">。由于施工设备位置不固定，流动性 </w:t>
      </w:r>
      <w:r>
        <w:rPr>
          <w:rFonts w:ascii="宋体" w:hAnsi="宋体" w:eastAsia="宋体" w:cs="宋体"/>
          <w:spacing w:val="8"/>
          <w:sz w:val="23"/>
          <w:szCs w:val="23"/>
        </w:rPr>
        <w:t>强</w:t>
      </w:r>
      <w:r>
        <w:rPr>
          <w:rFonts w:ascii="宋体" w:hAnsi="宋体" w:eastAsia="宋体" w:cs="宋体"/>
          <w:spacing w:val="7"/>
          <w:sz w:val="23"/>
          <w:szCs w:val="23"/>
        </w:rPr>
        <w:t>，对比达标要求与场地大小分析，并结合实际考虑，项目施工场界噪声昼夜均</w:t>
      </w:r>
      <w:r>
        <w:rPr>
          <w:rFonts w:ascii="宋体" w:hAnsi="宋体" w:eastAsia="宋体" w:cs="宋体"/>
          <w:sz w:val="23"/>
          <w:szCs w:val="23"/>
        </w:rPr>
        <w:t xml:space="preserve"> </w:t>
      </w:r>
      <w:r>
        <w:rPr>
          <w:rFonts w:ascii="宋体" w:hAnsi="宋体" w:eastAsia="宋体" w:cs="宋体"/>
          <w:spacing w:val="9"/>
          <w:sz w:val="23"/>
          <w:szCs w:val="23"/>
        </w:rPr>
        <w:t>有不同程度的超标，但尤以夜间为重</w:t>
      </w:r>
      <w:r>
        <w:rPr>
          <w:rFonts w:ascii="宋体" w:hAnsi="宋体" w:eastAsia="宋体" w:cs="宋体"/>
          <w:spacing w:val="5"/>
          <w:sz w:val="23"/>
          <w:szCs w:val="23"/>
        </w:rPr>
        <w:t>。</w:t>
      </w:r>
    </w:p>
    <w:p w14:paraId="5F4B4F8D">
      <w:pPr>
        <w:spacing w:before="147" w:line="381" w:lineRule="auto"/>
        <w:ind w:left="22" w:right="101" w:firstLine="480"/>
        <w:rPr>
          <w:rFonts w:ascii="宋体" w:hAnsi="宋体" w:eastAsia="宋体" w:cs="宋体"/>
          <w:sz w:val="23"/>
          <w:szCs w:val="23"/>
        </w:rPr>
      </w:pPr>
      <w:r>
        <w:rPr>
          <w:rFonts w:ascii="宋体" w:hAnsi="宋体" w:eastAsia="宋体" w:cs="宋体"/>
          <w:spacing w:val="5"/>
          <w:sz w:val="23"/>
          <w:szCs w:val="23"/>
        </w:rPr>
        <w:t xml:space="preserve">根据声环境功能区划，项目建设区域及敏感点声环境执行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类标准，即</w:t>
      </w:r>
      <w:r>
        <w:rPr>
          <w:rFonts w:ascii="宋体" w:hAnsi="宋体" w:eastAsia="宋体" w:cs="宋体"/>
          <w:spacing w:val="4"/>
          <w:sz w:val="23"/>
          <w:szCs w:val="23"/>
        </w:rPr>
        <w:t>昼</w:t>
      </w:r>
      <w:r>
        <w:rPr>
          <w:rFonts w:ascii="宋体" w:hAnsi="宋体" w:eastAsia="宋体" w:cs="宋体"/>
          <w:sz w:val="23"/>
          <w:szCs w:val="23"/>
        </w:rPr>
        <w:t xml:space="preserve">间 </w:t>
      </w:r>
      <w:r>
        <w:rPr>
          <w:rFonts w:ascii="Times New Roman" w:hAnsi="Times New Roman" w:eastAsia="Times New Roman" w:cs="Times New Roman"/>
          <w:spacing w:val="8"/>
          <w:sz w:val="23"/>
          <w:szCs w:val="23"/>
        </w:rPr>
        <w:t>55</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，夜</w:t>
      </w:r>
      <w:r>
        <w:rPr>
          <w:rFonts w:ascii="宋体" w:hAnsi="宋体" w:eastAsia="宋体" w:cs="宋体"/>
          <w:spacing w:val="7"/>
          <w:sz w:val="23"/>
          <w:szCs w:val="23"/>
        </w:rPr>
        <w:t>间</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45</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。按照环保要求，夜间禁止施工，因此，仅分析昼间施工噪声</w:t>
      </w:r>
      <w:r>
        <w:rPr>
          <w:rFonts w:ascii="宋体" w:hAnsi="宋体" w:eastAsia="宋体" w:cs="宋体"/>
          <w:sz w:val="23"/>
          <w:szCs w:val="23"/>
        </w:rPr>
        <w:t xml:space="preserve"> </w:t>
      </w:r>
      <w:r>
        <w:rPr>
          <w:rFonts w:ascii="宋体" w:hAnsi="宋体" w:eastAsia="宋体" w:cs="宋体"/>
          <w:spacing w:val="8"/>
          <w:sz w:val="23"/>
          <w:szCs w:val="23"/>
        </w:rPr>
        <w:t>对周围环境的影响</w:t>
      </w:r>
      <w:r>
        <w:rPr>
          <w:rFonts w:ascii="宋体" w:hAnsi="宋体" w:eastAsia="宋体" w:cs="宋体"/>
          <w:spacing w:val="7"/>
          <w:sz w:val="23"/>
          <w:szCs w:val="23"/>
        </w:rPr>
        <w:t>。</w:t>
      </w:r>
    </w:p>
    <w:p w14:paraId="1D14F0D4">
      <w:pPr>
        <w:spacing w:before="174" w:line="393" w:lineRule="auto"/>
        <w:ind w:left="24" w:right="99" w:firstLine="481"/>
        <w:rPr>
          <w:rFonts w:ascii="宋体" w:hAnsi="宋体" w:eastAsia="宋体" w:cs="宋体"/>
          <w:sz w:val="23"/>
          <w:szCs w:val="23"/>
        </w:rPr>
      </w:pPr>
      <w:r>
        <w:rPr>
          <w:rFonts w:ascii="宋体" w:hAnsi="宋体" w:eastAsia="宋体" w:cs="宋体"/>
          <w:spacing w:val="12"/>
          <w:sz w:val="23"/>
          <w:szCs w:val="23"/>
        </w:rPr>
        <w:t xml:space="preserve">从表 </w:t>
      </w:r>
      <w:r>
        <w:rPr>
          <w:rFonts w:ascii="Times New Roman" w:hAnsi="Times New Roman" w:eastAsia="Times New Roman" w:cs="Times New Roman"/>
          <w:spacing w:val="12"/>
          <w:sz w:val="23"/>
          <w:szCs w:val="23"/>
        </w:rPr>
        <w:t>5</w:t>
      </w:r>
      <w:r>
        <w:rPr>
          <w:rFonts w:ascii="Times New Roman" w:hAnsi="Times New Roman" w:eastAsia="Times New Roman" w:cs="Times New Roman"/>
          <w:spacing w:val="6"/>
          <w:sz w:val="23"/>
          <w:szCs w:val="23"/>
        </w:rPr>
        <w:t xml:space="preserve">-3 </w:t>
      </w:r>
      <w:r>
        <w:rPr>
          <w:rFonts w:ascii="宋体" w:hAnsi="宋体" w:eastAsia="宋体" w:cs="宋体"/>
          <w:spacing w:val="6"/>
          <w:sz w:val="23"/>
          <w:szCs w:val="23"/>
        </w:rPr>
        <w:t xml:space="preserve">中可以看出，施工设备在距周边场界距离为 </w:t>
      </w:r>
      <w:r>
        <w:rPr>
          <w:rFonts w:ascii="Times New Roman" w:hAnsi="Times New Roman" w:eastAsia="Times New Roman" w:cs="Times New Roman"/>
          <w:spacing w:val="6"/>
          <w:sz w:val="23"/>
          <w:szCs w:val="23"/>
        </w:rPr>
        <w:t>21</w:t>
      </w:r>
      <w:r>
        <w:rPr>
          <w:rFonts w:ascii="Times New Roman" w:hAnsi="Times New Roman" w:eastAsia="Times New Roman" w:cs="Times New Roman"/>
          <w:sz w:val="23"/>
          <w:szCs w:val="23"/>
        </w:rPr>
        <w:t>m</w:t>
      </w:r>
      <w:r>
        <w:rPr>
          <w:rFonts w:ascii="宋体" w:hAnsi="宋体" w:eastAsia="宋体" w:cs="宋体"/>
          <w:spacing w:val="6"/>
          <w:sz w:val="23"/>
          <w:szCs w:val="23"/>
        </w:rPr>
        <w:t>~</w:t>
      </w:r>
      <w:r>
        <w:rPr>
          <w:rFonts w:ascii="Times New Roman" w:hAnsi="Times New Roman" w:eastAsia="Times New Roman" w:cs="Times New Roman"/>
          <w:spacing w:val="6"/>
          <w:sz w:val="23"/>
          <w:szCs w:val="23"/>
        </w:rPr>
        <w:t>89</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以外的范围</w:t>
      </w:r>
      <w:r>
        <w:rPr>
          <w:rFonts w:ascii="宋体" w:hAnsi="宋体" w:eastAsia="宋体" w:cs="宋体"/>
          <w:sz w:val="23"/>
          <w:szCs w:val="23"/>
        </w:rPr>
        <w:t xml:space="preserve"> </w:t>
      </w:r>
      <w:r>
        <w:rPr>
          <w:rFonts w:ascii="宋体" w:hAnsi="宋体" w:eastAsia="宋体" w:cs="宋体"/>
          <w:spacing w:val="13"/>
          <w:sz w:val="23"/>
          <w:szCs w:val="23"/>
        </w:rPr>
        <w:t>作</w:t>
      </w:r>
      <w:r>
        <w:rPr>
          <w:rFonts w:ascii="宋体" w:hAnsi="宋体" w:eastAsia="宋体" w:cs="宋体"/>
          <w:spacing w:val="8"/>
          <w:sz w:val="23"/>
          <w:szCs w:val="23"/>
        </w:rPr>
        <w:t>业时，对周围环境无影响。</w:t>
      </w:r>
    </w:p>
    <w:p w14:paraId="0FCE7706">
      <w:pPr>
        <w:spacing w:before="136" w:line="227" w:lineRule="auto"/>
        <w:ind w:left="507"/>
        <w:rPr>
          <w:rFonts w:ascii="宋体" w:hAnsi="宋体" w:eastAsia="宋体" w:cs="宋体"/>
          <w:sz w:val="23"/>
          <w:szCs w:val="23"/>
        </w:rPr>
      </w:pPr>
      <w:r>
        <w:rPr>
          <w:rFonts w:ascii="宋体" w:hAnsi="宋体" w:eastAsia="宋体" w:cs="宋体"/>
          <w:spacing w:val="7"/>
          <w:sz w:val="23"/>
          <w:szCs w:val="23"/>
        </w:rPr>
        <w:t xml:space="preserve">项目厂界周边 </w:t>
      </w:r>
      <w:r>
        <w:rPr>
          <w:rFonts w:ascii="Times New Roman" w:hAnsi="Times New Roman" w:eastAsia="Times New Roman" w:cs="Times New Roman"/>
          <w:spacing w:val="7"/>
          <w:sz w:val="23"/>
          <w:szCs w:val="23"/>
        </w:rPr>
        <w:t>500</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内无居民住宅，因此施工噪声对周围居民的影响较小。</w:t>
      </w:r>
    </w:p>
    <w:p w14:paraId="278F56BE">
      <w:pPr>
        <w:spacing w:before="300" w:line="226" w:lineRule="auto"/>
        <w:ind w:left="24"/>
        <w:outlineLvl w:val="2"/>
        <w:rPr>
          <w:rFonts w:ascii="宋体" w:hAnsi="宋体" w:eastAsia="宋体" w:cs="宋体"/>
          <w:sz w:val="29"/>
          <w:szCs w:val="29"/>
        </w:rPr>
      </w:pPr>
      <w:r>
        <w:rPr>
          <w:rFonts w:ascii="Times New Roman" w:hAnsi="Times New Roman" w:eastAsia="Times New Roman" w:cs="Times New Roman"/>
          <w:b/>
          <w:bCs/>
          <w:spacing w:val="12"/>
          <w:sz w:val="29"/>
          <w:szCs w:val="29"/>
        </w:rPr>
        <w:t>5</w:t>
      </w:r>
      <w:r>
        <w:rPr>
          <w:rFonts w:ascii="Times New Roman" w:hAnsi="Times New Roman" w:eastAsia="Times New Roman" w:cs="Times New Roman"/>
          <w:b/>
          <w:bCs/>
          <w:spacing w:val="8"/>
          <w:sz w:val="29"/>
          <w:szCs w:val="29"/>
        </w:rPr>
        <w:t>.1.4</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施工期固体废弃物影响分析及对策</w:t>
      </w:r>
    </w:p>
    <w:p w14:paraId="4381197A">
      <w:pPr>
        <w:spacing w:line="256" w:lineRule="auto"/>
        <w:rPr>
          <w:rFonts w:ascii="Arial"/>
          <w:sz w:val="21"/>
        </w:rPr>
      </w:pPr>
    </w:p>
    <w:p w14:paraId="08A54834">
      <w:pPr>
        <w:spacing w:before="75" w:line="228" w:lineRule="auto"/>
        <w:ind w:left="514"/>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6"/>
          <w:sz w:val="23"/>
          <w:szCs w:val="23"/>
        </w:rPr>
        <w:t>1</w:t>
      </w:r>
      <w:r>
        <w:rPr>
          <w:rFonts w:ascii="宋体" w:hAnsi="宋体" w:eastAsia="宋体" w:cs="宋体"/>
          <w:spacing w:val="16"/>
          <w:sz w:val="23"/>
          <w:szCs w:val="23"/>
        </w:rPr>
        <w:t>) 施工人员的生活垃圾</w:t>
      </w:r>
    </w:p>
    <w:p w14:paraId="67B658F9">
      <w:pPr>
        <w:spacing w:line="275" w:lineRule="auto"/>
        <w:rPr>
          <w:rFonts w:ascii="Arial"/>
          <w:sz w:val="21"/>
        </w:rPr>
      </w:pPr>
    </w:p>
    <w:p w14:paraId="73C7508A">
      <w:pPr>
        <w:spacing w:before="75" w:line="227" w:lineRule="auto"/>
        <w:ind w:left="502"/>
        <w:rPr>
          <w:rFonts w:ascii="宋体" w:hAnsi="宋体" w:eastAsia="宋体" w:cs="宋体"/>
          <w:sz w:val="23"/>
          <w:szCs w:val="23"/>
        </w:rPr>
      </w:pPr>
      <w:r>
        <w:rPr>
          <w:rFonts w:ascii="宋体" w:hAnsi="宋体" w:eastAsia="宋体" w:cs="宋体"/>
          <w:spacing w:val="18"/>
          <w:sz w:val="23"/>
          <w:szCs w:val="23"/>
        </w:rPr>
        <w:t>施</w:t>
      </w:r>
      <w:r>
        <w:rPr>
          <w:rFonts w:ascii="宋体" w:hAnsi="宋体" w:eastAsia="宋体" w:cs="宋体"/>
          <w:spacing w:val="11"/>
          <w:sz w:val="23"/>
          <w:szCs w:val="23"/>
        </w:rPr>
        <w:t>工</w:t>
      </w:r>
      <w:r>
        <w:rPr>
          <w:rFonts w:ascii="宋体" w:hAnsi="宋体" w:eastAsia="宋体" w:cs="宋体"/>
          <w:spacing w:val="9"/>
          <w:sz w:val="23"/>
          <w:szCs w:val="23"/>
        </w:rPr>
        <w:t>人员产生的生活垃圾集中收集，定期由市政环卫部门统一处理。</w:t>
      </w:r>
    </w:p>
    <w:p w14:paraId="365219F0">
      <w:pPr>
        <w:spacing w:line="276" w:lineRule="auto"/>
        <w:rPr>
          <w:rFonts w:ascii="Arial"/>
          <w:sz w:val="21"/>
        </w:rPr>
      </w:pPr>
    </w:p>
    <w:p w14:paraId="4878D2CE">
      <w:pPr>
        <w:spacing w:before="75" w:line="228"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建筑垃</w:t>
      </w:r>
      <w:r>
        <w:rPr>
          <w:rFonts w:ascii="宋体" w:hAnsi="宋体" w:eastAsia="宋体" w:cs="宋体"/>
          <w:spacing w:val="19"/>
          <w:sz w:val="23"/>
          <w:szCs w:val="23"/>
        </w:rPr>
        <w:t>圾</w:t>
      </w:r>
    </w:p>
    <w:p w14:paraId="3822891F">
      <w:pPr>
        <w:spacing w:line="275" w:lineRule="auto"/>
        <w:rPr>
          <w:rFonts w:ascii="Arial"/>
          <w:sz w:val="21"/>
        </w:rPr>
      </w:pPr>
    </w:p>
    <w:p w14:paraId="516A28E9">
      <w:pPr>
        <w:spacing w:before="75" w:line="391" w:lineRule="auto"/>
        <w:ind w:left="27" w:right="40" w:firstLine="479"/>
        <w:rPr>
          <w:rFonts w:ascii="宋体" w:hAnsi="宋体" w:eastAsia="宋体" w:cs="宋体"/>
          <w:sz w:val="23"/>
          <w:szCs w:val="23"/>
        </w:rPr>
      </w:pPr>
      <w:r>
        <w:rPr>
          <w:rFonts w:ascii="宋体" w:hAnsi="宋体" w:eastAsia="宋体" w:cs="宋体"/>
          <w:spacing w:val="2"/>
          <w:sz w:val="23"/>
          <w:szCs w:val="23"/>
        </w:rPr>
        <w:t>建筑垃圾、施工建设过程中产生的废弃装饰建筑</w:t>
      </w:r>
      <w:r>
        <w:rPr>
          <w:rFonts w:ascii="宋体" w:hAnsi="宋体" w:eastAsia="宋体" w:cs="宋体"/>
          <w:spacing w:val="1"/>
          <w:sz w:val="23"/>
          <w:szCs w:val="23"/>
        </w:rPr>
        <w:t>材料，集中收集，尽量回用，</w:t>
      </w:r>
      <w:r>
        <w:rPr>
          <w:rFonts w:ascii="宋体" w:hAnsi="宋体" w:eastAsia="宋体" w:cs="宋体"/>
          <w:sz w:val="23"/>
          <w:szCs w:val="23"/>
        </w:rPr>
        <w:t xml:space="preserve"> </w:t>
      </w:r>
      <w:r>
        <w:rPr>
          <w:rFonts w:ascii="宋体" w:hAnsi="宋体" w:eastAsia="宋体" w:cs="宋体"/>
          <w:spacing w:val="7"/>
          <w:sz w:val="23"/>
          <w:szCs w:val="23"/>
        </w:rPr>
        <w:t>不能回用的送至建筑垃圾填埋场。施工期产生少量弃土，场地平整过程中可全</w:t>
      </w:r>
      <w:r>
        <w:rPr>
          <w:rFonts w:ascii="宋体" w:hAnsi="宋体" w:eastAsia="宋体" w:cs="宋体"/>
          <w:spacing w:val="5"/>
          <w:sz w:val="23"/>
          <w:szCs w:val="23"/>
        </w:rPr>
        <w:t>部</w:t>
      </w:r>
      <w:r>
        <w:rPr>
          <w:rFonts w:ascii="宋体" w:hAnsi="宋体" w:eastAsia="宋体" w:cs="宋体"/>
          <w:sz w:val="23"/>
          <w:szCs w:val="23"/>
        </w:rPr>
        <w:t xml:space="preserve"> </w:t>
      </w:r>
      <w:r>
        <w:rPr>
          <w:rFonts w:ascii="宋体" w:hAnsi="宋体" w:eastAsia="宋体" w:cs="宋体"/>
          <w:spacing w:val="2"/>
          <w:sz w:val="23"/>
          <w:szCs w:val="23"/>
        </w:rPr>
        <w:t>回用。</w:t>
      </w:r>
    </w:p>
    <w:p w14:paraId="066EA4D5">
      <w:pPr>
        <w:spacing w:before="92" w:line="322" w:lineRule="exact"/>
        <w:ind w:left="507"/>
        <w:rPr>
          <w:rFonts w:ascii="宋体" w:hAnsi="宋体" w:eastAsia="宋体" w:cs="宋体"/>
          <w:sz w:val="23"/>
          <w:szCs w:val="23"/>
        </w:rPr>
      </w:pPr>
      <w:r>
        <w:rPr>
          <w:rFonts w:ascii="宋体" w:hAnsi="宋体" w:eastAsia="宋体" w:cs="宋体"/>
          <w:spacing w:val="8"/>
          <w:position w:val="1"/>
          <w:sz w:val="23"/>
          <w:szCs w:val="23"/>
        </w:rPr>
        <w:t>项目</w:t>
      </w:r>
      <w:r>
        <w:rPr>
          <w:rFonts w:ascii="宋体" w:hAnsi="宋体" w:eastAsia="宋体" w:cs="宋体"/>
          <w:spacing w:val="5"/>
          <w:position w:val="1"/>
          <w:sz w:val="23"/>
          <w:szCs w:val="23"/>
        </w:rPr>
        <w:t>施</w:t>
      </w:r>
      <w:r>
        <w:rPr>
          <w:rFonts w:ascii="宋体" w:hAnsi="宋体" w:eastAsia="宋体" w:cs="宋体"/>
          <w:spacing w:val="4"/>
          <w:position w:val="1"/>
          <w:sz w:val="23"/>
          <w:szCs w:val="23"/>
        </w:rPr>
        <w:t xml:space="preserve">工期固体废物处置率为 </w:t>
      </w:r>
      <w:r>
        <w:rPr>
          <w:rFonts w:ascii="Times New Roman" w:hAnsi="Times New Roman" w:eastAsia="Times New Roman" w:cs="Times New Roman"/>
          <w:spacing w:val="4"/>
          <w:position w:val="1"/>
          <w:sz w:val="23"/>
          <w:szCs w:val="23"/>
        </w:rPr>
        <w:t>100%</w:t>
      </w:r>
      <w:r>
        <w:rPr>
          <w:rFonts w:ascii="宋体" w:hAnsi="宋体" w:eastAsia="宋体" w:cs="宋体"/>
          <w:spacing w:val="4"/>
          <w:position w:val="1"/>
          <w:sz w:val="23"/>
          <w:szCs w:val="23"/>
        </w:rPr>
        <w:t>。</w:t>
      </w:r>
    </w:p>
    <w:p w14:paraId="4D9A6560">
      <w:pPr>
        <w:spacing w:before="305" w:line="226" w:lineRule="auto"/>
        <w:ind w:left="24"/>
        <w:outlineLvl w:val="2"/>
        <w:rPr>
          <w:rFonts w:ascii="宋体" w:hAnsi="宋体" w:eastAsia="宋体" w:cs="宋体"/>
          <w:sz w:val="29"/>
          <w:szCs w:val="29"/>
        </w:rPr>
      </w:pPr>
      <w:r>
        <w:rPr>
          <w:rFonts w:ascii="Times New Roman" w:hAnsi="Times New Roman" w:eastAsia="Times New Roman" w:cs="Times New Roman"/>
          <w:b/>
          <w:bCs/>
          <w:spacing w:val="12"/>
          <w:sz w:val="29"/>
          <w:szCs w:val="29"/>
        </w:rPr>
        <w:t>5</w:t>
      </w:r>
      <w:r>
        <w:rPr>
          <w:rFonts w:ascii="Times New Roman" w:hAnsi="Times New Roman" w:eastAsia="Times New Roman" w:cs="Times New Roman"/>
          <w:b/>
          <w:bCs/>
          <w:spacing w:val="8"/>
          <w:sz w:val="29"/>
          <w:szCs w:val="29"/>
        </w:rPr>
        <w:t>.1.5</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施工期对水土保持的影响分析</w:t>
      </w:r>
    </w:p>
    <w:p w14:paraId="024FB91A">
      <w:pPr>
        <w:spacing w:before="194" w:line="405" w:lineRule="auto"/>
        <w:ind w:left="23" w:right="66" w:firstLine="479"/>
        <w:rPr>
          <w:rFonts w:ascii="宋体" w:hAnsi="宋体" w:eastAsia="宋体" w:cs="宋体"/>
          <w:sz w:val="23"/>
          <w:szCs w:val="23"/>
        </w:rPr>
      </w:pPr>
      <w:r>
        <w:pict>
          <v:rect id="_x0000_s1240" o:spid="_x0000_s1240" o:spt="1" style="position:absolute;left:0pt;margin-left:102.85pt;margin-top:18.4pt;height:0.85pt;width:3.25pt;z-index:-251411456;mso-width-relative:page;mso-height-relative:page;" fillcolor="#000000" filled="t" stroked="f" coordsize="21600,21600">
            <v:path/>
            <v:fill on="t" opacity="57826f" focussize="0,0"/>
            <v:stroke on="f"/>
            <v:imagedata o:title=""/>
            <o:lock v:ext="edit"/>
          </v:rect>
        </w:pict>
      </w:r>
      <w:r>
        <w:pict>
          <v:rect id="_x0000_s1241" o:spid="_x0000_s1241" o:spt="1" style="position:absolute;left:0pt;margin-left:102.85pt;margin-top:18.4pt;height:0.85pt;width:3.25pt;z-index:-251410432;mso-width-relative:page;mso-height-relative:page;" fillcolor="#000000" filled="t" stroked="f" coordsize="21600,21600">
            <v:path/>
            <v:fill on="t" opacity="57826f" focussize="0,0"/>
            <v:stroke on="f"/>
            <v:imagedata o:title=""/>
            <o:lock v:ext="edit"/>
          </v:rect>
        </w:pict>
      </w:r>
      <w:r>
        <w:pict>
          <v:rect id="_x0000_s1242" o:spid="_x0000_s1242" o:spt="1" style="position:absolute;left:0pt;margin-left:102.85pt;margin-top:18.4pt;height:0.85pt;width:3.25pt;z-index:-251407360;mso-width-relative:page;mso-height-relative:page;" fillcolor="#000000" filled="t" stroked="f" coordsize="21600,21600">
            <v:path/>
            <v:fill on="t" opacity="57826f" focussize="0,0"/>
            <v:stroke on="f"/>
            <v:imagedata o:title=""/>
            <o:lock v:ext="edit"/>
          </v:rect>
        </w:pict>
      </w:r>
      <w:r>
        <w:pict>
          <v:rect id="_x0000_s1243" o:spid="_x0000_s1243" o:spt="1" style="position:absolute;left:0pt;margin-left:102.85pt;margin-top:18.4pt;height:0.85pt;width:3.25pt;z-index:-251405312;mso-width-relative:page;mso-height-relative:page;" fillcolor="#000000" filled="t" stroked="f" coordsize="21600,21600">
            <v:path/>
            <v:fill on="t" opacity="57826f" focussize="0,0"/>
            <v:stroke on="f"/>
            <v:imagedata o:title=""/>
            <o:lock v:ext="edit"/>
          </v:rect>
        </w:pict>
      </w:r>
      <w:r>
        <w:pict>
          <v:rect id="_x0000_s1244" o:spid="_x0000_s1244" o:spt="1" style="position:absolute;left:0pt;margin-left:104.1pt;margin-top:18.4pt;height:0.8pt;width:0.85pt;z-index:-251409408;mso-width-relative:page;mso-height-relative:page;" fillcolor="#000000" filled="t" stroked="f" coordsize="21600,21600">
            <v:path/>
            <v:fill on="t" opacity="57826f" focussize="0,0"/>
            <v:stroke on="f"/>
            <v:imagedata o:title=""/>
            <o:lock v:ext="edit"/>
          </v:rect>
        </w:pict>
      </w:r>
      <w:r>
        <w:pict>
          <v:rect id="_x0000_s1245" o:spid="_x0000_s1245" o:spt="1" style="position:absolute;left:0pt;margin-left:104.1pt;margin-top:18.4pt;height:0.8pt;width:0.85pt;z-index:-251408384;mso-width-relative:page;mso-height-relative:page;" fillcolor="#000000" filled="t" stroked="f" coordsize="21600,21600">
            <v:path/>
            <v:fill on="t" opacity="57826f" focussize="0,0"/>
            <v:stroke on="f"/>
            <v:imagedata o:title=""/>
            <o:lock v:ext="edit"/>
          </v:rect>
        </w:pict>
      </w:r>
      <w:r>
        <w:pict>
          <v:rect id="_x0000_s1246" o:spid="_x0000_s1246" o:spt="1" style="position:absolute;left:0pt;margin-left:104.1pt;margin-top:18.4pt;height:0.8pt;width:0.85pt;z-index:-251406336;mso-width-relative:page;mso-height-relative:page;" fillcolor="#000000" filled="t" stroked="f" coordsize="21600,21600">
            <v:path/>
            <v:fill on="t" opacity="57826f" focussize="0,0"/>
            <v:stroke on="f"/>
            <v:imagedata o:title=""/>
            <o:lock v:ext="edit"/>
          </v:rect>
        </w:pict>
      </w:r>
      <w:r>
        <w:pict>
          <v:rect id="_x0000_s1247" o:spid="_x0000_s1247" o:spt="1" style="position:absolute;left:0pt;margin-left:104.35pt;margin-top:18.9pt;height:0.85pt;width:3.25pt;z-index:-251418624;mso-width-relative:page;mso-height-relative:page;" fillcolor="#000000" filled="t" stroked="f" coordsize="21600,21600">
            <v:path/>
            <v:fill on="t" opacity="57826f" focussize="0,0"/>
            <v:stroke on="f"/>
            <v:imagedata o:title=""/>
            <o:lock v:ext="edit"/>
          </v:rect>
        </w:pict>
      </w:r>
      <w:r>
        <w:pict>
          <v:rect id="_x0000_s1248" o:spid="_x0000_s1248" o:spt="1" style="position:absolute;left:0pt;margin-left:104.35pt;margin-top:18.9pt;height:0.85pt;width:3.25pt;z-index:-251417600;mso-width-relative:page;mso-height-relative:page;" fillcolor="#000000" filled="t" stroked="f" coordsize="21600,21600">
            <v:path/>
            <v:fill on="t" opacity="57826f" focussize="0,0"/>
            <v:stroke on="f"/>
            <v:imagedata o:title=""/>
            <o:lock v:ext="edit"/>
          </v:rect>
        </w:pict>
      </w:r>
      <w:r>
        <w:pict>
          <v:rect id="_x0000_s1249" o:spid="_x0000_s1249" o:spt="1" style="position:absolute;left:0pt;margin-left:104.35pt;margin-top:18.9pt;height:0.85pt;width:3.25pt;z-index:-251414528;mso-width-relative:page;mso-height-relative:page;" fillcolor="#000000" filled="t" stroked="f" coordsize="21600,21600">
            <v:path/>
            <v:fill on="t" opacity="57826f" focussize="0,0"/>
            <v:stroke on="f"/>
            <v:imagedata o:title=""/>
            <o:lock v:ext="edit"/>
          </v:rect>
        </w:pict>
      </w:r>
      <w:r>
        <w:pict>
          <v:rect id="_x0000_s1250" o:spid="_x0000_s1250" o:spt="1" style="position:absolute;left:0pt;margin-left:104.35pt;margin-top:18.9pt;height:0.85pt;width:3.25pt;z-index:-251412480;mso-width-relative:page;mso-height-relative:page;" fillcolor="#000000" filled="t" stroked="f" coordsize="21600,21600">
            <v:path/>
            <v:fill on="t" opacity="57826f" focussize="0,0"/>
            <v:stroke on="f"/>
            <v:imagedata o:title=""/>
            <o:lock v:ext="edit"/>
          </v:rect>
        </w:pict>
      </w:r>
      <w:r>
        <w:pict>
          <v:rect id="_x0000_s1251" o:spid="_x0000_s1251" o:spt="1" style="position:absolute;left:0pt;margin-left:105.6pt;margin-top:18.9pt;height:0.8pt;width:0.85pt;z-index:-251416576;mso-width-relative:page;mso-height-relative:page;" fillcolor="#000000" filled="t" stroked="f" coordsize="21600,21600">
            <v:path/>
            <v:fill on="t" opacity="26471f" focussize="0,0"/>
            <v:stroke on="f"/>
            <v:imagedata o:title=""/>
            <o:lock v:ext="edit"/>
          </v:rect>
        </w:pict>
      </w:r>
      <w:r>
        <w:pict>
          <v:rect id="_x0000_s1252" o:spid="_x0000_s1252" o:spt="1" style="position:absolute;left:0pt;margin-left:105.6pt;margin-top:18.9pt;height:0.8pt;width:0.85pt;z-index:-251415552;mso-width-relative:page;mso-height-relative:page;" fillcolor="#000000" filled="t" stroked="f" coordsize="21600,21600">
            <v:path/>
            <v:fill on="t" opacity="26471f" focussize="0,0"/>
            <v:stroke on="f"/>
            <v:imagedata o:title=""/>
            <o:lock v:ext="edit"/>
          </v:rect>
        </w:pict>
      </w:r>
      <w:r>
        <w:pict>
          <v:rect id="_x0000_s1253" o:spid="_x0000_s1253" o:spt="1" style="position:absolute;left:0pt;margin-left:105.6pt;margin-top:18.9pt;height:0.8pt;width:0.85pt;z-index:-251413504;mso-width-relative:page;mso-height-relative:page;" fillcolor="#000000" filled="t" stroked="f" coordsize="21600,21600">
            <v:path/>
            <v:fill on="t" opacity="26471f" focussize="0,0"/>
            <v:stroke on="f"/>
            <v:imagedata o:title=""/>
            <o:lock v:ext="edit"/>
          </v:rect>
        </w:pict>
      </w:r>
      <w:r>
        <w:rPr>
          <w:rFonts w:ascii="宋体" w:hAnsi="宋体" w:eastAsia="宋体" w:cs="宋体"/>
          <w:spacing w:val="7"/>
          <w:sz w:val="23"/>
          <w:szCs w:val="23"/>
        </w:rPr>
        <w:t>施工扰动用土地导致地表裸露，容易引起水土流失。施工期应严格将活动</w:t>
      </w:r>
      <w:r>
        <w:rPr>
          <w:rFonts w:ascii="宋体" w:hAnsi="宋体" w:eastAsia="宋体" w:cs="宋体"/>
          <w:spacing w:val="3"/>
          <w:sz w:val="23"/>
          <w:szCs w:val="23"/>
        </w:rPr>
        <w:t>范</w:t>
      </w:r>
      <w:r>
        <w:rPr>
          <w:rFonts w:ascii="宋体" w:hAnsi="宋体" w:eastAsia="宋体" w:cs="宋体"/>
          <w:sz w:val="23"/>
          <w:szCs w:val="23"/>
        </w:rPr>
        <w:t xml:space="preserve"> </w:t>
      </w:r>
      <w:r>
        <w:rPr>
          <w:rFonts w:ascii="宋体" w:hAnsi="宋体" w:eastAsia="宋体" w:cs="宋体"/>
          <w:spacing w:val="10"/>
          <w:sz w:val="23"/>
          <w:szCs w:val="23"/>
        </w:rPr>
        <w:t>围</w:t>
      </w:r>
      <w:r>
        <w:rPr>
          <w:rFonts w:ascii="宋体" w:hAnsi="宋体" w:eastAsia="宋体" w:cs="宋体"/>
          <w:spacing w:val="8"/>
          <w:sz w:val="23"/>
          <w:szCs w:val="23"/>
        </w:rPr>
        <w:t>控制在项目用地范围内，不占用其它土地。合理安排施工期，避免雨天施工，</w:t>
      </w:r>
      <w:r>
        <w:rPr>
          <w:rFonts w:ascii="宋体" w:hAnsi="宋体" w:eastAsia="宋体" w:cs="宋体"/>
          <w:sz w:val="23"/>
          <w:szCs w:val="23"/>
        </w:rPr>
        <w:t xml:space="preserve"> </w:t>
      </w:r>
      <w:r>
        <w:rPr>
          <w:rFonts w:ascii="宋体" w:hAnsi="宋体" w:eastAsia="宋体" w:cs="宋体"/>
          <w:spacing w:val="15"/>
          <w:sz w:val="23"/>
          <w:szCs w:val="23"/>
        </w:rPr>
        <w:t>通</w:t>
      </w:r>
      <w:r>
        <w:rPr>
          <w:rFonts w:ascii="宋体" w:hAnsi="宋体" w:eastAsia="宋体" w:cs="宋体"/>
          <w:spacing w:val="9"/>
          <w:sz w:val="23"/>
          <w:szCs w:val="23"/>
        </w:rPr>
        <w:t>过采取上述措施可将项目施工期对土地的扰动降到最低。</w:t>
      </w:r>
    </w:p>
    <w:p w14:paraId="2C563690">
      <w:pPr>
        <w:sectPr>
          <w:headerReference r:id="rId202" w:type="default"/>
          <w:footerReference r:id="rId203" w:type="default"/>
          <w:pgSz w:w="11906" w:h="16839"/>
          <w:pgMar w:top="1132" w:right="1698" w:bottom="1182" w:left="1785" w:header="878" w:footer="1022" w:gutter="0"/>
          <w:cols w:space="720" w:num="1"/>
        </w:sectPr>
      </w:pPr>
    </w:p>
    <w:p w14:paraId="54C3DD32">
      <w:pPr>
        <w:spacing w:line="323" w:lineRule="auto"/>
        <w:rPr>
          <w:rFonts w:ascii="Arial"/>
          <w:sz w:val="21"/>
        </w:rPr>
      </w:pPr>
      <w:r>
        <w:pict>
          <v:shape id="_x0000_s1254" o:spid="_x0000_s1254" style="position:absolute;left:0pt;margin-left:90pt;margin-top:57.35pt;height:0.75pt;width:415.3pt;mso-position-horizontal-relative:page;mso-position-vertical-relative:page;z-index:251913216;mso-width-relative:page;mso-height-relative:page;" fillcolor="#000000" filled="t" stroked="f" coordsize="8305,15" o:allowincell="f" path="m0,0l8305,0,8305,14,0,14,0,0xe">
            <v:path/>
            <v:fill on="t" focussize="0,0"/>
            <v:stroke on="f"/>
            <v:imagedata o:title=""/>
            <o:lock v:ext="edit"/>
          </v:shape>
        </w:pict>
      </w:r>
    </w:p>
    <w:p w14:paraId="37885FE2">
      <w:pPr>
        <w:spacing w:before="100" w:line="223" w:lineRule="auto"/>
        <w:ind w:left="118"/>
        <w:outlineLvl w:val="1"/>
        <w:rPr>
          <w:rFonts w:ascii="宋体" w:hAnsi="宋体" w:eastAsia="宋体" w:cs="宋体"/>
          <w:sz w:val="31"/>
          <w:szCs w:val="31"/>
        </w:rPr>
      </w:pPr>
      <w:bookmarkStart w:id="24" w:name="_bookmark25"/>
      <w:bookmarkEnd w:id="24"/>
      <w:r>
        <w:rPr>
          <w:rFonts w:ascii="Times New Roman" w:hAnsi="Times New Roman" w:eastAsia="Times New Roman" w:cs="Times New Roman"/>
          <w:b/>
          <w:bCs/>
          <w:spacing w:val="17"/>
          <w:sz w:val="31"/>
          <w:szCs w:val="31"/>
        </w:rPr>
        <w:t>5.2</w:t>
      </w:r>
      <w:r>
        <w:rPr>
          <w:rFonts w:ascii="Times New Roman" w:hAnsi="Times New Roman" w:eastAsia="Times New Roman" w:cs="Times New Roman"/>
          <w:spacing w:val="17"/>
          <w:sz w:val="31"/>
          <w:szCs w:val="31"/>
        </w:rPr>
        <w:t xml:space="preserve"> </w:t>
      </w:r>
      <w:r>
        <w:rPr>
          <w:rFonts w:ascii="宋体" w:hAnsi="宋体" w:eastAsia="宋体" w:cs="宋体"/>
          <w:spacing w:val="17"/>
          <w:sz w:val="31"/>
          <w:szCs w:val="31"/>
          <w14:textOutline w14:w="5793" w14:cap="sq" w14:cmpd="sng">
            <w14:solidFill>
              <w14:srgbClr w14:val="000000"/>
            </w14:solidFill>
            <w14:prstDash w14:val="solid"/>
            <w14:bevel/>
          </w14:textOutline>
        </w:rPr>
        <w:t>营运期环境影响评价</w:t>
      </w:r>
    </w:p>
    <w:p w14:paraId="7A253150">
      <w:pPr>
        <w:spacing w:before="287"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17"/>
          <w:sz w:val="29"/>
          <w:szCs w:val="29"/>
        </w:rPr>
        <w:t>5.2.1</w:t>
      </w:r>
      <w:r>
        <w:rPr>
          <w:rFonts w:ascii="Times New Roman" w:hAnsi="Times New Roman" w:eastAsia="Times New Roman" w:cs="Times New Roman"/>
          <w:spacing w:val="17"/>
          <w:sz w:val="29"/>
          <w:szCs w:val="29"/>
        </w:rPr>
        <w:t xml:space="preserve"> </w:t>
      </w:r>
      <w:r>
        <w:rPr>
          <w:rFonts w:ascii="宋体" w:hAnsi="宋体" w:eastAsia="宋体" w:cs="宋体"/>
          <w:spacing w:val="17"/>
          <w:sz w:val="29"/>
          <w:szCs w:val="29"/>
          <w14:textOutline w14:w="5448" w14:cap="sq" w14:cmpd="sng">
            <w14:solidFill>
              <w14:srgbClr w14:val="000000"/>
            </w14:solidFill>
            <w14:prstDash w14:val="solid"/>
            <w14:bevel/>
          </w14:textOutline>
        </w:rPr>
        <w:t>运营期环境空气影响分</w:t>
      </w:r>
      <w:r>
        <w:rPr>
          <w:rFonts w:ascii="宋体" w:hAnsi="宋体" w:eastAsia="宋体" w:cs="宋体"/>
          <w:spacing w:val="15"/>
          <w:sz w:val="29"/>
          <w:szCs w:val="29"/>
          <w14:textOutline w14:w="5448" w14:cap="sq" w14:cmpd="sng">
            <w14:solidFill>
              <w14:srgbClr w14:val="000000"/>
            </w14:solidFill>
            <w14:prstDash w14:val="solid"/>
            <w14:bevel/>
          </w14:textOutline>
        </w:rPr>
        <w:t>析</w:t>
      </w:r>
    </w:p>
    <w:p w14:paraId="357A9F8D">
      <w:pPr>
        <w:spacing w:line="269" w:lineRule="auto"/>
        <w:rPr>
          <w:rFonts w:ascii="Arial"/>
          <w:sz w:val="21"/>
        </w:rPr>
      </w:pPr>
    </w:p>
    <w:p w14:paraId="2D49B34A">
      <w:pPr>
        <w:spacing w:before="74" w:line="398" w:lineRule="auto"/>
        <w:ind w:left="117" w:right="107" w:firstLine="480"/>
        <w:rPr>
          <w:rFonts w:ascii="宋体" w:hAnsi="宋体" w:eastAsia="宋体" w:cs="宋体"/>
          <w:sz w:val="23"/>
          <w:szCs w:val="23"/>
        </w:rPr>
      </w:pPr>
      <w:r>
        <w:rPr>
          <w:rFonts w:ascii="宋体" w:hAnsi="宋体" w:eastAsia="宋体" w:cs="宋体"/>
          <w:spacing w:val="7"/>
          <w:sz w:val="23"/>
          <w:szCs w:val="23"/>
        </w:rPr>
        <w:t>根据工程分析，该项目运营期大气污染物主要有洗字工序所用热风炉产生</w:t>
      </w:r>
      <w:r>
        <w:rPr>
          <w:rFonts w:ascii="宋体" w:hAnsi="宋体" w:eastAsia="宋体" w:cs="宋体"/>
          <w:spacing w:val="3"/>
          <w:sz w:val="23"/>
          <w:szCs w:val="23"/>
        </w:rPr>
        <w:t>的</w:t>
      </w:r>
      <w:r>
        <w:rPr>
          <w:rFonts w:ascii="宋体" w:hAnsi="宋体" w:eastAsia="宋体" w:cs="宋体"/>
          <w:sz w:val="23"/>
          <w:szCs w:val="23"/>
        </w:rPr>
        <w:t xml:space="preserve"> </w:t>
      </w:r>
      <w:r>
        <w:rPr>
          <w:rFonts w:ascii="宋体" w:hAnsi="宋体" w:eastAsia="宋体" w:cs="宋体"/>
          <w:spacing w:val="7"/>
          <w:sz w:val="23"/>
          <w:szCs w:val="23"/>
        </w:rPr>
        <w:t>烟气、分拣工序产生粉尘以及热熔、造粒工序产生挥发性有机物 (以非甲烷总</w:t>
      </w:r>
      <w:r>
        <w:rPr>
          <w:rFonts w:ascii="宋体" w:hAnsi="宋体" w:eastAsia="宋体" w:cs="宋体"/>
          <w:spacing w:val="2"/>
          <w:sz w:val="23"/>
          <w:szCs w:val="23"/>
        </w:rPr>
        <w:t>烃</w:t>
      </w:r>
      <w:r>
        <w:rPr>
          <w:rFonts w:ascii="宋体" w:hAnsi="宋体" w:eastAsia="宋体" w:cs="宋体"/>
          <w:sz w:val="23"/>
          <w:szCs w:val="23"/>
        </w:rPr>
        <w:t xml:space="preserve"> </w:t>
      </w:r>
      <w:r>
        <w:rPr>
          <w:rFonts w:ascii="宋体" w:hAnsi="宋体" w:eastAsia="宋体" w:cs="宋体"/>
          <w:spacing w:val="3"/>
          <w:sz w:val="23"/>
          <w:szCs w:val="23"/>
        </w:rPr>
        <w:t>计) 。</w:t>
      </w:r>
    </w:p>
    <w:p w14:paraId="25651890">
      <w:pPr>
        <w:spacing w:before="101" w:line="219" w:lineRule="auto"/>
        <w:ind w:left="117"/>
        <w:outlineLvl w:val="3"/>
        <w:rPr>
          <w:rFonts w:ascii="宋体" w:hAnsi="宋体" w:eastAsia="宋体" w:cs="宋体"/>
          <w:sz w:val="28"/>
          <w:szCs w:val="28"/>
        </w:rPr>
      </w:pPr>
      <w:r>
        <w:rPr>
          <w:rFonts w:ascii="Times New Roman" w:hAnsi="Times New Roman" w:eastAsia="Times New Roman" w:cs="Times New Roman"/>
          <w:b/>
          <w:bCs/>
          <w:spacing w:val="12"/>
          <w:sz w:val="28"/>
          <w:szCs w:val="28"/>
        </w:rPr>
        <w:t>5</w:t>
      </w:r>
      <w:r>
        <w:rPr>
          <w:rFonts w:ascii="Times New Roman" w:hAnsi="Times New Roman" w:eastAsia="Times New Roman" w:cs="Times New Roman"/>
          <w:b/>
          <w:bCs/>
          <w:spacing w:val="7"/>
          <w:sz w:val="28"/>
          <w:szCs w:val="28"/>
        </w:rPr>
        <w:t>.2.1.1</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基本气象资料</w:t>
      </w:r>
    </w:p>
    <w:p w14:paraId="527A0945">
      <w:pPr>
        <w:spacing w:line="272" w:lineRule="auto"/>
        <w:rPr>
          <w:rFonts w:ascii="Arial"/>
          <w:sz w:val="21"/>
        </w:rPr>
      </w:pPr>
    </w:p>
    <w:p w14:paraId="155086BE">
      <w:pPr>
        <w:spacing w:before="75" w:line="400" w:lineRule="auto"/>
        <w:ind w:left="118" w:right="107" w:firstLine="478"/>
        <w:rPr>
          <w:rFonts w:ascii="宋体" w:hAnsi="宋体" w:eastAsia="宋体" w:cs="宋体"/>
          <w:sz w:val="23"/>
          <w:szCs w:val="23"/>
        </w:rPr>
      </w:pPr>
      <w:r>
        <w:rPr>
          <w:rFonts w:ascii="宋体" w:hAnsi="宋体" w:eastAsia="宋体" w:cs="宋体"/>
          <w:spacing w:val="7"/>
          <w:sz w:val="23"/>
          <w:szCs w:val="23"/>
        </w:rPr>
        <w:t>采用本溪市气象站累年地面常规气象资料进行统计分析。本溪市累年各月</w:t>
      </w:r>
      <w:r>
        <w:rPr>
          <w:rFonts w:ascii="宋体" w:hAnsi="宋体" w:eastAsia="宋体" w:cs="宋体"/>
          <w:spacing w:val="3"/>
          <w:sz w:val="23"/>
          <w:szCs w:val="23"/>
        </w:rPr>
        <w:t>各</w:t>
      </w:r>
      <w:r>
        <w:rPr>
          <w:rFonts w:ascii="宋体" w:hAnsi="宋体" w:eastAsia="宋体" w:cs="宋体"/>
          <w:sz w:val="23"/>
          <w:szCs w:val="23"/>
        </w:rPr>
        <w:t xml:space="preserve"> </w:t>
      </w:r>
      <w:r>
        <w:rPr>
          <w:rFonts w:ascii="宋体" w:hAnsi="宋体" w:eastAsia="宋体" w:cs="宋体"/>
          <w:spacing w:val="1"/>
          <w:sz w:val="23"/>
          <w:szCs w:val="23"/>
        </w:rPr>
        <w:t xml:space="preserve">要素统计见表 </w:t>
      </w:r>
      <w:r>
        <w:rPr>
          <w:rFonts w:ascii="Times New Roman" w:hAnsi="Times New Roman" w:eastAsia="Times New Roman" w:cs="Times New Roman"/>
          <w:sz w:val="23"/>
          <w:szCs w:val="23"/>
        </w:rPr>
        <w:t>5-4</w:t>
      </w:r>
      <w:r>
        <w:rPr>
          <w:rFonts w:ascii="宋体" w:hAnsi="宋体" w:eastAsia="宋体" w:cs="宋体"/>
          <w:sz w:val="23"/>
          <w:szCs w:val="23"/>
        </w:rPr>
        <w:t>。</w:t>
      </w:r>
    </w:p>
    <w:p w14:paraId="7306A8C8">
      <w:pPr>
        <w:spacing w:before="140" w:line="227" w:lineRule="auto"/>
        <w:ind w:left="21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7"/>
          <w:sz w:val="23"/>
          <w:szCs w:val="23"/>
        </w:rPr>
        <w:t>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本溪市累年各月各要素统计表</w:t>
      </w:r>
    </w:p>
    <w:p w14:paraId="4C7B2885">
      <w:pPr>
        <w:spacing w:line="20"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580"/>
        <w:gridCol w:w="580"/>
        <w:gridCol w:w="580"/>
        <w:gridCol w:w="580"/>
        <w:gridCol w:w="580"/>
        <w:gridCol w:w="580"/>
        <w:gridCol w:w="580"/>
        <w:gridCol w:w="580"/>
        <w:gridCol w:w="580"/>
        <w:gridCol w:w="580"/>
        <w:gridCol w:w="580"/>
        <w:gridCol w:w="580"/>
        <w:gridCol w:w="581"/>
      </w:tblGrid>
      <w:tr w14:paraId="0D194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981" w:type="dxa"/>
            <w:tcBorders>
              <w:left w:val="nil"/>
            </w:tcBorders>
            <w:vAlign w:val="top"/>
          </w:tcPr>
          <w:p w14:paraId="1968E1BE">
            <w:pPr>
              <w:spacing w:before="14" w:line="288" w:lineRule="exact"/>
              <w:ind w:left="157"/>
              <w:rPr>
                <w:rFonts w:ascii="宋体" w:hAnsi="宋体" w:eastAsia="宋体" w:cs="宋体"/>
                <w:sz w:val="20"/>
                <w:szCs w:val="20"/>
              </w:rPr>
            </w:pPr>
            <w:r>
              <w:rPr>
                <w:rFonts w:ascii="宋体" w:hAnsi="宋体" w:eastAsia="宋体" w:cs="宋体"/>
                <w:spacing w:val="5"/>
                <w:position w:val="2"/>
                <w:sz w:val="20"/>
                <w:szCs w:val="20"/>
                <w14:textOutline w14:w="3780" w14:cap="sq" w14:cmpd="sng">
                  <w14:solidFill>
                    <w14:srgbClr w14:val="000000"/>
                  </w14:solidFill>
                  <w14:prstDash w14:val="solid"/>
                  <w14:bevel/>
                </w14:textOutline>
              </w:rPr>
              <w:t>项目</w:t>
            </w:r>
            <w:r>
              <w:rPr>
                <w:rFonts w:ascii="Times New Roman" w:hAnsi="Times New Roman" w:eastAsia="Times New Roman" w:cs="Times New Roman"/>
                <w:b/>
                <w:bCs/>
                <w:spacing w:val="5"/>
                <w:position w:val="2"/>
                <w:sz w:val="20"/>
                <w:szCs w:val="20"/>
              </w:rPr>
              <w:t>/</w:t>
            </w:r>
            <w:r>
              <w:rPr>
                <w:rFonts w:ascii="宋体" w:hAnsi="宋体" w:eastAsia="宋体" w:cs="宋体"/>
                <w:spacing w:val="4"/>
                <w:position w:val="2"/>
                <w:sz w:val="20"/>
                <w:szCs w:val="20"/>
                <w14:textOutline w14:w="3780" w14:cap="sq" w14:cmpd="sng">
                  <w14:solidFill>
                    <w14:srgbClr w14:val="000000"/>
                  </w14:solidFill>
                  <w14:prstDash w14:val="solid"/>
                  <w14:bevel/>
                </w14:textOutline>
              </w:rPr>
              <w:t>月</w:t>
            </w:r>
          </w:p>
        </w:tc>
        <w:tc>
          <w:tcPr>
            <w:tcW w:w="580" w:type="dxa"/>
            <w:vAlign w:val="top"/>
          </w:tcPr>
          <w:p w14:paraId="084F1F2D">
            <w:pPr>
              <w:spacing w:before="91" w:line="195" w:lineRule="auto"/>
              <w:ind w:left="24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580" w:type="dxa"/>
            <w:vAlign w:val="top"/>
          </w:tcPr>
          <w:p w14:paraId="0E8806D0">
            <w:pPr>
              <w:spacing w:before="91" w:line="195" w:lineRule="auto"/>
              <w:ind w:left="23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580" w:type="dxa"/>
            <w:vAlign w:val="top"/>
          </w:tcPr>
          <w:p w14:paraId="3767A366">
            <w:pPr>
              <w:spacing w:before="91"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3</w:t>
            </w:r>
          </w:p>
        </w:tc>
        <w:tc>
          <w:tcPr>
            <w:tcW w:w="580" w:type="dxa"/>
            <w:vAlign w:val="top"/>
          </w:tcPr>
          <w:p w14:paraId="4E58B31C">
            <w:pPr>
              <w:spacing w:before="91"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580" w:type="dxa"/>
            <w:vAlign w:val="top"/>
          </w:tcPr>
          <w:p w14:paraId="4C5D841F">
            <w:pPr>
              <w:spacing w:before="94" w:line="192" w:lineRule="auto"/>
              <w:ind w:left="24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580" w:type="dxa"/>
            <w:vAlign w:val="top"/>
          </w:tcPr>
          <w:p w14:paraId="567FFB25">
            <w:pPr>
              <w:spacing w:before="91" w:line="195" w:lineRule="auto"/>
              <w:ind w:left="24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6</w:t>
            </w:r>
          </w:p>
        </w:tc>
        <w:tc>
          <w:tcPr>
            <w:tcW w:w="580" w:type="dxa"/>
            <w:vAlign w:val="top"/>
          </w:tcPr>
          <w:p w14:paraId="5B1615F3">
            <w:pPr>
              <w:spacing w:before="94" w:line="192" w:lineRule="auto"/>
              <w:ind w:left="24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7</w:t>
            </w:r>
          </w:p>
        </w:tc>
        <w:tc>
          <w:tcPr>
            <w:tcW w:w="580" w:type="dxa"/>
            <w:vAlign w:val="top"/>
          </w:tcPr>
          <w:p w14:paraId="060015CD">
            <w:pPr>
              <w:spacing w:before="92" w:line="194" w:lineRule="auto"/>
              <w:ind w:left="24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8</w:t>
            </w:r>
          </w:p>
        </w:tc>
        <w:tc>
          <w:tcPr>
            <w:tcW w:w="580" w:type="dxa"/>
            <w:vAlign w:val="top"/>
          </w:tcPr>
          <w:p w14:paraId="716C2982">
            <w:pPr>
              <w:spacing w:before="91" w:line="195" w:lineRule="auto"/>
              <w:ind w:left="24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9</w:t>
            </w:r>
          </w:p>
        </w:tc>
        <w:tc>
          <w:tcPr>
            <w:tcW w:w="580" w:type="dxa"/>
            <w:vAlign w:val="top"/>
          </w:tcPr>
          <w:p w14:paraId="1A43C5F4">
            <w:pPr>
              <w:spacing w:before="91" w:line="195" w:lineRule="auto"/>
              <w:ind w:left="19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580" w:type="dxa"/>
            <w:vAlign w:val="top"/>
          </w:tcPr>
          <w:p w14:paraId="234201C7">
            <w:pPr>
              <w:spacing w:before="91" w:line="195" w:lineRule="auto"/>
              <w:ind w:left="19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11</w:t>
            </w:r>
          </w:p>
        </w:tc>
        <w:tc>
          <w:tcPr>
            <w:tcW w:w="580" w:type="dxa"/>
            <w:vAlign w:val="top"/>
          </w:tcPr>
          <w:p w14:paraId="3BFC9B5D">
            <w:pPr>
              <w:spacing w:before="91" w:line="195" w:lineRule="auto"/>
              <w:ind w:left="19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12</w:t>
            </w:r>
          </w:p>
        </w:tc>
        <w:tc>
          <w:tcPr>
            <w:tcW w:w="581" w:type="dxa"/>
            <w:tcBorders>
              <w:right w:val="nil"/>
            </w:tcBorders>
            <w:vAlign w:val="top"/>
          </w:tcPr>
          <w:p w14:paraId="16ABE57F">
            <w:pPr>
              <w:spacing w:before="54" w:line="228" w:lineRule="auto"/>
              <w:ind w:left="19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年</w:t>
            </w:r>
          </w:p>
        </w:tc>
      </w:tr>
      <w:tr w14:paraId="796AB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1" w:type="dxa"/>
            <w:tcBorders>
              <w:left w:val="nil"/>
            </w:tcBorders>
            <w:vAlign w:val="top"/>
          </w:tcPr>
          <w:p w14:paraId="3A2D0C85">
            <w:pPr>
              <w:spacing w:before="31" w:line="239" w:lineRule="auto"/>
              <w:ind w:left="174" w:right="160" w:firstLine="7"/>
              <w:rPr>
                <w:rFonts w:ascii="Times New Roman" w:hAnsi="Times New Roman" w:eastAsia="Times New Roman" w:cs="Times New Roman"/>
                <w:sz w:val="20"/>
                <w:szCs w:val="20"/>
              </w:rPr>
            </w:pPr>
            <w:r>
              <w:rPr>
                <w:rFonts w:ascii="宋体" w:hAnsi="宋体" w:eastAsia="宋体" w:cs="宋体"/>
                <w:spacing w:val="7"/>
                <w:sz w:val="20"/>
                <w:szCs w:val="20"/>
              </w:rPr>
              <w:t>平均气</w:t>
            </w:r>
            <w:r>
              <w:rPr>
                <w:rFonts w:ascii="宋体" w:hAnsi="宋体" w:eastAsia="宋体" w:cs="宋体"/>
                <w:sz w:val="20"/>
                <w:szCs w:val="20"/>
              </w:rPr>
              <w:t xml:space="preserve"> </w:t>
            </w:r>
            <w:r>
              <w:rPr>
                <w:rFonts w:ascii="宋体" w:hAnsi="宋体" w:eastAsia="宋体" w:cs="宋体"/>
                <w:spacing w:val="7"/>
                <w:sz w:val="20"/>
                <w:szCs w:val="20"/>
              </w:rPr>
              <w:t>压</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hpa</w:t>
            </w:r>
            <w:r>
              <w:rPr>
                <w:rFonts w:ascii="Times New Roman" w:hAnsi="Times New Roman" w:eastAsia="Times New Roman" w:cs="Times New Roman"/>
                <w:spacing w:val="7"/>
                <w:sz w:val="20"/>
                <w:szCs w:val="20"/>
              </w:rPr>
              <w:t>)</w:t>
            </w:r>
          </w:p>
        </w:tc>
        <w:tc>
          <w:tcPr>
            <w:tcW w:w="580" w:type="dxa"/>
            <w:vAlign w:val="top"/>
          </w:tcPr>
          <w:p w14:paraId="75F66D29">
            <w:pPr>
              <w:spacing w:before="82" w:line="242"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102</w:t>
            </w:r>
          </w:p>
          <w:p w14:paraId="68A1B223">
            <w:pPr>
              <w:spacing w:line="197"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4.5</w:t>
            </w:r>
          </w:p>
        </w:tc>
        <w:tc>
          <w:tcPr>
            <w:tcW w:w="580" w:type="dxa"/>
            <w:vAlign w:val="top"/>
          </w:tcPr>
          <w:p w14:paraId="148A150C">
            <w:pPr>
              <w:spacing w:before="82" w:line="242"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102</w:t>
            </w:r>
          </w:p>
          <w:p w14:paraId="321AF7BE">
            <w:pPr>
              <w:spacing w:line="197"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580" w:type="dxa"/>
            <w:vAlign w:val="top"/>
          </w:tcPr>
          <w:p w14:paraId="69C846EC">
            <w:pPr>
              <w:spacing w:before="82" w:line="242"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101</w:t>
            </w:r>
          </w:p>
          <w:p w14:paraId="4564BA53">
            <w:pPr>
              <w:spacing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6"/>
                <w:sz w:val="20"/>
                <w:szCs w:val="20"/>
              </w:rPr>
              <w:t>.1</w:t>
            </w:r>
          </w:p>
        </w:tc>
        <w:tc>
          <w:tcPr>
            <w:tcW w:w="580" w:type="dxa"/>
            <w:vAlign w:val="top"/>
          </w:tcPr>
          <w:p w14:paraId="2348F54B">
            <w:pPr>
              <w:spacing w:before="8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p w14:paraId="148E1F96">
            <w:pPr>
              <w:spacing w:before="55"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 w:type="dxa"/>
            <w:vAlign w:val="top"/>
          </w:tcPr>
          <w:p w14:paraId="51E9A5A2">
            <w:pPr>
              <w:spacing w:before="82" w:line="242"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100</w:t>
            </w:r>
          </w:p>
          <w:p w14:paraId="62966DF1">
            <w:pPr>
              <w:spacing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580" w:type="dxa"/>
            <w:vAlign w:val="top"/>
          </w:tcPr>
          <w:p w14:paraId="4F2EA9ED">
            <w:pPr>
              <w:spacing w:before="82" w:line="242"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100</w:t>
            </w:r>
          </w:p>
          <w:p w14:paraId="04D169EC">
            <w:pPr>
              <w:spacing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3.1</w:t>
            </w:r>
          </w:p>
        </w:tc>
        <w:tc>
          <w:tcPr>
            <w:tcW w:w="580" w:type="dxa"/>
            <w:vAlign w:val="top"/>
          </w:tcPr>
          <w:p w14:paraId="2B806EFD">
            <w:pPr>
              <w:spacing w:before="82" w:line="242"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100</w:t>
            </w:r>
          </w:p>
          <w:p w14:paraId="67E7A900">
            <w:pPr>
              <w:spacing w:line="197"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.8</w:t>
            </w:r>
          </w:p>
        </w:tc>
        <w:tc>
          <w:tcPr>
            <w:tcW w:w="580" w:type="dxa"/>
            <w:vAlign w:val="top"/>
          </w:tcPr>
          <w:p w14:paraId="7DB89018">
            <w:pPr>
              <w:spacing w:before="82" w:line="242"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100</w:t>
            </w:r>
          </w:p>
          <w:p w14:paraId="3EF33EAA">
            <w:pPr>
              <w:spacing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c>
          <w:tcPr>
            <w:tcW w:w="580" w:type="dxa"/>
            <w:vAlign w:val="top"/>
          </w:tcPr>
          <w:p w14:paraId="786829C5">
            <w:pPr>
              <w:spacing w:before="82" w:line="242"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101</w:t>
            </w:r>
          </w:p>
          <w:p w14:paraId="7DC9A084">
            <w:pPr>
              <w:spacing w:line="197"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580" w:type="dxa"/>
            <w:vAlign w:val="top"/>
          </w:tcPr>
          <w:p w14:paraId="25458F30">
            <w:pPr>
              <w:spacing w:before="82" w:line="242"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101</w:t>
            </w:r>
          </w:p>
          <w:p w14:paraId="337F763A">
            <w:pPr>
              <w:spacing w:line="194"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4</w:t>
            </w:r>
          </w:p>
        </w:tc>
        <w:tc>
          <w:tcPr>
            <w:tcW w:w="580" w:type="dxa"/>
            <w:vAlign w:val="top"/>
          </w:tcPr>
          <w:p w14:paraId="1B1245A1">
            <w:pPr>
              <w:spacing w:before="82" w:line="242"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102</w:t>
            </w:r>
          </w:p>
          <w:p w14:paraId="64E588B6">
            <w:pPr>
              <w:spacing w:line="197"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.6</w:t>
            </w:r>
          </w:p>
        </w:tc>
        <w:tc>
          <w:tcPr>
            <w:tcW w:w="580" w:type="dxa"/>
            <w:vAlign w:val="top"/>
          </w:tcPr>
          <w:p w14:paraId="3E63278A">
            <w:pPr>
              <w:spacing w:before="82" w:line="242"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102</w:t>
            </w:r>
          </w:p>
          <w:p w14:paraId="327B47A4">
            <w:pPr>
              <w:spacing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p>
        </w:tc>
        <w:tc>
          <w:tcPr>
            <w:tcW w:w="581" w:type="dxa"/>
            <w:tcBorders>
              <w:right w:val="nil"/>
            </w:tcBorders>
            <w:vAlign w:val="top"/>
          </w:tcPr>
          <w:p w14:paraId="47A51845">
            <w:pPr>
              <w:spacing w:before="82" w:line="242"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101</w:t>
            </w:r>
          </w:p>
          <w:p w14:paraId="37749419">
            <w:pPr>
              <w:spacing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w:t>
            </w:r>
          </w:p>
        </w:tc>
      </w:tr>
      <w:tr w14:paraId="683FD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1" w:type="dxa"/>
            <w:tcBorders>
              <w:left w:val="nil"/>
            </w:tcBorders>
            <w:vAlign w:val="top"/>
          </w:tcPr>
          <w:p w14:paraId="5315DB8E">
            <w:pPr>
              <w:spacing w:before="31" w:line="239" w:lineRule="auto"/>
              <w:ind w:left="218" w:right="174" w:hanging="36"/>
              <w:rPr>
                <w:rFonts w:ascii="Times New Roman" w:hAnsi="Times New Roman" w:eastAsia="Times New Roman" w:cs="Times New Roman"/>
                <w:sz w:val="20"/>
                <w:szCs w:val="20"/>
              </w:rPr>
            </w:pPr>
            <w:r>
              <w:rPr>
                <w:rFonts w:ascii="宋体" w:hAnsi="宋体" w:eastAsia="宋体" w:cs="宋体"/>
                <w:spacing w:val="7"/>
                <w:sz w:val="20"/>
                <w:szCs w:val="20"/>
              </w:rPr>
              <w:t>平均气</w:t>
            </w:r>
            <w:r>
              <w:rPr>
                <w:rFonts w:ascii="宋体" w:hAnsi="宋体" w:eastAsia="宋体" w:cs="宋体"/>
                <w:sz w:val="20"/>
                <w:szCs w:val="20"/>
              </w:rPr>
              <w:t xml:space="preserve"> </w:t>
            </w:r>
            <w:r>
              <w:rPr>
                <w:rFonts w:ascii="宋体" w:hAnsi="宋体" w:eastAsia="宋体" w:cs="宋体"/>
                <w:spacing w:val="4"/>
                <w:sz w:val="20"/>
                <w:szCs w:val="20"/>
              </w:rPr>
              <w:t>温</w:t>
            </w:r>
            <w:r>
              <w:rPr>
                <w:rFonts w:ascii="Times New Roman" w:hAnsi="Times New Roman" w:eastAsia="Times New Roman" w:cs="Times New Roman"/>
                <w:spacing w:val="4"/>
                <w:sz w:val="20"/>
                <w:szCs w:val="20"/>
              </w:rPr>
              <w:t>(℃)</w:t>
            </w:r>
          </w:p>
        </w:tc>
        <w:tc>
          <w:tcPr>
            <w:tcW w:w="580" w:type="dxa"/>
            <w:vAlign w:val="top"/>
          </w:tcPr>
          <w:p w14:paraId="330FBD2A">
            <w:pPr>
              <w:spacing w:before="82" w:line="242"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- 13.</w:t>
            </w:r>
          </w:p>
          <w:p w14:paraId="70D158D9">
            <w:pPr>
              <w:spacing w:line="194"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 w:type="dxa"/>
            <w:vAlign w:val="top"/>
          </w:tcPr>
          <w:p w14:paraId="2F84BD25">
            <w:pPr>
              <w:spacing w:before="204"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4</w:t>
            </w:r>
          </w:p>
        </w:tc>
        <w:tc>
          <w:tcPr>
            <w:tcW w:w="580" w:type="dxa"/>
            <w:vAlign w:val="top"/>
          </w:tcPr>
          <w:p w14:paraId="20452C8C">
            <w:pPr>
              <w:spacing w:before="204" w:line="198"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580" w:type="dxa"/>
            <w:vAlign w:val="top"/>
          </w:tcPr>
          <w:p w14:paraId="10FDB28F">
            <w:pPr>
              <w:spacing w:before="82" w:line="24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6"/>
                <w:sz w:val="20"/>
                <w:szCs w:val="20"/>
              </w:rPr>
              <w:t>1</w:t>
            </w:r>
            <w:r>
              <w:rPr>
                <w:rFonts w:ascii="Times New Roman" w:hAnsi="Times New Roman" w:eastAsia="Times New Roman" w:cs="Times New Roman"/>
                <w:position w:val="6"/>
                <w:sz w:val="20"/>
                <w:szCs w:val="20"/>
              </w:rPr>
              <w:t>0.</w:t>
            </w:r>
          </w:p>
          <w:p w14:paraId="5A096AB0">
            <w:pPr>
              <w:spacing w:line="191"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80" w:type="dxa"/>
            <w:vAlign w:val="top"/>
          </w:tcPr>
          <w:p w14:paraId="3EF5CABF">
            <w:pPr>
              <w:spacing w:before="82" w:line="242"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7.</w:t>
            </w:r>
          </w:p>
          <w:p w14:paraId="612D3C5D">
            <w:pPr>
              <w:spacing w:line="194"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80" w:type="dxa"/>
            <w:vAlign w:val="top"/>
          </w:tcPr>
          <w:p w14:paraId="38437B12">
            <w:pPr>
              <w:spacing w:before="82" w:line="242"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7"/>
                <w:position w:val="5"/>
                <w:sz w:val="20"/>
                <w:szCs w:val="20"/>
              </w:rPr>
              <w:t>22.</w:t>
            </w:r>
          </w:p>
          <w:p w14:paraId="50D285B0">
            <w:pPr>
              <w:spacing w:line="194"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 w:type="dxa"/>
            <w:vAlign w:val="top"/>
          </w:tcPr>
          <w:p w14:paraId="424B1D27">
            <w:pPr>
              <w:spacing w:before="82" w:line="242"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7"/>
                <w:position w:val="5"/>
                <w:sz w:val="20"/>
                <w:szCs w:val="20"/>
              </w:rPr>
              <w:t>23.</w:t>
            </w:r>
          </w:p>
          <w:p w14:paraId="5EDFFF0C">
            <w:pPr>
              <w:spacing w:line="194"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 w:type="dxa"/>
            <w:vAlign w:val="top"/>
          </w:tcPr>
          <w:p w14:paraId="1387CCB0">
            <w:pPr>
              <w:spacing w:before="82" w:line="24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7"/>
                <w:position w:val="6"/>
                <w:sz w:val="20"/>
                <w:szCs w:val="20"/>
              </w:rPr>
              <w:t>23.</w:t>
            </w:r>
          </w:p>
          <w:p w14:paraId="3D1E541A">
            <w:pPr>
              <w:spacing w:line="191"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 w:type="dxa"/>
            <w:vAlign w:val="top"/>
          </w:tcPr>
          <w:p w14:paraId="5D81E556">
            <w:pPr>
              <w:spacing w:before="82" w:line="242"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7.</w:t>
            </w:r>
          </w:p>
          <w:p w14:paraId="671B1655">
            <w:pPr>
              <w:spacing w:line="194"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80" w:type="dxa"/>
            <w:vAlign w:val="top"/>
          </w:tcPr>
          <w:p w14:paraId="20A14AAE">
            <w:pPr>
              <w:spacing w:before="82" w:line="242"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0.</w:t>
            </w:r>
          </w:p>
          <w:p w14:paraId="03852B5B">
            <w:pPr>
              <w:spacing w:line="194"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80" w:type="dxa"/>
            <w:vAlign w:val="top"/>
          </w:tcPr>
          <w:p w14:paraId="76A96A99">
            <w:pPr>
              <w:spacing w:before="2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580" w:type="dxa"/>
            <w:vAlign w:val="top"/>
          </w:tcPr>
          <w:p w14:paraId="269FFE74">
            <w:pPr>
              <w:spacing w:before="20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6.8</w:t>
            </w:r>
          </w:p>
        </w:tc>
        <w:tc>
          <w:tcPr>
            <w:tcW w:w="581" w:type="dxa"/>
            <w:tcBorders>
              <w:right w:val="nil"/>
            </w:tcBorders>
            <w:vAlign w:val="top"/>
          </w:tcPr>
          <w:p w14:paraId="2271E05D">
            <w:pPr>
              <w:spacing w:before="2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w:t>
            </w:r>
            <w:r>
              <w:rPr>
                <w:rFonts w:ascii="Times New Roman" w:hAnsi="Times New Roman" w:eastAsia="Times New Roman" w:cs="Times New Roman"/>
                <w:spacing w:val="4"/>
                <w:sz w:val="20"/>
                <w:szCs w:val="20"/>
              </w:rPr>
              <w:t>.8</w:t>
            </w:r>
          </w:p>
        </w:tc>
      </w:tr>
      <w:tr w14:paraId="4233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81" w:type="dxa"/>
            <w:tcBorders>
              <w:left w:val="nil"/>
            </w:tcBorders>
            <w:vAlign w:val="top"/>
          </w:tcPr>
          <w:p w14:paraId="548F4443">
            <w:pPr>
              <w:spacing w:before="32" w:line="238" w:lineRule="auto"/>
              <w:ind w:left="150" w:right="92" w:hanging="27"/>
              <w:rPr>
                <w:rFonts w:ascii="Times New Roman" w:hAnsi="Times New Roman" w:eastAsia="Times New Roman" w:cs="Times New Roman"/>
                <w:sz w:val="20"/>
                <w:szCs w:val="20"/>
              </w:rPr>
            </w:pPr>
            <w:r>
              <w:rPr>
                <w:rFonts w:ascii="宋体" w:hAnsi="宋体" w:eastAsia="宋体" w:cs="宋体"/>
                <w:spacing w:val="-11"/>
                <w:sz w:val="20"/>
                <w:szCs w:val="20"/>
              </w:rPr>
              <w:t>极</w:t>
            </w:r>
            <w:r>
              <w:rPr>
                <w:rFonts w:ascii="宋体" w:hAnsi="宋体" w:eastAsia="宋体" w:cs="宋体"/>
                <w:spacing w:val="-9"/>
                <w:sz w:val="20"/>
                <w:szCs w:val="20"/>
              </w:rPr>
              <w:t>端最高</w:t>
            </w:r>
            <w:r>
              <w:rPr>
                <w:rFonts w:ascii="宋体" w:hAnsi="宋体" w:eastAsia="宋体" w:cs="宋体"/>
                <w:sz w:val="20"/>
                <w:szCs w:val="20"/>
              </w:rPr>
              <w:t xml:space="preserve"> </w:t>
            </w:r>
            <w:r>
              <w:rPr>
                <w:rFonts w:ascii="宋体" w:hAnsi="宋体" w:eastAsia="宋体" w:cs="宋体"/>
                <w:spacing w:val="-9"/>
                <w:sz w:val="20"/>
                <w:szCs w:val="20"/>
              </w:rPr>
              <w:t>气</w:t>
            </w:r>
            <w:r>
              <w:rPr>
                <w:rFonts w:ascii="宋体" w:hAnsi="宋体" w:eastAsia="宋体" w:cs="宋体"/>
                <w:spacing w:val="-6"/>
                <w:sz w:val="20"/>
                <w:szCs w:val="20"/>
              </w:rPr>
              <w:t>温</w:t>
            </w:r>
            <w:r>
              <w:rPr>
                <w:rFonts w:ascii="Times New Roman" w:hAnsi="Times New Roman" w:eastAsia="Times New Roman" w:cs="Times New Roman"/>
                <w:spacing w:val="-6"/>
                <w:sz w:val="20"/>
                <w:szCs w:val="20"/>
              </w:rPr>
              <w:t>(℃)</w:t>
            </w:r>
          </w:p>
        </w:tc>
        <w:tc>
          <w:tcPr>
            <w:tcW w:w="580" w:type="dxa"/>
            <w:vAlign w:val="top"/>
          </w:tcPr>
          <w:p w14:paraId="641D6DF6">
            <w:pPr>
              <w:spacing w:before="2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3</w:t>
            </w:r>
          </w:p>
        </w:tc>
        <w:tc>
          <w:tcPr>
            <w:tcW w:w="580" w:type="dxa"/>
            <w:vAlign w:val="top"/>
          </w:tcPr>
          <w:p w14:paraId="5DB880EE">
            <w:pPr>
              <w:spacing w:before="82" w:line="243"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8.</w:t>
            </w:r>
          </w:p>
          <w:p w14:paraId="18221617">
            <w:pPr>
              <w:spacing w:line="194"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80" w:type="dxa"/>
            <w:vAlign w:val="top"/>
          </w:tcPr>
          <w:p w14:paraId="73FD8678">
            <w:pPr>
              <w:spacing w:before="82" w:line="243"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7"/>
                <w:position w:val="5"/>
                <w:sz w:val="20"/>
                <w:szCs w:val="20"/>
              </w:rPr>
              <w:t>21.</w:t>
            </w:r>
          </w:p>
          <w:p w14:paraId="2360D169">
            <w:pPr>
              <w:spacing w:line="194"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 w:type="dxa"/>
            <w:vAlign w:val="top"/>
          </w:tcPr>
          <w:p w14:paraId="05487C28">
            <w:pPr>
              <w:spacing w:before="82" w:line="243"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31</w:t>
            </w:r>
            <w:r>
              <w:rPr>
                <w:rFonts w:ascii="Times New Roman" w:hAnsi="Times New Roman" w:eastAsia="Times New Roman" w:cs="Times New Roman"/>
                <w:spacing w:val="5"/>
                <w:position w:val="5"/>
                <w:sz w:val="20"/>
                <w:szCs w:val="20"/>
              </w:rPr>
              <w:t>.</w:t>
            </w:r>
          </w:p>
          <w:p w14:paraId="3B821D96">
            <w:pPr>
              <w:spacing w:line="194"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 w:type="dxa"/>
            <w:vAlign w:val="top"/>
          </w:tcPr>
          <w:p w14:paraId="6C7AC44D">
            <w:pPr>
              <w:spacing w:before="82" w:line="246"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6"/>
                <w:sz w:val="20"/>
                <w:szCs w:val="20"/>
              </w:rPr>
              <w:t>34</w:t>
            </w:r>
            <w:r>
              <w:rPr>
                <w:rFonts w:ascii="Times New Roman" w:hAnsi="Times New Roman" w:eastAsia="Times New Roman" w:cs="Times New Roman"/>
                <w:spacing w:val="5"/>
                <w:position w:val="6"/>
                <w:sz w:val="20"/>
                <w:szCs w:val="20"/>
              </w:rPr>
              <w:t>.</w:t>
            </w:r>
          </w:p>
          <w:p w14:paraId="54C64E52">
            <w:pPr>
              <w:spacing w:line="191"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 w:type="dxa"/>
            <w:vAlign w:val="top"/>
          </w:tcPr>
          <w:p w14:paraId="5B4D287D">
            <w:pPr>
              <w:spacing w:before="204"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580" w:type="dxa"/>
            <w:vAlign w:val="top"/>
          </w:tcPr>
          <w:p w14:paraId="73611176">
            <w:pPr>
              <w:spacing w:before="82" w:line="243"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36</w:t>
            </w:r>
            <w:r>
              <w:rPr>
                <w:rFonts w:ascii="Times New Roman" w:hAnsi="Times New Roman" w:eastAsia="Times New Roman" w:cs="Times New Roman"/>
                <w:spacing w:val="5"/>
                <w:position w:val="5"/>
                <w:sz w:val="20"/>
                <w:szCs w:val="20"/>
              </w:rPr>
              <w:t>.</w:t>
            </w:r>
          </w:p>
          <w:p w14:paraId="0D67FDDC">
            <w:pPr>
              <w:spacing w:line="194"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 w:type="dxa"/>
            <w:vAlign w:val="top"/>
          </w:tcPr>
          <w:p w14:paraId="28745825">
            <w:pPr>
              <w:spacing w:before="82" w:line="246"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6"/>
                <w:sz w:val="20"/>
                <w:szCs w:val="20"/>
              </w:rPr>
              <w:t>35</w:t>
            </w:r>
            <w:r>
              <w:rPr>
                <w:rFonts w:ascii="Times New Roman" w:hAnsi="Times New Roman" w:eastAsia="Times New Roman" w:cs="Times New Roman"/>
                <w:spacing w:val="5"/>
                <w:position w:val="6"/>
                <w:sz w:val="20"/>
                <w:szCs w:val="20"/>
              </w:rPr>
              <w:t>.</w:t>
            </w:r>
          </w:p>
          <w:p w14:paraId="5803AF06">
            <w:pPr>
              <w:spacing w:line="191"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 w:type="dxa"/>
            <w:vAlign w:val="top"/>
          </w:tcPr>
          <w:p w14:paraId="4656B406">
            <w:pPr>
              <w:spacing w:before="82" w:line="243"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32</w:t>
            </w:r>
            <w:r>
              <w:rPr>
                <w:rFonts w:ascii="Times New Roman" w:hAnsi="Times New Roman" w:eastAsia="Times New Roman" w:cs="Times New Roman"/>
                <w:spacing w:val="5"/>
                <w:position w:val="5"/>
                <w:sz w:val="20"/>
                <w:szCs w:val="20"/>
              </w:rPr>
              <w:t>.</w:t>
            </w:r>
          </w:p>
          <w:p w14:paraId="681AE07E">
            <w:pPr>
              <w:spacing w:line="194"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80" w:type="dxa"/>
            <w:vAlign w:val="top"/>
          </w:tcPr>
          <w:p w14:paraId="208380E1">
            <w:pPr>
              <w:spacing w:before="82" w:line="246"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6"/>
                <w:sz w:val="20"/>
                <w:szCs w:val="20"/>
              </w:rPr>
              <w:t>30</w:t>
            </w:r>
            <w:r>
              <w:rPr>
                <w:rFonts w:ascii="Times New Roman" w:hAnsi="Times New Roman" w:eastAsia="Times New Roman" w:cs="Times New Roman"/>
                <w:spacing w:val="5"/>
                <w:position w:val="6"/>
                <w:sz w:val="20"/>
                <w:szCs w:val="20"/>
              </w:rPr>
              <w:t>.</w:t>
            </w:r>
          </w:p>
          <w:p w14:paraId="52BCEE0E">
            <w:pPr>
              <w:spacing w:line="191"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 w:type="dxa"/>
            <w:vAlign w:val="top"/>
          </w:tcPr>
          <w:p w14:paraId="0C00405E">
            <w:pPr>
              <w:spacing w:before="82" w:line="246"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7"/>
                <w:position w:val="6"/>
                <w:sz w:val="20"/>
                <w:szCs w:val="20"/>
              </w:rPr>
              <w:t>24.</w:t>
            </w:r>
          </w:p>
          <w:p w14:paraId="3CA1EE59">
            <w:pPr>
              <w:spacing w:line="191"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80" w:type="dxa"/>
            <w:vAlign w:val="top"/>
          </w:tcPr>
          <w:p w14:paraId="4CB8386F">
            <w:pPr>
              <w:spacing w:before="82" w:line="243"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3.</w:t>
            </w:r>
          </w:p>
          <w:p w14:paraId="6A4D6112">
            <w:pPr>
              <w:spacing w:line="194"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1" w:type="dxa"/>
            <w:tcBorders>
              <w:right w:val="nil"/>
            </w:tcBorders>
            <w:vAlign w:val="top"/>
          </w:tcPr>
          <w:p w14:paraId="220E632B">
            <w:pPr>
              <w:spacing w:before="82" w:line="243"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37</w:t>
            </w:r>
            <w:r>
              <w:rPr>
                <w:rFonts w:ascii="Times New Roman" w:hAnsi="Times New Roman" w:eastAsia="Times New Roman" w:cs="Times New Roman"/>
                <w:spacing w:val="5"/>
                <w:position w:val="5"/>
                <w:sz w:val="20"/>
                <w:szCs w:val="20"/>
              </w:rPr>
              <w:t>.</w:t>
            </w:r>
          </w:p>
          <w:p w14:paraId="43250DCF">
            <w:pPr>
              <w:spacing w:line="194"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7287C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1" w:type="dxa"/>
            <w:tcBorders>
              <w:left w:val="nil"/>
            </w:tcBorders>
            <w:vAlign w:val="top"/>
          </w:tcPr>
          <w:p w14:paraId="76EF07C9">
            <w:pPr>
              <w:spacing w:before="33" w:line="238" w:lineRule="auto"/>
              <w:ind w:left="150" w:right="92" w:hanging="27"/>
              <w:rPr>
                <w:rFonts w:ascii="Times New Roman" w:hAnsi="Times New Roman" w:eastAsia="Times New Roman" w:cs="Times New Roman"/>
                <w:sz w:val="20"/>
                <w:szCs w:val="20"/>
              </w:rPr>
            </w:pPr>
            <w:r>
              <w:rPr>
                <w:rFonts w:ascii="宋体" w:hAnsi="宋体" w:eastAsia="宋体" w:cs="宋体"/>
                <w:spacing w:val="-11"/>
                <w:sz w:val="20"/>
                <w:szCs w:val="20"/>
              </w:rPr>
              <w:t>极</w:t>
            </w:r>
            <w:r>
              <w:rPr>
                <w:rFonts w:ascii="宋体" w:hAnsi="宋体" w:eastAsia="宋体" w:cs="宋体"/>
                <w:spacing w:val="-9"/>
                <w:sz w:val="20"/>
                <w:szCs w:val="20"/>
              </w:rPr>
              <w:t>端最低</w:t>
            </w:r>
            <w:r>
              <w:rPr>
                <w:rFonts w:ascii="宋体" w:hAnsi="宋体" w:eastAsia="宋体" w:cs="宋体"/>
                <w:sz w:val="20"/>
                <w:szCs w:val="20"/>
              </w:rPr>
              <w:t xml:space="preserve"> </w:t>
            </w:r>
            <w:r>
              <w:rPr>
                <w:rFonts w:ascii="宋体" w:hAnsi="宋体" w:eastAsia="宋体" w:cs="宋体"/>
                <w:spacing w:val="-9"/>
                <w:sz w:val="20"/>
                <w:szCs w:val="20"/>
              </w:rPr>
              <w:t>气</w:t>
            </w:r>
            <w:r>
              <w:rPr>
                <w:rFonts w:ascii="宋体" w:hAnsi="宋体" w:eastAsia="宋体" w:cs="宋体"/>
                <w:spacing w:val="-6"/>
                <w:sz w:val="20"/>
                <w:szCs w:val="20"/>
              </w:rPr>
              <w:t>温</w:t>
            </w:r>
            <w:r>
              <w:rPr>
                <w:rFonts w:ascii="Times New Roman" w:hAnsi="Times New Roman" w:eastAsia="Times New Roman" w:cs="Times New Roman"/>
                <w:spacing w:val="-6"/>
                <w:sz w:val="20"/>
                <w:szCs w:val="20"/>
              </w:rPr>
              <w:t>(℃)</w:t>
            </w:r>
          </w:p>
        </w:tc>
        <w:tc>
          <w:tcPr>
            <w:tcW w:w="580" w:type="dxa"/>
            <w:vAlign w:val="top"/>
          </w:tcPr>
          <w:p w14:paraId="2696D59D">
            <w:pPr>
              <w:spacing w:before="86" w:line="240"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5"/>
                <w:position w:val="5"/>
                <w:sz w:val="20"/>
                <w:szCs w:val="20"/>
              </w:rPr>
              <w:t>-35.</w:t>
            </w:r>
          </w:p>
          <w:p w14:paraId="3FC74AB0">
            <w:pPr>
              <w:spacing w:line="194"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80" w:type="dxa"/>
            <w:vAlign w:val="top"/>
          </w:tcPr>
          <w:p w14:paraId="186E6D00">
            <w:pPr>
              <w:spacing w:before="86" w:line="240"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5"/>
                <w:position w:val="5"/>
                <w:sz w:val="20"/>
                <w:szCs w:val="20"/>
              </w:rPr>
              <w:t>-34.</w:t>
            </w:r>
          </w:p>
          <w:p w14:paraId="12329ED1">
            <w:pPr>
              <w:spacing w:line="194"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80" w:type="dxa"/>
            <w:vAlign w:val="top"/>
          </w:tcPr>
          <w:p w14:paraId="647C522D">
            <w:pPr>
              <w:spacing w:before="86" w:line="240"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w:t>
            </w:r>
            <w:r>
              <w:rPr>
                <w:rFonts w:ascii="Times New Roman" w:hAnsi="Times New Roman" w:eastAsia="Times New Roman" w:cs="Times New Roman"/>
                <w:spacing w:val="4"/>
                <w:position w:val="5"/>
                <w:sz w:val="20"/>
                <w:szCs w:val="20"/>
              </w:rPr>
              <w:t>26.</w:t>
            </w:r>
          </w:p>
          <w:p w14:paraId="14F1010A">
            <w:pPr>
              <w:spacing w:line="194"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 w:type="dxa"/>
            <w:vAlign w:val="top"/>
          </w:tcPr>
          <w:p w14:paraId="401AE151">
            <w:pPr>
              <w:spacing w:before="86" w:line="240"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- 12.</w:t>
            </w:r>
          </w:p>
          <w:p w14:paraId="128C26F2">
            <w:pPr>
              <w:spacing w:line="194"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 w:type="dxa"/>
            <w:vAlign w:val="top"/>
          </w:tcPr>
          <w:p w14:paraId="457A9B3E">
            <w:pPr>
              <w:spacing w:before="206" w:line="198"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2. 1</w:t>
            </w:r>
          </w:p>
        </w:tc>
        <w:tc>
          <w:tcPr>
            <w:tcW w:w="580" w:type="dxa"/>
            <w:vAlign w:val="top"/>
          </w:tcPr>
          <w:p w14:paraId="0E0906DC">
            <w:pPr>
              <w:spacing w:before="20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4</w:t>
            </w:r>
          </w:p>
        </w:tc>
        <w:tc>
          <w:tcPr>
            <w:tcW w:w="580" w:type="dxa"/>
            <w:vAlign w:val="top"/>
          </w:tcPr>
          <w:p w14:paraId="71703A93">
            <w:pPr>
              <w:spacing w:before="86" w:line="243"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2.</w:t>
            </w:r>
          </w:p>
          <w:p w14:paraId="0760FD3D">
            <w:pPr>
              <w:spacing w:line="191"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 w:type="dxa"/>
            <w:vAlign w:val="top"/>
          </w:tcPr>
          <w:p w14:paraId="2488F570">
            <w:pPr>
              <w:spacing w:before="206"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.6</w:t>
            </w:r>
          </w:p>
        </w:tc>
        <w:tc>
          <w:tcPr>
            <w:tcW w:w="580" w:type="dxa"/>
            <w:vAlign w:val="top"/>
          </w:tcPr>
          <w:p w14:paraId="3177ADEC">
            <w:pPr>
              <w:spacing w:before="20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w:t>
            </w:r>
          </w:p>
        </w:tc>
        <w:tc>
          <w:tcPr>
            <w:tcW w:w="580" w:type="dxa"/>
            <w:vAlign w:val="top"/>
          </w:tcPr>
          <w:p w14:paraId="54F25B0F">
            <w:pPr>
              <w:spacing w:before="206" w:line="237"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8</w:t>
            </w:r>
            <w:r>
              <w:rPr>
                <w:rFonts w:ascii="Times New Roman" w:hAnsi="Times New Roman" w:eastAsia="Times New Roman" w:cs="Times New Roman"/>
                <w:spacing w:val="2"/>
                <w:sz w:val="20"/>
                <w:szCs w:val="20"/>
              </w:rPr>
              <w:t>.9</w:t>
            </w:r>
          </w:p>
        </w:tc>
        <w:tc>
          <w:tcPr>
            <w:tcW w:w="580" w:type="dxa"/>
            <w:vAlign w:val="top"/>
          </w:tcPr>
          <w:p w14:paraId="4A6C7737">
            <w:pPr>
              <w:spacing w:before="86" w:line="243"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5"/>
                <w:position w:val="5"/>
                <w:sz w:val="20"/>
                <w:szCs w:val="20"/>
              </w:rPr>
              <w:t>-24.</w:t>
            </w:r>
          </w:p>
          <w:p w14:paraId="73D11F76">
            <w:pPr>
              <w:spacing w:line="191"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80" w:type="dxa"/>
            <w:vAlign w:val="top"/>
          </w:tcPr>
          <w:p w14:paraId="5CF64100">
            <w:pPr>
              <w:spacing w:before="86" w:line="240"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w:t>
            </w:r>
            <w:r>
              <w:rPr>
                <w:rFonts w:ascii="Times New Roman" w:hAnsi="Times New Roman" w:eastAsia="Times New Roman" w:cs="Times New Roman"/>
                <w:spacing w:val="4"/>
                <w:position w:val="5"/>
                <w:sz w:val="20"/>
                <w:szCs w:val="20"/>
              </w:rPr>
              <w:t>29.</w:t>
            </w:r>
          </w:p>
          <w:p w14:paraId="53D3DC5A">
            <w:pPr>
              <w:spacing w:line="194"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81" w:type="dxa"/>
            <w:tcBorders>
              <w:right w:val="nil"/>
            </w:tcBorders>
            <w:vAlign w:val="top"/>
          </w:tcPr>
          <w:p w14:paraId="429C0E8C">
            <w:pPr>
              <w:spacing w:before="86" w:line="240"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w:t>
            </w:r>
            <w:r>
              <w:rPr>
                <w:rFonts w:ascii="Times New Roman" w:hAnsi="Times New Roman" w:eastAsia="Times New Roman" w:cs="Times New Roman"/>
                <w:spacing w:val="4"/>
                <w:position w:val="5"/>
                <w:sz w:val="20"/>
                <w:szCs w:val="20"/>
              </w:rPr>
              <w:t>35.</w:t>
            </w:r>
          </w:p>
          <w:p w14:paraId="5358813C">
            <w:pPr>
              <w:spacing w:line="194"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612F5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1" w:type="dxa"/>
            <w:tcBorders>
              <w:left w:val="nil"/>
            </w:tcBorders>
            <w:vAlign w:val="top"/>
          </w:tcPr>
          <w:p w14:paraId="06D5B4CF">
            <w:pPr>
              <w:spacing w:before="36" w:line="216" w:lineRule="auto"/>
              <w:ind w:left="120"/>
              <w:rPr>
                <w:rFonts w:ascii="宋体" w:hAnsi="宋体" w:eastAsia="宋体" w:cs="宋体"/>
                <w:sz w:val="20"/>
                <w:szCs w:val="20"/>
              </w:rPr>
            </w:pPr>
            <w:r>
              <w:rPr>
                <w:rFonts w:ascii="宋体" w:hAnsi="宋体" w:eastAsia="宋体" w:cs="宋体"/>
                <w:spacing w:val="-7"/>
                <w:sz w:val="20"/>
                <w:szCs w:val="20"/>
              </w:rPr>
              <w:t>平</w:t>
            </w:r>
            <w:r>
              <w:rPr>
                <w:rFonts w:ascii="宋体" w:hAnsi="宋体" w:eastAsia="宋体" w:cs="宋体"/>
                <w:spacing w:val="-5"/>
                <w:sz w:val="20"/>
                <w:szCs w:val="20"/>
              </w:rPr>
              <w:t>均相对</w:t>
            </w:r>
          </w:p>
          <w:p w14:paraId="55BC565D">
            <w:pPr>
              <w:spacing w:line="278" w:lineRule="exact"/>
              <w:ind w:left="171"/>
              <w:rPr>
                <w:rFonts w:ascii="Times New Roman" w:hAnsi="Times New Roman" w:eastAsia="Times New Roman" w:cs="Times New Roman"/>
                <w:sz w:val="20"/>
                <w:szCs w:val="20"/>
              </w:rPr>
            </w:pPr>
            <w:r>
              <w:rPr>
                <w:rFonts w:ascii="宋体" w:hAnsi="宋体" w:eastAsia="宋体" w:cs="宋体"/>
                <w:spacing w:val="-9"/>
                <w:position w:val="2"/>
                <w:sz w:val="20"/>
                <w:szCs w:val="20"/>
              </w:rPr>
              <w:t>湿</w:t>
            </w:r>
            <w:r>
              <w:rPr>
                <w:rFonts w:ascii="宋体" w:hAnsi="宋体" w:eastAsia="宋体" w:cs="宋体"/>
                <w:spacing w:val="-5"/>
                <w:position w:val="2"/>
                <w:sz w:val="20"/>
                <w:szCs w:val="20"/>
              </w:rPr>
              <w:t>度</w:t>
            </w:r>
            <w:r>
              <w:rPr>
                <w:rFonts w:ascii="Times New Roman" w:hAnsi="Times New Roman" w:eastAsia="Times New Roman" w:cs="Times New Roman"/>
                <w:spacing w:val="-5"/>
                <w:position w:val="2"/>
                <w:sz w:val="20"/>
                <w:szCs w:val="20"/>
              </w:rPr>
              <w:t>(%)</w:t>
            </w:r>
          </w:p>
        </w:tc>
        <w:tc>
          <w:tcPr>
            <w:tcW w:w="580" w:type="dxa"/>
            <w:vAlign w:val="top"/>
          </w:tcPr>
          <w:p w14:paraId="7FBEF6E2">
            <w:pPr>
              <w:spacing w:before="2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2</w:t>
            </w:r>
          </w:p>
        </w:tc>
        <w:tc>
          <w:tcPr>
            <w:tcW w:w="580" w:type="dxa"/>
            <w:vAlign w:val="top"/>
          </w:tcPr>
          <w:p w14:paraId="63C8C171">
            <w:pPr>
              <w:spacing w:before="209" w:line="192"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80" w:type="dxa"/>
            <w:vAlign w:val="top"/>
          </w:tcPr>
          <w:p w14:paraId="41DE25C4">
            <w:pPr>
              <w:spacing w:before="20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80" w:type="dxa"/>
            <w:vAlign w:val="top"/>
          </w:tcPr>
          <w:p w14:paraId="46EDDCB6">
            <w:pPr>
              <w:spacing w:before="20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580" w:type="dxa"/>
            <w:vAlign w:val="top"/>
          </w:tcPr>
          <w:p w14:paraId="4AC26E00">
            <w:pPr>
              <w:spacing w:before="2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80" w:type="dxa"/>
            <w:vAlign w:val="top"/>
          </w:tcPr>
          <w:p w14:paraId="118D86B5">
            <w:pPr>
              <w:spacing w:before="2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580" w:type="dxa"/>
            <w:vAlign w:val="top"/>
          </w:tcPr>
          <w:p w14:paraId="28A1B12E">
            <w:pPr>
              <w:spacing w:before="206"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580" w:type="dxa"/>
            <w:vAlign w:val="top"/>
          </w:tcPr>
          <w:p w14:paraId="2F5850F2">
            <w:pPr>
              <w:spacing w:before="206"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580" w:type="dxa"/>
            <w:vAlign w:val="top"/>
          </w:tcPr>
          <w:p w14:paraId="6D571C0C">
            <w:pPr>
              <w:spacing w:before="206"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580" w:type="dxa"/>
            <w:vAlign w:val="top"/>
          </w:tcPr>
          <w:p w14:paraId="67573EF7">
            <w:pPr>
              <w:spacing w:before="2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6</w:t>
            </w:r>
          </w:p>
        </w:tc>
        <w:tc>
          <w:tcPr>
            <w:tcW w:w="580" w:type="dxa"/>
            <w:vAlign w:val="top"/>
          </w:tcPr>
          <w:p w14:paraId="6F62D4E3">
            <w:pPr>
              <w:spacing w:before="206"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4</w:t>
            </w:r>
          </w:p>
        </w:tc>
        <w:tc>
          <w:tcPr>
            <w:tcW w:w="580" w:type="dxa"/>
            <w:vAlign w:val="top"/>
          </w:tcPr>
          <w:p w14:paraId="1FD75F96">
            <w:pPr>
              <w:spacing w:before="2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3</w:t>
            </w:r>
          </w:p>
        </w:tc>
        <w:tc>
          <w:tcPr>
            <w:tcW w:w="581" w:type="dxa"/>
            <w:tcBorders>
              <w:right w:val="nil"/>
            </w:tcBorders>
            <w:vAlign w:val="top"/>
          </w:tcPr>
          <w:p w14:paraId="39DEA1CE">
            <w:pPr>
              <w:spacing w:before="2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4</w:t>
            </w:r>
          </w:p>
        </w:tc>
      </w:tr>
      <w:tr w14:paraId="29D82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81" w:type="dxa"/>
            <w:tcBorders>
              <w:left w:val="nil"/>
            </w:tcBorders>
            <w:vAlign w:val="top"/>
          </w:tcPr>
          <w:p w14:paraId="3C584646">
            <w:pPr>
              <w:spacing w:before="35" w:line="237" w:lineRule="auto"/>
              <w:ind w:left="264" w:right="174" w:hanging="65"/>
              <w:rPr>
                <w:rFonts w:ascii="Times New Roman" w:hAnsi="Times New Roman" w:eastAsia="Times New Roman" w:cs="Times New Roman"/>
                <w:sz w:val="20"/>
                <w:szCs w:val="20"/>
              </w:rPr>
            </w:pPr>
            <w:r>
              <w:rPr>
                <w:rFonts w:ascii="宋体" w:hAnsi="宋体" w:eastAsia="宋体" w:cs="宋体"/>
                <w:spacing w:val="2"/>
                <w:sz w:val="20"/>
                <w:szCs w:val="20"/>
              </w:rPr>
              <w:t>降</w:t>
            </w:r>
            <w:r>
              <w:rPr>
                <w:rFonts w:ascii="宋体" w:hAnsi="宋体" w:eastAsia="宋体" w:cs="宋体"/>
                <w:spacing w:val="1"/>
                <w:sz w:val="20"/>
                <w:szCs w:val="20"/>
              </w:rPr>
              <w:t>水量</w:t>
            </w:r>
            <w:r>
              <w:rPr>
                <w:rFonts w:ascii="宋体" w:hAnsi="宋体" w:eastAsia="宋体" w:cs="宋体"/>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mm</w:t>
            </w:r>
            <w:r>
              <w:rPr>
                <w:rFonts w:ascii="Times New Roman" w:hAnsi="Times New Roman" w:eastAsia="Times New Roman" w:cs="Times New Roman"/>
                <w:spacing w:val="6"/>
                <w:sz w:val="20"/>
                <w:szCs w:val="20"/>
              </w:rPr>
              <w:t>)</w:t>
            </w:r>
          </w:p>
        </w:tc>
        <w:tc>
          <w:tcPr>
            <w:tcW w:w="580" w:type="dxa"/>
            <w:vAlign w:val="top"/>
          </w:tcPr>
          <w:p w14:paraId="5DC3FFC3">
            <w:pPr>
              <w:spacing w:before="70" w:line="243"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4"/>
                <w:position w:val="5"/>
                <w:sz w:val="20"/>
                <w:szCs w:val="20"/>
              </w:rPr>
              <w:t>9.8</w:t>
            </w:r>
          </w:p>
          <w:p w14:paraId="2D69B838">
            <w:pPr>
              <w:spacing w:line="194"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 w:type="dxa"/>
            <w:vAlign w:val="top"/>
          </w:tcPr>
          <w:p w14:paraId="1EF43652">
            <w:pPr>
              <w:spacing w:before="70" w:line="224" w:lineRule="auto"/>
              <w:ind w:left="258" w:right="99" w:hanging="127"/>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5. 1</w:t>
            </w:r>
            <w:r>
              <w:rPr>
                <w:rFonts w:ascii="Times New Roman" w:hAnsi="Times New Roman" w:eastAsia="Times New Roman" w:cs="Times New Roman"/>
                <w:sz w:val="20"/>
                <w:szCs w:val="20"/>
              </w:rPr>
              <w:t xml:space="preserve"> 1</w:t>
            </w:r>
          </w:p>
        </w:tc>
        <w:tc>
          <w:tcPr>
            <w:tcW w:w="580" w:type="dxa"/>
            <w:vAlign w:val="top"/>
          </w:tcPr>
          <w:p w14:paraId="1E6EA6CB">
            <w:pPr>
              <w:spacing w:before="70" w:line="243"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7"/>
                <w:position w:val="5"/>
                <w:sz w:val="20"/>
                <w:szCs w:val="20"/>
              </w:rPr>
              <w:t>25.</w:t>
            </w:r>
          </w:p>
          <w:p w14:paraId="0321324C">
            <w:pPr>
              <w:spacing w:line="194"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80" w:type="dxa"/>
            <w:vAlign w:val="top"/>
          </w:tcPr>
          <w:p w14:paraId="082126F6">
            <w:pPr>
              <w:spacing w:before="73" w:line="240"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5"/>
                <w:position w:val="6"/>
                <w:sz w:val="20"/>
                <w:szCs w:val="20"/>
              </w:rPr>
              <w:t>57.</w:t>
            </w:r>
          </w:p>
          <w:p w14:paraId="6843BCF3">
            <w:pPr>
              <w:spacing w:line="194"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580" w:type="dxa"/>
            <w:vAlign w:val="top"/>
          </w:tcPr>
          <w:p w14:paraId="0D98490B">
            <w:pPr>
              <w:spacing w:before="73" w:line="240"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5"/>
                <w:position w:val="5"/>
                <w:sz w:val="20"/>
                <w:szCs w:val="20"/>
              </w:rPr>
              <w:t>55.</w:t>
            </w:r>
          </w:p>
          <w:p w14:paraId="084F5DC3">
            <w:pPr>
              <w:spacing w:line="194"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2</w:t>
            </w:r>
          </w:p>
        </w:tc>
        <w:tc>
          <w:tcPr>
            <w:tcW w:w="580" w:type="dxa"/>
            <w:vAlign w:val="top"/>
          </w:tcPr>
          <w:p w14:paraId="516786FC">
            <w:pPr>
              <w:spacing w:before="70" w:line="243"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108</w:t>
            </w:r>
          </w:p>
          <w:p w14:paraId="011C9B74">
            <w:pPr>
              <w:spacing w:line="194"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5</w:t>
            </w:r>
          </w:p>
        </w:tc>
        <w:tc>
          <w:tcPr>
            <w:tcW w:w="580" w:type="dxa"/>
            <w:vAlign w:val="top"/>
          </w:tcPr>
          <w:p w14:paraId="12783BFB">
            <w:pPr>
              <w:spacing w:before="70" w:line="243"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170</w:t>
            </w:r>
          </w:p>
          <w:p w14:paraId="28AD0AC0">
            <w:pPr>
              <w:spacing w:line="194"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4</w:t>
            </w:r>
          </w:p>
        </w:tc>
        <w:tc>
          <w:tcPr>
            <w:tcW w:w="580" w:type="dxa"/>
            <w:vAlign w:val="top"/>
          </w:tcPr>
          <w:p w14:paraId="07BA77A1">
            <w:pPr>
              <w:spacing w:before="70" w:line="243"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158</w:t>
            </w:r>
          </w:p>
          <w:p w14:paraId="533A4599">
            <w:pPr>
              <w:spacing w:line="194"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1</w:t>
            </w:r>
          </w:p>
        </w:tc>
        <w:tc>
          <w:tcPr>
            <w:tcW w:w="580" w:type="dxa"/>
            <w:vAlign w:val="top"/>
          </w:tcPr>
          <w:p w14:paraId="603CD02B">
            <w:pPr>
              <w:spacing w:before="70" w:line="243"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6"/>
                <w:position w:val="5"/>
                <w:sz w:val="20"/>
                <w:szCs w:val="20"/>
              </w:rPr>
              <w:t>39</w:t>
            </w:r>
            <w:r>
              <w:rPr>
                <w:rFonts w:ascii="Times New Roman" w:hAnsi="Times New Roman" w:eastAsia="Times New Roman" w:cs="Times New Roman"/>
                <w:spacing w:val="5"/>
                <w:position w:val="5"/>
                <w:sz w:val="20"/>
                <w:szCs w:val="20"/>
              </w:rPr>
              <w:t>.</w:t>
            </w:r>
          </w:p>
          <w:p w14:paraId="58AE5726">
            <w:pPr>
              <w:spacing w:line="194"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3</w:t>
            </w:r>
          </w:p>
        </w:tc>
        <w:tc>
          <w:tcPr>
            <w:tcW w:w="580" w:type="dxa"/>
            <w:vAlign w:val="top"/>
          </w:tcPr>
          <w:p w14:paraId="3AE7F364">
            <w:pPr>
              <w:spacing w:before="70" w:line="243"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8"/>
                <w:position w:val="5"/>
                <w:sz w:val="20"/>
                <w:szCs w:val="20"/>
              </w:rPr>
              <w:t>4</w:t>
            </w:r>
            <w:r>
              <w:rPr>
                <w:rFonts w:ascii="Times New Roman" w:hAnsi="Times New Roman" w:eastAsia="Times New Roman" w:cs="Times New Roman"/>
                <w:spacing w:val="7"/>
                <w:position w:val="5"/>
                <w:sz w:val="20"/>
                <w:szCs w:val="20"/>
              </w:rPr>
              <w:t>6.</w:t>
            </w:r>
          </w:p>
          <w:p w14:paraId="65F87A05">
            <w:pPr>
              <w:spacing w:line="194"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9</w:t>
            </w:r>
          </w:p>
        </w:tc>
        <w:tc>
          <w:tcPr>
            <w:tcW w:w="580" w:type="dxa"/>
            <w:vAlign w:val="top"/>
          </w:tcPr>
          <w:p w14:paraId="762F0D81">
            <w:pPr>
              <w:spacing w:before="70" w:line="243"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7"/>
                <w:position w:val="5"/>
                <w:sz w:val="20"/>
                <w:szCs w:val="20"/>
              </w:rPr>
              <w:t>24.</w:t>
            </w:r>
          </w:p>
          <w:p w14:paraId="68E369E9">
            <w:pPr>
              <w:spacing w:line="194"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580" w:type="dxa"/>
            <w:vAlign w:val="top"/>
          </w:tcPr>
          <w:p w14:paraId="7108F26A">
            <w:pPr>
              <w:spacing w:before="70" w:line="243"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1</w:t>
            </w:r>
            <w:r>
              <w:rPr>
                <w:rFonts w:ascii="Times New Roman" w:hAnsi="Times New Roman" w:eastAsia="Times New Roman" w:cs="Times New Roman"/>
                <w:position w:val="5"/>
                <w:sz w:val="20"/>
                <w:szCs w:val="20"/>
              </w:rPr>
              <w:t>2.</w:t>
            </w:r>
          </w:p>
          <w:p w14:paraId="74631D1F">
            <w:pPr>
              <w:spacing w:line="194"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581" w:type="dxa"/>
            <w:tcBorders>
              <w:right w:val="nil"/>
            </w:tcBorders>
            <w:vAlign w:val="top"/>
          </w:tcPr>
          <w:p w14:paraId="2ECAEC23">
            <w:pPr>
              <w:spacing w:before="70" w:line="243"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3"/>
                <w:position w:val="5"/>
                <w:sz w:val="20"/>
                <w:szCs w:val="20"/>
              </w:rPr>
              <w:t>7</w:t>
            </w:r>
            <w:r>
              <w:rPr>
                <w:rFonts w:ascii="Times New Roman" w:hAnsi="Times New Roman" w:eastAsia="Times New Roman" w:cs="Times New Roman"/>
                <w:spacing w:val="2"/>
                <w:position w:val="5"/>
                <w:sz w:val="20"/>
                <w:szCs w:val="20"/>
              </w:rPr>
              <w:t>24</w:t>
            </w:r>
          </w:p>
          <w:p w14:paraId="58123216">
            <w:pPr>
              <w:spacing w:line="194"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4</w:t>
            </w:r>
          </w:p>
        </w:tc>
      </w:tr>
      <w:tr w14:paraId="21EF6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81" w:type="dxa"/>
            <w:tcBorders>
              <w:left w:val="nil"/>
            </w:tcBorders>
            <w:vAlign w:val="top"/>
          </w:tcPr>
          <w:p w14:paraId="3D91DEDE">
            <w:pPr>
              <w:spacing w:before="36" w:line="247" w:lineRule="auto"/>
              <w:ind w:left="115" w:right="19" w:firstLine="67"/>
              <w:rPr>
                <w:rFonts w:ascii="宋体" w:hAnsi="宋体" w:eastAsia="宋体" w:cs="宋体"/>
                <w:sz w:val="20"/>
                <w:szCs w:val="20"/>
              </w:rPr>
            </w:pPr>
            <w:r>
              <w:rPr>
                <w:rFonts w:ascii="宋体" w:hAnsi="宋体" w:eastAsia="宋体" w:cs="宋体"/>
                <w:spacing w:val="7"/>
                <w:sz w:val="20"/>
                <w:szCs w:val="20"/>
              </w:rPr>
              <w:t>平均风</w:t>
            </w:r>
            <w:r>
              <w:rPr>
                <w:rFonts w:ascii="宋体" w:hAnsi="宋体" w:eastAsia="宋体" w:cs="宋体"/>
                <w:sz w:val="20"/>
                <w:szCs w:val="20"/>
              </w:rPr>
              <w:t xml:space="preserve"> </w:t>
            </w:r>
            <w:r>
              <w:rPr>
                <w:rFonts w:ascii="宋体" w:hAnsi="宋体" w:eastAsia="宋体" w:cs="宋体"/>
                <w:spacing w:val="-12"/>
                <w:sz w:val="20"/>
                <w:szCs w:val="20"/>
              </w:rPr>
              <w:t>速 (</w:t>
            </w:r>
            <w:r>
              <w:rPr>
                <w:rFonts w:ascii="Times New Roman" w:hAnsi="Times New Roman" w:eastAsia="Times New Roman" w:cs="Times New Roman"/>
                <w:spacing w:val="-12"/>
                <w:sz w:val="20"/>
                <w:szCs w:val="20"/>
              </w:rPr>
              <w:t xml:space="preserve">m/s </w:t>
            </w:r>
            <w:r>
              <w:rPr>
                <w:rFonts w:ascii="宋体" w:hAnsi="宋体" w:eastAsia="宋体" w:cs="宋体"/>
                <w:spacing w:val="-12"/>
                <w:sz w:val="20"/>
                <w:szCs w:val="20"/>
              </w:rPr>
              <w:t>)</w:t>
            </w:r>
          </w:p>
        </w:tc>
        <w:tc>
          <w:tcPr>
            <w:tcW w:w="580" w:type="dxa"/>
            <w:vAlign w:val="top"/>
          </w:tcPr>
          <w:p w14:paraId="4C82B0EE">
            <w:pPr>
              <w:spacing w:before="206"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580" w:type="dxa"/>
            <w:vAlign w:val="top"/>
          </w:tcPr>
          <w:p w14:paraId="495B61F2">
            <w:pPr>
              <w:spacing w:before="206" w:line="198"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w:t>
            </w:r>
          </w:p>
        </w:tc>
        <w:tc>
          <w:tcPr>
            <w:tcW w:w="580" w:type="dxa"/>
            <w:vAlign w:val="top"/>
          </w:tcPr>
          <w:p w14:paraId="68C0AE1D">
            <w:pPr>
              <w:spacing w:before="20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.2</w:t>
            </w:r>
          </w:p>
        </w:tc>
        <w:tc>
          <w:tcPr>
            <w:tcW w:w="580" w:type="dxa"/>
            <w:vAlign w:val="top"/>
          </w:tcPr>
          <w:p w14:paraId="0ABAC01E">
            <w:pPr>
              <w:spacing w:before="206" w:line="198"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w:t>
            </w:r>
          </w:p>
        </w:tc>
        <w:tc>
          <w:tcPr>
            <w:tcW w:w="580" w:type="dxa"/>
            <w:vAlign w:val="top"/>
          </w:tcPr>
          <w:p w14:paraId="51B45DC2">
            <w:pPr>
              <w:spacing w:before="20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p>
        </w:tc>
        <w:tc>
          <w:tcPr>
            <w:tcW w:w="580" w:type="dxa"/>
            <w:vAlign w:val="top"/>
          </w:tcPr>
          <w:p w14:paraId="023A10BB">
            <w:pPr>
              <w:spacing w:before="20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3.1</w:t>
            </w:r>
          </w:p>
        </w:tc>
        <w:tc>
          <w:tcPr>
            <w:tcW w:w="580" w:type="dxa"/>
            <w:vAlign w:val="top"/>
          </w:tcPr>
          <w:p w14:paraId="288EA623">
            <w:pPr>
              <w:spacing w:before="206"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580" w:type="dxa"/>
            <w:vAlign w:val="top"/>
          </w:tcPr>
          <w:p w14:paraId="10DF4C80">
            <w:pPr>
              <w:spacing w:before="206" w:line="198"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.1</w:t>
            </w:r>
          </w:p>
        </w:tc>
        <w:tc>
          <w:tcPr>
            <w:tcW w:w="580" w:type="dxa"/>
            <w:vAlign w:val="top"/>
          </w:tcPr>
          <w:p w14:paraId="3533EEBB">
            <w:pPr>
              <w:spacing w:before="206"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.1</w:t>
            </w:r>
          </w:p>
        </w:tc>
        <w:tc>
          <w:tcPr>
            <w:tcW w:w="580" w:type="dxa"/>
            <w:vAlign w:val="top"/>
          </w:tcPr>
          <w:p w14:paraId="75092E6A">
            <w:pPr>
              <w:spacing w:before="206"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w:t>
            </w:r>
          </w:p>
        </w:tc>
        <w:tc>
          <w:tcPr>
            <w:tcW w:w="580" w:type="dxa"/>
            <w:vAlign w:val="top"/>
          </w:tcPr>
          <w:p w14:paraId="63E9E4C6">
            <w:pPr>
              <w:spacing w:before="206" w:line="198"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7</w:t>
            </w:r>
          </w:p>
        </w:tc>
        <w:tc>
          <w:tcPr>
            <w:tcW w:w="580" w:type="dxa"/>
            <w:vAlign w:val="top"/>
          </w:tcPr>
          <w:p w14:paraId="3B451FFE">
            <w:pPr>
              <w:spacing w:before="206"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w:t>
            </w:r>
          </w:p>
        </w:tc>
        <w:tc>
          <w:tcPr>
            <w:tcW w:w="581" w:type="dxa"/>
            <w:tcBorders>
              <w:right w:val="nil"/>
            </w:tcBorders>
            <w:vAlign w:val="top"/>
          </w:tcPr>
          <w:p w14:paraId="64A617CE">
            <w:pPr>
              <w:spacing w:before="206" w:line="198"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7</w:t>
            </w:r>
          </w:p>
        </w:tc>
      </w:tr>
    </w:tbl>
    <w:p w14:paraId="274F35D4">
      <w:pPr>
        <w:spacing w:line="260" w:lineRule="auto"/>
        <w:rPr>
          <w:rFonts w:ascii="Arial"/>
          <w:sz w:val="21"/>
        </w:rPr>
      </w:pPr>
    </w:p>
    <w:p w14:paraId="19325F70">
      <w:pPr>
        <w:spacing w:before="75" w:line="228" w:lineRule="auto"/>
        <w:ind w:left="589"/>
        <w:rPr>
          <w:rFonts w:ascii="宋体" w:hAnsi="宋体" w:eastAsia="宋体" w:cs="宋体"/>
          <w:sz w:val="23"/>
          <w:szCs w:val="23"/>
        </w:rPr>
      </w:pPr>
      <w:r>
        <w:rPr>
          <w:rFonts w:ascii="Times New Roman" w:hAnsi="Times New Roman" w:eastAsia="Times New Roman" w:cs="Times New Roman"/>
          <w:b/>
          <w:bCs/>
          <w:sz w:val="23"/>
          <w:szCs w:val="23"/>
        </w:rPr>
        <w:t>A</w:t>
      </w:r>
      <w:r>
        <w:rPr>
          <w:rFonts w:ascii="Times New Roman" w:hAnsi="Times New Roman" w:eastAsia="Times New Roman" w:cs="Times New Roman"/>
          <w:b/>
          <w:bCs/>
          <w:spacing w:val="9"/>
          <w:sz w:val="23"/>
          <w:szCs w:val="23"/>
        </w:rPr>
        <w:t>.</w:t>
      </w:r>
      <w:r>
        <w:rPr>
          <w:rFonts w:ascii="宋体" w:hAnsi="宋体" w:eastAsia="宋体" w:cs="宋体"/>
          <w:spacing w:val="9"/>
          <w:sz w:val="23"/>
          <w:szCs w:val="23"/>
          <w14:textOutline w14:w="4358" w14:cap="sq" w14:cmpd="sng">
            <w14:solidFill>
              <w14:srgbClr w14:val="000000"/>
            </w14:solidFill>
            <w14:prstDash w14:val="solid"/>
            <w14:bevel/>
          </w14:textOutline>
        </w:rPr>
        <w:t>风向</w:t>
      </w:r>
    </w:p>
    <w:p w14:paraId="7E737B5F">
      <w:pPr>
        <w:spacing w:before="305" w:line="386" w:lineRule="auto"/>
        <w:ind w:left="123" w:right="46" w:firstLine="478"/>
        <w:rPr>
          <w:rFonts w:ascii="宋体" w:hAnsi="宋体" w:eastAsia="宋体" w:cs="宋体"/>
          <w:sz w:val="23"/>
          <w:szCs w:val="23"/>
        </w:rPr>
      </w:pPr>
      <w:r>
        <w:rPr>
          <w:rFonts w:ascii="宋体" w:hAnsi="宋体" w:eastAsia="宋体" w:cs="宋体"/>
          <w:spacing w:val="1"/>
          <w:sz w:val="23"/>
          <w:szCs w:val="23"/>
        </w:rPr>
        <w:t>该地区年主导风向为北风，次导风向</w:t>
      </w:r>
      <w:r>
        <w:rPr>
          <w:rFonts w:ascii="宋体" w:hAnsi="宋体" w:eastAsia="宋体" w:cs="宋体"/>
          <w:sz w:val="23"/>
          <w:szCs w:val="23"/>
        </w:rPr>
        <w:t xml:space="preserve">为东南风，频率分别为 </w:t>
      </w:r>
      <w:r>
        <w:rPr>
          <w:rFonts w:ascii="Times New Roman" w:hAnsi="Times New Roman" w:eastAsia="Times New Roman" w:cs="Times New Roman"/>
          <w:sz w:val="23"/>
          <w:szCs w:val="23"/>
        </w:rPr>
        <w:t>9.67%</w:t>
      </w:r>
      <w:r>
        <w:rPr>
          <w:rFonts w:ascii="宋体" w:hAnsi="宋体" w:eastAsia="宋体" w:cs="宋体"/>
          <w:sz w:val="23"/>
          <w:szCs w:val="23"/>
        </w:rPr>
        <w:t xml:space="preserve">和 </w:t>
      </w:r>
      <w:r>
        <w:rPr>
          <w:rFonts w:ascii="Times New Roman" w:hAnsi="Times New Roman" w:eastAsia="Times New Roman" w:cs="Times New Roman"/>
          <w:sz w:val="23"/>
          <w:szCs w:val="23"/>
        </w:rPr>
        <w:t>9.50%</w:t>
      </w:r>
      <w:r>
        <w:rPr>
          <w:rFonts w:ascii="宋体" w:hAnsi="宋体" w:eastAsia="宋体" w:cs="宋体"/>
          <w:sz w:val="23"/>
          <w:szCs w:val="23"/>
        </w:rPr>
        <w:t xml:space="preserve">， </w:t>
      </w:r>
      <w:r>
        <w:rPr>
          <w:rFonts w:ascii="宋体" w:hAnsi="宋体" w:eastAsia="宋体" w:cs="宋体"/>
          <w:spacing w:val="-2"/>
          <w:sz w:val="23"/>
          <w:szCs w:val="23"/>
        </w:rPr>
        <w:t xml:space="preserve">冬季盛行北风，频率为 </w:t>
      </w:r>
      <w:r>
        <w:rPr>
          <w:rFonts w:ascii="Times New Roman" w:hAnsi="Times New Roman" w:eastAsia="Times New Roman" w:cs="Times New Roman"/>
          <w:spacing w:val="-2"/>
          <w:sz w:val="23"/>
          <w:szCs w:val="23"/>
        </w:rPr>
        <w:t xml:space="preserve">11.00% </w:t>
      </w:r>
      <w:r>
        <w:rPr>
          <w:rFonts w:ascii="宋体" w:hAnsi="宋体" w:eastAsia="宋体" w:cs="宋体"/>
          <w:spacing w:val="-2"/>
          <w:sz w:val="23"/>
          <w:szCs w:val="23"/>
        </w:rPr>
        <w:t xml:space="preserve">，夏季盛行西南风，频率为 </w:t>
      </w:r>
      <w:r>
        <w:rPr>
          <w:rFonts w:ascii="Times New Roman" w:hAnsi="Times New Roman" w:eastAsia="Times New Roman" w:cs="Times New Roman"/>
          <w:spacing w:val="-2"/>
          <w:sz w:val="23"/>
          <w:szCs w:val="23"/>
        </w:rPr>
        <w:t xml:space="preserve">11. 14% </w:t>
      </w:r>
      <w:r>
        <w:rPr>
          <w:rFonts w:ascii="宋体" w:hAnsi="宋体" w:eastAsia="宋体" w:cs="宋体"/>
          <w:spacing w:val="-2"/>
          <w:sz w:val="23"/>
          <w:szCs w:val="23"/>
        </w:rPr>
        <w:t xml:space="preserve">，见图 </w:t>
      </w:r>
      <w:r>
        <w:rPr>
          <w:rFonts w:ascii="Times New Roman" w:hAnsi="Times New Roman" w:eastAsia="Times New Roman" w:cs="Times New Roman"/>
          <w:spacing w:val="-2"/>
          <w:sz w:val="23"/>
          <w:szCs w:val="23"/>
        </w:rPr>
        <w:t>5</w:t>
      </w:r>
      <w:r>
        <w:rPr>
          <w:rFonts w:ascii="Times New Roman" w:hAnsi="Times New Roman" w:eastAsia="Times New Roman" w:cs="Times New Roman"/>
          <w:sz w:val="23"/>
          <w:szCs w:val="23"/>
        </w:rPr>
        <w:t>- 1</w:t>
      </w:r>
      <w:r>
        <w:rPr>
          <w:rFonts w:ascii="宋体" w:hAnsi="宋体" w:eastAsia="宋体" w:cs="宋体"/>
          <w:sz w:val="23"/>
          <w:szCs w:val="23"/>
        </w:rPr>
        <w:t>。</w:t>
      </w:r>
    </w:p>
    <w:p w14:paraId="48CA4680">
      <w:pPr>
        <w:spacing w:line="1980" w:lineRule="exact"/>
        <w:ind w:firstLine="240"/>
        <w:textAlignment w:val="center"/>
      </w:pPr>
      <w:r>
        <w:drawing>
          <wp:inline distT="0" distB="0" distL="0" distR="0">
            <wp:extent cx="5172075" cy="125730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508"/>
                    <a:stretch>
                      <a:fillRect/>
                    </a:stretch>
                  </pic:blipFill>
                  <pic:spPr>
                    <a:xfrm>
                      <a:off x="0" y="0"/>
                      <a:ext cx="5172455" cy="1257300"/>
                    </a:xfrm>
                    <a:prstGeom prst="rect">
                      <a:avLst/>
                    </a:prstGeom>
                  </pic:spPr>
                </pic:pic>
              </a:graphicData>
            </a:graphic>
          </wp:inline>
        </w:drawing>
      </w:r>
    </w:p>
    <w:p w14:paraId="126A2364">
      <w:pPr>
        <w:spacing w:before="129" w:line="227" w:lineRule="auto"/>
        <w:ind w:left="206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项目地区风频玫瑰图</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(累年值)</w:t>
      </w:r>
    </w:p>
    <w:p w14:paraId="22D6A802">
      <w:pPr>
        <w:sectPr>
          <w:headerReference r:id="rId204" w:type="default"/>
          <w:footerReference r:id="rId205" w:type="default"/>
          <w:pgSz w:w="11906" w:h="16839"/>
          <w:pgMar w:top="1132" w:right="1691" w:bottom="1182" w:left="1691" w:header="878" w:footer="1022" w:gutter="0"/>
          <w:cols w:space="720" w:num="1"/>
        </w:sectPr>
      </w:pPr>
    </w:p>
    <w:p w14:paraId="6C91A5D0">
      <w:pPr>
        <w:spacing w:line="408" w:lineRule="auto"/>
        <w:rPr>
          <w:rFonts w:ascii="Arial"/>
          <w:sz w:val="21"/>
        </w:rPr>
      </w:pPr>
      <w:r>
        <w:pict>
          <v:shape id="_x0000_s1255" o:spid="_x0000_s1255" style="position:absolute;left:0pt;margin-left:90pt;margin-top:57.35pt;height:0.75pt;width:415.3pt;mso-position-horizontal-relative:page;mso-position-vertical-relative:page;z-index:251914240;mso-width-relative:page;mso-height-relative:page;" fillcolor="#000000" filled="t" stroked="f" coordsize="8305,15" o:allowincell="f" path="m0,0l8305,0,8305,14,0,14,0,0xe">
            <v:path/>
            <v:fill on="t" focussize="0,0"/>
            <v:stroke on="f"/>
            <v:imagedata o:title=""/>
            <o:lock v:ext="edit"/>
          </v:shape>
        </w:pict>
      </w:r>
    </w:p>
    <w:p w14:paraId="21B0D7A6">
      <w:pPr>
        <w:spacing w:before="75" w:line="228" w:lineRule="auto"/>
        <w:ind w:left="593"/>
        <w:rPr>
          <w:rFonts w:ascii="宋体" w:hAnsi="宋体" w:eastAsia="宋体" w:cs="宋体"/>
          <w:sz w:val="23"/>
          <w:szCs w:val="23"/>
        </w:rPr>
      </w:pPr>
      <w:r>
        <w:rPr>
          <w:rFonts w:ascii="Times New Roman" w:hAnsi="Times New Roman" w:eastAsia="Times New Roman" w:cs="Times New Roman"/>
          <w:b/>
          <w:bCs/>
          <w:sz w:val="23"/>
          <w:szCs w:val="23"/>
        </w:rPr>
        <w:t>B</w:t>
      </w:r>
      <w:r>
        <w:rPr>
          <w:rFonts w:ascii="Times New Roman" w:hAnsi="Times New Roman" w:eastAsia="Times New Roman" w:cs="Times New Roman"/>
          <w:b/>
          <w:bCs/>
          <w:spacing w:val="8"/>
          <w:sz w:val="23"/>
          <w:szCs w:val="23"/>
        </w:rPr>
        <w:t>.</w:t>
      </w:r>
      <w:r>
        <w:rPr>
          <w:rFonts w:ascii="宋体" w:hAnsi="宋体" w:eastAsia="宋体" w:cs="宋体"/>
          <w:spacing w:val="8"/>
          <w:sz w:val="23"/>
          <w:szCs w:val="23"/>
          <w14:textOutline w14:w="4358" w14:cap="sq" w14:cmpd="sng">
            <w14:solidFill>
              <w14:srgbClr w14:val="000000"/>
            </w14:solidFill>
            <w14:prstDash w14:val="solid"/>
            <w14:bevel/>
          </w14:textOutline>
        </w:rPr>
        <w:t>风速</w:t>
      </w:r>
    </w:p>
    <w:p w14:paraId="31A239A6">
      <w:pPr>
        <w:spacing w:before="308" w:line="397" w:lineRule="auto"/>
        <w:ind w:left="121" w:right="34" w:firstLine="481"/>
        <w:rPr>
          <w:rFonts w:ascii="宋体" w:hAnsi="宋体" w:eastAsia="宋体" w:cs="宋体"/>
          <w:sz w:val="23"/>
          <w:szCs w:val="23"/>
        </w:rPr>
      </w:pPr>
      <w:r>
        <w:rPr>
          <w:rFonts w:ascii="宋体" w:hAnsi="宋体" w:eastAsia="宋体" w:cs="宋体"/>
          <w:spacing w:val="-20"/>
          <w:sz w:val="23"/>
          <w:szCs w:val="23"/>
        </w:rPr>
        <w:t xml:space="preserve">由表 </w:t>
      </w:r>
      <w:r>
        <w:rPr>
          <w:rFonts w:ascii="Times New Roman" w:hAnsi="Times New Roman" w:eastAsia="Times New Roman" w:cs="Times New Roman"/>
          <w:spacing w:val="-14"/>
          <w:sz w:val="23"/>
          <w:szCs w:val="23"/>
        </w:rPr>
        <w:t>5</w:t>
      </w:r>
      <w:r>
        <w:rPr>
          <w:rFonts w:ascii="Times New Roman" w:hAnsi="Times New Roman" w:eastAsia="Times New Roman" w:cs="Times New Roman"/>
          <w:spacing w:val="-10"/>
          <w:sz w:val="23"/>
          <w:szCs w:val="23"/>
        </w:rPr>
        <w:t xml:space="preserve">-5 </w:t>
      </w:r>
      <w:r>
        <w:rPr>
          <w:rFonts w:ascii="宋体" w:hAnsi="宋体" w:eastAsia="宋体" w:cs="宋体"/>
          <w:spacing w:val="-10"/>
          <w:sz w:val="23"/>
          <w:szCs w:val="23"/>
        </w:rPr>
        <w:t xml:space="preserve">可见，该地区全年平均风速为 </w:t>
      </w:r>
      <w:r>
        <w:rPr>
          <w:rFonts w:ascii="Times New Roman" w:hAnsi="Times New Roman" w:eastAsia="Times New Roman" w:cs="Times New Roman"/>
          <w:spacing w:val="-10"/>
          <w:sz w:val="23"/>
          <w:szCs w:val="23"/>
        </w:rPr>
        <w:t>2.7m/s</w:t>
      </w:r>
      <w:r>
        <w:rPr>
          <w:rFonts w:ascii="宋体" w:hAnsi="宋体" w:eastAsia="宋体" w:cs="宋体"/>
          <w:spacing w:val="-10"/>
          <w:sz w:val="23"/>
          <w:szCs w:val="23"/>
        </w:rPr>
        <w:t xml:space="preserve">，四月份平均风速最大，为 </w:t>
      </w:r>
      <w:r>
        <w:rPr>
          <w:rFonts w:ascii="Times New Roman" w:hAnsi="Times New Roman" w:eastAsia="Times New Roman" w:cs="Times New Roman"/>
          <w:spacing w:val="-10"/>
          <w:sz w:val="23"/>
          <w:szCs w:val="23"/>
        </w:rPr>
        <w:t>4.0m/s</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八、九月份平均风速最小，为 </w:t>
      </w:r>
      <w:r>
        <w:rPr>
          <w:rFonts w:ascii="Times New Roman" w:hAnsi="Times New Roman" w:eastAsia="Times New Roman" w:cs="Times New Roman"/>
          <w:spacing w:val="-6"/>
          <w:sz w:val="23"/>
          <w:szCs w:val="23"/>
        </w:rPr>
        <w:t>2.1m/</w:t>
      </w:r>
      <w:r>
        <w:rPr>
          <w:rFonts w:ascii="Times New Roman" w:hAnsi="Times New Roman" w:eastAsia="Times New Roman" w:cs="Times New Roman"/>
          <w:spacing w:val="-1"/>
          <w:sz w:val="23"/>
          <w:szCs w:val="23"/>
        </w:rPr>
        <w:t>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。该地区一年四季风速日均值变化见表 </w:t>
      </w:r>
      <w:r>
        <w:rPr>
          <w:rFonts w:ascii="Times New Roman" w:hAnsi="Times New Roman" w:eastAsia="Times New Roman" w:cs="Times New Roman"/>
          <w:spacing w:val="-6"/>
          <w:sz w:val="23"/>
          <w:szCs w:val="23"/>
        </w:rPr>
        <w:t>5-5</w:t>
      </w:r>
      <w:r>
        <w:rPr>
          <w:rFonts w:ascii="宋体" w:hAnsi="宋体" w:eastAsia="宋体" w:cs="宋体"/>
          <w:spacing w:val="-6"/>
          <w:sz w:val="23"/>
          <w:szCs w:val="23"/>
        </w:rPr>
        <w:t>。</w:t>
      </w:r>
    </w:p>
    <w:p w14:paraId="1C78D9DE">
      <w:pPr>
        <w:spacing w:before="170" w:line="227" w:lineRule="auto"/>
        <w:ind w:left="2878"/>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5-5</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四季风速日</w:t>
      </w:r>
      <w:r>
        <w:rPr>
          <w:rFonts w:ascii="宋体" w:hAnsi="宋体" w:eastAsia="宋体" w:cs="宋体"/>
          <w:spacing w:val="2"/>
          <w:sz w:val="23"/>
          <w:szCs w:val="23"/>
          <w14:textOutline w14:w="4358" w14:cap="sq" w14:cmpd="sng">
            <w14:solidFill>
              <w14:srgbClr w14:val="000000"/>
            </w14:solidFill>
            <w14:prstDash w14:val="solid"/>
            <w14:bevel/>
          </w14:textOutline>
        </w:rPr>
        <w:t>均</w:t>
      </w:r>
      <w:r>
        <w:rPr>
          <w:rFonts w:ascii="宋体" w:hAnsi="宋体" w:eastAsia="宋体" w:cs="宋体"/>
          <w:sz w:val="23"/>
          <w:szCs w:val="23"/>
          <w14:textOutline w14:w="4358" w14:cap="sq" w14:cmpd="sng">
            <w14:solidFill>
              <w14:srgbClr w14:val="000000"/>
            </w14:solidFill>
            <w14:prstDash w14:val="solid"/>
            <w14:bevel/>
          </w14:textOutline>
        </w:rPr>
        <w:t>值</w:t>
      </w:r>
    </w:p>
    <w:p w14:paraId="3396E44A">
      <w:pPr>
        <w:spacing w:line="17"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6"/>
        <w:gridCol w:w="1420"/>
        <w:gridCol w:w="1421"/>
        <w:gridCol w:w="1421"/>
        <w:gridCol w:w="1422"/>
        <w:gridCol w:w="1421"/>
      </w:tblGrid>
      <w:tr w14:paraId="04F9E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416" w:type="dxa"/>
            <w:tcBorders>
              <w:left w:val="nil"/>
            </w:tcBorders>
            <w:vAlign w:val="top"/>
          </w:tcPr>
          <w:p w14:paraId="6807FA88">
            <w:pPr>
              <w:spacing w:before="56" w:line="226" w:lineRule="auto"/>
              <w:ind w:left="52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四季</w:t>
            </w:r>
          </w:p>
        </w:tc>
        <w:tc>
          <w:tcPr>
            <w:tcW w:w="1420" w:type="dxa"/>
            <w:vAlign w:val="top"/>
          </w:tcPr>
          <w:p w14:paraId="48B837F6">
            <w:pPr>
              <w:spacing w:before="56" w:line="226" w:lineRule="auto"/>
              <w:ind w:left="448"/>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00</w:t>
            </w:r>
          </w:p>
        </w:tc>
        <w:tc>
          <w:tcPr>
            <w:tcW w:w="1421" w:type="dxa"/>
            <w:vAlign w:val="top"/>
          </w:tcPr>
          <w:p w14:paraId="6A418A78">
            <w:pPr>
              <w:spacing w:before="56" w:line="226" w:lineRule="auto"/>
              <w:ind w:left="451"/>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8</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00</w:t>
            </w:r>
          </w:p>
        </w:tc>
        <w:tc>
          <w:tcPr>
            <w:tcW w:w="1421" w:type="dxa"/>
            <w:vAlign w:val="top"/>
          </w:tcPr>
          <w:p w14:paraId="5702E115">
            <w:pPr>
              <w:spacing w:before="56" w:line="226" w:lineRule="auto"/>
              <w:ind w:left="40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1</w:t>
            </w:r>
            <w:r>
              <w:rPr>
                <w:rFonts w:ascii="Times New Roman" w:hAnsi="Times New Roman" w:eastAsia="Times New Roman" w:cs="Times New Roman"/>
                <w:b/>
                <w:bCs/>
                <w:spacing w:val="3"/>
                <w:sz w:val="20"/>
                <w:szCs w:val="20"/>
              </w:rPr>
              <w:t>4</w:t>
            </w:r>
            <w:r>
              <w:rPr>
                <w:rFonts w:ascii="宋体" w:hAnsi="宋体" w:eastAsia="宋体" w:cs="宋体"/>
                <w:spacing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sz w:val="20"/>
                <w:szCs w:val="20"/>
              </w:rPr>
              <w:t>00</w:t>
            </w:r>
          </w:p>
        </w:tc>
        <w:tc>
          <w:tcPr>
            <w:tcW w:w="1422" w:type="dxa"/>
            <w:vAlign w:val="top"/>
          </w:tcPr>
          <w:p w14:paraId="6BD59ABC">
            <w:pPr>
              <w:spacing w:before="56" w:line="226" w:lineRule="auto"/>
              <w:ind w:left="398"/>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20</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sz w:val="20"/>
                <w:szCs w:val="20"/>
              </w:rPr>
              <w:t>00</w:t>
            </w:r>
          </w:p>
        </w:tc>
        <w:tc>
          <w:tcPr>
            <w:tcW w:w="1421" w:type="dxa"/>
            <w:tcBorders>
              <w:right w:val="nil"/>
            </w:tcBorders>
            <w:vAlign w:val="top"/>
          </w:tcPr>
          <w:p w14:paraId="5A508358">
            <w:pPr>
              <w:spacing w:before="56" w:line="226" w:lineRule="auto"/>
              <w:ind w:left="43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日</w:t>
            </w:r>
            <w:r>
              <w:rPr>
                <w:rFonts w:ascii="宋体" w:hAnsi="宋体" w:eastAsia="宋体" w:cs="宋体"/>
                <w:spacing w:val="-4"/>
                <w:sz w:val="20"/>
                <w:szCs w:val="20"/>
                <w14:textOutline w14:w="3795" w14:cap="sq" w14:cmpd="sng">
                  <w14:solidFill>
                    <w14:srgbClr w14:val="000000"/>
                  </w14:solidFill>
                  <w14:prstDash w14:val="solid"/>
                  <w14:bevel/>
                </w14:textOutline>
              </w:rPr>
              <w:t>平均</w:t>
            </w:r>
          </w:p>
        </w:tc>
      </w:tr>
      <w:tr w14:paraId="3EB83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416" w:type="dxa"/>
            <w:tcBorders>
              <w:left w:val="nil"/>
            </w:tcBorders>
            <w:vAlign w:val="top"/>
          </w:tcPr>
          <w:p w14:paraId="104F3B6D">
            <w:pPr>
              <w:spacing w:before="50" w:line="216" w:lineRule="auto"/>
              <w:ind w:left="615"/>
              <w:rPr>
                <w:rFonts w:ascii="宋体" w:hAnsi="宋体" w:eastAsia="宋体" w:cs="宋体"/>
                <w:sz w:val="20"/>
                <w:szCs w:val="20"/>
              </w:rPr>
            </w:pPr>
            <w:r>
              <w:rPr>
                <w:rFonts w:ascii="宋体" w:hAnsi="宋体" w:eastAsia="宋体" w:cs="宋体"/>
                <w:sz w:val="20"/>
                <w:szCs w:val="20"/>
              </w:rPr>
              <w:t>冬</w:t>
            </w:r>
          </w:p>
        </w:tc>
        <w:tc>
          <w:tcPr>
            <w:tcW w:w="1420" w:type="dxa"/>
            <w:vAlign w:val="top"/>
          </w:tcPr>
          <w:p w14:paraId="6CF54C9B">
            <w:pPr>
              <w:spacing w:before="88"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9</w:t>
            </w:r>
          </w:p>
        </w:tc>
        <w:tc>
          <w:tcPr>
            <w:tcW w:w="1421" w:type="dxa"/>
            <w:vAlign w:val="top"/>
          </w:tcPr>
          <w:p w14:paraId="1DF2C6EE">
            <w:pPr>
              <w:spacing w:before="88"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7</w:t>
            </w:r>
          </w:p>
        </w:tc>
        <w:tc>
          <w:tcPr>
            <w:tcW w:w="1421" w:type="dxa"/>
            <w:vAlign w:val="top"/>
          </w:tcPr>
          <w:p w14:paraId="4868DBE3">
            <w:pPr>
              <w:spacing w:before="88"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4 0</w:t>
            </w:r>
          </w:p>
        </w:tc>
        <w:tc>
          <w:tcPr>
            <w:tcW w:w="1422" w:type="dxa"/>
            <w:vAlign w:val="top"/>
          </w:tcPr>
          <w:p w14:paraId="5636F930">
            <w:pPr>
              <w:spacing w:before="88"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9</w:t>
            </w:r>
          </w:p>
        </w:tc>
        <w:tc>
          <w:tcPr>
            <w:tcW w:w="1421" w:type="dxa"/>
            <w:tcBorders>
              <w:right w:val="nil"/>
            </w:tcBorders>
            <w:vAlign w:val="top"/>
          </w:tcPr>
          <w:p w14:paraId="43A0432A">
            <w:pPr>
              <w:spacing w:before="88"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 </w:t>
            </w:r>
            <w:r>
              <w:rPr>
                <w:rFonts w:ascii="Times New Roman" w:hAnsi="Times New Roman" w:eastAsia="Times New Roman" w:cs="Times New Roman"/>
                <w:spacing w:val="2"/>
                <w:sz w:val="20"/>
                <w:szCs w:val="20"/>
              </w:rPr>
              <w:t>4</w:t>
            </w:r>
          </w:p>
        </w:tc>
      </w:tr>
      <w:tr w14:paraId="1EEAA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416" w:type="dxa"/>
            <w:tcBorders>
              <w:left w:val="nil"/>
            </w:tcBorders>
            <w:vAlign w:val="top"/>
          </w:tcPr>
          <w:p w14:paraId="14CF78C8">
            <w:pPr>
              <w:spacing w:before="85" w:line="228" w:lineRule="auto"/>
              <w:ind w:left="609"/>
              <w:rPr>
                <w:rFonts w:ascii="宋体" w:hAnsi="宋体" w:eastAsia="宋体" w:cs="宋体"/>
                <w:sz w:val="20"/>
                <w:szCs w:val="20"/>
              </w:rPr>
            </w:pPr>
            <w:r>
              <w:rPr>
                <w:rFonts w:ascii="宋体" w:hAnsi="宋体" w:eastAsia="宋体" w:cs="宋体"/>
                <w:spacing w:val="1"/>
                <w:sz w:val="20"/>
                <w:szCs w:val="20"/>
              </w:rPr>
              <w:t>春</w:t>
            </w:r>
          </w:p>
        </w:tc>
        <w:tc>
          <w:tcPr>
            <w:tcW w:w="1420" w:type="dxa"/>
            <w:vAlign w:val="top"/>
          </w:tcPr>
          <w:p w14:paraId="0CEE0C31">
            <w:pPr>
              <w:spacing w:before="121" w:line="198"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7</w:t>
            </w:r>
          </w:p>
        </w:tc>
        <w:tc>
          <w:tcPr>
            <w:tcW w:w="1421" w:type="dxa"/>
            <w:vAlign w:val="top"/>
          </w:tcPr>
          <w:p w14:paraId="28A00DB2">
            <w:pPr>
              <w:spacing w:before="121"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p>
        </w:tc>
        <w:tc>
          <w:tcPr>
            <w:tcW w:w="1421" w:type="dxa"/>
            <w:vAlign w:val="top"/>
          </w:tcPr>
          <w:p w14:paraId="397E1F16">
            <w:pPr>
              <w:spacing w:before="124" w:line="192"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1422" w:type="dxa"/>
            <w:vAlign w:val="top"/>
          </w:tcPr>
          <w:p w14:paraId="56E1D798">
            <w:pPr>
              <w:spacing w:before="12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3.1</w:t>
            </w:r>
          </w:p>
        </w:tc>
        <w:tc>
          <w:tcPr>
            <w:tcW w:w="1421" w:type="dxa"/>
            <w:tcBorders>
              <w:right w:val="nil"/>
            </w:tcBorders>
            <w:vAlign w:val="top"/>
          </w:tcPr>
          <w:p w14:paraId="43FD08DE">
            <w:pPr>
              <w:spacing w:before="121"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p>
        </w:tc>
      </w:tr>
      <w:tr w14:paraId="33BEF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16" w:type="dxa"/>
            <w:tcBorders>
              <w:left w:val="nil"/>
            </w:tcBorders>
            <w:vAlign w:val="top"/>
          </w:tcPr>
          <w:p w14:paraId="47637FF1">
            <w:pPr>
              <w:spacing w:before="54" w:line="230" w:lineRule="auto"/>
              <w:ind w:left="610"/>
              <w:rPr>
                <w:rFonts w:ascii="宋体" w:hAnsi="宋体" w:eastAsia="宋体" w:cs="宋体"/>
                <w:sz w:val="20"/>
                <w:szCs w:val="20"/>
              </w:rPr>
            </w:pPr>
            <w:r>
              <w:rPr>
                <w:rFonts w:ascii="宋体" w:hAnsi="宋体" w:eastAsia="宋体" w:cs="宋体"/>
                <w:sz w:val="20"/>
                <w:szCs w:val="20"/>
              </w:rPr>
              <w:t>夏</w:t>
            </w:r>
          </w:p>
        </w:tc>
        <w:tc>
          <w:tcPr>
            <w:tcW w:w="1420" w:type="dxa"/>
            <w:vAlign w:val="top"/>
          </w:tcPr>
          <w:p w14:paraId="5D58CD34">
            <w:pPr>
              <w:spacing w:before="90" w:line="198"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421" w:type="dxa"/>
            <w:vAlign w:val="top"/>
          </w:tcPr>
          <w:p w14:paraId="2D933159">
            <w:pPr>
              <w:spacing w:before="90" w:line="198"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421" w:type="dxa"/>
            <w:vAlign w:val="top"/>
          </w:tcPr>
          <w:p w14:paraId="6B603CB3">
            <w:pPr>
              <w:spacing w:before="91"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.4</w:t>
            </w:r>
          </w:p>
        </w:tc>
        <w:tc>
          <w:tcPr>
            <w:tcW w:w="1422" w:type="dxa"/>
            <w:vAlign w:val="top"/>
          </w:tcPr>
          <w:p w14:paraId="4982DA8C">
            <w:pPr>
              <w:spacing w:before="90" w:line="198"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.8</w:t>
            </w:r>
          </w:p>
        </w:tc>
        <w:tc>
          <w:tcPr>
            <w:tcW w:w="1421" w:type="dxa"/>
            <w:tcBorders>
              <w:right w:val="nil"/>
            </w:tcBorders>
            <w:vAlign w:val="top"/>
          </w:tcPr>
          <w:p w14:paraId="32494B0D">
            <w:pPr>
              <w:spacing w:before="90" w:line="198"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w:t>
            </w:r>
          </w:p>
        </w:tc>
      </w:tr>
      <w:tr w14:paraId="3AA30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16" w:type="dxa"/>
            <w:tcBorders>
              <w:left w:val="nil"/>
            </w:tcBorders>
            <w:vAlign w:val="top"/>
          </w:tcPr>
          <w:p w14:paraId="3F9BB9FA">
            <w:pPr>
              <w:spacing w:before="56" w:line="228" w:lineRule="auto"/>
              <w:ind w:left="612"/>
              <w:rPr>
                <w:rFonts w:ascii="宋体" w:hAnsi="宋体" w:eastAsia="宋体" w:cs="宋体"/>
                <w:sz w:val="20"/>
                <w:szCs w:val="20"/>
              </w:rPr>
            </w:pPr>
            <w:r>
              <w:rPr>
                <w:rFonts w:ascii="宋体" w:hAnsi="宋体" w:eastAsia="宋体" w:cs="宋体"/>
                <w:sz w:val="20"/>
                <w:szCs w:val="20"/>
              </w:rPr>
              <w:t>秋</w:t>
            </w:r>
          </w:p>
        </w:tc>
        <w:tc>
          <w:tcPr>
            <w:tcW w:w="1420" w:type="dxa"/>
            <w:vAlign w:val="top"/>
          </w:tcPr>
          <w:p w14:paraId="69E6C268">
            <w:pPr>
              <w:spacing w:before="91" w:line="198"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.9</w:t>
            </w:r>
          </w:p>
        </w:tc>
        <w:tc>
          <w:tcPr>
            <w:tcW w:w="1421" w:type="dxa"/>
            <w:vAlign w:val="top"/>
          </w:tcPr>
          <w:p w14:paraId="5BE7187A">
            <w:pPr>
              <w:spacing w:before="91" w:line="198"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421" w:type="dxa"/>
            <w:vAlign w:val="top"/>
          </w:tcPr>
          <w:p w14:paraId="63C9E81F">
            <w:pPr>
              <w:spacing w:before="91" w:line="198"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4.5</w:t>
            </w:r>
          </w:p>
        </w:tc>
        <w:tc>
          <w:tcPr>
            <w:tcW w:w="1422" w:type="dxa"/>
            <w:vAlign w:val="top"/>
          </w:tcPr>
          <w:p w14:paraId="1C776195">
            <w:pPr>
              <w:spacing w:before="91" w:line="198"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1421" w:type="dxa"/>
            <w:tcBorders>
              <w:right w:val="nil"/>
            </w:tcBorders>
            <w:vAlign w:val="top"/>
          </w:tcPr>
          <w:p w14:paraId="529C3B10">
            <w:pPr>
              <w:spacing w:before="91" w:line="198"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7</w:t>
            </w:r>
          </w:p>
        </w:tc>
      </w:tr>
    </w:tbl>
    <w:p w14:paraId="4D4707DB">
      <w:pPr>
        <w:spacing w:before="300" w:line="219" w:lineRule="auto"/>
        <w:ind w:left="117"/>
        <w:outlineLvl w:val="3"/>
        <w:rPr>
          <w:rFonts w:ascii="宋体" w:hAnsi="宋体" w:eastAsia="宋体" w:cs="宋体"/>
          <w:sz w:val="28"/>
          <w:szCs w:val="28"/>
        </w:rPr>
      </w:pPr>
      <w:r>
        <w:rPr>
          <w:rFonts w:ascii="Times New Roman" w:hAnsi="Times New Roman" w:eastAsia="Times New Roman" w:cs="Times New Roman"/>
          <w:b/>
          <w:bCs/>
          <w:spacing w:val="10"/>
          <w:sz w:val="28"/>
          <w:szCs w:val="28"/>
        </w:rPr>
        <w:t>5</w:t>
      </w:r>
      <w:r>
        <w:rPr>
          <w:rFonts w:ascii="Times New Roman" w:hAnsi="Times New Roman" w:eastAsia="Times New Roman" w:cs="Times New Roman"/>
          <w:b/>
          <w:bCs/>
          <w:spacing w:val="8"/>
          <w:sz w:val="28"/>
          <w:szCs w:val="28"/>
        </w:rPr>
        <w:t>.2.1.2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大气评价等级判定</w:t>
      </w:r>
    </w:p>
    <w:p w14:paraId="55E3F0D9">
      <w:pPr>
        <w:spacing w:line="263" w:lineRule="auto"/>
        <w:rPr>
          <w:rFonts w:ascii="Arial"/>
          <w:sz w:val="21"/>
        </w:rPr>
      </w:pPr>
    </w:p>
    <w:p w14:paraId="35CD7570">
      <w:pPr>
        <w:spacing w:before="76" w:line="225" w:lineRule="auto"/>
        <w:ind w:left="596"/>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预测因子</w:t>
      </w:r>
    </w:p>
    <w:p w14:paraId="755E5F82">
      <w:pPr>
        <w:spacing w:line="278" w:lineRule="auto"/>
        <w:rPr>
          <w:rFonts w:ascii="Arial"/>
          <w:sz w:val="21"/>
        </w:rPr>
      </w:pPr>
    </w:p>
    <w:p w14:paraId="2915AD8E">
      <w:pPr>
        <w:spacing w:before="74" w:line="407" w:lineRule="auto"/>
        <w:ind w:left="105" w:right="105" w:firstLine="492"/>
        <w:rPr>
          <w:rFonts w:ascii="宋体" w:hAnsi="宋体" w:eastAsia="宋体" w:cs="宋体"/>
          <w:sz w:val="23"/>
          <w:szCs w:val="23"/>
        </w:rPr>
      </w:pPr>
      <w:r>
        <w:rPr>
          <w:rFonts w:ascii="宋体" w:hAnsi="宋体" w:eastAsia="宋体" w:cs="宋体"/>
          <w:spacing w:val="19"/>
          <w:sz w:val="23"/>
          <w:szCs w:val="23"/>
        </w:rPr>
        <w:t>根</w:t>
      </w:r>
      <w:r>
        <w:rPr>
          <w:rFonts w:ascii="宋体" w:hAnsi="宋体" w:eastAsia="宋体" w:cs="宋体"/>
          <w:spacing w:val="18"/>
          <w:sz w:val="23"/>
          <w:szCs w:val="23"/>
        </w:rPr>
        <w:t xml:space="preserve">据工程分析，该项目面源预测因子为 </w:t>
      </w:r>
      <w:r>
        <w:rPr>
          <w:rFonts w:ascii="Times New Roman" w:hAnsi="Times New Roman" w:eastAsia="Times New Roman" w:cs="Times New Roman"/>
          <w:sz w:val="23"/>
          <w:szCs w:val="23"/>
        </w:rPr>
        <w:t>TSP</w:t>
      </w:r>
      <w:r>
        <w:rPr>
          <w:rFonts w:ascii="Times New Roman" w:hAnsi="Times New Roman" w:eastAsia="Times New Roman" w:cs="Times New Roman"/>
          <w:spacing w:val="18"/>
          <w:sz w:val="23"/>
          <w:szCs w:val="23"/>
        </w:rPr>
        <w:t xml:space="preserve"> </w:t>
      </w:r>
      <w:r>
        <w:rPr>
          <w:rFonts w:ascii="宋体" w:hAnsi="宋体" w:eastAsia="宋体" w:cs="宋体"/>
          <w:spacing w:val="18"/>
          <w:sz w:val="23"/>
          <w:szCs w:val="23"/>
        </w:rPr>
        <w:t>、</w:t>
      </w:r>
      <w:r>
        <w:rPr>
          <w:rFonts w:ascii="Times New Roman" w:hAnsi="Times New Roman" w:eastAsia="Times New Roman" w:cs="Times New Roman"/>
          <w:sz w:val="23"/>
          <w:szCs w:val="23"/>
        </w:rPr>
        <w:t>NMHC</w:t>
      </w:r>
      <w:r>
        <w:rPr>
          <w:rFonts w:ascii="Times New Roman" w:hAnsi="Times New Roman" w:eastAsia="Times New Roman" w:cs="Times New Roman"/>
          <w:spacing w:val="18"/>
          <w:sz w:val="23"/>
          <w:szCs w:val="23"/>
        </w:rPr>
        <w:t xml:space="preserve"> </w:t>
      </w:r>
      <w:r>
        <w:rPr>
          <w:rFonts w:ascii="宋体" w:hAnsi="宋体" w:eastAsia="宋体" w:cs="宋体"/>
          <w:spacing w:val="18"/>
          <w:sz w:val="23"/>
          <w:szCs w:val="23"/>
        </w:rPr>
        <w:t>，点源预测因子为</w:t>
      </w:r>
      <w:r>
        <w:rPr>
          <w:rFonts w:ascii="宋体" w:hAnsi="宋体" w:eastAsia="宋体" w:cs="宋体"/>
          <w:sz w:val="23"/>
          <w:szCs w:val="23"/>
        </w:rPr>
        <w:t xml:space="preserve"> </w:t>
      </w:r>
      <w:r>
        <w:rPr>
          <w:rFonts w:ascii="Times New Roman" w:hAnsi="Times New Roman" w:eastAsia="Times New Roman" w:cs="Times New Roman"/>
          <w:sz w:val="23"/>
          <w:szCs w:val="23"/>
        </w:rPr>
        <w:t>NMHC</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6"/>
          <w:position w:val="-1"/>
          <w:sz w:val="15"/>
          <w:szCs w:val="15"/>
        </w:rPr>
        <w:t xml:space="preserve">10 </w:t>
      </w:r>
      <w:r>
        <w:rPr>
          <w:rFonts w:ascii="宋体" w:hAnsi="宋体" w:eastAsia="宋体" w:cs="宋体"/>
          <w:spacing w:val="6"/>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6"/>
          <w:position w:val="-1"/>
          <w:sz w:val="15"/>
          <w:szCs w:val="15"/>
        </w:rPr>
        <w:t xml:space="preserve">2 </w:t>
      </w:r>
      <w:r>
        <w:rPr>
          <w:rFonts w:ascii="宋体" w:hAnsi="宋体" w:eastAsia="宋体" w:cs="宋体"/>
          <w:spacing w:val="6"/>
          <w:sz w:val="23"/>
          <w:szCs w:val="23"/>
        </w:rPr>
        <w:t>、</w:t>
      </w:r>
      <w:r>
        <w:rPr>
          <w:rFonts w:ascii="Times New Roman" w:hAnsi="Times New Roman" w:eastAsia="Times New Roman" w:cs="Times New Roman"/>
          <w:sz w:val="23"/>
          <w:szCs w:val="23"/>
        </w:rPr>
        <w:t>NOx</w:t>
      </w:r>
      <w:r>
        <w:rPr>
          <w:rFonts w:ascii="宋体" w:hAnsi="宋体" w:eastAsia="宋体" w:cs="宋体"/>
          <w:spacing w:val="5"/>
          <w:sz w:val="23"/>
          <w:szCs w:val="23"/>
        </w:rPr>
        <w:t>。</w:t>
      </w:r>
    </w:p>
    <w:p w14:paraId="1DAEA20F">
      <w:pPr>
        <w:spacing w:before="104" w:line="225" w:lineRule="auto"/>
        <w:ind w:left="595"/>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预测内容</w:t>
      </w:r>
    </w:p>
    <w:p w14:paraId="4927DE95">
      <w:pPr>
        <w:spacing w:line="277" w:lineRule="auto"/>
        <w:rPr>
          <w:rFonts w:ascii="Arial"/>
          <w:sz w:val="21"/>
        </w:rPr>
      </w:pPr>
    </w:p>
    <w:p w14:paraId="3771F302">
      <w:pPr>
        <w:spacing w:before="75" w:line="391" w:lineRule="auto"/>
        <w:ind w:left="115" w:right="105" w:firstLine="481"/>
        <w:rPr>
          <w:rFonts w:ascii="宋体" w:hAnsi="宋体" w:eastAsia="宋体" w:cs="宋体"/>
          <w:sz w:val="23"/>
          <w:szCs w:val="23"/>
        </w:rPr>
      </w:pPr>
      <w:r>
        <w:rPr>
          <w:rFonts w:ascii="宋体" w:hAnsi="宋体" w:eastAsia="宋体" w:cs="宋体"/>
          <w:spacing w:val="14"/>
          <w:sz w:val="23"/>
          <w:szCs w:val="23"/>
        </w:rPr>
        <w:t>根据《</w:t>
      </w:r>
      <w:r>
        <w:rPr>
          <w:rFonts w:ascii="宋体" w:hAnsi="宋体" w:eastAsia="宋体" w:cs="宋体"/>
          <w:spacing w:val="12"/>
          <w:sz w:val="23"/>
          <w:szCs w:val="23"/>
        </w:rPr>
        <w:t>环</w:t>
      </w:r>
      <w:r>
        <w:rPr>
          <w:rFonts w:ascii="宋体" w:hAnsi="宋体" w:eastAsia="宋体" w:cs="宋体"/>
          <w:spacing w:val="7"/>
          <w:sz w:val="23"/>
          <w:szCs w:val="23"/>
        </w:rPr>
        <w:t>境影响评价技术导则 大气环境》  (</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2.2-2018</w:t>
      </w:r>
      <w:r>
        <w:rPr>
          <w:rFonts w:ascii="宋体" w:hAnsi="宋体" w:eastAsia="宋体" w:cs="宋体"/>
          <w:spacing w:val="7"/>
          <w:sz w:val="23"/>
          <w:szCs w:val="23"/>
        </w:rPr>
        <w:t>) 要求，本次大气</w:t>
      </w:r>
      <w:r>
        <w:rPr>
          <w:rFonts w:ascii="宋体" w:hAnsi="宋体" w:eastAsia="宋体" w:cs="宋体"/>
          <w:sz w:val="23"/>
          <w:szCs w:val="23"/>
        </w:rPr>
        <w:t xml:space="preserve"> </w:t>
      </w:r>
      <w:r>
        <w:rPr>
          <w:rFonts w:ascii="宋体" w:hAnsi="宋体" w:eastAsia="宋体" w:cs="宋体"/>
          <w:spacing w:val="6"/>
          <w:sz w:val="23"/>
          <w:szCs w:val="23"/>
        </w:rPr>
        <w:t xml:space="preserve">环境影响评价采用估算模式 </w:t>
      </w:r>
      <w:r>
        <w:rPr>
          <w:rFonts w:ascii="Times New Roman" w:hAnsi="Times New Roman" w:eastAsia="Times New Roman" w:cs="Times New Roman"/>
          <w:sz w:val="23"/>
          <w:szCs w:val="23"/>
        </w:rPr>
        <w:t>AERSCREEN</w:t>
      </w:r>
      <w:r>
        <w:rPr>
          <w:rFonts w:ascii="宋体" w:hAnsi="宋体" w:eastAsia="宋体" w:cs="宋体"/>
          <w:spacing w:val="6"/>
          <w:sz w:val="23"/>
          <w:szCs w:val="23"/>
        </w:rPr>
        <w:t>，对项目产生的废气对大气环境的影</w:t>
      </w:r>
      <w:r>
        <w:rPr>
          <w:rFonts w:ascii="宋体" w:hAnsi="宋体" w:eastAsia="宋体" w:cs="宋体"/>
          <w:sz w:val="23"/>
          <w:szCs w:val="23"/>
        </w:rPr>
        <w:t xml:space="preserve">响 </w:t>
      </w:r>
      <w:r>
        <w:rPr>
          <w:rFonts w:ascii="宋体" w:hAnsi="宋体" w:eastAsia="宋体" w:cs="宋体"/>
          <w:spacing w:val="8"/>
          <w:sz w:val="23"/>
          <w:szCs w:val="23"/>
        </w:rPr>
        <w:t>进</w:t>
      </w:r>
      <w:r>
        <w:rPr>
          <w:rFonts w:ascii="宋体" w:hAnsi="宋体" w:eastAsia="宋体" w:cs="宋体"/>
          <w:spacing w:val="6"/>
          <w:sz w:val="23"/>
          <w:szCs w:val="23"/>
        </w:rPr>
        <w:t>行预测。</w:t>
      </w:r>
    </w:p>
    <w:p w14:paraId="263ED927">
      <w:pPr>
        <w:spacing w:before="136" w:line="225" w:lineRule="auto"/>
        <w:ind w:left="595"/>
        <w:rPr>
          <w:rFonts w:ascii="宋体" w:hAnsi="宋体" w:eastAsia="宋体" w:cs="宋体"/>
          <w:sz w:val="23"/>
          <w:szCs w:val="23"/>
        </w:rPr>
      </w:pPr>
      <w:r>
        <w:rPr>
          <w:rFonts w:ascii="宋体" w:hAnsi="宋体" w:eastAsia="宋体" w:cs="宋体"/>
          <w:spacing w:val="10"/>
          <w:sz w:val="23"/>
          <w:szCs w:val="23"/>
        </w:rPr>
        <w:t>③</w:t>
      </w:r>
      <w:r>
        <w:rPr>
          <w:rFonts w:ascii="宋体" w:hAnsi="宋体" w:eastAsia="宋体" w:cs="宋体"/>
          <w:spacing w:val="8"/>
          <w:sz w:val="23"/>
          <w:szCs w:val="23"/>
        </w:rPr>
        <w:t>预测参数</w:t>
      </w:r>
    </w:p>
    <w:p w14:paraId="1F6BF52F">
      <w:pPr>
        <w:spacing w:line="279" w:lineRule="auto"/>
        <w:rPr>
          <w:rFonts w:ascii="Arial"/>
          <w:sz w:val="21"/>
        </w:rPr>
      </w:pPr>
    </w:p>
    <w:p w14:paraId="05520E8E">
      <w:pPr>
        <w:spacing w:before="75" w:line="227" w:lineRule="auto"/>
        <w:ind w:left="597"/>
        <w:rPr>
          <w:rFonts w:ascii="宋体" w:hAnsi="宋体" w:eastAsia="宋体" w:cs="宋体"/>
          <w:sz w:val="23"/>
          <w:szCs w:val="23"/>
        </w:rPr>
      </w:pPr>
      <w:r>
        <w:rPr>
          <w:rFonts w:ascii="宋体" w:hAnsi="宋体" w:eastAsia="宋体" w:cs="宋体"/>
          <w:spacing w:val="3"/>
          <w:sz w:val="23"/>
          <w:szCs w:val="23"/>
        </w:rPr>
        <w:t xml:space="preserve">根据工程分析，污染源排放参数见表 </w:t>
      </w:r>
      <w:r>
        <w:rPr>
          <w:rFonts w:ascii="Times New Roman" w:hAnsi="Times New Roman" w:eastAsia="Times New Roman" w:cs="Times New Roman"/>
          <w:spacing w:val="3"/>
          <w:sz w:val="23"/>
          <w:szCs w:val="23"/>
        </w:rPr>
        <w:t>5-6~</w:t>
      </w:r>
      <w:r>
        <w:rPr>
          <w:rFonts w:ascii="宋体" w:hAnsi="宋体" w:eastAsia="宋体" w:cs="宋体"/>
          <w:spacing w:val="3"/>
          <w:sz w:val="23"/>
          <w:szCs w:val="23"/>
        </w:rPr>
        <w:t xml:space="preserve">表 </w:t>
      </w:r>
      <w:r>
        <w:rPr>
          <w:rFonts w:ascii="Times New Roman" w:hAnsi="Times New Roman" w:eastAsia="Times New Roman" w:cs="Times New Roman"/>
          <w:spacing w:val="3"/>
          <w:sz w:val="23"/>
          <w:szCs w:val="23"/>
        </w:rPr>
        <w:t>5-7</w:t>
      </w:r>
      <w:r>
        <w:rPr>
          <w:rFonts w:ascii="宋体" w:hAnsi="宋体" w:eastAsia="宋体" w:cs="宋体"/>
          <w:spacing w:val="3"/>
          <w:sz w:val="23"/>
          <w:szCs w:val="23"/>
        </w:rPr>
        <w:t>。</w:t>
      </w:r>
    </w:p>
    <w:p w14:paraId="2C133414">
      <w:pPr>
        <w:spacing w:line="276" w:lineRule="auto"/>
        <w:rPr>
          <w:rFonts w:ascii="Arial"/>
          <w:sz w:val="21"/>
        </w:rPr>
      </w:pPr>
    </w:p>
    <w:p w14:paraId="60ECB9DE">
      <w:pPr>
        <w:spacing w:before="76" w:line="227" w:lineRule="auto"/>
        <w:ind w:left="311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5-6</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点源参数表</w:t>
      </w:r>
    </w:p>
    <w:p w14:paraId="7D60D396">
      <w:pPr>
        <w:spacing w:line="18" w:lineRule="exact"/>
      </w:pPr>
    </w:p>
    <w:tbl>
      <w:tblPr>
        <w:tblStyle w:val="4"/>
        <w:tblW w:w="83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
        <w:gridCol w:w="622"/>
        <w:gridCol w:w="465"/>
        <w:gridCol w:w="697"/>
        <w:gridCol w:w="698"/>
        <w:gridCol w:w="495"/>
        <w:gridCol w:w="465"/>
        <w:gridCol w:w="465"/>
        <w:gridCol w:w="519"/>
        <w:gridCol w:w="562"/>
        <w:gridCol w:w="509"/>
        <w:gridCol w:w="508"/>
        <w:gridCol w:w="710"/>
        <w:gridCol w:w="397"/>
        <w:gridCol w:w="431"/>
        <w:gridCol w:w="518"/>
      </w:tblGrid>
      <w:tr w14:paraId="1FA18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244" w:type="dxa"/>
            <w:vMerge w:val="restart"/>
            <w:tcBorders>
              <w:left w:val="nil"/>
              <w:bottom w:val="nil"/>
            </w:tcBorders>
            <w:textDirection w:val="tbRlV"/>
            <w:vAlign w:val="top"/>
          </w:tcPr>
          <w:p w14:paraId="71AA055C">
            <w:pPr>
              <w:spacing w:before="1" w:line="214" w:lineRule="auto"/>
              <w:ind w:left="38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编</w:t>
            </w:r>
            <w:r>
              <w:rPr>
                <w:rFonts w:ascii="宋体" w:hAnsi="宋体" w:eastAsia="宋体" w:cs="宋体"/>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号</w:t>
            </w:r>
          </w:p>
        </w:tc>
        <w:tc>
          <w:tcPr>
            <w:tcW w:w="622" w:type="dxa"/>
            <w:vMerge w:val="restart"/>
            <w:tcBorders>
              <w:left w:val="nil"/>
              <w:bottom w:val="nil"/>
            </w:tcBorders>
            <w:vAlign w:val="top"/>
          </w:tcPr>
          <w:p w14:paraId="05F10EB1">
            <w:pPr>
              <w:spacing w:line="449" w:lineRule="auto"/>
              <w:rPr>
                <w:rFonts w:ascii="Arial"/>
                <w:sz w:val="21"/>
              </w:rPr>
            </w:pPr>
          </w:p>
          <w:p w14:paraId="327E7444">
            <w:pPr>
              <w:spacing w:before="65" w:line="230" w:lineRule="auto"/>
              <w:ind w:left="12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465" w:type="dxa"/>
            <w:vMerge w:val="restart"/>
            <w:tcBorders>
              <w:bottom w:val="nil"/>
            </w:tcBorders>
            <w:vAlign w:val="top"/>
          </w:tcPr>
          <w:p w14:paraId="03FE704C">
            <w:pPr>
              <w:spacing w:line="249" w:lineRule="auto"/>
              <w:rPr>
                <w:rFonts w:ascii="Arial"/>
                <w:sz w:val="21"/>
              </w:rPr>
            </w:pPr>
          </w:p>
          <w:p w14:paraId="4C00D779">
            <w:pPr>
              <w:spacing w:before="65" w:line="229" w:lineRule="auto"/>
              <w:ind w:left="2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排放</w:t>
            </w:r>
          </w:p>
          <w:p w14:paraId="1AE0BEE1">
            <w:pPr>
              <w:spacing w:before="13" w:line="228" w:lineRule="auto"/>
              <w:ind w:left="5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口编</w:t>
            </w:r>
          </w:p>
          <w:p w14:paraId="46A6F40F">
            <w:pPr>
              <w:spacing w:before="12" w:line="229" w:lineRule="auto"/>
              <w:ind w:left="138"/>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号</w:t>
            </w:r>
          </w:p>
        </w:tc>
        <w:tc>
          <w:tcPr>
            <w:tcW w:w="1395" w:type="dxa"/>
            <w:gridSpan w:val="2"/>
            <w:vAlign w:val="top"/>
          </w:tcPr>
          <w:p w14:paraId="50D336F6">
            <w:pPr>
              <w:spacing w:before="284" w:line="258" w:lineRule="auto"/>
              <w:ind w:left="187" w:right="156" w:hanging="10"/>
              <w:rPr>
                <w:rFonts w:ascii="Times New Roman" w:hAnsi="Times New Roman" w:eastAsia="Times New Roman" w:cs="Times New Roman"/>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排</w:t>
            </w:r>
            <w:r>
              <w:rPr>
                <w:rFonts w:ascii="宋体" w:hAnsi="宋体" w:eastAsia="宋体" w:cs="宋体"/>
                <w:spacing w:val="8"/>
                <w:sz w:val="20"/>
                <w:szCs w:val="20"/>
                <w14:textOutline w14:w="3795" w14:cap="sq" w14:cmpd="sng">
                  <w14:solidFill>
                    <w14:srgbClr w14:val="000000"/>
                  </w14:solidFill>
                  <w14:prstDash w14:val="solid"/>
                  <w14:bevel/>
                </w14:textOutline>
              </w:rPr>
              <w:t>气筒底部</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中心坐标</w:t>
            </w:r>
            <w:r>
              <w:rPr>
                <w:rFonts w:ascii="Times New Roman" w:hAnsi="Times New Roman" w:eastAsia="Times New Roman" w:cs="Times New Roman"/>
                <w:b/>
                <w:bCs/>
                <w:spacing w:val="4"/>
                <w:sz w:val="20"/>
                <w:szCs w:val="20"/>
              </w:rPr>
              <w:t>/</w:t>
            </w:r>
            <w:r>
              <w:rPr>
                <w:rFonts w:ascii="Times New Roman" w:hAnsi="Times New Roman" w:eastAsia="Times New Roman" w:cs="Times New Roman"/>
                <w:b/>
                <w:bCs/>
                <w:sz w:val="20"/>
                <w:szCs w:val="20"/>
              </w:rPr>
              <w:t>m</w:t>
            </w:r>
          </w:p>
        </w:tc>
        <w:tc>
          <w:tcPr>
            <w:tcW w:w="495" w:type="dxa"/>
            <w:vMerge w:val="restart"/>
            <w:tcBorders>
              <w:bottom w:val="nil"/>
            </w:tcBorders>
            <w:vAlign w:val="top"/>
          </w:tcPr>
          <w:p w14:paraId="04493C5D">
            <w:pPr>
              <w:spacing w:before="55" w:line="236" w:lineRule="auto"/>
              <w:ind w:left="53" w:right="32" w:firstLine="10"/>
              <w:rPr>
                <w:rFonts w:ascii="Times New Roman" w:hAnsi="Times New Roman" w:eastAsia="Times New Roman" w:cs="Times New Roman"/>
                <w:sz w:val="20"/>
                <w:szCs w:val="20"/>
              </w:rPr>
            </w:pPr>
            <w:r>
              <w:rPr>
                <w:rFonts w:ascii="宋体" w:hAnsi="宋体" w:eastAsia="宋体" w:cs="宋体"/>
                <w:spacing w:val="-6"/>
                <w:sz w:val="20"/>
                <w:szCs w:val="20"/>
                <w14:textOutline w14:w="3767" w14:cap="sq" w14:cmpd="sng">
                  <w14:solidFill>
                    <w14:srgbClr w14:val="000000"/>
                  </w14:solidFill>
                  <w14:prstDash w14:val="solid"/>
                  <w14:bevel/>
                </w14:textOutline>
              </w:rPr>
              <w:t>排</w:t>
            </w:r>
            <w:r>
              <w:rPr>
                <w:rFonts w:ascii="宋体" w:hAnsi="宋体" w:eastAsia="宋体" w:cs="宋体"/>
                <w:spacing w:val="-4"/>
                <w:sz w:val="20"/>
                <w:szCs w:val="20"/>
                <w14:textOutline w14:w="3767" w14:cap="sq" w14:cmpd="sng">
                  <w14:solidFill>
                    <w14:srgbClr w14:val="000000"/>
                  </w14:solidFill>
                  <w14:prstDash w14:val="solid"/>
                  <w14:bevel/>
                </w14:textOutline>
              </w:rPr>
              <w:t>气</w:t>
            </w:r>
            <w:r>
              <w:rPr>
                <w:rFonts w:ascii="宋体" w:hAnsi="宋体" w:eastAsia="宋体" w:cs="宋体"/>
                <w:sz w:val="20"/>
                <w:szCs w:val="20"/>
              </w:rPr>
              <w:t xml:space="preserve"> </w:t>
            </w:r>
            <w:r>
              <w:rPr>
                <w:rFonts w:ascii="宋体" w:hAnsi="宋体" w:eastAsia="宋体" w:cs="宋体"/>
                <w:sz w:val="20"/>
                <w:szCs w:val="20"/>
                <w14:textOutline w14:w="3767" w14:cap="sq" w14:cmpd="sng">
                  <w14:solidFill>
                    <w14:srgbClr w14:val="000000"/>
                  </w14:solidFill>
                  <w14:prstDash w14:val="solid"/>
                  <w14:bevel/>
                </w14:textOutline>
              </w:rPr>
              <w:t>筒底</w:t>
            </w:r>
            <w:r>
              <w:rPr>
                <w:rFonts w:ascii="宋体" w:hAnsi="宋体" w:eastAsia="宋体" w:cs="宋体"/>
                <w:sz w:val="20"/>
                <w:szCs w:val="20"/>
              </w:rPr>
              <w:t xml:space="preserve"> </w:t>
            </w:r>
            <w:r>
              <w:rPr>
                <w:rFonts w:ascii="宋体" w:hAnsi="宋体" w:eastAsia="宋体" w:cs="宋体"/>
                <w:sz w:val="20"/>
                <w:szCs w:val="20"/>
                <w14:textOutline w14:w="3767" w14:cap="sq" w14:cmpd="sng">
                  <w14:solidFill>
                    <w14:srgbClr w14:val="000000"/>
                  </w14:solidFill>
                  <w14:prstDash w14:val="solid"/>
                  <w14:bevel/>
                </w14:textOutline>
              </w:rPr>
              <w:t>部海</w:t>
            </w:r>
            <w:r>
              <w:rPr>
                <w:rFonts w:ascii="宋体" w:hAnsi="宋体" w:eastAsia="宋体" w:cs="宋体"/>
                <w:sz w:val="20"/>
                <w:szCs w:val="20"/>
              </w:rPr>
              <w:t xml:space="preserve"> </w:t>
            </w:r>
            <w:r>
              <w:rPr>
                <w:rFonts w:ascii="宋体" w:hAnsi="宋体" w:eastAsia="宋体" w:cs="宋体"/>
                <w:sz w:val="20"/>
                <w:szCs w:val="20"/>
                <w14:textOutline w14:w="3767" w14:cap="sq" w14:cmpd="sng">
                  <w14:solidFill>
                    <w14:srgbClr w14:val="000000"/>
                  </w14:solidFill>
                  <w14:prstDash w14:val="solid"/>
                  <w14:bevel/>
                </w14:textOutline>
              </w:rPr>
              <w:t>拔高</w:t>
            </w:r>
            <w:r>
              <w:rPr>
                <w:rFonts w:ascii="宋体" w:hAnsi="宋体" w:eastAsia="宋体" w:cs="宋体"/>
                <w:sz w:val="20"/>
                <w:szCs w:val="20"/>
              </w:rPr>
              <w:t xml:space="preserve"> </w:t>
            </w:r>
            <w:r>
              <w:rPr>
                <w:rFonts w:ascii="宋体" w:hAnsi="宋体" w:eastAsia="宋体" w:cs="宋体"/>
                <w:spacing w:val="-6"/>
                <w:sz w:val="20"/>
                <w:szCs w:val="20"/>
                <w14:textOutline w14:w="3767" w14:cap="sq" w14:cmpd="sng">
                  <w14:solidFill>
                    <w14:srgbClr w14:val="000000"/>
                  </w14:solidFill>
                  <w14:prstDash w14:val="solid"/>
                  <w14:bevel/>
                </w14:textOutline>
              </w:rPr>
              <w:t>度</w:t>
            </w:r>
            <w:r>
              <w:rPr>
                <w:rFonts w:ascii="Times New Roman" w:hAnsi="Times New Roman" w:eastAsia="Times New Roman" w:cs="Times New Roman"/>
                <w:b/>
                <w:bCs/>
                <w:spacing w:val="-6"/>
                <w:sz w:val="20"/>
                <w:szCs w:val="20"/>
              </w:rPr>
              <w:t>/m</w:t>
            </w:r>
          </w:p>
        </w:tc>
        <w:tc>
          <w:tcPr>
            <w:tcW w:w="465" w:type="dxa"/>
            <w:vMerge w:val="restart"/>
            <w:tcBorders>
              <w:bottom w:val="nil"/>
            </w:tcBorders>
            <w:vAlign w:val="top"/>
          </w:tcPr>
          <w:p w14:paraId="2DC2FEEA">
            <w:pPr>
              <w:spacing w:line="249" w:lineRule="auto"/>
              <w:rPr>
                <w:rFonts w:ascii="Arial"/>
                <w:sz w:val="21"/>
              </w:rPr>
            </w:pPr>
          </w:p>
          <w:p w14:paraId="14502E11">
            <w:pPr>
              <w:spacing w:before="65" w:line="257" w:lineRule="auto"/>
              <w:ind w:left="28" w:right="12" w:firstLine="10"/>
              <w:rPr>
                <w:rFonts w:ascii="Times New Roman" w:hAnsi="Times New Roman" w:eastAsia="Times New Roman" w:cs="Times New Roman"/>
                <w:sz w:val="20"/>
                <w:szCs w:val="20"/>
              </w:rPr>
            </w:pPr>
            <w:r>
              <w:rPr>
                <w:rFonts w:ascii="宋体" w:hAnsi="宋体" w:eastAsia="宋体" w:cs="宋体"/>
                <w:sz w:val="20"/>
                <w:szCs w:val="20"/>
                <w14:textOutline w14:w="3795" w14:cap="sq" w14:cmpd="sng">
                  <w14:solidFill>
                    <w14:srgbClr w14:val="000000"/>
                  </w14:solidFill>
                  <w14:prstDash w14:val="solid"/>
                  <w14:bevel/>
                </w14:textOutline>
              </w:rPr>
              <w:t>排气</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筒高</w:t>
            </w:r>
            <w:r>
              <w:rPr>
                <w:rFonts w:ascii="宋体" w:hAnsi="宋体" w:eastAsia="宋体" w:cs="宋体"/>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度</w:t>
            </w:r>
            <w:r>
              <w:rPr>
                <w:rFonts w:ascii="Times New Roman" w:hAnsi="Times New Roman" w:eastAsia="Times New Roman" w:cs="Times New Roman"/>
                <w:b/>
                <w:bCs/>
                <w:spacing w:val="-1"/>
                <w:sz w:val="20"/>
                <w:szCs w:val="20"/>
              </w:rPr>
              <w:t>/m</w:t>
            </w:r>
          </w:p>
        </w:tc>
        <w:tc>
          <w:tcPr>
            <w:tcW w:w="465" w:type="dxa"/>
            <w:vMerge w:val="restart"/>
            <w:tcBorders>
              <w:bottom w:val="nil"/>
            </w:tcBorders>
            <w:vAlign w:val="top"/>
          </w:tcPr>
          <w:p w14:paraId="1688BEFD">
            <w:pPr>
              <w:spacing w:before="184" w:line="254" w:lineRule="auto"/>
              <w:ind w:left="15" w:right="9" w:firstLine="12"/>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排气</w:t>
            </w:r>
            <w:r>
              <w:rPr>
                <w:rFonts w:ascii="宋体" w:hAnsi="宋体" w:eastAsia="宋体" w:cs="宋体"/>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筒出</w:t>
            </w:r>
            <w:r>
              <w:rPr>
                <w:rFonts w:ascii="宋体" w:hAnsi="宋体" w:eastAsia="宋体" w:cs="宋体"/>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口内</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径</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w:t>
            </w:r>
          </w:p>
        </w:tc>
        <w:tc>
          <w:tcPr>
            <w:tcW w:w="519" w:type="dxa"/>
            <w:vMerge w:val="restart"/>
            <w:tcBorders>
              <w:bottom w:val="nil"/>
            </w:tcBorders>
            <w:vAlign w:val="top"/>
          </w:tcPr>
          <w:p w14:paraId="54CAA7FE">
            <w:pPr>
              <w:spacing w:line="249" w:lineRule="auto"/>
              <w:rPr>
                <w:rFonts w:ascii="Arial"/>
                <w:sz w:val="21"/>
              </w:rPr>
            </w:pPr>
          </w:p>
          <w:p w14:paraId="70C7826B">
            <w:pPr>
              <w:spacing w:before="65" w:line="256" w:lineRule="auto"/>
              <w:ind w:left="40" w:right="28" w:firstLine="15"/>
              <w:rPr>
                <w:rFonts w:ascii="Times New Roman" w:hAnsi="Times New Roman" w:eastAsia="Times New Roman" w:cs="Times New Roman"/>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烟</w:t>
            </w:r>
            <w:r>
              <w:rPr>
                <w:rFonts w:ascii="宋体" w:hAnsi="宋体" w:eastAsia="宋体" w:cs="宋体"/>
                <w:spacing w:val="5"/>
                <w:sz w:val="20"/>
                <w:szCs w:val="20"/>
                <w14:textOutline w14:w="3795" w14:cap="sq" w14:cmpd="sng">
                  <w14:solidFill>
                    <w14:srgbClr w14:val="000000"/>
                  </w14:solidFill>
                  <w14:prstDash w14:val="solid"/>
                  <w14:bevel/>
                </w14:textOutline>
              </w:rPr>
              <w:t>气</w:t>
            </w:r>
            <w:r>
              <w:rPr>
                <w:rFonts w:ascii="宋体" w:hAnsi="宋体" w:eastAsia="宋体" w:cs="宋体"/>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流速</w:t>
            </w:r>
            <w:r>
              <w:rPr>
                <w:rFonts w:ascii="宋体" w:hAnsi="宋体" w:eastAsia="宋体" w:cs="宋体"/>
                <w:sz w:val="20"/>
                <w:szCs w:val="20"/>
              </w:rPr>
              <w:t xml:space="preserve"> </w:t>
            </w:r>
            <w:r>
              <w:rPr>
                <w:rFonts w:ascii="Times New Roman" w:hAnsi="Times New Roman" w:eastAsia="Times New Roman" w:cs="Times New Roman"/>
                <w:b/>
                <w:bCs/>
                <w:spacing w:val="4"/>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4"/>
                <w:sz w:val="20"/>
                <w:szCs w:val="20"/>
              </w:rPr>
              <w:t>/</w:t>
            </w:r>
            <w:r>
              <w:rPr>
                <w:rFonts w:ascii="Times New Roman" w:hAnsi="Times New Roman" w:eastAsia="Times New Roman" w:cs="Times New Roman"/>
                <w:b/>
                <w:bCs/>
                <w:sz w:val="20"/>
                <w:szCs w:val="20"/>
              </w:rPr>
              <w:t>s</w:t>
            </w:r>
            <w:r>
              <w:rPr>
                <w:rFonts w:ascii="Times New Roman" w:hAnsi="Times New Roman" w:eastAsia="Times New Roman" w:cs="Times New Roman"/>
                <w:b/>
                <w:bCs/>
                <w:spacing w:val="4"/>
                <w:sz w:val="20"/>
                <w:szCs w:val="20"/>
              </w:rPr>
              <w:t>)</w:t>
            </w:r>
          </w:p>
        </w:tc>
        <w:tc>
          <w:tcPr>
            <w:tcW w:w="562" w:type="dxa"/>
            <w:vMerge w:val="restart"/>
            <w:tcBorders>
              <w:bottom w:val="nil"/>
            </w:tcBorders>
            <w:vAlign w:val="top"/>
          </w:tcPr>
          <w:p w14:paraId="5BE40B7F">
            <w:pPr>
              <w:spacing w:line="249" w:lineRule="auto"/>
              <w:rPr>
                <w:rFonts w:ascii="Arial"/>
                <w:sz w:val="21"/>
              </w:rPr>
            </w:pPr>
          </w:p>
          <w:p w14:paraId="556C19D7">
            <w:pPr>
              <w:spacing w:before="65" w:line="229" w:lineRule="auto"/>
              <w:ind w:left="7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烟</w:t>
            </w:r>
            <w:r>
              <w:rPr>
                <w:rFonts w:ascii="宋体" w:hAnsi="宋体" w:eastAsia="宋体" w:cs="宋体"/>
                <w:spacing w:val="5"/>
                <w:sz w:val="20"/>
                <w:szCs w:val="20"/>
                <w14:textOutline w14:w="3795" w14:cap="sq" w14:cmpd="sng">
                  <w14:solidFill>
                    <w14:srgbClr w14:val="000000"/>
                  </w14:solidFill>
                  <w14:prstDash w14:val="solid"/>
                  <w14:bevel/>
                </w14:textOutline>
              </w:rPr>
              <w:t>气</w:t>
            </w:r>
          </w:p>
          <w:p w14:paraId="3432EC7A">
            <w:pPr>
              <w:spacing w:before="13" w:line="201" w:lineRule="auto"/>
              <w:ind w:left="7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温度</w:t>
            </w:r>
          </w:p>
          <w:p w14:paraId="07EDE2DD">
            <w:pPr>
              <w:spacing w:line="288" w:lineRule="exact"/>
              <w:ind w:left="134"/>
              <w:rPr>
                <w:rFonts w:ascii="Times New Roman" w:hAnsi="Times New Roman" w:eastAsia="Times New Roman" w:cs="Times New Roman"/>
                <w:sz w:val="20"/>
                <w:szCs w:val="20"/>
              </w:rPr>
            </w:pP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spacing w:val="5"/>
                <w:position w:val="2"/>
                <w:sz w:val="20"/>
                <w:szCs w:val="20"/>
              </w:rPr>
              <w:t>℃</w:t>
            </w:r>
          </w:p>
        </w:tc>
        <w:tc>
          <w:tcPr>
            <w:tcW w:w="509" w:type="dxa"/>
            <w:vMerge w:val="restart"/>
            <w:tcBorders>
              <w:bottom w:val="nil"/>
            </w:tcBorders>
            <w:vAlign w:val="top"/>
          </w:tcPr>
          <w:p w14:paraId="1645F73E">
            <w:pPr>
              <w:spacing w:before="185" w:line="228" w:lineRule="auto"/>
              <w:ind w:left="4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年</w:t>
            </w:r>
            <w:r>
              <w:rPr>
                <w:rFonts w:ascii="宋体" w:hAnsi="宋体" w:eastAsia="宋体" w:cs="宋体"/>
                <w:spacing w:val="5"/>
                <w:sz w:val="20"/>
                <w:szCs w:val="20"/>
                <w14:textOutline w14:w="3795" w14:cap="sq" w14:cmpd="sng">
                  <w14:solidFill>
                    <w14:srgbClr w14:val="000000"/>
                  </w14:solidFill>
                  <w14:prstDash w14:val="solid"/>
                  <w14:bevel/>
                </w14:textOutline>
              </w:rPr>
              <w:t>排</w:t>
            </w:r>
          </w:p>
          <w:p w14:paraId="191A651E">
            <w:pPr>
              <w:spacing w:before="12" w:line="229" w:lineRule="auto"/>
              <w:ind w:left="4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放小</w:t>
            </w:r>
          </w:p>
          <w:p w14:paraId="2E0ABF83">
            <w:pPr>
              <w:spacing w:before="13" w:line="201" w:lineRule="auto"/>
              <w:ind w:left="58"/>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时数</w:t>
            </w:r>
          </w:p>
          <w:p w14:paraId="0714F00D">
            <w:pPr>
              <w:spacing w:line="289" w:lineRule="exact"/>
              <w:ind w:left="165"/>
              <w:rPr>
                <w:rFonts w:ascii="Times New Roman" w:hAnsi="Times New Roman" w:eastAsia="Times New Roman" w:cs="Times New Roman"/>
                <w:sz w:val="20"/>
                <w:szCs w:val="20"/>
              </w:rPr>
            </w:pP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h</w:t>
            </w:r>
          </w:p>
        </w:tc>
        <w:tc>
          <w:tcPr>
            <w:tcW w:w="508" w:type="dxa"/>
            <w:vMerge w:val="restart"/>
            <w:tcBorders>
              <w:bottom w:val="nil"/>
            </w:tcBorders>
            <w:vAlign w:val="top"/>
          </w:tcPr>
          <w:p w14:paraId="75C943D2">
            <w:pPr>
              <w:spacing w:line="377" w:lineRule="auto"/>
              <w:rPr>
                <w:rFonts w:ascii="Arial"/>
                <w:sz w:val="21"/>
              </w:rPr>
            </w:pPr>
          </w:p>
          <w:p w14:paraId="2B9BE01D">
            <w:pPr>
              <w:spacing w:before="65" w:line="257" w:lineRule="auto"/>
              <w:ind w:left="50" w:right="42" w:hanging="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排放</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工</w:t>
            </w:r>
            <w:r>
              <w:rPr>
                <w:rFonts w:ascii="宋体" w:hAnsi="宋体" w:eastAsia="宋体" w:cs="宋体"/>
                <w:spacing w:val="4"/>
                <w:sz w:val="20"/>
                <w:szCs w:val="20"/>
                <w14:textOutline w14:w="3795" w14:cap="sq" w14:cmpd="sng">
                  <w14:solidFill>
                    <w14:srgbClr w14:val="000000"/>
                  </w14:solidFill>
                  <w14:prstDash w14:val="solid"/>
                  <w14:bevel/>
                </w14:textOutline>
              </w:rPr>
              <w:t>况</w:t>
            </w:r>
          </w:p>
        </w:tc>
        <w:tc>
          <w:tcPr>
            <w:tcW w:w="2056" w:type="dxa"/>
            <w:gridSpan w:val="4"/>
            <w:tcBorders>
              <w:right w:val="nil"/>
            </w:tcBorders>
            <w:vAlign w:val="top"/>
          </w:tcPr>
          <w:p w14:paraId="161B0B53">
            <w:pPr>
              <w:spacing w:before="284" w:line="204" w:lineRule="auto"/>
              <w:ind w:left="30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污染物排放速率</w:t>
            </w:r>
          </w:p>
          <w:p w14:paraId="3F02285C">
            <w:pPr>
              <w:spacing w:line="288" w:lineRule="exact"/>
              <w:ind w:left="637"/>
              <w:rPr>
                <w:rFonts w:ascii="宋体" w:hAnsi="宋体" w:eastAsia="宋体" w:cs="宋体"/>
                <w:sz w:val="20"/>
                <w:szCs w:val="20"/>
              </w:rPr>
            </w:pPr>
            <w:r>
              <w:rPr>
                <w:rFonts w:ascii="宋体" w:hAnsi="宋体" w:eastAsia="宋体" w:cs="宋体"/>
                <w:spacing w:val="37"/>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3"/>
                <w:sz w:val="20"/>
                <w:szCs w:val="20"/>
              </w:rPr>
              <w:t>kg</w:t>
            </w:r>
            <w:r>
              <w:rPr>
                <w:rFonts w:ascii="Times New Roman" w:hAnsi="Times New Roman" w:eastAsia="Times New Roman" w:cs="Times New Roman"/>
                <w:b/>
                <w:bCs/>
                <w:spacing w:val="36"/>
                <w:position w:val="3"/>
                <w:sz w:val="20"/>
                <w:szCs w:val="20"/>
              </w:rPr>
              <w:t>/</w:t>
            </w:r>
            <w:r>
              <w:rPr>
                <w:rFonts w:ascii="Times New Roman" w:hAnsi="Times New Roman" w:eastAsia="Times New Roman" w:cs="Times New Roman"/>
                <w:b/>
                <w:bCs/>
                <w:position w:val="3"/>
                <w:sz w:val="20"/>
                <w:szCs w:val="20"/>
              </w:rPr>
              <w:t>h</w:t>
            </w:r>
            <w:r>
              <w:rPr>
                <w:rFonts w:ascii="宋体" w:hAnsi="宋体" w:eastAsia="宋体" w:cs="宋体"/>
                <w:spacing w:val="36"/>
                <w:position w:val="3"/>
                <w:sz w:val="20"/>
                <w:szCs w:val="20"/>
                <w14:textOutline w14:w="3795" w14:cap="sq" w14:cmpd="sng">
                  <w14:solidFill>
                    <w14:srgbClr w14:val="000000"/>
                  </w14:solidFill>
                  <w14:prstDash w14:val="solid"/>
                  <w14:bevel/>
                </w14:textOutline>
              </w:rPr>
              <w:t>)</w:t>
            </w:r>
          </w:p>
        </w:tc>
      </w:tr>
      <w:tr w14:paraId="4C446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44" w:type="dxa"/>
            <w:vMerge w:val="continue"/>
            <w:tcBorders>
              <w:top w:val="nil"/>
              <w:left w:val="nil"/>
            </w:tcBorders>
            <w:textDirection w:val="tbRlV"/>
            <w:vAlign w:val="top"/>
          </w:tcPr>
          <w:p w14:paraId="632CC2CB">
            <w:pPr>
              <w:spacing w:line="241" w:lineRule="exact"/>
              <w:rPr>
                <w:rFonts w:ascii="Arial"/>
                <w:sz w:val="20"/>
              </w:rPr>
            </w:pPr>
          </w:p>
        </w:tc>
        <w:tc>
          <w:tcPr>
            <w:tcW w:w="622" w:type="dxa"/>
            <w:vMerge w:val="continue"/>
            <w:tcBorders>
              <w:top w:val="nil"/>
              <w:left w:val="nil"/>
            </w:tcBorders>
            <w:vAlign w:val="top"/>
          </w:tcPr>
          <w:p w14:paraId="0AAB080C">
            <w:pPr>
              <w:rPr>
                <w:rFonts w:ascii="Arial"/>
                <w:sz w:val="21"/>
              </w:rPr>
            </w:pPr>
          </w:p>
        </w:tc>
        <w:tc>
          <w:tcPr>
            <w:tcW w:w="465" w:type="dxa"/>
            <w:vMerge w:val="continue"/>
            <w:tcBorders>
              <w:top w:val="nil"/>
            </w:tcBorders>
            <w:vAlign w:val="top"/>
          </w:tcPr>
          <w:p w14:paraId="3FF7BED1">
            <w:pPr>
              <w:rPr>
                <w:rFonts w:ascii="Arial"/>
                <w:sz w:val="21"/>
              </w:rPr>
            </w:pPr>
          </w:p>
        </w:tc>
        <w:tc>
          <w:tcPr>
            <w:tcW w:w="697" w:type="dxa"/>
            <w:vAlign w:val="top"/>
          </w:tcPr>
          <w:p w14:paraId="0E3BF5C6">
            <w:pPr>
              <w:spacing w:before="92" w:line="192" w:lineRule="auto"/>
              <w:ind w:left="27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698" w:type="dxa"/>
            <w:vAlign w:val="top"/>
          </w:tcPr>
          <w:p w14:paraId="0760751D">
            <w:pPr>
              <w:spacing w:before="92" w:line="192" w:lineRule="auto"/>
              <w:ind w:left="27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495" w:type="dxa"/>
            <w:vMerge w:val="continue"/>
            <w:tcBorders>
              <w:top w:val="nil"/>
            </w:tcBorders>
            <w:vAlign w:val="top"/>
          </w:tcPr>
          <w:p w14:paraId="3859F9CA">
            <w:pPr>
              <w:rPr>
                <w:rFonts w:ascii="Arial"/>
                <w:sz w:val="21"/>
              </w:rPr>
            </w:pPr>
          </w:p>
        </w:tc>
        <w:tc>
          <w:tcPr>
            <w:tcW w:w="465" w:type="dxa"/>
            <w:vMerge w:val="continue"/>
            <w:tcBorders>
              <w:top w:val="nil"/>
            </w:tcBorders>
            <w:vAlign w:val="top"/>
          </w:tcPr>
          <w:p w14:paraId="1A96B8FD">
            <w:pPr>
              <w:rPr>
                <w:rFonts w:ascii="Arial"/>
                <w:sz w:val="21"/>
              </w:rPr>
            </w:pPr>
          </w:p>
        </w:tc>
        <w:tc>
          <w:tcPr>
            <w:tcW w:w="465" w:type="dxa"/>
            <w:vMerge w:val="continue"/>
            <w:tcBorders>
              <w:top w:val="nil"/>
            </w:tcBorders>
            <w:vAlign w:val="top"/>
          </w:tcPr>
          <w:p w14:paraId="6E26D94D">
            <w:pPr>
              <w:rPr>
                <w:rFonts w:ascii="Arial"/>
                <w:sz w:val="21"/>
              </w:rPr>
            </w:pPr>
          </w:p>
        </w:tc>
        <w:tc>
          <w:tcPr>
            <w:tcW w:w="519" w:type="dxa"/>
            <w:vMerge w:val="continue"/>
            <w:tcBorders>
              <w:top w:val="nil"/>
            </w:tcBorders>
            <w:vAlign w:val="top"/>
          </w:tcPr>
          <w:p w14:paraId="19530FE9">
            <w:pPr>
              <w:rPr>
                <w:rFonts w:ascii="Arial"/>
                <w:sz w:val="21"/>
              </w:rPr>
            </w:pPr>
          </w:p>
        </w:tc>
        <w:tc>
          <w:tcPr>
            <w:tcW w:w="562" w:type="dxa"/>
            <w:vMerge w:val="continue"/>
            <w:tcBorders>
              <w:top w:val="nil"/>
            </w:tcBorders>
            <w:vAlign w:val="top"/>
          </w:tcPr>
          <w:p w14:paraId="158C037E">
            <w:pPr>
              <w:rPr>
                <w:rFonts w:ascii="Arial"/>
                <w:sz w:val="21"/>
              </w:rPr>
            </w:pPr>
          </w:p>
        </w:tc>
        <w:tc>
          <w:tcPr>
            <w:tcW w:w="509" w:type="dxa"/>
            <w:vMerge w:val="continue"/>
            <w:tcBorders>
              <w:top w:val="nil"/>
            </w:tcBorders>
            <w:vAlign w:val="top"/>
          </w:tcPr>
          <w:p w14:paraId="2F24C240">
            <w:pPr>
              <w:rPr>
                <w:rFonts w:ascii="Arial"/>
                <w:sz w:val="21"/>
              </w:rPr>
            </w:pPr>
          </w:p>
        </w:tc>
        <w:tc>
          <w:tcPr>
            <w:tcW w:w="508" w:type="dxa"/>
            <w:vMerge w:val="continue"/>
            <w:tcBorders>
              <w:top w:val="nil"/>
            </w:tcBorders>
            <w:vAlign w:val="top"/>
          </w:tcPr>
          <w:p w14:paraId="32C4EB6C">
            <w:pPr>
              <w:rPr>
                <w:rFonts w:ascii="Arial"/>
                <w:sz w:val="21"/>
              </w:rPr>
            </w:pPr>
          </w:p>
        </w:tc>
        <w:tc>
          <w:tcPr>
            <w:tcW w:w="710" w:type="dxa"/>
            <w:vAlign w:val="top"/>
          </w:tcPr>
          <w:p w14:paraId="5EE37733">
            <w:pPr>
              <w:spacing w:before="89" w:line="195" w:lineRule="auto"/>
              <w:ind w:left="22"/>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c>
          <w:tcPr>
            <w:tcW w:w="397" w:type="dxa"/>
            <w:vAlign w:val="top"/>
          </w:tcPr>
          <w:p w14:paraId="4219EC77">
            <w:pPr>
              <w:spacing w:before="89" w:line="202" w:lineRule="auto"/>
              <w:ind w:left="23"/>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18"/>
                <w:position w:val="-1"/>
                <w:sz w:val="13"/>
                <w:szCs w:val="13"/>
              </w:rPr>
              <w:t>2</w:t>
            </w:r>
          </w:p>
        </w:tc>
        <w:tc>
          <w:tcPr>
            <w:tcW w:w="431" w:type="dxa"/>
            <w:vAlign w:val="top"/>
          </w:tcPr>
          <w:p w14:paraId="52381528">
            <w:pPr>
              <w:spacing w:before="89" w:line="202" w:lineRule="auto"/>
              <w:ind w:left="17"/>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NO</w:t>
            </w:r>
            <w:r>
              <w:rPr>
                <w:rFonts w:ascii="Times New Roman" w:hAnsi="Times New Roman" w:eastAsia="Times New Roman" w:cs="Times New Roman"/>
                <w:b/>
                <w:bCs/>
                <w:spacing w:val="26"/>
                <w:position w:val="-1"/>
                <w:sz w:val="13"/>
                <w:szCs w:val="13"/>
              </w:rPr>
              <w:t>2</w:t>
            </w:r>
          </w:p>
        </w:tc>
        <w:tc>
          <w:tcPr>
            <w:tcW w:w="518" w:type="dxa"/>
            <w:tcBorders>
              <w:right w:val="nil"/>
            </w:tcBorders>
            <w:vAlign w:val="top"/>
          </w:tcPr>
          <w:p w14:paraId="6B3D32F9">
            <w:pPr>
              <w:spacing w:before="92" w:line="199" w:lineRule="auto"/>
              <w:ind w:left="20"/>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16"/>
                <w:position w:val="-1"/>
                <w:sz w:val="13"/>
                <w:szCs w:val="13"/>
              </w:rPr>
              <w:t>10</w:t>
            </w:r>
          </w:p>
        </w:tc>
      </w:tr>
      <w:tr w14:paraId="75568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4" w:type="dxa"/>
            <w:tcBorders>
              <w:left w:val="nil"/>
            </w:tcBorders>
            <w:vAlign w:val="top"/>
          </w:tcPr>
          <w:p w14:paraId="7CE05D53">
            <w:pPr>
              <w:spacing w:before="186"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22" w:type="dxa"/>
            <w:tcBorders>
              <w:left w:val="nil"/>
            </w:tcBorders>
            <w:vAlign w:val="top"/>
          </w:tcPr>
          <w:p w14:paraId="2ADBF70F">
            <w:pPr>
              <w:spacing w:before="17" w:line="275" w:lineRule="auto"/>
              <w:ind w:left="124" w:right="83" w:firstLine="15"/>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w:t>
            </w:r>
            <w:r>
              <w:rPr>
                <w:rFonts w:ascii="宋体" w:hAnsi="宋体" w:eastAsia="宋体" w:cs="宋体"/>
                <w:spacing w:val="-2"/>
                <w:sz w:val="20"/>
                <w:szCs w:val="20"/>
              </w:rPr>
              <w:t>排</w:t>
            </w:r>
            <w:r>
              <w:rPr>
                <w:rFonts w:ascii="宋体" w:hAnsi="宋体" w:eastAsia="宋体" w:cs="宋体"/>
                <w:sz w:val="20"/>
                <w:szCs w:val="20"/>
              </w:rPr>
              <w:t xml:space="preserve"> </w:t>
            </w:r>
            <w:r>
              <w:rPr>
                <w:rFonts w:ascii="宋体" w:hAnsi="宋体" w:eastAsia="宋体" w:cs="宋体"/>
                <w:spacing w:val="4"/>
                <w:sz w:val="20"/>
                <w:szCs w:val="20"/>
              </w:rPr>
              <w:t>气筒</w:t>
            </w:r>
          </w:p>
        </w:tc>
        <w:tc>
          <w:tcPr>
            <w:tcW w:w="465" w:type="dxa"/>
            <w:vAlign w:val="top"/>
          </w:tcPr>
          <w:p w14:paraId="43AC80C2">
            <w:pPr>
              <w:spacing w:before="90" w:line="312"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D</w:t>
            </w:r>
            <w:r>
              <w:rPr>
                <w:rFonts w:ascii="Times New Roman" w:hAnsi="Times New Roman" w:eastAsia="Times New Roman" w:cs="Times New Roman"/>
                <w:spacing w:val="4"/>
                <w:position w:val="11"/>
                <w:sz w:val="20"/>
                <w:szCs w:val="20"/>
              </w:rPr>
              <w:t>A</w:t>
            </w:r>
          </w:p>
          <w:p w14:paraId="00323E9B">
            <w:pPr>
              <w:spacing w:line="194"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c>
          <w:tcPr>
            <w:tcW w:w="697" w:type="dxa"/>
            <w:vAlign w:val="top"/>
          </w:tcPr>
          <w:p w14:paraId="34D030F5">
            <w:pPr>
              <w:spacing w:before="90" w:line="312" w:lineRule="exact"/>
              <w:ind w:left="58"/>
              <w:rPr>
                <w:rFonts w:ascii="Times New Roman" w:hAnsi="Times New Roman" w:eastAsia="Times New Roman" w:cs="Times New Roman"/>
                <w:sz w:val="20"/>
                <w:szCs w:val="20"/>
              </w:rPr>
            </w:pPr>
            <w:r>
              <w:rPr>
                <w:rFonts w:ascii="Times New Roman" w:hAnsi="Times New Roman" w:eastAsia="Times New Roman" w:cs="Times New Roman"/>
                <w:spacing w:val="-13"/>
                <w:position w:val="11"/>
                <w:sz w:val="20"/>
                <w:szCs w:val="20"/>
              </w:rPr>
              <w:t>1</w:t>
            </w:r>
            <w:r>
              <w:rPr>
                <w:rFonts w:ascii="Times New Roman" w:hAnsi="Times New Roman" w:eastAsia="Times New Roman" w:cs="Times New Roman"/>
                <w:spacing w:val="-12"/>
                <w:position w:val="11"/>
                <w:sz w:val="20"/>
                <w:szCs w:val="20"/>
              </w:rPr>
              <w:t>23°42′3</w:t>
            </w:r>
          </w:p>
          <w:p w14:paraId="1CB360E0">
            <w:pPr>
              <w:spacing w:line="194" w:lineRule="auto"/>
              <w:ind w:left="34"/>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2</w:t>
            </w:r>
            <w:r>
              <w:rPr>
                <w:rFonts w:ascii="Times New Roman" w:hAnsi="Times New Roman" w:eastAsia="Times New Roman" w:cs="Times New Roman"/>
                <w:spacing w:val="-11"/>
                <w:sz w:val="20"/>
                <w:szCs w:val="20"/>
              </w:rPr>
              <w:t>.56512″</w:t>
            </w:r>
          </w:p>
        </w:tc>
        <w:tc>
          <w:tcPr>
            <w:tcW w:w="698" w:type="dxa"/>
            <w:vAlign w:val="top"/>
          </w:tcPr>
          <w:p w14:paraId="62C16574">
            <w:pPr>
              <w:spacing w:before="90" w:line="312"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3"/>
                <w:position w:val="11"/>
                <w:sz w:val="20"/>
                <w:szCs w:val="20"/>
              </w:rPr>
              <w:t>4</w:t>
            </w:r>
            <w:r>
              <w:rPr>
                <w:rFonts w:ascii="Times New Roman" w:hAnsi="Times New Roman" w:eastAsia="Times New Roman" w:cs="Times New Roman"/>
                <w:spacing w:val="-11"/>
                <w:position w:val="11"/>
                <w:sz w:val="20"/>
                <w:szCs w:val="20"/>
              </w:rPr>
              <w:t>1°21′55.</w:t>
            </w:r>
          </w:p>
          <w:p w14:paraId="30C12B49">
            <w:pPr>
              <w:spacing w:line="194"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2779″</w:t>
            </w:r>
          </w:p>
        </w:tc>
        <w:tc>
          <w:tcPr>
            <w:tcW w:w="495" w:type="dxa"/>
            <w:vAlign w:val="top"/>
          </w:tcPr>
          <w:p w14:paraId="0246AFBC">
            <w:pPr>
              <w:spacing w:before="24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65" w:type="dxa"/>
            <w:vAlign w:val="top"/>
          </w:tcPr>
          <w:p w14:paraId="6C439ACD">
            <w:pPr>
              <w:spacing w:before="246"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65" w:type="dxa"/>
            <w:vAlign w:val="top"/>
          </w:tcPr>
          <w:p w14:paraId="411FB32E">
            <w:pPr>
              <w:spacing w:before="246"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519" w:type="dxa"/>
            <w:vAlign w:val="top"/>
          </w:tcPr>
          <w:p w14:paraId="57EC8BD1">
            <w:pPr>
              <w:spacing w:before="246"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562" w:type="dxa"/>
            <w:vAlign w:val="top"/>
          </w:tcPr>
          <w:p w14:paraId="17DF5B13">
            <w:pPr>
              <w:spacing w:before="246"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509" w:type="dxa"/>
            <w:vAlign w:val="top"/>
          </w:tcPr>
          <w:p w14:paraId="5DB74874">
            <w:pPr>
              <w:spacing w:before="246"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200</w:t>
            </w:r>
          </w:p>
        </w:tc>
        <w:tc>
          <w:tcPr>
            <w:tcW w:w="508" w:type="dxa"/>
            <w:vAlign w:val="top"/>
          </w:tcPr>
          <w:p w14:paraId="0D0D0B80">
            <w:pPr>
              <w:spacing w:before="54" w:line="258" w:lineRule="auto"/>
              <w:ind w:left="51" w:right="44" w:firstLine="1"/>
              <w:rPr>
                <w:rFonts w:ascii="宋体" w:hAnsi="宋体" w:eastAsia="宋体" w:cs="宋体"/>
                <w:sz w:val="20"/>
                <w:szCs w:val="20"/>
              </w:rPr>
            </w:pPr>
            <w:r>
              <w:rPr>
                <w:rFonts w:ascii="宋体" w:hAnsi="宋体" w:eastAsia="宋体" w:cs="宋体"/>
                <w:spacing w:val="3"/>
                <w:sz w:val="20"/>
                <w:szCs w:val="20"/>
              </w:rPr>
              <w:t>正</w:t>
            </w:r>
            <w:r>
              <w:rPr>
                <w:rFonts w:ascii="宋体" w:hAnsi="宋体" w:eastAsia="宋体" w:cs="宋体"/>
                <w:spacing w:val="2"/>
                <w:sz w:val="20"/>
                <w:szCs w:val="20"/>
              </w:rPr>
              <w:t>常</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况</w:t>
            </w:r>
          </w:p>
        </w:tc>
        <w:tc>
          <w:tcPr>
            <w:tcW w:w="710" w:type="dxa"/>
            <w:vAlign w:val="top"/>
          </w:tcPr>
          <w:p w14:paraId="79261472">
            <w:pPr>
              <w:spacing w:before="246"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.16</w:t>
            </w:r>
          </w:p>
        </w:tc>
        <w:tc>
          <w:tcPr>
            <w:tcW w:w="397" w:type="dxa"/>
            <w:vAlign w:val="top"/>
          </w:tcPr>
          <w:p w14:paraId="45FEFE12">
            <w:pPr>
              <w:spacing w:before="172" w:line="281"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431" w:type="dxa"/>
            <w:vAlign w:val="top"/>
          </w:tcPr>
          <w:p w14:paraId="7ABB66CF">
            <w:pPr>
              <w:spacing w:before="172" w:line="281"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18" w:type="dxa"/>
            <w:tcBorders>
              <w:right w:val="nil"/>
            </w:tcBorders>
            <w:vAlign w:val="top"/>
          </w:tcPr>
          <w:p w14:paraId="37213AEE">
            <w:pPr>
              <w:spacing w:before="172" w:line="281"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4570D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4" w:type="dxa"/>
            <w:tcBorders>
              <w:left w:val="nil"/>
            </w:tcBorders>
            <w:vAlign w:val="top"/>
          </w:tcPr>
          <w:p w14:paraId="638C4E40">
            <w:pPr>
              <w:spacing w:before="186" w:line="195" w:lineRule="auto"/>
              <w:ind w:left="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22" w:type="dxa"/>
            <w:tcBorders>
              <w:left w:val="nil"/>
            </w:tcBorders>
            <w:vAlign w:val="top"/>
          </w:tcPr>
          <w:p w14:paraId="5D8933BC">
            <w:pPr>
              <w:spacing w:before="17" w:line="275" w:lineRule="auto"/>
              <w:ind w:left="124" w:right="83" w:hanging="4"/>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w:t>
            </w:r>
            <w:r>
              <w:rPr>
                <w:rFonts w:ascii="宋体" w:hAnsi="宋体" w:eastAsia="宋体" w:cs="宋体"/>
                <w:spacing w:val="4"/>
                <w:sz w:val="20"/>
                <w:szCs w:val="20"/>
              </w:rPr>
              <w:t>排</w:t>
            </w:r>
            <w:r>
              <w:rPr>
                <w:rFonts w:ascii="宋体" w:hAnsi="宋体" w:eastAsia="宋体" w:cs="宋体"/>
                <w:sz w:val="20"/>
                <w:szCs w:val="20"/>
              </w:rPr>
              <w:t xml:space="preserve"> </w:t>
            </w:r>
            <w:r>
              <w:rPr>
                <w:rFonts w:ascii="宋体" w:hAnsi="宋体" w:eastAsia="宋体" w:cs="宋体"/>
                <w:spacing w:val="4"/>
                <w:sz w:val="20"/>
                <w:szCs w:val="20"/>
              </w:rPr>
              <w:t>气筒</w:t>
            </w:r>
          </w:p>
        </w:tc>
        <w:tc>
          <w:tcPr>
            <w:tcW w:w="465" w:type="dxa"/>
            <w:vAlign w:val="top"/>
          </w:tcPr>
          <w:p w14:paraId="6610AB2F">
            <w:pPr>
              <w:spacing w:before="90" w:line="313"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D</w:t>
            </w:r>
            <w:r>
              <w:rPr>
                <w:rFonts w:ascii="Times New Roman" w:hAnsi="Times New Roman" w:eastAsia="Times New Roman" w:cs="Times New Roman"/>
                <w:spacing w:val="4"/>
                <w:position w:val="11"/>
                <w:sz w:val="20"/>
                <w:szCs w:val="20"/>
              </w:rPr>
              <w:t>A</w:t>
            </w:r>
          </w:p>
          <w:p w14:paraId="633694AF">
            <w:pPr>
              <w:spacing w:line="194"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c>
          <w:tcPr>
            <w:tcW w:w="697" w:type="dxa"/>
            <w:vAlign w:val="top"/>
          </w:tcPr>
          <w:p w14:paraId="097D7B13">
            <w:pPr>
              <w:spacing w:before="90" w:line="312" w:lineRule="exact"/>
              <w:ind w:left="58"/>
              <w:rPr>
                <w:rFonts w:ascii="Times New Roman" w:hAnsi="Times New Roman" w:eastAsia="Times New Roman" w:cs="Times New Roman"/>
                <w:sz w:val="20"/>
                <w:szCs w:val="20"/>
              </w:rPr>
            </w:pPr>
            <w:r>
              <w:rPr>
                <w:rFonts w:ascii="Times New Roman" w:hAnsi="Times New Roman" w:eastAsia="Times New Roman" w:cs="Times New Roman"/>
                <w:spacing w:val="-13"/>
                <w:position w:val="11"/>
                <w:sz w:val="20"/>
                <w:szCs w:val="20"/>
              </w:rPr>
              <w:t>1</w:t>
            </w:r>
            <w:r>
              <w:rPr>
                <w:rFonts w:ascii="Times New Roman" w:hAnsi="Times New Roman" w:eastAsia="Times New Roman" w:cs="Times New Roman"/>
                <w:spacing w:val="-12"/>
                <w:position w:val="11"/>
                <w:sz w:val="20"/>
                <w:szCs w:val="20"/>
              </w:rPr>
              <w:t>23°42′3</w:t>
            </w:r>
          </w:p>
          <w:p w14:paraId="46AB8DC3">
            <w:pPr>
              <w:spacing w:line="194" w:lineRule="auto"/>
              <w:ind w:left="38"/>
              <w:rPr>
                <w:rFonts w:ascii="Times New Roman" w:hAnsi="Times New Roman" w:eastAsia="Times New Roman" w:cs="Times New Roman"/>
                <w:sz w:val="20"/>
                <w:szCs w:val="20"/>
              </w:rPr>
            </w:pPr>
            <w:r>
              <w:rPr>
                <w:rFonts w:ascii="Times New Roman" w:hAnsi="Times New Roman" w:eastAsia="Times New Roman" w:cs="Times New Roman"/>
                <w:spacing w:val="-17"/>
                <w:sz w:val="20"/>
                <w:szCs w:val="20"/>
              </w:rPr>
              <w:t>3</w:t>
            </w:r>
            <w:r>
              <w:rPr>
                <w:rFonts w:ascii="Times New Roman" w:hAnsi="Times New Roman" w:eastAsia="Times New Roman" w:cs="Times New Roman"/>
                <w:spacing w:val="-11"/>
                <w:sz w:val="20"/>
                <w:szCs w:val="20"/>
              </w:rPr>
              <w:t>.18310″</w:t>
            </w:r>
          </w:p>
        </w:tc>
        <w:tc>
          <w:tcPr>
            <w:tcW w:w="698" w:type="dxa"/>
            <w:vAlign w:val="top"/>
          </w:tcPr>
          <w:p w14:paraId="03D339BF">
            <w:pPr>
              <w:spacing w:before="90" w:line="312"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3"/>
                <w:position w:val="11"/>
                <w:sz w:val="20"/>
                <w:szCs w:val="20"/>
              </w:rPr>
              <w:t>4</w:t>
            </w:r>
            <w:r>
              <w:rPr>
                <w:rFonts w:ascii="Times New Roman" w:hAnsi="Times New Roman" w:eastAsia="Times New Roman" w:cs="Times New Roman"/>
                <w:spacing w:val="-11"/>
                <w:position w:val="11"/>
                <w:sz w:val="20"/>
                <w:szCs w:val="20"/>
              </w:rPr>
              <w:t>1°21′54.</w:t>
            </w:r>
          </w:p>
          <w:p w14:paraId="711CA3E0">
            <w:pPr>
              <w:spacing w:line="194"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4</w:t>
            </w:r>
            <w:r>
              <w:rPr>
                <w:rFonts w:ascii="Times New Roman" w:hAnsi="Times New Roman" w:eastAsia="Times New Roman" w:cs="Times New Roman"/>
                <w:spacing w:val="-7"/>
                <w:sz w:val="20"/>
                <w:szCs w:val="20"/>
              </w:rPr>
              <w:t>3257″</w:t>
            </w:r>
          </w:p>
        </w:tc>
        <w:tc>
          <w:tcPr>
            <w:tcW w:w="495" w:type="dxa"/>
            <w:vAlign w:val="top"/>
          </w:tcPr>
          <w:p w14:paraId="4D7D4054">
            <w:pPr>
              <w:spacing w:before="24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65" w:type="dxa"/>
            <w:vAlign w:val="top"/>
          </w:tcPr>
          <w:p w14:paraId="41878E44">
            <w:pPr>
              <w:spacing w:before="246"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65" w:type="dxa"/>
            <w:vAlign w:val="top"/>
          </w:tcPr>
          <w:p w14:paraId="3CEFFD79">
            <w:pPr>
              <w:spacing w:before="24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519" w:type="dxa"/>
            <w:vAlign w:val="top"/>
          </w:tcPr>
          <w:p w14:paraId="33551631">
            <w:pPr>
              <w:spacing w:before="24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562" w:type="dxa"/>
            <w:vAlign w:val="top"/>
          </w:tcPr>
          <w:p w14:paraId="1783D0C3">
            <w:pPr>
              <w:spacing w:before="246"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509" w:type="dxa"/>
            <w:vAlign w:val="top"/>
          </w:tcPr>
          <w:p w14:paraId="5E479EC5">
            <w:pPr>
              <w:spacing w:before="246"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200</w:t>
            </w:r>
          </w:p>
        </w:tc>
        <w:tc>
          <w:tcPr>
            <w:tcW w:w="508" w:type="dxa"/>
            <w:vAlign w:val="top"/>
          </w:tcPr>
          <w:p w14:paraId="68DEA11F">
            <w:pPr>
              <w:spacing w:before="55" w:line="258" w:lineRule="auto"/>
              <w:ind w:left="51" w:right="44" w:firstLine="1"/>
              <w:rPr>
                <w:rFonts w:ascii="宋体" w:hAnsi="宋体" w:eastAsia="宋体" w:cs="宋体"/>
                <w:sz w:val="20"/>
                <w:szCs w:val="20"/>
              </w:rPr>
            </w:pPr>
            <w:r>
              <w:rPr>
                <w:rFonts w:ascii="宋体" w:hAnsi="宋体" w:eastAsia="宋体" w:cs="宋体"/>
                <w:spacing w:val="3"/>
                <w:sz w:val="20"/>
                <w:szCs w:val="20"/>
              </w:rPr>
              <w:t>正</w:t>
            </w:r>
            <w:r>
              <w:rPr>
                <w:rFonts w:ascii="宋体" w:hAnsi="宋体" w:eastAsia="宋体" w:cs="宋体"/>
                <w:spacing w:val="2"/>
                <w:sz w:val="20"/>
                <w:szCs w:val="20"/>
              </w:rPr>
              <w:t>常</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况</w:t>
            </w:r>
          </w:p>
        </w:tc>
        <w:tc>
          <w:tcPr>
            <w:tcW w:w="710" w:type="dxa"/>
            <w:vAlign w:val="top"/>
          </w:tcPr>
          <w:p w14:paraId="05F45A48">
            <w:pPr>
              <w:spacing w:before="24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.16</w:t>
            </w:r>
          </w:p>
        </w:tc>
        <w:tc>
          <w:tcPr>
            <w:tcW w:w="397" w:type="dxa"/>
            <w:vAlign w:val="top"/>
          </w:tcPr>
          <w:p w14:paraId="3B4A0628">
            <w:pPr>
              <w:spacing w:before="173" w:line="281"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431" w:type="dxa"/>
            <w:vAlign w:val="top"/>
          </w:tcPr>
          <w:p w14:paraId="75C29F04">
            <w:pPr>
              <w:spacing w:before="173" w:line="281"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18" w:type="dxa"/>
            <w:tcBorders>
              <w:right w:val="nil"/>
            </w:tcBorders>
            <w:vAlign w:val="top"/>
          </w:tcPr>
          <w:p w14:paraId="2189E8BF">
            <w:pPr>
              <w:spacing w:before="173" w:line="281"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4C0AF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244" w:type="dxa"/>
            <w:tcBorders>
              <w:left w:val="nil"/>
            </w:tcBorders>
            <w:vAlign w:val="top"/>
          </w:tcPr>
          <w:p w14:paraId="5C73CDB9">
            <w:pPr>
              <w:spacing w:before="18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22" w:type="dxa"/>
            <w:tcBorders>
              <w:left w:val="nil"/>
            </w:tcBorders>
            <w:vAlign w:val="top"/>
          </w:tcPr>
          <w:p w14:paraId="018804E1">
            <w:pPr>
              <w:spacing w:before="17" w:line="293" w:lineRule="auto"/>
              <w:ind w:left="124" w:right="83"/>
              <w:rPr>
                <w:rFonts w:ascii="宋体" w:hAnsi="宋体" w:eastAsia="宋体" w:cs="宋体"/>
                <w:sz w:val="20"/>
                <w:szCs w:val="20"/>
              </w:rPr>
            </w:pPr>
            <w:r>
              <w:rPr>
                <w:rFonts w:ascii="Times New Roman" w:hAnsi="Times New Roman" w:eastAsia="Times New Roman" w:cs="Times New Roman"/>
                <w:spacing w:val="3"/>
                <w:sz w:val="20"/>
                <w:szCs w:val="20"/>
              </w:rPr>
              <w:t>3#</w:t>
            </w:r>
            <w:r>
              <w:rPr>
                <w:rFonts w:ascii="宋体" w:hAnsi="宋体" w:eastAsia="宋体" w:cs="宋体"/>
                <w:spacing w:val="3"/>
                <w:sz w:val="20"/>
                <w:szCs w:val="20"/>
              </w:rPr>
              <w:t>排</w:t>
            </w:r>
            <w:r>
              <w:rPr>
                <w:rFonts w:ascii="宋体" w:hAnsi="宋体" w:eastAsia="宋体" w:cs="宋体"/>
                <w:sz w:val="20"/>
                <w:szCs w:val="20"/>
              </w:rPr>
              <w:t xml:space="preserve"> </w:t>
            </w:r>
            <w:r>
              <w:rPr>
                <w:rFonts w:ascii="宋体" w:hAnsi="宋体" w:eastAsia="宋体" w:cs="宋体"/>
                <w:spacing w:val="4"/>
                <w:sz w:val="20"/>
                <w:szCs w:val="20"/>
              </w:rPr>
              <w:t>气筒</w:t>
            </w:r>
          </w:p>
        </w:tc>
        <w:tc>
          <w:tcPr>
            <w:tcW w:w="465" w:type="dxa"/>
            <w:vAlign w:val="top"/>
          </w:tcPr>
          <w:p w14:paraId="6652C8B2">
            <w:pPr>
              <w:spacing w:before="91" w:line="312"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5"/>
                <w:position w:val="11"/>
                <w:sz w:val="20"/>
                <w:szCs w:val="20"/>
              </w:rPr>
              <w:t>D</w:t>
            </w:r>
            <w:r>
              <w:rPr>
                <w:rFonts w:ascii="Times New Roman" w:hAnsi="Times New Roman" w:eastAsia="Times New Roman" w:cs="Times New Roman"/>
                <w:spacing w:val="4"/>
                <w:position w:val="11"/>
                <w:sz w:val="20"/>
                <w:szCs w:val="20"/>
              </w:rPr>
              <w:t>A</w:t>
            </w:r>
          </w:p>
          <w:p w14:paraId="0742A3B6">
            <w:pPr>
              <w:spacing w:line="194"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c>
          <w:tcPr>
            <w:tcW w:w="697" w:type="dxa"/>
            <w:vAlign w:val="top"/>
          </w:tcPr>
          <w:p w14:paraId="1521301E">
            <w:pPr>
              <w:spacing w:before="91" w:line="312" w:lineRule="exact"/>
              <w:ind w:left="58"/>
              <w:rPr>
                <w:rFonts w:ascii="Times New Roman" w:hAnsi="Times New Roman" w:eastAsia="Times New Roman" w:cs="Times New Roman"/>
                <w:sz w:val="20"/>
                <w:szCs w:val="20"/>
              </w:rPr>
            </w:pPr>
            <w:r>
              <w:rPr>
                <w:rFonts w:ascii="Times New Roman" w:hAnsi="Times New Roman" w:eastAsia="Times New Roman" w:cs="Times New Roman"/>
                <w:spacing w:val="-13"/>
                <w:position w:val="11"/>
                <w:sz w:val="20"/>
                <w:szCs w:val="20"/>
              </w:rPr>
              <w:t>1</w:t>
            </w:r>
            <w:r>
              <w:rPr>
                <w:rFonts w:ascii="Times New Roman" w:hAnsi="Times New Roman" w:eastAsia="Times New Roman" w:cs="Times New Roman"/>
                <w:spacing w:val="-12"/>
                <w:position w:val="11"/>
                <w:sz w:val="20"/>
                <w:szCs w:val="20"/>
              </w:rPr>
              <w:t>23°42′3</w:t>
            </w:r>
          </w:p>
          <w:p w14:paraId="2ED8E509">
            <w:pPr>
              <w:spacing w:line="194" w:lineRule="auto"/>
              <w:ind w:left="38"/>
              <w:rPr>
                <w:rFonts w:ascii="Times New Roman" w:hAnsi="Times New Roman" w:eastAsia="Times New Roman" w:cs="Times New Roman"/>
                <w:sz w:val="20"/>
                <w:szCs w:val="20"/>
              </w:rPr>
            </w:pPr>
            <w:r>
              <w:rPr>
                <w:rFonts w:ascii="Times New Roman" w:hAnsi="Times New Roman" w:eastAsia="Times New Roman" w:cs="Times New Roman"/>
                <w:spacing w:val="-17"/>
                <w:sz w:val="20"/>
                <w:szCs w:val="20"/>
              </w:rPr>
              <w:t>3</w:t>
            </w:r>
            <w:r>
              <w:rPr>
                <w:rFonts w:ascii="Times New Roman" w:hAnsi="Times New Roman" w:eastAsia="Times New Roman" w:cs="Times New Roman"/>
                <w:spacing w:val="-11"/>
                <w:sz w:val="20"/>
                <w:szCs w:val="20"/>
              </w:rPr>
              <w:t>.91695″</w:t>
            </w:r>
          </w:p>
        </w:tc>
        <w:tc>
          <w:tcPr>
            <w:tcW w:w="698" w:type="dxa"/>
            <w:vAlign w:val="top"/>
          </w:tcPr>
          <w:p w14:paraId="64630EDB">
            <w:pPr>
              <w:spacing w:before="91" w:line="312"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3"/>
                <w:position w:val="11"/>
                <w:sz w:val="20"/>
                <w:szCs w:val="20"/>
              </w:rPr>
              <w:t>4</w:t>
            </w:r>
            <w:r>
              <w:rPr>
                <w:rFonts w:ascii="Times New Roman" w:hAnsi="Times New Roman" w:eastAsia="Times New Roman" w:cs="Times New Roman"/>
                <w:spacing w:val="-11"/>
                <w:position w:val="11"/>
                <w:sz w:val="20"/>
                <w:szCs w:val="20"/>
              </w:rPr>
              <w:t>1°21′55.</w:t>
            </w:r>
          </w:p>
          <w:p w14:paraId="4A370B78">
            <w:pPr>
              <w:spacing w:line="194" w:lineRule="auto"/>
              <w:ind w:left="9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0</w:t>
            </w:r>
            <w:r>
              <w:rPr>
                <w:rFonts w:ascii="Times New Roman" w:hAnsi="Times New Roman" w:eastAsia="Times New Roman" w:cs="Times New Roman"/>
                <w:spacing w:val="-8"/>
                <w:sz w:val="20"/>
                <w:szCs w:val="20"/>
              </w:rPr>
              <w:t>5054″</w:t>
            </w:r>
          </w:p>
        </w:tc>
        <w:tc>
          <w:tcPr>
            <w:tcW w:w="495" w:type="dxa"/>
            <w:vAlign w:val="top"/>
          </w:tcPr>
          <w:p w14:paraId="2A5D71FC">
            <w:pPr>
              <w:spacing w:before="24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65" w:type="dxa"/>
            <w:vAlign w:val="top"/>
          </w:tcPr>
          <w:p w14:paraId="5F3632C1">
            <w:pPr>
              <w:spacing w:before="24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65" w:type="dxa"/>
            <w:vAlign w:val="top"/>
          </w:tcPr>
          <w:p w14:paraId="6F89BF93">
            <w:pPr>
              <w:spacing w:before="24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519" w:type="dxa"/>
            <w:vAlign w:val="top"/>
          </w:tcPr>
          <w:p w14:paraId="51782E33">
            <w:pPr>
              <w:spacing w:before="24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562" w:type="dxa"/>
            <w:vAlign w:val="top"/>
          </w:tcPr>
          <w:p w14:paraId="681FD2BA">
            <w:pPr>
              <w:spacing w:before="24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509" w:type="dxa"/>
            <w:vAlign w:val="top"/>
          </w:tcPr>
          <w:p w14:paraId="3EF25E40">
            <w:pPr>
              <w:spacing w:before="247" w:line="195" w:lineRule="auto"/>
              <w:ind w:left="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508" w:type="dxa"/>
            <w:vAlign w:val="top"/>
          </w:tcPr>
          <w:p w14:paraId="7AFA7B40">
            <w:pPr>
              <w:spacing w:before="55" w:line="258" w:lineRule="auto"/>
              <w:ind w:left="51" w:right="44" w:firstLine="1"/>
              <w:rPr>
                <w:rFonts w:ascii="宋体" w:hAnsi="宋体" w:eastAsia="宋体" w:cs="宋体"/>
                <w:sz w:val="20"/>
                <w:szCs w:val="20"/>
              </w:rPr>
            </w:pPr>
            <w:r>
              <w:rPr>
                <w:rFonts w:ascii="宋体" w:hAnsi="宋体" w:eastAsia="宋体" w:cs="宋体"/>
                <w:spacing w:val="3"/>
                <w:sz w:val="20"/>
                <w:szCs w:val="20"/>
              </w:rPr>
              <w:t>正</w:t>
            </w:r>
            <w:r>
              <w:rPr>
                <w:rFonts w:ascii="宋体" w:hAnsi="宋体" w:eastAsia="宋体" w:cs="宋体"/>
                <w:spacing w:val="2"/>
                <w:sz w:val="20"/>
                <w:szCs w:val="20"/>
              </w:rPr>
              <w:t>常</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况</w:t>
            </w:r>
          </w:p>
        </w:tc>
        <w:tc>
          <w:tcPr>
            <w:tcW w:w="710" w:type="dxa"/>
            <w:vAlign w:val="top"/>
          </w:tcPr>
          <w:p w14:paraId="05D874DC">
            <w:pPr>
              <w:spacing w:before="173" w:line="281"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97" w:type="dxa"/>
            <w:vAlign w:val="top"/>
          </w:tcPr>
          <w:p w14:paraId="6E35DA0D">
            <w:pPr>
              <w:spacing w:before="247" w:line="195" w:lineRule="auto"/>
              <w:ind w:left="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.63</w:t>
            </w:r>
          </w:p>
        </w:tc>
        <w:tc>
          <w:tcPr>
            <w:tcW w:w="431" w:type="dxa"/>
            <w:vAlign w:val="top"/>
          </w:tcPr>
          <w:p w14:paraId="251F9D42">
            <w:pPr>
              <w:spacing w:before="247"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.38</w:t>
            </w:r>
          </w:p>
        </w:tc>
        <w:tc>
          <w:tcPr>
            <w:tcW w:w="518" w:type="dxa"/>
            <w:tcBorders>
              <w:right w:val="nil"/>
            </w:tcBorders>
            <w:vAlign w:val="top"/>
          </w:tcPr>
          <w:p w14:paraId="0954109C">
            <w:pPr>
              <w:spacing w:before="247" w:line="195" w:lineRule="auto"/>
              <w:ind w:left="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.001</w:t>
            </w:r>
          </w:p>
        </w:tc>
      </w:tr>
    </w:tbl>
    <w:p w14:paraId="57AEAC3B">
      <w:pPr>
        <w:rPr>
          <w:rFonts w:ascii="Arial"/>
          <w:sz w:val="21"/>
        </w:rPr>
      </w:pPr>
    </w:p>
    <w:p w14:paraId="659E92F0">
      <w:pPr>
        <w:sectPr>
          <w:footerReference r:id="rId206" w:type="default"/>
          <w:pgSz w:w="11906" w:h="16839"/>
          <w:pgMar w:top="1132" w:right="1691" w:bottom="1182" w:left="1691" w:header="878" w:footer="1022" w:gutter="0"/>
          <w:cols w:space="720" w:num="1"/>
        </w:sectPr>
      </w:pPr>
    </w:p>
    <w:p w14:paraId="5E775CC1">
      <w:pPr>
        <w:spacing w:line="409" w:lineRule="auto"/>
        <w:rPr>
          <w:rFonts w:ascii="Arial"/>
          <w:sz w:val="21"/>
        </w:rPr>
      </w:pPr>
      <w:r>
        <w:pict>
          <v:shape id="_x0000_s1256" o:spid="_x0000_s1256" style="position:absolute;left:0pt;margin-left:90pt;margin-top:57.35pt;height:0.75pt;width:415.3pt;mso-position-horizontal-relative:page;mso-position-vertical-relative:page;z-index:251915264;mso-width-relative:page;mso-height-relative:page;" fillcolor="#000000" filled="t" stroked="f" coordsize="8305,15" o:allowincell="f" path="m0,0l8305,0,8305,14,0,14,0,0xe">
            <v:path/>
            <v:fill on="t" focussize="0,0"/>
            <v:stroke on="f"/>
            <v:imagedata o:title=""/>
            <o:lock v:ext="edit"/>
          </v:shape>
        </w:pict>
      </w:r>
    </w:p>
    <w:p w14:paraId="0E456546">
      <w:pPr>
        <w:spacing w:before="74" w:line="227" w:lineRule="auto"/>
        <w:ind w:left="303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5-7</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面源参数表</w:t>
      </w:r>
    </w:p>
    <w:p w14:paraId="14951ED5">
      <w:pPr>
        <w:spacing w:line="17" w:lineRule="exact"/>
      </w:pPr>
    </w:p>
    <w:tbl>
      <w:tblPr>
        <w:tblStyle w:val="4"/>
        <w:tblW w:w="835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2"/>
        <w:gridCol w:w="513"/>
        <w:gridCol w:w="812"/>
        <w:gridCol w:w="765"/>
        <w:gridCol w:w="734"/>
        <w:gridCol w:w="523"/>
        <w:gridCol w:w="597"/>
        <w:gridCol w:w="717"/>
        <w:gridCol w:w="717"/>
        <w:gridCol w:w="672"/>
        <w:gridCol w:w="510"/>
        <w:gridCol w:w="629"/>
        <w:gridCol w:w="750"/>
      </w:tblGrid>
      <w:tr w14:paraId="63283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12" w:type="dxa"/>
            <w:vMerge w:val="restart"/>
            <w:tcBorders>
              <w:left w:val="nil"/>
              <w:bottom w:val="nil"/>
            </w:tcBorders>
            <w:textDirection w:val="tbRlV"/>
            <w:vAlign w:val="top"/>
          </w:tcPr>
          <w:p w14:paraId="1D758F83">
            <w:pPr>
              <w:spacing w:before="100" w:line="214" w:lineRule="auto"/>
              <w:ind w:left="23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编</w:t>
            </w:r>
            <w:r>
              <w:rPr>
                <w:rFonts w:ascii="宋体" w:hAnsi="宋体" w:eastAsia="宋体" w:cs="宋体"/>
                <w:spacing w:val="7"/>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号</w:t>
            </w:r>
          </w:p>
        </w:tc>
        <w:tc>
          <w:tcPr>
            <w:tcW w:w="513" w:type="dxa"/>
            <w:vMerge w:val="restart"/>
            <w:tcBorders>
              <w:bottom w:val="nil"/>
            </w:tcBorders>
            <w:vAlign w:val="top"/>
          </w:tcPr>
          <w:p w14:paraId="107FEEE8">
            <w:pPr>
              <w:spacing w:line="325" w:lineRule="auto"/>
              <w:rPr>
                <w:rFonts w:ascii="Arial"/>
                <w:sz w:val="21"/>
              </w:rPr>
            </w:pPr>
          </w:p>
          <w:p w14:paraId="7AB3A64E">
            <w:pPr>
              <w:spacing w:before="65" w:line="230" w:lineRule="auto"/>
              <w:ind w:left="5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577" w:type="dxa"/>
            <w:gridSpan w:val="2"/>
            <w:vAlign w:val="top"/>
          </w:tcPr>
          <w:p w14:paraId="04372234">
            <w:pPr>
              <w:spacing w:before="232" w:line="228" w:lineRule="auto"/>
              <w:ind w:left="16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面源起点坐</w:t>
            </w:r>
            <w:r>
              <w:rPr>
                <w:rFonts w:ascii="宋体" w:hAnsi="宋体" w:eastAsia="宋体" w:cs="宋体"/>
                <w:spacing w:val="8"/>
                <w:sz w:val="20"/>
                <w:szCs w:val="20"/>
                <w14:textOutline w14:w="3795" w14:cap="sq" w14:cmpd="sng">
                  <w14:solidFill>
                    <w14:srgbClr w14:val="000000"/>
                  </w14:solidFill>
                  <w14:prstDash w14:val="solid"/>
                  <w14:bevel/>
                </w14:textOutline>
              </w:rPr>
              <w:t>标</w:t>
            </w:r>
          </w:p>
        </w:tc>
        <w:tc>
          <w:tcPr>
            <w:tcW w:w="734" w:type="dxa"/>
            <w:vMerge w:val="restart"/>
            <w:tcBorders>
              <w:bottom w:val="nil"/>
            </w:tcBorders>
            <w:vAlign w:val="top"/>
          </w:tcPr>
          <w:p w14:paraId="03DD252A">
            <w:pPr>
              <w:spacing w:before="80" w:line="229" w:lineRule="auto"/>
              <w:ind w:left="5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面</w:t>
            </w:r>
            <w:r>
              <w:rPr>
                <w:rFonts w:ascii="宋体" w:hAnsi="宋体" w:eastAsia="宋体" w:cs="宋体"/>
                <w:spacing w:val="7"/>
                <w:sz w:val="20"/>
                <w:szCs w:val="20"/>
                <w14:textOutline w14:w="3795" w14:cap="sq" w14:cmpd="sng">
                  <w14:solidFill>
                    <w14:srgbClr w14:val="000000"/>
                  </w14:solidFill>
                  <w14:prstDash w14:val="solid"/>
                  <w14:bevel/>
                </w14:textOutline>
              </w:rPr>
              <w:t>源海</w:t>
            </w:r>
          </w:p>
          <w:p w14:paraId="7DBA83A2">
            <w:pPr>
              <w:spacing w:before="63" w:line="228" w:lineRule="auto"/>
              <w:ind w:left="5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拔</w:t>
            </w:r>
            <w:r>
              <w:rPr>
                <w:rFonts w:ascii="宋体" w:hAnsi="宋体" w:eastAsia="宋体" w:cs="宋体"/>
                <w:spacing w:val="7"/>
                <w:sz w:val="20"/>
                <w:szCs w:val="20"/>
                <w14:textOutline w14:w="3795" w14:cap="sq" w14:cmpd="sng">
                  <w14:solidFill>
                    <w14:srgbClr w14:val="000000"/>
                  </w14:solidFill>
                  <w14:prstDash w14:val="solid"/>
                  <w14:bevel/>
                </w14:textOutline>
              </w:rPr>
              <w:t>高度</w:t>
            </w:r>
          </w:p>
          <w:p w14:paraId="324ACD9A">
            <w:pPr>
              <w:spacing w:before="24" w:line="289" w:lineRule="exact"/>
              <w:ind w:left="247"/>
              <w:rPr>
                <w:rFonts w:ascii="Times New Roman" w:hAnsi="Times New Roman" w:eastAsia="Times New Roman" w:cs="Times New Roman"/>
                <w:sz w:val="20"/>
                <w:szCs w:val="20"/>
              </w:rPr>
            </w:pPr>
            <w:r>
              <w:rPr>
                <w:rFonts w:ascii="Times New Roman" w:hAnsi="Times New Roman" w:eastAsia="Times New Roman" w:cs="Times New Roman"/>
                <w:b/>
                <w:bCs/>
                <w:spacing w:val="9"/>
                <w:position w:val="2"/>
                <w:sz w:val="20"/>
                <w:szCs w:val="20"/>
              </w:rPr>
              <w:t>/</w:t>
            </w:r>
            <w:r>
              <w:rPr>
                <w:rFonts w:ascii="Times New Roman" w:hAnsi="Times New Roman" w:eastAsia="Times New Roman" w:cs="Times New Roman"/>
                <w:b/>
                <w:bCs/>
                <w:position w:val="2"/>
                <w:sz w:val="20"/>
                <w:szCs w:val="20"/>
              </w:rPr>
              <w:t>m</w:t>
            </w:r>
          </w:p>
        </w:tc>
        <w:tc>
          <w:tcPr>
            <w:tcW w:w="523" w:type="dxa"/>
            <w:vMerge w:val="restart"/>
            <w:tcBorders>
              <w:bottom w:val="nil"/>
            </w:tcBorders>
            <w:vAlign w:val="top"/>
          </w:tcPr>
          <w:p w14:paraId="0064CCBD">
            <w:pPr>
              <w:spacing w:before="80" w:line="229" w:lineRule="auto"/>
              <w:ind w:left="5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面</w:t>
            </w:r>
            <w:r>
              <w:rPr>
                <w:rFonts w:ascii="宋体" w:hAnsi="宋体" w:eastAsia="宋体" w:cs="宋体"/>
                <w:spacing w:val="5"/>
                <w:sz w:val="20"/>
                <w:szCs w:val="20"/>
                <w14:textOutline w14:w="3795" w14:cap="sq" w14:cmpd="sng">
                  <w14:solidFill>
                    <w14:srgbClr w14:val="000000"/>
                  </w14:solidFill>
                  <w14:prstDash w14:val="solid"/>
                  <w14:bevel/>
                </w14:textOutline>
              </w:rPr>
              <w:t>源</w:t>
            </w:r>
          </w:p>
          <w:p w14:paraId="581F8BDD">
            <w:pPr>
              <w:spacing w:before="64" w:line="228" w:lineRule="auto"/>
              <w:ind w:left="5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长</w:t>
            </w:r>
            <w:r>
              <w:rPr>
                <w:rFonts w:ascii="宋体" w:hAnsi="宋体" w:eastAsia="宋体" w:cs="宋体"/>
                <w:spacing w:val="5"/>
                <w:sz w:val="20"/>
                <w:szCs w:val="20"/>
                <w14:textOutline w14:w="3795" w14:cap="sq" w14:cmpd="sng">
                  <w14:solidFill>
                    <w14:srgbClr w14:val="000000"/>
                  </w14:solidFill>
                  <w14:prstDash w14:val="solid"/>
                  <w14:bevel/>
                </w14:textOutline>
              </w:rPr>
              <w:t>度</w:t>
            </w:r>
          </w:p>
          <w:p w14:paraId="43586B34">
            <w:pPr>
              <w:spacing w:before="23" w:line="289" w:lineRule="exact"/>
              <w:ind w:left="142"/>
              <w:rPr>
                <w:rFonts w:ascii="Times New Roman" w:hAnsi="Times New Roman" w:eastAsia="Times New Roman" w:cs="Times New Roman"/>
                <w:sz w:val="20"/>
                <w:szCs w:val="20"/>
              </w:rPr>
            </w:pPr>
            <w:r>
              <w:rPr>
                <w:rFonts w:ascii="Times New Roman" w:hAnsi="Times New Roman" w:eastAsia="Times New Roman" w:cs="Times New Roman"/>
                <w:b/>
                <w:bCs/>
                <w:spacing w:val="9"/>
                <w:position w:val="2"/>
                <w:sz w:val="20"/>
                <w:szCs w:val="20"/>
              </w:rPr>
              <w:t>/</w:t>
            </w:r>
            <w:r>
              <w:rPr>
                <w:rFonts w:ascii="Times New Roman" w:hAnsi="Times New Roman" w:eastAsia="Times New Roman" w:cs="Times New Roman"/>
                <w:b/>
                <w:bCs/>
                <w:position w:val="2"/>
                <w:sz w:val="20"/>
                <w:szCs w:val="20"/>
              </w:rPr>
              <w:t>m</w:t>
            </w:r>
          </w:p>
        </w:tc>
        <w:tc>
          <w:tcPr>
            <w:tcW w:w="597" w:type="dxa"/>
            <w:vMerge w:val="restart"/>
            <w:tcBorders>
              <w:bottom w:val="nil"/>
            </w:tcBorders>
            <w:vAlign w:val="top"/>
          </w:tcPr>
          <w:p w14:paraId="76F24CB8">
            <w:pPr>
              <w:spacing w:before="80" w:line="229" w:lineRule="auto"/>
              <w:ind w:left="9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面</w:t>
            </w:r>
            <w:r>
              <w:rPr>
                <w:rFonts w:ascii="宋体" w:hAnsi="宋体" w:eastAsia="宋体" w:cs="宋体"/>
                <w:spacing w:val="5"/>
                <w:sz w:val="20"/>
                <w:szCs w:val="20"/>
                <w14:textOutline w14:w="3795" w14:cap="sq" w14:cmpd="sng">
                  <w14:solidFill>
                    <w14:srgbClr w14:val="000000"/>
                  </w14:solidFill>
                  <w14:prstDash w14:val="solid"/>
                  <w14:bevel/>
                </w14:textOutline>
              </w:rPr>
              <w:t>源</w:t>
            </w:r>
          </w:p>
          <w:p w14:paraId="2823AFB6">
            <w:pPr>
              <w:spacing w:before="64" w:line="228" w:lineRule="auto"/>
              <w:ind w:left="103"/>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宽</w:t>
            </w:r>
            <w:r>
              <w:rPr>
                <w:rFonts w:ascii="宋体" w:hAnsi="宋体" w:eastAsia="宋体" w:cs="宋体"/>
                <w:sz w:val="20"/>
                <w:szCs w:val="20"/>
                <w14:textOutline w14:w="3795" w14:cap="sq" w14:cmpd="sng">
                  <w14:solidFill>
                    <w14:srgbClr w14:val="000000"/>
                  </w14:solidFill>
                  <w14:prstDash w14:val="solid"/>
                  <w14:bevel/>
                </w14:textOutline>
              </w:rPr>
              <w:t>度</w:t>
            </w:r>
          </w:p>
          <w:p w14:paraId="77706D31">
            <w:pPr>
              <w:spacing w:before="23" w:line="289" w:lineRule="exact"/>
              <w:ind w:left="178"/>
              <w:rPr>
                <w:rFonts w:ascii="Times New Roman" w:hAnsi="Times New Roman" w:eastAsia="Times New Roman" w:cs="Times New Roman"/>
                <w:sz w:val="20"/>
                <w:szCs w:val="20"/>
              </w:rPr>
            </w:pPr>
            <w:r>
              <w:rPr>
                <w:rFonts w:ascii="Times New Roman" w:hAnsi="Times New Roman" w:eastAsia="Times New Roman" w:cs="Times New Roman"/>
                <w:b/>
                <w:bCs/>
                <w:spacing w:val="9"/>
                <w:position w:val="2"/>
                <w:sz w:val="20"/>
                <w:szCs w:val="20"/>
              </w:rPr>
              <w:t>/</w:t>
            </w:r>
            <w:r>
              <w:rPr>
                <w:rFonts w:ascii="Times New Roman" w:hAnsi="Times New Roman" w:eastAsia="Times New Roman" w:cs="Times New Roman"/>
                <w:b/>
                <w:bCs/>
                <w:position w:val="2"/>
                <w:sz w:val="20"/>
                <w:szCs w:val="20"/>
              </w:rPr>
              <w:t>m</w:t>
            </w:r>
          </w:p>
        </w:tc>
        <w:tc>
          <w:tcPr>
            <w:tcW w:w="717" w:type="dxa"/>
            <w:vMerge w:val="restart"/>
            <w:tcBorders>
              <w:bottom w:val="nil"/>
            </w:tcBorders>
            <w:vAlign w:val="top"/>
          </w:tcPr>
          <w:p w14:paraId="6949F255">
            <w:pPr>
              <w:spacing w:before="80" w:line="230" w:lineRule="auto"/>
              <w:ind w:left="5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与</w:t>
            </w:r>
            <w:r>
              <w:rPr>
                <w:rFonts w:ascii="宋体" w:hAnsi="宋体" w:eastAsia="宋体" w:cs="宋体"/>
                <w:spacing w:val="6"/>
                <w:sz w:val="20"/>
                <w:szCs w:val="20"/>
                <w14:textOutline w14:w="3795" w14:cap="sq" w14:cmpd="sng">
                  <w14:solidFill>
                    <w14:srgbClr w14:val="000000"/>
                  </w14:solidFill>
                  <w14:prstDash w14:val="solid"/>
                  <w14:bevel/>
                </w14:textOutline>
              </w:rPr>
              <w:t>正北</w:t>
            </w:r>
          </w:p>
          <w:p w14:paraId="7569E95D">
            <w:pPr>
              <w:spacing w:before="62" w:line="227" w:lineRule="auto"/>
              <w:ind w:left="69"/>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向</w:t>
            </w:r>
            <w:r>
              <w:rPr>
                <w:rFonts w:ascii="宋体" w:hAnsi="宋体" w:eastAsia="宋体" w:cs="宋体"/>
                <w:sz w:val="20"/>
                <w:szCs w:val="20"/>
                <w14:textOutline w14:w="3795" w14:cap="sq" w14:cmpd="sng">
                  <w14:solidFill>
                    <w14:srgbClr w14:val="000000"/>
                  </w14:solidFill>
                  <w14:prstDash w14:val="solid"/>
                  <w14:bevel/>
                </w14:textOutline>
              </w:rPr>
              <w:t>夹角</w:t>
            </w:r>
          </w:p>
          <w:p w14:paraId="1FA969FB">
            <w:pPr>
              <w:spacing w:before="25" w:line="289" w:lineRule="exact"/>
              <w:ind w:left="284"/>
              <w:rPr>
                <w:rFonts w:ascii="Times New Roman" w:hAnsi="Times New Roman" w:eastAsia="Times New Roman" w:cs="Times New Roman"/>
                <w:sz w:val="20"/>
                <w:szCs w:val="20"/>
              </w:rPr>
            </w:pPr>
            <w:r>
              <w:rPr>
                <w:rFonts w:ascii="Times New Roman" w:hAnsi="Times New Roman" w:eastAsia="Times New Roman" w:cs="Times New Roman"/>
                <w:b/>
                <w:bCs/>
                <w:spacing w:val="4"/>
                <w:position w:val="2"/>
                <w:sz w:val="20"/>
                <w:szCs w:val="20"/>
              </w:rPr>
              <w:t>/</w:t>
            </w:r>
            <w:r>
              <w:rPr>
                <w:rFonts w:ascii="Times New Roman" w:hAnsi="Times New Roman" w:eastAsia="Times New Roman" w:cs="Times New Roman"/>
                <w:b/>
                <w:bCs/>
                <w:spacing w:val="3"/>
                <w:position w:val="2"/>
                <w:sz w:val="20"/>
                <w:szCs w:val="20"/>
              </w:rPr>
              <w:t>°</w:t>
            </w:r>
          </w:p>
        </w:tc>
        <w:tc>
          <w:tcPr>
            <w:tcW w:w="717" w:type="dxa"/>
            <w:vMerge w:val="restart"/>
            <w:tcBorders>
              <w:bottom w:val="nil"/>
            </w:tcBorders>
            <w:vAlign w:val="top"/>
          </w:tcPr>
          <w:p w14:paraId="7E28E650">
            <w:pPr>
              <w:spacing w:before="81" w:line="274" w:lineRule="auto"/>
              <w:ind w:left="42" w:right="29" w:firstLine="7"/>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面</w:t>
            </w:r>
            <w:r>
              <w:rPr>
                <w:rFonts w:ascii="宋体" w:hAnsi="宋体" w:eastAsia="宋体" w:cs="宋体"/>
                <w:spacing w:val="7"/>
                <w:sz w:val="20"/>
                <w:szCs w:val="20"/>
                <w14:textOutline w14:w="3795" w14:cap="sq" w14:cmpd="sng">
                  <w14:solidFill>
                    <w14:srgbClr w14:val="000000"/>
                  </w14:solidFill>
                  <w14:prstDash w14:val="solid"/>
                  <w14:bevel/>
                </w14:textOutline>
              </w:rPr>
              <w:t>源有</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效排</w:t>
            </w:r>
            <w:r>
              <w:rPr>
                <w:rFonts w:ascii="宋体" w:hAnsi="宋体" w:eastAsia="宋体" w:cs="宋体"/>
                <w:spacing w:val="9"/>
                <w:sz w:val="20"/>
                <w:szCs w:val="20"/>
                <w14:textOutline w14:w="3795" w14:cap="sq" w14:cmpd="sng">
                  <w14:solidFill>
                    <w14:srgbClr w14:val="000000"/>
                  </w14:solidFill>
                  <w14:prstDash w14:val="solid"/>
                  <w14:bevel/>
                </w14:textOutline>
              </w:rPr>
              <w:t>放</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高度</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w:t>
            </w:r>
          </w:p>
        </w:tc>
        <w:tc>
          <w:tcPr>
            <w:tcW w:w="672" w:type="dxa"/>
            <w:vMerge w:val="restart"/>
            <w:tcBorders>
              <w:bottom w:val="nil"/>
            </w:tcBorders>
            <w:vAlign w:val="top"/>
          </w:tcPr>
          <w:p w14:paraId="12BC239D">
            <w:pPr>
              <w:spacing w:before="80" w:line="228" w:lineRule="auto"/>
              <w:ind w:left="13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年</w:t>
            </w:r>
            <w:r>
              <w:rPr>
                <w:rFonts w:ascii="宋体" w:hAnsi="宋体" w:eastAsia="宋体" w:cs="宋体"/>
                <w:spacing w:val="5"/>
                <w:sz w:val="20"/>
                <w:szCs w:val="20"/>
                <w14:textOutline w14:w="3795" w14:cap="sq" w14:cmpd="sng">
                  <w14:solidFill>
                    <w14:srgbClr w14:val="000000"/>
                  </w14:solidFill>
                  <w14:prstDash w14:val="solid"/>
                  <w14:bevel/>
                </w14:textOutline>
              </w:rPr>
              <w:t>排</w:t>
            </w:r>
          </w:p>
          <w:p w14:paraId="1F363F9C">
            <w:pPr>
              <w:spacing w:before="65" w:line="229" w:lineRule="auto"/>
              <w:ind w:left="13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放小</w:t>
            </w:r>
          </w:p>
          <w:p w14:paraId="5CA8FFCC">
            <w:pPr>
              <w:spacing w:before="22" w:line="289" w:lineRule="exact"/>
              <w:ind w:left="54"/>
              <w:rPr>
                <w:rFonts w:ascii="Times New Roman" w:hAnsi="Times New Roman" w:eastAsia="Times New Roman" w:cs="Times New Roman"/>
                <w:sz w:val="20"/>
                <w:szCs w:val="20"/>
              </w:rPr>
            </w:pPr>
            <w:r>
              <w:rPr>
                <w:rFonts w:ascii="宋体" w:hAnsi="宋体" w:eastAsia="宋体" w:cs="宋体"/>
                <w:spacing w:val="4"/>
                <w:position w:val="1"/>
                <w:sz w:val="20"/>
                <w:szCs w:val="20"/>
                <w14:textOutline w14:w="3795" w14:cap="sq" w14:cmpd="sng">
                  <w14:solidFill>
                    <w14:srgbClr w14:val="000000"/>
                  </w14:solidFill>
                  <w14:prstDash w14:val="solid"/>
                  <w14:bevel/>
                </w14:textOutline>
              </w:rPr>
              <w:t>时数</w:t>
            </w:r>
            <w:r>
              <w:rPr>
                <w:rFonts w:ascii="Times New Roman" w:hAnsi="Times New Roman" w:eastAsia="Times New Roman" w:cs="Times New Roman"/>
                <w:b/>
                <w:bCs/>
                <w:spacing w:val="3"/>
                <w:position w:val="1"/>
                <w:sz w:val="20"/>
                <w:szCs w:val="20"/>
              </w:rPr>
              <w:t>/</w:t>
            </w:r>
            <w:r>
              <w:rPr>
                <w:rFonts w:ascii="Times New Roman" w:hAnsi="Times New Roman" w:eastAsia="Times New Roman" w:cs="Times New Roman"/>
                <w:b/>
                <w:bCs/>
                <w:position w:val="1"/>
                <w:sz w:val="20"/>
                <w:szCs w:val="20"/>
              </w:rPr>
              <w:t>h</w:t>
            </w:r>
          </w:p>
        </w:tc>
        <w:tc>
          <w:tcPr>
            <w:tcW w:w="510" w:type="dxa"/>
            <w:vMerge w:val="restart"/>
            <w:tcBorders>
              <w:bottom w:val="nil"/>
            </w:tcBorders>
            <w:vAlign w:val="top"/>
          </w:tcPr>
          <w:p w14:paraId="13291A2C">
            <w:pPr>
              <w:spacing w:before="236" w:line="301" w:lineRule="auto"/>
              <w:ind w:left="53" w:right="41" w:hanging="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排放</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工</w:t>
            </w:r>
            <w:r>
              <w:rPr>
                <w:rFonts w:ascii="宋体" w:hAnsi="宋体" w:eastAsia="宋体" w:cs="宋体"/>
                <w:spacing w:val="4"/>
                <w:sz w:val="20"/>
                <w:szCs w:val="20"/>
                <w14:textOutline w14:w="3795" w14:cap="sq" w14:cmpd="sng">
                  <w14:solidFill>
                    <w14:srgbClr w14:val="000000"/>
                  </w14:solidFill>
                  <w14:prstDash w14:val="solid"/>
                  <w14:bevel/>
                </w14:textOutline>
              </w:rPr>
              <w:t>况</w:t>
            </w:r>
          </w:p>
        </w:tc>
        <w:tc>
          <w:tcPr>
            <w:tcW w:w="1379" w:type="dxa"/>
            <w:gridSpan w:val="2"/>
            <w:tcBorders>
              <w:right w:val="nil"/>
            </w:tcBorders>
            <w:vAlign w:val="top"/>
          </w:tcPr>
          <w:p w14:paraId="41986469">
            <w:pPr>
              <w:spacing w:before="76" w:line="265" w:lineRule="auto"/>
              <w:ind w:left="183" w:right="57" w:hanging="117"/>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染物排放速</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率</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h</w:t>
            </w:r>
            <w:r>
              <w:rPr>
                <w:rFonts w:ascii="宋体" w:hAnsi="宋体" w:eastAsia="宋体" w:cs="宋体"/>
                <w:spacing w:val="5"/>
                <w:sz w:val="20"/>
                <w:szCs w:val="20"/>
                <w14:textOutline w14:w="3795" w14:cap="sq" w14:cmpd="sng">
                  <w14:solidFill>
                    <w14:srgbClr w14:val="000000"/>
                  </w14:solidFill>
                  <w14:prstDash w14:val="solid"/>
                  <w14:bevel/>
                </w14:textOutline>
              </w:rPr>
              <w:t>)</w:t>
            </w:r>
          </w:p>
        </w:tc>
      </w:tr>
      <w:tr w14:paraId="350D9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12" w:type="dxa"/>
            <w:vMerge w:val="continue"/>
            <w:tcBorders>
              <w:top w:val="nil"/>
              <w:left w:val="nil"/>
            </w:tcBorders>
            <w:textDirection w:val="tbRlV"/>
            <w:vAlign w:val="top"/>
          </w:tcPr>
          <w:p w14:paraId="62ABB180">
            <w:pPr>
              <w:rPr>
                <w:rFonts w:ascii="Arial"/>
                <w:sz w:val="21"/>
              </w:rPr>
            </w:pPr>
          </w:p>
        </w:tc>
        <w:tc>
          <w:tcPr>
            <w:tcW w:w="513" w:type="dxa"/>
            <w:vMerge w:val="continue"/>
            <w:tcBorders>
              <w:top w:val="nil"/>
            </w:tcBorders>
            <w:vAlign w:val="top"/>
          </w:tcPr>
          <w:p w14:paraId="021AC537">
            <w:pPr>
              <w:rPr>
                <w:rFonts w:ascii="Arial"/>
                <w:sz w:val="21"/>
              </w:rPr>
            </w:pPr>
          </w:p>
        </w:tc>
        <w:tc>
          <w:tcPr>
            <w:tcW w:w="812" w:type="dxa"/>
            <w:vAlign w:val="top"/>
          </w:tcPr>
          <w:p w14:paraId="7AB6DF62">
            <w:pPr>
              <w:spacing w:before="92" w:line="192" w:lineRule="auto"/>
              <w:ind w:left="328"/>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765" w:type="dxa"/>
            <w:vAlign w:val="top"/>
          </w:tcPr>
          <w:p w14:paraId="100E7347">
            <w:pPr>
              <w:spacing w:before="92" w:line="192" w:lineRule="auto"/>
              <w:ind w:left="30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734" w:type="dxa"/>
            <w:vMerge w:val="continue"/>
            <w:tcBorders>
              <w:top w:val="nil"/>
            </w:tcBorders>
            <w:vAlign w:val="top"/>
          </w:tcPr>
          <w:p w14:paraId="427ED7CC">
            <w:pPr>
              <w:rPr>
                <w:rFonts w:ascii="Arial"/>
                <w:sz w:val="21"/>
              </w:rPr>
            </w:pPr>
          </w:p>
        </w:tc>
        <w:tc>
          <w:tcPr>
            <w:tcW w:w="523" w:type="dxa"/>
            <w:vMerge w:val="continue"/>
            <w:tcBorders>
              <w:top w:val="nil"/>
            </w:tcBorders>
            <w:vAlign w:val="top"/>
          </w:tcPr>
          <w:p w14:paraId="7BD0329C">
            <w:pPr>
              <w:rPr>
                <w:rFonts w:ascii="Arial"/>
                <w:sz w:val="21"/>
              </w:rPr>
            </w:pPr>
          </w:p>
        </w:tc>
        <w:tc>
          <w:tcPr>
            <w:tcW w:w="597" w:type="dxa"/>
            <w:vMerge w:val="continue"/>
            <w:tcBorders>
              <w:top w:val="nil"/>
            </w:tcBorders>
            <w:vAlign w:val="top"/>
          </w:tcPr>
          <w:p w14:paraId="6F7E3A51">
            <w:pPr>
              <w:rPr>
                <w:rFonts w:ascii="Arial"/>
                <w:sz w:val="21"/>
              </w:rPr>
            </w:pPr>
          </w:p>
        </w:tc>
        <w:tc>
          <w:tcPr>
            <w:tcW w:w="717" w:type="dxa"/>
            <w:vMerge w:val="continue"/>
            <w:tcBorders>
              <w:top w:val="nil"/>
            </w:tcBorders>
            <w:vAlign w:val="top"/>
          </w:tcPr>
          <w:p w14:paraId="3C5B11E0">
            <w:pPr>
              <w:rPr>
                <w:rFonts w:ascii="Arial"/>
                <w:sz w:val="21"/>
              </w:rPr>
            </w:pPr>
          </w:p>
        </w:tc>
        <w:tc>
          <w:tcPr>
            <w:tcW w:w="717" w:type="dxa"/>
            <w:vMerge w:val="continue"/>
            <w:tcBorders>
              <w:top w:val="nil"/>
            </w:tcBorders>
            <w:vAlign w:val="top"/>
          </w:tcPr>
          <w:p w14:paraId="0850DEA9">
            <w:pPr>
              <w:rPr>
                <w:rFonts w:ascii="Arial"/>
                <w:sz w:val="21"/>
              </w:rPr>
            </w:pPr>
          </w:p>
        </w:tc>
        <w:tc>
          <w:tcPr>
            <w:tcW w:w="672" w:type="dxa"/>
            <w:vMerge w:val="continue"/>
            <w:tcBorders>
              <w:top w:val="nil"/>
            </w:tcBorders>
            <w:vAlign w:val="top"/>
          </w:tcPr>
          <w:p w14:paraId="5D16EC20">
            <w:pPr>
              <w:rPr>
                <w:rFonts w:ascii="Arial"/>
                <w:sz w:val="21"/>
              </w:rPr>
            </w:pPr>
          </w:p>
        </w:tc>
        <w:tc>
          <w:tcPr>
            <w:tcW w:w="510" w:type="dxa"/>
            <w:vMerge w:val="continue"/>
            <w:tcBorders>
              <w:top w:val="nil"/>
            </w:tcBorders>
            <w:vAlign w:val="top"/>
          </w:tcPr>
          <w:p w14:paraId="2C43421F">
            <w:pPr>
              <w:rPr>
                <w:rFonts w:ascii="Arial"/>
                <w:sz w:val="21"/>
              </w:rPr>
            </w:pPr>
          </w:p>
        </w:tc>
        <w:tc>
          <w:tcPr>
            <w:tcW w:w="629" w:type="dxa"/>
            <w:vAlign w:val="top"/>
          </w:tcPr>
          <w:p w14:paraId="0D0C7632">
            <w:pPr>
              <w:spacing w:before="89" w:line="195" w:lineRule="auto"/>
              <w:ind w:left="12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w:t>
            </w:r>
            <w:r>
              <w:rPr>
                <w:rFonts w:ascii="Times New Roman" w:hAnsi="Times New Roman" w:eastAsia="Times New Roman" w:cs="Times New Roman"/>
                <w:b/>
                <w:bCs/>
                <w:spacing w:val="2"/>
                <w:sz w:val="20"/>
                <w:szCs w:val="20"/>
              </w:rPr>
              <w:t>SP</w:t>
            </w:r>
          </w:p>
        </w:tc>
        <w:tc>
          <w:tcPr>
            <w:tcW w:w="750" w:type="dxa"/>
            <w:tcBorders>
              <w:right w:val="nil"/>
            </w:tcBorders>
            <w:vAlign w:val="top"/>
          </w:tcPr>
          <w:p w14:paraId="4FDFC077">
            <w:pPr>
              <w:spacing w:before="89" w:line="195" w:lineRule="auto"/>
              <w:ind w:left="44"/>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r>
      <w:tr w14:paraId="5BD07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12" w:type="dxa"/>
            <w:tcBorders>
              <w:left w:val="nil"/>
            </w:tcBorders>
            <w:vAlign w:val="top"/>
          </w:tcPr>
          <w:p w14:paraId="2F50C9C2">
            <w:pPr>
              <w:spacing w:before="24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13" w:type="dxa"/>
            <w:vAlign w:val="top"/>
          </w:tcPr>
          <w:p w14:paraId="123702FF">
            <w:pPr>
              <w:spacing w:before="56" w:line="258" w:lineRule="auto"/>
              <w:ind w:left="52" w:right="47"/>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4"/>
                <w:sz w:val="20"/>
                <w:szCs w:val="20"/>
              </w:rPr>
              <w:t>厂</w:t>
            </w:r>
            <w:r>
              <w:rPr>
                <w:rFonts w:ascii="宋体" w:hAnsi="宋体" w:eastAsia="宋体" w:cs="宋体"/>
                <w:spacing w:val="3"/>
                <w:sz w:val="20"/>
                <w:szCs w:val="20"/>
              </w:rPr>
              <w:t>房</w:t>
            </w:r>
          </w:p>
        </w:tc>
        <w:tc>
          <w:tcPr>
            <w:tcW w:w="812" w:type="dxa"/>
            <w:vAlign w:val="top"/>
          </w:tcPr>
          <w:p w14:paraId="5EAD6D49">
            <w:pPr>
              <w:spacing w:before="92" w:line="312" w:lineRule="exact"/>
              <w:ind w:left="72"/>
              <w:rPr>
                <w:rFonts w:ascii="Times New Roman" w:hAnsi="Times New Roman" w:eastAsia="Times New Roman" w:cs="Times New Roman"/>
                <w:sz w:val="20"/>
                <w:szCs w:val="20"/>
              </w:rPr>
            </w:pPr>
            <w:r>
              <w:rPr>
                <w:rFonts w:ascii="Times New Roman" w:hAnsi="Times New Roman" w:eastAsia="Times New Roman" w:cs="Times New Roman"/>
                <w:spacing w:val="-4"/>
                <w:position w:val="11"/>
                <w:sz w:val="20"/>
                <w:szCs w:val="20"/>
              </w:rPr>
              <w:t>123°42′3</w:t>
            </w:r>
          </w:p>
          <w:p w14:paraId="105B901D">
            <w:pPr>
              <w:spacing w:line="197" w:lineRule="auto"/>
              <w:ind w:left="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2.2561</w:t>
            </w:r>
            <w:r>
              <w:rPr>
                <w:rFonts w:ascii="Times New Roman" w:hAnsi="Times New Roman" w:eastAsia="Times New Roman" w:cs="Times New Roman"/>
                <w:sz w:val="20"/>
                <w:szCs w:val="20"/>
              </w:rPr>
              <w:t>3″</w:t>
            </w:r>
          </w:p>
        </w:tc>
        <w:tc>
          <w:tcPr>
            <w:tcW w:w="765" w:type="dxa"/>
            <w:vAlign w:val="top"/>
          </w:tcPr>
          <w:p w14:paraId="2FCE0923">
            <w:pPr>
              <w:spacing w:before="92" w:line="312" w:lineRule="exact"/>
              <w:ind w:left="26"/>
              <w:rPr>
                <w:rFonts w:ascii="Times New Roman" w:hAnsi="Times New Roman" w:eastAsia="Times New Roman" w:cs="Times New Roman"/>
                <w:sz w:val="20"/>
                <w:szCs w:val="20"/>
              </w:rPr>
            </w:pPr>
            <w:r>
              <w:rPr>
                <w:rFonts w:ascii="Times New Roman" w:hAnsi="Times New Roman" w:eastAsia="Times New Roman" w:cs="Times New Roman"/>
                <w:spacing w:val="-1"/>
                <w:position w:val="11"/>
                <w:sz w:val="20"/>
                <w:szCs w:val="20"/>
              </w:rPr>
              <w:t>41°21′</w:t>
            </w:r>
            <w:r>
              <w:rPr>
                <w:rFonts w:ascii="Times New Roman" w:hAnsi="Times New Roman" w:eastAsia="Times New Roman" w:cs="Times New Roman"/>
                <w:position w:val="11"/>
                <w:sz w:val="20"/>
                <w:szCs w:val="20"/>
              </w:rPr>
              <w:t>55</w:t>
            </w:r>
          </w:p>
          <w:p w14:paraId="68709CF5">
            <w:pPr>
              <w:spacing w:line="194" w:lineRule="auto"/>
              <w:ind w:left="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.39816″</w:t>
            </w:r>
          </w:p>
        </w:tc>
        <w:tc>
          <w:tcPr>
            <w:tcW w:w="734" w:type="dxa"/>
            <w:vAlign w:val="top"/>
          </w:tcPr>
          <w:p w14:paraId="17139B83">
            <w:pPr>
              <w:spacing w:before="248" w:line="195" w:lineRule="auto"/>
              <w:ind w:left="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206.788</w:t>
            </w:r>
          </w:p>
        </w:tc>
        <w:tc>
          <w:tcPr>
            <w:tcW w:w="523" w:type="dxa"/>
            <w:vAlign w:val="top"/>
          </w:tcPr>
          <w:p w14:paraId="09DBF622">
            <w:pPr>
              <w:spacing w:before="24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597" w:type="dxa"/>
            <w:vAlign w:val="top"/>
          </w:tcPr>
          <w:p w14:paraId="11955C38">
            <w:pPr>
              <w:spacing w:before="24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17" w:type="dxa"/>
            <w:vAlign w:val="top"/>
          </w:tcPr>
          <w:p w14:paraId="67A08559">
            <w:pPr>
              <w:spacing w:before="24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17" w:type="dxa"/>
            <w:vAlign w:val="top"/>
          </w:tcPr>
          <w:p w14:paraId="61E6EC16">
            <w:pPr>
              <w:spacing w:before="24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72" w:type="dxa"/>
            <w:vAlign w:val="top"/>
          </w:tcPr>
          <w:p w14:paraId="419860A5">
            <w:pPr>
              <w:spacing w:before="24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200</w:t>
            </w:r>
          </w:p>
        </w:tc>
        <w:tc>
          <w:tcPr>
            <w:tcW w:w="510" w:type="dxa"/>
            <w:vAlign w:val="top"/>
          </w:tcPr>
          <w:p w14:paraId="3019694C">
            <w:pPr>
              <w:spacing w:before="56" w:line="258" w:lineRule="auto"/>
              <w:ind w:left="53" w:right="43" w:firstLine="1"/>
              <w:rPr>
                <w:rFonts w:ascii="宋体" w:hAnsi="宋体" w:eastAsia="宋体" w:cs="宋体"/>
                <w:sz w:val="20"/>
                <w:szCs w:val="20"/>
              </w:rPr>
            </w:pPr>
            <w:r>
              <w:rPr>
                <w:rFonts w:ascii="宋体" w:hAnsi="宋体" w:eastAsia="宋体" w:cs="宋体"/>
                <w:spacing w:val="3"/>
                <w:sz w:val="20"/>
                <w:szCs w:val="20"/>
              </w:rPr>
              <w:t>正</w:t>
            </w:r>
            <w:r>
              <w:rPr>
                <w:rFonts w:ascii="宋体" w:hAnsi="宋体" w:eastAsia="宋体" w:cs="宋体"/>
                <w:spacing w:val="2"/>
                <w:sz w:val="20"/>
                <w:szCs w:val="20"/>
              </w:rPr>
              <w:t>常</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况</w:t>
            </w:r>
          </w:p>
        </w:tc>
        <w:tc>
          <w:tcPr>
            <w:tcW w:w="629" w:type="dxa"/>
            <w:vAlign w:val="top"/>
          </w:tcPr>
          <w:p w14:paraId="190F6BCE">
            <w:pPr>
              <w:spacing w:before="24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0. 14</w:t>
            </w:r>
          </w:p>
        </w:tc>
        <w:tc>
          <w:tcPr>
            <w:tcW w:w="750" w:type="dxa"/>
            <w:tcBorders>
              <w:right w:val="nil"/>
            </w:tcBorders>
            <w:vAlign w:val="top"/>
          </w:tcPr>
          <w:p w14:paraId="4C9C7548">
            <w:pPr>
              <w:spacing w:before="24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.25</w:t>
            </w:r>
          </w:p>
        </w:tc>
      </w:tr>
    </w:tbl>
    <w:p w14:paraId="7931DA08">
      <w:pPr>
        <w:spacing w:line="259" w:lineRule="auto"/>
        <w:rPr>
          <w:rFonts w:ascii="Arial"/>
          <w:sz w:val="21"/>
        </w:rPr>
      </w:pPr>
    </w:p>
    <w:p w14:paraId="3BAAAB79">
      <w:pPr>
        <w:spacing w:before="74" w:line="225" w:lineRule="auto"/>
        <w:ind w:left="515"/>
        <w:rPr>
          <w:rFonts w:ascii="宋体" w:hAnsi="宋体" w:eastAsia="宋体" w:cs="宋体"/>
          <w:sz w:val="23"/>
          <w:szCs w:val="23"/>
        </w:rPr>
      </w:pPr>
      <w:r>
        <w:rPr>
          <w:rFonts w:ascii="宋体" w:hAnsi="宋体" w:eastAsia="宋体" w:cs="宋体"/>
          <w:spacing w:val="9"/>
          <w:sz w:val="23"/>
          <w:szCs w:val="23"/>
        </w:rPr>
        <w:t>④影响预测结</w:t>
      </w:r>
      <w:r>
        <w:rPr>
          <w:rFonts w:ascii="宋体" w:hAnsi="宋体" w:eastAsia="宋体" w:cs="宋体"/>
          <w:spacing w:val="8"/>
          <w:sz w:val="23"/>
          <w:szCs w:val="23"/>
        </w:rPr>
        <w:t>果</w:t>
      </w:r>
    </w:p>
    <w:p w14:paraId="6D345C41">
      <w:pPr>
        <w:spacing w:line="279" w:lineRule="auto"/>
        <w:rPr>
          <w:rFonts w:ascii="Arial"/>
          <w:sz w:val="21"/>
        </w:rPr>
      </w:pPr>
    </w:p>
    <w:p w14:paraId="21859F68">
      <w:pPr>
        <w:spacing w:before="76" w:line="392" w:lineRule="auto"/>
        <w:ind w:left="37" w:right="25" w:firstLine="479"/>
        <w:rPr>
          <w:rFonts w:ascii="宋体" w:hAnsi="宋体" w:eastAsia="宋体" w:cs="宋体"/>
          <w:sz w:val="23"/>
          <w:szCs w:val="23"/>
        </w:rPr>
      </w:pPr>
      <w:r>
        <w:rPr>
          <w:rFonts w:ascii="宋体" w:hAnsi="宋体" w:eastAsia="宋体" w:cs="宋体"/>
          <w:spacing w:val="25"/>
          <w:sz w:val="23"/>
          <w:szCs w:val="23"/>
        </w:rPr>
        <w:t>采</w:t>
      </w:r>
      <w:r>
        <w:rPr>
          <w:rFonts w:ascii="宋体" w:hAnsi="宋体" w:eastAsia="宋体" w:cs="宋体"/>
          <w:spacing w:val="16"/>
          <w:sz w:val="23"/>
          <w:szCs w:val="23"/>
        </w:rPr>
        <w:t>用</w:t>
      </w:r>
      <w:r>
        <w:rPr>
          <w:rFonts w:ascii="Times New Roman" w:hAnsi="Times New Roman" w:eastAsia="Times New Roman" w:cs="Times New Roman"/>
          <w:sz w:val="23"/>
          <w:szCs w:val="23"/>
        </w:rPr>
        <w:t>AERSCREEN</w:t>
      </w:r>
      <w:r>
        <w:rPr>
          <w:rFonts w:ascii="Times New Roman" w:hAnsi="Times New Roman" w:eastAsia="Times New Roman" w:cs="Times New Roman"/>
          <w:spacing w:val="16"/>
          <w:sz w:val="23"/>
          <w:szCs w:val="23"/>
        </w:rPr>
        <w:t xml:space="preserve"> </w:t>
      </w:r>
      <w:r>
        <w:rPr>
          <w:rFonts w:ascii="宋体" w:hAnsi="宋体" w:eastAsia="宋体" w:cs="宋体"/>
          <w:spacing w:val="16"/>
          <w:sz w:val="23"/>
          <w:szCs w:val="23"/>
        </w:rPr>
        <w:t>估算模式对本项目排放的有组织、无组织的废气进行了</w:t>
      </w:r>
      <w:r>
        <w:rPr>
          <w:rFonts w:ascii="宋体" w:hAnsi="宋体" w:eastAsia="宋体" w:cs="宋体"/>
          <w:sz w:val="23"/>
          <w:szCs w:val="23"/>
        </w:rPr>
        <w:t xml:space="preserve"> </w:t>
      </w:r>
      <w:r>
        <w:rPr>
          <w:rFonts w:ascii="宋体" w:hAnsi="宋体" w:eastAsia="宋体" w:cs="宋体"/>
          <w:spacing w:val="-4"/>
          <w:sz w:val="23"/>
          <w:szCs w:val="23"/>
        </w:rPr>
        <w:t>估</w:t>
      </w:r>
      <w:r>
        <w:rPr>
          <w:rFonts w:ascii="宋体" w:hAnsi="宋体" w:eastAsia="宋体" w:cs="宋体"/>
          <w:spacing w:val="-3"/>
          <w:sz w:val="23"/>
          <w:szCs w:val="23"/>
        </w:rPr>
        <w:t>算</w:t>
      </w:r>
      <w:r>
        <w:rPr>
          <w:rFonts w:ascii="宋体" w:hAnsi="宋体" w:eastAsia="宋体" w:cs="宋体"/>
          <w:spacing w:val="-2"/>
          <w:sz w:val="23"/>
          <w:szCs w:val="23"/>
        </w:rPr>
        <w:t xml:space="preserve">，预测结果见表 </w:t>
      </w:r>
      <w:r>
        <w:rPr>
          <w:rFonts w:ascii="Times New Roman" w:hAnsi="Times New Roman" w:eastAsia="Times New Roman" w:cs="Times New Roman"/>
          <w:spacing w:val="-2"/>
          <w:sz w:val="23"/>
          <w:szCs w:val="23"/>
        </w:rPr>
        <w:t>5-8~</w:t>
      </w:r>
      <w:r>
        <w:rPr>
          <w:rFonts w:ascii="宋体" w:hAnsi="宋体" w:eastAsia="宋体" w:cs="宋体"/>
          <w:spacing w:val="-2"/>
          <w:sz w:val="23"/>
          <w:szCs w:val="23"/>
        </w:rPr>
        <w:t xml:space="preserve">表 </w:t>
      </w:r>
      <w:r>
        <w:rPr>
          <w:rFonts w:ascii="Times New Roman" w:hAnsi="Times New Roman" w:eastAsia="Times New Roman" w:cs="Times New Roman"/>
          <w:spacing w:val="-2"/>
          <w:sz w:val="23"/>
          <w:szCs w:val="23"/>
        </w:rPr>
        <w:t>5- 11</w:t>
      </w:r>
      <w:r>
        <w:rPr>
          <w:rFonts w:ascii="宋体" w:hAnsi="宋体" w:eastAsia="宋体" w:cs="宋体"/>
          <w:spacing w:val="-2"/>
          <w:sz w:val="23"/>
          <w:szCs w:val="23"/>
        </w:rPr>
        <w:t>。</w:t>
      </w:r>
    </w:p>
    <w:p w14:paraId="365E4AAB">
      <w:pPr>
        <w:spacing w:before="91" w:line="332" w:lineRule="exact"/>
        <w:ind w:left="758"/>
        <w:rPr>
          <w:rFonts w:ascii="宋体" w:hAnsi="宋体" w:eastAsia="宋体" w:cs="宋体"/>
          <w:sz w:val="23"/>
          <w:szCs w:val="23"/>
        </w:rPr>
      </w:pPr>
      <w:r>
        <w:rPr>
          <w:rFonts w:ascii="宋体" w:hAnsi="宋体" w:eastAsia="宋体" w:cs="宋体"/>
          <w:spacing w:val="12"/>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12"/>
          <w:position w:val="2"/>
          <w:sz w:val="23"/>
          <w:szCs w:val="23"/>
        </w:rPr>
        <w:t xml:space="preserve"> </w:t>
      </w:r>
      <w:r>
        <w:rPr>
          <w:rFonts w:ascii="Times New Roman" w:hAnsi="Times New Roman" w:eastAsia="Times New Roman" w:cs="Times New Roman"/>
          <w:b/>
          <w:bCs/>
          <w:spacing w:val="9"/>
          <w:position w:val="2"/>
          <w:sz w:val="23"/>
          <w:szCs w:val="23"/>
        </w:rPr>
        <w:t>5</w:t>
      </w:r>
      <w:r>
        <w:rPr>
          <w:rFonts w:ascii="Times New Roman" w:hAnsi="Times New Roman" w:eastAsia="Times New Roman" w:cs="Times New Roman"/>
          <w:b/>
          <w:bCs/>
          <w:spacing w:val="6"/>
          <w:position w:val="2"/>
          <w:sz w:val="23"/>
          <w:szCs w:val="23"/>
        </w:rPr>
        <w:t>-8</w:t>
      </w:r>
      <w:r>
        <w:rPr>
          <w:rFonts w:ascii="Times New Roman" w:hAnsi="Times New Roman" w:eastAsia="Times New Roman" w:cs="Times New Roman"/>
          <w:spacing w:val="6"/>
          <w:position w:val="2"/>
          <w:sz w:val="23"/>
          <w:szCs w:val="23"/>
        </w:rPr>
        <w:t xml:space="preserve">        </w:t>
      </w:r>
      <w:r>
        <w:rPr>
          <w:rFonts w:ascii="Times New Roman" w:hAnsi="Times New Roman" w:eastAsia="Times New Roman" w:cs="Times New Roman"/>
          <w:b/>
          <w:bCs/>
          <w:spacing w:val="6"/>
          <w:position w:val="2"/>
          <w:sz w:val="23"/>
          <w:szCs w:val="23"/>
        </w:rPr>
        <w:t>1#</w:t>
      </w:r>
      <w:r>
        <w:rPr>
          <w:rFonts w:ascii="宋体" w:hAnsi="宋体" w:eastAsia="宋体" w:cs="宋体"/>
          <w:spacing w:val="6"/>
          <w:position w:val="2"/>
          <w:sz w:val="23"/>
          <w:szCs w:val="23"/>
          <w14:textOutline w14:w="4358" w14:cap="sq" w14:cmpd="sng">
            <w14:solidFill>
              <w14:srgbClr w14:val="000000"/>
            </w14:solidFill>
            <w14:prstDash w14:val="solid"/>
            <w14:bevel/>
          </w14:textOutline>
        </w:rPr>
        <w:t>排气筒有组织废气主要污染因子估算模式的计算结果</w:t>
      </w:r>
    </w:p>
    <w:p w14:paraId="2FB13D2B">
      <w:pPr>
        <w:spacing w:line="17" w:lineRule="exact"/>
      </w:pPr>
    </w:p>
    <w:tbl>
      <w:tblPr>
        <w:tblStyle w:val="4"/>
        <w:tblW w:w="83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1"/>
        <w:gridCol w:w="2118"/>
        <w:gridCol w:w="2296"/>
        <w:gridCol w:w="2297"/>
      </w:tblGrid>
      <w:tr w14:paraId="011D2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651" w:type="dxa"/>
            <w:vMerge w:val="restart"/>
            <w:tcBorders>
              <w:left w:val="nil"/>
              <w:bottom w:val="nil"/>
            </w:tcBorders>
            <w:vAlign w:val="top"/>
          </w:tcPr>
          <w:p w14:paraId="487854CA">
            <w:pPr>
              <w:spacing w:line="329" w:lineRule="auto"/>
              <w:rPr>
                <w:rFonts w:ascii="Arial"/>
                <w:sz w:val="21"/>
              </w:rPr>
            </w:pPr>
          </w:p>
          <w:p w14:paraId="7DB96FE8">
            <w:pPr>
              <w:spacing w:before="65" w:line="229" w:lineRule="auto"/>
              <w:ind w:left="62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118" w:type="dxa"/>
            <w:vMerge w:val="restart"/>
            <w:tcBorders>
              <w:bottom w:val="nil"/>
            </w:tcBorders>
            <w:vAlign w:val="top"/>
          </w:tcPr>
          <w:p w14:paraId="3E03C358">
            <w:pPr>
              <w:spacing w:line="288" w:lineRule="auto"/>
              <w:rPr>
                <w:rFonts w:ascii="Arial"/>
                <w:sz w:val="21"/>
              </w:rPr>
            </w:pPr>
          </w:p>
          <w:p w14:paraId="225AD2FF">
            <w:pPr>
              <w:spacing w:before="65" w:line="289" w:lineRule="exact"/>
              <w:ind w:left="697"/>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距离</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c>
          <w:tcPr>
            <w:tcW w:w="4593" w:type="dxa"/>
            <w:gridSpan w:val="2"/>
            <w:tcBorders>
              <w:right w:val="nil"/>
            </w:tcBorders>
            <w:vAlign w:val="top"/>
          </w:tcPr>
          <w:p w14:paraId="4672A082">
            <w:pPr>
              <w:spacing w:before="43" w:line="286" w:lineRule="exact"/>
              <w:ind w:left="1991"/>
              <w:rPr>
                <w:rFonts w:ascii="宋体" w:hAnsi="宋体" w:eastAsia="宋体" w:cs="宋体"/>
                <w:sz w:val="20"/>
                <w:szCs w:val="20"/>
              </w:rPr>
            </w:pPr>
            <w:r>
              <w:rPr>
                <w:rFonts w:ascii="Times New Roman" w:hAnsi="Times New Roman" w:eastAsia="Times New Roman" w:cs="Times New Roman"/>
                <w:b/>
                <w:bCs/>
                <w:spacing w:val="5"/>
                <w:position w:val="1"/>
                <w:sz w:val="20"/>
                <w:szCs w:val="20"/>
              </w:rPr>
              <w:t>1</w:t>
            </w:r>
            <w:r>
              <w:rPr>
                <w:rFonts w:ascii="Times New Roman" w:hAnsi="Times New Roman" w:eastAsia="Times New Roman" w:cs="Times New Roman"/>
                <w:b/>
                <w:bCs/>
                <w:spacing w:val="4"/>
                <w:position w:val="1"/>
                <w:sz w:val="20"/>
                <w:szCs w:val="20"/>
              </w:rPr>
              <w:t>#</w:t>
            </w:r>
            <w:r>
              <w:rPr>
                <w:rFonts w:ascii="宋体" w:hAnsi="宋体" w:eastAsia="宋体" w:cs="宋体"/>
                <w:spacing w:val="4"/>
                <w:position w:val="1"/>
                <w:sz w:val="20"/>
                <w:szCs w:val="20"/>
                <w14:textOutline w14:w="3751" w14:cap="sq" w14:cmpd="sng">
                  <w14:solidFill>
                    <w14:srgbClr w14:val="000000"/>
                  </w14:solidFill>
                  <w14:prstDash w14:val="solid"/>
                  <w14:bevel/>
                </w14:textOutline>
              </w:rPr>
              <w:t>点源</w:t>
            </w:r>
          </w:p>
        </w:tc>
      </w:tr>
      <w:tr w14:paraId="5747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vMerge w:val="continue"/>
            <w:tcBorders>
              <w:top w:val="nil"/>
              <w:left w:val="nil"/>
              <w:bottom w:val="nil"/>
            </w:tcBorders>
            <w:vAlign w:val="top"/>
          </w:tcPr>
          <w:p w14:paraId="788B5D74">
            <w:pPr>
              <w:rPr>
                <w:rFonts w:ascii="Arial"/>
                <w:sz w:val="21"/>
              </w:rPr>
            </w:pPr>
          </w:p>
        </w:tc>
        <w:tc>
          <w:tcPr>
            <w:tcW w:w="2118" w:type="dxa"/>
            <w:vMerge w:val="continue"/>
            <w:tcBorders>
              <w:top w:val="nil"/>
              <w:bottom w:val="nil"/>
            </w:tcBorders>
            <w:vAlign w:val="top"/>
          </w:tcPr>
          <w:p w14:paraId="48C58E68">
            <w:pPr>
              <w:rPr>
                <w:rFonts w:ascii="Arial"/>
                <w:sz w:val="21"/>
              </w:rPr>
            </w:pPr>
          </w:p>
        </w:tc>
        <w:tc>
          <w:tcPr>
            <w:tcW w:w="4593" w:type="dxa"/>
            <w:gridSpan w:val="2"/>
            <w:tcBorders>
              <w:right w:val="nil"/>
            </w:tcBorders>
            <w:vAlign w:val="top"/>
          </w:tcPr>
          <w:p w14:paraId="6595C238">
            <w:pPr>
              <w:spacing w:before="98" w:line="195" w:lineRule="auto"/>
              <w:ind w:left="1964"/>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r>
      <w:tr w14:paraId="4D94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vMerge w:val="continue"/>
            <w:tcBorders>
              <w:top w:val="nil"/>
              <w:left w:val="nil"/>
            </w:tcBorders>
            <w:vAlign w:val="top"/>
          </w:tcPr>
          <w:p w14:paraId="49B41509">
            <w:pPr>
              <w:rPr>
                <w:rFonts w:ascii="Arial"/>
                <w:sz w:val="21"/>
              </w:rPr>
            </w:pPr>
          </w:p>
        </w:tc>
        <w:tc>
          <w:tcPr>
            <w:tcW w:w="2118" w:type="dxa"/>
            <w:vMerge w:val="continue"/>
            <w:tcBorders>
              <w:top w:val="nil"/>
            </w:tcBorders>
            <w:vAlign w:val="top"/>
          </w:tcPr>
          <w:p w14:paraId="2F91B58C">
            <w:pPr>
              <w:rPr>
                <w:rFonts w:ascii="Arial"/>
                <w:sz w:val="21"/>
              </w:rPr>
            </w:pPr>
          </w:p>
        </w:tc>
        <w:tc>
          <w:tcPr>
            <w:tcW w:w="2296" w:type="dxa"/>
            <w:vAlign w:val="top"/>
          </w:tcPr>
          <w:p w14:paraId="19CDC1EB">
            <w:pPr>
              <w:spacing w:before="22" w:line="282" w:lineRule="exact"/>
              <w:ind w:left="183"/>
              <w:rPr>
                <w:rFonts w:ascii="Times New Roman" w:hAnsi="Times New Roman" w:eastAsia="Times New Roman" w:cs="Times New Roman"/>
                <w:sz w:val="20"/>
                <w:szCs w:val="20"/>
              </w:rPr>
            </w:pPr>
            <w:r>
              <w:rPr>
                <w:rFonts w:ascii="宋体" w:hAnsi="宋体" w:eastAsia="宋体" w:cs="宋体"/>
                <w:spacing w:val="-15"/>
                <w:position w:val="2"/>
                <w:sz w:val="20"/>
                <w:szCs w:val="20"/>
                <w14:textOutline w14:w="3717" w14:cap="sq" w14:cmpd="sng">
                  <w14:solidFill>
                    <w14:srgbClr w14:val="000000"/>
                  </w14:solidFill>
                  <w14:prstDash w14:val="solid"/>
                  <w14:bevel/>
                </w14:textOutline>
              </w:rPr>
              <w:t>下</w:t>
            </w:r>
            <w:r>
              <w:rPr>
                <w:rFonts w:ascii="宋体" w:hAnsi="宋体" w:eastAsia="宋体" w:cs="宋体"/>
                <w:spacing w:val="-8"/>
                <w:position w:val="2"/>
                <w:sz w:val="20"/>
                <w:szCs w:val="20"/>
                <w14:textOutline w14:w="3717" w14:cap="sq" w14:cmpd="sng">
                  <w14:solidFill>
                    <w14:srgbClr w14:val="000000"/>
                  </w14:solidFill>
                  <w14:prstDash w14:val="solid"/>
                  <w14:bevel/>
                </w14:textOutline>
              </w:rPr>
              <w:t>风向预测浓度</w:t>
            </w:r>
            <w:r>
              <w:rPr>
                <w:rFonts w:ascii="Times New Roman" w:hAnsi="Times New Roman" w:eastAsia="Times New Roman" w:cs="Times New Roman"/>
                <w:b/>
                <w:bCs/>
                <w:spacing w:val="-8"/>
                <w:position w:val="2"/>
                <w:sz w:val="20"/>
                <w:szCs w:val="20"/>
              </w:rPr>
              <w:t>(mg/m</w:t>
            </w:r>
            <w:r>
              <w:rPr>
                <w:rFonts w:ascii="Times New Roman" w:hAnsi="Times New Roman" w:eastAsia="Times New Roman" w:cs="Times New Roman"/>
                <w:b/>
                <w:bCs/>
                <w:spacing w:val="-8"/>
                <w:position w:val="8"/>
                <w:sz w:val="13"/>
                <w:szCs w:val="13"/>
              </w:rPr>
              <w:t>3</w:t>
            </w:r>
            <w:r>
              <w:rPr>
                <w:rFonts w:ascii="Times New Roman" w:hAnsi="Times New Roman" w:eastAsia="Times New Roman" w:cs="Times New Roman"/>
                <w:b/>
                <w:bCs/>
                <w:spacing w:val="-8"/>
                <w:position w:val="2"/>
                <w:sz w:val="20"/>
                <w:szCs w:val="20"/>
              </w:rPr>
              <w:t>)</w:t>
            </w:r>
          </w:p>
        </w:tc>
        <w:tc>
          <w:tcPr>
            <w:tcW w:w="2297" w:type="dxa"/>
            <w:tcBorders>
              <w:right w:val="nil"/>
            </w:tcBorders>
            <w:vAlign w:val="top"/>
          </w:tcPr>
          <w:p w14:paraId="7C147DD5">
            <w:pPr>
              <w:spacing w:before="22" w:line="282" w:lineRule="exact"/>
              <w:ind w:left="698"/>
              <w:rPr>
                <w:rFonts w:ascii="Times New Roman" w:hAnsi="Times New Roman" w:eastAsia="Times New Roman" w:cs="Times New Roman"/>
                <w:sz w:val="20"/>
                <w:szCs w:val="20"/>
              </w:rPr>
            </w:pPr>
            <w:r>
              <w:rPr>
                <w:rFonts w:ascii="宋体" w:hAnsi="宋体" w:eastAsia="宋体" w:cs="宋体"/>
                <w:spacing w:val="1"/>
                <w:position w:val="2"/>
                <w:sz w:val="20"/>
                <w:szCs w:val="20"/>
                <w14:textOutline w14:w="3717" w14:cap="sq" w14:cmpd="sng">
                  <w14:solidFill>
                    <w14:srgbClr w14:val="000000"/>
                  </w14:solidFill>
                  <w14:prstDash w14:val="solid"/>
                  <w14:bevel/>
                </w14:textOutline>
              </w:rPr>
              <w:t>占标率</w:t>
            </w:r>
            <w:r>
              <w:rPr>
                <w:rFonts w:ascii="Times New Roman" w:hAnsi="Times New Roman" w:eastAsia="Times New Roman" w:cs="Times New Roman"/>
                <w:b/>
                <w:bCs/>
                <w:spacing w:val="1"/>
                <w:position w:val="2"/>
                <w:sz w:val="20"/>
                <w:szCs w:val="20"/>
              </w:rPr>
              <w:t>(%</w:t>
            </w:r>
            <w:r>
              <w:rPr>
                <w:rFonts w:ascii="Times New Roman" w:hAnsi="Times New Roman" w:eastAsia="Times New Roman" w:cs="Times New Roman"/>
                <w:b/>
                <w:bCs/>
                <w:position w:val="2"/>
                <w:sz w:val="20"/>
                <w:szCs w:val="20"/>
              </w:rPr>
              <w:t>)</w:t>
            </w:r>
          </w:p>
        </w:tc>
      </w:tr>
      <w:tr w14:paraId="32BD1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66B696E">
            <w:pPr>
              <w:spacing w:before="98" w:line="195"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14:paraId="31162C8F">
            <w:pPr>
              <w:spacing w:before="98" w:line="195" w:lineRule="auto"/>
              <w:ind w:left="9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96" w:type="dxa"/>
            <w:vAlign w:val="top"/>
          </w:tcPr>
          <w:p w14:paraId="45768B8B">
            <w:pPr>
              <w:spacing w:before="98" w:line="195" w:lineRule="auto"/>
              <w:ind w:left="11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97" w:type="dxa"/>
            <w:tcBorders>
              <w:right w:val="nil"/>
            </w:tcBorders>
            <w:vAlign w:val="top"/>
          </w:tcPr>
          <w:p w14:paraId="5D68C0A9">
            <w:pPr>
              <w:spacing w:before="98"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.00</w:t>
            </w:r>
          </w:p>
        </w:tc>
      </w:tr>
      <w:tr w14:paraId="6CC87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C24B09C">
            <w:pPr>
              <w:spacing w:before="98" w:line="195" w:lineRule="auto"/>
              <w:ind w:left="7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14:paraId="69037715">
            <w:pPr>
              <w:spacing w:before="98"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296" w:type="dxa"/>
            <w:vAlign w:val="top"/>
          </w:tcPr>
          <w:p w14:paraId="320C4116">
            <w:pPr>
              <w:spacing w:before="9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0.00309</w:t>
            </w:r>
            <w:r>
              <w:rPr>
                <w:rFonts w:ascii="Times New Roman" w:hAnsi="Times New Roman" w:eastAsia="Times New Roman" w:cs="Times New Roman"/>
                <w:spacing w:val="2"/>
                <w:sz w:val="20"/>
                <w:szCs w:val="20"/>
              </w:rPr>
              <w:t>6</w:t>
            </w:r>
          </w:p>
        </w:tc>
        <w:tc>
          <w:tcPr>
            <w:tcW w:w="2297" w:type="dxa"/>
            <w:tcBorders>
              <w:right w:val="nil"/>
            </w:tcBorders>
            <w:vAlign w:val="top"/>
          </w:tcPr>
          <w:p w14:paraId="48E8A31F">
            <w:pPr>
              <w:spacing w:before="98"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14:paraId="0CDA0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4E4F652D">
            <w:pPr>
              <w:spacing w:before="97" w:line="195"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18" w:type="dxa"/>
            <w:vAlign w:val="top"/>
          </w:tcPr>
          <w:p w14:paraId="26224497">
            <w:pPr>
              <w:spacing w:before="97" w:line="195"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296" w:type="dxa"/>
            <w:vAlign w:val="top"/>
          </w:tcPr>
          <w:p w14:paraId="018BDF6B">
            <w:pPr>
              <w:spacing w:before="9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0.00380</w:t>
            </w:r>
            <w:r>
              <w:rPr>
                <w:rFonts w:ascii="Times New Roman" w:hAnsi="Times New Roman" w:eastAsia="Times New Roman" w:cs="Times New Roman"/>
                <w:spacing w:val="2"/>
                <w:sz w:val="20"/>
                <w:szCs w:val="20"/>
              </w:rPr>
              <w:t>5</w:t>
            </w:r>
          </w:p>
        </w:tc>
        <w:tc>
          <w:tcPr>
            <w:tcW w:w="2297" w:type="dxa"/>
            <w:tcBorders>
              <w:right w:val="nil"/>
            </w:tcBorders>
            <w:vAlign w:val="top"/>
          </w:tcPr>
          <w:p w14:paraId="7E6D32BA">
            <w:pPr>
              <w:spacing w:before="97"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r>
      <w:tr w14:paraId="549EB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7B0CA8F1">
            <w:pPr>
              <w:spacing w:before="97"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18" w:type="dxa"/>
            <w:vAlign w:val="top"/>
          </w:tcPr>
          <w:p w14:paraId="65729BD5">
            <w:pPr>
              <w:spacing w:before="97"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2296" w:type="dxa"/>
            <w:vAlign w:val="top"/>
          </w:tcPr>
          <w:p w14:paraId="2CBD7C32">
            <w:pPr>
              <w:spacing w:before="97"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00404</w:t>
            </w:r>
          </w:p>
        </w:tc>
        <w:tc>
          <w:tcPr>
            <w:tcW w:w="2297" w:type="dxa"/>
            <w:tcBorders>
              <w:right w:val="nil"/>
            </w:tcBorders>
            <w:vAlign w:val="top"/>
          </w:tcPr>
          <w:p w14:paraId="316B3270">
            <w:pPr>
              <w:spacing w:before="97"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r>
      <w:tr w14:paraId="40DEC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620FC9B">
            <w:pPr>
              <w:spacing w:before="102"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14:paraId="4D603E37">
            <w:pPr>
              <w:spacing w:before="99"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19</w:t>
            </w:r>
          </w:p>
        </w:tc>
        <w:tc>
          <w:tcPr>
            <w:tcW w:w="2296" w:type="dxa"/>
            <w:vAlign w:val="top"/>
          </w:tcPr>
          <w:p w14:paraId="02F12166">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0.00406</w:t>
            </w:r>
            <w:r>
              <w:rPr>
                <w:rFonts w:ascii="Times New Roman" w:hAnsi="Times New Roman" w:eastAsia="Times New Roman" w:cs="Times New Roman"/>
                <w:spacing w:val="2"/>
                <w:sz w:val="20"/>
                <w:szCs w:val="20"/>
              </w:rPr>
              <w:t>5</w:t>
            </w:r>
          </w:p>
        </w:tc>
        <w:tc>
          <w:tcPr>
            <w:tcW w:w="2297" w:type="dxa"/>
            <w:tcBorders>
              <w:right w:val="nil"/>
            </w:tcBorders>
            <w:vAlign w:val="top"/>
          </w:tcPr>
          <w:p w14:paraId="4F4F8555">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r>
      <w:tr w14:paraId="40700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01518D95">
            <w:pPr>
              <w:spacing w:before="98" w:line="195"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18" w:type="dxa"/>
            <w:vAlign w:val="top"/>
          </w:tcPr>
          <w:p w14:paraId="419864D8">
            <w:pPr>
              <w:spacing w:before="98"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296" w:type="dxa"/>
            <w:vAlign w:val="top"/>
          </w:tcPr>
          <w:p w14:paraId="4C801A69">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0.00385</w:t>
            </w:r>
            <w:r>
              <w:rPr>
                <w:rFonts w:ascii="Times New Roman" w:hAnsi="Times New Roman" w:eastAsia="Times New Roman" w:cs="Times New Roman"/>
                <w:spacing w:val="2"/>
                <w:sz w:val="20"/>
                <w:szCs w:val="20"/>
              </w:rPr>
              <w:t>4</w:t>
            </w:r>
          </w:p>
        </w:tc>
        <w:tc>
          <w:tcPr>
            <w:tcW w:w="2297" w:type="dxa"/>
            <w:tcBorders>
              <w:right w:val="nil"/>
            </w:tcBorders>
            <w:vAlign w:val="top"/>
          </w:tcPr>
          <w:p w14:paraId="5B035615">
            <w:pPr>
              <w:spacing w:before="98"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r>
      <w:tr w14:paraId="377BF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76C0B794">
            <w:pPr>
              <w:spacing w:before="101" w:line="192" w:lineRule="auto"/>
              <w:ind w:left="77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18" w:type="dxa"/>
            <w:vAlign w:val="top"/>
          </w:tcPr>
          <w:p w14:paraId="02E6C009">
            <w:pPr>
              <w:spacing w:before="98"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2296" w:type="dxa"/>
            <w:vAlign w:val="top"/>
          </w:tcPr>
          <w:p w14:paraId="6EEFE1B4">
            <w:pPr>
              <w:spacing w:before="9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0.00363</w:t>
            </w:r>
            <w:r>
              <w:rPr>
                <w:rFonts w:ascii="Times New Roman" w:hAnsi="Times New Roman" w:eastAsia="Times New Roman" w:cs="Times New Roman"/>
                <w:spacing w:val="2"/>
                <w:sz w:val="20"/>
                <w:szCs w:val="20"/>
              </w:rPr>
              <w:t>7</w:t>
            </w:r>
          </w:p>
        </w:tc>
        <w:tc>
          <w:tcPr>
            <w:tcW w:w="2297" w:type="dxa"/>
            <w:tcBorders>
              <w:right w:val="nil"/>
            </w:tcBorders>
            <w:vAlign w:val="top"/>
          </w:tcPr>
          <w:p w14:paraId="6D8018AD">
            <w:pPr>
              <w:spacing w:before="98"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r>
      <w:tr w14:paraId="47D7B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5CC5D429">
            <w:pPr>
              <w:spacing w:before="98" w:line="195" w:lineRule="auto"/>
              <w:ind w:left="78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18" w:type="dxa"/>
            <w:vAlign w:val="top"/>
          </w:tcPr>
          <w:p w14:paraId="3FB9DBA2">
            <w:pPr>
              <w:spacing w:before="98" w:line="195" w:lineRule="auto"/>
              <w:ind w:left="9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296" w:type="dxa"/>
            <w:vAlign w:val="top"/>
          </w:tcPr>
          <w:p w14:paraId="1A6FD211">
            <w:pPr>
              <w:spacing w:before="9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0.00341</w:t>
            </w:r>
            <w:r>
              <w:rPr>
                <w:rFonts w:ascii="Times New Roman" w:hAnsi="Times New Roman" w:eastAsia="Times New Roman" w:cs="Times New Roman"/>
                <w:spacing w:val="2"/>
                <w:sz w:val="20"/>
                <w:szCs w:val="20"/>
              </w:rPr>
              <w:t>5</w:t>
            </w:r>
          </w:p>
        </w:tc>
        <w:tc>
          <w:tcPr>
            <w:tcW w:w="2297" w:type="dxa"/>
            <w:tcBorders>
              <w:right w:val="nil"/>
            </w:tcBorders>
            <w:vAlign w:val="top"/>
          </w:tcPr>
          <w:p w14:paraId="15F735E7">
            <w:pPr>
              <w:spacing w:before="98"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0. 17</w:t>
            </w:r>
          </w:p>
        </w:tc>
      </w:tr>
      <w:tr w14:paraId="07FE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0A34364">
            <w:pPr>
              <w:spacing w:before="97" w:line="195"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18" w:type="dxa"/>
            <w:vAlign w:val="top"/>
          </w:tcPr>
          <w:p w14:paraId="378A1858">
            <w:pPr>
              <w:spacing w:before="97"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00</w:t>
            </w:r>
          </w:p>
        </w:tc>
        <w:tc>
          <w:tcPr>
            <w:tcW w:w="2296" w:type="dxa"/>
            <w:vAlign w:val="top"/>
          </w:tcPr>
          <w:p w14:paraId="23EA5165">
            <w:pPr>
              <w:spacing w:before="9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0.00327</w:t>
            </w:r>
            <w:r>
              <w:rPr>
                <w:rFonts w:ascii="Times New Roman" w:hAnsi="Times New Roman" w:eastAsia="Times New Roman" w:cs="Times New Roman"/>
                <w:spacing w:val="2"/>
                <w:sz w:val="20"/>
                <w:szCs w:val="20"/>
              </w:rPr>
              <w:t>8</w:t>
            </w:r>
          </w:p>
        </w:tc>
        <w:tc>
          <w:tcPr>
            <w:tcW w:w="2297" w:type="dxa"/>
            <w:tcBorders>
              <w:right w:val="nil"/>
            </w:tcBorders>
            <w:vAlign w:val="top"/>
          </w:tcPr>
          <w:p w14:paraId="7A17FCEF">
            <w:pPr>
              <w:spacing w:before="98"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0. 16</w:t>
            </w:r>
          </w:p>
        </w:tc>
      </w:tr>
      <w:tr w14:paraId="39044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D4061F2">
            <w:pPr>
              <w:spacing w:before="97"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18" w:type="dxa"/>
            <w:vAlign w:val="top"/>
          </w:tcPr>
          <w:p w14:paraId="3BC3C083">
            <w:pPr>
              <w:spacing w:before="97" w:line="195" w:lineRule="auto"/>
              <w:ind w:left="9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2296" w:type="dxa"/>
            <w:vAlign w:val="top"/>
          </w:tcPr>
          <w:p w14:paraId="343AC1F7">
            <w:pPr>
              <w:spacing w:before="97"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0.00316</w:t>
            </w:r>
            <w:r>
              <w:rPr>
                <w:rFonts w:ascii="Times New Roman" w:hAnsi="Times New Roman" w:eastAsia="Times New Roman" w:cs="Times New Roman"/>
                <w:spacing w:val="2"/>
                <w:sz w:val="20"/>
                <w:szCs w:val="20"/>
              </w:rPr>
              <w:t>2</w:t>
            </w:r>
          </w:p>
        </w:tc>
        <w:tc>
          <w:tcPr>
            <w:tcW w:w="2297" w:type="dxa"/>
            <w:tcBorders>
              <w:right w:val="nil"/>
            </w:tcBorders>
            <w:vAlign w:val="top"/>
          </w:tcPr>
          <w:p w14:paraId="51C7EF91">
            <w:pPr>
              <w:spacing w:before="97"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0. 16</w:t>
            </w:r>
          </w:p>
        </w:tc>
      </w:tr>
      <w:tr w14:paraId="0DF7E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tcBorders>
              <w:left w:val="nil"/>
            </w:tcBorders>
            <w:vAlign w:val="top"/>
          </w:tcPr>
          <w:p w14:paraId="3295CB89">
            <w:pPr>
              <w:spacing w:before="99"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118" w:type="dxa"/>
            <w:vAlign w:val="top"/>
          </w:tcPr>
          <w:p w14:paraId="6D848E4F">
            <w:pPr>
              <w:spacing w:before="99"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2296" w:type="dxa"/>
            <w:vAlign w:val="top"/>
          </w:tcPr>
          <w:p w14:paraId="596AADA9">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0.00306</w:t>
            </w:r>
            <w:r>
              <w:rPr>
                <w:rFonts w:ascii="Times New Roman" w:hAnsi="Times New Roman" w:eastAsia="Times New Roman" w:cs="Times New Roman"/>
                <w:spacing w:val="2"/>
                <w:sz w:val="20"/>
                <w:szCs w:val="20"/>
              </w:rPr>
              <w:t>5</w:t>
            </w:r>
          </w:p>
        </w:tc>
        <w:tc>
          <w:tcPr>
            <w:tcW w:w="2297" w:type="dxa"/>
            <w:tcBorders>
              <w:right w:val="nil"/>
            </w:tcBorders>
            <w:vAlign w:val="top"/>
          </w:tcPr>
          <w:p w14:paraId="77D2B209">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14:paraId="50E02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387CE436">
            <w:pPr>
              <w:spacing w:before="100"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118" w:type="dxa"/>
            <w:vAlign w:val="top"/>
          </w:tcPr>
          <w:p w14:paraId="75D0A0A8">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2296" w:type="dxa"/>
            <w:vAlign w:val="top"/>
          </w:tcPr>
          <w:p w14:paraId="3F1DA960">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0.00291</w:t>
            </w:r>
            <w:r>
              <w:rPr>
                <w:rFonts w:ascii="Times New Roman" w:hAnsi="Times New Roman" w:eastAsia="Times New Roman" w:cs="Times New Roman"/>
                <w:spacing w:val="2"/>
                <w:sz w:val="20"/>
                <w:szCs w:val="20"/>
              </w:rPr>
              <w:t>3</w:t>
            </w:r>
          </w:p>
        </w:tc>
        <w:tc>
          <w:tcPr>
            <w:tcW w:w="2297" w:type="dxa"/>
            <w:tcBorders>
              <w:right w:val="nil"/>
            </w:tcBorders>
            <w:vAlign w:val="top"/>
          </w:tcPr>
          <w:p w14:paraId="46F959F5">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14:paraId="6F7EE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4543E389">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2118" w:type="dxa"/>
            <w:vAlign w:val="top"/>
          </w:tcPr>
          <w:p w14:paraId="3F0A12DE">
            <w:pPr>
              <w:spacing w:before="99"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100</w:t>
            </w:r>
          </w:p>
        </w:tc>
        <w:tc>
          <w:tcPr>
            <w:tcW w:w="2296" w:type="dxa"/>
            <w:vAlign w:val="top"/>
          </w:tcPr>
          <w:p w14:paraId="104C5BAB">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0.00272</w:t>
            </w:r>
            <w:r>
              <w:rPr>
                <w:rFonts w:ascii="Times New Roman" w:hAnsi="Times New Roman" w:eastAsia="Times New Roman" w:cs="Times New Roman"/>
                <w:spacing w:val="2"/>
                <w:sz w:val="20"/>
                <w:szCs w:val="20"/>
              </w:rPr>
              <w:t>6</w:t>
            </w:r>
          </w:p>
        </w:tc>
        <w:tc>
          <w:tcPr>
            <w:tcW w:w="2297" w:type="dxa"/>
            <w:tcBorders>
              <w:right w:val="nil"/>
            </w:tcBorders>
            <w:vAlign w:val="top"/>
          </w:tcPr>
          <w:p w14:paraId="5E8B2EA8">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0. 14</w:t>
            </w:r>
          </w:p>
        </w:tc>
      </w:tr>
      <w:tr w14:paraId="0A995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56B5E1E6">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2118" w:type="dxa"/>
            <w:vAlign w:val="top"/>
          </w:tcPr>
          <w:p w14:paraId="36DDF711">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2296" w:type="dxa"/>
            <w:vAlign w:val="top"/>
          </w:tcPr>
          <w:p w14:paraId="509EEE3E">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0.00254</w:t>
            </w:r>
            <w:r>
              <w:rPr>
                <w:rFonts w:ascii="Times New Roman" w:hAnsi="Times New Roman" w:eastAsia="Times New Roman" w:cs="Times New Roman"/>
                <w:spacing w:val="2"/>
                <w:sz w:val="20"/>
                <w:szCs w:val="20"/>
              </w:rPr>
              <w:t>7</w:t>
            </w:r>
          </w:p>
        </w:tc>
        <w:tc>
          <w:tcPr>
            <w:tcW w:w="2297" w:type="dxa"/>
            <w:tcBorders>
              <w:right w:val="nil"/>
            </w:tcBorders>
            <w:vAlign w:val="top"/>
          </w:tcPr>
          <w:p w14:paraId="0DE36639">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0. 13</w:t>
            </w:r>
          </w:p>
        </w:tc>
      </w:tr>
      <w:tr w14:paraId="1FF46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5581F656">
            <w:pPr>
              <w:spacing w:before="98"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118" w:type="dxa"/>
            <w:vAlign w:val="top"/>
          </w:tcPr>
          <w:p w14:paraId="477207E5">
            <w:pPr>
              <w:spacing w:before="98"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2296" w:type="dxa"/>
            <w:vAlign w:val="top"/>
          </w:tcPr>
          <w:p w14:paraId="4E2F8623">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0.00237</w:t>
            </w:r>
            <w:r>
              <w:rPr>
                <w:rFonts w:ascii="Times New Roman" w:hAnsi="Times New Roman" w:eastAsia="Times New Roman" w:cs="Times New Roman"/>
                <w:spacing w:val="2"/>
                <w:sz w:val="20"/>
                <w:szCs w:val="20"/>
              </w:rPr>
              <w:t>8</w:t>
            </w:r>
          </w:p>
        </w:tc>
        <w:tc>
          <w:tcPr>
            <w:tcW w:w="2297" w:type="dxa"/>
            <w:tcBorders>
              <w:right w:val="nil"/>
            </w:tcBorders>
            <w:vAlign w:val="top"/>
          </w:tcPr>
          <w:p w14:paraId="523F0FAC">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0. 12</w:t>
            </w:r>
          </w:p>
        </w:tc>
      </w:tr>
      <w:tr w14:paraId="25EF0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2D4FA9E6">
            <w:pPr>
              <w:spacing w:before="98"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2118" w:type="dxa"/>
            <w:vAlign w:val="top"/>
          </w:tcPr>
          <w:p w14:paraId="3F4CAF52">
            <w:pPr>
              <w:spacing w:before="98"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2296" w:type="dxa"/>
            <w:vAlign w:val="top"/>
          </w:tcPr>
          <w:p w14:paraId="481C2B39">
            <w:pPr>
              <w:spacing w:before="9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0.00222</w:t>
            </w:r>
            <w:r>
              <w:rPr>
                <w:rFonts w:ascii="Times New Roman" w:hAnsi="Times New Roman" w:eastAsia="Times New Roman" w:cs="Times New Roman"/>
                <w:spacing w:val="2"/>
                <w:sz w:val="20"/>
                <w:szCs w:val="20"/>
              </w:rPr>
              <w:t>2</w:t>
            </w:r>
          </w:p>
        </w:tc>
        <w:tc>
          <w:tcPr>
            <w:tcW w:w="2297" w:type="dxa"/>
            <w:tcBorders>
              <w:right w:val="nil"/>
            </w:tcBorders>
            <w:vAlign w:val="top"/>
          </w:tcPr>
          <w:p w14:paraId="4554936B">
            <w:pPr>
              <w:spacing w:before="98" w:line="195" w:lineRule="auto"/>
              <w:ind w:left="973"/>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0</w:t>
            </w:r>
            <w:r>
              <w:rPr>
                <w:rFonts w:ascii="Times New Roman" w:hAnsi="Times New Roman" w:eastAsia="Times New Roman" w:cs="Times New Roman"/>
                <w:spacing w:val="-8"/>
                <w:sz w:val="20"/>
                <w:szCs w:val="20"/>
              </w:rPr>
              <w:t>. 11</w:t>
            </w:r>
          </w:p>
        </w:tc>
      </w:tr>
      <w:tr w14:paraId="1B5D0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2623C59">
            <w:pPr>
              <w:spacing w:before="100"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2118" w:type="dxa"/>
            <w:vAlign w:val="top"/>
          </w:tcPr>
          <w:p w14:paraId="0569036B">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2296" w:type="dxa"/>
            <w:vAlign w:val="top"/>
          </w:tcPr>
          <w:p w14:paraId="5D6D54E7">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0.00207</w:t>
            </w:r>
            <w:r>
              <w:rPr>
                <w:rFonts w:ascii="Times New Roman" w:hAnsi="Times New Roman" w:eastAsia="Times New Roman" w:cs="Times New Roman"/>
                <w:spacing w:val="2"/>
                <w:sz w:val="20"/>
                <w:szCs w:val="20"/>
              </w:rPr>
              <w:t>8</w:t>
            </w:r>
          </w:p>
        </w:tc>
        <w:tc>
          <w:tcPr>
            <w:tcW w:w="2297" w:type="dxa"/>
            <w:tcBorders>
              <w:right w:val="nil"/>
            </w:tcBorders>
            <w:vAlign w:val="top"/>
          </w:tcPr>
          <w:p w14:paraId="0B5C597B">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r>
      <w:tr w14:paraId="508EC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5CB8819A">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2118" w:type="dxa"/>
            <w:vAlign w:val="top"/>
          </w:tcPr>
          <w:p w14:paraId="41674D3B">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p>
        </w:tc>
        <w:tc>
          <w:tcPr>
            <w:tcW w:w="2296" w:type="dxa"/>
            <w:vAlign w:val="top"/>
          </w:tcPr>
          <w:p w14:paraId="6DC87381">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0.00194</w:t>
            </w:r>
            <w:r>
              <w:rPr>
                <w:rFonts w:ascii="Times New Roman" w:hAnsi="Times New Roman" w:eastAsia="Times New Roman" w:cs="Times New Roman"/>
                <w:spacing w:val="2"/>
                <w:sz w:val="20"/>
                <w:szCs w:val="20"/>
              </w:rPr>
              <w:t>7</w:t>
            </w:r>
          </w:p>
        </w:tc>
        <w:tc>
          <w:tcPr>
            <w:tcW w:w="2297" w:type="dxa"/>
            <w:tcBorders>
              <w:right w:val="nil"/>
            </w:tcBorders>
            <w:vAlign w:val="top"/>
          </w:tcPr>
          <w:p w14:paraId="3ECE99A8">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r>
      <w:tr w14:paraId="39602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tcBorders>
              <w:left w:val="nil"/>
            </w:tcBorders>
            <w:vAlign w:val="top"/>
          </w:tcPr>
          <w:p w14:paraId="048CAD89">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2118" w:type="dxa"/>
            <w:vAlign w:val="top"/>
          </w:tcPr>
          <w:p w14:paraId="03CDA20D">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2296" w:type="dxa"/>
            <w:vAlign w:val="top"/>
          </w:tcPr>
          <w:p w14:paraId="05FB9C4E">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0.00182</w:t>
            </w:r>
            <w:r>
              <w:rPr>
                <w:rFonts w:ascii="Times New Roman" w:hAnsi="Times New Roman" w:eastAsia="Times New Roman" w:cs="Times New Roman"/>
                <w:spacing w:val="2"/>
                <w:sz w:val="20"/>
                <w:szCs w:val="20"/>
              </w:rPr>
              <w:t>6</w:t>
            </w:r>
          </w:p>
        </w:tc>
        <w:tc>
          <w:tcPr>
            <w:tcW w:w="2297" w:type="dxa"/>
            <w:tcBorders>
              <w:right w:val="nil"/>
            </w:tcBorders>
            <w:vAlign w:val="top"/>
          </w:tcPr>
          <w:p w14:paraId="14B9F36E">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.09</w:t>
            </w:r>
          </w:p>
        </w:tc>
      </w:tr>
      <w:tr w14:paraId="4F5A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5938A1D">
            <w:pPr>
              <w:spacing w:before="100"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18" w:type="dxa"/>
            <w:vAlign w:val="top"/>
          </w:tcPr>
          <w:p w14:paraId="728CECB6">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2296" w:type="dxa"/>
            <w:vAlign w:val="top"/>
          </w:tcPr>
          <w:p w14:paraId="50F76500">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0.00171</w:t>
            </w:r>
            <w:r>
              <w:rPr>
                <w:rFonts w:ascii="Times New Roman" w:hAnsi="Times New Roman" w:eastAsia="Times New Roman" w:cs="Times New Roman"/>
                <w:spacing w:val="2"/>
                <w:sz w:val="20"/>
                <w:szCs w:val="20"/>
              </w:rPr>
              <w:t>6</w:t>
            </w:r>
          </w:p>
        </w:tc>
        <w:tc>
          <w:tcPr>
            <w:tcW w:w="2297" w:type="dxa"/>
            <w:tcBorders>
              <w:right w:val="nil"/>
            </w:tcBorders>
            <w:vAlign w:val="top"/>
          </w:tcPr>
          <w:p w14:paraId="4C2A4BA8">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.09</w:t>
            </w:r>
          </w:p>
        </w:tc>
      </w:tr>
      <w:tr w14:paraId="19E49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0EEB57D8">
            <w:pPr>
              <w:spacing w:before="99"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2118" w:type="dxa"/>
            <w:vAlign w:val="top"/>
          </w:tcPr>
          <w:p w14:paraId="5723580E">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1900</w:t>
            </w:r>
          </w:p>
        </w:tc>
        <w:tc>
          <w:tcPr>
            <w:tcW w:w="2296" w:type="dxa"/>
            <w:vAlign w:val="top"/>
          </w:tcPr>
          <w:p w14:paraId="16DF6970">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0.00165</w:t>
            </w:r>
            <w:r>
              <w:rPr>
                <w:rFonts w:ascii="Times New Roman" w:hAnsi="Times New Roman" w:eastAsia="Times New Roman" w:cs="Times New Roman"/>
                <w:spacing w:val="2"/>
                <w:sz w:val="20"/>
                <w:szCs w:val="20"/>
              </w:rPr>
              <w:t>5</w:t>
            </w:r>
          </w:p>
        </w:tc>
        <w:tc>
          <w:tcPr>
            <w:tcW w:w="2297" w:type="dxa"/>
            <w:tcBorders>
              <w:right w:val="nil"/>
            </w:tcBorders>
            <w:vAlign w:val="top"/>
          </w:tcPr>
          <w:p w14:paraId="520F28B8">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.08</w:t>
            </w:r>
          </w:p>
        </w:tc>
      </w:tr>
      <w:tr w14:paraId="11895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tcBorders>
              <w:left w:val="nil"/>
            </w:tcBorders>
            <w:vAlign w:val="top"/>
          </w:tcPr>
          <w:p w14:paraId="2A499A61">
            <w:pPr>
              <w:spacing w:before="99"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2118" w:type="dxa"/>
            <w:vAlign w:val="top"/>
          </w:tcPr>
          <w:p w14:paraId="5E17FCB5">
            <w:pPr>
              <w:spacing w:before="99" w:line="195"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2296" w:type="dxa"/>
            <w:vAlign w:val="top"/>
          </w:tcPr>
          <w:p w14:paraId="73391AF0">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0.00168</w:t>
            </w:r>
            <w:r>
              <w:rPr>
                <w:rFonts w:ascii="Times New Roman" w:hAnsi="Times New Roman" w:eastAsia="Times New Roman" w:cs="Times New Roman"/>
                <w:spacing w:val="2"/>
                <w:sz w:val="20"/>
                <w:szCs w:val="20"/>
              </w:rPr>
              <w:t>3</w:t>
            </w:r>
          </w:p>
        </w:tc>
        <w:tc>
          <w:tcPr>
            <w:tcW w:w="2297" w:type="dxa"/>
            <w:tcBorders>
              <w:right w:val="nil"/>
            </w:tcBorders>
            <w:vAlign w:val="top"/>
          </w:tcPr>
          <w:p w14:paraId="2939CAAB">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.08</w:t>
            </w:r>
          </w:p>
        </w:tc>
      </w:tr>
      <w:tr w14:paraId="46A1B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3769" w:type="dxa"/>
            <w:gridSpan w:val="2"/>
            <w:tcBorders>
              <w:left w:val="nil"/>
            </w:tcBorders>
            <w:vAlign w:val="top"/>
          </w:tcPr>
          <w:p w14:paraId="18775E91">
            <w:pPr>
              <w:spacing w:before="66" w:line="220" w:lineRule="auto"/>
              <w:ind w:left="849"/>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风向最大落地点浓度</w:t>
            </w:r>
          </w:p>
        </w:tc>
        <w:tc>
          <w:tcPr>
            <w:tcW w:w="2296" w:type="dxa"/>
            <w:vAlign w:val="top"/>
          </w:tcPr>
          <w:p w14:paraId="2D7857AF">
            <w:pPr>
              <w:spacing w:before="102"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0.00406</w:t>
            </w:r>
            <w:r>
              <w:rPr>
                <w:rFonts w:ascii="Times New Roman" w:hAnsi="Times New Roman" w:eastAsia="Times New Roman" w:cs="Times New Roman"/>
                <w:spacing w:val="2"/>
                <w:sz w:val="20"/>
                <w:szCs w:val="20"/>
              </w:rPr>
              <w:t>5</w:t>
            </w:r>
          </w:p>
        </w:tc>
        <w:tc>
          <w:tcPr>
            <w:tcW w:w="2297" w:type="dxa"/>
            <w:tcBorders>
              <w:right w:val="nil"/>
            </w:tcBorders>
            <w:vAlign w:val="top"/>
          </w:tcPr>
          <w:p w14:paraId="3035B327">
            <w:pPr>
              <w:spacing w:before="102"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r>
      <w:tr w14:paraId="214A9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3769" w:type="dxa"/>
            <w:gridSpan w:val="2"/>
            <w:tcBorders>
              <w:left w:val="nil"/>
            </w:tcBorders>
            <w:vAlign w:val="top"/>
          </w:tcPr>
          <w:p w14:paraId="1B723F71">
            <w:pPr>
              <w:spacing w:before="28" w:line="281" w:lineRule="exact"/>
              <w:ind w:left="861"/>
              <w:rPr>
                <w:rFonts w:ascii="Times New Roman" w:hAnsi="Times New Roman" w:eastAsia="Times New Roman" w:cs="Times New Roman"/>
                <w:sz w:val="20"/>
                <w:szCs w:val="20"/>
              </w:rPr>
            </w:pPr>
            <w:r>
              <w:rPr>
                <w:rFonts w:ascii="宋体" w:hAnsi="宋体" w:eastAsia="宋体" w:cs="宋体"/>
                <w:spacing w:val="-2"/>
                <w:position w:val="2"/>
                <w:sz w:val="20"/>
                <w:szCs w:val="20"/>
              </w:rPr>
              <w:t>最大落地点浓度距离</w:t>
            </w:r>
            <w:r>
              <w:rPr>
                <w:rFonts w:ascii="Times New Roman" w:hAnsi="Times New Roman" w:eastAsia="Times New Roman" w:cs="Times New Roman"/>
                <w:spacing w:val="-1"/>
                <w:position w:val="2"/>
                <w:sz w:val="20"/>
                <w:szCs w:val="20"/>
              </w:rPr>
              <w:t>(m)</w:t>
            </w:r>
          </w:p>
        </w:tc>
        <w:tc>
          <w:tcPr>
            <w:tcW w:w="4593" w:type="dxa"/>
            <w:gridSpan w:val="2"/>
            <w:tcBorders>
              <w:right w:val="nil"/>
            </w:tcBorders>
            <w:vAlign w:val="top"/>
          </w:tcPr>
          <w:p w14:paraId="57FEAC21">
            <w:pPr>
              <w:spacing w:before="101" w:line="195" w:lineRule="auto"/>
              <w:ind w:left="2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19</w:t>
            </w:r>
          </w:p>
        </w:tc>
      </w:tr>
    </w:tbl>
    <w:p w14:paraId="491927FE">
      <w:pPr>
        <w:rPr>
          <w:rFonts w:ascii="Arial"/>
          <w:sz w:val="21"/>
        </w:rPr>
      </w:pPr>
    </w:p>
    <w:p w14:paraId="73DAEE9D">
      <w:pPr>
        <w:sectPr>
          <w:headerReference r:id="rId207" w:type="default"/>
          <w:footerReference r:id="rId208" w:type="default"/>
          <w:pgSz w:w="11906" w:h="16839"/>
          <w:pgMar w:top="1132" w:right="1771" w:bottom="1182" w:left="1771" w:header="878" w:footer="1022" w:gutter="0"/>
          <w:cols w:space="720" w:num="1"/>
        </w:sectPr>
      </w:pPr>
    </w:p>
    <w:p w14:paraId="54341AE4">
      <w:pPr>
        <w:spacing w:line="362" w:lineRule="auto"/>
        <w:rPr>
          <w:rFonts w:ascii="Arial"/>
          <w:sz w:val="21"/>
        </w:rPr>
      </w:pPr>
      <w:r>
        <w:pict>
          <v:shape id="_x0000_s1257" o:spid="_x0000_s1257" style="position:absolute;left:0pt;margin-left:90pt;margin-top:57.35pt;height:0.75pt;width:415.3pt;mso-position-horizontal-relative:page;mso-position-vertical-relative:page;z-index:251916288;mso-width-relative:page;mso-height-relative:page;" fillcolor="#000000" filled="t" stroked="f" coordsize="8305,15" o:allowincell="f" path="m0,0l8305,0,8305,14,0,14,0,0xe">
            <v:path/>
            <v:fill on="t" focussize="0,0"/>
            <v:stroke on="f"/>
            <v:imagedata o:title=""/>
            <o:lock v:ext="edit"/>
          </v:shape>
        </w:pict>
      </w:r>
    </w:p>
    <w:p w14:paraId="40EAF225">
      <w:pPr>
        <w:spacing w:before="74" w:line="332" w:lineRule="exact"/>
        <w:ind w:left="798"/>
        <w:rPr>
          <w:rFonts w:ascii="宋体" w:hAnsi="宋体" w:eastAsia="宋体" w:cs="宋体"/>
          <w:sz w:val="23"/>
          <w:szCs w:val="23"/>
        </w:rPr>
      </w:pPr>
      <w:r>
        <w:rPr>
          <w:rFonts w:ascii="宋体" w:hAnsi="宋体" w:eastAsia="宋体" w:cs="宋体"/>
          <w:spacing w:val="12"/>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12"/>
          <w:position w:val="2"/>
          <w:sz w:val="23"/>
          <w:szCs w:val="23"/>
        </w:rPr>
        <w:t xml:space="preserve"> </w:t>
      </w:r>
      <w:r>
        <w:rPr>
          <w:rFonts w:ascii="Times New Roman" w:hAnsi="Times New Roman" w:eastAsia="Times New Roman" w:cs="Times New Roman"/>
          <w:b/>
          <w:bCs/>
          <w:spacing w:val="9"/>
          <w:position w:val="2"/>
          <w:sz w:val="23"/>
          <w:szCs w:val="23"/>
        </w:rPr>
        <w:t>5</w:t>
      </w:r>
      <w:r>
        <w:rPr>
          <w:rFonts w:ascii="Times New Roman" w:hAnsi="Times New Roman" w:eastAsia="Times New Roman" w:cs="Times New Roman"/>
          <w:b/>
          <w:bCs/>
          <w:spacing w:val="6"/>
          <w:position w:val="2"/>
          <w:sz w:val="23"/>
          <w:szCs w:val="23"/>
        </w:rPr>
        <w:t>-9</w:t>
      </w:r>
      <w:r>
        <w:rPr>
          <w:rFonts w:ascii="Times New Roman" w:hAnsi="Times New Roman" w:eastAsia="Times New Roman" w:cs="Times New Roman"/>
          <w:spacing w:val="6"/>
          <w:position w:val="2"/>
          <w:sz w:val="23"/>
          <w:szCs w:val="23"/>
        </w:rPr>
        <w:t xml:space="preserve">        </w:t>
      </w:r>
      <w:r>
        <w:rPr>
          <w:rFonts w:ascii="Times New Roman" w:hAnsi="Times New Roman" w:eastAsia="Times New Roman" w:cs="Times New Roman"/>
          <w:b/>
          <w:bCs/>
          <w:spacing w:val="6"/>
          <w:position w:val="2"/>
          <w:sz w:val="23"/>
          <w:szCs w:val="23"/>
        </w:rPr>
        <w:t>2#</w:t>
      </w:r>
      <w:r>
        <w:rPr>
          <w:rFonts w:ascii="宋体" w:hAnsi="宋体" w:eastAsia="宋体" w:cs="宋体"/>
          <w:spacing w:val="6"/>
          <w:position w:val="2"/>
          <w:sz w:val="23"/>
          <w:szCs w:val="23"/>
          <w14:textOutline w14:w="4358" w14:cap="sq" w14:cmpd="sng">
            <w14:solidFill>
              <w14:srgbClr w14:val="000000"/>
            </w14:solidFill>
            <w14:prstDash w14:val="solid"/>
            <w14:bevel/>
          </w14:textOutline>
        </w:rPr>
        <w:t>排气筒有组织废气主要污染因子估算模式的计算结果</w:t>
      </w:r>
    </w:p>
    <w:p w14:paraId="3D6288EB">
      <w:pPr>
        <w:spacing w:line="16" w:lineRule="exact"/>
      </w:pPr>
    </w:p>
    <w:tbl>
      <w:tblPr>
        <w:tblStyle w:val="4"/>
        <w:tblW w:w="8362"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1"/>
        <w:gridCol w:w="2118"/>
        <w:gridCol w:w="2296"/>
        <w:gridCol w:w="2297"/>
      </w:tblGrid>
      <w:tr w14:paraId="037EB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651" w:type="dxa"/>
            <w:vMerge w:val="restart"/>
            <w:tcBorders>
              <w:left w:val="nil"/>
              <w:bottom w:val="nil"/>
            </w:tcBorders>
            <w:vAlign w:val="top"/>
          </w:tcPr>
          <w:p w14:paraId="2E6A25E9">
            <w:pPr>
              <w:spacing w:line="327" w:lineRule="auto"/>
              <w:rPr>
                <w:rFonts w:ascii="Arial"/>
                <w:sz w:val="21"/>
              </w:rPr>
            </w:pPr>
          </w:p>
          <w:p w14:paraId="77024D97">
            <w:pPr>
              <w:spacing w:before="65" w:line="229" w:lineRule="auto"/>
              <w:ind w:left="62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118" w:type="dxa"/>
            <w:vMerge w:val="restart"/>
            <w:tcBorders>
              <w:bottom w:val="nil"/>
            </w:tcBorders>
            <w:vAlign w:val="top"/>
          </w:tcPr>
          <w:p w14:paraId="74A47916">
            <w:pPr>
              <w:spacing w:line="287" w:lineRule="auto"/>
              <w:rPr>
                <w:rFonts w:ascii="Arial"/>
                <w:sz w:val="21"/>
              </w:rPr>
            </w:pPr>
          </w:p>
          <w:p w14:paraId="4065B056">
            <w:pPr>
              <w:spacing w:before="65" w:line="288" w:lineRule="exact"/>
              <w:ind w:left="697"/>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距离</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c>
          <w:tcPr>
            <w:tcW w:w="4593" w:type="dxa"/>
            <w:gridSpan w:val="2"/>
            <w:tcBorders>
              <w:right w:val="nil"/>
            </w:tcBorders>
            <w:vAlign w:val="top"/>
          </w:tcPr>
          <w:p w14:paraId="5D9E14E6">
            <w:pPr>
              <w:spacing w:before="44" w:line="285" w:lineRule="exact"/>
              <w:ind w:left="1983"/>
              <w:rPr>
                <w:rFonts w:ascii="宋体" w:hAnsi="宋体" w:eastAsia="宋体" w:cs="宋体"/>
                <w:sz w:val="20"/>
                <w:szCs w:val="20"/>
              </w:rPr>
            </w:pPr>
            <w:r>
              <w:rPr>
                <w:rFonts w:ascii="Times New Roman" w:hAnsi="Times New Roman" w:eastAsia="Times New Roman" w:cs="Times New Roman"/>
                <w:b/>
                <w:bCs/>
                <w:spacing w:val="8"/>
                <w:position w:val="1"/>
                <w:sz w:val="20"/>
                <w:szCs w:val="20"/>
              </w:rPr>
              <w:t>2</w:t>
            </w:r>
            <w:r>
              <w:rPr>
                <w:rFonts w:ascii="Times New Roman" w:hAnsi="Times New Roman" w:eastAsia="Times New Roman" w:cs="Times New Roman"/>
                <w:b/>
                <w:bCs/>
                <w:spacing w:val="6"/>
                <w:position w:val="1"/>
                <w:sz w:val="20"/>
                <w:szCs w:val="20"/>
              </w:rPr>
              <w:t>#</w:t>
            </w:r>
            <w:r>
              <w:rPr>
                <w:rFonts w:ascii="宋体" w:hAnsi="宋体" w:eastAsia="宋体" w:cs="宋体"/>
                <w:spacing w:val="6"/>
                <w:position w:val="1"/>
                <w:sz w:val="20"/>
                <w:szCs w:val="20"/>
                <w14:textOutline w14:w="3741" w14:cap="sq" w14:cmpd="sng">
                  <w14:solidFill>
                    <w14:srgbClr w14:val="000000"/>
                  </w14:solidFill>
                  <w14:prstDash w14:val="solid"/>
                  <w14:bevel/>
                </w14:textOutline>
              </w:rPr>
              <w:t>点源</w:t>
            </w:r>
          </w:p>
        </w:tc>
      </w:tr>
      <w:tr w14:paraId="2FAF7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vMerge w:val="continue"/>
            <w:tcBorders>
              <w:top w:val="nil"/>
              <w:left w:val="nil"/>
              <w:bottom w:val="nil"/>
            </w:tcBorders>
            <w:vAlign w:val="top"/>
          </w:tcPr>
          <w:p w14:paraId="0626F850">
            <w:pPr>
              <w:rPr>
                <w:rFonts w:ascii="Arial"/>
                <w:sz w:val="21"/>
              </w:rPr>
            </w:pPr>
          </w:p>
        </w:tc>
        <w:tc>
          <w:tcPr>
            <w:tcW w:w="2118" w:type="dxa"/>
            <w:vMerge w:val="continue"/>
            <w:tcBorders>
              <w:top w:val="nil"/>
              <w:bottom w:val="nil"/>
            </w:tcBorders>
            <w:vAlign w:val="top"/>
          </w:tcPr>
          <w:p w14:paraId="748ECDEB">
            <w:pPr>
              <w:rPr>
                <w:rFonts w:ascii="Arial"/>
                <w:sz w:val="21"/>
              </w:rPr>
            </w:pPr>
          </w:p>
        </w:tc>
        <w:tc>
          <w:tcPr>
            <w:tcW w:w="4593" w:type="dxa"/>
            <w:gridSpan w:val="2"/>
            <w:tcBorders>
              <w:right w:val="nil"/>
            </w:tcBorders>
            <w:vAlign w:val="top"/>
          </w:tcPr>
          <w:p w14:paraId="26A8461D">
            <w:pPr>
              <w:spacing w:before="96" w:line="195" w:lineRule="auto"/>
              <w:ind w:left="1964"/>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r>
      <w:tr w14:paraId="36442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vMerge w:val="continue"/>
            <w:tcBorders>
              <w:top w:val="nil"/>
              <w:left w:val="nil"/>
            </w:tcBorders>
            <w:vAlign w:val="top"/>
          </w:tcPr>
          <w:p w14:paraId="3F0A917E">
            <w:pPr>
              <w:rPr>
                <w:rFonts w:ascii="Arial"/>
                <w:sz w:val="21"/>
              </w:rPr>
            </w:pPr>
          </w:p>
        </w:tc>
        <w:tc>
          <w:tcPr>
            <w:tcW w:w="2118" w:type="dxa"/>
            <w:vMerge w:val="continue"/>
            <w:tcBorders>
              <w:top w:val="nil"/>
            </w:tcBorders>
            <w:vAlign w:val="top"/>
          </w:tcPr>
          <w:p w14:paraId="02A072F1">
            <w:pPr>
              <w:rPr>
                <w:rFonts w:ascii="Arial"/>
                <w:sz w:val="21"/>
              </w:rPr>
            </w:pPr>
          </w:p>
        </w:tc>
        <w:tc>
          <w:tcPr>
            <w:tcW w:w="2296" w:type="dxa"/>
            <w:vAlign w:val="top"/>
          </w:tcPr>
          <w:p w14:paraId="6AEBC3C4">
            <w:pPr>
              <w:spacing w:before="19" w:line="285" w:lineRule="exact"/>
              <w:ind w:left="183"/>
              <w:rPr>
                <w:rFonts w:ascii="Times New Roman" w:hAnsi="Times New Roman" w:eastAsia="Times New Roman" w:cs="Times New Roman"/>
                <w:sz w:val="20"/>
                <w:szCs w:val="20"/>
              </w:rPr>
            </w:pPr>
            <w:r>
              <w:rPr>
                <w:rFonts w:ascii="宋体" w:hAnsi="宋体" w:eastAsia="宋体" w:cs="宋体"/>
                <w:spacing w:val="-15"/>
                <w:position w:val="2"/>
                <w:sz w:val="20"/>
                <w:szCs w:val="20"/>
                <w14:textOutline w14:w="3738" w14:cap="sq" w14:cmpd="sng">
                  <w14:solidFill>
                    <w14:srgbClr w14:val="000000"/>
                  </w14:solidFill>
                  <w14:prstDash w14:val="solid"/>
                  <w14:bevel/>
                </w14:textOutline>
              </w:rPr>
              <w:t>下</w:t>
            </w:r>
            <w:r>
              <w:rPr>
                <w:rFonts w:ascii="宋体" w:hAnsi="宋体" w:eastAsia="宋体" w:cs="宋体"/>
                <w:spacing w:val="-8"/>
                <w:position w:val="2"/>
                <w:sz w:val="20"/>
                <w:szCs w:val="20"/>
                <w14:textOutline w14:w="3738" w14:cap="sq" w14:cmpd="sng">
                  <w14:solidFill>
                    <w14:srgbClr w14:val="000000"/>
                  </w14:solidFill>
                  <w14:prstDash w14:val="solid"/>
                  <w14:bevel/>
                </w14:textOutline>
              </w:rPr>
              <w:t>风向预测浓度</w:t>
            </w:r>
            <w:r>
              <w:rPr>
                <w:rFonts w:ascii="Times New Roman" w:hAnsi="Times New Roman" w:eastAsia="Times New Roman" w:cs="Times New Roman"/>
                <w:b/>
                <w:bCs/>
                <w:spacing w:val="-8"/>
                <w:position w:val="2"/>
                <w:sz w:val="20"/>
                <w:szCs w:val="20"/>
              </w:rPr>
              <w:t>(mg/m</w:t>
            </w:r>
            <w:r>
              <w:rPr>
                <w:rFonts w:ascii="Times New Roman" w:hAnsi="Times New Roman" w:eastAsia="Times New Roman" w:cs="Times New Roman"/>
                <w:b/>
                <w:bCs/>
                <w:spacing w:val="-8"/>
                <w:position w:val="8"/>
                <w:sz w:val="13"/>
                <w:szCs w:val="13"/>
              </w:rPr>
              <w:t>3</w:t>
            </w:r>
            <w:r>
              <w:rPr>
                <w:rFonts w:ascii="Times New Roman" w:hAnsi="Times New Roman" w:eastAsia="Times New Roman" w:cs="Times New Roman"/>
                <w:b/>
                <w:bCs/>
                <w:spacing w:val="-8"/>
                <w:position w:val="2"/>
                <w:sz w:val="20"/>
                <w:szCs w:val="20"/>
              </w:rPr>
              <w:t>)</w:t>
            </w:r>
          </w:p>
        </w:tc>
        <w:tc>
          <w:tcPr>
            <w:tcW w:w="2297" w:type="dxa"/>
            <w:tcBorders>
              <w:right w:val="nil"/>
            </w:tcBorders>
            <w:vAlign w:val="top"/>
          </w:tcPr>
          <w:p w14:paraId="1818081B">
            <w:pPr>
              <w:spacing w:before="19" w:line="285" w:lineRule="exact"/>
              <w:ind w:left="698"/>
              <w:rPr>
                <w:rFonts w:ascii="Times New Roman" w:hAnsi="Times New Roman" w:eastAsia="Times New Roman" w:cs="Times New Roman"/>
                <w:sz w:val="20"/>
                <w:szCs w:val="20"/>
              </w:rPr>
            </w:pPr>
            <w:r>
              <w:rPr>
                <w:rFonts w:ascii="宋体" w:hAnsi="宋体" w:eastAsia="宋体" w:cs="宋体"/>
                <w:spacing w:val="1"/>
                <w:position w:val="2"/>
                <w:sz w:val="20"/>
                <w:szCs w:val="20"/>
                <w14:textOutline w14:w="3738" w14:cap="sq" w14:cmpd="sng">
                  <w14:solidFill>
                    <w14:srgbClr w14:val="000000"/>
                  </w14:solidFill>
                  <w14:prstDash w14:val="solid"/>
                  <w14:bevel/>
                </w14:textOutline>
              </w:rPr>
              <w:t>占标率</w:t>
            </w:r>
            <w:r>
              <w:rPr>
                <w:rFonts w:ascii="Times New Roman" w:hAnsi="Times New Roman" w:eastAsia="Times New Roman" w:cs="Times New Roman"/>
                <w:b/>
                <w:bCs/>
                <w:spacing w:val="1"/>
                <w:position w:val="2"/>
                <w:sz w:val="20"/>
                <w:szCs w:val="20"/>
              </w:rPr>
              <w:t>(%</w:t>
            </w:r>
            <w:r>
              <w:rPr>
                <w:rFonts w:ascii="Times New Roman" w:hAnsi="Times New Roman" w:eastAsia="Times New Roman" w:cs="Times New Roman"/>
                <w:b/>
                <w:bCs/>
                <w:position w:val="2"/>
                <w:sz w:val="20"/>
                <w:szCs w:val="20"/>
              </w:rPr>
              <w:t>)</w:t>
            </w:r>
          </w:p>
        </w:tc>
      </w:tr>
      <w:tr w14:paraId="67D0E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tcBorders>
              <w:left w:val="nil"/>
            </w:tcBorders>
            <w:vAlign w:val="top"/>
          </w:tcPr>
          <w:p w14:paraId="2E924FAB">
            <w:pPr>
              <w:spacing w:before="99" w:line="195"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14:paraId="47F02944">
            <w:pPr>
              <w:spacing w:before="99" w:line="195" w:lineRule="auto"/>
              <w:ind w:left="9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96" w:type="dxa"/>
            <w:vAlign w:val="top"/>
          </w:tcPr>
          <w:p w14:paraId="32622625">
            <w:pPr>
              <w:spacing w:before="99" w:line="195" w:lineRule="auto"/>
              <w:ind w:left="11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97" w:type="dxa"/>
            <w:tcBorders>
              <w:right w:val="nil"/>
            </w:tcBorders>
            <w:vAlign w:val="top"/>
          </w:tcPr>
          <w:p w14:paraId="5D892FD8">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.00</w:t>
            </w:r>
          </w:p>
        </w:tc>
      </w:tr>
      <w:tr w14:paraId="40FAA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1" w:type="dxa"/>
            <w:tcBorders>
              <w:left w:val="nil"/>
            </w:tcBorders>
            <w:vAlign w:val="top"/>
          </w:tcPr>
          <w:p w14:paraId="255A98EA">
            <w:pPr>
              <w:spacing w:before="100" w:line="195" w:lineRule="auto"/>
              <w:ind w:left="7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14:paraId="40506888">
            <w:pPr>
              <w:spacing w:before="99"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296" w:type="dxa"/>
            <w:vAlign w:val="top"/>
          </w:tcPr>
          <w:p w14:paraId="4AEBFCF2">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0.00309</w:t>
            </w:r>
            <w:r>
              <w:rPr>
                <w:rFonts w:ascii="Times New Roman" w:hAnsi="Times New Roman" w:eastAsia="Times New Roman" w:cs="Times New Roman"/>
                <w:spacing w:val="2"/>
                <w:sz w:val="20"/>
                <w:szCs w:val="20"/>
              </w:rPr>
              <w:t>6</w:t>
            </w:r>
          </w:p>
        </w:tc>
        <w:tc>
          <w:tcPr>
            <w:tcW w:w="2297" w:type="dxa"/>
            <w:tcBorders>
              <w:right w:val="nil"/>
            </w:tcBorders>
            <w:vAlign w:val="top"/>
          </w:tcPr>
          <w:p w14:paraId="2B22DDE9">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14:paraId="0981C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336412E4">
            <w:pPr>
              <w:spacing w:before="100" w:line="195"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18" w:type="dxa"/>
            <w:vAlign w:val="top"/>
          </w:tcPr>
          <w:p w14:paraId="54988B91">
            <w:pPr>
              <w:spacing w:before="100" w:line="195"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296" w:type="dxa"/>
            <w:vAlign w:val="top"/>
          </w:tcPr>
          <w:p w14:paraId="45E6044A">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0.00380</w:t>
            </w:r>
            <w:r>
              <w:rPr>
                <w:rFonts w:ascii="Times New Roman" w:hAnsi="Times New Roman" w:eastAsia="Times New Roman" w:cs="Times New Roman"/>
                <w:spacing w:val="2"/>
                <w:sz w:val="20"/>
                <w:szCs w:val="20"/>
              </w:rPr>
              <w:t>5</w:t>
            </w:r>
          </w:p>
        </w:tc>
        <w:tc>
          <w:tcPr>
            <w:tcW w:w="2297" w:type="dxa"/>
            <w:tcBorders>
              <w:right w:val="nil"/>
            </w:tcBorders>
            <w:vAlign w:val="top"/>
          </w:tcPr>
          <w:p w14:paraId="63FA69BE">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r>
      <w:tr w14:paraId="723D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747C24CB">
            <w:pPr>
              <w:spacing w:before="100"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18" w:type="dxa"/>
            <w:vAlign w:val="top"/>
          </w:tcPr>
          <w:p w14:paraId="15986C43">
            <w:pPr>
              <w:spacing w:before="100"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2296" w:type="dxa"/>
            <w:vAlign w:val="top"/>
          </w:tcPr>
          <w:p w14:paraId="1B3517CD">
            <w:pPr>
              <w:spacing w:before="100"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00404</w:t>
            </w:r>
          </w:p>
        </w:tc>
        <w:tc>
          <w:tcPr>
            <w:tcW w:w="2297" w:type="dxa"/>
            <w:tcBorders>
              <w:right w:val="nil"/>
            </w:tcBorders>
            <w:vAlign w:val="top"/>
          </w:tcPr>
          <w:p w14:paraId="4B7C549D">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r>
      <w:tr w14:paraId="2956A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4938F77E">
            <w:pPr>
              <w:spacing w:before="102"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14:paraId="0AC3B21D">
            <w:pPr>
              <w:spacing w:before="99"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19</w:t>
            </w:r>
          </w:p>
        </w:tc>
        <w:tc>
          <w:tcPr>
            <w:tcW w:w="2296" w:type="dxa"/>
            <w:vAlign w:val="top"/>
          </w:tcPr>
          <w:p w14:paraId="221EF127">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0.00406</w:t>
            </w:r>
            <w:r>
              <w:rPr>
                <w:rFonts w:ascii="Times New Roman" w:hAnsi="Times New Roman" w:eastAsia="Times New Roman" w:cs="Times New Roman"/>
                <w:spacing w:val="2"/>
                <w:sz w:val="20"/>
                <w:szCs w:val="20"/>
              </w:rPr>
              <w:t>5</w:t>
            </w:r>
          </w:p>
        </w:tc>
        <w:tc>
          <w:tcPr>
            <w:tcW w:w="2297" w:type="dxa"/>
            <w:tcBorders>
              <w:right w:val="nil"/>
            </w:tcBorders>
            <w:vAlign w:val="top"/>
          </w:tcPr>
          <w:p w14:paraId="4E534D32">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r>
      <w:tr w14:paraId="48FCD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72650A5">
            <w:pPr>
              <w:spacing w:before="99" w:line="195"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18" w:type="dxa"/>
            <w:vAlign w:val="top"/>
          </w:tcPr>
          <w:p w14:paraId="26787279">
            <w:pPr>
              <w:spacing w:before="99"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296" w:type="dxa"/>
            <w:vAlign w:val="top"/>
          </w:tcPr>
          <w:p w14:paraId="6FA005DE">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0.00385</w:t>
            </w:r>
            <w:r>
              <w:rPr>
                <w:rFonts w:ascii="Times New Roman" w:hAnsi="Times New Roman" w:eastAsia="Times New Roman" w:cs="Times New Roman"/>
                <w:spacing w:val="2"/>
                <w:sz w:val="20"/>
                <w:szCs w:val="20"/>
              </w:rPr>
              <w:t>4</w:t>
            </w:r>
          </w:p>
        </w:tc>
        <w:tc>
          <w:tcPr>
            <w:tcW w:w="2297" w:type="dxa"/>
            <w:tcBorders>
              <w:right w:val="nil"/>
            </w:tcBorders>
            <w:vAlign w:val="top"/>
          </w:tcPr>
          <w:p w14:paraId="63081AFD">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r>
      <w:tr w14:paraId="6FC12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3252EA12">
            <w:pPr>
              <w:spacing w:before="104" w:line="192" w:lineRule="auto"/>
              <w:ind w:left="77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18" w:type="dxa"/>
            <w:vAlign w:val="top"/>
          </w:tcPr>
          <w:p w14:paraId="5152C3E1">
            <w:pPr>
              <w:spacing w:before="101"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2296" w:type="dxa"/>
            <w:vAlign w:val="top"/>
          </w:tcPr>
          <w:p w14:paraId="3D0309B9">
            <w:pPr>
              <w:spacing w:before="101"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0.00363</w:t>
            </w:r>
            <w:r>
              <w:rPr>
                <w:rFonts w:ascii="Times New Roman" w:hAnsi="Times New Roman" w:eastAsia="Times New Roman" w:cs="Times New Roman"/>
                <w:spacing w:val="2"/>
                <w:sz w:val="20"/>
                <w:szCs w:val="20"/>
              </w:rPr>
              <w:t>7</w:t>
            </w:r>
          </w:p>
        </w:tc>
        <w:tc>
          <w:tcPr>
            <w:tcW w:w="2297" w:type="dxa"/>
            <w:tcBorders>
              <w:right w:val="nil"/>
            </w:tcBorders>
            <w:vAlign w:val="top"/>
          </w:tcPr>
          <w:p w14:paraId="71D2E89A">
            <w:pPr>
              <w:spacing w:before="10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r>
      <w:tr w14:paraId="7B33A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493B61E1">
            <w:pPr>
              <w:spacing w:before="100" w:line="195" w:lineRule="auto"/>
              <w:ind w:left="78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18" w:type="dxa"/>
            <w:vAlign w:val="top"/>
          </w:tcPr>
          <w:p w14:paraId="7666CB0F">
            <w:pPr>
              <w:spacing w:before="100" w:line="195" w:lineRule="auto"/>
              <w:ind w:left="9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296" w:type="dxa"/>
            <w:vAlign w:val="top"/>
          </w:tcPr>
          <w:p w14:paraId="5FB2CC40">
            <w:pPr>
              <w:spacing w:before="101"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0.00341</w:t>
            </w:r>
            <w:r>
              <w:rPr>
                <w:rFonts w:ascii="Times New Roman" w:hAnsi="Times New Roman" w:eastAsia="Times New Roman" w:cs="Times New Roman"/>
                <w:spacing w:val="2"/>
                <w:sz w:val="20"/>
                <w:szCs w:val="20"/>
              </w:rPr>
              <w:t>5</w:t>
            </w:r>
          </w:p>
        </w:tc>
        <w:tc>
          <w:tcPr>
            <w:tcW w:w="2297" w:type="dxa"/>
            <w:tcBorders>
              <w:right w:val="nil"/>
            </w:tcBorders>
            <w:vAlign w:val="top"/>
          </w:tcPr>
          <w:p w14:paraId="71313A0A">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0. 17</w:t>
            </w:r>
          </w:p>
        </w:tc>
      </w:tr>
      <w:tr w14:paraId="416B0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4CEE336">
            <w:pPr>
              <w:spacing w:before="100" w:line="195" w:lineRule="auto"/>
              <w:ind w:left="78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18" w:type="dxa"/>
            <w:vAlign w:val="top"/>
          </w:tcPr>
          <w:p w14:paraId="27FC7ADB">
            <w:pPr>
              <w:spacing w:before="100"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00</w:t>
            </w:r>
          </w:p>
        </w:tc>
        <w:tc>
          <w:tcPr>
            <w:tcW w:w="2296" w:type="dxa"/>
            <w:vAlign w:val="top"/>
          </w:tcPr>
          <w:p w14:paraId="53EB8773">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0.00327</w:t>
            </w:r>
            <w:r>
              <w:rPr>
                <w:rFonts w:ascii="Times New Roman" w:hAnsi="Times New Roman" w:eastAsia="Times New Roman" w:cs="Times New Roman"/>
                <w:spacing w:val="2"/>
                <w:sz w:val="20"/>
                <w:szCs w:val="20"/>
              </w:rPr>
              <w:t>8</w:t>
            </w:r>
          </w:p>
        </w:tc>
        <w:tc>
          <w:tcPr>
            <w:tcW w:w="2297" w:type="dxa"/>
            <w:tcBorders>
              <w:right w:val="nil"/>
            </w:tcBorders>
            <w:vAlign w:val="top"/>
          </w:tcPr>
          <w:p w14:paraId="7D0E8EC0">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0. 16</w:t>
            </w:r>
          </w:p>
        </w:tc>
      </w:tr>
      <w:tr w14:paraId="03C52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D572375">
            <w:pPr>
              <w:spacing w:before="100"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18" w:type="dxa"/>
            <w:vAlign w:val="top"/>
          </w:tcPr>
          <w:p w14:paraId="6B5B82B0">
            <w:pPr>
              <w:spacing w:before="100" w:line="195" w:lineRule="auto"/>
              <w:ind w:left="9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2296" w:type="dxa"/>
            <w:vAlign w:val="top"/>
          </w:tcPr>
          <w:p w14:paraId="5D42645E">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0.00316</w:t>
            </w:r>
            <w:r>
              <w:rPr>
                <w:rFonts w:ascii="Times New Roman" w:hAnsi="Times New Roman" w:eastAsia="Times New Roman" w:cs="Times New Roman"/>
                <w:spacing w:val="2"/>
                <w:sz w:val="20"/>
                <w:szCs w:val="20"/>
              </w:rPr>
              <w:t>2</w:t>
            </w:r>
          </w:p>
        </w:tc>
        <w:tc>
          <w:tcPr>
            <w:tcW w:w="2297" w:type="dxa"/>
            <w:tcBorders>
              <w:right w:val="nil"/>
            </w:tcBorders>
            <w:vAlign w:val="top"/>
          </w:tcPr>
          <w:p w14:paraId="395D70A5">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0. 16</w:t>
            </w:r>
          </w:p>
        </w:tc>
      </w:tr>
      <w:tr w14:paraId="4F815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03A4A75E">
            <w:pPr>
              <w:spacing w:before="99"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2118" w:type="dxa"/>
            <w:vAlign w:val="top"/>
          </w:tcPr>
          <w:p w14:paraId="5E4FF9B2">
            <w:pPr>
              <w:spacing w:before="99"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2296" w:type="dxa"/>
            <w:vAlign w:val="top"/>
          </w:tcPr>
          <w:p w14:paraId="71098873">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0.00306</w:t>
            </w:r>
            <w:r>
              <w:rPr>
                <w:rFonts w:ascii="Times New Roman" w:hAnsi="Times New Roman" w:eastAsia="Times New Roman" w:cs="Times New Roman"/>
                <w:spacing w:val="2"/>
                <w:sz w:val="20"/>
                <w:szCs w:val="20"/>
              </w:rPr>
              <w:t>5</w:t>
            </w:r>
          </w:p>
        </w:tc>
        <w:tc>
          <w:tcPr>
            <w:tcW w:w="2297" w:type="dxa"/>
            <w:tcBorders>
              <w:right w:val="nil"/>
            </w:tcBorders>
            <w:vAlign w:val="top"/>
          </w:tcPr>
          <w:p w14:paraId="63D599D4">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14:paraId="430D1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31F639E0">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118" w:type="dxa"/>
            <w:vAlign w:val="top"/>
          </w:tcPr>
          <w:p w14:paraId="43F5B9CC">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2296" w:type="dxa"/>
            <w:vAlign w:val="top"/>
          </w:tcPr>
          <w:p w14:paraId="3A324CF0">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0.00291</w:t>
            </w:r>
            <w:r>
              <w:rPr>
                <w:rFonts w:ascii="Times New Roman" w:hAnsi="Times New Roman" w:eastAsia="Times New Roman" w:cs="Times New Roman"/>
                <w:spacing w:val="2"/>
                <w:sz w:val="20"/>
                <w:szCs w:val="20"/>
              </w:rPr>
              <w:t>3</w:t>
            </w:r>
          </w:p>
        </w:tc>
        <w:tc>
          <w:tcPr>
            <w:tcW w:w="2297" w:type="dxa"/>
            <w:tcBorders>
              <w:right w:val="nil"/>
            </w:tcBorders>
            <w:vAlign w:val="top"/>
          </w:tcPr>
          <w:p w14:paraId="553E415C">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14:paraId="00CDF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2C044A40">
            <w:pPr>
              <w:spacing w:before="101"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2118" w:type="dxa"/>
            <w:vAlign w:val="top"/>
          </w:tcPr>
          <w:p w14:paraId="43EF03CE">
            <w:pPr>
              <w:spacing w:before="101"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100</w:t>
            </w:r>
          </w:p>
        </w:tc>
        <w:tc>
          <w:tcPr>
            <w:tcW w:w="2296" w:type="dxa"/>
            <w:vAlign w:val="top"/>
          </w:tcPr>
          <w:p w14:paraId="1A6CD864">
            <w:pPr>
              <w:spacing w:before="101"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0.00272</w:t>
            </w:r>
            <w:r>
              <w:rPr>
                <w:rFonts w:ascii="Times New Roman" w:hAnsi="Times New Roman" w:eastAsia="Times New Roman" w:cs="Times New Roman"/>
                <w:spacing w:val="2"/>
                <w:sz w:val="20"/>
                <w:szCs w:val="20"/>
              </w:rPr>
              <w:t>6</w:t>
            </w:r>
          </w:p>
        </w:tc>
        <w:tc>
          <w:tcPr>
            <w:tcW w:w="2297" w:type="dxa"/>
            <w:tcBorders>
              <w:right w:val="nil"/>
            </w:tcBorders>
            <w:vAlign w:val="top"/>
          </w:tcPr>
          <w:p w14:paraId="4920A834">
            <w:pPr>
              <w:spacing w:before="10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0. 14</w:t>
            </w:r>
          </w:p>
        </w:tc>
      </w:tr>
      <w:tr w14:paraId="40586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0BF2DAF4">
            <w:pPr>
              <w:spacing w:before="101"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2118" w:type="dxa"/>
            <w:vAlign w:val="top"/>
          </w:tcPr>
          <w:p w14:paraId="16311170">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2296" w:type="dxa"/>
            <w:vAlign w:val="top"/>
          </w:tcPr>
          <w:p w14:paraId="02B48DF4">
            <w:pPr>
              <w:spacing w:before="101"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0.00254</w:t>
            </w:r>
            <w:r>
              <w:rPr>
                <w:rFonts w:ascii="Times New Roman" w:hAnsi="Times New Roman" w:eastAsia="Times New Roman" w:cs="Times New Roman"/>
                <w:spacing w:val="2"/>
                <w:sz w:val="20"/>
                <w:szCs w:val="20"/>
              </w:rPr>
              <w:t>7</w:t>
            </w:r>
          </w:p>
        </w:tc>
        <w:tc>
          <w:tcPr>
            <w:tcW w:w="2297" w:type="dxa"/>
            <w:tcBorders>
              <w:right w:val="nil"/>
            </w:tcBorders>
            <w:vAlign w:val="top"/>
          </w:tcPr>
          <w:p w14:paraId="6F605F65">
            <w:pPr>
              <w:spacing w:before="10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0. 13</w:t>
            </w:r>
          </w:p>
        </w:tc>
      </w:tr>
      <w:tr w14:paraId="15F1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234CDDB0">
            <w:pPr>
              <w:spacing w:before="100"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118" w:type="dxa"/>
            <w:vAlign w:val="top"/>
          </w:tcPr>
          <w:p w14:paraId="74797A40">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2296" w:type="dxa"/>
            <w:vAlign w:val="top"/>
          </w:tcPr>
          <w:p w14:paraId="5B326718">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0.00237</w:t>
            </w:r>
            <w:r>
              <w:rPr>
                <w:rFonts w:ascii="Times New Roman" w:hAnsi="Times New Roman" w:eastAsia="Times New Roman" w:cs="Times New Roman"/>
                <w:spacing w:val="2"/>
                <w:sz w:val="20"/>
                <w:szCs w:val="20"/>
              </w:rPr>
              <w:t>8</w:t>
            </w:r>
          </w:p>
        </w:tc>
        <w:tc>
          <w:tcPr>
            <w:tcW w:w="2297" w:type="dxa"/>
            <w:tcBorders>
              <w:right w:val="nil"/>
            </w:tcBorders>
            <w:vAlign w:val="top"/>
          </w:tcPr>
          <w:p w14:paraId="546DE29C">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0. 12</w:t>
            </w:r>
          </w:p>
        </w:tc>
      </w:tr>
      <w:tr w14:paraId="293FD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5E365E7A">
            <w:pPr>
              <w:spacing w:before="100"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2118" w:type="dxa"/>
            <w:vAlign w:val="top"/>
          </w:tcPr>
          <w:p w14:paraId="27F7981B">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2296" w:type="dxa"/>
            <w:vAlign w:val="top"/>
          </w:tcPr>
          <w:p w14:paraId="15E81981">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0.00222</w:t>
            </w:r>
            <w:r>
              <w:rPr>
                <w:rFonts w:ascii="Times New Roman" w:hAnsi="Times New Roman" w:eastAsia="Times New Roman" w:cs="Times New Roman"/>
                <w:spacing w:val="2"/>
                <w:sz w:val="20"/>
                <w:szCs w:val="20"/>
              </w:rPr>
              <w:t>2</w:t>
            </w:r>
          </w:p>
        </w:tc>
        <w:tc>
          <w:tcPr>
            <w:tcW w:w="2297" w:type="dxa"/>
            <w:tcBorders>
              <w:right w:val="nil"/>
            </w:tcBorders>
            <w:vAlign w:val="top"/>
          </w:tcPr>
          <w:p w14:paraId="7750BCAD">
            <w:pPr>
              <w:spacing w:before="100" w:line="195" w:lineRule="auto"/>
              <w:ind w:left="973"/>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0</w:t>
            </w:r>
            <w:r>
              <w:rPr>
                <w:rFonts w:ascii="Times New Roman" w:hAnsi="Times New Roman" w:eastAsia="Times New Roman" w:cs="Times New Roman"/>
                <w:spacing w:val="-8"/>
                <w:sz w:val="20"/>
                <w:szCs w:val="20"/>
              </w:rPr>
              <w:t>. 11</w:t>
            </w:r>
          </w:p>
        </w:tc>
      </w:tr>
      <w:tr w14:paraId="040B5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1057DC85">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2118" w:type="dxa"/>
            <w:vAlign w:val="top"/>
          </w:tcPr>
          <w:p w14:paraId="7E3C4325">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2296" w:type="dxa"/>
            <w:vAlign w:val="top"/>
          </w:tcPr>
          <w:p w14:paraId="4F37CE44">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0.00207</w:t>
            </w:r>
            <w:r>
              <w:rPr>
                <w:rFonts w:ascii="Times New Roman" w:hAnsi="Times New Roman" w:eastAsia="Times New Roman" w:cs="Times New Roman"/>
                <w:spacing w:val="2"/>
                <w:sz w:val="20"/>
                <w:szCs w:val="20"/>
              </w:rPr>
              <w:t>8</w:t>
            </w:r>
          </w:p>
        </w:tc>
        <w:tc>
          <w:tcPr>
            <w:tcW w:w="2297" w:type="dxa"/>
            <w:tcBorders>
              <w:right w:val="nil"/>
            </w:tcBorders>
            <w:vAlign w:val="top"/>
          </w:tcPr>
          <w:p w14:paraId="50E11043">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r>
      <w:tr w14:paraId="40C74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34F8EF8D">
            <w:pPr>
              <w:spacing w:before="99"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2118" w:type="dxa"/>
            <w:vAlign w:val="top"/>
          </w:tcPr>
          <w:p w14:paraId="7AFFE569">
            <w:pPr>
              <w:spacing w:before="99"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p>
        </w:tc>
        <w:tc>
          <w:tcPr>
            <w:tcW w:w="2296" w:type="dxa"/>
            <w:vAlign w:val="top"/>
          </w:tcPr>
          <w:p w14:paraId="51020469">
            <w:pPr>
              <w:spacing w:before="99"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0.00194</w:t>
            </w:r>
            <w:r>
              <w:rPr>
                <w:rFonts w:ascii="Times New Roman" w:hAnsi="Times New Roman" w:eastAsia="Times New Roman" w:cs="Times New Roman"/>
                <w:spacing w:val="2"/>
                <w:sz w:val="20"/>
                <w:szCs w:val="20"/>
              </w:rPr>
              <w:t>7</w:t>
            </w:r>
          </w:p>
        </w:tc>
        <w:tc>
          <w:tcPr>
            <w:tcW w:w="2297" w:type="dxa"/>
            <w:tcBorders>
              <w:right w:val="nil"/>
            </w:tcBorders>
            <w:vAlign w:val="top"/>
          </w:tcPr>
          <w:p w14:paraId="071BEE31">
            <w:pPr>
              <w:spacing w:before="99"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r>
      <w:tr w14:paraId="3E2CF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26F70FA5">
            <w:pPr>
              <w:spacing w:before="101"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2118" w:type="dxa"/>
            <w:vAlign w:val="top"/>
          </w:tcPr>
          <w:p w14:paraId="3A8F3F63">
            <w:pPr>
              <w:spacing w:before="101"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2296" w:type="dxa"/>
            <w:vAlign w:val="top"/>
          </w:tcPr>
          <w:p w14:paraId="0B1C634F">
            <w:pPr>
              <w:spacing w:before="101"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0.00182</w:t>
            </w:r>
            <w:r>
              <w:rPr>
                <w:rFonts w:ascii="Times New Roman" w:hAnsi="Times New Roman" w:eastAsia="Times New Roman" w:cs="Times New Roman"/>
                <w:spacing w:val="2"/>
                <w:sz w:val="20"/>
                <w:szCs w:val="20"/>
              </w:rPr>
              <w:t>6</w:t>
            </w:r>
          </w:p>
        </w:tc>
        <w:tc>
          <w:tcPr>
            <w:tcW w:w="2297" w:type="dxa"/>
            <w:tcBorders>
              <w:right w:val="nil"/>
            </w:tcBorders>
            <w:vAlign w:val="top"/>
          </w:tcPr>
          <w:p w14:paraId="0A109331">
            <w:pPr>
              <w:spacing w:before="10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.09</w:t>
            </w:r>
          </w:p>
        </w:tc>
      </w:tr>
      <w:tr w14:paraId="46516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05C6B1D0">
            <w:pPr>
              <w:spacing w:before="100"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18" w:type="dxa"/>
            <w:vAlign w:val="top"/>
          </w:tcPr>
          <w:p w14:paraId="0C28E0C2">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2296" w:type="dxa"/>
            <w:vAlign w:val="top"/>
          </w:tcPr>
          <w:p w14:paraId="1808FB99">
            <w:pPr>
              <w:spacing w:before="101"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0.00171</w:t>
            </w:r>
            <w:r>
              <w:rPr>
                <w:rFonts w:ascii="Times New Roman" w:hAnsi="Times New Roman" w:eastAsia="Times New Roman" w:cs="Times New Roman"/>
                <w:spacing w:val="2"/>
                <w:sz w:val="20"/>
                <w:szCs w:val="20"/>
              </w:rPr>
              <w:t>6</w:t>
            </w:r>
          </w:p>
        </w:tc>
        <w:tc>
          <w:tcPr>
            <w:tcW w:w="2297" w:type="dxa"/>
            <w:tcBorders>
              <w:right w:val="nil"/>
            </w:tcBorders>
            <w:vAlign w:val="top"/>
          </w:tcPr>
          <w:p w14:paraId="00DF6896">
            <w:pPr>
              <w:spacing w:before="10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.09</w:t>
            </w:r>
          </w:p>
        </w:tc>
      </w:tr>
      <w:tr w14:paraId="43234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4E431DBA">
            <w:pPr>
              <w:spacing w:before="100"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2118" w:type="dxa"/>
            <w:vAlign w:val="top"/>
          </w:tcPr>
          <w:p w14:paraId="36FAE26D">
            <w:pPr>
              <w:spacing w:before="10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1900</w:t>
            </w:r>
          </w:p>
        </w:tc>
        <w:tc>
          <w:tcPr>
            <w:tcW w:w="2296" w:type="dxa"/>
            <w:vAlign w:val="top"/>
          </w:tcPr>
          <w:p w14:paraId="0AC8B7FC">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0.00165</w:t>
            </w:r>
            <w:r>
              <w:rPr>
                <w:rFonts w:ascii="Times New Roman" w:hAnsi="Times New Roman" w:eastAsia="Times New Roman" w:cs="Times New Roman"/>
                <w:spacing w:val="2"/>
                <w:sz w:val="20"/>
                <w:szCs w:val="20"/>
              </w:rPr>
              <w:t>5</w:t>
            </w:r>
          </w:p>
        </w:tc>
        <w:tc>
          <w:tcPr>
            <w:tcW w:w="2297" w:type="dxa"/>
            <w:tcBorders>
              <w:right w:val="nil"/>
            </w:tcBorders>
            <w:vAlign w:val="top"/>
          </w:tcPr>
          <w:p w14:paraId="7C4044AA">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.08</w:t>
            </w:r>
          </w:p>
        </w:tc>
      </w:tr>
      <w:tr w14:paraId="6CC9B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651" w:type="dxa"/>
            <w:tcBorders>
              <w:left w:val="nil"/>
            </w:tcBorders>
            <w:vAlign w:val="top"/>
          </w:tcPr>
          <w:p w14:paraId="22E400D3">
            <w:pPr>
              <w:spacing w:before="100"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2118" w:type="dxa"/>
            <w:vAlign w:val="top"/>
          </w:tcPr>
          <w:p w14:paraId="26DBC4B9">
            <w:pPr>
              <w:spacing w:before="100" w:line="195"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2296" w:type="dxa"/>
            <w:vAlign w:val="top"/>
          </w:tcPr>
          <w:p w14:paraId="76DBD550">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0.00168</w:t>
            </w:r>
            <w:r>
              <w:rPr>
                <w:rFonts w:ascii="Times New Roman" w:hAnsi="Times New Roman" w:eastAsia="Times New Roman" w:cs="Times New Roman"/>
                <w:spacing w:val="2"/>
                <w:sz w:val="20"/>
                <w:szCs w:val="20"/>
              </w:rPr>
              <w:t>3</w:t>
            </w:r>
          </w:p>
        </w:tc>
        <w:tc>
          <w:tcPr>
            <w:tcW w:w="2297" w:type="dxa"/>
            <w:tcBorders>
              <w:right w:val="nil"/>
            </w:tcBorders>
            <w:vAlign w:val="top"/>
          </w:tcPr>
          <w:p w14:paraId="155D2656">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.08</w:t>
            </w:r>
          </w:p>
        </w:tc>
      </w:tr>
      <w:tr w14:paraId="2D50A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3769" w:type="dxa"/>
            <w:gridSpan w:val="2"/>
            <w:tcBorders>
              <w:left w:val="nil"/>
            </w:tcBorders>
            <w:vAlign w:val="top"/>
          </w:tcPr>
          <w:p w14:paraId="18ABB4FF">
            <w:pPr>
              <w:spacing w:before="63" w:line="222" w:lineRule="auto"/>
              <w:ind w:left="849"/>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风向最大落地点浓度</w:t>
            </w:r>
          </w:p>
        </w:tc>
        <w:tc>
          <w:tcPr>
            <w:tcW w:w="2296" w:type="dxa"/>
            <w:vAlign w:val="top"/>
          </w:tcPr>
          <w:p w14:paraId="745F2696">
            <w:pPr>
              <w:spacing w:before="100"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0.00406</w:t>
            </w:r>
            <w:r>
              <w:rPr>
                <w:rFonts w:ascii="Times New Roman" w:hAnsi="Times New Roman" w:eastAsia="Times New Roman" w:cs="Times New Roman"/>
                <w:spacing w:val="2"/>
                <w:sz w:val="20"/>
                <w:szCs w:val="20"/>
              </w:rPr>
              <w:t>5</w:t>
            </w:r>
          </w:p>
        </w:tc>
        <w:tc>
          <w:tcPr>
            <w:tcW w:w="2297" w:type="dxa"/>
            <w:tcBorders>
              <w:right w:val="nil"/>
            </w:tcBorders>
            <w:vAlign w:val="top"/>
          </w:tcPr>
          <w:p w14:paraId="72A28F8B">
            <w:pPr>
              <w:spacing w:before="10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.20</w:t>
            </w:r>
          </w:p>
        </w:tc>
      </w:tr>
      <w:tr w14:paraId="57308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3769" w:type="dxa"/>
            <w:gridSpan w:val="2"/>
            <w:tcBorders>
              <w:left w:val="nil"/>
            </w:tcBorders>
            <w:vAlign w:val="top"/>
          </w:tcPr>
          <w:p w14:paraId="7D288D84">
            <w:pPr>
              <w:spacing w:before="26" w:line="281" w:lineRule="exact"/>
              <w:ind w:left="861"/>
              <w:rPr>
                <w:rFonts w:ascii="Times New Roman" w:hAnsi="Times New Roman" w:eastAsia="Times New Roman" w:cs="Times New Roman"/>
                <w:sz w:val="20"/>
                <w:szCs w:val="20"/>
              </w:rPr>
            </w:pPr>
            <w:r>
              <w:rPr>
                <w:rFonts w:ascii="宋体" w:hAnsi="宋体" w:eastAsia="宋体" w:cs="宋体"/>
                <w:spacing w:val="-2"/>
                <w:position w:val="2"/>
                <w:sz w:val="20"/>
                <w:szCs w:val="20"/>
              </w:rPr>
              <w:t>最大落地点浓度距离</w:t>
            </w:r>
            <w:r>
              <w:rPr>
                <w:rFonts w:ascii="Times New Roman" w:hAnsi="Times New Roman" w:eastAsia="Times New Roman" w:cs="Times New Roman"/>
                <w:spacing w:val="-1"/>
                <w:position w:val="2"/>
                <w:sz w:val="20"/>
                <w:szCs w:val="20"/>
              </w:rPr>
              <w:t>(m)</w:t>
            </w:r>
          </w:p>
        </w:tc>
        <w:tc>
          <w:tcPr>
            <w:tcW w:w="4593" w:type="dxa"/>
            <w:gridSpan w:val="2"/>
            <w:tcBorders>
              <w:right w:val="nil"/>
            </w:tcBorders>
            <w:vAlign w:val="top"/>
          </w:tcPr>
          <w:p w14:paraId="2DCF9FD7">
            <w:pPr>
              <w:spacing w:before="100" w:line="195" w:lineRule="auto"/>
              <w:ind w:left="2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19</w:t>
            </w:r>
          </w:p>
        </w:tc>
      </w:tr>
    </w:tbl>
    <w:p w14:paraId="756893B1">
      <w:pPr>
        <w:spacing w:before="288" w:line="331" w:lineRule="exact"/>
        <w:ind w:left="906"/>
        <w:rPr>
          <w:rFonts w:ascii="宋体" w:hAnsi="宋体" w:eastAsia="宋体" w:cs="宋体"/>
          <w:sz w:val="23"/>
          <w:szCs w:val="23"/>
        </w:rPr>
      </w:pPr>
      <w:r>
        <w:rPr>
          <w:rFonts w:ascii="宋体" w:hAnsi="宋体" w:eastAsia="宋体" w:cs="宋体"/>
          <w:spacing w:val="7"/>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7"/>
          <w:position w:val="2"/>
          <w:sz w:val="23"/>
          <w:szCs w:val="23"/>
        </w:rPr>
        <w:t xml:space="preserve"> </w:t>
      </w:r>
      <w:r>
        <w:rPr>
          <w:rFonts w:ascii="Times New Roman" w:hAnsi="Times New Roman" w:eastAsia="Times New Roman" w:cs="Times New Roman"/>
          <w:b/>
          <w:bCs/>
          <w:spacing w:val="7"/>
          <w:position w:val="2"/>
          <w:sz w:val="23"/>
          <w:szCs w:val="23"/>
        </w:rPr>
        <w:t>5-10</w:t>
      </w:r>
      <w:r>
        <w:rPr>
          <w:rFonts w:ascii="Times New Roman" w:hAnsi="Times New Roman" w:eastAsia="Times New Roman" w:cs="Times New Roman"/>
          <w:spacing w:val="7"/>
          <w:position w:val="2"/>
          <w:sz w:val="23"/>
          <w:szCs w:val="23"/>
        </w:rPr>
        <w:t xml:space="preserve">         </w:t>
      </w:r>
      <w:r>
        <w:rPr>
          <w:rFonts w:ascii="Times New Roman" w:hAnsi="Times New Roman" w:eastAsia="Times New Roman" w:cs="Times New Roman"/>
          <w:b/>
          <w:bCs/>
          <w:spacing w:val="7"/>
          <w:position w:val="2"/>
          <w:sz w:val="23"/>
          <w:szCs w:val="23"/>
        </w:rPr>
        <w:t>3#</w:t>
      </w:r>
      <w:r>
        <w:rPr>
          <w:rFonts w:ascii="宋体" w:hAnsi="宋体" w:eastAsia="宋体" w:cs="宋体"/>
          <w:spacing w:val="7"/>
          <w:position w:val="2"/>
          <w:sz w:val="23"/>
          <w:szCs w:val="23"/>
          <w14:textOutline w14:w="4358" w14:cap="sq" w14:cmpd="sng">
            <w14:solidFill>
              <w14:srgbClr w14:val="000000"/>
            </w14:solidFill>
            <w14:prstDash w14:val="solid"/>
            <w14:bevel/>
          </w14:textOutline>
        </w:rPr>
        <w:t>排气筒有组织废气主要污染因子估算模式的计算结</w:t>
      </w:r>
      <w:r>
        <w:rPr>
          <w:rFonts w:ascii="宋体" w:hAnsi="宋体" w:eastAsia="宋体" w:cs="宋体"/>
          <w:spacing w:val="1"/>
          <w:position w:val="2"/>
          <w:sz w:val="23"/>
          <w:szCs w:val="23"/>
          <w14:textOutline w14:w="4358" w14:cap="sq" w14:cmpd="sng">
            <w14:solidFill>
              <w14:srgbClr w14:val="000000"/>
            </w14:solidFill>
            <w14:prstDash w14:val="solid"/>
            <w14:bevel/>
          </w14:textOutline>
        </w:rPr>
        <w:t>果</w:t>
      </w:r>
    </w:p>
    <w:p w14:paraId="2289BE1D">
      <w:pPr>
        <w:spacing w:line="17"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0"/>
        <w:gridCol w:w="1164"/>
        <w:gridCol w:w="1233"/>
        <w:gridCol w:w="793"/>
        <w:gridCol w:w="1232"/>
        <w:gridCol w:w="794"/>
        <w:gridCol w:w="1126"/>
        <w:gridCol w:w="900"/>
      </w:tblGrid>
      <w:tr w14:paraId="5890D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110" w:type="dxa"/>
            <w:vMerge w:val="restart"/>
            <w:tcBorders>
              <w:left w:val="nil"/>
              <w:bottom w:val="nil"/>
            </w:tcBorders>
            <w:vAlign w:val="top"/>
          </w:tcPr>
          <w:p w14:paraId="0E71BBC8">
            <w:pPr>
              <w:spacing w:line="434" w:lineRule="auto"/>
              <w:rPr>
                <w:rFonts w:ascii="Arial"/>
                <w:sz w:val="21"/>
              </w:rPr>
            </w:pPr>
          </w:p>
          <w:p w14:paraId="28ABF896">
            <w:pPr>
              <w:spacing w:before="65" w:line="229" w:lineRule="auto"/>
              <w:ind w:left="35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164" w:type="dxa"/>
            <w:vMerge w:val="restart"/>
            <w:tcBorders>
              <w:bottom w:val="nil"/>
            </w:tcBorders>
            <w:vAlign w:val="top"/>
          </w:tcPr>
          <w:p w14:paraId="66F55CBE">
            <w:pPr>
              <w:spacing w:line="393" w:lineRule="auto"/>
              <w:rPr>
                <w:rFonts w:ascii="Arial"/>
                <w:sz w:val="21"/>
              </w:rPr>
            </w:pPr>
          </w:p>
          <w:p w14:paraId="7FD5956F">
            <w:pPr>
              <w:spacing w:before="65" w:line="289" w:lineRule="exact"/>
              <w:ind w:left="220"/>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距离</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c>
          <w:tcPr>
            <w:tcW w:w="6078" w:type="dxa"/>
            <w:gridSpan w:val="6"/>
            <w:tcBorders>
              <w:right w:val="nil"/>
            </w:tcBorders>
            <w:vAlign w:val="top"/>
          </w:tcPr>
          <w:p w14:paraId="0D7930D9">
            <w:pPr>
              <w:spacing w:before="14" w:line="286" w:lineRule="exact"/>
              <w:ind w:left="2724"/>
              <w:rPr>
                <w:rFonts w:ascii="宋体" w:hAnsi="宋体" w:eastAsia="宋体" w:cs="宋体"/>
                <w:sz w:val="20"/>
                <w:szCs w:val="20"/>
              </w:rPr>
            </w:pPr>
            <w:r>
              <w:rPr>
                <w:rFonts w:ascii="Times New Roman" w:hAnsi="Times New Roman" w:eastAsia="Times New Roman" w:cs="Times New Roman"/>
                <w:b/>
                <w:bCs/>
                <w:spacing w:val="7"/>
                <w:position w:val="1"/>
                <w:sz w:val="20"/>
                <w:szCs w:val="20"/>
              </w:rPr>
              <w:t>3#</w:t>
            </w:r>
            <w:r>
              <w:rPr>
                <w:rFonts w:ascii="宋体" w:hAnsi="宋体" w:eastAsia="宋体" w:cs="宋体"/>
                <w:spacing w:val="7"/>
                <w:position w:val="1"/>
                <w:sz w:val="20"/>
                <w:szCs w:val="20"/>
                <w14:textOutline w14:w="3762" w14:cap="sq" w14:cmpd="sng">
                  <w14:solidFill>
                    <w14:srgbClr w14:val="000000"/>
                  </w14:solidFill>
                  <w14:prstDash w14:val="solid"/>
                  <w14:bevel/>
                </w14:textOutline>
              </w:rPr>
              <w:t>点源</w:t>
            </w:r>
          </w:p>
        </w:tc>
      </w:tr>
      <w:tr w14:paraId="4AAF0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110" w:type="dxa"/>
            <w:vMerge w:val="continue"/>
            <w:tcBorders>
              <w:top w:val="nil"/>
              <w:left w:val="nil"/>
              <w:bottom w:val="nil"/>
            </w:tcBorders>
            <w:vAlign w:val="top"/>
          </w:tcPr>
          <w:p w14:paraId="62D099D5">
            <w:pPr>
              <w:rPr>
                <w:rFonts w:ascii="Arial"/>
                <w:sz w:val="21"/>
              </w:rPr>
            </w:pPr>
          </w:p>
        </w:tc>
        <w:tc>
          <w:tcPr>
            <w:tcW w:w="1164" w:type="dxa"/>
            <w:vMerge w:val="continue"/>
            <w:tcBorders>
              <w:top w:val="nil"/>
              <w:bottom w:val="nil"/>
            </w:tcBorders>
            <w:vAlign w:val="top"/>
          </w:tcPr>
          <w:p w14:paraId="157A7A38">
            <w:pPr>
              <w:rPr>
                <w:rFonts w:ascii="Arial"/>
                <w:sz w:val="21"/>
              </w:rPr>
            </w:pPr>
          </w:p>
        </w:tc>
        <w:tc>
          <w:tcPr>
            <w:tcW w:w="2026" w:type="dxa"/>
            <w:gridSpan w:val="2"/>
            <w:vAlign w:val="top"/>
          </w:tcPr>
          <w:p w14:paraId="7DBE0181">
            <w:pPr>
              <w:spacing w:before="54" w:line="201" w:lineRule="auto"/>
              <w:ind w:left="838"/>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18"/>
                <w:position w:val="-1"/>
                <w:sz w:val="13"/>
                <w:szCs w:val="13"/>
              </w:rPr>
              <w:t>2</w:t>
            </w:r>
          </w:p>
        </w:tc>
        <w:tc>
          <w:tcPr>
            <w:tcW w:w="2026" w:type="dxa"/>
            <w:gridSpan w:val="2"/>
            <w:vAlign w:val="top"/>
          </w:tcPr>
          <w:p w14:paraId="1B751F50">
            <w:pPr>
              <w:spacing w:before="54" w:line="201" w:lineRule="auto"/>
              <w:ind w:left="813"/>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NO</w:t>
            </w:r>
            <w:r>
              <w:rPr>
                <w:rFonts w:ascii="Times New Roman" w:hAnsi="Times New Roman" w:eastAsia="Times New Roman" w:cs="Times New Roman"/>
                <w:b/>
                <w:bCs/>
                <w:spacing w:val="26"/>
                <w:position w:val="-1"/>
                <w:sz w:val="13"/>
                <w:szCs w:val="13"/>
              </w:rPr>
              <w:t>2</w:t>
            </w:r>
          </w:p>
        </w:tc>
        <w:tc>
          <w:tcPr>
            <w:tcW w:w="2026" w:type="dxa"/>
            <w:gridSpan w:val="2"/>
            <w:tcBorders>
              <w:right w:val="nil"/>
            </w:tcBorders>
            <w:vAlign w:val="top"/>
          </w:tcPr>
          <w:p w14:paraId="59151052">
            <w:pPr>
              <w:spacing w:before="57" w:line="198" w:lineRule="auto"/>
              <w:ind w:left="771"/>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16"/>
                <w:position w:val="-1"/>
                <w:sz w:val="13"/>
                <w:szCs w:val="13"/>
              </w:rPr>
              <w:t>10</w:t>
            </w:r>
          </w:p>
        </w:tc>
      </w:tr>
      <w:tr w14:paraId="1A4B1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10" w:type="dxa"/>
            <w:vMerge w:val="continue"/>
            <w:tcBorders>
              <w:top w:val="nil"/>
              <w:left w:val="nil"/>
            </w:tcBorders>
            <w:vAlign w:val="top"/>
          </w:tcPr>
          <w:p w14:paraId="0BC44620">
            <w:pPr>
              <w:rPr>
                <w:rFonts w:ascii="Arial"/>
                <w:sz w:val="21"/>
              </w:rPr>
            </w:pPr>
          </w:p>
        </w:tc>
        <w:tc>
          <w:tcPr>
            <w:tcW w:w="1164" w:type="dxa"/>
            <w:vMerge w:val="continue"/>
            <w:tcBorders>
              <w:top w:val="nil"/>
            </w:tcBorders>
            <w:vAlign w:val="top"/>
          </w:tcPr>
          <w:p w14:paraId="535CAFAD">
            <w:pPr>
              <w:rPr>
                <w:rFonts w:ascii="Arial"/>
                <w:sz w:val="21"/>
              </w:rPr>
            </w:pPr>
          </w:p>
        </w:tc>
        <w:tc>
          <w:tcPr>
            <w:tcW w:w="1233" w:type="dxa"/>
            <w:vAlign w:val="top"/>
          </w:tcPr>
          <w:p w14:paraId="33CF510F">
            <w:pPr>
              <w:spacing w:before="60" w:line="251" w:lineRule="auto"/>
              <w:ind w:left="205" w:right="25" w:hanging="141"/>
              <w:rPr>
                <w:rFonts w:ascii="Times New Roman" w:hAnsi="Times New Roman" w:eastAsia="Times New Roman" w:cs="Times New Roman"/>
                <w:sz w:val="20"/>
                <w:szCs w:val="20"/>
              </w:rPr>
            </w:pPr>
            <w:r>
              <w:rPr>
                <w:rFonts w:ascii="宋体" w:hAnsi="宋体" w:eastAsia="宋体" w:cs="宋体"/>
                <w:spacing w:val="-13"/>
                <w:sz w:val="20"/>
                <w:szCs w:val="20"/>
                <w14:textOutline w14:w="3773" w14:cap="sq" w14:cmpd="sng">
                  <w14:solidFill>
                    <w14:srgbClr w14:val="000000"/>
                  </w14:solidFill>
                  <w14:prstDash w14:val="solid"/>
                  <w14:bevel/>
                </w14:textOutline>
              </w:rPr>
              <w:t>下</w:t>
            </w:r>
            <w:r>
              <w:rPr>
                <w:rFonts w:ascii="宋体" w:hAnsi="宋体" w:eastAsia="宋体" w:cs="宋体"/>
                <w:spacing w:val="-10"/>
                <w:sz w:val="20"/>
                <w:szCs w:val="20"/>
                <w14:textOutline w14:w="3773" w14:cap="sq" w14:cmpd="sng">
                  <w14:solidFill>
                    <w14:srgbClr w14:val="000000"/>
                  </w14:solidFill>
                  <w14:prstDash w14:val="solid"/>
                  <w14:bevel/>
                </w14:textOutline>
              </w:rPr>
              <w:t>风向预测浓</w:t>
            </w:r>
            <w:r>
              <w:rPr>
                <w:rFonts w:ascii="宋体" w:hAnsi="宋体" w:eastAsia="宋体" w:cs="宋体"/>
                <w:sz w:val="20"/>
                <w:szCs w:val="20"/>
              </w:rPr>
              <w:t xml:space="preserve"> </w:t>
            </w:r>
            <w:r>
              <w:rPr>
                <w:rFonts w:ascii="宋体" w:hAnsi="宋体" w:eastAsia="宋体" w:cs="宋体"/>
                <w:spacing w:val="-7"/>
                <w:sz w:val="20"/>
                <w:szCs w:val="20"/>
                <w14:textOutline w14:w="3773" w14:cap="sq" w14:cmpd="sng">
                  <w14:solidFill>
                    <w14:srgbClr w14:val="000000"/>
                  </w14:solidFill>
                  <w14:prstDash w14:val="solid"/>
                  <w14:bevel/>
                </w14:textOutline>
              </w:rPr>
              <w:t>度</w:t>
            </w:r>
            <w:r>
              <w:rPr>
                <w:rFonts w:ascii="Times New Roman" w:hAnsi="Times New Roman" w:eastAsia="Times New Roman" w:cs="Times New Roman"/>
                <w:b/>
                <w:bCs/>
                <w:spacing w:val="-5"/>
                <w:sz w:val="20"/>
                <w:szCs w:val="20"/>
              </w:rPr>
              <w:t>(mg/m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sz w:val="20"/>
                <w:szCs w:val="20"/>
              </w:rPr>
              <w:t>)</w:t>
            </w:r>
          </w:p>
        </w:tc>
        <w:tc>
          <w:tcPr>
            <w:tcW w:w="793" w:type="dxa"/>
            <w:vAlign w:val="top"/>
          </w:tcPr>
          <w:p w14:paraId="46E1D553">
            <w:pPr>
              <w:spacing w:before="58" w:line="267" w:lineRule="auto"/>
              <w:ind w:left="226" w:right="77" w:hanging="105"/>
              <w:rPr>
                <w:rFonts w:ascii="Times New Roman" w:hAnsi="Times New Roman" w:eastAsia="Times New Roman" w:cs="Times New Roman"/>
                <w:sz w:val="20"/>
                <w:szCs w:val="20"/>
              </w:rPr>
            </w:pPr>
            <w:r>
              <w:rPr>
                <w:rFonts w:ascii="宋体" w:hAnsi="宋体" w:eastAsia="宋体" w:cs="宋体"/>
                <w:spacing w:val="-6"/>
                <w:sz w:val="20"/>
                <w:szCs w:val="20"/>
                <w14:textOutline w14:w="3773" w14:cap="sq" w14:cmpd="sng">
                  <w14:solidFill>
                    <w14:srgbClr w14:val="000000"/>
                  </w14:solidFill>
                  <w14:prstDash w14:val="solid"/>
                  <w14:bevel/>
                </w14:textOutline>
              </w:rPr>
              <w:t>占</w:t>
            </w:r>
            <w:r>
              <w:rPr>
                <w:rFonts w:ascii="宋体" w:hAnsi="宋体" w:eastAsia="宋体" w:cs="宋体"/>
                <w:spacing w:val="-3"/>
                <w:sz w:val="20"/>
                <w:szCs w:val="20"/>
                <w14:textOutline w14:w="3773" w14:cap="sq" w14:cmpd="sng">
                  <w14:solidFill>
                    <w14:srgbClr w14:val="000000"/>
                  </w14:solidFill>
                  <w14:prstDash w14:val="solid"/>
                  <w14:bevel/>
                </w14:textOutline>
              </w:rPr>
              <w:t>标率</w:t>
            </w:r>
            <w:r>
              <w:rPr>
                <w:rFonts w:ascii="宋体" w:hAnsi="宋体" w:eastAsia="宋体" w:cs="宋体"/>
                <w:sz w:val="20"/>
                <w:szCs w:val="20"/>
              </w:rPr>
              <w:t xml:space="preserve"> </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pacing w:val="2"/>
                <w:sz w:val="20"/>
                <w:szCs w:val="20"/>
              </w:rPr>
              <w:t>)</w:t>
            </w:r>
          </w:p>
        </w:tc>
        <w:tc>
          <w:tcPr>
            <w:tcW w:w="1232" w:type="dxa"/>
            <w:vAlign w:val="top"/>
          </w:tcPr>
          <w:p w14:paraId="136C2419">
            <w:pPr>
              <w:spacing w:before="60" w:line="251" w:lineRule="auto"/>
              <w:ind w:left="205" w:right="25" w:hanging="141"/>
              <w:rPr>
                <w:rFonts w:ascii="Times New Roman" w:hAnsi="Times New Roman" w:eastAsia="Times New Roman" w:cs="Times New Roman"/>
                <w:sz w:val="20"/>
                <w:szCs w:val="20"/>
              </w:rPr>
            </w:pPr>
            <w:r>
              <w:rPr>
                <w:rFonts w:ascii="宋体" w:hAnsi="宋体" w:eastAsia="宋体" w:cs="宋体"/>
                <w:spacing w:val="-13"/>
                <w:sz w:val="20"/>
                <w:szCs w:val="20"/>
                <w14:textOutline w14:w="3773" w14:cap="sq" w14:cmpd="sng">
                  <w14:solidFill>
                    <w14:srgbClr w14:val="000000"/>
                  </w14:solidFill>
                  <w14:prstDash w14:val="solid"/>
                  <w14:bevel/>
                </w14:textOutline>
              </w:rPr>
              <w:t>下</w:t>
            </w:r>
            <w:r>
              <w:rPr>
                <w:rFonts w:ascii="宋体" w:hAnsi="宋体" w:eastAsia="宋体" w:cs="宋体"/>
                <w:spacing w:val="-10"/>
                <w:sz w:val="20"/>
                <w:szCs w:val="20"/>
                <w14:textOutline w14:w="3773" w14:cap="sq" w14:cmpd="sng">
                  <w14:solidFill>
                    <w14:srgbClr w14:val="000000"/>
                  </w14:solidFill>
                  <w14:prstDash w14:val="solid"/>
                  <w14:bevel/>
                </w14:textOutline>
              </w:rPr>
              <w:t>风向预测浓</w:t>
            </w:r>
            <w:r>
              <w:rPr>
                <w:rFonts w:ascii="宋体" w:hAnsi="宋体" w:eastAsia="宋体" w:cs="宋体"/>
                <w:sz w:val="20"/>
                <w:szCs w:val="20"/>
              </w:rPr>
              <w:t xml:space="preserve"> </w:t>
            </w:r>
            <w:r>
              <w:rPr>
                <w:rFonts w:ascii="宋体" w:hAnsi="宋体" w:eastAsia="宋体" w:cs="宋体"/>
                <w:spacing w:val="-7"/>
                <w:sz w:val="20"/>
                <w:szCs w:val="20"/>
                <w14:textOutline w14:w="3773" w14:cap="sq" w14:cmpd="sng">
                  <w14:solidFill>
                    <w14:srgbClr w14:val="000000"/>
                  </w14:solidFill>
                  <w14:prstDash w14:val="solid"/>
                  <w14:bevel/>
                </w14:textOutline>
              </w:rPr>
              <w:t>度</w:t>
            </w:r>
            <w:r>
              <w:rPr>
                <w:rFonts w:ascii="Times New Roman" w:hAnsi="Times New Roman" w:eastAsia="Times New Roman" w:cs="Times New Roman"/>
                <w:b/>
                <w:bCs/>
                <w:spacing w:val="-5"/>
                <w:sz w:val="20"/>
                <w:szCs w:val="20"/>
              </w:rPr>
              <w:t>(mg/m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sz w:val="20"/>
                <w:szCs w:val="20"/>
              </w:rPr>
              <w:t>)</w:t>
            </w:r>
          </w:p>
        </w:tc>
        <w:tc>
          <w:tcPr>
            <w:tcW w:w="794" w:type="dxa"/>
            <w:vAlign w:val="top"/>
          </w:tcPr>
          <w:p w14:paraId="6FFABE62">
            <w:pPr>
              <w:spacing w:before="58" w:line="267" w:lineRule="auto"/>
              <w:ind w:left="229" w:right="77" w:hanging="107"/>
              <w:rPr>
                <w:rFonts w:ascii="Times New Roman" w:hAnsi="Times New Roman" w:eastAsia="Times New Roman" w:cs="Times New Roman"/>
                <w:sz w:val="20"/>
                <w:szCs w:val="20"/>
              </w:rPr>
            </w:pPr>
            <w:r>
              <w:rPr>
                <w:rFonts w:ascii="宋体" w:hAnsi="宋体" w:eastAsia="宋体" w:cs="宋体"/>
                <w:spacing w:val="-6"/>
                <w:sz w:val="20"/>
                <w:szCs w:val="20"/>
                <w14:textOutline w14:w="3773" w14:cap="sq" w14:cmpd="sng">
                  <w14:solidFill>
                    <w14:srgbClr w14:val="000000"/>
                  </w14:solidFill>
                  <w14:prstDash w14:val="solid"/>
                  <w14:bevel/>
                </w14:textOutline>
              </w:rPr>
              <w:t>占</w:t>
            </w:r>
            <w:r>
              <w:rPr>
                <w:rFonts w:ascii="宋体" w:hAnsi="宋体" w:eastAsia="宋体" w:cs="宋体"/>
                <w:spacing w:val="-3"/>
                <w:sz w:val="20"/>
                <w:szCs w:val="20"/>
                <w14:textOutline w14:w="3773" w14:cap="sq" w14:cmpd="sng">
                  <w14:solidFill>
                    <w14:srgbClr w14:val="000000"/>
                  </w14:solidFill>
                  <w14:prstDash w14:val="solid"/>
                  <w14:bevel/>
                </w14:textOutline>
              </w:rPr>
              <w:t>标率</w:t>
            </w:r>
            <w:r>
              <w:rPr>
                <w:rFonts w:ascii="宋体" w:hAnsi="宋体" w:eastAsia="宋体" w:cs="宋体"/>
                <w:sz w:val="20"/>
                <w:szCs w:val="20"/>
              </w:rPr>
              <w:t xml:space="preserve"> </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pacing w:val="2"/>
                <w:sz w:val="20"/>
                <w:szCs w:val="20"/>
              </w:rPr>
              <w:t>)</w:t>
            </w:r>
          </w:p>
        </w:tc>
        <w:tc>
          <w:tcPr>
            <w:tcW w:w="1126" w:type="dxa"/>
            <w:vAlign w:val="top"/>
          </w:tcPr>
          <w:p w14:paraId="5B08079A">
            <w:pPr>
              <w:spacing w:before="60" w:line="251" w:lineRule="auto"/>
              <w:ind w:left="59" w:right="37" w:firstLine="44"/>
              <w:rPr>
                <w:rFonts w:ascii="Times New Roman" w:hAnsi="Times New Roman" w:eastAsia="Times New Roman" w:cs="Times New Roman"/>
                <w:sz w:val="20"/>
                <w:szCs w:val="20"/>
              </w:rPr>
            </w:pPr>
            <w:r>
              <w:rPr>
                <w:rFonts w:ascii="宋体" w:hAnsi="宋体" w:eastAsia="宋体" w:cs="宋体"/>
                <w:spacing w:val="-10"/>
                <w:sz w:val="20"/>
                <w:szCs w:val="20"/>
                <w14:textOutline w14:w="3773" w14:cap="sq" w14:cmpd="sng">
                  <w14:solidFill>
                    <w14:srgbClr w14:val="000000"/>
                  </w14:solidFill>
                  <w14:prstDash w14:val="solid"/>
                  <w14:bevel/>
                </w14:textOutline>
              </w:rPr>
              <w:t>下风向预测</w:t>
            </w:r>
            <w:r>
              <w:rPr>
                <w:rFonts w:ascii="宋体" w:hAnsi="宋体" w:eastAsia="宋体" w:cs="宋体"/>
                <w:sz w:val="20"/>
                <w:szCs w:val="20"/>
              </w:rPr>
              <w:t xml:space="preserve"> </w:t>
            </w:r>
            <w:r>
              <w:rPr>
                <w:rFonts w:ascii="宋体" w:hAnsi="宋体" w:eastAsia="宋体" w:cs="宋体"/>
                <w:spacing w:val="-8"/>
                <w:sz w:val="20"/>
                <w:szCs w:val="20"/>
                <w14:textOutline w14:w="3773" w14:cap="sq" w14:cmpd="sng">
                  <w14:solidFill>
                    <w14:srgbClr w14:val="000000"/>
                  </w14:solidFill>
                  <w14:prstDash w14:val="solid"/>
                  <w14:bevel/>
                </w14:textOutline>
              </w:rPr>
              <w:t>浓</w:t>
            </w:r>
            <w:r>
              <w:rPr>
                <w:rFonts w:ascii="宋体" w:hAnsi="宋体" w:eastAsia="宋体" w:cs="宋体"/>
                <w:spacing w:val="-7"/>
                <w:sz w:val="20"/>
                <w:szCs w:val="20"/>
                <w14:textOutline w14:w="3773" w14:cap="sq" w14:cmpd="sng">
                  <w14:solidFill>
                    <w14:srgbClr w14:val="000000"/>
                  </w14:solidFill>
                  <w14:prstDash w14:val="solid"/>
                  <w14:bevel/>
                </w14:textOutline>
              </w:rPr>
              <w:t>度</w:t>
            </w:r>
            <w:r>
              <w:rPr>
                <w:rFonts w:ascii="Times New Roman" w:hAnsi="Times New Roman" w:eastAsia="Times New Roman" w:cs="Times New Roman"/>
                <w:b/>
                <w:bCs/>
                <w:spacing w:val="-7"/>
                <w:sz w:val="20"/>
                <w:szCs w:val="20"/>
              </w:rPr>
              <w:t>(mg/m</w:t>
            </w:r>
            <w:r>
              <w:rPr>
                <w:rFonts w:ascii="Times New Roman" w:hAnsi="Times New Roman" w:eastAsia="Times New Roman" w:cs="Times New Roman"/>
                <w:b/>
                <w:bCs/>
                <w:spacing w:val="-7"/>
                <w:position w:val="6"/>
                <w:sz w:val="13"/>
                <w:szCs w:val="13"/>
              </w:rPr>
              <w:t>3</w:t>
            </w:r>
            <w:r>
              <w:rPr>
                <w:rFonts w:ascii="Times New Roman" w:hAnsi="Times New Roman" w:eastAsia="Times New Roman" w:cs="Times New Roman"/>
                <w:b/>
                <w:bCs/>
                <w:spacing w:val="-7"/>
                <w:sz w:val="20"/>
                <w:szCs w:val="20"/>
              </w:rPr>
              <w:t>)</w:t>
            </w:r>
          </w:p>
        </w:tc>
        <w:tc>
          <w:tcPr>
            <w:tcW w:w="900" w:type="dxa"/>
            <w:tcBorders>
              <w:right w:val="nil"/>
            </w:tcBorders>
            <w:vAlign w:val="top"/>
          </w:tcPr>
          <w:p w14:paraId="3BD5374B">
            <w:pPr>
              <w:spacing w:before="58" w:line="267" w:lineRule="auto"/>
              <w:ind w:left="282" w:right="133" w:hanging="107"/>
              <w:rPr>
                <w:rFonts w:ascii="Times New Roman" w:hAnsi="Times New Roman" w:eastAsia="Times New Roman" w:cs="Times New Roman"/>
                <w:sz w:val="20"/>
                <w:szCs w:val="20"/>
              </w:rPr>
            </w:pPr>
            <w:r>
              <w:rPr>
                <w:rFonts w:ascii="宋体" w:hAnsi="宋体" w:eastAsia="宋体" w:cs="宋体"/>
                <w:spacing w:val="-6"/>
                <w:sz w:val="20"/>
                <w:szCs w:val="20"/>
                <w14:textOutline w14:w="3773" w14:cap="sq" w14:cmpd="sng">
                  <w14:solidFill>
                    <w14:srgbClr w14:val="000000"/>
                  </w14:solidFill>
                  <w14:prstDash w14:val="solid"/>
                  <w14:bevel/>
                </w14:textOutline>
              </w:rPr>
              <w:t>占</w:t>
            </w:r>
            <w:r>
              <w:rPr>
                <w:rFonts w:ascii="宋体" w:hAnsi="宋体" w:eastAsia="宋体" w:cs="宋体"/>
                <w:spacing w:val="-3"/>
                <w:sz w:val="20"/>
                <w:szCs w:val="20"/>
                <w14:textOutline w14:w="3773" w14:cap="sq" w14:cmpd="sng">
                  <w14:solidFill>
                    <w14:srgbClr w14:val="000000"/>
                  </w14:solidFill>
                  <w14:prstDash w14:val="solid"/>
                  <w14:bevel/>
                </w14:textOutline>
              </w:rPr>
              <w:t>标率</w:t>
            </w:r>
            <w:r>
              <w:rPr>
                <w:rFonts w:ascii="宋体" w:hAnsi="宋体" w:eastAsia="宋体" w:cs="宋体"/>
                <w:sz w:val="20"/>
                <w:szCs w:val="20"/>
              </w:rPr>
              <w:t xml:space="preserve"> </w:t>
            </w:r>
            <w:r>
              <w:rPr>
                <w:rFonts w:ascii="Times New Roman" w:hAnsi="Times New Roman" w:eastAsia="Times New Roman" w:cs="Times New Roman"/>
                <w:b/>
                <w:bCs/>
                <w:spacing w:val="3"/>
                <w:sz w:val="20"/>
                <w:szCs w:val="20"/>
              </w:rPr>
              <w:t>(%</w:t>
            </w:r>
            <w:r>
              <w:rPr>
                <w:rFonts w:ascii="Times New Roman" w:hAnsi="Times New Roman" w:eastAsia="Times New Roman" w:cs="Times New Roman"/>
                <w:b/>
                <w:bCs/>
                <w:spacing w:val="2"/>
                <w:sz w:val="20"/>
                <w:szCs w:val="20"/>
              </w:rPr>
              <w:t>)</w:t>
            </w:r>
          </w:p>
        </w:tc>
      </w:tr>
      <w:tr w14:paraId="2B167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33626CDF">
            <w:pPr>
              <w:spacing w:before="103"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64" w:type="dxa"/>
            <w:vAlign w:val="top"/>
          </w:tcPr>
          <w:p w14:paraId="3BBF6705">
            <w:pPr>
              <w:spacing w:before="8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33" w:type="dxa"/>
            <w:vAlign w:val="top"/>
          </w:tcPr>
          <w:p w14:paraId="7B817A6F">
            <w:pPr>
              <w:spacing w:before="88" w:line="195"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3" w:type="dxa"/>
            <w:vAlign w:val="top"/>
          </w:tcPr>
          <w:p w14:paraId="1E07429D">
            <w:pPr>
              <w:spacing w:before="8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.00</w:t>
            </w:r>
          </w:p>
        </w:tc>
        <w:tc>
          <w:tcPr>
            <w:tcW w:w="1232" w:type="dxa"/>
            <w:vAlign w:val="top"/>
          </w:tcPr>
          <w:p w14:paraId="6AB9F0A9">
            <w:pPr>
              <w:spacing w:before="88" w:line="195"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4" w:type="dxa"/>
            <w:vAlign w:val="top"/>
          </w:tcPr>
          <w:p w14:paraId="1B6B8EBC">
            <w:pPr>
              <w:spacing w:before="8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.00</w:t>
            </w:r>
          </w:p>
        </w:tc>
        <w:tc>
          <w:tcPr>
            <w:tcW w:w="1126" w:type="dxa"/>
            <w:vAlign w:val="top"/>
          </w:tcPr>
          <w:p w14:paraId="4BBEAC98">
            <w:pPr>
              <w:spacing w:before="88"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0" w:type="dxa"/>
            <w:tcBorders>
              <w:right w:val="nil"/>
            </w:tcBorders>
            <w:vAlign w:val="top"/>
          </w:tcPr>
          <w:p w14:paraId="00A24156">
            <w:pPr>
              <w:spacing w:before="8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.00</w:t>
            </w:r>
          </w:p>
        </w:tc>
      </w:tr>
      <w:tr w14:paraId="38BC0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28120732">
            <w:pPr>
              <w:spacing w:before="102" w:line="195" w:lineRule="auto"/>
              <w:ind w:left="50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64" w:type="dxa"/>
            <w:vAlign w:val="top"/>
          </w:tcPr>
          <w:p w14:paraId="21453DC3">
            <w:pPr>
              <w:spacing w:before="88"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33" w:type="dxa"/>
            <w:vAlign w:val="top"/>
          </w:tcPr>
          <w:p w14:paraId="5C3DAAC1">
            <w:pPr>
              <w:spacing w:before="8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01655</w:t>
            </w:r>
          </w:p>
        </w:tc>
        <w:tc>
          <w:tcPr>
            <w:tcW w:w="793" w:type="dxa"/>
            <w:vAlign w:val="top"/>
          </w:tcPr>
          <w:p w14:paraId="30717EB6">
            <w:pPr>
              <w:spacing w:before="8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.31</w:t>
            </w:r>
          </w:p>
        </w:tc>
        <w:tc>
          <w:tcPr>
            <w:tcW w:w="1232" w:type="dxa"/>
            <w:vAlign w:val="top"/>
          </w:tcPr>
          <w:p w14:paraId="40DB9799">
            <w:pPr>
              <w:spacing w:before="8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0.00998</w:t>
            </w:r>
            <w:r>
              <w:rPr>
                <w:rFonts w:ascii="Times New Roman" w:hAnsi="Times New Roman" w:eastAsia="Times New Roman" w:cs="Times New Roman"/>
                <w:spacing w:val="2"/>
                <w:sz w:val="20"/>
                <w:szCs w:val="20"/>
              </w:rPr>
              <w:t>1</w:t>
            </w:r>
          </w:p>
        </w:tc>
        <w:tc>
          <w:tcPr>
            <w:tcW w:w="794" w:type="dxa"/>
            <w:vAlign w:val="top"/>
          </w:tcPr>
          <w:p w14:paraId="2D61844C">
            <w:pPr>
              <w:spacing w:before="88" w:line="198"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.99</w:t>
            </w:r>
          </w:p>
        </w:tc>
        <w:tc>
          <w:tcPr>
            <w:tcW w:w="1126" w:type="dxa"/>
            <w:vAlign w:val="top"/>
          </w:tcPr>
          <w:p w14:paraId="52C21BC3">
            <w:pPr>
              <w:spacing w:before="72" w:line="211" w:lineRule="auto"/>
              <w:ind w:left="16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7.88×10</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2"/>
                <w:position w:val="6"/>
                <w:sz w:val="13"/>
                <w:szCs w:val="13"/>
              </w:rPr>
              <w:t>5</w:t>
            </w:r>
          </w:p>
        </w:tc>
        <w:tc>
          <w:tcPr>
            <w:tcW w:w="900" w:type="dxa"/>
            <w:tcBorders>
              <w:right w:val="nil"/>
            </w:tcBorders>
            <w:vAlign w:val="top"/>
          </w:tcPr>
          <w:p w14:paraId="3F8CBE54">
            <w:pPr>
              <w:spacing w:before="8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72610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50840ADF">
            <w:pPr>
              <w:spacing w:before="102"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64" w:type="dxa"/>
            <w:vAlign w:val="top"/>
          </w:tcPr>
          <w:p w14:paraId="5E63519A">
            <w:pPr>
              <w:spacing w:before="8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233" w:type="dxa"/>
            <w:vAlign w:val="top"/>
          </w:tcPr>
          <w:p w14:paraId="4720DEF8">
            <w:pPr>
              <w:spacing w:before="8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02006</w:t>
            </w:r>
          </w:p>
        </w:tc>
        <w:tc>
          <w:tcPr>
            <w:tcW w:w="793" w:type="dxa"/>
            <w:vAlign w:val="top"/>
          </w:tcPr>
          <w:p w14:paraId="6BD7C5D9">
            <w:pPr>
              <w:spacing w:before="87"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.01</w:t>
            </w:r>
          </w:p>
        </w:tc>
        <w:tc>
          <w:tcPr>
            <w:tcW w:w="1232" w:type="dxa"/>
            <w:vAlign w:val="top"/>
          </w:tcPr>
          <w:p w14:paraId="5E3E4018">
            <w:pPr>
              <w:spacing w:before="8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.0121</w:t>
            </w:r>
          </w:p>
        </w:tc>
        <w:tc>
          <w:tcPr>
            <w:tcW w:w="794" w:type="dxa"/>
            <w:vAlign w:val="top"/>
          </w:tcPr>
          <w:p w14:paraId="23040E89">
            <w:pPr>
              <w:spacing w:before="8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.05</w:t>
            </w:r>
          </w:p>
        </w:tc>
        <w:tc>
          <w:tcPr>
            <w:tcW w:w="1126" w:type="dxa"/>
            <w:vAlign w:val="top"/>
          </w:tcPr>
          <w:p w14:paraId="0FE868C1">
            <w:pPr>
              <w:spacing w:before="71" w:line="214"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3"/>
                <w:sz w:val="20"/>
                <w:szCs w:val="20"/>
              </w:rPr>
              <w:t>.551×10</w:t>
            </w:r>
            <w:r>
              <w:rPr>
                <w:rFonts w:ascii="Times New Roman" w:hAnsi="Times New Roman" w:eastAsia="Times New Roman" w:cs="Times New Roman"/>
                <w:spacing w:val="3"/>
                <w:position w:val="6"/>
                <w:sz w:val="13"/>
                <w:szCs w:val="13"/>
              </w:rPr>
              <w:t>-5</w:t>
            </w:r>
          </w:p>
        </w:tc>
        <w:tc>
          <w:tcPr>
            <w:tcW w:w="900" w:type="dxa"/>
            <w:tcBorders>
              <w:right w:val="nil"/>
            </w:tcBorders>
            <w:vAlign w:val="top"/>
          </w:tcPr>
          <w:p w14:paraId="4D154520">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48090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3735631F">
            <w:pPr>
              <w:spacing w:before="105"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64" w:type="dxa"/>
            <w:vAlign w:val="top"/>
          </w:tcPr>
          <w:p w14:paraId="63D1209A">
            <w:pPr>
              <w:spacing w:before="8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233" w:type="dxa"/>
            <w:vAlign w:val="top"/>
          </w:tcPr>
          <w:p w14:paraId="10ACD937">
            <w:pPr>
              <w:spacing w:before="8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02115</w:t>
            </w:r>
          </w:p>
        </w:tc>
        <w:tc>
          <w:tcPr>
            <w:tcW w:w="793" w:type="dxa"/>
            <w:vAlign w:val="top"/>
          </w:tcPr>
          <w:p w14:paraId="77593471">
            <w:pPr>
              <w:spacing w:before="88"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.23</w:t>
            </w:r>
          </w:p>
        </w:tc>
        <w:tc>
          <w:tcPr>
            <w:tcW w:w="1232" w:type="dxa"/>
            <w:vAlign w:val="top"/>
          </w:tcPr>
          <w:p w14:paraId="79C1C157">
            <w:pPr>
              <w:spacing w:before="8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01276</w:t>
            </w:r>
          </w:p>
        </w:tc>
        <w:tc>
          <w:tcPr>
            <w:tcW w:w="794" w:type="dxa"/>
            <w:vAlign w:val="top"/>
          </w:tcPr>
          <w:p w14:paraId="3A66616B">
            <w:pPr>
              <w:spacing w:before="8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.38</w:t>
            </w:r>
          </w:p>
        </w:tc>
        <w:tc>
          <w:tcPr>
            <w:tcW w:w="1126" w:type="dxa"/>
            <w:vAlign w:val="top"/>
          </w:tcPr>
          <w:p w14:paraId="1A856D5F">
            <w:pPr>
              <w:spacing w:before="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0.0001007</w:t>
            </w:r>
          </w:p>
        </w:tc>
        <w:tc>
          <w:tcPr>
            <w:tcW w:w="900" w:type="dxa"/>
            <w:tcBorders>
              <w:right w:val="nil"/>
            </w:tcBorders>
            <w:vAlign w:val="top"/>
          </w:tcPr>
          <w:p w14:paraId="7BFC33B2">
            <w:pPr>
              <w:spacing w:before="9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487A8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42FC6B4A">
            <w:pPr>
              <w:spacing w:before="107" w:line="192"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64" w:type="dxa"/>
            <w:vAlign w:val="top"/>
          </w:tcPr>
          <w:p w14:paraId="331C5DB2">
            <w:pPr>
              <w:spacing w:before="90"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38</w:t>
            </w:r>
          </w:p>
        </w:tc>
        <w:tc>
          <w:tcPr>
            <w:tcW w:w="1233" w:type="dxa"/>
            <w:vAlign w:val="top"/>
          </w:tcPr>
          <w:p w14:paraId="76AB3284">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02157</w:t>
            </w:r>
          </w:p>
        </w:tc>
        <w:tc>
          <w:tcPr>
            <w:tcW w:w="793" w:type="dxa"/>
            <w:vAlign w:val="top"/>
          </w:tcPr>
          <w:p w14:paraId="79C359A6">
            <w:pPr>
              <w:spacing w:before="90"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.31</w:t>
            </w:r>
          </w:p>
        </w:tc>
        <w:tc>
          <w:tcPr>
            <w:tcW w:w="1232" w:type="dxa"/>
            <w:vAlign w:val="top"/>
          </w:tcPr>
          <w:p w14:paraId="15E60F2A">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01301</w:t>
            </w:r>
          </w:p>
        </w:tc>
        <w:tc>
          <w:tcPr>
            <w:tcW w:w="794" w:type="dxa"/>
            <w:vAlign w:val="top"/>
          </w:tcPr>
          <w:p w14:paraId="4068651A">
            <w:pPr>
              <w:spacing w:before="9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.50</w:t>
            </w:r>
          </w:p>
        </w:tc>
        <w:tc>
          <w:tcPr>
            <w:tcW w:w="1126" w:type="dxa"/>
            <w:vAlign w:val="top"/>
          </w:tcPr>
          <w:p w14:paraId="6CB3FDBB">
            <w:pPr>
              <w:spacing w:before="90"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0.0001027</w:t>
            </w:r>
          </w:p>
        </w:tc>
        <w:tc>
          <w:tcPr>
            <w:tcW w:w="900" w:type="dxa"/>
            <w:tcBorders>
              <w:right w:val="nil"/>
            </w:tcBorders>
            <w:vAlign w:val="top"/>
          </w:tcPr>
          <w:p w14:paraId="2855CCD1">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701B5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6DD23772">
            <w:pPr>
              <w:spacing w:before="104"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64" w:type="dxa"/>
            <w:vAlign w:val="top"/>
          </w:tcPr>
          <w:p w14:paraId="00F736AB">
            <w:pPr>
              <w:spacing w:before="8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233" w:type="dxa"/>
            <w:vAlign w:val="top"/>
          </w:tcPr>
          <w:p w14:paraId="0DD31EE5">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02072</w:t>
            </w:r>
          </w:p>
        </w:tc>
        <w:tc>
          <w:tcPr>
            <w:tcW w:w="793" w:type="dxa"/>
            <w:vAlign w:val="top"/>
          </w:tcPr>
          <w:p w14:paraId="5D1A1C76">
            <w:pPr>
              <w:spacing w:before="89"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4. 14</w:t>
            </w:r>
          </w:p>
        </w:tc>
        <w:tc>
          <w:tcPr>
            <w:tcW w:w="1232" w:type="dxa"/>
            <w:vAlign w:val="top"/>
          </w:tcPr>
          <w:p w14:paraId="46D94C01">
            <w:pPr>
              <w:spacing w:before="9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.0125</w:t>
            </w:r>
          </w:p>
        </w:tc>
        <w:tc>
          <w:tcPr>
            <w:tcW w:w="794" w:type="dxa"/>
            <w:vAlign w:val="top"/>
          </w:tcPr>
          <w:p w14:paraId="4787B79A">
            <w:pPr>
              <w:spacing w:before="9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.25</w:t>
            </w:r>
          </w:p>
        </w:tc>
        <w:tc>
          <w:tcPr>
            <w:tcW w:w="1126" w:type="dxa"/>
            <w:vAlign w:val="top"/>
          </w:tcPr>
          <w:p w14:paraId="19700B7D">
            <w:pPr>
              <w:spacing w:before="71" w:line="214"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3"/>
                <w:sz w:val="20"/>
                <w:szCs w:val="20"/>
              </w:rPr>
              <w:t>.867×10</w:t>
            </w:r>
            <w:r>
              <w:rPr>
                <w:rFonts w:ascii="Times New Roman" w:hAnsi="Times New Roman" w:eastAsia="Times New Roman" w:cs="Times New Roman"/>
                <w:spacing w:val="3"/>
                <w:position w:val="6"/>
                <w:sz w:val="13"/>
                <w:szCs w:val="13"/>
              </w:rPr>
              <w:t>-5</w:t>
            </w:r>
          </w:p>
        </w:tc>
        <w:tc>
          <w:tcPr>
            <w:tcW w:w="900" w:type="dxa"/>
            <w:tcBorders>
              <w:right w:val="nil"/>
            </w:tcBorders>
            <w:vAlign w:val="top"/>
          </w:tcPr>
          <w:p w14:paraId="0814D3D9">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37F21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6A40BD88">
            <w:pPr>
              <w:spacing w:before="107" w:line="192"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64" w:type="dxa"/>
            <w:vAlign w:val="top"/>
          </w:tcPr>
          <w:p w14:paraId="025869D2">
            <w:pPr>
              <w:spacing w:before="9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233" w:type="dxa"/>
            <w:vAlign w:val="top"/>
          </w:tcPr>
          <w:p w14:paraId="1C8672DF">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01825</w:t>
            </w:r>
          </w:p>
        </w:tc>
        <w:tc>
          <w:tcPr>
            <w:tcW w:w="793" w:type="dxa"/>
            <w:vAlign w:val="top"/>
          </w:tcPr>
          <w:p w14:paraId="7B4D97F7">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.65</w:t>
            </w:r>
          </w:p>
        </w:tc>
        <w:tc>
          <w:tcPr>
            <w:tcW w:w="1232" w:type="dxa"/>
            <w:vAlign w:val="top"/>
          </w:tcPr>
          <w:p w14:paraId="607A8C19">
            <w:pPr>
              <w:spacing w:before="9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.01101</w:t>
            </w:r>
          </w:p>
        </w:tc>
        <w:tc>
          <w:tcPr>
            <w:tcW w:w="794" w:type="dxa"/>
            <w:vAlign w:val="top"/>
          </w:tcPr>
          <w:p w14:paraId="00686724">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w:t>
            </w:r>
          </w:p>
        </w:tc>
        <w:tc>
          <w:tcPr>
            <w:tcW w:w="1126" w:type="dxa"/>
            <w:vAlign w:val="top"/>
          </w:tcPr>
          <w:p w14:paraId="652BD3E7">
            <w:pPr>
              <w:spacing w:before="74" w:line="212" w:lineRule="auto"/>
              <w:ind w:left="11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8.6</w:t>
            </w: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2×10</w:t>
            </w:r>
            <w:r>
              <w:rPr>
                <w:rFonts w:ascii="Times New Roman" w:hAnsi="Times New Roman" w:eastAsia="Times New Roman" w:cs="Times New Roman"/>
                <w:spacing w:val="2"/>
                <w:position w:val="6"/>
                <w:sz w:val="13"/>
                <w:szCs w:val="13"/>
              </w:rPr>
              <w:t>-5</w:t>
            </w:r>
          </w:p>
        </w:tc>
        <w:tc>
          <w:tcPr>
            <w:tcW w:w="900" w:type="dxa"/>
            <w:tcBorders>
              <w:right w:val="nil"/>
            </w:tcBorders>
            <w:vAlign w:val="top"/>
          </w:tcPr>
          <w:p w14:paraId="13DD2DB7">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17F07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23A85BAF">
            <w:pPr>
              <w:spacing w:before="104"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64" w:type="dxa"/>
            <w:vAlign w:val="top"/>
          </w:tcPr>
          <w:p w14:paraId="1128452C">
            <w:pPr>
              <w:spacing w:before="90"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233" w:type="dxa"/>
            <w:vAlign w:val="top"/>
          </w:tcPr>
          <w:p w14:paraId="31AAB54A">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01805</w:t>
            </w:r>
          </w:p>
        </w:tc>
        <w:tc>
          <w:tcPr>
            <w:tcW w:w="793" w:type="dxa"/>
            <w:vAlign w:val="top"/>
          </w:tcPr>
          <w:p w14:paraId="65ADAB9A">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.61</w:t>
            </w:r>
          </w:p>
        </w:tc>
        <w:tc>
          <w:tcPr>
            <w:tcW w:w="1232" w:type="dxa"/>
            <w:vAlign w:val="top"/>
          </w:tcPr>
          <w:p w14:paraId="23F93F6B">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01089</w:t>
            </w:r>
          </w:p>
        </w:tc>
        <w:tc>
          <w:tcPr>
            <w:tcW w:w="794" w:type="dxa"/>
            <w:vAlign w:val="top"/>
          </w:tcPr>
          <w:p w14:paraId="1DB7879D">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1126" w:type="dxa"/>
            <w:vAlign w:val="top"/>
          </w:tcPr>
          <w:p w14:paraId="6F3B3866">
            <w:pPr>
              <w:spacing w:before="74" w:line="212" w:lineRule="auto"/>
              <w:ind w:left="11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8.5</w:t>
            </w: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5×10</w:t>
            </w:r>
            <w:r>
              <w:rPr>
                <w:rFonts w:ascii="Times New Roman" w:hAnsi="Times New Roman" w:eastAsia="Times New Roman" w:cs="Times New Roman"/>
                <w:spacing w:val="2"/>
                <w:position w:val="6"/>
                <w:sz w:val="13"/>
                <w:szCs w:val="13"/>
              </w:rPr>
              <w:t>-5</w:t>
            </w:r>
          </w:p>
        </w:tc>
        <w:tc>
          <w:tcPr>
            <w:tcW w:w="900" w:type="dxa"/>
            <w:tcBorders>
              <w:right w:val="nil"/>
            </w:tcBorders>
            <w:vAlign w:val="top"/>
          </w:tcPr>
          <w:p w14:paraId="0ACFC528">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21074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4323E0B9">
            <w:pPr>
              <w:spacing w:before="105"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64" w:type="dxa"/>
            <w:vAlign w:val="top"/>
          </w:tcPr>
          <w:p w14:paraId="4DF2EDEF">
            <w:pPr>
              <w:spacing w:before="9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00</w:t>
            </w:r>
          </w:p>
        </w:tc>
        <w:tc>
          <w:tcPr>
            <w:tcW w:w="1233" w:type="dxa"/>
            <w:vAlign w:val="top"/>
          </w:tcPr>
          <w:p w14:paraId="171F1A45">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01771</w:t>
            </w:r>
          </w:p>
        </w:tc>
        <w:tc>
          <w:tcPr>
            <w:tcW w:w="793" w:type="dxa"/>
            <w:vAlign w:val="top"/>
          </w:tcPr>
          <w:p w14:paraId="5EAACCF4">
            <w:pPr>
              <w:spacing w:before="9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.54</w:t>
            </w:r>
          </w:p>
        </w:tc>
        <w:tc>
          <w:tcPr>
            <w:tcW w:w="1232" w:type="dxa"/>
            <w:vAlign w:val="top"/>
          </w:tcPr>
          <w:p w14:paraId="096492ED">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01068</w:t>
            </w:r>
          </w:p>
        </w:tc>
        <w:tc>
          <w:tcPr>
            <w:tcW w:w="794" w:type="dxa"/>
            <w:vAlign w:val="top"/>
          </w:tcPr>
          <w:p w14:paraId="4041F728">
            <w:pPr>
              <w:spacing w:before="9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5.34</w:t>
            </w:r>
          </w:p>
        </w:tc>
        <w:tc>
          <w:tcPr>
            <w:tcW w:w="1126" w:type="dxa"/>
            <w:vAlign w:val="top"/>
          </w:tcPr>
          <w:p w14:paraId="55243C22">
            <w:pPr>
              <w:spacing w:before="75" w:line="214" w:lineRule="auto"/>
              <w:ind w:left="11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8.4</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2×10</w:t>
            </w:r>
            <w:r>
              <w:rPr>
                <w:rFonts w:ascii="Times New Roman" w:hAnsi="Times New Roman" w:eastAsia="Times New Roman" w:cs="Times New Roman"/>
                <w:spacing w:val="2"/>
                <w:position w:val="6"/>
                <w:sz w:val="13"/>
                <w:szCs w:val="13"/>
              </w:rPr>
              <w:t>-5</w:t>
            </w:r>
          </w:p>
        </w:tc>
        <w:tc>
          <w:tcPr>
            <w:tcW w:w="900" w:type="dxa"/>
            <w:tcBorders>
              <w:right w:val="nil"/>
            </w:tcBorders>
            <w:vAlign w:val="top"/>
          </w:tcPr>
          <w:p w14:paraId="681EE650">
            <w:pPr>
              <w:spacing w:before="9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1B6B0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10" w:type="dxa"/>
            <w:tcBorders>
              <w:left w:val="nil"/>
            </w:tcBorders>
            <w:vAlign w:val="top"/>
          </w:tcPr>
          <w:p w14:paraId="1028CE70">
            <w:pPr>
              <w:spacing w:before="107"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164" w:type="dxa"/>
            <w:vAlign w:val="top"/>
          </w:tcPr>
          <w:p w14:paraId="250F9DE7">
            <w:pPr>
              <w:spacing w:before="90"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233" w:type="dxa"/>
            <w:vAlign w:val="top"/>
          </w:tcPr>
          <w:p w14:paraId="45B9FC8A">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01672</w:t>
            </w:r>
          </w:p>
        </w:tc>
        <w:tc>
          <w:tcPr>
            <w:tcW w:w="793" w:type="dxa"/>
            <w:vAlign w:val="top"/>
          </w:tcPr>
          <w:p w14:paraId="0E9BA58E">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.34</w:t>
            </w:r>
          </w:p>
        </w:tc>
        <w:tc>
          <w:tcPr>
            <w:tcW w:w="1232" w:type="dxa"/>
            <w:vAlign w:val="top"/>
          </w:tcPr>
          <w:p w14:paraId="5BD01785">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01008</w:t>
            </w:r>
          </w:p>
        </w:tc>
        <w:tc>
          <w:tcPr>
            <w:tcW w:w="794" w:type="dxa"/>
            <w:vAlign w:val="top"/>
          </w:tcPr>
          <w:p w14:paraId="725817FC">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w:t>
            </w:r>
          </w:p>
        </w:tc>
        <w:tc>
          <w:tcPr>
            <w:tcW w:w="1126" w:type="dxa"/>
            <w:vAlign w:val="top"/>
          </w:tcPr>
          <w:p w14:paraId="5E0555E4">
            <w:pPr>
              <w:spacing w:before="74" w:line="214" w:lineRule="auto"/>
              <w:ind w:left="16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7.96×10</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2"/>
                <w:position w:val="6"/>
                <w:sz w:val="13"/>
                <w:szCs w:val="13"/>
              </w:rPr>
              <w:t>5</w:t>
            </w:r>
          </w:p>
        </w:tc>
        <w:tc>
          <w:tcPr>
            <w:tcW w:w="900" w:type="dxa"/>
            <w:tcBorders>
              <w:right w:val="nil"/>
            </w:tcBorders>
            <w:vAlign w:val="top"/>
          </w:tcPr>
          <w:p w14:paraId="6D057FE3">
            <w:pPr>
              <w:spacing w:before="9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bl>
    <w:p w14:paraId="27BFEED9">
      <w:pPr>
        <w:rPr>
          <w:rFonts w:ascii="Arial"/>
          <w:sz w:val="21"/>
        </w:rPr>
      </w:pPr>
    </w:p>
    <w:p w14:paraId="64997521">
      <w:pPr>
        <w:sectPr>
          <w:headerReference r:id="rId209" w:type="default"/>
          <w:footerReference r:id="rId210" w:type="default"/>
          <w:pgSz w:w="11906" w:h="16839"/>
          <w:pgMar w:top="1132" w:right="1771" w:bottom="1182" w:left="1731" w:header="878" w:footer="1022" w:gutter="0"/>
          <w:cols w:space="720" w:num="1"/>
        </w:sectPr>
      </w:pPr>
    </w:p>
    <w:p w14:paraId="75196DAE">
      <w:r>
        <w:pict>
          <v:rect id="_x0000_s1258" o:spid="_x0000_s1258" o:spt="1" style="position:absolute;left:0pt;margin-left:90pt;margin-top:57.35pt;height:0.75pt;width:415.3pt;mso-position-horizontal-relative:page;mso-position-vertical-relative:page;z-index:251917312;mso-width-relative:page;mso-height-relative:page;" fillcolor="#000000" filled="t" stroked="f" coordsize="21600,21600" o:allowincell="f">
            <v:path/>
            <v:fill on="t" focussize="0,0"/>
            <v:stroke on="f"/>
            <v:imagedata o:title=""/>
            <o:lock v:ext="edit"/>
          </v:rect>
        </w:pict>
      </w:r>
    </w:p>
    <w:p w14:paraId="337EB595">
      <w:pPr>
        <w:spacing w:line="65" w:lineRule="exact"/>
      </w:pPr>
    </w:p>
    <w:tbl>
      <w:tblPr>
        <w:tblStyle w:val="4"/>
        <w:tblW w:w="8442"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0"/>
        <w:gridCol w:w="1164"/>
        <w:gridCol w:w="1233"/>
        <w:gridCol w:w="793"/>
        <w:gridCol w:w="1232"/>
        <w:gridCol w:w="794"/>
        <w:gridCol w:w="1126"/>
        <w:gridCol w:w="990"/>
      </w:tblGrid>
      <w:tr w14:paraId="3B364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10" w:type="dxa"/>
            <w:tcBorders>
              <w:left w:val="nil"/>
            </w:tcBorders>
            <w:vAlign w:val="top"/>
          </w:tcPr>
          <w:p w14:paraId="42D1C2A2">
            <w:pPr>
              <w:spacing w:before="12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164" w:type="dxa"/>
            <w:vAlign w:val="top"/>
          </w:tcPr>
          <w:p w14:paraId="71E0A73F">
            <w:pPr>
              <w:spacing w:before="111"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1233" w:type="dxa"/>
            <w:vAlign w:val="top"/>
          </w:tcPr>
          <w:p w14:paraId="43BC71D8">
            <w:pPr>
              <w:spacing w:before="11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01548</w:t>
            </w:r>
          </w:p>
        </w:tc>
        <w:tc>
          <w:tcPr>
            <w:tcW w:w="793" w:type="dxa"/>
            <w:vAlign w:val="top"/>
          </w:tcPr>
          <w:p w14:paraId="6BAF0B11">
            <w:pPr>
              <w:spacing w:before="11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8"/>
                <w:sz w:val="20"/>
                <w:szCs w:val="20"/>
              </w:rPr>
              <w:t>. 10</w:t>
            </w:r>
          </w:p>
        </w:tc>
        <w:tc>
          <w:tcPr>
            <w:tcW w:w="1232" w:type="dxa"/>
            <w:vAlign w:val="top"/>
          </w:tcPr>
          <w:p w14:paraId="77437D3F">
            <w:pPr>
              <w:spacing w:before="11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0.00933</w:t>
            </w:r>
            <w:r>
              <w:rPr>
                <w:rFonts w:ascii="Times New Roman" w:hAnsi="Times New Roman" w:eastAsia="Times New Roman" w:cs="Times New Roman"/>
                <w:spacing w:val="2"/>
                <w:sz w:val="20"/>
                <w:szCs w:val="20"/>
              </w:rPr>
              <w:t>5</w:t>
            </w:r>
          </w:p>
        </w:tc>
        <w:tc>
          <w:tcPr>
            <w:tcW w:w="794" w:type="dxa"/>
            <w:vAlign w:val="top"/>
          </w:tcPr>
          <w:p w14:paraId="553D7C52">
            <w:pPr>
              <w:spacing w:before="111" w:line="198"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.67</w:t>
            </w:r>
          </w:p>
        </w:tc>
        <w:tc>
          <w:tcPr>
            <w:tcW w:w="1126" w:type="dxa"/>
            <w:vAlign w:val="top"/>
          </w:tcPr>
          <w:p w14:paraId="62C15C14">
            <w:pPr>
              <w:spacing w:before="95" w:line="214" w:lineRule="auto"/>
              <w:ind w:left="16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7.37×10</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2"/>
                <w:position w:val="6"/>
                <w:sz w:val="13"/>
                <w:szCs w:val="13"/>
              </w:rPr>
              <w:t>5</w:t>
            </w:r>
          </w:p>
        </w:tc>
        <w:tc>
          <w:tcPr>
            <w:tcW w:w="990" w:type="dxa"/>
            <w:tcBorders>
              <w:right w:val="nil"/>
            </w:tcBorders>
            <w:vAlign w:val="top"/>
          </w:tcPr>
          <w:p w14:paraId="46D66EF0">
            <w:pPr>
              <w:spacing w:before="11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136CA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5A7D79B9">
            <w:pPr>
              <w:spacing w:before="10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164" w:type="dxa"/>
            <w:vAlign w:val="top"/>
          </w:tcPr>
          <w:p w14:paraId="53F77EFA">
            <w:pPr>
              <w:spacing w:before="8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233" w:type="dxa"/>
            <w:vAlign w:val="top"/>
          </w:tcPr>
          <w:p w14:paraId="3D097F44">
            <w:pPr>
              <w:spacing w:before="8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01419</w:t>
            </w:r>
          </w:p>
        </w:tc>
        <w:tc>
          <w:tcPr>
            <w:tcW w:w="793" w:type="dxa"/>
            <w:vAlign w:val="top"/>
          </w:tcPr>
          <w:p w14:paraId="78AEA987">
            <w:pPr>
              <w:spacing w:before="87" w:line="198"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.84</w:t>
            </w:r>
          </w:p>
        </w:tc>
        <w:tc>
          <w:tcPr>
            <w:tcW w:w="1232" w:type="dxa"/>
            <w:vAlign w:val="top"/>
          </w:tcPr>
          <w:p w14:paraId="33B5E110">
            <w:pPr>
              <w:spacing w:before="8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0.00856</w:t>
            </w:r>
            <w:r>
              <w:rPr>
                <w:rFonts w:ascii="Times New Roman" w:hAnsi="Times New Roman" w:eastAsia="Times New Roman" w:cs="Times New Roman"/>
                <w:spacing w:val="2"/>
                <w:sz w:val="20"/>
                <w:szCs w:val="20"/>
              </w:rPr>
              <w:t>1</w:t>
            </w:r>
          </w:p>
        </w:tc>
        <w:tc>
          <w:tcPr>
            <w:tcW w:w="794" w:type="dxa"/>
            <w:vAlign w:val="top"/>
          </w:tcPr>
          <w:p w14:paraId="51DF0806">
            <w:pPr>
              <w:spacing w:before="87" w:line="198"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.28</w:t>
            </w:r>
          </w:p>
        </w:tc>
        <w:tc>
          <w:tcPr>
            <w:tcW w:w="1126" w:type="dxa"/>
            <w:vAlign w:val="top"/>
          </w:tcPr>
          <w:p w14:paraId="5918719F">
            <w:pPr>
              <w:spacing w:before="71" w:line="214" w:lineRule="auto"/>
              <w:ind w:left="113"/>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6.758×10</w:t>
            </w:r>
            <w:r>
              <w:rPr>
                <w:rFonts w:ascii="Times New Roman" w:hAnsi="Times New Roman" w:eastAsia="Times New Roman" w:cs="Times New Roman"/>
                <w:spacing w:val="3"/>
                <w:position w:val="6"/>
                <w:sz w:val="13"/>
                <w:szCs w:val="13"/>
              </w:rPr>
              <w:t>-5</w:t>
            </w:r>
          </w:p>
        </w:tc>
        <w:tc>
          <w:tcPr>
            <w:tcW w:w="990" w:type="dxa"/>
            <w:tcBorders>
              <w:right w:val="nil"/>
            </w:tcBorders>
            <w:vAlign w:val="top"/>
          </w:tcPr>
          <w:p w14:paraId="37A79F13">
            <w:pPr>
              <w:spacing w:before="8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366CB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1F234E2D">
            <w:pPr>
              <w:spacing w:before="103"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164" w:type="dxa"/>
            <w:vAlign w:val="top"/>
          </w:tcPr>
          <w:p w14:paraId="277C5E1C">
            <w:pPr>
              <w:spacing w:before="8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100</w:t>
            </w:r>
          </w:p>
        </w:tc>
        <w:tc>
          <w:tcPr>
            <w:tcW w:w="1233" w:type="dxa"/>
            <w:vAlign w:val="top"/>
          </w:tcPr>
          <w:p w14:paraId="363FC055">
            <w:pPr>
              <w:spacing w:before="89"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01299</w:t>
            </w:r>
          </w:p>
        </w:tc>
        <w:tc>
          <w:tcPr>
            <w:tcW w:w="793" w:type="dxa"/>
            <w:vAlign w:val="top"/>
          </w:tcPr>
          <w:p w14:paraId="3C4CFCC4">
            <w:pPr>
              <w:spacing w:before="89" w:line="198"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c>
          <w:tcPr>
            <w:tcW w:w="1232" w:type="dxa"/>
            <w:vAlign w:val="top"/>
          </w:tcPr>
          <w:p w14:paraId="369ACEBE">
            <w:pPr>
              <w:spacing w:before="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0.00783</w:t>
            </w:r>
            <w:r>
              <w:rPr>
                <w:rFonts w:ascii="Times New Roman" w:hAnsi="Times New Roman" w:eastAsia="Times New Roman" w:cs="Times New Roman"/>
                <w:spacing w:val="2"/>
                <w:sz w:val="20"/>
                <w:szCs w:val="20"/>
              </w:rPr>
              <w:t>3</w:t>
            </w:r>
          </w:p>
        </w:tc>
        <w:tc>
          <w:tcPr>
            <w:tcW w:w="794" w:type="dxa"/>
            <w:vAlign w:val="top"/>
          </w:tcPr>
          <w:p w14:paraId="01D12F5E">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.92</w:t>
            </w:r>
          </w:p>
        </w:tc>
        <w:tc>
          <w:tcPr>
            <w:tcW w:w="1126" w:type="dxa"/>
            <w:vAlign w:val="top"/>
          </w:tcPr>
          <w:p w14:paraId="290BA8A4">
            <w:pPr>
              <w:spacing w:before="71" w:line="214" w:lineRule="auto"/>
              <w:ind w:left="113"/>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6. 184×10</w:t>
            </w:r>
            <w:r>
              <w:rPr>
                <w:rFonts w:ascii="Times New Roman" w:hAnsi="Times New Roman" w:eastAsia="Times New Roman" w:cs="Times New Roman"/>
                <w:spacing w:val="-1"/>
                <w:position w:val="6"/>
                <w:sz w:val="13"/>
                <w:szCs w:val="13"/>
              </w:rPr>
              <w:t>-5</w:t>
            </w:r>
          </w:p>
        </w:tc>
        <w:tc>
          <w:tcPr>
            <w:tcW w:w="990" w:type="dxa"/>
            <w:tcBorders>
              <w:right w:val="nil"/>
            </w:tcBorders>
            <w:vAlign w:val="top"/>
          </w:tcPr>
          <w:p w14:paraId="44D98482">
            <w:pPr>
              <w:spacing w:before="8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65F2E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651D725D">
            <w:pPr>
              <w:spacing w:before="10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164" w:type="dxa"/>
            <w:vAlign w:val="top"/>
          </w:tcPr>
          <w:p w14:paraId="71D4A9CA">
            <w:pPr>
              <w:spacing w:before="89"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233" w:type="dxa"/>
            <w:vAlign w:val="top"/>
          </w:tcPr>
          <w:p w14:paraId="0D9D69B5">
            <w:pPr>
              <w:spacing w:before="9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01191</w:t>
            </w:r>
          </w:p>
        </w:tc>
        <w:tc>
          <w:tcPr>
            <w:tcW w:w="793" w:type="dxa"/>
            <w:vAlign w:val="top"/>
          </w:tcPr>
          <w:p w14:paraId="07262138">
            <w:pPr>
              <w:spacing w:before="89" w:line="198"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.38</w:t>
            </w:r>
          </w:p>
        </w:tc>
        <w:tc>
          <w:tcPr>
            <w:tcW w:w="1232" w:type="dxa"/>
            <w:vAlign w:val="top"/>
          </w:tcPr>
          <w:p w14:paraId="5011ABB3">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0.00718</w:t>
            </w:r>
            <w:r>
              <w:rPr>
                <w:rFonts w:ascii="Times New Roman" w:hAnsi="Times New Roman" w:eastAsia="Times New Roman" w:cs="Times New Roman"/>
                <w:spacing w:val="2"/>
                <w:sz w:val="20"/>
                <w:szCs w:val="20"/>
              </w:rPr>
              <w:t>1</w:t>
            </w:r>
          </w:p>
        </w:tc>
        <w:tc>
          <w:tcPr>
            <w:tcW w:w="794" w:type="dxa"/>
            <w:vAlign w:val="top"/>
          </w:tcPr>
          <w:p w14:paraId="59DFDC8B">
            <w:pPr>
              <w:spacing w:before="9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.59</w:t>
            </w:r>
          </w:p>
        </w:tc>
        <w:tc>
          <w:tcPr>
            <w:tcW w:w="1126" w:type="dxa"/>
            <w:vAlign w:val="top"/>
          </w:tcPr>
          <w:p w14:paraId="03882C91">
            <w:pPr>
              <w:spacing w:before="71" w:line="214" w:lineRule="auto"/>
              <w:ind w:left="11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5.669×10</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2"/>
                <w:position w:val="6"/>
                <w:sz w:val="13"/>
                <w:szCs w:val="13"/>
              </w:rPr>
              <w:t>5</w:t>
            </w:r>
          </w:p>
        </w:tc>
        <w:tc>
          <w:tcPr>
            <w:tcW w:w="990" w:type="dxa"/>
            <w:tcBorders>
              <w:right w:val="nil"/>
            </w:tcBorders>
            <w:vAlign w:val="top"/>
          </w:tcPr>
          <w:p w14:paraId="311110F7">
            <w:pPr>
              <w:spacing w:before="9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01C7C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4823E4FE">
            <w:pPr>
              <w:spacing w:before="103"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164" w:type="dxa"/>
            <w:vAlign w:val="top"/>
          </w:tcPr>
          <w:p w14:paraId="0D6DB013">
            <w:pPr>
              <w:spacing w:before="89"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1233" w:type="dxa"/>
            <w:vAlign w:val="top"/>
          </w:tcPr>
          <w:p w14:paraId="4F46BC94">
            <w:pPr>
              <w:spacing w:before="89"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01094</w:t>
            </w:r>
          </w:p>
        </w:tc>
        <w:tc>
          <w:tcPr>
            <w:tcW w:w="793" w:type="dxa"/>
            <w:vAlign w:val="top"/>
          </w:tcPr>
          <w:p w14:paraId="55CAD0FD">
            <w:pPr>
              <w:spacing w:before="89"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 19</w:t>
            </w:r>
          </w:p>
        </w:tc>
        <w:tc>
          <w:tcPr>
            <w:tcW w:w="1232" w:type="dxa"/>
            <w:vAlign w:val="top"/>
          </w:tcPr>
          <w:p w14:paraId="3B15E9C1">
            <w:pPr>
              <w:spacing w:before="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0.00660</w:t>
            </w:r>
            <w:r>
              <w:rPr>
                <w:rFonts w:ascii="Times New Roman" w:hAnsi="Times New Roman" w:eastAsia="Times New Roman" w:cs="Times New Roman"/>
                <w:spacing w:val="2"/>
                <w:sz w:val="20"/>
                <w:szCs w:val="20"/>
              </w:rPr>
              <w:t>1</w:t>
            </w:r>
          </w:p>
        </w:tc>
        <w:tc>
          <w:tcPr>
            <w:tcW w:w="794" w:type="dxa"/>
            <w:vAlign w:val="top"/>
          </w:tcPr>
          <w:p w14:paraId="7B068144">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.30</w:t>
            </w:r>
          </w:p>
        </w:tc>
        <w:tc>
          <w:tcPr>
            <w:tcW w:w="1126" w:type="dxa"/>
            <w:vAlign w:val="top"/>
          </w:tcPr>
          <w:p w14:paraId="1414030B">
            <w:pPr>
              <w:spacing w:before="73" w:line="212" w:lineRule="auto"/>
              <w:ind w:left="11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2"/>
                <w:sz w:val="20"/>
                <w:szCs w:val="20"/>
              </w:rPr>
              <w:t>211×10</w:t>
            </w:r>
            <w:r>
              <w:rPr>
                <w:rFonts w:ascii="Times New Roman" w:hAnsi="Times New Roman" w:eastAsia="Times New Roman" w:cs="Times New Roman"/>
                <w:spacing w:val="2"/>
                <w:position w:val="6"/>
                <w:sz w:val="13"/>
                <w:szCs w:val="13"/>
              </w:rPr>
              <w:t>-5</w:t>
            </w:r>
          </w:p>
        </w:tc>
        <w:tc>
          <w:tcPr>
            <w:tcW w:w="990" w:type="dxa"/>
            <w:tcBorders>
              <w:right w:val="nil"/>
            </w:tcBorders>
            <w:vAlign w:val="top"/>
          </w:tcPr>
          <w:p w14:paraId="41EFEFD7">
            <w:pPr>
              <w:spacing w:before="8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6DA85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6DC1913A">
            <w:pPr>
              <w:spacing w:before="10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164" w:type="dxa"/>
            <w:vAlign w:val="top"/>
          </w:tcPr>
          <w:p w14:paraId="3A83362F">
            <w:pPr>
              <w:spacing w:before="89"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1233" w:type="dxa"/>
            <w:vAlign w:val="top"/>
          </w:tcPr>
          <w:p w14:paraId="7BE8FE57">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01009</w:t>
            </w:r>
          </w:p>
        </w:tc>
        <w:tc>
          <w:tcPr>
            <w:tcW w:w="793" w:type="dxa"/>
            <w:vAlign w:val="top"/>
          </w:tcPr>
          <w:p w14:paraId="6CF92384">
            <w:pPr>
              <w:spacing w:before="89" w:line="198"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.02</w:t>
            </w:r>
          </w:p>
        </w:tc>
        <w:tc>
          <w:tcPr>
            <w:tcW w:w="1232" w:type="dxa"/>
            <w:vAlign w:val="top"/>
          </w:tcPr>
          <w:p w14:paraId="51A88BA4">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0.00608</w:t>
            </w:r>
            <w:r>
              <w:rPr>
                <w:rFonts w:ascii="Times New Roman" w:hAnsi="Times New Roman" w:eastAsia="Times New Roman" w:cs="Times New Roman"/>
                <w:spacing w:val="2"/>
                <w:sz w:val="20"/>
                <w:szCs w:val="20"/>
              </w:rPr>
              <w:t>5</w:t>
            </w:r>
          </w:p>
        </w:tc>
        <w:tc>
          <w:tcPr>
            <w:tcW w:w="794" w:type="dxa"/>
            <w:vAlign w:val="top"/>
          </w:tcPr>
          <w:p w14:paraId="19273BBD">
            <w:pPr>
              <w:spacing w:before="9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.04</w:t>
            </w:r>
          </w:p>
        </w:tc>
        <w:tc>
          <w:tcPr>
            <w:tcW w:w="1126" w:type="dxa"/>
            <w:vAlign w:val="top"/>
          </w:tcPr>
          <w:p w14:paraId="3794D324">
            <w:pPr>
              <w:spacing w:before="74" w:line="217" w:lineRule="auto"/>
              <w:ind w:left="10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804×10</w:t>
            </w:r>
            <w:r>
              <w:rPr>
                <w:rFonts w:ascii="Times New Roman" w:hAnsi="Times New Roman" w:eastAsia="Times New Roman" w:cs="Times New Roman"/>
                <w:spacing w:val="3"/>
                <w:position w:val="6"/>
                <w:sz w:val="13"/>
                <w:szCs w:val="13"/>
              </w:rPr>
              <w:t>-5</w:t>
            </w:r>
          </w:p>
        </w:tc>
        <w:tc>
          <w:tcPr>
            <w:tcW w:w="990" w:type="dxa"/>
            <w:tcBorders>
              <w:right w:val="nil"/>
            </w:tcBorders>
            <w:vAlign w:val="top"/>
          </w:tcPr>
          <w:p w14:paraId="3E4C3AE4">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067D6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4F4D271A">
            <w:pPr>
              <w:spacing w:before="107"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164" w:type="dxa"/>
            <w:vAlign w:val="top"/>
          </w:tcPr>
          <w:p w14:paraId="70AEA7E6">
            <w:pPr>
              <w:spacing w:before="9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233" w:type="dxa"/>
            <w:vAlign w:val="top"/>
          </w:tcPr>
          <w:p w14:paraId="06144C75">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0.00932</w:t>
            </w:r>
            <w:r>
              <w:rPr>
                <w:rFonts w:ascii="Times New Roman" w:hAnsi="Times New Roman" w:eastAsia="Times New Roman" w:cs="Times New Roman"/>
                <w:spacing w:val="2"/>
                <w:sz w:val="20"/>
                <w:szCs w:val="20"/>
              </w:rPr>
              <w:t>8</w:t>
            </w:r>
          </w:p>
        </w:tc>
        <w:tc>
          <w:tcPr>
            <w:tcW w:w="793" w:type="dxa"/>
            <w:vAlign w:val="top"/>
          </w:tcPr>
          <w:p w14:paraId="4521ED7D">
            <w:pPr>
              <w:spacing w:before="90" w:line="198"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87</w:t>
            </w:r>
          </w:p>
        </w:tc>
        <w:tc>
          <w:tcPr>
            <w:tcW w:w="1232" w:type="dxa"/>
            <w:vAlign w:val="top"/>
          </w:tcPr>
          <w:p w14:paraId="23D1B604">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0.00562</w:t>
            </w:r>
            <w:r>
              <w:rPr>
                <w:rFonts w:ascii="Times New Roman" w:hAnsi="Times New Roman" w:eastAsia="Times New Roman" w:cs="Times New Roman"/>
                <w:spacing w:val="2"/>
                <w:sz w:val="20"/>
                <w:szCs w:val="20"/>
              </w:rPr>
              <w:t>6</w:t>
            </w:r>
          </w:p>
        </w:tc>
        <w:tc>
          <w:tcPr>
            <w:tcW w:w="794" w:type="dxa"/>
            <w:vAlign w:val="top"/>
          </w:tcPr>
          <w:p w14:paraId="4E4CA3CE">
            <w:pPr>
              <w:spacing w:before="90" w:line="19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.81</w:t>
            </w:r>
          </w:p>
        </w:tc>
        <w:tc>
          <w:tcPr>
            <w:tcW w:w="1126" w:type="dxa"/>
            <w:vAlign w:val="top"/>
          </w:tcPr>
          <w:p w14:paraId="0082F4C8">
            <w:pPr>
              <w:spacing w:before="74" w:line="217" w:lineRule="auto"/>
              <w:ind w:left="10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442×10</w:t>
            </w:r>
            <w:r>
              <w:rPr>
                <w:rFonts w:ascii="Times New Roman" w:hAnsi="Times New Roman" w:eastAsia="Times New Roman" w:cs="Times New Roman"/>
                <w:spacing w:val="3"/>
                <w:position w:val="6"/>
                <w:sz w:val="13"/>
                <w:szCs w:val="13"/>
              </w:rPr>
              <w:t>-5</w:t>
            </w:r>
          </w:p>
        </w:tc>
        <w:tc>
          <w:tcPr>
            <w:tcW w:w="990" w:type="dxa"/>
            <w:tcBorders>
              <w:right w:val="nil"/>
            </w:tcBorders>
            <w:vAlign w:val="top"/>
          </w:tcPr>
          <w:p w14:paraId="188A1C3F">
            <w:pPr>
              <w:spacing w:before="93"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4F834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7C5CA76E">
            <w:pPr>
              <w:spacing w:before="106"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164" w:type="dxa"/>
            <w:vAlign w:val="top"/>
          </w:tcPr>
          <w:p w14:paraId="792735B0">
            <w:pPr>
              <w:spacing w:before="9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p>
        </w:tc>
        <w:tc>
          <w:tcPr>
            <w:tcW w:w="1233" w:type="dxa"/>
            <w:vAlign w:val="top"/>
          </w:tcPr>
          <w:p w14:paraId="26F6EF74">
            <w:pPr>
              <w:spacing w:before="9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00865</w:t>
            </w:r>
          </w:p>
        </w:tc>
        <w:tc>
          <w:tcPr>
            <w:tcW w:w="793" w:type="dxa"/>
            <w:vAlign w:val="top"/>
          </w:tcPr>
          <w:p w14:paraId="36919462">
            <w:pPr>
              <w:spacing w:before="90" w:line="198"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73</w:t>
            </w:r>
          </w:p>
        </w:tc>
        <w:tc>
          <w:tcPr>
            <w:tcW w:w="1232" w:type="dxa"/>
            <w:vAlign w:val="top"/>
          </w:tcPr>
          <w:p w14:paraId="298D25EE">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0.00521</w:t>
            </w:r>
            <w:r>
              <w:rPr>
                <w:rFonts w:ascii="Times New Roman" w:hAnsi="Times New Roman" w:eastAsia="Times New Roman" w:cs="Times New Roman"/>
                <w:spacing w:val="2"/>
                <w:sz w:val="20"/>
                <w:szCs w:val="20"/>
              </w:rPr>
              <w:t>7</w:t>
            </w:r>
          </w:p>
        </w:tc>
        <w:tc>
          <w:tcPr>
            <w:tcW w:w="794" w:type="dxa"/>
            <w:vAlign w:val="top"/>
          </w:tcPr>
          <w:p w14:paraId="49B6774F">
            <w:pPr>
              <w:spacing w:before="90" w:line="19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.61</w:t>
            </w:r>
          </w:p>
        </w:tc>
        <w:tc>
          <w:tcPr>
            <w:tcW w:w="1126" w:type="dxa"/>
            <w:vAlign w:val="top"/>
          </w:tcPr>
          <w:p w14:paraId="73862CDB">
            <w:pPr>
              <w:spacing w:before="74" w:line="214" w:lineRule="auto"/>
              <w:ind w:left="11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4. 119×1</w:t>
            </w:r>
            <w:r>
              <w:rPr>
                <w:rFonts w:ascii="Times New Roman" w:hAnsi="Times New Roman" w:eastAsia="Times New Roman" w:cs="Times New Roman"/>
                <w:spacing w:val="-1"/>
                <w:sz w:val="20"/>
                <w:szCs w:val="20"/>
              </w:rPr>
              <w:t>0</w:t>
            </w:r>
            <w:r>
              <w:rPr>
                <w:rFonts w:ascii="Times New Roman" w:hAnsi="Times New Roman" w:eastAsia="Times New Roman" w:cs="Times New Roman"/>
                <w:spacing w:val="-1"/>
                <w:position w:val="6"/>
                <w:sz w:val="13"/>
                <w:szCs w:val="13"/>
              </w:rPr>
              <w:t>-5</w:t>
            </w:r>
          </w:p>
        </w:tc>
        <w:tc>
          <w:tcPr>
            <w:tcW w:w="990" w:type="dxa"/>
            <w:tcBorders>
              <w:right w:val="nil"/>
            </w:tcBorders>
            <w:vAlign w:val="top"/>
          </w:tcPr>
          <w:p w14:paraId="36686A15">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3CB6F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64BB5827">
            <w:pPr>
              <w:spacing w:before="106"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164" w:type="dxa"/>
            <w:vAlign w:val="top"/>
          </w:tcPr>
          <w:p w14:paraId="2C161FA2">
            <w:pPr>
              <w:spacing w:before="92"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1233" w:type="dxa"/>
            <w:vAlign w:val="top"/>
          </w:tcPr>
          <w:p w14:paraId="732A51DF">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0.00804</w:t>
            </w:r>
            <w:r>
              <w:rPr>
                <w:rFonts w:ascii="Times New Roman" w:hAnsi="Times New Roman" w:eastAsia="Times New Roman" w:cs="Times New Roman"/>
                <w:spacing w:val="2"/>
                <w:sz w:val="20"/>
                <w:szCs w:val="20"/>
              </w:rPr>
              <w:t>4</w:t>
            </w:r>
          </w:p>
        </w:tc>
        <w:tc>
          <w:tcPr>
            <w:tcW w:w="793" w:type="dxa"/>
            <w:vAlign w:val="top"/>
          </w:tcPr>
          <w:p w14:paraId="571024F5">
            <w:pPr>
              <w:spacing w:before="92" w:line="198"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61</w:t>
            </w:r>
          </w:p>
        </w:tc>
        <w:tc>
          <w:tcPr>
            <w:tcW w:w="1232" w:type="dxa"/>
            <w:vAlign w:val="top"/>
          </w:tcPr>
          <w:p w14:paraId="367C15E6">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0.00485</w:t>
            </w:r>
            <w:r>
              <w:rPr>
                <w:rFonts w:ascii="Times New Roman" w:hAnsi="Times New Roman" w:eastAsia="Times New Roman" w:cs="Times New Roman"/>
                <w:spacing w:val="2"/>
                <w:sz w:val="20"/>
                <w:szCs w:val="20"/>
              </w:rPr>
              <w:t>2</w:t>
            </w:r>
          </w:p>
        </w:tc>
        <w:tc>
          <w:tcPr>
            <w:tcW w:w="794" w:type="dxa"/>
            <w:vAlign w:val="top"/>
          </w:tcPr>
          <w:p w14:paraId="698C3CBB">
            <w:pPr>
              <w:spacing w:before="92" w:line="19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w:t>
            </w:r>
          </w:p>
        </w:tc>
        <w:tc>
          <w:tcPr>
            <w:tcW w:w="1126" w:type="dxa"/>
            <w:vAlign w:val="top"/>
          </w:tcPr>
          <w:p w14:paraId="38FBE46B">
            <w:pPr>
              <w:spacing w:before="74" w:line="214" w:lineRule="auto"/>
              <w:ind w:left="16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3.83×10</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
                <w:position w:val="6"/>
                <w:sz w:val="13"/>
                <w:szCs w:val="13"/>
              </w:rPr>
              <w:t>5</w:t>
            </w:r>
          </w:p>
        </w:tc>
        <w:tc>
          <w:tcPr>
            <w:tcW w:w="990" w:type="dxa"/>
            <w:tcBorders>
              <w:right w:val="nil"/>
            </w:tcBorders>
            <w:vAlign w:val="top"/>
          </w:tcPr>
          <w:p w14:paraId="44964BED">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57F82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0" w:type="dxa"/>
            <w:tcBorders>
              <w:left w:val="nil"/>
            </w:tcBorders>
            <w:vAlign w:val="top"/>
          </w:tcPr>
          <w:p w14:paraId="2C2FA6C5">
            <w:pPr>
              <w:spacing w:before="10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164" w:type="dxa"/>
            <w:vAlign w:val="top"/>
          </w:tcPr>
          <w:p w14:paraId="06773DC8">
            <w:pPr>
              <w:spacing w:before="91"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1233" w:type="dxa"/>
            <w:vAlign w:val="top"/>
          </w:tcPr>
          <w:p w14:paraId="005F239C">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0.00806</w:t>
            </w:r>
            <w:r>
              <w:rPr>
                <w:rFonts w:ascii="Times New Roman" w:hAnsi="Times New Roman" w:eastAsia="Times New Roman" w:cs="Times New Roman"/>
                <w:spacing w:val="2"/>
                <w:sz w:val="20"/>
                <w:szCs w:val="20"/>
              </w:rPr>
              <w:t>7</w:t>
            </w:r>
          </w:p>
        </w:tc>
        <w:tc>
          <w:tcPr>
            <w:tcW w:w="793" w:type="dxa"/>
            <w:vAlign w:val="top"/>
          </w:tcPr>
          <w:p w14:paraId="348D92E9">
            <w:pPr>
              <w:spacing w:before="91" w:line="198"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61</w:t>
            </w:r>
          </w:p>
        </w:tc>
        <w:tc>
          <w:tcPr>
            <w:tcW w:w="1232" w:type="dxa"/>
            <w:vAlign w:val="top"/>
          </w:tcPr>
          <w:p w14:paraId="1D1AD76A">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0.00486</w:t>
            </w:r>
            <w:r>
              <w:rPr>
                <w:rFonts w:ascii="Times New Roman" w:hAnsi="Times New Roman" w:eastAsia="Times New Roman" w:cs="Times New Roman"/>
                <w:spacing w:val="2"/>
                <w:sz w:val="20"/>
                <w:szCs w:val="20"/>
              </w:rPr>
              <w:t>6</w:t>
            </w:r>
          </w:p>
        </w:tc>
        <w:tc>
          <w:tcPr>
            <w:tcW w:w="794" w:type="dxa"/>
            <w:vAlign w:val="top"/>
          </w:tcPr>
          <w:p w14:paraId="7D661C40">
            <w:pPr>
              <w:spacing w:before="91" w:line="19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w:t>
            </w:r>
          </w:p>
        </w:tc>
        <w:tc>
          <w:tcPr>
            <w:tcW w:w="1126" w:type="dxa"/>
            <w:vAlign w:val="top"/>
          </w:tcPr>
          <w:p w14:paraId="21A2DACA">
            <w:pPr>
              <w:spacing w:before="73" w:line="214"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.842×10</w:t>
            </w:r>
            <w:r>
              <w:rPr>
                <w:rFonts w:ascii="Times New Roman" w:hAnsi="Times New Roman" w:eastAsia="Times New Roman" w:cs="Times New Roman"/>
                <w:spacing w:val="3"/>
                <w:position w:val="6"/>
                <w:sz w:val="13"/>
                <w:szCs w:val="13"/>
              </w:rPr>
              <w:t>-5</w:t>
            </w:r>
          </w:p>
        </w:tc>
        <w:tc>
          <w:tcPr>
            <w:tcW w:w="990" w:type="dxa"/>
            <w:tcBorders>
              <w:right w:val="nil"/>
            </w:tcBorders>
            <w:vAlign w:val="top"/>
          </w:tcPr>
          <w:p w14:paraId="4580A7E2">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26CD6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7638CD04">
            <w:pPr>
              <w:spacing w:before="10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164" w:type="dxa"/>
            <w:vAlign w:val="top"/>
          </w:tcPr>
          <w:p w14:paraId="02B9174F">
            <w:pPr>
              <w:spacing w:before="92"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1900</w:t>
            </w:r>
          </w:p>
        </w:tc>
        <w:tc>
          <w:tcPr>
            <w:tcW w:w="1233" w:type="dxa"/>
            <w:vAlign w:val="top"/>
          </w:tcPr>
          <w:p w14:paraId="3AC491EF">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0.00815</w:t>
            </w:r>
            <w:r>
              <w:rPr>
                <w:rFonts w:ascii="Times New Roman" w:hAnsi="Times New Roman" w:eastAsia="Times New Roman" w:cs="Times New Roman"/>
                <w:spacing w:val="2"/>
                <w:sz w:val="20"/>
                <w:szCs w:val="20"/>
              </w:rPr>
              <w:t>9</w:t>
            </w:r>
          </w:p>
        </w:tc>
        <w:tc>
          <w:tcPr>
            <w:tcW w:w="793" w:type="dxa"/>
            <w:vAlign w:val="top"/>
          </w:tcPr>
          <w:p w14:paraId="77320BD9">
            <w:pPr>
              <w:spacing w:before="92" w:line="198"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63</w:t>
            </w:r>
          </w:p>
        </w:tc>
        <w:tc>
          <w:tcPr>
            <w:tcW w:w="1232" w:type="dxa"/>
            <w:vAlign w:val="top"/>
          </w:tcPr>
          <w:p w14:paraId="073BA89D">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0.00492</w:t>
            </w:r>
            <w:r>
              <w:rPr>
                <w:rFonts w:ascii="Times New Roman" w:hAnsi="Times New Roman" w:eastAsia="Times New Roman" w:cs="Times New Roman"/>
                <w:spacing w:val="2"/>
                <w:sz w:val="20"/>
                <w:szCs w:val="20"/>
              </w:rPr>
              <w:t>1</w:t>
            </w:r>
          </w:p>
        </w:tc>
        <w:tc>
          <w:tcPr>
            <w:tcW w:w="794" w:type="dxa"/>
            <w:vAlign w:val="top"/>
          </w:tcPr>
          <w:p w14:paraId="064D9ED2">
            <w:pPr>
              <w:spacing w:before="92" w:line="19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.46</w:t>
            </w:r>
          </w:p>
        </w:tc>
        <w:tc>
          <w:tcPr>
            <w:tcW w:w="1126" w:type="dxa"/>
            <w:vAlign w:val="top"/>
          </w:tcPr>
          <w:p w14:paraId="5EC91F0F">
            <w:pPr>
              <w:spacing w:before="76" w:line="212"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.885×10</w:t>
            </w:r>
            <w:r>
              <w:rPr>
                <w:rFonts w:ascii="Times New Roman" w:hAnsi="Times New Roman" w:eastAsia="Times New Roman" w:cs="Times New Roman"/>
                <w:spacing w:val="3"/>
                <w:position w:val="6"/>
                <w:sz w:val="13"/>
                <w:szCs w:val="13"/>
              </w:rPr>
              <w:t>-5</w:t>
            </w:r>
          </w:p>
        </w:tc>
        <w:tc>
          <w:tcPr>
            <w:tcW w:w="990" w:type="dxa"/>
            <w:tcBorders>
              <w:right w:val="nil"/>
            </w:tcBorders>
            <w:vAlign w:val="top"/>
          </w:tcPr>
          <w:p w14:paraId="0CDFEA2D">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78ACC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10" w:type="dxa"/>
            <w:tcBorders>
              <w:left w:val="nil"/>
            </w:tcBorders>
            <w:vAlign w:val="top"/>
          </w:tcPr>
          <w:p w14:paraId="0C685B56">
            <w:pPr>
              <w:spacing w:before="10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164" w:type="dxa"/>
            <w:vAlign w:val="top"/>
          </w:tcPr>
          <w:p w14:paraId="7FDCA802">
            <w:pPr>
              <w:spacing w:before="91"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233" w:type="dxa"/>
            <w:vAlign w:val="top"/>
          </w:tcPr>
          <w:p w14:paraId="38852FB2">
            <w:pPr>
              <w:spacing w:before="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0.00820</w:t>
            </w:r>
            <w:r>
              <w:rPr>
                <w:rFonts w:ascii="Times New Roman" w:hAnsi="Times New Roman" w:eastAsia="Times New Roman" w:cs="Times New Roman"/>
                <w:spacing w:val="2"/>
                <w:sz w:val="20"/>
                <w:szCs w:val="20"/>
              </w:rPr>
              <w:t>7</w:t>
            </w:r>
          </w:p>
        </w:tc>
        <w:tc>
          <w:tcPr>
            <w:tcW w:w="793" w:type="dxa"/>
            <w:vAlign w:val="top"/>
          </w:tcPr>
          <w:p w14:paraId="669FE5A9">
            <w:pPr>
              <w:spacing w:before="91" w:line="198"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64</w:t>
            </w:r>
          </w:p>
        </w:tc>
        <w:tc>
          <w:tcPr>
            <w:tcW w:w="1232" w:type="dxa"/>
            <w:vAlign w:val="top"/>
          </w:tcPr>
          <w:p w14:paraId="1A5DBF0C">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00495</w:t>
            </w:r>
          </w:p>
        </w:tc>
        <w:tc>
          <w:tcPr>
            <w:tcW w:w="794" w:type="dxa"/>
            <w:vAlign w:val="top"/>
          </w:tcPr>
          <w:p w14:paraId="443B442D">
            <w:pPr>
              <w:spacing w:before="91" w:line="198"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.47</w:t>
            </w:r>
          </w:p>
        </w:tc>
        <w:tc>
          <w:tcPr>
            <w:tcW w:w="1126" w:type="dxa"/>
            <w:vAlign w:val="top"/>
          </w:tcPr>
          <w:p w14:paraId="029109CF">
            <w:pPr>
              <w:spacing w:before="76" w:line="214"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.908×10</w:t>
            </w:r>
            <w:r>
              <w:rPr>
                <w:rFonts w:ascii="Times New Roman" w:hAnsi="Times New Roman" w:eastAsia="Times New Roman" w:cs="Times New Roman"/>
                <w:spacing w:val="3"/>
                <w:position w:val="6"/>
                <w:sz w:val="13"/>
                <w:szCs w:val="13"/>
              </w:rPr>
              <w:t>-5</w:t>
            </w:r>
          </w:p>
        </w:tc>
        <w:tc>
          <w:tcPr>
            <w:tcW w:w="990" w:type="dxa"/>
            <w:tcBorders>
              <w:right w:val="nil"/>
            </w:tcBorders>
            <w:vAlign w:val="top"/>
          </w:tcPr>
          <w:p w14:paraId="4882FAB3">
            <w:pPr>
              <w:spacing w:before="94"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r>
      <w:tr w14:paraId="31ADF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74" w:type="dxa"/>
            <w:gridSpan w:val="2"/>
            <w:tcBorders>
              <w:left w:val="nil"/>
            </w:tcBorders>
            <w:vAlign w:val="top"/>
          </w:tcPr>
          <w:p w14:paraId="072DE0F5">
            <w:pPr>
              <w:spacing w:before="72" w:line="226" w:lineRule="auto"/>
              <w:ind w:left="101"/>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风向最大落地点浓度</w:t>
            </w:r>
          </w:p>
        </w:tc>
        <w:tc>
          <w:tcPr>
            <w:tcW w:w="1233" w:type="dxa"/>
            <w:vAlign w:val="top"/>
          </w:tcPr>
          <w:p w14:paraId="31AFEBC2">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02157</w:t>
            </w:r>
          </w:p>
        </w:tc>
        <w:tc>
          <w:tcPr>
            <w:tcW w:w="793" w:type="dxa"/>
            <w:vAlign w:val="top"/>
          </w:tcPr>
          <w:p w14:paraId="7A6BB4A8">
            <w:pPr>
              <w:spacing w:before="91" w:line="198"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.31</w:t>
            </w:r>
          </w:p>
        </w:tc>
        <w:tc>
          <w:tcPr>
            <w:tcW w:w="1232" w:type="dxa"/>
            <w:vAlign w:val="top"/>
          </w:tcPr>
          <w:p w14:paraId="33D70B0D">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01301</w:t>
            </w:r>
          </w:p>
        </w:tc>
        <w:tc>
          <w:tcPr>
            <w:tcW w:w="794" w:type="dxa"/>
            <w:vAlign w:val="top"/>
          </w:tcPr>
          <w:p w14:paraId="77D0A287">
            <w:pPr>
              <w:spacing w:before="91"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.50</w:t>
            </w:r>
          </w:p>
        </w:tc>
        <w:tc>
          <w:tcPr>
            <w:tcW w:w="1126" w:type="dxa"/>
            <w:vAlign w:val="top"/>
          </w:tcPr>
          <w:p w14:paraId="132C0A42">
            <w:pPr>
              <w:spacing w:before="94"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0.0001027</w:t>
            </w:r>
          </w:p>
        </w:tc>
        <w:tc>
          <w:tcPr>
            <w:tcW w:w="990" w:type="dxa"/>
            <w:tcBorders>
              <w:right w:val="nil"/>
            </w:tcBorders>
            <w:vAlign w:val="top"/>
          </w:tcPr>
          <w:p w14:paraId="4917F494">
            <w:pPr>
              <w:spacing w:before="94"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14:paraId="6C5B3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274" w:type="dxa"/>
            <w:gridSpan w:val="2"/>
            <w:tcBorders>
              <w:left w:val="nil"/>
            </w:tcBorders>
            <w:vAlign w:val="top"/>
          </w:tcPr>
          <w:p w14:paraId="60410C33">
            <w:pPr>
              <w:spacing w:before="27" w:line="281" w:lineRule="exact"/>
              <w:ind w:left="114"/>
              <w:rPr>
                <w:rFonts w:ascii="Times New Roman" w:hAnsi="Times New Roman" w:eastAsia="Times New Roman" w:cs="Times New Roman"/>
                <w:sz w:val="20"/>
                <w:szCs w:val="20"/>
              </w:rPr>
            </w:pPr>
            <w:r>
              <w:rPr>
                <w:rFonts w:ascii="宋体" w:hAnsi="宋体" w:eastAsia="宋体" w:cs="宋体"/>
                <w:spacing w:val="-2"/>
                <w:position w:val="2"/>
                <w:sz w:val="20"/>
                <w:szCs w:val="20"/>
              </w:rPr>
              <w:t>最大落地点浓度距离</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
                <w:position w:val="2"/>
                <w:sz w:val="20"/>
                <w:szCs w:val="20"/>
              </w:rPr>
              <w:t>m</w:t>
            </w:r>
            <w:r>
              <w:rPr>
                <w:rFonts w:ascii="Times New Roman" w:hAnsi="Times New Roman" w:eastAsia="Times New Roman" w:cs="Times New Roman"/>
                <w:spacing w:val="-2"/>
                <w:position w:val="2"/>
                <w:sz w:val="20"/>
                <w:szCs w:val="20"/>
              </w:rPr>
              <w:t>)</w:t>
            </w:r>
          </w:p>
        </w:tc>
        <w:tc>
          <w:tcPr>
            <w:tcW w:w="6168" w:type="dxa"/>
            <w:gridSpan w:val="6"/>
            <w:tcBorders>
              <w:right w:val="nil"/>
            </w:tcBorders>
            <w:vAlign w:val="top"/>
          </w:tcPr>
          <w:p w14:paraId="2A733E6E">
            <w:pPr>
              <w:spacing w:before="86" w:line="195" w:lineRule="auto"/>
              <w:ind w:left="287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4"/>
                <w:sz w:val="20"/>
                <w:szCs w:val="20"/>
              </w:rPr>
              <w:t>38</w:t>
            </w:r>
          </w:p>
        </w:tc>
      </w:tr>
    </w:tbl>
    <w:p w14:paraId="138CB769">
      <w:pPr>
        <w:spacing w:line="261" w:lineRule="auto"/>
        <w:rPr>
          <w:rFonts w:ascii="Arial"/>
          <w:sz w:val="21"/>
        </w:rPr>
      </w:pPr>
    </w:p>
    <w:p w14:paraId="388D2E74">
      <w:pPr>
        <w:spacing w:before="75" w:line="226" w:lineRule="auto"/>
        <w:ind w:left="198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4"/>
          <w:sz w:val="23"/>
          <w:szCs w:val="23"/>
        </w:rPr>
        <w:t>-11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无组织废气估算模式计算结果表</w:t>
      </w:r>
    </w:p>
    <w:p w14:paraId="0612BD82">
      <w:pPr>
        <w:spacing w:line="18" w:lineRule="exact"/>
      </w:pPr>
    </w:p>
    <w:tbl>
      <w:tblPr>
        <w:tblStyle w:val="4"/>
        <w:tblW w:w="85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1191"/>
        <w:gridCol w:w="2025"/>
        <w:gridCol w:w="1080"/>
        <w:gridCol w:w="2040"/>
        <w:gridCol w:w="1041"/>
      </w:tblGrid>
      <w:tr w14:paraId="600C6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43" w:type="dxa"/>
            <w:vMerge w:val="restart"/>
            <w:tcBorders>
              <w:left w:val="nil"/>
              <w:bottom w:val="nil"/>
            </w:tcBorders>
            <w:vAlign w:val="top"/>
          </w:tcPr>
          <w:p w14:paraId="0CA69252">
            <w:pPr>
              <w:spacing w:line="314" w:lineRule="auto"/>
              <w:rPr>
                <w:rFonts w:ascii="Arial"/>
                <w:sz w:val="21"/>
              </w:rPr>
            </w:pPr>
          </w:p>
          <w:p w14:paraId="245EC8B2">
            <w:pPr>
              <w:spacing w:before="65" w:line="229" w:lineRule="auto"/>
              <w:ind w:left="36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191" w:type="dxa"/>
            <w:vMerge w:val="restart"/>
            <w:tcBorders>
              <w:bottom w:val="nil"/>
            </w:tcBorders>
            <w:vAlign w:val="top"/>
          </w:tcPr>
          <w:p w14:paraId="5B2A6FBF">
            <w:pPr>
              <w:spacing w:line="273" w:lineRule="auto"/>
              <w:rPr>
                <w:rFonts w:ascii="Arial"/>
                <w:sz w:val="21"/>
              </w:rPr>
            </w:pPr>
          </w:p>
          <w:p w14:paraId="1330E59D">
            <w:pPr>
              <w:spacing w:before="65" w:line="289" w:lineRule="exact"/>
              <w:ind w:left="233"/>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距离</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c>
          <w:tcPr>
            <w:tcW w:w="6186" w:type="dxa"/>
            <w:gridSpan w:val="4"/>
            <w:tcBorders>
              <w:right w:val="nil"/>
            </w:tcBorders>
            <w:vAlign w:val="top"/>
          </w:tcPr>
          <w:p w14:paraId="542ED019">
            <w:pPr>
              <w:spacing w:before="77" w:line="228" w:lineRule="auto"/>
              <w:ind w:left="257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无</w:t>
            </w:r>
            <w:r>
              <w:rPr>
                <w:rFonts w:ascii="宋体" w:hAnsi="宋体" w:eastAsia="宋体" w:cs="宋体"/>
                <w:spacing w:val="8"/>
                <w:sz w:val="20"/>
                <w:szCs w:val="20"/>
                <w14:textOutline w14:w="3795" w14:cap="sq" w14:cmpd="sng">
                  <w14:solidFill>
                    <w14:srgbClr w14:val="000000"/>
                  </w14:solidFill>
                  <w14:prstDash w14:val="solid"/>
                  <w14:bevel/>
                </w14:textOutline>
              </w:rPr>
              <w:t>组织排放</w:t>
            </w:r>
          </w:p>
        </w:tc>
      </w:tr>
      <w:tr w14:paraId="04EC4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vMerge w:val="continue"/>
            <w:tcBorders>
              <w:top w:val="nil"/>
              <w:left w:val="nil"/>
              <w:bottom w:val="nil"/>
            </w:tcBorders>
            <w:vAlign w:val="top"/>
          </w:tcPr>
          <w:p w14:paraId="5627C64D">
            <w:pPr>
              <w:rPr>
                <w:rFonts w:ascii="Arial"/>
                <w:sz w:val="21"/>
              </w:rPr>
            </w:pPr>
          </w:p>
        </w:tc>
        <w:tc>
          <w:tcPr>
            <w:tcW w:w="1191" w:type="dxa"/>
            <w:vMerge w:val="continue"/>
            <w:tcBorders>
              <w:top w:val="nil"/>
              <w:bottom w:val="nil"/>
            </w:tcBorders>
            <w:vAlign w:val="top"/>
          </w:tcPr>
          <w:p w14:paraId="0E8B3542">
            <w:pPr>
              <w:rPr>
                <w:rFonts w:ascii="Arial"/>
                <w:sz w:val="21"/>
              </w:rPr>
            </w:pPr>
          </w:p>
        </w:tc>
        <w:tc>
          <w:tcPr>
            <w:tcW w:w="3105" w:type="dxa"/>
            <w:gridSpan w:val="2"/>
            <w:vAlign w:val="top"/>
          </w:tcPr>
          <w:p w14:paraId="5D3F4229">
            <w:pPr>
              <w:spacing w:before="88" w:line="195" w:lineRule="auto"/>
              <w:ind w:left="136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w:t>
            </w:r>
            <w:r>
              <w:rPr>
                <w:rFonts w:ascii="Times New Roman" w:hAnsi="Times New Roman" w:eastAsia="Times New Roman" w:cs="Times New Roman"/>
                <w:b/>
                <w:bCs/>
                <w:spacing w:val="2"/>
                <w:sz w:val="20"/>
                <w:szCs w:val="20"/>
              </w:rPr>
              <w:t>SP</w:t>
            </w:r>
          </w:p>
        </w:tc>
        <w:tc>
          <w:tcPr>
            <w:tcW w:w="3081" w:type="dxa"/>
            <w:gridSpan w:val="2"/>
            <w:tcBorders>
              <w:right w:val="nil"/>
            </w:tcBorders>
            <w:vAlign w:val="top"/>
          </w:tcPr>
          <w:p w14:paraId="36D2FF43">
            <w:pPr>
              <w:spacing w:before="88" w:line="195" w:lineRule="auto"/>
              <w:ind w:left="1208"/>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N</w:t>
            </w:r>
            <w:r>
              <w:rPr>
                <w:rFonts w:ascii="Times New Roman" w:hAnsi="Times New Roman" w:eastAsia="Times New Roman" w:cs="Times New Roman"/>
                <w:b/>
                <w:bCs/>
                <w:spacing w:val="6"/>
                <w:sz w:val="20"/>
                <w:szCs w:val="20"/>
              </w:rPr>
              <w:t>MHC</w:t>
            </w:r>
          </w:p>
        </w:tc>
      </w:tr>
      <w:tr w14:paraId="258EF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143" w:type="dxa"/>
            <w:vMerge w:val="continue"/>
            <w:tcBorders>
              <w:top w:val="nil"/>
              <w:left w:val="nil"/>
            </w:tcBorders>
            <w:vAlign w:val="top"/>
          </w:tcPr>
          <w:p w14:paraId="573727B0">
            <w:pPr>
              <w:rPr>
                <w:rFonts w:ascii="Arial"/>
                <w:sz w:val="21"/>
              </w:rPr>
            </w:pPr>
          </w:p>
        </w:tc>
        <w:tc>
          <w:tcPr>
            <w:tcW w:w="1191" w:type="dxa"/>
            <w:vMerge w:val="continue"/>
            <w:tcBorders>
              <w:top w:val="nil"/>
            </w:tcBorders>
            <w:vAlign w:val="top"/>
          </w:tcPr>
          <w:p w14:paraId="1D35390A">
            <w:pPr>
              <w:rPr>
                <w:rFonts w:ascii="Arial"/>
                <w:sz w:val="21"/>
              </w:rPr>
            </w:pPr>
          </w:p>
        </w:tc>
        <w:tc>
          <w:tcPr>
            <w:tcW w:w="2025" w:type="dxa"/>
            <w:vAlign w:val="top"/>
          </w:tcPr>
          <w:p w14:paraId="3BA85FF0">
            <w:pPr>
              <w:spacing w:before="3" w:line="282" w:lineRule="exact"/>
              <w:ind w:left="45"/>
              <w:rPr>
                <w:rFonts w:ascii="Times New Roman" w:hAnsi="Times New Roman" w:eastAsia="Times New Roman" w:cs="Times New Roman"/>
                <w:sz w:val="20"/>
                <w:szCs w:val="20"/>
              </w:rPr>
            </w:pPr>
            <w:r>
              <w:rPr>
                <w:rFonts w:ascii="宋体" w:hAnsi="宋体" w:eastAsia="宋体" w:cs="宋体"/>
                <w:spacing w:val="-15"/>
                <w:position w:val="2"/>
                <w:sz w:val="20"/>
                <w:szCs w:val="20"/>
                <w14:textOutline w14:w="3696" w14:cap="sq" w14:cmpd="sng">
                  <w14:solidFill>
                    <w14:srgbClr w14:val="000000"/>
                  </w14:solidFill>
                  <w14:prstDash w14:val="solid"/>
                  <w14:bevel/>
                </w14:textOutline>
              </w:rPr>
              <w:t>下</w:t>
            </w:r>
            <w:r>
              <w:rPr>
                <w:rFonts w:ascii="宋体" w:hAnsi="宋体" w:eastAsia="宋体" w:cs="宋体"/>
                <w:spacing w:val="-8"/>
                <w:position w:val="2"/>
                <w:sz w:val="20"/>
                <w:szCs w:val="20"/>
                <w14:textOutline w14:w="3696" w14:cap="sq" w14:cmpd="sng">
                  <w14:solidFill>
                    <w14:srgbClr w14:val="000000"/>
                  </w14:solidFill>
                  <w14:prstDash w14:val="solid"/>
                  <w14:bevel/>
                </w14:textOutline>
              </w:rPr>
              <w:t>风向预测浓度</w:t>
            </w:r>
            <w:r>
              <w:rPr>
                <w:rFonts w:ascii="Times New Roman" w:hAnsi="Times New Roman" w:eastAsia="Times New Roman" w:cs="Times New Roman"/>
                <w:b/>
                <w:bCs/>
                <w:spacing w:val="-8"/>
                <w:position w:val="2"/>
                <w:sz w:val="20"/>
                <w:szCs w:val="20"/>
              </w:rPr>
              <w:t>(mg/m</w:t>
            </w:r>
            <w:r>
              <w:rPr>
                <w:rFonts w:ascii="Times New Roman" w:hAnsi="Times New Roman" w:eastAsia="Times New Roman" w:cs="Times New Roman"/>
                <w:b/>
                <w:bCs/>
                <w:spacing w:val="-8"/>
                <w:position w:val="8"/>
                <w:sz w:val="13"/>
                <w:szCs w:val="13"/>
              </w:rPr>
              <w:t>3</w:t>
            </w:r>
            <w:r>
              <w:rPr>
                <w:rFonts w:ascii="Times New Roman" w:hAnsi="Times New Roman" w:eastAsia="Times New Roman" w:cs="Times New Roman"/>
                <w:b/>
                <w:bCs/>
                <w:spacing w:val="-8"/>
                <w:position w:val="2"/>
                <w:sz w:val="20"/>
                <w:szCs w:val="20"/>
              </w:rPr>
              <w:t>)</w:t>
            </w:r>
          </w:p>
        </w:tc>
        <w:tc>
          <w:tcPr>
            <w:tcW w:w="1080" w:type="dxa"/>
            <w:vAlign w:val="top"/>
          </w:tcPr>
          <w:p w14:paraId="26F25013">
            <w:pPr>
              <w:spacing w:before="3" w:line="282" w:lineRule="exact"/>
              <w:ind w:left="91"/>
              <w:rPr>
                <w:rFonts w:ascii="Times New Roman" w:hAnsi="Times New Roman" w:eastAsia="Times New Roman" w:cs="Times New Roman"/>
                <w:sz w:val="20"/>
                <w:szCs w:val="20"/>
              </w:rPr>
            </w:pPr>
            <w:r>
              <w:rPr>
                <w:rFonts w:ascii="宋体" w:hAnsi="宋体" w:eastAsia="宋体" w:cs="宋体"/>
                <w:spacing w:val="1"/>
                <w:position w:val="2"/>
                <w:sz w:val="20"/>
                <w:szCs w:val="20"/>
                <w14:textOutline w14:w="3696" w14:cap="sq" w14:cmpd="sng">
                  <w14:solidFill>
                    <w14:srgbClr w14:val="000000"/>
                  </w14:solidFill>
                  <w14:prstDash w14:val="solid"/>
                  <w14:bevel/>
                </w14:textOutline>
              </w:rPr>
              <w:t>占标率</w:t>
            </w:r>
            <w:r>
              <w:rPr>
                <w:rFonts w:ascii="Times New Roman" w:hAnsi="Times New Roman" w:eastAsia="Times New Roman" w:cs="Times New Roman"/>
                <w:b/>
                <w:bCs/>
                <w:spacing w:val="1"/>
                <w:position w:val="2"/>
                <w:sz w:val="20"/>
                <w:szCs w:val="20"/>
              </w:rPr>
              <w:t>(%</w:t>
            </w:r>
            <w:r>
              <w:rPr>
                <w:rFonts w:ascii="Times New Roman" w:hAnsi="Times New Roman" w:eastAsia="Times New Roman" w:cs="Times New Roman"/>
                <w:b/>
                <w:bCs/>
                <w:position w:val="2"/>
                <w:sz w:val="20"/>
                <w:szCs w:val="20"/>
              </w:rPr>
              <w:t>)</w:t>
            </w:r>
          </w:p>
        </w:tc>
        <w:tc>
          <w:tcPr>
            <w:tcW w:w="2040" w:type="dxa"/>
            <w:vAlign w:val="top"/>
          </w:tcPr>
          <w:p w14:paraId="062789C9">
            <w:pPr>
              <w:spacing w:before="3" w:line="282" w:lineRule="exact"/>
              <w:ind w:left="53"/>
              <w:rPr>
                <w:rFonts w:ascii="Times New Roman" w:hAnsi="Times New Roman" w:eastAsia="Times New Roman" w:cs="Times New Roman"/>
                <w:sz w:val="20"/>
                <w:szCs w:val="20"/>
              </w:rPr>
            </w:pPr>
            <w:r>
              <w:rPr>
                <w:rFonts w:ascii="宋体" w:hAnsi="宋体" w:eastAsia="宋体" w:cs="宋体"/>
                <w:spacing w:val="-13"/>
                <w:position w:val="2"/>
                <w:sz w:val="20"/>
                <w:szCs w:val="20"/>
                <w14:textOutline w14:w="3696" w14:cap="sq" w14:cmpd="sng">
                  <w14:solidFill>
                    <w14:srgbClr w14:val="000000"/>
                  </w14:solidFill>
                  <w14:prstDash w14:val="solid"/>
                  <w14:bevel/>
                </w14:textOutline>
              </w:rPr>
              <w:t>下</w:t>
            </w:r>
            <w:r>
              <w:rPr>
                <w:rFonts w:ascii="宋体" w:hAnsi="宋体" w:eastAsia="宋体" w:cs="宋体"/>
                <w:spacing w:val="-8"/>
                <w:position w:val="2"/>
                <w:sz w:val="20"/>
                <w:szCs w:val="20"/>
                <w14:textOutline w14:w="3696" w14:cap="sq" w14:cmpd="sng">
                  <w14:solidFill>
                    <w14:srgbClr w14:val="000000"/>
                  </w14:solidFill>
                  <w14:prstDash w14:val="solid"/>
                  <w14:bevel/>
                </w14:textOutline>
              </w:rPr>
              <w:t>风向预测浓度</w:t>
            </w:r>
            <w:r>
              <w:rPr>
                <w:rFonts w:ascii="Times New Roman" w:hAnsi="Times New Roman" w:eastAsia="Times New Roman" w:cs="Times New Roman"/>
                <w:b/>
                <w:bCs/>
                <w:spacing w:val="-8"/>
                <w:position w:val="2"/>
                <w:sz w:val="20"/>
                <w:szCs w:val="20"/>
              </w:rPr>
              <w:t>(mg/m</w:t>
            </w:r>
            <w:r>
              <w:rPr>
                <w:rFonts w:ascii="Times New Roman" w:hAnsi="Times New Roman" w:eastAsia="Times New Roman" w:cs="Times New Roman"/>
                <w:b/>
                <w:bCs/>
                <w:spacing w:val="-8"/>
                <w:position w:val="8"/>
                <w:sz w:val="13"/>
                <w:szCs w:val="13"/>
              </w:rPr>
              <w:t>3</w:t>
            </w:r>
            <w:r>
              <w:rPr>
                <w:rFonts w:ascii="Times New Roman" w:hAnsi="Times New Roman" w:eastAsia="Times New Roman" w:cs="Times New Roman"/>
                <w:b/>
                <w:bCs/>
                <w:spacing w:val="-8"/>
                <w:position w:val="2"/>
                <w:sz w:val="20"/>
                <w:szCs w:val="20"/>
              </w:rPr>
              <w:t>)</w:t>
            </w:r>
          </w:p>
        </w:tc>
        <w:tc>
          <w:tcPr>
            <w:tcW w:w="1041" w:type="dxa"/>
            <w:tcBorders>
              <w:right w:val="nil"/>
            </w:tcBorders>
            <w:vAlign w:val="top"/>
          </w:tcPr>
          <w:p w14:paraId="6F976AB3">
            <w:pPr>
              <w:spacing w:before="3" w:line="282" w:lineRule="exact"/>
              <w:ind w:left="69"/>
              <w:rPr>
                <w:rFonts w:ascii="Times New Roman" w:hAnsi="Times New Roman" w:eastAsia="Times New Roman" w:cs="Times New Roman"/>
                <w:sz w:val="20"/>
                <w:szCs w:val="20"/>
              </w:rPr>
            </w:pPr>
            <w:r>
              <w:rPr>
                <w:rFonts w:ascii="宋体" w:hAnsi="宋体" w:eastAsia="宋体" w:cs="宋体"/>
                <w:spacing w:val="1"/>
                <w:position w:val="2"/>
                <w:sz w:val="20"/>
                <w:szCs w:val="20"/>
                <w14:textOutline w14:w="3696" w14:cap="sq" w14:cmpd="sng">
                  <w14:solidFill>
                    <w14:srgbClr w14:val="000000"/>
                  </w14:solidFill>
                  <w14:prstDash w14:val="solid"/>
                  <w14:bevel/>
                </w14:textOutline>
              </w:rPr>
              <w:t>占标率</w:t>
            </w:r>
            <w:r>
              <w:rPr>
                <w:rFonts w:ascii="Times New Roman" w:hAnsi="Times New Roman" w:eastAsia="Times New Roman" w:cs="Times New Roman"/>
                <w:b/>
                <w:bCs/>
                <w:spacing w:val="1"/>
                <w:position w:val="2"/>
                <w:sz w:val="20"/>
                <w:szCs w:val="20"/>
              </w:rPr>
              <w:t>(%</w:t>
            </w:r>
            <w:r>
              <w:rPr>
                <w:rFonts w:ascii="Times New Roman" w:hAnsi="Times New Roman" w:eastAsia="Times New Roman" w:cs="Times New Roman"/>
                <w:b/>
                <w:bCs/>
                <w:position w:val="2"/>
                <w:sz w:val="20"/>
                <w:szCs w:val="20"/>
              </w:rPr>
              <w:t>)</w:t>
            </w:r>
          </w:p>
        </w:tc>
      </w:tr>
      <w:tr w14:paraId="29D4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4B848A7D">
            <w:pPr>
              <w:spacing w:before="8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91" w:type="dxa"/>
            <w:vAlign w:val="top"/>
          </w:tcPr>
          <w:p w14:paraId="22617AF5">
            <w:pPr>
              <w:spacing w:before="88"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025" w:type="dxa"/>
            <w:vAlign w:val="top"/>
          </w:tcPr>
          <w:p w14:paraId="5CE9BBE5">
            <w:pPr>
              <w:spacing w:before="88"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03334</w:t>
            </w:r>
          </w:p>
        </w:tc>
        <w:tc>
          <w:tcPr>
            <w:tcW w:w="1080" w:type="dxa"/>
            <w:vAlign w:val="top"/>
          </w:tcPr>
          <w:p w14:paraId="6C539CAD">
            <w:pPr>
              <w:spacing w:before="8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.70</w:t>
            </w:r>
          </w:p>
        </w:tc>
        <w:tc>
          <w:tcPr>
            <w:tcW w:w="2040" w:type="dxa"/>
            <w:vAlign w:val="top"/>
          </w:tcPr>
          <w:p w14:paraId="6B271338">
            <w:pPr>
              <w:spacing w:before="8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07038</w:t>
            </w:r>
          </w:p>
        </w:tc>
        <w:tc>
          <w:tcPr>
            <w:tcW w:w="1041" w:type="dxa"/>
            <w:tcBorders>
              <w:right w:val="nil"/>
            </w:tcBorders>
            <w:vAlign w:val="top"/>
          </w:tcPr>
          <w:p w14:paraId="488D123B">
            <w:pPr>
              <w:spacing w:before="8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.52</w:t>
            </w:r>
          </w:p>
        </w:tc>
      </w:tr>
      <w:tr w14:paraId="1733D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427454E5">
            <w:pPr>
              <w:spacing w:before="87" w:line="195"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91" w:type="dxa"/>
            <w:vAlign w:val="top"/>
          </w:tcPr>
          <w:p w14:paraId="0C12D1CF">
            <w:pPr>
              <w:spacing w:before="8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25" w:type="dxa"/>
            <w:vAlign w:val="top"/>
          </w:tcPr>
          <w:p w14:paraId="28DB3667">
            <w:pPr>
              <w:spacing w:before="88"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07145</w:t>
            </w:r>
          </w:p>
        </w:tc>
        <w:tc>
          <w:tcPr>
            <w:tcW w:w="1080" w:type="dxa"/>
            <w:vAlign w:val="top"/>
          </w:tcPr>
          <w:p w14:paraId="204D1887">
            <w:pPr>
              <w:spacing w:before="8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.94</w:t>
            </w:r>
          </w:p>
        </w:tc>
        <w:tc>
          <w:tcPr>
            <w:tcW w:w="2040" w:type="dxa"/>
            <w:vAlign w:val="top"/>
          </w:tcPr>
          <w:p w14:paraId="49780478">
            <w:pPr>
              <w:spacing w:before="88"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1508</w:t>
            </w:r>
          </w:p>
        </w:tc>
        <w:tc>
          <w:tcPr>
            <w:tcW w:w="1041" w:type="dxa"/>
            <w:tcBorders>
              <w:right w:val="nil"/>
            </w:tcBorders>
            <w:vAlign w:val="top"/>
          </w:tcPr>
          <w:p w14:paraId="02DE2F1D">
            <w:pPr>
              <w:spacing w:before="8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.54</w:t>
            </w:r>
          </w:p>
        </w:tc>
      </w:tr>
      <w:tr w14:paraId="7DCBE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tcBorders>
              <w:left w:val="nil"/>
            </w:tcBorders>
            <w:vAlign w:val="top"/>
          </w:tcPr>
          <w:p w14:paraId="3B90D6E1">
            <w:pPr>
              <w:spacing w:before="8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91" w:type="dxa"/>
            <w:vAlign w:val="top"/>
          </w:tcPr>
          <w:p w14:paraId="3E4A3FCC">
            <w:pPr>
              <w:spacing w:before="8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2025" w:type="dxa"/>
            <w:vAlign w:val="top"/>
          </w:tcPr>
          <w:p w14:paraId="57E54B86">
            <w:pPr>
              <w:spacing w:before="87"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08286</w:t>
            </w:r>
          </w:p>
        </w:tc>
        <w:tc>
          <w:tcPr>
            <w:tcW w:w="1080" w:type="dxa"/>
            <w:vAlign w:val="top"/>
          </w:tcPr>
          <w:p w14:paraId="414BC965">
            <w:pPr>
              <w:spacing w:before="8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2"/>
                <w:sz w:val="20"/>
                <w:szCs w:val="20"/>
              </w:rPr>
              <w:t>.21</w:t>
            </w:r>
          </w:p>
        </w:tc>
        <w:tc>
          <w:tcPr>
            <w:tcW w:w="2040" w:type="dxa"/>
            <w:vAlign w:val="top"/>
          </w:tcPr>
          <w:p w14:paraId="249B9FC3">
            <w:pPr>
              <w:spacing w:before="87"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1749</w:t>
            </w:r>
          </w:p>
        </w:tc>
        <w:tc>
          <w:tcPr>
            <w:tcW w:w="1041" w:type="dxa"/>
            <w:tcBorders>
              <w:right w:val="nil"/>
            </w:tcBorders>
            <w:vAlign w:val="top"/>
          </w:tcPr>
          <w:p w14:paraId="2B0656F4">
            <w:pPr>
              <w:spacing w:before="87"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.75</w:t>
            </w:r>
          </w:p>
        </w:tc>
      </w:tr>
      <w:tr w14:paraId="419ED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192BCC38">
            <w:pPr>
              <w:spacing w:before="90"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91" w:type="dxa"/>
            <w:vAlign w:val="top"/>
          </w:tcPr>
          <w:p w14:paraId="5E047D9E">
            <w:pPr>
              <w:spacing w:before="90"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025" w:type="dxa"/>
            <w:vAlign w:val="top"/>
          </w:tcPr>
          <w:p w14:paraId="056997EC">
            <w:pPr>
              <w:spacing w:before="90"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08207</w:t>
            </w:r>
          </w:p>
        </w:tc>
        <w:tc>
          <w:tcPr>
            <w:tcW w:w="1080" w:type="dxa"/>
            <w:vAlign w:val="top"/>
          </w:tcPr>
          <w:p w14:paraId="67F44363">
            <w:pPr>
              <w:spacing w:before="9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9. 12</w:t>
            </w:r>
          </w:p>
        </w:tc>
        <w:tc>
          <w:tcPr>
            <w:tcW w:w="2040" w:type="dxa"/>
            <w:vAlign w:val="top"/>
          </w:tcPr>
          <w:p w14:paraId="44F44AD0">
            <w:pPr>
              <w:spacing w:before="90"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1733</w:t>
            </w:r>
          </w:p>
        </w:tc>
        <w:tc>
          <w:tcPr>
            <w:tcW w:w="1041" w:type="dxa"/>
            <w:tcBorders>
              <w:right w:val="nil"/>
            </w:tcBorders>
            <w:vAlign w:val="top"/>
          </w:tcPr>
          <w:p w14:paraId="77699B73">
            <w:pPr>
              <w:spacing w:before="90"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.67</w:t>
            </w:r>
          </w:p>
        </w:tc>
      </w:tr>
      <w:tr w14:paraId="0ABA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4CE2EED1">
            <w:pPr>
              <w:spacing w:before="92" w:line="192"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91" w:type="dxa"/>
            <w:vAlign w:val="top"/>
          </w:tcPr>
          <w:p w14:paraId="17333C8A">
            <w:pPr>
              <w:spacing w:before="89"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2025" w:type="dxa"/>
            <w:vAlign w:val="top"/>
          </w:tcPr>
          <w:p w14:paraId="71FB6563">
            <w:pPr>
              <w:spacing w:before="90"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06766</w:t>
            </w:r>
          </w:p>
        </w:tc>
        <w:tc>
          <w:tcPr>
            <w:tcW w:w="1080" w:type="dxa"/>
            <w:vAlign w:val="top"/>
          </w:tcPr>
          <w:p w14:paraId="04725790">
            <w:pPr>
              <w:spacing w:before="8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.52</w:t>
            </w:r>
          </w:p>
        </w:tc>
        <w:tc>
          <w:tcPr>
            <w:tcW w:w="2040" w:type="dxa"/>
            <w:vAlign w:val="top"/>
          </w:tcPr>
          <w:p w14:paraId="75796F8A">
            <w:pPr>
              <w:spacing w:before="90"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1428</w:t>
            </w:r>
          </w:p>
        </w:tc>
        <w:tc>
          <w:tcPr>
            <w:tcW w:w="1041" w:type="dxa"/>
            <w:tcBorders>
              <w:right w:val="nil"/>
            </w:tcBorders>
            <w:vAlign w:val="top"/>
          </w:tcPr>
          <w:p w14:paraId="6DD447B0">
            <w:pPr>
              <w:spacing w:before="8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7. 14</w:t>
            </w:r>
          </w:p>
        </w:tc>
      </w:tr>
      <w:tr w14:paraId="557C0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267481C4">
            <w:pPr>
              <w:spacing w:before="89"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91" w:type="dxa"/>
            <w:vAlign w:val="top"/>
          </w:tcPr>
          <w:p w14:paraId="4CBF3F87">
            <w:pPr>
              <w:spacing w:before="8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025" w:type="dxa"/>
            <w:vAlign w:val="top"/>
          </w:tcPr>
          <w:p w14:paraId="02AF4415">
            <w:pPr>
              <w:spacing w:before="89"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05209</w:t>
            </w:r>
          </w:p>
        </w:tc>
        <w:tc>
          <w:tcPr>
            <w:tcW w:w="1080" w:type="dxa"/>
            <w:vAlign w:val="top"/>
          </w:tcPr>
          <w:p w14:paraId="63A9760F">
            <w:pPr>
              <w:spacing w:before="89"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5.79</w:t>
            </w:r>
          </w:p>
        </w:tc>
        <w:tc>
          <w:tcPr>
            <w:tcW w:w="2040" w:type="dxa"/>
            <w:vAlign w:val="top"/>
          </w:tcPr>
          <w:p w14:paraId="7378B467">
            <w:pPr>
              <w:spacing w:before="89"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0. 11</w:t>
            </w:r>
          </w:p>
        </w:tc>
        <w:tc>
          <w:tcPr>
            <w:tcW w:w="1041" w:type="dxa"/>
            <w:tcBorders>
              <w:right w:val="nil"/>
            </w:tcBorders>
            <w:vAlign w:val="top"/>
          </w:tcPr>
          <w:p w14:paraId="0DB5DF33">
            <w:pPr>
              <w:spacing w:before="8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w:t>
            </w:r>
          </w:p>
        </w:tc>
      </w:tr>
      <w:tr w14:paraId="55820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tcBorders>
              <w:left w:val="nil"/>
            </w:tcBorders>
            <w:vAlign w:val="top"/>
          </w:tcPr>
          <w:p w14:paraId="69A66F00">
            <w:pPr>
              <w:spacing w:before="92" w:line="192"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91" w:type="dxa"/>
            <w:vAlign w:val="top"/>
          </w:tcPr>
          <w:p w14:paraId="2F31AEA4">
            <w:pPr>
              <w:spacing w:before="89"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2025" w:type="dxa"/>
            <w:vAlign w:val="top"/>
          </w:tcPr>
          <w:p w14:paraId="0442151F">
            <w:pPr>
              <w:spacing w:before="89"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04022</w:t>
            </w:r>
          </w:p>
        </w:tc>
        <w:tc>
          <w:tcPr>
            <w:tcW w:w="1080" w:type="dxa"/>
            <w:vAlign w:val="top"/>
          </w:tcPr>
          <w:p w14:paraId="49E6CDCC">
            <w:pPr>
              <w:spacing w:before="89"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.47</w:t>
            </w:r>
          </w:p>
        </w:tc>
        <w:tc>
          <w:tcPr>
            <w:tcW w:w="2040" w:type="dxa"/>
            <w:vAlign w:val="top"/>
          </w:tcPr>
          <w:p w14:paraId="3A9D4DD1">
            <w:pPr>
              <w:spacing w:before="89"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.0849</w:t>
            </w:r>
          </w:p>
        </w:tc>
        <w:tc>
          <w:tcPr>
            <w:tcW w:w="1041" w:type="dxa"/>
            <w:tcBorders>
              <w:right w:val="nil"/>
            </w:tcBorders>
            <w:vAlign w:val="top"/>
          </w:tcPr>
          <w:p w14:paraId="2A46AADB">
            <w:pPr>
              <w:spacing w:before="89" w:line="198"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.25</w:t>
            </w:r>
          </w:p>
        </w:tc>
      </w:tr>
      <w:tr w14:paraId="35F10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613F39CA">
            <w:pPr>
              <w:spacing w:before="89" w:line="195" w:lineRule="auto"/>
              <w:ind w:left="53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91" w:type="dxa"/>
            <w:vAlign w:val="top"/>
          </w:tcPr>
          <w:p w14:paraId="338AAEB1">
            <w:pPr>
              <w:spacing w:before="89"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025" w:type="dxa"/>
            <w:vAlign w:val="top"/>
          </w:tcPr>
          <w:p w14:paraId="563F7784">
            <w:pPr>
              <w:spacing w:before="90"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03168</w:t>
            </w:r>
          </w:p>
        </w:tc>
        <w:tc>
          <w:tcPr>
            <w:tcW w:w="1080" w:type="dxa"/>
            <w:vAlign w:val="top"/>
          </w:tcPr>
          <w:p w14:paraId="27679175">
            <w:pPr>
              <w:spacing w:before="9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.52</w:t>
            </w:r>
          </w:p>
        </w:tc>
        <w:tc>
          <w:tcPr>
            <w:tcW w:w="2040" w:type="dxa"/>
            <w:vAlign w:val="top"/>
          </w:tcPr>
          <w:p w14:paraId="605E65B9">
            <w:pPr>
              <w:spacing w:before="9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06688</w:t>
            </w:r>
          </w:p>
        </w:tc>
        <w:tc>
          <w:tcPr>
            <w:tcW w:w="1041" w:type="dxa"/>
            <w:tcBorders>
              <w:right w:val="nil"/>
            </w:tcBorders>
            <w:vAlign w:val="top"/>
          </w:tcPr>
          <w:p w14:paraId="1AEBB06C">
            <w:pPr>
              <w:spacing w:before="90"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.34</w:t>
            </w:r>
          </w:p>
        </w:tc>
      </w:tr>
      <w:tr w14:paraId="1C0FC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23671544">
            <w:pPr>
              <w:spacing w:before="89"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91" w:type="dxa"/>
            <w:vAlign w:val="top"/>
          </w:tcPr>
          <w:p w14:paraId="67B0389A">
            <w:pPr>
              <w:spacing w:before="89"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00</w:t>
            </w:r>
          </w:p>
        </w:tc>
        <w:tc>
          <w:tcPr>
            <w:tcW w:w="2025" w:type="dxa"/>
            <w:vAlign w:val="top"/>
          </w:tcPr>
          <w:p w14:paraId="06D1DC9B">
            <w:pPr>
              <w:spacing w:before="89"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02557</w:t>
            </w:r>
          </w:p>
        </w:tc>
        <w:tc>
          <w:tcPr>
            <w:tcW w:w="1080" w:type="dxa"/>
            <w:vAlign w:val="top"/>
          </w:tcPr>
          <w:p w14:paraId="5468DFFF">
            <w:pPr>
              <w:spacing w:before="89" w:line="198"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.84</w:t>
            </w:r>
          </w:p>
        </w:tc>
        <w:tc>
          <w:tcPr>
            <w:tcW w:w="2040" w:type="dxa"/>
            <w:vAlign w:val="top"/>
          </w:tcPr>
          <w:p w14:paraId="4C143319">
            <w:pPr>
              <w:spacing w:before="8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05399</w:t>
            </w:r>
          </w:p>
        </w:tc>
        <w:tc>
          <w:tcPr>
            <w:tcW w:w="1041" w:type="dxa"/>
            <w:tcBorders>
              <w:right w:val="nil"/>
            </w:tcBorders>
            <w:vAlign w:val="top"/>
          </w:tcPr>
          <w:p w14:paraId="38AC7652">
            <w:pPr>
              <w:spacing w:before="89" w:line="198"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w:t>
            </w:r>
          </w:p>
        </w:tc>
      </w:tr>
      <w:tr w14:paraId="36D16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tcBorders>
              <w:left w:val="nil"/>
            </w:tcBorders>
            <w:vAlign w:val="top"/>
          </w:tcPr>
          <w:p w14:paraId="741C29CE">
            <w:pPr>
              <w:spacing w:before="9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191" w:type="dxa"/>
            <w:vAlign w:val="top"/>
          </w:tcPr>
          <w:p w14:paraId="30A727D3">
            <w:pPr>
              <w:spacing w:before="91"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2025" w:type="dxa"/>
            <w:vAlign w:val="top"/>
          </w:tcPr>
          <w:p w14:paraId="3380F9A4">
            <w:pPr>
              <w:spacing w:before="91"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02123</w:t>
            </w:r>
          </w:p>
        </w:tc>
        <w:tc>
          <w:tcPr>
            <w:tcW w:w="1080" w:type="dxa"/>
            <w:vAlign w:val="top"/>
          </w:tcPr>
          <w:p w14:paraId="6480444C">
            <w:pPr>
              <w:spacing w:before="91" w:line="198"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.36</w:t>
            </w:r>
          </w:p>
        </w:tc>
        <w:tc>
          <w:tcPr>
            <w:tcW w:w="2040" w:type="dxa"/>
            <w:vAlign w:val="top"/>
          </w:tcPr>
          <w:p w14:paraId="48D2A776">
            <w:pPr>
              <w:spacing w:before="9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04483</w:t>
            </w:r>
          </w:p>
        </w:tc>
        <w:tc>
          <w:tcPr>
            <w:tcW w:w="1041" w:type="dxa"/>
            <w:tcBorders>
              <w:right w:val="nil"/>
            </w:tcBorders>
            <w:vAlign w:val="top"/>
          </w:tcPr>
          <w:p w14:paraId="22CF2500">
            <w:pPr>
              <w:spacing w:before="91" w:line="198"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.24</w:t>
            </w:r>
          </w:p>
        </w:tc>
      </w:tr>
      <w:tr w14:paraId="0914C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04A2BCB9">
            <w:pPr>
              <w:spacing w:before="92"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191" w:type="dxa"/>
            <w:vAlign w:val="top"/>
          </w:tcPr>
          <w:p w14:paraId="5B84804A">
            <w:pPr>
              <w:spacing w:before="91"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2025" w:type="dxa"/>
            <w:vAlign w:val="top"/>
          </w:tcPr>
          <w:p w14:paraId="55F21AD9">
            <w:pPr>
              <w:spacing w:before="92"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01798</w:t>
            </w:r>
          </w:p>
        </w:tc>
        <w:tc>
          <w:tcPr>
            <w:tcW w:w="1080" w:type="dxa"/>
            <w:vAlign w:val="top"/>
          </w:tcPr>
          <w:p w14:paraId="7C6835F8">
            <w:pPr>
              <w:spacing w:before="91" w:line="198"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040" w:type="dxa"/>
            <w:vAlign w:val="top"/>
          </w:tcPr>
          <w:p w14:paraId="495625F1">
            <w:pPr>
              <w:spacing w:before="9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03795</w:t>
            </w:r>
          </w:p>
        </w:tc>
        <w:tc>
          <w:tcPr>
            <w:tcW w:w="1041" w:type="dxa"/>
            <w:tcBorders>
              <w:right w:val="nil"/>
            </w:tcBorders>
            <w:vAlign w:val="top"/>
          </w:tcPr>
          <w:p w14:paraId="5D2B7CFE">
            <w:pPr>
              <w:spacing w:before="91" w:line="198"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90</w:t>
            </w:r>
          </w:p>
        </w:tc>
      </w:tr>
      <w:tr w14:paraId="4DCFA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0D4E646D">
            <w:pPr>
              <w:spacing w:before="9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191" w:type="dxa"/>
            <w:vAlign w:val="top"/>
          </w:tcPr>
          <w:p w14:paraId="402F104B">
            <w:pPr>
              <w:spacing w:before="9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2025" w:type="dxa"/>
            <w:vAlign w:val="top"/>
          </w:tcPr>
          <w:p w14:paraId="2C50B566">
            <w:pPr>
              <w:spacing w:before="91"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01546</w:t>
            </w:r>
          </w:p>
        </w:tc>
        <w:tc>
          <w:tcPr>
            <w:tcW w:w="1080" w:type="dxa"/>
            <w:vAlign w:val="top"/>
          </w:tcPr>
          <w:p w14:paraId="73790720">
            <w:pPr>
              <w:spacing w:before="91" w:line="198"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72</w:t>
            </w:r>
          </w:p>
        </w:tc>
        <w:tc>
          <w:tcPr>
            <w:tcW w:w="2040" w:type="dxa"/>
            <w:vAlign w:val="top"/>
          </w:tcPr>
          <w:p w14:paraId="3346E45F">
            <w:pPr>
              <w:spacing w:before="9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03263</w:t>
            </w:r>
          </w:p>
        </w:tc>
        <w:tc>
          <w:tcPr>
            <w:tcW w:w="1041" w:type="dxa"/>
            <w:tcBorders>
              <w:right w:val="nil"/>
            </w:tcBorders>
            <w:vAlign w:val="top"/>
          </w:tcPr>
          <w:p w14:paraId="52964571">
            <w:pPr>
              <w:spacing w:before="91" w:line="198"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63</w:t>
            </w:r>
          </w:p>
        </w:tc>
      </w:tr>
      <w:tr w14:paraId="0936F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5B114AA0">
            <w:pPr>
              <w:spacing w:before="9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191" w:type="dxa"/>
            <w:vAlign w:val="top"/>
          </w:tcPr>
          <w:p w14:paraId="537A4918">
            <w:pPr>
              <w:spacing w:before="9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100</w:t>
            </w:r>
          </w:p>
        </w:tc>
        <w:tc>
          <w:tcPr>
            <w:tcW w:w="2025" w:type="dxa"/>
            <w:vAlign w:val="top"/>
          </w:tcPr>
          <w:p w14:paraId="6613CB4D">
            <w:pPr>
              <w:spacing w:before="91"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01349</w:t>
            </w:r>
          </w:p>
        </w:tc>
        <w:tc>
          <w:tcPr>
            <w:tcW w:w="1080" w:type="dxa"/>
            <w:vAlign w:val="top"/>
          </w:tcPr>
          <w:p w14:paraId="2A4625F2">
            <w:pPr>
              <w:spacing w:before="91" w:line="198"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50</w:t>
            </w:r>
          </w:p>
        </w:tc>
        <w:tc>
          <w:tcPr>
            <w:tcW w:w="2040" w:type="dxa"/>
            <w:vAlign w:val="top"/>
          </w:tcPr>
          <w:p w14:paraId="0C12EDEC">
            <w:pPr>
              <w:spacing w:before="9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02847</w:t>
            </w:r>
          </w:p>
        </w:tc>
        <w:tc>
          <w:tcPr>
            <w:tcW w:w="1041" w:type="dxa"/>
            <w:tcBorders>
              <w:right w:val="nil"/>
            </w:tcBorders>
            <w:vAlign w:val="top"/>
          </w:tcPr>
          <w:p w14:paraId="1C8CFF4D">
            <w:pPr>
              <w:spacing w:before="91" w:line="198"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42</w:t>
            </w:r>
          </w:p>
        </w:tc>
      </w:tr>
      <w:tr w14:paraId="55328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65BB95FF">
            <w:pPr>
              <w:spacing w:before="90"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191" w:type="dxa"/>
            <w:vAlign w:val="top"/>
          </w:tcPr>
          <w:p w14:paraId="1D9C13FA">
            <w:pPr>
              <w:spacing w:before="9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2025" w:type="dxa"/>
            <w:vAlign w:val="top"/>
          </w:tcPr>
          <w:p w14:paraId="5F12510B">
            <w:pPr>
              <w:spacing w:before="91"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01191</w:t>
            </w:r>
          </w:p>
        </w:tc>
        <w:tc>
          <w:tcPr>
            <w:tcW w:w="1080" w:type="dxa"/>
            <w:vAlign w:val="top"/>
          </w:tcPr>
          <w:p w14:paraId="230C07C5">
            <w:pPr>
              <w:spacing w:before="90" w:line="198"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32</w:t>
            </w:r>
          </w:p>
        </w:tc>
        <w:tc>
          <w:tcPr>
            <w:tcW w:w="2040" w:type="dxa"/>
            <w:vAlign w:val="top"/>
          </w:tcPr>
          <w:p w14:paraId="10E7DFDC">
            <w:pPr>
              <w:spacing w:before="9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02514</w:t>
            </w:r>
          </w:p>
        </w:tc>
        <w:tc>
          <w:tcPr>
            <w:tcW w:w="1041" w:type="dxa"/>
            <w:tcBorders>
              <w:right w:val="nil"/>
            </w:tcBorders>
            <w:vAlign w:val="top"/>
          </w:tcPr>
          <w:p w14:paraId="13E5B27A">
            <w:pPr>
              <w:spacing w:before="90" w:line="198"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26</w:t>
            </w:r>
          </w:p>
        </w:tc>
      </w:tr>
      <w:tr w14:paraId="7B3D6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tcBorders>
              <w:left w:val="nil"/>
            </w:tcBorders>
            <w:vAlign w:val="top"/>
          </w:tcPr>
          <w:p w14:paraId="5204026C">
            <w:pPr>
              <w:spacing w:before="90"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191" w:type="dxa"/>
            <w:vAlign w:val="top"/>
          </w:tcPr>
          <w:p w14:paraId="228701B6">
            <w:pPr>
              <w:spacing w:before="9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2025" w:type="dxa"/>
            <w:vAlign w:val="top"/>
          </w:tcPr>
          <w:p w14:paraId="5DE714FC">
            <w:pPr>
              <w:spacing w:before="90"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.0106</w:t>
            </w:r>
          </w:p>
        </w:tc>
        <w:tc>
          <w:tcPr>
            <w:tcW w:w="1080" w:type="dxa"/>
            <w:vAlign w:val="top"/>
          </w:tcPr>
          <w:p w14:paraId="64E36719">
            <w:pPr>
              <w:spacing w:before="90"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18</w:t>
            </w:r>
          </w:p>
        </w:tc>
        <w:tc>
          <w:tcPr>
            <w:tcW w:w="2040" w:type="dxa"/>
            <w:vAlign w:val="top"/>
          </w:tcPr>
          <w:p w14:paraId="42EDD563">
            <w:pPr>
              <w:spacing w:before="9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02238</w:t>
            </w:r>
          </w:p>
        </w:tc>
        <w:tc>
          <w:tcPr>
            <w:tcW w:w="1041" w:type="dxa"/>
            <w:tcBorders>
              <w:right w:val="nil"/>
            </w:tcBorders>
            <w:vAlign w:val="top"/>
          </w:tcPr>
          <w:p w14:paraId="6B670BE3">
            <w:pPr>
              <w:spacing w:before="90" w:line="198"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12</w:t>
            </w:r>
          </w:p>
        </w:tc>
      </w:tr>
      <w:tr w14:paraId="3A25D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2919DD2A">
            <w:pPr>
              <w:spacing w:before="93"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191" w:type="dxa"/>
            <w:vAlign w:val="top"/>
          </w:tcPr>
          <w:p w14:paraId="023B0DDE">
            <w:pPr>
              <w:spacing w:before="9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2025" w:type="dxa"/>
            <w:vAlign w:val="top"/>
          </w:tcPr>
          <w:p w14:paraId="0E693AF9">
            <w:pPr>
              <w:spacing w:before="9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0.00951</w:t>
            </w:r>
            <w:r>
              <w:rPr>
                <w:rFonts w:ascii="Times New Roman" w:hAnsi="Times New Roman" w:eastAsia="Times New Roman" w:cs="Times New Roman"/>
                <w:spacing w:val="2"/>
                <w:sz w:val="20"/>
                <w:szCs w:val="20"/>
              </w:rPr>
              <w:t>5</w:t>
            </w:r>
          </w:p>
        </w:tc>
        <w:tc>
          <w:tcPr>
            <w:tcW w:w="1080" w:type="dxa"/>
            <w:vAlign w:val="top"/>
          </w:tcPr>
          <w:p w14:paraId="31D97F8C">
            <w:pPr>
              <w:spacing w:before="93" w:line="198"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06</w:t>
            </w:r>
          </w:p>
        </w:tc>
        <w:tc>
          <w:tcPr>
            <w:tcW w:w="2040" w:type="dxa"/>
            <w:vAlign w:val="top"/>
          </w:tcPr>
          <w:p w14:paraId="1E80DF12">
            <w:pPr>
              <w:spacing w:before="9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02009</w:t>
            </w:r>
          </w:p>
        </w:tc>
        <w:tc>
          <w:tcPr>
            <w:tcW w:w="1041" w:type="dxa"/>
            <w:tcBorders>
              <w:right w:val="nil"/>
            </w:tcBorders>
            <w:vAlign w:val="top"/>
          </w:tcPr>
          <w:p w14:paraId="0F184FA7">
            <w:pPr>
              <w:spacing w:before="93" w:line="198"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r>
      <w:tr w14:paraId="0921C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34C53365">
            <w:pPr>
              <w:spacing w:before="9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191" w:type="dxa"/>
            <w:vAlign w:val="top"/>
          </w:tcPr>
          <w:p w14:paraId="6D806C21">
            <w:pPr>
              <w:spacing w:before="9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2025" w:type="dxa"/>
            <w:vAlign w:val="top"/>
          </w:tcPr>
          <w:p w14:paraId="0F947E8B">
            <w:pPr>
              <w:spacing w:before="9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0.00860</w:t>
            </w:r>
            <w:r>
              <w:rPr>
                <w:rFonts w:ascii="Times New Roman" w:hAnsi="Times New Roman" w:eastAsia="Times New Roman" w:cs="Times New Roman"/>
                <w:spacing w:val="2"/>
                <w:sz w:val="20"/>
                <w:szCs w:val="20"/>
              </w:rPr>
              <w:t>5</w:t>
            </w:r>
          </w:p>
        </w:tc>
        <w:tc>
          <w:tcPr>
            <w:tcW w:w="1080" w:type="dxa"/>
            <w:vAlign w:val="top"/>
          </w:tcPr>
          <w:p w14:paraId="3B5ED23F">
            <w:pPr>
              <w:spacing w:before="93"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.96</w:t>
            </w:r>
          </w:p>
        </w:tc>
        <w:tc>
          <w:tcPr>
            <w:tcW w:w="2040" w:type="dxa"/>
            <w:vAlign w:val="top"/>
          </w:tcPr>
          <w:p w14:paraId="6B391B21">
            <w:pPr>
              <w:spacing w:before="9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01817</w:t>
            </w:r>
          </w:p>
        </w:tc>
        <w:tc>
          <w:tcPr>
            <w:tcW w:w="1041" w:type="dxa"/>
            <w:tcBorders>
              <w:right w:val="nil"/>
            </w:tcBorders>
            <w:vAlign w:val="top"/>
          </w:tcPr>
          <w:p w14:paraId="2C491837">
            <w:pPr>
              <w:spacing w:before="9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.91</w:t>
            </w:r>
          </w:p>
        </w:tc>
      </w:tr>
      <w:tr w14:paraId="66CE5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2DA8DDBA">
            <w:pPr>
              <w:spacing w:before="9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191" w:type="dxa"/>
            <w:vAlign w:val="top"/>
          </w:tcPr>
          <w:p w14:paraId="210EC79E">
            <w:pPr>
              <w:spacing w:before="9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1600</w:t>
            </w:r>
          </w:p>
        </w:tc>
        <w:tc>
          <w:tcPr>
            <w:tcW w:w="2025" w:type="dxa"/>
            <w:vAlign w:val="top"/>
          </w:tcPr>
          <w:p w14:paraId="6E2DC7CF">
            <w:pPr>
              <w:spacing w:before="92"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0.00782</w:t>
            </w:r>
            <w:r>
              <w:rPr>
                <w:rFonts w:ascii="Times New Roman" w:hAnsi="Times New Roman" w:eastAsia="Times New Roman" w:cs="Times New Roman"/>
                <w:spacing w:val="2"/>
                <w:sz w:val="20"/>
                <w:szCs w:val="20"/>
              </w:rPr>
              <w:t>3</w:t>
            </w:r>
          </w:p>
        </w:tc>
        <w:tc>
          <w:tcPr>
            <w:tcW w:w="1080" w:type="dxa"/>
            <w:vAlign w:val="top"/>
          </w:tcPr>
          <w:p w14:paraId="4C71E45E">
            <w:pPr>
              <w:spacing w:before="9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.87</w:t>
            </w:r>
          </w:p>
        </w:tc>
        <w:tc>
          <w:tcPr>
            <w:tcW w:w="2040" w:type="dxa"/>
            <w:vAlign w:val="top"/>
          </w:tcPr>
          <w:p w14:paraId="392B6BA0">
            <w:pPr>
              <w:spacing w:before="9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01652</w:t>
            </w:r>
          </w:p>
        </w:tc>
        <w:tc>
          <w:tcPr>
            <w:tcW w:w="1041" w:type="dxa"/>
            <w:tcBorders>
              <w:right w:val="nil"/>
            </w:tcBorders>
            <w:vAlign w:val="top"/>
          </w:tcPr>
          <w:p w14:paraId="1650D7E8">
            <w:pPr>
              <w:spacing w:before="9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.83</w:t>
            </w:r>
          </w:p>
        </w:tc>
      </w:tr>
      <w:tr w14:paraId="6BBED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3E1EE72D">
            <w:pPr>
              <w:spacing w:before="9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191" w:type="dxa"/>
            <w:vAlign w:val="top"/>
          </w:tcPr>
          <w:p w14:paraId="75F2B93C">
            <w:pPr>
              <w:spacing w:before="9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w:t>
            </w:r>
          </w:p>
        </w:tc>
        <w:tc>
          <w:tcPr>
            <w:tcW w:w="2025" w:type="dxa"/>
            <w:vAlign w:val="top"/>
          </w:tcPr>
          <w:p w14:paraId="43204545">
            <w:pPr>
              <w:spacing w:before="92"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0.00714</w:t>
            </w:r>
            <w:r>
              <w:rPr>
                <w:rFonts w:ascii="Times New Roman" w:hAnsi="Times New Roman" w:eastAsia="Times New Roman" w:cs="Times New Roman"/>
                <w:spacing w:val="2"/>
                <w:sz w:val="20"/>
                <w:szCs w:val="20"/>
              </w:rPr>
              <w:t>7</w:t>
            </w:r>
          </w:p>
        </w:tc>
        <w:tc>
          <w:tcPr>
            <w:tcW w:w="1080" w:type="dxa"/>
            <w:vAlign w:val="top"/>
          </w:tcPr>
          <w:p w14:paraId="6767AB29">
            <w:pPr>
              <w:spacing w:before="9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.79</w:t>
            </w:r>
          </w:p>
        </w:tc>
        <w:tc>
          <w:tcPr>
            <w:tcW w:w="2040" w:type="dxa"/>
            <w:vAlign w:val="top"/>
          </w:tcPr>
          <w:p w14:paraId="6E50C77C">
            <w:pPr>
              <w:spacing w:before="9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01509</w:t>
            </w:r>
          </w:p>
        </w:tc>
        <w:tc>
          <w:tcPr>
            <w:tcW w:w="1041" w:type="dxa"/>
            <w:tcBorders>
              <w:right w:val="nil"/>
            </w:tcBorders>
            <w:vAlign w:val="top"/>
          </w:tcPr>
          <w:p w14:paraId="54EFF83F">
            <w:pPr>
              <w:spacing w:before="9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.75</w:t>
            </w:r>
          </w:p>
        </w:tc>
      </w:tr>
      <w:tr w14:paraId="2F763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78570F9E">
            <w:pPr>
              <w:spacing w:before="9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191" w:type="dxa"/>
            <w:vAlign w:val="top"/>
          </w:tcPr>
          <w:p w14:paraId="16544417">
            <w:pPr>
              <w:spacing w:before="9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1800</w:t>
            </w:r>
          </w:p>
        </w:tc>
        <w:tc>
          <w:tcPr>
            <w:tcW w:w="2025" w:type="dxa"/>
            <w:vAlign w:val="top"/>
          </w:tcPr>
          <w:p w14:paraId="41766AD5">
            <w:pPr>
              <w:spacing w:before="92"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0.00656</w:t>
            </w:r>
            <w:r>
              <w:rPr>
                <w:rFonts w:ascii="Times New Roman" w:hAnsi="Times New Roman" w:eastAsia="Times New Roman" w:cs="Times New Roman"/>
                <w:spacing w:val="2"/>
                <w:sz w:val="20"/>
                <w:szCs w:val="20"/>
              </w:rPr>
              <w:t>4</w:t>
            </w:r>
          </w:p>
        </w:tc>
        <w:tc>
          <w:tcPr>
            <w:tcW w:w="1080" w:type="dxa"/>
            <w:vAlign w:val="top"/>
          </w:tcPr>
          <w:p w14:paraId="3C896042">
            <w:pPr>
              <w:spacing w:before="9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.73</w:t>
            </w:r>
          </w:p>
        </w:tc>
        <w:tc>
          <w:tcPr>
            <w:tcW w:w="2040" w:type="dxa"/>
            <w:vAlign w:val="top"/>
          </w:tcPr>
          <w:p w14:paraId="76A2335A">
            <w:pPr>
              <w:spacing w:before="9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01386</w:t>
            </w:r>
          </w:p>
        </w:tc>
        <w:tc>
          <w:tcPr>
            <w:tcW w:w="1041" w:type="dxa"/>
            <w:tcBorders>
              <w:right w:val="nil"/>
            </w:tcBorders>
            <w:vAlign w:val="top"/>
          </w:tcPr>
          <w:p w14:paraId="7D487C86">
            <w:pPr>
              <w:spacing w:before="9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.69</w:t>
            </w:r>
          </w:p>
        </w:tc>
      </w:tr>
      <w:tr w14:paraId="5CEA8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13DA3664">
            <w:pPr>
              <w:spacing w:before="9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191" w:type="dxa"/>
            <w:vAlign w:val="top"/>
          </w:tcPr>
          <w:p w14:paraId="3DE56C24">
            <w:pPr>
              <w:spacing w:before="9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1900</w:t>
            </w:r>
          </w:p>
        </w:tc>
        <w:tc>
          <w:tcPr>
            <w:tcW w:w="2025" w:type="dxa"/>
            <w:vAlign w:val="top"/>
          </w:tcPr>
          <w:p w14:paraId="13ED26A7">
            <w:pPr>
              <w:spacing w:before="91"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0.00605</w:t>
            </w:r>
            <w:r>
              <w:rPr>
                <w:rFonts w:ascii="Times New Roman" w:hAnsi="Times New Roman" w:eastAsia="Times New Roman" w:cs="Times New Roman"/>
                <w:spacing w:val="2"/>
                <w:sz w:val="20"/>
                <w:szCs w:val="20"/>
              </w:rPr>
              <w:t>6</w:t>
            </w:r>
          </w:p>
        </w:tc>
        <w:tc>
          <w:tcPr>
            <w:tcW w:w="1080" w:type="dxa"/>
            <w:vAlign w:val="top"/>
          </w:tcPr>
          <w:p w14:paraId="4DCF4FCA">
            <w:pPr>
              <w:spacing w:before="9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.67</w:t>
            </w:r>
          </w:p>
        </w:tc>
        <w:tc>
          <w:tcPr>
            <w:tcW w:w="2040" w:type="dxa"/>
            <w:vAlign w:val="top"/>
          </w:tcPr>
          <w:p w14:paraId="4E2F62A5">
            <w:pPr>
              <w:spacing w:before="9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01279</w:t>
            </w:r>
          </w:p>
        </w:tc>
        <w:tc>
          <w:tcPr>
            <w:tcW w:w="1041" w:type="dxa"/>
            <w:tcBorders>
              <w:right w:val="nil"/>
            </w:tcBorders>
            <w:vAlign w:val="top"/>
          </w:tcPr>
          <w:p w14:paraId="004CB7BE">
            <w:pPr>
              <w:spacing w:before="91"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.64</w:t>
            </w:r>
          </w:p>
        </w:tc>
      </w:tr>
      <w:tr w14:paraId="3B7B2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3" w:type="dxa"/>
            <w:tcBorders>
              <w:left w:val="nil"/>
            </w:tcBorders>
            <w:vAlign w:val="top"/>
          </w:tcPr>
          <w:p w14:paraId="11EF1A4B">
            <w:pPr>
              <w:spacing w:before="93"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191" w:type="dxa"/>
            <w:vAlign w:val="top"/>
          </w:tcPr>
          <w:p w14:paraId="286F0C3B">
            <w:pPr>
              <w:spacing w:before="9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2025" w:type="dxa"/>
            <w:vAlign w:val="top"/>
          </w:tcPr>
          <w:p w14:paraId="554E069C">
            <w:pPr>
              <w:spacing w:before="9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0.00561</w:t>
            </w:r>
            <w:r>
              <w:rPr>
                <w:rFonts w:ascii="Times New Roman" w:hAnsi="Times New Roman" w:eastAsia="Times New Roman" w:cs="Times New Roman"/>
                <w:spacing w:val="2"/>
                <w:sz w:val="20"/>
                <w:szCs w:val="20"/>
              </w:rPr>
              <w:t>5</w:t>
            </w:r>
          </w:p>
        </w:tc>
        <w:tc>
          <w:tcPr>
            <w:tcW w:w="1080" w:type="dxa"/>
            <w:vAlign w:val="top"/>
          </w:tcPr>
          <w:p w14:paraId="1B20A14C">
            <w:pPr>
              <w:spacing w:before="93"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.62</w:t>
            </w:r>
          </w:p>
        </w:tc>
        <w:tc>
          <w:tcPr>
            <w:tcW w:w="2040" w:type="dxa"/>
            <w:vAlign w:val="top"/>
          </w:tcPr>
          <w:p w14:paraId="115197BD">
            <w:pPr>
              <w:spacing w:before="93"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01185</w:t>
            </w:r>
          </w:p>
        </w:tc>
        <w:tc>
          <w:tcPr>
            <w:tcW w:w="1041" w:type="dxa"/>
            <w:tcBorders>
              <w:right w:val="nil"/>
            </w:tcBorders>
            <w:vAlign w:val="top"/>
          </w:tcPr>
          <w:p w14:paraId="59F97C8C">
            <w:pPr>
              <w:spacing w:before="9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.59</w:t>
            </w:r>
          </w:p>
        </w:tc>
      </w:tr>
      <w:tr w14:paraId="6CBB9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34" w:type="dxa"/>
            <w:gridSpan w:val="2"/>
            <w:tcBorders>
              <w:left w:val="nil"/>
            </w:tcBorders>
            <w:vAlign w:val="top"/>
          </w:tcPr>
          <w:p w14:paraId="7E6AD9D0">
            <w:pPr>
              <w:spacing w:before="63" w:line="228" w:lineRule="auto"/>
              <w:ind w:left="131"/>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风向最大落地点浓度</w:t>
            </w:r>
          </w:p>
        </w:tc>
        <w:tc>
          <w:tcPr>
            <w:tcW w:w="2025" w:type="dxa"/>
            <w:vAlign w:val="top"/>
          </w:tcPr>
          <w:p w14:paraId="66437A1B">
            <w:pPr>
              <w:spacing w:before="93"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08286</w:t>
            </w:r>
          </w:p>
        </w:tc>
        <w:tc>
          <w:tcPr>
            <w:tcW w:w="1080" w:type="dxa"/>
            <w:vAlign w:val="top"/>
          </w:tcPr>
          <w:p w14:paraId="65A281A2">
            <w:pPr>
              <w:spacing w:before="9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2"/>
                <w:sz w:val="20"/>
                <w:szCs w:val="20"/>
              </w:rPr>
              <w:t>.21</w:t>
            </w:r>
          </w:p>
        </w:tc>
        <w:tc>
          <w:tcPr>
            <w:tcW w:w="2040" w:type="dxa"/>
            <w:vAlign w:val="top"/>
          </w:tcPr>
          <w:p w14:paraId="74C9E5A5">
            <w:pPr>
              <w:spacing w:before="92"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1749</w:t>
            </w:r>
          </w:p>
        </w:tc>
        <w:tc>
          <w:tcPr>
            <w:tcW w:w="1041" w:type="dxa"/>
            <w:tcBorders>
              <w:right w:val="nil"/>
            </w:tcBorders>
            <w:vAlign w:val="top"/>
          </w:tcPr>
          <w:p w14:paraId="083A7C20">
            <w:pPr>
              <w:spacing w:before="93"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.75</w:t>
            </w:r>
          </w:p>
        </w:tc>
      </w:tr>
      <w:tr w14:paraId="32DB4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34" w:type="dxa"/>
            <w:gridSpan w:val="2"/>
            <w:tcBorders>
              <w:left w:val="nil"/>
            </w:tcBorders>
            <w:vAlign w:val="top"/>
          </w:tcPr>
          <w:p w14:paraId="21E834AB">
            <w:pPr>
              <w:spacing w:before="19" w:line="281" w:lineRule="exact"/>
              <w:ind w:left="144"/>
              <w:rPr>
                <w:rFonts w:ascii="Times New Roman" w:hAnsi="Times New Roman" w:eastAsia="Times New Roman" w:cs="Times New Roman"/>
                <w:sz w:val="20"/>
                <w:szCs w:val="20"/>
              </w:rPr>
            </w:pPr>
            <w:r>
              <w:rPr>
                <w:rFonts w:ascii="宋体" w:hAnsi="宋体" w:eastAsia="宋体" w:cs="宋体"/>
                <w:spacing w:val="-2"/>
                <w:position w:val="2"/>
                <w:sz w:val="20"/>
                <w:szCs w:val="20"/>
              </w:rPr>
              <w:t>最大落地点浓度距离</w:t>
            </w:r>
            <w:r>
              <w:rPr>
                <w:rFonts w:ascii="Times New Roman" w:hAnsi="Times New Roman" w:eastAsia="Times New Roman" w:cs="Times New Roman"/>
                <w:spacing w:val="-1"/>
                <w:position w:val="2"/>
                <w:sz w:val="20"/>
                <w:szCs w:val="20"/>
              </w:rPr>
              <w:t>(m)</w:t>
            </w:r>
          </w:p>
        </w:tc>
        <w:tc>
          <w:tcPr>
            <w:tcW w:w="6186" w:type="dxa"/>
            <w:gridSpan w:val="4"/>
            <w:tcBorders>
              <w:right w:val="nil"/>
            </w:tcBorders>
            <w:vAlign w:val="top"/>
          </w:tcPr>
          <w:p w14:paraId="5D71ED68">
            <w:pPr>
              <w:spacing w:before="92" w:line="195" w:lineRule="auto"/>
              <w:ind w:left="29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r>
    </w:tbl>
    <w:p w14:paraId="5DAE1CBB">
      <w:pPr>
        <w:rPr>
          <w:rFonts w:ascii="Arial"/>
          <w:sz w:val="21"/>
        </w:rPr>
      </w:pPr>
    </w:p>
    <w:p w14:paraId="2FF01B8F">
      <w:pPr>
        <w:sectPr>
          <w:headerReference r:id="rId211" w:type="default"/>
          <w:footerReference r:id="rId212" w:type="default"/>
          <w:pgSz w:w="11906" w:h="16839"/>
          <w:pgMar w:top="1132" w:right="1692" w:bottom="1182" w:left="1693" w:header="878" w:footer="1022" w:gutter="0"/>
          <w:cols w:space="720" w:num="1"/>
        </w:sectPr>
      </w:pPr>
    </w:p>
    <w:p w14:paraId="685B783C">
      <w:pPr>
        <w:spacing w:line="369" w:lineRule="auto"/>
        <w:rPr>
          <w:rFonts w:ascii="Arial"/>
          <w:sz w:val="21"/>
        </w:rPr>
      </w:pPr>
      <w:r>
        <w:pict>
          <v:shape id="_x0000_s1259" o:spid="_x0000_s1259" style="position:absolute;left:0pt;margin-left:90pt;margin-top:57.35pt;height:0.75pt;width:415.3pt;mso-position-horizontal-relative:page;mso-position-vertical-relative:page;z-index:251918336;mso-width-relative:page;mso-height-relative:page;" fillcolor="#000000" filled="t" stroked="f" coordsize="8305,15" o:allowincell="f" path="m0,0l8305,0,8305,14,0,14,0,0xe">
            <v:path/>
            <v:fill on="t" focussize="0,0"/>
            <v:stroke on="f"/>
            <v:imagedata o:title=""/>
            <o:lock v:ext="edit"/>
          </v:shape>
        </w:pict>
      </w:r>
    </w:p>
    <w:p w14:paraId="2352B828">
      <w:pPr>
        <w:spacing w:before="75" w:line="386" w:lineRule="auto"/>
        <w:ind w:left="116" w:right="98" w:firstLine="480"/>
        <w:rPr>
          <w:rFonts w:ascii="宋体" w:hAnsi="宋体" w:eastAsia="宋体" w:cs="宋体"/>
          <w:sz w:val="23"/>
          <w:szCs w:val="23"/>
        </w:rPr>
      </w:pPr>
      <w:r>
        <w:rPr>
          <w:rFonts w:ascii="宋体" w:hAnsi="宋体" w:eastAsia="宋体" w:cs="宋体"/>
          <w:spacing w:val="16"/>
          <w:sz w:val="23"/>
          <w:szCs w:val="23"/>
        </w:rPr>
        <w:t>根据</w:t>
      </w:r>
      <w:r>
        <w:rPr>
          <w:rFonts w:ascii="宋体" w:hAnsi="宋体" w:eastAsia="宋体" w:cs="宋体"/>
          <w:spacing w:val="12"/>
          <w:sz w:val="23"/>
          <w:szCs w:val="23"/>
        </w:rPr>
        <w:t>预</w:t>
      </w:r>
      <w:r>
        <w:rPr>
          <w:rFonts w:ascii="宋体" w:hAnsi="宋体" w:eastAsia="宋体" w:cs="宋体"/>
          <w:spacing w:val="8"/>
          <w:sz w:val="23"/>
          <w:szCs w:val="23"/>
        </w:rPr>
        <w:t>测结果，</w:t>
      </w:r>
      <w:r>
        <w:rPr>
          <w:rFonts w:ascii="Times New Roman" w:hAnsi="Times New Roman" w:eastAsia="Times New Roman" w:cs="Times New Roman"/>
          <w:spacing w:val="8"/>
          <w:sz w:val="23"/>
          <w:szCs w:val="23"/>
        </w:rPr>
        <w:t>1#</w:t>
      </w:r>
      <w:r>
        <w:rPr>
          <w:rFonts w:ascii="宋体" w:hAnsi="宋体" w:eastAsia="宋体" w:cs="宋体"/>
          <w:spacing w:val="8"/>
          <w:sz w:val="23"/>
          <w:szCs w:val="23"/>
        </w:rPr>
        <w:t>排气筒、</w:t>
      </w:r>
      <w:r>
        <w:rPr>
          <w:rFonts w:ascii="Times New Roman" w:hAnsi="Times New Roman" w:eastAsia="Times New Roman" w:cs="Times New Roman"/>
          <w:spacing w:val="8"/>
          <w:sz w:val="23"/>
          <w:szCs w:val="23"/>
        </w:rPr>
        <w:t>2#</w:t>
      </w:r>
      <w:r>
        <w:rPr>
          <w:rFonts w:ascii="宋体" w:hAnsi="宋体" w:eastAsia="宋体" w:cs="宋体"/>
          <w:spacing w:val="8"/>
          <w:sz w:val="23"/>
          <w:szCs w:val="23"/>
        </w:rPr>
        <w:t xml:space="preserve">排气筒有组织排放的 </w:t>
      </w:r>
      <w:r>
        <w:rPr>
          <w:rFonts w:ascii="Times New Roman" w:hAnsi="Times New Roman" w:eastAsia="Times New Roman" w:cs="Times New Roman"/>
          <w:sz w:val="23"/>
          <w:szCs w:val="23"/>
        </w:rPr>
        <w:t>NMHC</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下风向最大落地</w:t>
      </w:r>
      <w:r>
        <w:rPr>
          <w:rFonts w:ascii="宋体" w:hAnsi="宋体" w:eastAsia="宋体" w:cs="宋体"/>
          <w:sz w:val="23"/>
          <w:szCs w:val="23"/>
        </w:rPr>
        <w:t xml:space="preserve"> </w:t>
      </w:r>
      <w:r>
        <w:rPr>
          <w:rFonts w:ascii="宋体" w:hAnsi="宋体" w:eastAsia="宋体" w:cs="宋体"/>
          <w:spacing w:val="8"/>
          <w:sz w:val="23"/>
          <w:szCs w:val="23"/>
        </w:rPr>
        <w:t xml:space="preserve">浓度均为 </w:t>
      </w:r>
      <w:r>
        <w:rPr>
          <w:rFonts w:ascii="Times New Roman" w:hAnsi="Times New Roman" w:eastAsia="Times New Roman" w:cs="Times New Roman"/>
          <w:spacing w:val="6"/>
          <w:sz w:val="23"/>
          <w:szCs w:val="23"/>
        </w:rPr>
        <w:t>0</w:t>
      </w:r>
      <w:r>
        <w:rPr>
          <w:rFonts w:ascii="Times New Roman" w:hAnsi="Times New Roman" w:eastAsia="Times New Roman" w:cs="Times New Roman"/>
          <w:spacing w:val="4"/>
          <w:sz w:val="23"/>
          <w:szCs w:val="23"/>
        </w:rPr>
        <w:t>.0044065</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3"/>
          <w:szCs w:val="23"/>
        </w:rPr>
        <w:t xml:space="preserve">， 占标率为 </w:t>
      </w:r>
      <w:r>
        <w:rPr>
          <w:rFonts w:ascii="Times New Roman" w:hAnsi="Times New Roman" w:eastAsia="Times New Roman" w:cs="Times New Roman"/>
          <w:spacing w:val="4"/>
          <w:sz w:val="23"/>
          <w:szCs w:val="23"/>
        </w:rPr>
        <w:t>0.20%</w:t>
      </w:r>
      <w:r>
        <w:rPr>
          <w:rFonts w:ascii="宋体" w:hAnsi="宋体" w:eastAsia="宋体" w:cs="宋体"/>
          <w:spacing w:val="4"/>
          <w:sz w:val="23"/>
          <w:szCs w:val="23"/>
        </w:rPr>
        <w:t>；</w:t>
      </w:r>
      <w:r>
        <w:rPr>
          <w:rFonts w:ascii="Times New Roman" w:hAnsi="Times New Roman" w:eastAsia="Times New Roman" w:cs="Times New Roman"/>
          <w:spacing w:val="4"/>
          <w:sz w:val="23"/>
          <w:szCs w:val="23"/>
        </w:rPr>
        <w:t>3#</w:t>
      </w:r>
      <w:r>
        <w:rPr>
          <w:rFonts w:ascii="宋体" w:hAnsi="宋体" w:eastAsia="宋体" w:cs="宋体"/>
          <w:spacing w:val="4"/>
          <w:sz w:val="23"/>
          <w:szCs w:val="23"/>
        </w:rPr>
        <w:t>排气筒二氧化硫最大落地浓度</w:t>
      </w:r>
      <w:r>
        <w:rPr>
          <w:rFonts w:ascii="宋体" w:hAnsi="宋体" w:eastAsia="宋体" w:cs="宋体"/>
          <w:sz w:val="23"/>
          <w:szCs w:val="23"/>
        </w:rPr>
        <w:t xml:space="preserve"> </w:t>
      </w:r>
      <w:r>
        <w:rPr>
          <w:rFonts w:ascii="宋体" w:hAnsi="宋体" w:eastAsia="宋体" w:cs="宋体"/>
          <w:spacing w:val="-8"/>
          <w:sz w:val="23"/>
          <w:szCs w:val="23"/>
        </w:rPr>
        <w:t xml:space="preserve">是 </w:t>
      </w:r>
      <w:r>
        <w:rPr>
          <w:rFonts w:ascii="Times New Roman" w:hAnsi="Times New Roman" w:eastAsia="Times New Roman" w:cs="Times New Roman"/>
          <w:spacing w:val="-8"/>
          <w:sz w:val="23"/>
          <w:szCs w:val="23"/>
        </w:rPr>
        <w:t>0.02157mg/</w:t>
      </w:r>
      <w:r>
        <w:rPr>
          <w:rFonts w:ascii="Times New Roman" w:hAnsi="Times New Roman" w:eastAsia="Times New Roman" w:cs="Times New Roman"/>
          <w:spacing w:val="-4"/>
          <w:sz w:val="23"/>
          <w:szCs w:val="23"/>
        </w:rPr>
        <w:t>m</w:t>
      </w:r>
      <w:r>
        <w:rPr>
          <w:rFonts w:ascii="Times New Roman" w:hAnsi="Times New Roman" w:eastAsia="Times New Roman" w:cs="Times New Roman"/>
          <w:spacing w:val="-8"/>
          <w:position w:val="8"/>
          <w:sz w:val="15"/>
          <w:szCs w:val="15"/>
        </w:rPr>
        <w:t xml:space="preserve">3  </w:t>
      </w:r>
      <w:r>
        <w:rPr>
          <w:rFonts w:ascii="宋体" w:hAnsi="宋体" w:eastAsia="宋体" w:cs="宋体"/>
          <w:spacing w:val="-8"/>
          <w:sz w:val="23"/>
          <w:szCs w:val="23"/>
        </w:rPr>
        <w:t xml:space="preserve">，  占 标 百 分 比 </w:t>
      </w:r>
      <w:r>
        <w:rPr>
          <w:rFonts w:ascii="Times New Roman" w:hAnsi="Times New Roman" w:eastAsia="Times New Roman" w:cs="Times New Roman"/>
          <w:spacing w:val="-8"/>
          <w:sz w:val="23"/>
          <w:szCs w:val="23"/>
        </w:rPr>
        <w:t xml:space="preserve">4.31% </w:t>
      </w:r>
      <w:r>
        <w:rPr>
          <w:rFonts w:ascii="宋体" w:hAnsi="宋体" w:eastAsia="宋体" w:cs="宋体"/>
          <w:spacing w:val="-8"/>
          <w:sz w:val="23"/>
          <w:szCs w:val="23"/>
        </w:rPr>
        <w:t>，  二 氧 化 氮 最 大 落 地 浓 度 是</w:t>
      </w:r>
      <w:r>
        <w:rPr>
          <w:rFonts w:ascii="宋体" w:hAnsi="宋体" w:eastAsia="宋体" w:cs="宋体"/>
          <w:sz w:val="23"/>
          <w:szCs w:val="23"/>
        </w:rPr>
        <w:t xml:space="preserve"> </w:t>
      </w:r>
      <w:r>
        <w:rPr>
          <w:rFonts w:ascii="Times New Roman" w:hAnsi="Times New Roman" w:eastAsia="Times New Roman" w:cs="Times New Roman"/>
          <w:spacing w:val="5"/>
          <w:sz w:val="23"/>
          <w:szCs w:val="23"/>
        </w:rPr>
        <w:t>0.01301</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 xml:space="preserve">，  占标百分比 </w:t>
      </w:r>
      <w:r>
        <w:rPr>
          <w:rFonts w:ascii="Times New Roman" w:hAnsi="Times New Roman" w:eastAsia="Times New Roman" w:cs="Times New Roman"/>
          <w:spacing w:val="5"/>
          <w:sz w:val="23"/>
          <w:szCs w:val="23"/>
        </w:rPr>
        <w:t xml:space="preserve">6.50% </w:t>
      </w:r>
      <w:r>
        <w:rPr>
          <w:rFonts w:ascii="宋体" w:hAnsi="宋体" w:eastAsia="宋体" w:cs="宋体"/>
          <w:spacing w:val="5"/>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5"/>
          <w:position w:val="-1"/>
          <w:sz w:val="15"/>
          <w:szCs w:val="15"/>
        </w:rPr>
        <w:t xml:space="preserve">10 </w:t>
      </w:r>
      <w:r>
        <w:rPr>
          <w:rFonts w:ascii="宋体" w:hAnsi="宋体" w:eastAsia="宋体" w:cs="宋体"/>
          <w:spacing w:val="5"/>
          <w:sz w:val="23"/>
          <w:szCs w:val="23"/>
        </w:rPr>
        <w:t xml:space="preserve">最大落地浓度是 </w:t>
      </w:r>
      <w:r>
        <w:rPr>
          <w:rFonts w:ascii="Times New Roman" w:hAnsi="Times New Roman" w:eastAsia="Times New Roman" w:cs="Times New Roman"/>
          <w:spacing w:val="5"/>
          <w:sz w:val="23"/>
          <w:szCs w:val="23"/>
        </w:rPr>
        <w:t>0.0001027</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宋体" w:hAnsi="宋体" w:eastAsia="宋体" w:cs="宋体"/>
          <w:sz w:val="23"/>
          <w:szCs w:val="23"/>
        </w:rPr>
        <w:t xml:space="preserve">， </w:t>
      </w:r>
      <w:r>
        <w:rPr>
          <w:rFonts w:ascii="宋体" w:hAnsi="宋体" w:eastAsia="宋体" w:cs="宋体"/>
          <w:spacing w:val="25"/>
          <w:sz w:val="23"/>
          <w:szCs w:val="23"/>
        </w:rPr>
        <w:t>占</w:t>
      </w:r>
      <w:r>
        <w:rPr>
          <w:rFonts w:ascii="宋体" w:hAnsi="宋体" w:eastAsia="宋体" w:cs="宋体"/>
          <w:spacing w:val="13"/>
          <w:sz w:val="23"/>
          <w:szCs w:val="23"/>
        </w:rPr>
        <w:t xml:space="preserve">标百分比 </w:t>
      </w:r>
      <w:r>
        <w:rPr>
          <w:rFonts w:ascii="Times New Roman" w:hAnsi="Times New Roman" w:eastAsia="Times New Roman" w:cs="Times New Roman"/>
          <w:spacing w:val="13"/>
          <w:sz w:val="23"/>
          <w:szCs w:val="23"/>
        </w:rPr>
        <w:t xml:space="preserve">0.02% </w:t>
      </w:r>
      <w:r>
        <w:rPr>
          <w:rFonts w:ascii="宋体" w:hAnsi="宋体" w:eastAsia="宋体" w:cs="宋体"/>
          <w:spacing w:val="13"/>
          <w:sz w:val="23"/>
          <w:szCs w:val="23"/>
        </w:rPr>
        <w:t xml:space="preserve">；无组织排放的 </w:t>
      </w:r>
      <w:r>
        <w:rPr>
          <w:rFonts w:ascii="Times New Roman" w:hAnsi="Times New Roman" w:eastAsia="Times New Roman" w:cs="Times New Roman"/>
          <w:sz w:val="23"/>
          <w:szCs w:val="23"/>
        </w:rPr>
        <w:t>TSP</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w:t>
      </w:r>
      <w:r>
        <w:rPr>
          <w:rFonts w:ascii="Times New Roman" w:hAnsi="Times New Roman" w:eastAsia="Times New Roman" w:cs="Times New Roman"/>
          <w:sz w:val="23"/>
          <w:szCs w:val="23"/>
        </w:rPr>
        <w:t>NMHC</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下风向最大落地浓度分别为</w:t>
      </w:r>
      <w:r>
        <w:rPr>
          <w:rFonts w:ascii="宋体" w:hAnsi="宋体" w:eastAsia="宋体" w:cs="宋体"/>
          <w:sz w:val="23"/>
          <w:szCs w:val="23"/>
        </w:rPr>
        <w:t xml:space="preserve"> </w:t>
      </w:r>
      <w:r>
        <w:rPr>
          <w:rFonts w:ascii="Times New Roman" w:hAnsi="Times New Roman" w:eastAsia="Times New Roman" w:cs="Times New Roman"/>
          <w:spacing w:val="-2"/>
          <w:sz w:val="23"/>
          <w:szCs w:val="23"/>
        </w:rPr>
        <w:t>0.08286</w:t>
      </w:r>
      <w:r>
        <w:rPr>
          <w:rFonts w:ascii="Times New Roman" w:hAnsi="Times New Roman" w:eastAsia="Times New Roman" w:cs="Times New Roman"/>
          <w:spacing w:val="-1"/>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w:t>
      </w:r>
      <w:r>
        <w:rPr>
          <w:rFonts w:ascii="Times New Roman" w:hAnsi="Times New Roman" w:eastAsia="Times New Roman" w:cs="Times New Roman"/>
          <w:spacing w:val="-2"/>
          <w:sz w:val="23"/>
          <w:szCs w:val="23"/>
        </w:rPr>
        <w:t>0. 1749</w:t>
      </w:r>
      <w:r>
        <w:rPr>
          <w:rFonts w:ascii="Times New Roman" w:hAnsi="Times New Roman" w:eastAsia="Times New Roman" w:cs="Times New Roman"/>
          <w:spacing w:val="-1"/>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 xml:space="preserve">， 占标率分别为 </w:t>
      </w:r>
      <w:r>
        <w:rPr>
          <w:rFonts w:ascii="Times New Roman" w:hAnsi="Times New Roman" w:eastAsia="Times New Roman" w:cs="Times New Roman"/>
          <w:spacing w:val="-2"/>
          <w:sz w:val="23"/>
          <w:szCs w:val="23"/>
        </w:rPr>
        <w:t xml:space="preserve">9.21% </w:t>
      </w:r>
      <w:r>
        <w:rPr>
          <w:rFonts w:ascii="宋体" w:hAnsi="宋体" w:eastAsia="宋体" w:cs="宋体"/>
          <w:spacing w:val="-2"/>
          <w:sz w:val="23"/>
          <w:szCs w:val="23"/>
        </w:rPr>
        <w:t>、</w:t>
      </w:r>
      <w:r>
        <w:rPr>
          <w:rFonts w:ascii="Times New Roman" w:hAnsi="Times New Roman" w:eastAsia="Times New Roman" w:cs="Times New Roman"/>
          <w:spacing w:val="-2"/>
          <w:sz w:val="23"/>
          <w:szCs w:val="23"/>
        </w:rPr>
        <w:t>8</w:t>
      </w:r>
      <w:r>
        <w:rPr>
          <w:rFonts w:ascii="Times New Roman" w:hAnsi="Times New Roman" w:eastAsia="Times New Roman" w:cs="Times New Roman"/>
          <w:spacing w:val="-1"/>
          <w:sz w:val="23"/>
          <w:szCs w:val="23"/>
        </w:rPr>
        <w:t>.75%</w:t>
      </w:r>
      <w:r>
        <w:rPr>
          <w:rFonts w:ascii="宋体" w:hAnsi="宋体" w:eastAsia="宋体" w:cs="宋体"/>
          <w:spacing w:val="-1"/>
          <w:sz w:val="23"/>
          <w:szCs w:val="23"/>
        </w:rPr>
        <w:t xml:space="preserve">；项目建设地区 </w:t>
      </w:r>
      <w:r>
        <w:rPr>
          <w:rFonts w:ascii="Times New Roman" w:hAnsi="Times New Roman" w:eastAsia="Times New Roman" w:cs="Times New Roman"/>
          <w:spacing w:val="-1"/>
          <w:sz w:val="23"/>
          <w:szCs w:val="23"/>
        </w:rPr>
        <w:t>TSP</w:t>
      </w:r>
      <w:r>
        <w:rPr>
          <w:rFonts w:ascii="Times New Roman" w:hAnsi="Times New Roman" w:eastAsia="Times New Roman" w:cs="Times New Roman"/>
          <w:sz w:val="23"/>
          <w:szCs w:val="23"/>
        </w:rPr>
        <w:t xml:space="preserve"> </w:t>
      </w:r>
      <w:r>
        <w:rPr>
          <w:rFonts w:ascii="宋体" w:hAnsi="宋体" w:eastAsia="宋体" w:cs="宋体"/>
          <w:spacing w:val="8"/>
          <w:sz w:val="23"/>
          <w:szCs w:val="23"/>
        </w:rPr>
        <w:t>浓度值低于《环</w:t>
      </w:r>
      <w:r>
        <w:rPr>
          <w:rFonts w:ascii="宋体" w:hAnsi="宋体" w:eastAsia="宋体" w:cs="宋体"/>
          <w:spacing w:val="7"/>
          <w:sz w:val="23"/>
          <w:szCs w:val="23"/>
        </w:rPr>
        <w:t>境</w:t>
      </w:r>
      <w:r>
        <w:rPr>
          <w:rFonts w:ascii="宋体" w:hAnsi="宋体" w:eastAsia="宋体" w:cs="宋体"/>
          <w:spacing w:val="4"/>
          <w:sz w:val="23"/>
          <w:szCs w:val="23"/>
        </w:rPr>
        <w:t>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3095-2012</w:t>
      </w:r>
      <w:r>
        <w:rPr>
          <w:rFonts w:ascii="宋体" w:hAnsi="宋体" w:eastAsia="宋体" w:cs="宋体"/>
          <w:spacing w:val="4"/>
          <w:sz w:val="23"/>
          <w:szCs w:val="23"/>
        </w:rPr>
        <w:t>) 及其修改单的公告 (生态环</w:t>
      </w:r>
      <w:r>
        <w:rPr>
          <w:rFonts w:ascii="宋体" w:hAnsi="宋体" w:eastAsia="宋体" w:cs="宋体"/>
          <w:sz w:val="23"/>
          <w:szCs w:val="23"/>
        </w:rPr>
        <w:t xml:space="preserve"> </w:t>
      </w:r>
      <w:r>
        <w:rPr>
          <w:rFonts w:ascii="宋体" w:hAnsi="宋体" w:eastAsia="宋体" w:cs="宋体"/>
          <w:spacing w:val="2"/>
          <w:sz w:val="23"/>
          <w:szCs w:val="23"/>
        </w:rPr>
        <w:t xml:space="preserve">境部公告，公告 </w:t>
      </w:r>
      <w:r>
        <w:rPr>
          <w:rFonts w:ascii="Times New Roman" w:hAnsi="Times New Roman" w:eastAsia="Times New Roman" w:cs="Times New Roman"/>
          <w:spacing w:val="2"/>
          <w:sz w:val="23"/>
          <w:szCs w:val="23"/>
        </w:rPr>
        <w:t xml:space="preserve">2018 </w:t>
      </w:r>
      <w:r>
        <w:rPr>
          <w:rFonts w:ascii="宋体" w:hAnsi="宋体" w:eastAsia="宋体" w:cs="宋体"/>
          <w:spacing w:val="2"/>
          <w:sz w:val="23"/>
          <w:szCs w:val="23"/>
        </w:rPr>
        <w:t xml:space="preserve">年第 </w:t>
      </w:r>
      <w:r>
        <w:rPr>
          <w:rFonts w:ascii="Times New Roman" w:hAnsi="Times New Roman" w:eastAsia="Times New Roman" w:cs="Times New Roman"/>
          <w:spacing w:val="2"/>
          <w:sz w:val="23"/>
          <w:szCs w:val="23"/>
        </w:rPr>
        <w:t xml:space="preserve">29 </w:t>
      </w:r>
      <w:r>
        <w:rPr>
          <w:rFonts w:ascii="宋体" w:hAnsi="宋体" w:eastAsia="宋体" w:cs="宋体"/>
          <w:spacing w:val="2"/>
          <w:sz w:val="23"/>
          <w:szCs w:val="23"/>
        </w:rPr>
        <w:t>号，</w:t>
      </w:r>
      <w:r>
        <w:rPr>
          <w:rFonts w:ascii="Times New Roman" w:hAnsi="Times New Roman" w:eastAsia="Times New Roman" w:cs="Times New Roman"/>
          <w:spacing w:val="2"/>
          <w:sz w:val="23"/>
          <w:szCs w:val="23"/>
        </w:rPr>
        <w:t xml:space="preserve">2018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8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13 </w:t>
      </w:r>
      <w:r>
        <w:rPr>
          <w:rFonts w:ascii="宋体" w:hAnsi="宋体" w:eastAsia="宋体" w:cs="宋体"/>
          <w:spacing w:val="1"/>
          <w:sz w:val="23"/>
          <w:szCs w:val="23"/>
        </w:rPr>
        <w:t>日) 中二级标准要求，</w:t>
      </w:r>
      <w:r>
        <w:rPr>
          <w:rFonts w:ascii="Times New Roman" w:hAnsi="Times New Roman" w:eastAsia="Times New Roman" w:cs="Times New Roman"/>
          <w:sz w:val="23"/>
          <w:szCs w:val="23"/>
        </w:rPr>
        <w:t xml:space="preserve">NMHC </w:t>
      </w:r>
      <w:r>
        <w:rPr>
          <w:rFonts w:ascii="宋体" w:hAnsi="宋体" w:eastAsia="宋体" w:cs="宋体"/>
          <w:spacing w:val="16"/>
          <w:sz w:val="23"/>
          <w:szCs w:val="23"/>
        </w:rPr>
        <w:t>浓</w:t>
      </w:r>
      <w:r>
        <w:rPr>
          <w:rFonts w:ascii="宋体" w:hAnsi="宋体" w:eastAsia="宋体" w:cs="宋体"/>
          <w:spacing w:val="9"/>
          <w:sz w:val="23"/>
          <w:szCs w:val="23"/>
        </w:rPr>
        <w:t>度值低于《大气污染物综合排放标准详解》中浓度要求。</w:t>
      </w:r>
    </w:p>
    <w:p w14:paraId="0D438441">
      <w:pPr>
        <w:spacing w:before="187" w:line="225" w:lineRule="auto"/>
        <w:ind w:left="595"/>
        <w:rPr>
          <w:rFonts w:ascii="宋体" w:hAnsi="宋体" w:eastAsia="宋体" w:cs="宋体"/>
          <w:sz w:val="23"/>
          <w:szCs w:val="23"/>
        </w:rPr>
      </w:pPr>
      <w:r>
        <w:rPr>
          <w:rFonts w:ascii="宋体" w:hAnsi="宋体" w:eastAsia="宋体" w:cs="宋体"/>
          <w:spacing w:val="10"/>
          <w:sz w:val="23"/>
          <w:szCs w:val="23"/>
        </w:rPr>
        <w:t>⑤</w:t>
      </w:r>
      <w:r>
        <w:rPr>
          <w:rFonts w:ascii="宋体" w:hAnsi="宋体" w:eastAsia="宋体" w:cs="宋体"/>
          <w:spacing w:val="9"/>
          <w:sz w:val="23"/>
          <w:szCs w:val="23"/>
        </w:rPr>
        <w:t>大气评价等级判定</w:t>
      </w:r>
    </w:p>
    <w:p w14:paraId="1310D4DB">
      <w:pPr>
        <w:spacing w:line="279" w:lineRule="auto"/>
        <w:rPr>
          <w:rFonts w:ascii="Arial"/>
          <w:sz w:val="21"/>
        </w:rPr>
      </w:pPr>
    </w:p>
    <w:p w14:paraId="6246D1A4">
      <w:pPr>
        <w:spacing w:before="75" w:line="392" w:lineRule="auto"/>
        <w:ind w:left="118" w:right="105" w:firstLine="479"/>
        <w:rPr>
          <w:rFonts w:ascii="宋体" w:hAnsi="宋体" w:eastAsia="宋体" w:cs="宋体"/>
          <w:sz w:val="23"/>
          <w:szCs w:val="23"/>
        </w:rPr>
      </w:pPr>
      <w:r>
        <w:rPr>
          <w:rFonts w:ascii="宋体" w:hAnsi="宋体" w:eastAsia="宋体" w:cs="宋体"/>
          <w:spacing w:val="14"/>
          <w:sz w:val="23"/>
          <w:szCs w:val="23"/>
        </w:rPr>
        <w:t>根据《</w:t>
      </w:r>
      <w:r>
        <w:rPr>
          <w:rFonts w:ascii="宋体" w:hAnsi="宋体" w:eastAsia="宋体" w:cs="宋体"/>
          <w:spacing w:val="12"/>
          <w:sz w:val="23"/>
          <w:szCs w:val="23"/>
        </w:rPr>
        <w:t>环</w:t>
      </w:r>
      <w:r>
        <w:rPr>
          <w:rFonts w:ascii="宋体" w:hAnsi="宋体" w:eastAsia="宋体" w:cs="宋体"/>
          <w:spacing w:val="7"/>
          <w:sz w:val="23"/>
          <w:szCs w:val="23"/>
        </w:rPr>
        <w:t>境影响评价技术导则 大气环境》  (</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2.2-2018</w:t>
      </w:r>
      <w:r>
        <w:rPr>
          <w:rFonts w:ascii="宋体" w:hAnsi="宋体" w:eastAsia="宋体" w:cs="宋体"/>
          <w:spacing w:val="7"/>
          <w:sz w:val="23"/>
          <w:szCs w:val="23"/>
        </w:rPr>
        <w:t>) 有关规定，将大</w:t>
      </w:r>
      <w:r>
        <w:rPr>
          <w:rFonts w:ascii="宋体" w:hAnsi="宋体" w:eastAsia="宋体" w:cs="宋体"/>
          <w:sz w:val="23"/>
          <w:szCs w:val="23"/>
        </w:rPr>
        <w:t xml:space="preserve"> </w:t>
      </w:r>
      <w:r>
        <w:rPr>
          <w:rFonts w:ascii="宋体" w:hAnsi="宋体" w:eastAsia="宋体" w:cs="宋体"/>
          <w:spacing w:val="8"/>
          <w:sz w:val="23"/>
          <w:szCs w:val="23"/>
        </w:rPr>
        <w:t>气环境影响</w:t>
      </w:r>
      <w:r>
        <w:rPr>
          <w:rFonts w:ascii="宋体" w:hAnsi="宋体" w:eastAsia="宋体" w:cs="宋体"/>
          <w:spacing w:val="6"/>
          <w:sz w:val="23"/>
          <w:szCs w:val="23"/>
        </w:rPr>
        <w:t>评</w:t>
      </w:r>
      <w:r>
        <w:rPr>
          <w:rFonts w:ascii="宋体" w:hAnsi="宋体" w:eastAsia="宋体" w:cs="宋体"/>
          <w:spacing w:val="4"/>
          <w:sz w:val="23"/>
          <w:szCs w:val="23"/>
        </w:rPr>
        <w:t xml:space="preserve">价工作等级分为一、二、三级，划分依据见表 </w:t>
      </w:r>
      <w:r>
        <w:rPr>
          <w:rFonts w:ascii="Times New Roman" w:hAnsi="Times New Roman" w:eastAsia="Times New Roman" w:cs="Times New Roman"/>
          <w:spacing w:val="4"/>
          <w:sz w:val="23"/>
          <w:szCs w:val="23"/>
        </w:rPr>
        <w:t>5- 12</w:t>
      </w:r>
      <w:r>
        <w:rPr>
          <w:rFonts w:ascii="宋体" w:hAnsi="宋体" w:eastAsia="宋体" w:cs="宋体"/>
          <w:spacing w:val="4"/>
          <w:sz w:val="23"/>
          <w:szCs w:val="23"/>
        </w:rPr>
        <w:t>。</w:t>
      </w:r>
    </w:p>
    <w:p w14:paraId="22484EB6">
      <w:pPr>
        <w:spacing w:before="138" w:line="226" w:lineRule="auto"/>
        <w:ind w:left="28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5"/>
          <w:sz w:val="23"/>
          <w:szCs w:val="23"/>
        </w:rPr>
        <w:t>1</w:t>
      </w:r>
      <w:r>
        <w:rPr>
          <w:rFonts w:ascii="Times New Roman" w:hAnsi="Times New Roman" w:eastAsia="Times New Roman" w:cs="Times New Roman"/>
          <w:b/>
          <w:bCs/>
          <w:spacing w:val="3"/>
          <w:sz w:val="23"/>
          <w:szCs w:val="23"/>
        </w:rPr>
        <w:t>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大气评价等级确定表</w:t>
      </w:r>
    </w:p>
    <w:p w14:paraId="0BC95448">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1"/>
        <w:gridCol w:w="4261"/>
      </w:tblGrid>
      <w:tr w14:paraId="7078F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61" w:type="dxa"/>
            <w:tcBorders>
              <w:left w:val="nil"/>
            </w:tcBorders>
            <w:vAlign w:val="top"/>
          </w:tcPr>
          <w:p w14:paraId="6E18C2F1">
            <w:pPr>
              <w:spacing w:before="75" w:line="226" w:lineRule="auto"/>
              <w:ind w:left="1248"/>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评</w:t>
            </w:r>
            <w:r>
              <w:rPr>
                <w:rFonts w:ascii="宋体" w:hAnsi="宋体" w:eastAsia="宋体" w:cs="宋体"/>
                <w:spacing w:val="20"/>
                <w:sz w:val="20"/>
                <w:szCs w:val="20"/>
                <w14:textOutline w14:w="3795" w14:cap="sq" w14:cmpd="sng">
                  <w14:solidFill>
                    <w14:srgbClr w14:val="000000"/>
                  </w14:solidFill>
                  <w14:prstDash w14:val="solid"/>
                  <w14:bevel/>
                </w14:textOutline>
              </w:rPr>
              <w:t>价工作等级判据</w:t>
            </w:r>
          </w:p>
        </w:tc>
        <w:tc>
          <w:tcPr>
            <w:tcW w:w="4261" w:type="dxa"/>
            <w:tcBorders>
              <w:right w:val="nil"/>
            </w:tcBorders>
            <w:vAlign w:val="top"/>
          </w:tcPr>
          <w:p w14:paraId="3F76A137">
            <w:pPr>
              <w:spacing w:before="75" w:line="226" w:lineRule="auto"/>
              <w:ind w:left="1467"/>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评</w:t>
            </w:r>
            <w:r>
              <w:rPr>
                <w:rFonts w:ascii="宋体" w:hAnsi="宋体" w:eastAsia="宋体" w:cs="宋体"/>
                <w:spacing w:val="19"/>
                <w:sz w:val="20"/>
                <w:szCs w:val="20"/>
                <w14:textOutline w14:w="3795" w14:cap="sq" w14:cmpd="sng">
                  <w14:solidFill>
                    <w14:srgbClr w14:val="000000"/>
                  </w14:solidFill>
                  <w14:prstDash w14:val="solid"/>
                  <w14:bevel/>
                </w14:textOutline>
              </w:rPr>
              <w:t>价工作等级</w:t>
            </w:r>
          </w:p>
        </w:tc>
      </w:tr>
      <w:tr w14:paraId="62662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261" w:type="dxa"/>
            <w:tcBorders>
              <w:left w:val="nil"/>
            </w:tcBorders>
            <w:vAlign w:val="top"/>
          </w:tcPr>
          <w:p w14:paraId="7271CC28">
            <w:pPr>
              <w:spacing w:before="23" w:line="281" w:lineRule="exact"/>
              <w:ind w:left="16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4"/>
                <w:position w:val="2"/>
                <w:sz w:val="20"/>
                <w:szCs w:val="20"/>
              </w:rPr>
              <w:t xml:space="preserve"> 10%</w:t>
            </w:r>
          </w:p>
        </w:tc>
        <w:tc>
          <w:tcPr>
            <w:tcW w:w="4261" w:type="dxa"/>
            <w:tcBorders>
              <w:right w:val="nil"/>
            </w:tcBorders>
            <w:vAlign w:val="top"/>
          </w:tcPr>
          <w:p w14:paraId="65236DEC">
            <w:pPr>
              <w:spacing w:before="61" w:line="273" w:lineRule="exact"/>
              <w:ind w:left="1915"/>
              <w:rPr>
                <w:rFonts w:ascii="宋体" w:hAnsi="宋体" w:eastAsia="宋体" w:cs="宋体"/>
                <w:sz w:val="20"/>
                <w:szCs w:val="20"/>
              </w:rPr>
            </w:pPr>
            <w:r>
              <w:rPr>
                <w:rFonts w:ascii="宋体" w:hAnsi="宋体" w:eastAsia="宋体" w:cs="宋体"/>
                <w:spacing w:val="10"/>
                <w:sz w:val="20"/>
                <w:szCs w:val="20"/>
              </w:rPr>
              <w:t>一级</w:t>
            </w:r>
          </w:p>
        </w:tc>
      </w:tr>
      <w:tr w14:paraId="535A4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261" w:type="dxa"/>
            <w:tcBorders>
              <w:left w:val="nil"/>
            </w:tcBorders>
            <w:vAlign w:val="top"/>
          </w:tcPr>
          <w:p w14:paraId="20335911">
            <w:pPr>
              <w:spacing w:before="25" w:line="281" w:lineRule="exact"/>
              <w:ind w:left="1450"/>
              <w:rPr>
                <w:rFonts w:ascii="Times New Roman" w:hAnsi="Times New Roman" w:eastAsia="Times New Roman" w:cs="Times New Roman"/>
                <w:sz w:val="20"/>
                <w:szCs w:val="20"/>
              </w:rPr>
            </w:pPr>
            <w:r>
              <w:rPr>
                <w:rFonts w:ascii="Times New Roman" w:hAnsi="Times New Roman" w:eastAsia="Times New Roman" w:cs="Times New Roman"/>
                <w:spacing w:val="11"/>
                <w:position w:val="2"/>
                <w:sz w:val="20"/>
                <w:szCs w:val="20"/>
              </w:rPr>
              <w:t>1</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spacing w:val="8"/>
                <w:position w:val="1"/>
                <w:sz w:val="13"/>
                <w:szCs w:val="13"/>
              </w:rPr>
              <w:t xml:space="preserve"> </w:t>
            </w:r>
            <w:r>
              <w:rPr>
                <w:rFonts w:ascii="宋体" w:hAnsi="宋体" w:eastAsia="宋体" w:cs="宋体"/>
                <w:spacing w:val="8"/>
                <w:position w:val="2"/>
                <w:sz w:val="20"/>
                <w:szCs w:val="20"/>
              </w:rPr>
              <w:t>＜</w:t>
            </w:r>
            <w:r>
              <w:rPr>
                <w:rFonts w:ascii="Times New Roman" w:hAnsi="Times New Roman" w:eastAsia="Times New Roman" w:cs="Times New Roman"/>
                <w:spacing w:val="8"/>
                <w:position w:val="2"/>
                <w:sz w:val="20"/>
                <w:szCs w:val="20"/>
              </w:rPr>
              <w:t>10%</w:t>
            </w:r>
          </w:p>
        </w:tc>
        <w:tc>
          <w:tcPr>
            <w:tcW w:w="4261" w:type="dxa"/>
            <w:tcBorders>
              <w:right w:val="nil"/>
            </w:tcBorders>
            <w:vAlign w:val="top"/>
          </w:tcPr>
          <w:p w14:paraId="0D2BD2D8">
            <w:pPr>
              <w:spacing w:before="63" w:line="230" w:lineRule="auto"/>
              <w:ind w:left="1915"/>
              <w:rPr>
                <w:rFonts w:ascii="宋体" w:hAnsi="宋体" w:eastAsia="宋体" w:cs="宋体"/>
                <w:sz w:val="20"/>
                <w:szCs w:val="20"/>
              </w:rPr>
            </w:pPr>
            <w:r>
              <w:rPr>
                <w:rFonts w:ascii="宋体" w:hAnsi="宋体" w:eastAsia="宋体" w:cs="宋体"/>
                <w:spacing w:val="9"/>
                <w:sz w:val="20"/>
                <w:szCs w:val="20"/>
              </w:rPr>
              <w:t>二级</w:t>
            </w:r>
          </w:p>
        </w:tc>
      </w:tr>
      <w:tr w14:paraId="70719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261" w:type="dxa"/>
            <w:tcBorders>
              <w:left w:val="nil"/>
            </w:tcBorders>
            <w:vAlign w:val="top"/>
          </w:tcPr>
          <w:p w14:paraId="4B6D0013">
            <w:pPr>
              <w:spacing w:before="27" w:line="281" w:lineRule="exact"/>
              <w:ind w:left="16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spacing w:val="10"/>
                <w:position w:val="1"/>
                <w:sz w:val="13"/>
                <w:szCs w:val="13"/>
              </w:rPr>
              <w:t xml:space="preserve"> </w:t>
            </w:r>
            <w:r>
              <w:rPr>
                <w:rFonts w:ascii="宋体" w:hAnsi="宋体" w:eastAsia="宋体" w:cs="宋体"/>
                <w:spacing w:val="10"/>
                <w:position w:val="2"/>
                <w:sz w:val="20"/>
                <w:szCs w:val="20"/>
              </w:rPr>
              <w:t>＜</w:t>
            </w:r>
            <w:r>
              <w:rPr>
                <w:rFonts w:ascii="Times New Roman" w:hAnsi="Times New Roman" w:eastAsia="Times New Roman" w:cs="Times New Roman"/>
                <w:spacing w:val="10"/>
                <w:position w:val="2"/>
                <w:sz w:val="20"/>
                <w:szCs w:val="20"/>
              </w:rPr>
              <w:t>1</w:t>
            </w:r>
            <w:r>
              <w:rPr>
                <w:rFonts w:ascii="Times New Roman" w:hAnsi="Times New Roman" w:eastAsia="Times New Roman" w:cs="Times New Roman"/>
                <w:spacing w:val="9"/>
                <w:position w:val="2"/>
                <w:sz w:val="20"/>
                <w:szCs w:val="20"/>
              </w:rPr>
              <w:t>%</w:t>
            </w:r>
          </w:p>
        </w:tc>
        <w:tc>
          <w:tcPr>
            <w:tcW w:w="4261" w:type="dxa"/>
            <w:tcBorders>
              <w:right w:val="nil"/>
            </w:tcBorders>
            <w:vAlign w:val="top"/>
          </w:tcPr>
          <w:p w14:paraId="4C652D51">
            <w:pPr>
              <w:spacing w:before="64" w:line="230" w:lineRule="auto"/>
              <w:ind w:left="1912"/>
              <w:rPr>
                <w:rFonts w:ascii="宋体" w:hAnsi="宋体" w:eastAsia="宋体" w:cs="宋体"/>
                <w:sz w:val="20"/>
                <w:szCs w:val="20"/>
              </w:rPr>
            </w:pPr>
            <w:r>
              <w:rPr>
                <w:rFonts w:ascii="宋体" w:hAnsi="宋体" w:eastAsia="宋体" w:cs="宋体"/>
                <w:spacing w:val="11"/>
                <w:sz w:val="20"/>
                <w:szCs w:val="20"/>
              </w:rPr>
              <w:t>三</w:t>
            </w:r>
            <w:r>
              <w:rPr>
                <w:rFonts w:ascii="宋体" w:hAnsi="宋体" w:eastAsia="宋体" w:cs="宋体"/>
                <w:spacing w:val="10"/>
                <w:sz w:val="20"/>
                <w:szCs w:val="20"/>
              </w:rPr>
              <w:t>级</w:t>
            </w:r>
          </w:p>
        </w:tc>
      </w:tr>
    </w:tbl>
    <w:p w14:paraId="4D068D29">
      <w:pPr>
        <w:spacing w:before="292" w:line="397" w:lineRule="auto"/>
        <w:ind w:left="120" w:right="105" w:firstLine="476"/>
        <w:rPr>
          <w:rFonts w:ascii="宋体" w:hAnsi="宋体" w:eastAsia="宋体" w:cs="宋体"/>
          <w:sz w:val="23"/>
          <w:szCs w:val="23"/>
        </w:rPr>
      </w:pPr>
      <w:r>
        <w:rPr>
          <w:rFonts w:ascii="宋体" w:hAnsi="宋体" w:eastAsia="宋体" w:cs="宋体"/>
          <w:spacing w:val="2"/>
          <w:sz w:val="23"/>
          <w:szCs w:val="23"/>
        </w:rPr>
        <w:t xml:space="preserve">评价工作等级按表 </w:t>
      </w:r>
      <w:r>
        <w:rPr>
          <w:rFonts w:ascii="Times New Roman" w:hAnsi="Times New Roman" w:eastAsia="Times New Roman" w:cs="Times New Roman"/>
          <w:spacing w:val="2"/>
          <w:sz w:val="23"/>
          <w:szCs w:val="23"/>
        </w:rPr>
        <w:t xml:space="preserve">5- 12 </w:t>
      </w:r>
      <w:r>
        <w:rPr>
          <w:rFonts w:ascii="宋体" w:hAnsi="宋体" w:eastAsia="宋体" w:cs="宋体"/>
          <w:spacing w:val="2"/>
          <w:sz w:val="23"/>
          <w:szCs w:val="23"/>
        </w:rPr>
        <w:t>的分级判据进行划分，如污染物</w:t>
      </w:r>
      <w:r>
        <w:rPr>
          <w:rFonts w:ascii="宋体" w:hAnsi="宋体" w:eastAsia="宋体" w:cs="宋体"/>
          <w:spacing w:val="1"/>
          <w:sz w:val="23"/>
          <w:szCs w:val="23"/>
        </w:rPr>
        <w:t xml:space="preserve"> </w:t>
      </w:r>
      <w:r>
        <w:rPr>
          <w:rFonts w:ascii="Times New Roman" w:hAnsi="Times New Roman" w:eastAsia="Times New Roman" w:cs="Times New Roman"/>
          <w:sz w:val="23"/>
          <w:szCs w:val="23"/>
        </w:rPr>
        <w:t>i</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大于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，取 </w:t>
      </w:r>
      <w:r>
        <w:rPr>
          <w:rFonts w:ascii="Times New Roman" w:hAnsi="Times New Roman" w:eastAsia="Times New Roman" w:cs="Times New Roman"/>
          <w:sz w:val="23"/>
          <w:szCs w:val="23"/>
        </w:rPr>
        <w:t>Pi</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值</w:t>
      </w:r>
      <w:r>
        <w:rPr>
          <w:rFonts w:ascii="宋体" w:hAnsi="宋体" w:eastAsia="宋体" w:cs="宋体"/>
          <w:sz w:val="23"/>
          <w:szCs w:val="23"/>
        </w:rPr>
        <w:t xml:space="preserve"> </w:t>
      </w:r>
      <w:r>
        <w:rPr>
          <w:rFonts w:ascii="宋体" w:hAnsi="宋体" w:eastAsia="宋体" w:cs="宋体"/>
          <w:spacing w:val="22"/>
          <w:sz w:val="23"/>
          <w:szCs w:val="23"/>
        </w:rPr>
        <w:t>最</w:t>
      </w:r>
      <w:r>
        <w:rPr>
          <w:rFonts w:ascii="宋体" w:hAnsi="宋体" w:eastAsia="宋体" w:cs="宋体"/>
          <w:spacing w:val="14"/>
          <w:sz w:val="23"/>
          <w:szCs w:val="23"/>
        </w:rPr>
        <w:t>大</w:t>
      </w:r>
      <w:r>
        <w:rPr>
          <w:rFonts w:ascii="宋体" w:hAnsi="宋体" w:eastAsia="宋体" w:cs="宋体"/>
          <w:spacing w:val="11"/>
          <w:sz w:val="23"/>
          <w:szCs w:val="23"/>
        </w:rPr>
        <w:t>者 (</w:t>
      </w:r>
      <w:r>
        <w:rPr>
          <w:rFonts w:ascii="Times New Roman" w:hAnsi="Times New Roman" w:eastAsia="Times New Roman" w:cs="Times New Roman"/>
          <w:sz w:val="23"/>
          <w:szCs w:val="23"/>
        </w:rPr>
        <w:t>Pmax</w:t>
      </w:r>
      <w:r>
        <w:rPr>
          <w:rFonts w:ascii="宋体" w:hAnsi="宋体" w:eastAsia="宋体" w:cs="宋体"/>
          <w:spacing w:val="11"/>
          <w:sz w:val="23"/>
          <w:szCs w:val="23"/>
        </w:rPr>
        <w:t>) 。同一项目有多个 (两个以上，含两个) 污染源时，则按各污</w:t>
      </w:r>
      <w:r>
        <w:rPr>
          <w:rFonts w:ascii="宋体" w:hAnsi="宋体" w:eastAsia="宋体" w:cs="宋体"/>
          <w:sz w:val="23"/>
          <w:szCs w:val="23"/>
        </w:rPr>
        <w:t xml:space="preserve"> </w:t>
      </w:r>
      <w:r>
        <w:rPr>
          <w:rFonts w:ascii="宋体" w:hAnsi="宋体" w:eastAsia="宋体" w:cs="宋体"/>
          <w:spacing w:val="17"/>
          <w:sz w:val="23"/>
          <w:szCs w:val="23"/>
        </w:rPr>
        <w:t>染</w:t>
      </w:r>
      <w:r>
        <w:rPr>
          <w:rFonts w:ascii="宋体" w:hAnsi="宋体" w:eastAsia="宋体" w:cs="宋体"/>
          <w:spacing w:val="9"/>
          <w:sz w:val="23"/>
          <w:szCs w:val="23"/>
        </w:rPr>
        <w:t>源分别确定其评价等级，并取评价级别最高者作为项目的评价等级。</w:t>
      </w:r>
    </w:p>
    <w:p w14:paraId="5665B131">
      <w:pPr>
        <w:spacing w:before="155" w:line="389" w:lineRule="auto"/>
        <w:ind w:left="116" w:right="117" w:firstLine="506"/>
        <w:rPr>
          <w:rFonts w:ascii="宋体" w:hAnsi="宋体" w:eastAsia="宋体" w:cs="宋体"/>
          <w:sz w:val="23"/>
          <w:szCs w:val="23"/>
        </w:rPr>
      </w:pPr>
      <w:r>
        <w:rPr>
          <w:rFonts w:ascii="宋体" w:hAnsi="宋体" w:eastAsia="宋体" w:cs="宋体"/>
          <w:spacing w:val="21"/>
          <w:sz w:val="23"/>
          <w:szCs w:val="23"/>
        </w:rPr>
        <w:t>经计算，确定本项目大气评价等级为二级，《环境影响评价技术导则</w:t>
      </w:r>
      <w:r>
        <w:rPr>
          <w:rFonts w:ascii="宋体" w:hAnsi="宋体" w:eastAsia="宋体" w:cs="宋体"/>
          <w:spacing w:val="19"/>
          <w:sz w:val="23"/>
          <w:szCs w:val="23"/>
        </w:rPr>
        <w:t>大</w:t>
      </w:r>
      <w:r>
        <w:rPr>
          <w:rFonts w:ascii="宋体" w:hAnsi="宋体" w:eastAsia="宋体" w:cs="宋体"/>
          <w:sz w:val="23"/>
          <w:szCs w:val="23"/>
        </w:rPr>
        <w:t xml:space="preserve"> </w:t>
      </w:r>
      <w:r>
        <w:rPr>
          <w:rFonts w:ascii="宋体" w:hAnsi="宋体" w:eastAsia="宋体" w:cs="宋体"/>
          <w:spacing w:val="26"/>
          <w:sz w:val="23"/>
          <w:szCs w:val="23"/>
        </w:rPr>
        <w:t>气环</w:t>
      </w:r>
      <w:r>
        <w:rPr>
          <w:rFonts w:ascii="宋体" w:hAnsi="宋体" w:eastAsia="宋体" w:cs="宋体"/>
          <w:spacing w:val="18"/>
          <w:sz w:val="23"/>
          <w:szCs w:val="23"/>
        </w:rPr>
        <w:t>境</w:t>
      </w:r>
      <w:r>
        <w:rPr>
          <w:rFonts w:ascii="宋体" w:hAnsi="宋体" w:eastAsia="宋体" w:cs="宋体"/>
          <w:spacing w:val="13"/>
          <w:sz w:val="23"/>
          <w:szCs w:val="23"/>
        </w:rPr>
        <w:t>》  (</w:t>
      </w:r>
      <w:r>
        <w:rPr>
          <w:rFonts w:ascii="Times New Roman" w:hAnsi="Times New Roman" w:eastAsia="Times New Roman" w:cs="Times New Roman"/>
          <w:sz w:val="23"/>
          <w:szCs w:val="23"/>
        </w:rPr>
        <w:t>HJ</w:t>
      </w:r>
      <w:r>
        <w:rPr>
          <w:rFonts w:ascii="Times New Roman" w:hAnsi="Times New Roman" w:eastAsia="Times New Roman" w:cs="Times New Roman"/>
          <w:spacing w:val="13"/>
          <w:sz w:val="23"/>
          <w:szCs w:val="23"/>
        </w:rPr>
        <w:t>2.2-2018</w:t>
      </w:r>
      <w:r>
        <w:rPr>
          <w:rFonts w:ascii="宋体" w:hAnsi="宋体" w:eastAsia="宋体" w:cs="宋体"/>
          <w:spacing w:val="13"/>
          <w:sz w:val="23"/>
          <w:szCs w:val="23"/>
        </w:rPr>
        <w:t>) 中对大气环境影响预测与评价一般性要求为</w:t>
      </w:r>
      <w:r>
        <w:rPr>
          <w:rFonts w:ascii="Times New Roman" w:hAnsi="Times New Roman" w:eastAsia="Times New Roman" w:cs="Times New Roman"/>
          <w:spacing w:val="13"/>
          <w:sz w:val="23"/>
          <w:szCs w:val="23"/>
        </w:rPr>
        <w:t>“</w:t>
      </w:r>
      <w:r>
        <w:rPr>
          <w:rFonts w:ascii="宋体" w:hAnsi="宋体" w:eastAsia="宋体" w:cs="宋体"/>
          <w:spacing w:val="13"/>
          <w:sz w:val="23"/>
          <w:szCs w:val="23"/>
        </w:rPr>
        <w:t>二级评</w:t>
      </w:r>
      <w:r>
        <w:rPr>
          <w:rFonts w:ascii="宋体" w:hAnsi="宋体" w:eastAsia="宋体" w:cs="宋体"/>
          <w:sz w:val="23"/>
          <w:szCs w:val="23"/>
        </w:rPr>
        <w:t xml:space="preserve"> </w:t>
      </w:r>
      <w:r>
        <w:rPr>
          <w:rFonts w:ascii="宋体" w:hAnsi="宋体" w:eastAsia="宋体" w:cs="宋体"/>
          <w:spacing w:val="26"/>
          <w:sz w:val="23"/>
          <w:szCs w:val="23"/>
        </w:rPr>
        <w:t>价</w:t>
      </w:r>
      <w:r>
        <w:rPr>
          <w:rFonts w:ascii="宋体" w:hAnsi="宋体" w:eastAsia="宋体" w:cs="宋体"/>
          <w:spacing w:val="15"/>
          <w:sz w:val="23"/>
          <w:szCs w:val="23"/>
        </w:rPr>
        <w:t>项目不进行进一步预测与评价，只对污染物排放量进行核算</w:t>
      </w:r>
      <w:r>
        <w:rPr>
          <w:rFonts w:ascii="Times New Roman" w:hAnsi="Times New Roman" w:eastAsia="Times New Roman" w:cs="Times New Roman"/>
          <w:spacing w:val="15"/>
          <w:sz w:val="23"/>
          <w:szCs w:val="23"/>
        </w:rPr>
        <w:t xml:space="preserve">” </w:t>
      </w:r>
      <w:r>
        <w:rPr>
          <w:rFonts w:ascii="宋体" w:hAnsi="宋体" w:eastAsia="宋体" w:cs="宋体"/>
          <w:spacing w:val="15"/>
          <w:sz w:val="23"/>
          <w:szCs w:val="23"/>
        </w:rPr>
        <w:t>。因此，本次</w:t>
      </w:r>
      <w:r>
        <w:rPr>
          <w:rFonts w:ascii="宋体" w:hAnsi="宋体" w:eastAsia="宋体" w:cs="宋体"/>
          <w:sz w:val="23"/>
          <w:szCs w:val="23"/>
        </w:rPr>
        <w:t xml:space="preserve"> </w:t>
      </w:r>
      <w:r>
        <w:rPr>
          <w:rFonts w:ascii="宋体" w:hAnsi="宋体" w:eastAsia="宋体" w:cs="宋体"/>
          <w:spacing w:val="20"/>
          <w:sz w:val="23"/>
          <w:szCs w:val="23"/>
        </w:rPr>
        <w:t>评价不对大气环境环境影响进行预测与评价</w:t>
      </w:r>
      <w:r>
        <w:rPr>
          <w:rFonts w:ascii="宋体" w:hAnsi="宋体" w:eastAsia="宋体" w:cs="宋体"/>
          <w:spacing w:val="17"/>
          <w:sz w:val="23"/>
          <w:szCs w:val="23"/>
        </w:rPr>
        <w:t>。</w:t>
      </w:r>
    </w:p>
    <w:p w14:paraId="76AFEDEE">
      <w:pPr>
        <w:spacing w:before="103" w:line="221" w:lineRule="auto"/>
        <w:ind w:left="117"/>
        <w:outlineLvl w:val="3"/>
        <w:rPr>
          <w:rFonts w:ascii="宋体" w:hAnsi="宋体" w:eastAsia="宋体" w:cs="宋体"/>
          <w:sz w:val="28"/>
          <w:szCs w:val="28"/>
        </w:rPr>
      </w:pPr>
      <w:r>
        <w:rPr>
          <w:rFonts w:ascii="Times New Roman" w:hAnsi="Times New Roman" w:eastAsia="Times New Roman" w:cs="Times New Roman"/>
          <w:b/>
          <w:bCs/>
          <w:spacing w:val="9"/>
          <w:sz w:val="28"/>
          <w:szCs w:val="28"/>
        </w:rPr>
        <w:t>5.2.1.3</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大气环境防护距离的确</w:t>
      </w:r>
      <w:r>
        <w:rPr>
          <w:rFonts w:ascii="宋体" w:hAnsi="宋体" w:eastAsia="宋体" w:cs="宋体"/>
          <w:spacing w:val="5"/>
          <w:sz w:val="28"/>
          <w:szCs w:val="28"/>
          <w14:textOutline w14:w="5103" w14:cap="sq" w14:cmpd="sng">
            <w14:solidFill>
              <w14:srgbClr w14:val="000000"/>
            </w14:solidFill>
            <w14:prstDash w14:val="solid"/>
            <w14:bevel/>
          </w14:textOutline>
        </w:rPr>
        <w:t>定</w:t>
      </w:r>
    </w:p>
    <w:p w14:paraId="2A5F9A03">
      <w:pPr>
        <w:spacing w:line="260" w:lineRule="auto"/>
        <w:rPr>
          <w:rFonts w:ascii="Arial"/>
          <w:sz w:val="21"/>
        </w:rPr>
      </w:pPr>
    </w:p>
    <w:p w14:paraId="54D40644">
      <w:pPr>
        <w:spacing w:before="75" w:line="393" w:lineRule="auto"/>
        <w:ind w:left="132" w:right="119" w:firstLine="488"/>
        <w:rPr>
          <w:rFonts w:ascii="宋体" w:hAnsi="宋体" w:eastAsia="宋体" w:cs="宋体"/>
          <w:sz w:val="23"/>
          <w:szCs w:val="23"/>
        </w:rPr>
      </w:pPr>
      <w:r>
        <w:rPr>
          <w:rFonts w:ascii="宋体" w:hAnsi="宋体" w:eastAsia="宋体" w:cs="宋体"/>
          <w:spacing w:val="28"/>
          <w:sz w:val="23"/>
          <w:szCs w:val="23"/>
        </w:rPr>
        <w:t>根</w:t>
      </w:r>
      <w:r>
        <w:rPr>
          <w:rFonts w:ascii="宋体" w:hAnsi="宋体" w:eastAsia="宋体" w:cs="宋体"/>
          <w:spacing w:val="16"/>
          <w:sz w:val="23"/>
          <w:szCs w:val="23"/>
        </w:rPr>
        <w:t>据</w:t>
      </w:r>
      <w:r>
        <w:rPr>
          <w:rFonts w:ascii="宋体" w:hAnsi="宋体" w:eastAsia="宋体" w:cs="宋体"/>
          <w:spacing w:val="14"/>
          <w:sz w:val="23"/>
          <w:szCs w:val="23"/>
        </w:rPr>
        <w:t>《环境影响评价技术导则大气环境》  (</w:t>
      </w:r>
      <w:r>
        <w:rPr>
          <w:rFonts w:ascii="Times New Roman" w:hAnsi="Times New Roman" w:eastAsia="Times New Roman" w:cs="Times New Roman"/>
          <w:sz w:val="23"/>
          <w:szCs w:val="23"/>
        </w:rPr>
        <w:t>HJ</w:t>
      </w:r>
      <w:r>
        <w:rPr>
          <w:rFonts w:ascii="Times New Roman" w:hAnsi="Times New Roman" w:eastAsia="Times New Roman" w:cs="Times New Roman"/>
          <w:spacing w:val="14"/>
          <w:sz w:val="23"/>
          <w:szCs w:val="23"/>
        </w:rPr>
        <w:t>2 .2-2018</w:t>
      </w:r>
      <w:r>
        <w:rPr>
          <w:rFonts w:ascii="宋体" w:hAnsi="宋体" w:eastAsia="宋体" w:cs="宋体"/>
          <w:spacing w:val="14"/>
          <w:sz w:val="23"/>
          <w:szCs w:val="23"/>
        </w:rPr>
        <w:t>) 对于大气环境</w:t>
      </w:r>
      <w:r>
        <w:rPr>
          <w:rFonts w:ascii="宋体" w:hAnsi="宋体" w:eastAsia="宋体" w:cs="宋体"/>
          <w:sz w:val="23"/>
          <w:szCs w:val="23"/>
        </w:rPr>
        <w:t xml:space="preserve"> </w:t>
      </w:r>
      <w:r>
        <w:rPr>
          <w:rFonts w:ascii="宋体" w:hAnsi="宋体" w:eastAsia="宋体" w:cs="宋体"/>
          <w:spacing w:val="17"/>
          <w:sz w:val="23"/>
          <w:szCs w:val="23"/>
        </w:rPr>
        <w:t>防护距离的要求为</w:t>
      </w:r>
      <w:r>
        <w:rPr>
          <w:rFonts w:ascii="Times New Roman" w:hAnsi="Times New Roman" w:eastAsia="Times New Roman" w:cs="Times New Roman"/>
          <w:spacing w:val="17"/>
          <w:sz w:val="23"/>
          <w:szCs w:val="23"/>
        </w:rPr>
        <w:t>“</w:t>
      </w:r>
      <w:r>
        <w:rPr>
          <w:rFonts w:ascii="宋体" w:hAnsi="宋体" w:eastAsia="宋体" w:cs="宋体"/>
          <w:spacing w:val="17"/>
          <w:sz w:val="23"/>
          <w:szCs w:val="23"/>
        </w:rPr>
        <w:t>对于项目厂界浓度满足大气污染物厂界浓度限值，但厂</w:t>
      </w:r>
      <w:r>
        <w:rPr>
          <w:rFonts w:ascii="宋体" w:hAnsi="宋体" w:eastAsia="宋体" w:cs="宋体"/>
          <w:spacing w:val="16"/>
          <w:sz w:val="23"/>
          <w:szCs w:val="23"/>
        </w:rPr>
        <w:t>界</w:t>
      </w:r>
    </w:p>
    <w:p w14:paraId="46AA01E0">
      <w:pPr>
        <w:sectPr>
          <w:headerReference r:id="rId213" w:type="default"/>
          <w:footerReference r:id="rId214" w:type="default"/>
          <w:pgSz w:w="11906" w:h="16839"/>
          <w:pgMar w:top="1132" w:right="1691" w:bottom="1182" w:left="1691" w:header="878" w:footer="1022" w:gutter="0"/>
          <w:cols w:space="720" w:num="1"/>
        </w:sectPr>
      </w:pPr>
    </w:p>
    <w:p w14:paraId="42C3FD33">
      <w:pPr>
        <w:spacing w:line="410" w:lineRule="auto"/>
        <w:rPr>
          <w:rFonts w:ascii="Arial"/>
          <w:sz w:val="21"/>
        </w:rPr>
      </w:pPr>
      <w:r>
        <w:pict>
          <v:shape id="_x0000_s1260" o:spid="_x0000_s1260" style="position:absolute;left:0pt;margin-left:90pt;margin-top:57.35pt;height:0.75pt;width:415.3pt;mso-position-horizontal-relative:page;mso-position-vertical-relative:page;z-index:251919360;mso-width-relative:page;mso-height-relative:page;" fillcolor="#000000" filled="t" stroked="f" coordsize="8305,15" o:allowincell="f" path="m0,0l8305,0,8305,14,0,14,0,0xe">
            <v:path/>
            <v:fill on="t" focussize="0,0"/>
            <v:stroke on="f"/>
            <v:imagedata o:title=""/>
            <o:lock v:ext="edit"/>
          </v:shape>
        </w:pict>
      </w:r>
    </w:p>
    <w:p w14:paraId="5D85B5DD">
      <w:pPr>
        <w:spacing w:before="75" w:line="390" w:lineRule="auto"/>
        <w:ind w:left="123" w:right="125" w:firstLine="5"/>
        <w:rPr>
          <w:rFonts w:ascii="宋体" w:hAnsi="宋体" w:eastAsia="宋体" w:cs="宋体"/>
          <w:sz w:val="23"/>
          <w:szCs w:val="23"/>
        </w:rPr>
      </w:pPr>
      <w:r>
        <w:rPr>
          <w:rFonts w:ascii="宋体" w:hAnsi="宋体" w:eastAsia="宋体" w:cs="宋体"/>
          <w:spacing w:val="21"/>
          <w:sz w:val="23"/>
          <w:szCs w:val="23"/>
        </w:rPr>
        <w:t>外大气污染物短期贡献浓度超过环境质量浓度限值的，可以自厂界向外设</w:t>
      </w:r>
      <w:r>
        <w:rPr>
          <w:rFonts w:ascii="宋体" w:hAnsi="宋体" w:eastAsia="宋体" w:cs="宋体"/>
          <w:spacing w:val="18"/>
          <w:sz w:val="23"/>
          <w:szCs w:val="23"/>
        </w:rPr>
        <w:t>置</w:t>
      </w:r>
      <w:r>
        <w:rPr>
          <w:rFonts w:ascii="宋体" w:hAnsi="宋体" w:eastAsia="宋体" w:cs="宋体"/>
          <w:sz w:val="23"/>
          <w:szCs w:val="23"/>
        </w:rPr>
        <w:t xml:space="preserve"> </w:t>
      </w:r>
      <w:r>
        <w:rPr>
          <w:rFonts w:ascii="宋体" w:hAnsi="宋体" w:eastAsia="宋体" w:cs="宋体"/>
          <w:spacing w:val="19"/>
          <w:sz w:val="23"/>
          <w:szCs w:val="23"/>
        </w:rPr>
        <w:t>一</w:t>
      </w:r>
      <w:r>
        <w:rPr>
          <w:rFonts w:ascii="宋体" w:hAnsi="宋体" w:eastAsia="宋体" w:cs="宋体"/>
          <w:spacing w:val="17"/>
          <w:sz w:val="23"/>
          <w:szCs w:val="23"/>
        </w:rPr>
        <w:t>定范围的大气环境防护区域， 以确保大气环境防护区域外的污染物贡献浓</w:t>
      </w:r>
      <w:r>
        <w:rPr>
          <w:rFonts w:ascii="宋体" w:hAnsi="宋体" w:eastAsia="宋体" w:cs="宋体"/>
          <w:sz w:val="23"/>
          <w:szCs w:val="23"/>
        </w:rPr>
        <w:t xml:space="preserve"> </w:t>
      </w:r>
      <w:r>
        <w:rPr>
          <w:rFonts w:ascii="宋体" w:hAnsi="宋体" w:eastAsia="宋体" w:cs="宋体"/>
          <w:spacing w:val="23"/>
          <w:sz w:val="23"/>
          <w:szCs w:val="23"/>
        </w:rPr>
        <w:t>度</w:t>
      </w:r>
      <w:r>
        <w:rPr>
          <w:rFonts w:ascii="宋体" w:hAnsi="宋体" w:eastAsia="宋体" w:cs="宋体"/>
          <w:spacing w:val="17"/>
          <w:sz w:val="23"/>
          <w:szCs w:val="23"/>
        </w:rPr>
        <w:t>满足环境质量标准</w:t>
      </w:r>
      <w:r>
        <w:rPr>
          <w:rFonts w:ascii="Times New Roman" w:hAnsi="Times New Roman" w:eastAsia="Times New Roman" w:cs="Times New Roman"/>
          <w:spacing w:val="17"/>
          <w:sz w:val="23"/>
          <w:szCs w:val="23"/>
        </w:rPr>
        <w:t>”</w:t>
      </w:r>
      <w:r>
        <w:rPr>
          <w:rFonts w:ascii="宋体" w:hAnsi="宋体" w:eastAsia="宋体" w:cs="宋体"/>
          <w:spacing w:val="17"/>
          <w:sz w:val="23"/>
          <w:szCs w:val="23"/>
        </w:rPr>
        <w:t>。</w:t>
      </w:r>
    </w:p>
    <w:p w14:paraId="08C87210">
      <w:pPr>
        <w:spacing w:before="135" w:line="391" w:lineRule="auto"/>
        <w:ind w:left="170" w:right="123" w:firstLine="457"/>
        <w:rPr>
          <w:rFonts w:ascii="宋体" w:hAnsi="宋体" w:eastAsia="宋体" w:cs="宋体"/>
          <w:sz w:val="23"/>
          <w:szCs w:val="23"/>
        </w:rPr>
      </w:pPr>
      <w:r>
        <w:rPr>
          <w:rFonts w:ascii="宋体" w:hAnsi="宋体" w:eastAsia="宋体" w:cs="宋体"/>
          <w:spacing w:val="34"/>
          <w:sz w:val="23"/>
          <w:szCs w:val="23"/>
        </w:rPr>
        <w:t>在</w:t>
      </w:r>
      <w:r>
        <w:rPr>
          <w:rFonts w:ascii="宋体" w:hAnsi="宋体" w:eastAsia="宋体" w:cs="宋体"/>
          <w:spacing w:val="23"/>
          <w:sz w:val="23"/>
          <w:szCs w:val="23"/>
        </w:rPr>
        <w:t xml:space="preserve">确定评价等级时采用导则推荐的 </w:t>
      </w:r>
      <w:r>
        <w:rPr>
          <w:rFonts w:ascii="Times New Roman" w:hAnsi="Times New Roman" w:eastAsia="Times New Roman" w:cs="Times New Roman"/>
          <w:sz w:val="23"/>
          <w:szCs w:val="23"/>
        </w:rPr>
        <w:t>AEERSCREEN</w:t>
      </w:r>
      <w:r>
        <w:rPr>
          <w:rFonts w:ascii="Times New Roman" w:hAnsi="Times New Roman" w:eastAsia="Times New Roman" w:cs="Times New Roman"/>
          <w:spacing w:val="23"/>
          <w:sz w:val="23"/>
          <w:szCs w:val="23"/>
        </w:rPr>
        <w:t xml:space="preserve"> </w:t>
      </w:r>
      <w:r>
        <w:rPr>
          <w:rFonts w:ascii="宋体" w:hAnsi="宋体" w:eastAsia="宋体" w:cs="宋体"/>
          <w:spacing w:val="23"/>
          <w:sz w:val="23"/>
          <w:szCs w:val="23"/>
        </w:rPr>
        <w:t>模式运算结果，该项</w:t>
      </w:r>
      <w:r>
        <w:rPr>
          <w:rFonts w:ascii="宋体" w:hAnsi="宋体" w:eastAsia="宋体" w:cs="宋体"/>
          <w:sz w:val="23"/>
          <w:szCs w:val="23"/>
        </w:rPr>
        <w:t xml:space="preserve"> </w:t>
      </w:r>
      <w:r>
        <w:rPr>
          <w:rFonts w:ascii="宋体" w:hAnsi="宋体" w:eastAsia="宋体" w:cs="宋体"/>
          <w:spacing w:val="38"/>
          <w:sz w:val="23"/>
          <w:szCs w:val="23"/>
        </w:rPr>
        <w:t>目</w:t>
      </w:r>
      <w:r>
        <w:rPr>
          <w:rFonts w:ascii="宋体" w:hAnsi="宋体" w:eastAsia="宋体" w:cs="宋体"/>
          <w:spacing w:val="22"/>
          <w:sz w:val="23"/>
          <w:szCs w:val="23"/>
        </w:rPr>
        <w:t>厂</w:t>
      </w:r>
      <w:r>
        <w:rPr>
          <w:rFonts w:ascii="宋体" w:hAnsi="宋体" w:eastAsia="宋体" w:cs="宋体"/>
          <w:spacing w:val="19"/>
          <w:sz w:val="23"/>
          <w:szCs w:val="23"/>
        </w:rPr>
        <w:t>界外大气污染物短期贡献浓度没有超过环境质量浓度限值，因此，该项</w:t>
      </w:r>
      <w:r>
        <w:rPr>
          <w:rFonts w:ascii="宋体" w:hAnsi="宋体" w:eastAsia="宋体" w:cs="宋体"/>
          <w:sz w:val="23"/>
          <w:szCs w:val="23"/>
        </w:rPr>
        <w:t xml:space="preserve"> </w:t>
      </w:r>
      <w:r>
        <w:rPr>
          <w:rFonts w:ascii="宋体" w:hAnsi="宋体" w:eastAsia="宋体" w:cs="宋体"/>
          <w:spacing w:val="16"/>
          <w:sz w:val="23"/>
          <w:szCs w:val="23"/>
        </w:rPr>
        <w:t>目不需要设置大气环境防护距离。</w:t>
      </w:r>
    </w:p>
    <w:p w14:paraId="6DAB2D9C">
      <w:pPr>
        <w:spacing w:before="99" w:line="221" w:lineRule="auto"/>
        <w:ind w:left="124"/>
        <w:outlineLvl w:val="3"/>
        <w:rPr>
          <w:rFonts w:ascii="宋体" w:hAnsi="宋体" w:eastAsia="宋体" w:cs="宋体"/>
          <w:sz w:val="28"/>
          <w:szCs w:val="28"/>
        </w:rPr>
      </w:pPr>
      <w:r>
        <w:rPr>
          <w:rFonts w:ascii="Times New Roman" w:hAnsi="Times New Roman" w:eastAsia="Times New Roman" w:cs="Times New Roman"/>
          <w:b/>
          <w:bCs/>
          <w:spacing w:val="9"/>
          <w:sz w:val="28"/>
          <w:szCs w:val="28"/>
        </w:rPr>
        <w:t>5.2.1.3</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大气环境防护距离的确</w:t>
      </w:r>
      <w:r>
        <w:rPr>
          <w:rFonts w:ascii="宋体" w:hAnsi="宋体" w:eastAsia="宋体" w:cs="宋体"/>
          <w:spacing w:val="5"/>
          <w:sz w:val="28"/>
          <w:szCs w:val="28"/>
          <w14:textOutline w14:w="5103" w14:cap="sq" w14:cmpd="sng">
            <w14:solidFill>
              <w14:srgbClr w14:val="000000"/>
            </w14:solidFill>
            <w14:prstDash w14:val="solid"/>
            <w14:bevel/>
          </w14:textOutline>
        </w:rPr>
        <w:t>定</w:t>
      </w:r>
    </w:p>
    <w:p w14:paraId="366972EE">
      <w:pPr>
        <w:spacing w:before="292" w:line="396" w:lineRule="auto"/>
        <w:ind w:left="139" w:right="108" w:firstLine="466"/>
        <w:rPr>
          <w:rFonts w:ascii="宋体" w:hAnsi="宋体" w:eastAsia="宋体" w:cs="宋体"/>
          <w:sz w:val="23"/>
          <w:szCs w:val="23"/>
        </w:rPr>
      </w:pPr>
      <w:r>
        <w:rPr>
          <w:rFonts w:ascii="宋体" w:hAnsi="宋体" w:eastAsia="宋体" w:cs="宋体"/>
          <w:spacing w:val="10"/>
          <w:sz w:val="23"/>
          <w:szCs w:val="23"/>
        </w:rPr>
        <w:t>按照</w:t>
      </w:r>
      <w:r>
        <w:rPr>
          <w:rFonts w:ascii="宋体" w:hAnsi="宋体" w:eastAsia="宋体" w:cs="宋体"/>
          <w:spacing w:val="9"/>
          <w:sz w:val="23"/>
          <w:szCs w:val="23"/>
        </w:rPr>
        <w:t>《</w:t>
      </w:r>
      <w:r>
        <w:rPr>
          <w:rFonts w:ascii="宋体" w:hAnsi="宋体" w:eastAsia="宋体" w:cs="宋体"/>
          <w:spacing w:val="5"/>
          <w:sz w:val="23"/>
          <w:szCs w:val="23"/>
        </w:rPr>
        <w:t>制定地方大气污染物排放标准的技术方法》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3840-91</w:t>
      </w:r>
      <w:r>
        <w:rPr>
          <w:rFonts w:ascii="宋体" w:hAnsi="宋体" w:eastAsia="宋体" w:cs="宋体"/>
          <w:spacing w:val="5"/>
          <w:sz w:val="23"/>
          <w:szCs w:val="23"/>
        </w:rPr>
        <w:t>) 中卫生</w:t>
      </w:r>
      <w:r>
        <w:rPr>
          <w:rFonts w:ascii="宋体" w:hAnsi="宋体" w:eastAsia="宋体" w:cs="宋体"/>
          <w:sz w:val="23"/>
          <w:szCs w:val="23"/>
        </w:rPr>
        <w:t xml:space="preserve"> </w:t>
      </w:r>
      <w:r>
        <w:rPr>
          <w:rFonts w:ascii="宋体" w:hAnsi="宋体" w:eastAsia="宋体" w:cs="宋体"/>
          <w:spacing w:val="13"/>
          <w:sz w:val="23"/>
          <w:szCs w:val="23"/>
        </w:rPr>
        <w:t>防</w:t>
      </w:r>
      <w:r>
        <w:rPr>
          <w:rFonts w:ascii="宋体" w:hAnsi="宋体" w:eastAsia="宋体" w:cs="宋体"/>
          <w:spacing w:val="8"/>
          <w:sz w:val="23"/>
          <w:szCs w:val="23"/>
        </w:rPr>
        <w:t>护距离计算公式核定本项目卫生防护距离。</w:t>
      </w:r>
    </w:p>
    <w:p w14:paraId="2A646AAE">
      <w:pPr>
        <w:spacing w:before="173" w:line="228" w:lineRule="auto"/>
        <w:ind w:left="605"/>
        <w:rPr>
          <w:rFonts w:ascii="宋体" w:hAnsi="宋体" w:eastAsia="宋体" w:cs="宋体"/>
          <w:sz w:val="23"/>
          <w:szCs w:val="23"/>
        </w:rPr>
      </w:pPr>
      <w:r>
        <w:rPr>
          <w:rFonts w:ascii="宋体" w:hAnsi="宋体" w:eastAsia="宋体" w:cs="宋体"/>
          <w:spacing w:val="9"/>
          <w:sz w:val="23"/>
          <w:szCs w:val="23"/>
        </w:rPr>
        <w:t>其</w:t>
      </w:r>
      <w:r>
        <w:rPr>
          <w:rFonts w:ascii="宋体" w:hAnsi="宋体" w:eastAsia="宋体" w:cs="宋体"/>
          <w:spacing w:val="6"/>
          <w:sz w:val="23"/>
          <w:szCs w:val="23"/>
        </w:rPr>
        <w:t>公式如下：</w:t>
      </w:r>
    </w:p>
    <w:p w14:paraId="69D0BB14">
      <w:pPr>
        <w:spacing w:line="276" w:lineRule="auto"/>
        <w:rPr>
          <w:rFonts w:ascii="Arial"/>
          <w:sz w:val="21"/>
        </w:rPr>
      </w:pPr>
    </w:p>
    <w:p w14:paraId="0F4EE04D">
      <w:pPr>
        <w:spacing w:before="1" w:line="631" w:lineRule="exact"/>
        <w:ind w:firstLine="2438"/>
        <w:textAlignment w:val="center"/>
      </w:pPr>
      <w:r>
        <w:drawing>
          <wp:inline distT="0" distB="0" distL="0" distR="0">
            <wp:extent cx="1696085" cy="400685"/>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509"/>
                    <a:stretch>
                      <a:fillRect/>
                    </a:stretch>
                  </pic:blipFill>
                  <pic:spPr>
                    <a:xfrm>
                      <a:off x="0" y="0"/>
                      <a:ext cx="1696211" cy="400811"/>
                    </a:xfrm>
                    <a:prstGeom prst="rect">
                      <a:avLst/>
                    </a:prstGeom>
                  </pic:spPr>
                </pic:pic>
              </a:graphicData>
            </a:graphic>
          </wp:inline>
        </w:drawing>
      </w:r>
    </w:p>
    <w:p w14:paraId="70E05E3B">
      <w:pPr>
        <w:spacing w:before="35" w:line="323" w:lineRule="exact"/>
        <w:ind w:left="609"/>
        <w:rPr>
          <w:rFonts w:ascii="宋体" w:hAnsi="宋体" w:eastAsia="宋体" w:cs="宋体"/>
          <w:sz w:val="23"/>
          <w:szCs w:val="23"/>
        </w:rPr>
      </w:pPr>
      <w:r>
        <w:rPr>
          <w:rFonts w:ascii="宋体" w:hAnsi="宋体" w:eastAsia="宋体" w:cs="宋体"/>
          <w:spacing w:val="18"/>
          <w:position w:val="3"/>
          <w:sz w:val="23"/>
          <w:szCs w:val="23"/>
        </w:rPr>
        <w:t>式中</w:t>
      </w:r>
      <w:r>
        <w:rPr>
          <w:rFonts w:ascii="宋体" w:hAnsi="宋体" w:eastAsia="宋体" w:cs="宋体"/>
          <w:spacing w:val="12"/>
          <w:position w:val="3"/>
          <w:sz w:val="23"/>
          <w:szCs w:val="23"/>
        </w:rPr>
        <w:t>：</w:t>
      </w:r>
      <w:r>
        <w:rPr>
          <w:rFonts w:ascii="Times New Roman" w:hAnsi="Times New Roman" w:eastAsia="Times New Roman" w:cs="Times New Roman"/>
          <w:position w:val="3"/>
          <w:sz w:val="23"/>
          <w:szCs w:val="23"/>
        </w:rPr>
        <w:t>Q</w:t>
      </w:r>
      <w:r>
        <w:rPr>
          <w:rFonts w:ascii="Times New Roman" w:hAnsi="Times New Roman" w:eastAsia="Times New Roman" w:cs="Times New Roman"/>
          <w:position w:val="2"/>
          <w:sz w:val="15"/>
          <w:szCs w:val="15"/>
        </w:rPr>
        <w:t>C</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工业企业有害气体无组织排放量可以达到的控制水平，</w:t>
      </w:r>
      <w:r>
        <w:rPr>
          <w:rFonts w:ascii="Times New Roman" w:hAnsi="Times New Roman" w:eastAsia="Times New Roman" w:cs="Times New Roman"/>
          <w:position w:val="3"/>
          <w:sz w:val="23"/>
          <w:szCs w:val="23"/>
        </w:rPr>
        <w:t>kg</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h</w:t>
      </w:r>
      <w:r>
        <w:rPr>
          <w:rFonts w:ascii="宋体" w:hAnsi="宋体" w:eastAsia="宋体" w:cs="宋体"/>
          <w:spacing w:val="9"/>
          <w:position w:val="3"/>
          <w:sz w:val="23"/>
          <w:szCs w:val="23"/>
        </w:rPr>
        <w:t>；</w:t>
      </w:r>
    </w:p>
    <w:p w14:paraId="35B24F9E">
      <w:pPr>
        <w:spacing w:before="313" w:line="323" w:lineRule="exact"/>
        <w:ind w:left="1323"/>
        <w:rPr>
          <w:rFonts w:ascii="宋体" w:hAnsi="宋体" w:eastAsia="宋体" w:cs="宋体"/>
          <w:sz w:val="23"/>
          <w:szCs w:val="23"/>
        </w:rPr>
      </w:pPr>
      <w:r>
        <w:rPr>
          <w:rFonts w:ascii="Times New Roman" w:hAnsi="Times New Roman" w:eastAsia="Times New Roman" w:cs="Times New Roman"/>
          <w:position w:val="3"/>
          <w:sz w:val="23"/>
          <w:szCs w:val="23"/>
        </w:rPr>
        <w:t>C</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17"/>
          <w:position w:val="3"/>
          <w:sz w:val="23"/>
          <w:szCs w:val="23"/>
        </w:rPr>
        <w:t>—</w:t>
      </w:r>
      <w:r>
        <w:rPr>
          <w:rFonts w:ascii="宋体" w:hAnsi="宋体" w:eastAsia="宋体" w:cs="宋体"/>
          <w:spacing w:val="9"/>
          <w:position w:val="3"/>
          <w:sz w:val="23"/>
          <w:szCs w:val="23"/>
        </w:rPr>
        <w:t>标准浓度限值，</w:t>
      </w:r>
      <w:r>
        <w:rPr>
          <w:rFonts w:ascii="Times New Roman" w:hAnsi="Times New Roman" w:eastAsia="Times New Roman" w:cs="Times New Roman"/>
          <w:position w:val="3"/>
          <w:sz w:val="23"/>
          <w:szCs w:val="23"/>
        </w:rPr>
        <w:t>mg</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9"/>
          <w:position w:val="11"/>
          <w:sz w:val="15"/>
          <w:szCs w:val="15"/>
        </w:rPr>
        <w:t>3</w:t>
      </w:r>
      <w:r>
        <w:rPr>
          <w:rFonts w:ascii="宋体" w:hAnsi="宋体" w:eastAsia="宋体" w:cs="宋体"/>
          <w:spacing w:val="9"/>
          <w:position w:val="3"/>
          <w:sz w:val="23"/>
          <w:szCs w:val="23"/>
        </w:rPr>
        <w:t>；</w:t>
      </w:r>
    </w:p>
    <w:p w14:paraId="47CD033C">
      <w:pPr>
        <w:spacing w:line="280" w:lineRule="auto"/>
        <w:rPr>
          <w:rFonts w:ascii="Arial"/>
          <w:sz w:val="21"/>
        </w:rPr>
      </w:pPr>
    </w:p>
    <w:p w14:paraId="2FE533C5">
      <w:pPr>
        <w:spacing w:before="75" w:line="228" w:lineRule="auto"/>
        <w:ind w:left="1319"/>
        <w:rPr>
          <w:rFonts w:ascii="宋体" w:hAnsi="宋体" w:eastAsia="宋体" w:cs="宋体"/>
          <w:sz w:val="23"/>
          <w:szCs w:val="23"/>
        </w:rPr>
      </w:pPr>
      <w:r>
        <w:rPr>
          <w:rFonts w:ascii="Times New Roman" w:hAnsi="Times New Roman" w:eastAsia="Times New Roman" w:cs="Times New Roman"/>
          <w:sz w:val="23"/>
          <w:szCs w:val="23"/>
        </w:rPr>
        <w:t>L</w:t>
      </w:r>
      <w:r>
        <w:rPr>
          <w:rFonts w:ascii="Times New Roman" w:hAnsi="Times New Roman" w:eastAsia="Times New Roman" w:cs="Times New Roman"/>
          <w:spacing w:val="10"/>
          <w:sz w:val="23"/>
          <w:szCs w:val="23"/>
        </w:rPr>
        <w:t>—</w:t>
      </w:r>
      <w:r>
        <w:rPr>
          <w:rFonts w:ascii="宋体" w:hAnsi="宋体" w:eastAsia="宋体" w:cs="宋体"/>
          <w:spacing w:val="10"/>
          <w:sz w:val="23"/>
          <w:szCs w:val="23"/>
        </w:rPr>
        <w:t>工业企业所需卫生防护距离，</w:t>
      </w:r>
      <w:r>
        <w:rPr>
          <w:rFonts w:ascii="Times New Roman" w:hAnsi="Times New Roman" w:eastAsia="Times New Roman" w:cs="Times New Roman"/>
          <w:sz w:val="23"/>
          <w:szCs w:val="23"/>
        </w:rPr>
        <w:t>m</w:t>
      </w:r>
      <w:r>
        <w:rPr>
          <w:rFonts w:ascii="宋体" w:hAnsi="宋体" w:eastAsia="宋体" w:cs="宋体"/>
          <w:spacing w:val="8"/>
          <w:sz w:val="23"/>
          <w:szCs w:val="23"/>
        </w:rPr>
        <w:t>；</w:t>
      </w:r>
    </w:p>
    <w:p w14:paraId="1EDEBC5A">
      <w:pPr>
        <w:spacing w:line="275" w:lineRule="auto"/>
        <w:rPr>
          <w:rFonts w:ascii="Arial"/>
          <w:sz w:val="21"/>
        </w:rPr>
      </w:pPr>
    </w:p>
    <w:p w14:paraId="3EFCEA9C">
      <w:pPr>
        <w:spacing w:before="75" w:line="227" w:lineRule="auto"/>
        <w:ind w:left="1316"/>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8"/>
          <w:sz w:val="23"/>
          <w:szCs w:val="23"/>
        </w:rPr>
        <w:t xml:space="preserve"> </w:t>
      </w:r>
      <w:r>
        <w:rPr>
          <w:rFonts w:ascii="Times New Roman" w:hAnsi="Times New Roman" w:eastAsia="Times New Roman" w:cs="Times New Roman"/>
          <w:spacing w:val="16"/>
          <w:sz w:val="23"/>
          <w:szCs w:val="23"/>
        </w:rPr>
        <w:t>—</w:t>
      </w:r>
      <w:r>
        <w:rPr>
          <w:rFonts w:ascii="宋体" w:hAnsi="宋体" w:eastAsia="宋体" w:cs="宋体"/>
          <w:spacing w:val="9"/>
          <w:sz w:val="23"/>
          <w:szCs w:val="23"/>
        </w:rPr>
        <w:t>有害气体无组织排放源所在生产单元的等效半径，</w:t>
      </w:r>
      <w:r>
        <w:rPr>
          <w:rFonts w:ascii="Times New Roman" w:hAnsi="Times New Roman" w:eastAsia="Times New Roman" w:cs="Times New Roman"/>
          <w:sz w:val="23"/>
          <w:szCs w:val="23"/>
        </w:rPr>
        <w:t>m</w:t>
      </w:r>
      <w:r>
        <w:rPr>
          <w:rFonts w:ascii="宋体" w:hAnsi="宋体" w:eastAsia="宋体" w:cs="宋体"/>
          <w:spacing w:val="9"/>
          <w:sz w:val="23"/>
          <w:szCs w:val="23"/>
        </w:rPr>
        <w:t>；</w:t>
      </w:r>
    </w:p>
    <w:p w14:paraId="09016B48">
      <w:pPr>
        <w:spacing w:line="276" w:lineRule="auto"/>
        <w:rPr>
          <w:rFonts w:ascii="Arial"/>
          <w:sz w:val="21"/>
        </w:rPr>
      </w:pPr>
    </w:p>
    <w:p w14:paraId="68FE77A9">
      <w:pPr>
        <w:spacing w:before="75" w:line="636" w:lineRule="exact"/>
        <w:ind w:left="1316"/>
        <w:rPr>
          <w:rFonts w:ascii="宋体" w:hAnsi="宋体" w:eastAsia="宋体" w:cs="宋体"/>
          <w:sz w:val="23"/>
          <w:szCs w:val="23"/>
        </w:rPr>
      </w:pPr>
      <w:r>
        <w:rPr>
          <w:rFonts w:ascii="Times New Roman" w:hAnsi="Times New Roman" w:eastAsia="Times New Roman" w:cs="Times New Roman"/>
          <w:position w:val="31"/>
          <w:sz w:val="23"/>
          <w:szCs w:val="23"/>
        </w:rPr>
        <w:t>A</w:t>
      </w:r>
      <w:r>
        <w:rPr>
          <w:rFonts w:ascii="Times New Roman" w:hAnsi="Times New Roman" w:eastAsia="Times New Roman" w:cs="Times New Roman"/>
          <w:spacing w:val="2"/>
          <w:position w:val="31"/>
          <w:sz w:val="23"/>
          <w:szCs w:val="23"/>
        </w:rPr>
        <w:t xml:space="preserve"> </w:t>
      </w:r>
      <w:r>
        <w:rPr>
          <w:rFonts w:ascii="宋体" w:hAnsi="宋体" w:eastAsia="宋体" w:cs="宋体"/>
          <w:spacing w:val="2"/>
          <w:position w:val="31"/>
          <w:sz w:val="23"/>
          <w:szCs w:val="23"/>
        </w:rPr>
        <w:t>、</w:t>
      </w:r>
      <w:r>
        <w:rPr>
          <w:rFonts w:ascii="Times New Roman" w:hAnsi="Times New Roman" w:eastAsia="Times New Roman" w:cs="Times New Roman"/>
          <w:position w:val="31"/>
          <w:sz w:val="23"/>
          <w:szCs w:val="23"/>
        </w:rPr>
        <w:t>B</w:t>
      </w:r>
      <w:r>
        <w:rPr>
          <w:rFonts w:ascii="Times New Roman" w:hAnsi="Times New Roman" w:eastAsia="Times New Roman" w:cs="Times New Roman"/>
          <w:spacing w:val="2"/>
          <w:position w:val="31"/>
          <w:sz w:val="23"/>
          <w:szCs w:val="23"/>
        </w:rPr>
        <w:t xml:space="preserve"> </w:t>
      </w:r>
      <w:r>
        <w:rPr>
          <w:rFonts w:ascii="宋体" w:hAnsi="宋体" w:eastAsia="宋体" w:cs="宋体"/>
          <w:spacing w:val="2"/>
          <w:position w:val="31"/>
          <w:sz w:val="23"/>
          <w:szCs w:val="23"/>
        </w:rPr>
        <w:t>、</w:t>
      </w:r>
      <w:r>
        <w:rPr>
          <w:rFonts w:ascii="Times New Roman" w:hAnsi="Times New Roman" w:eastAsia="Times New Roman" w:cs="Times New Roman"/>
          <w:position w:val="31"/>
          <w:sz w:val="23"/>
          <w:szCs w:val="23"/>
        </w:rPr>
        <w:t>C</w:t>
      </w:r>
      <w:r>
        <w:rPr>
          <w:rFonts w:ascii="Times New Roman" w:hAnsi="Times New Roman" w:eastAsia="Times New Roman" w:cs="Times New Roman"/>
          <w:spacing w:val="2"/>
          <w:position w:val="31"/>
          <w:sz w:val="23"/>
          <w:szCs w:val="23"/>
        </w:rPr>
        <w:t xml:space="preserve"> </w:t>
      </w:r>
      <w:r>
        <w:rPr>
          <w:rFonts w:ascii="宋体" w:hAnsi="宋体" w:eastAsia="宋体" w:cs="宋体"/>
          <w:spacing w:val="2"/>
          <w:position w:val="31"/>
          <w:sz w:val="23"/>
          <w:szCs w:val="23"/>
        </w:rPr>
        <w:t>、</w:t>
      </w:r>
      <w:r>
        <w:rPr>
          <w:rFonts w:ascii="Times New Roman" w:hAnsi="Times New Roman" w:eastAsia="Times New Roman" w:cs="Times New Roman"/>
          <w:position w:val="31"/>
          <w:sz w:val="23"/>
          <w:szCs w:val="23"/>
        </w:rPr>
        <w:t>D</w:t>
      </w:r>
      <w:r>
        <w:rPr>
          <w:rFonts w:ascii="Times New Roman" w:hAnsi="Times New Roman" w:eastAsia="Times New Roman" w:cs="Times New Roman"/>
          <w:spacing w:val="2"/>
          <w:position w:val="31"/>
          <w:sz w:val="23"/>
          <w:szCs w:val="23"/>
        </w:rPr>
        <w:t>—</w:t>
      </w:r>
      <w:r>
        <w:rPr>
          <w:rFonts w:ascii="宋体" w:hAnsi="宋体" w:eastAsia="宋体" w:cs="宋体"/>
          <w:spacing w:val="2"/>
          <w:position w:val="31"/>
          <w:sz w:val="23"/>
          <w:szCs w:val="23"/>
        </w:rPr>
        <w:t>卫生</w:t>
      </w:r>
      <w:r>
        <w:rPr>
          <w:rFonts w:ascii="宋体" w:hAnsi="宋体" w:eastAsia="宋体" w:cs="宋体"/>
          <w:spacing w:val="1"/>
          <w:position w:val="31"/>
          <w:sz w:val="23"/>
          <w:szCs w:val="23"/>
        </w:rPr>
        <w:t>防护距离计算参数，无因次。</w:t>
      </w:r>
    </w:p>
    <w:p w14:paraId="7A0B0C1C">
      <w:pPr>
        <w:spacing w:before="1" w:line="227" w:lineRule="auto"/>
        <w:ind w:left="608"/>
        <w:rPr>
          <w:rFonts w:ascii="宋体" w:hAnsi="宋体" w:eastAsia="宋体" w:cs="宋体"/>
          <w:sz w:val="23"/>
          <w:szCs w:val="23"/>
        </w:rPr>
      </w:pPr>
      <w:r>
        <w:rPr>
          <w:rFonts w:ascii="宋体" w:hAnsi="宋体" w:eastAsia="宋体" w:cs="宋体"/>
          <w:spacing w:val="5"/>
          <w:sz w:val="23"/>
          <w:szCs w:val="23"/>
        </w:rPr>
        <w:t>该项目粉尘的卫生防护距离结果见表</w:t>
      </w:r>
      <w:r>
        <w:rPr>
          <w:rFonts w:ascii="Times New Roman" w:hAnsi="Times New Roman" w:eastAsia="Times New Roman" w:cs="Times New Roman"/>
          <w:spacing w:val="5"/>
          <w:sz w:val="23"/>
          <w:szCs w:val="23"/>
        </w:rPr>
        <w:t>5- 13</w:t>
      </w:r>
      <w:r>
        <w:rPr>
          <w:rFonts w:ascii="宋体" w:hAnsi="宋体" w:eastAsia="宋体" w:cs="宋体"/>
          <w:spacing w:val="1"/>
          <w:sz w:val="23"/>
          <w:szCs w:val="23"/>
        </w:rPr>
        <w:t>。</w:t>
      </w:r>
    </w:p>
    <w:p w14:paraId="72229EAB">
      <w:pPr>
        <w:spacing w:line="276" w:lineRule="auto"/>
        <w:rPr>
          <w:rFonts w:ascii="Arial"/>
          <w:sz w:val="21"/>
        </w:rPr>
      </w:pPr>
    </w:p>
    <w:p w14:paraId="074A34FB">
      <w:pPr>
        <w:spacing w:before="75" w:line="227" w:lineRule="auto"/>
        <w:ind w:left="210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5-1</w:t>
      </w:r>
      <w:r>
        <w:rPr>
          <w:rFonts w:ascii="Times New Roman" w:hAnsi="Times New Roman" w:eastAsia="Times New Roman" w:cs="Times New Roman"/>
          <w:b/>
          <w:bCs/>
          <w:spacing w:val="4"/>
          <w:sz w:val="23"/>
          <w:szCs w:val="23"/>
        </w:rPr>
        <w:t>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卫生防护距离计算结果一览表</w:t>
      </w:r>
    </w:p>
    <w:p w14:paraId="6C157969">
      <w:pPr>
        <w:spacing w:line="18" w:lineRule="exact"/>
      </w:pPr>
    </w:p>
    <w:tbl>
      <w:tblPr>
        <w:tblStyle w:val="4"/>
        <w:tblW w:w="85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1023"/>
        <w:gridCol w:w="1266"/>
        <w:gridCol w:w="1540"/>
        <w:gridCol w:w="1618"/>
        <w:gridCol w:w="1898"/>
      </w:tblGrid>
      <w:tr w14:paraId="78373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6" w:hRule="atLeast"/>
        </w:trPr>
        <w:tc>
          <w:tcPr>
            <w:tcW w:w="1189" w:type="dxa"/>
            <w:tcBorders>
              <w:left w:val="nil"/>
            </w:tcBorders>
            <w:vAlign w:val="top"/>
          </w:tcPr>
          <w:p w14:paraId="7F569918">
            <w:pPr>
              <w:spacing w:before="164" w:line="228" w:lineRule="auto"/>
              <w:ind w:left="288"/>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023" w:type="dxa"/>
            <w:vAlign w:val="top"/>
          </w:tcPr>
          <w:p w14:paraId="364E39D2">
            <w:pPr>
              <w:spacing w:before="164" w:line="229" w:lineRule="auto"/>
              <w:ind w:left="9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面</w:t>
            </w:r>
            <w:r>
              <w:rPr>
                <w:rFonts w:ascii="宋体" w:hAnsi="宋体" w:eastAsia="宋体" w:cs="宋体"/>
                <w:spacing w:val="8"/>
                <w:sz w:val="20"/>
                <w:szCs w:val="20"/>
                <w14:textOutline w14:w="3795" w14:cap="sq" w14:cmpd="sng">
                  <w14:solidFill>
                    <w14:srgbClr w14:val="000000"/>
                  </w14:solidFill>
                  <w14:prstDash w14:val="solid"/>
                  <w14:bevel/>
                </w14:textOutline>
              </w:rPr>
              <w:t>源名称</w:t>
            </w:r>
          </w:p>
        </w:tc>
        <w:tc>
          <w:tcPr>
            <w:tcW w:w="1266" w:type="dxa"/>
            <w:vAlign w:val="top"/>
          </w:tcPr>
          <w:p w14:paraId="29D455E3">
            <w:pPr>
              <w:spacing w:before="123" w:line="289" w:lineRule="exact"/>
              <w:ind w:left="62"/>
              <w:rPr>
                <w:rFonts w:ascii="Times New Roman" w:hAnsi="Times New Roman" w:eastAsia="Times New Roman" w:cs="Times New Roman"/>
                <w:sz w:val="20"/>
                <w:szCs w:val="20"/>
              </w:rPr>
            </w:pPr>
            <w:r>
              <w:rPr>
                <w:rFonts w:ascii="宋体" w:hAnsi="宋体" w:eastAsia="宋体" w:cs="宋体"/>
                <w:spacing w:val="8"/>
                <w:position w:val="2"/>
                <w:sz w:val="20"/>
                <w:szCs w:val="20"/>
                <w14:textOutline w14:w="3795" w14:cap="sq" w14:cmpd="sng">
                  <w14:solidFill>
                    <w14:srgbClr w14:val="000000"/>
                  </w14:solidFill>
                  <w14:prstDash w14:val="solid"/>
                  <w14:bevel/>
                </w14:textOutline>
              </w:rPr>
              <w:t>面源长度</w:t>
            </w:r>
            <w:r>
              <w:rPr>
                <w:rFonts w:ascii="Times New Roman" w:hAnsi="Times New Roman" w:eastAsia="Times New Roman" w:cs="Times New Roman"/>
                <w:b/>
                <w:bCs/>
                <w:spacing w:val="8"/>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7"/>
                <w:position w:val="2"/>
                <w:sz w:val="20"/>
                <w:szCs w:val="20"/>
              </w:rPr>
              <w:t>)</w:t>
            </w:r>
          </w:p>
        </w:tc>
        <w:tc>
          <w:tcPr>
            <w:tcW w:w="1540" w:type="dxa"/>
            <w:vAlign w:val="top"/>
          </w:tcPr>
          <w:p w14:paraId="29BDBD73">
            <w:pPr>
              <w:spacing w:before="123" w:line="289" w:lineRule="exact"/>
              <w:ind w:left="200"/>
              <w:rPr>
                <w:rFonts w:ascii="Times New Roman" w:hAnsi="Times New Roman" w:eastAsia="Times New Roman" w:cs="Times New Roman"/>
                <w:sz w:val="20"/>
                <w:szCs w:val="20"/>
              </w:rPr>
            </w:pPr>
            <w:r>
              <w:rPr>
                <w:rFonts w:ascii="宋体" w:hAnsi="宋体" w:eastAsia="宋体" w:cs="宋体"/>
                <w:spacing w:val="8"/>
                <w:position w:val="2"/>
                <w:sz w:val="20"/>
                <w:szCs w:val="20"/>
                <w14:textOutline w14:w="3795" w14:cap="sq" w14:cmpd="sng">
                  <w14:solidFill>
                    <w14:srgbClr w14:val="000000"/>
                  </w14:solidFill>
                  <w14:prstDash w14:val="solid"/>
                  <w14:bevel/>
                </w14:textOutline>
              </w:rPr>
              <w:t>面源宽度</w:t>
            </w:r>
            <w:r>
              <w:rPr>
                <w:rFonts w:ascii="Times New Roman" w:hAnsi="Times New Roman" w:eastAsia="Times New Roman" w:cs="Times New Roman"/>
                <w:b/>
                <w:bCs/>
                <w:spacing w:val="8"/>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7"/>
                <w:position w:val="2"/>
                <w:sz w:val="20"/>
                <w:szCs w:val="20"/>
              </w:rPr>
              <w:t>)</w:t>
            </w:r>
          </w:p>
        </w:tc>
        <w:tc>
          <w:tcPr>
            <w:tcW w:w="1618" w:type="dxa"/>
            <w:vAlign w:val="top"/>
          </w:tcPr>
          <w:p w14:paraId="044B6538">
            <w:pPr>
              <w:spacing w:before="123" w:line="289" w:lineRule="exact"/>
              <w:ind w:left="30"/>
              <w:rPr>
                <w:rFonts w:ascii="Times New Roman" w:hAnsi="Times New Roman" w:eastAsia="Times New Roman" w:cs="Times New Roman"/>
                <w:sz w:val="20"/>
                <w:szCs w:val="20"/>
              </w:rPr>
            </w:pPr>
            <w:r>
              <w:rPr>
                <w:rFonts w:ascii="宋体" w:hAnsi="宋体" w:eastAsia="宋体" w:cs="宋体"/>
                <w:spacing w:val="12"/>
                <w:position w:val="2"/>
                <w:sz w:val="20"/>
                <w:szCs w:val="20"/>
                <w14:textOutline w14:w="3795" w14:cap="sq" w14:cmpd="sng">
                  <w14:solidFill>
                    <w14:srgbClr w14:val="000000"/>
                  </w14:solidFill>
                  <w14:prstDash w14:val="solid"/>
                  <w14:bevel/>
                </w14:textOutline>
              </w:rPr>
              <w:t>面</w:t>
            </w:r>
            <w:r>
              <w:rPr>
                <w:rFonts w:ascii="宋体" w:hAnsi="宋体" w:eastAsia="宋体" w:cs="宋体"/>
                <w:spacing w:val="8"/>
                <w:position w:val="2"/>
                <w:sz w:val="20"/>
                <w:szCs w:val="20"/>
                <w14:textOutline w14:w="3795" w14:cap="sq" w14:cmpd="sng">
                  <w14:solidFill>
                    <w14:srgbClr w14:val="000000"/>
                  </w14:solidFill>
                  <w14:prstDash w14:val="solid"/>
                  <w14:bevel/>
                </w14:textOutline>
              </w:rPr>
              <w:t>源有效高度</w:t>
            </w:r>
            <w:r>
              <w:rPr>
                <w:rFonts w:ascii="Times New Roman" w:hAnsi="Times New Roman" w:eastAsia="Times New Roman" w:cs="Times New Roman"/>
                <w:b/>
                <w:bCs/>
                <w:spacing w:val="8"/>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8"/>
                <w:position w:val="2"/>
                <w:sz w:val="20"/>
                <w:szCs w:val="20"/>
              </w:rPr>
              <w:t>)</w:t>
            </w:r>
          </w:p>
        </w:tc>
        <w:tc>
          <w:tcPr>
            <w:tcW w:w="1898" w:type="dxa"/>
            <w:tcBorders>
              <w:right w:val="nil"/>
            </w:tcBorders>
            <w:vAlign w:val="top"/>
          </w:tcPr>
          <w:p w14:paraId="7EC8B62B">
            <w:pPr>
              <w:spacing w:before="123" w:line="289" w:lineRule="exact"/>
              <w:ind w:left="71"/>
              <w:rPr>
                <w:rFonts w:ascii="Times New Roman" w:hAnsi="Times New Roman" w:eastAsia="Times New Roman" w:cs="Times New Roman"/>
                <w:sz w:val="20"/>
                <w:szCs w:val="20"/>
              </w:rPr>
            </w:pPr>
            <w:r>
              <w:rPr>
                <w:rFonts w:ascii="宋体" w:hAnsi="宋体" w:eastAsia="宋体" w:cs="宋体"/>
                <w:spacing w:val="7"/>
                <w:position w:val="3"/>
                <w:sz w:val="20"/>
                <w:szCs w:val="20"/>
                <w14:textOutline w14:w="3795" w14:cap="sq" w14:cmpd="sng">
                  <w14:solidFill>
                    <w14:srgbClr w14:val="000000"/>
                  </w14:solidFill>
                  <w14:prstDash w14:val="solid"/>
                  <w14:bevel/>
                </w14:textOutline>
              </w:rPr>
              <w:t>污染物排放量</w:t>
            </w:r>
            <w:r>
              <w:rPr>
                <w:rFonts w:ascii="Times New Roman" w:hAnsi="Times New Roman" w:eastAsia="Times New Roman" w:cs="Times New Roman"/>
                <w:b/>
                <w:bCs/>
                <w:spacing w:val="7"/>
                <w:position w:val="3"/>
                <w:sz w:val="20"/>
                <w:szCs w:val="20"/>
              </w:rPr>
              <w:t>(</w:t>
            </w:r>
            <w:r>
              <w:rPr>
                <w:rFonts w:ascii="Times New Roman" w:hAnsi="Times New Roman" w:eastAsia="Times New Roman" w:cs="Times New Roman"/>
                <w:b/>
                <w:bCs/>
                <w:position w:val="3"/>
                <w:sz w:val="20"/>
                <w:szCs w:val="20"/>
              </w:rPr>
              <w:t>kg</w:t>
            </w:r>
            <w:r>
              <w:rPr>
                <w:rFonts w:ascii="Times New Roman" w:hAnsi="Times New Roman" w:eastAsia="Times New Roman" w:cs="Times New Roman"/>
                <w:b/>
                <w:bCs/>
                <w:spacing w:val="7"/>
                <w:position w:val="3"/>
                <w:sz w:val="20"/>
                <w:szCs w:val="20"/>
              </w:rPr>
              <w:t>/</w:t>
            </w:r>
            <w:r>
              <w:rPr>
                <w:rFonts w:ascii="Times New Roman" w:hAnsi="Times New Roman" w:eastAsia="Times New Roman" w:cs="Times New Roman"/>
                <w:b/>
                <w:bCs/>
                <w:position w:val="3"/>
                <w:sz w:val="20"/>
                <w:szCs w:val="20"/>
              </w:rPr>
              <w:t>h</w:t>
            </w:r>
            <w:r>
              <w:rPr>
                <w:rFonts w:ascii="Times New Roman" w:hAnsi="Times New Roman" w:eastAsia="Times New Roman" w:cs="Times New Roman"/>
                <w:b/>
                <w:bCs/>
                <w:spacing w:val="6"/>
                <w:position w:val="3"/>
                <w:sz w:val="20"/>
                <w:szCs w:val="20"/>
              </w:rPr>
              <w:t>)</w:t>
            </w:r>
          </w:p>
        </w:tc>
      </w:tr>
      <w:tr w14:paraId="49116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9" w:type="dxa"/>
            <w:tcBorders>
              <w:left w:val="nil"/>
            </w:tcBorders>
            <w:vAlign w:val="top"/>
          </w:tcPr>
          <w:p w14:paraId="7BB5A1B6">
            <w:pPr>
              <w:spacing w:before="53" w:line="228" w:lineRule="auto"/>
              <w:ind w:left="391"/>
              <w:rPr>
                <w:rFonts w:ascii="宋体" w:hAnsi="宋体" w:eastAsia="宋体" w:cs="宋体"/>
                <w:sz w:val="20"/>
                <w:szCs w:val="20"/>
              </w:rPr>
            </w:pPr>
            <w:r>
              <w:rPr>
                <w:rFonts w:ascii="宋体" w:hAnsi="宋体" w:eastAsia="宋体" w:cs="宋体"/>
                <w:spacing w:val="5"/>
                <w:sz w:val="20"/>
                <w:szCs w:val="20"/>
              </w:rPr>
              <w:t>粉尘</w:t>
            </w:r>
          </w:p>
        </w:tc>
        <w:tc>
          <w:tcPr>
            <w:tcW w:w="1023" w:type="dxa"/>
            <w:vAlign w:val="top"/>
          </w:tcPr>
          <w:p w14:paraId="3F276758">
            <w:pPr>
              <w:spacing w:before="53" w:line="228" w:lineRule="auto"/>
              <w:ind w:left="97"/>
              <w:rPr>
                <w:rFonts w:ascii="宋体" w:hAnsi="宋体" w:eastAsia="宋体" w:cs="宋体"/>
                <w:sz w:val="20"/>
                <w:szCs w:val="20"/>
              </w:rPr>
            </w:pPr>
            <w:r>
              <w:rPr>
                <w:rFonts w:ascii="宋体" w:hAnsi="宋体" w:eastAsia="宋体" w:cs="宋体"/>
                <w:spacing w:val="7"/>
                <w:sz w:val="20"/>
                <w:szCs w:val="20"/>
              </w:rPr>
              <w:t>生产厂</w:t>
            </w:r>
            <w:r>
              <w:rPr>
                <w:rFonts w:ascii="宋体" w:hAnsi="宋体" w:eastAsia="宋体" w:cs="宋体"/>
                <w:spacing w:val="6"/>
                <w:sz w:val="20"/>
                <w:szCs w:val="20"/>
              </w:rPr>
              <w:t>房</w:t>
            </w:r>
          </w:p>
        </w:tc>
        <w:tc>
          <w:tcPr>
            <w:tcW w:w="1266" w:type="dxa"/>
            <w:vAlign w:val="top"/>
          </w:tcPr>
          <w:p w14:paraId="0B837549">
            <w:pPr>
              <w:spacing w:before="89"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1540" w:type="dxa"/>
            <w:vAlign w:val="top"/>
          </w:tcPr>
          <w:p w14:paraId="221BCC33">
            <w:pPr>
              <w:spacing w:before="89" w:line="195" w:lineRule="auto"/>
              <w:ind w:left="6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18" w:type="dxa"/>
            <w:vAlign w:val="top"/>
          </w:tcPr>
          <w:p w14:paraId="7D7F55EB">
            <w:pPr>
              <w:spacing w:before="89" w:line="195" w:lineRule="auto"/>
              <w:ind w:left="7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8" w:type="dxa"/>
            <w:tcBorders>
              <w:right w:val="nil"/>
            </w:tcBorders>
            <w:vAlign w:val="top"/>
          </w:tcPr>
          <w:p w14:paraId="2286297C">
            <w:pPr>
              <w:spacing w:before="90"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0. 14</w:t>
            </w:r>
          </w:p>
        </w:tc>
      </w:tr>
      <w:tr w14:paraId="58F18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9" w:type="dxa"/>
            <w:tcBorders>
              <w:left w:val="nil"/>
            </w:tcBorders>
            <w:vAlign w:val="top"/>
          </w:tcPr>
          <w:p w14:paraId="6F53D7F7">
            <w:pPr>
              <w:spacing w:before="9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023" w:type="dxa"/>
            <w:vAlign w:val="top"/>
          </w:tcPr>
          <w:p w14:paraId="2F21C03B">
            <w:pPr>
              <w:spacing w:before="54" w:line="228" w:lineRule="auto"/>
              <w:ind w:left="97"/>
              <w:rPr>
                <w:rFonts w:ascii="宋体" w:hAnsi="宋体" w:eastAsia="宋体" w:cs="宋体"/>
                <w:sz w:val="20"/>
                <w:szCs w:val="20"/>
              </w:rPr>
            </w:pPr>
            <w:r>
              <w:rPr>
                <w:rFonts w:ascii="宋体" w:hAnsi="宋体" w:eastAsia="宋体" w:cs="宋体"/>
                <w:spacing w:val="7"/>
                <w:sz w:val="20"/>
                <w:szCs w:val="20"/>
              </w:rPr>
              <w:t>生产厂</w:t>
            </w:r>
            <w:r>
              <w:rPr>
                <w:rFonts w:ascii="宋体" w:hAnsi="宋体" w:eastAsia="宋体" w:cs="宋体"/>
                <w:spacing w:val="6"/>
                <w:sz w:val="20"/>
                <w:szCs w:val="20"/>
              </w:rPr>
              <w:t>房</w:t>
            </w:r>
          </w:p>
        </w:tc>
        <w:tc>
          <w:tcPr>
            <w:tcW w:w="1266" w:type="dxa"/>
            <w:vAlign w:val="top"/>
          </w:tcPr>
          <w:p w14:paraId="107F435F">
            <w:pPr>
              <w:spacing w:before="90"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1540" w:type="dxa"/>
            <w:vAlign w:val="top"/>
          </w:tcPr>
          <w:p w14:paraId="29A17D9F">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18" w:type="dxa"/>
            <w:vAlign w:val="top"/>
          </w:tcPr>
          <w:p w14:paraId="135A4C57">
            <w:pPr>
              <w:spacing w:before="90" w:line="195" w:lineRule="auto"/>
              <w:ind w:left="7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8" w:type="dxa"/>
            <w:tcBorders>
              <w:right w:val="nil"/>
            </w:tcBorders>
            <w:vAlign w:val="top"/>
          </w:tcPr>
          <w:p w14:paraId="529F0412">
            <w:pPr>
              <w:spacing w:before="90"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.25</w:t>
            </w:r>
          </w:p>
        </w:tc>
      </w:tr>
    </w:tbl>
    <w:p w14:paraId="3375EEA6">
      <w:pPr>
        <w:spacing w:before="295" w:line="385" w:lineRule="auto"/>
        <w:ind w:left="125" w:right="108" w:firstLine="480"/>
        <w:rPr>
          <w:rFonts w:ascii="宋体" w:hAnsi="宋体" w:eastAsia="宋体" w:cs="宋体"/>
          <w:sz w:val="23"/>
          <w:szCs w:val="23"/>
        </w:rPr>
      </w:pPr>
      <w:r>
        <w:rPr>
          <w:rFonts w:ascii="宋体" w:hAnsi="宋体" w:eastAsia="宋体" w:cs="宋体"/>
          <w:spacing w:val="10"/>
          <w:sz w:val="23"/>
          <w:szCs w:val="23"/>
        </w:rPr>
        <w:t>依据</w:t>
      </w:r>
      <w:r>
        <w:rPr>
          <w:rFonts w:ascii="宋体" w:hAnsi="宋体" w:eastAsia="宋体" w:cs="宋体"/>
          <w:spacing w:val="9"/>
          <w:sz w:val="23"/>
          <w:szCs w:val="23"/>
        </w:rPr>
        <w:t>《</w:t>
      </w:r>
      <w:r>
        <w:rPr>
          <w:rFonts w:ascii="宋体" w:hAnsi="宋体" w:eastAsia="宋体" w:cs="宋体"/>
          <w:spacing w:val="5"/>
          <w:sz w:val="23"/>
          <w:szCs w:val="23"/>
        </w:rPr>
        <w:t>制定地方大气污染物排放标准的技术方法》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3840-91</w:t>
      </w:r>
      <w:r>
        <w:rPr>
          <w:rFonts w:ascii="宋体" w:hAnsi="宋体" w:eastAsia="宋体" w:cs="宋体"/>
          <w:spacing w:val="5"/>
          <w:sz w:val="23"/>
          <w:szCs w:val="23"/>
        </w:rPr>
        <w:t>) 相关规</w:t>
      </w:r>
      <w:r>
        <w:rPr>
          <w:rFonts w:ascii="宋体" w:hAnsi="宋体" w:eastAsia="宋体" w:cs="宋体"/>
          <w:sz w:val="23"/>
          <w:szCs w:val="23"/>
        </w:rPr>
        <w:t xml:space="preserve"> </w:t>
      </w:r>
      <w:r>
        <w:rPr>
          <w:rFonts w:ascii="宋体" w:hAnsi="宋体" w:eastAsia="宋体" w:cs="宋体"/>
          <w:spacing w:val="10"/>
          <w:sz w:val="23"/>
          <w:szCs w:val="23"/>
        </w:rPr>
        <w:t>定</w:t>
      </w:r>
      <w:r>
        <w:rPr>
          <w:rFonts w:ascii="宋体" w:hAnsi="宋体" w:eastAsia="宋体" w:cs="宋体"/>
          <w:spacing w:val="8"/>
          <w:sz w:val="23"/>
          <w:szCs w:val="23"/>
        </w:rPr>
        <w:t>，</w:t>
      </w:r>
      <w:r>
        <w:rPr>
          <w:rFonts w:ascii="宋体" w:hAnsi="宋体" w:eastAsia="宋体" w:cs="宋体"/>
          <w:spacing w:val="5"/>
          <w:sz w:val="23"/>
          <w:szCs w:val="23"/>
        </w:rPr>
        <w:t xml:space="preserve">无组织排放多种有害气体的工业企业，按 </w:t>
      </w:r>
      <w:r>
        <w:rPr>
          <w:rFonts w:ascii="Times New Roman" w:hAnsi="Times New Roman" w:eastAsia="Times New Roman" w:cs="Times New Roman"/>
          <w:sz w:val="23"/>
          <w:szCs w:val="23"/>
        </w:rPr>
        <w:t>Q</w:t>
      </w:r>
      <w:r>
        <w:rPr>
          <w:rFonts w:ascii="Times New Roman" w:hAnsi="Times New Roman" w:eastAsia="Times New Roman" w:cs="Times New Roman"/>
          <w:position w:val="-1"/>
          <w:sz w:val="15"/>
          <w:szCs w:val="15"/>
        </w:rPr>
        <w:t>C</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C</w:t>
      </w:r>
      <w:r>
        <w:rPr>
          <w:rFonts w:ascii="Times New Roman" w:hAnsi="Times New Roman" w:eastAsia="Times New Roman" w:cs="Times New Roman"/>
          <w:position w:val="-1"/>
          <w:sz w:val="15"/>
          <w:szCs w:val="15"/>
        </w:rPr>
        <w:t>m</w:t>
      </w:r>
      <w:r>
        <w:rPr>
          <w:rFonts w:ascii="Times New Roman" w:hAnsi="Times New Roman" w:eastAsia="Times New Roman" w:cs="Times New Roman"/>
          <w:spacing w:val="5"/>
          <w:position w:val="-1"/>
          <w:sz w:val="15"/>
          <w:szCs w:val="15"/>
        </w:rPr>
        <w:t xml:space="preserve"> </w:t>
      </w:r>
      <w:r>
        <w:rPr>
          <w:rFonts w:ascii="宋体" w:hAnsi="宋体" w:eastAsia="宋体" w:cs="宋体"/>
          <w:spacing w:val="5"/>
          <w:sz w:val="23"/>
          <w:szCs w:val="23"/>
        </w:rPr>
        <w:t>的最大值计算其所需卫生防</w:t>
      </w:r>
      <w:r>
        <w:rPr>
          <w:rFonts w:ascii="宋体" w:hAnsi="宋体" w:eastAsia="宋体" w:cs="宋体"/>
          <w:sz w:val="23"/>
          <w:szCs w:val="23"/>
        </w:rPr>
        <w:t xml:space="preserve"> </w:t>
      </w:r>
      <w:r>
        <w:rPr>
          <w:rFonts w:ascii="宋体" w:hAnsi="宋体" w:eastAsia="宋体" w:cs="宋体"/>
          <w:spacing w:val="10"/>
          <w:sz w:val="23"/>
          <w:szCs w:val="23"/>
        </w:rPr>
        <w:t>护</w:t>
      </w:r>
      <w:r>
        <w:rPr>
          <w:rFonts w:ascii="宋体" w:hAnsi="宋体" w:eastAsia="宋体" w:cs="宋体"/>
          <w:spacing w:val="8"/>
          <w:sz w:val="23"/>
          <w:szCs w:val="23"/>
        </w:rPr>
        <w:t>距</w:t>
      </w:r>
      <w:r>
        <w:rPr>
          <w:rFonts w:ascii="宋体" w:hAnsi="宋体" w:eastAsia="宋体" w:cs="宋体"/>
          <w:spacing w:val="5"/>
          <w:sz w:val="23"/>
          <w:szCs w:val="23"/>
        </w:rPr>
        <w:t xml:space="preserve">离，但当按两种或两种以上的有害气体的 </w:t>
      </w:r>
      <w:r>
        <w:rPr>
          <w:rFonts w:ascii="Times New Roman" w:hAnsi="Times New Roman" w:eastAsia="Times New Roman" w:cs="Times New Roman"/>
          <w:sz w:val="23"/>
          <w:szCs w:val="23"/>
        </w:rPr>
        <w:t>Q</w:t>
      </w:r>
      <w:r>
        <w:rPr>
          <w:rFonts w:ascii="Times New Roman" w:hAnsi="Times New Roman" w:eastAsia="Times New Roman" w:cs="Times New Roman"/>
          <w:position w:val="-1"/>
          <w:sz w:val="15"/>
          <w:szCs w:val="15"/>
        </w:rPr>
        <w:t>C</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C</w:t>
      </w:r>
      <w:r>
        <w:rPr>
          <w:rFonts w:ascii="Times New Roman" w:hAnsi="Times New Roman" w:eastAsia="Times New Roman" w:cs="Times New Roman"/>
          <w:position w:val="-1"/>
          <w:sz w:val="15"/>
          <w:szCs w:val="15"/>
        </w:rPr>
        <w:t>m</w:t>
      </w:r>
      <w:r>
        <w:rPr>
          <w:rFonts w:ascii="Times New Roman" w:hAnsi="Times New Roman" w:eastAsia="Times New Roman" w:cs="Times New Roman"/>
          <w:spacing w:val="5"/>
          <w:position w:val="-1"/>
          <w:sz w:val="15"/>
          <w:szCs w:val="15"/>
        </w:rPr>
        <w:t xml:space="preserve"> </w:t>
      </w:r>
      <w:r>
        <w:rPr>
          <w:rFonts w:ascii="宋体" w:hAnsi="宋体" w:eastAsia="宋体" w:cs="宋体"/>
          <w:spacing w:val="5"/>
          <w:sz w:val="23"/>
          <w:szCs w:val="23"/>
        </w:rPr>
        <w:t>值计算的卫生防护距离在同</w:t>
      </w:r>
      <w:r>
        <w:rPr>
          <w:rFonts w:ascii="宋体" w:hAnsi="宋体" w:eastAsia="宋体" w:cs="宋体"/>
          <w:sz w:val="23"/>
          <w:szCs w:val="23"/>
        </w:rPr>
        <w:t xml:space="preserve"> </w:t>
      </w:r>
      <w:r>
        <w:rPr>
          <w:rFonts w:ascii="宋体" w:hAnsi="宋体" w:eastAsia="宋体" w:cs="宋体"/>
          <w:spacing w:val="12"/>
          <w:sz w:val="23"/>
          <w:szCs w:val="23"/>
        </w:rPr>
        <w:t>一级别</w:t>
      </w:r>
      <w:r>
        <w:rPr>
          <w:rFonts w:ascii="宋体" w:hAnsi="宋体" w:eastAsia="宋体" w:cs="宋体"/>
          <w:spacing w:val="8"/>
          <w:sz w:val="23"/>
          <w:szCs w:val="23"/>
        </w:rPr>
        <w:t>时</w:t>
      </w:r>
      <w:r>
        <w:rPr>
          <w:rFonts w:ascii="宋体" w:hAnsi="宋体" w:eastAsia="宋体" w:cs="宋体"/>
          <w:spacing w:val="6"/>
          <w:sz w:val="23"/>
          <w:szCs w:val="23"/>
        </w:rPr>
        <w:t xml:space="preserve">卫生防护距离级别应提高一级。卫生防护距离在 </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以内时，级差为</w:t>
      </w:r>
    </w:p>
    <w:p w14:paraId="209CBE62">
      <w:pPr>
        <w:sectPr>
          <w:headerReference r:id="rId215" w:type="default"/>
          <w:footerReference r:id="rId216" w:type="default"/>
          <w:pgSz w:w="11906" w:h="16839"/>
          <w:pgMar w:top="1132" w:right="1685" w:bottom="1182" w:left="1685" w:header="878" w:footer="1022" w:gutter="0"/>
          <w:cols w:space="720" w:num="1"/>
        </w:sectPr>
      </w:pPr>
    </w:p>
    <w:p w14:paraId="6453953F">
      <w:pPr>
        <w:spacing w:line="408" w:lineRule="auto"/>
        <w:rPr>
          <w:rFonts w:ascii="Arial"/>
          <w:sz w:val="21"/>
        </w:rPr>
      </w:pPr>
      <w:r>
        <w:pict>
          <v:shape id="_x0000_s1261" o:spid="_x0000_s1261" style="position:absolute;left:0pt;margin-left:90pt;margin-top:57.35pt;height:0.75pt;width:415.3pt;mso-position-horizontal-relative:page;mso-position-vertical-relative:page;z-index:251920384;mso-width-relative:page;mso-height-relative:page;" fillcolor="#000000" filled="t" stroked="f" coordsize="8305,15" o:allowincell="f" path="m0,0l8305,0,8305,14,0,14,0,0xe">
            <v:path/>
            <v:fill on="t" focussize="0,0"/>
            <v:stroke on="f"/>
            <v:imagedata o:title=""/>
            <o:lock v:ext="edit"/>
          </v:shape>
        </w:pict>
      </w:r>
    </w:p>
    <w:p w14:paraId="454C6BB6">
      <w:pPr>
        <w:spacing w:before="75" w:line="394" w:lineRule="auto"/>
        <w:ind w:left="26" w:right="69" w:hanging="1"/>
        <w:rPr>
          <w:rFonts w:ascii="宋体" w:hAnsi="宋体" w:eastAsia="宋体" w:cs="宋体"/>
          <w:sz w:val="23"/>
          <w:szCs w:val="23"/>
        </w:rPr>
      </w:pPr>
      <w:r>
        <w:rPr>
          <w:rFonts w:ascii="Times New Roman" w:hAnsi="Times New Roman" w:eastAsia="Times New Roman" w:cs="Times New Roman"/>
          <w:spacing w:val="1"/>
          <w:sz w:val="23"/>
          <w:szCs w:val="23"/>
        </w:rPr>
        <w:t>50</w:t>
      </w:r>
      <w:r>
        <w:rPr>
          <w:rFonts w:ascii="Times New Roman" w:hAnsi="Times New Roman" w:eastAsia="Times New Roman" w:cs="Times New Roman"/>
          <w:sz w:val="23"/>
          <w:szCs w:val="23"/>
        </w:rPr>
        <w:t>m</w:t>
      </w:r>
      <w:r>
        <w:rPr>
          <w:rFonts w:ascii="宋体" w:hAnsi="宋体" w:eastAsia="宋体" w:cs="宋体"/>
          <w:spacing w:val="1"/>
          <w:sz w:val="23"/>
          <w:szCs w:val="23"/>
        </w:rPr>
        <w:t xml:space="preserve">；超过 </w:t>
      </w:r>
      <w:r>
        <w:rPr>
          <w:rFonts w:ascii="Times New Roman" w:hAnsi="Times New Roman" w:eastAsia="Times New Roman" w:cs="Times New Roman"/>
          <w:spacing w:val="1"/>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，但小于或等于 </w:t>
      </w:r>
      <w:r>
        <w:rPr>
          <w:rFonts w:ascii="Times New Roman" w:hAnsi="Times New Roman" w:eastAsia="Times New Roman" w:cs="Times New Roman"/>
          <w:spacing w:val="1"/>
          <w:sz w:val="23"/>
          <w:szCs w:val="23"/>
        </w:rPr>
        <w:t>1000</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时，级差为 </w:t>
      </w:r>
      <w:r>
        <w:rPr>
          <w:rFonts w:ascii="Times New Roman" w:hAnsi="Times New Roman" w:eastAsia="Times New Roman" w:cs="Times New Roman"/>
          <w:spacing w:val="1"/>
          <w:sz w:val="23"/>
          <w:szCs w:val="23"/>
        </w:rPr>
        <w:t>100</w:t>
      </w:r>
      <w:r>
        <w:rPr>
          <w:rFonts w:ascii="Times New Roman" w:hAnsi="Times New Roman" w:eastAsia="Times New Roman" w:cs="Times New Roman"/>
          <w:sz w:val="23"/>
          <w:szCs w:val="23"/>
        </w:rPr>
        <w:t>m</w:t>
      </w:r>
      <w:r>
        <w:rPr>
          <w:rFonts w:ascii="宋体" w:hAnsi="宋体" w:eastAsia="宋体" w:cs="宋体"/>
          <w:spacing w:val="1"/>
          <w:sz w:val="23"/>
          <w:szCs w:val="23"/>
        </w:rPr>
        <w:t xml:space="preserve">；超过 </w:t>
      </w:r>
      <w:r>
        <w:rPr>
          <w:rFonts w:ascii="Times New Roman" w:hAnsi="Times New Roman" w:eastAsia="Times New Roman" w:cs="Times New Roman"/>
          <w:spacing w:val="1"/>
          <w:sz w:val="23"/>
          <w:szCs w:val="23"/>
        </w:rPr>
        <w:t>1000</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宋体" w:hAnsi="宋体" w:eastAsia="宋体" w:cs="宋体"/>
          <w:sz w:val="23"/>
          <w:szCs w:val="23"/>
        </w:rPr>
        <w:t xml:space="preserve">以上， </w:t>
      </w:r>
      <w:r>
        <w:rPr>
          <w:rFonts w:ascii="宋体" w:hAnsi="宋体" w:eastAsia="宋体" w:cs="宋体"/>
          <w:spacing w:val="-2"/>
          <w:sz w:val="23"/>
          <w:szCs w:val="23"/>
        </w:rPr>
        <w:t xml:space="preserve">级差为 </w:t>
      </w:r>
      <w:r>
        <w:rPr>
          <w:rFonts w:ascii="Times New Roman" w:hAnsi="Times New Roman" w:eastAsia="Times New Roman" w:cs="Times New Roman"/>
          <w:spacing w:val="-2"/>
          <w:sz w:val="23"/>
          <w:szCs w:val="23"/>
        </w:rPr>
        <w:t>200</w:t>
      </w:r>
      <w:r>
        <w:rPr>
          <w:rFonts w:ascii="Times New Roman" w:hAnsi="Times New Roman" w:eastAsia="Times New Roman" w:cs="Times New Roman"/>
          <w:spacing w:val="-1"/>
          <w:sz w:val="23"/>
          <w:szCs w:val="23"/>
        </w:rPr>
        <w:t>m</w:t>
      </w:r>
      <w:r>
        <w:rPr>
          <w:rFonts w:ascii="宋体" w:hAnsi="宋体" w:eastAsia="宋体" w:cs="宋体"/>
          <w:spacing w:val="-1"/>
          <w:sz w:val="23"/>
          <w:szCs w:val="23"/>
        </w:rPr>
        <w:t>。</w:t>
      </w:r>
    </w:p>
    <w:p w14:paraId="1E9C1C63">
      <w:pPr>
        <w:spacing w:before="133" w:line="388" w:lineRule="auto"/>
        <w:ind w:left="22" w:right="13" w:firstLine="506"/>
        <w:rPr>
          <w:rFonts w:ascii="宋体" w:hAnsi="宋体" w:eastAsia="宋体" w:cs="宋体"/>
          <w:sz w:val="23"/>
          <w:szCs w:val="23"/>
        </w:rPr>
      </w:pPr>
      <w:r>
        <w:rPr>
          <w:rFonts w:ascii="宋体" w:hAnsi="宋体" w:eastAsia="宋体" w:cs="宋体"/>
          <w:spacing w:val="14"/>
          <w:sz w:val="23"/>
          <w:szCs w:val="23"/>
        </w:rPr>
        <w:t>经计</w:t>
      </w:r>
      <w:r>
        <w:rPr>
          <w:rFonts w:ascii="宋体" w:hAnsi="宋体" w:eastAsia="宋体" w:cs="宋体"/>
          <w:spacing w:val="9"/>
          <w:sz w:val="23"/>
          <w:szCs w:val="23"/>
        </w:rPr>
        <w:t>算</w:t>
      </w:r>
      <w:r>
        <w:rPr>
          <w:rFonts w:ascii="宋体" w:hAnsi="宋体" w:eastAsia="宋体" w:cs="宋体"/>
          <w:spacing w:val="7"/>
          <w:sz w:val="23"/>
          <w:szCs w:val="23"/>
        </w:rPr>
        <w:t xml:space="preserve">，项目厂区卫生防护距离为 </w:t>
      </w:r>
      <w:r>
        <w:rPr>
          <w:rFonts w:ascii="Times New Roman" w:hAnsi="Times New Roman" w:eastAsia="Times New Roman" w:cs="Times New Roman"/>
          <w:spacing w:val="7"/>
          <w:sz w:val="23"/>
          <w:szCs w:val="23"/>
        </w:rPr>
        <w:t>20 .229</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15 .636</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，提级后卫生防护</w:t>
      </w:r>
      <w:r>
        <w:rPr>
          <w:rFonts w:ascii="宋体" w:hAnsi="宋体" w:eastAsia="宋体" w:cs="宋体"/>
          <w:sz w:val="23"/>
          <w:szCs w:val="23"/>
        </w:rPr>
        <w:t xml:space="preserve"> </w:t>
      </w:r>
      <w:r>
        <w:rPr>
          <w:rFonts w:ascii="宋体" w:hAnsi="宋体" w:eastAsia="宋体" w:cs="宋体"/>
          <w:spacing w:val="10"/>
          <w:sz w:val="23"/>
          <w:szCs w:val="23"/>
        </w:rPr>
        <w:t>距离确定</w:t>
      </w:r>
      <w:r>
        <w:rPr>
          <w:rFonts w:ascii="宋体" w:hAnsi="宋体" w:eastAsia="宋体" w:cs="宋体"/>
          <w:spacing w:val="7"/>
          <w:sz w:val="23"/>
          <w:szCs w:val="23"/>
        </w:rPr>
        <w:t>为</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。该项目卫生包络线图见图 </w:t>
      </w:r>
      <w:r>
        <w:rPr>
          <w:rFonts w:ascii="Times New Roman" w:hAnsi="Times New Roman" w:eastAsia="Times New Roman" w:cs="Times New Roman"/>
          <w:spacing w:val="5"/>
          <w:sz w:val="23"/>
          <w:szCs w:val="23"/>
        </w:rPr>
        <w:t xml:space="preserve">5-2 </w:t>
      </w:r>
      <w:r>
        <w:rPr>
          <w:rFonts w:ascii="宋体" w:hAnsi="宋体" w:eastAsia="宋体" w:cs="宋体"/>
          <w:spacing w:val="5"/>
          <w:sz w:val="23"/>
          <w:szCs w:val="23"/>
        </w:rPr>
        <w:t>。卫生防护距离是指产生有害</w:t>
      </w:r>
      <w:r>
        <w:rPr>
          <w:rFonts w:ascii="宋体" w:hAnsi="宋体" w:eastAsia="宋体" w:cs="宋体"/>
          <w:sz w:val="23"/>
          <w:szCs w:val="23"/>
        </w:rPr>
        <w:t xml:space="preserve"> </w:t>
      </w:r>
      <w:r>
        <w:rPr>
          <w:rFonts w:ascii="宋体" w:hAnsi="宋体" w:eastAsia="宋体" w:cs="宋体"/>
          <w:spacing w:val="12"/>
          <w:sz w:val="23"/>
          <w:szCs w:val="23"/>
        </w:rPr>
        <w:t>因素的部</w:t>
      </w:r>
      <w:r>
        <w:rPr>
          <w:rFonts w:ascii="宋体" w:hAnsi="宋体" w:eastAsia="宋体" w:cs="宋体"/>
          <w:spacing w:val="7"/>
          <w:sz w:val="23"/>
          <w:szCs w:val="23"/>
        </w:rPr>
        <w:t>门</w:t>
      </w:r>
      <w:r>
        <w:rPr>
          <w:rFonts w:ascii="宋体" w:hAnsi="宋体" w:eastAsia="宋体" w:cs="宋体"/>
          <w:spacing w:val="6"/>
          <w:sz w:val="23"/>
          <w:szCs w:val="23"/>
        </w:rPr>
        <w:t xml:space="preserve"> (生产车间或作业场所) 的边界至敏感区边界的最小距离。该项目距</w:t>
      </w:r>
      <w:r>
        <w:rPr>
          <w:rFonts w:ascii="宋体" w:hAnsi="宋体" w:eastAsia="宋体" w:cs="宋体"/>
          <w:sz w:val="23"/>
          <w:szCs w:val="23"/>
        </w:rPr>
        <w:t xml:space="preserve"> </w:t>
      </w:r>
      <w:r>
        <w:rPr>
          <w:rFonts w:ascii="宋体" w:hAnsi="宋体" w:eastAsia="宋体" w:cs="宋体"/>
          <w:spacing w:val="12"/>
          <w:sz w:val="23"/>
          <w:szCs w:val="23"/>
        </w:rPr>
        <w:t>离最近</w:t>
      </w:r>
      <w:r>
        <w:rPr>
          <w:rFonts w:ascii="宋体" w:hAnsi="宋体" w:eastAsia="宋体" w:cs="宋体"/>
          <w:spacing w:val="7"/>
          <w:sz w:val="23"/>
          <w:szCs w:val="23"/>
        </w:rPr>
        <w:t>居</w:t>
      </w:r>
      <w:r>
        <w:rPr>
          <w:rFonts w:ascii="宋体" w:hAnsi="宋体" w:eastAsia="宋体" w:cs="宋体"/>
          <w:spacing w:val="6"/>
          <w:sz w:val="23"/>
          <w:szCs w:val="23"/>
        </w:rPr>
        <w:t xml:space="preserve">民点为项目厂区西北侧 </w:t>
      </w:r>
      <w:r>
        <w:rPr>
          <w:rFonts w:ascii="Times New Roman" w:hAnsi="Times New Roman" w:eastAsia="Times New Roman" w:cs="Times New Roman"/>
          <w:spacing w:val="6"/>
          <w:sz w:val="23"/>
          <w:szCs w:val="23"/>
        </w:rPr>
        <w:t>330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处的榆树底村，满足卫生防护距离要求。</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评要求今后在本项目周围卫生防护距离内不得新建居民区、学校、医院等环境</w:t>
      </w:r>
      <w:r>
        <w:rPr>
          <w:rFonts w:ascii="宋体" w:hAnsi="宋体" w:eastAsia="宋体" w:cs="宋体"/>
          <w:sz w:val="23"/>
          <w:szCs w:val="23"/>
        </w:rPr>
        <w:t xml:space="preserve"> </w:t>
      </w:r>
      <w:r>
        <w:rPr>
          <w:rFonts w:ascii="宋体" w:hAnsi="宋体" w:eastAsia="宋体" w:cs="宋体"/>
          <w:spacing w:val="7"/>
          <w:sz w:val="23"/>
          <w:szCs w:val="23"/>
        </w:rPr>
        <w:t>敏感建筑物</w:t>
      </w:r>
      <w:r>
        <w:rPr>
          <w:rFonts w:ascii="宋体" w:hAnsi="宋体" w:eastAsia="宋体" w:cs="宋体"/>
          <w:spacing w:val="6"/>
          <w:sz w:val="23"/>
          <w:szCs w:val="23"/>
        </w:rPr>
        <w:t>。</w:t>
      </w:r>
    </w:p>
    <w:p w14:paraId="1AA896C2">
      <w:pPr>
        <w:sectPr>
          <w:headerReference r:id="rId217" w:type="default"/>
          <w:footerReference r:id="rId218" w:type="default"/>
          <w:pgSz w:w="11906" w:h="16839"/>
          <w:pgMar w:top="1132" w:right="1785" w:bottom="1182" w:left="1785" w:header="878" w:footer="1022" w:gutter="0"/>
          <w:cols w:space="720" w:num="1"/>
        </w:sectPr>
      </w:pPr>
    </w:p>
    <w:p w14:paraId="1A33CA06">
      <w:r>
        <w:pict>
          <v:shape id="_x0000_s1262" o:spid="_x0000_s1262" style="position:absolute;left:0pt;margin-left:72pt;margin-top:57.35pt;height:0.75pt;width:697.95pt;mso-position-horizontal-relative:page;mso-position-vertical-relative:page;z-index:251922432;mso-width-relative:page;mso-height-relative:page;" fillcolor="#000000" filled="t" stroked="f" coordsize="13959,15" o:allowincell="f" path="m0,0l13958,0,13958,14,0,14,0,0xe">
            <v:path/>
            <v:fill on="t" focussize="0,0"/>
            <v:stroke on="f"/>
            <v:imagedata o:title=""/>
            <o:lock v:ext="edit"/>
          </v:shape>
        </w:pict>
      </w:r>
    </w:p>
    <w:p w14:paraId="0FA8EEB5"/>
    <w:p w14:paraId="1E7ACFCC"/>
    <w:p w14:paraId="3843C44B"/>
    <w:p w14:paraId="5E955FFE">
      <w:pPr>
        <w:spacing w:line="18" w:lineRule="exact"/>
      </w:pPr>
    </w:p>
    <w:tbl>
      <w:tblPr>
        <w:tblStyle w:val="4"/>
        <w:tblW w:w="14011" w:type="dxa"/>
        <w:tblInd w:w="30"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14011"/>
      </w:tblGrid>
      <w:tr w14:paraId="35A8F7B9">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7454" w:hRule="atLeast"/>
        </w:trPr>
        <w:tc>
          <w:tcPr>
            <w:tcW w:w="14011" w:type="dxa"/>
            <w:vAlign w:val="top"/>
          </w:tcPr>
          <w:p w14:paraId="19004B85">
            <w:pPr>
              <w:spacing w:line="326" w:lineRule="auto"/>
              <w:rPr>
                <w:rFonts w:ascii="Arial"/>
                <w:sz w:val="21"/>
              </w:rPr>
            </w:pPr>
            <w:r>
              <w:pict>
                <v:shape id="_x0000_s1263" o:spid="_x0000_s1263" o:spt="202" type="#_x0000_t202" style="position:absolute;left:0pt;margin-left:-0.7pt;margin-top:320.2pt;height:56.65pt;width:136.05pt;mso-position-horizontal-relative:page;mso-position-vertical-relative:page;z-index:251923456;mso-width-relative:page;mso-height-relative:page;" filled="f" stroked="f" coordsize="21600,21600">
                  <v:path/>
                  <v:fill on="f" focussize="0,0"/>
                  <v:stroke on="f"/>
                  <v:imagedata o:title=""/>
                  <o:lock v:ext="edit" aspectratio="f"/>
                  <v:textbox inset="0mm,0mm,0mm,0mm">
                    <w:txbxContent>
                      <w:p w14:paraId="2F84B28F">
                        <w:pPr>
                          <w:spacing w:line="20" w:lineRule="exact"/>
                        </w:pPr>
                      </w:p>
                      <w:tbl>
                        <w:tblPr>
                          <w:tblStyle w:val="4"/>
                          <w:tblW w:w="266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660"/>
                        </w:tblGrid>
                        <w:tr w14:paraId="040F6AB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52" w:hRule="atLeast"/>
                          </w:trPr>
                          <w:tc>
                            <w:tcPr>
                              <w:tcW w:w="2660" w:type="dxa"/>
                              <w:shd w:val="clear" w:color="auto" w:fill="FFFFFF"/>
                              <w:vAlign w:val="top"/>
                            </w:tcPr>
                            <w:p w14:paraId="381DC776">
                              <w:pPr>
                                <w:spacing w:before="118" w:line="229" w:lineRule="auto"/>
                                <w:ind w:left="1033"/>
                                <w:rPr>
                                  <w:rFonts w:ascii="宋体" w:hAnsi="宋体" w:eastAsia="宋体" w:cs="宋体"/>
                                  <w:sz w:val="20"/>
                                  <w:szCs w:val="20"/>
                                </w:rPr>
                              </w:pPr>
                              <w:r>
                                <w:rPr>
                                  <w:rFonts w:ascii="宋体" w:hAnsi="宋体" w:eastAsia="宋体" w:cs="宋体"/>
                                  <w:sz w:val="20"/>
                                  <w:szCs w:val="20"/>
                                  <w:u w:val="single" w:color="auto"/>
                                  <w14:textOutline w14:w="3795" w14:cap="sq" w14:cmpd="sng">
                                    <w14:solidFill>
                                      <w14:srgbClr w14:val="000000"/>
                                    </w14:solidFill>
                                    <w14:prstDash w14:val="solid"/>
                                    <w14:bevel/>
                                  </w14:textOutline>
                                </w:rPr>
                                <w:t>图</w:t>
                              </w:r>
                              <w:r>
                                <w:rPr>
                                  <w:rFonts w:ascii="宋体" w:hAnsi="宋体" w:eastAsia="宋体" w:cs="宋体"/>
                                  <w:sz w:val="20"/>
                                  <w:szCs w:val="20"/>
                                  <w:u w:val="single" w:color="auto"/>
                                </w:rPr>
                                <w:t xml:space="preserve">  </w:t>
                              </w:r>
                              <w:r>
                                <w:rPr>
                                  <w:rFonts w:ascii="宋体" w:hAnsi="宋体" w:eastAsia="宋体" w:cs="宋体"/>
                                  <w:sz w:val="20"/>
                                  <w:szCs w:val="20"/>
                                  <w:u w:val="single" w:color="auto"/>
                                  <w14:textOutline w14:w="3795" w14:cap="sq" w14:cmpd="sng">
                                    <w14:solidFill>
                                      <w14:srgbClr w14:val="000000"/>
                                    </w14:solidFill>
                                    <w14:prstDash w14:val="solid"/>
                                    <w14:bevel/>
                                  </w14:textOutline>
                                </w:rPr>
                                <w:t>例</w:t>
                              </w:r>
                            </w:p>
                            <w:p w14:paraId="4BD145BA">
                              <w:pPr>
                                <w:spacing w:before="6" w:line="295" w:lineRule="auto"/>
                                <w:ind w:left="275" w:right="401" w:hanging="5"/>
                                <w:rPr>
                                  <w:rFonts w:ascii="宋体" w:hAnsi="宋体" w:eastAsia="宋体" w:cs="宋体"/>
                                  <w:sz w:val="20"/>
                                  <w:szCs w:val="20"/>
                                </w:rPr>
                              </w:pPr>
                              <w:r>
                                <w:rPr>
                                  <w:rFonts w:ascii="宋体" w:hAnsi="宋体" w:eastAsia="宋体" w:cs="宋体"/>
                                  <w:sz w:val="20"/>
                                  <w:szCs w:val="20"/>
                                </w:rPr>
                                <w:drawing>
                                  <wp:inline distT="0" distB="0" distL="0" distR="0">
                                    <wp:extent cx="189230" cy="15367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10"/>
                                            <a:stretch>
                                              <a:fillRect/>
                                            </a:stretch>
                                          </pic:blipFill>
                                          <pic:spPr>
                                            <a:xfrm>
                                              <a:off x="0" y="0"/>
                                              <a:ext cx="189230" cy="153670"/>
                                            </a:xfrm>
                                            <a:prstGeom prst="rect">
                                              <a:avLst/>
                                            </a:prstGeom>
                                          </pic:spPr>
                                        </pic:pic>
                                      </a:graphicData>
                                    </a:graphic>
                                  </wp:inline>
                                </w:drawing>
                              </w:r>
                              <w:r>
                                <w:rPr>
                                  <w:rFonts w:ascii="宋体" w:hAnsi="宋体" w:eastAsia="宋体" w:cs="宋体"/>
                                  <w:spacing w:val="8"/>
                                  <w:sz w:val="20"/>
                                  <w:szCs w:val="20"/>
                                </w:rPr>
                                <w:t xml:space="preserve">  建设项目所在</w:t>
                              </w:r>
                              <w:r>
                                <w:rPr>
                                  <w:rFonts w:ascii="宋体" w:hAnsi="宋体" w:eastAsia="宋体" w:cs="宋体"/>
                                  <w:spacing w:val="6"/>
                                  <w:sz w:val="20"/>
                                  <w:szCs w:val="20"/>
                                </w:rPr>
                                <w:t>地</w:t>
                              </w:r>
                              <w:r>
                                <w:rPr>
                                  <w:rFonts w:ascii="宋体" w:hAnsi="宋体" w:eastAsia="宋体" w:cs="宋体"/>
                                  <w:sz w:val="20"/>
                                  <w:szCs w:val="20"/>
                                </w:rPr>
                                <w:t xml:space="preserve"> </w:t>
                              </w:r>
                              <w:r>
                                <w:rPr>
                                  <w:rFonts w:ascii="宋体" w:hAnsi="宋体" w:eastAsia="宋体" w:cs="宋体"/>
                                  <w:position w:val="-3"/>
                                  <w:sz w:val="20"/>
                                  <w:szCs w:val="20"/>
                                </w:rPr>
                                <w:drawing>
                                  <wp:inline distT="0" distB="0" distL="0" distR="0">
                                    <wp:extent cx="179705" cy="14287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511"/>
                                            <a:stretch>
                                              <a:fillRect/>
                                            </a:stretch>
                                          </pic:blipFill>
                                          <pic:spPr>
                                            <a:xfrm>
                                              <a:off x="0" y="0"/>
                                              <a:ext cx="179832" cy="143255"/>
                                            </a:xfrm>
                                            <a:prstGeom prst="rect">
                                              <a:avLst/>
                                            </a:prstGeom>
                                          </pic:spPr>
                                        </pic:pic>
                                      </a:graphicData>
                                    </a:graphic>
                                  </wp:inline>
                                </w:drawing>
                              </w:r>
                              <w:r>
                                <w:rPr>
                                  <w:rFonts w:ascii="宋体" w:hAnsi="宋体" w:eastAsia="宋体" w:cs="宋体"/>
                                  <w:spacing w:val="8"/>
                                  <w:sz w:val="20"/>
                                  <w:szCs w:val="20"/>
                                </w:rPr>
                                <w:t xml:space="preserve">  生产区</w:t>
                              </w:r>
                            </w:p>
                          </w:tc>
                        </w:tr>
                      </w:tbl>
                      <w:p w14:paraId="646BD340">
                        <w:pPr>
                          <w:rPr>
                            <w:rFonts w:ascii="Arial"/>
                            <w:sz w:val="21"/>
                          </w:rPr>
                        </w:pPr>
                      </w:p>
                    </w:txbxContent>
                  </v:textbox>
                </v:shape>
              </w:pict>
            </w:r>
            <w:r>
              <w:drawing>
                <wp:anchor distT="0" distB="0" distL="0" distR="0" simplePos="0" relativeHeight="251924480" behindDoc="0" locked="0" layoutInCell="1" allowOverlap="1">
                  <wp:simplePos x="0" y="0"/>
                  <wp:positionH relativeFrom="rightMargin">
                    <wp:posOffset>-772160</wp:posOffset>
                  </wp:positionH>
                  <wp:positionV relativeFrom="topMargin">
                    <wp:posOffset>-8890</wp:posOffset>
                  </wp:positionV>
                  <wp:extent cx="781685" cy="80010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98"/>
                          <a:stretch>
                            <a:fillRect/>
                          </a:stretch>
                        </pic:blipFill>
                        <pic:spPr>
                          <a:xfrm>
                            <a:off x="0" y="0"/>
                            <a:ext cx="781811" cy="800100"/>
                          </a:xfrm>
                          <a:prstGeom prst="rect">
                            <a:avLst/>
                          </a:prstGeom>
                        </pic:spPr>
                      </pic:pic>
                    </a:graphicData>
                  </a:graphic>
                </wp:anchor>
              </w:drawing>
            </w:r>
            <w:r>
              <w:drawing>
                <wp:anchor distT="0" distB="0" distL="0" distR="0" simplePos="0" relativeHeight="251925504" behindDoc="0" locked="0" layoutInCell="1" allowOverlap="1">
                  <wp:simplePos x="0" y="0"/>
                  <wp:positionH relativeFrom="rightMargin">
                    <wp:posOffset>-496570</wp:posOffset>
                  </wp:positionH>
                  <wp:positionV relativeFrom="topMargin">
                    <wp:posOffset>4303395</wp:posOffset>
                  </wp:positionV>
                  <wp:extent cx="415925" cy="359410"/>
                  <wp:effectExtent l="0" t="0" r="0" b="0"/>
                  <wp:wrapNone/>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512"/>
                          <a:stretch>
                            <a:fillRect/>
                          </a:stretch>
                        </pic:blipFill>
                        <pic:spPr>
                          <a:xfrm>
                            <a:off x="0" y="0"/>
                            <a:ext cx="416052" cy="359664"/>
                          </a:xfrm>
                          <a:prstGeom prst="rect">
                            <a:avLst/>
                          </a:prstGeom>
                        </pic:spPr>
                      </pic:pic>
                    </a:graphicData>
                  </a:graphic>
                </wp:anchor>
              </w:drawing>
            </w:r>
            <w:r>
              <w:drawing>
                <wp:anchor distT="0" distB="0" distL="0" distR="0" simplePos="0" relativeHeight="251921408" behindDoc="1" locked="0" layoutInCell="1" allowOverlap="1">
                  <wp:simplePos x="0" y="0"/>
                  <wp:positionH relativeFrom="rightMargin">
                    <wp:posOffset>-8858885</wp:posOffset>
                  </wp:positionH>
                  <wp:positionV relativeFrom="topMargin">
                    <wp:posOffset>0</wp:posOffset>
                  </wp:positionV>
                  <wp:extent cx="8858885" cy="473329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513"/>
                          <a:stretch>
                            <a:fillRect/>
                          </a:stretch>
                        </pic:blipFill>
                        <pic:spPr>
                          <a:xfrm>
                            <a:off x="0" y="0"/>
                            <a:ext cx="8859011" cy="4733544"/>
                          </a:xfrm>
                          <a:prstGeom prst="rect">
                            <a:avLst/>
                          </a:prstGeom>
                        </pic:spPr>
                      </pic:pic>
                    </a:graphicData>
                  </a:graphic>
                </wp:anchor>
              </w:drawing>
            </w:r>
          </w:p>
          <w:p w14:paraId="1BD436B3">
            <w:pPr>
              <w:spacing w:line="326" w:lineRule="auto"/>
              <w:rPr>
                <w:rFonts w:ascii="Arial"/>
                <w:sz w:val="21"/>
              </w:rPr>
            </w:pPr>
          </w:p>
          <w:p w14:paraId="37B0330F">
            <w:pPr>
              <w:spacing w:line="6659" w:lineRule="exact"/>
              <w:ind w:firstLine="3463"/>
              <w:textAlignment w:val="center"/>
            </w:pPr>
            <w:r>
              <w:pict>
                <v:group id="_x0000_s1264" o:spid="_x0000_s1264" o:spt="203" style="height:333pt;width:342.55pt;" coordsize="6850,6660">
                  <o:lock v:ext="edit"/>
                  <v:shape id="_x0000_s1265" o:spid="_x0000_s1265" o:spt="75" type="#_x0000_t75" style="position:absolute;left:0;top:0;height:6660;width:6850;" filled="f" stroked="f" coordsize="21600,21600">
                    <v:path/>
                    <v:fill on="f" focussize="0,0"/>
                    <v:stroke on="f"/>
                    <v:imagedata r:id="rId514" o:title=""/>
                    <o:lock v:ext="edit" aspectratio="t"/>
                  </v:shape>
                  <v:shape id="_x0000_s1266" o:spid="_x0000_s1266" o:spt="75" type="#_x0000_t75" style="position:absolute;left:2016;top:1416;height:2906;width:3152;" filled="f" stroked="f" coordsize="21600,21600">
                    <v:path/>
                    <v:fill on="f" focussize="0,0"/>
                    <v:stroke on="f"/>
                    <v:imagedata r:id="rId515" o:title=""/>
                    <o:lock v:ext="edit" aspectratio="t"/>
                  </v:shape>
                  <v:shape id="_x0000_s1267" o:spid="_x0000_s1267" o:spt="75" type="#_x0000_t75" style="position:absolute;left:2804;top:2859;height:1023;width:1171;" filled="f" stroked="f" coordsize="21600,21600">
                    <v:path/>
                    <v:fill on="f" focussize="0,0"/>
                    <v:stroke on="f"/>
                    <v:imagedata r:id="rId516" o:title=""/>
                    <o:lock v:ext="edit" aspectratio="t"/>
                  </v:shape>
                  <v:shape id="_x0000_s1268" o:spid="_x0000_s1268" o:spt="202" type="#_x0000_t202" style="position:absolute;left:5168;top:2980;height:227;width:417;" filled="f" stroked="f" coordsize="21600,21600">
                    <v:path/>
                    <v:fill on="f" focussize="0,0"/>
                    <v:stroke on="f"/>
                    <v:imagedata o:title=""/>
                    <o:lock v:ext="edit" aspectratio="f"/>
                    <v:textbox inset="0mm,0mm,0mm,0mm">
                      <w:txbxContent>
                        <w:p w14:paraId="0C774694">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b/>
                              <w:bCs/>
                              <w:color w:val="FFFFFF"/>
                              <w:spacing w:val="6"/>
                              <w:sz w:val="20"/>
                              <w:szCs w:val="20"/>
                            </w:rPr>
                            <w:t>0</w:t>
                          </w:r>
                          <w:r>
                            <w:rPr>
                              <w:rFonts w:ascii="Times New Roman" w:hAnsi="Times New Roman" w:eastAsia="Times New Roman" w:cs="Times New Roman"/>
                              <w:b/>
                              <w:bCs/>
                              <w:color w:val="FFFFFF"/>
                              <w:spacing w:val="5"/>
                              <w:sz w:val="20"/>
                              <w:szCs w:val="20"/>
                            </w:rPr>
                            <w:t>0</w:t>
                          </w:r>
                          <w:r>
                            <w:rPr>
                              <w:rFonts w:ascii="Times New Roman" w:hAnsi="Times New Roman" w:eastAsia="Times New Roman" w:cs="Times New Roman"/>
                              <w:b/>
                              <w:bCs/>
                              <w:color w:val="FFFFFF"/>
                              <w:sz w:val="20"/>
                              <w:szCs w:val="20"/>
                            </w:rPr>
                            <w:t>m</w:t>
                          </w:r>
                        </w:p>
                      </w:txbxContent>
                    </v:textbox>
                  </v:shape>
                  <v:shape id="_x0000_s1269" o:spid="_x0000_s1269" o:spt="202" type="#_x0000_t202" style="position:absolute;left:5069;top:2980;height:227;width:131;" filled="f" stroked="f" coordsize="21600,21600">
                    <v:path/>
                    <v:fill on="f" focussize="0,0"/>
                    <v:stroke on="f"/>
                    <v:imagedata o:title=""/>
                    <o:lock v:ext="edit" aspectratio="f"/>
                    <v:textbox inset="0mm,0mm,0mm,0mm">
                      <w:txbxContent>
                        <w:p w14:paraId="131DD4C9">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b/>
                              <w:bCs/>
                              <w:color w:val="FFFFFF"/>
                              <w:sz w:val="20"/>
                              <w:szCs w:val="20"/>
                            </w:rPr>
                            <w:t>1</w:t>
                          </w:r>
                        </w:p>
                      </w:txbxContent>
                    </v:textbox>
                  </v:shape>
                  <v:shape id="_x0000_s1270" o:spid="_x0000_s1270" o:spt="75" type="#_x0000_t75" style="position:absolute;left:3943;top:3124;height:120;width:2836;" filled="f" stroked="f" coordsize="21600,21600">
                    <v:path/>
                    <v:fill on="f" focussize="0,0"/>
                    <v:stroke on="f"/>
                    <v:imagedata r:id="rId517" o:title=""/>
                    <o:lock v:ext="edit" aspectratio="t"/>
                  </v:shape>
                  <w10:wrap type="none"/>
                  <w10:anchorlock/>
                </v:group>
              </w:pict>
            </w:r>
          </w:p>
        </w:tc>
      </w:tr>
    </w:tbl>
    <w:p w14:paraId="72DA875D">
      <w:pPr>
        <w:spacing w:before="130" w:line="228" w:lineRule="auto"/>
        <w:ind w:left="5317"/>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图</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5-2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建设项目卫生包络线</w:t>
      </w:r>
      <w:r>
        <w:rPr>
          <w:rFonts w:ascii="宋体" w:hAnsi="宋体" w:eastAsia="宋体" w:cs="宋体"/>
          <w:sz w:val="23"/>
          <w:szCs w:val="23"/>
          <w14:textOutline w14:w="4358" w14:cap="sq" w14:cmpd="sng">
            <w14:solidFill>
              <w14:srgbClr w14:val="000000"/>
            </w14:solidFill>
            <w14:prstDash w14:val="solid"/>
            <w14:bevel/>
          </w14:textOutline>
        </w:rPr>
        <w:t>图</w:t>
      </w:r>
    </w:p>
    <w:p w14:paraId="13D10D02">
      <w:pPr>
        <w:sectPr>
          <w:headerReference r:id="rId219" w:type="default"/>
          <w:footerReference r:id="rId220" w:type="default"/>
          <w:pgSz w:w="16839" w:h="11906"/>
          <w:pgMar w:top="1132" w:right="1401" w:bottom="1182" w:left="1365" w:header="878" w:footer="1022" w:gutter="0"/>
          <w:cols w:space="720" w:num="1"/>
        </w:sectPr>
      </w:pPr>
    </w:p>
    <w:p w14:paraId="076BD66F">
      <w:pPr>
        <w:spacing w:line="246" w:lineRule="auto"/>
        <w:rPr>
          <w:rFonts w:ascii="Arial"/>
          <w:sz w:val="21"/>
        </w:rPr>
      </w:pPr>
      <w:r>
        <w:pict>
          <v:shape id="_x0000_s1271" o:spid="_x0000_s1271" style="position:absolute;left:0pt;margin-left:90pt;margin-top:57.35pt;height:0.75pt;width:415.3pt;mso-position-horizontal-relative:page;mso-position-vertical-relative:page;z-index:251926528;mso-width-relative:page;mso-height-relative:page;" fillcolor="#000000" filled="t" stroked="f" coordsize="8305,15" o:allowincell="f" path="m0,0l8305,0,8305,14,0,14,0,0xe">
            <v:path/>
            <v:fill on="t" focussize="0,0"/>
            <v:stroke on="f"/>
            <v:imagedata o:title=""/>
            <o:lock v:ext="edit"/>
          </v:shape>
        </w:pict>
      </w:r>
    </w:p>
    <w:p w14:paraId="72996165">
      <w:pPr>
        <w:spacing w:line="246" w:lineRule="auto"/>
        <w:rPr>
          <w:rFonts w:ascii="Arial"/>
          <w:sz w:val="21"/>
        </w:rPr>
      </w:pPr>
    </w:p>
    <w:p w14:paraId="5011D47D">
      <w:pPr>
        <w:spacing w:before="94" w:line="226" w:lineRule="auto"/>
        <w:ind w:left="33"/>
        <w:outlineLvl w:val="2"/>
        <w:rPr>
          <w:rFonts w:ascii="宋体" w:hAnsi="宋体" w:eastAsia="宋体" w:cs="宋体"/>
          <w:sz w:val="29"/>
          <w:szCs w:val="29"/>
        </w:rPr>
      </w:pPr>
      <w:r>
        <w:rPr>
          <w:rFonts w:ascii="Times New Roman" w:hAnsi="Times New Roman" w:eastAsia="Times New Roman" w:cs="Times New Roman"/>
          <w:b/>
          <w:bCs/>
          <w:spacing w:val="14"/>
          <w:sz w:val="29"/>
          <w:szCs w:val="29"/>
        </w:rPr>
        <w:t>5</w:t>
      </w:r>
      <w:r>
        <w:rPr>
          <w:rFonts w:ascii="Times New Roman" w:hAnsi="Times New Roman" w:eastAsia="Times New Roman" w:cs="Times New Roman"/>
          <w:b/>
          <w:bCs/>
          <w:spacing w:val="12"/>
          <w:sz w:val="29"/>
          <w:szCs w:val="29"/>
        </w:rPr>
        <w:t>.</w:t>
      </w:r>
      <w:r>
        <w:rPr>
          <w:rFonts w:ascii="Times New Roman" w:hAnsi="Times New Roman" w:eastAsia="Times New Roman" w:cs="Times New Roman"/>
          <w:b/>
          <w:bCs/>
          <w:spacing w:val="7"/>
          <w:sz w:val="29"/>
          <w:szCs w:val="29"/>
        </w:rPr>
        <w:t>2.2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运营期地表水环境影响分析</w:t>
      </w:r>
    </w:p>
    <w:p w14:paraId="498F9372">
      <w:pPr>
        <w:spacing w:line="257" w:lineRule="auto"/>
        <w:rPr>
          <w:rFonts w:ascii="Arial"/>
          <w:sz w:val="21"/>
        </w:rPr>
      </w:pPr>
    </w:p>
    <w:p w14:paraId="22B223D0">
      <w:pPr>
        <w:spacing w:before="74" w:line="227" w:lineRule="auto"/>
        <w:ind w:left="523"/>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1</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污水处理设施可行性分</w:t>
      </w:r>
      <w:r>
        <w:rPr>
          <w:rFonts w:ascii="宋体" w:hAnsi="宋体" w:eastAsia="宋体" w:cs="宋体"/>
          <w:spacing w:val="14"/>
          <w:sz w:val="23"/>
          <w:szCs w:val="23"/>
          <w14:textOutline w14:w="4358" w14:cap="sq" w14:cmpd="sng">
            <w14:solidFill>
              <w14:srgbClr w14:val="000000"/>
            </w14:solidFill>
            <w14:prstDash w14:val="solid"/>
            <w14:bevel/>
          </w14:textOutline>
        </w:rPr>
        <w:t>析</w:t>
      </w:r>
    </w:p>
    <w:p w14:paraId="63B5636E">
      <w:pPr>
        <w:spacing w:line="276" w:lineRule="auto"/>
        <w:rPr>
          <w:rFonts w:ascii="Arial"/>
          <w:sz w:val="21"/>
        </w:rPr>
      </w:pPr>
    </w:p>
    <w:p w14:paraId="1C0B0AA7">
      <w:pPr>
        <w:spacing w:before="75" w:line="395" w:lineRule="auto"/>
        <w:ind w:left="28" w:firstLine="484"/>
        <w:rPr>
          <w:rFonts w:ascii="宋体" w:hAnsi="宋体" w:eastAsia="宋体" w:cs="宋体"/>
          <w:sz w:val="23"/>
          <w:szCs w:val="23"/>
        </w:rPr>
      </w:pPr>
      <w:r>
        <w:rPr>
          <w:rFonts w:ascii="宋体" w:hAnsi="宋体" w:eastAsia="宋体" w:cs="宋体"/>
          <w:spacing w:val="7"/>
          <w:sz w:val="23"/>
          <w:szCs w:val="23"/>
        </w:rPr>
        <w:t>根据工程分析结果，该项目排水主要包括生活污水以及生产废水，其中生</w:t>
      </w:r>
      <w:r>
        <w:rPr>
          <w:rFonts w:ascii="宋体" w:hAnsi="宋体" w:eastAsia="宋体" w:cs="宋体"/>
          <w:spacing w:val="2"/>
          <w:sz w:val="23"/>
          <w:szCs w:val="23"/>
        </w:rPr>
        <w:t>产</w:t>
      </w:r>
      <w:r>
        <w:rPr>
          <w:rFonts w:ascii="宋体" w:hAnsi="宋体" w:eastAsia="宋体" w:cs="宋体"/>
          <w:sz w:val="23"/>
          <w:szCs w:val="23"/>
        </w:rPr>
        <w:t xml:space="preserve"> </w:t>
      </w:r>
      <w:r>
        <w:rPr>
          <w:rFonts w:ascii="宋体" w:hAnsi="宋体" w:eastAsia="宋体" w:cs="宋体"/>
          <w:spacing w:val="13"/>
          <w:sz w:val="23"/>
          <w:szCs w:val="23"/>
        </w:rPr>
        <w:t>废</w:t>
      </w:r>
      <w:r>
        <w:rPr>
          <w:rFonts w:ascii="宋体" w:hAnsi="宋体" w:eastAsia="宋体" w:cs="宋体"/>
          <w:spacing w:val="7"/>
          <w:sz w:val="23"/>
          <w:szCs w:val="23"/>
        </w:rPr>
        <w:t>水主要包括破碎工序产生的废水，原料初洗工序、洗字工序、二次清洗工序产</w:t>
      </w:r>
      <w:r>
        <w:rPr>
          <w:rFonts w:ascii="宋体" w:hAnsi="宋体" w:eastAsia="宋体" w:cs="宋体"/>
          <w:sz w:val="23"/>
          <w:szCs w:val="23"/>
        </w:rPr>
        <w:t xml:space="preserve"> </w:t>
      </w:r>
      <w:r>
        <w:rPr>
          <w:rFonts w:ascii="宋体" w:hAnsi="宋体" w:eastAsia="宋体" w:cs="宋体"/>
          <w:spacing w:val="-5"/>
          <w:sz w:val="23"/>
          <w:szCs w:val="23"/>
        </w:rPr>
        <w:t>生</w:t>
      </w:r>
      <w:r>
        <w:rPr>
          <w:rFonts w:ascii="宋体" w:hAnsi="宋体" w:eastAsia="宋体" w:cs="宋体"/>
          <w:spacing w:val="-22"/>
          <w:sz w:val="23"/>
          <w:szCs w:val="23"/>
        </w:rPr>
        <w:t xml:space="preserve"> </w:t>
      </w:r>
      <w:r>
        <w:rPr>
          <w:rFonts w:ascii="宋体" w:hAnsi="宋体" w:eastAsia="宋体" w:cs="宋体"/>
          <w:spacing w:val="-5"/>
          <w:sz w:val="23"/>
          <w:szCs w:val="23"/>
        </w:rPr>
        <w:t>的</w:t>
      </w:r>
      <w:r>
        <w:rPr>
          <w:rFonts w:ascii="宋体" w:hAnsi="宋体" w:eastAsia="宋体" w:cs="宋体"/>
          <w:spacing w:val="-67"/>
          <w:sz w:val="23"/>
          <w:szCs w:val="23"/>
        </w:rPr>
        <w:t xml:space="preserve"> </w:t>
      </w:r>
      <w:r>
        <w:rPr>
          <w:rFonts w:ascii="宋体" w:hAnsi="宋体" w:eastAsia="宋体" w:cs="宋体"/>
          <w:spacing w:val="-5"/>
          <w:sz w:val="23"/>
          <w:szCs w:val="23"/>
        </w:rPr>
        <w:t>清</w:t>
      </w:r>
      <w:r>
        <w:rPr>
          <w:rFonts w:ascii="宋体" w:hAnsi="宋体" w:eastAsia="宋体" w:cs="宋体"/>
          <w:spacing w:val="-68"/>
          <w:sz w:val="23"/>
          <w:szCs w:val="23"/>
        </w:rPr>
        <w:t xml:space="preserve"> </w:t>
      </w:r>
      <w:r>
        <w:rPr>
          <w:rFonts w:ascii="宋体" w:hAnsi="宋体" w:eastAsia="宋体" w:cs="宋体"/>
          <w:spacing w:val="-5"/>
          <w:sz w:val="23"/>
          <w:szCs w:val="23"/>
        </w:rPr>
        <w:t>洗</w:t>
      </w:r>
      <w:r>
        <w:rPr>
          <w:rFonts w:ascii="宋体" w:hAnsi="宋体" w:eastAsia="宋体" w:cs="宋体"/>
          <w:spacing w:val="-69"/>
          <w:sz w:val="23"/>
          <w:szCs w:val="23"/>
        </w:rPr>
        <w:t xml:space="preserve"> </w:t>
      </w:r>
      <w:r>
        <w:rPr>
          <w:rFonts w:ascii="宋体" w:hAnsi="宋体" w:eastAsia="宋体" w:cs="宋体"/>
          <w:spacing w:val="-5"/>
          <w:sz w:val="23"/>
          <w:szCs w:val="23"/>
        </w:rPr>
        <w:t>废</w:t>
      </w:r>
      <w:r>
        <w:rPr>
          <w:rFonts w:ascii="宋体" w:hAnsi="宋体" w:eastAsia="宋体" w:cs="宋体"/>
          <w:spacing w:val="-66"/>
          <w:sz w:val="23"/>
          <w:szCs w:val="23"/>
        </w:rPr>
        <w:t xml:space="preserve"> </w:t>
      </w:r>
      <w:r>
        <w:rPr>
          <w:rFonts w:ascii="宋体" w:hAnsi="宋体" w:eastAsia="宋体" w:cs="宋体"/>
          <w:spacing w:val="-5"/>
          <w:sz w:val="23"/>
          <w:szCs w:val="23"/>
        </w:rPr>
        <w:t>水</w:t>
      </w:r>
      <w:r>
        <w:rPr>
          <w:rFonts w:ascii="宋体" w:hAnsi="宋体" w:eastAsia="宋体" w:cs="宋体"/>
          <w:spacing w:val="-51"/>
          <w:sz w:val="23"/>
          <w:szCs w:val="23"/>
        </w:rPr>
        <w:t xml:space="preserve"> </w:t>
      </w:r>
      <w:r>
        <w:rPr>
          <w:rFonts w:ascii="宋体" w:hAnsi="宋体" w:eastAsia="宋体" w:cs="宋体"/>
          <w:spacing w:val="-5"/>
          <w:sz w:val="23"/>
          <w:szCs w:val="23"/>
        </w:rPr>
        <w:t>、</w:t>
      </w:r>
      <w:r>
        <w:rPr>
          <w:rFonts w:ascii="宋体" w:hAnsi="宋体" w:eastAsia="宋体" w:cs="宋体"/>
          <w:spacing w:val="-59"/>
          <w:sz w:val="23"/>
          <w:szCs w:val="23"/>
        </w:rPr>
        <w:t xml:space="preserve"> </w:t>
      </w:r>
      <w:r>
        <w:rPr>
          <w:rFonts w:ascii="宋体" w:hAnsi="宋体" w:eastAsia="宋体" w:cs="宋体"/>
          <w:spacing w:val="-5"/>
          <w:sz w:val="23"/>
          <w:szCs w:val="23"/>
        </w:rPr>
        <w:t>脱</w:t>
      </w:r>
      <w:r>
        <w:rPr>
          <w:rFonts w:ascii="宋体" w:hAnsi="宋体" w:eastAsia="宋体" w:cs="宋体"/>
          <w:spacing w:val="-65"/>
          <w:sz w:val="23"/>
          <w:szCs w:val="23"/>
        </w:rPr>
        <w:t xml:space="preserve"> </w:t>
      </w:r>
      <w:r>
        <w:rPr>
          <w:rFonts w:ascii="宋体" w:hAnsi="宋体" w:eastAsia="宋体" w:cs="宋体"/>
          <w:spacing w:val="-5"/>
          <w:sz w:val="23"/>
          <w:szCs w:val="23"/>
        </w:rPr>
        <w:t>水</w:t>
      </w:r>
      <w:r>
        <w:rPr>
          <w:rFonts w:ascii="宋体" w:hAnsi="宋体" w:eastAsia="宋体" w:cs="宋体"/>
          <w:spacing w:val="-64"/>
          <w:sz w:val="23"/>
          <w:szCs w:val="23"/>
        </w:rPr>
        <w:t xml:space="preserve"> </w:t>
      </w:r>
      <w:r>
        <w:rPr>
          <w:rFonts w:ascii="宋体" w:hAnsi="宋体" w:eastAsia="宋体" w:cs="宋体"/>
          <w:spacing w:val="-5"/>
          <w:sz w:val="23"/>
          <w:szCs w:val="23"/>
        </w:rPr>
        <w:t>工</w:t>
      </w:r>
      <w:r>
        <w:rPr>
          <w:rFonts w:ascii="宋体" w:hAnsi="宋体" w:eastAsia="宋体" w:cs="宋体"/>
          <w:spacing w:val="-68"/>
          <w:sz w:val="23"/>
          <w:szCs w:val="23"/>
        </w:rPr>
        <w:t xml:space="preserve"> </w:t>
      </w:r>
      <w:r>
        <w:rPr>
          <w:rFonts w:ascii="宋体" w:hAnsi="宋体" w:eastAsia="宋体" w:cs="宋体"/>
          <w:spacing w:val="-5"/>
          <w:sz w:val="23"/>
          <w:szCs w:val="23"/>
        </w:rPr>
        <w:t>序</w:t>
      </w:r>
      <w:r>
        <w:rPr>
          <w:rFonts w:ascii="宋体" w:hAnsi="宋体" w:eastAsia="宋体" w:cs="宋体"/>
          <w:spacing w:val="-68"/>
          <w:sz w:val="23"/>
          <w:szCs w:val="23"/>
        </w:rPr>
        <w:t xml:space="preserve"> </w:t>
      </w:r>
      <w:r>
        <w:rPr>
          <w:rFonts w:ascii="宋体" w:hAnsi="宋体" w:eastAsia="宋体" w:cs="宋体"/>
          <w:spacing w:val="-5"/>
          <w:sz w:val="23"/>
          <w:szCs w:val="23"/>
        </w:rPr>
        <w:t>产</w:t>
      </w:r>
      <w:r>
        <w:rPr>
          <w:rFonts w:ascii="宋体" w:hAnsi="宋体" w:eastAsia="宋体" w:cs="宋体"/>
          <w:spacing w:val="-65"/>
          <w:sz w:val="23"/>
          <w:szCs w:val="23"/>
        </w:rPr>
        <w:t xml:space="preserve"> </w:t>
      </w:r>
      <w:r>
        <w:rPr>
          <w:rFonts w:ascii="宋体" w:hAnsi="宋体" w:eastAsia="宋体" w:cs="宋体"/>
          <w:spacing w:val="-5"/>
          <w:sz w:val="23"/>
          <w:szCs w:val="23"/>
        </w:rPr>
        <w:t>生</w:t>
      </w:r>
      <w:r>
        <w:rPr>
          <w:rFonts w:ascii="宋体" w:hAnsi="宋体" w:eastAsia="宋体" w:cs="宋体"/>
          <w:spacing w:val="-48"/>
          <w:sz w:val="23"/>
          <w:szCs w:val="23"/>
        </w:rPr>
        <w:t xml:space="preserve"> </w:t>
      </w:r>
      <w:r>
        <w:rPr>
          <w:rFonts w:ascii="宋体" w:hAnsi="宋体" w:eastAsia="宋体" w:cs="宋体"/>
          <w:spacing w:val="-5"/>
          <w:sz w:val="23"/>
          <w:szCs w:val="23"/>
        </w:rPr>
        <w:t>的</w:t>
      </w:r>
      <w:r>
        <w:rPr>
          <w:rFonts w:ascii="宋体" w:hAnsi="宋体" w:eastAsia="宋体" w:cs="宋体"/>
          <w:spacing w:val="-70"/>
          <w:sz w:val="23"/>
          <w:szCs w:val="23"/>
        </w:rPr>
        <w:t xml:space="preserve"> </w:t>
      </w:r>
      <w:r>
        <w:rPr>
          <w:rFonts w:ascii="宋体" w:hAnsi="宋体" w:eastAsia="宋体" w:cs="宋体"/>
          <w:spacing w:val="-5"/>
          <w:sz w:val="23"/>
          <w:szCs w:val="23"/>
        </w:rPr>
        <w:t>废</w:t>
      </w:r>
      <w:r>
        <w:rPr>
          <w:rFonts w:ascii="宋体" w:hAnsi="宋体" w:eastAsia="宋体" w:cs="宋体"/>
          <w:spacing w:val="-65"/>
          <w:sz w:val="23"/>
          <w:szCs w:val="23"/>
        </w:rPr>
        <w:t xml:space="preserve"> </w:t>
      </w:r>
      <w:r>
        <w:rPr>
          <w:rFonts w:ascii="宋体" w:hAnsi="宋体" w:eastAsia="宋体" w:cs="宋体"/>
          <w:spacing w:val="-5"/>
          <w:sz w:val="23"/>
          <w:szCs w:val="23"/>
        </w:rPr>
        <w:t>水</w:t>
      </w:r>
      <w:r>
        <w:rPr>
          <w:rFonts w:ascii="宋体" w:hAnsi="宋体" w:eastAsia="宋体" w:cs="宋体"/>
          <w:spacing w:val="-40"/>
          <w:sz w:val="23"/>
          <w:szCs w:val="23"/>
        </w:rPr>
        <w:t xml:space="preserve"> </w:t>
      </w:r>
      <w:r>
        <w:rPr>
          <w:rFonts w:ascii="宋体" w:hAnsi="宋体" w:eastAsia="宋体" w:cs="宋体"/>
          <w:spacing w:val="-5"/>
          <w:sz w:val="23"/>
          <w:szCs w:val="23"/>
        </w:rPr>
        <w:t>以</w:t>
      </w:r>
      <w:r>
        <w:rPr>
          <w:rFonts w:ascii="宋体" w:hAnsi="宋体" w:eastAsia="宋体" w:cs="宋体"/>
          <w:spacing w:val="-68"/>
          <w:sz w:val="23"/>
          <w:szCs w:val="23"/>
        </w:rPr>
        <w:t xml:space="preserve"> </w:t>
      </w:r>
      <w:r>
        <w:rPr>
          <w:rFonts w:ascii="宋体" w:hAnsi="宋体" w:eastAsia="宋体" w:cs="宋体"/>
          <w:spacing w:val="-5"/>
          <w:sz w:val="23"/>
          <w:szCs w:val="23"/>
        </w:rPr>
        <w:t>及</w:t>
      </w:r>
      <w:r>
        <w:rPr>
          <w:rFonts w:ascii="宋体" w:hAnsi="宋体" w:eastAsia="宋体" w:cs="宋体"/>
          <w:spacing w:val="-67"/>
          <w:sz w:val="23"/>
          <w:szCs w:val="23"/>
        </w:rPr>
        <w:t xml:space="preserve"> </w:t>
      </w:r>
      <w:r>
        <w:rPr>
          <w:rFonts w:ascii="宋体" w:hAnsi="宋体" w:eastAsia="宋体" w:cs="宋体"/>
          <w:spacing w:val="-5"/>
          <w:sz w:val="23"/>
          <w:szCs w:val="23"/>
        </w:rPr>
        <w:t>循</w:t>
      </w:r>
      <w:r>
        <w:rPr>
          <w:rFonts w:ascii="宋体" w:hAnsi="宋体" w:eastAsia="宋体" w:cs="宋体"/>
          <w:spacing w:val="-67"/>
          <w:sz w:val="23"/>
          <w:szCs w:val="23"/>
        </w:rPr>
        <w:t xml:space="preserve"> </w:t>
      </w:r>
      <w:r>
        <w:rPr>
          <w:rFonts w:ascii="宋体" w:hAnsi="宋体" w:eastAsia="宋体" w:cs="宋体"/>
          <w:spacing w:val="-5"/>
          <w:sz w:val="23"/>
          <w:szCs w:val="23"/>
        </w:rPr>
        <w:t>环</w:t>
      </w:r>
      <w:r>
        <w:rPr>
          <w:rFonts w:ascii="宋体" w:hAnsi="宋体" w:eastAsia="宋体" w:cs="宋体"/>
          <w:spacing w:val="-66"/>
          <w:sz w:val="23"/>
          <w:szCs w:val="23"/>
        </w:rPr>
        <w:t xml:space="preserve"> </w:t>
      </w:r>
      <w:r>
        <w:rPr>
          <w:rFonts w:ascii="宋体" w:hAnsi="宋体" w:eastAsia="宋体" w:cs="宋体"/>
          <w:spacing w:val="-5"/>
          <w:sz w:val="23"/>
          <w:szCs w:val="23"/>
        </w:rPr>
        <w:t>冷</w:t>
      </w:r>
      <w:r>
        <w:rPr>
          <w:rFonts w:ascii="宋体" w:hAnsi="宋体" w:eastAsia="宋体" w:cs="宋体"/>
          <w:spacing w:val="-62"/>
          <w:sz w:val="23"/>
          <w:szCs w:val="23"/>
        </w:rPr>
        <w:t xml:space="preserve"> </w:t>
      </w:r>
      <w:r>
        <w:rPr>
          <w:rFonts w:ascii="宋体" w:hAnsi="宋体" w:eastAsia="宋体" w:cs="宋体"/>
          <w:spacing w:val="-5"/>
          <w:sz w:val="23"/>
          <w:szCs w:val="23"/>
        </w:rPr>
        <w:t>却</w:t>
      </w:r>
      <w:r>
        <w:rPr>
          <w:rFonts w:ascii="宋体" w:hAnsi="宋体" w:eastAsia="宋体" w:cs="宋体"/>
          <w:spacing w:val="-68"/>
          <w:sz w:val="23"/>
          <w:szCs w:val="23"/>
        </w:rPr>
        <w:t xml:space="preserve"> </w:t>
      </w:r>
      <w:r>
        <w:rPr>
          <w:rFonts w:ascii="宋体" w:hAnsi="宋体" w:eastAsia="宋体" w:cs="宋体"/>
          <w:spacing w:val="-5"/>
          <w:sz w:val="23"/>
          <w:szCs w:val="23"/>
        </w:rPr>
        <w:t>废</w:t>
      </w:r>
      <w:r>
        <w:rPr>
          <w:rFonts w:ascii="宋体" w:hAnsi="宋体" w:eastAsia="宋体" w:cs="宋体"/>
          <w:spacing w:val="-67"/>
          <w:sz w:val="23"/>
          <w:szCs w:val="23"/>
        </w:rPr>
        <w:t xml:space="preserve"> </w:t>
      </w:r>
      <w:r>
        <w:rPr>
          <w:rFonts w:ascii="宋体" w:hAnsi="宋体" w:eastAsia="宋体" w:cs="宋体"/>
          <w:spacing w:val="-5"/>
          <w:sz w:val="23"/>
          <w:szCs w:val="23"/>
        </w:rPr>
        <w:t>水</w:t>
      </w:r>
      <w:r>
        <w:rPr>
          <w:rFonts w:ascii="宋体" w:hAnsi="宋体" w:eastAsia="宋体" w:cs="宋体"/>
          <w:spacing w:val="-48"/>
          <w:sz w:val="23"/>
          <w:szCs w:val="23"/>
        </w:rPr>
        <w:t xml:space="preserve"> </w:t>
      </w:r>
      <w:r>
        <w:rPr>
          <w:rFonts w:ascii="宋体" w:hAnsi="宋体" w:eastAsia="宋体" w:cs="宋体"/>
          <w:spacing w:val="-5"/>
          <w:sz w:val="23"/>
          <w:szCs w:val="23"/>
        </w:rPr>
        <w:t>，</w:t>
      </w:r>
      <w:r>
        <w:rPr>
          <w:rFonts w:ascii="宋体" w:hAnsi="宋体" w:eastAsia="宋体" w:cs="宋体"/>
          <w:spacing w:val="-53"/>
          <w:sz w:val="23"/>
          <w:szCs w:val="23"/>
        </w:rPr>
        <w:t xml:space="preserve"> </w:t>
      </w:r>
      <w:r>
        <w:rPr>
          <w:rFonts w:ascii="宋体" w:hAnsi="宋体" w:eastAsia="宋体" w:cs="宋体"/>
          <w:spacing w:val="-5"/>
          <w:sz w:val="23"/>
          <w:szCs w:val="23"/>
        </w:rPr>
        <w:t>总</w:t>
      </w:r>
      <w:r>
        <w:rPr>
          <w:rFonts w:ascii="宋体" w:hAnsi="宋体" w:eastAsia="宋体" w:cs="宋体"/>
          <w:spacing w:val="-67"/>
          <w:sz w:val="23"/>
          <w:szCs w:val="23"/>
        </w:rPr>
        <w:t xml:space="preserve"> </w:t>
      </w:r>
      <w:r>
        <w:rPr>
          <w:rFonts w:ascii="宋体" w:hAnsi="宋体" w:eastAsia="宋体" w:cs="宋体"/>
          <w:spacing w:val="-5"/>
          <w:sz w:val="23"/>
          <w:szCs w:val="23"/>
        </w:rPr>
        <w:t>排</w:t>
      </w:r>
      <w:r>
        <w:rPr>
          <w:rFonts w:ascii="宋体" w:hAnsi="宋体" w:eastAsia="宋体" w:cs="宋体"/>
          <w:spacing w:val="-65"/>
          <w:sz w:val="23"/>
          <w:szCs w:val="23"/>
        </w:rPr>
        <w:t xml:space="preserve"> </w:t>
      </w:r>
      <w:r>
        <w:rPr>
          <w:rFonts w:ascii="宋体" w:hAnsi="宋体" w:eastAsia="宋体" w:cs="宋体"/>
          <w:spacing w:val="-5"/>
          <w:sz w:val="23"/>
          <w:szCs w:val="23"/>
        </w:rPr>
        <w:t>水</w:t>
      </w:r>
      <w:r>
        <w:rPr>
          <w:rFonts w:ascii="宋体" w:hAnsi="宋体" w:eastAsia="宋体" w:cs="宋体"/>
          <w:spacing w:val="-67"/>
          <w:sz w:val="23"/>
          <w:szCs w:val="23"/>
        </w:rPr>
        <w:t xml:space="preserve"> </w:t>
      </w:r>
      <w:r>
        <w:rPr>
          <w:rFonts w:ascii="宋体" w:hAnsi="宋体" w:eastAsia="宋体" w:cs="宋体"/>
          <w:spacing w:val="-5"/>
          <w:sz w:val="23"/>
          <w:szCs w:val="23"/>
        </w:rPr>
        <w:t>量</w:t>
      </w:r>
      <w:r>
        <w:rPr>
          <w:rFonts w:ascii="宋体" w:hAnsi="宋体" w:eastAsia="宋体" w:cs="宋体"/>
          <w:spacing w:val="-67"/>
          <w:sz w:val="23"/>
          <w:szCs w:val="23"/>
        </w:rPr>
        <w:t xml:space="preserve"> </w:t>
      </w:r>
      <w:r>
        <w:rPr>
          <w:rFonts w:ascii="宋体" w:hAnsi="宋体" w:eastAsia="宋体" w:cs="宋体"/>
          <w:spacing w:val="-5"/>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1"/>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z w:val="23"/>
          <w:szCs w:val="23"/>
        </w:rPr>
        <w:t xml:space="preserve">。其中，生活污水排放量为 </w:t>
      </w:r>
      <w:r>
        <w:rPr>
          <w:rFonts w:ascii="Times New Roman" w:hAnsi="Times New Roman" w:eastAsia="Times New Roman" w:cs="Times New Roman"/>
          <w:sz w:val="23"/>
          <w:szCs w:val="23"/>
        </w:rPr>
        <w:t>960m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 xml:space="preserve">；生产废水排放量为 </w:t>
      </w:r>
      <w:r>
        <w:rPr>
          <w:rFonts w:ascii="Times New Roman" w:hAnsi="Times New Roman" w:eastAsia="Times New Roman" w:cs="Times New Roman"/>
          <w:sz w:val="23"/>
          <w:szCs w:val="23"/>
        </w:rPr>
        <w:t>1523.52m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w:t>
      </w:r>
    </w:p>
    <w:p w14:paraId="6A717776">
      <w:pPr>
        <w:spacing w:before="105" w:line="388" w:lineRule="auto"/>
        <w:ind w:left="31" w:right="14" w:firstLine="484"/>
        <w:rPr>
          <w:rFonts w:ascii="宋体" w:hAnsi="宋体" w:eastAsia="宋体" w:cs="宋体"/>
          <w:sz w:val="23"/>
          <w:szCs w:val="23"/>
        </w:rPr>
      </w:pPr>
      <w:r>
        <w:rPr>
          <w:rFonts w:ascii="宋体" w:hAnsi="宋体" w:eastAsia="宋体" w:cs="宋体"/>
          <w:spacing w:val="23"/>
          <w:sz w:val="23"/>
          <w:szCs w:val="23"/>
        </w:rPr>
        <w:t>该</w:t>
      </w:r>
      <w:r>
        <w:rPr>
          <w:rFonts w:ascii="宋体" w:hAnsi="宋体" w:eastAsia="宋体" w:cs="宋体"/>
          <w:spacing w:val="16"/>
          <w:sz w:val="23"/>
          <w:szCs w:val="23"/>
        </w:rPr>
        <w:t>项目在厂区东南侧设有旱厕，员工使用防渗旱厕，定期清掏，不外排；</w:t>
      </w:r>
      <w:r>
        <w:rPr>
          <w:rFonts w:ascii="宋体" w:hAnsi="宋体" w:eastAsia="宋体" w:cs="宋体"/>
          <w:sz w:val="23"/>
          <w:szCs w:val="23"/>
        </w:rPr>
        <w:t xml:space="preserve"> </w:t>
      </w:r>
      <w:r>
        <w:rPr>
          <w:rFonts w:ascii="宋体" w:hAnsi="宋体" w:eastAsia="宋体" w:cs="宋体"/>
          <w:spacing w:val="1"/>
          <w:sz w:val="23"/>
          <w:szCs w:val="23"/>
        </w:rPr>
        <w:t xml:space="preserve">项目设有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的三级沉淀池 (</w:t>
      </w:r>
      <w:r>
        <w:rPr>
          <w:rFonts w:ascii="Times New Roman" w:hAnsi="Times New Roman" w:eastAsia="Times New Roman" w:cs="Times New Roman"/>
          <w:sz w:val="23"/>
          <w:szCs w:val="23"/>
        </w:rPr>
        <w:t>12m×6m×4.5m</w:t>
      </w:r>
      <w:r>
        <w:rPr>
          <w:rFonts w:ascii="宋体" w:hAnsi="宋体" w:eastAsia="宋体" w:cs="宋体"/>
          <w:sz w:val="23"/>
          <w:szCs w:val="23"/>
        </w:rPr>
        <w:t xml:space="preserve">) ，同时配套设有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台 </w:t>
      </w:r>
      <w:r>
        <w:rPr>
          <w:rFonts w:ascii="宋体" w:hAnsi="宋体" w:eastAsia="宋体" w:cs="宋体"/>
          <w:spacing w:val="9"/>
          <w:sz w:val="23"/>
          <w:szCs w:val="23"/>
        </w:rPr>
        <w:t>一</w:t>
      </w:r>
      <w:r>
        <w:rPr>
          <w:rFonts w:ascii="宋体" w:hAnsi="宋体" w:eastAsia="宋体" w:cs="宋体"/>
          <w:spacing w:val="7"/>
          <w:sz w:val="23"/>
          <w:szCs w:val="23"/>
        </w:rPr>
        <w:t>体化污水预处理设备，均位于生产厂房西南侧，产生的生产废水经一体化污水</w:t>
      </w:r>
      <w:r>
        <w:rPr>
          <w:rFonts w:ascii="宋体" w:hAnsi="宋体" w:eastAsia="宋体" w:cs="宋体"/>
          <w:sz w:val="23"/>
          <w:szCs w:val="23"/>
        </w:rPr>
        <w:t xml:space="preserve"> </w:t>
      </w:r>
      <w:r>
        <w:rPr>
          <w:rFonts w:ascii="宋体" w:hAnsi="宋体" w:eastAsia="宋体" w:cs="宋体"/>
          <w:spacing w:val="12"/>
          <w:sz w:val="23"/>
          <w:szCs w:val="23"/>
        </w:rPr>
        <w:t>预处</w:t>
      </w:r>
      <w:r>
        <w:rPr>
          <w:rFonts w:ascii="宋体" w:hAnsi="宋体" w:eastAsia="宋体" w:cs="宋体"/>
          <w:spacing w:val="8"/>
          <w:sz w:val="23"/>
          <w:szCs w:val="23"/>
        </w:rPr>
        <w:t>理</w:t>
      </w:r>
      <w:r>
        <w:rPr>
          <w:rFonts w:ascii="宋体" w:hAnsi="宋体" w:eastAsia="宋体" w:cs="宋体"/>
          <w:spacing w:val="6"/>
          <w:sz w:val="23"/>
          <w:szCs w:val="23"/>
        </w:rPr>
        <w:t>设备处理后排入三级沉淀池 (</w:t>
      </w:r>
      <w:r>
        <w:rPr>
          <w:rFonts w:ascii="Times New Roman" w:hAnsi="Times New Roman" w:eastAsia="Times New Roman" w:cs="Times New Roman"/>
          <w:spacing w:val="6"/>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×4.5</w:t>
      </w:r>
      <w:r>
        <w:rPr>
          <w:rFonts w:ascii="Times New Roman" w:hAnsi="Times New Roman" w:eastAsia="Times New Roman" w:cs="Times New Roman"/>
          <w:sz w:val="23"/>
          <w:szCs w:val="23"/>
        </w:rPr>
        <w:t>m</w:t>
      </w:r>
      <w:r>
        <w:rPr>
          <w:rFonts w:ascii="宋体" w:hAnsi="宋体" w:eastAsia="宋体" w:cs="宋体"/>
          <w:spacing w:val="6"/>
          <w:sz w:val="23"/>
          <w:szCs w:val="23"/>
        </w:rPr>
        <w:t>) 沉淀处理，随后循环使用。</w:t>
      </w:r>
      <w:r>
        <w:rPr>
          <w:rFonts w:ascii="宋体" w:hAnsi="宋体" w:eastAsia="宋体" w:cs="宋体"/>
          <w:sz w:val="23"/>
          <w:szCs w:val="23"/>
        </w:rPr>
        <w:t xml:space="preserve"> </w:t>
      </w:r>
      <w:r>
        <w:rPr>
          <w:rFonts w:ascii="宋体" w:hAnsi="宋体" w:eastAsia="宋体" w:cs="宋体"/>
          <w:spacing w:val="1"/>
          <w:sz w:val="23"/>
          <w:szCs w:val="23"/>
        </w:rPr>
        <w:t>污水处理设施</w:t>
      </w:r>
      <w:r>
        <w:rPr>
          <w:rFonts w:ascii="宋体" w:hAnsi="宋体" w:eastAsia="宋体" w:cs="宋体"/>
          <w:sz w:val="23"/>
          <w:szCs w:val="23"/>
        </w:rPr>
        <w:t xml:space="preserve">废水每月更换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次，则该项目全年更换废水量为 </w:t>
      </w:r>
      <w:r>
        <w:rPr>
          <w:rFonts w:ascii="Times New Roman" w:hAnsi="Times New Roman" w:eastAsia="Times New Roman" w:cs="Times New Roman"/>
          <w:sz w:val="23"/>
          <w:szCs w:val="23"/>
        </w:rPr>
        <w:t>1523.52m</w:t>
      </w:r>
      <w:r>
        <w:rPr>
          <w:rFonts w:ascii="Times New Roman" w:hAnsi="Times New Roman" w:eastAsia="Times New Roman" w:cs="Times New Roman"/>
          <w:position w:val="8"/>
          <w:sz w:val="15"/>
          <w:szCs w:val="15"/>
        </w:rPr>
        <w:t>3</w:t>
      </w:r>
      <w:r>
        <w:rPr>
          <w:rFonts w:ascii="宋体" w:hAnsi="宋体" w:eastAsia="宋体" w:cs="宋体"/>
          <w:sz w:val="23"/>
          <w:szCs w:val="23"/>
        </w:rPr>
        <w:t xml:space="preserve">，更换过 </w:t>
      </w:r>
      <w:r>
        <w:rPr>
          <w:rFonts w:ascii="宋体" w:hAnsi="宋体" w:eastAsia="宋体" w:cs="宋体"/>
          <w:spacing w:val="-2"/>
          <w:sz w:val="23"/>
          <w:szCs w:val="23"/>
        </w:rPr>
        <w:t>程产生的废水经吸污车运送至本溪市科态污水处理有限责任公司统一</w:t>
      </w:r>
      <w:r>
        <w:rPr>
          <w:rFonts w:ascii="宋体" w:hAnsi="宋体" w:eastAsia="宋体" w:cs="宋体"/>
          <w:spacing w:val="-1"/>
          <w:sz w:val="23"/>
          <w:szCs w:val="23"/>
        </w:rPr>
        <w:t>处</w:t>
      </w:r>
      <w:r>
        <w:rPr>
          <w:rFonts w:ascii="宋体" w:hAnsi="宋体" w:eastAsia="宋体" w:cs="宋体"/>
          <w:sz w:val="23"/>
          <w:szCs w:val="23"/>
        </w:rPr>
        <w:t>理。</w:t>
      </w:r>
    </w:p>
    <w:p w14:paraId="0179C3AD">
      <w:pPr>
        <w:spacing w:before="94" w:line="401" w:lineRule="auto"/>
        <w:ind w:left="32" w:right="80" w:firstLine="480"/>
        <w:rPr>
          <w:rFonts w:ascii="宋体" w:hAnsi="宋体" w:eastAsia="宋体" w:cs="宋体"/>
          <w:sz w:val="23"/>
          <w:szCs w:val="23"/>
        </w:rPr>
      </w:pPr>
      <w:r>
        <w:rPr>
          <w:rFonts w:ascii="宋体" w:hAnsi="宋体" w:eastAsia="宋体" w:cs="宋体"/>
          <w:spacing w:val="12"/>
          <w:sz w:val="23"/>
          <w:szCs w:val="23"/>
        </w:rPr>
        <w:t>根据</w:t>
      </w:r>
      <w:r>
        <w:rPr>
          <w:rFonts w:ascii="宋体" w:hAnsi="宋体" w:eastAsia="宋体" w:cs="宋体"/>
          <w:spacing w:val="7"/>
          <w:sz w:val="23"/>
          <w:szCs w:val="23"/>
        </w:rPr>
        <w:t>建</w:t>
      </w:r>
      <w:r>
        <w:rPr>
          <w:rFonts w:ascii="宋体" w:hAnsi="宋体" w:eastAsia="宋体" w:cs="宋体"/>
          <w:spacing w:val="6"/>
          <w:sz w:val="23"/>
          <w:szCs w:val="23"/>
        </w:rPr>
        <w:t>设单位提供的资料，该项目拟采用</w:t>
      </w:r>
      <w:r>
        <w:rPr>
          <w:rFonts w:ascii="Times New Roman" w:hAnsi="Times New Roman" w:eastAsia="Times New Roman" w:cs="Times New Roman"/>
          <w:spacing w:val="6"/>
          <w:sz w:val="23"/>
          <w:szCs w:val="23"/>
        </w:rPr>
        <w:t>“</w:t>
      </w:r>
      <w:r>
        <w:rPr>
          <w:rFonts w:ascii="宋体" w:hAnsi="宋体" w:eastAsia="宋体" w:cs="宋体"/>
          <w:spacing w:val="6"/>
          <w:sz w:val="23"/>
          <w:szCs w:val="23"/>
        </w:rPr>
        <w:t>调节</w:t>
      </w:r>
      <w:r>
        <w:rPr>
          <w:rFonts w:ascii="Times New Roman" w:hAnsi="Times New Roman" w:eastAsia="Times New Roman" w:cs="Times New Roman"/>
          <w:spacing w:val="6"/>
          <w:sz w:val="23"/>
          <w:szCs w:val="23"/>
        </w:rPr>
        <w:t>+</w:t>
      </w:r>
      <w:r>
        <w:rPr>
          <w:rFonts w:ascii="宋体" w:hAnsi="宋体" w:eastAsia="宋体" w:cs="宋体"/>
          <w:spacing w:val="6"/>
          <w:sz w:val="23"/>
          <w:szCs w:val="23"/>
        </w:rPr>
        <w:t>混凝</w:t>
      </w:r>
      <w:r>
        <w:rPr>
          <w:rFonts w:ascii="Times New Roman" w:hAnsi="Times New Roman" w:eastAsia="Times New Roman" w:cs="Times New Roman"/>
          <w:spacing w:val="6"/>
          <w:sz w:val="23"/>
          <w:szCs w:val="23"/>
        </w:rPr>
        <w:t>+</w:t>
      </w:r>
      <w:r>
        <w:rPr>
          <w:rFonts w:ascii="宋体" w:hAnsi="宋体" w:eastAsia="宋体" w:cs="宋体"/>
          <w:spacing w:val="6"/>
          <w:sz w:val="23"/>
          <w:szCs w:val="23"/>
        </w:rPr>
        <w:t>气浮工艺</w:t>
      </w:r>
      <w:r>
        <w:rPr>
          <w:rFonts w:ascii="Times New Roman" w:hAnsi="Times New Roman" w:eastAsia="Times New Roman" w:cs="Times New Roman"/>
          <w:spacing w:val="6"/>
          <w:sz w:val="23"/>
          <w:szCs w:val="23"/>
        </w:rPr>
        <w:t>”</w:t>
      </w:r>
      <w:r>
        <w:rPr>
          <w:rFonts w:ascii="宋体" w:hAnsi="宋体" w:eastAsia="宋体" w:cs="宋体"/>
          <w:spacing w:val="6"/>
          <w:sz w:val="23"/>
          <w:szCs w:val="23"/>
        </w:rPr>
        <w:t>相结合的预</w:t>
      </w:r>
      <w:r>
        <w:rPr>
          <w:rFonts w:ascii="宋体" w:hAnsi="宋体" w:eastAsia="宋体" w:cs="宋体"/>
          <w:sz w:val="23"/>
          <w:szCs w:val="23"/>
        </w:rPr>
        <w:t xml:space="preserve"> </w:t>
      </w:r>
      <w:r>
        <w:rPr>
          <w:rFonts w:ascii="宋体" w:hAnsi="宋体" w:eastAsia="宋体" w:cs="宋体"/>
          <w:spacing w:val="9"/>
          <w:sz w:val="23"/>
          <w:szCs w:val="23"/>
        </w:rPr>
        <w:t>处</w:t>
      </w:r>
      <w:r>
        <w:rPr>
          <w:rFonts w:ascii="宋体" w:hAnsi="宋体" w:eastAsia="宋体" w:cs="宋体"/>
          <w:spacing w:val="7"/>
          <w:sz w:val="23"/>
          <w:szCs w:val="23"/>
        </w:rPr>
        <w:t>理工艺，即在预处理阶段先对呈弱碱性的废水进行中和处理，调节水质，随后</w:t>
      </w:r>
      <w:r>
        <w:rPr>
          <w:rFonts w:ascii="宋体" w:hAnsi="宋体" w:eastAsia="宋体" w:cs="宋体"/>
          <w:sz w:val="23"/>
          <w:szCs w:val="23"/>
        </w:rPr>
        <w:t xml:space="preserve"> </w:t>
      </w:r>
      <w:r>
        <w:rPr>
          <w:rFonts w:ascii="宋体" w:hAnsi="宋体" w:eastAsia="宋体" w:cs="宋体"/>
          <w:spacing w:val="8"/>
          <w:sz w:val="23"/>
          <w:szCs w:val="23"/>
        </w:rPr>
        <w:t xml:space="preserve">加入 </w:t>
      </w:r>
      <w:r>
        <w:rPr>
          <w:rFonts w:ascii="Times New Roman" w:hAnsi="Times New Roman" w:eastAsia="Times New Roman" w:cs="Times New Roman"/>
          <w:sz w:val="23"/>
          <w:szCs w:val="23"/>
        </w:rPr>
        <w:t>PAM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等混凝剂使水中的悬浮物凝聚成大颗粒，易于去除，最后利用气浮</w:t>
      </w:r>
      <w:r>
        <w:rPr>
          <w:rFonts w:ascii="宋体" w:hAnsi="宋体" w:eastAsia="宋体" w:cs="宋体"/>
          <w:spacing w:val="2"/>
          <w:sz w:val="23"/>
          <w:szCs w:val="23"/>
        </w:rPr>
        <w:t>工</w:t>
      </w:r>
      <w:r>
        <w:rPr>
          <w:rFonts w:ascii="宋体" w:hAnsi="宋体" w:eastAsia="宋体" w:cs="宋体"/>
          <w:sz w:val="23"/>
          <w:szCs w:val="23"/>
        </w:rPr>
        <w:t xml:space="preserve"> </w:t>
      </w:r>
      <w:r>
        <w:rPr>
          <w:rFonts w:ascii="宋体" w:hAnsi="宋体" w:eastAsia="宋体" w:cs="宋体"/>
          <w:spacing w:val="10"/>
          <w:sz w:val="23"/>
          <w:szCs w:val="23"/>
        </w:rPr>
        <w:t>艺</w:t>
      </w:r>
      <w:r>
        <w:rPr>
          <w:rFonts w:ascii="宋体" w:hAnsi="宋体" w:eastAsia="宋体" w:cs="宋体"/>
          <w:spacing w:val="9"/>
          <w:sz w:val="23"/>
          <w:szCs w:val="23"/>
        </w:rPr>
        <w:t>去</w:t>
      </w:r>
      <w:r>
        <w:rPr>
          <w:rFonts w:ascii="宋体" w:hAnsi="宋体" w:eastAsia="宋体" w:cs="宋体"/>
          <w:spacing w:val="5"/>
          <w:sz w:val="23"/>
          <w:szCs w:val="23"/>
        </w:rPr>
        <w:t xml:space="preserve">除水中的悬浮物，设计规模为 </w:t>
      </w:r>
      <w:r>
        <w:rPr>
          <w:rFonts w:ascii="Times New Roman" w:hAnsi="Times New Roman" w:eastAsia="Times New Roman" w:cs="Times New Roman"/>
          <w:spacing w:val="5"/>
          <w:sz w:val="23"/>
          <w:szCs w:val="23"/>
        </w:rPr>
        <w:t>150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宋体" w:hAnsi="宋体" w:eastAsia="宋体" w:cs="宋体"/>
          <w:spacing w:val="5"/>
          <w:sz w:val="23"/>
          <w:szCs w:val="23"/>
        </w:rPr>
        <w:t>。</w:t>
      </w:r>
    </w:p>
    <w:p w14:paraId="07797DAA">
      <w:pPr>
        <w:spacing w:before="122" w:line="393" w:lineRule="auto"/>
        <w:ind w:left="35" w:right="80" w:firstLine="480"/>
        <w:rPr>
          <w:rFonts w:ascii="宋体" w:hAnsi="宋体" w:eastAsia="宋体" w:cs="宋体"/>
          <w:sz w:val="23"/>
          <w:szCs w:val="23"/>
        </w:rPr>
      </w:pPr>
      <w:r>
        <w:rPr>
          <w:rFonts w:ascii="宋体" w:hAnsi="宋体" w:eastAsia="宋体" w:cs="宋体"/>
          <w:spacing w:val="12"/>
          <w:sz w:val="23"/>
          <w:szCs w:val="23"/>
        </w:rPr>
        <w:t>该项目生</w:t>
      </w:r>
      <w:r>
        <w:rPr>
          <w:rFonts w:ascii="宋体" w:hAnsi="宋体" w:eastAsia="宋体" w:cs="宋体"/>
          <w:spacing w:val="7"/>
          <w:sz w:val="23"/>
          <w:szCs w:val="23"/>
        </w:rPr>
        <w:t>产</w:t>
      </w:r>
      <w:r>
        <w:rPr>
          <w:rFonts w:ascii="宋体" w:hAnsi="宋体" w:eastAsia="宋体" w:cs="宋体"/>
          <w:spacing w:val="6"/>
          <w:sz w:val="23"/>
          <w:szCs w:val="23"/>
        </w:rPr>
        <w:t>废水具有悬浮物含量高的特点。根据类比同类型企业，该项目污</w:t>
      </w:r>
      <w:r>
        <w:rPr>
          <w:rFonts w:ascii="宋体" w:hAnsi="宋体" w:eastAsia="宋体" w:cs="宋体"/>
          <w:sz w:val="23"/>
          <w:szCs w:val="23"/>
        </w:rPr>
        <w:t xml:space="preserve"> </w:t>
      </w:r>
      <w:r>
        <w:rPr>
          <w:rFonts w:ascii="宋体" w:hAnsi="宋体" w:eastAsia="宋体" w:cs="宋体"/>
          <w:spacing w:val="1"/>
          <w:sz w:val="23"/>
          <w:szCs w:val="23"/>
        </w:rPr>
        <w:t>水中各污染物产生情况见表</w:t>
      </w:r>
      <w:r>
        <w:rPr>
          <w:rFonts w:ascii="宋体" w:hAnsi="宋体" w:eastAsia="宋体" w:cs="宋体"/>
          <w:sz w:val="23"/>
          <w:szCs w:val="23"/>
        </w:rPr>
        <w:t xml:space="preserve"> </w:t>
      </w:r>
      <w:r>
        <w:rPr>
          <w:rFonts w:ascii="Times New Roman" w:hAnsi="Times New Roman" w:eastAsia="Times New Roman" w:cs="Times New Roman"/>
          <w:sz w:val="23"/>
          <w:szCs w:val="23"/>
        </w:rPr>
        <w:t>5- 14</w:t>
      </w:r>
      <w:r>
        <w:rPr>
          <w:rFonts w:ascii="宋体" w:hAnsi="宋体" w:eastAsia="宋体" w:cs="宋体"/>
          <w:sz w:val="23"/>
          <w:szCs w:val="23"/>
        </w:rPr>
        <w:t>。</w:t>
      </w:r>
    </w:p>
    <w:p w14:paraId="739FDA0B">
      <w:pPr>
        <w:spacing w:before="137" w:line="227" w:lineRule="auto"/>
        <w:ind w:left="213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4"/>
          <w:sz w:val="23"/>
          <w:szCs w:val="23"/>
        </w:rPr>
        <w:t>-14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该项目水污染物产排情况表</w:t>
      </w:r>
    </w:p>
    <w:p w14:paraId="04CD42D1">
      <w:pPr>
        <w:spacing w:line="18" w:lineRule="exact"/>
      </w:pPr>
    </w:p>
    <w:tbl>
      <w:tblPr>
        <w:tblStyle w:val="4"/>
        <w:tblW w:w="83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7"/>
        <w:gridCol w:w="2135"/>
        <w:gridCol w:w="1055"/>
        <w:gridCol w:w="1055"/>
        <w:gridCol w:w="1054"/>
        <w:gridCol w:w="1056"/>
      </w:tblGrid>
      <w:tr w14:paraId="56B07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997" w:type="dxa"/>
            <w:tcBorders>
              <w:left w:val="nil"/>
            </w:tcBorders>
            <w:vAlign w:val="top"/>
          </w:tcPr>
          <w:p w14:paraId="21B87BE5">
            <w:pPr>
              <w:spacing w:before="75" w:line="228" w:lineRule="auto"/>
              <w:ind w:left="79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种类</w:t>
            </w:r>
          </w:p>
        </w:tc>
        <w:tc>
          <w:tcPr>
            <w:tcW w:w="2135" w:type="dxa"/>
            <w:vAlign w:val="top"/>
          </w:tcPr>
          <w:p w14:paraId="174A8FAE">
            <w:pPr>
              <w:spacing w:before="76" w:line="228" w:lineRule="auto"/>
              <w:ind w:left="866"/>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055" w:type="dxa"/>
            <w:vAlign w:val="top"/>
          </w:tcPr>
          <w:p w14:paraId="14C04964">
            <w:pPr>
              <w:spacing w:before="111" w:line="195" w:lineRule="auto"/>
              <w:ind w:left="30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055" w:type="dxa"/>
            <w:vAlign w:val="top"/>
          </w:tcPr>
          <w:p w14:paraId="15097DB7">
            <w:pPr>
              <w:spacing w:before="111" w:line="195" w:lineRule="auto"/>
              <w:ind w:left="41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054" w:type="dxa"/>
            <w:vAlign w:val="top"/>
          </w:tcPr>
          <w:p w14:paraId="51D1B999">
            <w:pPr>
              <w:spacing w:before="75" w:line="228" w:lineRule="auto"/>
              <w:ind w:left="21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石</w:t>
            </w:r>
            <w:r>
              <w:rPr>
                <w:rFonts w:ascii="宋体" w:hAnsi="宋体" w:eastAsia="宋体" w:cs="宋体"/>
                <w:spacing w:val="7"/>
                <w:sz w:val="20"/>
                <w:szCs w:val="20"/>
                <w14:textOutline w14:w="3795" w14:cap="sq" w14:cmpd="sng">
                  <w14:solidFill>
                    <w14:srgbClr w14:val="000000"/>
                  </w14:solidFill>
                  <w14:prstDash w14:val="solid"/>
                  <w14:bevel/>
                </w14:textOutline>
              </w:rPr>
              <w:t>油类</w:t>
            </w:r>
          </w:p>
        </w:tc>
        <w:tc>
          <w:tcPr>
            <w:tcW w:w="1056" w:type="dxa"/>
            <w:tcBorders>
              <w:right w:val="nil"/>
            </w:tcBorders>
            <w:vAlign w:val="top"/>
          </w:tcPr>
          <w:p w14:paraId="6ED71FEF">
            <w:pPr>
              <w:spacing w:before="114" w:line="199" w:lineRule="auto"/>
              <w:ind w:left="22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3"/>
                <w:position w:val="-1"/>
                <w:sz w:val="13"/>
                <w:szCs w:val="13"/>
              </w:rPr>
              <w:t>3</w:t>
            </w:r>
            <w:r>
              <w:rPr>
                <w:rFonts w:ascii="Times New Roman" w:hAnsi="Times New Roman" w:eastAsia="Times New Roman" w:cs="Times New Roman"/>
                <w:b/>
                <w:bCs/>
                <w:spacing w:val="12"/>
                <w:sz w:val="20"/>
                <w:szCs w:val="20"/>
              </w:rPr>
              <w:t>-</w:t>
            </w:r>
            <w:r>
              <w:rPr>
                <w:rFonts w:ascii="Times New Roman" w:hAnsi="Times New Roman" w:eastAsia="Times New Roman" w:cs="Times New Roman"/>
                <w:b/>
                <w:bCs/>
                <w:sz w:val="20"/>
                <w:szCs w:val="20"/>
              </w:rPr>
              <w:t>N</w:t>
            </w:r>
          </w:p>
        </w:tc>
      </w:tr>
      <w:tr w14:paraId="3E186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7" w:type="dxa"/>
            <w:vMerge w:val="restart"/>
            <w:tcBorders>
              <w:left w:val="nil"/>
              <w:bottom w:val="nil"/>
            </w:tcBorders>
            <w:vAlign w:val="top"/>
          </w:tcPr>
          <w:p w14:paraId="51E9BAD4">
            <w:pPr>
              <w:spacing w:before="74" w:line="260" w:lineRule="auto"/>
              <w:ind w:left="379" w:right="376" w:firstLine="205"/>
              <w:rPr>
                <w:rFonts w:ascii="宋体" w:hAnsi="宋体" w:eastAsia="宋体" w:cs="宋体"/>
                <w:sz w:val="20"/>
                <w:szCs w:val="20"/>
              </w:rPr>
            </w:pPr>
            <w:r>
              <w:rPr>
                <w:rFonts w:ascii="宋体" w:hAnsi="宋体" w:eastAsia="宋体" w:cs="宋体"/>
                <w:spacing w:val="9"/>
                <w:sz w:val="20"/>
                <w:szCs w:val="20"/>
              </w:rPr>
              <w:t>破</w:t>
            </w:r>
            <w:r>
              <w:rPr>
                <w:rFonts w:ascii="宋体" w:hAnsi="宋体" w:eastAsia="宋体" w:cs="宋体"/>
                <w:spacing w:val="7"/>
                <w:sz w:val="20"/>
                <w:szCs w:val="20"/>
              </w:rPr>
              <w:t>碎废水</w:t>
            </w:r>
            <w:r>
              <w:rPr>
                <w:rFonts w:ascii="宋体" w:hAnsi="宋体" w:eastAsia="宋体" w:cs="宋体"/>
                <w:sz w:val="20"/>
                <w:szCs w:val="20"/>
              </w:rPr>
              <w:t xml:space="preserve">  </w:t>
            </w:r>
            <w:r>
              <w:rPr>
                <w:rFonts w:ascii="宋体" w:hAnsi="宋体" w:eastAsia="宋体" w:cs="宋体"/>
                <w:spacing w:val="10"/>
                <w:sz w:val="20"/>
                <w:szCs w:val="20"/>
              </w:rPr>
              <w:t>(</w:t>
            </w:r>
            <w:r>
              <w:rPr>
                <w:rFonts w:ascii="Times New Roman" w:hAnsi="Times New Roman" w:eastAsia="Times New Roman" w:cs="Times New Roman"/>
                <w:spacing w:val="7"/>
                <w:sz w:val="20"/>
                <w:szCs w:val="20"/>
              </w:rPr>
              <w:t>193.8</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p>
        </w:tc>
        <w:tc>
          <w:tcPr>
            <w:tcW w:w="2135" w:type="dxa"/>
            <w:vAlign w:val="top"/>
          </w:tcPr>
          <w:p w14:paraId="6A1DDC64">
            <w:pPr>
              <w:spacing w:before="13" w:line="281" w:lineRule="exact"/>
              <w:ind w:left="357"/>
              <w:rPr>
                <w:rFonts w:ascii="Times New Roman" w:hAnsi="Times New Roman" w:eastAsia="Times New Roman" w:cs="Times New Roman"/>
                <w:sz w:val="20"/>
                <w:szCs w:val="20"/>
              </w:rPr>
            </w:pPr>
            <w:r>
              <w:rPr>
                <w:rFonts w:ascii="宋体" w:hAnsi="宋体" w:eastAsia="宋体" w:cs="宋体"/>
                <w:spacing w:val="8"/>
                <w:position w:val="2"/>
                <w:sz w:val="20"/>
                <w:szCs w:val="20"/>
              </w:rPr>
              <w:t>产生浓度</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7"/>
                <w:position w:val="2"/>
                <w:sz w:val="20"/>
                <w:szCs w:val="20"/>
              </w:rPr>
              <w:t>)</w:t>
            </w:r>
          </w:p>
        </w:tc>
        <w:tc>
          <w:tcPr>
            <w:tcW w:w="1055" w:type="dxa"/>
            <w:vAlign w:val="top"/>
          </w:tcPr>
          <w:p w14:paraId="6302C5C2">
            <w:pPr>
              <w:spacing w:before="89"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5" w:type="dxa"/>
            <w:vAlign w:val="top"/>
          </w:tcPr>
          <w:p w14:paraId="53F4AF09">
            <w:pPr>
              <w:spacing w:before="89"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054" w:type="dxa"/>
            <w:vAlign w:val="top"/>
          </w:tcPr>
          <w:p w14:paraId="19B1C7E2">
            <w:pPr>
              <w:spacing w:before="92" w:line="192"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tcBorders>
              <w:right w:val="nil"/>
            </w:tcBorders>
            <w:vAlign w:val="top"/>
          </w:tcPr>
          <w:p w14:paraId="70AE2040">
            <w:pPr>
              <w:spacing w:before="89"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r>
      <w:tr w14:paraId="21FD2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7" w:type="dxa"/>
            <w:vMerge w:val="continue"/>
            <w:tcBorders>
              <w:top w:val="nil"/>
              <w:left w:val="nil"/>
            </w:tcBorders>
            <w:vAlign w:val="top"/>
          </w:tcPr>
          <w:p w14:paraId="295D9D62">
            <w:pPr>
              <w:rPr>
                <w:rFonts w:ascii="Arial"/>
                <w:sz w:val="21"/>
              </w:rPr>
            </w:pPr>
          </w:p>
        </w:tc>
        <w:tc>
          <w:tcPr>
            <w:tcW w:w="2135" w:type="dxa"/>
            <w:vAlign w:val="top"/>
          </w:tcPr>
          <w:p w14:paraId="0132631E">
            <w:pPr>
              <w:spacing w:before="14" w:line="281" w:lineRule="exact"/>
              <w:ind w:left="585"/>
              <w:rPr>
                <w:rFonts w:ascii="Times New Roman" w:hAnsi="Times New Roman" w:eastAsia="Times New Roman" w:cs="Times New Roman"/>
                <w:sz w:val="20"/>
                <w:szCs w:val="20"/>
              </w:rPr>
            </w:pPr>
            <w:r>
              <w:rPr>
                <w:rFonts w:ascii="宋体" w:hAnsi="宋体" w:eastAsia="宋体" w:cs="宋体"/>
                <w:spacing w:val="6"/>
                <w:position w:val="2"/>
                <w:sz w:val="20"/>
                <w:szCs w:val="20"/>
              </w:rPr>
              <w:t>产生量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1055" w:type="dxa"/>
            <w:vAlign w:val="top"/>
          </w:tcPr>
          <w:p w14:paraId="5552542A">
            <w:pPr>
              <w:spacing w:before="90"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.06</w:t>
            </w:r>
          </w:p>
        </w:tc>
        <w:tc>
          <w:tcPr>
            <w:tcW w:w="1055" w:type="dxa"/>
            <w:vAlign w:val="top"/>
          </w:tcPr>
          <w:p w14:paraId="45293715">
            <w:pPr>
              <w:spacing w:before="90"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c>
          <w:tcPr>
            <w:tcW w:w="1054" w:type="dxa"/>
            <w:vAlign w:val="top"/>
          </w:tcPr>
          <w:p w14:paraId="6AF11379">
            <w:pPr>
              <w:spacing w:before="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c>
          <w:tcPr>
            <w:tcW w:w="1056" w:type="dxa"/>
            <w:tcBorders>
              <w:right w:val="nil"/>
            </w:tcBorders>
            <w:vAlign w:val="top"/>
          </w:tcPr>
          <w:p w14:paraId="526F7657">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w:t>
            </w:r>
          </w:p>
        </w:tc>
      </w:tr>
      <w:tr w14:paraId="2B969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7" w:type="dxa"/>
            <w:vMerge w:val="restart"/>
            <w:tcBorders>
              <w:left w:val="nil"/>
              <w:bottom w:val="nil"/>
            </w:tcBorders>
            <w:vAlign w:val="top"/>
          </w:tcPr>
          <w:p w14:paraId="2369FC99">
            <w:pPr>
              <w:spacing w:before="88" w:line="263" w:lineRule="auto"/>
              <w:ind w:left="378" w:right="368" w:hanging="3"/>
              <w:rPr>
                <w:rFonts w:ascii="宋体" w:hAnsi="宋体" w:eastAsia="宋体" w:cs="宋体"/>
                <w:sz w:val="20"/>
                <w:szCs w:val="20"/>
              </w:rPr>
            </w:pPr>
            <w:r>
              <w:rPr>
                <w:rFonts w:ascii="宋体" w:hAnsi="宋体" w:eastAsia="宋体" w:cs="宋体"/>
                <w:spacing w:val="10"/>
                <w:sz w:val="20"/>
                <w:szCs w:val="20"/>
              </w:rPr>
              <w:t>洗</w:t>
            </w:r>
            <w:r>
              <w:rPr>
                <w:rFonts w:ascii="宋体" w:hAnsi="宋体" w:eastAsia="宋体" w:cs="宋体"/>
                <w:spacing w:val="8"/>
                <w:sz w:val="20"/>
                <w:szCs w:val="20"/>
              </w:rPr>
              <w:t>字清洗废水</w:t>
            </w:r>
            <w:r>
              <w:rPr>
                <w:rFonts w:ascii="宋体" w:hAnsi="宋体" w:eastAsia="宋体" w:cs="宋体"/>
                <w:sz w:val="20"/>
                <w:szCs w:val="20"/>
              </w:rPr>
              <w:t xml:space="preserve"> </w:t>
            </w:r>
            <w:r>
              <w:rPr>
                <w:rFonts w:ascii="宋体" w:hAnsi="宋体" w:eastAsia="宋体" w:cs="宋体"/>
                <w:spacing w:val="10"/>
                <w:sz w:val="20"/>
                <w:szCs w:val="20"/>
              </w:rPr>
              <w:t>(</w:t>
            </w:r>
            <w:r>
              <w:rPr>
                <w:rFonts w:ascii="Times New Roman" w:hAnsi="Times New Roman" w:eastAsia="Times New Roman" w:cs="Times New Roman"/>
                <w:spacing w:val="7"/>
                <w:sz w:val="20"/>
                <w:szCs w:val="20"/>
              </w:rPr>
              <w:t>36.72</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p>
        </w:tc>
        <w:tc>
          <w:tcPr>
            <w:tcW w:w="2135" w:type="dxa"/>
            <w:vAlign w:val="top"/>
          </w:tcPr>
          <w:p w14:paraId="61B98450">
            <w:pPr>
              <w:spacing w:before="13" w:line="281" w:lineRule="exact"/>
              <w:ind w:left="357"/>
              <w:rPr>
                <w:rFonts w:ascii="Times New Roman" w:hAnsi="Times New Roman" w:eastAsia="Times New Roman" w:cs="Times New Roman"/>
                <w:sz w:val="20"/>
                <w:szCs w:val="20"/>
              </w:rPr>
            </w:pPr>
            <w:r>
              <w:rPr>
                <w:rFonts w:ascii="宋体" w:hAnsi="宋体" w:eastAsia="宋体" w:cs="宋体"/>
                <w:spacing w:val="8"/>
                <w:position w:val="2"/>
                <w:sz w:val="20"/>
                <w:szCs w:val="20"/>
              </w:rPr>
              <w:t>产生浓度</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7"/>
                <w:position w:val="2"/>
                <w:sz w:val="20"/>
                <w:szCs w:val="20"/>
              </w:rPr>
              <w:t>)</w:t>
            </w:r>
          </w:p>
        </w:tc>
        <w:tc>
          <w:tcPr>
            <w:tcW w:w="1055" w:type="dxa"/>
            <w:vAlign w:val="top"/>
          </w:tcPr>
          <w:p w14:paraId="0E54E445">
            <w:pPr>
              <w:spacing w:before="89"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50</w:t>
            </w:r>
          </w:p>
        </w:tc>
        <w:tc>
          <w:tcPr>
            <w:tcW w:w="1055" w:type="dxa"/>
            <w:vAlign w:val="top"/>
          </w:tcPr>
          <w:p w14:paraId="21A61010">
            <w:pPr>
              <w:spacing w:before="89"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054" w:type="dxa"/>
            <w:vAlign w:val="top"/>
          </w:tcPr>
          <w:p w14:paraId="419E841E">
            <w:pPr>
              <w:spacing w:before="92" w:line="192"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tcBorders>
              <w:right w:val="nil"/>
            </w:tcBorders>
            <w:vAlign w:val="top"/>
          </w:tcPr>
          <w:p w14:paraId="2EE74F3E">
            <w:pPr>
              <w:spacing w:before="89"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r>
      <w:tr w14:paraId="603A3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97" w:type="dxa"/>
            <w:vMerge w:val="continue"/>
            <w:tcBorders>
              <w:top w:val="nil"/>
              <w:left w:val="nil"/>
            </w:tcBorders>
            <w:vAlign w:val="top"/>
          </w:tcPr>
          <w:p w14:paraId="19502E10">
            <w:pPr>
              <w:rPr>
                <w:rFonts w:ascii="Arial"/>
                <w:sz w:val="21"/>
              </w:rPr>
            </w:pPr>
          </w:p>
        </w:tc>
        <w:tc>
          <w:tcPr>
            <w:tcW w:w="2135" w:type="dxa"/>
            <w:vAlign w:val="top"/>
          </w:tcPr>
          <w:p w14:paraId="33ED957F">
            <w:pPr>
              <w:spacing w:before="25" w:line="281" w:lineRule="exact"/>
              <w:ind w:left="585"/>
              <w:rPr>
                <w:rFonts w:ascii="Times New Roman" w:hAnsi="Times New Roman" w:eastAsia="Times New Roman" w:cs="Times New Roman"/>
                <w:sz w:val="20"/>
                <w:szCs w:val="20"/>
              </w:rPr>
            </w:pPr>
            <w:r>
              <w:rPr>
                <w:rFonts w:ascii="宋体" w:hAnsi="宋体" w:eastAsia="宋体" w:cs="宋体"/>
                <w:spacing w:val="6"/>
                <w:position w:val="2"/>
                <w:sz w:val="20"/>
                <w:szCs w:val="20"/>
              </w:rPr>
              <w:t>产生量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1055" w:type="dxa"/>
            <w:vAlign w:val="top"/>
          </w:tcPr>
          <w:p w14:paraId="36080E08">
            <w:pPr>
              <w:spacing w:before="10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c>
          <w:tcPr>
            <w:tcW w:w="1055" w:type="dxa"/>
            <w:vAlign w:val="top"/>
          </w:tcPr>
          <w:p w14:paraId="70FDA6E3">
            <w:pPr>
              <w:spacing w:before="10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c>
          <w:tcPr>
            <w:tcW w:w="1054" w:type="dxa"/>
            <w:vAlign w:val="top"/>
          </w:tcPr>
          <w:p w14:paraId="26E49354">
            <w:pPr>
              <w:spacing w:before="10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.0001</w:t>
            </w:r>
          </w:p>
        </w:tc>
        <w:tc>
          <w:tcPr>
            <w:tcW w:w="1056" w:type="dxa"/>
            <w:tcBorders>
              <w:right w:val="nil"/>
            </w:tcBorders>
            <w:vAlign w:val="top"/>
          </w:tcPr>
          <w:p w14:paraId="59C3FF4E">
            <w:pPr>
              <w:spacing w:before="10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w:t>
            </w:r>
          </w:p>
        </w:tc>
      </w:tr>
      <w:tr w14:paraId="1A16A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7" w:type="dxa"/>
            <w:vMerge w:val="restart"/>
            <w:tcBorders>
              <w:left w:val="nil"/>
              <w:bottom w:val="nil"/>
            </w:tcBorders>
            <w:vAlign w:val="top"/>
          </w:tcPr>
          <w:p w14:paraId="24055D6A">
            <w:pPr>
              <w:spacing w:before="77" w:line="218" w:lineRule="auto"/>
              <w:ind w:left="59"/>
              <w:rPr>
                <w:rFonts w:ascii="宋体" w:hAnsi="宋体" w:eastAsia="宋体" w:cs="宋体"/>
                <w:sz w:val="20"/>
                <w:szCs w:val="20"/>
              </w:rPr>
            </w:pPr>
            <w:r>
              <w:rPr>
                <w:rFonts w:ascii="宋体" w:hAnsi="宋体" w:eastAsia="宋体" w:cs="宋体"/>
                <w:spacing w:val="9"/>
                <w:sz w:val="20"/>
                <w:szCs w:val="20"/>
              </w:rPr>
              <w:t>初洗及二级清洗废水</w:t>
            </w:r>
          </w:p>
          <w:p w14:paraId="2B025A37">
            <w:pPr>
              <w:spacing w:line="281" w:lineRule="exact"/>
              <w:ind w:left="458"/>
              <w:rPr>
                <w:rFonts w:ascii="宋体" w:hAnsi="宋体" w:eastAsia="宋体" w:cs="宋体"/>
                <w:sz w:val="20"/>
                <w:szCs w:val="20"/>
              </w:rPr>
            </w:pPr>
            <w:r>
              <w:rPr>
                <w:rFonts w:ascii="宋体" w:hAnsi="宋体" w:eastAsia="宋体" w:cs="宋体"/>
                <w:spacing w:val="13"/>
                <w:position w:val="1"/>
                <w:sz w:val="20"/>
                <w:szCs w:val="20"/>
              </w:rPr>
              <w:t>(</w:t>
            </w:r>
            <w:r>
              <w:rPr>
                <w:rFonts w:ascii="Times New Roman" w:hAnsi="Times New Roman" w:eastAsia="Times New Roman" w:cs="Times New Roman"/>
                <w:spacing w:val="13"/>
                <w:position w:val="1"/>
                <w:sz w:val="20"/>
                <w:szCs w:val="20"/>
              </w:rPr>
              <w:t>969</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13"/>
                <w:position w:val="7"/>
                <w:sz w:val="13"/>
                <w:szCs w:val="13"/>
              </w:rPr>
              <w:t>3</w:t>
            </w:r>
            <w:r>
              <w:rPr>
                <w:rFonts w:ascii="Times New Roman" w:hAnsi="Times New Roman" w:eastAsia="Times New Roman" w:cs="Times New Roman"/>
                <w:spacing w:val="13"/>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13"/>
                <w:position w:val="1"/>
                <w:sz w:val="20"/>
                <w:szCs w:val="20"/>
              </w:rPr>
              <w:t xml:space="preserve"> </w:t>
            </w:r>
            <w:r>
              <w:rPr>
                <w:rFonts w:ascii="宋体" w:hAnsi="宋体" w:eastAsia="宋体" w:cs="宋体"/>
                <w:spacing w:val="13"/>
                <w:position w:val="1"/>
                <w:sz w:val="20"/>
                <w:szCs w:val="20"/>
              </w:rPr>
              <w:t>)</w:t>
            </w:r>
          </w:p>
        </w:tc>
        <w:tc>
          <w:tcPr>
            <w:tcW w:w="2135" w:type="dxa"/>
            <w:vAlign w:val="top"/>
          </w:tcPr>
          <w:p w14:paraId="4E70BE54">
            <w:pPr>
              <w:spacing w:before="15" w:line="281" w:lineRule="exact"/>
              <w:ind w:left="357"/>
              <w:rPr>
                <w:rFonts w:ascii="Times New Roman" w:hAnsi="Times New Roman" w:eastAsia="Times New Roman" w:cs="Times New Roman"/>
                <w:sz w:val="20"/>
                <w:szCs w:val="20"/>
              </w:rPr>
            </w:pPr>
            <w:r>
              <w:rPr>
                <w:rFonts w:ascii="宋体" w:hAnsi="宋体" w:eastAsia="宋体" w:cs="宋体"/>
                <w:spacing w:val="8"/>
                <w:position w:val="2"/>
                <w:sz w:val="20"/>
                <w:szCs w:val="20"/>
              </w:rPr>
              <w:t>产生浓度</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7"/>
                <w:position w:val="2"/>
                <w:sz w:val="20"/>
                <w:szCs w:val="20"/>
              </w:rPr>
              <w:t>)</w:t>
            </w:r>
          </w:p>
        </w:tc>
        <w:tc>
          <w:tcPr>
            <w:tcW w:w="1055" w:type="dxa"/>
            <w:vAlign w:val="top"/>
          </w:tcPr>
          <w:p w14:paraId="5F825097">
            <w:pPr>
              <w:spacing w:before="9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5" w:type="dxa"/>
            <w:vAlign w:val="top"/>
          </w:tcPr>
          <w:p w14:paraId="2A52FC04">
            <w:pPr>
              <w:spacing w:before="91"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4" w:type="dxa"/>
            <w:vAlign w:val="top"/>
          </w:tcPr>
          <w:p w14:paraId="667AC1B2">
            <w:pPr>
              <w:spacing w:before="94" w:line="192"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tcBorders>
              <w:right w:val="nil"/>
            </w:tcBorders>
            <w:vAlign w:val="top"/>
          </w:tcPr>
          <w:p w14:paraId="663282AB">
            <w:pPr>
              <w:spacing w:before="9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r>
      <w:tr w14:paraId="57B71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7" w:type="dxa"/>
            <w:vMerge w:val="continue"/>
            <w:tcBorders>
              <w:top w:val="nil"/>
              <w:left w:val="nil"/>
            </w:tcBorders>
            <w:vAlign w:val="top"/>
          </w:tcPr>
          <w:p w14:paraId="4172F132">
            <w:pPr>
              <w:rPr>
                <w:rFonts w:ascii="Arial"/>
                <w:sz w:val="21"/>
              </w:rPr>
            </w:pPr>
          </w:p>
        </w:tc>
        <w:tc>
          <w:tcPr>
            <w:tcW w:w="2135" w:type="dxa"/>
            <w:vAlign w:val="top"/>
          </w:tcPr>
          <w:p w14:paraId="0418955B">
            <w:pPr>
              <w:spacing w:before="15" w:line="281" w:lineRule="exact"/>
              <w:ind w:left="585"/>
              <w:rPr>
                <w:rFonts w:ascii="Times New Roman" w:hAnsi="Times New Roman" w:eastAsia="Times New Roman" w:cs="Times New Roman"/>
                <w:sz w:val="20"/>
                <w:szCs w:val="20"/>
              </w:rPr>
            </w:pPr>
            <w:r>
              <w:rPr>
                <w:rFonts w:ascii="宋体" w:hAnsi="宋体" w:eastAsia="宋体" w:cs="宋体"/>
                <w:spacing w:val="6"/>
                <w:position w:val="2"/>
                <w:sz w:val="20"/>
                <w:szCs w:val="20"/>
              </w:rPr>
              <w:t>产生量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1055" w:type="dxa"/>
            <w:vAlign w:val="top"/>
          </w:tcPr>
          <w:p w14:paraId="3598B068">
            <w:pPr>
              <w:spacing w:before="9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.29</w:t>
            </w:r>
          </w:p>
        </w:tc>
        <w:tc>
          <w:tcPr>
            <w:tcW w:w="1055" w:type="dxa"/>
            <w:vAlign w:val="top"/>
          </w:tcPr>
          <w:p w14:paraId="08289030">
            <w:pPr>
              <w:spacing w:before="9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.30</w:t>
            </w:r>
          </w:p>
        </w:tc>
        <w:tc>
          <w:tcPr>
            <w:tcW w:w="1054" w:type="dxa"/>
            <w:vAlign w:val="top"/>
          </w:tcPr>
          <w:p w14:paraId="4CB3E02F">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.005</w:t>
            </w:r>
          </w:p>
        </w:tc>
        <w:tc>
          <w:tcPr>
            <w:tcW w:w="1056" w:type="dxa"/>
            <w:tcBorders>
              <w:right w:val="nil"/>
            </w:tcBorders>
            <w:vAlign w:val="top"/>
          </w:tcPr>
          <w:p w14:paraId="19105616">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.017</w:t>
            </w:r>
          </w:p>
        </w:tc>
      </w:tr>
      <w:tr w14:paraId="4C4D5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7" w:type="dxa"/>
            <w:vMerge w:val="restart"/>
            <w:tcBorders>
              <w:left w:val="nil"/>
              <w:bottom w:val="nil"/>
            </w:tcBorders>
            <w:vAlign w:val="top"/>
          </w:tcPr>
          <w:p w14:paraId="0BC1CC00">
            <w:pPr>
              <w:spacing w:before="79" w:line="216" w:lineRule="auto"/>
              <w:ind w:left="587"/>
              <w:rPr>
                <w:rFonts w:ascii="宋体" w:hAnsi="宋体" w:eastAsia="宋体" w:cs="宋体"/>
                <w:sz w:val="20"/>
                <w:szCs w:val="20"/>
              </w:rPr>
            </w:pPr>
            <w:r>
              <w:rPr>
                <w:rFonts w:ascii="宋体" w:hAnsi="宋体" w:eastAsia="宋体" w:cs="宋体"/>
                <w:spacing w:val="7"/>
                <w:sz w:val="20"/>
                <w:szCs w:val="20"/>
              </w:rPr>
              <w:t>冷却废</w:t>
            </w:r>
            <w:r>
              <w:rPr>
                <w:rFonts w:ascii="宋体" w:hAnsi="宋体" w:eastAsia="宋体" w:cs="宋体"/>
                <w:spacing w:val="6"/>
                <w:sz w:val="20"/>
                <w:szCs w:val="20"/>
              </w:rPr>
              <w:t>水</w:t>
            </w:r>
          </w:p>
          <w:p w14:paraId="7EEEC68B">
            <w:pPr>
              <w:spacing w:line="281" w:lineRule="exact"/>
              <w:ind w:left="458"/>
              <w:rPr>
                <w:rFonts w:ascii="宋体" w:hAnsi="宋体" w:eastAsia="宋体" w:cs="宋体"/>
                <w:sz w:val="20"/>
                <w:szCs w:val="20"/>
              </w:rPr>
            </w:pPr>
            <w:r>
              <w:rPr>
                <w:rFonts w:ascii="宋体" w:hAnsi="宋体" w:eastAsia="宋体" w:cs="宋体"/>
                <w:spacing w:val="13"/>
                <w:position w:val="1"/>
                <w:sz w:val="20"/>
                <w:szCs w:val="20"/>
              </w:rPr>
              <w:t>(</w:t>
            </w:r>
            <w:r>
              <w:rPr>
                <w:rFonts w:ascii="Times New Roman" w:hAnsi="Times New Roman" w:eastAsia="Times New Roman" w:cs="Times New Roman"/>
                <w:spacing w:val="13"/>
                <w:position w:val="1"/>
                <w:sz w:val="20"/>
                <w:szCs w:val="20"/>
              </w:rPr>
              <w:t>324</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13"/>
                <w:position w:val="7"/>
                <w:sz w:val="13"/>
                <w:szCs w:val="13"/>
              </w:rPr>
              <w:t>3</w:t>
            </w:r>
            <w:r>
              <w:rPr>
                <w:rFonts w:ascii="Times New Roman" w:hAnsi="Times New Roman" w:eastAsia="Times New Roman" w:cs="Times New Roman"/>
                <w:spacing w:val="13"/>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13"/>
                <w:position w:val="1"/>
                <w:sz w:val="20"/>
                <w:szCs w:val="20"/>
              </w:rPr>
              <w:t xml:space="preserve"> </w:t>
            </w:r>
            <w:r>
              <w:rPr>
                <w:rFonts w:ascii="宋体" w:hAnsi="宋体" w:eastAsia="宋体" w:cs="宋体"/>
                <w:spacing w:val="13"/>
                <w:position w:val="1"/>
                <w:sz w:val="20"/>
                <w:szCs w:val="20"/>
              </w:rPr>
              <w:t>)</w:t>
            </w:r>
          </w:p>
        </w:tc>
        <w:tc>
          <w:tcPr>
            <w:tcW w:w="2135" w:type="dxa"/>
            <w:vAlign w:val="top"/>
          </w:tcPr>
          <w:p w14:paraId="0A59BE9B">
            <w:pPr>
              <w:spacing w:before="15" w:line="281" w:lineRule="exact"/>
              <w:ind w:left="357"/>
              <w:rPr>
                <w:rFonts w:ascii="Times New Roman" w:hAnsi="Times New Roman" w:eastAsia="Times New Roman" w:cs="Times New Roman"/>
                <w:sz w:val="20"/>
                <w:szCs w:val="20"/>
              </w:rPr>
            </w:pPr>
            <w:r>
              <w:rPr>
                <w:rFonts w:ascii="宋体" w:hAnsi="宋体" w:eastAsia="宋体" w:cs="宋体"/>
                <w:spacing w:val="8"/>
                <w:position w:val="2"/>
                <w:sz w:val="20"/>
                <w:szCs w:val="20"/>
              </w:rPr>
              <w:t>产生浓度</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7"/>
                <w:position w:val="2"/>
                <w:sz w:val="20"/>
                <w:szCs w:val="20"/>
              </w:rPr>
              <w:t>)</w:t>
            </w:r>
          </w:p>
        </w:tc>
        <w:tc>
          <w:tcPr>
            <w:tcW w:w="1055" w:type="dxa"/>
            <w:vAlign w:val="top"/>
          </w:tcPr>
          <w:p w14:paraId="17E2136B">
            <w:pPr>
              <w:spacing w:before="9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5" w:type="dxa"/>
            <w:vAlign w:val="top"/>
          </w:tcPr>
          <w:p w14:paraId="1FC169D0">
            <w:pPr>
              <w:spacing w:before="91"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054" w:type="dxa"/>
            <w:vAlign w:val="top"/>
          </w:tcPr>
          <w:p w14:paraId="66E45C6F">
            <w:pPr>
              <w:spacing w:before="94" w:line="192"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tcBorders>
              <w:right w:val="nil"/>
            </w:tcBorders>
            <w:vAlign w:val="top"/>
          </w:tcPr>
          <w:p w14:paraId="6E1F7EBF">
            <w:pPr>
              <w:spacing w:before="9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r>
      <w:tr w14:paraId="10A55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7" w:type="dxa"/>
            <w:vMerge w:val="continue"/>
            <w:tcBorders>
              <w:top w:val="nil"/>
              <w:left w:val="nil"/>
            </w:tcBorders>
            <w:vAlign w:val="top"/>
          </w:tcPr>
          <w:p w14:paraId="6AF9B3D1">
            <w:pPr>
              <w:rPr>
                <w:rFonts w:ascii="Arial"/>
                <w:sz w:val="21"/>
              </w:rPr>
            </w:pPr>
          </w:p>
        </w:tc>
        <w:tc>
          <w:tcPr>
            <w:tcW w:w="2135" w:type="dxa"/>
            <w:vAlign w:val="top"/>
          </w:tcPr>
          <w:p w14:paraId="478A4E81">
            <w:pPr>
              <w:spacing w:before="17" w:line="281" w:lineRule="exact"/>
              <w:ind w:left="585"/>
              <w:rPr>
                <w:rFonts w:ascii="Times New Roman" w:hAnsi="Times New Roman" w:eastAsia="Times New Roman" w:cs="Times New Roman"/>
                <w:sz w:val="20"/>
                <w:szCs w:val="20"/>
              </w:rPr>
            </w:pPr>
            <w:r>
              <w:rPr>
                <w:rFonts w:ascii="宋体" w:hAnsi="宋体" w:eastAsia="宋体" w:cs="宋体"/>
                <w:spacing w:val="6"/>
                <w:position w:val="2"/>
                <w:sz w:val="20"/>
                <w:szCs w:val="20"/>
              </w:rPr>
              <w:t>产生量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1055" w:type="dxa"/>
            <w:vAlign w:val="top"/>
          </w:tcPr>
          <w:p w14:paraId="20203195">
            <w:pPr>
              <w:spacing w:before="9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0. 10</w:t>
            </w:r>
          </w:p>
        </w:tc>
        <w:tc>
          <w:tcPr>
            <w:tcW w:w="1055" w:type="dxa"/>
            <w:vAlign w:val="top"/>
          </w:tcPr>
          <w:p w14:paraId="44087AA0">
            <w:pPr>
              <w:spacing w:before="9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.06</w:t>
            </w:r>
          </w:p>
        </w:tc>
        <w:tc>
          <w:tcPr>
            <w:tcW w:w="1054" w:type="dxa"/>
            <w:vAlign w:val="top"/>
          </w:tcPr>
          <w:p w14:paraId="335BC732">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.002</w:t>
            </w:r>
          </w:p>
        </w:tc>
        <w:tc>
          <w:tcPr>
            <w:tcW w:w="1056" w:type="dxa"/>
            <w:tcBorders>
              <w:right w:val="nil"/>
            </w:tcBorders>
            <w:vAlign w:val="top"/>
          </w:tcPr>
          <w:p w14:paraId="2DE9749F">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.006</w:t>
            </w:r>
          </w:p>
        </w:tc>
      </w:tr>
      <w:tr w14:paraId="325AE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7" w:type="dxa"/>
            <w:vMerge w:val="restart"/>
            <w:tcBorders>
              <w:left w:val="nil"/>
              <w:bottom w:val="nil"/>
            </w:tcBorders>
            <w:vAlign w:val="top"/>
          </w:tcPr>
          <w:p w14:paraId="6AF2880F">
            <w:pPr>
              <w:spacing w:before="78" w:line="259" w:lineRule="auto"/>
              <w:ind w:left="274" w:right="273" w:firstLine="313"/>
              <w:rPr>
                <w:rFonts w:ascii="宋体" w:hAnsi="宋体" w:eastAsia="宋体" w:cs="宋体"/>
                <w:sz w:val="20"/>
                <w:szCs w:val="20"/>
              </w:rPr>
            </w:pPr>
            <w:r>
              <w:rPr>
                <w:rFonts w:ascii="宋体" w:hAnsi="宋体" w:eastAsia="宋体" w:cs="宋体"/>
                <w:spacing w:val="7"/>
                <w:sz w:val="20"/>
                <w:szCs w:val="20"/>
              </w:rPr>
              <w:t>污水总</w:t>
            </w:r>
            <w:r>
              <w:rPr>
                <w:rFonts w:ascii="宋体" w:hAnsi="宋体" w:eastAsia="宋体" w:cs="宋体"/>
                <w:spacing w:val="6"/>
                <w:sz w:val="20"/>
                <w:szCs w:val="20"/>
              </w:rPr>
              <w:t>量</w:t>
            </w:r>
            <w:r>
              <w:rPr>
                <w:rFonts w:ascii="宋体" w:hAnsi="宋体" w:eastAsia="宋体" w:cs="宋体"/>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7"/>
                <w:sz w:val="20"/>
                <w:szCs w:val="20"/>
              </w:rPr>
              <w:t>1523.52</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w:t>
            </w:r>
          </w:p>
        </w:tc>
        <w:tc>
          <w:tcPr>
            <w:tcW w:w="2135" w:type="dxa"/>
            <w:vAlign w:val="top"/>
          </w:tcPr>
          <w:p w14:paraId="4BA4077A">
            <w:pPr>
              <w:spacing w:before="17" w:line="281" w:lineRule="exact"/>
              <w:ind w:left="357"/>
              <w:rPr>
                <w:rFonts w:ascii="Times New Roman" w:hAnsi="Times New Roman" w:eastAsia="Times New Roman" w:cs="Times New Roman"/>
                <w:sz w:val="20"/>
                <w:szCs w:val="20"/>
              </w:rPr>
            </w:pPr>
            <w:r>
              <w:rPr>
                <w:rFonts w:ascii="宋体" w:hAnsi="宋体" w:eastAsia="宋体" w:cs="宋体"/>
                <w:spacing w:val="8"/>
                <w:position w:val="2"/>
                <w:sz w:val="20"/>
                <w:szCs w:val="20"/>
              </w:rPr>
              <w:t>产生浓度</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7"/>
                <w:position w:val="2"/>
                <w:sz w:val="20"/>
                <w:szCs w:val="20"/>
              </w:rPr>
              <w:t>)</w:t>
            </w:r>
          </w:p>
        </w:tc>
        <w:tc>
          <w:tcPr>
            <w:tcW w:w="1055" w:type="dxa"/>
            <w:vAlign w:val="top"/>
          </w:tcPr>
          <w:p w14:paraId="35850D07">
            <w:pPr>
              <w:spacing w:before="93"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5" w:type="dxa"/>
            <w:vAlign w:val="top"/>
          </w:tcPr>
          <w:p w14:paraId="0E5C3988">
            <w:pPr>
              <w:spacing w:before="9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20</w:t>
            </w:r>
          </w:p>
        </w:tc>
        <w:tc>
          <w:tcPr>
            <w:tcW w:w="1054" w:type="dxa"/>
            <w:vAlign w:val="top"/>
          </w:tcPr>
          <w:p w14:paraId="4CE9915B">
            <w:pPr>
              <w:spacing w:before="96" w:line="192"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tcBorders>
              <w:right w:val="nil"/>
            </w:tcBorders>
            <w:vAlign w:val="top"/>
          </w:tcPr>
          <w:p w14:paraId="1CECC199">
            <w:pPr>
              <w:spacing w:before="93"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r>
      <w:tr w14:paraId="069A8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97" w:type="dxa"/>
            <w:vMerge w:val="continue"/>
            <w:tcBorders>
              <w:top w:val="nil"/>
              <w:left w:val="nil"/>
            </w:tcBorders>
            <w:vAlign w:val="top"/>
          </w:tcPr>
          <w:p w14:paraId="3FAE8339">
            <w:pPr>
              <w:rPr>
                <w:rFonts w:ascii="Arial"/>
                <w:sz w:val="21"/>
              </w:rPr>
            </w:pPr>
          </w:p>
        </w:tc>
        <w:tc>
          <w:tcPr>
            <w:tcW w:w="2135" w:type="dxa"/>
            <w:vAlign w:val="top"/>
          </w:tcPr>
          <w:p w14:paraId="0EAD554A">
            <w:pPr>
              <w:spacing w:before="18" w:line="281" w:lineRule="exact"/>
              <w:ind w:left="585"/>
              <w:rPr>
                <w:rFonts w:ascii="Times New Roman" w:hAnsi="Times New Roman" w:eastAsia="Times New Roman" w:cs="Times New Roman"/>
                <w:sz w:val="20"/>
                <w:szCs w:val="20"/>
              </w:rPr>
            </w:pPr>
            <w:r>
              <w:rPr>
                <w:rFonts w:ascii="宋体" w:hAnsi="宋体" w:eastAsia="宋体" w:cs="宋体"/>
                <w:spacing w:val="6"/>
                <w:position w:val="2"/>
                <w:sz w:val="20"/>
                <w:szCs w:val="20"/>
              </w:rPr>
              <w:t>产生量</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1055" w:type="dxa"/>
            <w:vAlign w:val="top"/>
          </w:tcPr>
          <w:p w14:paraId="274DF054">
            <w:pPr>
              <w:spacing w:before="94"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.46</w:t>
            </w:r>
          </w:p>
        </w:tc>
        <w:tc>
          <w:tcPr>
            <w:tcW w:w="1055" w:type="dxa"/>
            <w:vAlign w:val="top"/>
          </w:tcPr>
          <w:p w14:paraId="027A28F5">
            <w:pPr>
              <w:spacing w:before="9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.49</w:t>
            </w:r>
          </w:p>
        </w:tc>
        <w:tc>
          <w:tcPr>
            <w:tcW w:w="1054" w:type="dxa"/>
            <w:vAlign w:val="top"/>
          </w:tcPr>
          <w:p w14:paraId="0D56C46E">
            <w:pPr>
              <w:spacing w:before="9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.008</w:t>
            </w:r>
          </w:p>
        </w:tc>
        <w:tc>
          <w:tcPr>
            <w:tcW w:w="1056" w:type="dxa"/>
            <w:tcBorders>
              <w:right w:val="nil"/>
            </w:tcBorders>
            <w:vAlign w:val="top"/>
          </w:tcPr>
          <w:p w14:paraId="3E62DA8A">
            <w:pPr>
              <w:spacing w:before="9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r>
    </w:tbl>
    <w:p w14:paraId="05DBAEBA">
      <w:pPr>
        <w:rPr>
          <w:rFonts w:ascii="Arial"/>
          <w:sz w:val="21"/>
        </w:rPr>
      </w:pPr>
    </w:p>
    <w:p w14:paraId="1289B744">
      <w:pPr>
        <w:sectPr>
          <w:headerReference r:id="rId221" w:type="default"/>
          <w:footerReference r:id="rId222" w:type="default"/>
          <w:pgSz w:w="11906" w:h="16839"/>
          <w:pgMar w:top="1132" w:right="1719" w:bottom="1182" w:left="1777" w:header="878" w:footer="1022" w:gutter="0"/>
          <w:cols w:space="720" w:num="1"/>
        </w:sectPr>
      </w:pPr>
    </w:p>
    <w:p w14:paraId="135E8906">
      <w:r>
        <w:pict>
          <v:rect id="_x0000_s1272" o:spid="_x0000_s1272" o:spt="1" style="position:absolute;left:0pt;margin-left:90pt;margin-top:57.35pt;height:0.75pt;width:415.3pt;mso-position-horizontal-relative:page;mso-position-vertical-relative:page;z-index:251927552;mso-width-relative:page;mso-height-relative:page;" fillcolor="#000000" filled="t" stroked="f" coordsize="21600,21600" o:allowincell="f">
            <v:path/>
            <v:fill on="t" focussize="0,0"/>
            <v:stroke on="f"/>
            <v:imagedata o:title=""/>
            <o:lock v:ext="edit"/>
          </v:rect>
        </w:pict>
      </w:r>
    </w:p>
    <w:p w14:paraId="56A5DF4A">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7"/>
        <w:gridCol w:w="2135"/>
        <w:gridCol w:w="1055"/>
        <w:gridCol w:w="1055"/>
        <w:gridCol w:w="1054"/>
        <w:gridCol w:w="1055"/>
      </w:tblGrid>
      <w:tr w14:paraId="2C706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97" w:type="dxa"/>
            <w:vMerge w:val="restart"/>
            <w:tcBorders>
              <w:left w:val="nil"/>
              <w:bottom w:val="nil"/>
            </w:tcBorders>
            <w:vAlign w:val="top"/>
          </w:tcPr>
          <w:p w14:paraId="4D83ABBC">
            <w:pPr>
              <w:spacing w:before="79" w:line="259" w:lineRule="auto"/>
              <w:ind w:left="274" w:right="273" w:firstLine="313"/>
              <w:rPr>
                <w:rFonts w:ascii="宋体" w:hAnsi="宋体" w:eastAsia="宋体" w:cs="宋体"/>
                <w:sz w:val="20"/>
                <w:szCs w:val="20"/>
              </w:rPr>
            </w:pPr>
            <w:r>
              <w:rPr>
                <w:rFonts w:ascii="宋体" w:hAnsi="宋体" w:eastAsia="宋体" w:cs="宋体"/>
                <w:spacing w:val="7"/>
                <w:sz w:val="20"/>
                <w:szCs w:val="20"/>
              </w:rPr>
              <w:t>污水总</w:t>
            </w:r>
            <w:r>
              <w:rPr>
                <w:rFonts w:ascii="宋体" w:hAnsi="宋体" w:eastAsia="宋体" w:cs="宋体"/>
                <w:spacing w:val="6"/>
                <w:sz w:val="20"/>
                <w:szCs w:val="20"/>
              </w:rPr>
              <w:t>量</w:t>
            </w:r>
            <w:r>
              <w:rPr>
                <w:rFonts w:ascii="宋体" w:hAnsi="宋体" w:eastAsia="宋体" w:cs="宋体"/>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7"/>
                <w:sz w:val="20"/>
                <w:szCs w:val="20"/>
              </w:rPr>
              <w:t>1523.52</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w:t>
            </w:r>
          </w:p>
        </w:tc>
        <w:tc>
          <w:tcPr>
            <w:tcW w:w="2135" w:type="dxa"/>
            <w:vAlign w:val="top"/>
          </w:tcPr>
          <w:p w14:paraId="4C0DB3C7">
            <w:pPr>
              <w:spacing w:before="18" w:line="281" w:lineRule="exact"/>
              <w:ind w:left="215"/>
              <w:rPr>
                <w:rFonts w:ascii="宋体" w:hAnsi="宋体" w:eastAsia="宋体" w:cs="宋体"/>
                <w:sz w:val="20"/>
                <w:szCs w:val="20"/>
              </w:rPr>
            </w:pPr>
            <w:r>
              <w:rPr>
                <w:rFonts w:ascii="宋体" w:hAnsi="宋体" w:eastAsia="宋体" w:cs="宋体"/>
                <w:spacing w:val="12"/>
                <w:position w:val="2"/>
                <w:sz w:val="20"/>
                <w:szCs w:val="20"/>
              </w:rPr>
              <w:t>排</w:t>
            </w:r>
            <w:r>
              <w:rPr>
                <w:rFonts w:ascii="宋体" w:hAnsi="宋体" w:eastAsia="宋体" w:cs="宋体"/>
                <w:spacing w:val="7"/>
                <w:position w:val="2"/>
                <w:sz w:val="20"/>
                <w:szCs w:val="20"/>
              </w:rPr>
              <w:t>放浓度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055" w:type="dxa"/>
            <w:vAlign w:val="top"/>
          </w:tcPr>
          <w:p w14:paraId="6A7132D7">
            <w:pPr>
              <w:spacing w:before="92"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55" w:type="dxa"/>
            <w:vAlign w:val="top"/>
          </w:tcPr>
          <w:p w14:paraId="63DF18DC">
            <w:pPr>
              <w:spacing w:before="9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054" w:type="dxa"/>
            <w:vAlign w:val="top"/>
          </w:tcPr>
          <w:p w14:paraId="4D40D79B">
            <w:pPr>
              <w:spacing w:before="95" w:line="192"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5" w:type="dxa"/>
            <w:tcBorders>
              <w:right w:val="nil"/>
            </w:tcBorders>
            <w:vAlign w:val="top"/>
          </w:tcPr>
          <w:p w14:paraId="327E46F0">
            <w:pPr>
              <w:spacing w:before="92"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r>
      <w:tr w14:paraId="211F5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97" w:type="dxa"/>
            <w:vMerge w:val="continue"/>
            <w:tcBorders>
              <w:top w:val="nil"/>
              <w:left w:val="nil"/>
            </w:tcBorders>
            <w:vAlign w:val="top"/>
          </w:tcPr>
          <w:p w14:paraId="50FBB7F6">
            <w:pPr>
              <w:rPr>
                <w:rFonts w:ascii="Arial"/>
                <w:sz w:val="21"/>
              </w:rPr>
            </w:pPr>
          </w:p>
        </w:tc>
        <w:tc>
          <w:tcPr>
            <w:tcW w:w="2135" w:type="dxa"/>
            <w:vAlign w:val="top"/>
          </w:tcPr>
          <w:p w14:paraId="1845933D">
            <w:pPr>
              <w:spacing w:before="15" w:line="281" w:lineRule="exact"/>
              <w:ind w:left="443"/>
              <w:rPr>
                <w:rFonts w:ascii="宋体" w:hAnsi="宋体" w:eastAsia="宋体" w:cs="宋体"/>
                <w:sz w:val="20"/>
                <w:szCs w:val="20"/>
              </w:rPr>
            </w:pPr>
            <w:r>
              <w:rPr>
                <w:rFonts w:ascii="宋体" w:hAnsi="宋体" w:eastAsia="宋体" w:cs="宋体"/>
                <w:spacing w:val="4"/>
                <w:position w:val="1"/>
                <w:sz w:val="20"/>
                <w:szCs w:val="20"/>
              </w:rPr>
              <w:t>排放</w:t>
            </w:r>
            <w:r>
              <w:rPr>
                <w:rFonts w:ascii="宋体" w:hAnsi="宋体" w:eastAsia="宋体" w:cs="宋体"/>
                <w:spacing w:val="3"/>
                <w:position w:val="1"/>
                <w:sz w:val="20"/>
                <w:szCs w:val="20"/>
              </w:rPr>
              <w:t>量</w:t>
            </w:r>
            <w:r>
              <w:rPr>
                <w:rFonts w:ascii="宋体" w:hAnsi="宋体" w:eastAsia="宋体" w:cs="宋体"/>
                <w:spacing w:val="2"/>
                <w:position w:val="1"/>
                <w:sz w:val="20"/>
                <w:szCs w:val="20"/>
              </w:rPr>
              <w:t xml:space="preserve"> (</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p>
        </w:tc>
        <w:tc>
          <w:tcPr>
            <w:tcW w:w="1055" w:type="dxa"/>
            <w:vAlign w:val="top"/>
          </w:tcPr>
          <w:p w14:paraId="3E16E3C3">
            <w:pPr>
              <w:spacing w:before="9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.23</w:t>
            </w:r>
          </w:p>
        </w:tc>
        <w:tc>
          <w:tcPr>
            <w:tcW w:w="1055" w:type="dxa"/>
            <w:vAlign w:val="top"/>
          </w:tcPr>
          <w:p w14:paraId="75695DA2">
            <w:pPr>
              <w:spacing w:before="9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1054" w:type="dxa"/>
            <w:vAlign w:val="top"/>
          </w:tcPr>
          <w:p w14:paraId="46090DDC">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.008</w:t>
            </w:r>
          </w:p>
        </w:tc>
        <w:tc>
          <w:tcPr>
            <w:tcW w:w="1055" w:type="dxa"/>
            <w:tcBorders>
              <w:right w:val="nil"/>
            </w:tcBorders>
            <w:vAlign w:val="top"/>
          </w:tcPr>
          <w:p w14:paraId="17B0BE6B">
            <w:pPr>
              <w:spacing w:before="9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r>
      <w:tr w14:paraId="1AFAB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132" w:type="dxa"/>
            <w:gridSpan w:val="2"/>
            <w:tcBorders>
              <w:left w:val="nil"/>
            </w:tcBorders>
            <w:vAlign w:val="top"/>
          </w:tcPr>
          <w:p w14:paraId="496999B6">
            <w:pPr>
              <w:spacing w:before="255" w:line="301" w:lineRule="auto"/>
              <w:ind w:left="1651" w:right="82" w:hanging="1571"/>
              <w:rPr>
                <w:rFonts w:ascii="宋体" w:hAnsi="宋体" w:eastAsia="宋体" w:cs="宋体"/>
                <w:sz w:val="20"/>
                <w:szCs w:val="20"/>
              </w:rPr>
            </w:pPr>
            <w:r>
              <w:rPr>
                <w:rFonts w:ascii="宋体" w:hAnsi="宋体" w:eastAsia="宋体" w:cs="宋体"/>
                <w:spacing w:val="16"/>
                <w:sz w:val="20"/>
                <w:szCs w:val="20"/>
              </w:rPr>
              <w:t>污</w:t>
            </w:r>
            <w:r>
              <w:rPr>
                <w:rFonts w:ascii="宋体" w:hAnsi="宋体" w:eastAsia="宋体" w:cs="宋体"/>
                <w:spacing w:val="14"/>
                <w:sz w:val="20"/>
                <w:szCs w:val="20"/>
              </w:rPr>
              <w:t>水</w:t>
            </w:r>
            <w:r>
              <w:rPr>
                <w:rFonts w:ascii="宋体" w:hAnsi="宋体" w:eastAsia="宋体" w:cs="宋体"/>
                <w:spacing w:val="8"/>
                <w:sz w:val="20"/>
                <w:szCs w:val="20"/>
              </w:rPr>
              <w:t>排放执行《辽宁省污水综合排放标准》</w:t>
            </w:r>
            <w:r>
              <w:rPr>
                <w:rFonts w:ascii="宋体" w:hAnsi="宋体" w:eastAsia="宋体" w:cs="宋体"/>
                <w:sz w:val="20"/>
                <w:szCs w:val="20"/>
              </w:rPr>
              <w:t xml:space="preserve"> </w:t>
            </w:r>
            <w:r>
              <w:rPr>
                <w:rFonts w:ascii="宋体" w:hAnsi="宋体" w:eastAsia="宋体" w:cs="宋体"/>
                <w:spacing w:val="-5"/>
                <w:sz w:val="20"/>
                <w:szCs w:val="20"/>
              </w:rPr>
              <w:t>表</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标准</w:t>
            </w:r>
          </w:p>
        </w:tc>
        <w:tc>
          <w:tcPr>
            <w:tcW w:w="1055" w:type="dxa"/>
            <w:vAlign w:val="top"/>
          </w:tcPr>
          <w:p w14:paraId="09E61AD2">
            <w:pPr>
              <w:spacing w:line="387" w:lineRule="auto"/>
              <w:rPr>
                <w:rFonts w:ascii="Arial"/>
                <w:sz w:val="21"/>
              </w:rPr>
            </w:pPr>
          </w:p>
          <w:p w14:paraId="2D239D73">
            <w:pPr>
              <w:spacing w:before="5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5" w:type="dxa"/>
            <w:vAlign w:val="top"/>
          </w:tcPr>
          <w:p w14:paraId="05920DEF">
            <w:pPr>
              <w:spacing w:line="387" w:lineRule="auto"/>
              <w:rPr>
                <w:rFonts w:ascii="Arial"/>
                <w:sz w:val="21"/>
              </w:rPr>
            </w:pPr>
          </w:p>
          <w:p w14:paraId="0D88D793">
            <w:pPr>
              <w:spacing w:before="57"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054" w:type="dxa"/>
            <w:vAlign w:val="top"/>
          </w:tcPr>
          <w:p w14:paraId="146907EF">
            <w:pPr>
              <w:spacing w:line="387" w:lineRule="auto"/>
              <w:rPr>
                <w:rFonts w:ascii="Arial"/>
                <w:sz w:val="21"/>
              </w:rPr>
            </w:pPr>
          </w:p>
          <w:p w14:paraId="3EBDDF87">
            <w:pPr>
              <w:spacing w:before="57"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055" w:type="dxa"/>
            <w:tcBorders>
              <w:right w:val="nil"/>
            </w:tcBorders>
            <w:vAlign w:val="top"/>
          </w:tcPr>
          <w:p w14:paraId="03AF1835">
            <w:pPr>
              <w:spacing w:line="387" w:lineRule="auto"/>
              <w:rPr>
                <w:rFonts w:ascii="Arial"/>
                <w:sz w:val="21"/>
              </w:rPr>
            </w:pPr>
          </w:p>
          <w:p w14:paraId="31962978">
            <w:pPr>
              <w:spacing w:before="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r>
    </w:tbl>
    <w:p w14:paraId="0B851C84">
      <w:pPr>
        <w:spacing w:line="259" w:lineRule="auto"/>
        <w:rPr>
          <w:rFonts w:ascii="Arial"/>
          <w:sz w:val="21"/>
        </w:rPr>
      </w:pPr>
    </w:p>
    <w:p w14:paraId="6036137A">
      <w:pPr>
        <w:spacing w:before="75" w:line="379" w:lineRule="auto"/>
        <w:ind w:left="33" w:right="51" w:firstLine="481"/>
        <w:rPr>
          <w:rFonts w:ascii="宋体" w:hAnsi="宋体" w:eastAsia="宋体" w:cs="宋体"/>
          <w:sz w:val="23"/>
          <w:szCs w:val="23"/>
        </w:rPr>
      </w:pPr>
      <w:r>
        <w:rPr>
          <w:rFonts w:ascii="宋体" w:hAnsi="宋体" w:eastAsia="宋体" w:cs="宋体"/>
          <w:spacing w:val="10"/>
          <w:sz w:val="23"/>
          <w:szCs w:val="23"/>
        </w:rPr>
        <w:t>从处理效</w:t>
      </w:r>
      <w:r>
        <w:rPr>
          <w:rFonts w:ascii="宋体" w:hAnsi="宋体" w:eastAsia="宋体" w:cs="宋体"/>
          <w:spacing w:val="7"/>
          <w:sz w:val="23"/>
          <w:szCs w:val="23"/>
        </w:rPr>
        <w:t>果</w:t>
      </w:r>
      <w:r>
        <w:rPr>
          <w:rFonts w:ascii="宋体" w:hAnsi="宋体" w:eastAsia="宋体" w:cs="宋体"/>
          <w:spacing w:val="5"/>
          <w:sz w:val="23"/>
          <w:szCs w:val="23"/>
        </w:rPr>
        <w:t xml:space="preserve">上可以看出，采取上述方法处理后的废水中 </w:t>
      </w:r>
      <w:r>
        <w:rPr>
          <w:rFonts w:ascii="Times New Roman" w:hAnsi="Times New Roman" w:eastAsia="Times New Roman" w:cs="Times New Roman"/>
          <w:sz w:val="23"/>
          <w:szCs w:val="23"/>
        </w:rPr>
        <w:t>COD</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、氨氮、</w:t>
      </w:r>
      <w:r>
        <w:rPr>
          <w:rFonts w:ascii="宋体" w:hAnsi="宋体" w:eastAsia="宋体" w:cs="宋体"/>
          <w:sz w:val="23"/>
          <w:szCs w:val="23"/>
        </w:rPr>
        <w:t xml:space="preserve"> </w:t>
      </w:r>
      <w:r>
        <w:rPr>
          <w:rFonts w:ascii="宋体" w:hAnsi="宋体" w:eastAsia="宋体" w:cs="宋体"/>
          <w:spacing w:val="3"/>
          <w:sz w:val="23"/>
          <w:szCs w:val="23"/>
        </w:rPr>
        <w:t>石油类可以达到《辽宁省污水综合排放标准》 (</w:t>
      </w:r>
      <w:r>
        <w:rPr>
          <w:rFonts w:ascii="Times New Roman" w:hAnsi="Times New Roman" w:eastAsia="Times New Roman" w:cs="Times New Roman"/>
          <w:sz w:val="23"/>
          <w:szCs w:val="23"/>
        </w:rPr>
        <w:t>DB</w:t>
      </w:r>
      <w:r>
        <w:rPr>
          <w:rFonts w:ascii="Times New Roman" w:hAnsi="Times New Roman" w:eastAsia="Times New Roman" w:cs="Times New Roman"/>
          <w:spacing w:val="3"/>
          <w:sz w:val="23"/>
          <w:szCs w:val="23"/>
        </w:rPr>
        <w:t>21/ 1627-2008</w:t>
      </w:r>
      <w:r>
        <w:rPr>
          <w:rFonts w:ascii="宋体" w:hAnsi="宋体" w:eastAsia="宋体" w:cs="宋体"/>
          <w:spacing w:val="3"/>
          <w:sz w:val="23"/>
          <w:szCs w:val="23"/>
        </w:rPr>
        <w:t xml:space="preserve">) 表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中标准</w:t>
      </w:r>
      <w:r>
        <w:rPr>
          <w:rFonts w:ascii="宋体" w:hAnsi="宋体" w:eastAsia="宋体" w:cs="宋体"/>
          <w:spacing w:val="1"/>
          <w:sz w:val="23"/>
          <w:szCs w:val="23"/>
        </w:rPr>
        <w:t>要</w:t>
      </w:r>
      <w:r>
        <w:rPr>
          <w:rFonts w:ascii="宋体" w:hAnsi="宋体" w:eastAsia="宋体" w:cs="宋体"/>
          <w:sz w:val="23"/>
          <w:szCs w:val="23"/>
        </w:rPr>
        <w:t xml:space="preserve"> </w:t>
      </w:r>
      <w:r>
        <w:rPr>
          <w:rFonts w:ascii="宋体" w:hAnsi="宋体" w:eastAsia="宋体" w:cs="宋体"/>
          <w:spacing w:val="8"/>
          <w:sz w:val="23"/>
          <w:szCs w:val="23"/>
        </w:rPr>
        <w:t xml:space="preserve">求，即 </w:t>
      </w:r>
      <w:r>
        <w:rPr>
          <w:rFonts w:ascii="Times New Roman" w:hAnsi="Times New Roman" w:eastAsia="Times New Roman" w:cs="Times New Roman"/>
          <w:sz w:val="23"/>
          <w:szCs w:val="23"/>
        </w:rPr>
        <w:t>COD</w:t>
      </w:r>
      <w:r>
        <w:rPr>
          <w:rFonts w:ascii="宋体" w:hAnsi="宋体" w:eastAsia="宋体" w:cs="宋体"/>
          <w:spacing w:val="8"/>
          <w:sz w:val="23"/>
          <w:szCs w:val="23"/>
        </w:rPr>
        <w:t>：</w:t>
      </w:r>
      <w:r>
        <w:rPr>
          <w:rFonts w:ascii="Times New Roman" w:hAnsi="Times New Roman" w:eastAsia="Times New Roman" w:cs="Times New Roman"/>
          <w:spacing w:val="6"/>
          <w:sz w:val="23"/>
          <w:szCs w:val="23"/>
        </w:rPr>
        <w:t>3</w:t>
      </w:r>
      <w:r>
        <w:rPr>
          <w:rFonts w:ascii="Times New Roman" w:hAnsi="Times New Roman" w:eastAsia="Times New Roman" w:cs="Times New Roman"/>
          <w:spacing w:val="4"/>
          <w:sz w:val="23"/>
          <w:szCs w:val="23"/>
        </w:rPr>
        <w:t>00</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SS</w:t>
      </w:r>
      <w:r>
        <w:rPr>
          <w:rFonts w:ascii="宋体" w:hAnsi="宋体" w:eastAsia="宋体" w:cs="宋体"/>
          <w:spacing w:val="4"/>
          <w:sz w:val="23"/>
          <w:szCs w:val="23"/>
        </w:rPr>
        <w:t>：</w:t>
      </w:r>
      <w:r>
        <w:rPr>
          <w:rFonts w:ascii="Times New Roman" w:hAnsi="Times New Roman" w:eastAsia="Times New Roman" w:cs="Times New Roman"/>
          <w:spacing w:val="4"/>
          <w:sz w:val="23"/>
          <w:szCs w:val="23"/>
        </w:rPr>
        <w:t>300</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、氨氮：</w:t>
      </w:r>
      <w:r>
        <w:rPr>
          <w:rFonts w:ascii="Times New Roman" w:hAnsi="Times New Roman" w:eastAsia="Times New Roman" w:cs="Times New Roman"/>
          <w:spacing w:val="4"/>
          <w:sz w:val="23"/>
          <w:szCs w:val="23"/>
        </w:rPr>
        <w:t>30</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、石油类：</w:t>
      </w:r>
      <w:r>
        <w:rPr>
          <w:rFonts w:ascii="Times New Roman" w:hAnsi="Times New Roman" w:eastAsia="Times New Roman" w:cs="Times New Roman"/>
          <w:spacing w:val="4"/>
          <w:sz w:val="23"/>
          <w:szCs w:val="23"/>
        </w:rPr>
        <w:t>20</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，可</w:t>
      </w:r>
      <w:r>
        <w:rPr>
          <w:rFonts w:ascii="宋体" w:hAnsi="宋体" w:eastAsia="宋体" w:cs="宋体"/>
          <w:sz w:val="23"/>
          <w:szCs w:val="23"/>
        </w:rPr>
        <w:t xml:space="preserve"> </w:t>
      </w:r>
      <w:r>
        <w:rPr>
          <w:rFonts w:ascii="宋体" w:hAnsi="宋体" w:eastAsia="宋体" w:cs="宋体"/>
          <w:spacing w:val="9"/>
          <w:sz w:val="23"/>
          <w:szCs w:val="23"/>
        </w:rPr>
        <w:t>以做到达标排放。因此对地表水影响较小</w:t>
      </w:r>
      <w:r>
        <w:rPr>
          <w:rFonts w:ascii="宋体" w:hAnsi="宋体" w:eastAsia="宋体" w:cs="宋体"/>
          <w:spacing w:val="7"/>
          <w:sz w:val="23"/>
          <w:szCs w:val="23"/>
        </w:rPr>
        <w:t>。</w:t>
      </w:r>
    </w:p>
    <w:p w14:paraId="2329D273">
      <w:pPr>
        <w:spacing w:before="161" w:line="227" w:lineRule="auto"/>
        <w:ind w:left="603"/>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2</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污水处理厂依托可行性</w:t>
      </w:r>
    </w:p>
    <w:p w14:paraId="1EB24D37">
      <w:pPr>
        <w:spacing w:line="248" w:lineRule="auto"/>
        <w:rPr>
          <w:rFonts w:ascii="Arial"/>
          <w:sz w:val="21"/>
        </w:rPr>
      </w:pPr>
    </w:p>
    <w:p w14:paraId="7D9175AB">
      <w:pPr>
        <w:spacing w:before="75" w:line="357" w:lineRule="auto"/>
        <w:ind w:left="33" w:right="61" w:firstLine="559"/>
        <w:rPr>
          <w:rFonts w:ascii="宋体" w:hAnsi="宋体" w:eastAsia="宋体" w:cs="宋体"/>
          <w:sz w:val="23"/>
          <w:szCs w:val="23"/>
        </w:rPr>
      </w:pPr>
      <w:r>
        <w:rPr>
          <w:rFonts w:ascii="宋体" w:hAnsi="宋体" w:eastAsia="宋体" w:cs="宋体"/>
          <w:spacing w:val="-1"/>
          <w:sz w:val="23"/>
          <w:szCs w:val="23"/>
        </w:rPr>
        <w:t xml:space="preserve">本溪市科态污水处理有限责任公司建设规模为日处理能力 </w:t>
      </w:r>
      <w:r>
        <w:rPr>
          <w:rFonts w:ascii="Times New Roman" w:hAnsi="Times New Roman" w:eastAsia="Times New Roman" w:cs="Times New Roman"/>
          <w:sz w:val="23"/>
          <w:szCs w:val="23"/>
        </w:rPr>
        <w:t xml:space="preserve">30 </w:t>
      </w:r>
      <w:r>
        <w:rPr>
          <w:rFonts w:ascii="宋体" w:hAnsi="宋体" w:eastAsia="宋体" w:cs="宋体"/>
          <w:sz w:val="23"/>
          <w:szCs w:val="23"/>
        </w:rPr>
        <w:t xml:space="preserve">万吨，采用预处 </w:t>
      </w:r>
      <w:r>
        <w:rPr>
          <w:rFonts w:ascii="宋体" w:hAnsi="宋体" w:eastAsia="宋体" w:cs="宋体"/>
          <w:spacing w:val="-1"/>
          <w:sz w:val="23"/>
          <w:szCs w:val="23"/>
        </w:rPr>
        <w:t>理</w:t>
      </w:r>
      <w:r>
        <w:rPr>
          <w:rFonts w:ascii="Times New Roman" w:hAnsi="Times New Roman" w:eastAsia="Times New Roman" w:cs="Times New Roman"/>
          <w:sz w:val="23"/>
          <w:szCs w:val="23"/>
        </w:rPr>
        <w:t>+A2/O+</w:t>
      </w:r>
      <w:r>
        <w:rPr>
          <w:rFonts w:ascii="宋体" w:hAnsi="宋体" w:eastAsia="宋体" w:cs="宋体"/>
          <w:sz w:val="23"/>
          <w:szCs w:val="23"/>
        </w:rPr>
        <w:t xml:space="preserve">深化处理工艺，年运行 </w:t>
      </w:r>
      <w:r>
        <w:rPr>
          <w:rFonts w:ascii="Times New Roman" w:hAnsi="Times New Roman" w:eastAsia="Times New Roman" w:cs="Times New Roman"/>
          <w:sz w:val="23"/>
          <w:szCs w:val="23"/>
        </w:rPr>
        <w:t xml:space="preserve">365 </w:t>
      </w:r>
      <w:r>
        <w:rPr>
          <w:rFonts w:ascii="宋体" w:hAnsi="宋体" w:eastAsia="宋体" w:cs="宋体"/>
          <w:sz w:val="23"/>
          <w:szCs w:val="23"/>
        </w:rPr>
        <w:t xml:space="preserve">天，出水指标为一级 </w:t>
      </w:r>
      <w:r>
        <w:rPr>
          <w:rFonts w:ascii="Times New Roman" w:hAnsi="Times New Roman" w:eastAsia="Times New Roman" w:cs="Times New Roman"/>
          <w:sz w:val="23"/>
          <w:szCs w:val="23"/>
        </w:rPr>
        <w:t xml:space="preserve">A </w:t>
      </w:r>
      <w:r>
        <w:rPr>
          <w:rFonts w:ascii="宋体" w:hAnsi="宋体" w:eastAsia="宋体" w:cs="宋体"/>
          <w:sz w:val="23"/>
          <w:szCs w:val="23"/>
        </w:rPr>
        <w:t xml:space="preserve">处理标准，  目前， </w:t>
      </w:r>
      <w:r>
        <w:rPr>
          <w:rFonts w:ascii="宋体" w:hAnsi="宋体" w:eastAsia="宋体" w:cs="宋体"/>
          <w:spacing w:val="2"/>
          <w:sz w:val="23"/>
          <w:szCs w:val="23"/>
        </w:rPr>
        <w:t xml:space="preserve">本溪市科态污水处理有限责任公司设备已于 </w:t>
      </w:r>
      <w:r>
        <w:rPr>
          <w:rFonts w:ascii="Times New Roman" w:hAnsi="Times New Roman" w:eastAsia="Times New Roman" w:cs="Times New Roman"/>
          <w:spacing w:val="2"/>
          <w:sz w:val="23"/>
          <w:szCs w:val="23"/>
        </w:rPr>
        <w:t xml:space="preserve">2013 </w:t>
      </w:r>
      <w:r>
        <w:rPr>
          <w:rFonts w:ascii="宋体" w:hAnsi="宋体" w:eastAsia="宋体" w:cs="宋体"/>
          <w:spacing w:val="2"/>
          <w:sz w:val="23"/>
          <w:szCs w:val="23"/>
        </w:rPr>
        <w:t>年安装</w:t>
      </w:r>
      <w:r>
        <w:rPr>
          <w:rFonts w:ascii="宋体" w:hAnsi="宋体" w:eastAsia="宋体" w:cs="宋体"/>
          <w:spacing w:val="1"/>
          <w:sz w:val="23"/>
          <w:szCs w:val="23"/>
        </w:rPr>
        <w:t>调试完成，并投入运行。</w:t>
      </w:r>
    </w:p>
    <w:p w14:paraId="4A5E69E6">
      <w:pPr>
        <w:tabs>
          <w:tab w:val="left" w:pos="158"/>
        </w:tabs>
        <w:spacing w:before="189" w:line="386" w:lineRule="auto"/>
        <w:ind w:left="31" w:firstLine="460"/>
        <w:rPr>
          <w:rFonts w:ascii="宋体" w:hAnsi="宋体" w:eastAsia="宋体" w:cs="宋体"/>
          <w:sz w:val="23"/>
          <w:szCs w:val="23"/>
        </w:rPr>
      </w:pPr>
      <w:r>
        <w:rPr>
          <w:rFonts w:ascii="宋体" w:hAnsi="宋体" w:eastAsia="宋体" w:cs="宋体"/>
          <w:spacing w:val="14"/>
          <w:sz w:val="23"/>
          <w:szCs w:val="23"/>
        </w:rPr>
        <w:t>该</w:t>
      </w:r>
      <w:r>
        <w:rPr>
          <w:rFonts w:ascii="宋体" w:hAnsi="宋体" w:eastAsia="宋体" w:cs="宋体"/>
          <w:spacing w:val="13"/>
          <w:sz w:val="23"/>
          <w:szCs w:val="23"/>
        </w:rPr>
        <w:t>项</w:t>
      </w:r>
      <w:r>
        <w:rPr>
          <w:rFonts w:ascii="宋体" w:hAnsi="宋体" w:eastAsia="宋体" w:cs="宋体"/>
          <w:spacing w:val="7"/>
          <w:sz w:val="23"/>
          <w:szCs w:val="23"/>
        </w:rPr>
        <w:t>目排水主要包括生活污水以及生产废水，其中生产废水主要包括破碎工</w:t>
      </w:r>
      <w:r>
        <w:rPr>
          <w:rFonts w:ascii="宋体" w:hAnsi="宋体" w:eastAsia="宋体" w:cs="宋体"/>
          <w:sz w:val="23"/>
          <w:szCs w:val="23"/>
        </w:rPr>
        <w:t xml:space="preserve"> </w:t>
      </w:r>
      <w:r>
        <w:rPr>
          <w:rFonts w:ascii="宋体" w:hAnsi="宋体" w:eastAsia="宋体" w:cs="宋体"/>
          <w:spacing w:val="9"/>
          <w:sz w:val="23"/>
          <w:szCs w:val="23"/>
        </w:rPr>
        <w:t>序</w:t>
      </w:r>
      <w:r>
        <w:rPr>
          <w:rFonts w:ascii="宋体" w:hAnsi="宋体" w:eastAsia="宋体" w:cs="宋体"/>
          <w:spacing w:val="7"/>
          <w:sz w:val="23"/>
          <w:szCs w:val="23"/>
        </w:rPr>
        <w:t>产生的废水，原料初洗工序、洗字工序、二次清洗工序产生的清洗废水、脱水</w:t>
      </w:r>
      <w:r>
        <w:rPr>
          <w:rFonts w:ascii="宋体" w:hAnsi="宋体" w:eastAsia="宋体" w:cs="宋体"/>
          <w:sz w:val="23"/>
          <w:szCs w:val="23"/>
        </w:rPr>
        <w:t xml:space="preserve"> </w:t>
      </w:r>
      <w:r>
        <w:rPr>
          <w:rFonts w:ascii="宋体" w:hAnsi="宋体" w:eastAsia="宋体" w:cs="宋体"/>
          <w:spacing w:val="7"/>
          <w:sz w:val="23"/>
          <w:szCs w:val="23"/>
        </w:rPr>
        <w:t xml:space="preserve">工序产生的废水以及循环冷却废水，总排水量为 </w:t>
      </w:r>
      <w:r>
        <w:rPr>
          <w:rFonts w:ascii="Times New Roman" w:hAnsi="Times New Roman" w:eastAsia="Times New Roman" w:cs="Times New Roman"/>
          <w:spacing w:val="7"/>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。该项目在厂区</w:t>
      </w:r>
      <w:r>
        <w:rPr>
          <w:rFonts w:ascii="宋体" w:hAnsi="宋体" w:eastAsia="宋体" w:cs="宋体"/>
          <w:spacing w:val="5"/>
          <w:sz w:val="23"/>
          <w:szCs w:val="23"/>
        </w:rPr>
        <w:t>东</w:t>
      </w:r>
      <w:r>
        <w:rPr>
          <w:rFonts w:ascii="宋体" w:hAnsi="宋体" w:eastAsia="宋体" w:cs="宋体"/>
          <w:sz w:val="23"/>
          <w:szCs w:val="23"/>
        </w:rPr>
        <w:t xml:space="preserve"> </w:t>
      </w:r>
      <w:r>
        <w:rPr>
          <w:rFonts w:ascii="宋体" w:hAnsi="宋体" w:eastAsia="宋体" w:cs="宋体"/>
          <w:spacing w:val="12"/>
          <w:sz w:val="23"/>
          <w:szCs w:val="23"/>
        </w:rPr>
        <w:t xml:space="preserve">南侧设有旱厕，员工使用防渗旱厕，定期清掏，不外排；项目设有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座容积为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7"/>
          <w:sz w:val="15"/>
          <w:szCs w:val="15"/>
        </w:rPr>
        <w:t xml:space="preserve">3 </w:t>
      </w:r>
      <w:r>
        <w:rPr>
          <w:rFonts w:ascii="宋体" w:hAnsi="宋体" w:eastAsia="宋体" w:cs="宋体"/>
          <w:spacing w:val="8"/>
          <w:sz w:val="23"/>
          <w:szCs w:val="23"/>
        </w:rPr>
        <w:t>的三</w:t>
      </w:r>
      <w:r>
        <w:rPr>
          <w:rFonts w:ascii="宋体" w:hAnsi="宋体" w:eastAsia="宋体" w:cs="宋体"/>
          <w:spacing w:val="4"/>
          <w:sz w:val="23"/>
          <w:szCs w:val="23"/>
        </w:rPr>
        <w:t>级沉淀池 (</w:t>
      </w:r>
      <w:r>
        <w:rPr>
          <w:rFonts w:ascii="Times New Roman" w:hAnsi="Times New Roman" w:eastAsia="Times New Roman" w:cs="Times New Roman"/>
          <w:spacing w:val="4"/>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×4.5</w:t>
      </w:r>
      <w:r>
        <w:rPr>
          <w:rFonts w:ascii="Times New Roman" w:hAnsi="Times New Roman" w:eastAsia="Times New Roman" w:cs="Times New Roman"/>
          <w:sz w:val="23"/>
          <w:szCs w:val="23"/>
        </w:rPr>
        <w:t>m</w:t>
      </w:r>
      <w:r>
        <w:rPr>
          <w:rFonts w:ascii="宋体" w:hAnsi="宋体" w:eastAsia="宋体" w:cs="宋体"/>
          <w:spacing w:val="4"/>
          <w:sz w:val="23"/>
          <w:szCs w:val="23"/>
        </w:rPr>
        <w:t xml:space="preserve">) ，同时配套设有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台一体化污水预处理设</w:t>
      </w:r>
      <w:r>
        <w:rPr>
          <w:rFonts w:ascii="宋体" w:hAnsi="宋体" w:eastAsia="宋体" w:cs="宋体"/>
          <w:sz w:val="23"/>
          <w:szCs w:val="23"/>
        </w:rPr>
        <w:t xml:space="preserve"> </w:t>
      </w:r>
      <w:r>
        <w:rPr>
          <w:rFonts w:ascii="宋体" w:hAnsi="宋体" w:eastAsia="宋体" w:cs="宋体"/>
          <w:spacing w:val="9"/>
          <w:sz w:val="23"/>
          <w:szCs w:val="23"/>
        </w:rPr>
        <w:t>备</w:t>
      </w:r>
      <w:r>
        <w:rPr>
          <w:rFonts w:ascii="宋体" w:hAnsi="宋体" w:eastAsia="宋体" w:cs="宋体"/>
          <w:spacing w:val="7"/>
          <w:sz w:val="23"/>
          <w:szCs w:val="23"/>
        </w:rPr>
        <w:t>，均位于生产厂房西南侧，产生的生产废水经一体化污水预处理设备处理后排</w:t>
      </w:r>
      <w:r>
        <w:rPr>
          <w:rFonts w:ascii="宋体" w:hAnsi="宋体" w:eastAsia="宋体" w:cs="宋体"/>
          <w:sz w:val="23"/>
          <w:szCs w:val="23"/>
        </w:rPr>
        <w:t xml:space="preserve"> </w:t>
      </w:r>
      <w:r>
        <w:rPr>
          <w:rFonts w:ascii="宋体" w:hAnsi="宋体" w:eastAsia="宋体" w:cs="宋体"/>
          <w:spacing w:val="10"/>
          <w:sz w:val="23"/>
          <w:szCs w:val="23"/>
        </w:rPr>
        <w:t>入三级</w:t>
      </w:r>
      <w:r>
        <w:rPr>
          <w:rFonts w:ascii="宋体" w:hAnsi="宋体" w:eastAsia="宋体" w:cs="宋体"/>
          <w:spacing w:val="8"/>
          <w:sz w:val="23"/>
          <w:szCs w:val="23"/>
        </w:rPr>
        <w:t>沉</w:t>
      </w:r>
      <w:r>
        <w:rPr>
          <w:rFonts w:ascii="宋体" w:hAnsi="宋体" w:eastAsia="宋体" w:cs="宋体"/>
          <w:spacing w:val="5"/>
          <w:sz w:val="23"/>
          <w:szCs w:val="23"/>
        </w:rPr>
        <w:t>淀池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pacing w:val="5"/>
          <w:sz w:val="23"/>
          <w:szCs w:val="23"/>
        </w:rPr>
        <w:t>) 沉淀处理，随后循环使用。污水处理设施废水每</w:t>
      </w:r>
      <w:r>
        <w:rPr>
          <w:rFonts w:ascii="宋体" w:hAnsi="宋体" w:eastAsia="宋体" w:cs="宋体"/>
          <w:sz w:val="23"/>
          <w:szCs w:val="23"/>
        </w:rPr>
        <w:t xml:space="preserve"> </w:t>
      </w:r>
      <w:r>
        <w:rPr>
          <w:rFonts w:ascii="宋体" w:hAnsi="宋体" w:eastAsia="宋体" w:cs="宋体"/>
          <w:spacing w:val="-1"/>
          <w:sz w:val="23"/>
          <w:szCs w:val="23"/>
        </w:rPr>
        <w:t xml:space="preserve">月更换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次，则该项目全年更换废水量为 </w:t>
      </w:r>
      <w:r>
        <w:rPr>
          <w:rFonts w:ascii="Times New Roman" w:hAnsi="Times New Roman" w:eastAsia="Times New Roman" w:cs="Times New Roman"/>
          <w:spacing w:val="-1"/>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，更</w:t>
      </w:r>
      <w:r>
        <w:rPr>
          <w:rFonts w:ascii="宋体" w:hAnsi="宋体" w:eastAsia="宋体" w:cs="宋体"/>
          <w:sz w:val="23"/>
          <w:szCs w:val="23"/>
        </w:rPr>
        <w:t xml:space="preserve">换过程产生的废水经吸污 </w:t>
      </w:r>
      <w:r>
        <w:rPr>
          <w:rFonts w:ascii="宋体" w:hAnsi="宋体" w:eastAsia="宋体" w:cs="宋体"/>
          <w:spacing w:val="1"/>
          <w:sz w:val="23"/>
          <w:szCs w:val="23"/>
        </w:rPr>
        <w:t>车运送至本溪市科态污水处理有限责任</w:t>
      </w:r>
      <w:r>
        <w:rPr>
          <w:rFonts w:ascii="宋体" w:hAnsi="宋体" w:eastAsia="宋体" w:cs="宋体"/>
          <w:sz w:val="23"/>
          <w:szCs w:val="23"/>
        </w:rPr>
        <w:t xml:space="preserve">公司统一处理。由工程分析章节可知，该项 </w:t>
      </w:r>
      <w:r>
        <w:rPr>
          <w:rFonts w:ascii="宋体" w:hAnsi="宋体" w:eastAsia="宋体" w:cs="宋体"/>
          <w:spacing w:val="28"/>
          <w:sz w:val="23"/>
          <w:szCs w:val="23"/>
        </w:rPr>
        <w:t>目生产废水经厂区设施处理后 ， 可以满足《辽宁省污水综合排放标准</w:t>
      </w:r>
      <w:r>
        <w:rPr>
          <w:rFonts w:ascii="宋体" w:hAnsi="宋体" w:eastAsia="宋体" w:cs="宋体"/>
          <w:spacing w:val="25"/>
          <w:sz w:val="23"/>
          <w:szCs w:val="23"/>
        </w:rPr>
        <w:t>》</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0"/>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10"/>
          <w:sz w:val="23"/>
          <w:szCs w:val="23"/>
        </w:rPr>
        <w:t>21/ 1</w:t>
      </w:r>
      <w:r>
        <w:rPr>
          <w:rFonts w:ascii="Times New Roman" w:hAnsi="Times New Roman" w:eastAsia="Times New Roman" w:cs="Times New Roman"/>
          <w:spacing w:val="5"/>
          <w:sz w:val="23"/>
          <w:szCs w:val="23"/>
        </w:rPr>
        <w:t>627-2008</w:t>
      </w:r>
      <w:r>
        <w:rPr>
          <w:rFonts w:ascii="宋体" w:hAnsi="宋体" w:eastAsia="宋体" w:cs="宋体"/>
          <w:spacing w:val="5"/>
          <w:sz w:val="23"/>
          <w:szCs w:val="23"/>
        </w:rPr>
        <w:t>) 中排入污水处理厂的水污染物最高允许排放浓度限制要求，</w:t>
      </w:r>
      <w:r>
        <w:rPr>
          <w:rFonts w:ascii="宋体" w:hAnsi="宋体" w:eastAsia="宋体" w:cs="宋体"/>
          <w:sz w:val="23"/>
          <w:szCs w:val="23"/>
        </w:rPr>
        <w:t xml:space="preserve"> </w:t>
      </w:r>
      <w:r>
        <w:rPr>
          <w:rFonts w:ascii="宋体" w:hAnsi="宋体" w:eastAsia="宋体" w:cs="宋体"/>
          <w:spacing w:val="4"/>
          <w:sz w:val="23"/>
          <w:szCs w:val="23"/>
        </w:rPr>
        <w:t>且本溪</w:t>
      </w:r>
      <w:r>
        <w:rPr>
          <w:rFonts w:ascii="宋体" w:hAnsi="宋体" w:eastAsia="宋体" w:cs="宋体"/>
          <w:spacing w:val="3"/>
          <w:sz w:val="23"/>
          <w:szCs w:val="23"/>
        </w:rPr>
        <w:t>市</w:t>
      </w:r>
      <w:r>
        <w:rPr>
          <w:rFonts w:ascii="宋体" w:hAnsi="宋体" w:eastAsia="宋体" w:cs="宋体"/>
          <w:spacing w:val="2"/>
          <w:sz w:val="23"/>
          <w:szCs w:val="23"/>
        </w:rPr>
        <w:t>科态污水处理有限责任公司污水处理规模可满足本项目需求。综上所述，</w:t>
      </w:r>
      <w:r>
        <w:rPr>
          <w:rFonts w:ascii="宋体" w:hAnsi="宋体" w:eastAsia="宋体" w:cs="宋体"/>
          <w:sz w:val="23"/>
          <w:szCs w:val="23"/>
        </w:rPr>
        <w:t xml:space="preserve"> </w:t>
      </w:r>
      <w:r>
        <w:rPr>
          <w:rFonts w:ascii="宋体" w:hAnsi="宋体" w:eastAsia="宋体" w:cs="宋体"/>
          <w:spacing w:val="4"/>
          <w:sz w:val="23"/>
          <w:szCs w:val="23"/>
        </w:rPr>
        <w:t>本溪市科态污水处</w:t>
      </w:r>
      <w:r>
        <w:rPr>
          <w:rFonts w:ascii="宋体" w:hAnsi="宋体" w:eastAsia="宋体" w:cs="宋体"/>
          <w:spacing w:val="3"/>
          <w:sz w:val="23"/>
          <w:szCs w:val="23"/>
        </w:rPr>
        <w:t>理</w:t>
      </w:r>
      <w:r>
        <w:rPr>
          <w:rFonts w:ascii="宋体" w:hAnsi="宋体" w:eastAsia="宋体" w:cs="宋体"/>
          <w:spacing w:val="2"/>
          <w:sz w:val="23"/>
          <w:szCs w:val="23"/>
        </w:rPr>
        <w:t>有限责任公司现可满足本项目排水需求。</w:t>
      </w:r>
    </w:p>
    <w:p w14:paraId="0459E36B">
      <w:pPr>
        <w:spacing w:before="98" w:line="226" w:lineRule="auto"/>
        <w:ind w:left="33"/>
        <w:outlineLvl w:val="2"/>
        <w:rPr>
          <w:rFonts w:ascii="宋体" w:hAnsi="宋体" w:eastAsia="宋体" w:cs="宋体"/>
          <w:sz w:val="29"/>
          <w:szCs w:val="29"/>
        </w:rPr>
      </w:pPr>
      <w:r>
        <w:rPr>
          <w:rFonts w:ascii="Times New Roman" w:hAnsi="Times New Roman" w:eastAsia="Times New Roman" w:cs="Times New Roman"/>
          <w:b/>
          <w:bCs/>
          <w:spacing w:val="8"/>
          <w:sz w:val="29"/>
          <w:szCs w:val="29"/>
        </w:rPr>
        <w:t>5.2.3</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运营期地下水环境影响分</w:t>
      </w:r>
      <w:r>
        <w:rPr>
          <w:rFonts w:ascii="宋体" w:hAnsi="宋体" w:eastAsia="宋体" w:cs="宋体"/>
          <w:spacing w:val="7"/>
          <w:sz w:val="29"/>
          <w:szCs w:val="29"/>
          <w14:textOutline w14:w="5448" w14:cap="sq" w14:cmpd="sng">
            <w14:solidFill>
              <w14:srgbClr w14:val="000000"/>
            </w14:solidFill>
            <w14:prstDash w14:val="solid"/>
            <w14:bevel/>
          </w14:textOutline>
        </w:rPr>
        <w:t>析</w:t>
      </w:r>
    </w:p>
    <w:p w14:paraId="3CB85301">
      <w:pPr>
        <w:spacing w:line="273" w:lineRule="auto"/>
        <w:rPr>
          <w:rFonts w:ascii="Arial"/>
          <w:sz w:val="21"/>
        </w:rPr>
      </w:pPr>
    </w:p>
    <w:p w14:paraId="5FE53680">
      <w:pPr>
        <w:spacing w:before="75" w:line="227" w:lineRule="auto"/>
        <w:ind w:left="512"/>
        <w:rPr>
          <w:rFonts w:ascii="宋体" w:hAnsi="宋体" w:eastAsia="宋体" w:cs="宋体"/>
          <w:sz w:val="23"/>
          <w:szCs w:val="23"/>
        </w:rPr>
      </w:pPr>
      <w:r>
        <w:rPr>
          <w:rFonts w:ascii="宋体" w:hAnsi="宋体" w:eastAsia="宋体" w:cs="宋体"/>
          <w:spacing w:val="11"/>
          <w:sz w:val="23"/>
          <w:szCs w:val="23"/>
        </w:rPr>
        <w:t>根</w:t>
      </w:r>
      <w:r>
        <w:rPr>
          <w:rFonts w:ascii="宋体" w:hAnsi="宋体" w:eastAsia="宋体" w:cs="宋体"/>
          <w:spacing w:val="6"/>
          <w:sz w:val="23"/>
          <w:szCs w:val="23"/>
        </w:rPr>
        <w:t>据《环境影响评价技术导则 地下水》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610-2016</w:t>
      </w:r>
      <w:r>
        <w:rPr>
          <w:rFonts w:ascii="宋体" w:hAnsi="宋体" w:eastAsia="宋体" w:cs="宋体"/>
          <w:spacing w:val="6"/>
          <w:sz w:val="23"/>
          <w:szCs w:val="23"/>
        </w:rPr>
        <w:t>) ，本项目地下水评</w:t>
      </w:r>
    </w:p>
    <w:p w14:paraId="23F7D837">
      <w:pPr>
        <w:sectPr>
          <w:headerReference r:id="rId223" w:type="default"/>
          <w:footerReference r:id="rId224" w:type="default"/>
          <w:pgSz w:w="11906" w:h="16839"/>
          <w:pgMar w:top="1132" w:right="1738" w:bottom="1182" w:left="1777" w:header="878" w:footer="1022" w:gutter="0"/>
          <w:cols w:space="720" w:num="1"/>
        </w:sectPr>
      </w:pPr>
    </w:p>
    <w:p w14:paraId="205FCB49">
      <w:pPr>
        <w:spacing w:line="425" w:lineRule="auto"/>
        <w:rPr>
          <w:rFonts w:ascii="Arial"/>
          <w:sz w:val="21"/>
        </w:rPr>
      </w:pPr>
      <w:r>
        <w:pict>
          <v:shape id="_x0000_s1273" o:spid="_x0000_s1273" style="position:absolute;left:0pt;margin-left:90pt;margin-top:57.35pt;height:0.75pt;width:415.3pt;mso-position-horizontal-relative:page;mso-position-vertical-relative:page;z-index:251928576;mso-width-relative:page;mso-height-relative:page;" fillcolor="#000000" filled="t" stroked="f" coordsize="8305,15" o:allowincell="f" path="m0,0l8305,0,8305,14,0,14,0,0xe">
            <v:path/>
            <v:fill on="t" focussize="0,0"/>
            <v:stroke on="f"/>
            <v:imagedata o:title=""/>
            <o:lock v:ext="edit"/>
          </v:shape>
        </w:pict>
      </w:r>
    </w:p>
    <w:p w14:paraId="4B8BC897">
      <w:pPr>
        <w:spacing w:before="75" w:line="405" w:lineRule="auto"/>
        <w:ind w:left="21" w:right="35" w:firstLine="2"/>
        <w:rPr>
          <w:rFonts w:ascii="宋体" w:hAnsi="宋体" w:eastAsia="宋体" w:cs="宋体"/>
          <w:sz w:val="23"/>
          <w:szCs w:val="23"/>
        </w:rPr>
      </w:pPr>
      <w:r>
        <w:rPr>
          <w:rFonts w:ascii="宋体" w:hAnsi="宋体" w:eastAsia="宋体" w:cs="宋体"/>
          <w:spacing w:val="8"/>
          <w:sz w:val="23"/>
          <w:szCs w:val="23"/>
        </w:rPr>
        <w:t>价</w:t>
      </w:r>
      <w:r>
        <w:rPr>
          <w:rFonts w:ascii="宋体" w:hAnsi="宋体" w:eastAsia="宋体" w:cs="宋体"/>
          <w:spacing w:val="7"/>
          <w:sz w:val="23"/>
          <w:szCs w:val="23"/>
        </w:rPr>
        <w:t>等级为三级，三级评价应了解调查评价区和场地环境水文地质条件，基本掌握</w:t>
      </w:r>
      <w:r>
        <w:rPr>
          <w:rFonts w:ascii="宋体" w:hAnsi="宋体" w:eastAsia="宋体" w:cs="宋体"/>
          <w:sz w:val="23"/>
          <w:szCs w:val="23"/>
        </w:rPr>
        <w:t xml:space="preserve"> </w:t>
      </w:r>
      <w:r>
        <w:rPr>
          <w:rFonts w:ascii="宋体" w:hAnsi="宋体" w:eastAsia="宋体" w:cs="宋体"/>
          <w:spacing w:val="10"/>
          <w:sz w:val="23"/>
          <w:szCs w:val="23"/>
        </w:rPr>
        <w:t>评</w:t>
      </w:r>
      <w:r>
        <w:rPr>
          <w:rFonts w:ascii="宋体" w:hAnsi="宋体" w:eastAsia="宋体" w:cs="宋体"/>
          <w:spacing w:val="7"/>
          <w:sz w:val="23"/>
          <w:szCs w:val="23"/>
        </w:rPr>
        <w:t>价区的地下水补给径流条件和地下水环境质量现状。采用解析法或类比分析法</w:t>
      </w:r>
      <w:r>
        <w:rPr>
          <w:rFonts w:ascii="宋体" w:hAnsi="宋体" w:eastAsia="宋体" w:cs="宋体"/>
          <w:sz w:val="23"/>
          <w:szCs w:val="23"/>
        </w:rPr>
        <w:t xml:space="preserve"> </w:t>
      </w:r>
      <w:r>
        <w:rPr>
          <w:rFonts w:ascii="宋体" w:hAnsi="宋体" w:eastAsia="宋体" w:cs="宋体"/>
          <w:spacing w:val="10"/>
          <w:sz w:val="23"/>
          <w:szCs w:val="23"/>
        </w:rPr>
        <w:t>进</w:t>
      </w:r>
      <w:r>
        <w:rPr>
          <w:rFonts w:ascii="宋体" w:hAnsi="宋体" w:eastAsia="宋体" w:cs="宋体"/>
          <w:spacing w:val="7"/>
          <w:sz w:val="23"/>
          <w:szCs w:val="23"/>
        </w:rPr>
        <w:t>行地下水影响分析与评价。提出切实可行的环境保护措施与地下水环境影响跟</w:t>
      </w:r>
      <w:r>
        <w:rPr>
          <w:rFonts w:ascii="宋体" w:hAnsi="宋体" w:eastAsia="宋体" w:cs="宋体"/>
          <w:sz w:val="23"/>
          <w:szCs w:val="23"/>
        </w:rPr>
        <w:t xml:space="preserve"> </w:t>
      </w:r>
      <w:r>
        <w:rPr>
          <w:rFonts w:ascii="宋体" w:hAnsi="宋体" w:eastAsia="宋体" w:cs="宋体"/>
          <w:spacing w:val="7"/>
          <w:sz w:val="23"/>
          <w:szCs w:val="23"/>
        </w:rPr>
        <w:t>踪监测计划。</w:t>
      </w:r>
    </w:p>
    <w:p w14:paraId="78E421AD">
      <w:pPr>
        <w:spacing w:before="84" w:line="220" w:lineRule="auto"/>
        <w:ind w:left="23"/>
        <w:outlineLvl w:val="3"/>
        <w:rPr>
          <w:rFonts w:ascii="宋体" w:hAnsi="宋体" w:eastAsia="宋体" w:cs="宋体"/>
          <w:sz w:val="28"/>
          <w:szCs w:val="28"/>
        </w:rPr>
      </w:pPr>
      <w:r>
        <w:rPr>
          <w:rFonts w:ascii="Times New Roman" w:hAnsi="Times New Roman" w:eastAsia="Times New Roman" w:cs="Times New Roman"/>
          <w:b/>
          <w:bCs/>
          <w:spacing w:val="18"/>
          <w:sz w:val="28"/>
          <w:szCs w:val="28"/>
        </w:rPr>
        <w:t>5</w:t>
      </w:r>
      <w:r>
        <w:rPr>
          <w:rFonts w:ascii="Times New Roman" w:hAnsi="Times New Roman" w:eastAsia="Times New Roman" w:cs="Times New Roman"/>
          <w:b/>
          <w:bCs/>
          <w:spacing w:val="10"/>
          <w:sz w:val="28"/>
          <w:szCs w:val="28"/>
        </w:rPr>
        <w:t>.</w:t>
      </w:r>
      <w:r>
        <w:rPr>
          <w:rFonts w:ascii="Times New Roman" w:hAnsi="Times New Roman" w:eastAsia="Times New Roman" w:cs="Times New Roman"/>
          <w:b/>
          <w:bCs/>
          <w:spacing w:val="9"/>
          <w:sz w:val="28"/>
          <w:szCs w:val="28"/>
        </w:rPr>
        <w:t>2.3.1</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正常情况下对地下水水质的影响</w:t>
      </w:r>
    </w:p>
    <w:p w14:paraId="3479F3CB">
      <w:pPr>
        <w:spacing w:line="279" w:lineRule="auto"/>
        <w:rPr>
          <w:rFonts w:ascii="Arial"/>
          <w:sz w:val="21"/>
        </w:rPr>
      </w:pPr>
    </w:p>
    <w:p w14:paraId="1763E4C7">
      <w:pPr>
        <w:spacing w:before="74" w:line="408" w:lineRule="auto"/>
        <w:ind w:left="26" w:right="47" w:firstLine="480"/>
        <w:rPr>
          <w:rFonts w:ascii="宋体" w:hAnsi="宋体" w:eastAsia="宋体" w:cs="宋体"/>
          <w:sz w:val="23"/>
          <w:szCs w:val="23"/>
        </w:rPr>
      </w:pPr>
      <w:r>
        <w:rPr>
          <w:rFonts w:ascii="宋体" w:hAnsi="宋体" w:eastAsia="宋体" w:cs="宋体"/>
          <w:spacing w:val="26"/>
          <w:sz w:val="23"/>
          <w:szCs w:val="23"/>
        </w:rPr>
        <w:t>该</w:t>
      </w:r>
      <w:r>
        <w:rPr>
          <w:rFonts w:ascii="宋体" w:hAnsi="宋体" w:eastAsia="宋体" w:cs="宋体"/>
          <w:spacing w:val="25"/>
          <w:sz w:val="23"/>
          <w:szCs w:val="23"/>
        </w:rPr>
        <w:t>项</w:t>
      </w:r>
      <w:r>
        <w:rPr>
          <w:rFonts w:ascii="宋体" w:hAnsi="宋体" w:eastAsia="宋体" w:cs="宋体"/>
          <w:spacing w:val="13"/>
          <w:sz w:val="23"/>
          <w:szCs w:val="23"/>
        </w:rPr>
        <w:t>目用水来源为自来水给水管网，所有生产废水零排放，员工使用防渗</w:t>
      </w:r>
      <w:r>
        <w:rPr>
          <w:rFonts w:ascii="宋体" w:hAnsi="宋体" w:eastAsia="宋体" w:cs="宋体"/>
          <w:sz w:val="23"/>
          <w:szCs w:val="23"/>
        </w:rPr>
        <w:t xml:space="preserve"> </w:t>
      </w:r>
      <w:r>
        <w:rPr>
          <w:rFonts w:ascii="宋体" w:hAnsi="宋体" w:eastAsia="宋体" w:cs="宋体"/>
          <w:spacing w:val="27"/>
          <w:sz w:val="23"/>
          <w:szCs w:val="23"/>
        </w:rPr>
        <w:t>旱</w:t>
      </w:r>
      <w:r>
        <w:rPr>
          <w:rFonts w:ascii="宋体" w:hAnsi="宋体" w:eastAsia="宋体" w:cs="宋体"/>
          <w:spacing w:val="14"/>
          <w:sz w:val="23"/>
          <w:szCs w:val="23"/>
        </w:rPr>
        <w:t>厕，定期清掏，不外排，因此，不涉及地下水回灌。</w:t>
      </w:r>
    </w:p>
    <w:p w14:paraId="6BC597CE">
      <w:pPr>
        <w:spacing w:before="138" w:line="409" w:lineRule="auto"/>
        <w:ind w:left="43" w:right="23" w:firstLine="437"/>
        <w:rPr>
          <w:rFonts w:ascii="宋体" w:hAnsi="宋体" w:eastAsia="宋体" w:cs="宋体"/>
          <w:sz w:val="23"/>
          <w:szCs w:val="23"/>
        </w:rPr>
      </w:pPr>
      <w:r>
        <w:rPr>
          <w:rFonts w:ascii="宋体" w:hAnsi="宋体" w:eastAsia="宋体" w:cs="宋体"/>
          <w:spacing w:val="1"/>
          <w:sz w:val="23"/>
          <w:szCs w:val="23"/>
        </w:rPr>
        <w:t>本工程对项目周边地下水环境的影响，主要是对项目场地地下水下游方</w:t>
      </w:r>
      <w:r>
        <w:rPr>
          <w:rFonts w:ascii="宋体" w:hAnsi="宋体" w:eastAsia="宋体" w:cs="宋体"/>
          <w:sz w:val="23"/>
          <w:szCs w:val="23"/>
        </w:rPr>
        <w:t xml:space="preserve">向潜水 </w:t>
      </w:r>
      <w:r>
        <w:rPr>
          <w:rFonts w:ascii="宋体" w:hAnsi="宋体" w:eastAsia="宋体" w:cs="宋体"/>
          <w:spacing w:val="-4"/>
          <w:sz w:val="23"/>
          <w:szCs w:val="23"/>
        </w:rPr>
        <w:t>的影响。该区域潜</w:t>
      </w:r>
      <w:r>
        <w:rPr>
          <w:rFonts w:ascii="宋体" w:hAnsi="宋体" w:eastAsia="宋体" w:cs="宋体"/>
          <w:spacing w:val="-2"/>
          <w:sz w:val="23"/>
          <w:szCs w:val="23"/>
        </w:rPr>
        <w:t>水的污染途径主要来自项目场地的渗漏产生的渗滤液地面径流。</w:t>
      </w:r>
    </w:p>
    <w:p w14:paraId="2C5CD223">
      <w:pPr>
        <w:spacing w:before="135" w:line="402" w:lineRule="auto"/>
        <w:ind w:left="23" w:firstLine="480"/>
        <w:rPr>
          <w:rFonts w:ascii="宋体" w:hAnsi="宋体" w:eastAsia="宋体" w:cs="宋体"/>
          <w:sz w:val="23"/>
          <w:szCs w:val="23"/>
        </w:rPr>
      </w:pPr>
      <w:r>
        <w:rPr>
          <w:rFonts w:ascii="宋体" w:hAnsi="宋体" w:eastAsia="宋体" w:cs="宋体"/>
          <w:spacing w:val="7"/>
          <w:sz w:val="23"/>
          <w:szCs w:val="23"/>
        </w:rPr>
        <w:t>本项目属松散岩类孔隙含水岩组，场地地下水为第四系孔隙潜水，浅水层</w:t>
      </w:r>
      <w:r>
        <w:rPr>
          <w:rFonts w:ascii="宋体" w:hAnsi="宋体" w:eastAsia="宋体" w:cs="宋体"/>
          <w:spacing w:val="2"/>
          <w:sz w:val="23"/>
          <w:szCs w:val="23"/>
        </w:rPr>
        <w:t>上</w:t>
      </w:r>
      <w:r>
        <w:rPr>
          <w:rFonts w:ascii="宋体" w:hAnsi="宋体" w:eastAsia="宋体" w:cs="宋体"/>
          <w:sz w:val="23"/>
          <w:szCs w:val="23"/>
        </w:rPr>
        <w:t xml:space="preserve"> </w:t>
      </w:r>
      <w:r>
        <w:rPr>
          <w:rFonts w:ascii="宋体" w:hAnsi="宋体" w:eastAsia="宋体" w:cs="宋体"/>
          <w:spacing w:val="-4"/>
          <w:sz w:val="23"/>
          <w:szCs w:val="23"/>
        </w:rPr>
        <w:t>部为粘土，下部以砂砾石为主，卵砾</w:t>
      </w:r>
      <w:r>
        <w:rPr>
          <w:rFonts w:ascii="宋体" w:hAnsi="宋体" w:eastAsia="宋体" w:cs="宋体"/>
          <w:spacing w:val="-2"/>
          <w:sz w:val="23"/>
          <w:szCs w:val="23"/>
        </w:rPr>
        <w:t xml:space="preserve">石其次。含水层为砾石层，最大颗粒为 </w:t>
      </w:r>
      <w:r>
        <w:rPr>
          <w:rFonts w:ascii="Times New Roman" w:hAnsi="Times New Roman" w:eastAsia="Times New Roman" w:cs="Times New Roman"/>
          <w:spacing w:val="-2"/>
          <w:sz w:val="23"/>
          <w:szCs w:val="23"/>
        </w:rPr>
        <w:t>100mm</w:t>
      </w:r>
      <w:r>
        <w:rPr>
          <w:rFonts w:ascii="Times New Roman" w:hAnsi="Times New Roman" w:eastAsia="Times New Roman" w:cs="Times New Roman"/>
          <w:sz w:val="23"/>
          <w:szCs w:val="23"/>
        </w:rPr>
        <w:t xml:space="preserve"> </w:t>
      </w:r>
      <w:r>
        <w:rPr>
          <w:rFonts w:ascii="宋体" w:hAnsi="宋体" w:eastAsia="宋体" w:cs="宋体"/>
          <w:spacing w:val="14"/>
          <w:sz w:val="23"/>
          <w:szCs w:val="23"/>
        </w:rPr>
        <w:t>左右，</w:t>
      </w:r>
      <w:r>
        <w:rPr>
          <w:rFonts w:ascii="宋体" w:hAnsi="宋体" w:eastAsia="宋体" w:cs="宋体"/>
          <w:spacing w:val="11"/>
          <w:sz w:val="23"/>
          <w:szCs w:val="23"/>
        </w:rPr>
        <w:t>平</w:t>
      </w:r>
      <w:r>
        <w:rPr>
          <w:rFonts w:ascii="宋体" w:hAnsi="宋体" w:eastAsia="宋体" w:cs="宋体"/>
          <w:spacing w:val="7"/>
          <w:sz w:val="23"/>
          <w:szCs w:val="23"/>
        </w:rPr>
        <w:t xml:space="preserve">均 </w:t>
      </w:r>
      <w:r>
        <w:rPr>
          <w:rFonts w:ascii="Times New Roman" w:hAnsi="Times New Roman" w:eastAsia="Times New Roman" w:cs="Times New Roman"/>
          <w:spacing w:val="7"/>
          <w:sz w:val="23"/>
          <w:szCs w:val="23"/>
        </w:rPr>
        <w:t>30~60</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，该层上部磨圆度好，下部多呈棱角状，分选较差，砾石</w:t>
      </w:r>
      <w:r>
        <w:rPr>
          <w:rFonts w:ascii="宋体" w:hAnsi="宋体" w:eastAsia="宋体" w:cs="宋体"/>
          <w:sz w:val="23"/>
          <w:szCs w:val="23"/>
        </w:rPr>
        <w:t xml:space="preserve"> </w:t>
      </w:r>
      <w:r>
        <w:rPr>
          <w:rFonts w:ascii="宋体" w:hAnsi="宋体" w:eastAsia="宋体" w:cs="宋体"/>
          <w:spacing w:val="-1"/>
          <w:sz w:val="23"/>
          <w:szCs w:val="23"/>
        </w:rPr>
        <w:t xml:space="preserve">层中地下水水位埋深 </w:t>
      </w:r>
      <w:r>
        <w:rPr>
          <w:rFonts w:ascii="Times New Roman" w:hAnsi="Times New Roman" w:eastAsia="Times New Roman" w:cs="Times New Roman"/>
          <w:spacing w:val="-1"/>
          <w:sz w:val="23"/>
          <w:szCs w:val="23"/>
        </w:rPr>
        <w:t>0~ 1.6</w:t>
      </w:r>
      <w:r>
        <w:rPr>
          <w:rFonts w:ascii="Times New Roman" w:hAnsi="Times New Roman" w:eastAsia="Times New Roman" w:cs="Times New Roman"/>
          <w:sz w:val="23"/>
          <w:szCs w:val="23"/>
        </w:rPr>
        <w:t xml:space="preserve">m </w:t>
      </w:r>
      <w:r>
        <w:rPr>
          <w:rFonts w:ascii="宋体" w:hAnsi="宋体" w:eastAsia="宋体" w:cs="宋体"/>
          <w:sz w:val="23"/>
          <w:szCs w:val="23"/>
        </w:rPr>
        <w:t xml:space="preserve">，含水层平均厚度 </w:t>
      </w:r>
      <w:r>
        <w:rPr>
          <w:rFonts w:ascii="Times New Roman" w:hAnsi="Times New Roman" w:eastAsia="Times New Roman" w:cs="Times New Roman"/>
          <w:sz w:val="23"/>
          <w:szCs w:val="23"/>
        </w:rPr>
        <w:t xml:space="preserve">2.0m </w:t>
      </w:r>
      <w:r>
        <w:rPr>
          <w:rFonts w:ascii="宋体" w:hAnsi="宋体" w:eastAsia="宋体" w:cs="宋体"/>
          <w:sz w:val="23"/>
          <w:szCs w:val="23"/>
        </w:rPr>
        <w:t xml:space="preserve">，渗透系数 </w:t>
      </w:r>
      <w:r>
        <w:rPr>
          <w:rFonts w:ascii="Times New Roman" w:hAnsi="Times New Roman" w:eastAsia="Times New Roman" w:cs="Times New Roman"/>
          <w:sz w:val="23"/>
          <w:szCs w:val="23"/>
        </w:rPr>
        <w:t xml:space="preserve">30m/d </w:t>
      </w:r>
      <w:r>
        <w:rPr>
          <w:rFonts w:ascii="宋体" w:hAnsi="宋体" w:eastAsia="宋体" w:cs="宋体"/>
          <w:sz w:val="23"/>
          <w:szCs w:val="23"/>
        </w:rPr>
        <w:t xml:space="preserve">，按埋藏 </w:t>
      </w:r>
      <w:r>
        <w:rPr>
          <w:rFonts w:ascii="宋体" w:hAnsi="宋体" w:eastAsia="宋体" w:cs="宋体"/>
          <w:spacing w:val="10"/>
          <w:sz w:val="23"/>
          <w:szCs w:val="23"/>
        </w:rPr>
        <w:t>条</w:t>
      </w:r>
      <w:r>
        <w:rPr>
          <w:rFonts w:ascii="宋体" w:hAnsi="宋体" w:eastAsia="宋体" w:cs="宋体"/>
          <w:spacing w:val="8"/>
          <w:sz w:val="23"/>
          <w:szCs w:val="23"/>
        </w:rPr>
        <w:t>件划分，区内地下水类型为潜水。此类型地下水主要受降水和蒸发控制影响，</w:t>
      </w:r>
      <w:r>
        <w:rPr>
          <w:rFonts w:ascii="宋体" w:hAnsi="宋体" w:eastAsia="宋体" w:cs="宋体"/>
          <w:sz w:val="23"/>
          <w:szCs w:val="23"/>
        </w:rPr>
        <w:t xml:space="preserve"> </w:t>
      </w:r>
      <w:r>
        <w:rPr>
          <w:rFonts w:ascii="宋体" w:hAnsi="宋体" w:eastAsia="宋体" w:cs="宋体"/>
          <w:spacing w:val="8"/>
          <w:sz w:val="23"/>
          <w:szCs w:val="23"/>
        </w:rPr>
        <w:t>比</w:t>
      </w:r>
      <w:r>
        <w:rPr>
          <w:rFonts w:ascii="宋体" w:hAnsi="宋体" w:eastAsia="宋体" w:cs="宋体"/>
          <w:spacing w:val="6"/>
          <w:sz w:val="23"/>
          <w:szCs w:val="23"/>
        </w:rPr>
        <w:t xml:space="preserve">较容易受到污染。该项目区域水文地质图见图 </w:t>
      </w:r>
      <w:r>
        <w:rPr>
          <w:rFonts w:ascii="Times New Roman" w:hAnsi="Times New Roman" w:eastAsia="Times New Roman" w:cs="Times New Roman"/>
          <w:spacing w:val="6"/>
          <w:sz w:val="23"/>
          <w:szCs w:val="23"/>
        </w:rPr>
        <w:t>5-3</w:t>
      </w:r>
      <w:r>
        <w:rPr>
          <w:rFonts w:ascii="宋体" w:hAnsi="宋体" w:eastAsia="宋体" w:cs="宋体"/>
          <w:spacing w:val="6"/>
          <w:sz w:val="23"/>
          <w:szCs w:val="23"/>
        </w:rPr>
        <w:t>。</w:t>
      </w:r>
    </w:p>
    <w:p w14:paraId="633C639D">
      <w:pPr>
        <w:spacing w:before="151" w:line="405" w:lineRule="auto"/>
        <w:ind w:left="22" w:right="35" w:firstLine="485"/>
        <w:rPr>
          <w:rFonts w:ascii="宋体" w:hAnsi="宋体" w:eastAsia="宋体" w:cs="宋体"/>
          <w:sz w:val="23"/>
          <w:szCs w:val="23"/>
        </w:rPr>
      </w:pPr>
      <w:r>
        <w:rPr>
          <w:rFonts w:ascii="宋体" w:hAnsi="宋体" w:eastAsia="宋体" w:cs="宋体"/>
          <w:spacing w:val="12"/>
          <w:sz w:val="23"/>
          <w:szCs w:val="23"/>
        </w:rPr>
        <w:t>正常情况</w:t>
      </w:r>
      <w:r>
        <w:rPr>
          <w:rFonts w:ascii="宋体" w:hAnsi="宋体" w:eastAsia="宋体" w:cs="宋体"/>
          <w:spacing w:val="6"/>
          <w:sz w:val="23"/>
          <w:szCs w:val="23"/>
        </w:rPr>
        <w:t>下，建设项目的工艺设备和地下水环境保护措施均达到设计要求条</w:t>
      </w:r>
      <w:r>
        <w:rPr>
          <w:rFonts w:ascii="宋体" w:hAnsi="宋体" w:eastAsia="宋体" w:cs="宋体"/>
          <w:sz w:val="23"/>
          <w:szCs w:val="23"/>
        </w:rPr>
        <w:t xml:space="preserve"> </w:t>
      </w:r>
      <w:r>
        <w:rPr>
          <w:rFonts w:ascii="宋体" w:hAnsi="宋体" w:eastAsia="宋体" w:cs="宋体"/>
          <w:spacing w:val="9"/>
          <w:sz w:val="23"/>
          <w:szCs w:val="23"/>
        </w:rPr>
        <w:t>件</w:t>
      </w:r>
      <w:r>
        <w:rPr>
          <w:rFonts w:ascii="宋体" w:hAnsi="宋体" w:eastAsia="宋体" w:cs="宋体"/>
          <w:spacing w:val="7"/>
          <w:sz w:val="23"/>
          <w:szCs w:val="23"/>
        </w:rPr>
        <w:t>下的运行状况，严格落实了各项地下水防渗措施，则本项目的渗漏量很小，通</w:t>
      </w:r>
      <w:r>
        <w:rPr>
          <w:rFonts w:ascii="宋体" w:hAnsi="宋体" w:eastAsia="宋体" w:cs="宋体"/>
          <w:sz w:val="23"/>
          <w:szCs w:val="23"/>
        </w:rPr>
        <w:t xml:space="preserve"> </w:t>
      </w:r>
      <w:r>
        <w:rPr>
          <w:rFonts w:ascii="宋体" w:hAnsi="宋体" w:eastAsia="宋体" w:cs="宋体"/>
          <w:spacing w:val="9"/>
          <w:sz w:val="23"/>
          <w:szCs w:val="23"/>
        </w:rPr>
        <w:t>过</w:t>
      </w:r>
      <w:r>
        <w:rPr>
          <w:rFonts w:ascii="宋体" w:hAnsi="宋体" w:eastAsia="宋体" w:cs="宋体"/>
          <w:spacing w:val="7"/>
          <w:sz w:val="23"/>
          <w:szCs w:val="23"/>
        </w:rPr>
        <w:t>源头控制、分区防渗、加强环境管理、定期跟踪监测，可有效防控本项目改变</w:t>
      </w:r>
      <w:r>
        <w:rPr>
          <w:rFonts w:ascii="宋体" w:hAnsi="宋体" w:eastAsia="宋体" w:cs="宋体"/>
          <w:sz w:val="23"/>
          <w:szCs w:val="23"/>
        </w:rPr>
        <w:t xml:space="preserve"> </w:t>
      </w:r>
      <w:r>
        <w:rPr>
          <w:rFonts w:ascii="宋体" w:hAnsi="宋体" w:eastAsia="宋体" w:cs="宋体"/>
          <w:spacing w:val="18"/>
          <w:sz w:val="23"/>
          <w:szCs w:val="23"/>
        </w:rPr>
        <w:t>场</w:t>
      </w:r>
      <w:r>
        <w:rPr>
          <w:rFonts w:ascii="宋体" w:hAnsi="宋体" w:eastAsia="宋体" w:cs="宋体"/>
          <w:spacing w:val="14"/>
          <w:sz w:val="23"/>
          <w:szCs w:val="23"/>
        </w:rPr>
        <w:t>界</w:t>
      </w:r>
      <w:r>
        <w:rPr>
          <w:rFonts w:ascii="宋体" w:hAnsi="宋体" w:eastAsia="宋体" w:cs="宋体"/>
          <w:spacing w:val="9"/>
          <w:sz w:val="23"/>
          <w:szCs w:val="23"/>
        </w:rPr>
        <w:t>以外地区现有的地下水环境质量，正常状况对地下水环境的影响很小。</w:t>
      </w:r>
    </w:p>
    <w:p w14:paraId="5F4D4DAB">
      <w:pPr>
        <w:spacing w:before="88" w:line="220" w:lineRule="auto"/>
        <w:ind w:left="23"/>
        <w:outlineLvl w:val="3"/>
        <w:rPr>
          <w:rFonts w:ascii="宋体" w:hAnsi="宋体" w:eastAsia="宋体" w:cs="宋体"/>
          <w:sz w:val="28"/>
          <w:szCs w:val="28"/>
        </w:rPr>
      </w:pPr>
      <w:r>
        <w:rPr>
          <w:rFonts w:ascii="Times New Roman" w:hAnsi="Times New Roman" w:eastAsia="Times New Roman" w:cs="Times New Roman"/>
          <w:b/>
          <w:bCs/>
          <w:spacing w:val="18"/>
          <w:sz w:val="28"/>
          <w:szCs w:val="28"/>
        </w:rPr>
        <w:t>5</w:t>
      </w:r>
      <w:r>
        <w:rPr>
          <w:rFonts w:ascii="Times New Roman" w:hAnsi="Times New Roman" w:eastAsia="Times New Roman" w:cs="Times New Roman"/>
          <w:b/>
          <w:bCs/>
          <w:spacing w:val="17"/>
          <w:sz w:val="28"/>
          <w:szCs w:val="28"/>
        </w:rPr>
        <w:t>.</w:t>
      </w:r>
      <w:r>
        <w:rPr>
          <w:rFonts w:ascii="Times New Roman" w:hAnsi="Times New Roman" w:eastAsia="Times New Roman" w:cs="Times New Roman"/>
          <w:b/>
          <w:bCs/>
          <w:spacing w:val="9"/>
          <w:sz w:val="28"/>
          <w:szCs w:val="28"/>
        </w:rPr>
        <w:t>2.3.2</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非正常情况下对地下水水质影响分析</w:t>
      </w:r>
    </w:p>
    <w:p w14:paraId="277C940E">
      <w:pPr>
        <w:spacing w:line="277" w:lineRule="auto"/>
        <w:rPr>
          <w:rFonts w:ascii="Arial"/>
          <w:sz w:val="21"/>
        </w:rPr>
      </w:pPr>
    </w:p>
    <w:p w14:paraId="60BE8938">
      <w:pPr>
        <w:spacing w:before="76" w:line="303" w:lineRule="exact"/>
        <w:ind w:left="522"/>
        <w:rPr>
          <w:rFonts w:ascii="宋体" w:hAnsi="宋体" w:eastAsia="宋体" w:cs="宋体"/>
          <w:sz w:val="23"/>
          <w:szCs w:val="23"/>
        </w:rPr>
      </w:pPr>
      <w:r>
        <w:rPr>
          <w:rFonts w:ascii="Times New Roman" w:hAnsi="Times New Roman" w:eastAsia="Times New Roman" w:cs="Times New Roman"/>
          <w:spacing w:val="-1"/>
          <w:position w:val="1"/>
          <w:sz w:val="23"/>
          <w:szCs w:val="23"/>
        </w:rPr>
        <w:t>1</w:t>
      </w:r>
      <w:r>
        <w:rPr>
          <w:rFonts w:ascii="Times New Roman" w:hAnsi="Times New Roman" w:eastAsia="Times New Roman" w:cs="Times New Roman"/>
          <w:position w:val="1"/>
          <w:sz w:val="23"/>
          <w:szCs w:val="23"/>
        </w:rPr>
        <w:t xml:space="preserve"> </w:t>
      </w:r>
      <w:r>
        <w:rPr>
          <w:rFonts w:ascii="宋体" w:hAnsi="宋体" w:eastAsia="宋体" w:cs="宋体"/>
          <w:position w:val="1"/>
          <w:sz w:val="23"/>
          <w:szCs w:val="23"/>
        </w:rPr>
        <w:t>、预测情景与范围</w:t>
      </w:r>
    </w:p>
    <w:p w14:paraId="4208E864">
      <w:pPr>
        <w:spacing w:line="275" w:lineRule="auto"/>
        <w:rPr>
          <w:rFonts w:ascii="Arial"/>
          <w:sz w:val="21"/>
        </w:rPr>
      </w:pPr>
    </w:p>
    <w:p w14:paraId="6C33B694">
      <w:pPr>
        <w:spacing w:before="75" w:line="405" w:lineRule="auto"/>
        <w:ind w:left="24" w:right="35" w:firstLine="479"/>
        <w:rPr>
          <w:rFonts w:ascii="宋体" w:hAnsi="宋体" w:eastAsia="宋体" w:cs="宋体"/>
          <w:sz w:val="23"/>
          <w:szCs w:val="23"/>
        </w:rPr>
      </w:pPr>
      <w:r>
        <w:rPr>
          <w:rFonts w:ascii="宋体" w:hAnsi="宋体" w:eastAsia="宋体" w:cs="宋体"/>
          <w:spacing w:val="22"/>
          <w:sz w:val="23"/>
          <w:szCs w:val="23"/>
        </w:rPr>
        <w:t>根据</w:t>
      </w:r>
      <w:r>
        <w:rPr>
          <w:rFonts w:ascii="宋体" w:hAnsi="宋体" w:eastAsia="宋体" w:cs="宋体"/>
          <w:spacing w:val="11"/>
          <w:sz w:val="23"/>
          <w:szCs w:val="23"/>
        </w:rPr>
        <w:t>地下水导则第</w:t>
      </w:r>
      <w:r>
        <w:rPr>
          <w:rFonts w:ascii="Times New Roman" w:hAnsi="Times New Roman" w:eastAsia="Times New Roman" w:cs="Times New Roman"/>
          <w:spacing w:val="11"/>
          <w:sz w:val="23"/>
          <w:szCs w:val="23"/>
        </w:rPr>
        <w:t>9.6</w:t>
      </w:r>
      <w:r>
        <w:rPr>
          <w:rFonts w:ascii="宋体" w:hAnsi="宋体" w:eastAsia="宋体" w:cs="宋体"/>
          <w:spacing w:val="11"/>
          <w:sz w:val="23"/>
          <w:szCs w:val="23"/>
        </w:rPr>
        <w:t>条的要求，非正常状况下，预测源强可根据工艺设备</w:t>
      </w:r>
      <w:r>
        <w:rPr>
          <w:rFonts w:ascii="宋体" w:hAnsi="宋体" w:eastAsia="宋体" w:cs="宋体"/>
          <w:sz w:val="23"/>
          <w:szCs w:val="23"/>
        </w:rPr>
        <w:t xml:space="preserve"> </w:t>
      </w:r>
      <w:r>
        <w:rPr>
          <w:rFonts w:ascii="宋体" w:hAnsi="宋体" w:eastAsia="宋体" w:cs="宋体"/>
          <w:spacing w:val="8"/>
          <w:sz w:val="23"/>
          <w:szCs w:val="23"/>
        </w:rPr>
        <w:t>或</w:t>
      </w:r>
      <w:r>
        <w:rPr>
          <w:rFonts w:ascii="宋体" w:hAnsi="宋体" w:eastAsia="宋体" w:cs="宋体"/>
          <w:spacing w:val="7"/>
          <w:sz w:val="23"/>
          <w:szCs w:val="23"/>
        </w:rPr>
        <w:t>地下水环境保护措施因系统老化或腐蚀程度等设定。本项目设定项目三级污沉</w:t>
      </w:r>
      <w:r>
        <w:rPr>
          <w:rFonts w:ascii="宋体" w:hAnsi="宋体" w:eastAsia="宋体" w:cs="宋体"/>
          <w:sz w:val="23"/>
          <w:szCs w:val="23"/>
        </w:rPr>
        <w:t xml:space="preserve"> </w:t>
      </w:r>
      <w:r>
        <w:rPr>
          <w:rFonts w:ascii="宋体" w:hAnsi="宋体" w:eastAsia="宋体" w:cs="宋体"/>
          <w:spacing w:val="8"/>
          <w:sz w:val="23"/>
          <w:szCs w:val="23"/>
        </w:rPr>
        <w:t>淀</w:t>
      </w:r>
      <w:r>
        <w:rPr>
          <w:rFonts w:ascii="宋体" w:hAnsi="宋体" w:eastAsia="宋体" w:cs="宋体"/>
          <w:spacing w:val="7"/>
          <w:sz w:val="23"/>
          <w:szCs w:val="23"/>
        </w:rPr>
        <w:t>池、污水管网等防渗系统老化、腐蚀保护效果达不到设计要求时的情景，最不</w:t>
      </w:r>
      <w:r>
        <w:rPr>
          <w:rFonts w:ascii="宋体" w:hAnsi="宋体" w:eastAsia="宋体" w:cs="宋体"/>
          <w:sz w:val="23"/>
          <w:szCs w:val="23"/>
        </w:rPr>
        <w:t xml:space="preserve"> </w:t>
      </w:r>
      <w:r>
        <w:rPr>
          <w:rFonts w:ascii="宋体" w:hAnsi="宋体" w:eastAsia="宋体" w:cs="宋体"/>
          <w:spacing w:val="8"/>
          <w:sz w:val="23"/>
          <w:szCs w:val="23"/>
        </w:rPr>
        <w:t>利</w:t>
      </w:r>
      <w:r>
        <w:rPr>
          <w:rFonts w:ascii="宋体" w:hAnsi="宋体" w:eastAsia="宋体" w:cs="宋体"/>
          <w:spacing w:val="7"/>
          <w:sz w:val="23"/>
          <w:szCs w:val="23"/>
        </w:rPr>
        <w:t>情况，防渗层出现漏洞，持续点源发生渗漏的情景，该情景下不考虑包气带防</w:t>
      </w:r>
    </w:p>
    <w:p w14:paraId="7C0B8429">
      <w:pPr>
        <w:sectPr>
          <w:headerReference r:id="rId225" w:type="default"/>
          <w:footerReference r:id="rId226" w:type="default"/>
          <w:pgSz w:w="11906" w:h="16839"/>
          <w:pgMar w:top="1132" w:right="1764" w:bottom="1182" w:left="1785" w:header="878" w:footer="1022" w:gutter="0"/>
          <w:cols w:space="720" w:num="1"/>
        </w:sectPr>
      </w:pPr>
    </w:p>
    <w:p w14:paraId="61C29052">
      <w:pPr>
        <w:spacing w:line="424" w:lineRule="auto"/>
        <w:rPr>
          <w:rFonts w:ascii="Arial"/>
          <w:sz w:val="21"/>
        </w:rPr>
      </w:pPr>
      <w:r>
        <w:pict>
          <v:shape id="_x0000_s1274" o:spid="_x0000_s1274" style="position:absolute;left:0pt;margin-left:90pt;margin-top:57.35pt;height:0.75pt;width:415.3pt;mso-position-horizontal-relative:page;mso-position-vertical-relative:page;z-index:251929600;mso-width-relative:page;mso-height-relative:page;" fillcolor="#000000" filled="t" stroked="f" coordsize="8305,15" o:allowincell="f" path="m0,0l8305,0,8305,14,0,14,0,0xe">
            <v:path/>
            <v:fill on="t" focussize="0,0"/>
            <v:stroke on="f"/>
            <v:imagedata o:title=""/>
            <o:lock v:ext="edit"/>
          </v:shape>
        </w:pict>
      </w:r>
    </w:p>
    <w:p w14:paraId="380438B5">
      <w:pPr>
        <w:spacing w:before="75" w:line="408" w:lineRule="auto"/>
        <w:ind w:left="22" w:right="66" w:firstLine="2"/>
        <w:rPr>
          <w:rFonts w:ascii="宋体" w:hAnsi="宋体" w:eastAsia="宋体" w:cs="宋体"/>
          <w:sz w:val="23"/>
          <w:szCs w:val="23"/>
        </w:rPr>
      </w:pPr>
      <w:r>
        <w:rPr>
          <w:rFonts w:ascii="宋体" w:hAnsi="宋体" w:eastAsia="宋体" w:cs="宋体"/>
          <w:spacing w:val="7"/>
          <w:sz w:val="23"/>
          <w:szCs w:val="23"/>
        </w:rPr>
        <w:t>污性能带来的吸附作用和时间滞后效应，取污染物原始浓度随污水沿垂直方向直</w:t>
      </w:r>
      <w:r>
        <w:rPr>
          <w:rFonts w:ascii="宋体" w:hAnsi="宋体" w:eastAsia="宋体" w:cs="宋体"/>
          <w:sz w:val="23"/>
          <w:szCs w:val="23"/>
        </w:rPr>
        <w:t xml:space="preserve"> </w:t>
      </w:r>
      <w:r>
        <w:rPr>
          <w:rFonts w:ascii="宋体" w:hAnsi="宋体" w:eastAsia="宋体" w:cs="宋体"/>
          <w:spacing w:val="16"/>
          <w:sz w:val="23"/>
          <w:szCs w:val="23"/>
        </w:rPr>
        <w:t>接</w:t>
      </w:r>
      <w:r>
        <w:rPr>
          <w:rFonts w:ascii="宋体" w:hAnsi="宋体" w:eastAsia="宋体" w:cs="宋体"/>
          <w:spacing w:val="9"/>
          <w:sz w:val="23"/>
          <w:szCs w:val="23"/>
        </w:rPr>
        <w:t>进</w:t>
      </w:r>
      <w:r>
        <w:rPr>
          <w:rFonts w:ascii="宋体" w:hAnsi="宋体" w:eastAsia="宋体" w:cs="宋体"/>
          <w:spacing w:val="8"/>
          <w:sz w:val="23"/>
          <w:szCs w:val="23"/>
        </w:rPr>
        <w:t>入到潜水含水层进行预测。</w:t>
      </w:r>
    </w:p>
    <w:p w14:paraId="5427673E">
      <w:pPr>
        <w:spacing w:before="137" w:line="410" w:lineRule="auto"/>
        <w:ind w:left="22" w:firstLine="457"/>
        <w:rPr>
          <w:rFonts w:ascii="宋体" w:hAnsi="宋体" w:eastAsia="宋体" w:cs="宋体"/>
          <w:sz w:val="23"/>
          <w:szCs w:val="23"/>
        </w:rPr>
      </w:pPr>
      <w:r>
        <w:rPr>
          <w:rFonts w:ascii="宋体" w:hAnsi="宋体" w:eastAsia="宋体" w:cs="宋体"/>
          <w:spacing w:val="-8"/>
          <w:sz w:val="23"/>
          <w:szCs w:val="23"/>
        </w:rPr>
        <w:t>本</w:t>
      </w:r>
      <w:r>
        <w:rPr>
          <w:rFonts w:ascii="宋体" w:hAnsi="宋体" w:eastAsia="宋体" w:cs="宋体"/>
          <w:spacing w:val="-4"/>
          <w:sz w:val="23"/>
          <w:szCs w:val="23"/>
        </w:rPr>
        <w:t>项目预测范围同评价范围。地下水系统的上边以自由水面为界，通过该边界，</w:t>
      </w:r>
      <w:r>
        <w:rPr>
          <w:rFonts w:ascii="宋体" w:hAnsi="宋体" w:eastAsia="宋体" w:cs="宋体"/>
          <w:sz w:val="23"/>
          <w:szCs w:val="23"/>
        </w:rPr>
        <w:t xml:space="preserve"> </w:t>
      </w:r>
      <w:r>
        <w:rPr>
          <w:rFonts w:ascii="宋体" w:hAnsi="宋体" w:eastAsia="宋体" w:cs="宋体"/>
          <w:spacing w:val="-2"/>
          <w:sz w:val="23"/>
          <w:szCs w:val="23"/>
        </w:rPr>
        <w:t>潜水与系统外界发生垂向水量交换，如接受大气降水入渗补给、地表水渗</w:t>
      </w:r>
      <w:r>
        <w:rPr>
          <w:rFonts w:ascii="宋体" w:hAnsi="宋体" w:eastAsia="宋体" w:cs="宋体"/>
          <w:spacing w:val="-1"/>
          <w:sz w:val="23"/>
          <w:szCs w:val="23"/>
        </w:rPr>
        <w:t>漏</w:t>
      </w:r>
      <w:r>
        <w:rPr>
          <w:rFonts w:ascii="宋体" w:hAnsi="宋体" w:eastAsia="宋体" w:cs="宋体"/>
          <w:sz w:val="23"/>
          <w:szCs w:val="23"/>
        </w:rPr>
        <w:t>等。</w:t>
      </w:r>
    </w:p>
    <w:p w14:paraId="45144498">
      <w:pPr>
        <w:spacing w:before="136" w:line="303" w:lineRule="exact"/>
        <w:ind w:left="499"/>
        <w:rPr>
          <w:rFonts w:ascii="宋体" w:hAnsi="宋体" w:eastAsia="宋体" w:cs="宋体"/>
          <w:sz w:val="23"/>
          <w:szCs w:val="23"/>
        </w:rPr>
      </w:pPr>
      <w:r>
        <w:rPr>
          <w:rFonts w:ascii="Times New Roman" w:hAnsi="Times New Roman" w:eastAsia="Times New Roman" w:cs="Times New Roman"/>
          <w:spacing w:val="-2"/>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、预测时间</w:t>
      </w:r>
    </w:p>
    <w:p w14:paraId="62CDBF60">
      <w:pPr>
        <w:spacing w:before="307" w:line="412" w:lineRule="auto"/>
        <w:ind w:left="23" w:right="63" w:firstLine="481"/>
        <w:rPr>
          <w:rFonts w:ascii="宋体" w:hAnsi="宋体" w:eastAsia="宋体" w:cs="宋体"/>
          <w:sz w:val="23"/>
          <w:szCs w:val="23"/>
        </w:rPr>
      </w:pPr>
      <w:r>
        <w:rPr>
          <w:rFonts w:ascii="宋体" w:hAnsi="宋体" w:eastAsia="宋体" w:cs="宋体"/>
          <w:spacing w:val="9"/>
          <w:sz w:val="23"/>
          <w:szCs w:val="23"/>
        </w:rPr>
        <w:t>污</w:t>
      </w:r>
      <w:r>
        <w:rPr>
          <w:rFonts w:ascii="宋体" w:hAnsi="宋体" w:eastAsia="宋体" w:cs="宋体"/>
          <w:spacing w:val="6"/>
          <w:sz w:val="23"/>
          <w:szCs w:val="23"/>
        </w:rPr>
        <w:t>染发生后</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pacing w:val="6"/>
          <w:sz w:val="23"/>
          <w:szCs w:val="23"/>
        </w:rPr>
        <w:t>1000</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。由于本项目企业自身环境管理目标设定较高且有</w:t>
      </w:r>
      <w:r>
        <w:rPr>
          <w:rFonts w:ascii="宋体" w:hAnsi="宋体" w:eastAsia="宋体" w:cs="宋体"/>
          <w:sz w:val="23"/>
          <w:szCs w:val="23"/>
        </w:rPr>
        <w:t xml:space="preserve"> </w:t>
      </w:r>
      <w:r>
        <w:rPr>
          <w:rFonts w:ascii="宋体" w:hAnsi="宋体" w:eastAsia="宋体" w:cs="宋体"/>
          <w:spacing w:val="11"/>
          <w:sz w:val="23"/>
          <w:szCs w:val="23"/>
        </w:rPr>
        <w:t>定</w:t>
      </w:r>
      <w:r>
        <w:rPr>
          <w:rFonts w:ascii="宋体" w:hAnsi="宋体" w:eastAsia="宋体" w:cs="宋体"/>
          <w:spacing w:val="10"/>
          <w:sz w:val="23"/>
          <w:szCs w:val="23"/>
        </w:rPr>
        <w:t>期跟踪监测和环境保护主管部门的监管，因此出现</w:t>
      </w:r>
      <w:r>
        <w:rPr>
          <w:rFonts w:ascii="Times New Roman" w:hAnsi="Times New Roman" w:eastAsia="Times New Roman" w:cs="Times New Roman"/>
          <w:spacing w:val="10"/>
          <w:sz w:val="23"/>
          <w:szCs w:val="23"/>
        </w:rPr>
        <w:t>1000</w:t>
      </w:r>
      <w:r>
        <w:rPr>
          <w:rFonts w:ascii="Times New Roman" w:hAnsi="Times New Roman" w:eastAsia="Times New Roman" w:cs="Times New Roman"/>
          <w:sz w:val="23"/>
          <w:szCs w:val="23"/>
        </w:rPr>
        <w:t>d</w:t>
      </w:r>
      <w:r>
        <w:rPr>
          <w:rFonts w:ascii="宋体" w:hAnsi="宋体" w:eastAsia="宋体" w:cs="宋体"/>
          <w:spacing w:val="10"/>
          <w:sz w:val="23"/>
          <w:szCs w:val="23"/>
        </w:rPr>
        <w:t>以上的非正常状况持</w:t>
      </w:r>
      <w:r>
        <w:rPr>
          <w:rFonts w:ascii="宋体" w:hAnsi="宋体" w:eastAsia="宋体" w:cs="宋体"/>
          <w:sz w:val="23"/>
          <w:szCs w:val="23"/>
        </w:rPr>
        <w:t xml:space="preserve"> </w:t>
      </w:r>
      <w:r>
        <w:rPr>
          <w:rFonts w:ascii="宋体" w:hAnsi="宋体" w:eastAsia="宋体" w:cs="宋体"/>
          <w:spacing w:val="12"/>
          <w:sz w:val="23"/>
          <w:szCs w:val="23"/>
        </w:rPr>
        <w:t>续泄露</w:t>
      </w:r>
      <w:r>
        <w:rPr>
          <w:rFonts w:ascii="宋体" w:hAnsi="宋体" w:eastAsia="宋体" w:cs="宋体"/>
          <w:spacing w:val="9"/>
          <w:sz w:val="23"/>
          <w:szCs w:val="23"/>
        </w:rPr>
        <w:t xml:space="preserve"> </w:t>
      </w:r>
      <w:r>
        <w:rPr>
          <w:rFonts w:ascii="宋体" w:hAnsi="宋体" w:eastAsia="宋体" w:cs="宋体"/>
          <w:spacing w:val="6"/>
          <w:sz w:val="23"/>
          <w:szCs w:val="23"/>
        </w:rPr>
        <w:t>(例如运营期</w:t>
      </w:r>
      <w:r>
        <w:rPr>
          <w:rFonts w:ascii="Times New Roman" w:hAnsi="Times New Roman" w:eastAsia="Times New Roman" w:cs="Times New Roman"/>
          <w:spacing w:val="6"/>
          <w:sz w:val="23"/>
          <w:szCs w:val="23"/>
        </w:rPr>
        <w:t>20</w:t>
      </w:r>
      <w:r>
        <w:rPr>
          <w:rFonts w:ascii="宋体" w:hAnsi="宋体" w:eastAsia="宋体" w:cs="宋体"/>
          <w:spacing w:val="6"/>
          <w:sz w:val="23"/>
          <w:szCs w:val="23"/>
        </w:rPr>
        <w:t>年) ，长期污染地下水而未发现或发现确不采取应急响应</w:t>
      </w:r>
      <w:r>
        <w:rPr>
          <w:rFonts w:ascii="宋体" w:hAnsi="宋体" w:eastAsia="宋体" w:cs="宋体"/>
          <w:sz w:val="23"/>
          <w:szCs w:val="23"/>
        </w:rPr>
        <w:t xml:space="preserve"> </w:t>
      </w:r>
      <w:r>
        <w:rPr>
          <w:rFonts w:ascii="宋体" w:hAnsi="宋体" w:eastAsia="宋体" w:cs="宋体"/>
          <w:spacing w:val="11"/>
          <w:sz w:val="23"/>
          <w:szCs w:val="23"/>
        </w:rPr>
        <w:t>措</w:t>
      </w:r>
      <w:r>
        <w:rPr>
          <w:rFonts w:ascii="宋体" w:hAnsi="宋体" w:eastAsia="宋体" w:cs="宋体"/>
          <w:spacing w:val="9"/>
          <w:sz w:val="23"/>
          <w:szCs w:val="23"/>
        </w:rPr>
        <w:t>施是不现实的，因此本项目最长的持续泄露时间取导则规定的时间为</w:t>
      </w:r>
      <w:r>
        <w:rPr>
          <w:rFonts w:ascii="Times New Roman" w:hAnsi="Times New Roman" w:eastAsia="Times New Roman" w:cs="Times New Roman"/>
          <w:spacing w:val="9"/>
          <w:sz w:val="23"/>
          <w:szCs w:val="23"/>
        </w:rPr>
        <w:t>1000</w:t>
      </w:r>
      <w:r>
        <w:rPr>
          <w:rFonts w:ascii="Times New Roman" w:hAnsi="Times New Roman" w:eastAsia="Times New Roman" w:cs="Times New Roman"/>
          <w:sz w:val="23"/>
          <w:szCs w:val="23"/>
        </w:rPr>
        <w:t>d</w:t>
      </w:r>
      <w:r>
        <w:rPr>
          <w:rFonts w:ascii="宋体" w:hAnsi="宋体" w:eastAsia="宋体" w:cs="宋体"/>
          <w:spacing w:val="9"/>
          <w:sz w:val="23"/>
          <w:szCs w:val="23"/>
        </w:rPr>
        <w:t>。</w:t>
      </w:r>
    </w:p>
    <w:p w14:paraId="51732DFD">
      <w:pPr>
        <w:spacing w:before="149" w:line="303" w:lineRule="exact"/>
        <w:ind w:left="503"/>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3 </w:t>
      </w:r>
      <w:r>
        <w:rPr>
          <w:rFonts w:ascii="宋体" w:hAnsi="宋体" w:eastAsia="宋体" w:cs="宋体"/>
          <w:spacing w:val="-2"/>
          <w:position w:val="1"/>
          <w:sz w:val="23"/>
          <w:szCs w:val="23"/>
        </w:rPr>
        <w:t>、预测方</w:t>
      </w:r>
      <w:r>
        <w:rPr>
          <w:rFonts w:ascii="宋体" w:hAnsi="宋体" w:eastAsia="宋体" w:cs="宋体"/>
          <w:spacing w:val="-1"/>
          <w:position w:val="1"/>
          <w:sz w:val="23"/>
          <w:szCs w:val="23"/>
        </w:rPr>
        <w:t>法</w:t>
      </w:r>
    </w:p>
    <w:p w14:paraId="0F4C1C1B">
      <w:pPr>
        <w:spacing w:line="274" w:lineRule="auto"/>
        <w:rPr>
          <w:rFonts w:ascii="Arial"/>
          <w:sz w:val="21"/>
        </w:rPr>
      </w:pPr>
    </w:p>
    <w:p w14:paraId="3A5ECA0B">
      <w:pPr>
        <w:spacing w:before="75" w:line="443" w:lineRule="auto"/>
        <w:ind w:left="27" w:right="31" w:firstLine="475"/>
        <w:rPr>
          <w:rFonts w:ascii="宋体" w:hAnsi="宋体" w:eastAsia="宋体" w:cs="宋体"/>
          <w:sz w:val="23"/>
          <w:szCs w:val="23"/>
        </w:rPr>
      </w:pPr>
      <w:r>
        <w:rPr>
          <w:rFonts w:ascii="宋体" w:hAnsi="宋体" w:eastAsia="宋体" w:cs="宋体"/>
          <w:spacing w:val="8"/>
          <w:sz w:val="23"/>
          <w:szCs w:val="23"/>
        </w:rPr>
        <w:t>采用解析模型预测污染物在含水层中的扩散，一维半无限长多孔介质柱体</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6"/>
          <w:sz w:val="23"/>
          <w:szCs w:val="23"/>
        </w:rPr>
        <w:t>一</w:t>
      </w:r>
      <w:r>
        <w:rPr>
          <w:rFonts w:ascii="宋体" w:hAnsi="宋体" w:eastAsia="宋体" w:cs="宋体"/>
          <w:spacing w:val="9"/>
          <w:sz w:val="23"/>
          <w:szCs w:val="23"/>
        </w:rPr>
        <w:t>端为定浓度边界。不考虑吸附解析作用和化学反应作用，公式如下：</w:t>
      </w:r>
    </w:p>
    <w:p w14:paraId="4867D8AB">
      <w:pPr>
        <w:spacing w:line="965" w:lineRule="exact"/>
        <w:ind w:firstLine="494"/>
        <w:textAlignment w:val="center"/>
      </w:pPr>
      <w:r>
        <w:drawing>
          <wp:inline distT="0" distB="0" distL="0" distR="0">
            <wp:extent cx="2590800" cy="61214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518"/>
                    <a:stretch>
                      <a:fillRect/>
                    </a:stretch>
                  </pic:blipFill>
                  <pic:spPr>
                    <a:xfrm>
                      <a:off x="0" y="0"/>
                      <a:ext cx="2590800" cy="612647"/>
                    </a:xfrm>
                    <a:prstGeom prst="rect">
                      <a:avLst/>
                    </a:prstGeom>
                  </pic:spPr>
                </pic:pic>
              </a:graphicData>
            </a:graphic>
          </wp:inline>
        </w:drawing>
      </w:r>
    </w:p>
    <w:p w14:paraId="5190B94A">
      <w:pPr>
        <w:spacing w:line="416" w:lineRule="auto"/>
        <w:rPr>
          <w:rFonts w:ascii="Arial"/>
          <w:sz w:val="21"/>
        </w:rPr>
      </w:pPr>
    </w:p>
    <w:p w14:paraId="0B343786">
      <w:pPr>
        <w:spacing w:before="74" w:line="228" w:lineRule="auto"/>
        <w:ind w:left="508"/>
        <w:rPr>
          <w:rFonts w:ascii="宋体" w:hAnsi="宋体" w:eastAsia="宋体" w:cs="宋体"/>
          <w:sz w:val="23"/>
          <w:szCs w:val="23"/>
        </w:rPr>
      </w:pPr>
      <w:r>
        <w:rPr>
          <w:rFonts w:ascii="宋体" w:hAnsi="宋体" w:eastAsia="宋体" w:cs="宋体"/>
          <w:spacing w:val="10"/>
          <w:sz w:val="23"/>
          <w:szCs w:val="23"/>
        </w:rPr>
        <w:t>式</w:t>
      </w:r>
      <w:r>
        <w:rPr>
          <w:rFonts w:ascii="宋体" w:hAnsi="宋体" w:eastAsia="宋体" w:cs="宋体"/>
          <w:spacing w:val="9"/>
          <w:sz w:val="23"/>
          <w:szCs w:val="23"/>
        </w:rPr>
        <w:t>中：</w:t>
      </w:r>
      <w:r>
        <w:rPr>
          <w:rFonts w:ascii="Times New Roman" w:hAnsi="Times New Roman" w:eastAsia="Times New Roman" w:cs="Times New Roman"/>
          <w:sz w:val="23"/>
          <w:szCs w:val="23"/>
        </w:rPr>
        <w:t>x</w:t>
      </w:r>
      <w:r>
        <w:rPr>
          <w:rFonts w:ascii="Times New Roman" w:hAnsi="Times New Roman" w:eastAsia="Times New Roman" w:cs="Times New Roman"/>
          <w:spacing w:val="9"/>
          <w:sz w:val="23"/>
          <w:szCs w:val="23"/>
        </w:rPr>
        <w:t>—</w:t>
      </w:r>
      <w:r>
        <w:rPr>
          <w:rFonts w:ascii="宋体" w:hAnsi="宋体" w:eastAsia="宋体" w:cs="宋体"/>
          <w:spacing w:val="9"/>
          <w:sz w:val="23"/>
          <w:szCs w:val="23"/>
        </w:rPr>
        <w:t>距注入点的距离，</w:t>
      </w:r>
      <w:r>
        <w:rPr>
          <w:rFonts w:ascii="Times New Roman" w:hAnsi="Times New Roman" w:eastAsia="Times New Roman" w:cs="Times New Roman"/>
          <w:sz w:val="23"/>
          <w:szCs w:val="23"/>
        </w:rPr>
        <w:t>m</w:t>
      </w:r>
      <w:r>
        <w:rPr>
          <w:rFonts w:ascii="宋体" w:hAnsi="宋体" w:eastAsia="宋体" w:cs="宋体"/>
          <w:spacing w:val="9"/>
          <w:sz w:val="23"/>
          <w:szCs w:val="23"/>
        </w:rPr>
        <w:t>；</w:t>
      </w:r>
    </w:p>
    <w:p w14:paraId="4633430C">
      <w:pPr>
        <w:spacing w:before="311" w:line="323" w:lineRule="exact"/>
        <w:ind w:left="1216"/>
        <w:rPr>
          <w:rFonts w:ascii="宋体" w:hAnsi="宋体" w:eastAsia="宋体" w:cs="宋体"/>
          <w:sz w:val="23"/>
          <w:szCs w:val="23"/>
        </w:rPr>
      </w:pPr>
      <w:r>
        <w:rPr>
          <w:rFonts w:ascii="Times New Roman" w:hAnsi="Times New Roman" w:eastAsia="Times New Roman" w:cs="Times New Roman"/>
          <w:spacing w:val="-1"/>
          <w:position w:val="1"/>
          <w:sz w:val="23"/>
          <w:szCs w:val="23"/>
        </w:rPr>
        <w:t>t</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rPr>
        <w:t>时间，</w:t>
      </w:r>
      <w:r>
        <w:rPr>
          <w:rFonts w:ascii="Times New Roman" w:hAnsi="Times New Roman" w:eastAsia="Times New Roman" w:cs="Times New Roman"/>
          <w:spacing w:val="-1"/>
          <w:position w:val="1"/>
          <w:sz w:val="23"/>
          <w:szCs w:val="23"/>
        </w:rPr>
        <w:t>d</w:t>
      </w:r>
      <w:r>
        <w:rPr>
          <w:rFonts w:ascii="宋体" w:hAnsi="宋体" w:eastAsia="宋体" w:cs="宋体"/>
          <w:spacing w:val="-2"/>
          <w:position w:val="1"/>
          <w:sz w:val="23"/>
          <w:szCs w:val="23"/>
        </w:rPr>
        <w:t>；</w:t>
      </w:r>
    </w:p>
    <w:p w14:paraId="5FC78BDE">
      <w:pPr>
        <w:spacing w:before="313" w:line="636" w:lineRule="exact"/>
        <w:ind w:left="1222"/>
        <w:rPr>
          <w:rFonts w:ascii="宋体" w:hAnsi="宋体" w:eastAsia="宋体" w:cs="宋体"/>
          <w:sz w:val="23"/>
          <w:szCs w:val="23"/>
        </w:rPr>
      </w:pPr>
      <w:r>
        <w:rPr>
          <w:rFonts w:ascii="Times New Roman" w:hAnsi="Times New Roman" w:eastAsia="Times New Roman" w:cs="Times New Roman"/>
          <w:position w:val="28"/>
          <w:sz w:val="23"/>
          <w:szCs w:val="23"/>
        </w:rPr>
        <w:t>C</w:t>
      </w:r>
      <w:r>
        <w:rPr>
          <w:rFonts w:ascii="Times New Roman" w:hAnsi="Times New Roman" w:eastAsia="Times New Roman" w:cs="Times New Roman"/>
          <w:spacing w:val="9"/>
          <w:position w:val="28"/>
          <w:sz w:val="23"/>
          <w:szCs w:val="23"/>
        </w:rPr>
        <w:t>(</w:t>
      </w:r>
      <w:r>
        <w:rPr>
          <w:rFonts w:ascii="Times New Roman" w:hAnsi="Times New Roman" w:eastAsia="Times New Roman" w:cs="Times New Roman"/>
          <w:position w:val="28"/>
          <w:sz w:val="23"/>
          <w:szCs w:val="23"/>
        </w:rPr>
        <w:t>x</w:t>
      </w:r>
      <w:r>
        <w:rPr>
          <w:rFonts w:ascii="Times New Roman" w:hAnsi="Times New Roman" w:eastAsia="Times New Roman" w:cs="Times New Roman"/>
          <w:spacing w:val="5"/>
          <w:position w:val="28"/>
          <w:sz w:val="23"/>
          <w:szCs w:val="23"/>
        </w:rPr>
        <w:t>,</w:t>
      </w:r>
      <w:r>
        <w:rPr>
          <w:rFonts w:ascii="Times New Roman" w:hAnsi="Times New Roman" w:eastAsia="Times New Roman" w:cs="Times New Roman"/>
          <w:position w:val="28"/>
          <w:sz w:val="23"/>
          <w:szCs w:val="23"/>
        </w:rPr>
        <w:t>t</w:t>
      </w:r>
      <w:r>
        <w:rPr>
          <w:rFonts w:ascii="Times New Roman" w:hAnsi="Times New Roman" w:eastAsia="Times New Roman" w:cs="Times New Roman"/>
          <w:spacing w:val="5"/>
          <w:position w:val="28"/>
          <w:sz w:val="23"/>
          <w:szCs w:val="23"/>
        </w:rPr>
        <w:t>)—</w:t>
      </w:r>
      <w:r>
        <w:rPr>
          <w:rFonts w:ascii="Times New Roman" w:hAnsi="Times New Roman" w:eastAsia="Times New Roman" w:cs="Times New Roman"/>
          <w:position w:val="28"/>
          <w:sz w:val="23"/>
          <w:szCs w:val="23"/>
        </w:rPr>
        <w:t>t</w:t>
      </w:r>
      <w:r>
        <w:rPr>
          <w:rFonts w:ascii="Times New Roman" w:hAnsi="Times New Roman" w:eastAsia="Times New Roman" w:cs="Times New Roman"/>
          <w:spacing w:val="5"/>
          <w:position w:val="28"/>
          <w:sz w:val="23"/>
          <w:szCs w:val="23"/>
        </w:rPr>
        <w:t xml:space="preserve"> </w:t>
      </w:r>
      <w:r>
        <w:rPr>
          <w:rFonts w:ascii="宋体" w:hAnsi="宋体" w:eastAsia="宋体" w:cs="宋体"/>
          <w:spacing w:val="5"/>
          <w:position w:val="28"/>
          <w:sz w:val="23"/>
          <w:szCs w:val="23"/>
        </w:rPr>
        <w:t xml:space="preserve">时刻点 </w:t>
      </w:r>
      <w:r>
        <w:rPr>
          <w:rFonts w:ascii="Times New Roman" w:hAnsi="Times New Roman" w:eastAsia="Times New Roman" w:cs="Times New Roman"/>
          <w:position w:val="28"/>
          <w:sz w:val="23"/>
          <w:szCs w:val="23"/>
        </w:rPr>
        <w:t>x</w:t>
      </w:r>
      <w:r>
        <w:rPr>
          <w:rFonts w:ascii="Times New Roman" w:hAnsi="Times New Roman" w:eastAsia="Times New Roman" w:cs="Times New Roman"/>
          <w:spacing w:val="5"/>
          <w:position w:val="28"/>
          <w:sz w:val="23"/>
          <w:szCs w:val="23"/>
        </w:rPr>
        <w:t xml:space="preserve"> </w:t>
      </w:r>
      <w:r>
        <w:rPr>
          <w:rFonts w:ascii="宋体" w:hAnsi="宋体" w:eastAsia="宋体" w:cs="宋体"/>
          <w:spacing w:val="5"/>
          <w:position w:val="28"/>
          <w:sz w:val="23"/>
          <w:szCs w:val="23"/>
        </w:rPr>
        <w:t>处的示踪剂浓度，</w:t>
      </w:r>
      <w:r>
        <w:rPr>
          <w:rFonts w:ascii="Times New Roman" w:hAnsi="Times New Roman" w:eastAsia="Times New Roman" w:cs="Times New Roman"/>
          <w:position w:val="28"/>
          <w:sz w:val="23"/>
          <w:szCs w:val="23"/>
        </w:rPr>
        <w:t>g</w:t>
      </w:r>
      <w:r>
        <w:rPr>
          <w:rFonts w:ascii="Times New Roman" w:hAnsi="Times New Roman" w:eastAsia="Times New Roman" w:cs="Times New Roman"/>
          <w:spacing w:val="5"/>
          <w:position w:val="28"/>
          <w:sz w:val="23"/>
          <w:szCs w:val="23"/>
        </w:rPr>
        <w:t>/</w:t>
      </w:r>
      <w:r>
        <w:rPr>
          <w:rFonts w:ascii="Times New Roman" w:hAnsi="Times New Roman" w:eastAsia="Times New Roman" w:cs="Times New Roman"/>
          <w:position w:val="28"/>
          <w:sz w:val="23"/>
          <w:szCs w:val="23"/>
        </w:rPr>
        <w:t>L</w:t>
      </w:r>
      <w:r>
        <w:rPr>
          <w:rFonts w:ascii="宋体" w:hAnsi="宋体" w:eastAsia="宋体" w:cs="宋体"/>
          <w:spacing w:val="5"/>
          <w:position w:val="28"/>
          <w:sz w:val="23"/>
          <w:szCs w:val="23"/>
        </w:rPr>
        <w:t>；</w:t>
      </w:r>
    </w:p>
    <w:p w14:paraId="4F216F01">
      <w:pPr>
        <w:spacing w:line="323" w:lineRule="exact"/>
        <w:ind w:left="1222"/>
        <w:rPr>
          <w:rFonts w:ascii="宋体" w:hAnsi="宋体" w:eastAsia="宋体" w:cs="宋体"/>
          <w:sz w:val="23"/>
          <w:szCs w:val="23"/>
        </w:rPr>
      </w:pPr>
      <w:r>
        <w:rPr>
          <w:rFonts w:ascii="Times New Roman" w:hAnsi="Times New Roman" w:eastAsia="Times New Roman" w:cs="Times New Roman"/>
          <w:position w:val="3"/>
          <w:sz w:val="23"/>
          <w:szCs w:val="23"/>
        </w:rPr>
        <w:t>C</w:t>
      </w:r>
      <w:r>
        <w:rPr>
          <w:rFonts w:ascii="Times New Roman" w:hAnsi="Times New Roman" w:eastAsia="Times New Roman" w:cs="Times New Roman"/>
          <w:spacing w:val="14"/>
          <w:position w:val="2"/>
          <w:sz w:val="15"/>
          <w:szCs w:val="15"/>
        </w:rPr>
        <w:t>0</w:t>
      </w:r>
      <w:r>
        <w:rPr>
          <w:rFonts w:ascii="Times New Roman" w:hAnsi="Times New Roman" w:eastAsia="Times New Roman" w:cs="Times New Roman"/>
          <w:spacing w:val="8"/>
          <w:position w:val="3"/>
          <w:sz w:val="23"/>
          <w:szCs w:val="23"/>
        </w:rPr>
        <w:t>—</w:t>
      </w:r>
      <w:r>
        <w:rPr>
          <w:rFonts w:ascii="宋体" w:hAnsi="宋体" w:eastAsia="宋体" w:cs="宋体"/>
          <w:spacing w:val="8"/>
          <w:position w:val="3"/>
          <w:sz w:val="23"/>
          <w:szCs w:val="23"/>
        </w:rPr>
        <w:t>注入示踪剂浓度，</w:t>
      </w:r>
      <w:r>
        <w:rPr>
          <w:rFonts w:ascii="Times New Roman" w:hAnsi="Times New Roman" w:eastAsia="Times New Roman" w:cs="Times New Roman"/>
          <w:position w:val="3"/>
          <w:sz w:val="23"/>
          <w:szCs w:val="23"/>
        </w:rPr>
        <w:t>g</w:t>
      </w:r>
      <w:r>
        <w:rPr>
          <w:rFonts w:ascii="Times New Roman" w:hAnsi="Times New Roman" w:eastAsia="Times New Roman" w:cs="Times New Roman"/>
          <w:spacing w:val="8"/>
          <w:position w:val="3"/>
          <w:sz w:val="23"/>
          <w:szCs w:val="23"/>
        </w:rPr>
        <w:t>/</w:t>
      </w:r>
      <w:r>
        <w:rPr>
          <w:rFonts w:ascii="Times New Roman" w:hAnsi="Times New Roman" w:eastAsia="Times New Roman" w:cs="Times New Roman"/>
          <w:position w:val="3"/>
          <w:sz w:val="23"/>
          <w:szCs w:val="23"/>
        </w:rPr>
        <w:t>L</w:t>
      </w:r>
      <w:r>
        <w:rPr>
          <w:rFonts w:ascii="宋体" w:hAnsi="宋体" w:eastAsia="宋体" w:cs="宋体"/>
          <w:spacing w:val="8"/>
          <w:position w:val="3"/>
          <w:sz w:val="23"/>
          <w:szCs w:val="23"/>
        </w:rPr>
        <w:t>；</w:t>
      </w:r>
    </w:p>
    <w:p w14:paraId="0AED07BE">
      <w:pPr>
        <w:spacing w:before="313" w:line="636" w:lineRule="exact"/>
        <w:ind w:left="1214"/>
        <w:rPr>
          <w:rFonts w:ascii="宋体" w:hAnsi="宋体" w:eastAsia="宋体" w:cs="宋体"/>
          <w:sz w:val="23"/>
          <w:szCs w:val="23"/>
        </w:rPr>
      </w:pPr>
      <w:r>
        <w:rPr>
          <w:rFonts w:ascii="Times New Roman" w:hAnsi="Times New Roman" w:eastAsia="Times New Roman" w:cs="Times New Roman"/>
          <w:position w:val="26"/>
          <w:sz w:val="23"/>
          <w:szCs w:val="23"/>
        </w:rPr>
        <w:t>u</w:t>
      </w:r>
      <w:r>
        <w:rPr>
          <w:rFonts w:ascii="Times New Roman" w:hAnsi="Times New Roman" w:eastAsia="Times New Roman" w:cs="Times New Roman"/>
          <w:spacing w:val="11"/>
          <w:position w:val="26"/>
          <w:sz w:val="23"/>
          <w:szCs w:val="23"/>
        </w:rPr>
        <w:t>—</w:t>
      </w:r>
      <w:r>
        <w:rPr>
          <w:rFonts w:ascii="宋体" w:hAnsi="宋体" w:eastAsia="宋体" w:cs="宋体"/>
          <w:spacing w:val="10"/>
          <w:position w:val="26"/>
          <w:sz w:val="23"/>
          <w:szCs w:val="23"/>
        </w:rPr>
        <w:t>水流速度，</w:t>
      </w:r>
      <w:r>
        <w:rPr>
          <w:rFonts w:ascii="Times New Roman" w:hAnsi="Times New Roman" w:eastAsia="Times New Roman" w:cs="Times New Roman"/>
          <w:position w:val="26"/>
          <w:sz w:val="23"/>
          <w:szCs w:val="23"/>
        </w:rPr>
        <w:t>m</w:t>
      </w:r>
      <w:r>
        <w:rPr>
          <w:rFonts w:ascii="Times New Roman" w:hAnsi="Times New Roman" w:eastAsia="Times New Roman" w:cs="Times New Roman"/>
          <w:spacing w:val="10"/>
          <w:position w:val="26"/>
          <w:sz w:val="23"/>
          <w:szCs w:val="23"/>
        </w:rPr>
        <w:t>/</w:t>
      </w:r>
      <w:r>
        <w:rPr>
          <w:rFonts w:ascii="Times New Roman" w:hAnsi="Times New Roman" w:eastAsia="Times New Roman" w:cs="Times New Roman"/>
          <w:position w:val="26"/>
          <w:sz w:val="23"/>
          <w:szCs w:val="23"/>
        </w:rPr>
        <w:t>d</w:t>
      </w:r>
      <w:r>
        <w:rPr>
          <w:rFonts w:ascii="宋体" w:hAnsi="宋体" w:eastAsia="宋体" w:cs="宋体"/>
          <w:spacing w:val="10"/>
          <w:position w:val="26"/>
          <w:sz w:val="23"/>
          <w:szCs w:val="23"/>
        </w:rPr>
        <w:t>；</w:t>
      </w:r>
    </w:p>
    <w:p w14:paraId="50BB1D42">
      <w:pPr>
        <w:spacing w:line="323" w:lineRule="exact"/>
        <w:ind w:left="1218"/>
        <w:rPr>
          <w:rFonts w:ascii="宋体" w:hAnsi="宋体" w:eastAsia="宋体" w:cs="宋体"/>
          <w:sz w:val="23"/>
          <w:szCs w:val="23"/>
        </w:rPr>
      </w:pPr>
      <w:r>
        <w:rPr>
          <w:rFonts w:ascii="Times New Roman" w:hAnsi="Times New Roman" w:eastAsia="Times New Roman" w:cs="Times New Roman"/>
          <w:position w:val="1"/>
          <w:sz w:val="23"/>
          <w:szCs w:val="23"/>
        </w:rPr>
        <w:t>D</w:t>
      </w:r>
      <w:r>
        <w:rPr>
          <w:rFonts w:ascii="Times New Roman" w:hAnsi="Times New Roman" w:eastAsia="Times New Roman" w:cs="Times New Roman"/>
          <w:sz w:val="15"/>
          <w:szCs w:val="15"/>
        </w:rPr>
        <w:t>L</w:t>
      </w:r>
      <w:r>
        <w:rPr>
          <w:rFonts w:ascii="Times New Roman" w:hAnsi="Times New Roman" w:eastAsia="Times New Roman" w:cs="Times New Roman"/>
          <w:spacing w:val="15"/>
          <w:position w:val="1"/>
          <w:sz w:val="23"/>
          <w:szCs w:val="23"/>
        </w:rPr>
        <w:t>—</w:t>
      </w:r>
      <w:r>
        <w:rPr>
          <w:rFonts w:ascii="宋体" w:hAnsi="宋体" w:eastAsia="宋体" w:cs="宋体"/>
          <w:spacing w:val="9"/>
          <w:position w:val="1"/>
          <w:sz w:val="23"/>
          <w:szCs w:val="23"/>
        </w:rPr>
        <w:t>纵向弥散系数，</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9"/>
          <w:position w:val="8"/>
          <w:sz w:val="15"/>
          <w:szCs w:val="15"/>
        </w:rPr>
        <w:t>2</w:t>
      </w:r>
      <w:r>
        <w:rPr>
          <w:rFonts w:ascii="Times New Roman" w:hAnsi="Times New Roman" w:eastAsia="Times New Roman" w:cs="Times New Roman"/>
          <w:spacing w:val="9"/>
          <w:position w:val="1"/>
          <w:sz w:val="23"/>
          <w:szCs w:val="23"/>
        </w:rPr>
        <w:t>/</w:t>
      </w:r>
      <w:r>
        <w:rPr>
          <w:rFonts w:ascii="Times New Roman" w:hAnsi="Times New Roman" w:eastAsia="Times New Roman" w:cs="Times New Roman"/>
          <w:position w:val="1"/>
          <w:sz w:val="23"/>
          <w:szCs w:val="23"/>
        </w:rPr>
        <w:t>d</w:t>
      </w:r>
      <w:r>
        <w:rPr>
          <w:rFonts w:ascii="宋体" w:hAnsi="宋体" w:eastAsia="宋体" w:cs="宋体"/>
          <w:spacing w:val="9"/>
          <w:position w:val="1"/>
          <w:sz w:val="23"/>
          <w:szCs w:val="23"/>
        </w:rPr>
        <w:t>；</w:t>
      </w:r>
    </w:p>
    <w:p w14:paraId="12D67768">
      <w:pPr>
        <w:spacing w:before="313" w:line="323" w:lineRule="exact"/>
        <w:ind w:left="1222"/>
        <w:rPr>
          <w:rFonts w:ascii="宋体" w:hAnsi="宋体" w:eastAsia="宋体" w:cs="宋体"/>
          <w:sz w:val="23"/>
          <w:szCs w:val="23"/>
        </w:rPr>
      </w:pPr>
      <w:r>
        <w:rPr>
          <w:rFonts w:ascii="Times New Roman" w:hAnsi="Times New Roman" w:eastAsia="Times New Roman" w:cs="Times New Roman"/>
          <w:position w:val="1"/>
          <w:sz w:val="23"/>
          <w:szCs w:val="23"/>
        </w:rPr>
        <w:t>erfc</w:t>
      </w:r>
      <w:r>
        <w:rPr>
          <w:rFonts w:ascii="Times New Roman" w:hAnsi="Times New Roman" w:eastAsia="Times New Roman" w:cs="Times New Roman"/>
          <w:spacing w:val="9"/>
          <w:position w:val="1"/>
          <w:sz w:val="23"/>
          <w:szCs w:val="23"/>
        </w:rPr>
        <w:t>(</w:t>
      </w:r>
      <w:r>
        <w:rPr>
          <w:rFonts w:ascii="Times New Roman" w:hAnsi="Times New Roman" w:eastAsia="Times New Roman" w:cs="Times New Roman"/>
          <w:spacing w:val="8"/>
          <w:position w:val="1"/>
          <w:sz w:val="23"/>
          <w:szCs w:val="23"/>
        </w:rPr>
        <w:t>)—</w:t>
      </w:r>
      <w:r>
        <w:rPr>
          <w:rFonts w:ascii="宋体" w:hAnsi="宋体" w:eastAsia="宋体" w:cs="宋体"/>
          <w:spacing w:val="8"/>
          <w:position w:val="1"/>
          <w:sz w:val="23"/>
          <w:szCs w:val="23"/>
        </w:rPr>
        <w:t>余差数函数；</w:t>
      </w:r>
    </w:p>
    <w:p w14:paraId="4FF70F65">
      <w:pPr>
        <w:spacing w:line="279" w:lineRule="auto"/>
        <w:rPr>
          <w:rFonts w:ascii="Arial"/>
          <w:sz w:val="21"/>
        </w:rPr>
      </w:pPr>
    </w:p>
    <w:p w14:paraId="13D4C558">
      <w:pPr>
        <w:spacing w:before="76" w:line="303" w:lineRule="exact"/>
        <w:ind w:left="497"/>
        <w:rPr>
          <w:rFonts w:ascii="宋体" w:hAnsi="宋体" w:eastAsia="宋体" w:cs="宋体"/>
          <w:sz w:val="23"/>
          <w:szCs w:val="23"/>
        </w:rPr>
      </w:pPr>
      <w:r>
        <w:rPr>
          <w:rFonts w:ascii="Times New Roman" w:hAnsi="Times New Roman" w:eastAsia="Times New Roman" w:cs="Times New Roman"/>
          <w:spacing w:val="4"/>
          <w:position w:val="1"/>
          <w:sz w:val="23"/>
          <w:szCs w:val="23"/>
        </w:rPr>
        <w:t>4</w:t>
      </w:r>
      <w:r>
        <w:rPr>
          <w:rFonts w:ascii="Times New Roman" w:hAnsi="Times New Roman" w:eastAsia="Times New Roman" w:cs="Times New Roman"/>
          <w:spacing w:val="3"/>
          <w:position w:val="1"/>
          <w:sz w:val="23"/>
          <w:szCs w:val="23"/>
        </w:rPr>
        <w:t xml:space="preserve"> </w:t>
      </w:r>
      <w:r>
        <w:rPr>
          <w:rFonts w:ascii="宋体" w:hAnsi="宋体" w:eastAsia="宋体" w:cs="宋体"/>
          <w:spacing w:val="2"/>
          <w:position w:val="1"/>
          <w:sz w:val="23"/>
          <w:szCs w:val="23"/>
        </w:rPr>
        <w:t>、预测因子、标准</w:t>
      </w:r>
    </w:p>
    <w:p w14:paraId="2AC5C42E">
      <w:pPr>
        <w:spacing w:line="256" w:lineRule="auto"/>
        <w:rPr>
          <w:rFonts w:ascii="Arial"/>
          <w:sz w:val="21"/>
        </w:rPr>
      </w:pPr>
    </w:p>
    <w:p w14:paraId="1A87CE2C">
      <w:pPr>
        <w:spacing w:before="75" w:line="227" w:lineRule="auto"/>
        <w:ind w:left="504"/>
        <w:rPr>
          <w:rFonts w:ascii="宋体" w:hAnsi="宋体" w:eastAsia="宋体" w:cs="宋体"/>
          <w:sz w:val="23"/>
          <w:szCs w:val="23"/>
        </w:rPr>
      </w:pPr>
      <w:r>
        <w:rPr>
          <w:rFonts w:ascii="宋体" w:hAnsi="宋体" w:eastAsia="宋体" w:cs="宋体"/>
          <w:spacing w:val="12"/>
          <w:sz w:val="23"/>
          <w:szCs w:val="23"/>
        </w:rPr>
        <w:t>本项目不涉及重金属，有机污染物中主要污染物因子为</w:t>
      </w:r>
      <w:r>
        <w:rPr>
          <w:rFonts w:ascii="Times New Roman" w:hAnsi="Times New Roman" w:eastAsia="Times New Roman" w:cs="Times New Roman"/>
          <w:sz w:val="23"/>
          <w:szCs w:val="23"/>
        </w:rPr>
        <w:t>COD</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、氨氮，选</w:t>
      </w:r>
      <w:r>
        <w:rPr>
          <w:rFonts w:ascii="宋体" w:hAnsi="宋体" w:eastAsia="宋体" w:cs="宋体"/>
          <w:spacing w:val="10"/>
          <w:sz w:val="23"/>
          <w:szCs w:val="23"/>
        </w:rPr>
        <w:t>取</w:t>
      </w:r>
    </w:p>
    <w:p w14:paraId="06175434">
      <w:pPr>
        <w:sectPr>
          <w:headerReference r:id="rId227" w:type="default"/>
          <w:footerReference r:id="rId228" w:type="default"/>
          <w:pgSz w:w="11906" w:h="16839"/>
          <w:pgMar w:top="1132" w:right="1733" w:bottom="1182" w:left="1785" w:header="878" w:footer="1022" w:gutter="0"/>
          <w:cols w:space="720" w:num="1"/>
        </w:sectPr>
      </w:pPr>
    </w:p>
    <w:p w14:paraId="69F20174">
      <w:pPr>
        <w:spacing w:line="365" w:lineRule="auto"/>
        <w:rPr>
          <w:rFonts w:ascii="Arial"/>
          <w:sz w:val="21"/>
        </w:rPr>
      </w:pPr>
      <w:r>
        <w:pict>
          <v:shape id="_x0000_s1275" o:spid="_x0000_s1275" style="position:absolute;left:0pt;margin-left:90pt;margin-top:57.35pt;height:0.75pt;width:415.3pt;mso-position-horizontal-relative:page;mso-position-vertical-relative:page;z-index:251930624;mso-width-relative:page;mso-height-relative:page;" fillcolor="#000000" filled="t" stroked="f" coordsize="8305,15" o:allowincell="f" path="m0,0l8305,0,8305,14,0,14,0,0xe">
            <v:path/>
            <v:fill on="t" focussize="0,0"/>
            <v:stroke on="f"/>
            <v:imagedata o:title=""/>
            <o:lock v:ext="edit"/>
          </v:shape>
        </w:pict>
      </w:r>
    </w:p>
    <w:p w14:paraId="63B3AF32">
      <w:pPr>
        <w:spacing w:before="74" w:line="396" w:lineRule="auto"/>
        <w:ind w:left="138" w:right="108" w:hanging="17"/>
        <w:rPr>
          <w:rFonts w:ascii="宋体" w:hAnsi="宋体" w:eastAsia="宋体" w:cs="宋体"/>
          <w:sz w:val="23"/>
          <w:szCs w:val="23"/>
        </w:rPr>
      </w:pPr>
      <w:r>
        <w:rPr>
          <w:rFonts w:ascii="宋体" w:hAnsi="宋体" w:eastAsia="宋体" w:cs="宋体"/>
          <w:spacing w:val="19"/>
          <w:sz w:val="23"/>
          <w:szCs w:val="23"/>
        </w:rPr>
        <w:t>标准指数法排序靠前的氨氮为预测因子 。参照《地下水质量标准》  (</w:t>
      </w:r>
      <w:r>
        <w:rPr>
          <w:rFonts w:ascii="Times New Roman" w:hAnsi="Times New Roman" w:eastAsia="Times New Roman" w:cs="Times New Roman"/>
          <w:sz w:val="23"/>
          <w:szCs w:val="23"/>
        </w:rPr>
        <w:t>GB</w:t>
      </w:r>
      <w:r>
        <w:rPr>
          <w:rFonts w:ascii="Times New Roman" w:hAnsi="Times New Roman" w:eastAsia="Times New Roman" w:cs="Times New Roman"/>
          <w:spacing w:val="17"/>
          <w:sz w:val="23"/>
          <w:szCs w:val="23"/>
        </w:rPr>
        <w:t>/</w:t>
      </w:r>
      <w:r>
        <w:rPr>
          <w:rFonts w:ascii="Times New Roman" w:hAnsi="Times New Roman" w:eastAsia="Times New Roman" w:cs="Times New Roman"/>
          <w:sz w:val="23"/>
          <w:szCs w:val="23"/>
        </w:rPr>
        <w:t xml:space="preserve">T </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7"/>
          <w:sz w:val="23"/>
          <w:szCs w:val="23"/>
        </w:rPr>
        <w:t>4848-93</w:t>
      </w:r>
      <w:r>
        <w:rPr>
          <w:rFonts w:ascii="宋体" w:hAnsi="宋体" w:eastAsia="宋体" w:cs="宋体"/>
          <w:spacing w:val="7"/>
          <w:sz w:val="23"/>
          <w:szCs w:val="23"/>
        </w:rPr>
        <w:t>) 中</w:t>
      </w:r>
      <w:r>
        <w:rPr>
          <w:rFonts w:ascii="Times New Roman" w:hAnsi="Times New Roman" w:eastAsia="Times New Roman" w:cs="Times New Roman"/>
          <w:sz w:val="23"/>
          <w:szCs w:val="23"/>
        </w:rPr>
        <w:t>III</w:t>
      </w:r>
      <w:r>
        <w:rPr>
          <w:rFonts w:ascii="宋体" w:hAnsi="宋体" w:eastAsia="宋体" w:cs="宋体"/>
          <w:spacing w:val="7"/>
          <w:sz w:val="23"/>
          <w:szCs w:val="23"/>
        </w:rPr>
        <w:t>类水质标准要求，即</w:t>
      </w:r>
      <w:r>
        <w:rPr>
          <w:rFonts w:ascii="Times New Roman" w:hAnsi="Times New Roman" w:eastAsia="Times New Roman" w:cs="Times New Roman"/>
          <w:spacing w:val="7"/>
          <w:sz w:val="23"/>
          <w:szCs w:val="23"/>
        </w:rPr>
        <w:t>0.5</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L</w:t>
      </w:r>
      <w:r>
        <w:rPr>
          <w:rFonts w:ascii="宋体" w:hAnsi="宋体" w:eastAsia="宋体" w:cs="宋体"/>
          <w:spacing w:val="7"/>
          <w:sz w:val="23"/>
          <w:szCs w:val="23"/>
        </w:rPr>
        <w:t>作为评价标准。</w:t>
      </w:r>
    </w:p>
    <w:p w14:paraId="26495A3A">
      <w:pPr>
        <w:spacing w:before="173" w:line="303" w:lineRule="exact"/>
        <w:ind w:left="602"/>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5 </w:t>
      </w:r>
      <w:r>
        <w:rPr>
          <w:rFonts w:ascii="宋体" w:hAnsi="宋体" w:eastAsia="宋体" w:cs="宋体"/>
          <w:spacing w:val="1"/>
          <w:position w:val="2"/>
          <w:sz w:val="23"/>
          <w:szCs w:val="23"/>
        </w:rPr>
        <w:t>、预测</w:t>
      </w:r>
      <w:r>
        <w:rPr>
          <w:rFonts w:ascii="宋体" w:hAnsi="宋体" w:eastAsia="宋体" w:cs="宋体"/>
          <w:position w:val="2"/>
          <w:sz w:val="23"/>
          <w:szCs w:val="23"/>
        </w:rPr>
        <w:t>参数选取</w:t>
      </w:r>
    </w:p>
    <w:p w14:paraId="74FBD30F">
      <w:pPr>
        <w:spacing w:line="257" w:lineRule="auto"/>
        <w:rPr>
          <w:rFonts w:ascii="Arial"/>
          <w:sz w:val="21"/>
        </w:rPr>
      </w:pPr>
    </w:p>
    <w:p w14:paraId="1105B86A">
      <w:pPr>
        <w:spacing w:before="74" w:line="227" w:lineRule="auto"/>
        <w:ind w:left="1621"/>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5</w:t>
      </w:r>
      <w:r>
        <w:rPr>
          <w:rFonts w:ascii="Times New Roman" w:hAnsi="Times New Roman" w:eastAsia="Times New Roman" w:cs="Times New Roman"/>
          <w:b/>
          <w:bCs/>
          <w:spacing w:val="5"/>
          <w:sz w:val="23"/>
          <w:szCs w:val="23"/>
        </w:rPr>
        <w:t>-15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非正常状况地下水预测参数选取一览表</w:t>
      </w:r>
    </w:p>
    <w:p w14:paraId="3C70BDEE">
      <w:pPr>
        <w:spacing w:line="17" w:lineRule="exact"/>
      </w:pPr>
    </w:p>
    <w:tbl>
      <w:tblPr>
        <w:tblStyle w:val="4"/>
        <w:tblW w:w="85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8"/>
        <w:gridCol w:w="816"/>
        <w:gridCol w:w="695"/>
        <w:gridCol w:w="4568"/>
      </w:tblGrid>
      <w:tr w14:paraId="405A2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448" w:type="dxa"/>
            <w:tcBorders>
              <w:left w:val="nil"/>
              <w:right w:val="single" w:color="000000" w:sz="4" w:space="0"/>
            </w:tcBorders>
            <w:vAlign w:val="top"/>
          </w:tcPr>
          <w:p w14:paraId="5CA251DF">
            <w:pPr>
              <w:spacing w:before="102" w:line="228" w:lineRule="auto"/>
              <w:ind w:left="1024"/>
              <w:rPr>
                <w:rFonts w:ascii="宋体" w:hAnsi="宋体" w:eastAsia="宋体" w:cs="宋体"/>
                <w:sz w:val="20"/>
                <w:szCs w:val="20"/>
              </w:rPr>
            </w:pPr>
            <w:r>
              <w:rPr>
                <w:rFonts w:ascii="宋体" w:hAnsi="宋体" w:eastAsia="宋体" w:cs="宋体"/>
                <w:spacing w:val="3"/>
                <w:sz w:val="20"/>
                <w:szCs w:val="20"/>
              </w:rPr>
              <w:t>项目</w:t>
            </w:r>
          </w:p>
        </w:tc>
        <w:tc>
          <w:tcPr>
            <w:tcW w:w="816" w:type="dxa"/>
            <w:tcBorders>
              <w:left w:val="single" w:color="000000" w:sz="4" w:space="0"/>
              <w:right w:val="single" w:color="000000" w:sz="4" w:space="0"/>
            </w:tcBorders>
            <w:vAlign w:val="top"/>
          </w:tcPr>
          <w:p w14:paraId="412C22BF">
            <w:pPr>
              <w:spacing w:before="102" w:line="228" w:lineRule="auto"/>
              <w:ind w:left="202"/>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c>
          <w:tcPr>
            <w:tcW w:w="695" w:type="dxa"/>
            <w:tcBorders>
              <w:left w:val="single" w:color="000000" w:sz="4" w:space="0"/>
              <w:right w:val="single" w:color="000000" w:sz="4" w:space="0"/>
            </w:tcBorders>
            <w:vAlign w:val="top"/>
          </w:tcPr>
          <w:p w14:paraId="77334271">
            <w:pPr>
              <w:spacing w:before="101" w:line="228" w:lineRule="auto"/>
              <w:ind w:left="143"/>
              <w:rPr>
                <w:rFonts w:ascii="宋体" w:hAnsi="宋体" w:eastAsia="宋体" w:cs="宋体"/>
                <w:sz w:val="20"/>
                <w:szCs w:val="20"/>
              </w:rPr>
            </w:pPr>
            <w:r>
              <w:rPr>
                <w:rFonts w:ascii="宋体" w:hAnsi="宋体" w:eastAsia="宋体" w:cs="宋体"/>
                <w:spacing w:val="4"/>
                <w:sz w:val="20"/>
                <w:szCs w:val="20"/>
              </w:rPr>
              <w:t>取</w:t>
            </w:r>
            <w:r>
              <w:rPr>
                <w:rFonts w:ascii="宋体" w:hAnsi="宋体" w:eastAsia="宋体" w:cs="宋体"/>
                <w:spacing w:val="3"/>
                <w:sz w:val="20"/>
                <w:szCs w:val="20"/>
              </w:rPr>
              <w:t>值</w:t>
            </w:r>
          </w:p>
        </w:tc>
        <w:tc>
          <w:tcPr>
            <w:tcW w:w="4568" w:type="dxa"/>
            <w:tcBorders>
              <w:left w:val="single" w:color="000000" w:sz="4" w:space="0"/>
              <w:right w:val="nil"/>
            </w:tcBorders>
            <w:vAlign w:val="top"/>
          </w:tcPr>
          <w:p w14:paraId="68A1137F">
            <w:pPr>
              <w:spacing w:before="101" w:line="227" w:lineRule="auto"/>
              <w:ind w:left="1866"/>
              <w:rPr>
                <w:rFonts w:ascii="宋体" w:hAnsi="宋体" w:eastAsia="宋体" w:cs="宋体"/>
                <w:sz w:val="20"/>
                <w:szCs w:val="20"/>
              </w:rPr>
            </w:pPr>
            <w:r>
              <w:rPr>
                <w:rFonts w:ascii="宋体" w:hAnsi="宋体" w:eastAsia="宋体" w:cs="宋体"/>
                <w:spacing w:val="9"/>
                <w:sz w:val="20"/>
                <w:szCs w:val="20"/>
              </w:rPr>
              <w:t>选</w:t>
            </w:r>
            <w:r>
              <w:rPr>
                <w:rFonts w:ascii="宋体" w:hAnsi="宋体" w:eastAsia="宋体" w:cs="宋体"/>
                <w:spacing w:val="7"/>
                <w:sz w:val="20"/>
                <w:szCs w:val="20"/>
              </w:rPr>
              <w:t>取依据</w:t>
            </w:r>
          </w:p>
        </w:tc>
      </w:tr>
      <w:tr w14:paraId="17D3C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448" w:type="dxa"/>
            <w:tcBorders>
              <w:left w:val="nil"/>
              <w:right w:val="single" w:color="000000" w:sz="4" w:space="0"/>
            </w:tcBorders>
            <w:vAlign w:val="top"/>
          </w:tcPr>
          <w:p w14:paraId="2301FACA">
            <w:pPr>
              <w:spacing w:before="240" w:line="227" w:lineRule="auto"/>
              <w:ind w:left="116"/>
              <w:rPr>
                <w:rFonts w:ascii="宋体" w:hAnsi="宋体" w:eastAsia="宋体" w:cs="宋体"/>
                <w:sz w:val="20"/>
                <w:szCs w:val="20"/>
              </w:rPr>
            </w:pPr>
            <w:r>
              <w:rPr>
                <w:rFonts w:ascii="宋体" w:hAnsi="宋体" w:eastAsia="宋体" w:cs="宋体"/>
                <w:spacing w:val="2"/>
                <w:sz w:val="20"/>
                <w:szCs w:val="20"/>
              </w:rPr>
              <w:t>注入示踪剂 (氨</w:t>
            </w:r>
            <w:r>
              <w:rPr>
                <w:rFonts w:ascii="宋体" w:hAnsi="宋体" w:eastAsia="宋体" w:cs="宋体"/>
                <w:spacing w:val="1"/>
                <w:sz w:val="20"/>
                <w:szCs w:val="20"/>
              </w:rPr>
              <w:t>氮) 浓度</w:t>
            </w:r>
          </w:p>
        </w:tc>
        <w:tc>
          <w:tcPr>
            <w:tcW w:w="816" w:type="dxa"/>
            <w:tcBorders>
              <w:left w:val="single" w:color="000000" w:sz="4" w:space="0"/>
              <w:right w:val="single" w:color="000000" w:sz="4" w:space="0"/>
            </w:tcBorders>
            <w:vAlign w:val="top"/>
          </w:tcPr>
          <w:p w14:paraId="465257FE">
            <w:pPr>
              <w:spacing w:before="202" w:line="281" w:lineRule="exact"/>
              <w:ind w:left="177"/>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mg</w:t>
            </w:r>
            <w:r>
              <w:rPr>
                <w:rFonts w:ascii="Times New Roman" w:hAnsi="Times New Roman" w:eastAsia="Times New Roman" w:cs="Times New Roman"/>
                <w:spacing w:val="18"/>
                <w:position w:val="4"/>
                <w:sz w:val="20"/>
                <w:szCs w:val="20"/>
              </w:rPr>
              <w:t>/</w:t>
            </w:r>
            <w:r>
              <w:rPr>
                <w:rFonts w:ascii="Times New Roman" w:hAnsi="Times New Roman" w:eastAsia="Times New Roman" w:cs="Times New Roman"/>
                <w:position w:val="4"/>
                <w:sz w:val="20"/>
                <w:szCs w:val="20"/>
              </w:rPr>
              <w:t>L</w:t>
            </w:r>
          </w:p>
        </w:tc>
        <w:tc>
          <w:tcPr>
            <w:tcW w:w="695" w:type="dxa"/>
            <w:tcBorders>
              <w:left w:val="single" w:color="000000" w:sz="4" w:space="0"/>
              <w:right w:val="single" w:color="000000" w:sz="4" w:space="0"/>
            </w:tcBorders>
            <w:vAlign w:val="top"/>
          </w:tcPr>
          <w:p w14:paraId="11F5C04E">
            <w:pPr>
              <w:spacing w:before="276"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r>
              <w:rPr>
                <w:rFonts w:ascii="Times New Roman" w:hAnsi="Times New Roman" w:eastAsia="Times New Roman" w:cs="Times New Roman"/>
                <w:spacing w:val="2"/>
                <w:sz w:val="20"/>
                <w:szCs w:val="20"/>
              </w:rPr>
              <w:t>0</w:t>
            </w:r>
          </w:p>
        </w:tc>
        <w:tc>
          <w:tcPr>
            <w:tcW w:w="4568" w:type="dxa"/>
            <w:tcBorders>
              <w:left w:val="single" w:color="000000" w:sz="4" w:space="0"/>
              <w:right w:val="nil"/>
            </w:tcBorders>
            <w:vAlign w:val="top"/>
          </w:tcPr>
          <w:p w14:paraId="0FE80BE0">
            <w:pPr>
              <w:spacing w:before="79" w:line="262" w:lineRule="auto"/>
              <w:ind w:left="1026" w:right="109" w:hanging="912"/>
              <w:rPr>
                <w:rFonts w:ascii="宋体" w:hAnsi="宋体" w:eastAsia="宋体" w:cs="宋体"/>
                <w:sz w:val="20"/>
                <w:szCs w:val="20"/>
              </w:rPr>
            </w:pPr>
            <w:r>
              <w:rPr>
                <w:rFonts w:ascii="宋体" w:hAnsi="宋体" w:eastAsia="宋体" w:cs="宋体"/>
                <w:spacing w:val="12"/>
                <w:sz w:val="20"/>
                <w:szCs w:val="20"/>
              </w:rPr>
              <w:t>按最</w:t>
            </w:r>
            <w:r>
              <w:rPr>
                <w:rFonts w:ascii="宋体" w:hAnsi="宋体" w:eastAsia="宋体" w:cs="宋体"/>
                <w:spacing w:val="7"/>
                <w:sz w:val="20"/>
                <w:szCs w:val="20"/>
              </w:rPr>
              <w:t>不</w:t>
            </w:r>
            <w:r>
              <w:rPr>
                <w:rFonts w:ascii="宋体" w:hAnsi="宋体" w:eastAsia="宋体" w:cs="宋体"/>
                <w:spacing w:val="6"/>
                <w:sz w:val="20"/>
                <w:szCs w:val="20"/>
              </w:rPr>
              <w:t>利情况，工程自身无防渗效果，取各工序</w:t>
            </w:r>
            <w:r>
              <w:rPr>
                <w:rFonts w:ascii="宋体" w:hAnsi="宋体" w:eastAsia="宋体" w:cs="宋体"/>
                <w:sz w:val="20"/>
                <w:szCs w:val="20"/>
              </w:rPr>
              <w:t xml:space="preserve"> </w:t>
            </w:r>
            <w:r>
              <w:rPr>
                <w:rFonts w:ascii="宋体" w:hAnsi="宋体" w:eastAsia="宋体" w:cs="宋体"/>
                <w:spacing w:val="10"/>
                <w:sz w:val="20"/>
                <w:szCs w:val="20"/>
              </w:rPr>
              <w:t>氨</w:t>
            </w:r>
            <w:r>
              <w:rPr>
                <w:rFonts w:ascii="宋体" w:hAnsi="宋体" w:eastAsia="宋体" w:cs="宋体"/>
                <w:spacing w:val="9"/>
                <w:sz w:val="20"/>
                <w:szCs w:val="20"/>
              </w:rPr>
              <w:t>氮最大污染物浓度为源强</w:t>
            </w:r>
          </w:p>
        </w:tc>
      </w:tr>
      <w:tr w14:paraId="09C3F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2448" w:type="dxa"/>
            <w:tcBorders>
              <w:left w:val="nil"/>
              <w:right w:val="single" w:color="000000" w:sz="4" w:space="0"/>
            </w:tcBorders>
            <w:vAlign w:val="top"/>
          </w:tcPr>
          <w:p w14:paraId="23F28F3B">
            <w:pPr>
              <w:spacing w:line="335" w:lineRule="auto"/>
              <w:rPr>
                <w:rFonts w:ascii="Arial"/>
                <w:sz w:val="21"/>
              </w:rPr>
            </w:pPr>
          </w:p>
          <w:p w14:paraId="569F120B">
            <w:pPr>
              <w:spacing w:before="65" w:line="228" w:lineRule="auto"/>
              <w:ind w:left="815"/>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流速度</w:t>
            </w:r>
          </w:p>
        </w:tc>
        <w:tc>
          <w:tcPr>
            <w:tcW w:w="816" w:type="dxa"/>
            <w:tcBorders>
              <w:left w:val="single" w:color="000000" w:sz="4" w:space="0"/>
              <w:right w:val="single" w:color="000000" w:sz="4" w:space="0"/>
            </w:tcBorders>
            <w:vAlign w:val="top"/>
          </w:tcPr>
          <w:p w14:paraId="29937ADA">
            <w:pPr>
              <w:spacing w:line="305" w:lineRule="auto"/>
              <w:rPr>
                <w:rFonts w:ascii="Arial"/>
                <w:sz w:val="21"/>
              </w:rPr>
            </w:pPr>
          </w:p>
          <w:p w14:paraId="01DC2A3D">
            <w:pPr>
              <w:spacing w:before="57" w:line="282" w:lineRule="exact"/>
              <w:ind w:left="2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w:t>
            </w:r>
            <w:r>
              <w:rPr>
                <w:rFonts w:ascii="Times New Roman" w:hAnsi="Times New Roman" w:eastAsia="Times New Roman" w:cs="Times New Roman"/>
                <w:spacing w:val="12"/>
                <w:position w:val="2"/>
                <w:sz w:val="20"/>
                <w:szCs w:val="20"/>
              </w:rPr>
              <w:t>/</w:t>
            </w:r>
            <w:r>
              <w:rPr>
                <w:rFonts w:ascii="Times New Roman" w:hAnsi="Times New Roman" w:eastAsia="Times New Roman" w:cs="Times New Roman"/>
                <w:position w:val="2"/>
                <w:sz w:val="20"/>
                <w:szCs w:val="20"/>
              </w:rPr>
              <w:t>d</w:t>
            </w:r>
          </w:p>
        </w:tc>
        <w:tc>
          <w:tcPr>
            <w:tcW w:w="695" w:type="dxa"/>
            <w:tcBorders>
              <w:left w:val="single" w:color="000000" w:sz="4" w:space="0"/>
              <w:right w:val="single" w:color="000000" w:sz="4" w:space="0"/>
            </w:tcBorders>
            <w:vAlign w:val="top"/>
          </w:tcPr>
          <w:p w14:paraId="228CC385">
            <w:pPr>
              <w:spacing w:line="378" w:lineRule="auto"/>
              <w:rPr>
                <w:rFonts w:ascii="Arial"/>
                <w:sz w:val="21"/>
              </w:rPr>
            </w:pPr>
          </w:p>
          <w:p w14:paraId="7206A443">
            <w:pPr>
              <w:spacing w:before="58"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.286</w:t>
            </w:r>
          </w:p>
        </w:tc>
        <w:tc>
          <w:tcPr>
            <w:tcW w:w="4568" w:type="dxa"/>
            <w:tcBorders>
              <w:left w:val="single" w:color="000000" w:sz="4" w:space="0"/>
              <w:right w:val="nil"/>
            </w:tcBorders>
            <w:vAlign w:val="top"/>
          </w:tcPr>
          <w:p w14:paraId="6AC22102">
            <w:pPr>
              <w:spacing w:before="80" w:line="227" w:lineRule="auto"/>
              <w:ind w:left="112"/>
              <w:rPr>
                <w:rFonts w:ascii="宋体" w:hAnsi="宋体" w:eastAsia="宋体" w:cs="宋体"/>
                <w:sz w:val="20"/>
                <w:szCs w:val="20"/>
              </w:rPr>
            </w:pPr>
            <w:r>
              <w:rPr>
                <w:rFonts w:ascii="宋体" w:hAnsi="宋体" w:eastAsia="宋体" w:cs="宋体"/>
                <w:spacing w:val="12"/>
                <w:sz w:val="20"/>
                <w:szCs w:val="20"/>
              </w:rPr>
              <w:t>根据</w:t>
            </w:r>
            <w:r>
              <w:rPr>
                <w:rFonts w:ascii="宋体" w:hAnsi="宋体" w:eastAsia="宋体" w:cs="宋体"/>
                <w:spacing w:val="8"/>
                <w:sz w:val="20"/>
                <w:szCs w:val="20"/>
              </w:rPr>
              <w:t>达</w:t>
            </w:r>
            <w:r>
              <w:rPr>
                <w:rFonts w:ascii="宋体" w:hAnsi="宋体" w:eastAsia="宋体" w:cs="宋体"/>
                <w:spacing w:val="6"/>
                <w:sz w:val="20"/>
                <w:szCs w:val="20"/>
              </w:rPr>
              <w:t>西定律并考虑孔隙度计算。含水层为砂砾</w:t>
            </w:r>
          </w:p>
          <w:p w14:paraId="31641009">
            <w:pPr>
              <w:spacing w:before="75" w:line="228" w:lineRule="auto"/>
              <w:ind w:left="112"/>
              <w:rPr>
                <w:rFonts w:ascii="宋体" w:hAnsi="宋体" w:eastAsia="宋体" w:cs="宋体"/>
                <w:sz w:val="20"/>
                <w:szCs w:val="20"/>
              </w:rPr>
            </w:pPr>
            <w:r>
              <w:rPr>
                <w:rFonts w:ascii="宋体" w:hAnsi="宋体" w:eastAsia="宋体" w:cs="宋体"/>
                <w:spacing w:val="4"/>
                <w:sz w:val="20"/>
                <w:szCs w:val="20"/>
              </w:rPr>
              <w:t>层，参照导则附</w:t>
            </w:r>
            <w:r>
              <w:rPr>
                <w:rFonts w:ascii="宋体" w:hAnsi="宋体" w:eastAsia="宋体" w:cs="宋体"/>
                <w:spacing w:val="3"/>
                <w:sz w:val="20"/>
                <w:szCs w:val="20"/>
              </w:rPr>
              <w:t>录</w:t>
            </w:r>
            <w:r>
              <w:rPr>
                <w:rFonts w:ascii="宋体" w:hAnsi="宋体" w:eastAsia="宋体" w:cs="宋体"/>
                <w:spacing w:val="2"/>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中砂砾的参数取值，渗透系</w:t>
            </w:r>
          </w:p>
          <w:p w14:paraId="44A26D45">
            <w:pPr>
              <w:spacing w:before="34" w:line="282" w:lineRule="exact"/>
              <w:ind w:left="419"/>
              <w:rPr>
                <w:rFonts w:ascii="Times New Roman" w:hAnsi="Times New Roman" w:eastAsia="Times New Roman" w:cs="Times New Roman"/>
                <w:sz w:val="20"/>
                <w:szCs w:val="20"/>
              </w:rPr>
            </w:pPr>
            <w:r>
              <w:rPr>
                <w:rFonts w:ascii="宋体" w:hAnsi="宋体" w:eastAsia="宋体" w:cs="宋体"/>
                <w:spacing w:val="-8"/>
                <w:position w:val="1"/>
                <w:sz w:val="20"/>
                <w:szCs w:val="20"/>
              </w:rPr>
              <w:t xml:space="preserve">数 </w:t>
            </w:r>
            <w:r>
              <w:rPr>
                <w:rFonts w:ascii="Times New Roman" w:hAnsi="Times New Roman" w:eastAsia="Times New Roman" w:cs="Times New Roman"/>
                <w:spacing w:val="-4"/>
                <w:position w:val="1"/>
                <w:sz w:val="20"/>
                <w:szCs w:val="20"/>
              </w:rPr>
              <w:t xml:space="preserve">30m/d </w:t>
            </w:r>
            <w:r>
              <w:rPr>
                <w:rFonts w:ascii="宋体" w:hAnsi="宋体" w:eastAsia="宋体" w:cs="宋体"/>
                <w:spacing w:val="-4"/>
                <w:position w:val="1"/>
                <w:sz w:val="20"/>
                <w:szCs w:val="20"/>
              </w:rPr>
              <w:t xml:space="preserve">，孔隙度 </w:t>
            </w:r>
            <w:r>
              <w:rPr>
                <w:rFonts w:ascii="Times New Roman" w:hAnsi="Times New Roman" w:eastAsia="Times New Roman" w:cs="Times New Roman"/>
                <w:spacing w:val="-4"/>
                <w:position w:val="1"/>
                <w:sz w:val="20"/>
                <w:szCs w:val="20"/>
              </w:rPr>
              <w:t xml:space="preserve">0 35 </w:t>
            </w:r>
            <w:r>
              <w:rPr>
                <w:rFonts w:ascii="宋体" w:hAnsi="宋体" w:eastAsia="宋体" w:cs="宋体"/>
                <w:spacing w:val="-4"/>
                <w:position w:val="1"/>
                <w:sz w:val="20"/>
                <w:szCs w:val="20"/>
              </w:rPr>
              <w:t xml:space="preserve">。水力坡度 </w:t>
            </w:r>
            <w:r>
              <w:rPr>
                <w:rFonts w:ascii="Times New Roman" w:hAnsi="Times New Roman" w:eastAsia="Times New Roman" w:cs="Times New Roman"/>
                <w:spacing w:val="-4"/>
                <w:position w:val="1"/>
                <w:sz w:val="20"/>
                <w:szCs w:val="20"/>
              </w:rPr>
              <w:t>1/ 1000</w:t>
            </w:r>
          </w:p>
        </w:tc>
      </w:tr>
      <w:tr w14:paraId="04EA3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0" w:hRule="atLeast"/>
        </w:trPr>
        <w:tc>
          <w:tcPr>
            <w:tcW w:w="2448" w:type="dxa"/>
            <w:tcBorders>
              <w:left w:val="nil"/>
              <w:right w:val="single" w:color="000000" w:sz="4" w:space="0"/>
            </w:tcBorders>
            <w:vAlign w:val="top"/>
          </w:tcPr>
          <w:p w14:paraId="700E37C1">
            <w:pPr>
              <w:spacing w:before="242" w:line="228" w:lineRule="auto"/>
              <w:ind w:left="604"/>
              <w:rPr>
                <w:rFonts w:ascii="宋体" w:hAnsi="宋体" w:eastAsia="宋体" w:cs="宋体"/>
                <w:sz w:val="20"/>
                <w:szCs w:val="20"/>
              </w:rPr>
            </w:pPr>
            <w:r>
              <w:rPr>
                <w:rFonts w:ascii="宋体" w:hAnsi="宋体" w:eastAsia="宋体" w:cs="宋体"/>
                <w:spacing w:val="11"/>
                <w:sz w:val="20"/>
                <w:szCs w:val="20"/>
              </w:rPr>
              <w:t>纵</w:t>
            </w:r>
            <w:r>
              <w:rPr>
                <w:rFonts w:ascii="宋体" w:hAnsi="宋体" w:eastAsia="宋体" w:cs="宋体"/>
                <w:spacing w:val="7"/>
                <w:sz w:val="20"/>
                <w:szCs w:val="20"/>
              </w:rPr>
              <w:t>向弥散系数</w:t>
            </w:r>
          </w:p>
        </w:tc>
        <w:tc>
          <w:tcPr>
            <w:tcW w:w="816" w:type="dxa"/>
            <w:tcBorders>
              <w:left w:val="single" w:color="000000" w:sz="4" w:space="0"/>
              <w:right w:val="single" w:color="000000" w:sz="4" w:space="0"/>
            </w:tcBorders>
            <w:vAlign w:val="top"/>
          </w:tcPr>
          <w:p w14:paraId="192B3653">
            <w:pPr>
              <w:spacing w:before="205" w:line="281"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Times New Roman" w:hAnsi="Times New Roman" w:eastAsia="Times New Roman" w:cs="Times New Roman"/>
                <w:spacing w:val="8"/>
                <w:position w:val="7"/>
                <w:sz w:val="13"/>
                <w:szCs w:val="13"/>
              </w:rPr>
              <w:t>2</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d</w:t>
            </w:r>
          </w:p>
        </w:tc>
        <w:tc>
          <w:tcPr>
            <w:tcW w:w="695" w:type="dxa"/>
            <w:tcBorders>
              <w:left w:val="single" w:color="000000" w:sz="4" w:space="0"/>
              <w:right w:val="single" w:color="000000" w:sz="4" w:space="0"/>
            </w:tcBorders>
            <w:vAlign w:val="top"/>
          </w:tcPr>
          <w:p w14:paraId="416A8274">
            <w:pPr>
              <w:spacing w:before="27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.57</w:t>
            </w:r>
          </w:p>
        </w:tc>
        <w:tc>
          <w:tcPr>
            <w:tcW w:w="4568" w:type="dxa"/>
            <w:tcBorders>
              <w:left w:val="single" w:color="000000" w:sz="4" w:space="0"/>
              <w:right w:val="nil"/>
            </w:tcBorders>
            <w:vAlign w:val="top"/>
          </w:tcPr>
          <w:p w14:paraId="0C5A0D8A">
            <w:pPr>
              <w:spacing w:before="82" w:line="271" w:lineRule="auto"/>
              <w:ind w:left="286" w:right="107" w:hanging="174"/>
              <w:rPr>
                <w:rFonts w:ascii="Times New Roman" w:hAnsi="Times New Roman" w:eastAsia="Times New Roman" w:cs="Times New Roman"/>
                <w:sz w:val="20"/>
                <w:szCs w:val="20"/>
              </w:rPr>
            </w:pPr>
            <w:r>
              <w:rPr>
                <w:rFonts w:ascii="宋体" w:hAnsi="宋体" w:eastAsia="宋体" w:cs="宋体"/>
                <w:spacing w:val="7"/>
                <w:sz w:val="20"/>
                <w:szCs w:val="20"/>
              </w:rPr>
              <w:t>根据弥散度计算。在野外大区域求得的弥散度</w:t>
            </w:r>
            <w:r>
              <w:rPr>
                <w:rFonts w:ascii="宋体" w:hAnsi="宋体" w:eastAsia="宋体" w:cs="宋体"/>
                <w:spacing w:val="3"/>
                <w:sz w:val="20"/>
                <w:szCs w:val="20"/>
              </w:rPr>
              <w:t>值</w:t>
            </w:r>
            <w:r>
              <w:rPr>
                <w:rFonts w:ascii="宋体" w:hAnsi="宋体" w:eastAsia="宋体" w:cs="宋体"/>
                <w:sz w:val="20"/>
                <w:szCs w:val="20"/>
              </w:rPr>
              <w:t xml:space="preserve"> </w:t>
            </w:r>
            <w:r>
              <w:rPr>
                <w:rFonts w:ascii="宋体" w:hAnsi="宋体" w:eastAsia="宋体" w:cs="宋体"/>
                <w:spacing w:val="-1"/>
                <w:sz w:val="20"/>
                <w:szCs w:val="20"/>
              </w:rPr>
              <w:t xml:space="preserve">在 </w:t>
            </w:r>
            <w:r>
              <w:rPr>
                <w:rFonts w:ascii="Times New Roman" w:hAnsi="Times New Roman" w:eastAsia="Times New Roman" w:cs="Times New Roman"/>
                <w:spacing w:val="-1"/>
                <w:sz w:val="20"/>
                <w:szCs w:val="20"/>
              </w:rPr>
              <w:t xml:space="preserve">0. 1 </w:t>
            </w:r>
            <w:r>
              <w:rPr>
                <w:rFonts w:ascii="宋体" w:hAnsi="宋体" w:eastAsia="宋体" w:cs="宋体"/>
                <w:spacing w:val="-1"/>
                <w:sz w:val="20"/>
                <w:szCs w:val="20"/>
              </w:rPr>
              <w:t xml:space="preserve">至 </w:t>
            </w:r>
            <w:r>
              <w:rPr>
                <w:rFonts w:ascii="Times New Roman" w:hAnsi="Times New Roman" w:eastAsia="Times New Roman" w:cs="Times New Roman"/>
                <w:spacing w:val="-1"/>
                <w:sz w:val="20"/>
                <w:szCs w:val="20"/>
              </w:rPr>
              <w:t xml:space="preserve">1000 </w:t>
            </w:r>
            <w:r>
              <w:rPr>
                <w:rFonts w:ascii="宋体" w:hAnsi="宋体" w:eastAsia="宋体" w:cs="宋体"/>
                <w:spacing w:val="-1"/>
                <w:sz w:val="20"/>
                <w:szCs w:val="20"/>
              </w:rPr>
              <w:t>量级范围内</w:t>
            </w:r>
            <w:r>
              <w:rPr>
                <w:rFonts w:ascii="宋体" w:hAnsi="宋体" w:eastAsia="宋体" w:cs="宋体"/>
                <w:sz w:val="20"/>
                <w:szCs w:val="20"/>
              </w:rPr>
              <w:t xml:space="preserve">，弥散度取 </w:t>
            </w:r>
            <w:r>
              <w:rPr>
                <w:rFonts w:ascii="Times New Roman" w:hAnsi="Times New Roman" w:eastAsia="Times New Roman" w:cs="Times New Roman"/>
                <w:sz w:val="20"/>
                <w:szCs w:val="20"/>
              </w:rPr>
              <w:t>30m/d</w:t>
            </w:r>
          </w:p>
        </w:tc>
      </w:tr>
    </w:tbl>
    <w:p w14:paraId="776D4FE4">
      <w:pPr>
        <w:rPr>
          <w:rFonts w:ascii="Arial"/>
          <w:sz w:val="21"/>
        </w:rPr>
      </w:pPr>
    </w:p>
    <w:p w14:paraId="167E3848">
      <w:pPr>
        <w:sectPr>
          <w:headerReference r:id="rId229" w:type="default"/>
          <w:footerReference r:id="rId230" w:type="default"/>
          <w:pgSz w:w="11906" w:h="16839"/>
          <w:pgMar w:top="1132" w:right="1689" w:bottom="1182" w:left="1689" w:header="878" w:footer="1022" w:gutter="0"/>
          <w:cols w:space="720" w:num="1"/>
        </w:sectPr>
      </w:pPr>
    </w:p>
    <w:p w14:paraId="486EF28D">
      <w:pPr>
        <w:spacing w:line="245" w:lineRule="auto"/>
        <w:rPr>
          <w:rFonts w:ascii="Arial"/>
          <w:sz w:val="21"/>
        </w:rPr>
      </w:pPr>
      <w:r>
        <w:pict>
          <v:rect id="_x0000_s1276" o:spid="_x0000_s1276" o:spt="1" style="position:absolute;left:0pt;margin-left:72pt;margin-top:57.35pt;height:0.75pt;width:697.95pt;mso-position-horizontal-relative:page;mso-position-vertical-relative:page;z-index:251932672;mso-width-relative:page;mso-height-relative:page;" fillcolor="#000000" filled="t" stroked="f" coordsize="21600,21600" o:allowincell="f">
            <v:path/>
            <v:fill on="t" focussize="0,0"/>
            <v:stroke on="f"/>
            <v:imagedata o:title=""/>
            <o:lock v:ext="edit"/>
          </v:rect>
        </w:pict>
      </w:r>
      <w:r>
        <w:drawing>
          <wp:anchor distT="0" distB="0" distL="0" distR="0" simplePos="0" relativeHeight="251931648" behindDoc="1" locked="0" layoutInCell="0" allowOverlap="1">
            <wp:simplePos x="0" y="0"/>
            <wp:positionH relativeFrom="page">
              <wp:posOffset>1404620</wp:posOffset>
            </wp:positionH>
            <wp:positionV relativeFrom="page">
              <wp:posOffset>869950</wp:posOffset>
            </wp:positionV>
            <wp:extent cx="7952105" cy="547560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519"/>
                    <a:stretch>
                      <a:fillRect/>
                    </a:stretch>
                  </pic:blipFill>
                  <pic:spPr>
                    <a:xfrm>
                      <a:off x="0" y="0"/>
                      <a:ext cx="7952231" cy="5475732"/>
                    </a:xfrm>
                    <a:prstGeom prst="rect">
                      <a:avLst/>
                    </a:prstGeom>
                  </pic:spPr>
                </pic:pic>
              </a:graphicData>
            </a:graphic>
          </wp:anchor>
        </w:drawing>
      </w:r>
    </w:p>
    <w:p w14:paraId="366CEA41">
      <w:pPr>
        <w:spacing w:line="245" w:lineRule="auto"/>
        <w:rPr>
          <w:rFonts w:ascii="Arial"/>
          <w:sz w:val="21"/>
        </w:rPr>
      </w:pPr>
    </w:p>
    <w:p w14:paraId="39696BFB">
      <w:pPr>
        <w:spacing w:line="245" w:lineRule="auto"/>
        <w:rPr>
          <w:rFonts w:ascii="Arial"/>
          <w:sz w:val="21"/>
        </w:rPr>
      </w:pPr>
    </w:p>
    <w:p w14:paraId="525BDA63">
      <w:pPr>
        <w:spacing w:line="245" w:lineRule="auto"/>
        <w:rPr>
          <w:rFonts w:ascii="Arial"/>
          <w:sz w:val="21"/>
        </w:rPr>
      </w:pPr>
    </w:p>
    <w:p w14:paraId="5DE6B038">
      <w:pPr>
        <w:spacing w:line="245" w:lineRule="auto"/>
        <w:rPr>
          <w:rFonts w:ascii="Arial"/>
          <w:sz w:val="21"/>
        </w:rPr>
      </w:pPr>
    </w:p>
    <w:p w14:paraId="690EC4FF">
      <w:pPr>
        <w:spacing w:line="245" w:lineRule="auto"/>
        <w:rPr>
          <w:rFonts w:ascii="Arial"/>
          <w:sz w:val="21"/>
        </w:rPr>
      </w:pPr>
    </w:p>
    <w:p w14:paraId="7ABEC4F5">
      <w:pPr>
        <w:spacing w:line="245" w:lineRule="auto"/>
        <w:rPr>
          <w:rFonts w:ascii="Arial"/>
          <w:sz w:val="21"/>
        </w:rPr>
      </w:pPr>
    </w:p>
    <w:p w14:paraId="330D018E">
      <w:pPr>
        <w:spacing w:line="245" w:lineRule="auto"/>
        <w:rPr>
          <w:rFonts w:ascii="Arial"/>
          <w:sz w:val="21"/>
        </w:rPr>
      </w:pPr>
    </w:p>
    <w:p w14:paraId="05084CFA">
      <w:pPr>
        <w:spacing w:line="245" w:lineRule="auto"/>
        <w:rPr>
          <w:rFonts w:ascii="Arial"/>
          <w:sz w:val="21"/>
        </w:rPr>
      </w:pPr>
    </w:p>
    <w:p w14:paraId="76BEB660">
      <w:pPr>
        <w:spacing w:line="245" w:lineRule="auto"/>
        <w:rPr>
          <w:rFonts w:ascii="Arial"/>
          <w:sz w:val="21"/>
        </w:rPr>
      </w:pPr>
    </w:p>
    <w:p w14:paraId="2BC8EC1A">
      <w:pPr>
        <w:spacing w:line="245" w:lineRule="auto"/>
        <w:rPr>
          <w:rFonts w:ascii="Arial"/>
          <w:sz w:val="21"/>
        </w:rPr>
      </w:pPr>
    </w:p>
    <w:p w14:paraId="148330DA">
      <w:pPr>
        <w:spacing w:line="245" w:lineRule="auto"/>
        <w:rPr>
          <w:rFonts w:ascii="Arial"/>
          <w:sz w:val="21"/>
        </w:rPr>
      </w:pPr>
    </w:p>
    <w:p w14:paraId="6F4D6F54">
      <w:pPr>
        <w:spacing w:line="245" w:lineRule="auto"/>
        <w:rPr>
          <w:rFonts w:ascii="Arial"/>
          <w:sz w:val="21"/>
        </w:rPr>
      </w:pPr>
    </w:p>
    <w:p w14:paraId="0981D48C">
      <w:pPr>
        <w:spacing w:line="245" w:lineRule="auto"/>
        <w:rPr>
          <w:rFonts w:ascii="Arial"/>
          <w:sz w:val="21"/>
        </w:rPr>
      </w:pPr>
    </w:p>
    <w:p w14:paraId="2A9F1C2B">
      <w:pPr>
        <w:spacing w:line="245" w:lineRule="auto"/>
        <w:rPr>
          <w:rFonts w:ascii="Arial"/>
          <w:sz w:val="21"/>
        </w:rPr>
      </w:pPr>
    </w:p>
    <w:p w14:paraId="42D005DE">
      <w:pPr>
        <w:spacing w:line="246" w:lineRule="auto"/>
        <w:rPr>
          <w:rFonts w:ascii="Arial"/>
          <w:sz w:val="21"/>
        </w:rPr>
      </w:pPr>
    </w:p>
    <w:p w14:paraId="67F7C016">
      <w:pPr>
        <w:spacing w:line="246" w:lineRule="auto"/>
        <w:rPr>
          <w:rFonts w:ascii="Arial"/>
          <w:sz w:val="21"/>
        </w:rPr>
      </w:pPr>
    </w:p>
    <w:p w14:paraId="63BA2348">
      <w:pPr>
        <w:spacing w:line="246" w:lineRule="auto"/>
        <w:rPr>
          <w:rFonts w:ascii="Arial"/>
          <w:sz w:val="21"/>
        </w:rPr>
      </w:pPr>
    </w:p>
    <w:p w14:paraId="65BD83FC">
      <w:pPr>
        <w:spacing w:line="246" w:lineRule="auto"/>
        <w:rPr>
          <w:rFonts w:ascii="Arial"/>
          <w:sz w:val="21"/>
        </w:rPr>
      </w:pPr>
    </w:p>
    <w:p w14:paraId="5A4BFB64">
      <w:pPr>
        <w:spacing w:line="246" w:lineRule="auto"/>
        <w:rPr>
          <w:rFonts w:ascii="Arial"/>
          <w:sz w:val="21"/>
        </w:rPr>
      </w:pPr>
    </w:p>
    <w:p w14:paraId="23B78A5F">
      <w:pPr>
        <w:spacing w:line="1456" w:lineRule="exact"/>
        <w:ind w:firstLine="8726"/>
        <w:textAlignment w:val="center"/>
      </w:pPr>
      <w:r>
        <w:pict>
          <v:group id="_x0000_s1277" o:spid="_x0000_s1277" o:spt="203" style="height:72.85pt;width:126.85pt;" coordsize="2536,1456">
            <o:lock v:ext="edit"/>
            <v:shape id="_x0000_s1278" o:spid="_x0000_s1278" o:spt="75" type="#_x0000_t75" style="position:absolute;left:0;top:0;height:1456;width:2536;" filled="f" stroked="f" coordsize="21600,21600">
              <v:path/>
              <v:fill on="f" focussize="0,0"/>
              <v:stroke on="f"/>
              <v:imagedata r:id="rId520" o:title=""/>
              <o:lock v:ext="edit" aspectratio="t"/>
            </v:shape>
            <v:shape id="_x0000_s1279" o:spid="_x0000_s1279" o:spt="202" type="#_x0000_t202" style="position:absolute;left:-20;top:-20;height:1535;width:2577;" filled="f" stroked="f" coordsize="21600,21600">
              <v:path/>
              <v:fill on="f" focussize="0,0"/>
              <v:stroke on="f"/>
              <v:imagedata o:title=""/>
              <o:lock v:ext="edit" aspectratio="f"/>
              <v:textbox inset="0mm,0mm,0mm,0mm">
                <w:txbxContent>
                  <w:p w14:paraId="50AA39DD">
                    <w:pPr>
                      <w:spacing w:line="273" w:lineRule="auto"/>
                      <w:rPr>
                        <w:rFonts w:ascii="Arial"/>
                        <w:sz w:val="21"/>
                      </w:rPr>
                    </w:pPr>
                  </w:p>
                  <w:p w14:paraId="28BFCA22">
                    <w:pPr>
                      <w:spacing w:line="273" w:lineRule="auto"/>
                      <w:rPr>
                        <w:rFonts w:ascii="Arial"/>
                        <w:sz w:val="21"/>
                      </w:rPr>
                    </w:pPr>
                  </w:p>
                  <w:p w14:paraId="779BC756">
                    <w:pPr>
                      <w:spacing w:line="273" w:lineRule="auto"/>
                      <w:rPr>
                        <w:rFonts w:ascii="Arial"/>
                        <w:sz w:val="21"/>
                      </w:rPr>
                    </w:pPr>
                  </w:p>
                  <w:p w14:paraId="426999DF">
                    <w:pPr>
                      <w:spacing w:line="274" w:lineRule="auto"/>
                      <w:rPr>
                        <w:rFonts w:ascii="Arial"/>
                        <w:sz w:val="21"/>
                      </w:rPr>
                    </w:pPr>
                  </w:p>
                  <w:p w14:paraId="501EABDF">
                    <w:pPr>
                      <w:spacing w:before="65" w:line="228" w:lineRule="auto"/>
                      <w:ind w:left="933"/>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设项目所在地</w:t>
                    </w:r>
                  </w:p>
                </w:txbxContent>
              </v:textbox>
            </v:shape>
            <w10:wrap type="none"/>
            <w10:anchorlock/>
          </v:group>
        </w:pict>
      </w:r>
    </w:p>
    <w:p w14:paraId="4C326304">
      <w:pPr>
        <w:spacing w:line="241" w:lineRule="auto"/>
        <w:rPr>
          <w:rFonts w:ascii="Arial"/>
          <w:sz w:val="21"/>
        </w:rPr>
      </w:pPr>
    </w:p>
    <w:p w14:paraId="10BC4F8C">
      <w:pPr>
        <w:spacing w:line="241" w:lineRule="auto"/>
        <w:rPr>
          <w:rFonts w:ascii="Arial"/>
          <w:sz w:val="21"/>
        </w:rPr>
      </w:pPr>
    </w:p>
    <w:p w14:paraId="1D8018BA">
      <w:pPr>
        <w:spacing w:line="241" w:lineRule="auto"/>
        <w:rPr>
          <w:rFonts w:ascii="Arial"/>
          <w:sz w:val="21"/>
        </w:rPr>
      </w:pPr>
    </w:p>
    <w:p w14:paraId="02CC2428">
      <w:pPr>
        <w:spacing w:line="242" w:lineRule="auto"/>
        <w:rPr>
          <w:rFonts w:ascii="Arial"/>
          <w:sz w:val="21"/>
        </w:rPr>
      </w:pPr>
    </w:p>
    <w:p w14:paraId="7CF011A0">
      <w:pPr>
        <w:spacing w:line="242" w:lineRule="auto"/>
        <w:rPr>
          <w:rFonts w:ascii="Arial"/>
          <w:sz w:val="21"/>
        </w:rPr>
      </w:pPr>
    </w:p>
    <w:p w14:paraId="03DE2F4B">
      <w:pPr>
        <w:spacing w:line="242" w:lineRule="auto"/>
        <w:rPr>
          <w:rFonts w:ascii="Arial"/>
          <w:sz w:val="21"/>
        </w:rPr>
      </w:pPr>
    </w:p>
    <w:p w14:paraId="6D4AA63E">
      <w:pPr>
        <w:spacing w:line="242" w:lineRule="auto"/>
        <w:rPr>
          <w:rFonts w:ascii="Arial"/>
          <w:sz w:val="21"/>
        </w:rPr>
      </w:pPr>
    </w:p>
    <w:p w14:paraId="197BE21E">
      <w:pPr>
        <w:spacing w:line="242" w:lineRule="auto"/>
        <w:rPr>
          <w:rFonts w:ascii="Arial"/>
          <w:sz w:val="21"/>
        </w:rPr>
      </w:pPr>
    </w:p>
    <w:p w14:paraId="117E5B82">
      <w:pPr>
        <w:spacing w:line="242" w:lineRule="auto"/>
        <w:rPr>
          <w:rFonts w:ascii="Arial"/>
          <w:sz w:val="21"/>
        </w:rPr>
      </w:pPr>
    </w:p>
    <w:p w14:paraId="474DA710">
      <w:pPr>
        <w:spacing w:line="242" w:lineRule="auto"/>
        <w:rPr>
          <w:rFonts w:ascii="Arial"/>
          <w:sz w:val="21"/>
        </w:rPr>
      </w:pPr>
    </w:p>
    <w:p w14:paraId="43564F7D">
      <w:pPr>
        <w:spacing w:before="74" w:line="227" w:lineRule="auto"/>
        <w:ind w:left="5437"/>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5-3</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项目区域水文地质图</w:t>
      </w:r>
    </w:p>
    <w:p w14:paraId="7B44B707">
      <w:pPr>
        <w:sectPr>
          <w:headerReference r:id="rId231" w:type="default"/>
          <w:footerReference r:id="rId232" w:type="default"/>
          <w:pgSz w:w="16839" w:h="11906"/>
          <w:pgMar w:top="1132" w:right="1440" w:bottom="1182" w:left="1440" w:header="878" w:footer="1022" w:gutter="0"/>
          <w:cols w:space="720" w:num="1"/>
        </w:sectPr>
      </w:pPr>
    </w:p>
    <w:p w14:paraId="5DB9D9BB">
      <w:pPr>
        <w:spacing w:line="281" w:lineRule="auto"/>
        <w:rPr>
          <w:rFonts w:ascii="Arial"/>
          <w:sz w:val="21"/>
        </w:rPr>
      </w:pPr>
      <w:r>
        <w:pict>
          <v:shape id="_x0000_s1280" o:spid="_x0000_s1280" style="position:absolute;left:0pt;margin-left:90pt;margin-top:57.35pt;height:0.75pt;width:415.3pt;mso-position-horizontal-relative:page;mso-position-vertical-relative:page;z-index:251933696;mso-width-relative:page;mso-height-relative:page;" fillcolor="#000000" filled="t" stroked="f" coordsize="8305,15" o:allowincell="f" path="m0,0l8305,0,8305,14,0,14,0,0xe">
            <v:path/>
            <v:fill on="t" focussize="0,0"/>
            <v:stroke on="f"/>
            <v:imagedata o:title=""/>
            <o:lock v:ext="edit"/>
          </v:shape>
        </w:pict>
      </w:r>
    </w:p>
    <w:p w14:paraId="005EDCE1">
      <w:pPr>
        <w:spacing w:line="282" w:lineRule="auto"/>
        <w:rPr>
          <w:rFonts w:ascii="Arial"/>
          <w:sz w:val="21"/>
        </w:rPr>
      </w:pPr>
    </w:p>
    <w:p w14:paraId="0F9645BB">
      <w:pPr>
        <w:spacing w:before="75" w:line="303" w:lineRule="exact"/>
        <w:ind w:left="598"/>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6 </w:t>
      </w:r>
      <w:r>
        <w:rPr>
          <w:rFonts w:ascii="宋体" w:hAnsi="宋体" w:eastAsia="宋体" w:cs="宋体"/>
          <w:spacing w:val="-2"/>
          <w:position w:val="1"/>
          <w:sz w:val="23"/>
          <w:szCs w:val="23"/>
        </w:rPr>
        <w:t>、预测结</w:t>
      </w:r>
      <w:r>
        <w:rPr>
          <w:rFonts w:ascii="宋体" w:hAnsi="宋体" w:eastAsia="宋体" w:cs="宋体"/>
          <w:spacing w:val="-1"/>
          <w:position w:val="1"/>
          <w:sz w:val="23"/>
          <w:szCs w:val="23"/>
        </w:rPr>
        <w:t>果</w:t>
      </w:r>
    </w:p>
    <w:p w14:paraId="08623537">
      <w:pPr>
        <w:spacing w:before="285" w:line="332" w:lineRule="exact"/>
        <w:ind w:left="954"/>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2"/>
          <w:sz w:val="23"/>
          <w:szCs w:val="23"/>
        </w:rPr>
        <w:t xml:space="preserve"> </w:t>
      </w:r>
      <w:r>
        <w:rPr>
          <w:rFonts w:ascii="Times New Roman" w:hAnsi="Times New Roman" w:eastAsia="Times New Roman" w:cs="Times New Roman"/>
          <w:b/>
          <w:bCs/>
          <w:spacing w:val="8"/>
          <w:position w:val="2"/>
          <w:sz w:val="23"/>
          <w:szCs w:val="23"/>
        </w:rPr>
        <w:t>5</w:t>
      </w:r>
      <w:r>
        <w:rPr>
          <w:rFonts w:ascii="Times New Roman" w:hAnsi="Times New Roman" w:eastAsia="Times New Roman" w:cs="Times New Roman"/>
          <w:b/>
          <w:bCs/>
          <w:spacing w:val="5"/>
          <w:position w:val="2"/>
          <w:sz w:val="23"/>
          <w:szCs w:val="23"/>
        </w:rPr>
        <w:t>-</w:t>
      </w:r>
      <w:r>
        <w:rPr>
          <w:rFonts w:ascii="Times New Roman" w:hAnsi="Times New Roman" w:eastAsia="Times New Roman" w:cs="Times New Roman"/>
          <w:b/>
          <w:bCs/>
          <w:spacing w:val="4"/>
          <w:position w:val="2"/>
          <w:sz w:val="23"/>
          <w:szCs w:val="23"/>
        </w:rPr>
        <w:t>16</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非正常状况氨氮污染物运移</w:t>
      </w:r>
      <w:r>
        <w:rPr>
          <w:rFonts w:ascii="宋体" w:hAnsi="宋体" w:eastAsia="宋体" w:cs="宋体"/>
          <w:spacing w:val="4"/>
          <w:position w:val="2"/>
          <w:sz w:val="23"/>
          <w:szCs w:val="23"/>
        </w:rPr>
        <w:t xml:space="preserve"> </w:t>
      </w:r>
      <w:r>
        <w:rPr>
          <w:rFonts w:ascii="Times New Roman" w:hAnsi="Times New Roman" w:eastAsia="Times New Roman" w:cs="Times New Roman"/>
          <w:b/>
          <w:bCs/>
          <w:spacing w:val="4"/>
          <w:position w:val="2"/>
          <w:sz w:val="23"/>
          <w:szCs w:val="23"/>
        </w:rPr>
        <w:t>100</w:t>
      </w:r>
      <w:r>
        <w:rPr>
          <w:rFonts w:ascii="Times New Roman" w:hAnsi="Times New Roman" w:eastAsia="Times New Roman" w:cs="Times New Roman"/>
          <w:b/>
          <w:bCs/>
          <w:position w:val="2"/>
          <w:sz w:val="23"/>
          <w:szCs w:val="23"/>
        </w:rPr>
        <w:t>d</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随距离变化一览表</w:t>
      </w:r>
    </w:p>
    <w:p w14:paraId="0912B48B">
      <w:pPr>
        <w:spacing w:line="16"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8"/>
        <w:gridCol w:w="5814"/>
      </w:tblGrid>
      <w:tr w14:paraId="609E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708" w:type="dxa"/>
            <w:tcBorders>
              <w:left w:val="nil"/>
              <w:right w:val="single" w:color="000000" w:sz="4" w:space="0"/>
            </w:tcBorders>
            <w:vAlign w:val="top"/>
          </w:tcPr>
          <w:p w14:paraId="0FBE7C3B">
            <w:pPr>
              <w:spacing w:before="76" w:line="228" w:lineRule="auto"/>
              <w:ind w:left="115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距离</w:t>
            </w:r>
          </w:p>
        </w:tc>
        <w:tc>
          <w:tcPr>
            <w:tcW w:w="5814" w:type="dxa"/>
            <w:tcBorders>
              <w:left w:val="single" w:color="000000" w:sz="4" w:space="0"/>
              <w:right w:val="nil"/>
            </w:tcBorders>
            <w:vAlign w:val="top"/>
          </w:tcPr>
          <w:p w14:paraId="59DF2B0C">
            <w:pPr>
              <w:spacing w:before="34" w:line="289" w:lineRule="exact"/>
              <w:ind w:left="2251"/>
              <w:rPr>
                <w:rFonts w:ascii="宋体" w:hAnsi="宋体" w:eastAsia="宋体" w:cs="宋体"/>
                <w:sz w:val="20"/>
                <w:szCs w:val="20"/>
              </w:rPr>
            </w:pPr>
            <w:r>
              <w:rPr>
                <w:rFonts w:ascii="宋体" w:hAnsi="宋体" w:eastAsia="宋体" w:cs="宋体"/>
                <w:spacing w:val="7"/>
                <w:position w:val="3"/>
                <w:sz w:val="20"/>
                <w:szCs w:val="20"/>
                <w14:textOutline w14:w="3795" w14:cap="sq" w14:cmpd="sng">
                  <w14:solidFill>
                    <w14:srgbClr w14:val="000000"/>
                  </w14:solidFill>
                  <w14:prstDash w14:val="solid"/>
                  <w14:bevel/>
                </w14:textOutline>
              </w:rPr>
              <w:t>浓度</w:t>
            </w:r>
            <w:r>
              <w:rPr>
                <w:rFonts w:ascii="宋体" w:hAnsi="宋体" w:eastAsia="宋体" w:cs="宋体"/>
                <w:spacing w:val="7"/>
                <w:position w:val="3"/>
                <w:sz w:val="20"/>
                <w:szCs w:val="20"/>
              </w:rPr>
              <w:t xml:space="preserve"> </w:t>
            </w:r>
            <w:r>
              <w:rPr>
                <w:rFonts w:ascii="宋体" w:hAnsi="宋体" w:eastAsia="宋体" w:cs="宋体"/>
                <w:spacing w:val="7"/>
                <w:position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3"/>
                <w:sz w:val="20"/>
                <w:szCs w:val="20"/>
              </w:rPr>
              <w:t>mg</w:t>
            </w:r>
            <w:r>
              <w:rPr>
                <w:rFonts w:ascii="Times New Roman" w:hAnsi="Times New Roman" w:eastAsia="Times New Roman" w:cs="Times New Roman"/>
                <w:b/>
                <w:bCs/>
                <w:spacing w:val="7"/>
                <w:position w:val="3"/>
                <w:sz w:val="20"/>
                <w:szCs w:val="20"/>
              </w:rPr>
              <w:t>/</w:t>
            </w:r>
            <w:r>
              <w:rPr>
                <w:rFonts w:ascii="Times New Roman" w:hAnsi="Times New Roman" w:eastAsia="Times New Roman" w:cs="Times New Roman"/>
                <w:b/>
                <w:bCs/>
                <w:position w:val="3"/>
                <w:sz w:val="20"/>
                <w:szCs w:val="20"/>
              </w:rPr>
              <w:t>L</w:t>
            </w:r>
            <w:r>
              <w:rPr>
                <w:rFonts w:ascii="宋体" w:hAnsi="宋体" w:eastAsia="宋体" w:cs="宋体"/>
                <w:spacing w:val="7"/>
                <w:position w:val="3"/>
                <w:sz w:val="20"/>
                <w:szCs w:val="20"/>
                <w14:textOutline w14:w="3795" w14:cap="sq" w14:cmpd="sng">
                  <w14:solidFill>
                    <w14:srgbClr w14:val="000000"/>
                  </w14:solidFill>
                  <w14:prstDash w14:val="solid"/>
                  <w14:bevel/>
                </w14:textOutline>
              </w:rPr>
              <w:t>)</w:t>
            </w:r>
          </w:p>
        </w:tc>
      </w:tr>
      <w:tr w14:paraId="524A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12B9B4F1">
            <w:pPr>
              <w:spacing w:before="91"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814" w:type="dxa"/>
            <w:tcBorders>
              <w:left w:val="single" w:color="000000" w:sz="4" w:space="0"/>
              <w:right w:val="nil"/>
            </w:tcBorders>
            <w:vAlign w:val="top"/>
          </w:tcPr>
          <w:p w14:paraId="4D2D1C63">
            <w:pPr>
              <w:spacing w:before="91" w:line="195" w:lineRule="auto"/>
              <w:ind w:left="274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r>
      <w:tr w14:paraId="4EE97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8" w:type="dxa"/>
            <w:tcBorders>
              <w:left w:val="nil"/>
              <w:right w:val="single" w:color="000000" w:sz="4" w:space="0"/>
            </w:tcBorders>
            <w:vAlign w:val="top"/>
          </w:tcPr>
          <w:p w14:paraId="5A4B2EF3">
            <w:pPr>
              <w:spacing w:before="90" w:line="195" w:lineRule="auto"/>
              <w:ind w:left="1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5814" w:type="dxa"/>
            <w:tcBorders>
              <w:left w:val="single" w:color="000000" w:sz="4" w:space="0"/>
              <w:right w:val="nil"/>
            </w:tcBorders>
            <w:vAlign w:val="top"/>
          </w:tcPr>
          <w:p w14:paraId="1C8ECE73">
            <w:pPr>
              <w:spacing w:before="90" w:line="195" w:lineRule="auto"/>
              <w:ind w:left="25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29.6283</w:t>
            </w:r>
          </w:p>
        </w:tc>
      </w:tr>
      <w:tr w14:paraId="6E1A3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8" w:type="dxa"/>
            <w:tcBorders>
              <w:left w:val="nil"/>
              <w:right w:val="single" w:color="000000" w:sz="4" w:space="0"/>
            </w:tcBorders>
            <w:vAlign w:val="top"/>
          </w:tcPr>
          <w:p w14:paraId="38B0A740">
            <w:pPr>
              <w:spacing w:before="91" w:line="195" w:lineRule="auto"/>
              <w:ind w:left="1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5814" w:type="dxa"/>
            <w:tcBorders>
              <w:left w:val="single" w:color="000000" w:sz="4" w:space="0"/>
              <w:right w:val="nil"/>
            </w:tcBorders>
            <w:vAlign w:val="top"/>
          </w:tcPr>
          <w:p w14:paraId="69145D49">
            <w:pPr>
              <w:spacing w:before="91" w:line="195" w:lineRule="auto"/>
              <w:ind w:left="25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204. 15</w:t>
            </w:r>
            <w:r>
              <w:rPr>
                <w:rFonts w:ascii="Times New Roman" w:hAnsi="Times New Roman" w:eastAsia="Times New Roman" w:cs="Times New Roman"/>
                <w:spacing w:val="-1"/>
                <w:sz w:val="20"/>
                <w:szCs w:val="20"/>
              </w:rPr>
              <w:t>33</w:t>
            </w:r>
          </w:p>
        </w:tc>
      </w:tr>
      <w:tr w14:paraId="0DA4C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8" w:type="dxa"/>
            <w:tcBorders>
              <w:left w:val="nil"/>
              <w:right w:val="single" w:color="000000" w:sz="4" w:space="0"/>
            </w:tcBorders>
            <w:vAlign w:val="top"/>
          </w:tcPr>
          <w:p w14:paraId="655FC04F">
            <w:pPr>
              <w:spacing w:before="91"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5814" w:type="dxa"/>
            <w:tcBorders>
              <w:left w:val="single" w:color="000000" w:sz="4" w:space="0"/>
              <w:right w:val="nil"/>
            </w:tcBorders>
            <w:vAlign w:val="top"/>
          </w:tcPr>
          <w:p w14:paraId="0D8FADC9">
            <w:pPr>
              <w:spacing w:before="91" w:line="195" w:lineRule="auto"/>
              <w:ind w:left="2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175.01</w:t>
            </w:r>
            <w:r>
              <w:rPr>
                <w:rFonts w:ascii="Times New Roman" w:hAnsi="Times New Roman" w:eastAsia="Times New Roman" w:cs="Times New Roman"/>
                <w:spacing w:val="1"/>
                <w:sz w:val="20"/>
                <w:szCs w:val="20"/>
              </w:rPr>
              <w:t>58</w:t>
            </w:r>
          </w:p>
        </w:tc>
      </w:tr>
      <w:tr w14:paraId="03D94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6AE942C0">
            <w:pPr>
              <w:spacing w:before="94" w:line="195" w:lineRule="auto"/>
              <w:ind w:left="1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5814" w:type="dxa"/>
            <w:tcBorders>
              <w:left w:val="single" w:color="000000" w:sz="4" w:space="0"/>
              <w:right w:val="nil"/>
            </w:tcBorders>
            <w:vAlign w:val="top"/>
          </w:tcPr>
          <w:p w14:paraId="2C52E9C3">
            <w:pPr>
              <w:spacing w:before="94" w:line="195" w:lineRule="auto"/>
              <w:ind w:left="258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44. 198</w:t>
            </w:r>
          </w:p>
        </w:tc>
      </w:tr>
      <w:tr w14:paraId="2C5DD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53A247F7">
            <w:pPr>
              <w:spacing w:before="93" w:line="195" w:lineRule="auto"/>
              <w:ind w:left="125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814" w:type="dxa"/>
            <w:tcBorders>
              <w:left w:val="single" w:color="000000" w:sz="4" w:space="0"/>
              <w:right w:val="nil"/>
            </w:tcBorders>
            <w:vAlign w:val="top"/>
          </w:tcPr>
          <w:p w14:paraId="2784A4F3">
            <w:pPr>
              <w:spacing w:before="94" w:line="195" w:lineRule="auto"/>
              <w:ind w:left="25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113.86</w:t>
            </w:r>
            <w:r>
              <w:rPr>
                <w:rFonts w:ascii="Times New Roman" w:hAnsi="Times New Roman" w:eastAsia="Times New Roman" w:cs="Times New Roman"/>
                <w:sz w:val="20"/>
                <w:szCs w:val="20"/>
              </w:rPr>
              <w:t>51</w:t>
            </w:r>
          </w:p>
        </w:tc>
      </w:tr>
      <w:tr w14:paraId="62C3C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8" w:type="dxa"/>
            <w:tcBorders>
              <w:left w:val="nil"/>
              <w:right w:val="single" w:color="000000" w:sz="4" w:space="0"/>
            </w:tcBorders>
            <w:vAlign w:val="top"/>
          </w:tcPr>
          <w:p w14:paraId="7DD5435B">
            <w:pPr>
              <w:spacing w:before="93"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5814" w:type="dxa"/>
            <w:tcBorders>
              <w:left w:val="single" w:color="000000" w:sz="4" w:space="0"/>
              <w:right w:val="nil"/>
            </w:tcBorders>
            <w:vAlign w:val="top"/>
          </w:tcPr>
          <w:p w14:paraId="3590E896">
            <w:pPr>
              <w:spacing w:before="93" w:line="195" w:lineRule="auto"/>
              <w:ind w:left="25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85.971</w:t>
            </w:r>
            <w:r>
              <w:rPr>
                <w:rFonts w:ascii="Times New Roman" w:hAnsi="Times New Roman" w:eastAsia="Times New Roman" w:cs="Times New Roman"/>
                <w:spacing w:val="2"/>
                <w:sz w:val="20"/>
                <w:szCs w:val="20"/>
              </w:rPr>
              <w:t>3</w:t>
            </w:r>
          </w:p>
        </w:tc>
      </w:tr>
      <w:tr w14:paraId="491FA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8" w:type="dxa"/>
            <w:tcBorders>
              <w:left w:val="nil"/>
              <w:right w:val="single" w:color="000000" w:sz="4" w:space="0"/>
            </w:tcBorders>
            <w:vAlign w:val="top"/>
          </w:tcPr>
          <w:p w14:paraId="2DDD5305">
            <w:pPr>
              <w:spacing w:before="93" w:line="195" w:lineRule="auto"/>
              <w:ind w:left="12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5814" w:type="dxa"/>
            <w:tcBorders>
              <w:left w:val="single" w:color="000000" w:sz="4" w:space="0"/>
              <w:right w:val="nil"/>
            </w:tcBorders>
            <w:vAlign w:val="top"/>
          </w:tcPr>
          <w:p w14:paraId="2FDAD0E9">
            <w:pPr>
              <w:spacing w:before="93" w:line="195" w:lineRule="auto"/>
              <w:ind w:left="25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.94402</w:t>
            </w:r>
          </w:p>
        </w:tc>
      </w:tr>
      <w:tr w14:paraId="46A9C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6F70D597">
            <w:pPr>
              <w:spacing w:before="96" w:line="195" w:lineRule="auto"/>
              <w:ind w:left="1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5814" w:type="dxa"/>
            <w:tcBorders>
              <w:left w:val="single" w:color="000000" w:sz="4" w:space="0"/>
              <w:right w:val="nil"/>
            </w:tcBorders>
            <w:vAlign w:val="top"/>
          </w:tcPr>
          <w:p w14:paraId="40DB02F6">
            <w:pPr>
              <w:spacing w:before="96" w:line="198" w:lineRule="auto"/>
              <w:ind w:left="251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2.52279</w:t>
            </w:r>
          </w:p>
        </w:tc>
      </w:tr>
      <w:tr w14:paraId="7C0AE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34F72857">
            <w:pPr>
              <w:spacing w:before="95" w:line="195" w:lineRule="auto"/>
              <w:ind w:left="1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c>
          <w:tcPr>
            <w:tcW w:w="5814" w:type="dxa"/>
            <w:tcBorders>
              <w:left w:val="single" w:color="000000" w:sz="4" w:space="0"/>
              <w:right w:val="nil"/>
            </w:tcBorders>
            <w:vAlign w:val="top"/>
          </w:tcPr>
          <w:p w14:paraId="2564E2A0">
            <w:pPr>
              <w:spacing w:before="95" w:line="195" w:lineRule="auto"/>
              <w:ind w:left="25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7.77363</w:t>
            </w:r>
          </w:p>
        </w:tc>
      </w:tr>
      <w:tr w14:paraId="5EE67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626161DA">
            <w:pPr>
              <w:spacing w:before="95"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5814" w:type="dxa"/>
            <w:tcBorders>
              <w:left w:val="single" w:color="000000" w:sz="4" w:space="0"/>
              <w:right w:val="nil"/>
            </w:tcBorders>
            <w:vAlign w:val="top"/>
          </w:tcPr>
          <w:p w14:paraId="5FC981E8">
            <w:pPr>
              <w:spacing w:before="95" w:line="195" w:lineRule="auto"/>
              <w:ind w:left="2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7.2402</w:t>
            </w:r>
          </w:p>
        </w:tc>
      </w:tr>
      <w:tr w14:paraId="1E661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78327B92">
            <w:pPr>
              <w:spacing w:before="94" w:line="195" w:lineRule="auto"/>
              <w:ind w:left="122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10</w:t>
            </w:r>
          </w:p>
        </w:tc>
        <w:tc>
          <w:tcPr>
            <w:tcW w:w="5814" w:type="dxa"/>
            <w:tcBorders>
              <w:left w:val="single" w:color="000000" w:sz="4" w:space="0"/>
              <w:right w:val="nil"/>
            </w:tcBorders>
            <w:vAlign w:val="top"/>
          </w:tcPr>
          <w:p w14:paraId="753B3ECD">
            <w:pPr>
              <w:spacing w:before="94" w:line="195" w:lineRule="auto"/>
              <w:ind w:left="25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10. 1611</w:t>
            </w:r>
            <w:r>
              <w:rPr>
                <w:rFonts w:ascii="Times New Roman" w:hAnsi="Times New Roman" w:eastAsia="Times New Roman" w:cs="Times New Roman"/>
                <w:spacing w:val="-4"/>
                <w:sz w:val="20"/>
                <w:szCs w:val="20"/>
              </w:rPr>
              <w:t>2</w:t>
            </w:r>
          </w:p>
        </w:tc>
      </w:tr>
      <w:tr w14:paraId="7464B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022736CF">
            <w:pPr>
              <w:spacing w:before="96"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5814" w:type="dxa"/>
            <w:tcBorders>
              <w:left w:val="single" w:color="000000" w:sz="4" w:space="0"/>
              <w:right w:val="nil"/>
            </w:tcBorders>
            <w:vAlign w:val="top"/>
          </w:tcPr>
          <w:p w14:paraId="465DB4F0">
            <w:pPr>
              <w:spacing w:before="96" w:line="195" w:lineRule="auto"/>
              <w:ind w:left="251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681817</w:t>
            </w:r>
          </w:p>
        </w:tc>
      </w:tr>
      <w:tr w14:paraId="1789A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5CAA6DFE">
            <w:pPr>
              <w:spacing w:before="95"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5814" w:type="dxa"/>
            <w:tcBorders>
              <w:left w:val="single" w:color="000000" w:sz="4" w:space="0"/>
              <w:right w:val="nil"/>
            </w:tcBorders>
            <w:vAlign w:val="top"/>
          </w:tcPr>
          <w:p w14:paraId="1B11F3C0">
            <w:pPr>
              <w:spacing w:before="96" w:line="195" w:lineRule="auto"/>
              <w:ind w:left="25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012249</w:t>
            </w:r>
          </w:p>
        </w:tc>
      </w:tr>
      <w:tr w14:paraId="522FE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180D33F9">
            <w:pPr>
              <w:spacing w:before="95"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5814" w:type="dxa"/>
            <w:tcBorders>
              <w:left w:val="single" w:color="000000" w:sz="4" w:space="0"/>
              <w:right w:val="nil"/>
            </w:tcBorders>
            <w:vAlign w:val="top"/>
          </w:tcPr>
          <w:p w14:paraId="449BC968">
            <w:pPr>
              <w:spacing w:before="95" w:line="198" w:lineRule="auto"/>
              <w:ind w:left="2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.51324</w:t>
            </w:r>
          </w:p>
        </w:tc>
      </w:tr>
      <w:tr w14:paraId="4CBA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35DB7D81">
            <w:pPr>
              <w:spacing w:before="94"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5814" w:type="dxa"/>
            <w:tcBorders>
              <w:left w:val="single" w:color="000000" w:sz="4" w:space="0"/>
              <w:right w:val="nil"/>
            </w:tcBorders>
            <w:vAlign w:val="top"/>
          </w:tcPr>
          <w:p w14:paraId="3590D8B0">
            <w:pPr>
              <w:spacing w:before="94" w:line="195" w:lineRule="auto"/>
              <w:ind w:left="246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199959</w:t>
            </w:r>
          </w:p>
        </w:tc>
      </w:tr>
      <w:tr w14:paraId="6675C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35AB636C">
            <w:pPr>
              <w:spacing w:before="96"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5814" w:type="dxa"/>
            <w:tcBorders>
              <w:left w:val="single" w:color="000000" w:sz="4" w:space="0"/>
              <w:right w:val="nil"/>
            </w:tcBorders>
            <w:vAlign w:val="top"/>
          </w:tcPr>
          <w:p w14:paraId="1BD334DB">
            <w:pPr>
              <w:spacing w:before="96" w:line="195" w:lineRule="auto"/>
              <w:ind w:left="246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243246</w:t>
            </w:r>
          </w:p>
        </w:tc>
      </w:tr>
      <w:tr w14:paraId="1B0E9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51BFA9D2">
            <w:pPr>
              <w:spacing w:before="95"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c>
          <w:tcPr>
            <w:tcW w:w="5814" w:type="dxa"/>
            <w:tcBorders>
              <w:left w:val="single" w:color="000000" w:sz="4" w:space="0"/>
              <w:right w:val="nil"/>
            </w:tcBorders>
            <w:vAlign w:val="top"/>
          </w:tcPr>
          <w:p w14:paraId="78D76CA6">
            <w:pPr>
              <w:spacing w:before="96" w:line="195" w:lineRule="auto"/>
              <w:ind w:left="2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0. 138</w:t>
            </w:r>
            <w:r>
              <w:rPr>
                <w:rFonts w:ascii="Times New Roman" w:hAnsi="Times New Roman" w:eastAsia="Times New Roman" w:cs="Times New Roman"/>
                <w:spacing w:val="-1"/>
                <w:sz w:val="20"/>
                <w:szCs w:val="20"/>
              </w:rPr>
              <w:t>2625</w:t>
            </w:r>
          </w:p>
        </w:tc>
      </w:tr>
      <w:tr w14:paraId="3D682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555F1BE3">
            <w:pPr>
              <w:spacing w:before="95"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5814" w:type="dxa"/>
            <w:tcBorders>
              <w:left w:val="single" w:color="000000" w:sz="4" w:space="0"/>
              <w:right w:val="nil"/>
            </w:tcBorders>
            <w:vAlign w:val="top"/>
          </w:tcPr>
          <w:p w14:paraId="48DA3DF8">
            <w:pPr>
              <w:spacing w:before="95" w:line="195" w:lineRule="auto"/>
              <w:ind w:left="246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557662</w:t>
            </w:r>
          </w:p>
        </w:tc>
      </w:tr>
      <w:tr w14:paraId="7C372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3E67C224">
            <w:pPr>
              <w:spacing w:before="94" w:line="195" w:lineRule="auto"/>
              <w:ind w:left="1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5814" w:type="dxa"/>
            <w:tcBorders>
              <w:left w:val="single" w:color="000000" w:sz="4" w:space="0"/>
              <w:right w:val="nil"/>
            </w:tcBorders>
            <w:vAlign w:val="top"/>
          </w:tcPr>
          <w:p w14:paraId="69DCCA8A">
            <w:pPr>
              <w:spacing w:before="94" w:line="195" w:lineRule="auto"/>
              <w:ind w:left="2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0.0212747</w:t>
            </w:r>
            <w:r>
              <w:rPr>
                <w:rFonts w:ascii="Times New Roman" w:hAnsi="Times New Roman" w:eastAsia="Times New Roman" w:cs="Times New Roman"/>
                <w:spacing w:val="3"/>
                <w:sz w:val="20"/>
                <w:szCs w:val="20"/>
              </w:rPr>
              <w:t>7</w:t>
            </w:r>
          </w:p>
        </w:tc>
      </w:tr>
      <w:tr w14:paraId="13602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708" w:type="dxa"/>
            <w:tcBorders>
              <w:left w:val="nil"/>
              <w:right w:val="single" w:color="000000" w:sz="4" w:space="0"/>
            </w:tcBorders>
            <w:vAlign w:val="top"/>
          </w:tcPr>
          <w:p w14:paraId="19062A70">
            <w:pPr>
              <w:spacing w:before="96" w:line="195" w:lineRule="auto"/>
              <w:ind w:left="11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5814" w:type="dxa"/>
            <w:tcBorders>
              <w:left w:val="single" w:color="000000" w:sz="4" w:space="0"/>
              <w:right w:val="nil"/>
            </w:tcBorders>
            <w:vAlign w:val="top"/>
          </w:tcPr>
          <w:p w14:paraId="6D0BD2AF">
            <w:pPr>
              <w:spacing w:before="96" w:line="195" w:lineRule="auto"/>
              <w:ind w:left="2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0 0076751</w:t>
            </w:r>
            <w:r>
              <w:rPr>
                <w:rFonts w:ascii="Times New Roman" w:hAnsi="Times New Roman" w:eastAsia="Times New Roman" w:cs="Times New Roman"/>
                <w:spacing w:val="3"/>
                <w:sz w:val="20"/>
                <w:szCs w:val="20"/>
              </w:rPr>
              <w:t>2</w:t>
            </w:r>
          </w:p>
        </w:tc>
      </w:tr>
      <w:tr w14:paraId="13456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08" w:type="dxa"/>
            <w:tcBorders>
              <w:left w:val="nil"/>
              <w:right w:val="single" w:color="000000" w:sz="4" w:space="0"/>
            </w:tcBorders>
            <w:vAlign w:val="top"/>
          </w:tcPr>
          <w:p w14:paraId="6C84B37C">
            <w:pPr>
              <w:spacing w:before="22" w:line="281"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 xml:space="preserve">155  </w:t>
            </w:r>
            <w:r>
              <w:rPr>
                <w:rFonts w:ascii="宋体" w:hAnsi="宋体" w:eastAsia="宋体" w:cs="宋体"/>
                <w:spacing w:val="4"/>
                <w:position w:val="2"/>
                <w:sz w:val="20"/>
                <w:szCs w:val="20"/>
              </w:rPr>
              <w:t>(达标距离</w:t>
            </w:r>
            <w:r>
              <w:rPr>
                <w:rFonts w:ascii="Times New Roman" w:hAnsi="Times New Roman" w:eastAsia="Times New Roman" w:cs="Times New Roman"/>
                <w:spacing w:val="4"/>
                <w:position w:val="2"/>
                <w:sz w:val="20"/>
                <w:szCs w:val="20"/>
              </w:rPr>
              <w:t>)</w:t>
            </w:r>
          </w:p>
        </w:tc>
        <w:tc>
          <w:tcPr>
            <w:tcW w:w="5814" w:type="dxa"/>
            <w:tcBorders>
              <w:left w:val="single" w:color="000000" w:sz="4" w:space="0"/>
              <w:right w:val="nil"/>
            </w:tcBorders>
            <w:vAlign w:val="top"/>
          </w:tcPr>
          <w:p w14:paraId="114ADC64">
            <w:pPr>
              <w:spacing w:before="96" w:line="195" w:lineRule="auto"/>
              <w:ind w:left="2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0.4865602</w:t>
            </w:r>
          </w:p>
        </w:tc>
      </w:tr>
    </w:tbl>
    <w:p w14:paraId="79B452E8">
      <w:pPr>
        <w:spacing w:before="218" w:line="4354" w:lineRule="exact"/>
        <w:ind w:firstLine="364"/>
        <w:textAlignment w:val="center"/>
      </w:pPr>
      <w:r>
        <w:drawing>
          <wp:inline distT="0" distB="0" distL="0" distR="0">
            <wp:extent cx="4549140" cy="276415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521"/>
                    <a:stretch>
                      <a:fillRect/>
                    </a:stretch>
                  </pic:blipFill>
                  <pic:spPr>
                    <a:xfrm>
                      <a:off x="0" y="0"/>
                      <a:ext cx="4549140" cy="2764535"/>
                    </a:xfrm>
                    <a:prstGeom prst="rect">
                      <a:avLst/>
                    </a:prstGeom>
                  </pic:spPr>
                </pic:pic>
              </a:graphicData>
            </a:graphic>
          </wp:inline>
        </w:drawing>
      </w:r>
    </w:p>
    <w:p w14:paraId="14122F29">
      <w:pPr>
        <w:spacing w:before="78" w:line="332" w:lineRule="exact"/>
        <w:ind w:left="1278"/>
        <w:rPr>
          <w:rFonts w:ascii="宋体" w:hAnsi="宋体" w:eastAsia="宋体" w:cs="宋体"/>
          <w:sz w:val="23"/>
          <w:szCs w:val="23"/>
        </w:rPr>
      </w:pPr>
      <w:r>
        <w:rPr>
          <w:rFonts w:ascii="宋体" w:hAnsi="宋体" w:eastAsia="宋体" w:cs="宋体"/>
          <w:spacing w:val="6"/>
          <w:position w:val="2"/>
          <w:sz w:val="23"/>
          <w:szCs w:val="23"/>
          <w14:textOutline w14:w="4358" w14:cap="sq" w14:cmpd="sng">
            <w14:solidFill>
              <w14:srgbClr w14:val="000000"/>
            </w14:solidFill>
            <w14:prstDash w14:val="solid"/>
            <w14:bevel/>
          </w14:textOutline>
        </w:rPr>
        <w:t>图</w:t>
      </w:r>
      <w:r>
        <w:rPr>
          <w:rFonts w:ascii="宋体" w:hAnsi="宋体" w:eastAsia="宋体" w:cs="宋体"/>
          <w:spacing w:val="6"/>
          <w:position w:val="2"/>
          <w:sz w:val="23"/>
          <w:szCs w:val="23"/>
        </w:rPr>
        <w:t xml:space="preserve"> </w:t>
      </w:r>
      <w:r>
        <w:rPr>
          <w:rFonts w:ascii="Times New Roman" w:hAnsi="Times New Roman" w:eastAsia="Times New Roman" w:cs="Times New Roman"/>
          <w:b/>
          <w:bCs/>
          <w:spacing w:val="6"/>
          <w:position w:val="2"/>
          <w:sz w:val="23"/>
          <w:szCs w:val="23"/>
        </w:rPr>
        <w:t>5</w:t>
      </w:r>
      <w:r>
        <w:rPr>
          <w:rFonts w:ascii="Times New Roman" w:hAnsi="Times New Roman" w:eastAsia="Times New Roman" w:cs="Times New Roman"/>
          <w:b/>
          <w:bCs/>
          <w:spacing w:val="4"/>
          <w:position w:val="2"/>
          <w:sz w:val="23"/>
          <w:szCs w:val="23"/>
        </w:rPr>
        <w:t>-</w:t>
      </w:r>
      <w:r>
        <w:rPr>
          <w:rFonts w:ascii="Times New Roman" w:hAnsi="Times New Roman" w:eastAsia="Times New Roman" w:cs="Times New Roman"/>
          <w:b/>
          <w:bCs/>
          <w:spacing w:val="3"/>
          <w:position w:val="2"/>
          <w:sz w:val="23"/>
          <w:szCs w:val="23"/>
        </w:rPr>
        <w:t>4</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非正常状况氨氮污染物运移</w:t>
      </w:r>
      <w:r>
        <w:rPr>
          <w:rFonts w:ascii="宋体" w:hAnsi="宋体" w:eastAsia="宋体" w:cs="宋体"/>
          <w:spacing w:val="3"/>
          <w:position w:val="2"/>
          <w:sz w:val="23"/>
          <w:szCs w:val="23"/>
        </w:rPr>
        <w:t xml:space="preserve"> </w:t>
      </w:r>
      <w:r>
        <w:rPr>
          <w:rFonts w:ascii="Times New Roman" w:hAnsi="Times New Roman" w:eastAsia="Times New Roman" w:cs="Times New Roman"/>
          <w:b/>
          <w:bCs/>
          <w:spacing w:val="3"/>
          <w:position w:val="2"/>
          <w:sz w:val="23"/>
          <w:szCs w:val="23"/>
        </w:rPr>
        <w:t>100</w:t>
      </w:r>
      <w:r>
        <w:rPr>
          <w:rFonts w:ascii="Times New Roman" w:hAnsi="Times New Roman" w:eastAsia="Times New Roman" w:cs="Times New Roman"/>
          <w:b/>
          <w:bCs/>
          <w:position w:val="2"/>
          <w:sz w:val="23"/>
          <w:szCs w:val="23"/>
        </w:rPr>
        <w:t>d</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随距离变化图</w:t>
      </w:r>
    </w:p>
    <w:p w14:paraId="686C1418">
      <w:pPr>
        <w:sectPr>
          <w:headerReference r:id="rId233" w:type="default"/>
          <w:footerReference r:id="rId234" w:type="default"/>
          <w:pgSz w:w="11906" w:h="16839"/>
          <w:pgMar w:top="1132" w:right="1691" w:bottom="1182" w:left="1691" w:header="878" w:footer="1022" w:gutter="0"/>
          <w:cols w:space="720" w:num="1"/>
        </w:sectPr>
      </w:pPr>
    </w:p>
    <w:p w14:paraId="5656616D">
      <w:pPr>
        <w:spacing w:line="14"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24"/>
        <w:gridCol w:w="5998"/>
      </w:tblGrid>
      <w:tr w14:paraId="13804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522" w:type="dxa"/>
            <w:gridSpan w:val="2"/>
            <w:tcBorders>
              <w:left w:val="nil"/>
              <w:right w:val="nil"/>
            </w:tcBorders>
            <w:vAlign w:val="top"/>
          </w:tcPr>
          <w:p w14:paraId="4BA463CB">
            <w:pPr>
              <w:spacing w:line="278" w:lineRule="auto"/>
              <w:rPr>
                <w:rFonts w:ascii="Arial"/>
                <w:sz w:val="21"/>
              </w:rPr>
            </w:pPr>
          </w:p>
          <w:p w14:paraId="6A78FD04">
            <w:pPr>
              <w:spacing w:before="75" w:line="331" w:lineRule="exact"/>
              <w:ind w:left="894"/>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2"/>
                <w:sz w:val="23"/>
                <w:szCs w:val="23"/>
              </w:rPr>
              <w:t xml:space="preserve"> </w:t>
            </w:r>
            <w:r>
              <w:rPr>
                <w:rFonts w:ascii="Times New Roman" w:hAnsi="Times New Roman" w:eastAsia="Times New Roman" w:cs="Times New Roman"/>
                <w:b/>
                <w:bCs/>
                <w:spacing w:val="8"/>
                <w:position w:val="2"/>
                <w:sz w:val="23"/>
                <w:szCs w:val="23"/>
              </w:rPr>
              <w:t>5</w:t>
            </w:r>
            <w:r>
              <w:rPr>
                <w:rFonts w:ascii="Times New Roman" w:hAnsi="Times New Roman" w:eastAsia="Times New Roman" w:cs="Times New Roman"/>
                <w:b/>
                <w:bCs/>
                <w:spacing w:val="6"/>
                <w:position w:val="2"/>
                <w:sz w:val="23"/>
                <w:szCs w:val="23"/>
              </w:rPr>
              <w:t>-</w:t>
            </w:r>
            <w:r>
              <w:rPr>
                <w:rFonts w:ascii="Times New Roman" w:hAnsi="Times New Roman" w:eastAsia="Times New Roman" w:cs="Times New Roman"/>
                <w:b/>
                <w:bCs/>
                <w:spacing w:val="4"/>
                <w:position w:val="2"/>
                <w:sz w:val="23"/>
                <w:szCs w:val="23"/>
              </w:rPr>
              <w:t>17</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非正常状况氨氮污染物运移</w:t>
            </w:r>
            <w:r>
              <w:rPr>
                <w:rFonts w:ascii="宋体" w:hAnsi="宋体" w:eastAsia="宋体" w:cs="宋体"/>
                <w:spacing w:val="4"/>
                <w:position w:val="2"/>
                <w:sz w:val="23"/>
                <w:szCs w:val="23"/>
              </w:rPr>
              <w:t xml:space="preserve"> </w:t>
            </w:r>
            <w:r>
              <w:rPr>
                <w:rFonts w:ascii="Times New Roman" w:hAnsi="Times New Roman" w:eastAsia="Times New Roman" w:cs="Times New Roman"/>
                <w:b/>
                <w:bCs/>
                <w:spacing w:val="4"/>
                <w:position w:val="2"/>
                <w:sz w:val="23"/>
                <w:szCs w:val="23"/>
              </w:rPr>
              <w:t>1000</w:t>
            </w:r>
            <w:r>
              <w:rPr>
                <w:rFonts w:ascii="Times New Roman" w:hAnsi="Times New Roman" w:eastAsia="Times New Roman" w:cs="Times New Roman"/>
                <w:b/>
                <w:bCs/>
                <w:position w:val="2"/>
                <w:sz w:val="23"/>
                <w:szCs w:val="23"/>
              </w:rPr>
              <w:t>d</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随距离变化一览表</w:t>
            </w:r>
          </w:p>
        </w:tc>
      </w:tr>
      <w:tr w14:paraId="65E41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524" w:type="dxa"/>
            <w:tcBorders>
              <w:left w:val="nil"/>
              <w:right w:val="single" w:color="000000" w:sz="4" w:space="0"/>
            </w:tcBorders>
            <w:vAlign w:val="top"/>
          </w:tcPr>
          <w:p w14:paraId="3AEF40C6">
            <w:pPr>
              <w:spacing w:before="61" w:line="219" w:lineRule="auto"/>
              <w:ind w:left="105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距离</w:t>
            </w:r>
          </w:p>
        </w:tc>
        <w:tc>
          <w:tcPr>
            <w:tcW w:w="5998" w:type="dxa"/>
            <w:tcBorders>
              <w:left w:val="single" w:color="000000" w:sz="4" w:space="0"/>
              <w:right w:val="nil"/>
            </w:tcBorders>
            <w:vAlign w:val="top"/>
          </w:tcPr>
          <w:p w14:paraId="00A306DA">
            <w:pPr>
              <w:spacing w:before="20" w:line="279" w:lineRule="exact"/>
              <w:ind w:left="2343"/>
              <w:rPr>
                <w:rFonts w:ascii="宋体" w:hAnsi="宋体" w:eastAsia="宋体" w:cs="宋体"/>
                <w:sz w:val="20"/>
                <w:szCs w:val="20"/>
              </w:rPr>
            </w:pPr>
            <w:r>
              <w:rPr>
                <w:rFonts w:ascii="宋体" w:hAnsi="宋体" w:eastAsia="宋体" w:cs="宋体"/>
                <w:spacing w:val="7"/>
                <w:position w:val="2"/>
                <w:sz w:val="20"/>
                <w:szCs w:val="20"/>
                <w14:textOutline w14:w="3659" w14:cap="sq" w14:cmpd="sng">
                  <w14:solidFill>
                    <w14:srgbClr w14:val="000000"/>
                  </w14:solidFill>
                  <w14:prstDash w14:val="solid"/>
                  <w14:bevel/>
                </w14:textOutline>
              </w:rPr>
              <w:t>浓度</w:t>
            </w:r>
            <w:r>
              <w:rPr>
                <w:rFonts w:ascii="宋体" w:hAnsi="宋体" w:eastAsia="宋体" w:cs="宋体"/>
                <w:spacing w:val="7"/>
                <w:position w:val="2"/>
                <w:sz w:val="20"/>
                <w:szCs w:val="20"/>
              </w:rPr>
              <w:t xml:space="preserve"> </w:t>
            </w:r>
            <w:r>
              <w:rPr>
                <w:rFonts w:ascii="宋体" w:hAnsi="宋体" w:eastAsia="宋体" w:cs="宋体"/>
                <w:spacing w:val="7"/>
                <w:position w:val="2"/>
                <w:sz w:val="20"/>
                <w:szCs w:val="20"/>
                <w14:textOutline w14:w="3659"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mg</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L</w:t>
            </w:r>
            <w:r>
              <w:rPr>
                <w:rFonts w:ascii="宋体" w:hAnsi="宋体" w:eastAsia="宋体" w:cs="宋体"/>
                <w:spacing w:val="7"/>
                <w:position w:val="2"/>
                <w:sz w:val="20"/>
                <w:szCs w:val="20"/>
                <w14:textOutline w14:w="3659" w14:cap="sq" w14:cmpd="sng">
                  <w14:solidFill>
                    <w14:srgbClr w14:val="000000"/>
                  </w14:solidFill>
                  <w14:prstDash w14:val="solid"/>
                  <w14:bevel/>
                </w14:textOutline>
              </w:rPr>
              <w:t>)</w:t>
            </w:r>
          </w:p>
        </w:tc>
      </w:tr>
      <w:tr w14:paraId="1FC70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524" w:type="dxa"/>
            <w:tcBorders>
              <w:left w:val="nil"/>
              <w:right w:val="single" w:color="000000" w:sz="4" w:space="0"/>
            </w:tcBorders>
            <w:vAlign w:val="top"/>
          </w:tcPr>
          <w:p w14:paraId="36659DAD">
            <w:pPr>
              <w:spacing w:before="90" w:line="195" w:lineRule="auto"/>
              <w:ind w:left="121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998" w:type="dxa"/>
            <w:tcBorders>
              <w:left w:val="single" w:color="000000" w:sz="4" w:space="0"/>
              <w:right w:val="nil"/>
            </w:tcBorders>
            <w:vAlign w:val="top"/>
          </w:tcPr>
          <w:p w14:paraId="66A1F6F1">
            <w:pPr>
              <w:spacing w:before="90" w:line="195" w:lineRule="auto"/>
              <w:ind w:left="289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r>
      <w:tr w14:paraId="7D876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41C62D78">
            <w:pPr>
              <w:spacing w:before="91"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5998" w:type="dxa"/>
            <w:tcBorders>
              <w:left w:val="single" w:color="000000" w:sz="4" w:space="0"/>
              <w:right w:val="nil"/>
            </w:tcBorders>
            <w:vAlign w:val="top"/>
          </w:tcPr>
          <w:p w14:paraId="41C6B4B9">
            <w:pPr>
              <w:spacing w:before="91"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49.4606</w:t>
            </w:r>
          </w:p>
        </w:tc>
      </w:tr>
      <w:tr w14:paraId="047B0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6FCD0D27">
            <w:pPr>
              <w:spacing w:before="91" w:line="195" w:lineRule="auto"/>
              <w:ind w:left="1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5998" w:type="dxa"/>
            <w:tcBorders>
              <w:left w:val="single" w:color="000000" w:sz="4" w:space="0"/>
              <w:right w:val="nil"/>
            </w:tcBorders>
            <w:vAlign w:val="top"/>
          </w:tcPr>
          <w:p w14:paraId="1117A845">
            <w:pPr>
              <w:spacing w:before="92"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48.5355</w:t>
            </w:r>
          </w:p>
        </w:tc>
      </w:tr>
      <w:tr w14:paraId="73539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524" w:type="dxa"/>
            <w:tcBorders>
              <w:left w:val="nil"/>
              <w:right w:val="single" w:color="000000" w:sz="4" w:space="0"/>
            </w:tcBorders>
            <w:vAlign w:val="top"/>
          </w:tcPr>
          <w:p w14:paraId="06DD8B3E">
            <w:pPr>
              <w:spacing w:before="91" w:line="195" w:lineRule="auto"/>
              <w:ind w:left="11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5998" w:type="dxa"/>
            <w:tcBorders>
              <w:left w:val="single" w:color="000000" w:sz="4" w:space="0"/>
              <w:right w:val="nil"/>
            </w:tcBorders>
            <w:vAlign w:val="top"/>
          </w:tcPr>
          <w:p w14:paraId="16B71C9D">
            <w:pPr>
              <w:spacing w:before="91"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47.0735</w:t>
            </w:r>
          </w:p>
        </w:tc>
      </w:tr>
      <w:tr w14:paraId="1C0C5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524" w:type="dxa"/>
            <w:tcBorders>
              <w:left w:val="nil"/>
              <w:right w:val="single" w:color="000000" w:sz="4" w:space="0"/>
            </w:tcBorders>
            <w:vAlign w:val="top"/>
          </w:tcPr>
          <w:p w14:paraId="240657F2">
            <w:pPr>
              <w:spacing w:before="92" w:line="195" w:lineRule="auto"/>
              <w:ind w:left="1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5998" w:type="dxa"/>
            <w:tcBorders>
              <w:left w:val="single" w:color="000000" w:sz="4" w:space="0"/>
              <w:right w:val="nil"/>
            </w:tcBorders>
            <w:vAlign w:val="top"/>
          </w:tcPr>
          <w:p w14:paraId="77D71951">
            <w:pPr>
              <w:spacing w:before="92" w:line="198"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44.8976</w:t>
            </w:r>
          </w:p>
        </w:tc>
      </w:tr>
      <w:tr w14:paraId="3D406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524" w:type="dxa"/>
            <w:tcBorders>
              <w:left w:val="nil"/>
              <w:right w:val="single" w:color="000000" w:sz="4" w:space="0"/>
            </w:tcBorders>
            <w:vAlign w:val="top"/>
          </w:tcPr>
          <w:p w14:paraId="5DB5B86F">
            <w:pPr>
              <w:spacing w:before="93" w:line="195" w:lineRule="auto"/>
              <w:ind w:left="1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5998" w:type="dxa"/>
            <w:tcBorders>
              <w:left w:val="single" w:color="000000" w:sz="4" w:space="0"/>
              <w:right w:val="nil"/>
            </w:tcBorders>
            <w:vAlign w:val="top"/>
          </w:tcPr>
          <w:p w14:paraId="177385CF">
            <w:pPr>
              <w:spacing w:before="93" w:line="198"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41.8128</w:t>
            </w:r>
          </w:p>
        </w:tc>
      </w:tr>
      <w:tr w14:paraId="25AC1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66478D6A">
            <w:pPr>
              <w:spacing w:before="94" w:line="195" w:lineRule="auto"/>
              <w:ind w:left="1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5998" w:type="dxa"/>
            <w:tcBorders>
              <w:left w:val="single" w:color="000000" w:sz="4" w:space="0"/>
              <w:right w:val="nil"/>
            </w:tcBorders>
            <w:vAlign w:val="top"/>
          </w:tcPr>
          <w:p w14:paraId="190335A3">
            <w:pPr>
              <w:spacing w:before="94"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37.6174</w:t>
            </w:r>
          </w:p>
        </w:tc>
      </w:tr>
      <w:tr w14:paraId="18A8A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63F1532F">
            <w:pPr>
              <w:spacing w:before="94" w:line="195" w:lineRule="auto"/>
              <w:ind w:left="1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5998" w:type="dxa"/>
            <w:tcBorders>
              <w:left w:val="single" w:color="000000" w:sz="4" w:space="0"/>
              <w:right w:val="nil"/>
            </w:tcBorders>
            <w:vAlign w:val="top"/>
          </w:tcPr>
          <w:p w14:paraId="15169AD1">
            <w:pPr>
              <w:spacing w:before="94" w:line="195" w:lineRule="auto"/>
              <w:ind w:left="26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232. 119</w:t>
            </w:r>
            <w:r>
              <w:rPr>
                <w:rFonts w:ascii="Times New Roman" w:hAnsi="Times New Roman" w:eastAsia="Times New Roman" w:cs="Times New Roman"/>
                <w:spacing w:val="-2"/>
                <w:sz w:val="20"/>
                <w:szCs w:val="20"/>
              </w:rPr>
              <w:t>5</w:t>
            </w:r>
          </w:p>
        </w:tc>
      </w:tr>
      <w:tr w14:paraId="63C95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4933D1E5">
            <w:pPr>
              <w:spacing w:before="94" w:line="195" w:lineRule="auto"/>
              <w:ind w:left="1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5998" w:type="dxa"/>
            <w:tcBorders>
              <w:left w:val="single" w:color="000000" w:sz="4" w:space="0"/>
              <w:right w:val="nil"/>
            </w:tcBorders>
            <w:vAlign w:val="top"/>
          </w:tcPr>
          <w:p w14:paraId="4395374B">
            <w:pPr>
              <w:spacing w:before="95"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225. 15</w:t>
            </w:r>
            <w:r>
              <w:rPr>
                <w:rFonts w:ascii="Times New Roman" w:hAnsi="Times New Roman" w:eastAsia="Times New Roman" w:cs="Times New Roman"/>
                <w:spacing w:val="-1"/>
                <w:sz w:val="20"/>
                <w:szCs w:val="20"/>
              </w:rPr>
              <w:t>55</w:t>
            </w:r>
          </w:p>
        </w:tc>
      </w:tr>
      <w:tr w14:paraId="075C9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21A976E0">
            <w:pPr>
              <w:spacing w:before="94" w:line="195" w:lineRule="auto"/>
              <w:ind w:left="1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5998" w:type="dxa"/>
            <w:tcBorders>
              <w:left w:val="single" w:color="000000" w:sz="4" w:space="0"/>
              <w:right w:val="nil"/>
            </w:tcBorders>
            <w:vAlign w:val="top"/>
          </w:tcPr>
          <w:p w14:paraId="41304D5A">
            <w:pPr>
              <w:spacing w:before="95"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16.6108</w:t>
            </w:r>
          </w:p>
        </w:tc>
      </w:tr>
      <w:tr w14:paraId="17B1C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515FB869">
            <w:pPr>
              <w:spacing w:before="94" w:line="195" w:lineRule="auto"/>
              <w:ind w:left="11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5998" w:type="dxa"/>
            <w:tcBorders>
              <w:left w:val="single" w:color="000000" w:sz="4" w:space="0"/>
              <w:right w:val="nil"/>
            </w:tcBorders>
            <w:vAlign w:val="top"/>
          </w:tcPr>
          <w:p w14:paraId="539A8C26">
            <w:pPr>
              <w:spacing w:before="95" w:line="195"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06.4386</w:t>
            </w:r>
          </w:p>
        </w:tc>
      </w:tr>
      <w:tr w14:paraId="400C2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595FFA33">
            <w:pPr>
              <w:spacing w:before="94" w:line="195" w:lineRule="auto"/>
              <w:ind w:left="11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20</w:t>
            </w:r>
          </w:p>
        </w:tc>
        <w:tc>
          <w:tcPr>
            <w:tcW w:w="5998" w:type="dxa"/>
            <w:tcBorders>
              <w:left w:val="single" w:color="000000" w:sz="4" w:space="0"/>
              <w:right w:val="nil"/>
            </w:tcBorders>
            <w:vAlign w:val="top"/>
          </w:tcPr>
          <w:p w14:paraId="2597A1F7">
            <w:pPr>
              <w:spacing w:before="94"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194.67</w:t>
            </w:r>
            <w:r>
              <w:rPr>
                <w:rFonts w:ascii="Times New Roman" w:hAnsi="Times New Roman" w:eastAsia="Times New Roman" w:cs="Times New Roman"/>
                <w:spacing w:val="1"/>
                <w:sz w:val="20"/>
                <w:szCs w:val="20"/>
              </w:rPr>
              <w:t>49</w:t>
            </w:r>
          </w:p>
        </w:tc>
      </w:tr>
      <w:tr w14:paraId="42E0E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563266C1">
            <w:pPr>
              <w:spacing w:before="94" w:line="195" w:lineRule="auto"/>
              <w:ind w:left="11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40</w:t>
            </w:r>
          </w:p>
        </w:tc>
        <w:tc>
          <w:tcPr>
            <w:tcW w:w="5998" w:type="dxa"/>
            <w:tcBorders>
              <w:left w:val="single" w:color="000000" w:sz="4" w:space="0"/>
              <w:right w:val="nil"/>
            </w:tcBorders>
            <w:vAlign w:val="top"/>
          </w:tcPr>
          <w:p w14:paraId="5D7F1D3B">
            <w:pPr>
              <w:spacing w:before="95"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181.44</w:t>
            </w:r>
            <w:r>
              <w:rPr>
                <w:rFonts w:ascii="Times New Roman" w:hAnsi="Times New Roman" w:eastAsia="Times New Roman" w:cs="Times New Roman"/>
                <w:spacing w:val="1"/>
                <w:sz w:val="20"/>
                <w:szCs w:val="20"/>
              </w:rPr>
              <w:t>72</w:t>
            </w:r>
          </w:p>
        </w:tc>
      </w:tr>
      <w:tr w14:paraId="098B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5472C717">
            <w:pPr>
              <w:spacing w:before="94" w:line="195" w:lineRule="auto"/>
              <w:ind w:left="11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w:t>
            </w:r>
          </w:p>
        </w:tc>
        <w:tc>
          <w:tcPr>
            <w:tcW w:w="5998" w:type="dxa"/>
            <w:tcBorders>
              <w:left w:val="single" w:color="000000" w:sz="4" w:space="0"/>
              <w:right w:val="nil"/>
            </w:tcBorders>
            <w:vAlign w:val="top"/>
          </w:tcPr>
          <w:p w14:paraId="0E048EC5">
            <w:pPr>
              <w:spacing w:before="95"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166.97</w:t>
            </w:r>
            <w:r>
              <w:rPr>
                <w:rFonts w:ascii="Times New Roman" w:hAnsi="Times New Roman" w:eastAsia="Times New Roman" w:cs="Times New Roman"/>
                <w:spacing w:val="1"/>
                <w:sz w:val="20"/>
                <w:szCs w:val="20"/>
              </w:rPr>
              <w:t>43</w:t>
            </w:r>
          </w:p>
        </w:tc>
      </w:tr>
      <w:tr w14:paraId="34BD0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185E90D5">
            <w:pPr>
              <w:spacing w:before="94" w:line="195" w:lineRule="auto"/>
              <w:ind w:left="11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80</w:t>
            </w:r>
          </w:p>
        </w:tc>
        <w:tc>
          <w:tcPr>
            <w:tcW w:w="5998" w:type="dxa"/>
            <w:tcBorders>
              <w:left w:val="single" w:color="000000" w:sz="4" w:space="0"/>
              <w:right w:val="nil"/>
            </w:tcBorders>
            <w:vAlign w:val="top"/>
          </w:tcPr>
          <w:p w14:paraId="2D7A90F9">
            <w:pPr>
              <w:spacing w:before="95"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151.55</w:t>
            </w:r>
            <w:r>
              <w:rPr>
                <w:rFonts w:ascii="Times New Roman" w:hAnsi="Times New Roman" w:eastAsia="Times New Roman" w:cs="Times New Roman"/>
                <w:spacing w:val="1"/>
                <w:sz w:val="20"/>
                <w:szCs w:val="20"/>
              </w:rPr>
              <w:t>65</w:t>
            </w:r>
          </w:p>
        </w:tc>
      </w:tr>
      <w:tr w14:paraId="3A75C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202BFC2B">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5998" w:type="dxa"/>
            <w:tcBorders>
              <w:left w:val="single" w:color="000000" w:sz="4" w:space="0"/>
              <w:right w:val="nil"/>
            </w:tcBorders>
            <w:vAlign w:val="top"/>
          </w:tcPr>
          <w:p w14:paraId="6D199F5A">
            <w:pPr>
              <w:spacing w:before="95"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135.55</w:t>
            </w:r>
            <w:r>
              <w:rPr>
                <w:rFonts w:ascii="Times New Roman" w:hAnsi="Times New Roman" w:eastAsia="Times New Roman" w:cs="Times New Roman"/>
                <w:spacing w:val="1"/>
                <w:sz w:val="20"/>
                <w:szCs w:val="20"/>
              </w:rPr>
              <w:t>77</w:t>
            </w:r>
          </w:p>
        </w:tc>
      </w:tr>
      <w:tr w14:paraId="6054A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2CA224BC">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20</w:t>
            </w:r>
          </w:p>
        </w:tc>
        <w:tc>
          <w:tcPr>
            <w:tcW w:w="5998" w:type="dxa"/>
            <w:tcBorders>
              <w:left w:val="single" w:color="000000" w:sz="4" w:space="0"/>
              <w:right w:val="nil"/>
            </w:tcBorders>
            <w:vAlign w:val="top"/>
          </w:tcPr>
          <w:p w14:paraId="18306CBD">
            <w:pPr>
              <w:spacing w:before="94" w:line="195" w:lineRule="auto"/>
              <w:ind w:left="27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119.3</w:t>
            </w:r>
            <w:r>
              <w:rPr>
                <w:rFonts w:ascii="Times New Roman" w:hAnsi="Times New Roman" w:eastAsia="Times New Roman" w:cs="Times New Roman"/>
                <w:sz w:val="20"/>
                <w:szCs w:val="20"/>
              </w:rPr>
              <w:t>8</w:t>
            </w:r>
          </w:p>
        </w:tc>
      </w:tr>
      <w:tr w14:paraId="02D8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0704EF62">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40</w:t>
            </w:r>
          </w:p>
        </w:tc>
        <w:tc>
          <w:tcPr>
            <w:tcW w:w="5998" w:type="dxa"/>
            <w:tcBorders>
              <w:left w:val="single" w:color="000000" w:sz="4" w:space="0"/>
              <w:right w:val="nil"/>
            </w:tcBorders>
            <w:vAlign w:val="top"/>
          </w:tcPr>
          <w:p w14:paraId="271BACD4">
            <w:pPr>
              <w:spacing w:before="95"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103.43</w:t>
            </w:r>
            <w:r>
              <w:rPr>
                <w:rFonts w:ascii="Times New Roman" w:hAnsi="Times New Roman" w:eastAsia="Times New Roman" w:cs="Times New Roman"/>
                <w:spacing w:val="1"/>
                <w:sz w:val="20"/>
                <w:szCs w:val="20"/>
              </w:rPr>
              <w:t>39</w:t>
            </w:r>
          </w:p>
        </w:tc>
      </w:tr>
      <w:tr w14:paraId="6576A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3EFF5FD8">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60</w:t>
            </w:r>
          </w:p>
        </w:tc>
        <w:tc>
          <w:tcPr>
            <w:tcW w:w="5998" w:type="dxa"/>
            <w:tcBorders>
              <w:left w:val="single" w:color="000000" w:sz="4" w:space="0"/>
              <w:right w:val="nil"/>
            </w:tcBorders>
            <w:vAlign w:val="top"/>
          </w:tcPr>
          <w:p w14:paraId="4E517892">
            <w:pPr>
              <w:spacing w:before="95" w:line="195" w:lineRule="auto"/>
              <w:ind w:left="2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88.</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10813</w:t>
            </w:r>
          </w:p>
        </w:tc>
      </w:tr>
      <w:tr w14:paraId="1DA05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72E79A0B">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80</w:t>
            </w:r>
          </w:p>
        </w:tc>
        <w:tc>
          <w:tcPr>
            <w:tcW w:w="5998" w:type="dxa"/>
            <w:tcBorders>
              <w:left w:val="single" w:color="000000" w:sz="4" w:space="0"/>
              <w:right w:val="nil"/>
            </w:tcBorders>
            <w:vAlign w:val="top"/>
          </w:tcPr>
          <w:p w14:paraId="4F5FAFBC">
            <w:pPr>
              <w:spacing w:before="94" w:line="195" w:lineRule="auto"/>
              <w:ind w:left="26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73.7428</w:t>
            </w:r>
            <w:r>
              <w:rPr>
                <w:rFonts w:ascii="Times New Roman" w:hAnsi="Times New Roman" w:eastAsia="Times New Roman" w:cs="Times New Roman"/>
                <w:spacing w:val="2"/>
                <w:sz w:val="20"/>
                <w:szCs w:val="20"/>
              </w:rPr>
              <w:t>8</w:t>
            </w:r>
          </w:p>
        </w:tc>
      </w:tr>
      <w:tr w14:paraId="6E708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0F724AE1">
            <w:pPr>
              <w:spacing w:before="94" w:line="195"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5998" w:type="dxa"/>
            <w:tcBorders>
              <w:left w:val="single" w:color="000000" w:sz="4" w:space="0"/>
              <w:right w:val="nil"/>
            </w:tcBorders>
            <w:vAlign w:val="top"/>
          </w:tcPr>
          <w:p w14:paraId="082F88A4">
            <w:pPr>
              <w:spacing w:before="95" w:line="195" w:lineRule="auto"/>
              <w:ind w:left="260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3"/>
                <w:sz w:val="20"/>
                <w:szCs w:val="20"/>
              </w:rPr>
              <w:t>.60836</w:t>
            </w:r>
          </w:p>
        </w:tc>
      </w:tr>
      <w:tr w14:paraId="78265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2EAE5A88">
            <w:pPr>
              <w:spacing w:before="94" w:line="195"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w:t>
            </w:r>
          </w:p>
        </w:tc>
        <w:tc>
          <w:tcPr>
            <w:tcW w:w="5998" w:type="dxa"/>
            <w:tcBorders>
              <w:left w:val="single" w:color="000000" w:sz="4" w:space="0"/>
              <w:right w:val="nil"/>
            </w:tcBorders>
            <w:vAlign w:val="top"/>
          </w:tcPr>
          <w:p w14:paraId="78A9C4B8">
            <w:pPr>
              <w:spacing w:before="95" w:line="195" w:lineRule="auto"/>
              <w:ind w:left="260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8.89185</w:t>
            </w:r>
          </w:p>
        </w:tc>
      </w:tr>
      <w:tr w14:paraId="13480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7D7D64F5">
            <w:pPr>
              <w:spacing w:before="94" w:line="195"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w:t>
            </w:r>
          </w:p>
        </w:tc>
        <w:tc>
          <w:tcPr>
            <w:tcW w:w="5998" w:type="dxa"/>
            <w:tcBorders>
              <w:left w:val="single" w:color="000000" w:sz="4" w:space="0"/>
              <w:right w:val="nil"/>
            </w:tcBorders>
            <w:vAlign w:val="top"/>
          </w:tcPr>
          <w:p w14:paraId="5E875B96">
            <w:pPr>
              <w:spacing w:before="95" w:line="195" w:lineRule="auto"/>
              <w:ind w:left="260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3"/>
                <w:sz w:val="20"/>
                <w:szCs w:val="20"/>
              </w:rPr>
              <w:t>.69356</w:t>
            </w:r>
          </w:p>
        </w:tc>
      </w:tr>
      <w:tr w14:paraId="1CF35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7B8E58A2">
            <w:pPr>
              <w:spacing w:before="94" w:line="195"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w:t>
            </w:r>
          </w:p>
        </w:tc>
        <w:tc>
          <w:tcPr>
            <w:tcW w:w="5998" w:type="dxa"/>
            <w:tcBorders>
              <w:left w:val="single" w:color="000000" w:sz="4" w:space="0"/>
              <w:right w:val="nil"/>
            </w:tcBorders>
            <w:vAlign w:val="top"/>
          </w:tcPr>
          <w:p w14:paraId="29CEE586">
            <w:pPr>
              <w:spacing w:before="95" w:line="195" w:lineRule="auto"/>
              <w:ind w:left="260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3"/>
                <w:sz w:val="20"/>
                <w:szCs w:val="20"/>
              </w:rPr>
              <w:t>.03081</w:t>
            </w:r>
          </w:p>
        </w:tc>
      </w:tr>
      <w:tr w14:paraId="0F757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130BF9EE">
            <w:pPr>
              <w:spacing w:before="94" w:line="195"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480</w:t>
            </w:r>
          </w:p>
        </w:tc>
        <w:tc>
          <w:tcPr>
            <w:tcW w:w="5998" w:type="dxa"/>
            <w:tcBorders>
              <w:left w:val="single" w:color="000000" w:sz="4" w:space="0"/>
              <w:right w:val="nil"/>
            </w:tcBorders>
            <w:vAlign w:val="top"/>
          </w:tcPr>
          <w:p w14:paraId="18C21666">
            <w:pPr>
              <w:spacing w:before="94" w:line="198"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2.84907</w:t>
            </w:r>
          </w:p>
        </w:tc>
      </w:tr>
      <w:tr w14:paraId="74661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0BD16402">
            <w:pPr>
              <w:spacing w:before="94"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5998" w:type="dxa"/>
            <w:tcBorders>
              <w:left w:val="single" w:color="000000" w:sz="4" w:space="0"/>
              <w:right w:val="nil"/>
            </w:tcBorders>
            <w:vAlign w:val="top"/>
          </w:tcPr>
          <w:p w14:paraId="242FE567">
            <w:pPr>
              <w:spacing w:before="94" w:line="195"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17.037</w:t>
            </w:r>
            <w:r>
              <w:rPr>
                <w:rFonts w:ascii="Times New Roman" w:hAnsi="Times New Roman" w:eastAsia="Times New Roman" w:cs="Times New Roman"/>
                <w:spacing w:val="1"/>
                <w:sz w:val="20"/>
                <w:szCs w:val="20"/>
              </w:rPr>
              <w:t>53</w:t>
            </w:r>
          </w:p>
        </w:tc>
      </w:tr>
      <w:tr w14:paraId="08A93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25FFB5CF">
            <w:pPr>
              <w:spacing w:before="94"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w:t>
            </w:r>
            <w:r>
              <w:rPr>
                <w:rFonts w:ascii="Times New Roman" w:hAnsi="Times New Roman" w:eastAsia="Times New Roman" w:cs="Times New Roman"/>
                <w:spacing w:val="1"/>
                <w:sz w:val="20"/>
                <w:szCs w:val="20"/>
              </w:rPr>
              <w:t>0</w:t>
            </w:r>
          </w:p>
        </w:tc>
        <w:tc>
          <w:tcPr>
            <w:tcW w:w="5998" w:type="dxa"/>
            <w:tcBorders>
              <w:left w:val="single" w:color="000000" w:sz="4" w:space="0"/>
              <w:right w:val="nil"/>
            </w:tcBorders>
            <w:vAlign w:val="top"/>
          </w:tcPr>
          <w:p w14:paraId="7DE7B505">
            <w:pPr>
              <w:spacing w:before="94" w:line="198"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12.446</w:t>
            </w:r>
            <w:r>
              <w:rPr>
                <w:rFonts w:ascii="Times New Roman" w:hAnsi="Times New Roman" w:eastAsia="Times New Roman" w:cs="Times New Roman"/>
                <w:spacing w:val="1"/>
                <w:sz w:val="20"/>
                <w:szCs w:val="20"/>
              </w:rPr>
              <w:t>87</w:t>
            </w:r>
          </w:p>
        </w:tc>
      </w:tr>
      <w:tr w14:paraId="14A3E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329CE1BF">
            <w:pPr>
              <w:spacing w:before="94"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w:t>
            </w:r>
            <w:r>
              <w:rPr>
                <w:rFonts w:ascii="Times New Roman" w:hAnsi="Times New Roman" w:eastAsia="Times New Roman" w:cs="Times New Roman"/>
                <w:spacing w:val="1"/>
                <w:sz w:val="20"/>
                <w:szCs w:val="20"/>
              </w:rPr>
              <w:t>0</w:t>
            </w:r>
          </w:p>
        </w:tc>
        <w:tc>
          <w:tcPr>
            <w:tcW w:w="5998" w:type="dxa"/>
            <w:tcBorders>
              <w:left w:val="single" w:color="000000" w:sz="4" w:space="0"/>
              <w:right w:val="nil"/>
            </w:tcBorders>
            <w:vAlign w:val="top"/>
          </w:tcPr>
          <w:p w14:paraId="2F63F439">
            <w:pPr>
              <w:spacing w:before="95" w:line="195" w:lineRule="auto"/>
              <w:ind w:left="2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.906794</w:t>
            </w:r>
          </w:p>
        </w:tc>
      </w:tr>
      <w:tr w14:paraId="112BF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2102AF8B">
            <w:pPr>
              <w:spacing w:before="94"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0</w:t>
            </w:r>
          </w:p>
        </w:tc>
        <w:tc>
          <w:tcPr>
            <w:tcW w:w="5998" w:type="dxa"/>
            <w:tcBorders>
              <w:left w:val="single" w:color="000000" w:sz="4" w:space="0"/>
              <w:right w:val="nil"/>
            </w:tcBorders>
            <w:vAlign w:val="top"/>
          </w:tcPr>
          <w:p w14:paraId="78318C76">
            <w:pPr>
              <w:spacing w:before="95" w:line="195" w:lineRule="auto"/>
              <w:ind w:left="260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241569</w:t>
            </w:r>
          </w:p>
        </w:tc>
      </w:tr>
      <w:tr w14:paraId="46EC1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3303DE48">
            <w:pPr>
              <w:spacing w:before="94"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w:t>
            </w:r>
            <w:r>
              <w:rPr>
                <w:rFonts w:ascii="Times New Roman" w:hAnsi="Times New Roman" w:eastAsia="Times New Roman" w:cs="Times New Roman"/>
                <w:spacing w:val="1"/>
                <w:sz w:val="20"/>
                <w:szCs w:val="20"/>
              </w:rPr>
              <w:t>0</w:t>
            </w:r>
          </w:p>
        </w:tc>
        <w:tc>
          <w:tcPr>
            <w:tcW w:w="5998" w:type="dxa"/>
            <w:tcBorders>
              <w:left w:val="single" w:color="000000" w:sz="4" w:space="0"/>
              <w:right w:val="nil"/>
            </w:tcBorders>
            <w:vAlign w:val="top"/>
          </w:tcPr>
          <w:p w14:paraId="73D62D2C">
            <w:pPr>
              <w:spacing w:before="94" w:line="198" w:lineRule="auto"/>
              <w:ind w:left="260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.282443</w:t>
            </w:r>
          </w:p>
        </w:tc>
      </w:tr>
      <w:tr w14:paraId="61AD3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593D1830">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5998" w:type="dxa"/>
            <w:tcBorders>
              <w:left w:val="single" w:color="000000" w:sz="4" w:space="0"/>
              <w:right w:val="nil"/>
            </w:tcBorders>
            <w:vAlign w:val="top"/>
          </w:tcPr>
          <w:p w14:paraId="49340A35">
            <w:pPr>
              <w:spacing w:before="94" w:line="198" w:lineRule="auto"/>
              <w:ind w:left="26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.876323</w:t>
            </w:r>
          </w:p>
        </w:tc>
      </w:tr>
      <w:tr w14:paraId="15560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084CE890">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620</w:t>
            </w:r>
          </w:p>
        </w:tc>
        <w:tc>
          <w:tcPr>
            <w:tcW w:w="5998" w:type="dxa"/>
            <w:tcBorders>
              <w:left w:val="single" w:color="000000" w:sz="4" w:space="0"/>
              <w:right w:val="nil"/>
            </w:tcBorders>
            <w:vAlign w:val="top"/>
          </w:tcPr>
          <w:p w14:paraId="0713AD57">
            <w:pPr>
              <w:spacing w:before="94" w:line="198"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1.8908</w:t>
            </w:r>
            <w:r>
              <w:rPr>
                <w:rFonts w:ascii="Times New Roman" w:hAnsi="Times New Roman" w:eastAsia="Times New Roman" w:cs="Times New Roman"/>
                <w:spacing w:val="1"/>
                <w:sz w:val="20"/>
                <w:szCs w:val="20"/>
              </w:rPr>
              <w:t>76</w:t>
            </w:r>
          </w:p>
        </w:tc>
      </w:tr>
      <w:tr w14:paraId="5CED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5C08468D">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5998" w:type="dxa"/>
            <w:tcBorders>
              <w:left w:val="single" w:color="000000" w:sz="4" w:space="0"/>
              <w:right w:val="nil"/>
            </w:tcBorders>
            <w:vAlign w:val="top"/>
          </w:tcPr>
          <w:p w14:paraId="3A32605F">
            <w:pPr>
              <w:spacing w:before="94" w:line="198" w:lineRule="auto"/>
              <w:ind w:left="26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1.2453</w:t>
            </w:r>
            <w:r>
              <w:rPr>
                <w:rFonts w:ascii="Times New Roman" w:hAnsi="Times New Roman" w:eastAsia="Times New Roman" w:cs="Times New Roman"/>
                <w:spacing w:val="1"/>
                <w:sz w:val="20"/>
                <w:szCs w:val="20"/>
              </w:rPr>
              <w:t>79</w:t>
            </w:r>
          </w:p>
        </w:tc>
      </w:tr>
      <w:tr w14:paraId="16084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30B41138">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660</w:t>
            </w:r>
          </w:p>
        </w:tc>
        <w:tc>
          <w:tcPr>
            <w:tcW w:w="5998" w:type="dxa"/>
            <w:tcBorders>
              <w:left w:val="single" w:color="000000" w:sz="4" w:space="0"/>
              <w:right w:val="nil"/>
            </w:tcBorders>
            <w:vAlign w:val="top"/>
          </w:tcPr>
          <w:p w14:paraId="163AE36C">
            <w:pPr>
              <w:spacing w:before="95" w:line="195" w:lineRule="auto"/>
              <w:ind w:left="25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0.7832648</w:t>
            </w:r>
          </w:p>
        </w:tc>
      </w:tr>
      <w:tr w14:paraId="7C9A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76D546B2">
            <w:pPr>
              <w:spacing w:before="94" w:line="195"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680</w:t>
            </w:r>
          </w:p>
        </w:tc>
        <w:tc>
          <w:tcPr>
            <w:tcW w:w="5998" w:type="dxa"/>
            <w:tcBorders>
              <w:left w:val="single" w:color="000000" w:sz="4" w:space="0"/>
              <w:right w:val="nil"/>
            </w:tcBorders>
            <w:vAlign w:val="top"/>
          </w:tcPr>
          <w:p w14:paraId="46F1D57F">
            <w:pPr>
              <w:spacing w:before="95" w:line="195" w:lineRule="auto"/>
              <w:ind w:left="25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0.4819608</w:t>
            </w:r>
          </w:p>
        </w:tc>
      </w:tr>
      <w:tr w14:paraId="7282D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3E47B6BE">
            <w:pPr>
              <w:spacing w:before="94"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00</w:t>
            </w:r>
          </w:p>
        </w:tc>
        <w:tc>
          <w:tcPr>
            <w:tcW w:w="5998" w:type="dxa"/>
            <w:tcBorders>
              <w:left w:val="single" w:color="000000" w:sz="4" w:space="0"/>
              <w:right w:val="nil"/>
            </w:tcBorders>
            <w:vAlign w:val="top"/>
          </w:tcPr>
          <w:p w14:paraId="46CDD4DC">
            <w:pPr>
              <w:spacing w:before="95" w:line="195" w:lineRule="auto"/>
              <w:ind w:left="25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0.2901689</w:t>
            </w:r>
          </w:p>
        </w:tc>
      </w:tr>
      <w:tr w14:paraId="7FA5B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04AAD2A7">
            <w:pPr>
              <w:spacing w:before="94"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20</w:t>
            </w:r>
          </w:p>
        </w:tc>
        <w:tc>
          <w:tcPr>
            <w:tcW w:w="5998" w:type="dxa"/>
            <w:tcBorders>
              <w:left w:val="single" w:color="000000" w:sz="4" w:space="0"/>
              <w:right w:val="nil"/>
            </w:tcBorders>
            <w:vAlign w:val="top"/>
          </w:tcPr>
          <w:p w14:paraId="58F8B258">
            <w:pPr>
              <w:spacing w:before="94" w:line="195" w:lineRule="auto"/>
              <w:ind w:left="25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0. 1</w:t>
            </w:r>
            <w:r>
              <w:rPr>
                <w:rFonts w:ascii="Times New Roman" w:hAnsi="Times New Roman" w:eastAsia="Times New Roman" w:cs="Times New Roman"/>
                <w:spacing w:val="-1"/>
                <w:sz w:val="20"/>
                <w:szCs w:val="20"/>
              </w:rPr>
              <w:t>708955</w:t>
            </w:r>
          </w:p>
        </w:tc>
      </w:tr>
      <w:tr w14:paraId="28538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612D027D">
            <w:pPr>
              <w:spacing w:before="94"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40</w:t>
            </w:r>
          </w:p>
        </w:tc>
        <w:tc>
          <w:tcPr>
            <w:tcW w:w="5998" w:type="dxa"/>
            <w:tcBorders>
              <w:left w:val="single" w:color="000000" w:sz="4" w:space="0"/>
              <w:right w:val="nil"/>
            </w:tcBorders>
            <w:vAlign w:val="top"/>
          </w:tcPr>
          <w:p w14:paraId="45799312">
            <w:pPr>
              <w:spacing w:before="95" w:line="195" w:lineRule="auto"/>
              <w:ind w:left="2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0.0987721</w:t>
            </w:r>
            <w:r>
              <w:rPr>
                <w:rFonts w:ascii="Times New Roman" w:hAnsi="Times New Roman" w:eastAsia="Times New Roman" w:cs="Times New Roman"/>
                <w:spacing w:val="3"/>
                <w:sz w:val="20"/>
                <w:szCs w:val="20"/>
              </w:rPr>
              <w:t>5</w:t>
            </w:r>
          </w:p>
        </w:tc>
      </w:tr>
      <w:tr w14:paraId="11533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645A46D3">
            <w:pPr>
              <w:spacing w:before="94"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60</w:t>
            </w:r>
          </w:p>
        </w:tc>
        <w:tc>
          <w:tcPr>
            <w:tcW w:w="5998" w:type="dxa"/>
            <w:tcBorders>
              <w:left w:val="single" w:color="000000" w:sz="4" w:space="0"/>
              <w:right w:val="nil"/>
            </w:tcBorders>
            <w:vAlign w:val="top"/>
          </w:tcPr>
          <w:p w14:paraId="76E36942">
            <w:pPr>
              <w:spacing w:before="95" w:line="195" w:lineRule="auto"/>
              <w:ind w:left="2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0.0554316</w:t>
            </w:r>
            <w:r>
              <w:rPr>
                <w:rFonts w:ascii="Times New Roman" w:hAnsi="Times New Roman" w:eastAsia="Times New Roman" w:cs="Times New Roman"/>
                <w:spacing w:val="3"/>
                <w:sz w:val="20"/>
                <w:szCs w:val="20"/>
              </w:rPr>
              <w:t>8</w:t>
            </w:r>
          </w:p>
        </w:tc>
      </w:tr>
      <w:tr w14:paraId="50F87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14B7575A">
            <w:pPr>
              <w:spacing w:before="94"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80</w:t>
            </w:r>
          </w:p>
        </w:tc>
        <w:tc>
          <w:tcPr>
            <w:tcW w:w="5998" w:type="dxa"/>
            <w:tcBorders>
              <w:left w:val="single" w:color="000000" w:sz="4" w:space="0"/>
              <w:right w:val="nil"/>
            </w:tcBorders>
            <w:vAlign w:val="top"/>
          </w:tcPr>
          <w:p w14:paraId="56E1D905">
            <w:pPr>
              <w:spacing w:before="95" w:line="195" w:lineRule="auto"/>
              <w:ind w:left="2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0.0313440</w:t>
            </w:r>
            <w:r>
              <w:rPr>
                <w:rFonts w:ascii="Times New Roman" w:hAnsi="Times New Roman" w:eastAsia="Times New Roman" w:cs="Times New Roman"/>
                <w:spacing w:val="3"/>
                <w:sz w:val="20"/>
                <w:szCs w:val="20"/>
              </w:rPr>
              <w:t>2</w:t>
            </w:r>
          </w:p>
        </w:tc>
      </w:tr>
      <w:tr w14:paraId="2FEBB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524" w:type="dxa"/>
            <w:tcBorders>
              <w:left w:val="nil"/>
              <w:right w:val="single" w:color="000000" w:sz="4" w:space="0"/>
            </w:tcBorders>
            <w:vAlign w:val="top"/>
          </w:tcPr>
          <w:p w14:paraId="3DC11D75">
            <w:pPr>
              <w:spacing w:before="94" w:line="195" w:lineRule="auto"/>
              <w:ind w:left="11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5998" w:type="dxa"/>
            <w:tcBorders>
              <w:left w:val="single" w:color="000000" w:sz="4" w:space="0"/>
              <w:right w:val="nil"/>
            </w:tcBorders>
            <w:vAlign w:val="top"/>
          </w:tcPr>
          <w:p w14:paraId="1B40A3E8">
            <w:pPr>
              <w:spacing w:before="95" w:line="195" w:lineRule="auto"/>
              <w:ind w:left="2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0.0162555</w:t>
            </w:r>
            <w:r>
              <w:rPr>
                <w:rFonts w:ascii="Times New Roman" w:hAnsi="Times New Roman" w:eastAsia="Times New Roman" w:cs="Times New Roman"/>
                <w:spacing w:val="3"/>
                <w:sz w:val="20"/>
                <w:szCs w:val="20"/>
              </w:rPr>
              <w:t>9</w:t>
            </w:r>
          </w:p>
        </w:tc>
      </w:tr>
      <w:tr w14:paraId="3A48C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524" w:type="dxa"/>
            <w:tcBorders>
              <w:left w:val="nil"/>
              <w:right w:val="single" w:color="000000" w:sz="4" w:space="0"/>
            </w:tcBorders>
            <w:vAlign w:val="top"/>
          </w:tcPr>
          <w:p w14:paraId="1B142D29">
            <w:pPr>
              <w:spacing w:before="59" w:line="228" w:lineRule="auto"/>
              <w:ind w:left="480"/>
              <w:rPr>
                <w:rFonts w:ascii="宋体" w:hAnsi="宋体" w:eastAsia="宋体" w:cs="宋体"/>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5"/>
                <w:sz w:val="20"/>
                <w:szCs w:val="20"/>
              </w:rPr>
              <w:t xml:space="preserve">64  </w:t>
            </w:r>
            <w:r>
              <w:rPr>
                <w:rFonts w:ascii="宋体" w:hAnsi="宋体" w:eastAsia="宋体" w:cs="宋体"/>
                <w:spacing w:val="5"/>
                <w:sz w:val="20"/>
                <w:szCs w:val="20"/>
              </w:rPr>
              <w:t>(达标距离)</w:t>
            </w:r>
          </w:p>
        </w:tc>
        <w:tc>
          <w:tcPr>
            <w:tcW w:w="5998" w:type="dxa"/>
            <w:tcBorders>
              <w:left w:val="single" w:color="000000" w:sz="4" w:space="0"/>
              <w:right w:val="nil"/>
            </w:tcBorders>
            <w:vAlign w:val="top"/>
          </w:tcPr>
          <w:p w14:paraId="7CA145C1">
            <w:pPr>
              <w:spacing w:before="95" w:line="195" w:lineRule="auto"/>
              <w:ind w:left="2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0.0490653</w:t>
            </w:r>
            <w:r>
              <w:rPr>
                <w:rFonts w:ascii="Times New Roman" w:hAnsi="Times New Roman" w:eastAsia="Times New Roman" w:cs="Times New Roman"/>
                <w:spacing w:val="3"/>
                <w:sz w:val="20"/>
                <w:szCs w:val="20"/>
              </w:rPr>
              <w:t>8</w:t>
            </w:r>
          </w:p>
        </w:tc>
      </w:tr>
    </w:tbl>
    <w:p w14:paraId="65C51D3B">
      <w:pPr>
        <w:rPr>
          <w:rFonts w:ascii="Arial"/>
          <w:sz w:val="21"/>
        </w:rPr>
      </w:pPr>
    </w:p>
    <w:p w14:paraId="155499C7">
      <w:pPr>
        <w:sectPr>
          <w:headerReference r:id="rId235" w:type="default"/>
          <w:footerReference r:id="rId236" w:type="default"/>
          <w:pgSz w:w="11906" w:h="16839"/>
          <w:pgMar w:top="1132" w:right="1691" w:bottom="1182" w:left="1691" w:header="878" w:footer="1022" w:gutter="0"/>
          <w:cols w:space="720" w:num="1"/>
        </w:sectPr>
      </w:pPr>
    </w:p>
    <w:p w14:paraId="04BCDF28">
      <w:pPr>
        <w:spacing w:line="424" w:lineRule="auto"/>
        <w:rPr>
          <w:rFonts w:ascii="Arial"/>
          <w:sz w:val="21"/>
        </w:rPr>
      </w:pPr>
      <w:r>
        <w:pict>
          <v:shape id="_x0000_s1281" o:spid="_x0000_s1281" style="position:absolute;left:0pt;margin-left:90pt;margin-top:57.35pt;height:0.75pt;width:415.3pt;mso-position-horizontal-relative:page;mso-position-vertical-relative:page;z-index:251934720;mso-width-relative:page;mso-height-relative:page;" fillcolor="#000000" filled="t" stroked="f" coordsize="8305,15" o:allowincell="f" path="m0,0l8305,0,8305,14,0,14,0,0xe">
            <v:path/>
            <v:fill on="t" focussize="0,0"/>
            <v:stroke on="f"/>
            <v:imagedata o:title=""/>
            <o:lock v:ext="edit"/>
          </v:shape>
        </w:pict>
      </w:r>
    </w:p>
    <w:p w14:paraId="462BA35D">
      <w:pPr>
        <w:spacing w:line="5033" w:lineRule="exact"/>
        <w:textAlignment w:val="center"/>
      </w:pPr>
      <w:r>
        <w:drawing>
          <wp:inline distT="0" distB="0" distL="0" distR="0">
            <wp:extent cx="5269865" cy="319532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522"/>
                    <a:stretch>
                      <a:fillRect/>
                    </a:stretch>
                  </pic:blipFill>
                  <pic:spPr>
                    <a:xfrm>
                      <a:off x="0" y="0"/>
                      <a:ext cx="5269991" cy="3195828"/>
                    </a:xfrm>
                    <a:prstGeom prst="rect">
                      <a:avLst/>
                    </a:prstGeom>
                  </pic:spPr>
                </pic:pic>
              </a:graphicData>
            </a:graphic>
          </wp:inline>
        </w:drawing>
      </w:r>
    </w:p>
    <w:p w14:paraId="6DCF55BA">
      <w:pPr>
        <w:spacing w:before="126" w:line="332" w:lineRule="exact"/>
        <w:ind w:left="1350"/>
        <w:rPr>
          <w:rFonts w:ascii="宋体" w:hAnsi="宋体" w:eastAsia="宋体" w:cs="宋体"/>
          <w:sz w:val="23"/>
          <w:szCs w:val="23"/>
        </w:rPr>
      </w:pPr>
      <w:r>
        <w:rPr>
          <w:rFonts w:ascii="宋体" w:hAnsi="宋体" w:eastAsia="宋体" w:cs="宋体"/>
          <w:spacing w:val="6"/>
          <w:position w:val="2"/>
          <w:sz w:val="23"/>
          <w:szCs w:val="23"/>
          <w14:textOutline w14:w="4358" w14:cap="sq" w14:cmpd="sng">
            <w14:solidFill>
              <w14:srgbClr w14:val="000000"/>
            </w14:solidFill>
            <w14:prstDash w14:val="solid"/>
            <w14:bevel/>
          </w14:textOutline>
        </w:rPr>
        <w:t>图</w:t>
      </w:r>
      <w:r>
        <w:rPr>
          <w:rFonts w:ascii="宋体" w:hAnsi="宋体" w:eastAsia="宋体" w:cs="宋体"/>
          <w:spacing w:val="6"/>
          <w:position w:val="2"/>
          <w:sz w:val="23"/>
          <w:szCs w:val="23"/>
        </w:rPr>
        <w:t xml:space="preserve"> </w:t>
      </w:r>
      <w:r>
        <w:rPr>
          <w:rFonts w:ascii="Times New Roman" w:hAnsi="Times New Roman" w:eastAsia="Times New Roman" w:cs="Times New Roman"/>
          <w:b/>
          <w:bCs/>
          <w:spacing w:val="6"/>
          <w:position w:val="2"/>
          <w:sz w:val="23"/>
          <w:szCs w:val="23"/>
        </w:rPr>
        <w:t>5</w:t>
      </w:r>
      <w:r>
        <w:rPr>
          <w:rFonts w:ascii="Times New Roman" w:hAnsi="Times New Roman" w:eastAsia="Times New Roman" w:cs="Times New Roman"/>
          <w:b/>
          <w:bCs/>
          <w:spacing w:val="5"/>
          <w:position w:val="2"/>
          <w:sz w:val="23"/>
          <w:szCs w:val="23"/>
        </w:rPr>
        <w:t>-</w:t>
      </w:r>
      <w:r>
        <w:rPr>
          <w:rFonts w:ascii="Times New Roman" w:hAnsi="Times New Roman" w:eastAsia="Times New Roman" w:cs="Times New Roman"/>
          <w:b/>
          <w:bCs/>
          <w:spacing w:val="3"/>
          <w:position w:val="2"/>
          <w:sz w:val="23"/>
          <w:szCs w:val="23"/>
        </w:rPr>
        <w:t>5</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非正常状况氨氮污染物运移</w:t>
      </w:r>
      <w:r>
        <w:rPr>
          <w:rFonts w:ascii="宋体" w:hAnsi="宋体" w:eastAsia="宋体" w:cs="宋体"/>
          <w:spacing w:val="3"/>
          <w:position w:val="2"/>
          <w:sz w:val="23"/>
          <w:szCs w:val="23"/>
        </w:rPr>
        <w:t xml:space="preserve"> </w:t>
      </w:r>
      <w:r>
        <w:rPr>
          <w:rFonts w:ascii="Times New Roman" w:hAnsi="Times New Roman" w:eastAsia="Times New Roman" w:cs="Times New Roman"/>
          <w:b/>
          <w:bCs/>
          <w:spacing w:val="3"/>
          <w:position w:val="2"/>
          <w:sz w:val="23"/>
          <w:szCs w:val="23"/>
        </w:rPr>
        <w:t>1000</w:t>
      </w:r>
      <w:r>
        <w:rPr>
          <w:rFonts w:ascii="Times New Roman" w:hAnsi="Times New Roman" w:eastAsia="Times New Roman" w:cs="Times New Roman"/>
          <w:b/>
          <w:bCs/>
          <w:position w:val="2"/>
          <w:sz w:val="23"/>
          <w:szCs w:val="23"/>
        </w:rPr>
        <w:t>d</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随距离变化图</w:t>
      </w:r>
    </w:p>
    <w:p w14:paraId="79F8BF7F">
      <w:pPr>
        <w:spacing w:line="277" w:lineRule="auto"/>
        <w:rPr>
          <w:rFonts w:ascii="Arial"/>
          <w:sz w:val="21"/>
        </w:rPr>
      </w:pPr>
    </w:p>
    <w:p w14:paraId="37DCC33D">
      <w:pPr>
        <w:spacing w:before="74" w:line="380" w:lineRule="auto"/>
        <w:ind w:left="309" w:firstLine="480"/>
        <w:rPr>
          <w:rFonts w:ascii="宋体" w:hAnsi="宋体" w:eastAsia="宋体" w:cs="宋体"/>
          <w:sz w:val="23"/>
          <w:szCs w:val="23"/>
        </w:rPr>
      </w:pPr>
      <w:r>
        <w:rPr>
          <w:rFonts w:ascii="宋体" w:hAnsi="宋体" w:eastAsia="宋体" w:cs="宋体"/>
          <w:spacing w:val="7"/>
          <w:sz w:val="23"/>
          <w:szCs w:val="23"/>
        </w:rPr>
        <w:t>氨氮迁移方向在不进行防渗的情况下，各污染物在水动力条件作用下主要</w:t>
      </w:r>
      <w:r>
        <w:rPr>
          <w:rFonts w:ascii="宋体" w:hAnsi="宋体" w:eastAsia="宋体" w:cs="宋体"/>
          <w:spacing w:val="3"/>
          <w:sz w:val="23"/>
          <w:szCs w:val="23"/>
        </w:rPr>
        <w:t>由</w:t>
      </w:r>
      <w:r>
        <w:rPr>
          <w:rFonts w:ascii="宋体" w:hAnsi="宋体" w:eastAsia="宋体" w:cs="宋体"/>
          <w:sz w:val="23"/>
          <w:szCs w:val="23"/>
        </w:rPr>
        <w:t xml:space="preserve"> </w:t>
      </w:r>
      <w:r>
        <w:rPr>
          <w:rFonts w:ascii="宋体" w:hAnsi="宋体" w:eastAsia="宋体" w:cs="宋体"/>
          <w:spacing w:val="9"/>
          <w:sz w:val="23"/>
          <w:szCs w:val="23"/>
        </w:rPr>
        <w:t>北</w:t>
      </w:r>
      <w:r>
        <w:rPr>
          <w:rFonts w:ascii="宋体" w:hAnsi="宋体" w:eastAsia="宋体" w:cs="宋体"/>
          <w:spacing w:val="7"/>
          <w:sz w:val="23"/>
          <w:szCs w:val="23"/>
        </w:rPr>
        <w:t>向南方向运移，随时间的增加和运移的距离增加，含水层氨氮浓度变化呈受逐</w:t>
      </w:r>
      <w:r>
        <w:rPr>
          <w:rFonts w:ascii="宋体" w:hAnsi="宋体" w:eastAsia="宋体" w:cs="宋体"/>
          <w:sz w:val="23"/>
          <w:szCs w:val="23"/>
        </w:rPr>
        <w:t xml:space="preserve"> </w:t>
      </w:r>
      <w:r>
        <w:rPr>
          <w:rFonts w:ascii="宋体" w:hAnsi="宋体" w:eastAsia="宋体" w:cs="宋体"/>
          <w:spacing w:val="8"/>
          <w:sz w:val="23"/>
          <w:szCs w:val="23"/>
        </w:rPr>
        <w:t xml:space="preserve">渐下降的趋势。在运移 </w:t>
      </w:r>
      <w:r>
        <w:rPr>
          <w:rFonts w:ascii="Times New Roman" w:hAnsi="Times New Roman" w:eastAsia="Times New Roman" w:cs="Times New Roman"/>
          <w:spacing w:val="8"/>
          <w:sz w:val="23"/>
          <w:szCs w:val="23"/>
        </w:rPr>
        <w:t>100</w:t>
      </w:r>
      <w:r>
        <w:rPr>
          <w:rFonts w:ascii="Times New Roman" w:hAnsi="Times New Roman" w:eastAsia="Times New Roman" w:cs="Times New Roman"/>
          <w:sz w:val="23"/>
          <w:szCs w:val="23"/>
        </w:rPr>
        <w:t>d</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时，距离污染源 </w:t>
      </w:r>
      <w:r>
        <w:rPr>
          <w:rFonts w:ascii="Times New Roman" w:hAnsi="Times New Roman" w:eastAsia="Times New Roman" w:cs="Times New Roman"/>
          <w:spacing w:val="8"/>
          <w:sz w:val="23"/>
          <w:szCs w:val="23"/>
        </w:rPr>
        <w:t>155</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地下水氨氮浓度满足</w:t>
      </w:r>
      <w:r>
        <w:rPr>
          <w:rFonts w:ascii="Times New Roman" w:hAnsi="Times New Roman" w:eastAsia="Times New Roman" w:cs="Times New Roman"/>
          <w:spacing w:val="8"/>
          <w:sz w:val="23"/>
          <w:szCs w:val="23"/>
        </w:rPr>
        <w:t>Ⅲ</w:t>
      </w:r>
      <w:r>
        <w:rPr>
          <w:rFonts w:ascii="宋体" w:hAnsi="宋体" w:eastAsia="宋体" w:cs="宋体"/>
          <w:spacing w:val="8"/>
          <w:sz w:val="23"/>
          <w:szCs w:val="23"/>
        </w:rPr>
        <w:t>类</w:t>
      </w:r>
      <w:r>
        <w:rPr>
          <w:rFonts w:ascii="宋体" w:hAnsi="宋体" w:eastAsia="宋体" w:cs="宋体"/>
          <w:spacing w:val="3"/>
          <w:sz w:val="23"/>
          <w:szCs w:val="23"/>
        </w:rPr>
        <w:t>水</w:t>
      </w:r>
      <w:r>
        <w:rPr>
          <w:rFonts w:ascii="宋体" w:hAnsi="宋体" w:eastAsia="宋体" w:cs="宋体"/>
          <w:sz w:val="23"/>
          <w:szCs w:val="23"/>
        </w:rPr>
        <w:t xml:space="preserve"> </w:t>
      </w:r>
      <w:r>
        <w:rPr>
          <w:rFonts w:ascii="宋体" w:hAnsi="宋体" w:eastAsia="宋体" w:cs="宋体"/>
          <w:spacing w:val="12"/>
          <w:sz w:val="23"/>
          <w:szCs w:val="23"/>
        </w:rPr>
        <w:t>标准</w:t>
      </w:r>
      <w:r>
        <w:rPr>
          <w:rFonts w:ascii="宋体" w:hAnsi="宋体" w:eastAsia="宋体" w:cs="宋体"/>
          <w:spacing w:val="9"/>
          <w:sz w:val="23"/>
          <w:szCs w:val="23"/>
        </w:rPr>
        <w:t>的</w:t>
      </w:r>
      <w:r>
        <w:rPr>
          <w:rFonts w:ascii="宋体" w:hAnsi="宋体" w:eastAsia="宋体" w:cs="宋体"/>
          <w:spacing w:val="6"/>
          <w:sz w:val="23"/>
          <w:szCs w:val="23"/>
        </w:rPr>
        <w:t xml:space="preserve">规定；在运移 </w:t>
      </w:r>
      <w:r>
        <w:rPr>
          <w:rFonts w:ascii="Times New Roman" w:hAnsi="Times New Roman" w:eastAsia="Times New Roman" w:cs="Times New Roman"/>
          <w:spacing w:val="6"/>
          <w:sz w:val="23"/>
          <w:szCs w:val="23"/>
        </w:rPr>
        <w:t>1000</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时，距离污染源 </w:t>
      </w:r>
      <w:r>
        <w:rPr>
          <w:rFonts w:ascii="Times New Roman" w:hAnsi="Times New Roman" w:eastAsia="Times New Roman" w:cs="Times New Roman"/>
          <w:spacing w:val="6"/>
          <w:sz w:val="23"/>
          <w:szCs w:val="23"/>
        </w:rPr>
        <w:t>764</w:t>
      </w:r>
      <w:r>
        <w:rPr>
          <w:rFonts w:ascii="Times New Roman" w:hAnsi="Times New Roman" w:eastAsia="Times New Roman" w:cs="Times New Roman"/>
          <w:sz w:val="23"/>
          <w:szCs w:val="23"/>
        </w:rPr>
        <w:t>m</w:t>
      </w:r>
      <w:r>
        <w:rPr>
          <w:rFonts w:ascii="宋体" w:hAnsi="宋体" w:eastAsia="宋体" w:cs="宋体"/>
          <w:spacing w:val="6"/>
          <w:sz w:val="23"/>
          <w:szCs w:val="23"/>
        </w:rPr>
        <w:t>地下水氨氮浓度满足</w:t>
      </w:r>
      <w:r>
        <w:rPr>
          <w:rFonts w:ascii="Times New Roman" w:hAnsi="Times New Roman" w:eastAsia="Times New Roman" w:cs="Times New Roman"/>
          <w:spacing w:val="6"/>
          <w:sz w:val="23"/>
          <w:szCs w:val="23"/>
        </w:rPr>
        <w:t>Ⅲ</w:t>
      </w:r>
      <w:r>
        <w:rPr>
          <w:rFonts w:ascii="宋体" w:hAnsi="宋体" w:eastAsia="宋体" w:cs="宋体"/>
          <w:spacing w:val="6"/>
          <w:sz w:val="23"/>
          <w:szCs w:val="23"/>
        </w:rPr>
        <w:t>类水标</w:t>
      </w:r>
      <w:r>
        <w:rPr>
          <w:rFonts w:ascii="宋体" w:hAnsi="宋体" w:eastAsia="宋体" w:cs="宋体"/>
          <w:sz w:val="23"/>
          <w:szCs w:val="23"/>
        </w:rPr>
        <w:t xml:space="preserve"> </w:t>
      </w:r>
      <w:r>
        <w:rPr>
          <w:rFonts w:ascii="宋体" w:hAnsi="宋体" w:eastAsia="宋体" w:cs="宋体"/>
          <w:spacing w:val="4"/>
          <w:sz w:val="23"/>
          <w:szCs w:val="23"/>
        </w:rPr>
        <w:t>准的规</w:t>
      </w:r>
      <w:r>
        <w:rPr>
          <w:rFonts w:ascii="宋体" w:hAnsi="宋体" w:eastAsia="宋体" w:cs="宋体"/>
          <w:spacing w:val="2"/>
          <w:sz w:val="23"/>
          <w:szCs w:val="23"/>
        </w:rPr>
        <w:t>定。评价范围内地下水下游方向无集中式饮用水水源地，但有分散式水井，</w:t>
      </w:r>
      <w:r>
        <w:rPr>
          <w:rFonts w:ascii="宋体" w:hAnsi="宋体" w:eastAsia="宋体" w:cs="宋体"/>
          <w:sz w:val="23"/>
          <w:szCs w:val="23"/>
        </w:rPr>
        <w:t xml:space="preserve"> </w:t>
      </w:r>
      <w:r>
        <w:rPr>
          <w:rFonts w:ascii="宋体" w:hAnsi="宋体" w:eastAsia="宋体" w:cs="宋体"/>
          <w:spacing w:val="8"/>
          <w:sz w:val="23"/>
          <w:szCs w:val="23"/>
        </w:rPr>
        <w:t>应杜绝事故排放发生。</w:t>
      </w:r>
    </w:p>
    <w:p w14:paraId="6090572A">
      <w:pPr>
        <w:spacing w:line="4593" w:lineRule="exact"/>
        <w:ind w:firstLine="300"/>
        <w:textAlignment w:val="center"/>
      </w:pPr>
      <w:r>
        <w:drawing>
          <wp:inline distT="0" distB="0" distL="0" distR="0">
            <wp:extent cx="4822825" cy="2916555"/>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523"/>
                    <a:stretch>
                      <a:fillRect/>
                    </a:stretch>
                  </pic:blipFill>
                  <pic:spPr>
                    <a:xfrm>
                      <a:off x="0" y="0"/>
                      <a:ext cx="4823459" cy="2916935"/>
                    </a:xfrm>
                    <a:prstGeom prst="rect">
                      <a:avLst/>
                    </a:prstGeom>
                  </pic:spPr>
                </pic:pic>
              </a:graphicData>
            </a:graphic>
          </wp:inline>
        </w:drawing>
      </w:r>
    </w:p>
    <w:p w14:paraId="1E22FAC0">
      <w:pPr>
        <w:spacing w:before="70" w:line="227" w:lineRule="auto"/>
        <w:ind w:left="93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拟设置监测井处非正常状况氨氮污染物运移随时间变化图</w:t>
      </w:r>
    </w:p>
    <w:p w14:paraId="03EA410A">
      <w:pPr>
        <w:sectPr>
          <w:headerReference r:id="rId237" w:type="default"/>
          <w:footerReference r:id="rId238" w:type="default"/>
          <w:pgSz w:w="11906" w:h="16839"/>
          <w:pgMar w:top="1132" w:right="1738" w:bottom="1182" w:left="1500" w:header="878" w:footer="1022" w:gutter="0"/>
          <w:cols w:space="720" w:num="1"/>
        </w:sectPr>
      </w:pPr>
    </w:p>
    <w:p w14:paraId="1E450D9F">
      <w:pPr>
        <w:spacing w:line="407" w:lineRule="auto"/>
        <w:rPr>
          <w:rFonts w:ascii="Arial"/>
          <w:sz w:val="21"/>
        </w:rPr>
      </w:pPr>
      <w:r>
        <w:pict>
          <v:shape id="_x0000_s1282" o:spid="_x0000_s1282" style="position:absolute;left:0pt;margin-left:90pt;margin-top:57.35pt;height:0.75pt;width:415.3pt;mso-position-horizontal-relative:page;mso-position-vertical-relative:page;z-index:251935744;mso-width-relative:page;mso-height-relative:page;" fillcolor="#000000" filled="t" stroked="f" coordsize="8305,15" o:allowincell="f" path="m0,0l8305,0,8305,14,0,14,0,0xe">
            <v:path/>
            <v:fill on="t" focussize="0,0"/>
            <v:stroke on="f"/>
            <v:imagedata o:title=""/>
            <o:lock v:ext="edit"/>
          </v:shape>
        </w:pict>
      </w:r>
    </w:p>
    <w:p w14:paraId="15BB982F">
      <w:pPr>
        <w:spacing w:before="75" w:line="386" w:lineRule="auto"/>
        <w:ind w:left="116" w:right="46" w:firstLine="481"/>
        <w:rPr>
          <w:rFonts w:ascii="宋体" w:hAnsi="宋体" w:eastAsia="宋体" w:cs="宋体"/>
          <w:sz w:val="23"/>
          <w:szCs w:val="23"/>
        </w:rPr>
      </w:pPr>
      <w:r>
        <w:rPr>
          <w:rFonts w:ascii="宋体" w:hAnsi="宋体" w:eastAsia="宋体" w:cs="宋体"/>
          <w:spacing w:val="5"/>
          <w:sz w:val="23"/>
          <w:szCs w:val="23"/>
        </w:rPr>
        <w:t xml:space="preserve">本项目在厂区西北侧、东南侧各设置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个地下水观测井，即在上游、下</w:t>
      </w:r>
      <w:r>
        <w:rPr>
          <w:rFonts w:ascii="宋体" w:hAnsi="宋体" w:eastAsia="宋体" w:cs="宋体"/>
          <w:spacing w:val="3"/>
          <w:sz w:val="23"/>
          <w:szCs w:val="23"/>
        </w:rPr>
        <w:t>游</w:t>
      </w:r>
      <w:r>
        <w:rPr>
          <w:rFonts w:ascii="宋体" w:hAnsi="宋体" w:eastAsia="宋体" w:cs="宋体"/>
          <w:sz w:val="23"/>
          <w:szCs w:val="23"/>
        </w:rPr>
        <w:t xml:space="preserve">各 </w:t>
      </w:r>
      <w:r>
        <w:rPr>
          <w:rFonts w:ascii="宋体" w:hAnsi="宋体" w:eastAsia="宋体" w:cs="宋体"/>
          <w:spacing w:val="10"/>
          <w:sz w:val="23"/>
          <w:szCs w:val="23"/>
        </w:rPr>
        <w:t>设</w:t>
      </w:r>
      <w:r>
        <w:rPr>
          <w:rFonts w:ascii="宋体" w:hAnsi="宋体" w:eastAsia="宋体" w:cs="宋体"/>
          <w:spacing w:val="5"/>
          <w:sz w:val="23"/>
          <w:szCs w:val="23"/>
        </w:rPr>
        <w:t xml:space="preserve">置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个地下水观测井，作为地下水环境影响跟踪监测点，西北侧、东南侧观测</w:t>
      </w:r>
      <w:r>
        <w:rPr>
          <w:rFonts w:ascii="宋体" w:hAnsi="宋体" w:eastAsia="宋体" w:cs="宋体"/>
          <w:sz w:val="23"/>
          <w:szCs w:val="23"/>
        </w:rPr>
        <w:t xml:space="preserve"> </w:t>
      </w:r>
      <w:r>
        <w:rPr>
          <w:rFonts w:ascii="宋体" w:hAnsi="宋体" w:eastAsia="宋体" w:cs="宋体"/>
          <w:spacing w:val="2"/>
          <w:sz w:val="23"/>
          <w:szCs w:val="23"/>
        </w:rPr>
        <w:t xml:space="preserve">井距离本项目均约 </w:t>
      </w:r>
      <w:r>
        <w:rPr>
          <w:rFonts w:ascii="Times New Roman" w:hAnsi="Times New Roman" w:eastAsia="Times New Roman" w:cs="Times New Roman"/>
          <w:spacing w:val="2"/>
          <w:sz w:val="23"/>
          <w:szCs w:val="23"/>
        </w:rPr>
        <w:t>50</w:t>
      </w:r>
      <w:r>
        <w:rPr>
          <w:rFonts w:ascii="Times New Roman" w:hAnsi="Times New Roman" w:eastAsia="Times New Roman" w:cs="Times New Roman"/>
          <w:sz w:val="23"/>
          <w:szCs w:val="23"/>
        </w:rPr>
        <w:t>m</w:t>
      </w:r>
      <w:r>
        <w:rPr>
          <w:rFonts w:ascii="宋体" w:hAnsi="宋体" w:eastAsia="宋体" w:cs="宋体"/>
          <w:spacing w:val="2"/>
          <w:sz w:val="23"/>
          <w:szCs w:val="23"/>
        </w:rPr>
        <w:t xml:space="preserve">。污染源下游 </w:t>
      </w:r>
      <w:r>
        <w:rPr>
          <w:rFonts w:ascii="Times New Roman" w:hAnsi="Times New Roman" w:eastAsia="Times New Roman" w:cs="Times New Roman"/>
          <w:spacing w:val="2"/>
          <w:sz w:val="23"/>
          <w:szCs w:val="23"/>
        </w:rPr>
        <w:t xml:space="preserve">50 </w:t>
      </w:r>
      <w:r>
        <w:rPr>
          <w:rFonts w:ascii="宋体" w:hAnsi="宋体" w:eastAsia="宋体" w:cs="宋体"/>
          <w:spacing w:val="2"/>
          <w:sz w:val="23"/>
          <w:szCs w:val="23"/>
        </w:rPr>
        <w:t xml:space="preserve">米处在 </w:t>
      </w:r>
      <w:r>
        <w:rPr>
          <w:rFonts w:ascii="Times New Roman" w:hAnsi="Times New Roman" w:eastAsia="Times New Roman" w:cs="Times New Roman"/>
          <w:spacing w:val="2"/>
          <w:sz w:val="23"/>
          <w:szCs w:val="23"/>
        </w:rPr>
        <w:t xml:space="preserve">14 </w:t>
      </w:r>
      <w:r>
        <w:rPr>
          <w:rFonts w:ascii="宋体" w:hAnsi="宋体" w:eastAsia="宋体" w:cs="宋体"/>
          <w:spacing w:val="1"/>
          <w:sz w:val="23"/>
          <w:szCs w:val="23"/>
        </w:rPr>
        <w:t>天时本项目氨氮污染物贡献浓</w:t>
      </w:r>
      <w:r>
        <w:rPr>
          <w:rFonts w:ascii="宋体" w:hAnsi="宋体" w:eastAsia="宋体" w:cs="宋体"/>
          <w:sz w:val="23"/>
          <w:szCs w:val="23"/>
        </w:rPr>
        <w:t xml:space="preserve"> </w:t>
      </w:r>
      <w:r>
        <w:rPr>
          <w:rFonts w:ascii="宋体" w:hAnsi="宋体" w:eastAsia="宋体" w:cs="宋体"/>
          <w:spacing w:val="10"/>
          <w:sz w:val="23"/>
          <w:szCs w:val="23"/>
        </w:rPr>
        <w:t>度</w:t>
      </w:r>
      <w:r>
        <w:rPr>
          <w:rFonts w:ascii="宋体" w:hAnsi="宋体" w:eastAsia="宋体" w:cs="宋体"/>
          <w:spacing w:val="9"/>
          <w:sz w:val="23"/>
          <w:szCs w:val="23"/>
        </w:rPr>
        <w:t>达</w:t>
      </w:r>
      <w:r>
        <w:rPr>
          <w:rFonts w:ascii="宋体" w:hAnsi="宋体" w:eastAsia="宋体" w:cs="宋体"/>
          <w:spacing w:val="5"/>
          <w:sz w:val="23"/>
          <w:szCs w:val="23"/>
        </w:rPr>
        <w:t xml:space="preserve">到 </w:t>
      </w:r>
      <w:r>
        <w:rPr>
          <w:rFonts w:ascii="Times New Roman" w:hAnsi="Times New Roman" w:eastAsia="Times New Roman" w:cs="Times New Roman"/>
          <w:spacing w:val="5"/>
          <w:sz w:val="23"/>
          <w:szCs w:val="23"/>
        </w:rPr>
        <w:t>0.698</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，出现超标浓度，对该处地下水产生影响； 因此检测频率 </w:t>
      </w:r>
      <w:r>
        <w:rPr>
          <w:rFonts w:ascii="Times New Roman" w:hAnsi="Times New Roman" w:eastAsia="Times New Roman" w:cs="Times New Roman"/>
          <w:spacing w:val="5"/>
          <w:sz w:val="23"/>
          <w:szCs w:val="23"/>
        </w:rPr>
        <w:t>14</w:t>
      </w:r>
      <w:r>
        <w:rPr>
          <w:rFonts w:ascii="Times New Roman" w:hAnsi="Times New Roman" w:eastAsia="Times New Roman" w:cs="Times New Roman"/>
          <w:sz w:val="23"/>
          <w:szCs w:val="23"/>
        </w:rPr>
        <w:t xml:space="preserve"> </w:t>
      </w:r>
      <w:r>
        <w:rPr>
          <w:rFonts w:ascii="宋体" w:hAnsi="宋体" w:eastAsia="宋体" w:cs="宋体"/>
          <w:spacing w:val="1"/>
          <w:sz w:val="23"/>
          <w:szCs w:val="23"/>
        </w:rPr>
        <w:t>天一次为宜，由于设定采取的渗漏检测发现及修</w:t>
      </w:r>
      <w:r>
        <w:rPr>
          <w:rFonts w:ascii="宋体" w:hAnsi="宋体" w:eastAsia="宋体" w:cs="宋体"/>
          <w:sz w:val="23"/>
          <w:szCs w:val="23"/>
        </w:rPr>
        <w:t xml:space="preserve">复非正常工况时间为 </w:t>
      </w:r>
      <w:r>
        <w:rPr>
          <w:rFonts w:ascii="Times New Roman" w:hAnsi="Times New Roman" w:eastAsia="Times New Roman" w:cs="Times New Roman"/>
          <w:sz w:val="23"/>
          <w:szCs w:val="23"/>
        </w:rPr>
        <w:t xml:space="preserve">7 </w:t>
      </w:r>
      <w:r>
        <w:rPr>
          <w:rFonts w:ascii="宋体" w:hAnsi="宋体" w:eastAsia="宋体" w:cs="宋体"/>
          <w:sz w:val="23"/>
          <w:szCs w:val="23"/>
        </w:rPr>
        <w:t xml:space="preserve">天，因此， </w:t>
      </w:r>
      <w:r>
        <w:rPr>
          <w:rFonts w:ascii="宋体" w:hAnsi="宋体" w:eastAsia="宋体" w:cs="宋体"/>
          <w:spacing w:val="17"/>
          <w:sz w:val="23"/>
          <w:szCs w:val="23"/>
        </w:rPr>
        <w:t>在</w:t>
      </w:r>
      <w:r>
        <w:rPr>
          <w:rFonts w:ascii="宋体" w:hAnsi="宋体" w:eastAsia="宋体" w:cs="宋体"/>
          <w:spacing w:val="9"/>
          <w:sz w:val="23"/>
          <w:szCs w:val="23"/>
        </w:rPr>
        <w:t>此期间做好监测监管，本项目的地下水环境风险可以接受。</w:t>
      </w:r>
    </w:p>
    <w:p w14:paraId="06218F5F">
      <w:pPr>
        <w:spacing w:before="100"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8"/>
          <w:sz w:val="29"/>
          <w:szCs w:val="29"/>
        </w:rPr>
        <w:t>5</w:t>
      </w:r>
      <w:r>
        <w:rPr>
          <w:rFonts w:ascii="Times New Roman" w:hAnsi="Times New Roman" w:eastAsia="Times New Roman" w:cs="Times New Roman"/>
          <w:b/>
          <w:bCs/>
          <w:spacing w:val="7"/>
          <w:sz w:val="29"/>
          <w:szCs w:val="29"/>
        </w:rPr>
        <w:t>.2.4</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运营期噪声影响预测</w:t>
      </w:r>
    </w:p>
    <w:p w14:paraId="77804B3A">
      <w:pPr>
        <w:spacing w:line="255" w:lineRule="auto"/>
        <w:rPr>
          <w:rFonts w:ascii="Arial"/>
          <w:sz w:val="21"/>
        </w:rPr>
      </w:pPr>
    </w:p>
    <w:p w14:paraId="4E966CCF">
      <w:pPr>
        <w:spacing w:before="75" w:line="228" w:lineRule="auto"/>
        <w:ind w:left="632"/>
        <w:rPr>
          <w:rFonts w:ascii="宋体" w:hAnsi="宋体" w:eastAsia="宋体" w:cs="宋体"/>
          <w:sz w:val="23"/>
          <w:szCs w:val="23"/>
        </w:rPr>
      </w:pPr>
      <w:r>
        <w:rPr>
          <w:rFonts w:ascii="宋体" w:hAnsi="宋体" w:eastAsia="宋体" w:cs="宋体"/>
          <w:spacing w:val="33"/>
          <w:sz w:val="23"/>
          <w:szCs w:val="23"/>
        </w:rPr>
        <w:t>(</w:t>
      </w:r>
      <w:r>
        <w:rPr>
          <w:rFonts w:ascii="Times New Roman" w:hAnsi="Times New Roman" w:eastAsia="Times New Roman" w:cs="Times New Roman"/>
          <w:spacing w:val="26"/>
          <w:sz w:val="23"/>
          <w:szCs w:val="23"/>
        </w:rPr>
        <w:t>1</w:t>
      </w:r>
      <w:r>
        <w:rPr>
          <w:rFonts w:ascii="宋体" w:hAnsi="宋体" w:eastAsia="宋体" w:cs="宋体"/>
          <w:spacing w:val="26"/>
          <w:sz w:val="23"/>
          <w:szCs w:val="23"/>
        </w:rPr>
        <w:t>) 噪声源强分析</w:t>
      </w:r>
    </w:p>
    <w:p w14:paraId="5AA1F662">
      <w:pPr>
        <w:spacing w:line="274" w:lineRule="auto"/>
        <w:rPr>
          <w:rFonts w:ascii="Arial"/>
          <w:sz w:val="21"/>
        </w:rPr>
      </w:pPr>
    </w:p>
    <w:p w14:paraId="7A262344">
      <w:pPr>
        <w:spacing w:before="75" w:line="391" w:lineRule="auto"/>
        <w:ind w:left="118" w:right="107" w:firstLine="485"/>
        <w:rPr>
          <w:rFonts w:ascii="宋体" w:hAnsi="宋体" w:eastAsia="宋体" w:cs="宋体"/>
          <w:sz w:val="23"/>
          <w:szCs w:val="23"/>
        </w:rPr>
      </w:pPr>
      <w:r>
        <w:rPr>
          <w:rFonts w:ascii="宋体" w:hAnsi="宋体" w:eastAsia="宋体" w:cs="宋体"/>
          <w:spacing w:val="12"/>
          <w:sz w:val="23"/>
          <w:szCs w:val="23"/>
        </w:rPr>
        <w:t>项目噪</w:t>
      </w:r>
      <w:r>
        <w:rPr>
          <w:rFonts w:ascii="宋体" w:hAnsi="宋体" w:eastAsia="宋体" w:cs="宋体"/>
          <w:spacing w:val="10"/>
          <w:sz w:val="23"/>
          <w:szCs w:val="23"/>
        </w:rPr>
        <w:t>声</w:t>
      </w:r>
      <w:r>
        <w:rPr>
          <w:rFonts w:ascii="宋体" w:hAnsi="宋体" w:eastAsia="宋体" w:cs="宋体"/>
          <w:spacing w:val="6"/>
          <w:sz w:val="23"/>
          <w:szCs w:val="23"/>
        </w:rPr>
        <w:t>主要为生产设备运行中辐射噪声，产生较大噪声的噪声源主要有各</w:t>
      </w:r>
      <w:r>
        <w:rPr>
          <w:rFonts w:ascii="宋体" w:hAnsi="宋体" w:eastAsia="宋体" w:cs="宋体"/>
          <w:sz w:val="23"/>
          <w:szCs w:val="23"/>
        </w:rPr>
        <w:t xml:space="preserve"> </w:t>
      </w:r>
      <w:r>
        <w:rPr>
          <w:rFonts w:ascii="宋体" w:hAnsi="宋体" w:eastAsia="宋体" w:cs="宋体"/>
          <w:spacing w:val="8"/>
          <w:sz w:val="23"/>
          <w:szCs w:val="23"/>
        </w:rPr>
        <w:t>喂</w:t>
      </w:r>
      <w:r>
        <w:rPr>
          <w:rFonts w:ascii="宋体" w:hAnsi="宋体" w:eastAsia="宋体" w:cs="宋体"/>
          <w:spacing w:val="7"/>
          <w:sz w:val="23"/>
          <w:szCs w:val="23"/>
        </w:rPr>
        <w:t>料机、洗料机、粉碎机等设备。项目所有噪声源均置于室内，噪声控制措施主</w:t>
      </w:r>
      <w:r>
        <w:rPr>
          <w:rFonts w:ascii="宋体" w:hAnsi="宋体" w:eastAsia="宋体" w:cs="宋体"/>
          <w:sz w:val="23"/>
          <w:szCs w:val="23"/>
        </w:rPr>
        <w:t xml:space="preserve"> </w:t>
      </w:r>
      <w:r>
        <w:rPr>
          <w:rFonts w:ascii="宋体" w:hAnsi="宋体" w:eastAsia="宋体" w:cs="宋体"/>
          <w:spacing w:val="9"/>
          <w:sz w:val="23"/>
          <w:szCs w:val="23"/>
        </w:rPr>
        <w:t>要</w:t>
      </w:r>
      <w:r>
        <w:rPr>
          <w:rFonts w:ascii="宋体" w:hAnsi="宋体" w:eastAsia="宋体" w:cs="宋体"/>
          <w:spacing w:val="8"/>
          <w:sz w:val="23"/>
          <w:szCs w:val="23"/>
        </w:rPr>
        <w:t>是隔声、消声和减振。</w:t>
      </w:r>
    </w:p>
    <w:p w14:paraId="79CA90C9">
      <w:pPr>
        <w:spacing w:before="135" w:line="391" w:lineRule="auto"/>
        <w:ind w:left="116" w:right="107" w:firstLine="485"/>
        <w:rPr>
          <w:rFonts w:ascii="宋体" w:hAnsi="宋体" w:eastAsia="宋体" w:cs="宋体"/>
          <w:sz w:val="23"/>
          <w:szCs w:val="23"/>
        </w:rPr>
      </w:pPr>
      <w:r>
        <w:rPr>
          <w:rFonts w:ascii="宋体" w:hAnsi="宋体" w:eastAsia="宋体" w:cs="宋体"/>
          <w:spacing w:val="12"/>
          <w:sz w:val="23"/>
          <w:szCs w:val="23"/>
        </w:rPr>
        <w:t>依据项目</w:t>
      </w:r>
      <w:r>
        <w:rPr>
          <w:rFonts w:ascii="宋体" w:hAnsi="宋体" w:eastAsia="宋体" w:cs="宋体"/>
          <w:spacing w:val="6"/>
          <w:sz w:val="23"/>
          <w:szCs w:val="23"/>
        </w:rPr>
        <w:t>平面布置，项目所有噪声源均置于生产厂房内，与预测点的距离见</w:t>
      </w:r>
      <w:r>
        <w:rPr>
          <w:rFonts w:ascii="宋体" w:hAnsi="宋体" w:eastAsia="宋体" w:cs="宋体"/>
          <w:sz w:val="23"/>
          <w:szCs w:val="23"/>
        </w:rPr>
        <w:t xml:space="preserve"> </w:t>
      </w:r>
      <w:r>
        <w:rPr>
          <w:rFonts w:ascii="宋体" w:hAnsi="宋体" w:eastAsia="宋体" w:cs="宋体"/>
          <w:spacing w:val="-17"/>
          <w:sz w:val="23"/>
          <w:szCs w:val="23"/>
        </w:rPr>
        <w:t>表</w:t>
      </w:r>
      <w:r>
        <w:rPr>
          <w:rFonts w:ascii="宋体" w:hAnsi="宋体" w:eastAsia="宋体" w:cs="宋体"/>
          <w:spacing w:val="-11"/>
          <w:sz w:val="23"/>
          <w:szCs w:val="23"/>
        </w:rPr>
        <w:t xml:space="preserve"> </w:t>
      </w:r>
      <w:r>
        <w:rPr>
          <w:rFonts w:ascii="Times New Roman" w:hAnsi="Times New Roman" w:eastAsia="Times New Roman" w:cs="Times New Roman"/>
          <w:spacing w:val="-11"/>
          <w:sz w:val="23"/>
          <w:szCs w:val="23"/>
        </w:rPr>
        <w:t>5- 18</w:t>
      </w:r>
      <w:r>
        <w:rPr>
          <w:rFonts w:ascii="宋体" w:hAnsi="宋体" w:eastAsia="宋体" w:cs="宋体"/>
          <w:spacing w:val="-11"/>
          <w:sz w:val="23"/>
          <w:szCs w:val="23"/>
        </w:rPr>
        <w:t>：</w:t>
      </w:r>
    </w:p>
    <w:p w14:paraId="288EB531">
      <w:pPr>
        <w:spacing w:before="1" w:line="220" w:lineRule="auto"/>
        <w:ind w:left="25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3"/>
          <w:sz w:val="23"/>
          <w:szCs w:val="23"/>
        </w:rPr>
        <w:t>8</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噪声源距厂界的距离</w:t>
      </w: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772"/>
        <w:gridCol w:w="1507"/>
        <w:gridCol w:w="1508"/>
        <w:gridCol w:w="1508"/>
        <w:gridCol w:w="1508"/>
      </w:tblGrid>
      <w:tr w14:paraId="556ED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8" w:type="dxa"/>
            <w:tcBorders>
              <w:left w:val="nil"/>
            </w:tcBorders>
            <w:vAlign w:val="top"/>
          </w:tcPr>
          <w:p w14:paraId="13096EF9">
            <w:pPr>
              <w:spacing w:before="75" w:line="229" w:lineRule="auto"/>
              <w:ind w:left="15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772" w:type="dxa"/>
            <w:vAlign w:val="top"/>
          </w:tcPr>
          <w:p w14:paraId="098CF4F3">
            <w:pPr>
              <w:spacing w:before="76" w:line="228" w:lineRule="auto"/>
              <w:ind w:left="68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507" w:type="dxa"/>
            <w:vAlign w:val="top"/>
          </w:tcPr>
          <w:p w14:paraId="0D9B26DD">
            <w:pPr>
              <w:spacing w:before="75" w:line="228" w:lineRule="auto"/>
              <w:ind w:left="113"/>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距</w:t>
            </w:r>
            <w:r>
              <w:rPr>
                <w:rFonts w:ascii="宋体" w:hAnsi="宋体" w:eastAsia="宋体" w:cs="宋体"/>
                <w:spacing w:val="-14"/>
                <w:sz w:val="20"/>
                <w:szCs w:val="20"/>
                <w14:textOutline w14:w="3795" w14:cap="sq" w14:cmpd="sng">
                  <w14:solidFill>
                    <w14:srgbClr w14:val="000000"/>
                  </w14:solidFill>
                  <w14:prstDash w14:val="solid"/>
                  <w14:bevel/>
                </w14:textOutline>
              </w:rPr>
              <w:t>东厂界</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Times New Roman" w:hAnsi="Times New Roman" w:eastAsia="Times New Roman" w:cs="Times New Roman"/>
                <w:b/>
                <w:bCs/>
                <w:spacing w:val="-14"/>
                <w:sz w:val="20"/>
                <w:szCs w:val="20"/>
              </w:rPr>
              <w:t>m</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w:t>
            </w:r>
          </w:p>
        </w:tc>
        <w:tc>
          <w:tcPr>
            <w:tcW w:w="1508" w:type="dxa"/>
            <w:vAlign w:val="top"/>
          </w:tcPr>
          <w:p w14:paraId="1C92376F">
            <w:pPr>
              <w:spacing w:before="76" w:line="228" w:lineRule="auto"/>
              <w:ind w:left="116"/>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距</w:t>
            </w:r>
            <w:r>
              <w:rPr>
                <w:rFonts w:ascii="宋体" w:hAnsi="宋体" w:eastAsia="宋体" w:cs="宋体"/>
                <w:spacing w:val="-14"/>
                <w:sz w:val="20"/>
                <w:szCs w:val="20"/>
                <w14:textOutline w14:w="3795" w14:cap="sq" w14:cmpd="sng">
                  <w14:solidFill>
                    <w14:srgbClr w14:val="000000"/>
                  </w14:solidFill>
                  <w14:prstDash w14:val="solid"/>
                  <w14:bevel/>
                </w14:textOutline>
              </w:rPr>
              <w:t>南厂界</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Times New Roman" w:hAnsi="Times New Roman" w:eastAsia="Times New Roman" w:cs="Times New Roman"/>
                <w:b/>
                <w:bCs/>
                <w:spacing w:val="-14"/>
                <w:sz w:val="20"/>
                <w:szCs w:val="20"/>
              </w:rPr>
              <w:t>m</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w:t>
            </w:r>
          </w:p>
        </w:tc>
        <w:tc>
          <w:tcPr>
            <w:tcW w:w="1508" w:type="dxa"/>
            <w:vAlign w:val="top"/>
          </w:tcPr>
          <w:p w14:paraId="6FB6D52A">
            <w:pPr>
              <w:spacing w:before="76" w:line="228" w:lineRule="auto"/>
              <w:ind w:left="11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距</w:t>
            </w:r>
            <w:r>
              <w:rPr>
                <w:rFonts w:ascii="宋体" w:hAnsi="宋体" w:eastAsia="宋体" w:cs="宋体"/>
                <w:spacing w:val="-5"/>
                <w:sz w:val="20"/>
                <w:szCs w:val="20"/>
                <w14:textOutline w14:w="3795" w14:cap="sq" w14:cmpd="sng">
                  <w14:solidFill>
                    <w14:srgbClr w14:val="000000"/>
                  </w14:solidFill>
                  <w14:prstDash w14:val="solid"/>
                  <w14:bevel/>
                </w14:textOutline>
              </w:rPr>
              <w:t>西厂界</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1508" w:type="dxa"/>
            <w:tcBorders>
              <w:right w:val="nil"/>
            </w:tcBorders>
            <w:vAlign w:val="top"/>
          </w:tcPr>
          <w:p w14:paraId="7EFD265B">
            <w:pPr>
              <w:spacing w:before="76" w:line="228" w:lineRule="auto"/>
              <w:ind w:left="114"/>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距</w:t>
            </w:r>
            <w:r>
              <w:rPr>
                <w:rFonts w:ascii="宋体" w:hAnsi="宋体" w:eastAsia="宋体" w:cs="宋体"/>
                <w:spacing w:val="-14"/>
                <w:sz w:val="20"/>
                <w:szCs w:val="20"/>
                <w14:textOutline w14:w="3795" w14:cap="sq" w14:cmpd="sng">
                  <w14:solidFill>
                    <w14:srgbClr w14:val="000000"/>
                  </w14:solidFill>
                  <w14:prstDash w14:val="solid"/>
                  <w14:bevel/>
                </w14:textOutline>
              </w:rPr>
              <w:t>北厂界</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Times New Roman" w:hAnsi="Times New Roman" w:eastAsia="Times New Roman" w:cs="Times New Roman"/>
                <w:b/>
                <w:bCs/>
                <w:spacing w:val="-14"/>
                <w:sz w:val="20"/>
                <w:szCs w:val="20"/>
              </w:rPr>
              <w:t>m</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w:t>
            </w:r>
          </w:p>
        </w:tc>
      </w:tr>
      <w:tr w14:paraId="1A649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18" w:type="dxa"/>
            <w:tcBorders>
              <w:left w:val="nil"/>
            </w:tcBorders>
            <w:vAlign w:val="top"/>
          </w:tcPr>
          <w:p w14:paraId="151182C9">
            <w:pPr>
              <w:spacing w:before="98"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72" w:type="dxa"/>
            <w:vAlign w:val="top"/>
          </w:tcPr>
          <w:p w14:paraId="4615DB15">
            <w:pPr>
              <w:spacing w:before="62" w:line="228" w:lineRule="auto"/>
              <w:ind w:left="472"/>
              <w:rPr>
                <w:rFonts w:ascii="宋体" w:hAnsi="宋体" w:eastAsia="宋体" w:cs="宋体"/>
                <w:sz w:val="20"/>
                <w:szCs w:val="20"/>
              </w:rPr>
            </w:pPr>
            <w:r>
              <w:rPr>
                <w:rFonts w:ascii="宋体" w:hAnsi="宋体" w:eastAsia="宋体" w:cs="宋体"/>
                <w:spacing w:val="7"/>
                <w:sz w:val="20"/>
                <w:szCs w:val="20"/>
              </w:rPr>
              <w:t>生产厂</w:t>
            </w:r>
            <w:r>
              <w:rPr>
                <w:rFonts w:ascii="宋体" w:hAnsi="宋体" w:eastAsia="宋体" w:cs="宋体"/>
                <w:spacing w:val="6"/>
                <w:sz w:val="20"/>
                <w:szCs w:val="20"/>
              </w:rPr>
              <w:t>房</w:t>
            </w:r>
          </w:p>
        </w:tc>
        <w:tc>
          <w:tcPr>
            <w:tcW w:w="1507" w:type="dxa"/>
            <w:vAlign w:val="top"/>
          </w:tcPr>
          <w:p w14:paraId="4B224B41">
            <w:pPr>
              <w:spacing w:before="98"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508" w:type="dxa"/>
            <w:vAlign w:val="top"/>
          </w:tcPr>
          <w:p w14:paraId="7F6596A3">
            <w:pPr>
              <w:spacing w:before="98"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508" w:type="dxa"/>
            <w:vAlign w:val="top"/>
          </w:tcPr>
          <w:p w14:paraId="2F08BE3C">
            <w:pPr>
              <w:spacing w:before="98"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508" w:type="dxa"/>
            <w:tcBorders>
              <w:right w:val="nil"/>
            </w:tcBorders>
            <w:vAlign w:val="top"/>
          </w:tcPr>
          <w:p w14:paraId="3AA4C39A">
            <w:pPr>
              <w:spacing w:before="98"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14:paraId="6418444B">
      <w:pPr>
        <w:spacing w:line="260" w:lineRule="auto"/>
        <w:rPr>
          <w:rFonts w:ascii="Arial"/>
          <w:sz w:val="21"/>
        </w:rPr>
      </w:pPr>
    </w:p>
    <w:p w14:paraId="48AFE967">
      <w:pPr>
        <w:spacing w:before="75" w:line="227" w:lineRule="auto"/>
        <w:ind w:left="632"/>
        <w:rPr>
          <w:rFonts w:ascii="宋体" w:hAnsi="宋体" w:eastAsia="宋体" w:cs="宋体"/>
          <w:sz w:val="23"/>
          <w:szCs w:val="23"/>
        </w:rPr>
      </w:pPr>
      <w:r>
        <w:rPr>
          <w:rFonts w:ascii="宋体" w:hAnsi="宋体" w:eastAsia="宋体" w:cs="宋体"/>
          <w:spacing w:val="30"/>
          <w:sz w:val="23"/>
          <w:szCs w:val="23"/>
        </w:rPr>
        <w:t>(</w:t>
      </w:r>
      <w:r>
        <w:rPr>
          <w:rFonts w:ascii="Times New Roman" w:hAnsi="Times New Roman" w:eastAsia="Times New Roman" w:cs="Times New Roman"/>
          <w:spacing w:val="25"/>
          <w:sz w:val="23"/>
          <w:szCs w:val="23"/>
        </w:rPr>
        <w:t>2</w:t>
      </w:r>
      <w:r>
        <w:rPr>
          <w:rFonts w:ascii="宋体" w:hAnsi="宋体" w:eastAsia="宋体" w:cs="宋体"/>
          <w:spacing w:val="25"/>
          <w:sz w:val="23"/>
          <w:szCs w:val="23"/>
        </w:rPr>
        <w:t>) 厂房主要围护结构状况</w:t>
      </w:r>
    </w:p>
    <w:p w14:paraId="5872E728">
      <w:pPr>
        <w:spacing w:line="277" w:lineRule="auto"/>
        <w:rPr>
          <w:rFonts w:ascii="Arial"/>
          <w:sz w:val="21"/>
        </w:rPr>
      </w:pPr>
    </w:p>
    <w:p w14:paraId="63EAB735">
      <w:pPr>
        <w:spacing w:before="75" w:line="394" w:lineRule="auto"/>
        <w:ind w:left="116" w:right="119" w:firstLine="508"/>
        <w:rPr>
          <w:rFonts w:ascii="宋体" w:hAnsi="宋体" w:eastAsia="宋体" w:cs="宋体"/>
          <w:sz w:val="23"/>
          <w:szCs w:val="23"/>
        </w:rPr>
      </w:pPr>
      <w:r>
        <w:rPr>
          <w:rFonts w:ascii="宋体" w:hAnsi="宋体" w:eastAsia="宋体" w:cs="宋体"/>
          <w:spacing w:val="26"/>
          <w:sz w:val="23"/>
          <w:szCs w:val="23"/>
        </w:rPr>
        <w:t>项</w:t>
      </w:r>
      <w:r>
        <w:rPr>
          <w:rFonts w:ascii="宋体" w:hAnsi="宋体" w:eastAsia="宋体" w:cs="宋体"/>
          <w:spacing w:val="20"/>
          <w:sz w:val="23"/>
          <w:szCs w:val="23"/>
        </w:rPr>
        <w:t xml:space="preserve"> 目拟采取的噪声控制措施主要是对项 目各噪声源采取厂房围护结构</w:t>
      </w:r>
      <w:r>
        <w:rPr>
          <w:rFonts w:ascii="宋体" w:hAnsi="宋体" w:eastAsia="宋体" w:cs="宋体"/>
          <w:sz w:val="23"/>
          <w:szCs w:val="23"/>
        </w:rPr>
        <w:t xml:space="preserve"> </w:t>
      </w:r>
      <w:r>
        <w:rPr>
          <w:rFonts w:ascii="宋体" w:hAnsi="宋体" w:eastAsia="宋体" w:cs="宋体"/>
          <w:spacing w:val="23"/>
          <w:sz w:val="23"/>
          <w:szCs w:val="23"/>
        </w:rPr>
        <w:t>隔</w:t>
      </w:r>
      <w:r>
        <w:rPr>
          <w:rFonts w:ascii="宋体" w:hAnsi="宋体" w:eastAsia="宋体" w:cs="宋体"/>
          <w:spacing w:val="21"/>
          <w:sz w:val="23"/>
          <w:szCs w:val="23"/>
        </w:rPr>
        <w:t>声，所有噪声设备均被置于生产车间厂房内，并对其中的较大型设备设置</w:t>
      </w:r>
      <w:r>
        <w:rPr>
          <w:rFonts w:ascii="宋体" w:hAnsi="宋体" w:eastAsia="宋体" w:cs="宋体"/>
          <w:sz w:val="23"/>
          <w:szCs w:val="23"/>
        </w:rPr>
        <w:t xml:space="preserve"> </w:t>
      </w:r>
      <w:r>
        <w:rPr>
          <w:rFonts w:ascii="宋体" w:hAnsi="宋体" w:eastAsia="宋体" w:cs="宋体"/>
          <w:spacing w:val="23"/>
          <w:sz w:val="23"/>
          <w:szCs w:val="23"/>
        </w:rPr>
        <w:t>了</w:t>
      </w:r>
      <w:r>
        <w:rPr>
          <w:rFonts w:ascii="宋体" w:hAnsi="宋体" w:eastAsia="宋体" w:cs="宋体"/>
          <w:spacing w:val="21"/>
          <w:sz w:val="23"/>
          <w:szCs w:val="23"/>
        </w:rPr>
        <w:t>基础减振。生产车间围护结构采用框架结构，通常该种结构建筑物的墙体</w:t>
      </w:r>
      <w:r>
        <w:rPr>
          <w:rFonts w:ascii="宋体" w:hAnsi="宋体" w:eastAsia="宋体" w:cs="宋体"/>
          <w:sz w:val="23"/>
          <w:szCs w:val="23"/>
        </w:rPr>
        <w:t xml:space="preserve"> </w:t>
      </w:r>
      <w:r>
        <w:rPr>
          <w:rFonts w:ascii="宋体" w:hAnsi="宋体" w:eastAsia="宋体" w:cs="宋体"/>
          <w:spacing w:val="20"/>
          <w:sz w:val="23"/>
          <w:szCs w:val="23"/>
        </w:rPr>
        <w:t>平</w:t>
      </w:r>
      <w:r>
        <w:rPr>
          <w:rFonts w:ascii="宋体" w:hAnsi="宋体" w:eastAsia="宋体" w:cs="宋体"/>
          <w:spacing w:val="12"/>
          <w:sz w:val="23"/>
          <w:szCs w:val="23"/>
        </w:rPr>
        <w:t xml:space="preserve">均隔声量均在 </w:t>
      </w:r>
      <w:r>
        <w:rPr>
          <w:rFonts w:ascii="Times New Roman" w:hAnsi="Times New Roman" w:eastAsia="Times New Roman" w:cs="Times New Roman"/>
          <w:spacing w:val="12"/>
          <w:sz w:val="23"/>
          <w:szCs w:val="23"/>
        </w:rPr>
        <w:t>30</w:t>
      </w:r>
      <w:r>
        <w:rPr>
          <w:rFonts w:ascii="Times New Roman" w:hAnsi="Times New Roman" w:eastAsia="Times New Roman" w:cs="Times New Roman"/>
          <w:sz w:val="23"/>
          <w:szCs w:val="23"/>
        </w:rPr>
        <w:t>dB</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以上。</w:t>
      </w:r>
    </w:p>
    <w:p w14:paraId="369A0403">
      <w:pPr>
        <w:spacing w:before="111" w:line="389" w:lineRule="auto"/>
        <w:ind w:left="122" w:right="119" w:firstLine="501"/>
        <w:rPr>
          <w:rFonts w:ascii="宋体" w:hAnsi="宋体" w:eastAsia="宋体" w:cs="宋体"/>
          <w:sz w:val="23"/>
          <w:szCs w:val="23"/>
        </w:rPr>
      </w:pPr>
      <w:r>
        <w:rPr>
          <w:rFonts w:ascii="宋体" w:hAnsi="宋体" w:eastAsia="宋体" w:cs="宋体"/>
          <w:spacing w:val="12"/>
          <w:sz w:val="23"/>
          <w:szCs w:val="23"/>
        </w:rPr>
        <w:t>参</w:t>
      </w:r>
      <w:r>
        <w:rPr>
          <w:rFonts w:ascii="宋体" w:hAnsi="宋体" w:eastAsia="宋体" w:cs="宋体"/>
          <w:spacing w:val="7"/>
          <w:sz w:val="23"/>
          <w:szCs w:val="23"/>
        </w:rPr>
        <w:t>考</w:t>
      </w:r>
      <w:r>
        <w:rPr>
          <w:rFonts w:ascii="宋体" w:hAnsi="宋体" w:eastAsia="宋体" w:cs="宋体"/>
          <w:spacing w:val="6"/>
          <w:sz w:val="23"/>
          <w:szCs w:val="23"/>
        </w:rPr>
        <w:t xml:space="preserve">冶金工业出版社出版的《工业企业环境保护》 ， </w:t>
      </w:r>
      <w:r>
        <w:rPr>
          <w:rFonts w:ascii="Times New Roman" w:hAnsi="Times New Roman" w:eastAsia="Times New Roman" w:cs="Times New Roman"/>
          <w:spacing w:val="6"/>
          <w:sz w:val="23"/>
          <w:szCs w:val="23"/>
        </w:rPr>
        <w:t xml:space="preserve">α </w:t>
      </w:r>
      <w:r>
        <w:rPr>
          <w:rFonts w:ascii="宋体" w:hAnsi="宋体" w:eastAsia="宋体" w:cs="宋体"/>
          <w:spacing w:val="6"/>
          <w:sz w:val="23"/>
          <w:szCs w:val="23"/>
        </w:rPr>
        <w:t xml:space="preserve">取 </w:t>
      </w:r>
      <w:r>
        <w:rPr>
          <w:rFonts w:ascii="Times New Roman" w:hAnsi="Times New Roman" w:eastAsia="Times New Roman" w:cs="Times New Roman"/>
          <w:spacing w:val="6"/>
          <w:sz w:val="23"/>
          <w:szCs w:val="23"/>
        </w:rPr>
        <w:t>0. 10</w:t>
      </w:r>
      <w:r>
        <w:rPr>
          <w:rFonts w:ascii="宋体" w:hAnsi="宋体" w:eastAsia="宋体" w:cs="宋体"/>
          <w:spacing w:val="6"/>
          <w:sz w:val="23"/>
          <w:szCs w:val="23"/>
        </w:rPr>
        <w:t>； 厂房透</w:t>
      </w:r>
      <w:r>
        <w:rPr>
          <w:rFonts w:ascii="宋体" w:hAnsi="宋体" w:eastAsia="宋体" w:cs="宋体"/>
          <w:sz w:val="23"/>
          <w:szCs w:val="23"/>
        </w:rPr>
        <w:t xml:space="preserve"> </w:t>
      </w:r>
      <w:r>
        <w:rPr>
          <w:rFonts w:ascii="宋体" w:hAnsi="宋体" w:eastAsia="宋体" w:cs="宋体"/>
          <w:spacing w:val="6"/>
          <w:sz w:val="23"/>
          <w:szCs w:val="23"/>
        </w:rPr>
        <w:t>声系</w:t>
      </w:r>
      <w:r>
        <w:rPr>
          <w:rFonts w:ascii="宋体" w:hAnsi="宋体" w:eastAsia="宋体" w:cs="宋体"/>
          <w:spacing w:val="5"/>
          <w:sz w:val="23"/>
          <w:szCs w:val="23"/>
        </w:rPr>
        <w:t>数</w:t>
      </w:r>
      <w:r>
        <w:rPr>
          <w:rFonts w:ascii="宋体" w:hAnsi="宋体" w:eastAsia="宋体" w:cs="宋体"/>
          <w:spacing w:val="3"/>
          <w:sz w:val="23"/>
          <w:szCs w:val="23"/>
        </w:rPr>
        <w:t xml:space="preserve">取 </w:t>
      </w:r>
      <w:r>
        <w:rPr>
          <w:rFonts w:ascii="Times New Roman" w:hAnsi="Times New Roman" w:eastAsia="Times New Roman" w:cs="Times New Roman"/>
          <w:spacing w:val="3"/>
          <w:sz w:val="23"/>
          <w:szCs w:val="23"/>
        </w:rPr>
        <w:t>10</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3"/>
          <w:szCs w:val="23"/>
        </w:rPr>
        <w:t>；</w:t>
      </w:r>
      <w:r>
        <w:rPr>
          <w:rFonts w:ascii="Times New Roman" w:hAnsi="Times New Roman" w:eastAsia="Times New Roman" w:cs="Times New Roman"/>
          <w:sz w:val="23"/>
          <w:szCs w:val="23"/>
        </w:rPr>
        <w:t>Q</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值取 </w:t>
      </w:r>
      <w:r>
        <w:rPr>
          <w:rFonts w:ascii="Times New Roman" w:hAnsi="Times New Roman" w:eastAsia="Times New Roman" w:cs="Times New Roman"/>
          <w:spacing w:val="3"/>
          <w:sz w:val="23"/>
          <w:szCs w:val="23"/>
        </w:rPr>
        <w:t>2</w:t>
      </w:r>
      <w:r>
        <w:rPr>
          <w:rFonts w:ascii="宋体" w:hAnsi="宋体" w:eastAsia="宋体" w:cs="宋体"/>
          <w:spacing w:val="3"/>
          <w:sz w:val="23"/>
          <w:szCs w:val="23"/>
        </w:rPr>
        <w:t>。</w:t>
      </w:r>
    </w:p>
    <w:p w14:paraId="5EEAA2C6">
      <w:pPr>
        <w:spacing w:before="147" w:line="226" w:lineRule="auto"/>
        <w:ind w:left="632"/>
        <w:rPr>
          <w:rFonts w:ascii="宋体" w:hAnsi="宋体" w:eastAsia="宋体" w:cs="宋体"/>
          <w:sz w:val="23"/>
          <w:szCs w:val="23"/>
        </w:rPr>
      </w:pPr>
      <w:r>
        <w:rPr>
          <w:rFonts w:ascii="宋体" w:hAnsi="宋体" w:eastAsia="宋体" w:cs="宋体"/>
          <w:spacing w:val="33"/>
          <w:sz w:val="23"/>
          <w:szCs w:val="23"/>
        </w:rPr>
        <w:t>(</w:t>
      </w:r>
      <w:r>
        <w:rPr>
          <w:rFonts w:ascii="Times New Roman" w:hAnsi="Times New Roman" w:eastAsia="Times New Roman" w:cs="Times New Roman"/>
          <w:spacing w:val="25"/>
          <w:sz w:val="23"/>
          <w:szCs w:val="23"/>
        </w:rPr>
        <w:t>3</w:t>
      </w:r>
      <w:r>
        <w:rPr>
          <w:rFonts w:ascii="宋体" w:hAnsi="宋体" w:eastAsia="宋体" w:cs="宋体"/>
          <w:spacing w:val="25"/>
          <w:sz w:val="23"/>
          <w:szCs w:val="23"/>
        </w:rPr>
        <w:t>) 噪声影响预测与评价</w:t>
      </w:r>
    </w:p>
    <w:p w14:paraId="5F7E7AF0">
      <w:pPr>
        <w:spacing w:line="278" w:lineRule="auto"/>
        <w:rPr>
          <w:rFonts w:ascii="Arial"/>
          <w:sz w:val="21"/>
        </w:rPr>
      </w:pPr>
    </w:p>
    <w:p w14:paraId="2F3B5C67">
      <w:pPr>
        <w:spacing w:before="75" w:line="225" w:lineRule="auto"/>
        <w:ind w:left="596"/>
        <w:rPr>
          <w:rFonts w:ascii="宋体" w:hAnsi="宋体" w:eastAsia="宋体" w:cs="宋体"/>
          <w:sz w:val="23"/>
          <w:szCs w:val="23"/>
        </w:rPr>
      </w:pPr>
      <w:r>
        <w:rPr>
          <w:rFonts w:ascii="宋体" w:hAnsi="宋体" w:eastAsia="宋体" w:cs="宋体"/>
          <w:spacing w:val="9"/>
          <w:sz w:val="23"/>
          <w:szCs w:val="23"/>
        </w:rPr>
        <w:t>①</w:t>
      </w:r>
      <w:r>
        <w:rPr>
          <w:rFonts w:ascii="宋体" w:hAnsi="宋体" w:eastAsia="宋体" w:cs="宋体"/>
          <w:spacing w:val="8"/>
          <w:sz w:val="23"/>
          <w:szCs w:val="23"/>
        </w:rPr>
        <w:t>预测工况</w:t>
      </w:r>
    </w:p>
    <w:p w14:paraId="11170E26">
      <w:pPr>
        <w:spacing w:line="279" w:lineRule="auto"/>
        <w:rPr>
          <w:rFonts w:ascii="Arial"/>
          <w:sz w:val="21"/>
        </w:rPr>
      </w:pPr>
    </w:p>
    <w:p w14:paraId="5FE8E9E3">
      <w:pPr>
        <w:spacing w:before="76" w:line="227" w:lineRule="auto"/>
        <w:ind w:left="602"/>
        <w:rPr>
          <w:rFonts w:ascii="宋体" w:hAnsi="宋体" w:eastAsia="宋体" w:cs="宋体"/>
          <w:sz w:val="23"/>
          <w:szCs w:val="23"/>
        </w:rPr>
      </w:pPr>
      <w:r>
        <w:rPr>
          <w:rFonts w:ascii="宋体" w:hAnsi="宋体" w:eastAsia="宋体" w:cs="宋体"/>
          <w:spacing w:val="11"/>
          <w:sz w:val="23"/>
          <w:szCs w:val="23"/>
        </w:rPr>
        <w:t>处</w:t>
      </w:r>
      <w:r>
        <w:rPr>
          <w:rFonts w:ascii="宋体" w:hAnsi="宋体" w:eastAsia="宋体" w:cs="宋体"/>
          <w:spacing w:val="9"/>
          <w:sz w:val="23"/>
          <w:szCs w:val="23"/>
        </w:rPr>
        <w:t>于生产状态，预测多台设备同时运行，平均辐射噪声工况。</w:t>
      </w:r>
    </w:p>
    <w:p w14:paraId="7F41BCBE">
      <w:pPr>
        <w:sectPr>
          <w:headerReference r:id="rId239" w:type="default"/>
          <w:footerReference r:id="rId240" w:type="default"/>
          <w:pgSz w:w="11906" w:h="16839"/>
          <w:pgMar w:top="1132" w:right="1691" w:bottom="1182" w:left="1691" w:header="878" w:footer="1022" w:gutter="0"/>
          <w:cols w:space="720" w:num="1"/>
        </w:sectPr>
      </w:pPr>
    </w:p>
    <w:p w14:paraId="69D77A17">
      <w:pPr>
        <w:spacing w:line="409" w:lineRule="auto"/>
        <w:rPr>
          <w:rFonts w:ascii="Arial"/>
          <w:sz w:val="21"/>
        </w:rPr>
      </w:pPr>
      <w:r>
        <w:pict>
          <v:shape id="_x0000_s1283" o:spid="_x0000_s1283" style="position:absolute;left:0pt;margin-left:90pt;margin-top:57.35pt;height:0.75pt;width:415.3pt;mso-position-horizontal-relative:page;mso-position-vertical-relative:page;z-index:251936768;mso-width-relative:page;mso-height-relative:page;" fillcolor="#000000" filled="t" stroked="f" coordsize="8305,15" o:allowincell="f" path="m0,0l8305,0,8305,14,0,14,0,0xe">
            <v:path/>
            <v:fill on="t" focussize="0,0"/>
            <v:stroke on="f"/>
            <v:imagedata o:title=""/>
            <o:lock v:ext="edit"/>
          </v:shape>
        </w:pict>
      </w:r>
    </w:p>
    <w:p w14:paraId="4F89C3C8">
      <w:pPr>
        <w:spacing w:before="74" w:line="225" w:lineRule="auto"/>
        <w:ind w:left="501"/>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8"/>
          <w:sz w:val="23"/>
          <w:szCs w:val="23"/>
        </w:rPr>
        <w:t>预测时段</w:t>
      </w:r>
    </w:p>
    <w:p w14:paraId="34BD328A">
      <w:pPr>
        <w:spacing w:line="279" w:lineRule="auto"/>
        <w:rPr>
          <w:rFonts w:ascii="Arial"/>
          <w:sz w:val="21"/>
        </w:rPr>
      </w:pPr>
    </w:p>
    <w:p w14:paraId="7BF751A7">
      <w:pPr>
        <w:spacing w:before="74" w:line="228" w:lineRule="auto"/>
        <w:ind w:left="507"/>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9"/>
          <w:sz w:val="23"/>
          <w:szCs w:val="23"/>
        </w:rPr>
        <w:t>目昼间、夜间均生产，因此，预测时段确定为昼间、夜间。</w:t>
      </w:r>
    </w:p>
    <w:p w14:paraId="40100DCF">
      <w:pPr>
        <w:spacing w:line="275" w:lineRule="auto"/>
        <w:rPr>
          <w:rFonts w:ascii="Arial"/>
          <w:sz w:val="21"/>
        </w:rPr>
      </w:pPr>
    </w:p>
    <w:p w14:paraId="18C49654">
      <w:pPr>
        <w:spacing w:before="75" w:line="225" w:lineRule="auto"/>
        <w:ind w:left="501"/>
        <w:rPr>
          <w:rFonts w:ascii="宋体" w:hAnsi="宋体" w:eastAsia="宋体" w:cs="宋体"/>
          <w:sz w:val="23"/>
          <w:szCs w:val="23"/>
        </w:rPr>
      </w:pPr>
      <w:r>
        <w:rPr>
          <w:rFonts w:ascii="宋体" w:hAnsi="宋体" w:eastAsia="宋体" w:cs="宋体"/>
          <w:spacing w:val="10"/>
          <w:sz w:val="23"/>
          <w:szCs w:val="23"/>
        </w:rPr>
        <w:t>③</w:t>
      </w:r>
      <w:r>
        <w:rPr>
          <w:rFonts w:ascii="宋体" w:hAnsi="宋体" w:eastAsia="宋体" w:cs="宋体"/>
          <w:spacing w:val="8"/>
          <w:sz w:val="23"/>
          <w:szCs w:val="23"/>
        </w:rPr>
        <w:t>预测点位</w:t>
      </w:r>
    </w:p>
    <w:p w14:paraId="33EA5478">
      <w:pPr>
        <w:spacing w:line="280" w:lineRule="auto"/>
        <w:rPr>
          <w:rFonts w:ascii="Arial"/>
          <w:sz w:val="21"/>
        </w:rPr>
      </w:pPr>
    </w:p>
    <w:p w14:paraId="794EB3F8">
      <w:pPr>
        <w:spacing w:before="74" w:line="393" w:lineRule="auto"/>
        <w:ind w:left="25" w:right="13" w:firstLine="479"/>
        <w:rPr>
          <w:rFonts w:ascii="宋体" w:hAnsi="宋体" w:eastAsia="宋体" w:cs="宋体"/>
          <w:sz w:val="23"/>
          <w:szCs w:val="23"/>
        </w:rPr>
      </w:pPr>
      <w:r>
        <w:rPr>
          <w:rFonts w:ascii="宋体" w:hAnsi="宋体" w:eastAsia="宋体" w:cs="宋体"/>
          <w:spacing w:val="7"/>
          <w:sz w:val="23"/>
          <w:szCs w:val="23"/>
        </w:rPr>
        <w:t>本项目场界距敏感目标较远，本项目噪声对其影响微乎其微，因此，本项</w:t>
      </w:r>
      <w:r>
        <w:rPr>
          <w:rFonts w:ascii="宋体" w:hAnsi="宋体" w:eastAsia="宋体" w:cs="宋体"/>
          <w:spacing w:val="2"/>
          <w:sz w:val="23"/>
          <w:szCs w:val="23"/>
        </w:rPr>
        <w:t>目</w:t>
      </w:r>
      <w:r>
        <w:rPr>
          <w:rFonts w:ascii="宋体" w:hAnsi="宋体" w:eastAsia="宋体" w:cs="宋体"/>
          <w:sz w:val="23"/>
          <w:szCs w:val="23"/>
        </w:rPr>
        <w:t xml:space="preserve"> </w:t>
      </w:r>
      <w:r>
        <w:rPr>
          <w:rFonts w:ascii="宋体" w:hAnsi="宋体" w:eastAsia="宋体" w:cs="宋体"/>
          <w:spacing w:val="7"/>
          <w:sz w:val="23"/>
          <w:szCs w:val="23"/>
        </w:rPr>
        <w:t>预</w:t>
      </w:r>
      <w:r>
        <w:rPr>
          <w:rFonts w:ascii="宋体" w:hAnsi="宋体" w:eastAsia="宋体" w:cs="宋体"/>
          <w:spacing w:val="5"/>
          <w:sz w:val="23"/>
          <w:szCs w:val="23"/>
        </w:rPr>
        <w:t xml:space="preserve">测点位确定为项目厂界四周外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处。</w:t>
      </w:r>
    </w:p>
    <w:p w14:paraId="24F175D6">
      <w:pPr>
        <w:spacing w:before="136" w:line="225" w:lineRule="auto"/>
        <w:ind w:left="501"/>
        <w:rPr>
          <w:rFonts w:ascii="宋体" w:hAnsi="宋体" w:eastAsia="宋体" w:cs="宋体"/>
          <w:sz w:val="23"/>
          <w:szCs w:val="23"/>
        </w:rPr>
      </w:pPr>
      <w:r>
        <w:rPr>
          <w:rFonts w:ascii="宋体" w:hAnsi="宋体" w:eastAsia="宋体" w:cs="宋体"/>
          <w:spacing w:val="10"/>
          <w:sz w:val="23"/>
          <w:szCs w:val="23"/>
        </w:rPr>
        <w:t>④</w:t>
      </w:r>
      <w:r>
        <w:rPr>
          <w:rFonts w:ascii="宋体" w:hAnsi="宋体" w:eastAsia="宋体" w:cs="宋体"/>
          <w:spacing w:val="8"/>
          <w:sz w:val="23"/>
          <w:szCs w:val="23"/>
        </w:rPr>
        <w:t>预测方法</w:t>
      </w:r>
    </w:p>
    <w:p w14:paraId="0FA7A589">
      <w:pPr>
        <w:spacing w:line="280" w:lineRule="auto"/>
        <w:rPr>
          <w:rFonts w:ascii="Arial"/>
          <w:sz w:val="21"/>
        </w:rPr>
      </w:pPr>
    </w:p>
    <w:p w14:paraId="60B0075B">
      <w:pPr>
        <w:spacing w:before="76" w:line="389" w:lineRule="auto"/>
        <w:ind w:left="21" w:right="8" w:firstLine="483"/>
        <w:rPr>
          <w:rFonts w:ascii="宋体" w:hAnsi="宋体" w:eastAsia="宋体" w:cs="宋体"/>
          <w:sz w:val="23"/>
          <w:szCs w:val="23"/>
        </w:rPr>
      </w:pPr>
      <w:r>
        <w:rPr>
          <w:rFonts w:ascii="宋体" w:hAnsi="宋体" w:eastAsia="宋体" w:cs="宋体"/>
          <w:spacing w:val="8"/>
          <w:sz w:val="23"/>
          <w:szCs w:val="23"/>
        </w:rPr>
        <w:t>按照《环境影响</w:t>
      </w:r>
      <w:r>
        <w:rPr>
          <w:rFonts w:ascii="宋体" w:hAnsi="宋体" w:eastAsia="宋体" w:cs="宋体"/>
          <w:spacing w:val="5"/>
          <w:sz w:val="23"/>
          <w:szCs w:val="23"/>
        </w:rPr>
        <w:t>评</w:t>
      </w:r>
      <w:r>
        <w:rPr>
          <w:rFonts w:ascii="宋体" w:hAnsi="宋体" w:eastAsia="宋体" w:cs="宋体"/>
          <w:spacing w:val="4"/>
          <w:sz w:val="23"/>
          <w:szCs w:val="23"/>
        </w:rPr>
        <w:t>价技术导则</w:t>
      </w:r>
      <w:r>
        <w:rPr>
          <w:rFonts w:ascii="Times New Roman" w:hAnsi="Times New Roman" w:eastAsia="Times New Roman" w:cs="Times New Roman"/>
          <w:spacing w:val="4"/>
          <w:sz w:val="23"/>
          <w:szCs w:val="23"/>
        </w:rPr>
        <w:t>—</w:t>
      </w:r>
      <w:r>
        <w:rPr>
          <w:rFonts w:ascii="宋体" w:hAnsi="宋体" w:eastAsia="宋体" w:cs="宋体"/>
          <w:spacing w:val="4"/>
          <w:sz w:val="23"/>
          <w:szCs w:val="23"/>
        </w:rPr>
        <w:t>声环境》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2.4-2009</w:t>
      </w:r>
      <w:r>
        <w:rPr>
          <w:rFonts w:ascii="宋体" w:hAnsi="宋体" w:eastAsia="宋体" w:cs="宋体"/>
          <w:spacing w:val="4"/>
          <w:sz w:val="23"/>
          <w:szCs w:val="23"/>
        </w:rPr>
        <w:t>) 中规定的点源模式</w:t>
      </w:r>
      <w:r>
        <w:rPr>
          <w:rFonts w:ascii="宋体" w:hAnsi="宋体" w:eastAsia="宋体" w:cs="宋体"/>
          <w:sz w:val="23"/>
          <w:szCs w:val="23"/>
        </w:rPr>
        <w:t xml:space="preserve"> </w:t>
      </w:r>
      <w:r>
        <w:rPr>
          <w:rFonts w:ascii="宋体" w:hAnsi="宋体" w:eastAsia="宋体" w:cs="宋体"/>
          <w:spacing w:val="10"/>
          <w:sz w:val="23"/>
          <w:szCs w:val="23"/>
        </w:rPr>
        <w:t>进</w:t>
      </w:r>
      <w:r>
        <w:rPr>
          <w:rFonts w:ascii="宋体" w:hAnsi="宋体" w:eastAsia="宋体" w:cs="宋体"/>
          <w:spacing w:val="7"/>
          <w:sz w:val="23"/>
          <w:szCs w:val="23"/>
        </w:rPr>
        <w:t>行预测，预测按所有设备均运行。为了简化计算，本报告不按照倍频带声压级</w:t>
      </w:r>
      <w:r>
        <w:rPr>
          <w:rFonts w:ascii="宋体" w:hAnsi="宋体" w:eastAsia="宋体" w:cs="宋体"/>
          <w:sz w:val="23"/>
          <w:szCs w:val="23"/>
        </w:rPr>
        <w:t xml:space="preserve"> </w:t>
      </w:r>
      <w:r>
        <w:rPr>
          <w:rFonts w:ascii="宋体" w:hAnsi="宋体" w:eastAsia="宋体" w:cs="宋体"/>
          <w:spacing w:val="8"/>
          <w:sz w:val="23"/>
          <w:szCs w:val="23"/>
        </w:rPr>
        <w:t>分别进行详</w:t>
      </w:r>
      <w:r>
        <w:rPr>
          <w:rFonts w:ascii="宋体" w:hAnsi="宋体" w:eastAsia="宋体" w:cs="宋体"/>
          <w:spacing w:val="7"/>
          <w:sz w:val="23"/>
          <w:szCs w:val="23"/>
        </w:rPr>
        <w:t>细</w:t>
      </w:r>
      <w:r>
        <w:rPr>
          <w:rFonts w:ascii="宋体" w:hAnsi="宋体" w:eastAsia="宋体" w:cs="宋体"/>
          <w:spacing w:val="4"/>
          <w:sz w:val="23"/>
          <w:szCs w:val="23"/>
        </w:rPr>
        <w:t xml:space="preserve">的计算，只是简化为按照 </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声级进行预测，预测结果见表 </w:t>
      </w:r>
      <w:r>
        <w:rPr>
          <w:rFonts w:ascii="Times New Roman" w:hAnsi="Times New Roman" w:eastAsia="Times New Roman" w:cs="Times New Roman"/>
          <w:spacing w:val="4"/>
          <w:sz w:val="23"/>
          <w:szCs w:val="23"/>
        </w:rPr>
        <w:t xml:space="preserve">5- 17 </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0"/>
          <w:sz w:val="23"/>
          <w:szCs w:val="23"/>
        </w:rPr>
        <w:t>预</w:t>
      </w:r>
      <w:r>
        <w:rPr>
          <w:rFonts w:ascii="宋体" w:hAnsi="宋体" w:eastAsia="宋体" w:cs="宋体"/>
          <w:spacing w:val="7"/>
          <w:sz w:val="23"/>
          <w:szCs w:val="23"/>
        </w:rPr>
        <w:t>测方法如下：</w:t>
      </w:r>
    </w:p>
    <w:p w14:paraId="36CC69CE">
      <w:pPr>
        <w:spacing w:before="136" w:line="227" w:lineRule="auto"/>
        <w:ind w:left="507"/>
        <w:rPr>
          <w:rFonts w:ascii="宋体" w:hAnsi="宋体" w:eastAsia="宋体" w:cs="宋体"/>
          <w:sz w:val="23"/>
          <w:szCs w:val="23"/>
        </w:rPr>
      </w:pPr>
      <w:r>
        <w:rPr>
          <w:rFonts w:ascii="宋体" w:hAnsi="宋体" w:eastAsia="宋体" w:cs="宋体"/>
          <w:spacing w:val="16"/>
          <w:sz w:val="23"/>
          <w:szCs w:val="23"/>
        </w:rPr>
        <w:t>室</w:t>
      </w:r>
      <w:r>
        <w:rPr>
          <w:rFonts w:ascii="宋体" w:hAnsi="宋体" w:eastAsia="宋体" w:cs="宋体"/>
          <w:spacing w:val="8"/>
          <w:sz w:val="23"/>
          <w:szCs w:val="23"/>
        </w:rPr>
        <w:t>内声源等效室外声源的计算方法：</w:t>
      </w:r>
    </w:p>
    <w:p w14:paraId="33F60FEF">
      <w:pPr>
        <w:spacing w:before="242" w:line="238" w:lineRule="auto"/>
        <w:ind w:left="2752"/>
        <w:rPr>
          <w:rFonts w:ascii="Times New Roman" w:hAnsi="Times New Roman" w:eastAsia="Times New Roman" w:cs="Times New Roman"/>
          <w:sz w:val="23"/>
          <w:szCs w:val="23"/>
        </w:rPr>
      </w:pPr>
      <w:r>
        <w:rPr>
          <w:rFonts w:ascii="Times New Roman" w:hAnsi="Times New Roman" w:eastAsia="Times New Roman" w:cs="Times New Roman"/>
          <w:i/>
          <w:iCs/>
          <w:position w:val="1"/>
          <w:sz w:val="23"/>
          <w:szCs w:val="23"/>
        </w:rPr>
        <w:t>L</w:t>
      </w:r>
      <w:r>
        <w:rPr>
          <w:rFonts w:ascii="Times New Roman" w:hAnsi="Times New Roman" w:eastAsia="Times New Roman" w:cs="Times New Roman"/>
          <w:i/>
          <w:iCs/>
          <w:position w:val="-8"/>
          <w:sz w:val="13"/>
          <w:szCs w:val="13"/>
        </w:rPr>
        <w:t>pi</w:t>
      </w:r>
      <w:r>
        <w:rPr>
          <w:rFonts w:ascii="Times New Roman" w:hAnsi="Times New Roman" w:eastAsia="Times New Roman" w:cs="Times New Roman"/>
          <w:spacing w:val="8"/>
          <w:position w:val="-8"/>
          <w:sz w:val="13"/>
          <w:szCs w:val="13"/>
        </w:rPr>
        <w:t xml:space="preserve">    </w:t>
      </w:r>
      <w:r>
        <w:rPr>
          <w:rFonts w:ascii="Times New Roman" w:hAnsi="Times New Roman" w:eastAsia="Times New Roman" w:cs="Times New Roman"/>
          <w:spacing w:val="4"/>
          <w:position w:val="-8"/>
          <w:sz w:val="13"/>
          <w:szCs w:val="13"/>
        </w:rPr>
        <w:t xml:space="preserve"> </w:t>
      </w:r>
      <w:r>
        <w:rPr>
          <w:rFonts w:ascii="Symbol" w:hAnsi="Symbol" w:eastAsia="Symbol" w:cs="Symbol"/>
          <w:spacing w:val="4"/>
          <w:position w:val="1"/>
          <w:sz w:val="23"/>
          <w:szCs w:val="23"/>
        </w:rPr>
        <w:t xml:space="preserve">= </w:t>
      </w:r>
      <w:r>
        <w:rPr>
          <w:rFonts w:ascii="Times New Roman" w:hAnsi="Times New Roman" w:eastAsia="Times New Roman" w:cs="Times New Roman"/>
          <w:i/>
          <w:iCs/>
          <w:position w:val="1"/>
          <w:sz w:val="23"/>
          <w:szCs w:val="23"/>
        </w:rPr>
        <w:t>L</w:t>
      </w:r>
      <w:r>
        <w:rPr>
          <w:rFonts w:ascii="Times New Roman" w:hAnsi="Times New Roman" w:eastAsia="Times New Roman" w:cs="Times New Roman"/>
          <w:i/>
          <w:iCs/>
          <w:position w:val="-4"/>
          <w:sz w:val="13"/>
          <w:szCs w:val="13"/>
        </w:rPr>
        <w:t>w</w:t>
      </w:r>
      <w:r>
        <w:rPr>
          <w:rFonts w:ascii="Times New Roman" w:hAnsi="Times New Roman" w:eastAsia="Times New Roman" w:cs="Times New Roman"/>
          <w:spacing w:val="4"/>
          <w:position w:val="-4"/>
          <w:sz w:val="13"/>
          <w:szCs w:val="13"/>
        </w:rPr>
        <w:t xml:space="preserve">  </w:t>
      </w:r>
      <w:r>
        <w:rPr>
          <w:rFonts w:ascii="Symbol" w:hAnsi="Symbol" w:eastAsia="Symbol" w:cs="Symbol"/>
          <w:spacing w:val="4"/>
          <w:position w:val="1"/>
          <w:sz w:val="23"/>
          <w:szCs w:val="23"/>
        </w:rPr>
        <w:t xml:space="preserve">+ </w:t>
      </w:r>
      <w:r>
        <w:rPr>
          <w:rFonts w:ascii="Times New Roman" w:hAnsi="Times New Roman" w:eastAsia="Times New Roman" w:cs="Times New Roman"/>
          <w:spacing w:val="4"/>
          <w:position w:val="1"/>
          <w:sz w:val="23"/>
          <w:szCs w:val="23"/>
        </w:rPr>
        <w:t xml:space="preserve">10 </w:t>
      </w:r>
      <w:r>
        <w:rPr>
          <w:rFonts w:ascii="Symbol" w:hAnsi="Symbol" w:eastAsia="Symbol" w:cs="Symbol"/>
          <w:spacing w:val="4"/>
          <w:position w:val="1"/>
          <w:sz w:val="23"/>
          <w:szCs w:val="23"/>
        </w:rPr>
        <w:t xml:space="preserve">. </w:t>
      </w:r>
      <w:r>
        <w:rPr>
          <w:rFonts w:ascii="Times New Roman" w:hAnsi="Times New Roman" w:eastAsia="Times New Roman" w:cs="Times New Roman"/>
          <w:position w:val="1"/>
          <w:sz w:val="23"/>
          <w:szCs w:val="23"/>
        </w:rPr>
        <w:t>lg</w:t>
      </w:r>
      <w:r>
        <w:rPr>
          <w:rFonts w:ascii="Times New Roman" w:hAnsi="Times New Roman" w:eastAsia="Times New Roman" w:cs="Times New Roman"/>
          <w:spacing w:val="4"/>
          <w:position w:val="1"/>
          <w:sz w:val="23"/>
          <w:szCs w:val="23"/>
        </w:rPr>
        <w:t>(</w:t>
      </w:r>
      <w:r>
        <w:rPr>
          <w:position w:val="-18"/>
          <w:sz w:val="23"/>
          <w:szCs w:val="23"/>
        </w:rPr>
        <w:drawing>
          <wp:inline distT="0" distB="0" distL="0" distR="0">
            <wp:extent cx="319405" cy="32321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524"/>
                    <a:stretch>
                      <a:fillRect/>
                    </a:stretch>
                  </pic:blipFill>
                  <pic:spPr>
                    <a:xfrm>
                      <a:off x="0" y="0"/>
                      <a:ext cx="320010" cy="323516"/>
                    </a:xfrm>
                    <a:prstGeom prst="rect">
                      <a:avLst/>
                    </a:prstGeom>
                  </pic:spPr>
                </pic:pic>
              </a:graphicData>
            </a:graphic>
          </wp:inline>
        </w:drawing>
      </w:r>
      <w:r>
        <w:rPr>
          <w:rFonts w:ascii="Times New Roman" w:hAnsi="Times New Roman" w:eastAsia="Times New Roman" w:cs="Times New Roman"/>
          <w:spacing w:val="4"/>
          <w:position w:val="1"/>
          <w:sz w:val="23"/>
          <w:szCs w:val="23"/>
        </w:rPr>
        <w:t xml:space="preserve"> </w:t>
      </w:r>
      <w:r>
        <w:rPr>
          <w:rFonts w:ascii="Symbol" w:hAnsi="Symbol" w:eastAsia="Symbol" w:cs="Symbol"/>
          <w:spacing w:val="4"/>
          <w:position w:val="1"/>
          <w:sz w:val="23"/>
          <w:szCs w:val="23"/>
        </w:rPr>
        <w:t xml:space="preserve">+ </w:t>
      </w:r>
      <w:r>
        <w:rPr>
          <w:position w:val="-17"/>
          <w:sz w:val="23"/>
          <w:szCs w:val="23"/>
        </w:rPr>
        <w:drawing>
          <wp:inline distT="0" distB="0" distL="0" distR="0">
            <wp:extent cx="125095" cy="318135"/>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525"/>
                    <a:stretch>
                      <a:fillRect/>
                    </a:stretch>
                  </pic:blipFill>
                  <pic:spPr>
                    <a:xfrm>
                      <a:off x="0" y="0"/>
                      <a:ext cx="125289" cy="318466"/>
                    </a:xfrm>
                    <a:prstGeom prst="rect">
                      <a:avLst/>
                    </a:prstGeom>
                  </pic:spPr>
                </pic:pic>
              </a:graphicData>
            </a:graphic>
          </wp:inline>
        </w:drawing>
      </w:r>
      <w:r>
        <w:rPr>
          <w:rFonts w:ascii="Times New Roman" w:hAnsi="Times New Roman" w:eastAsia="Times New Roman" w:cs="Times New Roman"/>
          <w:spacing w:val="4"/>
          <w:position w:val="1"/>
          <w:sz w:val="23"/>
          <w:szCs w:val="23"/>
        </w:rPr>
        <w:t>)</w:t>
      </w:r>
    </w:p>
    <w:p w14:paraId="52A6EE2E">
      <w:pPr>
        <w:spacing w:line="262" w:lineRule="auto"/>
        <w:rPr>
          <w:rFonts w:ascii="Arial"/>
          <w:sz w:val="21"/>
        </w:rPr>
      </w:pPr>
    </w:p>
    <w:p w14:paraId="4116B51B">
      <w:pPr>
        <w:spacing w:before="75" w:line="322" w:lineRule="exact"/>
        <w:ind w:left="508"/>
        <w:rPr>
          <w:rFonts w:ascii="宋体" w:hAnsi="宋体" w:eastAsia="宋体" w:cs="宋体"/>
          <w:sz w:val="23"/>
          <w:szCs w:val="23"/>
        </w:rPr>
      </w:pPr>
      <w:r>
        <w:rPr>
          <w:rFonts w:ascii="宋体" w:hAnsi="宋体" w:eastAsia="宋体" w:cs="宋体"/>
          <w:spacing w:val="18"/>
          <w:position w:val="2"/>
          <w:sz w:val="23"/>
          <w:szCs w:val="23"/>
        </w:rPr>
        <w:t>式中</w:t>
      </w:r>
      <w:r>
        <w:rPr>
          <w:rFonts w:ascii="宋体" w:hAnsi="宋体" w:eastAsia="宋体" w:cs="宋体"/>
          <w:spacing w:val="12"/>
          <w:position w:val="2"/>
          <w:sz w:val="23"/>
          <w:szCs w:val="23"/>
        </w:rPr>
        <w:t>：</w:t>
      </w:r>
      <w:r>
        <w:rPr>
          <w:rFonts w:ascii="Times New Roman" w:hAnsi="Times New Roman" w:eastAsia="Times New Roman" w:cs="Times New Roman"/>
          <w:i/>
          <w:iCs/>
          <w:position w:val="2"/>
          <w:sz w:val="23"/>
          <w:szCs w:val="23"/>
        </w:rPr>
        <w:t>L</w:t>
      </w:r>
      <w:r>
        <w:rPr>
          <w:rFonts w:ascii="Times New Roman" w:hAnsi="Times New Roman" w:eastAsia="Times New Roman" w:cs="Times New Roman"/>
          <w:i/>
          <w:iCs/>
          <w:position w:val="1"/>
          <w:sz w:val="15"/>
          <w:szCs w:val="15"/>
        </w:rPr>
        <w:t>pi</w:t>
      </w:r>
      <w:r>
        <w:rPr>
          <w:rFonts w:ascii="Times New Roman" w:hAnsi="Times New Roman" w:eastAsia="Times New Roman" w:cs="Times New Roman"/>
          <w:spacing w:val="9"/>
          <w:position w:val="1"/>
          <w:sz w:val="15"/>
          <w:szCs w:val="15"/>
        </w:rPr>
        <w:t xml:space="preserve"> </w:t>
      </w:r>
      <w:r>
        <w:rPr>
          <w:rFonts w:ascii="Times New Roman" w:hAnsi="Times New Roman" w:eastAsia="Times New Roman" w:cs="Times New Roman"/>
          <w:spacing w:val="9"/>
          <w:position w:val="2"/>
          <w:sz w:val="23"/>
          <w:szCs w:val="23"/>
        </w:rPr>
        <w:t xml:space="preserve">—  </w:t>
      </w:r>
      <w:r>
        <w:rPr>
          <w:rFonts w:ascii="宋体" w:hAnsi="宋体" w:eastAsia="宋体" w:cs="宋体"/>
          <w:spacing w:val="9"/>
          <w:position w:val="2"/>
          <w:sz w:val="23"/>
          <w:szCs w:val="23"/>
        </w:rPr>
        <w:t>某个室内声源在靠近围护结构处的声压级，</w:t>
      </w:r>
      <w:r>
        <w:rPr>
          <w:rFonts w:ascii="Times New Roman" w:hAnsi="Times New Roman" w:eastAsia="Times New Roman" w:cs="Times New Roman"/>
          <w:position w:val="2"/>
          <w:sz w:val="23"/>
          <w:szCs w:val="23"/>
        </w:rPr>
        <w:t>dB</w:t>
      </w:r>
      <w:r>
        <w:rPr>
          <w:rFonts w:ascii="宋体" w:hAnsi="宋体" w:eastAsia="宋体" w:cs="宋体"/>
          <w:spacing w:val="9"/>
          <w:position w:val="2"/>
          <w:sz w:val="23"/>
          <w:szCs w:val="23"/>
        </w:rPr>
        <w:t>；</w:t>
      </w:r>
    </w:p>
    <w:p w14:paraId="0755FBE3">
      <w:pPr>
        <w:spacing w:before="314" w:line="322" w:lineRule="exact"/>
        <w:ind w:left="1206"/>
        <w:rPr>
          <w:rFonts w:ascii="宋体" w:hAnsi="宋体" w:eastAsia="宋体" w:cs="宋体"/>
          <w:sz w:val="23"/>
          <w:szCs w:val="23"/>
        </w:rPr>
      </w:pPr>
      <w:r>
        <w:rPr>
          <w:rFonts w:ascii="Times New Roman" w:hAnsi="Times New Roman" w:eastAsia="Times New Roman" w:cs="Times New Roman"/>
          <w:i/>
          <w:iCs/>
          <w:position w:val="1"/>
          <w:sz w:val="23"/>
          <w:szCs w:val="23"/>
        </w:rPr>
        <w:t>L</w:t>
      </w:r>
      <w:r>
        <w:rPr>
          <w:rFonts w:ascii="Times New Roman" w:hAnsi="Times New Roman" w:eastAsia="Times New Roman" w:cs="Times New Roman"/>
          <w:i/>
          <w:iCs/>
          <w:sz w:val="15"/>
          <w:szCs w:val="15"/>
        </w:rPr>
        <w:t>w</w:t>
      </w:r>
      <w:r>
        <w:rPr>
          <w:rFonts w:ascii="Times New Roman" w:hAnsi="Times New Roman" w:eastAsia="Times New Roman" w:cs="Times New Roman"/>
          <w:spacing w:val="11"/>
          <w:sz w:val="15"/>
          <w:szCs w:val="15"/>
        </w:rPr>
        <w:t xml:space="preserve"> </w:t>
      </w:r>
      <w:r>
        <w:rPr>
          <w:rFonts w:ascii="Times New Roman" w:hAnsi="Times New Roman" w:eastAsia="Times New Roman" w:cs="Times New Roman"/>
          <w:spacing w:val="11"/>
          <w:position w:val="1"/>
          <w:sz w:val="23"/>
          <w:szCs w:val="23"/>
        </w:rPr>
        <w:t xml:space="preserve">—  </w:t>
      </w:r>
      <w:r>
        <w:rPr>
          <w:rFonts w:ascii="宋体" w:hAnsi="宋体" w:eastAsia="宋体" w:cs="宋体"/>
          <w:spacing w:val="11"/>
          <w:position w:val="1"/>
          <w:sz w:val="23"/>
          <w:szCs w:val="23"/>
        </w:rPr>
        <w:t>某个声源的声功率级，</w:t>
      </w:r>
      <w:r>
        <w:rPr>
          <w:rFonts w:ascii="Times New Roman" w:hAnsi="Times New Roman" w:eastAsia="Times New Roman" w:cs="Times New Roman"/>
          <w:position w:val="1"/>
          <w:sz w:val="23"/>
          <w:szCs w:val="23"/>
        </w:rPr>
        <w:t>dB</w:t>
      </w:r>
      <w:r>
        <w:rPr>
          <w:rFonts w:ascii="宋体" w:hAnsi="宋体" w:eastAsia="宋体" w:cs="宋体"/>
          <w:spacing w:val="9"/>
          <w:position w:val="1"/>
          <w:sz w:val="23"/>
          <w:szCs w:val="23"/>
        </w:rPr>
        <w:t>；</w:t>
      </w:r>
    </w:p>
    <w:p w14:paraId="62A7D5FA">
      <w:pPr>
        <w:spacing w:line="280" w:lineRule="auto"/>
        <w:rPr>
          <w:rFonts w:ascii="Arial"/>
          <w:sz w:val="21"/>
        </w:rPr>
      </w:pPr>
    </w:p>
    <w:p w14:paraId="542CA0B0">
      <w:pPr>
        <w:spacing w:before="76" w:line="227" w:lineRule="auto"/>
        <w:ind w:left="1219"/>
        <w:rPr>
          <w:rFonts w:ascii="宋体" w:hAnsi="宋体" w:eastAsia="宋体" w:cs="宋体"/>
          <w:sz w:val="23"/>
          <w:szCs w:val="23"/>
        </w:rPr>
      </w:pPr>
      <w:r>
        <w:rPr>
          <w:rFonts w:ascii="Times New Roman" w:hAnsi="Times New Roman" w:eastAsia="Times New Roman" w:cs="Times New Roman"/>
          <w:i/>
          <w:iCs/>
          <w:sz w:val="23"/>
          <w:szCs w:val="23"/>
        </w:rPr>
        <w:t>r</w:t>
      </w:r>
      <w:r>
        <w:rPr>
          <w:rFonts w:ascii="Times New Roman" w:hAnsi="Times New Roman" w:eastAsia="Times New Roman" w:cs="Times New Roman"/>
          <w:spacing w:val="11"/>
          <w:sz w:val="23"/>
          <w:szCs w:val="23"/>
        </w:rPr>
        <w:t xml:space="preserve"> </w:t>
      </w:r>
      <w:r>
        <w:rPr>
          <w:rFonts w:ascii="Times New Roman" w:hAnsi="Times New Roman" w:eastAsia="Times New Roman" w:cs="Times New Roman"/>
          <w:spacing w:val="8"/>
          <w:sz w:val="23"/>
          <w:szCs w:val="23"/>
        </w:rPr>
        <w:t xml:space="preserve">   —  </w:t>
      </w:r>
      <w:r>
        <w:rPr>
          <w:rFonts w:ascii="宋体" w:hAnsi="宋体" w:eastAsia="宋体" w:cs="宋体"/>
          <w:spacing w:val="8"/>
          <w:sz w:val="23"/>
          <w:szCs w:val="23"/>
        </w:rPr>
        <w:t>室内某个声源与靠近围护结构处的距离，</w:t>
      </w:r>
      <w:r>
        <w:rPr>
          <w:rFonts w:ascii="Times New Roman" w:hAnsi="Times New Roman" w:eastAsia="Times New Roman" w:cs="Times New Roman"/>
          <w:sz w:val="23"/>
          <w:szCs w:val="23"/>
        </w:rPr>
        <w:t>m</w:t>
      </w:r>
      <w:r>
        <w:rPr>
          <w:rFonts w:ascii="宋体" w:hAnsi="宋体" w:eastAsia="宋体" w:cs="宋体"/>
          <w:spacing w:val="8"/>
          <w:sz w:val="23"/>
          <w:szCs w:val="23"/>
        </w:rPr>
        <w:t>；</w:t>
      </w:r>
    </w:p>
    <w:p w14:paraId="009EFD0E">
      <w:pPr>
        <w:spacing w:line="274" w:lineRule="auto"/>
        <w:rPr>
          <w:rFonts w:ascii="Arial"/>
          <w:sz w:val="21"/>
        </w:rPr>
      </w:pPr>
    </w:p>
    <w:p w14:paraId="07FE70E1">
      <w:pPr>
        <w:spacing w:before="75" w:line="379" w:lineRule="auto"/>
        <w:ind w:left="22" w:right="13" w:firstLine="1200"/>
        <w:rPr>
          <w:rFonts w:ascii="宋体" w:hAnsi="宋体" w:eastAsia="宋体" w:cs="宋体"/>
          <w:sz w:val="23"/>
          <w:szCs w:val="23"/>
        </w:rPr>
      </w:pPr>
      <w:r>
        <w:rPr>
          <w:rFonts w:ascii="Times New Roman" w:hAnsi="Times New Roman" w:eastAsia="Times New Roman" w:cs="Times New Roman"/>
          <w:sz w:val="23"/>
          <w:szCs w:val="23"/>
        </w:rPr>
        <w:t>Q</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方向性因子；通常对无指向性声源，当声源放在房间中心时，</w:t>
      </w:r>
      <w:r>
        <w:rPr>
          <w:rFonts w:ascii="宋体" w:hAnsi="宋体" w:eastAsia="宋体" w:cs="宋体"/>
          <w:sz w:val="23"/>
          <w:szCs w:val="23"/>
        </w:rPr>
        <w:t xml:space="preserve"> </w:t>
      </w:r>
      <w:r>
        <w:rPr>
          <w:rFonts w:ascii="Times New Roman" w:hAnsi="Times New Roman" w:eastAsia="Times New Roman" w:cs="Times New Roman"/>
          <w:sz w:val="23"/>
          <w:szCs w:val="23"/>
        </w:rPr>
        <w:t>Q</w:t>
      </w:r>
      <w:r>
        <w:rPr>
          <w:rFonts w:ascii="Times New Roman" w:hAnsi="Times New Roman" w:eastAsia="Times New Roman" w:cs="Times New Roman"/>
          <w:spacing w:val="14"/>
          <w:sz w:val="23"/>
          <w:szCs w:val="23"/>
        </w:rPr>
        <w:t xml:space="preserve">=1 </w:t>
      </w:r>
      <w:r>
        <w:rPr>
          <w:rFonts w:ascii="宋体" w:hAnsi="宋体" w:eastAsia="宋体" w:cs="宋体"/>
          <w:spacing w:val="7"/>
          <w:sz w:val="23"/>
          <w:szCs w:val="23"/>
        </w:rPr>
        <w:t>；当放在一面墙的中心时，</w:t>
      </w:r>
      <w:r>
        <w:rPr>
          <w:rFonts w:ascii="Times New Roman" w:hAnsi="Times New Roman" w:eastAsia="Times New Roman" w:cs="Times New Roman"/>
          <w:sz w:val="23"/>
          <w:szCs w:val="23"/>
        </w:rPr>
        <w:t>Q</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；当放在两面墙夹角处时，</w:t>
      </w:r>
      <w:r>
        <w:rPr>
          <w:rFonts w:ascii="Times New Roman" w:hAnsi="Times New Roman" w:eastAsia="Times New Roman" w:cs="Times New Roman"/>
          <w:sz w:val="23"/>
          <w:szCs w:val="23"/>
        </w:rPr>
        <w:t>Q</w:t>
      </w:r>
      <w:r>
        <w:rPr>
          <w:rFonts w:ascii="Times New Roman" w:hAnsi="Times New Roman" w:eastAsia="Times New Roman" w:cs="Times New Roman"/>
          <w:spacing w:val="7"/>
          <w:sz w:val="23"/>
          <w:szCs w:val="23"/>
        </w:rPr>
        <w:t>=4</w:t>
      </w:r>
      <w:r>
        <w:rPr>
          <w:rFonts w:ascii="宋体" w:hAnsi="宋体" w:eastAsia="宋体" w:cs="宋体"/>
          <w:spacing w:val="7"/>
          <w:sz w:val="23"/>
          <w:szCs w:val="23"/>
        </w:rPr>
        <w:t>；当放在三</w:t>
      </w:r>
      <w:r>
        <w:rPr>
          <w:rFonts w:ascii="宋体" w:hAnsi="宋体" w:eastAsia="宋体" w:cs="宋体"/>
          <w:sz w:val="23"/>
          <w:szCs w:val="23"/>
        </w:rPr>
        <w:t xml:space="preserve"> </w:t>
      </w:r>
      <w:r>
        <w:rPr>
          <w:rFonts w:ascii="宋体" w:hAnsi="宋体" w:eastAsia="宋体" w:cs="宋体"/>
          <w:spacing w:val="14"/>
          <w:sz w:val="23"/>
          <w:szCs w:val="23"/>
        </w:rPr>
        <w:t>面</w:t>
      </w:r>
      <w:r>
        <w:rPr>
          <w:rFonts w:ascii="宋体" w:hAnsi="宋体" w:eastAsia="宋体" w:cs="宋体"/>
          <w:spacing w:val="7"/>
          <w:sz w:val="23"/>
          <w:szCs w:val="23"/>
        </w:rPr>
        <w:t>墙夹角处时，</w:t>
      </w:r>
      <w:r>
        <w:rPr>
          <w:rFonts w:ascii="Times New Roman" w:hAnsi="Times New Roman" w:eastAsia="Times New Roman" w:cs="Times New Roman"/>
          <w:sz w:val="23"/>
          <w:szCs w:val="23"/>
        </w:rPr>
        <w:t>Q</w:t>
      </w:r>
      <w:r>
        <w:rPr>
          <w:rFonts w:ascii="Times New Roman" w:hAnsi="Times New Roman" w:eastAsia="Times New Roman" w:cs="Times New Roman"/>
          <w:spacing w:val="7"/>
          <w:sz w:val="23"/>
          <w:szCs w:val="23"/>
        </w:rPr>
        <w:t>=8</w:t>
      </w:r>
      <w:r>
        <w:rPr>
          <w:rFonts w:ascii="宋体" w:hAnsi="宋体" w:eastAsia="宋体" w:cs="宋体"/>
          <w:spacing w:val="7"/>
          <w:sz w:val="23"/>
          <w:szCs w:val="23"/>
        </w:rPr>
        <w:t>；</w:t>
      </w:r>
    </w:p>
    <w:p w14:paraId="384D0F4D">
      <w:pPr>
        <w:spacing w:before="182" w:line="227" w:lineRule="auto"/>
        <w:ind w:left="1208"/>
        <w:rPr>
          <w:rFonts w:ascii="宋体" w:hAnsi="宋体" w:eastAsia="宋体" w:cs="宋体"/>
          <w:sz w:val="23"/>
          <w:szCs w:val="23"/>
        </w:rPr>
      </w:pPr>
      <w:r>
        <w:rPr>
          <w:rFonts w:ascii="Times New Roman" w:hAnsi="Times New Roman" w:eastAsia="Times New Roman" w:cs="Times New Roman"/>
          <w:i/>
          <w:iCs/>
          <w:sz w:val="23"/>
          <w:szCs w:val="23"/>
        </w:rPr>
        <w:t>R</w:t>
      </w:r>
      <w:r>
        <w:rPr>
          <w:rFonts w:ascii="Times New Roman" w:hAnsi="Times New Roman" w:eastAsia="Times New Roman" w:cs="Times New Roman"/>
          <w:spacing w:val="14"/>
          <w:sz w:val="23"/>
          <w:szCs w:val="23"/>
        </w:rPr>
        <w:t xml:space="preserve"> </w:t>
      </w:r>
      <w:r>
        <w:rPr>
          <w:rFonts w:ascii="Times New Roman" w:hAnsi="Times New Roman" w:eastAsia="Times New Roman" w:cs="Times New Roman"/>
          <w:spacing w:val="10"/>
          <w:sz w:val="23"/>
          <w:szCs w:val="23"/>
        </w:rPr>
        <w:t xml:space="preserve"> </w:t>
      </w:r>
      <w:r>
        <w:rPr>
          <w:rFonts w:ascii="Times New Roman" w:hAnsi="Times New Roman" w:eastAsia="Times New Roman" w:cs="Times New Roman"/>
          <w:spacing w:val="7"/>
          <w:sz w:val="23"/>
          <w:szCs w:val="23"/>
        </w:rPr>
        <w:t xml:space="preserve">  —  </w:t>
      </w:r>
      <w:r>
        <w:rPr>
          <w:rFonts w:ascii="宋体" w:hAnsi="宋体" w:eastAsia="宋体" w:cs="宋体"/>
          <w:spacing w:val="7"/>
          <w:sz w:val="23"/>
          <w:szCs w:val="23"/>
        </w:rPr>
        <w:t>房间常数，按下式计算：</w:t>
      </w:r>
    </w:p>
    <w:p w14:paraId="71F56FA5">
      <w:pPr>
        <w:tabs>
          <w:tab w:val="left" w:pos="4520"/>
        </w:tabs>
        <w:spacing w:before="152" w:line="242" w:lineRule="exact"/>
        <w:ind w:left="4371"/>
        <w:rPr>
          <w:rFonts w:ascii="Arial"/>
          <w:sz w:val="21"/>
        </w:rPr>
      </w:pPr>
      <w:r>
        <w:rPr>
          <w:rFonts w:ascii="Arial" w:hAnsi="Arial" w:eastAsia="Arial" w:cs="Arial"/>
          <w:sz w:val="21"/>
          <w:szCs w:val="21"/>
          <w:u w:val="single" w:color="auto"/>
        </w:rPr>
        <w:tab/>
      </w:r>
    </w:p>
    <w:p w14:paraId="3DAEEDE1">
      <w:pPr>
        <w:spacing w:before="21" w:line="163" w:lineRule="exact"/>
        <w:ind w:left="4228"/>
        <w:rPr>
          <w:sz w:val="23"/>
          <w:szCs w:val="23"/>
        </w:rPr>
      </w:pPr>
      <w:r>
        <w:rPr>
          <w:rFonts w:ascii="Times New Roman" w:hAnsi="Times New Roman" w:eastAsia="Times New Roman" w:cs="Times New Roman"/>
          <w:i/>
          <w:iCs/>
          <w:spacing w:val="12"/>
          <w:position w:val="-3"/>
          <w:sz w:val="23"/>
          <w:szCs w:val="23"/>
        </w:rPr>
        <w:t>S</w:t>
      </w:r>
      <w:r>
        <w:rPr>
          <w:position w:val="-3"/>
          <w:sz w:val="23"/>
          <w:szCs w:val="23"/>
        </w:rPr>
        <w:drawing>
          <wp:inline distT="0" distB="0" distL="0" distR="0">
            <wp:extent cx="110490" cy="704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526"/>
                    <a:stretch>
                      <a:fillRect/>
                    </a:stretch>
                  </pic:blipFill>
                  <pic:spPr>
                    <a:xfrm>
                      <a:off x="0" y="0"/>
                      <a:ext cx="110721" cy="70780"/>
                    </a:xfrm>
                    <a:prstGeom prst="rect">
                      <a:avLst/>
                    </a:prstGeom>
                  </pic:spPr>
                </pic:pic>
              </a:graphicData>
            </a:graphic>
          </wp:inline>
        </w:drawing>
      </w:r>
    </w:p>
    <w:p w14:paraId="6D33DB63">
      <w:pPr>
        <w:spacing w:line="168" w:lineRule="auto"/>
        <w:ind w:left="3705"/>
        <w:rPr>
          <w:rFonts w:ascii="Symbol" w:hAnsi="Symbol" w:eastAsia="Symbol" w:cs="Symbol"/>
          <w:sz w:val="23"/>
          <w:szCs w:val="23"/>
        </w:rPr>
      </w:pPr>
      <w:r>
        <w:rPr>
          <w:rFonts w:ascii="Times New Roman" w:hAnsi="Times New Roman" w:eastAsia="Times New Roman" w:cs="Times New Roman"/>
          <w:i/>
          <w:iCs/>
          <w:sz w:val="23"/>
          <w:szCs w:val="23"/>
        </w:rPr>
        <w:t>R</w:t>
      </w:r>
      <w:r>
        <w:rPr>
          <w:rFonts w:ascii="Times New Roman" w:hAnsi="Times New Roman" w:eastAsia="Times New Roman" w:cs="Times New Roman"/>
          <w:spacing w:val="15"/>
          <w:sz w:val="23"/>
          <w:szCs w:val="23"/>
        </w:rPr>
        <w:t xml:space="preserve"> </w:t>
      </w:r>
      <w:r>
        <w:rPr>
          <w:rFonts w:ascii="Symbol" w:hAnsi="Symbol" w:eastAsia="Symbol" w:cs="Symbol"/>
          <w:spacing w:val="14"/>
          <w:sz w:val="23"/>
          <w:szCs w:val="23"/>
        </w:rPr>
        <w:t>=</w:t>
      </w:r>
      <w:r>
        <w:rPr>
          <w:rFonts w:ascii="Symbol" w:hAnsi="Symbol" w:eastAsia="Symbol" w:cs="Symbol"/>
          <w:strike/>
          <w:sz w:val="23"/>
          <w:szCs w:val="23"/>
        </w:rPr>
        <w:t xml:space="preserve">         </w:t>
      </w:r>
    </w:p>
    <w:p w14:paraId="11F2D749">
      <w:pPr>
        <w:spacing w:before="1" w:line="164" w:lineRule="auto"/>
        <w:ind w:left="4150"/>
        <w:rPr>
          <w:sz w:val="23"/>
          <w:szCs w:val="23"/>
        </w:rPr>
      </w:pPr>
      <w:r>
        <w:rPr>
          <w:rFonts w:ascii="Times New Roman" w:hAnsi="Times New Roman" w:eastAsia="Times New Roman" w:cs="Times New Roman"/>
          <w:spacing w:val="-7"/>
          <w:w w:val="67"/>
          <w:sz w:val="23"/>
          <w:szCs w:val="23"/>
        </w:rPr>
        <w:t>1</w:t>
      </w:r>
      <w:r>
        <w:rPr>
          <w:rFonts w:ascii="Times New Roman" w:hAnsi="Times New Roman" w:eastAsia="Times New Roman" w:cs="Times New Roman"/>
          <w:spacing w:val="-27"/>
          <w:sz w:val="23"/>
          <w:szCs w:val="23"/>
        </w:rPr>
        <w:t xml:space="preserve"> </w:t>
      </w:r>
      <w:r>
        <w:rPr>
          <w:rFonts w:ascii="微软雅黑" w:hAnsi="微软雅黑" w:eastAsia="微软雅黑" w:cs="微软雅黑"/>
          <w:spacing w:val="-7"/>
          <w:w w:val="67"/>
          <w:sz w:val="23"/>
          <w:szCs w:val="23"/>
        </w:rPr>
        <w:t>一</w:t>
      </w:r>
      <w:r>
        <w:rPr>
          <w:rFonts w:ascii="微软雅黑" w:hAnsi="微软雅黑" w:eastAsia="微软雅黑" w:cs="微软雅黑"/>
          <w:spacing w:val="-32"/>
          <w:sz w:val="23"/>
          <w:szCs w:val="23"/>
        </w:rPr>
        <w:t xml:space="preserve"> </w:t>
      </w:r>
      <w:r>
        <w:rPr>
          <w:sz w:val="23"/>
          <w:szCs w:val="23"/>
        </w:rPr>
        <w:drawing>
          <wp:inline distT="0" distB="0" distL="0" distR="0">
            <wp:extent cx="108585" cy="7175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527"/>
                    <a:stretch>
                      <a:fillRect/>
                    </a:stretch>
                  </pic:blipFill>
                  <pic:spPr>
                    <a:xfrm>
                      <a:off x="0" y="0"/>
                      <a:ext cx="108772" cy="71919"/>
                    </a:xfrm>
                    <a:prstGeom prst="rect">
                      <a:avLst/>
                    </a:prstGeom>
                  </pic:spPr>
                </pic:pic>
              </a:graphicData>
            </a:graphic>
          </wp:inline>
        </w:drawing>
      </w:r>
    </w:p>
    <w:p w14:paraId="00E04EFF">
      <w:pPr>
        <w:spacing w:before="227"/>
        <w:ind w:left="3500"/>
        <w:rPr>
          <w:rFonts w:ascii="Times New Roman" w:hAnsi="Times New Roman" w:eastAsia="Times New Roman" w:cs="Times New Roman"/>
          <w:sz w:val="17"/>
          <w:szCs w:val="17"/>
        </w:rPr>
      </w:pPr>
      <w:r>
        <w:rPr>
          <w:rFonts w:ascii="Times New Roman" w:hAnsi="Times New Roman" w:eastAsia="Times New Roman" w:cs="Times New Roman"/>
          <w:i/>
          <w:iCs/>
          <w:position w:val="5"/>
          <w:sz w:val="29"/>
          <w:szCs w:val="29"/>
        </w:rPr>
        <w:t>S</w:t>
      </w:r>
      <w:r>
        <w:rPr>
          <w:rFonts w:ascii="Times New Roman" w:hAnsi="Times New Roman" w:eastAsia="Times New Roman" w:cs="Times New Roman"/>
          <w:spacing w:val="19"/>
          <w:position w:val="5"/>
          <w:sz w:val="29"/>
          <w:szCs w:val="29"/>
        </w:rPr>
        <w:t xml:space="preserve"> </w:t>
      </w:r>
      <w:r>
        <w:rPr>
          <w:rFonts w:ascii="Symbol" w:hAnsi="Symbol" w:eastAsia="Symbol" w:cs="Symbol"/>
          <w:spacing w:val="18"/>
          <w:position w:val="5"/>
          <w:sz w:val="29"/>
          <w:szCs w:val="29"/>
        </w:rPr>
        <w:t xml:space="preserve">= </w:t>
      </w:r>
      <w:r>
        <w:rPr>
          <w:position w:val="-11"/>
          <w:sz w:val="29"/>
          <w:szCs w:val="29"/>
        </w:rPr>
        <w:drawing>
          <wp:inline distT="0" distB="0" distL="0" distR="0">
            <wp:extent cx="191135" cy="34861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528"/>
                    <a:stretch>
                      <a:fillRect/>
                    </a:stretch>
                  </pic:blipFill>
                  <pic:spPr>
                    <a:xfrm>
                      <a:off x="0" y="0"/>
                      <a:ext cx="191716" cy="349198"/>
                    </a:xfrm>
                    <a:prstGeom prst="rect">
                      <a:avLst/>
                    </a:prstGeom>
                  </pic:spPr>
                </pic:pic>
              </a:graphicData>
            </a:graphic>
          </wp:inline>
        </w:drawing>
      </w:r>
      <w:r>
        <w:rPr>
          <w:rFonts w:ascii="Symbol" w:hAnsi="Symbol" w:eastAsia="Symbol" w:cs="Symbol"/>
          <w:spacing w:val="18"/>
          <w:position w:val="5"/>
          <w:sz w:val="29"/>
          <w:szCs w:val="29"/>
        </w:rPr>
        <w:t xml:space="preserve"> </w:t>
      </w:r>
      <w:r>
        <w:rPr>
          <w:rFonts w:ascii="Times New Roman" w:hAnsi="Times New Roman" w:eastAsia="Times New Roman" w:cs="Times New Roman"/>
          <w:i/>
          <w:iCs/>
          <w:position w:val="5"/>
          <w:sz w:val="29"/>
          <w:szCs w:val="29"/>
        </w:rPr>
        <w:t>S</w:t>
      </w:r>
      <w:r>
        <w:rPr>
          <w:rFonts w:ascii="Times New Roman" w:hAnsi="Times New Roman" w:eastAsia="Times New Roman" w:cs="Times New Roman"/>
          <w:i/>
          <w:iCs/>
          <w:position w:val="-2"/>
          <w:sz w:val="17"/>
          <w:szCs w:val="17"/>
        </w:rPr>
        <w:t>k</w:t>
      </w:r>
    </w:p>
    <w:p w14:paraId="1180DD24">
      <w:pPr>
        <w:spacing w:line="325" w:lineRule="auto"/>
        <w:rPr>
          <w:rFonts w:ascii="Arial"/>
          <w:sz w:val="21"/>
        </w:rPr>
      </w:pPr>
    </w:p>
    <w:p w14:paraId="3872EF6E">
      <w:pPr>
        <w:spacing w:before="75" w:line="228" w:lineRule="auto"/>
        <w:ind w:left="508"/>
        <w:rPr>
          <w:rFonts w:ascii="宋体" w:hAnsi="宋体" w:eastAsia="宋体" w:cs="宋体"/>
          <w:sz w:val="23"/>
          <w:szCs w:val="23"/>
        </w:rPr>
      </w:pPr>
      <w:r>
        <w:rPr>
          <w:rFonts w:ascii="宋体" w:hAnsi="宋体" w:eastAsia="宋体" w:cs="宋体"/>
          <w:spacing w:val="14"/>
          <w:sz w:val="23"/>
          <w:szCs w:val="23"/>
        </w:rPr>
        <w:t>式</w:t>
      </w:r>
      <w:r>
        <w:rPr>
          <w:rFonts w:ascii="宋体" w:hAnsi="宋体" w:eastAsia="宋体" w:cs="宋体"/>
          <w:spacing w:val="8"/>
          <w:sz w:val="23"/>
          <w:szCs w:val="23"/>
        </w:rPr>
        <w:t>中</w:t>
      </w:r>
      <w:r>
        <w:rPr>
          <w:rFonts w:ascii="宋体" w:hAnsi="宋体" w:eastAsia="宋体" w:cs="宋体"/>
          <w:spacing w:val="7"/>
          <w:sz w:val="23"/>
          <w:szCs w:val="23"/>
        </w:rPr>
        <w:t>：</w:t>
      </w:r>
      <w:r>
        <w:rPr>
          <w:rFonts w:ascii="Times New Roman" w:hAnsi="Times New Roman" w:eastAsia="Times New Roman" w:cs="Times New Roman"/>
          <w:i/>
          <w:iCs/>
          <w:sz w:val="23"/>
          <w:szCs w:val="23"/>
        </w:rPr>
        <w:t>S</w:t>
      </w:r>
      <w:r>
        <w:rPr>
          <w:rFonts w:ascii="Times New Roman" w:hAnsi="Times New Roman" w:eastAsia="Times New Roman" w:cs="Times New Roman"/>
          <w:spacing w:val="7"/>
          <w:sz w:val="23"/>
          <w:szCs w:val="23"/>
        </w:rPr>
        <w:t xml:space="preserve"> —  </w:t>
      </w:r>
      <w:r>
        <w:rPr>
          <w:rFonts w:ascii="宋体" w:hAnsi="宋体" w:eastAsia="宋体" w:cs="宋体"/>
          <w:spacing w:val="7"/>
          <w:sz w:val="23"/>
          <w:szCs w:val="23"/>
        </w:rPr>
        <w:t>房间的总表面积，</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2</w:t>
      </w:r>
      <w:r>
        <w:rPr>
          <w:rFonts w:ascii="宋体" w:hAnsi="宋体" w:eastAsia="宋体" w:cs="宋体"/>
          <w:spacing w:val="7"/>
          <w:sz w:val="23"/>
          <w:szCs w:val="23"/>
        </w:rPr>
        <w:t>；</w:t>
      </w:r>
    </w:p>
    <w:p w14:paraId="6388D143">
      <w:pPr>
        <w:sectPr>
          <w:headerReference r:id="rId241" w:type="default"/>
          <w:footerReference r:id="rId242" w:type="default"/>
          <w:pgSz w:w="11906" w:h="16839"/>
          <w:pgMar w:top="1132" w:right="1785" w:bottom="1182" w:left="1785" w:header="878" w:footer="1022" w:gutter="0"/>
          <w:cols w:space="720" w:num="1"/>
        </w:sectPr>
      </w:pPr>
    </w:p>
    <w:p w14:paraId="0606BC95">
      <w:pPr>
        <w:spacing w:line="409" w:lineRule="auto"/>
        <w:rPr>
          <w:rFonts w:ascii="Arial"/>
          <w:sz w:val="21"/>
        </w:rPr>
      </w:pPr>
      <w:r>
        <w:pict>
          <v:shape id="_x0000_s1284" o:spid="_x0000_s1284" style="position:absolute;left:0pt;margin-left:90pt;margin-top:57.35pt;height:0.75pt;width:415.3pt;mso-position-horizontal-relative:page;mso-position-vertical-relative:page;z-index:251937792;mso-width-relative:page;mso-height-relative:page;" fillcolor="#000000" filled="t" stroked="f" coordsize="8305,15" o:allowincell="f" path="m0,0l8305,0,8305,14,0,14,0,0xe">
            <v:path/>
            <v:fill on="t" focussize="0,0"/>
            <v:stroke on="f"/>
            <v:imagedata o:title=""/>
            <o:lock v:ext="edit"/>
          </v:shape>
        </w:pict>
      </w:r>
    </w:p>
    <w:p w14:paraId="4F955D0D">
      <w:pPr>
        <w:spacing w:before="74" w:line="227" w:lineRule="auto"/>
        <w:ind w:left="1224"/>
        <w:rPr>
          <w:rFonts w:ascii="宋体" w:hAnsi="宋体" w:eastAsia="宋体" w:cs="宋体"/>
          <w:sz w:val="23"/>
          <w:szCs w:val="23"/>
        </w:rPr>
      </w:pPr>
      <w:r>
        <w:rPr>
          <w:rFonts w:ascii="Times New Roman" w:hAnsi="Times New Roman" w:eastAsia="Times New Roman" w:cs="Times New Roman"/>
          <w:spacing w:val="-1"/>
          <w:sz w:val="23"/>
          <w:szCs w:val="23"/>
        </w:rPr>
        <w:t xml:space="preserve">α—  </w:t>
      </w:r>
      <w:r>
        <w:rPr>
          <w:rFonts w:ascii="宋体" w:hAnsi="宋体" w:eastAsia="宋体" w:cs="宋体"/>
          <w:spacing w:val="-1"/>
          <w:sz w:val="23"/>
          <w:szCs w:val="23"/>
        </w:rPr>
        <w:t>平均吸声系数，</w:t>
      </w:r>
      <w:r>
        <w:rPr>
          <w:rFonts w:ascii="宋体" w:hAnsi="宋体" w:eastAsia="宋体" w:cs="宋体"/>
          <w:sz w:val="23"/>
          <w:szCs w:val="23"/>
        </w:rPr>
        <w:t xml:space="preserve">取 </w:t>
      </w:r>
      <w:r>
        <w:rPr>
          <w:rFonts w:ascii="Times New Roman" w:hAnsi="Times New Roman" w:eastAsia="Times New Roman" w:cs="Times New Roman"/>
          <w:sz w:val="23"/>
          <w:szCs w:val="23"/>
        </w:rPr>
        <w:t>0. 1</w:t>
      </w:r>
      <w:r>
        <w:rPr>
          <w:rFonts w:ascii="宋体" w:hAnsi="宋体" w:eastAsia="宋体" w:cs="宋体"/>
          <w:sz w:val="23"/>
          <w:szCs w:val="23"/>
        </w:rPr>
        <w:t>。</w:t>
      </w:r>
    </w:p>
    <w:p w14:paraId="20F9942C">
      <w:pPr>
        <w:spacing w:line="276" w:lineRule="auto"/>
        <w:rPr>
          <w:rFonts w:ascii="Arial"/>
          <w:sz w:val="21"/>
        </w:rPr>
      </w:pPr>
    </w:p>
    <w:p w14:paraId="1597155A">
      <w:pPr>
        <w:spacing w:before="75" w:line="227" w:lineRule="auto"/>
        <w:ind w:left="507"/>
        <w:rPr>
          <w:rFonts w:ascii="宋体" w:hAnsi="宋体" w:eastAsia="宋体" w:cs="宋体"/>
          <w:sz w:val="23"/>
          <w:szCs w:val="23"/>
        </w:rPr>
      </w:pPr>
      <w:r>
        <w:rPr>
          <w:rFonts w:ascii="宋体" w:hAnsi="宋体" w:eastAsia="宋体" w:cs="宋体"/>
          <w:spacing w:val="12"/>
          <w:sz w:val="23"/>
          <w:szCs w:val="23"/>
        </w:rPr>
        <w:t>室内</w:t>
      </w:r>
      <w:r>
        <w:rPr>
          <w:rFonts w:ascii="宋体" w:hAnsi="宋体" w:eastAsia="宋体" w:cs="宋体"/>
          <w:spacing w:val="10"/>
          <w:sz w:val="23"/>
          <w:szCs w:val="23"/>
        </w:rPr>
        <w:t>所</w:t>
      </w:r>
      <w:r>
        <w:rPr>
          <w:rFonts w:ascii="宋体" w:hAnsi="宋体" w:eastAsia="宋体" w:cs="宋体"/>
          <w:spacing w:val="6"/>
          <w:sz w:val="23"/>
          <w:szCs w:val="23"/>
        </w:rPr>
        <w:t>有声源在靠近围护结构处的合成声压级 (</w:t>
      </w:r>
      <w:r>
        <w:rPr>
          <w:rFonts w:ascii="Times New Roman" w:hAnsi="Times New Roman" w:eastAsia="Times New Roman" w:cs="Times New Roman"/>
          <w:sz w:val="23"/>
          <w:szCs w:val="23"/>
        </w:rPr>
        <w:t>L</w:t>
      </w:r>
      <w:r>
        <w:rPr>
          <w:rFonts w:ascii="Times New Roman" w:hAnsi="Times New Roman" w:eastAsia="Times New Roman" w:cs="Times New Roman"/>
          <w:spacing w:val="6"/>
          <w:position w:val="-1"/>
          <w:sz w:val="15"/>
          <w:szCs w:val="15"/>
        </w:rPr>
        <w:t xml:space="preserve">1 </w:t>
      </w:r>
      <w:r>
        <w:rPr>
          <w:rFonts w:ascii="宋体" w:hAnsi="宋体" w:eastAsia="宋体" w:cs="宋体"/>
          <w:spacing w:val="6"/>
          <w:sz w:val="23"/>
          <w:szCs w:val="23"/>
        </w:rPr>
        <w:t>) ：</w:t>
      </w:r>
    </w:p>
    <w:p w14:paraId="5C524288">
      <w:pPr>
        <w:spacing w:before="251" w:line="204" w:lineRule="auto"/>
        <w:ind w:left="3172"/>
        <w:rPr>
          <w:rFonts w:ascii="Times New Roman" w:hAnsi="Times New Roman" w:eastAsia="Times New Roman" w:cs="Times New Roman"/>
          <w:sz w:val="23"/>
          <w:szCs w:val="23"/>
        </w:rPr>
      </w:pPr>
      <w:r>
        <w:rPr>
          <w:rFonts w:ascii="Times New Roman" w:hAnsi="Times New Roman" w:eastAsia="Times New Roman" w:cs="Times New Roman"/>
          <w:i/>
          <w:iCs/>
          <w:sz w:val="23"/>
          <w:szCs w:val="23"/>
        </w:rPr>
        <w:t>L</w:t>
      </w:r>
      <w:r>
        <w:rPr>
          <w:rFonts w:ascii="Times New Roman" w:hAnsi="Times New Roman" w:eastAsia="Times New Roman" w:cs="Times New Roman"/>
          <w:spacing w:val="12"/>
          <w:position w:val="-5"/>
          <w:sz w:val="13"/>
          <w:szCs w:val="13"/>
        </w:rPr>
        <w:t>1</w:t>
      </w:r>
      <w:r>
        <w:rPr>
          <w:rFonts w:ascii="Times New Roman" w:hAnsi="Times New Roman" w:eastAsia="Times New Roman" w:cs="Times New Roman"/>
          <w:spacing w:val="7"/>
          <w:position w:val="-5"/>
          <w:sz w:val="13"/>
          <w:szCs w:val="13"/>
        </w:rPr>
        <w:t xml:space="preserve"> </w:t>
      </w:r>
      <w:r>
        <w:rPr>
          <w:rFonts w:ascii="Times New Roman" w:hAnsi="Times New Roman" w:eastAsia="Times New Roman" w:cs="Times New Roman"/>
          <w:spacing w:val="6"/>
          <w:position w:val="-5"/>
          <w:sz w:val="13"/>
          <w:szCs w:val="13"/>
        </w:rPr>
        <w:t xml:space="preserve"> </w:t>
      </w:r>
      <w:r>
        <w:rPr>
          <w:rFonts w:ascii="Symbol" w:hAnsi="Symbol" w:eastAsia="Symbol" w:cs="Symbol"/>
          <w:spacing w:val="6"/>
          <w:sz w:val="23"/>
          <w:szCs w:val="23"/>
        </w:rPr>
        <w:t xml:space="preserve">= </w:t>
      </w:r>
      <w:r>
        <w:rPr>
          <w:rFonts w:ascii="Times New Roman" w:hAnsi="Times New Roman" w:eastAsia="Times New Roman" w:cs="Times New Roman"/>
          <w:spacing w:val="6"/>
          <w:sz w:val="23"/>
          <w:szCs w:val="23"/>
        </w:rPr>
        <w:t xml:space="preserve">10 </w:t>
      </w:r>
      <w:r>
        <w:rPr>
          <w:rFonts w:ascii="Times New Roman" w:hAnsi="Times New Roman" w:eastAsia="Times New Roman" w:cs="Times New Roman"/>
          <w:sz w:val="23"/>
          <w:szCs w:val="23"/>
        </w:rPr>
        <w:t>lg</w:t>
      </w:r>
      <w:r>
        <w:rPr>
          <w:rFonts w:ascii="Times New Roman" w:hAnsi="Times New Roman" w:eastAsia="Times New Roman" w:cs="Times New Roman"/>
          <w:spacing w:val="6"/>
          <w:sz w:val="23"/>
          <w:szCs w:val="23"/>
        </w:rPr>
        <w:t>(</w:t>
      </w:r>
      <w:r>
        <w:rPr>
          <w:rFonts w:ascii="Times New Roman" w:hAnsi="Times New Roman" w:eastAsia="Times New Roman" w:cs="Times New Roman"/>
          <w:i/>
          <w:iCs/>
          <w:position w:val="24"/>
          <w:sz w:val="13"/>
          <w:szCs w:val="13"/>
        </w:rPr>
        <w:t>n</w:t>
      </w:r>
      <w:r>
        <w:rPr>
          <w:position w:val="-12"/>
          <w:sz w:val="13"/>
          <w:szCs w:val="13"/>
        </w:rPr>
        <w:drawing>
          <wp:inline distT="0" distB="0" distL="0" distR="0">
            <wp:extent cx="53975" cy="27749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529"/>
                    <a:stretch>
                      <a:fillRect/>
                    </a:stretch>
                  </pic:blipFill>
                  <pic:spPr>
                    <a:xfrm>
                      <a:off x="0" y="0"/>
                      <a:ext cx="54345" cy="277567"/>
                    </a:xfrm>
                    <a:prstGeom prst="rect">
                      <a:avLst/>
                    </a:prstGeom>
                  </pic:spPr>
                </pic:pic>
              </a:graphicData>
            </a:graphic>
          </wp:inline>
        </w:drawing>
      </w:r>
      <w:r>
        <w:rPr>
          <w:rFonts w:ascii="Times New Roman" w:hAnsi="Times New Roman" w:eastAsia="Times New Roman" w:cs="Times New Roman"/>
          <w:spacing w:val="6"/>
          <w:position w:val="24"/>
          <w:sz w:val="13"/>
          <w:szCs w:val="13"/>
        </w:rPr>
        <w:t xml:space="preserve"> </w:t>
      </w:r>
      <w:r>
        <w:rPr>
          <w:rFonts w:ascii="Times New Roman" w:hAnsi="Times New Roman" w:eastAsia="Times New Roman" w:cs="Times New Roman"/>
          <w:spacing w:val="6"/>
          <w:sz w:val="23"/>
          <w:szCs w:val="23"/>
        </w:rPr>
        <w:t>10</w:t>
      </w:r>
      <w:r>
        <w:rPr>
          <w:rFonts w:ascii="Times New Roman" w:hAnsi="Times New Roman" w:eastAsia="Times New Roman" w:cs="Times New Roman"/>
          <w:spacing w:val="6"/>
          <w:position w:val="13"/>
          <w:sz w:val="13"/>
          <w:szCs w:val="13"/>
        </w:rPr>
        <w:t>0. 1</w:t>
      </w:r>
      <w:r>
        <w:rPr>
          <w:rFonts w:ascii="Times New Roman" w:hAnsi="Times New Roman" w:eastAsia="Times New Roman" w:cs="Times New Roman"/>
          <w:i/>
          <w:iCs/>
          <w:position w:val="13"/>
          <w:sz w:val="13"/>
          <w:szCs w:val="13"/>
        </w:rPr>
        <w:t>L</w:t>
      </w:r>
      <w:r>
        <w:rPr>
          <w:rFonts w:ascii="Times New Roman" w:hAnsi="Times New Roman" w:eastAsia="Times New Roman" w:cs="Times New Roman"/>
          <w:i/>
          <w:iCs/>
          <w:position w:val="10"/>
          <w:sz w:val="9"/>
          <w:szCs w:val="9"/>
        </w:rPr>
        <w:t>pi</w:t>
      </w:r>
      <w:r>
        <w:rPr>
          <w:rFonts w:ascii="Times New Roman" w:hAnsi="Times New Roman" w:eastAsia="Times New Roman" w:cs="Times New Roman"/>
          <w:spacing w:val="6"/>
          <w:position w:val="10"/>
          <w:sz w:val="9"/>
          <w:szCs w:val="9"/>
        </w:rPr>
        <w:t xml:space="preserve">  </w:t>
      </w:r>
      <w:r>
        <w:rPr>
          <w:rFonts w:ascii="Times New Roman" w:hAnsi="Times New Roman" w:eastAsia="Times New Roman" w:cs="Times New Roman"/>
          <w:spacing w:val="6"/>
          <w:sz w:val="23"/>
          <w:szCs w:val="23"/>
        </w:rPr>
        <w:t>)</w:t>
      </w:r>
    </w:p>
    <w:p w14:paraId="6143926C">
      <w:pPr>
        <w:spacing w:before="298" w:line="228" w:lineRule="auto"/>
        <w:ind w:left="508"/>
        <w:rPr>
          <w:rFonts w:ascii="宋体" w:hAnsi="宋体" w:eastAsia="宋体" w:cs="宋体"/>
          <w:sz w:val="23"/>
          <w:szCs w:val="23"/>
        </w:rPr>
      </w:pPr>
      <w:r>
        <w:rPr>
          <w:rFonts w:ascii="宋体" w:hAnsi="宋体" w:eastAsia="宋体" w:cs="宋体"/>
          <w:spacing w:val="10"/>
          <w:sz w:val="23"/>
          <w:szCs w:val="23"/>
        </w:rPr>
        <w:t>外</w:t>
      </w:r>
      <w:r>
        <w:rPr>
          <w:rFonts w:ascii="宋体" w:hAnsi="宋体" w:eastAsia="宋体" w:cs="宋体"/>
          <w:spacing w:val="7"/>
          <w:sz w:val="23"/>
          <w:szCs w:val="23"/>
        </w:rPr>
        <w:t>室</w:t>
      </w:r>
      <w:r>
        <w:rPr>
          <w:rFonts w:ascii="宋体" w:hAnsi="宋体" w:eastAsia="宋体" w:cs="宋体"/>
          <w:spacing w:val="5"/>
          <w:sz w:val="23"/>
          <w:szCs w:val="23"/>
        </w:rPr>
        <w:t>靠近围护结构处的声压级 (</w:t>
      </w:r>
      <w:r>
        <w:rPr>
          <w:rFonts w:ascii="Times New Roman" w:hAnsi="Times New Roman" w:eastAsia="Times New Roman" w:cs="Times New Roman"/>
          <w:sz w:val="23"/>
          <w:szCs w:val="23"/>
        </w:rPr>
        <w:t>L</w:t>
      </w:r>
      <w:r>
        <w:rPr>
          <w:rFonts w:ascii="Times New Roman" w:hAnsi="Times New Roman" w:eastAsia="Times New Roman" w:cs="Times New Roman"/>
          <w:spacing w:val="5"/>
          <w:position w:val="-1"/>
          <w:sz w:val="15"/>
          <w:szCs w:val="15"/>
        </w:rPr>
        <w:t xml:space="preserve">2 </w:t>
      </w:r>
      <w:r>
        <w:rPr>
          <w:rFonts w:ascii="宋体" w:hAnsi="宋体" w:eastAsia="宋体" w:cs="宋体"/>
          <w:spacing w:val="5"/>
          <w:sz w:val="23"/>
          <w:szCs w:val="23"/>
        </w:rPr>
        <w:t>) ：</w:t>
      </w:r>
    </w:p>
    <w:p w14:paraId="440A0DB1">
      <w:pPr>
        <w:spacing w:before="312" w:line="319" w:lineRule="exact"/>
        <w:ind w:left="3165"/>
        <w:rPr>
          <w:rFonts w:ascii="宋体" w:hAnsi="宋体" w:eastAsia="宋体" w:cs="宋体"/>
          <w:sz w:val="23"/>
          <w:szCs w:val="23"/>
        </w:rPr>
      </w:pPr>
      <w:r>
        <w:rPr>
          <w:rFonts w:ascii="Times New Roman" w:hAnsi="Times New Roman" w:eastAsia="Times New Roman" w:cs="Times New Roman"/>
          <w:i/>
          <w:iCs/>
          <w:position w:val="1"/>
          <w:sz w:val="23"/>
          <w:szCs w:val="23"/>
        </w:rPr>
        <w:t>L</w:t>
      </w:r>
      <w:r>
        <w:rPr>
          <w:rFonts w:ascii="Times New Roman" w:hAnsi="Times New Roman" w:eastAsia="Times New Roman" w:cs="Times New Roman"/>
          <w:i/>
          <w:iCs/>
          <w:spacing w:val="10"/>
          <w:sz w:val="15"/>
          <w:szCs w:val="15"/>
        </w:rPr>
        <w:t>2</w:t>
      </w:r>
      <w:r>
        <w:rPr>
          <w:rFonts w:ascii="Times New Roman" w:hAnsi="Times New Roman" w:eastAsia="Times New Roman" w:cs="Times New Roman"/>
          <w:spacing w:val="6"/>
          <w:sz w:val="15"/>
          <w:szCs w:val="15"/>
        </w:rPr>
        <w:t xml:space="preserve"> </w:t>
      </w:r>
      <w:r>
        <w:rPr>
          <w:rFonts w:ascii="Times New Roman" w:hAnsi="Times New Roman" w:eastAsia="Times New Roman" w:cs="Times New Roman"/>
          <w:spacing w:val="5"/>
          <w:sz w:val="15"/>
          <w:szCs w:val="15"/>
        </w:rPr>
        <w:t xml:space="preserve"> </w:t>
      </w:r>
      <w:r>
        <w:rPr>
          <w:rFonts w:ascii="Times New Roman" w:hAnsi="Times New Roman" w:eastAsia="Times New Roman" w:cs="Times New Roman"/>
          <w:i/>
          <w:iCs/>
          <w:spacing w:val="5"/>
          <w:position w:val="1"/>
          <w:sz w:val="23"/>
          <w:szCs w:val="23"/>
        </w:rPr>
        <w:t>=</w:t>
      </w:r>
      <w:r>
        <w:rPr>
          <w:rFonts w:ascii="Times New Roman" w:hAnsi="Times New Roman" w:eastAsia="Times New Roman" w:cs="Times New Roman"/>
          <w:spacing w:val="5"/>
          <w:position w:val="1"/>
          <w:sz w:val="23"/>
          <w:szCs w:val="23"/>
        </w:rPr>
        <w:t xml:space="preserve"> </w:t>
      </w:r>
      <w:r>
        <w:rPr>
          <w:rFonts w:ascii="Times New Roman" w:hAnsi="Times New Roman" w:eastAsia="Times New Roman" w:cs="Times New Roman"/>
          <w:i/>
          <w:iCs/>
          <w:position w:val="1"/>
          <w:sz w:val="23"/>
          <w:szCs w:val="23"/>
        </w:rPr>
        <w:t>L</w:t>
      </w:r>
      <w:r>
        <w:rPr>
          <w:rFonts w:ascii="Times New Roman" w:hAnsi="Times New Roman" w:eastAsia="Times New Roman" w:cs="Times New Roman"/>
          <w:i/>
          <w:iCs/>
          <w:spacing w:val="5"/>
          <w:sz w:val="15"/>
          <w:szCs w:val="15"/>
        </w:rPr>
        <w:t>1</w:t>
      </w:r>
      <w:r>
        <w:rPr>
          <w:rFonts w:ascii="Times New Roman" w:hAnsi="Times New Roman" w:eastAsia="Times New Roman" w:cs="Times New Roman"/>
          <w:spacing w:val="5"/>
          <w:sz w:val="15"/>
          <w:szCs w:val="15"/>
        </w:rPr>
        <w:t xml:space="preserve"> </w:t>
      </w:r>
      <w:r>
        <w:rPr>
          <w:rFonts w:ascii="Times New Roman" w:hAnsi="Times New Roman" w:eastAsia="Times New Roman" w:cs="Times New Roman"/>
          <w:i/>
          <w:iCs/>
          <w:spacing w:val="5"/>
          <w:position w:val="1"/>
          <w:sz w:val="23"/>
          <w:szCs w:val="23"/>
        </w:rPr>
        <w:t>-</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w:t>
      </w:r>
      <w:r>
        <w:rPr>
          <w:rFonts w:ascii="Times New Roman" w:hAnsi="Times New Roman" w:eastAsia="Times New Roman" w:cs="Times New Roman"/>
          <w:i/>
          <w:iCs/>
          <w:position w:val="1"/>
          <w:sz w:val="23"/>
          <w:szCs w:val="23"/>
        </w:rPr>
        <w:t>TL</w:t>
      </w:r>
      <w:r>
        <w:rPr>
          <w:rFonts w:ascii="Times New Roman" w:hAnsi="Times New Roman" w:eastAsia="Times New Roman" w:cs="Times New Roman"/>
          <w:i/>
          <w:iCs/>
          <w:spacing w:val="5"/>
          <w:position w:val="1"/>
          <w:sz w:val="23"/>
          <w:szCs w:val="23"/>
        </w:rPr>
        <w:t>+6</w:t>
      </w:r>
      <w:r>
        <w:rPr>
          <w:rFonts w:ascii="宋体" w:hAnsi="宋体" w:eastAsia="宋体" w:cs="宋体"/>
          <w:spacing w:val="5"/>
          <w:position w:val="1"/>
          <w:sz w:val="23"/>
          <w:szCs w:val="23"/>
        </w:rPr>
        <w:t>)</w:t>
      </w:r>
    </w:p>
    <w:p w14:paraId="63ABBC90">
      <w:pPr>
        <w:spacing w:line="279" w:lineRule="auto"/>
        <w:rPr>
          <w:rFonts w:ascii="Arial"/>
          <w:sz w:val="21"/>
        </w:rPr>
      </w:pPr>
    </w:p>
    <w:p w14:paraId="0BCD0320">
      <w:pPr>
        <w:spacing w:before="75" w:line="227" w:lineRule="auto"/>
        <w:ind w:left="508"/>
        <w:rPr>
          <w:rFonts w:ascii="宋体" w:hAnsi="宋体" w:eastAsia="宋体" w:cs="宋体"/>
          <w:sz w:val="23"/>
          <w:szCs w:val="23"/>
        </w:rPr>
      </w:pPr>
      <w:r>
        <w:rPr>
          <w:rFonts w:ascii="宋体" w:hAnsi="宋体" w:eastAsia="宋体" w:cs="宋体"/>
          <w:spacing w:val="14"/>
          <w:sz w:val="23"/>
          <w:szCs w:val="23"/>
        </w:rPr>
        <w:t>式中</w:t>
      </w:r>
      <w:r>
        <w:rPr>
          <w:rFonts w:ascii="宋体" w:hAnsi="宋体" w:eastAsia="宋体" w:cs="宋体"/>
          <w:spacing w:val="12"/>
          <w:sz w:val="23"/>
          <w:szCs w:val="23"/>
        </w:rPr>
        <w:t>：</w:t>
      </w:r>
      <w:r>
        <w:rPr>
          <w:rFonts w:ascii="Times New Roman" w:hAnsi="Times New Roman" w:eastAsia="Times New Roman" w:cs="Times New Roman"/>
          <w:sz w:val="23"/>
          <w:szCs w:val="23"/>
        </w:rPr>
        <w:t>TL</w:t>
      </w:r>
      <w:r>
        <w:rPr>
          <w:rFonts w:ascii="Times New Roman" w:hAnsi="Times New Roman" w:eastAsia="Times New Roman" w:cs="Times New Roman"/>
          <w:spacing w:val="7"/>
          <w:sz w:val="23"/>
          <w:szCs w:val="23"/>
        </w:rPr>
        <w:t xml:space="preserve"> —  </w:t>
      </w:r>
      <w:r>
        <w:rPr>
          <w:rFonts w:ascii="宋体" w:hAnsi="宋体" w:eastAsia="宋体" w:cs="宋体"/>
          <w:spacing w:val="7"/>
          <w:sz w:val="23"/>
          <w:szCs w:val="23"/>
        </w:rPr>
        <w:t>隔墙 (或隔窗) 的传输损失，按下式计算：</w:t>
      </w:r>
    </w:p>
    <w:p w14:paraId="58C693C0">
      <w:pPr>
        <w:tabs>
          <w:tab w:val="left" w:pos="4388"/>
        </w:tabs>
        <w:spacing w:before="215"/>
        <w:ind w:left="4154"/>
        <w:rPr>
          <w:rFonts w:ascii="Times New Roman" w:hAnsi="Times New Roman" w:eastAsia="Times New Roman" w:cs="Times New Roman"/>
          <w:sz w:val="13"/>
          <w:szCs w:val="13"/>
        </w:rPr>
      </w:pPr>
      <w:r>
        <w:pict>
          <v:shape id="_x0000_s1285" o:spid="_x0000_s1285" o:spt="202" type="#_x0000_t202" style="position:absolute;left:0pt;margin-left:158.2pt;margin-top:21.85pt;height:30.5pt;width:97.25pt;z-index:251938816;mso-width-relative:page;mso-height-relative:page;" filled="f" stroked="f" coordsize="21600,21600">
            <v:path/>
            <v:fill on="f" focussize="0,0"/>
            <v:stroke on="f"/>
            <v:imagedata o:title=""/>
            <o:lock v:ext="edit" aspectratio="f"/>
            <v:textbox inset="0mm,0mm,0mm,0mm">
              <w:txbxContent>
                <w:p w14:paraId="0C7F9B7C">
                  <w:pPr>
                    <w:spacing w:before="20" w:line="569" w:lineRule="exact"/>
                    <w:ind w:left="20"/>
                    <w:rPr>
                      <w:rFonts w:ascii="Times New Roman" w:hAnsi="Times New Roman" w:eastAsia="Times New Roman" w:cs="Times New Roman"/>
                      <w:sz w:val="13"/>
                      <w:szCs w:val="13"/>
                    </w:rPr>
                  </w:pPr>
                  <w:r>
                    <w:rPr>
                      <w:rFonts w:ascii="Times New Roman" w:hAnsi="Times New Roman" w:eastAsia="Times New Roman" w:cs="Times New Roman"/>
                      <w:i/>
                      <w:iCs/>
                      <w:position w:val="25"/>
                      <w:sz w:val="23"/>
                      <w:szCs w:val="23"/>
                    </w:rPr>
                    <w:t>TL</w:t>
                  </w:r>
                  <w:r>
                    <w:rPr>
                      <w:rFonts w:ascii="Times New Roman" w:hAnsi="Times New Roman" w:eastAsia="Times New Roman" w:cs="Times New Roman"/>
                      <w:spacing w:val="10"/>
                      <w:position w:val="25"/>
                      <w:sz w:val="23"/>
                      <w:szCs w:val="23"/>
                    </w:rPr>
                    <w:t xml:space="preserve"> </w:t>
                  </w:r>
                  <w:r>
                    <w:rPr>
                      <w:rFonts w:ascii="Symbol" w:hAnsi="Symbol" w:eastAsia="Symbol" w:cs="Symbol"/>
                      <w:spacing w:val="7"/>
                      <w:position w:val="25"/>
                      <w:sz w:val="23"/>
                      <w:szCs w:val="23"/>
                    </w:rPr>
                    <w:t xml:space="preserve">= </w:t>
                  </w:r>
                  <w:r>
                    <w:rPr>
                      <w:rFonts w:ascii="Times New Roman" w:hAnsi="Times New Roman" w:eastAsia="Times New Roman" w:cs="Times New Roman"/>
                      <w:spacing w:val="7"/>
                      <w:position w:val="25"/>
                      <w:sz w:val="23"/>
                      <w:szCs w:val="23"/>
                    </w:rPr>
                    <w:t>10</w:t>
                  </w:r>
                  <w:r>
                    <w:rPr>
                      <w:rFonts w:ascii="Times New Roman" w:hAnsi="Times New Roman" w:eastAsia="Times New Roman" w:cs="Times New Roman"/>
                      <w:position w:val="25"/>
                      <w:sz w:val="23"/>
                      <w:szCs w:val="23"/>
                    </w:rPr>
                    <w:t>lg</w:t>
                  </w:r>
                  <w:r>
                    <w:rPr>
                      <w:rFonts w:ascii="Times New Roman" w:hAnsi="Times New Roman" w:eastAsia="Times New Roman" w:cs="Times New Roman"/>
                      <w:spacing w:val="7"/>
                      <w:position w:val="25"/>
                      <w:sz w:val="23"/>
                      <w:szCs w:val="23"/>
                    </w:rPr>
                    <w:t xml:space="preserve"> </w:t>
                  </w:r>
                  <w:r>
                    <w:rPr>
                      <w:position w:val="-6"/>
                      <w:sz w:val="23"/>
                      <w:szCs w:val="23"/>
                    </w:rPr>
                    <w:drawing>
                      <wp:inline distT="0" distB="0" distL="0" distR="0">
                        <wp:extent cx="151765" cy="27749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530"/>
                                <a:stretch>
                                  <a:fillRect/>
                                </a:stretch>
                              </pic:blipFill>
                              <pic:spPr>
                                <a:xfrm>
                                  <a:off x="0" y="0"/>
                                  <a:ext cx="152390" cy="277567"/>
                                </a:xfrm>
                                <a:prstGeom prst="rect">
                                  <a:avLst/>
                                </a:prstGeom>
                              </pic:spPr>
                            </pic:pic>
                          </a:graphicData>
                        </a:graphic>
                      </wp:inline>
                    </w:drawing>
                  </w:r>
                  <w:r>
                    <w:rPr>
                      <w:rFonts w:ascii="Times New Roman" w:hAnsi="Times New Roman" w:eastAsia="Times New Roman" w:cs="Times New Roman"/>
                      <w:spacing w:val="7"/>
                      <w:position w:val="25"/>
                      <w:sz w:val="23"/>
                      <w:szCs w:val="23"/>
                    </w:rPr>
                    <w:t xml:space="preserve"> </w:t>
                  </w:r>
                  <w:r>
                    <w:rPr>
                      <w:rFonts w:ascii="Symbol" w:hAnsi="Symbol" w:eastAsia="Symbol" w:cs="Symbol"/>
                      <w:position w:val="7"/>
                      <w:sz w:val="25"/>
                      <w:szCs w:val="25"/>
                    </w:rPr>
                    <w:t>T</w:t>
                  </w:r>
                  <w:r>
                    <w:rPr>
                      <w:rFonts w:ascii="Times New Roman" w:hAnsi="Times New Roman" w:eastAsia="Times New Roman" w:cs="Times New Roman"/>
                      <w:i/>
                      <w:iCs/>
                      <w:position w:val="1"/>
                      <w:sz w:val="13"/>
                      <w:szCs w:val="13"/>
                    </w:rPr>
                    <w:t>k</w:t>
                  </w:r>
                  <w:r>
                    <w:rPr>
                      <w:rFonts w:ascii="Times New Roman" w:hAnsi="Times New Roman" w:eastAsia="Times New Roman" w:cs="Times New Roman"/>
                      <w:spacing w:val="7"/>
                      <w:position w:val="1"/>
                      <w:sz w:val="13"/>
                      <w:szCs w:val="13"/>
                    </w:rPr>
                    <w:t xml:space="preserve">  </w:t>
                  </w:r>
                  <w:r>
                    <w:rPr>
                      <w:rFonts w:ascii="Symbol" w:hAnsi="Symbol" w:eastAsia="Symbol" w:cs="Symbol"/>
                      <w:spacing w:val="7"/>
                      <w:position w:val="7"/>
                      <w:sz w:val="23"/>
                      <w:szCs w:val="23"/>
                    </w:rPr>
                    <w:t xml:space="preserve">. </w:t>
                  </w:r>
                  <w:r>
                    <w:rPr>
                      <w:rFonts w:ascii="Times New Roman" w:hAnsi="Times New Roman" w:eastAsia="Times New Roman" w:cs="Times New Roman"/>
                      <w:i/>
                      <w:iCs/>
                      <w:position w:val="7"/>
                      <w:sz w:val="23"/>
                      <w:szCs w:val="23"/>
                    </w:rPr>
                    <w:t>S</w:t>
                  </w:r>
                  <w:r>
                    <w:rPr>
                      <w:rFonts w:ascii="Times New Roman" w:hAnsi="Times New Roman" w:eastAsia="Times New Roman" w:cs="Times New Roman"/>
                      <w:i/>
                      <w:iCs/>
                      <w:position w:val="1"/>
                      <w:sz w:val="13"/>
                      <w:szCs w:val="13"/>
                    </w:rPr>
                    <w:t>k</w:t>
                  </w:r>
                </w:p>
              </w:txbxContent>
            </v:textbox>
          </v:shape>
        </w:pict>
      </w:r>
      <w:r>
        <w:rPr>
          <w:rFonts w:ascii="Times New Roman" w:hAnsi="Times New Roman" w:eastAsia="Times New Roman" w:cs="Times New Roman"/>
          <w:position w:val="6"/>
          <w:sz w:val="23"/>
          <w:szCs w:val="23"/>
          <w:u w:val="single" w:color="auto"/>
        </w:rPr>
        <w:tab/>
      </w:r>
      <w:r>
        <w:rPr>
          <w:rFonts w:ascii="Times New Roman" w:hAnsi="Times New Roman" w:eastAsia="Times New Roman" w:cs="Times New Roman"/>
          <w:position w:val="-7"/>
          <w:sz w:val="23"/>
          <w:szCs w:val="23"/>
          <w:u w:val="single" w:color="auto"/>
        </w:rPr>
        <w:drawing>
          <wp:inline distT="0" distB="0" distL="0" distR="0">
            <wp:extent cx="152400" cy="27749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530"/>
                    <a:stretch>
                      <a:fillRect/>
                    </a:stretch>
                  </pic:blipFill>
                  <pic:spPr>
                    <a:xfrm>
                      <a:off x="0" y="0"/>
                      <a:ext cx="152529" cy="277567"/>
                    </a:xfrm>
                    <a:prstGeom prst="rect">
                      <a:avLst/>
                    </a:prstGeom>
                  </pic:spPr>
                </pic:pic>
              </a:graphicData>
            </a:graphic>
          </wp:inline>
        </w:drawing>
      </w:r>
      <w:r>
        <w:rPr>
          <w:rFonts w:ascii="Times New Roman" w:hAnsi="Times New Roman" w:eastAsia="Times New Roman" w:cs="Times New Roman"/>
          <w:spacing w:val="21"/>
          <w:position w:val="6"/>
          <w:sz w:val="23"/>
          <w:szCs w:val="23"/>
          <w:u w:val="single" w:color="auto"/>
        </w:rPr>
        <w:t xml:space="preserve"> </w:t>
      </w:r>
      <w:r>
        <w:rPr>
          <w:rFonts w:ascii="Times New Roman" w:hAnsi="Times New Roman" w:eastAsia="Times New Roman" w:cs="Times New Roman"/>
          <w:i/>
          <w:iCs/>
          <w:position w:val="6"/>
          <w:sz w:val="23"/>
          <w:szCs w:val="23"/>
          <w:u w:val="single" w:color="auto"/>
        </w:rPr>
        <w:t>S</w:t>
      </w:r>
      <w:r>
        <w:rPr>
          <w:rFonts w:ascii="Times New Roman" w:hAnsi="Times New Roman" w:eastAsia="Times New Roman" w:cs="Times New Roman"/>
          <w:i/>
          <w:iCs/>
          <w:sz w:val="13"/>
          <w:szCs w:val="13"/>
          <w:u w:val="single" w:color="auto"/>
        </w:rPr>
        <w:t>k</w:t>
      </w:r>
      <w:r>
        <w:rPr>
          <w:rFonts w:ascii="Times New Roman" w:hAnsi="Times New Roman" w:eastAsia="Times New Roman" w:cs="Times New Roman"/>
          <w:sz w:val="13"/>
          <w:szCs w:val="13"/>
          <w:u w:val="single" w:color="auto"/>
        </w:rPr>
        <w:t xml:space="preserve">        </w:t>
      </w:r>
    </w:p>
    <w:p w14:paraId="577D127C">
      <w:pPr>
        <w:spacing w:line="357" w:lineRule="auto"/>
        <w:rPr>
          <w:rFonts w:ascii="Arial"/>
          <w:sz w:val="21"/>
        </w:rPr>
      </w:pPr>
    </w:p>
    <w:p w14:paraId="7B9A5423">
      <w:pPr>
        <w:spacing w:line="357" w:lineRule="auto"/>
        <w:rPr>
          <w:rFonts w:ascii="Arial"/>
          <w:sz w:val="21"/>
        </w:rPr>
      </w:pPr>
    </w:p>
    <w:p w14:paraId="50437BF7">
      <w:pPr>
        <w:spacing w:before="76" w:line="313" w:lineRule="exact"/>
        <w:ind w:left="508"/>
        <w:rPr>
          <w:rFonts w:ascii="宋体" w:hAnsi="宋体" w:eastAsia="宋体" w:cs="宋体"/>
          <w:sz w:val="23"/>
          <w:szCs w:val="23"/>
        </w:rPr>
      </w:pPr>
      <w:r>
        <w:rPr>
          <w:rFonts w:ascii="宋体" w:hAnsi="宋体" w:eastAsia="宋体" w:cs="宋体"/>
          <w:spacing w:val="9"/>
          <w:position w:val="1"/>
          <w:sz w:val="23"/>
          <w:szCs w:val="23"/>
        </w:rPr>
        <w:t>式中：</w:t>
      </w:r>
      <w:r>
        <w:rPr>
          <w:rFonts w:ascii="Times New Roman" w:hAnsi="Times New Roman" w:eastAsia="Times New Roman" w:cs="Times New Roman"/>
          <w:position w:val="1"/>
          <w:sz w:val="23"/>
          <w:szCs w:val="23"/>
        </w:rPr>
        <w:t>S</w:t>
      </w:r>
      <w:r>
        <w:rPr>
          <w:rFonts w:ascii="Times New Roman" w:hAnsi="Times New Roman" w:eastAsia="Times New Roman" w:cs="Times New Roman"/>
          <w:sz w:val="15"/>
          <w:szCs w:val="15"/>
        </w:rPr>
        <w:t>k</w:t>
      </w:r>
      <w:r>
        <w:rPr>
          <w:rFonts w:ascii="Times New Roman" w:hAnsi="Times New Roman" w:eastAsia="Times New Roman" w:cs="Times New Roman"/>
          <w:spacing w:val="9"/>
          <w:sz w:val="15"/>
          <w:szCs w:val="15"/>
        </w:rPr>
        <w:t xml:space="preserve"> </w:t>
      </w:r>
      <w:r>
        <w:rPr>
          <w:rFonts w:ascii="Times New Roman" w:hAnsi="Times New Roman" w:eastAsia="Times New Roman" w:cs="Times New Roman"/>
          <w:spacing w:val="9"/>
          <w:position w:val="1"/>
          <w:sz w:val="23"/>
          <w:szCs w:val="23"/>
        </w:rPr>
        <w:t xml:space="preserve">—  </w:t>
      </w:r>
      <w:r>
        <w:rPr>
          <w:rFonts w:ascii="宋体" w:hAnsi="宋体" w:eastAsia="宋体" w:cs="宋体"/>
          <w:spacing w:val="9"/>
          <w:position w:val="1"/>
          <w:sz w:val="23"/>
          <w:szCs w:val="23"/>
        </w:rPr>
        <w:t>传声的围护结构面积，</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9"/>
          <w:position w:val="9"/>
          <w:sz w:val="15"/>
          <w:szCs w:val="15"/>
        </w:rPr>
        <w:t>2</w:t>
      </w:r>
      <w:r>
        <w:rPr>
          <w:rFonts w:ascii="宋体" w:hAnsi="宋体" w:eastAsia="宋体" w:cs="宋体"/>
          <w:spacing w:val="8"/>
          <w:position w:val="1"/>
          <w:sz w:val="23"/>
          <w:szCs w:val="23"/>
        </w:rPr>
        <w:t>；</w:t>
      </w:r>
    </w:p>
    <w:p w14:paraId="2788F770">
      <w:pPr>
        <w:spacing w:line="246" w:lineRule="auto"/>
        <w:rPr>
          <w:rFonts w:ascii="Arial"/>
          <w:sz w:val="21"/>
        </w:rPr>
      </w:pPr>
    </w:p>
    <w:p w14:paraId="634AE7FB">
      <w:pPr>
        <w:spacing w:before="75" w:line="314" w:lineRule="exact"/>
        <w:ind w:left="1215"/>
        <w:rPr>
          <w:rFonts w:ascii="宋体" w:hAnsi="宋体" w:eastAsia="宋体" w:cs="宋体"/>
          <w:sz w:val="23"/>
          <w:szCs w:val="23"/>
        </w:rPr>
      </w:pPr>
      <w:r>
        <w:rPr>
          <w:rFonts w:ascii="Times New Roman" w:hAnsi="Times New Roman" w:eastAsia="Times New Roman" w:cs="Times New Roman"/>
          <w:spacing w:val="8"/>
          <w:position w:val="1"/>
          <w:sz w:val="23"/>
          <w:szCs w:val="23"/>
        </w:rPr>
        <w:t>τ</w:t>
      </w:r>
      <w:r>
        <w:rPr>
          <w:rFonts w:ascii="Times New Roman" w:hAnsi="Times New Roman" w:eastAsia="Times New Roman" w:cs="Times New Roman"/>
          <w:sz w:val="15"/>
          <w:szCs w:val="15"/>
        </w:rPr>
        <w:t>k</w:t>
      </w:r>
      <w:r>
        <w:rPr>
          <w:rFonts w:ascii="Times New Roman" w:hAnsi="Times New Roman" w:eastAsia="Times New Roman" w:cs="Times New Roman"/>
          <w:spacing w:val="8"/>
          <w:sz w:val="15"/>
          <w:szCs w:val="15"/>
        </w:rPr>
        <w:t xml:space="preserve"> </w:t>
      </w:r>
      <w:r>
        <w:rPr>
          <w:rFonts w:ascii="Times New Roman" w:hAnsi="Times New Roman" w:eastAsia="Times New Roman" w:cs="Times New Roman"/>
          <w:spacing w:val="8"/>
          <w:position w:val="1"/>
          <w:sz w:val="23"/>
          <w:szCs w:val="23"/>
        </w:rPr>
        <w:t xml:space="preserve">—  </w:t>
      </w:r>
      <w:r>
        <w:rPr>
          <w:rFonts w:ascii="宋体" w:hAnsi="宋体" w:eastAsia="宋体" w:cs="宋体"/>
          <w:spacing w:val="8"/>
          <w:position w:val="1"/>
          <w:sz w:val="23"/>
          <w:szCs w:val="23"/>
        </w:rPr>
        <w:t>围护结构的透声系</w:t>
      </w:r>
      <w:r>
        <w:rPr>
          <w:rFonts w:ascii="宋体" w:hAnsi="宋体" w:eastAsia="宋体" w:cs="宋体"/>
          <w:spacing w:val="5"/>
          <w:position w:val="1"/>
          <w:sz w:val="23"/>
          <w:szCs w:val="23"/>
        </w:rPr>
        <w:t>数</w:t>
      </w:r>
    </w:p>
    <w:p w14:paraId="3170C69D">
      <w:pPr>
        <w:spacing w:line="245" w:lineRule="auto"/>
        <w:rPr>
          <w:rFonts w:ascii="Arial"/>
          <w:sz w:val="21"/>
        </w:rPr>
      </w:pPr>
    </w:p>
    <w:p w14:paraId="1F1360DD">
      <w:pPr>
        <w:spacing w:before="76" w:line="227" w:lineRule="auto"/>
        <w:ind w:left="501"/>
        <w:rPr>
          <w:rFonts w:ascii="宋体" w:hAnsi="宋体" w:eastAsia="宋体" w:cs="宋体"/>
          <w:sz w:val="23"/>
          <w:szCs w:val="23"/>
        </w:rPr>
      </w:pPr>
      <w:r>
        <w:rPr>
          <w:rFonts w:ascii="宋体" w:hAnsi="宋体" w:eastAsia="宋体" w:cs="宋体"/>
          <w:spacing w:val="12"/>
          <w:sz w:val="23"/>
          <w:szCs w:val="23"/>
        </w:rPr>
        <w:t>将室外</w:t>
      </w:r>
      <w:r>
        <w:rPr>
          <w:rFonts w:ascii="宋体" w:hAnsi="宋体" w:eastAsia="宋体" w:cs="宋体"/>
          <w:spacing w:val="10"/>
          <w:sz w:val="23"/>
          <w:szCs w:val="23"/>
        </w:rPr>
        <w:t>声</w:t>
      </w:r>
      <w:r>
        <w:rPr>
          <w:rFonts w:ascii="宋体" w:hAnsi="宋体" w:eastAsia="宋体" w:cs="宋体"/>
          <w:spacing w:val="6"/>
          <w:sz w:val="23"/>
          <w:szCs w:val="23"/>
        </w:rPr>
        <w:t xml:space="preserve">级 </w:t>
      </w:r>
      <w:r>
        <w:rPr>
          <w:rFonts w:ascii="Times New Roman" w:hAnsi="Times New Roman" w:eastAsia="Times New Roman" w:cs="Times New Roman"/>
          <w:sz w:val="23"/>
          <w:szCs w:val="23"/>
        </w:rPr>
        <w:t>L</w:t>
      </w:r>
      <w:r>
        <w:rPr>
          <w:rFonts w:ascii="Times New Roman" w:hAnsi="Times New Roman" w:eastAsia="Times New Roman" w:cs="Times New Roman"/>
          <w:spacing w:val="6"/>
          <w:position w:val="-1"/>
          <w:sz w:val="15"/>
          <w:szCs w:val="15"/>
        </w:rPr>
        <w:t xml:space="preserve">2 </w:t>
      </w:r>
      <w:r>
        <w:rPr>
          <w:rFonts w:ascii="宋体" w:hAnsi="宋体" w:eastAsia="宋体" w:cs="宋体"/>
          <w:spacing w:val="6"/>
          <w:sz w:val="23"/>
          <w:szCs w:val="23"/>
        </w:rPr>
        <w:t>和透声面积换算成等效的室外声源，公式如下：</w:t>
      </w:r>
    </w:p>
    <w:p w14:paraId="6FF8CCFF">
      <w:pPr>
        <w:spacing w:line="241" w:lineRule="auto"/>
        <w:rPr>
          <w:rFonts w:ascii="Arial"/>
          <w:sz w:val="21"/>
        </w:rPr>
      </w:pPr>
    </w:p>
    <w:p w14:paraId="57E340E7">
      <w:pPr>
        <w:spacing w:before="67" w:line="679" w:lineRule="exact"/>
        <w:ind w:left="3366"/>
        <w:rPr>
          <w:rFonts w:ascii="Times New Roman" w:hAnsi="Times New Roman" w:eastAsia="Times New Roman" w:cs="Times New Roman"/>
          <w:sz w:val="23"/>
          <w:szCs w:val="23"/>
        </w:rPr>
      </w:pPr>
      <w:r>
        <w:rPr>
          <w:rFonts w:ascii="Times New Roman" w:hAnsi="Times New Roman" w:eastAsia="Times New Roman" w:cs="Times New Roman"/>
          <w:i/>
          <w:iCs/>
          <w:position w:val="33"/>
          <w:sz w:val="23"/>
          <w:szCs w:val="23"/>
        </w:rPr>
        <w:t>L</w:t>
      </w:r>
      <w:r>
        <w:rPr>
          <w:rFonts w:ascii="Times New Roman" w:hAnsi="Times New Roman" w:eastAsia="Times New Roman" w:cs="Times New Roman"/>
          <w:i/>
          <w:iCs/>
          <w:position w:val="32"/>
          <w:sz w:val="15"/>
          <w:szCs w:val="15"/>
        </w:rPr>
        <w:t>w</w:t>
      </w:r>
      <w:r>
        <w:rPr>
          <w:rFonts w:ascii="Times New Roman" w:hAnsi="Times New Roman" w:eastAsia="Times New Roman" w:cs="Times New Roman"/>
          <w:i/>
          <w:iCs/>
          <w:spacing w:val="6"/>
          <w:position w:val="32"/>
          <w:sz w:val="15"/>
          <w:szCs w:val="15"/>
        </w:rPr>
        <w:t>2</w:t>
      </w:r>
      <w:r>
        <w:rPr>
          <w:rFonts w:ascii="Times New Roman" w:hAnsi="Times New Roman" w:eastAsia="Times New Roman" w:cs="Times New Roman"/>
          <w:spacing w:val="6"/>
          <w:position w:val="32"/>
          <w:sz w:val="15"/>
          <w:szCs w:val="15"/>
        </w:rPr>
        <w:t xml:space="preserve"> </w:t>
      </w:r>
      <w:r>
        <w:rPr>
          <w:rFonts w:ascii="Times New Roman" w:hAnsi="Times New Roman" w:eastAsia="Times New Roman" w:cs="Times New Roman"/>
          <w:spacing w:val="6"/>
          <w:position w:val="33"/>
          <w:sz w:val="23"/>
          <w:szCs w:val="23"/>
        </w:rPr>
        <w:t xml:space="preserve">= </w:t>
      </w:r>
      <w:r>
        <w:rPr>
          <w:rFonts w:ascii="Times New Roman" w:hAnsi="Times New Roman" w:eastAsia="Times New Roman" w:cs="Times New Roman"/>
          <w:i/>
          <w:iCs/>
          <w:position w:val="33"/>
          <w:sz w:val="23"/>
          <w:szCs w:val="23"/>
        </w:rPr>
        <w:t>L</w:t>
      </w:r>
      <w:r>
        <w:rPr>
          <w:rFonts w:ascii="Times New Roman" w:hAnsi="Times New Roman" w:eastAsia="Times New Roman" w:cs="Times New Roman"/>
          <w:i/>
          <w:iCs/>
          <w:spacing w:val="6"/>
          <w:position w:val="32"/>
          <w:sz w:val="15"/>
          <w:szCs w:val="15"/>
        </w:rPr>
        <w:t>2</w:t>
      </w:r>
      <w:r>
        <w:rPr>
          <w:rFonts w:ascii="Times New Roman" w:hAnsi="Times New Roman" w:eastAsia="Times New Roman" w:cs="Times New Roman"/>
          <w:spacing w:val="6"/>
          <w:position w:val="32"/>
          <w:sz w:val="15"/>
          <w:szCs w:val="15"/>
        </w:rPr>
        <w:t xml:space="preserve">  </w:t>
      </w:r>
      <w:r>
        <w:rPr>
          <w:rFonts w:ascii="Times New Roman" w:hAnsi="Times New Roman" w:eastAsia="Times New Roman" w:cs="Times New Roman"/>
          <w:i/>
          <w:iCs/>
          <w:spacing w:val="6"/>
          <w:position w:val="33"/>
          <w:sz w:val="23"/>
          <w:szCs w:val="23"/>
        </w:rPr>
        <w:t>+</w:t>
      </w:r>
      <w:r>
        <w:rPr>
          <w:rFonts w:ascii="Times New Roman" w:hAnsi="Times New Roman" w:eastAsia="Times New Roman" w:cs="Times New Roman"/>
          <w:spacing w:val="6"/>
          <w:position w:val="33"/>
          <w:sz w:val="23"/>
          <w:szCs w:val="23"/>
        </w:rPr>
        <w:t xml:space="preserve"> 1</w:t>
      </w:r>
      <w:r>
        <w:rPr>
          <w:rFonts w:ascii="Times New Roman" w:hAnsi="Times New Roman" w:eastAsia="Times New Roman" w:cs="Times New Roman"/>
          <w:spacing w:val="4"/>
          <w:position w:val="33"/>
          <w:sz w:val="23"/>
          <w:szCs w:val="23"/>
        </w:rPr>
        <w:t>0</w:t>
      </w:r>
      <w:r>
        <w:rPr>
          <w:rFonts w:ascii="Times New Roman" w:hAnsi="Times New Roman" w:eastAsia="Times New Roman" w:cs="Times New Roman"/>
          <w:i/>
          <w:iCs/>
          <w:position w:val="33"/>
          <w:sz w:val="23"/>
          <w:szCs w:val="23"/>
        </w:rPr>
        <w:t>lgS</w:t>
      </w:r>
    </w:p>
    <w:p w14:paraId="72829444">
      <w:pPr>
        <w:spacing w:line="313" w:lineRule="exact"/>
        <w:ind w:left="503"/>
        <w:rPr>
          <w:rFonts w:ascii="宋体" w:hAnsi="宋体" w:eastAsia="宋体" w:cs="宋体"/>
          <w:sz w:val="23"/>
          <w:szCs w:val="23"/>
        </w:rPr>
      </w:pPr>
      <w:r>
        <w:rPr>
          <w:rFonts w:ascii="宋体" w:hAnsi="宋体" w:eastAsia="宋体" w:cs="宋体"/>
          <w:spacing w:val="16"/>
          <w:position w:val="1"/>
          <w:sz w:val="23"/>
          <w:szCs w:val="23"/>
        </w:rPr>
        <w:t>计</w:t>
      </w:r>
      <w:r>
        <w:rPr>
          <w:rFonts w:ascii="宋体" w:hAnsi="宋体" w:eastAsia="宋体" w:cs="宋体"/>
          <w:spacing w:val="9"/>
          <w:position w:val="1"/>
          <w:sz w:val="23"/>
          <w:szCs w:val="23"/>
        </w:rPr>
        <w:t>算</w:t>
      </w:r>
      <w:r>
        <w:rPr>
          <w:rFonts w:ascii="宋体" w:hAnsi="宋体" w:eastAsia="宋体" w:cs="宋体"/>
          <w:spacing w:val="8"/>
          <w:position w:val="1"/>
          <w:sz w:val="23"/>
          <w:szCs w:val="23"/>
        </w:rPr>
        <w:t>等效室外声源传播到预测点的声压级 (</w:t>
      </w:r>
      <w:r>
        <w:rPr>
          <w:rFonts w:ascii="Times New Roman" w:hAnsi="Times New Roman" w:eastAsia="Times New Roman" w:cs="Times New Roman"/>
          <w:position w:val="1"/>
          <w:sz w:val="23"/>
          <w:szCs w:val="23"/>
        </w:rPr>
        <w:t>L</w:t>
      </w:r>
      <w:r>
        <w:rPr>
          <w:rFonts w:ascii="Times New Roman" w:hAnsi="Times New Roman" w:eastAsia="Times New Roman" w:cs="Times New Roman"/>
          <w:sz w:val="15"/>
          <w:szCs w:val="15"/>
        </w:rPr>
        <w:t>i</w:t>
      </w:r>
      <w:r>
        <w:rPr>
          <w:rFonts w:ascii="Times New Roman" w:hAnsi="Times New Roman" w:eastAsia="Times New Roman" w:cs="Times New Roman"/>
          <w:spacing w:val="8"/>
          <w:sz w:val="15"/>
          <w:szCs w:val="15"/>
        </w:rPr>
        <w:t xml:space="preserve"> </w:t>
      </w:r>
      <w:r>
        <w:rPr>
          <w:rFonts w:ascii="宋体" w:hAnsi="宋体" w:eastAsia="宋体" w:cs="宋体"/>
          <w:spacing w:val="8"/>
          <w:position w:val="1"/>
          <w:sz w:val="23"/>
          <w:szCs w:val="23"/>
        </w:rPr>
        <w:t>)</w:t>
      </w:r>
    </w:p>
    <w:p w14:paraId="4A47AE58">
      <w:pPr>
        <w:spacing w:before="284" w:line="370" w:lineRule="exact"/>
        <w:ind w:left="2106"/>
        <w:rPr>
          <w:rFonts w:ascii="宋体" w:hAnsi="宋体" w:eastAsia="宋体" w:cs="宋体"/>
          <w:sz w:val="25"/>
          <w:szCs w:val="25"/>
        </w:rPr>
      </w:pPr>
      <w:r>
        <w:rPr>
          <w:rFonts w:ascii="Times New Roman" w:hAnsi="Times New Roman" w:eastAsia="Times New Roman" w:cs="Times New Roman"/>
          <w:i/>
          <w:iCs/>
          <w:position w:val="2"/>
          <w:sz w:val="23"/>
          <w:szCs w:val="23"/>
        </w:rPr>
        <w:t>L</w:t>
      </w:r>
      <w:r>
        <w:rPr>
          <w:rFonts w:ascii="Times New Roman" w:hAnsi="Times New Roman" w:eastAsia="Times New Roman" w:cs="Times New Roman"/>
          <w:i/>
          <w:iCs/>
          <w:position w:val="1"/>
          <w:sz w:val="15"/>
          <w:szCs w:val="15"/>
        </w:rPr>
        <w:t>i</w:t>
      </w:r>
      <w:r>
        <w:rPr>
          <w:rFonts w:ascii="Times New Roman" w:hAnsi="Times New Roman" w:eastAsia="Times New Roman" w:cs="Times New Roman"/>
          <w:spacing w:val="-1"/>
          <w:position w:val="1"/>
          <w:sz w:val="15"/>
          <w:szCs w:val="15"/>
        </w:rPr>
        <w:t xml:space="preserve"> </w:t>
      </w:r>
      <w:r>
        <w:rPr>
          <w:rFonts w:ascii="Times New Roman" w:hAnsi="Times New Roman" w:eastAsia="Times New Roman" w:cs="Times New Roman"/>
          <w:i/>
          <w:iCs/>
          <w:spacing w:val="-1"/>
          <w:position w:val="2"/>
          <w:sz w:val="23"/>
          <w:szCs w:val="23"/>
        </w:rPr>
        <w:t>=</w:t>
      </w:r>
      <w:r>
        <w:rPr>
          <w:rFonts w:ascii="Times New Roman" w:hAnsi="Times New Roman" w:eastAsia="Times New Roman" w:cs="Times New Roman"/>
          <w:spacing w:val="-1"/>
          <w:position w:val="2"/>
          <w:sz w:val="23"/>
          <w:szCs w:val="23"/>
        </w:rPr>
        <w:t xml:space="preserve"> </w:t>
      </w:r>
      <w:r>
        <w:rPr>
          <w:rFonts w:ascii="Times New Roman" w:hAnsi="Times New Roman" w:eastAsia="Times New Roman" w:cs="Times New Roman"/>
          <w:i/>
          <w:iCs/>
          <w:position w:val="2"/>
          <w:sz w:val="23"/>
          <w:szCs w:val="23"/>
        </w:rPr>
        <w:t>L</w:t>
      </w:r>
      <w:r>
        <w:rPr>
          <w:rFonts w:ascii="Times New Roman" w:hAnsi="Times New Roman" w:eastAsia="Times New Roman" w:cs="Times New Roman"/>
          <w:spacing w:val="-1"/>
          <w:position w:val="2"/>
          <w:sz w:val="23"/>
          <w:szCs w:val="23"/>
        </w:rPr>
        <w:t xml:space="preserve">  </w:t>
      </w:r>
      <w:r>
        <w:rPr>
          <w:rFonts w:ascii="宋体" w:hAnsi="宋体" w:eastAsia="宋体" w:cs="宋体"/>
          <w:i/>
          <w:iCs/>
          <w:spacing w:val="-1"/>
          <w:position w:val="2"/>
          <w:sz w:val="25"/>
          <w:szCs w:val="25"/>
        </w:rPr>
        <w:t>(</w:t>
      </w:r>
      <w:r>
        <w:rPr>
          <w:rFonts w:ascii="Times New Roman" w:hAnsi="Times New Roman" w:eastAsia="Times New Roman" w:cs="Times New Roman"/>
          <w:i/>
          <w:iCs/>
          <w:position w:val="2"/>
          <w:sz w:val="23"/>
          <w:szCs w:val="23"/>
        </w:rPr>
        <w:t>r</w:t>
      </w:r>
      <w:r>
        <w:rPr>
          <w:rFonts w:ascii="Times New Roman" w:hAnsi="Times New Roman" w:eastAsia="Times New Roman" w:cs="Times New Roman"/>
          <w:i/>
          <w:iCs/>
          <w:spacing w:val="-1"/>
          <w:position w:val="1"/>
          <w:sz w:val="15"/>
          <w:szCs w:val="15"/>
        </w:rPr>
        <w:t>0</w:t>
      </w:r>
      <w:r>
        <w:rPr>
          <w:rFonts w:ascii="Times New Roman" w:hAnsi="Times New Roman" w:eastAsia="Times New Roman" w:cs="Times New Roman"/>
          <w:spacing w:val="-1"/>
          <w:position w:val="1"/>
          <w:sz w:val="15"/>
          <w:szCs w:val="15"/>
        </w:rPr>
        <w:t xml:space="preserve"> </w:t>
      </w:r>
      <w:r>
        <w:rPr>
          <w:rFonts w:ascii="宋体" w:hAnsi="宋体" w:eastAsia="宋体" w:cs="宋体"/>
          <w:i/>
          <w:iCs/>
          <w:spacing w:val="-1"/>
          <w:position w:val="2"/>
          <w:sz w:val="25"/>
          <w:szCs w:val="25"/>
        </w:rPr>
        <w:t>)</w:t>
      </w:r>
      <w:r>
        <w:rPr>
          <w:rFonts w:ascii="宋体" w:hAnsi="宋体" w:eastAsia="宋体" w:cs="宋体"/>
          <w:spacing w:val="-1"/>
          <w:position w:val="2"/>
          <w:sz w:val="25"/>
          <w:szCs w:val="25"/>
        </w:rPr>
        <w:t xml:space="preserve"> </w:t>
      </w:r>
      <w:r>
        <w:rPr>
          <w:rFonts w:ascii="Times New Roman" w:hAnsi="Times New Roman" w:eastAsia="Times New Roman" w:cs="Times New Roman"/>
          <w:i/>
          <w:iCs/>
          <w:spacing w:val="-1"/>
          <w:position w:val="2"/>
          <w:sz w:val="23"/>
          <w:szCs w:val="23"/>
        </w:rPr>
        <w:t>-</w:t>
      </w:r>
      <w:r>
        <w:rPr>
          <w:rFonts w:ascii="Times New Roman" w:hAnsi="Times New Roman" w:eastAsia="Times New Roman" w:cs="Times New Roman"/>
          <w:spacing w:val="-1"/>
          <w:position w:val="2"/>
          <w:sz w:val="23"/>
          <w:szCs w:val="23"/>
        </w:rPr>
        <w:t xml:space="preserve">    </w:t>
      </w:r>
      <w:r>
        <w:rPr>
          <w:rFonts w:ascii="宋体" w:hAnsi="宋体" w:eastAsia="宋体" w:cs="宋体"/>
          <w:i/>
          <w:iCs/>
          <w:position w:val="2"/>
          <w:sz w:val="25"/>
          <w:szCs w:val="25"/>
        </w:rPr>
        <w:t>(</w:t>
      </w:r>
      <w:r>
        <w:rPr>
          <w:rFonts w:ascii="Times New Roman" w:hAnsi="Times New Roman" w:eastAsia="Times New Roman" w:cs="Times New Roman"/>
          <w:i/>
          <w:iCs/>
          <w:position w:val="2"/>
          <w:sz w:val="23"/>
          <w:szCs w:val="23"/>
        </w:rPr>
        <w:t>A</w:t>
      </w:r>
      <w:r>
        <w:rPr>
          <w:rFonts w:ascii="Times New Roman" w:hAnsi="Times New Roman" w:eastAsia="Times New Roman" w:cs="Times New Roman"/>
          <w:i/>
          <w:iCs/>
          <w:position w:val="1"/>
          <w:sz w:val="15"/>
          <w:szCs w:val="15"/>
        </w:rPr>
        <w:t>div</w:t>
      </w:r>
      <w:r>
        <w:rPr>
          <w:rFonts w:ascii="Times New Roman" w:hAnsi="Times New Roman" w:eastAsia="Times New Roman" w:cs="Times New Roman"/>
          <w:position w:val="1"/>
          <w:sz w:val="15"/>
          <w:szCs w:val="15"/>
        </w:rPr>
        <w:t xml:space="preserve">  </w:t>
      </w:r>
      <w:r>
        <w:rPr>
          <w:rFonts w:ascii="Times New Roman" w:hAnsi="Times New Roman" w:eastAsia="Times New Roman" w:cs="Times New Roman"/>
          <w:i/>
          <w:iCs/>
          <w:position w:val="2"/>
          <w:sz w:val="23"/>
          <w:szCs w:val="23"/>
        </w:rPr>
        <w:t>+</w:t>
      </w:r>
      <w:r>
        <w:rPr>
          <w:rFonts w:ascii="Times New Roman" w:hAnsi="Times New Roman" w:eastAsia="Times New Roman" w:cs="Times New Roman"/>
          <w:position w:val="2"/>
          <w:sz w:val="23"/>
          <w:szCs w:val="23"/>
        </w:rPr>
        <w:t xml:space="preserve"> </w:t>
      </w:r>
      <w:r>
        <w:rPr>
          <w:rFonts w:ascii="Times New Roman" w:hAnsi="Times New Roman" w:eastAsia="Times New Roman" w:cs="Times New Roman"/>
          <w:i/>
          <w:iCs/>
          <w:position w:val="2"/>
          <w:sz w:val="23"/>
          <w:szCs w:val="23"/>
        </w:rPr>
        <w:t>A</w:t>
      </w:r>
      <w:r>
        <w:rPr>
          <w:rFonts w:ascii="Times New Roman" w:hAnsi="Times New Roman" w:eastAsia="Times New Roman" w:cs="Times New Roman"/>
          <w:i/>
          <w:iCs/>
          <w:position w:val="1"/>
          <w:sz w:val="15"/>
          <w:szCs w:val="15"/>
        </w:rPr>
        <w:t>bar</w:t>
      </w:r>
      <w:r>
        <w:rPr>
          <w:rFonts w:ascii="Times New Roman" w:hAnsi="Times New Roman" w:eastAsia="Times New Roman" w:cs="Times New Roman"/>
          <w:position w:val="1"/>
          <w:sz w:val="15"/>
          <w:szCs w:val="15"/>
        </w:rPr>
        <w:t xml:space="preserve">  </w:t>
      </w:r>
      <w:r>
        <w:rPr>
          <w:rFonts w:ascii="Times New Roman" w:hAnsi="Times New Roman" w:eastAsia="Times New Roman" w:cs="Times New Roman"/>
          <w:i/>
          <w:iCs/>
          <w:position w:val="2"/>
          <w:sz w:val="23"/>
          <w:szCs w:val="23"/>
        </w:rPr>
        <w:t>+</w:t>
      </w:r>
      <w:r>
        <w:rPr>
          <w:rFonts w:ascii="Times New Roman" w:hAnsi="Times New Roman" w:eastAsia="Times New Roman" w:cs="Times New Roman"/>
          <w:position w:val="2"/>
          <w:sz w:val="23"/>
          <w:szCs w:val="23"/>
        </w:rPr>
        <w:t xml:space="preserve"> </w:t>
      </w:r>
      <w:r>
        <w:rPr>
          <w:rFonts w:ascii="Times New Roman" w:hAnsi="Times New Roman" w:eastAsia="Times New Roman" w:cs="Times New Roman"/>
          <w:i/>
          <w:iCs/>
          <w:position w:val="2"/>
          <w:sz w:val="23"/>
          <w:szCs w:val="23"/>
        </w:rPr>
        <w:t>A</w:t>
      </w:r>
      <w:r>
        <w:rPr>
          <w:rFonts w:ascii="Times New Roman" w:hAnsi="Times New Roman" w:eastAsia="Times New Roman" w:cs="Times New Roman"/>
          <w:i/>
          <w:iCs/>
          <w:position w:val="1"/>
          <w:sz w:val="15"/>
          <w:szCs w:val="15"/>
        </w:rPr>
        <w:t>atm</w:t>
      </w:r>
      <w:r>
        <w:rPr>
          <w:rFonts w:ascii="Times New Roman" w:hAnsi="Times New Roman" w:eastAsia="Times New Roman" w:cs="Times New Roman"/>
          <w:position w:val="1"/>
          <w:sz w:val="15"/>
          <w:szCs w:val="15"/>
        </w:rPr>
        <w:t xml:space="preserve">  </w:t>
      </w:r>
      <w:r>
        <w:rPr>
          <w:rFonts w:ascii="Times New Roman" w:hAnsi="Times New Roman" w:eastAsia="Times New Roman" w:cs="Times New Roman"/>
          <w:i/>
          <w:iCs/>
          <w:position w:val="2"/>
          <w:sz w:val="23"/>
          <w:szCs w:val="23"/>
        </w:rPr>
        <w:t>+</w:t>
      </w:r>
      <w:r>
        <w:rPr>
          <w:rFonts w:ascii="Times New Roman" w:hAnsi="Times New Roman" w:eastAsia="Times New Roman" w:cs="Times New Roman"/>
          <w:position w:val="2"/>
          <w:sz w:val="23"/>
          <w:szCs w:val="23"/>
        </w:rPr>
        <w:t xml:space="preserve"> </w:t>
      </w:r>
      <w:r>
        <w:rPr>
          <w:rFonts w:ascii="Times New Roman" w:hAnsi="Times New Roman" w:eastAsia="Times New Roman" w:cs="Times New Roman"/>
          <w:i/>
          <w:iCs/>
          <w:position w:val="2"/>
          <w:sz w:val="23"/>
          <w:szCs w:val="23"/>
        </w:rPr>
        <w:t>A</w:t>
      </w:r>
      <w:r>
        <w:rPr>
          <w:rFonts w:ascii="Times New Roman" w:hAnsi="Times New Roman" w:eastAsia="Times New Roman" w:cs="Times New Roman"/>
          <w:i/>
          <w:iCs/>
          <w:position w:val="1"/>
          <w:sz w:val="15"/>
          <w:szCs w:val="15"/>
        </w:rPr>
        <w:t>exc</w:t>
      </w:r>
      <w:r>
        <w:rPr>
          <w:rFonts w:ascii="Times New Roman" w:hAnsi="Times New Roman" w:eastAsia="Times New Roman" w:cs="Times New Roman"/>
          <w:position w:val="1"/>
          <w:sz w:val="15"/>
          <w:szCs w:val="15"/>
        </w:rPr>
        <w:t xml:space="preserve"> </w:t>
      </w:r>
      <w:r>
        <w:rPr>
          <w:rFonts w:ascii="宋体" w:hAnsi="宋体" w:eastAsia="宋体" w:cs="宋体"/>
          <w:i/>
          <w:iCs/>
          <w:position w:val="2"/>
          <w:sz w:val="25"/>
          <w:szCs w:val="25"/>
        </w:rPr>
        <w:t>)</w:t>
      </w:r>
    </w:p>
    <w:p w14:paraId="1931C937">
      <w:pPr>
        <w:spacing w:before="266" w:line="632" w:lineRule="exact"/>
        <w:ind w:left="2046"/>
        <w:rPr>
          <w:rFonts w:ascii="Times New Roman" w:hAnsi="Times New Roman" w:eastAsia="Times New Roman" w:cs="Times New Roman"/>
          <w:sz w:val="23"/>
          <w:szCs w:val="23"/>
        </w:rPr>
      </w:pPr>
      <w:r>
        <w:rPr>
          <w:rFonts w:ascii="Times New Roman" w:hAnsi="Times New Roman" w:eastAsia="Times New Roman" w:cs="Times New Roman"/>
          <w:i/>
          <w:iCs/>
          <w:position w:val="27"/>
          <w:sz w:val="23"/>
          <w:szCs w:val="23"/>
        </w:rPr>
        <w:t>L</w:t>
      </w:r>
      <w:r>
        <w:rPr>
          <w:rFonts w:ascii="Times New Roman" w:hAnsi="Times New Roman" w:eastAsia="Times New Roman" w:cs="Times New Roman"/>
          <w:spacing w:val="8"/>
          <w:position w:val="27"/>
          <w:sz w:val="23"/>
          <w:szCs w:val="23"/>
        </w:rPr>
        <w:t xml:space="preserve">  </w:t>
      </w:r>
      <w:r>
        <w:rPr>
          <w:rFonts w:ascii="宋体" w:hAnsi="宋体" w:eastAsia="宋体" w:cs="宋体"/>
          <w:i/>
          <w:iCs/>
          <w:spacing w:val="8"/>
          <w:position w:val="27"/>
          <w:sz w:val="25"/>
          <w:szCs w:val="25"/>
        </w:rPr>
        <w:t>(</w:t>
      </w:r>
      <w:r>
        <w:rPr>
          <w:rFonts w:ascii="Times New Roman" w:hAnsi="Times New Roman" w:eastAsia="Times New Roman" w:cs="Times New Roman"/>
          <w:i/>
          <w:iCs/>
          <w:position w:val="27"/>
          <w:sz w:val="23"/>
          <w:szCs w:val="23"/>
        </w:rPr>
        <w:t>r</w:t>
      </w:r>
      <w:r>
        <w:rPr>
          <w:rFonts w:ascii="Times New Roman" w:hAnsi="Times New Roman" w:eastAsia="Times New Roman" w:cs="Times New Roman"/>
          <w:i/>
          <w:iCs/>
          <w:spacing w:val="5"/>
          <w:position w:val="26"/>
          <w:sz w:val="15"/>
          <w:szCs w:val="15"/>
        </w:rPr>
        <w:t>0</w:t>
      </w:r>
      <w:r>
        <w:rPr>
          <w:rFonts w:ascii="Times New Roman" w:hAnsi="Times New Roman" w:eastAsia="Times New Roman" w:cs="Times New Roman"/>
          <w:spacing w:val="4"/>
          <w:position w:val="26"/>
          <w:sz w:val="15"/>
          <w:szCs w:val="15"/>
        </w:rPr>
        <w:t xml:space="preserve"> </w:t>
      </w:r>
      <w:r>
        <w:rPr>
          <w:rFonts w:ascii="宋体" w:hAnsi="宋体" w:eastAsia="宋体" w:cs="宋体"/>
          <w:i/>
          <w:iCs/>
          <w:spacing w:val="4"/>
          <w:position w:val="27"/>
          <w:sz w:val="25"/>
          <w:szCs w:val="25"/>
        </w:rPr>
        <w:t>)</w:t>
      </w:r>
      <w:r>
        <w:rPr>
          <w:rFonts w:ascii="宋体" w:hAnsi="宋体" w:eastAsia="宋体" w:cs="宋体"/>
          <w:spacing w:val="4"/>
          <w:position w:val="27"/>
          <w:sz w:val="25"/>
          <w:szCs w:val="25"/>
        </w:rPr>
        <w:t xml:space="preserve"> </w:t>
      </w:r>
      <w:r>
        <w:rPr>
          <w:rFonts w:ascii="Times New Roman" w:hAnsi="Times New Roman" w:eastAsia="Times New Roman" w:cs="Times New Roman"/>
          <w:i/>
          <w:iCs/>
          <w:spacing w:val="4"/>
          <w:position w:val="27"/>
          <w:sz w:val="23"/>
          <w:szCs w:val="23"/>
        </w:rPr>
        <w:t>=</w:t>
      </w:r>
      <w:r>
        <w:rPr>
          <w:rFonts w:ascii="Times New Roman" w:hAnsi="Times New Roman" w:eastAsia="Times New Roman" w:cs="Times New Roman"/>
          <w:i/>
          <w:iCs/>
          <w:position w:val="27"/>
          <w:sz w:val="23"/>
          <w:szCs w:val="23"/>
        </w:rPr>
        <w:t>L</w:t>
      </w:r>
      <w:r>
        <w:rPr>
          <w:rFonts w:ascii="Times New Roman" w:hAnsi="Times New Roman" w:eastAsia="Times New Roman" w:cs="Times New Roman"/>
          <w:i/>
          <w:iCs/>
          <w:position w:val="26"/>
          <w:sz w:val="15"/>
          <w:szCs w:val="15"/>
        </w:rPr>
        <w:t>W</w:t>
      </w:r>
      <w:r>
        <w:rPr>
          <w:rFonts w:ascii="Times New Roman" w:hAnsi="Times New Roman" w:eastAsia="Times New Roman" w:cs="Times New Roman"/>
          <w:i/>
          <w:iCs/>
          <w:spacing w:val="4"/>
          <w:position w:val="26"/>
          <w:sz w:val="15"/>
          <w:szCs w:val="15"/>
        </w:rPr>
        <w:t>2</w:t>
      </w:r>
      <w:r>
        <w:rPr>
          <w:rFonts w:ascii="Times New Roman" w:hAnsi="Times New Roman" w:eastAsia="Times New Roman" w:cs="Times New Roman"/>
          <w:spacing w:val="4"/>
          <w:position w:val="26"/>
          <w:sz w:val="15"/>
          <w:szCs w:val="15"/>
        </w:rPr>
        <w:t xml:space="preserve"> </w:t>
      </w:r>
      <w:r>
        <w:rPr>
          <w:rFonts w:ascii="Times New Roman" w:hAnsi="Times New Roman" w:eastAsia="Times New Roman" w:cs="Times New Roman"/>
          <w:i/>
          <w:iCs/>
          <w:spacing w:val="4"/>
          <w:position w:val="27"/>
          <w:sz w:val="23"/>
          <w:szCs w:val="23"/>
        </w:rPr>
        <w:t>–</w:t>
      </w:r>
      <w:r>
        <w:rPr>
          <w:rFonts w:ascii="Times New Roman" w:hAnsi="Times New Roman" w:eastAsia="Times New Roman" w:cs="Times New Roman"/>
          <w:spacing w:val="4"/>
          <w:position w:val="27"/>
          <w:sz w:val="23"/>
          <w:szCs w:val="23"/>
        </w:rPr>
        <w:t xml:space="preserve"> 20</w:t>
      </w:r>
      <w:r>
        <w:rPr>
          <w:rFonts w:ascii="Times New Roman" w:hAnsi="Times New Roman" w:eastAsia="Times New Roman" w:cs="Times New Roman"/>
          <w:i/>
          <w:iCs/>
          <w:position w:val="27"/>
          <w:sz w:val="23"/>
          <w:szCs w:val="23"/>
        </w:rPr>
        <w:t>lgr</w:t>
      </w:r>
      <w:r>
        <w:rPr>
          <w:rFonts w:ascii="Times New Roman" w:hAnsi="Times New Roman" w:eastAsia="Times New Roman" w:cs="Times New Roman"/>
          <w:i/>
          <w:iCs/>
          <w:spacing w:val="4"/>
          <w:position w:val="26"/>
          <w:sz w:val="15"/>
          <w:szCs w:val="15"/>
        </w:rPr>
        <w:t>0</w:t>
      </w:r>
      <w:r>
        <w:rPr>
          <w:rFonts w:ascii="Times New Roman" w:hAnsi="Times New Roman" w:eastAsia="Times New Roman" w:cs="Times New Roman"/>
          <w:spacing w:val="4"/>
          <w:position w:val="26"/>
          <w:sz w:val="15"/>
          <w:szCs w:val="15"/>
        </w:rPr>
        <w:t xml:space="preserve"> </w:t>
      </w:r>
      <w:r>
        <w:rPr>
          <w:rFonts w:ascii="Times New Roman" w:hAnsi="Times New Roman" w:eastAsia="Times New Roman" w:cs="Times New Roman"/>
          <w:i/>
          <w:iCs/>
          <w:spacing w:val="4"/>
          <w:position w:val="27"/>
          <w:sz w:val="23"/>
          <w:szCs w:val="23"/>
        </w:rPr>
        <w:t>–</w:t>
      </w:r>
      <w:r>
        <w:rPr>
          <w:rFonts w:ascii="Times New Roman" w:hAnsi="Times New Roman" w:eastAsia="Times New Roman" w:cs="Times New Roman"/>
          <w:spacing w:val="4"/>
          <w:position w:val="27"/>
          <w:sz w:val="23"/>
          <w:szCs w:val="23"/>
        </w:rPr>
        <w:t xml:space="preserve"> 8</w:t>
      </w:r>
    </w:p>
    <w:p w14:paraId="7D11D590">
      <w:pPr>
        <w:spacing w:line="346" w:lineRule="exact"/>
        <w:ind w:left="2042"/>
        <w:rPr>
          <w:rFonts w:ascii="宋体" w:hAnsi="宋体" w:eastAsia="宋体" w:cs="宋体"/>
          <w:sz w:val="25"/>
          <w:szCs w:val="25"/>
        </w:rPr>
      </w:pPr>
      <w:r>
        <w:rPr>
          <w:rFonts w:ascii="Times New Roman" w:hAnsi="Times New Roman" w:eastAsia="Times New Roman" w:cs="Times New Roman"/>
          <w:i/>
          <w:iCs/>
          <w:position w:val="3"/>
          <w:sz w:val="23"/>
          <w:szCs w:val="23"/>
        </w:rPr>
        <w:t>A</w:t>
      </w:r>
      <w:r>
        <w:rPr>
          <w:rFonts w:ascii="Times New Roman" w:hAnsi="Times New Roman" w:eastAsia="Times New Roman" w:cs="Times New Roman"/>
          <w:i/>
          <w:iCs/>
          <w:position w:val="2"/>
          <w:sz w:val="15"/>
          <w:szCs w:val="15"/>
        </w:rPr>
        <w:t>div</w:t>
      </w:r>
      <w:r>
        <w:rPr>
          <w:rFonts w:ascii="Times New Roman" w:hAnsi="Times New Roman" w:eastAsia="Times New Roman" w:cs="Times New Roman"/>
          <w:spacing w:val="5"/>
          <w:position w:val="2"/>
          <w:sz w:val="15"/>
          <w:szCs w:val="15"/>
        </w:rPr>
        <w:t xml:space="preserve">      </w:t>
      </w:r>
      <w:r>
        <w:rPr>
          <w:rFonts w:ascii="Times New Roman" w:hAnsi="Times New Roman" w:eastAsia="Times New Roman" w:cs="Times New Roman"/>
          <w:spacing w:val="5"/>
          <w:position w:val="3"/>
          <w:sz w:val="23"/>
          <w:szCs w:val="23"/>
        </w:rPr>
        <w:t>= 20</w:t>
      </w:r>
      <w:r>
        <w:rPr>
          <w:rFonts w:ascii="Times New Roman" w:hAnsi="Times New Roman" w:eastAsia="Times New Roman" w:cs="Times New Roman"/>
          <w:i/>
          <w:iCs/>
          <w:position w:val="3"/>
          <w:sz w:val="23"/>
          <w:szCs w:val="23"/>
        </w:rPr>
        <w:t>lg</w:t>
      </w:r>
      <w:r>
        <w:rPr>
          <w:rFonts w:ascii="Times New Roman" w:hAnsi="Times New Roman" w:eastAsia="Times New Roman" w:cs="Times New Roman"/>
          <w:spacing w:val="5"/>
          <w:position w:val="3"/>
          <w:sz w:val="23"/>
          <w:szCs w:val="23"/>
        </w:rPr>
        <w:t xml:space="preserve">  </w:t>
      </w:r>
      <w:r>
        <w:rPr>
          <w:rFonts w:ascii="宋体" w:hAnsi="宋体" w:eastAsia="宋体" w:cs="宋体"/>
          <w:i/>
          <w:iCs/>
          <w:spacing w:val="5"/>
          <w:position w:val="3"/>
          <w:sz w:val="25"/>
          <w:szCs w:val="25"/>
        </w:rPr>
        <w:t>(</w:t>
      </w:r>
      <w:r>
        <w:rPr>
          <w:rFonts w:ascii="Times New Roman" w:hAnsi="Times New Roman" w:eastAsia="Times New Roman" w:cs="Times New Roman"/>
          <w:i/>
          <w:iCs/>
          <w:position w:val="3"/>
          <w:sz w:val="23"/>
          <w:szCs w:val="23"/>
        </w:rPr>
        <w:t>r</w:t>
      </w:r>
      <w:r>
        <w:rPr>
          <w:rFonts w:ascii="Times New Roman" w:hAnsi="Times New Roman" w:eastAsia="Times New Roman" w:cs="Times New Roman"/>
          <w:i/>
          <w:iCs/>
          <w:spacing w:val="5"/>
          <w:position w:val="3"/>
          <w:sz w:val="23"/>
          <w:szCs w:val="23"/>
        </w:rPr>
        <w:t>/</w:t>
      </w:r>
      <w:r>
        <w:rPr>
          <w:rFonts w:ascii="Times New Roman" w:hAnsi="Times New Roman" w:eastAsia="Times New Roman" w:cs="Times New Roman"/>
          <w:i/>
          <w:iCs/>
          <w:position w:val="3"/>
          <w:sz w:val="23"/>
          <w:szCs w:val="23"/>
        </w:rPr>
        <w:t>r</w:t>
      </w:r>
      <w:r>
        <w:rPr>
          <w:rFonts w:ascii="Times New Roman" w:hAnsi="Times New Roman" w:eastAsia="Times New Roman" w:cs="Times New Roman"/>
          <w:i/>
          <w:iCs/>
          <w:spacing w:val="5"/>
          <w:position w:val="2"/>
          <w:sz w:val="15"/>
          <w:szCs w:val="15"/>
        </w:rPr>
        <w:t>0</w:t>
      </w:r>
      <w:r>
        <w:rPr>
          <w:rFonts w:ascii="Times New Roman" w:hAnsi="Times New Roman" w:eastAsia="Times New Roman" w:cs="Times New Roman"/>
          <w:spacing w:val="5"/>
          <w:position w:val="2"/>
          <w:sz w:val="15"/>
          <w:szCs w:val="15"/>
        </w:rPr>
        <w:t xml:space="preserve"> </w:t>
      </w:r>
      <w:r>
        <w:rPr>
          <w:rFonts w:ascii="宋体" w:hAnsi="宋体" w:eastAsia="宋体" w:cs="宋体"/>
          <w:i/>
          <w:iCs/>
          <w:spacing w:val="5"/>
          <w:position w:val="3"/>
          <w:sz w:val="25"/>
          <w:szCs w:val="25"/>
        </w:rPr>
        <w:t>)</w:t>
      </w:r>
    </w:p>
    <w:p w14:paraId="4C9AD35E">
      <w:pPr>
        <w:spacing w:line="257" w:lineRule="auto"/>
        <w:rPr>
          <w:rFonts w:ascii="Arial"/>
          <w:sz w:val="21"/>
        </w:rPr>
      </w:pPr>
    </w:p>
    <w:p w14:paraId="718BF912">
      <w:pPr>
        <w:spacing w:before="75" w:line="314" w:lineRule="exact"/>
        <w:ind w:left="508"/>
        <w:rPr>
          <w:rFonts w:ascii="宋体" w:hAnsi="宋体" w:eastAsia="宋体" w:cs="宋体"/>
          <w:sz w:val="23"/>
          <w:szCs w:val="23"/>
        </w:rPr>
      </w:pPr>
      <w:r>
        <w:rPr>
          <w:rFonts w:ascii="宋体" w:hAnsi="宋体" w:eastAsia="宋体" w:cs="宋体"/>
          <w:spacing w:val="11"/>
          <w:position w:val="1"/>
          <w:sz w:val="23"/>
          <w:szCs w:val="23"/>
        </w:rPr>
        <w:t>式</w:t>
      </w:r>
      <w:r>
        <w:rPr>
          <w:rFonts w:ascii="宋体" w:hAnsi="宋体" w:eastAsia="宋体" w:cs="宋体"/>
          <w:spacing w:val="9"/>
          <w:position w:val="1"/>
          <w:sz w:val="23"/>
          <w:szCs w:val="23"/>
        </w:rPr>
        <w:t>中：</w:t>
      </w:r>
      <w:r>
        <w:rPr>
          <w:rFonts w:ascii="Times New Roman" w:hAnsi="Times New Roman" w:eastAsia="Times New Roman" w:cs="Times New Roman"/>
          <w:position w:val="1"/>
          <w:sz w:val="23"/>
          <w:szCs w:val="23"/>
        </w:rPr>
        <w:t>L</w:t>
      </w:r>
      <w:r>
        <w:rPr>
          <w:rFonts w:ascii="Times New Roman" w:hAnsi="Times New Roman" w:eastAsia="Times New Roman" w:cs="Times New Roman"/>
          <w:sz w:val="15"/>
          <w:szCs w:val="15"/>
        </w:rPr>
        <w:t>i</w:t>
      </w:r>
      <w:r>
        <w:rPr>
          <w:rFonts w:ascii="Times New Roman" w:hAnsi="Times New Roman" w:eastAsia="Times New Roman" w:cs="Times New Roman"/>
          <w:spacing w:val="9"/>
          <w:position w:val="1"/>
          <w:sz w:val="23"/>
          <w:szCs w:val="23"/>
        </w:rPr>
        <w:t>—</w:t>
      </w:r>
      <w:r>
        <w:rPr>
          <w:rFonts w:ascii="宋体" w:hAnsi="宋体" w:eastAsia="宋体" w:cs="宋体"/>
          <w:spacing w:val="9"/>
          <w:position w:val="1"/>
          <w:sz w:val="23"/>
          <w:szCs w:val="23"/>
        </w:rPr>
        <w:t>等效室外声源在预测点的声压级；</w:t>
      </w:r>
    </w:p>
    <w:p w14:paraId="04D4CB22">
      <w:pPr>
        <w:spacing w:line="245" w:lineRule="auto"/>
        <w:rPr>
          <w:rFonts w:ascii="Arial"/>
          <w:sz w:val="21"/>
        </w:rPr>
      </w:pPr>
    </w:p>
    <w:p w14:paraId="36D5730D">
      <w:pPr>
        <w:spacing w:before="75" w:line="636" w:lineRule="exact"/>
        <w:ind w:left="1218"/>
        <w:rPr>
          <w:rFonts w:ascii="宋体" w:hAnsi="宋体" w:eastAsia="宋体" w:cs="宋体"/>
          <w:sz w:val="23"/>
          <w:szCs w:val="23"/>
        </w:rPr>
      </w:pPr>
      <w:r>
        <w:rPr>
          <w:rFonts w:ascii="Times New Roman" w:hAnsi="Times New Roman" w:eastAsia="Times New Roman" w:cs="Times New Roman"/>
          <w:position w:val="31"/>
          <w:sz w:val="23"/>
          <w:szCs w:val="23"/>
        </w:rPr>
        <w:t>L</w:t>
      </w:r>
      <w:r>
        <w:rPr>
          <w:rFonts w:ascii="Times New Roman" w:hAnsi="Times New Roman" w:eastAsia="Times New Roman" w:cs="Times New Roman"/>
          <w:spacing w:val="4"/>
          <w:position w:val="31"/>
          <w:sz w:val="23"/>
          <w:szCs w:val="23"/>
        </w:rPr>
        <w:t xml:space="preserve">  </w:t>
      </w:r>
      <w:r>
        <w:rPr>
          <w:rFonts w:ascii="宋体" w:hAnsi="宋体" w:eastAsia="宋体" w:cs="宋体"/>
          <w:spacing w:val="4"/>
          <w:position w:val="31"/>
          <w:sz w:val="23"/>
          <w:szCs w:val="23"/>
        </w:rPr>
        <w:t>(</w:t>
      </w:r>
      <w:r>
        <w:rPr>
          <w:rFonts w:ascii="Times New Roman" w:hAnsi="Times New Roman" w:eastAsia="Times New Roman" w:cs="Times New Roman"/>
          <w:position w:val="31"/>
          <w:sz w:val="23"/>
          <w:szCs w:val="23"/>
        </w:rPr>
        <w:t>r</w:t>
      </w:r>
      <w:r>
        <w:rPr>
          <w:rFonts w:ascii="Times New Roman" w:hAnsi="Times New Roman" w:eastAsia="Times New Roman" w:cs="Times New Roman"/>
          <w:spacing w:val="4"/>
          <w:position w:val="30"/>
          <w:sz w:val="15"/>
          <w:szCs w:val="15"/>
        </w:rPr>
        <w:t xml:space="preserve">0 </w:t>
      </w:r>
      <w:r>
        <w:rPr>
          <w:rFonts w:ascii="宋体" w:hAnsi="宋体" w:eastAsia="宋体" w:cs="宋体"/>
          <w:spacing w:val="4"/>
          <w:position w:val="31"/>
          <w:sz w:val="23"/>
          <w:szCs w:val="23"/>
        </w:rPr>
        <w:t xml:space="preserve">) </w:t>
      </w:r>
      <w:r>
        <w:rPr>
          <w:rFonts w:ascii="Times New Roman" w:hAnsi="Times New Roman" w:eastAsia="Times New Roman" w:cs="Times New Roman"/>
          <w:spacing w:val="4"/>
          <w:position w:val="31"/>
          <w:sz w:val="23"/>
          <w:szCs w:val="23"/>
        </w:rPr>
        <w:t xml:space="preserve">—  </w:t>
      </w:r>
      <w:r>
        <w:rPr>
          <w:rFonts w:ascii="宋体" w:hAnsi="宋体" w:eastAsia="宋体" w:cs="宋体"/>
          <w:spacing w:val="4"/>
          <w:position w:val="31"/>
          <w:sz w:val="23"/>
          <w:szCs w:val="23"/>
        </w:rPr>
        <w:t xml:space="preserve">等效室外声源在参考位置 </w:t>
      </w:r>
      <w:r>
        <w:rPr>
          <w:rFonts w:ascii="Times New Roman" w:hAnsi="Times New Roman" w:eastAsia="Times New Roman" w:cs="Times New Roman"/>
          <w:position w:val="31"/>
          <w:sz w:val="23"/>
          <w:szCs w:val="23"/>
        </w:rPr>
        <w:t>r</w:t>
      </w:r>
      <w:r>
        <w:rPr>
          <w:rFonts w:ascii="Times New Roman" w:hAnsi="Times New Roman" w:eastAsia="Times New Roman" w:cs="Times New Roman"/>
          <w:spacing w:val="4"/>
          <w:position w:val="30"/>
          <w:sz w:val="15"/>
          <w:szCs w:val="15"/>
        </w:rPr>
        <w:t xml:space="preserve">0 </w:t>
      </w:r>
      <w:r>
        <w:rPr>
          <w:rFonts w:ascii="宋体" w:hAnsi="宋体" w:eastAsia="宋体" w:cs="宋体"/>
          <w:spacing w:val="4"/>
          <w:position w:val="31"/>
          <w:sz w:val="23"/>
          <w:szCs w:val="23"/>
        </w:rPr>
        <w:t>处的声压</w:t>
      </w:r>
      <w:r>
        <w:rPr>
          <w:rFonts w:ascii="宋体" w:hAnsi="宋体" w:eastAsia="宋体" w:cs="宋体"/>
          <w:spacing w:val="3"/>
          <w:position w:val="31"/>
          <w:sz w:val="23"/>
          <w:szCs w:val="23"/>
        </w:rPr>
        <w:t>级</w:t>
      </w:r>
      <w:r>
        <w:rPr>
          <w:rFonts w:ascii="宋体" w:hAnsi="宋体" w:eastAsia="宋体" w:cs="宋体"/>
          <w:position w:val="31"/>
          <w:sz w:val="23"/>
          <w:szCs w:val="23"/>
        </w:rPr>
        <w:t>；</w:t>
      </w:r>
    </w:p>
    <w:p w14:paraId="4D2966D9">
      <w:pPr>
        <w:spacing w:line="313" w:lineRule="exact"/>
        <w:ind w:left="1216"/>
        <w:rPr>
          <w:rFonts w:ascii="宋体" w:hAnsi="宋体" w:eastAsia="宋体" w:cs="宋体"/>
          <w:sz w:val="23"/>
          <w:szCs w:val="23"/>
        </w:rPr>
      </w:pPr>
      <w:r>
        <w:rPr>
          <w:rFonts w:ascii="Times New Roman" w:hAnsi="Times New Roman" w:eastAsia="Times New Roman" w:cs="Times New Roman"/>
          <w:position w:val="1"/>
          <w:sz w:val="23"/>
          <w:szCs w:val="23"/>
        </w:rPr>
        <w:t>A</w:t>
      </w:r>
      <w:r>
        <w:rPr>
          <w:rFonts w:ascii="Times New Roman" w:hAnsi="Times New Roman" w:eastAsia="Times New Roman" w:cs="Times New Roman"/>
          <w:sz w:val="15"/>
          <w:szCs w:val="15"/>
        </w:rPr>
        <w:t>div</w:t>
      </w:r>
      <w:r>
        <w:rPr>
          <w:rFonts w:ascii="Times New Roman" w:hAnsi="Times New Roman" w:eastAsia="Times New Roman" w:cs="Times New Roman"/>
          <w:spacing w:val="10"/>
          <w:sz w:val="15"/>
          <w:szCs w:val="15"/>
        </w:rPr>
        <w:t xml:space="preserve"> </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声波几何发散引起的衰减量</w:t>
      </w:r>
      <w:r>
        <w:rPr>
          <w:rFonts w:ascii="宋体" w:hAnsi="宋体" w:eastAsia="宋体" w:cs="宋体"/>
          <w:spacing w:val="9"/>
          <w:position w:val="1"/>
          <w:sz w:val="23"/>
          <w:szCs w:val="23"/>
        </w:rPr>
        <w:t>；</w:t>
      </w:r>
    </w:p>
    <w:p w14:paraId="78E9D570">
      <w:pPr>
        <w:spacing w:line="246" w:lineRule="auto"/>
        <w:rPr>
          <w:rFonts w:ascii="Arial"/>
          <w:sz w:val="21"/>
        </w:rPr>
      </w:pPr>
    </w:p>
    <w:p w14:paraId="134769A1">
      <w:pPr>
        <w:spacing w:before="76" w:line="636" w:lineRule="exact"/>
        <w:ind w:left="1216"/>
        <w:rPr>
          <w:rFonts w:ascii="宋体" w:hAnsi="宋体" w:eastAsia="宋体" w:cs="宋体"/>
          <w:sz w:val="23"/>
          <w:szCs w:val="23"/>
        </w:rPr>
      </w:pPr>
      <w:r>
        <w:rPr>
          <w:rFonts w:ascii="Times New Roman" w:hAnsi="Times New Roman" w:eastAsia="Times New Roman" w:cs="Times New Roman"/>
          <w:position w:val="29"/>
          <w:sz w:val="23"/>
          <w:szCs w:val="23"/>
        </w:rPr>
        <w:t>A</w:t>
      </w:r>
      <w:r>
        <w:rPr>
          <w:rFonts w:ascii="Times New Roman" w:hAnsi="Times New Roman" w:eastAsia="Times New Roman" w:cs="Times New Roman"/>
          <w:position w:val="28"/>
          <w:sz w:val="15"/>
          <w:szCs w:val="15"/>
        </w:rPr>
        <w:t>bar</w:t>
      </w:r>
      <w:r>
        <w:rPr>
          <w:rFonts w:ascii="Times New Roman" w:hAnsi="Times New Roman" w:eastAsia="Times New Roman" w:cs="Times New Roman"/>
          <w:spacing w:val="9"/>
          <w:position w:val="28"/>
          <w:sz w:val="15"/>
          <w:szCs w:val="15"/>
        </w:rPr>
        <w:t xml:space="preserve"> </w:t>
      </w:r>
      <w:r>
        <w:rPr>
          <w:rFonts w:ascii="Times New Roman" w:hAnsi="Times New Roman" w:eastAsia="Times New Roman" w:cs="Times New Roman"/>
          <w:spacing w:val="7"/>
          <w:position w:val="28"/>
          <w:sz w:val="15"/>
          <w:szCs w:val="15"/>
        </w:rPr>
        <w:t xml:space="preserve">   </w:t>
      </w:r>
      <w:r>
        <w:rPr>
          <w:rFonts w:ascii="Times New Roman" w:hAnsi="Times New Roman" w:eastAsia="Times New Roman" w:cs="Times New Roman"/>
          <w:spacing w:val="7"/>
          <w:position w:val="29"/>
          <w:sz w:val="23"/>
          <w:szCs w:val="23"/>
        </w:rPr>
        <w:t xml:space="preserve">—  </w:t>
      </w:r>
      <w:r>
        <w:rPr>
          <w:rFonts w:ascii="宋体" w:hAnsi="宋体" w:eastAsia="宋体" w:cs="宋体"/>
          <w:spacing w:val="7"/>
          <w:position w:val="29"/>
          <w:sz w:val="23"/>
          <w:szCs w:val="23"/>
        </w:rPr>
        <w:t>遮挡物引起的衰减量；</w:t>
      </w:r>
    </w:p>
    <w:p w14:paraId="328449E1">
      <w:pPr>
        <w:spacing w:line="314" w:lineRule="exact"/>
        <w:ind w:left="1216"/>
        <w:rPr>
          <w:rFonts w:ascii="宋体" w:hAnsi="宋体" w:eastAsia="宋体" w:cs="宋体"/>
          <w:sz w:val="23"/>
          <w:szCs w:val="23"/>
        </w:rPr>
      </w:pPr>
      <w:r>
        <w:rPr>
          <w:rFonts w:ascii="Times New Roman" w:hAnsi="Times New Roman" w:eastAsia="Times New Roman" w:cs="Times New Roman"/>
          <w:position w:val="1"/>
          <w:sz w:val="23"/>
          <w:szCs w:val="23"/>
        </w:rPr>
        <w:t>A</w:t>
      </w:r>
      <w:r>
        <w:rPr>
          <w:rFonts w:ascii="Times New Roman" w:hAnsi="Times New Roman" w:eastAsia="Times New Roman" w:cs="Times New Roman"/>
          <w:sz w:val="15"/>
          <w:szCs w:val="15"/>
        </w:rPr>
        <w:t>atm</w:t>
      </w:r>
      <w:r>
        <w:rPr>
          <w:rFonts w:ascii="Times New Roman" w:hAnsi="Times New Roman" w:eastAsia="Times New Roman" w:cs="Times New Roman"/>
          <w:spacing w:val="10"/>
          <w:sz w:val="15"/>
          <w:szCs w:val="15"/>
        </w:rPr>
        <w:t xml:space="preserve"> </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空气吸收引起的衰减量；</w:t>
      </w:r>
    </w:p>
    <w:p w14:paraId="2A7D1914">
      <w:pPr>
        <w:spacing w:line="245" w:lineRule="auto"/>
        <w:rPr>
          <w:rFonts w:ascii="Arial"/>
          <w:sz w:val="21"/>
        </w:rPr>
      </w:pPr>
    </w:p>
    <w:p w14:paraId="21BDA511">
      <w:pPr>
        <w:spacing w:before="75" w:line="227" w:lineRule="auto"/>
        <w:ind w:left="1216"/>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position w:val="-1"/>
          <w:sz w:val="15"/>
          <w:szCs w:val="15"/>
        </w:rPr>
        <w:t>exc</w:t>
      </w:r>
      <w:r>
        <w:rPr>
          <w:rFonts w:ascii="Times New Roman" w:hAnsi="Times New Roman" w:eastAsia="Times New Roman" w:cs="Times New Roman"/>
          <w:spacing w:val="8"/>
          <w:position w:val="-1"/>
          <w:sz w:val="15"/>
          <w:szCs w:val="15"/>
        </w:rPr>
        <w:t xml:space="preserve"> </w:t>
      </w:r>
      <w:r>
        <w:rPr>
          <w:rFonts w:ascii="Times New Roman" w:hAnsi="Times New Roman" w:eastAsia="Times New Roman" w:cs="Times New Roman"/>
          <w:spacing w:val="6"/>
          <w:position w:val="-1"/>
          <w:sz w:val="15"/>
          <w:szCs w:val="15"/>
        </w:rPr>
        <w:t xml:space="preserve">    </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附加衰减量。</w:t>
      </w:r>
    </w:p>
    <w:p w14:paraId="16423466">
      <w:pPr>
        <w:sectPr>
          <w:footerReference r:id="rId243" w:type="default"/>
          <w:pgSz w:w="11906" w:h="16839"/>
          <w:pgMar w:top="1132" w:right="1785" w:bottom="1182" w:left="1785" w:header="878" w:footer="1022" w:gutter="0"/>
          <w:cols w:space="720" w:num="1"/>
        </w:sectPr>
      </w:pPr>
    </w:p>
    <w:p w14:paraId="5705C661">
      <w:pPr>
        <w:spacing w:line="408" w:lineRule="auto"/>
        <w:rPr>
          <w:rFonts w:ascii="Arial"/>
          <w:sz w:val="21"/>
        </w:rPr>
      </w:pPr>
      <w:r>
        <w:pict>
          <v:shape id="_x0000_s1286" o:spid="_x0000_s1286" style="position:absolute;left:0pt;margin-left:90pt;margin-top:57.35pt;height:0.75pt;width:415.3pt;mso-position-horizontal-relative:page;mso-position-vertical-relative:page;z-index:251939840;mso-width-relative:page;mso-height-relative:page;" fillcolor="#000000" filled="t" stroked="f" coordsize="8305,15" o:allowincell="f" path="m0,0l8305,0,8305,14,0,14,0,0xe">
            <v:path/>
            <v:fill on="t" focussize="0,0"/>
            <v:stroke on="f"/>
            <v:imagedata o:title=""/>
            <o:lock v:ext="edit"/>
          </v:shape>
        </w:pict>
      </w:r>
    </w:p>
    <w:p w14:paraId="09567C44">
      <w:pPr>
        <w:spacing w:before="74" w:line="509" w:lineRule="auto"/>
        <w:ind w:left="597" w:right="533"/>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12"/>
          <w:sz w:val="23"/>
          <w:szCs w:val="23"/>
        </w:rPr>
        <w:t>据</w:t>
      </w:r>
      <w:r>
        <w:rPr>
          <w:rFonts w:ascii="宋体" w:hAnsi="宋体" w:eastAsia="宋体" w:cs="宋体"/>
          <w:spacing w:val="8"/>
          <w:sz w:val="23"/>
          <w:szCs w:val="23"/>
        </w:rPr>
        <w:t>本评价的实际情况，后三项在计算中予以忽略，仅考虑几何发散。</w:t>
      </w:r>
      <w:r>
        <w:rPr>
          <w:rFonts w:ascii="宋体" w:hAnsi="宋体" w:eastAsia="宋体" w:cs="宋体"/>
          <w:sz w:val="23"/>
          <w:szCs w:val="23"/>
        </w:rPr>
        <w:t xml:space="preserve"> </w:t>
      </w:r>
      <w:r>
        <w:rPr>
          <w:rFonts w:ascii="宋体" w:hAnsi="宋体" w:eastAsia="宋体" w:cs="宋体"/>
          <w:spacing w:val="18"/>
          <w:sz w:val="23"/>
          <w:szCs w:val="23"/>
        </w:rPr>
        <w:t>计</w:t>
      </w:r>
      <w:r>
        <w:rPr>
          <w:rFonts w:ascii="宋体" w:hAnsi="宋体" w:eastAsia="宋体" w:cs="宋体"/>
          <w:spacing w:val="11"/>
          <w:sz w:val="23"/>
          <w:szCs w:val="23"/>
        </w:rPr>
        <w:t>算</w:t>
      </w:r>
      <w:r>
        <w:rPr>
          <w:rFonts w:ascii="宋体" w:hAnsi="宋体" w:eastAsia="宋体" w:cs="宋体"/>
          <w:spacing w:val="9"/>
          <w:sz w:val="23"/>
          <w:szCs w:val="23"/>
        </w:rPr>
        <w:t>各等效室外声源在预测点产生的等效声级贡献值 (</w:t>
      </w:r>
      <w:r>
        <w:rPr>
          <w:rFonts w:ascii="Times New Roman" w:hAnsi="Times New Roman" w:eastAsia="Times New Roman" w:cs="Times New Roman"/>
          <w:sz w:val="23"/>
          <w:szCs w:val="23"/>
        </w:rPr>
        <w:t>Leq</w:t>
      </w:r>
      <w:r>
        <w:rPr>
          <w:rFonts w:ascii="宋体" w:hAnsi="宋体" w:eastAsia="宋体" w:cs="宋体"/>
          <w:spacing w:val="9"/>
          <w:sz w:val="23"/>
          <w:szCs w:val="23"/>
        </w:rPr>
        <w:t>)</w:t>
      </w:r>
    </w:p>
    <w:p w14:paraId="748DBE49">
      <w:pPr>
        <w:spacing w:before="13" w:line="238" w:lineRule="auto"/>
        <w:ind w:left="2568"/>
        <w:rPr>
          <w:rFonts w:ascii="Times New Roman" w:hAnsi="Times New Roman" w:eastAsia="Times New Roman" w:cs="Times New Roman"/>
          <w:sz w:val="26"/>
          <w:szCs w:val="26"/>
        </w:rPr>
      </w:pPr>
      <w:r>
        <w:rPr>
          <w:rFonts w:ascii="Times New Roman" w:hAnsi="Times New Roman" w:eastAsia="Times New Roman" w:cs="Times New Roman"/>
          <w:i/>
          <w:iCs/>
          <w:position w:val="1"/>
          <w:sz w:val="26"/>
          <w:szCs w:val="26"/>
        </w:rPr>
        <w:t>L</w:t>
      </w:r>
      <w:r>
        <w:rPr>
          <w:rFonts w:ascii="Times New Roman" w:hAnsi="Times New Roman" w:eastAsia="Times New Roman" w:cs="Times New Roman"/>
          <w:spacing w:val="8"/>
          <w:position w:val="1"/>
          <w:sz w:val="26"/>
          <w:szCs w:val="26"/>
        </w:rPr>
        <w:t xml:space="preserve"> </w:t>
      </w:r>
      <w:r>
        <w:rPr>
          <w:rFonts w:ascii="Times New Roman" w:hAnsi="Times New Roman" w:eastAsia="Times New Roman" w:cs="Times New Roman"/>
          <w:i/>
          <w:iCs/>
          <w:position w:val="-5"/>
          <w:sz w:val="15"/>
          <w:szCs w:val="15"/>
        </w:rPr>
        <w:t>eqg</w:t>
      </w:r>
      <w:r>
        <w:rPr>
          <w:rFonts w:ascii="Times New Roman" w:hAnsi="Times New Roman" w:eastAsia="Times New Roman" w:cs="Times New Roman"/>
          <w:spacing w:val="8"/>
          <w:position w:val="-5"/>
          <w:sz w:val="15"/>
          <w:szCs w:val="15"/>
        </w:rPr>
        <w:t xml:space="preserve"> </w:t>
      </w:r>
      <w:r>
        <w:rPr>
          <w:rFonts w:ascii="Times New Roman" w:hAnsi="Times New Roman" w:eastAsia="Times New Roman" w:cs="Times New Roman"/>
          <w:spacing w:val="5"/>
          <w:position w:val="-5"/>
          <w:sz w:val="15"/>
          <w:szCs w:val="15"/>
        </w:rPr>
        <w:t xml:space="preserve"> </w:t>
      </w:r>
      <w:r>
        <w:rPr>
          <w:rFonts w:ascii="Times New Roman" w:hAnsi="Times New Roman" w:eastAsia="Times New Roman" w:cs="Times New Roman"/>
          <w:spacing w:val="4"/>
          <w:position w:val="-5"/>
          <w:sz w:val="15"/>
          <w:szCs w:val="15"/>
        </w:rPr>
        <w:t xml:space="preserve">   </w:t>
      </w:r>
      <w:r>
        <w:rPr>
          <w:rFonts w:ascii="Symbol" w:hAnsi="Symbol" w:eastAsia="Symbol" w:cs="Symbol"/>
          <w:spacing w:val="4"/>
          <w:position w:val="1"/>
          <w:sz w:val="26"/>
          <w:szCs w:val="26"/>
        </w:rPr>
        <w:t xml:space="preserve">= </w:t>
      </w:r>
      <w:r>
        <w:rPr>
          <w:rFonts w:ascii="Times New Roman" w:hAnsi="Times New Roman" w:eastAsia="Times New Roman" w:cs="Times New Roman"/>
          <w:spacing w:val="4"/>
          <w:position w:val="1"/>
          <w:sz w:val="26"/>
          <w:szCs w:val="26"/>
        </w:rPr>
        <w:t xml:space="preserve">10 </w:t>
      </w:r>
      <w:r>
        <w:rPr>
          <w:rFonts w:ascii="Times New Roman" w:hAnsi="Times New Roman" w:eastAsia="Times New Roman" w:cs="Times New Roman"/>
          <w:position w:val="1"/>
          <w:sz w:val="26"/>
          <w:szCs w:val="26"/>
        </w:rPr>
        <w:t>lg</w:t>
      </w:r>
      <w:r>
        <w:rPr>
          <w:rFonts w:ascii="Times New Roman" w:hAnsi="Times New Roman" w:eastAsia="Times New Roman" w:cs="Times New Roman"/>
          <w:spacing w:val="4"/>
          <w:position w:val="1"/>
          <w:sz w:val="26"/>
          <w:szCs w:val="26"/>
        </w:rPr>
        <w:t xml:space="preserve">( </w:t>
      </w:r>
      <w:r>
        <w:rPr>
          <w:position w:val="-18"/>
          <w:sz w:val="26"/>
          <w:szCs w:val="26"/>
        </w:rPr>
        <w:drawing>
          <wp:inline distT="0" distB="0" distL="0" distR="0">
            <wp:extent cx="164465" cy="35052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531"/>
                    <a:stretch>
                      <a:fillRect/>
                    </a:stretch>
                  </pic:blipFill>
                  <pic:spPr>
                    <a:xfrm>
                      <a:off x="0" y="0"/>
                      <a:ext cx="164541" cy="351153"/>
                    </a:xfrm>
                    <a:prstGeom prst="rect">
                      <a:avLst/>
                    </a:prstGeom>
                  </pic:spPr>
                </pic:pic>
              </a:graphicData>
            </a:graphic>
          </wp:inline>
        </w:drawing>
      </w:r>
      <w:r>
        <w:rPr>
          <w:rFonts w:ascii="Times New Roman" w:hAnsi="Times New Roman" w:eastAsia="Times New Roman" w:cs="Times New Roman"/>
          <w:spacing w:val="4"/>
          <w:position w:val="1"/>
          <w:sz w:val="26"/>
          <w:szCs w:val="26"/>
        </w:rPr>
        <w:t xml:space="preserve"> </w:t>
      </w:r>
      <w:r>
        <w:rPr>
          <w:position w:val="-28"/>
          <w:sz w:val="26"/>
          <w:szCs w:val="26"/>
        </w:rPr>
        <w:drawing>
          <wp:inline distT="0" distB="0" distL="0" distR="0">
            <wp:extent cx="189230" cy="40957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532"/>
                    <a:stretch>
                      <a:fillRect/>
                    </a:stretch>
                  </pic:blipFill>
                  <pic:spPr>
                    <a:xfrm>
                      <a:off x="0" y="0"/>
                      <a:ext cx="189238" cy="409636"/>
                    </a:xfrm>
                    <a:prstGeom prst="rect">
                      <a:avLst/>
                    </a:prstGeom>
                  </pic:spPr>
                </pic:pic>
              </a:graphicData>
            </a:graphic>
          </wp:inline>
        </w:drawing>
      </w:r>
      <w:r>
        <w:rPr>
          <w:rFonts w:ascii="Times New Roman" w:hAnsi="Times New Roman" w:eastAsia="Times New Roman" w:cs="Times New Roman"/>
          <w:spacing w:val="4"/>
          <w:position w:val="1"/>
          <w:sz w:val="26"/>
          <w:szCs w:val="26"/>
        </w:rPr>
        <w:t xml:space="preserve"> </w:t>
      </w:r>
      <w:r>
        <w:rPr>
          <w:rFonts w:ascii="Times New Roman" w:hAnsi="Times New Roman" w:eastAsia="Times New Roman" w:cs="Times New Roman"/>
          <w:i/>
          <w:iCs/>
          <w:position w:val="1"/>
          <w:sz w:val="26"/>
          <w:szCs w:val="26"/>
        </w:rPr>
        <w:t>t</w:t>
      </w:r>
      <w:r>
        <w:rPr>
          <w:rFonts w:ascii="Times New Roman" w:hAnsi="Times New Roman" w:eastAsia="Times New Roman" w:cs="Times New Roman"/>
          <w:i/>
          <w:iCs/>
          <w:position w:val="-5"/>
          <w:sz w:val="15"/>
          <w:szCs w:val="15"/>
        </w:rPr>
        <w:t>i</w:t>
      </w:r>
      <w:r>
        <w:rPr>
          <w:rFonts w:ascii="Times New Roman" w:hAnsi="Times New Roman" w:eastAsia="Times New Roman" w:cs="Times New Roman"/>
          <w:spacing w:val="4"/>
          <w:position w:val="-5"/>
          <w:sz w:val="15"/>
          <w:szCs w:val="15"/>
        </w:rPr>
        <w:t xml:space="preserve"> </w:t>
      </w:r>
      <w:r>
        <w:rPr>
          <w:rFonts w:ascii="Times New Roman" w:hAnsi="Times New Roman" w:eastAsia="Times New Roman" w:cs="Times New Roman"/>
          <w:spacing w:val="4"/>
          <w:position w:val="1"/>
          <w:sz w:val="26"/>
          <w:szCs w:val="26"/>
        </w:rPr>
        <w:t xml:space="preserve">10 </w:t>
      </w:r>
      <w:r>
        <w:rPr>
          <w:rFonts w:ascii="Times New Roman" w:hAnsi="Times New Roman" w:eastAsia="Times New Roman" w:cs="Times New Roman"/>
          <w:i/>
          <w:iCs/>
          <w:position w:val="13"/>
          <w:sz w:val="15"/>
          <w:szCs w:val="15"/>
        </w:rPr>
        <w:t>Li</w:t>
      </w:r>
      <w:r>
        <w:rPr>
          <w:rFonts w:ascii="Times New Roman" w:hAnsi="Times New Roman" w:eastAsia="Times New Roman" w:cs="Times New Roman"/>
          <w:spacing w:val="4"/>
          <w:position w:val="13"/>
          <w:sz w:val="15"/>
          <w:szCs w:val="15"/>
        </w:rPr>
        <w:t xml:space="preserve">  / 10  </w:t>
      </w:r>
      <w:r>
        <w:rPr>
          <w:rFonts w:ascii="Times New Roman" w:hAnsi="Times New Roman" w:eastAsia="Times New Roman" w:cs="Times New Roman"/>
          <w:spacing w:val="4"/>
          <w:position w:val="1"/>
          <w:sz w:val="26"/>
          <w:szCs w:val="26"/>
        </w:rPr>
        <w:t>)</w:t>
      </w:r>
    </w:p>
    <w:p w14:paraId="6EF7B9AD">
      <w:pPr>
        <w:spacing w:line="313" w:lineRule="auto"/>
        <w:rPr>
          <w:rFonts w:ascii="Arial"/>
          <w:sz w:val="21"/>
        </w:rPr>
      </w:pPr>
    </w:p>
    <w:p w14:paraId="47CE57F0">
      <w:pPr>
        <w:spacing w:before="74" w:line="323" w:lineRule="exact"/>
        <w:ind w:left="602"/>
        <w:rPr>
          <w:rFonts w:ascii="宋体" w:hAnsi="宋体" w:eastAsia="宋体" w:cs="宋体"/>
          <w:sz w:val="23"/>
          <w:szCs w:val="23"/>
        </w:rPr>
      </w:pPr>
      <w:r>
        <w:rPr>
          <w:rFonts w:ascii="宋体" w:hAnsi="宋体" w:eastAsia="宋体" w:cs="宋体"/>
          <w:spacing w:val="10"/>
          <w:position w:val="2"/>
          <w:sz w:val="23"/>
          <w:szCs w:val="23"/>
        </w:rPr>
        <w:t>式中：</w:t>
      </w:r>
      <w:r>
        <w:rPr>
          <w:rFonts w:ascii="Times New Roman" w:hAnsi="Times New Roman" w:eastAsia="Times New Roman" w:cs="Times New Roman"/>
          <w:position w:val="2"/>
          <w:sz w:val="23"/>
          <w:szCs w:val="23"/>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pacing w:val="10"/>
          <w:position w:val="2"/>
          <w:sz w:val="23"/>
          <w:szCs w:val="23"/>
        </w:rPr>
        <w:t>—</w:t>
      </w:r>
      <w:r>
        <w:rPr>
          <w:rFonts w:ascii="宋体" w:hAnsi="宋体" w:eastAsia="宋体" w:cs="宋体"/>
          <w:spacing w:val="10"/>
          <w:position w:val="2"/>
          <w:sz w:val="23"/>
          <w:szCs w:val="23"/>
        </w:rPr>
        <w:t>室外声源在预测点产生的等效声级贡献值，</w:t>
      </w:r>
      <w:r>
        <w:rPr>
          <w:rFonts w:ascii="Times New Roman" w:hAnsi="Times New Roman" w:eastAsia="Times New Roman" w:cs="Times New Roman"/>
          <w:position w:val="2"/>
          <w:sz w:val="23"/>
          <w:szCs w:val="23"/>
        </w:rPr>
        <w:t>dB</w:t>
      </w:r>
      <w:r>
        <w:rPr>
          <w:rFonts w:ascii="宋体" w:hAnsi="宋体" w:eastAsia="宋体" w:cs="宋体"/>
          <w:spacing w:val="9"/>
          <w:position w:val="2"/>
          <w:sz w:val="23"/>
          <w:szCs w:val="23"/>
        </w:rPr>
        <w:t>；</w:t>
      </w:r>
    </w:p>
    <w:p w14:paraId="39934C2D">
      <w:pPr>
        <w:spacing w:before="200" w:line="480" w:lineRule="exact"/>
        <w:ind w:left="1309"/>
        <w:rPr>
          <w:rFonts w:ascii="宋体" w:hAnsi="宋体" w:eastAsia="宋体" w:cs="宋体"/>
          <w:sz w:val="23"/>
          <w:szCs w:val="23"/>
        </w:rPr>
      </w:pPr>
      <w:r>
        <w:rPr>
          <w:rFonts w:ascii="Times New Roman" w:hAnsi="Times New Roman" w:eastAsia="Times New Roman" w:cs="Times New Roman"/>
          <w:position w:val="18"/>
          <w:sz w:val="23"/>
          <w:szCs w:val="23"/>
        </w:rPr>
        <w:t>n</w:t>
      </w:r>
      <w:r>
        <w:rPr>
          <w:rFonts w:ascii="Times New Roman" w:hAnsi="Times New Roman" w:eastAsia="Times New Roman" w:cs="Times New Roman"/>
          <w:spacing w:val="12"/>
          <w:position w:val="18"/>
          <w:sz w:val="23"/>
          <w:szCs w:val="23"/>
        </w:rPr>
        <w:t>—</w:t>
      </w:r>
      <w:r>
        <w:rPr>
          <w:rFonts w:ascii="宋体" w:hAnsi="宋体" w:eastAsia="宋体" w:cs="宋体"/>
          <w:spacing w:val="9"/>
          <w:position w:val="18"/>
          <w:sz w:val="23"/>
          <w:szCs w:val="23"/>
        </w:rPr>
        <w:t>等效室外声源个数。</w:t>
      </w:r>
    </w:p>
    <w:p w14:paraId="76FB4640">
      <w:pPr>
        <w:spacing w:line="227" w:lineRule="auto"/>
        <w:ind w:left="1315"/>
        <w:rPr>
          <w:rFonts w:ascii="宋体" w:hAnsi="宋体" w:eastAsia="宋体" w:cs="宋体"/>
          <w:sz w:val="23"/>
          <w:szCs w:val="23"/>
        </w:rPr>
      </w:pPr>
      <w:r>
        <w:rPr>
          <w:rFonts w:ascii="Times New Roman" w:hAnsi="Times New Roman" w:eastAsia="Times New Roman" w:cs="Times New Roman"/>
          <w:sz w:val="23"/>
          <w:szCs w:val="23"/>
        </w:rPr>
        <w:t>T</w:t>
      </w:r>
      <w:r>
        <w:rPr>
          <w:rFonts w:ascii="Times New Roman" w:hAnsi="Times New Roman" w:eastAsia="Times New Roman" w:cs="Times New Roman"/>
          <w:spacing w:val="14"/>
          <w:sz w:val="23"/>
          <w:szCs w:val="23"/>
        </w:rPr>
        <w:t>—</w:t>
      </w:r>
      <w:r>
        <w:rPr>
          <w:rFonts w:ascii="宋体" w:hAnsi="宋体" w:eastAsia="宋体" w:cs="宋体"/>
          <w:spacing w:val="9"/>
          <w:sz w:val="23"/>
          <w:szCs w:val="23"/>
        </w:rPr>
        <w:t>预测计算的时间段，</w:t>
      </w:r>
      <w:r>
        <w:rPr>
          <w:rFonts w:ascii="Times New Roman" w:hAnsi="Times New Roman" w:eastAsia="Times New Roman" w:cs="Times New Roman"/>
          <w:sz w:val="23"/>
          <w:szCs w:val="23"/>
        </w:rPr>
        <w:t>S</w:t>
      </w:r>
      <w:r>
        <w:rPr>
          <w:rFonts w:ascii="宋体" w:hAnsi="宋体" w:eastAsia="宋体" w:cs="宋体"/>
          <w:spacing w:val="9"/>
          <w:sz w:val="23"/>
          <w:szCs w:val="23"/>
        </w:rPr>
        <w:t>；</w:t>
      </w:r>
    </w:p>
    <w:p w14:paraId="2834138D">
      <w:pPr>
        <w:spacing w:before="153" w:line="323" w:lineRule="exact"/>
        <w:ind w:left="1310"/>
        <w:rPr>
          <w:rFonts w:ascii="宋体" w:hAnsi="宋体" w:eastAsia="宋体" w:cs="宋体"/>
          <w:sz w:val="23"/>
          <w:szCs w:val="23"/>
        </w:rPr>
      </w:pPr>
      <w:r>
        <w:rPr>
          <w:rFonts w:ascii="Times New Roman" w:hAnsi="Times New Roman" w:eastAsia="Times New Roman" w:cs="Times New Roman"/>
          <w:position w:val="1"/>
          <w:sz w:val="23"/>
          <w:szCs w:val="23"/>
        </w:rPr>
        <w:t>ti</w:t>
      </w:r>
      <w:r>
        <w:rPr>
          <w:rFonts w:ascii="Times New Roman" w:hAnsi="Times New Roman" w:eastAsia="Times New Roman" w:cs="Times New Roman"/>
          <w:spacing w:val="10"/>
          <w:position w:val="1"/>
          <w:sz w:val="23"/>
          <w:szCs w:val="23"/>
        </w:rPr>
        <w:t>—</w:t>
      </w:r>
      <w:r>
        <w:rPr>
          <w:rFonts w:ascii="Times New Roman" w:hAnsi="Times New Roman" w:eastAsia="Times New Roman" w:cs="Times New Roman"/>
          <w:position w:val="1"/>
          <w:sz w:val="23"/>
          <w:szCs w:val="23"/>
        </w:rPr>
        <w:t>i</w:t>
      </w:r>
      <w:r>
        <w:rPr>
          <w:rFonts w:ascii="Times New Roman" w:hAnsi="Times New Roman" w:eastAsia="Times New Roman" w:cs="Times New Roman"/>
          <w:spacing w:val="6"/>
          <w:position w:val="1"/>
          <w:sz w:val="23"/>
          <w:szCs w:val="23"/>
        </w:rPr>
        <w:t xml:space="preserve"> </w:t>
      </w:r>
      <w:r>
        <w:rPr>
          <w:rFonts w:ascii="宋体" w:hAnsi="宋体" w:eastAsia="宋体" w:cs="宋体"/>
          <w:spacing w:val="5"/>
          <w:position w:val="1"/>
          <w:sz w:val="23"/>
          <w:szCs w:val="23"/>
        </w:rPr>
        <w:t xml:space="preserve">声源在 </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时段的运行时间，</w:t>
      </w:r>
      <w:r>
        <w:rPr>
          <w:rFonts w:ascii="Times New Roman" w:hAnsi="Times New Roman" w:eastAsia="Times New Roman" w:cs="Times New Roman"/>
          <w:position w:val="1"/>
          <w:sz w:val="23"/>
          <w:szCs w:val="23"/>
        </w:rPr>
        <w:t>S</w:t>
      </w:r>
      <w:r>
        <w:rPr>
          <w:rFonts w:ascii="宋体" w:hAnsi="宋体" w:eastAsia="宋体" w:cs="宋体"/>
          <w:spacing w:val="5"/>
          <w:position w:val="1"/>
          <w:sz w:val="23"/>
          <w:szCs w:val="23"/>
        </w:rPr>
        <w:t>。</w:t>
      </w:r>
    </w:p>
    <w:p w14:paraId="4D5A12F3">
      <w:pPr>
        <w:spacing w:line="279" w:lineRule="auto"/>
        <w:rPr>
          <w:rFonts w:ascii="Arial"/>
          <w:sz w:val="21"/>
        </w:rPr>
      </w:pPr>
    </w:p>
    <w:p w14:paraId="598CD124">
      <w:pPr>
        <w:spacing w:before="75" w:line="226" w:lineRule="auto"/>
        <w:ind w:left="597"/>
        <w:rPr>
          <w:rFonts w:ascii="宋体" w:hAnsi="宋体" w:eastAsia="宋体" w:cs="宋体"/>
          <w:sz w:val="23"/>
          <w:szCs w:val="23"/>
        </w:rPr>
      </w:pPr>
      <w:r>
        <w:rPr>
          <w:rFonts w:ascii="宋体" w:hAnsi="宋体" w:eastAsia="宋体" w:cs="宋体"/>
          <w:spacing w:val="8"/>
          <w:sz w:val="23"/>
          <w:szCs w:val="23"/>
        </w:rPr>
        <w:t>计算预测点的预测等效声级 (</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w:t>
      </w:r>
      <w:r>
        <w:rPr>
          <w:rFonts w:ascii="Times New Roman" w:hAnsi="Times New Roman" w:eastAsia="Times New Roman" w:cs="Times New Roman"/>
          <w:spacing w:val="8"/>
          <w:position w:val="-1"/>
          <w:sz w:val="15"/>
          <w:szCs w:val="15"/>
        </w:rPr>
        <w:t xml:space="preserve"> </w:t>
      </w:r>
      <w:r>
        <w:rPr>
          <w:rFonts w:ascii="宋体" w:hAnsi="宋体" w:eastAsia="宋体" w:cs="宋体"/>
          <w:spacing w:val="8"/>
          <w:sz w:val="23"/>
          <w:szCs w:val="23"/>
        </w:rPr>
        <w:t>)</w:t>
      </w:r>
    </w:p>
    <w:p w14:paraId="4B7FD6A6">
      <w:pPr>
        <w:spacing w:before="239" w:line="709" w:lineRule="exact"/>
        <w:ind w:left="2445"/>
        <w:rPr>
          <w:sz w:val="15"/>
          <w:szCs w:val="15"/>
        </w:rPr>
      </w:pPr>
      <w:r>
        <w:rPr>
          <w:rFonts w:ascii="Times New Roman" w:hAnsi="Times New Roman" w:eastAsia="Times New Roman" w:cs="Times New Roman"/>
          <w:i/>
          <w:iCs/>
          <w:position w:val="26"/>
          <w:sz w:val="26"/>
          <w:szCs w:val="26"/>
        </w:rPr>
        <w:t>L</w:t>
      </w:r>
      <w:r>
        <w:rPr>
          <w:rFonts w:ascii="Times New Roman" w:hAnsi="Times New Roman" w:eastAsia="Times New Roman" w:cs="Times New Roman"/>
          <w:i/>
          <w:iCs/>
          <w:position w:val="19"/>
          <w:sz w:val="15"/>
          <w:szCs w:val="15"/>
        </w:rPr>
        <w:t>eq</w:t>
      </w:r>
      <w:r>
        <w:rPr>
          <w:rFonts w:ascii="Times New Roman" w:hAnsi="Times New Roman" w:eastAsia="Times New Roman" w:cs="Times New Roman"/>
          <w:spacing w:val="10"/>
          <w:position w:val="19"/>
          <w:sz w:val="15"/>
          <w:szCs w:val="15"/>
        </w:rPr>
        <w:t xml:space="preserve"> </w:t>
      </w:r>
      <w:r>
        <w:rPr>
          <w:rFonts w:ascii="Times New Roman" w:hAnsi="Times New Roman" w:eastAsia="Times New Roman" w:cs="Times New Roman"/>
          <w:spacing w:val="9"/>
          <w:position w:val="19"/>
          <w:sz w:val="15"/>
          <w:szCs w:val="15"/>
        </w:rPr>
        <w:t xml:space="preserve"> </w:t>
      </w:r>
      <w:r>
        <w:rPr>
          <w:rFonts w:ascii="Times New Roman" w:hAnsi="Times New Roman" w:eastAsia="Times New Roman" w:cs="Times New Roman"/>
          <w:spacing w:val="5"/>
          <w:position w:val="19"/>
          <w:sz w:val="15"/>
          <w:szCs w:val="15"/>
        </w:rPr>
        <w:t xml:space="preserve"> </w:t>
      </w:r>
      <w:r>
        <w:rPr>
          <w:rFonts w:ascii="Symbol" w:hAnsi="Symbol" w:eastAsia="Symbol" w:cs="Symbol"/>
          <w:spacing w:val="5"/>
          <w:position w:val="26"/>
          <w:sz w:val="26"/>
          <w:szCs w:val="26"/>
        </w:rPr>
        <w:t xml:space="preserve">= </w:t>
      </w:r>
      <w:r>
        <w:rPr>
          <w:rFonts w:ascii="Times New Roman" w:hAnsi="Times New Roman" w:eastAsia="Times New Roman" w:cs="Times New Roman"/>
          <w:spacing w:val="5"/>
          <w:position w:val="26"/>
          <w:sz w:val="26"/>
          <w:szCs w:val="26"/>
        </w:rPr>
        <w:t xml:space="preserve">10 </w:t>
      </w:r>
      <w:r>
        <w:rPr>
          <w:rFonts w:ascii="Times New Roman" w:hAnsi="Times New Roman" w:eastAsia="Times New Roman" w:cs="Times New Roman"/>
          <w:position w:val="26"/>
          <w:sz w:val="26"/>
          <w:szCs w:val="26"/>
        </w:rPr>
        <w:t>lg</w:t>
      </w:r>
      <w:r>
        <w:rPr>
          <w:rFonts w:ascii="Times New Roman" w:hAnsi="Times New Roman" w:eastAsia="Times New Roman" w:cs="Times New Roman"/>
          <w:spacing w:val="5"/>
          <w:position w:val="26"/>
          <w:sz w:val="26"/>
          <w:szCs w:val="26"/>
        </w:rPr>
        <w:t xml:space="preserve">( 10 </w:t>
      </w:r>
      <w:r>
        <w:rPr>
          <w:rFonts w:ascii="Times New Roman" w:hAnsi="Times New Roman" w:eastAsia="Times New Roman" w:cs="Times New Roman"/>
          <w:i/>
          <w:iCs/>
          <w:position w:val="39"/>
          <w:sz w:val="15"/>
          <w:szCs w:val="15"/>
        </w:rPr>
        <w:t>L</w:t>
      </w:r>
      <w:r>
        <w:rPr>
          <w:rFonts w:ascii="Times New Roman" w:hAnsi="Times New Roman" w:eastAsia="Times New Roman" w:cs="Times New Roman"/>
          <w:i/>
          <w:iCs/>
          <w:position w:val="35"/>
          <w:sz w:val="11"/>
          <w:szCs w:val="11"/>
        </w:rPr>
        <w:t>eqg</w:t>
      </w:r>
      <w:r>
        <w:rPr>
          <w:rFonts w:ascii="Times New Roman" w:hAnsi="Times New Roman" w:eastAsia="Times New Roman" w:cs="Times New Roman"/>
          <w:spacing w:val="5"/>
          <w:position w:val="35"/>
          <w:sz w:val="11"/>
          <w:szCs w:val="11"/>
        </w:rPr>
        <w:t xml:space="preserve">  </w:t>
      </w:r>
      <w:r>
        <w:rPr>
          <w:rFonts w:ascii="Times New Roman" w:hAnsi="Times New Roman" w:eastAsia="Times New Roman" w:cs="Times New Roman"/>
          <w:spacing w:val="5"/>
          <w:position w:val="39"/>
          <w:sz w:val="15"/>
          <w:szCs w:val="15"/>
        </w:rPr>
        <w:t xml:space="preserve">/ 10   </w:t>
      </w:r>
      <w:r>
        <w:rPr>
          <w:position w:val="20"/>
          <w:sz w:val="15"/>
          <w:szCs w:val="15"/>
        </w:rPr>
        <w:drawing>
          <wp:inline distT="0" distB="0" distL="0" distR="0">
            <wp:extent cx="775335" cy="23368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533"/>
                    <a:stretch>
                      <a:fillRect/>
                    </a:stretch>
                  </pic:blipFill>
                  <pic:spPr>
                    <a:xfrm>
                      <a:off x="0" y="0"/>
                      <a:ext cx="775449" cy="233744"/>
                    </a:xfrm>
                    <a:prstGeom prst="rect">
                      <a:avLst/>
                    </a:prstGeom>
                  </pic:spPr>
                </pic:pic>
              </a:graphicData>
            </a:graphic>
          </wp:inline>
        </w:drawing>
      </w:r>
    </w:p>
    <w:p w14:paraId="13E9FBBA">
      <w:pPr>
        <w:spacing w:line="323" w:lineRule="exact"/>
        <w:ind w:left="602"/>
        <w:rPr>
          <w:rFonts w:ascii="宋体" w:hAnsi="宋体" w:eastAsia="宋体" w:cs="宋体"/>
          <w:sz w:val="23"/>
          <w:szCs w:val="23"/>
        </w:rPr>
      </w:pPr>
      <w:r>
        <w:rPr>
          <w:rFonts w:ascii="宋体" w:hAnsi="宋体" w:eastAsia="宋体" w:cs="宋体"/>
          <w:spacing w:val="10"/>
          <w:position w:val="2"/>
          <w:sz w:val="23"/>
          <w:szCs w:val="23"/>
        </w:rPr>
        <w:t>式中：</w:t>
      </w:r>
      <w:r>
        <w:rPr>
          <w:rFonts w:ascii="Times New Roman" w:hAnsi="Times New Roman" w:eastAsia="Times New Roman" w:cs="Times New Roman"/>
          <w:position w:val="2"/>
          <w:sz w:val="23"/>
          <w:szCs w:val="23"/>
        </w:rPr>
        <w:t>L</w:t>
      </w:r>
      <w:r>
        <w:rPr>
          <w:rFonts w:ascii="Times New Roman" w:hAnsi="Times New Roman" w:eastAsia="Times New Roman" w:cs="Times New Roman"/>
          <w:position w:val="1"/>
          <w:sz w:val="15"/>
          <w:szCs w:val="15"/>
        </w:rPr>
        <w:t>eq</w:t>
      </w:r>
      <w:r>
        <w:rPr>
          <w:rFonts w:ascii="Times New Roman" w:hAnsi="Times New Roman" w:eastAsia="Times New Roman" w:cs="Times New Roman"/>
          <w:spacing w:val="10"/>
          <w:position w:val="2"/>
          <w:sz w:val="23"/>
          <w:szCs w:val="23"/>
        </w:rPr>
        <w:t>—</w:t>
      </w:r>
      <w:r>
        <w:rPr>
          <w:rFonts w:ascii="宋体" w:hAnsi="宋体" w:eastAsia="宋体" w:cs="宋体"/>
          <w:spacing w:val="10"/>
          <w:position w:val="2"/>
          <w:sz w:val="23"/>
          <w:szCs w:val="23"/>
        </w:rPr>
        <w:t>声源在预测点的等效声级预测值，</w:t>
      </w:r>
      <w:r>
        <w:rPr>
          <w:rFonts w:ascii="Times New Roman" w:hAnsi="Times New Roman" w:eastAsia="Times New Roman" w:cs="Times New Roman"/>
          <w:position w:val="2"/>
          <w:sz w:val="23"/>
          <w:szCs w:val="23"/>
        </w:rPr>
        <w:t>dB</w:t>
      </w:r>
      <w:r>
        <w:rPr>
          <w:rFonts w:ascii="宋体" w:hAnsi="宋体" w:eastAsia="宋体" w:cs="宋体"/>
          <w:spacing w:val="8"/>
          <w:position w:val="2"/>
          <w:sz w:val="23"/>
          <w:szCs w:val="23"/>
        </w:rPr>
        <w:t>；</w:t>
      </w:r>
    </w:p>
    <w:p w14:paraId="4DE4D064">
      <w:pPr>
        <w:spacing w:before="313" w:line="508" w:lineRule="auto"/>
        <w:ind w:left="1312" w:right="1584"/>
        <w:rPr>
          <w:rFonts w:ascii="宋体" w:hAnsi="宋体" w:eastAsia="宋体" w:cs="宋体"/>
          <w:sz w:val="23"/>
          <w:szCs w:val="23"/>
        </w:rPr>
      </w:pP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pacing w:val="8"/>
          <w:sz w:val="23"/>
          <w:szCs w:val="23"/>
        </w:rPr>
        <w:t>—</w:t>
      </w:r>
      <w:r>
        <w:rPr>
          <w:rFonts w:ascii="宋体" w:hAnsi="宋体" w:eastAsia="宋体" w:cs="宋体"/>
          <w:spacing w:val="8"/>
          <w:sz w:val="23"/>
          <w:szCs w:val="23"/>
        </w:rPr>
        <w:t>室外声源在预测点产生的等效声级贡献值，</w:t>
      </w:r>
      <w:r>
        <w:rPr>
          <w:rFonts w:ascii="Times New Roman" w:hAnsi="Times New Roman" w:eastAsia="Times New Roman" w:cs="Times New Roman"/>
          <w:sz w:val="23"/>
          <w:szCs w:val="23"/>
        </w:rPr>
        <w:t>dB</w:t>
      </w:r>
      <w:r>
        <w:rPr>
          <w:rFonts w:ascii="宋体" w:hAnsi="宋体" w:eastAsia="宋体" w:cs="宋体"/>
          <w:spacing w:val="8"/>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eqb</w:t>
      </w:r>
      <w:r>
        <w:rPr>
          <w:rFonts w:ascii="Times New Roman" w:hAnsi="Times New Roman" w:eastAsia="Times New Roman" w:cs="Times New Roman"/>
          <w:spacing w:val="11"/>
          <w:sz w:val="23"/>
          <w:szCs w:val="23"/>
        </w:rPr>
        <w:t>—</w:t>
      </w:r>
      <w:r>
        <w:rPr>
          <w:rFonts w:ascii="宋体" w:hAnsi="宋体" w:eastAsia="宋体" w:cs="宋体"/>
          <w:spacing w:val="11"/>
          <w:sz w:val="23"/>
          <w:szCs w:val="23"/>
        </w:rPr>
        <w:t>预测点的背景值，</w:t>
      </w:r>
      <w:r>
        <w:rPr>
          <w:rFonts w:ascii="Times New Roman" w:hAnsi="Times New Roman" w:eastAsia="Times New Roman" w:cs="Times New Roman"/>
          <w:sz w:val="23"/>
          <w:szCs w:val="23"/>
        </w:rPr>
        <w:t>dB</w:t>
      </w:r>
      <w:r>
        <w:rPr>
          <w:rFonts w:ascii="宋体" w:hAnsi="宋体" w:eastAsia="宋体" w:cs="宋体"/>
          <w:spacing w:val="10"/>
          <w:sz w:val="23"/>
          <w:szCs w:val="23"/>
        </w:rPr>
        <w:t>。</w:t>
      </w:r>
    </w:p>
    <w:p w14:paraId="544D12E4">
      <w:pPr>
        <w:spacing w:before="50" w:line="225" w:lineRule="auto"/>
        <w:ind w:left="595"/>
        <w:rPr>
          <w:rFonts w:ascii="宋体" w:hAnsi="宋体" w:eastAsia="宋体" w:cs="宋体"/>
          <w:sz w:val="23"/>
          <w:szCs w:val="23"/>
        </w:rPr>
      </w:pPr>
      <w:r>
        <w:rPr>
          <w:rFonts w:ascii="宋体" w:hAnsi="宋体" w:eastAsia="宋体" w:cs="宋体"/>
          <w:spacing w:val="10"/>
          <w:sz w:val="23"/>
          <w:szCs w:val="23"/>
        </w:rPr>
        <w:t>⑤</w:t>
      </w:r>
      <w:r>
        <w:rPr>
          <w:rFonts w:ascii="宋体" w:hAnsi="宋体" w:eastAsia="宋体" w:cs="宋体"/>
          <w:spacing w:val="8"/>
          <w:sz w:val="23"/>
          <w:szCs w:val="23"/>
        </w:rPr>
        <w:t>评价标准</w:t>
      </w:r>
    </w:p>
    <w:p w14:paraId="2939CBE2">
      <w:pPr>
        <w:spacing w:before="313" w:line="396" w:lineRule="auto"/>
        <w:ind w:left="126" w:right="105" w:firstLine="469"/>
        <w:rPr>
          <w:rFonts w:ascii="宋体" w:hAnsi="宋体" w:eastAsia="宋体" w:cs="宋体"/>
          <w:sz w:val="23"/>
          <w:szCs w:val="23"/>
        </w:rPr>
      </w:pPr>
      <w:r>
        <w:rPr>
          <w:rFonts w:ascii="宋体" w:hAnsi="宋体" w:eastAsia="宋体" w:cs="宋体"/>
          <w:spacing w:val="18"/>
          <w:sz w:val="23"/>
          <w:szCs w:val="23"/>
        </w:rPr>
        <w:t>评</w:t>
      </w:r>
      <w:r>
        <w:rPr>
          <w:rFonts w:ascii="宋体" w:hAnsi="宋体" w:eastAsia="宋体" w:cs="宋体"/>
          <w:spacing w:val="11"/>
          <w:sz w:val="23"/>
          <w:szCs w:val="23"/>
        </w:rPr>
        <w:t>价</w:t>
      </w:r>
      <w:r>
        <w:rPr>
          <w:rFonts w:ascii="宋体" w:hAnsi="宋体" w:eastAsia="宋体" w:cs="宋体"/>
          <w:spacing w:val="9"/>
          <w:sz w:val="23"/>
          <w:szCs w:val="23"/>
        </w:rPr>
        <w:t>执行《工业企业厂界环境噪声排放标准》</w:t>
      </w:r>
      <w:r>
        <w:rPr>
          <w:rFonts w:ascii="Times New Roman" w:hAnsi="Times New Roman" w:eastAsia="Times New Roman" w:cs="Times New Roman"/>
          <w:spacing w:val="9"/>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12348-2008)</w:t>
      </w:r>
      <w:r>
        <w:rPr>
          <w:rFonts w:ascii="宋体" w:hAnsi="宋体" w:eastAsia="宋体" w:cs="宋体"/>
          <w:spacing w:val="9"/>
          <w:sz w:val="23"/>
          <w:szCs w:val="23"/>
        </w:rPr>
        <w:t xml:space="preserve">中的 </w:t>
      </w:r>
      <w:r>
        <w:rPr>
          <w:rFonts w:ascii="Times New Roman" w:hAnsi="Times New Roman" w:eastAsia="Times New Roman" w:cs="Times New Roman"/>
          <w:spacing w:val="9"/>
          <w:sz w:val="23"/>
          <w:szCs w:val="23"/>
        </w:rPr>
        <w:t xml:space="preserve">3 </w:t>
      </w:r>
      <w:r>
        <w:rPr>
          <w:rFonts w:ascii="宋体" w:hAnsi="宋体" w:eastAsia="宋体" w:cs="宋体"/>
          <w:spacing w:val="9"/>
          <w:sz w:val="23"/>
          <w:szCs w:val="23"/>
        </w:rPr>
        <w:t>类功</w:t>
      </w:r>
      <w:r>
        <w:rPr>
          <w:rFonts w:ascii="宋体" w:hAnsi="宋体" w:eastAsia="宋体" w:cs="宋体"/>
          <w:sz w:val="23"/>
          <w:szCs w:val="23"/>
        </w:rPr>
        <w:t xml:space="preserve"> </w:t>
      </w:r>
      <w:r>
        <w:rPr>
          <w:rFonts w:ascii="宋体" w:hAnsi="宋体" w:eastAsia="宋体" w:cs="宋体"/>
          <w:spacing w:val="5"/>
          <w:sz w:val="23"/>
          <w:szCs w:val="23"/>
        </w:rPr>
        <w:t>能</w:t>
      </w:r>
      <w:r>
        <w:rPr>
          <w:rFonts w:ascii="宋体" w:hAnsi="宋体" w:eastAsia="宋体" w:cs="宋体"/>
          <w:spacing w:val="4"/>
          <w:sz w:val="23"/>
          <w:szCs w:val="23"/>
        </w:rPr>
        <w:t>区标准。</w:t>
      </w:r>
    </w:p>
    <w:p w14:paraId="3E892FA8">
      <w:pPr>
        <w:spacing w:before="172" w:line="225" w:lineRule="auto"/>
        <w:ind w:left="595"/>
        <w:rPr>
          <w:rFonts w:ascii="宋体" w:hAnsi="宋体" w:eastAsia="宋体" w:cs="宋体"/>
          <w:sz w:val="23"/>
          <w:szCs w:val="23"/>
        </w:rPr>
      </w:pPr>
      <w:r>
        <w:rPr>
          <w:rFonts w:ascii="宋体" w:hAnsi="宋体" w:eastAsia="宋体" w:cs="宋体"/>
          <w:spacing w:val="9"/>
          <w:sz w:val="23"/>
          <w:szCs w:val="23"/>
        </w:rPr>
        <w:t>⑥预测结果与评价</w:t>
      </w:r>
    </w:p>
    <w:p w14:paraId="79495A94">
      <w:pPr>
        <w:spacing w:before="308" w:line="332" w:lineRule="exact"/>
        <w:ind w:left="1865"/>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2"/>
          <w:sz w:val="23"/>
          <w:szCs w:val="23"/>
        </w:rPr>
        <w:t xml:space="preserve"> </w:t>
      </w:r>
      <w:r>
        <w:rPr>
          <w:rFonts w:ascii="Times New Roman" w:hAnsi="Times New Roman" w:eastAsia="Times New Roman" w:cs="Times New Roman"/>
          <w:b/>
          <w:bCs/>
          <w:spacing w:val="6"/>
          <w:position w:val="2"/>
          <w:sz w:val="23"/>
          <w:szCs w:val="23"/>
        </w:rPr>
        <w:t>5</w:t>
      </w:r>
      <w:r>
        <w:rPr>
          <w:rFonts w:ascii="Times New Roman" w:hAnsi="Times New Roman" w:eastAsia="Times New Roman" w:cs="Times New Roman"/>
          <w:b/>
          <w:bCs/>
          <w:spacing w:val="4"/>
          <w:position w:val="2"/>
          <w:sz w:val="23"/>
          <w:szCs w:val="23"/>
        </w:rPr>
        <w:t>-19</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噪声预测结果</w:t>
      </w:r>
      <w:r>
        <w:rPr>
          <w:rFonts w:ascii="宋体" w:hAnsi="宋体" w:eastAsia="宋体" w:cs="宋体"/>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2"/>
          <w:sz w:val="23"/>
          <w:szCs w:val="23"/>
        </w:rPr>
        <w:t>dB</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position w:val="2"/>
          <w:sz w:val="23"/>
          <w:szCs w:val="23"/>
        </w:rPr>
        <w:t>A</w:t>
      </w:r>
      <w:r>
        <w:rPr>
          <w:rFonts w:ascii="宋体" w:hAnsi="宋体" w:eastAsia="宋体" w:cs="宋体"/>
          <w:spacing w:val="4"/>
          <w:position w:val="2"/>
          <w:sz w:val="23"/>
          <w:szCs w:val="23"/>
          <w14:textOutline w14:w="4358" w14:cap="sq" w14:cmpd="sng">
            <w14:solidFill>
              <w14:srgbClr w14:val="000000"/>
            </w14:solidFill>
            <w14:prstDash w14:val="solid"/>
            <w14:bevel/>
          </w14:textOutline>
        </w:rPr>
        <w:t>)</w:t>
      </w:r>
    </w:p>
    <w:p w14:paraId="585916F5">
      <w:pPr>
        <w:spacing w:line="16"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4"/>
        <w:gridCol w:w="1705"/>
        <w:gridCol w:w="1704"/>
        <w:gridCol w:w="1705"/>
        <w:gridCol w:w="1704"/>
      </w:tblGrid>
      <w:tr w14:paraId="434A4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704" w:type="dxa"/>
            <w:tcBorders>
              <w:left w:val="nil"/>
            </w:tcBorders>
            <w:vAlign w:val="top"/>
          </w:tcPr>
          <w:p w14:paraId="15F05681">
            <w:pPr>
              <w:spacing w:before="76" w:line="228" w:lineRule="auto"/>
              <w:ind w:left="54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预测点</w:t>
            </w:r>
          </w:p>
        </w:tc>
        <w:tc>
          <w:tcPr>
            <w:tcW w:w="1705" w:type="dxa"/>
            <w:vAlign w:val="top"/>
          </w:tcPr>
          <w:p w14:paraId="613A7562">
            <w:pPr>
              <w:spacing w:before="75" w:line="229" w:lineRule="auto"/>
              <w:ind w:left="656"/>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时段</w:t>
            </w:r>
          </w:p>
        </w:tc>
        <w:tc>
          <w:tcPr>
            <w:tcW w:w="1704" w:type="dxa"/>
            <w:vAlign w:val="top"/>
          </w:tcPr>
          <w:p w14:paraId="60935144">
            <w:pPr>
              <w:spacing w:before="75" w:line="228" w:lineRule="auto"/>
              <w:ind w:left="54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贡献</w:t>
            </w:r>
            <w:r>
              <w:rPr>
                <w:rFonts w:ascii="宋体" w:hAnsi="宋体" w:eastAsia="宋体" w:cs="宋体"/>
                <w:spacing w:val="6"/>
                <w:sz w:val="20"/>
                <w:szCs w:val="20"/>
                <w14:textOutline w14:w="3795" w14:cap="sq" w14:cmpd="sng">
                  <w14:solidFill>
                    <w14:srgbClr w14:val="000000"/>
                  </w14:solidFill>
                  <w14:prstDash w14:val="solid"/>
                  <w14:bevel/>
                </w14:textOutline>
              </w:rPr>
              <w:t>值</w:t>
            </w:r>
          </w:p>
        </w:tc>
        <w:tc>
          <w:tcPr>
            <w:tcW w:w="1705" w:type="dxa"/>
            <w:vAlign w:val="top"/>
          </w:tcPr>
          <w:p w14:paraId="635FDBA4">
            <w:pPr>
              <w:spacing w:before="76" w:line="228" w:lineRule="auto"/>
              <w:ind w:left="43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达标情</w:t>
            </w:r>
            <w:r>
              <w:rPr>
                <w:rFonts w:ascii="宋体" w:hAnsi="宋体" w:eastAsia="宋体" w:cs="宋体"/>
                <w:spacing w:val="8"/>
                <w:sz w:val="20"/>
                <w:szCs w:val="20"/>
                <w14:textOutline w14:w="3795" w14:cap="sq" w14:cmpd="sng">
                  <w14:solidFill>
                    <w14:srgbClr w14:val="000000"/>
                  </w14:solidFill>
                  <w14:prstDash w14:val="solid"/>
                  <w14:bevel/>
                </w14:textOutline>
              </w:rPr>
              <w:t>况</w:t>
            </w:r>
          </w:p>
        </w:tc>
        <w:tc>
          <w:tcPr>
            <w:tcW w:w="1704" w:type="dxa"/>
            <w:tcBorders>
              <w:right w:val="nil"/>
            </w:tcBorders>
            <w:vAlign w:val="top"/>
          </w:tcPr>
          <w:p w14:paraId="3657712F">
            <w:pPr>
              <w:spacing w:before="75" w:line="226" w:lineRule="auto"/>
              <w:ind w:left="43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评价标</w:t>
            </w:r>
            <w:r>
              <w:rPr>
                <w:rFonts w:ascii="宋体" w:hAnsi="宋体" w:eastAsia="宋体" w:cs="宋体"/>
                <w:spacing w:val="8"/>
                <w:sz w:val="20"/>
                <w:szCs w:val="20"/>
                <w14:textOutline w14:w="3795" w14:cap="sq" w14:cmpd="sng">
                  <w14:solidFill>
                    <w14:srgbClr w14:val="000000"/>
                  </w14:solidFill>
                  <w14:prstDash w14:val="solid"/>
                  <w14:bevel/>
                </w14:textOutline>
              </w:rPr>
              <w:t>准</w:t>
            </w:r>
          </w:p>
        </w:tc>
      </w:tr>
      <w:tr w14:paraId="4C78C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4" w:type="dxa"/>
            <w:vMerge w:val="restart"/>
            <w:tcBorders>
              <w:left w:val="nil"/>
              <w:bottom w:val="nil"/>
            </w:tcBorders>
            <w:vAlign w:val="top"/>
          </w:tcPr>
          <w:p w14:paraId="3324D20E">
            <w:pPr>
              <w:spacing w:before="230" w:line="228" w:lineRule="auto"/>
              <w:ind w:left="553"/>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厂界</w:t>
            </w:r>
          </w:p>
        </w:tc>
        <w:tc>
          <w:tcPr>
            <w:tcW w:w="1705" w:type="dxa"/>
            <w:vAlign w:val="top"/>
          </w:tcPr>
          <w:p w14:paraId="27489B6D">
            <w:pPr>
              <w:spacing w:before="59" w:line="231" w:lineRule="auto"/>
              <w:ind w:left="645"/>
              <w:rPr>
                <w:rFonts w:ascii="宋体" w:hAnsi="宋体" w:eastAsia="宋体" w:cs="宋体"/>
                <w:sz w:val="20"/>
                <w:szCs w:val="20"/>
              </w:rPr>
            </w:pPr>
            <w:r>
              <w:rPr>
                <w:rFonts w:ascii="宋体" w:hAnsi="宋体" w:eastAsia="宋体" w:cs="宋体"/>
                <w:spacing w:val="5"/>
                <w:sz w:val="20"/>
                <w:szCs w:val="20"/>
              </w:rPr>
              <w:t>昼间</w:t>
            </w:r>
          </w:p>
        </w:tc>
        <w:tc>
          <w:tcPr>
            <w:tcW w:w="1704" w:type="dxa"/>
            <w:vAlign w:val="top"/>
          </w:tcPr>
          <w:p w14:paraId="78E47381">
            <w:pPr>
              <w:spacing w:before="96"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705" w:type="dxa"/>
            <w:vAlign w:val="top"/>
          </w:tcPr>
          <w:p w14:paraId="1AFF824C">
            <w:pPr>
              <w:spacing w:before="60"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42156627">
            <w:pPr>
              <w:spacing w:before="96"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r>
      <w:tr w14:paraId="3B90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04" w:type="dxa"/>
            <w:vMerge w:val="continue"/>
            <w:tcBorders>
              <w:top w:val="nil"/>
              <w:left w:val="nil"/>
            </w:tcBorders>
            <w:vAlign w:val="top"/>
          </w:tcPr>
          <w:p w14:paraId="2B2C0E5E">
            <w:pPr>
              <w:rPr>
                <w:rFonts w:ascii="Arial"/>
                <w:sz w:val="21"/>
              </w:rPr>
            </w:pPr>
          </w:p>
        </w:tc>
        <w:tc>
          <w:tcPr>
            <w:tcW w:w="1705" w:type="dxa"/>
            <w:vAlign w:val="top"/>
          </w:tcPr>
          <w:p w14:paraId="3585F985">
            <w:pPr>
              <w:spacing w:before="60" w:line="228" w:lineRule="auto"/>
              <w:ind w:left="649"/>
              <w:rPr>
                <w:rFonts w:ascii="宋体" w:hAnsi="宋体" w:eastAsia="宋体" w:cs="宋体"/>
                <w:sz w:val="20"/>
                <w:szCs w:val="20"/>
              </w:rPr>
            </w:pPr>
            <w:r>
              <w:rPr>
                <w:rFonts w:ascii="宋体" w:hAnsi="宋体" w:eastAsia="宋体" w:cs="宋体"/>
                <w:spacing w:val="3"/>
                <w:sz w:val="20"/>
                <w:szCs w:val="20"/>
              </w:rPr>
              <w:t>夜间</w:t>
            </w:r>
          </w:p>
        </w:tc>
        <w:tc>
          <w:tcPr>
            <w:tcW w:w="1704" w:type="dxa"/>
            <w:vAlign w:val="top"/>
          </w:tcPr>
          <w:p w14:paraId="53BF0737">
            <w:pPr>
              <w:spacing w:before="97"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705" w:type="dxa"/>
            <w:vAlign w:val="top"/>
          </w:tcPr>
          <w:p w14:paraId="738169BE">
            <w:pPr>
              <w:spacing w:before="61"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6026427C">
            <w:pPr>
              <w:spacing w:before="100" w:line="192"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7B0E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04" w:type="dxa"/>
            <w:vMerge w:val="restart"/>
            <w:tcBorders>
              <w:left w:val="nil"/>
              <w:bottom w:val="nil"/>
            </w:tcBorders>
            <w:vAlign w:val="top"/>
          </w:tcPr>
          <w:p w14:paraId="321235F6">
            <w:pPr>
              <w:spacing w:before="233" w:line="228" w:lineRule="auto"/>
              <w:ind w:left="548"/>
              <w:rPr>
                <w:rFonts w:ascii="宋体" w:hAnsi="宋体" w:eastAsia="宋体" w:cs="宋体"/>
                <w:sz w:val="20"/>
                <w:szCs w:val="20"/>
              </w:rPr>
            </w:pPr>
            <w:r>
              <w:rPr>
                <w:rFonts w:ascii="宋体" w:hAnsi="宋体" w:eastAsia="宋体" w:cs="宋体"/>
                <w:spacing w:val="6"/>
                <w:sz w:val="20"/>
                <w:szCs w:val="20"/>
              </w:rPr>
              <w:t>南厂界</w:t>
            </w:r>
          </w:p>
        </w:tc>
        <w:tc>
          <w:tcPr>
            <w:tcW w:w="1705" w:type="dxa"/>
            <w:vAlign w:val="top"/>
          </w:tcPr>
          <w:p w14:paraId="23E55268">
            <w:pPr>
              <w:spacing w:before="62" w:line="231" w:lineRule="auto"/>
              <w:ind w:left="645"/>
              <w:rPr>
                <w:rFonts w:ascii="宋体" w:hAnsi="宋体" w:eastAsia="宋体" w:cs="宋体"/>
                <w:sz w:val="20"/>
                <w:szCs w:val="20"/>
              </w:rPr>
            </w:pPr>
            <w:r>
              <w:rPr>
                <w:rFonts w:ascii="宋体" w:hAnsi="宋体" w:eastAsia="宋体" w:cs="宋体"/>
                <w:spacing w:val="5"/>
                <w:sz w:val="20"/>
                <w:szCs w:val="20"/>
              </w:rPr>
              <w:t>昼间</w:t>
            </w:r>
          </w:p>
        </w:tc>
        <w:tc>
          <w:tcPr>
            <w:tcW w:w="1704" w:type="dxa"/>
            <w:vAlign w:val="top"/>
          </w:tcPr>
          <w:p w14:paraId="556EAE56">
            <w:pPr>
              <w:spacing w:before="98"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705" w:type="dxa"/>
            <w:vAlign w:val="top"/>
          </w:tcPr>
          <w:p w14:paraId="6C6A6CF5">
            <w:pPr>
              <w:spacing w:before="63"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75781784">
            <w:pPr>
              <w:spacing w:before="98"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r>
      <w:tr w14:paraId="595DC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4" w:type="dxa"/>
            <w:vMerge w:val="continue"/>
            <w:tcBorders>
              <w:top w:val="nil"/>
              <w:left w:val="nil"/>
            </w:tcBorders>
            <w:vAlign w:val="top"/>
          </w:tcPr>
          <w:p w14:paraId="1A1C5E28">
            <w:pPr>
              <w:rPr>
                <w:rFonts w:ascii="Arial"/>
                <w:sz w:val="21"/>
              </w:rPr>
            </w:pPr>
          </w:p>
        </w:tc>
        <w:tc>
          <w:tcPr>
            <w:tcW w:w="1705" w:type="dxa"/>
            <w:vAlign w:val="top"/>
          </w:tcPr>
          <w:p w14:paraId="6A2EAB20">
            <w:pPr>
              <w:spacing w:before="62" w:line="228" w:lineRule="auto"/>
              <w:ind w:left="649"/>
              <w:rPr>
                <w:rFonts w:ascii="宋体" w:hAnsi="宋体" w:eastAsia="宋体" w:cs="宋体"/>
                <w:sz w:val="20"/>
                <w:szCs w:val="20"/>
              </w:rPr>
            </w:pPr>
            <w:r>
              <w:rPr>
                <w:rFonts w:ascii="宋体" w:hAnsi="宋体" w:eastAsia="宋体" w:cs="宋体"/>
                <w:spacing w:val="3"/>
                <w:sz w:val="20"/>
                <w:szCs w:val="20"/>
              </w:rPr>
              <w:t>夜间</w:t>
            </w:r>
          </w:p>
        </w:tc>
        <w:tc>
          <w:tcPr>
            <w:tcW w:w="1704" w:type="dxa"/>
            <w:vAlign w:val="top"/>
          </w:tcPr>
          <w:p w14:paraId="0E7862B9">
            <w:pPr>
              <w:spacing w:before="98"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705" w:type="dxa"/>
            <w:vAlign w:val="top"/>
          </w:tcPr>
          <w:p w14:paraId="4B093F39">
            <w:pPr>
              <w:spacing w:before="62"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243396C7">
            <w:pPr>
              <w:spacing w:before="101" w:line="192"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05AFB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04" w:type="dxa"/>
            <w:vMerge w:val="restart"/>
            <w:tcBorders>
              <w:left w:val="nil"/>
              <w:bottom w:val="nil"/>
            </w:tcBorders>
            <w:vAlign w:val="top"/>
          </w:tcPr>
          <w:p w14:paraId="4EF0FBFD">
            <w:pPr>
              <w:spacing w:before="234" w:line="228" w:lineRule="auto"/>
              <w:ind w:left="550"/>
              <w:rPr>
                <w:rFonts w:ascii="宋体" w:hAnsi="宋体" w:eastAsia="宋体" w:cs="宋体"/>
                <w:sz w:val="20"/>
                <w:szCs w:val="20"/>
              </w:rPr>
            </w:pPr>
            <w:r>
              <w:rPr>
                <w:rFonts w:ascii="宋体" w:hAnsi="宋体" w:eastAsia="宋体" w:cs="宋体"/>
                <w:spacing w:val="5"/>
                <w:sz w:val="20"/>
                <w:szCs w:val="20"/>
              </w:rPr>
              <w:t>西厂界</w:t>
            </w:r>
          </w:p>
        </w:tc>
        <w:tc>
          <w:tcPr>
            <w:tcW w:w="1705" w:type="dxa"/>
            <w:vAlign w:val="top"/>
          </w:tcPr>
          <w:p w14:paraId="4A17D6FB">
            <w:pPr>
              <w:spacing w:before="62" w:line="231" w:lineRule="auto"/>
              <w:ind w:left="645"/>
              <w:rPr>
                <w:rFonts w:ascii="宋体" w:hAnsi="宋体" w:eastAsia="宋体" w:cs="宋体"/>
                <w:sz w:val="20"/>
                <w:szCs w:val="20"/>
              </w:rPr>
            </w:pPr>
            <w:r>
              <w:rPr>
                <w:rFonts w:ascii="宋体" w:hAnsi="宋体" w:eastAsia="宋体" w:cs="宋体"/>
                <w:spacing w:val="5"/>
                <w:sz w:val="20"/>
                <w:szCs w:val="20"/>
              </w:rPr>
              <w:t>昼间</w:t>
            </w:r>
          </w:p>
        </w:tc>
        <w:tc>
          <w:tcPr>
            <w:tcW w:w="1704" w:type="dxa"/>
            <w:vAlign w:val="top"/>
          </w:tcPr>
          <w:p w14:paraId="0E1A9C37">
            <w:pPr>
              <w:spacing w:before="99"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705" w:type="dxa"/>
            <w:vAlign w:val="top"/>
          </w:tcPr>
          <w:p w14:paraId="625B8C6B">
            <w:pPr>
              <w:spacing w:before="63"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32499354">
            <w:pPr>
              <w:spacing w:before="99"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r>
      <w:tr w14:paraId="70ED0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4" w:type="dxa"/>
            <w:vMerge w:val="continue"/>
            <w:tcBorders>
              <w:top w:val="nil"/>
              <w:left w:val="nil"/>
            </w:tcBorders>
            <w:vAlign w:val="top"/>
          </w:tcPr>
          <w:p w14:paraId="7377BFF3">
            <w:pPr>
              <w:rPr>
                <w:rFonts w:ascii="Arial"/>
                <w:sz w:val="21"/>
              </w:rPr>
            </w:pPr>
          </w:p>
        </w:tc>
        <w:tc>
          <w:tcPr>
            <w:tcW w:w="1705" w:type="dxa"/>
            <w:vAlign w:val="top"/>
          </w:tcPr>
          <w:p w14:paraId="60F9AD9B">
            <w:pPr>
              <w:spacing w:before="64" w:line="228" w:lineRule="auto"/>
              <w:ind w:left="649"/>
              <w:rPr>
                <w:rFonts w:ascii="宋体" w:hAnsi="宋体" w:eastAsia="宋体" w:cs="宋体"/>
                <w:sz w:val="20"/>
                <w:szCs w:val="20"/>
              </w:rPr>
            </w:pPr>
            <w:r>
              <w:rPr>
                <w:rFonts w:ascii="宋体" w:hAnsi="宋体" w:eastAsia="宋体" w:cs="宋体"/>
                <w:spacing w:val="3"/>
                <w:sz w:val="20"/>
                <w:szCs w:val="20"/>
              </w:rPr>
              <w:t>夜间</w:t>
            </w:r>
          </w:p>
        </w:tc>
        <w:tc>
          <w:tcPr>
            <w:tcW w:w="1704" w:type="dxa"/>
            <w:vAlign w:val="top"/>
          </w:tcPr>
          <w:p w14:paraId="1DE9756E">
            <w:pPr>
              <w:spacing w:before="101"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705" w:type="dxa"/>
            <w:vAlign w:val="top"/>
          </w:tcPr>
          <w:p w14:paraId="7671543A">
            <w:pPr>
              <w:spacing w:before="65"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0AA6D6D7">
            <w:pPr>
              <w:spacing w:before="103" w:line="192"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7001C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04" w:type="dxa"/>
            <w:vMerge w:val="restart"/>
            <w:tcBorders>
              <w:left w:val="nil"/>
              <w:bottom w:val="nil"/>
            </w:tcBorders>
            <w:vAlign w:val="top"/>
          </w:tcPr>
          <w:p w14:paraId="79281AC5">
            <w:pPr>
              <w:spacing w:before="234" w:line="228" w:lineRule="auto"/>
              <w:ind w:left="549"/>
              <w:rPr>
                <w:rFonts w:ascii="宋体" w:hAnsi="宋体" w:eastAsia="宋体" w:cs="宋体"/>
                <w:sz w:val="20"/>
                <w:szCs w:val="20"/>
              </w:rPr>
            </w:pPr>
            <w:r>
              <w:rPr>
                <w:rFonts w:ascii="宋体" w:hAnsi="宋体" w:eastAsia="宋体" w:cs="宋体"/>
                <w:spacing w:val="6"/>
                <w:sz w:val="20"/>
                <w:szCs w:val="20"/>
              </w:rPr>
              <w:t>北厂</w:t>
            </w:r>
            <w:r>
              <w:rPr>
                <w:rFonts w:ascii="宋体" w:hAnsi="宋体" w:eastAsia="宋体" w:cs="宋体"/>
                <w:spacing w:val="5"/>
                <w:sz w:val="20"/>
                <w:szCs w:val="20"/>
              </w:rPr>
              <w:t>界</w:t>
            </w:r>
          </w:p>
        </w:tc>
        <w:tc>
          <w:tcPr>
            <w:tcW w:w="1705" w:type="dxa"/>
            <w:vAlign w:val="top"/>
          </w:tcPr>
          <w:p w14:paraId="7A9100A1">
            <w:pPr>
              <w:spacing w:before="62" w:line="231" w:lineRule="auto"/>
              <w:ind w:left="645"/>
              <w:rPr>
                <w:rFonts w:ascii="宋体" w:hAnsi="宋体" w:eastAsia="宋体" w:cs="宋体"/>
                <w:sz w:val="20"/>
                <w:szCs w:val="20"/>
              </w:rPr>
            </w:pPr>
            <w:r>
              <w:rPr>
                <w:rFonts w:ascii="宋体" w:hAnsi="宋体" w:eastAsia="宋体" w:cs="宋体"/>
                <w:spacing w:val="5"/>
                <w:sz w:val="20"/>
                <w:szCs w:val="20"/>
              </w:rPr>
              <w:t>昼间</w:t>
            </w:r>
          </w:p>
        </w:tc>
        <w:tc>
          <w:tcPr>
            <w:tcW w:w="1704" w:type="dxa"/>
            <w:vAlign w:val="top"/>
          </w:tcPr>
          <w:p w14:paraId="32BE7B47">
            <w:pPr>
              <w:spacing w:before="99"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1705" w:type="dxa"/>
            <w:vAlign w:val="top"/>
          </w:tcPr>
          <w:p w14:paraId="01F3A5D7">
            <w:pPr>
              <w:spacing w:before="63"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430EC973">
            <w:pPr>
              <w:spacing w:before="99"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r>
      <w:tr w14:paraId="026E5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704" w:type="dxa"/>
            <w:vMerge w:val="continue"/>
            <w:tcBorders>
              <w:top w:val="nil"/>
              <w:left w:val="nil"/>
            </w:tcBorders>
            <w:vAlign w:val="top"/>
          </w:tcPr>
          <w:p w14:paraId="0A4770E8">
            <w:pPr>
              <w:rPr>
                <w:rFonts w:ascii="Arial"/>
                <w:sz w:val="21"/>
              </w:rPr>
            </w:pPr>
          </w:p>
        </w:tc>
        <w:tc>
          <w:tcPr>
            <w:tcW w:w="1705" w:type="dxa"/>
            <w:vAlign w:val="top"/>
          </w:tcPr>
          <w:p w14:paraId="7DE6BEE4">
            <w:pPr>
              <w:spacing w:before="64" w:line="228" w:lineRule="auto"/>
              <w:ind w:left="649"/>
              <w:rPr>
                <w:rFonts w:ascii="宋体" w:hAnsi="宋体" w:eastAsia="宋体" w:cs="宋体"/>
                <w:sz w:val="20"/>
                <w:szCs w:val="20"/>
              </w:rPr>
            </w:pPr>
            <w:r>
              <w:rPr>
                <w:rFonts w:ascii="宋体" w:hAnsi="宋体" w:eastAsia="宋体" w:cs="宋体"/>
                <w:spacing w:val="3"/>
                <w:sz w:val="20"/>
                <w:szCs w:val="20"/>
              </w:rPr>
              <w:t>夜间</w:t>
            </w:r>
          </w:p>
        </w:tc>
        <w:tc>
          <w:tcPr>
            <w:tcW w:w="1704" w:type="dxa"/>
            <w:vAlign w:val="top"/>
          </w:tcPr>
          <w:p w14:paraId="7BA9F14F">
            <w:pPr>
              <w:spacing w:before="101"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1705" w:type="dxa"/>
            <w:vAlign w:val="top"/>
          </w:tcPr>
          <w:p w14:paraId="4F1B1B34">
            <w:pPr>
              <w:spacing w:before="65" w:line="228" w:lineRule="auto"/>
              <w:ind w:left="646"/>
              <w:rPr>
                <w:rFonts w:ascii="宋体" w:hAnsi="宋体" w:eastAsia="宋体" w:cs="宋体"/>
                <w:sz w:val="20"/>
                <w:szCs w:val="20"/>
              </w:rPr>
            </w:pPr>
            <w:r>
              <w:rPr>
                <w:rFonts w:ascii="宋体" w:hAnsi="宋体" w:eastAsia="宋体" w:cs="宋体"/>
                <w:spacing w:val="5"/>
                <w:sz w:val="20"/>
                <w:szCs w:val="20"/>
              </w:rPr>
              <w:t>达标</w:t>
            </w:r>
          </w:p>
        </w:tc>
        <w:tc>
          <w:tcPr>
            <w:tcW w:w="1704" w:type="dxa"/>
            <w:tcBorders>
              <w:right w:val="nil"/>
            </w:tcBorders>
            <w:vAlign w:val="top"/>
          </w:tcPr>
          <w:p w14:paraId="2D8A827C">
            <w:pPr>
              <w:spacing w:before="104" w:line="192" w:lineRule="auto"/>
              <w:ind w:left="75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446895BE">
      <w:pPr>
        <w:rPr>
          <w:rFonts w:ascii="Arial"/>
          <w:sz w:val="21"/>
        </w:rPr>
      </w:pPr>
    </w:p>
    <w:p w14:paraId="4DCD3189">
      <w:pPr>
        <w:sectPr>
          <w:headerReference r:id="rId244" w:type="default"/>
          <w:footerReference r:id="rId245" w:type="default"/>
          <w:pgSz w:w="11906" w:h="16839"/>
          <w:pgMar w:top="1132" w:right="1691" w:bottom="1182" w:left="1691" w:header="878" w:footer="1022" w:gutter="0"/>
          <w:cols w:space="720" w:num="1"/>
        </w:sectPr>
      </w:pPr>
    </w:p>
    <w:p w14:paraId="0B3FB8B6">
      <w:pPr>
        <w:spacing w:line="390" w:lineRule="auto"/>
        <w:rPr>
          <w:rFonts w:ascii="Arial"/>
          <w:sz w:val="21"/>
        </w:rPr>
      </w:pPr>
      <w:r>
        <w:pict>
          <v:shape id="_x0000_s1287" o:spid="_x0000_s1287" style="position:absolute;left:0pt;margin-left:90pt;margin-top:57.35pt;height:0.75pt;width:415.3pt;mso-position-horizontal-relative:page;mso-position-vertical-relative:page;z-index:251940864;mso-width-relative:page;mso-height-relative:page;" fillcolor="#000000" filled="t" stroked="f" coordsize="8305,15" o:allowincell="f" path="m0,0l8305,0,8305,14,0,14,0,0xe">
            <v:path/>
            <v:fill on="t" focussize="0,0"/>
            <v:stroke on="f"/>
            <v:imagedata o:title=""/>
            <o:lock v:ext="edit"/>
          </v:shape>
        </w:pict>
      </w:r>
    </w:p>
    <w:p w14:paraId="5A21FE86">
      <w:pPr>
        <w:spacing w:before="75" w:line="376" w:lineRule="auto"/>
        <w:ind w:left="22" w:right="73" w:firstLine="459"/>
        <w:rPr>
          <w:rFonts w:ascii="宋体" w:hAnsi="宋体" w:eastAsia="宋体" w:cs="宋体"/>
          <w:sz w:val="23"/>
          <w:szCs w:val="23"/>
        </w:rPr>
      </w:pPr>
      <w:r>
        <w:rPr>
          <w:rFonts w:ascii="宋体" w:hAnsi="宋体" w:eastAsia="宋体" w:cs="宋体"/>
          <w:spacing w:val="-4"/>
          <w:sz w:val="23"/>
          <w:szCs w:val="23"/>
        </w:rPr>
        <w:t xml:space="preserve">从表 </w:t>
      </w:r>
      <w:r>
        <w:rPr>
          <w:rFonts w:ascii="Times New Roman" w:hAnsi="Times New Roman" w:eastAsia="Times New Roman" w:cs="Times New Roman"/>
          <w:spacing w:val="-4"/>
          <w:sz w:val="23"/>
          <w:szCs w:val="23"/>
        </w:rPr>
        <w:t xml:space="preserve">5-19 </w:t>
      </w:r>
      <w:r>
        <w:rPr>
          <w:rFonts w:ascii="宋体" w:hAnsi="宋体" w:eastAsia="宋体" w:cs="宋体"/>
          <w:spacing w:val="-4"/>
          <w:sz w:val="23"/>
          <w:szCs w:val="23"/>
        </w:rPr>
        <w:t>中预测结果可</w:t>
      </w:r>
      <w:r>
        <w:rPr>
          <w:rFonts w:ascii="宋体" w:hAnsi="宋体" w:eastAsia="宋体" w:cs="宋体"/>
          <w:spacing w:val="-3"/>
          <w:sz w:val="23"/>
          <w:szCs w:val="23"/>
        </w:rPr>
        <w:t>以</w:t>
      </w:r>
      <w:r>
        <w:rPr>
          <w:rFonts w:ascii="宋体" w:hAnsi="宋体" w:eastAsia="宋体" w:cs="宋体"/>
          <w:spacing w:val="-2"/>
          <w:sz w:val="23"/>
          <w:szCs w:val="23"/>
        </w:rPr>
        <w:t>看出，在项目采取了设计和本环评要求的污染防治措</w:t>
      </w:r>
      <w:r>
        <w:rPr>
          <w:rFonts w:ascii="宋体" w:hAnsi="宋体" w:eastAsia="宋体" w:cs="宋体"/>
          <w:sz w:val="23"/>
          <w:szCs w:val="23"/>
        </w:rPr>
        <w:t xml:space="preserve"> </w:t>
      </w:r>
      <w:r>
        <w:rPr>
          <w:rFonts w:ascii="宋体" w:hAnsi="宋体" w:eastAsia="宋体" w:cs="宋体"/>
          <w:spacing w:val="1"/>
          <w:sz w:val="23"/>
          <w:szCs w:val="23"/>
        </w:rPr>
        <w:t>施后，生产期间厂界昼间噪声预测</w:t>
      </w:r>
      <w:r>
        <w:rPr>
          <w:rFonts w:ascii="宋体" w:hAnsi="宋体" w:eastAsia="宋体" w:cs="宋体"/>
          <w:sz w:val="23"/>
          <w:szCs w:val="23"/>
        </w:rPr>
        <w:t xml:space="preserve">值能够达到《工业企业厂界环境噪声排放标准》 </w:t>
      </w:r>
      <w:r>
        <w:rPr>
          <w:rFonts w:ascii="宋体" w:hAnsi="宋体" w:eastAsia="宋体" w:cs="宋体"/>
          <w:spacing w:val="-2"/>
          <w:sz w:val="23"/>
          <w:szCs w:val="23"/>
        </w:rPr>
        <w:t>中 (</w:t>
      </w:r>
      <w:r>
        <w:rPr>
          <w:rFonts w:ascii="Times New Roman" w:hAnsi="Times New Roman" w:eastAsia="Times New Roman" w:cs="Times New Roman"/>
          <w:spacing w:val="-1"/>
          <w:sz w:val="23"/>
          <w:szCs w:val="23"/>
        </w:rPr>
        <w:t>GB</w:t>
      </w:r>
      <w:r>
        <w:rPr>
          <w:rFonts w:ascii="Times New Roman" w:hAnsi="Times New Roman" w:eastAsia="Times New Roman" w:cs="Times New Roman"/>
          <w:spacing w:val="-2"/>
          <w:sz w:val="23"/>
          <w:szCs w:val="23"/>
        </w:rPr>
        <w:t>12348-2008</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 xml:space="preserve">3 </w:t>
      </w:r>
      <w:r>
        <w:rPr>
          <w:rFonts w:ascii="宋体" w:hAnsi="宋体" w:eastAsia="宋体" w:cs="宋体"/>
          <w:spacing w:val="-2"/>
          <w:sz w:val="23"/>
          <w:szCs w:val="23"/>
        </w:rPr>
        <w:t>类区标</w:t>
      </w:r>
      <w:r>
        <w:rPr>
          <w:rFonts w:ascii="宋体" w:hAnsi="宋体" w:eastAsia="宋体" w:cs="宋体"/>
          <w:spacing w:val="-1"/>
          <w:sz w:val="23"/>
          <w:szCs w:val="23"/>
        </w:rPr>
        <w:t>准要求，项目排放噪声对区域声环境质量影响不大。</w:t>
      </w:r>
    </w:p>
    <w:p w14:paraId="182E8D41">
      <w:pPr>
        <w:spacing w:before="81" w:line="226" w:lineRule="auto"/>
        <w:ind w:left="24"/>
        <w:outlineLvl w:val="2"/>
        <w:rPr>
          <w:rFonts w:ascii="宋体" w:hAnsi="宋体" w:eastAsia="宋体" w:cs="宋体"/>
          <w:sz w:val="29"/>
          <w:szCs w:val="29"/>
        </w:rPr>
      </w:pPr>
      <w:r>
        <w:rPr>
          <w:rFonts w:ascii="Times New Roman" w:hAnsi="Times New Roman" w:eastAsia="Times New Roman" w:cs="Times New Roman"/>
          <w:b/>
          <w:bCs/>
          <w:spacing w:val="14"/>
          <w:sz w:val="29"/>
          <w:szCs w:val="29"/>
        </w:rPr>
        <w:t>5</w:t>
      </w:r>
      <w:r>
        <w:rPr>
          <w:rFonts w:ascii="Times New Roman" w:hAnsi="Times New Roman" w:eastAsia="Times New Roman" w:cs="Times New Roman"/>
          <w:b/>
          <w:bCs/>
          <w:spacing w:val="9"/>
          <w:sz w:val="29"/>
          <w:szCs w:val="29"/>
        </w:rPr>
        <w:t>.</w:t>
      </w:r>
      <w:r>
        <w:rPr>
          <w:rFonts w:ascii="Times New Roman" w:hAnsi="Times New Roman" w:eastAsia="Times New Roman" w:cs="Times New Roman"/>
          <w:b/>
          <w:bCs/>
          <w:spacing w:val="7"/>
          <w:sz w:val="29"/>
          <w:szCs w:val="29"/>
        </w:rPr>
        <w:t>2.5</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运营期固体废物影响分析</w:t>
      </w:r>
    </w:p>
    <w:p w14:paraId="5830D88C">
      <w:pPr>
        <w:spacing w:before="313" w:line="227" w:lineRule="auto"/>
        <w:ind w:left="507"/>
        <w:rPr>
          <w:rFonts w:ascii="宋体" w:hAnsi="宋体" w:eastAsia="宋体" w:cs="宋体"/>
          <w:sz w:val="23"/>
          <w:szCs w:val="23"/>
        </w:rPr>
      </w:pPr>
      <w:r>
        <w:rPr>
          <w:rFonts w:ascii="宋体" w:hAnsi="宋体" w:eastAsia="宋体" w:cs="宋体"/>
          <w:spacing w:val="12"/>
          <w:sz w:val="23"/>
          <w:szCs w:val="23"/>
        </w:rPr>
        <w:t>该项目固</w:t>
      </w:r>
      <w:r>
        <w:rPr>
          <w:rFonts w:ascii="宋体" w:hAnsi="宋体" w:eastAsia="宋体" w:cs="宋体"/>
          <w:spacing w:val="7"/>
          <w:sz w:val="23"/>
          <w:szCs w:val="23"/>
        </w:rPr>
        <w:t>体</w:t>
      </w:r>
      <w:r>
        <w:rPr>
          <w:rFonts w:ascii="宋体" w:hAnsi="宋体" w:eastAsia="宋体" w:cs="宋体"/>
          <w:spacing w:val="6"/>
          <w:sz w:val="23"/>
          <w:szCs w:val="23"/>
        </w:rPr>
        <w:t>废物主要为员工产生的生活垃圾、危险废物以及一般工业固体废</w:t>
      </w:r>
    </w:p>
    <w:p w14:paraId="3E79664E">
      <w:pPr>
        <w:spacing w:before="176" w:line="377" w:lineRule="auto"/>
        <w:ind w:left="37" w:right="99" w:hanging="14"/>
        <w:rPr>
          <w:rFonts w:ascii="宋体" w:hAnsi="宋体" w:eastAsia="宋体" w:cs="宋体"/>
          <w:sz w:val="23"/>
          <w:szCs w:val="23"/>
        </w:rPr>
      </w:pPr>
      <w:r>
        <w:rPr>
          <w:rFonts w:ascii="宋体" w:hAnsi="宋体" w:eastAsia="宋体" w:cs="宋体"/>
          <w:spacing w:val="26"/>
          <w:sz w:val="23"/>
          <w:szCs w:val="23"/>
        </w:rPr>
        <w:t>物</w:t>
      </w:r>
      <w:r>
        <w:rPr>
          <w:rFonts w:ascii="宋体" w:hAnsi="宋体" w:eastAsia="宋体" w:cs="宋体"/>
          <w:spacing w:val="20"/>
          <w:sz w:val="23"/>
          <w:szCs w:val="23"/>
        </w:rPr>
        <w:t>，</w:t>
      </w:r>
      <w:r>
        <w:rPr>
          <w:rFonts w:ascii="宋体" w:hAnsi="宋体" w:eastAsia="宋体" w:cs="宋体"/>
          <w:spacing w:val="13"/>
          <w:sz w:val="23"/>
          <w:szCs w:val="23"/>
        </w:rPr>
        <w:t>其中一般工业固体废物包括杂质、沉淀池污泥、废滤网、热风炉炉渣以及</w:t>
      </w:r>
      <w:r>
        <w:rPr>
          <w:rFonts w:ascii="宋体" w:hAnsi="宋体" w:eastAsia="宋体" w:cs="宋体"/>
          <w:sz w:val="23"/>
          <w:szCs w:val="23"/>
        </w:rPr>
        <w:t xml:space="preserve"> </w:t>
      </w:r>
      <w:r>
        <w:rPr>
          <w:rFonts w:ascii="宋体" w:hAnsi="宋体" w:eastAsia="宋体" w:cs="宋体"/>
          <w:spacing w:val="10"/>
          <w:sz w:val="23"/>
          <w:szCs w:val="23"/>
        </w:rPr>
        <w:t xml:space="preserve">除尘器收集的粉尘，危险废物主要为废活性炭、废 </w:t>
      </w:r>
      <w:r>
        <w:rPr>
          <w:rFonts w:ascii="Times New Roman" w:hAnsi="Times New Roman" w:eastAsia="Times New Roman" w:cs="Times New Roman"/>
          <w:sz w:val="23"/>
          <w:szCs w:val="23"/>
        </w:rPr>
        <w:t>uv</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光解灯管</w:t>
      </w:r>
      <w:r>
        <w:rPr>
          <w:rFonts w:ascii="宋体" w:hAnsi="宋体" w:eastAsia="宋体" w:cs="宋体"/>
          <w:spacing w:val="9"/>
          <w:sz w:val="23"/>
          <w:szCs w:val="23"/>
        </w:rPr>
        <w:t>。</w:t>
      </w:r>
    </w:p>
    <w:p w14:paraId="33EDD250">
      <w:pPr>
        <w:spacing w:before="148" w:line="387" w:lineRule="auto"/>
        <w:ind w:left="22" w:firstLine="484"/>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1"/>
          <w:sz w:val="23"/>
          <w:szCs w:val="23"/>
        </w:rPr>
        <w:t>项</w:t>
      </w:r>
      <w:r>
        <w:rPr>
          <w:rFonts w:ascii="宋体" w:hAnsi="宋体" w:eastAsia="宋体" w:cs="宋体"/>
          <w:spacing w:val="9"/>
          <w:sz w:val="23"/>
          <w:szCs w:val="23"/>
        </w:rPr>
        <w:t>目在厂区内设置集中收集垃圾箱，员工生活垃圾收集到指定垃圾箱内，</w:t>
      </w:r>
      <w:r>
        <w:rPr>
          <w:rFonts w:ascii="宋体" w:hAnsi="宋体" w:eastAsia="宋体" w:cs="宋体"/>
          <w:sz w:val="23"/>
          <w:szCs w:val="23"/>
        </w:rPr>
        <w:t xml:space="preserve"> </w:t>
      </w:r>
      <w:r>
        <w:rPr>
          <w:rFonts w:ascii="宋体" w:hAnsi="宋体" w:eastAsia="宋体" w:cs="宋体"/>
          <w:spacing w:val="9"/>
          <w:sz w:val="23"/>
          <w:szCs w:val="23"/>
        </w:rPr>
        <w:t>随</w:t>
      </w:r>
      <w:r>
        <w:rPr>
          <w:rFonts w:ascii="宋体" w:hAnsi="宋体" w:eastAsia="宋体" w:cs="宋体"/>
          <w:spacing w:val="7"/>
          <w:sz w:val="23"/>
          <w:szCs w:val="23"/>
        </w:rPr>
        <w:t>后运送至环卫部门指定地点统一处理；产生的杂质集中收集后，与生活垃圾统</w:t>
      </w:r>
      <w:r>
        <w:rPr>
          <w:rFonts w:ascii="宋体" w:hAnsi="宋体" w:eastAsia="宋体" w:cs="宋体"/>
          <w:sz w:val="23"/>
          <w:szCs w:val="23"/>
        </w:rPr>
        <w:t xml:space="preserve"> </w:t>
      </w:r>
      <w:r>
        <w:rPr>
          <w:rFonts w:ascii="宋体" w:hAnsi="宋体" w:eastAsia="宋体" w:cs="宋体"/>
          <w:spacing w:val="9"/>
          <w:sz w:val="23"/>
          <w:szCs w:val="23"/>
        </w:rPr>
        <w:t>一</w:t>
      </w:r>
      <w:r>
        <w:rPr>
          <w:rFonts w:ascii="宋体" w:hAnsi="宋体" w:eastAsia="宋体" w:cs="宋体"/>
          <w:spacing w:val="7"/>
          <w:sz w:val="23"/>
          <w:szCs w:val="23"/>
        </w:rPr>
        <w:t>运送至环卫部门指定地点统一处理；生产废水处理过程中产生的污泥经压滤后</w:t>
      </w:r>
      <w:r>
        <w:rPr>
          <w:rFonts w:ascii="宋体" w:hAnsi="宋体" w:eastAsia="宋体" w:cs="宋体"/>
          <w:sz w:val="23"/>
          <w:szCs w:val="23"/>
        </w:rPr>
        <w:t xml:space="preserve"> </w:t>
      </w:r>
      <w:r>
        <w:rPr>
          <w:rFonts w:ascii="宋体" w:hAnsi="宋体" w:eastAsia="宋体" w:cs="宋体"/>
          <w:spacing w:val="26"/>
          <w:sz w:val="23"/>
          <w:szCs w:val="23"/>
        </w:rPr>
        <w:t>可</w:t>
      </w:r>
      <w:r>
        <w:rPr>
          <w:rFonts w:ascii="宋体" w:hAnsi="宋体" w:eastAsia="宋体" w:cs="宋体"/>
          <w:spacing w:val="23"/>
          <w:sz w:val="23"/>
          <w:szCs w:val="23"/>
        </w:rPr>
        <w:t>与</w:t>
      </w:r>
      <w:r>
        <w:rPr>
          <w:rFonts w:ascii="宋体" w:hAnsi="宋体" w:eastAsia="宋体" w:cs="宋体"/>
          <w:spacing w:val="13"/>
          <w:sz w:val="23"/>
          <w:szCs w:val="23"/>
        </w:rPr>
        <w:t>生活垃圾一起运送至环卫部门指定地点统一处理；热风炉燃烧生物质产生</w:t>
      </w:r>
      <w:r>
        <w:rPr>
          <w:rFonts w:ascii="宋体" w:hAnsi="宋体" w:eastAsia="宋体" w:cs="宋体"/>
          <w:sz w:val="23"/>
          <w:szCs w:val="23"/>
        </w:rPr>
        <w:t xml:space="preserve"> </w:t>
      </w:r>
      <w:r>
        <w:rPr>
          <w:rFonts w:ascii="宋体" w:hAnsi="宋体" w:eastAsia="宋体" w:cs="宋体"/>
          <w:spacing w:val="35"/>
          <w:sz w:val="23"/>
          <w:szCs w:val="23"/>
        </w:rPr>
        <w:t>的</w:t>
      </w:r>
      <w:r>
        <w:rPr>
          <w:rFonts w:ascii="宋体" w:hAnsi="宋体" w:eastAsia="宋体" w:cs="宋体"/>
          <w:spacing w:val="21"/>
          <w:sz w:val="23"/>
          <w:szCs w:val="23"/>
        </w:rPr>
        <w:t>炉渣及及除尘器收集的粉尘定期外卖给农肥厂进行综合利用；产生的废滤</w:t>
      </w:r>
      <w:r>
        <w:rPr>
          <w:rFonts w:ascii="宋体" w:hAnsi="宋体" w:eastAsia="宋体" w:cs="宋体"/>
          <w:sz w:val="23"/>
          <w:szCs w:val="23"/>
        </w:rPr>
        <w:t xml:space="preserve"> </w:t>
      </w:r>
      <w:r>
        <w:rPr>
          <w:rFonts w:ascii="宋体" w:hAnsi="宋体" w:eastAsia="宋体" w:cs="宋体"/>
          <w:spacing w:val="34"/>
          <w:sz w:val="23"/>
          <w:szCs w:val="23"/>
        </w:rPr>
        <w:t>网</w:t>
      </w:r>
      <w:r>
        <w:rPr>
          <w:rFonts w:ascii="宋体" w:hAnsi="宋体" w:eastAsia="宋体" w:cs="宋体"/>
          <w:spacing w:val="26"/>
          <w:sz w:val="23"/>
          <w:szCs w:val="23"/>
        </w:rPr>
        <w:t>均</w:t>
      </w:r>
      <w:r>
        <w:rPr>
          <w:rFonts w:ascii="宋体" w:hAnsi="宋体" w:eastAsia="宋体" w:cs="宋体"/>
          <w:spacing w:val="17"/>
          <w:sz w:val="23"/>
          <w:szCs w:val="23"/>
        </w:rPr>
        <w:t>由厂家定期回收；产生的废活性炭属于</w:t>
      </w:r>
      <w:r>
        <w:rPr>
          <w:rFonts w:ascii="Times New Roman" w:hAnsi="Times New Roman" w:eastAsia="Times New Roman" w:cs="Times New Roman"/>
          <w:spacing w:val="17"/>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17"/>
          <w:sz w:val="23"/>
          <w:szCs w:val="23"/>
        </w:rPr>
        <w:t xml:space="preserve">49  </w:t>
      </w:r>
      <w:r>
        <w:rPr>
          <w:rFonts w:ascii="宋体" w:hAnsi="宋体" w:eastAsia="宋体" w:cs="宋体"/>
          <w:spacing w:val="17"/>
          <w:sz w:val="23"/>
          <w:szCs w:val="23"/>
        </w:rPr>
        <w:t>其他废物</w:t>
      </w:r>
      <w:r>
        <w:rPr>
          <w:rFonts w:ascii="Times New Roman" w:hAnsi="Times New Roman" w:eastAsia="Times New Roman" w:cs="Times New Roman"/>
          <w:spacing w:val="17"/>
          <w:sz w:val="23"/>
          <w:szCs w:val="23"/>
        </w:rPr>
        <w:t xml:space="preserve">” </w:t>
      </w:r>
      <w:r>
        <w:rPr>
          <w:rFonts w:ascii="宋体" w:hAnsi="宋体" w:eastAsia="宋体" w:cs="宋体"/>
          <w:spacing w:val="17"/>
          <w:sz w:val="23"/>
          <w:szCs w:val="23"/>
        </w:rPr>
        <w:t>，废物代码为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9</w:t>
      </w:r>
      <w:r>
        <w:rPr>
          <w:rFonts w:ascii="Times New Roman" w:hAnsi="Times New Roman" w:eastAsia="Times New Roman" w:cs="Times New Roman"/>
          <w:spacing w:val="4"/>
          <w:sz w:val="23"/>
          <w:szCs w:val="23"/>
        </w:rPr>
        <w:t xml:space="preserve">00-041-49 </w:t>
      </w:r>
      <w:r>
        <w:rPr>
          <w:rFonts w:ascii="宋体" w:hAnsi="宋体" w:eastAsia="宋体" w:cs="宋体"/>
          <w:spacing w:val="4"/>
          <w:sz w:val="23"/>
          <w:szCs w:val="23"/>
        </w:rPr>
        <w:t>，即</w:t>
      </w:r>
      <w:r>
        <w:rPr>
          <w:rFonts w:ascii="Times New Roman" w:hAnsi="Times New Roman" w:eastAsia="Times New Roman" w:cs="Times New Roman"/>
          <w:spacing w:val="4"/>
          <w:sz w:val="23"/>
          <w:szCs w:val="23"/>
        </w:rPr>
        <w:t>“</w:t>
      </w:r>
      <w:r>
        <w:rPr>
          <w:rFonts w:ascii="宋体" w:hAnsi="宋体" w:eastAsia="宋体" w:cs="宋体"/>
          <w:spacing w:val="4"/>
          <w:sz w:val="23"/>
          <w:szCs w:val="23"/>
        </w:rPr>
        <w:t>含有或沾染毒性、感染性危险废物的废弃包装物、容器、过滤吸</w:t>
      </w:r>
      <w:r>
        <w:rPr>
          <w:rFonts w:ascii="宋体" w:hAnsi="宋体" w:eastAsia="宋体" w:cs="宋体"/>
          <w:sz w:val="23"/>
          <w:szCs w:val="23"/>
        </w:rPr>
        <w:t xml:space="preserve"> </w:t>
      </w:r>
      <w:r>
        <w:rPr>
          <w:rFonts w:ascii="宋体" w:hAnsi="宋体" w:eastAsia="宋体" w:cs="宋体"/>
          <w:spacing w:val="4"/>
          <w:sz w:val="23"/>
          <w:szCs w:val="23"/>
        </w:rPr>
        <w:t>附介质</w:t>
      </w:r>
      <w:r>
        <w:rPr>
          <w:rFonts w:ascii="Times New Roman" w:hAnsi="Times New Roman" w:eastAsia="Times New Roman" w:cs="Times New Roman"/>
          <w:spacing w:val="4"/>
          <w:sz w:val="23"/>
          <w:szCs w:val="23"/>
        </w:rPr>
        <w:t>”</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(毒性) ，</w:t>
      </w:r>
      <w:r>
        <w:rPr>
          <w:rFonts w:ascii="Times New Roman" w:hAnsi="Times New Roman" w:eastAsia="Times New Roman" w:cs="Times New Roman"/>
          <w:sz w:val="23"/>
          <w:szCs w:val="23"/>
        </w:rPr>
        <w:t>In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(感染性) </w:t>
      </w:r>
      <w:r>
        <w:rPr>
          <w:rFonts w:ascii="Times New Roman" w:hAnsi="Times New Roman" w:eastAsia="Times New Roman" w:cs="Times New Roman"/>
          <w:spacing w:val="2"/>
          <w:sz w:val="23"/>
          <w:szCs w:val="23"/>
        </w:rPr>
        <w:t>”</w:t>
      </w:r>
      <w:r>
        <w:rPr>
          <w:rFonts w:ascii="宋体" w:hAnsi="宋体" w:eastAsia="宋体" w:cs="宋体"/>
          <w:spacing w:val="2"/>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光解灯管属于</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2"/>
          <w:sz w:val="23"/>
          <w:szCs w:val="23"/>
        </w:rPr>
        <w:t xml:space="preserve">29  </w:t>
      </w:r>
      <w:r>
        <w:rPr>
          <w:rFonts w:ascii="宋体" w:hAnsi="宋体" w:eastAsia="宋体" w:cs="宋体"/>
          <w:spacing w:val="2"/>
          <w:sz w:val="23"/>
          <w:szCs w:val="23"/>
        </w:rPr>
        <w:t>含</w:t>
      </w:r>
      <w:r>
        <w:rPr>
          <w:rFonts w:ascii="宋体" w:hAnsi="宋体" w:eastAsia="宋体" w:cs="宋体"/>
          <w:sz w:val="23"/>
          <w:szCs w:val="23"/>
        </w:rPr>
        <w:t xml:space="preserve"> </w:t>
      </w:r>
      <w:r>
        <w:rPr>
          <w:rFonts w:ascii="宋体" w:hAnsi="宋体" w:eastAsia="宋体" w:cs="宋体"/>
          <w:spacing w:val="3"/>
          <w:sz w:val="23"/>
          <w:szCs w:val="23"/>
        </w:rPr>
        <w:t>汞废物</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，废物代码为 </w:t>
      </w:r>
      <w:r>
        <w:rPr>
          <w:rFonts w:ascii="Times New Roman" w:hAnsi="Times New Roman" w:eastAsia="Times New Roman" w:cs="Times New Roman"/>
          <w:spacing w:val="3"/>
          <w:sz w:val="23"/>
          <w:szCs w:val="23"/>
        </w:rPr>
        <w:t xml:space="preserve">900-023-29 </w:t>
      </w:r>
      <w:r>
        <w:rPr>
          <w:rFonts w:ascii="宋体" w:hAnsi="宋体" w:eastAsia="宋体" w:cs="宋体"/>
          <w:spacing w:val="3"/>
          <w:sz w:val="23"/>
          <w:szCs w:val="23"/>
        </w:rPr>
        <w:t>，即</w:t>
      </w:r>
      <w:r>
        <w:rPr>
          <w:rFonts w:ascii="Times New Roman" w:hAnsi="Times New Roman" w:eastAsia="Times New Roman" w:cs="Times New Roman"/>
          <w:spacing w:val="3"/>
          <w:sz w:val="23"/>
          <w:szCs w:val="23"/>
        </w:rPr>
        <w:t>“</w:t>
      </w:r>
      <w:r>
        <w:rPr>
          <w:rFonts w:ascii="宋体" w:hAnsi="宋体" w:eastAsia="宋体" w:cs="宋体"/>
          <w:spacing w:val="3"/>
          <w:sz w:val="23"/>
          <w:szCs w:val="23"/>
        </w:rPr>
        <w:t>生产、销售及使用过程中产生的废</w:t>
      </w:r>
      <w:r>
        <w:rPr>
          <w:rFonts w:ascii="宋体" w:hAnsi="宋体" w:eastAsia="宋体" w:cs="宋体"/>
          <w:spacing w:val="2"/>
          <w:sz w:val="23"/>
          <w:szCs w:val="23"/>
        </w:rPr>
        <w:t>含</w:t>
      </w:r>
      <w:r>
        <w:rPr>
          <w:rFonts w:ascii="宋体" w:hAnsi="宋体" w:eastAsia="宋体" w:cs="宋体"/>
          <w:sz w:val="23"/>
          <w:szCs w:val="23"/>
        </w:rPr>
        <w:t xml:space="preserve">汞荧 </w:t>
      </w:r>
      <w:r>
        <w:rPr>
          <w:rFonts w:ascii="宋体" w:hAnsi="宋体" w:eastAsia="宋体" w:cs="宋体"/>
          <w:spacing w:val="8"/>
          <w:sz w:val="23"/>
          <w:szCs w:val="23"/>
        </w:rPr>
        <w:t>光灯管及</w:t>
      </w:r>
      <w:r>
        <w:rPr>
          <w:rFonts w:ascii="宋体" w:hAnsi="宋体" w:eastAsia="宋体" w:cs="宋体"/>
          <w:spacing w:val="5"/>
          <w:sz w:val="23"/>
          <w:szCs w:val="23"/>
        </w:rPr>
        <w:t>其</w:t>
      </w:r>
      <w:r>
        <w:rPr>
          <w:rFonts w:ascii="宋体" w:hAnsi="宋体" w:eastAsia="宋体" w:cs="宋体"/>
          <w:spacing w:val="4"/>
          <w:sz w:val="23"/>
          <w:szCs w:val="23"/>
        </w:rPr>
        <w:t>他废含汞电光源</w:t>
      </w:r>
      <w:r>
        <w:rPr>
          <w:rFonts w:ascii="Times New Roman" w:hAnsi="Times New Roman" w:eastAsia="Times New Roman" w:cs="Times New Roman"/>
          <w:spacing w:val="4"/>
          <w:sz w:val="23"/>
          <w:szCs w:val="23"/>
        </w:rPr>
        <w:t>”</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(毒性) </w:t>
      </w:r>
      <w:r>
        <w:rPr>
          <w:rFonts w:ascii="Times New Roman" w:hAnsi="Times New Roman" w:eastAsia="Times New Roman" w:cs="Times New Roman"/>
          <w:spacing w:val="4"/>
          <w:sz w:val="23"/>
          <w:szCs w:val="23"/>
        </w:rPr>
        <w:t>”</w:t>
      </w:r>
      <w:r>
        <w:rPr>
          <w:rFonts w:ascii="宋体" w:hAnsi="宋体" w:eastAsia="宋体" w:cs="宋体"/>
          <w:spacing w:val="4"/>
          <w:sz w:val="23"/>
          <w:szCs w:val="23"/>
        </w:rPr>
        <w:t>，建设单位应将废活性炭、</w:t>
      </w:r>
      <w:r>
        <w:rPr>
          <w:rFonts w:ascii="宋体" w:hAnsi="宋体" w:eastAsia="宋体" w:cs="宋体"/>
          <w:sz w:val="23"/>
          <w:szCs w:val="23"/>
        </w:rPr>
        <w:t xml:space="preserve"> </w:t>
      </w:r>
      <w:r>
        <w:rPr>
          <w:rFonts w:ascii="宋体" w:hAnsi="宋体" w:eastAsia="宋体" w:cs="宋体"/>
          <w:spacing w:val="16"/>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16"/>
          <w:sz w:val="23"/>
          <w:szCs w:val="23"/>
        </w:rPr>
        <w:t xml:space="preserve"> </w:t>
      </w:r>
      <w:r>
        <w:rPr>
          <w:rFonts w:ascii="宋体" w:hAnsi="宋体" w:eastAsia="宋体" w:cs="宋体"/>
          <w:spacing w:val="9"/>
          <w:sz w:val="23"/>
          <w:szCs w:val="23"/>
        </w:rPr>
        <w:t>光</w:t>
      </w:r>
      <w:r>
        <w:rPr>
          <w:rFonts w:ascii="宋体" w:hAnsi="宋体" w:eastAsia="宋体" w:cs="宋体"/>
          <w:spacing w:val="8"/>
          <w:sz w:val="23"/>
          <w:szCs w:val="23"/>
        </w:rPr>
        <w:t>解灯管集中收集后存放在固定容器中单独存放，积攒到一定数量后交由</w:t>
      </w:r>
      <w:r>
        <w:rPr>
          <w:rFonts w:ascii="宋体" w:hAnsi="宋体" w:eastAsia="宋体" w:cs="宋体"/>
          <w:sz w:val="23"/>
          <w:szCs w:val="23"/>
        </w:rPr>
        <w:t xml:space="preserve"> </w:t>
      </w:r>
      <w:r>
        <w:rPr>
          <w:rFonts w:ascii="宋体" w:hAnsi="宋体" w:eastAsia="宋体" w:cs="宋体"/>
          <w:spacing w:val="15"/>
          <w:sz w:val="23"/>
          <w:szCs w:val="23"/>
        </w:rPr>
        <w:t>有</w:t>
      </w:r>
      <w:r>
        <w:rPr>
          <w:rFonts w:ascii="宋体" w:hAnsi="宋体" w:eastAsia="宋体" w:cs="宋体"/>
          <w:spacing w:val="9"/>
          <w:sz w:val="23"/>
          <w:szCs w:val="23"/>
        </w:rPr>
        <w:t>资质单位处理，禁止作为一般固体废物随意丢弃排放。</w:t>
      </w:r>
    </w:p>
    <w:p w14:paraId="74D42B3F">
      <w:pPr>
        <w:spacing w:before="117" w:line="374" w:lineRule="auto"/>
        <w:ind w:left="23" w:right="82" w:firstLine="483"/>
        <w:rPr>
          <w:rFonts w:ascii="宋体" w:hAnsi="宋体" w:eastAsia="宋体" w:cs="宋体"/>
          <w:sz w:val="23"/>
          <w:szCs w:val="23"/>
        </w:rPr>
      </w:pPr>
      <w:r>
        <w:rPr>
          <w:rFonts w:ascii="宋体" w:hAnsi="宋体" w:eastAsia="宋体" w:cs="宋体"/>
          <w:spacing w:val="6"/>
          <w:sz w:val="23"/>
          <w:szCs w:val="23"/>
        </w:rPr>
        <w:t xml:space="preserve">该项目拟在备品备件库西侧设置一间危废暂存间，面积约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2</w:t>
      </w:r>
      <w:r>
        <w:rPr>
          <w:rFonts w:ascii="宋体" w:hAnsi="宋体" w:eastAsia="宋体" w:cs="宋体"/>
          <w:spacing w:val="6"/>
          <w:sz w:val="23"/>
          <w:szCs w:val="23"/>
        </w:rPr>
        <w:t>，产生的废</w:t>
      </w:r>
      <w:r>
        <w:rPr>
          <w:rFonts w:ascii="宋体" w:hAnsi="宋体" w:eastAsia="宋体" w:cs="宋体"/>
          <w:spacing w:val="3"/>
          <w:sz w:val="23"/>
          <w:szCs w:val="23"/>
        </w:rPr>
        <w:t>活</w:t>
      </w:r>
      <w:r>
        <w:rPr>
          <w:rFonts w:ascii="宋体" w:hAnsi="宋体" w:eastAsia="宋体" w:cs="宋体"/>
          <w:sz w:val="23"/>
          <w:szCs w:val="23"/>
        </w:rPr>
        <w:t xml:space="preserve"> </w:t>
      </w:r>
      <w:r>
        <w:rPr>
          <w:rFonts w:ascii="宋体" w:hAnsi="宋体" w:eastAsia="宋体" w:cs="宋体"/>
          <w:spacing w:val="16"/>
          <w:sz w:val="23"/>
          <w:szCs w:val="23"/>
        </w:rPr>
        <w:t>性炭、</w:t>
      </w:r>
      <w:r>
        <w:rPr>
          <w:rFonts w:ascii="宋体" w:hAnsi="宋体" w:eastAsia="宋体" w:cs="宋体"/>
          <w:spacing w:val="8"/>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光解灯管均设有固定容器单独暂存于危险暂存间内，积攒到一定数</w:t>
      </w:r>
      <w:r>
        <w:rPr>
          <w:rFonts w:ascii="宋体" w:hAnsi="宋体" w:eastAsia="宋体" w:cs="宋体"/>
          <w:sz w:val="23"/>
          <w:szCs w:val="23"/>
        </w:rPr>
        <w:t xml:space="preserve"> </w:t>
      </w:r>
      <w:r>
        <w:rPr>
          <w:rFonts w:ascii="宋体" w:hAnsi="宋体" w:eastAsia="宋体" w:cs="宋体"/>
          <w:spacing w:val="9"/>
          <w:sz w:val="23"/>
          <w:szCs w:val="23"/>
        </w:rPr>
        <w:t>量</w:t>
      </w:r>
      <w:r>
        <w:rPr>
          <w:rFonts w:ascii="宋体" w:hAnsi="宋体" w:eastAsia="宋体" w:cs="宋体"/>
          <w:spacing w:val="7"/>
          <w:sz w:val="23"/>
          <w:szCs w:val="23"/>
        </w:rPr>
        <w:t>后交由有资质单位处理。为了防止二次污染，危险废物的转移、利用或处置执</w:t>
      </w:r>
      <w:r>
        <w:rPr>
          <w:rFonts w:ascii="宋体" w:hAnsi="宋体" w:eastAsia="宋体" w:cs="宋体"/>
          <w:sz w:val="23"/>
          <w:szCs w:val="23"/>
        </w:rPr>
        <w:t xml:space="preserve"> </w:t>
      </w:r>
      <w:r>
        <w:rPr>
          <w:rFonts w:ascii="宋体" w:hAnsi="宋体" w:eastAsia="宋体" w:cs="宋体"/>
          <w:spacing w:val="13"/>
          <w:sz w:val="23"/>
          <w:szCs w:val="23"/>
        </w:rPr>
        <w:t>行</w:t>
      </w:r>
      <w:r>
        <w:rPr>
          <w:rFonts w:ascii="宋体" w:hAnsi="宋体" w:eastAsia="宋体" w:cs="宋体"/>
          <w:spacing w:val="9"/>
          <w:sz w:val="23"/>
          <w:szCs w:val="23"/>
        </w:rPr>
        <w:t>危险废物转移联单制度，按规定办理环保备案手续。</w:t>
      </w:r>
    </w:p>
    <w:p w14:paraId="005813AB">
      <w:pPr>
        <w:tabs>
          <w:tab w:val="left" w:pos="148"/>
        </w:tabs>
        <w:spacing w:before="131" w:line="373" w:lineRule="auto"/>
        <w:ind w:left="19" w:right="21" w:firstLine="483"/>
        <w:rPr>
          <w:rFonts w:ascii="宋体" w:hAnsi="宋体" w:eastAsia="宋体" w:cs="宋体"/>
          <w:sz w:val="23"/>
          <w:szCs w:val="23"/>
        </w:rPr>
      </w:pPr>
      <w:r>
        <w:rPr>
          <w:rFonts w:ascii="宋体" w:hAnsi="宋体" w:eastAsia="宋体" w:cs="宋体"/>
          <w:spacing w:val="15"/>
          <w:sz w:val="23"/>
          <w:szCs w:val="23"/>
        </w:rPr>
        <w:t>废</w:t>
      </w:r>
      <w:r>
        <w:rPr>
          <w:rFonts w:ascii="宋体" w:hAnsi="宋体" w:eastAsia="宋体" w:cs="宋体"/>
          <w:spacing w:val="8"/>
          <w:sz w:val="23"/>
          <w:szCs w:val="23"/>
        </w:rPr>
        <w:t xml:space="preserve">活性炭、废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光解灯管临时储存应执行《危险废物贮存污染控制标准》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18597-2001</w:t>
      </w:r>
      <w:r>
        <w:rPr>
          <w:rFonts w:ascii="宋体" w:hAnsi="宋体" w:eastAsia="宋体" w:cs="宋体"/>
          <w:spacing w:val="3"/>
          <w:sz w:val="23"/>
          <w:szCs w:val="23"/>
        </w:rPr>
        <w:t xml:space="preserve">) 及其修改单的公告 (环境保护部公告，公告 </w:t>
      </w:r>
      <w:r>
        <w:rPr>
          <w:rFonts w:ascii="Times New Roman" w:hAnsi="Times New Roman" w:eastAsia="Times New Roman" w:cs="Times New Roman"/>
          <w:spacing w:val="3"/>
          <w:sz w:val="23"/>
          <w:szCs w:val="23"/>
        </w:rPr>
        <w:t xml:space="preserve">2013 </w:t>
      </w:r>
      <w:r>
        <w:rPr>
          <w:rFonts w:ascii="宋体" w:hAnsi="宋体" w:eastAsia="宋体" w:cs="宋体"/>
          <w:spacing w:val="3"/>
          <w:sz w:val="23"/>
          <w:szCs w:val="23"/>
        </w:rPr>
        <w:t xml:space="preserve">年第 </w:t>
      </w:r>
      <w:r>
        <w:rPr>
          <w:rFonts w:ascii="Times New Roman" w:hAnsi="Times New Roman" w:eastAsia="Times New Roman" w:cs="Times New Roman"/>
          <w:spacing w:val="3"/>
          <w:sz w:val="23"/>
          <w:szCs w:val="23"/>
        </w:rPr>
        <w:t>36</w:t>
      </w:r>
      <w:r>
        <w:rPr>
          <w:rFonts w:ascii="Times New Roman" w:hAnsi="Times New Roman" w:eastAsia="Times New Roman" w:cs="Times New Roman"/>
          <w:spacing w:val="2"/>
          <w:sz w:val="23"/>
          <w:szCs w:val="23"/>
        </w:rPr>
        <w:t xml:space="preserve"> </w:t>
      </w:r>
      <w:r>
        <w:rPr>
          <w:rFonts w:ascii="宋体" w:hAnsi="宋体" w:eastAsia="宋体" w:cs="宋体"/>
          <w:sz w:val="23"/>
          <w:szCs w:val="23"/>
        </w:rPr>
        <w:t xml:space="preserve">号， </w:t>
      </w:r>
      <w:r>
        <w:rPr>
          <w:rFonts w:ascii="Times New Roman" w:hAnsi="Times New Roman" w:eastAsia="Times New Roman" w:cs="Times New Roman"/>
          <w:spacing w:val="14"/>
          <w:sz w:val="23"/>
          <w:szCs w:val="23"/>
        </w:rPr>
        <w:t>2</w:t>
      </w:r>
      <w:r>
        <w:rPr>
          <w:rFonts w:ascii="Times New Roman" w:hAnsi="Times New Roman" w:eastAsia="Times New Roman" w:cs="Times New Roman"/>
          <w:spacing w:val="12"/>
          <w:sz w:val="23"/>
          <w:szCs w:val="23"/>
        </w:rPr>
        <w:t>0</w:t>
      </w:r>
      <w:r>
        <w:rPr>
          <w:rFonts w:ascii="Times New Roman" w:hAnsi="Times New Roman" w:eastAsia="Times New Roman" w:cs="Times New Roman"/>
          <w:spacing w:val="7"/>
          <w:sz w:val="23"/>
          <w:szCs w:val="23"/>
        </w:rPr>
        <w:t xml:space="preserve">13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6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8 </w:t>
      </w:r>
      <w:r>
        <w:rPr>
          <w:rFonts w:ascii="宋体" w:hAnsi="宋体" w:eastAsia="宋体" w:cs="宋体"/>
          <w:spacing w:val="7"/>
          <w:sz w:val="23"/>
          <w:szCs w:val="23"/>
        </w:rPr>
        <w:t>日) ，建设单位应加强对危险废弃物产生源的监督管理，应建造</w:t>
      </w:r>
      <w:r>
        <w:rPr>
          <w:rFonts w:ascii="宋体" w:hAnsi="宋体" w:eastAsia="宋体" w:cs="宋体"/>
          <w:sz w:val="23"/>
          <w:szCs w:val="23"/>
        </w:rPr>
        <w:t xml:space="preserve"> </w:t>
      </w:r>
      <w:r>
        <w:rPr>
          <w:rFonts w:ascii="宋体" w:hAnsi="宋体" w:eastAsia="宋体" w:cs="宋体"/>
          <w:spacing w:val="13"/>
          <w:sz w:val="23"/>
          <w:szCs w:val="23"/>
        </w:rPr>
        <w:t>专</w:t>
      </w:r>
      <w:r>
        <w:rPr>
          <w:rFonts w:ascii="宋体" w:hAnsi="宋体" w:eastAsia="宋体" w:cs="宋体"/>
          <w:spacing w:val="7"/>
          <w:sz w:val="23"/>
          <w:szCs w:val="23"/>
        </w:rPr>
        <w:t>用的危险废弃物贮存设施，贮存、处置场所等设施必须设置警示标志等，同时</w:t>
      </w:r>
      <w:r>
        <w:rPr>
          <w:rFonts w:ascii="宋体" w:hAnsi="宋体" w:eastAsia="宋体" w:cs="宋体"/>
          <w:sz w:val="23"/>
          <w:szCs w:val="23"/>
        </w:rPr>
        <w:t xml:space="preserve"> </w:t>
      </w:r>
      <w:r>
        <w:rPr>
          <w:rFonts w:ascii="宋体" w:hAnsi="宋体" w:eastAsia="宋体" w:cs="宋体"/>
          <w:spacing w:val="14"/>
          <w:sz w:val="23"/>
          <w:szCs w:val="23"/>
        </w:rPr>
        <w:t>制定</w:t>
      </w:r>
      <w:r>
        <w:rPr>
          <w:rFonts w:ascii="宋体" w:hAnsi="宋体" w:eastAsia="宋体" w:cs="宋体"/>
          <w:spacing w:val="10"/>
          <w:sz w:val="23"/>
          <w:szCs w:val="23"/>
        </w:rPr>
        <w:t>防</w:t>
      </w:r>
      <w:r>
        <w:rPr>
          <w:rFonts w:ascii="宋体" w:hAnsi="宋体" w:eastAsia="宋体" w:cs="宋体"/>
          <w:spacing w:val="7"/>
          <w:sz w:val="23"/>
          <w:szCs w:val="23"/>
        </w:rPr>
        <w:t>止泄漏、散失的安全措施。同时要求对危废暂存间做防渗处理，并设置危</w:t>
      </w:r>
    </w:p>
    <w:p w14:paraId="5E0720A5">
      <w:pPr>
        <w:sectPr>
          <w:headerReference r:id="rId246" w:type="default"/>
          <w:footerReference r:id="rId247" w:type="default"/>
          <w:pgSz w:w="11906" w:h="16839"/>
          <w:pgMar w:top="1132" w:right="1714" w:bottom="1182" w:left="1785" w:header="878" w:footer="1022" w:gutter="0"/>
          <w:cols w:space="720" w:num="1"/>
        </w:sectPr>
      </w:pPr>
    </w:p>
    <w:p w14:paraId="2214C20C">
      <w:pPr>
        <w:spacing w:line="391" w:lineRule="auto"/>
        <w:rPr>
          <w:rFonts w:ascii="Arial"/>
          <w:sz w:val="21"/>
        </w:rPr>
      </w:pPr>
      <w:r>
        <w:pict>
          <v:shape id="_x0000_s1288" o:spid="_x0000_s1288" style="position:absolute;left:0pt;margin-left:90pt;margin-top:57.35pt;height:0.75pt;width:415.3pt;mso-position-horizontal-relative:page;mso-position-vertical-relative:page;z-index:251942912;mso-width-relative:page;mso-height-relative:page;" fillcolor="#000000" filled="t" stroked="f" coordsize="8305,15" o:allowincell="f" path="m0,0l8305,0,8305,14,0,14,0,0xe">
            <v:path/>
            <v:fill on="t" focussize="0,0"/>
            <v:stroke on="f"/>
            <v:imagedata o:title=""/>
            <o:lock v:ext="edit"/>
          </v:shape>
        </w:pict>
      </w:r>
    </w:p>
    <w:p w14:paraId="6600334E">
      <w:pPr>
        <w:spacing w:before="75" w:line="374" w:lineRule="auto"/>
        <w:ind w:left="126" w:right="3" w:firstLine="11"/>
        <w:rPr>
          <w:rFonts w:ascii="宋体" w:hAnsi="宋体" w:eastAsia="宋体" w:cs="宋体"/>
          <w:sz w:val="23"/>
          <w:szCs w:val="23"/>
        </w:rPr>
      </w:pPr>
      <w:r>
        <w:rPr>
          <w:rFonts w:ascii="宋体" w:hAnsi="宋体" w:eastAsia="宋体" w:cs="宋体"/>
          <w:spacing w:val="14"/>
          <w:sz w:val="23"/>
          <w:szCs w:val="23"/>
        </w:rPr>
        <w:t>险废</w:t>
      </w:r>
      <w:r>
        <w:rPr>
          <w:rFonts w:ascii="宋体" w:hAnsi="宋体" w:eastAsia="宋体" w:cs="宋体"/>
          <w:spacing w:val="12"/>
          <w:sz w:val="23"/>
          <w:szCs w:val="23"/>
        </w:rPr>
        <w:t>物</w:t>
      </w:r>
      <w:r>
        <w:rPr>
          <w:rFonts w:ascii="宋体" w:hAnsi="宋体" w:eastAsia="宋体" w:cs="宋体"/>
          <w:spacing w:val="7"/>
          <w:sz w:val="23"/>
          <w:szCs w:val="23"/>
        </w:rPr>
        <w:t xml:space="preserve">警示标志，危废暂存间底部铺设 </w:t>
      </w:r>
      <w:r>
        <w:rPr>
          <w:rFonts w:ascii="Times New Roman" w:hAnsi="Times New Roman" w:eastAsia="Times New Roman" w:cs="Times New Roman"/>
          <w:spacing w:val="7"/>
          <w:sz w:val="23"/>
          <w:szCs w:val="23"/>
        </w:rPr>
        <w:t>300</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黏土层 (保护层，同时作为辅助</w:t>
      </w:r>
      <w:r>
        <w:rPr>
          <w:rFonts w:ascii="宋体" w:hAnsi="宋体" w:eastAsia="宋体" w:cs="宋体"/>
          <w:sz w:val="23"/>
          <w:szCs w:val="23"/>
        </w:rPr>
        <w:t xml:space="preserve"> </w:t>
      </w:r>
      <w:r>
        <w:rPr>
          <w:rFonts w:ascii="宋体" w:hAnsi="宋体" w:eastAsia="宋体" w:cs="宋体"/>
          <w:spacing w:val="14"/>
          <w:sz w:val="23"/>
          <w:szCs w:val="23"/>
        </w:rPr>
        <w:t>防</w:t>
      </w:r>
      <w:r>
        <w:rPr>
          <w:rFonts w:ascii="宋体" w:hAnsi="宋体" w:eastAsia="宋体" w:cs="宋体"/>
          <w:spacing w:val="11"/>
          <w:sz w:val="23"/>
          <w:szCs w:val="23"/>
        </w:rPr>
        <w:t>渗</w:t>
      </w:r>
      <w:r>
        <w:rPr>
          <w:rFonts w:ascii="宋体" w:hAnsi="宋体" w:eastAsia="宋体" w:cs="宋体"/>
          <w:spacing w:val="7"/>
          <w:sz w:val="23"/>
          <w:szCs w:val="23"/>
        </w:rPr>
        <w:t xml:space="preserve">层) 压实平整，黏土层上铺设 </w:t>
      </w:r>
      <w:r>
        <w:rPr>
          <w:rFonts w:ascii="Times New Roman" w:hAnsi="Times New Roman" w:eastAsia="Times New Roman" w:cs="Times New Roman"/>
          <w:sz w:val="23"/>
          <w:szCs w:val="23"/>
        </w:rPr>
        <w:t>HDPE</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GCL</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复合防渗系统 (</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厚的高密度</w:t>
      </w:r>
      <w:r>
        <w:rPr>
          <w:rFonts w:ascii="宋体" w:hAnsi="宋体" w:eastAsia="宋体" w:cs="宋体"/>
          <w:sz w:val="23"/>
          <w:szCs w:val="23"/>
        </w:rPr>
        <w:t xml:space="preserve"> </w:t>
      </w:r>
      <w:r>
        <w:rPr>
          <w:rFonts w:ascii="宋体" w:hAnsi="宋体" w:eastAsia="宋体" w:cs="宋体"/>
          <w:spacing w:val="3"/>
          <w:sz w:val="23"/>
          <w:szCs w:val="23"/>
        </w:rPr>
        <w:t>聚乙烯膜、</w:t>
      </w:r>
      <w:r>
        <w:rPr>
          <w:rFonts w:ascii="Times New Roman" w:hAnsi="Times New Roman" w:eastAsia="Times New Roman" w:cs="Times New Roman"/>
          <w:spacing w:val="3"/>
          <w:sz w:val="23"/>
          <w:szCs w:val="23"/>
        </w:rPr>
        <w:t>300</w:t>
      </w:r>
      <w:r>
        <w:rPr>
          <w:rFonts w:ascii="Times New Roman" w:hAnsi="Times New Roman" w:eastAsia="Times New Roman" w:cs="Times New Roman"/>
          <w:sz w:val="23"/>
          <w:szCs w:val="23"/>
        </w:rPr>
        <w:t>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3"/>
          <w:szCs w:val="23"/>
        </w:rPr>
        <w:t xml:space="preserve">土工织物膨润土垫) ，上部外加耐腐蚀混凝土 </w:t>
      </w:r>
      <w:r>
        <w:rPr>
          <w:rFonts w:ascii="Times New Roman" w:hAnsi="Times New Roman" w:eastAsia="Times New Roman" w:cs="Times New Roman"/>
          <w:spacing w:val="3"/>
          <w:sz w:val="23"/>
          <w:szCs w:val="23"/>
        </w:rPr>
        <w:t>15</w:t>
      </w:r>
      <w:r>
        <w:rPr>
          <w:rFonts w:ascii="Times New Roman" w:hAnsi="Times New Roman" w:eastAsia="Times New Roman" w:cs="Times New Roman"/>
          <w:sz w:val="23"/>
          <w:szCs w:val="23"/>
        </w:rPr>
        <w:t>cm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(保</w:t>
      </w:r>
      <w:r>
        <w:rPr>
          <w:rFonts w:ascii="宋体" w:hAnsi="宋体" w:eastAsia="宋体" w:cs="宋体"/>
          <w:spacing w:val="1"/>
          <w:sz w:val="23"/>
          <w:szCs w:val="23"/>
        </w:rPr>
        <w:t>护</w:t>
      </w:r>
      <w:r>
        <w:rPr>
          <w:rFonts w:ascii="宋体" w:hAnsi="宋体" w:eastAsia="宋体" w:cs="宋体"/>
          <w:sz w:val="23"/>
          <w:szCs w:val="23"/>
        </w:rPr>
        <w:t xml:space="preserve">层) </w:t>
      </w:r>
      <w:r>
        <w:rPr>
          <w:rFonts w:ascii="宋体" w:hAnsi="宋体" w:eastAsia="宋体" w:cs="宋体"/>
          <w:spacing w:val="1"/>
          <w:sz w:val="23"/>
          <w:szCs w:val="23"/>
        </w:rPr>
        <w:t>等防渗</w:t>
      </w:r>
      <w:r>
        <w:rPr>
          <w:rFonts w:ascii="宋体" w:hAnsi="宋体" w:eastAsia="宋体" w:cs="宋体"/>
          <w:sz w:val="23"/>
          <w:szCs w:val="23"/>
        </w:rPr>
        <w:t xml:space="preserve">，侧壁均设防渗墙。采取上述防渗措施后，防渗层渗透系数小于 </w:t>
      </w:r>
      <w:r>
        <w:rPr>
          <w:rFonts w:ascii="Times New Roman" w:hAnsi="Times New Roman" w:eastAsia="Times New Roman" w:cs="Times New Roman"/>
          <w:sz w:val="23"/>
          <w:szCs w:val="23"/>
        </w:rPr>
        <w:t>10</w:t>
      </w:r>
      <w:r>
        <w:rPr>
          <w:rFonts w:ascii="Times New Roman" w:hAnsi="Times New Roman" w:eastAsia="Times New Roman" w:cs="Times New Roman"/>
          <w:position w:val="7"/>
          <w:sz w:val="15"/>
          <w:szCs w:val="15"/>
        </w:rPr>
        <w:t>- 10</w:t>
      </w:r>
      <w:r>
        <w:rPr>
          <w:rFonts w:ascii="Times New Roman" w:hAnsi="Times New Roman" w:eastAsia="Times New Roman" w:cs="Times New Roman"/>
          <w:sz w:val="23"/>
          <w:szCs w:val="23"/>
        </w:rPr>
        <w:t>cm/s</w:t>
      </w:r>
      <w:r>
        <w:rPr>
          <w:rFonts w:ascii="宋体" w:hAnsi="宋体" w:eastAsia="宋体" w:cs="宋体"/>
          <w:sz w:val="23"/>
          <w:szCs w:val="23"/>
        </w:rPr>
        <w:t>。</w:t>
      </w:r>
    </w:p>
    <w:p w14:paraId="2E36D080">
      <w:pPr>
        <w:spacing w:before="133" w:line="227" w:lineRule="auto"/>
        <w:ind w:left="603"/>
        <w:rPr>
          <w:rFonts w:ascii="宋体" w:hAnsi="宋体" w:eastAsia="宋体" w:cs="宋体"/>
          <w:sz w:val="23"/>
          <w:szCs w:val="23"/>
        </w:rPr>
      </w:pPr>
      <w:r>
        <w:rPr>
          <w:rFonts w:ascii="宋体" w:hAnsi="宋体" w:eastAsia="宋体" w:cs="宋体"/>
          <w:spacing w:val="15"/>
          <w:sz w:val="23"/>
          <w:szCs w:val="23"/>
        </w:rPr>
        <w:t>在</w:t>
      </w:r>
      <w:r>
        <w:rPr>
          <w:rFonts w:ascii="宋体" w:hAnsi="宋体" w:eastAsia="宋体" w:cs="宋体"/>
          <w:spacing w:val="9"/>
          <w:sz w:val="23"/>
          <w:szCs w:val="23"/>
        </w:rPr>
        <w:t>固体废物得到妥善处置情况下，对周围环境影响不大。</w:t>
      </w:r>
    </w:p>
    <w:p w14:paraId="61F0CB53">
      <w:pPr>
        <w:spacing w:before="289" w:line="226" w:lineRule="auto"/>
        <w:ind w:left="125"/>
        <w:outlineLvl w:val="2"/>
        <w:rPr>
          <w:rFonts w:ascii="宋体" w:hAnsi="宋体" w:eastAsia="宋体" w:cs="宋体"/>
          <w:sz w:val="29"/>
          <w:szCs w:val="29"/>
        </w:rPr>
      </w:pPr>
      <w:r>
        <w:rPr>
          <w:rFonts w:ascii="Times New Roman" w:hAnsi="Times New Roman" w:eastAsia="Times New Roman" w:cs="Times New Roman"/>
          <w:b/>
          <w:bCs/>
          <w:spacing w:val="7"/>
          <w:sz w:val="29"/>
          <w:szCs w:val="29"/>
        </w:rPr>
        <w:t>5.2.6</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土壤环境影响分析</w:t>
      </w:r>
    </w:p>
    <w:p w14:paraId="0507C608">
      <w:pPr>
        <w:spacing w:before="287" w:line="220" w:lineRule="auto"/>
        <w:ind w:left="124"/>
        <w:outlineLvl w:val="3"/>
        <w:rPr>
          <w:rFonts w:ascii="宋体" w:hAnsi="宋体" w:eastAsia="宋体" w:cs="宋体"/>
          <w:sz w:val="28"/>
          <w:szCs w:val="28"/>
        </w:rPr>
      </w:pPr>
      <w:r>
        <w:rPr>
          <w:rFonts w:ascii="Times New Roman" w:hAnsi="Times New Roman" w:eastAsia="Times New Roman" w:cs="Times New Roman"/>
          <w:b/>
          <w:bCs/>
          <w:spacing w:val="9"/>
          <w:sz w:val="28"/>
          <w:szCs w:val="28"/>
        </w:rPr>
        <w:t>5.2.6.1</w:t>
      </w:r>
      <w:r>
        <w:rPr>
          <w:rFonts w:ascii="Times New Roman" w:hAnsi="Times New Roman" w:eastAsia="Times New Roman" w:cs="Times New Roman"/>
          <w:spacing w:val="9"/>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影响类型与影响途径识</w:t>
      </w:r>
      <w:r>
        <w:rPr>
          <w:rFonts w:ascii="宋体" w:hAnsi="宋体" w:eastAsia="宋体" w:cs="宋体"/>
          <w:spacing w:val="5"/>
          <w:sz w:val="28"/>
          <w:szCs w:val="28"/>
          <w14:textOutline w14:w="5103" w14:cap="sq" w14:cmpd="sng">
            <w14:solidFill>
              <w14:srgbClr w14:val="000000"/>
            </w14:solidFill>
            <w14:prstDash w14:val="solid"/>
            <w14:bevel/>
          </w14:textOutline>
        </w:rPr>
        <w:t>别</w:t>
      </w:r>
    </w:p>
    <w:p w14:paraId="79886221">
      <w:pPr>
        <w:spacing w:line="251" w:lineRule="auto"/>
        <w:rPr>
          <w:rFonts w:ascii="Arial"/>
          <w:sz w:val="21"/>
        </w:rPr>
      </w:pPr>
    </w:p>
    <w:p w14:paraId="536E2245">
      <w:pPr>
        <w:spacing w:before="75" w:line="227" w:lineRule="auto"/>
        <w:ind w:left="605"/>
        <w:rPr>
          <w:rFonts w:ascii="宋体" w:hAnsi="宋体" w:eastAsia="宋体" w:cs="宋体"/>
          <w:sz w:val="23"/>
          <w:szCs w:val="23"/>
        </w:rPr>
      </w:pPr>
      <w:r>
        <w:rPr>
          <w:rFonts w:ascii="宋体" w:hAnsi="宋体" w:eastAsia="宋体" w:cs="宋体"/>
          <w:spacing w:val="10"/>
          <w:sz w:val="23"/>
          <w:szCs w:val="23"/>
        </w:rPr>
        <w:t>本项</w:t>
      </w:r>
      <w:r>
        <w:rPr>
          <w:rFonts w:ascii="宋体" w:hAnsi="宋体" w:eastAsia="宋体" w:cs="宋体"/>
          <w:spacing w:val="7"/>
          <w:sz w:val="23"/>
          <w:szCs w:val="23"/>
        </w:rPr>
        <w:t>目</w:t>
      </w:r>
      <w:r>
        <w:rPr>
          <w:rFonts w:ascii="宋体" w:hAnsi="宋体" w:eastAsia="宋体" w:cs="宋体"/>
          <w:spacing w:val="5"/>
          <w:sz w:val="23"/>
          <w:szCs w:val="23"/>
        </w:rPr>
        <w:t xml:space="preserve">土壤环境影响类型与影响途径见表 </w:t>
      </w:r>
      <w:r>
        <w:rPr>
          <w:rFonts w:ascii="Times New Roman" w:hAnsi="Times New Roman" w:eastAsia="Times New Roman" w:cs="Times New Roman"/>
          <w:spacing w:val="5"/>
          <w:sz w:val="23"/>
          <w:szCs w:val="23"/>
        </w:rPr>
        <w:t>5-20</w:t>
      </w:r>
      <w:r>
        <w:rPr>
          <w:rFonts w:ascii="宋体" w:hAnsi="宋体" w:eastAsia="宋体" w:cs="宋体"/>
          <w:spacing w:val="5"/>
          <w:sz w:val="23"/>
          <w:szCs w:val="23"/>
        </w:rPr>
        <w:t>。</w:t>
      </w:r>
    </w:p>
    <w:p w14:paraId="2CB73F44">
      <w:pPr>
        <w:spacing w:line="265" w:lineRule="auto"/>
        <w:rPr>
          <w:rFonts w:ascii="Arial"/>
          <w:sz w:val="21"/>
        </w:rPr>
      </w:pPr>
    </w:p>
    <w:p w14:paraId="4CE8DC9F">
      <w:pPr>
        <w:spacing w:before="75" w:line="227" w:lineRule="auto"/>
        <w:ind w:left="210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5-2</w:t>
      </w:r>
      <w:r>
        <w:rPr>
          <w:rFonts w:ascii="Times New Roman" w:hAnsi="Times New Roman" w:eastAsia="Times New Roman" w:cs="Times New Roman"/>
          <w:b/>
          <w:bCs/>
          <w:spacing w:val="4"/>
          <w:sz w:val="23"/>
          <w:szCs w:val="23"/>
        </w:rPr>
        <w:t>0</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土壤环境影响类型与影响途径</w:t>
      </w:r>
    </w:p>
    <w:p w14:paraId="530A8685">
      <w:pPr>
        <w:spacing w:line="17" w:lineRule="exact"/>
      </w:pPr>
    </w:p>
    <w:tbl>
      <w:tblPr>
        <w:tblStyle w:val="4"/>
        <w:tblW w:w="85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1"/>
        <w:gridCol w:w="1742"/>
        <w:gridCol w:w="1743"/>
        <w:gridCol w:w="1742"/>
        <w:gridCol w:w="1744"/>
      </w:tblGrid>
      <w:tr w14:paraId="62FA0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551" w:type="dxa"/>
            <w:vMerge w:val="restart"/>
            <w:tcBorders>
              <w:left w:val="nil"/>
              <w:bottom w:val="nil"/>
            </w:tcBorders>
            <w:vAlign w:val="top"/>
          </w:tcPr>
          <w:p w14:paraId="6536E1CA">
            <w:pPr>
              <w:spacing w:before="196" w:line="229" w:lineRule="auto"/>
              <w:ind w:left="36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不</w:t>
            </w:r>
            <w:r>
              <w:rPr>
                <w:rFonts w:ascii="宋体" w:hAnsi="宋体" w:eastAsia="宋体" w:cs="宋体"/>
                <w:spacing w:val="7"/>
                <w:sz w:val="20"/>
                <w:szCs w:val="20"/>
                <w14:textOutline w14:w="3795" w14:cap="sq" w14:cmpd="sng">
                  <w14:solidFill>
                    <w14:srgbClr w14:val="000000"/>
                  </w14:solidFill>
                  <w14:prstDash w14:val="solid"/>
                  <w14:bevel/>
                </w14:textOutline>
              </w:rPr>
              <w:t>同时段</w:t>
            </w:r>
          </w:p>
        </w:tc>
        <w:tc>
          <w:tcPr>
            <w:tcW w:w="6971" w:type="dxa"/>
            <w:gridSpan w:val="4"/>
            <w:tcBorders>
              <w:right w:val="nil"/>
            </w:tcBorders>
            <w:vAlign w:val="top"/>
          </w:tcPr>
          <w:p w14:paraId="644D97C2">
            <w:pPr>
              <w:spacing w:before="57" w:line="224" w:lineRule="auto"/>
              <w:ind w:left="296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染影响型</w:t>
            </w:r>
          </w:p>
        </w:tc>
      </w:tr>
      <w:tr w14:paraId="47979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51" w:type="dxa"/>
            <w:vMerge w:val="continue"/>
            <w:tcBorders>
              <w:top w:val="nil"/>
              <w:left w:val="nil"/>
            </w:tcBorders>
            <w:vAlign w:val="top"/>
          </w:tcPr>
          <w:p w14:paraId="5D9C2AE9">
            <w:pPr>
              <w:rPr>
                <w:rFonts w:ascii="Arial"/>
                <w:sz w:val="21"/>
              </w:rPr>
            </w:pPr>
          </w:p>
        </w:tc>
        <w:tc>
          <w:tcPr>
            <w:tcW w:w="1742" w:type="dxa"/>
            <w:vAlign w:val="top"/>
          </w:tcPr>
          <w:p w14:paraId="1BAC6190">
            <w:pPr>
              <w:spacing w:before="33" w:line="225" w:lineRule="auto"/>
              <w:ind w:left="45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大气沉</w:t>
            </w:r>
            <w:r>
              <w:rPr>
                <w:rFonts w:ascii="宋体" w:hAnsi="宋体" w:eastAsia="宋体" w:cs="宋体"/>
                <w:spacing w:val="7"/>
                <w:sz w:val="20"/>
                <w:szCs w:val="20"/>
                <w14:textOutline w14:w="3795" w14:cap="sq" w14:cmpd="sng">
                  <w14:solidFill>
                    <w14:srgbClr w14:val="000000"/>
                  </w14:solidFill>
                  <w14:prstDash w14:val="solid"/>
                  <w14:bevel/>
                </w14:textOutline>
              </w:rPr>
              <w:t>降</w:t>
            </w:r>
          </w:p>
        </w:tc>
        <w:tc>
          <w:tcPr>
            <w:tcW w:w="1743" w:type="dxa"/>
            <w:vAlign w:val="top"/>
          </w:tcPr>
          <w:p w14:paraId="3DF88FB2">
            <w:pPr>
              <w:spacing w:before="33" w:line="225" w:lineRule="auto"/>
              <w:ind w:left="45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地</w:t>
            </w:r>
            <w:r>
              <w:rPr>
                <w:rFonts w:ascii="宋体" w:hAnsi="宋体" w:eastAsia="宋体" w:cs="宋体"/>
                <w:spacing w:val="8"/>
                <w:sz w:val="20"/>
                <w:szCs w:val="20"/>
                <w14:textOutline w14:w="3795" w14:cap="sq" w14:cmpd="sng">
                  <w14:solidFill>
                    <w14:srgbClr w14:val="000000"/>
                  </w14:solidFill>
                  <w14:prstDash w14:val="solid"/>
                  <w14:bevel/>
                </w14:textOutline>
              </w:rPr>
              <w:t>面漫流</w:t>
            </w:r>
          </w:p>
        </w:tc>
        <w:tc>
          <w:tcPr>
            <w:tcW w:w="1742" w:type="dxa"/>
            <w:vAlign w:val="top"/>
          </w:tcPr>
          <w:p w14:paraId="2645A8AE">
            <w:pPr>
              <w:spacing w:before="33" w:line="225" w:lineRule="auto"/>
              <w:ind w:left="45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垂</w:t>
            </w:r>
            <w:r>
              <w:rPr>
                <w:rFonts w:ascii="宋体" w:hAnsi="宋体" w:eastAsia="宋体" w:cs="宋体"/>
                <w:spacing w:val="8"/>
                <w:sz w:val="20"/>
                <w:szCs w:val="20"/>
                <w14:textOutline w14:w="3795" w14:cap="sq" w14:cmpd="sng">
                  <w14:solidFill>
                    <w14:srgbClr w14:val="000000"/>
                  </w14:solidFill>
                  <w14:prstDash w14:val="solid"/>
                  <w14:bevel/>
                </w14:textOutline>
              </w:rPr>
              <w:t>直入渗</w:t>
            </w:r>
          </w:p>
        </w:tc>
        <w:tc>
          <w:tcPr>
            <w:tcW w:w="1744" w:type="dxa"/>
            <w:tcBorders>
              <w:right w:val="nil"/>
            </w:tcBorders>
            <w:vAlign w:val="top"/>
          </w:tcPr>
          <w:p w14:paraId="79A2A4A9">
            <w:pPr>
              <w:spacing w:before="33" w:line="225" w:lineRule="auto"/>
              <w:ind w:left="66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其</w:t>
            </w:r>
            <w:r>
              <w:rPr>
                <w:rFonts w:ascii="宋体" w:hAnsi="宋体" w:eastAsia="宋体" w:cs="宋体"/>
                <w:spacing w:val="5"/>
                <w:sz w:val="20"/>
                <w:szCs w:val="20"/>
                <w14:textOutline w14:w="3795" w14:cap="sq" w14:cmpd="sng">
                  <w14:solidFill>
                    <w14:srgbClr w14:val="000000"/>
                  </w14:solidFill>
                  <w14:prstDash w14:val="solid"/>
                  <w14:bevel/>
                </w14:textOutline>
              </w:rPr>
              <w:t>他</w:t>
            </w:r>
          </w:p>
        </w:tc>
      </w:tr>
      <w:tr w14:paraId="5251A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51" w:type="dxa"/>
            <w:tcBorders>
              <w:left w:val="nil"/>
            </w:tcBorders>
            <w:vAlign w:val="top"/>
          </w:tcPr>
          <w:p w14:paraId="6152E4B4">
            <w:pPr>
              <w:spacing w:before="34" w:line="223" w:lineRule="auto"/>
              <w:ind w:left="471"/>
              <w:rPr>
                <w:rFonts w:ascii="宋体" w:hAnsi="宋体" w:eastAsia="宋体" w:cs="宋体"/>
                <w:sz w:val="20"/>
                <w:szCs w:val="20"/>
              </w:rPr>
            </w:pPr>
            <w:r>
              <w:rPr>
                <w:rFonts w:ascii="宋体" w:hAnsi="宋体" w:eastAsia="宋体" w:cs="宋体"/>
                <w:spacing w:val="6"/>
                <w:sz w:val="20"/>
                <w:szCs w:val="20"/>
              </w:rPr>
              <w:t>建设期</w:t>
            </w:r>
          </w:p>
        </w:tc>
        <w:tc>
          <w:tcPr>
            <w:tcW w:w="1742" w:type="dxa"/>
            <w:vAlign w:val="top"/>
          </w:tcPr>
          <w:p w14:paraId="3BD1340F">
            <w:pPr>
              <w:rPr>
                <w:rFonts w:ascii="Arial"/>
                <w:sz w:val="21"/>
              </w:rPr>
            </w:pPr>
          </w:p>
        </w:tc>
        <w:tc>
          <w:tcPr>
            <w:tcW w:w="1743" w:type="dxa"/>
            <w:vAlign w:val="top"/>
          </w:tcPr>
          <w:p w14:paraId="29FC8586">
            <w:pPr>
              <w:spacing w:line="275" w:lineRule="exact"/>
              <w:ind w:left="81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42" w:type="dxa"/>
            <w:vAlign w:val="top"/>
          </w:tcPr>
          <w:p w14:paraId="681A1BA5">
            <w:pPr>
              <w:rPr>
                <w:rFonts w:ascii="Arial"/>
                <w:sz w:val="21"/>
              </w:rPr>
            </w:pPr>
          </w:p>
        </w:tc>
        <w:tc>
          <w:tcPr>
            <w:tcW w:w="1744" w:type="dxa"/>
            <w:tcBorders>
              <w:right w:val="nil"/>
            </w:tcBorders>
            <w:vAlign w:val="top"/>
          </w:tcPr>
          <w:p w14:paraId="3C7FCB99">
            <w:pPr>
              <w:rPr>
                <w:rFonts w:ascii="Arial"/>
                <w:sz w:val="21"/>
              </w:rPr>
            </w:pPr>
          </w:p>
        </w:tc>
      </w:tr>
      <w:tr w14:paraId="2BF5F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51" w:type="dxa"/>
            <w:tcBorders>
              <w:left w:val="nil"/>
            </w:tcBorders>
            <w:vAlign w:val="top"/>
          </w:tcPr>
          <w:p w14:paraId="49C9BD17">
            <w:pPr>
              <w:spacing w:before="36" w:line="221" w:lineRule="auto"/>
              <w:ind w:left="468"/>
              <w:rPr>
                <w:rFonts w:ascii="宋体" w:hAnsi="宋体" w:eastAsia="宋体" w:cs="宋体"/>
                <w:sz w:val="20"/>
                <w:szCs w:val="20"/>
              </w:rPr>
            </w:pPr>
            <w:r>
              <w:rPr>
                <w:rFonts w:ascii="宋体" w:hAnsi="宋体" w:eastAsia="宋体" w:cs="宋体"/>
                <w:spacing w:val="7"/>
                <w:sz w:val="20"/>
                <w:szCs w:val="20"/>
              </w:rPr>
              <w:t>运营</w:t>
            </w:r>
            <w:r>
              <w:rPr>
                <w:rFonts w:ascii="宋体" w:hAnsi="宋体" w:eastAsia="宋体" w:cs="宋体"/>
                <w:spacing w:val="6"/>
                <w:sz w:val="20"/>
                <w:szCs w:val="20"/>
              </w:rPr>
              <w:t>期</w:t>
            </w:r>
          </w:p>
        </w:tc>
        <w:tc>
          <w:tcPr>
            <w:tcW w:w="1742" w:type="dxa"/>
            <w:vAlign w:val="top"/>
          </w:tcPr>
          <w:p w14:paraId="5D5D3509">
            <w:pPr>
              <w:rPr>
                <w:rFonts w:ascii="Arial"/>
                <w:sz w:val="21"/>
              </w:rPr>
            </w:pPr>
          </w:p>
        </w:tc>
        <w:tc>
          <w:tcPr>
            <w:tcW w:w="1743" w:type="dxa"/>
            <w:vAlign w:val="top"/>
          </w:tcPr>
          <w:p w14:paraId="1F56D920">
            <w:pPr>
              <w:spacing w:line="275" w:lineRule="exact"/>
              <w:ind w:left="81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42" w:type="dxa"/>
            <w:vAlign w:val="top"/>
          </w:tcPr>
          <w:p w14:paraId="0458A54E">
            <w:pPr>
              <w:spacing w:line="275" w:lineRule="exact"/>
              <w:ind w:left="81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744" w:type="dxa"/>
            <w:tcBorders>
              <w:right w:val="nil"/>
            </w:tcBorders>
            <w:vAlign w:val="top"/>
          </w:tcPr>
          <w:p w14:paraId="31AFF602">
            <w:pPr>
              <w:rPr>
                <w:rFonts w:ascii="Arial"/>
                <w:sz w:val="21"/>
              </w:rPr>
            </w:pPr>
          </w:p>
        </w:tc>
      </w:tr>
      <w:tr w14:paraId="4EC39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551" w:type="dxa"/>
            <w:tcBorders>
              <w:left w:val="nil"/>
            </w:tcBorders>
            <w:vAlign w:val="top"/>
          </w:tcPr>
          <w:p w14:paraId="25DB1810">
            <w:pPr>
              <w:spacing w:before="35" w:line="228" w:lineRule="auto"/>
              <w:ind w:left="257"/>
              <w:rPr>
                <w:rFonts w:ascii="宋体" w:hAnsi="宋体" w:eastAsia="宋体" w:cs="宋体"/>
                <w:sz w:val="20"/>
                <w:szCs w:val="20"/>
              </w:rPr>
            </w:pPr>
            <w:r>
              <w:rPr>
                <w:rFonts w:ascii="宋体" w:hAnsi="宋体" w:eastAsia="宋体" w:cs="宋体"/>
                <w:spacing w:val="8"/>
                <w:sz w:val="20"/>
                <w:szCs w:val="20"/>
              </w:rPr>
              <w:t>服务期满后</w:t>
            </w:r>
          </w:p>
        </w:tc>
        <w:tc>
          <w:tcPr>
            <w:tcW w:w="1742" w:type="dxa"/>
            <w:vAlign w:val="top"/>
          </w:tcPr>
          <w:p w14:paraId="4A02309A">
            <w:pPr>
              <w:rPr>
                <w:rFonts w:ascii="Arial"/>
                <w:sz w:val="21"/>
              </w:rPr>
            </w:pPr>
          </w:p>
        </w:tc>
        <w:tc>
          <w:tcPr>
            <w:tcW w:w="1743" w:type="dxa"/>
            <w:vAlign w:val="top"/>
          </w:tcPr>
          <w:p w14:paraId="4C0201A9">
            <w:pPr>
              <w:rPr>
                <w:rFonts w:ascii="Arial"/>
                <w:sz w:val="21"/>
              </w:rPr>
            </w:pPr>
          </w:p>
        </w:tc>
        <w:tc>
          <w:tcPr>
            <w:tcW w:w="1742" w:type="dxa"/>
            <w:vAlign w:val="top"/>
          </w:tcPr>
          <w:p w14:paraId="65217EBA">
            <w:pPr>
              <w:rPr>
                <w:rFonts w:ascii="Arial"/>
                <w:sz w:val="21"/>
              </w:rPr>
            </w:pPr>
          </w:p>
        </w:tc>
        <w:tc>
          <w:tcPr>
            <w:tcW w:w="1744" w:type="dxa"/>
            <w:tcBorders>
              <w:right w:val="nil"/>
            </w:tcBorders>
            <w:vAlign w:val="top"/>
          </w:tcPr>
          <w:p w14:paraId="11C17793">
            <w:pPr>
              <w:rPr>
                <w:rFonts w:ascii="Arial"/>
                <w:sz w:val="21"/>
              </w:rPr>
            </w:pPr>
          </w:p>
        </w:tc>
      </w:tr>
    </w:tbl>
    <w:p w14:paraId="4F98541A">
      <w:pPr>
        <w:spacing w:line="250" w:lineRule="auto"/>
        <w:rPr>
          <w:rFonts w:ascii="Arial"/>
          <w:sz w:val="21"/>
        </w:rPr>
      </w:pPr>
    </w:p>
    <w:p w14:paraId="671EA637">
      <w:pPr>
        <w:spacing w:before="75" w:line="227" w:lineRule="auto"/>
        <w:ind w:left="605"/>
        <w:rPr>
          <w:rFonts w:ascii="宋体" w:hAnsi="宋体" w:eastAsia="宋体" w:cs="宋体"/>
          <w:sz w:val="23"/>
          <w:szCs w:val="23"/>
        </w:rPr>
      </w:pPr>
      <w:r>
        <w:rPr>
          <w:rFonts w:ascii="宋体" w:hAnsi="宋体" w:eastAsia="宋体" w:cs="宋体"/>
          <w:spacing w:val="10"/>
          <w:sz w:val="23"/>
          <w:szCs w:val="23"/>
        </w:rPr>
        <w:t>本项目</w:t>
      </w:r>
      <w:r>
        <w:rPr>
          <w:rFonts w:ascii="宋体" w:hAnsi="宋体" w:eastAsia="宋体" w:cs="宋体"/>
          <w:spacing w:val="7"/>
          <w:sz w:val="23"/>
          <w:szCs w:val="23"/>
        </w:rPr>
        <w:t>土</w:t>
      </w:r>
      <w:r>
        <w:rPr>
          <w:rFonts w:ascii="宋体" w:hAnsi="宋体" w:eastAsia="宋体" w:cs="宋体"/>
          <w:spacing w:val="5"/>
          <w:sz w:val="23"/>
          <w:szCs w:val="23"/>
        </w:rPr>
        <w:t xml:space="preserve">壤环境影响源及影响因子识别见表 </w:t>
      </w:r>
      <w:r>
        <w:rPr>
          <w:rFonts w:ascii="Times New Roman" w:hAnsi="Times New Roman" w:eastAsia="Times New Roman" w:cs="Times New Roman"/>
          <w:spacing w:val="5"/>
          <w:sz w:val="23"/>
          <w:szCs w:val="23"/>
        </w:rPr>
        <w:t>5-21</w:t>
      </w:r>
      <w:r>
        <w:rPr>
          <w:rFonts w:ascii="宋体" w:hAnsi="宋体" w:eastAsia="宋体" w:cs="宋体"/>
          <w:spacing w:val="5"/>
          <w:sz w:val="23"/>
          <w:szCs w:val="23"/>
        </w:rPr>
        <w:t>。</w:t>
      </w:r>
    </w:p>
    <w:p w14:paraId="4393C17F">
      <w:pPr>
        <w:spacing w:line="267" w:lineRule="auto"/>
        <w:rPr>
          <w:rFonts w:ascii="Arial"/>
          <w:sz w:val="21"/>
        </w:rPr>
      </w:pPr>
    </w:p>
    <w:p w14:paraId="5B4416C5">
      <w:pPr>
        <w:spacing w:before="76" w:line="228" w:lineRule="auto"/>
        <w:ind w:left="198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5-21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土壤环境影响源及影响因子识</w:t>
      </w:r>
      <w:r>
        <w:rPr>
          <w:rFonts w:ascii="宋体" w:hAnsi="宋体" w:eastAsia="宋体" w:cs="宋体"/>
          <w:spacing w:val="3"/>
          <w:sz w:val="23"/>
          <w:szCs w:val="23"/>
          <w14:textOutline w14:w="4358" w14:cap="sq" w14:cmpd="sng">
            <w14:solidFill>
              <w14:srgbClr w14:val="000000"/>
            </w14:solidFill>
            <w14:prstDash w14:val="solid"/>
            <w14:bevel/>
          </w14:textOutline>
        </w:rPr>
        <w:t>别</w:t>
      </w:r>
    </w:p>
    <w:p w14:paraId="7A482FBE">
      <w:pPr>
        <w:spacing w:line="15" w:lineRule="exact"/>
      </w:pPr>
    </w:p>
    <w:tbl>
      <w:tblPr>
        <w:tblStyle w:val="4"/>
        <w:tblW w:w="8408"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5"/>
        <w:gridCol w:w="1442"/>
        <w:gridCol w:w="1738"/>
        <w:gridCol w:w="2368"/>
        <w:gridCol w:w="1051"/>
        <w:gridCol w:w="894"/>
      </w:tblGrid>
      <w:tr w14:paraId="36527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15" w:type="dxa"/>
            <w:tcBorders>
              <w:left w:val="nil"/>
            </w:tcBorders>
            <w:vAlign w:val="top"/>
          </w:tcPr>
          <w:p w14:paraId="47AF1D4D">
            <w:pPr>
              <w:spacing w:before="84" w:line="228" w:lineRule="auto"/>
              <w:ind w:left="15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污染源</w:t>
            </w:r>
          </w:p>
        </w:tc>
        <w:tc>
          <w:tcPr>
            <w:tcW w:w="1442" w:type="dxa"/>
            <w:vAlign w:val="top"/>
          </w:tcPr>
          <w:p w14:paraId="048411D8">
            <w:pPr>
              <w:spacing w:before="43" w:line="288" w:lineRule="exact"/>
              <w:ind w:left="68"/>
              <w:rPr>
                <w:rFonts w:ascii="宋体" w:hAnsi="宋体" w:eastAsia="宋体" w:cs="宋体"/>
                <w:sz w:val="20"/>
                <w:szCs w:val="20"/>
              </w:rPr>
            </w:pPr>
            <w:r>
              <w:rPr>
                <w:rFonts w:ascii="宋体" w:hAnsi="宋体" w:eastAsia="宋体" w:cs="宋体"/>
                <w:spacing w:val="8"/>
                <w:position w:val="1"/>
                <w:sz w:val="20"/>
                <w:szCs w:val="20"/>
                <w14:textOutline w14:w="3795" w14:cap="sq" w14:cmpd="sng">
                  <w14:solidFill>
                    <w14:srgbClr w14:val="000000"/>
                  </w14:solidFill>
                  <w14:prstDash w14:val="solid"/>
                  <w14:bevel/>
                </w14:textOutline>
              </w:rPr>
              <w:t>工艺流程</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节点</w:t>
            </w:r>
          </w:p>
        </w:tc>
        <w:tc>
          <w:tcPr>
            <w:tcW w:w="1738" w:type="dxa"/>
            <w:vAlign w:val="top"/>
          </w:tcPr>
          <w:p w14:paraId="38606D07">
            <w:pPr>
              <w:spacing w:before="83" w:line="228" w:lineRule="auto"/>
              <w:ind w:left="45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污染途径</w:t>
            </w:r>
          </w:p>
        </w:tc>
        <w:tc>
          <w:tcPr>
            <w:tcW w:w="2368" w:type="dxa"/>
            <w:vAlign w:val="top"/>
          </w:tcPr>
          <w:p w14:paraId="1B546593">
            <w:pPr>
              <w:spacing w:before="83" w:line="228" w:lineRule="auto"/>
              <w:ind w:left="55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全部污染指标</w:t>
            </w:r>
          </w:p>
        </w:tc>
        <w:tc>
          <w:tcPr>
            <w:tcW w:w="1051" w:type="dxa"/>
            <w:vAlign w:val="top"/>
          </w:tcPr>
          <w:p w14:paraId="3DCA1A0E">
            <w:pPr>
              <w:spacing w:before="83" w:line="228" w:lineRule="auto"/>
              <w:ind w:left="11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特</w:t>
            </w:r>
            <w:r>
              <w:rPr>
                <w:rFonts w:ascii="宋体" w:hAnsi="宋体" w:eastAsia="宋体" w:cs="宋体"/>
                <w:spacing w:val="8"/>
                <w:sz w:val="20"/>
                <w:szCs w:val="20"/>
                <w14:textOutline w14:w="3795" w14:cap="sq" w14:cmpd="sng">
                  <w14:solidFill>
                    <w14:srgbClr w14:val="000000"/>
                  </w14:solidFill>
                  <w14:prstDash w14:val="solid"/>
                  <w14:bevel/>
                </w14:textOutline>
              </w:rPr>
              <w:t>征因子</w:t>
            </w:r>
          </w:p>
        </w:tc>
        <w:tc>
          <w:tcPr>
            <w:tcW w:w="894" w:type="dxa"/>
            <w:tcBorders>
              <w:right w:val="nil"/>
            </w:tcBorders>
            <w:vAlign w:val="top"/>
          </w:tcPr>
          <w:p w14:paraId="61B79421">
            <w:pPr>
              <w:spacing w:before="84" w:line="229" w:lineRule="auto"/>
              <w:ind w:left="24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4812C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915" w:type="dxa"/>
            <w:tcBorders>
              <w:left w:val="nil"/>
            </w:tcBorders>
            <w:vAlign w:val="top"/>
          </w:tcPr>
          <w:p w14:paraId="54A43F4E">
            <w:pPr>
              <w:spacing w:before="38" w:line="228" w:lineRule="auto"/>
              <w:ind w:left="47"/>
              <w:rPr>
                <w:rFonts w:ascii="宋体" w:hAnsi="宋体" w:eastAsia="宋体" w:cs="宋体"/>
                <w:sz w:val="20"/>
                <w:szCs w:val="20"/>
              </w:rPr>
            </w:pPr>
            <w:r>
              <w:rPr>
                <w:rFonts w:ascii="宋体" w:hAnsi="宋体" w:eastAsia="宋体" w:cs="宋体"/>
                <w:spacing w:val="7"/>
                <w:sz w:val="20"/>
                <w:szCs w:val="20"/>
              </w:rPr>
              <w:t>生产车</w:t>
            </w:r>
            <w:r>
              <w:rPr>
                <w:rFonts w:ascii="宋体" w:hAnsi="宋体" w:eastAsia="宋体" w:cs="宋体"/>
                <w:spacing w:val="6"/>
                <w:sz w:val="20"/>
                <w:szCs w:val="20"/>
              </w:rPr>
              <w:t>间</w:t>
            </w:r>
          </w:p>
        </w:tc>
        <w:tc>
          <w:tcPr>
            <w:tcW w:w="1442" w:type="dxa"/>
            <w:vAlign w:val="top"/>
          </w:tcPr>
          <w:p w14:paraId="13E3F623">
            <w:pPr>
              <w:spacing w:before="38" w:line="228" w:lineRule="auto"/>
              <w:ind w:left="519"/>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p>
        </w:tc>
        <w:tc>
          <w:tcPr>
            <w:tcW w:w="1738" w:type="dxa"/>
            <w:vAlign w:val="top"/>
          </w:tcPr>
          <w:p w14:paraId="6435EE65">
            <w:pPr>
              <w:spacing w:before="39" w:line="228" w:lineRule="auto"/>
              <w:ind w:left="35"/>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8"/>
                <w:sz w:val="20"/>
                <w:szCs w:val="20"/>
              </w:rPr>
              <w:t>面漫流垂直入渗</w:t>
            </w:r>
          </w:p>
        </w:tc>
        <w:tc>
          <w:tcPr>
            <w:tcW w:w="2368" w:type="dxa"/>
            <w:vAlign w:val="top"/>
          </w:tcPr>
          <w:p w14:paraId="19233E30">
            <w:pPr>
              <w:spacing w:before="75" w:line="192" w:lineRule="auto"/>
              <w:ind w:left="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COD</w:t>
            </w:r>
            <w:r>
              <w:rPr>
                <w:rFonts w:ascii="宋体" w:hAnsi="宋体" w:eastAsia="宋体" w:cs="宋体"/>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 xml:space="preserve">5 </w:t>
            </w:r>
            <w:r>
              <w:rPr>
                <w:rFonts w:ascii="宋体" w:hAnsi="宋体" w:eastAsia="宋体" w:cs="宋体"/>
                <w:spacing w:val="-1"/>
                <w:sz w:val="20"/>
                <w:szCs w:val="20"/>
              </w:rPr>
              <w:t>、</w:t>
            </w:r>
            <w:r>
              <w:rPr>
                <w:rFonts w:ascii="Times New Roman" w:hAnsi="Times New Roman" w:eastAsia="Times New Roman" w:cs="Times New Roman"/>
                <w:spacing w:val="-1"/>
                <w:sz w:val="20"/>
                <w:szCs w:val="20"/>
              </w:rPr>
              <w:t>SS</w:t>
            </w:r>
            <w:r>
              <w:rPr>
                <w:rFonts w:ascii="宋体" w:hAnsi="宋体" w:eastAsia="宋体" w:cs="宋体"/>
                <w:spacing w:val="-1"/>
                <w:sz w:val="20"/>
                <w:szCs w:val="20"/>
              </w:rPr>
              <w:t>、</w:t>
            </w:r>
            <w:r>
              <w:rPr>
                <w:rFonts w:ascii="Times New Roman" w:hAnsi="Times New Roman" w:eastAsia="Times New Roman" w:cs="Times New Roman"/>
                <w:spacing w:val="-1"/>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p>
        </w:tc>
        <w:tc>
          <w:tcPr>
            <w:tcW w:w="1051" w:type="dxa"/>
            <w:vAlign w:val="top"/>
          </w:tcPr>
          <w:p w14:paraId="2D80A290">
            <w:pPr>
              <w:spacing w:before="163" w:line="12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1"/>
                <w:position w:val="-1"/>
                <w:sz w:val="20"/>
                <w:szCs w:val="20"/>
              </w:rPr>
              <w:t>-</w:t>
            </w:r>
          </w:p>
        </w:tc>
        <w:tc>
          <w:tcPr>
            <w:tcW w:w="894" w:type="dxa"/>
            <w:tcBorders>
              <w:right w:val="nil"/>
            </w:tcBorders>
            <w:vAlign w:val="top"/>
          </w:tcPr>
          <w:p w14:paraId="5ADED383">
            <w:pPr>
              <w:spacing w:before="38" w:line="228" w:lineRule="auto"/>
              <w:ind w:left="258"/>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14:paraId="78FAB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15" w:type="dxa"/>
            <w:tcBorders>
              <w:left w:val="nil"/>
            </w:tcBorders>
            <w:vAlign w:val="top"/>
          </w:tcPr>
          <w:p w14:paraId="14E251AD">
            <w:pPr>
              <w:spacing w:before="41" w:line="231" w:lineRule="auto"/>
              <w:ind w:left="156"/>
              <w:rPr>
                <w:rFonts w:ascii="宋体" w:hAnsi="宋体" w:eastAsia="宋体" w:cs="宋体"/>
                <w:sz w:val="20"/>
                <w:szCs w:val="20"/>
              </w:rPr>
            </w:pPr>
            <w:r>
              <w:rPr>
                <w:rFonts w:ascii="宋体" w:hAnsi="宋体" w:eastAsia="宋体" w:cs="宋体"/>
                <w:spacing w:val="5"/>
                <w:sz w:val="20"/>
                <w:szCs w:val="20"/>
              </w:rPr>
              <w:t>治污区</w:t>
            </w:r>
          </w:p>
        </w:tc>
        <w:tc>
          <w:tcPr>
            <w:tcW w:w="1442" w:type="dxa"/>
            <w:vAlign w:val="top"/>
          </w:tcPr>
          <w:p w14:paraId="2F4082EB">
            <w:pPr>
              <w:spacing w:before="42" w:line="228" w:lineRule="auto"/>
              <w:ind w:left="305"/>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水治理</w:t>
            </w:r>
          </w:p>
        </w:tc>
        <w:tc>
          <w:tcPr>
            <w:tcW w:w="1738" w:type="dxa"/>
            <w:vAlign w:val="top"/>
          </w:tcPr>
          <w:p w14:paraId="3096F059">
            <w:pPr>
              <w:spacing w:before="42" w:line="228" w:lineRule="auto"/>
              <w:ind w:left="35"/>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8"/>
                <w:sz w:val="20"/>
                <w:szCs w:val="20"/>
              </w:rPr>
              <w:t>面漫流垂直入渗</w:t>
            </w:r>
          </w:p>
        </w:tc>
        <w:tc>
          <w:tcPr>
            <w:tcW w:w="2368" w:type="dxa"/>
            <w:vAlign w:val="top"/>
          </w:tcPr>
          <w:p w14:paraId="5FD7351D">
            <w:pPr>
              <w:spacing w:before="78" w:line="192" w:lineRule="auto"/>
              <w:ind w:left="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COD</w:t>
            </w:r>
            <w:r>
              <w:rPr>
                <w:rFonts w:ascii="宋体" w:hAnsi="宋体" w:eastAsia="宋体" w:cs="宋体"/>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 xml:space="preserve">5 </w:t>
            </w:r>
            <w:r>
              <w:rPr>
                <w:rFonts w:ascii="宋体" w:hAnsi="宋体" w:eastAsia="宋体" w:cs="宋体"/>
                <w:spacing w:val="-1"/>
                <w:sz w:val="20"/>
                <w:szCs w:val="20"/>
              </w:rPr>
              <w:t>、</w:t>
            </w:r>
            <w:r>
              <w:rPr>
                <w:rFonts w:ascii="Times New Roman" w:hAnsi="Times New Roman" w:eastAsia="Times New Roman" w:cs="Times New Roman"/>
                <w:spacing w:val="-1"/>
                <w:sz w:val="20"/>
                <w:szCs w:val="20"/>
              </w:rPr>
              <w:t>SS</w:t>
            </w:r>
            <w:r>
              <w:rPr>
                <w:rFonts w:ascii="宋体" w:hAnsi="宋体" w:eastAsia="宋体" w:cs="宋体"/>
                <w:spacing w:val="-1"/>
                <w:sz w:val="20"/>
                <w:szCs w:val="20"/>
              </w:rPr>
              <w:t>、</w:t>
            </w:r>
            <w:r>
              <w:rPr>
                <w:rFonts w:ascii="Times New Roman" w:hAnsi="Times New Roman" w:eastAsia="Times New Roman" w:cs="Times New Roman"/>
                <w:spacing w:val="-1"/>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p>
        </w:tc>
        <w:tc>
          <w:tcPr>
            <w:tcW w:w="1051" w:type="dxa"/>
            <w:vAlign w:val="top"/>
          </w:tcPr>
          <w:p w14:paraId="0A95E6D1">
            <w:pPr>
              <w:spacing w:before="166" w:line="136"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c>
          <w:tcPr>
            <w:tcW w:w="894" w:type="dxa"/>
            <w:tcBorders>
              <w:right w:val="nil"/>
            </w:tcBorders>
            <w:vAlign w:val="top"/>
          </w:tcPr>
          <w:p w14:paraId="12B4B078">
            <w:pPr>
              <w:spacing w:before="42" w:line="228" w:lineRule="auto"/>
              <w:ind w:left="258"/>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bl>
    <w:p w14:paraId="4502EF16">
      <w:pPr>
        <w:spacing w:before="292" w:line="219" w:lineRule="auto"/>
        <w:ind w:left="124"/>
        <w:outlineLvl w:val="3"/>
        <w:rPr>
          <w:rFonts w:ascii="宋体" w:hAnsi="宋体" w:eastAsia="宋体" w:cs="宋体"/>
          <w:sz w:val="28"/>
          <w:szCs w:val="28"/>
        </w:rPr>
      </w:pPr>
      <w:r>
        <w:rPr>
          <w:rFonts w:ascii="Times New Roman" w:hAnsi="Times New Roman" w:eastAsia="Times New Roman" w:cs="Times New Roman"/>
          <w:b/>
          <w:bCs/>
          <w:spacing w:val="14"/>
          <w:sz w:val="28"/>
          <w:szCs w:val="28"/>
        </w:rPr>
        <w:t>5</w:t>
      </w:r>
      <w:r>
        <w:rPr>
          <w:rFonts w:ascii="Times New Roman" w:hAnsi="Times New Roman" w:eastAsia="Times New Roman" w:cs="Times New Roman"/>
          <w:b/>
          <w:bCs/>
          <w:spacing w:val="7"/>
          <w:sz w:val="28"/>
          <w:szCs w:val="28"/>
        </w:rPr>
        <w:t>.2.6.2</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评价工作等级</w:t>
      </w:r>
    </w:p>
    <w:p w14:paraId="6D6BE0E3">
      <w:pPr>
        <w:spacing w:line="253" w:lineRule="auto"/>
        <w:rPr>
          <w:rFonts w:ascii="Arial"/>
          <w:sz w:val="21"/>
        </w:rPr>
      </w:pPr>
    </w:p>
    <w:p w14:paraId="2AB42E04">
      <w:pPr>
        <w:spacing w:before="76" w:line="383" w:lineRule="auto"/>
        <w:ind w:left="124" w:right="107" w:firstLine="480"/>
        <w:rPr>
          <w:rFonts w:ascii="宋体" w:hAnsi="宋体" w:eastAsia="宋体" w:cs="宋体"/>
          <w:sz w:val="23"/>
          <w:szCs w:val="23"/>
        </w:rPr>
      </w:pPr>
      <w:r>
        <w:rPr>
          <w:rFonts w:ascii="宋体" w:hAnsi="宋体" w:eastAsia="宋体" w:cs="宋体"/>
          <w:spacing w:val="6"/>
          <w:sz w:val="23"/>
          <w:szCs w:val="23"/>
        </w:rPr>
        <w:t>根据《环境影响评价技术导则 土壤环境 (试行) 》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964-2018</w:t>
      </w:r>
      <w:r>
        <w:rPr>
          <w:rFonts w:ascii="宋体" w:hAnsi="宋体" w:eastAsia="宋体" w:cs="宋体"/>
          <w:spacing w:val="6"/>
          <w:sz w:val="23"/>
          <w:szCs w:val="23"/>
        </w:rPr>
        <w:t>) ，</w:t>
      </w:r>
      <w:r>
        <w:rPr>
          <w:rFonts w:ascii="宋体" w:hAnsi="宋体" w:eastAsia="宋体" w:cs="宋体"/>
          <w:spacing w:val="5"/>
          <w:sz w:val="23"/>
          <w:szCs w:val="23"/>
        </w:rPr>
        <w:t>污</w:t>
      </w:r>
      <w:r>
        <w:rPr>
          <w:rFonts w:ascii="宋体" w:hAnsi="宋体" w:eastAsia="宋体" w:cs="宋体"/>
          <w:sz w:val="23"/>
          <w:szCs w:val="23"/>
        </w:rPr>
        <w:t xml:space="preserve">染 </w:t>
      </w:r>
      <w:r>
        <w:rPr>
          <w:rFonts w:ascii="宋体" w:hAnsi="宋体" w:eastAsia="宋体" w:cs="宋体"/>
          <w:spacing w:val="9"/>
          <w:sz w:val="23"/>
          <w:szCs w:val="23"/>
        </w:rPr>
        <w:t>影</w:t>
      </w:r>
      <w:r>
        <w:rPr>
          <w:rFonts w:ascii="宋体" w:hAnsi="宋体" w:eastAsia="宋体" w:cs="宋体"/>
          <w:spacing w:val="7"/>
          <w:sz w:val="23"/>
          <w:szCs w:val="23"/>
        </w:rPr>
        <w:t>响型建设项目根据土壤环境影响评价项目类别、占地规模与敏感程度划分评价</w:t>
      </w:r>
      <w:r>
        <w:rPr>
          <w:rFonts w:ascii="宋体" w:hAnsi="宋体" w:eastAsia="宋体" w:cs="宋体"/>
          <w:sz w:val="23"/>
          <w:szCs w:val="23"/>
        </w:rPr>
        <w:t xml:space="preserve"> </w:t>
      </w:r>
      <w:r>
        <w:rPr>
          <w:rFonts w:ascii="宋体" w:hAnsi="宋体" w:eastAsia="宋体" w:cs="宋体"/>
          <w:spacing w:val="3"/>
          <w:sz w:val="23"/>
          <w:szCs w:val="23"/>
        </w:rPr>
        <w:t xml:space="preserve">工作等级，具体见表 </w:t>
      </w:r>
      <w:r>
        <w:rPr>
          <w:rFonts w:ascii="Times New Roman" w:hAnsi="Times New Roman" w:eastAsia="Times New Roman" w:cs="Times New Roman"/>
          <w:spacing w:val="3"/>
          <w:sz w:val="23"/>
          <w:szCs w:val="23"/>
        </w:rPr>
        <w:t>5-22</w:t>
      </w:r>
      <w:r>
        <w:rPr>
          <w:rFonts w:ascii="宋体" w:hAnsi="宋体" w:eastAsia="宋体" w:cs="宋体"/>
          <w:spacing w:val="1"/>
          <w:sz w:val="23"/>
          <w:szCs w:val="23"/>
        </w:rPr>
        <w:t>。</w:t>
      </w:r>
    </w:p>
    <w:p w14:paraId="0B1CFD2C">
      <w:pPr>
        <w:spacing w:before="133" w:line="226" w:lineRule="auto"/>
        <w:ind w:left="198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5-22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污染影响型评价工作等级划分</w:t>
      </w:r>
      <w:r>
        <w:rPr>
          <w:rFonts w:ascii="宋体" w:hAnsi="宋体" w:eastAsia="宋体" w:cs="宋体"/>
          <w:spacing w:val="3"/>
          <w:sz w:val="23"/>
          <w:szCs w:val="23"/>
          <w14:textOutline w14:w="4358" w14:cap="sq" w14:cmpd="sng">
            <w14:solidFill>
              <w14:srgbClr w14:val="000000"/>
            </w14:solidFill>
            <w14:prstDash w14:val="solid"/>
            <w14:bevel/>
          </w14:textOutline>
        </w:rPr>
        <w:t>表</w:t>
      </w:r>
    </w:p>
    <w:p w14:paraId="47B1AF37">
      <w:pPr>
        <w:spacing w:line="19" w:lineRule="exact"/>
      </w:pPr>
    </w:p>
    <w:tbl>
      <w:tblPr>
        <w:tblStyle w:val="4"/>
        <w:tblW w:w="85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1790"/>
        <w:gridCol w:w="677"/>
        <w:gridCol w:w="677"/>
        <w:gridCol w:w="677"/>
        <w:gridCol w:w="677"/>
        <w:gridCol w:w="676"/>
        <w:gridCol w:w="677"/>
        <w:gridCol w:w="677"/>
        <w:gridCol w:w="677"/>
        <w:gridCol w:w="684"/>
      </w:tblGrid>
      <w:tr w14:paraId="73134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40" w:type="dxa"/>
            <w:vMerge w:val="restart"/>
            <w:tcBorders>
              <w:left w:val="nil"/>
              <w:bottom w:val="nil"/>
              <w:right w:val="nil"/>
            </w:tcBorders>
            <w:vAlign w:val="top"/>
          </w:tcPr>
          <w:p w14:paraId="59D2267F">
            <w:pPr>
              <w:spacing w:line="248" w:lineRule="auto"/>
              <w:rPr>
                <w:rFonts w:ascii="Arial"/>
                <w:sz w:val="21"/>
              </w:rPr>
            </w:pPr>
          </w:p>
          <w:p w14:paraId="5F8DFF28">
            <w:pPr>
              <w:spacing w:before="65" w:line="227" w:lineRule="auto"/>
              <w:ind w:left="122" w:right="104" w:firstLine="1"/>
              <w:rPr>
                <w:rFonts w:ascii="宋体" w:hAnsi="宋体" w:eastAsia="宋体" w:cs="宋体"/>
                <w:sz w:val="20"/>
                <w:szCs w:val="20"/>
              </w:rPr>
            </w:pPr>
            <w:r>
              <w:drawing>
                <wp:anchor distT="0" distB="0" distL="0" distR="0" simplePos="0" relativeHeight="251941888" behindDoc="1" locked="0" layoutInCell="1" allowOverlap="1">
                  <wp:simplePos x="0" y="0"/>
                  <wp:positionH relativeFrom="column">
                    <wp:posOffset>0</wp:posOffset>
                  </wp:positionH>
                  <wp:positionV relativeFrom="paragraph">
                    <wp:posOffset>-151130</wp:posOffset>
                  </wp:positionV>
                  <wp:extent cx="1527810" cy="522605"/>
                  <wp:effectExtent l="0" t="0" r="0" b="0"/>
                  <wp:wrapNone/>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534"/>
                          <a:stretch>
                            <a:fillRect/>
                          </a:stretch>
                        </pic:blipFill>
                        <pic:spPr>
                          <a:xfrm>
                            <a:off x="0" y="0"/>
                            <a:ext cx="1528064" cy="522756"/>
                          </a:xfrm>
                          <a:prstGeom prst="rect">
                            <a:avLst/>
                          </a:prstGeom>
                        </pic:spPr>
                      </pic:pic>
                    </a:graphicData>
                  </a:graphic>
                </wp:anchor>
              </w:drawing>
            </w:r>
            <w:r>
              <w:rPr>
                <w:rFonts w:ascii="宋体" w:hAnsi="宋体" w:eastAsia="宋体" w:cs="宋体"/>
                <w:spacing w:val="6"/>
                <w:sz w:val="20"/>
                <w:szCs w:val="20"/>
                <w14:textOutline w14:w="3795" w14:cap="sq" w14:cmpd="sng">
                  <w14:solidFill>
                    <w14:srgbClr w14:val="000000"/>
                  </w14:solidFill>
                  <w14:prstDash w14:val="solid"/>
                  <w14:bevel/>
                </w14:textOutline>
              </w:rPr>
              <w:t>敏</w:t>
            </w:r>
            <w:r>
              <w:rPr>
                <w:rFonts w:ascii="宋体" w:hAnsi="宋体" w:eastAsia="宋体" w:cs="宋体"/>
                <w:spacing w:val="5"/>
                <w:sz w:val="20"/>
                <w:szCs w:val="20"/>
                <w14:textOutline w14:w="3795" w14:cap="sq" w14:cmpd="sng">
                  <w14:solidFill>
                    <w14:srgbClr w14:val="000000"/>
                  </w14:solidFill>
                  <w14:prstDash w14:val="solid"/>
                  <w14:bevel/>
                </w14:textOutline>
              </w:rPr>
              <w:t>感</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程度</w:t>
            </w:r>
          </w:p>
        </w:tc>
        <w:tc>
          <w:tcPr>
            <w:tcW w:w="1790" w:type="dxa"/>
            <w:vMerge w:val="restart"/>
            <w:tcBorders>
              <w:left w:val="nil"/>
              <w:bottom w:val="nil"/>
            </w:tcBorders>
            <w:vAlign w:val="top"/>
          </w:tcPr>
          <w:p w14:paraId="7E463C2C">
            <w:pPr>
              <w:spacing w:before="53"/>
              <w:ind w:left="113" w:right="312" w:firstLine="56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占地规模</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评价</w:t>
            </w:r>
          </w:p>
          <w:p w14:paraId="24CB9946">
            <w:pPr>
              <w:spacing w:line="215" w:lineRule="auto"/>
              <w:ind w:left="53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工作等</w:t>
            </w:r>
            <w:r>
              <w:rPr>
                <w:rFonts w:ascii="宋体" w:hAnsi="宋体" w:eastAsia="宋体" w:cs="宋体"/>
                <w:spacing w:val="7"/>
                <w:sz w:val="20"/>
                <w:szCs w:val="20"/>
                <w14:textOutline w14:w="3795" w14:cap="sq" w14:cmpd="sng">
                  <w14:solidFill>
                    <w14:srgbClr w14:val="000000"/>
                  </w14:solidFill>
                  <w14:prstDash w14:val="solid"/>
                  <w14:bevel/>
                </w14:textOutline>
              </w:rPr>
              <w:t>级</w:t>
            </w:r>
          </w:p>
        </w:tc>
        <w:tc>
          <w:tcPr>
            <w:tcW w:w="2031" w:type="dxa"/>
            <w:gridSpan w:val="3"/>
            <w:vAlign w:val="top"/>
          </w:tcPr>
          <w:p w14:paraId="1FC887C4">
            <w:pPr>
              <w:spacing w:before="76" w:line="228" w:lineRule="auto"/>
              <w:ind w:left="872"/>
              <w:rPr>
                <w:rFonts w:ascii="宋体" w:hAnsi="宋体" w:eastAsia="宋体" w:cs="宋体"/>
                <w:sz w:val="20"/>
                <w:szCs w:val="20"/>
              </w:rPr>
            </w:pPr>
            <w:r>
              <w:rPr>
                <w:rFonts w:ascii="Times New Roman" w:hAnsi="Times New Roman" w:eastAsia="Times New Roman" w:cs="Times New Roman"/>
                <w:b/>
                <w:bCs/>
                <w:spacing w:val="4"/>
                <w:sz w:val="20"/>
                <w:szCs w:val="20"/>
              </w:rPr>
              <w:t>Ⅰ</w:t>
            </w:r>
            <w:r>
              <w:rPr>
                <w:rFonts w:ascii="宋体" w:hAnsi="宋体" w:eastAsia="宋体" w:cs="宋体"/>
                <w:spacing w:val="4"/>
                <w:sz w:val="20"/>
                <w:szCs w:val="20"/>
                <w14:textOutline w14:w="3795" w14:cap="sq" w14:cmpd="sng">
                  <w14:solidFill>
                    <w14:srgbClr w14:val="000000"/>
                  </w14:solidFill>
                  <w14:prstDash w14:val="solid"/>
                  <w14:bevel/>
                </w14:textOutline>
              </w:rPr>
              <w:t>类</w:t>
            </w:r>
          </w:p>
        </w:tc>
        <w:tc>
          <w:tcPr>
            <w:tcW w:w="2030" w:type="dxa"/>
            <w:gridSpan w:val="3"/>
            <w:vAlign w:val="top"/>
          </w:tcPr>
          <w:p w14:paraId="0F14B44F">
            <w:pPr>
              <w:spacing w:before="76" w:line="228" w:lineRule="auto"/>
              <w:ind w:left="833"/>
              <w:rPr>
                <w:rFonts w:ascii="宋体" w:hAnsi="宋体" w:eastAsia="宋体" w:cs="宋体"/>
                <w:sz w:val="20"/>
                <w:szCs w:val="20"/>
              </w:rPr>
            </w:pPr>
            <w:r>
              <w:rPr>
                <w:rFonts w:ascii="Times New Roman" w:hAnsi="Times New Roman" w:eastAsia="Times New Roman" w:cs="Times New Roman"/>
                <w:b/>
                <w:bCs/>
                <w:spacing w:val="5"/>
                <w:sz w:val="20"/>
                <w:szCs w:val="20"/>
              </w:rPr>
              <w:t>Ⅱ</w:t>
            </w:r>
            <w:r>
              <w:rPr>
                <w:rFonts w:ascii="宋体" w:hAnsi="宋体" w:eastAsia="宋体" w:cs="宋体"/>
                <w:spacing w:val="5"/>
                <w:sz w:val="20"/>
                <w:szCs w:val="20"/>
                <w14:textOutline w14:w="3795" w14:cap="sq" w14:cmpd="sng">
                  <w14:solidFill>
                    <w14:srgbClr w14:val="000000"/>
                  </w14:solidFill>
                  <w14:prstDash w14:val="solid"/>
                  <w14:bevel/>
                </w14:textOutline>
              </w:rPr>
              <w:t>类</w:t>
            </w:r>
          </w:p>
        </w:tc>
        <w:tc>
          <w:tcPr>
            <w:tcW w:w="2038" w:type="dxa"/>
            <w:gridSpan w:val="3"/>
            <w:tcBorders>
              <w:right w:val="nil"/>
            </w:tcBorders>
            <w:vAlign w:val="top"/>
          </w:tcPr>
          <w:p w14:paraId="4F6E4403">
            <w:pPr>
              <w:spacing w:before="76" w:line="228" w:lineRule="auto"/>
              <w:ind w:left="795"/>
              <w:rPr>
                <w:rFonts w:ascii="宋体" w:hAnsi="宋体" w:eastAsia="宋体" w:cs="宋体"/>
                <w:sz w:val="20"/>
                <w:szCs w:val="20"/>
              </w:rPr>
            </w:pPr>
            <w:r>
              <w:rPr>
                <w:rFonts w:ascii="Times New Roman" w:hAnsi="Times New Roman" w:eastAsia="Times New Roman" w:cs="Times New Roman"/>
                <w:b/>
                <w:bCs/>
                <w:spacing w:val="8"/>
                <w:sz w:val="20"/>
                <w:szCs w:val="20"/>
              </w:rPr>
              <w:t>Ⅲ</w:t>
            </w:r>
            <w:r>
              <w:rPr>
                <w:rFonts w:ascii="宋体" w:hAnsi="宋体" w:eastAsia="宋体" w:cs="宋体"/>
                <w:spacing w:val="8"/>
                <w:sz w:val="20"/>
                <w:szCs w:val="20"/>
                <w14:textOutline w14:w="3795" w14:cap="sq" w14:cmpd="sng">
                  <w14:solidFill>
                    <w14:srgbClr w14:val="000000"/>
                  </w14:solidFill>
                  <w14:prstDash w14:val="solid"/>
                  <w14:bevel/>
                </w14:textOutline>
              </w:rPr>
              <w:t>类</w:t>
            </w:r>
          </w:p>
        </w:tc>
      </w:tr>
      <w:tr w14:paraId="45F8D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640" w:type="dxa"/>
            <w:vMerge w:val="continue"/>
            <w:tcBorders>
              <w:top w:val="nil"/>
              <w:left w:val="nil"/>
              <w:right w:val="nil"/>
            </w:tcBorders>
            <w:vAlign w:val="top"/>
          </w:tcPr>
          <w:p w14:paraId="36D5A311">
            <w:pPr>
              <w:rPr>
                <w:rFonts w:ascii="Arial"/>
                <w:sz w:val="21"/>
              </w:rPr>
            </w:pPr>
          </w:p>
        </w:tc>
        <w:tc>
          <w:tcPr>
            <w:tcW w:w="1790" w:type="dxa"/>
            <w:vMerge w:val="continue"/>
            <w:tcBorders>
              <w:top w:val="nil"/>
              <w:left w:val="nil"/>
            </w:tcBorders>
            <w:vAlign w:val="top"/>
          </w:tcPr>
          <w:p w14:paraId="03ED1DDA">
            <w:pPr>
              <w:rPr>
                <w:rFonts w:ascii="Arial"/>
                <w:sz w:val="21"/>
              </w:rPr>
            </w:pPr>
          </w:p>
        </w:tc>
        <w:tc>
          <w:tcPr>
            <w:tcW w:w="677" w:type="dxa"/>
            <w:vAlign w:val="top"/>
          </w:tcPr>
          <w:p w14:paraId="4D87643B">
            <w:pPr>
              <w:spacing w:before="124" w:line="228" w:lineRule="auto"/>
              <w:ind w:left="24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大</w:t>
            </w:r>
          </w:p>
        </w:tc>
        <w:tc>
          <w:tcPr>
            <w:tcW w:w="677" w:type="dxa"/>
            <w:vAlign w:val="top"/>
          </w:tcPr>
          <w:p w14:paraId="6B77CFE7">
            <w:pPr>
              <w:spacing w:before="124" w:line="228" w:lineRule="auto"/>
              <w:ind w:left="259"/>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中</w:t>
            </w:r>
          </w:p>
        </w:tc>
        <w:tc>
          <w:tcPr>
            <w:tcW w:w="677" w:type="dxa"/>
            <w:vAlign w:val="top"/>
          </w:tcPr>
          <w:p w14:paraId="0626A779">
            <w:pPr>
              <w:spacing w:before="124" w:line="230" w:lineRule="auto"/>
              <w:ind w:left="24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小</w:t>
            </w:r>
          </w:p>
        </w:tc>
        <w:tc>
          <w:tcPr>
            <w:tcW w:w="677" w:type="dxa"/>
            <w:vAlign w:val="top"/>
          </w:tcPr>
          <w:p w14:paraId="34D212F5">
            <w:pPr>
              <w:spacing w:before="124" w:line="228" w:lineRule="auto"/>
              <w:ind w:left="24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大</w:t>
            </w:r>
          </w:p>
        </w:tc>
        <w:tc>
          <w:tcPr>
            <w:tcW w:w="676" w:type="dxa"/>
            <w:vAlign w:val="top"/>
          </w:tcPr>
          <w:p w14:paraId="0AF38201">
            <w:pPr>
              <w:spacing w:before="124" w:line="228" w:lineRule="auto"/>
              <w:ind w:left="258"/>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中</w:t>
            </w:r>
          </w:p>
        </w:tc>
        <w:tc>
          <w:tcPr>
            <w:tcW w:w="677" w:type="dxa"/>
            <w:vAlign w:val="top"/>
          </w:tcPr>
          <w:p w14:paraId="246091F9">
            <w:pPr>
              <w:spacing w:before="124" w:line="230" w:lineRule="auto"/>
              <w:ind w:left="24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小</w:t>
            </w:r>
          </w:p>
        </w:tc>
        <w:tc>
          <w:tcPr>
            <w:tcW w:w="677" w:type="dxa"/>
            <w:vAlign w:val="top"/>
          </w:tcPr>
          <w:p w14:paraId="09EE6CBB">
            <w:pPr>
              <w:spacing w:before="124" w:line="228" w:lineRule="auto"/>
              <w:ind w:left="24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大</w:t>
            </w:r>
          </w:p>
        </w:tc>
        <w:tc>
          <w:tcPr>
            <w:tcW w:w="677" w:type="dxa"/>
            <w:vAlign w:val="top"/>
          </w:tcPr>
          <w:p w14:paraId="3A62C7B2">
            <w:pPr>
              <w:spacing w:before="124" w:line="228" w:lineRule="auto"/>
              <w:ind w:left="259"/>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中</w:t>
            </w:r>
          </w:p>
        </w:tc>
        <w:tc>
          <w:tcPr>
            <w:tcW w:w="684" w:type="dxa"/>
            <w:tcBorders>
              <w:right w:val="nil"/>
            </w:tcBorders>
            <w:vAlign w:val="top"/>
          </w:tcPr>
          <w:p w14:paraId="4E6B4E29">
            <w:pPr>
              <w:spacing w:before="124" w:line="230" w:lineRule="auto"/>
              <w:ind w:left="249"/>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小</w:t>
            </w:r>
          </w:p>
        </w:tc>
      </w:tr>
      <w:tr w14:paraId="57E85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0" w:type="dxa"/>
            <w:tcBorders>
              <w:left w:val="nil"/>
              <w:right w:val="nil"/>
            </w:tcBorders>
            <w:vAlign w:val="top"/>
          </w:tcPr>
          <w:p w14:paraId="2CA79CFF">
            <w:pPr>
              <w:rPr>
                <w:rFonts w:ascii="Arial"/>
                <w:sz w:val="21"/>
              </w:rPr>
            </w:pPr>
          </w:p>
        </w:tc>
        <w:tc>
          <w:tcPr>
            <w:tcW w:w="1790" w:type="dxa"/>
            <w:tcBorders>
              <w:left w:val="nil"/>
            </w:tcBorders>
            <w:vAlign w:val="top"/>
          </w:tcPr>
          <w:p w14:paraId="0E5026B2">
            <w:pPr>
              <w:spacing w:before="53" w:line="228" w:lineRule="auto"/>
              <w:ind w:left="377"/>
              <w:rPr>
                <w:rFonts w:ascii="宋体" w:hAnsi="宋体" w:eastAsia="宋体" w:cs="宋体"/>
                <w:sz w:val="20"/>
                <w:szCs w:val="20"/>
              </w:rPr>
            </w:pPr>
            <w:r>
              <w:rPr>
                <w:rFonts w:ascii="宋体" w:hAnsi="宋体" w:eastAsia="宋体" w:cs="宋体"/>
                <w:spacing w:val="4"/>
                <w:sz w:val="20"/>
                <w:szCs w:val="20"/>
              </w:rPr>
              <w:t>敏感</w:t>
            </w:r>
          </w:p>
        </w:tc>
        <w:tc>
          <w:tcPr>
            <w:tcW w:w="677" w:type="dxa"/>
            <w:vAlign w:val="top"/>
          </w:tcPr>
          <w:p w14:paraId="0DECF22D">
            <w:pPr>
              <w:spacing w:before="53" w:line="242" w:lineRule="auto"/>
              <w:ind w:left="137"/>
              <w:rPr>
                <w:rFonts w:ascii="宋体" w:hAnsi="宋体" w:eastAsia="宋体" w:cs="宋体"/>
                <w:sz w:val="20"/>
                <w:szCs w:val="20"/>
              </w:rPr>
            </w:pPr>
            <w:r>
              <w:rPr>
                <w:rFonts w:ascii="宋体" w:hAnsi="宋体" w:eastAsia="宋体" w:cs="宋体"/>
                <w:spacing w:val="4"/>
                <w:sz w:val="20"/>
                <w:szCs w:val="20"/>
              </w:rPr>
              <w:t>一级</w:t>
            </w:r>
          </w:p>
        </w:tc>
        <w:tc>
          <w:tcPr>
            <w:tcW w:w="677" w:type="dxa"/>
            <w:vAlign w:val="top"/>
          </w:tcPr>
          <w:p w14:paraId="74694307">
            <w:pPr>
              <w:spacing w:before="53" w:line="242" w:lineRule="auto"/>
              <w:ind w:left="137"/>
              <w:rPr>
                <w:rFonts w:ascii="宋体" w:hAnsi="宋体" w:eastAsia="宋体" w:cs="宋体"/>
                <w:sz w:val="20"/>
                <w:szCs w:val="20"/>
              </w:rPr>
            </w:pPr>
            <w:r>
              <w:rPr>
                <w:rFonts w:ascii="宋体" w:hAnsi="宋体" w:eastAsia="宋体" w:cs="宋体"/>
                <w:spacing w:val="4"/>
                <w:sz w:val="20"/>
                <w:szCs w:val="20"/>
              </w:rPr>
              <w:t>一级</w:t>
            </w:r>
          </w:p>
        </w:tc>
        <w:tc>
          <w:tcPr>
            <w:tcW w:w="677" w:type="dxa"/>
            <w:vAlign w:val="top"/>
          </w:tcPr>
          <w:p w14:paraId="7664DBFA">
            <w:pPr>
              <w:spacing w:before="53" w:line="242" w:lineRule="auto"/>
              <w:ind w:left="137"/>
              <w:rPr>
                <w:rFonts w:ascii="宋体" w:hAnsi="宋体" w:eastAsia="宋体" w:cs="宋体"/>
                <w:sz w:val="20"/>
                <w:szCs w:val="20"/>
              </w:rPr>
            </w:pPr>
            <w:r>
              <w:rPr>
                <w:rFonts w:ascii="宋体" w:hAnsi="宋体" w:eastAsia="宋体" w:cs="宋体"/>
                <w:spacing w:val="4"/>
                <w:sz w:val="20"/>
                <w:szCs w:val="20"/>
              </w:rPr>
              <w:t>一级</w:t>
            </w:r>
          </w:p>
        </w:tc>
        <w:tc>
          <w:tcPr>
            <w:tcW w:w="677" w:type="dxa"/>
            <w:vAlign w:val="top"/>
          </w:tcPr>
          <w:p w14:paraId="076FF307">
            <w:pPr>
              <w:spacing w:before="54"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6" w:type="dxa"/>
            <w:vAlign w:val="top"/>
          </w:tcPr>
          <w:p w14:paraId="7EF775D5">
            <w:pPr>
              <w:spacing w:before="54"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7" w:type="dxa"/>
            <w:vAlign w:val="top"/>
          </w:tcPr>
          <w:p w14:paraId="4A69A1D1">
            <w:pPr>
              <w:spacing w:before="54" w:line="230" w:lineRule="auto"/>
              <w:ind w:left="137"/>
              <w:rPr>
                <w:rFonts w:ascii="宋体" w:hAnsi="宋体" w:eastAsia="宋体" w:cs="宋体"/>
                <w:sz w:val="20"/>
                <w:szCs w:val="20"/>
              </w:rPr>
            </w:pPr>
            <w:r>
              <w:rPr>
                <w:rFonts w:ascii="宋体" w:hAnsi="宋体" w:eastAsia="宋体" w:cs="宋体"/>
                <w:spacing w:val="3"/>
                <w:sz w:val="20"/>
                <w:szCs w:val="20"/>
              </w:rPr>
              <w:t>二级</w:t>
            </w:r>
          </w:p>
        </w:tc>
        <w:tc>
          <w:tcPr>
            <w:tcW w:w="677" w:type="dxa"/>
            <w:vAlign w:val="top"/>
          </w:tcPr>
          <w:p w14:paraId="4A64C992">
            <w:pPr>
              <w:spacing w:before="54"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77" w:type="dxa"/>
            <w:vAlign w:val="top"/>
          </w:tcPr>
          <w:p w14:paraId="71A6076D">
            <w:pPr>
              <w:spacing w:before="54"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84" w:type="dxa"/>
            <w:tcBorders>
              <w:right w:val="nil"/>
            </w:tcBorders>
            <w:vAlign w:val="top"/>
          </w:tcPr>
          <w:p w14:paraId="37A9E1AC">
            <w:pPr>
              <w:spacing w:before="54" w:line="230" w:lineRule="auto"/>
              <w:ind w:left="138"/>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r>
      <w:tr w14:paraId="562E9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0" w:type="dxa"/>
            <w:tcBorders>
              <w:left w:val="nil"/>
              <w:right w:val="nil"/>
            </w:tcBorders>
            <w:vAlign w:val="top"/>
          </w:tcPr>
          <w:p w14:paraId="3828E3A5">
            <w:pPr>
              <w:rPr>
                <w:rFonts w:ascii="Arial"/>
                <w:sz w:val="21"/>
              </w:rPr>
            </w:pPr>
          </w:p>
        </w:tc>
        <w:tc>
          <w:tcPr>
            <w:tcW w:w="1790" w:type="dxa"/>
            <w:tcBorders>
              <w:left w:val="nil"/>
            </w:tcBorders>
            <w:vAlign w:val="top"/>
          </w:tcPr>
          <w:p w14:paraId="44252BA9">
            <w:pPr>
              <w:spacing w:before="54" w:line="228" w:lineRule="auto"/>
              <w:ind w:left="270"/>
              <w:rPr>
                <w:rFonts w:ascii="宋体" w:hAnsi="宋体" w:eastAsia="宋体" w:cs="宋体"/>
                <w:sz w:val="20"/>
                <w:szCs w:val="20"/>
              </w:rPr>
            </w:pPr>
            <w:r>
              <w:rPr>
                <w:rFonts w:ascii="宋体" w:hAnsi="宋体" w:eastAsia="宋体" w:cs="宋体"/>
                <w:spacing w:val="7"/>
                <w:sz w:val="20"/>
                <w:szCs w:val="20"/>
              </w:rPr>
              <w:t>较敏</w:t>
            </w:r>
            <w:r>
              <w:rPr>
                <w:rFonts w:ascii="宋体" w:hAnsi="宋体" w:eastAsia="宋体" w:cs="宋体"/>
                <w:spacing w:val="6"/>
                <w:sz w:val="20"/>
                <w:szCs w:val="20"/>
              </w:rPr>
              <w:t>感</w:t>
            </w:r>
          </w:p>
        </w:tc>
        <w:tc>
          <w:tcPr>
            <w:tcW w:w="677" w:type="dxa"/>
            <w:vAlign w:val="top"/>
          </w:tcPr>
          <w:p w14:paraId="0BA7AC2A">
            <w:pPr>
              <w:spacing w:before="54" w:line="241" w:lineRule="auto"/>
              <w:ind w:left="118"/>
              <w:rPr>
                <w:rFonts w:ascii="宋体" w:hAnsi="宋体" w:eastAsia="宋体" w:cs="宋体"/>
                <w:sz w:val="20"/>
                <w:szCs w:val="20"/>
              </w:rPr>
            </w:pPr>
            <w:r>
              <w:rPr>
                <w:rFonts w:ascii="宋体" w:hAnsi="宋体" w:eastAsia="宋体" w:cs="宋体"/>
                <w:spacing w:val="4"/>
                <w:sz w:val="20"/>
                <w:szCs w:val="20"/>
              </w:rPr>
              <w:t>一级</w:t>
            </w:r>
          </w:p>
        </w:tc>
        <w:tc>
          <w:tcPr>
            <w:tcW w:w="677" w:type="dxa"/>
            <w:vAlign w:val="top"/>
          </w:tcPr>
          <w:p w14:paraId="32942C9E">
            <w:pPr>
              <w:spacing w:before="54" w:line="241" w:lineRule="auto"/>
              <w:ind w:left="137"/>
              <w:rPr>
                <w:rFonts w:ascii="宋体" w:hAnsi="宋体" w:eastAsia="宋体" w:cs="宋体"/>
                <w:sz w:val="20"/>
                <w:szCs w:val="20"/>
              </w:rPr>
            </w:pPr>
            <w:r>
              <w:rPr>
                <w:rFonts w:ascii="宋体" w:hAnsi="宋体" w:eastAsia="宋体" w:cs="宋体"/>
                <w:spacing w:val="4"/>
                <w:sz w:val="20"/>
                <w:szCs w:val="20"/>
              </w:rPr>
              <w:t>一级</w:t>
            </w:r>
          </w:p>
        </w:tc>
        <w:tc>
          <w:tcPr>
            <w:tcW w:w="677" w:type="dxa"/>
            <w:vAlign w:val="top"/>
          </w:tcPr>
          <w:p w14:paraId="311C5A23">
            <w:pPr>
              <w:spacing w:before="54"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7" w:type="dxa"/>
            <w:vAlign w:val="top"/>
          </w:tcPr>
          <w:p w14:paraId="409C7E27">
            <w:pPr>
              <w:spacing w:before="54"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6" w:type="dxa"/>
            <w:vAlign w:val="top"/>
          </w:tcPr>
          <w:p w14:paraId="1D279494">
            <w:pPr>
              <w:spacing w:before="54"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7" w:type="dxa"/>
            <w:vAlign w:val="top"/>
          </w:tcPr>
          <w:p w14:paraId="57A542D5">
            <w:pPr>
              <w:spacing w:before="54"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77" w:type="dxa"/>
            <w:vAlign w:val="top"/>
          </w:tcPr>
          <w:p w14:paraId="43CD758D">
            <w:pPr>
              <w:spacing w:before="54"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77" w:type="dxa"/>
            <w:vAlign w:val="top"/>
          </w:tcPr>
          <w:p w14:paraId="7D8A0706">
            <w:pPr>
              <w:spacing w:before="54"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84" w:type="dxa"/>
            <w:tcBorders>
              <w:right w:val="nil"/>
            </w:tcBorders>
            <w:vAlign w:val="top"/>
          </w:tcPr>
          <w:p w14:paraId="0FC7A714">
            <w:pPr>
              <w:spacing w:before="178" w:line="137" w:lineRule="exact"/>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14:paraId="7DBD1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0" w:type="dxa"/>
            <w:tcBorders>
              <w:left w:val="nil"/>
              <w:right w:val="nil"/>
            </w:tcBorders>
            <w:vAlign w:val="top"/>
          </w:tcPr>
          <w:p w14:paraId="6C2649A7">
            <w:pPr>
              <w:rPr>
                <w:rFonts w:ascii="Arial"/>
                <w:sz w:val="21"/>
              </w:rPr>
            </w:pPr>
          </w:p>
        </w:tc>
        <w:tc>
          <w:tcPr>
            <w:tcW w:w="1790" w:type="dxa"/>
            <w:tcBorders>
              <w:left w:val="nil"/>
            </w:tcBorders>
            <w:vAlign w:val="top"/>
          </w:tcPr>
          <w:p w14:paraId="1A030B81">
            <w:pPr>
              <w:spacing w:before="55" w:line="228" w:lineRule="auto"/>
              <w:ind w:left="274"/>
              <w:rPr>
                <w:rFonts w:ascii="宋体" w:hAnsi="宋体" w:eastAsia="宋体" w:cs="宋体"/>
                <w:sz w:val="20"/>
                <w:szCs w:val="20"/>
              </w:rPr>
            </w:pPr>
            <w:r>
              <w:rPr>
                <w:rFonts w:ascii="宋体" w:hAnsi="宋体" w:eastAsia="宋体" w:cs="宋体"/>
                <w:spacing w:val="6"/>
                <w:sz w:val="20"/>
                <w:szCs w:val="20"/>
              </w:rPr>
              <w:t>不敏</w:t>
            </w:r>
            <w:r>
              <w:rPr>
                <w:rFonts w:ascii="宋体" w:hAnsi="宋体" w:eastAsia="宋体" w:cs="宋体"/>
                <w:spacing w:val="5"/>
                <w:sz w:val="20"/>
                <w:szCs w:val="20"/>
              </w:rPr>
              <w:t>感</w:t>
            </w:r>
          </w:p>
        </w:tc>
        <w:tc>
          <w:tcPr>
            <w:tcW w:w="677" w:type="dxa"/>
            <w:vAlign w:val="top"/>
          </w:tcPr>
          <w:p w14:paraId="4F853999">
            <w:pPr>
              <w:spacing w:before="55" w:line="266" w:lineRule="exact"/>
              <w:ind w:left="118"/>
              <w:rPr>
                <w:rFonts w:ascii="宋体" w:hAnsi="宋体" w:eastAsia="宋体" w:cs="宋体"/>
                <w:sz w:val="20"/>
                <w:szCs w:val="20"/>
              </w:rPr>
            </w:pPr>
            <w:r>
              <w:rPr>
                <w:rFonts w:ascii="宋体" w:hAnsi="宋体" w:eastAsia="宋体" w:cs="宋体"/>
                <w:spacing w:val="4"/>
                <w:position w:val="-1"/>
                <w:sz w:val="20"/>
                <w:szCs w:val="20"/>
              </w:rPr>
              <w:t>一级</w:t>
            </w:r>
          </w:p>
        </w:tc>
        <w:tc>
          <w:tcPr>
            <w:tcW w:w="677" w:type="dxa"/>
            <w:vAlign w:val="top"/>
          </w:tcPr>
          <w:p w14:paraId="3994E653">
            <w:pPr>
              <w:spacing w:before="55" w:line="230" w:lineRule="auto"/>
              <w:ind w:left="137"/>
              <w:rPr>
                <w:rFonts w:ascii="宋体" w:hAnsi="宋体" w:eastAsia="宋体" w:cs="宋体"/>
                <w:sz w:val="20"/>
                <w:szCs w:val="20"/>
              </w:rPr>
            </w:pPr>
            <w:r>
              <w:rPr>
                <w:rFonts w:ascii="宋体" w:hAnsi="宋体" w:eastAsia="宋体" w:cs="宋体"/>
                <w:spacing w:val="3"/>
                <w:sz w:val="20"/>
                <w:szCs w:val="20"/>
              </w:rPr>
              <w:t>二级</w:t>
            </w:r>
          </w:p>
        </w:tc>
        <w:tc>
          <w:tcPr>
            <w:tcW w:w="677" w:type="dxa"/>
            <w:vAlign w:val="top"/>
          </w:tcPr>
          <w:p w14:paraId="7CA981DF">
            <w:pPr>
              <w:spacing w:before="55"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7" w:type="dxa"/>
            <w:vAlign w:val="top"/>
          </w:tcPr>
          <w:p w14:paraId="066D256F">
            <w:pPr>
              <w:spacing w:before="55" w:line="230" w:lineRule="auto"/>
              <w:ind w:left="117"/>
              <w:rPr>
                <w:rFonts w:ascii="宋体" w:hAnsi="宋体" w:eastAsia="宋体" w:cs="宋体"/>
                <w:sz w:val="20"/>
                <w:szCs w:val="20"/>
              </w:rPr>
            </w:pPr>
            <w:r>
              <w:rPr>
                <w:rFonts w:ascii="宋体" w:hAnsi="宋体" w:eastAsia="宋体" w:cs="宋体"/>
                <w:spacing w:val="3"/>
                <w:sz w:val="20"/>
                <w:szCs w:val="20"/>
              </w:rPr>
              <w:t>二级</w:t>
            </w:r>
          </w:p>
        </w:tc>
        <w:tc>
          <w:tcPr>
            <w:tcW w:w="676" w:type="dxa"/>
            <w:vAlign w:val="top"/>
          </w:tcPr>
          <w:p w14:paraId="7F80B405">
            <w:pPr>
              <w:spacing w:before="55" w:line="230" w:lineRule="auto"/>
              <w:ind w:left="133"/>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77" w:type="dxa"/>
            <w:vAlign w:val="top"/>
          </w:tcPr>
          <w:p w14:paraId="558CA346">
            <w:pPr>
              <w:spacing w:before="55"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77" w:type="dxa"/>
            <w:vAlign w:val="top"/>
          </w:tcPr>
          <w:p w14:paraId="0F357488">
            <w:pPr>
              <w:spacing w:before="55" w:line="230" w:lineRule="auto"/>
              <w:ind w:left="114"/>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4"/>
                <w:sz w:val="20"/>
                <w:szCs w:val="20"/>
              </w:rPr>
              <w:t>级</w:t>
            </w:r>
          </w:p>
        </w:tc>
        <w:tc>
          <w:tcPr>
            <w:tcW w:w="677" w:type="dxa"/>
            <w:vAlign w:val="top"/>
          </w:tcPr>
          <w:p w14:paraId="30EAA401">
            <w:pPr>
              <w:spacing w:before="179" w:line="136" w:lineRule="exact"/>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684" w:type="dxa"/>
            <w:tcBorders>
              <w:right w:val="nil"/>
            </w:tcBorders>
            <w:vAlign w:val="top"/>
          </w:tcPr>
          <w:p w14:paraId="3B03B977">
            <w:pPr>
              <w:spacing w:before="179" w:line="136" w:lineRule="exact"/>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bl>
    <w:p w14:paraId="2EBC416B">
      <w:pPr>
        <w:spacing w:before="53" w:line="226" w:lineRule="auto"/>
        <w:ind w:left="123"/>
        <w:rPr>
          <w:rFonts w:ascii="宋体" w:hAnsi="宋体" w:eastAsia="宋体" w:cs="宋体"/>
          <w:sz w:val="20"/>
          <w:szCs w:val="20"/>
        </w:rPr>
      </w:pPr>
      <w:r>
        <w:rPr>
          <w:rFonts w:ascii="宋体" w:hAnsi="宋体" w:eastAsia="宋体" w:cs="宋体"/>
          <w:spacing w:val="16"/>
          <w:sz w:val="20"/>
          <w:szCs w:val="20"/>
        </w:rPr>
        <w:t>注</w:t>
      </w:r>
      <w:r>
        <w:rPr>
          <w:rFonts w:ascii="宋体" w:hAnsi="宋体" w:eastAsia="宋体" w:cs="宋体"/>
          <w:spacing w:val="14"/>
          <w:sz w:val="20"/>
          <w:szCs w:val="20"/>
        </w:rPr>
        <w:t>：</w:t>
      </w:r>
      <w:r>
        <w:rPr>
          <w:rFonts w:ascii="Times New Roman" w:hAnsi="Times New Roman" w:eastAsia="Times New Roman" w:cs="Times New Roman"/>
          <w:spacing w:val="8"/>
          <w:sz w:val="20"/>
          <w:szCs w:val="20"/>
        </w:rPr>
        <w:t>“-”</w:t>
      </w:r>
      <w:r>
        <w:rPr>
          <w:rFonts w:ascii="宋体" w:hAnsi="宋体" w:eastAsia="宋体" w:cs="宋体"/>
          <w:spacing w:val="8"/>
          <w:sz w:val="20"/>
          <w:szCs w:val="20"/>
        </w:rPr>
        <w:t>表示可不展开土壤环境影响评价工作</w:t>
      </w:r>
    </w:p>
    <w:p w14:paraId="5FF7BE42">
      <w:pPr>
        <w:spacing w:before="14" w:line="29" w:lineRule="exact"/>
        <w:ind w:firstLine="7"/>
        <w:textAlignment w:val="center"/>
      </w:pPr>
      <w:r>
        <w:pict>
          <v:shape id="_x0000_s1289" o:spid="_x0000_s1289" style="height:1.45pt;width:426.15pt;" filled="f" stroked="t" coordsize="8522,29" path="m0,14l8522,14e">
            <v:fill on="f" focussize="0,0"/>
            <v:stroke weight="1.44pt" color="#000000" miterlimit="2" joinstyle="bevel"/>
            <v:imagedata o:title=""/>
            <o:lock v:ext="edit"/>
            <w10:wrap type="none"/>
            <w10:anchorlock/>
          </v:shape>
        </w:pict>
      </w:r>
    </w:p>
    <w:p w14:paraId="2DF28C9E">
      <w:pPr>
        <w:sectPr>
          <w:headerReference r:id="rId248" w:type="default"/>
          <w:footerReference r:id="rId249" w:type="default"/>
          <w:pgSz w:w="11906" w:h="16839"/>
          <w:pgMar w:top="1132" w:right="1691" w:bottom="1182" w:left="1684" w:header="878" w:footer="1022" w:gutter="0"/>
          <w:cols w:space="720" w:num="1"/>
        </w:sectPr>
      </w:pPr>
    </w:p>
    <w:p w14:paraId="2C2E9ACF">
      <w:pPr>
        <w:spacing w:line="402" w:lineRule="auto"/>
        <w:rPr>
          <w:rFonts w:ascii="Arial"/>
          <w:sz w:val="21"/>
        </w:rPr>
      </w:pPr>
      <w:r>
        <w:pict>
          <v:shape id="_x0000_s1290" o:spid="_x0000_s1290" style="position:absolute;left:0pt;margin-left:90pt;margin-top:57.35pt;height:0.75pt;width:415.3pt;mso-position-horizontal-relative:page;mso-position-vertical-relative:page;z-index:251943936;mso-width-relative:page;mso-height-relative:page;" fillcolor="#000000" filled="t" stroked="f" coordsize="8305,15" o:allowincell="f" path="m0,0l8305,0,8305,14,0,14,0,0xe">
            <v:path/>
            <v:fill on="t" focussize="0,0"/>
            <v:stroke on="f"/>
            <v:imagedata o:title=""/>
            <o:lock v:ext="edit"/>
          </v:shape>
        </w:pict>
      </w:r>
    </w:p>
    <w:p w14:paraId="40A32460">
      <w:pPr>
        <w:spacing w:before="74" w:line="227" w:lineRule="auto"/>
        <w:ind w:left="599"/>
        <w:rPr>
          <w:rFonts w:ascii="宋体" w:hAnsi="宋体" w:eastAsia="宋体" w:cs="宋体"/>
          <w:sz w:val="23"/>
          <w:szCs w:val="23"/>
        </w:rPr>
      </w:pPr>
      <w:r>
        <w:rPr>
          <w:rFonts w:ascii="宋体" w:hAnsi="宋体" w:eastAsia="宋体" w:cs="宋体"/>
          <w:spacing w:val="8"/>
          <w:sz w:val="23"/>
          <w:szCs w:val="23"/>
        </w:rPr>
        <w:t>污</w:t>
      </w:r>
      <w:r>
        <w:rPr>
          <w:rFonts w:ascii="宋体" w:hAnsi="宋体" w:eastAsia="宋体" w:cs="宋体"/>
          <w:spacing w:val="5"/>
          <w:sz w:val="23"/>
          <w:szCs w:val="23"/>
        </w:rPr>
        <w:t>染</w:t>
      </w:r>
      <w:r>
        <w:rPr>
          <w:rFonts w:ascii="宋体" w:hAnsi="宋体" w:eastAsia="宋体" w:cs="宋体"/>
          <w:spacing w:val="4"/>
          <w:sz w:val="23"/>
          <w:szCs w:val="23"/>
        </w:rPr>
        <w:t xml:space="preserve">影响型敏感程度分级见表 </w:t>
      </w:r>
      <w:r>
        <w:rPr>
          <w:rFonts w:ascii="Times New Roman" w:hAnsi="Times New Roman" w:eastAsia="Times New Roman" w:cs="Times New Roman"/>
          <w:spacing w:val="4"/>
          <w:sz w:val="23"/>
          <w:szCs w:val="23"/>
        </w:rPr>
        <w:t>5-23</w:t>
      </w:r>
      <w:r>
        <w:rPr>
          <w:rFonts w:ascii="宋体" w:hAnsi="宋体" w:eastAsia="宋体" w:cs="宋体"/>
          <w:spacing w:val="4"/>
          <w:sz w:val="23"/>
          <w:szCs w:val="23"/>
        </w:rPr>
        <w:t>。</w:t>
      </w:r>
    </w:p>
    <w:p w14:paraId="1A358BB4">
      <w:pPr>
        <w:spacing w:line="264" w:lineRule="auto"/>
        <w:rPr>
          <w:rFonts w:ascii="Arial"/>
          <w:sz w:val="21"/>
        </w:rPr>
      </w:pPr>
    </w:p>
    <w:p w14:paraId="1D3B7686">
      <w:pPr>
        <w:spacing w:before="75" w:line="227" w:lineRule="auto"/>
        <w:ind w:left="24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4"/>
          <w:sz w:val="23"/>
          <w:szCs w:val="23"/>
        </w:rPr>
        <w:t>-23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污染影响型敏感程度分级表</w:t>
      </w:r>
    </w:p>
    <w:p w14:paraId="192443AB">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2"/>
        <w:gridCol w:w="7310"/>
      </w:tblGrid>
      <w:tr w14:paraId="0A729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12" w:type="dxa"/>
            <w:tcBorders>
              <w:left w:val="nil"/>
            </w:tcBorders>
            <w:vAlign w:val="top"/>
          </w:tcPr>
          <w:p w14:paraId="6E169605">
            <w:pPr>
              <w:spacing w:before="76" w:line="228" w:lineRule="auto"/>
              <w:ind w:left="19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敏</w:t>
            </w:r>
            <w:r>
              <w:rPr>
                <w:rFonts w:ascii="宋体" w:hAnsi="宋体" w:eastAsia="宋体" w:cs="宋体"/>
                <w:spacing w:val="8"/>
                <w:sz w:val="20"/>
                <w:szCs w:val="20"/>
                <w14:textOutline w14:w="3795" w14:cap="sq" w14:cmpd="sng">
                  <w14:solidFill>
                    <w14:srgbClr w14:val="000000"/>
                  </w14:solidFill>
                  <w14:prstDash w14:val="solid"/>
                  <w14:bevel/>
                </w14:textOutline>
              </w:rPr>
              <w:t>感程度</w:t>
            </w:r>
          </w:p>
        </w:tc>
        <w:tc>
          <w:tcPr>
            <w:tcW w:w="7310" w:type="dxa"/>
            <w:tcBorders>
              <w:right w:val="nil"/>
            </w:tcBorders>
            <w:vAlign w:val="top"/>
          </w:tcPr>
          <w:p w14:paraId="678C320B">
            <w:pPr>
              <w:spacing w:before="76" w:line="227" w:lineRule="auto"/>
              <w:ind w:left="324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判</w:t>
            </w:r>
            <w:r>
              <w:rPr>
                <w:rFonts w:ascii="宋体" w:hAnsi="宋体" w:eastAsia="宋体" w:cs="宋体"/>
                <w:spacing w:val="8"/>
                <w:sz w:val="20"/>
                <w:szCs w:val="20"/>
                <w14:textOutline w14:w="3795" w14:cap="sq" w14:cmpd="sng">
                  <w14:solidFill>
                    <w14:srgbClr w14:val="000000"/>
                  </w14:solidFill>
                  <w14:prstDash w14:val="solid"/>
                  <w14:bevel/>
                </w14:textOutline>
              </w:rPr>
              <w:t>别依据</w:t>
            </w:r>
          </w:p>
        </w:tc>
      </w:tr>
      <w:tr w14:paraId="2AF5A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12" w:type="dxa"/>
            <w:tcBorders>
              <w:left w:val="nil"/>
            </w:tcBorders>
            <w:vAlign w:val="top"/>
          </w:tcPr>
          <w:p w14:paraId="13C09B0C">
            <w:pPr>
              <w:spacing w:before="208" w:line="228" w:lineRule="auto"/>
              <w:ind w:left="404"/>
              <w:rPr>
                <w:rFonts w:ascii="宋体" w:hAnsi="宋体" w:eastAsia="宋体" w:cs="宋体"/>
                <w:sz w:val="20"/>
                <w:szCs w:val="20"/>
              </w:rPr>
            </w:pPr>
            <w:r>
              <w:rPr>
                <w:rFonts w:ascii="宋体" w:hAnsi="宋体" w:eastAsia="宋体" w:cs="宋体"/>
                <w:spacing w:val="4"/>
                <w:sz w:val="20"/>
                <w:szCs w:val="20"/>
              </w:rPr>
              <w:t>敏感</w:t>
            </w:r>
          </w:p>
        </w:tc>
        <w:tc>
          <w:tcPr>
            <w:tcW w:w="7310" w:type="dxa"/>
            <w:tcBorders>
              <w:right w:val="nil"/>
            </w:tcBorders>
            <w:vAlign w:val="top"/>
          </w:tcPr>
          <w:p w14:paraId="0C4C6E5A">
            <w:pPr>
              <w:spacing w:before="52" w:line="258" w:lineRule="auto"/>
              <w:ind w:left="112" w:right="36" w:firstLine="3"/>
              <w:rPr>
                <w:rFonts w:ascii="宋体" w:hAnsi="宋体" w:eastAsia="宋体" w:cs="宋体"/>
                <w:sz w:val="20"/>
                <w:szCs w:val="20"/>
              </w:rPr>
            </w:pPr>
            <w:r>
              <w:rPr>
                <w:rFonts w:ascii="宋体" w:hAnsi="宋体" w:eastAsia="宋体" w:cs="宋体"/>
                <w:spacing w:val="8"/>
                <w:sz w:val="20"/>
                <w:szCs w:val="20"/>
              </w:rPr>
              <w:t>建设项</w:t>
            </w:r>
            <w:r>
              <w:rPr>
                <w:rFonts w:ascii="宋体" w:hAnsi="宋体" w:eastAsia="宋体" w:cs="宋体"/>
                <w:spacing w:val="6"/>
                <w:sz w:val="20"/>
                <w:szCs w:val="20"/>
              </w:rPr>
              <w:t>目</w:t>
            </w:r>
            <w:r>
              <w:rPr>
                <w:rFonts w:ascii="宋体" w:hAnsi="宋体" w:eastAsia="宋体" w:cs="宋体"/>
                <w:spacing w:val="4"/>
                <w:sz w:val="20"/>
                <w:szCs w:val="20"/>
              </w:rPr>
              <w:t>周边存在耕地、园地、牧草地、饮用水水源地或居民区、学校、医院、</w:t>
            </w:r>
            <w:r>
              <w:rPr>
                <w:rFonts w:ascii="宋体" w:hAnsi="宋体" w:eastAsia="宋体" w:cs="宋体"/>
                <w:sz w:val="20"/>
                <w:szCs w:val="20"/>
              </w:rPr>
              <w:t xml:space="preserve"> </w:t>
            </w:r>
            <w:r>
              <w:rPr>
                <w:rFonts w:ascii="宋体" w:hAnsi="宋体" w:eastAsia="宋体" w:cs="宋体"/>
                <w:spacing w:val="9"/>
                <w:sz w:val="20"/>
                <w:szCs w:val="20"/>
              </w:rPr>
              <w:t>疗养院、养老院等土壤环境敏感目标</w:t>
            </w:r>
            <w:r>
              <w:rPr>
                <w:rFonts w:ascii="宋体" w:hAnsi="宋体" w:eastAsia="宋体" w:cs="宋体"/>
                <w:spacing w:val="6"/>
                <w:sz w:val="20"/>
                <w:szCs w:val="20"/>
              </w:rPr>
              <w:t>。</w:t>
            </w:r>
          </w:p>
        </w:tc>
      </w:tr>
      <w:tr w14:paraId="337CD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12" w:type="dxa"/>
            <w:tcBorders>
              <w:left w:val="nil"/>
            </w:tcBorders>
            <w:vAlign w:val="top"/>
          </w:tcPr>
          <w:p w14:paraId="2BC61A87">
            <w:pPr>
              <w:spacing w:before="54" w:line="228" w:lineRule="auto"/>
              <w:ind w:left="298"/>
              <w:rPr>
                <w:rFonts w:ascii="宋体" w:hAnsi="宋体" w:eastAsia="宋体" w:cs="宋体"/>
                <w:sz w:val="20"/>
                <w:szCs w:val="20"/>
              </w:rPr>
            </w:pPr>
            <w:r>
              <w:rPr>
                <w:rFonts w:ascii="宋体" w:hAnsi="宋体" w:eastAsia="宋体" w:cs="宋体"/>
                <w:spacing w:val="7"/>
                <w:sz w:val="20"/>
                <w:szCs w:val="20"/>
              </w:rPr>
              <w:t>较敏</w:t>
            </w:r>
            <w:r>
              <w:rPr>
                <w:rFonts w:ascii="宋体" w:hAnsi="宋体" w:eastAsia="宋体" w:cs="宋体"/>
                <w:spacing w:val="6"/>
                <w:sz w:val="20"/>
                <w:szCs w:val="20"/>
              </w:rPr>
              <w:t>感</w:t>
            </w:r>
          </w:p>
        </w:tc>
        <w:tc>
          <w:tcPr>
            <w:tcW w:w="7310" w:type="dxa"/>
            <w:tcBorders>
              <w:right w:val="nil"/>
            </w:tcBorders>
            <w:vAlign w:val="top"/>
          </w:tcPr>
          <w:p w14:paraId="5D35B6BF">
            <w:pPr>
              <w:spacing w:before="54" w:line="228" w:lineRule="auto"/>
              <w:ind w:left="116"/>
              <w:rPr>
                <w:rFonts w:ascii="宋体" w:hAnsi="宋体" w:eastAsia="宋体" w:cs="宋体"/>
                <w:sz w:val="20"/>
                <w:szCs w:val="20"/>
              </w:rPr>
            </w:pPr>
            <w:r>
              <w:rPr>
                <w:rFonts w:ascii="宋体" w:hAnsi="宋体" w:eastAsia="宋体" w:cs="宋体"/>
                <w:spacing w:val="16"/>
                <w:sz w:val="20"/>
                <w:szCs w:val="20"/>
              </w:rPr>
              <w:t>建</w:t>
            </w:r>
            <w:r>
              <w:rPr>
                <w:rFonts w:ascii="宋体" w:hAnsi="宋体" w:eastAsia="宋体" w:cs="宋体"/>
                <w:spacing w:val="9"/>
                <w:sz w:val="20"/>
                <w:szCs w:val="20"/>
              </w:rPr>
              <w:t>设项目周边存在其他土壤环境敏感目标的</w:t>
            </w:r>
          </w:p>
        </w:tc>
      </w:tr>
      <w:tr w14:paraId="0C7C4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12" w:type="dxa"/>
            <w:tcBorders>
              <w:left w:val="nil"/>
            </w:tcBorders>
            <w:vAlign w:val="top"/>
          </w:tcPr>
          <w:p w14:paraId="42B5D029">
            <w:pPr>
              <w:spacing w:before="54" w:line="228" w:lineRule="auto"/>
              <w:ind w:left="301"/>
              <w:rPr>
                <w:rFonts w:ascii="宋体" w:hAnsi="宋体" w:eastAsia="宋体" w:cs="宋体"/>
                <w:sz w:val="20"/>
                <w:szCs w:val="20"/>
              </w:rPr>
            </w:pPr>
            <w:r>
              <w:rPr>
                <w:rFonts w:ascii="宋体" w:hAnsi="宋体" w:eastAsia="宋体" w:cs="宋体"/>
                <w:spacing w:val="6"/>
                <w:sz w:val="20"/>
                <w:szCs w:val="20"/>
              </w:rPr>
              <w:t>不敏</w:t>
            </w:r>
            <w:r>
              <w:rPr>
                <w:rFonts w:ascii="宋体" w:hAnsi="宋体" w:eastAsia="宋体" w:cs="宋体"/>
                <w:spacing w:val="5"/>
                <w:sz w:val="20"/>
                <w:szCs w:val="20"/>
              </w:rPr>
              <w:t>感</w:t>
            </w:r>
          </w:p>
        </w:tc>
        <w:tc>
          <w:tcPr>
            <w:tcW w:w="7310" w:type="dxa"/>
            <w:tcBorders>
              <w:right w:val="nil"/>
            </w:tcBorders>
            <w:vAlign w:val="top"/>
          </w:tcPr>
          <w:p w14:paraId="710DE81A">
            <w:pPr>
              <w:spacing w:before="55" w:line="228" w:lineRule="auto"/>
              <w:ind w:left="114"/>
              <w:rPr>
                <w:rFonts w:ascii="宋体" w:hAnsi="宋体" w:eastAsia="宋体" w:cs="宋体"/>
                <w:sz w:val="20"/>
                <w:szCs w:val="20"/>
              </w:rPr>
            </w:pPr>
            <w:r>
              <w:rPr>
                <w:rFonts w:ascii="宋体" w:hAnsi="宋体" w:eastAsia="宋体" w:cs="宋体"/>
                <w:spacing w:val="7"/>
                <w:sz w:val="20"/>
                <w:szCs w:val="20"/>
              </w:rPr>
              <w:t>其他情况</w:t>
            </w:r>
          </w:p>
        </w:tc>
      </w:tr>
    </w:tbl>
    <w:p w14:paraId="028555CD">
      <w:pPr>
        <w:spacing w:line="258" w:lineRule="auto"/>
        <w:rPr>
          <w:rFonts w:ascii="Arial"/>
          <w:sz w:val="21"/>
        </w:rPr>
      </w:pPr>
    </w:p>
    <w:p w14:paraId="7C360AFC">
      <w:pPr>
        <w:spacing w:before="75" w:line="381" w:lineRule="auto"/>
        <w:ind w:left="118" w:right="41" w:firstLine="481"/>
        <w:rPr>
          <w:rFonts w:ascii="宋体" w:hAnsi="宋体" w:eastAsia="宋体" w:cs="宋体"/>
          <w:sz w:val="23"/>
          <w:szCs w:val="23"/>
        </w:rPr>
      </w:pPr>
      <w:r>
        <w:rPr>
          <w:rFonts w:ascii="宋体" w:hAnsi="宋体" w:eastAsia="宋体" w:cs="宋体"/>
          <w:spacing w:val="4"/>
          <w:sz w:val="23"/>
          <w:szCs w:val="23"/>
        </w:rPr>
        <w:t xml:space="preserve">根据《环境影响评价技术导则  </w:t>
      </w:r>
      <w:r>
        <w:rPr>
          <w:rFonts w:ascii="宋体" w:hAnsi="宋体" w:eastAsia="宋体" w:cs="宋体"/>
          <w:spacing w:val="2"/>
          <w:sz w:val="23"/>
          <w:szCs w:val="23"/>
        </w:rPr>
        <w:t>土壤环境 (试行) 》  (</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964-2018</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6.2.2. 1</w:t>
      </w:r>
      <w:r>
        <w:rPr>
          <w:rFonts w:ascii="Times New Roman" w:hAnsi="Times New Roman" w:eastAsia="Times New Roman" w:cs="Times New Roman"/>
          <w:sz w:val="23"/>
          <w:szCs w:val="23"/>
        </w:rPr>
        <w:t xml:space="preserve"> </w:t>
      </w:r>
      <w:r>
        <w:rPr>
          <w:rFonts w:ascii="宋体" w:hAnsi="宋体" w:eastAsia="宋体" w:cs="宋体"/>
          <w:spacing w:val="-4"/>
          <w:sz w:val="23"/>
          <w:szCs w:val="23"/>
        </w:rPr>
        <w:t>规定：将建设项目占地规模分为大</w:t>
      </w:r>
      <w:r>
        <w:rPr>
          <w:rFonts w:ascii="宋体" w:hAnsi="宋体" w:eastAsia="宋体" w:cs="宋体"/>
          <w:spacing w:val="-2"/>
          <w:sz w:val="23"/>
          <w:szCs w:val="23"/>
        </w:rPr>
        <w:t>型(</w:t>
      </w:r>
      <w:r>
        <w:rPr>
          <w:rFonts w:ascii="Times New Roman" w:hAnsi="Times New Roman" w:eastAsia="Times New Roman" w:cs="Times New Roman"/>
          <w:spacing w:val="-2"/>
          <w:sz w:val="23"/>
          <w:szCs w:val="23"/>
        </w:rPr>
        <w:t>≥50hm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 、中型(</w:t>
      </w:r>
      <w:r>
        <w:rPr>
          <w:rFonts w:ascii="Times New Roman" w:hAnsi="Times New Roman" w:eastAsia="Times New Roman" w:cs="Times New Roman"/>
          <w:spacing w:val="-2"/>
          <w:sz w:val="23"/>
          <w:szCs w:val="23"/>
        </w:rPr>
        <w:t>5~50hm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 、小型(</w:t>
      </w:r>
      <w:r>
        <w:rPr>
          <w:rFonts w:ascii="Times New Roman" w:hAnsi="Times New Roman" w:eastAsia="Times New Roman" w:cs="Times New Roman"/>
          <w:spacing w:val="-2"/>
          <w:sz w:val="23"/>
          <w:szCs w:val="23"/>
        </w:rPr>
        <w:t>≤5hm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5"/>
          <w:sz w:val="23"/>
          <w:szCs w:val="23"/>
        </w:rPr>
        <w:t>建</w:t>
      </w:r>
      <w:r>
        <w:rPr>
          <w:rFonts w:ascii="宋体" w:hAnsi="宋体" w:eastAsia="宋体" w:cs="宋体"/>
          <w:spacing w:val="8"/>
          <w:sz w:val="23"/>
          <w:szCs w:val="23"/>
        </w:rPr>
        <w:t>设项目占地主要为永久占地。</w:t>
      </w:r>
    </w:p>
    <w:p w14:paraId="70FB5F58">
      <w:pPr>
        <w:spacing w:before="172" w:line="226" w:lineRule="auto"/>
        <w:ind w:left="598"/>
        <w:rPr>
          <w:rFonts w:ascii="宋体" w:hAnsi="宋体" w:eastAsia="宋体" w:cs="宋体"/>
          <w:sz w:val="23"/>
          <w:szCs w:val="23"/>
        </w:rPr>
      </w:pPr>
      <w:r>
        <w:rPr>
          <w:rFonts w:ascii="宋体" w:hAnsi="宋体" w:eastAsia="宋体" w:cs="宋体"/>
          <w:spacing w:val="8"/>
          <w:sz w:val="23"/>
          <w:szCs w:val="23"/>
        </w:rPr>
        <w:t>土壤环</w:t>
      </w:r>
      <w:r>
        <w:rPr>
          <w:rFonts w:ascii="宋体" w:hAnsi="宋体" w:eastAsia="宋体" w:cs="宋体"/>
          <w:spacing w:val="4"/>
          <w:sz w:val="23"/>
          <w:szCs w:val="23"/>
        </w:rPr>
        <w:t xml:space="preserve">境影响评价项目类别见表 </w:t>
      </w:r>
      <w:r>
        <w:rPr>
          <w:rFonts w:ascii="Times New Roman" w:hAnsi="Times New Roman" w:eastAsia="Times New Roman" w:cs="Times New Roman"/>
          <w:spacing w:val="4"/>
          <w:sz w:val="23"/>
          <w:szCs w:val="23"/>
        </w:rPr>
        <w:t>5-24</w:t>
      </w:r>
      <w:r>
        <w:rPr>
          <w:rFonts w:ascii="宋体" w:hAnsi="宋体" w:eastAsia="宋体" w:cs="宋体"/>
          <w:spacing w:val="4"/>
          <w:sz w:val="23"/>
          <w:szCs w:val="23"/>
        </w:rPr>
        <w:t>。</w:t>
      </w:r>
    </w:p>
    <w:p w14:paraId="01881358">
      <w:pPr>
        <w:spacing w:line="277" w:lineRule="auto"/>
        <w:rPr>
          <w:rFonts w:ascii="Arial"/>
          <w:sz w:val="21"/>
        </w:rPr>
      </w:pPr>
    </w:p>
    <w:p w14:paraId="3DFEA784">
      <w:pPr>
        <w:spacing w:before="76" w:line="226" w:lineRule="auto"/>
        <w:ind w:left="24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4"/>
          <w:sz w:val="23"/>
          <w:szCs w:val="23"/>
        </w:rPr>
        <w:t>-24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土壤环境影响评价项目类别</w:t>
      </w:r>
    </w:p>
    <w:p w14:paraId="23F32F4B">
      <w:pPr>
        <w:spacing w:line="20"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392"/>
        <w:gridCol w:w="2568"/>
        <w:gridCol w:w="2742"/>
        <w:gridCol w:w="713"/>
      </w:tblGrid>
      <w:tr w14:paraId="6C9AF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6" w:hRule="atLeast"/>
        </w:trPr>
        <w:tc>
          <w:tcPr>
            <w:tcW w:w="1107" w:type="dxa"/>
            <w:vMerge w:val="restart"/>
            <w:tcBorders>
              <w:left w:val="nil"/>
              <w:bottom w:val="nil"/>
            </w:tcBorders>
            <w:vAlign w:val="top"/>
          </w:tcPr>
          <w:p w14:paraId="35CBB2EC">
            <w:pPr>
              <w:spacing w:before="252" w:line="228" w:lineRule="auto"/>
              <w:ind w:left="14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行</w:t>
            </w:r>
            <w:r>
              <w:rPr>
                <w:rFonts w:ascii="宋体" w:hAnsi="宋体" w:eastAsia="宋体" w:cs="宋体"/>
                <w:spacing w:val="7"/>
                <w:sz w:val="20"/>
                <w:szCs w:val="20"/>
                <w14:textOutline w14:w="3795" w14:cap="sq" w14:cmpd="sng">
                  <w14:solidFill>
                    <w14:srgbClr w14:val="000000"/>
                  </w14:solidFill>
                  <w14:prstDash w14:val="solid"/>
                  <w14:bevel/>
                </w14:textOutline>
              </w:rPr>
              <w:t>业类别</w:t>
            </w:r>
          </w:p>
        </w:tc>
        <w:tc>
          <w:tcPr>
            <w:tcW w:w="7415" w:type="dxa"/>
            <w:gridSpan w:val="4"/>
            <w:tcBorders>
              <w:right w:val="nil"/>
            </w:tcBorders>
            <w:vAlign w:val="top"/>
          </w:tcPr>
          <w:p w14:paraId="3665BBF9">
            <w:pPr>
              <w:spacing w:before="84" w:line="228" w:lineRule="auto"/>
              <w:ind w:left="329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项</w:t>
            </w:r>
            <w:r>
              <w:rPr>
                <w:rFonts w:ascii="宋体" w:hAnsi="宋体" w:eastAsia="宋体" w:cs="宋体"/>
                <w:spacing w:val="7"/>
                <w:sz w:val="20"/>
                <w:szCs w:val="20"/>
                <w14:textOutline w14:w="3795" w14:cap="sq" w14:cmpd="sng">
                  <w14:solidFill>
                    <w14:srgbClr w14:val="000000"/>
                  </w14:solidFill>
                  <w14:prstDash w14:val="solid"/>
                  <w14:bevel/>
                </w14:textOutline>
              </w:rPr>
              <w:t>目类别</w:t>
            </w:r>
          </w:p>
        </w:tc>
      </w:tr>
      <w:tr w14:paraId="6260E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107" w:type="dxa"/>
            <w:vMerge w:val="continue"/>
            <w:tcBorders>
              <w:top w:val="nil"/>
              <w:left w:val="nil"/>
            </w:tcBorders>
            <w:vAlign w:val="top"/>
          </w:tcPr>
          <w:p w14:paraId="17DC1A33">
            <w:pPr>
              <w:rPr>
                <w:rFonts w:ascii="Arial"/>
                <w:sz w:val="21"/>
              </w:rPr>
            </w:pPr>
          </w:p>
        </w:tc>
        <w:tc>
          <w:tcPr>
            <w:tcW w:w="1392" w:type="dxa"/>
            <w:vAlign w:val="top"/>
          </w:tcPr>
          <w:p w14:paraId="67AA243A">
            <w:pPr>
              <w:spacing w:before="61" w:line="228" w:lineRule="auto"/>
              <w:ind w:left="550"/>
              <w:rPr>
                <w:rFonts w:ascii="宋体" w:hAnsi="宋体" w:eastAsia="宋体" w:cs="宋体"/>
                <w:sz w:val="20"/>
                <w:szCs w:val="20"/>
              </w:rPr>
            </w:pPr>
            <w:r>
              <w:rPr>
                <w:rFonts w:ascii="Times New Roman" w:hAnsi="Times New Roman" w:eastAsia="Times New Roman" w:cs="Times New Roman"/>
                <w:b/>
                <w:bCs/>
                <w:spacing w:val="4"/>
                <w:sz w:val="20"/>
                <w:szCs w:val="20"/>
              </w:rPr>
              <w:t>Ⅰ</w:t>
            </w:r>
            <w:r>
              <w:rPr>
                <w:rFonts w:ascii="宋体" w:hAnsi="宋体" w:eastAsia="宋体" w:cs="宋体"/>
                <w:spacing w:val="4"/>
                <w:sz w:val="20"/>
                <w:szCs w:val="20"/>
                <w14:textOutline w14:w="3795" w14:cap="sq" w14:cmpd="sng">
                  <w14:solidFill>
                    <w14:srgbClr w14:val="000000"/>
                  </w14:solidFill>
                  <w14:prstDash w14:val="solid"/>
                  <w14:bevel/>
                </w14:textOutline>
              </w:rPr>
              <w:t>类</w:t>
            </w:r>
          </w:p>
        </w:tc>
        <w:tc>
          <w:tcPr>
            <w:tcW w:w="2568" w:type="dxa"/>
            <w:vAlign w:val="top"/>
          </w:tcPr>
          <w:p w14:paraId="168B0CF4">
            <w:pPr>
              <w:spacing w:before="61" w:line="228" w:lineRule="auto"/>
              <w:ind w:left="1100"/>
              <w:rPr>
                <w:rFonts w:ascii="宋体" w:hAnsi="宋体" w:eastAsia="宋体" w:cs="宋体"/>
                <w:sz w:val="20"/>
                <w:szCs w:val="20"/>
              </w:rPr>
            </w:pPr>
            <w:r>
              <w:rPr>
                <w:rFonts w:ascii="Times New Roman" w:hAnsi="Times New Roman" w:eastAsia="Times New Roman" w:cs="Times New Roman"/>
                <w:b/>
                <w:bCs/>
                <w:spacing w:val="6"/>
                <w:sz w:val="20"/>
                <w:szCs w:val="20"/>
              </w:rPr>
              <w:t>Ⅱ</w:t>
            </w:r>
            <w:r>
              <w:rPr>
                <w:rFonts w:ascii="宋体" w:hAnsi="宋体" w:eastAsia="宋体" w:cs="宋体"/>
                <w:spacing w:val="6"/>
                <w:sz w:val="20"/>
                <w:szCs w:val="20"/>
                <w14:textOutline w14:w="3795" w14:cap="sq" w14:cmpd="sng">
                  <w14:solidFill>
                    <w14:srgbClr w14:val="000000"/>
                  </w14:solidFill>
                  <w14:prstDash w14:val="solid"/>
                  <w14:bevel/>
                </w14:textOutline>
              </w:rPr>
              <w:t>类</w:t>
            </w:r>
          </w:p>
        </w:tc>
        <w:tc>
          <w:tcPr>
            <w:tcW w:w="2742" w:type="dxa"/>
            <w:vAlign w:val="top"/>
          </w:tcPr>
          <w:p w14:paraId="6CEBE3A1">
            <w:pPr>
              <w:spacing w:before="61" w:line="228" w:lineRule="auto"/>
              <w:ind w:left="1148"/>
              <w:rPr>
                <w:rFonts w:ascii="宋体" w:hAnsi="宋体" w:eastAsia="宋体" w:cs="宋体"/>
                <w:sz w:val="20"/>
                <w:szCs w:val="20"/>
              </w:rPr>
            </w:pPr>
            <w:r>
              <w:rPr>
                <w:rFonts w:ascii="Times New Roman" w:hAnsi="Times New Roman" w:eastAsia="Times New Roman" w:cs="Times New Roman"/>
                <w:b/>
                <w:bCs/>
                <w:spacing w:val="7"/>
                <w:sz w:val="20"/>
                <w:szCs w:val="20"/>
              </w:rPr>
              <w:t>Ⅲ</w:t>
            </w:r>
            <w:r>
              <w:rPr>
                <w:rFonts w:ascii="宋体" w:hAnsi="宋体" w:eastAsia="宋体" w:cs="宋体"/>
                <w:spacing w:val="7"/>
                <w:sz w:val="20"/>
                <w:szCs w:val="20"/>
                <w14:textOutline w14:w="3795" w14:cap="sq" w14:cmpd="sng">
                  <w14:solidFill>
                    <w14:srgbClr w14:val="000000"/>
                  </w14:solidFill>
                  <w14:prstDash w14:val="solid"/>
                  <w14:bevel/>
                </w14:textOutline>
              </w:rPr>
              <w:t>类</w:t>
            </w:r>
          </w:p>
        </w:tc>
        <w:tc>
          <w:tcPr>
            <w:tcW w:w="713" w:type="dxa"/>
            <w:tcBorders>
              <w:right w:val="nil"/>
            </w:tcBorders>
            <w:vAlign w:val="top"/>
          </w:tcPr>
          <w:p w14:paraId="23522A28">
            <w:pPr>
              <w:spacing w:before="61" w:line="228" w:lineRule="auto"/>
              <w:ind w:left="136"/>
              <w:rPr>
                <w:rFonts w:ascii="宋体" w:hAnsi="宋体" w:eastAsia="宋体" w:cs="宋体"/>
                <w:sz w:val="20"/>
                <w:szCs w:val="20"/>
              </w:rPr>
            </w:pPr>
            <w:r>
              <w:rPr>
                <w:rFonts w:ascii="Times New Roman" w:hAnsi="Times New Roman" w:eastAsia="Times New Roman" w:cs="Times New Roman"/>
                <w:b/>
                <w:bCs/>
                <w:spacing w:val="8"/>
                <w:sz w:val="20"/>
                <w:szCs w:val="20"/>
              </w:rPr>
              <w:t>Ⅳ</w:t>
            </w:r>
            <w:r>
              <w:rPr>
                <w:rFonts w:ascii="宋体" w:hAnsi="宋体" w:eastAsia="宋体" w:cs="宋体"/>
                <w:spacing w:val="7"/>
                <w:sz w:val="20"/>
                <w:szCs w:val="20"/>
                <w14:textOutline w14:w="3795" w14:cap="sq" w14:cmpd="sng">
                  <w14:solidFill>
                    <w14:srgbClr w14:val="000000"/>
                  </w14:solidFill>
                  <w14:prstDash w14:val="solid"/>
                  <w14:bevel/>
                </w14:textOutline>
              </w:rPr>
              <w:t>类</w:t>
            </w:r>
          </w:p>
        </w:tc>
      </w:tr>
      <w:tr w14:paraId="5D2FA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107" w:type="dxa"/>
            <w:tcBorders>
              <w:left w:val="nil"/>
            </w:tcBorders>
            <w:vAlign w:val="top"/>
          </w:tcPr>
          <w:p w14:paraId="47795BB3">
            <w:pPr>
              <w:spacing w:line="267" w:lineRule="auto"/>
              <w:rPr>
                <w:rFonts w:ascii="Arial"/>
                <w:sz w:val="21"/>
              </w:rPr>
            </w:pPr>
          </w:p>
          <w:p w14:paraId="1092ACA0">
            <w:pPr>
              <w:spacing w:before="65" w:line="265" w:lineRule="auto"/>
              <w:ind w:left="39" w:right="26" w:hanging="3"/>
              <w:rPr>
                <w:rFonts w:ascii="宋体" w:hAnsi="宋体" w:eastAsia="宋体" w:cs="宋体"/>
                <w:sz w:val="20"/>
                <w:szCs w:val="20"/>
              </w:rPr>
            </w:pPr>
            <w:r>
              <w:rPr>
                <w:rFonts w:ascii="宋体" w:hAnsi="宋体" w:eastAsia="宋体" w:cs="宋体"/>
                <w:spacing w:val="8"/>
                <w:sz w:val="20"/>
                <w:szCs w:val="20"/>
              </w:rPr>
              <w:t>环境和公共</w:t>
            </w:r>
            <w:r>
              <w:rPr>
                <w:rFonts w:ascii="宋体" w:hAnsi="宋体" w:eastAsia="宋体" w:cs="宋体"/>
                <w:sz w:val="20"/>
                <w:szCs w:val="20"/>
              </w:rPr>
              <w:t xml:space="preserve"> </w:t>
            </w:r>
            <w:r>
              <w:rPr>
                <w:rFonts w:ascii="宋体" w:hAnsi="宋体" w:eastAsia="宋体" w:cs="宋体"/>
                <w:spacing w:val="9"/>
                <w:sz w:val="20"/>
                <w:szCs w:val="20"/>
              </w:rPr>
              <w:t>设</w:t>
            </w:r>
            <w:r>
              <w:rPr>
                <w:rFonts w:ascii="宋体" w:hAnsi="宋体" w:eastAsia="宋体" w:cs="宋体"/>
                <w:spacing w:val="7"/>
                <w:sz w:val="20"/>
                <w:szCs w:val="20"/>
              </w:rPr>
              <w:t>施管理业</w:t>
            </w:r>
          </w:p>
        </w:tc>
        <w:tc>
          <w:tcPr>
            <w:tcW w:w="1392" w:type="dxa"/>
            <w:vAlign w:val="top"/>
          </w:tcPr>
          <w:p w14:paraId="40B3043C">
            <w:pPr>
              <w:spacing w:line="267" w:lineRule="auto"/>
              <w:rPr>
                <w:rFonts w:ascii="Arial"/>
                <w:sz w:val="21"/>
              </w:rPr>
            </w:pPr>
          </w:p>
          <w:p w14:paraId="14060888">
            <w:pPr>
              <w:spacing w:before="66" w:line="266" w:lineRule="auto"/>
              <w:ind w:left="385" w:right="65" w:hanging="311"/>
              <w:rPr>
                <w:rFonts w:ascii="宋体" w:hAnsi="宋体" w:eastAsia="宋体" w:cs="宋体"/>
                <w:sz w:val="20"/>
                <w:szCs w:val="20"/>
              </w:rPr>
            </w:pPr>
            <w:r>
              <w:rPr>
                <w:rFonts w:ascii="宋体" w:hAnsi="宋体" w:eastAsia="宋体" w:cs="宋体"/>
                <w:spacing w:val="8"/>
                <w:sz w:val="20"/>
                <w:szCs w:val="20"/>
              </w:rPr>
              <w:t>危险废物利</w:t>
            </w:r>
            <w:r>
              <w:rPr>
                <w:rFonts w:ascii="宋体" w:hAnsi="宋体" w:eastAsia="宋体" w:cs="宋体"/>
                <w:spacing w:val="7"/>
                <w:sz w:val="20"/>
                <w:szCs w:val="20"/>
              </w:rPr>
              <w:t>用</w:t>
            </w:r>
            <w:r>
              <w:rPr>
                <w:rFonts w:ascii="宋体" w:hAnsi="宋体" w:eastAsia="宋体" w:cs="宋体"/>
                <w:sz w:val="20"/>
                <w:szCs w:val="20"/>
              </w:rPr>
              <w:t xml:space="preserve"> </w:t>
            </w:r>
            <w:r>
              <w:rPr>
                <w:rFonts w:ascii="宋体" w:hAnsi="宋体" w:eastAsia="宋体" w:cs="宋体"/>
                <w:spacing w:val="7"/>
                <w:sz w:val="20"/>
                <w:szCs w:val="20"/>
              </w:rPr>
              <w:t>及处置</w:t>
            </w:r>
          </w:p>
        </w:tc>
        <w:tc>
          <w:tcPr>
            <w:tcW w:w="2568" w:type="dxa"/>
            <w:vAlign w:val="top"/>
          </w:tcPr>
          <w:p w14:paraId="16BB4B8B">
            <w:pPr>
              <w:spacing w:before="60" w:line="227" w:lineRule="auto"/>
              <w:ind w:left="28"/>
              <w:rPr>
                <w:rFonts w:ascii="宋体" w:hAnsi="宋体" w:eastAsia="宋体" w:cs="宋体"/>
                <w:sz w:val="20"/>
                <w:szCs w:val="20"/>
              </w:rPr>
            </w:pPr>
            <w:r>
              <w:rPr>
                <w:rFonts w:ascii="宋体" w:hAnsi="宋体" w:eastAsia="宋体" w:cs="宋体"/>
                <w:spacing w:val="11"/>
                <w:sz w:val="20"/>
                <w:szCs w:val="20"/>
              </w:rPr>
              <w:t>采</w:t>
            </w:r>
            <w:r>
              <w:rPr>
                <w:rFonts w:ascii="宋体" w:hAnsi="宋体" w:eastAsia="宋体" w:cs="宋体"/>
                <w:spacing w:val="9"/>
                <w:sz w:val="20"/>
                <w:szCs w:val="20"/>
              </w:rPr>
              <w:t>取填埋和焚烧方式的一般</w:t>
            </w:r>
          </w:p>
          <w:p w14:paraId="32F8F0B9">
            <w:pPr>
              <w:spacing w:before="28" w:line="228" w:lineRule="auto"/>
              <w:ind w:left="31"/>
              <w:rPr>
                <w:rFonts w:ascii="宋体" w:hAnsi="宋体" w:eastAsia="宋体" w:cs="宋体"/>
                <w:sz w:val="20"/>
                <w:szCs w:val="20"/>
              </w:rPr>
            </w:pPr>
            <w:r>
              <w:rPr>
                <w:rFonts w:ascii="宋体" w:hAnsi="宋体" w:eastAsia="宋体" w:cs="宋体"/>
                <w:spacing w:val="9"/>
                <w:sz w:val="20"/>
                <w:szCs w:val="20"/>
              </w:rPr>
              <w:t>工业固体废物处置及综合</w:t>
            </w:r>
            <w:r>
              <w:rPr>
                <w:rFonts w:ascii="宋体" w:hAnsi="宋体" w:eastAsia="宋体" w:cs="宋体"/>
                <w:spacing w:val="8"/>
                <w:sz w:val="20"/>
                <w:szCs w:val="20"/>
              </w:rPr>
              <w:t>利</w:t>
            </w:r>
          </w:p>
          <w:p w14:paraId="39F9A7FB">
            <w:pPr>
              <w:spacing w:before="23" w:line="228" w:lineRule="auto"/>
              <w:ind w:left="30"/>
              <w:rPr>
                <w:rFonts w:ascii="宋体" w:hAnsi="宋体" w:eastAsia="宋体" w:cs="宋体"/>
                <w:sz w:val="20"/>
                <w:szCs w:val="20"/>
              </w:rPr>
            </w:pPr>
            <w:r>
              <w:rPr>
                <w:rFonts w:ascii="宋体" w:hAnsi="宋体" w:eastAsia="宋体" w:cs="宋体"/>
                <w:spacing w:val="11"/>
                <w:sz w:val="20"/>
                <w:szCs w:val="20"/>
              </w:rPr>
              <w:t>用</w:t>
            </w:r>
            <w:r>
              <w:rPr>
                <w:rFonts w:ascii="宋体" w:hAnsi="宋体" w:eastAsia="宋体" w:cs="宋体"/>
                <w:spacing w:val="8"/>
                <w:sz w:val="20"/>
                <w:szCs w:val="20"/>
              </w:rPr>
              <w:t>；城镇生活垃圾 (不含餐</w:t>
            </w:r>
          </w:p>
          <w:p w14:paraId="761AC0A3">
            <w:pPr>
              <w:spacing w:before="26" w:line="228" w:lineRule="auto"/>
              <w:ind w:left="347"/>
              <w:rPr>
                <w:rFonts w:ascii="宋体" w:hAnsi="宋体" w:eastAsia="宋体" w:cs="宋体"/>
                <w:sz w:val="20"/>
                <w:szCs w:val="20"/>
              </w:rPr>
            </w:pPr>
            <w:r>
              <w:rPr>
                <w:rFonts w:ascii="宋体" w:hAnsi="宋体" w:eastAsia="宋体" w:cs="宋体"/>
                <w:spacing w:val="13"/>
                <w:sz w:val="20"/>
                <w:szCs w:val="20"/>
              </w:rPr>
              <w:t>厨</w:t>
            </w:r>
            <w:r>
              <w:rPr>
                <w:rFonts w:ascii="宋体" w:hAnsi="宋体" w:eastAsia="宋体" w:cs="宋体"/>
                <w:spacing w:val="7"/>
                <w:sz w:val="20"/>
                <w:szCs w:val="20"/>
              </w:rPr>
              <w:t>废弃物) 集中处置</w:t>
            </w:r>
          </w:p>
        </w:tc>
        <w:tc>
          <w:tcPr>
            <w:tcW w:w="2742" w:type="dxa"/>
            <w:vAlign w:val="top"/>
          </w:tcPr>
          <w:p w14:paraId="4C78D957">
            <w:pPr>
              <w:spacing w:before="59" w:line="252" w:lineRule="auto"/>
              <w:ind w:left="29" w:right="20" w:firstLine="88"/>
              <w:rPr>
                <w:rFonts w:ascii="宋体" w:hAnsi="宋体" w:eastAsia="宋体" w:cs="宋体"/>
                <w:sz w:val="20"/>
                <w:szCs w:val="20"/>
              </w:rPr>
            </w:pPr>
            <w:r>
              <w:rPr>
                <w:rFonts w:ascii="宋体" w:hAnsi="宋体" w:eastAsia="宋体" w:cs="宋体"/>
                <w:spacing w:val="9"/>
                <w:sz w:val="20"/>
                <w:szCs w:val="20"/>
              </w:rPr>
              <w:t>一般工业固体废物处置及</w:t>
            </w:r>
            <w:r>
              <w:rPr>
                <w:rFonts w:ascii="宋体" w:hAnsi="宋体" w:eastAsia="宋体" w:cs="宋体"/>
                <w:spacing w:val="7"/>
                <w:sz w:val="20"/>
                <w:szCs w:val="20"/>
              </w:rPr>
              <w:t>综</w:t>
            </w:r>
            <w:r>
              <w:rPr>
                <w:rFonts w:ascii="宋体" w:hAnsi="宋体" w:eastAsia="宋体" w:cs="宋体"/>
                <w:sz w:val="20"/>
                <w:szCs w:val="20"/>
              </w:rPr>
              <w:t xml:space="preserve"> </w:t>
            </w:r>
            <w:r>
              <w:rPr>
                <w:rFonts w:ascii="宋体" w:hAnsi="宋体" w:eastAsia="宋体" w:cs="宋体"/>
                <w:spacing w:val="8"/>
                <w:sz w:val="20"/>
                <w:szCs w:val="20"/>
              </w:rPr>
              <w:t>合</w:t>
            </w:r>
            <w:r>
              <w:rPr>
                <w:rFonts w:ascii="宋体" w:hAnsi="宋体" w:eastAsia="宋体" w:cs="宋体"/>
                <w:spacing w:val="6"/>
                <w:sz w:val="20"/>
                <w:szCs w:val="20"/>
              </w:rPr>
              <w:t>利用 (除采取填埋和焚烧方</w:t>
            </w:r>
            <w:r>
              <w:rPr>
                <w:rFonts w:ascii="宋体" w:hAnsi="宋体" w:eastAsia="宋体" w:cs="宋体"/>
                <w:sz w:val="20"/>
                <w:szCs w:val="20"/>
              </w:rPr>
              <w:t xml:space="preserve"> </w:t>
            </w:r>
            <w:r>
              <w:rPr>
                <w:rFonts w:ascii="宋体" w:hAnsi="宋体" w:eastAsia="宋体" w:cs="宋体"/>
                <w:spacing w:val="7"/>
                <w:sz w:val="20"/>
                <w:szCs w:val="20"/>
              </w:rPr>
              <w:t>式</w:t>
            </w:r>
            <w:r>
              <w:rPr>
                <w:rFonts w:ascii="宋体" w:hAnsi="宋体" w:eastAsia="宋体" w:cs="宋体"/>
                <w:spacing w:val="6"/>
                <w:sz w:val="20"/>
                <w:szCs w:val="20"/>
              </w:rPr>
              <w:t>以外的) ；废旧资源加工、</w:t>
            </w:r>
          </w:p>
          <w:p w14:paraId="7FA2E719">
            <w:pPr>
              <w:spacing w:line="228" w:lineRule="auto"/>
              <w:ind w:left="957"/>
              <w:rPr>
                <w:rFonts w:ascii="宋体" w:hAnsi="宋体" w:eastAsia="宋体" w:cs="宋体"/>
                <w:sz w:val="20"/>
                <w:szCs w:val="20"/>
              </w:rPr>
            </w:pPr>
            <w:r>
              <w:rPr>
                <w:rFonts w:ascii="宋体" w:hAnsi="宋体" w:eastAsia="宋体" w:cs="宋体"/>
                <w:spacing w:val="7"/>
                <w:sz w:val="20"/>
                <w:szCs w:val="20"/>
              </w:rPr>
              <w:t>再生利</w:t>
            </w:r>
            <w:r>
              <w:rPr>
                <w:rFonts w:ascii="宋体" w:hAnsi="宋体" w:eastAsia="宋体" w:cs="宋体"/>
                <w:spacing w:val="6"/>
                <w:sz w:val="20"/>
                <w:szCs w:val="20"/>
              </w:rPr>
              <w:t>用</w:t>
            </w:r>
          </w:p>
        </w:tc>
        <w:tc>
          <w:tcPr>
            <w:tcW w:w="713" w:type="dxa"/>
            <w:tcBorders>
              <w:right w:val="nil"/>
            </w:tcBorders>
            <w:vAlign w:val="top"/>
          </w:tcPr>
          <w:p w14:paraId="7512B4B4">
            <w:pPr>
              <w:spacing w:line="401" w:lineRule="auto"/>
              <w:rPr>
                <w:rFonts w:ascii="Arial"/>
                <w:sz w:val="21"/>
              </w:rPr>
            </w:pPr>
          </w:p>
          <w:p w14:paraId="2E07E3B4">
            <w:pPr>
              <w:spacing w:before="65" w:line="228" w:lineRule="auto"/>
              <w:ind w:left="153"/>
              <w:rPr>
                <w:rFonts w:ascii="宋体" w:hAnsi="宋体" w:eastAsia="宋体" w:cs="宋体"/>
                <w:sz w:val="20"/>
                <w:szCs w:val="20"/>
              </w:rPr>
            </w:pPr>
            <w:r>
              <w:rPr>
                <w:rFonts w:ascii="宋体" w:hAnsi="宋体" w:eastAsia="宋体" w:cs="宋体"/>
                <w:spacing w:val="4"/>
                <w:sz w:val="20"/>
                <w:szCs w:val="20"/>
              </w:rPr>
              <w:t>其他</w:t>
            </w:r>
          </w:p>
        </w:tc>
      </w:tr>
    </w:tbl>
    <w:p w14:paraId="156511EF">
      <w:pPr>
        <w:spacing w:line="258" w:lineRule="auto"/>
        <w:rPr>
          <w:rFonts w:ascii="Arial"/>
          <w:sz w:val="21"/>
        </w:rPr>
      </w:pPr>
    </w:p>
    <w:p w14:paraId="0205F9AA">
      <w:pPr>
        <w:spacing w:before="75" w:line="384" w:lineRule="auto"/>
        <w:ind w:left="117" w:right="107" w:firstLine="483"/>
        <w:rPr>
          <w:rFonts w:ascii="宋体" w:hAnsi="宋体" w:eastAsia="宋体" w:cs="宋体"/>
          <w:sz w:val="23"/>
          <w:szCs w:val="23"/>
        </w:rPr>
      </w:pPr>
      <w:r>
        <w:rPr>
          <w:rFonts w:ascii="宋体" w:hAnsi="宋体" w:eastAsia="宋体" w:cs="宋体"/>
          <w:spacing w:val="8"/>
          <w:sz w:val="23"/>
          <w:szCs w:val="23"/>
        </w:rPr>
        <w:t>该</w:t>
      </w:r>
      <w:r>
        <w:rPr>
          <w:rFonts w:ascii="宋体" w:hAnsi="宋体" w:eastAsia="宋体" w:cs="宋体"/>
          <w:spacing w:val="7"/>
          <w:sz w:val="23"/>
          <w:szCs w:val="23"/>
        </w:rPr>
        <w:t>项目为废塑料编织袋再生利用项目，根据上表可知，该项目属于</w:t>
      </w:r>
      <w:r>
        <w:rPr>
          <w:rFonts w:ascii="Times New Roman" w:hAnsi="Times New Roman" w:eastAsia="Times New Roman" w:cs="Times New Roman"/>
          <w:spacing w:val="7"/>
          <w:sz w:val="23"/>
          <w:szCs w:val="23"/>
        </w:rPr>
        <w:t>Ⅲ</w:t>
      </w:r>
      <w:r>
        <w:rPr>
          <w:rFonts w:ascii="宋体" w:hAnsi="宋体" w:eastAsia="宋体" w:cs="宋体"/>
          <w:spacing w:val="7"/>
          <w:sz w:val="23"/>
          <w:szCs w:val="23"/>
        </w:rPr>
        <w:t>类建设</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7"/>
          <w:sz w:val="23"/>
          <w:szCs w:val="23"/>
        </w:rPr>
        <w:t>目。项目所在地西侧为旱作耕地，因此确定项目土壤环境敏感程度为敏感。本</w:t>
      </w:r>
      <w:r>
        <w:rPr>
          <w:rFonts w:ascii="宋体" w:hAnsi="宋体" w:eastAsia="宋体" w:cs="宋体"/>
          <w:sz w:val="23"/>
          <w:szCs w:val="23"/>
        </w:rPr>
        <w:t xml:space="preserve"> </w:t>
      </w:r>
      <w:r>
        <w:rPr>
          <w:rFonts w:ascii="宋体" w:hAnsi="宋体" w:eastAsia="宋体" w:cs="宋体"/>
          <w:spacing w:val="4"/>
          <w:sz w:val="23"/>
          <w:szCs w:val="23"/>
        </w:rPr>
        <w:t>溪弘福塑业有限公</w:t>
      </w:r>
      <w:r>
        <w:rPr>
          <w:rFonts w:ascii="宋体" w:hAnsi="宋体" w:eastAsia="宋体" w:cs="宋体"/>
          <w:spacing w:val="2"/>
          <w:sz w:val="23"/>
          <w:szCs w:val="23"/>
        </w:rPr>
        <w:t xml:space="preserve">司新建项目占地面积 </w:t>
      </w:r>
      <w:r>
        <w:rPr>
          <w:rFonts w:ascii="Times New Roman" w:hAnsi="Times New Roman" w:eastAsia="Times New Roman" w:cs="Times New Roman"/>
          <w:spacing w:val="2"/>
          <w:sz w:val="23"/>
          <w:szCs w:val="23"/>
        </w:rPr>
        <w:t>7000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3"/>
          <w:szCs w:val="23"/>
        </w:rPr>
        <w:t xml:space="preserve">(即 </w:t>
      </w:r>
      <w:r>
        <w:rPr>
          <w:rFonts w:ascii="Times New Roman" w:hAnsi="Times New Roman" w:eastAsia="Times New Roman" w:cs="Times New Roman"/>
          <w:spacing w:val="2"/>
          <w:sz w:val="23"/>
          <w:szCs w:val="23"/>
        </w:rPr>
        <w:t>0.7</w:t>
      </w:r>
      <w:r>
        <w:rPr>
          <w:rFonts w:ascii="Times New Roman" w:hAnsi="Times New Roman" w:eastAsia="Times New Roman" w:cs="Times New Roman"/>
          <w:sz w:val="23"/>
          <w:szCs w:val="23"/>
        </w:rPr>
        <w:t>hm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3"/>
          <w:szCs w:val="23"/>
        </w:rPr>
        <w:t>) ， 占地规模属于小</w:t>
      </w:r>
      <w:r>
        <w:rPr>
          <w:rFonts w:ascii="宋体" w:hAnsi="宋体" w:eastAsia="宋体" w:cs="宋体"/>
          <w:sz w:val="23"/>
          <w:szCs w:val="23"/>
        </w:rPr>
        <w:t xml:space="preserve"> </w:t>
      </w:r>
      <w:r>
        <w:rPr>
          <w:rFonts w:ascii="宋体" w:hAnsi="宋体" w:eastAsia="宋体" w:cs="宋体"/>
          <w:spacing w:val="12"/>
          <w:sz w:val="23"/>
          <w:szCs w:val="23"/>
        </w:rPr>
        <w:t>型</w:t>
      </w:r>
      <w:r>
        <w:rPr>
          <w:rFonts w:ascii="宋体" w:hAnsi="宋体" w:eastAsia="宋体" w:cs="宋体"/>
          <w:spacing w:val="9"/>
          <w:sz w:val="23"/>
          <w:szCs w:val="23"/>
        </w:rPr>
        <w:t>。</w:t>
      </w:r>
      <w:r>
        <w:rPr>
          <w:rFonts w:ascii="宋体" w:hAnsi="宋体" w:eastAsia="宋体" w:cs="宋体"/>
          <w:spacing w:val="6"/>
          <w:sz w:val="23"/>
          <w:szCs w:val="23"/>
        </w:rPr>
        <w:t xml:space="preserve">综上，对照表 </w:t>
      </w:r>
      <w:r>
        <w:rPr>
          <w:rFonts w:ascii="Times New Roman" w:hAnsi="Times New Roman" w:eastAsia="Times New Roman" w:cs="Times New Roman"/>
          <w:spacing w:val="6"/>
          <w:sz w:val="23"/>
          <w:szCs w:val="23"/>
        </w:rPr>
        <w:t xml:space="preserve">5-22 </w:t>
      </w:r>
      <w:r>
        <w:rPr>
          <w:rFonts w:ascii="宋体" w:hAnsi="宋体" w:eastAsia="宋体" w:cs="宋体"/>
          <w:spacing w:val="6"/>
          <w:sz w:val="23"/>
          <w:szCs w:val="23"/>
        </w:rPr>
        <w:t>确定本项目土壤评价工作等级为三级。</w:t>
      </w:r>
    </w:p>
    <w:p w14:paraId="21EC8187">
      <w:pPr>
        <w:spacing w:before="127" w:line="219" w:lineRule="auto"/>
        <w:ind w:left="117"/>
        <w:outlineLvl w:val="3"/>
        <w:rPr>
          <w:rFonts w:ascii="宋体" w:hAnsi="宋体" w:eastAsia="宋体" w:cs="宋体"/>
          <w:sz w:val="28"/>
          <w:szCs w:val="28"/>
        </w:rPr>
      </w:pPr>
      <w:r>
        <w:rPr>
          <w:rFonts w:ascii="Times New Roman" w:hAnsi="Times New Roman" w:eastAsia="Times New Roman" w:cs="Times New Roman"/>
          <w:b/>
          <w:bCs/>
          <w:spacing w:val="12"/>
          <w:sz w:val="28"/>
          <w:szCs w:val="28"/>
        </w:rPr>
        <w:t>5</w:t>
      </w:r>
      <w:r>
        <w:rPr>
          <w:rFonts w:ascii="Times New Roman" w:hAnsi="Times New Roman" w:eastAsia="Times New Roman" w:cs="Times New Roman"/>
          <w:b/>
          <w:bCs/>
          <w:spacing w:val="6"/>
          <w:sz w:val="28"/>
          <w:szCs w:val="28"/>
        </w:rPr>
        <w:t>.2.6.3</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评价因子</w:t>
      </w:r>
    </w:p>
    <w:p w14:paraId="3F18B0EC">
      <w:pPr>
        <w:spacing w:line="261" w:lineRule="auto"/>
        <w:rPr>
          <w:rFonts w:ascii="Arial"/>
          <w:sz w:val="21"/>
        </w:rPr>
      </w:pPr>
    </w:p>
    <w:p w14:paraId="75D24512">
      <w:pPr>
        <w:spacing w:before="75" w:line="388" w:lineRule="auto"/>
        <w:ind w:left="116" w:right="107" w:firstLine="480"/>
        <w:rPr>
          <w:rFonts w:ascii="宋体" w:hAnsi="宋体" w:eastAsia="宋体" w:cs="宋体"/>
          <w:sz w:val="23"/>
          <w:szCs w:val="23"/>
        </w:rPr>
      </w:pPr>
      <w:r>
        <w:rPr>
          <w:rFonts w:ascii="宋体" w:hAnsi="宋体" w:eastAsia="宋体" w:cs="宋体"/>
          <w:spacing w:val="12"/>
          <w:sz w:val="23"/>
          <w:szCs w:val="23"/>
        </w:rPr>
        <w:t>根据《环</w:t>
      </w:r>
      <w:r>
        <w:rPr>
          <w:rFonts w:ascii="宋体" w:hAnsi="宋体" w:eastAsia="宋体" w:cs="宋体"/>
          <w:spacing w:val="9"/>
          <w:sz w:val="23"/>
          <w:szCs w:val="23"/>
        </w:rPr>
        <w:t>境</w:t>
      </w:r>
      <w:r>
        <w:rPr>
          <w:rFonts w:ascii="宋体" w:hAnsi="宋体" w:eastAsia="宋体" w:cs="宋体"/>
          <w:spacing w:val="6"/>
          <w:sz w:val="23"/>
          <w:szCs w:val="23"/>
        </w:rPr>
        <w:t>影响评价技术导则  土壤环境 (试行) 》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964-2018</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8.5. 1</w:t>
      </w:r>
      <w:r>
        <w:rPr>
          <w:rFonts w:ascii="Times New Roman" w:hAnsi="Times New Roman" w:eastAsia="Times New Roman" w:cs="Times New Roman"/>
          <w:sz w:val="23"/>
          <w:szCs w:val="23"/>
        </w:rPr>
        <w:t xml:space="preserve"> </w:t>
      </w:r>
      <w:r>
        <w:rPr>
          <w:rFonts w:ascii="宋体" w:hAnsi="宋体" w:eastAsia="宋体" w:cs="宋体"/>
          <w:spacing w:val="14"/>
          <w:sz w:val="23"/>
          <w:szCs w:val="23"/>
        </w:rPr>
        <w:t xml:space="preserve">及 </w:t>
      </w:r>
      <w:r>
        <w:rPr>
          <w:rFonts w:ascii="Times New Roman" w:hAnsi="Times New Roman" w:eastAsia="Times New Roman" w:cs="Times New Roman"/>
          <w:spacing w:val="14"/>
          <w:sz w:val="23"/>
          <w:szCs w:val="23"/>
        </w:rPr>
        <w:t>8.</w:t>
      </w:r>
      <w:r>
        <w:rPr>
          <w:rFonts w:ascii="Times New Roman" w:hAnsi="Times New Roman" w:eastAsia="Times New Roman" w:cs="Times New Roman"/>
          <w:spacing w:val="9"/>
          <w:sz w:val="23"/>
          <w:szCs w:val="23"/>
        </w:rPr>
        <w:t>5</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规定：污染影响型建设项目应根据环境影响识别出的特征因子选取关键</w:t>
      </w:r>
      <w:r>
        <w:rPr>
          <w:rFonts w:ascii="宋体" w:hAnsi="宋体" w:eastAsia="宋体" w:cs="宋体"/>
          <w:sz w:val="23"/>
          <w:szCs w:val="23"/>
        </w:rPr>
        <w:t xml:space="preserve"> </w:t>
      </w:r>
      <w:r>
        <w:rPr>
          <w:rFonts w:ascii="宋体" w:hAnsi="宋体" w:eastAsia="宋体" w:cs="宋体"/>
          <w:spacing w:val="9"/>
          <w:sz w:val="23"/>
          <w:szCs w:val="23"/>
        </w:rPr>
        <w:t>预</w:t>
      </w:r>
      <w:r>
        <w:rPr>
          <w:rFonts w:ascii="宋体" w:hAnsi="宋体" w:eastAsia="宋体" w:cs="宋体"/>
          <w:spacing w:val="7"/>
          <w:sz w:val="23"/>
          <w:szCs w:val="23"/>
        </w:rPr>
        <w:t>测因子；可能造成土壤盐化、酸化、碱化影响的建设项目，分别选取土壤盐分</w:t>
      </w:r>
      <w:r>
        <w:rPr>
          <w:rFonts w:ascii="宋体" w:hAnsi="宋体" w:eastAsia="宋体" w:cs="宋体"/>
          <w:sz w:val="23"/>
          <w:szCs w:val="23"/>
        </w:rPr>
        <w:t xml:space="preserve"> </w:t>
      </w:r>
      <w:r>
        <w:rPr>
          <w:rFonts w:ascii="宋体" w:hAnsi="宋体" w:eastAsia="宋体" w:cs="宋体"/>
          <w:spacing w:val="9"/>
          <w:sz w:val="23"/>
          <w:szCs w:val="23"/>
        </w:rPr>
        <w:t>含量、</w:t>
      </w:r>
      <w:r>
        <w:rPr>
          <w:rFonts w:ascii="Times New Roman" w:hAnsi="Times New Roman" w:eastAsia="Times New Roman" w:cs="Times New Roman"/>
          <w:sz w:val="23"/>
          <w:szCs w:val="23"/>
        </w:rPr>
        <w:t>pH</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值等作为预测因子</w:t>
      </w:r>
      <w:r>
        <w:rPr>
          <w:rFonts w:ascii="宋体" w:hAnsi="宋体" w:eastAsia="宋体" w:cs="宋体"/>
          <w:spacing w:val="7"/>
          <w:sz w:val="23"/>
          <w:szCs w:val="23"/>
        </w:rPr>
        <w:t>。</w:t>
      </w:r>
    </w:p>
    <w:p w14:paraId="5DE26883">
      <w:pPr>
        <w:spacing w:before="144" w:line="388" w:lineRule="auto"/>
        <w:ind w:left="116" w:right="15" w:firstLine="480"/>
        <w:rPr>
          <w:rFonts w:ascii="宋体" w:hAnsi="宋体" w:eastAsia="宋体" w:cs="宋体"/>
          <w:sz w:val="23"/>
          <w:szCs w:val="23"/>
        </w:rPr>
      </w:pPr>
      <w:r>
        <w:rPr>
          <w:rFonts w:ascii="宋体" w:hAnsi="宋体" w:eastAsia="宋体" w:cs="宋体"/>
          <w:spacing w:val="7"/>
          <w:sz w:val="23"/>
          <w:szCs w:val="23"/>
        </w:rPr>
        <w:t>通过工程分析可知，本项目不会造成区域土壤盐化、酸化、碱化，本项目</w:t>
      </w:r>
      <w:r>
        <w:rPr>
          <w:rFonts w:ascii="宋体" w:hAnsi="宋体" w:eastAsia="宋体" w:cs="宋体"/>
          <w:spacing w:val="3"/>
          <w:sz w:val="23"/>
          <w:szCs w:val="23"/>
        </w:rPr>
        <w:t>主</w:t>
      </w:r>
      <w:r>
        <w:rPr>
          <w:rFonts w:ascii="宋体" w:hAnsi="宋体" w:eastAsia="宋体" w:cs="宋体"/>
          <w:sz w:val="23"/>
          <w:szCs w:val="23"/>
        </w:rPr>
        <w:t xml:space="preserve"> </w:t>
      </w:r>
      <w:r>
        <w:rPr>
          <w:rFonts w:ascii="宋体" w:hAnsi="宋体" w:eastAsia="宋体" w:cs="宋体"/>
          <w:spacing w:val="-2"/>
          <w:sz w:val="23"/>
          <w:szCs w:val="23"/>
        </w:rPr>
        <w:t xml:space="preserve">要污染因子为 </w:t>
      </w:r>
      <w:r>
        <w:rPr>
          <w:rFonts w:ascii="Times New Roman" w:hAnsi="Times New Roman" w:eastAsia="Times New Roman" w:cs="Times New Roman"/>
          <w:spacing w:val="-2"/>
          <w:sz w:val="23"/>
          <w:szCs w:val="23"/>
        </w:rPr>
        <w:t xml:space="preserve">COD </w:t>
      </w:r>
      <w:r>
        <w:rPr>
          <w:rFonts w:ascii="宋体" w:hAnsi="宋体" w:eastAsia="宋体" w:cs="宋体"/>
          <w:spacing w:val="-2"/>
          <w:sz w:val="23"/>
          <w:szCs w:val="23"/>
        </w:rPr>
        <w:t>、</w:t>
      </w:r>
      <w:r>
        <w:rPr>
          <w:rFonts w:ascii="Times New Roman" w:hAnsi="Times New Roman" w:eastAsia="Times New Roman" w:cs="Times New Roman"/>
          <w:spacing w:val="-2"/>
          <w:sz w:val="23"/>
          <w:szCs w:val="23"/>
        </w:rPr>
        <w:t>BOD</w:t>
      </w:r>
      <w:r>
        <w:rPr>
          <w:rFonts w:ascii="Times New Roman" w:hAnsi="Times New Roman" w:eastAsia="Times New Roman" w:cs="Times New Roman"/>
          <w:spacing w:val="-2"/>
          <w:position w:val="-1"/>
          <w:sz w:val="15"/>
          <w:szCs w:val="15"/>
        </w:rPr>
        <w:t xml:space="preserve">5 </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SS </w:t>
      </w:r>
      <w:r>
        <w:rPr>
          <w:rFonts w:ascii="宋体" w:hAnsi="宋体" w:eastAsia="宋体" w:cs="宋体"/>
          <w:spacing w:val="-2"/>
          <w:sz w:val="23"/>
          <w:szCs w:val="23"/>
        </w:rPr>
        <w:t>、</w:t>
      </w:r>
      <w:r>
        <w:rPr>
          <w:rFonts w:ascii="Times New Roman" w:hAnsi="Times New Roman" w:eastAsia="Times New Roman" w:cs="Times New Roman"/>
          <w:spacing w:val="-2"/>
          <w:sz w:val="23"/>
          <w:szCs w:val="23"/>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，不含 </w:t>
      </w:r>
      <w:r>
        <w:rPr>
          <w:rFonts w:ascii="Times New Roman" w:hAnsi="Times New Roman" w:eastAsia="Times New Roman" w:cs="Times New Roman"/>
          <w:sz w:val="23"/>
          <w:szCs w:val="23"/>
        </w:rPr>
        <w:t>pH</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、镉、汞、砷、铅、铬、铜、</w:t>
      </w:r>
      <w:r>
        <w:rPr>
          <w:rFonts w:ascii="宋体" w:hAnsi="宋体" w:eastAsia="宋体" w:cs="宋体"/>
          <w:sz w:val="23"/>
          <w:szCs w:val="23"/>
        </w:rPr>
        <w:t xml:space="preserve"> </w:t>
      </w:r>
      <w:r>
        <w:rPr>
          <w:rFonts w:ascii="宋体" w:hAnsi="宋体" w:eastAsia="宋体" w:cs="宋体"/>
          <w:spacing w:val="6"/>
          <w:sz w:val="23"/>
          <w:szCs w:val="23"/>
        </w:rPr>
        <w:t>镍、</w:t>
      </w:r>
      <w:r>
        <w:rPr>
          <w:rFonts w:ascii="宋体" w:hAnsi="宋体" w:eastAsia="宋体" w:cs="宋体"/>
          <w:spacing w:val="3"/>
          <w:sz w:val="23"/>
          <w:szCs w:val="23"/>
        </w:rPr>
        <w:t>锌、六六六总量、滴滴涕总量、苯并</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w:t>
      </w:r>
      <w:r>
        <w:rPr>
          <w:rFonts w:ascii="宋体" w:hAnsi="宋体" w:eastAsia="宋体" w:cs="宋体"/>
          <w:spacing w:val="3"/>
          <w:sz w:val="23"/>
          <w:szCs w:val="23"/>
        </w:rPr>
        <w:t>芘等特征因子，且《土壤环境质量 建</w:t>
      </w:r>
    </w:p>
    <w:p w14:paraId="46D9985D">
      <w:pPr>
        <w:sectPr>
          <w:headerReference r:id="rId250" w:type="default"/>
          <w:footerReference r:id="rId251" w:type="default"/>
          <w:pgSz w:w="11906" w:h="16839"/>
          <w:pgMar w:top="1132" w:right="1691" w:bottom="1182" w:left="1691" w:header="878" w:footer="1022" w:gutter="0"/>
          <w:cols w:space="720" w:num="1"/>
        </w:sectPr>
      </w:pPr>
    </w:p>
    <w:p w14:paraId="6D3058DF">
      <w:pPr>
        <w:spacing w:line="408" w:lineRule="auto"/>
        <w:rPr>
          <w:rFonts w:ascii="Arial"/>
          <w:sz w:val="21"/>
        </w:rPr>
      </w:pPr>
      <w:r>
        <w:pict>
          <v:shape id="_x0000_s1291" o:spid="_x0000_s1291" style="position:absolute;left:0pt;margin-left:90pt;margin-top:57.35pt;height:0.75pt;width:415.3pt;mso-position-horizontal-relative:page;mso-position-vertical-relative:page;z-index:251944960;mso-width-relative:page;mso-height-relative:page;" fillcolor="#000000" filled="t" stroked="f" coordsize="8305,15" o:allowincell="f" path="m0,0l8305,0,8305,14,0,14,0,0xe">
            <v:path/>
            <v:fill on="t" focussize="0,0"/>
            <v:stroke on="f"/>
            <v:imagedata o:title=""/>
            <o:lock v:ext="edit"/>
          </v:shape>
        </w:pict>
      </w:r>
    </w:p>
    <w:p w14:paraId="1EBFEA04">
      <w:pPr>
        <w:spacing w:before="74" w:line="398" w:lineRule="auto"/>
        <w:ind w:left="28" w:right="19" w:hanging="1"/>
        <w:rPr>
          <w:rFonts w:ascii="宋体" w:hAnsi="宋体" w:eastAsia="宋体" w:cs="宋体"/>
          <w:sz w:val="23"/>
          <w:szCs w:val="23"/>
        </w:rPr>
      </w:pPr>
      <w:r>
        <w:rPr>
          <w:rFonts w:ascii="宋体" w:hAnsi="宋体" w:eastAsia="宋体" w:cs="宋体"/>
          <w:spacing w:val="2"/>
          <w:sz w:val="23"/>
          <w:szCs w:val="23"/>
        </w:rPr>
        <w:t>设用地土壤污染风险管控标准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3660</w:t>
      </w:r>
      <w:r>
        <w:rPr>
          <w:rFonts w:ascii="Times New Roman" w:hAnsi="Times New Roman" w:eastAsia="Times New Roman" w:cs="Times New Roman"/>
          <w:spacing w:val="1"/>
          <w:sz w:val="23"/>
          <w:szCs w:val="23"/>
        </w:rPr>
        <w:t>0-2018</w:t>
      </w:r>
      <w:r>
        <w:rPr>
          <w:rFonts w:ascii="宋体" w:hAnsi="宋体" w:eastAsia="宋体" w:cs="宋体"/>
          <w:spacing w:val="1"/>
          <w:sz w:val="23"/>
          <w:szCs w:val="23"/>
        </w:rPr>
        <w:t xml:space="preserve">) 未列 </w:t>
      </w:r>
      <w:r>
        <w:rPr>
          <w:rFonts w:ascii="Times New Roman" w:hAnsi="Times New Roman" w:eastAsia="Times New Roman" w:cs="Times New Roman"/>
          <w:sz w:val="23"/>
          <w:szCs w:val="23"/>
        </w:rPr>
        <w:t>COD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BOD</w:t>
      </w:r>
      <w:r>
        <w:rPr>
          <w:rFonts w:ascii="Times New Roman" w:hAnsi="Times New Roman" w:eastAsia="Times New Roman" w:cs="Times New Roman"/>
          <w:spacing w:val="1"/>
          <w:position w:val="-1"/>
          <w:sz w:val="15"/>
          <w:szCs w:val="15"/>
        </w:rPr>
        <w:t>5</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，故本评价类比同类型场区进行分析。</w:t>
      </w:r>
    </w:p>
    <w:p w14:paraId="3CB6D7CB">
      <w:pPr>
        <w:spacing w:before="89" w:line="219" w:lineRule="auto"/>
        <w:ind w:left="23"/>
        <w:outlineLvl w:val="3"/>
        <w:rPr>
          <w:rFonts w:ascii="宋体" w:hAnsi="宋体" w:eastAsia="宋体" w:cs="宋体"/>
          <w:sz w:val="28"/>
          <w:szCs w:val="28"/>
        </w:rPr>
      </w:pPr>
      <w:r>
        <w:rPr>
          <w:rFonts w:ascii="Times New Roman" w:hAnsi="Times New Roman" w:eastAsia="Times New Roman" w:cs="Times New Roman"/>
          <w:b/>
          <w:bCs/>
          <w:spacing w:val="8"/>
          <w:sz w:val="28"/>
          <w:szCs w:val="28"/>
        </w:rPr>
        <w:t>5.2.6.4</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预测与评价方</w:t>
      </w:r>
      <w:r>
        <w:rPr>
          <w:rFonts w:ascii="宋体" w:hAnsi="宋体" w:eastAsia="宋体" w:cs="宋体"/>
          <w:spacing w:val="5"/>
          <w:sz w:val="28"/>
          <w:szCs w:val="28"/>
          <w14:textOutline w14:w="5103" w14:cap="sq" w14:cmpd="sng">
            <w14:solidFill>
              <w14:srgbClr w14:val="000000"/>
            </w14:solidFill>
            <w14:prstDash w14:val="solid"/>
            <w14:bevel/>
          </w14:textOutline>
        </w:rPr>
        <w:t>法</w:t>
      </w:r>
    </w:p>
    <w:p w14:paraId="22F0742F">
      <w:pPr>
        <w:spacing w:line="264" w:lineRule="auto"/>
        <w:rPr>
          <w:rFonts w:ascii="Arial"/>
          <w:sz w:val="21"/>
        </w:rPr>
      </w:pPr>
    </w:p>
    <w:p w14:paraId="7620FD4F">
      <w:pPr>
        <w:spacing w:before="75" w:line="393" w:lineRule="auto"/>
        <w:ind w:left="24" w:firstLine="479"/>
        <w:rPr>
          <w:rFonts w:ascii="宋体" w:hAnsi="宋体" w:eastAsia="宋体" w:cs="宋体"/>
          <w:sz w:val="23"/>
          <w:szCs w:val="23"/>
        </w:rPr>
      </w:pPr>
      <w:r>
        <w:rPr>
          <w:rFonts w:ascii="宋体" w:hAnsi="宋体" w:eastAsia="宋体" w:cs="宋体"/>
          <w:spacing w:val="10"/>
          <w:sz w:val="23"/>
          <w:szCs w:val="23"/>
        </w:rPr>
        <w:t>根</w:t>
      </w:r>
      <w:r>
        <w:rPr>
          <w:rFonts w:ascii="宋体" w:hAnsi="宋体" w:eastAsia="宋体" w:cs="宋体"/>
          <w:spacing w:val="8"/>
          <w:sz w:val="23"/>
          <w:szCs w:val="23"/>
        </w:rPr>
        <w:t>据《环境影响评价技术导则  土壤环境 (试行) 》  (</w:t>
      </w:r>
      <w:r>
        <w:rPr>
          <w:rFonts w:ascii="Times New Roman" w:hAnsi="Times New Roman" w:eastAsia="Times New Roman" w:cs="Times New Roman"/>
          <w:sz w:val="23"/>
          <w:szCs w:val="23"/>
        </w:rPr>
        <w:t>HJ</w:t>
      </w:r>
      <w:r>
        <w:rPr>
          <w:rFonts w:ascii="Times New Roman" w:hAnsi="Times New Roman" w:eastAsia="Times New Roman" w:cs="Times New Roman"/>
          <w:spacing w:val="8"/>
          <w:sz w:val="23"/>
          <w:szCs w:val="23"/>
        </w:rPr>
        <w:t>964-2018</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8.7.4</w:t>
      </w:r>
      <w:r>
        <w:rPr>
          <w:rFonts w:ascii="Times New Roman" w:hAnsi="Times New Roman" w:eastAsia="Times New Roman" w:cs="Times New Roman"/>
          <w:sz w:val="23"/>
          <w:szCs w:val="23"/>
        </w:rPr>
        <w:t xml:space="preserve"> </w:t>
      </w:r>
      <w:r>
        <w:rPr>
          <w:rFonts w:ascii="宋体" w:hAnsi="宋体" w:eastAsia="宋体" w:cs="宋体"/>
          <w:spacing w:val="4"/>
          <w:sz w:val="23"/>
          <w:szCs w:val="23"/>
        </w:rPr>
        <w:t>规定：评价工作等级为三级</w:t>
      </w:r>
      <w:r>
        <w:rPr>
          <w:rFonts w:ascii="宋体" w:hAnsi="宋体" w:eastAsia="宋体" w:cs="宋体"/>
          <w:spacing w:val="2"/>
          <w:sz w:val="23"/>
          <w:szCs w:val="23"/>
        </w:rPr>
        <w:t>的建设项目，可采用定性描述或类比分析法进行预测。</w:t>
      </w:r>
    </w:p>
    <w:p w14:paraId="06EA62D1">
      <w:pPr>
        <w:spacing w:before="135" w:line="226" w:lineRule="auto"/>
        <w:ind w:left="504"/>
        <w:rPr>
          <w:rFonts w:ascii="宋体" w:hAnsi="宋体" w:eastAsia="宋体" w:cs="宋体"/>
          <w:sz w:val="23"/>
          <w:szCs w:val="23"/>
        </w:rPr>
      </w:pPr>
      <w:r>
        <w:rPr>
          <w:rFonts w:ascii="宋体" w:hAnsi="宋体" w:eastAsia="宋体" w:cs="宋体"/>
          <w:spacing w:val="8"/>
          <w:sz w:val="23"/>
          <w:szCs w:val="23"/>
        </w:rPr>
        <w:t>本评价采用类比分析</w:t>
      </w:r>
      <w:r>
        <w:rPr>
          <w:rFonts w:ascii="宋体" w:hAnsi="宋体" w:eastAsia="宋体" w:cs="宋体"/>
          <w:spacing w:val="7"/>
          <w:sz w:val="23"/>
          <w:szCs w:val="23"/>
        </w:rPr>
        <w:t>。</w:t>
      </w:r>
    </w:p>
    <w:p w14:paraId="6870DD85">
      <w:pPr>
        <w:spacing w:before="318" w:line="221" w:lineRule="auto"/>
        <w:ind w:left="23"/>
        <w:outlineLvl w:val="3"/>
        <w:rPr>
          <w:rFonts w:ascii="宋体" w:hAnsi="宋体" w:eastAsia="宋体" w:cs="宋体"/>
          <w:sz w:val="28"/>
          <w:szCs w:val="28"/>
        </w:rPr>
      </w:pPr>
      <w:r>
        <w:rPr>
          <w:rFonts w:ascii="Times New Roman" w:hAnsi="Times New Roman" w:eastAsia="Times New Roman" w:cs="Times New Roman"/>
          <w:b/>
          <w:bCs/>
          <w:spacing w:val="10"/>
          <w:sz w:val="28"/>
          <w:szCs w:val="28"/>
        </w:rPr>
        <w:t>5</w:t>
      </w:r>
      <w:r>
        <w:rPr>
          <w:rFonts w:ascii="Times New Roman" w:hAnsi="Times New Roman" w:eastAsia="Times New Roman" w:cs="Times New Roman"/>
          <w:b/>
          <w:bCs/>
          <w:spacing w:val="8"/>
          <w:sz w:val="28"/>
          <w:szCs w:val="28"/>
        </w:rPr>
        <w:t>.2.6.5</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土壤环境影响分析</w:t>
      </w:r>
    </w:p>
    <w:p w14:paraId="7B019C72">
      <w:pPr>
        <w:spacing w:line="259" w:lineRule="auto"/>
        <w:rPr>
          <w:rFonts w:ascii="Arial"/>
          <w:sz w:val="21"/>
        </w:rPr>
      </w:pPr>
    </w:p>
    <w:p w14:paraId="51444E5A">
      <w:pPr>
        <w:spacing w:before="75" w:line="393" w:lineRule="auto"/>
        <w:ind w:left="21" w:right="77" w:firstLine="482"/>
        <w:rPr>
          <w:rFonts w:ascii="宋体" w:hAnsi="宋体" w:eastAsia="宋体" w:cs="宋体"/>
          <w:sz w:val="23"/>
          <w:szCs w:val="23"/>
        </w:rPr>
      </w:pPr>
      <w:r>
        <w:rPr>
          <w:rFonts w:ascii="宋体" w:hAnsi="宋体" w:eastAsia="宋体" w:cs="宋体"/>
          <w:spacing w:val="7"/>
          <w:sz w:val="23"/>
          <w:szCs w:val="23"/>
        </w:rPr>
        <w:t>本溪市土壤结构以棕壤土、草甸土及水稻土为主，土层深厚，质地适中，</w:t>
      </w:r>
      <w:r>
        <w:rPr>
          <w:rFonts w:ascii="宋体" w:hAnsi="宋体" w:eastAsia="宋体" w:cs="宋体"/>
          <w:spacing w:val="4"/>
          <w:sz w:val="23"/>
          <w:szCs w:val="23"/>
        </w:rPr>
        <w:t>含</w:t>
      </w:r>
      <w:r>
        <w:rPr>
          <w:rFonts w:ascii="宋体" w:hAnsi="宋体" w:eastAsia="宋体" w:cs="宋体"/>
          <w:sz w:val="23"/>
          <w:szCs w:val="23"/>
        </w:rPr>
        <w:t xml:space="preserve"> </w:t>
      </w:r>
      <w:r>
        <w:rPr>
          <w:rFonts w:ascii="宋体" w:hAnsi="宋体" w:eastAsia="宋体" w:cs="宋体"/>
          <w:spacing w:val="12"/>
          <w:sz w:val="23"/>
          <w:szCs w:val="23"/>
        </w:rPr>
        <w:t>氮</w:t>
      </w:r>
      <w:r>
        <w:rPr>
          <w:rFonts w:ascii="宋体" w:hAnsi="宋体" w:eastAsia="宋体" w:cs="宋体"/>
          <w:spacing w:val="8"/>
          <w:sz w:val="23"/>
          <w:szCs w:val="23"/>
        </w:rPr>
        <w:t>、磷、钾等元素稍低。</w:t>
      </w:r>
    </w:p>
    <w:p w14:paraId="2849335C">
      <w:pPr>
        <w:spacing w:before="132" w:line="380" w:lineRule="auto"/>
        <w:ind w:left="25" w:right="70" w:firstLine="481"/>
        <w:rPr>
          <w:rFonts w:ascii="宋体" w:hAnsi="宋体" w:eastAsia="宋体" w:cs="宋体"/>
          <w:sz w:val="23"/>
          <w:szCs w:val="23"/>
        </w:rPr>
      </w:pPr>
      <w:r>
        <w:rPr>
          <w:rFonts w:ascii="宋体" w:hAnsi="宋体" w:eastAsia="宋体" w:cs="宋体"/>
          <w:spacing w:val="12"/>
          <w:sz w:val="23"/>
          <w:szCs w:val="23"/>
        </w:rPr>
        <w:t>项目用地</w:t>
      </w:r>
      <w:r>
        <w:rPr>
          <w:rFonts w:ascii="宋体" w:hAnsi="宋体" w:eastAsia="宋体" w:cs="宋体"/>
          <w:spacing w:val="7"/>
          <w:sz w:val="23"/>
          <w:szCs w:val="23"/>
        </w:rPr>
        <w:t>四</w:t>
      </w:r>
      <w:r>
        <w:rPr>
          <w:rFonts w:ascii="宋体" w:hAnsi="宋体" w:eastAsia="宋体" w:cs="宋体"/>
          <w:spacing w:val="6"/>
          <w:sz w:val="23"/>
          <w:szCs w:val="23"/>
        </w:rPr>
        <w:t>周多为旱地，主要种植玉米。本项目产生的生产废水经一体化污</w:t>
      </w:r>
      <w:r>
        <w:rPr>
          <w:rFonts w:ascii="宋体" w:hAnsi="宋体" w:eastAsia="宋体" w:cs="宋体"/>
          <w:sz w:val="23"/>
          <w:szCs w:val="23"/>
        </w:rPr>
        <w:t xml:space="preserve"> </w:t>
      </w:r>
      <w:r>
        <w:rPr>
          <w:rFonts w:ascii="宋体" w:hAnsi="宋体" w:eastAsia="宋体" w:cs="宋体"/>
          <w:spacing w:val="2"/>
          <w:sz w:val="23"/>
          <w:szCs w:val="23"/>
        </w:rPr>
        <w:t xml:space="preserve">水预处理设备处理后排入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座容积为 </w:t>
      </w:r>
      <w:r>
        <w:rPr>
          <w:rFonts w:ascii="Times New Roman" w:hAnsi="Times New Roman" w:eastAsia="Times New Roman" w:cs="Times New Roman"/>
          <w:spacing w:val="2"/>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的三级沉淀池 (</w:t>
      </w:r>
      <w:r>
        <w:rPr>
          <w:rFonts w:ascii="Times New Roman" w:hAnsi="Times New Roman" w:eastAsia="Times New Roman" w:cs="Times New Roman"/>
          <w:spacing w:val="2"/>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5</w:t>
      </w:r>
      <w:r>
        <w:rPr>
          <w:rFonts w:ascii="Times New Roman" w:hAnsi="Times New Roman" w:eastAsia="Times New Roman" w:cs="Times New Roman"/>
          <w:sz w:val="23"/>
          <w:szCs w:val="23"/>
        </w:rPr>
        <w:t>m</w:t>
      </w:r>
      <w:r>
        <w:rPr>
          <w:rFonts w:ascii="宋体" w:hAnsi="宋体" w:eastAsia="宋体" w:cs="宋体"/>
          <w:sz w:val="23"/>
          <w:szCs w:val="23"/>
        </w:rPr>
        <w:t xml:space="preserve">) 沉淀 </w:t>
      </w:r>
      <w:r>
        <w:rPr>
          <w:rFonts w:ascii="宋体" w:hAnsi="宋体" w:eastAsia="宋体" w:cs="宋体"/>
          <w:spacing w:val="14"/>
          <w:sz w:val="23"/>
          <w:szCs w:val="23"/>
        </w:rPr>
        <w:t>处</w:t>
      </w:r>
      <w:r>
        <w:rPr>
          <w:rFonts w:ascii="宋体" w:hAnsi="宋体" w:eastAsia="宋体" w:cs="宋体"/>
          <w:spacing w:val="9"/>
          <w:sz w:val="23"/>
          <w:szCs w:val="23"/>
        </w:rPr>
        <w:t>理</w:t>
      </w:r>
      <w:r>
        <w:rPr>
          <w:rFonts w:ascii="宋体" w:hAnsi="宋体" w:eastAsia="宋体" w:cs="宋体"/>
          <w:spacing w:val="7"/>
          <w:sz w:val="23"/>
          <w:szCs w:val="23"/>
        </w:rPr>
        <w:t>，一体化污水预处理设备及三级沉淀池位于生产厂房西南侧，生产废水经三</w:t>
      </w:r>
      <w:r>
        <w:rPr>
          <w:rFonts w:ascii="宋体" w:hAnsi="宋体" w:eastAsia="宋体" w:cs="宋体"/>
          <w:sz w:val="23"/>
          <w:szCs w:val="23"/>
        </w:rPr>
        <w:t xml:space="preserve"> </w:t>
      </w:r>
      <w:r>
        <w:rPr>
          <w:rFonts w:ascii="宋体" w:hAnsi="宋体" w:eastAsia="宋体" w:cs="宋体"/>
          <w:spacing w:val="-1"/>
          <w:sz w:val="23"/>
          <w:szCs w:val="23"/>
        </w:rPr>
        <w:t xml:space="preserve">级沉淀池处理后循环使用。污水处理设施废水每月更换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次，更换过程</w:t>
      </w:r>
      <w:r>
        <w:rPr>
          <w:rFonts w:ascii="宋体" w:hAnsi="宋体" w:eastAsia="宋体" w:cs="宋体"/>
          <w:sz w:val="23"/>
          <w:szCs w:val="23"/>
        </w:rPr>
        <w:t xml:space="preserve">产生的废水 </w:t>
      </w:r>
      <w:r>
        <w:rPr>
          <w:rFonts w:ascii="宋体" w:hAnsi="宋体" w:eastAsia="宋体" w:cs="宋体"/>
          <w:spacing w:val="-2"/>
          <w:sz w:val="23"/>
          <w:szCs w:val="23"/>
        </w:rPr>
        <w:t>经吸污车运送至本溪市科态污水处理有限责任公司统一处理</w:t>
      </w:r>
      <w:r>
        <w:rPr>
          <w:rFonts w:ascii="宋体" w:hAnsi="宋体" w:eastAsia="宋体" w:cs="宋体"/>
          <w:sz w:val="23"/>
          <w:szCs w:val="23"/>
        </w:rPr>
        <w:t>。</w:t>
      </w:r>
    </w:p>
    <w:p w14:paraId="033DD884">
      <w:pPr>
        <w:spacing w:before="137" w:line="380" w:lineRule="auto"/>
        <w:ind w:left="22" w:firstLine="481"/>
        <w:rPr>
          <w:rFonts w:ascii="宋体" w:hAnsi="宋体" w:eastAsia="宋体" w:cs="宋体"/>
          <w:sz w:val="23"/>
          <w:szCs w:val="23"/>
        </w:rPr>
      </w:pPr>
      <w:r>
        <w:rPr>
          <w:rFonts w:ascii="宋体" w:hAnsi="宋体" w:eastAsia="宋体" w:cs="宋体"/>
          <w:spacing w:val="21"/>
          <w:sz w:val="23"/>
          <w:szCs w:val="23"/>
        </w:rPr>
        <w:t>本</w:t>
      </w:r>
      <w:r>
        <w:rPr>
          <w:rFonts w:ascii="宋体" w:hAnsi="宋体" w:eastAsia="宋体" w:cs="宋体"/>
          <w:spacing w:val="14"/>
          <w:sz w:val="23"/>
          <w:szCs w:val="23"/>
        </w:rPr>
        <w:t>项目对土壤可能产生影响的途径主要为在生产过程中由于操作失误导致</w:t>
      </w:r>
      <w:r>
        <w:rPr>
          <w:rFonts w:ascii="宋体" w:hAnsi="宋体" w:eastAsia="宋体" w:cs="宋体"/>
          <w:sz w:val="23"/>
          <w:szCs w:val="23"/>
        </w:rPr>
        <w:t xml:space="preserve"> </w:t>
      </w:r>
      <w:r>
        <w:rPr>
          <w:rFonts w:ascii="宋体" w:hAnsi="宋体" w:eastAsia="宋体" w:cs="宋体"/>
          <w:spacing w:val="4"/>
          <w:sz w:val="23"/>
          <w:szCs w:val="23"/>
        </w:rPr>
        <w:t>废水进入土壤环境，属于污染</w:t>
      </w:r>
      <w:r>
        <w:rPr>
          <w:rFonts w:ascii="宋体" w:hAnsi="宋体" w:eastAsia="宋体" w:cs="宋体"/>
          <w:spacing w:val="2"/>
          <w:sz w:val="23"/>
          <w:szCs w:val="23"/>
        </w:rPr>
        <w:t>影响型建设项目。由于本项目厂区地面均采用硬化、</w:t>
      </w:r>
      <w:r>
        <w:rPr>
          <w:rFonts w:ascii="宋体" w:hAnsi="宋体" w:eastAsia="宋体" w:cs="宋体"/>
          <w:sz w:val="23"/>
          <w:szCs w:val="23"/>
        </w:rPr>
        <w:t xml:space="preserve"> </w:t>
      </w:r>
      <w:r>
        <w:rPr>
          <w:rFonts w:ascii="宋体" w:hAnsi="宋体" w:eastAsia="宋体" w:cs="宋体"/>
          <w:spacing w:val="9"/>
          <w:sz w:val="23"/>
          <w:szCs w:val="23"/>
        </w:rPr>
        <w:t>防</w:t>
      </w:r>
      <w:r>
        <w:rPr>
          <w:rFonts w:ascii="宋体" w:hAnsi="宋体" w:eastAsia="宋体" w:cs="宋体"/>
          <w:spacing w:val="7"/>
          <w:sz w:val="23"/>
          <w:szCs w:val="23"/>
        </w:rPr>
        <w:t>渗混凝土地面，因此，土壤污染途径确定为事故状态下，地面防渗层破碎时废</w:t>
      </w:r>
      <w:r>
        <w:rPr>
          <w:rFonts w:ascii="宋体" w:hAnsi="宋体" w:eastAsia="宋体" w:cs="宋体"/>
          <w:sz w:val="23"/>
          <w:szCs w:val="23"/>
        </w:rPr>
        <w:t xml:space="preserve"> </w:t>
      </w:r>
      <w:r>
        <w:rPr>
          <w:rFonts w:ascii="宋体" w:hAnsi="宋体" w:eastAsia="宋体" w:cs="宋体"/>
          <w:spacing w:val="8"/>
          <w:sz w:val="23"/>
          <w:szCs w:val="23"/>
        </w:rPr>
        <w:t xml:space="preserve">水垂直入渗。根据 </w:t>
      </w:r>
      <w:r>
        <w:rPr>
          <w:rFonts w:ascii="Times New Roman" w:hAnsi="Times New Roman" w:eastAsia="Times New Roman" w:cs="Times New Roman"/>
          <w:spacing w:val="8"/>
          <w:sz w:val="23"/>
          <w:szCs w:val="23"/>
        </w:rPr>
        <w:t xml:space="preserve">4.3.4 </w:t>
      </w:r>
      <w:r>
        <w:rPr>
          <w:rFonts w:ascii="宋体" w:hAnsi="宋体" w:eastAsia="宋体" w:cs="宋体"/>
          <w:spacing w:val="8"/>
          <w:sz w:val="23"/>
          <w:szCs w:val="23"/>
        </w:rPr>
        <w:t>章节，本项目占地范围内监测点位各项指标均符合土</w:t>
      </w:r>
      <w:r>
        <w:rPr>
          <w:rFonts w:ascii="宋体" w:hAnsi="宋体" w:eastAsia="宋体" w:cs="宋体"/>
          <w:spacing w:val="1"/>
          <w:sz w:val="23"/>
          <w:szCs w:val="23"/>
        </w:rPr>
        <w:t>壤</w:t>
      </w:r>
      <w:r>
        <w:rPr>
          <w:rFonts w:ascii="宋体" w:hAnsi="宋体" w:eastAsia="宋体" w:cs="宋体"/>
          <w:sz w:val="23"/>
          <w:szCs w:val="23"/>
        </w:rPr>
        <w:t xml:space="preserve"> </w:t>
      </w:r>
      <w:r>
        <w:rPr>
          <w:rFonts w:ascii="宋体" w:hAnsi="宋体" w:eastAsia="宋体" w:cs="宋体"/>
          <w:spacing w:val="14"/>
          <w:sz w:val="23"/>
          <w:szCs w:val="23"/>
        </w:rPr>
        <w:t>环</w:t>
      </w:r>
      <w:r>
        <w:rPr>
          <w:rFonts w:ascii="宋体" w:hAnsi="宋体" w:eastAsia="宋体" w:cs="宋体"/>
          <w:spacing w:val="10"/>
          <w:sz w:val="23"/>
          <w:szCs w:val="23"/>
        </w:rPr>
        <w:t>境</w:t>
      </w:r>
      <w:r>
        <w:rPr>
          <w:rFonts w:ascii="宋体" w:hAnsi="宋体" w:eastAsia="宋体" w:cs="宋体"/>
          <w:spacing w:val="7"/>
          <w:sz w:val="23"/>
          <w:szCs w:val="23"/>
        </w:rPr>
        <w:t>质量建设用地土壤污染风险管控标准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36600-2018</w:t>
      </w:r>
      <w:r>
        <w:rPr>
          <w:rFonts w:ascii="宋体" w:hAnsi="宋体" w:eastAsia="宋体" w:cs="宋体"/>
          <w:spacing w:val="7"/>
          <w:sz w:val="23"/>
          <w:szCs w:val="23"/>
        </w:rPr>
        <w:t>) 中筛选</w:t>
      </w:r>
      <w:r>
        <w:rPr>
          <w:rFonts w:ascii="宋体" w:hAnsi="宋体" w:eastAsia="宋体" w:cs="宋体"/>
          <w:sz w:val="23"/>
          <w:szCs w:val="23"/>
        </w:rPr>
        <w:t xml:space="preserve"> </w:t>
      </w:r>
      <w:r>
        <w:rPr>
          <w:rFonts w:ascii="宋体" w:hAnsi="宋体" w:eastAsia="宋体" w:cs="宋体"/>
          <w:spacing w:val="13"/>
          <w:sz w:val="23"/>
          <w:szCs w:val="23"/>
        </w:rPr>
        <w:t>值</w:t>
      </w:r>
      <w:r>
        <w:rPr>
          <w:rFonts w:ascii="宋体" w:hAnsi="宋体" w:eastAsia="宋体" w:cs="宋体"/>
          <w:spacing w:val="9"/>
          <w:sz w:val="23"/>
          <w:szCs w:val="23"/>
        </w:rPr>
        <w:t>第二类用地标准，说明区域的土壤环境质量较好。</w:t>
      </w:r>
    </w:p>
    <w:p w14:paraId="421862D1">
      <w:pPr>
        <w:spacing w:before="136" w:line="384" w:lineRule="auto"/>
        <w:ind w:left="38" w:firstLine="465"/>
        <w:rPr>
          <w:rFonts w:ascii="宋体" w:hAnsi="宋体" w:eastAsia="宋体" w:cs="宋体"/>
          <w:sz w:val="23"/>
          <w:szCs w:val="23"/>
        </w:rPr>
      </w:pPr>
      <w:r>
        <w:rPr>
          <w:rFonts w:ascii="宋体" w:hAnsi="宋体" w:eastAsia="宋体" w:cs="宋体"/>
          <w:spacing w:val="4"/>
          <w:sz w:val="23"/>
          <w:szCs w:val="23"/>
        </w:rPr>
        <w:t>本项目全</w:t>
      </w:r>
      <w:r>
        <w:rPr>
          <w:rFonts w:ascii="宋体" w:hAnsi="宋体" w:eastAsia="宋体" w:cs="宋体"/>
          <w:spacing w:val="2"/>
          <w:sz w:val="23"/>
          <w:szCs w:val="23"/>
        </w:rPr>
        <w:t>场区均需硬化防渗，采取混凝土地面，上涂耐磨环氧树脂地面涂料，</w:t>
      </w:r>
      <w:r>
        <w:rPr>
          <w:rFonts w:ascii="宋体" w:hAnsi="宋体" w:eastAsia="宋体" w:cs="宋体"/>
          <w:sz w:val="23"/>
          <w:szCs w:val="23"/>
        </w:rPr>
        <w:t xml:space="preserve"> </w:t>
      </w:r>
      <w:r>
        <w:rPr>
          <w:rFonts w:ascii="宋体" w:hAnsi="宋体" w:eastAsia="宋体" w:cs="宋体"/>
          <w:spacing w:val="4"/>
          <w:sz w:val="23"/>
          <w:szCs w:val="23"/>
        </w:rPr>
        <w:t xml:space="preserve">防渗层渗透系数小于 </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2"/>
          <w:sz w:val="23"/>
          <w:szCs w:val="23"/>
        </w:rPr>
        <w:t>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s</w:t>
      </w:r>
      <w:r>
        <w:rPr>
          <w:rFonts w:ascii="宋体" w:hAnsi="宋体" w:eastAsia="宋体" w:cs="宋体"/>
          <w:spacing w:val="2"/>
          <w:sz w:val="23"/>
          <w:szCs w:val="23"/>
        </w:rPr>
        <w:t>。因此，正常情况下，可保证废水不入渗土壤环境。</w:t>
      </w:r>
    </w:p>
    <w:p w14:paraId="04B69DA0">
      <w:pPr>
        <w:spacing w:before="147" w:line="226" w:lineRule="auto"/>
        <w:ind w:left="248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4"/>
          <w:sz w:val="23"/>
          <w:szCs w:val="23"/>
        </w:rPr>
        <w:t>5-25</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土壤环境影响评价自查表</w:t>
      </w:r>
    </w:p>
    <w:p w14:paraId="6110C60F">
      <w:pPr>
        <w:spacing w:line="19" w:lineRule="exact"/>
      </w:pPr>
    </w:p>
    <w:tbl>
      <w:tblPr>
        <w:tblStyle w:val="4"/>
        <w:tblW w:w="8316"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1665"/>
        <w:gridCol w:w="5235"/>
        <w:gridCol w:w="914"/>
      </w:tblGrid>
      <w:tr w14:paraId="35BDA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2167" w:type="dxa"/>
            <w:gridSpan w:val="2"/>
            <w:tcBorders>
              <w:left w:val="nil"/>
            </w:tcBorders>
            <w:vAlign w:val="top"/>
          </w:tcPr>
          <w:p w14:paraId="02D118A1">
            <w:pPr>
              <w:spacing w:before="75" w:line="228" w:lineRule="auto"/>
              <w:ind w:left="67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工作内</w:t>
            </w:r>
            <w:r>
              <w:rPr>
                <w:rFonts w:ascii="宋体" w:hAnsi="宋体" w:eastAsia="宋体" w:cs="宋体"/>
                <w:spacing w:val="7"/>
                <w:sz w:val="20"/>
                <w:szCs w:val="20"/>
                <w14:textOutline w14:w="3795" w14:cap="sq" w14:cmpd="sng">
                  <w14:solidFill>
                    <w14:srgbClr w14:val="000000"/>
                  </w14:solidFill>
                  <w14:prstDash w14:val="solid"/>
                  <w14:bevel/>
                </w14:textOutline>
              </w:rPr>
              <w:t>容</w:t>
            </w:r>
          </w:p>
        </w:tc>
        <w:tc>
          <w:tcPr>
            <w:tcW w:w="5235" w:type="dxa"/>
            <w:vAlign w:val="top"/>
          </w:tcPr>
          <w:p w14:paraId="75AB1DCE">
            <w:pPr>
              <w:spacing w:before="75" w:line="228" w:lineRule="auto"/>
              <w:ind w:left="220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完成情况</w:t>
            </w:r>
          </w:p>
        </w:tc>
        <w:tc>
          <w:tcPr>
            <w:tcW w:w="914" w:type="dxa"/>
            <w:tcBorders>
              <w:right w:val="nil"/>
            </w:tcBorders>
            <w:vAlign w:val="top"/>
          </w:tcPr>
          <w:p w14:paraId="74D0AFF1">
            <w:pPr>
              <w:spacing w:before="76" w:line="229" w:lineRule="auto"/>
              <w:ind w:left="25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14:paraId="5999C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2" w:type="dxa"/>
            <w:vMerge w:val="restart"/>
            <w:tcBorders>
              <w:left w:val="nil"/>
              <w:bottom w:val="nil"/>
            </w:tcBorders>
            <w:vAlign w:val="top"/>
          </w:tcPr>
          <w:p w14:paraId="6AE0BB73">
            <w:pPr>
              <w:spacing w:before="213" w:line="301" w:lineRule="auto"/>
              <w:ind w:left="50" w:right="40" w:hanging="1"/>
              <w:rPr>
                <w:rFonts w:ascii="宋体" w:hAnsi="宋体" w:eastAsia="宋体" w:cs="宋体"/>
                <w:sz w:val="20"/>
                <w:szCs w:val="20"/>
              </w:rPr>
            </w:pPr>
            <w:r>
              <w:rPr>
                <w:rFonts w:ascii="宋体" w:hAnsi="宋体" w:eastAsia="宋体" w:cs="宋体"/>
                <w:spacing w:val="5"/>
                <w:sz w:val="20"/>
                <w:szCs w:val="20"/>
              </w:rPr>
              <w:t>影</w:t>
            </w:r>
            <w:r>
              <w:rPr>
                <w:rFonts w:ascii="宋体" w:hAnsi="宋体" w:eastAsia="宋体" w:cs="宋体"/>
                <w:spacing w:val="4"/>
                <w:sz w:val="20"/>
                <w:szCs w:val="20"/>
              </w:rPr>
              <w:t>响</w:t>
            </w:r>
            <w:r>
              <w:rPr>
                <w:rFonts w:ascii="宋体" w:hAnsi="宋体" w:eastAsia="宋体" w:cs="宋体"/>
                <w:sz w:val="20"/>
                <w:szCs w:val="20"/>
              </w:rPr>
              <w:t xml:space="preserve"> </w:t>
            </w:r>
            <w:r>
              <w:rPr>
                <w:rFonts w:ascii="宋体" w:hAnsi="宋体" w:eastAsia="宋体" w:cs="宋体"/>
                <w:spacing w:val="4"/>
                <w:sz w:val="20"/>
                <w:szCs w:val="20"/>
              </w:rPr>
              <w:t>识</w:t>
            </w:r>
            <w:r>
              <w:rPr>
                <w:rFonts w:ascii="宋体" w:hAnsi="宋体" w:eastAsia="宋体" w:cs="宋体"/>
                <w:spacing w:val="3"/>
                <w:sz w:val="20"/>
                <w:szCs w:val="20"/>
              </w:rPr>
              <w:t>别</w:t>
            </w:r>
          </w:p>
        </w:tc>
        <w:tc>
          <w:tcPr>
            <w:tcW w:w="1665" w:type="dxa"/>
            <w:vAlign w:val="top"/>
          </w:tcPr>
          <w:p w14:paraId="1712803A">
            <w:pPr>
              <w:spacing w:before="52" w:line="228" w:lineRule="auto"/>
              <w:ind w:left="418"/>
              <w:rPr>
                <w:rFonts w:ascii="宋体" w:hAnsi="宋体" w:eastAsia="宋体" w:cs="宋体"/>
                <w:sz w:val="20"/>
                <w:szCs w:val="20"/>
              </w:rPr>
            </w:pPr>
            <w:r>
              <w:rPr>
                <w:rFonts w:ascii="宋体" w:hAnsi="宋体" w:eastAsia="宋体" w:cs="宋体"/>
                <w:spacing w:val="8"/>
                <w:sz w:val="20"/>
                <w:szCs w:val="20"/>
              </w:rPr>
              <w:t>影</w:t>
            </w:r>
            <w:r>
              <w:rPr>
                <w:rFonts w:ascii="宋体" w:hAnsi="宋体" w:eastAsia="宋体" w:cs="宋体"/>
                <w:spacing w:val="7"/>
                <w:sz w:val="20"/>
                <w:szCs w:val="20"/>
              </w:rPr>
              <w:t>响类型</w:t>
            </w:r>
          </w:p>
        </w:tc>
        <w:tc>
          <w:tcPr>
            <w:tcW w:w="5235" w:type="dxa"/>
            <w:vAlign w:val="top"/>
          </w:tcPr>
          <w:p w14:paraId="4661E7EA">
            <w:pPr>
              <w:spacing w:before="52" w:line="184" w:lineRule="auto"/>
              <w:ind w:left="34"/>
              <w:rPr>
                <w:sz w:val="20"/>
                <w:szCs w:val="20"/>
              </w:rPr>
            </w:pPr>
            <w:r>
              <w:rPr>
                <w:rFonts w:ascii="宋体" w:hAnsi="宋体" w:eastAsia="宋体" w:cs="宋体"/>
                <w:spacing w:val="9"/>
                <w:sz w:val="20"/>
                <w:szCs w:val="20"/>
              </w:rPr>
              <w:t>污染影响型</w:t>
            </w:r>
            <w:r>
              <w:rPr>
                <w:rFonts w:ascii="微软雅黑" w:hAnsi="微软雅黑" w:eastAsia="微软雅黑" w:cs="微软雅黑"/>
                <w:spacing w:val="9"/>
                <w:sz w:val="20"/>
                <w:szCs w:val="20"/>
              </w:rPr>
              <w:t>团</w:t>
            </w:r>
            <w:r>
              <w:rPr>
                <w:rFonts w:ascii="宋体" w:hAnsi="宋体" w:eastAsia="宋体" w:cs="宋体"/>
                <w:spacing w:val="9"/>
                <w:sz w:val="20"/>
                <w:szCs w:val="20"/>
              </w:rPr>
              <w:t>；生态影响型</w:t>
            </w:r>
            <w:r>
              <w:rPr>
                <w:position w:val="-4"/>
                <w:sz w:val="20"/>
                <w:szCs w:val="20"/>
              </w:rPr>
              <w:drawing>
                <wp:inline distT="0" distB="0" distL="0" distR="0">
                  <wp:extent cx="107315" cy="1397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535"/>
                          <a:stretch>
                            <a:fillRect/>
                          </a:stretch>
                        </pic:blipFill>
                        <pic:spPr>
                          <a:xfrm>
                            <a:off x="0" y="0"/>
                            <a:ext cx="107749" cy="139749"/>
                          </a:xfrm>
                          <a:prstGeom prst="rect">
                            <a:avLst/>
                          </a:prstGeom>
                        </pic:spPr>
                      </pic:pic>
                    </a:graphicData>
                  </a:graphic>
                </wp:inline>
              </w:drawing>
            </w:r>
            <w:r>
              <w:rPr>
                <w:rFonts w:ascii="宋体" w:hAnsi="宋体" w:eastAsia="宋体" w:cs="宋体"/>
                <w:spacing w:val="9"/>
                <w:sz w:val="20"/>
                <w:szCs w:val="20"/>
              </w:rPr>
              <w:t>；两种兼有</w:t>
            </w:r>
            <w:r>
              <w:rPr>
                <w:position w:val="-4"/>
                <w:sz w:val="20"/>
                <w:szCs w:val="20"/>
              </w:rPr>
              <w:drawing>
                <wp:inline distT="0" distB="0" distL="0" distR="0">
                  <wp:extent cx="107315" cy="13970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536"/>
                          <a:stretch>
                            <a:fillRect/>
                          </a:stretch>
                        </pic:blipFill>
                        <pic:spPr>
                          <a:xfrm>
                            <a:off x="0" y="0"/>
                            <a:ext cx="107749" cy="139749"/>
                          </a:xfrm>
                          <a:prstGeom prst="rect">
                            <a:avLst/>
                          </a:prstGeom>
                        </pic:spPr>
                      </pic:pic>
                    </a:graphicData>
                  </a:graphic>
                </wp:inline>
              </w:drawing>
            </w:r>
          </w:p>
        </w:tc>
        <w:tc>
          <w:tcPr>
            <w:tcW w:w="914" w:type="dxa"/>
            <w:tcBorders>
              <w:right w:val="nil"/>
            </w:tcBorders>
            <w:vAlign w:val="top"/>
          </w:tcPr>
          <w:p w14:paraId="3B1C19E3">
            <w:pPr>
              <w:rPr>
                <w:rFonts w:ascii="Arial"/>
                <w:sz w:val="21"/>
              </w:rPr>
            </w:pPr>
          </w:p>
        </w:tc>
      </w:tr>
      <w:tr w14:paraId="2E315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2" w:type="dxa"/>
            <w:vMerge w:val="continue"/>
            <w:tcBorders>
              <w:top w:val="nil"/>
              <w:left w:val="nil"/>
            </w:tcBorders>
            <w:vAlign w:val="top"/>
          </w:tcPr>
          <w:p w14:paraId="530BBE10">
            <w:pPr>
              <w:rPr>
                <w:rFonts w:ascii="Arial"/>
                <w:sz w:val="21"/>
              </w:rPr>
            </w:pPr>
          </w:p>
        </w:tc>
        <w:tc>
          <w:tcPr>
            <w:tcW w:w="1665" w:type="dxa"/>
            <w:vAlign w:val="top"/>
          </w:tcPr>
          <w:p w14:paraId="56AA2BF0">
            <w:pPr>
              <w:spacing w:before="208" w:line="228" w:lineRule="auto"/>
              <w:ind w:left="207"/>
              <w:rPr>
                <w:rFonts w:ascii="宋体" w:hAnsi="宋体" w:eastAsia="宋体" w:cs="宋体"/>
                <w:sz w:val="20"/>
                <w:szCs w:val="20"/>
              </w:rPr>
            </w:pPr>
            <w:r>
              <w:rPr>
                <w:rFonts w:ascii="宋体" w:hAnsi="宋体" w:eastAsia="宋体" w:cs="宋体"/>
                <w:spacing w:val="8"/>
                <w:sz w:val="20"/>
                <w:szCs w:val="20"/>
              </w:rPr>
              <w:t>土地利用类型</w:t>
            </w:r>
          </w:p>
        </w:tc>
        <w:tc>
          <w:tcPr>
            <w:tcW w:w="5235" w:type="dxa"/>
            <w:vAlign w:val="top"/>
          </w:tcPr>
          <w:p w14:paraId="704F9690">
            <w:pPr>
              <w:spacing w:before="208" w:line="193" w:lineRule="auto"/>
              <w:ind w:left="34"/>
              <w:rPr>
                <w:sz w:val="20"/>
                <w:szCs w:val="20"/>
              </w:rPr>
            </w:pPr>
            <w:r>
              <w:rPr>
                <w:rFonts w:ascii="宋体" w:hAnsi="宋体" w:eastAsia="宋体" w:cs="宋体"/>
                <w:spacing w:val="16"/>
                <w:sz w:val="20"/>
                <w:szCs w:val="20"/>
              </w:rPr>
              <w:t>建</w:t>
            </w:r>
            <w:r>
              <w:rPr>
                <w:rFonts w:ascii="宋体" w:hAnsi="宋体" w:eastAsia="宋体" w:cs="宋体"/>
                <w:spacing w:val="9"/>
                <w:sz w:val="20"/>
                <w:szCs w:val="20"/>
              </w:rPr>
              <w:t>设</w:t>
            </w:r>
            <w:r>
              <w:rPr>
                <w:rFonts w:ascii="宋体" w:hAnsi="宋体" w:eastAsia="宋体" w:cs="宋体"/>
                <w:spacing w:val="8"/>
                <w:sz w:val="20"/>
                <w:szCs w:val="20"/>
              </w:rPr>
              <w:t>用地</w:t>
            </w:r>
            <w:r>
              <w:rPr>
                <w:rFonts w:ascii="微软雅黑" w:hAnsi="微软雅黑" w:eastAsia="微软雅黑" w:cs="微软雅黑"/>
                <w:spacing w:val="8"/>
                <w:sz w:val="20"/>
                <w:szCs w:val="20"/>
              </w:rPr>
              <w:t>团</w:t>
            </w:r>
            <w:r>
              <w:rPr>
                <w:rFonts w:ascii="宋体" w:hAnsi="宋体" w:eastAsia="宋体" w:cs="宋体"/>
                <w:spacing w:val="8"/>
                <w:sz w:val="20"/>
                <w:szCs w:val="20"/>
              </w:rPr>
              <w:t>；农用地</w:t>
            </w:r>
            <w:r>
              <w:rPr>
                <w:position w:val="-4"/>
                <w:sz w:val="20"/>
                <w:szCs w:val="20"/>
              </w:rPr>
              <w:drawing>
                <wp:inline distT="0" distB="0" distL="0" distR="0">
                  <wp:extent cx="107950" cy="1397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537"/>
                          <a:stretch>
                            <a:fillRect/>
                          </a:stretch>
                        </pic:blipFill>
                        <pic:spPr>
                          <a:xfrm>
                            <a:off x="0" y="0"/>
                            <a:ext cx="108519" cy="139748"/>
                          </a:xfrm>
                          <a:prstGeom prst="rect">
                            <a:avLst/>
                          </a:prstGeom>
                        </pic:spPr>
                      </pic:pic>
                    </a:graphicData>
                  </a:graphic>
                </wp:inline>
              </w:drawing>
            </w:r>
            <w:r>
              <w:rPr>
                <w:rFonts w:ascii="宋体" w:hAnsi="宋体" w:eastAsia="宋体" w:cs="宋体"/>
                <w:spacing w:val="8"/>
                <w:sz w:val="20"/>
                <w:szCs w:val="20"/>
              </w:rPr>
              <w:t>；未利用地</w:t>
            </w:r>
            <w:r>
              <w:rPr>
                <w:position w:val="-4"/>
                <w:sz w:val="20"/>
                <w:szCs w:val="20"/>
              </w:rPr>
              <w:drawing>
                <wp:inline distT="0" distB="0" distL="0" distR="0">
                  <wp:extent cx="107950" cy="13970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538"/>
                          <a:stretch>
                            <a:fillRect/>
                          </a:stretch>
                        </pic:blipFill>
                        <pic:spPr>
                          <a:xfrm>
                            <a:off x="0" y="0"/>
                            <a:ext cx="108519" cy="139748"/>
                          </a:xfrm>
                          <a:prstGeom prst="rect">
                            <a:avLst/>
                          </a:prstGeom>
                        </pic:spPr>
                      </pic:pic>
                    </a:graphicData>
                  </a:graphic>
                </wp:inline>
              </w:drawing>
            </w:r>
          </w:p>
        </w:tc>
        <w:tc>
          <w:tcPr>
            <w:tcW w:w="914" w:type="dxa"/>
            <w:tcBorders>
              <w:right w:val="nil"/>
            </w:tcBorders>
            <w:vAlign w:val="top"/>
          </w:tcPr>
          <w:p w14:paraId="26AACF17">
            <w:pPr>
              <w:spacing w:before="52" w:line="258" w:lineRule="auto"/>
              <w:ind w:left="146" w:right="40" w:hanging="104"/>
              <w:rPr>
                <w:rFonts w:ascii="宋体" w:hAnsi="宋体" w:eastAsia="宋体" w:cs="宋体"/>
                <w:sz w:val="20"/>
                <w:szCs w:val="20"/>
              </w:rPr>
            </w:pPr>
            <w:r>
              <w:rPr>
                <w:rFonts w:ascii="宋体" w:hAnsi="宋体" w:eastAsia="宋体" w:cs="宋体"/>
                <w:spacing w:val="7"/>
                <w:sz w:val="20"/>
                <w:szCs w:val="20"/>
              </w:rPr>
              <w:t>土地利用</w:t>
            </w:r>
            <w:r>
              <w:rPr>
                <w:rFonts w:ascii="宋体" w:hAnsi="宋体" w:eastAsia="宋体" w:cs="宋体"/>
                <w:sz w:val="20"/>
                <w:szCs w:val="20"/>
              </w:rPr>
              <w:t xml:space="preserve"> </w:t>
            </w:r>
            <w:r>
              <w:rPr>
                <w:rFonts w:ascii="宋体" w:hAnsi="宋体" w:eastAsia="宋体" w:cs="宋体"/>
                <w:spacing w:val="7"/>
                <w:sz w:val="20"/>
                <w:szCs w:val="20"/>
              </w:rPr>
              <w:t>类型</w:t>
            </w:r>
            <w:r>
              <w:rPr>
                <w:rFonts w:ascii="宋体" w:hAnsi="宋体" w:eastAsia="宋体" w:cs="宋体"/>
                <w:spacing w:val="6"/>
                <w:sz w:val="20"/>
                <w:szCs w:val="20"/>
              </w:rPr>
              <w:t>图</w:t>
            </w:r>
          </w:p>
        </w:tc>
      </w:tr>
    </w:tbl>
    <w:p w14:paraId="5EB4A5B5">
      <w:pPr>
        <w:rPr>
          <w:rFonts w:ascii="Arial"/>
          <w:sz w:val="21"/>
        </w:rPr>
      </w:pPr>
    </w:p>
    <w:p w14:paraId="420384B7">
      <w:pPr>
        <w:sectPr>
          <w:headerReference r:id="rId252" w:type="default"/>
          <w:footerReference r:id="rId253" w:type="default"/>
          <w:pgSz w:w="11906" w:h="16839"/>
          <w:pgMar w:top="1132" w:right="1719" w:bottom="1182" w:left="1785" w:header="878" w:footer="1022" w:gutter="0"/>
          <w:cols w:space="720" w:num="1"/>
        </w:sectPr>
      </w:pPr>
    </w:p>
    <w:p w14:paraId="7D410739">
      <w:r>
        <w:pict>
          <v:rect id="_x0000_s1292" o:spid="_x0000_s1292" o:spt="1" style="position:absolute;left:0pt;margin-left:90pt;margin-top:57.35pt;height:0.75pt;width:415.3pt;mso-position-horizontal-relative:page;mso-position-vertical-relative:page;z-index:251945984;mso-width-relative:page;mso-height-relative:page;" fillcolor="#000000" filled="t" stroked="f" coordsize="21600,21600" o:allowincell="f">
            <v:path/>
            <v:fill on="t" focussize="0,0"/>
            <v:stroke on="f"/>
            <v:imagedata o:title=""/>
            <o:lock v:ext="edit"/>
          </v:rect>
        </w:pict>
      </w:r>
    </w:p>
    <w:p w14:paraId="7BD25547">
      <w:pPr>
        <w:spacing w:line="65" w:lineRule="exact"/>
      </w:pPr>
    </w:p>
    <w:tbl>
      <w:tblPr>
        <w:tblStyle w:val="4"/>
        <w:tblW w:w="8315"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1665"/>
        <w:gridCol w:w="1399"/>
        <w:gridCol w:w="1236"/>
        <w:gridCol w:w="1120"/>
        <w:gridCol w:w="1479"/>
        <w:gridCol w:w="914"/>
      </w:tblGrid>
      <w:tr w14:paraId="3D1DE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02" w:type="dxa"/>
            <w:vMerge w:val="restart"/>
            <w:tcBorders>
              <w:left w:val="nil"/>
              <w:bottom w:val="nil"/>
            </w:tcBorders>
            <w:vAlign w:val="top"/>
          </w:tcPr>
          <w:p w14:paraId="564C5A0B">
            <w:pPr>
              <w:rPr>
                <w:rFonts w:ascii="Arial"/>
                <w:sz w:val="21"/>
              </w:rPr>
            </w:pPr>
          </w:p>
        </w:tc>
        <w:tc>
          <w:tcPr>
            <w:tcW w:w="1665" w:type="dxa"/>
            <w:vAlign w:val="top"/>
          </w:tcPr>
          <w:p w14:paraId="619A6B62">
            <w:pPr>
              <w:spacing w:before="75" w:line="228" w:lineRule="auto"/>
              <w:ind w:left="452"/>
              <w:rPr>
                <w:rFonts w:ascii="宋体" w:hAnsi="宋体" w:eastAsia="宋体" w:cs="宋体"/>
                <w:sz w:val="20"/>
                <w:szCs w:val="20"/>
              </w:rPr>
            </w:pPr>
            <w:r>
              <w:rPr>
                <w:rFonts w:ascii="宋体" w:hAnsi="宋体" w:eastAsia="宋体" w:cs="宋体"/>
                <w:spacing w:val="-2"/>
                <w:sz w:val="20"/>
                <w:szCs w:val="20"/>
              </w:rPr>
              <w:t>占</w:t>
            </w:r>
            <w:r>
              <w:rPr>
                <w:rFonts w:ascii="宋体" w:hAnsi="宋体" w:eastAsia="宋体" w:cs="宋体"/>
                <w:spacing w:val="-1"/>
                <w:sz w:val="20"/>
                <w:szCs w:val="20"/>
              </w:rPr>
              <w:t>地规模</w:t>
            </w:r>
          </w:p>
        </w:tc>
        <w:tc>
          <w:tcPr>
            <w:tcW w:w="5234" w:type="dxa"/>
            <w:gridSpan w:val="4"/>
            <w:vAlign w:val="top"/>
          </w:tcPr>
          <w:p w14:paraId="7BFD0ADC">
            <w:pPr>
              <w:spacing w:before="38" w:line="281" w:lineRule="exact"/>
              <w:ind w:left="42"/>
              <w:rPr>
                <w:rFonts w:ascii="Times New Roman" w:hAnsi="Times New Roman" w:eastAsia="Times New Roman" w:cs="Times New Roman"/>
                <w:sz w:val="13"/>
                <w:szCs w:val="13"/>
              </w:rPr>
            </w:pPr>
            <w:r>
              <w:rPr>
                <w:rFonts w:ascii="宋体" w:hAnsi="宋体" w:eastAsia="宋体" w:cs="宋体"/>
                <w:spacing w:val="22"/>
                <w:position w:val="1"/>
                <w:sz w:val="20"/>
                <w:szCs w:val="20"/>
              </w:rPr>
              <w:t>(</w:t>
            </w:r>
            <w:r>
              <w:rPr>
                <w:rFonts w:ascii="Times New Roman" w:hAnsi="Times New Roman" w:eastAsia="Times New Roman" w:cs="Times New Roman"/>
                <w:spacing w:val="18"/>
                <w:position w:val="1"/>
                <w:sz w:val="20"/>
                <w:szCs w:val="20"/>
              </w:rPr>
              <w:t>0.7</w:t>
            </w:r>
            <w:r>
              <w:rPr>
                <w:rFonts w:ascii="宋体" w:hAnsi="宋体" w:eastAsia="宋体" w:cs="宋体"/>
                <w:spacing w:val="18"/>
                <w:position w:val="1"/>
                <w:sz w:val="20"/>
                <w:szCs w:val="20"/>
              </w:rPr>
              <w:t xml:space="preserve">) </w:t>
            </w:r>
            <w:r>
              <w:rPr>
                <w:rFonts w:ascii="Times New Roman" w:hAnsi="Times New Roman" w:eastAsia="Times New Roman" w:cs="Times New Roman"/>
                <w:position w:val="1"/>
                <w:sz w:val="20"/>
                <w:szCs w:val="20"/>
              </w:rPr>
              <w:t>hm</w:t>
            </w:r>
            <w:r>
              <w:rPr>
                <w:rFonts w:ascii="Times New Roman" w:hAnsi="Times New Roman" w:eastAsia="Times New Roman" w:cs="Times New Roman"/>
                <w:spacing w:val="18"/>
                <w:position w:val="7"/>
                <w:sz w:val="13"/>
                <w:szCs w:val="13"/>
              </w:rPr>
              <w:t>2</w:t>
            </w:r>
          </w:p>
        </w:tc>
        <w:tc>
          <w:tcPr>
            <w:tcW w:w="914" w:type="dxa"/>
            <w:tcBorders>
              <w:right w:val="nil"/>
            </w:tcBorders>
            <w:vAlign w:val="top"/>
          </w:tcPr>
          <w:p w14:paraId="3F2D8B4D">
            <w:pPr>
              <w:rPr>
                <w:rFonts w:ascii="Arial"/>
                <w:sz w:val="21"/>
              </w:rPr>
            </w:pPr>
          </w:p>
        </w:tc>
      </w:tr>
      <w:tr w14:paraId="7383F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103EFFFA">
            <w:pPr>
              <w:rPr>
                <w:rFonts w:ascii="Arial"/>
                <w:sz w:val="21"/>
              </w:rPr>
            </w:pPr>
          </w:p>
        </w:tc>
        <w:tc>
          <w:tcPr>
            <w:tcW w:w="1665" w:type="dxa"/>
            <w:vAlign w:val="top"/>
          </w:tcPr>
          <w:p w14:paraId="4AB2AF07">
            <w:pPr>
              <w:spacing w:before="50" w:line="228" w:lineRule="auto"/>
              <w:ind w:left="207"/>
              <w:rPr>
                <w:rFonts w:ascii="宋体" w:hAnsi="宋体" w:eastAsia="宋体" w:cs="宋体"/>
                <w:sz w:val="20"/>
                <w:szCs w:val="20"/>
              </w:rPr>
            </w:pPr>
            <w:r>
              <w:rPr>
                <w:rFonts w:ascii="宋体" w:hAnsi="宋体" w:eastAsia="宋体" w:cs="宋体"/>
                <w:spacing w:val="8"/>
                <w:sz w:val="20"/>
                <w:szCs w:val="20"/>
              </w:rPr>
              <w:t>敏感目标信息</w:t>
            </w:r>
          </w:p>
        </w:tc>
        <w:tc>
          <w:tcPr>
            <w:tcW w:w="5234" w:type="dxa"/>
            <w:gridSpan w:val="4"/>
            <w:vAlign w:val="top"/>
          </w:tcPr>
          <w:p w14:paraId="21499C1D">
            <w:pPr>
              <w:spacing w:before="50" w:line="228" w:lineRule="auto"/>
              <w:ind w:left="33"/>
              <w:rPr>
                <w:rFonts w:ascii="宋体" w:hAnsi="宋体" w:eastAsia="宋体" w:cs="宋体"/>
                <w:sz w:val="20"/>
                <w:szCs w:val="20"/>
              </w:rPr>
            </w:pPr>
            <w:r>
              <w:rPr>
                <w:rFonts w:ascii="宋体" w:hAnsi="宋体" w:eastAsia="宋体" w:cs="宋体"/>
                <w:spacing w:val="14"/>
                <w:sz w:val="20"/>
                <w:szCs w:val="20"/>
              </w:rPr>
              <w:t>敏</w:t>
            </w:r>
            <w:r>
              <w:rPr>
                <w:rFonts w:ascii="宋体" w:hAnsi="宋体" w:eastAsia="宋体" w:cs="宋体"/>
                <w:spacing w:val="10"/>
                <w:sz w:val="20"/>
                <w:szCs w:val="20"/>
              </w:rPr>
              <w:t>感</w:t>
            </w:r>
            <w:r>
              <w:rPr>
                <w:rFonts w:ascii="宋体" w:hAnsi="宋体" w:eastAsia="宋体" w:cs="宋体"/>
                <w:spacing w:val="7"/>
                <w:sz w:val="20"/>
                <w:szCs w:val="20"/>
              </w:rPr>
              <w:t>目标 (农田) 、方位 (西侧) 、距离 (相邻)</w:t>
            </w:r>
          </w:p>
        </w:tc>
        <w:tc>
          <w:tcPr>
            <w:tcW w:w="914" w:type="dxa"/>
            <w:tcBorders>
              <w:right w:val="nil"/>
            </w:tcBorders>
            <w:vAlign w:val="top"/>
          </w:tcPr>
          <w:p w14:paraId="108D31D0">
            <w:pPr>
              <w:rPr>
                <w:rFonts w:ascii="Arial"/>
                <w:sz w:val="21"/>
              </w:rPr>
            </w:pPr>
          </w:p>
        </w:tc>
      </w:tr>
      <w:tr w14:paraId="5E1CC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2" w:type="dxa"/>
            <w:vMerge w:val="continue"/>
            <w:tcBorders>
              <w:top w:val="nil"/>
              <w:left w:val="nil"/>
              <w:bottom w:val="nil"/>
            </w:tcBorders>
            <w:vAlign w:val="top"/>
          </w:tcPr>
          <w:p w14:paraId="2209923B">
            <w:pPr>
              <w:rPr>
                <w:rFonts w:ascii="Arial"/>
                <w:sz w:val="21"/>
              </w:rPr>
            </w:pPr>
          </w:p>
        </w:tc>
        <w:tc>
          <w:tcPr>
            <w:tcW w:w="1665" w:type="dxa"/>
            <w:vAlign w:val="top"/>
          </w:tcPr>
          <w:p w14:paraId="6DD0AFA7">
            <w:pPr>
              <w:spacing w:before="208" w:line="228" w:lineRule="auto"/>
              <w:ind w:left="418"/>
              <w:rPr>
                <w:rFonts w:ascii="宋体" w:hAnsi="宋体" w:eastAsia="宋体" w:cs="宋体"/>
                <w:sz w:val="20"/>
                <w:szCs w:val="20"/>
              </w:rPr>
            </w:pPr>
            <w:r>
              <w:rPr>
                <w:rFonts w:ascii="宋体" w:hAnsi="宋体" w:eastAsia="宋体" w:cs="宋体"/>
                <w:spacing w:val="8"/>
                <w:sz w:val="20"/>
                <w:szCs w:val="20"/>
              </w:rPr>
              <w:t>影</w:t>
            </w:r>
            <w:r>
              <w:rPr>
                <w:rFonts w:ascii="宋体" w:hAnsi="宋体" w:eastAsia="宋体" w:cs="宋体"/>
                <w:spacing w:val="7"/>
                <w:sz w:val="20"/>
                <w:szCs w:val="20"/>
              </w:rPr>
              <w:t>响途径</w:t>
            </w:r>
          </w:p>
        </w:tc>
        <w:tc>
          <w:tcPr>
            <w:tcW w:w="5234" w:type="dxa"/>
            <w:gridSpan w:val="4"/>
            <w:vAlign w:val="top"/>
          </w:tcPr>
          <w:p w14:paraId="7956E224">
            <w:pPr>
              <w:spacing w:before="52" w:line="229" w:lineRule="auto"/>
              <w:ind w:left="33" w:right="309" w:firstLine="1"/>
              <w:rPr>
                <w:rFonts w:ascii="宋体" w:hAnsi="宋体" w:eastAsia="宋体" w:cs="宋体"/>
                <w:sz w:val="20"/>
                <w:szCs w:val="20"/>
              </w:rPr>
            </w:pPr>
            <w:r>
              <w:rPr>
                <w:rFonts w:ascii="宋体" w:hAnsi="宋体" w:eastAsia="宋体" w:cs="宋体"/>
                <w:spacing w:val="12"/>
                <w:sz w:val="20"/>
                <w:szCs w:val="20"/>
              </w:rPr>
              <w:t>大</w:t>
            </w:r>
            <w:r>
              <w:rPr>
                <w:rFonts w:ascii="宋体" w:hAnsi="宋体" w:eastAsia="宋体" w:cs="宋体"/>
                <w:spacing w:val="8"/>
                <w:sz w:val="20"/>
                <w:szCs w:val="20"/>
              </w:rPr>
              <w:t>气沉降</w:t>
            </w:r>
            <w:r>
              <w:rPr>
                <w:position w:val="-4"/>
                <w:sz w:val="20"/>
                <w:szCs w:val="20"/>
              </w:rPr>
              <w:drawing>
                <wp:inline distT="0" distB="0" distL="0" distR="0">
                  <wp:extent cx="107950" cy="13970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539"/>
                          <a:stretch>
                            <a:fillRect/>
                          </a:stretch>
                        </pic:blipFill>
                        <pic:spPr>
                          <a:xfrm>
                            <a:off x="0" y="0"/>
                            <a:ext cx="108510" cy="139748"/>
                          </a:xfrm>
                          <a:prstGeom prst="rect">
                            <a:avLst/>
                          </a:prstGeom>
                        </pic:spPr>
                      </pic:pic>
                    </a:graphicData>
                  </a:graphic>
                </wp:inline>
              </w:drawing>
            </w:r>
            <w:r>
              <w:rPr>
                <w:rFonts w:ascii="宋体" w:hAnsi="宋体" w:eastAsia="宋体" w:cs="宋体"/>
                <w:spacing w:val="8"/>
                <w:sz w:val="20"/>
                <w:szCs w:val="20"/>
              </w:rPr>
              <w:t>；地面漫流</w:t>
            </w:r>
            <w:r>
              <w:rPr>
                <w:position w:val="-4"/>
                <w:sz w:val="20"/>
                <w:szCs w:val="20"/>
              </w:rPr>
              <w:drawing>
                <wp:inline distT="0" distB="0" distL="0" distR="0">
                  <wp:extent cx="107950" cy="13970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540"/>
                          <a:stretch>
                            <a:fillRect/>
                          </a:stretch>
                        </pic:blipFill>
                        <pic:spPr>
                          <a:xfrm>
                            <a:off x="0" y="0"/>
                            <a:ext cx="108509" cy="139748"/>
                          </a:xfrm>
                          <a:prstGeom prst="rect">
                            <a:avLst/>
                          </a:prstGeom>
                        </pic:spPr>
                      </pic:pic>
                    </a:graphicData>
                  </a:graphic>
                </wp:inline>
              </w:drawing>
            </w:r>
            <w:r>
              <w:rPr>
                <w:rFonts w:ascii="宋体" w:hAnsi="宋体" w:eastAsia="宋体" w:cs="宋体"/>
                <w:spacing w:val="8"/>
                <w:sz w:val="20"/>
                <w:szCs w:val="20"/>
              </w:rPr>
              <w:t>；垂直入渗</w:t>
            </w:r>
            <w:r>
              <w:rPr>
                <w:rFonts w:ascii="微软雅黑" w:hAnsi="微软雅黑" w:eastAsia="微软雅黑" w:cs="微软雅黑"/>
                <w:spacing w:val="8"/>
                <w:sz w:val="20"/>
                <w:szCs w:val="20"/>
              </w:rPr>
              <w:t>团</w:t>
            </w:r>
            <w:r>
              <w:rPr>
                <w:rFonts w:ascii="宋体" w:hAnsi="宋体" w:eastAsia="宋体" w:cs="宋体"/>
                <w:spacing w:val="8"/>
                <w:sz w:val="20"/>
                <w:szCs w:val="20"/>
              </w:rPr>
              <w:t>；地下水位</w:t>
            </w:r>
            <w:r>
              <w:rPr>
                <w:position w:val="-4"/>
                <w:sz w:val="20"/>
                <w:szCs w:val="20"/>
              </w:rPr>
              <w:drawing>
                <wp:inline distT="0" distB="0" distL="0" distR="0">
                  <wp:extent cx="107950" cy="1397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540"/>
                          <a:stretch>
                            <a:fillRect/>
                          </a:stretch>
                        </pic:blipFill>
                        <pic:spPr>
                          <a:xfrm>
                            <a:off x="0" y="0"/>
                            <a:ext cx="108509" cy="139748"/>
                          </a:xfrm>
                          <a:prstGeom prst="rect">
                            <a:avLst/>
                          </a:prstGeom>
                        </pic:spPr>
                      </pic:pic>
                    </a:graphicData>
                  </a:graphic>
                </wp:inline>
              </w:drawing>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5"/>
                <w:sz w:val="20"/>
                <w:szCs w:val="20"/>
              </w:rPr>
              <w:t>其</w:t>
            </w:r>
            <w:r>
              <w:rPr>
                <w:rFonts w:ascii="宋体" w:hAnsi="宋体" w:eastAsia="宋体" w:cs="宋体"/>
                <w:spacing w:val="4"/>
                <w:sz w:val="20"/>
                <w:szCs w:val="20"/>
              </w:rPr>
              <w:t>他 (</w:t>
            </w:r>
            <w:r>
              <w:rPr>
                <w:rFonts w:ascii="Times New Roman" w:hAnsi="Times New Roman" w:eastAsia="Times New Roman" w:cs="Times New Roman"/>
                <w:spacing w:val="4"/>
                <w:sz w:val="20"/>
                <w:szCs w:val="20"/>
              </w:rPr>
              <w:t>/</w:t>
            </w:r>
            <w:r>
              <w:rPr>
                <w:rFonts w:ascii="宋体" w:hAnsi="宋体" w:eastAsia="宋体" w:cs="宋体"/>
                <w:spacing w:val="4"/>
                <w:sz w:val="20"/>
                <w:szCs w:val="20"/>
              </w:rPr>
              <w:t>)</w:t>
            </w:r>
          </w:p>
        </w:tc>
        <w:tc>
          <w:tcPr>
            <w:tcW w:w="914" w:type="dxa"/>
            <w:tcBorders>
              <w:right w:val="nil"/>
            </w:tcBorders>
            <w:vAlign w:val="top"/>
          </w:tcPr>
          <w:p w14:paraId="26558961">
            <w:pPr>
              <w:rPr>
                <w:rFonts w:ascii="Arial"/>
                <w:sz w:val="21"/>
              </w:rPr>
            </w:pPr>
          </w:p>
        </w:tc>
      </w:tr>
      <w:tr w14:paraId="10F28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0B6D00B3">
            <w:pPr>
              <w:rPr>
                <w:rFonts w:ascii="Arial"/>
                <w:sz w:val="21"/>
              </w:rPr>
            </w:pPr>
          </w:p>
        </w:tc>
        <w:tc>
          <w:tcPr>
            <w:tcW w:w="1665" w:type="dxa"/>
            <w:vAlign w:val="top"/>
          </w:tcPr>
          <w:p w14:paraId="2A94DA94">
            <w:pPr>
              <w:spacing w:before="53" w:line="228" w:lineRule="auto"/>
              <w:ind w:left="312"/>
              <w:rPr>
                <w:rFonts w:ascii="宋体" w:hAnsi="宋体" w:eastAsia="宋体" w:cs="宋体"/>
                <w:sz w:val="20"/>
                <w:szCs w:val="20"/>
              </w:rPr>
            </w:pPr>
            <w:r>
              <w:rPr>
                <w:rFonts w:ascii="宋体" w:hAnsi="宋体" w:eastAsia="宋体" w:cs="宋体"/>
                <w:spacing w:val="8"/>
                <w:sz w:val="20"/>
                <w:szCs w:val="20"/>
              </w:rPr>
              <w:t>全部污染物</w:t>
            </w:r>
          </w:p>
        </w:tc>
        <w:tc>
          <w:tcPr>
            <w:tcW w:w="5234" w:type="dxa"/>
            <w:gridSpan w:val="4"/>
            <w:vAlign w:val="top"/>
          </w:tcPr>
          <w:p w14:paraId="4EFB9CCE">
            <w:pPr>
              <w:spacing w:before="90" w:line="192"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2"/>
                <w:position w:val="-1"/>
                <w:sz w:val="13"/>
                <w:szCs w:val="13"/>
              </w:rPr>
              <w:t xml:space="preserve">5 </w:t>
            </w:r>
            <w:r>
              <w:rPr>
                <w:rFonts w:ascii="宋体" w:hAnsi="宋体" w:eastAsia="宋体" w:cs="宋体"/>
                <w:spacing w:val="-2"/>
                <w:sz w:val="20"/>
                <w:szCs w:val="20"/>
              </w:rPr>
              <w:t>、</w:t>
            </w:r>
            <w:r>
              <w:rPr>
                <w:rFonts w:ascii="Times New Roman" w:hAnsi="Times New Roman" w:eastAsia="Times New Roman" w:cs="Times New Roman"/>
                <w:spacing w:val="-1"/>
                <w:sz w:val="20"/>
                <w:szCs w:val="20"/>
              </w:rPr>
              <w:t>SS</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1"/>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1"/>
                <w:sz w:val="20"/>
                <w:szCs w:val="20"/>
              </w:rPr>
              <w:t>-N</w:t>
            </w:r>
          </w:p>
        </w:tc>
        <w:tc>
          <w:tcPr>
            <w:tcW w:w="914" w:type="dxa"/>
            <w:tcBorders>
              <w:right w:val="nil"/>
            </w:tcBorders>
            <w:vAlign w:val="top"/>
          </w:tcPr>
          <w:p w14:paraId="4DA0A023">
            <w:pPr>
              <w:rPr>
                <w:rFonts w:ascii="Arial"/>
                <w:sz w:val="21"/>
              </w:rPr>
            </w:pPr>
          </w:p>
        </w:tc>
      </w:tr>
      <w:tr w14:paraId="4D6E0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2E19F847">
            <w:pPr>
              <w:rPr>
                <w:rFonts w:ascii="Arial"/>
                <w:sz w:val="21"/>
              </w:rPr>
            </w:pPr>
          </w:p>
        </w:tc>
        <w:tc>
          <w:tcPr>
            <w:tcW w:w="1665" w:type="dxa"/>
            <w:vAlign w:val="top"/>
          </w:tcPr>
          <w:p w14:paraId="139ED6A2">
            <w:pPr>
              <w:spacing w:before="53" w:line="228" w:lineRule="auto"/>
              <w:ind w:left="418"/>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征因子</w:t>
            </w:r>
          </w:p>
        </w:tc>
        <w:tc>
          <w:tcPr>
            <w:tcW w:w="5234" w:type="dxa"/>
            <w:gridSpan w:val="4"/>
            <w:vAlign w:val="top"/>
          </w:tcPr>
          <w:p w14:paraId="50E680F7">
            <w:pPr>
              <w:spacing w:before="89" w:line="195" w:lineRule="auto"/>
              <w:ind w:left="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914" w:type="dxa"/>
            <w:tcBorders>
              <w:right w:val="nil"/>
            </w:tcBorders>
            <w:vAlign w:val="top"/>
          </w:tcPr>
          <w:p w14:paraId="72CE0FBF">
            <w:pPr>
              <w:rPr>
                <w:rFonts w:ascii="Arial"/>
                <w:sz w:val="21"/>
              </w:rPr>
            </w:pPr>
          </w:p>
        </w:tc>
      </w:tr>
      <w:tr w14:paraId="4E7F2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2" w:type="dxa"/>
            <w:vMerge w:val="continue"/>
            <w:tcBorders>
              <w:top w:val="nil"/>
              <w:left w:val="nil"/>
              <w:bottom w:val="nil"/>
            </w:tcBorders>
            <w:vAlign w:val="top"/>
          </w:tcPr>
          <w:p w14:paraId="0F376F52">
            <w:pPr>
              <w:rPr>
                <w:rFonts w:ascii="Arial"/>
                <w:sz w:val="21"/>
              </w:rPr>
            </w:pPr>
          </w:p>
        </w:tc>
        <w:tc>
          <w:tcPr>
            <w:tcW w:w="1665" w:type="dxa"/>
            <w:vAlign w:val="top"/>
          </w:tcPr>
          <w:p w14:paraId="41FB323E">
            <w:pPr>
              <w:spacing w:before="53" w:line="257" w:lineRule="auto"/>
              <w:ind w:left="111" w:right="97" w:hanging="10"/>
              <w:rPr>
                <w:rFonts w:ascii="宋体" w:hAnsi="宋体" w:eastAsia="宋体" w:cs="宋体"/>
                <w:sz w:val="20"/>
                <w:szCs w:val="20"/>
              </w:rPr>
            </w:pPr>
            <w:r>
              <w:rPr>
                <w:rFonts w:ascii="宋体" w:hAnsi="宋体" w:eastAsia="宋体" w:cs="宋体"/>
                <w:spacing w:val="12"/>
                <w:sz w:val="20"/>
                <w:szCs w:val="20"/>
              </w:rPr>
              <w:t>所</w:t>
            </w:r>
            <w:r>
              <w:rPr>
                <w:rFonts w:ascii="宋体" w:hAnsi="宋体" w:eastAsia="宋体" w:cs="宋体"/>
                <w:spacing w:val="8"/>
                <w:sz w:val="20"/>
                <w:szCs w:val="20"/>
              </w:rPr>
              <w:t>属土壤环境影</w:t>
            </w:r>
            <w:r>
              <w:rPr>
                <w:rFonts w:ascii="宋体" w:hAnsi="宋体" w:eastAsia="宋体" w:cs="宋体"/>
                <w:sz w:val="20"/>
                <w:szCs w:val="20"/>
              </w:rPr>
              <w:t xml:space="preserve"> </w:t>
            </w:r>
            <w:r>
              <w:rPr>
                <w:rFonts w:ascii="宋体" w:hAnsi="宋体" w:eastAsia="宋体" w:cs="宋体"/>
                <w:spacing w:val="8"/>
                <w:sz w:val="20"/>
                <w:szCs w:val="20"/>
              </w:rPr>
              <w:t>响</w:t>
            </w:r>
            <w:r>
              <w:rPr>
                <w:rFonts w:ascii="宋体" w:hAnsi="宋体" w:eastAsia="宋体" w:cs="宋体"/>
                <w:spacing w:val="7"/>
                <w:sz w:val="20"/>
                <w:szCs w:val="20"/>
              </w:rPr>
              <w:t>评价项目类别</w:t>
            </w:r>
          </w:p>
        </w:tc>
        <w:tc>
          <w:tcPr>
            <w:tcW w:w="5234" w:type="dxa"/>
            <w:gridSpan w:val="4"/>
            <w:vAlign w:val="top"/>
          </w:tcPr>
          <w:p w14:paraId="53234995">
            <w:pPr>
              <w:spacing w:before="208" w:line="193" w:lineRule="auto"/>
              <w:ind w:left="29"/>
              <w:rPr>
                <w:sz w:val="20"/>
                <w:szCs w:val="20"/>
              </w:rPr>
            </w:pPr>
            <w:r>
              <w:rPr>
                <w:rFonts w:ascii="Times New Roman" w:hAnsi="Times New Roman" w:eastAsia="Times New Roman" w:cs="Times New Roman"/>
                <w:spacing w:val="-8"/>
                <w:sz w:val="20"/>
                <w:szCs w:val="20"/>
              </w:rPr>
              <w:t>Ⅰ</w:t>
            </w:r>
            <w:r>
              <w:rPr>
                <w:rFonts w:ascii="宋体" w:hAnsi="宋体" w:eastAsia="宋体" w:cs="宋体"/>
                <w:spacing w:val="-6"/>
                <w:sz w:val="20"/>
                <w:szCs w:val="20"/>
              </w:rPr>
              <w:t>类</w:t>
            </w:r>
            <w:r>
              <w:rPr>
                <w:position w:val="-4"/>
                <w:sz w:val="20"/>
                <w:szCs w:val="20"/>
              </w:rPr>
              <w:drawing>
                <wp:inline distT="0" distB="0" distL="0" distR="0">
                  <wp:extent cx="107950" cy="13970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535"/>
                          <a:stretch>
                            <a:fillRect/>
                          </a:stretch>
                        </pic:blipFill>
                        <pic:spPr>
                          <a:xfrm>
                            <a:off x="0" y="0"/>
                            <a:ext cx="107985" cy="139748"/>
                          </a:xfrm>
                          <a:prstGeom prst="rect">
                            <a:avLst/>
                          </a:prstGeom>
                        </pic:spPr>
                      </pic:pic>
                    </a:graphicData>
                  </a:graphic>
                </wp:inline>
              </w:drawing>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Ⅱ</w:t>
            </w:r>
            <w:r>
              <w:rPr>
                <w:rFonts w:ascii="宋体" w:hAnsi="宋体" w:eastAsia="宋体" w:cs="宋体"/>
                <w:spacing w:val="-6"/>
                <w:sz w:val="20"/>
                <w:szCs w:val="20"/>
              </w:rPr>
              <w:t>类</w:t>
            </w:r>
            <w:r>
              <w:rPr>
                <w:position w:val="-4"/>
                <w:sz w:val="20"/>
                <w:szCs w:val="20"/>
              </w:rPr>
              <w:drawing>
                <wp:inline distT="0" distB="0" distL="0" distR="0">
                  <wp:extent cx="107950" cy="1397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535"/>
                          <a:stretch>
                            <a:fillRect/>
                          </a:stretch>
                        </pic:blipFill>
                        <pic:spPr>
                          <a:xfrm>
                            <a:off x="0" y="0"/>
                            <a:ext cx="107985" cy="139748"/>
                          </a:xfrm>
                          <a:prstGeom prst="rect">
                            <a:avLst/>
                          </a:prstGeom>
                        </pic:spPr>
                      </pic:pic>
                    </a:graphicData>
                  </a:graphic>
                </wp:inline>
              </w:drawing>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Ⅲ</w:t>
            </w:r>
            <w:r>
              <w:rPr>
                <w:rFonts w:ascii="宋体" w:hAnsi="宋体" w:eastAsia="宋体" w:cs="宋体"/>
                <w:spacing w:val="-6"/>
                <w:sz w:val="20"/>
                <w:szCs w:val="20"/>
              </w:rPr>
              <w:t>类</w:t>
            </w:r>
            <w:r>
              <w:rPr>
                <w:rFonts w:ascii="微软雅黑" w:hAnsi="微软雅黑" w:eastAsia="微软雅黑" w:cs="微软雅黑"/>
                <w:spacing w:val="-6"/>
                <w:sz w:val="20"/>
                <w:szCs w:val="20"/>
              </w:rPr>
              <w:t>团</w:t>
            </w:r>
            <w:r>
              <w:rPr>
                <w:rFonts w:ascii="宋体" w:hAnsi="宋体" w:eastAsia="宋体" w:cs="宋体"/>
                <w:spacing w:val="-6"/>
                <w:sz w:val="20"/>
                <w:szCs w:val="20"/>
              </w:rPr>
              <w:t>；</w:t>
            </w:r>
            <w:r>
              <w:rPr>
                <w:rFonts w:ascii="Times New Roman" w:hAnsi="Times New Roman" w:eastAsia="Times New Roman" w:cs="Times New Roman"/>
                <w:spacing w:val="-6"/>
                <w:sz w:val="20"/>
                <w:szCs w:val="20"/>
              </w:rPr>
              <w:t>Ⅳ</w:t>
            </w:r>
            <w:r>
              <w:rPr>
                <w:rFonts w:ascii="宋体" w:hAnsi="宋体" w:eastAsia="宋体" w:cs="宋体"/>
                <w:spacing w:val="-6"/>
                <w:sz w:val="20"/>
                <w:szCs w:val="20"/>
              </w:rPr>
              <w:t>类</w:t>
            </w:r>
            <w:r>
              <w:rPr>
                <w:position w:val="-4"/>
                <w:sz w:val="20"/>
                <w:szCs w:val="20"/>
              </w:rPr>
              <w:drawing>
                <wp:inline distT="0" distB="0" distL="0" distR="0">
                  <wp:extent cx="107950" cy="13970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535"/>
                          <a:stretch>
                            <a:fillRect/>
                          </a:stretch>
                        </pic:blipFill>
                        <pic:spPr>
                          <a:xfrm>
                            <a:off x="0" y="0"/>
                            <a:ext cx="107985" cy="139748"/>
                          </a:xfrm>
                          <a:prstGeom prst="rect">
                            <a:avLst/>
                          </a:prstGeom>
                        </pic:spPr>
                      </pic:pic>
                    </a:graphicData>
                  </a:graphic>
                </wp:inline>
              </w:drawing>
            </w:r>
          </w:p>
        </w:tc>
        <w:tc>
          <w:tcPr>
            <w:tcW w:w="914" w:type="dxa"/>
            <w:tcBorders>
              <w:right w:val="nil"/>
            </w:tcBorders>
            <w:vAlign w:val="top"/>
          </w:tcPr>
          <w:p w14:paraId="2F4FE855">
            <w:pPr>
              <w:rPr>
                <w:rFonts w:ascii="Arial"/>
                <w:sz w:val="21"/>
              </w:rPr>
            </w:pPr>
          </w:p>
        </w:tc>
      </w:tr>
      <w:tr w14:paraId="34505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tcBorders>
            <w:vAlign w:val="top"/>
          </w:tcPr>
          <w:p w14:paraId="34B41AC2">
            <w:pPr>
              <w:rPr>
                <w:rFonts w:ascii="Arial"/>
                <w:sz w:val="21"/>
              </w:rPr>
            </w:pPr>
          </w:p>
        </w:tc>
        <w:tc>
          <w:tcPr>
            <w:tcW w:w="1665" w:type="dxa"/>
            <w:vAlign w:val="top"/>
          </w:tcPr>
          <w:p w14:paraId="0A5179D4">
            <w:pPr>
              <w:spacing w:before="52" w:line="228" w:lineRule="auto"/>
              <w:ind w:left="419"/>
              <w:rPr>
                <w:rFonts w:ascii="宋体" w:hAnsi="宋体" w:eastAsia="宋体" w:cs="宋体"/>
                <w:sz w:val="20"/>
                <w:szCs w:val="20"/>
              </w:rPr>
            </w:pPr>
            <w:r>
              <w:rPr>
                <w:rFonts w:ascii="宋体" w:hAnsi="宋体" w:eastAsia="宋体" w:cs="宋体"/>
                <w:spacing w:val="7"/>
                <w:sz w:val="20"/>
                <w:szCs w:val="20"/>
              </w:rPr>
              <w:t>敏感程度</w:t>
            </w:r>
          </w:p>
        </w:tc>
        <w:tc>
          <w:tcPr>
            <w:tcW w:w="5234" w:type="dxa"/>
            <w:gridSpan w:val="4"/>
            <w:vAlign w:val="top"/>
          </w:tcPr>
          <w:p w14:paraId="4559E57B">
            <w:pPr>
              <w:spacing w:before="52" w:line="185" w:lineRule="auto"/>
              <w:ind w:left="33"/>
              <w:rPr>
                <w:sz w:val="20"/>
                <w:szCs w:val="20"/>
              </w:rPr>
            </w:pPr>
            <w:r>
              <w:rPr>
                <w:rFonts w:ascii="宋体" w:hAnsi="宋体" w:eastAsia="宋体" w:cs="宋体"/>
                <w:spacing w:val="12"/>
                <w:sz w:val="20"/>
                <w:szCs w:val="20"/>
              </w:rPr>
              <w:t>敏</w:t>
            </w:r>
            <w:r>
              <w:rPr>
                <w:rFonts w:ascii="宋体" w:hAnsi="宋体" w:eastAsia="宋体" w:cs="宋体"/>
                <w:spacing w:val="8"/>
                <w:sz w:val="20"/>
                <w:szCs w:val="20"/>
              </w:rPr>
              <w:t>感</w:t>
            </w:r>
            <w:r>
              <w:rPr>
                <w:rFonts w:ascii="微软雅黑" w:hAnsi="微软雅黑" w:eastAsia="微软雅黑" w:cs="微软雅黑"/>
                <w:spacing w:val="8"/>
                <w:sz w:val="20"/>
                <w:szCs w:val="20"/>
              </w:rPr>
              <w:t>团</w:t>
            </w:r>
            <w:r>
              <w:rPr>
                <w:rFonts w:ascii="宋体" w:hAnsi="宋体" w:eastAsia="宋体" w:cs="宋体"/>
                <w:spacing w:val="8"/>
                <w:sz w:val="20"/>
                <w:szCs w:val="20"/>
              </w:rPr>
              <w:t>；较敏感</w:t>
            </w:r>
            <w:r>
              <w:rPr>
                <w:position w:val="-4"/>
                <w:sz w:val="20"/>
                <w:szCs w:val="20"/>
              </w:rPr>
              <w:drawing>
                <wp:inline distT="0" distB="0" distL="0" distR="0">
                  <wp:extent cx="107950" cy="1397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535"/>
                          <a:stretch>
                            <a:fillRect/>
                          </a:stretch>
                        </pic:blipFill>
                        <pic:spPr>
                          <a:xfrm>
                            <a:off x="0" y="0"/>
                            <a:ext cx="108509" cy="139748"/>
                          </a:xfrm>
                          <a:prstGeom prst="rect">
                            <a:avLst/>
                          </a:prstGeom>
                        </pic:spPr>
                      </pic:pic>
                    </a:graphicData>
                  </a:graphic>
                </wp:inline>
              </w:drawing>
            </w:r>
            <w:r>
              <w:rPr>
                <w:rFonts w:ascii="宋体" w:hAnsi="宋体" w:eastAsia="宋体" w:cs="宋体"/>
                <w:spacing w:val="8"/>
                <w:sz w:val="20"/>
                <w:szCs w:val="20"/>
              </w:rPr>
              <w:t>；不敏感</w:t>
            </w:r>
            <w:r>
              <w:rPr>
                <w:position w:val="-4"/>
                <w:sz w:val="20"/>
                <w:szCs w:val="20"/>
              </w:rPr>
              <w:drawing>
                <wp:inline distT="0" distB="0" distL="0" distR="0">
                  <wp:extent cx="107950" cy="13970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536"/>
                          <a:stretch>
                            <a:fillRect/>
                          </a:stretch>
                        </pic:blipFill>
                        <pic:spPr>
                          <a:xfrm>
                            <a:off x="0" y="0"/>
                            <a:ext cx="108509" cy="139748"/>
                          </a:xfrm>
                          <a:prstGeom prst="rect">
                            <a:avLst/>
                          </a:prstGeom>
                        </pic:spPr>
                      </pic:pic>
                    </a:graphicData>
                  </a:graphic>
                </wp:inline>
              </w:drawing>
            </w:r>
          </w:p>
        </w:tc>
        <w:tc>
          <w:tcPr>
            <w:tcW w:w="914" w:type="dxa"/>
            <w:tcBorders>
              <w:right w:val="nil"/>
            </w:tcBorders>
            <w:vAlign w:val="top"/>
          </w:tcPr>
          <w:p w14:paraId="48A66252">
            <w:pPr>
              <w:rPr>
                <w:rFonts w:ascii="Arial"/>
                <w:sz w:val="21"/>
              </w:rPr>
            </w:pPr>
          </w:p>
        </w:tc>
      </w:tr>
      <w:tr w14:paraId="6905C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67" w:type="dxa"/>
            <w:gridSpan w:val="2"/>
            <w:tcBorders>
              <w:left w:val="nil"/>
            </w:tcBorders>
            <w:vAlign w:val="top"/>
          </w:tcPr>
          <w:p w14:paraId="35496151">
            <w:pPr>
              <w:spacing w:before="52" w:line="226" w:lineRule="auto"/>
              <w:ind w:left="461"/>
              <w:rPr>
                <w:rFonts w:ascii="宋体" w:hAnsi="宋体" w:eastAsia="宋体" w:cs="宋体"/>
                <w:sz w:val="20"/>
                <w:szCs w:val="20"/>
              </w:rPr>
            </w:pPr>
            <w:r>
              <w:rPr>
                <w:rFonts w:ascii="宋体" w:hAnsi="宋体" w:eastAsia="宋体" w:cs="宋体"/>
                <w:spacing w:val="10"/>
                <w:sz w:val="20"/>
                <w:szCs w:val="20"/>
              </w:rPr>
              <w:t>评</w:t>
            </w:r>
            <w:r>
              <w:rPr>
                <w:rFonts w:ascii="宋体" w:hAnsi="宋体" w:eastAsia="宋体" w:cs="宋体"/>
                <w:spacing w:val="8"/>
                <w:sz w:val="20"/>
                <w:szCs w:val="20"/>
              </w:rPr>
              <w:t>价工作等级</w:t>
            </w:r>
          </w:p>
        </w:tc>
        <w:tc>
          <w:tcPr>
            <w:tcW w:w="5234" w:type="dxa"/>
            <w:gridSpan w:val="4"/>
            <w:vAlign w:val="top"/>
          </w:tcPr>
          <w:p w14:paraId="7AF9006D">
            <w:pPr>
              <w:spacing w:before="52" w:line="185" w:lineRule="auto"/>
              <w:ind w:left="35"/>
              <w:rPr>
                <w:rFonts w:ascii="微软雅黑" w:hAnsi="微软雅黑" w:eastAsia="微软雅黑" w:cs="微软雅黑"/>
                <w:sz w:val="20"/>
                <w:szCs w:val="20"/>
              </w:rPr>
            </w:pPr>
            <w:r>
              <w:rPr>
                <w:rFonts w:ascii="宋体" w:hAnsi="宋体" w:eastAsia="宋体" w:cs="宋体"/>
                <w:spacing w:val="13"/>
                <w:sz w:val="20"/>
                <w:szCs w:val="20"/>
              </w:rPr>
              <w:t>一</w:t>
            </w:r>
            <w:r>
              <w:rPr>
                <w:rFonts w:ascii="宋体" w:hAnsi="宋体" w:eastAsia="宋体" w:cs="宋体"/>
                <w:spacing w:val="11"/>
                <w:sz w:val="20"/>
                <w:szCs w:val="20"/>
              </w:rPr>
              <w:t>级</w:t>
            </w:r>
            <w:r>
              <w:rPr>
                <w:position w:val="-4"/>
                <w:sz w:val="20"/>
                <w:szCs w:val="20"/>
              </w:rPr>
              <w:drawing>
                <wp:inline distT="0" distB="0" distL="0" distR="0">
                  <wp:extent cx="107950" cy="13970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539"/>
                          <a:stretch>
                            <a:fillRect/>
                          </a:stretch>
                        </pic:blipFill>
                        <pic:spPr>
                          <a:xfrm>
                            <a:off x="0" y="0"/>
                            <a:ext cx="108497" cy="139748"/>
                          </a:xfrm>
                          <a:prstGeom prst="rect">
                            <a:avLst/>
                          </a:prstGeom>
                        </pic:spPr>
                      </pic:pic>
                    </a:graphicData>
                  </a:graphic>
                </wp:inline>
              </w:drawing>
            </w:r>
            <w:r>
              <w:rPr>
                <w:rFonts w:ascii="宋体" w:hAnsi="宋体" w:eastAsia="宋体" w:cs="宋体"/>
                <w:spacing w:val="11"/>
                <w:sz w:val="20"/>
                <w:szCs w:val="20"/>
              </w:rPr>
              <w:t>；二级</w:t>
            </w:r>
            <w:r>
              <w:rPr>
                <w:position w:val="-4"/>
                <w:sz w:val="20"/>
                <w:szCs w:val="20"/>
              </w:rPr>
              <w:drawing>
                <wp:inline distT="0" distB="0" distL="0" distR="0">
                  <wp:extent cx="107950" cy="139700"/>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540"/>
                          <a:stretch>
                            <a:fillRect/>
                          </a:stretch>
                        </pic:blipFill>
                        <pic:spPr>
                          <a:xfrm>
                            <a:off x="0" y="0"/>
                            <a:ext cx="108496" cy="139748"/>
                          </a:xfrm>
                          <a:prstGeom prst="rect">
                            <a:avLst/>
                          </a:prstGeom>
                        </pic:spPr>
                      </pic:pic>
                    </a:graphicData>
                  </a:graphic>
                </wp:inline>
              </w:drawing>
            </w:r>
            <w:r>
              <w:rPr>
                <w:rFonts w:ascii="宋体" w:hAnsi="宋体" w:eastAsia="宋体" w:cs="宋体"/>
                <w:spacing w:val="11"/>
                <w:sz w:val="20"/>
                <w:szCs w:val="20"/>
              </w:rPr>
              <w:t>；三级</w:t>
            </w:r>
            <w:r>
              <w:rPr>
                <w:rFonts w:ascii="微软雅黑" w:hAnsi="微软雅黑" w:eastAsia="微软雅黑" w:cs="微软雅黑"/>
                <w:spacing w:val="11"/>
                <w:sz w:val="20"/>
                <w:szCs w:val="20"/>
              </w:rPr>
              <w:t>团</w:t>
            </w:r>
          </w:p>
        </w:tc>
        <w:tc>
          <w:tcPr>
            <w:tcW w:w="914" w:type="dxa"/>
            <w:tcBorders>
              <w:right w:val="nil"/>
            </w:tcBorders>
            <w:vAlign w:val="top"/>
          </w:tcPr>
          <w:p w14:paraId="390D119E">
            <w:pPr>
              <w:rPr>
                <w:rFonts w:ascii="Arial"/>
                <w:sz w:val="21"/>
              </w:rPr>
            </w:pPr>
          </w:p>
        </w:tc>
      </w:tr>
      <w:tr w14:paraId="55F17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restart"/>
            <w:tcBorders>
              <w:left w:val="nil"/>
              <w:bottom w:val="nil"/>
            </w:tcBorders>
            <w:vAlign w:val="top"/>
          </w:tcPr>
          <w:p w14:paraId="66504AB6">
            <w:pPr>
              <w:spacing w:line="267" w:lineRule="auto"/>
              <w:rPr>
                <w:rFonts w:ascii="Arial"/>
                <w:sz w:val="21"/>
              </w:rPr>
            </w:pPr>
          </w:p>
          <w:p w14:paraId="09C6E814">
            <w:pPr>
              <w:spacing w:line="268" w:lineRule="auto"/>
              <w:rPr>
                <w:rFonts w:ascii="Arial"/>
                <w:sz w:val="21"/>
              </w:rPr>
            </w:pPr>
          </w:p>
          <w:p w14:paraId="4A8F9555">
            <w:pPr>
              <w:spacing w:line="268" w:lineRule="auto"/>
              <w:rPr>
                <w:rFonts w:ascii="Arial"/>
                <w:sz w:val="21"/>
              </w:rPr>
            </w:pPr>
          </w:p>
          <w:p w14:paraId="1EAC1530">
            <w:pPr>
              <w:spacing w:line="268" w:lineRule="auto"/>
              <w:rPr>
                <w:rFonts w:ascii="Arial"/>
                <w:sz w:val="21"/>
              </w:rPr>
            </w:pPr>
          </w:p>
          <w:p w14:paraId="3A40F11F">
            <w:pPr>
              <w:spacing w:line="268" w:lineRule="auto"/>
              <w:rPr>
                <w:rFonts w:ascii="Arial"/>
                <w:sz w:val="21"/>
              </w:rPr>
            </w:pPr>
          </w:p>
          <w:p w14:paraId="23D11735">
            <w:pPr>
              <w:spacing w:line="268" w:lineRule="auto"/>
              <w:rPr>
                <w:rFonts w:ascii="Arial"/>
                <w:sz w:val="21"/>
              </w:rPr>
            </w:pPr>
          </w:p>
          <w:p w14:paraId="226676EE">
            <w:pPr>
              <w:spacing w:line="268" w:lineRule="auto"/>
              <w:rPr>
                <w:rFonts w:ascii="Arial"/>
                <w:sz w:val="21"/>
              </w:rPr>
            </w:pPr>
          </w:p>
          <w:p w14:paraId="0A17AB18">
            <w:pPr>
              <w:spacing w:before="65" w:line="296" w:lineRule="auto"/>
              <w:ind w:left="50" w:right="40"/>
              <w:rPr>
                <w:rFonts w:ascii="宋体" w:hAnsi="宋体" w:eastAsia="宋体" w:cs="宋体"/>
                <w:sz w:val="20"/>
                <w:szCs w:val="20"/>
              </w:rPr>
            </w:pPr>
            <w:r>
              <w:rPr>
                <w:rFonts w:ascii="宋体" w:hAnsi="宋体" w:eastAsia="宋体" w:cs="宋体"/>
                <w:spacing w:val="4"/>
                <w:sz w:val="20"/>
                <w:szCs w:val="20"/>
              </w:rPr>
              <w:t>现</w:t>
            </w:r>
            <w:r>
              <w:rPr>
                <w:rFonts w:ascii="宋体" w:hAnsi="宋体" w:eastAsia="宋体" w:cs="宋体"/>
                <w:spacing w:val="3"/>
                <w:sz w:val="20"/>
                <w:szCs w:val="20"/>
              </w:rPr>
              <w:t>状</w:t>
            </w:r>
            <w:r>
              <w:rPr>
                <w:rFonts w:ascii="宋体" w:hAnsi="宋体" w:eastAsia="宋体" w:cs="宋体"/>
                <w:sz w:val="20"/>
                <w:szCs w:val="20"/>
              </w:rPr>
              <w:t xml:space="preserve"> </w:t>
            </w:r>
            <w:r>
              <w:rPr>
                <w:rFonts w:ascii="宋体" w:hAnsi="宋体" w:eastAsia="宋体" w:cs="宋体"/>
                <w:spacing w:val="4"/>
                <w:sz w:val="20"/>
                <w:szCs w:val="20"/>
              </w:rPr>
              <w:t>调</w:t>
            </w:r>
            <w:r>
              <w:rPr>
                <w:rFonts w:ascii="宋体" w:hAnsi="宋体" w:eastAsia="宋体" w:cs="宋体"/>
                <w:spacing w:val="3"/>
                <w:sz w:val="20"/>
                <w:szCs w:val="20"/>
              </w:rPr>
              <w:t>查</w:t>
            </w:r>
            <w:r>
              <w:rPr>
                <w:rFonts w:ascii="宋体" w:hAnsi="宋体" w:eastAsia="宋体" w:cs="宋体"/>
                <w:sz w:val="20"/>
                <w:szCs w:val="20"/>
              </w:rPr>
              <w:t xml:space="preserve"> </w:t>
            </w:r>
            <w:r>
              <w:rPr>
                <w:rFonts w:ascii="宋体" w:hAnsi="宋体" w:eastAsia="宋体" w:cs="宋体"/>
                <w:spacing w:val="4"/>
                <w:sz w:val="20"/>
                <w:szCs w:val="20"/>
              </w:rPr>
              <w:t>内</w:t>
            </w:r>
            <w:r>
              <w:rPr>
                <w:rFonts w:ascii="宋体" w:hAnsi="宋体" w:eastAsia="宋体" w:cs="宋体"/>
                <w:spacing w:val="3"/>
                <w:sz w:val="20"/>
                <w:szCs w:val="20"/>
              </w:rPr>
              <w:t>容</w:t>
            </w:r>
          </w:p>
        </w:tc>
        <w:tc>
          <w:tcPr>
            <w:tcW w:w="1665" w:type="dxa"/>
            <w:vAlign w:val="top"/>
          </w:tcPr>
          <w:p w14:paraId="63045F1F">
            <w:pPr>
              <w:spacing w:before="53" w:line="228" w:lineRule="auto"/>
              <w:ind w:left="427"/>
              <w:rPr>
                <w:rFonts w:ascii="宋体" w:hAnsi="宋体" w:eastAsia="宋体" w:cs="宋体"/>
                <w:sz w:val="20"/>
                <w:szCs w:val="20"/>
              </w:rPr>
            </w:pPr>
            <w:r>
              <w:rPr>
                <w:rFonts w:ascii="宋体" w:hAnsi="宋体" w:eastAsia="宋体" w:cs="宋体"/>
                <w:spacing w:val="5"/>
                <w:sz w:val="20"/>
                <w:szCs w:val="20"/>
              </w:rPr>
              <w:t>资料收集</w:t>
            </w:r>
          </w:p>
        </w:tc>
        <w:tc>
          <w:tcPr>
            <w:tcW w:w="5234" w:type="dxa"/>
            <w:gridSpan w:val="4"/>
            <w:vAlign w:val="top"/>
          </w:tcPr>
          <w:p w14:paraId="37306DB8">
            <w:pPr>
              <w:spacing w:before="16" w:line="210"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宋体" w:hAnsi="宋体" w:eastAsia="宋体" w:cs="宋体"/>
                <w:spacing w:val="-4"/>
                <w:sz w:val="20"/>
                <w:szCs w:val="20"/>
              </w:rPr>
              <w:t xml:space="preserve"> </w:t>
            </w:r>
            <w:r>
              <w:rPr>
                <w:rFonts w:ascii="微软雅黑" w:hAnsi="微软雅黑" w:eastAsia="微软雅黑" w:cs="微软雅黑"/>
                <w:spacing w:val="-3"/>
                <w:sz w:val="20"/>
                <w:szCs w:val="20"/>
              </w:rPr>
              <w:t>团</w:t>
            </w:r>
            <w:r>
              <w:rPr>
                <w:rFonts w:ascii="宋体" w:hAnsi="宋体" w:eastAsia="宋体" w:cs="宋体"/>
                <w:spacing w:val="-3"/>
                <w:sz w:val="20"/>
                <w:szCs w:val="20"/>
              </w:rPr>
              <w:t>；</w:t>
            </w:r>
            <w:r>
              <w:rPr>
                <w:rFonts w:ascii="Times New Roman" w:hAnsi="Times New Roman" w:eastAsia="Times New Roman" w:cs="Times New Roman"/>
                <w:spacing w:val="-3"/>
                <w:sz w:val="20"/>
                <w:szCs w:val="20"/>
              </w:rPr>
              <w:t>b</w:t>
            </w:r>
            <w:r>
              <w:rPr>
                <w:rFonts w:ascii="宋体" w:hAnsi="宋体" w:eastAsia="宋体" w:cs="宋体"/>
                <w:spacing w:val="-3"/>
                <w:sz w:val="20"/>
                <w:szCs w:val="20"/>
              </w:rPr>
              <w:t xml:space="preserve">) </w:t>
            </w:r>
            <w:r>
              <w:rPr>
                <w:rFonts w:ascii="微软雅黑" w:hAnsi="微软雅黑" w:eastAsia="微软雅黑" w:cs="微软雅黑"/>
                <w:spacing w:val="-3"/>
                <w:sz w:val="20"/>
                <w:szCs w:val="20"/>
              </w:rPr>
              <w:t>团</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c </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d</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w:t>
            </w:r>
          </w:p>
        </w:tc>
        <w:tc>
          <w:tcPr>
            <w:tcW w:w="914" w:type="dxa"/>
            <w:tcBorders>
              <w:right w:val="nil"/>
            </w:tcBorders>
            <w:vAlign w:val="top"/>
          </w:tcPr>
          <w:p w14:paraId="1C60837D">
            <w:pPr>
              <w:rPr>
                <w:rFonts w:ascii="Arial"/>
                <w:sz w:val="21"/>
              </w:rPr>
            </w:pPr>
          </w:p>
        </w:tc>
      </w:tr>
      <w:tr w14:paraId="00539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3C29F214">
            <w:pPr>
              <w:rPr>
                <w:rFonts w:ascii="Arial"/>
                <w:sz w:val="21"/>
              </w:rPr>
            </w:pPr>
          </w:p>
        </w:tc>
        <w:tc>
          <w:tcPr>
            <w:tcW w:w="1665" w:type="dxa"/>
            <w:vAlign w:val="top"/>
          </w:tcPr>
          <w:p w14:paraId="59F77F3D">
            <w:pPr>
              <w:spacing w:before="53" w:line="228" w:lineRule="auto"/>
              <w:ind w:left="420"/>
              <w:rPr>
                <w:rFonts w:ascii="宋体" w:hAnsi="宋体" w:eastAsia="宋体" w:cs="宋体"/>
                <w:sz w:val="20"/>
                <w:szCs w:val="20"/>
              </w:rPr>
            </w:pPr>
            <w:r>
              <w:rPr>
                <w:rFonts w:ascii="宋体" w:hAnsi="宋体" w:eastAsia="宋体" w:cs="宋体"/>
                <w:spacing w:val="9"/>
                <w:sz w:val="20"/>
                <w:szCs w:val="20"/>
              </w:rPr>
              <w:t>理</w:t>
            </w:r>
            <w:r>
              <w:rPr>
                <w:rFonts w:ascii="宋体" w:hAnsi="宋体" w:eastAsia="宋体" w:cs="宋体"/>
                <w:spacing w:val="6"/>
                <w:sz w:val="20"/>
                <w:szCs w:val="20"/>
              </w:rPr>
              <w:t>化特性</w:t>
            </w:r>
          </w:p>
        </w:tc>
        <w:tc>
          <w:tcPr>
            <w:tcW w:w="5234" w:type="dxa"/>
            <w:gridSpan w:val="4"/>
            <w:vAlign w:val="top"/>
          </w:tcPr>
          <w:p w14:paraId="0E774C88">
            <w:pPr>
              <w:rPr>
                <w:rFonts w:ascii="Arial"/>
                <w:sz w:val="21"/>
              </w:rPr>
            </w:pPr>
          </w:p>
        </w:tc>
        <w:tc>
          <w:tcPr>
            <w:tcW w:w="914" w:type="dxa"/>
            <w:tcBorders>
              <w:right w:val="nil"/>
            </w:tcBorders>
            <w:vAlign w:val="top"/>
          </w:tcPr>
          <w:p w14:paraId="4C1B6D25">
            <w:pPr>
              <w:spacing w:before="53" w:line="227" w:lineRule="auto"/>
              <w:ind w:left="72"/>
              <w:rPr>
                <w:rFonts w:ascii="Times New Roman" w:hAnsi="Times New Roman" w:eastAsia="Times New Roman" w:cs="Times New Roman"/>
                <w:sz w:val="20"/>
                <w:szCs w:val="20"/>
              </w:rPr>
            </w:pPr>
            <w:r>
              <w:rPr>
                <w:rFonts w:ascii="宋体" w:hAnsi="宋体" w:eastAsia="宋体" w:cs="宋体"/>
                <w:spacing w:val="-8"/>
                <w:sz w:val="20"/>
                <w:szCs w:val="20"/>
              </w:rPr>
              <w:t xml:space="preserve">同附录 </w:t>
            </w:r>
            <w:r>
              <w:rPr>
                <w:rFonts w:ascii="Times New Roman" w:hAnsi="Times New Roman" w:eastAsia="Times New Roman" w:cs="Times New Roman"/>
                <w:spacing w:val="-8"/>
                <w:sz w:val="20"/>
                <w:szCs w:val="20"/>
              </w:rPr>
              <w:t>C</w:t>
            </w:r>
          </w:p>
        </w:tc>
      </w:tr>
      <w:tr w14:paraId="2E0B3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5C4AF2B1">
            <w:pPr>
              <w:rPr>
                <w:rFonts w:ascii="Arial"/>
                <w:sz w:val="21"/>
              </w:rPr>
            </w:pPr>
          </w:p>
        </w:tc>
        <w:tc>
          <w:tcPr>
            <w:tcW w:w="1665" w:type="dxa"/>
            <w:vMerge w:val="restart"/>
            <w:tcBorders>
              <w:bottom w:val="nil"/>
            </w:tcBorders>
            <w:vAlign w:val="top"/>
          </w:tcPr>
          <w:p w14:paraId="7363C7D4">
            <w:pPr>
              <w:spacing w:line="307" w:lineRule="auto"/>
              <w:rPr>
                <w:rFonts w:ascii="Arial"/>
                <w:sz w:val="21"/>
              </w:rPr>
            </w:pPr>
          </w:p>
          <w:p w14:paraId="040F5521">
            <w:pPr>
              <w:spacing w:before="65" w:line="228" w:lineRule="auto"/>
              <w:ind w:left="208"/>
              <w:rPr>
                <w:rFonts w:ascii="宋体" w:hAnsi="宋体" w:eastAsia="宋体" w:cs="宋体"/>
                <w:sz w:val="20"/>
                <w:szCs w:val="20"/>
              </w:rPr>
            </w:pPr>
            <w:r>
              <w:rPr>
                <w:rFonts w:ascii="宋体" w:hAnsi="宋体" w:eastAsia="宋体" w:cs="宋体"/>
                <w:spacing w:val="8"/>
                <w:sz w:val="20"/>
                <w:szCs w:val="20"/>
              </w:rPr>
              <w:t>现状监测点</w:t>
            </w:r>
            <w:r>
              <w:rPr>
                <w:rFonts w:ascii="宋体" w:hAnsi="宋体" w:eastAsia="宋体" w:cs="宋体"/>
                <w:spacing w:val="7"/>
                <w:sz w:val="20"/>
                <w:szCs w:val="20"/>
              </w:rPr>
              <w:t>位</w:t>
            </w:r>
          </w:p>
        </w:tc>
        <w:tc>
          <w:tcPr>
            <w:tcW w:w="1399" w:type="dxa"/>
            <w:vAlign w:val="top"/>
          </w:tcPr>
          <w:p w14:paraId="36742A41">
            <w:pPr>
              <w:rPr>
                <w:rFonts w:ascii="Arial"/>
                <w:sz w:val="21"/>
              </w:rPr>
            </w:pPr>
          </w:p>
        </w:tc>
        <w:tc>
          <w:tcPr>
            <w:tcW w:w="1236" w:type="dxa"/>
            <w:vAlign w:val="top"/>
          </w:tcPr>
          <w:p w14:paraId="1BFEB755">
            <w:pPr>
              <w:spacing w:before="53" w:line="228" w:lineRule="auto"/>
              <w:ind w:left="131"/>
              <w:rPr>
                <w:rFonts w:ascii="宋体" w:hAnsi="宋体" w:eastAsia="宋体" w:cs="宋体"/>
                <w:sz w:val="20"/>
                <w:szCs w:val="20"/>
              </w:rPr>
            </w:pPr>
            <w:r>
              <w:rPr>
                <w:rFonts w:ascii="宋体" w:hAnsi="宋体" w:eastAsia="宋体" w:cs="宋体"/>
                <w:spacing w:val="2"/>
                <w:sz w:val="20"/>
                <w:szCs w:val="20"/>
              </w:rPr>
              <w:t>占</w:t>
            </w:r>
            <w:r>
              <w:rPr>
                <w:rFonts w:ascii="宋体" w:hAnsi="宋体" w:eastAsia="宋体" w:cs="宋体"/>
                <w:spacing w:val="1"/>
                <w:sz w:val="20"/>
                <w:szCs w:val="20"/>
              </w:rPr>
              <w:t>地范围内</w:t>
            </w:r>
          </w:p>
        </w:tc>
        <w:tc>
          <w:tcPr>
            <w:tcW w:w="1120" w:type="dxa"/>
            <w:vAlign w:val="top"/>
          </w:tcPr>
          <w:p w14:paraId="0D86FF57">
            <w:pPr>
              <w:spacing w:before="53" w:line="228" w:lineRule="auto"/>
              <w:ind w:left="74"/>
              <w:rPr>
                <w:rFonts w:ascii="宋体" w:hAnsi="宋体" w:eastAsia="宋体" w:cs="宋体"/>
                <w:sz w:val="20"/>
                <w:szCs w:val="20"/>
              </w:rPr>
            </w:pPr>
            <w:r>
              <w:rPr>
                <w:rFonts w:ascii="宋体" w:hAnsi="宋体" w:eastAsia="宋体" w:cs="宋体"/>
                <w:spacing w:val="2"/>
                <w:sz w:val="20"/>
                <w:szCs w:val="20"/>
              </w:rPr>
              <w:t>占</w:t>
            </w:r>
            <w:r>
              <w:rPr>
                <w:rFonts w:ascii="宋体" w:hAnsi="宋体" w:eastAsia="宋体" w:cs="宋体"/>
                <w:spacing w:val="1"/>
                <w:sz w:val="20"/>
                <w:szCs w:val="20"/>
              </w:rPr>
              <w:t>地范围外</w:t>
            </w:r>
          </w:p>
        </w:tc>
        <w:tc>
          <w:tcPr>
            <w:tcW w:w="1479" w:type="dxa"/>
            <w:vAlign w:val="top"/>
          </w:tcPr>
          <w:p w14:paraId="1BA76510">
            <w:pPr>
              <w:spacing w:before="53" w:line="228" w:lineRule="auto"/>
              <w:ind w:left="535"/>
              <w:rPr>
                <w:rFonts w:ascii="宋体" w:hAnsi="宋体" w:eastAsia="宋体" w:cs="宋体"/>
                <w:sz w:val="20"/>
                <w:szCs w:val="20"/>
              </w:rPr>
            </w:pPr>
            <w:r>
              <w:rPr>
                <w:rFonts w:ascii="宋体" w:hAnsi="宋体" w:eastAsia="宋体" w:cs="宋体"/>
                <w:spacing w:val="5"/>
                <w:sz w:val="20"/>
                <w:szCs w:val="20"/>
              </w:rPr>
              <w:t>深</w:t>
            </w:r>
            <w:r>
              <w:rPr>
                <w:rFonts w:ascii="宋体" w:hAnsi="宋体" w:eastAsia="宋体" w:cs="宋体"/>
                <w:spacing w:val="4"/>
                <w:sz w:val="20"/>
                <w:szCs w:val="20"/>
              </w:rPr>
              <w:t>度</w:t>
            </w:r>
          </w:p>
        </w:tc>
        <w:tc>
          <w:tcPr>
            <w:tcW w:w="914" w:type="dxa"/>
            <w:vMerge w:val="restart"/>
            <w:tcBorders>
              <w:bottom w:val="nil"/>
              <w:right w:val="nil"/>
            </w:tcBorders>
            <w:vAlign w:val="top"/>
          </w:tcPr>
          <w:p w14:paraId="5E28BAA7">
            <w:pPr>
              <w:spacing w:before="219" w:line="300" w:lineRule="auto"/>
              <w:ind w:left="148" w:right="142" w:firstLine="116"/>
              <w:rPr>
                <w:rFonts w:ascii="宋体" w:hAnsi="宋体" w:eastAsia="宋体" w:cs="宋体"/>
                <w:sz w:val="20"/>
                <w:szCs w:val="20"/>
              </w:rPr>
            </w:pPr>
            <w:r>
              <w:rPr>
                <w:rFonts w:ascii="宋体" w:hAnsi="宋体" w:eastAsia="宋体" w:cs="宋体"/>
                <w:spacing w:val="-1"/>
                <w:sz w:val="20"/>
                <w:szCs w:val="20"/>
              </w:rPr>
              <w:t>点位</w:t>
            </w:r>
            <w:r>
              <w:rPr>
                <w:rFonts w:ascii="宋体" w:hAnsi="宋体" w:eastAsia="宋体" w:cs="宋体"/>
                <w:sz w:val="20"/>
                <w:szCs w:val="20"/>
              </w:rPr>
              <w:t xml:space="preserve"> </w:t>
            </w:r>
            <w:r>
              <w:rPr>
                <w:rFonts w:ascii="宋体" w:hAnsi="宋体" w:eastAsia="宋体" w:cs="宋体"/>
                <w:spacing w:val="7"/>
                <w:sz w:val="20"/>
                <w:szCs w:val="20"/>
              </w:rPr>
              <w:t>布置</w:t>
            </w:r>
            <w:r>
              <w:rPr>
                <w:rFonts w:ascii="宋体" w:hAnsi="宋体" w:eastAsia="宋体" w:cs="宋体"/>
                <w:spacing w:val="6"/>
                <w:sz w:val="20"/>
                <w:szCs w:val="20"/>
              </w:rPr>
              <w:t>图</w:t>
            </w:r>
          </w:p>
        </w:tc>
      </w:tr>
      <w:tr w14:paraId="4F810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325FF700">
            <w:pPr>
              <w:rPr>
                <w:rFonts w:ascii="Arial"/>
                <w:sz w:val="21"/>
              </w:rPr>
            </w:pPr>
          </w:p>
        </w:tc>
        <w:tc>
          <w:tcPr>
            <w:tcW w:w="1665" w:type="dxa"/>
            <w:vMerge w:val="continue"/>
            <w:tcBorders>
              <w:top w:val="nil"/>
              <w:bottom w:val="nil"/>
            </w:tcBorders>
            <w:vAlign w:val="top"/>
          </w:tcPr>
          <w:p w14:paraId="47624004">
            <w:pPr>
              <w:rPr>
                <w:rFonts w:ascii="Arial"/>
                <w:sz w:val="21"/>
              </w:rPr>
            </w:pPr>
          </w:p>
        </w:tc>
        <w:tc>
          <w:tcPr>
            <w:tcW w:w="1399" w:type="dxa"/>
            <w:vAlign w:val="top"/>
          </w:tcPr>
          <w:p w14:paraId="1EEC930D">
            <w:pPr>
              <w:spacing w:before="52" w:line="228" w:lineRule="auto"/>
              <w:ind w:left="177"/>
              <w:rPr>
                <w:rFonts w:ascii="宋体" w:hAnsi="宋体" w:eastAsia="宋体" w:cs="宋体"/>
                <w:sz w:val="20"/>
                <w:szCs w:val="20"/>
              </w:rPr>
            </w:pPr>
            <w:r>
              <w:rPr>
                <w:rFonts w:ascii="宋体" w:hAnsi="宋体" w:eastAsia="宋体" w:cs="宋体"/>
                <w:spacing w:val="9"/>
                <w:sz w:val="20"/>
                <w:szCs w:val="20"/>
              </w:rPr>
              <w:t>表</w:t>
            </w:r>
            <w:r>
              <w:rPr>
                <w:rFonts w:ascii="宋体" w:hAnsi="宋体" w:eastAsia="宋体" w:cs="宋体"/>
                <w:spacing w:val="8"/>
                <w:sz w:val="20"/>
                <w:szCs w:val="20"/>
              </w:rPr>
              <w:t>层样点数</w:t>
            </w:r>
          </w:p>
        </w:tc>
        <w:tc>
          <w:tcPr>
            <w:tcW w:w="1236" w:type="dxa"/>
            <w:vAlign w:val="top"/>
          </w:tcPr>
          <w:p w14:paraId="7B3D6C25">
            <w:pPr>
              <w:spacing w:before="89"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0" w:type="dxa"/>
            <w:vAlign w:val="top"/>
          </w:tcPr>
          <w:p w14:paraId="43071BDC">
            <w:pPr>
              <w:spacing w:before="89" w:line="195"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9" w:type="dxa"/>
            <w:vAlign w:val="top"/>
          </w:tcPr>
          <w:p w14:paraId="323A17D7">
            <w:pPr>
              <w:spacing w:before="89"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m</w:t>
            </w:r>
          </w:p>
        </w:tc>
        <w:tc>
          <w:tcPr>
            <w:tcW w:w="914" w:type="dxa"/>
            <w:vMerge w:val="continue"/>
            <w:tcBorders>
              <w:top w:val="nil"/>
              <w:bottom w:val="nil"/>
              <w:right w:val="nil"/>
            </w:tcBorders>
            <w:vAlign w:val="top"/>
          </w:tcPr>
          <w:p w14:paraId="61797997">
            <w:pPr>
              <w:rPr>
                <w:rFonts w:ascii="Arial"/>
                <w:sz w:val="21"/>
              </w:rPr>
            </w:pPr>
          </w:p>
        </w:tc>
      </w:tr>
      <w:tr w14:paraId="465B9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7649D913">
            <w:pPr>
              <w:rPr>
                <w:rFonts w:ascii="Arial"/>
                <w:sz w:val="21"/>
              </w:rPr>
            </w:pPr>
          </w:p>
        </w:tc>
        <w:tc>
          <w:tcPr>
            <w:tcW w:w="1665" w:type="dxa"/>
            <w:vMerge w:val="continue"/>
            <w:tcBorders>
              <w:top w:val="nil"/>
            </w:tcBorders>
            <w:vAlign w:val="top"/>
          </w:tcPr>
          <w:p w14:paraId="695B432F">
            <w:pPr>
              <w:rPr>
                <w:rFonts w:ascii="Arial"/>
                <w:sz w:val="21"/>
              </w:rPr>
            </w:pPr>
          </w:p>
        </w:tc>
        <w:tc>
          <w:tcPr>
            <w:tcW w:w="1399" w:type="dxa"/>
            <w:vAlign w:val="top"/>
          </w:tcPr>
          <w:p w14:paraId="6E12C783">
            <w:pPr>
              <w:spacing w:before="52" w:line="228" w:lineRule="auto"/>
              <w:ind w:left="178"/>
              <w:rPr>
                <w:rFonts w:ascii="宋体" w:hAnsi="宋体" w:eastAsia="宋体" w:cs="宋体"/>
                <w:sz w:val="20"/>
                <w:szCs w:val="20"/>
              </w:rPr>
            </w:pPr>
            <w:r>
              <w:rPr>
                <w:rFonts w:ascii="宋体" w:hAnsi="宋体" w:eastAsia="宋体" w:cs="宋体"/>
                <w:spacing w:val="8"/>
                <w:sz w:val="20"/>
                <w:szCs w:val="20"/>
              </w:rPr>
              <w:t>柱状样点数</w:t>
            </w:r>
          </w:p>
        </w:tc>
        <w:tc>
          <w:tcPr>
            <w:tcW w:w="1236" w:type="dxa"/>
            <w:vAlign w:val="top"/>
          </w:tcPr>
          <w:p w14:paraId="1A3B9859">
            <w:pPr>
              <w:spacing w:before="88"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20" w:type="dxa"/>
            <w:vAlign w:val="top"/>
          </w:tcPr>
          <w:p w14:paraId="01683CA9">
            <w:pPr>
              <w:spacing w:before="88"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79" w:type="dxa"/>
            <w:vAlign w:val="top"/>
          </w:tcPr>
          <w:p w14:paraId="390F151F">
            <w:pPr>
              <w:spacing w:before="88"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0~3</w:t>
            </w:r>
            <w:r>
              <w:rPr>
                <w:rFonts w:ascii="Times New Roman" w:hAnsi="Times New Roman" w:eastAsia="Times New Roman" w:cs="Times New Roman"/>
                <w:sz w:val="20"/>
                <w:szCs w:val="20"/>
              </w:rPr>
              <w:t>m</w:t>
            </w:r>
          </w:p>
        </w:tc>
        <w:tc>
          <w:tcPr>
            <w:tcW w:w="914" w:type="dxa"/>
            <w:vMerge w:val="continue"/>
            <w:tcBorders>
              <w:top w:val="nil"/>
              <w:right w:val="nil"/>
            </w:tcBorders>
            <w:vAlign w:val="top"/>
          </w:tcPr>
          <w:p w14:paraId="269593FF">
            <w:pPr>
              <w:rPr>
                <w:rFonts w:ascii="Arial"/>
                <w:sz w:val="21"/>
              </w:rPr>
            </w:pPr>
          </w:p>
        </w:tc>
      </w:tr>
      <w:tr w14:paraId="0FE95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502" w:type="dxa"/>
            <w:vMerge w:val="continue"/>
            <w:tcBorders>
              <w:top w:val="nil"/>
              <w:left w:val="nil"/>
            </w:tcBorders>
            <w:vAlign w:val="top"/>
          </w:tcPr>
          <w:p w14:paraId="3C326101">
            <w:pPr>
              <w:rPr>
                <w:rFonts w:ascii="Arial"/>
                <w:sz w:val="21"/>
              </w:rPr>
            </w:pPr>
          </w:p>
        </w:tc>
        <w:tc>
          <w:tcPr>
            <w:tcW w:w="1665" w:type="dxa"/>
            <w:vAlign w:val="top"/>
          </w:tcPr>
          <w:p w14:paraId="286F73F7">
            <w:pPr>
              <w:spacing w:line="276" w:lineRule="auto"/>
              <w:rPr>
                <w:rFonts w:ascii="Arial"/>
                <w:sz w:val="21"/>
              </w:rPr>
            </w:pPr>
          </w:p>
          <w:p w14:paraId="57B0D230">
            <w:pPr>
              <w:spacing w:line="276" w:lineRule="auto"/>
              <w:rPr>
                <w:rFonts w:ascii="Arial"/>
                <w:sz w:val="21"/>
              </w:rPr>
            </w:pPr>
          </w:p>
          <w:p w14:paraId="676D6AED">
            <w:pPr>
              <w:spacing w:line="276" w:lineRule="auto"/>
              <w:rPr>
                <w:rFonts w:ascii="Arial"/>
                <w:sz w:val="21"/>
              </w:rPr>
            </w:pPr>
          </w:p>
          <w:p w14:paraId="35542A64">
            <w:pPr>
              <w:spacing w:line="277" w:lineRule="auto"/>
              <w:rPr>
                <w:rFonts w:ascii="Arial"/>
                <w:sz w:val="21"/>
              </w:rPr>
            </w:pPr>
          </w:p>
          <w:p w14:paraId="0361E057">
            <w:pPr>
              <w:spacing w:line="277" w:lineRule="auto"/>
              <w:rPr>
                <w:rFonts w:ascii="Arial"/>
                <w:sz w:val="21"/>
              </w:rPr>
            </w:pPr>
          </w:p>
          <w:p w14:paraId="2E931B5C">
            <w:pPr>
              <w:spacing w:before="65" w:line="228" w:lineRule="auto"/>
              <w:ind w:left="208"/>
              <w:rPr>
                <w:rFonts w:ascii="宋体" w:hAnsi="宋体" w:eastAsia="宋体" w:cs="宋体"/>
                <w:sz w:val="20"/>
                <w:szCs w:val="20"/>
              </w:rPr>
            </w:pPr>
            <w:r>
              <w:rPr>
                <w:rFonts w:ascii="宋体" w:hAnsi="宋体" w:eastAsia="宋体" w:cs="宋体"/>
                <w:spacing w:val="8"/>
                <w:sz w:val="20"/>
                <w:szCs w:val="20"/>
              </w:rPr>
              <w:t>现状监测因</w:t>
            </w:r>
            <w:r>
              <w:rPr>
                <w:rFonts w:ascii="宋体" w:hAnsi="宋体" w:eastAsia="宋体" w:cs="宋体"/>
                <w:spacing w:val="7"/>
                <w:sz w:val="20"/>
                <w:szCs w:val="20"/>
              </w:rPr>
              <w:t>子</w:t>
            </w:r>
          </w:p>
        </w:tc>
        <w:tc>
          <w:tcPr>
            <w:tcW w:w="5234" w:type="dxa"/>
            <w:gridSpan w:val="4"/>
            <w:vAlign w:val="top"/>
          </w:tcPr>
          <w:p w14:paraId="44383A9F">
            <w:pPr>
              <w:spacing w:before="48" w:line="283" w:lineRule="auto"/>
              <w:ind w:left="31" w:hanging="4"/>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、铬 </w:t>
            </w:r>
            <w:r>
              <w:rPr>
                <w:rFonts w:ascii="宋体" w:hAnsi="宋体" w:eastAsia="宋体" w:cs="宋体"/>
                <w:spacing w:val="5"/>
                <w:sz w:val="20"/>
                <w:szCs w:val="20"/>
              </w:rPr>
              <w:t>(</w:t>
            </w:r>
            <w:r>
              <w:rPr>
                <w:rFonts w:ascii="宋体" w:hAnsi="宋体" w:eastAsia="宋体" w:cs="宋体"/>
                <w:spacing w:val="3"/>
                <w:sz w:val="20"/>
                <w:szCs w:val="20"/>
              </w:rPr>
              <w:t>六价) 、镉、汞、砷、铅、铜、镍、四氯化碳、</w:t>
            </w:r>
            <w:r>
              <w:rPr>
                <w:rFonts w:ascii="宋体" w:hAnsi="宋体" w:eastAsia="宋体" w:cs="宋体"/>
                <w:sz w:val="20"/>
                <w:szCs w:val="20"/>
              </w:rPr>
              <w:t xml:space="preserve"> </w:t>
            </w:r>
            <w:r>
              <w:rPr>
                <w:rFonts w:ascii="宋体" w:hAnsi="宋体" w:eastAsia="宋体" w:cs="宋体"/>
                <w:spacing w:val="4"/>
                <w:sz w:val="20"/>
                <w:szCs w:val="20"/>
              </w:rPr>
              <w:t>氯仿、</w:t>
            </w:r>
            <w:r>
              <w:rPr>
                <w:rFonts w:ascii="宋体" w:hAnsi="宋体" w:eastAsia="宋体" w:cs="宋体"/>
                <w:spacing w:val="2"/>
                <w:sz w:val="20"/>
                <w:szCs w:val="20"/>
              </w:rPr>
              <w:t>氯甲烷、</w:t>
            </w:r>
            <w:r>
              <w:rPr>
                <w:rFonts w:ascii="Times New Roman" w:hAnsi="Times New Roman" w:eastAsia="Times New Roman" w:cs="Times New Roman"/>
                <w:spacing w:val="2"/>
                <w:sz w:val="20"/>
                <w:szCs w:val="20"/>
              </w:rPr>
              <w:t>1, 1-</w:t>
            </w:r>
            <w:r>
              <w:rPr>
                <w:rFonts w:ascii="宋体" w:hAnsi="宋体" w:eastAsia="宋体" w:cs="宋体"/>
                <w:spacing w:val="2"/>
                <w:sz w:val="20"/>
                <w:szCs w:val="20"/>
              </w:rPr>
              <w:t>二氯乙烷、</w:t>
            </w:r>
            <w:r>
              <w:rPr>
                <w:rFonts w:ascii="Times New Roman" w:hAnsi="Times New Roman" w:eastAsia="Times New Roman" w:cs="Times New Roman"/>
                <w:spacing w:val="2"/>
                <w:sz w:val="20"/>
                <w:szCs w:val="20"/>
              </w:rPr>
              <w:t>1,2-</w:t>
            </w:r>
            <w:r>
              <w:rPr>
                <w:rFonts w:ascii="宋体" w:hAnsi="宋体" w:eastAsia="宋体" w:cs="宋体"/>
                <w:spacing w:val="2"/>
                <w:sz w:val="20"/>
                <w:szCs w:val="20"/>
              </w:rPr>
              <w:t>二氯乙烷、</w:t>
            </w:r>
            <w:r>
              <w:rPr>
                <w:rFonts w:ascii="Times New Roman" w:hAnsi="Times New Roman" w:eastAsia="Times New Roman" w:cs="Times New Roman"/>
                <w:spacing w:val="2"/>
                <w:sz w:val="20"/>
                <w:szCs w:val="20"/>
              </w:rPr>
              <w:t>1, 1-</w:t>
            </w:r>
            <w:r>
              <w:rPr>
                <w:rFonts w:ascii="宋体" w:hAnsi="宋体" w:eastAsia="宋体" w:cs="宋体"/>
                <w:spacing w:val="2"/>
                <w:sz w:val="20"/>
                <w:szCs w:val="20"/>
              </w:rPr>
              <w:t>二氯乙</w:t>
            </w:r>
            <w:r>
              <w:rPr>
                <w:rFonts w:ascii="宋体" w:hAnsi="宋体" w:eastAsia="宋体" w:cs="宋体"/>
                <w:sz w:val="20"/>
                <w:szCs w:val="20"/>
              </w:rPr>
              <w:t xml:space="preserve"> </w:t>
            </w:r>
            <w:r>
              <w:rPr>
                <w:rFonts w:ascii="宋体" w:hAnsi="宋体" w:eastAsia="宋体" w:cs="宋体"/>
                <w:spacing w:val="7"/>
                <w:sz w:val="20"/>
                <w:szCs w:val="20"/>
              </w:rPr>
              <w:t>烯</w:t>
            </w:r>
            <w:r>
              <w:rPr>
                <w:rFonts w:ascii="宋体" w:hAnsi="宋体" w:eastAsia="宋体" w:cs="宋体"/>
                <w:spacing w:val="4"/>
                <w:sz w:val="20"/>
                <w:szCs w:val="20"/>
              </w:rPr>
              <w:t>、顺</w:t>
            </w:r>
            <w:r>
              <w:rPr>
                <w:rFonts w:ascii="Times New Roman" w:hAnsi="Times New Roman" w:eastAsia="Times New Roman" w:cs="Times New Roman"/>
                <w:spacing w:val="4"/>
                <w:sz w:val="20"/>
                <w:szCs w:val="20"/>
              </w:rPr>
              <w:t>- 1,2-</w:t>
            </w:r>
            <w:r>
              <w:rPr>
                <w:rFonts w:ascii="宋体" w:hAnsi="宋体" w:eastAsia="宋体" w:cs="宋体"/>
                <w:spacing w:val="4"/>
                <w:sz w:val="20"/>
                <w:szCs w:val="20"/>
              </w:rPr>
              <w:t>二氯乙烯、反</w:t>
            </w:r>
            <w:r>
              <w:rPr>
                <w:rFonts w:ascii="Times New Roman" w:hAnsi="Times New Roman" w:eastAsia="Times New Roman" w:cs="Times New Roman"/>
                <w:spacing w:val="4"/>
                <w:sz w:val="20"/>
                <w:szCs w:val="20"/>
              </w:rPr>
              <w:t>- 1,2-</w:t>
            </w:r>
            <w:r>
              <w:rPr>
                <w:rFonts w:ascii="宋体" w:hAnsi="宋体" w:eastAsia="宋体" w:cs="宋体"/>
                <w:spacing w:val="4"/>
                <w:sz w:val="20"/>
                <w:szCs w:val="20"/>
              </w:rPr>
              <w:t>二氯乙烯、二氯甲烷、</w:t>
            </w:r>
            <w:r>
              <w:rPr>
                <w:rFonts w:ascii="Times New Roman" w:hAnsi="Times New Roman" w:eastAsia="Times New Roman" w:cs="Times New Roman"/>
                <w:spacing w:val="4"/>
                <w:sz w:val="20"/>
                <w:szCs w:val="20"/>
              </w:rPr>
              <w:t>1,2-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二氯丙烷、</w:t>
            </w:r>
            <w:r>
              <w:rPr>
                <w:rFonts w:ascii="Times New Roman" w:hAnsi="Times New Roman" w:eastAsia="Times New Roman" w:cs="Times New Roman"/>
                <w:spacing w:val="1"/>
                <w:sz w:val="20"/>
                <w:szCs w:val="20"/>
              </w:rPr>
              <w:t xml:space="preserve">1, 1, 1,2- </w:t>
            </w:r>
            <w:r>
              <w:rPr>
                <w:rFonts w:ascii="宋体" w:hAnsi="宋体" w:eastAsia="宋体" w:cs="宋体"/>
                <w:spacing w:val="1"/>
                <w:sz w:val="20"/>
                <w:szCs w:val="20"/>
              </w:rPr>
              <w:t>四氯乙烷、</w:t>
            </w:r>
            <w:r>
              <w:rPr>
                <w:rFonts w:ascii="Times New Roman" w:hAnsi="Times New Roman" w:eastAsia="Times New Roman" w:cs="Times New Roman"/>
                <w:spacing w:val="1"/>
                <w:sz w:val="20"/>
                <w:szCs w:val="20"/>
              </w:rPr>
              <w:t xml:space="preserve">1, 1,2,2- </w:t>
            </w:r>
            <w:r>
              <w:rPr>
                <w:rFonts w:ascii="宋体" w:hAnsi="宋体" w:eastAsia="宋体" w:cs="宋体"/>
                <w:spacing w:val="1"/>
                <w:sz w:val="20"/>
                <w:szCs w:val="20"/>
              </w:rPr>
              <w:t>四氯乙烷、四氯</w:t>
            </w:r>
            <w:r>
              <w:rPr>
                <w:rFonts w:ascii="宋体" w:hAnsi="宋体" w:eastAsia="宋体" w:cs="宋体"/>
                <w:sz w:val="20"/>
                <w:szCs w:val="20"/>
              </w:rPr>
              <w:t xml:space="preserve">乙 </w:t>
            </w:r>
            <w:r>
              <w:rPr>
                <w:rFonts w:ascii="宋体" w:hAnsi="宋体" w:eastAsia="宋体" w:cs="宋体"/>
                <w:spacing w:val="8"/>
                <w:sz w:val="20"/>
                <w:szCs w:val="20"/>
              </w:rPr>
              <w:t>烯、</w:t>
            </w:r>
            <w:r>
              <w:rPr>
                <w:rFonts w:ascii="Times New Roman" w:hAnsi="Times New Roman" w:eastAsia="Times New Roman" w:cs="Times New Roman"/>
                <w:spacing w:val="8"/>
                <w:sz w:val="20"/>
                <w:szCs w:val="20"/>
              </w:rPr>
              <w:t xml:space="preserve">1,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1-</w:t>
            </w:r>
            <w:r>
              <w:rPr>
                <w:rFonts w:ascii="宋体" w:hAnsi="宋体" w:eastAsia="宋体" w:cs="宋体"/>
                <w:spacing w:val="4"/>
                <w:sz w:val="20"/>
                <w:szCs w:val="20"/>
              </w:rPr>
              <w:t>三氯乙烷、</w:t>
            </w:r>
            <w:r>
              <w:rPr>
                <w:rFonts w:ascii="Times New Roman" w:hAnsi="Times New Roman" w:eastAsia="Times New Roman" w:cs="Times New Roman"/>
                <w:spacing w:val="4"/>
                <w:sz w:val="20"/>
                <w:szCs w:val="20"/>
              </w:rPr>
              <w:t>1, 1,2-</w:t>
            </w:r>
            <w:r>
              <w:rPr>
                <w:rFonts w:ascii="宋体" w:hAnsi="宋体" w:eastAsia="宋体" w:cs="宋体"/>
                <w:spacing w:val="4"/>
                <w:sz w:val="20"/>
                <w:szCs w:val="20"/>
              </w:rPr>
              <w:t>三氯乙烷、三氯乙烯、</w:t>
            </w:r>
            <w:r>
              <w:rPr>
                <w:rFonts w:ascii="Times New Roman" w:hAnsi="Times New Roman" w:eastAsia="Times New Roman" w:cs="Times New Roman"/>
                <w:spacing w:val="4"/>
                <w:sz w:val="20"/>
                <w:szCs w:val="20"/>
              </w:rPr>
              <w:t>1,2,3-</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三氯</w:t>
            </w:r>
            <w:r>
              <w:rPr>
                <w:rFonts w:ascii="宋体" w:hAnsi="宋体" w:eastAsia="宋体" w:cs="宋体"/>
                <w:spacing w:val="8"/>
                <w:sz w:val="20"/>
                <w:szCs w:val="20"/>
              </w:rPr>
              <w:t>丙</w:t>
            </w:r>
            <w:r>
              <w:rPr>
                <w:rFonts w:ascii="宋体" w:hAnsi="宋体" w:eastAsia="宋体" w:cs="宋体"/>
                <w:spacing w:val="5"/>
                <w:sz w:val="20"/>
                <w:szCs w:val="20"/>
              </w:rPr>
              <w:t>烷、氯乙烯、苯、氯苯、</w:t>
            </w:r>
            <w:r>
              <w:rPr>
                <w:rFonts w:ascii="Times New Roman" w:hAnsi="Times New Roman" w:eastAsia="Times New Roman" w:cs="Times New Roman"/>
                <w:spacing w:val="5"/>
                <w:sz w:val="20"/>
                <w:szCs w:val="20"/>
              </w:rPr>
              <w:t>1,2-</w:t>
            </w:r>
            <w:r>
              <w:rPr>
                <w:rFonts w:ascii="宋体" w:hAnsi="宋体" w:eastAsia="宋体" w:cs="宋体"/>
                <w:spacing w:val="5"/>
                <w:sz w:val="20"/>
                <w:szCs w:val="20"/>
              </w:rPr>
              <w:t>二氯苯、</w:t>
            </w:r>
            <w:r>
              <w:rPr>
                <w:rFonts w:ascii="Times New Roman" w:hAnsi="Times New Roman" w:eastAsia="Times New Roman" w:cs="Times New Roman"/>
                <w:spacing w:val="5"/>
                <w:sz w:val="20"/>
                <w:szCs w:val="20"/>
              </w:rPr>
              <w:t>1,4-</w:t>
            </w:r>
            <w:r>
              <w:rPr>
                <w:rFonts w:ascii="宋体" w:hAnsi="宋体" w:eastAsia="宋体" w:cs="宋体"/>
                <w:spacing w:val="5"/>
                <w:sz w:val="20"/>
                <w:szCs w:val="20"/>
              </w:rPr>
              <w:t>二氯苯、</w:t>
            </w:r>
            <w:r>
              <w:rPr>
                <w:rFonts w:ascii="宋体" w:hAnsi="宋体" w:eastAsia="宋体" w:cs="宋体"/>
                <w:sz w:val="20"/>
                <w:szCs w:val="20"/>
              </w:rPr>
              <w:t xml:space="preserve"> </w:t>
            </w:r>
            <w:r>
              <w:rPr>
                <w:rFonts w:ascii="宋体" w:hAnsi="宋体" w:eastAsia="宋体" w:cs="宋体"/>
                <w:spacing w:val="5"/>
                <w:sz w:val="20"/>
                <w:szCs w:val="20"/>
              </w:rPr>
              <w:t>乙</w:t>
            </w:r>
            <w:r>
              <w:rPr>
                <w:rFonts w:ascii="宋体" w:hAnsi="宋体" w:eastAsia="宋体" w:cs="宋体"/>
                <w:spacing w:val="3"/>
                <w:sz w:val="20"/>
                <w:szCs w:val="20"/>
              </w:rPr>
              <w:t>苯、苯乙烯、 甲苯、间二甲苯</w:t>
            </w:r>
            <w:r>
              <w:rPr>
                <w:rFonts w:ascii="Times New Roman" w:hAnsi="Times New Roman" w:eastAsia="Times New Roman" w:cs="Times New Roman"/>
                <w:spacing w:val="3"/>
                <w:sz w:val="20"/>
                <w:szCs w:val="20"/>
              </w:rPr>
              <w:t>+</w:t>
            </w:r>
            <w:r>
              <w:rPr>
                <w:rFonts w:ascii="宋体" w:hAnsi="宋体" w:eastAsia="宋体" w:cs="宋体"/>
                <w:spacing w:val="3"/>
                <w:sz w:val="20"/>
                <w:szCs w:val="20"/>
              </w:rPr>
              <w:t>对二甲苯、邻二甲苯 、</w:t>
            </w:r>
            <w:r>
              <w:rPr>
                <w:rFonts w:ascii="宋体" w:hAnsi="宋体" w:eastAsia="宋体" w:cs="宋体"/>
                <w:sz w:val="20"/>
                <w:szCs w:val="20"/>
              </w:rPr>
              <w:t xml:space="preserve"> </w:t>
            </w:r>
            <w:r>
              <w:rPr>
                <w:rFonts w:ascii="宋体" w:hAnsi="宋体" w:eastAsia="宋体" w:cs="宋体"/>
                <w:spacing w:val="12"/>
                <w:sz w:val="20"/>
                <w:szCs w:val="20"/>
              </w:rPr>
              <w:t>硝</w:t>
            </w:r>
            <w:r>
              <w:rPr>
                <w:rFonts w:ascii="宋体" w:hAnsi="宋体" w:eastAsia="宋体" w:cs="宋体"/>
                <w:spacing w:val="10"/>
                <w:sz w:val="20"/>
                <w:szCs w:val="20"/>
              </w:rPr>
              <w:t>基苯、苯胺、</w:t>
            </w:r>
            <w:r>
              <w:rPr>
                <w:rFonts w:ascii="Times New Roman" w:hAnsi="Times New Roman" w:eastAsia="Times New Roman" w:cs="Times New Roman"/>
                <w:spacing w:val="10"/>
                <w:sz w:val="20"/>
                <w:szCs w:val="20"/>
              </w:rPr>
              <w:t>2-</w:t>
            </w:r>
            <w:r>
              <w:rPr>
                <w:rFonts w:ascii="宋体" w:hAnsi="宋体" w:eastAsia="宋体" w:cs="宋体"/>
                <w:spacing w:val="10"/>
                <w:sz w:val="20"/>
                <w:szCs w:val="20"/>
              </w:rPr>
              <w:t>氯酚、苯并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w:t>
            </w:r>
            <w:r>
              <w:rPr>
                <w:rFonts w:ascii="宋体" w:hAnsi="宋体" w:eastAsia="宋体" w:cs="宋体"/>
                <w:spacing w:val="10"/>
                <w:sz w:val="20"/>
                <w:szCs w:val="20"/>
              </w:rPr>
              <w:t>蒽、苯并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w:t>
            </w:r>
            <w:r>
              <w:rPr>
                <w:rFonts w:ascii="宋体" w:hAnsi="宋体" w:eastAsia="宋体" w:cs="宋体"/>
                <w:spacing w:val="10"/>
                <w:sz w:val="20"/>
                <w:szCs w:val="20"/>
              </w:rPr>
              <w:t>芘、苯并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 xml:space="preserve"> </w:t>
            </w:r>
            <w:r>
              <w:rPr>
                <w:rFonts w:ascii="宋体" w:hAnsi="宋体" w:eastAsia="宋体" w:cs="宋体"/>
                <w:spacing w:val="8"/>
                <w:sz w:val="20"/>
                <w:szCs w:val="20"/>
              </w:rPr>
              <w:t>荧蒽</w:t>
            </w:r>
            <w:r>
              <w:rPr>
                <w:rFonts w:ascii="宋体" w:hAnsi="宋体" w:eastAsia="宋体" w:cs="宋体"/>
                <w:spacing w:val="6"/>
                <w:sz w:val="20"/>
                <w:szCs w:val="20"/>
              </w:rPr>
              <w:t>、</w:t>
            </w:r>
            <w:r>
              <w:rPr>
                <w:rFonts w:ascii="宋体" w:hAnsi="宋体" w:eastAsia="宋体" w:cs="宋体"/>
                <w:spacing w:val="4"/>
                <w:sz w:val="20"/>
                <w:szCs w:val="20"/>
              </w:rPr>
              <w:t>苯并</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4"/>
                <w:sz w:val="20"/>
                <w:szCs w:val="20"/>
              </w:rPr>
              <w:t>]</w:t>
            </w:r>
            <w:r>
              <w:rPr>
                <w:rFonts w:ascii="宋体" w:hAnsi="宋体" w:eastAsia="宋体" w:cs="宋体"/>
                <w:spacing w:val="4"/>
                <w:sz w:val="20"/>
                <w:szCs w:val="20"/>
              </w:rPr>
              <w:t>荧蒽、䓛、二苯并</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w:t>
            </w:r>
            <w:r>
              <w:rPr>
                <w:rFonts w:ascii="宋体" w:hAnsi="宋体" w:eastAsia="宋体" w:cs="宋体"/>
                <w:spacing w:val="4"/>
                <w:sz w:val="20"/>
                <w:szCs w:val="20"/>
              </w:rPr>
              <w:t>蒽、茚并</w:t>
            </w:r>
            <w:r>
              <w:rPr>
                <w:rFonts w:ascii="Times New Roman" w:hAnsi="Times New Roman" w:eastAsia="Times New Roman" w:cs="Times New Roman"/>
                <w:spacing w:val="4"/>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7"/>
                <w:sz w:val="20"/>
                <w:szCs w:val="20"/>
              </w:rPr>
              <w:t>芘、萘、土壤含盐</w:t>
            </w:r>
            <w:r>
              <w:rPr>
                <w:rFonts w:ascii="宋体" w:hAnsi="宋体" w:eastAsia="宋体" w:cs="宋体"/>
                <w:spacing w:val="5"/>
                <w:sz w:val="20"/>
                <w:szCs w:val="20"/>
              </w:rPr>
              <w:t>量</w:t>
            </w:r>
          </w:p>
        </w:tc>
        <w:tc>
          <w:tcPr>
            <w:tcW w:w="914" w:type="dxa"/>
            <w:tcBorders>
              <w:right w:val="nil"/>
            </w:tcBorders>
            <w:vAlign w:val="top"/>
          </w:tcPr>
          <w:p w14:paraId="7AEC719E">
            <w:pPr>
              <w:rPr>
                <w:rFonts w:ascii="Arial"/>
                <w:sz w:val="21"/>
              </w:rPr>
            </w:pPr>
          </w:p>
        </w:tc>
      </w:tr>
      <w:tr w14:paraId="2F41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502" w:type="dxa"/>
            <w:vMerge w:val="restart"/>
            <w:tcBorders>
              <w:left w:val="nil"/>
              <w:bottom w:val="nil"/>
            </w:tcBorders>
            <w:vAlign w:val="top"/>
          </w:tcPr>
          <w:p w14:paraId="287560E1">
            <w:pPr>
              <w:spacing w:line="258" w:lineRule="auto"/>
              <w:rPr>
                <w:rFonts w:ascii="Arial"/>
                <w:sz w:val="21"/>
              </w:rPr>
            </w:pPr>
          </w:p>
          <w:p w14:paraId="0F38109E">
            <w:pPr>
              <w:spacing w:line="258" w:lineRule="auto"/>
              <w:rPr>
                <w:rFonts w:ascii="Arial"/>
                <w:sz w:val="21"/>
              </w:rPr>
            </w:pPr>
          </w:p>
          <w:p w14:paraId="0F382506">
            <w:pPr>
              <w:spacing w:line="258" w:lineRule="auto"/>
              <w:rPr>
                <w:rFonts w:ascii="Arial"/>
                <w:sz w:val="21"/>
              </w:rPr>
            </w:pPr>
          </w:p>
          <w:p w14:paraId="3F11C42D">
            <w:pPr>
              <w:spacing w:line="258" w:lineRule="auto"/>
              <w:rPr>
                <w:rFonts w:ascii="Arial"/>
                <w:sz w:val="21"/>
              </w:rPr>
            </w:pPr>
          </w:p>
          <w:p w14:paraId="5B531DDE">
            <w:pPr>
              <w:spacing w:line="259" w:lineRule="auto"/>
              <w:rPr>
                <w:rFonts w:ascii="Arial"/>
                <w:sz w:val="21"/>
              </w:rPr>
            </w:pPr>
          </w:p>
          <w:p w14:paraId="2683FF48">
            <w:pPr>
              <w:spacing w:line="259" w:lineRule="auto"/>
              <w:rPr>
                <w:rFonts w:ascii="Arial"/>
                <w:sz w:val="21"/>
              </w:rPr>
            </w:pPr>
          </w:p>
          <w:p w14:paraId="55539C99">
            <w:pPr>
              <w:spacing w:before="65" w:line="300" w:lineRule="auto"/>
              <w:ind w:left="48" w:right="40" w:firstLine="2"/>
              <w:rPr>
                <w:rFonts w:ascii="宋体" w:hAnsi="宋体" w:eastAsia="宋体" w:cs="宋体"/>
                <w:sz w:val="20"/>
                <w:szCs w:val="20"/>
              </w:rPr>
            </w:pPr>
            <w:r>
              <w:rPr>
                <w:rFonts w:ascii="宋体" w:hAnsi="宋体" w:eastAsia="宋体" w:cs="宋体"/>
                <w:spacing w:val="4"/>
                <w:sz w:val="20"/>
                <w:szCs w:val="20"/>
              </w:rPr>
              <w:t>现</w:t>
            </w:r>
            <w:r>
              <w:rPr>
                <w:rFonts w:ascii="宋体" w:hAnsi="宋体" w:eastAsia="宋体" w:cs="宋体"/>
                <w:spacing w:val="3"/>
                <w:sz w:val="20"/>
                <w:szCs w:val="20"/>
              </w:rPr>
              <w:t>状</w:t>
            </w:r>
            <w:r>
              <w:rPr>
                <w:rFonts w:ascii="宋体" w:hAnsi="宋体" w:eastAsia="宋体" w:cs="宋体"/>
                <w:sz w:val="20"/>
                <w:szCs w:val="20"/>
              </w:rPr>
              <w:t xml:space="preserve"> </w:t>
            </w:r>
            <w:r>
              <w:rPr>
                <w:rFonts w:ascii="宋体" w:hAnsi="宋体" w:eastAsia="宋体" w:cs="宋体"/>
                <w:spacing w:val="5"/>
                <w:sz w:val="20"/>
                <w:szCs w:val="20"/>
              </w:rPr>
              <w:t>评价</w:t>
            </w:r>
          </w:p>
        </w:tc>
        <w:tc>
          <w:tcPr>
            <w:tcW w:w="1665" w:type="dxa"/>
            <w:vAlign w:val="top"/>
          </w:tcPr>
          <w:p w14:paraId="7DF863D7">
            <w:pPr>
              <w:spacing w:line="277" w:lineRule="auto"/>
              <w:rPr>
                <w:rFonts w:ascii="Arial"/>
                <w:sz w:val="21"/>
              </w:rPr>
            </w:pPr>
          </w:p>
          <w:p w14:paraId="31BCD492">
            <w:pPr>
              <w:spacing w:line="277" w:lineRule="auto"/>
              <w:rPr>
                <w:rFonts w:ascii="Arial"/>
                <w:sz w:val="21"/>
              </w:rPr>
            </w:pPr>
          </w:p>
          <w:p w14:paraId="45078284">
            <w:pPr>
              <w:spacing w:line="277" w:lineRule="auto"/>
              <w:rPr>
                <w:rFonts w:ascii="Arial"/>
                <w:sz w:val="21"/>
              </w:rPr>
            </w:pPr>
          </w:p>
          <w:p w14:paraId="594BCE8B">
            <w:pPr>
              <w:spacing w:line="277" w:lineRule="auto"/>
              <w:rPr>
                <w:rFonts w:ascii="Arial"/>
                <w:sz w:val="21"/>
              </w:rPr>
            </w:pPr>
          </w:p>
          <w:p w14:paraId="0624E3B5">
            <w:pPr>
              <w:spacing w:line="277" w:lineRule="auto"/>
              <w:rPr>
                <w:rFonts w:ascii="Arial"/>
                <w:sz w:val="21"/>
              </w:rPr>
            </w:pPr>
          </w:p>
          <w:p w14:paraId="77473935">
            <w:pPr>
              <w:spacing w:before="65" w:line="226" w:lineRule="auto"/>
              <w:ind w:left="417"/>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价因子</w:t>
            </w:r>
          </w:p>
        </w:tc>
        <w:tc>
          <w:tcPr>
            <w:tcW w:w="5234" w:type="dxa"/>
            <w:gridSpan w:val="4"/>
            <w:vAlign w:val="top"/>
          </w:tcPr>
          <w:p w14:paraId="610D1EE4">
            <w:pPr>
              <w:spacing w:before="51" w:line="283" w:lineRule="auto"/>
              <w:ind w:left="31" w:hanging="4"/>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、铬 </w:t>
            </w:r>
            <w:r>
              <w:rPr>
                <w:rFonts w:ascii="宋体" w:hAnsi="宋体" w:eastAsia="宋体" w:cs="宋体"/>
                <w:spacing w:val="5"/>
                <w:sz w:val="20"/>
                <w:szCs w:val="20"/>
              </w:rPr>
              <w:t>(</w:t>
            </w:r>
            <w:r>
              <w:rPr>
                <w:rFonts w:ascii="宋体" w:hAnsi="宋体" w:eastAsia="宋体" w:cs="宋体"/>
                <w:spacing w:val="3"/>
                <w:sz w:val="20"/>
                <w:szCs w:val="20"/>
              </w:rPr>
              <w:t>六价) 、镉、汞、砷、铅、铜、镍、四氯化碳、</w:t>
            </w:r>
            <w:r>
              <w:rPr>
                <w:rFonts w:ascii="宋体" w:hAnsi="宋体" w:eastAsia="宋体" w:cs="宋体"/>
                <w:sz w:val="20"/>
                <w:szCs w:val="20"/>
              </w:rPr>
              <w:t xml:space="preserve"> </w:t>
            </w:r>
            <w:r>
              <w:rPr>
                <w:rFonts w:ascii="宋体" w:hAnsi="宋体" w:eastAsia="宋体" w:cs="宋体"/>
                <w:spacing w:val="4"/>
                <w:sz w:val="20"/>
                <w:szCs w:val="20"/>
              </w:rPr>
              <w:t>氯仿、</w:t>
            </w:r>
            <w:r>
              <w:rPr>
                <w:rFonts w:ascii="宋体" w:hAnsi="宋体" w:eastAsia="宋体" w:cs="宋体"/>
                <w:spacing w:val="2"/>
                <w:sz w:val="20"/>
                <w:szCs w:val="20"/>
              </w:rPr>
              <w:t>氯甲烷、</w:t>
            </w:r>
            <w:r>
              <w:rPr>
                <w:rFonts w:ascii="Times New Roman" w:hAnsi="Times New Roman" w:eastAsia="Times New Roman" w:cs="Times New Roman"/>
                <w:spacing w:val="2"/>
                <w:sz w:val="20"/>
                <w:szCs w:val="20"/>
              </w:rPr>
              <w:t>1, 1-</w:t>
            </w:r>
            <w:r>
              <w:rPr>
                <w:rFonts w:ascii="宋体" w:hAnsi="宋体" w:eastAsia="宋体" w:cs="宋体"/>
                <w:spacing w:val="2"/>
                <w:sz w:val="20"/>
                <w:szCs w:val="20"/>
              </w:rPr>
              <w:t>二氯乙烷、</w:t>
            </w:r>
            <w:r>
              <w:rPr>
                <w:rFonts w:ascii="Times New Roman" w:hAnsi="Times New Roman" w:eastAsia="Times New Roman" w:cs="Times New Roman"/>
                <w:spacing w:val="2"/>
                <w:sz w:val="20"/>
                <w:szCs w:val="20"/>
              </w:rPr>
              <w:t>1,2-</w:t>
            </w:r>
            <w:r>
              <w:rPr>
                <w:rFonts w:ascii="宋体" w:hAnsi="宋体" w:eastAsia="宋体" w:cs="宋体"/>
                <w:spacing w:val="2"/>
                <w:sz w:val="20"/>
                <w:szCs w:val="20"/>
              </w:rPr>
              <w:t>二氯乙烷、</w:t>
            </w:r>
            <w:r>
              <w:rPr>
                <w:rFonts w:ascii="Times New Roman" w:hAnsi="Times New Roman" w:eastAsia="Times New Roman" w:cs="Times New Roman"/>
                <w:spacing w:val="2"/>
                <w:sz w:val="20"/>
                <w:szCs w:val="20"/>
              </w:rPr>
              <w:t>1, 1-</w:t>
            </w:r>
            <w:r>
              <w:rPr>
                <w:rFonts w:ascii="宋体" w:hAnsi="宋体" w:eastAsia="宋体" w:cs="宋体"/>
                <w:spacing w:val="2"/>
                <w:sz w:val="20"/>
                <w:szCs w:val="20"/>
              </w:rPr>
              <w:t>二氯乙</w:t>
            </w:r>
            <w:r>
              <w:rPr>
                <w:rFonts w:ascii="宋体" w:hAnsi="宋体" w:eastAsia="宋体" w:cs="宋体"/>
                <w:sz w:val="20"/>
                <w:szCs w:val="20"/>
              </w:rPr>
              <w:t xml:space="preserve"> </w:t>
            </w:r>
            <w:r>
              <w:rPr>
                <w:rFonts w:ascii="宋体" w:hAnsi="宋体" w:eastAsia="宋体" w:cs="宋体"/>
                <w:spacing w:val="7"/>
                <w:sz w:val="20"/>
                <w:szCs w:val="20"/>
              </w:rPr>
              <w:t>烯</w:t>
            </w:r>
            <w:r>
              <w:rPr>
                <w:rFonts w:ascii="宋体" w:hAnsi="宋体" w:eastAsia="宋体" w:cs="宋体"/>
                <w:spacing w:val="4"/>
                <w:sz w:val="20"/>
                <w:szCs w:val="20"/>
              </w:rPr>
              <w:t>、顺</w:t>
            </w:r>
            <w:r>
              <w:rPr>
                <w:rFonts w:ascii="Times New Roman" w:hAnsi="Times New Roman" w:eastAsia="Times New Roman" w:cs="Times New Roman"/>
                <w:spacing w:val="4"/>
                <w:sz w:val="20"/>
                <w:szCs w:val="20"/>
              </w:rPr>
              <w:t>- 1,2-</w:t>
            </w:r>
            <w:r>
              <w:rPr>
                <w:rFonts w:ascii="宋体" w:hAnsi="宋体" w:eastAsia="宋体" w:cs="宋体"/>
                <w:spacing w:val="4"/>
                <w:sz w:val="20"/>
                <w:szCs w:val="20"/>
              </w:rPr>
              <w:t>二氯乙烯、反</w:t>
            </w:r>
            <w:r>
              <w:rPr>
                <w:rFonts w:ascii="Times New Roman" w:hAnsi="Times New Roman" w:eastAsia="Times New Roman" w:cs="Times New Roman"/>
                <w:spacing w:val="4"/>
                <w:sz w:val="20"/>
                <w:szCs w:val="20"/>
              </w:rPr>
              <w:t>- 1,2-</w:t>
            </w:r>
            <w:r>
              <w:rPr>
                <w:rFonts w:ascii="宋体" w:hAnsi="宋体" w:eastAsia="宋体" w:cs="宋体"/>
                <w:spacing w:val="4"/>
                <w:sz w:val="20"/>
                <w:szCs w:val="20"/>
              </w:rPr>
              <w:t>二氯乙烯、二氯甲烷、</w:t>
            </w:r>
            <w:r>
              <w:rPr>
                <w:rFonts w:ascii="Times New Roman" w:hAnsi="Times New Roman" w:eastAsia="Times New Roman" w:cs="Times New Roman"/>
                <w:spacing w:val="4"/>
                <w:sz w:val="20"/>
                <w:szCs w:val="20"/>
              </w:rPr>
              <w:t>1,2-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二氯丙烷、</w:t>
            </w:r>
            <w:r>
              <w:rPr>
                <w:rFonts w:ascii="Times New Roman" w:hAnsi="Times New Roman" w:eastAsia="Times New Roman" w:cs="Times New Roman"/>
                <w:spacing w:val="1"/>
                <w:sz w:val="20"/>
                <w:szCs w:val="20"/>
              </w:rPr>
              <w:t xml:space="preserve">1, 1, 1,2- </w:t>
            </w:r>
            <w:r>
              <w:rPr>
                <w:rFonts w:ascii="宋体" w:hAnsi="宋体" w:eastAsia="宋体" w:cs="宋体"/>
                <w:spacing w:val="1"/>
                <w:sz w:val="20"/>
                <w:szCs w:val="20"/>
              </w:rPr>
              <w:t>四氯乙烷、</w:t>
            </w:r>
            <w:r>
              <w:rPr>
                <w:rFonts w:ascii="Times New Roman" w:hAnsi="Times New Roman" w:eastAsia="Times New Roman" w:cs="Times New Roman"/>
                <w:spacing w:val="1"/>
                <w:sz w:val="20"/>
                <w:szCs w:val="20"/>
              </w:rPr>
              <w:t xml:space="preserve">1, 1,2,2- </w:t>
            </w:r>
            <w:r>
              <w:rPr>
                <w:rFonts w:ascii="宋体" w:hAnsi="宋体" w:eastAsia="宋体" w:cs="宋体"/>
                <w:spacing w:val="1"/>
                <w:sz w:val="20"/>
                <w:szCs w:val="20"/>
              </w:rPr>
              <w:t>四氯乙烷、四氯</w:t>
            </w:r>
            <w:r>
              <w:rPr>
                <w:rFonts w:ascii="宋体" w:hAnsi="宋体" w:eastAsia="宋体" w:cs="宋体"/>
                <w:sz w:val="20"/>
                <w:szCs w:val="20"/>
              </w:rPr>
              <w:t xml:space="preserve">乙 </w:t>
            </w:r>
            <w:r>
              <w:rPr>
                <w:rFonts w:ascii="宋体" w:hAnsi="宋体" w:eastAsia="宋体" w:cs="宋体"/>
                <w:spacing w:val="8"/>
                <w:sz w:val="20"/>
                <w:szCs w:val="20"/>
              </w:rPr>
              <w:t>烯、</w:t>
            </w:r>
            <w:r>
              <w:rPr>
                <w:rFonts w:ascii="Times New Roman" w:hAnsi="Times New Roman" w:eastAsia="Times New Roman" w:cs="Times New Roman"/>
                <w:spacing w:val="8"/>
                <w:sz w:val="20"/>
                <w:szCs w:val="20"/>
              </w:rPr>
              <w:t xml:space="preserve">1,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1-</w:t>
            </w:r>
            <w:r>
              <w:rPr>
                <w:rFonts w:ascii="宋体" w:hAnsi="宋体" w:eastAsia="宋体" w:cs="宋体"/>
                <w:spacing w:val="4"/>
                <w:sz w:val="20"/>
                <w:szCs w:val="20"/>
              </w:rPr>
              <w:t>三氯乙烷、</w:t>
            </w:r>
            <w:r>
              <w:rPr>
                <w:rFonts w:ascii="Times New Roman" w:hAnsi="Times New Roman" w:eastAsia="Times New Roman" w:cs="Times New Roman"/>
                <w:spacing w:val="4"/>
                <w:sz w:val="20"/>
                <w:szCs w:val="20"/>
              </w:rPr>
              <w:t>1, 1,2-</w:t>
            </w:r>
            <w:r>
              <w:rPr>
                <w:rFonts w:ascii="宋体" w:hAnsi="宋体" w:eastAsia="宋体" w:cs="宋体"/>
                <w:spacing w:val="4"/>
                <w:sz w:val="20"/>
                <w:szCs w:val="20"/>
              </w:rPr>
              <w:t>三氯乙烷、三氯乙烯、</w:t>
            </w:r>
            <w:r>
              <w:rPr>
                <w:rFonts w:ascii="Times New Roman" w:hAnsi="Times New Roman" w:eastAsia="Times New Roman" w:cs="Times New Roman"/>
                <w:spacing w:val="4"/>
                <w:sz w:val="20"/>
                <w:szCs w:val="20"/>
              </w:rPr>
              <w:t>1,2,3-</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三氯</w:t>
            </w:r>
            <w:r>
              <w:rPr>
                <w:rFonts w:ascii="宋体" w:hAnsi="宋体" w:eastAsia="宋体" w:cs="宋体"/>
                <w:spacing w:val="8"/>
                <w:sz w:val="20"/>
                <w:szCs w:val="20"/>
              </w:rPr>
              <w:t>丙</w:t>
            </w:r>
            <w:r>
              <w:rPr>
                <w:rFonts w:ascii="宋体" w:hAnsi="宋体" w:eastAsia="宋体" w:cs="宋体"/>
                <w:spacing w:val="5"/>
                <w:sz w:val="20"/>
                <w:szCs w:val="20"/>
              </w:rPr>
              <w:t>烷、氯乙烯、苯、氯苯、</w:t>
            </w:r>
            <w:r>
              <w:rPr>
                <w:rFonts w:ascii="Times New Roman" w:hAnsi="Times New Roman" w:eastAsia="Times New Roman" w:cs="Times New Roman"/>
                <w:spacing w:val="5"/>
                <w:sz w:val="20"/>
                <w:szCs w:val="20"/>
              </w:rPr>
              <w:t>1,2-</w:t>
            </w:r>
            <w:r>
              <w:rPr>
                <w:rFonts w:ascii="宋体" w:hAnsi="宋体" w:eastAsia="宋体" w:cs="宋体"/>
                <w:spacing w:val="5"/>
                <w:sz w:val="20"/>
                <w:szCs w:val="20"/>
              </w:rPr>
              <w:t>二氯苯、</w:t>
            </w:r>
            <w:r>
              <w:rPr>
                <w:rFonts w:ascii="Times New Roman" w:hAnsi="Times New Roman" w:eastAsia="Times New Roman" w:cs="Times New Roman"/>
                <w:spacing w:val="5"/>
                <w:sz w:val="20"/>
                <w:szCs w:val="20"/>
              </w:rPr>
              <w:t>1,4-</w:t>
            </w:r>
            <w:r>
              <w:rPr>
                <w:rFonts w:ascii="宋体" w:hAnsi="宋体" w:eastAsia="宋体" w:cs="宋体"/>
                <w:spacing w:val="5"/>
                <w:sz w:val="20"/>
                <w:szCs w:val="20"/>
              </w:rPr>
              <w:t>二氯苯、</w:t>
            </w:r>
            <w:r>
              <w:rPr>
                <w:rFonts w:ascii="宋体" w:hAnsi="宋体" w:eastAsia="宋体" w:cs="宋体"/>
                <w:sz w:val="20"/>
                <w:szCs w:val="20"/>
              </w:rPr>
              <w:t xml:space="preserve"> </w:t>
            </w:r>
            <w:r>
              <w:rPr>
                <w:rFonts w:ascii="宋体" w:hAnsi="宋体" w:eastAsia="宋体" w:cs="宋体"/>
                <w:spacing w:val="5"/>
                <w:sz w:val="20"/>
                <w:szCs w:val="20"/>
              </w:rPr>
              <w:t>乙</w:t>
            </w:r>
            <w:r>
              <w:rPr>
                <w:rFonts w:ascii="宋体" w:hAnsi="宋体" w:eastAsia="宋体" w:cs="宋体"/>
                <w:spacing w:val="3"/>
                <w:sz w:val="20"/>
                <w:szCs w:val="20"/>
              </w:rPr>
              <w:t>苯、苯乙烯、 甲苯、间二甲苯</w:t>
            </w:r>
            <w:r>
              <w:rPr>
                <w:rFonts w:ascii="Times New Roman" w:hAnsi="Times New Roman" w:eastAsia="Times New Roman" w:cs="Times New Roman"/>
                <w:spacing w:val="3"/>
                <w:sz w:val="20"/>
                <w:szCs w:val="20"/>
              </w:rPr>
              <w:t>+</w:t>
            </w:r>
            <w:r>
              <w:rPr>
                <w:rFonts w:ascii="宋体" w:hAnsi="宋体" w:eastAsia="宋体" w:cs="宋体"/>
                <w:spacing w:val="3"/>
                <w:sz w:val="20"/>
                <w:szCs w:val="20"/>
              </w:rPr>
              <w:t>对二甲苯、邻二甲苯 、</w:t>
            </w:r>
            <w:r>
              <w:rPr>
                <w:rFonts w:ascii="宋体" w:hAnsi="宋体" w:eastAsia="宋体" w:cs="宋体"/>
                <w:sz w:val="20"/>
                <w:szCs w:val="20"/>
              </w:rPr>
              <w:t xml:space="preserve"> </w:t>
            </w:r>
            <w:r>
              <w:rPr>
                <w:rFonts w:ascii="宋体" w:hAnsi="宋体" w:eastAsia="宋体" w:cs="宋体"/>
                <w:spacing w:val="12"/>
                <w:sz w:val="20"/>
                <w:szCs w:val="20"/>
              </w:rPr>
              <w:t>硝</w:t>
            </w:r>
            <w:r>
              <w:rPr>
                <w:rFonts w:ascii="宋体" w:hAnsi="宋体" w:eastAsia="宋体" w:cs="宋体"/>
                <w:spacing w:val="10"/>
                <w:sz w:val="20"/>
                <w:szCs w:val="20"/>
              </w:rPr>
              <w:t>基苯、苯胺、</w:t>
            </w:r>
            <w:r>
              <w:rPr>
                <w:rFonts w:ascii="Times New Roman" w:hAnsi="Times New Roman" w:eastAsia="Times New Roman" w:cs="Times New Roman"/>
                <w:spacing w:val="10"/>
                <w:sz w:val="20"/>
                <w:szCs w:val="20"/>
              </w:rPr>
              <w:t>2-</w:t>
            </w:r>
            <w:r>
              <w:rPr>
                <w:rFonts w:ascii="宋体" w:hAnsi="宋体" w:eastAsia="宋体" w:cs="宋体"/>
                <w:spacing w:val="10"/>
                <w:sz w:val="20"/>
                <w:szCs w:val="20"/>
              </w:rPr>
              <w:t>氯酚、苯并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w:t>
            </w:r>
            <w:r>
              <w:rPr>
                <w:rFonts w:ascii="宋体" w:hAnsi="宋体" w:eastAsia="宋体" w:cs="宋体"/>
                <w:spacing w:val="10"/>
                <w:sz w:val="20"/>
                <w:szCs w:val="20"/>
              </w:rPr>
              <w:t>蒽、苯并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w:t>
            </w:r>
            <w:r>
              <w:rPr>
                <w:rFonts w:ascii="宋体" w:hAnsi="宋体" w:eastAsia="宋体" w:cs="宋体"/>
                <w:spacing w:val="10"/>
                <w:sz w:val="20"/>
                <w:szCs w:val="20"/>
              </w:rPr>
              <w:t>芘、苯并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b</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 xml:space="preserve"> </w:t>
            </w:r>
            <w:r>
              <w:rPr>
                <w:rFonts w:ascii="宋体" w:hAnsi="宋体" w:eastAsia="宋体" w:cs="宋体"/>
                <w:spacing w:val="8"/>
                <w:sz w:val="20"/>
                <w:szCs w:val="20"/>
              </w:rPr>
              <w:t>荧蒽</w:t>
            </w:r>
            <w:r>
              <w:rPr>
                <w:rFonts w:ascii="宋体" w:hAnsi="宋体" w:eastAsia="宋体" w:cs="宋体"/>
                <w:spacing w:val="6"/>
                <w:sz w:val="20"/>
                <w:szCs w:val="20"/>
              </w:rPr>
              <w:t>、</w:t>
            </w:r>
            <w:r>
              <w:rPr>
                <w:rFonts w:ascii="宋体" w:hAnsi="宋体" w:eastAsia="宋体" w:cs="宋体"/>
                <w:spacing w:val="4"/>
                <w:sz w:val="20"/>
                <w:szCs w:val="20"/>
              </w:rPr>
              <w:t>苯并</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4"/>
                <w:sz w:val="20"/>
                <w:szCs w:val="20"/>
              </w:rPr>
              <w:t>]</w:t>
            </w:r>
            <w:r>
              <w:rPr>
                <w:rFonts w:ascii="宋体" w:hAnsi="宋体" w:eastAsia="宋体" w:cs="宋体"/>
                <w:spacing w:val="4"/>
                <w:sz w:val="20"/>
                <w:szCs w:val="20"/>
              </w:rPr>
              <w:t>荧蒽、䓛、二苯并</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w:t>
            </w:r>
            <w:r>
              <w:rPr>
                <w:rFonts w:ascii="宋体" w:hAnsi="宋体" w:eastAsia="宋体" w:cs="宋体"/>
                <w:spacing w:val="4"/>
                <w:sz w:val="20"/>
                <w:szCs w:val="20"/>
              </w:rPr>
              <w:t>蒽、茚并</w:t>
            </w:r>
            <w:r>
              <w:rPr>
                <w:rFonts w:ascii="Times New Roman" w:hAnsi="Times New Roman" w:eastAsia="Times New Roman" w:cs="Times New Roman"/>
                <w:spacing w:val="4"/>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7"/>
                <w:sz w:val="20"/>
                <w:szCs w:val="20"/>
              </w:rPr>
              <w:t>芘、萘、土壤含盐</w:t>
            </w:r>
            <w:r>
              <w:rPr>
                <w:rFonts w:ascii="宋体" w:hAnsi="宋体" w:eastAsia="宋体" w:cs="宋体"/>
                <w:spacing w:val="5"/>
                <w:sz w:val="20"/>
                <w:szCs w:val="20"/>
              </w:rPr>
              <w:t>量</w:t>
            </w:r>
          </w:p>
        </w:tc>
        <w:tc>
          <w:tcPr>
            <w:tcW w:w="914" w:type="dxa"/>
            <w:tcBorders>
              <w:right w:val="nil"/>
            </w:tcBorders>
            <w:vAlign w:val="top"/>
          </w:tcPr>
          <w:p w14:paraId="46901C49">
            <w:pPr>
              <w:rPr>
                <w:rFonts w:ascii="Arial"/>
                <w:sz w:val="21"/>
              </w:rPr>
            </w:pPr>
          </w:p>
        </w:tc>
      </w:tr>
      <w:tr w14:paraId="5819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22E3DD2F">
            <w:pPr>
              <w:rPr>
                <w:rFonts w:ascii="Arial"/>
                <w:sz w:val="21"/>
              </w:rPr>
            </w:pPr>
          </w:p>
        </w:tc>
        <w:tc>
          <w:tcPr>
            <w:tcW w:w="1665" w:type="dxa"/>
            <w:vAlign w:val="top"/>
          </w:tcPr>
          <w:p w14:paraId="6DB6A3E3">
            <w:pPr>
              <w:spacing w:before="56" w:line="226" w:lineRule="auto"/>
              <w:ind w:left="417"/>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价标准</w:t>
            </w:r>
          </w:p>
        </w:tc>
        <w:tc>
          <w:tcPr>
            <w:tcW w:w="5234" w:type="dxa"/>
            <w:gridSpan w:val="4"/>
            <w:vAlign w:val="top"/>
          </w:tcPr>
          <w:p w14:paraId="1C16994D">
            <w:pPr>
              <w:spacing w:before="18" w:line="209" w:lineRule="auto"/>
              <w:ind w:left="31"/>
              <w:rPr>
                <w:rFonts w:ascii="宋体" w:hAnsi="宋体" w:eastAsia="宋体" w:cs="宋体"/>
                <w:sz w:val="20"/>
                <w:szCs w:val="20"/>
              </w:rPr>
            </w:pPr>
            <w:r>
              <w:rPr>
                <w:rFonts w:ascii="Times New Roman" w:hAnsi="Times New Roman" w:eastAsia="Times New Roman" w:cs="Times New Roman"/>
                <w:spacing w:val="-4"/>
                <w:sz w:val="20"/>
                <w:szCs w:val="20"/>
              </w:rPr>
              <w:t>GB 15618</w:t>
            </w:r>
            <w:r>
              <w:rPr>
                <w:position w:val="-4"/>
                <w:sz w:val="20"/>
                <w:szCs w:val="20"/>
              </w:rPr>
              <w:drawing>
                <wp:inline distT="0" distB="0" distL="0" distR="0">
                  <wp:extent cx="105410" cy="13970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541"/>
                          <a:stretch>
                            <a:fillRect/>
                          </a:stretch>
                        </pic:blipFill>
                        <pic:spPr>
                          <a:xfrm>
                            <a:off x="0" y="0"/>
                            <a:ext cx="106039" cy="139749"/>
                          </a:xfrm>
                          <a:prstGeom prst="rect">
                            <a:avLst/>
                          </a:prstGeom>
                        </pic:spPr>
                      </pic:pic>
                    </a:graphicData>
                  </a:graphic>
                </wp:inline>
              </w:drawing>
            </w:r>
            <w:r>
              <w:rPr>
                <w:rFonts w:ascii="宋体" w:hAnsi="宋体" w:eastAsia="宋体" w:cs="宋体"/>
                <w:spacing w:val="-4"/>
                <w:sz w:val="20"/>
                <w:szCs w:val="20"/>
              </w:rPr>
              <w:t>；</w:t>
            </w:r>
            <w:r>
              <w:rPr>
                <w:rFonts w:ascii="Times New Roman" w:hAnsi="Times New Roman" w:eastAsia="Times New Roman" w:cs="Times New Roman"/>
                <w:spacing w:val="-4"/>
                <w:sz w:val="20"/>
                <w:szCs w:val="20"/>
              </w:rPr>
              <w:t>GB 36600</w:t>
            </w:r>
            <w:r>
              <w:rPr>
                <w:rFonts w:ascii="微软雅黑" w:hAnsi="微软雅黑" w:eastAsia="微软雅黑" w:cs="微软雅黑"/>
                <w:spacing w:val="-4"/>
                <w:sz w:val="20"/>
                <w:szCs w:val="20"/>
              </w:rPr>
              <w:t>团</w:t>
            </w:r>
            <w:r>
              <w:rPr>
                <w:rFonts w:ascii="宋体" w:hAnsi="宋体" w:eastAsia="宋体" w:cs="宋体"/>
                <w:spacing w:val="-4"/>
                <w:sz w:val="20"/>
                <w:szCs w:val="20"/>
              </w:rPr>
              <w:t xml:space="preserve">；表 </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4"/>
                <w:sz w:val="20"/>
                <w:szCs w:val="20"/>
              </w:rPr>
              <w:t>. 1</w:t>
            </w:r>
            <w:r>
              <w:rPr>
                <w:position w:val="-4"/>
                <w:sz w:val="20"/>
                <w:szCs w:val="20"/>
              </w:rPr>
              <w:drawing>
                <wp:inline distT="0" distB="0" distL="0" distR="0">
                  <wp:extent cx="105410" cy="13970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541"/>
                          <a:stretch>
                            <a:fillRect/>
                          </a:stretch>
                        </pic:blipFill>
                        <pic:spPr>
                          <a:xfrm>
                            <a:off x="0" y="0"/>
                            <a:ext cx="106038" cy="139749"/>
                          </a:xfrm>
                          <a:prstGeom prst="rect">
                            <a:avLst/>
                          </a:prstGeom>
                        </pic:spPr>
                      </pic:pic>
                    </a:graphicData>
                  </a:graphic>
                </wp:inline>
              </w:drawing>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；表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.2</w:t>
            </w:r>
            <w:r>
              <w:rPr>
                <w:position w:val="-4"/>
                <w:sz w:val="20"/>
                <w:szCs w:val="20"/>
              </w:rPr>
              <w:drawing>
                <wp:inline distT="0" distB="0" distL="0" distR="0">
                  <wp:extent cx="105410" cy="1397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541"/>
                          <a:stretch>
                            <a:fillRect/>
                          </a:stretch>
                        </pic:blipFill>
                        <pic:spPr>
                          <a:xfrm>
                            <a:off x="0" y="0"/>
                            <a:ext cx="106038" cy="139749"/>
                          </a:xfrm>
                          <a:prstGeom prst="rect">
                            <a:avLst/>
                          </a:prstGeom>
                        </pic:spPr>
                      </pic:pic>
                    </a:graphicData>
                  </a:graphic>
                </wp:inline>
              </w:drawing>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；其他 (</w:t>
            </w:r>
            <w:r>
              <w:rPr>
                <w:rFonts w:ascii="Times New Roman" w:hAnsi="Times New Roman" w:eastAsia="Times New Roman" w:cs="Times New Roman"/>
                <w:spacing w:val="-4"/>
                <w:sz w:val="20"/>
                <w:szCs w:val="20"/>
              </w:rPr>
              <w:t>/</w:t>
            </w:r>
            <w:r>
              <w:rPr>
                <w:rFonts w:ascii="宋体" w:hAnsi="宋体" w:eastAsia="宋体" w:cs="宋体"/>
                <w:spacing w:val="-4"/>
                <w:sz w:val="20"/>
                <w:szCs w:val="20"/>
              </w:rPr>
              <w:t>)</w:t>
            </w:r>
          </w:p>
        </w:tc>
        <w:tc>
          <w:tcPr>
            <w:tcW w:w="914" w:type="dxa"/>
            <w:tcBorders>
              <w:right w:val="nil"/>
            </w:tcBorders>
            <w:vAlign w:val="top"/>
          </w:tcPr>
          <w:p w14:paraId="3C75018F">
            <w:pPr>
              <w:rPr>
                <w:rFonts w:ascii="Arial"/>
                <w:sz w:val="21"/>
              </w:rPr>
            </w:pPr>
          </w:p>
        </w:tc>
      </w:tr>
      <w:tr w14:paraId="2D084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tcBorders>
            <w:vAlign w:val="top"/>
          </w:tcPr>
          <w:p w14:paraId="2CFCB6AF">
            <w:pPr>
              <w:rPr>
                <w:rFonts w:ascii="Arial"/>
                <w:sz w:val="21"/>
              </w:rPr>
            </w:pPr>
          </w:p>
        </w:tc>
        <w:tc>
          <w:tcPr>
            <w:tcW w:w="1665" w:type="dxa"/>
            <w:vAlign w:val="top"/>
          </w:tcPr>
          <w:p w14:paraId="36DAE8BB">
            <w:pPr>
              <w:spacing w:before="55" w:line="226" w:lineRule="auto"/>
              <w:ind w:left="208"/>
              <w:rPr>
                <w:rFonts w:ascii="宋体" w:hAnsi="宋体" w:eastAsia="宋体" w:cs="宋体"/>
                <w:sz w:val="20"/>
                <w:szCs w:val="20"/>
              </w:rPr>
            </w:pPr>
            <w:r>
              <w:rPr>
                <w:rFonts w:ascii="宋体" w:hAnsi="宋体" w:eastAsia="宋体" w:cs="宋体"/>
                <w:spacing w:val="8"/>
                <w:sz w:val="20"/>
                <w:szCs w:val="20"/>
              </w:rPr>
              <w:t>现状评价结</w:t>
            </w:r>
            <w:r>
              <w:rPr>
                <w:rFonts w:ascii="宋体" w:hAnsi="宋体" w:eastAsia="宋体" w:cs="宋体"/>
                <w:spacing w:val="7"/>
                <w:sz w:val="20"/>
                <w:szCs w:val="20"/>
              </w:rPr>
              <w:t>论</w:t>
            </w:r>
          </w:p>
        </w:tc>
        <w:tc>
          <w:tcPr>
            <w:tcW w:w="5234" w:type="dxa"/>
            <w:gridSpan w:val="4"/>
            <w:vAlign w:val="top"/>
          </w:tcPr>
          <w:p w14:paraId="4F5FD743">
            <w:pPr>
              <w:spacing w:before="55" w:line="228" w:lineRule="auto"/>
              <w:ind w:left="2412"/>
              <w:rPr>
                <w:rFonts w:ascii="宋体" w:hAnsi="宋体" w:eastAsia="宋体" w:cs="宋体"/>
                <w:sz w:val="20"/>
                <w:szCs w:val="20"/>
              </w:rPr>
            </w:pPr>
            <w:r>
              <w:rPr>
                <w:rFonts w:ascii="宋体" w:hAnsi="宋体" w:eastAsia="宋体" w:cs="宋体"/>
                <w:spacing w:val="5"/>
                <w:sz w:val="20"/>
                <w:szCs w:val="20"/>
              </w:rPr>
              <w:t>达标</w:t>
            </w:r>
          </w:p>
        </w:tc>
        <w:tc>
          <w:tcPr>
            <w:tcW w:w="914" w:type="dxa"/>
            <w:tcBorders>
              <w:right w:val="nil"/>
            </w:tcBorders>
            <w:vAlign w:val="top"/>
          </w:tcPr>
          <w:p w14:paraId="091C0748">
            <w:pPr>
              <w:rPr>
                <w:rFonts w:ascii="Arial"/>
                <w:sz w:val="21"/>
              </w:rPr>
            </w:pPr>
          </w:p>
        </w:tc>
      </w:tr>
      <w:tr w14:paraId="3D009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restart"/>
            <w:tcBorders>
              <w:left w:val="nil"/>
              <w:bottom w:val="nil"/>
            </w:tcBorders>
            <w:vAlign w:val="top"/>
          </w:tcPr>
          <w:p w14:paraId="30329EF5">
            <w:pPr>
              <w:spacing w:line="312" w:lineRule="auto"/>
              <w:rPr>
                <w:rFonts w:ascii="Arial"/>
                <w:sz w:val="21"/>
              </w:rPr>
            </w:pPr>
          </w:p>
          <w:p w14:paraId="407539B2">
            <w:pPr>
              <w:spacing w:line="312" w:lineRule="auto"/>
              <w:rPr>
                <w:rFonts w:ascii="Arial"/>
                <w:sz w:val="21"/>
              </w:rPr>
            </w:pPr>
          </w:p>
          <w:p w14:paraId="7FF2F396">
            <w:pPr>
              <w:spacing w:before="65" w:line="301" w:lineRule="auto"/>
              <w:ind w:left="50" w:right="40" w:hanging="1"/>
              <w:rPr>
                <w:rFonts w:ascii="宋体" w:hAnsi="宋体" w:eastAsia="宋体" w:cs="宋体"/>
                <w:sz w:val="20"/>
                <w:szCs w:val="20"/>
              </w:rPr>
            </w:pPr>
            <w:r>
              <w:rPr>
                <w:rFonts w:ascii="宋体" w:hAnsi="宋体" w:eastAsia="宋体" w:cs="宋体"/>
                <w:spacing w:val="5"/>
                <w:sz w:val="20"/>
                <w:szCs w:val="20"/>
              </w:rPr>
              <w:t>影</w:t>
            </w:r>
            <w:r>
              <w:rPr>
                <w:rFonts w:ascii="宋体" w:hAnsi="宋体" w:eastAsia="宋体" w:cs="宋体"/>
                <w:spacing w:val="4"/>
                <w:sz w:val="20"/>
                <w:szCs w:val="20"/>
              </w:rPr>
              <w:t>响</w:t>
            </w:r>
            <w:r>
              <w:rPr>
                <w:rFonts w:ascii="宋体" w:hAnsi="宋体" w:eastAsia="宋体" w:cs="宋体"/>
                <w:sz w:val="20"/>
                <w:szCs w:val="20"/>
              </w:rPr>
              <w:t xml:space="preserve"> </w:t>
            </w:r>
            <w:r>
              <w:rPr>
                <w:rFonts w:ascii="宋体" w:hAnsi="宋体" w:eastAsia="宋体" w:cs="宋体"/>
                <w:spacing w:val="4"/>
                <w:sz w:val="20"/>
                <w:szCs w:val="20"/>
              </w:rPr>
              <w:t>预</w:t>
            </w:r>
            <w:r>
              <w:rPr>
                <w:rFonts w:ascii="宋体" w:hAnsi="宋体" w:eastAsia="宋体" w:cs="宋体"/>
                <w:spacing w:val="3"/>
                <w:sz w:val="20"/>
                <w:szCs w:val="20"/>
              </w:rPr>
              <w:t>测</w:t>
            </w:r>
          </w:p>
        </w:tc>
        <w:tc>
          <w:tcPr>
            <w:tcW w:w="1665" w:type="dxa"/>
            <w:vAlign w:val="top"/>
          </w:tcPr>
          <w:p w14:paraId="1296CA70">
            <w:pPr>
              <w:spacing w:before="55" w:line="228" w:lineRule="auto"/>
              <w:ind w:left="419"/>
              <w:rPr>
                <w:rFonts w:ascii="宋体" w:hAnsi="宋体" w:eastAsia="宋体" w:cs="宋体"/>
                <w:sz w:val="20"/>
                <w:szCs w:val="20"/>
              </w:rPr>
            </w:pPr>
            <w:r>
              <w:rPr>
                <w:rFonts w:ascii="宋体" w:hAnsi="宋体" w:eastAsia="宋体" w:cs="宋体"/>
                <w:spacing w:val="7"/>
                <w:sz w:val="20"/>
                <w:szCs w:val="20"/>
              </w:rPr>
              <w:t>预测因</w:t>
            </w:r>
            <w:r>
              <w:rPr>
                <w:rFonts w:ascii="宋体" w:hAnsi="宋体" w:eastAsia="宋体" w:cs="宋体"/>
                <w:spacing w:val="6"/>
                <w:sz w:val="20"/>
                <w:szCs w:val="20"/>
              </w:rPr>
              <w:t>子</w:t>
            </w:r>
          </w:p>
        </w:tc>
        <w:tc>
          <w:tcPr>
            <w:tcW w:w="5234" w:type="dxa"/>
            <w:gridSpan w:val="4"/>
            <w:vAlign w:val="top"/>
          </w:tcPr>
          <w:p w14:paraId="5620F507">
            <w:pPr>
              <w:spacing w:before="90" w:line="195" w:lineRule="auto"/>
              <w:ind w:left="2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914" w:type="dxa"/>
            <w:tcBorders>
              <w:right w:val="nil"/>
            </w:tcBorders>
            <w:vAlign w:val="top"/>
          </w:tcPr>
          <w:p w14:paraId="12440151">
            <w:pPr>
              <w:rPr>
                <w:rFonts w:ascii="Arial"/>
                <w:sz w:val="21"/>
              </w:rPr>
            </w:pPr>
          </w:p>
        </w:tc>
      </w:tr>
      <w:tr w14:paraId="52B48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02" w:type="dxa"/>
            <w:vMerge w:val="continue"/>
            <w:tcBorders>
              <w:top w:val="nil"/>
              <w:left w:val="nil"/>
              <w:bottom w:val="nil"/>
            </w:tcBorders>
            <w:vAlign w:val="top"/>
          </w:tcPr>
          <w:p w14:paraId="4E9762C1">
            <w:pPr>
              <w:rPr>
                <w:rFonts w:ascii="Arial"/>
                <w:sz w:val="21"/>
              </w:rPr>
            </w:pPr>
          </w:p>
        </w:tc>
        <w:tc>
          <w:tcPr>
            <w:tcW w:w="1665" w:type="dxa"/>
            <w:vAlign w:val="top"/>
          </w:tcPr>
          <w:p w14:paraId="26A960E3">
            <w:pPr>
              <w:spacing w:before="55" w:line="228" w:lineRule="auto"/>
              <w:ind w:left="419"/>
              <w:rPr>
                <w:rFonts w:ascii="宋体" w:hAnsi="宋体" w:eastAsia="宋体" w:cs="宋体"/>
                <w:sz w:val="20"/>
                <w:szCs w:val="20"/>
              </w:rPr>
            </w:pPr>
            <w:r>
              <w:rPr>
                <w:rFonts w:ascii="宋体" w:hAnsi="宋体" w:eastAsia="宋体" w:cs="宋体"/>
                <w:spacing w:val="7"/>
                <w:sz w:val="20"/>
                <w:szCs w:val="20"/>
              </w:rPr>
              <w:t>预测方</w:t>
            </w:r>
            <w:r>
              <w:rPr>
                <w:rFonts w:ascii="宋体" w:hAnsi="宋体" w:eastAsia="宋体" w:cs="宋体"/>
                <w:spacing w:val="6"/>
                <w:sz w:val="20"/>
                <w:szCs w:val="20"/>
              </w:rPr>
              <w:t>法</w:t>
            </w:r>
          </w:p>
        </w:tc>
        <w:tc>
          <w:tcPr>
            <w:tcW w:w="5234" w:type="dxa"/>
            <w:gridSpan w:val="4"/>
            <w:vAlign w:val="top"/>
          </w:tcPr>
          <w:p w14:paraId="532E99DB">
            <w:pPr>
              <w:spacing w:before="54" w:line="227" w:lineRule="auto"/>
              <w:ind w:left="48"/>
              <w:rPr>
                <w:rFonts w:ascii="宋体" w:hAnsi="宋体" w:eastAsia="宋体" w:cs="宋体"/>
                <w:sz w:val="20"/>
                <w:szCs w:val="20"/>
              </w:rPr>
            </w:pPr>
            <w:r>
              <w:rPr>
                <w:rFonts w:ascii="宋体" w:hAnsi="宋体" w:eastAsia="宋体" w:cs="宋体"/>
                <w:spacing w:val="12"/>
                <w:sz w:val="20"/>
                <w:szCs w:val="20"/>
              </w:rPr>
              <w:t>附</w:t>
            </w:r>
            <w:r>
              <w:rPr>
                <w:rFonts w:ascii="宋体" w:hAnsi="宋体" w:eastAsia="宋体" w:cs="宋体"/>
                <w:spacing w:val="8"/>
                <w:sz w:val="20"/>
                <w:szCs w:val="20"/>
              </w:rPr>
              <w:t>录</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w:t>
            </w:r>
            <w:r>
              <w:rPr>
                <w:rFonts w:ascii="宋体" w:hAnsi="宋体" w:eastAsia="宋体" w:cs="宋体"/>
                <w:spacing w:val="8"/>
                <w:sz w:val="20"/>
                <w:szCs w:val="20"/>
              </w:rPr>
              <w:t>；附录</w:t>
            </w:r>
            <w:r>
              <w:rPr>
                <w:rFonts w:ascii="Times New Roman" w:hAnsi="Times New Roman" w:eastAsia="Times New Roman" w:cs="Times New Roman"/>
                <w:sz w:val="20"/>
                <w:szCs w:val="20"/>
              </w:rPr>
              <w:t>F</w:t>
            </w:r>
            <w:r>
              <w:rPr>
                <w:rFonts w:ascii="Times New Roman" w:hAnsi="Times New Roman" w:eastAsia="Times New Roman" w:cs="Times New Roman"/>
                <w:spacing w:val="8"/>
                <w:sz w:val="20"/>
                <w:szCs w:val="20"/>
              </w:rPr>
              <w:t>□</w:t>
            </w:r>
            <w:r>
              <w:rPr>
                <w:rFonts w:ascii="宋体" w:hAnsi="宋体" w:eastAsia="宋体" w:cs="宋体"/>
                <w:spacing w:val="8"/>
                <w:sz w:val="20"/>
                <w:szCs w:val="20"/>
              </w:rPr>
              <w:t>；其他 (类别分析)</w:t>
            </w:r>
          </w:p>
        </w:tc>
        <w:tc>
          <w:tcPr>
            <w:tcW w:w="914" w:type="dxa"/>
            <w:tcBorders>
              <w:right w:val="nil"/>
            </w:tcBorders>
            <w:vAlign w:val="top"/>
          </w:tcPr>
          <w:p w14:paraId="3496A389">
            <w:pPr>
              <w:rPr>
                <w:rFonts w:ascii="Arial"/>
                <w:sz w:val="21"/>
              </w:rPr>
            </w:pPr>
          </w:p>
        </w:tc>
      </w:tr>
      <w:tr w14:paraId="106A8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2" w:type="dxa"/>
            <w:vMerge w:val="continue"/>
            <w:tcBorders>
              <w:top w:val="nil"/>
              <w:left w:val="nil"/>
              <w:bottom w:val="nil"/>
            </w:tcBorders>
            <w:vAlign w:val="top"/>
          </w:tcPr>
          <w:p w14:paraId="4917C582">
            <w:pPr>
              <w:rPr>
                <w:rFonts w:ascii="Arial"/>
                <w:sz w:val="21"/>
              </w:rPr>
            </w:pPr>
          </w:p>
        </w:tc>
        <w:tc>
          <w:tcPr>
            <w:tcW w:w="1665" w:type="dxa"/>
            <w:vAlign w:val="top"/>
          </w:tcPr>
          <w:p w14:paraId="0AA6CF94">
            <w:pPr>
              <w:spacing w:before="209" w:line="228" w:lineRule="auto"/>
              <w:ind w:left="208"/>
              <w:rPr>
                <w:rFonts w:ascii="宋体" w:hAnsi="宋体" w:eastAsia="宋体" w:cs="宋体"/>
                <w:sz w:val="20"/>
                <w:szCs w:val="20"/>
              </w:rPr>
            </w:pPr>
            <w:r>
              <w:rPr>
                <w:rFonts w:ascii="宋体" w:hAnsi="宋体" w:eastAsia="宋体" w:cs="宋体"/>
                <w:spacing w:val="8"/>
                <w:sz w:val="20"/>
                <w:szCs w:val="20"/>
              </w:rPr>
              <w:t>预测分析内</w:t>
            </w:r>
            <w:r>
              <w:rPr>
                <w:rFonts w:ascii="宋体" w:hAnsi="宋体" w:eastAsia="宋体" w:cs="宋体"/>
                <w:spacing w:val="7"/>
                <w:sz w:val="20"/>
                <w:szCs w:val="20"/>
              </w:rPr>
              <w:t>容</w:t>
            </w:r>
          </w:p>
        </w:tc>
        <w:tc>
          <w:tcPr>
            <w:tcW w:w="5234" w:type="dxa"/>
            <w:gridSpan w:val="4"/>
            <w:vAlign w:val="top"/>
          </w:tcPr>
          <w:p w14:paraId="6672B960">
            <w:pPr>
              <w:spacing w:before="54" w:line="274" w:lineRule="exact"/>
              <w:ind w:left="32"/>
              <w:rPr>
                <w:rFonts w:ascii="宋体" w:hAnsi="宋体" w:eastAsia="宋体" w:cs="宋体"/>
                <w:sz w:val="20"/>
                <w:szCs w:val="20"/>
              </w:rPr>
            </w:pPr>
            <w:r>
              <w:rPr>
                <w:rFonts w:ascii="宋体" w:hAnsi="宋体" w:eastAsia="宋体" w:cs="宋体"/>
                <w:spacing w:val="12"/>
                <w:position w:val="4"/>
                <w:sz w:val="20"/>
                <w:szCs w:val="20"/>
              </w:rPr>
              <w:t>影</w:t>
            </w:r>
            <w:r>
              <w:rPr>
                <w:rFonts w:ascii="宋体" w:hAnsi="宋体" w:eastAsia="宋体" w:cs="宋体"/>
                <w:spacing w:val="7"/>
                <w:position w:val="4"/>
                <w:sz w:val="20"/>
                <w:szCs w:val="20"/>
              </w:rPr>
              <w:t>响范围 (占地范围内)</w:t>
            </w:r>
          </w:p>
          <w:p w14:paraId="7E59EEFD">
            <w:pPr>
              <w:spacing w:line="281" w:lineRule="exact"/>
              <w:ind w:left="32"/>
              <w:rPr>
                <w:rFonts w:ascii="宋体" w:hAnsi="宋体" w:eastAsia="宋体" w:cs="宋体"/>
                <w:sz w:val="20"/>
                <w:szCs w:val="20"/>
              </w:rPr>
            </w:pPr>
            <w:r>
              <w:rPr>
                <w:rFonts w:ascii="宋体" w:hAnsi="宋体" w:eastAsia="宋体" w:cs="宋体"/>
                <w:spacing w:val="10"/>
                <w:position w:val="1"/>
                <w:sz w:val="20"/>
                <w:szCs w:val="20"/>
              </w:rPr>
              <w:t>影</w:t>
            </w:r>
            <w:r>
              <w:rPr>
                <w:rFonts w:ascii="宋体" w:hAnsi="宋体" w:eastAsia="宋体" w:cs="宋体"/>
                <w:spacing w:val="6"/>
                <w:position w:val="1"/>
                <w:sz w:val="20"/>
                <w:szCs w:val="20"/>
              </w:rPr>
              <w:t>响</w:t>
            </w:r>
            <w:r>
              <w:rPr>
                <w:rFonts w:ascii="宋体" w:hAnsi="宋体" w:eastAsia="宋体" w:cs="宋体"/>
                <w:spacing w:val="5"/>
                <w:position w:val="1"/>
                <w:sz w:val="20"/>
                <w:szCs w:val="20"/>
              </w:rPr>
              <w:t>程度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w:t>
            </w:r>
          </w:p>
        </w:tc>
        <w:tc>
          <w:tcPr>
            <w:tcW w:w="914" w:type="dxa"/>
            <w:tcBorders>
              <w:right w:val="nil"/>
            </w:tcBorders>
            <w:vAlign w:val="top"/>
          </w:tcPr>
          <w:p w14:paraId="0241CC7A">
            <w:pPr>
              <w:rPr>
                <w:rFonts w:ascii="Arial"/>
                <w:sz w:val="21"/>
              </w:rPr>
            </w:pPr>
          </w:p>
        </w:tc>
      </w:tr>
      <w:tr w14:paraId="6CFD0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02" w:type="dxa"/>
            <w:vMerge w:val="continue"/>
            <w:tcBorders>
              <w:top w:val="nil"/>
              <w:left w:val="nil"/>
            </w:tcBorders>
            <w:vAlign w:val="top"/>
          </w:tcPr>
          <w:p w14:paraId="355CFEDB">
            <w:pPr>
              <w:rPr>
                <w:rFonts w:ascii="Arial"/>
                <w:sz w:val="21"/>
              </w:rPr>
            </w:pPr>
          </w:p>
        </w:tc>
        <w:tc>
          <w:tcPr>
            <w:tcW w:w="1665" w:type="dxa"/>
            <w:vAlign w:val="top"/>
          </w:tcPr>
          <w:p w14:paraId="68B64CD4">
            <w:pPr>
              <w:spacing w:before="213" w:line="228" w:lineRule="auto"/>
              <w:ind w:left="419"/>
              <w:rPr>
                <w:rFonts w:ascii="宋体" w:hAnsi="宋体" w:eastAsia="宋体" w:cs="宋体"/>
                <w:sz w:val="20"/>
                <w:szCs w:val="20"/>
              </w:rPr>
            </w:pPr>
            <w:r>
              <w:rPr>
                <w:rFonts w:ascii="宋体" w:hAnsi="宋体" w:eastAsia="宋体" w:cs="宋体"/>
                <w:spacing w:val="7"/>
                <w:sz w:val="20"/>
                <w:szCs w:val="20"/>
              </w:rPr>
              <w:t>预测结</w:t>
            </w:r>
            <w:r>
              <w:rPr>
                <w:rFonts w:ascii="宋体" w:hAnsi="宋体" w:eastAsia="宋体" w:cs="宋体"/>
                <w:spacing w:val="6"/>
                <w:sz w:val="20"/>
                <w:szCs w:val="20"/>
              </w:rPr>
              <w:t>论</w:t>
            </w:r>
          </w:p>
        </w:tc>
        <w:tc>
          <w:tcPr>
            <w:tcW w:w="5234" w:type="dxa"/>
            <w:gridSpan w:val="4"/>
            <w:vAlign w:val="top"/>
          </w:tcPr>
          <w:p w14:paraId="2B1806BC">
            <w:pPr>
              <w:spacing w:before="19" w:line="218" w:lineRule="auto"/>
              <w:ind w:left="31"/>
              <w:rPr>
                <w:sz w:val="20"/>
                <w:szCs w:val="20"/>
              </w:rPr>
            </w:pPr>
            <w:r>
              <w:rPr>
                <w:rFonts w:ascii="宋体" w:hAnsi="宋体" w:eastAsia="宋体" w:cs="宋体"/>
                <w:spacing w:val="-4"/>
                <w:sz w:val="20"/>
                <w:szCs w:val="20"/>
              </w:rPr>
              <w:t>达标结论：</w:t>
            </w:r>
            <w:r>
              <w:rPr>
                <w:rFonts w:ascii="Times New Roman" w:hAnsi="Times New Roman" w:eastAsia="Times New Roman" w:cs="Times New Roman"/>
                <w:spacing w:val="-2"/>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2"/>
                <w:sz w:val="20"/>
                <w:szCs w:val="20"/>
              </w:rPr>
              <w:t xml:space="preserve">) </w:t>
            </w:r>
            <w:r>
              <w:rPr>
                <w:rFonts w:ascii="微软雅黑" w:hAnsi="微软雅黑" w:eastAsia="微软雅黑" w:cs="微软雅黑"/>
                <w:spacing w:val="-2"/>
                <w:sz w:val="20"/>
                <w:szCs w:val="20"/>
              </w:rPr>
              <w:t>团</w:t>
            </w:r>
            <w:r>
              <w:rPr>
                <w:rFonts w:ascii="宋体" w:hAnsi="宋体" w:eastAsia="宋体" w:cs="宋体"/>
                <w:spacing w:val="-2"/>
                <w:sz w:val="20"/>
                <w:szCs w:val="20"/>
              </w:rPr>
              <w:t>；</w:t>
            </w:r>
            <w:r>
              <w:rPr>
                <w:rFonts w:ascii="Times New Roman" w:hAnsi="Times New Roman" w:eastAsia="Times New Roman" w:cs="Times New Roman"/>
                <w:spacing w:val="-2"/>
                <w:sz w:val="20"/>
                <w:szCs w:val="20"/>
              </w:rPr>
              <w:t>b</w:t>
            </w:r>
            <w:r>
              <w:rPr>
                <w:rFonts w:ascii="宋体" w:hAnsi="宋体" w:eastAsia="宋体" w:cs="宋体"/>
                <w:spacing w:val="-2"/>
                <w:sz w:val="20"/>
                <w:szCs w:val="20"/>
              </w:rPr>
              <w:t xml:space="preserve">) </w:t>
            </w:r>
            <w:r>
              <w:rPr>
                <w:position w:val="-4"/>
                <w:sz w:val="20"/>
                <w:szCs w:val="20"/>
              </w:rPr>
              <w:drawing>
                <wp:inline distT="0" distB="0" distL="0" distR="0">
                  <wp:extent cx="95885" cy="139700"/>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537"/>
                          <a:stretch>
                            <a:fillRect/>
                          </a:stretch>
                        </pic:blipFill>
                        <pic:spPr>
                          <a:xfrm>
                            <a:off x="0" y="0"/>
                            <a:ext cx="95952" cy="139748"/>
                          </a:xfrm>
                          <a:prstGeom prst="rect">
                            <a:avLst/>
                          </a:prstGeom>
                        </pic:spPr>
                      </pic:pic>
                    </a:graphicData>
                  </a:graphic>
                </wp:inline>
              </w:drawing>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c </w:t>
            </w:r>
            <w:r>
              <w:rPr>
                <w:rFonts w:ascii="宋体" w:hAnsi="宋体" w:eastAsia="宋体" w:cs="宋体"/>
                <w:spacing w:val="-2"/>
                <w:sz w:val="20"/>
                <w:szCs w:val="20"/>
              </w:rPr>
              <w:t xml:space="preserve">) </w:t>
            </w:r>
            <w:r>
              <w:rPr>
                <w:position w:val="-4"/>
                <w:sz w:val="20"/>
                <w:szCs w:val="20"/>
              </w:rPr>
              <w:drawing>
                <wp:inline distT="0" distB="0" distL="0" distR="0">
                  <wp:extent cx="95885" cy="1397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537"/>
                          <a:stretch>
                            <a:fillRect/>
                          </a:stretch>
                        </pic:blipFill>
                        <pic:spPr>
                          <a:xfrm>
                            <a:off x="0" y="0"/>
                            <a:ext cx="95952" cy="139748"/>
                          </a:xfrm>
                          <a:prstGeom prst="rect">
                            <a:avLst/>
                          </a:prstGeom>
                        </pic:spPr>
                      </pic:pic>
                    </a:graphicData>
                  </a:graphic>
                </wp:inline>
              </w:drawing>
            </w:r>
          </w:p>
          <w:p w14:paraId="222C8A5D">
            <w:pPr>
              <w:spacing w:line="281" w:lineRule="exact"/>
              <w:ind w:left="35"/>
              <w:rPr>
                <w:rFonts w:ascii="Times New Roman" w:hAnsi="Times New Roman" w:eastAsia="Times New Roman" w:cs="Times New Roman"/>
                <w:sz w:val="20"/>
                <w:szCs w:val="20"/>
              </w:rPr>
            </w:pPr>
            <w:r>
              <w:rPr>
                <w:rFonts w:ascii="宋体" w:hAnsi="宋体" w:eastAsia="宋体" w:cs="宋体"/>
                <w:spacing w:val="1"/>
                <w:position w:val="1"/>
                <w:sz w:val="20"/>
                <w:szCs w:val="20"/>
              </w:rPr>
              <w:t>不达标结论：</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w:t>
            </w:r>
            <w:r>
              <w:rPr>
                <w:rFonts w:ascii="宋体" w:hAnsi="宋体" w:eastAsia="宋体" w:cs="宋体"/>
                <w:position w:val="1"/>
                <w:sz w:val="20"/>
                <w:szCs w:val="20"/>
              </w:rPr>
              <w:t xml:space="preserve"> </w:t>
            </w:r>
            <w:r>
              <w:rPr>
                <w:rFonts w:ascii="Times New Roman" w:hAnsi="Times New Roman" w:eastAsia="Times New Roman" w:cs="Times New Roman"/>
                <w:position w:val="1"/>
                <w:sz w:val="20"/>
                <w:szCs w:val="20"/>
              </w:rPr>
              <w:t xml:space="preserve">□ </w:t>
            </w:r>
            <w:r>
              <w:rPr>
                <w:rFonts w:ascii="宋体" w:hAnsi="宋体" w:eastAsia="宋体" w:cs="宋体"/>
                <w:position w:val="1"/>
                <w:sz w:val="20"/>
                <w:szCs w:val="20"/>
              </w:rPr>
              <w:t>；</w:t>
            </w:r>
            <w:r>
              <w:rPr>
                <w:rFonts w:ascii="Times New Roman" w:hAnsi="Times New Roman" w:eastAsia="Times New Roman" w:cs="Times New Roman"/>
                <w:position w:val="1"/>
                <w:sz w:val="20"/>
                <w:szCs w:val="20"/>
              </w:rPr>
              <w:t>b</w:t>
            </w:r>
            <w:r>
              <w:rPr>
                <w:rFonts w:ascii="宋体" w:hAnsi="宋体" w:eastAsia="宋体" w:cs="宋体"/>
                <w:position w:val="1"/>
                <w:sz w:val="20"/>
                <w:szCs w:val="20"/>
              </w:rPr>
              <w:t xml:space="preserve">) </w:t>
            </w:r>
            <w:r>
              <w:rPr>
                <w:rFonts w:ascii="Times New Roman" w:hAnsi="Times New Roman" w:eastAsia="Times New Roman" w:cs="Times New Roman"/>
                <w:position w:val="1"/>
                <w:sz w:val="20"/>
                <w:szCs w:val="20"/>
              </w:rPr>
              <w:t>□</w:t>
            </w:r>
          </w:p>
        </w:tc>
        <w:tc>
          <w:tcPr>
            <w:tcW w:w="914" w:type="dxa"/>
            <w:tcBorders>
              <w:right w:val="nil"/>
            </w:tcBorders>
            <w:vAlign w:val="top"/>
          </w:tcPr>
          <w:p w14:paraId="524FE88A">
            <w:pPr>
              <w:rPr>
                <w:rFonts w:ascii="Arial"/>
                <w:sz w:val="21"/>
              </w:rPr>
            </w:pPr>
          </w:p>
        </w:tc>
      </w:tr>
    </w:tbl>
    <w:p w14:paraId="16C6366E">
      <w:pPr>
        <w:rPr>
          <w:rFonts w:ascii="Arial"/>
          <w:sz w:val="21"/>
        </w:rPr>
      </w:pPr>
    </w:p>
    <w:p w14:paraId="397D0A6D">
      <w:pPr>
        <w:sectPr>
          <w:headerReference r:id="rId254" w:type="default"/>
          <w:footerReference r:id="rId255" w:type="default"/>
          <w:pgSz w:w="11906" w:h="16839"/>
          <w:pgMar w:top="1132" w:right="1785" w:bottom="1182" w:left="1785" w:header="878" w:footer="1022" w:gutter="0"/>
          <w:cols w:space="720" w:num="1"/>
        </w:sectPr>
      </w:pPr>
    </w:p>
    <w:p w14:paraId="29669BA6">
      <w:r>
        <w:pict>
          <v:rect id="_x0000_s1293" o:spid="_x0000_s1293" o:spt="1" style="position:absolute;left:0pt;margin-left:90pt;margin-top:57.35pt;height:0.75pt;width:415.3pt;mso-position-horizontal-relative:page;mso-position-vertical-relative:page;z-index:251947008;mso-width-relative:page;mso-height-relative:page;" fillcolor="#000000" filled="t" stroked="f" coordsize="21600,21600" o:allowincell="f">
            <v:path/>
            <v:fill on="t" focussize="0,0"/>
            <v:stroke on="f"/>
            <v:imagedata o:title=""/>
            <o:lock v:ext="edit"/>
          </v:rect>
        </w:pict>
      </w:r>
    </w:p>
    <w:p w14:paraId="279BE269">
      <w:pPr>
        <w:spacing w:line="65" w:lineRule="exact"/>
      </w:pPr>
    </w:p>
    <w:tbl>
      <w:tblPr>
        <w:tblStyle w:val="4"/>
        <w:tblW w:w="8316"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1665"/>
        <w:gridCol w:w="1872"/>
        <w:gridCol w:w="1410"/>
        <w:gridCol w:w="1953"/>
        <w:gridCol w:w="914"/>
      </w:tblGrid>
      <w:tr w14:paraId="36817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502" w:type="dxa"/>
            <w:vMerge w:val="restart"/>
            <w:tcBorders>
              <w:left w:val="nil"/>
              <w:bottom w:val="nil"/>
            </w:tcBorders>
            <w:vAlign w:val="top"/>
          </w:tcPr>
          <w:p w14:paraId="72C58BC7">
            <w:pPr>
              <w:spacing w:line="246" w:lineRule="auto"/>
              <w:rPr>
                <w:rFonts w:ascii="Arial"/>
                <w:sz w:val="21"/>
              </w:rPr>
            </w:pPr>
          </w:p>
          <w:p w14:paraId="0A88F324">
            <w:pPr>
              <w:spacing w:line="246" w:lineRule="auto"/>
              <w:rPr>
                <w:rFonts w:ascii="Arial"/>
                <w:sz w:val="21"/>
              </w:rPr>
            </w:pPr>
          </w:p>
          <w:p w14:paraId="727B0B6D">
            <w:pPr>
              <w:spacing w:before="65" w:line="301" w:lineRule="auto"/>
              <w:ind w:left="49" w:right="40" w:firstLine="13"/>
              <w:rPr>
                <w:rFonts w:ascii="宋体" w:hAnsi="宋体" w:eastAsia="宋体" w:cs="宋体"/>
                <w:sz w:val="20"/>
                <w:szCs w:val="20"/>
              </w:rPr>
            </w:pPr>
            <w:r>
              <w:rPr>
                <w:rFonts w:ascii="宋体" w:hAnsi="宋体" w:eastAsia="宋体" w:cs="宋体"/>
                <w:spacing w:val="-2"/>
                <w:sz w:val="20"/>
                <w:szCs w:val="20"/>
              </w:rPr>
              <w:t>防治</w:t>
            </w:r>
            <w:r>
              <w:rPr>
                <w:rFonts w:ascii="宋体" w:hAnsi="宋体" w:eastAsia="宋体" w:cs="宋体"/>
                <w:sz w:val="20"/>
                <w:szCs w:val="20"/>
              </w:rPr>
              <w:t xml:space="preserve"> </w:t>
            </w:r>
            <w:r>
              <w:rPr>
                <w:rFonts w:ascii="宋体" w:hAnsi="宋体" w:eastAsia="宋体" w:cs="宋体"/>
                <w:spacing w:val="5"/>
                <w:sz w:val="20"/>
                <w:szCs w:val="20"/>
              </w:rPr>
              <w:t>措</w:t>
            </w:r>
            <w:r>
              <w:rPr>
                <w:rFonts w:ascii="宋体" w:hAnsi="宋体" w:eastAsia="宋体" w:cs="宋体"/>
                <w:spacing w:val="4"/>
                <w:sz w:val="20"/>
                <w:szCs w:val="20"/>
              </w:rPr>
              <w:t>施</w:t>
            </w:r>
          </w:p>
        </w:tc>
        <w:tc>
          <w:tcPr>
            <w:tcW w:w="1665" w:type="dxa"/>
            <w:vAlign w:val="top"/>
          </w:tcPr>
          <w:p w14:paraId="414548E9">
            <w:pPr>
              <w:spacing w:before="232" w:line="228" w:lineRule="auto"/>
              <w:ind w:left="431"/>
              <w:rPr>
                <w:rFonts w:ascii="宋体" w:hAnsi="宋体" w:eastAsia="宋体" w:cs="宋体"/>
                <w:sz w:val="20"/>
                <w:szCs w:val="20"/>
              </w:rPr>
            </w:pPr>
            <w:r>
              <w:rPr>
                <w:rFonts w:ascii="宋体" w:hAnsi="宋体" w:eastAsia="宋体" w:cs="宋体"/>
                <w:spacing w:val="4"/>
                <w:sz w:val="20"/>
                <w:szCs w:val="20"/>
              </w:rPr>
              <w:t>防控措施</w:t>
            </w:r>
          </w:p>
        </w:tc>
        <w:tc>
          <w:tcPr>
            <w:tcW w:w="5235" w:type="dxa"/>
            <w:gridSpan w:val="3"/>
            <w:vAlign w:val="top"/>
          </w:tcPr>
          <w:p w14:paraId="019D3EE4">
            <w:pPr>
              <w:spacing w:before="76" w:line="229" w:lineRule="auto"/>
              <w:ind w:left="33" w:right="288"/>
              <w:rPr>
                <w:rFonts w:ascii="宋体" w:hAnsi="宋体" w:eastAsia="宋体" w:cs="宋体"/>
                <w:sz w:val="20"/>
                <w:szCs w:val="20"/>
              </w:rPr>
            </w:pPr>
            <w:r>
              <w:rPr>
                <w:rFonts w:ascii="宋体" w:hAnsi="宋体" w:eastAsia="宋体" w:cs="宋体"/>
                <w:spacing w:val="6"/>
                <w:sz w:val="20"/>
                <w:szCs w:val="20"/>
              </w:rPr>
              <w:t>土壤环境质量现状保障</w:t>
            </w:r>
            <w:r>
              <w:rPr>
                <w:position w:val="-4"/>
                <w:sz w:val="20"/>
                <w:szCs w:val="20"/>
              </w:rPr>
              <w:drawing>
                <wp:inline distT="0" distB="0" distL="0" distR="0">
                  <wp:extent cx="107950" cy="139700"/>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538"/>
                          <a:stretch>
                            <a:fillRect/>
                          </a:stretch>
                        </pic:blipFill>
                        <pic:spPr>
                          <a:xfrm>
                            <a:off x="0" y="0"/>
                            <a:ext cx="108537" cy="139748"/>
                          </a:xfrm>
                          <a:prstGeom prst="rect">
                            <a:avLst/>
                          </a:prstGeom>
                        </pic:spPr>
                      </pic:pic>
                    </a:graphicData>
                  </a:graphic>
                </wp:inline>
              </w:drawing>
            </w:r>
            <w:r>
              <w:rPr>
                <w:rFonts w:ascii="宋体" w:hAnsi="宋体" w:eastAsia="宋体" w:cs="宋体"/>
                <w:spacing w:val="6"/>
                <w:sz w:val="20"/>
                <w:szCs w:val="20"/>
              </w:rPr>
              <w:t>；源头控制</w:t>
            </w:r>
            <w:r>
              <w:rPr>
                <w:rFonts w:ascii="微软雅黑" w:hAnsi="微软雅黑" w:eastAsia="微软雅黑" w:cs="微软雅黑"/>
                <w:spacing w:val="6"/>
                <w:sz w:val="20"/>
                <w:szCs w:val="20"/>
              </w:rPr>
              <w:t>团</w:t>
            </w:r>
            <w:r>
              <w:rPr>
                <w:rFonts w:ascii="宋体" w:hAnsi="宋体" w:eastAsia="宋体" w:cs="宋体"/>
                <w:spacing w:val="6"/>
                <w:sz w:val="20"/>
                <w:szCs w:val="20"/>
              </w:rPr>
              <w:t>；过程防控</w:t>
            </w:r>
            <w:r>
              <w:rPr>
                <w:rFonts w:ascii="微软雅黑" w:hAnsi="微软雅黑" w:eastAsia="微软雅黑" w:cs="微软雅黑"/>
                <w:spacing w:val="6"/>
                <w:sz w:val="20"/>
                <w:szCs w:val="20"/>
              </w:rPr>
              <w:t>团</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5"/>
                <w:sz w:val="20"/>
                <w:szCs w:val="20"/>
              </w:rPr>
              <w:t>其</w:t>
            </w:r>
            <w:r>
              <w:rPr>
                <w:rFonts w:ascii="宋体" w:hAnsi="宋体" w:eastAsia="宋体" w:cs="宋体"/>
                <w:spacing w:val="4"/>
                <w:sz w:val="20"/>
                <w:szCs w:val="20"/>
              </w:rPr>
              <w:t>他 (</w:t>
            </w:r>
            <w:r>
              <w:rPr>
                <w:rFonts w:ascii="Times New Roman" w:hAnsi="Times New Roman" w:eastAsia="Times New Roman" w:cs="Times New Roman"/>
                <w:spacing w:val="4"/>
                <w:sz w:val="20"/>
                <w:szCs w:val="20"/>
              </w:rPr>
              <w:t>/</w:t>
            </w:r>
            <w:r>
              <w:rPr>
                <w:rFonts w:ascii="宋体" w:hAnsi="宋体" w:eastAsia="宋体" w:cs="宋体"/>
                <w:spacing w:val="4"/>
                <w:sz w:val="20"/>
                <w:szCs w:val="20"/>
              </w:rPr>
              <w:t>)</w:t>
            </w:r>
          </w:p>
        </w:tc>
        <w:tc>
          <w:tcPr>
            <w:tcW w:w="914" w:type="dxa"/>
            <w:tcBorders>
              <w:right w:val="nil"/>
            </w:tcBorders>
            <w:vAlign w:val="top"/>
          </w:tcPr>
          <w:p w14:paraId="77E916EE">
            <w:pPr>
              <w:rPr>
                <w:rFonts w:ascii="Arial"/>
                <w:sz w:val="21"/>
              </w:rPr>
            </w:pPr>
          </w:p>
        </w:tc>
      </w:tr>
      <w:tr w14:paraId="5DB1A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2" w:type="dxa"/>
            <w:vMerge w:val="continue"/>
            <w:tcBorders>
              <w:top w:val="nil"/>
              <w:left w:val="nil"/>
              <w:bottom w:val="nil"/>
            </w:tcBorders>
            <w:vAlign w:val="top"/>
          </w:tcPr>
          <w:p w14:paraId="743E783A">
            <w:pPr>
              <w:rPr>
                <w:rFonts w:ascii="Arial"/>
                <w:sz w:val="21"/>
              </w:rPr>
            </w:pPr>
          </w:p>
        </w:tc>
        <w:tc>
          <w:tcPr>
            <w:tcW w:w="1665" w:type="dxa"/>
            <w:vMerge w:val="restart"/>
            <w:tcBorders>
              <w:bottom w:val="nil"/>
            </w:tcBorders>
            <w:vAlign w:val="top"/>
          </w:tcPr>
          <w:p w14:paraId="2817D17F">
            <w:pPr>
              <w:spacing w:before="215" w:line="228" w:lineRule="auto"/>
              <w:ind w:left="416"/>
              <w:rPr>
                <w:rFonts w:ascii="宋体" w:hAnsi="宋体" w:eastAsia="宋体" w:cs="宋体"/>
                <w:sz w:val="20"/>
                <w:szCs w:val="20"/>
              </w:rPr>
            </w:pPr>
            <w:r>
              <w:rPr>
                <w:rFonts w:ascii="宋体" w:hAnsi="宋体" w:eastAsia="宋体" w:cs="宋体"/>
                <w:spacing w:val="8"/>
                <w:sz w:val="20"/>
                <w:szCs w:val="20"/>
              </w:rPr>
              <w:t>跟踪监</w:t>
            </w:r>
            <w:r>
              <w:rPr>
                <w:rFonts w:ascii="宋体" w:hAnsi="宋体" w:eastAsia="宋体" w:cs="宋体"/>
                <w:spacing w:val="7"/>
                <w:sz w:val="20"/>
                <w:szCs w:val="20"/>
              </w:rPr>
              <w:t>测</w:t>
            </w:r>
          </w:p>
        </w:tc>
        <w:tc>
          <w:tcPr>
            <w:tcW w:w="1872" w:type="dxa"/>
            <w:vAlign w:val="top"/>
          </w:tcPr>
          <w:p w14:paraId="28410AC5">
            <w:pPr>
              <w:spacing w:before="51" w:line="228" w:lineRule="auto"/>
              <w:ind w:left="522"/>
              <w:rPr>
                <w:rFonts w:ascii="宋体" w:hAnsi="宋体" w:eastAsia="宋体" w:cs="宋体"/>
                <w:sz w:val="20"/>
                <w:szCs w:val="20"/>
              </w:rPr>
            </w:pPr>
            <w:r>
              <w:rPr>
                <w:rFonts w:ascii="宋体" w:hAnsi="宋体" w:eastAsia="宋体" w:cs="宋体"/>
                <w:spacing w:val="7"/>
                <w:sz w:val="20"/>
                <w:szCs w:val="20"/>
              </w:rPr>
              <w:t>监测点数</w:t>
            </w:r>
          </w:p>
        </w:tc>
        <w:tc>
          <w:tcPr>
            <w:tcW w:w="1410" w:type="dxa"/>
            <w:vAlign w:val="top"/>
          </w:tcPr>
          <w:p w14:paraId="0F936C92">
            <w:pPr>
              <w:spacing w:before="52" w:line="228" w:lineRule="auto"/>
              <w:ind w:left="292"/>
              <w:rPr>
                <w:rFonts w:ascii="宋体" w:hAnsi="宋体" w:eastAsia="宋体" w:cs="宋体"/>
                <w:sz w:val="20"/>
                <w:szCs w:val="20"/>
              </w:rPr>
            </w:pPr>
            <w:r>
              <w:rPr>
                <w:rFonts w:ascii="宋体" w:hAnsi="宋体" w:eastAsia="宋体" w:cs="宋体"/>
                <w:spacing w:val="7"/>
                <w:sz w:val="20"/>
                <w:szCs w:val="20"/>
              </w:rPr>
              <w:t>监测指标</w:t>
            </w:r>
          </w:p>
        </w:tc>
        <w:tc>
          <w:tcPr>
            <w:tcW w:w="1953" w:type="dxa"/>
            <w:vAlign w:val="top"/>
          </w:tcPr>
          <w:p w14:paraId="536E2E86">
            <w:pPr>
              <w:spacing w:before="51" w:line="228" w:lineRule="auto"/>
              <w:ind w:left="562"/>
              <w:rPr>
                <w:rFonts w:ascii="宋体" w:hAnsi="宋体" w:eastAsia="宋体" w:cs="宋体"/>
                <w:sz w:val="20"/>
                <w:szCs w:val="20"/>
              </w:rPr>
            </w:pPr>
            <w:r>
              <w:rPr>
                <w:rFonts w:ascii="宋体" w:hAnsi="宋体" w:eastAsia="宋体" w:cs="宋体"/>
                <w:spacing w:val="7"/>
                <w:sz w:val="20"/>
                <w:szCs w:val="20"/>
              </w:rPr>
              <w:t>监测频次</w:t>
            </w:r>
          </w:p>
        </w:tc>
        <w:tc>
          <w:tcPr>
            <w:tcW w:w="914" w:type="dxa"/>
            <w:vMerge w:val="restart"/>
            <w:tcBorders>
              <w:bottom w:val="nil"/>
              <w:right w:val="nil"/>
            </w:tcBorders>
            <w:vAlign w:val="top"/>
          </w:tcPr>
          <w:p w14:paraId="665CD181">
            <w:pPr>
              <w:rPr>
                <w:rFonts w:ascii="Arial"/>
                <w:sz w:val="21"/>
              </w:rPr>
            </w:pPr>
          </w:p>
        </w:tc>
      </w:tr>
      <w:tr w14:paraId="23F90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2" w:type="dxa"/>
            <w:vMerge w:val="continue"/>
            <w:tcBorders>
              <w:top w:val="nil"/>
              <w:left w:val="nil"/>
              <w:bottom w:val="nil"/>
            </w:tcBorders>
            <w:vAlign w:val="top"/>
          </w:tcPr>
          <w:p w14:paraId="3FACBC74">
            <w:pPr>
              <w:rPr>
                <w:rFonts w:ascii="Arial"/>
                <w:sz w:val="21"/>
              </w:rPr>
            </w:pPr>
          </w:p>
        </w:tc>
        <w:tc>
          <w:tcPr>
            <w:tcW w:w="1665" w:type="dxa"/>
            <w:vMerge w:val="continue"/>
            <w:tcBorders>
              <w:top w:val="nil"/>
            </w:tcBorders>
            <w:vAlign w:val="top"/>
          </w:tcPr>
          <w:p w14:paraId="7E4618BC">
            <w:pPr>
              <w:rPr>
                <w:rFonts w:ascii="Arial"/>
                <w:sz w:val="21"/>
              </w:rPr>
            </w:pPr>
          </w:p>
        </w:tc>
        <w:tc>
          <w:tcPr>
            <w:tcW w:w="1872" w:type="dxa"/>
            <w:vAlign w:val="top"/>
          </w:tcPr>
          <w:p w14:paraId="5A1036D6">
            <w:pPr>
              <w:spacing w:before="91" w:line="195"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0" w:type="dxa"/>
            <w:vAlign w:val="top"/>
          </w:tcPr>
          <w:p w14:paraId="53DA7BDC">
            <w:pPr>
              <w:spacing w:before="91"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1953" w:type="dxa"/>
            <w:vAlign w:val="top"/>
          </w:tcPr>
          <w:p w14:paraId="237063D2">
            <w:pPr>
              <w:spacing w:before="54" w:line="228" w:lineRule="auto"/>
              <w:ind w:left="247"/>
              <w:rPr>
                <w:rFonts w:ascii="宋体" w:hAnsi="宋体" w:eastAsia="宋体" w:cs="宋体"/>
                <w:sz w:val="20"/>
                <w:szCs w:val="20"/>
              </w:rPr>
            </w:pPr>
            <w:r>
              <w:rPr>
                <w:rFonts w:ascii="宋体" w:hAnsi="宋体" w:eastAsia="宋体" w:cs="宋体"/>
                <w:spacing w:val="-5"/>
                <w:sz w:val="20"/>
                <w:szCs w:val="20"/>
              </w:rPr>
              <w:t>每</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 xml:space="preserve">年开展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次</w:t>
            </w:r>
          </w:p>
        </w:tc>
        <w:tc>
          <w:tcPr>
            <w:tcW w:w="914" w:type="dxa"/>
            <w:vMerge w:val="continue"/>
            <w:tcBorders>
              <w:top w:val="nil"/>
              <w:bottom w:val="nil"/>
              <w:right w:val="nil"/>
            </w:tcBorders>
            <w:vAlign w:val="top"/>
          </w:tcPr>
          <w:p w14:paraId="2E8F88E6">
            <w:pPr>
              <w:rPr>
                <w:rFonts w:ascii="Arial"/>
                <w:sz w:val="21"/>
              </w:rPr>
            </w:pPr>
          </w:p>
        </w:tc>
      </w:tr>
      <w:tr w14:paraId="40437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2" w:type="dxa"/>
            <w:vMerge w:val="continue"/>
            <w:tcBorders>
              <w:top w:val="nil"/>
              <w:left w:val="nil"/>
            </w:tcBorders>
            <w:vAlign w:val="top"/>
          </w:tcPr>
          <w:p w14:paraId="05027027">
            <w:pPr>
              <w:rPr>
                <w:rFonts w:ascii="Arial"/>
                <w:sz w:val="21"/>
              </w:rPr>
            </w:pPr>
          </w:p>
        </w:tc>
        <w:tc>
          <w:tcPr>
            <w:tcW w:w="1665" w:type="dxa"/>
            <w:vAlign w:val="top"/>
          </w:tcPr>
          <w:p w14:paraId="6CE4383C">
            <w:pPr>
              <w:spacing w:before="55" w:line="228" w:lineRule="auto"/>
              <w:ind w:left="207"/>
              <w:rPr>
                <w:rFonts w:ascii="宋体" w:hAnsi="宋体" w:eastAsia="宋体" w:cs="宋体"/>
                <w:sz w:val="20"/>
                <w:szCs w:val="20"/>
              </w:rPr>
            </w:pPr>
            <w:r>
              <w:rPr>
                <w:rFonts w:ascii="宋体" w:hAnsi="宋体" w:eastAsia="宋体" w:cs="宋体"/>
                <w:spacing w:val="9"/>
                <w:sz w:val="20"/>
                <w:szCs w:val="20"/>
              </w:rPr>
              <w:t>信</w:t>
            </w:r>
            <w:r>
              <w:rPr>
                <w:rFonts w:ascii="宋体" w:hAnsi="宋体" w:eastAsia="宋体" w:cs="宋体"/>
                <w:spacing w:val="8"/>
                <w:sz w:val="20"/>
                <w:szCs w:val="20"/>
              </w:rPr>
              <w:t>息公开指标</w:t>
            </w:r>
          </w:p>
        </w:tc>
        <w:tc>
          <w:tcPr>
            <w:tcW w:w="5235" w:type="dxa"/>
            <w:gridSpan w:val="3"/>
            <w:vAlign w:val="top"/>
          </w:tcPr>
          <w:p w14:paraId="08C10904">
            <w:pPr>
              <w:spacing w:before="91" w:line="195" w:lineRule="auto"/>
              <w:ind w:left="2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914" w:type="dxa"/>
            <w:vMerge w:val="continue"/>
            <w:tcBorders>
              <w:top w:val="nil"/>
              <w:right w:val="nil"/>
            </w:tcBorders>
            <w:vAlign w:val="top"/>
          </w:tcPr>
          <w:p w14:paraId="16BB1D8D">
            <w:pPr>
              <w:rPr>
                <w:rFonts w:ascii="Arial"/>
                <w:sz w:val="21"/>
              </w:rPr>
            </w:pPr>
          </w:p>
        </w:tc>
      </w:tr>
      <w:tr w14:paraId="55507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67" w:type="dxa"/>
            <w:gridSpan w:val="2"/>
            <w:tcBorders>
              <w:left w:val="nil"/>
            </w:tcBorders>
            <w:vAlign w:val="top"/>
          </w:tcPr>
          <w:p w14:paraId="137F8A04">
            <w:pPr>
              <w:spacing w:before="56" w:line="226" w:lineRule="auto"/>
              <w:ind w:left="669"/>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价结论</w:t>
            </w:r>
          </w:p>
        </w:tc>
        <w:tc>
          <w:tcPr>
            <w:tcW w:w="5235" w:type="dxa"/>
            <w:gridSpan w:val="3"/>
            <w:vAlign w:val="top"/>
          </w:tcPr>
          <w:p w14:paraId="75789D9C">
            <w:pPr>
              <w:spacing w:before="56" w:line="228" w:lineRule="auto"/>
              <w:ind w:left="2414"/>
              <w:rPr>
                <w:rFonts w:ascii="宋体" w:hAnsi="宋体" w:eastAsia="宋体" w:cs="宋体"/>
                <w:sz w:val="20"/>
                <w:szCs w:val="20"/>
              </w:rPr>
            </w:pPr>
            <w:r>
              <w:rPr>
                <w:rFonts w:ascii="宋体" w:hAnsi="宋体" w:eastAsia="宋体" w:cs="宋体"/>
                <w:spacing w:val="4"/>
                <w:sz w:val="20"/>
                <w:szCs w:val="20"/>
              </w:rPr>
              <w:t>可</w:t>
            </w:r>
            <w:r>
              <w:rPr>
                <w:rFonts w:ascii="宋体" w:hAnsi="宋体" w:eastAsia="宋体" w:cs="宋体"/>
                <w:spacing w:val="3"/>
                <w:sz w:val="20"/>
                <w:szCs w:val="20"/>
              </w:rPr>
              <w:t>行</w:t>
            </w:r>
          </w:p>
        </w:tc>
        <w:tc>
          <w:tcPr>
            <w:tcW w:w="914" w:type="dxa"/>
            <w:tcBorders>
              <w:right w:val="nil"/>
            </w:tcBorders>
            <w:vAlign w:val="top"/>
          </w:tcPr>
          <w:p w14:paraId="3D293257">
            <w:pPr>
              <w:rPr>
                <w:rFonts w:ascii="Arial"/>
                <w:sz w:val="21"/>
              </w:rPr>
            </w:pPr>
          </w:p>
        </w:tc>
      </w:tr>
    </w:tbl>
    <w:p w14:paraId="56D635D4">
      <w:pPr>
        <w:spacing w:before="13" w:line="281" w:lineRule="exact"/>
        <w:ind w:left="46"/>
        <w:rPr>
          <w:rFonts w:ascii="宋体" w:hAnsi="宋体" w:eastAsia="宋体" w:cs="宋体"/>
          <w:sz w:val="20"/>
          <w:szCs w:val="20"/>
        </w:rPr>
      </w:pPr>
      <w:r>
        <w:rPr>
          <w:rFonts w:ascii="宋体" w:hAnsi="宋体" w:eastAsia="宋体" w:cs="宋体"/>
          <w:spacing w:val="5"/>
          <w:sz w:val="20"/>
          <w:szCs w:val="20"/>
        </w:rPr>
        <w:t xml:space="preserve">注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w:t>
      </w:r>
      <w:r>
        <w:rPr>
          <w:rFonts w:ascii="Times New Roman" w:hAnsi="Times New Roman" w:eastAsia="Times New Roman" w:cs="Times New Roman"/>
          <w:spacing w:val="5"/>
          <w:sz w:val="20"/>
          <w:szCs w:val="20"/>
        </w:rPr>
        <w:t>“□”</w:t>
      </w:r>
      <w:r>
        <w:rPr>
          <w:rFonts w:ascii="宋体" w:hAnsi="宋体" w:eastAsia="宋体" w:cs="宋体"/>
          <w:spacing w:val="5"/>
          <w:sz w:val="20"/>
          <w:szCs w:val="20"/>
        </w:rPr>
        <w:t>为勾选项，可</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 ) </w:t>
      </w:r>
      <w:r>
        <w:rPr>
          <w:rFonts w:ascii="Times New Roman" w:hAnsi="Times New Roman" w:eastAsia="Times New Roman" w:cs="Times New Roman"/>
          <w:spacing w:val="5"/>
          <w:sz w:val="20"/>
          <w:szCs w:val="20"/>
        </w:rPr>
        <w:t>”</w:t>
      </w:r>
      <w:r>
        <w:rPr>
          <w:rFonts w:ascii="宋体" w:hAnsi="宋体" w:eastAsia="宋体" w:cs="宋体"/>
          <w:spacing w:val="5"/>
          <w:sz w:val="20"/>
          <w:szCs w:val="20"/>
        </w:rPr>
        <w:t>为内容填写项；</w:t>
      </w:r>
      <w:r>
        <w:rPr>
          <w:rFonts w:ascii="Times New Roman" w:hAnsi="Times New Roman" w:eastAsia="Times New Roman" w:cs="Times New Roman"/>
          <w:spacing w:val="5"/>
          <w:sz w:val="20"/>
          <w:szCs w:val="20"/>
        </w:rPr>
        <w:t>“</w:t>
      </w:r>
      <w:r>
        <w:rPr>
          <w:rFonts w:ascii="宋体" w:hAnsi="宋体" w:eastAsia="宋体" w:cs="宋体"/>
          <w:spacing w:val="5"/>
          <w:sz w:val="20"/>
          <w:szCs w:val="20"/>
        </w:rPr>
        <w:t>备注</w:t>
      </w:r>
      <w:r>
        <w:rPr>
          <w:rFonts w:ascii="Times New Roman" w:hAnsi="Times New Roman" w:eastAsia="Times New Roman" w:cs="Times New Roman"/>
          <w:spacing w:val="5"/>
          <w:sz w:val="20"/>
          <w:szCs w:val="20"/>
        </w:rPr>
        <w:t>”</w:t>
      </w:r>
      <w:r>
        <w:rPr>
          <w:rFonts w:ascii="宋体" w:hAnsi="宋体" w:eastAsia="宋体" w:cs="宋体"/>
          <w:spacing w:val="5"/>
          <w:sz w:val="20"/>
          <w:szCs w:val="20"/>
        </w:rPr>
        <w:t>为其他补充内</w:t>
      </w:r>
      <w:r>
        <w:rPr>
          <w:rFonts w:ascii="宋体" w:hAnsi="宋体" w:eastAsia="宋体" w:cs="宋体"/>
          <w:spacing w:val="3"/>
          <w:sz w:val="20"/>
          <w:szCs w:val="20"/>
        </w:rPr>
        <w:t>容</w:t>
      </w:r>
      <w:r>
        <w:rPr>
          <w:rFonts w:ascii="宋体" w:hAnsi="宋体" w:eastAsia="宋体" w:cs="宋体"/>
          <w:sz w:val="20"/>
          <w:szCs w:val="20"/>
        </w:rPr>
        <w:t>。</w:t>
      </w:r>
    </w:p>
    <w:p w14:paraId="725C970F">
      <w:pPr>
        <w:spacing w:before="68" w:line="232" w:lineRule="auto"/>
        <w:ind w:left="46"/>
        <w:rPr>
          <w:rFonts w:ascii="宋体" w:hAnsi="宋体" w:eastAsia="宋体" w:cs="宋体"/>
          <w:sz w:val="20"/>
          <w:szCs w:val="20"/>
        </w:rPr>
      </w:pPr>
      <w:r>
        <w:rPr>
          <w:rFonts w:ascii="宋体" w:hAnsi="宋体" w:eastAsia="宋体" w:cs="宋体"/>
          <w:spacing w:val="9"/>
          <w:sz w:val="20"/>
          <w:szCs w:val="20"/>
        </w:rPr>
        <w:t>注</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：需要分别开展土壤环境影响评级工作的，分别填写自查表。</w:t>
      </w:r>
    </w:p>
    <w:p w14:paraId="65C538EF">
      <w:pPr>
        <w:spacing w:before="9" w:line="29" w:lineRule="exact"/>
        <w:ind w:firstLine="9"/>
        <w:textAlignment w:val="center"/>
      </w:pPr>
      <w:r>
        <w:pict>
          <v:shape id="_x0000_s1294" o:spid="_x0000_s1294" style="height:1.45pt;width:415.8pt;" filled="f" stroked="t" coordsize="8315,29" path="m0,14l8315,14e">
            <v:fill on="f" focussize="0,0"/>
            <v:stroke weight="1.44pt" color="#000000" miterlimit="2" joinstyle="bevel"/>
            <v:imagedata o:title=""/>
            <o:lock v:ext="edit"/>
            <w10:wrap type="none"/>
            <w10:anchorlock/>
          </v:shape>
        </w:pict>
      </w:r>
    </w:p>
    <w:p w14:paraId="704E822E">
      <w:pPr>
        <w:sectPr>
          <w:footerReference r:id="rId256" w:type="default"/>
          <w:pgSz w:w="11906" w:h="16839"/>
          <w:pgMar w:top="1132" w:right="1785" w:bottom="1182" w:left="1785" w:header="878" w:footer="1022" w:gutter="0"/>
          <w:cols w:space="720" w:num="1"/>
        </w:sectPr>
      </w:pPr>
    </w:p>
    <w:p w14:paraId="34A72B80">
      <w:pPr>
        <w:spacing w:line="430" w:lineRule="auto"/>
        <w:rPr>
          <w:rFonts w:ascii="Arial"/>
          <w:sz w:val="21"/>
        </w:rPr>
      </w:pPr>
      <w:r>
        <w:pict>
          <v:shape id="_x0000_s1295" o:spid="_x0000_s1295" style="position:absolute;left:0pt;margin-left:90pt;margin-top:57.35pt;height:0.75pt;width:415.3pt;mso-position-horizontal-relative:page;mso-position-vertical-relative:page;z-index:251948032;mso-width-relative:page;mso-height-relative:page;" fillcolor="#000000" filled="t" stroked="f" coordsize="8305,15" o:allowincell="f" path="m0,0l8305,0,8305,14,0,14,0,0xe">
            <v:path/>
            <v:fill on="t" focussize="0,0"/>
            <v:stroke on="f"/>
            <v:imagedata o:title=""/>
            <o:lock v:ext="edit"/>
          </v:shape>
        </w:pict>
      </w:r>
    </w:p>
    <w:p w14:paraId="7CDB8DB1">
      <w:pPr>
        <w:spacing w:before="114" w:line="225" w:lineRule="auto"/>
        <w:ind w:left="27"/>
        <w:outlineLvl w:val="0"/>
        <w:rPr>
          <w:rFonts w:ascii="宋体" w:hAnsi="宋体" w:eastAsia="宋体" w:cs="宋体"/>
          <w:sz w:val="35"/>
          <w:szCs w:val="35"/>
        </w:rPr>
      </w:pPr>
      <w:bookmarkStart w:id="25" w:name="_bookmark26"/>
      <w:bookmarkEnd w:id="25"/>
      <w:r>
        <w:rPr>
          <w:rFonts w:ascii="Times New Roman" w:hAnsi="Times New Roman" w:eastAsia="Times New Roman" w:cs="Times New Roman"/>
          <w:b/>
          <w:bCs/>
          <w:spacing w:val="9"/>
          <w:sz w:val="35"/>
          <w:szCs w:val="35"/>
        </w:rPr>
        <w:t>6</w:t>
      </w:r>
      <w:r>
        <w:rPr>
          <w:rFonts w:ascii="Times New Roman" w:hAnsi="Times New Roman" w:eastAsia="Times New Roman" w:cs="Times New Roman"/>
          <w:spacing w:val="9"/>
          <w:sz w:val="35"/>
          <w:szCs w:val="35"/>
        </w:rPr>
        <w:t xml:space="preserve">  </w:t>
      </w:r>
      <w:r>
        <w:rPr>
          <w:rFonts w:ascii="宋体" w:hAnsi="宋体" w:eastAsia="宋体" w:cs="宋体"/>
          <w:spacing w:val="9"/>
          <w:sz w:val="35"/>
          <w:szCs w:val="35"/>
          <w14:textOutline w14:w="6537" w14:cap="sq" w14:cmpd="sng">
            <w14:solidFill>
              <w14:srgbClr w14:val="000000"/>
            </w14:solidFill>
            <w14:prstDash w14:val="solid"/>
            <w14:bevel/>
          </w14:textOutline>
        </w:rPr>
        <w:t>污染防治措施及其可行性论</w:t>
      </w:r>
      <w:r>
        <w:rPr>
          <w:rFonts w:ascii="宋体" w:hAnsi="宋体" w:eastAsia="宋体" w:cs="宋体"/>
          <w:spacing w:val="8"/>
          <w:sz w:val="35"/>
          <w:szCs w:val="35"/>
          <w14:textOutline w14:w="6537" w14:cap="sq" w14:cmpd="sng">
            <w14:solidFill>
              <w14:srgbClr w14:val="000000"/>
            </w14:solidFill>
            <w14:prstDash w14:val="solid"/>
            <w14:bevel/>
          </w14:textOutline>
        </w:rPr>
        <w:t>证</w:t>
      </w:r>
    </w:p>
    <w:p w14:paraId="0B03FD89">
      <w:pPr>
        <w:spacing w:before="247" w:line="225" w:lineRule="auto"/>
        <w:ind w:left="25"/>
        <w:outlineLvl w:val="1"/>
        <w:rPr>
          <w:rFonts w:ascii="宋体" w:hAnsi="宋体" w:eastAsia="宋体" w:cs="宋体"/>
          <w:sz w:val="31"/>
          <w:szCs w:val="31"/>
        </w:rPr>
      </w:pPr>
      <w:bookmarkStart w:id="26" w:name="_bookmark27"/>
      <w:bookmarkEnd w:id="26"/>
      <w:r>
        <w:rPr>
          <w:rFonts w:ascii="Times New Roman" w:hAnsi="Times New Roman" w:eastAsia="Times New Roman" w:cs="Times New Roman"/>
          <w:b/>
          <w:bCs/>
          <w:spacing w:val="8"/>
          <w:sz w:val="31"/>
          <w:szCs w:val="31"/>
        </w:rPr>
        <w:t>6.1</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施工期污染防治措</w:t>
      </w:r>
      <w:r>
        <w:rPr>
          <w:rFonts w:ascii="宋体" w:hAnsi="宋体" w:eastAsia="宋体" w:cs="宋体"/>
          <w:spacing w:val="6"/>
          <w:sz w:val="31"/>
          <w:szCs w:val="31"/>
          <w14:textOutline w14:w="5793" w14:cap="sq" w14:cmpd="sng">
            <w14:solidFill>
              <w14:srgbClr w14:val="000000"/>
            </w14:solidFill>
            <w14:prstDash w14:val="solid"/>
            <w14:bevel/>
          </w14:textOutline>
        </w:rPr>
        <w:t>施</w:t>
      </w:r>
    </w:p>
    <w:p w14:paraId="1489ABED">
      <w:pPr>
        <w:spacing w:before="274" w:line="226" w:lineRule="auto"/>
        <w:ind w:left="25"/>
        <w:outlineLvl w:val="2"/>
        <w:rPr>
          <w:rFonts w:ascii="宋体" w:hAnsi="宋体" w:eastAsia="宋体" w:cs="宋体"/>
          <w:sz w:val="29"/>
          <w:szCs w:val="29"/>
        </w:rPr>
      </w:pPr>
      <w:r>
        <w:rPr>
          <w:rFonts w:ascii="Times New Roman" w:hAnsi="Times New Roman" w:eastAsia="Times New Roman" w:cs="Times New Roman"/>
          <w:b/>
          <w:bCs/>
          <w:spacing w:val="12"/>
          <w:sz w:val="29"/>
          <w:szCs w:val="29"/>
        </w:rPr>
        <w:t>6</w:t>
      </w:r>
      <w:r>
        <w:rPr>
          <w:rFonts w:ascii="Times New Roman" w:hAnsi="Times New Roman" w:eastAsia="Times New Roman" w:cs="Times New Roman"/>
          <w:b/>
          <w:bCs/>
          <w:spacing w:val="7"/>
          <w:sz w:val="29"/>
          <w:szCs w:val="29"/>
        </w:rPr>
        <w:t>.1.1</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施工期废气防治措施</w:t>
      </w:r>
    </w:p>
    <w:p w14:paraId="54909183">
      <w:pPr>
        <w:spacing w:line="246" w:lineRule="auto"/>
        <w:rPr>
          <w:rFonts w:ascii="Arial"/>
          <w:sz w:val="21"/>
        </w:rPr>
      </w:pPr>
    </w:p>
    <w:p w14:paraId="6D43B3A9">
      <w:pPr>
        <w:spacing w:before="74" w:line="303" w:lineRule="exact"/>
        <w:ind w:left="522"/>
        <w:rPr>
          <w:rFonts w:ascii="宋体" w:hAnsi="宋体" w:eastAsia="宋体" w:cs="宋体"/>
          <w:sz w:val="23"/>
          <w:szCs w:val="23"/>
        </w:rPr>
      </w:pPr>
      <w:r>
        <w:rPr>
          <w:rFonts w:ascii="Times New Roman" w:hAnsi="Times New Roman" w:eastAsia="Times New Roman" w:cs="Times New Roman"/>
          <w:spacing w:val="-11"/>
          <w:position w:val="1"/>
          <w:sz w:val="23"/>
          <w:szCs w:val="23"/>
        </w:rPr>
        <w:t>1</w:t>
      </w:r>
      <w:r>
        <w:rPr>
          <w:rFonts w:ascii="Times New Roman" w:hAnsi="Times New Roman" w:eastAsia="Times New Roman" w:cs="Times New Roman"/>
          <w:spacing w:val="-10"/>
          <w:position w:val="1"/>
          <w:sz w:val="23"/>
          <w:szCs w:val="23"/>
        </w:rPr>
        <w:t xml:space="preserve"> </w:t>
      </w:r>
      <w:r>
        <w:rPr>
          <w:rFonts w:ascii="宋体" w:hAnsi="宋体" w:eastAsia="宋体" w:cs="宋体"/>
          <w:spacing w:val="-10"/>
          <w:position w:val="1"/>
          <w:sz w:val="23"/>
          <w:szCs w:val="23"/>
        </w:rPr>
        <w:t>、扬尘</w:t>
      </w:r>
    </w:p>
    <w:p w14:paraId="3BBE055C">
      <w:pPr>
        <w:spacing w:line="244" w:lineRule="auto"/>
        <w:rPr>
          <w:rFonts w:ascii="Arial"/>
          <w:sz w:val="21"/>
        </w:rPr>
      </w:pPr>
    </w:p>
    <w:p w14:paraId="4C341AEA">
      <w:pPr>
        <w:spacing w:before="75" w:line="384" w:lineRule="auto"/>
        <w:ind w:left="24" w:right="32" w:firstLine="479"/>
        <w:rPr>
          <w:rFonts w:ascii="宋体" w:hAnsi="宋体" w:eastAsia="宋体" w:cs="宋体"/>
          <w:sz w:val="23"/>
          <w:szCs w:val="23"/>
        </w:rPr>
      </w:pPr>
      <w:r>
        <w:rPr>
          <w:rFonts w:ascii="宋体" w:hAnsi="宋体" w:eastAsia="宋体" w:cs="宋体"/>
          <w:spacing w:val="8"/>
          <w:sz w:val="23"/>
          <w:szCs w:val="23"/>
        </w:rPr>
        <w:t>根据《</w:t>
      </w:r>
      <w:r>
        <w:rPr>
          <w:rFonts w:ascii="宋体" w:hAnsi="宋体" w:eastAsia="宋体" w:cs="宋体"/>
          <w:spacing w:val="7"/>
          <w:sz w:val="23"/>
          <w:szCs w:val="23"/>
        </w:rPr>
        <w:t>辽</w:t>
      </w:r>
      <w:r>
        <w:rPr>
          <w:rFonts w:ascii="宋体" w:hAnsi="宋体" w:eastAsia="宋体" w:cs="宋体"/>
          <w:spacing w:val="4"/>
          <w:sz w:val="23"/>
          <w:szCs w:val="23"/>
        </w:rPr>
        <w:t xml:space="preserve">宁省扬尘污染防治管理办法》 (辽宁省人民政府令第 </w:t>
      </w:r>
      <w:r>
        <w:rPr>
          <w:rFonts w:ascii="Times New Roman" w:hAnsi="Times New Roman" w:eastAsia="Times New Roman" w:cs="Times New Roman"/>
          <w:spacing w:val="4"/>
          <w:sz w:val="23"/>
          <w:szCs w:val="23"/>
        </w:rPr>
        <w:t xml:space="preserve">283 </w:t>
      </w:r>
      <w:r>
        <w:rPr>
          <w:rFonts w:ascii="宋体" w:hAnsi="宋体" w:eastAsia="宋体" w:cs="宋体"/>
          <w:spacing w:val="4"/>
          <w:sz w:val="23"/>
          <w:szCs w:val="23"/>
        </w:rPr>
        <w:t>号，</w:t>
      </w:r>
      <w:r>
        <w:rPr>
          <w:rFonts w:ascii="Times New Roman" w:hAnsi="Times New Roman" w:eastAsia="Times New Roman" w:cs="Times New Roman"/>
          <w:spacing w:val="4"/>
          <w:sz w:val="23"/>
          <w:szCs w:val="23"/>
        </w:rPr>
        <w:t>2013</w:t>
      </w:r>
      <w:r>
        <w:rPr>
          <w:rFonts w:ascii="Times New Roman" w:hAnsi="Times New Roman" w:eastAsia="Times New Roman" w:cs="Times New Roman"/>
          <w:sz w:val="23"/>
          <w:szCs w:val="23"/>
        </w:rPr>
        <w:t xml:space="preserve">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7</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日) 第十一条，建设工程施工应当遵守下列防尘规定：</w:t>
      </w:r>
    </w:p>
    <w:p w14:paraId="485C0C2A">
      <w:pPr>
        <w:spacing w:before="135" w:line="384" w:lineRule="auto"/>
        <w:ind w:left="24" w:firstLine="478"/>
        <w:rPr>
          <w:rFonts w:ascii="宋体" w:hAnsi="宋体" w:eastAsia="宋体" w:cs="宋体"/>
          <w:sz w:val="23"/>
          <w:szCs w:val="23"/>
        </w:rPr>
      </w:pPr>
      <w:r>
        <w:rPr>
          <w:rFonts w:ascii="宋体" w:hAnsi="宋体" w:eastAsia="宋体" w:cs="宋体"/>
          <w:spacing w:val="8"/>
          <w:sz w:val="23"/>
          <w:szCs w:val="23"/>
        </w:rPr>
        <w:t>①施工工地周围应当设置连续、密闭的围挡。在市、县城区内的施工现场</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3"/>
          <w:sz w:val="23"/>
          <w:szCs w:val="23"/>
        </w:rPr>
        <w:t>其</w:t>
      </w:r>
      <w:r>
        <w:rPr>
          <w:rFonts w:ascii="宋体" w:hAnsi="宋体" w:eastAsia="宋体" w:cs="宋体"/>
          <w:spacing w:val="2"/>
          <w:sz w:val="23"/>
          <w:szCs w:val="23"/>
        </w:rPr>
        <w:t xml:space="preserve">高度不得低于 </w:t>
      </w:r>
      <w:r>
        <w:rPr>
          <w:rFonts w:ascii="Times New Roman" w:hAnsi="Times New Roman" w:eastAsia="Times New Roman" w:cs="Times New Roman"/>
          <w:spacing w:val="2"/>
          <w:sz w:val="23"/>
          <w:szCs w:val="23"/>
        </w:rPr>
        <w:t xml:space="preserve">2.5 </w:t>
      </w:r>
      <w:r>
        <w:rPr>
          <w:rFonts w:ascii="宋体" w:hAnsi="宋体" w:eastAsia="宋体" w:cs="宋体"/>
          <w:spacing w:val="2"/>
          <w:sz w:val="23"/>
          <w:szCs w:val="23"/>
        </w:rPr>
        <w:t>米；</w:t>
      </w:r>
    </w:p>
    <w:p w14:paraId="50BDB598">
      <w:pPr>
        <w:spacing w:before="135" w:line="225" w:lineRule="auto"/>
        <w:ind w:left="501"/>
        <w:rPr>
          <w:rFonts w:ascii="宋体" w:hAnsi="宋体" w:eastAsia="宋体" w:cs="宋体"/>
          <w:sz w:val="23"/>
          <w:szCs w:val="23"/>
        </w:rPr>
      </w:pPr>
      <w:r>
        <w:rPr>
          <w:rFonts w:ascii="宋体" w:hAnsi="宋体" w:eastAsia="宋体" w:cs="宋体"/>
          <w:spacing w:val="15"/>
          <w:sz w:val="23"/>
          <w:szCs w:val="23"/>
        </w:rPr>
        <w:t>②</w:t>
      </w:r>
      <w:r>
        <w:rPr>
          <w:rFonts w:ascii="宋体" w:hAnsi="宋体" w:eastAsia="宋体" w:cs="宋体"/>
          <w:spacing w:val="9"/>
          <w:sz w:val="23"/>
          <w:szCs w:val="23"/>
        </w:rPr>
        <w:t>施工工地地面、车行道路应当进行硬化等降尘处理；</w:t>
      </w:r>
    </w:p>
    <w:p w14:paraId="17C99B9D">
      <w:pPr>
        <w:spacing w:line="267" w:lineRule="auto"/>
        <w:rPr>
          <w:rFonts w:ascii="Arial"/>
          <w:sz w:val="21"/>
        </w:rPr>
      </w:pPr>
    </w:p>
    <w:p w14:paraId="46650FA0">
      <w:pPr>
        <w:spacing w:before="75" w:line="225" w:lineRule="auto"/>
        <w:ind w:left="501"/>
        <w:rPr>
          <w:rFonts w:ascii="宋体" w:hAnsi="宋体" w:eastAsia="宋体" w:cs="宋体"/>
          <w:sz w:val="23"/>
          <w:szCs w:val="23"/>
        </w:rPr>
      </w:pPr>
      <w:r>
        <w:rPr>
          <w:rFonts w:ascii="宋体" w:hAnsi="宋体" w:eastAsia="宋体" w:cs="宋体"/>
          <w:spacing w:val="18"/>
          <w:sz w:val="23"/>
          <w:szCs w:val="23"/>
        </w:rPr>
        <w:t>③</w:t>
      </w:r>
      <w:r>
        <w:rPr>
          <w:rFonts w:ascii="宋体" w:hAnsi="宋体" w:eastAsia="宋体" w:cs="宋体"/>
          <w:spacing w:val="10"/>
          <w:sz w:val="23"/>
          <w:szCs w:val="23"/>
        </w:rPr>
        <w:t>易</w:t>
      </w:r>
      <w:r>
        <w:rPr>
          <w:rFonts w:ascii="宋体" w:hAnsi="宋体" w:eastAsia="宋体" w:cs="宋体"/>
          <w:spacing w:val="9"/>
          <w:sz w:val="23"/>
          <w:szCs w:val="23"/>
        </w:rPr>
        <w:t>产生扬尘的土方工程等施工时，应当采取洒水等抑尘措施；</w:t>
      </w:r>
    </w:p>
    <w:p w14:paraId="493C2D3F">
      <w:pPr>
        <w:spacing w:line="267" w:lineRule="auto"/>
        <w:rPr>
          <w:rFonts w:ascii="Arial"/>
          <w:sz w:val="21"/>
        </w:rPr>
      </w:pPr>
    </w:p>
    <w:p w14:paraId="3DD90F0F">
      <w:pPr>
        <w:spacing w:before="75" w:line="225" w:lineRule="auto"/>
        <w:ind w:left="501"/>
        <w:rPr>
          <w:rFonts w:ascii="宋体" w:hAnsi="宋体" w:eastAsia="宋体" w:cs="宋体"/>
          <w:sz w:val="23"/>
          <w:szCs w:val="23"/>
        </w:rPr>
      </w:pPr>
      <w:r>
        <w:rPr>
          <w:rFonts w:ascii="宋体" w:hAnsi="宋体" w:eastAsia="宋体" w:cs="宋体"/>
          <w:spacing w:val="12"/>
          <w:sz w:val="23"/>
          <w:szCs w:val="23"/>
        </w:rPr>
        <w:t>④</w:t>
      </w:r>
      <w:r>
        <w:rPr>
          <w:rFonts w:ascii="宋体" w:hAnsi="宋体" w:eastAsia="宋体" w:cs="宋体"/>
          <w:spacing w:val="8"/>
          <w:sz w:val="23"/>
          <w:szCs w:val="23"/>
        </w:rPr>
        <w:t xml:space="preserve">建筑垃圾、工程渣土等在 </w:t>
      </w:r>
      <w:r>
        <w:rPr>
          <w:rFonts w:ascii="Times New Roman" w:hAnsi="Times New Roman" w:eastAsia="Times New Roman" w:cs="Times New Roman"/>
          <w:spacing w:val="8"/>
          <w:sz w:val="23"/>
          <w:szCs w:val="23"/>
        </w:rPr>
        <w:t xml:space="preserve">48 </w:t>
      </w:r>
      <w:r>
        <w:rPr>
          <w:rFonts w:ascii="宋体" w:hAnsi="宋体" w:eastAsia="宋体" w:cs="宋体"/>
          <w:spacing w:val="8"/>
          <w:sz w:val="23"/>
          <w:szCs w:val="23"/>
        </w:rPr>
        <w:t>小时内未能清运的，应当在施工工地内设置</w:t>
      </w:r>
    </w:p>
    <w:p w14:paraId="14F8AC46">
      <w:pPr>
        <w:spacing w:before="187" w:line="227" w:lineRule="auto"/>
        <w:ind w:left="36"/>
        <w:rPr>
          <w:rFonts w:ascii="宋体" w:hAnsi="宋体" w:eastAsia="宋体" w:cs="宋体"/>
          <w:sz w:val="23"/>
          <w:szCs w:val="23"/>
        </w:rPr>
      </w:pPr>
      <w:r>
        <w:rPr>
          <w:rFonts w:ascii="宋体" w:hAnsi="宋体" w:eastAsia="宋体" w:cs="宋体"/>
          <w:spacing w:val="13"/>
          <w:sz w:val="23"/>
          <w:szCs w:val="23"/>
        </w:rPr>
        <w:t>临</w:t>
      </w:r>
      <w:r>
        <w:rPr>
          <w:rFonts w:ascii="宋体" w:hAnsi="宋体" w:eastAsia="宋体" w:cs="宋体"/>
          <w:spacing w:val="8"/>
          <w:sz w:val="23"/>
          <w:szCs w:val="23"/>
        </w:rPr>
        <w:t>时堆放场并采取围挡、遮盖等防尘措施；</w:t>
      </w:r>
    </w:p>
    <w:p w14:paraId="18A21AC4">
      <w:pPr>
        <w:spacing w:line="265" w:lineRule="auto"/>
        <w:rPr>
          <w:rFonts w:ascii="Arial"/>
          <w:sz w:val="21"/>
        </w:rPr>
      </w:pPr>
    </w:p>
    <w:p w14:paraId="6FA70475">
      <w:pPr>
        <w:spacing w:before="75" w:line="384" w:lineRule="auto"/>
        <w:ind w:left="39" w:right="35" w:firstLine="462"/>
        <w:rPr>
          <w:rFonts w:ascii="宋体" w:hAnsi="宋体" w:eastAsia="宋体" w:cs="宋体"/>
          <w:sz w:val="23"/>
          <w:szCs w:val="23"/>
        </w:rPr>
      </w:pPr>
      <w:r>
        <w:rPr>
          <w:rFonts w:ascii="宋体" w:hAnsi="宋体" w:eastAsia="宋体" w:cs="宋体"/>
          <w:spacing w:val="7"/>
          <w:sz w:val="23"/>
          <w:szCs w:val="23"/>
        </w:rPr>
        <w:t>⑤运输车辆在除泥、冲洗干净后方可驶出作业场所，不得使用空气压缩机</w:t>
      </w:r>
      <w:r>
        <w:rPr>
          <w:rFonts w:ascii="宋体" w:hAnsi="宋体" w:eastAsia="宋体" w:cs="宋体"/>
          <w:spacing w:val="4"/>
          <w:sz w:val="23"/>
          <w:szCs w:val="23"/>
        </w:rPr>
        <w:t>等</w:t>
      </w:r>
      <w:r>
        <w:rPr>
          <w:rFonts w:ascii="宋体" w:hAnsi="宋体" w:eastAsia="宋体" w:cs="宋体"/>
          <w:sz w:val="23"/>
          <w:szCs w:val="23"/>
        </w:rPr>
        <w:t xml:space="preserve"> </w:t>
      </w:r>
      <w:r>
        <w:rPr>
          <w:rFonts w:ascii="宋体" w:hAnsi="宋体" w:eastAsia="宋体" w:cs="宋体"/>
          <w:spacing w:val="16"/>
          <w:sz w:val="23"/>
          <w:szCs w:val="23"/>
        </w:rPr>
        <w:t>易</w:t>
      </w:r>
      <w:r>
        <w:rPr>
          <w:rFonts w:ascii="宋体" w:hAnsi="宋体" w:eastAsia="宋体" w:cs="宋体"/>
          <w:spacing w:val="8"/>
          <w:sz w:val="23"/>
          <w:szCs w:val="23"/>
        </w:rPr>
        <w:t>产生扬尘的设备清理车辆、设备和物料的尘埃；</w:t>
      </w:r>
    </w:p>
    <w:p w14:paraId="59C8C71B">
      <w:pPr>
        <w:spacing w:before="136" w:line="384" w:lineRule="auto"/>
        <w:ind w:left="25" w:right="35" w:firstLine="476"/>
        <w:rPr>
          <w:rFonts w:ascii="宋体" w:hAnsi="宋体" w:eastAsia="宋体" w:cs="宋体"/>
          <w:sz w:val="23"/>
          <w:szCs w:val="23"/>
        </w:rPr>
      </w:pPr>
      <w:r>
        <w:rPr>
          <w:rFonts w:ascii="宋体" w:hAnsi="宋体" w:eastAsia="宋体" w:cs="宋体"/>
          <w:spacing w:val="7"/>
          <w:sz w:val="23"/>
          <w:szCs w:val="23"/>
        </w:rPr>
        <w:t>⑥需使用混凝土的，应当使用预拌混凝土或者进行密闭搅拌并采取相应的</w:t>
      </w:r>
      <w:r>
        <w:rPr>
          <w:rFonts w:ascii="宋体" w:hAnsi="宋体" w:eastAsia="宋体" w:cs="宋体"/>
          <w:spacing w:val="4"/>
          <w:sz w:val="23"/>
          <w:szCs w:val="23"/>
        </w:rPr>
        <w:t>扬</w:t>
      </w:r>
      <w:r>
        <w:rPr>
          <w:rFonts w:ascii="宋体" w:hAnsi="宋体" w:eastAsia="宋体" w:cs="宋体"/>
          <w:sz w:val="23"/>
          <w:szCs w:val="23"/>
        </w:rPr>
        <w:t xml:space="preserve"> </w:t>
      </w:r>
      <w:r>
        <w:rPr>
          <w:rFonts w:ascii="宋体" w:hAnsi="宋体" w:eastAsia="宋体" w:cs="宋体"/>
          <w:spacing w:val="16"/>
          <w:sz w:val="23"/>
          <w:szCs w:val="23"/>
        </w:rPr>
        <w:t>尘</w:t>
      </w:r>
      <w:r>
        <w:rPr>
          <w:rFonts w:ascii="宋体" w:hAnsi="宋体" w:eastAsia="宋体" w:cs="宋体"/>
          <w:spacing w:val="8"/>
          <w:sz w:val="23"/>
          <w:szCs w:val="23"/>
        </w:rPr>
        <w:t>防治措施，严禁现场露天搅拌；</w:t>
      </w:r>
    </w:p>
    <w:p w14:paraId="75A9842C">
      <w:pPr>
        <w:spacing w:before="135" w:line="225" w:lineRule="auto"/>
        <w:ind w:left="501"/>
        <w:rPr>
          <w:rFonts w:ascii="宋体" w:hAnsi="宋体" w:eastAsia="宋体" w:cs="宋体"/>
          <w:sz w:val="23"/>
          <w:szCs w:val="23"/>
        </w:rPr>
      </w:pPr>
      <w:r>
        <w:rPr>
          <w:rFonts w:ascii="宋体" w:hAnsi="宋体" w:eastAsia="宋体" w:cs="宋体"/>
          <w:spacing w:val="6"/>
          <w:sz w:val="23"/>
          <w:szCs w:val="23"/>
        </w:rPr>
        <w:t xml:space="preserve">⑦闲置 </w:t>
      </w:r>
      <w:r>
        <w:rPr>
          <w:rFonts w:ascii="Times New Roman" w:hAnsi="Times New Roman" w:eastAsia="Times New Roman" w:cs="Times New Roman"/>
          <w:spacing w:val="6"/>
          <w:sz w:val="23"/>
          <w:szCs w:val="23"/>
        </w:rPr>
        <w:t xml:space="preserve">3 </w:t>
      </w:r>
      <w:r>
        <w:rPr>
          <w:rFonts w:ascii="宋体" w:hAnsi="宋体" w:eastAsia="宋体" w:cs="宋体"/>
          <w:spacing w:val="6"/>
          <w:sz w:val="23"/>
          <w:szCs w:val="23"/>
        </w:rPr>
        <w:t>个月以上的施工工地，应当对其裸露泥地进行临时绿化或者铺</w:t>
      </w:r>
      <w:r>
        <w:rPr>
          <w:rFonts w:ascii="宋体" w:hAnsi="宋体" w:eastAsia="宋体" w:cs="宋体"/>
          <w:spacing w:val="5"/>
          <w:sz w:val="23"/>
          <w:szCs w:val="23"/>
        </w:rPr>
        <w:t>装</w:t>
      </w:r>
      <w:r>
        <w:rPr>
          <w:rFonts w:ascii="宋体" w:hAnsi="宋体" w:eastAsia="宋体" w:cs="宋体"/>
          <w:sz w:val="23"/>
          <w:szCs w:val="23"/>
        </w:rPr>
        <w:t>；</w:t>
      </w:r>
    </w:p>
    <w:p w14:paraId="1C8E2AD9">
      <w:pPr>
        <w:spacing w:line="267" w:lineRule="auto"/>
        <w:rPr>
          <w:rFonts w:ascii="Arial"/>
          <w:sz w:val="21"/>
        </w:rPr>
      </w:pPr>
    </w:p>
    <w:p w14:paraId="7FE7BC9E">
      <w:pPr>
        <w:spacing w:before="75" w:line="225" w:lineRule="auto"/>
        <w:ind w:left="501"/>
        <w:rPr>
          <w:rFonts w:ascii="宋体" w:hAnsi="宋体" w:eastAsia="宋体" w:cs="宋体"/>
          <w:sz w:val="23"/>
          <w:szCs w:val="23"/>
        </w:rPr>
      </w:pPr>
      <w:r>
        <w:rPr>
          <w:rFonts w:ascii="宋体" w:hAnsi="宋体" w:eastAsia="宋体" w:cs="宋体"/>
          <w:spacing w:val="7"/>
          <w:sz w:val="23"/>
          <w:szCs w:val="23"/>
        </w:rPr>
        <w:t>⑧对工程材料、砂石、土方等易产生扬尘的物料应当密闭处理。在工地内</w:t>
      </w:r>
      <w:r>
        <w:rPr>
          <w:rFonts w:ascii="宋体" w:hAnsi="宋体" w:eastAsia="宋体" w:cs="宋体"/>
          <w:spacing w:val="4"/>
          <w:sz w:val="23"/>
          <w:szCs w:val="23"/>
        </w:rPr>
        <w:t>堆</w:t>
      </w:r>
    </w:p>
    <w:p w14:paraId="1DD32DF0">
      <w:pPr>
        <w:spacing w:before="187" w:line="229" w:lineRule="auto"/>
        <w:ind w:left="23"/>
        <w:rPr>
          <w:rFonts w:ascii="宋体" w:hAnsi="宋体" w:eastAsia="宋体" w:cs="宋体"/>
          <w:sz w:val="23"/>
          <w:szCs w:val="23"/>
        </w:rPr>
      </w:pPr>
      <w:r>
        <w:rPr>
          <w:rFonts w:ascii="宋体" w:hAnsi="宋体" w:eastAsia="宋体" w:cs="宋体"/>
          <w:spacing w:val="8"/>
          <w:sz w:val="23"/>
          <w:szCs w:val="23"/>
        </w:rPr>
        <w:t>放，应当采取覆盖防尘网或者防尘布，定期采取喷洒粉尘抑制剂、洒水等措施</w:t>
      </w:r>
      <w:r>
        <w:rPr>
          <w:rFonts w:ascii="宋体" w:hAnsi="宋体" w:eastAsia="宋体" w:cs="宋体"/>
          <w:spacing w:val="7"/>
          <w:sz w:val="23"/>
          <w:szCs w:val="23"/>
        </w:rPr>
        <w:t>；</w:t>
      </w:r>
    </w:p>
    <w:p w14:paraId="5A031D6D">
      <w:pPr>
        <w:spacing w:line="263" w:lineRule="auto"/>
        <w:rPr>
          <w:rFonts w:ascii="Arial"/>
          <w:sz w:val="21"/>
        </w:rPr>
      </w:pPr>
    </w:p>
    <w:p w14:paraId="357E9C43">
      <w:pPr>
        <w:spacing w:before="75" w:line="384" w:lineRule="auto"/>
        <w:ind w:left="28" w:right="35" w:firstLine="473"/>
        <w:rPr>
          <w:rFonts w:ascii="宋体" w:hAnsi="宋体" w:eastAsia="宋体" w:cs="宋体"/>
          <w:sz w:val="23"/>
          <w:szCs w:val="23"/>
        </w:rPr>
      </w:pPr>
      <w:r>
        <w:rPr>
          <w:rFonts w:ascii="宋体" w:hAnsi="宋体" w:eastAsia="宋体" w:cs="宋体"/>
          <w:spacing w:val="7"/>
          <w:sz w:val="23"/>
          <w:szCs w:val="23"/>
        </w:rPr>
        <w:t>⑨在建筑物、构筑物上运送散装物料、建筑垃圾和渣土的，应当采用密闭</w:t>
      </w:r>
      <w:r>
        <w:rPr>
          <w:rFonts w:ascii="宋体" w:hAnsi="宋体" w:eastAsia="宋体" w:cs="宋体"/>
          <w:spacing w:val="4"/>
          <w:sz w:val="23"/>
          <w:szCs w:val="23"/>
        </w:rPr>
        <w:t>方</w:t>
      </w:r>
      <w:r>
        <w:rPr>
          <w:rFonts w:ascii="宋体" w:hAnsi="宋体" w:eastAsia="宋体" w:cs="宋体"/>
          <w:sz w:val="23"/>
          <w:szCs w:val="23"/>
        </w:rPr>
        <w:t xml:space="preserve"> </w:t>
      </w:r>
      <w:r>
        <w:rPr>
          <w:rFonts w:ascii="宋体" w:hAnsi="宋体" w:eastAsia="宋体" w:cs="宋体"/>
          <w:spacing w:val="11"/>
          <w:sz w:val="23"/>
          <w:szCs w:val="23"/>
        </w:rPr>
        <w:t>式</w:t>
      </w:r>
      <w:r>
        <w:rPr>
          <w:rFonts w:ascii="宋体" w:hAnsi="宋体" w:eastAsia="宋体" w:cs="宋体"/>
          <w:spacing w:val="8"/>
          <w:sz w:val="23"/>
          <w:szCs w:val="23"/>
        </w:rPr>
        <w:t>清运，禁止高空抛掷、扬撒。</w:t>
      </w:r>
    </w:p>
    <w:p w14:paraId="0764C8BF">
      <w:pPr>
        <w:spacing w:before="134" w:line="384" w:lineRule="auto"/>
        <w:ind w:left="24" w:right="37" w:firstLine="479"/>
        <w:rPr>
          <w:rFonts w:ascii="宋体" w:hAnsi="宋体" w:eastAsia="宋体" w:cs="宋体"/>
          <w:sz w:val="23"/>
          <w:szCs w:val="23"/>
        </w:rPr>
      </w:pPr>
      <w:r>
        <w:rPr>
          <w:rFonts w:ascii="宋体" w:hAnsi="宋体" w:eastAsia="宋体" w:cs="宋体"/>
          <w:spacing w:val="8"/>
          <w:sz w:val="23"/>
          <w:szCs w:val="23"/>
        </w:rPr>
        <w:t>根</w:t>
      </w:r>
      <w:r>
        <w:rPr>
          <w:rFonts w:ascii="宋体" w:hAnsi="宋体" w:eastAsia="宋体" w:cs="宋体"/>
          <w:spacing w:val="6"/>
          <w:sz w:val="23"/>
          <w:szCs w:val="23"/>
        </w:rPr>
        <w:t xml:space="preserve">据《环境空气细颗粒物污染综合防治技术政策》  (环境保护部公告 </w:t>
      </w:r>
      <w:r>
        <w:rPr>
          <w:rFonts w:ascii="Times New Roman" w:hAnsi="Times New Roman" w:eastAsia="Times New Roman" w:cs="Times New Roman"/>
          <w:spacing w:val="6"/>
          <w:sz w:val="23"/>
          <w:szCs w:val="23"/>
        </w:rPr>
        <w:t>2013</w:t>
      </w:r>
      <w:r>
        <w:rPr>
          <w:rFonts w:ascii="Times New Roman" w:hAnsi="Times New Roman" w:eastAsia="Times New Roman" w:cs="Times New Roman"/>
          <w:sz w:val="23"/>
          <w:szCs w:val="23"/>
        </w:rPr>
        <w:t xml:space="preserve"> </w:t>
      </w:r>
      <w:r>
        <w:rPr>
          <w:rFonts w:ascii="宋体" w:hAnsi="宋体" w:eastAsia="宋体" w:cs="宋体"/>
          <w:spacing w:val="1"/>
          <w:sz w:val="23"/>
          <w:szCs w:val="23"/>
        </w:rPr>
        <w:t xml:space="preserve">年第 </w:t>
      </w:r>
      <w:r>
        <w:rPr>
          <w:rFonts w:ascii="Times New Roman" w:hAnsi="Times New Roman" w:eastAsia="Times New Roman" w:cs="Times New Roman"/>
          <w:spacing w:val="1"/>
          <w:sz w:val="23"/>
          <w:szCs w:val="23"/>
        </w:rPr>
        <w:t xml:space="preserve">59 </w:t>
      </w:r>
      <w:r>
        <w:rPr>
          <w:rFonts w:ascii="宋体" w:hAnsi="宋体" w:eastAsia="宋体" w:cs="宋体"/>
          <w:spacing w:val="1"/>
          <w:sz w:val="23"/>
          <w:szCs w:val="23"/>
        </w:rPr>
        <w:t>号，</w:t>
      </w:r>
      <w:r>
        <w:rPr>
          <w:rFonts w:ascii="Times New Roman" w:hAnsi="Times New Roman" w:eastAsia="Times New Roman" w:cs="Times New Roman"/>
          <w:spacing w:val="1"/>
          <w:sz w:val="23"/>
          <w:szCs w:val="23"/>
        </w:rPr>
        <w:t xml:space="preserve">2013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9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13 </w:t>
      </w:r>
      <w:r>
        <w:rPr>
          <w:rFonts w:ascii="宋体" w:hAnsi="宋体" w:eastAsia="宋体" w:cs="宋体"/>
          <w:spacing w:val="1"/>
          <w:sz w:val="23"/>
          <w:szCs w:val="23"/>
        </w:rPr>
        <w:t xml:space="preserve">日) </w:t>
      </w:r>
      <w:r>
        <w:rPr>
          <w:rFonts w:ascii="Times New Roman" w:hAnsi="Times New Roman" w:eastAsia="Times New Roman" w:cs="Times New Roman"/>
          <w:spacing w:val="1"/>
          <w:sz w:val="23"/>
          <w:szCs w:val="23"/>
        </w:rPr>
        <w:t>“</w:t>
      </w:r>
      <w:r>
        <w:rPr>
          <w:rFonts w:ascii="宋体" w:hAnsi="宋体" w:eastAsia="宋体" w:cs="宋体"/>
          <w:spacing w:val="1"/>
          <w:sz w:val="23"/>
          <w:szCs w:val="23"/>
        </w:rPr>
        <w:t>五、防治扬尘污染</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，要求如下</w:t>
      </w:r>
      <w:r>
        <w:rPr>
          <w:rFonts w:ascii="宋体" w:hAnsi="宋体" w:eastAsia="宋体" w:cs="宋体"/>
          <w:sz w:val="23"/>
          <w:szCs w:val="23"/>
        </w:rPr>
        <w:t>：</w:t>
      </w:r>
    </w:p>
    <w:p w14:paraId="62D6B8A2">
      <w:pPr>
        <w:spacing w:before="136" w:line="228" w:lineRule="auto"/>
        <w:ind w:left="514"/>
        <w:rPr>
          <w:rFonts w:ascii="宋体" w:hAnsi="宋体" w:eastAsia="宋体" w:cs="宋体"/>
          <w:sz w:val="23"/>
          <w:szCs w:val="23"/>
        </w:rPr>
      </w:pPr>
      <w:r>
        <w:rPr>
          <w:rFonts w:ascii="宋体" w:hAnsi="宋体" w:eastAsia="宋体" w:cs="宋体"/>
          <w:spacing w:val="20"/>
          <w:sz w:val="23"/>
          <w:szCs w:val="23"/>
        </w:rPr>
        <w:t>(二</w:t>
      </w:r>
      <w:r>
        <w:rPr>
          <w:rFonts w:ascii="宋体" w:hAnsi="宋体" w:eastAsia="宋体" w:cs="宋体"/>
          <w:spacing w:val="15"/>
          <w:sz w:val="23"/>
          <w:szCs w:val="23"/>
        </w:rPr>
        <w:t>十</w:t>
      </w:r>
      <w:r>
        <w:rPr>
          <w:rFonts w:ascii="宋体" w:hAnsi="宋体" w:eastAsia="宋体" w:cs="宋体"/>
          <w:spacing w:val="10"/>
          <w:sz w:val="23"/>
          <w:szCs w:val="23"/>
        </w:rPr>
        <w:t>三) 对各种施工工地、各种粉状物料贮存场、各种港口装卸码头等，</w:t>
      </w:r>
    </w:p>
    <w:p w14:paraId="4D7E3551">
      <w:pPr>
        <w:sectPr>
          <w:headerReference r:id="rId257" w:type="default"/>
          <w:footerReference r:id="rId258" w:type="default"/>
          <w:pgSz w:w="11906" w:h="16839"/>
          <w:pgMar w:top="1132" w:right="1764" w:bottom="1182" w:left="1785" w:header="878" w:footer="1022" w:gutter="0"/>
          <w:cols w:space="720" w:num="1"/>
        </w:sectPr>
      </w:pPr>
    </w:p>
    <w:p w14:paraId="4B7C46F3">
      <w:pPr>
        <w:spacing w:line="399" w:lineRule="auto"/>
        <w:rPr>
          <w:rFonts w:ascii="Arial"/>
          <w:sz w:val="21"/>
        </w:rPr>
      </w:pPr>
      <w:r>
        <w:pict>
          <v:shape id="_x0000_s1296" o:spid="_x0000_s1296" style="position:absolute;left:0pt;margin-left:90pt;margin-top:57.35pt;height:0.75pt;width:415.3pt;mso-position-horizontal-relative:page;mso-position-vertical-relative:page;z-index:251949056;mso-width-relative:page;mso-height-relative:page;" fillcolor="#000000" filled="t" stroked="f" coordsize="8305,15" o:allowincell="f" path="m0,0l8305,0,8305,14,0,14,0,0xe">
            <v:path/>
            <v:fill on="t" focussize="0,0"/>
            <v:stroke on="f"/>
            <v:imagedata o:title=""/>
            <o:lock v:ext="edit"/>
          </v:shape>
        </w:pict>
      </w:r>
    </w:p>
    <w:p w14:paraId="3B0DA3CA">
      <w:pPr>
        <w:spacing w:before="75" w:line="381" w:lineRule="auto"/>
        <w:ind w:left="22" w:right="80"/>
        <w:rPr>
          <w:rFonts w:ascii="宋体" w:hAnsi="宋体" w:eastAsia="宋体" w:cs="宋体"/>
          <w:sz w:val="23"/>
          <w:szCs w:val="23"/>
        </w:rPr>
      </w:pPr>
      <w:r>
        <w:rPr>
          <w:rFonts w:ascii="宋体" w:hAnsi="宋体" w:eastAsia="宋体" w:cs="宋体"/>
          <w:spacing w:val="9"/>
          <w:sz w:val="23"/>
          <w:szCs w:val="23"/>
        </w:rPr>
        <w:t>应</w:t>
      </w:r>
      <w:r>
        <w:rPr>
          <w:rFonts w:ascii="宋体" w:hAnsi="宋体" w:eastAsia="宋体" w:cs="宋体"/>
          <w:spacing w:val="7"/>
          <w:sz w:val="23"/>
          <w:szCs w:val="23"/>
        </w:rPr>
        <w:t>采取设置围挡墙、防尘网和喷洒抑尘剂等有效的防尘、抑尘措施，防止颗粒物</w:t>
      </w:r>
      <w:r>
        <w:rPr>
          <w:rFonts w:ascii="宋体" w:hAnsi="宋体" w:eastAsia="宋体" w:cs="宋体"/>
          <w:sz w:val="23"/>
          <w:szCs w:val="23"/>
        </w:rPr>
        <w:t xml:space="preserve"> </w:t>
      </w:r>
      <w:r>
        <w:rPr>
          <w:rFonts w:ascii="宋体" w:hAnsi="宋体" w:eastAsia="宋体" w:cs="宋体"/>
          <w:spacing w:val="9"/>
          <w:sz w:val="23"/>
          <w:szCs w:val="23"/>
        </w:rPr>
        <w:t>逸</w:t>
      </w:r>
      <w:r>
        <w:rPr>
          <w:rFonts w:ascii="宋体" w:hAnsi="宋体" w:eastAsia="宋体" w:cs="宋体"/>
          <w:spacing w:val="7"/>
          <w:sz w:val="23"/>
          <w:szCs w:val="23"/>
        </w:rPr>
        <w:t>散；设置车辆清洗装置，保持上路行驶车辆的清洁；鼓励各类土建工程使用预</w:t>
      </w:r>
      <w:r>
        <w:rPr>
          <w:rFonts w:ascii="宋体" w:hAnsi="宋体" w:eastAsia="宋体" w:cs="宋体"/>
          <w:sz w:val="23"/>
          <w:szCs w:val="23"/>
        </w:rPr>
        <w:t xml:space="preserve"> </w:t>
      </w:r>
      <w:r>
        <w:rPr>
          <w:rFonts w:ascii="宋体" w:hAnsi="宋体" w:eastAsia="宋体" w:cs="宋体"/>
          <w:spacing w:val="8"/>
          <w:sz w:val="23"/>
          <w:szCs w:val="23"/>
        </w:rPr>
        <w:t>搅拌的商品混凝土</w:t>
      </w:r>
      <w:r>
        <w:rPr>
          <w:rFonts w:ascii="宋体" w:hAnsi="宋体" w:eastAsia="宋体" w:cs="宋体"/>
          <w:spacing w:val="7"/>
          <w:sz w:val="23"/>
          <w:szCs w:val="23"/>
        </w:rPr>
        <w:t>。</w:t>
      </w:r>
    </w:p>
    <w:p w14:paraId="375ECEFC">
      <w:pPr>
        <w:spacing w:before="135" w:line="384" w:lineRule="auto"/>
        <w:ind w:left="21" w:right="80" w:firstLine="493"/>
        <w:rPr>
          <w:rFonts w:ascii="宋体" w:hAnsi="宋体" w:eastAsia="宋体" w:cs="宋体"/>
          <w:sz w:val="23"/>
          <w:szCs w:val="23"/>
        </w:rPr>
      </w:pPr>
      <w:r>
        <w:rPr>
          <w:rFonts w:ascii="宋体" w:hAnsi="宋体" w:eastAsia="宋体" w:cs="宋体"/>
          <w:spacing w:val="18"/>
          <w:sz w:val="23"/>
          <w:szCs w:val="23"/>
        </w:rPr>
        <w:t>(二</w:t>
      </w:r>
      <w:r>
        <w:rPr>
          <w:rFonts w:ascii="宋体" w:hAnsi="宋体" w:eastAsia="宋体" w:cs="宋体"/>
          <w:spacing w:val="15"/>
          <w:sz w:val="23"/>
          <w:szCs w:val="23"/>
        </w:rPr>
        <w:t>十</w:t>
      </w:r>
      <w:r>
        <w:rPr>
          <w:rFonts w:ascii="宋体" w:hAnsi="宋体" w:eastAsia="宋体" w:cs="宋体"/>
          <w:spacing w:val="9"/>
          <w:sz w:val="23"/>
          <w:szCs w:val="23"/>
        </w:rPr>
        <w:t>四) 实行粉状物料及渣土车辆密闭运输，加强监管，防止遗撒。及时</w:t>
      </w:r>
      <w:r>
        <w:rPr>
          <w:rFonts w:ascii="宋体" w:hAnsi="宋体" w:eastAsia="宋体" w:cs="宋体"/>
          <w:sz w:val="23"/>
          <w:szCs w:val="23"/>
        </w:rPr>
        <w:t xml:space="preserve"> </w:t>
      </w:r>
      <w:r>
        <w:rPr>
          <w:rFonts w:ascii="宋体" w:hAnsi="宋体" w:eastAsia="宋体" w:cs="宋体"/>
          <w:spacing w:val="13"/>
          <w:sz w:val="23"/>
          <w:szCs w:val="23"/>
        </w:rPr>
        <w:t>进</w:t>
      </w:r>
      <w:r>
        <w:rPr>
          <w:rFonts w:ascii="宋体" w:hAnsi="宋体" w:eastAsia="宋体" w:cs="宋体"/>
          <w:spacing w:val="9"/>
          <w:sz w:val="23"/>
          <w:szCs w:val="23"/>
        </w:rPr>
        <w:t>行道路清扫、冲洗、洒水作业，减少道路扬尘。</w:t>
      </w:r>
    </w:p>
    <w:p w14:paraId="061F5843">
      <w:pPr>
        <w:spacing w:before="132" w:line="377" w:lineRule="auto"/>
        <w:ind w:left="22" w:right="77" w:firstLine="480"/>
        <w:rPr>
          <w:rFonts w:ascii="宋体" w:hAnsi="宋体" w:eastAsia="宋体" w:cs="宋体"/>
          <w:sz w:val="23"/>
          <w:szCs w:val="23"/>
        </w:rPr>
      </w:pPr>
      <w:r>
        <w:rPr>
          <w:rFonts w:ascii="宋体" w:hAnsi="宋体" w:eastAsia="宋体" w:cs="宋体"/>
          <w:spacing w:val="27"/>
          <w:sz w:val="23"/>
          <w:szCs w:val="23"/>
        </w:rPr>
        <w:t>根</w:t>
      </w:r>
      <w:r>
        <w:rPr>
          <w:rFonts w:ascii="宋体" w:hAnsi="宋体" w:eastAsia="宋体" w:cs="宋体"/>
          <w:spacing w:val="26"/>
          <w:sz w:val="23"/>
          <w:szCs w:val="23"/>
        </w:rPr>
        <w:t>据</w:t>
      </w:r>
      <w:r>
        <w:rPr>
          <w:rFonts w:ascii="Times New Roman" w:hAnsi="Times New Roman" w:eastAsia="Times New Roman" w:cs="Times New Roman"/>
          <w:spacing w:val="26"/>
          <w:sz w:val="23"/>
          <w:szCs w:val="23"/>
        </w:rPr>
        <w:t xml:space="preserve">“ </w:t>
      </w:r>
      <w:r>
        <w:rPr>
          <w:rFonts w:ascii="宋体" w:hAnsi="宋体" w:eastAsia="宋体" w:cs="宋体"/>
          <w:spacing w:val="26"/>
          <w:sz w:val="23"/>
          <w:szCs w:val="23"/>
        </w:rPr>
        <w:t>本溪市人民政府关于进一步推进蓝天工程的实施意见</w:t>
      </w:r>
      <w:r>
        <w:rPr>
          <w:rFonts w:ascii="Times New Roman" w:hAnsi="Times New Roman" w:eastAsia="Times New Roman" w:cs="Times New Roman"/>
          <w:spacing w:val="26"/>
          <w:sz w:val="23"/>
          <w:szCs w:val="23"/>
        </w:rPr>
        <w:t xml:space="preserve">”  </w:t>
      </w:r>
      <w:r>
        <w:rPr>
          <w:rFonts w:ascii="宋体" w:hAnsi="宋体" w:eastAsia="宋体" w:cs="宋体"/>
          <w:spacing w:val="26"/>
          <w:sz w:val="23"/>
          <w:szCs w:val="23"/>
        </w:rPr>
        <w:t>(本政发</w:t>
      </w:r>
      <w:r>
        <w:rPr>
          <w:rFonts w:ascii="宋体" w:hAnsi="宋体" w:eastAsia="宋体" w:cs="宋体"/>
          <w:sz w:val="23"/>
          <w:szCs w:val="23"/>
        </w:rPr>
        <w:t xml:space="preserve"> </w:t>
      </w:r>
      <w:r>
        <w:rPr>
          <w:rFonts w:ascii="Times New Roman" w:hAnsi="Times New Roman" w:eastAsia="Times New Roman" w:cs="Times New Roman"/>
          <w:spacing w:val="4"/>
          <w:sz w:val="23"/>
          <w:szCs w:val="23"/>
        </w:rPr>
        <w:t xml:space="preserve">[2012]33 </w:t>
      </w:r>
      <w:r>
        <w:rPr>
          <w:rFonts w:ascii="宋体" w:hAnsi="宋体" w:eastAsia="宋体" w:cs="宋体"/>
          <w:spacing w:val="4"/>
          <w:sz w:val="23"/>
          <w:szCs w:val="23"/>
        </w:rPr>
        <w:t>号，</w:t>
      </w:r>
      <w:r>
        <w:rPr>
          <w:rFonts w:ascii="宋体" w:hAnsi="宋体" w:eastAsia="宋体" w:cs="宋体"/>
          <w:spacing w:val="3"/>
          <w:sz w:val="23"/>
          <w:szCs w:val="23"/>
        </w:rPr>
        <w:t>本</w:t>
      </w:r>
      <w:r>
        <w:rPr>
          <w:rFonts w:ascii="宋体" w:hAnsi="宋体" w:eastAsia="宋体" w:cs="宋体"/>
          <w:spacing w:val="2"/>
          <w:sz w:val="23"/>
          <w:szCs w:val="23"/>
        </w:rPr>
        <w:t>溪市人民政府，</w:t>
      </w:r>
      <w:r>
        <w:rPr>
          <w:rFonts w:ascii="Times New Roman" w:hAnsi="Times New Roman" w:eastAsia="Times New Roman" w:cs="Times New Roman"/>
          <w:spacing w:val="2"/>
          <w:sz w:val="23"/>
          <w:szCs w:val="23"/>
        </w:rPr>
        <w:t xml:space="preserve">2012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12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12 </w:t>
      </w:r>
      <w:r>
        <w:rPr>
          <w:rFonts w:ascii="宋体" w:hAnsi="宋体" w:eastAsia="宋体" w:cs="宋体"/>
          <w:spacing w:val="2"/>
          <w:sz w:val="23"/>
          <w:szCs w:val="23"/>
        </w:rPr>
        <w:t>日) ，本溪市</w:t>
      </w:r>
      <w:r>
        <w:rPr>
          <w:rFonts w:ascii="Times New Roman" w:hAnsi="Times New Roman" w:eastAsia="Times New Roman" w:cs="Times New Roman"/>
          <w:spacing w:val="2"/>
          <w:sz w:val="23"/>
          <w:szCs w:val="23"/>
        </w:rPr>
        <w:t>“</w:t>
      </w:r>
      <w:r>
        <w:rPr>
          <w:rFonts w:ascii="宋体" w:hAnsi="宋体" w:eastAsia="宋体" w:cs="宋体"/>
          <w:spacing w:val="2"/>
          <w:sz w:val="23"/>
          <w:szCs w:val="23"/>
        </w:rPr>
        <w:t>蓝天工程</w:t>
      </w:r>
      <w:r>
        <w:rPr>
          <w:rFonts w:ascii="Times New Roman" w:hAnsi="Times New Roman" w:eastAsia="Times New Roman" w:cs="Times New Roman"/>
          <w:spacing w:val="2"/>
          <w:sz w:val="23"/>
          <w:szCs w:val="23"/>
        </w:rPr>
        <w:t>”</w:t>
      </w:r>
      <w:r>
        <w:rPr>
          <w:rFonts w:ascii="宋体" w:hAnsi="宋体" w:eastAsia="宋体" w:cs="宋体"/>
          <w:spacing w:val="2"/>
          <w:sz w:val="23"/>
          <w:szCs w:val="23"/>
        </w:rPr>
        <w:t>分解为</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 xml:space="preserve">7 </w:t>
      </w:r>
      <w:r>
        <w:rPr>
          <w:rFonts w:ascii="宋体" w:hAnsi="宋体" w:eastAsia="宋体" w:cs="宋体"/>
          <w:spacing w:val="12"/>
          <w:sz w:val="23"/>
          <w:szCs w:val="23"/>
        </w:rPr>
        <w:t>大工</w:t>
      </w:r>
      <w:r>
        <w:rPr>
          <w:rFonts w:ascii="宋体" w:hAnsi="宋体" w:eastAsia="宋体" w:cs="宋体"/>
          <w:spacing w:val="7"/>
          <w:sz w:val="23"/>
          <w:szCs w:val="23"/>
        </w:rPr>
        <w:t>程</w:t>
      </w:r>
      <w:r>
        <w:rPr>
          <w:rFonts w:ascii="宋体" w:hAnsi="宋体" w:eastAsia="宋体" w:cs="宋体"/>
          <w:spacing w:val="6"/>
          <w:sz w:val="23"/>
          <w:szCs w:val="23"/>
        </w:rPr>
        <w:t>、</w:t>
      </w:r>
      <w:r>
        <w:rPr>
          <w:rFonts w:ascii="Times New Roman" w:hAnsi="Times New Roman" w:eastAsia="Times New Roman" w:cs="Times New Roman"/>
          <w:spacing w:val="6"/>
          <w:sz w:val="23"/>
          <w:szCs w:val="23"/>
        </w:rPr>
        <w:t xml:space="preserve">30 </w:t>
      </w:r>
      <w:r>
        <w:rPr>
          <w:rFonts w:ascii="宋体" w:hAnsi="宋体" w:eastAsia="宋体" w:cs="宋体"/>
          <w:spacing w:val="6"/>
          <w:sz w:val="23"/>
          <w:szCs w:val="23"/>
        </w:rPr>
        <w:t>项任务、</w:t>
      </w:r>
      <w:r>
        <w:rPr>
          <w:rFonts w:ascii="Times New Roman" w:hAnsi="Times New Roman" w:eastAsia="Times New Roman" w:cs="Times New Roman"/>
          <w:spacing w:val="6"/>
          <w:sz w:val="23"/>
          <w:szCs w:val="23"/>
        </w:rPr>
        <w:t xml:space="preserve">144 </w:t>
      </w:r>
      <w:r>
        <w:rPr>
          <w:rFonts w:ascii="宋体" w:hAnsi="宋体" w:eastAsia="宋体" w:cs="宋体"/>
          <w:spacing w:val="6"/>
          <w:sz w:val="23"/>
          <w:szCs w:val="23"/>
        </w:rPr>
        <w:t>项内容。其中</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(四) 城市全覆盖工程</w:t>
      </w:r>
      <w:r>
        <w:rPr>
          <w:rFonts w:ascii="Times New Roman" w:hAnsi="Times New Roman" w:eastAsia="Times New Roman" w:cs="Times New Roman"/>
          <w:spacing w:val="6"/>
          <w:sz w:val="23"/>
          <w:szCs w:val="23"/>
        </w:rPr>
        <w:t>”</w:t>
      </w:r>
      <w:r>
        <w:rPr>
          <w:rFonts w:ascii="宋体" w:hAnsi="宋体" w:eastAsia="宋体" w:cs="宋体"/>
          <w:spacing w:val="6"/>
          <w:sz w:val="23"/>
          <w:szCs w:val="23"/>
        </w:rPr>
        <w:t>要求</w:t>
      </w:r>
      <w:r>
        <w:rPr>
          <w:rFonts w:ascii="Times New Roman" w:hAnsi="Times New Roman" w:eastAsia="Times New Roman" w:cs="Times New Roman"/>
          <w:spacing w:val="6"/>
          <w:sz w:val="23"/>
          <w:szCs w:val="23"/>
        </w:rPr>
        <w:t>“</w:t>
      </w:r>
      <w:r>
        <w:rPr>
          <w:rFonts w:ascii="宋体" w:hAnsi="宋体" w:eastAsia="宋体" w:cs="宋体"/>
          <w:spacing w:val="6"/>
          <w:sz w:val="23"/>
          <w:szCs w:val="23"/>
        </w:rPr>
        <w:t>严控建筑</w:t>
      </w:r>
      <w:r>
        <w:rPr>
          <w:rFonts w:ascii="宋体" w:hAnsi="宋体" w:eastAsia="宋体" w:cs="宋体"/>
          <w:sz w:val="23"/>
          <w:szCs w:val="23"/>
        </w:rPr>
        <w:t xml:space="preserve"> </w:t>
      </w:r>
      <w:r>
        <w:rPr>
          <w:rFonts w:ascii="宋体" w:hAnsi="宋体" w:eastAsia="宋体" w:cs="宋体"/>
          <w:spacing w:val="9"/>
          <w:sz w:val="23"/>
          <w:szCs w:val="23"/>
        </w:rPr>
        <w:t>施</w:t>
      </w:r>
      <w:r>
        <w:rPr>
          <w:rFonts w:ascii="宋体" w:hAnsi="宋体" w:eastAsia="宋体" w:cs="宋体"/>
          <w:spacing w:val="7"/>
          <w:sz w:val="23"/>
          <w:szCs w:val="23"/>
        </w:rPr>
        <w:t>工扬尘污染，建筑工地实施立体封闭、平面覆盖、道路硬化，拆迁工程采用湿</w:t>
      </w:r>
      <w:r>
        <w:rPr>
          <w:rFonts w:ascii="宋体" w:hAnsi="宋体" w:eastAsia="宋体" w:cs="宋体"/>
          <w:sz w:val="23"/>
          <w:szCs w:val="23"/>
        </w:rPr>
        <w:t xml:space="preserve"> </w:t>
      </w:r>
      <w:r>
        <w:rPr>
          <w:rFonts w:ascii="宋体" w:hAnsi="宋体" w:eastAsia="宋体" w:cs="宋体"/>
          <w:spacing w:val="14"/>
          <w:sz w:val="23"/>
          <w:szCs w:val="23"/>
        </w:rPr>
        <w:t>式作业</w:t>
      </w:r>
      <w:r>
        <w:rPr>
          <w:rFonts w:ascii="宋体" w:hAnsi="宋体" w:eastAsia="宋体" w:cs="宋体"/>
          <w:spacing w:val="10"/>
          <w:sz w:val="23"/>
          <w:szCs w:val="23"/>
        </w:rPr>
        <w:t>方</w:t>
      </w:r>
      <w:r>
        <w:rPr>
          <w:rFonts w:ascii="宋体" w:hAnsi="宋体" w:eastAsia="宋体" w:cs="宋体"/>
          <w:spacing w:val="7"/>
          <w:sz w:val="23"/>
          <w:szCs w:val="23"/>
        </w:rPr>
        <w:t>式，施工运输车辆进行清洗和覆盖。</w:t>
      </w:r>
      <w:r>
        <w:rPr>
          <w:rFonts w:ascii="Times New Roman" w:hAnsi="Times New Roman" w:eastAsia="Times New Roman" w:cs="Times New Roman"/>
          <w:spacing w:val="7"/>
          <w:sz w:val="23"/>
          <w:szCs w:val="23"/>
        </w:rPr>
        <w:t>”“</w:t>
      </w:r>
      <w:r>
        <w:rPr>
          <w:rFonts w:ascii="宋体" w:hAnsi="宋体" w:eastAsia="宋体" w:cs="宋体"/>
          <w:spacing w:val="7"/>
          <w:sz w:val="23"/>
          <w:szCs w:val="23"/>
        </w:rPr>
        <w:t>禁止汽车带泥上路、运输车辆遗</w:t>
      </w:r>
      <w:r>
        <w:rPr>
          <w:rFonts w:ascii="宋体" w:hAnsi="宋体" w:eastAsia="宋体" w:cs="宋体"/>
          <w:sz w:val="23"/>
          <w:szCs w:val="23"/>
        </w:rPr>
        <w:t xml:space="preserve"> </w:t>
      </w:r>
      <w:r>
        <w:rPr>
          <w:rFonts w:ascii="宋体" w:hAnsi="宋体" w:eastAsia="宋体" w:cs="宋体"/>
          <w:spacing w:val="20"/>
          <w:sz w:val="23"/>
          <w:szCs w:val="23"/>
        </w:rPr>
        <w:t>撒等</w:t>
      </w:r>
      <w:r>
        <w:rPr>
          <w:rFonts w:ascii="宋体" w:hAnsi="宋体" w:eastAsia="宋体" w:cs="宋体"/>
          <w:spacing w:val="15"/>
          <w:sz w:val="23"/>
          <w:szCs w:val="23"/>
        </w:rPr>
        <w:t>道</w:t>
      </w:r>
      <w:r>
        <w:rPr>
          <w:rFonts w:ascii="宋体" w:hAnsi="宋体" w:eastAsia="宋体" w:cs="宋体"/>
          <w:spacing w:val="10"/>
          <w:sz w:val="23"/>
          <w:szCs w:val="23"/>
        </w:rPr>
        <w:t>路污染行为。</w:t>
      </w:r>
      <w:r>
        <w:rPr>
          <w:rFonts w:ascii="Times New Roman" w:hAnsi="Times New Roman" w:eastAsia="Times New Roman" w:cs="Times New Roman"/>
          <w:spacing w:val="10"/>
          <w:sz w:val="23"/>
          <w:szCs w:val="23"/>
        </w:rPr>
        <w:t>”</w:t>
      </w:r>
      <w:r>
        <w:rPr>
          <w:rFonts w:ascii="宋体" w:hAnsi="宋体" w:eastAsia="宋体" w:cs="宋体"/>
          <w:spacing w:val="10"/>
          <w:sz w:val="23"/>
          <w:szCs w:val="23"/>
        </w:rPr>
        <w:t>本项目在施工建设期间，会产生扬尘污染，这些扬尘尽管</w:t>
      </w:r>
      <w:r>
        <w:rPr>
          <w:rFonts w:ascii="宋体" w:hAnsi="宋体" w:eastAsia="宋体" w:cs="宋体"/>
          <w:sz w:val="23"/>
          <w:szCs w:val="23"/>
        </w:rPr>
        <w:t xml:space="preserve"> </w:t>
      </w:r>
      <w:r>
        <w:rPr>
          <w:rFonts w:ascii="宋体" w:hAnsi="宋体" w:eastAsia="宋体" w:cs="宋体"/>
          <w:spacing w:val="9"/>
          <w:sz w:val="23"/>
          <w:szCs w:val="23"/>
        </w:rPr>
        <w:t>是</w:t>
      </w:r>
      <w:r>
        <w:rPr>
          <w:rFonts w:ascii="宋体" w:hAnsi="宋体" w:eastAsia="宋体" w:cs="宋体"/>
          <w:spacing w:val="7"/>
          <w:sz w:val="23"/>
          <w:szCs w:val="23"/>
        </w:rPr>
        <w:t>短期行为，但会给附近区域带来不利的影响。结合上述要求，针对施工期扬尘</w:t>
      </w:r>
      <w:r>
        <w:rPr>
          <w:rFonts w:ascii="宋体" w:hAnsi="宋体" w:eastAsia="宋体" w:cs="宋体"/>
          <w:sz w:val="23"/>
          <w:szCs w:val="23"/>
        </w:rPr>
        <w:t xml:space="preserve"> </w:t>
      </w:r>
      <w:r>
        <w:rPr>
          <w:rFonts w:ascii="宋体" w:hAnsi="宋体" w:eastAsia="宋体" w:cs="宋体"/>
          <w:spacing w:val="15"/>
          <w:sz w:val="23"/>
          <w:szCs w:val="23"/>
        </w:rPr>
        <w:t>较</w:t>
      </w:r>
      <w:r>
        <w:rPr>
          <w:rFonts w:ascii="宋体" w:hAnsi="宋体" w:eastAsia="宋体" w:cs="宋体"/>
          <w:spacing w:val="9"/>
          <w:sz w:val="23"/>
          <w:szCs w:val="23"/>
        </w:rPr>
        <w:t>严重的环境问题，拟建项目施工期控制扬尘措施如下：</w:t>
      </w:r>
    </w:p>
    <w:p w14:paraId="33275048">
      <w:pPr>
        <w:spacing w:before="145" w:line="384" w:lineRule="auto"/>
        <w:ind w:left="22" w:right="80" w:firstLine="480"/>
        <w:rPr>
          <w:rFonts w:ascii="宋体" w:hAnsi="宋体" w:eastAsia="宋体" w:cs="宋体"/>
          <w:sz w:val="23"/>
          <w:szCs w:val="23"/>
        </w:rPr>
      </w:pPr>
      <w:r>
        <w:rPr>
          <w:rFonts w:ascii="宋体" w:hAnsi="宋体" w:eastAsia="宋体" w:cs="宋体"/>
          <w:spacing w:val="7"/>
          <w:sz w:val="23"/>
          <w:szCs w:val="23"/>
        </w:rPr>
        <w:t>①对于建设施工阶段的车辆和机械扬尘，建议采取洒水抑尘。利用洒水车</w:t>
      </w:r>
      <w:r>
        <w:rPr>
          <w:rFonts w:ascii="宋体" w:hAnsi="宋体" w:eastAsia="宋体" w:cs="宋体"/>
          <w:spacing w:val="3"/>
          <w:sz w:val="23"/>
          <w:szCs w:val="23"/>
        </w:rPr>
        <w:t>对</w:t>
      </w:r>
      <w:r>
        <w:rPr>
          <w:rFonts w:ascii="宋体" w:hAnsi="宋体" w:eastAsia="宋体" w:cs="宋体"/>
          <w:sz w:val="23"/>
          <w:szCs w:val="23"/>
        </w:rPr>
        <w:t xml:space="preserve"> </w:t>
      </w:r>
      <w:r>
        <w:rPr>
          <w:rFonts w:ascii="宋体" w:hAnsi="宋体" w:eastAsia="宋体" w:cs="宋体"/>
          <w:spacing w:val="10"/>
          <w:sz w:val="23"/>
          <w:szCs w:val="23"/>
        </w:rPr>
        <w:t>施</w:t>
      </w:r>
      <w:r>
        <w:rPr>
          <w:rFonts w:ascii="宋体" w:hAnsi="宋体" w:eastAsia="宋体" w:cs="宋体"/>
          <w:spacing w:val="9"/>
          <w:sz w:val="23"/>
          <w:szCs w:val="23"/>
        </w:rPr>
        <w:t>工现场和进出道路洒水，减少扬尘的产生。</w:t>
      </w:r>
    </w:p>
    <w:p w14:paraId="03EC7BE2">
      <w:pPr>
        <w:spacing w:before="135" w:line="384" w:lineRule="auto"/>
        <w:ind w:left="28" w:right="80" w:firstLine="473"/>
        <w:rPr>
          <w:rFonts w:ascii="宋体" w:hAnsi="宋体" w:eastAsia="宋体" w:cs="宋体"/>
          <w:sz w:val="23"/>
          <w:szCs w:val="23"/>
        </w:rPr>
      </w:pPr>
      <w:r>
        <w:rPr>
          <w:rFonts w:ascii="宋体" w:hAnsi="宋体" w:eastAsia="宋体" w:cs="宋体"/>
          <w:spacing w:val="7"/>
          <w:sz w:val="23"/>
          <w:szCs w:val="23"/>
        </w:rPr>
        <w:t>②从事土方、渣土和施工垃圾的运输必须使用密闭式运输车辆，现场出入</w:t>
      </w:r>
      <w:r>
        <w:rPr>
          <w:rFonts w:ascii="宋体" w:hAnsi="宋体" w:eastAsia="宋体" w:cs="宋体"/>
          <w:spacing w:val="4"/>
          <w:sz w:val="23"/>
          <w:szCs w:val="23"/>
        </w:rPr>
        <w:t>口</w:t>
      </w:r>
      <w:r>
        <w:rPr>
          <w:rFonts w:ascii="宋体" w:hAnsi="宋体" w:eastAsia="宋体" w:cs="宋体"/>
          <w:sz w:val="23"/>
          <w:szCs w:val="23"/>
        </w:rPr>
        <w:t xml:space="preserve"> </w:t>
      </w:r>
      <w:r>
        <w:rPr>
          <w:rFonts w:ascii="宋体" w:hAnsi="宋体" w:eastAsia="宋体" w:cs="宋体"/>
          <w:spacing w:val="16"/>
          <w:sz w:val="23"/>
          <w:szCs w:val="23"/>
        </w:rPr>
        <w:t>处</w:t>
      </w:r>
      <w:r>
        <w:rPr>
          <w:rFonts w:ascii="宋体" w:hAnsi="宋体" w:eastAsia="宋体" w:cs="宋体"/>
          <w:spacing w:val="9"/>
          <w:sz w:val="23"/>
          <w:szCs w:val="23"/>
        </w:rPr>
        <w:t>设置清洗车平台，出场时必须将车辆清理干净，不得将泥沙带出现场。</w:t>
      </w:r>
    </w:p>
    <w:p w14:paraId="63545A27">
      <w:pPr>
        <w:spacing w:before="135" w:line="384" w:lineRule="auto"/>
        <w:ind w:left="26" w:firstLine="475"/>
        <w:rPr>
          <w:rFonts w:ascii="宋体" w:hAnsi="宋体" w:eastAsia="宋体" w:cs="宋体"/>
          <w:sz w:val="23"/>
          <w:szCs w:val="23"/>
        </w:rPr>
      </w:pPr>
      <w:r>
        <w:rPr>
          <w:rFonts w:ascii="宋体" w:hAnsi="宋体" w:eastAsia="宋体" w:cs="宋体"/>
          <w:spacing w:val="7"/>
          <w:sz w:val="23"/>
          <w:szCs w:val="23"/>
        </w:rPr>
        <w:t>③项目施工期使用商品混凝土和砂浆，禁止设置混凝土搅拌站。可大大减</w:t>
      </w:r>
      <w:r>
        <w:rPr>
          <w:rFonts w:ascii="宋体" w:hAnsi="宋体" w:eastAsia="宋体" w:cs="宋体"/>
          <w:spacing w:val="4"/>
          <w:sz w:val="23"/>
          <w:szCs w:val="23"/>
        </w:rPr>
        <w:t>少</w:t>
      </w:r>
      <w:r>
        <w:rPr>
          <w:rFonts w:ascii="宋体" w:hAnsi="宋体" w:eastAsia="宋体" w:cs="宋体"/>
          <w:sz w:val="23"/>
          <w:szCs w:val="23"/>
        </w:rPr>
        <w:t xml:space="preserve"> </w:t>
      </w:r>
      <w:r>
        <w:rPr>
          <w:rFonts w:ascii="宋体" w:hAnsi="宋体" w:eastAsia="宋体" w:cs="宋体"/>
          <w:spacing w:val="4"/>
          <w:sz w:val="23"/>
          <w:szCs w:val="23"/>
        </w:rPr>
        <w:t>水泥、黄砂、石子等建筑</w:t>
      </w:r>
      <w:r>
        <w:rPr>
          <w:rFonts w:ascii="宋体" w:hAnsi="宋体" w:eastAsia="宋体" w:cs="宋体"/>
          <w:spacing w:val="2"/>
          <w:sz w:val="23"/>
          <w:szCs w:val="23"/>
        </w:rPr>
        <w:t>材料在运输、装卸、堆放及搅拌过程中产生的扬尘影响。</w:t>
      </w:r>
    </w:p>
    <w:p w14:paraId="561DC16F">
      <w:pPr>
        <w:spacing w:before="136" w:line="381" w:lineRule="auto"/>
        <w:ind w:left="22" w:right="80" w:firstLine="479"/>
        <w:rPr>
          <w:rFonts w:ascii="宋体" w:hAnsi="宋体" w:eastAsia="宋体" w:cs="宋体"/>
          <w:sz w:val="23"/>
          <w:szCs w:val="23"/>
        </w:rPr>
      </w:pPr>
      <w:r>
        <w:rPr>
          <w:rFonts w:ascii="宋体" w:hAnsi="宋体" w:eastAsia="宋体" w:cs="宋体"/>
          <w:spacing w:val="7"/>
          <w:sz w:val="23"/>
          <w:szCs w:val="23"/>
        </w:rPr>
        <w:t>④对于装运含尘物料的运输车辆必须进行密封运输，严格控制和规范车辆</w:t>
      </w:r>
      <w:r>
        <w:rPr>
          <w:rFonts w:ascii="宋体" w:hAnsi="宋体" w:eastAsia="宋体" w:cs="宋体"/>
          <w:spacing w:val="4"/>
          <w:sz w:val="23"/>
          <w:szCs w:val="23"/>
        </w:rPr>
        <w:t>运</w:t>
      </w:r>
      <w:r>
        <w:rPr>
          <w:rFonts w:ascii="宋体" w:hAnsi="宋体" w:eastAsia="宋体" w:cs="宋体"/>
          <w:sz w:val="23"/>
          <w:szCs w:val="23"/>
        </w:rPr>
        <w:t xml:space="preserve"> </w:t>
      </w:r>
      <w:r>
        <w:rPr>
          <w:rFonts w:ascii="宋体" w:hAnsi="宋体" w:eastAsia="宋体" w:cs="宋体"/>
          <w:spacing w:val="9"/>
          <w:sz w:val="23"/>
          <w:szCs w:val="23"/>
        </w:rPr>
        <w:t>输</w:t>
      </w:r>
      <w:r>
        <w:rPr>
          <w:rFonts w:ascii="宋体" w:hAnsi="宋体" w:eastAsia="宋体" w:cs="宋体"/>
          <w:spacing w:val="7"/>
          <w:sz w:val="23"/>
          <w:szCs w:val="23"/>
        </w:rPr>
        <w:t>量和方式，容易产生粉尘的物料不能够装得高过车辆两边和尾部的挡板，严格</w:t>
      </w:r>
      <w:r>
        <w:rPr>
          <w:rFonts w:ascii="宋体" w:hAnsi="宋体" w:eastAsia="宋体" w:cs="宋体"/>
          <w:sz w:val="23"/>
          <w:szCs w:val="23"/>
        </w:rPr>
        <w:t xml:space="preserve"> </w:t>
      </w:r>
      <w:r>
        <w:rPr>
          <w:rFonts w:ascii="宋体" w:hAnsi="宋体" w:eastAsia="宋体" w:cs="宋体"/>
          <w:spacing w:val="12"/>
          <w:sz w:val="23"/>
          <w:szCs w:val="23"/>
        </w:rPr>
        <w:t>控</w:t>
      </w:r>
      <w:r>
        <w:rPr>
          <w:rFonts w:ascii="宋体" w:hAnsi="宋体" w:eastAsia="宋体" w:cs="宋体"/>
          <w:spacing w:val="7"/>
          <w:sz w:val="23"/>
          <w:szCs w:val="23"/>
        </w:rPr>
        <w:t>制物料的洒落。</w:t>
      </w:r>
    </w:p>
    <w:p w14:paraId="06E11B53">
      <w:pPr>
        <w:spacing w:before="88" w:line="388" w:lineRule="auto"/>
        <w:ind w:left="24" w:right="30" w:firstLine="477"/>
        <w:rPr>
          <w:rFonts w:ascii="宋体" w:hAnsi="宋体" w:eastAsia="宋体" w:cs="宋体"/>
          <w:sz w:val="23"/>
          <w:szCs w:val="23"/>
        </w:rPr>
      </w:pPr>
      <w:r>
        <w:rPr>
          <w:rFonts w:ascii="宋体" w:hAnsi="宋体" w:eastAsia="宋体" w:cs="宋体"/>
          <w:spacing w:val="9"/>
          <w:sz w:val="23"/>
          <w:szCs w:val="23"/>
        </w:rPr>
        <w:t>⑤</w:t>
      </w:r>
      <w:r>
        <w:rPr>
          <w:rFonts w:ascii="宋体" w:hAnsi="宋体" w:eastAsia="宋体" w:cs="宋体"/>
          <w:spacing w:val="8"/>
          <w:sz w:val="23"/>
          <w:szCs w:val="23"/>
        </w:rPr>
        <w:t>限制施工区内运输车辆的速度，将卡车在施工场地的车速减少到</w:t>
      </w:r>
      <w:r>
        <w:rPr>
          <w:rFonts w:ascii="Times New Roman" w:hAnsi="Times New Roman" w:eastAsia="Times New Roman" w:cs="Times New Roman"/>
          <w:spacing w:val="8"/>
          <w:sz w:val="23"/>
          <w:szCs w:val="23"/>
        </w:rPr>
        <w:t>10</w:t>
      </w:r>
      <w:r>
        <w:rPr>
          <w:rFonts w:ascii="Times New Roman" w:hAnsi="Times New Roman" w:eastAsia="Times New Roman" w:cs="Times New Roman"/>
          <w:sz w:val="23"/>
          <w:szCs w:val="23"/>
        </w:rPr>
        <w:t>km</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h</w:t>
      </w:r>
      <w:r>
        <w:rPr>
          <w:rFonts w:ascii="宋体" w:hAnsi="宋体" w:eastAsia="宋体" w:cs="宋体"/>
          <w:spacing w:val="8"/>
          <w:sz w:val="23"/>
          <w:szCs w:val="23"/>
        </w:rPr>
        <w:t>，</w:t>
      </w:r>
      <w:r>
        <w:rPr>
          <w:rFonts w:ascii="宋体" w:hAnsi="宋体" w:eastAsia="宋体" w:cs="宋体"/>
          <w:sz w:val="23"/>
          <w:szCs w:val="23"/>
        </w:rPr>
        <w:t xml:space="preserve"> </w:t>
      </w:r>
      <w:r>
        <w:rPr>
          <w:rFonts w:ascii="宋体" w:hAnsi="宋体" w:eastAsia="宋体" w:cs="宋体"/>
          <w:spacing w:val="11"/>
          <w:sz w:val="23"/>
          <w:szCs w:val="23"/>
        </w:rPr>
        <w:t>其</w:t>
      </w:r>
      <w:r>
        <w:rPr>
          <w:rFonts w:ascii="宋体" w:hAnsi="宋体" w:eastAsia="宋体" w:cs="宋体"/>
          <w:spacing w:val="8"/>
          <w:sz w:val="23"/>
          <w:szCs w:val="23"/>
        </w:rPr>
        <w:t>他区域减少至</w:t>
      </w:r>
      <w:r>
        <w:rPr>
          <w:rFonts w:ascii="Times New Roman" w:hAnsi="Times New Roman" w:eastAsia="Times New Roman" w:cs="Times New Roman"/>
          <w:spacing w:val="8"/>
          <w:sz w:val="23"/>
          <w:szCs w:val="23"/>
        </w:rPr>
        <w:t>30</w:t>
      </w:r>
      <w:r>
        <w:rPr>
          <w:rFonts w:ascii="Times New Roman" w:hAnsi="Times New Roman" w:eastAsia="Times New Roman" w:cs="Times New Roman"/>
          <w:sz w:val="23"/>
          <w:szCs w:val="23"/>
        </w:rPr>
        <w:t>km</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h</w:t>
      </w:r>
      <w:r>
        <w:rPr>
          <w:rFonts w:ascii="宋体" w:hAnsi="宋体" w:eastAsia="宋体" w:cs="宋体"/>
          <w:spacing w:val="8"/>
          <w:sz w:val="23"/>
          <w:szCs w:val="23"/>
        </w:rPr>
        <w:t>。</w:t>
      </w:r>
    </w:p>
    <w:p w14:paraId="0992265C">
      <w:pPr>
        <w:spacing w:before="173" w:line="384" w:lineRule="auto"/>
        <w:ind w:left="27" w:right="80" w:firstLine="474"/>
        <w:rPr>
          <w:rFonts w:ascii="宋体" w:hAnsi="宋体" w:eastAsia="宋体" w:cs="宋体"/>
          <w:sz w:val="23"/>
          <w:szCs w:val="23"/>
        </w:rPr>
      </w:pPr>
      <w:r>
        <w:rPr>
          <w:rFonts w:ascii="宋体" w:hAnsi="宋体" w:eastAsia="宋体" w:cs="宋体"/>
          <w:spacing w:val="12"/>
          <w:sz w:val="23"/>
          <w:szCs w:val="23"/>
        </w:rPr>
        <w:t>⑥施工</w:t>
      </w:r>
      <w:r>
        <w:rPr>
          <w:rFonts w:ascii="宋体" w:hAnsi="宋体" w:eastAsia="宋体" w:cs="宋体"/>
          <w:spacing w:val="6"/>
          <w:sz w:val="23"/>
          <w:szCs w:val="23"/>
        </w:rPr>
        <w:t>现场周边应设置符合要求的围档，围档高度不能低于</w:t>
      </w:r>
      <w:r>
        <w:rPr>
          <w:rFonts w:ascii="Times New Roman" w:hAnsi="Times New Roman" w:eastAsia="Times New Roman" w:cs="Times New Roman"/>
          <w:spacing w:val="6"/>
          <w:sz w:val="23"/>
          <w:szCs w:val="23"/>
        </w:rPr>
        <w:t>2.5</w:t>
      </w:r>
      <w:r>
        <w:rPr>
          <w:rFonts w:ascii="Times New Roman" w:hAnsi="Times New Roman" w:eastAsia="Times New Roman" w:cs="Times New Roman"/>
          <w:sz w:val="23"/>
          <w:szCs w:val="23"/>
        </w:rPr>
        <w:t>m</w:t>
      </w:r>
      <w:r>
        <w:rPr>
          <w:rFonts w:ascii="宋体" w:hAnsi="宋体" w:eastAsia="宋体" w:cs="宋体"/>
          <w:spacing w:val="6"/>
          <w:sz w:val="23"/>
          <w:szCs w:val="23"/>
        </w:rPr>
        <w:t>，且围档要</w:t>
      </w:r>
      <w:r>
        <w:rPr>
          <w:rFonts w:ascii="宋体" w:hAnsi="宋体" w:eastAsia="宋体" w:cs="宋体"/>
          <w:sz w:val="23"/>
          <w:szCs w:val="23"/>
        </w:rPr>
        <w:t xml:space="preserve"> </w:t>
      </w:r>
      <w:r>
        <w:rPr>
          <w:rFonts w:ascii="宋体" w:hAnsi="宋体" w:eastAsia="宋体" w:cs="宋体"/>
          <w:spacing w:val="14"/>
          <w:sz w:val="23"/>
          <w:szCs w:val="23"/>
        </w:rPr>
        <w:t>坚</w:t>
      </w:r>
      <w:r>
        <w:rPr>
          <w:rFonts w:ascii="宋体" w:hAnsi="宋体" w:eastAsia="宋体" w:cs="宋体"/>
          <w:spacing w:val="8"/>
          <w:sz w:val="23"/>
          <w:szCs w:val="23"/>
        </w:rPr>
        <w:t>固、稳定、整洁、规范、美观。</w:t>
      </w:r>
    </w:p>
    <w:p w14:paraId="36AF7613">
      <w:pPr>
        <w:sectPr>
          <w:headerReference r:id="rId259" w:type="default"/>
          <w:footerReference r:id="rId260" w:type="default"/>
          <w:pgSz w:w="11906" w:h="16839"/>
          <w:pgMar w:top="1132" w:right="1719" w:bottom="1182" w:left="1785" w:header="878" w:footer="1022" w:gutter="0"/>
          <w:cols w:space="720" w:num="1"/>
        </w:sectPr>
      </w:pPr>
    </w:p>
    <w:p w14:paraId="43287A75">
      <w:pPr>
        <w:spacing w:line="400" w:lineRule="auto"/>
        <w:rPr>
          <w:rFonts w:ascii="Arial"/>
          <w:sz w:val="21"/>
        </w:rPr>
      </w:pPr>
      <w:r>
        <w:pict>
          <v:shape id="_x0000_s1297" o:spid="_x0000_s1297" style="position:absolute;left:0pt;margin-left:90pt;margin-top:57.35pt;height:0.75pt;width:415.3pt;mso-position-horizontal-relative:page;mso-position-vertical-relative:page;z-index:251950080;mso-width-relative:page;mso-height-relative:page;" fillcolor="#000000" filled="t" stroked="f" coordsize="8305,15" o:allowincell="f" path="m0,0l8305,0,8305,14,0,14,0,0xe">
            <v:path/>
            <v:fill on="t" focussize="0,0"/>
            <v:stroke on="f"/>
            <v:imagedata o:title=""/>
            <o:lock v:ext="edit"/>
          </v:shape>
        </w:pict>
      </w:r>
    </w:p>
    <w:p w14:paraId="43727C48">
      <w:pPr>
        <w:spacing w:before="74" w:line="385" w:lineRule="auto"/>
        <w:ind w:left="42" w:right="82" w:firstLine="459"/>
        <w:rPr>
          <w:rFonts w:ascii="宋体" w:hAnsi="宋体" w:eastAsia="宋体" w:cs="宋体"/>
          <w:sz w:val="23"/>
          <w:szCs w:val="23"/>
        </w:rPr>
      </w:pPr>
      <w:r>
        <w:rPr>
          <w:rFonts w:ascii="宋体" w:hAnsi="宋体" w:eastAsia="宋体" w:cs="宋体"/>
          <w:spacing w:val="24"/>
          <w:sz w:val="23"/>
          <w:szCs w:val="23"/>
        </w:rPr>
        <w:t>⑦</w:t>
      </w:r>
      <w:r>
        <w:rPr>
          <w:rFonts w:ascii="宋体" w:hAnsi="宋体" w:eastAsia="宋体" w:cs="宋体"/>
          <w:spacing w:val="14"/>
          <w:sz w:val="23"/>
          <w:szCs w:val="23"/>
        </w:rPr>
        <w:t>建筑工地脚手架外侧必须用密目式安全网封闭，封闭高度应高出作业面</w:t>
      </w:r>
      <w:r>
        <w:rPr>
          <w:rFonts w:ascii="宋体" w:hAnsi="宋体" w:eastAsia="宋体" w:cs="宋体"/>
          <w:sz w:val="23"/>
          <w:szCs w:val="23"/>
        </w:rPr>
        <w:t xml:space="preserve"> </w:t>
      </w:r>
      <w:r>
        <w:rPr>
          <w:rFonts w:ascii="Times New Roman" w:hAnsi="Times New Roman" w:eastAsia="Times New Roman" w:cs="Times New Roman"/>
          <w:spacing w:val="9"/>
          <w:sz w:val="23"/>
          <w:szCs w:val="23"/>
        </w:rPr>
        <w:t>1</w:t>
      </w:r>
      <w:r>
        <w:rPr>
          <w:rFonts w:ascii="Times New Roman" w:hAnsi="Times New Roman" w:eastAsia="Times New Roman" w:cs="Times New Roman"/>
          <w:spacing w:val="7"/>
          <w:sz w:val="23"/>
          <w:szCs w:val="23"/>
        </w:rPr>
        <w:t>5</w:t>
      </w:r>
      <w:r>
        <w:rPr>
          <w:rFonts w:ascii="Times New Roman" w:hAnsi="Times New Roman" w:eastAsia="Times New Roman" w:cs="Times New Roman"/>
          <w:sz w:val="23"/>
          <w:szCs w:val="23"/>
        </w:rPr>
        <w:t>m</w:t>
      </w:r>
      <w:r>
        <w:rPr>
          <w:rFonts w:ascii="宋体" w:hAnsi="宋体" w:eastAsia="宋体" w:cs="宋体"/>
          <w:spacing w:val="7"/>
          <w:sz w:val="23"/>
          <w:szCs w:val="23"/>
        </w:rPr>
        <w:t>以上，并定期进行清洗保洁。</w:t>
      </w:r>
    </w:p>
    <w:p w14:paraId="3E115F01">
      <w:pPr>
        <w:spacing w:before="131" w:line="225" w:lineRule="auto"/>
        <w:ind w:left="501"/>
        <w:rPr>
          <w:rFonts w:ascii="宋体" w:hAnsi="宋体" w:eastAsia="宋体" w:cs="宋体"/>
          <w:sz w:val="23"/>
          <w:szCs w:val="23"/>
        </w:rPr>
      </w:pPr>
      <w:r>
        <w:rPr>
          <w:rFonts w:ascii="宋体" w:hAnsi="宋体" w:eastAsia="宋体" w:cs="宋体"/>
          <w:spacing w:val="18"/>
          <w:sz w:val="23"/>
          <w:szCs w:val="23"/>
        </w:rPr>
        <w:t>⑧</w:t>
      </w:r>
      <w:r>
        <w:rPr>
          <w:rFonts w:ascii="宋体" w:hAnsi="宋体" w:eastAsia="宋体" w:cs="宋体"/>
          <w:spacing w:val="14"/>
          <w:sz w:val="23"/>
          <w:szCs w:val="23"/>
        </w:rPr>
        <w:t>要</w:t>
      </w:r>
      <w:r>
        <w:rPr>
          <w:rFonts w:ascii="宋体" w:hAnsi="宋体" w:eastAsia="宋体" w:cs="宋体"/>
          <w:spacing w:val="9"/>
          <w:sz w:val="23"/>
          <w:szCs w:val="23"/>
        </w:rPr>
        <w:t>注意堆料的保护，加盖蓬布密封保存，避免造成大范围的空气污染。</w:t>
      </w:r>
    </w:p>
    <w:p w14:paraId="50F825B8">
      <w:pPr>
        <w:spacing w:line="267" w:lineRule="auto"/>
        <w:rPr>
          <w:rFonts w:ascii="Arial"/>
          <w:sz w:val="21"/>
        </w:rPr>
      </w:pPr>
    </w:p>
    <w:p w14:paraId="142AB36C">
      <w:pPr>
        <w:spacing w:before="75" w:line="225" w:lineRule="auto"/>
        <w:ind w:left="501"/>
        <w:rPr>
          <w:rFonts w:ascii="宋体" w:hAnsi="宋体" w:eastAsia="宋体" w:cs="宋体"/>
          <w:sz w:val="23"/>
          <w:szCs w:val="23"/>
        </w:rPr>
      </w:pPr>
      <w:r>
        <w:rPr>
          <w:rFonts w:ascii="宋体" w:hAnsi="宋体" w:eastAsia="宋体" w:cs="宋体"/>
          <w:spacing w:val="7"/>
          <w:sz w:val="23"/>
          <w:szCs w:val="23"/>
        </w:rPr>
        <w:t>⑨控制汽车尾气措施：施工机械汽车尾气污染控制主要可通过加强设备维</w:t>
      </w:r>
      <w:r>
        <w:rPr>
          <w:rFonts w:ascii="宋体" w:hAnsi="宋体" w:eastAsia="宋体" w:cs="宋体"/>
          <w:spacing w:val="4"/>
          <w:sz w:val="23"/>
          <w:szCs w:val="23"/>
        </w:rPr>
        <w:t>护</w:t>
      </w:r>
    </w:p>
    <w:p w14:paraId="5D0F2D62">
      <w:pPr>
        <w:spacing w:before="187" w:line="384" w:lineRule="auto"/>
        <w:ind w:left="22" w:right="82" w:firstLine="1"/>
        <w:rPr>
          <w:rFonts w:ascii="宋体" w:hAnsi="宋体" w:eastAsia="宋体" w:cs="宋体"/>
          <w:sz w:val="23"/>
          <w:szCs w:val="23"/>
        </w:rPr>
      </w:pPr>
      <w:r>
        <w:rPr>
          <w:rFonts w:ascii="宋体" w:hAnsi="宋体" w:eastAsia="宋体" w:cs="宋体"/>
          <w:spacing w:val="8"/>
          <w:sz w:val="23"/>
          <w:szCs w:val="23"/>
        </w:rPr>
        <w:t>和</w:t>
      </w:r>
      <w:r>
        <w:rPr>
          <w:rFonts w:ascii="宋体" w:hAnsi="宋体" w:eastAsia="宋体" w:cs="宋体"/>
          <w:spacing w:val="7"/>
          <w:sz w:val="23"/>
          <w:szCs w:val="23"/>
        </w:rPr>
        <w:t>车辆管理，控制车辆和机械的非使用时间的运行，以及减少车辆空挡等候和减</w:t>
      </w:r>
      <w:r>
        <w:rPr>
          <w:rFonts w:ascii="宋体" w:hAnsi="宋体" w:eastAsia="宋体" w:cs="宋体"/>
          <w:sz w:val="23"/>
          <w:szCs w:val="23"/>
        </w:rPr>
        <w:t xml:space="preserve"> </w:t>
      </w:r>
      <w:r>
        <w:rPr>
          <w:rFonts w:ascii="宋体" w:hAnsi="宋体" w:eastAsia="宋体" w:cs="宋体"/>
          <w:spacing w:val="18"/>
          <w:sz w:val="23"/>
          <w:szCs w:val="23"/>
        </w:rPr>
        <w:t>速</w:t>
      </w:r>
      <w:r>
        <w:rPr>
          <w:rFonts w:ascii="宋体" w:hAnsi="宋体" w:eastAsia="宋体" w:cs="宋体"/>
          <w:spacing w:val="14"/>
          <w:sz w:val="23"/>
          <w:szCs w:val="23"/>
        </w:rPr>
        <w:t>状</w:t>
      </w:r>
      <w:r>
        <w:rPr>
          <w:rFonts w:ascii="宋体" w:hAnsi="宋体" w:eastAsia="宋体" w:cs="宋体"/>
          <w:spacing w:val="9"/>
          <w:sz w:val="23"/>
          <w:szCs w:val="23"/>
        </w:rPr>
        <w:t>态下的运行，提高其利用效率等，以达到减少尾气污染物排放的目的。</w:t>
      </w:r>
    </w:p>
    <w:p w14:paraId="65518F1A">
      <w:pPr>
        <w:spacing w:before="136" w:line="381" w:lineRule="auto"/>
        <w:ind w:left="22" w:right="47" w:firstLine="479"/>
        <w:rPr>
          <w:rFonts w:ascii="宋体" w:hAnsi="宋体" w:eastAsia="宋体" w:cs="宋体"/>
          <w:sz w:val="23"/>
          <w:szCs w:val="23"/>
        </w:rPr>
      </w:pPr>
      <w:r>
        <w:rPr>
          <w:rFonts w:ascii="宋体" w:hAnsi="宋体" w:eastAsia="宋体" w:cs="宋体"/>
          <w:spacing w:val="7"/>
          <w:sz w:val="23"/>
          <w:szCs w:val="23"/>
        </w:rPr>
        <w:t>⑩管理措施：建设单位要与施工承包方签订环保协议，要求其遵守法律法</w:t>
      </w:r>
      <w:r>
        <w:rPr>
          <w:rFonts w:ascii="宋体" w:hAnsi="宋体" w:eastAsia="宋体" w:cs="宋体"/>
          <w:spacing w:val="4"/>
          <w:sz w:val="23"/>
          <w:szCs w:val="23"/>
        </w:rPr>
        <w:t>规</w:t>
      </w:r>
      <w:r>
        <w:rPr>
          <w:rFonts w:ascii="宋体" w:hAnsi="宋体" w:eastAsia="宋体" w:cs="宋体"/>
          <w:sz w:val="23"/>
          <w:szCs w:val="23"/>
        </w:rPr>
        <w:t xml:space="preserve"> </w:t>
      </w:r>
      <w:r>
        <w:rPr>
          <w:rFonts w:ascii="宋体" w:hAnsi="宋体" w:eastAsia="宋体" w:cs="宋体"/>
          <w:spacing w:val="11"/>
          <w:sz w:val="23"/>
          <w:szCs w:val="23"/>
        </w:rPr>
        <w:t>及</w:t>
      </w:r>
      <w:r>
        <w:rPr>
          <w:rFonts w:ascii="宋体" w:hAnsi="宋体" w:eastAsia="宋体" w:cs="宋体"/>
          <w:spacing w:val="8"/>
          <w:sz w:val="23"/>
          <w:szCs w:val="23"/>
        </w:rPr>
        <w:t>其他要求，制定清扫、洒水等制度并指定专人负责。遇有四级以上大风天气，</w:t>
      </w:r>
      <w:r>
        <w:rPr>
          <w:rFonts w:ascii="宋体" w:hAnsi="宋体" w:eastAsia="宋体" w:cs="宋体"/>
          <w:sz w:val="23"/>
          <w:szCs w:val="23"/>
        </w:rPr>
        <w:t xml:space="preserve"> </w:t>
      </w:r>
      <w:r>
        <w:rPr>
          <w:rFonts w:ascii="宋体" w:hAnsi="宋体" w:eastAsia="宋体" w:cs="宋体"/>
          <w:spacing w:val="17"/>
          <w:sz w:val="23"/>
          <w:szCs w:val="23"/>
        </w:rPr>
        <w:t>不</w:t>
      </w:r>
      <w:r>
        <w:rPr>
          <w:rFonts w:ascii="宋体" w:hAnsi="宋体" w:eastAsia="宋体" w:cs="宋体"/>
          <w:spacing w:val="9"/>
          <w:sz w:val="23"/>
          <w:szCs w:val="23"/>
        </w:rPr>
        <w:t>得进行土方回填、转运以及其他可能产生扬尘污染的施工。</w:t>
      </w:r>
    </w:p>
    <w:p w14:paraId="56E5953A">
      <w:pPr>
        <w:spacing w:before="135" w:line="228" w:lineRule="auto"/>
        <w:ind w:left="505"/>
        <w:rPr>
          <w:rFonts w:ascii="宋体" w:hAnsi="宋体" w:eastAsia="宋体" w:cs="宋体"/>
          <w:sz w:val="23"/>
          <w:szCs w:val="23"/>
        </w:rPr>
      </w:pPr>
      <w:r>
        <w:rPr>
          <w:rFonts w:ascii="宋体" w:hAnsi="宋体" w:eastAsia="宋体" w:cs="宋体"/>
          <w:spacing w:val="7"/>
          <w:sz w:val="23"/>
          <w:szCs w:val="23"/>
        </w:rPr>
        <w:t>上述这些措施均是工地防尘常用的措施，也是有效的。根据类比监测结果</w:t>
      </w:r>
      <w:r>
        <w:rPr>
          <w:rFonts w:ascii="宋体" w:hAnsi="宋体" w:eastAsia="宋体" w:cs="宋体"/>
          <w:spacing w:val="1"/>
          <w:sz w:val="23"/>
          <w:szCs w:val="23"/>
        </w:rPr>
        <w:t>可</w:t>
      </w:r>
    </w:p>
    <w:p w14:paraId="7447CA35">
      <w:pPr>
        <w:spacing w:before="186" w:line="381" w:lineRule="auto"/>
        <w:ind w:left="22" w:right="82" w:firstLine="5"/>
        <w:rPr>
          <w:rFonts w:ascii="宋体" w:hAnsi="宋体" w:eastAsia="宋体" w:cs="宋体"/>
          <w:sz w:val="23"/>
          <w:szCs w:val="23"/>
        </w:rPr>
      </w:pPr>
      <w:r>
        <w:rPr>
          <w:rFonts w:ascii="宋体" w:hAnsi="宋体" w:eastAsia="宋体" w:cs="宋体"/>
          <w:spacing w:val="16"/>
          <w:sz w:val="23"/>
          <w:szCs w:val="23"/>
        </w:rPr>
        <w:t>知</w:t>
      </w:r>
      <w:r>
        <w:rPr>
          <w:rFonts w:ascii="宋体" w:hAnsi="宋体" w:eastAsia="宋体" w:cs="宋体"/>
          <w:spacing w:val="9"/>
          <w:sz w:val="23"/>
          <w:szCs w:val="23"/>
        </w:rPr>
        <w:t xml:space="preserve">，洒水对控制施工扬尘很有效，特别是对施工场地 </w:t>
      </w:r>
      <w:r>
        <w:rPr>
          <w:rFonts w:ascii="Times New Roman" w:hAnsi="Times New Roman" w:eastAsia="Times New Roman" w:cs="Times New Roman"/>
          <w:spacing w:val="9"/>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以内降尘效果达</w:t>
      </w:r>
      <w:r>
        <w:rPr>
          <w:rFonts w:ascii="Times New Roman" w:hAnsi="Times New Roman" w:eastAsia="Times New Roman" w:cs="Times New Roman"/>
          <w:spacing w:val="9"/>
          <w:sz w:val="23"/>
          <w:szCs w:val="23"/>
        </w:rPr>
        <w:t>50</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26"/>
          <w:sz w:val="23"/>
          <w:szCs w:val="23"/>
        </w:rPr>
        <w:t>以</w:t>
      </w:r>
      <w:r>
        <w:rPr>
          <w:rFonts w:ascii="宋体" w:hAnsi="宋体" w:eastAsia="宋体" w:cs="宋体"/>
          <w:spacing w:val="22"/>
          <w:sz w:val="23"/>
          <w:szCs w:val="23"/>
        </w:rPr>
        <w:t>上</w:t>
      </w:r>
      <w:r>
        <w:rPr>
          <w:rFonts w:ascii="宋体" w:hAnsi="宋体" w:eastAsia="宋体" w:cs="宋体"/>
          <w:spacing w:val="13"/>
          <w:sz w:val="23"/>
          <w:szCs w:val="23"/>
        </w:rPr>
        <w:t>，同时扬尘影响范围也减少</w:t>
      </w:r>
      <w:r>
        <w:rPr>
          <w:rFonts w:ascii="Times New Roman" w:hAnsi="Times New Roman" w:eastAsia="Times New Roman" w:cs="Times New Roman"/>
          <w:spacing w:val="13"/>
          <w:sz w:val="23"/>
          <w:szCs w:val="23"/>
        </w:rPr>
        <w:t>70</w:t>
      </w:r>
      <w:r>
        <w:rPr>
          <w:rFonts w:ascii="宋体" w:hAnsi="宋体" w:eastAsia="宋体" w:cs="宋体"/>
          <w:spacing w:val="13"/>
          <w:sz w:val="23"/>
          <w:szCs w:val="23"/>
        </w:rPr>
        <w:t>％左右。因此，本项目施工扬尘所采取的措</w:t>
      </w:r>
      <w:r>
        <w:rPr>
          <w:rFonts w:ascii="宋体" w:hAnsi="宋体" w:eastAsia="宋体" w:cs="宋体"/>
          <w:sz w:val="23"/>
          <w:szCs w:val="23"/>
        </w:rPr>
        <w:t xml:space="preserve"> </w:t>
      </w:r>
      <w:r>
        <w:rPr>
          <w:rFonts w:ascii="宋体" w:hAnsi="宋体" w:eastAsia="宋体" w:cs="宋体"/>
          <w:spacing w:val="7"/>
          <w:sz w:val="23"/>
          <w:szCs w:val="23"/>
        </w:rPr>
        <w:t>施是可行的</w:t>
      </w:r>
      <w:r>
        <w:rPr>
          <w:rFonts w:ascii="宋体" w:hAnsi="宋体" w:eastAsia="宋体" w:cs="宋体"/>
          <w:spacing w:val="6"/>
          <w:sz w:val="23"/>
          <w:szCs w:val="23"/>
        </w:rPr>
        <w:t>。</w:t>
      </w:r>
    </w:p>
    <w:p w14:paraId="52F1DB7C">
      <w:pPr>
        <w:spacing w:before="151" w:line="303" w:lineRule="exact"/>
        <w:ind w:left="499"/>
        <w:rPr>
          <w:rFonts w:ascii="宋体" w:hAnsi="宋体" w:eastAsia="宋体" w:cs="宋体"/>
          <w:sz w:val="23"/>
          <w:szCs w:val="23"/>
        </w:rPr>
      </w:pPr>
      <w:r>
        <w:rPr>
          <w:rFonts w:ascii="Times New Roman" w:hAnsi="Times New Roman" w:eastAsia="Times New Roman" w:cs="Times New Roman"/>
          <w:spacing w:val="-2"/>
          <w:position w:val="1"/>
          <w:sz w:val="23"/>
          <w:szCs w:val="23"/>
        </w:rPr>
        <w:t>2</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、汽车尾气</w:t>
      </w:r>
    </w:p>
    <w:p w14:paraId="731FD6CB">
      <w:pPr>
        <w:spacing w:line="264" w:lineRule="auto"/>
        <w:rPr>
          <w:rFonts w:ascii="Arial"/>
          <w:sz w:val="21"/>
        </w:rPr>
      </w:pPr>
    </w:p>
    <w:p w14:paraId="6A548B81">
      <w:pPr>
        <w:spacing w:before="75" w:line="398" w:lineRule="auto"/>
        <w:ind w:left="23" w:right="82" w:firstLine="482"/>
        <w:rPr>
          <w:rFonts w:ascii="宋体" w:hAnsi="宋体" w:eastAsia="宋体" w:cs="宋体"/>
          <w:sz w:val="23"/>
          <w:szCs w:val="23"/>
        </w:rPr>
      </w:pPr>
      <w:r>
        <w:rPr>
          <w:rFonts w:ascii="宋体" w:hAnsi="宋体" w:eastAsia="宋体" w:cs="宋体"/>
          <w:spacing w:val="12"/>
          <w:sz w:val="23"/>
          <w:szCs w:val="23"/>
        </w:rPr>
        <w:t>为减轻项</w:t>
      </w:r>
      <w:r>
        <w:rPr>
          <w:rFonts w:ascii="宋体" w:hAnsi="宋体" w:eastAsia="宋体" w:cs="宋体"/>
          <w:spacing w:val="8"/>
          <w:sz w:val="23"/>
          <w:szCs w:val="23"/>
        </w:rPr>
        <w:t>目</w:t>
      </w:r>
      <w:r>
        <w:rPr>
          <w:rFonts w:ascii="宋体" w:hAnsi="宋体" w:eastAsia="宋体" w:cs="宋体"/>
          <w:spacing w:val="6"/>
          <w:sz w:val="23"/>
          <w:szCs w:val="23"/>
        </w:rPr>
        <w:t>施工期间汽车尾气对周围环境空气及居民的影响，建设单位拟加</w:t>
      </w:r>
      <w:r>
        <w:rPr>
          <w:rFonts w:ascii="宋体" w:hAnsi="宋体" w:eastAsia="宋体" w:cs="宋体"/>
          <w:sz w:val="23"/>
          <w:szCs w:val="23"/>
        </w:rPr>
        <w:t xml:space="preserve"> </w:t>
      </w:r>
      <w:r>
        <w:rPr>
          <w:rFonts w:ascii="宋体" w:hAnsi="宋体" w:eastAsia="宋体" w:cs="宋体"/>
          <w:spacing w:val="9"/>
          <w:sz w:val="23"/>
          <w:szCs w:val="23"/>
        </w:rPr>
        <w:t>强</w:t>
      </w:r>
      <w:r>
        <w:rPr>
          <w:rFonts w:ascii="宋体" w:hAnsi="宋体" w:eastAsia="宋体" w:cs="宋体"/>
          <w:spacing w:val="7"/>
          <w:sz w:val="23"/>
          <w:szCs w:val="23"/>
        </w:rPr>
        <w:t>设备维护和车辆管理，控制车辆和施工机械的非使用时间的运行，减少车辆空</w:t>
      </w:r>
      <w:r>
        <w:rPr>
          <w:rFonts w:ascii="宋体" w:hAnsi="宋体" w:eastAsia="宋体" w:cs="宋体"/>
          <w:sz w:val="23"/>
          <w:szCs w:val="23"/>
        </w:rPr>
        <w:t xml:space="preserve"> </w:t>
      </w:r>
      <w:r>
        <w:rPr>
          <w:rFonts w:ascii="宋体" w:hAnsi="宋体" w:eastAsia="宋体" w:cs="宋体"/>
          <w:spacing w:val="9"/>
          <w:sz w:val="23"/>
          <w:szCs w:val="23"/>
        </w:rPr>
        <w:t>挡</w:t>
      </w:r>
      <w:r>
        <w:rPr>
          <w:rFonts w:ascii="宋体" w:hAnsi="宋体" w:eastAsia="宋体" w:cs="宋体"/>
          <w:spacing w:val="7"/>
          <w:sz w:val="23"/>
          <w:szCs w:val="23"/>
        </w:rPr>
        <w:t>等候和减速状态下的运行，避免因施工而造成交通堵塞，减少因此产生的废气</w:t>
      </w:r>
      <w:r>
        <w:rPr>
          <w:rFonts w:ascii="宋体" w:hAnsi="宋体" w:eastAsia="宋体" w:cs="宋体"/>
          <w:sz w:val="23"/>
          <w:szCs w:val="23"/>
        </w:rPr>
        <w:t xml:space="preserve"> </w:t>
      </w:r>
      <w:r>
        <w:rPr>
          <w:rFonts w:ascii="宋体" w:hAnsi="宋体" w:eastAsia="宋体" w:cs="宋体"/>
          <w:spacing w:val="10"/>
          <w:sz w:val="23"/>
          <w:szCs w:val="23"/>
        </w:rPr>
        <w:t>怠</w:t>
      </w:r>
      <w:r>
        <w:rPr>
          <w:rFonts w:ascii="宋体" w:hAnsi="宋体" w:eastAsia="宋体" w:cs="宋体"/>
          <w:spacing w:val="9"/>
          <w:sz w:val="23"/>
          <w:szCs w:val="23"/>
        </w:rPr>
        <w:t>速排放，最大限度的减少尾气污染物的排放。</w:t>
      </w:r>
    </w:p>
    <w:p w14:paraId="73349F23">
      <w:pPr>
        <w:spacing w:before="76" w:line="226" w:lineRule="auto"/>
        <w:ind w:left="25"/>
        <w:outlineLvl w:val="2"/>
        <w:rPr>
          <w:rFonts w:ascii="宋体" w:hAnsi="宋体" w:eastAsia="宋体" w:cs="宋体"/>
          <w:sz w:val="29"/>
          <w:szCs w:val="29"/>
        </w:rPr>
      </w:pPr>
      <w:r>
        <w:rPr>
          <w:rFonts w:ascii="Times New Roman" w:hAnsi="Times New Roman" w:eastAsia="Times New Roman" w:cs="Times New Roman"/>
          <w:b/>
          <w:bCs/>
          <w:spacing w:val="12"/>
          <w:sz w:val="29"/>
          <w:szCs w:val="29"/>
        </w:rPr>
        <w:t>6</w:t>
      </w:r>
      <w:r>
        <w:rPr>
          <w:rFonts w:ascii="Times New Roman" w:hAnsi="Times New Roman" w:eastAsia="Times New Roman" w:cs="Times New Roman"/>
          <w:b/>
          <w:bCs/>
          <w:spacing w:val="7"/>
          <w:sz w:val="29"/>
          <w:szCs w:val="29"/>
        </w:rPr>
        <w:t>.1.2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施工期废水防治措施</w:t>
      </w:r>
    </w:p>
    <w:p w14:paraId="60B7AD4E">
      <w:pPr>
        <w:spacing w:line="265" w:lineRule="auto"/>
        <w:rPr>
          <w:rFonts w:ascii="Arial"/>
          <w:sz w:val="21"/>
        </w:rPr>
      </w:pPr>
    </w:p>
    <w:p w14:paraId="367ECE08">
      <w:pPr>
        <w:spacing w:before="75" w:line="397" w:lineRule="auto"/>
        <w:ind w:left="25" w:firstLine="480"/>
        <w:rPr>
          <w:rFonts w:ascii="宋体" w:hAnsi="宋体" w:eastAsia="宋体" w:cs="宋体"/>
          <w:sz w:val="23"/>
          <w:szCs w:val="23"/>
        </w:rPr>
      </w:pPr>
      <w:r>
        <w:rPr>
          <w:rFonts w:ascii="宋体" w:hAnsi="宋体" w:eastAsia="宋体" w:cs="宋体"/>
          <w:spacing w:val="12"/>
          <w:sz w:val="23"/>
          <w:szCs w:val="23"/>
        </w:rPr>
        <w:t>工程施工</w:t>
      </w:r>
      <w:r>
        <w:rPr>
          <w:rFonts w:ascii="宋体" w:hAnsi="宋体" w:eastAsia="宋体" w:cs="宋体"/>
          <w:spacing w:val="8"/>
          <w:sz w:val="23"/>
          <w:szCs w:val="23"/>
        </w:rPr>
        <w:t>期</w:t>
      </w:r>
      <w:r>
        <w:rPr>
          <w:rFonts w:ascii="宋体" w:hAnsi="宋体" w:eastAsia="宋体" w:cs="宋体"/>
          <w:spacing w:val="6"/>
          <w:sz w:val="23"/>
          <w:szCs w:val="23"/>
        </w:rPr>
        <w:t>间，严禁污水乱排和污染道路、环境等。项目施工期设置隔油沉</w:t>
      </w:r>
      <w:r>
        <w:rPr>
          <w:rFonts w:ascii="宋体" w:hAnsi="宋体" w:eastAsia="宋体" w:cs="宋体"/>
          <w:sz w:val="23"/>
          <w:szCs w:val="23"/>
        </w:rPr>
        <w:t xml:space="preserve"> </w:t>
      </w:r>
      <w:r>
        <w:rPr>
          <w:rFonts w:ascii="宋体" w:hAnsi="宋体" w:eastAsia="宋体" w:cs="宋体"/>
          <w:spacing w:val="7"/>
          <w:sz w:val="23"/>
          <w:szCs w:val="23"/>
        </w:rPr>
        <w:t>淀池，施工设备清洗废水经隔油、沉淀处理后用于施工场地降尘。施工人员生活</w:t>
      </w:r>
      <w:r>
        <w:rPr>
          <w:rFonts w:ascii="宋体" w:hAnsi="宋体" w:eastAsia="宋体" w:cs="宋体"/>
          <w:sz w:val="23"/>
          <w:szCs w:val="23"/>
        </w:rPr>
        <w:t xml:space="preserve"> </w:t>
      </w:r>
      <w:r>
        <w:rPr>
          <w:rFonts w:ascii="宋体" w:hAnsi="宋体" w:eastAsia="宋体" w:cs="宋体"/>
          <w:spacing w:val="4"/>
          <w:sz w:val="23"/>
          <w:szCs w:val="23"/>
        </w:rPr>
        <w:t>污水排入防渗旱厕，定</w:t>
      </w:r>
      <w:r>
        <w:rPr>
          <w:rFonts w:ascii="宋体" w:hAnsi="宋体" w:eastAsia="宋体" w:cs="宋体"/>
          <w:spacing w:val="3"/>
          <w:sz w:val="23"/>
          <w:szCs w:val="23"/>
        </w:rPr>
        <w:t>期</w:t>
      </w:r>
      <w:r>
        <w:rPr>
          <w:rFonts w:ascii="宋体" w:hAnsi="宋体" w:eastAsia="宋体" w:cs="宋体"/>
          <w:spacing w:val="2"/>
          <w:sz w:val="23"/>
          <w:szCs w:val="23"/>
        </w:rPr>
        <w:t>清掏。建材 (包括废弃建材) 、弃渣、生活垃圾的堆放、</w:t>
      </w:r>
      <w:r>
        <w:rPr>
          <w:rFonts w:ascii="宋体" w:hAnsi="宋体" w:eastAsia="宋体" w:cs="宋体"/>
          <w:sz w:val="23"/>
          <w:szCs w:val="23"/>
        </w:rPr>
        <w:t xml:space="preserve"> </w:t>
      </w:r>
      <w:r>
        <w:rPr>
          <w:rFonts w:ascii="宋体" w:hAnsi="宋体" w:eastAsia="宋体" w:cs="宋体"/>
          <w:spacing w:val="11"/>
          <w:sz w:val="23"/>
          <w:szCs w:val="23"/>
        </w:rPr>
        <w:t>弃</w:t>
      </w:r>
      <w:r>
        <w:rPr>
          <w:rFonts w:ascii="宋体" w:hAnsi="宋体" w:eastAsia="宋体" w:cs="宋体"/>
          <w:spacing w:val="9"/>
          <w:sz w:val="23"/>
          <w:szCs w:val="23"/>
        </w:rPr>
        <w:t>置点必须经地方环保部门的同意，严禁乱堆、乱弃。</w:t>
      </w:r>
    </w:p>
    <w:p w14:paraId="5CD1F0C3">
      <w:pPr>
        <w:spacing w:before="137" w:line="227" w:lineRule="auto"/>
        <w:ind w:left="509"/>
        <w:rPr>
          <w:rFonts w:ascii="宋体" w:hAnsi="宋体" w:eastAsia="宋体" w:cs="宋体"/>
          <w:sz w:val="23"/>
          <w:szCs w:val="23"/>
        </w:rPr>
      </w:pPr>
      <w:r>
        <w:rPr>
          <w:rFonts w:ascii="宋体" w:hAnsi="宋体" w:eastAsia="宋体" w:cs="宋体"/>
          <w:spacing w:val="12"/>
          <w:sz w:val="23"/>
          <w:szCs w:val="23"/>
        </w:rPr>
        <w:t>管线施</w:t>
      </w:r>
      <w:r>
        <w:rPr>
          <w:rFonts w:ascii="宋体" w:hAnsi="宋体" w:eastAsia="宋体" w:cs="宋体"/>
          <w:spacing w:val="11"/>
          <w:sz w:val="23"/>
          <w:szCs w:val="23"/>
        </w:rPr>
        <w:t>工</w:t>
      </w:r>
      <w:r>
        <w:rPr>
          <w:rFonts w:ascii="宋体" w:hAnsi="宋体" w:eastAsia="宋体" w:cs="宋体"/>
          <w:spacing w:val="6"/>
          <w:sz w:val="23"/>
          <w:szCs w:val="23"/>
        </w:rPr>
        <w:t>过程中注意维护污水管材质量，不得使用出现裂纹、接口缺损的管</w:t>
      </w:r>
    </w:p>
    <w:p w14:paraId="727BB19A">
      <w:pPr>
        <w:spacing w:before="208" w:line="400" w:lineRule="auto"/>
        <w:ind w:left="24" w:right="47" w:hanging="1"/>
        <w:rPr>
          <w:rFonts w:ascii="宋体" w:hAnsi="宋体" w:eastAsia="宋体" w:cs="宋体"/>
          <w:sz w:val="23"/>
          <w:szCs w:val="23"/>
        </w:rPr>
      </w:pPr>
      <w:r>
        <w:rPr>
          <w:rFonts w:ascii="宋体" w:hAnsi="宋体" w:eastAsia="宋体" w:cs="宋体"/>
          <w:spacing w:val="10"/>
          <w:sz w:val="23"/>
          <w:szCs w:val="23"/>
        </w:rPr>
        <w:t>材</w:t>
      </w:r>
      <w:r>
        <w:rPr>
          <w:rFonts w:ascii="宋体" w:hAnsi="宋体" w:eastAsia="宋体" w:cs="宋体"/>
          <w:spacing w:val="8"/>
          <w:sz w:val="23"/>
          <w:szCs w:val="23"/>
        </w:rPr>
        <w:t>，接口处施工保持良好的密封性能，以防污水管线投入使用后出现污水渗漏，</w:t>
      </w:r>
      <w:r>
        <w:rPr>
          <w:rFonts w:ascii="宋体" w:hAnsi="宋体" w:eastAsia="宋体" w:cs="宋体"/>
          <w:sz w:val="23"/>
          <w:szCs w:val="23"/>
        </w:rPr>
        <w:t xml:space="preserve"> </w:t>
      </w:r>
      <w:r>
        <w:rPr>
          <w:rFonts w:ascii="宋体" w:hAnsi="宋体" w:eastAsia="宋体" w:cs="宋体"/>
          <w:spacing w:val="7"/>
          <w:sz w:val="23"/>
          <w:szCs w:val="23"/>
        </w:rPr>
        <w:t>污染地下水系</w:t>
      </w:r>
      <w:r>
        <w:rPr>
          <w:rFonts w:ascii="宋体" w:hAnsi="宋体" w:eastAsia="宋体" w:cs="宋体"/>
          <w:spacing w:val="6"/>
          <w:sz w:val="23"/>
          <w:szCs w:val="23"/>
        </w:rPr>
        <w:t>。</w:t>
      </w:r>
    </w:p>
    <w:p w14:paraId="3BA522BB">
      <w:pPr>
        <w:sectPr>
          <w:headerReference r:id="rId261" w:type="default"/>
          <w:footerReference r:id="rId262" w:type="default"/>
          <w:pgSz w:w="11906" w:h="16839"/>
          <w:pgMar w:top="1132" w:right="1716" w:bottom="1182" w:left="1785" w:header="878" w:footer="1022" w:gutter="0"/>
          <w:cols w:space="720" w:num="1"/>
        </w:sectPr>
      </w:pPr>
    </w:p>
    <w:p w14:paraId="248C5D41">
      <w:pPr>
        <w:spacing w:line="418" w:lineRule="auto"/>
        <w:rPr>
          <w:rFonts w:ascii="Arial"/>
          <w:sz w:val="21"/>
        </w:rPr>
      </w:pPr>
      <w:r>
        <w:pict>
          <v:shape id="_x0000_s1298" o:spid="_x0000_s1298" style="position:absolute;left:0pt;margin-left:90pt;margin-top:57.35pt;height:0.75pt;width:415.3pt;mso-position-horizontal-relative:page;mso-position-vertical-relative:page;z-index:251951104;mso-width-relative:page;mso-height-relative:page;" fillcolor="#000000" filled="t" stroked="f" coordsize="8305,15" o:allowincell="f" path="m0,0l8305,0,8305,14,0,14,0,0xe">
            <v:path/>
            <v:fill on="t" focussize="0,0"/>
            <v:stroke on="f"/>
            <v:imagedata o:title=""/>
            <o:lock v:ext="edit"/>
          </v:shape>
        </w:pict>
      </w:r>
    </w:p>
    <w:p w14:paraId="01792453">
      <w:pPr>
        <w:spacing w:before="75" w:line="396" w:lineRule="auto"/>
        <w:ind w:left="23" w:firstLine="483"/>
        <w:rPr>
          <w:rFonts w:ascii="宋体" w:hAnsi="宋体" w:eastAsia="宋体" w:cs="宋体"/>
          <w:sz w:val="23"/>
          <w:szCs w:val="23"/>
        </w:rPr>
      </w:pPr>
      <w:r>
        <w:rPr>
          <w:rFonts w:ascii="宋体" w:hAnsi="宋体" w:eastAsia="宋体" w:cs="宋体"/>
          <w:spacing w:val="16"/>
          <w:sz w:val="23"/>
          <w:szCs w:val="23"/>
        </w:rPr>
        <w:t>设</w:t>
      </w:r>
      <w:r>
        <w:rPr>
          <w:rFonts w:ascii="宋体" w:hAnsi="宋体" w:eastAsia="宋体" w:cs="宋体"/>
          <w:spacing w:val="13"/>
          <w:sz w:val="23"/>
          <w:szCs w:val="23"/>
        </w:rPr>
        <w:t>置</w:t>
      </w:r>
      <w:r>
        <w:rPr>
          <w:rFonts w:ascii="宋体" w:hAnsi="宋体" w:eastAsia="宋体" w:cs="宋体"/>
          <w:spacing w:val="8"/>
          <w:sz w:val="23"/>
          <w:szCs w:val="23"/>
        </w:rPr>
        <w:t>车轮冲洗平台，完善排水设施，防止泥土粘带。施工期间，应在物料、</w:t>
      </w:r>
      <w:r>
        <w:rPr>
          <w:rFonts w:ascii="宋体" w:hAnsi="宋体" w:eastAsia="宋体" w:cs="宋体"/>
          <w:sz w:val="23"/>
          <w:szCs w:val="23"/>
        </w:rPr>
        <w:t xml:space="preserve"> </w:t>
      </w:r>
      <w:r>
        <w:rPr>
          <w:rFonts w:ascii="宋体" w:hAnsi="宋体" w:eastAsia="宋体" w:cs="宋体"/>
          <w:spacing w:val="9"/>
          <w:sz w:val="23"/>
          <w:szCs w:val="23"/>
        </w:rPr>
        <w:t>渣</w:t>
      </w:r>
      <w:r>
        <w:rPr>
          <w:rFonts w:ascii="宋体" w:hAnsi="宋体" w:eastAsia="宋体" w:cs="宋体"/>
          <w:spacing w:val="7"/>
          <w:sz w:val="23"/>
          <w:szCs w:val="23"/>
        </w:rPr>
        <w:t>土、垃圾运输车辆的出口内侧设置车轮冲洗平台，车辆驶离工地前，应在车轮</w:t>
      </w:r>
      <w:r>
        <w:rPr>
          <w:rFonts w:ascii="宋体" w:hAnsi="宋体" w:eastAsia="宋体" w:cs="宋体"/>
          <w:sz w:val="23"/>
          <w:szCs w:val="23"/>
        </w:rPr>
        <w:t xml:space="preserve"> </w:t>
      </w:r>
      <w:r>
        <w:rPr>
          <w:rFonts w:ascii="宋体" w:hAnsi="宋体" w:eastAsia="宋体" w:cs="宋体"/>
          <w:spacing w:val="9"/>
          <w:sz w:val="23"/>
          <w:szCs w:val="23"/>
        </w:rPr>
        <w:t>冲</w:t>
      </w:r>
      <w:r>
        <w:rPr>
          <w:rFonts w:ascii="宋体" w:hAnsi="宋体" w:eastAsia="宋体" w:cs="宋体"/>
          <w:spacing w:val="7"/>
          <w:sz w:val="23"/>
          <w:szCs w:val="23"/>
        </w:rPr>
        <w:t>洗平台清洗轮胎，不得带泥上路。车轮冲洗平台四周应设置防溢座、废水导流</w:t>
      </w:r>
      <w:r>
        <w:rPr>
          <w:rFonts w:ascii="宋体" w:hAnsi="宋体" w:eastAsia="宋体" w:cs="宋体"/>
          <w:sz w:val="23"/>
          <w:szCs w:val="23"/>
        </w:rPr>
        <w:t xml:space="preserve"> </w:t>
      </w:r>
      <w:r>
        <w:rPr>
          <w:rFonts w:ascii="宋体" w:hAnsi="宋体" w:eastAsia="宋体" w:cs="宋体"/>
          <w:spacing w:val="9"/>
          <w:sz w:val="23"/>
          <w:szCs w:val="23"/>
        </w:rPr>
        <w:t>渠</w:t>
      </w:r>
      <w:r>
        <w:rPr>
          <w:rFonts w:ascii="宋体" w:hAnsi="宋体" w:eastAsia="宋体" w:cs="宋体"/>
          <w:spacing w:val="7"/>
          <w:sz w:val="23"/>
          <w:szCs w:val="23"/>
        </w:rPr>
        <w:t>、废水收集池、沉砂池及其它防治设施，收集车轮冲洗、施工以及降水过程中</w:t>
      </w:r>
      <w:r>
        <w:rPr>
          <w:rFonts w:ascii="宋体" w:hAnsi="宋体" w:eastAsia="宋体" w:cs="宋体"/>
          <w:sz w:val="23"/>
          <w:szCs w:val="23"/>
        </w:rPr>
        <w:t xml:space="preserve"> </w:t>
      </w:r>
      <w:r>
        <w:rPr>
          <w:rFonts w:ascii="宋体" w:hAnsi="宋体" w:eastAsia="宋体" w:cs="宋体"/>
          <w:spacing w:val="8"/>
          <w:sz w:val="23"/>
          <w:szCs w:val="23"/>
        </w:rPr>
        <w:t>产生的废水和泥浆</w:t>
      </w:r>
      <w:r>
        <w:rPr>
          <w:rFonts w:ascii="宋体" w:hAnsi="宋体" w:eastAsia="宋体" w:cs="宋体"/>
          <w:spacing w:val="6"/>
          <w:sz w:val="23"/>
          <w:szCs w:val="23"/>
        </w:rPr>
        <w:t>。</w:t>
      </w:r>
    </w:p>
    <w:p w14:paraId="29670A60">
      <w:pPr>
        <w:spacing w:before="137" w:line="400" w:lineRule="auto"/>
        <w:ind w:left="46" w:right="53" w:firstLine="486"/>
        <w:rPr>
          <w:rFonts w:ascii="宋体" w:hAnsi="宋体" w:eastAsia="宋体" w:cs="宋体"/>
          <w:sz w:val="23"/>
          <w:szCs w:val="23"/>
        </w:rPr>
      </w:pPr>
      <w:r>
        <w:rPr>
          <w:rFonts w:ascii="宋体" w:hAnsi="宋体" w:eastAsia="宋体" w:cs="宋体"/>
          <w:spacing w:val="6"/>
          <w:sz w:val="23"/>
          <w:szCs w:val="23"/>
        </w:rPr>
        <w:t>由于项目施工内容较少，施工期持续时间短，在采取上述措施后，施工过</w:t>
      </w:r>
      <w:r>
        <w:rPr>
          <w:rFonts w:ascii="宋体" w:hAnsi="宋体" w:eastAsia="宋体" w:cs="宋体"/>
          <w:spacing w:val="5"/>
          <w:sz w:val="23"/>
          <w:szCs w:val="23"/>
        </w:rPr>
        <w:t>程</w:t>
      </w:r>
      <w:r>
        <w:rPr>
          <w:rFonts w:ascii="宋体" w:hAnsi="宋体" w:eastAsia="宋体" w:cs="宋体"/>
          <w:sz w:val="23"/>
          <w:szCs w:val="23"/>
        </w:rPr>
        <w:t xml:space="preserve"> </w:t>
      </w:r>
      <w:r>
        <w:rPr>
          <w:rFonts w:ascii="宋体" w:hAnsi="宋体" w:eastAsia="宋体" w:cs="宋体"/>
          <w:spacing w:val="14"/>
          <w:sz w:val="23"/>
          <w:szCs w:val="23"/>
        </w:rPr>
        <w:t>中</w:t>
      </w:r>
      <w:r>
        <w:rPr>
          <w:rFonts w:ascii="宋体" w:hAnsi="宋体" w:eastAsia="宋体" w:cs="宋体"/>
          <w:spacing w:val="9"/>
          <w:sz w:val="23"/>
          <w:szCs w:val="23"/>
        </w:rPr>
        <w:t>产</w:t>
      </w:r>
      <w:r>
        <w:rPr>
          <w:rFonts w:ascii="宋体" w:hAnsi="宋体" w:eastAsia="宋体" w:cs="宋体"/>
          <w:spacing w:val="7"/>
          <w:sz w:val="23"/>
          <w:szCs w:val="23"/>
        </w:rPr>
        <w:t>生废水对周围环境不会造成影响。</w:t>
      </w:r>
    </w:p>
    <w:p w14:paraId="264B8DF7">
      <w:pPr>
        <w:spacing w:before="80" w:line="226" w:lineRule="auto"/>
        <w:ind w:left="25"/>
        <w:outlineLvl w:val="2"/>
        <w:rPr>
          <w:rFonts w:ascii="宋体" w:hAnsi="宋体" w:eastAsia="宋体" w:cs="宋体"/>
          <w:sz w:val="29"/>
          <w:szCs w:val="29"/>
        </w:rPr>
      </w:pPr>
      <w:r>
        <w:rPr>
          <w:rFonts w:ascii="Times New Roman" w:hAnsi="Times New Roman" w:eastAsia="Times New Roman" w:cs="Times New Roman"/>
          <w:b/>
          <w:bCs/>
          <w:spacing w:val="12"/>
          <w:sz w:val="29"/>
          <w:szCs w:val="29"/>
        </w:rPr>
        <w:t>6</w:t>
      </w:r>
      <w:r>
        <w:rPr>
          <w:rFonts w:ascii="Times New Roman" w:hAnsi="Times New Roman" w:eastAsia="Times New Roman" w:cs="Times New Roman"/>
          <w:b/>
          <w:bCs/>
          <w:spacing w:val="7"/>
          <w:sz w:val="29"/>
          <w:szCs w:val="29"/>
        </w:rPr>
        <w:t>.1.3</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施工期噪声防治措施</w:t>
      </w:r>
    </w:p>
    <w:p w14:paraId="070E59A5">
      <w:pPr>
        <w:spacing w:line="263" w:lineRule="auto"/>
        <w:rPr>
          <w:rFonts w:ascii="Arial"/>
          <w:sz w:val="21"/>
        </w:rPr>
      </w:pPr>
    </w:p>
    <w:p w14:paraId="1EA54BFA">
      <w:pPr>
        <w:spacing w:before="74" w:line="227" w:lineRule="auto"/>
        <w:ind w:left="506"/>
        <w:rPr>
          <w:rFonts w:ascii="宋体" w:hAnsi="宋体" w:eastAsia="宋体" w:cs="宋体"/>
          <w:sz w:val="23"/>
          <w:szCs w:val="23"/>
        </w:rPr>
      </w:pPr>
      <w:r>
        <w:rPr>
          <w:rFonts w:ascii="宋体" w:hAnsi="宋体" w:eastAsia="宋体" w:cs="宋体"/>
          <w:spacing w:val="9"/>
          <w:sz w:val="23"/>
          <w:szCs w:val="23"/>
        </w:rPr>
        <w:t>为了使场界噪声达标排放，环评要求采取以下措施：</w:t>
      </w:r>
    </w:p>
    <w:p w14:paraId="7EBF4837">
      <w:pPr>
        <w:spacing w:line="287" w:lineRule="auto"/>
        <w:rPr>
          <w:rFonts w:ascii="Arial"/>
          <w:sz w:val="21"/>
        </w:rPr>
      </w:pPr>
    </w:p>
    <w:p w14:paraId="44C060D8">
      <w:pPr>
        <w:spacing w:before="75" w:line="401" w:lineRule="auto"/>
        <w:ind w:left="21" w:right="18" w:firstLine="480"/>
        <w:rPr>
          <w:rFonts w:ascii="宋体" w:hAnsi="宋体" w:eastAsia="宋体" w:cs="宋体"/>
          <w:sz w:val="23"/>
          <w:szCs w:val="23"/>
        </w:rPr>
      </w:pPr>
      <w:r>
        <w:rPr>
          <w:rFonts w:ascii="宋体" w:hAnsi="宋体" w:eastAsia="宋体" w:cs="宋体"/>
          <w:spacing w:val="8"/>
          <w:sz w:val="23"/>
          <w:szCs w:val="23"/>
        </w:rPr>
        <w:t>①对固定高噪声设备采取搭建临时隔声设施，并尽量设置在远离居民安放</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8"/>
          <w:sz w:val="23"/>
          <w:szCs w:val="23"/>
        </w:rPr>
        <w:t>避免施工噪声扰民。</w:t>
      </w:r>
    </w:p>
    <w:p w14:paraId="6BF65BB5">
      <w:pPr>
        <w:spacing w:before="137" w:line="400" w:lineRule="auto"/>
        <w:ind w:left="24" w:right="53" w:firstLine="477"/>
        <w:rPr>
          <w:rFonts w:ascii="宋体" w:hAnsi="宋体" w:eastAsia="宋体" w:cs="宋体"/>
          <w:sz w:val="23"/>
          <w:szCs w:val="23"/>
        </w:rPr>
      </w:pPr>
      <w:r>
        <w:rPr>
          <w:rFonts w:ascii="宋体" w:hAnsi="宋体" w:eastAsia="宋体" w:cs="宋体"/>
          <w:spacing w:val="7"/>
          <w:sz w:val="23"/>
          <w:szCs w:val="23"/>
        </w:rPr>
        <w:t>②要求建设单位使用商品混凝土，不得在施工工地搅拌混凝土，混凝土需</w:t>
      </w:r>
      <w:r>
        <w:rPr>
          <w:rFonts w:ascii="宋体" w:hAnsi="宋体" w:eastAsia="宋体" w:cs="宋体"/>
          <w:spacing w:val="4"/>
          <w:sz w:val="23"/>
          <w:szCs w:val="23"/>
        </w:rPr>
        <w:t>要</w:t>
      </w:r>
      <w:r>
        <w:rPr>
          <w:rFonts w:ascii="宋体" w:hAnsi="宋体" w:eastAsia="宋体" w:cs="宋体"/>
          <w:sz w:val="23"/>
          <w:szCs w:val="23"/>
        </w:rPr>
        <w:t xml:space="preserve"> </w:t>
      </w:r>
      <w:r>
        <w:rPr>
          <w:rFonts w:ascii="宋体" w:hAnsi="宋体" w:eastAsia="宋体" w:cs="宋体"/>
          <w:spacing w:val="16"/>
          <w:sz w:val="23"/>
          <w:szCs w:val="23"/>
        </w:rPr>
        <w:t>连</w:t>
      </w:r>
      <w:r>
        <w:rPr>
          <w:rFonts w:ascii="宋体" w:hAnsi="宋体" w:eastAsia="宋体" w:cs="宋体"/>
          <w:spacing w:val="9"/>
          <w:sz w:val="23"/>
          <w:szCs w:val="23"/>
        </w:rPr>
        <w:t>续</w:t>
      </w:r>
      <w:r>
        <w:rPr>
          <w:rFonts w:ascii="宋体" w:hAnsi="宋体" w:eastAsia="宋体" w:cs="宋体"/>
          <w:spacing w:val="8"/>
          <w:sz w:val="23"/>
          <w:szCs w:val="23"/>
        </w:rPr>
        <w:t>浇注的必须办理夜间施工证。</w:t>
      </w:r>
    </w:p>
    <w:p w14:paraId="2D5BD4ED">
      <w:pPr>
        <w:spacing w:before="137" w:line="399" w:lineRule="auto"/>
        <w:ind w:left="22" w:right="18" w:firstLine="479"/>
        <w:rPr>
          <w:rFonts w:ascii="宋体" w:hAnsi="宋体" w:eastAsia="宋体" w:cs="宋体"/>
          <w:sz w:val="23"/>
          <w:szCs w:val="23"/>
        </w:rPr>
      </w:pPr>
      <w:r>
        <w:rPr>
          <w:rFonts w:ascii="宋体" w:hAnsi="宋体" w:eastAsia="宋体" w:cs="宋体"/>
          <w:spacing w:val="8"/>
          <w:sz w:val="23"/>
          <w:szCs w:val="23"/>
        </w:rPr>
        <w:t>③合理安排施工计划，避免产生噪声大的设备同时开启；要选用较先进的，</w:t>
      </w:r>
      <w:r>
        <w:rPr>
          <w:rFonts w:ascii="宋体" w:hAnsi="宋体" w:eastAsia="宋体" w:cs="宋体"/>
          <w:sz w:val="23"/>
          <w:szCs w:val="23"/>
        </w:rPr>
        <w:t xml:space="preserve"> </w:t>
      </w:r>
      <w:r>
        <w:rPr>
          <w:rFonts w:ascii="宋体" w:hAnsi="宋体" w:eastAsia="宋体" w:cs="宋体"/>
          <w:spacing w:val="9"/>
          <w:sz w:val="23"/>
          <w:szCs w:val="23"/>
        </w:rPr>
        <w:t>噪</w:t>
      </w:r>
      <w:r>
        <w:rPr>
          <w:rFonts w:ascii="宋体" w:hAnsi="宋体" w:eastAsia="宋体" w:cs="宋体"/>
          <w:spacing w:val="7"/>
          <w:sz w:val="23"/>
          <w:szCs w:val="23"/>
        </w:rPr>
        <w:t>声较小的施工设备，采取设置临时标准围挡，缩短一次开机时间、避免集中作</w:t>
      </w:r>
      <w:r>
        <w:rPr>
          <w:rFonts w:ascii="宋体" w:hAnsi="宋体" w:eastAsia="宋体" w:cs="宋体"/>
          <w:sz w:val="23"/>
          <w:szCs w:val="23"/>
        </w:rPr>
        <w:t xml:space="preserve"> </w:t>
      </w:r>
      <w:r>
        <w:rPr>
          <w:rFonts w:ascii="宋体" w:hAnsi="宋体" w:eastAsia="宋体" w:cs="宋体"/>
          <w:spacing w:val="18"/>
          <w:sz w:val="23"/>
          <w:szCs w:val="23"/>
        </w:rPr>
        <w:t>业</w:t>
      </w:r>
      <w:r>
        <w:rPr>
          <w:rFonts w:ascii="宋体" w:hAnsi="宋体" w:eastAsia="宋体" w:cs="宋体"/>
          <w:spacing w:val="13"/>
          <w:sz w:val="23"/>
          <w:szCs w:val="23"/>
        </w:rPr>
        <w:t>等</w:t>
      </w:r>
      <w:r>
        <w:rPr>
          <w:rFonts w:ascii="宋体" w:hAnsi="宋体" w:eastAsia="宋体" w:cs="宋体"/>
          <w:spacing w:val="9"/>
          <w:sz w:val="23"/>
          <w:szCs w:val="23"/>
        </w:rPr>
        <w:t>减少噪声污染的必要防护措施，将施工噪声的影响减小到最低限度。</w:t>
      </w:r>
    </w:p>
    <w:p w14:paraId="3D6A6EB5">
      <w:pPr>
        <w:spacing w:before="137" w:line="398" w:lineRule="auto"/>
        <w:ind w:left="21" w:right="53" w:firstLine="480"/>
        <w:rPr>
          <w:rFonts w:ascii="宋体" w:hAnsi="宋体" w:eastAsia="宋体" w:cs="宋体"/>
          <w:sz w:val="23"/>
          <w:szCs w:val="23"/>
        </w:rPr>
      </w:pPr>
      <w:r>
        <w:rPr>
          <w:rFonts w:ascii="宋体" w:hAnsi="宋体" w:eastAsia="宋体" w:cs="宋体"/>
          <w:spacing w:val="10"/>
          <w:sz w:val="23"/>
          <w:szCs w:val="23"/>
        </w:rPr>
        <w:t>④</w:t>
      </w:r>
      <w:r>
        <w:rPr>
          <w:rFonts w:ascii="宋体" w:hAnsi="宋体" w:eastAsia="宋体" w:cs="宋体"/>
          <w:spacing w:val="6"/>
          <w:sz w:val="23"/>
          <w:szCs w:val="23"/>
        </w:rPr>
        <w:t xml:space="preserve">严禁在 </w:t>
      </w:r>
      <w:r>
        <w:rPr>
          <w:rFonts w:ascii="Times New Roman" w:hAnsi="Times New Roman" w:eastAsia="Times New Roman" w:cs="Times New Roman"/>
          <w:spacing w:val="6"/>
          <w:sz w:val="23"/>
          <w:szCs w:val="23"/>
        </w:rPr>
        <w:t xml:space="preserve">22 </w:t>
      </w:r>
      <w:r>
        <w:rPr>
          <w:rFonts w:ascii="宋体" w:hAnsi="宋体" w:eastAsia="宋体" w:cs="宋体"/>
          <w:spacing w:val="6"/>
          <w:sz w:val="23"/>
          <w:szCs w:val="23"/>
        </w:rPr>
        <w:t xml:space="preserve">时至次日 </w:t>
      </w:r>
      <w:r>
        <w:rPr>
          <w:rFonts w:ascii="Times New Roman" w:hAnsi="Times New Roman" w:eastAsia="Times New Roman" w:cs="Times New Roman"/>
          <w:spacing w:val="6"/>
          <w:sz w:val="23"/>
          <w:szCs w:val="23"/>
        </w:rPr>
        <w:t xml:space="preserve">6 </w:t>
      </w:r>
      <w:r>
        <w:rPr>
          <w:rFonts w:ascii="宋体" w:hAnsi="宋体" w:eastAsia="宋体" w:cs="宋体"/>
          <w:spacing w:val="6"/>
          <w:sz w:val="23"/>
          <w:szCs w:val="23"/>
        </w:rPr>
        <w:t>时之间进行各种施工作业，需连续施工作业的必须</w:t>
      </w:r>
      <w:r>
        <w:rPr>
          <w:rFonts w:ascii="宋体" w:hAnsi="宋体" w:eastAsia="宋体" w:cs="宋体"/>
          <w:sz w:val="23"/>
          <w:szCs w:val="23"/>
        </w:rPr>
        <w:t xml:space="preserve"> </w:t>
      </w:r>
      <w:r>
        <w:rPr>
          <w:rFonts w:ascii="宋体" w:hAnsi="宋体" w:eastAsia="宋体" w:cs="宋体"/>
          <w:spacing w:val="10"/>
          <w:sz w:val="23"/>
          <w:szCs w:val="23"/>
        </w:rPr>
        <w:t>在</w:t>
      </w:r>
      <w:r>
        <w:rPr>
          <w:rFonts w:ascii="宋体" w:hAnsi="宋体" w:eastAsia="宋体" w:cs="宋体"/>
          <w:spacing w:val="6"/>
          <w:sz w:val="23"/>
          <w:szCs w:val="23"/>
        </w:rPr>
        <w:t>开</w:t>
      </w:r>
      <w:r>
        <w:rPr>
          <w:rFonts w:ascii="宋体" w:hAnsi="宋体" w:eastAsia="宋体" w:cs="宋体"/>
          <w:spacing w:val="5"/>
          <w:sz w:val="23"/>
          <w:szCs w:val="23"/>
        </w:rPr>
        <w:t xml:space="preserve">工前到环保行政主管部门办理夜间施工审批，施工前应提前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天对周围居民</w:t>
      </w:r>
      <w:r>
        <w:rPr>
          <w:rFonts w:ascii="宋体" w:hAnsi="宋体" w:eastAsia="宋体" w:cs="宋体"/>
          <w:sz w:val="23"/>
          <w:szCs w:val="23"/>
        </w:rPr>
        <w:t xml:space="preserve"> </w:t>
      </w:r>
      <w:r>
        <w:rPr>
          <w:rFonts w:ascii="宋体" w:hAnsi="宋体" w:eastAsia="宋体" w:cs="宋体"/>
          <w:spacing w:val="12"/>
          <w:sz w:val="23"/>
          <w:szCs w:val="23"/>
        </w:rPr>
        <w:t>进</w:t>
      </w:r>
      <w:r>
        <w:rPr>
          <w:rFonts w:ascii="宋体" w:hAnsi="宋体" w:eastAsia="宋体" w:cs="宋体"/>
          <w:spacing w:val="9"/>
          <w:sz w:val="23"/>
          <w:szCs w:val="23"/>
        </w:rPr>
        <w:t>行公示。加强施工管理，减少人为噪声产生。</w:t>
      </w:r>
    </w:p>
    <w:p w14:paraId="1B894650">
      <w:pPr>
        <w:spacing w:before="136" w:line="401" w:lineRule="auto"/>
        <w:ind w:left="25" w:right="53" w:firstLine="476"/>
        <w:rPr>
          <w:rFonts w:ascii="宋体" w:hAnsi="宋体" w:eastAsia="宋体" w:cs="宋体"/>
          <w:sz w:val="23"/>
          <w:szCs w:val="23"/>
        </w:rPr>
      </w:pPr>
      <w:r>
        <w:rPr>
          <w:rFonts w:ascii="宋体" w:hAnsi="宋体" w:eastAsia="宋体" w:cs="宋体"/>
          <w:spacing w:val="7"/>
          <w:sz w:val="23"/>
          <w:szCs w:val="23"/>
        </w:rPr>
        <w:t>⑤尽量采用低噪声的施工工具，如以液压工具代替气压工具，同时尽可能</w:t>
      </w:r>
      <w:r>
        <w:rPr>
          <w:rFonts w:ascii="宋体" w:hAnsi="宋体" w:eastAsia="宋体" w:cs="宋体"/>
          <w:spacing w:val="4"/>
          <w:sz w:val="23"/>
          <w:szCs w:val="23"/>
        </w:rPr>
        <w:t>采</w:t>
      </w:r>
      <w:r>
        <w:rPr>
          <w:rFonts w:ascii="宋体" w:hAnsi="宋体" w:eastAsia="宋体" w:cs="宋体"/>
          <w:sz w:val="23"/>
          <w:szCs w:val="23"/>
        </w:rPr>
        <w:t xml:space="preserve"> </w:t>
      </w:r>
      <w:r>
        <w:rPr>
          <w:rFonts w:ascii="宋体" w:hAnsi="宋体" w:eastAsia="宋体" w:cs="宋体"/>
          <w:spacing w:val="10"/>
          <w:sz w:val="23"/>
          <w:szCs w:val="23"/>
        </w:rPr>
        <w:t>用</w:t>
      </w:r>
      <w:r>
        <w:rPr>
          <w:rFonts w:ascii="宋体" w:hAnsi="宋体" w:eastAsia="宋体" w:cs="宋体"/>
          <w:spacing w:val="8"/>
          <w:sz w:val="23"/>
          <w:szCs w:val="23"/>
        </w:rPr>
        <w:t>施工噪声低的施工方法。</w:t>
      </w:r>
    </w:p>
    <w:p w14:paraId="60EA1D72">
      <w:pPr>
        <w:spacing w:before="139" w:line="398" w:lineRule="auto"/>
        <w:ind w:left="21" w:right="53" w:firstLine="480"/>
        <w:rPr>
          <w:rFonts w:ascii="宋体" w:hAnsi="宋体" w:eastAsia="宋体" w:cs="宋体"/>
          <w:sz w:val="23"/>
          <w:szCs w:val="23"/>
        </w:rPr>
      </w:pPr>
      <w:r>
        <w:rPr>
          <w:rFonts w:ascii="宋体" w:hAnsi="宋体" w:eastAsia="宋体" w:cs="宋体"/>
          <w:spacing w:val="7"/>
          <w:sz w:val="23"/>
          <w:szCs w:val="23"/>
        </w:rPr>
        <w:t>⑥运输车辆经过附近居民住宅时要慢行减速，严格禁止进、出项目的所有</w:t>
      </w:r>
      <w:r>
        <w:rPr>
          <w:rFonts w:ascii="宋体" w:hAnsi="宋体" w:eastAsia="宋体" w:cs="宋体"/>
          <w:spacing w:val="4"/>
          <w:sz w:val="23"/>
          <w:szCs w:val="23"/>
        </w:rPr>
        <w:t>运</w:t>
      </w:r>
      <w:r>
        <w:rPr>
          <w:rFonts w:ascii="宋体" w:hAnsi="宋体" w:eastAsia="宋体" w:cs="宋体"/>
          <w:sz w:val="23"/>
          <w:szCs w:val="23"/>
        </w:rPr>
        <w:t xml:space="preserve"> </w:t>
      </w:r>
      <w:r>
        <w:rPr>
          <w:rFonts w:ascii="宋体" w:hAnsi="宋体" w:eastAsia="宋体" w:cs="宋体"/>
          <w:spacing w:val="10"/>
          <w:sz w:val="23"/>
          <w:szCs w:val="23"/>
        </w:rPr>
        <w:t>输</w:t>
      </w:r>
      <w:r>
        <w:rPr>
          <w:rFonts w:ascii="宋体" w:hAnsi="宋体" w:eastAsia="宋体" w:cs="宋体"/>
          <w:spacing w:val="7"/>
          <w:sz w:val="23"/>
          <w:szCs w:val="23"/>
        </w:rPr>
        <w:t>车辆鸣喇叭，尽量压缩工区的车流量和行车密度，避免施工噪声影响附近居民</w:t>
      </w:r>
      <w:r>
        <w:rPr>
          <w:rFonts w:ascii="宋体" w:hAnsi="宋体" w:eastAsia="宋体" w:cs="宋体"/>
          <w:sz w:val="23"/>
          <w:szCs w:val="23"/>
        </w:rPr>
        <w:t xml:space="preserve"> </w:t>
      </w:r>
      <w:r>
        <w:rPr>
          <w:rFonts w:ascii="宋体" w:hAnsi="宋体" w:eastAsia="宋体" w:cs="宋体"/>
          <w:spacing w:val="4"/>
          <w:sz w:val="23"/>
          <w:szCs w:val="23"/>
        </w:rPr>
        <w:t>休息。</w:t>
      </w:r>
    </w:p>
    <w:p w14:paraId="4F9704E6">
      <w:pPr>
        <w:spacing w:before="137" w:line="227" w:lineRule="auto"/>
        <w:ind w:left="502"/>
        <w:rPr>
          <w:rFonts w:ascii="宋体" w:hAnsi="宋体" w:eastAsia="宋体" w:cs="宋体"/>
          <w:sz w:val="23"/>
          <w:szCs w:val="23"/>
        </w:rPr>
      </w:pPr>
      <w:r>
        <w:rPr>
          <w:rFonts w:ascii="宋体" w:hAnsi="宋体" w:eastAsia="宋体" w:cs="宋体"/>
          <w:spacing w:val="7"/>
          <w:sz w:val="23"/>
          <w:szCs w:val="23"/>
        </w:rPr>
        <w:t>在采取上述措施后，将最大限度减少项目施工噪声对周围环境的影响，施</w:t>
      </w:r>
      <w:r>
        <w:rPr>
          <w:rFonts w:ascii="宋体" w:hAnsi="宋体" w:eastAsia="宋体" w:cs="宋体"/>
          <w:spacing w:val="3"/>
          <w:sz w:val="23"/>
          <w:szCs w:val="23"/>
        </w:rPr>
        <w:t>工</w:t>
      </w:r>
    </w:p>
    <w:p w14:paraId="7A60946A">
      <w:pPr>
        <w:sectPr>
          <w:headerReference r:id="rId263" w:type="default"/>
          <w:footerReference r:id="rId264" w:type="default"/>
          <w:pgSz w:w="11906" w:h="16839"/>
          <w:pgMar w:top="1132" w:right="1745" w:bottom="1182" w:left="1785" w:header="878" w:footer="1022" w:gutter="0"/>
          <w:cols w:space="720" w:num="1"/>
        </w:sectPr>
      </w:pPr>
    </w:p>
    <w:p w14:paraId="056AC341">
      <w:pPr>
        <w:spacing w:line="416" w:lineRule="auto"/>
        <w:rPr>
          <w:rFonts w:ascii="Arial"/>
          <w:sz w:val="21"/>
        </w:rPr>
      </w:pPr>
      <w:r>
        <w:pict>
          <v:shape id="_x0000_s1299" o:spid="_x0000_s1299" style="position:absolute;left:0pt;margin-left:90pt;margin-top:57.35pt;height:0.75pt;width:415.3pt;mso-position-horizontal-relative:page;mso-position-vertical-relative:page;z-index:251952128;mso-width-relative:page;mso-height-relative:page;" fillcolor="#000000" filled="t" stroked="f" coordsize="8305,15" o:allowincell="f" path="m0,0l8305,0,8305,14,0,14,0,0xe">
            <v:path/>
            <v:fill on="t" focussize="0,0"/>
            <v:stroke on="f"/>
            <v:imagedata o:title=""/>
            <o:lock v:ext="edit"/>
          </v:shape>
        </w:pict>
      </w:r>
    </w:p>
    <w:p w14:paraId="3697D5D8">
      <w:pPr>
        <w:spacing w:before="75" w:line="227" w:lineRule="auto"/>
        <w:ind w:left="26"/>
        <w:rPr>
          <w:rFonts w:ascii="宋体" w:hAnsi="宋体" w:eastAsia="宋体" w:cs="宋体"/>
          <w:sz w:val="23"/>
          <w:szCs w:val="23"/>
        </w:rPr>
      </w:pPr>
      <w:r>
        <w:rPr>
          <w:rFonts w:ascii="宋体" w:hAnsi="宋体" w:eastAsia="宋体" w:cs="宋体"/>
          <w:spacing w:val="14"/>
          <w:sz w:val="23"/>
          <w:szCs w:val="23"/>
        </w:rPr>
        <w:t>期产生</w:t>
      </w:r>
      <w:r>
        <w:rPr>
          <w:rFonts w:ascii="宋体" w:hAnsi="宋体" w:eastAsia="宋体" w:cs="宋体"/>
          <w:spacing w:val="9"/>
          <w:sz w:val="23"/>
          <w:szCs w:val="23"/>
        </w:rPr>
        <w:t>的</w:t>
      </w:r>
      <w:r>
        <w:rPr>
          <w:rFonts w:ascii="宋体" w:hAnsi="宋体" w:eastAsia="宋体" w:cs="宋体"/>
          <w:spacing w:val="7"/>
          <w:sz w:val="23"/>
          <w:szCs w:val="23"/>
        </w:rPr>
        <w:t>噪声可满足《建筑施工场界环境噪声排放标准》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12523-2011</w:t>
      </w:r>
      <w:r>
        <w:rPr>
          <w:rFonts w:ascii="宋体" w:hAnsi="宋体" w:eastAsia="宋体" w:cs="宋体"/>
          <w:spacing w:val="7"/>
          <w:sz w:val="23"/>
          <w:szCs w:val="23"/>
        </w:rPr>
        <w:t>) 要</w:t>
      </w:r>
    </w:p>
    <w:p w14:paraId="56AA7C13">
      <w:pPr>
        <w:spacing w:before="206" w:line="229" w:lineRule="auto"/>
        <w:ind w:left="25"/>
        <w:rPr>
          <w:rFonts w:ascii="宋体" w:hAnsi="宋体" w:eastAsia="宋体" w:cs="宋体"/>
          <w:sz w:val="23"/>
          <w:szCs w:val="23"/>
        </w:rPr>
      </w:pPr>
      <w:r>
        <w:rPr>
          <w:rFonts w:ascii="宋体" w:hAnsi="宋体" w:eastAsia="宋体" w:cs="宋体"/>
          <w:spacing w:val="9"/>
          <w:sz w:val="23"/>
          <w:szCs w:val="23"/>
        </w:rPr>
        <w:t>求，对场界声环境及敏感点声环境的影响可接受。</w:t>
      </w:r>
    </w:p>
    <w:p w14:paraId="7E23347D">
      <w:pPr>
        <w:spacing w:before="302" w:line="226" w:lineRule="auto"/>
        <w:ind w:left="25"/>
        <w:outlineLvl w:val="2"/>
        <w:rPr>
          <w:rFonts w:ascii="宋体" w:hAnsi="宋体" w:eastAsia="宋体" w:cs="宋体"/>
          <w:sz w:val="29"/>
          <w:szCs w:val="29"/>
        </w:rPr>
      </w:pPr>
      <w:r>
        <w:rPr>
          <w:rFonts w:ascii="Times New Roman" w:hAnsi="Times New Roman" w:eastAsia="Times New Roman" w:cs="Times New Roman"/>
          <w:b/>
          <w:bCs/>
          <w:spacing w:val="8"/>
          <w:sz w:val="29"/>
          <w:szCs w:val="29"/>
        </w:rPr>
        <w:t>6.1.4</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施工期固体废物防治措</w:t>
      </w:r>
      <w:r>
        <w:rPr>
          <w:rFonts w:ascii="宋体" w:hAnsi="宋体" w:eastAsia="宋体" w:cs="宋体"/>
          <w:spacing w:val="4"/>
          <w:sz w:val="29"/>
          <w:szCs w:val="29"/>
          <w14:textOutline w14:w="5448" w14:cap="sq" w14:cmpd="sng">
            <w14:solidFill>
              <w14:srgbClr w14:val="000000"/>
            </w14:solidFill>
            <w14:prstDash w14:val="solid"/>
            <w14:bevel/>
          </w14:textOutline>
        </w:rPr>
        <w:t>施</w:t>
      </w:r>
    </w:p>
    <w:p w14:paraId="14884104">
      <w:pPr>
        <w:spacing w:line="266" w:lineRule="auto"/>
        <w:rPr>
          <w:rFonts w:ascii="Arial"/>
          <w:sz w:val="21"/>
        </w:rPr>
      </w:pPr>
    </w:p>
    <w:p w14:paraId="72507289">
      <w:pPr>
        <w:spacing w:before="75" w:line="398" w:lineRule="auto"/>
        <w:ind w:left="28" w:right="80" w:firstLine="486"/>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施工人员产生的生活垃圾要求集中收集后定期交由环卫部门统一清运</w:t>
      </w:r>
      <w:r>
        <w:rPr>
          <w:rFonts w:ascii="宋体" w:hAnsi="宋体" w:eastAsia="宋体" w:cs="宋体"/>
          <w:sz w:val="23"/>
          <w:szCs w:val="23"/>
        </w:rPr>
        <w:t xml:space="preserve"> </w:t>
      </w:r>
      <w:r>
        <w:rPr>
          <w:rFonts w:ascii="宋体" w:hAnsi="宋体" w:eastAsia="宋体" w:cs="宋体"/>
          <w:spacing w:val="7"/>
          <w:sz w:val="23"/>
          <w:szCs w:val="23"/>
        </w:rPr>
        <w:t>处理，施工建设过程中产生的建筑垃圾、废弃装饰建筑材料要求集中收集，尽</w:t>
      </w:r>
      <w:r>
        <w:rPr>
          <w:rFonts w:ascii="宋体" w:hAnsi="宋体" w:eastAsia="宋体" w:cs="宋体"/>
          <w:spacing w:val="4"/>
          <w:sz w:val="23"/>
          <w:szCs w:val="23"/>
        </w:rPr>
        <w:t>量</w:t>
      </w:r>
      <w:r>
        <w:rPr>
          <w:rFonts w:ascii="宋体" w:hAnsi="宋体" w:eastAsia="宋体" w:cs="宋体"/>
          <w:sz w:val="23"/>
          <w:szCs w:val="23"/>
        </w:rPr>
        <w:t xml:space="preserve"> </w:t>
      </w:r>
      <w:r>
        <w:rPr>
          <w:rFonts w:ascii="宋体" w:hAnsi="宋体" w:eastAsia="宋体" w:cs="宋体"/>
          <w:spacing w:val="16"/>
          <w:sz w:val="23"/>
          <w:szCs w:val="23"/>
        </w:rPr>
        <w:t>回</w:t>
      </w:r>
      <w:r>
        <w:rPr>
          <w:rFonts w:ascii="宋体" w:hAnsi="宋体" w:eastAsia="宋体" w:cs="宋体"/>
          <w:spacing w:val="11"/>
          <w:sz w:val="23"/>
          <w:szCs w:val="23"/>
        </w:rPr>
        <w:t>用</w:t>
      </w:r>
      <w:r>
        <w:rPr>
          <w:rFonts w:ascii="宋体" w:hAnsi="宋体" w:eastAsia="宋体" w:cs="宋体"/>
          <w:spacing w:val="8"/>
          <w:sz w:val="23"/>
          <w:szCs w:val="23"/>
        </w:rPr>
        <w:t>，不能回用的送至建筑垃圾填埋场。</w:t>
      </w:r>
    </w:p>
    <w:p w14:paraId="549B7A9C">
      <w:pPr>
        <w:spacing w:before="136" w:line="400" w:lineRule="auto"/>
        <w:ind w:left="22" w:right="82" w:firstLine="492"/>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建筑垃圾的清运应当采用封闭式车辆，禁止随意抛撒。不得在运输过</w:t>
      </w:r>
      <w:r>
        <w:rPr>
          <w:rFonts w:ascii="宋体" w:hAnsi="宋体" w:eastAsia="宋体" w:cs="宋体"/>
          <w:sz w:val="23"/>
          <w:szCs w:val="23"/>
        </w:rPr>
        <w:t xml:space="preserve"> </w:t>
      </w:r>
      <w:r>
        <w:rPr>
          <w:rFonts w:ascii="宋体" w:hAnsi="宋体" w:eastAsia="宋体" w:cs="宋体"/>
          <w:spacing w:val="16"/>
          <w:sz w:val="23"/>
          <w:szCs w:val="23"/>
        </w:rPr>
        <w:t>程</w:t>
      </w:r>
      <w:r>
        <w:rPr>
          <w:rFonts w:ascii="宋体" w:hAnsi="宋体" w:eastAsia="宋体" w:cs="宋体"/>
          <w:spacing w:val="9"/>
          <w:sz w:val="23"/>
          <w:szCs w:val="23"/>
        </w:rPr>
        <w:t>中</w:t>
      </w:r>
      <w:r>
        <w:rPr>
          <w:rFonts w:ascii="宋体" w:hAnsi="宋体" w:eastAsia="宋体" w:cs="宋体"/>
          <w:spacing w:val="8"/>
          <w:sz w:val="23"/>
          <w:szCs w:val="23"/>
        </w:rPr>
        <w:t>沿途丢弃、遗撒固体废物。</w:t>
      </w:r>
    </w:p>
    <w:p w14:paraId="7AA3FAEC">
      <w:pPr>
        <w:spacing w:before="138" w:line="404" w:lineRule="auto"/>
        <w:ind w:left="24" w:right="82" w:firstLine="490"/>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3</w:t>
      </w:r>
      <w:r>
        <w:rPr>
          <w:rFonts w:ascii="宋体" w:hAnsi="宋体" w:eastAsia="宋体" w:cs="宋体"/>
          <w:spacing w:val="13"/>
          <w:sz w:val="23"/>
          <w:szCs w:val="23"/>
        </w:rPr>
        <w:t>) 施工机械的机修油污集中处理，揩擦有油污的固体废弃物等不得随地</w:t>
      </w:r>
      <w:r>
        <w:rPr>
          <w:rFonts w:ascii="宋体" w:hAnsi="宋体" w:eastAsia="宋体" w:cs="宋体"/>
          <w:sz w:val="23"/>
          <w:szCs w:val="23"/>
        </w:rPr>
        <w:t xml:space="preserve"> </w:t>
      </w:r>
      <w:r>
        <w:rPr>
          <w:rFonts w:ascii="宋体" w:hAnsi="宋体" w:eastAsia="宋体" w:cs="宋体"/>
          <w:spacing w:val="13"/>
          <w:sz w:val="23"/>
          <w:szCs w:val="23"/>
        </w:rPr>
        <w:t>乱</w:t>
      </w:r>
      <w:r>
        <w:rPr>
          <w:rFonts w:ascii="宋体" w:hAnsi="宋体" w:eastAsia="宋体" w:cs="宋体"/>
          <w:spacing w:val="7"/>
          <w:sz w:val="23"/>
          <w:szCs w:val="23"/>
        </w:rPr>
        <w:t>扔，应集中处理。</w:t>
      </w:r>
    </w:p>
    <w:p w14:paraId="656CCDC5">
      <w:pPr>
        <w:spacing w:before="130" w:line="398" w:lineRule="auto"/>
        <w:ind w:left="24" w:right="80" w:firstLine="490"/>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按计划和施工的操作规程，严格控制并尽量减少余下的物料。一旦有</w:t>
      </w:r>
      <w:r>
        <w:rPr>
          <w:rFonts w:ascii="宋体" w:hAnsi="宋体" w:eastAsia="宋体" w:cs="宋体"/>
          <w:sz w:val="23"/>
          <w:szCs w:val="23"/>
        </w:rPr>
        <w:t xml:space="preserve"> </w:t>
      </w:r>
      <w:r>
        <w:rPr>
          <w:rFonts w:ascii="宋体" w:hAnsi="宋体" w:eastAsia="宋体" w:cs="宋体"/>
          <w:spacing w:val="8"/>
          <w:sz w:val="23"/>
          <w:szCs w:val="23"/>
        </w:rPr>
        <w:t>余</w:t>
      </w:r>
      <w:r>
        <w:rPr>
          <w:rFonts w:ascii="宋体" w:hAnsi="宋体" w:eastAsia="宋体" w:cs="宋体"/>
          <w:spacing w:val="7"/>
          <w:sz w:val="23"/>
          <w:szCs w:val="23"/>
        </w:rPr>
        <w:t>下的材料，将其有序地存放好，妥善保管，可供周边地区修补乡村道路或建筑</w:t>
      </w:r>
      <w:r>
        <w:rPr>
          <w:rFonts w:ascii="宋体" w:hAnsi="宋体" w:eastAsia="宋体" w:cs="宋体"/>
          <w:sz w:val="23"/>
          <w:szCs w:val="23"/>
        </w:rPr>
        <w:t xml:space="preserve"> </w:t>
      </w:r>
      <w:r>
        <w:rPr>
          <w:rFonts w:ascii="宋体" w:hAnsi="宋体" w:eastAsia="宋体" w:cs="宋体"/>
          <w:spacing w:val="3"/>
          <w:sz w:val="23"/>
          <w:szCs w:val="23"/>
        </w:rPr>
        <w:t>使用。</w:t>
      </w:r>
    </w:p>
    <w:p w14:paraId="45ECAEA4">
      <w:pPr>
        <w:spacing w:before="138" w:line="400" w:lineRule="auto"/>
        <w:ind w:left="29" w:right="82" w:firstLine="485"/>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5</w:t>
      </w:r>
      <w:r>
        <w:rPr>
          <w:rFonts w:ascii="宋体" w:hAnsi="宋体" w:eastAsia="宋体" w:cs="宋体"/>
          <w:spacing w:val="13"/>
          <w:sz w:val="23"/>
          <w:szCs w:val="23"/>
        </w:rPr>
        <w:t>) 对收集、贮存、运输、处置固体废物的设施、设备和场所，应当加强</w:t>
      </w:r>
      <w:r>
        <w:rPr>
          <w:rFonts w:ascii="宋体" w:hAnsi="宋体" w:eastAsia="宋体" w:cs="宋体"/>
          <w:sz w:val="23"/>
          <w:szCs w:val="23"/>
        </w:rPr>
        <w:t xml:space="preserve"> </w:t>
      </w:r>
      <w:r>
        <w:rPr>
          <w:rFonts w:ascii="宋体" w:hAnsi="宋体" w:eastAsia="宋体" w:cs="宋体"/>
          <w:spacing w:val="16"/>
          <w:sz w:val="23"/>
          <w:szCs w:val="23"/>
        </w:rPr>
        <w:t>管</w:t>
      </w:r>
      <w:r>
        <w:rPr>
          <w:rFonts w:ascii="宋体" w:hAnsi="宋体" w:eastAsia="宋体" w:cs="宋体"/>
          <w:spacing w:val="8"/>
          <w:sz w:val="23"/>
          <w:szCs w:val="23"/>
        </w:rPr>
        <w:t>理和维护，保证其正常运行和使用。</w:t>
      </w:r>
    </w:p>
    <w:p w14:paraId="0FA13765">
      <w:pPr>
        <w:spacing w:before="94" w:line="406" w:lineRule="auto"/>
        <w:ind w:left="23" w:right="77" w:firstLine="483"/>
        <w:rPr>
          <w:rFonts w:ascii="宋体" w:hAnsi="宋体" w:eastAsia="宋体" w:cs="宋体"/>
          <w:sz w:val="23"/>
          <w:szCs w:val="23"/>
        </w:rPr>
      </w:pPr>
      <w:r>
        <w:rPr>
          <w:rFonts w:ascii="宋体" w:hAnsi="宋体" w:eastAsia="宋体" w:cs="宋体"/>
          <w:spacing w:val="10"/>
          <w:sz w:val="23"/>
          <w:szCs w:val="23"/>
        </w:rPr>
        <w:t>项目施工期</w:t>
      </w:r>
      <w:r>
        <w:rPr>
          <w:rFonts w:ascii="宋体" w:hAnsi="宋体" w:eastAsia="宋体" w:cs="宋体"/>
          <w:spacing w:val="6"/>
          <w:sz w:val="23"/>
          <w:szCs w:val="23"/>
        </w:rPr>
        <w:t>固</w:t>
      </w:r>
      <w:r>
        <w:rPr>
          <w:rFonts w:ascii="宋体" w:hAnsi="宋体" w:eastAsia="宋体" w:cs="宋体"/>
          <w:spacing w:val="5"/>
          <w:sz w:val="23"/>
          <w:szCs w:val="23"/>
        </w:rPr>
        <w:t xml:space="preserve">体废物处置率为 </w:t>
      </w:r>
      <w:r>
        <w:rPr>
          <w:rFonts w:ascii="Times New Roman" w:hAnsi="Times New Roman" w:eastAsia="Times New Roman" w:cs="Times New Roman"/>
          <w:spacing w:val="5"/>
          <w:sz w:val="23"/>
          <w:szCs w:val="23"/>
        </w:rPr>
        <w:t xml:space="preserve">100% </w:t>
      </w:r>
      <w:r>
        <w:rPr>
          <w:rFonts w:ascii="宋体" w:hAnsi="宋体" w:eastAsia="宋体" w:cs="宋体"/>
          <w:spacing w:val="5"/>
          <w:sz w:val="23"/>
          <w:szCs w:val="23"/>
        </w:rPr>
        <w:t>，施工期产生的固体废物对周围环境的</w:t>
      </w:r>
      <w:r>
        <w:rPr>
          <w:rFonts w:ascii="宋体" w:hAnsi="宋体" w:eastAsia="宋体" w:cs="宋体"/>
          <w:sz w:val="23"/>
          <w:szCs w:val="23"/>
        </w:rPr>
        <w:t xml:space="preserve"> </w:t>
      </w:r>
      <w:r>
        <w:rPr>
          <w:rFonts w:ascii="宋体" w:hAnsi="宋体" w:eastAsia="宋体" w:cs="宋体"/>
          <w:spacing w:val="10"/>
          <w:sz w:val="23"/>
          <w:szCs w:val="23"/>
        </w:rPr>
        <w:t>影</w:t>
      </w:r>
      <w:r>
        <w:rPr>
          <w:rFonts w:ascii="宋体" w:hAnsi="宋体" w:eastAsia="宋体" w:cs="宋体"/>
          <w:spacing w:val="6"/>
          <w:sz w:val="23"/>
          <w:szCs w:val="23"/>
        </w:rPr>
        <w:t>响可接受。</w:t>
      </w:r>
    </w:p>
    <w:p w14:paraId="21B5B63E">
      <w:pPr>
        <w:spacing w:before="112" w:line="226" w:lineRule="auto"/>
        <w:ind w:left="25"/>
        <w:outlineLvl w:val="2"/>
        <w:rPr>
          <w:rFonts w:ascii="宋体" w:hAnsi="宋体" w:eastAsia="宋体" w:cs="宋体"/>
          <w:sz w:val="29"/>
          <w:szCs w:val="29"/>
        </w:rPr>
      </w:pPr>
      <w:r>
        <w:rPr>
          <w:rFonts w:ascii="Times New Roman" w:hAnsi="Times New Roman" w:eastAsia="Times New Roman" w:cs="Times New Roman"/>
          <w:b/>
          <w:bCs/>
          <w:spacing w:val="7"/>
          <w:sz w:val="29"/>
          <w:szCs w:val="29"/>
        </w:rPr>
        <w:t>6.1.5</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生态环境保护措</w:t>
      </w:r>
      <w:r>
        <w:rPr>
          <w:rFonts w:ascii="宋体" w:hAnsi="宋体" w:eastAsia="宋体" w:cs="宋体"/>
          <w:spacing w:val="6"/>
          <w:sz w:val="29"/>
          <w:szCs w:val="29"/>
          <w14:textOutline w14:w="5448" w14:cap="sq" w14:cmpd="sng">
            <w14:solidFill>
              <w14:srgbClr w14:val="000000"/>
            </w14:solidFill>
            <w14:prstDash w14:val="solid"/>
            <w14:bevel/>
          </w14:textOutline>
        </w:rPr>
        <w:t>施</w:t>
      </w:r>
    </w:p>
    <w:p w14:paraId="2E15611C">
      <w:pPr>
        <w:spacing w:line="262" w:lineRule="auto"/>
        <w:rPr>
          <w:rFonts w:ascii="Arial"/>
          <w:sz w:val="21"/>
        </w:rPr>
      </w:pPr>
    </w:p>
    <w:p w14:paraId="2D9CD9FE">
      <w:pPr>
        <w:spacing w:before="75" w:line="228" w:lineRule="auto"/>
        <w:ind w:left="514"/>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施工现场周围生态环境保护措施</w:t>
      </w:r>
    </w:p>
    <w:p w14:paraId="729B854A">
      <w:pPr>
        <w:spacing w:line="285" w:lineRule="auto"/>
        <w:rPr>
          <w:rFonts w:ascii="Arial"/>
          <w:sz w:val="21"/>
        </w:rPr>
      </w:pPr>
    </w:p>
    <w:p w14:paraId="7BC0B814">
      <w:pPr>
        <w:spacing w:before="75" w:line="398" w:lineRule="auto"/>
        <w:ind w:left="24" w:firstLine="478"/>
        <w:rPr>
          <w:rFonts w:ascii="宋体" w:hAnsi="宋体" w:eastAsia="宋体" w:cs="宋体"/>
          <w:sz w:val="23"/>
          <w:szCs w:val="23"/>
        </w:rPr>
      </w:pPr>
      <w:r>
        <w:rPr>
          <w:rFonts w:ascii="宋体" w:hAnsi="宋体" w:eastAsia="宋体" w:cs="宋体"/>
          <w:spacing w:val="7"/>
          <w:sz w:val="23"/>
          <w:szCs w:val="23"/>
        </w:rPr>
        <w:t>施工期要保护周围生态环境，不允许占用工程征地外的土地。运送物料车</w:t>
      </w:r>
      <w:r>
        <w:rPr>
          <w:rFonts w:ascii="宋体" w:hAnsi="宋体" w:eastAsia="宋体" w:cs="宋体"/>
          <w:spacing w:val="3"/>
          <w:sz w:val="23"/>
          <w:szCs w:val="23"/>
        </w:rPr>
        <w:t>辆</w:t>
      </w:r>
      <w:r>
        <w:rPr>
          <w:rFonts w:ascii="宋体" w:hAnsi="宋体" w:eastAsia="宋体" w:cs="宋体"/>
          <w:sz w:val="23"/>
          <w:szCs w:val="23"/>
        </w:rPr>
        <w:t xml:space="preserve"> </w:t>
      </w:r>
      <w:r>
        <w:rPr>
          <w:rFonts w:ascii="宋体" w:hAnsi="宋体" w:eastAsia="宋体" w:cs="宋体"/>
          <w:spacing w:val="8"/>
          <w:sz w:val="23"/>
          <w:szCs w:val="23"/>
        </w:rPr>
        <w:t>要</w:t>
      </w:r>
      <w:r>
        <w:rPr>
          <w:rFonts w:ascii="宋体" w:hAnsi="宋体" w:eastAsia="宋体" w:cs="宋体"/>
          <w:spacing w:val="7"/>
          <w:sz w:val="23"/>
          <w:szCs w:val="23"/>
        </w:rPr>
        <w:t>设定固定行车路线，落实运输车辆防止扬尘、降噪措施，保护施工现场周围农</w:t>
      </w:r>
      <w:r>
        <w:rPr>
          <w:rFonts w:ascii="宋体" w:hAnsi="宋体" w:eastAsia="宋体" w:cs="宋体"/>
          <w:sz w:val="23"/>
          <w:szCs w:val="23"/>
        </w:rPr>
        <w:t xml:space="preserve"> </w:t>
      </w:r>
      <w:r>
        <w:rPr>
          <w:rFonts w:ascii="宋体" w:hAnsi="宋体" w:eastAsia="宋体" w:cs="宋体"/>
          <w:spacing w:val="4"/>
          <w:sz w:val="23"/>
          <w:szCs w:val="23"/>
        </w:rPr>
        <w:t>田生态环境。禁止在区外随</w:t>
      </w:r>
      <w:r>
        <w:rPr>
          <w:rFonts w:ascii="宋体" w:hAnsi="宋体" w:eastAsia="宋体" w:cs="宋体"/>
          <w:spacing w:val="2"/>
          <w:sz w:val="23"/>
          <w:szCs w:val="23"/>
        </w:rPr>
        <w:t>意取土，用作区内土地平整等，以保护区域土地资源。</w:t>
      </w:r>
    </w:p>
    <w:p w14:paraId="49A50886">
      <w:pPr>
        <w:spacing w:before="139" w:line="401" w:lineRule="auto"/>
        <w:ind w:left="43" w:right="80" w:firstLine="460"/>
        <w:rPr>
          <w:rFonts w:ascii="宋体" w:hAnsi="宋体" w:eastAsia="宋体" w:cs="宋体"/>
          <w:sz w:val="23"/>
          <w:szCs w:val="23"/>
        </w:rPr>
      </w:pPr>
      <w:r>
        <w:rPr>
          <w:rFonts w:ascii="宋体" w:hAnsi="宋体" w:eastAsia="宋体" w:cs="宋体"/>
          <w:spacing w:val="7"/>
          <w:sz w:val="23"/>
          <w:szCs w:val="23"/>
        </w:rPr>
        <w:t>加强对施工人员生态环境方面知识的教育，加强管理，增强对生态环境保</w:t>
      </w:r>
      <w:r>
        <w:rPr>
          <w:rFonts w:ascii="宋体" w:hAnsi="宋体" w:eastAsia="宋体" w:cs="宋体"/>
          <w:spacing w:val="3"/>
          <w:sz w:val="23"/>
          <w:szCs w:val="23"/>
        </w:rPr>
        <w:t>护</w:t>
      </w:r>
      <w:r>
        <w:rPr>
          <w:rFonts w:ascii="宋体" w:hAnsi="宋体" w:eastAsia="宋体" w:cs="宋体"/>
          <w:sz w:val="23"/>
          <w:szCs w:val="23"/>
        </w:rPr>
        <w:t xml:space="preserve"> </w:t>
      </w:r>
      <w:r>
        <w:rPr>
          <w:rFonts w:ascii="宋体" w:hAnsi="宋体" w:eastAsia="宋体" w:cs="宋体"/>
          <w:spacing w:val="8"/>
          <w:sz w:val="23"/>
          <w:szCs w:val="23"/>
        </w:rPr>
        <w:t>的意识和观念，并使施工人员变为自觉行为。</w:t>
      </w:r>
    </w:p>
    <w:p w14:paraId="69012EF3">
      <w:pPr>
        <w:sectPr>
          <w:headerReference r:id="rId265" w:type="default"/>
          <w:footerReference r:id="rId266" w:type="default"/>
          <w:pgSz w:w="11906" w:h="16839"/>
          <w:pgMar w:top="1132" w:right="1719" w:bottom="1182" w:left="1785" w:header="878" w:footer="1022" w:gutter="0"/>
          <w:cols w:space="720" w:num="1"/>
        </w:sectPr>
      </w:pPr>
    </w:p>
    <w:p w14:paraId="7C73126B">
      <w:pPr>
        <w:spacing w:line="416" w:lineRule="auto"/>
        <w:rPr>
          <w:rFonts w:ascii="Arial"/>
          <w:sz w:val="21"/>
        </w:rPr>
      </w:pPr>
      <w:r>
        <w:pict>
          <v:shape id="_x0000_s1300" o:spid="_x0000_s1300" style="position:absolute;left:0pt;margin-left:90pt;margin-top:57.35pt;height:0.75pt;width:415.3pt;mso-position-horizontal-relative:page;mso-position-vertical-relative:page;z-index:251953152;mso-width-relative:page;mso-height-relative:page;" fillcolor="#000000" filled="t" stroked="f" coordsize="8305,15" o:allowincell="f" path="m0,0l8305,0,8305,14,0,14,0,0xe">
            <v:path/>
            <v:fill on="t" focussize="0,0"/>
            <v:stroke on="f"/>
            <v:imagedata o:title=""/>
            <o:lock v:ext="edit"/>
          </v:shape>
        </w:pict>
      </w:r>
    </w:p>
    <w:p w14:paraId="59CF2140">
      <w:pPr>
        <w:spacing w:before="75" w:line="227" w:lineRule="auto"/>
        <w:ind w:left="514"/>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水土流失防治措施</w:t>
      </w:r>
    </w:p>
    <w:p w14:paraId="1891CE0B">
      <w:pPr>
        <w:spacing w:line="286" w:lineRule="auto"/>
        <w:rPr>
          <w:rFonts w:ascii="Arial"/>
          <w:sz w:val="21"/>
        </w:rPr>
      </w:pPr>
    </w:p>
    <w:p w14:paraId="2B2DB76E">
      <w:pPr>
        <w:spacing w:before="75" w:line="402" w:lineRule="auto"/>
        <w:ind w:left="26" w:firstLine="476"/>
        <w:rPr>
          <w:rFonts w:ascii="宋体" w:hAnsi="宋体" w:eastAsia="宋体" w:cs="宋体"/>
          <w:sz w:val="23"/>
          <w:szCs w:val="23"/>
        </w:rPr>
      </w:pPr>
      <w:r>
        <w:rPr>
          <w:rFonts w:ascii="宋体" w:hAnsi="宋体" w:eastAsia="宋体" w:cs="宋体"/>
          <w:spacing w:val="7"/>
          <w:sz w:val="23"/>
          <w:szCs w:val="23"/>
        </w:rPr>
        <w:t>施工期挖方集中堆积并苫盖，采用彩钢板临时遮挡，避免造成水土流失，</w:t>
      </w:r>
      <w:r>
        <w:rPr>
          <w:rFonts w:ascii="宋体" w:hAnsi="宋体" w:eastAsia="宋体" w:cs="宋体"/>
          <w:spacing w:val="6"/>
          <w:sz w:val="23"/>
          <w:szCs w:val="23"/>
        </w:rPr>
        <w:t>施</w:t>
      </w:r>
      <w:r>
        <w:rPr>
          <w:rFonts w:ascii="宋体" w:hAnsi="宋体" w:eastAsia="宋体" w:cs="宋体"/>
          <w:sz w:val="23"/>
          <w:szCs w:val="23"/>
        </w:rPr>
        <w:t xml:space="preserve"> </w:t>
      </w:r>
      <w:r>
        <w:rPr>
          <w:rFonts w:ascii="宋体" w:hAnsi="宋体" w:eastAsia="宋体" w:cs="宋体"/>
          <w:spacing w:val="4"/>
          <w:sz w:val="23"/>
          <w:szCs w:val="23"/>
        </w:rPr>
        <w:t>工弃土用于场地平整，平</w:t>
      </w:r>
      <w:r>
        <w:rPr>
          <w:rFonts w:ascii="宋体" w:hAnsi="宋体" w:eastAsia="宋体" w:cs="宋体"/>
          <w:spacing w:val="2"/>
          <w:sz w:val="23"/>
          <w:szCs w:val="23"/>
        </w:rPr>
        <w:t>整过程中及时压实。合理安排施工时间，避免雨天施工。</w:t>
      </w:r>
    </w:p>
    <w:p w14:paraId="08EDC097">
      <w:pPr>
        <w:spacing w:before="58" w:line="225" w:lineRule="auto"/>
        <w:ind w:left="25"/>
        <w:outlineLvl w:val="1"/>
        <w:rPr>
          <w:rFonts w:ascii="宋体" w:hAnsi="宋体" w:eastAsia="宋体" w:cs="宋体"/>
          <w:sz w:val="31"/>
          <w:szCs w:val="31"/>
        </w:rPr>
      </w:pPr>
      <w:bookmarkStart w:id="27" w:name="_bookmark28"/>
      <w:bookmarkEnd w:id="27"/>
      <w:r>
        <w:rPr>
          <w:rFonts w:ascii="Times New Roman" w:hAnsi="Times New Roman" w:eastAsia="Times New Roman" w:cs="Times New Roman"/>
          <w:b/>
          <w:bCs/>
          <w:spacing w:val="8"/>
          <w:sz w:val="31"/>
          <w:szCs w:val="31"/>
        </w:rPr>
        <w:t>6.2</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运营期污染防治措</w:t>
      </w:r>
      <w:r>
        <w:rPr>
          <w:rFonts w:ascii="宋体" w:hAnsi="宋体" w:eastAsia="宋体" w:cs="宋体"/>
          <w:spacing w:val="6"/>
          <w:sz w:val="31"/>
          <w:szCs w:val="31"/>
          <w14:textOutline w14:w="5793" w14:cap="sq" w14:cmpd="sng">
            <w14:solidFill>
              <w14:srgbClr w14:val="000000"/>
            </w14:solidFill>
            <w14:prstDash w14:val="solid"/>
            <w14:bevel/>
          </w14:textOutline>
        </w:rPr>
        <w:t>施</w:t>
      </w:r>
    </w:p>
    <w:p w14:paraId="5B361EFF">
      <w:pPr>
        <w:spacing w:before="274" w:line="226" w:lineRule="auto"/>
        <w:ind w:left="25"/>
        <w:outlineLvl w:val="2"/>
        <w:rPr>
          <w:rFonts w:ascii="宋体" w:hAnsi="宋体" w:eastAsia="宋体" w:cs="宋体"/>
          <w:sz w:val="29"/>
          <w:szCs w:val="29"/>
        </w:rPr>
      </w:pPr>
      <w:r>
        <w:rPr>
          <w:rFonts w:ascii="Times New Roman" w:hAnsi="Times New Roman" w:eastAsia="Times New Roman" w:cs="Times New Roman"/>
          <w:b/>
          <w:bCs/>
          <w:spacing w:val="8"/>
          <w:sz w:val="29"/>
          <w:szCs w:val="29"/>
        </w:rPr>
        <w:t>6.2.1</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运营期大气污染防治措</w:t>
      </w:r>
      <w:r>
        <w:rPr>
          <w:rFonts w:ascii="宋体" w:hAnsi="宋体" w:eastAsia="宋体" w:cs="宋体"/>
          <w:spacing w:val="4"/>
          <w:sz w:val="29"/>
          <w:szCs w:val="29"/>
          <w14:textOutline w14:w="5448" w14:cap="sq" w14:cmpd="sng">
            <w14:solidFill>
              <w14:srgbClr w14:val="000000"/>
            </w14:solidFill>
            <w14:prstDash w14:val="solid"/>
            <w14:bevel/>
          </w14:textOutline>
        </w:rPr>
        <w:t>施</w:t>
      </w:r>
    </w:p>
    <w:p w14:paraId="642B3B24">
      <w:pPr>
        <w:spacing w:before="296" w:line="221" w:lineRule="auto"/>
        <w:ind w:left="24"/>
        <w:outlineLvl w:val="3"/>
        <w:rPr>
          <w:rFonts w:ascii="宋体" w:hAnsi="宋体" w:eastAsia="宋体" w:cs="宋体"/>
          <w:sz w:val="28"/>
          <w:szCs w:val="28"/>
        </w:rPr>
      </w:pPr>
      <w:r>
        <w:rPr>
          <w:rFonts w:ascii="Times New Roman" w:hAnsi="Times New Roman" w:eastAsia="Times New Roman" w:cs="Times New Roman"/>
          <w:b/>
          <w:bCs/>
          <w:spacing w:val="16"/>
          <w:sz w:val="28"/>
          <w:szCs w:val="28"/>
        </w:rPr>
        <w:t>6</w:t>
      </w:r>
      <w:r>
        <w:rPr>
          <w:rFonts w:ascii="Times New Roman" w:hAnsi="Times New Roman" w:eastAsia="Times New Roman" w:cs="Times New Roman"/>
          <w:b/>
          <w:bCs/>
          <w:spacing w:val="14"/>
          <w:sz w:val="28"/>
          <w:szCs w:val="28"/>
        </w:rPr>
        <w:t>.</w:t>
      </w:r>
      <w:r>
        <w:rPr>
          <w:rFonts w:ascii="Times New Roman" w:hAnsi="Times New Roman" w:eastAsia="Times New Roman" w:cs="Times New Roman"/>
          <w:b/>
          <w:bCs/>
          <w:spacing w:val="8"/>
          <w:sz w:val="28"/>
          <w:szCs w:val="28"/>
        </w:rPr>
        <w:t>2.2.1</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有组织废气污染防治措施</w:t>
      </w:r>
    </w:p>
    <w:p w14:paraId="2AD09F94">
      <w:pPr>
        <w:spacing w:line="260" w:lineRule="auto"/>
        <w:rPr>
          <w:rFonts w:ascii="Arial"/>
          <w:sz w:val="21"/>
        </w:rPr>
      </w:pPr>
    </w:p>
    <w:p w14:paraId="2B80A5FC">
      <w:pPr>
        <w:spacing w:before="74" w:line="228" w:lineRule="auto"/>
        <w:ind w:left="538"/>
        <w:rPr>
          <w:rFonts w:ascii="宋体" w:hAnsi="宋体" w:eastAsia="宋体" w:cs="宋体"/>
          <w:sz w:val="23"/>
          <w:szCs w:val="23"/>
        </w:rPr>
      </w:pPr>
      <w:r>
        <w:rPr>
          <w:rFonts w:ascii="宋体" w:hAnsi="宋体" w:eastAsia="宋体" w:cs="宋体"/>
          <w:spacing w:val="27"/>
          <w:sz w:val="23"/>
          <w:szCs w:val="23"/>
        </w:rPr>
        <w:t>(</w:t>
      </w:r>
      <w:r>
        <w:rPr>
          <w:rFonts w:ascii="Times New Roman" w:hAnsi="Times New Roman" w:eastAsia="Times New Roman" w:cs="Times New Roman"/>
          <w:spacing w:val="25"/>
          <w:sz w:val="23"/>
          <w:szCs w:val="23"/>
        </w:rPr>
        <w:t>1</w:t>
      </w:r>
      <w:r>
        <w:rPr>
          <w:rFonts w:ascii="宋体" w:hAnsi="宋体" w:eastAsia="宋体" w:cs="宋体"/>
          <w:spacing w:val="25"/>
          <w:sz w:val="23"/>
          <w:szCs w:val="23"/>
        </w:rPr>
        <w:t>) 非甲烷总烃污染防治措施</w:t>
      </w:r>
    </w:p>
    <w:p w14:paraId="53F07F02">
      <w:pPr>
        <w:spacing w:line="278" w:lineRule="auto"/>
        <w:rPr>
          <w:rFonts w:ascii="Arial"/>
          <w:sz w:val="21"/>
        </w:rPr>
      </w:pPr>
    </w:p>
    <w:p w14:paraId="242DA6A8">
      <w:pPr>
        <w:spacing w:before="75" w:line="386" w:lineRule="auto"/>
        <w:ind w:left="21" w:right="77" w:firstLine="509"/>
        <w:rPr>
          <w:rFonts w:ascii="宋体" w:hAnsi="宋体" w:eastAsia="宋体" w:cs="宋体"/>
          <w:sz w:val="23"/>
          <w:szCs w:val="23"/>
        </w:rPr>
      </w:pPr>
      <w:r>
        <w:rPr>
          <w:rFonts w:ascii="宋体" w:hAnsi="宋体" w:eastAsia="宋体" w:cs="宋体"/>
          <w:spacing w:val="26"/>
          <w:sz w:val="23"/>
          <w:szCs w:val="23"/>
        </w:rPr>
        <w:t>该</w:t>
      </w:r>
      <w:r>
        <w:rPr>
          <w:rFonts w:ascii="宋体" w:hAnsi="宋体" w:eastAsia="宋体" w:cs="宋体"/>
          <w:spacing w:val="13"/>
          <w:sz w:val="23"/>
          <w:szCs w:val="23"/>
        </w:rPr>
        <w:t>项目所用原料为废塑料编织袋，均外购于本溪宏远集团北台再生资源有</w:t>
      </w:r>
      <w:r>
        <w:rPr>
          <w:rFonts w:ascii="宋体" w:hAnsi="宋体" w:eastAsia="宋体" w:cs="宋体"/>
          <w:sz w:val="23"/>
          <w:szCs w:val="23"/>
        </w:rPr>
        <w:t xml:space="preserve"> </w:t>
      </w:r>
      <w:r>
        <w:rPr>
          <w:rFonts w:ascii="宋体" w:hAnsi="宋体" w:eastAsia="宋体" w:cs="宋体"/>
          <w:spacing w:val="10"/>
          <w:sz w:val="23"/>
          <w:szCs w:val="23"/>
        </w:rPr>
        <w:t>限</w:t>
      </w:r>
      <w:r>
        <w:rPr>
          <w:rFonts w:ascii="宋体" w:hAnsi="宋体" w:eastAsia="宋体" w:cs="宋体"/>
          <w:spacing w:val="7"/>
          <w:sz w:val="23"/>
          <w:szCs w:val="23"/>
        </w:rPr>
        <w:t>责任公司及平山区利安建材城，为本溪宏远集团北台再生资源有限责任公司收</w:t>
      </w:r>
      <w:r>
        <w:rPr>
          <w:rFonts w:ascii="宋体" w:hAnsi="宋体" w:eastAsia="宋体" w:cs="宋体"/>
          <w:sz w:val="23"/>
          <w:szCs w:val="23"/>
        </w:rPr>
        <w:t xml:space="preserve"> </w:t>
      </w:r>
      <w:r>
        <w:rPr>
          <w:rFonts w:ascii="宋体" w:hAnsi="宋体" w:eastAsia="宋体" w:cs="宋体"/>
          <w:spacing w:val="12"/>
          <w:sz w:val="23"/>
          <w:szCs w:val="23"/>
        </w:rPr>
        <w:t>购北台钢</w:t>
      </w:r>
      <w:r>
        <w:rPr>
          <w:rFonts w:ascii="宋体" w:hAnsi="宋体" w:eastAsia="宋体" w:cs="宋体"/>
          <w:spacing w:val="8"/>
          <w:sz w:val="23"/>
          <w:szCs w:val="23"/>
        </w:rPr>
        <w:t>铁</w:t>
      </w:r>
      <w:r>
        <w:rPr>
          <w:rFonts w:ascii="宋体" w:hAnsi="宋体" w:eastAsia="宋体" w:cs="宋体"/>
          <w:spacing w:val="6"/>
          <w:sz w:val="23"/>
          <w:szCs w:val="23"/>
        </w:rPr>
        <w:t xml:space="preserve"> (集团) 有限责任公司所用原料合金铁及铝锭的废包装袋及平山区利</w:t>
      </w:r>
      <w:r>
        <w:rPr>
          <w:rFonts w:ascii="宋体" w:hAnsi="宋体" w:eastAsia="宋体" w:cs="宋体"/>
          <w:sz w:val="23"/>
          <w:szCs w:val="23"/>
        </w:rPr>
        <w:t xml:space="preserve"> </w:t>
      </w:r>
      <w:r>
        <w:rPr>
          <w:rFonts w:ascii="宋体" w:hAnsi="宋体" w:eastAsia="宋体" w:cs="宋体"/>
          <w:spacing w:val="1"/>
          <w:sz w:val="23"/>
          <w:szCs w:val="23"/>
        </w:rPr>
        <w:t>安建材城所销售砂子的废包装袋，主要成分为聚乙烯、聚丙烯</w:t>
      </w:r>
      <w:r>
        <w:rPr>
          <w:rFonts w:ascii="宋体" w:hAnsi="宋体" w:eastAsia="宋体" w:cs="宋体"/>
          <w:spacing w:val="1"/>
          <w:sz w:val="20"/>
          <w:szCs w:val="20"/>
        </w:rPr>
        <w:t>，</w:t>
      </w:r>
      <w:r>
        <w:rPr>
          <w:rFonts w:ascii="宋体" w:hAnsi="宋体" w:eastAsia="宋体" w:cs="宋体"/>
          <w:spacing w:val="1"/>
          <w:sz w:val="23"/>
          <w:szCs w:val="23"/>
        </w:rPr>
        <w:t xml:space="preserve">加热至 </w:t>
      </w:r>
      <w:r>
        <w:rPr>
          <w:rFonts w:ascii="Times New Roman" w:hAnsi="Times New Roman" w:eastAsia="Times New Roman" w:cs="Times New Roman"/>
          <w:spacing w:val="1"/>
          <w:sz w:val="23"/>
          <w:szCs w:val="23"/>
        </w:rPr>
        <w:t>150~2</w:t>
      </w:r>
      <w:r>
        <w:rPr>
          <w:rFonts w:ascii="Times New Roman" w:hAnsi="Times New Roman" w:eastAsia="Times New Roman" w:cs="Times New Roman"/>
          <w:sz w:val="23"/>
          <w:szCs w:val="23"/>
        </w:rPr>
        <w:t xml:space="preserve">20℃ </w:t>
      </w:r>
      <w:r>
        <w:rPr>
          <w:rFonts w:ascii="宋体" w:hAnsi="宋体" w:eastAsia="宋体" w:cs="宋体"/>
          <w:spacing w:val="7"/>
          <w:sz w:val="23"/>
          <w:szCs w:val="23"/>
        </w:rPr>
        <w:t>时热解产生酸、酯、不饱和烃、过氧化物、 甲醛、乙醛、</w:t>
      </w:r>
      <w:r>
        <w:rPr>
          <w:rFonts w:ascii="Times New Roman" w:hAnsi="Times New Roman" w:eastAsia="Times New Roman" w:cs="Times New Roman"/>
          <w:sz w:val="23"/>
          <w:szCs w:val="23"/>
        </w:rPr>
        <w:t>CO</w:t>
      </w:r>
      <w:r>
        <w:rPr>
          <w:rFonts w:ascii="Times New Roman" w:hAnsi="Times New Roman" w:eastAsia="Times New Roman" w:cs="Times New Roman"/>
          <w:spacing w:val="7"/>
          <w:position w:val="-1"/>
          <w:sz w:val="15"/>
          <w:szCs w:val="15"/>
        </w:rPr>
        <w:t xml:space="preserve">2 </w:t>
      </w:r>
      <w:r>
        <w:rPr>
          <w:rFonts w:ascii="宋体" w:hAnsi="宋体" w:eastAsia="宋体" w:cs="宋体"/>
          <w:spacing w:val="7"/>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等。热熔</w:t>
      </w:r>
      <w:r>
        <w:rPr>
          <w:rFonts w:ascii="宋体" w:hAnsi="宋体" w:eastAsia="宋体" w:cs="宋体"/>
          <w:spacing w:val="6"/>
          <w:sz w:val="23"/>
          <w:szCs w:val="23"/>
        </w:rPr>
        <w:t>过</w:t>
      </w:r>
      <w:r>
        <w:rPr>
          <w:rFonts w:ascii="宋体" w:hAnsi="宋体" w:eastAsia="宋体" w:cs="宋体"/>
          <w:sz w:val="23"/>
          <w:szCs w:val="23"/>
        </w:rPr>
        <w:t xml:space="preserve"> </w:t>
      </w:r>
      <w:r>
        <w:rPr>
          <w:rFonts w:ascii="宋体" w:hAnsi="宋体" w:eastAsia="宋体" w:cs="宋体"/>
          <w:spacing w:val="10"/>
          <w:sz w:val="23"/>
          <w:szCs w:val="23"/>
        </w:rPr>
        <w:t>程</w:t>
      </w:r>
      <w:r>
        <w:rPr>
          <w:rFonts w:ascii="宋体" w:hAnsi="宋体" w:eastAsia="宋体" w:cs="宋体"/>
          <w:spacing w:val="7"/>
          <w:sz w:val="23"/>
          <w:szCs w:val="23"/>
        </w:rPr>
        <w:t>塑料不发生裂解，只发生物理形态变形，由于聚丙烯为高分子聚合物，包括各</w:t>
      </w:r>
      <w:r>
        <w:rPr>
          <w:rFonts w:ascii="宋体" w:hAnsi="宋体" w:eastAsia="宋体" w:cs="宋体"/>
          <w:sz w:val="23"/>
          <w:szCs w:val="23"/>
        </w:rPr>
        <w:t xml:space="preserve"> </w:t>
      </w:r>
      <w:r>
        <w:rPr>
          <w:rFonts w:ascii="宋体" w:hAnsi="宋体" w:eastAsia="宋体" w:cs="宋体"/>
          <w:spacing w:val="10"/>
          <w:sz w:val="23"/>
          <w:szCs w:val="23"/>
        </w:rPr>
        <w:t>种</w:t>
      </w:r>
      <w:r>
        <w:rPr>
          <w:rFonts w:ascii="宋体" w:hAnsi="宋体" w:eastAsia="宋体" w:cs="宋体"/>
          <w:spacing w:val="7"/>
          <w:sz w:val="23"/>
          <w:szCs w:val="23"/>
        </w:rPr>
        <w:t>改善性能的添加剂，在受热情况下，原料中残存未聚合的反应单体及从聚合物</w:t>
      </w:r>
      <w:r>
        <w:rPr>
          <w:rFonts w:ascii="宋体" w:hAnsi="宋体" w:eastAsia="宋体" w:cs="宋体"/>
          <w:sz w:val="23"/>
          <w:szCs w:val="23"/>
        </w:rPr>
        <w:t xml:space="preserve"> </w:t>
      </w:r>
      <w:r>
        <w:rPr>
          <w:rFonts w:ascii="宋体" w:hAnsi="宋体" w:eastAsia="宋体" w:cs="宋体"/>
          <w:spacing w:val="10"/>
          <w:sz w:val="23"/>
          <w:szCs w:val="23"/>
        </w:rPr>
        <w:t>中</w:t>
      </w:r>
      <w:r>
        <w:rPr>
          <w:rFonts w:ascii="宋体" w:hAnsi="宋体" w:eastAsia="宋体" w:cs="宋体"/>
          <w:spacing w:val="7"/>
          <w:sz w:val="23"/>
          <w:szCs w:val="23"/>
        </w:rPr>
        <w:t>分解的单体可挥发至空气中，从而形成有机废气，主要为非甲烷烃类，本环评</w:t>
      </w:r>
      <w:r>
        <w:rPr>
          <w:rFonts w:ascii="宋体" w:hAnsi="宋体" w:eastAsia="宋体" w:cs="宋体"/>
          <w:sz w:val="23"/>
          <w:szCs w:val="23"/>
        </w:rPr>
        <w:t xml:space="preserve"> </w:t>
      </w:r>
      <w:r>
        <w:rPr>
          <w:rFonts w:ascii="宋体" w:hAnsi="宋体" w:eastAsia="宋体" w:cs="宋体"/>
          <w:spacing w:val="8"/>
          <w:sz w:val="23"/>
          <w:szCs w:val="23"/>
        </w:rPr>
        <w:t>以非甲烷总烃计</w:t>
      </w:r>
      <w:r>
        <w:rPr>
          <w:rFonts w:ascii="宋体" w:hAnsi="宋体" w:eastAsia="宋体" w:cs="宋体"/>
          <w:spacing w:val="6"/>
          <w:sz w:val="23"/>
          <w:szCs w:val="23"/>
        </w:rPr>
        <w:t>。</w:t>
      </w:r>
    </w:p>
    <w:p w14:paraId="6DB951E7">
      <w:pPr>
        <w:spacing w:before="146" w:line="227" w:lineRule="auto"/>
        <w:ind w:left="522"/>
        <w:rPr>
          <w:rFonts w:ascii="宋体" w:hAnsi="宋体" w:eastAsia="宋体" w:cs="宋体"/>
          <w:sz w:val="23"/>
          <w:szCs w:val="23"/>
        </w:rPr>
      </w:pPr>
      <w:r>
        <w:rPr>
          <w:rFonts w:ascii="Times New Roman" w:hAnsi="Times New Roman" w:eastAsia="Times New Roman" w:cs="Times New Roman"/>
          <w:spacing w:val="3"/>
          <w:sz w:val="23"/>
          <w:szCs w:val="23"/>
        </w:rPr>
        <w:t>1</w:t>
      </w:r>
      <w:r>
        <w:rPr>
          <w:rFonts w:ascii="宋体" w:hAnsi="宋体" w:eastAsia="宋体" w:cs="宋体"/>
          <w:spacing w:val="3"/>
          <w:sz w:val="23"/>
          <w:szCs w:val="23"/>
        </w:rPr>
        <w:t>) 集气</w:t>
      </w:r>
      <w:r>
        <w:rPr>
          <w:rFonts w:ascii="宋体" w:hAnsi="宋体" w:eastAsia="宋体" w:cs="宋体"/>
          <w:spacing w:val="1"/>
          <w:sz w:val="23"/>
          <w:szCs w:val="23"/>
        </w:rPr>
        <w:t>罩</w:t>
      </w:r>
    </w:p>
    <w:p w14:paraId="38D6B506">
      <w:pPr>
        <w:spacing w:line="278" w:lineRule="auto"/>
        <w:rPr>
          <w:rFonts w:ascii="Arial"/>
          <w:sz w:val="21"/>
        </w:rPr>
      </w:pPr>
    </w:p>
    <w:p w14:paraId="48E0AB46">
      <w:pPr>
        <w:spacing w:before="74" w:line="390" w:lineRule="auto"/>
        <w:ind w:left="24" w:right="45" w:firstLine="479"/>
        <w:rPr>
          <w:rFonts w:ascii="宋体" w:hAnsi="宋体" w:eastAsia="宋体" w:cs="宋体"/>
          <w:sz w:val="23"/>
          <w:szCs w:val="23"/>
        </w:rPr>
      </w:pPr>
      <w:r>
        <w:rPr>
          <w:rFonts w:ascii="宋体" w:hAnsi="宋体" w:eastAsia="宋体" w:cs="宋体"/>
          <w:spacing w:val="8"/>
          <w:sz w:val="23"/>
          <w:szCs w:val="23"/>
        </w:rPr>
        <w:t>集气罩是废气净化系统污染源的收集装置，可将气体污染源导入净化装置</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8"/>
          <w:sz w:val="23"/>
          <w:szCs w:val="23"/>
        </w:rPr>
        <w:t>同</w:t>
      </w:r>
      <w:r>
        <w:rPr>
          <w:rFonts w:ascii="宋体" w:hAnsi="宋体" w:eastAsia="宋体" w:cs="宋体"/>
          <w:spacing w:val="7"/>
          <w:sz w:val="23"/>
          <w:szCs w:val="23"/>
        </w:rPr>
        <w:t>时防止其像生产车间及大气扩散，造成污染。其性能对净化系统的技术经济指</w:t>
      </w:r>
      <w:r>
        <w:rPr>
          <w:rFonts w:ascii="宋体" w:hAnsi="宋体" w:eastAsia="宋体" w:cs="宋体"/>
          <w:sz w:val="23"/>
          <w:szCs w:val="23"/>
        </w:rPr>
        <w:t xml:space="preserve"> </w:t>
      </w:r>
      <w:r>
        <w:rPr>
          <w:rFonts w:ascii="宋体" w:hAnsi="宋体" w:eastAsia="宋体" w:cs="宋体"/>
          <w:spacing w:val="13"/>
          <w:sz w:val="23"/>
          <w:szCs w:val="23"/>
        </w:rPr>
        <w:t>标</w:t>
      </w:r>
      <w:r>
        <w:rPr>
          <w:rFonts w:ascii="宋体" w:hAnsi="宋体" w:eastAsia="宋体" w:cs="宋体"/>
          <w:spacing w:val="7"/>
          <w:sz w:val="23"/>
          <w:szCs w:val="23"/>
        </w:rPr>
        <w:t>有着直接的影响。</w:t>
      </w:r>
    </w:p>
    <w:p w14:paraId="51A88991">
      <w:pPr>
        <w:spacing w:before="137" w:line="386" w:lineRule="auto"/>
        <w:ind w:left="29" w:right="77" w:firstLine="478"/>
        <w:rPr>
          <w:rFonts w:ascii="宋体" w:hAnsi="宋体" w:eastAsia="宋体" w:cs="宋体"/>
          <w:sz w:val="23"/>
          <w:szCs w:val="23"/>
        </w:rPr>
      </w:pPr>
      <w:r>
        <w:rPr>
          <w:rFonts w:ascii="宋体" w:hAnsi="宋体" w:eastAsia="宋体" w:cs="宋体"/>
          <w:spacing w:val="12"/>
          <w:sz w:val="23"/>
          <w:szCs w:val="23"/>
        </w:rPr>
        <w:t>项目拟在</w:t>
      </w:r>
      <w:r>
        <w:rPr>
          <w:rFonts w:ascii="宋体" w:hAnsi="宋体" w:eastAsia="宋体" w:cs="宋体"/>
          <w:spacing w:val="7"/>
          <w:sz w:val="23"/>
          <w:szCs w:val="23"/>
        </w:rPr>
        <w:t>拉</w:t>
      </w:r>
      <w:r>
        <w:rPr>
          <w:rFonts w:ascii="宋体" w:hAnsi="宋体" w:eastAsia="宋体" w:cs="宋体"/>
          <w:spacing w:val="6"/>
          <w:sz w:val="23"/>
          <w:szCs w:val="23"/>
        </w:rPr>
        <w:t xml:space="preserve">丝、熔融设备上方设置伞形集气罩，距离设备不高于 </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cm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，罩</w:t>
      </w:r>
      <w:r>
        <w:rPr>
          <w:rFonts w:ascii="宋体" w:hAnsi="宋体" w:eastAsia="宋体" w:cs="宋体"/>
          <w:sz w:val="23"/>
          <w:szCs w:val="23"/>
        </w:rPr>
        <w:t xml:space="preserve"> </w:t>
      </w:r>
      <w:r>
        <w:rPr>
          <w:rFonts w:ascii="宋体" w:hAnsi="宋体" w:eastAsia="宋体" w:cs="宋体"/>
          <w:spacing w:val="6"/>
          <w:sz w:val="23"/>
          <w:szCs w:val="23"/>
        </w:rPr>
        <w:t>口矩形尺</w:t>
      </w:r>
      <w:r>
        <w:rPr>
          <w:rFonts w:ascii="宋体" w:hAnsi="宋体" w:eastAsia="宋体" w:cs="宋体"/>
          <w:spacing w:val="5"/>
          <w:sz w:val="23"/>
          <w:szCs w:val="23"/>
        </w:rPr>
        <w:t>寸</w:t>
      </w:r>
      <w:r>
        <w:rPr>
          <w:rFonts w:ascii="宋体" w:hAnsi="宋体" w:eastAsia="宋体" w:cs="宋体"/>
          <w:spacing w:val="3"/>
          <w:sz w:val="23"/>
          <w:szCs w:val="23"/>
        </w:rPr>
        <w:t xml:space="preserve">均为 </w:t>
      </w:r>
      <w:r>
        <w:rPr>
          <w:rFonts w:ascii="Times New Roman" w:hAnsi="Times New Roman" w:eastAsia="Times New Roman" w:cs="Times New Roman"/>
          <w:spacing w:val="3"/>
          <w:sz w:val="23"/>
          <w:szCs w:val="23"/>
        </w:rPr>
        <w:t>1×1</w:t>
      </w:r>
      <w:r>
        <w:rPr>
          <w:rFonts w:ascii="Times New Roman" w:hAnsi="Times New Roman" w:eastAsia="Times New Roman" w:cs="Times New Roman"/>
          <w:sz w:val="23"/>
          <w:szCs w:val="23"/>
        </w:rPr>
        <w:t>m</w:t>
      </w:r>
      <w:r>
        <w:rPr>
          <w:rFonts w:ascii="宋体" w:hAnsi="宋体" w:eastAsia="宋体" w:cs="宋体"/>
          <w:spacing w:val="3"/>
          <w:sz w:val="23"/>
          <w:szCs w:val="23"/>
        </w:rPr>
        <w:t xml:space="preserve">；熔融设备设有一台风机，风机量 </w:t>
      </w:r>
      <w:r>
        <w:rPr>
          <w:rFonts w:ascii="Times New Roman" w:hAnsi="Times New Roman" w:eastAsia="Times New Roman" w:cs="Times New Roman"/>
          <w:spacing w:val="3"/>
          <w:sz w:val="23"/>
          <w:szCs w:val="23"/>
        </w:rPr>
        <w:t>5000</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，集气罩收集</w:t>
      </w:r>
      <w:r>
        <w:rPr>
          <w:rFonts w:ascii="宋体" w:hAnsi="宋体" w:eastAsia="宋体" w:cs="宋体"/>
          <w:sz w:val="23"/>
          <w:szCs w:val="23"/>
        </w:rPr>
        <w:t xml:space="preserve"> </w:t>
      </w:r>
      <w:r>
        <w:rPr>
          <w:rFonts w:ascii="宋体" w:hAnsi="宋体" w:eastAsia="宋体" w:cs="宋体"/>
          <w:spacing w:val="-2"/>
          <w:sz w:val="23"/>
          <w:szCs w:val="23"/>
        </w:rPr>
        <w:t>效率可</w:t>
      </w:r>
      <w:r>
        <w:rPr>
          <w:rFonts w:ascii="宋体" w:hAnsi="宋体" w:eastAsia="宋体" w:cs="宋体"/>
          <w:spacing w:val="-1"/>
          <w:sz w:val="23"/>
          <w:szCs w:val="23"/>
        </w:rPr>
        <w:t xml:space="preserve">达 </w:t>
      </w:r>
      <w:r>
        <w:rPr>
          <w:rFonts w:ascii="Times New Roman" w:hAnsi="Times New Roman" w:eastAsia="Times New Roman" w:cs="Times New Roman"/>
          <w:spacing w:val="-1"/>
          <w:sz w:val="23"/>
          <w:szCs w:val="23"/>
        </w:rPr>
        <w:t>90%</w:t>
      </w:r>
      <w:r>
        <w:rPr>
          <w:rFonts w:ascii="宋体" w:hAnsi="宋体" w:eastAsia="宋体" w:cs="宋体"/>
          <w:spacing w:val="-1"/>
          <w:sz w:val="23"/>
          <w:szCs w:val="23"/>
        </w:rPr>
        <w:t>。</w:t>
      </w:r>
    </w:p>
    <w:p w14:paraId="63E2F1D9">
      <w:pPr>
        <w:spacing w:before="153" w:line="227" w:lineRule="auto"/>
        <w:ind w:left="499"/>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xml:space="preserve">) </w:t>
      </w:r>
      <w:r>
        <w:rPr>
          <w:rFonts w:ascii="Times New Roman" w:hAnsi="Times New Roman" w:eastAsia="Times New Roman" w:cs="Times New Roman"/>
          <w:sz w:val="23"/>
          <w:szCs w:val="23"/>
        </w:rPr>
        <w:t>UV</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光氧催化废气处理装</w:t>
      </w:r>
      <w:r>
        <w:rPr>
          <w:rFonts w:ascii="宋体" w:hAnsi="宋体" w:eastAsia="宋体" w:cs="宋体"/>
          <w:spacing w:val="8"/>
          <w:sz w:val="23"/>
          <w:szCs w:val="23"/>
        </w:rPr>
        <w:t>置</w:t>
      </w:r>
    </w:p>
    <w:p w14:paraId="67410F3E">
      <w:pPr>
        <w:spacing w:line="276" w:lineRule="auto"/>
        <w:rPr>
          <w:rFonts w:ascii="Arial"/>
          <w:sz w:val="21"/>
        </w:rPr>
      </w:pPr>
    </w:p>
    <w:p w14:paraId="28E608B6">
      <w:pPr>
        <w:spacing w:before="75" w:line="227" w:lineRule="auto"/>
        <w:ind w:left="495"/>
        <w:rPr>
          <w:rFonts w:ascii="宋体" w:hAnsi="宋体" w:eastAsia="宋体" w:cs="宋体"/>
          <w:sz w:val="23"/>
          <w:szCs w:val="23"/>
        </w:rPr>
      </w:pPr>
      <w:r>
        <w:rPr>
          <w:rFonts w:ascii="Times New Roman" w:hAnsi="Times New Roman" w:eastAsia="Times New Roman" w:cs="Times New Roman"/>
          <w:sz w:val="23"/>
          <w:szCs w:val="23"/>
        </w:rPr>
        <w:t>UV</w:t>
      </w:r>
      <w:r>
        <w:rPr>
          <w:rFonts w:ascii="Times New Roman" w:hAnsi="Times New Roman" w:eastAsia="Times New Roman" w:cs="Times New Roman"/>
          <w:spacing w:val="12"/>
          <w:sz w:val="23"/>
          <w:szCs w:val="23"/>
        </w:rPr>
        <w:t xml:space="preserve"> </w:t>
      </w:r>
      <w:r>
        <w:rPr>
          <w:rFonts w:ascii="宋体" w:hAnsi="宋体" w:eastAsia="宋体" w:cs="宋体"/>
          <w:spacing w:val="8"/>
          <w:sz w:val="23"/>
          <w:szCs w:val="23"/>
        </w:rPr>
        <w:t xml:space="preserve">光氧催化废气处理装置是利用特制的高能高臭氧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紫外线光束，分解</w:t>
      </w:r>
    </w:p>
    <w:p w14:paraId="219F8058">
      <w:pPr>
        <w:sectPr>
          <w:footerReference r:id="rId267" w:type="default"/>
          <w:pgSz w:w="11906" w:h="16839"/>
          <w:pgMar w:top="1132" w:right="1719" w:bottom="1182" w:left="1785" w:header="878" w:footer="1022" w:gutter="0"/>
          <w:cols w:space="720" w:num="1"/>
        </w:sectPr>
      </w:pPr>
    </w:p>
    <w:p w14:paraId="560E09D3">
      <w:pPr>
        <w:spacing w:line="408" w:lineRule="auto"/>
        <w:rPr>
          <w:rFonts w:ascii="Arial"/>
          <w:sz w:val="21"/>
        </w:rPr>
      </w:pPr>
      <w:r>
        <w:pict>
          <v:shape id="_x0000_s1301" o:spid="_x0000_s1301" style="position:absolute;left:0pt;margin-left:90pt;margin-top:57.35pt;height:0.75pt;width:415.3pt;mso-position-horizontal-relative:page;mso-position-vertical-relative:page;z-index:251954176;mso-width-relative:page;mso-height-relative:page;" fillcolor="#000000" filled="t" stroked="f" coordsize="8305,15" o:allowincell="f" path="m0,0l8305,0,8305,14,0,14,0,0xe">
            <v:path/>
            <v:fill on="t" focussize="0,0"/>
            <v:stroke on="f"/>
            <v:imagedata o:title=""/>
            <o:lock v:ext="edit"/>
          </v:shape>
        </w:pict>
      </w:r>
    </w:p>
    <w:p w14:paraId="5F0769C1">
      <w:pPr>
        <w:spacing w:before="74" w:line="393" w:lineRule="auto"/>
        <w:ind w:left="28" w:right="80" w:firstLine="2"/>
        <w:rPr>
          <w:rFonts w:ascii="宋体" w:hAnsi="宋体" w:eastAsia="宋体" w:cs="宋体"/>
          <w:sz w:val="23"/>
          <w:szCs w:val="23"/>
        </w:rPr>
      </w:pPr>
      <w:r>
        <w:rPr>
          <w:rFonts w:ascii="宋体" w:hAnsi="宋体" w:eastAsia="宋体" w:cs="宋体"/>
          <w:spacing w:val="7"/>
          <w:sz w:val="23"/>
          <w:szCs w:val="23"/>
        </w:rPr>
        <w:t>空气中的氧分子产生游离氧，即活性氧，因游离氧所携正负电子不平衡，所以</w:t>
      </w:r>
      <w:r>
        <w:rPr>
          <w:rFonts w:ascii="宋体" w:hAnsi="宋体" w:eastAsia="宋体" w:cs="宋体"/>
          <w:spacing w:val="1"/>
          <w:sz w:val="23"/>
          <w:szCs w:val="23"/>
        </w:rPr>
        <w:t>需</w:t>
      </w:r>
      <w:r>
        <w:rPr>
          <w:rFonts w:ascii="宋体" w:hAnsi="宋体" w:eastAsia="宋体" w:cs="宋体"/>
          <w:sz w:val="23"/>
          <w:szCs w:val="23"/>
        </w:rPr>
        <w:t xml:space="preserve"> </w:t>
      </w:r>
      <w:r>
        <w:rPr>
          <w:rFonts w:ascii="宋体" w:hAnsi="宋体" w:eastAsia="宋体" w:cs="宋体"/>
          <w:spacing w:val="11"/>
          <w:sz w:val="23"/>
          <w:szCs w:val="23"/>
        </w:rPr>
        <w:t>与</w:t>
      </w:r>
      <w:r>
        <w:rPr>
          <w:rFonts w:ascii="宋体" w:hAnsi="宋体" w:eastAsia="宋体" w:cs="宋体"/>
          <w:spacing w:val="8"/>
          <w:sz w:val="23"/>
          <w:szCs w:val="23"/>
        </w:rPr>
        <w:t>氧分子结合，进而产生臭氧。</w:t>
      </w:r>
    </w:p>
    <w:p w14:paraId="7A4C5E4F">
      <w:pPr>
        <w:spacing w:before="94" w:line="323" w:lineRule="exact"/>
        <w:ind w:left="521"/>
        <w:rPr>
          <w:rFonts w:ascii="Times New Roman" w:hAnsi="Times New Roman" w:eastAsia="Times New Roman" w:cs="Times New Roman"/>
          <w:sz w:val="15"/>
          <w:szCs w:val="15"/>
        </w:rPr>
      </w:pPr>
      <w:r>
        <w:rPr>
          <w:rFonts w:ascii="宋体" w:hAnsi="宋体" w:eastAsia="宋体" w:cs="宋体"/>
          <w:spacing w:val="-1"/>
          <w:position w:val="2"/>
          <w:sz w:val="23"/>
          <w:szCs w:val="23"/>
        </w:rPr>
        <w:t xml:space="preserve">即 </w:t>
      </w:r>
      <w:r>
        <w:rPr>
          <w:rFonts w:ascii="Times New Roman" w:hAnsi="Times New Roman" w:eastAsia="Times New Roman" w:cs="Times New Roman"/>
          <w:spacing w:val="-1"/>
          <w:position w:val="2"/>
          <w:sz w:val="23"/>
          <w:szCs w:val="23"/>
        </w:rPr>
        <w:t>U</w:t>
      </w:r>
      <w:r>
        <w:rPr>
          <w:rFonts w:ascii="Times New Roman" w:hAnsi="Times New Roman" w:eastAsia="Times New Roman" w:cs="Times New Roman"/>
          <w:position w:val="2"/>
          <w:sz w:val="23"/>
          <w:szCs w:val="23"/>
        </w:rPr>
        <w:t>V</w:t>
      </w:r>
      <w:r>
        <w:rPr>
          <w:rFonts w:ascii="Times New Roman" w:hAnsi="Times New Roman" w:eastAsia="Times New Roman" w:cs="Times New Roman"/>
          <w:spacing w:val="-1"/>
          <w:position w:val="2"/>
          <w:sz w:val="23"/>
          <w:szCs w:val="23"/>
        </w:rPr>
        <w:t>+</w:t>
      </w:r>
      <w:r>
        <w:rPr>
          <w:rFonts w:ascii="Times New Roman" w:hAnsi="Times New Roman" w:eastAsia="Times New Roman" w:cs="Times New Roman"/>
          <w:position w:val="2"/>
          <w:sz w:val="23"/>
          <w:szCs w:val="23"/>
        </w:rPr>
        <w:t>O</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
          <w:position w:val="2"/>
          <w:sz w:val="23"/>
          <w:szCs w:val="23"/>
        </w:rPr>
        <w:t>→</w:t>
      </w:r>
      <w:r>
        <w:rPr>
          <w:rFonts w:ascii="Times New Roman" w:hAnsi="Times New Roman" w:eastAsia="Times New Roman" w:cs="Times New Roman"/>
          <w:position w:val="2"/>
          <w:sz w:val="23"/>
          <w:szCs w:val="23"/>
        </w:rPr>
        <w:t>O</w:t>
      </w:r>
      <w:r>
        <w:rPr>
          <w:rFonts w:ascii="Times New Roman" w:hAnsi="Times New Roman" w:eastAsia="Times New Roman" w:cs="Times New Roman"/>
          <w:spacing w:val="-1"/>
          <w:position w:val="9"/>
          <w:sz w:val="15"/>
          <w:szCs w:val="15"/>
        </w:rPr>
        <w:t>-</w:t>
      </w:r>
      <w:r>
        <w:rPr>
          <w:rFonts w:ascii="Times New Roman" w:hAnsi="Times New Roman" w:eastAsia="Times New Roman" w:cs="Times New Roman"/>
          <w:spacing w:val="-1"/>
          <w:position w:val="2"/>
          <w:sz w:val="23"/>
          <w:szCs w:val="23"/>
        </w:rPr>
        <w:t>+</w:t>
      </w:r>
      <w:r>
        <w:rPr>
          <w:rFonts w:ascii="Times New Roman" w:hAnsi="Times New Roman" w:eastAsia="Times New Roman" w:cs="Times New Roman"/>
          <w:position w:val="2"/>
          <w:sz w:val="23"/>
          <w:szCs w:val="23"/>
        </w:rPr>
        <w:t>O</w:t>
      </w:r>
      <w:r>
        <w:rPr>
          <w:rFonts w:ascii="Times New Roman" w:hAnsi="Times New Roman" w:eastAsia="Times New Roman" w:cs="Times New Roman"/>
          <w:spacing w:val="-1"/>
          <w:position w:val="9"/>
          <w:sz w:val="15"/>
          <w:szCs w:val="15"/>
        </w:rPr>
        <w:t>+</w:t>
      </w:r>
    </w:p>
    <w:p w14:paraId="2A89DF90">
      <w:pPr>
        <w:spacing w:before="313" w:line="322" w:lineRule="exact"/>
        <w:ind w:left="742"/>
        <w:rPr>
          <w:rFonts w:ascii="宋体" w:hAnsi="宋体" w:eastAsia="宋体" w:cs="宋体"/>
          <w:sz w:val="23"/>
          <w:szCs w:val="23"/>
        </w:rPr>
      </w:pPr>
      <w:r>
        <w:rPr>
          <w:rFonts w:ascii="Times New Roman" w:hAnsi="Times New Roman" w:eastAsia="Times New Roman" w:cs="Times New Roman"/>
          <w:position w:val="1"/>
          <w:sz w:val="23"/>
          <w:szCs w:val="23"/>
        </w:rPr>
        <w:t>O</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 xml:space="preserve">(活性氧) </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O</w:t>
      </w:r>
      <w:r>
        <w:rPr>
          <w:rFonts w:ascii="Times New Roman" w:hAnsi="Times New Roman" w:eastAsia="Times New Roman" w:cs="Times New Roman"/>
          <w:spacing w:val="4"/>
          <w:sz w:val="15"/>
          <w:szCs w:val="15"/>
        </w:rPr>
        <w:t xml:space="preserve">2 </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O</w:t>
      </w:r>
      <w:r>
        <w:rPr>
          <w:rFonts w:ascii="Times New Roman" w:hAnsi="Times New Roman" w:eastAsia="Times New Roman" w:cs="Times New Roman"/>
          <w:spacing w:val="4"/>
          <w:sz w:val="15"/>
          <w:szCs w:val="15"/>
        </w:rPr>
        <w:t xml:space="preserve">3   </w:t>
      </w:r>
      <w:r>
        <w:rPr>
          <w:rFonts w:ascii="宋体" w:hAnsi="宋体" w:eastAsia="宋体" w:cs="宋体"/>
          <w:spacing w:val="4"/>
          <w:position w:val="1"/>
          <w:sz w:val="23"/>
          <w:szCs w:val="23"/>
        </w:rPr>
        <w:t>(臭氧</w:t>
      </w:r>
      <w:r>
        <w:rPr>
          <w:rFonts w:ascii="宋体" w:hAnsi="宋体" w:eastAsia="宋体" w:cs="宋体"/>
          <w:spacing w:val="1"/>
          <w:position w:val="1"/>
          <w:sz w:val="23"/>
          <w:szCs w:val="23"/>
        </w:rPr>
        <w:t>)</w:t>
      </w:r>
    </w:p>
    <w:p w14:paraId="00120B82">
      <w:pPr>
        <w:spacing w:line="275" w:lineRule="auto"/>
        <w:rPr>
          <w:rFonts w:ascii="Arial"/>
          <w:sz w:val="21"/>
        </w:rPr>
      </w:pPr>
    </w:p>
    <w:p w14:paraId="607D5286">
      <w:pPr>
        <w:spacing w:before="75" w:line="388" w:lineRule="auto"/>
        <w:ind w:left="16" w:firstLine="727"/>
        <w:rPr>
          <w:rFonts w:ascii="宋体" w:hAnsi="宋体" w:eastAsia="宋体" w:cs="宋体"/>
          <w:sz w:val="23"/>
          <w:szCs w:val="23"/>
        </w:rPr>
      </w:pPr>
      <w:r>
        <w:rPr>
          <w:rFonts w:ascii="宋体" w:hAnsi="宋体" w:eastAsia="宋体" w:cs="宋体"/>
          <w:spacing w:val="12"/>
          <w:sz w:val="23"/>
          <w:szCs w:val="23"/>
        </w:rPr>
        <w:t>臭氧对有</w:t>
      </w:r>
      <w:r>
        <w:rPr>
          <w:rFonts w:ascii="宋体" w:hAnsi="宋体" w:eastAsia="宋体" w:cs="宋体"/>
          <w:spacing w:val="7"/>
          <w:sz w:val="23"/>
          <w:szCs w:val="23"/>
        </w:rPr>
        <w:t>机</w:t>
      </w:r>
      <w:r>
        <w:rPr>
          <w:rFonts w:ascii="宋体" w:hAnsi="宋体" w:eastAsia="宋体" w:cs="宋体"/>
          <w:spacing w:val="6"/>
          <w:sz w:val="23"/>
          <w:szCs w:val="23"/>
        </w:rPr>
        <w:t>物具有极强的氧化作用，对工业废气及其它刺激性异味有较强</w:t>
      </w:r>
      <w:r>
        <w:rPr>
          <w:rFonts w:ascii="宋体" w:hAnsi="宋体" w:eastAsia="宋体" w:cs="宋体"/>
          <w:sz w:val="23"/>
          <w:szCs w:val="23"/>
        </w:rPr>
        <w:t xml:space="preserve"> </w:t>
      </w:r>
      <w:r>
        <w:rPr>
          <w:rFonts w:ascii="宋体" w:hAnsi="宋体" w:eastAsia="宋体" w:cs="宋体"/>
          <w:spacing w:val="3"/>
          <w:sz w:val="23"/>
          <w:szCs w:val="23"/>
        </w:rPr>
        <w:t>的净化效果。可以裂解工业废气，如：氨、三甲胺、硫化氢、 甲硫氢、 甲</w:t>
      </w:r>
      <w:r>
        <w:rPr>
          <w:rFonts w:ascii="宋体" w:hAnsi="宋体" w:eastAsia="宋体" w:cs="宋体"/>
          <w:spacing w:val="2"/>
          <w:sz w:val="23"/>
          <w:szCs w:val="23"/>
        </w:rPr>
        <w:t>硫</w:t>
      </w:r>
      <w:r>
        <w:rPr>
          <w:rFonts w:ascii="宋体" w:hAnsi="宋体" w:eastAsia="宋体" w:cs="宋体"/>
          <w:sz w:val="23"/>
          <w:szCs w:val="23"/>
        </w:rPr>
        <w:t xml:space="preserve">醇、 </w:t>
      </w:r>
      <w:r>
        <w:rPr>
          <w:rFonts w:ascii="宋体" w:hAnsi="宋体" w:eastAsia="宋体" w:cs="宋体"/>
          <w:spacing w:val="7"/>
          <w:sz w:val="23"/>
          <w:szCs w:val="23"/>
        </w:rPr>
        <w:t xml:space="preserve">甲硫醚、乙酸丁酯、乙酸乙酯、二甲二硫、二硫化碳和苯乙烯，及硫化物 </w:t>
      </w:r>
      <w:r>
        <w:rPr>
          <w:rFonts w:ascii="Times New Roman" w:hAnsi="Times New Roman" w:eastAsia="Times New Roman" w:cs="Times New Roman"/>
          <w:sz w:val="23"/>
          <w:szCs w:val="23"/>
        </w:rPr>
        <w:t>H</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z w:val="23"/>
          <w:szCs w:val="23"/>
        </w:rPr>
        <w:t>S</w:t>
      </w:r>
      <w:r>
        <w:rPr>
          <w:rFonts w:ascii="Times New Roman" w:hAnsi="Times New Roman" w:eastAsia="Times New Roman" w:cs="Times New Roman"/>
          <w:spacing w:val="7"/>
          <w:sz w:val="23"/>
          <w:szCs w:val="23"/>
        </w:rPr>
        <w:t xml:space="preserve"> </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VOC</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类，</w:t>
      </w:r>
      <w:r>
        <w:rPr>
          <w:rFonts w:ascii="宋体" w:hAnsi="宋体" w:eastAsia="宋体" w:cs="宋体"/>
          <w:spacing w:val="10"/>
          <w:sz w:val="23"/>
          <w:szCs w:val="23"/>
        </w:rPr>
        <w:t>以</w:t>
      </w:r>
      <w:r>
        <w:rPr>
          <w:rFonts w:ascii="宋体" w:hAnsi="宋体" w:eastAsia="宋体" w:cs="宋体"/>
          <w:spacing w:val="6"/>
          <w:sz w:val="23"/>
          <w:szCs w:val="23"/>
        </w:rPr>
        <w:t>及苯、 甲苯、二甲苯的分子链结构，使有机或无机高分子恶臭化合</w:t>
      </w:r>
      <w:r>
        <w:rPr>
          <w:rFonts w:ascii="宋体" w:hAnsi="宋体" w:eastAsia="宋体" w:cs="宋体"/>
          <w:sz w:val="23"/>
          <w:szCs w:val="23"/>
        </w:rPr>
        <w:t xml:space="preserve"> </w:t>
      </w:r>
      <w:r>
        <w:rPr>
          <w:rFonts w:ascii="宋体" w:hAnsi="宋体" w:eastAsia="宋体" w:cs="宋体"/>
          <w:spacing w:val="2"/>
          <w:sz w:val="23"/>
          <w:szCs w:val="23"/>
        </w:rPr>
        <w:t>物分子链在高能紫外线光束照射下，与臭</w:t>
      </w:r>
      <w:r>
        <w:rPr>
          <w:rFonts w:ascii="宋体" w:hAnsi="宋体" w:eastAsia="宋体" w:cs="宋体"/>
          <w:spacing w:val="1"/>
          <w:sz w:val="23"/>
          <w:szCs w:val="23"/>
        </w:rPr>
        <w:t xml:space="preserve">氧进行反应生成低分子化合物，如 </w:t>
      </w:r>
      <w:r>
        <w:rPr>
          <w:rFonts w:ascii="Times New Roman" w:hAnsi="Times New Roman" w:eastAsia="Times New Roman" w:cs="Times New Roman"/>
          <w:sz w:val="23"/>
          <w:szCs w:val="23"/>
        </w:rPr>
        <w:t>CO</w:t>
      </w:r>
      <w:r>
        <w:rPr>
          <w:rFonts w:ascii="Times New Roman" w:hAnsi="Times New Roman" w:eastAsia="Times New Roman" w:cs="Times New Roman"/>
          <w:spacing w:val="1"/>
          <w:position w:val="-1"/>
          <w:sz w:val="15"/>
          <w:szCs w:val="15"/>
        </w:rPr>
        <w:t>2</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H</w:t>
      </w:r>
      <w:r>
        <w:rPr>
          <w:rFonts w:ascii="Times New Roman" w:hAnsi="Times New Roman" w:eastAsia="Times New Roman" w:cs="Times New Roman"/>
          <w:spacing w:val="26"/>
          <w:position w:val="-1"/>
          <w:sz w:val="15"/>
          <w:szCs w:val="15"/>
        </w:rPr>
        <w:t>2</w:t>
      </w:r>
      <w:r>
        <w:rPr>
          <w:rFonts w:ascii="Times New Roman" w:hAnsi="Times New Roman" w:eastAsia="Times New Roman" w:cs="Times New Roman"/>
          <w:sz w:val="23"/>
          <w:szCs w:val="23"/>
        </w:rPr>
        <w:t>O</w:t>
      </w:r>
      <w:r>
        <w:rPr>
          <w:rFonts w:ascii="Times New Roman" w:hAnsi="Times New Roman" w:eastAsia="Times New Roman" w:cs="Times New Roman"/>
          <w:spacing w:val="23"/>
          <w:sz w:val="23"/>
          <w:szCs w:val="23"/>
        </w:rPr>
        <w:t xml:space="preserve"> </w:t>
      </w:r>
      <w:r>
        <w:rPr>
          <w:rFonts w:ascii="宋体" w:hAnsi="宋体" w:eastAsia="宋体" w:cs="宋体"/>
          <w:spacing w:val="13"/>
          <w:sz w:val="23"/>
          <w:szCs w:val="23"/>
        </w:rPr>
        <w:t>等，再通过排风管道排出室外。本设备技术上可行，经净化处理后的废气</w:t>
      </w:r>
      <w:r>
        <w:rPr>
          <w:rFonts w:ascii="宋体" w:hAnsi="宋体" w:eastAsia="宋体" w:cs="宋体"/>
          <w:sz w:val="23"/>
          <w:szCs w:val="23"/>
        </w:rPr>
        <w:t xml:space="preserve"> </w:t>
      </w:r>
      <w:r>
        <w:rPr>
          <w:rFonts w:ascii="宋体" w:hAnsi="宋体" w:eastAsia="宋体" w:cs="宋体"/>
          <w:spacing w:val="25"/>
          <w:sz w:val="23"/>
          <w:szCs w:val="23"/>
        </w:rPr>
        <w:t>能</w:t>
      </w:r>
      <w:r>
        <w:rPr>
          <w:rFonts w:ascii="宋体" w:hAnsi="宋体" w:eastAsia="宋体" w:cs="宋体"/>
          <w:spacing w:val="18"/>
          <w:sz w:val="23"/>
          <w:szCs w:val="23"/>
        </w:rPr>
        <w:t>够实现稳定达标排放。</w:t>
      </w:r>
    </w:p>
    <w:p w14:paraId="42071031">
      <w:pPr>
        <w:spacing w:before="136" w:line="227" w:lineRule="auto"/>
        <w:ind w:left="743"/>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宋体" w:hAnsi="宋体" w:eastAsia="宋体" w:cs="宋体"/>
          <w:spacing w:val="7"/>
          <w:sz w:val="23"/>
          <w:szCs w:val="23"/>
        </w:rPr>
        <w:t>) 活性炭吸附装置</w:t>
      </w:r>
    </w:p>
    <w:p w14:paraId="44D50797">
      <w:pPr>
        <w:spacing w:line="274" w:lineRule="auto"/>
        <w:rPr>
          <w:rFonts w:ascii="Arial"/>
          <w:sz w:val="21"/>
        </w:rPr>
      </w:pPr>
    </w:p>
    <w:p w14:paraId="4A408CA2">
      <w:pPr>
        <w:spacing w:before="75" w:line="389" w:lineRule="auto"/>
        <w:ind w:left="24" w:right="18" w:firstLine="482"/>
        <w:rPr>
          <w:rFonts w:ascii="宋体" w:hAnsi="宋体" w:eastAsia="宋体" w:cs="宋体"/>
          <w:sz w:val="23"/>
          <w:szCs w:val="23"/>
        </w:rPr>
      </w:pPr>
      <w:r>
        <w:rPr>
          <w:rFonts w:hint="eastAsia" w:ascii="宋体" w:hAnsi="宋体" w:eastAsia="宋体" w:cs="宋体"/>
          <w:spacing w:val="12"/>
          <w:sz w:val="23"/>
          <w:szCs w:val="23"/>
          <w:lang w:eastAsia="zh-CN"/>
        </w:rPr>
        <w:t>活性炭</w:t>
      </w:r>
      <w:r>
        <w:rPr>
          <w:rFonts w:ascii="宋体" w:hAnsi="宋体" w:eastAsia="宋体" w:cs="宋体"/>
          <w:spacing w:val="12"/>
          <w:sz w:val="23"/>
          <w:szCs w:val="23"/>
        </w:rPr>
        <w:t>吸</w:t>
      </w:r>
      <w:r>
        <w:rPr>
          <w:rFonts w:ascii="宋体" w:hAnsi="宋体" w:eastAsia="宋体" w:cs="宋体"/>
          <w:spacing w:val="7"/>
          <w:sz w:val="23"/>
          <w:szCs w:val="23"/>
        </w:rPr>
        <w:t>附</w:t>
      </w:r>
      <w:r>
        <w:rPr>
          <w:rFonts w:ascii="宋体" w:hAnsi="宋体" w:eastAsia="宋体" w:cs="宋体"/>
          <w:spacing w:val="6"/>
          <w:sz w:val="23"/>
          <w:szCs w:val="23"/>
        </w:rPr>
        <w:t>装置工作原理：吸附过程，由于固体表面上存在着未平衡和未饱</w:t>
      </w:r>
      <w:r>
        <w:rPr>
          <w:rFonts w:ascii="宋体" w:hAnsi="宋体" w:eastAsia="宋体" w:cs="宋体"/>
          <w:sz w:val="23"/>
          <w:szCs w:val="23"/>
        </w:rPr>
        <w:t xml:space="preserve"> </w:t>
      </w:r>
      <w:r>
        <w:rPr>
          <w:rFonts w:ascii="宋体" w:hAnsi="宋体" w:eastAsia="宋体" w:cs="宋体"/>
          <w:spacing w:val="4"/>
          <w:sz w:val="23"/>
          <w:szCs w:val="23"/>
        </w:rPr>
        <w:t>和的</w:t>
      </w:r>
      <w:r>
        <w:rPr>
          <w:rFonts w:ascii="宋体" w:hAnsi="宋体" w:eastAsia="宋体" w:cs="宋体"/>
          <w:spacing w:val="3"/>
          <w:sz w:val="23"/>
          <w:szCs w:val="23"/>
        </w:rPr>
        <w:t>分</w:t>
      </w:r>
      <w:r>
        <w:rPr>
          <w:rFonts w:ascii="宋体" w:hAnsi="宋体" w:eastAsia="宋体" w:cs="宋体"/>
          <w:spacing w:val="2"/>
          <w:sz w:val="23"/>
          <w:szCs w:val="23"/>
        </w:rPr>
        <w:t>子引力或化学键力，因此当此固体表面与气体接触时，就能吸引气体分子，</w:t>
      </w:r>
      <w:r>
        <w:rPr>
          <w:rFonts w:ascii="宋体" w:hAnsi="宋体" w:eastAsia="宋体" w:cs="宋体"/>
          <w:sz w:val="23"/>
          <w:szCs w:val="23"/>
        </w:rPr>
        <w:t xml:space="preserve"> </w:t>
      </w:r>
      <w:r>
        <w:rPr>
          <w:rFonts w:ascii="宋体" w:hAnsi="宋体" w:eastAsia="宋体" w:cs="宋体"/>
          <w:spacing w:val="8"/>
          <w:sz w:val="23"/>
          <w:szCs w:val="23"/>
        </w:rPr>
        <w:t>使</w:t>
      </w:r>
      <w:r>
        <w:rPr>
          <w:rFonts w:ascii="宋体" w:hAnsi="宋体" w:eastAsia="宋体" w:cs="宋体"/>
          <w:spacing w:val="7"/>
          <w:sz w:val="23"/>
          <w:szCs w:val="23"/>
        </w:rPr>
        <w:t>其浓聚并保持在固体表面，此现象称为吸附。利用固体表面的吸附能力，使废</w:t>
      </w:r>
      <w:r>
        <w:rPr>
          <w:rFonts w:ascii="宋体" w:hAnsi="宋体" w:eastAsia="宋体" w:cs="宋体"/>
          <w:sz w:val="23"/>
          <w:szCs w:val="23"/>
        </w:rPr>
        <w:t xml:space="preserve"> </w:t>
      </w:r>
      <w:r>
        <w:rPr>
          <w:rFonts w:ascii="宋体" w:hAnsi="宋体" w:eastAsia="宋体" w:cs="宋体"/>
          <w:spacing w:val="8"/>
          <w:sz w:val="23"/>
          <w:szCs w:val="23"/>
        </w:rPr>
        <w:t>气</w:t>
      </w:r>
      <w:r>
        <w:rPr>
          <w:rFonts w:ascii="宋体" w:hAnsi="宋体" w:eastAsia="宋体" w:cs="宋体"/>
          <w:spacing w:val="7"/>
          <w:sz w:val="23"/>
          <w:szCs w:val="23"/>
        </w:rPr>
        <w:t>与大表面的多孔性固体物质相接触，废气中的污染物被吸附在固体表面上，使</w:t>
      </w:r>
      <w:r>
        <w:rPr>
          <w:rFonts w:ascii="宋体" w:hAnsi="宋体" w:eastAsia="宋体" w:cs="宋体"/>
          <w:sz w:val="23"/>
          <w:szCs w:val="23"/>
        </w:rPr>
        <w:t xml:space="preserve"> </w:t>
      </w:r>
      <w:r>
        <w:rPr>
          <w:rFonts w:ascii="宋体" w:hAnsi="宋体" w:eastAsia="宋体" w:cs="宋体"/>
          <w:spacing w:val="9"/>
          <w:sz w:val="23"/>
          <w:szCs w:val="23"/>
        </w:rPr>
        <w:t>其与气体混合物分离，达到净化目的</w:t>
      </w:r>
      <w:r>
        <w:rPr>
          <w:rFonts w:ascii="宋体" w:hAnsi="宋体" w:eastAsia="宋体" w:cs="宋体"/>
          <w:spacing w:val="5"/>
          <w:sz w:val="23"/>
          <w:szCs w:val="23"/>
        </w:rPr>
        <w:t>。</w:t>
      </w:r>
    </w:p>
    <w:p w14:paraId="6B7174A7">
      <w:pPr>
        <w:spacing w:before="135" w:line="227" w:lineRule="auto"/>
        <w:ind w:left="507"/>
        <w:rPr>
          <w:rFonts w:ascii="宋体" w:hAnsi="宋体" w:eastAsia="宋体" w:cs="宋体"/>
          <w:sz w:val="23"/>
          <w:szCs w:val="23"/>
        </w:rPr>
      </w:pPr>
      <w:r>
        <w:rPr>
          <w:rFonts w:ascii="宋体" w:hAnsi="宋体" w:eastAsia="宋体" w:cs="宋体"/>
          <w:spacing w:val="21"/>
          <w:sz w:val="23"/>
          <w:szCs w:val="23"/>
        </w:rPr>
        <w:t>该</w:t>
      </w:r>
      <w:r>
        <w:rPr>
          <w:rFonts w:ascii="宋体" w:hAnsi="宋体" w:eastAsia="宋体" w:cs="宋体"/>
          <w:spacing w:val="11"/>
          <w:sz w:val="23"/>
          <w:szCs w:val="23"/>
        </w:rPr>
        <w:t xml:space="preserve">项目在每条生产线的热熔造粒工序均设置 </w:t>
      </w:r>
      <w:r>
        <w:rPr>
          <w:rFonts w:ascii="Times New Roman" w:hAnsi="Times New Roman" w:eastAsia="Times New Roman" w:cs="Times New Roman"/>
          <w:spacing w:val="11"/>
          <w:sz w:val="23"/>
          <w:szCs w:val="23"/>
        </w:rPr>
        <w:t xml:space="preserve">1 </w:t>
      </w:r>
      <w:r>
        <w:rPr>
          <w:rFonts w:ascii="宋体" w:hAnsi="宋体" w:eastAsia="宋体" w:cs="宋体"/>
          <w:spacing w:val="11"/>
          <w:sz w:val="23"/>
          <w:szCs w:val="23"/>
        </w:rPr>
        <w:t>个集气罩 (集气罩采用伞形</w:t>
      </w:r>
    </w:p>
    <w:p w14:paraId="44037A31">
      <w:pPr>
        <w:spacing w:before="156" w:line="391" w:lineRule="auto"/>
        <w:ind w:left="21" w:right="77" w:firstLine="1"/>
        <w:rPr>
          <w:rFonts w:ascii="宋体" w:hAnsi="宋体" w:eastAsia="宋体" w:cs="宋体"/>
          <w:sz w:val="23"/>
          <w:szCs w:val="23"/>
        </w:rPr>
      </w:pPr>
      <w:r>
        <w:rPr>
          <w:rFonts w:ascii="宋体" w:hAnsi="宋体" w:eastAsia="宋体" w:cs="宋体"/>
          <w:spacing w:val="10"/>
          <w:sz w:val="23"/>
          <w:szCs w:val="23"/>
        </w:rPr>
        <w:t>罩，在设备约</w:t>
      </w:r>
      <w:r>
        <w:rPr>
          <w:rFonts w:ascii="宋体" w:hAnsi="宋体" w:eastAsia="宋体" w:cs="宋体"/>
          <w:spacing w:val="6"/>
          <w:sz w:val="23"/>
          <w:szCs w:val="23"/>
        </w:rPr>
        <w:t xml:space="preserve"> </w:t>
      </w:r>
      <w:r>
        <w:rPr>
          <w:rFonts w:ascii="Times New Roman" w:hAnsi="Times New Roman" w:eastAsia="Times New Roman" w:cs="Times New Roman"/>
          <w:spacing w:val="5"/>
          <w:sz w:val="23"/>
          <w:szCs w:val="23"/>
        </w:rPr>
        <w:t>30</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的正上方，集气罩集气效率为 </w:t>
      </w:r>
      <w:r>
        <w:rPr>
          <w:rFonts w:ascii="Times New Roman" w:hAnsi="Times New Roman" w:eastAsia="Times New Roman" w:cs="Times New Roman"/>
          <w:spacing w:val="5"/>
          <w:sz w:val="23"/>
          <w:szCs w:val="23"/>
        </w:rPr>
        <w:t>90%</w:t>
      </w:r>
      <w:r>
        <w:rPr>
          <w:rFonts w:ascii="宋体" w:hAnsi="宋体" w:eastAsia="宋体" w:cs="宋体"/>
          <w:spacing w:val="5"/>
          <w:sz w:val="23"/>
          <w:szCs w:val="23"/>
        </w:rPr>
        <w:t xml:space="preserve">) ，共计 </w:t>
      </w:r>
      <w:r>
        <w:rPr>
          <w:rFonts w:ascii="Times New Roman" w:hAnsi="Times New Roman" w:eastAsia="Times New Roman" w:cs="Times New Roman"/>
          <w:spacing w:val="5"/>
          <w:sz w:val="23"/>
          <w:szCs w:val="23"/>
        </w:rPr>
        <w:t xml:space="preserve">10 </w:t>
      </w:r>
      <w:r>
        <w:rPr>
          <w:rFonts w:ascii="宋体" w:hAnsi="宋体" w:eastAsia="宋体" w:cs="宋体"/>
          <w:spacing w:val="5"/>
          <w:sz w:val="23"/>
          <w:szCs w:val="23"/>
        </w:rPr>
        <w:t>个集气罩。</w:t>
      </w:r>
      <w:r>
        <w:rPr>
          <w:rFonts w:ascii="宋体" w:hAnsi="宋体" w:eastAsia="宋体" w:cs="宋体"/>
          <w:sz w:val="23"/>
          <w:szCs w:val="23"/>
        </w:rPr>
        <w:t xml:space="preserve"> </w:t>
      </w:r>
      <w:r>
        <w:rPr>
          <w:rFonts w:ascii="宋体" w:hAnsi="宋体" w:eastAsia="宋体" w:cs="宋体"/>
          <w:spacing w:val="4"/>
          <w:sz w:val="23"/>
          <w:szCs w:val="23"/>
        </w:rPr>
        <w:t>与此同时，项</w:t>
      </w:r>
      <w:r>
        <w:rPr>
          <w:rFonts w:ascii="宋体" w:hAnsi="宋体" w:eastAsia="宋体" w:cs="宋体"/>
          <w:spacing w:val="3"/>
          <w:sz w:val="23"/>
          <w:szCs w:val="23"/>
        </w:rPr>
        <w:t>目</w:t>
      </w:r>
      <w:r>
        <w:rPr>
          <w:rFonts w:ascii="宋体" w:hAnsi="宋体" w:eastAsia="宋体" w:cs="宋体"/>
          <w:spacing w:val="2"/>
          <w:sz w:val="23"/>
          <w:szCs w:val="23"/>
        </w:rPr>
        <w:t xml:space="preserve">设有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 xml:space="preserve">台 </w:t>
      </w:r>
      <w:r>
        <w:rPr>
          <w:rFonts w:ascii="Times New Roman" w:hAnsi="Times New Roman" w:eastAsia="Times New Roman" w:cs="Times New Roman"/>
          <w:sz w:val="23"/>
          <w:szCs w:val="23"/>
        </w:rPr>
        <w:t>UV</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光氧催化废气处理装置以及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台活性炭吸附装置，</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台 </w:t>
      </w:r>
      <w:r>
        <w:rPr>
          <w:rFonts w:ascii="Times New Roman" w:hAnsi="Times New Roman" w:eastAsia="Times New Roman" w:cs="Times New Roman"/>
          <w:sz w:val="23"/>
          <w:szCs w:val="23"/>
        </w:rPr>
        <w:t>UV</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光氧催化</w:t>
      </w:r>
      <w:r>
        <w:rPr>
          <w:rFonts w:ascii="宋体" w:hAnsi="宋体" w:eastAsia="宋体" w:cs="宋体"/>
          <w:spacing w:val="5"/>
          <w:sz w:val="23"/>
          <w:szCs w:val="23"/>
        </w:rPr>
        <w:t>废</w:t>
      </w:r>
      <w:r>
        <w:rPr>
          <w:rFonts w:ascii="宋体" w:hAnsi="宋体" w:eastAsia="宋体" w:cs="宋体"/>
          <w:spacing w:val="3"/>
          <w:sz w:val="23"/>
          <w:szCs w:val="23"/>
        </w:rPr>
        <w:t xml:space="preserve">气处理装置和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台活性炭吸附装置组成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套废气治理装置，</w:t>
      </w:r>
      <w:r>
        <w:rPr>
          <w:rFonts w:ascii="宋体" w:hAnsi="宋体" w:eastAsia="宋体" w:cs="宋体"/>
          <w:sz w:val="23"/>
          <w:szCs w:val="23"/>
        </w:rPr>
        <w:t xml:space="preserve"> </w:t>
      </w:r>
      <w:r>
        <w:rPr>
          <w:rFonts w:ascii="宋体" w:hAnsi="宋体" w:eastAsia="宋体" w:cs="宋体"/>
          <w:spacing w:val="10"/>
          <w:sz w:val="23"/>
          <w:szCs w:val="23"/>
        </w:rPr>
        <w:t>则</w:t>
      </w:r>
      <w:r>
        <w:rPr>
          <w:rFonts w:ascii="宋体" w:hAnsi="宋体" w:eastAsia="宋体" w:cs="宋体"/>
          <w:spacing w:val="6"/>
          <w:sz w:val="23"/>
          <w:szCs w:val="23"/>
        </w:rPr>
        <w:t>厂</w:t>
      </w:r>
      <w:r>
        <w:rPr>
          <w:rFonts w:ascii="宋体" w:hAnsi="宋体" w:eastAsia="宋体" w:cs="宋体"/>
          <w:spacing w:val="5"/>
          <w:sz w:val="23"/>
          <w:szCs w:val="23"/>
        </w:rPr>
        <w:t xml:space="preserve">区内共计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套废气治理装置，分别位于生产厂房东侧、西侧中部。该项目每</w:t>
      </w:r>
      <w:r>
        <w:rPr>
          <w:rFonts w:ascii="宋体" w:hAnsi="宋体" w:eastAsia="宋体" w:cs="宋体"/>
          <w:sz w:val="23"/>
          <w:szCs w:val="23"/>
        </w:rPr>
        <w:t xml:space="preserve"> </w:t>
      </w:r>
      <w:r>
        <w:rPr>
          <w:rFonts w:ascii="Times New Roman" w:hAnsi="Times New Roman" w:eastAsia="Times New Roman" w:cs="Times New Roman"/>
          <w:spacing w:val="23"/>
          <w:sz w:val="23"/>
          <w:szCs w:val="23"/>
        </w:rPr>
        <w:t xml:space="preserve">5 </w:t>
      </w:r>
      <w:r>
        <w:rPr>
          <w:rFonts w:ascii="宋体" w:hAnsi="宋体" w:eastAsia="宋体" w:cs="宋体"/>
          <w:spacing w:val="23"/>
          <w:sz w:val="23"/>
          <w:szCs w:val="23"/>
        </w:rPr>
        <w:t xml:space="preserve">条生产线共用 </w:t>
      </w:r>
      <w:r>
        <w:rPr>
          <w:rFonts w:ascii="Times New Roman" w:hAnsi="Times New Roman" w:eastAsia="Times New Roman" w:cs="Times New Roman"/>
          <w:spacing w:val="23"/>
          <w:sz w:val="23"/>
          <w:szCs w:val="23"/>
        </w:rPr>
        <w:t xml:space="preserve">1 </w:t>
      </w:r>
      <w:r>
        <w:rPr>
          <w:rFonts w:ascii="宋体" w:hAnsi="宋体" w:eastAsia="宋体" w:cs="宋体"/>
          <w:spacing w:val="23"/>
          <w:sz w:val="23"/>
          <w:szCs w:val="23"/>
        </w:rPr>
        <w:t>套废气处理设施 ，集气罩收集后的有机废气经由风量</w:t>
      </w:r>
      <w:r>
        <w:rPr>
          <w:rFonts w:ascii="宋体" w:hAnsi="宋体" w:eastAsia="宋体" w:cs="宋体"/>
          <w:spacing w:val="16"/>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8"/>
          <w:sz w:val="23"/>
          <w:szCs w:val="23"/>
        </w:rPr>
        <w:t>5000</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的引风机抽入每个厂房内各自设置的废气治理装置中，经过 </w:t>
      </w:r>
      <w:r>
        <w:rPr>
          <w:rFonts w:ascii="Times New Roman" w:hAnsi="Times New Roman" w:eastAsia="Times New Roman" w:cs="Times New Roman"/>
          <w:sz w:val="23"/>
          <w:szCs w:val="23"/>
        </w:rPr>
        <w:t>UV</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光氧催</w:t>
      </w:r>
      <w:r>
        <w:rPr>
          <w:rFonts w:ascii="宋体" w:hAnsi="宋体" w:eastAsia="宋体" w:cs="宋体"/>
          <w:sz w:val="23"/>
          <w:szCs w:val="23"/>
        </w:rPr>
        <w:t xml:space="preserve"> </w:t>
      </w:r>
      <w:r>
        <w:rPr>
          <w:rFonts w:ascii="宋体" w:hAnsi="宋体" w:eastAsia="宋体" w:cs="宋体"/>
          <w:spacing w:val="6"/>
          <w:sz w:val="23"/>
          <w:szCs w:val="23"/>
        </w:rPr>
        <w:t>化废气处理装置</w:t>
      </w:r>
      <w:r>
        <w:rPr>
          <w:rFonts w:ascii="Times New Roman" w:hAnsi="Times New Roman" w:eastAsia="Times New Roman" w:cs="Times New Roman"/>
          <w:spacing w:val="6"/>
          <w:sz w:val="23"/>
          <w:szCs w:val="23"/>
        </w:rPr>
        <w:t>+</w:t>
      </w:r>
      <w:r>
        <w:rPr>
          <w:rFonts w:ascii="宋体" w:hAnsi="宋体" w:eastAsia="宋体" w:cs="宋体"/>
          <w:spacing w:val="6"/>
          <w:sz w:val="23"/>
          <w:szCs w:val="23"/>
        </w:rPr>
        <w:t xml:space="preserve">活性炭吸附装置处理后通过 </w:t>
      </w:r>
      <w:r>
        <w:rPr>
          <w:rFonts w:ascii="Times New Roman" w:hAnsi="Times New Roman" w:eastAsia="Times New Roman" w:cs="Times New Roman"/>
          <w:spacing w:val="6"/>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高排气筒有组织排放，共计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 xml:space="preserve"> </w:t>
      </w:r>
      <w:r>
        <w:rPr>
          <w:rFonts w:ascii="宋体" w:hAnsi="宋体" w:eastAsia="宋体" w:cs="宋体"/>
          <w:spacing w:val="12"/>
          <w:sz w:val="23"/>
          <w:szCs w:val="23"/>
        </w:rPr>
        <w:t>个</w:t>
      </w:r>
      <w:r>
        <w:rPr>
          <w:rFonts w:ascii="宋体" w:hAnsi="宋体" w:eastAsia="宋体" w:cs="宋体"/>
          <w:spacing w:val="11"/>
          <w:sz w:val="23"/>
          <w:szCs w:val="23"/>
        </w:rPr>
        <w:t>排气筒 (</w:t>
      </w:r>
      <w:r>
        <w:rPr>
          <w:rFonts w:ascii="Times New Roman" w:hAnsi="Times New Roman" w:eastAsia="Times New Roman" w:cs="Times New Roman"/>
          <w:spacing w:val="11"/>
          <w:sz w:val="23"/>
          <w:szCs w:val="23"/>
        </w:rPr>
        <w:t>1#</w:t>
      </w:r>
      <w:r>
        <w:rPr>
          <w:rFonts w:ascii="宋体" w:hAnsi="宋体" w:eastAsia="宋体" w:cs="宋体"/>
          <w:spacing w:val="11"/>
          <w:sz w:val="23"/>
          <w:szCs w:val="23"/>
        </w:rPr>
        <w:t>排气筒、</w:t>
      </w:r>
      <w:r>
        <w:rPr>
          <w:rFonts w:ascii="Times New Roman" w:hAnsi="Times New Roman" w:eastAsia="Times New Roman" w:cs="Times New Roman"/>
          <w:spacing w:val="11"/>
          <w:sz w:val="23"/>
          <w:szCs w:val="23"/>
        </w:rPr>
        <w:t>2#</w:t>
      </w:r>
      <w:r>
        <w:rPr>
          <w:rFonts w:ascii="宋体" w:hAnsi="宋体" w:eastAsia="宋体" w:cs="宋体"/>
          <w:spacing w:val="11"/>
          <w:sz w:val="23"/>
          <w:szCs w:val="23"/>
        </w:rPr>
        <w:t>排气筒) 。</w:t>
      </w:r>
      <w:r>
        <w:rPr>
          <w:rFonts w:ascii="Times New Roman" w:hAnsi="Times New Roman" w:eastAsia="Times New Roman" w:cs="Times New Roman"/>
          <w:sz w:val="23"/>
          <w:szCs w:val="23"/>
        </w:rPr>
        <w:t>UV</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光氧催化废气处理装置</w:t>
      </w:r>
      <w:r>
        <w:rPr>
          <w:rFonts w:ascii="Times New Roman" w:hAnsi="Times New Roman" w:eastAsia="Times New Roman" w:cs="Times New Roman"/>
          <w:spacing w:val="11"/>
          <w:sz w:val="23"/>
          <w:szCs w:val="23"/>
        </w:rPr>
        <w:t>+</w:t>
      </w:r>
      <w:r>
        <w:rPr>
          <w:rFonts w:ascii="宋体" w:hAnsi="宋体" w:eastAsia="宋体" w:cs="宋体"/>
          <w:spacing w:val="11"/>
          <w:sz w:val="23"/>
          <w:szCs w:val="23"/>
        </w:rPr>
        <w:t>活性炭吸附装</w:t>
      </w:r>
      <w:r>
        <w:rPr>
          <w:rFonts w:ascii="宋体" w:hAnsi="宋体" w:eastAsia="宋体" w:cs="宋体"/>
          <w:sz w:val="23"/>
          <w:szCs w:val="23"/>
        </w:rPr>
        <w:t xml:space="preserve"> </w:t>
      </w:r>
      <w:r>
        <w:rPr>
          <w:rFonts w:ascii="宋体" w:hAnsi="宋体" w:eastAsia="宋体" w:cs="宋体"/>
          <w:spacing w:val="8"/>
          <w:sz w:val="23"/>
          <w:szCs w:val="23"/>
        </w:rPr>
        <w:t>置对非甲烷总</w:t>
      </w:r>
      <w:r>
        <w:rPr>
          <w:rFonts w:ascii="宋体" w:hAnsi="宋体" w:eastAsia="宋体" w:cs="宋体"/>
          <w:spacing w:val="4"/>
          <w:sz w:val="23"/>
          <w:szCs w:val="23"/>
        </w:rPr>
        <w:t xml:space="preserve">烃的处理效率为 </w:t>
      </w:r>
      <w:r>
        <w:rPr>
          <w:rFonts w:ascii="Times New Roman" w:hAnsi="Times New Roman" w:eastAsia="Times New Roman" w:cs="Times New Roman"/>
          <w:spacing w:val="4"/>
          <w:sz w:val="23"/>
          <w:szCs w:val="23"/>
        </w:rPr>
        <w:t>85%</w:t>
      </w:r>
      <w:r>
        <w:rPr>
          <w:rFonts w:ascii="宋体" w:hAnsi="宋体" w:eastAsia="宋体" w:cs="宋体"/>
          <w:spacing w:val="4"/>
          <w:sz w:val="23"/>
          <w:szCs w:val="23"/>
        </w:rPr>
        <w:t>，废气处理后，颗粒物和非甲烷总烃排放浓度</w:t>
      </w:r>
    </w:p>
    <w:p w14:paraId="3E777891">
      <w:pPr>
        <w:sectPr>
          <w:footerReference r:id="rId268" w:type="default"/>
          <w:pgSz w:w="11906" w:h="16839"/>
          <w:pgMar w:top="1132" w:right="1719" w:bottom="1182" w:left="1785" w:header="878" w:footer="1022" w:gutter="0"/>
          <w:cols w:space="720" w:num="1"/>
        </w:sectPr>
      </w:pPr>
    </w:p>
    <w:p w14:paraId="180376D2">
      <w:pPr>
        <w:spacing w:line="409" w:lineRule="auto"/>
        <w:rPr>
          <w:rFonts w:ascii="Arial"/>
          <w:sz w:val="21"/>
        </w:rPr>
      </w:pPr>
      <w:r>
        <w:pict>
          <v:shape id="_x0000_s1302" o:spid="_x0000_s1302" style="position:absolute;left:0pt;margin-left:90pt;margin-top:57.35pt;height:0.75pt;width:415.3pt;mso-position-horizontal-relative:page;mso-position-vertical-relative:page;z-index:251955200;mso-width-relative:page;mso-height-relative:page;" fillcolor="#000000" filled="t" stroked="f" coordsize="8305,15" o:allowincell="f" path="m0,0l8305,0,8305,14,0,14,0,0xe">
            <v:path/>
            <v:fill on="t" focussize="0,0"/>
            <v:stroke on="f"/>
            <v:imagedata o:title=""/>
            <o:lock v:ext="edit"/>
          </v:shape>
        </w:pict>
      </w:r>
    </w:p>
    <w:p w14:paraId="7AB8360B">
      <w:pPr>
        <w:spacing w:before="74" w:line="227" w:lineRule="auto"/>
        <w:ind w:left="24"/>
        <w:rPr>
          <w:rFonts w:ascii="宋体" w:hAnsi="宋体" w:eastAsia="宋体" w:cs="宋体"/>
          <w:sz w:val="23"/>
          <w:szCs w:val="23"/>
        </w:rPr>
      </w:pPr>
      <w:r>
        <w:rPr>
          <w:rFonts w:ascii="宋体" w:hAnsi="宋体" w:eastAsia="宋体" w:cs="宋体"/>
          <w:spacing w:val="6"/>
          <w:sz w:val="23"/>
          <w:szCs w:val="23"/>
        </w:rPr>
        <w:t>均</w:t>
      </w:r>
      <w:r>
        <w:rPr>
          <w:rFonts w:ascii="宋体" w:hAnsi="宋体" w:eastAsia="宋体" w:cs="宋体"/>
          <w:spacing w:val="5"/>
          <w:sz w:val="23"/>
          <w:szCs w:val="23"/>
        </w:rPr>
        <w:t>满足《合成树脂工业污染物排放标准》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31572-2015</w:t>
      </w:r>
      <w:r>
        <w:rPr>
          <w:rFonts w:ascii="宋体" w:hAnsi="宋体" w:eastAsia="宋体" w:cs="宋体"/>
          <w:spacing w:val="5"/>
          <w:sz w:val="23"/>
          <w:szCs w:val="23"/>
        </w:rPr>
        <w:t>) 相关标准的要求。</w:t>
      </w:r>
    </w:p>
    <w:p w14:paraId="7AD85128">
      <w:pPr>
        <w:spacing w:line="276" w:lineRule="auto"/>
        <w:rPr>
          <w:rFonts w:ascii="Arial"/>
          <w:sz w:val="21"/>
        </w:rPr>
      </w:pPr>
    </w:p>
    <w:p w14:paraId="7E467FFA">
      <w:pPr>
        <w:spacing w:before="75" w:line="228" w:lineRule="auto"/>
        <w:ind w:left="514"/>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热风炉烟气污染防治措施</w:t>
      </w:r>
    </w:p>
    <w:p w14:paraId="01E022A0">
      <w:pPr>
        <w:spacing w:line="282" w:lineRule="auto"/>
        <w:rPr>
          <w:rFonts w:ascii="Arial"/>
          <w:sz w:val="21"/>
        </w:rPr>
      </w:pPr>
    </w:p>
    <w:p w14:paraId="3E32AE62">
      <w:pPr>
        <w:spacing w:before="74" w:line="392" w:lineRule="auto"/>
        <w:ind w:left="22" w:right="11" w:firstLine="484"/>
        <w:rPr>
          <w:rFonts w:ascii="宋体" w:hAnsi="宋体" w:eastAsia="宋体" w:cs="宋体"/>
          <w:sz w:val="23"/>
          <w:szCs w:val="23"/>
        </w:rPr>
      </w:pPr>
      <w:r>
        <w:rPr>
          <w:rFonts w:ascii="宋体" w:hAnsi="宋体" w:eastAsia="宋体" w:cs="宋体"/>
          <w:spacing w:val="10"/>
          <w:sz w:val="23"/>
          <w:szCs w:val="23"/>
        </w:rPr>
        <w:t>该项目洗字</w:t>
      </w:r>
      <w:r>
        <w:rPr>
          <w:rFonts w:ascii="宋体" w:hAnsi="宋体" w:eastAsia="宋体" w:cs="宋体"/>
          <w:spacing w:val="5"/>
          <w:sz w:val="23"/>
          <w:szCs w:val="23"/>
        </w:rPr>
        <w:t xml:space="preserve">工序设有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个容积为 </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7"/>
          <w:sz w:val="15"/>
          <w:szCs w:val="15"/>
        </w:rPr>
        <w:t xml:space="preserve">3 </w:t>
      </w:r>
      <w:r>
        <w:rPr>
          <w:rFonts w:ascii="宋体" w:hAnsi="宋体" w:eastAsia="宋体" w:cs="宋体"/>
          <w:spacing w:val="5"/>
          <w:sz w:val="23"/>
          <w:szCs w:val="23"/>
        </w:rPr>
        <w:t>的洗字槽 (</w:t>
      </w:r>
      <w:r>
        <w:rPr>
          <w:rFonts w:ascii="Times New Roman" w:hAnsi="Times New Roman" w:eastAsia="Times New Roman" w:cs="Times New Roman"/>
          <w:spacing w:val="5"/>
          <w:sz w:val="23"/>
          <w:szCs w:val="23"/>
        </w:rPr>
        <w:t>2.5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×2</w:t>
      </w:r>
      <w:r>
        <w:rPr>
          <w:rFonts w:ascii="Times New Roman" w:hAnsi="Times New Roman" w:eastAsia="Times New Roman" w:cs="Times New Roman"/>
          <w:sz w:val="23"/>
          <w:szCs w:val="23"/>
        </w:rPr>
        <w:t>m</w:t>
      </w:r>
      <w:r>
        <w:rPr>
          <w:rFonts w:ascii="宋体" w:hAnsi="宋体" w:eastAsia="宋体" w:cs="宋体"/>
          <w:spacing w:val="5"/>
          <w:sz w:val="23"/>
          <w:szCs w:val="23"/>
        </w:rPr>
        <w:t>) ，配套设</w:t>
      </w:r>
      <w:r>
        <w:rPr>
          <w:rFonts w:ascii="宋体" w:hAnsi="宋体" w:eastAsia="宋体" w:cs="宋体"/>
          <w:sz w:val="23"/>
          <w:szCs w:val="23"/>
        </w:rPr>
        <w:t xml:space="preserve"> </w:t>
      </w:r>
      <w:r>
        <w:rPr>
          <w:rFonts w:ascii="宋体" w:hAnsi="宋体" w:eastAsia="宋体" w:cs="宋体"/>
          <w:spacing w:val="12"/>
          <w:sz w:val="23"/>
          <w:szCs w:val="23"/>
        </w:rPr>
        <w:t xml:space="preserve">有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台 </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的热风炉，用于加热洗字槽内的洗字用水，燃烧燃料为</w:t>
      </w:r>
      <w:r>
        <w:rPr>
          <w:rFonts w:ascii="Times New Roman" w:hAnsi="Times New Roman" w:eastAsia="Times New Roman" w:cs="Times New Roman"/>
          <w:spacing w:val="6"/>
          <w:sz w:val="23"/>
          <w:szCs w:val="23"/>
        </w:rPr>
        <w:t>“</w:t>
      </w:r>
      <w:r>
        <w:rPr>
          <w:rFonts w:ascii="宋体" w:hAnsi="宋体" w:eastAsia="宋体" w:cs="宋体"/>
          <w:spacing w:val="6"/>
          <w:sz w:val="23"/>
          <w:szCs w:val="23"/>
        </w:rPr>
        <w:t>国家能源局</w:t>
      </w:r>
      <w:r>
        <w:rPr>
          <w:rFonts w:ascii="宋体" w:hAnsi="宋体" w:eastAsia="宋体" w:cs="宋体"/>
          <w:sz w:val="23"/>
          <w:szCs w:val="23"/>
        </w:rPr>
        <w:t xml:space="preserve"> </w:t>
      </w:r>
      <w:r>
        <w:rPr>
          <w:rFonts w:ascii="宋体" w:hAnsi="宋体" w:eastAsia="宋体" w:cs="宋体"/>
          <w:spacing w:val="12"/>
          <w:sz w:val="23"/>
          <w:szCs w:val="23"/>
        </w:rPr>
        <w:t>及环境保</w:t>
      </w:r>
      <w:r>
        <w:rPr>
          <w:rFonts w:ascii="宋体" w:hAnsi="宋体" w:eastAsia="宋体" w:cs="宋体"/>
          <w:spacing w:val="6"/>
          <w:sz w:val="23"/>
          <w:szCs w:val="23"/>
        </w:rPr>
        <w:t>护部文件 (国能新能</w:t>
      </w:r>
      <w:r>
        <w:rPr>
          <w:rFonts w:ascii="Times New Roman" w:hAnsi="Times New Roman" w:eastAsia="Times New Roman" w:cs="Times New Roman"/>
          <w:spacing w:val="6"/>
          <w:sz w:val="23"/>
          <w:szCs w:val="23"/>
        </w:rPr>
        <w:t xml:space="preserve">[2014]520 </w:t>
      </w:r>
      <w:r>
        <w:rPr>
          <w:rFonts w:ascii="宋体" w:hAnsi="宋体" w:eastAsia="宋体" w:cs="宋体"/>
          <w:spacing w:val="6"/>
          <w:sz w:val="23"/>
          <w:szCs w:val="23"/>
        </w:rPr>
        <w:t xml:space="preserve">号) </w:t>
      </w:r>
      <w:r>
        <w:rPr>
          <w:rFonts w:ascii="Times New Roman" w:hAnsi="Times New Roman" w:eastAsia="Times New Roman" w:cs="Times New Roman"/>
          <w:spacing w:val="6"/>
          <w:sz w:val="23"/>
          <w:szCs w:val="23"/>
        </w:rPr>
        <w:t>”</w:t>
      </w:r>
      <w:r>
        <w:rPr>
          <w:rFonts w:ascii="宋体" w:hAnsi="宋体" w:eastAsia="宋体" w:cs="宋体"/>
          <w:spacing w:val="6"/>
          <w:sz w:val="23"/>
          <w:szCs w:val="23"/>
        </w:rPr>
        <w:t>文件中推荐的生物质成型燃料。新</w:t>
      </w:r>
      <w:r>
        <w:rPr>
          <w:rFonts w:ascii="宋体" w:hAnsi="宋体" w:eastAsia="宋体" w:cs="宋体"/>
          <w:sz w:val="23"/>
          <w:szCs w:val="23"/>
        </w:rPr>
        <w:t xml:space="preserve"> </w:t>
      </w:r>
      <w:r>
        <w:rPr>
          <w:rFonts w:ascii="宋体" w:hAnsi="宋体" w:eastAsia="宋体" w:cs="宋体"/>
          <w:spacing w:val="6"/>
          <w:sz w:val="23"/>
          <w:szCs w:val="23"/>
        </w:rPr>
        <w:t>建热风炉配</w:t>
      </w:r>
      <w:r>
        <w:rPr>
          <w:rFonts w:ascii="宋体" w:hAnsi="宋体" w:eastAsia="宋体" w:cs="宋体"/>
          <w:spacing w:val="3"/>
          <w:sz w:val="23"/>
          <w:szCs w:val="23"/>
        </w:rPr>
        <w:t xml:space="preserve">套设施有除尘器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套、风机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台等。热风炉配备布袋除尘器，除尘效</w:t>
      </w:r>
      <w:r>
        <w:rPr>
          <w:rFonts w:ascii="宋体" w:hAnsi="宋体" w:eastAsia="宋体" w:cs="宋体"/>
          <w:sz w:val="23"/>
          <w:szCs w:val="23"/>
        </w:rPr>
        <w:t xml:space="preserve"> </w:t>
      </w:r>
      <w:r>
        <w:rPr>
          <w:rFonts w:ascii="宋体" w:hAnsi="宋体" w:eastAsia="宋体" w:cs="宋体"/>
          <w:spacing w:val="10"/>
          <w:sz w:val="23"/>
          <w:szCs w:val="23"/>
        </w:rPr>
        <w:t>率大</w:t>
      </w:r>
      <w:r>
        <w:rPr>
          <w:rFonts w:ascii="宋体" w:hAnsi="宋体" w:eastAsia="宋体" w:cs="宋体"/>
          <w:spacing w:val="7"/>
          <w:sz w:val="23"/>
          <w:szCs w:val="23"/>
        </w:rPr>
        <w:t>于</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99% </w:t>
      </w:r>
      <w:r>
        <w:rPr>
          <w:rFonts w:ascii="宋体" w:hAnsi="宋体" w:eastAsia="宋体" w:cs="宋体"/>
          <w:spacing w:val="5"/>
          <w:sz w:val="23"/>
          <w:szCs w:val="23"/>
        </w:rPr>
        <w:t>，排气筒 (</w:t>
      </w:r>
      <w:r>
        <w:rPr>
          <w:rFonts w:ascii="Times New Roman" w:hAnsi="Times New Roman" w:eastAsia="Times New Roman" w:cs="Times New Roman"/>
          <w:spacing w:val="5"/>
          <w:sz w:val="23"/>
          <w:szCs w:val="23"/>
        </w:rPr>
        <w:t>3#</w:t>
      </w:r>
      <w:r>
        <w:rPr>
          <w:rFonts w:ascii="宋体" w:hAnsi="宋体" w:eastAsia="宋体" w:cs="宋体"/>
          <w:spacing w:val="5"/>
          <w:sz w:val="23"/>
          <w:szCs w:val="23"/>
        </w:rPr>
        <w:t xml:space="preserve">) 高度为 </w:t>
      </w:r>
      <w:r>
        <w:rPr>
          <w:rFonts w:ascii="Times New Roman" w:hAnsi="Times New Roman" w:eastAsia="Times New Roman" w:cs="Times New Roman"/>
          <w:spacing w:val="5"/>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。根据前文分析，热风炉废气排放浓度</w:t>
      </w:r>
      <w:r>
        <w:rPr>
          <w:rFonts w:ascii="宋体" w:hAnsi="宋体" w:eastAsia="宋体" w:cs="宋体"/>
          <w:sz w:val="23"/>
          <w:szCs w:val="23"/>
        </w:rPr>
        <w:t xml:space="preserve"> </w:t>
      </w:r>
      <w:r>
        <w:rPr>
          <w:rFonts w:ascii="宋体" w:hAnsi="宋体" w:eastAsia="宋体" w:cs="宋体"/>
          <w:spacing w:val="10"/>
          <w:sz w:val="23"/>
          <w:szCs w:val="23"/>
        </w:rPr>
        <w:t>可以满足《锅</w:t>
      </w:r>
      <w:r>
        <w:rPr>
          <w:rFonts w:ascii="宋体" w:hAnsi="宋体" w:eastAsia="宋体" w:cs="宋体"/>
          <w:spacing w:val="9"/>
          <w:sz w:val="23"/>
          <w:szCs w:val="23"/>
        </w:rPr>
        <w:t>炉</w:t>
      </w:r>
      <w:r>
        <w:rPr>
          <w:rFonts w:ascii="宋体" w:hAnsi="宋体" w:eastAsia="宋体" w:cs="宋体"/>
          <w:spacing w:val="5"/>
          <w:sz w:val="23"/>
          <w:szCs w:val="23"/>
        </w:rPr>
        <w:t>大气污染物排放标准》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13271-2014</w:t>
      </w:r>
      <w:r>
        <w:rPr>
          <w:rFonts w:ascii="宋体" w:hAnsi="宋体" w:eastAsia="宋体" w:cs="宋体"/>
          <w:spacing w:val="5"/>
          <w:sz w:val="23"/>
          <w:szCs w:val="23"/>
        </w:rPr>
        <w:t xml:space="preserve">) 表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标准要求 (颗粒</w:t>
      </w:r>
      <w:r>
        <w:rPr>
          <w:rFonts w:ascii="宋体" w:hAnsi="宋体" w:eastAsia="宋体" w:cs="宋体"/>
          <w:sz w:val="23"/>
          <w:szCs w:val="23"/>
        </w:rPr>
        <w:t xml:space="preserve"> </w:t>
      </w:r>
      <w:r>
        <w:rPr>
          <w:rFonts w:ascii="宋体" w:hAnsi="宋体" w:eastAsia="宋体" w:cs="宋体"/>
          <w:spacing w:val="6"/>
          <w:sz w:val="23"/>
          <w:szCs w:val="23"/>
        </w:rPr>
        <w:t>物：</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3 </w:t>
      </w:r>
      <w:r>
        <w:rPr>
          <w:rFonts w:ascii="宋体" w:hAnsi="宋体" w:eastAsia="宋体" w:cs="宋体"/>
          <w:spacing w:val="6"/>
          <w:sz w:val="23"/>
          <w:szCs w:val="23"/>
        </w:rPr>
        <w:t>，氮氧化物：</w:t>
      </w:r>
      <w:r>
        <w:rPr>
          <w:rFonts w:ascii="Times New Roman" w:hAnsi="Times New Roman" w:eastAsia="Times New Roman" w:cs="Times New Roman"/>
          <w:spacing w:val="6"/>
          <w:sz w:val="23"/>
          <w:szCs w:val="23"/>
        </w:rPr>
        <w:t>200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3 </w:t>
      </w:r>
      <w:r>
        <w:rPr>
          <w:rFonts w:ascii="宋体" w:hAnsi="宋体" w:eastAsia="宋体" w:cs="宋体"/>
          <w:spacing w:val="6"/>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6"/>
          <w:position w:val="-1"/>
          <w:sz w:val="15"/>
          <w:szCs w:val="15"/>
        </w:rPr>
        <w:t xml:space="preserve">2 </w:t>
      </w:r>
      <w:r>
        <w:rPr>
          <w:rFonts w:ascii="宋体" w:hAnsi="宋体" w:eastAsia="宋体" w:cs="宋体"/>
          <w:spacing w:val="6"/>
          <w:sz w:val="23"/>
          <w:szCs w:val="23"/>
        </w:rPr>
        <w:t>：</w:t>
      </w:r>
      <w:r>
        <w:rPr>
          <w:rFonts w:ascii="Times New Roman" w:hAnsi="Times New Roman" w:eastAsia="Times New Roman" w:cs="Times New Roman"/>
          <w:spacing w:val="6"/>
          <w:sz w:val="23"/>
          <w:szCs w:val="23"/>
        </w:rPr>
        <w:t>200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3 </w:t>
      </w:r>
      <w:r>
        <w:rPr>
          <w:rFonts w:ascii="宋体" w:hAnsi="宋体" w:eastAsia="宋体" w:cs="宋体"/>
          <w:spacing w:val="6"/>
          <w:sz w:val="23"/>
          <w:szCs w:val="23"/>
        </w:rPr>
        <w:t>) ，对环境影响较小</w:t>
      </w:r>
      <w:r>
        <w:rPr>
          <w:rFonts w:ascii="宋体" w:hAnsi="宋体" w:eastAsia="宋体" w:cs="宋体"/>
          <w:spacing w:val="2"/>
          <w:sz w:val="23"/>
          <w:szCs w:val="23"/>
        </w:rPr>
        <w:t>。</w:t>
      </w:r>
    </w:p>
    <w:p w14:paraId="6E0DCCD2">
      <w:pPr>
        <w:spacing w:before="161" w:line="388" w:lineRule="auto"/>
        <w:ind w:left="23" w:right="13" w:firstLine="480"/>
        <w:rPr>
          <w:rFonts w:ascii="宋体" w:hAnsi="宋体" w:eastAsia="宋体" w:cs="宋体"/>
          <w:sz w:val="23"/>
          <w:szCs w:val="23"/>
        </w:rPr>
      </w:pPr>
      <w:r>
        <w:rPr>
          <w:rFonts w:ascii="宋体" w:hAnsi="宋体" w:eastAsia="宋体" w:cs="宋体"/>
          <w:spacing w:val="7"/>
          <w:sz w:val="23"/>
          <w:szCs w:val="23"/>
        </w:rPr>
        <w:t>布袋除尘器是一种利用滤袋进行过滤除尘的除尘设备，其工作机理为空气</w:t>
      </w:r>
      <w:r>
        <w:rPr>
          <w:rFonts w:ascii="宋体" w:hAnsi="宋体" w:eastAsia="宋体" w:cs="宋体"/>
          <w:spacing w:val="3"/>
          <w:sz w:val="23"/>
          <w:szCs w:val="23"/>
        </w:rPr>
        <w:t>过</w:t>
      </w:r>
      <w:r>
        <w:rPr>
          <w:rFonts w:ascii="宋体" w:hAnsi="宋体" w:eastAsia="宋体" w:cs="宋体"/>
          <w:sz w:val="23"/>
          <w:szCs w:val="23"/>
        </w:rPr>
        <w:t xml:space="preserve"> </w:t>
      </w:r>
      <w:r>
        <w:rPr>
          <w:rFonts w:ascii="宋体" w:hAnsi="宋体" w:eastAsia="宋体" w:cs="宋体"/>
          <w:spacing w:val="9"/>
          <w:sz w:val="23"/>
          <w:szCs w:val="23"/>
        </w:rPr>
        <w:t>滤</w:t>
      </w:r>
      <w:r>
        <w:rPr>
          <w:rFonts w:ascii="宋体" w:hAnsi="宋体" w:eastAsia="宋体" w:cs="宋体"/>
          <w:spacing w:val="7"/>
          <w:sz w:val="23"/>
          <w:szCs w:val="23"/>
        </w:rPr>
        <w:t>理论，即含尘气体通过一定孔径大小的滤料，颗粒物被阻挡收集，净化后的气</w:t>
      </w:r>
      <w:r>
        <w:rPr>
          <w:rFonts w:ascii="宋体" w:hAnsi="宋体" w:eastAsia="宋体" w:cs="宋体"/>
          <w:sz w:val="23"/>
          <w:szCs w:val="23"/>
        </w:rPr>
        <w:t xml:space="preserve"> </w:t>
      </w:r>
      <w:r>
        <w:rPr>
          <w:rFonts w:ascii="宋体" w:hAnsi="宋体" w:eastAsia="宋体" w:cs="宋体"/>
          <w:spacing w:val="9"/>
          <w:sz w:val="23"/>
          <w:szCs w:val="23"/>
        </w:rPr>
        <w:t>体</w:t>
      </w:r>
      <w:r>
        <w:rPr>
          <w:rFonts w:ascii="宋体" w:hAnsi="宋体" w:eastAsia="宋体" w:cs="宋体"/>
          <w:spacing w:val="7"/>
          <w:sz w:val="23"/>
          <w:szCs w:val="23"/>
        </w:rPr>
        <w:t>排入大气。一般地，布袋除尘器的除尘效率很高，适应力强，能处理不同类型</w:t>
      </w:r>
      <w:r>
        <w:rPr>
          <w:rFonts w:ascii="宋体" w:hAnsi="宋体" w:eastAsia="宋体" w:cs="宋体"/>
          <w:sz w:val="23"/>
          <w:szCs w:val="23"/>
        </w:rPr>
        <w:t xml:space="preserve"> </w:t>
      </w:r>
      <w:r>
        <w:rPr>
          <w:rFonts w:ascii="宋体" w:hAnsi="宋体" w:eastAsia="宋体" w:cs="宋体"/>
          <w:spacing w:val="9"/>
          <w:sz w:val="23"/>
          <w:szCs w:val="23"/>
        </w:rPr>
        <w:t>的</w:t>
      </w:r>
      <w:r>
        <w:rPr>
          <w:rFonts w:ascii="宋体" w:hAnsi="宋体" w:eastAsia="宋体" w:cs="宋体"/>
          <w:spacing w:val="7"/>
          <w:sz w:val="23"/>
          <w:szCs w:val="23"/>
        </w:rPr>
        <w:t>颗粒物，适应的质量浓度范围大，对烟气流速的变化也具有一定的稳定性，结</w:t>
      </w:r>
      <w:r>
        <w:rPr>
          <w:rFonts w:ascii="宋体" w:hAnsi="宋体" w:eastAsia="宋体" w:cs="宋体"/>
          <w:sz w:val="23"/>
          <w:szCs w:val="23"/>
        </w:rPr>
        <w:t xml:space="preserve"> </w:t>
      </w:r>
      <w:r>
        <w:rPr>
          <w:rFonts w:ascii="宋体" w:hAnsi="宋体" w:eastAsia="宋体" w:cs="宋体"/>
          <w:spacing w:val="12"/>
          <w:sz w:val="23"/>
          <w:szCs w:val="23"/>
        </w:rPr>
        <w:t>构</w:t>
      </w:r>
      <w:r>
        <w:rPr>
          <w:rFonts w:ascii="宋体" w:hAnsi="宋体" w:eastAsia="宋体" w:cs="宋体"/>
          <w:spacing w:val="8"/>
          <w:sz w:val="23"/>
          <w:szCs w:val="23"/>
        </w:rPr>
        <w:t>简单，内部无复杂结构。</w:t>
      </w:r>
    </w:p>
    <w:p w14:paraId="61FFF920">
      <w:pPr>
        <w:spacing w:before="102" w:line="221" w:lineRule="auto"/>
        <w:ind w:left="24"/>
        <w:outlineLvl w:val="3"/>
        <w:rPr>
          <w:rFonts w:ascii="宋体" w:hAnsi="宋体" w:eastAsia="宋体" w:cs="宋体"/>
          <w:sz w:val="28"/>
          <w:szCs w:val="28"/>
        </w:rPr>
      </w:pPr>
      <w:r>
        <w:rPr>
          <w:rFonts w:ascii="Times New Roman" w:hAnsi="Times New Roman" w:eastAsia="Times New Roman" w:cs="Times New Roman"/>
          <w:b/>
          <w:bCs/>
          <w:spacing w:val="16"/>
          <w:sz w:val="28"/>
          <w:szCs w:val="28"/>
        </w:rPr>
        <w:t>6</w:t>
      </w:r>
      <w:r>
        <w:rPr>
          <w:rFonts w:ascii="Times New Roman" w:hAnsi="Times New Roman" w:eastAsia="Times New Roman" w:cs="Times New Roman"/>
          <w:b/>
          <w:bCs/>
          <w:spacing w:val="15"/>
          <w:sz w:val="28"/>
          <w:szCs w:val="28"/>
        </w:rPr>
        <w:t>.</w:t>
      </w:r>
      <w:r>
        <w:rPr>
          <w:rFonts w:ascii="Times New Roman" w:hAnsi="Times New Roman" w:eastAsia="Times New Roman" w:cs="Times New Roman"/>
          <w:b/>
          <w:bCs/>
          <w:spacing w:val="8"/>
          <w:sz w:val="28"/>
          <w:szCs w:val="28"/>
        </w:rPr>
        <w:t>2.2.2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无组织废气污染防治措施</w:t>
      </w:r>
    </w:p>
    <w:p w14:paraId="62909DE2">
      <w:pPr>
        <w:spacing w:line="261" w:lineRule="auto"/>
        <w:rPr>
          <w:rFonts w:ascii="Arial"/>
          <w:sz w:val="21"/>
        </w:rPr>
      </w:pPr>
    </w:p>
    <w:p w14:paraId="28C1B4BD">
      <w:pPr>
        <w:spacing w:before="76" w:line="390" w:lineRule="auto"/>
        <w:ind w:left="22" w:right="13" w:firstLine="484"/>
        <w:rPr>
          <w:rFonts w:ascii="宋体" w:hAnsi="宋体" w:eastAsia="宋体" w:cs="宋体"/>
          <w:sz w:val="23"/>
          <w:szCs w:val="23"/>
        </w:rPr>
      </w:pPr>
      <w:r>
        <w:rPr>
          <w:rFonts w:ascii="宋体" w:hAnsi="宋体" w:eastAsia="宋体" w:cs="宋体"/>
          <w:spacing w:val="19"/>
          <w:sz w:val="23"/>
          <w:szCs w:val="23"/>
        </w:rPr>
        <w:t>项</w:t>
      </w:r>
      <w:r>
        <w:rPr>
          <w:rFonts w:ascii="宋体" w:hAnsi="宋体" w:eastAsia="宋体" w:cs="宋体"/>
          <w:spacing w:val="14"/>
          <w:sz w:val="23"/>
          <w:szCs w:val="23"/>
        </w:rPr>
        <w:t>目无组织废气主要是生产过程中未被集气罩收集到而逸散到空气中的有</w:t>
      </w:r>
      <w:r>
        <w:rPr>
          <w:rFonts w:ascii="宋体" w:hAnsi="宋体" w:eastAsia="宋体" w:cs="宋体"/>
          <w:sz w:val="23"/>
          <w:szCs w:val="23"/>
        </w:rPr>
        <w:t xml:space="preserve"> </w:t>
      </w:r>
      <w:r>
        <w:rPr>
          <w:rFonts w:ascii="宋体" w:hAnsi="宋体" w:eastAsia="宋体" w:cs="宋体"/>
          <w:spacing w:val="9"/>
          <w:sz w:val="23"/>
          <w:szCs w:val="23"/>
        </w:rPr>
        <w:t>机</w:t>
      </w:r>
      <w:r>
        <w:rPr>
          <w:rFonts w:ascii="宋体" w:hAnsi="宋体" w:eastAsia="宋体" w:cs="宋体"/>
          <w:spacing w:val="7"/>
          <w:sz w:val="23"/>
          <w:szCs w:val="23"/>
        </w:rPr>
        <w:t>废气和颗粒物，废气以无组织的形式扩散到周围大气中。为了确保无组织废气</w:t>
      </w:r>
      <w:r>
        <w:rPr>
          <w:rFonts w:ascii="宋体" w:hAnsi="宋体" w:eastAsia="宋体" w:cs="宋体"/>
          <w:sz w:val="23"/>
          <w:szCs w:val="23"/>
        </w:rPr>
        <w:t xml:space="preserve"> </w:t>
      </w:r>
      <w:r>
        <w:rPr>
          <w:rFonts w:ascii="宋体" w:hAnsi="宋体" w:eastAsia="宋体" w:cs="宋体"/>
          <w:spacing w:val="9"/>
          <w:sz w:val="23"/>
          <w:szCs w:val="23"/>
        </w:rPr>
        <w:t>排放量达到最少，本项目拟采取以下措施：</w:t>
      </w:r>
    </w:p>
    <w:p w14:paraId="2D10A27B">
      <w:pPr>
        <w:spacing w:before="137" w:line="227" w:lineRule="auto"/>
        <w:ind w:left="514"/>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2"/>
          <w:sz w:val="23"/>
          <w:szCs w:val="23"/>
        </w:rPr>
        <w:t>1</w:t>
      </w:r>
      <w:r>
        <w:rPr>
          <w:rFonts w:ascii="宋体" w:hAnsi="宋体" w:eastAsia="宋体" w:cs="宋体"/>
          <w:spacing w:val="12"/>
          <w:sz w:val="23"/>
          <w:szCs w:val="23"/>
        </w:rPr>
        <w:t>) 设备上方集气罩安装的位置，应考虑能最大效率的收集产生的废气；</w:t>
      </w:r>
    </w:p>
    <w:p w14:paraId="6AD01864">
      <w:pPr>
        <w:spacing w:line="276" w:lineRule="auto"/>
        <w:rPr>
          <w:rFonts w:ascii="Arial"/>
          <w:sz w:val="21"/>
        </w:rPr>
      </w:pPr>
    </w:p>
    <w:p w14:paraId="1FF1151E">
      <w:pPr>
        <w:spacing w:before="75"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7"/>
          <w:sz w:val="23"/>
          <w:szCs w:val="23"/>
        </w:rPr>
        <w:t>2</w:t>
      </w:r>
      <w:r>
        <w:rPr>
          <w:rFonts w:ascii="宋体" w:hAnsi="宋体" w:eastAsia="宋体" w:cs="宋体"/>
          <w:spacing w:val="12"/>
          <w:sz w:val="23"/>
          <w:szCs w:val="23"/>
        </w:rPr>
        <w:t>) 对废气收集设备、管道等定期检查、检修，以保证其收集效率</w:t>
      </w:r>
    </w:p>
    <w:p w14:paraId="77FADBD8">
      <w:pPr>
        <w:spacing w:line="276" w:lineRule="auto"/>
        <w:rPr>
          <w:rFonts w:ascii="Arial"/>
          <w:sz w:val="21"/>
        </w:rPr>
      </w:pPr>
    </w:p>
    <w:p w14:paraId="7DFF526B">
      <w:pPr>
        <w:spacing w:before="76" w:line="227" w:lineRule="auto"/>
        <w:ind w:left="51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3</w:t>
      </w:r>
      <w:r>
        <w:rPr>
          <w:rFonts w:ascii="宋体" w:hAnsi="宋体" w:eastAsia="宋体" w:cs="宋体"/>
          <w:spacing w:val="12"/>
          <w:sz w:val="23"/>
          <w:szCs w:val="23"/>
        </w:rPr>
        <w:t>) 加强车间通风，所有操作严格按照既定的规程进行。</w:t>
      </w:r>
    </w:p>
    <w:p w14:paraId="006FE289">
      <w:pPr>
        <w:spacing w:line="277" w:lineRule="auto"/>
        <w:rPr>
          <w:rFonts w:ascii="Arial"/>
          <w:sz w:val="21"/>
        </w:rPr>
      </w:pPr>
    </w:p>
    <w:p w14:paraId="5078E18D">
      <w:pPr>
        <w:spacing w:before="75" w:line="393" w:lineRule="auto"/>
        <w:ind w:left="23" w:right="13" w:firstLine="480"/>
        <w:rPr>
          <w:rFonts w:ascii="宋体" w:hAnsi="宋体" w:eastAsia="宋体" w:cs="宋体"/>
          <w:sz w:val="23"/>
          <w:szCs w:val="23"/>
        </w:rPr>
      </w:pPr>
      <w:r>
        <w:rPr>
          <w:rFonts w:ascii="宋体" w:hAnsi="宋体" w:eastAsia="宋体" w:cs="宋体"/>
          <w:spacing w:val="7"/>
          <w:sz w:val="23"/>
          <w:szCs w:val="23"/>
        </w:rPr>
        <w:t>通过上述措施，本项目的无组织排放的污染物将得到有效控制，对当地大</w:t>
      </w:r>
      <w:r>
        <w:rPr>
          <w:rFonts w:ascii="宋体" w:hAnsi="宋体" w:eastAsia="宋体" w:cs="宋体"/>
          <w:spacing w:val="3"/>
          <w:sz w:val="23"/>
          <w:szCs w:val="23"/>
        </w:rPr>
        <w:t>气</w:t>
      </w:r>
      <w:r>
        <w:rPr>
          <w:rFonts w:ascii="宋体" w:hAnsi="宋体" w:eastAsia="宋体" w:cs="宋体"/>
          <w:sz w:val="23"/>
          <w:szCs w:val="23"/>
        </w:rPr>
        <w:t xml:space="preserve"> </w:t>
      </w:r>
      <w:r>
        <w:rPr>
          <w:rFonts w:ascii="宋体" w:hAnsi="宋体" w:eastAsia="宋体" w:cs="宋体"/>
          <w:spacing w:val="8"/>
          <w:sz w:val="23"/>
          <w:szCs w:val="23"/>
        </w:rPr>
        <w:t>环</w:t>
      </w:r>
      <w:r>
        <w:rPr>
          <w:rFonts w:ascii="宋体" w:hAnsi="宋体" w:eastAsia="宋体" w:cs="宋体"/>
          <w:spacing w:val="7"/>
          <w:sz w:val="23"/>
          <w:szCs w:val="23"/>
        </w:rPr>
        <w:t>境影响较小。</w:t>
      </w:r>
    </w:p>
    <w:p w14:paraId="13854856">
      <w:pPr>
        <w:spacing w:before="84" w:line="226" w:lineRule="auto"/>
        <w:ind w:left="25"/>
        <w:outlineLvl w:val="2"/>
        <w:rPr>
          <w:rFonts w:ascii="宋体" w:hAnsi="宋体" w:eastAsia="宋体" w:cs="宋体"/>
          <w:sz w:val="29"/>
          <w:szCs w:val="29"/>
        </w:rPr>
      </w:pPr>
      <w:r>
        <w:rPr>
          <w:rFonts w:ascii="Times New Roman" w:hAnsi="Times New Roman" w:eastAsia="Times New Roman" w:cs="Times New Roman"/>
          <w:b/>
          <w:bCs/>
          <w:spacing w:val="14"/>
          <w:sz w:val="29"/>
          <w:szCs w:val="29"/>
        </w:rPr>
        <w:t>6</w:t>
      </w:r>
      <w:r>
        <w:rPr>
          <w:rFonts w:ascii="Times New Roman" w:hAnsi="Times New Roman" w:eastAsia="Times New Roman" w:cs="Times New Roman"/>
          <w:b/>
          <w:bCs/>
          <w:spacing w:val="8"/>
          <w:sz w:val="29"/>
          <w:szCs w:val="29"/>
        </w:rPr>
        <w:t>.</w:t>
      </w:r>
      <w:r>
        <w:rPr>
          <w:rFonts w:ascii="Times New Roman" w:hAnsi="Times New Roman" w:eastAsia="Times New Roman" w:cs="Times New Roman"/>
          <w:b/>
          <w:bCs/>
          <w:spacing w:val="7"/>
          <w:sz w:val="29"/>
          <w:szCs w:val="29"/>
        </w:rPr>
        <w:t>2.2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运营期废水污染防治措施</w:t>
      </w:r>
    </w:p>
    <w:p w14:paraId="69E1BBC2">
      <w:pPr>
        <w:spacing w:line="257" w:lineRule="auto"/>
        <w:rPr>
          <w:rFonts w:ascii="Arial"/>
          <w:sz w:val="21"/>
        </w:rPr>
      </w:pPr>
    </w:p>
    <w:p w14:paraId="6441BB54">
      <w:pPr>
        <w:spacing w:before="75" w:line="227" w:lineRule="auto"/>
        <w:ind w:left="503"/>
        <w:rPr>
          <w:rFonts w:ascii="宋体" w:hAnsi="宋体" w:eastAsia="宋体" w:cs="宋体"/>
          <w:sz w:val="23"/>
          <w:szCs w:val="23"/>
        </w:rPr>
      </w:pPr>
      <w:r>
        <w:rPr>
          <w:rFonts w:ascii="宋体" w:hAnsi="宋体" w:eastAsia="宋体" w:cs="宋体"/>
          <w:spacing w:val="7"/>
          <w:sz w:val="23"/>
          <w:szCs w:val="23"/>
        </w:rPr>
        <w:t>根据工程分析结果，该项目排水主要包括生活污水以及生产废水，其中生</w:t>
      </w:r>
      <w:r>
        <w:rPr>
          <w:rFonts w:ascii="宋体" w:hAnsi="宋体" w:eastAsia="宋体" w:cs="宋体"/>
          <w:spacing w:val="2"/>
          <w:sz w:val="23"/>
          <w:szCs w:val="23"/>
        </w:rPr>
        <w:t>产</w:t>
      </w:r>
    </w:p>
    <w:p w14:paraId="752DF47C">
      <w:pPr>
        <w:sectPr>
          <w:headerReference r:id="rId269" w:type="default"/>
          <w:footerReference r:id="rId270" w:type="default"/>
          <w:pgSz w:w="11906" w:h="16839"/>
          <w:pgMar w:top="1132" w:right="1785" w:bottom="1182" w:left="1785" w:header="878" w:footer="1022" w:gutter="0"/>
          <w:cols w:space="720" w:num="1"/>
        </w:sectPr>
      </w:pPr>
    </w:p>
    <w:p w14:paraId="139B045E">
      <w:pPr>
        <w:spacing w:line="407" w:lineRule="auto"/>
        <w:rPr>
          <w:rFonts w:ascii="Arial"/>
          <w:sz w:val="21"/>
        </w:rPr>
      </w:pPr>
      <w:r>
        <w:pict>
          <v:shape id="_x0000_s1303" o:spid="_x0000_s1303" style="position:absolute;left:0pt;margin-left:90pt;margin-top:57.35pt;height:0.75pt;width:415.3pt;mso-position-horizontal-relative:page;mso-position-vertical-relative:page;z-index:251956224;mso-width-relative:page;mso-height-relative:page;" fillcolor="#000000" filled="t" stroked="f" coordsize="8305,15" o:allowincell="f" path="m0,0l8305,0,8305,14,0,14,0,0xe">
            <v:path/>
            <v:fill on="t" focussize="0,0"/>
            <v:stroke on="f"/>
            <v:imagedata o:title=""/>
            <o:lock v:ext="edit"/>
          </v:shape>
        </w:pict>
      </w:r>
    </w:p>
    <w:p w14:paraId="3B3D59E3">
      <w:pPr>
        <w:spacing w:before="75" w:line="397" w:lineRule="auto"/>
        <w:ind w:left="19" w:firstLine="3"/>
        <w:rPr>
          <w:rFonts w:ascii="宋体" w:hAnsi="宋体" w:eastAsia="宋体" w:cs="宋体"/>
          <w:sz w:val="23"/>
          <w:szCs w:val="23"/>
        </w:rPr>
      </w:pPr>
      <w:r>
        <w:rPr>
          <w:rFonts w:ascii="宋体" w:hAnsi="宋体" w:eastAsia="宋体" w:cs="宋体"/>
          <w:spacing w:val="9"/>
          <w:sz w:val="23"/>
          <w:szCs w:val="23"/>
        </w:rPr>
        <w:t>废</w:t>
      </w:r>
      <w:r>
        <w:rPr>
          <w:rFonts w:ascii="宋体" w:hAnsi="宋体" w:eastAsia="宋体" w:cs="宋体"/>
          <w:spacing w:val="7"/>
          <w:sz w:val="23"/>
          <w:szCs w:val="23"/>
        </w:rPr>
        <w:t>水主要包括破碎工序产生的废水，原料初洗工序、洗字工序、二次清洗工序产</w:t>
      </w:r>
      <w:r>
        <w:rPr>
          <w:rFonts w:ascii="宋体" w:hAnsi="宋体" w:eastAsia="宋体" w:cs="宋体"/>
          <w:sz w:val="23"/>
          <w:szCs w:val="23"/>
        </w:rPr>
        <w:t xml:space="preserve"> </w:t>
      </w:r>
      <w:r>
        <w:rPr>
          <w:rFonts w:ascii="宋体" w:hAnsi="宋体" w:eastAsia="宋体" w:cs="宋体"/>
          <w:spacing w:val="-5"/>
          <w:sz w:val="23"/>
          <w:szCs w:val="23"/>
        </w:rPr>
        <w:t>生</w:t>
      </w:r>
      <w:r>
        <w:rPr>
          <w:rFonts w:ascii="宋体" w:hAnsi="宋体" w:eastAsia="宋体" w:cs="宋体"/>
          <w:spacing w:val="-22"/>
          <w:sz w:val="23"/>
          <w:szCs w:val="23"/>
        </w:rPr>
        <w:t xml:space="preserve"> </w:t>
      </w:r>
      <w:r>
        <w:rPr>
          <w:rFonts w:ascii="宋体" w:hAnsi="宋体" w:eastAsia="宋体" w:cs="宋体"/>
          <w:spacing w:val="-5"/>
          <w:sz w:val="23"/>
          <w:szCs w:val="23"/>
        </w:rPr>
        <w:t>的</w:t>
      </w:r>
      <w:r>
        <w:rPr>
          <w:rFonts w:ascii="宋体" w:hAnsi="宋体" w:eastAsia="宋体" w:cs="宋体"/>
          <w:spacing w:val="-67"/>
          <w:sz w:val="23"/>
          <w:szCs w:val="23"/>
        </w:rPr>
        <w:t xml:space="preserve"> </w:t>
      </w:r>
      <w:r>
        <w:rPr>
          <w:rFonts w:ascii="宋体" w:hAnsi="宋体" w:eastAsia="宋体" w:cs="宋体"/>
          <w:spacing w:val="-5"/>
          <w:sz w:val="23"/>
          <w:szCs w:val="23"/>
        </w:rPr>
        <w:t>清</w:t>
      </w:r>
      <w:r>
        <w:rPr>
          <w:rFonts w:ascii="宋体" w:hAnsi="宋体" w:eastAsia="宋体" w:cs="宋体"/>
          <w:spacing w:val="-68"/>
          <w:sz w:val="23"/>
          <w:szCs w:val="23"/>
        </w:rPr>
        <w:t xml:space="preserve"> </w:t>
      </w:r>
      <w:r>
        <w:rPr>
          <w:rFonts w:ascii="宋体" w:hAnsi="宋体" w:eastAsia="宋体" w:cs="宋体"/>
          <w:spacing w:val="-5"/>
          <w:sz w:val="23"/>
          <w:szCs w:val="23"/>
        </w:rPr>
        <w:t>洗</w:t>
      </w:r>
      <w:r>
        <w:rPr>
          <w:rFonts w:ascii="宋体" w:hAnsi="宋体" w:eastAsia="宋体" w:cs="宋体"/>
          <w:spacing w:val="-69"/>
          <w:sz w:val="23"/>
          <w:szCs w:val="23"/>
        </w:rPr>
        <w:t xml:space="preserve"> </w:t>
      </w:r>
      <w:r>
        <w:rPr>
          <w:rFonts w:ascii="宋体" w:hAnsi="宋体" w:eastAsia="宋体" w:cs="宋体"/>
          <w:spacing w:val="-5"/>
          <w:sz w:val="23"/>
          <w:szCs w:val="23"/>
        </w:rPr>
        <w:t>废</w:t>
      </w:r>
      <w:r>
        <w:rPr>
          <w:rFonts w:ascii="宋体" w:hAnsi="宋体" w:eastAsia="宋体" w:cs="宋体"/>
          <w:spacing w:val="-66"/>
          <w:sz w:val="23"/>
          <w:szCs w:val="23"/>
        </w:rPr>
        <w:t xml:space="preserve"> </w:t>
      </w:r>
      <w:r>
        <w:rPr>
          <w:rFonts w:ascii="宋体" w:hAnsi="宋体" w:eastAsia="宋体" w:cs="宋体"/>
          <w:spacing w:val="-5"/>
          <w:sz w:val="23"/>
          <w:szCs w:val="23"/>
        </w:rPr>
        <w:t>水</w:t>
      </w:r>
      <w:r>
        <w:rPr>
          <w:rFonts w:ascii="宋体" w:hAnsi="宋体" w:eastAsia="宋体" w:cs="宋体"/>
          <w:spacing w:val="-51"/>
          <w:sz w:val="23"/>
          <w:szCs w:val="23"/>
        </w:rPr>
        <w:t xml:space="preserve"> </w:t>
      </w:r>
      <w:r>
        <w:rPr>
          <w:rFonts w:ascii="宋体" w:hAnsi="宋体" w:eastAsia="宋体" w:cs="宋体"/>
          <w:spacing w:val="-5"/>
          <w:sz w:val="23"/>
          <w:szCs w:val="23"/>
        </w:rPr>
        <w:t>、</w:t>
      </w:r>
      <w:r>
        <w:rPr>
          <w:rFonts w:ascii="宋体" w:hAnsi="宋体" w:eastAsia="宋体" w:cs="宋体"/>
          <w:spacing w:val="-59"/>
          <w:sz w:val="23"/>
          <w:szCs w:val="23"/>
        </w:rPr>
        <w:t xml:space="preserve"> </w:t>
      </w:r>
      <w:r>
        <w:rPr>
          <w:rFonts w:ascii="宋体" w:hAnsi="宋体" w:eastAsia="宋体" w:cs="宋体"/>
          <w:spacing w:val="-5"/>
          <w:sz w:val="23"/>
          <w:szCs w:val="23"/>
        </w:rPr>
        <w:t>脱</w:t>
      </w:r>
      <w:r>
        <w:rPr>
          <w:rFonts w:ascii="宋体" w:hAnsi="宋体" w:eastAsia="宋体" w:cs="宋体"/>
          <w:spacing w:val="-65"/>
          <w:sz w:val="23"/>
          <w:szCs w:val="23"/>
        </w:rPr>
        <w:t xml:space="preserve"> </w:t>
      </w:r>
      <w:r>
        <w:rPr>
          <w:rFonts w:ascii="宋体" w:hAnsi="宋体" w:eastAsia="宋体" w:cs="宋体"/>
          <w:spacing w:val="-5"/>
          <w:sz w:val="23"/>
          <w:szCs w:val="23"/>
        </w:rPr>
        <w:t>水</w:t>
      </w:r>
      <w:r>
        <w:rPr>
          <w:rFonts w:ascii="宋体" w:hAnsi="宋体" w:eastAsia="宋体" w:cs="宋体"/>
          <w:spacing w:val="-64"/>
          <w:sz w:val="23"/>
          <w:szCs w:val="23"/>
        </w:rPr>
        <w:t xml:space="preserve"> </w:t>
      </w:r>
      <w:r>
        <w:rPr>
          <w:rFonts w:ascii="宋体" w:hAnsi="宋体" w:eastAsia="宋体" w:cs="宋体"/>
          <w:spacing w:val="-5"/>
          <w:sz w:val="23"/>
          <w:szCs w:val="23"/>
        </w:rPr>
        <w:t>工</w:t>
      </w:r>
      <w:r>
        <w:rPr>
          <w:rFonts w:ascii="宋体" w:hAnsi="宋体" w:eastAsia="宋体" w:cs="宋体"/>
          <w:spacing w:val="-68"/>
          <w:sz w:val="23"/>
          <w:szCs w:val="23"/>
        </w:rPr>
        <w:t xml:space="preserve"> </w:t>
      </w:r>
      <w:r>
        <w:rPr>
          <w:rFonts w:ascii="宋体" w:hAnsi="宋体" w:eastAsia="宋体" w:cs="宋体"/>
          <w:spacing w:val="-5"/>
          <w:sz w:val="23"/>
          <w:szCs w:val="23"/>
        </w:rPr>
        <w:t>序</w:t>
      </w:r>
      <w:r>
        <w:rPr>
          <w:rFonts w:ascii="宋体" w:hAnsi="宋体" w:eastAsia="宋体" w:cs="宋体"/>
          <w:spacing w:val="-68"/>
          <w:sz w:val="23"/>
          <w:szCs w:val="23"/>
        </w:rPr>
        <w:t xml:space="preserve"> </w:t>
      </w:r>
      <w:r>
        <w:rPr>
          <w:rFonts w:ascii="宋体" w:hAnsi="宋体" w:eastAsia="宋体" w:cs="宋体"/>
          <w:spacing w:val="-5"/>
          <w:sz w:val="23"/>
          <w:szCs w:val="23"/>
        </w:rPr>
        <w:t>产</w:t>
      </w:r>
      <w:r>
        <w:rPr>
          <w:rFonts w:ascii="宋体" w:hAnsi="宋体" w:eastAsia="宋体" w:cs="宋体"/>
          <w:spacing w:val="-65"/>
          <w:sz w:val="23"/>
          <w:szCs w:val="23"/>
        </w:rPr>
        <w:t xml:space="preserve"> </w:t>
      </w:r>
      <w:r>
        <w:rPr>
          <w:rFonts w:ascii="宋体" w:hAnsi="宋体" w:eastAsia="宋体" w:cs="宋体"/>
          <w:spacing w:val="-5"/>
          <w:sz w:val="23"/>
          <w:szCs w:val="23"/>
        </w:rPr>
        <w:t>生</w:t>
      </w:r>
      <w:r>
        <w:rPr>
          <w:rFonts w:ascii="宋体" w:hAnsi="宋体" w:eastAsia="宋体" w:cs="宋体"/>
          <w:spacing w:val="-48"/>
          <w:sz w:val="23"/>
          <w:szCs w:val="23"/>
        </w:rPr>
        <w:t xml:space="preserve"> </w:t>
      </w:r>
      <w:r>
        <w:rPr>
          <w:rFonts w:ascii="宋体" w:hAnsi="宋体" w:eastAsia="宋体" w:cs="宋体"/>
          <w:spacing w:val="-5"/>
          <w:sz w:val="23"/>
          <w:szCs w:val="23"/>
        </w:rPr>
        <w:t>的</w:t>
      </w:r>
      <w:r>
        <w:rPr>
          <w:rFonts w:ascii="宋体" w:hAnsi="宋体" w:eastAsia="宋体" w:cs="宋体"/>
          <w:spacing w:val="-70"/>
          <w:sz w:val="23"/>
          <w:szCs w:val="23"/>
        </w:rPr>
        <w:t xml:space="preserve"> </w:t>
      </w:r>
      <w:r>
        <w:rPr>
          <w:rFonts w:ascii="宋体" w:hAnsi="宋体" w:eastAsia="宋体" w:cs="宋体"/>
          <w:spacing w:val="-5"/>
          <w:sz w:val="23"/>
          <w:szCs w:val="23"/>
        </w:rPr>
        <w:t>废</w:t>
      </w:r>
      <w:r>
        <w:rPr>
          <w:rFonts w:ascii="宋体" w:hAnsi="宋体" w:eastAsia="宋体" w:cs="宋体"/>
          <w:spacing w:val="-65"/>
          <w:sz w:val="23"/>
          <w:szCs w:val="23"/>
        </w:rPr>
        <w:t xml:space="preserve"> </w:t>
      </w:r>
      <w:r>
        <w:rPr>
          <w:rFonts w:ascii="宋体" w:hAnsi="宋体" w:eastAsia="宋体" w:cs="宋体"/>
          <w:spacing w:val="-5"/>
          <w:sz w:val="23"/>
          <w:szCs w:val="23"/>
        </w:rPr>
        <w:t>水</w:t>
      </w:r>
      <w:r>
        <w:rPr>
          <w:rFonts w:ascii="宋体" w:hAnsi="宋体" w:eastAsia="宋体" w:cs="宋体"/>
          <w:spacing w:val="-40"/>
          <w:sz w:val="23"/>
          <w:szCs w:val="23"/>
        </w:rPr>
        <w:t xml:space="preserve"> </w:t>
      </w:r>
      <w:r>
        <w:rPr>
          <w:rFonts w:ascii="宋体" w:hAnsi="宋体" w:eastAsia="宋体" w:cs="宋体"/>
          <w:spacing w:val="-5"/>
          <w:sz w:val="23"/>
          <w:szCs w:val="23"/>
        </w:rPr>
        <w:t>以</w:t>
      </w:r>
      <w:r>
        <w:rPr>
          <w:rFonts w:ascii="宋体" w:hAnsi="宋体" w:eastAsia="宋体" w:cs="宋体"/>
          <w:spacing w:val="-68"/>
          <w:sz w:val="23"/>
          <w:szCs w:val="23"/>
        </w:rPr>
        <w:t xml:space="preserve"> </w:t>
      </w:r>
      <w:r>
        <w:rPr>
          <w:rFonts w:ascii="宋体" w:hAnsi="宋体" w:eastAsia="宋体" w:cs="宋体"/>
          <w:spacing w:val="-5"/>
          <w:sz w:val="23"/>
          <w:szCs w:val="23"/>
        </w:rPr>
        <w:t>及</w:t>
      </w:r>
      <w:r>
        <w:rPr>
          <w:rFonts w:ascii="宋体" w:hAnsi="宋体" w:eastAsia="宋体" w:cs="宋体"/>
          <w:spacing w:val="-67"/>
          <w:sz w:val="23"/>
          <w:szCs w:val="23"/>
        </w:rPr>
        <w:t xml:space="preserve"> </w:t>
      </w:r>
      <w:r>
        <w:rPr>
          <w:rFonts w:ascii="宋体" w:hAnsi="宋体" w:eastAsia="宋体" w:cs="宋体"/>
          <w:spacing w:val="-5"/>
          <w:sz w:val="23"/>
          <w:szCs w:val="23"/>
        </w:rPr>
        <w:t>循</w:t>
      </w:r>
      <w:r>
        <w:rPr>
          <w:rFonts w:ascii="宋体" w:hAnsi="宋体" w:eastAsia="宋体" w:cs="宋体"/>
          <w:spacing w:val="-67"/>
          <w:sz w:val="23"/>
          <w:szCs w:val="23"/>
        </w:rPr>
        <w:t xml:space="preserve"> </w:t>
      </w:r>
      <w:r>
        <w:rPr>
          <w:rFonts w:ascii="宋体" w:hAnsi="宋体" w:eastAsia="宋体" w:cs="宋体"/>
          <w:spacing w:val="-5"/>
          <w:sz w:val="23"/>
          <w:szCs w:val="23"/>
        </w:rPr>
        <w:t>环</w:t>
      </w:r>
      <w:r>
        <w:rPr>
          <w:rFonts w:ascii="宋体" w:hAnsi="宋体" w:eastAsia="宋体" w:cs="宋体"/>
          <w:spacing w:val="-66"/>
          <w:sz w:val="23"/>
          <w:szCs w:val="23"/>
        </w:rPr>
        <w:t xml:space="preserve"> </w:t>
      </w:r>
      <w:r>
        <w:rPr>
          <w:rFonts w:ascii="宋体" w:hAnsi="宋体" w:eastAsia="宋体" w:cs="宋体"/>
          <w:spacing w:val="-5"/>
          <w:sz w:val="23"/>
          <w:szCs w:val="23"/>
        </w:rPr>
        <w:t>冷</w:t>
      </w:r>
      <w:r>
        <w:rPr>
          <w:rFonts w:ascii="宋体" w:hAnsi="宋体" w:eastAsia="宋体" w:cs="宋体"/>
          <w:spacing w:val="-62"/>
          <w:sz w:val="23"/>
          <w:szCs w:val="23"/>
        </w:rPr>
        <w:t xml:space="preserve"> </w:t>
      </w:r>
      <w:r>
        <w:rPr>
          <w:rFonts w:ascii="宋体" w:hAnsi="宋体" w:eastAsia="宋体" w:cs="宋体"/>
          <w:spacing w:val="-5"/>
          <w:sz w:val="23"/>
          <w:szCs w:val="23"/>
        </w:rPr>
        <w:t>却</w:t>
      </w:r>
      <w:r>
        <w:rPr>
          <w:rFonts w:ascii="宋体" w:hAnsi="宋体" w:eastAsia="宋体" w:cs="宋体"/>
          <w:spacing w:val="-68"/>
          <w:sz w:val="23"/>
          <w:szCs w:val="23"/>
        </w:rPr>
        <w:t xml:space="preserve"> </w:t>
      </w:r>
      <w:r>
        <w:rPr>
          <w:rFonts w:ascii="宋体" w:hAnsi="宋体" w:eastAsia="宋体" w:cs="宋体"/>
          <w:spacing w:val="-5"/>
          <w:sz w:val="23"/>
          <w:szCs w:val="23"/>
        </w:rPr>
        <w:t>废</w:t>
      </w:r>
      <w:r>
        <w:rPr>
          <w:rFonts w:ascii="宋体" w:hAnsi="宋体" w:eastAsia="宋体" w:cs="宋体"/>
          <w:spacing w:val="-67"/>
          <w:sz w:val="23"/>
          <w:szCs w:val="23"/>
        </w:rPr>
        <w:t xml:space="preserve"> </w:t>
      </w:r>
      <w:r>
        <w:rPr>
          <w:rFonts w:ascii="宋体" w:hAnsi="宋体" w:eastAsia="宋体" w:cs="宋体"/>
          <w:spacing w:val="-5"/>
          <w:sz w:val="23"/>
          <w:szCs w:val="23"/>
        </w:rPr>
        <w:t>水</w:t>
      </w:r>
      <w:r>
        <w:rPr>
          <w:rFonts w:ascii="宋体" w:hAnsi="宋体" w:eastAsia="宋体" w:cs="宋体"/>
          <w:spacing w:val="-48"/>
          <w:sz w:val="23"/>
          <w:szCs w:val="23"/>
        </w:rPr>
        <w:t xml:space="preserve"> </w:t>
      </w:r>
      <w:r>
        <w:rPr>
          <w:rFonts w:ascii="宋体" w:hAnsi="宋体" w:eastAsia="宋体" w:cs="宋体"/>
          <w:spacing w:val="-5"/>
          <w:sz w:val="23"/>
          <w:szCs w:val="23"/>
        </w:rPr>
        <w:t>，</w:t>
      </w:r>
      <w:r>
        <w:rPr>
          <w:rFonts w:ascii="宋体" w:hAnsi="宋体" w:eastAsia="宋体" w:cs="宋体"/>
          <w:spacing w:val="-53"/>
          <w:sz w:val="23"/>
          <w:szCs w:val="23"/>
        </w:rPr>
        <w:t xml:space="preserve"> </w:t>
      </w:r>
      <w:r>
        <w:rPr>
          <w:rFonts w:ascii="宋体" w:hAnsi="宋体" w:eastAsia="宋体" w:cs="宋体"/>
          <w:spacing w:val="-5"/>
          <w:sz w:val="23"/>
          <w:szCs w:val="23"/>
        </w:rPr>
        <w:t>总</w:t>
      </w:r>
      <w:r>
        <w:rPr>
          <w:rFonts w:ascii="宋体" w:hAnsi="宋体" w:eastAsia="宋体" w:cs="宋体"/>
          <w:spacing w:val="-67"/>
          <w:sz w:val="23"/>
          <w:szCs w:val="23"/>
        </w:rPr>
        <w:t xml:space="preserve"> </w:t>
      </w:r>
      <w:r>
        <w:rPr>
          <w:rFonts w:ascii="宋体" w:hAnsi="宋体" w:eastAsia="宋体" w:cs="宋体"/>
          <w:spacing w:val="-5"/>
          <w:sz w:val="23"/>
          <w:szCs w:val="23"/>
        </w:rPr>
        <w:t>排</w:t>
      </w:r>
      <w:r>
        <w:rPr>
          <w:rFonts w:ascii="宋体" w:hAnsi="宋体" w:eastAsia="宋体" w:cs="宋体"/>
          <w:spacing w:val="-65"/>
          <w:sz w:val="23"/>
          <w:szCs w:val="23"/>
        </w:rPr>
        <w:t xml:space="preserve"> </w:t>
      </w:r>
      <w:r>
        <w:rPr>
          <w:rFonts w:ascii="宋体" w:hAnsi="宋体" w:eastAsia="宋体" w:cs="宋体"/>
          <w:spacing w:val="-5"/>
          <w:sz w:val="23"/>
          <w:szCs w:val="23"/>
        </w:rPr>
        <w:t>水</w:t>
      </w:r>
      <w:r>
        <w:rPr>
          <w:rFonts w:ascii="宋体" w:hAnsi="宋体" w:eastAsia="宋体" w:cs="宋体"/>
          <w:spacing w:val="-67"/>
          <w:sz w:val="23"/>
          <w:szCs w:val="23"/>
        </w:rPr>
        <w:t xml:space="preserve"> </w:t>
      </w:r>
      <w:r>
        <w:rPr>
          <w:rFonts w:ascii="宋体" w:hAnsi="宋体" w:eastAsia="宋体" w:cs="宋体"/>
          <w:spacing w:val="-5"/>
          <w:sz w:val="23"/>
          <w:szCs w:val="23"/>
        </w:rPr>
        <w:t>量</w:t>
      </w:r>
      <w:r>
        <w:rPr>
          <w:rFonts w:ascii="宋体" w:hAnsi="宋体" w:eastAsia="宋体" w:cs="宋体"/>
          <w:spacing w:val="-67"/>
          <w:sz w:val="23"/>
          <w:szCs w:val="23"/>
        </w:rPr>
        <w:t xml:space="preserve"> </w:t>
      </w:r>
      <w:r>
        <w:rPr>
          <w:rFonts w:ascii="宋体" w:hAnsi="宋体" w:eastAsia="宋体" w:cs="宋体"/>
          <w:spacing w:val="-5"/>
          <w:sz w:val="23"/>
          <w:szCs w:val="23"/>
        </w:rPr>
        <w:t>为</w:t>
      </w:r>
      <w:r>
        <w:rPr>
          <w:rFonts w:ascii="宋体" w:hAnsi="宋体" w:eastAsia="宋体" w:cs="宋体"/>
          <w:sz w:val="23"/>
          <w:szCs w:val="23"/>
        </w:rPr>
        <w:t xml:space="preserve"> </w:t>
      </w:r>
      <w:r>
        <w:rPr>
          <w:rFonts w:ascii="Times New Roman" w:hAnsi="Times New Roman" w:eastAsia="Times New Roman" w:cs="Times New Roman"/>
          <w:spacing w:val="-1"/>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z w:val="23"/>
          <w:szCs w:val="23"/>
        </w:rPr>
        <w:t xml:space="preserve">。其中，生活污水排放量为 </w:t>
      </w:r>
      <w:r>
        <w:rPr>
          <w:rFonts w:ascii="Times New Roman" w:hAnsi="Times New Roman" w:eastAsia="Times New Roman" w:cs="Times New Roman"/>
          <w:sz w:val="23"/>
          <w:szCs w:val="23"/>
        </w:rPr>
        <w:t>960m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 xml:space="preserve">；生产废水排放量为 </w:t>
      </w:r>
      <w:r>
        <w:rPr>
          <w:rFonts w:ascii="Times New Roman" w:hAnsi="Times New Roman" w:eastAsia="Times New Roman" w:cs="Times New Roman"/>
          <w:sz w:val="23"/>
          <w:szCs w:val="23"/>
        </w:rPr>
        <w:t>1523.52m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w:t>
      </w:r>
    </w:p>
    <w:p w14:paraId="7CB828DB">
      <w:pPr>
        <w:spacing w:before="111" w:line="388" w:lineRule="auto"/>
        <w:ind w:left="22" w:right="14" w:firstLine="484"/>
        <w:rPr>
          <w:rFonts w:ascii="宋体" w:hAnsi="宋体" w:eastAsia="宋体" w:cs="宋体"/>
          <w:sz w:val="23"/>
          <w:szCs w:val="23"/>
        </w:rPr>
      </w:pPr>
      <w:r>
        <w:rPr>
          <w:rFonts w:ascii="宋体" w:hAnsi="宋体" w:eastAsia="宋体" w:cs="宋体"/>
          <w:spacing w:val="23"/>
          <w:sz w:val="23"/>
          <w:szCs w:val="23"/>
        </w:rPr>
        <w:t>该</w:t>
      </w:r>
      <w:r>
        <w:rPr>
          <w:rFonts w:ascii="宋体" w:hAnsi="宋体" w:eastAsia="宋体" w:cs="宋体"/>
          <w:spacing w:val="16"/>
          <w:sz w:val="23"/>
          <w:szCs w:val="23"/>
        </w:rPr>
        <w:t>项目在厂区东南侧设有旱厕，员工使用防渗旱厕，定期清掏，不外排；</w:t>
      </w:r>
      <w:r>
        <w:rPr>
          <w:rFonts w:ascii="宋体" w:hAnsi="宋体" w:eastAsia="宋体" w:cs="宋体"/>
          <w:sz w:val="23"/>
          <w:szCs w:val="23"/>
        </w:rPr>
        <w:t xml:space="preserve"> </w:t>
      </w:r>
      <w:r>
        <w:rPr>
          <w:rFonts w:ascii="宋体" w:hAnsi="宋体" w:eastAsia="宋体" w:cs="宋体"/>
          <w:spacing w:val="1"/>
          <w:sz w:val="23"/>
          <w:szCs w:val="23"/>
        </w:rPr>
        <w:t xml:space="preserve">项目设有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的三级沉淀池 (</w:t>
      </w:r>
      <w:r>
        <w:rPr>
          <w:rFonts w:ascii="Times New Roman" w:hAnsi="Times New Roman" w:eastAsia="Times New Roman" w:cs="Times New Roman"/>
          <w:sz w:val="23"/>
          <w:szCs w:val="23"/>
        </w:rPr>
        <w:t>12m×6m×4.5m</w:t>
      </w:r>
      <w:r>
        <w:rPr>
          <w:rFonts w:ascii="宋体" w:hAnsi="宋体" w:eastAsia="宋体" w:cs="宋体"/>
          <w:sz w:val="23"/>
          <w:szCs w:val="23"/>
        </w:rPr>
        <w:t xml:space="preserve">) ，同时配套设有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台 </w:t>
      </w:r>
      <w:r>
        <w:rPr>
          <w:rFonts w:ascii="宋体" w:hAnsi="宋体" w:eastAsia="宋体" w:cs="宋体"/>
          <w:spacing w:val="9"/>
          <w:sz w:val="23"/>
          <w:szCs w:val="23"/>
        </w:rPr>
        <w:t>一</w:t>
      </w:r>
      <w:r>
        <w:rPr>
          <w:rFonts w:ascii="宋体" w:hAnsi="宋体" w:eastAsia="宋体" w:cs="宋体"/>
          <w:spacing w:val="7"/>
          <w:sz w:val="23"/>
          <w:szCs w:val="23"/>
        </w:rPr>
        <w:t>体化污水预处理设备，均位于生产厂房西南侧，产生的生产废水经一体化污水</w:t>
      </w:r>
      <w:r>
        <w:rPr>
          <w:rFonts w:ascii="宋体" w:hAnsi="宋体" w:eastAsia="宋体" w:cs="宋体"/>
          <w:sz w:val="23"/>
          <w:szCs w:val="23"/>
        </w:rPr>
        <w:t xml:space="preserve"> </w:t>
      </w:r>
      <w:r>
        <w:rPr>
          <w:rFonts w:ascii="宋体" w:hAnsi="宋体" w:eastAsia="宋体" w:cs="宋体"/>
          <w:spacing w:val="12"/>
          <w:sz w:val="23"/>
          <w:szCs w:val="23"/>
        </w:rPr>
        <w:t>预处</w:t>
      </w:r>
      <w:r>
        <w:rPr>
          <w:rFonts w:ascii="宋体" w:hAnsi="宋体" w:eastAsia="宋体" w:cs="宋体"/>
          <w:spacing w:val="8"/>
          <w:sz w:val="23"/>
          <w:szCs w:val="23"/>
        </w:rPr>
        <w:t>理</w:t>
      </w:r>
      <w:r>
        <w:rPr>
          <w:rFonts w:ascii="宋体" w:hAnsi="宋体" w:eastAsia="宋体" w:cs="宋体"/>
          <w:spacing w:val="6"/>
          <w:sz w:val="23"/>
          <w:szCs w:val="23"/>
        </w:rPr>
        <w:t>设备处理后排入三级沉淀池 (</w:t>
      </w:r>
      <w:r>
        <w:rPr>
          <w:rFonts w:ascii="Times New Roman" w:hAnsi="Times New Roman" w:eastAsia="Times New Roman" w:cs="Times New Roman"/>
          <w:spacing w:val="6"/>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×4.5</w:t>
      </w:r>
      <w:r>
        <w:rPr>
          <w:rFonts w:ascii="Times New Roman" w:hAnsi="Times New Roman" w:eastAsia="Times New Roman" w:cs="Times New Roman"/>
          <w:sz w:val="23"/>
          <w:szCs w:val="23"/>
        </w:rPr>
        <w:t>m</w:t>
      </w:r>
      <w:r>
        <w:rPr>
          <w:rFonts w:ascii="宋体" w:hAnsi="宋体" w:eastAsia="宋体" w:cs="宋体"/>
          <w:spacing w:val="6"/>
          <w:sz w:val="23"/>
          <w:szCs w:val="23"/>
        </w:rPr>
        <w:t>) 沉淀处理，随后循环使用。</w:t>
      </w:r>
      <w:r>
        <w:rPr>
          <w:rFonts w:ascii="宋体" w:hAnsi="宋体" w:eastAsia="宋体" w:cs="宋体"/>
          <w:sz w:val="23"/>
          <w:szCs w:val="23"/>
        </w:rPr>
        <w:t xml:space="preserve"> </w:t>
      </w:r>
      <w:r>
        <w:rPr>
          <w:rFonts w:ascii="宋体" w:hAnsi="宋体" w:eastAsia="宋体" w:cs="宋体"/>
          <w:spacing w:val="1"/>
          <w:sz w:val="23"/>
          <w:szCs w:val="23"/>
        </w:rPr>
        <w:t>污水处理设施</w:t>
      </w:r>
      <w:r>
        <w:rPr>
          <w:rFonts w:ascii="宋体" w:hAnsi="宋体" w:eastAsia="宋体" w:cs="宋体"/>
          <w:sz w:val="23"/>
          <w:szCs w:val="23"/>
        </w:rPr>
        <w:t xml:space="preserve">废水每月更换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次，则该项目全年更换废水量为 </w:t>
      </w:r>
      <w:r>
        <w:rPr>
          <w:rFonts w:ascii="Times New Roman" w:hAnsi="Times New Roman" w:eastAsia="Times New Roman" w:cs="Times New Roman"/>
          <w:sz w:val="23"/>
          <w:szCs w:val="23"/>
        </w:rPr>
        <w:t>1523.52m</w:t>
      </w:r>
      <w:r>
        <w:rPr>
          <w:rFonts w:ascii="Times New Roman" w:hAnsi="Times New Roman" w:eastAsia="Times New Roman" w:cs="Times New Roman"/>
          <w:position w:val="8"/>
          <w:sz w:val="15"/>
          <w:szCs w:val="15"/>
        </w:rPr>
        <w:t>3</w:t>
      </w:r>
      <w:r>
        <w:rPr>
          <w:rFonts w:ascii="宋体" w:hAnsi="宋体" w:eastAsia="宋体" w:cs="宋体"/>
          <w:sz w:val="23"/>
          <w:szCs w:val="23"/>
        </w:rPr>
        <w:t xml:space="preserve">，更换过 </w:t>
      </w:r>
      <w:r>
        <w:rPr>
          <w:rFonts w:ascii="宋体" w:hAnsi="宋体" w:eastAsia="宋体" w:cs="宋体"/>
          <w:spacing w:val="-2"/>
          <w:sz w:val="23"/>
          <w:szCs w:val="23"/>
        </w:rPr>
        <w:t>程产生的废水经吸污车运送至本溪市科态污水处理有限责任公司统一</w:t>
      </w:r>
      <w:r>
        <w:rPr>
          <w:rFonts w:ascii="宋体" w:hAnsi="宋体" w:eastAsia="宋体" w:cs="宋体"/>
          <w:spacing w:val="-1"/>
          <w:sz w:val="23"/>
          <w:szCs w:val="23"/>
        </w:rPr>
        <w:t>处</w:t>
      </w:r>
      <w:r>
        <w:rPr>
          <w:rFonts w:ascii="宋体" w:hAnsi="宋体" w:eastAsia="宋体" w:cs="宋体"/>
          <w:sz w:val="23"/>
          <w:szCs w:val="23"/>
        </w:rPr>
        <w:t>理。</w:t>
      </w:r>
    </w:p>
    <w:p w14:paraId="1666E918">
      <w:pPr>
        <w:spacing w:before="93" w:line="401" w:lineRule="auto"/>
        <w:ind w:left="23" w:right="80" w:firstLine="480"/>
        <w:rPr>
          <w:rFonts w:ascii="宋体" w:hAnsi="宋体" w:eastAsia="宋体" w:cs="宋体"/>
          <w:sz w:val="23"/>
          <w:szCs w:val="23"/>
        </w:rPr>
      </w:pPr>
      <w:r>
        <w:rPr>
          <w:rFonts w:ascii="宋体" w:hAnsi="宋体" w:eastAsia="宋体" w:cs="宋体"/>
          <w:spacing w:val="12"/>
          <w:sz w:val="23"/>
          <w:szCs w:val="23"/>
        </w:rPr>
        <w:t>根据</w:t>
      </w:r>
      <w:r>
        <w:rPr>
          <w:rFonts w:ascii="宋体" w:hAnsi="宋体" w:eastAsia="宋体" w:cs="宋体"/>
          <w:spacing w:val="7"/>
          <w:sz w:val="23"/>
          <w:szCs w:val="23"/>
        </w:rPr>
        <w:t>建</w:t>
      </w:r>
      <w:r>
        <w:rPr>
          <w:rFonts w:ascii="宋体" w:hAnsi="宋体" w:eastAsia="宋体" w:cs="宋体"/>
          <w:spacing w:val="6"/>
          <w:sz w:val="23"/>
          <w:szCs w:val="23"/>
        </w:rPr>
        <w:t>设单位提供的资料，该项目拟采用</w:t>
      </w:r>
      <w:r>
        <w:rPr>
          <w:rFonts w:ascii="Times New Roman" w:hAnsi="Times New Roman" w:eastAsia="Times New Roman" w:cs="Times New Roman"/>
          <w:spacing w:val="6"/>
          <w:sz w:val="23"/>
          <w:szCs w:val="23"/>
        </w:rPr>
        <w:t>“</w:t>
      </w:r>
      <w:r>
        <w:rPr>
          <w:rFonts w:ascii="宋体" w:hAnsi="宋体" w:eastAsia="宋体" w:cs="宋体"/>
          <w:spacing w:val="6"/>
          <w:sz w:val="23"/>
          <w:szCs w:val="23"/>
        </w:rPr>
        <w:t>调节</w:t>
      </w:r>
      <w:r>
        <w:rPr>
          <w:rFonts w:ascii="Times New Roman" w:hAnsi="Times New Roman" w:eastAsia="Times New Roman" w:cs="Times New Roman"/>
          <w:spacing w:val="6"/>
          <w:sz w:val="23"/>
          <w:szCs w:val="23"/>
        </w:rPr>
        <w:t>+</w:t>
      </w:r>
      <w:r>
        <w:rPr>
          <w:rFonts w:ascii="宋体" w:hAnsi="宋体" w:eastAsia="宋体" w:cs="宋体"/>
          <w:spacing w:val="6"/>
          <w:sz w:val="23"/>
          <w:szCs w:val="23"/>
        </w:rPr>
        <w:t>混凝</w:t>
      </w:r>
      <w:r>
        <w:rPr>
          <w:rFonts w:ascii="Times New Roman" w:hAnsi="Times New Roman" w:eastAsia="Times New Roman" w:cs="Times New Roman"/>
          <w:spacing w:val="6"/>
          <w:sz w:val="23"/>
          <w:szCs w:val="23"/>
        </w:rPr>
        <w:t>+</w:t>
      </w:r>
      <w:r>
        <w:rPr>
          <w:rFonts w:ascii="宋体" w:hAnsi="宋体" w:eastAsia="宋体" w:cs="宋体"/>
          <w:spacing w:val="6"/>
          <w:sz w:val="23"/>
          <w:szCs w:val="23"/>
        </w:rPr>
        <w:t>气浮工艺</w:t>
      </w:r>
      <w:r>
        <w:rPr>
          <w:rFonts w:ascii="Times New Roman" w:hAnsi="Times New Roman" w:eastAsia="Times New Roman" w:cs="Times New Roman"/>
          <w:spacing w:val="6"/>
          <w:sz w:val="23"/>
          <w:szCs w:val="23"/>
        </w:rPr>
        <w:t>”</w:t>
      </w:r>
      <w:r>
        <w:rPr>
          <w:rFonts w:ascii="宋体" w:hAnsi="宋体" w:eastAsia="宋体" w:cs="宋体"/>
          <w:spacing w:val="6"/>
          <w:sz w:val="23"/>
          <w:szCs w:val="23"/>
        </w:rPr>
        <w:t>相结合的预</w:t>
      </w:r>
      <w:r>
        <w:rPr>
          <w:rFonts w:ascii="宋体" w:hAnsi="宋体" w:eastAsia="宋体" w:cs="宋体"/>
          <w:sz w:val="23"/>
          <w:szCs w:val="23"/>
        </w:rPr>
        <w:t xml:space="preserve"> </w:t>
      </w:r>
      <w:r>
        <w:rPr>
          <w:rFonts w:ascii="宋体" w:hAnsi="宋体" w:eastAsia="宋体" w:cs="宋体"/>
          <w:spacing w:val="9"/>
          <w:sz w:val="23"/>
          <w:szCs w:val="23"/>
        </w:rPr>
        <w:t>处</w:t>
      </w:r>
      <w:r>
        <w:rPr>
          <w:rFonts w:ascii="宋体" w:hAnsi="宋体" w:eastAsia="宋体" w:cs="宋体"/>
          <w:spacing w:val="7"/>
          <w:sz w:val="23"/>
          <w:szCs w:val="23"/>
        </w:rPr>
        <w:t>理工艺，即在预处理阶段先对呈弱碱性的废水进行中和处理，调节水质，随后</w:t>
      </w:r>
      <w:r>
        <w:rPr>
          <w:rFonts w:ascii="宋体" w:hAnsi="宋体" w:eastAsia="宋体" w:cs="宋体"/>
          <w:sz w:val="23"/>
          <w:szCs w:val="23"/>
        </w:rPr>
        <w:t xml:space="preserve"> </w:t>
      </w:r>
      <w:r>
        <w:rPr>
          <w:rFonts w:ascii="宋体" w:hAnsi="宋体" w:eastAsia="宋体" w:cs="宋体"/>
          <w:spacing w:val="8"/>
          <w:sz w:val="23"/>
          <w:szCs w:val="23"/>
        </w:rPr>
        <w:t xml:space="preserve">加入 </w:t>
      </w:r>
      <w:r>
        <w:rPr>
          <w:rFonts w:ascii="Times New Roman" w:hAnsi="Times New Roman" w:eastAsia="Times New Roman" w:cs="Times New Roman"/>
          <w:sz w:val="23"/>
          <w:szCs w:val="23"/>
        </w:rPr>
        <w:t>PAM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等混凝剂使水中的悬浮物凝聚成大颗粒，易于去除，最后利用气浮</w:t>
      </w:r>
      <w:r>
        <w:rPr>
          <w:rFonts w:ascii="宋体" w:hAnsi="宋体" w:eastAsia="宋体" w:cs="宋体"/>
          <w:spacing w:val="2"/>
          <w:sz w:val="23"/>
          <w:szCs w:val="23"/>
        </w:rPr>
        <w:t>工</w:t>
      </w:r>
      <w:r>
        <w:rPr>
          <w:rFonts w:ascii="宋体" w:hAnsi="宋体" w:eastAsia="宋体" w:cs="宋体"/>
          <w:sz w:val="23"/>
          <w:szCs w:val="23"/>
        </w:rPr>
        <w:t xml:space="preserve"> </w:t>
      </w:r>
      <w:r>
        <w:rPr>
          <w:rFonts w:ascii="宋体" w:hAnsi="宋体" w:eastAsia="宋体" w:cs="宋体"/>
          <w:spacing w:val="10"/>
          <w:sz w:val="23"/>
          <w:szCs w:val="23"/>
        </w:rPr>
        <w:t>艺</w:t>
      </w:r>
      <w:r>
        <w:rPr>
          <w:rFonts w:ascii="宋体" w:hAnsi="宋体" w:eastAsia="宋体" w:cs="宋体"/>
          <w:spacing w:val="9"/>
          <w:sz w:val="23"/>
          <w:szCs w:val="23"/>
        </w:rPr>
        <w:t>去</w:t>
      </w:r>
      <w:r>
        <w:rPr>
          <w:rFonts w:ascii="宋体" w:hAnsi="宋体" w:eastAsia="宋体" w:cs="宋体"/>
          <w:spacing w:val="5"/>
          <w:sz w:val="23"/>
          <w:szCs w:val="23"/>
        </w:rPr>
        <w:t xml:space="preserve">除水中的悬浮物，设计规模为 </w:t>
      </w:r>
      <w:r>
        <w:rPr>
          <w:rFonts w:ascii="Times New Roman" w:hAnsi="Times New Roman" w:eastAsia="Times New Roman" w:cs="Times New Roman"/>
          <w:spacing w:val="5"/>
          <w:sz w:val="23"/>
          <w:szCs w:val="23"/>
        </w:rPr>
        <w:t>150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宋体" w:hAnsi="宋体" w:eastAsia="宋体" w:cs="宋体"/>
          <w:spacing w:val="5"/>
          <w:sz w:val="23"/>
          <w:szCs w:val="23"/>
        </w:rPr>
        <w:t>。</w:t>
      </w:r>
    </w:p>
    <w:p w14:paraId="08498737">
      <w:pPr>
        <w:spacing w:before="121" w:line="225" w:lineRule="auto"/>
        <w:ind w:left="502"/>
        <w:rPr>
          <w:rFonts w:ascii="宋体" w:hAnsi="宋体" w:eastAsia="宋体" w:cs="宋体"/>
          <w:sz w:val="23"/>
          <w:szCs w:val="23"/>
        </w:rPr>
      </w:pPr>
      <w:r>
        <w:rPr>
          <w:rFonts w:ascii="宋体" w:hAnsi="宋体" w:eastAsia="宋体" w:cs="宋体"/>
          <w:spacing w:val="8"/>
          <w:sz w:val="23"/>
          <w:szCs w:val="23"/>
        </w:rPr>
        <w:t>①调节</w:t>
      </w:r>
      <w:r>
        <w:rPr>
          <w:rFonts w:ascii="宋体" w:hAnsi="宋体" w:eastAsia="宋体" w:cs="宋体"/>
          <w:spacing w:val="7"/>
          <w:sz w:val="23"/>
          <w:szCs w:val="23"/>
        </w:rPr>
        <w:t>池</w:t>
      </w:r>
    </w:p>
    <w:p w14:paraId="69750497">
      <w:pPr>
        <w:spacing w:line="280" w:lineRule="auto"/>
        <w:rPr>
          <w:rFonts w:ascii="Arial"/>
          <w:sz w:val="21"/>
        </w:rPr>
      </w:pPr>
    </w:p>
    <w:p w14:paraId="1C1B915A">
      <w:pPr>
        <w:spacing w:before="75" w:line="390" w:lineRule="auto"/>
        <w:ind w:left="18" w:right="18" w:firstLine="514"/>
        <w:rPr>
          <w:rFonts w:ascii="宋体" w:hAnsi="宋体" w:eastAsia="宋体" w:cs="宋体"/>
          <w:sz w:val="23"/>
          <w:szCs w:val="23"/>
        </w:rPr>
      </w:pPr>
      <w:r>
        <w:rPr>
          <w:rFonts w:ascii="宋体" w:hAnsi="宋体" w:eastAsia="宋体" w:cs="宋体"/>
          <w:spacing w:val="22"/>
          <w:sz w:val="23"/>
          <w:szCs w:val="23"/>
        </w:rPr>
        <w:t>由</w:t>
      </w:r>
      <w:r>
        <w:rPr>
          <w:rFonts w:ascii="宋体" w:hAnsi="宋体" w:eastAsia="宋体" w:cs="宋体"/>
          <w:spacing w:val="13"/>
          <w:sz w:val="23"/>
          <w:szCs w:val="23"/>
        </w:rPr>
        <w:t>于生产废水生产过程的间歇性，各段工艺排出废水的水质不同，废水的</w:t>
      </w:r>
      <w:r>
        <w:rPr>
          <w:rFonts w:ascii="宋体" w:hAnsi="宋体" w:eastAsia="宋体" w:cs="宋体"/>
          <w:sz w:val="23"/>
          <w:szCs w:val="23"/>
        </w:rPr>
        <w:t xml:space="preserve"> </w:t>
      </w:r>
      <w:r>
        <w:rPr>
          <w:rFonts w:ascii="Times New Roman" w:hAnsi="Times New Roman" w:eastAsia="Times New Roman" w:cs="Times New Roman"/>
          <w:sz w:val="23"/>
          <w:szCs w:val="23"/>
        </w:rPr>
        <w:t>PH</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、浓</w:t>
      </w:r>
      <w:r>
        <w:rPr>
          <w:rFonts w:ascii="宋体" w:hAnsi="宋体" w:eastAsia="宋体" w:cs="宋体"/>
          <w:spacing w:val="7"/>
          <w:sz w:val="23"/>
          <w:szCs w:val="23"/>
        </w:rPr>
        <w:t>度</w:t>
      </w:r>
      <w:r>
        <w:rPr>
          <w:rFonts w:ascii="宋体" w:hAnsi="宋体" w:eastAsia="宋体" w:cs="宋体"/>
          <w:spacing w:val="5"/>
          <w:sz w:val="23"/>
          <w:szCs w:val="23"/>
        </w:rPr>
        <w:t>和水量变化很大，因此要求调节池有较强的水量调节和水质均质能力，</w:t>
      </w:r>
      <w:r>
        <w:rPr>
          <w:rFonts w:ascii="宋体" w:hAnsi="宋体" w:eastAsia="宋体" w:cs="宋体"/>
          <w:sz w:val="23"/>
          <w:szCs w:val="23"/>
        </w:rPr>
        <w:t xml:space="preserve"> </w:t>
      </w:r>
      <w:r>
        <w:rPr>
          <w:rFonts w:ascii="宋体" w:hAnsi="宋体" w:eastAsia="宋体" w:cs="宋体"/>
          <w:spacing w:val="13"/>
          <w:sz w:val="23"/>
          <w:szCs w:val="23"/>
        </w:rPr>
        <w:t>对</w:t>
      </w:r>
      <w:r>
        <w:rPr>
          <w:rFonts w:ascii="宋体" w:hAnsi="宋体" w:eastAsia="宋体" w:cs="宋体"/>
          <w:spacing w:val="8"/>
          <w:sz w:val="23"/>
          <w:szCs w:val="23"/>
        </w:rPr>
        <w:t>水质水量进行调节。</w:t>
      </w:r>
    </w:p>
    <w:p w14:paraId="0EAEB001">
      <w:pPr>
        <w:spacing w:before="137" w:line="227" w:lineRule="auto"/>
        <w:ind w:left="505"/>
        <w:rPr>
          <w:rFonts w:ascii="宋体" w:hAnsi="宋体" w:eastAsia="宋体" w:cs="宋体"/>
          <w:sz w:val="23"/>
          <w:szCs w:val="23"/>
        </w:rPr>
      </w:pPr>
      <w:r>
        <w:rPr>
          <w:rFonts w:ascii="宋体" w:hAnsi="宋体" w:eastAsia="宋体" w:cs="宋体"/>
          <w:spacing w:val="18"/>
          <w:sz w:val="23"/>
          <w:szCs w:val="23"/>
        </w:rPr>
        <w:t>调</w:t>
      </w:r>
      <w:r>
        <w:rPr>
          <w:rFonts w:ascii="宋体" w:hAnsi="宋体" w:eastAsia="宋体" w:cs="宋体"/>
          <w:spacing w:val="9"/>
          <w:sz w:val="23"/>
          <w:szCs w:val="23"/>
        </w:rPr>
        <w:t>节池内设穿孔管预曝气系统，由一级提升泵将污水提升至气浮设备。</w:t>
      </w:r>
    </w:p>
    <w:p w14:paraId="7AA00C6B">
      <w:pPr>
        <w:spacing w:line="276" w:lineRule="auto"/>
        <w:rPr>
          <w:rFonts w:ascii="Arial"/>
          <w:sz w:val="21"/>
        </w:rPr>
      </w:pPr>
    </w:p>
    <w:p w14:paraId="76BDB9C4">
      <w:pPr>
        <w:spacing w:before="76" w:line="225" w:lineRule="auto"/>
        <w:ind w:left="501"/>
        <w:rPr>
          <w:rFonts w:ascii="宋体" w:hAnsi="宋体" w:eastAsia="宋体" w:cs="宋体"/>
          <w:sz w:val="23"/>
          <w:szCs w:val="23"/>
        </w:rPr>
      </w:pPr>
      <w:r>
        <w:rPr>
          <w:rFonts w:ascii="宋体" w:hAnsi="宋体" w:eastAsia="宋体" w:cs="宋体"/>
          <w:spacing w:val="8"/>
          <w:sz w:val="23"/>
          <w:szCs w:val="23"/>
        </w:rPr>
        <w:t>②气浮机</w:t>
      </w:r>
    </w:p>
    <w:p w14:paraId="3C3357CC">
      <w:pPr>
        <w:spacing w:line="276" w:lineRule="auto"/>
        <w:rPr>
          <w:rFonts w:ascii="Arial"/>
          <w:sz w:val="21"/>
        </w:rPr>
      </w:pPr>
    </w:p>
    <w:p w14:paraId="4B219453">
      <w:pPr>
        <w:spacing w:before="75" w:line="389" w:lineRule="auto"/>
        <w:ind w:left="22" w:right="80" w:firstLine="481"/>
        <w:rPr>
          <w:rFonts w:ascii="宋体" w:hAnsi="宋体" w:eastAsia="宋体" w:cs="宋体"/>
          <w:sz w:val="23"/>
          <w:szCs w:val="23"/>
        </w:rPr>
      </w:pPr>
      <w:r>
        <w:rPr>
          <w:rFonts w:ascii="宋体" w:hAnsi="宋体" w:eastAsia="宋体" w:cs="宋体"/>
          <w:spacing w:val="7"/>
          <w:sz w:val="23"/>
          <w:szCs w:val="23"/>
        </w:rPr>
        <w:t>气浮是在水中通入或产生大量的微细气泡，使其附着在悬浮颗粒上，造成</w:t>
      </w:r>
      <w:r>
        <w:rPr>
          <w:rFonts w:ascii="宋体" w:hAnsi="宋体" w:eastAsia="宋体" w:cs="宋体"/>
          <w:spacing w:val="2"/>
          <w:sz w:val="23"/>
          <w:szCs w:val="23"/>
        </w:rPr>
        <w:t>密</w:t>
      </w:r>
      <w:r>
        <w:rPr>
          <w:rFonts w:ascii="宋体" w:hAnsi="宋体" w:eastAsia="宋体" w:cs="宋体"/>
          <w:sz w:val="23"/>
          <w:szCs w:val="23"/>
        </w:rPr>
        <w:t xml:space="preserve"> </w:t>
      </w:r>
      <w:r>
        <w:rPr>
          <w:rFonts w:ascii="宋体" w:hAnsi="宋体" w:eastAsia="宋体" w:cs="宋体"/>
          <w:spacing w:val="9"/>
          <w:sz w:val="23"/>
          <w:szCs w:val="23"/>
        </w:rPr>
        <w:t>度</w:t>
      </w:r>
      <w:r>
        <w:rPr>
          <w:rFonts w:ascii="宋体" w:hAnsi="宋体" w:eastAsia="宋体" w:cs="宋体"/>
          <w:spacing w:val="7"/>
          <w:sz w:val="23"/>
          <w:szCs w:val="23"/>
        </w:rPr>
        <w:t>小于水的状态，利用浮力原理使其浮在水面上，同时通过改变污水的流速，将</w:t>
      </w:r>
      <w:r>
        <w:rPr>
          <w:rFonts w:ascii="宋体" w:hAnsi="宋体" w:eastAsia="宋体" w:cs="宋体"/>
          <w:sz w:val="23"/>
          <w:szCs w:val="23"/>
        </w:rPr>
        <w:t xml:space="preserve"> </w:t>
      </w:r>
      <w:r>
        <w:rPr>
          <w:rFonts w:ascii="宋体" w:hAnsi="宋体" w:eastAsia="宋体" w:cs="宋体"/>
          <w:spacing w:val="9"/>
          <w:sz w:val="23"/>
          <w:szCs w:val="23"/>
        </w:rPr>
        <w:t>没</w:t>
      </w:r>
      <w:r>
        <w:rPr>
          <w:rFonts w:ascii="宋体" w:hAnsi="宋体" w:eastAsia="宋体" w:cs="宋体"/>
          <w:spacing w:val="7"/>
          <w:sz w:val="23"/>
          <w:szCs w:val="23"/>
        </w:rPr>
        <w:t>有完全上浮的絮凝物沉淀到设备底部排出，从而达到固、液分离的效果。气浮</w:t>
      </w:r>
      <w:r>
        <w:rPr>
          <w:rFonts w:ascii="宋体" w:hAnsi="宋体" w:eastAsia="宋体" w:cs="宋体"/>
          <w:sz w:val="23"/>
          <w:szCs w:val="23"/>
        </w:rPr>
        <w:t xml:space="preserve"> </w:t>
      </w:r>
      <w:r>
        <w:rPr>
          <w:rFonts w:ascii="宋体" w:hAnsi="宋体" w:eastAsia="宋体" w:cs="宋体"/>
          <w:spacing w:val="6"/>
          <w:sz w:val="23"/>
          <w:szCs w:val="23"/>
        </w:rPr>
        <w:t xml:space="preserve">可以去除水中的悬浮物，并去除一定量的非溶解性 </w:t>
      </w:r>
      <w:r>
        <w:rPr>
          <w:rFonts w:ascii="Times New Roman" w:hAnsi="Times New Roman" w:eastAsia="Times New Roman" w:cs="Times New Roman"/>
          <w:sz w:val="23"/>
          <w:szCs w:val="23"/>
        </w:rPr>
        <w:t>COD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BOD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，污水进气浮</w:t>
      </w:r>
      <w:r>
        <w:rPr>
          <w:rFonts w:ascii="宋体" w:hAnsi="宋体" w:eastAsia="宋体" w:cs="宋体"/>
          <w:spacing w:val="4"/>
          <w:sz w:val="23"/>
          <w:szCs w:val="23"/>
        </w:rPr>
        <w:t>前</w:t>
      </w:r>
      <w:r>
        <w:rPr>
          <w:rFonts w:ascii="宋体" w:hAnsi="宋体" w:eastAsia="宋体" w:cs="宋体"/>
          <w:sz w:val="23"/>
          <w:szCs w:val="23"/>
        </w:rPr>
        <w:t xml:space="preserve"> </w:t>
      </w:r>
      <w:r>
        <w:rPr>
          <w:rFonts w:ascii="宋体" w:hAnsi="宋体" w:eastAsia="宋体" w:cs="宋体"/>
          <w:spacing w:val="-2"/>
          <w:sz w:val="23"/>
          <w:szCs w:val="23"/>
        </w:rPr>
        <w:t xml:space="preserve">需加 </w:t>
      </w:r>
      <w:r>
        <w:rPr>
          <w:rFonts w:ascii="Times New Roman" w:hAnsi="Times New Roman" w:eastAsia="Times New Roman" w:cs="Times New Roman"/>
          <w:spacing w:val="-2"/>
          <w:sz w:val="23"/>
          <w:szCs w:val="23"/>
        </w:rPr>
        <w:t xml:space="preserve">PAC </w:t>
      </w:r>
      <w:r>
        <w:rPr>
          <w:rFonts w:ascii="宋体" w:hAnsi="宋体" w:eastAsia="宋体" w:cs="宋体"/>
          <w:spacing w:val="-2"/>
          <w:sz w:val="23"/>
          <w:szCs w:val="23"/>
        </w:rPr>
        <w:t>、</w:t>
      </w:r>
      <w:r>
        <w:rPr>
          <w:rFonts w:ascii="Times New Roman" w:hAnsi="Times New Roman" w:eastAsia="Times New Roman" w:cs="Times New Roman"/>
          <w:spacing w:val="-2"/>
          <w:sz w:val="23"/>
          <w:szCs w:val="23"/>
        </w:rPr>
        <w:t>PA</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，进行混凝沉淀。</w:t>
      </w:r>
    </w:p>
    <w:p w14:paraId="5AB834F1">
      <w:pPr>
        <w:sectPr>
          <w:headerReference r:id="rId271" w:type="default"/>
          <w:footerReference r:id="rId272" w:type="default"/>
          <w:pgSz w:w="11906" w:h="16839"/>
          <w:pgMar w:top="1132" w:right="1719" w:bottom="1182" w:left="1785" w:header="878" w:footer="1022" w:gutter="0"/>
          <w:cols w:space="720" w:num="1"/>
        </w:sectPr>
      </w:pPr>
    </w:p>
    <w:p w14:paraId="3C3DDD1E">
      <w:pPr>
        <w:spacing w:line="259" w:lineRule="auto"/>
        <w:rPr>
          <w:rFonts w:ascii="Arial"/>
          <w:sz w:val="21"/>
        </w:rPr>
      </w:pPr>
      <w:r>
        <w:pict>
          <v:shape id="_x0000_s1304" o:spid="_x0000_s1304" style="position:absolute;left:0pt;margin-left:90pt;margin-top:57.35pt;height:0.75pt;width:415.3pt;mso-position-horizontal-relative:page;mso-position-vertical-relative:page;z-index:251957248;mso-width-relative:page;mso-height-relative:page;" fillcolor="#000000" filled="t" stroked="f" coordsize="8305,15" o:allowincell="f" path="m0,0l8305,0,8305,14,0,14,0,0xe">
            <v:path/>
            <v:fill on="t" focussize="0,0"/>
            <v:stroke on="f"/>
            <v:imagedata o:title=""/>
            <o:lock v:ext="edit"/>
          </v:shape>
        </w:pict>
      </w:r>
    </w:p>
    <w:p w14:paraId="5AC1EB3E">
      <w:pPr>
        <w:spacing w:line="259" w:lineRule="auto"/>
        <w:rPr>
          <w:rFonts w:ascii="Arial"/>
          <w:sz w:val="21"/>
        </w:rPr>
      </w:pPr>
    </w:p>
    <w:p w14:paraId="2EBA0588">
      <w:pPr>
        <w:spacing w:before="65" w:line="228" w:lineRule="auto"/>
        <w:ind w:left="3943"/>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p>
    <w:p w14:paraId="573E3496">
      <w:pPr>
        <w:spacing w:before="60" w:line="358" w:lineRule="exact"/>
        <w:ind w:firstLine="4266"/>
        <w:textAlignment w:val="center"/>
      </w:pPr>
      <w:r>
        <w:drawing>
          <wp:inline distT="0" distB="0" distL="0" distR="0">
            <wp:extent cx="110490" cy="22733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542"/>
                    <a:stretch>
                      <a:fillRect/>
                    </a:stretch>
                  </pic:blipFill>
                  <pic:spPr>
                    <a:xfrm>
                      <a:off x="0" y="0"/>
                      <a:ext cx="110578" cy="227443"/>
                    </a:xfrm>
                    <a:prstGeom prst="rect">
                      <a:avLst/>
                    </a:prstGeom>
                  </pic:spPr>
                </pic:pic>
              </a:graphicData>
            </a:graphic>
          </wp:inline>
        </w:drawing>
      </w:r>
    </w:p>
    <w:p w14:paraId="26F78E72">
      <w:pPr>
        <w:spacing w:before="10" w:line="467" w:lineRule="exact"/>
        <w:ind w:firstLine="3532"/>
        <w:textAlignment w:val="center"/>
      </w:pPr>
      <w:r>
        <w:pict>
          <v:group id="_x0000_s1305" o:spid="_x0000_s1305" o:spt="203" style="height:23.4pt;width:82.95pt;" coordsize="1658,467">
            <o:lock v:ext="edit"/>
            <v:shape id="_x0000_s1306" o:spid="_x0000_s1306" o:spt="75" type="#_x0000_t75" style="position:absolute;left:0;top:0;height:467;width:1658;" filled="f" stroked="f" coordsize="21600,21600">
              <v:path/>
              <v:fill on="f" focussize="0,0"/>
              <v:stroke on="f"/>
              <v:imagedata r:id="rId543" o:title=""/>
              <o:lock v:ext="edit" aspectratio="t"/>
            </v:shape>
            <v:shape id="_x0000_s1307" o:spid="_x0000_s1307" o:spt="202" type="#_x0000_t202" style="position:absolute;left:-20;top:-20;height:545;width:1698;" filled="f" stroked="f" coordsize="21600,21600">
              <v:path/>
              <v:fill on="f" focussize="0,0"/>
              <v:stroke on="f"/>
              <v:imagedata o:title=""/>
              <o:lock v:ext="edit" aspectratio="f"/>
              <v:textbox inset="0mm,0mm,0mm,0mm">
                <w:txbxContent>
                  <w:p w14:paraId="3FF7D5B7">
                    <w:pPr>
                      <w:spacing w:before="172" w:line="228" w:lineRule="auto"/>
                      <w:ind w:left="543"/>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节池</w:t>
                    </w:r>
                  </w:p>
                </w:txbxContent>
              </v:textbox>
            </v:shape>
            <w10:wrap type="none"/>
            <w10:anchorlock/>
          </v:group>
        </w:pict>
      </w:r>
    </w:p>
    <w:p w14:paraId="4FF0F13B">
      <w:pPr>
        <w:spacing w:before="58" w:line="358" w:lineRule="exact"/>
        <w:ind w:firstLine="4266"/>
        <w:textAlignment w:val="center"/>
      </w:pPr>
      <w:r>
        <w:drawing>
          <wp:inline distT="0" distB="0" distL="0" distR="0">
            <wp:extent cx="110490" cy="22733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544"/>
                    <a:stretch>
                      <a:fillRect/>
                    </a:stretch>
                  </pic:blipFill>
                  <pic:spPr>
                    <a:xfrm>
                      <a:off x="0" y="0"/>
                      <a:ext cx="110578" cy="227444"/>
                    </a:xfrm>
                    <a:prstGeom prst="rect">
                      <a:avLst/>
                    </a:prstGeom>
                  </pic:spPr>
                </pic:pic>
              </a:graphicData>
            </a:graphic>
          </wp:inline>
        </w:drawing>
      </w:r>
    </w:p>
    <w:p w14:paraId="20009A37">
      <w:pPr>
        <w:spacing w:before="20" w:line="467" w:lineRule="exact"/>
        <w:ind w:firstLine="3613"/>
        <w:textAlignment w:val="center"/>
      </w:pPr>
      <w:r>
        <w:pict>
          <v:group id="_x0000_s1308" o:spid="_x0000_s1308" o:spt="203" style="height:23.35pt;width:74pt;" coordsize="1480,467">
            <o:lock v:ext="edit"/>
            <v:shape id="_x0000_s1309" o:spid="_x0000_s1309" o:spt="75" type="#_x0000_t75" style="position:absolute;left:0;top:0;height:467;width:1480;" filled="f" stroked="f" coordsize="21600,21600">
              <v:path/>
              <v:fill on="f" focussize="0,0"/>
              <v:stroke on="f"/>
              <v:imagedata r:id="rId545" o:title=""/>
              <o:lock v:ext="edit" aspectratio="t"/>
            </v:shape>
            <v:shape id="_x0000_s1310" o:spid="_x0000_s1310" o:spt="202" type="#_x0000_t202" style="position:absolute;left:-20;top:-20;height:545;width:1520;" filled="f" stroked="f" coordsize="21600,21600">
              <v:path/>
              <v:fill on="f" focussize="0,0"/>
              <v:stroke on="f"/>
              <v:imagedata o:title=""/>
              <o:lock v:ext="edit" aspectratio="f"/>
              <v:textbox inset="0mm,0mm,0mm,0mm">
                <w:txbxContent>
                  <w:p w14:paraId="6DE9D1DD">
                    <w:pPr>
                      <w:spacing w:before="173" w:line="228" w:lineRule="auto"/>
                      <w:ind w:left="350"/>
                      <w:rPr>
                        <w:rFonts w:ascii="宋体" w:hAnsi="宋体" w:eastAsia="宋体" w:cs="宋体"/>
                        <w:sz w:val="20"/>
                        <w:szCs w:val="20"/>
                      </w:rPr>
                    </w:pPr>
                    <w:r>
                      <w:rPr>
                        <w:rFonts w:ascii="宋体" w:hAnsi="宋体" w:eastAsia="宋体" w:cs="宋体"/>
                        <w:spacing w:val="9"/>
                        <w:sz w:val="20"/>
                        <w:szCs w:val="20"/>
                      </w:rPr>
                      <w:t>混</w:t>
                    </w:r>
                    <w:r>
                      <w:rPr>
                        <w:rFonts w:ascii="宋体" w:hAnsi="宋体" w:eastAsia="宋体" w:cs="宋体"/>
                        <w:spacing w:val="6"/>
                        <w:sz w:val="20"/>
                        <w:szCs w:val="20"/>
                      </w:rPr>
                      <w:t>凝沉淀</w:t>
                    </w:r>
                  </w:p>
                </w:txbxContent>
              </v:textbox>
            </v:shape>
            <w10:wrap type="none"/>
            <w10:anchorlock/>
          </v:group>
        </w:pict>
      </w:r>
    </w:p>
    <w:p w14:paraId="29042A13">
      <w:pPr>
        <w:spacing w:before="45" w:line="359" w:lineRule="exact"/>
        <w:ind w:firstLine="4244"/>
        <w:textAlignment w:val="center"/>
      </w:pPr>
      <w:r>
        <w:drawing>
          <wp:inline distT="0" distB="0" distL="0" distR="0">
            <wp:extent cx="110490" cy="22733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546"/>
                    <a:stretch>
                      <a:fillRect/>
                    </a:stretch>
                  </pic:blipFill>
                  <pic:spPr>
                    <a:xfrm>
                      <a:off x="0" y="0"/>
                      <a:ext cx="110579" cy="227444"/>
                    </a:xfrm>
                    <a:prstGeom prst="rect">
                      <a:avLst/>
                    </a:prstGeom>
                  </pic:spPr>
                </pic:pic>
              </a:graphicData>
            </a:graphic>
          </wp:inline>
        </w:drawing>
      </w:r>
    </w:p>
    <w:p w14:paraId="0A073DB2">
      <w:pPr>
        <w:spacing w:before="61" w:line="467" w:lineRule="exact"/>
        <w:ind w:firstLine="3463"/>
        <w:textAlignment w:val="center"/>
      </w:pPr>
      <w:r>
        <w:pict>
          <v:group id="_x0000_s1311" o:spid="_x0000_s1311" o:spt="203" style="height:23.4pt;width:89pt;" coordsize="1780,467">
            <o:lock v:ext="edit"/>
            <v:shape id="_x0000_s1312" o:spid="_x0000_s1312" o:spt="75" type="#_x0000_t75" style="position:absolute;left:0;top:0;height:467;width:1780;" filled="f" stroked="f" coordsize="21600,21600">
              <v:path/>
              <v:fill on="f" focussize="0,0"/>
              <v:stroke on="f"/>
              <v:imagedata r:id="rId547" o:title=""/>
              <o:lock v:ext="edit" aspectratio="t"/>
            </v:shape>
            <v:shape id="_x0000_s1313" o:spid="_x0000_s1313" o:spt="202" type="#_x0000_t202" style="position:absolute;left:-20;top:-20;height:547;width:1820;" filled="f" stroked="f" coordsize="21600,21600">
              <v:path/>
              <v:fill on="f" focussize="0,0"/>
              <v:stroke on="f"/>
              <v:imagedata o:title=""/>
              <o:lock v:ext="edit" aspectratio="f"/>
              <v:textbox inset="0mm,0mm,0mm,0mm">
                <w:txbxContent>
                  <w:p w14:paraId="5C75B861">
                    <w:pPr>
                      <w:spacing w:before="172" w:line="229" w:lineRule="auto"/>
                      <w:ind w:left="708"/>
                      <w:rPr>
                        <w:rFonts w:ascii="宋体" w:hAnsi="宋体" w:eastAsia="宋体" w:cs="宋体"/>
                        <w:sz w:val="20"/>
                        <w:szCs w:val="20"/>
                      </w:rPr>
                    </w:pPr>
                    <w:r>
                      <w:rPr>
                        <w:rFonts w:ascii="宋体" w:hAnsi="宋体" w:eastAsia="宋体" w:cs="宋体"/>
                        <w:spacing w:val="4"/>
                        <w:sz w:val="20"/>
                        <w:szCs w:val="20"/>
                      </w:rPr>
                      <w:t>气浮</w:t>
                    </w:r>
                  </w:p>
                </w:txbxContent>
              </v:textbox>
            </v:shape>
            <w10:wrap type="none"/>
            <w10:anchorlock/>
          </v:group>
        </w:pict>
      </w:r>
    </w:p>
    <w:p w14:paraId="4A7DDAEA">
      <w:pPr>
        <w:spacing w:before="64" w:line="358" w:lineRule="exact"/>
        <w:ind w:firstLine="4266"/>
        <w:textAlignment w:val="center"/>
      </w:pPr>
      <w:r>
        <w:drawing>
          <wp:inline distT="0" distB="0" distL="0" distR="0">
            <wp:extent cx="110490" cy="22733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548"/>
                    <a:stretch>
                      <a:fillRect/>
                    </a:stretch>
                  </pic:blipFill>
                  <pic:spPr>
                    <a:xfrm>
                      <a:off x="0" y="0"/>
                      <a:ext cx="110578" cy="227443"/>
                    </a:xfrm>
                    <a:prstGeom prst="rect">
                      <a:avLst/>
                    </a:prstGeom>
                  </pic:spPr>
                </pic:pic>
              </a:graphicData>
            </a:graphic>
          </wp:inline>
        </w:drawing>
      </w:r>
    </w:p>
    <w:p w14:paraId="6CBFF0FB">
      <w:pPr>
        <w:spacing w:line="46" w:lineRule="exact"/>
      </w:pPr>
    </w:p>
    <w:p w14:paraId="4428C71E">
      <w:pPr>
        <w:sectPr>
          <w:headerReference r:id="rId273" w:type="default"/>
          <w:footerReference r:id="rId274" w:type="default"/>
          <w:pgSz w:w="11906" w:h="16839"/>
          <w:pgMar w:top="1132" w:right="1785" w:bottom="1182" w:left="1785" w:header="878" w:footer="1022" w:gutter="0"/>
          <w:cols w:equalWidth="0" w:num="1">
            <w:col w:w="8335"/>
          </w:cols>
        </w:sectPr>
      </w:pPr>
    </w:p>
    <w:p w14:paraId="1C0ECBA2">
      <w:pPr>
        <w:spacing w:line="443" w:lineRule="auto"/>
        <w:rPr>
          <w:rFonts w:ascii="Arial"/>
          <w:sz w:val="21"/>
        </w:rPr>
      </w:pPr>
    </w:p>
    <w:p w14:paraId="6CCB79DF">
      <w:pPr>
        <w:spacing w:before="75" w:line="192" w:lineRule="auto"/>
        <w:ind w:left="1969"/>
        <w:rPr>
          <w:rFonts w:ascii="Times New Roman" w:hAnsi="Times New Roman" w:eastAsia="Times New Roman" w:cs="Times New Roman"/>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图</w:t>
      </w:r>
      <w:r>
        <w:rPr>
          <w:rFonts w:ascii="宋体" w:hAnsi="宋体" w:eastAsia="宋体" w:cs="宋体"/>
          <w:spacing w:val="-11"/>
          <w:sz w:val="23"/>
          <w:szCs w:val="23"/>
        </w:rPr>
        <w:t xml:space="preserve"> </w:t>
      </w:r>
      <w:r>
        <w:rPr>
          <w:rFonts w:ascii="Times New Roman" w:hAnsi="Times New Roman" w:eastAsia="Times New Roman" w:cs="Times New Roman"/>
          <w:b/>
          <w:bCs/>
          <w:spacing w:val="-11"/>
          <w:sz w:val="23"/>
          <w:szCs w:val="23"/>
        </w:rPr>
        <w:t>6-1</w:t>
      </w:r>
    </w:p>
    <w:p w14:paraId="5ED50EA1">
      <w:pPr>
        <w:spacing w:line="14" w:lineRule="auto"/>
        <w:rPr>
          <w:rFonts w:ascii="Arial"/>
          <w:sz w:val="2"/>
        </w:rPr>
      </w:pPr>
      <w:r>
        <w:rPr>
          <w:rFonts w:ascii="Arial" w:hAnsi="Arial" w:eastAsia="Arial" w:cs="Arial"/>
          <w:sz w:val="2"/>
          <w:szCs w:val="2"/>
        </w:rPr>
        <w:br w:type="column"/>
      </w:r>
    </w:p>
    <w:p w14:paraId="399F86BA">
      <w:pPr>
        <w:spacing w:before="47" w:line="228" w:lineRule="auto"/>
        <w:ind w:left="160"/>
        <w:rPr>
          <w:rFonts w:ascii="宋体" w:hAnsi="宋体" w:eastAsia="宋体" w:cs="宋体"/>
          <w:sz w:val="20"/>
          <w:szCs w:val="20"/>
        </w:rPr>
      </w:pPr>
      <w:r>
        <w:rPr>
          <w:rFonts w:ascii="宋体" w:hAnsi="宋体" w:eastAsia="宋体" w:cs="宋体"/>
          <w:spacing w:val="10"/>
          <w:sz w:val="20"/>
          <w:szCs w:val="20"/>
        </w:rPr>
        <w:t>排</w:t>
      </w:r>
      <w:r>
        <w:rPr>
          <w:rFonts w:ascii="宋体" w:hAnsi="宋体" w:eastAsia="宋体" w:cs="宋体"/>
          <w:spacing w:val="9"/>
          <w:sz w:val="20"/>
          <w:szCs w:val="20"/>
        </w:rPr>
        <w:t>入三级沉淀池沉淀处理</w:t>
      </w:r>
    </w:p>
    <w:p w14:paraId="3C9157F3">
      <w:pPr>
        <w:spacing w:before="226" w:line="192" w:lineRule="auto"/>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污水预处理设备处理工艺流程</w:t>
      </w:r>
      <w:r>
        <w:rPr>
          <w:rFonts w:ascii="宋体" w:hAnsi="宋体" w:eastAsia="宋体" w:cs="宋体"/>
          <w:spacing w:val="8"/>
          <w:sz w:val="23"/>
          <w:szCs w:val="23"/>
          <w14:textOutline w14:w="4358" w14:cap="sq" w14:cmpd="sng">
            <w14:solidFill>
              <w14:srgbClr w14:val="000000"/>
            </w14:solidFill>
            <w14:prstDash w14:val="solid"/>
            <w14:bevel/>
          </w14:textOutline>
        </w:rPr>
        <w:t>图</w:t>
      </w:r>
    </w:p>
    <w:p w14:paraId="3847881A">
      <w:pPr>
        <w:sectPr>
          <w:type w:val="continuous"/>
          <w:pgSz w:w="11906" w:h="16839"/>
          <w:pgMar w:top="1132" w:right="1785" w:bottom="1182" w:left="1785" w:header="878" w:footer="1022" w:gutter="0"/>
          <w:cols w:equalWidth="0" w:num="2">
            <w:col w:w="2950" w:space="100"/>
            <w:col w:w="5285"/>
          </w:cols>
        </w:sectPr>
      </w:pPr>
    </w:p>
    <w:p w14:paraId="78651236">
      <w:pPr>
        <w:spacing w:line="321" w:lineRule="auto"/>
        <w:rPr>
          <w:rFonts w:ascii="Arial"/>
          <w:sz w:val="21"/>
        </w:rPr>
      </w:pPr>
    </w:p>
    <w:p w14:paraId="5038C3F4">
      <w:pPr>
        <w:spacing w:before="75" w:line="380" w:lineRule="auto"/>
        <w:ind w:left="26" w:right="13" w:firstLine="506"/>
        <w:rPr>
          <w:rFonts w:ascii="宋体" w:hAnsi="宋体" w:eastAsia="宋体" w:cs="宋体"/>
          <w:sz w:val="23"/>
          <w:szCs w:val="23"/>
        </w:rPr>
      </w:pPr>
      <w:r>
        <w:rPr>
          <w:rFonts w:ascii="宋体" w:hAnsi="宋体" w:eastAsia="宋体" w:cs="宋体"/>
          <w:spacing w:val="6"/>
          <w:sz w:val="23"/>
          <w:szCs w:val="23"/>
        </w:rPr>
        <w:t>由工程分析</w:t>
      </w:r>
      <w:r>
        <w:rPr>
          <w:rFonts w:ascii="宋体" w:hAnsi="宋体" w:eastAsia="宋体" w:cs="宋体"/>
          <w:spacing w:val="4"/>
          <w:sz w:val="23"/>
          <w:szCs w:val="23"/>
        </w:rPr>
        <w:t>章</w:t>
      </w:r>
      <w:r>
        <w:rPr>
          <w:rFonts w:ascii="宋体" w:hAnsi="宋体" w:eastAsia="宋体" w:cs="宋体"/>
          <w:spacing w:val="3"/>
          <w:sz w:val="23"/>
          <w:szCs w:val="23"/>
        </w:rPr>
        <w:t xml:space="preserve">节可知，该部分更换的生产废水主要污染物为 </w:t>
      </w:r>
      <w:r>
        <w:rPr>
          <w:rFonts w:ascii="Times New Roman" w:hAnsi="Times New Roman" w:eastAsia="Times New Roman" w:cs="Times New Roman"/>
          <w:sz w:val="23"/>
          <w:szCs w:val="23"/>
        </w:rPr>
        <w:t>COD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、石</w:t>
      </w:r>
      <w:r>
        <w:rPr>
          <w:rFonts w:ascii="宋体" w:hAnsi="宋体" w:eastAsia="宋体" w:cs="宋体"/>
          <w:sz w:val="23"/>
          <w:szCs w:val="23"/>
        </w:rPr>
        <w:t xml:space="preserve"> </w:t>
      </w:r>
      <w:r>
        <w:rPr>
          <w:rFonts w:ascii="宋体" w:hAnsi="宋体" w:eastAsia="宋体" w:cs="宋体"/>
          <w:spacing w:val="8"/>
          <w:sz w:val="23"/>
          <w:szCs w:val="23"/>
        </w:rPr>
        <w:t>油类，</w:t>
      </w:r>
      <w:r>
        <w:rPr>
          <w:rFonts w:ascii="宋体" w:hAnsi="宋体" w:eastAsia="宋体" w:cs="宋体"/>
          <w:spacing w:val="6"/>
          <w:sz w:val="23"/>
          <w:szCs w:val="23"/>
        </w:rPr>
        <w:t>能</w:t>
      </w:r>
      <w:r>
        <w:rPr>
          <w:rFonts w:ascii="宋体" w:hAnsi="宋体" w:eastAsia="宋体" w:cs="宋体"/>
          <w:spacing w:val="4"/>
          <w:sz w:val="23"/>
          <w:szCs w:val="23"/>
        </w:rPr>
        <w:t>够达到《辽宁省污水综合排放标准》 (</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21/ 1627-2008</w:t>
      </w:r>
      <w:r>
        <w:rPr>
          <w:rFonts w:ascii="宋体" w:hAnsi="宋体" w:eastAsia="宋体" w:cs="宋体"/>
          <w:spacing w:val="4"/>
          <w:sz w:val="23"/>
          <w:szCs w:val="23"/>
        </w:rPr>
        <w:t>) 中排入污水处</w:t>
      </w:r>
      <w:r>
        <w:rPr>
          <w:rFonts w:ascii="宋体" w:hAnsi="宋体" w:eastAsia="宋体" w:cs="宋体"/>
          <w:sz w:val="23"/>
          <w:szCs w:val="23"/>
        </w:rPr>
        <w:t xml:space="preserve"> </w:t>
      </w:r>
      <w:r>
        <w:rPr>
          <w:rFonts w:ascii="宋体" w:hAnsi="宋体" w:eastAsia="宋体" w:cs="宋体"/>
          <w:spacing w:val="9"/>
          <w:sz w:val="23"/>
          <w:szCs w:val="23"/>
        </w:rPr>
        <w:t>理厂的水污染物最高允许排放浓度限制要求</w:t>
      </w:r>
      <w:r>
        <w:rPr>
          <w:rFonts w:ascii="宋体" w:hAnsi="宋体" w:eastAsia="宋体" w:cs="宋体"/>
          <w:spacing w:val="6"/>
          <w:sz w:val="23"/>
          <w:szCs w:val="23"/>
        </w:rPr>
        <w:t>。</w:t>
      </w:r>
    </w:p>
    <w:p w14:paraId="7F3D7B10">
      <w:pPr>
        <w:spacing w:before="122" w:line="226" w:lineRule="auto"/>
        <w:ind w:left="25"/>
        <w:outlineLvl w:val="2"/>
        <w:rPr>
          <w:rFonts w:ascii="宋体" w:hAnsi="宋体" w:eastAsia="宋体" w:cs="宋体"/>
          <w:sz w:val="29"/>
          <w:szCs w:val="29"/>
        </w:rPr>
      </w:pPr>
      <w:r>
        <w:rPr>
          <w:rFonts w:ascii="Times New Roman" w:hAnsi="Times New Roman" w:eastAsia="Times New Roman" w:cs="Times New Roman"/>
          <w:b/>
          <w:bCs/>
          <w:spacing w:val="14"/>
          <w:sz w:val="29"/>
          <w:szCs w:val="29"/>
        </w:rPr>
        <w:t>6</w:t>
      </w:r>
      <w:r>
        <w:rPr>
          <w:rFonts w:ascii="Times New Roman" w:hAnsi="Times New Roman" w:eastAsia="Times New Roman" w:cs="Times New Roman"/>
          <w:b/>
          <w:bCs/>
          <w:spacing w:val="11"/>
          <w:sz w:val="29"/>
          <w:szCs w:val="29"/>
        </w:rPr>
        <w:t>.</w:t>
      </w:r>
      <w:r>
        <w:rPr>
          <w:rFonts w:ascii="Times New Roman" w:hAnsi="Times New Roman" w:eastAsia="Times New Roman" w:cs="Times New Roman"/>
          <w:b/>
          <w:bCs/>
          <w:spacing w:val="7"/>
          <w:sz w:val="29"/>
          <w:szCs w:val="29"/>
        </w:rPr>
        <w:t>2.3</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运营期地下水污染防治措施</w:t>
      </w:r>
    </w:p>
    <w:p w14:paraId="6C9DDDC9">
      <w:pPr>
        <w:spacing w:before="297" w:line="221" w:lineRule="auto"/>
        <w:ind w:left="24"/>
        <w:outlineLvl w:val="2"/>
        <w:rPr>
          <w:rFonts w:ascii="宋体" w:hAnsi="宋体" w:eastAsia="宋体" w:cs="宋体"/>
          <w:sz w:val="28"/>
          <w:szCs w:val="28"/>
        </w:rPr>
      </w:pPr>
      <w:r>
        <w:rPr>
          <w:rFonts w:ascii="Times New Roman" w:hAnsi="Times New Roman" w:eastAsia="Times New Roman" w:cs="Times New Roman"/>
          <w:b/>
          <w:bCs/>
          <w:spacing w:val="11"/>
          <w:sz w:val="28"/>
          <w:szCs w:val="28"/>
        </w:rPr>
        <w:t>6</w:t>
      </w:r>
      <w:r>
        <w:rPr>
          <w:rFonts w:ascii="Times New Roman" w:hAnsi="Times New Roman" w:eastAsia="Times New Roman" w:cs="Times New Roman"/>
          <w:b/>
          <w:bCs/>
          <w:spacing w:val="6"/>
          <w:sz w:val="28"/>
          <w:szCs w:val="28"/>
        </w:rPr>
        <w:t>.2.3.1</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防控措施</w:t>
      </w:r>
    </w:p>
    <w:p w14:paraId="00FF77F4">
      <w:pPr>
        <w:spacing w:line="257" w:lineRule="auto"/>
        <w:rPr>
          <w:rFonts w:ascii="Arial"/>
          <w:sz w:val="21"/>
        </w:rPr>
      </w:pPr>
    </w:p>
    <w:p w14:paraId="03C8A8E9">
      <w:pPr>
        <w:spacing w:before="75" w:line="389" w:lineRule="auto"/>
        <w:ind w:left="24" w:right="13" w:firstLine="478"/>
        <w:rPr>
          <w:rFonts w:ascii="宋体" w:hAnsi="宋体" w:eastAsia="宋体" w:cs="宋体"/>
          <w:sz w:val="23"/>
          <w:szCs w:val="23"/>
        </w:rPr>
      </w:pPr>
      <w:r>
        <w:rPr>
          <w:rFonts w:ascii="宋体" w:hAnsi="宋体" w:eastAsia="宋体" w:cs="宋体"/>
          <w:spacing w:val="7"/>
          <w:sz w:val="23"/>
          <w:szCs w:val="23"/>
        </w:rPr>
        <w:t>对可能泄漏污染物的污染区和装置进行防渗处理，并及时地将泄漏、渗漏</w:t>
      </w:r>
      <w:r>
        <w:rPr>
          <w:rFonts w:ascii="宋体" w:hAnsi="宋体" w:eastAsia="宋体" w:cs="宋体"/>
          <w:spacing w:val="3"/>
          <w:sz w:val="23"/>
          <w:szCs w:val="23"/>
        </w:rPr>
        <w:t>的</w:t>
      </w:r>
      <w:r>
        <w:rPr>
          <w:rFonts w:ascii="宋体" w:hAnsi="宋体" w:eastAsia="宋体" w:cs="宋体"/>
          <w:sz w:val="23"/>
          <w:szCs w:val="23"/>
        </w:rPr>
        <w:t xml:space="preserve"> </w:t>
      </w:r>
      <w:r>
        <w:rPr>
          <w:rFonts w:ascii="宋体" w:hAnsi="宋体" w:eastAsia="宋体" w:cs="宋体"/>
          <w:spacing w:val="8"/>
          <w:sz w:val="23"/>
          <w:szCs w:val="23"/>
        </w:rPr>
        <w:t>污</w:t>
      </w:r>
      <w:r>
        <w:rPr>
          <w:rFonts w:ascii="宋体" w:hAnsi="宋体" w:eastAsia="宋体" w:cs="宋体"/>
          <w:spacing w:val="7"/>
          <w:sz w:val="23"/>
          <w:szCs w:val="23"/>
        </w:rPr>
        <w:t>染物收集起来进行处理，可有效防止污染物渗入地下。根据国家相关标准和规</w:t>
      </w:r>
      <w:r>
        <w:rPr>
          <w:rFonts w:ascii="宋体" w:hAnsi="宋体" w:eastAsia="宋体" w:cs="宋体"/>
          <w:sz w:val="23"/>
          <w:szCs w:val="23"/>
        </w:rPr>
        <w:t xml:space="preserve"> </w:t>
      </w:r>
      <w:r>
        <w:rPr>
          <w:rFonts w:ascii="宋体" w:hAnsi="宋体" w:eastAsia="宋体" w:cs="宋体"/>
          <w:spacing w:val="8"/>
          <w:sz w:val="23"/>
          <w:szCs w:val="23"/>
        </w:rPr>
        <w:t>范</w:t>
      </w:r>
      <w:r>
        <w:rPr>
          <w:rFonts w:ascii="宋体" w:hAnsi="宋体" w:eastAsia="宋体" w:cs="宋体"/>
          <w:spacing w:val="7"/>
          <w:sz w:val="23"/>
          <w:szCs w:val="23"/>
        </w:rPr>
        <w:t>，结合目前施工过程中的可操作性和技术水平，针对不同的污染防治区域采用</w:t>
      </w:r>
      <w:r>
        <w:rPr>
          <w:rFonts w:ascii="宋体" w:hAnsi="宋体" w:eastAsia="宋体" w:cs="宋体"/>
          <w:sz w:val="23"/>
          <w:szCs w:val="23"/>
        </w:rPr>
        <w:t xml:space="preserve"> </w:t>
      </w:r>
      <w:r>
        <w:rPr>
          <w:rFonts w:ascii="宋体" w:hAnsi="宋体" w:eastAsia="宋体" w:cs="宋体"/>
          <w:spacing w:val="8"/>
          <w:sz w:val="23"/>
          <w:szCs w:val="23"/>
        </w:rPr>
        <w:t>不</w:t>
      </w:r>
      <w:r>
        <w:rPr>
          <w:rFonts w:ascii="宋体" w:hAnsi="宋体" w:eastAsia="宋体" w:cs="宋体"/>
          <w:spacing w:val="7"/>
          <w:sz w:val="23"/>
          <w:szCs w:val="23"/>
        </w:rPr>
        <w:t>同的防治和防渗措施，在具体设计中可根据实际情况在满足防渗标准的前提下</w:t>
      </w:r>
      <w:r>
        <w:rPr>
          <w:rFonts w:ascii="宋体" w:hAnsi="宋体" w:eastAsia="宋体" w:cs="宋体"/>
          <w:sz w:val="23"/>
          <w:szCs w:val="23"/>
        </w:rPr>
        <w:t xml:space="preserve"> </w:t>
      </w:r>
      <w:r>
        <w:rPr>
          <w:rFonts w:ascii="宋体" w:hAnsi="宋体" w:eastAsia="宋体" w:cs="宋体"/>
          <w:spacing w:val="9"/>
          <w:sz w:val="23"/>
          <w:szCs w:val="23"/>
        </w:rPr>
        <w:t>作</w:t>
      </w:r>
      <w:r>
        <w:rPr>
          <w:rFonts w:ascii="宋体" w:hAnsi="宋体" w:eastAsia="宋体" w:cs="宋体"/>
          <w:spacing w:val="6"/>
          <w:sz w:val="23"/>
          <w:szCs w:val="23"/>
        </w:rPr>
        <w:t>必要调整。</w:t>
      </w:r>
    </w:p>
    <w:p w14:paraId="7DF9EAA2">
      <w:pPr>
        <w:spacing w:before="136" w:line="303" w:lineRule="exact"/>
        <w:ind w:left="522"/>
        <w:rPr>
          <w:rFonts w:ascii="宋体" w:hAnsi="宋体" w:eastAsia="宋体" w:cs="宋体"/>
          <w:sz w:val="23"/>
          <w:szCs w:val="23"/>
        </w:rPr>
      </w:pPr>
      <w:r>
        <w:rPr>
          <w:rFonts w:ascii="Times New Roman" w:hAnsi="Times New Roman" w:eastAsia="Times New Roman" w:cs="Times New Roman"/>
          <w:spacing w:val="-4"/>
          <w:position w:val="1"/>
          <w:sz w:val="23"/>
          <w:szCs w:val="23"/>
        </w:rPr>
        <w:t xml:space="preserve">1 </w:t>
      </w:r>
      <w:r>
        <w:rPr>
          <w:rFonts w:ascii="宋体" w:hAnsi="宋体" w:eastAsia="宋体" w:cs="宋体"/>
          <w:spacing w:val="-3"/>
          <w:position w:val="1"/>
          <w:sz w:val="23"/>
          <w:szCs w:val="23"/>
        </w:rPr>
        <w:t>、</w:t>
      </w:r>
      <w:r>
        <w:rPr>
          <w:rFonts w:ascii="宋体" w:hAnsi="宋体" w:eastAsia="宋体" w:cs="宋体"/>
          <w:spacing w:val="-2"/>
          <w:position w:val="1"/>
          <w:sz w:val="23"/>
          <w:szCs w:val="23"/>
        </w:rPr>
        <w:t>重点防渗区</w:t>
      </w:r>
    </w:p>
    <w:p w14:paraId="05C70E03">
      <w:pPr>
        <w:spacing w:line="257" w:lineRule="auto"/>
        <w:rPr>
          <w:rFonts w:ascii="Arial"/>
          <w:sz w:val="21"/>
        </w:rPr>
      </w:pPr>
    </w:p>
    <w:p w14:paraId="74DDF676">
      <w:pPr>
        <w:spacing w:before="74" w:line="227" w:lineRule="auto"/>
        <w:ind w:left="507"/>
        <w:rPr>
          <w:rFonts w:ascii="宋体" w:hAnsi="宋体" w:eastAsia="宋体" w:cs="宋体"/>
          <w:sz w:val="23"/>
          <w:szCs w:val="23"/>
        </w:rPr>
      </w:pPr>
      <w:r>
        <w:rPr>
          <w:rFonts w:ascii="宋体" w:hAnsi="宋体" w:eastAsia="宋体" w:cs="宋体"/>
          <w:spacing w:val="12"/>
          <w:sz w:val="23"/>
          <w:szCs w:val="23"/>
        </w:rPr>
        <w:t>项目生产</w:t>
      </w:r>
      <w:r>
        <w:rPr>
          <w:rFonts w:ascii="宋体" w:hAnsi="宋体" w:eastAsia="宋体" w:cs="宋体"/>
          <w:spacing w:val="7"/>
          <w:sz w:val="23"/>
          <w:szCs w:val="23"/>
        </w:rPr>
        <w:t>厂</w:t>
      </w:r>
      <w:r>
        <w:rPr>
          <w:rFonts w:ascii="宋体" w:hAnsi="宋体" w:eastAsia="宋体" w:cs="宋体"/>
          <w:spacing w:val="6"/>
          <w:sz w:val="23"/>
          <w:szCs w:val="23"/>
        </w:rPr>
        <w:t>房、成品库、原料库、三级沉淀池、旱厕、危废暂存间做防渗处</w:t>
      </w:r>
    </w:p>
    <w:p w14:paraId="28719BD8">
      <w:pPr>
        <w:spacing w:before="196" w:line="374" w:lineRule="auto"/>
        <w:ind w:left="23" w:right="8" w:firstLine="2"/>
        <w:rPr>
          <w:rFonts w:ascii="宋体" w:hAnsi="宋体" w:eastAsia="宋体" w:cs="宋体"/>
          <w:sz w:val="23"/>
          <w:szCs w:val="23"/>
        </w:rPr>
      </w:pPr>
      <w:r>
        <w:rPr>
          <w:rFonts w:ascii="宋体" w:hAnsi="宋体" w:eastAsia="宋体" w:cs="宋体"/>
          <w:spacing w:val="14"/>
          <w:sz w:val="23"/>
          <w:szCs w:val="23"/>
        </w:rPr>
        <w:t>理，底</w:t>
      </w:r>
      <w:r>
        <w:rPr>
          <w:rFonts w:ascii="宋体" w:hAnsi="宋体" w:eastAsia="宋体" w:cs="宋体"/>
          <w:spacing w:val="11"/>
          <w:sz w:val="23"/>
          <w:szCs w:val="23"/>
        </w:rPr>
        <w:t>部</w:t>
      </w:r>
      <w:r>
        <w:rPr>
          <w:rFonts w:ascii="宋体" w:hAnsi="宋体" w:eastAsia="宋体" w:cs="宋体"/>
          <w:spacing w:val="7"/>
          <w:sz w:val="23"/>
          <w:szCs w:val="23"/>
        </w:rPr>
        <w:t xml:space="preserve">铺设 </w:t>
      </w:r>
      <w:r>
        <w:rPr>
          <w:rFonts w:ascii="Times New Roman" w:hAnsi="Times New Roman" w:eastAsia="Times New Roman" w:cs="Times New Roman"/>
          <w:spacing w:val="7"/>
          <w:sz w:val="23"/>
          <w:szCs w:val="23"/>
        </w:rPr>
        <w:t>300</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黏土层 (保护层，同时作为辅助防渗层) 压实平整，黏土</w:t>
      </w:r>
      <w:r>
        <w:rPr>
          <w:rFonts w:ascii="宋体" w:hAnsi="宋体" w:eastAsia="宋体" w:cs="宋体"/>
          <w:sz w:val="23"/>
          <w:szCs w:val="23"/>
        </w:rPr>
        <w:t xml:space="preserve"> </w:t>
      </w:r>
      <w:r>
        <w:rPr>
          <w:rFonts w:ascii="宋体" w:hAnsi="宋体" w:eastAsia="宋体" w:cs="宋体"/>
          <w:spacing w:val="16"/>
          <w:sz w:val="23"/>
          <w:szCs w:val="23"/>
        </w:rPr>
        <w:t>层</w:t>
      </w:r>
      <w:r>
        <w:rPr>
          <w:rFonts w:ascii="宋体" w:hAnsi="宋体" w:eastAsia="宋体" w:cs="宋体"/>
          <w:spacing w:val="10"/>
          <w:sz w:val="23"/>
          <w:szCs w:val="23"/>
        </w:rPr>
        <w:t xml:space="preserve">上铺设 </w:t>
      </w:r>
      <w:r>
        <w:rPr>
          <w:rFonts w:ascii="Times New Roman" w:hAnsi="Times New Roman" w:eastAsia="Times New Roman" w:cs="Times New Roman"/>
          <w:sz w:val="23"/>
          <w:szCs w:val="23"/>
        </w:rPr>
        <w:t>HDPE</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GCL</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复合防渗系统 (</w:t>
      </w:r>
      <w:r>
        <w:rPr>
          <w:rFonts w:ascii="Times New Roman" w:hAnsi="Times New Roman" w:eastAsia="Times New Roman" w:cs="Times New Roman"/>
          <w:spacing w:val="10"/>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厚的高密度聚乙烯膜、</w:t>
      </w:r>
      <w:r>
        <w:rPr>
          <w:rFonts w:ascii="Times New Roman" w:hAnsi="Times New Roman" w:eastAsia="Times New Roman" w:cs="Times New Roman"/>
          <w:spacing w:val="10"/>
          <w:sz w:val="23"/>
          <w:szCs w:val="23"/>
        </w:rPr>
        <w:t>300</w:t>
      </w:r>
      <w:r>
        <w:rPr>
          <w:rFonts w:ascii="Times New Roman" w:hAnsi="Times New Roman" w:eastAsia="Times New Roman" w:cs="Times New Roman"/>
          <w:sz w:val="23"/>
          <w:szCs w:val="23"/>
        </w:rPr>
        <w:t>g</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0"/>
          <w:position w:val="8"/>
          <w:sz w:val="15"/>
          <w:szCs w:val="15"/>
        </w:rPr>
        <w:t xml:space="preserve">2 </w:t>
      </w:r>
      <w:r>
        <w:rPr>
          <w:rFonts w:ascii="宋体" w:hAnsi="宋体" w:eastAsia="宋体" w:cs="宋体"/>
          <w:spacing w:val="10"/>
          <w:sz w:val="23"/>
          <w:szCs w:val="23"/>
        </w:rPr>
        <w:t>土工</w:t>
      </w:r>
      <w:r>
        <w:rPr>
          <w:rFonts w:ascii="宋体" w:hAnsi="宋体" w:eastAsia="宋体" w:cs="宋体"/>
          <w:sz w:val="23"/>
          <w:szCs w:val="23"/>
        </w:rPr>
        <w:t xml:space="preserve"> </w:t>
      </w:r>
      <w:r>
        <w:rPr>
          <w:rFonts w:ascii="宋体" w:hAnsi="宋体" w:eastAsia="宋体" w:cs="宋体"/>
          <w:spacing w:val="8"/>
          <w:sz w:val="23"/>
          <w:szCs w:val="23"/>
        </w:rPr>
        <w:t xml:space="preserve">织物膨润土垫) ，上部外加耐腐蚀混凝土 </w:t>
      </w:r>
      <w:r>
        <w:rPr>
          <w:rFonts w:ascii="Times New Roman" w:hAnsi="Times New Roman" w:eastAsia="Times New Roman" w:cs="Times New Roman"/>
          <w:spacing w:val="8"/>
          <w:sz w:val="23"/>
          <w:szCs w:val="23"/>
        </w:rPr>
        <w:t>15</w:t>
      </w:r>
      <w:r>
        <w:rPr>
          <w:rFonts w:ascii="Times New Roman" w:hAnsi="Times New Roman" w:eastAsia="Times New Roman" w:cs="Times New Roman"/>
          <w:sz w:val="23"/>
          <w:szCs w:val="23"/>
        </w:rPr>
        <w:t>cm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(保护层) 等防渗，侧壁均设</w:t>
      </w:r>
      <w:r>
        <w:rPr>
          <w:rFonts w:ascii="宋体" w:hAnsi="宋体" w:eastAsia="宋体" w:cs="宋体"/>
          <w:spacing w:val="6"/>
          <w:sz w:val="23"/>
          <w:szCs w:val="23"/>
        </w:rPr>
        <w:t>防</w:t>
      </w:r>
    </w:p>
    <w:p w14:paraId="2E9A1FCC">
      <w:pPr>
        <w:spacing w:line="323" w:lineRule="exact"/>
        <w:ind w:left="24"/>
        <w:rPr>
          <w:rFonts w:ascii="宋体" w:hAnsi="宋体" w:eastAsia="宋体" w:cs="宋体"/>
          <w:sz w:val="23"/>
          <w:szCs w:val="23"/>
        </w:rPr>
      </w:pPr>
      <w:r>
        <w:rPr>
          <w:rFonts w:ascii="宋体" w:hAnsi="宋体" w:eastAsia="宋体" w:cs="宋体"/>
          <w:spacing w:val="5"/>
          <w:position w:val="1"/>
          <w:sz w:val="23"/>
          <w:szCs w:val="23"/>
        </w:rPr>
        <w:t xml:space="preserve">渗墙。采取上述防渗措施后，防渗层渗透系数小于 </w:t>
      </w:r>
      <w:r>
        <w:rPr>
          <w:rFonts w:ascii="Times New Roman" w:hAnsi="Times New Roman" w:eastAsia="Times New Roman" w:cs="Times New Roman"/>
          <w:spacing w:val="5"/>
          <w:position w:val="1"/>
          <w:sz w:val="23"/>
          <w:szCs w:val="23"/>
        </w:rPr>
        <w:t>10</w:t>
      </w:r>
      <w:r>
        <w:rPr>
          <w:rFonts w:ascii="Times New Roman" w:hAnsi="Times New Roman" w:eastAsia="Times New Roman" w:cs="Times New Roman"/>
          <w:spacing w:val="5"/>
          <w:position w:val="9"/>
          <w:sz w:val="15"/>
          <w:szCs w:val="15"/>
        </w:rPr>
        <w:t>- 10</w:t>
      </w:r>
      <w:r>
        <w:rPr>
          <w:rFonts w:ascii="Times New Roman" w:hAnsi="Times New Roman" w:eastAsia="Times New Roman" w:cs="Times New Roman"/>
          <w:position w:val="1"/>
          <w:sz w:val="23"/>
          <w:szCs w:val="23"/>
        </w:rPr>
        <w:t>cm</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s</w:t>
      </w:r>
      <w:r>
        <w:rPr>
          <w:rFonts w:ascii="宋体" w:hAnsi="宋体" w:eastAsia="宋体" w:cs="宋体"/>
          <w:spacing w:val="2"/>
          <w:position w:val="1"/>
          <w:sz w:val="23"/>
          <w:szCs w:val="23"/>
        </w:rPr>
        <w:t>；</w:t>
      </w:r>
    </w:p>
    <w:p w14:paraId="0E3DC9A4">
      <w:pPr>
        <w:sectPr>
          <w:type w:val="continuous"/>
          <w:pgSz w:w="11906" w:h="16839"/>
          <w:pgMar w:top="1132" w:right="1785" w:bottom="1182" w:left="1785" w:header="878" w:footer="1022" w:gutter="0"/>
          <w:cols w:equalWidth="0" w:num="1">
            <w:col w:w="8335"/>
          </w:cols>
        </w:sectPr>
      </w:pPr>
    </w:p>
    <w:p w14:paraId="0EA1F783">
      <w:pPr>
        <w:spacing w:line="408" w:lineRule="auto"/>
        <w:rPr>
          <w:rFonts w:ascii="Arial"/>
          <w:sz w:val="21"/>
        </w:rPr>
      </w:pPr>
      <w:r>
        <w:pict>
          <v:shape id="_x0000_s1314" o:spid="_x0000_s1314" style="position:absolute;left:0pt;margin-left:90pt;margin-top:57.35pt;height:0.75pt;width:415.3pt;mso-position-horizontal-relative:page;mso-position-vertical-relative:page;z-index:251958272;mso-width-relative:page;mso-height-relative:page;" fillcolor="#000000" filled="t" stroked="f" coordsize="8305,15" o:allowincell="f" path="m0,0l8305,0,8305,14,0,14,0,0xe">
            <v:path/>
            <v:fill on="t" focussize="0,0"/>
            <v:stroke on="f"/>
            <v:imagedata o:title=""/>
            <o:lock v:ext="edit"/>
          </v:shape>
        </w:pict>
      </w:r>
    </w:p>
    <w:p w14:paraId="1570D938">
      <w:pPr>
        <w:spacing w:before="75" w:line="303" w:lineRule="exact"/>
        <w:ind w:left="508"/>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2 </w:t>
      </w:r>
      <w:r>
        <w:rPr>
          <w:rFonts w:ascii="宋体" w:hAnsi="宋体" w:eastAsia="宋体" w:cs="宋体"/>
          <w:position w:val="1"/>
          <w:sz w:val="23"/>
          <w:szCs w:val="23"/>
        </w:rPr>
        <w:t>、一般防渗区</w:t>
      </w:r>
    </w:p>
    <w:p w14:paraId="501C5A3D">
      <w:pPr>
        <w:spacing w:before="289" w:line="403" w:lineRule="auto"/>
        <w:ind w:left="32" w:right="190" w:firstLine="484"/>
        <w:rPr>
          <w:rFonts w:ascii="宋体" w:hAnsi="宋体" w:eastAsia="宋体" w:cs="宋体"/>
          <w:sz w:val="23"/>
          <w:szCs w:val="23"/>
        </w:rPr>
      </w:pPr>
      <w:r>
        <w:rPr>
          <w:rFonts w:ascii="宋体" w:hAnsi="宋体" w:eastAsia="宋体" w:cs="宋体"/>
          <w:spacing w:val="12"/>
          <w:sz w:val="23"/>
          <w:szCs w:val="23"/>
        </w:rPr>
        <w:t>办公</w:t>
      </w:r>
      <w:r>
        <w:rPr>
          <w:rFonts w:ascii="宋体" w:hAnsi="宋体" w:eastAsia="宋体" w:cs="宋体"/>
          <w:spacing w:val="8"/>
          <w:sz w:val="23"/>
          <w:szCs w:val="23"/>
        </w:rPr>
        <w:t>室</w:t>
      </w: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员工休息室、</w:t>
      </w:r>
      <w:r>
        <w:rPr>
          <w:rFonts w:ascii="Times New Roman" w:hAnsi="Times New Roman" w:eastAsia="Times New Roman" w:cs="Times New Roman"/>
          <w:spacing w:val="6"/>
          <w:sz w:val="23"/>
          <w:szCs w:val="23"/>
        </w:rPr>
        <w:t>2#</w:t>
      </w:r>
      <w:r>
        <w:rPr>
          <w:rFonts w:ascii="宋体" w:hAnsi="宋体" w:eastAsia="宋体" w:cs="宋体"/>
          <w:spacing w:val="6"/>
          <w:sz w:val="23"/>
          <w:szCs w:val="23"/>
        </w:rPr>
        <w:t>员工休息室、备品备件库底部做基础防渗，铺设</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 xml:space="preserve">厚黏土层，再用耐腐蚀混凝土 </w:t>
      </w:r>
      <w:r>
        <w:rPr>
          <w:rFonts w:ascii="Times New Roman" w:hAnsi="Times New Roman" w:eastAsia="Times New Roman" w:cs="Times New Roman"/>
          <w:spacing w:val="10"/>
          <w:sz w:val="23"/>
          <w:szCs w:val="23"/>
        </w:rPr>
        <w:t>15</w:t>
      </w:r>
      <w:r>
        <w:rPr>
          <w:rFonts w:ascii="Times New Roman" w:hAnsi="Times New Roman" w:eastAsia="Times New Roman" w:cs="Times New Roman"/>
          <w:sz w:val="23"/>
          <w:szCs w:val="23"/>
        </w:rPr>
        <w:t>cm</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浇铸，上部铺设耐腐蚀砖，取上述防渗</w:t>
      </w:r>
      <w:r>
        <w:rPr>
          <w:rFonts w:ascii="宋体" w:hAnsi="宋体" w:eastAsia="宋体" w:cs="宋体"/>
          <w:sz w:val="23"/>
          <w:szCs w:val="23"/>
        </w:rPr>
        <w:t xml:space="preserve"> </w:t>
      </w:r>
      <w:r>
        <w:rPr>
          <w:rFonts w:ascii="宋体" w:hAnsi="宋体" w:eastAsia="宋体" w:cs="宋体"/>
          <w:spacing w:val="8"/>
          <w:sz w:val="23"/>
          <w:szCs w:val="23"/>
        </w:rPr>
        <w:t>措</w:t>
      </w:r>
      <w:r>
        <w:rPr>
          <w:rFonts w:ascii="宋体" w:hAnsi="宋体" w:eastAsia="宋体" w:cs="宋体"/>
          <w:spacing w:val="7"/>
          <w:sz w:val="23"/>
          <w:szCs w:val="23"/>
        </w:rPr>
        <w:t>施</w:t>
      </w:r>
      <w:r>
        <w:rPr>
          <w:rFonts w:ascii="宋体" w:hAnsi="宋体" w:eastAsia="宋体" w:cs="宋体"/>
          <w:spacing w:val="4"/>
          <w:sz w:val="23"/>
          <w:szCs w:val="23"/>
        </w:rPr>
        <w:t xml:space="preserve">后，防渗层系数小于 </w:t>
      </w:r>
      <w:r>
        <w:rPr>
          <w:rFonts w:ascii="Times New Roman" w:hAnsi="Times New Roman" w:eastAsia="Times New Roman" w:cs="Times New Roman"/>
          <w:spacing w:val="4"/>
          <w:sz w:val="23"/>
          <w:szCs w:val="23"/>
        </w:rPr>
        <w:t>10</w:t>
      </w:r>
      <w:r>
        <w:rPr>
          <w:rFonts w:ascii="Times New Roman" w:hAnsi="Times New Roman" w:eastAsia="Times New Roman" w:cs="Times New Roman"/>
          <w:spacing w:val="4"/>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s</w:t>
      </w:r>
      <w:r>
        <w:rPr>
          <w:rFonts w:ascii="宋体" w:hAnsi="宋体" w:eastAsia="宋体" w:cs="宋体"/>
          <w:spacing w:val="4"/>
          <w:sz w:val="23"/>
          <w:szCs w:val="23"/>
        </w:rPr>
        <w:t>；</w:t>
      </w:r>
    </w:p>
    <w:p w14:paraId="737C1DAB">
      <w:pPr>
        <w:spacing w:before="133" w:line="303" w:lineRule="exact"/>
        <w:ind w:left="512"/>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3 </w:t>
      </w:r>
      <w:r>
        <w:rPr>
          <w:rFonts w:ascii="宋体" w:hAnsi="宋体" w:eastAsia="宋体" w:cs="宋体"/>
          <w:spacing w:val="-1"/>
          <w:position w:val="1"/>
          <w:sz w:val="23"/>
          <w:szCs w:val="23"/>
        </w:rPr>
        <w:t>、</w:t>
      </w:r>
      <w:r>
        <w:rPr>
          <w:rFonts w:ascii="宋体" w:hAnsi="宋体" w:eastAsia="宋体" w:cs="宋体"/>
          <w:position w:val="1"/>
          <w:sz w:val="23"/>
          <w:szCs w:val="23"/>
        </w:rPr>
        <w:t>简单防渗区</w:t>
      </w:r>
    </w:p>
    <w:p w14:paraId="66B0AFE2">
      <w:pPr>
        <w:spacing w:line="257" w:lineRule="auto"/>
        <w:rPr>
          <w:rFonts w:ascii="Arial"/>
          <w:sz w:val="21"/>
        </w:rPr>
      </w:pPr>
    </w:p>
    <w:p w14:paraId="3AB1F737">
      <w:pPr>
        <w:spacing w:before="75" w:line="393" w:lineRule="auto"/>
        <w:ind w:left="32" w:right="192" w:firstLine="480"/>
        <w:rPr>
          <w:rFonts w:ascii="宋体" w:hAnsi="宋体" w:eastAsia="宋体" w:cs="宋体"/>
          <w:sz w:val="23"/>
          <w:szCs w:val="23"/>
        </w:rPr>
      </w:pPr>
      <w:r>
        <w:rPr>
          <w:rFonts w:ascii="宋体" w:hAnsi="宋体" w:eastAsia="宋体" w:cs="宋体"/>
          <w:spacing w:val="7"/>
          <w:sz w:val="23"/>
          <w:szCs w:val="23"/>
        </w:rPr>
        <w:t>全场区均需硬化防渗，采取混凝土地面，上涂耐磨环氧树脂地面涂料，防</w:t>
      </w:r>
      <w:r>
        <w:rPr>
          <w:rFonts w:ascii="宋体" w:hAnsi="宋体" w:eastAsia="宋体" w:cs="宋体"/>
          <w:spacing w:val="3"/>
          <w:sz w:val="23"/>
          <w:szCs w:val="23"/>
        </w:rPr>
        <w:t>渗</w:t>
      </w:r>
      <w:r>
        <w:rPr>
          <w:rFonts w:ascii="宋体" w:hAnsi="宋体" w:eastAsia="宋体" w:cs="宋体"/>
          <w:sz w:val="23"/>
          <w:szCs w:val="23"/>
        </w:rPr>
        <w:t xml:space="preserve"> </w:t>
      </w:r>
      <w:r>
        <w:rPr>
          <w:rFonts w:ascii="宋体" w:hAnsi="宋体" w:eastAsia="宋体" w:cs="宋体"/>
          <w:spacing w:val="-1"/>
          <w:sz w:val="23"/>
          <w:szCs w:val="23"/>
        </w:rPr>
        <w:t xml:space="preserve">层渗透系数小于 </w:t>
      </w:r>
      <w:r>
        <w:rPr>
          <w:rFonts w:ascii="Times New Roman" w:hAnsi="Times New Roman" w:eastAsia="Times New Roman" w:cs="Times New Roman"/>
          <w:sz w:val="23"/>
          <w:szCs w:val="23"/>
        </w:rPr>
        <w:t>10</w:t>
      </w:r>
      <w:r>
        <w:rPr>
          <w:rFonts w:ascii="Times New Roman" w:hAnsi="Times New Roman" w:eastAsia="Times New Roman" w:cs="Times New Roman"/>
          <w:position w:val="8"/>
          <w:sz w:val="15"/>
          <w:szCs w:val="15"/>
        </w:rPr>
        <w:t>-7</w:t>
      </w:r>
      <w:r>
        <w:rPr>
          <w:rFonts w:ascii="Times New Roman" w:hAnsi="Times New Roman" w:eastAsia="Times New Roman" w:cs="Times New Roman"/>
          <w:sz w:val="23"/>
          <w:szCs w:val="23"/>
        </w:rPr>
        <w:t xml:space="preserve">cm/s </w:t>
      </w:r>
      <w:r>
        <w:rPr>
          <w:rFonts w:ascii="宋体" w:hAnsi="宋体" w:eastAsia="宋体" w:cs="宋体"/>
          <w:sz w:val="23"/>
          <w:szCs w:val="23"/>
        </w:rPr>
        <w:t xml:space="preserve">。防渗措施具体内容见表 </w:t>
      </w:r>
      <w:r>
        <w:rPr>
          <w:rFonts w:ascii="Times New Roman" w:hAnsi="Times New Roman" w:eastAsia="Times New Roman" w:cs="Times New Roman"/>
          <w:sz w:val="23"/>
          <w:szCs w:val="23"/>
        </w:rPr>
        <w:t>6- 1</w:t>
      </w:r>
      <w:r>
        <w:rPr>
          <w:rFonts w:ascii="宋体" w:hAnsi="宋体" w:eastAsia="宋体" w:cs="宋体"/>
          <w:sz w:val="23"/>
          <w:szCs w:val="23"/>
        </w:rPr>
        <w:t>。</w:t>
      </w:r>
    </w:p>
    <w:p w14:paraId="6B827667">
      <w:pPr>
        <w:spacing w:before="136" w:line="227" w:lineRule="auto"/>
        <w:ind w:left="255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w:t>
      </w:r>
      <w:r>
        <w:rPr>
          <w:rFonts w:ascii="Times New Roman" w:hAnsi="Times New Roman" w:eastAsia="Times New Roman" w:cs="Times New Roman"/>
          <w:b/>
          <w:bCs/>
          <w:spacing w:val="3"/>
          <w:sz w:val="23"/>
          <w:szCs w:val="23"/>
        </w:rPr>
        <w:t>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防渗区域及防渗内容</w:t>
      </w:r>
    </w:p>
    <w:p w14:paraId="15A3ED65">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2751"/>
        <w:gridCol w:w="4214"/>
        <w:gridCol w:w="1006"/>
      </w:tblGrid>
      <w:tr w14:paraId="7AE77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1" w:type="dxa"/>
            <w:tcBorders>
              <w:left w:val="nil"/>
            </w:tcBorders>
            <w:vAlign w:val="top"/>
          </w:tcPr>
          <w:p w14:paraId="21D06CB0">
            <w:pPr>
              <w:spacing w:before="75" w:line="229" w:lineRule="auto"/>
              <w:ind w:left="7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751" w:type="dxa"/>
            <w:vAlign w:val="top"/>
          </w:tcPr>
          <w:p w14:paraId="28ABDAC8">
            <w:pPr>
              <w:spacing w:before="76" w:line="228" w:lineRule="auto"/>
              <w:ind w:left="97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防</w:t>
            </w:r>
            <w:r>
              <w:rPr>
                <w:rFonts w:ascii="宋体" w:hAnsi="宋体" w:eastAsia="宋体" w:cs="宋体"/>
                <w:spacing w:val="5"/>
                <w:sz w:val="20"/>
                <w:szCs w:val="20"/>
                <w14:textOutline w14:w="3795" w14:cap="sq" w14:cmpd="sng">
                  <w14:solidFill>
                    <w14:srgbClr w14:val="000000"/>
                  </w14:solidFill>
                  <w14:prstDash w14:val="solid"/>
                  <w14:bevel/>
                </w14:textOutline>
              </w:rPr>
              <w:t>渗区域</w:t>
            </w:r>
          </w:p>
        </w:tc>
        <w:tc>
          <w:tcPr>
            <w:tcW w:w="4214" w:type="dxa"/>
            <w:vAlign w:val="top"/>
          </w:tcPr>
          <w:p w14:paraId="0C8246AB">
            <w:pPr>
              <w:spacing w:before="75" w:line="228" w:lineRule="auto"/>
              <w:ind w:left="17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防</w:t>
            </w:r>
            <w:r>
              <w:rPr>
                <w:rFonts w:ascii="宋体" w:hAnsi="宋体" w:eastAsia="宋体" w:cs="宋体"/>
                <w:spacing w:val="5"/>
                <w:sz w:val="20"/>
                <w:szCs w:val="20"/>
                <w14:textOutline w14:w="3795" w14:cap="sq" w14:cmpd="sng">
                  <w14:solidFill>
                    <w14:srgbClr w14:val="000000"/>
                  </w14:solidFill>
                  <w14:prstDash w14:val="solid"/>
                  <w14:bevel/>
                </w14:textOutline>
              </w:rPr>
              <w:t>渗内容</w:t>
            </w:r>
          </w:p>
        </w:tc>
        <w:tc>
          <w:tcPr>
            <w:tcW w:w="1006" w:type="dxa"/>
            <w:tcBorders>
              <w:right w:val="nil"/>
            </w:tcBorders>
            <w:vAlign w:val="top"/>
          </w:tcPr>
          <w:p w14:paraId="664FB25D">
            <w:pPr>
              <w:spacing w:before="75" w:line="228" w:lineRule="auto"/>
              <w:ind w:left="10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防</w:t>
            </w:r>
            <w:r>
              <w:rPr>
                <w:rFonts w:ascii="宋体" w:hAnsi="宋体" w:eastAsia="宋体" w:cs="宋体"/>
                <w:spacing w:val="5"/>
                <w:sz w:val="20"/>
                <w:szCs w:val="20"/>
                <w14:textOutline w14:w="3795" w14:cap="sq" w14:cmpd="sng">
                  <w14:solidFill>
                    <w14:srgbClr w14:val="000000"/>
                  </w14:solidFill>
                  <w14:prstDash w14:val="solid"/>
                  <w14:bevel/>
                </w14:textOutline>
              </w:rPr>
              <w:t>渗系数</w:t>
            </w:r>
          </w:p>
        </w:tc>
      </w:tr>
      <w:tr w14:paraId="26930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551" w:type="dxa"/>
            <w:tcBorders>
              <w:left w:val="nil"/>
            </w:tcBorders>
            <w:vAlign w:val="top"/>
          </w:tcPr>
          <w:p w14:paraId="2FBB5A0D">
            <w:pPr>
              <w:spacing w:line="282" w:lineRule="auto"/>
              <w:rPr>
                <w:rFonts w:ascii="Arial"/>
                <w:sz w:val="21"/>
              </w:rPr>
            </w:pPr>
          </w:p>
          <w:p w14:paraId="5D6B3712">
            <w:pPr>
              <w:spacing w:line="282" w:lineRule="auto"/>
              <w:rPr>
                <w:rFonts w:ascii="Arial"/>
                <w:sz w:val="21"/>
              </w:rPr>
            </w:pPr>
          </w:p>
          <w:p w14:paraId="18F630F3">
            <w:pPr>
              <w:spacing w:line="283" w:lineRule="auto"/>
              <w:rPr>
                <w:rFonts w:ascii="Arial"/>
                <w:sz w:val="21"/>
              </w:rPr>
            </w:pPr>
          </w:p>
          <w:p w14:paraId="502D2E02">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51" w:type="dxa"/>
            <w:vAlign w:val="top"/>
          </w:tcPr>
          <w:p w14:paraId="023727C3">
            <w:pPr>
              <w:spacing w:line="324" w:lineRule="auto"/>
              <w:rPr>
                <w:rFonts w:ascii="Arial"/>
                <w:sz w:val="21"/>
              </w:rPr>
            </w:pPr>
          </w:p>
          <w:p w14:paraId="5D0EBD1F">
            <w:pPr>
              <w:spacing w:line="325" w:lineRule="auto"/>
              <w:rPr>
                <w:rFonts w:ascii="Arial"/>
                <w:sz w:val="21"/>
              </w:rPr>
            </w:pPr>
          </w:p>
          <w:p w14:paraId="265BD754">
            <w:pPr>
              <w:spacing w:before="65" w:line="301" w:lineRule="auto"/>
              <w:ind w:left="29" w:right="9" w:firstLine="18"/>
              <w:rPr>
                <w:rFonts w:ascii="宋体" w:hAnsi="宋体" w:eastAsia="宋体" w:cs="宋体"/>
                <w:sz w:val="20"/>
                <w:szCs w:val="20"/>
              </w:rPr>
            </w:pPr>
            <w:r>
              <w:rPr>
                <w:rFonts w:ascii="宋体" w:hAnsi="宋体" w:eastAsia="宋体" w:cs="宋体"/>
                <w:spacing w:val="10"/>
                <w:sz w:val="20"/>
                <w:szCs w:val="20"/>
              </w:rPr>
              <w:t>生</w:t>
            </w:r>
            <w:r>
              <w:rPr>
                <w:rFonts w:ascii="宋体" w:hAnsi="宋体" w:eastAsia="宋体" w:cs="宋体"/>
                <w:spacing w:val="5"/>
                <w:sz w:val="20"/>
                <w:szCs w:val="20"/>
              </w:rPr>
              <w:t>产厂房、成品库、原料库、</w:t>
            </w:r>
            <w:r>
              <w:rPr>
                <w:rFonts w:ascii="宋体" w:hAnsi="宋体" w:eastAsia="宋体" w:cs="宋体"/>
                <w:sz w:val="20"/>
                <w:szCs w:val="20"/>
              </w:rPr>
              <w:t xml:space="preserve"> </w:t>
            </w:r>
            <w:r>
              <w:rPr>
                <w:rFonts w:ascii="宋体" w:hAnsi="宋体" w:eastAsia="宋体" w:cs="宋体"/>
                <w:spacing w:val="-12"/>
                <w:sz w:val="20"/>
                <w:szCs w:val="20"/>
              </w:rPr>
              <w:t>三</w:t>
            </w:r>
            <w:r>
              <w:rPr>
                <w:rFonts w:ascii="宋体" w:hAnsi="宋体" w:eastAsia="宋体" w:cs="宋体"/>
                <w:spacing w:val="-10"/>
                <w:sz w:val="20"/>
                <w:szCs w:val="20"/>
              </w:rPr>
              <w:t>级</w:t>
            </w:r>
            <w:r>
              <w:rPr>
                <w:rFonts w:ascii="宋体" w:hAnsi="宋体" w:eastAsia="宋体" w:cs="宋体"/>
                <w:spacing w:val="-6"/>
                <w:sz w:val="20"/>
                <w:szCs w:val="20"/>
              </w:rPr>
              <w:t>沉淀池、旱厕、危废暂存间</w:t>
            </w:r>
          </w:p>
        </w:tc>
        <w:tc>
          <w:tcPr>
            <w:tcW w:w="4214" w:type="dxa"/>
            <w:vAlign w:val="top"/>
          </w:tcPr>
          <w:p w14:paraId="3303BFA2">
            <w:pPr>
              <w:spacing w:before="94" w:line="228" w:lineRule="auto"/>
              <w:ind w:left="59"/>
              <w:rPr>
                <w:rFonts w:ascii="宋体" w:hAnsi="宋体" w:eastAsia="宋体" w:cs="宋体"/>
                <w:sz w:val="20"/>
                <w:szCs w:val="20"/>
              </w:rPr>
            </w:pPr>
            <w:r>
              <w:rPr>
                <w:rFonts w:ascii="宋体" w:hAnsi="宋体" w:eastAsia="宋体" w:cs="宋体"/>
                <w:spacing w:val="9"/>
                <w:sz w:val="20"/>
                <w:szCs w:val="20"/>
              </w:rPr>
              <w:t>底</w:t>
            </w:r>
            <w:r>
              <w:rPr>
                <w:rFonts w:ascii="宋体" w:hAnsi="宋体" w:eastAsia="宋体" w:cs="宋体"/>
                <w:spacing w:val="6"/>
                <w:sz w:val="20"/>
                <w:szCs w:val="20"/>
              </w:rPr>
              <w:t xml:space="preserve">部铺设 </w:t>
            </w:r>
            <w:r>
              <w:rPr>
                <w:rFonts w:ascii="Times New Roman" w:hAnsi="Times New Roman" w:eastAsia="Times New Roman" w:cs="Times New Roman"/>
                <w:spacing w:val="6"/>
                <w:sz w:val="20"/>
                <w:szCs w:val="20"/>
              </w:rPr>
              <w:t>300</w:t>
            </w:r>
            <w:r>
              <w:rPr>
                <w:rFonts w:ascii="Times New Roman" w:hAnsi="Times New Roman" w:eastAsia="Times New Roman" w:cs="Times New Roman"/>
                <w:sz w:val="20"/>
                <w:szCs w:val="20"/>
              </w:rPr>
              <w:t>mm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黏土层 (保护层，同时作为</w:t>
            </w:r>
          </w:p>
          <w:p w14:paraId="6C97A223">
            <w:pPr>
              <w:spacing w:before="65" w:line="228" w:lineRule="auto"/>
              <w:ind w:left="328"/>
              <w:rPr>
                <w:rFonts w:ascii="宋体" w:hAnsi="宋体" w:eastAsia="宋体" w:cs="宋体"/>
                <w:sz w:val="20"/>
                <w:szCs w:val="20"/>
              </w:rPr>
            </w:pPr>
            <w:r>
              <w:rPr>
                <w:rFonts w:ascii="宋体" w:hAnsi="宋体" w:eastAsia="宋体" w:cs="宋体"/>
                <w:spacing w:val="9"/>
                <w:sz w:val="20"/>
                <w:szCs w:val="20"/>
              </w:rPr>
              <w:t>辅助防渗层) 压实平整，黏土层上铺</w:t>
            </w:r>
            <w:r>
              <w:rPr>
                <w:rFonts w:ascii="宋体" w:hAnsi="宋体" w:eastAsia="宋体" w:cs="宋体"/>
                <w:spacing w:val="6"/>
                <w:sz w:val="20"/>
                <w:szCs w:val="20"/>
              </w:rPr>
              <w:t>设</w:t>
            </w:r>
          </w:p>
          <w:p w14:paraId="74535D8A">
            <w:pPr>
              <w:spacing w:before="65" w:line="228" w:lineRule="auto"/>
              <w:ind w:left="62"/>
              <w:rPr>
                <w:rFonts w:ascii="宋体" w:hAnsi="宋体" w:eastAsia="宋体" w:cs="宋体"/>
                <w:sz w:val="20"/>
                <w:szCs w:val="20"/>
              </w:rPr>
            </w:pPr>
            <w:r>
              <w:rPr>
                <w:rFonts w:ascii="Times New Roman" w:hAnsi="Times New Roman" w:eastAsia="Times New Roman" w:cs="Times New Roman"/>
                <w:sz w:val="20"/>
                <w:szCs w:val="20"/>
              </w:rPr>
              <w:t>HDPE</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GCL</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复合防渗系统 (</w:t>
            </w:r>
            <w:r>
              <w:rPr>
                <w:rFonts w:ascii="Times New Roman" w:hAnsi="Times New Roman" w:eastAsia="Times New Roman" w:cs="Times New Roman"/>
                <w:spacing w:val="11"/>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厚的高密度</w:t>
            </w:r>
          </w:p>
          <w:p w14:paraId="1B27A921">
            <w:pPr>
              <w:spacing w:before="27" w:line="281" w:lineRule="exact"/>
              <w:ind w:left="68"/>
              <w:rPr>
                <w:rFonts w:ascii="宋体" w:hAnsi="宋体" w:eastAsia="宋体" w:cs="宋体"/>
                <w:sz w:val="20"/>
                <w:szCs w:val="20"/>
              </w:rPr>
            </w:pPr>
            <w:r>
              <w:rPr>
                <w:rFonts w:ascii="宋体" w:hAnsi="宋体" w:eastAsia="宋体" w:cs="宋体"/>
                <w:spacing w:val="14"/>
                <w:position w:val="2"/>
                <w:sz w:val="20"/>
                <w:szCs w:val="20"/>
              </w:rPr>
              <w:t>聚乙</w:t>
            </w:r>
            <w:r>
              <w:rPr>
                <w:rFonts w:ascii="宋体" w:hAnsi="宋体" w:eastAsia="宋体" w:cs="宋体"/>
                <w:spacing w:val="9"/>
                <w:position w:val="2"/>
                <w:sz w:val="20"/>
                <w:szCs w:val="20"/>
              </w:rPr>
              <w:t>烯</w:t>
            </w:r>
            <w:r>
              <w:rPr>
                <w:rFonts w:ascii="宋体" w:hAnsi="宋体" w:eastAsia="宋体" w:cs="宋体"/>
                <w:spacing w:val="7"/>
                <w:position w:val="2"/>
                <w:sz w:val="20"/>
                <w:szCs w:val="20"/>
              </w:rPr>
              <w:t>膜、</w:t>
            </w:r>
            <w:r>
              <w:rPr>
                <w:rFonts w:ascii="Times New Roman" w:hAnsi="Times New Roman" w:eastAsia="Times New Roman" w:cs="Times New Roman"/>
                <w:spacing w:val="7"/>
                <w:position w:val="2"/>
                <w:sz w:val="20"/>
                <w:szCs w:val="20"/>
              </w:rPr>
              <w:t>300</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 xml:space="preserve">2 </w:t>
            </w:r>
            <w:r>
              <w:rPr>
                <w:rFonts w:ascii="宋体" w:hAnsi="宋体" w:eastAsia="宋体" w:cs="宋体"/>
                <w:spacing w:val="7"/>
                <w:position w:val="2"/>
                <w:sz w:val="20"/>
                <w:szCs w:val="20"/>
              </w:rPr>
              <w:t>土工织物膨润土垫) ，上</w:t>
            </w:r>
          </w:p>
          <w:p w14:paraId="7BFC165B">
            <w:pPr>
              <w:spacing w:before="68" w:line="228" w:lineRule="auto"/>
              <w:ind w:left="31"/>
              <w:rPr>
                <w:rFonts w:ascii="宋体" w:hAnsi="宋体" w:eastAsia="宋体" w:cs="宋体"/>
                <w:sz w:val="20"/>
                <w:szCs w:val="20"/>
              </w:rPr>
            </w:pPr>
            <w:r>
              <w:rPr>
                <w:rFonts w:ascii="宋体" w:hAnsi="宋体" w:eastAsia="宋体" w:cs="宋体"/>
                <w:spacing w:val="2"/>
                <w:sz w:val="20"/>
                <w:szCs w:val="20"/>
              </w:rPr>
              <w:t>部外加耐腐蚀混凝土</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(保护层) 等防渗，</w:t>
            </w:r>
          </w:p>
          <w:p w14:paraId="46EF8DFA">
            <w:pPr>
              <w:spacing w:before="65" w:line="228" w:lineRule="auto"/>
              <w:ind w:left="1376"/>
              <w:rPr>
                <w:rFonts w:ascii="宋体" w:hAnsi="宋体" w:eastAsia="宋体" w:cs="宋体"/>
                <w:sz w:val="20"/>
                <w:szCs w:val="20"/>
              </w:rPr>
            </w:pPr>
            <w:r>
              <w:rPr>
                <w:rFonts w:ascii="宋体" w:hAnsi="宋体" w:eastAsia="宋体" w:cs="宋体"/>
                <w:spacing w:val="9"/>
                <w:sz w:val="20"/>
                <w:szCs w:val="20"/>
              </w:rPr>
              <w:t>侧壁均设防渗</w:t>
            </w:r>
            <w:r>
              <w:rPr>
                <w:rFonts w:ascii="宋体" w:hAnsi="宋体" w:eastAsia="宋体" w:cs="宋体"/>
                <w:spacing w:val="8"/>
                <w:sz w:val="20"/>
                <w:szCs w:val="20"/>
              </w:rPr>
              <w:t>墙</w:t>
            </w:r>
          </w:p>
        </w:tc>
        <w:tc>
          <w:tcPr>
            <w:tcW w:w="1006" w:type="dxa"/>
            <w:tcBorders>
              <w:right w:val="nil"/>
            </w:tcBorders>
            <w:vAlign w:val="top"/>
          </w:tcPr>
          <w:p w14:paraId="2A1F92B6">
            <w:pPr>
              <w:spacing w:line="258" w:lineRule="auto"/>
              <w:rPr>
                <w:rFonts w:ascii="Arial"/>
                <w:sz w:val="21"/>
              </w:rPr>
            </w:pPr>
          </w:p>
          <w:p w14:paraId="598779C9">
            <w:pPr>
              <w:spacing w:line="258" w:lineRule="auto"/>
              <w:rPr>
                <w:rFonts w:ascii="Arial"/>
                <w:sz w:val="21"/>
              </w:rPr>
            </w:pPr>
          </w:p>
          <w:p w14:paraId="21B6031E">
            <w:pPr>
              <w:spacing w:line="258" w:lineRule="auto"/>
              <w:rPr>
                <w:rFonts w:ascii="Arial"/>
                <w:sz w:val="21"/>
              </w:rPr>
            </w:pPr>
          </w:p>
          <w:p w14:paraId="0C34F258">
            <w:pPr>
              <w:spacing w:before="58" w:line="281" w:lineRule="exact"/>
              <w:ind w:left="5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 10</w:t>
            </w:r>
            <w:r>
              <w:rPr>
                <w:rFonts w:ascii="Times New Roman" w:hAnsi="Times New Roman" w:eastAsia="Times New Roman" w:cs="Times New Roman"/>
                <w:spacing w:val="-4"/>
                <w:position w:val="8"/>
                <w:sz w:val="13"/>
                <w:szCs w:val="13"/>
              </w:rPr>
              <w:t>- 10</w:t>
            </w:r>
            <w:r>
              <w:rPr>
                <w:rFonts w:ascii="Times New Roman" w:hAnsi="Times New Roman" w:eastAsia="Times New Roman" w:cs="Times New Roman"/>
                <w:spacing w:val="-4"/>
                <w:position w:val="2"/>
                <w:sz w:val="20"/>
                <w:szCs w:val="20"/>
              </w:rPr>
              <w:t>cm/</w:t>
            </w:r>
            <w:r>
              <w:rPr>
                <w:rFonts w:ascii="Times New Roman" w:hAnsi="Times New Roman" w:eastAsia="Times New Roman" w:cs="Times New Roman"/>
                <w:spacing w:val="-3"/>
                <w:position w:val="2"/>
                <w:sz w:val="20"/>
                <w:szCs w:val="20"/>
              </w:rPr>
              <w:t>s</w:t>
            </w:r>
          </w:p>
        </w:tc>
      </w:tr>
      <w:tr w14:paraId="3FBA5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tcBorders>
              <w:left w:val="nil"/>
            </w:tcBorders>
            <w:vAlign w:val="top"/>
          </w:tcPr>
          <w:p w14:paraId="73E50460">
            <w:pPr>
              <w:spacing w:before="246" w:line="195"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51" w:type="dxa"/>
            <w:vAlign w:val="top"/>
          </w:tcPr>
          <w:p w14:paraId="15227EFC">
            <w:pPr>
              <w:spacing w:before="17" w:line="275" w:lineRule="auto"/>
              <w:ind w:left="331" w:right="21" w:hanging="298"/>
              <w:rPr>
                <w:rFonts w:ascii="宋体" w:hAnsi="宋体" w:eastAsia="宋体" w:cs="宋体"/>
                <w:sz w:val="20"/>
                <w:szCs w:val="20"/>
              </w:rPr>
            </w:pPr>
            <w:r>
              <w:rPr>
                <w:rFonts w:ascii="宋体" w:hAnsi="宋体" w:eastAsia="宋体" w:cs="宋体"/>
                <w:spacing w:val="6"/>
                <w:sz w:val="20"/>
                <w:szCs w:val="20"/>
              </w:rPr>
              <w:t>办公室、</w:t>
            </w:r>
            <w:r>
              <w:rPr>
                <w:rFonts w:ascii="Times New Roman" w:hAnsi="Times New Roman" w:eastAsia="Times New Roman" w:cs="Times New Roman"/>
                <w:spacing w:val="6"/>
                <w:sz w:val="20"/>
                <w:szCs w:val="20"/>
              </w:rPr>
              <w:t>1#</w:t>
            </w:r>
            <w:r>
              <w:rPr>
                <w:rFonts w:ascii="宋体" w:hAnsi="宋体" w:eastAsia="宋体" w:cs="宋体"/>
                <w:spacing w:val="6"/>
                <w:sz w:val="20"/>
                <w:szCs w:val="20"/>
              </w:rPr>
              <w:t>员工休息室、</w:t>
            </w:r>
            <w:r>
              <w:rPr>
                <w:rFonts w:ascii="Times New Roman" w:hAnsi="Times New Roman" w:eastAsia="Times New Roman" w:cs="Times New Roman"/>
                <w:spacing w:val="6"/>
                <w:sz w:val="20"/>
                <w:szCs w:val="20"/>
              </w:rPr>
              <w:t>2#</w:t>
            </w:r>
            <w:r>
              <w:rPr>
                <w:rFonts w:ascii="宋体" w:hAnsi="宋体" w:eastAsia="宋体" w:cs="宋体"/>
                <w:spacing w:val="6"/>
                <w:sz w:val="20"/>
                <w:szCs w:val="20"/>
              </w:rPr>
              <w:t>员</w:t>
            </w:r>
            <w:r>
              <w:rPr>
                <w:rFonts w:ascii="宋体" w:hAnsi="宋体" w:eastAsia="宋体" w:cs="宋体"/>
                <w:sz w:val="20"/>
                <w:szCs w:val="20"/>
              </w:rPr>
              <w:t xml:space="preserve"> </w:t>
            </w:r>
            <w:r>
              <w:rPr>
                <w:rFonts w:ascii="宋体" w:hAnsi="宋体" w:eastAsia="宋体" w:cs="宋体"/>
                <w:spacing w:val="15"/>
                <w:sz w:val="20"/>
                <w:szCs w:val="20"/>
              </w:rPr>
              <w:t>工</w:t>
            </w:r>
            <w:r>
              <w:rPr>
                <w:rFonts w:ascii="宋体" w:hAnsi="宋体" w:eastAsia="宋体" w:cs="宋体"/>
                <w:spacing w:val="8"/>
                <w:sz w:val="20"/>
                <w:szCs w:val="20"/>
              </w:rPr>
              <w:t>休息室、备品备件库</w:t>
            </w:r>
          </w:p>
        </w:tc>
        <w:tc>
          <w:tcPr>
            <w:tcW w:w="4214" w:type="dxa"/>
            <w:vAlign w:val="top"/>
          </w:tcPr>
          <w:p w14:paraId="6CBC1C70">
            <w:pPr>
              <w:spacing w:before="53" w:line="258" w:lineRule="auto"/>
              <w:ind w:left="146" w:right="28" w:hanging="111"/>
              <w:rPr>
                <w:rFonts w:ascii="宋体" w:hAnsi="宋体" w:eastAsia="宋体" w:cs="宋体"/>
                <w:sz w:val="20"/>
                <w:szCs w:val="20"/>
              </w:rPr>
            </w:pPr>
            <w:r>
              <w:rPr>
                <w:rFonts w:ascii="宋体" w:hAnsi="宋体" w:eastAsia="宋体" w:cs="宋体"/>
                <w:spacing w:val="12"/>
                <w:sz w:val="20"/>
                <w:szCs w:val="20"/>
              </w:rPr>
              <w:t>底部</w:t>
            </w:r>
            <w:r>
              <w:rPr>
                <w:rFonts w:ascii="宋体" w:hAnsi="宋体" w:eastAsia="宋体" w:cs="宋体"/>
                <w:spacing w:val="7"/>
                <w:sz w:val="20"/>
                <w:szCs w:val="20"/>
              </w:rPr>
              <w:t>做</w:t>
            </w:r>
            <w:r>
              <w:rPr>
                <w:rFonts w:ascii="宋体" w:hAnsi="宋体" w:eastAsia="宋体" w:cs="宋体"/>
                <w:spacing w:val="6"/>
                <w:sz w:val="20"/>
                <w:szCs w:val="20"/>
              </w:rPr>
              <w:t xml:space="preserve">基础防渗，铺设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厚黏土层，再用耐</w:t>
            </w:r>
            <w:r>
              <w:rPr>
                <w:rFonts w:ascii="宋体" w:hAnsi="宋体" w:eastAsia="宋体" w:cs="宋体"/>
                <w:sz w:val="20"/>
                <w:szCs w:val="20"/>
              </w:rPr>
              <w:t xml:space="preserve"> </w:t>
            </w:r>
            <w:r>
              <w:rPr>
                <w:rFonts w:ascii="宋体" w:hAnsi="宋体" w:eastAsia="宋体" w:cs="宋体"/>
                <w:spacing w:val="12"/>
                <w:sz w:val="20"/>
                <w:szCs w:val="20"/>
              </w:rPr>
              <w:t>腐</w:t>
            </w:r>
            <w:r>
              <w:rPr>
                <w:rFonts w:ascii="宋体" w:hAnsi="宋体" w:eastAsia="宋体" w:cs="宋体"/>
                <w:spacing w:val="8"/>
                <w:sz w:val="20"/>
                <w:szCs w:val="20"/>
              </w:rPr>
              <w:t>蚀</w:t>
            </w:r>
            <w:r>
              <w:rPr>
                <w:rFonts w:ascii="宋体" w:hAnsi="宋体" w:eastAsia="宋体" w:cs="宋体"/>
                <w:spacing w:val="6"/>
                <w:sz w:val="20"/>
                <w:szCs w:val="20"/>
              </w:rPr>
              <w:t xml:space="preserve">混凝土 </w:t>
            </w:r>
            <w:r>
              <w:rPr>
                <w:rFonts w:ascii="Times New Roman" w:hAnsi="Times New Roman" w:eastAsia="Times New Roman" w:cs="Times New Roman"/>
                <w:spacing w:val="6"/>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浇铸，上部铺设耐腐蚀砖</w:t>
            </w:r>
          </w:p>
        </w:tc>
        <w:tc>
          <w:tcPr>
            <w:tcW w:w="1006" w:type="dxa"/>
            <w:tcBorders>
              <w:right w:val="nil"/>
            </w:tcBorders>
            <w:vAlign w:val="top"/>
          </w:tcPr>
          <w:p w14:paraId="57AD3492">
            <w:pPr>
              <w:spacing w:before="172" w:line="281"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 10</w:t>
            </w:r>
            <w:r>
              <w:rPr>
                <w:rFonts w:ascii="Times New Roman" w:hAnsi="Times New Roman" w:eastAsia="Times New Roman" w:cs="Times New Roman"/>
                <w:spacing w:val="-1"/>
                <w:position w:val="8"/>
                <w:sz w:val="13"/>
                <w:szCs w:val="13"/>
              </w:rPr>
              <w:t>-7</w:t>
            </w:r>
            <w:r>
              <w:rPr>
                <w:rFonts w:ascii="Times New Roman" w:hAnsi="Times New Roman" w:eastAsia="Times New Roman" w:cs="Times New Roman"/>
                <w:spacing w:val="-1"/>
                <w:position w:val="2"/>
                <w:sz w:val="20"/>
                <w:szCs w:val="20"/>
              </w:rPr>
              <w:t>cm/s</w:t>
            </w:r>
          </w:p>
        </w:tc>
      </w:tr>
      <w:tr w14:paraId="5A09B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1" w:type="dxa"/>
            <w:tcBorders>
              <w:left w:val="nil"/>
            </w:tcBorders>
            <w:vAlign w:val="top"/>
          </w:tcPr>
          <w:p w14:paraId="0FDA0A7F">
            <w:pPr>
              <w:spacing w:before="93"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51" w:type="dxa"/>
            <w:vAlign w:val="top"/>
          </w:tcPr>
          <w:p w14:paraId="7C771048">
            <w:pPr>
              <w:spacing w:before="57" w:line="228" w:lineRule="auto"/>
              <w:ind w:left="226"/>
              <w:rPr>
                <w:rFonts w:ascii="宋体" w:hAnsi="宋体" w:eastAsia="宋体" w:cs="宋体"/>
                <w:sz w:val="20"/>
                <w:szCs w:val="20"/>
              </w:rPr>
            </w:pPr>
            <w:r>
              <w:rPr>
                <w:rFonts w:ascii="宋体" w:hAnsi="宋体" w:eastAsia="宋体" w:cs="宋体"/>
                <w:spacing w:val="10"/>
                <w:sz w:val="20"/>
                <w:szCs w:val="20"/>
              </w:rPr>
              <w:t>全</w:t>
            </w:r>
            <w:r>
              <w:rPr>
                <w:rFonts w:ascii="宋体" w:hAnsi="宋体" w:eastAsia="宋体" w:cs="宋体"/>
                <w:spacing w:val="9"/>
                <w:sz w:val="20"/>
                <w:szCs w:val="20"/>
              </w:rPr>
              <w:t>厂区绿地外其他构筑物</w:t>
            </w:r>
          </w:p>
        </w:tc>
        <w:tc>
          <w:tcPr>
            <w:tcW w:w="4214" w:type="dxa"/>
            <w:vAlign w:val="top"/>
          </w:tcPr>
          <w:p w14:paraId="4F12B86E">
            <w:pPr>
              <w:spacing w:before="57" w:line="227" w:lineRule="auto"/>
              <w:ind w:left="28"/>
              <w:rPr>
                <w:rFonts w:ascii="宋体" w:hAnsi="宋体" w:eastAsia="宋体" w:cs="宋体"/>
                <w:sz w:val="20"/>
                <w:szCs w:val="20"/>
              </w:rPr>
            </w:pPr>
            <w:r>
              <w:rPr>
                <w:rFonts w:ascii="宋体" w:hAnsi="宋体" w:eastAsia="宋体" w:cs="宋体"/>
                <w:spacing w:val="8"/>
                <w:sz w:val="20"/>
                <w:szCs w:val="20"/>
              </w:rPr>
              <w:t>采取混凝土地面，上涂耐磨环氧树脂地面涂</w:t>
            </w:r>
            <w:r>
              <w:rPr>
                <w:rFonts w:ascii="宋体" w:hAnsi="宋体" w:eastAsia="宋体" w:cs="宋体"/>
                <w:spacing w:val="4"/>
                <w:sz w:val="20"/>
                <w:szCs w:val="20"/>
              </w:rPr>
              <w:t>料</w:t>
            </w:r>
          </w:p>
        </w:tc>
        <w:tc>
          <w:tcPr>
            <w:tcW w:w="1006" w:type="dxa"/>
            <w:tcBorders>
              <w:right w:val="nil"/>
            </w:tcBorders>
            <w:vAlign w:val="top"/>
          </w:tcPr>
          <w:p w14:paraId="7A6148A5">
            <w:pPr>
              <w:spacing w:before="19" w:line="281"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 10</w:t>
            </w:r>
            <w:r>
              <w:rPr>
                <w:rFonts w:ascii="Times New Roman" w:hAnsi="Times New Roman" w:eastAsia="Times New Roman" w:cs="Times New Roman"/>
                <w:spacing w:val="-1"/>
                <w:position w:val="8"/>
                <w:sz w:val="13"/>
                <w:szCs w:val="13"/>
              </w:rPr>
              <w:t>-7</w:t>
            </w:r>
            <w:r>
              <w:rPr>
                <w:rFonts w:ascii="Times New Roman" w:hAnsi="Times New Roman" w:eastAsia="Times New Roman" w:cs="Times New Roman"/>
                <w:spacing w:val="-1"/>
                <w:position w:val="2"/>
                <w:sz w:val="20"/>
                <w:szCs w:val="20"/>
              </w:rPr>
              <w:t>cm/s</w:t>
            </w:r>
          </w:p>
        </w:tc>
      </w:tr>
    </w:tbl>
    <w:p w14:paraId="53C6112F">
      <w:pPr>
        <w:spacing w:line="260" w:lineRule="auto"/>
        <w:rPr>
          <w:rFonts w:ascii="Arial"/>
          <w:sz w:val="21"/>
        </w:rPr>
      </w:pPr>
    </w:p>
    <w:p w14:paraId="76D20159">
      <w:pPr>
        <w:spacing w:before="75" w:line="393" w:lineRule="auto"/>
        <w:ind w:left="43" w:right="206" w:firstLine="469"/>
        <w:rPr>
          <w:rFonts w:ascii="宋体" w:hAnsi="宋体" w:eastAsia="宋体" w:cs="宋体"/>
          <w:sz w:val="23"/>
          <w:szCs w:val="23"/>
        </w:rPr>
      </w:pPr>
      <w:r>
        <w:rPr>
          <w:rFonts w:ascii="宋体" w:hAnsi="宋体" w:eastAsia="宋体" w:cs="宋体"/>
          <w:spacing w:val="25"/>
          <w:sz w:val="23"/>
          <w:szCs w:val="23"/>
        </w:rPr>
        <w:t>本</w:t>
      </w:r>
      <w:r>
        <w:rPr>
          <w:rFonts w:ascii="宋体" w:hAnsi="宋体" w:eastAsia="宋体" w:cs="宋体"/>
          <w:spacing w:val="19"/>
          <w:sz w:val="23"/>
          <w:szCs w:val="23"/>
        </w:rPr>
        <w:t>项目采取的防渗措施均满足《环境影响评价技术导则</w:t>
      </w:r>
      <w:r>
        <w:rPr>
          <w:rFonts w:ascii="Times New Roman" w:hAnsi="Times New Roman" w:eastAsia="Times New Roman" w:cs="Times New Roman"/>
          <w:spacing w:val="19"/>
          <w:sz w:val="23"/>
          <w:szCs w:val="23"/>
        </w:rPr>
        <w:t xml:space="preserve">— </w:t>
      </w:r>
      <w:r>
        <w:rPr>
          <w:rFonts w:ascii="宋体" w:hAnsi="宋体" w:eastAsia="宋体" w:cs="宋体"/>
          <w:spacing w:val="19"/>
          <w:sz w:val="23"/>
          <w:szCs w:val="23"/>
        </w:rPr>
        <w:t>地下水环境》</w:t>
      </w:r>
      <w:r>
        <w:rPr>
          <w:rFonts w:ascii="宋体" w:hAnsi="宋体" w:eastAsia="宋体" w:cs="宋体"/>
          <w:sz w:val="23"/>
          <w:szCs w:val="23"/>
        </w:rPr>
        <w:t xml:space="preserve"> </w:t>
      </w:r>
      <w:r>
        <w:rPr>
          <w:rFonts w:ascii="宋体" w:hAnsi="宋体" w:eastAsia="宋体" w:cs="宋体"/>
          <w:spacing w:val="16"/>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6"/>
          <w:sz w:val="23"/>
          <w:szCs w:val="23"/>
        </w:rPr>
        <w:t>6</w:t>
      </w:r>
      <w:r>
        <w:rPr>
          <w:rFonts w:ascii="Times New Roman" w:hAnsi="Times New Roman" w:eastAsia="Times New Roman" w:cs="Times New Roman"/>
          <w:spacing w:val="12"/>
          <w:sz w:val="23"/>
          <w:szCs w:val="23"/>
        </w:rPr>
        <w:t>1</w:t>
      </w:r>
      <w:r>
        <w:rPr>
          <w:rFonts w:ascii="Times New Roman" w:hAnsi="Times New Roman" w:eastAsia="Times New Roman" w:cs="Times New Roman"/>
          <w:spacing w:val="8"/>
          <w:sz w:val="23"/>
          <w:szCs w:val="23"/>
        </w:rPr>
        <w:t>0-2016</w:t>
      </w:r>
      <w:r>
        <w:rPr>
          <w:rFonts w:ascii="宋体" w:hAnsi="宋体" w:eastAsia="宋体" w:cs="宋体"/>
          <w:spacing w:val="8"/>
          <w:sz w:val="23"/>
          <w:szCs w:val="23"/>
        </w:rPr>
        <w:t xml:space="preserve">) 的规定。该项目分区防渗图见图 </w:t>
      </w:r>
      <w:r>
        <w:rPr>
          <w:rFonts w:ascii="Times New Roman" w:hAnsi="Times New Roman" w:eastAsia="Times New Roman" w:cs="Times New Roman"/>
          <w:spacing w:val="8"/>
          <w:sz w:val="23"/>
          <w:szCs w:val="23"/>
        </w:rPr>
        <w:t>6-2</w:t>
      </w:r>
      <w:r>
        <w:rPr>
          <w:rFonts w:ascii="宋体" w:hAnsi="宋体" w:eastAsia="宋体" w:cs="宋体"/>
          <w:spacing w:val="8"/>
          <w:sz w:val="23"/>
          <w:szCs w:val="23"/>
        </w:rPr>
        <w:t>。</w:t>
      </w:r>
    </w:p>
    <w:p w14:paraId="6CE08ECF">
      <w:pPr>
        <w:spacing w:before="100" w:line="221" w:lineRule="auto"/>
        <w:ind w:left="33"/>
        <w:outlineLvl w:val="3"/>
        <w:rPr>
          <w:rFonts w:ascii="宋体" w:hAnsi="宋体" w:eastAsia="宋体" w:cs="宋体"/>
          <w:sz w:val="28"/>
          <w:szCs w:val="28"/>
        </w:rPr>
      </w:pPr>
      <w:r>
        <w:rPr>
          <w:rFonts w:ascii="Times New Roman" w:hAnsi="Times New Roman" w:eastAsia="Times New Roman" w:cs="Times New Roman"/>
          <w:b/>
          <w:bCs/>
          <w:spacing w:val="11"/>
          <w:sz w:val="28"/>
          <w:szCs w:val="28"/>
        </w:rPr>
        <w:t>6</w:t>
      </w:r>
      <w:r>
        <w:rPr>
          <w:rFonts w:ascii="Times New Roman" w:hAnsi="Times New Roman" w:eastAsia="Times New Roman" w:cs="Times New Roman"/>
          <w:b/>
          <w:bCs/>
          <w:spacing w:val="6"/>
          <w:sz w:val="28"/>
          <w:szCs w:val="28"/>
        </w:rPr>
        <w:t>.2.3.2</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跟踪监测</w:t>
      </w:r>
    </w:p>
    <w:p w14:paraId="2D746A30">
      <w:pPr>
        <w:spacing w:line="261" w:lineRule="auto"/>
        <w:rPr>
          <w:rFonts w:ascii="Arial"/>
          <w:sz w:val="21"/>
        </w:rPr>
      </w:pPr>
    </w:p>
    <w:p w14:paraId="2968F50E">
      <w:pPr>
        <w:spacing w:before="75" w:line="389" w:lineRule="auto"/>
        <w:ind w:left="30" w:right="192" w:firstLine="481"/>
        <w:rPr>
          <w:rFonts w:ascii="宋体" w:hAnsi="宋体" w:eastAsia="宋体" w:cs="宋体"/>
          <w:sz w:val="23"/>
          <w:szCs w:val="23"/>
        </w:rPr>
      </w:pPr>
      <w:r>
        <w:rPr>
          <w:rFonts w:ascii="宋体" w:hAnsi="宋体" w:eastAsia="宋体" w:cs="宋体"/>
          <w:spacing w:val="7"/>
          <w:sz w:val="23"/>
          <w:szCs w:val="23"/>
        </w:rPr>
        <w:t>根据区域地下水流向由南向北，定期对地下水环境进行监测，委托具有资</w:t>
      </w:r>
      <w:r>
        <w:rPr>
          <w:rFonts w:ascii="宋体" w:hAnsi="宋体" w:eastAsia="宋体" w:cs="宋体"/>
          <w:spacing w:val="3"/>
          <w:sz w:val="23"/>
          <w:szCs w:val="23"/>
        </w:rPr>
        <w:t>质</w:t>
      </w:r>
      <w:r>
        <w:rPr>
          <w:rFonts w:ascii="宋体" w:hAnsi="宋体" w:eastAsia="宋体" w:cs="宋体"/>
          <w:sz w:val="23"/>
          <w:szCs w:val="23"/>
        </w:rPr>
        <w:t xml:space="preserve"> </w:t>
      </w:r>
      <w:r>
        <w:rPr>
          <w:rFonts w:ascii="宋体" w:hAnsi="宋体" w:eastAsia="宋体" w:cs="宋体"/>
          <w:spacing w:val="10"/>
          <w:sz w:val="23"/>
          <w:szCs w:val="23"/>
        </w:rPr>
        <w:t>的</w:t>
      </w:r>
      <w:r>
        <w:rPr>
          <w:rFonts w:ascii="宋体" w:hAnsi="宋体" w:eastAsia="宋体" w:cs="宋体"/>
          <w:spacing w:val="7"/>
          <w:sz w:val="23"/>
          <w:szCs w:val="23"/>
        </w:rPr>
        <w:t>单位进行，监测报告应包括建设项目所在地及其影响区地下水环境跟踪监测数</w:t>
      </w:r>
      <w:r>
        <w:rPr>
          <w:rFonts w:ascii="宋体" w:hAnsi="宋体" w:eastAsia="宋体" w:cs="宋体"/>
          <w:sz w:val="23"/>
          <w:szCs w:val="23"/>
        </w:rPr>
        <w:t xml:space="preserve"> </w:t>
      </w:r>
      <w:r>
        <w:rPr>
          <w:rFonts w:ascii="宋体" w:hAnsi="宋体" w:eastAsia="宋体" w:cs="宋体"/>
          <w:spacing w:val="10"/>
          <w:sz w:val="23"/>
          <w:szCs w:val="23"/>
        </w:rPr>
        <w:t>据</w:t>
      </w:r>
      <w:r>
        <w:rPr>
          <w:rFonts w:ascii="宋体" w:hAnsi="宋体" w:eastAsia="宋体" w:cs="宋体"/>
          <w:spacing w:val="7"/>
          <w:sz w:val="23"/>
          <w:szCs w:val="23"/>
        </w:rPr>
        <w:t>，各生产设施及污染防控措施等设施的运行状况、维护记录，同时对监测结果</w:t>
      </w:r>
      <w:r>
        <w:rPr>
          <w:rFonts w:ascii="宋体" w:hAnsi="宋体" w:eastAsia="宋体" w:cs="宋体"/>
          <w:sz w:val="23"/>
          <w:szCs w:val="23"/>
        </w:rPr>
        <w:t xml:space="preserve"> </w:t>
      </w:r>
      <w:r>
        <w:rPr>
          <w:rFonts w:ascii="宋体" w:hAnsi="宋体" w:eastAsia="宋体" w:cs="宋体"/>
          <w:spacing w:val="10"/>
          <w:sz w:val="23"/>
          <w:szCs w:val="23"/>
        </w:rPr>
        <w:t>进</w:t>
      </w:r>
      <w:r>
        <w:rPr>
          <w:rFonts w:ascii="宋体" w:hAnsi="宋体" w:eastAsia="宋体" w:cs="宋体"/>
          <w:spacing w:val="7"/>
          <w:sz w:val="23"/>
          <w:szCs w:val="23"/>
        </w:rPr>
        <w:t>行信息公开。</w:t>
      </w:r>
    </w:p>
    <w:p w14:paraId="3C7637B4">
      <w:pPr>
        <w:spacing w:before="137" w:line="384" w:lineRule="auto"/>
        <w:ind w:left="30" w:right="192" w:firstLine="481"/>
        <w:rPr>
          <w:rFonts w:ascii="宋体" w:hAnsi="宋体" w:eastAsia="宋体" w:cs="宋体"/>
          <w:sz w:val="23"/>
          <w:szCs w:val="23"/>
        </w:rPr>
      </w:pPr>
      <w:r>
        <w:rPr>
          <w:rFonts w:ascii="宋体" w:hAnsi="宋体" w:eastAsia="宋体" w:cs="宋体"/>
          <w:spacing w:val="10"/>
          <w:sz w:val="23"/>
          <w:szCs w:val="23"/>
        </w:rPr>
        <w:t>根据《环</w:t>
      </w:r>
      <w:r>
        <w:rPr>
          <w:rFonts w:ascii="宋体" w:hAnsi="宋体" w:eastAsia="宋体" w:cs="宋体"/>
          <w:spacing w:val="9"/>
          <w:sz w:val="23"/>
          <w:szCs w:val="23"/>
        </w:rPr>
        <w:t>境</w:t>
      </w:r>
      <w:r>
        <w:rPr>
          <w:rFonts w:ascii="宋体" w:hAnsi="宋体" w:eastAsia="宋体" w:cs="宋体"/>
          <w:spacing w:val="5"/>
          <w:sz w:val="23"/>
          <w:szCs w:val="23"/>
        </w:rPr>
        <w:t>影响评价技术导则</w:t>
      </w:r>
      <w:r>
        <w:rPr>
          <w:rFonts w:ascii="Times New Roman" w:hAnsi="Times New Roman" w:eastAsia="Times New Roman" w:cs="Times New Roman"/>
          <w:spacing w:val="5"/>
          <w:sz w:val="23"/>
          <w:szCs w:val="23"/>
        </w:rPr>
        <w:t>—</w:t>
      </w:r>
      <w:r>
        <w:rPr>
          <w:rFonts w:ascii="宋体" w:hAnsi="宋体" w:eastAsia="宋体" w:cs="宋体"/>
          <w:spacing w:val="5"/>
          <w:sz w:val="23"/>
          <w:szCs w:val="23"/>
        </w:rPr>
        <w:t>地下水环境》</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610-2016</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11.3.2. 1  </w:t>
      </w:r>
      <w:r>
        <w:rPr>
          <w:rFonts w:ascii="宋体" w:hAnsi="宋体" w:eastAsia="宋体" w:cs="宋体"/>
          <w:spacing w:val="5"/>
          <w:sz w:val="23"/>
          <w:szCs w:val="23"/>
        </w:rPr>
        <w:t>跟踪监</w:t>
      </w:r>
      <w:r>
        <w:rPr>
          <w:rFonts w:ascii="宋体" w:hAnsi="宋体" w:eastAsia="宋体" w:cs="宋体"/>
          <w:sz w:val="23"/>
          <w:szCs w:val="23"/>
        </w:rPr>
        <w:t xml:space="preserve"> </w:t>
      </w:r>
      <w:r>
        <w:rPr>
          <w:rFonts w:ascii="宋体" w:hAnsi="宋体" w:eastAsia="宋体" w:cs="宋体"/>
          <w:spacing w:val="10"/>
          <w:sz w:val="23"/>
          <w:szCs w:val="23"/>
        </w:rPr>
        <w:t>测</w:t>
      </w:r>
      <w:r>
        <w:rPr>
          <w:rFonts w:ascii="宋体" w:hAnsi="宋体" w:eastAsia="宋体" w:cs="宋体"/>
          <w:spacing w:val="8"/>
          <w:sz w:val="23"/>
          <w:szCs w:val="23"/>
        </w:rPr>
        <w:t xml:space="preserve">点要求  </w:t>
      </w:r>
      <w:r>
        <w:rPr>
          <w:rFonts w:ascii="Times New Roman" w:hAnsi="Times New Roman" w:eastAsia="Times New Roman" w:cs="Times New Roman"/>
          <w:sz w:val="23"/>
          <w:szCs w:val="23"/>
        </w:rPr>
        <w:t>b</w:t>
      </w:r>
      <w:r>
        <w:rPr>
          <w:rFonts w:ascii="宋体" w:hAnsi="宋体" w:eastAsia="宋体" w:cs="宋体"/>
          <w:spacing w:val="8"/>
          <w:sz w:val="23"/>
          <w:szCs w:val="23"/>
        </w:rPr>
        <w:t xml:space="preserve">) 三级评价的项目，应至少在建设项目场界下游布置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个。本项目</w:t>
      </w:r>
      <w:r>
        <w:rPr>
          <w:rFonts w:ascii="宋体" w:hAnsi="宋体" w:eastAsia="宋体" w:cs="宋体"/>
          <w:sz w:val="23"/>
          <w:szCs w:val="23"/>
        </w:rPr>
        <w:t xml:space="preserve"> </w:t>
      </w:r>
      <w:r>
        <w:rPr>
          <w:rFonts w:ascii="宋体" w:hAnsi="宋体" w:eastAsia="宋体" w:cs="宋体"/>
          <w:spacing w:val="10"/>
          <w:sz w:val="23"/>
          <w:szCs w:val="23"/>
        </w:rPr>
        <w:t>在</w:t>
      </w:r>
      <w:r>
        <w:rPr>
          <w:rFonts w:ascii="宋体" w:hAnsi="宋体" w:eastAsia="宋体" w:cs="宋体"/>
          <w:spacing w:val="6"/>
          <w:sz w:val="23"/>
          <w:szCs w:val="23"/>
        </w:rPr>
        <w:t>厂</w:t>
      </w:r>
      <w:r>
        <w:rPr>
          <w:rFonts w:ascii="宋体" w:hAnsi="宋体" w:eastAsia="宋体" w:cs="宋体"/>
          <w:spacing w:val="5"/>
          <w:sz w:val="23"/>
          <w:szCs w:val="23"/>
        </w:rPr>
        <w:t xml:space="preserve">区东南侧、西北侧各设置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个地下水观测井，即在厂区地下水上游、下游设</w:t>
      </w:r>
      <w:r>
        <w:rPr>
          <w:rFonts w:ascii="宋体" w:hAnsi="宋体" w:eastAsia="宋体" w:cs="宋体"/>
          <w:sz w:val="23"/>
          <w:szCs w:val="23"/>
        </w:rPr>
        <w:t xml:space="preserve"> </w:t>
      </w:r>
      <w:r>
        <w:rPr>
          <w:rFonts w:ascii="宋体" w:hAnsi="宋体" w:eastAsia="宋体" w:cs="宋体"/>
          <w:spacing w:val="10"/>
          <w:sz w:val="23"/>
          <w:szCs w:val="23"/>
        </w:rPr>
        <w:t>置</w:t>
      </w:r>
      <w:r>
        <w:rPr>
          <w:rFonts w:ascii="宋体" w:hAnsi="宋体" w:eastAsia="宋体" w:cs="宋体"/>
          <w:spacing w:val="6"/>
          <w:sz w:val="23"/>
          <w:szCs w:val="23"/>
        </w:rPr>
        <w:t xml:space="preserve">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个地下水观测井，作为地下水环境影响跟踪监测点，观测井距离本项目均约</w:t>
      </w:r>
    </w:p>
    <w:p w14:paraId="76B64077">
      <w:pPr>
        <w:sectPr>
          <w:headerReference r:id="rId275" w:type="default"/>
          <w:footerReference r:id="rId276" w:type="default"/>
          <w:pgSz w:w="11906" w:h="16839"/>
          <w:pgMar w:top="1132" w:right="1606" w:bottom="1182" w:left="1777" w:header="878" w:footer="1022" w:gutter="0"/>
          <w:cols w:space="720" w:num="1"/>
        </w:sectPr>
      </w:pPr>
    </w:p>
    <w:p w14:paraId="09CB471D">
      <w:pPr>
        <w:spacing w:line="408" w:lineRule="auto"/>
        <w:rPr>
          <w:rFonts w:ascii="Arial"/>
          <w:sz w:val="21"/>
        </w:rPr>
      </w:pPr>
      <w:r>
        <w:pict>
          <v:shape id="_x0000_s1315" o:spid="_x0000_s1315" style="position:absolute;left:0pt;margin-left:90pt;margin-top:57.35pt;height:0.75pt;width:415.3pt;mso-position-horizontal-relative:page;mso-position-vertical-relative:page;z-index:251959296;mso-width-relative:page;mso-height-relative:page;" fillcolor="#000000" filled="t" stroked="f" coordsize="8305,15" o:allowincell="f" path="m0,0l8305,0,8305,14,0,14,0,0xe">
            <v:path/>
            <v:fill on="t" focussize="0,0"/>
            <v:stroke on="f"/>
            <v:imagedata o:title=""/>
            <o:lock v:ext="edit"/>
          </v:shape>
        </w:pict>
      </w:r>
    </w:p>
    <w:p w14:paraId="4A4E30D6">
      <w:pPr>
        <w:spacing w:before="75" w:line="239" w:lineRule="auto"/>
        <w:ind w:left="39"/>
        <w:rPr>
          <w:rFonts w:ascii="宋体" w:hAnsi="宋体" w:eastAsia="宋体" w:cs="宋体"/>
          <w:sz w:val="23"/>
          <w:szCs w:val="23"/>
        </w:rPr>
      </w:pPr>
      <w:r>
        <w:rPr>
          <w:rFonts w:ascii="Times New Roman" w:hAnsi="Times New Roman" w:eastAsia="Times New Roman" w:cs="Times New Roman"/>
          <w:spacing w:val="-1"/>
          <w:sz w:val="23"/>
          <w:szCs w:val="23"/>
        </w:rPr>
        <w:t>50</w:t>
      </w:r>
      <w:r>
        <w:rPr>
          <w:rFonts w:ascii="Times New Roman" w:hAnsi="Times New Roman" w:eastAsia="Times New Roman" w:cs="Times New Roman"/>
          <w:sz w:val="23"/>
          <w:szCs w:val="23"/>
        </w:rPr>
        <w:t>m</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，跟踪</w:t>
      </w:r>
      <w:r>
        <w:rPr>
          <w:rFonts w:ascii="宋体" w:hAnsi="宋体" w:eastAsia="宋体" w:cs="宋体"/>
          <w:sz w:val="23"/>
          <w:szCs w:val="23"/>
        </w:rPr>
        <w:t xml:space="preserve">监测计划见表 </w:t>
      </w:r>
      <w:r>
        <w:rPr>
          <w:rFonts w:ascii="Times New Roman" w:hAnsi="Times New Roman" w:eastAsia="Times New Roman" w:cs="Times New Roman"/>
          <w:sz w:val="23"/>
          <w:szCs w:val="23"/>
        </w:rPr>
        <w:t>6-2</w:t>
      </w:r>
      <w:r>
        <w:rPr>
          <w:rFonts w:ascii="宋体" w:hAnsi="宋体" w:eastAsia="宋体" w:cs="宋体"/>
          <w:sz w:val="23"/>
          <w:szCs w:val="23"/>
        </w:rPr>
        <w:t>。</w:t>
      </w:r>
    </w:p>
    <w:p w14:paraId="426CF761">
      <w:pPr>
        <w:spacing w:line="262" w:lineRule="auto"/>
        <w:rPr>
          <w:rFonts w:ascii="Arial"/>
          <w:sz w:val="21"/>
        </w:rPr>
      </w:pPr>
    </w:p>
    <w:p w14:paraId="21FA5E57">
      <w:pPr>
        <w:spacing w:before="75" w:line="227" w:lineRule="auto"/>
        <w:ind w:left="243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6-2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地下水环境监测计划</w:t>
      </w:r>
      <w:r>
        <w:rPr>
          <w:rFonts w:ascii="宋体" w:hAnsi="宋体" w:eastAsia="宋体" w:cs="宋体"/>
          <w:spacing w:val="3"/>
          <w:sz w:val="23"/>
          <w:szCs w:val="23"/>
          <w14:textOutline w14:w="4358" w14:cap="sq" w14:cmpd="sng">
            <w14:solidFill>
              <w14:srgbClr w14:val="000000"/>
            </w14:solidFill>
            <w14:prstDash w14:val="solid"/>
            <w14:bevel/>
          </w14:textOutline>
        </w:rPr>
        <w:t>表</w:t>
      </w:r>
    </w:p>
    <w:p w14:paraId="2FBFFC4A">
      <w:pPr>
        <w:spacing w:line="17" w:lineRule="exact"/>
      </w:pPr>
    </w:p>
    <w:tbl>
      <w:tblPr>
        <w:tblStyle w:val="4"/>
        <w:tblW w:w="83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2"/>
        <w:gridCol w:w="979"/>
        <w:gridCol w:w="2864"/>
        <w:gridCol w:w="814"/>
        <w:gridCol w:w="1080"/>
        <w:gridCol w:w="1062"/>
      </w:tblGrid>
      <w:tr w14:paraId="5FF20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562" w:type="dxa"/>
            <w:tcBorders>
              <w:left w:val="nil"/>
              <w:right w:val="single" w:color="000000" w:sz="4" w:space="0"/>
            </w:tcBorders>
            <w:vAlign w:val="top"/>
          </w:tcPr>
          <w:p w14:paraId="57DD096F">
            <w:pPr>
              <w:spacing w:before="116" w:line="229" w:lineRule="auto"/>
              <w:ind w:left="589"/>
              <w:rPr>
                <w:rFonts w:ascii="宋体" w:hAnsi="宋体" w:eastAsia="宋体" w:cs="宋体"/>
                <w:sz w:val="20"/>
                <w:szCs w:val="20"/>
              </w:rPr>
            </w:pPr>
            <w:r>
              <w:rPr>
                <w:rFonts w:ascii="宋体" w:hAnsi="宋体" w:eastAsia="宋体" w:cs="宋体"/>
                <w:spacing w:val="-1"/>
                <w:sz w:val="20"/>
                <w:szCs w:val="20"/>
              </w:rPr>
              <w:t>点位</w:t>
            </w:r>
          </w:p>
        </w:tc>
        <w:tc>
          <w:tcPr>
            <w:tcW w:w="979" w:type="dxa"/>
            <w:tcBorders>
              <w:left w:val="single" w:color="000000" w:sz="4" w:space="0"/>
              <w:right w:val="single" w:color="000000" w:sz="4" w:space="0"/>
            </w:tcBorders>
            <w:vAlign w:val="top"/>
          </w:tcPr>
          <w:p w14:paraId="3ED52950">
            <w:pPr>
              <w:spacing w:before="116" w:line="229" w:lineRule="auto"/>
              <w:ind w:left="284"/>
              <w:rPr>
                <w:rFonts w:ascii="宋体" w:hAnsi="宋体" w:eastAsia="宋体" w:cs="宋体"/>
                <w:sz w:val="20"/>
                <w:szCs w:val="20"/>
              </w:rPr>
            </w:pPr>
            <w:r>
              <w:rPr>
                <w:rFonts w:ascii="宋体" w:hAnsi="宋体" w:eastAsia="宋体" w:cs="宋体"/>
                <w:spacing w:val="3"/>
                <w:sz w:val="20"/>
                <w:szCs w:val="20"/>
              </w:rPr>
              <w:t>功能</w:t>
            </w:r>
          </w:p>
        </w:tc>
        <w:tc>
          <w:tcPr>
            <w:tcW w:w="2864" w:type="dxa"/>
            <w:tcBorders>
              <w:left w:val="single" w:color="000000" w:sz="4" w:space="0"/>
              <w:right w:val="single" w:color="000000" w:sz="4" w:space="0"/>
            </w:tcBorders>
            <w:vAlign w:val="top"/>
          </w:tcPr>
          <w:p w14:paraId="622D3227">
            <w:pPr>
              <w:spacing w:before="116" w:line="228" w:lineRule="auto"/>
              <w:ind w:left="1016"/>
              <w:rPr>
                <w:rFonts w:ascii="宋体" w:hAnsi="宋体" w:eastAsia="宋体" w:cs="宋体"/>
                <w:sz w:val="20"/>
                <w:szCs w:val="20"/>
              </w:rPr>
            </w:pPr>
            <w:r>
              <w:rPr>
                <w:rFonts w:ascii="宋体" w:hAnsi="宋体" w:eastAsia="宋体" w:cs="宋体"/>
                <w:spacing w:val="7"/>
                <w:sz w:val="20"/>
                <w:szCs w:val="20"/>
              </w:rPr>
              <w:t>监测因子</w:t>
            </w:r>
          </w:p>
        </w:tc>
        <w:tc>
          <w:tcPr>
            <w:tcW w:w="814" w:type="dxa"/>
            <w:tcBorders>
              <w:left w:val="single" w:color="000000" w:sz="4" w:space="0"/>
              <w:right w:val="single" w:color="000000" w:sz="4" w:space="0"/>
            </w:tcBorders>
            <w:vAlign w:val="top"/>
          </w:tcPr>
          <w:p w14:paraId="46D6C1C5">
            <w:pPr>
              <w:spacing w:before="116" w:line="228" w:lineRule="auto"/>
              <w:ind w:left="201"/>
              <w:rPr>
                <w:rFonts w:ascii="宋体" w:hAnsi="宋体" w:eastAsia="宋体" w:cs="宋体"/>
                <w:sz w:val="20"/>
                <w:szCs w:val="20"/>
              </w:rPr>
            </w:pPr>
            <w:r>
              <w:rPr>
                <w:rFonts w:ascii="宋体" w:hAnsi="宋体" w:eastAsia="宋体" w:cs="宋体"/>
                <w:spacing w:val="5"/>
                <w:sz w:val="20"/>
                <w:szCs w:val="20"/>
              </w:rPr>
              <w:t>井</w:t>
            </w:r>
            <w:r>
              <w:rPr>
                <w:rFonts w:ascii="宋体" w:hAnsi="宋体" w:eastAsia="宋体" w:cs="宋体"/>
                <w:spacing w:val="4"/>
                <w:sz w:val="20"/>
                <w:szCs w:val="20"/>
              </w:rPr>
              <w:t>深</w:t>
            </w:r>
          </w:p>
        </w:tc>
        <w:tc>
          <w:tcPr>
            <w:tcW w:w="1080" w:type="dxa"/>
            <w:tcBorders>
              <w:left w:val="single" w:color="000000" w:sz="4" w:space="0"/>
              <w:right w:val="single" w:color="000000" w:sz="4" w:space="0"/>
            </w:tcBorders>
            <w:vAlign w:val="top"/>
          </w:tcPr>
          <w:p w14:paraId="02D4F13A">
            <w:pPr>
              <w:spacing w:before="116" w:line="228" w:lineRule="auto"/>
              <w:ind w:left="124"/>
              <w:rPr>
                <w:rFonts w:ascii="宋体" w:hAnsi="宋体" w:eastAsia="宋体" w:cs="宋体"/>
                <w:sz w:val="20"/>
                <w:szCs w:val="20"/>
              </w:rPr>
            </w:pPr>
            <w:r>
              <w:rPr>
                <w:rFonts w:ascii="宋体" w:hAnsi="宋体" w:eastAsia="宋体" w:cs="宋体"/>
                <w:spacing w:val="7"/>
                <w:sz w:val="20"/>
                <w:szCs w:val="20"/>
              </w:rPr>
              <w:t>监测层位</w:t>
            </w:r>
          </w:p>
        </w:tc>
        <w:tc>
          <w:tcPr>
            <w:tcW w:w="1062" w:type="dxa"/>
            <w:tcBorders>
              <w:left w:val="single" w:color="000000" w:sz="4" w:space="0"/>
              <w:right w:val="nil"/>
            </w:tcBorders>
            <w:vAlign w:val="top"/>
          </w:tcPr>
          <w:p w14:paraId="492AE6AF">
            <w:pPr>
              <w:spacing w:before="116" w:line="228" w:lineRule="auto"/>
              <w:ind w:left="115"/>
              <w:rPr>
                <w:rFonts w:ascii="宋体" w:hAnsi="宋体" w:eastAsia="宋体" w:cs="宋体"/>
                <w:sz w:val="20"/>
                <w:szCs w:val="20"/>
              </w:rPr>
            </w:pPr>
            <w:r>
              <w:rPr>
                <w:rFonts w:ascii="宋体" w:hAnsi="宋体" w:eastAsia="宋体" w:cs="宋体"/>
                <w:spacing w:val="7"/>
                <w:sz w:val="20"/>
                <w:szCs w:val="20"/>
              </w:rPr>
              <w:t>监测频次</w:t>
            </w:r>
          </w:p>
        </w:tc>
      </w:tr>
      <w:tr w14:paraId="0E13A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562" w:type="dxa"/>
            <w:tcBorders>
              <w:left w:val="nil"/>
              <w:right w:val="single" w:color="000000" w:sz="4" w:space="0"/>
            </w:tcBorders>
            <w:vAlign w:val="top"/>
          </w:tcPr>
          <w:p w14:paraId="236985B7">
            <w:pPr>
              <w:spacing w:before="179" w:line="301" w:lineRule="auto"/>
              <w:ind w:left="160" w:right="43" w:hanging="105"/>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8"/>
                <w:sz w:val="20"/>
                <w:szCs w:val="20"/>
              </w:rPr>
              <w:t>区西北侧、东</w:t>
            </w:r>
            <w:r>
              <w:rPr>
                <w:rFonts w:ascii="宋体" w:hAnsi="宋体" w:eastAsia="宋体" w:cs="宋体"/>
                <w:sz w:val="20"/>
                <w:szCs w:val="20"/>
              </w:rPr>
              <w:t xml:space="preserve"> </w:t>
            </w:r>
            <w:r>
              <w:rPr>
                <w:rFonts w:ascii="宋体" w:hAnsi="宋体" w:eastAsia="宋体" w:cs="宋体"/>
                <w:spacing w:val="8"/>
                <w:sz w:val="20"/>
                <w:szCs w:val="20"/>
              </w:rPr>
              <w:t>南侧的观测</w:t>
            </w:r>
            <w:r>
              <w:rPr>
                <w:rFonts w:ascii="宋体" w:hAnsi="宋体" w:eastAsia="宋体" w:cs="宋体"/>
                <w:spacing w:val="7"/>
                <w:sz w:val="20"/>
                <w:szCs w:val="20"/>
              </w:rPr>
              <w:t>井</w:t>
            </w:r>
          </w:p>
        </w:tc>
        <w:tc>
          <w:tcPr>
            <w:tcW w:w="979" w:type="dxa"/>
            <w:tcBorders>
              <w:left w:val="single" w:color="000000" w:sz="4" w:space="0"/>
              <w:right w:val="single" w:color="000000" w:sz="4" w:space="0"/>
            </w:tcBorders>
            <w:vAlign w:val="top"/>
          </w:tcPr>
          <w:p w14:paraId="620CCB42">
            <w:pPr>
              <w:spacing w:before="200" w:line="266" w:lineRule="auto"/>
              <w:ind w:left="178" w:right="170" w:firstLine="100"/>
              <w:rPr>
                <w:rFonts w:ascii="宋体" w:hAnsi="宋体" w:eastAsia="宋体" w:cs="宋体"/>
                <w:sz w:val="20"/>
                <w:szCs w:val="20"/>
              </w:rPr>
            </w:pPr>
            <w:r>
              <w:rPr>
                <w:rFonts w:ascii="宋体" w:hAnsi="宋体" w:eastAsia="宋体" w:cs="宋体"/>
                <w:spacing w:val="6"/>
                <w:sz w:val="20"/>
                <w:szCs w:val="20"/>
              </w:rPr>
              <w:t>跟</w:t>
            </w:r>
            <w:r>
              <w:rPr>
                <w:rFonts w:ascii="宋体" w:hAnsi="宋体" w:eastAsia="宋体" w:cs="宋体"/>
                <w:spacing w:val="5"/>
                <w:sz w:val="20"/>
                <w:szCs w:val="20"/>
              </w:rPr>
              <w:t>踪</w:t>
            </w:r>
            <w:r>
              <w:rPr>
                <w:rFonts w:ascii="宋体" w:hAnsi="宋体" w:eastAsia="宋体" w:cs="宋体"/>
                <w:sz w:val="20"/>
                <w:szCs w:val="20"/>
              </w:rPr>
              <w:t xml:space="preserve"> </w:t>
            </w:r>
            <w:r>
              <w:rPr>
                <w:rFonts w:ascii="宋体" w:hAnsi="宋体" w:eastAsia="宋体" w:cs="宋体"/>
                <w:spacing w:val="7"/>
                <w:sz w:val="20"/>
                <w:szCs w:val="20"/>
              </w:rPr>
              <w:t>监</w:t>
            </w:r>
            <w:r>
              <w:rPr>
                <w:rFonts w:ascii="宋体" w:hAnsi="宋体" w:eastAsia="宋体" w:cs="宋体"/>
                <w:spacing w:val="6"/>
                <w:sz w:val="20"/>
                <w:szCs w:val="20"/>
              </w:rPr>
              <w:t>测点</w:t>
            </w:r>
          </w:p>
        </w:tc>
        <w:tc>
          <w:tcPr>
            <w:tcW w:w="2864" w:type="dxa"/>
            <w:tcBorders>
              <w:left w:val="single" w:color="000000" w:sz="4" w:space="0"/>
              <w:right w:val="single" w:color="000000" w:sz="4" w:space="0"/>
            </w:tcBorders>
            <w:vAlign w:val="top"/>
          </w:tcPr>
          <w:p w14:paraId="6F97340E">
            <w:pPr>
              <w:spacing w:before="64" w:line="221" w:lineRule="auto"/>
              <w:ind w:left="37"/>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w:t>
            </w:r>
            <w:r>
              <w:rPr>
                <w:rFonts w:ascii="宋体" w:hAnsi="宋体" w:eastAsia="宋体" w:cs="宋体"/>
                <w:spacing w:val="5"/>
                <w:sz w:val="20"/>
                <w:szCs w:val="20"/>
              </w:rPr>
              <w:t>耗氧量、氨氮、总硬度、</w:t>
            </w:r>
          </w:p>
          <w:p w14:paraId="0D950153">
            <w:pPr>
              <w:spacing w:before="31" w:line="261" w:lineRule="auto"/>
              <w:ind w:left="385" w:right="97" w:hanging="316"/>
              <w:rPr>
                <w:rFonts w:ascii="宋体" w:hAnsi="宋体" w:eastAsia="宋体" w:cs="宋体"/>
                <w:sz w:val="20"/>
                <w:szCs w:val="20"/>
              </w:rPr>
            </w:pPr>
            <w:r>
              <w:rPr>
                <w:rFonts w:ascii="宋体" w:hAnsi="宋体" w:eastAsia="宋体" w:cs="宋体"/>
                <w:spacing w:val="12"/>
                <w:sz w:val="20"/>
                <w:szCs w:val="20"/>
              </w:rPr>
              <w:t>硫</w:t>
            </w:r>
            <w:r>
              <w:rPr>
                <w:rFonts w:ascii="宋体" w:hAnsi="宋体" w:eastAsia="宋体" w:cs="宋体"/>
                <w:spacing w:val="8"/>
                <w:sz w:val="20"/>
                <w:szCs w:val="20"/>
              </w:rPr>
              <w:t>酸</w:t>
            </w:r>
            <w:r>
              <w:rPr>
                <w:rFonts w:ascii="宋体" w:hAnsi="宋体" w:eastAsia="宋体" w:cs="宋体"/>
                <w:spacing w:val="6"/>
                <w:sz w:val="20"/>
                <w:szCs w:val="20"/>
              </w:rPr>
              <w:t>盐、硝酸盐、亚硝酸盐、</w:t>
            </w:r>
            <w:r>
              <w:rPr>
                <w:rFonts w:ascii="宋体" w:hAnsi="宋体" w:eastAsia="宋体" w:cs="宋体"/>
                <w:sz w:val="20"/>
                <w:szCs w:val="20"/>
              </w:rPr>
              <w:t xml:space="preserve"> </w:t>
            </w:r>
            <w:r>
              <w:rPr>
                <w:rFonts w:ascii="宋体" w:hAnsi="宋体" w:eastAsia="宋体" w:cs="宋体"/>
                <w:spacing w:val="9"/>
                <w:sz w:val="20"/>
                <w:szCs w:val="20"/>
              </w:rPr>
              <w:t>细菌总数和总大肠菌</w:t>
            </w:r>
            <w:r>
              <w:rPr>
                <w:rFonts w:ascii="宋体" w:hAnsi="宋体" w:eastAsia="宋体" w:cs="宋体"/>
                <w:spacing w:val="7"/>
                <w:sz w:val="20"/>
                <w:szCs w:val="20"/>
              </w:rPr>
              <w:t>群</w:t>
            </w:r>
          </w:p>
        </w:tc>
        <w:tc>
          <w:tcPr>
            <w:tcW w:w="814" w:type="dxa"/>
            <w:tcBorders>
              <w:left w:val="single" w:color="000000" w:sz="4" w:space="0"/>
              <w:right w:val="single" w:color="000000" w:sz="4" w:space="0"/>
            </w:tcBorders>
            <w:vAlign w:val="top"/>
          </w:tcPr>
          <w:p w14:paraId="1D0D91C9">
            <w:pPr>
              <w:spacing w:line="312" w:lineRule="auto"/>
              <w:rPr>
                <w:rFonts w:ascii="Arial"/>
                <w:sz w:val="21"/>
              </w:rPr>
            </w:pPr>
          </w:p>
          <w:p w14:paraId="40054C2F">
            <w:pPr>
              <w:spacing w:before="5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m</w:t>
            </w:r>
          </w:p>
        </w:tc>
        <w:tc>
          <w:tcPr>
            <w:tcW w:w="1080" w:type="dxa"/>
            <w:tcBorders>
              <w:left w:val="single" w:color="000000" w:sz="4" w:space="0"/>
              <w:right w:val="single" w:color="000000" w:sz="4" w:space="0"/>
            </w:tcBorders>
            <w:vAlign w:val="top"/>
          </w:tcPr>
          <w:p w14:paraId="24E81B97">
            <w:pPr>
              <w:spacing w:line="268" w:lineRule="auto"/>
              <w:rPr>
                <w:rFonts w:ascii="Arial"/>
                <w:sz w:val="21"/>
              </w:rPr>
            </w:pPr>
          </w:p>
          <w:p w14:paraId="31994284">
            <w:pPr>
              <w:spacing w:before="65" w:line="228" w:lineRule="auto"/>
              <w:ind w:left="334"/>
              <w:rPr>
                <w:rFonts w:ascii="宋体" w:hAnsi="宋体" w:eastAsia="宋体" w:cs="宋体"/>
                <w:sz w:val="20"/>
                <w:szCs w:val="20"/>
              </w:rPr>
            </w:pPr>
            <w:r>
              <w:rPr>
                <w:rFonts w:ascii="宋体" w:hAnsi="宋体" w:eastAsia="宋体" w:cs="宋体"/>
                <w:spacing w:val="5"/>
                <w:sz w:val="20"/>
                <w:szCs w:val="20"/>
              </w:rPr>
              <w:t>潜水</w:t>
            </w:r>
          </w:p>
        </w:tc>
        <w:tc>
          <w:tcPr>
            <w:tcW w:w="1062" w:type="dxa"/>
            <w:tcBorders>
              <w:left w:val="single" w:color="000000" w:sz="4" w:space="0"/>
              <w:right w:val="nil"/>
            </w:tcBorders>
            <w:vAlign w:val="top"/>
          </w:tcPr>
          <w:p w14:paraId="341A019A">
            <w:pPr>
              <w:spacing w:before="298" w:line="28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 xml:space="preserve">1 </w:t>
            </w:r>
            <w:r>
              <w:rPr>
                <w:rFonts w:ascii="宋体" w:hAnsi="宋体" w:eastAsia="宋体" w:cs="宋体"/>
                <w:position w:val="1"/>
                <w:sz w:val="20"/>
                <w:szCs w:val="20"/>
              </w:rPr>
              <w:t>次</w:t>
            </w:r>
            <w:r>
              <w:rPr>
                <w:rFonts w:ascii="Times New Roman" w:hAnsi="Times New Roman" w:eastAsia="Times New Roman" w:cs="Times New Roman"/>
                <w:position w:val="1"/>
                <w:sz w:val="20"/>
                <w:szCs w:val="20"/>
              </w:rPr>
              <w:t>/a</w:t>
            </w:r>
          </w:p>
        </w:tc>
      </w:tr>
    </w:tbl>
    <w:p w14:paraId="14242A73">
      <w:pPr>
        <w:spacing w:line="241" w:lineRule="auto"/>
        <w:rPr>
          <w:rFonts w:ascii="Arial"/>
          <w:sz w:val="21"/>
        </w:rPr>
      </w:pPr>
    </w:p>
    <w:p w14:paraId="65861DDA">
      <w:pPr>
        <w:spacing w:before="75" w:line="374" w:lineRule="auto"/>
        <w:ind w:left="35" w:right="27" w:firstLine="485"/>
        <w:rPr>
          <w:rFonts w:ascii="宋体" w:hAnsi="宋体" w:eastAsia="宋体" w:cs="宋体"/>
          <w:sz w:val="23"/>
          <w:szCs w:val="23"/>
        </w:rPr>
      </w:pPr>
      <w:r>
        <w:rPr>
          <w:rFonts w:ascii="宋体" w:hAnsi="宋体" w:eastAsia="宋体" w:cs="宋体"/>
          <w:spacing w:val="12"/>
          <w:sz w:val="23"/>
          <w:szCs w:val="23"/>
        </w:rPr>
        <w:t>企业在运</w:t>
      </w:r>
      <w:r>
        <w:rPr>
          <w:rFonts w:ascii="宋体" w:hAnsi="宋体" w:eastAsia="宋体" w:cs="宋体"/>
          <w:spacing w:val="7"/>
          <w:sz w:val="23"/>
          <w:szCs w:val="23"/>
        </w:rPr>
        <w:t>营</w:t>
      </w:r>
      <w:r>
        <w:rPr>
          <w:rFonts w:ascii="宋体" w:hAnsi="宋体" w:eastAsia="宋体" w:cs="宋体"/>
          <w:spacing w:val="6"/>
          <w:sz w:val="23"/>
          <w:szCs w:val="23"/>
        </w:rPr>
        <w:t>过程中应认真落实跟踪监测的工作，专职人员应编写地下水环境</w:t>
      </w:r>
      <w:r>
        <w:rPr>
          <w:rFonts w:ascii="宋体" w:hAnsi="宋体" w:eastAsia="宋体" w:cs="宋体"/>
          <w:sz w:val="23"/>
          <w:szCs w:val="23"/>
        </w:rPr>
        <w:t xml:space="preserve"> </w:t>
      </w:r>
      <w:r>
        <w:rPr>
          <w:rFonts w:ascii="宋体" w:hAnsi="宋体" w:eastAsia="宋体" w:cs="宋体"/>
          <w:spacing w:val="7"/>
          <w:sz w:val="23"/>
          <w:szCs w:val="23"/>
        </w:rPr>
        <w:t>跟踪监测报告，报告中的内容应包括：地下水跟踪监测的数据 (污染物种类、</w:t>
      </w:r>
      <w:r>
        <w:rPr>
          <w:rFonts w:ascii="宋体" w:hAnsi="宋体" w:eastAsia="宋体" w:cs="宋体"/>
          <w:spacing w:val="3"/>
          <w:sz w:val="23"/>
          <w:szCs w:val="23"/>
        </w:rPr>
        <w:t>数</w:t>
      </w:r>
      <w:r>
        <w:rPr>
          <w:rFonts w:ascii="宋体" w:hAnsi="宋体" w:eastAsia="宋体" w:cs="宋体"/>
          <w:sz w:val="23"/>
          <w:szCs w:val="23"/>
        </w:rPr>
        <w:t xml:space="preserve"> </w:t>
      </w:r>
      <w:r>
        <w:rPr>
          <w:rFonts w:ascii="宋体" w:hAnsi="宋体" w:eastAsia="宋体" w:cs="宋体"/>
          <w:spacing w:val="7"/>
          <w:sz w:val="23"/>
          <w:szCs w:val="23"/>
        </w:rPr>
        <w:t>量、浓度) ，生产设备、管线、贮存和运输装置的运行情况，跑冒滴漏记录和</w:t>
      </w:r>
      <w:r>
        <w:rPr>
          <w:rFonts w:ascii="宋体" w:hAnsi="宋体" w:eastAsia="宋体" w:cs="宋体"/>
          <w:spacing w:val="3"/>
          <w:sz w:val="23"/>
          <w:szCs w:val="23"/>
        </w:rPr>
        <w:t>维</w:t>
      </w:r>
      <w:r>
        <w:rPr>
          <w:rFonts w:ascii="宋体" w:hAnsi="宋体" w:eastAsia="宋体" w:cs="宋体"/>
          <w:sz w:val="23"/>
          <w:szCs w:val="23"/>
        </w:rPr>
        <w:t xml:space="preserve"> </w:t>
      </w:r>
      <w:r>
        <w:rPr>
          <w:rFonts w:ascii="宋体" w:hAnsi="宋体" w:eastAsia="宋体" w:cs="宋体"/>
          <w:spacing w:val="7"/>
          <w:sz w:val="23"/>
          <w:szCs w:val="23"/>
        </w:rPr>
        <w:t>护</w:t>
      </w:r>
      <w:r>
        <w:rPr>
          <w:rFonts w:ascii="宋体" w:hAnsi="宋体" w:eastAsia="宋体" w:cs="宋体"/>
          <w:spacing w:val="5"/>
          <w:sz w:val="23"/>
          <w:szCs w:val="23"/>
        </w:rPr>
        <w:t>记录。</w:t>
      </w:r>
    </w:p>
    <w:p w14:paraId="4EF16755">
      <w:pPr>
        <w:spacing w:before="116" w:line="220" w:lineRule="auto"/>
        <w:ind w:left="38"/>
        <w:outlineLvl w:val="3"/>
        <w:rPr>
          <w:rFonts w:ascii="宋体" w:hAnsi="宋体" w:eastAsia="宋体" w:cs="宋体"/>
          <w:sz w:val="28"/>
          <w:szCs w:val="28"/>
        </w:rPr>
      </w:pPr>
      <w:r>
        <w:rPr>
          <w:rFonts w:ascii="Times New Roman" w:hAnsi="Times New Roman" w:eastAsia="Times New Roman" w:cs="Times New Roman"/>
          <w:b/>
          <w:bCs/>
          <w:spacing w:val="11"/>
          <w:sz w:val="28"/>
          <w:szCs w:val="28"/>
        </w:rPr>
        <w:t>6</w:t>
      </w:r>
      <w:r>
        <w:rPr>
          <w:rFonts w:ascii="Times New Roman" w:hAnsi="Times New Roman" w:eastAsia="Times New Roman" w:cs="Times New Roman"/>
          <w:b/>
          <w:bCs/>
          <w:spacing w:val="6"/>
          <w:sz w:val="28"/>
          <w:szCs w:val="28"/>
        </w:rPr>
        <w:t>.2.3.3</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14:textOutline w14:w="5103" w14:cap="sq" w14:cmpd="sng">
            <w14:solidFill>
              <w14:srgbClr w14:val="000000"/>
            </w14:solidFill>
            <w14:prstDash w14:val="solid"/>
            <w14:bevel/>
          </w14:textOutline>
        </w:rPr>
        <w:t>信息公开</w:t>
      </w:r>
    </w:p>
    <w:p w14:paraId="55091850">
      <w:pPr>
        <w:spacing w:line="263" w:lineRule="auto"/>
        <w:rPr>
          <w:rFonts w:ascii="Arial"/>
          <w:sz w:val="21"/>
        </w:rPr>
      </w:pPr>
    </w:p>
    <w:p w14:paraId="3BB6E27D">
      <w:pPr>
        <w:spacing w:before="75" w:line="388" w:lineRule="auto"/>
        <w:ind w:left="38" w:right="37" w:firstLine="505"/>
        <w:rPr>
          <w:rFonts w:ascii="宋体" w:hAnsi="宋体" w:eastAsia="宋体" w:cs="宋体"/>
          <w:sz w:val="23"/>
          <w:szCs w:val="23"/>
        </w:rPr>
      </w:pPr>
      <w:r>
        <w:rPr>
          <w:rFonts w:ascii="宋体" w:hAnsi="宋体" w:eastAsia="宋体" w:cs="宋体"/>
          <w:spacing w:val="36"/>
          <w:sz w:val="23"/>
          <w:szCs w:val="23"/>
        </w:rPr>
        <w:t>建</w:t>
      </w:r>
      <w:r>
        <w:rPr>
          <w:rFonts w:ascii="宋体" w:hAnsi="宋体" w:eastAsia="宋体" w:cs="宋体"/>
          <w:spacing w:val="29"/>
          <w:sz w:val="23"/>
          <w:szCs w:val="23"/>
        </w:rPr>
        <w:t>设单位在开展地下水跟踪监测的同时要进行地下水跟踪监测信息公</w:t>
      </w:r>
      <w:r>
        <w:rPr>
          <w:rFonts w:ascii="宋体" w:hAnsi="宋体" w:eastAsia="宋体" w:cs="宋体"/>
          <w:sz w:val="23"/>
          <w:szCs w:val="23"/>
        </w:rPr>
        <w:t xml:space="preserve"> </w:t>
      </w:r>
      <w:r>
        <w:rPr>
          <w:rFonts w:ascii="宋体" w:hAnsi="宋体" w:eastAsia="宋体" w:cs="宋体"/>
          <w:spacing w:val="22"/>
          <w:sz w:val="23"/>
          <w:szCs w:val="23"/>
        </w:rPr>
        <w:t>开</w:t>
      </w:r>
      <w:r>
        <w:rPr>
          <w:rFonts w:ascii="宋体" w:hAnsi="宋体" w:eastAsia="宋体" w:cs="宋体"/>
          <w:spacing w:val="21"/>
          <w:sz w:val="23"/>
          <w:szCs w:val="23"/>
        </w:rPr>
        <w:t>工作，每一期的地下水跟踪监测的数据结果要以公告的形式在场区内张贴</w:t>
      </w:r>
      <w:r>
        <w:rPr>
          <w:rFonts w:ascii="宋体" w:hAnsi="宋体" w:eastAsia="宋体" w:cs="宋体"/>
          <w:sz w:val="23"/>
          <w:szCs w:val="23"/>
        </w:rPr>
        <w:t xml:space="preserve"> </w:t>
      </w:r>
      <w:r>
        <w:rPr>
          <w:rFonts w:ascii="宋体" w:hAnsi="宋体" w:eastAsia="宋体" w:cs="宋体"/>
          <w:spacing w:val="26"/>
          <w:sz w:val="23"/>
          <w:szCs w:val="23"/>
        </w:rPr>
        <w:t>出</w:t>
      </w:r>
      <w:r>
        <w:rPr>
          <w:rFonts w:ascii="宋体" w:hAnsi="宋体" w:eastAsia="宋体" w:cs="宋体"/>
          <w:spacing w:val="18"/>
          <w:sz w:val="23"/>
          <w:szCs w:val="23"/>
        </w:rPr>
        <w:t xml:space="preserve">来，公告版应展示近 </w:t>
      </w:r>
      <w:r>
        <w:rPr>
          <w:rFonts w:ascii="Times New Roman" w:hAnsi="Times New Roman" w:eastAsia="Times New Roman" w:cs="Times New Roman"/>
          <w:spacing w:val="18"/>
          <w:sz w:val="23"/>
          <w:szCs w:val="23"/>
        </w:rPr>
        <w:t xml:space="preserve">3 </w:t>
      </w:r>
      <w:r>
        <w:rPr>
          <w:rFonts w:ascii="宋体" w:hAnsi="宋体" w:eastAsia="宋体" w:cs="宋体"/>
          <w:spacing w:val="18"/>
          <w:sz w:val="23"/>
          <w:szCs w:val="23"/>
        </w:rPr>
        <w:t>期的地下水跟踪监测结果，包括污染物的名称、监</w:t>
      </w:r>
      <w:r>
        <w:rPr>
          <w:rFonts w:ascii="宋体" w:hAnsi="宋体" w:eastAsia="宋体" w:cs="宋体"/>
          <w:sz w:val="23"/>
          <w:szCs w:val="23"/>
        </w:rPr>
        <w:t xml:space="preserve"> </w:t>
      </w:r>
      <w:r>
        <w:rPr>
          <w:rFonts w:ascii="宋体" w:hAnsi="宋体" w:eastAsia="宋体" w:cs="宋体"/>
          <w:spacing w:val="22"/>
          <w:sz w:val="23"/>
          <w:szCs w:val="23"/>
        </w:rPr>
        <w:t>测</w:t>
      </w:r>
      <w:r>
        <w:rPr>
          <w:rFonts w:ascii="宋体" w:hAnsi="宋体" w:eastAsia="宋体" w:cs="宋体"/>
          <w:spacing w:val="21"/>
          <w:sz w:val="23"/>
          <w:szCs w:val="23"/>
        </w:rPr>
        <w:t>数值和监测日期等信息。公众参与的主体是项目的建设单位，需要对公示</w:t>
      </w:r>
      <w:r>
        <w:rPr>
          <w:rFonts w:ascii="宋体" w:hAnsi="宋体" w:eastAsia="宋体" w:cs="宋体"/>
          <w:sz w:val="23"/>
          <w:szCs w:val="23"/>
        </w:rPr>
        <w:t xml:space="preserve"> </w:t>
      </w:r>
      <w:r>
        <w:rPr>
          <w:rFonts w:ascii="宋体" w:hAnsi="宋体" w:eastAsia="宋体" w:cs="宋体"/>
          <w:spacing w:val="19"/>
          <w:sz w:val="23"/>
          <w:szCs w:val="23"/>
        </w:rPr>
        <w:t>的</w:t>
      </w:r>
      <w:r>
        <w:rPr>
          <w:rFonts w:ascii="宋体" w:hAnsi="宋体" w:eastAsia="宋体" w:cs="宋体"/>
          <w:spacing w:val="16"/>
          <w:sz w:val="23"/>
          <w:szCs w:val="23"/>
        </w:rPr>
        <w:t>监测数据负责。</w:t>
      </w:r>
    </w:p>
    <w:p w14:paraId="74D4197E">
      <w:pPr>
        <w:spacing w:before="101" w:line="221" w:lineRule="auto"/>
        <w:ind w:left="38"/>
        <w:outlineLvl w:val="3"/>
        <w:rPr>
          <w:rFonts w:ascii="宋体" w:hAnsi="宋体" w:eastAsia="宋体" w:cs="宋体"/>
          <w:sz w:val="28"/>
          <w:szCs w:val="28"/>
        </w:rPr>
      </w:pPr>
      <w:r>
        <w:rPr>
          <w:rFonts w:ascii="Times New Roman" w:hAnsi="Times New Roman" w:eastAsia="Times New Roman" w:cs="Times New Roman"/>
          <w:b/>
          <w:bCs/>
          <w:spacing w:val="13"/>
          <w:sz w:val="28"/>
          <w:szCs w:val="28"/>
        </w:rPr>
        <w:t>6</w:t>
      </w:r>
      <w:r>
        <w:rPr>
          <w:rFonts w:ascii="Times New Roman" w:hAnsi="Times New Roman" w:eastAsia="Times New Roman" w:cs="Times New Roman"/>
          <w:b/>
          <w:bCs/>
          <w:spacing w:val="7"/>
          <w:sz w:val="28"/>
          <w:szCs w:val="28"/>
        </w:rPr>
        <w:t>.2.3.4</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应急响应措施</w:t>
      </w:r>
    </w:p>
    <w:p w14:paraId="669A43EC">
      <w:pPr>
        <w:spacing w:line="259" w:lineRule="auto"/>
        <w:rPr>
          <w:rFonts w:ascii="Arial"/>
          <w:sz w:val="21"/>
        </w:rPr>
      </w:pPr>
    </w:p>
    <w:p w14:paraId="5FD75C0E">
      <w:pPr>
        <w:spacing w:before="75" w:line="384" w:lineRule="auto"/>
        <w:ind w:left="35" w:right="25" w:firstLine="510"/>
        <w:rPr>
          <w:rFonts w:ascii="宋体" w:hAnsi="宋体" w:eastAsia="宋体" w:cs="宋体"/>
          <w:sz w:val="23"/>
          <w:szCs w:val="23"/>
        </w:rPr>
      </w:pPr>
      <w:r>
        <w:rPr>
          <w:rFonts w:ascii="宋体" w:hAnsi="宋体" w:eastAsia="宋体" w:cs="宋体"/>
          <w:spacing w:val="4"/>
          <w:sz w:val="23"/>
          <w:szCs w:val="23"/>
        </w:rPr>
        <w:t xml:space="preserve">由于污水泄漏事故发生具有隐蔽性，建设单位应认真落实每年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次的地下水</w:t>
      </w:r>
      <w:r>
        <w:rPr>
          <w:rFonts w:ascii="宋体" w:hAnsi="宋体" w:eastAsia="宋体" w:cs="宋体"/>
          <w:sz w:val="23"/>
          <w:szCs w:val="23"/>
        </w:rPr>
        <w:t xml:space="preserve"> </w:t>
      </w:r>
      <w:r>
        <w:rPr>
          <w:rFonts w:ascii="宋体" w:hAnsi="宋体" w:eastAsia="宋体" w:cs="宋体"/>
          <w:spacing w:val="14"/>
          <w:sz w:val="23"/>
          <w:szCs w:val="23"/>
        </w:rPr>
        <w:t>跟</w:t>
      </w:r>
      <w:r>
        <w:rPr>
          <w:rFonts w:ascii="宋体" w:hAnsi="宋体" w:eastAsia="宋体" w:cs="宋体"/>
          <w:spacing w:val="7"/>
          <w:sz w:val="23"/>
          <w:szCs w:val="23"/>
        </w:rPr>
        <w:t>踪监测职责，运营期的地下水保护目标应定为氨氮监测浓度</w:t>
      </w:r>
      <w:r>
        <w:rPr>
          <w:rFonts w:ascii="Times New Roman" w:hAnsi="Times New Roman" w:eastAsia="Times New Roman" w:cs="Times New Roman"/>
          <w:spacing w:val="7"/>
          <w:sz w:val="23"/>
          <w:szCs w:val="23"/>
        </w:rPr>
        <w:t>≤0.5</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L</w:t>
      </w:r>
      <w:r>
        <w:rPr>
          <w:rFonts w:ascii="宋体" w:hAnsi="宋体" w:eastAsia="宋体" w:cs="宋体"/>
          <w:spacing w:val="7"/>
          <w:sz w:val="23"/>
          <w:szCs w:val="23"/>
        </w:rPr>
        <w:t>。如果在</w:t>
      </w:r>
      <w:r>
        <w:rPr>
          <w:rFonts w:ascii="宋体" w:hAnsi="宋体" w:eastAsia="宋体" w:cs="宋体"/>
          <w:sz w:val="23"/>
          <w:szCs w:val="23"/>
        </w:rPr>
        <w:t xml:space="preserve"> </w:t>
      </w:r>
      <w:r>
        <w:rPr>
          <w:rFonts w:ascii="宋体" w:hAnsi="宋体" w:eastAsia="宋体" w:cs="宋体"/>
          <w:spacing w:val="10"/>
          <w:sz w:val="23"/>
          <w:szCs w:val="23"/>
        </w:rPr>
        <w:t>跟踪监测的</w:t>
      </w:r>
      <w:r>
        <w:rPr>
          <w:rFonts w:ascii="宋体" w:hAnsi="宋体" w:eastAsia="宋体" w:cs="宋体"/>
          <w:spacing w:val="5"/>
          <w:sz w:val="23"/>
          <w:szCs w:val="23"/>
        </w:rPr>
        <w:t xml:space="preserve">过程氨氮检出浓度大于 </w:t>
      </w:r>
      <w:r>
        <w:rPr>
          <w:rFonts w:ascii="Times New Roman" w:hAnsi="Times New Roman" w:eastAsia="Times New Roman" w:cs="Times New Roman"/>
          <w:spacing w:val="5"/>
          <w:sz w:val="23"/>
          <w:szCs w:val="23"/>
        </w:rPr>
        <w:t>0.5</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，则有可能说明污水发生泄漏。建设</w:t>
      </w:r>
      <w:r>
        <w:rPr>
          <w:rFonts w:ascii="宋体" w:hAnsi="宋体" w:eastAsia="宋体" w:cs="宋体"/>
          <w:sz w:val="23"/>
          <w:szCs w:val="23"/>
        </w:rPr>
        <w:t xml:space="preserve"> </w:t>
      </w:r>
      <w:r>
        <w:rPr>
          <w:rFonts w:ascii="宋体" w:hAnsi="宋体" w:eastAsia="宋体" w:cs="宋体"/>
          <w:spacing w:val="10"/>
          <w:sz w:val="23"/>
          <w:szCs w:val="23"/>
        </w:rPr>
        <w:t>单</w:t>
      </w:r>
      <w:r>
        <w:rPr>
          <w:rFonts w:ascii="宋体" w:hAnsi="宋体" w:eastAsia="宋体" w:cs="宋体"/>
          <w:spacing w:val="7"/>
          <w:sz w:val="23"/>
          <w:szCs w:val="23"/>
        </w:rPr>
        <w:t>位应组织开展检查工作确定是否发生污水泄漏事故。当明确发生污水泄漏事故</w:t>
      </w:r>
      <w:r>
        <w:rPr>
          <w:rFonts w:ascii="宋体" w:hAnsi="宋体" w:eastAsia="宋体" w:cs="宋体"/>
          <w:sz w:val="23"/>
          <w:szCs w:val="23"/>
        </w:rPr>
        <w:t xml:space="preserve"> </w:t>
      </w:r>
      <w:r>
        <w:rPr>
          <w:rFonts w:ascii="宋体" w:hAnsi="宋体" w:eastAsia="宋体" w:cs="宋体"/>
          <w:spacing w:val="10"/>
          <w:sz w:val="23"/>
          <w:szCs w:val="23"/>
        </w:rPr>
        <w:t>时</w:t>
      </w:r>
      <w:r>
        <w:rPr>
          <w:rFonts w:ascii="宋体" w:hAnsi="宋体" w:eastAsia="宋体" w:cs="宋体"/>
          <w:spacing w:val="7"/>
          <w:sz w:val="23"/>
          <w:szCs w:val="23"/>
        </w:rPr>
        <w:t>，应根据泄漏位置将泄漏单元的污水排入暂存池，同时应委托具有专业资质的</w:t>
      </w:r>
      <w:r>
        <w:rPr>
          <w:rFonts w:ascii="宋体" w:hAnsi="宋体" w:eastAsia="宋体" w:cs="宋体"/>
          <w:sz w:val="23"/>
          <w:szCs w:val="23"/>
        </w:rPr>
        <w:t xml:space="preserve"> </w:t>
      </w:r>
      <w:r>
        <w:rPr>
          <w:rFonts w:ascii="宋体" w:hAnsi="宋体" w:eastAsia="宋体" w:cs="宋体"/>
          <w:spacing w:val="10"/>
          <w:sz w:val="23"/>
          <w:szCs w:val="23"/>
        </w:rPr>
        <w:t>环</w:t>
      </w:r>
      <w:r>
        <w:rPr>
          <w:rFonts w:ascii="宋体" w:hAnsi="宋体" w:eastAsia="宋体" w:cs="宋体"/>
          <w:spacing w:val="7"/>
          <w:sz w:val="23"/>
          <w:szCs w:val="23"/>
        </w:rPr>
        <w:t>境监测单位进行更全面的地下水污染跟踪监测，以便明确泄漏事故的范围和程</w:t>
      </w:r>
    </w:p>
    <w:p w14:paraId="37147FBF">
      <w:pPr>
        <w:spacing w:before="10" w:line="393" w:lineRule="auto"/>
        <w:ind w:left="56" w:right="27" w:hanging="20"/>
        <w:rPr>
          <w:rFonts w:ascii="宋体" w:hAnsi="宋体" w:eastAsia="宋体" w:cs="宋体"/>
          <w:sz w:val="23"/>
          <w:szCs w:val="23"/>
        </w:rPr>
      </w:pPr>
      <w:r>
        <w:rPr>
          <w:rFonts w:ascii="宋体" w:hAnsi="宋体" w:eastAsia="宋体" w:cs="宋体"/>
          <w:spacing w:val="9"/>
          <w:sz w:val="23"/>
          <w:szCs w:val="23"/>
        </w:rPr>
        <w:t>度</w:t>
      </w:r>
      <w:r>
        <w:rPr>
          <w:rFonts w:ascii="宋体" w:hAnsi="宋体" w:eastAsia="宋体" w:cs="宋体"/>
          <w:spacing w:val="7"/>
          <w:sz w:val="23"/>
          <w:szCs w:val="23"/>
        </w:rPr>
        <w:t>。建设单位应将泄漏事故上报给环境主管部门。同时应并委托有专业技术能力</w:t>
      </w:r>
      <w:r>
        <w:rPr>
          <w:rFonts w:ascii="宋体" w:hAnsi="宋体" w:eastAsia="宋体" w:cs="宋体"/>
          <w:sz w:val="23"/>
          <w:szCs w:val="23"/>
        </w:rPr>
        <w:t xml:space="preserve"> </w:t>
      </w:r>
      <w:r>
        <w:rPr>
          <w:rFonts w:ascii="宋体" w:hAnsi="宋体" w:eastAsia="宋体" w:cs="宋体"/>
          <w:spacing w:val="7"/>
          <w:sz w:val="23"/>
          <w:szCs w:val="23"/>
        </w:rPr>
        <w:t>的机构进行地下水修复工作</w:t>
      </w:r>
      <w:r>
        <w:rPr>
          <w:rFonts w:ascii="宋体" w:hAnsi="宋体" w:eastAsia="宋体" w:cs="宋体"/>
          <w:spacing w:val="6"/>
          <w:sz w:val="23"/>
          <w:szCs w:val="23"/>
        </w:rPr>
        <w:t>。</w:t>
      </w:r>
    </w:p>
    <w:p w14:paraId="514E2A1E">
      <w:pPr>
        <w:sectPr>
          <w:headerReference r:id="rId277" w:type="default"/>
          <w:footerReference r:id="rId278" w:type="default"/>
          <w:pgSz w:w="11906" w:h="16839"/>
          <w:pgMar w:top="1132" w:right="1771" w:bottom="1182" w:left="1771" w:header="878" w:footer="1022" w:gutter="0"/>
          <w:cols w:space="720" w:num="1"/>
        </w:sectPr>
      </w:pPr>
    </w:p>
    <w:p w14:paraId="5C4604E4">
      <w:pPr>
        <w:spacing w:line="282" w:lineRule="auto"/>
        <w:rPr>
          <w:rFonts w:ascii="Arial"/>
          <w:sz w:val="21"/>
        </w:rPr>
      </w:pPr>
      <w:r>
        <w:pict>
          <v:rect id="_x0000_s1316" o:spid="_x0000_s1316" o:spt="1" style="position:absolute;left:0pt;margin-left:262.8pt;margin-top:299.5pt;height:76.6pt;width:198.5pt;mso-position-horizontal-relative:page;mso-position-vertical-relative:page;z-index:252014592;mso-width-relative:page;mso-height-relative:page;" fillcolor="#E723D2" filled="t" stroked="f" coordsize="21600,21600" o:allowincell="f">
            <v:path/>
            <v:fill on="t" opacity="19275f" focussize="0,0"/>
            <v:stroke on="f"/>
            <v:imagedata o:title=""/>
            <o:lock v:ext="edit"/>
          </v:rect>
        </w:pict>
      </w:r>
      <w:r>
        <w:pict>
          <v:rect id="_x0000_s1317" o:spid="_x0000_s1317" o:spt="1" style="position:absolute;left:0pt;margin-left:180.35pt;margin-top:351.1pt;height:31.35pt;width:21.85pt;mso-position-horizontal-relative:page;mso-position-vertical-relative:page;z-index:251973632;mso-width-relative:page;mso-height-relative:page;" fillcolor="#E723D2" filled="t" stroked="f" coordsize="21600,21600" o:allowincell="f">
            <v:path/>
            <v:fill on="t" opacity="19275f" focussize="0,0"/>
            <v:stroke on="f"/>
            <v:imagedata o:title=""/>
            <o:lock v:ext="edit"/>
          </v:rect>
        </w:pict>
      </w:r>
      <w:r>
        <w:pict>
          <v:rect id="_x0000_s1318" o:spid="_x0000_s1318" o:spt="1" style="position:absolute;left:0pt;margin-left:229.3pt;margin-top:329.8pt;height:5pt;width:1.5pt;mso-position-horizontal-relative:page;mso-position-vertical-relative:page;z-index:252009472;mso-width-relative:page;mso-height-relative:page;" fillcolor="#E723D2" filled="t" stroked="f" coordsize="21600,21600" o:allowincell="f">
            <v:path/>
            <v:fill on="t" focussize="0,0"/>
            <v:stroke on="f"/>
            <v:imagedata o:title=""/>
            <o:lock v:ext="edit"/>
          </v:rect>
        </w:pict>
      </w:r>
      <w:r>
        <w:pict>
          <v:rect id="_x0000_s1319" o:spid="_x0000_s1319" o:spt="1" style="position:absolute;left:0pt;margin-left:456.75pt;margin-top:299.05pt;height:5pt;width:5pt;mso-position-horizontal-relative:page;mso-position-vertical-relative:page;z-index:252016640;mso-width-relative:page;mso-height-relative:page;" fillcolor="#E723D2" filled="t" stroked="f" coordsize="21600,21600" o:allowincell="f">
            <v:path/>
            <v:fill on="t" focussize="0,0"/>
            <v:stroke on="f"/>
            <v:imagedata o:title=""/>
            <o:lock v:ext="edit"/>
          </v:rect>
        </w:pict>
      </w:r>
      <w:r>
        <w:pict>
          <v:rect id="_x0000_s1320" o:spid="_x0000_s1320" o:spt="1" style="position:absolute;left:0pt;margin-left:214.3pt;margin-top:285.45pt;height:2.35pt;width:3.7pt;mso-position-horizontal-relative:page;mso-position-vertical-relative:page;z-index:251993088;mso-width-relative:page;mso-height-relative:page;" fillcolor="#E723D2" filled="t" stroked="f" coordsize="21600,21600" o:allowincell="f">
            <v:path/>
            <v:fill on="t" focussize="0,0"/>
            <v:stroke on="f"/>
            <v:imagedata o:title=""/>
            <o:lock v:ext="edit"/>
          </v:rect>
        </w:pict>
      </w:r>
      <w:r>
        <w:pict>
          <v:shape id="_x0000_s1321" o:spid="_x0000_s1321" style="position:absolute;left:0pt;margin-left:72pt;margin-top:57.35pt;height:0.75pt;width:697.95pt;mso-position-horizontal-relative:page;mso-position-vertical-relative:page;z-index:251968512;mso-width-relative:page;mso-height-relative:page;" fillcolor="#000000" filled="t" stroked="f" coordsize="13959,15" o:allowincell="f" path="m0,0l13958,0,13958,14,0,14,0,0xe">
            <v:path/>
            <v:fill on="t" focussize="0,0"/>
            <v:stroke on="f"/>
            <v:imagedata o:title=""/>
            <o:lock v:ext="edit"/>
          </v:shape>
        </w:pict>
      </w:r>
      <w:r>
        <w:pict>
          <v:shape id="_x0000_s1322" o:spid="_x0000_s1322" o:spt="202" type="#_x0000_t202" style="position:absolute;left:0pt;margin-left:731.75pt;margin-top:188.15pt;height:170pt;width:15.9pt;mso-position-horizontal-relative:page;mso-position-vertical-relative:page;z-index:251967488;mso-width-relative:page;mso-height-relative:page;" filled="f" stroked="f" coordsize="21600,21600" o:allowincell="f">
            <v:path/>
            <v:fill on="f" focussize="0,0"/>
            <v:stroke on="f"/>
            <v:imagedata o:title=""/>
            <o:lock v:ext="edit" aspectratio="f"/>
            <v:textbox inset="0mm,0mm,0mm,0mm" style="layout-flow:vertical-ideographic;">
              <w:txbxContent>
                <w:p w14:paraId="6AF8EA36">
                  <w:pPr>
                    <w:spacing w:before="20" w:line="208" w:lineRule="auto"/>
                    <w:ind w:left="20"/>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辽</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宁</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公</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路</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水</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泥</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厂</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废</w:t>
                  </w:r>
                  <w:r>
                    <w:rPr>
                      <w:rFonts w:ascii="宋体" w:hAnsi="宋体" w:eastAsia="宋体" w:cs="宋体"/>
                      <w:spacing w:val="-15"/>
                      <w:sz w:val="23"/>
                      <w:szCs w:val="23"/>
                    </w:rPr>
                    <w:t xml:space="preserve"> </w:t>
                  </w:r>
                  <w:r>
                    <w:rPr>
                      <w:rFonts w:ascii="宋体" w:hAnsi="宋体" w:eastAsia="宋体" w:cs="宋体"/>
                      <w:spacing w:val="-15"/>
                      <w:position w:val="1"/>
                      <w:sz w:val="23"/>
                      <w:szCs w:val="23"/>
                      <w14:textOutline w14:w="4358" w14:cap="sq" w14:cmpd="sng">
                        <w14:solidFill>
                          <w14:srgbClr w14:val="000000"/>
                        </w14:solidFill>
                        <w14:prstDash w14:val="solid"/>
                        <w14:bevel/>
                      </w14:textOutline>
                    </w:rPr>
                    <w:t>旧</w:t>
                  </w:r>
                  <w:r>
                    <w:rPr>
                      <w:rFonts w:ascii="宋体" w:hAnsi="宋体" w:eastAsia="宋体" w:cs="宋体"/>
                      <w:spacing w:val="-15"/>
                      <w:position w:val="1"/>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厂</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区</w:t>
                  </w:r>
                </w:p>
              </w:txbxContent>
            </v:textbox>
          </v:shape>
        </w:pict>
      </w:r>
      <w:r>
        <w:drawing>
          <wp:anchor distT="0" distB="0" distL="0" distR="0" simplePos="0" relativeHeight="251960320" behindDoc="1" locked="0" layoutInCell="0" allowOverlap="1">
            <wp:simplePos x="0" y="0"/>
            <wp:positionH relativeFrom="page">
              <wp:posOffset>9380220</wp:posOffset>
            </wp:positionH>
            <wp:positionV relativeFrom="page">
              <wp:posOffset>1074420</wp:posOffset>
            </wp:positionV>
            <wp:extent cx="614680" cy="55435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85"/>
                    <a:stretch>
                      <a:fillRect/>
                    </a:stretch>
                  </pic:blipFill>
                  <pic:spPr>
                    <a:xfrm>
                      <a:off x="0" y="0"/>
                      <a:ext cx="614781" cy="554126"/>
                    </a:xfrm>
                    <a:prstGeom prst="rect">
                      <a:avLst/>
                    </a:prstGeom>
                  </pic:spPr>
                </pic:pic>
              </a:graphicData>
            </a:graphic>
          </wp:anchor>
        </w:drawing>
      </w:r>
      <w:r>
        <w:drawing>
          <wp:anchor distT="0" distB="0" distL="0" distR="0" simplePos="0" relativeHeight="251966464" behindDoc="0" locked="0" layoutInCell="0" allowOverlap="1">
            <wp:simplePos x="0" y="0"/>
            <wp:positionH relativeFrom="page">
              <wp:posOffset>9017000</wp:posOffset>
            </wp:positionH>
            <wp:positionV relativeFrom="page">
              <wp:posOffset>1360170</wp:posOffset>
            </wp:positionV>
            <wp:extent cx="621665" cy="612140"/>
            <wp:effectExtent l="0" t="0" r="0" b="0"/>
            <wp:wrapNone/>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549"/>
                    <a:stretch>
                      <a:fillRect/>
                    </a:stretch>
                  </pic:blipFill>
                  <pic:spPr>
                    <a:xfrm>
                      <a:off x="0" y="0"/>
                      <a:ext cx="621512" cy="611936"/>
                    </a:xfrm>
                    <a:prstGeom prst="rect">
                      <a:avLst/>
                    </a:prstGeom>
                  </pic:spPr>
                </pic:pic>
              </a:graphicData>
            </a:graphic>
          </wp:anchor>
        </w:drawing>
      </w:r>
      <w:r>
        <w:pict>
          <v:shape id="_x0000_s1323" o:spid="_x0000_s1323" o:spt="202" type="#_x0000_t202" style="position:absolute;left:0pt;margin-left:112.35pt;margin-top:202.45pt;height:16.7pt;width:13.2pt;mso-position-horizontal-relative:page;mso-position-vertical-relative:page;z-index:251970560;mso-width-relative:page;mso-height-relative:page;" filled="f" stroked="f" coordsize="21600,21600" o:allowincell="f">
            <v:path/>
            <v:fill on="f" focussize="0,0"/>
            <v:stroke on="f"/>
            <v:imagedata o:title=""/>
            <o:lock v:ext="edit" aspectratio="f"/>
            <v:textbox inset="0mm,0mm,0mm,0mm">
              <w:txbxContent>
                <w:p w14:paraId="302B8C78">
                  <w:pPr>
                    <w:spacing w:before="20" w:line="235" w:lineRule="auto"/>
                    <w:ind w:left="2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空</w:t>
                  </w:r>
                </w:p>
              </w:txbxContent>
            </v:textbox>
          </v:shape>
        </w:pict>
      </w:r>
      <w:r>
        <w:drawing>
          <wp:anchor distT="0" distB="0" distL="0" distR="0" simplePos="0" relativeHeight="251962368" behindDoc="1" locked="0" layoutInCell="0" allowOverlap="1">
            <wp:simplePos x="0" y="0"/>
            <wp:positionH relativeFrom="page">
              <wp:posOffset>2988310</wp:posOffset>
            </wp:positionH>
            <wp:positionV relativeFrom="page">
              <wp:posOffset>3318510</wp:posOffset>
            </wp:positionV>
            <wp:extent cx="1369060" cy="7175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550"/>
                    <a:stretch>
                      <a:fillRect/>
                    </a:stretch>
                  </pic:blipFill>
                  <pic:spPr>
                    <a:xfrm>
                      <a:off x="0" y="0"/>
                      <a:ext cx="1369059" cy="717550"/>
                    </a:xfrm>
                    <a:prstGeom prst="rect">
                      <a:avLst/>
                    </a:prstGeom>
                  </pic:spPr>
                </pic:pic>
              </a:graphicData>
            </a:graphic>
          </wp:anchor>
        </w:drawing>
      </w:r>
      <w:r>
        <w:pict>
          <v:shape id="_x0000_s1324" o:spid="_x0000_s1324" o:spt="202" type="#_x0000_t202" style="position:absolute;left:0pt;margin-left:242.7pt;margin-top:268pt;height:12.6pt;width:91.55pt;mso-position-horizontal-relative:page;mso-position-vertical-relative:page;z-index:251975680;mso-width-relative:page;mso-height-relative:page;" filled="f" stroked="f" coordsize="21600,21600" o:allowincell="f">
            <v:path/>
            <v:fill on="f" focussize="0,0"/>
            <v:stroke on="f"/>
            <v:imagedata o:title=""/>
            <o:lock v:ext="edit" aspectratio="f"/>
            <v:textbox inset="0mm,0mm,0mm,0mm">
              <w:txbxContent>
                <w:p w14:paraId="31BD087E">
                  <w:pPr>
                    <w:spacing w:before="20" w:line="230" w:lineRule="auto"/>
                    <w:ind w:left="20"/>
                    <w:rPr>
                      <w:rFonts w:ascii="宋体" w:hAnsi="宋体" w:eastAsia="宋体" w:cs="宋体"/>
                      <w:sz w:val="17"/>
                      <w:szCs w:val="17"/>
                    </w:rPr>
                  </w:pPr>
                  <w:r>
                    <w:rPr>
                      <w:rFonts w:ascii="宋体" w:hAnsi="宋体" w:eastAsia="宋体" w:cs="宋体"/>
                      <w:spacing w:val="9"/>
                      <w:sz w:val="17"/>
                      <w:szCs w:val="17"/>
                    </w:rPr>
                    <w:t>一体化污水预处理设备</w:t>
                  </w:r>
                </w:p>
              </w:txbxContent>
            </v:textbox>
          </v:shape>
        </w:pict>
      </w:r>
      <w:r>
        <w:pict>
          <v:rect id="_x0000_s1325" o:spid="_x0000_s1325" o:spt="1" style="position:absolute;left:0pt;margin-left:243.3pt;margin-top:265.7pt;height:13.65pt;width:90pt;mso-position-horizontal-relative:page;mso-position-vertical-relative:page;z-index:-251353088;mso-width-relative:page;mso-height-relative:page;" fillcolor="#FFFF00" filled="t" stroked="f" coordsize="21600,21600" o:allowincell="f">
            <v:path/>
            <v:fill on="t" focussize="0,0"/>
            <v:stroke on="f"/>
            <v:imagedata o:title=""/>
            <o:lock v:ext="edit"/>
          </v:rect>
        </w:pict>
      </w:r>
      <w:r>
        <w:pict>
          <v:shape id="_x0000_s1326" o:spid="_x0000_s1326" o:spt="202" type="#_x0000_t202" style="position:absolute;left:0pt;margin-left:112pt;margin-top:264.85pt;height:16.75pt;width:13.55pt;mso-position-horizontal-relative:page;mso-position-vertical-relative:page;z-index:251969536;mso-width-relative:page;mso-height-relative:page;" filled="f" stroked="f" coordsize="21600,21600" o:allowincell="f">
            <v:path/>
            <v:fill on="f" focussize="0,0"/>
            <v:stroke on="f"/>
            <v:imagedata o:title=""/>
            <o:lock v:ext="edit" aspectratio="f"/>
            <v:textbox inset="0mm,0mm,0mm,0mm">
              <w:txbxContent>
                <w:p w14:paraId="3117EE6E">
                  <w:pPr>
                    <w:spacing w:before="19" w:line="237" w:lineRule="auto"/>
                    <w:ind w:left="2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地</w:t>
                  </w:r>
                </w:p>
              </w:txbxContent>
            </v:textbox>
          </v:shape>
        </w:pict>
      </w:r>
      <w:r>
        <w:drawing>
          <wp:anchor distT="0" distB="0" distL="0" distR="0" simplePos="0" relativeHeight="251983872" behindDoc="0" locked="0" layoutInCell="0" allowOverlap="1">
            <wp:simplePos x="0" y="0"/>
            <wp:positionH relativeFrom="page">
              <wp:posOffset>1304925</wp:posOffset>
            </wp:positionH>
            <wp:positionV relativeFrom="page">
              <wp:posOffset>3662680</wp:posOffset>
            </wp:positionV>
            <wp:extent cx="1584325" cy="354965"/>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551"/>
                    <a:stretch>
                      <a:fillRect/>
                    </a:stretch>
                  </pic:blipFill>
                  <pic:spPr>
                    <a:xfrm>
                      <a:off x="0" y="0"/>
                      <a:ext cx="1584325" cy="354965"/>
                    </a:xfrm>
                    <a:prstGeom prst="rect">
                      <a:avLst/>
                    </a:prstGeom>
                  </pic:spPr>
                </pic:pic>
              </a:graphicData>
            </a:graphic>
          </wp:anchor>
        </w:drawing>
      </w:r>
      <w:r>
        <w:pict>
          <v:shape id="_x0000_s1327" o:spid="_x0000_s1327" o:spt="202" type="#_x0000_t202" style="position:absolute;left:0pt;margin-left:101.75pt;margin-top:287.4pt;height:31.85pt;width:126.8pt;mso-position-horizontal-relative:page;mso-position-vertical-relative:page;z-index:251984896;mso-width-relative:page;mso-height-relative:page;" filled="f" stroked="f" coordsize="21600,21600" o:allowincell="f">
            <v:path/>
            <v:fill on="f" focussize="0,0"/>
            <v:stroke on="f"/>
            <v:imagedata o:title=""/>
            <o:lock v:ext="edit" aspectratio="f"/>
            <v:textbox inset="0mm,0mm,0mm,0mm">
              <w:txbxContent>
                <w:p w14:paraId="3AD88919">
                  <w:pPr>
                    <w:spacing w:before="278" w:line="228" w:lineRule="auto"/>
                    <w:ind w:left="190"/>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7"/>
                      <w:sz w:val="20"/>
                      <w:szCs w:val="20"/>
                    </w:rPr>
                    <w:t>废暂存间</w:t>
                  </w:r>
                </w:p>
              </w:txbxContent>
            </v:textbox>
          </v:shape>
        </w:pict>
      </w:r>
      <w:r>
        <w:pict>
          <v:shape id="_x0000_s1328" o:spid="_x0000_s1328" o:spt="202" type="#_x0000_t202" style="position:absolute;left:0pt;margin-left:264.5pt;margin-top:300.7pt;height:75.1pt;width:195.5pt;mso-position-horizontal-relative:page;mso-position-vertical-relative:page;z-index:252015616;mso-width-relative:page;mso-height-relative:page;" filled="f" stroked="f" coordsize="21600,21600" o:allowincell="f">
            <v:path/>
            <v:fill on="f" focussize="0,0"/>
            <v:stroke on="f"/>
            <v:imagedata o:title=""/>
            <o:lock v:ext="edit" aspectratio="f"/>
            <v:textbox inset="0mm,0mm,0mm,0mm">
              <w:txbxContent>
                <w:p w14:paraId="1C36BC75">
                  <w:pPr>
                    <w:spacing w:line="20" w:lineRule="exact"/>
                  </w:pPr>
                </w:p>
                <w:tbl>
                  <w:tblPr>
                    <w:tblStyle w:val="4"/>
                    <w:tblW w:w="385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850"/>
                  </w:tblGrid>
                  <w:tr w14:paraId="69BFB59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421" w:hRule="atLeast"/>
                    </w:trPr>
                    <w:tc>
                      <w:tcPr>
                        <w:tcW w:w="3850" w:type="dxa"/>
                        <w:shd w:val="clear" w:color="auto" w:fill="CCC1DA"/>
                        <w:vAlign w:val="top"/>
                      </w:tcPr>
                      <w:p w14:paraId="6E296F84">
                        <w:pPr>
                          <w:spacing w:line="282" w:lineRule="auto"/>
                          <w:rPr>
                            <w:rFonts w:ascii="Arial"/>
                            <w:sz w:val="21"/>
                          </w:rPr>
                        </w:pPr>
                      </w:p>
                      <w:p w14:paraId="165A71FA">
                        <w:pPr>
                          <w:spacing w:line="282" w:lineRule="auto"/>
                          <w:rPr>
                            <w:rFonts w:ascii="Arial"/>
                            <w:sz w:val="21"/>
                          </w:rPr>
                        </w:pPr>
                      </w:p>
                      <w:p w14:paraId="262BD8C3">
                        <w:pPr>
                          <w:spacing w:before="65" w:line="228" w:lineRule="auto"/>
                          <w:ind w:left="137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生产厂房</w:t>
                        </w:r>
                      </w:p>
                    </w:tc>
                  </w:tr>
                </w:tbl>
                <w:p w14:paraId="0B703F2D">
                  <w:pPr>
                    <w:rPr>
                      <w:rFonts w:ascii="Arial"/>
                      <w:sz w:val="21"/>
                    </w:rPr>
                  </w:pPr>
                </w:p>
              </w:txbxContent>
            </v:textbox>
          </v:shape>
        </w:pict>
      </w:r>
      <w:r>
        <w:drawing>
          <wp:anchor distT="0" distB="0" distL="0" distR="0" simplePos="0" relativeHeight="251985920" behindDoc="0" locked="0" layoutInCell="0" allowOverlap="1">
            <wp:simplePos x="0" y="0"/>
            <wp:positionH relativeFrom="page">
              <wp:posOffset>1095375</wp:posOffset>
            </wp:positionH>
            <wp:positionV relativeFrom="page">
              <wp:posOffset>3926205</wp:posOffset>
            </wp:positionV>
            <wp:extent cx="1598930" cy="43434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552"/>
                    <a:stretch>
                      <a:fillRect/>
                    </a:stretch>
                  </pic:blipFill>
                  <pic:spPr>
                    <a:xfrm>
                      <a:off x="0" y="0"/>
                      <a:ext cx="1598853" cy="434200"/>
                    </a:xfrm>
                    <a:prstGeom prst="rect">
                      <a:avLst/>
                    </a:prstGeom>
                  </pic:spPr>
                </pic:pic>
              </a:graphicData>
            </a:graphic>
          </wp:anchor>
        </w:drawing>
      </w:r>
      <w:r>
        <w:pict>
          <v:shape id="_x0000_s1329" o:spid="_x0000_s1329" o:spt="202" type="#_x0000_t202" style="position:absolute;left:0pt;margin-left:85.25pt;margin-top:308.15pt;height:38.1pt;width:127.9pt;mso-position-horizontal-relative:page;mso-position-vertical-relative:page;z-index:251986944;mso-width-relative:page;mso-height-relative:page;" filled="f" stroked="f" coordsize="21600,21600" o:allowincell="f">
            <v:path/>
            <v:fill on="f" focussize="0,0"/>
            <v:stroke on="f"/>
            <v:imagedata o:title=""/>
            <o:lock v:ext="edit" aspectratio="f"/>
            <v:textbox inset="0mm,0mm,0mm,0mm">
              <w:txbxContent>
                <w:p w14:paraId="5C85EEDB">
                  <w:pPr>
                    <w:spacing w:line="336" w:lineRule="auto"/>
                    <w:rPr>
                      <w:rFonts w:ascii="Arial"/>
                      <w:sz w:val="21"/>
                    </w:rPr>
                  </w:pPr>
                </w:p>
                <w:p w14:paraId="53411BEB">
                  <w:pPr>
                    <w:spacing w:before="65" w:line="228" w:lineRule="auto"/>
                    <w:ind w:left="201"/>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7"/>
                      <w:sz w:val="20"/>
                      <w:szCs w:val="20"/>
                    </w:rPr>
                    <w:t>品备件库</w:t>
                  </w:r>
                </w:p>
              </w:txbxContent>
            </v:textbox>
          </v:shape>
        </w:pict>
      </w:r>
      <w:r>
        <mc:AlternateContent>
          <mc:Choice Requires="wps">
            <w:drawing>
              <wp:anchor distT="0" distB="0" distL="0" distR="0" simplePos="0" relativeHeight="251981824" behindDoc="0" locked="0" layoutInCell="0" allowOverlap="1">
                <wp:simplePos x="0" y="0"/>
                <wp:positionH relativeFrom="page">
                  <wp:posOffset>2773680</wp:posOffset>
                </wp:positionH>
                <wp:positionV relativeFrom="page">
                  <wp:posOffset>4301490</wp:posOffset>
                </wp:positionV>
                <wp:extent cx="688340" cy="207010"/>
                <wp:effectExtent l="0" t="0" r="0" b="0"/>
                <wp:wrapNone/>
                <wp:docPr id="175" name="TextBox 175"/>
                <wp:cNvGraphicFramePr/>
                <a:graphic xmlns:a="http://schemas.openxmlformats.org/drawingml/2006/main">
                  <a:graphicData uri="http://schemas.microsoft.com/office/word/2010/wordprocessingShape">
                    <wps:wsp>
                      <wps:cNvSpPr txBox="1"/>
                      <wps:spPr>
                        <a:xfrm rot="5400000">
                          <a:off x="2774029" y="4301976"/>
                          <a:ext cx="68834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83118FD">
                            <w:pPr>
                              <w:spacing w:before="20" w:line="228" w:lineRule="auto"/>
                              <w:ind w:left="2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三</w:t>
                            </w:r>
                            <w:r>
                              <w:rPr>
                                <w:rFonts w:ascii="宋体" w:hAnsi="宋体" w:eastAsia="宋体" w:cs="宋体"/>
                                <w:spacing w:val="8"/>
                                <w:sz w:val="20"/>
                                <w:szCs w:val="20"/>
                                <w14:textOutline w14:w="3795" w14:cap="sq" w14:cmpd="sng">
                                  <w14:solidFill>
                                    <w14:srgbClr w14:val="000000"/>
                                  </w14:solidFill>
                                  <w14:prstDash w14:val="solid"/>
                                  <w14:bevel/>
                                </w14:textOutline>
                              </w:rPr>
                              <w:t>级沉淀池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5" o:spid="_x0000_s1026" o:spt="202" type="#_x0000_t202" style="position:absolute;left:0pt;margin-left:218.4pt;margin-top:338.7pt;height:16.3pt;width:54.2pt;mso-position-horizontal-relative:page;mso-position-vertical-relative:page;rotation:5898240f;z-index:251981824;mso-width-relative:page;mso-height-relative:page;" filled="f" stroked="f" coordsize="21600,21600" o:allowincell="f" o:gfxdata="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7mOs1wAAAAsBAAAPAAAAAAAAAAEAIAAAACIAAABkcnMvZG93bnJldi54&#10;bWxQSwECFAAUAAAACACHTuJAN0163jQCAABuBAAADgAAAAAAAAABACAAAAAmAQAAZHJzL2Uyb0Rv&#10;Yy54bWxQSwUGAAAAAAYABgBZAQAAzAUAAAAA&#10;">
                <v:fill on="f" focussize="0,0"/>
                <v:stroke on="f" weight="0pt"/>
                <v:imagedata o:title=""/>
                <o:lock v:ext="edit" aspectratio="f"/>
                <v:textbox inset="0mm,0mm,0mm,0mm">
                  <w:txbxContent>
                    <w:p w14:paraId="283118FD">
                      <w:pPr>
                        <w:spacing w:before="20" w:line="228" w:lineRule="auto"/>
                        <w:ind w:left="2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三</w:t>
                      </w:r>
                      <w:r>
                        <w:rPr>
                          <w:rFonts w:ascii="宋体" w:hAnsi="宋体" w:eastAsia="宋体" w:cs="宋体"/>
                          <w:spacing w:val="8"/>
                          <w:sz w:val="20"/>
                          <w:szCs w:val="20"/>
                          <w14:textOutline w14:w="3795" w14:cap="sq" w14:cmpd="sng">
                            <w14:solidFill>
                              <w14:srgbClr w14:val="000000"/>
                            </w14:solidFill>
                            <w14:prstDash w14:val="solid"/>
                            <w14:bevel/>
                          </w14:textOutline>
                        </w:rPr>
                        <w:t>级沉淀池</w:t>
                      </w:r>
                    </w:p>
                  </w:txbxContent>
                </v:textbox>
              </v:shape>
            </w:pict>
          </mc:Fallback>
        </mc:AlternateContent>
      </w:r>
      <w:r>
        <w:pict>
          <v:shape id="_x0000_s1330" o:spid="_x0000_s1330" o:spt="202" type="#_x0000_t202" style="position:absolute;left:0pt;margin-left:228.95pt;margin-top:315.65pt;height:60.65pt;width:31.7pt;mso-position-horizontal-relative:page;mso-position-vertical-relative:page;z-index:251976704;mso-width-relative:page;mso-height-relative:page;" filled="f" stroked="f" coordsize="21600,21600" o:allowincell="f">
            <v:path/>
            <v:fill on="f" focussize="0,0"/>
            <v:stroke on="f"/>
            <v:imagedata o:title=""/>
            <o:lock v:ext="edit" aspectratio="f"/>
            <v:textbox inset="0mm,0mm,0mm,0mm">
              <w:txbxContent>
                <w:p w14:paraId="3057E428">
                  <w:pPr>
                    <w:spacing w:line="20" w:lineRule="exact"/>
                  </w:pPr>
                </w:p>
                <w:tbl>
                  <w:tblPr>
                    <w:tblStyle w:val="4"/>
                    <w:tblW w:w="568"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68"/>
                  </w:tblGrid>
                  <w:tr w14:paraId="516AF5D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122" w:hRule="atLeast"/>
                    </w:trPr>
                    <w:tc>
                      <w:tcPr>
                        <w:tcW w:w="568" w:type="dxa"/>
                        <w:shd w:val="clear" w:color="auto" w:fill="00B0F0"/>
                        <w:vAlign w:val="top"/>
                      </w:tcPr>
                      <w:p w14:paraId="731ECF3F">
                        <w:pPr>
                          <w:rPr>
                            <w:rFonts w:ascii="Arial"/>
                            <w:sz w:val="21"/>
                          </w:rPr>
                        </w:pPr>
                      </w:p>
                    </w:tc>
                  </w:tr>
                </w:tbl>
                <w:p w14:paraId="6D9C4E51">
                  <w:pPr>
                    <w:rPr>
                      <w:rFonts w:ascii="Arial"/>
                      <w:sz w:val="21"/>
                    </w:rPr>
                  </w:pPr>
                </w:p>
              </w:txbxContent>
            </v:textbox>
          </v:shape>
        </w:pict>
      </w:r>
      <w:r>
        <w:pict>
          <v:shape id="_x0000_s1331" o:spid="_x0000_s1331" o:spt="202" type="#_x0000_t202" style="position:absolute;left:0pt;margin-left:710.95pt;margin-top:319.95pt;height:14.55pt;width:10.9pt;mso-position-horizontal-relative:page;mso-position-vertical-relative:page;z-index:251971584;mso-width-relative:page;mso-height-relative:page;" filled="f" stroked="f" coordsize="21600,21600" o:allowincell="f">
            <v:path/>
            <v:fill on="f" focussize="0,0"/>
            <v:stroke on="f"/>
            <v:imagedata o:title=""/>
            <o:lock v:ext="edit" aspectratio="f"/>
            <v:textbox inset="0mm,0mm,0mm,0mm">
              <w:txbxContent>
                <w:p w14:paraId="2D73AD74">
                  <w:pPr>
                    <w:spacing w:before="20" w:line="231" w:lineRule="auto"/>
                    <w:ind w:left="20"/>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门</w:t>
                  </w:r>
                </w:p>
              </w:txbxContent>
            </v:textbox>
          </v:shape>
        </w:pict>
      </w:r>
      <w:r>
        <w:pict>
          <v:group id="_x0000_s1332" o:spid="_x0000_s1332" o:spt="203" style="position:absolute;left:0pt;margin-left:75.7pt;margin-top:371.95pt;height:85.85pt;width:97.5pt;mso-position-horizontal-relative:page;mso-position-vertical-relative:page;z-index:251965440;mso-width-relative:page;mso-height-relative:page;" coordsize="1950,1716" o:allowincell="f">
            <o:lock v:ext="edit"/>
            <v:shape id="_x0000_s1333" o:spid="_x0000_s1333" o:spt="75" type="#_x0000_t75" style="position:absolute;left:0;top:0;height:1716;width:1950;" filled="f" stroked="f" coordsize="21600,21600">
              <v:path/>
              <v:fill on="f" focussize="0,0"/>
              <v:stroke on="f"/>
              <v:imagedata r:id="rId553" o:title=""/>
              <o:lock v:ext="edit" aspectratio="t"/>
            </v:shape>
            <v:shape id="_x0000_s1334" o:spid="_x0000_s1334" o:spt="202" type="#_x0000_t202" style="position:absolute;left:177;top:118;height:1578;width:1470;" filled="f" stroked="f" coordsize="21600,21600">
              <v:path/>
              <v:fill on="f" focussize="0,0"/>
              <v:stroke on="f"/>
              <v:imagedata o:title=""/>
              <o:lock v:ext="edit" aspectratio="f"/>
              <v:textbox inset="0mm,0mm,0mm,0mm">
                <w:txbxContent>
                  <w:p w14:paraId="71F5FB34">
                    <w:pPr>
                      <w:spacing w:before="20" w:line="229" w:lineRule="auto"/>
                      <w:ind w:left="40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图</w:t>
                    </w:r>
                    <w:r>
                      <w:rPr>
                        <w:rFonts w:ascii="宋体" w:hAnsi="宋体" w:eastAsia="宋体" w:cs="宋体"/>
                        <w:spacing w:val="2"/>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例</w:t>
                    </w:r>
                  </w:p>
                  <w:p w14:paraId="71DB9A27">
                    <w:pPr>
                      <w:spacing w:before="28" w:line="296" w:lineRule="auto"/>
                      <w:ind w:left="20" w:right="20" w:firstLine="17"/>
                      <w:rPr>
                        <w:rFonts w:ascii="宋体" w:hAnsi="宋体" w:eastAsia="宋体" w:cs="宋体"/>
                        <w:sz w:val="20"/>
                        <w:szCs w:val="20"/>
                      </w:rPr>
                    </w:pPr>
                    <w:r>
                      <w:rPr>
                        <w:rFonts w:ascii="宋体" w:hAnsi="宋体" w:eastAsia="宋体" w:cs="宋体"/>
                        <w:position w:val="1"/>
                        <w:sz w:val="20"/>
                        <w:szCs w:val="20"/>
                      </w:rPr>
                      <w:drawing>
                        <wp:inline distT="0" distB="0" distL="0" distR="0">
                          <wp:extent cx="162560" cy="1270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554"/>
                                  <a:stretch>
                                    <a:fillRect/>
                                  </a:stretch>
                                </pic:blipFill>
                                <pic:spPr>
                                  <a:xfrm>
                                    <a:off x="0" y="0"/>
                                    <a:ext cx="163194" cy="127000"/>
                                  </a:xfrm>
                                  <a:prstGeom prst="rect">
                                    <a:avLst/>
                                  </a:prstGeom>
                                </pic:spPr>
                              </pic:pic>
                            </a:graphicData>
                          </a:graphic>
                        </wp:inline>
                      </w:drawing>
                    </w:r>
                    <w:r>
                      <w:rPr>
                        <w:rFonts w:ascii="宋体" w:hAnsi="宋体" w:eastAsia="宋体" w:cs="宋体"/>
                        <w:spacing w:val="9"/>
                        <w:sz w:val="20"/>
                        <w:szCs w:val="20"/>
                      </w:rPr>
                      <w:t xml:space="preserve"> 厂区边</w:t>
                    </w:r>
                    <w:r>
                      <w:rPr>
                        <w:rFonts w:ascii="宋体" w:hAnsi="宋体" w:eastAsia="宋体" w:cs="宋体"/>
                        <w:spacing w:val="8"/>
                        <w:sz w:val="20"/>
                        <w:szCs w:val="20"/>
                      </w:rPr>
                      <w:t>界</w:t>
                    </w:r>
                    <w:r>
                      <w:rPr>
                        <w:rFonts w:ascii="宋体" w:hAnsi="宋体" w:eastAsia="宋体" w:cs="宋体"/>
                        <w:sz w:val="20"/>
                        <w:szCs w:val="20"/>
                      </w:rPr>
                      <w:t xml:space="preserve">  </w:t>
                    </w:r>
                    <w:r>
                      <w:rPr>
                        <w:rFonts w:ascii="宋体" w:hAnsi="宋体" w:eastAsia="宋体" w:cs="宋体"/>
                        <w:position w:val="2"/>
                        <w:sz w:val="20"/>
                        <w:szCs w:val="20"/>
                      </w:rPr>
                      <w:drawing>
                        <wp:inline distT="0" distB="0" distL="0" distR="0">
                          <wp:extent cx="156845" cy="12065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555"/>
                                  <a:stretch>
                                    <a:fillRect/>
                                  </a:stretch>
                                </pic:blipFill>
                                <pic:spPr>
                                  <a:xfrm>
                                    <a:off x="0" y="0"/>
                                    <a:ext cx="156845" cy="120650"/>
                                  </a:xfrm>
                                  <a:prstGeom prst="rect">
                                    <a:avLst/>
                                  </a:prstGeom>
                                </pic:spPr>
                              </pic:pic>
                            </a:graphicData>
                          </a:graphic>
                        </wp:inline>
                      </w:drawing>
                    </w:r>
                    <w:r>
                      <w:rPr>
                        <w:rFonts w:ascii="宋体" w:hAnsi="宋体" w:eastAsia="宋体" w:cs="宋体"/>
                        <w:spacing w:val="17"/>
                        <w:sz w:val="20"/>
                        <w:szCs w:val="20"/>
                      </w:rPr>
                      <w:t xml:space="preserve"> </w:t>
                    </w:r>
                    <w:r>
                      <w:rPr>
                        <w:rFonts w:ascii="宋体" w:hAnsi="宋体" w:eastAsia="宋体" w:cs="宋体"/>
                        <w:spacing w:val="13"/>
                        <w:sz w:val="20"/>
                        <w:szCs w:val="20"/>
                      </w:rPr>
                      <w:t>重点防渗区</w:t>
                    </w:r>
                    <w:r>
                      <w:rPr>
                        <w:rFonts w:ascii="宋体" w:hAnsi="宋体" w:eastAsia="宋体" w:cs="宋体"/>
                        <w:sz w:val="20"/>
                        <w:szCs w:val="20"/>
                      </w:rPr>
                      <w:t xml:space="preserve"> </w:t>
                    </w:r>
                    <w:r>
                      <w:rPr>
                        <w:rFonts w:ascii="宋体" w:hAnsi="宋体" w:eastAsia="宋体" w:cs="宋体"/>
                        <w:position w:val="-1"/>
                        <w:sz w:val="20"/>
                        <w:szCs w:val="20"/>
                      </w:rPr>
                      <w:drawing>
                        <wp:inline distT="0" distB="0" distL="0" distR="0">
                          <wp:extent cx="156845" cy="12065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556"/>
                                  <a:stretch>
                                    <a:fillRect/>
                                  </a:stretch>
                                </pic:blipFill>
                                <pic:spPr>
                                  <a:xfrm>
                                    <a:off x="0" y="0"/>
                                    <a:ext cx="156845" cy="120650"/>
                                  </a:xfrm>
                                  <a:prstGeom prst="rect">
                                    <a:avLst/>
                                  </a:prstGeom>
                                </pic:spPr>
                              </pic:pic>
                            </a:graphicData>
                          </a:graphic>
                        </wp:inline>
                      </w:drawing>
                    </w:r>
                    <w:r>
                      <w:rPr>
                        <w:rFonts w:ascii="宋体" w:hAnsi="宋体" w:eastAsia="宋体" w:cs="宋体"/>
                        <w:spacing w:val="17"/>
                        <w:sz w:val="20"/>
                        <w:szCs w:val="20"/>
                      </w:rPr>
                      <w:t xml:space="preserve"> </w:t>
                    </w:r>
                    <w:r>
                      <w:rPr>
                        <w:rFonts w:ascii="宋体" w:hAnsi="宋体" w:eastAsia="宋体" w:cs="宋体"/>
                        <w:spacing w:val="13"/>
                        <w:sz w:val="20"/>
                        <w:szCs w:val="20"/>
                      </w:rPr>
                      <w:t>一般防渗区</w:t>
                    </w:r>
                  </w:p>
                  <w:p w14:paraId="066C2CDE">
                    <w:pPr>
                      <w:spacing w:line="194" w:lineRule="auto"/>
                      <w:ind w:left="180"/>
                      <w:rPr>
                        <w:sz w:val="20"/>
                        <w:szCs w:val="20"/>
                      </w:rPr>
                    </w:pPr>
                    <w:r>
                      <w:rPr>
                        <w:rFonts w:ascii="Times New Roman" w:hAnsi="Times New Roman" w:eastAsia="Times New Roman" w:cs="Times New Roman"/>
                        <w:position w:val="-12"/>
                        <w:sz w:val="20"/>
                        <w:szCs w:val="20"/>
                      </w:rPr>
                      <w:drawing>
                        <wp:inline distT="0" distB="0" distL="0" distR="0">
                          <wp:extent cx="19685" cy="12954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557"/>
                                  <a:stretch>
                                    <a:fillRect/>
                                  </a:stretch>
                                </pic:blipFill>
                                <pic:spPr>
                                  <a:xfrm>
                                    <a:off x="0" y="0"/>
                                    <a:ext cx="19685" cy="129640"/>
                                  </a:xfrm>
                                  <a:prstGeom prst="rect">
                                    <a:avLst/>
                                  </a:prstGeom>
                                </pic:spPr>
                              </pic:pic>
                            </a:graphicData>
                          </a:graphic>
                        </wp:inline>
                      </w:drawing>
                    </w:r>
                    <w:r>
                      <w:rPr>
                        <w:rFonts w:ascii="Times New Roman" w:hAnsi="Times New Roman" w:eastAsia="Times New Roman" w:cs="Times New Roman"/>
                        <w:spacing w:val="7"/>
                        <w:sz w:val="20"/>
                        <w:szCs w:val="20"/>
                        <w:u w:val="single" w:color="auto"/>
                      </w:rPr>
                      <w:t xml:space="preserve"> </w:t>
                    </w:r>
                    <w:r>
                      <w:rPr>
                        <w:rFonts w:ascii="Times New Roman" w:hAnsi="Times New Roman" w:eastAsia="Times New Roman" w:cs="Times New Roman"/>
                        <w:spacing w:val="6"/>
                        <w:sz w:val="20"/>
                        <w:szCs w:val="20"/>
                        <w:u w:val="single" w:color="auto"/>
                      </w:rPr>
                      <w:t xml:space="preserve">    </w:t>
                    </w:r>
                    <w:r>
                      <w:rPr>
                        <w:rFonts w:ascii="Times New Roman" w:hAnsi="Times New Roman" w:eastAsia="Times New Roman" w:cs="Times New Roman"/>
                        <w:b/>
                        <w:bCs/>
                        <w:spacing w:val="6"/>
                        <w:sz w:val="20"/>
                        <w:szCs w:val="20"/>
                        <w:u w:val="single" w:color="auto"/>
                      </w:rPr>
                      <w:t>10</w:t>
                    </w:r>
                    <w:r>
                      <w:rPr>
                        <w:rFonts w:ascii="Times New Roman" w:hAnsi="Times New Roman" w:eastAsia="Times New Roman" w:cs="Times New Roman"/>
                        <w:b/>
                        <w:bCs/>
                        <w:sz w:val="20"/>
                        <w:szCs w:val="20"/>
                        <w:u w:val="single" w:color="auto"/>
                      </w:rPr>
                      <w:t>m</w:t>
                    </w:r>
                    <w:r>
                      <w:rPr>
                        <w:rFonts w:ascii="Times New Roman" w:hAnsi="Times New Roman" w:eastAsia="Times New Roman" w:cs="Times New Roman"/>
                        <w:spacing w:val="6"/>
                        <w:sz w:val="20"/>
                        <w:szCs w:val="20"/>
                        <w:u w:val="single" w:color="auto"/>
                      </w:rPr>
                      <w:t xml:space="preserve">     </w:t>
                    </w:r>
                    <w:r>
                      <w:rPr>
                        <w:position w:val="-11"/>
                        <w:sz w:val="20"/>
                        <w:szCs w:val="20"/>
                      </w:rPr>
                      <w:drawing>
                        <wp:inline distT="0" distB="0" distL="0" distR="0">
                          <wp:extent cx="19050" cy="12954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558"/>
                                  <a:stretch>
                                    <a:fillRect/>
                                  </a:stretch>
                                </pic:blipFill>
                                <pic:spPr>
                                  <a:xfrm>
                                    <a:off x="0" y="0"/>
                                    <a:ext cx="19684" cy="129640"/>
                                  </a:xfrm>
                                  <a:prstGeom prst="rect">
                                    <a:avLst/>
                                  </a:prstGeom>
                                </pic:spPr>
                              </pic:pic>
                            </a:graphicData>
                          </a:graphic>
                        </wp:inline>
                      </w:drawing>
                    </w:r>
                  </w:p>
                </w:txbxContent>
              </v:textbox>
            </v:shape>
            <v:shape id="_x0000_s1335" o:spid="_x0000_s1335" style="position:absolute;left:553;top:340;height:20;width:840;" filled="f" stroked="t" coordsize="840,20" path="m0,9l839,9e">
              <v:fill on="f" focussize="0,0"/>
              <v:stroke weight="0.96pt" color="#000000" miterlimit="2" joinstyle="bevel"/>
              <v:imagedata o:title=""/>
              <o:lock v:ext="edit"/>
            </v:shape>
          </v:group>
        </w:pict>
      </w:r>
      <w:r>
        <w:pict>
          <v:group id="_x0000_s1336" o:spid="_x0000_s1336" o:spt="203" style="position:absolute;left:0pt;margin-left:408.75pt;margin-top:374.65pt;height:44.3pt;width:60.75pt;mso-position-horizontal-relative:page;mso-position-vertical-relative:page;z-index:252013568;mso-width-relative:page;mso-height-relative:page;" coordsize="1215,885" o:allowincell="f">
            <o:lock v:ext="edit"/>
            <v:shape id="_x0000_s1337" o:spid="_x0000_s1337" o:spt="75" type="#_x0000_t75" style="position:absolute;left:0;top:0;height:885;width:1215;" filled="f" stroked="f" coordsize="21600,21600">
              <v:path/>
              <v:fill on="f" focussize="0,0"/>
              <v:stroke on="f"/>
              <v:imagedata r:id="rId559" o:title=""/>
              <o:lock v:ext="edit" aspectratio="t"/>
            </v:shape>
            <v:shape id="_x0000_s1338" o:spid="_x0000_s1338" o:spt="202" type="#_x0000_t202" style="position:absolute;left:-20;top:-20;height:925;width:1255;" filled="f" stroked="f" coordsize="21600,21600">
              <v:path/>
              <v:fill on="f" focussize="0,0"/>
              <v:stroke on="f"/>
              <v:imagedata o:title=""/>
              <o:lock v:ext="edit" aspectratio="f"/>
              <v:textbox inset="0mm,0mm,0mm,0mm">
                <w:txbxContent>
                  <w:p w14:paraId="6E34D12F">
                    <w:pPr>
                      <w:spacing w:line="249" w:lineRule="auto"/>
                      <w:rPr>
                        <w:rFonts w:ascii="Arial"/>
                        <w:sz w:val="21"/>
                      </w:rPr>
                    </w:pPr>
                  </w:p>
                  <w:p w14:paraId="4B233A9F">
                    <w:pPr>
                      <w:spacing w:line="250" w:lineRule="auto"/>
                      <w:rPr>
                        <w:rFonts w:ascii="Arial"/>
                        <w:sz w:val="21"/>
                      </w:rPr>
                    </w:pPr>
                  </w:p>
                  <w:p w14:paraId="68F0FAF0">
                    <w:pPr>
                      <w:spacing w:before="65" w:line="289" w:lineRule="exact"/>
                      <w:ind w:left="263"/>
                      <w:rPr>
                        <w:rFonts w:ascii="宋体" w:hAnsi="宋体" w:eastAsia="宋体" w:cs="宋体"/>
                        <w:sz w:val="20"/>
                        <w:szCs w:val="20"/>
                      </w:rPr>
                    </w:pPr>
                    <w:r>
                      <w:rPr>
                        <w:rFonts w:ascii="Times New Roman" w:hAnsi="Times New Roman" w:eastAsia="Times New Roman" w:cs="Times New Roman"/>
                        <w:b/>
                        <w:bCs/>
                        <w:spacing w:val="7"/>
                        <w:position w:val="1"/>
                        <w:sz w:val="20"/>
                        <w:szCs w:val="20"/>
                      </w:rPr>
                      <w:t>2#</w:t>
                    </w:r>
                    <w:r>
                      <w:rPr>
                        <w:rFonts w:ascii="宋体" w:hAnsi="宋体" w:eastAsia="宋体" w:cs="宋体"/>
                        <w:spacing w:val="7"/>
                        <w:position w:val="1"/>
                        <w:sz w:val="20"/>
                        <w:szCs w:val="20"/>
                        <w14:textOutline w14:w="3795" w14:cap="sq" w14:cmpd="sng">
                          <w14:solidFill>
                            <w14:srgbClr w14:val="000000"/>
                          </w14:solidFill>
                          <w14:prstDash w14:val="solid"/>
                          <w14:bevel/>
                        </w14:textOutline>
                      </w:rPr>
                      <w:t>排气筒</w:t>
                    </w:r>
                  </w:p>
                </w:txbxContent>
              </v:textbox>
            </v:shape>
          </v:group>
        </w:pict>
      </w:r>
      <w:r>
        <w:pict>
          <v:group id="_x0000_s1339" o:spid="_x0000_s1339" o:spt="203" style="position:absolute;left:0pt;margin-left:452.95pt;margin-top:378.35pt;height:39.1pt;width:81.85pt;mso-position-horizontal-relative:page;mso-position-vertical-relative:page;z-index:252041216;mso-width-relative:page;mso-height-relative:page;" coordsize="1636,781" o:allowincell="f">
            <o:lock v:ext="edit"/>
            <v:shape id="_x0000_s1340" o:spid="_x0000_s1340" o:spt="75" type="#_x0000_t75" style="position:absolute;left:0;top:0;height:781;width:1636;" filled="f" stroked="f" coordsize="21600,21600">
              <v:path/>
              <v:fill on="f" focussize="0,0"/>
              <v:stroke on="f"/>
              <v:imagedata r:id="rId560" o:title=""/>
              <o:lock v:ext="edit" aspectratio="t"/>
            </v:shape>
            <v:shape id="_x0000_s1341" o:spid="_x0000_s1341" o:spt="202" type="#_x0000_t202" style="position:absolute;left:-20;top:-20;height:821;width:1676;" filled="f" stroked="f" coordsize="21600,21600">
              <v:path/>
              <v:fill on="f" focussize="0,0"/>
              <v:stroke on="f"/>
              <v:imagedata o:title=""/>
              <o:lock v:ext="edit" aspectratio="f"/>
              <v:textbox inset="0mm,0mm,0mm,0mm">
                <w:txbxContent>
                  <w:p w14:paraId="293D7785">
                    <w:pPr>
                      <w:spacing w:line="398" w:lineRule="auto"/>
                      <w:rPr>
                        <w:rFonts w:ascii="Arial"/>
                        <w:sz w:val="21"/>
                      </w:rPr>
                    </w:pPr>
                  </w:p>
                  <w:p w14:paraId="203840EB">
                    <w:pPr>
                      <w:spacing w:before="65" w:line="288" w:lineRule="exact"/>
                      <w:ind w:left="683"/>
                      <w:rPr>
                        <w:rFonts w:ascii="宋体" w:hAnsi="宋体" w:eastAsia="宋体" w:cs="宋体"/>
                        <w:sz w:val="20"/>
                        <w:szCs w:val="20"/>
                      </w:rPr>
                    </w:pPr>
                    <w:r>
                      <w:rPr>
                        <w:rFonts w:ascii="Times New Roman" w:hAnsi="Times New Roman" w:eastAsia="Times New Roman" w:cs="Times New Roman"/>
                        <w:b/>
                        <w:bCs/>
                        <w:spacing w:val="8"/>
                        <w:position w:val="1"/>
                        <w:sz w:val="20"/>
                        <w:szCs w:val="20"/>
                      </w:rPr>
                      <w:t>3</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95" w14:cap="sq" w14:cmpd="sng">
                          <w14:solidFill>
                            <w14:srgbClr w14:val="000000"/>
                          </w14:solidFill>
                          <w14:prstDash w14:val="solid"/>
                          <w14:bevel/>
                        </w14:textOutline>
                      </w:rPr>
                      <w:t>排气筒</w:t>
                    </w:r>
                  </w:p>
                </w:txbxContent>
              </v:textbox>
            </v:shape>
          </v:group>
        </w:pict>
      </w:r>
      <w:r>
        <w:drawing>
          <wp:anchor distT="0" distB="0" distL="0" distR="0" simplePos="0" relativeHeight="251972608" behindDoc="0" locked="0" layoutInCell="0" allowOverlap="1">
            <wp:simplePos x="0" y="0"/>
            <wp:positionH relativeFrom="page">
              <wp:posOffset>2317115</wp:posOffset>
            </wp:positionH>
            <wp:positionV relativeFrom="page">
              <wp:posOffset>4485640</wp:posOffset>
            </wp:positionV>
            <wp:extent cx="768350" cy="798830"/>
            <wp:effectExtent l="0" t="0" r="0" b="0"/>
            <wp:wrapNone/>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561"/>
                    <a:stretch>
                      <a:fillRect/>
                    </a:stretch>
                  </pic:blipFill>
                  <pic:spPr>
                    <a:xfrm>
                      <a:off x="0" y="0"/>
                      <a:ext cx="768350" cy="798829"/>
                    </a:xfrm>
                    <a:prstGeom prst="rect">
                      <a:avLst/>
                    </a:prstGeom>
                  </pic:spPr>
                </pic:pic>
              </a:graphicData>
            </a:graphic>
          </wp:anchor>
        </w:drawing>
      </w:r>
      <w:r>
        <w:drawing>
          <wp:anchor distT="0" distB="0" distL="0" distR="0" simplePos="0" relativeHeight="252042240" behindDoc="0" locked="0" layoutInCell="0" allowOverlap="1">
            <wp:simplePos x="0" y="0"/>
            <wp:positionH relativeFrom="page">
              <wp:posOffset>8881745</wp:posOffset>
            </wp:positionH>
            <wp:positionV relativeFrom="page">
              <wp:posOffset>3957955</wp:posOffset>
            </wp:positionV>
            <wp:extent cx="215900" cy="39751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562"/>
                    <a:stretch>
                      <a:fillRect/>
                    </a:stretch>
                  </pic:blipFill>
                  <pic:spPr>
                    <a:xfrm>
                      <a:off x="0" y="0"/>
                      <a:ext cx="215951" cy="397509"/>
                    </a:xfrm>
                    <a:prstGeom prst="rect">
                      <a:avLst/>
                    </a:prstGeom>
                  </pic:spPr>
                </pic:pic>
              </a:graphicData>
            </a:graphic>
          </wp:anchor>
        </w:drawing>
      </w:r>
      <w:r>
        <w:pict>
          <v:group id="_x0000_s1342" o:spid="_x0000_s1342" o:spt="203" style="position:absolute;left:0pt;margin-left:197.5pt;margin-top:165.95pt;height:213.25pt;width:63.5pt;mso-position-horizontal-relative:page;mso-position-vertical-relative:page;z-index:251977728;mso-width-relative:page;mso-height-relative:page;" coordsize="1270,4265" o:allowincell="f">
            <o:lock v:ext="edit"/>
            <v:shape id="_x0000_s1343" o:spid="_x0000_s1343" style="position:absolute;left:645;top:2791;height:1473;width:624;" fillcolor="#E723D2" filled="t" stroked="f" coordsize="624,1473" path="m0,0l623,0,623,1473,0,1473,0,0xe">
              <v:path/>
              <v:fill on="t" opacity="19532f" focussize="0,0"/>
              <v:stroke on="f"/>
              <v:imagedata o:title=""/>
              <o:lock v:ext="edit"/>
            </v:shape>
            <v:shape id="_x0000_s1344" o:spid="_x0000_s1344" style="position:absolute;left:0;top:0;height:2992;width:624;" fillcolor="#00B050" filled="t" stroked="f" coordsize="624,2992" path="m0,0l623,0,623,2992,0,2992,0,0xe">
              <v:path/>
              <v:fill on="t" opacity="19532f" focussize="0,0"/>
              <v:stroke on="f"/>
              <v:imagedata o:title=""/>
              <o:lock v:ext="edit"/>
            </v:shape>
            <v:shape id="_x0000_s1345" o:spid="_x0000_s1345" style="position:absolute;left:345;top:2400;height:292;width:334;" fillcolor="#E723D2" filled="t" stroked="f" coordsize="334,292" path="m0,0l333,0,333,292,0,292,0,0xe">
              <v:path/>
              <v:fill on="t" opacity="19532f" focussize="0,0"/>
              <v:stroke on="f"/>
              <v:imagedata o:title=""/>
              <o:lock v:ext="edit"/>
            </v:shape>
          </v:group>
        </w:pict>
      </w:r>
      <w:r>
        <w:drawing>
          <wp:anchor distT="0" distB="0" distL="0" distR="0" simplePos="0" relativeHeight="252040192" behindDoc="0" locked="0" layoutInCell="0" allowOverlap="1">
            <wp:simplePos x="0" y="0"/>
            <wp:positionH relativeFrom="page">
              <wp:posOffset>3400425</wp:posOffset>
            </wp:positionH>
            <wp:positionV relativeFrom="page">
              <wp:posOffset>3797300</wp:posOffset>
            </wp:positionV>
            <wp:extent cx="241300" cy="19050"/>
            <wp:effectExtent l="0" t="0" r="0" b="0"/>
            <wp:wrapNone/>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4467225</wp:posOffset>
            </wp:positionH>
            <wp:positionV relativeFrom="page">
              <wp:posOffset>3797300</wp:posOffset>
            </wp:positionV>
            <wp:extent cx="241300" cy="1905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39168" behindDoc="0" locked="0" layoutInCell="0" allowOverlap="1">
            <wp:simplePos x="0" y="0"/>
            <wp:positionH relativeFrom="page">
              <wp:posOffset>5000625</wp:posOffset>
            </wp:positionH>
            <wp:positionV relativeFrom="page">
              <wp:posOffset>3797300</wp:posOffset>
            </wp:positionV>
            <wp:extent cx="241300" cy="19050"/>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37120" behindDoc="0" locked="0" layoutInCell="0" allowOverlap="1">
            <wp:simplePos x="0" y="0"/>
            <wp:positionH relativeFrom="page">
              <wp:posOffset>5267325</wp:posOffset>
            </wp:positionH>
            <wp:positionV relativeFrom="page">
              <wp:posOffset>3797300</wp:posOffset>
            </wp:positionV>
            <wp:extent cx="241300" cy="1905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36096" behindDoc="0" locked="0" layoutInCell="0" allowOverlap="1">
            <wp:simplePos x="0" y="0"/>
            <wp:positionH relativeFrom="page">
              <wp:posOffset>5534025</wp:posOffset>
            </wp:positionH>
            <wp:positionV relativeFrom="page">
              <wp:posOffset>3797300</wp:posOffset>
            </wp:positionV>
            <wp:extent cx="241300" cy="19050"/>
            <wp:effectExtent l="0" t="0" r="0" b="0"/>
            <wp:wrapNone/>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28928" behindDoc="0" locked="0" layoutInCell="0" allowOverlap="1">
            <wp:simplePos x="0" y="0"/>
            <wp:positionH relativeFrom="page">
              <wp:posOffset>5845175</wp:posOffset>
            </wp:positionH>
            <wp:positionV relativeFrom="page">
              <wp:posOffset>3886200</wp:posOffset>
            </wp:positionV>
            <wp:extent cx="19050" cy="24130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564"/>
                    <a:stretch>
                      <a:fillRect/>
                    </a:stretch>
                  </pic:blipFill>
                  <pic:spPr>
                    <a:xfrm>
                      <a:off x="0" y="0"/>
                      <a:ext cx="19050" cy="241300"/>
                    </a:xfrm>
                    <a:prstGeom prst="rect">
                      <a:avLst/>
                    </a:prstGeom>
                  </pic:spPr>
                </pic:pic>
              </a:graphicData>
            </a:graphic>
          </wp:anchor>
        </w:drawing>
      </w:r>
      <w:r>
        <w:drawing>
          <wp:anchor distT="0" distB="0" distL="0" distR="0" simplePos="0" relativeHeight="252027904" behindDoc="0" locked="0" layoutInCell="0" allowOverlap="1">
            <wp:simplePos x="0" y="0"/>
            <wp:positionH relativeFrom="page">
              <wp:posOffset>5845175</wp:posOffset>
            </wp:positionH>
            <wp:positionV relativeFrom="page">
              <wp:posOffset>4152900</wp:posOffset>
            </wp:positionV>
            <wp:extent cx="19050" cy="241300"/>
            <wp:effectExtent l="0" t="0" r="0" b="0"/>
            <wp:wrapNone/>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564"/>
                    <a:stretch>
                      <a:fillRect/>
                    </a:stretch>
                  </pic:blipFill>
                  <pic:spPr>
                    <a:xfrm>
                      <a:off x="0" y="0"/>
                      <a:ext cx="19050" cy="241300"/>
                    </a:xfrm>
                    <a:prstGeom prst="rect">
                      <a:avLst/>
                    </a:prstGeom>
                  </pic:spPr>
                </pic:pic>
              </a:graphicData>
            </a:graphic>
          </wp:anchor>
        </w:drawing>
      </w:r>
      <w:r>
        <w:drawing>
          <wp:anchor distT="0" distB="0" distL="0" distR="0" simplePos="0" relativeHeight="252034048" behindDoc="0" locked="0" layoutInCell="0" allowOverlap="1">
            <wp:simplePos x="0" y="0"/>
            <wp:positionH relativeFrom="page">
              <wp:posOffset>3394075</wp:posOffset>
            </wp:positionH>
            <wp:positionV relativeFrom="page">
              <wp:posOffset>4763770</wp:posOffset>
            </wp:positionV>
            <wp:extent cx="241300" cy="190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22784" behindDoc="0" locked="0" layoutInCell="0" allowOverlap="1">
            <wp:simplePos x="0" y="0"/>
            <wp:positionH relativeFrom="page">
              <wp:posOffset>3660775</wp:posOffset>
            </wp:positionH>
            <wp:positionV relativeFrom="page">
              <wp:posOffset>4763770</wp:posOffset>
            </wp:positionV>
            <wp:extent cx="241300" cy="19050"/>
            <wp:effectExtent l="0" t="0" r="0" b="0"/>
            <wp:wrapNone/>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23808" behindDoc="0" locked="0" layoutInCell="0" allowOverlap="1">
            <wp:simplePos x="0" y="0"/>
            <wp:positionH relativeFrom="page">
              <wp:posOffset>4733925</wp:posOffset>
            </wp:positionH>
            <wp:positionV relativeFrom="page">
              <wp:posOffset>3797300</wp:posOffset>
            </wp:positionV>
            <wp:extent cx="241300" cy="1905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26880" behindDoc="0" locked="0" layoutInCell="0" allowOverlap="1">
            <wp:simplePos x="0" y="0"/>
            <wp:positionH relativeFrom="page">
              <wp:posOffset>4200525</wp:posOffset>
            </wp:positionH>
            <wp:positionV relativeFrom="page">
              <wp:posOffset>3797300</wp:posOffset>
            </wp:positionV>
            <wp:extent cx="241300" cy="19050"/>
            <wp:effectExtent l="0" t="0" r="0" b="0"/>
            <wp:wrapNone/>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25856" behindDoc="0" locked="0" layoutInCell="0" allowOverlap="1">
            <wp:simplePos x="0" y="0"/>
            <wp:positionH relativeFrom="page">
              <wp:posOffset>5845175</wp:posOffset>
            </wp:positionH>
            <wp:positionV relativeFrom="page">
              <wp:posOffset>4419600</wp:posOffset>
            </wp:positionV>
            <wp:extent cx="19050" cy="2413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564"/>
                    <a:stretch>
                      <a:fillRect/>
                    </a:stretch>
                  </pic:blipFill>
                  <pic:spPr>
                    <a:xfrm>
                      <a:off x="0" y="0"/>
                      <a:ext cx="19050" cy="241300"/>
                    </a:xfrm>
                    <a:prstGeom prst="rect">
                      <a:avLst/>
                    </a:prstGeom>
                  </pic:spPr>
                </pic:pic>
              </a:graphicData>
            </a:graphic>
          </wp:anchor>
        </w:drawing>
      </w:r>
      <w:r>
        <w:drawing>
          <wp:anchor distT="0" distB="0" distL="0" distR="0" simplePos="0" relativeHeight="252030976" behindDoc="0" locked="0" layoutInCell="0" allowOverlap="1">
            <wp:simplePos x="0" y="0"/>
            <wp:positionH relativeFrom="page">
              <wp:posOffset>3933825</wp:posOffset>
            </wp:positionH>
            <wp:positionV relativeFrom="page">
              <wp:posOffset>3797300</wp:posOffset>
            </wp:positionV>
            <wp:extent cx="241300" cy="19050"/>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33024" behindDoc="0" locked="0" layoutInCell="0" allowOverlap="1">
            <wp:simplePos x="0" y="0"/>
            <wp:positionH relativeFrom="page">
              <wp:posOffset>3667125</wp:posOffset>
            </wp:positionH>
            <wp:positionV relativeFrom="page">
              <wp:posOffset>3797300</wp:posOffset>
            </wp:positionV>
            <wp:extent cx="241300" cy="1905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563"/>
                    <a:stretch>
                      <a:fillRect/>
                    </a:stretch>
                  </pic:blipFill>
                  <pic:spPr>
                    <a:xfrm>
                      <a:off x="0" y="0"/>
                      <a:ext cx="241300" cy="19050"/>
                    </a:xfrm>
                    <a:prstGeom prst="rect">
                      <a:avLst/>
                    </a:prstGeom>
                  </pic:spPr>
                </pic:pic>
              </a:graphicData>
            </a:graphic>
          </wp:anchor>
        </w:drawing>
      </w:r>
      <w:r>
        <w:drawing>
          <wp:anchor distT="0" distB="0" distL="0" distR="0" simplePos="0" relativeHeight="252024832" behindDoc="0" locked="0" layoutInCell="0" allowOverlap="1">
            <wp:simplePos x="0" y="0"/>
            <wp:positionH relativeFrom="page">
              <wp:posOffset>5527675</wp:posOffset>
            </wp:positionH>
            <wp:positionV relativeFrom="page">
              <wp:posOffset>4763770</wp:posOffset>
            </wp:positionV>
            <wp:extent cx="241300" cy="19050"/>
            <wp:effectExtent l="0" t="0" r="0" b="0"/>
            <wp:wrapNone/>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35072" behindDoc="0" locked="0" layoutInCell="0" allowOverlap="1">
            <wp:simplePos x="0" y="0"/>
            <wp:positionH relativeFrom="page">
              <wp:posOffset>5794375</wp:posOffset>
            </wp:positionH>
            <wp:positionV relativeFrom="page">
              <wp:posOffset>4686300</wp:posOffset>
            </wp:positionV>
            <wp:extent cx="69215" cy="9588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566"/>
                    <a:stretch>
                      <a:fillRect/>
                    </a:stretch>
                  </pic:blipFill>
                  <pic:spPr>
                    <a:xfrm>
                      <a:off x="0" y="0"/>
                      <a:ext cx="69215" cy="95885"/>
                    </a:xfrm>
                    <a:prstGeom prst="rect">
                      <a:avLst/>
                    </a:prstGeom>
                  </pic:spPr>
                </pic:pic>
              </a:graphicData>
            </a:graphic>
          </wp:anchor>
        </w:drawing>
      </w:r>
      <w:r>
        <w:drawing>
          <wp:anchor distT="0" distB="0" distL="0" distR="0" simplePos="0" relativeHeight="252032000" behindDoc="0" locked="0" layoutInCell="0" allowOverlap="1">
            <wp:simplePos x="0" y="0"/>
            <wp:positionH relativeFrom="page">
              <wp:posOffset>3927475</wp:posOffset>
            </wp:positionH>
            <wp:positionV relativeFrom="page">
              <wp:posOffset>4763770</wp:posOffset>
            </wp:positionV>
            <wp:extent cx="241300" cy="19050"/>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29952" behindDoc="0" locked="0" layoutInCell="0" allowOverlap="1">
            <wp:simplePos x="0" y="0"/>
            <wp:positionH relativeFrom="page">
              <wp:posOffset>5260975</wp:posOffset>
            </wp:positionH>
            <wp:positionV relativeFrom="page">
              <wp:posOffset>4763770</wp:posOffset>
            </wp:positionV>
            <wp:extent cx="241300" cy="190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17664" behindDoc="0" locked="0" layoutInCell="0" allowOverlap="1">
            <wp:simplePos x="0" y="0"/>
            <wp:positionH relativeFrom="page">
              <wp:posOffset>4194175</wp:posOffset>
            </wp:positionH>
            <wp:positionV relativeFrom="page">
              <wp:posOffset>4763770</wp:posOffset>
            </wp:positionV>
            <wp:extent cx="241300" cy="19050"/>
            <wp:effectExtent l="0" t="0" r="0" b="0"/>
            <wp:wrapNone/>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21760" behindDoc="0" locked="0" layoutInCell="0" allowOverlap="1">
            <wp:simplePos x="0" y="0"/>
            <wp:positionH relativeFrom="page">
              <wp:posOffset>4994275</wp:posOffset>
            </wp:positionH>
            <wp:positionV relativeFrom="page">
              <wp:posOffset>4763770</wp:posOffset>
            </wp:positionV>
            <wp:extent cx="241300" cy="1905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18688" behindDoc="0" locked="0" layoutInCell="0" allowOverlap="1">
            <wp:simplePos x="0" y="0"/>
            <wp:positionH relativeFrom="page">
              <wp:posOffset>4727575</wp:posOffset>
            </wp:positionH>
            <wp:positionV relativeFrom="page">
              <wp:posOffset>4763770</wp:posOffset>
            </wp:positionV>
            <wp:extent cx="241300" cy="19050"/>
            <wp:effectExtent l="0" t="0" r="0" b="0"/>
            <wp:wrapNone/>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19712" behindDoc="0" locked="0" layoutInCell="0" allowOverlap="1">
            <wp:simplePos x="0" y="0"/>
            <wp:positionH relativeFrom="page">
              <wp:posOffset>4460875</wp:posOffset>
            </wp:positionH>
            <wp:positionV relativeFrom="page">
              <wp:posOffset>4763770</wp:posOffset>
            </wp:positionV>
            <wp:extent cx="241300" cy="190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565"/>
                    <a:stretch>
                      <a:fillRect/>
                    </a:stretch>
                  </pic:blipFill>
                  <pic:spPr>
                    <a:xfrm>
                      <a:off x="0" y="0"/>
                      <a:ext cx="241300" cy="19050"/>
                    </a:xfrm>
                    <a:prstGeom prst="rect">
                      <a:avLst/>
                    </a:prstGeom>
                  </pic:spPr>
                </pic:pic>
              </a:graphicData>
            </a:graphic>
          </wp:anchor>
        </w:drawing>
      </w:r>
      <w:r>
        <w:drawing>
          <wp:anchor distT="0" distB="0" distL="0" distR="0" simplePos="0" relativeHeight="252020736" behindDoc="0" locked="0" layoutInCell="0" allowOverlap="1">
            <wp:simplePos x="0" y="0"/>
            <wp:positionH relativeFrom="page">
              <wp:posOffset>3257550</wp:posOffset>
            </wp:positionH>
            <wp:positionV relativeFrom="page">
              <wp:posOffset>3797300</wp:posOffset>
            </wp:positionV>
            <wp:extent cx="117475" cy="1024255"/>
            <wp:effectExtent l="0" t="0" r="0" b="0"/>
            <wp:wrapNone/>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567"/>
                    <a:stretch>
                      <a:fillRect/>
                    </a:stretch>
                  </pic:blipFill>
                  <pic:spPr>
                    <a:xfrm>
                      <a:off x="0" y="0"/>
                      <a:ext cx="117475" cy="1024255"/>
                    </a:xfrm>
                    <a:prstGeom prst="rect">
                      <a:avLst/>
                    </a:prstGeom>
                  </pic:spPr>
                </pic:pic>
              </a:graphicData>
            </a:graphic>
          </wp:anchor>
        </w:drawing>
      </w:r>
      <w:r>
        <w:drawing>
          <wp:anchor distT="0" distB="0" distL="0" distR="0" simplePos="0" relativeHeight="252002304" behindDoc="0" locked="0" layoutInCell="0" allowOverlap="1">
            <wp:simplePos x="0" y="0"/>
            <wp:positionH relativeFrom="page">
              <wp:posOffset>2912110</wp:posOffset>
            </wp:positionH>
            <wp:positionV relativeFrom="page">
              <wp:posOffset>4543425</wp:posOffset>
            </wp:positionV>
            <wp:extent cx="64770" cy="27813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568"/>
                    <a:stretch>
                      <a:fillRect/>
                    </a:stretch>
                  </pic:blipFill>
                  <pic:spPr>
                    <a:xfrm>
                      <a:off x="0" y="0"/>
                      <a:ext cx="64769" cy="278130"/>
                    </a:xfrm>
                    <a:prstGeom prst="rect">
                      <a:avLst/>
                    </a:prstGeom>
                  </pic:spPr>
                </pic:pic>
              </a:graphicData>
            </a:graphic>
          </wp:anchor>
        </w:drawing>
      </w:r>
      <w:r>
        <w:drawing>
          <wp:anchor distT="0" distB="0" distL="0" distR="0" simplePos="0" relativeHeight="252001280" behindDoc="0" locked="0" layoutInCell="0" allowOverlap="1">
            <wp:simplePos x="0" y="0"/>
            <wp:positionH relativeFrom="page">
              <wp:posOffset>2990850</wp:posOffset>
            </wp:positionH>
            <wp:positionV relativeFrom="page">
              <wp:posOffset>3873500</wp:posOffset>
            </wp:positionV>
            <wp:extent cx="241300" cy="19050"/>
            <wp:effectExtent l="0" t="0" r="0" b="0"/>
            <wp:wrapNone/>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569"/>
                    <a:stretch>
                      <a:fillRect/>
                    </a:stretch>
                  </pic:blipFill>
                  <pic:spPr>
                    <a:xfrm>
                      <a:off x="0" y="0"/>
                      <a:ext cx="241300" cy="19050"/>
                    </a:xfrm>
                    <a:prstGeom prst="rect">
                      <a:avLst/>
                    </a:prstGeom>
                  </pic:spPr>
                </pic:pic>
              </a:graphicData>
            </a:graphic>
          </wp:anchor>
        </w:drawing>
      </w:r>
      <w:r>
        <w:drawing>
          <wp:anchor distT="0" distB="0" distL="0" distR="0" simplePos="0" relativeHeight="252005376" behindDoc="0" locked="0" layoutInCell="0" allowOverlap="1">
            <wp:simplePos x="0" y="0"/>
            <wp:positionH relativeFrom="page">
              <wp:posOffset>2912110</wp:posOffset>
            </wp:positionH>
            <wp:positionV relativeFrom="page">
              <wp:posOffset>4276725</wp:posOffset>
            </wp:positionV>
            <wp:extent cx="19050" cy="24130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570"/>
                    <a:stretch>
                      <a:fillRect/>
                    </a:stretch>
                  </pic:blipFill>
                  <pic:spPr>
                    <a:xfrm>
                      <a:off x="0" y="0"/>
                      <a:ext cx="19050" cy="241300"/>
                    </a:xfrm>
                    <a:prstGeom prst="rect">
                      <a:avLst/>
                    </a:prstGeom>
                  </pic:spPr>
                </pic:pic>
              </a:graphicData>
            </a:graphic>
          </wp:anchor>
        </w:drawing>
      </w:r>
      <w:r>
        <w:drawing>
          <wp:anchor distT="0" distB="0" distL="0" distR="0" simplePos="0" relativeHeight="252003328" behindDoc="0" locked="0" layoutInCell="0" allowOverlap="1">
            <wp:simplePos x="0" y="0"/>
            <wp:positionH relativeFrom="page">
              <wp:posOffset>3001645</wp:posOffset>
            </wp:positionH>
            <wp:positionV relativeFrom="page">
              <wp:posOffset>4803140</wp:posOffset>
            </wp:positionV>
            <wp:extent cx="241300" cy="19050"/>
            <wp:effectExtent l="0" t="0" r="0" b="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571"/>
                    <a:stretch>
                      <a:fillRect/>
                    </a:stretch>
                  </pic:blipFill>
                  <pic:spPr>
                    <a:xfrm>
                      <a:off x="0" y="0"/>
                      <a:ext cx="241300" cy="19050"/>
                    </a:xfrm>
                    <a:prstGeom prst="rect">
                      <a:avLst/>
                    </a:prstGeom>
                  </pic:spPr>
                </pic:pic>
              </a:graphicData>
            </a:graphic>
          </wp:anchor>
        </w:drawing>
      </w:r>
      <w:r>
        <w:drawing>
          <wp:anchor distT="0" distB="0" distL="0" distR="0" simplePos="0" relativeHeight="252000256" behindDoc="0" locked="0" layoutInCell="0" allowOverlap="1">
            <wp:simplePos x="0" y="0"/>
            <wp:positionH relativeFrom="page">
              <wp:posOffset>2783205</wp:posOffset>
            </wp:positionH>
            <wp:positionV relativeFrom="page">
              <wp:posOffset>3533140</wp:posOffset>
            </wp:positionV>
            <wp:extent cx="181610" cy="62992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572"/>
                    <a:stretch>
                      <a:fillRect/>
                    </a:stretch>
                  </pic:blipFill>
                  <pic:spPr>
                    <a:xfrm>
                      <a:off x="0" y="0"/>
                      <a:ext cx="181610" cy="629919"/>
                    </a:xfrm>
                    <a:prstGeom prst="rect">
                      <a:avLst/>
                    </a:prstGeom>
                  </pic:spPr>
                </pic:pic>
              </a:graphicData>
            </a:graphic>
          </wp:anchor>
        </w:drawing>
      </w:r>
      <w:r>
        <w:drawing>
          <wp:anchor distT="0" distB="0" distL="0" distR="0" simplePos="0" relativeHeight="252008448" behindDoc="0" locked="0" layoutInCell="0" allowOverlap="1">
            <wp:simplePos x="0" y="0"/>
            <wp:positionH relativeFrom="page">
              <wp:posOffset>2892425</wp:posOffset>
            </wp:positionH>
            <wp:positionV relativeFrom="page">
              <wp:posOffset>3355340</wp:posOffset>
            </wp:positionV>
            <wp:extent cx="19050" cy="152400"/>
            <wp:effectExtent l="0" t="0" r="0" b="0"/>
            <wp:wrapNone/>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573"/>
                    <a:stretch>
                      <a:fillRect/>
                    </a:stretch>
                  </pic:blipFill>
                  <pic:spPr>
                    <a:xfrm>
                      <a:off x="0" y="0"/>
                      <a:ext cx="19050" cy="152400"/>
                    </a:xfrm>
                    <a:prstGeom prst="rect">
                      <a:avLst/>
                    </a:prstGeom>
                  </pic:spPr>
                </pic:pic>
              </a:graphicData>
            </a:graphic>
          </wp:anchor>
        </w:drawing>
      </w:r>
      <w:r>
        <w:drawing>
          <wp:anchor distT="0" distB="0" distL="0" distR="0" simplePos="0" relativeHeight="252004352" behindDoc="0" locked="0" layoutInCell="0" allowOverlap="1">
            <wp:simplePos x="0" y="0"/>
            <wp:positionH relativeFrom="page">
              <wp:posOffset>2605405</wp:posOffset>
            </wp:positionH>
            <wp:positionV relativeFrom="page">
              <wp:posOffset>3995420</wp:posOffset>
            </wp:positionV>
            <wp:extent cx="152400" cy="1905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574"/>
                    <a:stretch>
                      <a:fillRect/>
                    </a:stretch>
                  </pic:blipFill>
                  <pic:spPr>
                    <a:xfrm>
                      <a:off x="0" y="0"/>
                      <a:ext cx="152400" cy="19050"/>
                    </a:xfrm>
                    <a:prstGeom prst="rect">
                      <a:avLst/>
                    </a:prstGeom>
                  </pic:spPr>
                </pic:pic>
              </a:graphicData>
            </a:graphic>
          </wp:anchor>
        </w:drawing>
      </w:r>
      <w:r>
        <w:drawing>
          <wp:anchor distT="0" distB="0" distL="0" distR="0" simplePos="0" relativeHeight="252007424" behindDoc="0" locked="0" layoutInCell="0" allowOverlap="1">
            <wp:simplePos x="0" y="0"/>
            <wp:positionH relativeFrom="page">
              <wp:posOffset>2502535</wp:posOffset>
            </wp:positionH>
            <wp:positionV relativeFrom="page">
              <wp:posOffset>2101850</wp:posOffset>
            </wp:positionV>
            <wp:extent cx="142240" cy="289560"/>
            <wp:effectExtent l="0" t="0" r="0" b="0"/>
            <wp:wrapNone/>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575"/>
                    <a:stretch>
                      <a:fillRect/>
                    </a:stretch>
                  </pic:blipFill>
                  <pic:spPr>
                    <a:xfrm>
                      <a:off x="0" y="0"/>
                      <a:ext cx="142239" cy="289559"/>
                    </a:xfrm>
                    <a:prstGeom prst="rect">
                      <a:avLst/>
                    </a:prstGeom>
                  </pic:spPr>
                </pic:pic>
              </a:graphicData>
            </a:graphic>
          </wp:anchor>
        </w:drawing>
      </w:r>
      <w:r>
        <w:drawing>
          <wp:anchor distT="0" distB="0" distL="0" distR="0" simplePos="0" relativeHeight="252006400" behindDoc="0" locked="0" layoutInCell="0" allowOverlap="1">
            <wp:simplePos x="0" y="0"/>
            <wp:positionH relativeFrom="page">
              <wp:posOffset>2502535</wp:posOffset>
            </wp:positionH>
            <wp:positionV relativeFrom="page">
              <wp:posOffset>2416175</wp:posOffset>
            </wp:positionV>
            <wp:extent cx="19050" cy="24130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576"/>
                    <a:stretch>
                      <a:fillRect/>
                    </a:stretch>
                  </pic:blipFill>
                  <pic:spPr>
                    <a:xfrm>
                      <a:off x="0" y="0"/>
                      <a:ext cx="19050" cy="241300"/>
                    </a:xfrm>
                    <a:prstGeom prst="rect">
                      <a:avLst/>
                    </a:prstGeom>
                  </pic:spPr>
                </pic:pic>
              </a:graphicData>
            </a:graphic>
          </wp:anchor>
        </w:drawing>
      </w:r>
      <w:r>
        <w:drawing>
          <wp:anchor distT="0" distB="0" distL="0" distR="0" simplePos="0" relativeHeight="251988992" behindDoc="0" locked="0" layoutInCell="0" allowOverlap="1">
            <wp:simplePos x="0" y="0"/>
            <wp:positionH relativeFrom="page">
              <wp:posOffset>2892425</wp:posOffset>
            </wp:positionH>
            <wp:positionV relativeFrom="page">
              <wp:posOffset>2821940</wp:posOffset>
            </wp:positionV>
            <wp:extent cx="19050" cy="241300"/>
            <wp:effectExtent l="0" t="0" r="0" b="0"/>
            <wp:wrapNone/>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577"/>
                    <a:stretch>
                      <a:fillRect/>
                    </a:stretch>
                  </pic:blipFill>
                  <pic:spPr>
                    <a:xfrm>
                      <a:off x="0" y="0"/>
                      <a:ext cx="19050" cy="241300"/>
                    </a:xfrm>
                    <a:prstGeom prst="rect">
                      <a:avLst/>
                    </a:prstGeom>
                  </pic:spPr>
                </pic:pic>
              </a:graphicData>
            </a:graphic>
          </wp:anchor>
        </w:drawing>
      </w:r>
      <w:r>
        <w:drawing>
          <wp:anchor distT="0" distB="0" distL="0" distR="0" simplePos="0" relativeHeight="251998208" behindDoc="0" locked="0" layoutInCell="0" allowOverlap="1">
            <wp:simplePos x="0" y="0"/>
            <wp:positionH relativeFrom="page">
              <wp:posOffset>2892425</wp:posOffset>
            </wp:positionH>
            <wp:positionV relativeFrom="page">
              <wp:posOffset>2288540</wp:posOffset>
            </wp:positionV>
            <wp:extent cx="19050" cy="24130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577"/>
                    <a:stretch>
                      <a:fillRect/>
                    </a:stretch>
                  </pic:blipFill>
                  <pic:spPr>
                    <a:xfrm>
                      <a:off x="0" y="0"/>
                      <a:ext cx="19050" cy="241300"/>
                    </a:xfrm>
                    <a:prstGeom prst="rect">
                      <a:avLst/>
                    </a:prstGeom>
                  </pic:spPr>
                </pic:pic>
              </a:graphicData>
            </a:graphic>
          </wp:anchor>
        </w:drawing>
      </w:r>
      <w:r>
        <w:drawing>
          <wp:anchor distT="0" distB="0" distL="0" distR="0" simplePos="0" relativeHeight="251992064" behindDoc="0" locked="0" layoutInCell="0" allowOverlap="1">
            <wp:simplePos x="0" y="0"/>
            <wp:positionH relativeFrom="page">
              <wp:posOffset>2502535</wp:posOffset>
            </wp:positionH>
            <wp:positionV relativeFrom="page">
              <wp:posOffset>2949575</wp:posOffset>
            </wp:positionV>
            <wp:extent cx="19050" cy="241300"/>
            <wp:effectExtent l="0" t="0" r="0" b="0"/>
            <wp:wrapNone/>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576"/>
                    <a:stretch>
                      <a:fillRect/>
                    </a:stretch>
                  </pic:blipFill>
                  <pic:spPr>
                    <a:xfrm>
                      <a:off x="0" y="0"/>
                      <a:ext cx="19050" cy="241300"/>
                    </a:xfrm>
                    <a:prstGeom prst="rect">
                      <a:avLst/>
                    </a:prstGeom>
                  </pic:spPr>
                </pic:pic>
              </a:graphicData>
            </a:graphic>
          </wp:anchor>
        </w:drawing>
      </w:r>
      <w:r>
        <w:drawing>
          <wp:anchor distT="0" distB="0" distL="0" distR="0" simplePos="0" relativeHeight="251997184" behindDoc="0" locked="0" layoutInCell="0" allowOverlap="1">
            <wp:simplePos x="0" y="0"/>
            <wp:positionH relativeFrom="page">
              <wp:posOffset>2502535</wp:posOffset>
            </wp:positionH>
            <wp:positionV relativeFrom="page">
              <wp:posOffset>2682875</wp:posOffset>
            </wp:positionV>
            <wp:extent cx="19050" cy="24130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576"/>
                    <a:stretch>
                      <a:fillRect/>
                    </a:stretch>
                  </pic:blipFill>
                  <pic:spPr>
                    <a:xfrm>
                      <a:off x="0" y="0"/>
                      <a:ext cx="19050" cy="241300"/>
                    </a:xfrm>
                    <a:prstGeom prst="rect">
                      <a:avLst/>
                    </a:prstGeom>
                  </pic:spPr>
                </pic:pic>
              </a:graphicData>
            </a:graphic>
          </wp:anchor>
        </w:drawing>
      </w:r>
      <w:r>
        <w:drawing>
          <wp:anchor distT="0" distB="0" distL="0" distR="0" simplePos="0" relativeHeight="251991040" behindDoc="0" locked="0" layoutInCell="0" allowOverlap="1">
            <wp:simplePos x="0" y="0"/>
            <wp:positionH relativeFrom="page">
              <wp:posOffset>2502535</wp:posOffset>
            </wp:positionH>
            <wp:positionV relativeFrom="page">
              <wp:posOffset>3216275</wp:posOffset>
            </wp:positionV>
            <wp:extent cx="19050" cy="241300"/>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578"/>
                    <a:stretch>
                      <a:fillRect/>
                    </a:stretch>
                  </pic:blipFill>
                  <pic:spPr>
                    <a:xfrm>
                      <a:off x="0" y="0"/>
                      <a:ext cx="19050" cy="241300"/>
                    </a:xfrm>
                    <a:prstGeom prst="rect">
                      <a:avLst/>
                    </a:prstGeom>
                  </pic:spPr>
                </pic:pic>
              </a:graphicData>
            </a:graphic>
          </wp:anchor>
        </w:drawing>
      </w:r>
      <w:r>
        <w:drawing>
          <wp:anchor distT="0" distB="0" distL="0" distR="0" simplePos="0" relativeHeight="251995136" behindDoc="0" locked="0" layoutInCell="0" allowOverlap="1">
            <wp:simplePos x="0" y="0"/>
            <wp:positionH relativeFrom="page">
              <wp:posOffset>2892425</wp:posOffset>
            </wp:positionH>
            <wp:positionV relativeFrom="page">
              <wp:posOffset>2555240</wp:posOffset>
            </wp:positionV>
            <wp:extent cx="19050" cy="24130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577"/>
                    <a:stretch>
                      <a:fillRect/>
                    </a:stretch>
                  </pic:blipFill>
                  <pic:spPr>
                    <a:xfrm>
                      <a:off x="0" y="0"/>
                      <a:ext cx="19050" cy="241300"/>
                    </a:xfrm>
                    <a:prstGeom prst="rect">
                      <a:avLst/>
                    </a:prstGeom>
                  </pic:spPr>
                </pic:pic>
              </a:graphicData>
            </a:graphic>
          </wp:anchor>
        </w:drawing>
      </w:r>
      <w:r>
        <w:drawing>
          <wp:anchor distT="0" distB="0" distL="0" distR="0" simplePos="0" relativeHeight="251990016" behindDoc="0" locked="0" layoutInCell="0" allowOverlap="1">
            <wp:simplePos x="0" y="0"/>
            <wp:positionH relativeFrom="page">
              <wp:posOffset>2502535</wp:posOffset>
            </wp:positionH>
            <wp:positionV relativeFrom="page">
              <wp:posOffset>3482975</wp:posOffset>
            </wp:positionV>
            <wp:extent cx="19050" cy="241300"/>
            <wp:effectExtent l="0" t="0" r="0" b="0"/>
            <wp:wrapNone/>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578"/>
                    <a:stretch>
                      <a:fillRect/>
                    </a:stretch>
                  </pic:blipFill>
                  <pic:spPr>
                    <a:xfrm>
                      <a:off x="0" y="0"/>
                      <a:ext cx="19050" cy="241300"/>
                    </a:xfrm>
                    <a:prstGeom prst="rect">
                      <a:avLst/>
                    </a:prstGeom>
                  </pic:spPr>
                </pic:pic>
              </a:graphicData>
            </a:graphic>
          </wp:anchor>
        </w:drawing>
      </w:r>
      <w:r>
        <w:drawing>
          <wp:anchor distT="0" distB="0" distL="0" distR="0" simplePos="0" relativeHeight="251987968" behindDoc="0" locked="0" layoutInCell="0" allowOverlap="1">
            <wp:simplePos x="0" y="0"/>
            <wp:positionH relativeFrom="page">
              <wp:posOffset>2502535</wp:posOffset>
            </wp:positionH>
            <wp:positionV relativeFrom="page">
              <wp:posOffset>3749675</wp:posOffset>
            </wp:positionV>
            <wp:extent cx="78105" cy="26479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579"/>
                    <a:stretch>
                      <a:fillRect/>
                    </a:stretch>
                  </pic:blipFill>
                  <pic:spPr>
                    <a:xfrm>
                      <a:off x="0" y="0"/>
                      <a:ext cx="78104" cy="264795"/>
                    </a:xfrm>
                    <a:prstGeom prst="rect">
                      <a:avLst/>
                    </a:prstGeom>
                  </pic:spPr>
                </pic:pic>
              </a:graphicData>
            </a:graphic>
          </wp:anchor>
        </w:drawing>
      </w:r>
      <w:r>
        <w:drawing>
          <wp:anchor distT="0" distB="0" distL="0" distR="0" simplePos="0" relativeHeight="251999232" behindDoc="0" locked="0" layoutInCell="0" allowOverlap="1">
            <wp:simplePos x="0" y="0"/>
            <wp:positionH relativeFrom="page">
              <wp:posOffset>2892425</wp:posOffset>
            </wp:positionH>
            <wp:positionV relativeFrom="page">
              <wp:posOffset>3088640</wp:posOffset>
            </wp:positionV>
            <wp:extent cx="19050" cy="241300"/>
            <wp:effectExtent l="0" t="0" r="0" b="0"/>
            <wp:wrapNone/>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577"/>
                    <a:stretch>
                      <a:fillRect/>
                    </a:stretch>
                  </pic:blipFill>
                  <pic:spPr>
                    <a:xfrm>
                      <a:off x="0" y="0"/>
                      <a:ext cx="19050" cy="241300"/>
                    </a:xfrm>
                    <a:prstGeom prst="rect">
                      <a:avLst/>
                    </a:prstGeom>
                  </pic:spPr>
                </pic:pic>
              </a:graphicData>
            </a:graphic>
          </wp:anchor>
        </w:drawing>
      </w:r>
      <w:r>
        <w:drawing>
          <wp:anchor distT="0" distB="0" distL="0" distR="0" simplePos="0" relativeHeight="251994112" behindDoc="0" locked="0" layoutInCell="0" allowOverlap="1">
            <wp:simplePos x="0" y="0"/>
            <wp:positionH relativeFrom="page">
              <wp:posOffset>2670175</wp:posOffset>
            </wp:positionH>
            <wp:positionV relativeFrom="page">
              <wp:posOffset>2101850</wp:posOffset>
            </wp:positionV>
            <wp:extent cx="241300" cy="16129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580"/>
                    <a:stretch>
                      <a:fillRect/>
                    </a:stretch>
                  </pic:blipFill>
                  <pic:spPr>
                    <a:xfrm>
                      <a:off x="0" y="0"/>
                      <a:ext cx="241300" cy="161290"/>
                    </a:xfrm>
                    <a:prstGeom prst="rect">
                      <a:avLst/>
                    </a:prstGeom>
                  </pic:spPr>
                </pic:pic>
              </a:graphicData>
            </a:graphic>
          </wp:anchor>
        </w:drawing>
      </w:r>
      <w:r>
        <w:drawing>
          <wp:anchor distT="0" distB="0" distL="0" distR="0" simplePos="0" relativeHeight="252012544" behindDoc="0" locked="0" layoutInCell="0" allowOverlap="1">
            <wp:simplePos x="0" y="0"/>
            <wp:positionH relativeFrom="page">
              <wp:posOffset>2407920</wp:posOffset>
            </wp:positionH>
            <wp:positionV relativeFrom="page">
              <wp:posOffset>4686300</wp:posOffset>
            </wp:positionV>
            <wp:extent cx="167005" cy="175895"/>
            <wp:effectExtent l="0" t="0" r="0" b="0"/>
            <wp:wrapNone/>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581"/>
                    <a:stretch>
                      <a:fillRect/>
                    </a:stretch>
                  </pic:blipFill>
                  <pic:spPr>
                    <a:xfrm>
                      <a:off x="0" y="0"/>
                      <a:ext cx="167004" cy="175895"/>
                    </a:xfrm>
                    <a:prstGeom prst="rect">
                      <a:avLst/>
                    </a:prstGeom>
                  </pic:spPr>
                </pic:pic>
              </a:graphicData>
            </a:graphic>
          </wp:anchor>
        </w:drawing>
      </w:r>
      <w:r>
        <w:drawing>
          <wp:anchor distT="0" distB="0" distL="0" distR="0" simplePos="0" relativeHeight="252011520" behindDoc="0" locked="0" layoutInCell="0" allowOverlap="1">
            <wp:simplePos x="0" y="0"/>
            <wp:positionH relativeFrom="page">
              <wp:posOffset>2283460</wp:posOffset>
            </wp:positionH>
            <wp:positionV relativeFrom="page">
              <wp:posOffset>4452620</wp:posOffset>
            </wp:positionV>
            <wp:extent cx="291465" cy="20828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582"/>
                    <a:stretch>
                      <a:fillRect/>
                    </a:stretch>
                  </pic:blipFill>
                  <pic:spPr>
                    <a:xfrm>
                      <a:off x="0" y="0"/>
                      <a:ext cx="291464" cy="208279"/>
                    </a:xfrm>
                    <a:prstGeom prst="rect">
                      <a:avLst/>
                    </a:prstGeom>
                  </pic:spPr>
                </pic:pic>
              </a:graphicData>
            </a:graphic>
          </wp:anchor>
        </w:drawing>
      </w:r>
      <w:r>
        <w:drawing>
          <wp:anchor distT="0" distB="0" distL="0" distR="0" simplePos="0" relativeHeight="252010496" behindDoc="0" locked="0" layoutInCell="0" allowOverlap="1">
            <wp:simplePos x="0" y="0"/>
            <wp:positionH relativeFrom="page">
              <wp:posOffset>2283460</wp:posOffset>
            </wp:positionH>
            <wp:positionV relativeFrom="page">
              <wp:posOffset>4618990</wp:posOffset>
            </wp:positionV>
            <wp:extent cx="99060" cy="243840"/>
            <wp:effectExtent l="0" t="0" r="0" b="0"/>
            <wp:wrapNone/>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583"/>
                    <a:stretch>
                      <a:fillRect/>
                    </a:stretch>
                  </pic:blipFill>
                  <pic:spPr>
                    <a:xfrm>
                      <a:off x="0" y="0"/>
                      <a:ext cx="99060" cy="243839"/>
                    </a:xfrm>
                    <a:prstGeom prst="rect">
                      <a:avLst/>
                    </a:prstGeom>
                  </pic:spPr>
                </pic:pic>
              </a:graphicData>
            </a:graphic>
          </wp:anchor>
        </w:drawing>
      </w:r>
      <w:r>
        <w:drawing>
          <wp:anchor distT="0" distB="0" distL="0" distR="0" simplePos="0" relativeHeight="251996160" behindDoc="0" locked="0" layoutInCell="0" allowOverlap="1">
            <wp:simplePos x="0" y="0"/>
            <wp:positionH relativeFrom="page">
              <wp:posOffset>2721610</wp:posOffset>
            </wp:positionH>
            <wp:positionV relativeFrom="page">
              <wp:posOffset>3679825</wp:posOffset>
            </wp:positionV>
            <wp:extent cx="109220" cy="14478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584"/>
                    <a:stretch>
                      <a:fillRect/>
                    </a:stretch>
                  </pic:blipFill>
                  <pic:spPr>
                    <a:xfrm>
                      <a:off x="0" y="0"/>
                      <a:ext cx="109219" cy="144779"/>
                    </a:xfrm>
                    <a:prstGeom prst="rect">
                      <a:avLst/>
                    </a:prstGeom>
                  </pic:spPr>
                </pic:pic>
              </a:graphicData>
            </a:graphic>
          </wp:anchor>
        </w:drawing>
      </w:r>
      <w:r>
        <w:drawing>
          <wp:anchor distT="0" distB="0" distL="0" distR="0" simplePos="0" relativeHeight="251978752" behindDoc="0" locked="0" layoutInCell="0" allowOverlap="1">
            <wp:simplePos x="0" y="0"/>
            <wp:positionH relativeFrom="page">
              <wp:posOffset>8245475</wp:posOffset>
            </wp:positionH>
            <wp:positionV relativeFrom="page">
              <wp:posOffset>2320925</wp:posOffset>
            </wp:positionV>
            <wp:extent cx="691515" cy="1308735"/>
            <wp:effectExtent l="0" t="0" r="0" b="0"/>
            <wp:wrapNone/>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585"/>
                    <a:stretch>
                      <a:fillRect/>
                    </a:stretch>
                  </pic:blipFill>
                  <pic:spPr>
                    <a:xfrm>
                      <a:off x="0" y="0"/>
                      <a:ext cx="691515" cy="1308734"/>
                    </a:xfrm>
                    <a:prstGeom prst="rect">
                      <a:avLst/>
                    </a:prstGeom>
                  </pic:spPr>
                </pic:pic>
              </a:graphicData>
            </a:graphic>
          </wp:anchor>
        </w:drawing>
      </w:r>
      <w:r>
        <w:pict>
          <v:shape id="_x0000_s1346" o:spid="_x0000_s1346" o:spt="202" type="#_x0000_t202" style="position:absolute;left:0pt;margin-left:210.95pt;margin-top:400.1pt;height:14.45pt;width:22.4pt;mso-position-horizontal-relative:page;mso-position-vertical-relative:page;z-index:251974656;mso-width-relative:page;mso-height-relative:page;" filled="f" stroked="f" coordsize="21600,21600" o:allowincell="f">
            <v:path/>
            <v:fill on="f" focussize="0,0"/>
            <v:stroke on="f"/>
            <v:imagedata o:title=""/>
            <o:lock v:ext="edit" aspectratio="f"/>
            <v:textbox inset="0mm,0mm,0mm,0mm">
              <w:txbxContent>
                <w:p w14:paraId="7364B335">
                  <w:pPr>
                    <w:spacing w:before="20" w:line="229" w:lineRule="auto"/>
                    <w:ind w:left="20"/>
                    <w:rPr>
                      <w:rFonts w:ascii="宋体" w:hAnsi="宋体" w:eastAsia="宋体" w:cs="宋体"/>
                      <w:sz w:val="20"/>
                      <w:szCs w:val="20"/>
                    </w:rPr>
                  </w:pPr>
                  <w:r>
                    <w:rPr>
                      <w:rFonts w:ascii="宋体" w:hAnsi="宋体" w:eastAsia="宋体" w:cs="宋体"/>
                      <w:spacing w:val="4"/>
                      <w:sz w:val="20"/>
                      <w:szCs w:val="20"/>
                    </w:rPr>
                    <w:t>旱</w:t>
                  </w:r>
                  <w:r>
                    <w:rPr>
                      <w:rFonts w:ascii="宋体" w:hAnsi="宋体" w:eastAsia="宋体" w:cs="宋体"/>
                      <w:spacing w:val="3"/>
                      <w:sz w:val="20"/>
                      <w:szCs w:val="20"/>
                    </w:rPr>
                    <w:t>厕</w:t>
                  </w:r>
                </w:p>
              </w:txbxContent>
            </v:textbox>
          </v:shape>
        </w:pict>
      </w:r>
    </w:p>
    <w:p w14:paraId="627EF42D">
      <w:pPr>
        <w:spacing w:line="282" w:lineRule="auto"/>
        <w:rPr>
          <w:rFonts w:ascii="Arial"/>
          <w:sz w:val="21"/>
        </w:rPr>
      </w:pPr>
    </w:p>
    <w:p w14:paraId="62B46F39">
      <w:pPr>
        <w:spacing w:line="282" w:lineRule="auto"/>
        <w:rPr>
          <w:rFonts w:ascii="Arial"/>
          <w:sz w:val="21"/>
        </w:rPr>
      </w:pPr>
    </w:p>
    <w:p w14:paraId="3DE63690">
      <w:pPr>
        <w:spacing w:line="283" w:lineRule="auto"/>
        <w:rPr>
          <w:rFonts w:ascii="Arial"/>
          <w:sz w:val="21"/>
        </w:rPr>
      </w:pPr>
    </w:p>
    <w:p w14:paraId="1B0221E0">
      <w:pPr>
        <w:spacing w:before="75" w:line="235" w:lineRule="auto"/>
        <w:ind w:left="6213"/>
        <w:rPr>
          <w:rFonts w:ascii="宋体" w:hAnsi="宋体" w:eastAsia="宋体" w:cs="宋体"/>
          <w:sz w:val="23"/>
          <w:szCs w:val="23"/>
        </w:rPr>
      </w:pPr>
      <w:r>
        <w:drawing>
          <wp:anchor distT="0" distB="0" distL="0" distR="0" simplePos="0" relativeHeight="251961344" behindDoc="1" locked="0" layoutInCell="1" allowOverlap="1">
            <wp:simplePos x="0" y="0"/>
            <wp:positionH relativeFrom="column">
              <wp:posOffset>38100</wp:posOffset>
            </wp:positionH>
            <wp:positionV relativeFrom="paragraph">
              <wp:posOffset>-316230</wp:posOffset>
            </wp:positionV>
            <wp:extent cx="8801100" cy="469900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586"/>
                    <a:stretch>
                      <a:fillRect/>
                    </a:stretch>
                  </pic:blipFill>
                  <pic:spPr>
                    <a:xfrm>
                      <a:off x="0" y="0"/>
                      <a:ext cx="8801100" cy="4699000"/>
                    </a:xfrm>
                    <a:prstGeom prst="rect">
                      <a:avLst/>
                    </a:prstGeom>
                  </pic:spPr>
                </pic:pic>
              </a:graphicData>
            </a:graphic>
          </wp:anchor>
        </w:drawing>
      </w:r>
      <w:r>
        <w:rPr>
          <w:rFonts w:ascii="宋体" w:hAnsi="宋体" w:eastAsia="宋体" w:cs="宋体"/>
          <w:spacing w:val="8"/>
          <w:sz w:val="23"/>
          <w:szCs w:val="23"/>
          <w14:textOutline w14:w="4358" w14:cap="sq" w14:cmpd="sng">
            <w14:solidFill>
              <w14:srgbClr w14:val="000000"/>
            </w14:solidFill>
            <w14:prstDash w14:val="solid"/>
            <w14:bevel/>
          </w14:textOutline>
        </w:rPr>
        <w:t>空</w:t>
      </w:r>
      <w:r>
        <w:rPr>
          <w:rFonts w:ascii="宋体" w:hAnsi="宋体" w:eastAsia="宋体" w:cs="宋体"/>
          <w:spacing w:val="8"/>
          <w:sz w:val="23"/>
          <w:szCs w:val="23"/>
        </w:rPr>
        <w:t xml:space="preserve"> </w:t>
      </w:r>
      <w:r>
        <w:rPr>
          <w:rFonts w:ascii="宋体" w:hAnsi="宋体" w:eastAsia="宋体" w:cs="宋体"/>
          <w:spacing w:val="6"/>
          <w:sz w:val="23"/>
          <w:szCs w:val="23"/>
        </w:rPr>
        <w:t xml:space="preserve"> </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w:t>
      </w:r>
    </w:p>
    <w:p w14:paraId="455776C6">
      <w:pPr>
        <w:spacing w:line="230" w:lineRule="exact"/>
      </w:pPr>
    </w:p>
    <w:tbl>
      <w:tblPr>
        <w:tblStyle w:val="4"/>
        <w:tblW w:w="10603" w:type="dxa"/>
        <w:tblInd w:w="2120" w:type="dxa"/>
        <w:tblBorders>
          <w:top w:val="single" w:color="FF0000" w:sz="8" w:space="0"/>
          <w:left w:val="single" w:color="FF0000" w:sz="8" w:space="0"/>
          <w:bottom w:val="single" w:color="FF0000" w:sz="8" w:space="0"/>
          <w:right w:val="single" w:color="FF0000" w:sz="16" w:space="0"/>
          <w:insideH w:val="none" w:color="auto" w:sz="0" w:space="0"/>
          <w:insideV w:val="none" w:color="auto" w:sz="0" w:space="0"/>
        </w:tblBorders>
        <w:tblLayout w:type="fixed"/>
        <w:tblCellMar>
          <w:top w:w="0" w:type="dxa"/>
          <w:left w:w="0" w:type="dxa"/>
          <w:bottom w:w="0" w:type="dxa"/>
          <w:right w:w="0" w:type="dxa"/>
        </w:tblCellMar>
      </w:tblPr>
      <w:tblGrid>
        <w:gridCol w:w="10603"/>
      </w:tblGrid>
      <w:tr w14:paraId="539081C3">
        <w:tblPrEx>
          <w:tblBorders>
            <w:top w:val="single" w:color="FF0000" w:sz="8" w:space="0"/>
            <w:left w:val="single" w:color="FF0000" w:sz="8" w:space="0"/>
            <w:bottom w:val="single" w:color="FF0000" w:sz="8" w:space="0"/>
            <w:right w:val="single" w:color="FF0000" w:sz="16" w:space="0"/>
            <w:insideH w:val="none" w:color="auto" w:sz="0" w:space="0"/>
            <w:insideV w:val="none" w:color="auto" w:sz="0" w:space="0"/>
          </w:tblBorders>
          <w:tblCellMar>
            <w:top w:w="0" w:type="dxa"/>
            <w:left w:w="0" w:type="dxa"/>
            <w:bottom w:w="0" w:type="dxa"/>
            <w:right w:w="0" w:type="dxa"/>
          </w:tblCellMar>
        </w:tblPrEx>
        <w:trPr>
          <w:trHeight w:val="4804" w:hRule="atLeast"/>
        </w:trPr>
        <w:tc>
          <w:tcPr>
            <w:tcW w:w="10603" w:type="dxa"/>
            <w:vAlign w:val="top"/>
          </w:tcPr>
          <w:p w14:paraId="532B0329">
            <w:pPr>
              <w:spacing w:line="240" w:lineRule="exact"/>
            </w:pPr>
            <w:r>
              <w:pict>
                <v:shape id="_x0000_s1347" o:spid="_x0000_s1347" o:spt="202" type="#_x0000_t202" style="position:absolute;left:0pt;margin-left:18.9pt;margin-top:23.3pt;height:147.2pt;width:32.5pt;mso-position-horizontal-relative:page;mso-position-vertical-relative:page;z-index:251982848;mso-width-relative:page;mso-height-relative:page;" filled="f" stroked="f" coordsize="21600,21600">
                  <v:path/>
                  <v:fill on="f" focussize="0,0"/>
                  <v:stroke on="f"/>
                  <v:imagedata o:title=""/>
                  <o:lock v:ext="edit" aspectratio="f"/>
                  <v:textbox inset="0mm,0mm,0mm,0mm">
                    <w:txbxContent>
                      <w:p w14:paraId="552626C8">
                        <w:pPr>
                          <w:spacing w:line="20" w:lineRule="exact"/>
                        </w:pPr>
                      </w:p>
                      <w:tbl>
                        <w:tblPr>
                          <w:tblStyle w:val="4"/>
                          <w:tblW w:w="585"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tblGrid>
                        <w:tr w14:paraId="78271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585" w:type="dxa"/>
                              <w:tcBorders>
                                <w:left w:val="single" w:color="000000" w:sz="10" w:space="0"/>
                                <w:right w:val="single" w:color="000000" w:sz="8" w:space="0"/>
                              </w:tcBorders>
                              <w:shd w:val="clear" w:color="auto" w:fill="F79646"/>
                              <w:textDirection w:val="tbRlV"/>
                              <w:vAlign w:val="top"/>
                            </w:tcPr>
                            <w:p w14:paraId="14A7568D">
                              <w:pPr>
                                <w:spacing w:before="138" w:line="289" w:lineRule="exact"/>
                                <w:ind w:left="540"/>
                                <w:rPr>
                                  <w:rFonts w:ascii="宋体" w:hAnsi="宋体" w:eastAsia="宋体" w:cs="宋体"/>
                                  <w:sz w:val="20"/>
                                  <w:szCs w:val="20"/>
                                </w:rPr>
                              </w:pPr>
                              <w:r>
                                <w:rPr>
                                  <w:rFonts w:ascii="Times New Roman" w:hAnsi="Times New Roman" w:eastAsia="Times New Roman" w:cs="Times New Roman"/>
                                  <w:b/>
                                  <w:bCs/>
                                  <w:spacing w:val="10"/>
                                  <w:position w:val="1"/>
                                  <w:sz w:val="20"/>
                                  <w:szCs w:val="20"/>
                                </w:rPr>
                                <w:t>1</w:t>
                              </w:r>
                              <w:r>
                                <w:rPr>
                                  <w:rFonts w:ascii="Times New Roman" w:hAnsi="Times New Roman" w:eastAsia="Times New Roman" w:cs="Times New Roman"/>
                                  <w:b/>
                                  <w:bCs/>
                                  <w:spacing w:val="6"/>
                                  <w:position w:val="1"/>
                                  <w:sz w:val="20"/>
                                  <w:szCs w:val="20"/>
                                </w:rPr>
                                <w:t>#</w:t>
                              </w:r>
                              <w:r>
                                <w:rPr>
                                  <w:rFonts w:ascii="宋体" w:hAnsi="宋体" w:eastAsia="宋体" w:cs="宋体"/>
                                  <w:spacing w:val="6"/>
                                  <w:position w:val="1"/>
                                  <w:sz w:val="20"/>
                                  <w:szCs w:val="20"/>
                                  <w14:textOutline w14:w="3795" w14:cap="sq" w14:cmpd="sng">
                                    <w14:solidFill>
                                      <w14:srgbClr w14:val="000000"/>
                                    </w14:solidFill>
                                    <w14:prstDash w14:val="solid"/>
                                    <w14:bevel/>
                                  </w14:textOutline>
                                </w:rPr>
                                <w:t>员工休息室</w:t>
                              </w:r>
                            </w:p>
                          </w:tc>
                        </w:tr>
                        <w:tr w14:paraId="157A1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5" w:type="dxa"/>
                              <w:tcBorders>
                                <w:left w:val="single" w:color="000000" w:sz="10" w:space="0"/>
                                <w:right w:val="single" w:color="000000" w:sz="10" w:space="0"/>
                              </w:tcBorders>
                              <w:shd w:val="clear" w:color="auto" w:fill="D7E4BD"/>
                              <w:vAlign w:val="top"/>
                            </w:tcPr>
                            <w:p w14:paraId="5DC0B66D">
                              <w:pPr>
                                <w:rPr>
                                  <w:rFonts w:ascii="Arial"/>
                                  <w:sz w:val="21"/>
                                </w:rPr>
                              </w:pPr>
                            </w:p>
                          </w:tc>
                        </w:tr>
                      </w:tbl>
                      <w:p w14:paraId="5415E856">
                        <w:pPr>
                          <w:rPr>
                            <w:rFonts w:ascii="Arial"/>
                            <w:sz w:val="21"/>
                          </w:rPr>
                        </w:pPr>
                      </w:p>
                    </w:txbxContent>
                  </v:textbox>
                </v:shape>
              </w:pict>
            </w:r>
            <w:r>
              <w:pict>
                <v:shape id="_x0000_s1348" o:spid="_x0000_s1348" o:spt="202" type="#_x0000_t202" style="position:absolute;left:0pt;margin-left:472.75pt;margin-top:42.15pt;height:99.15pt;width:51pt;mso-position-horizontal-relative:page;mso-position-vertical-relative:page;z-index:251979776;mso-width-relative:page;mso-height-relative:page;" filled="f" stroked="f" coordsize="21600,21600">
                  <v:path/>
                  <v:fill on="f" focussize="0,0"/>
                  <v:stroke on="f"/>
                  <v:imagedata o:title=""/>
                  <o:lock v:ext="edit" aspectratio="f"/>
                  <v:textbox inset="0mm,0mm,0mm,0mm">
                    <w:txbxContent>
                      <w:p w14:paraId="44B0F47B">
                        <w:pPr>
                          <w:spacing w:line="20" w:lineRule="exact"/>
                        </w:pPr>
                      </w:p>
                      <w:tbl>
                        <w:tblPr>
                          <w:tblStyle w:val="4"/>
                          <w:tblW w:w="95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54"/>
                        </w:tblGrid>
                        <w:tr w14:paraId="52CF8A3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892" w:hRule="atLeast"/>
                          </w:trPr>
                          <w:tc>
                            <w:tcPr>
                              <w:tcW w:w="954" w:type="dxa"/>
                              <w:shd w:val="clear" w:color="auto" w:fill="C4BD97"/>
                              <w:vAlign w:val="top"/>
                            </w:tcPr>
                            <w:p w14:paraId="66FEC86E">
                              <w:pPr>
                                <w:spacing w:line="247" w:lineRule="auto"/>
                                <w:rPr>
                                  <w:rFonts w:ascii="Arial"/>
                                  <w:sz w:val="21"/>
                                </w:rPr>
                              </w:pPr>
                            </w:p>
                            <w:p w14:paraId="17506CA5">
                              <w:pPr>
                                <w:spacing w:line="248" w:lineRule="auto"/>
                                <w:rPr>
                                  <w:rFonts w:ascii="Arial"/>
                                  <w:sz w:val="21"/>
                                </w:rPr>
                              </w:pPr>
                            </w:p>
                            <w:p w14:paraId="05EE73CA">
                              <w:pPr>
                                <w:spacing w:line="248" w:lineRule="auto"/>
                                <w:rPr>
                                  <w:rFonts w:ascii="Arial"/>
                                  <w:sz w:val="21"/>
                                </w:rPr>
                              </w:pPr>
                            </w:p>
                            <w:p w14:paraId="7B68A7B1">
                              <w:pPr>
                                <w:spacing w:before="65" w:line="228" w:lineRule="auto"/>
                                <w:ind w:left="13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成品库</w:t>
                              </w:r>
                            </w:p>
                          </w:tc>
                        </w:tr>
                      </w:tbl>
                      <w:p w14:paraId="40448B73">
                        <w:pPr>
                          <w:rPr>
                            <w:rFonts w:ascii="Arial"/>
                            <w:sz w:val="21"/>
                          </w:rPr>
                        </w:pPr>
                      </w:p>
                    </w:txbxContent>
                  </v:textbox>
                </v:shape>
              </w:pict>
            </w:r>
          </w:p>
          <w:tbl>
            <w:tblPr>
              <w:tblStyle w:val="4"/>
              <w:tblW w:w="5780"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0"/>
              <w:gridCol w:w="3370"/>
            </w:tblGrid>
            <w:tr w14:paraId="4D69A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410" w:type="dxa"/>
                  <w:tcBorders>
                    <w:left w:val="single" w:color="000000" w:sz="10" w:space="0"/>
                    <w:right w:val="single" w:color="000000" w:sz="8" w:space="0"/>
                  </w:tcBorders>
                  <w:shd w:val="clear" w:color="auto" w:fill="F79646"/>
                  <w:vAlign w:val="top"/>
                </w:tcPr>
                <w:p w14:paraId="3CFBDFF1">
                  <w:pPr>
                    <w:spacing w:before="203" w:line="289" w:lineRule="exact"/>
                    <w:ind w:left="479"/>
                    <w:rPr>
                      <w:rFonts w:ascii="宋体" w:hAnsi="宋体" w:eastAsia="宋体" w:cs="宋体"/>
                      <w:sz w:val="20"/>
                      <w:szCs w:val="20"/>
                    </w:rPr>
                  </w:pPr>
                  <w:r>
                    <w:drawing>
                      <wp:anchor distT="0" distB="0" distL="0" distR="0" simplePos="0" relativeHeight="251964416" behindDoc="0" locked="0" layoutInCell="1" allowOverlap="1">
                        <wp:simplePos x="0" y="0"/>
                        <wp:positionH relativeFrom="column">
                          <wp:posOffset>-56515</wp:posOffset>
                        </wp:positionH>
                        <wp:positionV relativeFrom="paragraph">
                          <wp:posOffset>-30480</wp:posOffset>
                        </wp:positionV>
                        <wp:extent cx="3823970" cy="484505"/>
                        <wp:effectExtent l="0" t="0" r="0" b="0"/>
                        <wp:wrapNone/>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587"/>
                                <a:stretch>
                                  <a:fillRect/>
                                </a:stretch>
                              </pic:blipFill>
                              <pic:spPr>
                                <a:xfrm>
                                  <a:off x="0" y="0"/>
                                  <a:ext cx="3823970" cy="484504"/>
                                </a:xfrm>
                                <a:prstGeom prst="rect">
                                  <a:avLst/>
                                </a:prstGeom>
                              </pic:spPr>
                            </pic:pic>
                          </a:graphicData>
                        </a:graphic>
                      </wp:anchor>
                    </w:drawing>
                  </w:r>
                  <w:r>
                    <w:rPr>
                      <w:rFonts w:ascii="Times New Roman" w:hAnsi="Times New Roman" w:eastAsia="Times New Roman" w:cs="Times New Roman"/>
                      <w:b/>
                      <w:bCs/>
                      <w:spacing w:val="9"/>
                      <w:position w:val="1"/>
                      <w:sz w:val="20"/>
                      <w:szCs w:val="20"/>
                    </w:rPr>
                    <w:t>2</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员工休息室</w:t>
                  </w:r>
                </w:p>
              </w:tc>
              <w:tc>
                <w:tcPr>
                  <w:tcW w:w="3370" w:type="dxa"/>
                  <w:tcBorders>
                    <w:left w:val="single" w:color="000000" w:sz="8" w:space="0"/>
                    <w:right w:val="single" w:color="000000" w:sz="8" w:space="0"/>
                  </w:tcBorders>
                  <w:shd w:val="clear" w:color="auto" w:fill="9BBB59"/>
                  <w:vAlign w:val="top"/>
                </w:tcPr>
                <w:p w14:paraId="0E1C71DB">
                  <w:pPr>
                    <w:spacing w:before="251" w:line="228" w:lineRule="auto"/>
                    <w:ind w:left="137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办</w:t>
                  </w:r>
                  <w:r>
                    <w:rPr>
                      <w:rFonts w:ascii="宋体" w:hAnsi="宋体" w:eastAsia="宋体" w:cs="宋体"/>
                      <w:spacing w:val="6"/>
                      <w:sz w:val="20"/>
                      <w:szCs w:val="20"/>
                      <w14:textOutline w14:w="3795" w14:cap="sq" w14:cmpd="sng">
                        <w14:solidFill>
                          <w14:srgbClr w14:val="000000"/>
                        </w14:solidFill>
                        <w14:prstDash w14:val="solid"/>
                        <w14:bevel/>
                      </w14:textOutline>
                    </w:rPr>
                    <w:t>公室</w:t>
                  </w:r>
                </w:p>
              </w:tc>
            </w:tr>
          </w:tbl>
          <w:p w14:paraId="5E113DA9">
            <w:pPr>
              <w:spacing w:line="286" w:lineRule="auto"/>
              <w:rPr>
                <w:rFonts w:ascii="Arial"/>
                <w:sz w:val="21"/>
              </w:rPr>
            </w:pPr>
          </w:p>
          <w:p w14:paraId="37DD70C2">
            <w:pPr>
              <w:spacing w:line="286" w:lineRule="auto"/>
              <w:rPr>
                <w:rFonts w:ascii="Arial"/>
                <w:sz w:val="21"/>
              </w:rPr>
            </w:pPr>
          </w:p>
          <w:p w14:paraId="411686C8">
            <w:pPr>
              <w:spacing w:line="286" w:lineRule="auto"/>
              <w:rPr>
                <w:rFonts w:ascii="Arial"/>
                <w:sz w:val="21"/>
              </w:rPr>
            </w:pPr>
          </w:p>
          <w:p w14:paraId="316D647E">
            <w:pPr>
              <w:spacing w:line="286" w:lineRule="auto"/>
              <w:rPr>
                <w:rFonts w:ascii="Arial"/>
                <w:sz w:val="21"/>
              </w:rPr>
            </w:pPr>
          </w:p>
          <w:p w14:paraId="5C717AE0">
            <w:pPr>
              <w:spacing w:line="287" w:lineRule="auto"/>
              <w:rPr>
                <w:rFonts w:ascii="Arial"/>
                <w:sz w:val="21"/>
              </w:rPr>
            </w:pPr>
          </w:p>
          <w:p w14:paraId="06EC1E32">
            <w:pPr>
              <w:spacing w:line="773" w:lineRule="exact"/>
              <w:ind w:firstLine="4605"/>
              <w:textAlignment w:val="center"/>
            </w:pPr>
            <w:r>
              <w:pict>
                <v:group id="_x0000_s1349" o:spid="_x0000_s1349" o:spt="203" style="height:38.7pt;width:53.25pt;" coordsize="1065,774">
                  <o:lock v:ext="edit"/>
                  <v:shape id="_x0000_s1350" o:spid="_x0000_s1350" o:spt="75" type="#_x0000_t75" style="position:absolute;left:44;top:0;height:720;width:1020;" filled="f" stroked="f" coordsize="21600,21600">
                    <v:path/>
                    <v:fill on="f" focussize="0,0"/>
                    <v:stroke on="f"/>
                    <v:imagedata r:id="rId588" o:title=""/>
                    <o:lock v:ext="edit" aspectratio="t"/>
                  </v:shape>
                  <v:shape id="_x0000_s1351" o:spid="_x0000_s1351" o:spt="202" type="#_x0000_t202" style="position:absolute;left:-20;top:-20;height:814;width:1105;" filled="f" stroked="f" coordsize="21600,21600">
                    <v:path/>
                    <v:fill on="f" focussize="0,0"/>
                    <v:stroke on="f"/>
                    <v:imagedata o:title=""/>
                    <o:lock v:ext="edit" aspectratio="f"/>
                    <v:textbox inset="0mm,0mm,0mm,0mm">
                      <w:txbxContent>
                        <w:p w14:paraId="52C7299D">
                          <w:pPr>
                            <w:spacing w:before="117" w:line="289" w:lineRule="exact"/>
                            <w:ind w:left="121"/>
                            <w:rPr>
                              <w:rFonts w:ascii="宋体" w:hAnsi="宋体" w:eastAsia="宋体" w:cs="宋体"/>
                              <w:sz w:val="20"/>
                              <w:szCs w:val="20"/>
                            </w:rPr>
                          </w:pPr>
                          <w:r>
                            <w:rPr>
                              <w:rFonts w:ascii="Times New Roman" w:hAnsi="Times New Roman" w:eastAsia="Times New Roman" w:cs="Times New Roman"/>
                              <w:b/>
                              <w:bCs/>
                              <w:spacing w:val="8"/>
                              <w:position w:val="1"/>
                              <w:sz w:val="20"/>
                              <w:szCs w:val="20"/>
                            </w:rPr>
                            <w:t>1</w:t>
                          </w:r>
                          <w:r>
                            <w:rPr>
                              <w:rFonts w:ascii="Times New Roman" w:hAnsi="Times New Roman" w:eastAsia="Times New Roman" w:cs="Times New Roman"/>
                              <w:b/>
                              <w:bCs/>
                              <w:spacing w:val="5"/>
                              <w:position w:val="1"/>
                              <w:sz w:val="20"/>
                              <w:szCs w:val="20"/>
                            </w:rPr>
                            <w:t>#</w:t>
                          </w:r>
                          <w:r>
                            <w:rPr>
                              <w:rFonts w:ascii="宋体" w:hAnsi="宋体" w:eastAsia="宋体" w:cs="宋体"/>
                              <w:spacing w:val="5"/>
                              <w:position w:val="1"/>
                              <w:sz w:val="20"/>
                              <w:szCs w:val="20"/>
                              <w14:textOutline w14:w="3795" w14:cap="sq" w14:cmpd="sng">
                                <w14:solidFill>
                                  <w14:srgbClr w14:val="000000"/>
                                </w14:solidFill>
                                <w14:prstDash w14:val="solid"/>
                                <w14:bevel/>
                              </w14:textOutline>
                            </w:rPr>
                            <w:t>排气筒</w:t>
                          </w:r>
                        </w:p>
                        <w:p w14:paraId="77326BCD">
                          <w:pPr>
                            <w:spacing w:line="257" w:lineRule="auto"/>
                            <w:rPr>
                              <w:rFonts w:ascii="Arial"/>
                              <w:sz w:val="21"/>
                            </w:rPr>
                          </w:pPr>
                        </w:p>
                        <w:p w14:paraId="518CB0F5">
                          <w:pPr>
                            <w:spacing w:line="128" w:lineRule="exact"/>
                            <w:ind w:left="20"/>
                          </w:pPr>
                          <w:r>
                            <w:rPr>
                              <w:position w:val="-3"/>
                            </w:rPr>
                            <w:drawing>
                              <wp:inline distT="0" distB="0" distL="0" distR="0">
                                <wp:extent cx="80645" cy="8128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589"/>
                                        <a:stretch>
                                          <a:fillRect/>
                                        </a:stretch>
                                      </pic:blipFill>
                                      <pic:spPr>
                                        <a:xfrm>
                                          <a:off x="0" y="0"/>
                                          <a:ext cx="81279" cy="81292"/>
                                        </a:xfrm>
                                        <a:prstGeom prst="rect">
                                          <a:avLst/>
                                        </a:prstGeom>
                                      </pic:spPr>
                                    </pic:pic>
                                  </a:graphicData>
                                </a:graphic>
                              </wp:inline>
                            </w:drawing>
                          </w:r>
                        </w:p>
                      </w:txbxContent>
                    </v:textbox>
                  </v:shape>
                  <w10:wrap type="none"/>
                  <w10:anchorlock/>
                </v:group>
              </w:pict>
            </w:r>
          </w:p>
          <w:p w14:paraId="4DEA7AE2"/>
          <w:p w14:paraId="0A8349AC"/>
          <w:p w14:paraId="2E1A0E1A">
            <w:pPr>
              <w:spacing w:line="36" w:lineRule="exact"/>
            </w:pPr>
          </w:p>
          <w:tbl>
            <w:tblPr>
              <w:tblStyle w:val="4"/>
              <w:tblW w:w="1920" w:type="dxa"/>
              <w:tblInd w:w="739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920"/>
            </w:tblGrid>
            <w:tr w14:paraId="15EAF623">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29" w:hRule="atLeast"/>
              </w:trPr>
              <w:tc>
                <w:tcPr>
                  <w:tcW w:w="1920" w:type="dxa"/>
                  <w:shd w:val="clear" w:color="auto" w:fill="B7DEE8"/>
                  <w:vAlign w:val="top"/>
                </w:tcPr>
                <w:p w14:paraId="63F43A4D">
                  <w:pPr>
                    <w:spacing w:line="294" w:lineRule="auto"/>
                    <w:rPr>
                      <w:rFonts w:ascii="Arial"/>
                      <w:sz w:val="21"/>
                    </w:rPr>
                  </w:pPr>
                </w:p>
                <w:p w14:paraId="7A13C361">
                  <w:pPr>
                    <w:spacing w:before="65" w:line="228" w:lineRule="auto"/>
                    <w:ind w:left="701"/>
                    <w:rPr>
                      <w:rFonts w:ascii="宋体" w:hAnsi="宋体" w:eastAsia="宋体" w:cs="宋体"/>
                      <w:sz w:val="20"/>
                      <w:szCs w:val="20"/>
                    </w:rPr>
                  </w:pPr>
                  <w:r>
                    <w:drawing>
                      <wp:anchor distT="0" distB="0" distL="0" distR="0" simplePos="0" relativeHeight="251980800" behindDoc="0" locked="0" layoutInCell="1" allowOverlap="1">
                        <wp:simplePos x="0" y="0"/>
                        <wp:positionH relativeFrom="column">
                          <wp:posOffset>-37465</wp:posOffset>
                        </wp:positionH>
                        <wp:positionV relativeFrom="paragraph">
                          <wp:posOffset>-241935</wp:posOffset>
                        </wp:positionV>
                        <wp:extent cx="1272540" cy="696595"/>
                        <wp:effectExtent l="0" t="0" r="0" b="0"/>
                        <wp:wrapNone/>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590"/>
                                <a:stretch>
                                  <a:fillRect/>
                                </a:stretch>
                              </pic:blipFill>
                              <pic:spPr>
                                <a:xfrm>
                                  <a:off x="0" y="0"/>
                                  <a:ext cx="1272540" cy="696594"/>
                                </a:xfrm>
                                <a:prstGeom prst="rect">
                                  <a:avLst/>
                                </a:prstGeom>
                              </pic:spPr>
                            </pic:pic>
                          </a:graphicData>
                        </a:graphic>
                      </wp:anchor>
                    </w:drawing>
                  </w:r>
                  <w:r>
                    <w:rPr>
                      <w:rFonts w:ascii="宋体" w:hAnsi="宋体" w:eastAsia="宋体" w:cs="宋体"/>
                      <w:spacing w:val="6"/>
                      <w:sz w:val="20"/>
                      <w:szCs w:val="20"/>
                      <w14:textOutline w14:w="3795" w14:cap="sq" w14:cmpd="sng">
                        <w14:solidFill>
                          <w14:srgbClr w14:val="000000"/>
                        </w14:solidFill>
                        <w14:prstDash w14:val="solid"/>
                        <w14:bevel/>
                      </w14:textOutline>
                    </w:rPr>
                    <w:t>原料库</w:t>
                  </w:r>
                </w:p>
              </w:tc>
            </w:tr>
          </w:tbl>
          <w:p w14:paraId="2F7C00B6">
            <w:pPr>
              <w:spacing w:line="161" w:lineRule="exact"/>
              <w:rPr>
                <w:rFonts w:ascii="Arial"/>
                <w:sz w:val="14"/>
              </w:rPr>
            </w:pPr>
          </w:p>
        </w:tc>
      </w:tr>
    </w:tbl>
    <w:p w14:paraId="166744EF">
      <w:pPr>
        <w:spacing w:line="289" w:lineRule="auto"/>
        <w:rPr>
          <w:rFonts w:ascii="Arial"/>
          <w:sz w:val="21"/>
        </w:rPr>
      </w:pPr>
    </w:p>
    <w:p w14:paraId="037EC62C">
      <w:pPr>
        <w:spacing w:line="290" w:lineRule="auto"/>
        <w:rPr>
          <w:rFonts w:ascii="Arial"/>
          <w:sz w:val="21"/>
        </w:rPr>
      </w:pPr>
    </w:p>
    <w:p w14:paraId="47114975">
      <w:pPr>
        <w:spacing w:line="290" w:lineRule="auto"/>
        <w:rPr>
          <w:rFonts w:ascii="Arial"/>
          <w:sz w:val="21"/>
        </w:rPr>
      </w:pPr>
    </w:p>
    <w:p w14:paraId="7A9C115F">
      <w:pPr>
        <w:spacing w:before="74" w:line="235" w:lineRule="auto"/>
        <w:ind w:left="6199"/>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空</w:t>
      </w:r>
      <w:r>
        <w:rPr>
          <w:rFonts w:ascii="宋体" w:hAnsi="宋体" w:eastAsia="宋体" w:cs="宋体"/>
          <w:spacing w:val="8"/>
          <w:sz w:val="23"/>
          <w:szCs w:val="23"/>
        </w:rPr>
        <w:t xml:space="preserve"> </w:t>
      </w:r>
      <w:r>
        <w:rPr>
          <w:rFonts w:ascii="宋体" w:hAnsi="宋体" w:eastAsia="宋体" w:cs="宋体"/>
          <w:spacing w:val="6"/>
          <w:sz w:val="23"/>
          <w:szCs w:val="23"/>
        </w:rPr>
        <w:t xml:space="preserve"> </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地</w:t>
      </w:r>
    </w:p>
    <w:p w14:paraId="304DD8B6">
      <w:pPr>
        <w:spacing w:line="440" w:lineRule="auto"/>
        <w:rPr>
          <w:rFonts w:ascii="Arial"/>
          <w:sz w:val="21"/>
        </w:rPr>
      </w:pPr>
    </w:p>
    <w:p w14:paraId="0565EE17">
      <w:pPr>
        <w:spacing w:before="75" w:line="228" w:lineRule="auto"/>
        <w:ind w:left="5574"/>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图</w:t>
      </w:r>
      <w:r>
        <w:rPr>
          <w:rFonts w:ascii="宋体" w:hAnsi="宋体" w:eastAsia="宋体" w:cs="宋体"/>
          <w:spacing w:val="16"/>
          <w:sz w:val="23"/>
          <w:szCs w:val="23"/>
        </w:rPr>
        <w:t xml:space="preserve"> </w:t>
      </w:r>
      <w:r>
        <w:rPr>
          <w:rFonts w:ascii="Times New Roman" w:hAnsi="Times New Roman" w:eastAsia="Times New Roman" w:cs="Times New Roman"/>
          <w:b/>
          <w:bCs/>
          <w:spacing w:val="10"/>
          <w:sz w:val="23"/>
          <w:szCs w:val="23"/>
        </w:rPr>
        <w:t>6</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建设项目厂区分区防渗图</w:t>
      </w:r>
    </w:p>
    <w:p w14:paraId="70A1B0D5">
      <w:pPr>
        <w:sectPr>
          <w:headerReference r:id="rId279" w:type="default"/>
          <w:footerReference r:id="rId280" w:type="default"/>
          <w:pgSz w:w="16839" w:h="11906"/>
          <w:pgMar w:top="1132" w:right="1096" w:bottom="1182" w:left="1440" w:header="878" w:footer="1022" w:gutter="0"/>
          <w:cols w:space="720" w:num="1"/>
        </w:sectPr>
      </w:pPr>
    </w:p>
    <w:p w14:paraId="18B85658">
      <w:r>
        <w:pict>
          <v:shape id="_x0000_s1352" o:spid="_x0000_s1352" style="position:absolute;left:0pt;margin-left:72pt;margin-top:57.35pt;height:0.75pt;width:697.95pt;mso-position-horizontal-relative:page;mso-position-vertical-relative:page;z-index:252044288;mso-width-relative:page;mso-height-relative:page;" fillcolor="#000000" filled="t" stroked="f" coordsize="13959,15" o:allowincell="f" path="m0,0l13958,0,13958,14,0,14,0,0xe">
            <v:path/>
            <v:fill on="t" focussize="0,0"/>
            <v:stroke on="f"/>
            <v:imagedata o:title=""/>
            <o:lock v:ext="edit"/>
          </v:shape>
        </w:pict>
      </w:r>
    </w:p>
    <w:p w14:paraId="516491C5"/>
    <w:p w14:paraId="10008672"/>
    <w:p w14:paraId="36F820D7"/>
    <w:p w14:paraId="2248AE03">
      <w:pPr>
        <w:spacing w:line="123" w:lineRule="exact"/>
      </w:pPr>
    </w:p>
    <w:tbl>
      <w:tblPr>
        <w:tblStyle w:val="4"/>
        <w:tblW w:w="13591" w:type="dxa"/>
        <w:tblInd w:w="241" w:type="dxa"/>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Layout w:type="fixed"/>
        <w:tblCellMar>
          <w:top w:w="0" w:type="dxa"/>
          <w:left w:w="0" w:type="dxa"/>
          <w:bottom w:w="0" w:type="dxa"/>
          <w:right w:w="0" w:type="dxa"/>
        </w:tblCellMar>
      </w:tblPr>
      <w:tblGrid>
        <w:gridCol w:w="13591"/>
      </w:tblGrid>
      <w:tr w14:paraId="43EDA540">
        <w:tblPrEx>
          <w:tblBorders>
            <w:top w:val="single" w:color="000000" w:sz="24" w:space="0"/>
            <w:left w:val="single" w:color="000000" w:sz="24" w:space="0"/>
            <w:bottom w:val="single" w:color="000000" w:sz="24" w:space="0"/>
            <w:right w:val="single" w:color="000000" w:sz="24" w:space="0"/>
            <w:insideH w:val="none" w:color="auto" w:sz="0" w:space="0"/>
            <w:insideV w:val="none" w:color="auto" w:sz="0" w:space="0"/>
          </w:tblBorders>
          <w:tblCellMar>
            <w:top w:w="0" w:type="dxa"/>
            <w:left w:w="0" w:type="dxa"/>
            <w:bottom w:w="0" w:type="dxa"/>
            <w:right w:w="0" w:type="dxa"/>
          </w:tblCellMar>
        </w:tblPrEx>
        <w:trPr>
          <w:trHeight w:val="6931" w:hRule="atLeast"/>
        </w:trPr>
        <w:tc>
          <w:tcPr>
            <w:tcW w:w="13591" w:type="dxa"/>
            <w:vAlign w:val="top"/>
          </w:tcPr>
          <w:p w14:paraId="5B5DCCFD">
            <w:pPr>
              <w:spacing w:before="196" w:line="186" w:lineRule="auto"/>
              <w:ind w:right="638"/>
              <w:jc w:val="right"/>
              <w:rPr>
                <w:rFonts w:ascii="Times New Roman" w:hAnsi="Times New Roman" w:eastAsia="Times New Roman" w:cs="Times New Roman"/>
                <w:sz w:val="40"/>
                <w:szCs w:val="40"/>
              </w:rPr>
            </w:pPr>
            <w:r>
              <w:drawing>
                <wp:anchor distT="0" distB="0" distL="0" distR="0" simplePos="0" relativeHeight="252043264" behindDoc="1" locked="0" layoutInCell="1" allowOverlap="1">
                  <wp:simplePos x="0" y="0"/>
                  <wp:positionH relativeFrom="column">
                    <wp:posOffset>0</wp:posOffset>
                  </wp:positionH>
                  <wp:positionV relativeFrom="paragraph">
                    <wp:posOffset>0</wp:posOffset>
                  </wp:positionV>
                  <wp:extent cx="8592185" cy="4401185"/>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591"/>
                          <a:stretch>
                            <a:fillRect/>
                          </a:stretch>
                        </pic:blipFill>
                        <pic:spPr>
                          <a:xfrm>
                            <a:off x="0" y="0"/>
                            <a:ext cx="8592311" cy="4401311"/>
                          </a:xfrm>
                          <a:prstGeom prst="rect">
                            <a:avLst/>
                          </a:prstGeom>
                        </pic:spPr>
                      </pic:pic>
                    </a:graphicData>
                  </a:graphic>
                </wp:anchor>
              </w:drawing>
            </w:r>
            <w:r>
              <w:drawing>
                <wp:anchor distT="0" distB="0" distL="0" distR="0" simplePos="0" relativeHeight="252045312" behindDoc="0" locked="0" layoutInCell="1" allowOverlap="1">
                  <wp:simplePos x="0" y="0"/>
                  <wp:positionH relativeFrom="rightMargin">
                    <wp:posOffset>-801370</wp:posOffset>
                  </wp:positionH>
                  <wp:positionV relativeFrom="topMargin">
                    <wp:posOffset>3690620</wp:posOffset>
                  </wp:positionV>
                  <wp:extent cx="667385" cy="609600"/>
                  <wp:effectExtent l="0" t="0" r="0" b="0"/>
                  <wp:wrapNone/>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592"/>
                          <a:stretch>
                            <a:fillRect/>
                          </a:stretch>
                        </pic:blipFill>
                        <pic:spPr>
                          <a:xfrm>
                            <a:off x="0" y="0"/>
                            <a:ext cx="667511" cy="609600"/>
                          </a:xfrm>
                          <a:prstGeom prst="rect">
                            <a:avLst/>
                          </a:prstGeom>
                        </pic:spPr>
                      </pic:pic>
                    </a:graphicData>
                  </a:graphic>
                </wp:anchor>
              </w:drawing>
            </w:r>
            <w:r>
              <w:drawing>
                <wp:anchor distT="0" distB="0" distL="0" distR="0" simplePos="0" relativeHeight="252046336" behindDoc="0" locked="0" layoutInCell="1" allowOverlap="1">
                  <wp:simplePos x="0" y="0"/>
                  <wp:positionH relativeFrom="rightMargin">
                    <wp:posOffset>-3601085</wp:posOffset>
                  </wp:positionH>
                  <wp:positionV relativeFrom="topMargin">
                    <wp:posOffset>1873885</wp:posOffset>
                  </wp:positionV>
                  <wp:extent cx="614680" cy="52070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593"/>
                          <a:stretch>
                            <a:fillRect/>
                          </a:stretch>
                        </pic:blipFill>
                        <pic:spPr>
                          <a:xfrm>
                            <a:off x="0" y="0"/>
                            <a:ext cx="614654" cy="520408"/>
                          </a:xfrm>
                          <a:prstGeom prst="rect">
                            <a:avLst/>
                          </a:prstGeom>
                        </pic:spPr>
                      </pic:pic>
                    </a:graphicData>
                  </a:graphic>
                </wp:anchor>
              </w:drawing>
            </w:r>
            <w:r>
              <w:rPr>
                <w:rFonts w:ascii="Times New Roman" w:hAnsi="Times New Roman" w:eastAsia="Times New Roman" w:cs="Times New Roman"/>
                <w:b/>
                <w:bCs/>
                <w:sz w:val="40"/>
                <w:szCs w:val="40"/>
              </w:rPr>
              <w:t>N</w:t>
            </w:r>
          </w:p>
          <w:p w14:paraId="780CC525">
            <w:pPr>
              <w:spacing w:before="6" w:line="768" w:lineRule="exact"/>
              <w:ind w:firstLine="12552"/>
              <w:textAlignment w:val="center"/>
            </w:pPr>
            <w:r>
              <w:drawing>
                <wp:inline distT="0" distB="0" distL="0" distR="0">
                  <wp:extent cx="301625" cy="487680"/>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594"/>
                          <a:stretch>
                            <a:fillRect/>
                          </a:stretch>
                        </pic:blipFill>
                        <pic:spPr>
                          <a:xfrm>
                            <a:off x="0" y="0"/>
                            <a:ext cx="301828" cy="487934"/>
                          </a:xfrm>
                          <a:prstGeom prst="rect">
                            <a:avLst/>
                          </a:prstGeom>
                        </pic:spPr>
                      </pic:pic>
                    </a:graphicData>
                  </a:graphic>
                </wp:inline>
              </w:drawing>
            </w:r>
          </w:p>
          <w:p w14:paraId="11C02E9B">
            <w:pPr>
              <w:spacing w:line="262" w:lineRule="auto"/>
              <w:rPr>
                <w:rFonts w:ascii="Arial"/>
                <w:sz w:val="21"/>
              </w:rPr>
            </w:pPr>
          </w:p>
          <w:p w14:paraId="1DE7990E">
            <w:pPr>
              <w:spacing w:line="262" w:lineRule="auto"/>
              <w:rPr>
                <w:rFonts w:ascii="Arial"/>
                <w:sz w:val="21"/>
              </w:rPr>
            </w:pPr>
          </w:p>
          <w:p w14:paraId="1D681119">
            <w:pPr>
              <w:spacing w:line="263" w:lineRule="auto"/>
              <w:rPr>
                <w:rFonts w:ascii="Arial"/>
                <w:sz w:val="21"/>
              </w:rPr>
            </w:pPr>
          </w:p>
          <w:p w14:paraId="0A99A105">
            <w:pPr>
              <w:spacing w:line="263" w:lineRule="auto"/>
              <w:rPr>
                <w:rFonts w:ascii="Arial"/>
                <w:sz w:val="21"/>
              </w:rPr>
            </w:pPr>
          </w:p>
          <w:p w14:paraId="18B08489">
            <w:pPr>
              <w:spacing w:line="263" w:lineRule="auto"/>
              <w:rPr>
                <w:rFonts w:ascii="Arial"/>
                <w:sz w:val="21"/>
              </w:rPr>
            </w:pPr>
          </w:p>
          <w:p w14:paraId="52BB57BF">
            <w:pPr>
              <w:spacing w:line="263" w:lineRule="auto"/>
              <w:rPr>
                <w:rFonts w:ascii="Arial"/>
                <w:sz w:val="21"/>
              </w:rPr>
            </w:pPr>
          </w:p>
          <w:p w14:paraId="4E4A9EC0">
            <w:pPr>
              <w:spacing w:line="737" w:lineRule="exact"/>
              <w:ind w:firstLine="5193"/>
              <w:textAlignment w:val="center"/>
            </w:pPr>
            <w:r>
              <w:drawing>
                <wp:inline distT="0" distB="0" distL="0" distR="0">
                  <wp:extent cx="683895" cy="46736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595"/>
                          <a:stretch>
                            <a:fillRect/>
                          </a:stretch>
                        </pic:blipFill>
                        <pic:spPr>
                          <a:xfrm>
                            <a:off x="0" y="0"/>
                            <a:ext cx="684326" cy="467956"/>
                          </a:xfrm>
                          <a:prstGeom prst="rect">
                            <a:avLst/>
                          </a:prstGeom>
                        </pic:spPr>
                      </pic:pic>
                    </a:graphicData>
                  </a:graphic>
                </wp:inline>
              </w:drawing>
            </w:r>
          </w:p>
          <w:p w14:paraId="51B8DBA6"/>
          <w:p w14:paraId="12751188"/>
          <w:p w14:paraId="6A9E6C25"/>
          <w:p w14:paraId="14131BEE"/>
          <w:p w14:paraId="00ED4DFB"/>
          <w:p w14:paraId="22784BA4"/>
          <w:p w14:paraId="17B1A363"/>
          <w:p w14:paraId="0F05ECC5"/>
          <w:p w14:paraId="1F201757">
            <w:pPr>
              <w:spacing w:line="103" w:lineRule="exact"/>
            </w:pPr>
          </w:p>
          <w:tbl>
            <w:tblPr>
              <w:tblStyle w:val="4"/>
              <w:tblW w:w="2925" w:type="dxa"/>
              <w:tblInd w:w="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925"/>
            </w:tblGrid>
            <w:tr w14:paraId="26D3EC5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03" w:hRule="atLeast"/>
              </w:trPr>
              <w:tc>
                <w:tcPr>
                  <w:tcW w:w="2925" w:type="dxa"/>
                  <w:shd w:val="clear" w:color="auto" w:fill="FFFFFF"/>
                  <w:vAlign w:val="top"/>
                </w:tcPr>
                <w:p w14:paraId="26A9F85A">
                  <w:pPr>
                    <w:spacing w:before="150" w:line="229" w:lineRule="auto"/>
                    <w:ind w:left="992"/>
                    <w:rPr>
                      <w:rFonts w:ascii="宋体" w:hAnsi="宋体" w:eastAsia="宋体" w:cs="宋体"/>
                      <w:sz w:val="23"/>
                      <w:szCs w:val="23"/>
                    </w:rPr>
                  </w:pPr>
                  <w:r>
                    <w:rPr>
                      <w:rFonts w:ascii="宋体" w:hAnsi="宋体" w:eastAsia="宋体" w:cs="宋体"/>
                      <w:spacing w:val="2"/>
                      <w:sz w:val="23"/>
                      <w:szCs w:val="23"/>
                      <w:u w:val="single" w:color="auto"/>
                      <w14:textOutline w14:w="4358" w14:cap="sq" w14:cmpd="sng">
                        <w14:solidFill>
                          <w14:srgbClr w14:val="000000"/>
                        </w14:solidFill>
                        <w14:prstDash w14:val="solid"/>
                        <w14:bevel/>
                      </w14:textOutline>
                    </w:rPr>
                    <w:t>图</w:t>
                  </w:r>
                  <w:r>
                    <w:rPr>
                      <w:rFonts w:ascii="宋体" w:hAnsi="宋体" w:eastAsia="宋体" w:cs="宋体"/>
                      <w:spacing w:val="1"/>
                      <w:sz w:val="23"/>
                      <w:szCs w:val="23"/>
                      <w:u w:val="single" w:color="auto"/>
                    </w:rPr>
                    <w:t xml:space="preserve">    </w:t>
                  </w:r>
                  <w:r>
                    <w:rPr>
                      <w:rFonts w:ascii="宋体" w:hAnsi="宋体" w:eastAsia="宋体" w:cs="宋体"/>
                      <w:spacing w:val="1"/>
                      <w:sz w:val="23"/>
                      <w:szCs w:val="23"/>
                      <w:u w:val="single" w:color="auto"/>
                      <w14:textOutline w14:w="4358" w14:cap="sq" w14:cmpd="sng">
                        <w14:solidFill>
                          <w14:srgbClr w14:val="000000"/>
                        </w14:solidFill>
                        <w14:prstDash w14:val="solid"/>
                        <w14:bevel/>
                      </w14:textOutline>
                    </w:rPr>
                    <w:t>例</w:t>
                  </w:r>
                </w:p>
                <w:p w14:paraId="2A662F99">
                  <w:pPr>
                    <w:spacing w:before="55" w:line="304" w:lineRule="exact"/>
                    <w:ind w:left="257"/>
                    <w:rPr>
                      <w:rFonts w:ascii="宋体" w:hAnsi="宋体" w:eastAsia="宋体" w:cs="宋体"/>
                      <w:sz w:val="23"/>
                      <w:szCs w:val="23"/>
                    </w:rPr>
                  </w:pPr>
                  <w:r>
                    <w:rPr>
                      <w:rFonts w:ascii="宋体" w:hAnsi="宋体" w:eastAsia="宋体" w:cs="宋体"/>
                      <w:position w:val="3"/>
                      <w:sz w:val="23"/>
                      <w:szCs w:val="23"/>
                    </w:rPr>
                    <w:drawing>
                      <wp:inline distT="0" distB="0" distL="0" distR="0">
                        <wp:extent cx="149860" cy="115570"/>
                        <wp:effectExtent l="0" t="0" r="0" b="0"/>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596"/>
                                <a:stretch>
                                  <a:fillRect/>
                                </a:stretch>
                              </pic:blipFill>
                              <pic:spPr>
                                <a:xfrm>
                                  <a:off x="0" y="0"/>
                                  <a:ext cx="150494" cy="115570"/>
                                </a:xfrm>
                                <a:prstGeom prst="rect">
                                  <a:avLst/>
                                </a:prstGeom>
                              </pic:spPr>
                            </pic:pic>
                          </a:graphicData>
                        </a:graphic>
                      </wp:inline>
                    </w:drawing>
                  </w:r>
                  <w:r>
                    <w:rPr>
                      <w:rFonts w:ascii="宋体" w:hAnsi="宋体" w:eastAsia="宋体" w:cs="宋体"/>
                      <w:spacing w:val="8"/>
                      <w:position w:val="-1"/>
                      <w:sz w:val="23"/>
                      <w:szCs w:val="23"/>
                    </w:rPr>
                    <w:t xml:space="preserve"> </w:t>
                  </w:r>
                  <w:r>
                    <w:rPr>
                      <w:rFonts w:ascii="宋体" w:hAnsi="宋体" w:eastAsia="宋体" w:cs="宋体"/>
                      <w:spacing w:val="6"/>
                      <w:position w:val="-1"/>
                      <w:sz w:val="23"/>
                      <w:szCs w:val="23"/>
                    </w:rPr>
                    <w:t>建设项目厂界</w:t>
                  </w:r>
                </w:p>
                <w:p w14:paraId="1999DE1B">
                  <w:pPr>
                    <w:spacing w:before="39" w:line="320" w:lineRule="exact"/>
                    <w:ind w:left="255"/>
                    <w:rPr>
                      <w:rFonts w:ascii="宋体" w:hAnsi="宋体" w:eastAsia="宋体" w:cs="宋体"/>
                      <w:sz w:val="23"/>
                      <w:szCs w:val="23"/>
                    </w:rPr>
                  </w:pPr>
                  <w:r>
                    <w:rPr>
                      <w:rFonts w:ascii="宋体" w:hAnsi="宋体" w:eastAsia="宋体" w:cs="宋体"/>
                      <w:position w:val="-1"/>
                      <w:sz w:val="23"/>
                      <w:szCs w:val="23"/>
                    </w:rPr>
                    <w:drawing>
                      <wp:inline distT="0" distB="0" distL="0" distR="0">
                        <wp:extent cx="153035" cy="15367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597"/>
                                <a:stretch>
                                  <a:fillRect/>
                                </a:stretch>
                              </pic:blipFill>
                              <pic:spPr>
                                <a:xfrm>
                                  <a:off x="0" y="0"/>
                                  <a:ext cx="153669" cy="153670"/>
                                </a:xfrm>
                                <a:prstGeom prst="rect">
                                  <a:avLst/>
                                </a:prstGeom>
                              </pic:spPr>
                            </pic:pic>
                          </a:graphicData>
                        </a:graphic>
                      </wp:inline>
                    </w:drawing>
                  </w:r>
                  <w:r>
                    <w:rPr>
                      <w:rFonts w:ascii="宋体" w:hAnsi="宋体" w:eastAsia="宋体" w:cs="宋体"/>
                      <w:spacing w:val="18"/>
                      <w:position w:val="-1"/>
                      <w:sz w:val="23"/>
                      <w:szCs w:val="23"/>
                    </w:rPr>
                    <w:t xml:space="preserve"> </w:t>
                  </w:r>
                  <w:r>
                    <w:rPr>
                      <w:rFonts w:ascii="宋体" w:hAnsi="宋体" w:eastAsia="宋体" w:cs="宋体"/>
                      <w:spacing w:val="16"/>
                      <w:position w:val="-1"/>
                      <w:sz w:val="23"/>
                      <w:szCs w:val="23"/>
                    </w:rPr>
                    <w:t>地下水观测井点位</w:t>
                  </w:r>
                </w:p>
              </w:tc>
            </w:tr>
          </w:tbl>
          <w:p w14:paraId="37AAC54E">
            <w:pPr>
              <w:spacing w:line="14" w:lineRule="auto"/>
              <w:rPr>
                <w:rFonts w:ascii="Arial"/>
                <w:sz w:val="2"/>
              </w:rPr>
            </w:pPr>
          </w:p>
        </w:tc>
      </w:tr>
    </w:tbl>
    <w:p w14:paraId="0868C446">
      <w:pPr>
        <w:spacing w:before="46" w:line="227" w:lineRule="auto"/>
        <w:ind w:left="5207"/>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3"/>
          <w:sz w:val="23"/>
          <w:szCs w:val="23"/>
        </w:rPr>
        <w:t>6-2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地下水观测井点位分布图</w:t>
      </w:r>
    </w:p>
    <w:p w14:paraId="07351429">
      <w:pPr>
        <w:sectPr>
          <w:headerReference r:id="rId281" w:type="default"/>
          <w:footerReference r:id="rId282" w:type="default"/>
          <w:pgSz w:w="16839" w:h="11906"/>
          <w:pgMar w:top="1132" w:right="1440" w:bottom="1182" w:left="1440" w:header="878" w:footer="1022" w:gutter="0"/>
          <w:cols w:space="720" w:num="1"/>
        </w:sectPr>
      </w:pPr>
    </w:p>
    <w:p w14:paraId="32A156BC">
      <w:pPr>
        <w:spacing w:line="374" w:lineRule="auto"/>
        <w:rPr>
          <w:rFonts w:ascii="Arial"/>
          <w:sz w:val="21"/>
        </w:rPr>
      </w:pPr>
      <w:r>
        <w:pict>
          <v:shape id="_x0000_s1353" o:spid="_x0000_s1353" style="position:absolute;left:0pt;margin-left:90pt;margin-top:57.35pt;height:0.75pt;width:415.3pt;mso-position-horizontal-relative:page;mso-position-vertical-relative:page;z-index:252047360;mso-width-relative:page;mso-height-relative:page;" fillcolor="#000000" filled="t" stroked="f" coordsize="8305,15" o:allowincell="f" path="m0,0l8305,0,8305,14,0,14,0,0xe">
            <v:path/>
            <v:fill on="t" focussize="0,0"/>
            <v:stroke on="f"/>
            <v:imagedata o:title=""/>
            <o:lock v:ext="edit"/>
          </v:shape>
        </w:pict>
      </w:r>
    </w:p>
    <w:p w14:paraId="46561067">
      <w:pPr>
        <w:spacing w:before="94" w:line="226" w:lineRule="auto"/>
        <w:ind w:left="25"/>
        <w:outlineLvl w:val="2"/>
        <w:rPr>
          <w:rFonts w:ascii="宋体" w:hAnsi="宋体" w:eastAsia="宋体" w:cs="宋体"/>
          <w:sz w:val="29"/>
          <w:szCs w:val="29"/>
        </w:rPr>
      </w:pPr>
      <w:r>
        <w:rPr>
          <w:rFonts w:ascii="Times New Roman" w:hAnsi="Times New Roman" w:eastAsia="Times New Roman" w:cs="Times New Roman"/>
          <w:b/>
          <w:bCs/>
          <w:spacing w:val="6"/>
          <w:sz w:val="29"/>
          <w:szCs w:val="29"/>
        </w:rPr>
        <w:t>6.2.4</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噪声控制措</w:t>
      </w:r>
      <w:r>
        <w:rPr>
          <w:rFonts w:ascii="宋体" w:hAnsi="宋体" w:eastAsia="宋体" w:cs="宋体"/>
          <w:spacing w:val="5"/>
          <w:sz w:val="29"/>
          <w:szCs w:val="29"/>
          <w14:textOutline w14:w="5448" w14:cap="sq" w14:cmpd="sng">
            <w14:solidFill>
              <w14:srgbClr w14:val="000000"/>
            </w14:solidFill>
            <w14:prstDash w14:val="solid"/>
            <w14:bevel/>
          </w14:textOutline>
        </w:rPr>
        <w:t>施</w:t>
      </w:r>
    </w:p>
    <w:p w14:paraId="718F597A">
      <w:pPr>
        <w:spacing w:before="314" w:line="376" w:lineRule="auto"/>
        <w:ind w:left="23" w:right="84" w:firstLine="483"/>
        <w:rPr>
          <w:rFonts w:ascii="宋体" w:hAnsi="宋体" w:eastAsia="宋体" w:cs="宋体"/>
          <w:sz w:val="23"/>
          <w:szCs w:val="23"/>
        </w:rPr>
      </w:pPr>
      <w:r>
        <w:rPr>
          <w:rFonts w:ascii="宋体" w:hAnsi="宋体" w:eastAsia="宋体" w:cs="宋体"/>
          <w:spacing w:val="12"/>
          <w:sz w:val="23"/>
          <w:szCs w:val="23"/>
        </w:rPr>
        <w:t>项目噪声</w:t>
      </w:r>
      <w:r>
        <w:rPr>
          <w:rFonts w:ascii="宋体" w:hAnsi="宋体" w:eastAsia="宋体" w:cs="宋体"/>
          <w:spacing w:val="7"/>
          <w:sz w:val="23"/>
          <w:szCs w:val="23"/>
        </w:rPr>
        <w:t>主</w:t>
      </w:r>
      <w:r>
        <w:rPr>
          <w:rFonts w:ascii="宋体" w:hAnsi="宋体" w:eastAsia="宋体" w:cs="宋体"/>
          <w:spacing w:val="6"/>
          <w:sz w:val="23"/>
          <w:szCs w:val="23"/>
        </w:rPr>
        <w:t>要为生产设备运行中辐射噪声，产生较大噪声的噪声源主要有各</w:t>
      </w:r>
      <w:r>
        <w:rPr>
          <w:rFonts w:ascii="宋体" w:hAnsi="宋体" w:eastAsia="宋体" w:cs="宋体"/>
          <w:sz w:val="23"/>
          <w:szCs w:val="23"/>
        </w:rPr>
        <w:t xml:space="preserve"> </w:t>
      </w:r>
      <w:r>
        <w:rPr>
          <w:rFonts w:ascii="宋体" w:hAnsi="宋体" w:eastAsia="宋体" w:cs="宋体"/>
          <w:spacing w:val="9"/>
          <w:sz w:val="23"/>
          <w:szCs w:val="23"/>
        </w:rPr>
        <w:t>喂</w:t>
      </w:r>
      <w:r>
        <w:rPr>
          <w:rFonts w:ascii="宋体" w:hAnsi="宋体" w:eastAsia="宋体" w:cs="宋体"/>
          <w:spacing w:val="7"/>
          <w:sz w:val="23"/>
          <w:szCs w:val="23"/>
        </w:rPr>
        <w:t>料机、洗料机、粉碎机等设备。项目所有噪声源均置于室内，为降低噪声对外</w:t>
      </w:r>
      <w:r>
        <w:rPr>
          <w:rFonts w:ascii="宋体" w:hAnsi="宋体" w:eastAsia="宋体" w:cs="宋体"/>
          <w:sz w:val="23"/>
          <w:szCs w:val="23"/>
        </w:rPr>
        <w:t xml:space="preserve"> </w:t>
      </w:r>
      <w:r>
        <w:rPr>
          <w:rFonts w:ascii="宋体" w:hAnsi="宋体" w:eastAsia="宋体" w:cs="宋体"/>
          <w:spacing w:val="16"/>
          <w:sz w:val="23"/>
          <w:szCs w:val="23"/>
        </w:rPr>
        <w:t>环</w:t>
      </w:r>
      <w:r>
        <w:rPr>
          <w:rFonts w:ascii="宋体" w:hAnsi="宋体" w:eastAsia="宋体" w:cs="宋体"/>
          <w:spacing w:val="8"/>
          <w:sz w:val="23"/>
          <w:szCs w:val="23"/>
        </w:rPr>
        <w:t>境的影响，应采取以下措施：</w:t>
      </w:r>
    </w:p>
    <w:p w14:paraId="7267A13E">
      <w:pPr>
        <w:spacing w:before="148" w:line="393" w:lineRule="auto"/>
        <w:ind w:left="43" w:right="87" w:firstLine="47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建议在设计和设备采购阶段，充分选用先进的低噪设备，如选用低噪</w:t>
      </w:r>
      <w:r>
        <w:rPr>
          <w:rFonts w:ascii="宋体" w:hAnsi="宋体" w:eastAsia="宋体" w:cs="宋体"/>
          <w:sz w:val="23"/>
          <w:szCs w:val="23"/>
        </w:rPr>
        <w:t xml:space="preserve"> </w:t>
      </w:r>
      <w:r>
        <w:rPr>
          <w:rFonts w:ascii="宋体" w:hAnsi="宋体" w:eastAsia="宋体" w:cs="宋体"/>
          <w:spacing w:val="8"/>
          <w:sz w:val="23"/>
          <w:szCs w:val="23"/>
        </w:rPr>
        <w:t>的泵类等，以从声源上降低设备本身噪声</w:t>
      </w:r>
      <w:r>
        <w:rPr>
          <w:rFonts w:ascii="宋体" w:hAnsi="宋体" w:eastAsia="宋体" w:cs="宋体"/>
          <w:spacing w:val="6"/>
          <w:sz w:val="23"/>
          <w:szCs w:val="23"/>
        </w:rPr>
        <w:t>；</w:t>
      </w:r>
    </w:p>
    <w:p w14:paraId="2F6F28E3">
      <w:pPr>
        <w:spacing w:before="136" w:line="393" w:lineRule="auto"/>
        <w:ind w:left="23" w:right="85" w:firstLine="491"/>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泵类等发声设备应设减振垫；加强设备的维护，确保设备处于良好的</w:t>
      </w:r>
      <w:r>
        <w:rPr>
          <w:rFonts w:ascii="宋体" w:hAnsi="宋体" w:eastAsia="宋体" w:cs="宋体"/>
          <w:sz w:val="23"/>
          <w:szCs w:val="23"/>
        </w:rPr>
        <w:t xml:space="preserve"> </w:t>
      </w:r>
      <w:r>
        <w:rPr>
          <w:rFonts w:ascii="宋体" w:hAnsi="宋体" w:eastAsia="宋体" w:cs="宋体"/>
          <w:spacing w:val="14"/>
          <w:sz w:val="23"/>
          <w:szCs w:val="23"/>
        </w:rPr>
        <w:t>运</w:t>
      </w:r>
      <w:r>
        <w:rPr>
          <w:rFonts w:ascii="宋体" w:hAnsi="宋体" w:eastAsia="宋体" w:cs="宋体"/>
          <w:spacing w:val="9"/>
          <w:sz w:val="23"/>
          <w:szCs w:val="23"/>
        </w:rPr>
        <w:t>转状态，杜绝因设备不正常运转时产生的高噪声现象。</w:t>
      </w:r>
    </w:p>
    <w:p w14:paraId="6D54772C">
      <w:pPr>
        <w:spacing w:before="137" w:line="227" w:lineRule="auto"/>
        <w:ind w:left="514"/>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着重生产厂房四周绿化，既美化环境又减轻噪声对厂界环境的影响。</w:t>
      </w:r>
    </w:p>
    <w:p w14:paraId="599B6AA7">
      <w:pPr>
        <w:spacing w:line="276" w:lineRule="auto"/>
        <w:rPr>
          <w:rFonts w:ascii="Arial"/>
          <w:sz w:val="21"/>
        </w:rPr>
      </w:pPr>
    </w:p>
    <w:p w14:paraId="252EAD06">
      <w:pPr>
        <w:spacing w:before="75" w:line="393" w:lineRule="auto"/>
        <w:ind w:left="25" w:right="84" w:firstLine="480"/>
        <w:rPr>
          <w:rFonts w:ascii="宋体" w:hAnsi="宋体" w:eastAsia="宋体" w:cs="宋体"/>
          <w:sz w:val="23"/>
          <w:szCs w:val="23"/>
        </w:rPr>
      </w:pPr>
      <w:r>
        <w:rPr>
          <w:rFonts w:ascii="宋体" w:hAnsi="宋体" w:eastAsia="宋体" w:cs="宋体"/>
          <w:spacing w:val="12"/>
          <w:sz w:val="23"/>
          <w:szCs w:val="23"/>
        </w:rPr>
        <w:t>综上所述</w:t>
      </w:r>
      <w:r>
        <w:rPr>
          <w:rFonts w:ascii="宋体" w:hAnsi="宋体" w:eastAsia="宋体" w:cs="宋体"/>
          <w:spacing w:val="8"/>
          <w:sz w:val="23"/>
          <w:szCs w:val="23"/>
        </w:rPr>
        <w:t>，</w:t>
      </w:r>
      <w:r>
        <w:rPr>
          <w:rFonts w:ascii="宋体" w:hAnsi="宋体" w:eastAsia="宋体" w:cs="宋体"/>
          <w:spacing w:val="6"/>
          <w:sz w:val="23"/>
          <w:szCs w:val="23"/>
        </w:rPr>
        <w:t>项目采取上述防噪措施后，噪声对周围环境影响较小，厂界噪声</w:t>
      </w:r>
      <w:r>
        <w:rPr>
          <w:rFonts w:ascii="宋体" w:hAnsi="宋体" w:eastAsia="宋体" w:cs="宋体"/>
          <w:sz w:val="23"/>
          <w:szCs w:val="23"/>
        </w:rPr>
        <w:t xml:space="preserve"> </w:t>
      </w:r>
      <w:r>
        <w:rPr>
          <w:rFonts w:ascii="宋体" w:hAnsi="宋体" w:eastAsia="宋体" w:cs="宋体"/>
          <w:spacing w:val="8"/>
          <w:sz w:val="23"/>
          <w:szCs w:val="23"/>
        </w:rPr>
        <w:t>可达到《工业企</w:t>
      </w:r>
      <w:r>
        <w:rPr>
          <w:rFonts w:ascii="宋体" w:hAnsi="宋体" w:eastAsia="宋体" w:cs="宋体"/>
          <w:spacing w:val="4"/>
          <w:sz w:val="23"/>
          <w:szCs w:val="23"/>
        </w:rPr>
        <w:t>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12348-2008</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类标要求。</w:t>
      </w:r>
    </w:p>
    <w:p w14:paraId="090461CB">
      <w:pPr>
        <w:spacing w:before="86" w:line="226" w:lineRule="auto"/>
        <w:ind w:left="25"/>
        <w:outlineLvl w:val="2"/>
        <w:rPr>
          <w:rFonts w:ascii="宋体" w:hAnsi="宋体" w:eastAsia="宋体" w:cs="宋体"/>
          <w:sz w:val="29"/>
          <w:szCs w:val="29"/>
        </w:rPr>
      </w:pPr>
      <w:r>
        <w:rPr>
          <w:rFonts w:ascii="Times New Roman" w:hAnsi="Times New Roman" w:eastAsia="Times New Roman" w:cs="Times New Roman"/>
          <w:b/>
          <w:bCs/>
          <w:spacing w:val="10"/>
          <w:sz w:val="29"/>
          <w:szCs w:val="29"/>
        </w:rPr>
        <w:t>6</w:t>
      </w:r>
      <w:r>
        <w:rPr>
          <w:rFonts w:ascii="Times New Roman" w:hAnsi="Times New Roman" w:eastAsia="Times New Roman" w:cs="Times New Roman"/>
          <w:b/>
          <w:bCs/>
          <w:spacing w:val="7"/>
          <w:sz w:val="29"/>
          <w:szCs w:val="29"/>
        </w:rPr>
        <w:t>.2.5</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固体废物污染防治措施</w:t>
      </w:r>
    </w:p>
    <w:p w14:paraId="3AB877B5">
      <w:pPr>
        <w:spacing w:before="315" w:line="227" w:lineRule="auto"/>
        <w:ind w:left="507"/>
        <w:rPr>
          <w:rFonts w:ascii="宋体" w:hAnsi="宋体" w:eastAsia="宋体" w:cs="宋体"/>
          <w:sz w:val="23"/>
          <w:szCs w:val="23"/>
        </w:rPr>
      </w:pPr>
      <w:r>
        <w:rPr>
          <w:rFonts w:ascii="宋体" w:hAnsi="宋体" w:eastAsia="宋体" w:cs="宋体"/>
          <w:spacing w:val="12"/>
          <w:sz w:val="23"/>
          <w:szCs w:val="23"/>
        </w:rPr>
        <w:t>该项目固</w:t>
      </w:r>
      <w:r>
        <w:rPr>
          <w:rFonts w:ascii="宋体" w:hAnsi="宋体" w:eastAsia="宋体" w:cs="宋体"/>
          <w:spacing w:val="7"/>
          <w:sz w:val="23"/>
          <w:szCs w:val="23"/>
        </w:rPr>
        <w:t>体</w:t>
      </w:r>
      <w:r>
        <w:rPr>
          <w:rFonts w:ascii="宋体" w:hAnsi="宋体" w:eastAsia="宋体" w:cs="宋体"/>
          <w:spacing w:val="6"/>
          <w:sz w:val="23"/>
          <w:szCs w:val="23"/>
        </w:rPr>
        <w:t>废物主要为员工产生的生活垃圾、危险废物以及一般工业固体废</w:t>
      </w:r>
    </w:p>
    <w:p w14:paraId="5200CF40">
      <w:pPr>
        <w:spacing w:before="179" w:line="378" w:lineRule="auto"/>
        <w:ind w:left="37" w:right="99" w:hanging="14"/>
        <w:rPr>
          <w:rFonts w:ascii="宋体" w:hAnsi="宋体" w:eastAsia="宋体" w:cs="宋体"/>
          <w:sz w:val="23"/>
          <w:szCs w:val="23"/>
        </w:rPr>
      </w:pPr>
      <w:r>
        <w:rPr>
          <w:rFonts w:ascii="宋体" w:hAnsi="宋体" w:eastAsia="宋体" w:cs="宋体"/>
          <w:spacing w:val="26"/>
          <w:sz w:val="23"/>
          <w:szCs w:val="23"/>
        </w:rPr>
        <w:t>物</w:t>
      </w:r>
      <w:r>
        <w:rPr>
          <w:rFonts w:ascii="宋体" w:hAnsi="宋体" w:eastAsia="宋体" w:cs="宋体"/>
          <w:spacing w:val="20"/>
          <w:sz w:val="23"/>
          <w:szCs w:val="23"/>
        </w:rPr>
        <w:t>，</w:t>
      </w:r>
      <w:r>
        <w:rPr>
          <w:rFonts w:ascii="宋体" w:hAnsi="宋体" w:eastAsia="宋体" w:cs="宋体"/>
          <w:spacing w:val="13"/>
          <w:sz w:val="23"/>
          <w:szCs w:val="23"/>
        </w:rPr>
        <w:t>其中一般工业固体废物包括杂质、沉淀池污泥、废滤网、热风炉炉渣以及</w:t>
      </w:r>
      <w:r>
        <w:rPr>
          <w:rFonts w:ascii="宋体" w:hAnsi="宋体" w:eastAsia="宋体" w:cs="宋体"/>
          <w:sz w:val="23"/>
          <w:szCs w:val="23"/>
        </w:rPr>
        <w:t xml:space="preserve"> </w:t>
      </w:r>
      <w:r>
        <w:rPr>
          <w:rFonts w:ascii="宋体" w:hAnsi="宋体" w:eastAsia="宋体" w:cs="宋体"/>
          <w:spacing w:val="10"/>
          <w:sz w:val="23"/>
          <w:szCs w:val="23"/>
        </w:rPr>
        <w:t xml:space="preserve">除尘器收集的粉尘，危险废物主要为废活性炭、废 </w:t>
      </w:r>
      <w:r>
        <w:rPr>
          <w:rFonts w:ascii="Times New Roman" w:hAnsi="Times New Roman" w:eastAsia="Times New Roman" w:cs="Times New Roman"/>
          <w:sz w:val="23"/>
          <w:szCs w:val="23"/>
        </w:rPr>
        <w:t>uv</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光解灯管</w:t>
      </w:r>
      <w:r>
        <w:rPr>
          <w:rFonts w:ascii="宋体" w:hAnsi="宋体" w:eastAsia="宋体" w:cs="宋体"/>
          <w:spacing w:val="9"/>
          <w:sz w:val="23"/>
          <w:szCs w:val="23"/>
        </w:rPr>
        <w:t>。</w:t>
      </w:r>
    </w:p>
    <w:p w14:paraId="0405B680">
      <w:pPr>
        <w:spacing w:before="145" w:line="387" w:lineRule="auto"/>
        <w:ind w:left="22" w:firstLine="484"/>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1"/>
          <w:sz w:val="23"/>
          <w:szCs w:val="23"/>
        </w:rPr>
        <w:t>项</w:t>
      </w:r>
      <w:r>
        <w:rPr>
          <w:rFonts w:ascii="宋体" w:hAnsi="宋体" w:eastAsia="宋体" w:cs="宋体"/>
          <w:spacing w:val="9"/>
          <w:sz w:val="23"/>
          <w:szCs w:val="23"/>
        </w:rPr>
        <w:t>目在厂区内设置集中收集垃圾箱，员工生活垃圾收集到指定垃圾箱内，</w:t>
      </w:r>
      <w:r>
        <w:rPr>
          <w:rFonts w:ascii="宋体" w:hAnsi="宋体" w:eastAsia="宋体" w:cs="宋体"/>
          <w:sz w:val="23"/>
          <w:szCs w:val="23"/>
        </w:rPr>
        <w:t xml:space="preserve"> </w:t>
      </w:r>
      <w:r>
        <w:rPr>
          <w:rFonts w:ascii="宋体" w:hAnsi="宋体" w:eastAsia="宋体" w:cs="宋体"/>
          <w:spacing w:val="9"/>
          <w:sz w:val="23"/>
          <w:szCs w:val="23"/>
        </w:rPr>
        <w:t>随</w:t>
      </w:r>
      <w:r>
        <w:rPr>
          <w:rFonts w:ascii="宋体" w:hAnsi="宋体" w:eastAsia="宋体" w:cs="宋体"/>
          <w:spacing w:val="7"/>
          <w:sz w:val="23"/>
          <w:szCs w:val="23"/>
        </w:rPr>
        <w:t>后运送至环卫部门指定地点统一处理；产生的杂质集中收集后，与生活垃圾统</w:t>
      </w:r>
      <w:r>
        <w:rPr>
          <w:rFonts w:ascii="宋体" w:hAnsi="宋体" w:eastAsia="宋体" w:cs="宋体"/>
          <w:sz w:val="23"/>
          <w:szCs w:val="23"/>
        </w:rPr>
        <w:t xml:space="preserve"> </w:t>
      </w:r>
      <w:r>
        <w:rPr>
          <w:rFonts w:ascii="宋体" w:hAnsi="宋体" w:eastAsia="宋体" w:cs="宋体"/>
          <w:spacing w:val="9"/>
          <w:sz w:val="23"/>
          <w:szCs w:val="23"/>
        </w:rPr>
        <w:t>一</w:t>
      </w:r>
      <w:r>
        <w:rPr>
          <w:rFonts w:ascii="宋体" w:hAnsi="宋体" w:eastAsia="宋体" w:cs="宋体"/>
          <w:spacing w:val="7"/>
          <w:sz w:val="23"/>
          <w:szCs w:val="23"/>
        </w:rPr>
        <w:t>运送至环卫部门指定地点统一处理；生产废水处理过程中产生的污泥经压滤后</w:t>
      </w:r>
      <w:r>
        <w:rPr>
          <w:rFonts w:ascii="宋体" w:hAnsi="宋体" w:eastAsia="宋体" w:cs="宋体"/>
          <w:sz w:val="23"/>
          <w:szCs w:val="23"/>
        </w:rPr>
        <w:t xml:space="preserve"> </w:t>
      </w:r>
      <w:r>
        <w:rPr>
          <w:rFonts w:ascii="宋体" w:hAnsi="宋体" w:eastAsia="宋体" w:cs="宋体"/>
          <w:spacing w:val="26"/>
          <w:sz w:val="23"/>
          <w:szCs w:val="23"/>
        </w:rPr>
        <w:t>可</w:t>
      </w:r>
      <w:r>
        <w:rPr>
          <w:rFonts w:ascii="宋体" w:hAnsi="宋体" w:eastAsia="宋体" w:cs="宋体"/>
          <w:spacing w:val="23"/>
          <w:sz w:val="23"/>
          <w:szCs w:val="23"/>
        </w:rPr>
        <w:t>与</w:t>
      </w:r>
      <w:r>
        <w:rPr>
          <w:rFonts w:ascii="宋体" w:hAnsi="宋体" w:eastAsia="宋体" w:cs="宋体"/>
          <w:spacing w:val="13"/>
          <w:sz w:val="23"/>
          <w:szCs w:val="23"/>
        </w:rPr>
        <w:t>生活垃圾一起运送至环卫部门指定地点统一处理；热风炉燃烧生物质产生</w:t>
      </w:r>
      <w:r>
        <w:rPr>
          <w:rFonts w:ascii="宋体" w:hAnsi="宋体" w:eastAsia="宋体" w:cs="宋体"/>
          <w:sz w:val="23"/>
          <w:szCs w:val="23"/>
        </w:rPr>
        <w:t xml:space="preserve"> </w:t>
      </w:r>
      <w:r>
        <w:rPr>
          <w:rFonts w:ascii="宋体" w:hAnsi="宋体" w:eastAsia="宋体" w:cs="宋体"/>
          <w:spacing w:val="35"/>
          <w:sz w:val="23"/>
          <w:szCs w:val="23"/>
        </w:rPr>
        <w:t>的</w:t>
      </w:r>
      <w:r>
        <w:rPr>
          <w:rFonts w:ascii="宋体" w:hAnsi="宋体" w:eastAsia="宋体" w:cs="宋体"/>
          <w:spacing w:val="21"/>
          <w:sz w:val="23"/>
          <w:szCs w:val="23"/>
        </w:rPr>
        <w:t>炉渣及及除尘器收集的粉尘定期外卖给农肥厂进行综合利用；产生的废滤</w:t>
      </w:r>
      <w:r>
        <w:rPr>
          <w:rFonts w:ascii="宋体" w:hAnsi="宋体" w:eastAsia="宋体" w:cs="宋体"/>
          <w:sz w:val="23"/>
          <w:szCs w:val="23"/>
        </w:rPr>
        <w:t xml:space="preserve"> </w:t>
      </w:r>
      <w:r>
        <w:rPr>
          <w:rFonts w:ascii="宋体" w:hAnsi="宋体" w:eastAsia="宋体" w:cs="宋体"/>
          <w:spacing w:val="34"/>
          <w:sz w:val="23"/>
          <w:szCs w:val="23"/>
        </w:rPr>
        <w:t>网</w:t>
      </w:r>
      <w:r>
        <w:rPr>
          <w:rFonts w:ascii="宋体" w:hAnsi="宋体" w:eastAsia="宋体" w:cs="宋体"/>
          <w:spacing w:val="26"/>
          <w:sz w:val="23"/>
          <w:szCs w:val="23"/>
        </w:rPr>
        <w:t>均</w:t>
      </w:r>
      <w:r>
        <w:rPr>
          <w:rFonts w:ascii="宋体" w:hAnsi="宋体" w:eastAsia="宋体" w:cs="宋体"/>
          <w:spacing w:val="17"/>
          <w:sz w:val="23"/>
          <w:szCs w:val="23"/>
        </w:rPr>
        <w:t>由厂家定期回收；产生的废活性炭属于</w:t>
      </w:r>
      <w:r>
        <w:rPr>
          <w:rFonts w:ascii="Times New Roman" w:hAnsi="Times New Roman" w:eastAsia="Times New Roman" w:cs="Times New Roman"/>
          <w:spacing w:val="17"/>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17"/>
          <w:sz w:val="23"/>
          <w:szCs w:val="23"/>
        </w:rPr>
        <w:t xml:space="preserve">49  </w:t>
      </w:r>
      <w:r>
        <w:rPr>
          <w:rFonts w:ascii="宋体" w:hAnsi="宋体" w:eastAsia="宋体" w:cs="宋体"/>
          <w:spacing w:val="17"/>
          <w:sz w:val="23"/>
          <w:szCs w:val="23"/>
        </w:rPr>
        <w:t>其他废物</w:t>
      </w:r>
      <w:r>
        <w:rPr>
          <w:rFonts w:ascii="Times New Roman" w:hAnsi="Times New Roman" w:eastAsia="Times New Roman" w:cs="Times New Roman"/>
          <w:spacing w:val="17"/>
          <w:sz w:val="23"/>
          <w:szCs w:val="23"/>
        </w:rPr>
        <w:t xml:space="preserve">” </w:t>
      </w:r>
      <w:r>
        <w:rPr>
          <w:rFonts w:ascii="宋体" w:hAnsi="宋体" w:eastAsia="宋体" w:cs="宋体"/>
          <w:spacing w:val="17"/>
          <w:sz w:val="23"/>
          <w:szCs w:val="23"/>
        </w:rPr>
        <w:t>，废物代码为</w:t>
      </w:r>
      <w:r>
        <w:rPr>
          <w:rFonts w:ascii="宋体" w:hAnsi="宋体" w:eastAsia="宋体" w:cs="宋体"/>
          <w:sz w:val="23"/>
          <w:szCs w:val="23"/>
        </w:rPr>
        <w:t xml:space="preserve"> </w:t>
      </w:r>
      <w:r>
        <w:rPr>
          <w:rFonts w:ascii="Times New Roman" w:hAnsi="Times New Roman" w:eastAsia="Times New Roman" w:cs="Times New Roman"/>
          <w:spacing w:val="6"/>
          <w:sz w:val="23"/>
          <w:szCs w:val="23"/>
        </w:rPr>
        <w:t>9</w:t>
      </w:r>
      <w:r>
        <w:rPr>
          <w:rFonts w:ascii="Times New Roman" w:hAnsi="Times New Roman" w:eastAsia="Times New Roman" w:cs="Times New Roman"/>
          <w:spacing w:val="4"/>
          <w:sz w:val="23"/>
          <w:szCs w:val="23"/>
        </w:rPr>
        <w:t xml:space="preserve">00-041-49 </w:t>
      </w:r>
      <w:r>
        <w:rPr>
          <w:rFonts w:ascii="宋体" w:hAnsi="宋体" w:eastAsia="宋体" w:cs="宋体"/>
          <w:spacing w:val="4"/>
          <w:sz w:val="23"/>
          <w:szCs w:val="23"/>
        </w:rPr>
        <w:t>，即</w:t>
      </w:r>
      <w:r>
        <w:rPr>
          <w:rFonts w:ascii="Times New Roman" w:hAnsi="Times New Roman" w:eastAsia="Times New Roman" w:cs="Times New Roman"/>
          <w:spacing w:val="4"/>
          <w:sz w:val="23"/>
          <w:szCs w:val="23"/>
        </w:rPr>
        <w:t>“</w:t>
      </w:r>
      <w:r>
        <w:rPr>
          <w:rFonts w:ascii="宋体" w:hAnsi="宋体" w:eastAsia="宋体" w:cs="宋体"/>
          <w:spacing w:val="4"/>
          <w:sz w:val="23"/>
          <w:szCs w:val="23"/>
        </w:rPr>
        <w:t>含有或沾染毒性、感染性危险废物的废弃包装物、容器、过滤吸</w:t>
      </w:r>
      <w:r>
        <w:rPr>
          <w:rFonts w:ascii="宋体" w:hAnsi="宋体" w:eastAsia="宋体" w:cs="宋体"/>
          <w:sz w:val="23"/>
          <w:szCs w:val="23"/>
        </w:rPr>
        <w:t xml:space="preserve"> </w:t>
      </w:r>
      <w:r>
        <w:rPr>
          <w:rFonts w:ascii="宋体" w:hAnsi="宋体" w:eastAsia="宋体" w:cs="宋体"/>
          <w:spacing w:val="4"/>
          <w:sz w:val="23"/>
          <w:szCs w:val="23"/>
        </w:rPr>
        <w:t>附介质</w:t>
      </w:r>
      <w:r>
        <w:rPr>
          <w:rFonts w:ascii="Times New Roman" w:hAnsi="Times New Roman" w:eastAsia="Times New Roman" w:cs="Times New Roman"/>
          <w:spacing w:val="4"/>
          <w:sz w:val="23"/>
          <w:szCs w:val="23"/>
        </w:rPr>
        <w:t>”</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(毒性) ，</w:t>
      </w:r>
      <w:r>
        <w:rPr>
          <w:rFonts w:ascii="Times New Roman" w:hAnsi="Times New Roman" w:eastAsia="Times New Roman" w:cs="Times New Roman"/>
          <w:sz w:val="23"/>
          <w:szCs w:val="23"/>
        </w:rPr>
        <w:t>In</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(感染性) </w:t>
      </w:r>
      <w:r>
        <w:rPr>
          <w:rFonts w:ascii="Times New Roman" w:hAnsi="Times New Roman" w:eastAsia="Times New Roman" w:cs="Times New Roman"/>
          <w:spacing w:val="2"/>
          <w:sz w:val="23"/>
          <w:szCs w:val="23"/>
        </w:rPr>
        <w:t>”</w:t>
      </w:r>
      <w:r>
        <w:rPr>
          <w:rFonts w:ascii="宋体" w:hAnsi="宋体" w:eastAsia="宋体" w:cs="宋体"/>
          <w:spacing w:val="2"/>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光解灯管属于</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2"/>
          <w:sz w:val="23"/>
          <w:szCs w:val="23"/>
        </w:rPr>
        <w:t xml:space="preserve">29  </w:t>
      </w:r>
      <w:r>
        <w:rPr>
          <w:rFonts w:ascii="宋体" w:hAnsi="宋体" w:eastAsia="宋体" w:cs="宋体"/>
          <w:spacing w:val="2"/>
          <w:sz w:val="23"/>
          <w:szCs w:val="23"/>
        </w:rPr>
        <w:t>含</w:t>
      </w:r>
      <w:r>
        <w:rPr>
          <w:rFonts w:ascii="宋体" w:hAnsi="宋体" w:eastAsia="宋体" w:cs="宋体"/>
          <w:sz w:val="23"/>
          <w:szCs w:val="23"/>
        </w:rPr>
        <w:t xml:space="preserve"> </w:t>
      </w:r>
      <w:r>
        <w:rPr>
          <w:rFonts w:ascii="宋体" w:hAnsi="宋体" w:eastAsia="宋体" w:cs="宋体"/>
          <w:spacing w:val="3"/>
          <w:sz w:val="23"/>
          <w:szCs w:val="23"/>
        </w:rPr>
        <w:t>汞废物</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，废物代码为 </w:t>
      </w:r>
      <w:r>
        <w:rPr>
          <w:rFonts w:ascii="Times New Roman" w:hAnsi="Times New Roman" w:eastAsia="Times New Roman" w:cs="Times New Roman"/>
          <w:spacing w:val="3"/>
          <w:sz w:val="23"/>
          <w:szCs w:val="23"/>
        </w:rPr>
        <w:t xml:space="preserve">900-023-29 </w:t>
      </w:r>
      <w:r>
        <w:rPr>
          <w:rFonts w:ascii="宋体" w:hAnsi="宋体" w:eastAsia="宋体" w:cs="宋体"/>
          <w:spacing w:val="3"/>
          <w:sz w:val="23"/>
          <w:szCs w:val="23"/>
        </w:rPr>
        <w:t>，即</w:t>
      </w:r>
      <w:r>
        <w:rPr>
          <w:rFonts w:ascii="Times New Roman" w:hAnsi="Times New Roman" w:eastAsia="Times New Roman" w:cs="Times New Roman"/>
          <w:spacing w:val="3"/>
          <w:sz w:val="23"/>
          <w:szCs w:val="23"/>
        </w:rPr>
        <w:t>“</w:t>
      </w:r>
      <w:r>
        <w:rPr>
          <w:rFonts w:ascii="宋体" w:hAnsi="宋体" w:eastAsia="宋体" w:cs="宋体"/>
          <w:spacing w:val="3"/>
          <w:sz w:val="23"/>
          <w:szCs w:val="23"/>
        </w:rPr>
        <w:t>生产、销售及使用过程中产生的废</w:t>
      </w:r>
      <w:r>
        <w:rPr>
          <w:rFonts w:ascii="宋体" w:hAnsi="宋体" w:eastAsia="宋体" w:cs="宋体"/>
          <w:spacing w:val="2"/>
          <w:sz w:val="23"/>
          <w:szCs w:val="23"/>
        </w:rPr>
        <w:t>含</w:t>
      </w:r>
      <w:r>
        <w:rPr>
          <w:rFonts w:ascii="宋体" w:hAnsi="宋体" w:eastAsia="宋体" w:cs="宋体"/>
          <w:sz w:val="23"/>
          <w:szCs w:val="23"/>
        </w:rPr>
        <w:t xml:space="preserve">汞荧 </w:t>
      </w:r>
      <w:r>
        <w:rPr>
          <w:rFonts w:ascii="宋体" w:hAnsi="宋体" w:eastAsia="宋体" w:cs="宋体"/>
          <w:spacing w:val="8"/>
          <w:sz w:val="23"/>
          <w:szCs w:val="23"/>
        </w:rPr>
        <w:t>光灯管及</w:t>
      </w:r>
      <w:r>
        <w:rPr>
          <w:rFonts w:ascii="宋体" w:hAnsi="宋体" w:eastAsia="宋体" w:cs="宋体"/>
          <w:spacing w:val="5"/>
          <w:sz w:val="23"/>
          <w:szCs w:val="23"/>
        </w:rPr>
        <w:t>其</w:t>
      </w:r>
      <w:r>
        <w:rPr>
          <w:rFonts w:ascii="宋体" w:hAnsi="宋体" w:eastAsia="宋体" w:cs="宋体"/>
          <w:spacing w:val="4"/>
          <w:sz w:val="23"/>
          <w:szCs w:val="23"/>
        </w:rPr>
        <w:t>他废含汞电光源</w:t>
      </w:r>
      <w:r>
        <w:rPr>
          <w:rFonts w:ascii="Times New Roman" w:hAnsi="Times New Roman" w:eastAsia="Times New Roman" w:cs="Times New Roman"/>
          <w:spacing w:val="4"/>
          <w:sz w:val="23"/>
          <w:szCs w:val="23"/>
        </w:rPr>
        <w:t>”</w:t>
      </w:r>
      <w:r>
        <w:rPr>
          <w:rFonts w:ascii="宋体" w:hAnsi="宋体" w:eastAsia="宋体" w:cs="宋体"/>
          <w:spacing w:val="4"/>
          <w:sz w:val="23"/>
          <w:szCs w:val="23"/>
        </w:rPr>
        <w:t>，危险特性为</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(毒性) </w:t>
      </w:r>
      <w:r>
        <w:rPr>
          <w:rFonts w:ascii="Times New Roman" w:hAnsi="Times New Roman" w:eastAsia="Times New Roman" w:cs="Times New Roman"/>
          <w:spacing w:val="4"/>
          <w:sz w:val="23"/>
          <w:szCs w:val="23"/>
        </w:rPr>
        <w:t>”</w:t>
      </w:r>
      <w:r>
        <w:rPr>
          <w:rFonts w:ascii="宋体" w:hAnsi="宋体" w:eastAsia="宋体" w:cs="宋体"/>
          <w:spacing w:val="4"/>
          <w:sz w:val="23"/>
          <w:szCs w:val="23"/>
        </w:rPr>
        <w:t>，建设单位应将废活性炭、</w:t>
      </w:r>
      <w:r>
        <w:rPr>
          <w:rFonts w:ascii="宋体" w:hAnsi="宋体" w:eastAsia="宋体" w:cs="宋体"/>
          <w:sz w:val="23"/>
          <w:szCs w:val="23"/>
        </w:rPr>
        <w:t xml:space="preserve"> </w:t>
      </w:r>
      <w:r>
        <w:rPr>
          <w:rFonts w:ascii="宋体" w:hAnsi="宋体" w:eastAsia="宋体" w:cs="宋体"/>
          <w:spacing w:val="16"/>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16"/>
          <w:sz w:val="23"/>
          <w:szCs w:val="23"/>
        </w:rPr>
        <w:t xml:space="preserve"> </w:t>
      </w:r>
      <w:r>
        <w:rPr>
          <w:rFonts w:ascii="宋体" w:hAnsi="宋体" w:eastAsia="宋体" w:cs="宋体"/>
          <w:spacing w:val="9"/>
          <w:sz w:val="23"/>
          <w:szCs w:val="23"/>
        </w:rPr>
        <w:t>光</w:t>
      </w:r>
      <w:r>
        <w:rPr>
          <w:rFonts w:ascii="宋体" w:hAnsi="宋体" w:eastAsia="宋体" w:cs="宋体"/>
          <w:spacing w:val="8"/>
          <w:sz w:val="23"/>
          <w:szCs w:val="23"/>
        </w:rPr>
        <w:t>解灯管集中收集后存放在固定容器中单独存放，积攒到一定数量后交由</w:t>
      </w:r>
    </w:p>
    <w:p w14:paraId="29099A0B">
      <w:pPr>
        <w:sectPr>
          <w:headerReference r:id="rId283" w:type="default"/>
          <w:footerReference r:id="rId284" w:type="default"/>
          <w:pgSz w:w="11906" w:h="16839"/>
          <w:pgMar w:top="1132" w:right="1714" w:bottom="1182" w:left="1785" w:header="878" w:footer="1022" w:gutter="0"/>
          <w:cols w:space="720" w:num="1"/>
        </w:sectPr>
      </w:pPr>
    </w:p>
    <w:p w14:paraId="6425DCFE">
      <w:pPr>
        <w:spacing w:line="408" w:lineRule="auto"/>
        <w:rPr>
          <w:rFonts w:ascii="Arial"/>
          <w:sz w:val="21"/>
        </w:rPr>
      </w:pPr>
      <w:r>
        <w:pict>
          <v:shape id="_x0000_s1354" o:spid="_x0000_s1354" style="position:absolute;left:0pt;margin-left:90pt;margin-top:57.35pt;height:0.75pt;width:415.3pt;mso-position-horizontal-relative:page;mso-position-vertical-relative:page;z-index:252048384;mso-width-relative:page;mso-height-relative:page;" fillcolor="#000000" filled="t" stroked="f" coordsize="8305,15" o:allowincell="f" path="m0,0l8305,0,8305,14,0,14,0,0xe">
            <v:path/>
            <v:fill on="t" focussize="0,0"/>
            <v:stroke on="f"/>
            <v:imagedata o:title=""/>
            <o:lock v:ext="edit"/>
          </v:shape>
        </w:pict>
      </w:r>
    </w:p>
    <w:p w14:paraId="17D42AD2">
      <w:pPr>
        <w:spacing w:before="75" w:line="228" w:lineRule="auto"/>
        <w:ind w:left="24"/>
        <w:rPr>
          <w:rFonts w:ascii="宋体" w:hAnsi="宋体" w:eastAsia="宋体" w:cs="宋体"/>
          <w:sz w:val="23"/>
          <w:szCs w:val="23"/>
        </w:rPr>
      </w:pPr>
      <w:r>
        <w:rPr>
          <w:rFonts w:ascii="宋体" w:hAnsi="宋体" w:eastAsia="宋体" w:cs="宋体"/>
          <w:spacing w:val="13"/>
          <w:sz w:val="23"/>
          <w:szCs w:val="23"/>
        </w:rPr>
        <w:t>有</w:t>
      </w:r>
      <w:r>
        <w:rPr>
          <w:rFonts w:ascii="宋体" w:hAnsi="宋体" w:eastAsia="宋体" w:cs="宋体"/>
          <w:spacing w:val="9"/>
          <w:sz w:val="23"/>
          <w:szCs w:val="23"/>
        </w:rPr>
        <w:t>资质单位处理，禁止作为一般固体废物随意丢弃排放。</w:t>
      </w:r>
    </w:p>
    <w:p w14:paraId="337790BF">
      <w:pPr>
        <w:spacing w:line="257" w:lineRule="auto"/>
        <w:rPr>
          <w:rFonts w:ascii="Arial"/>
          <w:sz w:val="21"/>
        </w:rPr>
      </w:pPr>
    </w:p>
    <w:p w14:paraId="426DACAD">
      <w:pPr>
        <w:spacing w:before="75" w:line="374" w:lineRule="auto"/>
        <w:ind w:left="23" w:right="101" w:firstLine="483"/>
        <w:rPr>
          <w:rFonts w:ascii="宋体" w:hAnsi="宋体" w:eastAsia="宋体" w:cs="宋体"/>
          <w:sz w:val="23"/>
          <w:szCs w:val="23"/>
        </w:rPr>
      </w:pPr>
      <w:r>
        <w:rPr>
          <w:rFonts w:ascii="宋体" w:hAnsi="宋体" w:eastAsia="宋体" w:cs="宋体"/>
          <w:spacing w:val="6"/>
          <w:sz w:val="23"/>
          <w:szCs w:val="23"/>
        </w:rPr>
        <w:t xml:space="preserve">该项目拟在备品备件库西侧设置一间危废暂存间，面积约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2</w:t>
      </w:r>
      <w:r>
        <w:rPr>
          <w:rFonts w:ascii="宋体" w:hAnsi="宋体" w:eastAsia="宋体" w:cs="宋体"/>
          <w:spacing w:val="6"/>
          <w:sz w:val="23"/>
          <w:szCs w:val="23"/>
        </w:rPr>
        <w:t>，产生的废</w:t>
      </w:r>
      <w:r>
        <w:rPr>
          <w:rFonts w:ascii="宋体" w:hAnsi="宋体" w:eastAsia="宋体" w:cs="宋体"/>
          <w:spacing w:val="3"/>
          <w:sz w:val="23"/>
          <w:szCs w:val="23"/>
        </w:rPr>
        <w:t>活</w:t>
      </w:r>
      <w:r>
        <w:rPr>
          <w:rFonts w:ascii="宋体" w:hAnsi="宋体" w:eastAsia="宋体" w:cs="宋体"/>
          <w:sz w:val="23"/>
          <w:szCs w:val="23"/>
        </w:rPr>
        <w:t xml:space="preserve"> </w:t>
      </w:r>
      <w:r>
        <w:rPr>
          <w:rFonts w:ascii="宋体" w:hAnsi="宋体" w:eastAsia="宋体" w:cs="宋体"/>
          <w:spacing w:val="16"/>
          <w:sz w:val="23"/>
          <w:szCs w:val="23"/>
        </w:rPr>
        <w:t>性炭、</w:t>
      </w:r>
      <w:r>
        <w:rPr>
          <w:rFonts w:ascii="宋体" w:hAnsi="宋体" w:eastAsia="宋体" w:cs="宋体"/>
          <w:spacing w:val="8"/>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光解灯管均设有固定容器单独暂存于危险暂存间内，积攒到一定数</w:t>
      </w:r>
      <w:r>
        <w:rPr>
          <w:rFonts w:ascii="宋体" w:hAnsi="宋体" w:eastAsia="宋体" w:cs="宋体"/>
          <w:sz w:val="23"/>
          <w:szCs w:val="23"/>
        </w:rPr>
        <w:t xml:space="preserve"> </w:t>
      </w:r>
      <w:r>
        <w:rPr>
          <w:rFonts w:ascii="宋体" w:hAnsi="宋体" w:eastAsia="宋体" w:cs="宋体"/>
          <w:spacing w:val="9"/>
          <w:sz w:val="23"/>
          <w:szCs w:val="23"/>
        </w:rPr>
        <w:t>量</w:t>
      </w:r>
      <w:r>
        <w:rPr>
          <w:rFonts w:ascii="宋体" w:hAnsi="宋体" w:eastAsia="宋体" w:cs="宋体"/>
          <w:spacing w:val="7"/>
          <w:sz w:val="23"/>
          <w:szCs w:val="23"/>
        </w:rPr>
        <w:t>后交由有资质单位处理。为了防止二次污染，危险废物的转移、利用或处置执</w:t>
      </w:r>
      <w:r>
        <w:rPr>
          <w:rFonts w:ascii="宋体" w:hAnsi="宋体" w:eastAsia="宋体" w:cs="宋体"/>
          <w:sz w:val="23"/>
          <w:szCs w:val="23"/>
        </w:rPr>
        <w:t xml:space="preserve"> </w:t>
      </w:r>
      <w:r>
        <w:rPr>
          <w:rFonts w:ascii="宋体" w:hAnsi="宋体" w:eastAsia="宋体" w:cs="宋体"/>
          <w:spacing w:val="13"/>
          <w:sz w:val="23"/>
          <w:szCs w:val="23"/>
        </w:rPr>
        <w:t>行</w:t>
      </w:r>
      <w:r>
        <w:rPr>
          <w:rFonts w:ascii="宋体" w:hAnsi="宋体" w:eastAsia="宋体" w:cs="宋体"/>
          <w:spacing w:val="9"/>
          <w:sz w:val="23"/>
          <w:szCs w:val="23"/>
        </w:rPr>
        <w:t>危险废物转移联单制度，按规定办理环保备案手续。</w:t>
      </w:r>
    </w:p>
    <w:p w14:paraId="08563464">
      <w:pPr>
        <w:tabs>
          <w:tab w:val="left" w:pos="148"/>
        </w:tabs>
        <w:spacing w:before="135" w:line="364" w:lineRule="auto"/>
        <w:ind w:left="19" w:right="40" w:firstLine="483"/>
        <w:rPr>
          <w:rFonts w:ascii="宋体" w:hAnsi="宋体" w:eastAsia="宋体" w:cs="宋体"/>
          <w:sz w:val="23"/>
          <w:szCs w:val="23"/>
        </w:rPr>
      </w:pPr>
      <w:r>
        <w:rPr>
          <w:rFonts w:ascii="宋体" w:hAnsi="宋体" w:eastAsia="宋体" w:cs="宋体"/>
          <w:spacing w:val="15"/>
          <w:sz w:val="23"/>
          <w:szCs w:val="23"/>
        </w:rPr>
        <w:t>废</w:t>
      </w:r>
      <w:r>
        <w:rPr>
          <w:rFonts w:ascii="宋体" w:hAnsi="宋体" w:eastAsia="宋体" w:cs="宋体"/>
          <w:spacing w:val="8"/>
          <w:sz w:val="23"/>
          <w:szCs w:val="23"/>
        </w:rPr>
        <w:t xml:space="preserve">活性炭、废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光解灯管临时储存应执行《危险废物贮存污染控制标准》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18597-2001</w:t>
      </w:r>
      <w:r>
        <w:rPr>
          <w:rFonts w:ascii="宋体" w:hAnsi="宋体" w:eastAsia="宋体" w:cs="宋体"/>
          <w:spacing w:val="3"/>
          <w:sz w:val="23"/>
          <w:szCs w:val="23"/>
        </w:rPr>
        <w:t xml:space="preserve">) 及其修改单的公告 (环境保护部公告，公告 </w:t>
      </w:r>
      <w:r>
        <w:rPr>
          <w:rFonts w:ascii="Times New Roman" w:hAnsi="Times New Roman" w:eastAsia="Times New Roman" w:cs="Times New Roman"/>
          <w:spacing w:val="3"/>
          <w:sz w:val="23"/>
          <w:szCs w:val="23"/>
        </w:rPr>
        <w:t xml:space="preserve">2013 </w:t>
      </w:r>
      <w:r>
        <w:rPr>
          <w:rFonts w:ascii="宋体" w:hAnsi="宋体" w:eastAsia="宋体" w:cs="宋体"/>
          <w:spacing w:val="3"/>
          <w:sz w:val="23"/>
          <w:szCs w:val="23"/>
        </w:rPr>
        <w:t xml:space="preserve">年第 </w:t>
      </w:r>
      <w:r>
        <w:rPr>
          <w:rFonts w:ascii="Times New Roman" w:hAnsi="Times New Roman" w:eastAsia="Times New Roman" w:cs="Times New Roman"/>
          <w:spacing w:val="3"/>
          <w:sz w:val="23"/>
          <w:szCs w:val="23"/>
        </w:rPr>
        <w:t>36</w:t>
      </w:r>
      <w:r>
        <w:rPr>
          <w:rFonts w:ascii="Times New Roman" w:hAnsi="Times New Roman" w:eastAsia="Times New Roman" w:cs="Times New Roman"/>
          <w:spacing w:val="2"/>
          <w:sz w:val="23"/>
          <w:szCs w:val="23"/>
        </w:rPr>
        <w:t xml:space="preserve"> </w:t>
      </w:r>
      <w:r>
        <w:rPr>
          <w:rFonts w:ascii="宋体" w:hAnsi="宋体" w:eastAsia="宋体" w:cs="宋体"/>
          <w:sz w:val="23"/>
          <w:szCs w:val="23"/>
        </w:rPr>
        <w:t xml:space="preserve">号， </w:t>
      </w:r>
      <w:r>
        <w:rPr>
          <w:rFonts w:ascii="Times New Roman" w:hAnsi="Times New Roman" w:eastAsia="Times New Roman" w:cs="Times New Roman"/>
          <w:spacing w:val="14"/>
          <w:sz w:val="23"/>
          <w:szCs w:val="23"/>
        </w:rPr>
        <w:t>2</w:t>
      </w:r>
      <w:r>
        <w:rPr>
          <w:rFonts w:ascii="Times New Roman" w:hAnsi="Times New Roman" w:eastAsia="Times New Roman" w:cs="Times New Roman"/>
          <w:spacing w:val="12"/>
          <w:sz w:val="23"/>
          <w:szCs w:val="23"/>
        </w:rPr>
        <w:t>0</w:t>
      </w:r>
      <w:r>
        <w:rPr>
          <w:rFonts w:ascii="Times New Roman" w:hAnsi="Times New Roman" w:eastAsia="Times New Roman" w:cs="Times New Roman"/>
          <w:spacing w:val="7"/>
          <w:sz w:val="23"/>
          <w:szCs w:val="23"/>
        </w:rPr>
        <w:t xml:space="preserve">13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6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8 </w:t>
      </w:r>
      <w:r>
        <w:rPr>
          <w:rFonts w:ascii="宋体" w:hAnsi="宋体" w:eastAsia="宋体" w:cs="宋体"/>
          <w:spacing w:val="7"/>
          <w:sz w:val="23"/>
          <w:szCs w:val="23"/>
        </w:rPr>
        <w:t>日) ，建设单位应加强对危险废弃物产生源的监督管理，应建造</w:t>
      </w:r>
      <w:r>
        <w:rPr>
          <w:rFonts w:ascii="宋体" w:hAnsi="宋体" w:eastAsia="宋体" w:cs="宋体"/>
          <w:sz w:val="23"/>
          <w:szCs w:val="23"/>
        </w:rPr>
        <w:t xml:space="preserve"> </w:t>
      </w:r>
      <w:r>
        <w:rPr>
          <w:rFonts w:ascii="宋体" w:hAnsi="宋体" w:eastAsia="宋体" w:cs="宋体"/>
          <w:spacing w:val="13"/>
          <w:sz w:val="23"/>
          <w:szCs w:val="23"/>
        </w:rPr>
        <w:t>专</w:t>
      </w:r>
      <w:r>
        <w:rPr>
          <w:rFonts w:ascii="宋体" w:hAnsi="宋体" w:eastAsia="宋体" w:cs="宋体"/>
          <w:spacing w:val="7"/>
          <w:sz w:val="23"/>
          <w:szCs w:val="23"/>
        </w:rPr>
        <w:t>用的危险废弃物贮存设施，贮存、处置场所等设施必须设置警示标志等，同时</w:t>
      </w:r>
      <w:r>
        <w:rPr>
          <w:rFonts w:ascii="宋体" w:hAnsi="宋体" w:eastAsia="宋体" w:cs="宋体"/>
          <w:sz w:val="23"/>
          <w:szCs w:val="23"/>
        </w:rPr>
        <w:t xml:space="preserve"> </w:t>
      </w:r>
      <w:r>
        <w:rPr>
          <w:rFonts w:ascii="宋体" w:hAnsi="宋体" w:eastAsia="宋体" w:cs="宋体"/>
          <w:spacing w:val="14"/>
          <w:sz w:val="23"/>
          <w:szCs w:val="23"/>
        </w:rPr>
        <w:t>制定</w:t>
      </w:r>
      <w:r>
        <w:rPr>
          <w:rFonts w:ascii="宋体" w:hAnsi="宋体" w:eastAsia="宋体" w:cs="宋体"/>
          <w:spacing w:val="8"/>
          <w:sz w:val="23"/>
          <w:szCs w:val="23"/>
        </w:rPr>
        <w:t>防</w:t>
      </w:r>
      <w:r>
        <w:rPr>
          <w:rFonts w:ascii="宋体" w:hAnsi="宋体" w:eastAsia="宋体" w:cs="宋体"/>
          <w:spacing w:val="7"/>
          <w:sz w:val="23"/>
          <w:szCs w:val="23"/>
        </w:rPr>
        <w:t>止泄漏、散失的安全措施。同时要求对危废暂存间做防渗处理，并设置危</w:t>
      </w:r>
      <w:r>
        <w:rPr>
          <w:rFonts w:ascii="宋体" w:hAnsi="宋体" w:eastAsia="宋体" w:cs="宋体"/>
          <w:sz w:val="23"/>
          <w:szCs w:val="23"/>
        </w:rPr>
        <w:t xml:space="preserve"> </w:t>
      </w:r>
      <w:r>
        <w:rPr>
          <w:rFonts w:ascii="宋体" w:hAnsi="宋体" w:eastAsia="宋体" w:cs="宋体"/>
          <w:spacing w:val="8"/>
          <w:sz w:val="23"/>
          <w:szCs w:val="23"/>
        </w:rPr>
        <w:t xml:space="preserve">险废物警示标志，危废暂存间底部铺设 </w:t>
      </w:r>
      <w:r>
        <w:rPr>
          <w:rFonts w:ascii="Times New Roman" w:hAnsi="Times New Roman" w:eastAsia="Times New Roman" w:cs="Times New Roman"/>
          <w:spacing w:val="8"/>
          <w:sz w:val="23"/>
          <w:szCs w:val="23"/>
        </w:rPr>
        <w:t>300</w:t>
      </w:r>
      <w:r>
        <w:rPr>
          <w:rFonts w:ascii="Times New Roman" w:hAnsi="Times New Roman" w:eastAsia="Times New Roman" w:cs="Times New Roman"/>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黏土层 (保护层，同时作为辅</w:t>
      </w:r>
      <w:r>
        <w:rPr>
          <w:rFonts w:ascii="宋体" w:hAnsi="宋体" w:eastAsia="宋体" w:cs="宋体"/>
          <w:spacing w:val="7"/>
          <w:sz w:val="23"/>
          <w:szCs w:val="23"/>
        </w:rPr>
        <w:t>助</w:t>
      </w:r>
      <w:r>
        <w:rPr>
          <w:rFonts w:ascii="宋体" w:hAnsi="宋体" w:eastAsia="宋体" w:cs="宋体"/>
          <w:sz w:val="23"/>
          <w:szCs w:val="23"/>
        </w:rPr>
        <w:t xml:space="preserve"> </w:t>
      </w:r>
      <w:r>
        <w:rPr>
          <w:rFonts w:ascii="宋体" w:hAnsi="宋体" w:eastAsia="宋体" w:cs="宋体"/>
          <w:spacing w:val="14"/>
          <w:sz w:val="23"/>
          <w:szCs w:val="23"/>
        </w:rPr>
        <w:t>防渗</w:t>
      </w:r>
      <w:r>
        <w:rPr>
          <w:rFonts w:ascii="宋体" w:hAnsi="宋体" w:eastAsia="宋体" w:cs="宋体"/>
          <w:spacing w:val="11"/>
          <w:sz w:val="23"/>
          <w:szCs w:val="23"/>
        </w:rPr>
        <w:t>层</w:t>
      </w:r>
      <w:r>
        <w:rPr>
          <w:rFonts w:ascii="宋体" w:hAnsi="宋体" w:eastAsia="宋体" w:cs="宋体"/>
          <w:spacing w:val="7"/>
          <w:sz w:val="23"/>
          <w:szCs w:val="23"/>
        </w:rPr>
        <w:t xml:space="preserve">) 压实平整，黏土层上铺设 </w:t>
      </w:r>
      <w:r>
        <w:rPr>
          <w:rFonts w:ascii="Times New Roman" w:hAnsi="Times New Roman" w:eastAsia="Times New Roman" w:cs="Times New Roman"/>
          <w:sz w:val="23"/>
          <w:szCs w:val="23"/>
        </w:rPr>
        <w:t>HDPE</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GCL</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复合防渗系统 (</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厚的高密度</w:t>
      </w:r>
    </w:p>
    <w:p w14:paraId="04625AAB">
      <w:pPr>
        <w:spacing w:line="322" w:lineRule="exact"/>
        <w:ind w:left="32"/>
        <w:rPr>
          <w:rFonts w:ascii="宋体" w:hAnsi="宋体" w:eastAsia="宋体" w:cs="宋体"/>
          <w:sz w:val="23"/>
          <w:szCs w:val="23"/>
        </w:rPr>
      </w:pPr>
      <w:r>
        <w:rPr>
          <w:rFonts w:ascii="宋体" w:hAnsi="宋体" w:eastAsia="宋体" w:cs="宋体"/>
          <w:spacing w:val="4"/>
          <w:position w:val="3"/>
          <w:sz w:val="23"/>
          <w:szCs w:val="23"/>
        </w:rPr>
        <w:t>聚乙烯膜、</w:t>
      </w:r>
      <w:r>
        <w:rPr>
          <w:rFonts w:ascii="Times New Roman" w:hAnsi="Times New Roman" w:eastAsia="Times New Roman" w:cs="Times New Roman"/>
          <w:spacing w:val="4"/>
          <w:position w:val="3"/>
          <w:sz w:val="23"/>
          <w:szCs w:val="23"/>
        </w:rPr>
        <w:t>300</w:t>
      </w:r>
      <w:r>
        <w:rPr>
          <w:rFonts w:ascii="Times New Roman" w:hAnsi="Times New Roman" w:eastAsia="Times New Roman" w:cs="Times New Roman"/>
          <w:position w:val="3"/>
          <w:sz w:val="23"/>
          <w:szCs w:val="23"/>
        </w:rPr>
        <w:t>g</w:t>
      </w:r>
      <w:r>
        <w:rPr>
          <w:rFonts w:ascii="Times New Roman" w:hAnsi="Times New Roman" w:eastAsia="Times New Roman" w:cs="Times New Roman"/>
          <w:spacing w:val="4"/>
          <w:position w:val="3"/>
          <w:sz w:val="23"/>
          <w:szCs w:val="23"/>
        </w:rPr>
        <w:t>/</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4"/>
          <w:position w:val="11"/>
          <w:sz w:val="15"/>
          <w:szCs w:val="15"/>
        </w:rPr>
        <w:t xml:space="preserve">2 </w:t>
      </w:r>
      <w:r>
        <w:rPr>
          <w:rFonts w:ascii="宋体" w:hAnsi="宋体" w:eastAsia="宋体" w:cs="宋体"/>
          <w:spacing w:val="4"/>
          <w:position w:val="3"/>
          <w:sz w:val="23"/>
          <w:szCs w:val="23"/>
        </w:rPr>
        <w:t>土</w:t>
      </w:r>
      <w:r>
        <w:rPr>
          <w:rFonts w:ascii="宋体" w:hAnsi="宋体" w:eastAsia="宋体" w:cs="宋体"/>
          <w:spacing w:val="3"/>
          <w:position w:val="3"/>
          <w:sz w:val="23"/>
          <w:szCs w:val="23"/>
        </w:rPr>
        <w:t>工</w:t>
      </w:r>
      <w:r>
        <w:rPr>
          <w:rFonts w:ascii="宋体" w:hAnsi="宋体" w:eastAsia="宋体" w:cs="宋体"/>
          <w:spacing w:val="2"/>
          <w:position w:val="3"/>
          <w:sz w:val="23"/>
          <w:szCs w:val="23"/>
        </w:rPr>
        <w:t xml:space="preserve">织物膨润土垫) ，上部外加耐腐蚀混凝土 </w:t>
      </w:r>
      <w:r>
        <w:rPr>
          <w:rFonts w:ascii="Times New Roman" w:hAnsi="Times New Roman" w:eastAsia="Times New Roman" w:cs="Times New Roman"/>
          <w:spacing w:val="2"/>
          <w:position w:val="3"/>
          <w:sz w:val="23"/>
          <w:szCs w:val="23"/>
        </w:rPr>
        <w:t>15</w:t>
      </w:r>
      <w:r>
        <w:rPr>
          <w:rFonts w:ascii="Times New Roman" w:hAnsi="Times New Roman" w:eastAsia="Times New Roman" w:cs="Times New Roman"/>
          <w:position w:val="3"/>
          <w:sz w:val="23"/>
          <w:szCs w:val="23"/>
        </w:rPr>
        <w:t>cm</w:t>
      </w:r>
      <w:r>
        <w:rPr>
          <w:rFonts w:ascii="Times New Roman" w:hAnsi="Times New Roman" w:eastAsia="Times New Roman" w:cs="Times New Roman"/>
          <w:spacing w:val="2"/>
          <w:position w:val="3"/>
          <w:sz w:val="23"/>
          <w:szCs w:val="23"/>
        </w:rPr>
        <w:t xml:space="preserve"> </w:t>
      </w:r>
      <w:r>
        <w:rPr>
          <w:rFonts w:ascii="宋体" w:hAnsi="宋体" w:eastAsia="宋体" w:cs="宋体"/>
          <w:spacing w:val="2"/>
          <w:position w:val="3"/>
          <w:sz w:val="23"/>
          <w:szCs w:val="23"/>
        </w:rPr>
        <w:t>(保护层)</w:t>
      </w:r>
    </w:p>
    <w:p w14:paraId="70A26698">
      <w:pPr>
        <w:spacing w:before="138" w:line="506" w:lineRule="auto"/>
        <w:ind w:left="502" w:right="18" w:hanging="477"/>
        <w:rPr>
          <w:rFonts w:ascii="宋体" w:hAnsi="宋体" w:eastAsia="宋体" w:cs="宋体"/>
          <w:sz w:val="23"/>
          <w:szCs w:val="23"/>
        </w:rPr>
      </w:pPr>
      <w:r>
        <w:rPr>
          <w:rFonts w:ascii="宋体" w:hAnsi="宋体" w:eastAsia="宋体" w:cs="宋体"/>
          <w:spacing w:val="1"/>
          <w:sz w:val="23"/>
          <w:szCs w:val="23"/>
        </w:rPr>
        <w:t>等防渗</w:t>
      </w:r>
      <w:r>
        <w:rPr>
          <w:rFonts w:ascii="宋体" w:hAnsi="宋体" w:eastAsia="宋体" w:cs="宋体"/>
          <w:sz w:val="23"/>
          <w:szCs w:val="23"/>
        </w:rPr>
        <w:t xml:space="preserve">，侧壁均设防渗墙。采取上述防渗措施后，防渗层渗透系数小于 </w:t>
      </w:r>
      <w:r>
        <w:rPr>
          <w:rFonts w:ascii="Times New Roman" w:hAnsi="Times New Roman" w:eastAsia="Times New Roman" w:cs="Times New Roman"/>
          <w:sz w:val="23"/>
          <w:szCs w:val="23"/>
        </w:rPr>
        <w:t>10</w:t>
      </w:r>
      <w:r>
        <w:rPr>
          <w:rFonts w:ascii="Times New Roman" w:hAnsi="Times New Roman" w:eastAsia="Times New Roman" w:cs="Times New Roman"/>
          <w:position w:val="7"/>
          <w:sz w:val="15"/>
          <w:szCs w:val="15"/>
        </w:rPr>
        <w:t>- 10</w:t>
      </w:r>
      <w:r>
        <w:rPr>
          <w:rFonts w:ascii="Times New Roman" w:hAnsi="Times New Roman" w:eastAsia="Times New Roman" w:cs="Times New Roman"/>
          <w:sz w:val="23"/>
          <w:szCs w:val="23"/>
        </w:rPr>
        <w:t>cm/s</w:t>
      </w:r>
      <w:r>
        <w:rPr>
          <w:rFonts w:ascii="宋体" w:hAnsi="宋体" w:eastAsia="宋体" w:cs="宋体"/>
          <w:sz w:val="23"/>
          <w:szCs w:val="23"/>
        </w:rPr>
        <w:t xml:space="preserve">。 </w:t>
      </w:r>
      <w:r>
        <w:rPr>
          <w:rFonts w:ascii="宋体" w:hAnsi="宋体" w:eastAsia="宋体" w:cs="宋体"/>
          <w:spacing w:val="16"/>
          <w:sz w:val="23"/>
          <w:szCs w:val="23"/>
        </w:rPr>
        <w:t>在</w:t>
      </w:r>
      <w:r>
        <w:rPr>
          <w:rFonts w:ascii="宋体" w:hAnsi="宋体" w:eastAsia="宋体" w:cs="宋体"/>
          <w:spacing w:val="9"/>
          <w:sz w:val="23"/>
          <w:szCs w:val="23"/>
        </w:rPr>
        <w:t>固体废物得到妥善处置情况下，其对周围环境影响不大。</w:t>
      </w:r>
    </w:p>
    <w:p w14:paraId="26BCDC93">
      <w:pPr>
        <w:spacing w:line="226" w:lineRule="auto"/>
        <w:ind w:left="25"/>
        <w:outlineLvl w:val="2"/>
        <w:rPr>
          <w:rFonts w:ascii="宋体" w:hAnsi="宋体" w:eastAsia="宋体" w:cs="宋体"/>
          <w:sz w:val="29"/>
          <w:szCs w:val="29"/>
        </w:rPr>
      </w:pPr>
      <w:r>
        <w:rPr>
          <w:rFonts w:ascii="Times New Roman" w:hAnsi="Times New Roman" w:eastAsia="Times New Roman" w:cs="Times New Roman"/>
          <w:b/>
          <w:bCs/>
          <w:spacing w:val="7"/>
          <w:sz w:val="29"/>
          <w:szCs w:val="29"/>
        </w:rPr>
        <w:t>6.2.6</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土壤环境保护措</w:t>
      </w:r>
      <w:r>
        <w:rPr>
          <w:rFonts w:ascii="宋体" w:hAnsi="宋体" w:eastAsia="宋体" w:cs="宋体"/>
          <w:spacing w:val="6"/>
          <w:sz w:val="29"/>
          <w:szCs w:val="29"/>
          <w14:textOutline w14:w="5448" w14:cap="sq" w14:cmpd="sng">
            <w14:solidFill>
              <w14:srgbClr w14:val="000000"/>
            </w14:solidFill>
            <w14:prstDash w14:val="solid"/>
            <w14:bevel/>
          </w14:textOutline>
        </w:rPr>
        <w:t>施</w:t>
      </w:r>
    </w:p>
    <w:p w14:paraId="7F4E8D3F">
      <w:pPr>
        <w:spacing w:line="256" w:lineRule="auto"/>
        <w:rPr>
          <w:rFonts w:ascii="Arial"/>
          <w:sz w:val="21"/>
        </w:rPr>
      </w:pPr>
    </w:p>
    <w:p w14:paraId="4D6A39B3">
      <w:pPr>
        <w:spacing w:before="76" w:line="384" w:lineRule="auto"/>
        <w:ind w:left="22" w:firstLine="481"/>
        <w:rPr>
          <w:rFonts w:ascii="宋体" w:hAnsi="宋体" w:eastAsia="宋体" w:cs="宋体"/>
          <w:sz w:val="23"/>
          <w:szCs w:val="23"/>
        </w:rPr>
      </w:pPr>
      <w:r>
        <w:rPr>
          <w:rFonts w:ascii="宋体" w:hAnsi="宋体" w:eastAsia="宋体" w:cs="宋体"/>
          <w:spacing w:val="7"/>
          <w:sz w:val="23"/>
          <w:szCs w:val="23"/>
        </w:rPr>
        <w:t>本项目将一体化污水预处理设备所在区域、三级沉淀池及与其相连的排污</w:t>
      </w:r>
      <w:r>
        <w:rPr>
          <w:rFonts w:ascii="宋体" w:hAnsi="宋体" w:eastAsia="宋体" w:cs="宋体"/>
          <w:spacing w:val="2"/>
          <w:sz w:val="23"/>
          <w:szCs w:val="23"/>
        </w:rPr>
        <w:t>管</w:t>
      </w:r>
      <w:r>
        <w:rPr>
          <w:rFonts w:ascii="宋体" w:hAnsi="宋体" w:eastAsia="宋体" w:cs="宋体"/>
          <w:sz w:val="23"/>
          <w:szCs w:val="23"/>
        </w:rPr>
        <w:t xml:space="preserve"> </w:t>
      </w:r>
      <w:r>
        <w:rPr>
          <w:rFonts w:ascii="宋体" w:hAnsi="宋体" w:eastAsia="宋体" w:cs="宋体"/>
          <w:spacing w:val="8"/>
          <w:sz w:val="23"/>
          <w:szCs w:val="23"/>
        </w:rPr>
        <w:t xml:space="preserve">道等设施设为重点防渗区，即底部铺设 </w:t>
      </w:r>
      <w:r>
        <w:rPr>
          <w:rFonts w:ascii="Times New Roman" w:hAnsi="Times New Roman" w:eastAsia="Times New Roman" w:cs="Times New Roman"/>
          <w:spacing w:val="8"/>
          <w:sz w:val="23"/>
          <w:szCs w:val="23"/>
        </w:rPr>
        <w:t>300</w:t>
      </w:r>
      <w:r>
        <w:rPr>
          <w:rFonts w:ascii="Times New Roman" w:hAnsi="Times New Roman" w:eastAsia="Times New Roman" w:cs="Times New Roman"/>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黏土层 (保护层，同时作为辅</w:t>
      </w:r>
      <w:r>
        <w:rPr>
          <w:rFonts w:ascii="宋体" w:hAnsi="宋体" w:eastAsia="宋体" w:cs="宋体"/>
          <w:spacing w:val="4"/>
          <w:sz w:val="23"/>
          <w:szCs w:val="23"/>
        </w:rPr>
        <w:t>助</w:t>
      </w:r>
      <w:r>
        <w:rPr>
          <w:rFonts w:ascii="宋体" w:hAnsi="宋体" w:eastAsia="宋体" w:cs="宋体"/>
          <w:sz w:val="23"/>
          <w:szCs w:val="23"/>
        </w:rPr>
        <w:t xml:space="preserve"> </w:t>
      </w:r>
      <w:r>
        <w:rPr>
          <w:rFonts w:ascii="宋体" w:hAnsi="宋体" w:eastAsia="宋体" w:cs="宋体"/>
          <w:spacing w:val="14"/>
          <w:sz w:val="23"/>
          <w:szCs w:val="23"/>
        </w:rPr>
        <w:t>防渗</w:t>
      </w:r>
      <w:r>
        <w:rPr>
          <w:rFonts w:ascii="宋体" w:hAnsi="宋体" w:eastAsia="宋体" w:cs="宋体"/>
          <w:spacing w:val="7"/>
          <w:sz w:val="23"/>
          <w:szCs w:val="23"/>
        </w:rPr>
        <w:t xml:space="preserve">层) 压实平整，黏土层上铺设 </w:t>
      </w:r>
      <w:r>
        <w:rPr>
          <w:rFonts w:ascii="Times New Roman" w:hAnsi="Times New Roman" w:eastAsia="Times New Roman" w:cs="Times New Roman"/>
          <w:sz w:val="23"/>
          <w:szCs w:val="23"/>
        </w:rPr>
        <w:t>HDPE</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GCL</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复合防渗系统 (</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厚的高密度</w:t>
      </w:r>
      <w:r>
        <w:rPr>
          <w:rFonts w:ascii="宋体" w:hAnsi="宋体" w:eastAsia="宋体" w:cs="宋体"/>
          <w:sz w:val="23"/>
          <w:szCs w:val="23"/>
        </w:rPr>
        <w:t xml:space="preserve"> </w:t>
      </w:r>
      <w:r>
        <w:rPr>
          <w:rFonts w:ascii="宋体" w:hAnsi="宋体" w:eastAsia="宋体" w:cs="宋体"/>
          <w:spacing w:val="3"/>
          <w:sz w:val="23"/>
          <w:szCs w:val="23"/>
        </w:rPr>
        <w:t>聚乙烯膜、</w:t>
      </w:r>
      <w:r>
        <w:rPr>
          <w:rFonts w:ascii="Times New Roman" w:hAnsi="Times New Roman" w:eastAsia="Times New Roman" w:cs="Times New Roman"/>
          <w:spacing w:val="3"/>
          <w:sz w:val="23"/>
          <w:szCs w:val="23"/>
        </w:rPr>
        <w:t>300</w:t>
      </w:r>
      <w:r>
        <w:rPr>
          <w:rFonts w:ascii="Times New Roman" w:hAnsi="Times New Roman" w:eastAsia="Times New Roman" w:cs="Times New Roman"/>
          <w:sz w:val="23"/>
          <w:szCs w:val="23"/>
        </w:rPr>
        <w:t>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3"/>
          <w:szCs w:val="23"/>
        </w:rPr>
        <w:t xml:space="preserve">土工织物膨润土垫) ，上部外加耐腐蚀混凝土 </w:t>
      </w:r>
      <w:r>
        <w:rPr>
          <w:rFonts w:ascii="Times New Roman" w:hAnsi="Times New Roman" w:eastAsia="Times New Roman" w:cs="Times New Roman"/>
          <w:spacing w:val="3"/>
          <w:sz w:val="23"/>
          <w:szCs w:val="23"/>
        </w:rPr>
        <w:t>15</w:t>
      </w:r>
      <w:r>
        <w:rPr>
          <w:rFonts w:ascii="Times New Roman" w:hAnsi="Times New Roman" w:eastAsia="Times New Roman" w:cs="Times New Roman"/>
          <w:sz w:val="23"/>
          <w:szCs w:val="23"/>
        </w:rPr>
        <w:t>cm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(保护</w:t>
      </w:r>
      <w:r>
        <w:rPr>
          <w:rFonts w:ascii="宋体" w:hAnsi="宋体" w:eastAsia="宋体" w:cs="宋体"/>
          <w:spacing w:val="1"/>
          <w:sz w:val="23"/>
          <w:szCs w:val="23"/>
        </w:rPr>
        <w:t>层</w:t>
      </w:r>
      <w:r>
        <w:rPr>
          <w:rFonts w:ascii="宋体" w:hAnsi="宋体" w:eastAsia="宋体" w:cs="宋体"/>
          <w:sz w:val="23"/>
          <w:szCs w:val="23"/>
        </w:rPr>
        <w:t xml:space="preserve">) </w:t>
      </w:r>
      <w:r>
        <w:rPr>
          <w:rFonts w:ascii="宋体" w:hAnsi="宋体" w:eastAsia="宋体" w:cs="宋体"/>
          <w:spacing w:val="1"/>
          <w:sz w:val="23"/>
          <w:szCs w:val="23"/>
        </w:rPr>
        <w:t>等防渗，侧壁均设防渗墙，采取上述防渗措施后，防渗层</w:t>
      </w:r>
      <w:r>
        <w:rPr>
          <w:rFonts w:ascii="宋体" w:hAnsi="宋体" w:eastAsia="宋体" w:cs="宋体"/>
          <w:sz w:val="23"/>
          <w:szCs w:val="23"/>
        </w:rPr>
        <w:t xml:space="preserve">渗透系数小于 </w:t>
      </w:r>
      <w:r>
        <w:rPr>
          <w:rFonts w:ascii="Times New Roman" w:hAnsi="Times New Roman" w:eastAsia="Times New Roman" w:cs="Times New Roman"/>
          <w:sz w:val="23"/>
          <w:szCs w:val="23"/>
        </w:rPr>
        <w:t>10</w:t>
      </w:r>
      <w:r>
        <w:rPr>
          <w:rFonts w:ascii="Times New Roman" w:hAnsi="Times New Roman" w:eastAsia="Times New Roman" w:cs="Times New Roman"/>
          <w:position w:val="8"/>
          <w:sz w:val="15"/>
          <w:szCs w:val="15"/>
        </w:rPr>
        <w:t>- 10</w:t>
      </w:r>
      <w:r>
        <w:rPr>
          <w:rFonts w:ascii="Times New Roman" w:hAnsi="Times New Roman" w:eastAsia="Times New Roman" w:cs="Times New Roman"/>
          <w:sz w:val="23"/>
          <w:szCs w:val="23"/>
        </w:rPr>
        <w:t>cm/s</w:t>
      </w:r>
      <w:r>
        <w:rPr>
          <w:rFonts w:ascii="宋体" w:hAnsi="宋体" w:eastAsia="宋体" w:cs="宋体"/>
          <w:sz w:val="23"/>
          <w:szCs w:val="23"/>
        </w:rPr>
        <w:t xml:space="preserve">； </w:t>
      </w:r>
      <w:r>
        <w:rPr>
          <w:rFonts w:ascii="宋体" w:hAnsi="宋体" w:eastAsia="宋体" w:cs="宋体"/>
          <w:spacing w:val="9"/>
          <w:sz w:val="23"/>
          <w:szCs w:val="23"/>
        </w:rPr>
        <w:t>全</w:t>
      </w:r>
      <w:r>
        <w:rPr>
          <w:rFonts w:ascii="宋体" w:hAnsi="宋体" w:eastAsia="宋体" w:cs="宋体"/>
          <w:spacing w:val="7"/>
          <w:sz w:val="23"/>
          <w:szCs w:val="23"/>
        </w:rPr>
        <w:t>场区均为简单防渗区，需硬化防渗，采取混凝土地面，上涂耐磨环氧树脂地面</w:t>
      </w:r>
      <w:r>
        <w:rPr>
          <w:rFonts w:ascii="宋体" w:hAnsi="宋体" w:eastAsia="宋体" w:cs="宋体"/>
          <w:sz w:val="23"/>
          <w:szCs w:val="23"/>
        </w:rPr>
        <w:t xml:space="preserve"> </w:t>
      </w:r>
      <w:r>
        <w:rPr>
          <w:rFonts w:ascii="宋体" w:hAnsi="宋体" w:eastAsia="宋体" w:cs="宋体"/>
          <w:spacing w:val="10"/>
          <w:sz w:val="23"/>
          <w:szCs w:val="23"/>
        </w:rPr>
        <w:t>涂料，防</w:t>
      </w:r>
      <w:r>
        <w:rPr>
          <w:rFonts w:ascii="宋体" w:hAnsi="宋体" w:eastAsia="宋体" w:cs="宋体"/>
          <w:spacing w:val="5"/>
          <w:sz w:val="23"/>
          <w:szCs w:val="23"/>
        </w:rPr>
        <w:t xml:space="preserve">渗层渗透系数小于 </w:t>
      </w:r>
      <w:r>
        <w:rPr>
          <w:rFonts w:ascii="Times New Roman" w:hAnsi="Times New Roman" w:eastAsia="Times New Roman" w:cs="Times New Roman"/>
          <w:spacing w:val="5"/>
          <w:sz w:val="23"/>
          <w:szCs w:val="23"/>
        </w:rPr>
        <w:t>10</w:t>
      </w:r>
      <w:r>
        <w:rPr>
          <w:rFonts w:ascii="Times New Roman" w:hAnsi="Times New Roman" w:eastAsia="Times New Roman" w:cs="Times New Roman"/>
          <w:spacing w:val="5"/>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。因此，正常情况下，可保证废水不入渗土</w:t>
      </w:r>
      <w:r>
        <w:rPr>
          <w:rFonts w:ascii="宋体" w:hAnsi="宋体" w:eastAsia="宋体" w:cs="宋体"/>
          <w:sz w:val="23"/>
          <w:szCs w:val="23"/>
        </w:rPr>
        <w:t xml:space="preserve"> </w:t>
      </w:r>
      <w:r>
        <w:rPr>
          <w:rFonts w:ascii="宋体" w:hAnsi="宋体" w:eastAsia="宋体" w:cs="宋体"/>
          <w:spacing w:val="6"/>
          <w:sz w:val="23"/>
          <w:szCs w:val="23"/>
        </w:rPr>
        <w:t>壤</w:t>
      </w:r>
      <w:r>
        <w:rPr>
          <w:rFonts w:ascii="宋体" w:hAnsi="宋体" w:eastAsia="宋体" w:cs="宋体"/>
          <w:spacing w:val="5"/>
          <w:sz w:val="23"/>
          <w:szCs w:val="23"/>
        </w:rPr>
        <w:t>环境。</w:t>
      </w:r>
    </w:p>
    <w:p w14:paraId="381AEE25">
      <w:pPr>
        <w:spacing w:before="169" w:line="393" w:lineRule="auto"/>
        <w:ind w:left="24" w:right="103" w:firstLine="480"/>
        <w:rPr>
          <w:rFonts w:ascii="宋体" w:hAnsi="宋体" w:eastAsia="宋体" w:cs="宋体"/>
          <w:sz w:val="23"/>
          <w:szCs w:val="23"/>
        </w:rPr>
      </w:pPr>
      <w:r>
        <w:rPr>
          <w:rFonts w:ascii="宋体" w:hAnsi="宋体" w:eastAsia="宋体" w:cs="宋体"/>
          <w:spacing w:val="7"/>
          <w:sz w:val="23"/>
          <w:szCs w:val="23"/>
        </w:rPr>
        <w:t>土壤环境保护措施应采取源头控制措施、过程防控措施。本项目提出以下</w:t>
      </w:r>
      <w:r>
        <w:rPr>
          <w:rFonts w:ascii="宋体" w:hAnsi="宋体" w:eastAsia="宋体" w:cs="宋体"/>
          <w:spacing w:val="2"/>
          <w:sz w:val="23"/>
          <w:szCs w:val="23"/>
        </w:rPr>
        <w:t>保</w:t>
      </w:r>
      <w:r>
        <w:rPr>
          <w:rFonts w:ascii="宋体" w:hAnsi="宋体" w:eastAsia="宋体" w:cs="宋体"/>
          <w:sz w:val="23"/>
          <w:szCs w:val="23"/>
        </w:rPr>
        <w:t xml:space="preserve"> </w:t>
      </w:r>
      <w:r>
        <w:rPr>
          <w:rFonts w:ascii="宋体" w:hAnsi="宋体" w:eastAsia="宋体" w:cs="宋体"/>
          <w:spacing w:val="5"/>
          <w:sz w:val="23"/>
          <w:szCs w:val="23"/>
        </w:rPr>
        <w:t>护措施</w:t>
      </w:r>
      <w:r>
        <w:rPr>
          <w:rFonts w:ascii="宋体" w:hAnsi="宋体" w:eastAsia="宋体" w:cs="宋体"/>
          <w:spacing w:val="4"/>
          <w:sz w:val="23"/>
          <w:szCs w:val="23"/>
        </w:rPr>
        <w:t>：</w:t>
      </w:r>
    </w:p>
    <w:p w14:paraId="45E2F4C8">
      <w:pPr>
        <w:sectPr>
          <w:headerReference r:id="rId285" w:type="default"/>
          <w:footerReference r:id="rId286" w:type="default"/>
          <w:pgSz w:w="11906" w:h="16839"/>
          <w:pgMar w:top="1132" w:right="1695" w:bottom="1182" w:left="1785" w:header="878" w:footer="1022" w:gutter="0"/>
          <w:cols w:space="720" w:num="1"/>
        </w:sectPr>
      </w:pPr>
    </w:p>
    <w:p w14:paraId="2110712B">
      <w:pPr>
        <w:spacing w:line="409" w:lineRule="auto"/>
        <w:rPr>
          <w:rFonts w:ascii="Arial"/>
          <w:sz w:val="21"/>
        </w:rPr>
      </w:pPr>
      <w:r>
        <w:pict>
          <v:shape id="_x0000_s1355" o:spid="_x0000_s1355" style="position:absolute;left:0pt;margin-left:90pt;margin-top:57.35pt;height:0.75pt;width:415.3pt;mso-position-horizontal-relative:page;mso-position-vertical-relative:page;z-index:252049408;mso-width-relative:page;mso-height-relative:page;" fillcolor="#000000" filled="t" stroked="f" coordsize="8305,15" o:allowincell="f" path="m0,0l8305,0,8305,14,0,14,0,0xe">
            <v:path/>
            <v:fill on="t" focussize="0,0"/>
            <v:stroke on="f"/>
            <v:imagedata o:title=""/>
            <o:lock v:ext="edit"/>
          </v:shape>
        </w:pict>
      </w:r>
    </w:p>
    <w:p w14:paraId="1FB63DFE">
      <w:pPr>
        <w:spacing w:before="74" w:line="227" w:lineRule="auto"/>
        <w:ind w:left="51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源头控制措</w:t>
      </w:r>
      <w:r>
        <w:rPr>
          <w:rFonts w:ascii="宋体" w:hAnsi="宋体" w:eastAsia="宋体" w:cs="宋体"/>
          <w:spacing w:val="17"/>
          <w:sz w:val="23"/>
          <w:szCs w:val="23"/>
        </w:rPr>
        <w:t>施</w:t>
      </w:r>
    </w:p>
    <w:p w14:paraId="1D9FF3FD">
      <w:pPr>
        <w:spacing w:line="276" w:lineRule="auto"/>
        <w:rPr>
          <w:rFonts w:ascii="Arial"/>
          <w:sz w:val="21"/>
        </w:rPr>
      </w:pPr>
    </w:p>
    <w:p w14:paraId="355E8CB5">
      <w:pPr>
        <w:spacing w:before="75" w:line="393" w:lineRule="auto"/>
        <w:ind w:left="24" w:right="35" w:firstLine="480"/>
        <w:rPr>
          <w:rFonts w:ascii="宋体" w:hAnsi="宋体" w:eastAsia="宋体" w:cs="宋体"/>
          <w:sz w:val="23"/>
          <w:szCs w:val="23"/>
        </w:rPr>
      </w:pPr>
      <w:r>
        <w:rPr>
          <w:rFonts w:ascii="宋体" w:hAnsi="宋体" w:eastAsia="宋体" w:cs="宋体"/>
          <w:spacing w:val="7"/>
          <w:sz w:val="23"/>
          <w:szCs w:val="23"/>
        </w:rPr>
        <w:t>主要包括在工艺、管道、设备、污水储存及处理构筑物采取相应措施，防</w:t>
      </w:r>
      <w:r>
        <w:rPr>
          <w:rFonts w:ascii="宋体" w:hAnsi="宋体" w:eastAsia="宋体" w:cs="宋体"/>
          <w:spacing w:val="1"/>
          <w:sz w:val="23"/>
          <w:szCs w:val="23"/>
        </w:rPr>
        <w:t>止</w:t>
      </w:r>
      <w:r>
        <w:rPr>
          <w:rFonts w:ascii="宋体" w:hAnsi="宋体" w:eastAsia="宋体" w:cs="宋体"/>
          <w:sz w:val="23"/>
          <w:szCs w:val="23"/>
        </w:rPr>
        <w:t xml:space="preserve"> </w:t>
      </w:r>
      <w:r>
        <w:rPr>
          <w:rFonts w:ascii="宋体" w:hAnsi="宋体" w:eastAsia="宋体" w:cs="宋体"/>
          <w:spacing w:val="18"/>
          <w:sz w:val="23"/>
          <w:szCs w:val="23"/>
        </w:rPr>
        <w:t>和</w:t>
      </w:r>
      <w:r>
        <w:rPr>
          <w:rFonts w:ascii="宋体" w:hAnsi="宋体" w:eastAsia="宋体" w:cs="宋体"/>
          <w:spacing w:val="13"/>
          <w:sz w:val="23"/>
          <w:szCs w:val="23"/>
        </w:rPr>
        <w:t>降</w:t>
      </w:r>
      <w:r>
        <w:rPr>
          <w:rFonts w:ascii="宋体" w:hAnsi="宋体" w:eastAsia="宋体" w:cs="宋体"/>
          <w:spacing w:val="9"/>
          <w:sz w:val="23"/>
          <w:szCs w:val="23"/>
        </w:rPr>
        <w:t>低污染物跑、冒、滴、漏，将污染物泄漏的环境风险事故降到最低程度；</w:t>
      </w:r>
    </w:p>
    <w:p w14:paraId="01292EF1">
      <w:pPr>
        <w:spacing w:before="136" w:line="228" w:lineRule="auto"/>
        <w:ind w:left="51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2</w:t>
      </w:r>
      <w:r>
        <w:rPr>
          <w:rFonts w:ascii="宋体" w:hAnsi="宋体" w:eastAsia="宋体" w:cs="宋体"/>
          <w:spacing w:val="18"/>
          <w:sz w:val="23"/>
          <w:szCs w:val="23"/>
        </w:rPr>
        <w:t>) 过程防控措</w:t>
      </w:r>
      <w:r>
        <w:rPr>
          <w:rFonts w:ascii="宋体" w:hAnsi="宋体" w:eastAsia="宋体" w:cs="宋体"/>
          <w:spacing w:val="17"/>
          <w:sz w:val="23"/>
          <w:szCs w:val="23"/>
        </w:rPr>
        <w:t>施</w:t>
      </w:r>
    </w:p>
    <w:p w14:paraId="53B8997F">
      <w:pPr>
        <w:spacing w:line="277" w:lineRule="auto"/>
        <w:rPr>
          <w:rFonts w:ascii="Arial"/>
          <w:sz w:val="21"/>
        </w:rPr>
      </w:pPr>
    </w:p>
    <w:p w14:paraId="0E8ADF5C">
      <w:pPr>
        <w:spacing w:before="75" w:line="388" w:lineRule="auto"/>
        <w:ind w:left="24" w:firstLine="480"/>
        <w:rPr>
          <w:rFonts w:ascii="宋体" w:hAnsi="宋体" w:eastAsia="宋体" w:cs="宋体"/>
          <w:sz w:val="23"/>
          <w:szCs w:val="23"/>
        </w:rPr>
      </w:pPr>
      <w:r>
        <w:rPr>
          <w:rFonts w:ascii="宋体" w:hAnsi="宋体" w:eastAsia="宋体" w:cs="宋体"/>
          <w:spacing w:val="7"/>
          <w:sz w:val="23"/>
          <w:szCs w:val="23"/>
        </w:rPr>
        <w:t>主要包括厂内污染区地面的防渗措施和泄漏、渗漏污染物收集措施，即在</w:t>
      </w:r>
      <w:r>
        <w:rPr>
          <w:rFonts w:ascii="宋体" w:hAnsi="宋体" w:eastAsia="宋体" w:cs="宋体"/>
          <w:spacing w:val="1"/>
          <w:sz w:val="23"/>
          <w:szCs w:val="23"/>
        </w:rPr>
        <w:t>污</w:t>
      </w:r>
      <w:r>
        <w:rPr>
          <w:rFonts w:ascii="宋体" w:hAnsi="宋体" w:eastAsia="宋体" w:cs="宋体"/>
          <w:sz w:val="23"/>
          <w:szCs w:val="23"/>
        </w:rPr>
        <w:t xml:space="preserve"> </w:t>
      </w:r>
      <w:r>
        <w:rPr>
          <w:rFonts w:ascii="宋体" w:hAnsi="宋体" w:eastAsia="宋体" w:cs="宋体"/>
          <w:spacing w:val="8"/>
          <w:sz w:val="23"/>
          <w:szCs w:val="23"/>
        </w:rPr>
        <w:t>染</w:t>
      </w:r>
      <w:r>
        <w:rPr>
          <w:rFonts w:ascii="宋体" w:hAnsi="宋体" w:eastAsia="宋体" w:cs="宋体"/>
          <w:spacing w:val="7"/>
          <w:sz w:val="23"/>
          <w:szCs w:val="23"/>
        </w:rPr>
        <w:t>区地面进行防渗处理，防止洒落地面的污染物渗入地下，并把滞留在地面的污</w:t>
      </w:r>
      <w:r>
        <w:rPr>
          <w:rFonts w:ascii="宋体" w:hAnsi="宋体" w:eastAsia="宋体" w:cs="宋体"/>
          <w:sz w:val="23"/>
          <w:szCs w:val="23"/>
        </w:rPr>
        <w:t xml:space="preserve"> </w:t>
      </w:r>
      <w:r>
        <w:rPr>
          <w:rFonts w:ascii="宋体" w:hAnsi="宋体" w:eastAsia="宋体" w:cs="宋体"/>
          <w:spacing w:val="9"/>
          <w:sz w:val="23"/>
          <w:szCs w:val="23"/>
        </w:rPr>
        <w:t>染</w:t>
      </w:r>
      <w:r>
        <w:rPr>
          <w:rFonts w:ascii="宋体" w:hAnsi="宋体" w:eastAsia="宋体" w:cs="宋体"/>
          <w:spacing w:val="8"/>
          <w:sz w:val="23"/>
          <w:szCs w:val="23"/>
        </w:rPr>
        <w:t>物收集起来，集中送至污水处理厂；输送含有污染物的管道尽可能地上敷设，</w:t>
      </w:r>
      <w:r>
        <w:rPr>
          <w:rFonts w:ascii="宋体" w:hAnsi="宋体" w:eastAsia="宋体" w:cs="宋体"/>
          <w:sz w:val="23"/>
          <w:szCs w:val="23"/>
        </w:rPr>
        <w:t xml:space="preserve"> </w:t>
      </w:r>
      <w:r>
        <w:rPr>
          <w:rFonts w:ascii="宋体" w:hAnsi="宋体" w:eastAsia="宋体" w:cs="宋体"/>
          <w:spacing w:val="8"/>
          <w:sz w:val="23"/>
          <w:szCs w:val="23"/>
        </w:rPr>
        <w:t>并</w:t>
      </w:r>
      <w:r>
        <w:rPr>
          <w:rFonts w:ascii="宋体" w:hAnsi="宋体" w:eastAsia="宋体" w:cs="宋体"/>
          <w:spacing w:val="7"/>
          <w:sz w:val="23"/>
          <w:szCs w:val="23"/>
        </w:rPr>
        <w:t>且对管道做明显标识，减少由于埋地管道泄漏而造成的地下水污染；若确实需</w:t>
      </w:r>
      <w:r>
        <w:rPr>
          <w:rFonts w:ascii="宋体" w:hAnsi="宋体" w:eastAsia="宋体" w:cs="宋体"/>
          <w:sz w:val="23"/>
          <w:szCs w:val="23"/>
        </w:rPr>
        <w:t xml:space="preserve"> </w:t>
      </w:r>
      <w:r>
        <w:rPr>
          <w:rFonts w:ascii="宋体" w:hAnsi="宋体" w:eastAsia="宋体" w:cs="宋体"/>
          <w:spacing w:val="9"/>
          <w:sz w:val="23"/>
          <w:szCs w:val="23"/>
        </w:rPr>
        <w:t>要地下敷设时，应采取必要的防渗措施</w:t>
      </w:r>
      <w:r>
        <w:rPr>
          <w:rFonts w:ascii="宋体" w:hAnsi="宋体" w:eastAsia="宋体" w:cs="宋体"/>
          <w:spacing w:val="6"/>
          <w:sz w:val="23"/>
          <w:szCs w:val="23"/>
        </w:rPr>
        <w:t>。</w:t>
      </w:r>
    </w:p>
    <w:p w14:paraId="66563192">
      <w:pPr>
        <w:sectPr>
          <w:headerReference r:id="rId287" w:type="default"/>
          <w:footerReference r:id="rId288" w:type="default"/>
          <w:pgSz w:w="11906" w:h="16839"/>
          <w:pgMar w:top="1132" w:right="1764" w:bottom="1182" w:left="1785" w:header="878" w:footer="1022" w:gutter="0"/>
          <w:cols w:space="720" w:num="1"/>
        </w:sectPr>
      </w:pPr>
    </w:p>
    <w:p w14:paraId="57A3BEC6">
      <w:pPr>
        <w:spacing w:line="422" w:lineRule="auto"/>
        <w:rPr>
          <w:rFonts w:ascii="Arial"/>
          <w:sz w:val="21"/>
        </w:rPr>
      </w:pPr>
      <w:r>
        <w:pict>
          <v:shape id="_x0000_s1356" o:spid="_x0000_s1356" style="position:absolute;left:0pt;margin-left:90pt;margin-top:57.35pt;height:0.75pt;width:415.3pt;mso-position-horizontal-relative:page;mso-position-vertical-relative:page;z-index:252050432;mso-width-relative:page;mso-height-relative:page;" fillcolor="#000000" filled="t" stroked="f" coordsize="8305,15" o:allowincell="f" path="m0,0l8305,0,8305,14,0,14,0,0xe">
            <v:path/>
            <v:fill on="t" focussize="0,0"/>
            <v:stroke on="f"/>
            <v:imagedata o:title=""/>
            <o:lock v:ext="edit"/>
          </v:shape>
        </w:pict>
      </w:r>
    </w:p>
    <w:p w14:paraId="6693B948">
      <w:pPr>
        <w:spacing w:before="114" w:line="223" w:lineRule="auto"/>
        <w:ind w:left="26"/>
        <w:outlineLvl w:val="0"/>
        <w:rPr>
          <w:rFonts w:ascii="宋体" w:hAnsi="宋体" w:eastAsia="宋体" w:cs="宋体"/>
          <w:sz w:val="35"/>
          <w:szCs w:val="35"/>
        </w:rPr>
      </w:pPr>
      <w:bookmarkStart w:id="28" w:name="_bookmark29"/>
      <w:bookmarkEnd w:id="28"/>
      <w:r>
        <w:rPr>
          <w:rFonts w:ascii="Times New Roman" w:hAnsi="Times New Roman" w:eastAsia="Times New Roman" w:cs="Times New Roman"/>
          <w:b/>
          <w:bCs/>
          <w:spacing w:val="8"/>
          <w:sz w:val="35"/>
          <w:szCs w:val="35"/>
        </w:rPr>
        <w:t>7</w:t>
      </w:r>
      <w:r>
        <w:rPr>
          <w:rFonts w:ascii="Times New Roman" w:hAnsi="Times New Roman" w:eastAsia="Times New Roman" w:cs="Times New Roman"/>
          <w:spacing w:val="7"/>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环境风险评价</w:t>
      </w:r>
    </w:p>
    <w:p w14:paraId="7943C557">
      <w:pPr>
        <w:spacing w:before="314" w:line="389" w:lineRule="auto"/>
        <w:ind w:left="22" w:firstLine="480"/>
        <w:rPr>
          <w:rFonts w:ascii="宋体" w:hAnsi="宋体" w:eastAsia="宋体" w:cs="宋体"/>
          <w:sz w:val="23"/>
          <w:szCs w:val="23"/>
        </w:rPr>
      </w:pPr>
      <w:r>
        <w:rPr>
          <w:rFonts w:ascii="宋体" w:hAnsi="宋体" w:eastAsia="宋体" w:cs="宋体"/>
          <w:spacing w:val="22"/>
          <w:sz w:val="23"/>
          <w:szCs w:val="23"/>
        </w:rPr>
        <w:t>环</w:t>
      </w:r>
      <w:r>
        <w:rPr>
          <w:rFonts w:ascii="宋体" w:hAnsi="宋体" w:eastAsia="宋体" w:cs="宋体"/>
          <w:spacing w:val="14"/>
          <w:sz w:val="23"/>
          <w:szCs w:val="23"/>
        </w:rPr>
        <w:t>境风险评价是在分析项目事故发生概率和预测事故状态下的影响程度基</w:t>
      </w:r>
      <w:r>
        <w:rPr>
          <w:rFonts w:ascii="宋体" w:hAnsi="宋体" w:eastAsia="宋体" w:cs="宋体"/>
          <w:sz w:val="23"/>
          <w:szCs w:val="23"/>
        </w:rPr>
        <w:t xml:space="preserve"> </w:t>
      </w:r>
      <w:r>
        <w:rPr>
          <w:rFonts w:ascii="宋体" w:hAnsi="宋体" w:eastAsia="宋体" w:cs="宋体"/>
          <w:spacing w:val="9"/>
          <w:sz w:val="23"/>
          <w:szCs w:val="23"/>
        </w:rPr>
        <w:t>础</w:t>
      </w:r>
      <w:r>
        <w:rPr>
          <w:rFonts w:ascii="宋体" w:hAnsi="宋体" w:eastAsia="宋体" w:cs="宋体"/>
          <w:spacing w:val="7"/>
          <w:sz w:val="23"/>
          <w:szCs w:val="23"/>
        </w:rPr>
        <w:t>上，以事故发生概率与事故后果的乘积来表征项目事故的风险度。评价目的旨</w:t>
      </w:r>
      <w:r>
        <w:rPr>
          <w:rFonts w:ascii="宋体" w:hAnsi="宋体" w:eastAsia="宋体" w:cs="宋体"/>
          <w:sz w:val="23"/>
          <w:szCs w:val="23"/>
        </w:rPr>
        <w:t xml:space="preserve"> </w:t>
      </w:r>
      <w:r>
        <w:rPr>
          <w:rFonts w:ascii="宋体" w:hAnsi="宋体" w:eastAsia="宋体" w:cs="宋体"/>
          <w:spacing w:val="9"/>
          <w:sz w:val="23"/>
          <w:szCs w:val="23"/>
        </w:rPr>
        <w:t>在通过风险度的分析，对项目建设和运行过程中可能存在的事故隐患 (事故源</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9"/>
          <w:sz w:val="23"/>
          <w:szCs w:val="23"/>
        </w:rPr>
        <w:t>提</w:t>
      </w:r>
      <w:r>
        <w:rPr>
          <w:rFonts w:ascii="宋体" w:hAnsi="宋体" w:eastAsia="宋体" w:cs="宋体"/>
          <w:spacing w:val="7"/>
          <w:sz w:val="23"/>
          <w:szCs w:val="23"/>
        </w:rPr>
        <w:t>出事故防范措施和事故后应急措施，使建设项目的环境风险影响尽可能降到最</w:t>
      </w:r>
      <w:r>
        <w:rPr>
          <w:rFonts w:ascii="宋体" w:hAnsi="宋体" w:eastAsia="宋体" w:cs="宋体"/>
          <w:sz w:val="23"/>
          <w:szCs w:val="23"/>
        </w:rPr>
        <w:t xml:space="preserve"> </w:t>
      </w:r>
      <w:r>
        <w:rPr>
          <w:rFonts w:ascii="宋体" w:hAnsi="宋体" w:eastAsia="宋体" w:cs="宋体"/>
          <w:spacing w:val="15"/>
          <w:sz w:val="23"/>
          <w:szCs w:val="23"/>
        </w:rPr>
        <w:t>低</w:t>
      </w:r>
      <w:r>
        <w:rPr>
          <w:rFonts w:ascii="宋体" w:hAnsi="宋体" w:eastAsia="宋体" w:cs="宋体"/>
          <w:spacing w:val="8"/>
          <w:sz w:val="23"/>
          <w:szCs w:val="23"/>
        </w:rPr>
        <w:t>，风险度达到可接受水平。</w:t>
      </w:r>
    </w:p>
    <w:p w14:paraId="1185A50A">
      <w:pPr>
        <w:spacing w:before="67" w:line="223" w:lineRule="auto"/>
        <w:ind w:left="24"/>
        <w:outlineLvl w:val="1"/>
        <w:rPr>
          <w:rFonts w:ascii="宋体" w:hAnsi="宋体" w:eastAsia="宋体" w:cs="宋体"/>
          <w:sz w:val="31"/>
          <w:szCs w:val="31"/>
        </w:rPr>
      </w:pPr>
      <w:bookmarkStart w:id="29" w:name="_bookmark30"/>
      <w:bookmarkEnd w:id="29"/>
      <w:r>
        <w:rPr>
          <w:rFonts w:ascii="Times New Roman" w:hAnsi="Times New Roman" w:eastAsia="Times New Roman" w:cs="Times New Roman"/>
          <w:b/>
          <w:bCs/>
          <w:spacing w:val="9"/>
          <w:sz w:val="31"/>
          <w:szCs w:val="31"/>
        </w:rPr>
        <w:t>7</w:t>
      </w:r>
      <w:r>
        <w:rPr>
          <w:rFonts w:ascii="Times New Roman" w:hAnsi="Times New Roman" w:eastAsia="Times New Roman" w:cs="Times New Roman"/>
          <w:b/>
          <w:bCs/>
          <w:spacing w:val="7"/>
          <w:sz w:val="31"/>
          <w:szCs w:val="31"/>
        </w:rPr>
        <w:t>.1</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环境风险评价依据</w:t>
      </w:r>
    </w:p>
    <w:p w14:paraId="67CE2B97">
      <w:pPr>
        <w:spacing w:before="278" w:line="226" w:lineRule="auto"/>
        <w:ind w:left="24"/>
        <w:outlineLvl w:val="2"/>
        <w:rPr>
          <w:rFonts w:ascii="宋体" w:hAnsi="宋体" w:eastAsia="宋体" w:cs="宋体"/>
          <w:sz w:val="29"/>
          <w:szCs w:val="29"/>
        </w:rPr>
      </w:pPr>
      <w:r>
        <w:rPr>
          <w:rFonts w:ascii="Times New Roman" w:hAnsi="Times New Roman" w:eastAsia="Times New Roman" w:cs="Times New Roman"/>
          <w:b/>
          <w:bCs/>
          <w:spacing w:val="5"/>
          <w:sz w:val="29"/>
          <w:szCs w:val="29"/>
        </w:rPr>
        <w:t>7.1.1</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风险调查</w:t>
      </w:r>
    </w:p>
    <w:p w14:paraId="4E33041A">
      <w:pPr>
        <w:spacing w:line="256" w:lineRule="auto"/>
        <w:rPr>
          <w:rFonts w:ascii="Arial"/>
          <w:sz w:val="21"/>
        </w:rPr>
      </w:pPr>
    </w:p>
    <w:p w14:paraId="79B5915B">
      <w:pPr>
        <w:spacing w:before="75" w:line="386" w:lineRule="auto"/>
        <w:ind w:left="22" w:right="8" w:firstLine="480"/>
        <w:rPr>
          <w:rFonts w:ascii="宋体" w:hAnsi="宋体" w:eastAsia="宋体" w:cs="宋体"/>
          <w:sz w:val="23"/>
          <w:szCs w:val="23"/>
        </w:rPr>
      </w:pPr>
      <w:r>
        <w:rPr>
          <w:rFonts w:ascii="宋体" w:hAnsi="宋体" w:eastAsia="宋体" w:cs="宋体"/>
          <w:spacing w:val="1"/>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169-</w:t>
      </w:r>
      <w:r>
        <w:rPr>
          <w:rFonts w:ascii="Times New Roman" w:hAnsi="Times New Roman" w:eastAsia="Times New Roman" w:cs="Times New Roman"/>
          <w:sz w:val="23"/>
          <w:szCs w:val="23"/>
        </w:rPr>
        <w:t>2018</w:t>
      </w:r>
      <w:r>
        <w:rPr>
          <w:rFonts w:ascii="宋体" w:hAnsi="宋体" w:eastAsia="宋体" w:cs="宋体"/>
          <w:sz w:val="23"/>
          <w:szCs w:val="23"/>
        </w:rPr>
        <w:t>) 中</w:t>
      </w:r>
      <w:r>
        <w:rPr>
          <w:rFonts w:ascii="Times New Roman" w:hAnsi="Times New Roman" w:eastAsia="Times New Roman" w:cs="Times New Roman"/>
          <w:sz w:val="23"/>
          <w:szCs w:val="23"/>
        </w:rPr>
        <w:t xml:space="preserve">“7  </w:t>
      </w:r>
      <w:r>
        <w:rPr>
          <w:rFonts w:ascii="宋体" w:hAnsi="宋体" w:eastAsia="宋体" w:cs="宋体"/>
          <w:sz w:val="23"/>
          <w:szCs w:val="23"/>
        </w:rPr>
        <w:t xml:space="preserve">风险识别 </w:t>
      </w:r>
      <w:r>
        <w:rPr>
          <w:rFonts w:ascii="Times New Roman" w:hAnsi="Times New Roman" w:eastAsia="Times New Roman" w:cs="Times New Roman"/>
          <w:sz w:val="23"/>
          <w:szCs w:val="23"/>
        </w:rPr>
        <w:t xml:space="preserve">7. 1 </w:t>
      </w:r>
      <w:r>
        <w:rPr>
          <w:rFonts w:ascii="宋体" w:hAnsi="宋体" w:eastAsia="宋体" w:cs="宋体"/>
          <w:spacing w:val="6"/>
          <w:sz w:val="23"/>
          <w:szCs w:val="23"/>
        </w:rPr>
        <w:t>风险</w:t>
      </w:r>
      <w:r>
        <w:rPr>
          <w:rFonts w:ascii="宋体" w:hAnsi="宋体" w:eastAsia="宋体" w:cs="宋体"/>
          <w:spacing w:val="3"/>
          <w:sz w:val="23"/>
          <w:szCs w:val="23"/>
        </w:rPr>
        <w:t xml:space="preserve">识别内容 </w:t>
      </w:r>
      <w:r>
        <w:rPr>
          <w:rFonts w:ascii="Times New Roman" w:hAnsi="Times New Roman" w:eastAsia="Times New Roman" w:cs="Times New Roman"/>
          <w:spacing w:val="3"/>
          <w:sz w:val="23"/>
          <w:szCs w:val="23"/>
        </w:rPr>
        <w:t xml:space="preserve">7. 1. 1  </w:t>
      </w:r>
      <w:r>
        <w:rPr>
          <w:rFonts w:ascii="宋体" w:hAnsi="宋体" w:eastAsia="宋体" w:cs="宋体"/>
          <w:spacing w:val="3"/>
          <w:sz w:val="23"/>
          <w:szCs w:val="23"/>
        </w:rPr>
        <w:t>物质危险性识别包括主要原辅材材料、原料、中间产品、副</w:t>
      </w:r>
      <w:r>
        <w:rPr>
          <w:rFonts w:ascii="宋体" w:hAnsi="宋体" w:eastAsia="宋体" w:cs="宋体"/>
          <w:sz w:val="23"/>
          <w:szCs w:val="23"/>
        </w:rPr>
        <w:t xml:space="preserve"> </w:t>
      </w:r>
      <w:r>
        <w:rPr>
          <w:rFonts w:ascii="宋体" w:hAnsi="宋体" w:eastAsia="宋体" w:cs="宋体"/>
          <w:spacing w:val="7"/>
          <w:sz w:val="23"/>
          <w:szCs w:val="23"/>
        </w:rPr>
        <w:t>产品、最终产品、污染物、火灾和爆炸伴生</w:t>
      </w:r>
      <w:r>
        <w:rPr>
          <w:rFonts w:ascii="Times New Roman" w:hAnsi="Times New Roman" w:eastAsia="Times New Roman" w:cs="Times New Roman"/>
          <w:spacing w:val="7"/>
          <w:sz w:val="23"/>
          <w:szCs w:val="23"/>
        </w:rPr>
        <w:t>/</w:t>
      </w:r>
      <w:r>
        <w:rPr>
          <w:rFonts w:ascii="宋体" w:hAnsi="宋体" w:eastAsia="宋体" w:cs="宋体"/>
          <w:spacing w:val="7"/>
          <w:sz w:val="23"/>
          <w:szCs w:val="23"/>
        </w:rPr>
        <w:t>次生物等</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，该项目主要原材料废</w:t>
      </w:r>
      <w:r>
        <w:rPr>
          <w:rFonts w:ascii="宋体" w:hAnsi="宋体" w:eastAsia="宋体" w:cs="宋体"/>
          <w:spacing w:val="2"/>
          <w:sz w:val="23"/>
          <w:szCs w:val="23"/>
        </w:rPr>
        <w:t>旧</w:t>
      </w:r>
      <w:r>
        <w:rPr>
          <w:rFonts w:ascii="宋体" w:hAnsi="宋体" w:eastAsia="宋体" w:cs="宋体"/>
          <w:sz w:val="23"/>
          <w:szCs w:val="23"/>
        </w:rPr>
        <w:t xml:space="preserve"> </w:t>
      </w:r>
      <w:r>
        <w:rPr>
          <w:rFonts w:ascii="宋体" w:hAnsi="宋体" w:eastAsia="宋体" w:cs="宋体"/>
          <w:spacing w:val="4"/>
          <w:sz w:val="23"/>
          <w:szCs w:val="23"/>
        </w:rPr>
        <w:t>塑料编织</w:t>
      </w:r>
      <w:r>
        <w:rPr>
          <w:rFonts w:ascii="宋体" w:hAnsi="宋体" w:eastAsia="宋体" w:cs="宋体"/>
          <w:spacing w:val="3"/>
          <w:sz w:val="23"/>
          <w:szCs w:val="23"/>
        </w:rPr>
        <w:t>袋</w:t>
      </w:r>
      <w:r>
        <w:rPr>
          <w:rFonts w:ascii="宋体" w:hAnsi="宋体" w:eastAsia="宋体" w:cs="宋体"/>
          <w:spacing w:val="2"/>
          <w:sz w:val="23"/>
          <w:szCs w:val="23"/>
        </w:rPr>
        <w:t>，主要成分为聚乙烯、聚丙烯，产品主要为聚乙烯颗粒、聚丙烯颗粒，</w:t>
      </w:r>
      <w:r>
        <w:rPr>
          <w:rFonts w:ascii="宋体" w:hAnsi="宋体" w:eastAsia="宋体" w:cs="宋体"/>
          <w:sz w:val="23"/>
          <w:szCs w:val="23"/>
        </w:rPr>
        <w:t xml:space="preserve"> </w:t>
      </w:r>
      <w:r>
        <w:rPr>
          <w:rFonts w:ascii="宋体" w:hAnsi="宋体" w:eastAsia="宋体" w:cs="宋体"/>
          <w:spacing w:val="10"/>
          <w:sz w:val="23"/>
          <w:szCs w:val="23"/>
        </w:rPr>
        <w:t>对照</w:t>
      </w:r>
      <w:r>
        <w:rPr>
          <w:rFonts w:ascii="宋体" w:hAnsi="宋体" w:eastAsia="宋体" w:cs="宋体"/>
          <w:spacing w:val="7"/>
          <w:sz w:val="23"/>
          <w:szCs w:val="23"/>
        </w:rPr>
        <w:t>《</w:t>
      </w:r>
      <w:r>
        <w:rPr>
          <w:rFonts w:ascii="宋体" w:hAnsi="宋体" w:eastAsia="宋体" w:cs="宋体"/>
          <w:spacing w:val="5"/>
          <w:sz w:val="23"/>
          <w:szCs w:val="23"/>
        </w:rPr>
        <w:t>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169-2018</w:t>
      </w:r>
      <w:r>
        <w:rPr>
          <w:rFonts w:ascii="宋体" w:hAnsi="宋体" w:eastAsia="宋体" w:cs="宋体"/>
          <w:spacing w:val="5"/>
          <w:sz w:val="23"/>
          <w:szCs w:val="23"/>
        </w:rPr>
        <w:t xml:space="preserve">) 附录 </w:t>
      </w:r>
      <w:r>
        <w:rPr>
          <w:rFonts w:ascii="Times New Roman" w:hAnsi="Times New Roman" w:eastAsia="Times New Roman" w:cs="Times New Roman"/>
          <w:sz w:val="23"/>
          <w:szCs w:val="23"/>
        </w:rPr>
        <w:t>B</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重点关注的危</w:t>
      </w:r>
      <w:r>
        <w:rPr>
          <w:rFonts w:ascii="宋体" w:hAnsi="宋体" w:eastAsia="宋体" w:cs="宋体"/>
          <w:sz w:val="23"/>
          <w:szCs w:val="23"/>
        </w:rPr>
        <w:t xml:space="preserve"> </w:t>
      </w:r>
      <w:r>
        <w:rPr>
          <w:rFonts w:ascii="宋体" w:hAnsi="宋体" w:eastAsia="宋体" w:cs="宋体"/>
          <w:spacing w:val="9"/>
          <w:sz w:val="23"/>
          <w:szCs w:val="23"/>
        </w:rPr>
        <w:t>险</w:t>
      </w:r>
      <w:r>
        <w:rPr>
          <w:rFonts w:ascii="宋体" w:hAnsi="宋体" w:eastAsia="宋体" w:cs="宋体"/>
          <w:spacing w:val="7"/>
          <w:sz w:val="23"/>
          <w:szCs w:val="23"/>
        </w:rPr>
        <w:t>物质及临界量，上述原料及产品均不属于危险化学品和有毒有害物质，不具有</w:t>
      </w:r>
      <w:r>
        <w:rPr>
          <w:rFonts w:ascii="宋体" w:hAnsi="宋体" w:eastAsia="宋体" w:cs="宋体"/>
          <w:sz w:val="23"/>
          <w:szCs w:val="23"/>
        </w:rPr>
        <w:t xml:space="preserve"> </w:t>
      </w:r>
      <w:r>
        <w:rPr>
          <w:rFonts w:ascii="宋体" w:hAnsi="宋体" w:eastAsia="宋体" w:cs="宋体"/>
          <w:spacing w:val="9"/>
          <w:sz w:val="23"/>
          <w:szCs w:val="23"/>
        </w:rPr>
        <w:t>易</w:t>
      </w:r>
      <w:r>
        <w:rPr>
          <w:rFonts w:ascii="宋体" w:hAnsi="宋体" w:eastAsia="宋体" w:cs="宋体"/>
          <w:spacing w:val="7"/>
          <w:sz w:val="23"/>
          <w:szCs w:val="23"/>
        </w:rPr>
        <w:t>燃易爆等特性，不属于风险物质。但遇明火可燃，因此应按照《建设项目环境</w:t>
      </w:r>
      <w:r>
        <w:rPr>
          <w:rFonts w:ascii="宋体" w:hAnsi="宋体" w:eastAsia="宋体" w:cs="宋体"/>
          <w:sz w:val="23"/>
          <w:szCs w:val="23"/>
        </w:rPr>
        <w:t xml:space="preserve"> </w:t>
      </w:r>
      <w:r>
        <w:rPr>
          <w:rFonts w:ascii="宋体" w:hAnsi="宋体" w:eastAsia="宋体" w:cs="宋体"/>
          <w:spacing w:val="12"/>
          <w:sz w:val="23"/>
          <w:szCs w:val="23"/>
        </w:rPr>
        <w:t>风险评价</w:t>
      </w:r>
      <w:r>
        <w:rPr>
          <w:rFonts w:ascii="宋体" w:hAnsi="宋体" w:eastAsia="宋体" w:cs="宋体"/>
          <w:spacing w:val="7"/>
          <w:sz w:val="23"/>
          <w:szCs w:val="23"/>
        </w:rPr>
        <w:t>技</w:t>
      </w:r>
      <w:r>
        <w:rPr>
          <w:rFonts w:ascii="宋体" w:hAnsi="宋体" w:eastAsia="宋体" w:cs="宋体"/>
          <w:spacing w:val="6"/>
          <w:sz w:val="23"/>
          <w:szCs w:val="23"/>
        </w:rPr>
        <w:t>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169-2018</w:t>
      </w:r>
      <w:r>
        <w:rPr>
          <w:rFonts w:ascii="宋体" w:hAnsi="宋体" w:eastAsia="宋体" w:cs="宋体"/>
          <w:spacing w:val="6"/>
          <w:sz w:val="23"/>
          <w:szCs w:val="23"/>
        </w:rPr>
        <w:t>) 中相关要求，以突发性事故导致的危险物质</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境记性损害防控为目标，对建设项目的环境风险进行分析、预测和评估，提出</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境风险预防、控制、减缓措施，明确环境风险监控及应急要求，为建设项目环</w:t>
      </w:r>
      <w:r>
        <w:rPr>
          <w:rFonts w:ascii="宋体" w:hAnsi="宋体" w:eastAsia="宋体" w:cs="宋体"/>
          <w:sz w:val="23"/>
          <w:szCs w:val="23"/>
        </w:rPr>
        <w:t xml:space="preserve"> </w:t>
      </w:r>
      <w:r>
        <w:rPr>
          <w:rFonts w:ascii="宋体" w:hAnsi="宋体" w:eastAsia="宋体" w:cs="宋体"/>
          <w:spacing w:val="13"/>
          <w:sz w:val="23"/>
          <w:szCs w:val="23"/>
        </w:rPr>
        <w:t>境</w:t>
      </w:r>
      <w:r>
        <w:rPr>
          <w:rFonts w:ascii="宋体" w:hAnsi="宋体" w:eastAsia="宋体" w:cs="宋体"/>
          <w:spacing w:val="8"/>
          <w:sz w:val="23"/>
          <w:szCs w:val="23"/>
        </w:rPr>
        <w:t>风险防控提出科学依据。</w:t>
      </w:r>
    </w:p>
    <w:p w14:paraId="7001276B">
      <w:pPr>
        <w:spacing w:before="144" w:line="388" w:lineRule="auto"/>
        <w:ind w:left="22" w:right="37" w:firstLine="484"/>
        <w:rPr>
          <w:rFonts w:ascii="宋体" w:hAnsi="宋体" w:eastAsia="宋体" w:cs="宋体"/>
          <w:sz w:val="23"/>
          <w:szCs w:val="23"/>
        </w:rPr>
      </w:pPr>
      <w:r>
        <w:rPr>
          <w:rFonts w:ascii="宋体" w:hAnsi="宋体" w:eastAsia="宋体" w:cs="宋体"/>
          <w:spacing w:val="12"/>
          <w:sz w:val="23"/>
          <w:szCs w:val="23"/>
        </w:rPr>
        <w:t>该项目生</w:t>
      </w:r>
      <w:r>
        <w:rPr>
          <w:rFonts w:ascii="宋体" w:hAnsi="宋体" w:eastAsia="宋体" w:cs="宋体"/>
          <w:spacing w:val="7"/>
          <w:sz w:val="23"/>
          <w:szCs w:val="23"/>
        </w:rPr>
        <w:t>产</w:t>
      </w:r>
      <w:r>
        <w:rPr>
          <w:rFonts w:ascii="宋体" w:hAnsi="宋体" w:eastAsia="宋体" w:cs="宋体"/>
          <w:spacing w:val="6"/>
          <w:sz w:val="23"/>
          <w:szCs w:val="23"/>
        </w:rPr>
        <w:t>设备不属于高温、高压设备，出现事故的可能性很小，可能存在</w:t>
      </w:r>
      <w:r>
        <w:rPr>
          <w:rFonts w:ascii="宋体" w:hAnsi="宋体" w:eastAsia="宋体" w:cs="宋体"/>
          <w:sz w:val="23"/>
          <w:szCs w:val="23"/>
        </w:rPr>
        <w:t xml:space="preserve"> </w:t>
      </w:r>
      <w:r>
        <w:rPr>
          <w:rFonts w:ascii="宋体" w:hAnsi="宋体" w:eastAsia="宋体" w:cs="宋体"/>
          <w:spacing w:val="9"/>
          <w:sz w:val="23"/>
          <w:szCs w:val="23"/>
        </w:rPr>
        <w:t>风</w:t>
      </w:r>
      <w:r>
        <w:rPr>
          <w:rFonts w:ascii="宋体" w:hAnsi="宋体" w:eastAsia="宋体" w:cs="宋体"/>
          <w:spacing w:val="7"/>
          <w:sz w:val="23"/>
          <w:szCs w:val="23"/>
        </w:rPr>
        <w:t>险的设施主要为：贮运系统、环保设施。项目塑料采用密封箱式汽车运输，运</w:t>
      </w:r>
      <w:r>
        <w:rPr>
          <w:rFonts w:ascii="宋体" w:hAnsi="宋体" w:eastAsia="宋体" w:cs="宋体"/>
          <w:sz w:val="23"/>
          <w:szCs w:val="23"/>
        </w:rPr>
        <w:t xml:space="preserve"> </w:t>
      </w:r>
      <w:r>
        <w:rPr>
          <w:rFonts w:ascii="宋体" w:hAnsi="宋体" w:eastAsia="宋体" w:cs="宋体"/>
          <w:spacing w:val="11"/>
          <w:sz w:val="23"/>
          <w:szCs w:val="23"/>
        </w:rPr>
        <w:t>输</w:t>
      </w:r>
      <w:r>
        <w:rPr>
          <w:rFonts w:ascii="宋体" w:hAnsi="宋体" w:eastAsia="宋体" w:cs="宋体"/>
          <w:spacing w:val="8"/>
          <w:sz w:val="23"/>
          <w:szCs w:val="23"/>
        </w:rPr>
        <w:t>过程过程风险事故发生概率较小。但一旦发生原料仓着火，火势会迅速蔓延，</w:t>
      </w:r>
      <w:r>
        <w:rPr>
          <w:rFonts w:ascii="宋体" w:hAnsi="宋体" w:eastAsia="宋体" w:cs="宋体"/>
          <w:sz w:val="23"/>
          <w:szCs w:val="23"/>
        </w:rPr>
        <w:t xml:space="preserve"> </w:t>
      </w:r>
      <w:r>
        <w:rPr>
          <w:rFonts w:ascii="宋体" w:hAnsi="宋体" w:eastAsia="宋体" w:cs="宋体"/>
          <w:spacing w:val="9"/>
          <w:sz w:val="23"/>
          <w:szCs w:val="23"/>
        </w:rPr>
        <w:t>如</w:t>
      </w:r>
      <w:r>
        <w:rPr>
          <w:rFonts w:ascii="宋体" w:hAnsi="宋体" w:eastAsia="宋体" w:cs="宋体"/>
          <w:spacing w:val="7"/>
          <w:sz w:val="23"/>
          <w:szCs w:val="23"/>
        </w:rPr>
        <w:t>果灾情控制不住，将会对项目造成一定的经济损失，严重可能危及周围的企业</w:t>
      </w:r>
      <w:r>
        <w:rPr>
          <w:rFonts w:ascii="宋体" w:hAnsi="宋体" w:eastAsia="宋体" w:cs="宋体"/>
          <w:sz w:val="23"/>
          <w:szCs w:val="23"/>
        </w:rPr>
        <w:t xml:space="preserve"> </w:t>
      </w:r>
      <w:r>
        <w:rPr>
          <w:rFonts w:ascii="宋体" w:hAnsi="宋体" w:eastAsia="宋体" w:cs="宋体"/>
          <w:spacing w:val="11"/>
          <w:sz w:val="23"/>
          <w:szCs w:val="23"/>
        </w:rPr>
        <w:t>和</w:t>
      </w:r>
      <w:r>
        <w:rPr>
          <w:rFonts w:ascii="宋体" w:hAnsi="宋体" w:eastAsia="宋体" w:cs="宋体"/>
          <w:spacing w:val="6"/>
          <w:sz w:val="23"/>
          <w:szCs w:val="23"/>
        </w:rPr>
        <w:t xml:space="preserve">附近的居民。同时燃烧产生大量的有害气体 </w:t>
      </w: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、烟尘，引发一系列的次生环</w:t>
      </w:r>
      <w:r>
        <w:rPr>
          <w:rFonts w:ascii="宋体" w:hAnsi="宋体" w:eastAsia="宋体" w:cs="宋体"/>
          <w:sz w:val="23"/>
          <w:szCs w:val="23"/>
        </w:rPr>
        <w:t xml:space="preserve"> </w:t>
      </w:r>
      <w:r>
        <w:rPr>
          <w:rFonts w:ascii="宋体" w:hAnsi="宋体" w:eastAsia="宋体" w:cs="宋体"/>
          <w:spacing w:val="6"/>
          <w:sz w:val="23"/>
          <w:szCs w:val="23"/>
        </w:rPr>
        <w:t>境</w:t>
      </w:r>
      <w:r>
        <w:rPr>
          <w:rFonts w:ascii="宋体" w:hAnsi="宋体" w:eastAsia="宋体" w:cs="宋体"/>
          <w:spacing w:val="5"/>
          <w:sz w:val="23"/>
          <w:szCs w:val="23"/>
        </w:rPr>
        <w:t>问题。</w:t>
      </w:r>
    </w:p>
    <w:p w14:paraId="039AE375">
      <w:pPr>
        <w:spacing w:before="136" w:line="227" w:lineRule="auto"/>
        <w:ind w:left="508"/>
        <w:rPr>
          <w:rFonts w:ascii="宋体" w:hAnsi="宋体" w:eastAsia="宋体" w:cs="宋体"/>
          <w:sz w:val="23"/>
          <w:szCs w:val="23"/>
        </w:rPr>
      </w:pPr>
      <w:r>
        <w:rPr>
          <w:rFonts w:ascii="宋体" w:hAnsi="宋体" w:eastAsia="宋体" w:cs="宋体"/>
          <w:spacing w:val="12"/>
          <w:sz w:val="23"/>
          <w:szCs w:val="23"/>
        </w:rPr>
        <w:t>正常情况</w:t>
      </w:r>
      <w:r>
        <w:rPr>
          <w:rFonts w:ascii="宋体" w:hAnsi="宋体" w:eastAsia="宋体" w:cs="宋体"/>
          <w:spacing w:val="6"/>
          <w:sz w:val="23"/>
          <w:szCs w:val="23"/>
        </w:rPr>
        <w:t>下项目生产废水经处理后循环利用不外排，在事故情况下，生产废</w:t>
      </w:r>
    </w:p>
    <w:p w14:paraId="7B9EEB28">
      <w:pPr>
        <w:sectPr>
          <w:headerReference r:id="rId289" w:type="default"/>
          <w:footerReference r:id="rId290" w:type="default"/>
          <w:pgSz w:w="11906" w:h="16839"/>
          <w:pgMar w:top="1132" w:right="1726" w:bottom="1182" w:left="1785" w:header="878" w:footer="1022" w:gutter="0"/>
          <w:cols w:space="720" w:num="1"/>
        </w:sectPr>
      </w:pPr>
    </w:p>
    <w:p w14:paraId="49C5A3F9">
      <w:pPr>
        <w:spacing w:line="406" w:lineRule="auto"/>
        <w:rPr>
          <w:rFonts w:ascii="Arial"/>
          <w:sz w:val="21"/>
        </w:rPr>
      </w:pPr>
      <w:r>
        <w:pict>
          <v:shape id="_x0000_s1357" o:spid="_x0000_s1357" style="position:absolute;left:0pt;margin-left:90pt;margin-top:57.35pt;height:0.75pt;width:415.3pt;mso-position-horizontal-relative:page;mso-position-vertical-relative:page;z-index:252051456;mso-width-relative:page;mso-height-relative:page;" fillcolor="#000000" filled="t" stroked="f" coordsize="8305,15" o:allowincell="f" path="m0,0l8305,0,8305,14,0,14,0,0xe">
            <v:path/>
            <v:fill on="t" focussize="0,0"/>
            <v:stroke on="f"/>
            <v:imagedata o:title=""/>
            <o:lock v:ext="edit"/>
          </v:shape>
        </w:pict>
      </w:r>
    </w:p>
    <w:p w14:paraId="441B0F94">
      <w:pPr>
        <w:spacing w:before="74" w:line="386" w:lineRule="auto"/>
        <w:ind w:left="46" w:right="85" w:firstLine="8"/>
        <w:rPr>
          <w:rFonts w:ascii="宋体" w:hAnsi="宋体" w:eastAsia="宋体" w:cs="宋体"/>
          <w:sz w:val="23"/>
          <w:szCs w:val="23"/>
        </w:rPr>
      </w:pPr>
      <w:r>
        <w:rPr>
          <w:rFonts w:ascii="宋体" w:hAnsi="宋体" w:eastAsia="宋体" w:cs="宋体"/>
          <w:spacing w:val="8"/>
          <w:sz w:val="23"/>
          <w:szCs w:val="23"/>
        </w:rPr>
        <w:t xml:space="preserve">水泄漏会影响地下水。因本项目废物污染物较为单一，主要为 </w:t>
      </w:r>
      <w:r>
        <w:rPr>
          <w:rFonts w:ascii="Times New Roman" w:hAnsi="Times New Roman" w:eastAsia="Times New Roman" w:cs="Times New Roman"/>
          <w:sz w:val="23"/>
          <w:szCs w:val="23"/>
        </w:rPr>
        <w:t>SS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，因此，项</w:t>
      </w:r>
      <w:r>
        <w:rPr>
          <w:rFonts w:ascii="宋体" w:hAnsi="宋体" w:eastAsia="宋体" w:cs="宋体"/>
          <w:spacing w:val="3"/>
          <w:sz w:val="23"/>
          <w:szCs w:val="23"/>
        </w:rPr>
        <w:t>目</w:t>
      </w:r>
      <w:r>
        <w:rPr>
          <w:rFonts w:ascii="宋体" w:hAnsi="宋体" w:eastAsia="宋体" w:cs="宋体"/>
          <w:sz w:val="23"/>
          <w:szCs w:val="23"/>
        </w:rPr>
        <w:t xml:space="preserve"> </w:t>
      </w:r>
      <w:r>
        <w:rPr>
          <w:rFonts w:ascii="宋体" w:hAnsi="宋体" w:eastAsia="宋体" w:cs="宋体"/>
          <w:spacing w:val="14"/>
          <w:sz w:val="23"/>
          <w:szCs w:val="23"/>
        </w:rPr>
        <w:t>只</w:t>
      </w:r>
      <w:r>
        <w:rPr>
          <w:rFonts w:ascii="宋体" w:hAnsi="宋体" w:eastAsia="宋体" w:cs="宋体"/>
          <w:spacing w:val="7"/>
          <w:sz w:val="23"/>
          <w:szCs w:val="23"/>
        </w:rPr>
        <w:t>要做好循环水池的建设，杜绝清洗废水的外排，基本上可以杜绝对周边地表水</w:t>
      </w:r>
      <w:r>
        <w:rPr>
          <w:rFonts w:ascii="宋体" w:hAnsi="宋体" w:eastAsia="宋体" w:cs="宋体"/>
          <w:sz w:val="23"/>
          <w:szCs w:val="23"/>
        </w:rPr>
        <w:t xml:space="preserve"> </w:t>
      </w:r>
      <w:r>
        <w:rPr>
          <w:rFonts w:ascii="宋体" w:hAnsi="宋体" w:eastAsia="宋体" w:cs="宋体"/>
          <w:spacing w:val="33"/>
          <w:sz w:val="23"/>
          <w:szCs w:val="23"/>
        </w:rPr>
        <w:t>的</w:t>
      </w:r>
      <w:r>
        <w:rPr>
          <w:rFonts w:ascii="宋体" w:hAnsi="宋体" w:eastAsia="宋体" w:cs="宋体"/>
          <w:spacing w:val="17"/>
          <w:sz w:val="23"/>
          <w:szCs w:val="23"/>
        </w:rPr>
        <w:t>影响。 同时，环评要求项目对循环沉淀池做好防渗措施，等效黏土防渗层</w:t>
      </w:r>
      <w:r>
        <w:rPr>
          <w:rFonts w:ascii="宋体" w:hAnsi="宋体" w:eastAsia="宋体" w:cs="宋体"/>
          <w:sz w:val="23"/>
          <w:szCs w:val="23"/>
        </w:rPr>
        <w:t xml:space="preserve"> </w:t>
      </w:r>
      <w:r>
        <w:rPr>
          <w:rFonts w:ascii="Times New Roman" w:hAnsi="Times New Roman" w:eastAsia="Times New Roman" w:cs="Times New Roman"/>
          <w:sz w:val="23"/>
          <w:szCs w:val="23"/>
        </w:rPr>
        <w:t>Mb</w:t>
      </w:r>
      <w:r>
        <w:rPr>
          <w:rFonts w:ascii="Times New Roman" w:hAnsi="Times New Roman" w:eastAsia="Times New Roman" w:cs="Times New Roman"/>
          <w:spacing w:val="4"/>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K</w:t>
      </w:r>
      <w:r>
        <w:rPr>
          <w:rFonts w:ascii="Times New Roman" w:hAnsi="Times New Roman" w:eastAsia="Times New Roman" w:cs="Times New Roman"/>
          <w:spacing w:val="4"/>
          <w:sz w:val="23"/>
          <w:szCs w:val="23"/>
        </w:rPr>
        <w:t>≤ 1×10</w:t>
      </w:r>
      <w:r>
        <w:rPr>
          <w:rFonts w:ascii="Times New Roman" w:hAnsi="Times New Roman" w:eastAsia="Times New Roman" w:cs="Times New Roman"/>
          <w:spacing w:val="4"/>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或参照《生活垃圾填埋场控制标准》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 xml:space="preserve">16889  </w:t>
      </w:r>
      <w:r>
        <w:rPr>
          <w:rFonts w:ascii="宋体" w:hAnsi="宋体" w:eastAsia="宋体" w:cs="宋体"/>
          <w:spacing w:val="3"/>
          <w:sz w:val="23"/>
          <w:szCs w:val="23"/>
        </w:rPr>
        <w:t>)</w:t>
      </w:r>
      <w:r>
        <w:rPr>
          <w:rFonts w:ascii="宋体" w:hAnsi="宋体" w:eastAsia="宋体" w:cs="宋体"/>
          <w:sz w:val="23"/>
          <w:szCs w:val="23"/>
        </w:rPr>
        <w:t xml:space="preserve"> 执 </w:t>
      </w:r>
      <w:r>
        <w:rPr>
          <w:rFonts w:ascii="宋体" w:hAnsi="宋体" w:eastAsia="宋体" w:cs="宋体"/>
          <w:spacing w:val="9"/>
          <w:sz w:val="23"/>
          <w:szCs w:val="23"/>
        </w:rPr>
        <w:t>行，防止对地下水的影响</w:t>
      </w:r>
      <w:r>
        <w:rPr>
          <w:rFonts w:ascii="宋体" w:hAnsi="宋体" w:eastAsia="宋体" w:cs="宋体"/>
          <w:spacing w:val="6"/>
          <w:sz w:val="23"/>
          <w:szCs w:val="23"/>
        </w:rPr>
        <w:t>。</w:t>
      </w:r>
    </w:p>
    <w:p w14:paraId="50FD543A">
      <w:pPr>
        <w:spacing w:before="102" w:line="226" w:lineRule="auto"/>
        <w:ind w:left="52"/>
        <w:outlineLvl w:val="2"/>
        <w:rPr>
          <w:rFonts w:ascii="宋体" w:hAnsi="宋体" w:eastAsia="宋体" w:cs="宋体"/>
          <w:sz w:val="29"/>
          <w:szCs w:val="29"/>
        </w:rPr>
      </w:pPr>
      <w:r>
        <w:rPr>
          <w:rFonts w:ascii="Times New Roman" w:hAnsi="Times New Roman" w:eastAsia="Times New Roman" w:cs="Times New Roman"/>
          <w:b/>
          <w:bCs/>
          <w:spacing w:val="6"/>
          <w:sz w:val="29"/>
          <w:szCs w:val="29"/>
        </w:rPr>
        <w:t>7.1.2</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风险潜势初判</w:t>
      </w:r>
    </w:p>
    <w:p w14:paraId="728276DC">
      <w:pPr>
        <w:spacing w:before="292" w:line="395" w:lineRule="auto"/>
        <w:ind w:left="51" w:right="85" w:firstLine="482"/>
        <w:rPr>
          <w:rFonts w:ascii="宋体" w:hAnsi="宋体" w:eastAsia="宋体" w:cs="宋体"/>
          <w:sz w:val="23"/>
          <w:szCs w:val="23"/>
        </w:rPr>
      </w:pPr>
      <w:r>
        <w:rPr>
          <w:rFonts w:ascii="宋体" w:hAnsi="宋体" w:eastAsia="宋体" w:cs="宋体"/>
          <w:spacing w:val="6"/>
          <w:sz w:val="23"/>
          <w:szCs w:val="23"/>
        </w:rPr>
        <w:t>建设项目</w:t>
      </w:r>
      <w:r>
        <w:rPr>
          <w:rFonts w:ascii="宋体" w:hAnsi="宋体" w:eastAsia="宋体" w:cs="宋体"/>
          <w:spacing w:val="5"/>
          <w:sz w:val="23"/>
          <w:szCs w:val="23"/>
        </w:rPr>
        <w:t>环</w:t>
      </w:r>
      <w:r>
        <w:rPr>
          <w:rFonts w:ascii="宋体" w:hAnsi="宋体" w:eastAsia="宋体" w:cs="宋体"/>
          <w:spacing w:val="3"/>
          <w:sz w:val="23"/>
          <w:szCs w:val="23"/>
        </w:rPr>
        <w:t>境风险潜势划分为</w:t>
      </w:r>
      <w:r>
        <w:rPr>
          <w:rFonts w:ascii="Times New Roman" w:hAnsi="Times New Roman" w:eastAsia="Times New Roman" w:cs="Times New Roman"/>
          <w:spacing w:val="3"/>
          <w:sz w:val="23"/>
          <w:szCs w:val="23"/>
        </w:rPr>
        <w:t xml:space="preserve">Ⅰ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Ⅱ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Ⅲ </w:t>
      </w:r>
      <w:r>
        <w:rPr>
          <w:rFonts w:ascii="宋体" w:hAnsi="宋体" w:eastAsia="宋体" w:cs="宋体"/>
          <w:spacing w:val="3"/>
          <w:sz w:val="23"/>
          <w:szCs w:val="23"/>
        </w:rPr>
        <w:t>、</w:t>
      </w:r>
      <w:r>
        <w:rPr>
          <w:rFonts w:ascii="Times New Roman" w:hAnsi="Times New Roman" w:eastAsia="Times New Roman" w:cs="Times New Roman"/>
          <w:spacing w:val="3"/>
          <w:sz w:val="23"/>
          <w:szCs w:val="23"/>
        </w:rPr>
        <w:t>Ⅳ/Ⅳ</w:t>
      </w:r>
      <w:r>
        <w:rPr>
          <w:rFonts w:ascii="Times New Roman" w:hAnsi="Times New Roman" w:eastAsia="Times New Roman" w:cs="Times New Roman"/>
          <w:spacing w:val="3"/>
          <w:position w:val="7"/>
          <w:sz w:val="15"/>
          <w:szCs w:val="15"/>
        </w:rPr>
        <w:t>+</w:t>
      </w:r>
      <w:r>
        <w:rPr>
          <w:rFonts w:ascii="宋体" w:hAnsi="宋体" w:eastAsia="宋体" w:cs="宋体"/>
          <w:spacing w:val="3"/>
          <w:sz w:val="23"/>
          <w:szCs w:val="23"/>
        </w:rPr>
        <w:t>级，是根据建设项目涉及的</w:t>
      </w:r>
      <w:r>
        <w:rPr>
          <w:rFonts w:ascii="宋体" w:hAnsi="宋体" w:eastAsia="宋体" w:cs="宋体"/>
          <w:sz w:val="23"/>
          <w:szCs w:val="23"/>
        </w:rPr>
        <w:t xml:space="preserve"> </w:t>
      </w:r>
      <w:r>
        <w:rPr>
          <w:rFonts w:ascii="宋体" w:hAnsi="宋体" w:eastAsia="宋体" w:cs="宋体"/>
          <w:spacing w:val="9"/>
          <w:sz w:val="23"/>
          <w:szCs w:val="23"/>
        </w:rPr>
        <w:t>物</w:t>
      </w:r>
      <w:r>
        <w:rPr>
          <w:rFonts w:ascii="宋体" w:hAnsi="宋体" w:eastAsia="宋体" w:cs="宋体"/>
          <w:spacing w:val="7"/>
          <w:sz w:val="23"/>
          <w:szCs w:val="23"/>
        </w:rPr>
        <w:t>质和工艺系统的危险性及其所在地的环境敏感程度，结合事故情形下环境影响</w:t>
      </w:r>
      <w:r>
        <w:rPr>
          <w:rFonts w:ascii="宋体" w:hAnsi="宋体" w:eastAsia="宋体" w:cs="宋体"/>
          <w:sz w:val="23"/>
          <w:szCs w:val="23"/>
        </w:rPr>
        <w:t xml:space="preserve"> </w:t>
      </w:r>
      <w:r>
        <w:rPr>
          <w:rFonts w:ascii="宋体" w:hAnsi="宋体" w:eastAsia="宋体" w:cs="宋体"/>
          <w:spacing w:val="8"/>
          <w:sz w:val="23"/>
          <w:szCs w:val="23"/>
        </w:rPr>
        <w:t>途径，</w:t>
      </w:r>
      <w:r>
        <w:rPr>
          <w:rFonts w:ascii="宋体" w:hAnsi="宋体" w:eastAsia="宋体" w:cs="宋体"/>
          <w:spacing w:val="6"/>
          <w:sz w:val="23"/>
          <w:szCs w:val="23"/>
        </w:rPr>
        <w:t>对</w:t>
      </w:r>
      <w:r>
        <w:rPr>
          <w:rFonts w:ascii="宋体" w:hAnsi="宋体" w:eastAsia="宋体" w:cs="宋体"/>
          <w:spacing w:val="4"/>
          <w:sz w:val="23"/>
          <w:szCs w:val="23"/>
        </w:rPr>
        <w:t xml:space="preserve">建设项目潜在环境危害程度进行的概化分析，通常按照表 </w:t>
      </w:r>
      <w:r>
        <w:rPr>
          <w:rFonts w:ascii="Times New Roman" w:hAnsi="Times New Roman" w:eastAsia="Times New Roman" w:cs="Times New Roman"/>
          <w:spacing w:val="4"/>
          <w:sz w:val="23"/>
          <w:szCs w:val="23"/>
        </w:rPr>
        <w:t xml:space="preserve">7- 1 </w:t>
      </w:r>
      <w:r>
        <w:rPr>
          <w:rFonts w:ascii="宋体" w:hAnsi="宋体" w:eastAsia="宋体" w:cs="宋体"/>
          <w:spacing w:val="4"/>
          <w:sz w:val="23"/>
          <w:szCs w:val="23"/>
        </w:rPr>
        <w:t>确定环境</w:t>
      </w:r>
      <w:r>
        <w:rPr>
          <w:rFonts w:ascii="宋体" w:hAnsi="宋体" w:eastAsia="宋体" w:cs="宋体"/>
          <w:sz w:val="23"/>
          <w:szCs w:val="23"/>
        </w:rPr>
        <w:t xml:space="preserve"> </w:t>
      </w:r>
      <w:r>
        <w:rPr>
          <w:rFonts w:ascii="宋体" w:hAnsi="宋体" w:eastAsia="宋体" w:cs="宋体"/>
          <w:spacing w:val="6"/>
          <w:sz w:val="23"/>
          <w:szCs w:val="23"/>
        </w:rPr>
        <w:t>风险潜势。</w:t>
      </w:r>
    </w:p>
    <w:p w14:paraId="1D0E110C">
      <w:pPr>
        <w:spacing w:before="148" w:line="227" w:lineRule="auto"/>
        <w:ind w:left="221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7"/>
          <w:sz w:val="23"/>
          <w:szCs w:val="23"/>
        </w:rPr>
        <w:t>7</w:t>
      </w:r>
      <w:r>
        <w:rPr>
          <w:rFonts w:ascii="Times New Roman" w:hAnsi="Times New Roman" w:eastAsia="Times New Roman" w:cs="Times New Roman"/>
          <w:b/>
          <w:bCs/>
          <w:spacing w:val="4"/>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建设项目环境风险潜势划分</w:t>
      </w:r>
    </w:p>
    <w:p w14:paraId="59C48976">
      <w:pPr>
        <w:spacing w:line="18" w:lineRule="exact"/>
      </w:pPr>
    </w:p>
    <w:tbl>
      <w:tblPr>
        <w:tblStyle w:val="4"/>
        <w:tblW w:w="8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6"/>
        <w:gridCol w:w="1563"/>
        <w:gridCol w:w="1563"/>
        <w:gridCol w:w="1562"/>
        <w:gridCol w:w="1565"/>
      </w:tblGrid>
      <w:tr w14:paraId="7E985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36" w:type="dxa"/>
            <w:vMerge w:val="restart"/>
            <w:tcBorders>
              <w:left w:val="nil"/>
              <w:bottom w:val="nil"/>
            </w:tcBorders>
            <w:vAlign w:val="top"/>
          </w:tcPr>
          <w:p w14:paraId="162F0095">
            <w:pPr>
              <w:spacing w:before="236" w:line="228" w:lineRule="auto"/>
              <w:ind w:left="16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境敏感程度</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E</w:t>
            </w:r>
            <w:r>
              <w:rPr>
                <w:rFonts w:ascii="宋体" w:hAnsi="宋体" w:eastAsia="宋体" w:cs="宋体"/>
                <w:spacing w:val="8"/>
                <w:sz w:val="20"/>
                <w:szCs w:val="20"/>
                <w14:textOutline w14:w="3795" w14:cap="sq" w14:cmpd="sng">
                  <w14:solidFill>
                    <w14:srgbClr w14:val="000000"/>
                  </w14:solidFill>
                  <w14:prstDash w14:val="solid"/>
                  <w14:bevel/>
                </w14:textOutline>
              </w:rPr>
              <w:t>)</w:t>
            </w:r>
          </w:p>
        </w:tc>
        <w:tc>
          <w:tcPr>
            <w:tcW w:w="6253" w:type="dxa"/>
            <w:gridSpan w:val="4"/>
            <w:tcBorders>
              <w:right w:val="nil"/>
            </w:tcBorders>
            <w:vAlign w:val="top"/>
          </w:tcPr>
          <w:p w14:paraId="5D65A907">
            <w:pPr>
              <w:spacing w:before="76" w:line="228" w:lineRule="auto"/>
              <w:ind w:left="160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危险物质及工艺系统危险性</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w:t>
            </w:r>
            <w:r>
              <w:rPr>
                <w:rFonts w:ascii="宋体" w:hAnsi="宋体" w:eastAsia="宋体" w:cs="宋体"/>
                <w:spacing w:val="9"/>
                <w:sz w:val="20"/>
                <w:szCs w:val="20"/>
                <w14:textOutline w14:w="3795" w14:cap="sq" w14:cmpd="sng">
                  <w14:solidFill>
                    <w14:srgbClr w14:val="000000"/>
                  </w14:solidFill>
                  <w14:prstDash w14:val="solid"/>
                  <w14:bevel/>
                </w14:textOutline>
              </w:rPr>
              <w:t>)</w:t>
            </w:r>
          </w:p>
        </w:tc>
      </w:tr>
      <w:tr w14:paraId="28100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36" w:type="dxa"/>
            <w:vMerge w:val="continue"/>
            <w:tcBorders>
              <w:top w:val="nil"/>
              <w:left w:val="nil"/>
            </w:tcBorders>
            <w:vAlign w:val="top"/>
          </w:tcPr>
          <w:p w14:paraId="3A688DAF">
            <w:pPr>
              <w:rPr>
                <w:rFonts w:ascii="Arial"/>
                <w:sz w:val="21"/>
              </w:rPr>
            </w:pPr>
          </w:p>
        </w:tc>
        <w:tc>
          <w:tcPr>
            <w:tcW w:w="1563" w:type="dxa"/>
            <w:vAlign w:val="top"/>
          </w:tcPr>
          <w:p w14:paraId="3C57AC8D">
            <w:pPr>
              <w:spacing w:before="51" w:line="228" w:lineRule="auto"/>
              <w:ind w:left="117"/>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极高危害</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P1</w:t>
            </w:r>
            <w:r>
              <w:rPr>
                <w:rFonts w:ascii="宋体" w:hAnsi="宋体" w:eastAsia="宋体" w:cs="宋体"/>
                <w:sz w:val="20"/>
                <w:szCs w:val="20"/>
                <w14:textOutline w14:w="3795" w14:cap="sq" w14:cmpd="sng">
                  <w14:solidFill>
                    <w14:srgbClr w14:val="000000"/>
                  </w14:solidFill>
                  <w14:prstDash w14:val="solid"/>
                  <w14:bevel/>
                </w14:textOutline>
              </w:rPr>
              <w:t>)</w:t>
            </w:r>
          </w:p>
        </w:tc>
        <w:tc>
          <w:tcPr>
            <w:tcW w:w="1563" w:type="dxa"/>
            <w:vAlign w:val="top"/>
          </w:tcPr>
          <w:p w14:paraId="2E267E08">
            <w:pPr>
              <w:spacing w:before="51" w:line="228" w:lineRule="auto"/>
              <w:ind w:left="12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高度危</w:t>
            </w:r>
            <w:r>
              <w:rPr>
                <w:rFonts w:ascii="宋体" w:hAnsi="宋体" w:eastAsia="宋体" w:cs="宋体"/>
                <w:sz w:val="20"/>
                <w:szCs w:val="20"/>
                <w14:textOutline w14:w="3795" w14:cap="sq" w14:cmpd="sng">
                  <w14:solidFill>
                    <w14:srgbClr w14:val="000000"/>
                  </w14:solidFill>
                  <w14:prstDash w14:val="solid"/>
                  <w14:bevel/>
                </w14:textOutline>
              </w:rPr>
              <w:t>害</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P2</w:t>
            </w:r>
            <w:r>
              <w:rPr>
                <w:rFonts w:ascii="宋体" w:hAnsi="宋体" w:eastAsia="宋体" w:cs="宋体"/>
                <w:sz w:val="20"/>
                <w:szCs w:val="20"/>
                <w14:textOutline w14:w="3795" w14:cap="sq" w14:cmpd="sng">
                  <w14:solidFill>
                    <w14:srgbClr w14:val="000000"/>
                  </w14:solidFill>
                  <w14:prstDash w14:val="solid"/>
                  <w14:bevel/>
                </w14:textOutline>
              </w:rPr>
              <w:t>)</w:t>
            </w:r>
          </w:p>
        </w:tc>
        <w:tc>
          <w:tcPr>
            <w:tcW w:w="1562" w:type="dxa"/>
            <w:vAlign w:val="top"/>
          </w:tcPr>
          <w:p w14:paraId="5AF00ED6">
            <w:pPr>
              <w:spacing w:before="52" w:line="228" w:lineRule="auto"/>
              <w:ind w:left="13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中度</w:t>
            </w:r>
            <w:r>
              <w:rPr>
                <w:rFonts w:ascii="宋体" w:hAnsi="宋体" w:eastAsia="宋体" w:cs="宋体"/>
                <w:spacing w:val="-1"/>
                <w:sz w:val="20"/>
                <w:szCs w:val="20"/>
                <w14:textOutline w14:w="3795" w14:cap="sq" w14:cmpd="sng">
                  <w14:solidFill>
                    <w14:srgbClr w14:val="000000"/>
                  </w14:solidFill>
                  <w14:prstDash w14:val="solid"/>
                  <w14:bevel/>
                </w14:textOutline>
              </w:rPr>
              <w:t>危害</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P3</w:t>
            </w:r>
            <w:r>
              <w:rPr>
                <w:rFonts w:ascii="宋体" w:hAnsi="宋体" w:eastAsia="宋体" w:cs="宋体"/>
                <w:spacing w:val="-1"/>
                <w:sz w:val="20"/>
                <w:szCs w:val="20"/>
                <w14:textOutline w14:w="3795" w14:cap="sq" w14:cmpd="sng">
                  <w14:solidFill>
                    <w14:srgbClr w14:val="000000"/>
                  </w14:solidFill>
                  <w14:prstDash w14:val="solid"/>
                  <w14:bevel/>
                </w14:textOutline>
              </w:rPr>
              <w:t>)</w:t>
            </w:r>
          </w:p>
        </w:tc>
        <w:tc>
          <w:tcPr>
            <w:tcW w:w="1565" w:type="dxa"/>
            <w:tcBorders>
              <w:right w:val="nil"/>
            </w:tcBorders>
            <w:vAlign w:val="top"/>
          </w:tcPr>
          <w:p w14:paraId="3B5BFC09">
            <w:pPr>
              <w:spacing w:before="51" w:line="228" w:lineRule="auto"/>
              <w:ind w:left="117"/>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轻度</w:t>
            </w:r>
            <w:r>
              <w:rPr>
                <w:rFonts w:ascii="宋体" w:hAnsi="宋体" w:eastAsia="宋体" w:cs="宋体"/>
                <w:spacing w:val="1"/>
                <w:sz w:val="20"/>
                <w:szCs w:val="20"/>
                <w14:textOutline w14:w="3795" w14:cap="sq" w14:cmpd="sng">
                  <w14:solidFill>
                    <w14:srgbClr w14:val="000000"/>
                  </w14:solidFill>
                  <w14:prstDash w14:val="solid"/>
                  <w14:bevel/>
                </w14:textOutline>
              </w:rPr>
              <w:t>危害</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w:t>
            </w:r>
            <w:r>
              <w:rPr>
                <w:rFonts w:ascii="Times New Roman" w:hAnsi="Times New Roman" w:eastAsia="Times New Roman" w:cs="Times New Roman"/>
                <w:b/>
                <w:bCs/>
                <w:spacing w:val="1"/>
                <w:sz w:val="20"/>
                <w:szCs w:val="20"/>
              </w:rPr>
              <w:t>4</w:t>
            </w:r>
            <w:r>
              <w:rPr>
                <w:rFonts w:ascii="宋体" w:hAnsi="宋体" w:eastAsia="宋体" w:cs="宋体"/>
                <w:spacing w:val="1"/>
                <w:sz w:val="20"/>
                <w:szCs w:val="20"/>
                <w14:textOutline w14:w="3795" w14:cap="sq" w14:cmpd="sng">
                  <w14:solidFill>
                    <w14:srgbClr w14:val="000000"/>
                  </w14:solidFill>
                  <w14:prstDash w14:val="solid"/>
                  <w14:bevel/>
                </w14:textOutline>
              </w:rPr>
              <w:t>)</w:t>
            </w:r>
          </w:p>
        </w:tc>
      </w:tr>
      <w:tr w14:paraId="33735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36" w:type="dxa"/>
            <w:tcBorders>
              <w:left w:val="nil"/>
            </w:tcBorders>
            <w:vAlign w:val="top"/>
          </w:tcPr>
          <w:p w14:paraId="4334E705">
            <w:pPr>
              <w:spacing w:before="54" w:line="228" w:lineRule="auto"/>
              <w:ind w:left="114"/>
              <w:rPr>
                <w:rFonts w:ascii="宋体" w:hAnsi="宋体" w:eastAsia="宋体" w:cs="宋体"/>
                <w:sz w:val="20"/>
                <w:szCs w:val="20"/>
              </w:rPr>
            </w:pPr>
            <w:r>
              <w:rPr>
                <w:rFonts w:ascii="宋体" w:hAnsi="宋体" w:eastAsia="宋体" w:cs="宋体"/>
                <w:spacing w:val="10"/>
                <w:sz w:val="20"/>
                <w:szCs w:val="20"/>
              </w:rPr>
              <w:t>环</w:t>
            </w:r>
            <w:r>
              <w:rPr>
                <w:rFonts w:ascii="宋体" w:hAnsi="宋体" w:eastAsia="宋体" w:cs="宋体"/>
                <w:spacing w:val="8"/>
                <w:sz w:val="20"/>
                <w:szCs w:val="20"/>
              </w:rPr>
              <w:t>境高度敏感区(</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1</w:t>
            </w:r>
            <w:r>
              <w:rPr>
                <w:rFonts w:ascii="宋体" w:hAnsi="宋体" w:eastAsia="宋体" w:cs="宋体"/>
                <w:spacing w:val="8"/>
                <w:sz w:val="20"/>
                <w:szCs w:val="20"/>
              </w:rPr>
              <w:t>)</w:t>
            </w:r>
          </w:p>
        </w:tc>
        <w:tc>
          <w:tcPr>
            <w:tcW w:w="1563" w:type="dxa"/>
            <w:vAlign w:val="top"/>
          </w:tcPr>
          <w:p w14:paraId="34176A0B">
            <w:pPr>
              <w:spacing w:before="22" w:line="255" w:lineRule="exact"/>
              <w:ind w:left="635"/>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Ⅳ</w:t>
            </w:r>
            <w:r>
              <w:rPr>
                <w:rFonts w:ascii="Times New Roman" w:hAnsi="Times New Roman" w:eastAsia="Times New Roman" w:cs="Times New Roman"/>
                <w:spacing w:val="4"/>
                <w:position w:val="7"/>
                <w:sz w:val="13"/>
                <w:szCs w:val="13"/>
              </w:rPr>
              <w:t>+</w:t>
            </w:r>
          </w:p>
        </w:tc>
        <w:tc>
          <w:tcPr>
            <w:tcW w:w="1563" w:type="dxa"/>
            <w:vAlign w:val="top"/>
          </w:tcPr>
          <w:p w14:paraId="10089375">
            <w:pPr>
              <w:spacing w:before="93" w:line="192"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62" w:type="dxa"/>
            <w:vAlign w:val="top"/>
          </w:tcPr>
          <w:p w14:paraId="48D4F698">
            <w:pPr>
              <w:spacing w:before="94"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5" w:type="dxa"/>
            <w:tcBorders>
              <w:right w:val="nil"/>
            </w:tcBorders>
            <w:vAlign w:val="top"/>
          </w:tcPr>
          <w:p w14:paraId="11D41CBA">
            <w:pPr>
              <w:spacing w:before="94"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14:paraId="53B1D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36" w:type="dxa"/>
            <w:tcBorders>
              <w:left w:val="nil"/>
            </w:tcBorders>
            <w:vAlign w:val="top"/>
          </w:tcPr>
          <w:p w14:paraId="12CD4794">
            <w:pPr>
              <w:spacing w:before="55" w:line="228" w:lineRule="auto"/>
              <w:ind w:left="114"/>
              <w:rPr>
                <w:rFonts w:ascii="宋体" w:hAnsi="宋体" w:eastAsia="宋体" w:cs="宋体"/>
                <w:sz w:val="20"/>
                <w:szCs w:val="20"/>
              </w:rPr>
            </w:pPr>
            <w:r>
              <w:rPr>
                <w:rFonts w:ascii="宋体" w:hAnsi="宋体" w:eastAsia="宋体" w:cs="宋体"/>
                <w:spacing w:val="10"/>
                <w:sz w:val="20"/>
                <w:szCs w:val="20"/>
              </w:rPr>
              <w:t>环</w:t>
            </w:r>
            <w:r>
              <w:rPr>
                <w:rFonts w:ascii="宋体" w:hAnsi="宋体" w:eastAsia="宋体" w:cs="宋体"/>
                <w:spacing w:val="8"/>
                <w:sz w:val="20"/>
                <w:szCs w:val="20"/>
              </w:rPr>
              <w:t>境中度敏感区(</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2</w:t>
            </w:r>
            <w:r>
              <w:rPr>
                <w:rFonts w:ascii="宋体" w:hAnsi="宋体" w:eastAsia="宋体" w:cs="宋体"/>
                <w:spacing w:val="8"/>
                <w:sz w:val="20"/>
                <w:szCs w:val="20"/>
              </w:rPr>
              <w:t>)</w:t>
            </w:r>
          </w:p>
        </w:tc>
        <w:tc>
          <w:tcPr>
            <w:tcW w:w="1563" w:type="dxa"/>
            <w:vAlign w:val="top"/>
          </w:tcPr>
          <w:p w14:paraId="63EBE6D3">
            <w:pPr>
              <w:spacing w:before="94" w:line="192"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63" w:type="dxa"/>
            <w:vAlign w:val="top"/>
          </w:tcPr>
          <w:p w14:paraId="4CD24ECA">
            <w:pPr>
              <w:spacing w:before="94" w:line="192"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2" w:type="dxa"/>
            <w:vAlign w:val="top"/>
          </w:tcPr>
          <w:p w14:paraId="0253ED41">
            <w:pPr>
              <w:spacing w:before="94"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5" w:type="dxa"/>
            <w:tcBorders>
              <w:right w:val="nil"/>
            </w:tcBorders>
            <w:vAlign w:val="top"/>
          </w:tcPr>
          <w:p w14:paraId="4EB34CC1">
            <w:pPr>
              <w:spacing w:before="94" w:line="192"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r>
      <w:tr w14:paraId="782DF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36" w:type="dxa"/>
            <w:tcBorders>
              <w:left w:val="nil"/>
            </w:tcBorders>
            <w:vAlign w:val="top"/>
          </w:tcPr>
          <w:p w14:paraId="1DE08A22">
            <w:pPr>
              <w:spacing w:before="56" w:line="228" w:lineRule="auto"/>
              <w:ind w:left="114"/>
              <w:rPr>
                <w:rFonts w:ascii="宋体" w:hAnsi="宋体" w:eastAsia="宋体" w:cs="宋体"/>
                <w:sz w:val="20"/>
                <w:szCs w:val="20"/>
              </w:rPr>
            </w:pPr>
            <w:r>
              <w:rPr>
                <w:rFonts w:ascii="宋体" w:hAnsi="宋体" w:eastAsia="宋体" w:cs="宋体"/>
                <w:spacing w:val="10"/>
                <w:sz w:val="20"/>
                <w:szCs w:val="20"/>
              </w:rPr>
              <w:t>环</w:t>
            </w:r>
            <w:r>
              <w:rPr>
                <w:rFonts w:ascii="宋体" w:hAnsi="宋体" w:eastAsia="宋体" w:cs="宋体"/>
                <w:spacing w:val="8"/>
                <w:sz w:val="20"/>
                <w:szCs w:val="20"/>
              </w:rPr>
              <w:t>境低度敏感区(</w:t>
            </w:r>
            <w:r>
              <w:rPr>
                <w:rFonts w:ascii="Times New Roman" w:hAnsi="Times New Roman" w:eastAsia="Times New Roman" w:cs="Times New Roman"/>
                <w:sz w:val="20"/>
                <w:szCs w:val="20"/>
              </w:rPr>
              <w:t>E</w:t>
            </w:r>
            <w:r>
              <w:rPr>
                <w:rFonts w:ascii="Times New Roman" w:hAnsi="Times New Roman" w:eastAsia="Times New Roman" w:cs="Times New Roman"/>
                <w:spacing w:val="8"/>
                <w:sz w:val="20"/>
                <w:szCs w:val="20"/>
              </w:rPr>
              <w:t>3</w:t>
            </w:r>
            <w:r>
              <w:rPr>
                <w:rFonts w:ascii="宋体" w:hAnsi="宋体" w:eastAsia="宋体" w:cs="宋体"/>
                <w:spacing w:val="8"/>
                <w:sz w:val="20"/>
                <w:szCs w:val="20"/>
              </w:rPr>
              <w:t>)</w:t>
            </w:r>
          </w:p>
        </w:tc>
        <w:tc>
          <w:tcPr>
            <w:tcW w:w="1563" w:type="dxa"/>
            <w:vAlign w:val="top"/>
          </w:tcPr>
          <w:p w14:paraId="0CDF38E1">
            <w:pPr>
              <w:spacing w:before="95" w:line="192"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3" w:type="dxa"/>
            <w:vAlign w:val="top"/>
          </w:tcPr>
          <w:p w14:paraId="0CD011CD">
            <w:pPr>
              <w:spacing w:before="95" w:line="192"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62" w:type="dxa"/>
            <w:vAlign w:val="top"/>
          </w:tcPr>
          <w:p w14:paraId="13BFBBEF">
            <w:pPr>
              <w:spacing w:before="95" w:line="192" w:lineRule="auto"/>
              <w:ind w:left="715"/>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565" w:type="dxa"/>
            <w:tcBorders>
              <w:right w:val="nil"/>
            </w:tcBorders>
            <w:vAlign w:val="top"/>
          </w:tcPr>
          <w:p w14:paraId="6197C765">
            <w:pPr>
              <w:spacing w:before="95" w:line="192" w:lineRule="auto"/>
              <w:ind w:left="751"/>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bl>
    <w:p w14:paraId="6DFB3BBB">
      <w:pPr>
        <w:spacing w:before="19" w:line="279" w:lineRule="exact"/>
        <w:ind w:left="114"/>
        <w:rPr>
          <w:rFonts w:ascii="宋体" w:hAnsi="宋体" w:eastAsia="宋体" w:cs="宋体"/>
          <w:sz w:val="20"/>
          <w:szCs w:val="20"/>
        </w:rPr>
      </w:pPr>
      <w:r>
        <w:rPr>
          <w:rFonts w:ascii="宋体" w:hAnsi="宋体" w:eastAsia="宋体" w:cs="宋体"/>
          <w:spacing w:val="8"/>
          <w:position w:val="1"/>
          <w:sz w:val="20"/>
          <w:szCs w:val="20"/>
        </w:rPr>
        <w:t>注：</w:t>
      </w:r>
      <w:r>
        <w:rPr>
          <w:rFonts w:ascii="Times New Roman" w:hAnsi="Times New Roman" w:eastAsia="Times New Roman" w:cs="Times New Roman"/>
          <w:spacing w:val="8"/>
          <w:position w:val="1"/>
          <w:sz w:val="20"/>
          <w:szCs w:val="20"/>
        </w:rPr>
        <w:t>Ⅳ</w:t>
      </w:r>
      <w:r>
        <w:rPr>
          <w:rFonts w:ascii="Times New Roman" w:hAnsi="Times New Roman" w:eastAsia="Times New Roman" w:cs="Times New Roman"/>
          <w:spacing w:val="8"/>
          <w:position w:val="7"/>
          <w:sz w:val="13"/>
          <w:szCs w:val="13"/>
        </w:rPr>
        <w:t>+</w:t>
      </w:r>
      <w:r>
        <w:rPr>
          <w:rFonts w:ascii="宋体" w:hAnsi="宋体" w:eastAsia="宋体" w:cs="宋体"/>
          <w:spacing w:val="8"/>
          <w:position w:val="1"/>
          <w:sz w:val="20"/>
          <w:szCs w:val="20"/>
        </w:rPr>
        <w:t>为极高环境风险</w:t>
      </w:r>
      <w:r>
        <w:rPr>
          <w:rFonts w:ascii="宋体" w:hAnsi="宋体" w:eastAsia="宋体" w:cs="宋体"/>
          <w:spacing w:val="6"/>
          <w:position w:val="1"/>
          <w:sz w:val="20"/>
          <w:szCs w:val="20"/>
        </w:rPr>
        <w:t>。</w:t>
      </w:r>
    </w:p>
    <w:p w14:paraId="1F296B58">
      <w:pPr>
        <w:spacing w:before="14" w:line="29" w:lineRule="exact"/>
        <w:textAlignment w:val="center"/>
      </w:pPr>
      <w:r>
        <w:pict>
          <v:shape id="_x0000_s1358" o:spid="_x0000_s1358" style="height:1.45pt;width:419.5pt;" filled="f" stroked="t" coordsize="8390,29" path="m0,14l8390,14e">
            <v:fill on="f" focussize="0,0"/>
            <v:stroke weight="1.44pt" color="#000000" miterlimit="2" joinstyle="bevel"/>
            <v:imagedata o:title=""/>
            <o:lock v:ext="edit"/>
            <w10:wrap type="none"/>
            <w10:anchorlock/>
          </v:shape>
        </w:pict>
      </w:r>
    </w:p>
    <w:p w14:paraId="03C695AC">
      <w:pPr>
        <w:spacing w:line="258" w:lineRule="auto"/>
        <w:rPr>
          <w:rFonts w:ascii="Arial"/>
          <w:sz w:val="21"/>
        </w:rPr>
      </w:pPr>
    </w:p>
    <w:p w14:paraId="7504B8C5">
      <w:pPr>
        <w:spacing w:before="75" w:line="388" w:lineRule="auto"/>
        <w:ind w:left="51" w:right="92" w:firstLine="503"/>
        <w:rPr>
          <w:rFonts w:ascii="宋体" w:hAnsi="宋体" w:eastAsia="宋体" w:cs="宋体"/>
          <w:sz w:val="23"/>
          <w:szCs w:val="23"/>
        </w:rPr>
      </w:pPr>
      <w:r>
        <w:rPr>
          <w:rFonts w:ascii="宋体" w:hAnsi="宋体" w:eastAsia="宋体" w:cs="宋体"/>
          <w:spacing w:val="1"/>
          <w:sz w:val="23"/>
          <w:szCs w:val="23"/>
        </w:rPr>
        <w:t>同时</w:t>
      </w:r>
      <w:r>
        <w:rPr>
          <w:rFonts w:ascii="宋体" w:hAnsi="宋体" w:eastAsia="宋体" w:cs="宋体"/>
          <w:sz w:val="23"/>
          <w:szCs w:val="23"/>
        </w:rPr>
        <w:t>，根据《建设项目环境风险评价技术导则》  (</w:t>
      </w:r>
      <w:r>
        <w:rPr>
          <w:rFonts w:ascii="Times New Roman" w:hAnsi="Times New Roman" w:eastAsia="Times New Roman" w:cs="Times New Roman"/>
          <w:sz w:val="23"/>
          <w:szCs w:val="23"/>
        </w:rPr>
        <w:t>HJ169-2018</w:t>
      </w:r>
      <w:r>
        <w:rPr>
          <w:rFonts w:ascii="宋体" w:hAnsi="宋体" w:eastAsia="宋体" w:cs="宋体"/>
          <w:sz w:val="23"/>
          <w:szCs w:val="23"/>
        </w:rPr>
        <w:t xml:space="preserve">) 附录 </w:t>
      </w:r>
      <w:r>
        <w:rPr>
          <w:rFonts w:ascii="Times New Roman" w:hAnsi="Times New Roman" w:eastAsia="Times New Roman" w:cs="Times New Roman"/>
          <w:sz w:val="23"/>
          <w:szCs w:val="23"/>
        </w:rPr>
        <w:t xml:space="preserve">C. 1 </w:t>
      </w:r>
      <w:r>
        <w:rPr>
          <w:rFonts w:ascii="宋体" w:hAnsi="宋体" w:eastAsia="宋体" w:cs="宋体"/>
          <w:sz w:val="23"/>
          <w:szCs w:val="23"/>
        </w:rPr>
        <w:t xml:space="preserve">， </w:t>
      </w:r>
      <w:r>
        <w:rPr>
          <w:rFonts w:ascii="宋体" w:hAnsi="宋体" w:eastAsia="宋体" w:cs="宋体"/>
          <w:spacing w:val="11"/>
          <w:sz w:val="23"/>
          <w:szCs w:val="23"/>
        </w:rPr>
        <w:t xml:space="preserve">计算所涉及的每种危险物质在厂界内的最大存在总量与其在附录 </w:t>
      </w:r>
      <w:r>
        <w:rPr>
          <w:rFonts w:ascii="Times New Roman" w:hAnsi="Times New Roman" w:eastAsia="Times New Roman" w:cs="Times New Roman"/>
          <w:sz w:val="23"/>
          <w:szCs w:val="23"/>
        </w:rPr>
        <w:t>B</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中对应临</w:t>
      </w:r>
      <w:r>
        <w:rPr>
          <w:rFonts w:ascii="宋体" w:hAnsi="宋体" w:eastAsia="宋体" w:cs="宋体"/>
          <w:spacing w:val="4"/>
          <w:sz w:val="23"/>
          <w:szCs w:val="23"/>
        </w:rPr>
        <w:t>界</w:t>
      </w:r>
      <w:r>
        <w:rPr>
          <w:rFonts w:ascii="宋体" w:hAnsi="宋体" w:eastAsia="宋体" w:cs="宋体"/>
          <w:sz w:val="23"/>
          <w:szCs w:val="23"/>
        </w:rPr>
        <w:t xml:space="preserve"> </w:t>
      </w:r>
      <w:r>
        <w:rPr>
          <w:rFonts w:ascii="宋体" w:hAnsi="宋体" w:eastAsia="宋体" w:cs="宋体"/>
          <w:spacing w:val="6"/>
          <w:sz w:val="23"/>
          <w:szCs w:val="23"/>
        </w:rPr>
        <w:t xml:space="preserve">量的比值 </w:t>
      </w:r>
      <w:r>
        <w:rPr>
          <w:rFonts w:ascii="Times New Roman" w:hAnsi="Times New Roman" w:eastAsia="Times New Roman" w:cs="Times New Roman"/>
          <w:sz w:val="23"/>
          <w:szCs w:val="23"/>
        </w:rPr>
        <w:t>Q</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。在不同厂区的同一种物质，按其在厂界内的最大存在总量计算</w:t>
      </w:r>
      <w:r>
        <w:rPr>
          <w:rFonts w:ascii="宋体" w:hAnsi="宋体" w:eastAsia="宋体" w:cs="宋体"/>
          <w:sz w:val="23"/>
          <w:szCs w:val="23"/>
        </w:rPr>
        <w:t>。</w:t>
      </w:r>
    </w:p>
    <w:p w14:paraId="63159BA1">
      <w:pPr>
        <w:spacing w:before="147" w:line="504" w:lineRule="auto"/>
        <w:ind w:left="546" w:right="30"/>
        <w:rPr>
          <w:rFonts w:ascii="宋体" w:hAnsi="宋体" w:eastAsia="宋体" w:cs="宋体"/>
          <w:sz w:val="23"/>
          <w:szCs w:val="23"/>
        </w:rPr>
      </w:pPr>
      <w:r>
        <w:rPr>
          <w:rFonts w:ascii="宋体" w:hAnsi="宋体" w:eastAsia="宋体" w:cs="宋体"/>
          <w:spacing w:val="12"/>
          <w:sz w:val="23"/>
          <w:szCs w:val="23"/>
        </w:rPr>
        <w:t>当只涉</w:t>
      </w:r>
      <w:r>
        <w:rPr>
          <w:rFonts w:ascii="宋体" w:hAnsi="宋体" w:eastAsia="宋体" w:cs="宋体"/>
          <w:spacing w:val="9"/>
          <w:sz w:val="23"/>
          <w:szCs w:val="23"/>
        </w:rPr>
        <w:t>及</w:t>
      </w:r>
      <w:r>
        <w:rPr>
          <w:rFonts w:ascii="宋体" w:hAnsi="宋体" w:eastAsia="宋体" w:cs="宋体"/>
          <w:spacing w:val="6"/>
          <w:sz w:val="23"/>
          <w:szCs w:val="23"/>
        </w:rPr>
        <w:t xml:space="preserve">一种危险物质时，计算该物质的总量与其临界量的比值，即为 </w:t>
      </w:r>
      <w:r>
        <w:rPr>
          <w:rFonts w:ascii="Times New Roman" w:hAnsi="Times New Roman" w:eastAsia="Times New Roman" w:cs="Times New Roman"/>
          <w:sz w:val="23"/>
          <w:szCs w:val="23"/>
        </w:rPr>
        <w:t>Q</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2"/>
          <w:sz w:val="23"/>
          <w:szCs w:val="23"/>
        </w:rPr>
        <w:t>当存在多种危险物质时，则按式 (</w:t>
      </w:r>
      <w:r>
        <w:rPr>
          <w:rFonts w:ascii="Times New Roman" w:hAnsi="Times New Roman" w:eastAsia="Times New Roman" w:cs="Times New Roman"/>
          <w:sz w:val="23"/>
          <w:szCs w:val="23"/>
        </w:rPr>
        <w:t>C</w:t>
      </w:r>
      <w:r>
        <w:rPr>
          <w:rFonts w:ascii="Times New Roman" w:hAnsi="Times New Roman" w:eastAsia="Times New Roman" w:cs="Times New Roman"/>
          <w:spacing w:val="2"/>
          <w:sz w:val="23"/>
          <w:szCs w:val="23"/>
        </w:rPr>
        <w:t>. 1</w:t>
      </w:r>
      <w:r>
        <w:rPr>
          <w:rFonts w:ascii="宋体" w:hAnsi="宋体" w:eastAsia="宋体" w:cs="宋体"/>
          <w:spacing w:val="2"/>
          <w:sz w:val="23"/>
          <w:szCs w:val="23"/>
        </w:rPr>
        <w:t>) 计算物质总量与</w:t>
      </w:r>
      <w:r>
        <w:rPr>
          <w:rFonts w:ascii="宋体" w:hAnsi="宋体" w:eastAsia="宋体" w:cs="宋体"/>
          <w:spacing w:val="1"/>
          <w:sz w:val="23"/>
          <w:szCs w:val="23"/>
        </w:rPr>
        <w:t>其临界量比值 (</w:t>
      </w:r>
      <w:r>
        <w:rPr>
          <w:rFonts w:ascii="Times New Roman" w:hAnsi="Times New Roman" w:eastAsia="Times New Roman" w:cs="Times New Roman"/>
          <w:sz w:val="23"/>
          <w:szCs w:val="23"/>
        </w:rPr>
        <w:t>Q</w:t>
      </w:r>
      <w:r>
        <w:rPr>
          <w:rFonts w:ascii="宋体" w:hAnsi="宋体" w:eastAsia="宋体" w:cs="宋体"/>
          <w:spacing w:val="1"/>
          <w:sz w:val="23"/>
          <w:szCs w:val="23"/>
        </w:rPr>
        <w:t>)；</w:t>
      </w:r>
    </w:p>
    <w:p w14:paraId="38698E3E">
      <w:pPr>
        <w:spacing w:before="87"/>
        <w:ind w:left="3134"/>
        <w:rPr>
          <w:sz w:val="23"/>
          <w:szCs w:val="23"/>
        </w:rPr>
      </w:pPr>
      <w:r>
        <w:rPr>
          <w:rFonts w:ascii="Times New Roman" w:hAnsi="Times New Roman" w:eastAsia="Times New Roman" w:cs="Times New Roman"/>
          <w:i/>
          <w:iCs/>
          <w:spacing w:val="-8"/>
          <w:position w:val="3"/>
          <w:sz w:val="23"/>
          <w:szCs w:val="23"/>
        </w:rPr>
        <w:t>Q</w:t>
      </w:r>
      <w:r>
        <w:rPr>
          <w:rFonts w:ascii="Times New Roman" w:hAnsi="Times New Roman" w:eastAsia="Times New Roman" w:cs="Times New Roman"/>
          <w:spacing w:val="-9"/>
          <w:position w:val="3"/>
          <w:sz w:val="23"/>
          <w:szCs w:val="23"/>
        </w:rPr>
        <w:t xml:space="preserve"> </w:t>
      </w:r>
      <w:r>
        <w:rPr>
          <w:rFonts w:ascii="Symbol" w:hAnsi="Symbol" w:eastAsia="Symbol" w:cs="Symbol"/>
          <w:spacing w:val="-9"/>
          <w:position w:val="3"/>
          <w:sz w:val="23"/>
          <w:szCs w:val="23"/>
        </w:rPr>
        <w:t xml:space="preserve">= </w:t>
      </w:r>
      <w:r>
        <w:rPr>
          <w:position w:val="-21"/>
          <w:sz w:val="23"/>
          <w:szCs w:val="23"/>
        </w:rPr>
        <w:drawing>
          <wp:inline distT="0" distB="0" distL="0" distR="0">
            <wp:extent cx="169545" cy="320040"/>
            <wp:effectExtent l="0" t="0" r="0" b="0"/>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404"/>
                    <a:stretch>
                      <a:fillRect/>
                    </a:stretch>
                  </pic:blipFill>
                  <pic:spPr>
                    <a:xfrm>
                      <a:off x="0" y="0"/>
                      <a:ext cx="169545" cy="320560"/>
                    </a:xfrm>
                    <a:prstGeom prst="rect">
                      <a:avLst/>
                    </a:prstGeom>
                  </pic:spPr>
                </pic:pic>
              </a:graphicData>
            </a:graphic>
          </wp:inline>
        </w:drawing>
      </w:r>
      <w:r>
        <w:rPr>
          <w:rFonts w:ascii="Symbol" w:hAnsi="Symbol" w:eastAsia="Symbol" w:cs="Symbol"/>
          <w:spacing w:val="-9"/>
          <w:position w:val="3"/>
          <w:sz w:val="23"/>
          <w:szCs w:val="23"/>
        </w:rPr>
        <w:t xml:space="preserve"> + </w:t>
      </w:r>
      <w:r>
        <w:rPr>
          <w:position w:val="-21"/>
          <w:sz w:val="23"/>
          <w:szCs w:val="23"/>
        </w:rPr>
        <w:drawing>
          <wp:inline distT="0" distB="0" distL="0" distR="0">
            <wp:extent cx="186055" cy="32004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405"/>
                    <a:stretch>
                      <a:fillRect/>
                    </a:stretch>
                  </pic:blipFill>
                  <pic:spPr>
                    <a:xfrm>
                      <a:off x="0" y="0"/>
                      <a:ext cx="186207" cy="320560"/>
                    </a:xfrm>
                    <a:prstGeom prst="rect">
                      <a:avLst/>
                    </a:prstGeom>
                  </pic:spPr>
                </pic:pic>
              </a:graphicData>
            </a:graphic>
          </wp:inline>
        </w:drawing>
      </w:r>
      <w:r>
        <w:rPr>
          <w:rFonts w:ascii="Symbol" w:hAnsi="Symbol" w:eastAsia="Symbol" w:cs="Symbol"/>
          <w:spacing w:val="-9"/>
          <w:position w:val="3"/>
          <w:sz w:val="23"/>
          <w:szCs w:val="23"/>
        </w:rPr>
        <w:t xml:space="preserve"> + . . . + </w:t>
      </w:r>
      <w:r>
        <w:rPr>
          <w:position w:val="-21"/>
          <w:sz w:val="23"/>
          <w:szCs w:val="23"/>
        </w:rPr>
        <w:drawing>
          <wp:inline distT="0" distB="0" distL="0" distR="0">
            <wp:extent cx="187325" cy="321310"/>
            <wp:effectExtent l="0" t="0" r="0" b="0"/>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406"/>
                    <a:stretch>
                      <a:fillRect/>
                    </a:stretch>
                  </pic:blipFill>
                  <pic:spPr>
                    <a:xfrm>
                      <a:off x="0" y="0"/>
                      <a:ext cx="187807" cy="321924"/>
                    </a:xfrm>
                    <a:prstGeom prst="rect">
                      <a:avLst/>
                    </a:prstGeom>
                  </pic:spPr>
                </pic:pic>
              </a:graphicData>
            </a:graphic>
          </wp:inline>
        </w:drawing>
      </w:r>
    </w:p>
    <w:p w14:paraId="47985344">
      <w:pPr>
        <w:spacing w:line="391" w:lineRule="auto"/>
        <w:rPr>
          <w:rFonts w:ascii="Arial"/>
          <w:sz w:val="21"/>
        </w:rPr>
      </w:pPr>
    </w:p>
    <w:p w14:paraId="35D84E01">
      <w:pPr>
        <w:spacing w:before="76" w:line="322" w:lineRule="exact"/>
        <w:ind w:left="536"/>
        <w:rPr>
          <w:rFonts w:ascii="宋体" w:hAnsi="宋体" w:eastAsia="宋体" w:cs="宋体"/>
          <w:sz w:val="23"/>
          <w:szCs w:val="23"/>
        </w:rPr>
      </w:pPr>
      <w:r>
        <w:rPr>
          <w:rFonts w:ascii="宋体" w:hAnsi="宋体" w:eastAsia="宋体" w:cs="宋体"/>
          <w:spacing w:val="10"/>
          <w:position w:val="3"/>
          <w:sz w:val="23"/>
          <w:szCs w:val="23"/>
        </w:rPr>
        <w:t>式中</w:t>
      </w:r>
      <w:r>
        <w:rPr>
          <w:rFonts w:ascii="宋体" w:hAnsi="宋体" w:eastAsia="宋体" w:cs="宋体"/>
          <w:spacing w:val="6"/>
          <w:position w:val="3"/>
          <w:sz w:val="23"/>
          <w:szCs w:val="23"/>
        </w:rPr>
        <w:t>：</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5"/>
          <w:position w:val="2"/>
          <w:sz w:val="15"/>
          <w:szCs w:val="15"/>
        </w:rPr>
        <w:t xml:space="preserve">1 </w:t>
      </w:r>
      <w:r>
        <w:rPr>
          <w:rFonts w:ascii="宋体" w:hAnsi="宋体" w:eastAsia="宋体" w:cs="宋体"/>
          <w:spacing w:val="5"/>
          <w:position w:val="3"/>
          <w:sz w:val="23"/>
          <w:szCs w:val="23"/>
        </w:rPr>
        <w:t>、</w:t>
      </w:r>
      <w:r>
        <w:rPr>
          <w:rFonts w:ascii="Times New Roman" w:hAnsi="Times New Roman" w:eastAsia="Times New Roman" w:cs="Times New Roman"/>
          <w:position w:val="3"/>
          <w:sz w:val="23"/>
          <w:szCs w:val="23"/>
        </w:rPr>
        <w:t>q</w:t>
      </w:r>
      <w:r>
        <w:rPr>
          <w:rFonts w:ascii="Times New Roman" w:hAnsi="Times New Roman" w:eastAsia="Times New Roman" w:cs="Times New Roman"/>
          <w:spacing w:val="5"/>
          <w:position w:val="2"/>
          <w:sz w:val="15"/>
          <w:szCs w:val="15"/>
        </w:rPr>
        <w:t xml:space="preserve">2 </w:t>
      </w:r>
      <w:r>
        <w:rPr>
          <w:rFonts w:ascii="Times New Roman" w:hAnsi="Times New Roman" w:eastAsia="Times New Roman" w:cs="Times New Roman"/>
          <w:spacing w:val="5"/>
          <w:position w:val="3"/>
          <w:sz w:val="23"/>
          <w:szCs w:val="23"/>
        </w:rPr>
        <w:t>…</w:t>
      </w:r>
      <w:r>
        <w:rPr>
          <w:rFonts w:ascii="Times New Roman" w:hAnsi="Times New Roman" w:eastAsia="Times New Roman" w:cs="Times New Roman"/>
          <w:position w:val="3"/>
          <w:sz w:val="23"/>
          <w:szCs w:val="23"/>
        </w:rPr>
        <w:t>q</w:t>
      </w:r>
      <w:r>
        <w:rPr>
          <w:rFonts w:ascii="Times New Roman" w:hAnsi="Times New Roman" w:eastAsia="Times New Roman" w:cs="Times New Roman"/>
          <w:position w:val="2"/>
          <w:sz w:val="15"/>
          <w:szCs w:val="15"/>
        </w:rPr>
        <w:t>n</w:t>
      </w:r>
      <w:r>
        <w:rPr>
          <w:rFonts w:ascii="Times New Roman" w:hAnsi="Times New Roman" w:eastAsia="Times New Roman" w:cs="Times New Roman"/>
          <w:spacing w:val="5"/>
          <w:position w:val="3"/>
          <w:sz w:val="23"/>
          <w:szCs w:val="23"/>
        </w:rPr>
        <w:t>—</w:t>
      </w:r>
      <w:r>
        <w:rPr>
          <w:rFonts w:ascii="宋体" w:hAnsi="宋体" w:eastAsia="宋体" w:cs="宋体"/>
          <w:spacing w:val="5"/>
          <w:position w:val="3"/>
          <w:sz w:val="23"/>
          <w:szCs w:val="23"/>
        </w:rPr>
        <w:t>每种危险物质的最大存在总量，</w:t>
      </w:r>
      <w:r>
        <w:rPr>
          <w:rFonts w:ascii="Times New Roman" w:hAnsi="Times New Roman" w:eastAsia="Times New Roman" w:cs="Times New Roman"/>
          <w:position w:val="3"/>
          <w:sz w:val="23"/>
          <w:szCs w:val="23"/>
        </w:rPr>
        <w:t>t</w:t>
      </w:r>
      <w:r>
        <w:rPr>
          <w:rFonts w:ascii="宋体" w:hAnsi="宋体" w:eastAsia="宋体" w:cs="宋体"/>
          <w:spacing w:val="5"/>
          <w:position w:val="3"/>
          <w:sz w:val="23"/>
          <w:szCs w:val="23"/>
        </w:rPr>
        <w:t>；</w:t>
      </w:r>
    </w:p>
    <w:p w14:paraId="73DF28FD">
      <w:pPr>
        <w:spacing w:before="158" w:line="525" w:lineRule="exact"/>
        <w:ind w:left="1250"/>
        <w:rPr>
          <w:rFonts w:ascii="宋体" w:hAnsi="宋体" w:eastAsia="宋体" w:cs="宋体"/>
          <w:sz w:val="23"/>
          <w:szCs w:val="23"/>
        </w:rPr>
      </w:pPr>
      <w:r>
        <w:rPr>
          <w:rFonts w:ascii="Times New Roman" w:hAnsi="Times New Roman" w:eastAsia="Times New Roman" w:cs="Times New Roman"/>
          <w:position w:val="19"/>
          <w:sz w:val="23"/>
          <w:szCs w:val="23"/>
        </w:rPr>
        <w:t>Q</w:t>
      </w:r>
      <w:r>
        <w:rPr>
          <w:rFonts w:ascii="Times New Roman" w:hAnsi="Times New Roman" w:eastAsia="Times New Roman" w:cs="Times New Roman"/>
          <w:spacing w:val="8"/>
          <w:position w:val="18"/>
          <w:sz w:val="15"/>
          <w:szCs w:val="15"/>
        </w:rPr>
        <w:t xml:space="preserve">1 </w:t>
      </w:r>
      <w:r>
        <w:rPr>
          <w:rFonts w:ascii="宋体" w:hAnsi="宋体" w:eastAsia="宋体" w:cs="宋体"/>
          <w:spacing w:val="7"/>
          <w:position w:val="19"/>
          <w:sz w:val="23"/>
          <w:szCs w:val="23"/>
        </w:rPr>
        <w:t>、</w:t>
      </w:r>
      <w:r>
        <w:rPr>
          <w:rFonts w:ascii="Times New Roman" w:hAnsi="Times New Roman" w:eastAsia="Times New Roman" w:cs="Times New Roman"/>
          <w:position w:val="19"/>
          <w:sz w:val="23"/>
          <w:szCs w:val="23"/>
        </w:rPr>
        <w:t>Q</w:t>
      </w:r>
      <w:r>
        <w:rPr>
          <w:rFonts w:ascii="Times New Roman" w:hAnsi="Times New Roman" w:eastAsia="Times New Roman" w:cs="Times New Roman"/>
          <w:spacing w:val="4"/>
          <w:position w:val="18"/>
          <w:sz w:val="15"/>
          <w:szCs w:val="15"/>
        </w:rPr>
        <w:t xml:space="preserve">2 </w:t>
      </w:r>
      <w:r>
        <w:rPr>
          <w:rFonts w:ascii="Times New Roman" w:hAnsi="Times New Roman" w:eastAsia="Times New Roman" w:cs="Times New Roman"/>
          <w:spacing w:val="4"/>
          <w:position w:val="19"/>
          <w:sz w:val="23"/>
          <w:szCs w:val="23"/>
        </w:rPr>
        <w:t>…</w:t>
      </w:r>
      <w:r>
        <w:rPr>
          <w:rFonts w:ascii="Times New Roman" w:hAnsi="Times New Roman" w:eastAsia="Times New Roman" w:cs="Times New Roman"/>
          <w:position w:val="19"/>
          <w:sz w:val="23"/>
          <w:szCs w:val="23"/>
        </w:rPr>
        <w:t>Q</w:t>
      </w:r>
      <w:r>
        <w:rPr>
          <w:rFonts w:ascii="Times New Roman" w:hAnsi="Times New Roman" w:eastAsia="Times New Roman" w:cs="Times New Roman"/>
          <w:position w:val="18"/>
          <w:sz w:val="15"/>
          <w:szCs w:val="15"/>
        </w:rPr>
        <w:t>n</w:t>
      </w:r>
      <w:r>
        <w:rPr>
          <w:rFonts w:ascii="Times New Roman" w:hAnsi="Times New Roman" w:eastAsia="Times New Roman" w:cs="Times New Roman"/>
          <w:spacing w:val="4"/>
          <w:position w:val="19"/>
          <w:sz w:val="23"/>
          <w:szCs w:val="23"/>
        </w:rPr>
        <w:t>—</w:t>
      </w:r>
      <w:r>
        <w:rPr>
          <w:rFonts w:ascii="宋体" w:hAnsi="宋体" w:eastAsia="宋体" w:cs="宋体"/>
          <w:spacing w:val="4"/>
          <w:position w:val="19"/>
          <w:sz w:val="23"/>
          <w:szCs w:val="23"/>
        </w:rPr>
        <w:t>每种危险物质的临界量，</w:t>
      </w:r>
      <w:r>
        <w:rPr>
          <w:rFonts w:ascii="Times New Roman" w:hAnsi="Times New Roman" w:eastAsia="Times New Roman" w:cs="Times New Roman"/>
          <w:position w:val="19"/>
          <w:sz w:val="23"/>
          <w:szCs w:val="23"/>
        </w:rPr>
        <w:t>t</w:t>
      </w:r>
      <w:r>
        <w:rPr>
          <w:rFonts w:ascii="宋体" w:hAnsi="宋体" w:eastAsia="宋体" w:cs="宋体"/>
          <w:spacing w:val="4"/>
          <w:position w:val="19"/>
          <w:sz w:val="23"/>
          <w:szCs w:val="23"/>
        </w:rPr>
        <w:t>。</w:t>
      </w:r>
    </w:p>
    <w:p w14:paraId="1F684436">
      <w:pPr>
        <w:spacing w:before="1" w:line="218" w:lineRule="auto"/>
        <w:ind w:left="1266"/>
        <w:rPr>
          <w:rFonts w:ascii="宋体" w:hAnsi="宋体" w:eastAsia="宋体" w:cs="宋体"/>
          <w:sz w:val="23"/>
          <w:szCs w:val="23"/>
        </w:rPr>
      </w:pPr>
      <w:r>
        <w:rPr>
          <w:rFonts w:ascii="宋体" w:hAnsi="宋体" w:eastAsia="宋体" w:cs="宋体"/>
          <w:spacing w:val="6"/>
          <w:sz w:val="23"/>
          <w:szCs w:val="23"/>
        </w:rPr>
        <w:t>当</w:t>
      </w:r>
      <w:r>
        <w:rPr>
          <w:rFonts w:ascii="宋体" w:hAnsi="宋体" w:eastAsia="宋体" w:cs="宋体"/>
          <w:spacing w:val="4"/>
          <w:sz w:val="23"/>
          <w:szCs w:val="23"/>
        </w:rPr>
        <w:t xml:space="preserve"> </w:t>
      </w:r>
      <w:r>
        <w:rPr>
          <w:rFonts w:ascii="Times New Roman" w:hAnsi="Times New Roman" w:eastAsia="Times New Roman" w:cs="Times New Roman"/>
          <w:sz w:val="23"/>
          <w:szCs w:val="23"/>
        </w:rPr>
        <w:t>Q</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时，该项目环境风险潜势为</w:t>
      </w:r>
      <w:r>
        <w:rPr>
          <w:rFonts w:ascii="Times New Roman" w:hAnsi="Times New Roman" w:eastAsia="Times New Roman" w:cs="Times New Roman"/>
          <w:spacing w:val="4"/>
          <w:sz w:val="23"/>
          <w:szCs w:val="23"/>
        </w:rPr>
        <w:t>Ⅰ</w:t>
      </w:r>
      <w:r>
        <w:rPr>
          <w:rFonts w:ascii="宋体" w:hAnsi="宋体" w:eastAsia="宋体" w:cs="宋体"/>
          <w:spacing w:val="4"/>
          <w:sz w:val="23"/>
          <w:szCs w:val="23"/>
        </w:rPr>
        <w:t>。</w:t>
      </w:r>
    </w:p>
    <w:p w14:paraId="0F2AA1BD">
      <w:pPr>
        <w:spacing w:before="162" w:line="323" w:lineRule="exact"/>
        <w:jc w:val="right"/>
        <w:rPr>
          <w:rFonts w:ascii="宋体" w:hAnsi="宋体" w:eastAsia="宋体" w:cs="宋体"/>
          <w:sz w:val="23"/>
          <w:szCs w:val="23"/>
        </w:rPr>
      </w:pPr>
      <w:r>
        <w:rPr>
          <w:rFonts w:ascii="宋体" w:hAnsi="宋体" w:eastAsia="宋体" w:cs="宋体"/>
          <w:spacing w:val="-29"/>
          <w:position w:val="3"/>
          <w:sz w:val="23"/>
          <w:szCs w:val="23"/>
        </w:rPr>
        <w:t>当</w:t>
      </w:r>
      <w:r>
        <w:rPr>
          <w:rFonts w:ascii="Times New Roman" w:hAnsi="Times New Roman" w:eastAsia="Times New Roman" w:cs="Times New Roman"/>
          <w:spacing w:val="-15"/>
          <w:position w:val="3"/>
          <w:sz w:val="23"/>
          <w:szCs w:val="23"/>
        </w:rPr>
        <w:t xml:space="preserve">Q≥1 </w:t>
      </w:r>
      <w:r>
        <w:rPr>
          <w:rFonts w:ascii="宋体" w:hAnsi="宋体" w:eastAsia="宋体" w:cs="宋体"/>
          <w:spacing w:val="-15"/>
          <w:position w:val="3"/>
          <w:sz w:val="23"/>
          <w:szCs w:val="23"/>
        </w:rPr>
        <w:t>时，将</w:t>
      </w:r>
      <w:r>
        <w:rPr>
          <w:rFonts w:ascii="Times New Roman" w:hAnsi="Times New Roman" w:eastAsia="Times New Roman" w:cs="Times New Roman"/>
          <w:spacing w:val="-15"/>
          <w:position w:val="3"/>
          <w:sz w:val="23"/>
          <w:szCs w:val="23"/>
        </w:rPr>
        <w:t xml:space="preserve">Q </w:t>
      </w:r>
      <w:r>
        <w:rPr>
          <w:rFonts w:ascii="宋体" w:hAnsi="宋体" w:eastAsia="宋体" w:cs="宋体"/>
          <w:spacing w:val="-15"/>
          <w:position w:val="3"/>
          <w:sz w:val="23"/>
          <w:szCs w:val="23"/>
        </w:rPr>
        <w:t>值划分为：  (</w:t>
      </w:r>
      <w:r>
        <w:rPr>
          <w:rFonts w:ascii="Times New Roman" w:hAnsi="Times New Roman" w:eastAsia="Times New Roman" w:cs="Times New Roman"/>
          <w:spacing w:val="-15"/>
          <w:position w:val="3"/>
          <w:sz w:val="23"/>
          <w:szCs w:val="23"/>
        </w:rPr>
        <w:t>1</w:t>
      </w:r>
      <w:r>
        <w:rPr>
          <w:rFonts w:ascii="宋体" w:hAnsi="宋体" w:eastAsia="宋体" w:cs="宋体"/>
          <w:spacing w:val="-15"/>
          <w:position w:val="3"/>
          <w:sz w:val="23"/>
          <w:szCs w:val="23"/>
        </w:rPr>
        <w:t xml:space="preserve">) </w:t>
      </w:r>
      <w:r>
        <w:rPr>
          <w:rFonts w:ascii="Times New Roman" w:hAnsi="Times New Roman" w:eastAsia="Times New Roman" w:cs="Times New Roman"/>
          <w:spacing w:val="-15"/>
          <w:position w:val="3"/>
          <w:sz w:val="23"/>
          <w:szCs w:val="23"/>
        </w:rPr>
        <w:t>1≤Q</w:t>
      </w:r>
      <w:r>
        <w:rPr>
          <w:rFonts w:ascii="宋体" w:hAnsi="宋体" w:eastAsia="宋体" w:cs="宋体"/>
          <w:spacing w:val="-15"/>
          <w:position w:val="3"/>
          <w:sz w:val="23"/>
          <w:szCs w:val="23"/>
        </w:rPr>
        <w:t>＜</w:t>
      </w:r>
      <w:r>
        <w:rPr>
          <w:rFonts w:ascii="Times New Roman" w:hAnsi="Times New Roman" w:eastAsia="Times New Roman" w:cs="Times New Roman"/>
          <w:spacing w:val="-15"/>
          <w:position w:val="3"/>
          <w:sz w:val="23"/>
          <w:szCs w:val="23"/>
        </w:rPr>
        <w:t>10</w:t>
      </w:r>
      <w:r>
        <w:rPr>
          <w:rFonts w:ascii="宋体" w:hAnsi="宋体" w:eastAsia="宋体" w:cs="宋体"/>
          <w:spacing w:val="-15"/>
          <w:position w:val="3"/>
          <w:sz w:val="23"/>
          <w:szCs w:val="23"/>
        </w:rPr>
        <w:t>；  (</w:t>
      </w:r>
      <w:r>
        <w:rPr>
          <w:rFonts w:ascii="Times New Roman" w:hAnsi="Times New Roman" w:eastAsia="Times New Roman" w:cs="Times New Roman"/>
          <w:spacing w:val="-15"/>
          <w:position w:val="3"/>
          <w:sz w:val="23"/>
          <w:szCs w:val="23"/>
        </w:rPr>
        <w:t>2</w:t>
      </w:r>
      <w:r>
        <w:rPr>
          <w:rFonts w:ascii="宋体" w:hAnsi="宋体" w:eastAsia="宋体" w:cs="宋体"/>
          <w:spacing w:val="-15"/>
          <w:position w:val="3"/>
          <w:sz w:val="23"/>
          <w:szCs w:val="23"/>
        </w:rPr>
        <w:t xml:space="preserve">) </w:t>
      </w:r>
      <w:r>
        <w:rPr>
          <w:rFonts w:ascii="Times New Roman" w:hAnsi="Times New Roman" w:eastAsia="Times New Roman" w:cs="Times New Roman"/>
          <w:spacing w:val="-15"/>
          <w:position w:val="3"/>
          <w:sz w:val="23"/>
          <w:szCs w:val="23"/>
        </w:rPr>
        <w:t>10≤Q</w:t>
      </w:r>
      <w:r>
        <w:rPr>
          <w:rFonts w:ascii="宋体" w:hAnsi="宋体" w:eastAsia="宋体" w:cs="宋体"/>
          <w:spacing w:val="-15"/>
          <w:position w:val="3"/>
          <w:sz w:val="23"/>
          <w:szCs w:val="23"/>
        </w:rPr>
        <w:t>＜</w:t>
      </w:r>
      <w:r>
        <w:rPr>
          <w:rFonts w:ascii="Times New Roman" w:hAnsi="Times New Roman" w:eastAsia="Times New Roman" w:cs="Times New Roman"/>
          <w:spacing w:val="-15"/>
          <w:position w:val="3"/>
          <w:sz w:val="23"/>
          <w:szCs w:val="23"/>
        </w:rPr>
        <w:t>100</w:t>
      </w:r>
      <w:r>
        <w:rPr>
          <w:rFonts w:ascii="宋体" w:hAnsi="宋体" w:eastAsia="宋体" w:cs="宋体"/>
          <w:spacing w:val="-15"/>
          <w:position w:val="3"/>
          <w:sz w:val="23"/>
          <w:szCs w:val="23"/>
        </w:rPr>
        <w:t>；  (</w:t>
      </w:r>
      <w:r>
        <w:rPr>
          <w:rFonts w:ascii="Times New Roman" w:hAnsi="Times New Roman" w:eastAsia="Times New Roman" w:cs="Times New Roman"/>
          <w:spacing w:val="-15"/>
          <w:position w:val="3"/>
          <w:sz w:val="23"/>
          <w:szCs w:val="23"/>
        </w:rPr>
        <w:t>3</w:t>
      </w:r>
      <w:r>
        <w:rPr>
          <w:rFonts w:ascii="宋体" w:hAnsi="宋体" w:eastAsia="宋体" w:cs="宋体"/>
          <w:spacing w:val="-15"/>
          <w:position w:val="3"/>
          <w:sz w:val="23"/>
          <w:szCs w:val="23"/>
        </w:rPr>
        <w:t xml:space="preserve">) </w:t>
      </w:r>
      <w:r>
        <w:rPr>
          <w:rFonts w:ascii="Times New Roman" w:hAnsi="Times New Roman" w:eastAsia="Times New Roman" w:cs="Times New Roman"/>
          <w:spacing w:val="-15"/>
          <w:position w:val="3"/>
          <w:sz w:val="23"/>
          <w:szCs w:val="23"/>
        </w:rPr>
        <w:t>Q≥100</w:t>
      </w:r>
      <w:r>
        <w:rPr>
          <w:rFonts w:ascii="宋体" w:hAnsi="宋体" w:eastAsia="宋体" w:cs="宋体"/>
          <w:spacing w:val="-15"/>
          <w:position w:val="3"/>
          <w:sz w:val="23"/>
          <w:szCs w:val="23"/>
        </w:rPr>
        <w:t>。</w:t>
      </w:r>
    </w:p>
    <w:p w14:paraId="32F3048D">
      <w:pPr>
        <w:sectPr>
          <w:headerReference r:id="rId291" w:type="default"/>
          <w:footerReference r:id="rId292" w:type="default"/>
          <w:pgSz w:w="11906" w:h="16839"/>
          <w:pgMar w:top="1132" w:right="1709" w:bottom="1182" w:left="1758" w:header="878" w:footer="1022" w:gutter="0"/>
          <w:cols w:space="720" w:num="1"/>
        </w:sectPr>
      </w:pPr>
    </w:p>
    <w:p w14:paraId="57686DA1">
      <w:pPr>
        <w:spacing w:line="409" w:lineRule="auto"/>
        <w:rPr>
          <w:rFonts w:ascii="Arial"/>
          <w:sz w:val="21"/>
        </w:rPr>
      </w:pPr>
      <w:r>
        <w:pict>
          <v:shape id="_x0000_s1359" o:spid="_x0000_s1359" style="position:absolute;left:0pt;margin-left:90pt;margin-top:57.35pt;height:0.75pt;width:415.3pt;mso-position-horizontal-relative:page;mso-position-vertical-relative:page;z-index:252052480;mso-width-relative:page;mso-height-relative:page;" fillcolor="#000000" filled="t" stroked="f" coordsize="8305,15" o:allowincell="f" path="m0,0l8305,0,8305,14,0,14,0,0xe">
            <v:path/>
            <v:fill on="t" focussize="0,0"/>
            <v:stroke on="f"/>
            <v:imagedata o:title=""/>
            <o:lock v:ext="edit"/>
          </v:shape>
        </w:pict>
      </w:r>
    </w:p>
    <w:p w14:paraId="3A4A9B52">
      <w:pPr>
        <w:spacing w:before="75" w:line="388" w:lineRule="auto"/>
        <w:ind w:left="52" w:right="36" w:firstLine="478"/>
        <w:rPr>
          <w:rFonts w:ascii="宋体" w:hAnsi="宋体" w:eastAsia="宋体" w:cs="宋体"/>
          <w:sz w:val="23"/>
          <w:szCs w:val="23"/>
        </w:rPr>
      </w:pPr>
      <w:r>
        <w:rPr>
          <w:rFonts w:ascii="宋体" w:hAnsi="宋体" w:eastAsia="宋体" w:cs="宋体"/>
          <w:spacing w:val="6"/>
          <w:sz w:val="23"/>
          <w:szCs w:val="23"/>
        </w:rPr>
        <w:t>对照《建</w:t>
      </w:r>
      <w:r>
        <w:rPr>
          <w:rFonts w:ascii="宋体" w:hAnsi="宋体" w:eastAsia="宋体" w:cs="宋体"/>
          <w:spacing w:val="4"/>
          <w:sz w:val="23"/>
          <w:szCs w:val="23"/>
        </w:rPr>
        <w:t>设</w:t>
      </w:r>
      <w:r>
        <w:rPr>
          <w:rFonts w:ascii="宋体" w:hAnsi="宋体" w:eastAsia="宋体" w:cs="宋体"/>
          <w:spacing w:val="3"/>
          <w:sz w:val="23"/>
          <w:szCs w:val="23"/>
        </w:rPr>
        <w:t>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169-2018</w:t>
      </w:r>
      <w:r>
        <w:rPr>
          <w:rFonts w:ascii="宋体" w:hAnsi="宋体" w:eastAsia="宋体" w:cs="宋体"/>
          <w:spacing w:val="3"/>
          <w:sz w:val="23"/>
          <w:szCs w:val="23"/>
        </w:rPr>
        <w:t>) 以及《危险化学品</w:t>
      </w:r>
      <w:r>
        <w:rPr>
          <w:rFonts w:ascii="宋体" w:hAnsi="宋体" w:eastAsia="宋体" w:cs="宋体"/>
          <w:sz w:val="23"/>
          <w:szCs w:val="23"/>
        </w:rPr>
        <w:t xml:space="preserve"> </w:t>
      </w:r>
      <w:r>
        <w:rPr>
          <w:rFonts w:ascii="宋体" w:hAnsi="宋体" w:eastAsia="宋体" w:cs="宋体"/>
          <w:spacing w:val="14"/>
          <w:sz w:val="23"/>
          <w:szCs w:val="23"/>
        </w:rPr>
        <w:t>重大危</w:t>
      </w:r>
      <w:r>
        <w:rPr>
          <w:rFonts w:ascii="宋体" w:hAnsi="宋体" w:eastAsia="宋体" w:cs="宋体"/>
          <w:spacing w:val="8"/>
          <w:sz w:val="23"/>
          <w:szCs w:val="23"/>
        </w:rPr>
        <w:t>险</w:t>
      </w:r>
      <w:r>
        <w:rPr>
          <w:rFonts w:ascii="宋体" w:hAnsi="宋体" w:eastAsia="宋体" w:cs="宋体"/>
          <w:spacing w:val="7"/>
          <w:sz w:val="23"/>
          <w:szCs w:val="23"/>
        </w:rPr>
        <w:t>源辨识》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18218-2018</w:t>
      </w:r>
      <w:r>
        <w:rPr>
          <w:rFonts w:ascii="宋体" w:hAnsi="宋体" w:eastAsia="宋体" w:cs="宋体"/>
          <w:spacing w:val="7"/>
          <w:sz w:val="23"/>
          <w:szCs w:val="23"/>
        </w:rPr>
        <w:t>) ，该项目原辅材料不涉及风险物质，则该</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8"/>
          <w:sz w:val="23"/>
          <w:szCs w:val="23"/>
        </w:rPr>
        <w:t>目</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值＜</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，则该项目环境风险潜势为</w:t>
      </w:r>
      <w:r>
        <w:rPr>
          <w:rFonts w:ascii="Times New Roman" w:hAnsi="Times New Roman" w:eastAsia="Times New Roman" w:cs="Times New Roman"/>
          <w:spacing w:val="8"/>
          <w:sz w:val="23"/>
          <w:szCs w:val="23"/>
        </w:rPr>
        <w:t>Ⅰ</w:t>
      </w:r>
      <w:r>
        <w:rPr>
          <w:rFonts w:ascii="宋体" w:hAnsi="宋体" w:eastAsia="宋体" w:cs="宋体"/>
          <w:spacing w:val="8"/>
          <w:sz w:val="23"/>
          <w:szCs w:val="23"/>
        </w:rPr>
        <w:t>。</w:t>
      </w:r>
    </w:p>
    <w:p w14:paraId="757A144B">
      <w:pPr>
        <w:spacing w:before="93" w:line="224" w:lineRule="auto"/>
        <w:ind w:left="52"/>
        <w:outlineLvl w:val="2"/>
        <w:rPr>
          <w:rFonts w:ascii="宋体" w:hAnsi="宋体" w:eastAsia="宋体" w:cs="宋体"/>
          <w:sz w:val="29"/>
          <w:szCs w:val="29"/>
        </w:rPr>
      </w:pPr>
      <w:r>
        <w:rPr>
          <w:rFonts w:ascii="Times New Roman" w:hAnsi="Times New Roman" w:eastAsia="Times New Roman" w:cs="Times New Roman"/>
          <w:b/>
          <w:bCs/>
          <w:spacing w:val="15"/>
          <w:sz w:val="29"/>
          <w:szCs w:val="29"/>
        </w:rPr>
        <w:t>7</w:t>
      </w:r>
      <w:r>
        <w:rPr>
          <w:rFonts w:ascii="Times New Roman" w:hAnsi="Times New Roman" w:eastAsia="Times New Roman" w:cs="Times New Roman"/>
          <w:b/>
          <w:bCs/>
          <w:spacing w:val="12"/>
          <w:sz w:val="29"/>
          <w:szCs w:val="29"/>
        </w:rPr>
        <w:t>.1.3</w:t>
      </w:r>
      <w:r>
        <w:rPr>
          <w:rFonts w:ascii="Times New Roman" w:hAnsi="Times New Roman" w:eastAsia="Times New Roman" w:cs="Times New Roman"/>
          <w:spacing w:val="12"/>
          <w:sz w:val="29"/>
          <w:szCs w:val="29"/>
        </w:rPr>
        <w:t xml:space="preserve">  </w:t>
      </w:r>
      <w:r>
        <w:rPr>
          <w:rFonts w:ascii="宋体" w:hAnsi="宋体" w:eastAsia="宋体" w:cs="宋体"/>
          <w:spacing w:val="12"/>
          <w:sz w:val="29"/>
          <w:szCs w:val="29"/>
          <w14:textOutline w14:w="5448" w14:cap="sq" w14:cmpd="sng">
            <w14:solidFill>
              <w14:srgbClr w14:val="000000"/>
            </w14:solidFill>
            <w14:prstDash w14:val="solid"/>
            <w14:bevel/>
          </w14:textOutline>
        </w:rPr>
        <w:t>评价等级</w:t>
      </w:r>
    </w:p>
    <w:p w14:paraId="0BEF2F78">
      <w:pPr>
        <w:spacing w:line="259" w:lineRule="auto"/>
        <w:rPr>
          <w:rFonts w:ascii="Arial"/>
          <w:sz w:val="21"/>
        </w:rPr>
      </w:pPr>
    </w:p>
    <w:p w14:paraId="11E5DE0B">
      <w:pPr>
        <w:spacing w:before="75" w:line="392" w:lineRule="auto"/>
        <w:ind w:left="50" w:right="36" w:firstLine="480"/>
        <w:rPr>
          <w:rFonts w:ascii="宋体" w:hAnsi="宋体" w:eastAsia="宋体" w:cs="宋体"/>
          <w:sz w:val="23"/>
          <w:szCs w:val="23"/>
        </w:rPr>
      </w:pPr>
      <w:r>
        <w:rPr>
          <w:rFonts w:ascii="宋体" w:hAnsi="宋体" w:eastAsia="宋体" w:cs="宋体"/>
          <w:spacing w:val="6"/>
          <w:sz w:val="23"/>
          <w:szCs w:val="23"/>
        </w:rPr>
        <w:t>根据《建</w:t>
      </w:r>
      <w:r>
        <w:rPr>
          <w:rFonts w:ascii="宋体" w:hAnsi="宋体" w:eastAsia="宋体" w:cs="宋体"/>
          <w:spacing w:val="3"/>
          <w:sz w:val="23"/>
          <w:szCs w:val="23"/>
        </w:rPr>
        <w:t>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169-2018</w:t>
      </w:r>
      <w:r>
        <w:rPr>
          <w:rFonts w:ascii="宋体" w:hAnsi="宋体" w:eastAsia="宋体" w:cs="宋体"/>
          <w:spacing w:val="3"/>
          <w:sz w:val="23"/>
          <w:szCs w:val="23"/>
        </w:rPr>
        <w:t>) ，本项目环境风险</w:t>
      </w:r>
      <w:r>
        <w:rPr>
          <w:rFonts w:ascii="宋体" w:hAnsi="宋体" w:eastAsia="宋体" w:cs="宋体"/>
          <w:sz w:val="23"/>
          <w:szCs w:val="23"/>
        </w:rPr>
        <w:t xml:space="preserve"> </w:t>
      </w:r>
      <w:r>
        <w:rPr>
          <w:rFonts w:ascii="宋体" w:hAnsi="宋体" w:eastAsia="宋体" w:cs="宋体"/>
          <w:spacing w:val="6"/>
          <w:sz w:val="23"/>
          <w:szCs w:val="23"/>
        </w:rPr>
        <w:t>评</w:t>
      </w:r>
      <w:r>
        <w:rPr>
          <w:rFonts w:ascii="宋体" w:hAnsi="宋体" w:eastAsia="宋体" w:cs="宋体"/>
          <w:spacing w:val="4"/>
          <w:sz w:val="23"/>
          <w:szCs w:val="23"/>
        </w:rPr>
        <w:t>价</w:t>
      </w:r>
      <w:r>
        <w:rPr>
          <w:rFonts w:ascii="宋体" w:hAnsi="宋体" w:eastAsia="宋体" w:cs="宋体"/>
          <w:spacing w:val="3"/>
          <w:sz w:val="23"/>
          <w:szCs w:val="23"/>
        </w:rPr>
        <w:t xml:space="preserve">工作等级判定见表 </w:t>
      </w:r>
      <w:r>
        <w:rPr>
          <w:rFonts w:ascii="Times New Roman" w:hAnsi="Times New Roman" w:eastAsia="Times New Roman" w:cs="Times New Roman"/>
          <w:spacing w:val="3"/>
          <w:sz w:val="23"/>
          <w:szCs w:val="23"/>
        </w:rPr>
        <w:t>7-2</w:t>
      </w:r>
      <w:r>
        <w:rPr>
          <w:rFonts w:ascii="宋体" w:hAnsi="宋体" w:eastAsia="宋体" w:cs="宋体"/>
          <w:spacing w:val="3"/>
          <w:sz w:val="23"/>
          <w:szCs w:val="23"/>
        </w:rPr>
        <w:t>。</w:t>
      </w:r>
    </w:p>
    <w:p w14:paraId="756A1232">
      <w:pPr>
        <w:spacing w:before="138" w:line="226" w:lineRule="auto"/>
        <w:ind w:left="257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7-</w:t>
      </w:r>
      <w:r>
        <w:rPr>
          <w:rFonts w:ascii="Times New Roman" w:hAnsi="Times New Roman" w:eastAsia="Times New Roman" w:cs="Times New Roman"/>
          <w:b/>
          <w:bCs/>
          <w:spacing w:val="3"/>
          <w:sz w:val="23"/>
          <w:szCs w:val="23"/>
        </w:rPr>
        <w:t>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风险评价级别的判定</w:t>
      </w:r>
    </w:p>
    <w:p w14:paraId="4AE97635">
      <w:pPr>
        <w:spacing w:line="19" w:lineRule="exact"/>
      </w:pPr>
    </w:p>
    <w:tbl>
      <w:tblPr>
        <w:tblStyle w:val="4"/>
        <w:tblW w:w="8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1"/>
        <w:gridCol w:w="1665"/>
        <w:gridCol w:w="1648"/>
        <w:gridCol w:w="1642"/>
        <w:gridCol w:w="1723"/>
      </w:tblGrid>
      <w:tr w14:paraId="4FCB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711" w:type="dxa"/>
            <w:tcBorders>
              <w:left w:val="nil"/>
            </w:tcBorders>
            <w:vAlign w:val="top"/>
          </w:tcPr>
          <w:p w14:paraId="5AD1797A">
            <w:pPr>
              <w:spacing w:before="75" w:line="228" w:lineRule="auto"/>
              <w:ind w:left="23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环境风险潜势</w:t>
            </w:r>
          </w:p>
        </w:tc>
        <w:tc>
          <w:tcPr>
            <w:tcW w:w="1665" w:type="dxa"/>
            <w:vAlign w:val="top"/>
          </w:tcPr>
          <w:p w14:paraId="3FDDA145">
            <w:pPr>
              <w:spacing w:before="43" w:line="270" w:lineRule="exact"/>
              <w:ind w:left="456"/>
              <w:rPr>
                <w:rFonts w:ascii="Times New Roman" w:hAnsi="Times New Roman" w:eastAsia="Times New Roman" w:cs="Times New Roman"/>
                <w:sz w:val="13"/>
                <w:szCs w:val="13"/>
              </w:rPr>
            </w:pPr>
            <w:r>
              <w:rPr>
                <w:rFonts w:ascii="Times New Roman" w:hAnsi="Times New Roman" w:eastAsia="Times New Roman" w:cs="Times New Roman"/>
                <w:b/>
                <w:bCs/>
                <w:spacing w:val="-6"/>
                <w:position w:val="1"/>
                <w:sz w:val="20"/>
                <w:szCs w:val="20"/>
              </w:rPr>
              <w:t>Ⅳ</w:t>
            </w:r>
            <w:r>
              <w:rPr>
                <w:rFonts w:ascii="Times New Roman" w:hAnsi="Times New Roman" w:eastAsia="Times New Roman" w:cs="Times New Roman"/>
                <w:spacing w:val="-4"/>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position w:val="1"/>
                <w:sz w:val="20"/>
                <w:szCs w:val="20"/>
              </w:rPr>
              <w:t>Ⅳ</w:t>
            </w:r>
            <w:r>
              <w:rPr>
                <w:rFonts w:ascii="Times New Roman" w:hAnsi="Times New Roman" w:eastAsia="Times New Roman" w:cs="Times New Roman"/>
                <w:b/>
                <w:bCs/>
                <w:spacing w:val="-3"/>
                <w:position w:val="7"/>
                <w:sz w:val="13"/>
                <w:szCs w:val="13"/>
              </w:rPr>
              <w:t>+</w:t>
            </w:r>
          </w:p>
        </w:tc>
        <w:tc>
          <w:tcPr>
            <w:tcW w:w="1648" w:type="dxa"/>
            <w:vAlign w:val="top"/>
          </w:tcPr>
          <w:p w14:paraId="7CFB1EEB">
            <w:pPr>
              <w:spacing w:before="114" w:line="192" w:lineRule="auto"/>
              <w:ind w:left="707"/>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Ⅲ</w:t>
            </w:r>
          </w:p>
        </w:tc>
        <w:tc>
          <w:tcPr>
            <w:tcW w:w="1642" w:type="dxa"/>
            <w:vAlign w:val="top"/>
          </w:tcPr>
          <w:p w14:paraId="4B362596">
            <w:pPr>
              <w:spacing w:before="114" w:line="192" w:lineRule="auto"/>
              <w:ind w:left="74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Ⅱ</w:t>
            </w:r>
          </w:p>
        </w:tc>
        <w:tc>
          <w:tcPr>
            <w:tcW w:w="1723" w:type="dxa"/>
            <w:tcBorders>
              <w:right w:val="nil"/>
            </w:tcBorders>
            <w:vAlign w:val="top"/>
          </w:tcPr>
          <w:p w14:paraId="28CA187B">
            <w:pPr>
              <w:spacing w:before="114" w:line="192" w:lineRule="auto"/>
              <w:ind w:left="82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Ⅰ</w:t>
            </w:r>
          </w:p>
        </w:tc>
      </w:tr>
      <w:tr w14:paraId="61241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11" w:type="dxa"/>
            <w:tcBorders>
              <w:left w:val="nil"/>
            </w:tcBorders>
            <w:vAlign w:val="top"/>
          </w:tcPr>
          <w:p w14:paraId="5FAA7AA8">
            <w:pPr>
              <w:spacing w:before="53" w:line="226" w:lineRule="auto"/>
              <w:ind w:left="229"/>
              <w:rPr>
                <w:rFonts w:ascii="宋体" w:hAnsi="宋体" w:eastAsia="宋体" w:cs="宋体"/>
                <w:sz w:val="20"/>
                <w:szCs w:val="20"/>
              </w:rPr>
            </w:pPr>
            <w:r>
              <w:rPr>
                <w:rFonts w:ascii="宋体" w:hAnsi="宋体" w:eastAsia="宋体" w:cs="宋体"/>
                <w:spacing w:val="10"/>
                <w:sz w:val="20"/>
                <w:szCs w:val="20"/>
              </w:rPr>
              <w:t>评</w:t>
            </w:r>
            <w:r>
              <w:rPr>
                <w:rFonts w:ascii="宋体" w:hAnsi="宋体" w:eastAsia="宋体" w:cs="宋体"/>
                <w:spacing w:val="8"/>
                <w:sz w:val="20"/>
                <w:szCs w:val="20"/>
              </w:rPr>
              <w:t>价工作等级</w:t>
            </w:r>
          </w:p>
        </w:tc>
        <w:tc>
          <w:tcPr>
            <w:tcW w:w="1665" w:type="dxa"/>
            <w:vAlign w:val="top"/>
          </w:tcPr>
          <w:p w14:paraId="053EEE9B">
            <w:pPr>
              <w:spacing w:before="131" w:line="168" w:lineRule="exact"/>
              <w:ind w:left="735"/>
              <w:rPr>
                <w:rFonts w:ascii="宋体" w:hAnsi="宋体" w:eastAsia="宋体" w:cs="宋体"/>
                <w:sz w:val="10"/>
                <w:szCs w:val="10"/>
              </w:rPr>
            </w:pPr>
            <w:r>
              <w:rPr>
                <w:rFonts w:ascii="宋体" w:hAnsi="宋体" w:eastAsia="宋体" w:cs="宋体"/>
                <w:spacing w:val="97"/>
                <w:position w:val="1"/>
                <w:sz w:val="10"/>
                <w:szCs w:val="10"/>
              </w:rPr>
              <w:t>一</w:t>
            </w:r>
          </w:p>
        </w:tc>
        <w:tc>
          <w:tcPr>
            <w:tcW w:w="1648" w:type="dxa"/>
            <w:vAlign w:val="top"/>
          </w:tcPr>
          <w:p w14:paraId="7A93C36E">
            <w:pPr>
              <w:spacing w:before="92" w:line="189" w:lineRule="auto"/>
              <w:ind w:left="728"/>
              <w:rPr>
                <w:rFonts w:ascii="宋体" w:hAnsi="宋体" w:eastAsia="宋体" w:cs="宋体"/>
                <w:sz w:val="20"/>
                <w:szCs w:val="20"/>
              </w:rPr>
            </w:pPr>
            <w:r>
              <w:rPr>
                <w:rFonts w:ascii="宋体" w:hAnsi="宋体" w:eastAsia="宋体" w:cs="宋体"/>
                <w:sz w:val="20"/>
                <w:szCs w:val="20"/>
              </w:rPr>
              <w:t>二</w:t>
            </w:r>
          </w:p>
        </w:tc>
        <w:tc>
          <w:tcPr>
            <w:tcW w:w="1642" w:type="dxa"/>
            <w:vAlign w:val="top"/>
          </w:tcPr>
          <w:p w14:paraId="0F4108FE">
            <w:pPr>
              <w:spacing w:before="53" w:line="265" w:lineRule="exact"/>
              <w:ind w:left="723"/>
              <w:rPr>
                <w:rFonts w:ascii="宋体" w:hAnsi="宋体" w:eastAsia="宋体" w:cs="宋体"/>
                <w:sz w:val="20"/>
                <w:szCs w:val="20"/>
              </w:rPr>
            </w:pPr>
            <w:r>
              <w:rPr>
                <w:rFonts w:ascii="宋体" w:hAnsi="宋体" w:eastAsia="宋体" w:cs="宋体"/>
                <w:position w:val="1"/>
                <w:sz w:val="20"/>
                <w:szCs w:val="20"/>
              </w:rPr>
              <w:t>三</w:t>
            </w:r>
          </w:p>
        </w:tc>
        <w:tc>
          <w:tcPr>
            <w:tcW w:w="1723" w:type="dxa"/>
            <w:tcBorders>
              <w:right w:val="nil"/>
            </w:tcBorders>
            <w:vAlign w:val="top"/>
          </w:tcPr>
          <w:p w14:paraId="760A50A6">
            <w:pPr>
              <w:spacing w:before="53" w:line="227" w:lineRule="auto"/>
              <w:ind w:left="401"/>
              <w:rPr>
                <w:rFonts w:ascii="Times New Roman" w:hAnsi="Times New Roman" w:eastAsia="Times New Roman" w:cs="Times New Roman"/>
                <w:sz w:val="20"/>
                <w:szCs w:val="20"/>
              </w:rPr>
            </w:pPr>
            <w:r>
              <w:rPr>
                <w:rFonts w:ascii="宋体" w:hAnsi="宋体" w:eastAsia="宋体" w:cs="宋体"/>
                <w:spacing w:val="8"/>
                <w:sz w:val="20"/>
                <w:szCs w:val="20"/>
              </w:rPr>
              <w:t>简</w:t>
            </w:r>
            <w:r>
              <w:rPr>
                <w:rFonts w:ascii="宋体" w:hAnsi="宋体" w:eastAsia="宋体" w:cs="宋体"/>
                <w:spacing w:val="6"/>
                <w:sz w:val="20"/>
                <w:szCs w:val="20"/>
              </w:rPr>
              <w:t>单分析</w:t>
            </w:r>
            <w:r>
              <w:rPr>
                <w:rFonts w:ascii="Times New Roman" w:hAnsi="Times New Roman" w:eastAsia="Times New Roman" w:cs="Times New Roman"/>
                <w:spacing w:val="6"/>
                <w:sz w:val="20"/>
                <w:szCs w:val="20"/>
              </w:rPr>
              <w:t>*</w:t>
            </w:r>
          </w:p>
        </w:tc>
      </w:tr>
    </w:tbl>
    <w:p w14:paraId="40615549">
      <w:pPr>
        <w:spacing w:before="53" w:line="258" w:lineRule="auto"/>
        <w:ind w:left="19" w:hanging="6"/>
        <w:rPr>
          <w:rFonts w:ascii="宋体" w:hAnsi="宋体" w:eastAsia="宋体" w:cs="宋体"/>
          <w:sz w:val="20"/>
          <w:szCs w:val="20"/>
        </w:rPr>
      </w:pPr>
      <w:r>
        <w:rPr>
          <w:rFonts w:ascii="Times New Roman" w:hAnsi="Times New Roman" w:eastAsia="Times New Roman" w:cs="Times New Roman"/>
          <w:spacing w:val="12"/>
          <w:sz w:val="20"/>
          <w:szCs w:val="20"/>
        </w:rPr>
        <w:t>*</w:t>
      </w:r>
      <w:r>
        <w:rPr>
          <w:rFonts w:ascii="宋体" w:hAnsi="宋体" w:eastAsia="宋体" w:cs="宋体"/>
          <w:spacing w:val="12"/>
          <w:sz w:val="20"/>
          <w:szCs w:val="20"/>
        </w:rPr>
        <w:t>是相对于详细评价工作内容而言，在描述危险物质、环境影响途径、环境危害后果、风</w:t>
      </w:r>
      <w:r>
        <w:rPr>
          <w:rFonts w:ascii="宋体" w:hAnsi="宋体" w:eastAsia="宋体" w:cs="宋体"/>
          <w:spacing w:val="7"/>
          <w:sz w:val="20"/>
          <w:szCs w:val="20"/>
        </w:rPr>
        <w:t>险</w:t>
      </w:r>
      <w:r>
        <w:rPr>
          <w:rFonts w:ascii="宋体" w:hAnsi="宋体" w:eastAsia="宋体" w:cs="宋体"/>
          <w:sz w:val="20"/>
          <w:szCs w:val="20"/>
        </w:rPr>
        <w:t xml:space="preserve"> </w:t>
      </w:r>
      <w:r>
        <w:rPr>
          <w:rFonts w:ascii="宋体" w:hAnsi="宋体" w:eastAsia="宋体" w:cs="宋体"/>
          <w:spacing w:val="9"/>
          <w:sz w:val="20"/>
          <w:szCs w:val="20"/>
        </w:rPr>
        <w:t>防</w:t>
      </w:r>
      <w:r>
        <w:rPr>
          <w:rFonts w:ascii="宋体" w:hAnsi="宋体" w:eastAsia="宋体" w:cs="宋体"/>
          <w:spacing w:val="6"/>
          <w:sz w:val="20"/>
          <w:szCs w:val="20"/>
        </w:rPr>
        <w:t xml:space="preserve">范措施等方面给出定性的的说明。见附录 </w:t>
      </w:r>
      <w:r>
        <w:rPr>
          <w:rFonts w:ascii="Times New Roman" w:hAnsi="Times New Roman" w:eastAsia="Times New Roman" w:cs="Times New Roman"/>
          <w:sz w:val="20"/>
          <w:szCs w:val="20"/>
        </w:rPr>
        <w:t>A</w:t>
      </w:r>
      <w:r>
        <w:rPr>
          <w:rFonts w:ascii="宋体" w:hAnsi="宋体" w:eastAsia="宋体" w:cs="宋体"/>
          <w:spacing w:val="6"/>
          <w:sz w:val="20"/>
          <w:szCs w:val="20"/>
        </w:rPr>
        <w:t>。</w:t>
      </w:r>
    </w:p>
    <w:p w14:paraId="26F9862D">
      <w:pPr>
        <w:spacing w:before="13" w:line="28" w:lineRule="exact"/>
        <w:textAlignment w:val="center"/>
      </w:pPr>
      <w:r>
        <w:pict>
          <v:shape id="_x0000_s1360" o:spid="_x0000_s1360" style="height:1.45pt;width:419.5pt;" filled="f" stroked="t" coordsize="8390,29" path="m0,14l8390,14e">
            <v:fill on="f" focussize="0,0"/>
            <v:stroke weight="1.44pt" color="#000000" miterlimit="2" joinstyle="bevel"/>
            <v:imagedata o:title=""/>
            <o:lock v:ext="edit"/>
            <w10:wrap type="none"/>
            <w10:anchorlock/>
          </v:shape>
        </w:pict>
      </w:r>
    </w:p>
    <w:p w14:paraId="6A172359">
      <w:pPr>
        <w:spacing w:line="260" w:lineRule="auto"/>
        <w:rPr>
          <w:rFonts w:ascii="Arial"/>
          <w:sz w:val="21"/>
        </w:rPr>
      </w:pPr>
    </w:p>
    <w:p w14:paraId="187B6111">
      <w:pPr>
        <w:spacing w:before="76" w:line="390" w:lineRule="auto"/>
        <w:ind w:left="57" w:right="41" w:firstLine="478"/>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3"/>
          <w:sz w:val="23"/>
          <w:szCs w:val="23"/>
        </w:rPr>
        <w:t>项</w:t>
      </w:r>
      <w:r>
        <w:rPr>
          <w:rFonts w:ascii="宋体" w:hAnsi="宋体" w:eastAsia="宋体" w:cs="宋体"/>
          <w:spacing w:val="9"/>
          <w:sz w:val="23"/>
          <w:szCs w:val="23"/>
        </w:rPr>
        <w:t>目环境风险潜势为</w:t>
      </w:r>
      <w:r>
        <w:rPr>
          <w:rFonts w:ascii="Times New Roman" w:hAnsi="Times New Roman" w:eastAsia="Times New Roman" w:cs="Times New Roman"/>
          <w:spacing w:val="9"/>
          <w:sz w:val="23"/>
          <w:szCs w:val="23"/>
        </w:rPr>
        <w:t xml:space="preserve">Ⅰ </w:t>
      </w:r>
      <w:r>
        <w:rPr>
          <w:rFonts w:ascii="宋体" w:hAnsi="宋体" w:eastAsia="宋体" w:cs="宋体"/>
          <w:spacing w:val="9"/>
          <w:sz w:val="23"/>
          <w:szCs w:val="23"/>
        </w:rPr>
        <w:t>，可以确定该项目环境风险评价级别为简单分析，</w:t>
      </w:r>
      <w:r>
        <w:rPr>
          <w:rFonts w:ascii="宋体" w:hAnsi="宋体" w:eastAsia="宋体" w:cs="宋体"/>
          <w:sz w:val="23"/>
          <w:szCs w:val="23"/>
        </w:rPr>
        <w:t xml:space="preserve"> </w:t>
      </w:r>
      <w:r>
        <w:rPr>
          <w:rFonts w:ascii="宋体" w:hAnsi="宋体" w:eastAsia="宋体" w:cs="宋体"/>
          <w:spacing w:val="7"/>
          <w:sz w:val="23"/>
          <w:szCs w:val="23"/>
        </w:rPr>
        <w:t>即仅在描述危险物质、环境影响途径、环境危害后果、风险防范措施等方面给</w:t>
      </w:r>
      <w:r>
        <w:rPr>
          <w:rFonts w:ascii="宋体" w:hAnsi="宋体" w:eastAsia="宋体" w:cs="宋体"/>
          <w:spacing w:val="3"/>
          <w:sz w:val="23"/>
          <w:szCs w:val="23"/>
        </w:rPr>
        <w:t>出</w:t>
      </w:r>
      <w:r>
        <w:rPr>
          <w:rFonts w:ascii="宋体" w:hAnsi="宋体" w:eastAsia="宋体" w:cs="宋体"/>
          <w:sz w:val="23"/>
          <w:szCs w:val="23"/>
        </w:rPr>
        <w:t xml:space="preserve"> </w:t>
      </w:r>
      <w:r>
        <w:rPr>
          <w:rFonts w:ascii="宋体" w:hAnsi="宋体" w:eastAsia="宋体" w:cs="宋体"/>
          <w:spacing w:val="8"/>
          <w:sz w:val="23"/>
          <w:szCs w:val="23"/>
        </w:rPr>
        <w:t>定</w:t>
      </w:r>
      <w:r>
        <w:rPr>
          <w:rFonts w:ascii="宋体" w:hAnsi="宋体" w:eastAsia="宋体" w:cs="宋体"/>
          <w:spacing w:val="6"/>
          <w:sz w:val="23"/>
          <w:szCs w:val="23"/>
        </w:rPr>
        <w:t>性的的说明。</w:t>
      </w:r>
    </w:p>
    <w:p w14:paraId="0B49A6CC">
      <w:pPr>
        <w:spacing w:before="68" w:line="225" w:lineRule="auto"/>
        <w:ind w:left="52"/>
        <w:outlineLvl w:val="1"/>
        <w:rPr>
          <w:rFonts w:ascii="宋体" w:hAnsi="宋体" w:eastAsia="宋体" w:cs="宋体"/>
          <w:sz w:val="31"/>
          <w:szCs w:val="31"/>
        </w:rPr>
      </w:pPr>
      <w:bookmarkStart w:id="30" w:name="_bookmark31"/>
      <w:bookmarkEnd w:id="30"/>
      <w:r>
        <w:rPr>
          <w:rFonts w:ascii="Times New Roman" w:hAnsi="Times New Roman" w:eastAsia="Times New Roman" w:cs="Times New Roman"/>
          <w:b/>
          <w:bCs/>
          <w:spacing w:val="9"/>
          <w:sz w:val="31"/>
          <w:szCs w:val="31"/>
        </w:rPr>
        <w:t>7</w:t>
      </w:r>
      <w:r>
        <w:rPr>
          <w:rFonts w:ascii="Times New Roman" w:hAnsi="Times New Roman" w:eastAsia="Times New Roman" w:cs="Times New Roman"/>
          <w:b/>
          <w:bCs/>
          <w:spacing w:val="7"/>
          <w:sz w:val="31"/>
          <w:szCs w:val="31"/>
        </w:rPr>
        <w:t>.2</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环境敏感目标概况</w:t>
      </w:r>
    </w:p>
    <w:p w14:paraId="1BDB5E01">
      <w:pPr>
        <w:spacing w:line="252" w:lineRule="auto"/>
        <w:rPr>
          <w:rFonts w:ascii="Arial"/>
          <w:sz w:val="21"/>
        </w:rPr>
      </w:pPr>
    </w:p>
    <w:p w14:paraId="22426426">
      <w:pPr>
        <w:spacing w:before="75" w:line="384" w:lineRule="auto"/>
        <w:ind w:left="51" w:right="36" w:firstLine="483"/>
        <w:rPr>
          <w:rFonts w:ascii="宋体" w:hAnsi="宋体" w:eastAsia="宋体" w:cs="宋体"/>
          <w:sz w:val="23"/>
          <w:szCs w:val="23"/>
        </w:rPr>
      </w:pPr>
      <w:r>
        <w:rPr>
          <w:rFonts w:ascii="宋体" w:hAnsi="宋体" w:eastAsia="宋体" w:cs="宋体"/>
          <w:spacing w:val="18"/>
          <w:sz w:val="23"/>
          <w:szCs w:val="23"/>
        </w:rPr>
        <w:t>该</w:t>
      </w:r>
      <w:r>
        <w:rPr>
          <w:rFonts w:ascii="宋体" w:hAnsi="宋体" w:eastAsia="宋体" w:cs="宋体"/>
          <w:spacing w:val="12"/>
          <w:sz w:val="23"/>
          <w:szCs w:val="23"/>
        </w:rPr>
        <w:t>项</w:t>
      </w:r>
      <w:r>
        <w:rPr>
          <w:rFonts w:ascii="宋体" w:hAnsi="宋体" w:eastAsia="宋体" w:cs="宋体"/>
          <w:spacing w:val="9"/>
          <w:sz w:val="23"/>
          <w:szCs w:val="23"/>
        </w:rPr>
        <w:t>目环境风险潜势为</w:t>
      </w:r>
      <w:r>
        <w:rPr>
          <w:rFonts w:ascii="Times New Roman" w:hAnsi="Times New Roman" w:eastAsia="Times New Roman" w:cs="Times New Roman"/>
          <w:spacing w:val="9"/>
          <w:sz w:val="23"/>
          <w:szCs w:val="23"/>
        </w:rPr>
        <w:t xml:space="preserve">Ⅰ </w:t>
      </w:r>
      <w:r>
        <w:rPr>
          <w:rFonts w:ascii="宋体" w:hAnsi="宋体" w:eastAsia="宋体" w:cs="宋体"/>
          <w:spacing w:val="9"/>
          <w:sz w:val="23"/>
          <w:szCs w:val="23"/>
        </w:rPr>
        <w:t>，环境风险评价级别为简单分析，根据《建设项目</w:t>
      </w:r>
      <w:r>
        <w:rPr>
          <w:rFonts w:ascii="宋体" w:hAnsi="宋体" w:eastAsia="宋体" w:cs="宋体"/>
          <w:sz w:val="23"/>
          <w:szCs w:val="23"/>
        </w:rPr>
        <w:t xml:space="preserve"> </w:t>
      </w:r>
      <w:r>
        <w:rPr>
          <w:rFonts w:ascii="宋体" w:hAnsi="宋体" w:eastAsia="宋体" w:cs="宋体"/>
          <w:spacing w:val="6"/>
          <w:sz w:val="23"/>
          <w:szCs w:val="23"/>
        </w:rPr>
        <w:t>环境风险评价技术</w:t>
      </w:r>
      <w:r>
        <w:rPr>
          <w:rFonts w:ascii="宋体" w:hAnsi="宋体" w:eastAsia="宋体" w:cs="宋体"/>
          <w:spacing w:val="5"/>
          <w:sz w:val="23"/>
          <w:szCs w:val="23"/>
        </w:rPr>
        <w:t>导</w:t>
      </w:r>
      <w:r>
        <w:rPr>
          <w:rFonts w:ascii="宋体" w:hAnsi="宋体" w:eastAsia="宋体" w:cs="宋体"/>
          <w:spacing w:val="3"/>
          <w:sz w:val="23"/>
          <w:szCs w:val="23"/>
        </w:rPr>
        <w:t>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169-2018</w:t>
      </w:r>
      <w:r>
        <w:rPr>
          <w:rFonts w:ascii="宋体" w:hAnsi="宋体" w:eastAsia="宋体" w:cs="宋体"/>
          <w:spacing w:val="3"/>
          <w:sz w:val="23"/>
          <w:szCs w:val="23"/>
        </w:rPr>
        <w:t>) ，未明确简单分析级别评价范围，因此</w:t>
      </w:r>
      <w:r>
        <w:rPr>
          <w:rFonts w:ascii="宋体" w:hAnsi="宋体" w:eastAsia="宋体" w:cs="宋体"/>
          <w:sz w:val="23"/>
          <w:szCs w:val="23"/>
        </w:rPr>
        <w:t xml:space="preserve"> </w:t>
      </w:r>
      <w:r>
        <w:rPr>
          <w:rFonts w:ascii="宋体" w:hAnsi="宋体" w:eastAsia="宋体" w:cs="宋体"/>
          <w:spacing w:val="15"/>
          <w:sz w:val="23"/>
          <w:szCs w:val="23"/>
        </w:rPr>
        <w:t>该</w:t>
      </w:r>
      <w:r>
        <w:rPr>
          <w:rFonts w:ascii="宋体" w:hAnsi="宋体" w:eastAsia="宋体" w:cs="宋体"/>
          <w:spacing w:val="10"/>
          <w:sz w:val="23"/>
          <w:szCs w:val="23"/>
        </w:rPr>
        <w:t xml:space="preserve">项目大气环境风险评价范围参照三级评价范围，即距建设项目边界 </w:t>
      </w:r>
      <w:r>
        <w:rPr>
          <w:rFonts w:ascii="Times New Roman" w:hAnsi="Times New Roman" w:eastAsia="Times New Roman" w:cs="Times New Roman"/>
          <w:spacing w:val="10"/>
          <w:sz w:val="23"/>
          <w:szCs w:val="23"/>
        </w:rPr>
        <w:t>3</w:t>
      </w:r>
      <w:r>
        <w:rPr>
          <w:rFonts w:ascii="Times New Roman" w:hAnsi="Times New Roman" w:eastAsia="Times New Roman" w:cs="Times New Roman"/>
          <w:sz w:val="23"/>
          <w:szCs w:val="23"/>
        </w:rPr>
        <w:t>km</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的范</w:t>
      </w:r>
      <w:r>
        <w:rPr>
          <w:rFonts w:ascii="宋体" w:hAnsi="宋体" w:eastAsia="宋体" w:cs="宋体"/>
          <w:sz w:val="23"/>
          <w:szCs w:val="23"/>
        </w:rPr>
        <w:t xml:space="preserve"> </w:t>
      </w:r>
      <w:r>
        <w:rPr>
          <w:rFonts w:ascii="宋体" w:hAnsi="宋体" w:eastAsia="宋体" w:cs="宋体"/>
          <w:spacing w:val="2"/>
          <w:sz w:val="23"/>
          <w:szCs w:val="23"/>
        </w:rPr>
        <w:t>围</w:t>
      </w:r>
      <w:r>
        <w:rPr>
          <w:rFonts w:ascii="宋体" w:hAnsi="宋体" w:eastAsia="宋体" w:cs="宋体"/>
          <w:spacing w:val="1"/>
          <w:sz w:val="23"/>
          <w:szCs w:val="23"/>
        </w:rPr>
        <w:t xml:space="preserve">。环境风险评价范围图见图 </w:t>
      </w:r>
      <w:r>
        <w:rPr>
          <w:rFonts w:ascii="Times New Roman" w:hAnsi="Times New Roman" w:eastAsia="Times New Roman" w:cs="Times New Roman"/>
          <w:spacing w:val="1"/>
          <w:sz w:val="23"/>
          <w:szCs w:val="23"/>
        </w:rPr>
        <w:t>7- 1</w:t>
      </w:r>
      <w:r>
        <w:rPr>
          <w:rFonts w:ascii="宋体" w:hAnsi="宋体" w:eastAsia="宋体" w:cs="宋体"/>
          <w:spacing w:val="1"/>
          <w:sz w:val="23"/>
          <w:szCs w:val="23"/>
        </w:rPr>
        <w:t>。</w:t>
      </w:r>
    </w:p>
    <w:p w14:paraId="143B1BCE">
      <w:pPr>
        <w:spacing w:before="160" w:line="227" w:lineRule="auto"/>
        <w:ind w:left="532"/>
        <w:rPr>
          <w:rFonts w:ascii="宋体" w:hAnsi="宋体" w:eastAsia="宋体" w:cs="宋体"/>
          <w:sz w:val="23"/>
          <w:szCs w:val="23"/>
        </w:rPr>
      </w:pPr>
      <w:r>
        <w:rPr>
          <w:rFonts w:ascii="宋体" w:hAnsi="宋体" w:eastAsia="宋体" w:cs="宋体"/>
          <w:spacing w:val="19"/>
          <w:sz w:val="23"/>
          <w:szCs w:val="23"/>
        </w:rPr>
        <w:t>本</w:t>
      </w:r>
      <w:r>
        <w:rPr>
          <w:rFonts w:ascii="宋体" w:hAnsi="宋体" w:eastAsia="宋体" w:cs="宋体"/>
          <w:spacing w:val="14"/>
          <w:sz w:val="23"/>
          <w:szCs w:val="23"/>
        </w:rPr>
        <w:t>溪弘福塑业有限公司新建项目位于辽宁省本溪市溪湖区火连寨镇火连寨</w:t>
      </w:r>
    </w:p>
    <w:p w14:paraId="3F89E9CC">
      <w:pPr>
        <w:spacing w:before="198" w:line="393" w:lineRule="auto"/>
        <w:ind w:left="51" w:right="36"/>
        <w:rPr>
          <w:rFonts w:ascii="宋体" w:hAnsi="宋体" w:eastAsia="宋体" w:cs="宋体"/>
          <w:sz w:val="23"/>
          <w:szCs w:val="23"/>
        </w:rPr>
      </w:pPr>
      <w:r>
        <w:rPr>
          <w:rFonts w:ascii="宋体" w:hAnsi="宋体" w:eastAsia="宋体" w:cs="宋体"/>
          <w:spacing w:val="8"/>
          <w:sz w:val="23"/>
          <w:szCs w:val="23"/>
        </w:rPr>
        <w:t>村</w:t>
      </w:r>
      <w:r>
        <w:rPr>
          <w:rFonts w:ascii="宋体" w:hAnsi="宋体" w:eastAsia="宋体" w:cs="宋体"/>
          <w:spacing w:val="7"/>
          <w:sz w:val="23"/>
          <w:szCs w:val="23"/>
        </w:rPr>
        <w:t>，</w:t>
      </w:r>
      <w:r>
        <w:rPr>
          <w:rFonts w:ascii="宋体" w:hAnsi="宋体" w:eastAsia="宋体" w:cs="宋体"/>
          <w:spacing w:val="4"/>
          <w:sz w:val="23"/>
          <w:szCs w:val="23"/>
        </w:rPr>
        <w:t xml:space="preserve">地理位置坐标为 </w:t>
      </w:r>
      <w:r>
        <w:rPr>
          <w:rFonts w:ascii="Times New Roman" w:hAnsi="Times New Roman" w:eastAsia="Times New Roman" w:cs="Times New Roman"/>
          <w:sz w:val="23"/>
          <w:szCs w:val="23"/>
        </w:rPr>
        <w:t>N</w:t>
      </w:r>
      <w:r>
        <w:rPr>
          <w:rFonts w:ascii="Times New Roman" w:hAnsi="Times New Roman" w:eastAsia="Times New Roman" w:cs="Times New Roman"/>
          <w:spacing w:val="4"/>
          <w:sz w:val="23"/>
          <w:szCs w:val="23"/>
        </w:rPr>
        <w:t>41°21′55.05927″</w:t>
      </w:r>
      <w:r>
        <w:rPr>
          <w:rFonts w:ascii="Times New Roman" w:hAnsi="Times New Roman" w:eastAsia="Times New Roman" w:cs="Times New Roman"/>
          <w:sz w:val="23"/>
          <w:szCs w:val="23"/>
        </w:rPr>
        <w:t>E</w:t>
      </w:r>
      <w:r>
        <w:rPr>
          <w:rFonts w:ascii="Times New Roman" w:hAnsi="Times New Roman" w:eastAsia="Times New Roman" w:cs="Times New Roman"/>
          <w:spacing w:val="4"/>
          <w:sz w:val="23"/>
          <w:szCs w:val="23"/>
        </w:rPr>
        <w:t xml:space="preserve">123°42′32.05640″ </w:t>
      </w:r>
      <w:r>
        <w:rPr>
          <w:rFonts w:ascii="宋体" w:hAnsi="宋体" w:eastAsia="宋体" w:cs="宋体"/>
          <w:spacing w:val="4"/>
          <w:sz w:val="23"/>
          <w:szCs w:val="23"/>
        </w:rPr>
        <w:t>，企业周边环境风险受</w:t>
      </w:r>
      <w:r>
        <w:rPr>
          <w:rFonts w:ascii="宋体" w:hAnsi="宋体" w:eastAsia="宋体" w:cs="宋体"/>
          <w:sz w:val="23"/>
          <w:szCs w:val="23"/>
        </w:rPr>
        <w:t xml:space="preserve"> </w:t>
      </w:r>
      <w:r>
        <w:rPr>
          <w:rFonts w:ascii="宋体" w:hAnsi="宋体" w:eastAsia="宋体" w:cs="宋体"/>
          <w:spacing w:val="-4"/>
          <w:sz w:val="23"/>
          <w:szCs w:val="23"/>
        </w:rPr>
        <w:t>体见表</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7-3</w:t>
      </w:r>
      <w:r>
        <w:rPr>
          <w:rFonts w:ascii="宋体" w:hAnsi="宋体" w:eastAsia="宋体" w:cs="宋体"/>
          <w:spacing w:val="-2"/>
          <w:sz w:val="23"/>
          <w:szCs w:val="23"/>
        </w:rPr>
        <w:t>。</w:t>
      </w:r>
    </w:p>
    <w:p w14:paraId="1DA12478">
      <w:pPr>
        <w:spacing w:before="137" w:line="228" w:lineRule="auto"/>
        <w:ind w:left="2452"/>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7-3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企业周边环境风险受</w:t>
      </w:r>
      <w:r>
        <w:rPr>
          <w:rFonts w:ascii="宋体" w:hAnsi="宋体" w:eastAsia="宋体" w:cs="宋体"/>
          <w:spacing w:val="3"/>
          <w:sz w:val="23"/>
          <w:szCs w:val="23"/>
          <w14:textOutline w14:w="4358" w14:cap="sq" w14:cmpd="sng">
            <w14:solidFill>
              <w14:srgbClr w14:val="000000"/>
            </w14:solidFill>
            <w14:prstDash w14:val="solid"/>
            <w14:bevel/>
          </w14:textOutline>
        </w:rPr>
        <w:t>体</w:t>
      </w:r>
    </w:p>
    <w:p w14:paraId="4ADC1B37">
      <w:pPr>
        <w:spacing w:line="17" w:lineRule="exact"/>
      </w:pPr>
    </w:p>
    <w:tbl>
      <w:tblPr>
        <w:tblStyle w:val="4"/>
        <w:tblW w:w="8361"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798"/>
        <w:gridCol w:w="1651"/>
        <w:gridCol w:w="1653"/>
        <w:gridCol w:w="2091"/>
      </w:tblGrid>
      <w:tr w14:paraId="76F8D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68" w:type="dxa"/>
            <w:vMerge w:val="restart"/>
            <w:tcBorders>
              <w:left w:val="nil"/>
              <w:bottom w:val="nil"/>
            </w:tcBorders>
            <w:vAlign w:val="top"/>
          </w:tcPr>
          <w:p w14:paraId="38484269">
            <w:pPr>
              <w:spacing w:before="280" w:line="228" w:lineRule="auto"/>
              <w:ind w:left="17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境要素</w:t>
            </w:r>
          </w:p>
        </w:tc>
        <w:tc>
          <w:tcPr>
            <w:tcW w:w="7193" w:type="dxa"/>
            <w:gridSpan w:val="4"/>
            <w:tcBorders>
              <w:right w:val="nil"/>
            </w:tcBorders>
            <w:vAlign w:val="top"/>
          </w:tcPr>
          <w:p w14:paraId="4DC3CB68">
            <w:pPr>
              <w:spacing w:before="96" w:line="228" w:lineRule="auto"/>
              <w:ind w:left="29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环境保护对象</w:t>
            </w:r>
          </w:p>
        </w:tc>
      </w:tr>
      <w:tr w14:paraId="5492D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68" w:type="dxa"/>
            <w:vMerge w:val="continue"/>
            <w:tcBorders>
              <w:top w:val="nil"/>
              <w:left w:val="nil"/>
            </w:tcBorders>
            <w:vAlign w:val="top"/>
          </w:tcPr>
          <w:p w14:paraId="3E3BA28A">
            <w:pPr>
              <w:rPr>
                <w:rFonts w:ascii="Arial"/>
                <w:sz w:val="21"/>
              </w:rPr>
            </w:pPr>
          </w:p>
        </w:tc>
        <w:tc>
          <w:tcPr>
            <w:tcW w:w="1798" w:type="dxa"/>
            <w:vAlign w:val="top"/>
          </w:tcPr>
          <w:p w14:paraId="47C55454">
            <w:pPr>
              <w:spacing w:before="93" w:line="228" w:lineRule="auto"/>
              <w:ind w:left="58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敏</w:t>
            </w:r>
            <w:r>
              <w:rPr>
                <w:rFonts w:ascii="宋体" w:hAnsi="宋体" w:eastAsia="宋体" w:cs="宋体"/>
                <w:spacing w:val="7"/>
                <w:sz w:val="20"/>
                <w:szCs w:val="20"/>
                <w14:textOutline w14:w="3795" w14:cap="sq" w14:cmpd="sng">
                  <w14:solidFill>
                    <w14:srgbClr w14:val="000000"/>
                  </w14:solidFill>
                  <w14:prstDash w14:val="solid"/>
                  <w14:bevel/>
                </w14:textOutline>
              </w:rPr>
              <w:t>感点</w:t>
            </w:r>
          </w:p>
        </w:tc>
        <w:tc>
          <w:tcPr>
            <w:tcW w:w="1651" w:type="dxa"/>
            <w:vAlign w:val="top"/>
          </w:tcPr>
          <w:p w14:paraId="22977502">
            <w:pPr>
              <w:spacing w:before="93" w:line="229" w:lineRule="auto"/>
              <w:ind w:left="6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位</w:t>
            </w:r>
          </w:p>
        </w:tc>
        <w:tc>
          <w:tcPr>
            <w:tcW w:w="1653" w:type="dxa"/>
            <w:vAlign w:val="top"/>
          </w:tcPr>
          <w:p w14:paraId="64252F40">
            <w:pPr>
              <w:spacing w:before="52" w:line="289" w:lineRule="exact"/>
              <w:ind w:left="465"/>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距离</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p>
        </w:tc>
        <w:tc>
          <w:tcPr>
            <w:tcW w:w="2091" w:type="dxa"/>
            <w:tcBorders>
              <w:right w:val="nil"/>
            </w:tcBorders>
            <w:vAlign w:val="top"/>
          </w:tcPr>
          <w:p w14:paraId="5EA2CC62">
            <w:pPr>
              <w:spacing w:before="93" w:line="228" w:lineRule="auto"/>
              <w:ind w:left="84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规</w:t>
            </w:r>
            <w:r>
              <w:rPr>
                <w:rFonts w:ascii="宋体" w:hAnsi="宋体" w:eastAsia="宋体" w:cs="宋体"/>
                <w:spacing w:val="5"/>
                <w:sz w:val="20"/>
                <w:szCs w:val="20"/>
                <w14:textOutline w14:w="3795" w14:cap="sq" w14:cmpd="sng">
                  <w14:solidFill>
                    <w14:srgbClr w14:val="000000"/>
                  </w14:solidFill>
                  <w14:prstDash w14:val="solid"/>
                  <w14:bevel/>
                </w14:textOutline>
              </w:rPr>
              <w:t>模</w:t>
            </w:r>
          </w:p>
        </w:tc>
      </w:tr>
      <w:tr w14:paraId="28A23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68" w:type="dxa"/>
            <w:vMerge w:val="restart"/>
            <w:tcBorders>
              <w:left w:val="nil"/>
              <w:bottom w:val="nil"/>
            </w:tcBorders>
            <w:vAlign w:val="top"/>
          </w:tcPr>
          <w:p w14:paraId="3E11D4D8">
            <w:pPr>
              <w:spacing w:line="262" w:lineRule="auto"/>
              <w:rPr>
                <w:rFonts w:ascii="Arial"/>
                <w:sz w:val="21"/>
              </w:rPr>
            </w:pPr>
          </w:p>
          <w:p w14:paraId="63D6BDA6">
            <w:pPr>
              <w:spacing w:line="262" w:lineRule="auto"/>
              <w:rPr>
                <w:rFonts w:ascii="Arial"/>
                <w:sz w:val="21"/>
              </w:rPr>
            </w:pPr>
          </w:p>
          <w:p w14:paraId="6FDA153D">
            <w:pPr>
              <w:spacing w:before="65" w:line="228" w:lineRule="auto"/>
              <w:ind w:left="172"/>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境空气</w:t>
            </w:r>
          </w:p>
        </w:tc>
        <w:tc>
          <w:tcPr>
            <w:tcW w:w="1798" w:type="dxa"/>
            <w:vAlign w:val="top"/>
          </w:tcPr>
          <w:p w14:paraId="523334F8">
            <w:pPr>
              <w:spacing w:before="73" w:line="228" w:lineRule="auto"/>
              <w:ind w:left="590"/>
              <w:rPr>
                <w:rFonts w:ascii="宋体" w:hAnsi="宋体" w:eastAsia="宋体" w:cs="宋体"/>
                <w:sz w:val="20"/>
                <w:szCs w:val="20"/>
              </w:rPr>
            </w:pPr>
            <w:r>
              <w:rPr>
                <w:rFonts w:ascii="宋体" w:hAnsi="宋体" w:eastAsia="宋体" w:cs="宋体"/>
                <w:spacing w:val="7"/>
                <w:sz w:val="20"/>
                <w:szCs w:val="20"/>
              </w:rPr>
              <w:t>葡</w:t>
            </w:r>
            <w:r>
              <w:rPr>
                <w:rFonts w:ascii="宋体" w:hAnsi="宋体" w:eastAsia="宋体" w:cs="宋体"/>
                <w:spacing w:val="6"/>
                <w:sz w:val="20"/>
                <w:szCs w:val="20"/>
              </w:rPr>
              <w:t>粉沟</w:t>
            </w:r>
          </w:p>
        </w:tc>
        <w:tc>
          <w:tcPr>
            <w:tcW w:w="1651" w:type="dxa"/>
            <w:vAlign w:val="top"/>
          </w:tcPr>
          <w:p w14:paraId="5245E850">
            <w:pPr>
              <w:spacing w:before="73" w:line="228" w:lineRule="auto"/>
              <w:ind w:left="626"/>
              <w:rPr>
                <w:rFonts w:ascii="宋体" w:hAnsi="宋体" w:eastAsia="宋体" w:cs="宋体"/>
                <w:sz w:val="20"/>
                <w:szCs w:val="20"/>
              </w:rPr>
            </w:pPr>
            <w:r>
              <w:rPr>
                <w:rFonts w:ascii="宋体" w:hAnsi="宋体" w:eastAsia="宋体" w:cs="宋体"/>
                <w:spacing w:val="1"/>
                <w:sz w:val="20"/>
                <w:szCs w:val="20"/>
              </w:rPr>
              <w:t>东北</w:t>
            </w:r>
          </w:p>
        </w:tc>
        <w:tc>
          <w:tcPr>
            <w:tcW w:w="1653" w:type="dxa"/>
            <w:vAlign w:val="top"/>
          </w:tcPr>
          <w:p w14:paraId="7E1D3529">
            <w:pPr>
              <w:spacing w:before="110"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40</w:t>
            </w:r>
          </w:p>
        </w:tc>
        <w:tc>
          <w:tcPr>
            <w:tcW w:w="2091" w:type="dxa"/>
            <w:tcBorders>
              <w:right w:val="nil"/>
            </w:tcBorders>
            <w:vAlign w:val="top"/>
          </w:tcPr>
          <w:p w14:paraId="4CF1B85D">
            <w:pPr>
              <w:spacing w:before="74" w:line="228" w:lineRule="auto"/>
              <w:ind w:left="384"/>
              <w:rPr>
                <w:rFonts w:ascii="宋体" w:hAnsi="宋体" w:eastAsia="宋体" w:cs="宋体"/>
                <w:sz w:val="20"/>
                <w:szCs w:val="20"/>
              </w:rPr>
            </w:pPr>
            <w:r>
              <w:rPr>
                <w:rFonts w:ascii="Times New Roman" w:hAnsi="Times New Roman" w:eastAsia="Times New Roman" w:cs="Times New Roman"/>
                <w:spacing w:val="4"/>
                <w:sz w:val="20"/>
                <w:szCs w:val="20"/>
              </w:rPr>
              <w:t xml:space="preserve">180 </w:t>
            </w:r>
            <w:r>
              <w:rPr>
                <w:rFonts w:ascii="宋体" w:hAnsi="宋体" w:eastAsia="宋体" w:cs="宋体"/>
                <w:spacing w:val="4"/>
                <w:sz w:val="20"/>
                <w:szCs w:val="20"/>
              </w:rPr>
              <w:t>户，</w:t>
            </w:r>
            <w:r>
              <w:rPr>
                <w:rFonts w:ascii="Times New Roman" w:hAnsi="Times New Roman" w:eastAsia="Times New Roman" w:cs="Times New Roman"/>
                <w:spacing w:val="4"/>
                <w:sz w:val="20"/>
                <w:szCs w:val="20"/>
              </w:rPr>
              <w:t xml:space="preserve">630 </w:t>
            </w:r>
            <w:r>
              <w:rPr>
                <w:rFonts w:ascii="宋体" w:hAnsi="宋体" w:eastAsia="宋体" w:cs="宋体"/>
                <w:spacing w:val="2"/>
                <w:sz w:val="20"/>
                <w:szCs w:val="20"/>
              </w:rPr>
              <w:t>人</w:t>
            </w:r>
          </w:p>
        </w:tc>
      </w:tr>
      <w:tr w14:paraId="249FE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68" w:type="dxa"/>
            <w:vMerge w:val="continue"/>
            <w:tcBorders>
              <w:top w:val="nil"/>
              <w:left w:val="nil"/>
              <w:bottom w:val="nil"/>
            </w:tcBorders>
            <w:vAlign w:val="top"/>
          </w:tcPr>
          <w:p w14:paraId="2344F87D">
            <w:pPr>
              <w:rPr>
                <w:rFonts w:ascii="Arial"/>
                <w:sz w:val="21"/>
              </w:rPr>
            </w:pPr>
          </w:p>
        </w:tc>
        <w:tc>
          <w:tcPr>
            <w:tcW w:w="1798" w:type="dxa"/>
            <w:vAlign w:val="top"/>
          </w:tcPr>
          <w:p w14:paraId="722B7B5D">
            <w:pPr>
              <w:spacing w:before="74" w:line="227" w:lineRule="auto"/>
              <w:ind w:left="595"/>
              <w:rPr>
                <w:rFonts w:ascii="宋体" w:hAnsi="宋体" w:eastAsia="宋体" w:cs="宋体"/>
                <w:sz w:val="20"/>
                <w:szCs w:val="20"/>
              </w:rPr>
            </w:pPr>
            <w:r>
              <w:rPr>
                <w:rFonts w:ascii="宋体" w:hAnsi="宋体" w:eastAsia="宋体" w:cs="宋体"/>
                <w:spacing w:val="6"/>
                <w:sz w:val="20"/>
                <w:szCs w:val="20"/>
              </w:rPr>
              <w:t>下</w:t>
            </w:r>
            <w:r>
              <w:rPr>
                <w:rFonts w:ascii="宋体" w:hAnsi="宋体" w:eastAsia="宋体" w:cs="宋体"/>
                <w:spacing w:val="4"/>
                <w:sz w:val="20"/>
                <w:szCs w:val="20"/>
              </w:rPr>
              <w:t>堡村</w:t>
            </w:r>
          </w:p>
        </w:tc>
        <w:tc>
          <w:tcPr>
            <w:tcW w:w="1651" w:type="dxa"/>
            <w:vAlign w:val="top"/>
          </w:tcPr>
          <w:p w14:paraId="2F50F546">
            <w:pPr>
              <w:spacing w:before="75" w:line="231" w:lineRule="auto"/>
              <w:ind w:left="624"/>
              <w:rPr>
                <w:rFonts w:ascii="宋体" w:hAnsi="宋体" w:eastAsia="宋体" w:cs="宋体"/>
                <w:sz w:val="20"/>
                <w:szCs w:val="20"/>
              </w:rPr>
            </w:pPr>
            <w:r>
              <w:rPr>
                <w:rFonts w:ascii="宋体" w:hAnsi="宋体" w:eastAsia="宋体" w:cs="宋体"/>
                <w:spacing w:val="2"/>
                <w:sz w:val="20"/>
                <w:szCs w:val="20"/>
              </w:rPr>
              <w:t>西北</w:t>
            </w:r>
          </w:p>
        </w:tc>
        <w:tc>
          <w:tcPr>
            <w:tcW w:w="1653" w:type="dxa"/>
            <w:vAlign w:val="top"/>
          </w:tcPr>
          <w:p w14:paraId="19419E42">
            <w:pPr>
              <w:spacing w:before="110"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50</w:t>
            </w:r>
          </w:p>
        </w:tc>
        <w:tc>
          <w:tcPr>
            <w:tcW w:w="2091" w:type="dxa"/>
            <w:tcBorders>
              <w:right w:val="nil"/>
            </w:tcBorders>
            <w:vAlign w:val="top"/>
          </w:tcPr>
          <w:p w14:paraId="765D43BD">
            <w:pPr>
              <w:spacing w:before="75" w:line="228" w:lineRule="auto"/>
              <w:ind w:left="423"/>
              <w:rPr>
                <w:rFonts w:ascii="宋体" w:hAnsi="宋体" w:eastAsia="宋体" w:cs="宋体"/>
                <w:sz w:val="20"/>
                <w:szCs w:val="20"/>
              </w:rPr>
            </w:pPr>
            <w:r>
              <w:rPr>
                <w:rFonts w:ascii="Times New Roman" w:hAnsi="Times New Roman" w:eastAsia="Times New Roman" w:cs="Times New Roman"/>
                <w:spacing w:val="5"/>
                <w:sz w:val="20"/>
                <w:szCs w:val="20"/>
              </w:rPr>
              <w:t xml:space="preserve">55 </w:t>
            </w:r>
            <w:r>
              <w:rPr>
                <w:rFonts w:ascii="宋体" w:hAnsi="宋体" w:eastAsia="宋体" w:cs="宋体"/>
                <w:spacing w:val="5"/>
                <w:sz w:val="20"/>
                <w:szCs w:val="20"/>
              </w:rPr>
              <w:t>户，</w:t>
            </w:r>
            <w:r>
              <w:rPr>
                <w:rFonts w:ascii="Times New Roman" w:hAnsi="Times New Roman" w:eastAsia="Times New Roman" w:cs="Times New Roman"/>
                <w:spacing w:val="5"/>
                <w:sz w:val="20"/>
                <w:szCs w:val="20"/>
              </w:rPr>
              <w:t xml:space="preserve">190 </w:t>
            </w:r>
            <w:r>
              <w:rPr>
                <w:rFonts w:ascii="宋体" w:hAnsi="宋体" w:eastAsia="宋体" w:cs="宋体"/>
                <w:spacing w:val="5"/>
                <w:sz w:val="20"/>
                <w:szCs w:val="20"/>
              </w:rPr>
              <w:t>人</w:t>
            </w:r>
          </w:p>
        </w:tc>
      </w:tr>
      <w:tr w14:paraId="7E50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68" w:type="dxa"/>
            <w:vMerge w:val="continue"/>
            <w:tcBorders>
              <w:top w:val="nil"/>
              <w:left w:val="nil"/>
              <w:bottom w:val="nil"/>
            </w:tcBorders>
            <w:vAlign w:val="top"/>
          </w:tcPr>
          <w:p w14:paraId="23E57383">
            <w:pPr>
              <w:rPr>
                <w:rFonts w:ascii="Arial"/>
                <w:sz w:val="21"/>
              </w:rPr>
            </w:pPr>
          </w:p>
        </w:tc>
        <w:tc>
          <w:tcPr>
            <w:tcW w:w="1798" w:type="dxa"/>
            <w:vAlign w:val="top"/>
          </w:tcPr>
          <w:p w14:paraId="1BD7AB69">
            <w:pPr>
              <w:spacing w:before="75" w:line="228" w:lineRule="auto"/>
              <w:ind w:left="588"/>
              <w:rPr>
                <w:rFonts w:ascii="宋体" w:hAnsi="宋体" w:eastAsia="宋体" w:cs="宋体"/>
                <w:sz w:val="20"/>
                <w:szCs w:val="20"/>
              </w:rPr>
            </w:pPr>
            <w:r>
              <w:rPr>
                <w:rFonts w:ascii="宋体" w:hAnsi="宋体" w:eastAsia="宋体" w:cs="宋体"/>
                <w:spacing w:val="7"/>
                <w:sz w:val="20"/>
                <w:szCs w:val="20"/>
              </w:rPr>
              <w:t>榆树</w:t>
            </w:r>
            <w:r>
              <w:rPr>
                <w:rFonts w:ascii="宋体" w:hAnsi="宋体" w:eastAsia="宋体" w:cs="宋体"/>
                <w:spacing w:val="6"/>
                <w:sz w:val="20"/>
                <w:szCs w:val="20"/>
              </w:rPr>
              <w:t>底</w:t>
            </w:r>
          </w:p>
        </w:tc>
        <w:tc>
          <w:tcPr>
            <w:tcW w:w="1651" w:type="dxa"/>
            <w:vAlign w:val="top"/>
          </w:tcPr>
          <w:p w14:paraId="34EF48B0">
            <w:pPr>
              <w:spacing w:before="75" w:line="231" w:lineRule="auto"/>
              <w:ind w:left="624"/>
              <w:rPr>
                <w:rFonts w:ascii="宋体" w:hAnsi="宋体" w:eastAsia="宋体" w:cs="宋体"/>
                <w:sz w:val="20"/>
                <w:szCs w:val="20"/>
              </w:rPr>
            </w:pPr>
            <w:r>
              <w:rPr>
                <w:rFonts w:ascii="宋体" w:hAnsi="宋体" w:eastAsia="宋体" w:cs="宋体"/>
                <w:spacing w:val="2"/>
                <w:sz w:val="20"/>
                <w:szCs w:val="20"/>
              </w:rPr>
              <w:t>西北</w:t>
            </w:r>
          </w:p>
        </w:tc>
        <w:tc>
          <w:tcPr>
            <w:tcW w:w="1653" w:type="dxa"/>
            <w:vAlign w:val="top"/>
          </w:tcPr>
          <w:p w14:paraId="14BDBAC7">
            <w:pPr>
              <w:spacing w:before="111"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30</w:t>
            </w:r>
          </w:p>
        </w:tc>
        <w:tc>
          <w:tcPr>
            <w:tcW w:w="2091" w:type="dxa"/>
            <w:tcBorders>
              <w:right w:val="nil"/>
            </w:tcBorders>
            <w:vAlign w:val="top"/>
          </w:tcPr>
          <w:p w14:paraId="1DB6DFF8">
            <w:pPr>
              <w:spacing w:before="75" w:line="228" w:lineRule="auto"/>
              <w:ind w:left="384"/>
              <w:rPr>
                <w:rFonts w:ascii="宋体" w:hAnsi="宋体" w:eastAsia="宋体" w:cs="宋体"/>
                <w:sz w:val="20"/>
                <w:szCs w:val="20"/>
              </w:rPr>
            </w:pPr>
            <w:r>
              <w:rPr>
                <w:rFonts w:ascii="Times New Roman" w:hAnsi="Times New Roman" w:eastAsia="Times New Roman" w:cs="Times New Roman"/>
                <w:spacing w:val="4"/>
                <w:sz w:val="20"/>
                <w:szCs w:val="20"/>
              </w:rPr>
              <w:t xml:space="preserve">160 </w:t>
            </w:r>
            <w:r>
              <w:rPr>
                <w:rFonts w:ascii="宋体" w:hAnsi="宋体" w:eastAsia="宋体" w:cs="宋体"/>
                <w:spacing w:val="4"/>
                <w:sz w:val="20"/>
                <w:szCs w:val="20"/>
              </w:rPr>
              <w:t>户，</w:t>
            </w:r>
            <w:r>
              <w:rPr>
                <w:rFonts w:ascii="Times New Roman" w:hAnsi="Times New Roman" w:eastAsia="Times New Roman" w:cs="Times New Roman"/>
                <w:spacing w:val="4"/>
                <w:sz w:val="20"/>
                <w:szCs w:val="20"/>
              </w:rPr>
              <w:t xml:space="preserve">560 </w:t>
            </w:r>
            <w:r>
              <w:rPr>
                <w:rFonts w:ascii="宋体" w:hAnsi="宋体" w:eastAsia="宋体" w:cs="宋体"/>
                <w:spacing w:val="2"/>
                <w:sz w:val="20"/>
                <w:szCs w:val="20"/>
              </w:rPr>
              <w:t>人</w:t>
            </w:r>
          </w:p>
        </w:tc>
      </w:tr>
      <w:tr w14:paraId="1E4E4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68" w:type="dxa"/>
            <w:vMerge w:val="continue"/>
            <w:tcBorders>
              <w:top w:val="nil"/>
              <w:left w:val="nil"/>
            </w:tcBorders>
            <w:vAlign w:val="top"/>
          </w:tcPr>
          <w:p w14:paraId="09AEB9FE">
            <w:pPr>
              <w:rPr>
                <w:rFonts w:ascii="Arial"/>
                <w:sz w:val="21"/>
              </w:rPr>
            </w:pPr>
          </w:p>
        </w:tc>
        <w:tc>
          <w:tcPr>
            <w:tcW w:w="1798" w:type="dxa"/>
            <w:vAlign w:val="top"/>
          </w:tcPr>
          <w:p w14:paraId="4893E155">
            <w:pPr>
              <w:spacing w:before="78" w:line="227" w:lineRule="auto"/>
              <w:ind w:left="492"/>
              <w:rPr>
                <w:rFonts w:ascii="宋体" w:hAnsi="宋体" w:eastAsia="宋体" w:cs="宋体"/>
                <w:sz w:val="20"/>
                <w:szCs w:val="20"/>
              </w:rPr>
            </w:pPr>
            <w:r>
              <w:rPr>
                <w:rFonts w:ascii="宋体" w:hAnsi="宋体" w:eastAsia="宋体" w:cs="宋体"/>
                <w:spacing w:val="8"/>
                <w:sz w:val="20"/>
                <w:szCs w:val="20"/>
              </w:rPr>
              <w:t>营</w:t>
            </w:r>
            <w:r>
              <w:rPr>
                <w:rFonts w:ascii="宋体" w:hAnsi="宋体" w:eastAsia="宋体" w:cs="宋体"/>
                <w:spacing w:val="5"/>
                <w:sz w:val="20"/>
                <w:szCs w:val="20"/>
              </w:rPr>
              <w:t>子新村</w:t>
            </w:r>
          </w:p>
        </w:tc>
        <w:tc>
          <w:tcPr>
            <w:tcW w:w="1651" w:type="dxa"/>
            <w:vAlign w:val="top"/>
          </w:tcPr>
          <w:p w14:paraId="214C6CD8">
            <w:pPr>
              <w:spacing w:before="78" w:line="231" w:lineRule="auto"/>
              <w:ind w:left="624"/>
              <w:rPr>
                <w:rFonts w:ascii="宋体" w:hAnsi="宋体" w:eastAsia="宋体" w:cs="宋体"/>
                <w:sz w:val="20"/>
                <w:szCs w:val="20"/>
              </w:rPr>
            </w:pPr>
            <w:r>
              <w:rPr>
                <w:rFonts w:ascii="宋体" w:hAnsi="宋体" w:eastAsia="宋体" w:cs="宋体"/>
                <w:spacing w:val="2"/>
                <w:sz w:val="20"/>
                <w:szCs w:val="20"/>
              </w:rPr>
              <w:t>西北</w:t>
            </w:r>
          </w:p>
        </w:tc>
        <w:tc>
          <w:tcPr>
            <w:tcW w:w="1653" w:type="dxa"/>
            <w:vAlign w:val="top"/>
          </w:tcPr>
          <w:p w14:paraId="0972F771">
            <w:pPr>
              <w:spacing w:before="114"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070</w:t>
            </w:r>
          </w:p>
        </w:tc>
        <w:tc>
          <w:tcPr>
            <w:tcW w:w="2091" w:type="dxa"/>
            <w:tcBorders>
              <w:right w:val="nil"/>
            </w:tcBorders>
            <w:vAlign w:val="top"/>
          </w:tcPr>
          <w:p w14:paraId="66656005">
            <w:pPr>
              <w:spacing w:before="78" w:line="228" w:lineRule="auto"/>
              <w:ind w:left="470"/>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户，</w:t>
            </w:r>
            <w:r>
              <w:rPr>
                <w:rFonts w:ascii="Times New Roman" w:hAnsi="Times New Roman" w:eastAsia="Times New Roman" w:cs="Times New Roman"/>
                <w:spacing w:val="5"/>
                <w:sz w:val="20"/>
                <w:szCs w:val="20"/>
              </w:rPr>
              <w:t xml:space="preserve">98 </w:t>
            </w:r>
            <w:r>
              <w:rPr>
                <w:rFonts w:ascii="宋体" w:hAnsi="宋体" w:eastAsia="宋体" w:cs="宋体"/>
                <w:spacing w:val="5"/>
                <w:sz w:val="20"/>
                <w:szCs w:val="20"/>
              </w:rPr>
              <w:t>人</w:t>
            </w:r>
          </w:p>
        </w:tc>
      </w:tr>
    </w:tbl>
    <w:p w14:paraId="4E7B4C13">
      <w:pPr>
        <w:rPr>
          <w:rFonts w:ascii="Arial"/>
          <w:sz w:val="21"/>
        </w:rPr>
      </w:pPr>
    </w:p>
    <w:p w14:paraId="7A7B78B3">
      <w:pPr>
        <w:sectPr>
          <w:headerReference r:id="rId293" w:type="default"/>
          <w:footerReference r:id="rId294" w:type="default"/>
          <w:pgSz w:w="11906" w:h="16839"/>
          <w:pgMar w:top="1132" w:right="1757" w:bottom="1182" w:left="1758" w:header="878" w:footer="1022" w:gutter="0"/>
          <w:cols w:space="720" w:num="1"/>
        </w:sectPr>
      </w:pPr>
    </w:p>
    <w:p w14:paraId="5B7F30C8">
      <w:r>
        <w:pict>
          <v:shape id="_x0000_s1361" o:spid="_x0000_s1361" style="position:absolute;left:0pt;margin-left:90pt;margin-top:57.35pt;height:0.75pt;width:415.3pt;mso-position-horizontal-relative:page;mso-position-vertical-relative:page;z-index:252053504;mso-width-relative:page;mso-height-relative:page;" fillcolor="#000000" filled="t" stroked="f" coordsize="8305,15" o:allowincell="f" path="m0,0l8305,0,8305,14,0,14,0,0xe">
            <v:path/>
            <v:fill on="t" focussize="0,0"/>
            <v:stroke on="f"/>
            <v:imagedata o:title=""/>
            <o:lock v:ext="edit"/>
          </v:shape>
        </w:pict>
      </w:r>
    </w:p>
    <w:p w14:paraId="4F3FDE3A">
      <w:pPr>
        <w:spacing w:line="65" w:lineRule="exact"/>
      </w:pPr>
    </w:p>
    <w:tbl>
      <w:tblPr>
        <w:tblStyle w:val="4"/>
        <w:tblW w:w="8361"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798"/>
        <w:gridCol w:w="1651"/>
        <w:gridCol w:w="1653"/>
        <w:gridCol w:w="2091"/>
      </w:tblGrid>
      <w:tr w14:paraId="7C7B8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68" w:type="dxa"/>
            <w:vMerge w:val="restart"/>
            <w:tcBorders>
              <w:top w:val="nil"/>
              <w:left w:val="nil"/>
              <w:bottom w:val="nil"/>
            </w:tcBorders>
            <w:vAlign w:val="top"/>
          </w:tcPr>
          <w:p w14:paraId="09447782">
            <w:pPr>
              <w:rPr>
                <w:rFonts w:ascii="Arial"/>
                <w:sz w:val="21"/>
              </w:rPr>
            </w:pPr>
          </w:p>
        </w:tc>
        <w:tc>
          <w:tcPr>
            <w:tcW w:w="1798" w:type="dxa"/>
            <w:vAlign w:val="top"/>
          </w:tcPr>
          <w:p w14:paraId="79456124">
            <w:pPr>
              <w:spacing w:before="77" w:line="228" w:lineRule="auto"/>
              <w:ind w:left="587"/>
              <w:rPr>
                <w:rFonts w:ascii="宋体" w:hAnsi="宋体" w:eastAsia="宋体" w:cs="宋体"/>
                <w:sz w:val="20"/>
                <w:szCs w:val="20"/>
              </w:rPr>
            </w:pPr>
            <w:r>
              <w:rPr>
                <w:rFonts w:ascii="宋体" w:hAnsi="宋体" w:eastAsia="宋体" w:cs="宋体"/>
                <w:spacing w:val="7"/>
                <w:sz w:val="20"/>
                <w:szCs w:val="20"/>
              </w:rPr>
              <w:t>刺叶山</w:t>
            </w:r>
          </w:p>
        </w:tc>
        <w:tc>
          <w:tcPr>
            <w:tcW w:w="1651" w:type="dxa"/>
            <w:vAlign w:val="top"/>
          </w:tcPr>
          <w:p w14:paraId="30482F96">
            <w:pPr>
              <w:spacing w:before="78" w:line="231" w:lineRule="auto"/>
              <w:ind w:left="624"/>
              <w:rPr>
                <w:rFonts w:ascii="宋体" w:hAnsi="宋体" w:eastAsia="宋体" w:cs="宋体"/>
                <w:sz w:val="20"/>
                <w:szCs w:val="20"/>
              </w:rPr>
            </w:pPr>
            <w:r>
              <w:rPr>
                <w:rFonts w:ascii="宋体" w:hAnsi="宋体" w:eastAsia="宋体" w:cs="宋体"/>
                <w:spacing w:val="2"/>
                <w:sz w:val="20"/>
                <w:szCs w:val="20"/>
              </w:rPr>
              <w:t>西北</w:t>
            </w:r>
          </w:p>
        </w:tc>
        <w:tc>
          <w:tcPr>
            <w:tcW w:w="1653" w:type="dxa"/>
            <w:vAlign w:val="top"/>
          </w:tcPr>
          <w:p w14:paraId="239BAB28">
            <w:pPr>
              <w:spacing w:before="113"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600</w:t>
            </w:r>
          </w:p>
        </w:tc>
        <w:tc>
          <w:tcPr>
            <w:tcW w:w="2091" w:type="dxa"/>
            <w:tcBorders>
              <w:right w:val="nil"/>
            </w:tcBorders>
            <w:vAlign w:val="top"/>
          </w:tcPr>
          <w:p w14:paraId="5D762D60">
            <w:pPr>
              <w:spacing w:before="78" w:line="228" w:lineRule="auto"/>
              <w:ind w:left="421"/>
              <w:rPr>
                <w:rFonts w:ascii="宋体" w:hAnsi="宋体" w:eastAsia="宋体" w:cs="宋体"/>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5"/>
                <w:sz w:val="20"/>
                <w:szCs w:val="20"/>
              </w:rPr>
              <w:t xml:space="preserve">0 </w:t>
            </w:r>
            <w:r>
              <w:rPr>
                <w:rFonts w:ascii="宋体" w:hAnsi="宋体" w:eastAsia="宋体" w:cs="宋体"/>
                <w:spacing w:val="5"/>
                <w:sz w:val="20"/>
                <w:szCs w:val="20"/>
              </w:rPr>
              <w:t>户，</w:t>
            </w:r>
            <w:r>
              <w:rPr>
                <w:rFonts w:ascii="Times New Roman" w:hAnsi="Times New Roman" w:eastAsia="Times New Roman" w:cs="Times New Roman"/>
                <w:spacing w:val="5"/>
                <w:sz w:val="20"/>
                <w:szCs w:val="20"/>
              </w:rPr>
              <w:t xml:space="preserve">105 </w:t>
            </w:r>
            <w:r>
              <w:rPr>
                <w:rFonts w:ascii="宋体" w:hAnsi="宋体" w:eastAsia="宋体" w:cs="宋体"/>
                <w:spacing w:val="5"/>
                <w:sz w:val="20"/>
                <w:szCs w:val="20"/>
              </w:rPr>
              <w:t>人</w:t>
            </w:r>
          </w:p>
        </w:tc>
      </w:tr>
      <w:tr w14:paraId="728EE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68" w:type="dxa"/>
            <w:vMerge w:val="continue"/>
            <w:tcBorders>
              <w:top w:val="nil"/>
              <w:left w:val="nil"/>
              <w:bottom w:val="nil"/>
            </w:tcBorders>
            <w:vAlign w:val="top"/>
          </w:tcPr>
          <w:p w14:paraId="0B811606">
            <w:pPr>
              <w:rPr>
                <w:rFonts w:ascii="Arial"/>
                <w:sz w:val="21"/>
              </w:rPr>
            </w:pPr>
          </w:p>
        </w:tc>
        <w:tc>
          <w:tcPr>
            <w:tcW w:w="1798" w:type="dxa"/>
            <w:vAlign w:val="top"/>
          </w:tcPr>
          <w:p w14:paraId="0676492F">
            <w:pPr>
              <w:spacing w:before="74" w:line="227" w:lineRule="auto"/>
              <w:ind w:left="487"/>
              <w:rPr>
                <w:rFonts w:ascii="宋体" w:hAnsi="宋体" w:eastAsia="宋体" w:cs="宋体"/>
                <w:sz w:val="20"/>
                <w:szCs w:val="20"/>
              </w:rPr>
            </w:pPr>
            <w:r>
              <w:rPr>
                <w:rFonts w:ascii="宋体" w:hAnsi="宋体" w:eastAsia="宋体" w:cs="宋体"/>
                <w:spacing w:val="7"/>
                <w:sz w:val="20"/>
                <w:szCs w:val="20"/>
              </w:rPr>
              <w:t>火连寨</w:t>
            </w:r>
            <w:r>
              <w:rPr>
                <w:rFonts w:ascii="宋体" w:hAnsi="宋体" w:eastAsia="宋体" w:cs="宋体"/>
                <w:spacing w:val="6"/>
                <w:sz w:val="20"/>
                <w:szCs w:val="20"/>
              </w:rPr>
              <w:t>村</w:t>
            </w:r>
          </w:p>
        </w:tc>
        <w:tc>
          <w:tcPr>
            <w:tcW w:w="1651" w:type="dxa"/>
            <w:vAlign w:val="top"/>
          </w:tcPr>
          <w:p w14:paraId="798CECC5">
            <w:pPr>
              <w:spacing w:before="74" w:line="228" w:lineRule="auto"/>
              <w:ind w:left="732"/>
              <w:rPr>
                <w:rFonts w:ascii="宋体" w:hAnsi="宋体" w:eastAsia="宋体" w:cs="宋体"/>
                <w:sz w:val="20"/>
                <w:szCs w:val="20"/>
              </w:rPr>
            </w:pPr>
            <w:r>
              <w:rPr>
                <w:rFonts w:ascii="宋体" w:hAnsi="宋体" w:eastAsia="宋体" w:cs="宋体"/>
                <w:sz w:val="20"/>
                <w:szCs w:val="20"/>
              </w:rPr>
              <w:t>东</w:t>
            </w:r>
          </w:p>
        </w:tc>
        <w:tc>
          <w:tcPr>
            <w:tcW w:w="1653" w:type="dxa"/>
            <w:vAlign w:val="top"/>
          </w:tcPr>
          <w:p w14:paraId="285325F8">
            <w:pPr>
              <w:spacing w:before="110"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50</w:t>
            </w:r>
          </w:p>
        </w:tc>
        <w:tc>
          <w:tcPr>
            <w:tcW w:w="2091" w:type="dxa"/>
            <w:tcBorders>
              <w:right w:val="nil"/>
            </w:tcBorders>
            <w:vAlign w:val="top"/>
          </w:tcPr>
          <w:p w14:paraId="441375F9">
            <w:pPr>
              <w:spacing w:before="75" w:line="228" w:lineRule="auto"/>
              <w:ind w:left="316"/>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80 </w:t>
            </w:r>
            <w:r>
              <w:rPr>
                <w:rFonts w:ascii="宋体" w:hAnsi="宋体" w:eastAsia="宋体" w:cs="宋体"/>
                <w:spacing w:val="5"/>
                <w:sz w:val="20"/>
                <w:szCs w:val="20"/>
              </w:rPr>
              <w:t>户、</w:t>
            </w:r>
            <w:r>
              <w:rPr>
                <w:rFonts w:ascii="Times New Roman" w:hAnsi="Times New Roman" w:eastAsia="Times New Roman" w:cs="Times New Roman"/>
                <w:spacing w:val="5"/>
                <w:sz w:val="20"/>
                <w:szCs w:val="20"/>
              </w:rPr>
              <w:t xml:space="preserve">1330 </w:t>
            </w:r>
            <w:r>
              <w:rPr>
                <w:rFonts w:ascii="宋体" w:hAnsi="宋体" w:eastAsia="宋体" w:cs="宋体"/>
                <w:spacing w:val="5"/>
                <w:sz w:val="20"/>
                <w:szCs w:val="20"/>
              </w:rPr>
              <w:t>人</w:t>
            </w:r>
          </w:p>
        </w:tc>
      </w:tr>
      <w:tr w14:paraId="16A4C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68" w:type="dxa"/>
            <w:vMerge w:val="continue"/>
            <w:tcBorders>
              <w:top w:val="nil"/>
              <w:left w:val="nil"/>
              <w:bottom w:val="nil"/>
            </w:tcBorders>
            <w:vAlign w:val="top"/>
          </w:tcPr>
          <w:p w14:paraId="059B251C">
            <w:pPr>
              <w:rPr>
                <w:rFonts w:ascii="Arial"/>
                <w:sz w:val="21"/>
              </w:rPr>
            </w:pPr>
          </w:p>
        </w:tc>
        <w:tc>
          <w:tcPr>
            <w:tcW w:w="1798" w:type="dxa"/>
            <w:vAlign w:val="top"/>
          </w:tcPr>
          <w:p w14:paraId="5C5F6984">
            <w:pPr>
              <w:spacing w:before="75" w:line="227" w:lineRule="auto"/>
              <w:ind w:left="595"/>
              <w:rPr>
                <w:rFonts w:ascii="宋体" w:hAnsi="宋体" w:eastAsia="宋体" w:cs="宋体"/>
                <w:sz w:val="20"/>
                <w:szCs w:val="20"/>
              </w:rPr>
            </w:pPr>
            <w:r>
              <w:rPr>
                <w:rFonts w:ascii="宋体" w:hAnsi="宋体" w:eastAsia="宋体" w:cs="宋体"/>
                <w:spacing w:val="6"/>
                <w:sz w:val="20"/>
                <w:szCs w:val="20"/>
              </w:rPr>
              <w:t>营</w:t>
            </w:r>
            <w:r>
              <w:rPr>
                <w:rFonts w:ascii="宋体" w:hAnsi="宋体" w:eastAsia="宋体" w:cs="宋体"/>
                <w:spacing w:val="4"/>
                <w:sz w:val="20"/>
                <w:szCs w:val="20"/>
              </w:rPr>
              <w:t>子村</w:t>
            </w:r>
          </w:p>
        </w:tc>
        <w:tc>
          <w:tcPr>
            <w:tcW w:w="1651" w:type="dxa"/>
            <w:vAlign w:val="top"/>
          </w:tcPr>
          <w:p w14:paraId="4B5A9815">
            <w:pPr>
              <w:spacing w:before="74" w:line="228" w:lineRule="auto"/>
              <w:ind w:left="626"/>
              <w:rPr>
                <w:rFonts w:ascii="宋体" w:hAnsi="宋体" w:eastAsia="宋体" w:cs="宋体"/>
                <w:sz w:val="20"/>
                <w:szCs w:val="20"/>
              </w:rPr>
            </w:pPr>
            <w:r>
              <w:rPr>
                <w:rFonts w:ascii="宋体" w:hAnsi="宋体" w:eastAsia="宋体" w:cs="宋体"/>
                <w:spacing w:val="1"/>
                <w:sz w:val="20"/>
                <w:szCs w:val="20"/>
              </w:rPr>
              <w:t>东南</w:t>
            </w:r>
          </w:p>
        </w:tc>
        <w:tc>
          <w:tcPr>
            <w:tcW w:w="1653" w:type="dxa"/>
            <w:vAlign w:val="top"/>
          </w:tcPr>
          <w:p w14:paraId="2B5C6899">
            <w:pPr>
              <w:spacing w:before="111"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200</w:t>
            </w:r>
          </w:p>
        </w:tc>
        <w:tc>
          <w:tcPr>
            <w:tcW w:w="2091" w:type="dxa"/>
            <w:tcBorders>
              <w:right w:val="nil"/>
            </w:tcBorders>
            <w:vAlign w:val="top"/>
          </w:tcPr>
          <w:p w14:paraId="607ADB76">
            <w:pPr>
              <w:spacing w:before="75" w:line="228" w:lineRule="auto"/>
              <w:ind w:left="384"/>
              <w:rPr>
                <w:rFonts w:ascii="宋体" w:hAnsi="宋体" w:eastAsia="宋体" w:cs="宋体"/>
                <w:sz w:val="20"/>
                <w:szCs w:val="20"/>
              </w:rPr>
            </w:pPr>
            <w:r>
              <w:rPr>
                <w:rFonts w:ascii="Times New Roman" w:hAnsi="Times New Roman" w:eastAsia="Times New Roman" w:cs="Times New Roman"/>
                <w:spacing w:val="4"/>
                <w:sz w:val="20"/>
                <w:szCs w:val="20"/>
              </w:rPr>
              <w:t xml:space="preserve">145 </w:t>
            </w:r>
            <w:r>
              <w:rPr>
                <w:rFonts w:ascii="宋体" w:hAnsi="宋体" w:eastAsia="宋体" w:cs="宋体"/>
                <w:spacing w:val="4"/>
                <w:sz w:val="20"/>
                <w:szCs w:val="20"/>
              </w:rPr>
              <w:t>户，</w:t>
            </w:r>
            <w:r>
              <w:rPr>
                <w:rFonts w:ascii="Times New Roman" w:hAnsi="Times New Roman" w:eastAsia="Times New Roman" w:cs="Times New Roman"/>
                <w:spacing w:val="4"/>
                <w:sz w:val="20"/>
                <w:szCs w:val="20"/>
              </w:rPr>
              <w:t xml:space="preserve">507 </w:t>
            </w:r>
            <w:r>
              <w:rPr>
                <w:rFonts w:ascii="宋体" w:hAnsi="宋体" w:eastAsia="宋体" w:cs="宋体"/>
                <w:spacing w:val="2"/>
                <w:sz w:val="20"/>
                <w:szCs w:val="20"/>
              </w:rPr>
              <w:t>人</w:t>
            </w:r>
          </w:p>
        </w:tc>
      </w:tr>
      <w:tr w14:paraId="63CF0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68" w:type="dxa"/>
            <w:vMerge w:val="continue"/>
            <w:tcBorders>
              <w:top w:val="nil"/>
              <w:left w:val="nil"/>
            </w:tcBorders>
            <w:vAlign w:val="top"/>
          </w:tcPr>
          <w:p w14:paraId="0AFEEB3A">
            <w:pPr>
              <w:rPr>
                <w:rFonts w:ascii="Arial"/>
                <w:sz w:val="21"/>
              </w:rPr>
            </w:pPr>
          </w:p>
        </w:tc>
        <w:tc>
          <w:tcPr>
            <w:tcW w:w="1798" w:type="dxa"/>
            <w:vAlign w:val="top"/>
          </w:tcPr>
          <w:p w14:paraId="5952ACC7">
            <w:pPr>
              <w:spacing w:before="75" w:line="228" w:lineRule="auto"/>
              <w:ind w:left="486"/>
              <w:rPr>
                <w:rFonts w:ascii="宋体" w:hAnsi="宋体" w:eastAsia="宋体" w:cs="宋体"/>
                <w:sz w:val="20"/>
                <w:szCs w:val="20"/>
              </w:rPr>
            </w:pPr>
            <w:r>
              <w:rPr>
                <w:rFonts w:ascii="宋体" w:hAnsi="宋体" w:eastAsia="宋体" w:cs="宋体"/>
                <w:spacing w:val="7"/>
                <w:sz w:val="20"/>
                <w:szCs w:val="20"/>
              </w:rPr>
              <w:t>豆腐房沟</w:t>
            </w:r>
          </w:p>
        </w:tc>
        <w:tc>
          <w:tcPr>
            <w:tcW w:w="1651" w:type="dxa"/>
            <w:vAlign w:val="top"/>
          </w:tcPr>
          <w:p w14:paraId="34B31F3C">
            <w:pPr>
              <w:spacing w:before="75" w:line="228" w:lineRule="auto"/>
              <w:ind w:left="626"/>
              <w:rPr>
                <w:rFonts w:ascii="宋体" w:hAnsi="宋体" w:eastAsia="宋体" w:cs="宋体"/>
                <w:sz w:val="20"/>
                <w:szCs w:val="20"/>
              </w:rPr>
            </w:pPr>
            <w:r>
              <w:rPr>
                <w:rFonts w:ascii="宋体" w:hAnsi="宋体" w:eastAsia="宋体" w:cs="宋体"/>
                <w:spacing w:val="1"/>
                <w:sz w:val="20"/>
                <w:szCs w:val="20"/>
              </w:rPr>
              <w:t>东南</w:t>
            </w:r>
          </w:p>
        </w:tc>
        <w:tc>
          <w:tcPr>
            <w:tcW w:w="1653" w:type="dxa"/>
            <w:vAlign w:val="top"/>
          </w:tcPr>
          <w:p w14:paraId="355A1404">
            <w:pPr>
              <w:spacing w:before="111"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060</w:t>
            </w:r>
          </w:p>
        </w:tc>
        <w:tc>
          <w:tcPr>
            <w:tcW w:w="2091" w:type="dxa"/>
            <w:tcBorders>
              <w:right w:val="nil"/>
            </w:tcBorders>
            <w:vAlign w:val="top"/>
          </w:tcPr>
          <w:p w14:paraId="135ACBA1">
            <w:pPr>
              <w:spacing w:before="76" w:line="228" w:lineRule="auto"/>
              <w:ind w:left="490"/>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户，</w:t>
            </w:r>
            <w:r>
              <w:rPr>
                <w:rFonts w:ascii="Times New Roman" w:hAnsi="Times New Roman" w:eastAsia="Times New Roman" w:cs="Times New Roman"/>
                <w:spacing w:val="3"/>
                <w:sz w:val="20"/>
                <w:szCs w:val="20"/>
              </w:rPr>
              <w:t xml:space="preserve">56 </w:t>
            </w:r>
            <w:r>
              <w:rPr>
                <w:rFonts w:ascii="宋体" w:hAnsi="宋体" w:eastAsia="宋体" w:cs="宋体"/>
                <w:spacing w:val="3"/>
                <w:sz w:val="20"/>
                <w:szCs w:val="20"/>
              </w:rPr>
              <w:t>人</w:t>
            </w:r>
          </w:p>
        </w:tc>
      </w:tr>
    </w:tbl>
    <w:p w14:paraId="7563A3E1">
      <w:pPr>
        <w:spacing w:before="268" w:line="225" w:lineRule="auto"/>
        <w:ind w:left="118"/>
        <w:outlineLvl w:val="1"/>
        <w:rPr>
          <w:rFonts w:ascii="宋体" w:hAnsi="宋体" w:eastAsia="宋体" w:cs="宋体"/>
          <w:sz w:val="31"/>
          <w:szCs w:val="31"/>
        </w:rPr>
      </w:pPr>
      <w:bookmarkStart w:id="31" w:name="_bookmark32"/>
      <w:bookmarkEnd w:id="31"/>
      <w:r>
        <w:rPr>
          <w:rFonts w:ascii="Times New Roman" w:hAnsi="Times New Roman" w:eastAsia="Times New Roman" w:cs="Times New Roman"/>
          <w:b/>
          <w:bCs/>
          <w:spacing w:val="10"/>
          <w:sz w:val="31"/>
          <w:szCs w:val="31"/>
        </w:rPr>
        <w:t>7</w:t>
      </w:r>
      <w:r>
        <w:rPr>
          <w:rFonts w:ascii="Times New Roman" w:hAnsi="Times New Roman" w:eastAsia="Times New Roman" w:cs="Times New Roman"/>
          <w:b/>
          <w:bCs/>
          <w:spacing w:val="6"/>
          <w:sz w:val="31"/>
          <w:szCs w:val="31"/>
        </w:rPr>
        <w:t>.3</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环境风险识别</w:t>
      </w:r>
    </w:p>
    <w:p w14:paraId="4FD61AF6">
      <w:pPr>
        <w:spacing w:line="251" w:lineRule="auto"/>
        <w:rPr>
          <w:rFonts w:ascii="Arial"/>
          <w:sz w:val="21"/>
        </w:rPr>
      </w:pPr>
    </w:p>
    <w:p w14:paraId="320FE357">
      <w:pPr>
        <w:spacing w:before="75" w:line="388" w:lineRule="auto"/>
        <w:ind w:left="116" w:right="25" w:firstLine="481"/>
        <w:rPr>
          <w:rFonts w:ascii="宋体" w:hAnsi="宋体" w:eastAsia="宋体" w:cs="宋体"/>
          <w:sz w:val="23"/>
          <w:szCs w:val="23"/>
        </w:rPr>
      </w:pPr>
      <w:r>
        <w:rPr>
          <w:rFonts w:ascii="宋体" w:hAnsi="宋体" w:eastAsia="宋体" w:cs="宋体"/>
          <w:spacing w:val="18"/>
          <w:sz w:val="23"/>
          <w:szCs w:val="23"/>
        </w:rPr>
        <w:t>风</w:t>
      </w:r>
      <w:r>
        <w:rPr>
          <w:rFonts w:ascii="宋体" w:hAnsi="宋体" w:eastAsia="宋体" w:cs="宋体"/>
          <w:spacing w:val="11"/>
          <w:sz w:val="23"/>
          <w:szCs w:val="23"/>
        </w:rPr>
        <w:t>险</w:t>
      </w:r>
      <w:r>
        <w:rPr>
          <w:rFonts w:ascii="宋体" w:hAnsi="宋体" w:eastAsia="宋体" w:cs="宋体"/>
          <w:spacing w:val="9"/>
          <w:sz w:val="23"/>
          <w:szCs w:val="23"/>
        </w:rPr>
        <w:t>识别是分析项目哪里有风险，确定风险类型。环境风险识别范围包括：</w:t>
      </w:r>
      <w:r>
        <w:rPr>
          <w:rFonts w:ascii="宋体" w:hAnsi="宋体" w:eastAsia="宋体" w:cs="宋体"/>
          <w:sz w:val="23"/>
          <w:szCs w:val="23"/>
        </w:rPr>
        <w:t xml:space="preserve"> </w:t>
      </w:r>
      <w:r>
        <w:rPr>
          <w:rFonts w:ascii="宋体" w:hAnsi="宋体" w:eastAsia="宋体" w:cs="宋体"/>
          <w:spacing w:val="4"/>
          <w:sz w:val="23"/>
          <w:szCs w:val="23"/>
        </w:rPr>
        <w:t>①生产设施风险识别；②物质风</w:t>
      </w:r>
      <w:r>
        <w:rPr>
          <w:rFonts w:ascii="宋体" w:hAnsi="宋体" w:eastAsia="宋体" w:cs="宋体"/>
          <w:spacing w:val="2"/>
          <w:sz w:val="23"/>
          <w:szCs w:val="23"/>
        </w:rPr>
        <w:t>险识别。生产设施风险识别范围包括：生产装置、</w:t>
      </w:r>
      <w:r>
        <w:rPr>
          <w:rFonts w:ascii="宋体" w:hAnsi="宋体" w:eastAsia="宋体" w:cs="宋体"/>
          <w:sz w:val="23"/>
          <w:szCs w:val="23"/>
        </w:rPr>
        <w:t xml:space="preserve"> </w:t>
      </w:r>
      <w:r>
        <w:rPr>
          <w:rFonts w:ascii="宋体" w:hAnsi="宋体" w:eastAsia="宋体" w:cs="宋体"/>
          <w:spacing w:val="4"/>
          <w:sz w:val="23"/>
          <w:szCs w:val="23"/>
        </w:rPr>
        <w:t>贮运系统、公用工程系统、环保</w:t>
      </w:r>
      <w:r>
        <w:rPr>
          <w:rFonts w:ascii="宋体" w:hAnsi="宋体" w:eastAsia="宋体" w:cs="宋体"/>
          <w:spacing w:val="2"/>
          <w:sz w:val="23"/>
          <w:szCs w:val="23"/>
        </w:rPr>
        <w:t>设施及辅助生产设施等。物质风险识别范围包括：</w:t>
      </w:r>
      <w:r>
        <w:rPr>
          <w:rFonts w:ascii="宋体" w:hAnsi="宋体" w:eastAsia="宋体" w:cs="宋体"/>
          <w:sz w:val="23"/>
          <w:szCs w:val="23"/>
        </w:rPr>
        <w:t xml:space="preserve"> </w:t>
      </w:r>
      <w:r>
        <w:rPr>
          <w:rFonts w:ascii="宋体" w:hAnsi="宋体" w:eastAsia="宋体" w:cs="宋体"/>
          <w:spacing w:val="10"/>
          <w:sz w:val="23"/>
          <w:szCs w:val="23"/>
        </w:rPr>
        <w:t>主</w:t>
      </w:r>
      <w:r>
        <w:rPr>
          <w:rFonts w:ascii="宋体" w:hAnsi="宋体" w:eastAsia="宋体" w:cs="宋体"/>
          <w:spacing w:val="9"/>
          <w:sz w:val="23"/>
          <w:szCs w:val="23"/>
        </w:rPr>
        <w:t>要原材料及辅助材料、燃料、中间产品、最终产品以及生产过程排放的</w:t>
      </w:r>
      <w:r>
        <w:rPr>
          <w:rFonts w:ascii="Times New Roman" w:hAnsi="Times New Roman" w:eastAsia="Times New Roman" w:cs="Times New Roman"/>
          <w:spacing w:val="9"/>
          <w:sz w:val="23"/>
          <w:szCs w:val="23"/>
        </w:rPr>
        <w:t>“</w:t>
      </w:r>
      <w:r>
        <w:rPr>
          <w:rFonts w:ascii="宋体" w:hAnsi="宋体" w:eastAsia="宋体" w:cs="宋体"/>
          <w:spacing w:val="9"/>
          <w:sz w:val="23"/>
          <w:szCs w:val="23"/>
        </w:rPr>
        <w:t>三废</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 xml:space="preserve"> </w:t>
      </w:r>
      <w:r>
        <w:rPr>
          <w:rFonts w:ascii="宋体" w:hAnsi="宋体" w:eastAsia="宋体" w:cs="宋体"/>
          <w:spacing w:val="14"/>
          <w:sz w:val="23"/>
          <w:szCs w:val="23"/>
        </w:rPr>
        <w:t>污</w:t>
      </w:r>
      <w:r>
        <w:rPr>
          <w:rFonts w:ascii="宋体" w:hAnsi="宋体" w:eastAsia="宋体" w:cs="宋体"/>
          <w:spacing w:val="9"/>
          <w:sz w:val="23"/>
          <w:szCs w:val="23"/>
        </w:rPr>
        <w:t>染物等。风险类型一般分为火灾、爆炸和泄漏三种。</w:t>
      </w:r>
    </w:p>
    <w:p w14:paraId="1130B6DF">
      <w:pPr>
        <w:spacing w:before="136" w:line="228" w:lineRule="auto"/>
        <w:ind w:left="608"/>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物质风险识</w:t>
      </w:r>
      <w:r>
        <w:rPr>
          <w:rFonts w:ascii="宋体" w:hAnsi="宋体" w:eastAsia="宋体" w:cs="宋体"/>
          <w:spacing w:val="17"/>
          <w:sz w:val="23"/>
          <w:szCs w:val="23"/>
        </w:rPr>
        <w:t>别</w:t>
      </w:r>
    </w:p>
    <w:p w14:paraId="36A2E4BD">
      <w:pPr>
        <w:spacing w:line="275" w:lineRule="auto"/>
        <w:rPr>
          <w:rFonts w:ascii="Arial"/>
          <w:sz w:val="21"/>
        </w:rPr>
      </w:pPr>
    </w:p>
    <w:p w14:paraId="0FB5E0F5">
      <w:pPr>
        <w:spacing w:before="75" w:line="393" w:lineRule="auto"/>
        <w:ind w:left="130" w:right="107" w:firstLine="467"/>
        <w:rPr>
          <w:rFonts w:ascii="宋体" w:hAnsi="宋体" w:eastAsia="宋体" w:cs="宋体"/>
          <w:sz w:val="23"/>
          <w:szCs w:val="23"/>
        </w:rPr>
      </w:pPr>
      <w:r>
        <w:rPr>
          <w:rFonts w:ascii="宋体" w:hAnsi="宋体" w:eastAsia="宋体" w:cs="宋体"/>
          <w:spacing w:val="7"/>
          <w:sz w:val="23"/>
          <w:szCs w:val="23"/>
        </w:rPr>
        <w:t>本项目生产使用的原辅材料主要为聚乙烯、聚丙烯，其年用量、储存量及</w:t>
      </w:r>
      <w:r>
        <w:rPr>
          <w:rFonts w:ascii="宋体" w:hAnsi="宋体" w:eastAsia="宋体" w:cs="宋体"/>
          <w:spacing w:val="2"/>
          <w:sz w:val="23"/>
          <w:szCs w:val="23"/>
        </w:rPr>
        <w:t>危</w:t>
      </w:r>
      <w:r>
        <w:rPr>
          <w:rFonts w:ascii="宋体" w:hAnsi="宋体" w:eastAsia="宋体" w:cs="宋体"/>
          <w:sz w:val="23"/>
          <w:szCs w:val="23"/>
        </w:rPr>
        <w:t xml:space="preserve"> </w:t>
      </w:r>
      <w:r>
        <w:rPr>
          <w:rFonts w:ascii="宋体" w:hAnsi="宋体" w:eastAsia="宋体" w:cs="宋体"/>
          <w:spacing w:val="2"/>
          <w:sz w:val="23"/>
          <w:szCs w:val="23"/>
        </w:rPr>
        <w:t>险性</w:t>
      </w:r>
      <w:r>
        <w:rPr>
          <w:rFonts w:ascii="宋体" w:hAnsi="宋体" w:eastAsia="宋体" w:cs="宋体"/>
          <w:spacing w:val="1"/>
          <w:sz w:val="23"/>
          <w:szCs w:val="23"/>
        </w:rPr>
        <w:t xml:space="preserve">识别情况见表 </w:t>
      </w:r>
      <w:r>
        <w:rPr>
          <w:rFonts w:ascii="Times New Roman" w:hAnsi="Times New Roman" w:eastAsia="Times New Roman" w:cs="Times New Roman"/>
          <w:spacing w:val="1"/>
          <w:sz w:val="23"/>
          <w:szCs w:val="23"/>
        </w:rPr>
        <w:t>7-4</w:t>
      </w:r>
      <w:r>
        <w:rPr>
          <w:rFonts w:ascii="宋体" w:hAnsi="宋体" w:eastAsia="宋体" w:cs="宋体"/>
          <w:spacing w:val="1"/>
          <w:sz w:val="23"/>
          <w:szCs w:val="23"/>
        </w:rPr>
        <w:t>。</w:t>
      </w:r>
    </w:p>
    <w:p w14:paraId="0A5B6BE8">
      <w:pPr>
        <w:spacing w:before="137" w:line="228" w:lineRule="auto"/>
        <w:ind w:left="179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5"/>
          <w:sz w:val="23"/>
          <w:szCs w:val="23"/>
        </w:rPr>
        <w:t>7-4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主要原辅料用量、储存量及危险识别</w:t>
      </w:r>
    </w:p>
    <w:p w14:paraId="6F963A9E">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1"/>
        <w:gridCol w:w="1398"/>
        <w:gridCol w:w="2863"/>
        <w:gridCol w:w="2130"/>
      </w:tblGrid>
      <w:tr w14:paraId="309A5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2131" w:type="dxa"/>
            <w:tcBorders>
              <w:left w:val="nil"/>
            </w:tcBorders>
            <w:vAlign w:val="top"/>
          </w:tcPr>
          <w:p w14:paraId="4E8CB974">
            <w:pPr>
              <w:spacing w:before="75" w:line="227" w:lineRule="auto"/>
              <w:ind w:left="44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原</w:t>
            </w:r>
            <w:r>
              <w:rPr>
                <w:rFonts w:ascii="宋体" w:hAnsi="宋体" w:eastAsia="宋体" w:cs="宋体"/>
                <w:spacing w:val="8"/>
                <w:sz w:val="20"/>
                <w:szCs w:val="20"/>
                <w14:textOutline w14:w="3795" w14:cap="sq" w14:cmpd="sng">
                  <w14:solidFill>
                    <w14:srgbClr w14:val="000000"/>
                  </w14:solidFill>
                  <w14:prstDash w14:val="solid"/>
                  <w14:bevel/>
                </w14:textOutline>
              </w:rPr>
              <w:t>辅材料名称</w:t>
            </w:r>
          </w:p>
        </w:tc>
        <w:tc>
          <w:tcPr>
            <w:tcW w:w="1398" w:type="dxa"/>
            <w:vAlign w:val="top"/>
          </w:tcPr>
          <w:p w14:paraId="16E06001">
            <w:pPr>
              <w:spacing w:before="74" w:line="228" w:lineRule="auto"/>
              <w:ind w:left="39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用量</w:t>
            </w:r>
          </w:p>
        </w:tc>
        <w:tc>
          <w:tcPr>
            <w:tcW w:w="2863" w:type="dxa"/>
            <w:vAlign w:val="top"/>
          </w:tcPr>
          <w:p w14:paraId="4E86443D">
            <w:pPr>
              <w:spacing w:before="74" w:line="228" w:lineRule="auto"/>
              <w:ind w:left="70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厂内最大储存量</w:t>
            </w:r>
          </w:p>
        </w:tc>
        <w:tc>
          <w:tcPr>
            <w:tcW w:w="2130" w:type="dxa"/>
            <w:tcBorders>
              <w:right w:val="nil"/>
            </w:tcBorders>
            <w:vAlign w:val="top"/>
          </w:tcPr>
          <w:p w14:paraId="3CD5E7D6">
            <w:pPr>
              <w:spacing w:before="75" w:line="228" w:lineRule="auto"/>
              <w:ind w:left="54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危险性识别</w:t>
            </w:r>
          </w:p>
        </w:tc>
      </w:tr>
      <w:tr w14:paraId="47F90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31" w:type="dxa"/>
            <w:tcBorders>
              <w:left w:val="nil"/>
            </w:tcBorders>
            <w:vAlign w:val="top"/>
          </w:tcPr>
          <w:p w14:paraId="077CDE5C">
            <w:pPr>
              <w:spacing w:before="53" w:line="228" w:lineRule="auto"/>
              <w:ind w:left="433"/>
              <w:rPr>
                <w:rFonts w:ascii="宋体" w:hAnsi="宋体" w:eastAsia="宋体" w:cs="宋体"/>
                <w:sz w:val="20"/>
                <w:szCs w:val="20"/>
              </w:rPr>
            </w:pPr>
            <w:r>
              <w:rPr>
                <w:rFonts w:ascii="宋体" w:hAnsi="宋体" w:eastAsia="宋体" w:cs="宋体"/>
                <w:spacing w:val="7"/>
                <w:sz w:val="20"/>
                <w:szCs w:val="20"/>
              </w:rPr>
              <w:t>聚</w:t>
            </w:r>
            <w:r>
              <w:rPr>
                <w:rFonts w:ascii="宋体" w:hAnsi="宋体" w:eastAsia="宋体" w:cs="宋体"/>
                <w:spacing w:val="5"/>
                <w:sz w:val="20"/>
                <w:szCs w:val="20"/>
              </w:rPr>
              <w:t>乙烯 (</w:t>
            </w:r>
            <w:r>
              <w:rPr>
                <w:rFonts w:ascii="Times New Roman" w:hAnsi="Times New Roman" w:eastAsia="Times New Roman" w:cs="Times New Roman"/>
                <w:sz w:val="20"/>
                <w:szCs w:val="20"/>
              </w:rPr>
              <w:t>PE</w:t>
            </w:r>
            <w:r>
              <w:rPr>
                <w:rFonts w:ascii="宋体" w:hAnsi="宋体" w:eastAsia="宋体" w:cs="宋体"/>
                <w:spacing w:val="5"/>
                <w:sz w:val="20"/>
                <w:szCs w:val="20"/>
              </w:rPr>
              <w:t>)</w:t>
            </w:r>
          </w:p>
        </w:tc>
        <w:tc>
          <w:tcPr>
            <w:tcW w:w="1398" w:type="dxa"/>
            <w:vAlign w:val="top"/>
          </w:tcPr>
          <w:p w14:paraId="68674F85">
            <w:pPr>
              <w:spacing w:before="16" w:line="281"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25550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a</w:t>
            </w:r>
          </w:p>
        </w:tc>
        <w:tc>
          <w:tcPr>
            <w:tcW w:w="2863" w:type="dxa"/>
            <w:vAlign w:val="top"/>
          </w:tcPr>
          <w:p w14:paraId="59CF1E55">
            <w:pPr>
              <w:spacing w:before="16" w:line="281" w:lineRule="exact"/>
              <w:ind w:left="1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w:t>
            </w:r>
            <w:r>
              <w:rPr>
                <w:rFonts w:ascii="Times New Roman" w:hAnsi="Times New Roman" w:eastAsia="Times New Roman" w:cs="Times New Roman"/>
                <w:position w:val="2"/>
                <w:sz w:val="20"/>
                <w:szCs w:val="20"/>
              </w:rPr>
              <w:t>t</w:t>
            </w:r>
          </w:p>
        </w:tc>
        <w:tc>
          <w:tcPr>
            <w:tcW w:w="2130" w:type="dxa"/>
            <w:tcBorders>
              <w:right w:val="nil"/>
            </w:tcBorders>
            <w:vAlign w:val="top"/>
          </w:tcPr>
          <w:p w14:paraId="028EDC82">
            <w:pPr>
              <w:spacing w:before="53" w:line="228" w:lineRule="auto"/>
              <w:ind w:left="546"/>
              <w:rPr>
                <w:rFonts w:ascii="宋体" w:hAnsi="宋体" w:eastAsia="宋体" w:cs="宋体"/>
                <w:sz w:val="20"/>
                <w:szCs w:val="20"/>
              </w:rPr>
            </w:pPr>
            <w:r>
              <w:rPr>
                <w:rFonts w:ascii="宋体" w:hAnsi="宋体" w:eastAsia="宋体" w:cs="宋体"/>
                <w:spacing w:val="8"/>
                <w:sz w:val="20"/>
                <w:szCs w:val="20"/>
              </w:rPr>
              <w:t>无毒、可</w:t>
            </w:r>
            <w:r>
              <w:rPr>
                <w:rFonts w:ascii="宋体" w:hAnsi="宋体" w:eastAsia="宋体" w:cs="宋体"/>
                <w:spacing w:val="7"/>
                <w:sz w:val="20"/>
                <w:szCs w:val="20"/>
              </w:rPr>
              <w:t>燃</w:t>
            </w:r>
          </w:p>
        </w:tc>
      </w:tr>
      <w:tr w14:paraId="03279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131" w:type="dxa"/>
            <w:tcBorders>
              <w:left w:val="nil"/>
            </w:tcBorders>
            <w:vAlign w:val="top"/>
          </w:tcPr>
          <w:p w14:paraId="05B17B50">
            <w:pPr>
              <w:spacing w:before="55" w:line="228" w:lineRule="auto"/>
              <w:ind w:left="441"/>
              <w:rPr>
                <w:rFonts w:ascii="宋体" w:hAnsi="宋体" w:eastAsia="宋体" w:cs="宋体"/>
                <w:sz w:val="20"/>
                <w:szCs w:val="20"/>
              </w:rPr>
            </w:pPr>
            <w:r>
              <w:rPr>
                <w:rFonts w:ascii="宋体" w:hAnsi="宋体" w:eastAsia="宋体" w:cs="宋体"/>
                <w:spacing w:val="7"/>
                <w:sz w:val="20"/>
                <w:szCs w:val="20"/>
              </w:rPr>
              <w:t>聚</w:t>
            </w:r>
            <w:r>
              <w:rPr>
                <w:rFonts w:ascii="宋体" w:hAnsi="宋体" w:eastAsia="宋体" w:cs="宋体"/>
                <w:spacing w:val="5"/>
                <w:sz w:val="20"/>
                <w:szCs w:val="20"/>
              </w:rPr>
              <w:t>丙烯 (</w:t>
            </w:r>
            <w:r>
              <w:rPr>
                <w:rFonts w:ascii="Times New Roman" w:hAnsi="Times New Roman" w:eastAsia="Times New Roman" w:cs="Times New Roman"/>
                <w:sz w:val="20"/>
                <w:szCs w:val="20"/>
              </w:rPr>
              <w:t>PP</w:t>
            </w:r>
            <w:r>
              <w:rPr>
                <w:rFonts w:ascii="宋体" w:hAnsi="宋体" w:eastAsia="宋体" w:cs="宋体"/>
                <w:spacing w:val="5"/>
                <w:sz w:val="20"/>
                <w:szCs w:val="20"/>
              </w:rPr>
              <w:t>)</w:t>
            </w:r>
          </w:p>
        </w:tc>
        <w:tc>
          <w:tcPr>
            <w:tcW w:w="1398" w:type="dxa"/>
            <w:vAlign w:val="top"/>
          </w:tcPr>
          <w:p w14:paraId="7137E2F5">
            <w:pPr>
              <w:spacing w:before="18" w:line="281"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25550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a</w:t>
            </w:r>
          </w:p>
        </w:tc>
        <w:tc>
          <w:tcPr>
            <w:tcW w:w="2863" w:type="dxa"/>
            <w:vAlign w:val="top"/>
          </w:tcPr>
          <w:p w14:paraId="723E032E">
            <w:pPr>
              <w:spacing w:before="18" w:line="281" w:lineRule="exact"/>
              <w:ind w:left="1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w:t>
            </w:r>
            <w:r>
              <w:rPr>
                <w:rFonts w:ascii="Times New Roman" w:hAnsi="Times New Roman" w:eastAsia="Times New Roman" w:cs="Times New Roman"/>
                <w:position w:val="2"/>
                <w:sz w:val="20"/>
                <w:szCs w:val="20"/>
              </w:rPr>
              <w:t>t</w:t>
            </w:r>
          </w:p>
        </w:tc>
        <w:tc>
          <w:tcPr>
            <w:tcW w:w="2130" w:type="dxa"/>
            <w:tcBorders>
              <w:right w:val="nil"/>
            </w:tcBorders>
            <w:vAlign w:val="top"/>
          </w:tcPr>
          <w:p w14:paraId="75D505C9">
            <w:pPr>
              <w:spacing w:before="55" w:line="228" w:lineRule="auto"/>
              <w:ind w:left="546"/>
              <w:rPr>
                <w:rFonts w:ascii="宋体" w:hAnsi="宋体" w:eastAsia="宋体" w:cs="宋体"/>
                <w:sz w:val="20"/>
                <w:szCs w:val="20"/>
              </w:rPr>
            </w:pPr>
            <w:r>
              <w:rPr>
                <w:rFonts w:ascii="宋体" w:hAnsi="宋体" w:eastAsia="宋体" w:cs="宋体"/>
                <w:spacing w:val="8"/>
                <w:sz w:val="20"/>
                <w:szCs w:val="20"/>
              </w:rPr>
              <w:t>无毒、可</w:t>
            </w:r>
            <w:r>
              <w:rPr>
                <w:rFonts w:ascii="宋体" w:hAnsi="宋体" w:eastAsia="宋体" w:cs="宋体"/>
                <w:spacing w:val="7"/>
                <w:sz w:val="20"/>
                <w:szCs w:val="20"/>
              </w:rPr>
              <w:t>燃</w:t>
            </w:r>
          </w:p>
        </w:tc>
      </w:tr>
    </w:tbl>
    <w:p w14:paraId="25F42D2D">
      <w:pPr>
        <w:spacing w:before="291" w:line="397" w:lineRule="auto"/>
        <w:ind w:left="116" w:right="158" w:firstLine="480"/>
        <w:rPr>
          <w:rFonts w:ascii="宋体" w:hAnsi="宋体" w:eastAsia="宋体" w:cs="宋体"/>
          <w:sz w:val="23"/>
          <w:szCs w:val="23"/>
        </w:rPr>
      </w:pPr>
      <w:r>
        <w:rPr>
          <w:rFonts w:ascii="宋体" w:hAnsi="宋体" w:eastAsia="宋体" w:cs="宋体"/>
          <w:spacing w:val="11"/>
          <w:sz w:val="23"/>
          <w:szCs w:val="23"/>
        </w:rPr>
        <w:t>根</w:t>
      </w:r>
      <w:r>
        <w:rPr>
          <w:rFonts w:ascii="宋体" w:hAnsi="宋体" w:eastAsia="宋体" w:cs="宋体"/>
          <w:spacing w:val="8"/>
          <w:sz w:val="23"/>
          <w:szCs w:val="23"/>
        </w:rPr>
        <w:t>据危险化学品安全技术全书</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MSDS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，本项目主要原辅材料理化性质见表</w:t>
      </w:r>
      <w:r>
        <w:rPr>
          <w:rFonts w:ascii="宋体" w:hAnsi="宋体" w:eastAsia="宋体" w:cs="宋体"/>
          <w:sz w:val="23"/>
          <w:szCs w:val="23"/>
        </w:rPr>
        <w:t xml:space="preserve"> </w:t>
      </w:r>
      <w:r>
        <w:rPr>
          <w:rFonts w:ascii="Times New Roman" w:hAnsi="Times New Roman" w:eastAsia="Times New Roman" w:cs="Times New Roman"/>
          <w:spacing w:val="-4"/>
          <w:sz w:val="23"/>
          <w:szCs w:val="23"/>
        </w:rPr>
        <w:t>7-</w:t>
      </w:r>
      <w:r>
        <w:rPr>
          <w:rFonts w:ascii="Times New Roman" w:hAnsi="Times New Roman" w:eastAsia="Times New Roman" w:cs="Times New Roman"/>
          <w:spacing w:val="-2"/>
          <w:sz w:val="23"/>
          <w:szCs w:val="23"/>
        </w:rPr>
        <w:t>5~</w:t>
      </w:r>
      <w:r>
        <w:rPr>
          <w:rFonts w:ascii="宋体" w:hAnsi="宋体" w:eastAsia="宋体" w:cs="宋体"/>
          <w:spacing w:val="-2"/>
          <w:sz w:val="23"/>
          <w:szCs w:val="23"/>
        </w:rPr>
        <w:t xml:space="preserve">表 </w:t>
      </w:r>
      <w:r>
        <w:rPr>
          <w:rFonts w:ascii="Times New Roman" w:hAnsi="Times New Roman" w:eastAsia="Times New Roman" w:cs="Times New Roman"/>
          <w:spacing w:val="-2"/>
          <w:sz w:val="23"/>
          <w:szCs w:val="23"/>
        </w:rPr>
        <w:t>7-6</w:t>
      </w:r>
      <w:r>
        <w:rPr>
          <w:rFonts w:ascii="宋体" w:hAnsi="宋体" w:eastAsia="宋体" w:cs="宋体"/>
          <w:spacing w:val="-2"/>
          <w:sz w:val="23"/>
          <w:szCs w:val="23"/>
        </w:rPr>
        <w:t>：</w:t>
      </w:r>
    </w:p>
    <w:p w14:paraId="4D1F2955">
      <w:pPr>
        <w:spacing w:before="171" w:line="227" w:lineRule="auto"/>
        <w:ind w:left="23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7-5</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聚乙烯理化性质及危险性</w:t>
      </w:r>
    </w:p>
    <w:p w14:paraId="01C2A8AE">
      <w:pPr>
        <w:spacing w:line="19"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3315"/>
        <w:gridCol w:w="4317"/>
      </w:tblGrid>
      <w:tr w14:paraId="27E67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890" w:type="dxa"/>
            <w:vMerge w:val="restart"/>
            <w:tcBorders>
              <w:left w:val="nil"/>
              <w:bottom w:val="nil"/>
            </w:tcBorders>
            <w:vAlign w:val="top"/>
          </w:tcPr>
          <w:p w14:paraId="305F31D8">
            <w:pPr>
              <w:spacing w:before="209" w:line="228" w:lineRule="auto"/>
              <w:ind w:left="24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标</w:t>
            </w:r>
            <w:r>
              <w:rPr>
                <w:rFonts w:ascii="宋体" w:hAnsi="宋体" w:eastAsia="宋体" w:cs="宋体"/>
                <w:spacing w:val="5"/>
                <w:sz w:val="20"/>
                <w:szCs w:val="20"/>
                <w14:textOutline w14:w="3795" w14:cap="sq" w14:cmpd="sng">
                  <w14:solidFill>
                    <w14:srgbClr w14:val="000000"/>
                  </w14:solidFill>
                  <w14:prstDash w14:val="solid"/>
                  <w14:bevel/>
                </w14:textOutline>
              </w:rPr>
              <w:t>识</w:t>
            </w:r>
          </w:p>
        </w:tc>
        <w:tc>
          <w:tcPr>
            <w:tcW w:w="3315" w:type="dxa"/>
            <w:vAlign w:val="top"/>
          </w:tcPr>
          <w:p w14:paraId="44E6ABBA">
            <w:pPr>
              <w:spacing w:before="62" w:line="228" w:lineRule="auto"/>
              <w:ind w:left="47"/>
              <w:rPr>
                <w:rFonts w:ascii="宋体" w:hAnsi="宋体" w:eastAsia="宋体" w:cs="宋体"/>
                <w:sz w:val="20"/>
                <w:szCs w:val="20"/>
              </w:rPr>
            </w:pPr>
            <w:r>
              <w:rPr>
                <w:rFonts w:ascii="宋体" w:hAnsi="宋体" w:eastAsia="宋体" w:cs="宋体"/>
                <w:spacing w:val="6"/>
                <w:sz w:val="20"/>
                <w:szCs w:val="20"/>
              </w:rPr>
              <w:t>中文名：聚乙</w:t>
            </w:r>
            <w:r>
              <w:rPr>
                <w:rFonts w:ascii="宋体" w:hAnsi="宋体" w:eastAsia="宋体" w:cs="宋体"/>
                <w:spacing w:val="5"/>
                <w:sz w:val="20"/>
                <w:szCs w:val="20"/>
              </w:rPr>
              <w:t>烯</w:t>
            </w:r>
          </w:p>
        </w:tc>
        <w:tc>
          <w:tcPr>
            <w:tcW w:w="4317" w:type="dxa"/>
            <w:tcBorders>
              <w:right w:val="nil"/>
            </w:tcBorders>
            <w:vAlign w:val="top"/>
          </w:tcPr>
          <w:p w14:paraId="7E761010">
            <w:pPr>
              <w:spacing w:before="24" w:line="281" w:lineRule="exact"/>
              <w:ind w:left="31"/>
              <w:rPr>
                <w:rFonts w:ascii="Times New Roman" w:hAnsi="Times New Roman" w:eastAsia="Times New Roman" w:cs="Times New Roman"/>
                <w:sz w:val="20"/>
                <w:szCs w:val="20"/>
              </w:rPr>
            </w:pPr>
            <w:r>
              <w:rPr>
                <w:rFonts w:ascii="宋体" w:hAnsi="宋体" w:eastAsia="宋体" w:cs="宋体"/>
                <w:spacing w:val="8"/>
                <w:position w:val="2"/>
                <w:sz w:val="20"/>
                <w:szCs w:val="20"/>
              </w:rPr>
              <w:t>分子式：</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C</w:t>
            </w: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position w:val="2"/>
                <w:sz w:val="20"/>
                <w:szCs w:val="20"/>
              </w:rPr>
              <w:t>H</w:t>
            </w:r>
            <w:r>
              <w:rPr>
                <w:rFonts w:ascii="Times New Roman" w:hAnsi="Times New Roman" w:eastAsia="Times New Roman" w:cs="Times New Roman"/>
                <w:spacing w:val="8"/>
                <w:position w:val="2"/>
                <w:sz w:val="20"/>
                <w:szCs w:val="20"/>
              </w:rPr>
              <w:t>4</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n</w:t>
            </w:r>
          </w:p>
        </w:tc>
      </w:tr>
      <w:tr w14:paraId="0F70B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90" w:type="dxa"/>
            <w:vMerge w:val="continue"/>
            <w:tcBorders>
              <w:top w:val="nil"/>
              <w:left w:val="nil"/>
            </w:tcBorders>
            <w:vAlign w:val="top"/>
          </w:tcPr>
          <w:p w14:paraId="231C1DB0">
            <w:pPr>
              <w:rPr>
                <w:rFonts w:ascii="Arial"/>
                <w:sz w:val="21"/>
              </w:rPr>
            </w:pPr>
          </w:p>
        </w:tc>
        <w:tc>
          <w:tcPr>
            <w:tcW w:w="3315" w:type="dxa"/>
            <w:vAlign w:val="top"/>
          </w:tcPr>
          <w:p w14:paraId="4AA68BCD">
            <w:pPr>
              <w:spacing w:before="37" w:line="228" w:lineRule="auto"/>
              <w:ind w:left="30"/>
              <w:rPr>
                <w:rFonts w:ascii="Times New Roman" w:hAnsi="Times New Roman" w:eastAsia="Times New Roman" w:cs="Times New Roman"/>
                <w:sz w:val="20"/>
                <w:szCs w:val="20"/>
              </w:rPr>
            </w:pPr>
            <w:r>
              <w:rPr>
                <w:rFonts w:ascii="宋体" w:hAnsi="宋体" w:eastAsia="宋体" w:cs="宋体"/>
                <w:spacing w:val="9"/>
                <w:sz w:val="20"/>
                <w:szCs w:val="20"/>
              </w:rPr>
              <w:t>分</w:t>
            </w:r>
            <w:r>
              <w:rPr>
                <w:rFonts w:ascii="宋体" w:hAnsi="宋体" w:eastAsia="宋体" w:cs="宋体"/>
                <w:spacing w:val="7"/>
                <w:sz w:val="20"/>
                <w:szCs w:val="20"/>
              </w:rPr>
              <w:t>子量：</w:t>
            </w:r>
            <w:r>
              <w:rPr>
                <w:rFonts w:ascii="Times New Roman" w:hAnsi="Times New Roman" w:eastAsia="Times New Roman" w:cs="Times New Roman"/>
                <w:spacing w:val="7"/>
                <w:sz w:val="20"/>
                <w:szCs w:val="20"/>
              </w:rPr>
              <w:t>-</w:t>
            </w:r>
          </w:p>
        </w:tc>
        <w:tc>
          <w:tcPr>
            <w:tcW w:w="4317" w:type="dxa"/>
            <w:tcBorders>
              <w:right w:val="nil"/>
            </w:tcBorders>
            <w:vAlign w:val="top"/>
          </w:tcPr>
          <w:p w14:paraId="0130FA75">
            <w:pPr>
              <w:spacing w:before="37" w:line="229" w:lineRule="auto"/>
              <w:ind w:left="28"/>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号：</w:t>
            </w:r>
            <w:r>
              <w:rPr>
                <w:rFonts w:ascii="Times New Roman" w:hAnsi="Times New Roman" w:eastAsia="Times New Roman" w:cs="Times New Roman"/>
                <w:spacing w:val="6"/>
                <w:sz w:val="20"/>
                <w:szCs w:val="20"/>
              </w:rPr>
              <w:t>9002-88-4</w:t>
            </w:r>
          </w:p>
        </w:tc>
      </w:tr>
      <w:tr w14:paraId="743FD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90" w:type="dxa"/>
            <w:vMerge w:val="restart"/>
            <w:tcBorders>
              <w:left w:val="nil"/>
              <w:bottom w:val="nil"/>
            </w:tcBorders>
            <w:vAlign w:val="top"/>
          </w:tcPr>
          <w:p w14:paraId="32E9FF4A">
            <w:pPr>
              <w:spacing w:line="272" w:lineRule="auto"/>
              <w:rPr>
                <w:rFonts w:ascii="Arial"/>
                <w:sz w:val="21"/>
              </w:rPr>
            </w:pPr>
          </w:p>
          <w:p w14:paraId="26A31B9B">
            <w:pPr>
              <w:spacing w:line="273" w:lineRule="auto"/>
              <w:rPr>
                <w:rFonts w:ascii="Arial"/>
                <w:sz w:val="21"/>
              </w:rPr>
            </w:pPr>
          </w:p>
          <w:p w14:paraId="49460536">
            <w:pPr>
              <w:spacing w:before="65" w:line="228" w:lineRule="auto"/>
              <w:ind w:left="3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理化性</w:t>
            </w:r>
            <w:r>
              <w:rPr>
                <w:rFonts w:ascii="宋体" w:hAnsi="宋体" w:eastAsia="宋体" w:cs="宋体"/>
                <w:spacing w:val="7"/>
                <w:sz w:val="20"/>
                <w:szCs w:val="20"/>
                <w14:textOutline w14:w="3795" w14:cap="sq" w14:cmpd="sng">
                  <w14:solidFill>
                    <w14:srgbClr w14:val="000000"/>
                  </w14:solidFill>
                  <w14:prstDash w14:val="solid"/>
                  <w14:bevel/>
                </w14:textOutline>
              </w:rPr>
              <w:t>质</w:t>
            </w:r>
          </w:p>
        </w:tc>
        <w:tc>
          <w:tcPr>
            <w:tcW w:w="7632" w:type="dxa"/>
            <w:gridSpan w:val="2"/>
            <w:tcBorders>
              <w:right w:val="nil"/>
            </w:tcBorders>
            <w:vAlign w:val="top"/>
          </w:tcPr>
          <w:p w14:paraId="743F2A26">
            <w:pPr>
              <w:spacing w:before="37" w:line="228" w:lineRule="auto"/>
              <w:ind w:left="30"/>
              <w:rPr>
                <w:rFonts w:ascii="宋体" w:hAnsi="宋体" w:eastAsia="宋体" w:cs="宋体"/>
                <w:sz w:val="20"/>
                <w:szCs w:val="20"/>
              </w:rPr>
            </w:pPr>
            <w:r>
              <w:rPr>
                <w:rFonts w:ascii="宋体" w:hAnsi="宋体" w:eastAsia="宋体" w:cs="宋体"/>
                <w:spacing w:val="8"/>
                <w:sz w:val="20"/>
                <w:szCs w:val="20"/>
              </w:rPr>
              <w:t>性状：</w:t>
            </w:r>
            <w:r>
              <w:rPr>
                <w:rFonts w:ascii="宋体" w:hAnsi="宋体" w:eastAsia="宋体" w:cs="宋体"/>
                <w:spacing w:val="5"/>
                <w:sz w:val="20"/>
                <w:szCs w:val="20"/>
              </w:rPr>
              <w:t>有</w:t>
            </w:r>
            <w:r>
              <w:rPr>
                <w:rFonts w:ascii="宋体" w:hAnsi="宋体" w:eastAsia="宋体" w:cs="宋体"/>
                <w:spacing w:val="4"/>
                <w:sz w:val="20"/>
                <w:szCs w:val="20"/>
              </w:rPr>
              <w:t>韧性的树脂质颗粒或粉末， 白色，有蜡味。</w:t>
            </w:r>
          </w:p>
        </w:tc>
      </w:tr>
      <w:tr w14:paraId="3182F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0" w:type="dxa"/>
            <w:vMerge w:val="continue"/>
            <w:tcBorders>
              <w:top w:val="nil"/>
              <w:left w:val="nil"/>
              <w:bottom w:val="nil"/>
            </w:tcBorders>
            <w:vAlign w:val="top"/>
          </w:tcPr>
          <w:p w14:paraId="056389F5">
            <w:pPr>
              <w:rPr>
                <w:rFonts w:ascii="Arial"/>
                <w:sz w:val="21"/>
              </w:rPr>
            </w:pPr>
          </w:p>
        </w:tc>
        <w:tc>
          <w:tcPr>
            <w:tcW w:w="3315" w:type="dxa"/>
            <w:vAlign w:val="top"/>
          </w:tcPr>
          <w:p w14:paraId="2F347CA2">
            <w:pPr>
              <w:spacing w:before="135" w:line="281" w:lineRule="exact"/>
              <w:ind w:left="28"/>
              <w:rPr>
                <w:rFonts w:ascii="Times New Roman" w:hAnsi="Times New Roman" w:eastAsia="Times New Roman" w:cs="Times New Roman"/>
                <w:sz w:val="20"/>
                <w:szCs w:val="20"/>
              </w:rPr>
            </w:pPr>
            <w:r>
              <w:rPr>
                <w:rFonts w:ascii="宋体" w:hAnsi="宋体" w:eastAsia="宋体" w:cs="宋体"/>
                <w:spacing w:val="2"/>
                <w:position w:val="1"/>
                <w:sz w:val="20"/>
                <w:szCs w:val="20"/>
              </w:rPr>
              <w:t>熔点</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130- 145</w:t>
            </w:r>
          </w:p>
        </w:tc>
        <w:tc>
          <w:tcPr>
            <w:tcW w:w="4317" w:type="dxa"/>
            <w:tcBorders>
              <w:right w:val="nil"/>
            </w:tcBorders>
            <w:vAlign w:val="top"/>
          </w:tcPr>
          <w:p w14:paraId="6962EE77">
            <w:pPr>
              <w:spacing w:before="37" w:line="239" w:lineRule="auto"/>
              <w:ind w:left="31" w:right="58"/>
              <w:rPr>
                <w:rFonts w:ascii="宋体" w:hAnsi="宋体" w:eastAsia="宋体" w:cs="宋体"/>
                <w:sz w:val="20"/>
                <w:szCs w:val="20"/>
              </w:rPr>
            </w:pPr>
            <w:r>
              <w:rPr>
                <w:rFonts w:ascii="宋体" w:hAnsi="宋体" w:eastAsia="宋体" w:cs="宋体"/>
                <w:spacing w:val="15"/>
                <w:sz w:val="20"/>
                <w:szCs w:val="20"/>
              </w:rPr>
              <w:t>溶</w:t>
            </w:r>
            <w:r>
              <w:rPr>
                <w:rFonts w:ascii="宋体" w:hAnsi="宋体" w:eastAsia="宋体" w:cs="宋体"/>
                <w:spacing w:val="11"/>
                <w:sz w:val="20"/>
                <w:szCs w:val="20"/>
              </w:rPr>
              <w:t>解性：与水混溶，溶于甲醇、乙醇、乙醚、</w:t>
            </w:r>
            <w:r>
              <w:rPr>
                <w:rFonts w:ascii="宋体" w:hAnsi="宋体" w:eastAsia="宋体" w:cs="宋体"/>
                <w:sz w:val="20"/>
                <w:szCs w:val="20"/>
              </w:rPr>
              <w:t xml:space="preserve"> </w:t>
            </w:r>
            <w:r>
              <w:rPr>
                <w:rFonts w:ascii="宋体" w:hAnsi="宋体" w:eastAsia="宋体" w:cs="宋体"/>
                <w:spacing w:val="9"/>
                <w:sz w:val="20"/>
                <w:szCs w:val="20"/>
              </w:rPr>
              <w:t>苯</w:t>
            </w:r>
            <w:r>
              <w:rPr>
                <w:rFonts w:ascii="宋体" w:hAnsi="宋体" w:eastAsia="宋体" w:cs="宋体"/>
                <w:spacing w:val="7"/>
                <w:sz w:val="20"/>
                <w:szCs w:val="20"/>
              </w:rPr>
              <w:t>，不溶于烃类。</w:t>
            </w:r>
          </w:p>
        </w:tc>
      </w:tr>
      <w:tr w14:paraId="35EF9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890" w:type="dxa"/>
            <w:vMerge w:val="continue"/>
            <w:tcBorders>
              <w:top w:val="nil"/>
              <w:left w:val="nil"/>
              <w:bottom w:val="nil"/>
            </w:tcBorders>
            <w:vAlign w:val="top"/>
          </w:tcPr>
          <w:p w14:paraId="63E75559">
            <w:pPr>
              <w:rPr>
                <w:rFonts w:ascii="Arial"/>
                <w:sz w:val="21"/>
              </w:rPr>
            </w:pPr>
          </w:p>
        </w:tc>
        <w:tc>
          <w:tcPr>
            <w:tcW w:w="3315" w:type="dxa"/>
            <w:vAlign w:val="top"/>
          </w:tcPr>
          <w:p w14:paraId="1F0BFBAC">
            <w:pPr>
              <w:spacing w:before="1" w:line="266" w:lineRule="exact"/>
              <w:ind w:left="26"/>
              <w:rPr>
                <w:rFonts w:ascii="宋体" w:hAnsi="宋体" w:eastAsia="宋体" w:cs="宋体"/>
                <w:sz w:val="19"/>
                <w:szCs w:val="19"/>
              </w:rPr>
            </w:pPr>
            <w:r>
              <w:rPr>
                <w:rFonts w:ascii="宋体" w:hAnsi="宋体" w:eastAsia="宋体" w:cs="宋体"/>
                <w:spacing w:val="17"/>
                <w:position w:val="1"/>
                <w:sz w:val="19"/>
                <w:szCs w:val="19"/>
              </w:rPr>
              <w:t>饱</w:t>
            </w:r>
            <w:r>
              <w:rPr>
                <w:rFonts w:ascii="宋体" w:hAnsi="宋体" w:eastAsia="宋体" w:cs="宋体"/>
                <w:spacing w:val="13"/>
                <w:position w:val="1"/>
                <w:sz w:val="19"/>
                <w:szCs w:val="19"/>
              </w:rPr>
              <w:t>和蒸汽压</w:t>
            </w:r>
            <w:r>
              <w:rPr>
                <w:rFonts w:ascii="Times New Roman" w:hAnsi="Times New Roman" w:eastAsia="Times New Roman" w:cs="Times New Roman"/>
                <w:spacing w:val="13"/>
                <w:position w:val="1"/>
                <w:sz w:val="19"/>
                <w:szCs w:val="19"/>
              </w:rPr>
              <w:t>/</w:t>
            </w:r>
            <w:r>
              <w:rPr>
                <w:rFonts w:ascii="Times New Roman" w:hAnsi="Times New Roman" w:eastAsia="Times New Roman" w:cs="Times New Roman"/>
                <w:position w:val="1"/>
                <w:sz w:val="19"/>
                <w:szCs w:val="19"/>
              </w:rPr>
              <w:t>kPa</w:t>
            </w:r>
            <w:r>
              <w:rPr>
                <w:rFonts w:ascii="宋体" w:hAnsi="宋体" w:eastAsia="宋体" w:cs="宋体"/>
                <w:spacing w:val="13"/>
                <w:position w:val="1"/>
                <w:sz w:val="19"/>
                <w:szCs w:val="19"/>
              </w:rPr>
              <w:t>：</w:t>
            </w:r>
            <w:r>
              <w:rPr>
                <w:rFonts w:ascii="Times New Roman" w:hAnsi="Times New Roman" w:eastAsia="Times New Roman" w:cs="Times New Roman"/>
                <w:spacing w:val="13"/>
                <w:position w:val="1"/>
                <w:sz w:val="19"/>
                <w:szCs w:val="19"/>
              </w:rPr>
              <w:t xml:space="preserve">30 66  </w:t>
            </w:r>
            <w:r>
              <w:rPr>
                <w:rFonts w:ascii="宋体" w:hAnsi="宋体" w:eastAsia="宋体" w:cs="宋体"/>
                <w:spacing w:val="13"/>
                <w:position w:val="1"/>
                <w:sz w:val="19"/>
                <w:szCs w:val="19"/>
              </w:rPr>
              <w:t>(</w:t>
            </w:r>
            <w:r>
              <w:rPr>
                <w:rFonts w:ascii="Times New Roman" w:hAnsi="Times New Roman" w:eastAsia="Times New Roman" w:cs="Times New Roman"/>
                <w:spacing w:val="13"/>
                <w:position w:val="1"/>
                <w:sz w:val="19"/>
                <w:szCs w:val="19"/>
              </w:rPr>
              <w:t>21℃</w:t>
            </w:r>
            <w:r>
              <w:rPr>
                <w:rFonts w:ascii="宋体" w:hAnsi="宋体" w:eastAsia="宋体" w:cs="宋体"/>
                <w:spacing w:val="13"/>
                <w:position w:val="1"/>
                <w:sz w:val="19"/>
                <w:szCs w:val="19"/>
              </w:rPr>
              <w:t>)</w:t>
            </w:r>
          </w:p>
        </w:tc>
        <w:tc>
          <w:tcPr>
            <w:tcW w:w="4317" w:type="dxa"/>
            <w:tcBorders>
              <w:right w:val="nil"/>
            </w:tcBorders>
            <w:vAlign w:val="top"/>
          </w:tcPr>
          <w:p w14:paraId="7D19DFA3">
            <w:pPr>
              <w:spacing w:before="1" w:line="266" w:lineRule="exact"/>
              <w:ind w:left="29"/>
              <w:rPr>
                <w:rFonts w:ascii="Times New Roman" w:hAnsi="Times New Roman" w:eastAsia="Times New Roman" w:cs="Times New Roman"/>
                <w:sz w:val="19"/>
                <w:szCs w:val="19"/>
              </w:rPr>
            </w:pPr>
            <w:r>
              <w:rPr>
                <w:rFonts w:ascii="宋体" w:hAnsi="宋体" w:eastAsia="宋体" w:cs="宋体"/>
                <w:spacing w:val="13"/>
                <w:position w:val="1"/>
                <w:sz w:val="19"/>
                <w:szCs w:val="19"/>
              </w:rPr>
              <w:t>相对密度 (水</w:t>
            </w:r>
            <w:r>
              <w:rPr>
                <w:rFonts w:ascii="Times New Roman" w:hAnsi="Times New Roman" w:eastAsia="Times New Roman" w:cs="Times New Roman"/>
                <w:spacing w:val="13"/>
                <w:position w:val="1"/>
                <w:sz w:val="19"/>
                <w:szCs w:val="19"/>
              </w:rPr>
              <w:t>=1</w:t>
            </w:r>
            <w:r>
              <w:rPr>
                <w:rFonts w:ascii="宋体" w:hAnsi="宋体" w:eastAsia="宋体" w:cs="宋体"/>
                <w:spacing w:val="13"/>
                <w:position w:val="1"/>
                <w:sz w:val="19"/>
                <w:szCs w:val="19"/>
              </w:rPr>
              <w:t>) ：</w:t>
            </w:r>
            <w:r>
              <w:rPr>
                <w:rFonts w:ascii="Times New Roman" w:hAnsi="Times New Roman" w:eastAsia="Times New Roman" w:cs="Times New Roman"/>
                <w:spacing w:val="13"/>
                <w:position w:val="1"/>
                <w:sz w:val="19"/>
                <w:szCs w:val="19"/>
              </w:rPr>
              <w:t>0 9</w:t>
            </w:r>
            <w:r>
              <w:rPr>
                <w:rFonts w:ascii="Times New Roman" w:hAnsi="Times New Roman" w:eastAsia="Times New Roman" w:cs="Times New Roman"/>
                <w:spacing w:val="11"/>
                <w:position w:val="1"/>
                <w:sz w:val="19"/>
                <w:szCs w:val="19"/>
              </w:rPr>
              <w:t>2</w:t>
            </w:r>
          </w:p>
        </w:tc>
      </w:tr>
      <w:tr w14:paraId="22E3B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0" w:type="dxa"/>
            <w:vMerge w:val="continue"/>
            <w:tcBorders>
              <w:top w:val="nil"/>
              <w:left w:val="nil"/>
            </w:tcBorders>
            <w:vAlign w:val="top"/>
          </w:tcPr>
          <w:p w14:paraId="10FF0BAD">
            <w:pPr>
              <w:rPr>
                <w:rFonts w:ascii="Arial"/>
                <w:sz w:val="21"/>
              </w:rPr>
            </w:pPr>
          </w:p>
        </w:tc>
        <w:tc>
          <w:tcPr>
            <w:tcW w:w="3315" w:type="dxa"/>
            <w:vAlign w:val="top"/>
          </w:tcPr>
          <w:p w14:paraId="3F0E7B4F">
            <w:pPr>
              <w:spacing w:before="60" w:line="228" w:lineRule="auto"/>
              <w:ind w:left="27"/>
              <w:rPr>
                <w:rFonts w:ascii="宋体" w:hAnsi="宋体" w:eastAsia="宋体" w:cs="宋体"/>
                <w:sz w:val="20"/>
                <w:szCs w:val="20"/>
              </w:rPr>
            </w:pPr>
            <w:r>
              <w:rPr>
                <w:rFonts w:ascii="宋体" w:hAnsi="宋体" w:eastAsia="宋体" w:cs="宋体"/>
                <w:spacing w:val="13"/>
                <w:sz w:val="20"/>
                <w:szCs w:val="20"/>
              </w:rPr>
              <w:t>禁</w:t>
            </w:r>
            <w:r>
              <w:rPr>
                <w:rFonts w:ascii="宋体" w:hAnsi="宋体" w:eastAsia="宋体" w:cs="宋体"/>
                <w:spacing w:val="8"/>
                <w:sz w:val="20"/>
                <w:szCs w:val="20"/>
              </w:rPr>
              <w:t>忌物：强氧化剂</w:t>
            </w:r>
          </w:p>
        </w:tc>
        <w:tc>
          <w:tcPr>
            <w:tcW w:w="4317" w:type="dxa"/>
            <w:tcBorders>
              <w:right w:val="nil"/>
            </w:tcBorders>
            <w:vAlign w:val="top"/>
          </w:tcPr>
          <w:p w14:paraId="30D07B19">
            <w:pPr>
              <w:spacing w:before="23" w:line="281" w:lineRule="exact"/>
              <w:ind w:left="44"/>
              <w:rPr>
                <w:rFonts w:ascii="Times New Roman" w:hAnsi="Times New Roman" w:eastAsia="Times New Roman" w:cs="Times New Roman"/>
                <w:sz w:val="20"/>
                <w:szCs w:val="20"/>
              </w:rPr>
            </w:pPr>
            <w:r>
              <w:rPr>
                <w:rFonts w:ascii="宋体" w:hAnsi="宋体" w:eastAsia="宋体" w:cs="宋体"/>
                <w:spacing w:val="6"/>
                <w:position w:val="2"/>
                <w:sz w:val="20"/>
                <w:szCs w:val="20"/>
              </w:rPr>
              <w:t>引燃温度</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510(</w:t>
            </w:r>
            <w:r>
              <w:rPr>
                <w:rFonts w:ascii="宋体" w:hAnsi="宋体" w:eastAsia="宋体" w:cs="宋体"/>
                <w:spacing w:val="6"/>
                <w:position w:val="2"/>
                <w:sz w:val="20"/>
                <w:szCs w:val="20"/>
              </w:rPr>
              <w:t>粉云</w:t>
            </w:r>
            <w:r>
              <w:rPr>
                <w:rFonts w:ascii="Times New Roman" w:hAnsi="Times New Roman" w:eastAsia="Times New Roman" w:cs="Times New Roman"/>
                <w:spacing w:val="4"/>
                <w:position w:val="2"/>
                <w:sz w:val="20"/>
                <w:szCs w:val="20"/>
              </w:rPr>
              <w:t>)</w:t>
            </w:r>
          </w:p>
        </w:tc>
      </w:tr>
      <w:tr w14:paraId="0DAE5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90" w:type="dxa"/>
            <w:vMerge w:val="restart"/>
            <w:tcBorders>
              <w:left w:val="nil"/>
              <w:bottom w:val="nil"/>
            </w:tcBorders>
            <w:vAlign w:val="top"/>
          </w:tcPr>
          <w:p w14:paraId="77EAF876">
            <w:pPr>
              <w:spacing w:line="403" w:lineRule="auto"/>
              <w:rPr>
                <w:rFonts w:ascii="Arial"/>
                <w:sz w:val="21"/>
              </w:rPr>
            </w:pPr>
          </w:p>
          <w:p w14:paraId="50048B22">
            <w:pPr>
              <w:spacing w:before="65" w:line="267" w:lineRule="auto"/>
              <w:ind w:left="139" w:right="20" w:hanging="10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燃</w:t>
            </w:r>
            <w:r>
              <w:rPr>
                <w:rFonts w:ascii="宋体" w:hAnsi="宋体" w:eastAsia="宋体" w:cs="宋体"/>
                <w:spacing w:val="8"/>
                <w:sz w:val="20"/>
                <w:szCs w:val="20"/>
                <w14:textOutline w14:w="3795" w14:cap="sq" w14:cmpd="sng">
                  <w14:solidFill>
                    <w14:srgbClr w14:val="000000"/>
                  </w14:solidFill>
                  <w14:prstDash w14:val="solid"/>
                  <w14:bevel/>
                </w14:textOutline>
              </w:rPr>
              <w:t>烧爆炸</w:t>
            </w:r>
            <w:r>
              <w:rPr>
                <w:rFonts w:ascii="宋体" w:hAnsi="宋体" w:eastAsia="宋体" w:cs="宋体"/>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危险</w:t>
            </w:r>
            <w:r>
              <w:rPr>
                <w:rFonts w:ascii="宋体" w:hAnsi="宋体" w:eastAsia="宋体" w:cs="宋体"/>
                <w:spacing w:val="6"/>
                <w:sz w:val="20"/>
                <w:szCs w:val="20"/>
                <w14:textOutline w14:w="3795" w14:cap="sq" w14:cmpd="sng">
                  <w14:solidFill>
                    <w14:srgbClr w14:val="000000"/>
                  </w14:solidFill>
                  <w14:prstDash w14:val="solid"/>
                  <w14:bevel/>
                </w14:textOutline>
              </w:rPr>
              <w:t>性</w:t>
            </w:r>
          </w:p>
        </w:tc>
        <w:tc>
          <w:tcPr>
            <w:tcW w:w="3315" w:type="dxa"/>
            <w:vAlign w:val="top"/>
          </w:tcPr>
          <w:p w14:paraId="0F6CC5C2">
            <w:pPr>
              <w:spacing w:before="39" w:line="227" w:lineRule="auto"/>
              <w:ind w:left="28"/>
              <w:rPr>
                <w:rFonts w:ascii="宋体" w:hAnsi="宋体" w:eastAsia="宋体" w:cs="宋体"/>
                <w:sz w:val="20"/>
                <w:szCs w:val="20"/>
              </w:rPr>
            </w:pPr>
            <w:r>
              <w:rPr>
                <w:rFonts w:ascii="宋体" w:hAnsi="宋体" w:eastAsia="宋体" w:cs="宋体"/>
                <w:spacing w:val="8"/>
                <w:sz w:val="20"/>
                <w:szCs w:val="20"/>
              </w:rPr>
              <w:t>燃烧性：可燃</w:t>
            </w:r>
          </w:p>
        </w:tc>
        <w:tc>
          <w:tcPr>
            <w:tcW w:w="4317" w:type="dxa"/>
            <w:tcBorders>
              <w:right w:val="nil"/>
            </w:tcBorders>
            <w:vAlign w:val="top"/>
          </w:tcPr>
          <w:p w14:paraId="68B15637">
            <w:pPr>
              <w:spacing w:before="2" w:line="281" w:lineRule="exact"/>
              <w:ind w:left="29"/>
              <w:rPr>
                <w:rFonts w:ascii="Times New Roman" w:hAnsi="Times New Roman" w:eastAsia="Times New Roman" w:cs="Times New Roman"/>
                <w:sz w:val="20"/>
                <w:szCs w:val="20"/>
              </w:rPr>
            </w:pPr>
            <w:r>
              <w:rPr>
                <w:rFonts w:ascii="宋体" w:hAnsi="宋体" w:eastAsia="宋体" w:cs="宋体"/>
                <w:spacing w:val="8"/>
                <w:position w:val="2"/>
                <w:sz w:val="20"/>
                <w:szCs w:val="20"/>
              </w:rPr>
              <w:t>爆</w:t>
            </w:r>
            <w:r>
              <w:rPr>
                <w:rFonts w:ascii="宋体" w:hAnsi="宋体" w:eastAsia="宋体" w:cs="宋体"/>
                <w:spacing w:val="7"/>
                <w:position w:val="2"/>
                <w:sz w:val="20"/>
                <w:szCs w:val="20"/>
              </w:rPr>
              <w:t>炸极限 (体积％) ：</w:t>
            </w:r>
            <w:r>
              <w:rPr>
                <w:rFonts w:ascii="Times New Roman" w:hAnsi="Times New Roman" w:eastAsia="Times New Roman" w:cs="Times New Roman"/>
                <w:spacing w:val="7"/>
                <w:position w:val="2"/>
                <w:sz w:val="20"/>
                <w:szCs w:val="20"/>
              </w:rPr>
              <w:t>30(</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2"/>
                <w:sz w:val="20"/>
                <w:szCs w:val="20"/>
              </w:rPr>
              <w:t>3)</w:t>
            </w:r>
          </w:p>
        </w:tc>
      </w:tr>
      <w:tr w14:paraId="290E0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90" w:type="dxa"/>
            <w:vMerge w:val="continue"/>
            <w:tcBorders>
              <w:top w:val="nil"/>
              <w:left w:val="nil"/>
              <w:bottom w:val="nil"/>
            </w:tcBorders>
            <w:vAlign w:val="top"/>
          </w:tcPr>
          <w:p w14:paraId="17E3CBC9">
            <w:pPr>
              <w:rPr>
                <w:rFonts w:ascii="Arial"/>
                <w:sz w:val="21"/>
              </w:rPr>
            </w:pPr>
          </w:p>
        </w:tc>
        <w:tc>
          <w:tcPr>
            <w:tcW w:w="7632" w:type="dxa"/>
            <w:gridSpan w:val="2"/>
            <w:tcBorders>
              <w:right w:val="nil"/>
            </w:tcBorders>
            <w:vAlign w:val="top"/>
          </w:tcPr>
          <w:p w14:paraId="2A4046FB">
            <w:pPr>
              <w:spacing w:before="41" w:line="235" w:lineRule="auto"/>
              <w:ind w:left="27" w:right="26" w:firstLine="2"/>
              <w:rPr>
                <w:rFonts w:ascii="宋体" w:hAnsi="宋体" w:eastAsia="宋体" w:cs="宋体"/>
                <w:sz w:val="20"/>
                <w:szCs w:val="20"/>
              </w:rPr>
            </w:pPr>
            <w:r>
              <w:rPr>
                <w:rFonts w:ascii="宋体" w:hAnsi="宋体" w:eastAsia="宋体" w:cs="宋体"/>
                <w:spacing w:val="20"/>
                <w:sz w:val="20"/>
                <w:szCs w:val="20"/>
              </w:rPr>
              <w:t>危</w:t>
            </w:r>
            <w:r>
              <w:rPr>
                <w:rFonts w:ascii="宋体" w:hAnsi="宋体" w:eastAsia="宋体" w:cs="宋体"/>
                <w:spacing w:val="13"/>
                <w:sz w:val="20"/>
                <w:szCs w:val="20"/>
              </w:rPr>
              <w:t>险</w:t>
            </w:r>
            <w:r>
              <w:rPr>
                <w:rFonts w:ascii="宋体" w:hAnsi="宋体" w:eastAsia="宋体" w:cs="宋体"/>
                <w:spacing w:val="10"/>
                <w:sz w:val="20"/>
                <w:szCs w:val="20"/>
              </w:rPr>
              <w:t>特性：受热分解放出易燃气体能与空气形成爆炸性混合物。粉体与空气可形成</w:t>
            </w:r>
            <w:r>
              <w:rPr>
                <w:rFonts w:ascii="宋体" w:hAnsi="宋体" w:eastAsia="宋体" w:cs="宋体"/>
                <w:sz w:val="20"/>
                <w:szCs w:val="20"/>
              </w:rPr>
              <w:t xml:space="preserve"> </w:t>
            </w:r>
            <w:r>
              <w:rPr>
                <w:rFonts w:ascii="宋体" w:hAnsi="宋体" w:eastAsia="宋体" w:cs="宋体"/>
                <w:spacing w:val="12"/>
                <w:sz w:val="20"/>
                <w:szCs w:val="20"/>
              </w:rPr>
              <w:t>爆</w:t>
            </w:r>
            <w:r>
              <w:rPr>
                <w:rFonts w:ascii="宋体" w:hAnsi="宋体" w:eastAsia="宋体" w:cs="宋体"/>
                <w:spacing w:val="8"/>
                <w:sz w:val="20"/>
                <w:szCs w:val="20"/>
              </w:rPr>
              <w:t>炸性混合物</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当达到一定浓度时</w:t>
            </w:r>
            <w:r>
              <w:rPr>
                <w:rFonts w:ascii="Times New Roman" w:hAnsi="Times New Roman" w:eastAsia="Times New Roman" w:cs="Times New Roman"/>
                <w:spacing w:val="8"/>
                <w:sz w:val="20"/>
                <w:szCs w:val="20"/>
              </w:rPr>
              <w:t>,</w:t>
            </w:r>
            <w:r>
              <w:rPr>
                <w:rFonts w:ascii="宋体" w:hAnsi="宋体" w:eastAsia="宋体" w:cs="宋体"/>
                <w:spacing w:val="8"/>
                <w:sz w:val="20"/>
                <w:szCs w:val="20"/>
              </w:rPr>
              <w:t>遇火星会发生爆炸。</w:t>
            </w:r>
          </w:p>
        </w:tc>
      </w:tr>
      <w:tr w14:paraId="76E8F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0" w:type="dxa"/>
            <w:vMerge w:val="continue"/>
            <w:tcBorders>
              <w:top w:val="nil"/>
              <w:left w:val="nil"/>
            </w:tcBorders>
            <w:vAlign w:val="top"/>
          </w:tcPr>
          <w:p w14:paraId="524B429C">
            <w:pPr>
              <w:rPr>
                <w:rFonts w:ascii="Arial"/>
                <w:sz w:val="21"/>
              </w:rPr>
            </w:pPr>
          </w:p>
        </w:tc>
        <w:tc>
          <w:tcPr>
            <w:tcW w:w="7632" w:type="dxa"/>
            <w:gridSpan w:val="2"/>
            <w:tcBorders>
              <w:right w:val="nil"/>
            </w:tcBorders>
            <w:vAlign w:val="top"/>
          </w:tcPr>
          <w:p w14:paraId="00392F67">
            <w:pPr>
              <w:spacing w:before="41" w:line="228" w:lineRule="auto"/>
              <w:ind w:left="30"/>
              <w:rPr>
                <w:rFonts w:ascii="宋体" w:hAnsi="宋体" w:eastAsia="宋体" w:cs="宋体"/>
                <w:sz w:val="20"/>
                <w:szCs w:val="20"/>
              </w:rPr>
            </w:pPr>
            <w:r>
              <w:rPr>
                <w:rFonts w:ascii="宋体" w:hAnsi="宋体" w:eastAsia="宋体" w:cs="宋体"/>
                <w:spacing w:val="9"/>
                <w:sz w:val="20"/>
                <w:szCs w:val="20"/>
              </w:rPr>
              <w:t>灭火方法：尽可能将容器从火场移至空旷处</w:t>
            </w:r>
            <w:r>
              <w:rPr>
                <w:rFonts w:ascii="宋体" w:hAnsi="宋体" w:eastAsia="宋体" w:cs="宋体"/>
                <w:spacing w:val="6"/>
                <w:sz w:val="20"/>
                <w:szCs w:val="20"/>
              </w:rPr>
              <w:t>。</w:t>
            </w:r>
          </w:p>
          <w:p w14:paraId="7B6DDD11">
            <w:pPr>
              <w:spacing w:before="24" w:line="227" w:lineRule="auto"/>
              <w:ind w:left="30"/>
              <w:rPr>
                <w:rFonts w:ascii="宋体" w:hAnsi="宋体" w:eastAsia="宋体" w:cs="宋体"/>
                <w:sz w:val="20"/>
                <w:szCs w:val="20"/>
              </w:rPr>
            </w:pPr>
            <w:r>
              <w:rPr>
                <w:rFonts w:ascii="宋体" w:hAnsi="宋体" w:eastAsia="宋体" w:cs="宋体"/>
                <w:spacing w:val="9"/>
                <w:sz w:val="20"/>
                <w:szCs w:val="20"/>
              </w:rPr>
              <w:t>灭火剂：雾状水、泡沫、干粉、二氧化碳、砂土</w:t>
            </w:r>
            <w:r>
              <w:rPr>
                <w:rFonts w:ascii="宋体" w:hAnsi="宋体" w:eastAsia="宋体" w:cs="宋体"/>
                <w:spacing w:val="8"/>
                <w:sz w:val="20"/>
                <w:szCs w:val="20"/>
              </w:rPr>
              <w:t>。</w:t>
            </w:r>
          </w:p>
        </w:tc>
      </w:tr>
      <w:tr w14:paraId="3B2C9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90" w:type="dxa"/>
            <w:tcBorders>
              <w:left w:val="nil"/>
            </w:tcBorders>
            <w:vAlign w:val="top"/>
          </w:tcPr>
          <w:p w14:paraId="15FD21BC">
            <w:pPr>
              <w:spacing w:before="41" w:line="228" w:lineRule="auto"/>
              <w:ind w:left="3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接触限</w:t>
            </w:r>
            <w:r>
              <w:rPr>
                <w:rFonts w:ascii="宋体" w:hAnsi="宋体" w:eastAsia="宋体" w:cs="宋体"/>
                <w:spacing w:val="8"/>
                <w:sz w:val="20"/>
                <w:szCs w:val="20"/>
                <w14:textOutline w14:w="3795" w14:cap="sq" w14:cmpd="sng">
                  <w14:solidFill>
                    <w14:srgbClr w14:val="000000"/>
                  </w14:solidFill>
                  <w14:prstDash w14:val="solid"/>
                  <w14:bevel/>
                </w14:textOutline>
              </w:rPr>
              <w:t>值</w:t>
            </w:r>
          </w:p>
        </w:tc>
        <w:tc>
          <w:tcPr>
            <w:tcW w:w="7632" w:type="dxa"/>
            <w:gridSpan w:val="2"/>
            <w:tcBorders>
              <w:right w:val="nil"/>
            </w:tcBorders>
            <w:vAlign w:val="top"/>
          </w:tcPr>
          <w:p w14:paraId="3778E8A2">
            <w:pPr>
              <w:spacing w:before="4" w:line="281" w:lineRule="exact"/>
              <w:ind w:left="47"/>
              <w:rPr>
                <w:rFonts w:ascii="Times New Roman" w:hAnsi="Times New Roman" w:eastAsia="Times New Roman" w:cs="Times New Roman"/>
                <w:sz w:val="20"/>
                <w:szCs w:val="20"/>
              </w:rPr>
            </w:pPr>
            <w:r>
              <w:rPr>
                <w:rFonts w:ascii="宋体" w:hAnsi="宋体" w:eastAsia="宋体" w:cs="宋体"/>
                <w:spacing w:val="4"/>
                <w:position w:val="2"/>
                <w:sz w:val="20"/>
                <w:szCs w:val="20"/>
              </w:rPr>
              <w:t xml:space="preserve">中国 </w:t>
            </w:r>
            <w:r>
              <w:rPr>
                <w:rFonts w:ascii="Times New Roman" w:hAnsi="Times New Roman" w:eastAsia="Times New Roman" w:cs="Times New Roman"/>
                <w:position w:val="2"/>
                <w:sz w:val="20"/>
                <w:szCs w:val="20"/>
              </w:rPr>
              <w:t>MAC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4"/>
                <w:position w:val="8"/>
                <w:sz w:val="13"/>
                <w:szCs w:val="13"/>
              </w:rPr>
              <w:t xml:space="preserve">3 </w:t>
            </w:r>
            <w:r>
              <w:rPr>
                <w:rFonts w:ascii="宋体" w:hAnsi="宋体" w:eastAsia="宋体" w:cs="宋体"/>
                <w:spacing w:val="4"/>
                <w:position w:val="2"/>
                <w:sz w:val="20"/>
                <w:szCs w:val="20"/>
              </w:rPr>
              <w:t xml:space="preserve">) </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3"/>
                <w:position w:val="2"/>
                <w:sz w:val="20"/>
                <w:szCs w:val="20"/>
              </w:rPr>
              <w:t xml:space="preserve"> </w:t>
            </w:r>
            <w:r>
              <w:rPr>
                <w:rFonts w:ascii="Times New Roman" w:hAnsi="Times New Roman" w:eastAsia="Times New Roman" w:cs="Times New Roman"/>
                <w:spacing w:val="2"/>
                <w:position w:val="2"/>
                <w:sz w:val="20"/>
                <w:szCs w:val="20"/>
              </w:rPr>
              <w:t xml:space="preserve">10  </w:t>
            </w:r>
            <w:r>
              <w:rPr>
                <w:rFonts w:ascii="宋体" w:hAnsi="宋体" w:eastAsia="宋体" w:cs="宋体"/>
                <w:spacing w:val="2"/>
                <w:position w:val="2"/>
                <w:sz w:val="20"/>
                <w:szCs w:val="20"/>
              </w:rPr>
              <w:t xml:space="preserve">(建议值)        前苏联 </w:t>
            </w:r>
            <w:r>
              <w:rPr>
                <w:rFonts w:ascii="Times New Roman" w:hAnsi="Times New Roman" w:eastAsia="Times New Roman" w:cs="Times New Roman"/>
                <w:position w:val="2"/>
                <w:sz w:val="20"/>
                <w:szCs w:val="20"/>
              </w:rPr>
              <w:t>MAC</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2"/>
                <w:position w:val="8"/>
                <w:sz w:val="13"/>
                <w:szCs w:val="13"/>
              </w:rPr>
              <w:t xml:space="preserve">3 </w:t>
            </w:r>
            <w:r>
              <w:rPr>
                <w:rFonts w:ascii="宋体" w:hAnsi="宋体" w:eastAsia="宋体" w:cs="宋体"/>
                <w:spacing w:val="2"/>
                <w:position w:val="2"/>
                <w:sz w:val="20"/>
                <w:szCs w:val="20"/>
              </w:rPr>
              <w:t xml:space="preserve">) </w:t>
            </w:r>
            <w:r>
              <w:rPr>
                <w:rFonts w:ascii="Times New Roman" w:hAnsi="Times New Roman" w:eastAsia="Times New Roman" w:cs="Times New Roman"/>
                <w:spacing w:val="2"/>
                <w:position w:val="2"/>
                <w:sz w:val="20"/>
                <w:szCs w:val="20"/>
              </w:rPr>
              <w:t>: 10</w:t>
            </w:r>
          </w:p>
        </w:tc>
      </w:tr>
      <w:tr w14:paraId="5D587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890" w:type="dxa"/>
            <w:tcBorders>
              <w:left w:val="nil"/>
            </w:tcBorders>
            <w:vAlign w:val="top"/>
          </w:tcPr>
          <w:p w14:paraId="4101937D">
            <w:pPr>
              <w:spacing w:before="42" w:line="228" w:lineRule="auto"/>
              <w:ind w:left="3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健</w:t>
            </w:r>
            <w:r>
              <w:rPr>
                <w:rFonts w:ascii="宋体" w:hAnsi="宋体" w:eastAsia="宋体" w:cs="宋体"/>
                <w:spacing w:val="8"/>
                <w:sz w:val="20"/>
                <w:szCs w:val="20"/>
                <w14:textOutline w14:w="3795" w14:cap="sq" w14:cmpd="sng">
                  <w14:solidFill>
                    <w14:srgbClr w14:val="000000"/>
                  </w14:solidFill>
                  <w14:prstDash w14:val="solid"/>
                  <w14:bevel/>
                </w14:textOutline>
              </w:rPr>
              <w:t>康危害</w:t>
            </w:r>
          </w:p>
        </w:tc>
        <w:tc>
          <w:tcPr>
            <w:tcW w:w="7632" w:type="dxa"/>
            <w:gridSpan w:val="2"/>
            <w:tcBorders>
              <w:right w:val="nil"/>
            </w:tcBorders>
            <w:vAlign w:val="top"/>
          </w:tcPr>
          <w:p w14:paraId="01497BC2">
            <w:pPr>
              <w:spacing w:before="42" w:line="228" w:lineRule="auto"/>
              <w:ind w:left="27"/>
              <w:rPr>
                <w:rFonts w:ascii="宋体" w:hAnsi="宋体" w:eastAsia="宋体" w:cs="宋体"/>
                <w:sz w:val="20"/>
                <w:szCs w:val="20"/>
              </w:rPr>
            </w:pPr>
            <w:r>
              <w:rPr>
                <w:rFonts w:ascii="宋体" w:hAnsi="宋体" w:eastAsia="宋体" w:cs="宋体"/>
                <w:spacing w:val="18"/>
                <w:sz w:val="20"/>
                <w:szCs w:val="20"/>
              </w:rPr>
              <w:t>健</w:t>
            </w:r>
            <w:r>
              <w:rPr>
                <w:rFonts w:ascii="宋体" w:hAnsi="宋体" w:eastAsia="宋体" w:cs="宋体"/>
                <w:spacing w:val="17"/>
                <w:sz w:val="20"/>
                <w:szCs w:val="20"/>
              </w:rPr>
              <w:t>康</w:t>
            </w:r>
            <w:r>
              <w:rPr>
                <w:rFonts w:ascii="宋体" w:hAnsi="宋体" w:eastAsia="宋体" w:cs="宋体"/>
                <w:spacing w:val="9"/>
                <w:sz w:val="20"/>
                <w:szCs w:val="20"/>
              </w:rPr>
              <w:t>危害：其热解产物对呼吸道有刺激作用。本身基本无毒</w:t>
            </w:r>
          </w:p>
        </w:tc>
      </w:tr>
    </w:tbl>
    <w:p w14:paraId="29BCB78F">
      <w:pPr>
        <w:rPr>
          <w:rFonts w:ascii="Arial"/>
          <w:sz w:val="21"/>
        </w:rPr>
      </w:pPr>
    </w:p>
    <w:p w14:paraId="66A4F08C">
      <w:pPr>
        <w:sectPr>
          <w:headerReference r:id="rId295" w:type="default"/>
          <w:footerReference r:id="rId296" w:type="default"/>
          <w:pgSz w:w="11906" w:h="16839"/>
          <w:pgMar w:top="1132" w:right="1691" w:bottom="1182" w:left="1691" w:header="878" w:footer="1022" w:gutter="0"/>
          <w:cols w:space="720" w:num="1"/>
        </w:sectPr>
      </w:pPr>
    </w:p>
    <w:p w14:paraId="5A9A6870">
      <w:pPr>
        <w:spacing w:line="409" w:lineRule="auto"/>
        <w:rPr>
          <w:rFonts w:ascii="Arial"/>
          <w:sz w:val="21"/>
        </w:rPr>
      </w:pPr>
      <w:r>
        <w:pict>
          <v:shape id="_x0000_s1362" o:spid="_x0000_s1362" style="position:absolute;left:0pt;margin-left:90pt;margin-top:57.35pt;height:0.75pt;width:415.3pt;mso-position-horizontal-relative:page;mso-position-vertical-relative:page;z-index:252054528;mso-width-relative:page;mso-height-relative:page;" fillcolor="#000000" filled="t" stroked="f" coordsize="8305,15" o:allowincell="f" path="m0,0l8305,0,8305,14,0,14,0,0xe">
            <v:path/>
            <v:fill on="t" focussize="0,0"/>
            <v:stroke on="f"/>
            <v:imagedata o:title=""/>
            <o:lock v:ext="edit"/>
          </v:shape>
        </w:pict>
      </w:r>
    </w:p>
    <w:p w14:paraId="2BFE1156">
      <w:pPr>
        <w:spacing w:before="74" w:line="227" w:lineRule="auto"/>
        <w:ind w:left="239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4"/>
          <w:sz w:val="23"/>
          <w:szCs w:val="23"/>
        </w:rPr>
        <w:t>7-6</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聚丙烯理化性质及危险性</w:t>
      </w:r>
    </w:p>
    <w:p w14:paraId="0754EF34">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2"/>
        <w:gridCol w:w="1915"/>
        <w:gridCol w:w="2171"/>
        <w:gridCol w:w="2044"/>
      </w:tblGrid>
      <w:tr w14:paraId="3D51C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392" w:type="dxa"/>
            <w:tcBorders>
              <w:left w:val="nil"/>
            </w:tcBorders>
            <w:vAlign w:val="top"/>
          </w:tcPr>
          <w:p w14:paraId="697B3000">
            <w:pPr>
              <w:spacing w:before="76" w:line="228" w:lineRule="auto"/>
              <w:ind w:left="80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中</w:t>
            </w:r>
            <w:r>
              <w:rPr>
                <w:rFonts w:ascii="宋体" w:hAnsi="宋体" w:eastAsia="宋体" w:cs="宋体"/>
                <w:spacing w:val="3"/>
                <w:sz w:val="20"/>
                <w:szCs w:val="20"/>
                <w14:textOutline w14:w="3795" w14:cap="sq" w14:cmpd="sng">
                  <w14:solidFill>
                    <w14:srgbClr w14:val="000000"/>
                  </w14:solidFill>
                  <w14:prstDash w14:val="solid"/>
                  <w14:bevel/>
                </w14:textOutline>
              </w:rPr>
              <w:t>文名称</w:t>
            </w:r>
          </w:p>
        </w:tc>
        <w:tc>
          <w:tcPr>
            <w:tcW w:w="1915" w:type="dxa"/>
            <w:vAlign w:val="top"/>
          </w:tcPr>
          <w:p w14:paraId="3AE95DBE">
            <w:pPr>
              <w:spacing w:before="75" w:line="228" w:lineRule="auto"/>
              <w:ind w:left="655"/>
              <w:rPr>
                <w:rFonts w:ascii="宋体" w:hAnsi="宋体" w:eastAsia="宋体" w:cs="宋体"/>
                <w:sz w:val="20"/>
                <w:szCs w:val="20"/>
              </w:rPr>
            </w:pPr>
            <w:r>
              <w:rPr>
                <w:rFonts w:ascii="宋体" w:hAnsi="宋体" w:eastAsia="宋体" w:cs="宋体"/>
                <w:spacing w:val="4"/>
                <w:sz w:val="20"/>
                <w:szCs w:val="20"/>
              </w:rPr>
              <w:t>聚丙烯</w:t>
            </w:r>
          </w:p>
        </w:tc>
        <w:tc>
          <w:tcPr>
            <w:tcW w:w="2171" w:type="dxa"/>
            <w:vAlign w:val="top"/>
          </w:tcPr>
          <w:p w14:paraId="587E2A89">
            <w:pPr>
              <w:spacing w:before="76" w:line="228" w:lineRule="auto"/>
              <w:ind w:left="6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英</w:t>
            </w:r>
            <w:r>
              <w:rPr>
                <w:rFonts w:ascii="宋体" w:hAnsi="宋体" w:eastAsia="宋体" w:cs="宋体"/>
                <w:spacing w:val="8"/>
                <w:sz w:val="20"/>
                <w:szCs w:val="20"/>
                <w14:textOutline w14:w="3795" w14:cap="sq" w14:cmpd="sng">
                  <w14:solidFill>
                    <w14:srgbClr w14:val="000000"/>
                  </w14:solidFill>
                  <w14:prstDash w14:val="solid"/>
                  <w14:bevel/>
                </w14:textOutline>
              </w:rPr>
              <w:t>文名称</w:t>
            </w:r>
          </w:p>
        </w:tc>
        <w:tc>
          <w:tcPr>
            <w:tcW w:w="2044" w:type="dxa"/>
            <w:tcBorders>
              <w:right w:val="nil"/>
            </w:tcBorders>
            <w:vAlign w:val="top"/>
          </w:tcPr>
          <w:p w14:paraId="79A085E3">
            <w:pPr>
              <w:spacing w:before="38" w:line="281"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p</w:t>
            </w:r>
            <w:r>
              <w:rPr>
                <w:rFonts w:ascii="Times New Roman" w:hAnsi="Times New Roman" w:eastAsia="Times New Roman" w:cs="Times New Roman"/>
                <w:spacing w:val="6"/>
                <w:position w:val="4"/>
                <w:sz w:val="20"/>
                <w:szCs w:val="20"/>
              </w:rPr>
              <w:t>o</w:t>
            </w:r>
            <w:r>
              <w:rPr>
                <w:rFonts w:ascii="Times New Roman" w:hAnsi="Times New Roman" w:eastAsia="Times New Roman" w:cs="Times New Roman"/>
                <w:spacing w:val="4"/>
                <w:position w:val="4"/>
                <w:sz w:val="20"/>
                <w:szCs w:val="20"/>
              </w:rPr>
              <w:t>lypropylene</w:t>
            </w:r>
          </w:p>
        </w:tc>
      </w:tr>
      <w:tr w14:paraId="69D23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92" w:type="dxa"/>
            <w:tcBorders>
              <w:left w:val="nil"/>
            </w:tcBorders>
            <w:vAlign w:val="top"/>
          </w:tcPr>
          <w:p w14:paraId="2310E9D8">
            <w:pPr>
              <w:spacing w:before="51" w:line="228" w:lineRule="auto"/>
              <w:ind w:left="99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别</w:t>
            </w:r>
            <w:r>
              <w:rPr>
                <w:rFonts w:ascii="宋体" w:hAnsi="宋体" w:eastAsia="宋体" w:cs="宋体"/>
                <w:spacing w:val="4"/>
                <w:sz w:val="20"/>
                <w:szCs w:val="20"/>
                <w14:textOutline w14:w="3795" w14:cap="sq" w14:cmpd="sng">
                  <w14:solidFill>
                    <w14:srgbClr w14:val="000000"/>
                  </w14:solidFill>
                  <w14:prstDash w14:val="solid"/>
                  <w14:bevel/>
                </w14:textOutline>
              </w:rPr>
              <w:t>名</w:t>
            </w:r>
          </w:p>
        </w:tc>
        <w:tc>
          <w:tcPr>
            <w:tcW w:w="1915" w:type="dxa"/>
            <w:vAlign w:val="top"/>
          </w:tcPr>
          <w:p w14:paraId="41B8AC92">
            <w:pPr>
              <w:spacing w:before="176" w:line="140"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10"/>
                <w:position w:val="-1"/>
                <w:sz w:val="20"/>
                <w:szCs w:val="20"/>
              </w:rPr>
              <w:t>—</w:t>
            </w:r>
          </w:p>
        </w:tc>
        <w:tc>
          <w:tcPr>
            <w:tcW w:w="2171" w:type="dxa"/>
            <w:vAlign w:val="top"/>
          </w:tcPr>
          <w:p w14:paraId="422C52C2">
            <w:pPr>
              <w:spacing w:before="51" w:line="229" w:lineRule="auto"/>
              <w:ind w:left="750"/>
              <w:rPr>
                <w:rFonts w:ascii="宋体" w:hAnsi="宋体" w:eastAsia="宋体" w:cs="宋体"/>
                <w:sz w:val="20"/>
                <w:szCs w:val="20"/>
              </w:rPr>
            </w:pPr>
            <w:r>
              <w:rPr>
                <w:rFonts w:ascii="Times New Roman" w:hAnsi="Times New Roman" w:eastAsia="Times New Roman" w:cs="Times New Roman"/>
                <w:b/>
                <w:bCs/>
                <w:sz w:val="20"/>
                <w:szCs w:val="20"/>
              </w:rPr>
              <w:t>CAS</w:t>
            </w:r>
            <w:r>
              <w:rPr>
                <w:rFonts w:ascii="Times New Roman" w:hAnsi="Times New Roman" w:eastAsia="Times New Roman" w:cs="Times New Roman"/>
                <w:spacing w:val="14"/>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号</w:t>
            </w:r>
          </w:p>
        </w:tc>
        <w:tc>
          <w:tcPr>
            <w:tcW w:w="2044" w:type="dxa"/>
            <w:tcBorders>
              <w:right w:val="nil"/>
            </w:tcBorders>
            <w:vAlign w:val="top"/>
          </w:tcPr>
          <w:p w14:paraId="5C7E114E">
            <w:pPr>
              <w:spacing w:before="87"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w:t>
            </w:r>
            <w:r>
              <w:rPr>
                <w:rFonts w:ascii="Times New Roman" w:hAnsi="Times New Roman" w:eastAsia="Times New Roman" w:cs="Times New Roman"/>
                <w:spacing w:val="3"/>
                <w:sz w:val="20"/>
                <w:szCs w:val="20"/>
              </w:rPr>
              <w:t>003-07-0</w:t>
            </w:r>
          </w:p>
        </w:tc>
      </w:tr>
      <w:tr w14:paraId="575AC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92" w:type="dxa"/>
            <w:tcBorders>
              <w:left w:val="nil"/>
            </w:tcBorders>
            <w:vAlign w:val="top"/>
          </w:tcPr>
          <w:p w14:paraId="3D8AD333">
            <w:pPr>
              <w:spacing w:before="53" w:line="228" w:lineRule="auto"/>
              <w:ind w:left="89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分子</w:t>
            </w:r>
            <w:r>
              <w:rPr>
                <w:rFonts w:ascii="宋体" w:hAnsi="宋体" w:eastAsia="宋体" w:cs="宋体"/>
                <w:spacing w:val="6"/>
                <w:sz w:val="20"/>
                <w:szCs w:val="20"/>
                <w14:textOutline w14:w="3795" w14:cap="sq" w14:cmpd="sng">
                  <w14:solidFill>
                    <w14:srgbClr w14:val="000000"/>
                  </w14:solidFill>
                  <w14:prstDash w14:val="solid"/>
                  <w14:bevel/>
                </w14:textOutline>
              </w:rPr>
              <w:t>式</w:t>
            </w:r>
          </w:p>
        </w:tc>
        <w:tc>
          <w:tcPr>
            <w:tcW w:w="1915" w:type="dxa"/>
            <w:vAlign w:val="top"/>
          </w:tcPr>
          <w:p w14:paraId="79D2D9D3">
            <w:pPr>
              <w:spacing w:before="52" w:line="231" w:lineRule="auto"/>
              <w:ind w:left="496"/>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15"/>
                <w:position w:val="-1"/>
                <w:sz w:val="13"/>
                <w:szCs w:val="13"/>
              </w:rPr>
              <w:t>3</w:t>
            </w:r>
            <w:r>
              <w:rPr>
                <w:rFonts w:ascii="Times New Roman" w:hAnsi="Times New Roman" w:eastAsia="Times New Roman" w:cs="Times New Roman"/>
                <w:sz w:val="20"/>
                <w:szCs w:val="20"/>
              </w:rPr>
              <w:t>H</w:t>
            </w:r>
            <w:r>
              <w:rPr>
                <w:rFonts w:ascii="Times New Roman" w:hAnsi="Times New Roman" w:eastAsia="Times New Roman" w:cs="Times New Roman"/>
                <w:spacing w:val="15"/>
                <w:position w:val="-1"/>
                <w:sz w:val="13"/>
                <w:szCs w:val="13"/>
              </w:rPr>
              <w:t xml:space="preserve">6 </w:t>
            </w:r>
            <w:r>
              <w:rPr>
                <w:rFonts w:ascii="宋体" w:hAnsi="宋体" w:eastAsia="宋体" w:cs="宋体"/>
                <w:spacing w:val="15"/>
                <w:sz w:val="20"/>
                <w:szCs w:val="20"/>
              </w:rPr>
              <w:t xml:space="preserve">) </w:t>
            </w:r>
            <w:r>
              <w:rPr>
                <w:rFonts w:ascii="Times New Roman" w:hAnsi="Times New Roman" w:eastAsia="Times New Roman" w:cs="Times New Roman"/>
                <w:sz w:val="20"/>
                <w:szCs w:val="20"/>
              </w:rPr>
              <w:t>n</w:t>
            </w:r>
          </w:p>
        </w:tc>
        <w:tc>
          <w:tcPr>
            <w:tcW w:w="2171" w:type="dxa"/>
            <w:vAlign w:val="top"/>
          </w:tcPr>
          <w:p w14:paraId="2954FFB1">
            <w:pPr>
              <w:spacing w:before="52" w:line="228" w:lineRule="auto"/>
              <w:ind w:left="77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禁</w:t>
            </w:r>
            <w:r>
              <w:rPr>
                <w:rFonts w:ascii="宋体" w:hAnsi="宋体" w:eastAsia="宋体" w:cs="宋体"/>
                <w:spacing w:val="7"/>
                <w:sz w:val="20"/>
                <w:szCs w:val="20"/>
                <w14:textOutline w14:w="3795" w14:cap="sq" w14:cmpd="sng">
                  <w14:solidFill>
                    <w14:srgbClr w14:val="000000"/>
                  </w14:solidFill>
                  <w14:prstDash w14:val="solid"/>
                  <w14:bevel/>
                </w14:textOutline>
              </w:rPr>
              <w:t>忌物</w:t>
            </w:r>
          </w:p>
        </w:tc>
        <w:tc>
          <w:tcPr>
            <w:tcW w:w="2044" w:type="dxa"/>
            <w:tcBorders>
              <w:right w:val="nil"/>
            </w:tcBorders>
            <w:vAlign w:val="top"/>
          </w:tcPr>
          <w:p w14:paraId="2D0F1DCA">
            <w:pPr>
              <w:spacing w:before="53" w:line="227" w:lineRule="auto"/>
              <w:ind w:left="612"/>
              <w:rPr>
                <w:rFonts w:ascii="宋体" w:hAnsi="宋体" w:eastAsia="宋体" w:cs="宋体"/>
                <w:sz w:val="20"/>
                <w:szCs w:val="20"/>
              </w:rPr>
            </w:pPr>
            <w:r>
              <w:rPr>
                <w:rFonts w:ascii="宋体" w:hAnsi="宋体" w:eastAsia="宋体" w:cs="宋体"/>
                <w:spacing w:val="6"/>
                <w:sz w:val="20"/>
                <w:szCs w:val="20"/>
              </w:rPr>
              <w:t>强氧化剂</w:t>
            </w:r>
          </w:p>
        </w:tc>
      </w:tr>
      <w:tr w14:paraId="1085F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92" w:type="dxa"/>
            <w:tcBorders>
              <w:left w:val="nil"/>
            </w:tcBorders>
            <w:vAlign w:val="top"/>
          </w:tcPr>
          <w:p w14:paraId="6E4919C3">
            <w:pPr>
              <w:spacing w:before="53" w:line="228" w:lineRule="auto"/>
              <w:ind w:left="89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分子</w:t>
            </w:r>
            <w:r>
              <w:rPr>
                <w:rFonts w:ascii="宋体" w:hAnsi="宋体" w:eastAsia="宋体" w:cs="宋体"/>
                <w:spacing w:val="6"/>
                <w:sz w:val="20"/>
                <w:szCs w:val="20"/>
                <w14:textOutline w14:w="3795" w14:cap="sq" w14:cmpd="sng">
                  <w14:solidFill>
                    <w14:srgbClr w14:val="000000"/>
                  </w14:solidFill>
                  <w14:prstDash w14:val="solid"/>
                  <w14:bevel/>
                </w14:textOutline>
              </w:rPr>
              <w:t>量</w:t>
            </w:r>
          </w:p>
        </w:tc>
        <w:tc>
          <w:tcPr>
            <w:tcW w:w="1915" w:type="dxa"/>
            <w:vAlign w:val="top"/>
          </w:tcPr>
          <w:p w14:paraId="088FCF67">
            <w:pPr>
              <w:spacing w:before="177" w:line="139"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10"/>
                <w:position w:val="-1"/>
                <w:sz w:val="20"/>
                <w:szCs w:val="20"/>
              </w:rPr>
              <w:t>—</w:t>
            </w:r>
          </w:p>
        </w:tc>
        <w:tc>
          <w:tcPr>
            <w:tcW w:w="2171" w:type="dxa"/>
            <w:vAlign w:val="top"/>
          </w:tcPr>
          <w:p w14:paraId="6DCF06AB">
            <w:pPr>
              <w:spacing w:before="52" w:line="228" w:lineRule="auto"/>
              <w:ind w:left="35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火灾危险性类别</w:t>
            </w:r>
          </w:p>
        </w:tc>
        <w:tc>
          <w:tcPr>
            <w:tcW w:w="2044" w:type="dxa"/>
            <w:tcBorders>
              <w:right w:val="nil"/>
            </w:tcBorders>
            <w:vAlign w:val="top"/>
          </w:tcPr>
          <w:p w14:paraId="683F4D72">
            <w:pPr>
              <w:spacing w:before="52" w:line="228" w:lineRule="auto"/>
              <w:ind w:left="820"/>
              <w:rPr>
                <w:rFonts w:ascii="宋体" w:hAnsi="宋体" w:eastAsia="宋体" w:cs="宋体"/>
                <w:sz w:val="20"/>
                <w:szCs w:val="20"/>
              </w:rPr>
            </w:pPr>
            <w:r>
              <w:rPr>
                <w:rFonts w:ascii="宋体" w:hAnsi="宋体" w:eastAsia="宋体" w:cs="宋体"/>
                <w:spacing w:val="3"/>
                <w:sz w:val="20"/>
                <w:szCs w:val="20"/>
              </w:rPr>
              <w:t>丙</w:t>
            </w:r>
            <w:r>
              <w:rPr>
                <w:rFonts w:ascii="宋体" w:hAnsi="宋体" w:eastAsia="宋体" w:cs="宋体"/>
                <w:spacing w:val="2"/>
                <w:sz w:val="20"/>
                <w:szCs w:val="20"/>
              </w:rPr>
              <w:t>类</w:t>
            </w:r>
          </w:p>
        </w:tc>
      </w:tr>
      <w:tr w14:paraId="4E8DC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92" w:type="dxa"/>
            <w:tcBorders>
              <w:left w:val="nil"/>
            </w:tcBorders>
            <w:vAlign w:val="top"/>
          </w:tcPr>
          <w:p w14:paraId="2D06273F">
            <w:pPr>
              <w:spacing w:before="52" w:line="228" w:lineRule="auto"/>
              <w:ind w:left="99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熔</w:t>
            </w:r>
            <w:r>
              <w:rPr>
                <w:rFonts w:ascii="宋体" w:hAnsi="宋体" w:eastAsia="宋体" w:cs="宋体"/>
                <w:spacing w:val="5"/>
                <w:sz w:val="20"/>
                <w:szCs w:val="20"/>
                <w14:textOutline w14:w="3795" w14:cap="sq" w14:cmpd="sng">
                  <w14:solidFill>
                    <w14:srgbClr w14:val="000000"/>
                  </w14:solidFill>
                  <w14:prstDash w14:val="solid"/>
                  <w14:bevel/>
                </w14:textOutline>
              </w:rPr>
              <w:t>点</w:t>
            </w:r>
          </w:p>
        </w:tc>
        <w:tc>
          <w:tcPr>
            <w:tcW w:w="1915" w:type="dxa"/>
            <w:vAlign w:val="top"/>
          </w:tcPr>
          <w:p w14:paraId="1E714153">
            <w:pPr>
              <w:spacing w:before="14" w:line="281" w:lineRule="exact"/>
              <w:ind w:left="7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w:t>
            </w:r>
            <w:r>
              <w:rPr>
                <w:rFonts w:ascii="Times New Roman" w:hAnsi="Times New Roman" w:eastAsia="Times New Roman" w:cs="Times New Roman"/>
                <w:position w:val="2"/>
                <w:sz w:val="20"/>
                <w:szCs w:val="20"/>
              </w:rPr>
              <w:t>9℃</w:t>
            </w:r>
          </w:p>
        </w:tc>
        <w:tc>
          <w:tcPr>
            <w:tcW w:w="2171" w:type="dxa"/>
            <w:vAlign w:val="top"/>
          </w:tcPr>
          <w:p w14:paraId="053FF0A6">
            <w:pPr>
              <w:spacing w:before="52" w:line="228" w:lineRule="auto"/>
              <w:ind w:left="67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溶解温</w:t>
            </w:r>
            <w:r>
              <w:rPr>
                <w:rFonts w:ascii="宋体" w:hAnsi="宋体" w:eastAsia="宋体" w:cs="宋体"/>
                <w:spacing w:val="7"/>
                <w:sz w:val="20"/>
                <w:szCs w:val="20"/>
                <w14:textOutline w14:w="3795" w14:cap="sq" w14:cmpd="sng">
                  <w14:solidFill>
                    <w14:srgbClr w14:val="000000"/>
                  </w14:solidFill>
                  <w14:prstDash w14:val="solid"/>
                  <w14:bevel/>
                </w14:textOutline>
              </w:rPr>
              <w:t>度</w:t>
            </w:r>
          </w:p>
        </w:tc>
        <w:tc>
          <w:tcPr>
            <w:tcW w:w="2044" w:type="dxa"/>
            <w:tcBorders>
              <w:right w:val="nil"/>
            </w:tcBorders>
            <w:vAlign w:val="top"/>
          </w:tcPr>
          <w:p w14:paraId="7F332FF5">
            <w:pPr>
              <w:spacing w:before="14" w:line="281" w:lineRule="exact"/>
              <w:ind w:left="76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3</w:t>
            </w:r>
            <w:r>
              <w:rPr>
                <w:rFonts w:ascii="Times New Roman" w:hAnsi="Times New Roman" w:eastAsia="Times New Roman" w:cs="Times New Roman"/>
                <w:spacing w:val="3"/>
                <w:position w:val="2"/>
                <w:sz w:val="20"/>
                <w:szCs w:val="20"/>
              </w:rPr>
              <w:t>50℃</w:t>
            </w:r>
          </w:p>
        </w:tc>
      </w:tr>
      <w:tr w14:paraId="1B66A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92" w:type="dxa"/>
            <w:tcBorders>
              <w:left w:val="nil"/>
            </w:tcBorders>
            <w:vAlign w:val="top"/>
          </w:tcPr>
          <w:p w14:paraId="0EE0E31D">
            <w:pPr>
              <w:spacing w:before="52" w:line="228" w:lineRule="auto"/>
              <w:ind w:left="99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密</w:t>
            </w:r>
            <w:r>
              <w:rPr>
                <w:rFonts w:ascii="宋体" w:hAnsi="宋体" w:eastAsia="宋体" w:cs="宋体"/>
                <w:spacing w:val="5"/>
                <w:sz w:val="20"/>
                <w:szCs w:val="20"/>
                <w14:textOutline w14:w="3795" w14:cap="sq" w14:cmpd="sng">
                  <w14:solidFill>
                    <w14:srgbClr w14:val="000000"/>
                  </w14:solidFill>
                  <w14:prstDash w14:val="solid"/>
                  <w14:bevel/>
                </w14:textOutline>
              </w:rPr>
              <w:t>度</w:t>
            </w:r>
          </w:p>
        </w:tc>
        <w:tc>
          <w:tcPr>
            <w:tcW w:w="1915" w:type="dxa"/>
            <w:vAlign w:val="top"/>
          </w:tcPr>
          <w:p w14:paraId="338DAA9B">
            <w:pPr>
              <w:spacing w:before="14" w:line="281" w:lineRule="exact"/>
              <w:ind w:left="63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w:t>
            </w:r>
            <w:r>
              <w:rPr>
                <w:rFonts w:ascii="Times New Roman" w:hAnsi="Times New Roman" w:eastAsia="Times New Roman" w:cs="Times New Roman"/>
                <w:spacing w:val="5"/>
                <w:position w:val="2"/>
                <w:sz w:val="20"/>
                <w:szCs w:val="20"/>
              </w:rPr>
              <w:t>.9</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ml</w:t>
            </w:r>
          </w:p>
        </w:tc>
        <w:tc>
          <w:tcPr>
            <w:tcW w:w="2171" w:type="dxa"/>
            <w:vAlign w:val="top"/>
          </w:tcPr>
          <w:p w14:paraId="2479E369">
            <w:pPr>
              <w:spacing w:before="52" w:line="228" w:lineRule="auto"/>
              <w:ind w:left="77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溶解</w:t>
            </w:r>
            <w:r>
              <w:rPr>
                <w:rFonts w:ascii="宋体" w:hAnsi="宋体" w:eastAsia="宋体" w:cs="宋体"/>
                <w:spacing w:val="6"/>
                <w:sz w:val="20"/>
                <w:szCs w:val="20"/>
                <w14:textOutline w14:w="3795" w14:cap="sq" w14:cmpd="sng">
                  <w14:solidFill>
                    <w14:srgbClr w14:val="000000"/>
                  </w14:solidFill>
                  <w14:prstDash w14:val="solid"/>
                  <w14:bevel/>
                </w14:textOutline>
              </w:rPr>
              <w:t>性</w:t>
            </w:r>
          </w:p>
        </w:tc>
        <w:tc>
          <w:tcPr>
            <w:tcW w:w="2044" w:type="dxa"/>
            <w:tcBorders>
              <w:right w:val="nil"/>
            </w:tcBorders>
            <w:vAlign w:val="top"/>
          </w:tcPr>
          <w:p w14:paraId="59F00E53">
            <w:pPr>
              <w:spacing w:before="51" w:line="228" w:lineRule="auto"/>
              <w:ind w:left="504"/>
              <w:rPr>
                <w:rFonts w:ascii="宋体" w:hAnsi="宋体" w:eastAsia="宋体" w:cs="宋体"/>
                <w:sz w:val="20"/>
                <w:szCs w:val="20"/>
              </w:rPr>
            </w:pPr>
            <w:r>
              <w:rPr>
                <w:rFonts w:ascii="宋体" w:hAnsi="宋体" w:eastAsia="宋体" w:cs="宋体"/>
                <w:spacing w:val="10"/>
                <w:sz w:val="20"/>
                <w:szCs w:val="20"/>
              </w:rPr>
              <w:t>极</w:t>
            </w:r>
            <w:r>
              <w:rPr>
                <w:rFonts w:ascii="宋体" w:hAnsi="宋体" w:eastAsia="宋体" w:cs="宋体"/>
                <w:spacing w:val="7"/>
                <w:sz w:val="20"/>
                <w:szCs w:val="20"/>
              </w:rPr>
              <w:t>难溶于水</w:t>
            </w:r>
          </w:p>
        </w:tc>
      </w:tr>
      <w:tr w14:paraId="3DB40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92" w:type="dxa"/>
            <w:tcBorders>
              <w:left w:val="nil"/>
            </w:tcBorders>
            <w:vAlign w:val="top"/>
          </w:tcPr>
          <w:p w14:paraId="132D4FC2">
            <w:pPr>
              <w:spacing w:before="52" w:line="228" w:lineRule="auto"/>
              <w:ind w:left="79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引</w:t>
            </w:r>
            <w:r>
              <w:rPr>
                <w:rFonts w:ascii="宋体" w:hAnsi="宋体" w:eastAsia="宋体" w:cs="宋体"/>
                <w:spacing w:val="4"/>
                <w:sz w:val="20"/>
                <w:szCs w:val="20"/>
                <w14:textOutline w14:w="3795" w14:cap="sq" w14:cmpd="sng">
                  <w14:solidFill>
                    <w14:srgbClr w14:val="000000"/>
                  </w14:solidFill>
                  <w14:prstDash w14:val="solid"/>
                  <w14:bevel/>
                </w14:textOutline>
              </w:rPr>
              <w:t>燃物质</w:t>
            </w:r>
          </w:p>
        </w:tc>
        <w:tc>
          <w:tcPr>
            <w:tcW w:w="1915" w:type="dxa"/>
            <w:vAlign w:val="top"/>
          </w:tcPr>
          <w:p w14:paraId="027CA769">
            <w:pPr>
              <w:spacing w:before="52" w:line="228" w:lineRule="auto"/>
              <w:ind w:left="64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资料</w:t>
            </w:r>
          </w:p>
        </w:tc>
        <w:tc>
          <w:tcPr>
            <w:tcW w:w="2171" w:type="dxa"/>
            <w:vAlign w:val="top"/>
          </w:tcPr>
          <w:p w14:paraId="49DC0D85">
            <w:pPr>
              <w:rPr>
                <w:rFonts w:ascii="Arial"/>
                <w:sz w:val="21"/>
              </w:rPr>
            </w:pPr>
          </w:p>
        </w:tc>
        <w:tc>
          <w:tcPr>
            <w:tcW w:w="2044" w:type="dxa"/>
            <w:tcBorders>
              <w:right w:val="nil"/>
            </w:tcBorders>
            <w:vAlign w:val="top"/>
          </w:tcPr>
          <w:p w14:paraId="01DFC51E">
            <w:pPr>
              <w:rPr>
                <w:rFonts w:ascii="Arial"/>
                <w:sz w:val="21"/>
              </w:rPr>
            </w:pPr>
          </w:p>
        </w:tc>
      </w:tr>
      <w:tr w14:paraId="74A5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392" w:type="dxa"/>
            <w:tcBorders>
              <w:left w:val="nil"/>
            </w:tcBorders>
            <w:vAlign w:val="top"/>
          </w:tcPr>
          <w:p w14:paraId="29737528">
            <w:pPr>
              <w:spacing w:line="296" w:lineRule="auto"/>
              <w:rPr>
                <w:rFonts w:ascii="Arial"/>
                <w:sz w:val="21"/>
              </w:rPr>
            </w:pPr>
          </w:p>
          <w:p w14:paraId="612C47F4">
            <w:pPr>
              <w:spacing w:before="65" w:line="228" w:lineRule="auto"/>
              <w:ind w:left="78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理性质</w:t>
            </w:r>
          </w:p>
        </w:tc>
        <w:tc>
          <w:tcPr>
            <w:tcW w:w="6130" w:type="dxa"/>
            <w:gridSpan w:val="3"/>
            <w:tcBorders>
              <w:right w:val="nil"/>
            </w:tcBorders>
            <w:vAlign w:val="top"/>
          </w:tcPr>
          <w:p w14:paraId="0422B15B">
            <w:pPr>
              <w:spacing w:before="50" w:line="268" w:lineRule="auto"/>
              <w:ind w:left="113" w:right="48" w:firstLine="2"/>
              <w:rPr>
                <w:rFonts w:ascii="宋体" w:hAnsi="宋体" w:eastAsia="宋体" w:cs="宋体"/>
                <w:sz w:val="20"/>
                <w:szCs w:val="20"/>
              </w:rPr>
            </w:pPr>
            <w:r>
              <w:rPr>
                <w:rFonts w:ascii="宋体" w:hAnsi="宋体" w:eastAsia="宋体" w:cs="宋体"/>
                <w:spacing w:val="17"/>
                <w:sz w:val="20"/>
                <w:szCs w:val="20"/>
              </w:rPr>
              <w:t>无</w:t>
            </w:r>
            <w:r>
              <w:rPr>
                <w:rFonts w:ascii="宋体" w:hAnsi="宋体" w:eastAsia="宋体" w:cs="宋体"/>
                <w:spacing w:val="10"/>
                <w:sz w:val="20"/>
                <w:szCs w:val="20"/>
              </w:rPr>
              <w:t xml:space="preserve">毒、无臭、无味的高结晶的聚合物 ，分子量 </w:t>
            </w:r>
            <w:r>
              <w:rPr>
                <w:rFonts w:ascii="Times New Roman" w:hAnsi="Times New Roman" w:eastAsia="Times New Roman" w:cs="Times New Roman"/>
                <w:spacing w:val="10"/>
                <w:sz w:val="20"/>
                <w:szCs w:val="20"/>
              </w:rPr>
              <w:t xml:space="preserve">8- 15 </w:t>
            </w:r>
            <w:r>
              <w:rPr>
                <w:rFonts w:ascii="宋体" w:hAnsi="宋体" w:eastAsia="宋体" w:cs="宋体"/>
                <w:spacing w:val="10"/>
                <w:sz w:val="20"/>
                <w:szCs w:val="20"/>
              </w:rPr>
              <w:t>万 ，密度</w:t>
            </w:r>
            <w:r>
              <w:rPr>
                <w:rFonts w:ascii="宋体" w:hAnsi="宋体" w:eastAsia="宋体" w:cs="宋体"/>
                <w:sz w:val="20"/>
                <w:szCs w:val="20"/>
              </w:rPr>
              <w:t xml:space="preserve"> </w:t>
            </w:r>
            <w:r>
              <w:rPr>
                <w:rFonts w:ascii="Times New Roman" w:hAnsi="Times New Roman" w:eastAsia="Times New Roman" w:cs="Times New Roman"/>
                <w:spacing w:val="-1"/>
                <w:sz w:val="20"/>
                <w:szCs w:val="20"/>
              </w:rPr>
              <w:t>0.90-0.91</w:t>
            </w:r>
            <w:r>
              <w:rPr>
                <w:rFonts w:ascii="Times New Roman" w:hAnsi="Times New Roman" w:eastAsia="Times New Roman" w:cs="Times New Roman"/>
                <w:sz w:val="20"/>
                <w:szCs w:val="20"/>
              </w:rPr>
              <w:t>gcm</w:t>
            </w:r>
            <w:r>
              <w:rPr>
                <w:rFonts w:ascii="Times New Roman" w:hAnsi="Times New Roman" w:eastAsia="Times New Roman" w:cs="Times New Roman"/>
                <w:spacing w:val="-1"/>
                <w:sz w:val="20"/>
                <w:szCs w:val="20"/>
              </w:rPr>
              <w:t>3</w:t>
            </w:r>
            <w:r>
              <w:rPr>
                <w:rFonts w:ascii="宋体" w:hAnsi="宋体" w:eastAsia="宋体" w:cs="宋体"/>
                <w:spacing w:val="-1"/>
                <w:sz w:val="20"/>
                <w:szCs w:val="20"/>
              </w:rPr>
              <w:t xml:space="preserve">，熔点 </w:t>
            </w:r>
            <w:r>
              <w:rPr>
                <w:rFonts w:ascii="Times New Roman" w:hAnsi="Times New Roman" w:eastAsia="Times New Roman" w:cs="Times New Roman"/>
                <w:spacing w:val="-1"/>
                <w:sz w:val="20"/>
                <w:szCs w:val="20"/>
              </w:rPr>
              <w:t>164- 170℃</w:t>
            </w:r>
            <w:r>
              <w:rPr>
                <w:rFonts w:ascii="宋体" w:hAnsi="宋体" w:eastAsia="宋体" w:cs="宋体"/>
                <w:spacing w:val="-1"/>
                <w:sz w:val="20"/>
                <w:szCs w:val="20"/>
              </w:rPr>
              <w:t xml:space="preserve">，分解温度 </w:t>
            </w:r>
            <w:r>
              <w:rPr>
                <w:rFonts w:ascii="Times New Roman" w:hAnsi="Times New Roman" w:eastAsia="Times New Roman" w:cs="Times New Roman"/>
                <w:spacing w:val="-1"/>
                <w:sz w:val="20"/>
                <w:szCs w:val="20"/>
              </w:rPr>
              <w:t>328-410℃</w:t>
            </w:r>
            <w:r>
              <w:rPr>
                <w:rFonts w:ascii="宋体" w:hAnsi="宋体" w:eastAsia="宋体" w:cs="宋体"/>
                <w:spacing w:val="-1"/>
                <w:sz w:val="20"/>
                <w:szCs w:val="20"/>
              </w:rPr>
              <w:t>，不</w:t>
            </w:r>
            <w:r>
              <w:rPr>
                <w:rFonts w:ascii="宋体" w:hAnsi="宋体" w:eastAsia="宋体" w:cs="宋体"/>
                <w:sz w:val="20"/>
                <w:szCs w:val="20"/>
              </w:rPr>
              <w:t xml:space="preserve">溶于水， </w:t>
            </w:r>
            <w:r>
              <w:rPr>
                <w:rFonts w:ascii="宋体" w:hAnsi="宋体" w:eastAsia="宋体" w:cs="宋体"/>
                <w:spacing w:val="11"/>
                <w:sz w:val="20"/>
                <w:szCs w:val="20"/>
              </w:rPr>
              <w:t>与</w:t>
            </w:r>
            <w:r>
              <w:rPr>
                <w:rFonts w:ascii="宋体" w:hAnsi="宋体" w:eastAsia="宋体" w:cs="宋体"/>
                <w:spacing w:val="9"/>
                <w:sz w:val="20"/>
                <w:szCs w:val="20"/>
              </w:rPr>
              <w:t>绝大多数化学药品不反应</w:t>
            </w:r>
          </w:p>
        </w:tc>
      </w:tr>
      <w:tr w14:paraId="313C4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92" w:type="dxa"/>
            <w:tcBorders>
              <w:left w:val="nil"/>
            </w:tcBorders>
            <w:vAlign w:val="top"/>
          </w:tcPr>
          <w:p w14:paraId="4C7CC2A0">
            <w:pPr>
              <w:spacing w:before="209" w:line="228" w:lineRule="auto"/>
              <w:ind w:left="78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危险特</w:t>
            </w:r>
            <w:r>
              <w:rPr>
                <w:rFonts w:ascii="宋体" w:hAnsi="宋体" w:eastAsia="宋体" w:cs="宋体"/>
                <w:spacing w:val="7"/>
                <w:sz w:val="20"/>
                <w:szCs w:val="20"/>
                <w14:textOutline w14:w="3795" w14:cap="sq" w14:cmpd="sng">
                  <w14:solidFill>
                    <w14:srgbClr w14:val="000000"/>
                  </w14:solidFill>
                  <w14:prstDash w14:val="solid"/>
                  <w14:bevel/>
                </w14:textOutline>
              </w:rPr>
              <w:t>性</w:t>
            </w:r>
          </w:p>
        </w:tc>
        <w:tc>
          <w:tcPr>
            <w:tcW w:w="6130" w:type="dxa"/>
            <w:gridSpan w:val="3"/>
            <w:tcBorders>
              <w:right w:val="nil"/>
            </w:tcBorders>
            <w:vAlign w:val="top"/>
          </w:tcPr>
          <w:p w14:paraId="259015B7">
            <w:pPr>
              <w:spacing w:before="54" w:line="257" w:lineRule="auto"/>
              <w:ind w:left="117" w:right="107" w:hanging="4"/>
              <w:rPr>
                <w:rFonts w:ascii="宋体" w:hAnsi="宋体" w:eastAsia="宋体" w:cs="宋体"/>
                <w:sz w:val="20"/>
                <w:szCs w:val="20"/>
              </w:rPr>
            </w:pPr>
            <w:r>
              <w:rPr>
                <w:rFonts w:ascii="宋体" w:hAnsi="宋体" w:eastAsia="宋体" w:cs="宋体"/>
                <w:spacing w:val="11"/>
                <w:sz w:val="20"/>
                <w:szCs w:val="20"/>
              </w:rPr>
              <w:t>粉体与空气可形成爆炸性混合物，当达到一定浓度时，遇火星</w:t>
            </w:r>
            <w:r>
              <w:rPr>
                <w:rFonts w:ascii="宋体" w:hAnsi="宋体" w:eastAsia="宋体" w:cs="宋体"/>
                <w:spacing w:val="9"/>
                <w:sz w:val="20"/>
                <w:szCs w:val="20"/>
              </w:rPr>
              <w:t>会</w:t>
            </w:r>
            <w:r>
              <w:rPr>
                <w:rFonts w:ascii="宋体" w:hAnsi="宋体" w:eastAsia="宋体" w:cs="宋体"/>
                <w:sz w:val="20"/>
                <w:szCs w:val="20"/>
              </w:rPr>
              <w:t xml:space="preserve"> </w:t>
            </w:r>
            <w:r>
              <w:rPr>
                <w:rFonts w:ascii="宋体" w:hAnsi="宋体" w:eastAsia="宋体" w:cs="宋体"/>
                <w:spacing w:val="11"/>
                <w:sz w:val="20"/>
                <w:szCs w:val="20"/>
              </w:rPr>
              <w:t>发</w:t>
            </w:r>
            <w:r>
              <w:rPr>
                <w:rFonts w:ascii="宋体" w:hAnsi="宋体" w:eastAsia="宋体" w:cs="宋体"/>
                <w:spacing w:val="9"/>
                <w:sz w:val="20"/>
                <w:szCs w:val="20"/>
              </w:rPr>
              <w:t>生爆炸，加热分解产生易燃气体</w:t>
            </w:r>
          </w:p>
        </w:tc>
      </w:tr>
      <w:tr w14:paraId="417D8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92" w:type="dxa"/>
            <w:tcBorders>
              <w:left w:val="nil"/>
            </w:tcBorders>
            <w:vAlign w:val="top"/>
          </w:tcPr>
          <w:p w14:paraId="4448353E">
            <w:pPr>
              <w:spacing w:before="210" w:line="228" w:lineRule="auto"/>
              <w:ind w:left="78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灭</w:t>
            </w:r>
            <w:r>
              <w:rPr>
                <w:rFonts w:ascii="宋体" w:hAnsi="宋体" w:eastAsia="宋体" w:cs="宋体"/>
                <w:spacing w:val="7"/>
                <w:sz w:val="20"/>
                <w:szCs w:val="20"/>
                <w14:textOutline w14:w="3795" w14:cap="sq" w14:cmpd="sng">
                  <w14:solidFill>
                    <w14:srgbClr w14:val="000000"/>
                  </w14:solidFill>
                  <w14:prstDash w14:val="solid"/>
                  <w14:bevel/>
                </w14:textOutline>
              </w:rPr>
              <w:t>火方法</w:t>
            </w:r>
          </w:p>
        </w:tc>
        <w:tc>
          <w:tcPr>
            <w:tcW w:w="6130" w:type="dxa"/>
            <w:gridSpan w:val="3"/>
            <w:tcBorders>
              <w:right w:val="nil"/>
            </w:tcBorders>
            <w:vAlign w:val="top"/>
          </w:tcPr>
          <w:p w14:paraId="16EE08A0">
            <w:pPr>
              <w:spacing w:before="55" w:line="257" w:lineRule="auto"/>
              <w:ind w:left="117" w:right="36" w:hanging="2"/>
              <w:rPr>
                <w:rFonts w:ascii="宋体" w:hAnsi="宋体" w:eastAsia="宋体" w:cs="宋体"/>
                <w:sz w:val="20"/>
                <w:szCs w:val="20"/>
              </w:rPr>
            </w:pPr>
            <w:r>
              <w:rPr>
                <w:rFonts w:ascii="宋体" w:hAnsi="宋体" w:eastAsia="宋体" w:cs="宋体"/>
                <w:spacing w:val="4"/>
                <w:sz w:val="20"/>
                <w:szCs w:val="20"/>
              </w:rPr>
              <w:t>尽可能将容器从火场转移至空旷处。灭火剂</w:t>
            </w:r>
            <w:r>
              <w:rPr>
                <w:rFonts w:ascii="Times New Roman" w:hAnsi="Times New Roman" w:eastAsia="Times New Roman" w:cs="Times New Roman"/>
                <w:spacing w:val="4"/>
                <w:sz w:val="20"/>
                <w:szCs w:val="20"/>
              </w:rPr>
              <w:t>:</w:t>
            </w:r>
            <w:r>
              <w:rPr>
                <w:rFonts w:ascii="宋体" w:hAnsi="宋体" w:eastAsia="宋体" w:cs="宋体"/>
                <w:spacing w:val="4"/>
                <w:sz w:val="20"/>
                <w:szCs w:val="20"/>
              </w:rPr>
              <w:t>雾状水、泡沫、干粉、</w:t>
            </w:r>
            <w:r>
              <w:rPr>
                <w:rFonts w:ascii="宋体" w:hAnsi="宋体" w:eastAsia="宋体" w:cs="宋体"/>
                <w:sz w:val="20"/>
                <w:szCs w:val="20"/>
              </w:rPr>
              <w:t xml:space="preserve"> </w:t>
            </w:r>
            <w:r>
              <w:rPr>
                <w:rFonts w:ascii="宋体" w:hAnsi="宋体" w:eastAsia="宋体" w:cs="宋体"/>
                <w:spacing w:val="9"/>
                <w:sz w:val="20"/>
                <w:szCs w:val="20"/>
              </w:rPr>
              <w:t>二</w:t>
            </w:r>
            <w:r>
              <w:rPr>
                <w:rFonts w:ascii="宋体" w:hAnsi="宋体" w:eastAsia="宋体" w:cs="宋体"/>
                <w:spacing w:val="8"/>
                <w:sz w:val="20"/>
                <w:szCs w:val="20"/>
              </w:rPr>
              <w:t>氧化碳、砂土</w:t>
            </w:r>
          </w:p>
        </w:tc>
      </w:tr>
      <w:tr w14:paraId="7D920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92" w:type="dxa"/>
            <w:tcBorders>
              <w:left w:val="nil"/>
            </w:tcBorders>
            <w:vAlign w:val="top"/>
          </w:tcPr>
          <w:p w14:paraId="35D7E9E8">
            <w:pPr>
              <w:spacing w:before="211" w:line="228" w:lineRule="auto"/>
              <w:ind w:left="78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健</w:t>
            </w:r>
            <w:r>
              <w:rPr>
                <w:rFonts w:ascii="宋体" w:hAnsi="宋体" w:eastAsia="宋体" w:cs="宋体"/>
                <w:spacing w:val="8"/>
                <w:sz w:val="20"/>
                <w:szCs w:val="20"/>
                <w14:textOutline w14:w="3795" w14:cap="sq" w14:cmpd="sng">
                  <w14:solidFill>
                    <w14:srgbClr w14:val="000000"/>
                  </w14:solidFill>
                  <w14:prstDash w14:val="solid"/>
                  <w14:bevel/>
                </w14:textOutline>
              </w:rPr>
              <w:t>康危害</w:t>
            </w:r>
          </w:p>
        </w:tc>
        <w:tc>
          <w:tcPr>
            <w:tcW w:w="6130" w:type="dxa"/>
            <w:gridSpan w:val="3"/>
            <w:tcBorders>
              <w:right w:val="nil"/>
            </w:tcBorders>
            <w:vAlign w:val="top"/>
          </w:tcPr>
          <w:p w14:paraId="26F79D08">
            <w:pPr>
              <w:spacing w:before="55" w:line="258" w:lineRule="auto"/>
              <w:ind w:left="122" w:right="107" w:hanging="7"/>
              <w:rPr>
                <w:rFonts w:ascii="宋体" w:hAnsi="宋体" w:eastAsia="宋体" w:cs="宋体"/>
                <w:sz w:val="20"/>
                <w:szCs w:val="20"/>
              </w:rPr>
            </w:pPr>
            <w:r>
              <w:rPr>
                <w:rFonts w:ascii="宋体" w:hAnsi="宋体" w:eastAsia="宋体" w:cs="宋体"/>
                <w:spacing w:val="11"/>
                <w:sz w:val="20"/>
                <w:szCs w:val="20"/>
              </w:rPr>
              <w:t>本身无毒，注意不同添加剂的毒性。热解产生酚、醛对眼、上</w:t>
            </w:r>
            <w:r>
              <w:rPr>
                <w:rFonts w:ascii="宋体" w:hAnsi="宋体" w:eastAsia="宋体" w:cs="宋体"/>
                <w:spacing w:val="7"/>
                <w:sz w:val="20"/>
                <w:szCs w:val="20"/>
              </w:rPr>
              <w:t>呼</w:t>
            </w:r>
            <w:r>
              <w:rPr>
                <w:rFonts w:ascii="宋体" w:hAnsi="宋体" w:eastAsia="宋体" w:cs="宋体"/>
                <w:sz w:val="20"/>
                <w:szCs w:val="20"/>
              </w:rPr>
              <w:t xml:space="preserve"> </w:t>
            </w:r>
            <w:r>
              <w:rPr>
                <w:rFonts w:ascii="宋体" w:hAnsi="宋体" w:eastAsia="宋体" w:cs="宋体"/>
                <w:spacing w:val="10"/>
                <w:sz w:val="20"/>
                <w:szCs w:val="20"/>
              </w:rPr>
              <w:t>吸</w:t>
            </w:r>
            <w:r>
              <w:rPr>
                <w:rFonts w:ascii="宋体" w:hAnsi="宋体" w:eastAsia="宋体" w:cs="宋体"/>
                <w:spacing w:val="7"/>
                <w:sz w:val="20"/>
                <w:szCs w:val="20"/>
              </w:rPr>
              <w:t>道有刺激作用</w:t>
            </w:r>
          </w:p>
        </w:tc>
      </w:tr>
      <w:tr w14:paraId="58D33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92" w:type="dxa"/>
            <w:tcBorders>
              <w:left w:val="nil"/>
            </w:tcBorders>
            <w:vAlign w:val="top"/>
          </w:tcPr>
          <w:p w14:paraId="0772109C">
            <w:pPr>
              <w:spacing w:before="55" w:line="228" w:lineRule="auto"/>
              <w:ind w:left="156"/>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毒</w:t>
            </w:r>
            <w:r>
              <w:rPr>
                <w:rFonts w:ascii="宋体" w:hAnsi="宋体" w:eastAsia="宋体" w:cs="宋体"/>
                <w:spacing w:val="9"/>
                <w:sz w:val="20"/>
                <w:szCs w:val="20"/>
                <w14:textOutline w14:w="3795" w14:cap="sq" w14:cmpd="sng">
                  <w14:solidFill>
                    <w14:srgbClr w14:val="000000"/>
                  </w14:solidFill>
                  <w14:prstDash w14:val="solid"/>
                  <w14:bevel/>
                </w14:textOutline>
              </w:rPr>
              <w:t>理学资料及环境行为</w:t>
            </w:r>
          </w:p>
        </w:tc>
        <w:tc>
          <w:tcPr>
            <w:tcW w:w="6130" w:type="dxa"/>
            <w:gridSpan w:val="3"/>
            <w:tcBorders>
              <w:right w:val="nil"/>
            </w:tcBorders>
            <w:vAlign w:val="top"/>
          </w:tcPr>
          <w:p w14:paraId="640CA778">
            <w:pPr>
              <w:spacing w:before="56" w:line="228" w:lineRule="auto"/>
              <w:ind w:left="653"/>
              <w:rPr>
                <w:rFonts w:ascii="宋体" w:hAnsi="宋体" w:eastAsia="宋体" w:cs="宋体"/>
                <w:sz w:val="20"/>
                <w:szCs w:val="20"/>
              </w:rPr>
            </w:pPr>
            <w:r>
              <w:rPr>
                <w:rFonts w:ascii="宋体" w:hAnsi="宋体" w:eastAsia="宋体" w:cs="宋体"/>
                <w:spacing w:val="18"/>
                <w:sz w:val="20"/>
                <w:szCs w:val="20"/>
              </w:rPr>
              <w:t>在</w:t>
            </w:r>
            <w:r>
              <w:rPr>
                <w:rFonts w:ascii="宋体" w:hAnsi="宋体" w:eastAsia="宋体" w:cs="宋体"/>
                <w:spacing w:val="14"/>
                <w:sz w:val="20"/>
                <w:szCs w:val="20"/>
              </w:rPr>
              <w:t>土</w:t>
            </w:r>
            <w:r>
              <w:rPr>
                <w:rFonts w:ascii="宋体" w:hAnsi="宋体" w:eastAsia="宋体" w:cs="宋体"/>
                <w:spacing w:val="9"/>
                <w:sz w:val="20"/>
                <w:szCs w:val="20"/>
              </w:rPr>
              <w:t>壤中不能分解，燃烧分解为一氧化碳、二氧化碳</w:t>
            </w:r>
          </w:p>
        </w:tc>
      </w:tr>
    </w:tbl>
    <w:p w14:paraId="0B768ECA">
      <w:pPr>
        <w:spacing w:line="260" w:lineRule="auto"/>
        <w:rPr>
          <w:rFonts w:ascii="Arial"/>
          <w:sz w:val="21"/>
        </w:rPr>
      </w:pPr>
    </w:p>
    <w:p w14:paraId="2FBF36B9">
      <w:pPr>
        <w:spacing w:before="74" w:line="228" w:lineRule="auto"/>
        <w:ind w:left="608"/>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2</w:t>
      </w:r>
      <w:r>
        <w:rPr>
          <w:rFonts w:ascii="宋体" w:hAnsi="宋体" w:eastAsia="宋体" w:cs="宋体"/>
          <w:spacing w:val="18"/>
          <w:sz w:val="23"/>
          <w:szCs w:val="23"/>
        </w:rPr>
        <w:t>) 设施风险识</w:t>
      </w:r>
      <w:r>
        <w:rPr>
          <w:rFonts w:ascii="宋体" w:hAnsi="宋体" w:eastAsia="宋体" w:cs="宋体"/>
          <w:spacing w:val="17"/>
          <w:sz w:val="23"/>
          <w:szCs w:val="23"/>
        </w:rPr>
        <w:t>别</w:t>
      </w:r>
    </w:p>
    <w:p w14:paraId="78D44AC2">
      <w:pPr>
        <w:spacing w:line="274" w:lineRule="auto"/>
        <w:rPr>
          <w:rFonts w:ascii="Arial"/>
          <w:sz w:val="21"/>
        </w:rPr>
      </w:pPr>
    </w:p>
    <w:p w14:paraId="568AAEF2">
      <w:pPr>
        <w:spacing w:before="76" w:line="388" w:lineRule="auto"/>
        <w:ind w:left="116" w:right="46" w:firstLine="482"/>
        <w:rPr>
          <w:rFonts w:ascii="宋体" w:hAnsi="宋体" w:eastAsia="宋体" w:cs="宋体"/>
          <w:sz w:val="23"/>
          <w:szCs w:val="23"/>
        </w:rPr>
      </w:pPr>
      <w:r>
        <w:rPr>
          <w:rFonts w:ascii="宋体" w:hAnsi="宋体" w:eastAsia="宋体" w:cs="宋体"/>
          <w:spacing w:val="7"/>
          <w:sz w:val="23"/>
          <w:szCs w:val="23"/>
        </w:rPr>
        <w:t>生产设施风险识别范围包括：生产装置、贮运系统、公用工程系统、工程</w:t>
      </w:r>
      <w:r>
        <w:rPr>
          <w:rFonts w:ascii="宋体" w:hAnsi="宋体" w:eastAsia="宋体" w:cs="宋体"/>
          <w:spacing w:val="1"/>
          <w:sz w:val="23"/>
          <w:szCs w:val="23"/>
        </w:rPr>
        <w:t>环</w:t>
      </w:r>
      <w:r>
        <w:rPr>
          <w:rFonts w:ascii="宋体" w:hAnsi="宋体" w:eastAsia="宋体" w:cs="宋体"/>
          <w:sz w:val="23"/>
          <w:szCs w:val="23"/>
        </w:rPr>
        <w:t xml:space="preserve"> </w:t>
      </w:r>
      <w:r>
        <w:rPr>
          <w:rFonts w:ascii="宋体" w:hAnsi="宋体" w:eastAsia="宋体" w:cs="宋体"/>
          <w:spacing w:val="9"/>
          <w:sz w:val="23"/>
          <w:szCs w:val="23"/>
        </w:rPr>
        <w:t>保</w:t>
      </w:r>
      <w:r>
        <w:rPr>
          <w:rFonts w:ascii="宋体" w:hAnsi="宋体" w:eastAsia="宋体" w:cs="宋体"/>
          <w:spacing w:val="7"/>
          <w:sz w:val="23"/>
          <w:szCs w:val="23"/>
        </w:rPr>
        <w:t>设施及辅助生产设施等。拟建项目生产设备不属于高温、高压设备，出现事故</w:t>
      </w:r>
      <w:r>
        <w:rPr>
          <w:rFonts w:ascii="宋体" w:hAnsi="宋体" w:eastAsia="宋体" w:cs="宋体"/>
          <w:sz w:val="23"/>
          <w:szCs w:val="23"/>
        </w:rPr>
        <w:t xml:space="preserve"> </w:t>
      </w:r>
      <w:r>
        <w:rPr>
          <w:rFonts w:ascii="宋体" w:hAnsi="宋体" w:eastAsia="宋体" w:cs="宋体"/>
          <w:spacing w:val="4"/>
          <w:sz w:val="23"/>
          <w:szCs w:val="23"/>
        </w:rPr>
        <w:t>的可能</w:t>
      </w:r>
      <w:r>
        <w:rPr>
          <w:rFonts w:ascii="宋体" w:hAnsi="宋体" w:eastAsia="宋体" w:cs="宋体"/>
          <w:spacing w:val="3"/>
          <w:sz w:val="23"/>
          <w:szCs w:val="23"/>
        </w:rPr>
        <w:t>性</w:t>
      </w:r>
      <w:r>
        <w:rPr>
          <w:rFonts w:ascii="宋体" w:hAnsi="宋体" w:eastAsia="宋体" w:cs="宋体"/>
          <w:spacing w:val="2"/>
          <w:sz w:val="23"/>
          <w:szCs w:val="23"/>
        </w:rPr>
        <w:t>甚微；根据物料性质及生产工艺，由于废塑料在清洗等工序含水量较大，</w:t>
      </w:r>
      <w:r>
        <w:rPr>
          <w:rFonts w:ascii="宋体" w:hAnsi="宋体" w:eastAsia="宋体" w:cs="宋体"/>
          <w:sz w:val="23"/>
          <w:szCs w:val="23"/>
        </w:rPr>
        <w:t xml:space="preserve"> </w:t>
      </w:r>
      <w:r>
        <w:rPr>
          <w:rFonts w:ascii="宋体" w:hAnsi="宋体" w:eastAsia="宋体" w:cs="宋体"/>
          <w:spacing w:val="7"/>
          <w:sz w:val="23"/>
          <w:szCs w:val="23"/>
        </w:rPr>
        <w:t>几乎不可能发生火灾事故，可能存在火灾风险的单元主要为仓库 (用于储存原</w:t>
      </w:r>
      <w:r>
        <w:rPr>
          <w:rFonts w:ascii="宋体" w:hAnsi="宋体" w:eastAsia="宋体" w:cs="宋体"/>
          <w:spacing w:val="2"/>
          <w:sz w:val="23"/>
          <w:szCs w:val="23"/>
        </w:rPr>
        <w:t>料</w:t>
      </w:r>
      <w:r>
        <w:rPr>
          <w:rFonts w:ascii="宋体" w:hAnsi="宋体" w:eastAsia="宋体" w:cs="宋体"/>
          <w:sz w:val="23"/>
          <w:szCs w:val="23"/>
        </w:rPr>
        <w:t xml:space="preserve"> </w:t>
      </w:r>
      <w:r>
        <w:rPr>
          <w:rFonts w:ascii="宋体" w:hAnsi="宋体" w:eastAsia="宋体" w:cs="宋体"/>
          <w:spacing w:val="7"/>
          <w:sz w:val="23"/>
          <w:szCs w:val="23"/>
        </w:rPr>
        <w:t>及产品) ，因此确定拟建项目潜在的风险为火灾事故。本项目生产设施风险类</w:t>
      </w:r>
      <w:r>
        <w:rPr>
          <w:rFonts w:ascii="宋体" w:hAnsi="宋体" w:eastAsia="宋体" w:cs="宋体"/>
          <w:spacing w:val="2"/>
          <w:sz w:val="23"/>
          <w:szCs w:val="23"/>
        </w:rPr>
        <w:t>型</w:t>
      </w:r>
      <w:r>
        <w:rPr>
          <w:rFonts w:ascii="宋体" w:hAnsi="宋体" w:eastAsia="宋体" w:cs="宋体"/>
          <w:sz w:val="23"/>
          <w:szCs w:val="23"/>
        </w:rPr>
        <w:t xml:space="preserve"> </w:t>
      </w:r>
      <w:r>
        <w:rPr>
          <w:rFonts w:ascii="宋体" w:hAnsi="宋体" w:eastAsia="宋体" w:cs="宋体"/>
          <w:spacing w:val="1"/>
          <w:sz w:val="23"/>
          <w:szCs w:val="23"/>
        </w:rPr>
        <w:t xml:space="preserve">识别结果见表 </w:t>
      </w:r>
      <w:r>
        <w:rPr>
          <w:rFonts w:ascii="Times New Roman" w:hAnsi="Times New Roman" w:eastAsia="Times New Roman" w:cs="Times New Roman"/>
          <w:spacing w:val="1"/>
          <w:sz w:val="23"/>
          <w:szCs w:val="23"/>
        </w:rPr>
        <w:t>7-</w:t>
      </w:r>
      <w:r>
        <w:rPr>
          <w:rFonts w:ascii="Times New Roman" w:hAnsi="Times New Roman" w:eastAsia="Times New Roman" w:cs="Times New Roman"/>
          <w:sz w:val="23"/>
          <w:szCs w:val="23"/>
        </w:rPr>
        <w:t>7</w:t>
      </w:r>
      <w:r>
        <w:rPr>
          <w:rFonts w:ascii="宋体" w:hAnsi="宋体" w:eastAsia="宋体" w:cs="宋体"/>
          <w:sz w:val="23"/>
          <w:szCs w:val="23"/>
        </w:rPr>
        <w:t>。</w:t>
      </w:r>
    </w:p>
    <w:p w14:paraId="26128991">
      <w:pPr>
        <w:spacing w:before="137" w:line="227" w:lineRule="auto"/>
        <w:ind w:left="215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7-</w:t>
      </w:r>
      <w:r>
        <w:rPr>
          <w:rFonts w:ascii="Times New Roman" w:hAnsi="Times New Roman" w:eastAsia="Times New Roman" w:cs="Times New Roman"/>
          <w:b/>
          <w:bCs/>
          <w:spacing w:val="7"/>
          <w:sz w:val="23"/>
          <w:szCs w:val="23"/>
        </w:rPr>
        <w:t>7</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生产设施风险识别结果一览表</w:t>
      </w:r>
    </w:p>
    <w:p w14:paraId="7DBD690D">
      <w:pPr>
        <w:spacing w:line="17"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1"/>
        <w:gridCol w:w="1674"/>
        <w:gridCol w:w="1809"/>
        <w:gridCol w:w="1809"/>
        <w:gridCol w:w="1809"/>
      </w:tblGrid>
      <w:tr w14:paraId="2DCA4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5" w:type="dxa"/>
            <w:gridSpan w:val="2"/>
            <w:tcBorders>
              <w:left w:val="nil"/>
            </w:tcBorders>
            <w:vAlign w:val="top"/>
          </w:tcPr>
          <w:p w14:paraId="14927430">
            <w:pPr>
              <w:spacing w:before="76" w:line="228" w:lineRule="auto"/>
              <w:ind w:left="113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装</w:t>
            </w:r>
            <w:r>
              <w:rPr>
                <w:rFonts w:ascii="宋体" w:hAnsi="宋体" w:eastAsia="宋体" w:cs="宋体"/>
                <w:spacing w:val="8"/>
                <w:sz w:val="20"/>
                <w:szCs w:val="20"/>
                <w14:textOutline w14:w="3795" w14:cap="sq" w14:cmpd="sng">
                  <w14:solidFill>
                    <w14:srgbClr w14:val="000000"/>
                  </w14:solidFill>
                  <w14:prstDash w14:val="solid"/>
                  <w14:bevel/>
                </w14:textOutline>
              </w:rPr>
              <w:t>置单元</w:t>
            </w:r>
          </w:p>
        </w:tc>
        <w:tc>
          <w:tcPr>
            <w:tcW w:w="1809" w:type="dxa"/>
            <w:vAlign w:val="top"/>
          </w:tcPr>
          <w:p w14:paraId="3391D9E8">
            <w:pPr>
              <w:spacing w:before="76" w:line="228" w:lineRule="auto"/>
              <w:ind w:left="48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险物质</w:t>
            </w:r>
          </w:p>
        </w:tc>
        <w:tc>
          <w:tcPr>
            <w:tcW w:w="1809" w:type="dxa"/>
            <w:vAlign w:val="top"/>
          </w:tcPr>
          <w:p w14:paraId="7B58F44A">
            <w:pPr>
              <w:spacing w:before="75" w:line="228" w:lineRule="auto"/>
              <w:ind w:left="49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险类型</w:t>
            </w:r>
          </w:p>
        </w:tc>
        <w:tc>
          <w:tcPr>
            <w:tcW w:w="1809" w:type="dxa"/>
            <w:tcBorders>
              <w:right w:val="nil"/>
            </w:tcBorders>
            <w:vAlign w:val="top"/>
          </w:tcPr>
          <w:p w14:paraId="0C3B3A13">
            <w:pPr>
              <w:spacing w:before="75" w:line="228" w:lineRule="auto"/>
              <w:ind w:left="49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危险等</w:t>
            </w:r>
            <w:r>
              <w:rPr>
                <w:rFonts w:ascii="宋体" w:hAnsi="宋体" w:eastAsia="宋体" w:cs="宋体"/>
                <w:spacing w:val="7"/>
                <w:sz w:val="20"/>
                <w:szCs w:val="20"/>
                <w14:textOutline w14:w="3795" w14:cap="sq" w14:cmpd="sng">
                  <w14:solidFill>
                    <w14:srgbClr w14:val="000000"/>
                  </w14:solidFill>
                  <w14:prstDash w14:val="solid"/>
                  <w14:bevel/>
                </w14:textOutline>
              </w:rPr>
              <w:t>级</w:t>
            </w:r>
          </w:p>
        </w:tc>
      </w:tr>
      <w:tr w14:paraId="66B5B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421" w:type="dxa"/>
            <w:vMerge w:val="restart"/>
            <w:tcBorders>
              <w:left w:val="nil"/>
              <w:bottom w:val="nil"/>
            </w:tcBorders>
            <w:vAlign w:val="top"/>
          </w:tcPr>
          <w:p w14:paraId="6B6E9F23">
            <w:pPr>
              <w:spacing w:before="225" w:line="228" w:lineRule="auto"/>
              <w:ind w:left="297"/>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7"/>
                <w:sz w:val="20"/>
                <w:szCs w:val="20"/>
              </w:rPr>
              <w:t>运工程</w:t>
            </w:r>
          </w:p>
        </w:tc>
        <w:tc>
          <w:tcPr>
            <w:tcW w:w="1674" w:type="dxa"/>
            <w:vAlign w:val="top"/>
          </w:tcPr>
          <w:p w14:paraId="5C23D937">
            <w:pPr>
              <w:spacing w:before="52" w:line="228" w:lineRule="auto"/>
              <w:ind w:left="533"/>
              <w:rPr>
                <w:rFonts w:ascii="宋体" w:hAnsi="宋体" w:eastAsia="宋体" w:cs="宋体"/>
                <w:sz w:val="20"/>
                <w:szCs w:val="20"/>
              </w:rPr>
            </w:pPr>
            <w:r>
              <w:rPr>
                <w:rFonts w:ascii="宋体" w:hAnsi="宋体" w:eastAsia="宋体" w:cs="宋体"/>
                <w:spacing w:val="5"/>
                <w:sz w:val="20"/>
                <w:szCs w:val="20"/>
              </w:rPr>
              <w:t>原料库</w:t>
            </w:r>
          </w:p>
        </w:tc>
        <w:tc>
          <w:tcPr>
            <w:tcW w:w="1809" w:type="dxa"/>
            <w:vAlign w:val="top"/>
          </w:tcPr>
          <w:p w14:paraId="04ED7F35">
            <w:pPr>
              <w:spacing w:before="52" w:line="228" w:lineRule="auto"/>
              <w:ind w:left="279"/>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塑料编织袋</w:t>
            </w:r>
          </w:p>
        </w:tc>
        <w:tc>
          <w:tcPr>
            <w:tcW w:w="1809" w:type="dxa"/>
            <w:vAlign w:val="top"/>
          </w:tcPr>
          <w:p w14:paraId="19A2AB66">
            <w:pPr>
              <w:spacing w:before="52" w:line="228" w:lineRule="auto"/>
              <w:ind w:left="700"/>
              <w:rPr>
                <w:rFonts w:ascii="宋体" w:hAnsi="宋体" w:eastAsia="宋体" w:cs="宋体"/>
                <w:sz w:val="20"/>
                <w:szCs w:val="20"/>
              </w:rPr>
            </w:pPr>
            <w:r>
              <w:rPr>
                <w:rFonts w:ascii="宋体" w:hAnsi="宋体" w:eastAsia="宋体" w:cs="宋体"/>
                <w:spacing w:val="4"/>
                <w:sz w:val="20"/>
                <w:szCs w:val="20"/>
              </w:rPr>
              <w:t>火</w:t>
            </w:r>
            <w:r>
              <w:rPr>
                <w:rFonts w:ascii="宋体" w:hAnsi="宋体" w:eastAsia="宋体" w:cs="宋体"/>
                <w:spacing w:val="3"/>
                <w:sz w:val="20"/>
                <w:szCs w:val="20"/>
              </w:rPr>
              <w:t>灾</w:t>
            </w:r>
          </w:p>
        </w:tc>
        <w:tc>
          <w:tcPr>
            <w:tcW w:w="1809" w:type="dxa"/>
            <w:tcBorders>
              <w:right w:val="nil"/>
            </w:tcBorders>
            <w:vAlign w:val="top"/>
          </w:tcPr>
          <w:p w14:paraId="29853AB1">
            <w:pPr>
              <w:spacing w:before="53" w:line="228" w:lineRule="auto"/>
              <w:ind w:left="491"/>
              <w:rPr>
                <w:rFonts w:ascii="宋体" w:hAnsi="宋体" w:eastAsia="宋体" w:cs="宋体"/>
                <w:sz w:val="20"/>
                <w:szCs w:val="20"/>
              </w:rPr>
            </w:pPr>
            <w:r>
              <w:rPr>
                <w:rFonts w:ascii="宋体" w:hAnsi="宋体" w:eastAsia="宋体" w:cs="宋体"/>
                <w:spacing w:val="7"/>
                <w:sz w:val="20"/>
                <w:szCs w:val="20"/>
              </w:rPr>
              <w:t>稍有危险</w:t>
            </w:r>
          </w:p>
        </w:tc>
      </w:tr>
      <w:tr w14:paraId="1D2EC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421" w:type="dxa"/>
            <w:vMerge w:val="continue"/>
            <w:tcBorders>
              <w:top w:val="nil"/>
              <w:left w:val="nil"/>
            </w:tcBorders>
            <w:vAlign w:val="top"/>
          </w:tcPr>
          <w:p w14:paraId="49E30C3C">
            <w:pPr>
              <w:rPr>
                <w:rFonts w:ascii="Arial"/>
                <w:sz w:val="21"/>
              </w:rPr>
            </w:pPr>
          </w:p>
        </w:tc>
        <w:tc>
          <w:tcPr>
            <w:tcW w:w="1674" w:type="dxa"/>
            <w:vAlign w:val="top"/>
          </w:tcPr>
          <w:p w14:paraId="5B6A521C">
            <w:pPr>
              <w:spacing w:before="75" w:line="228" w:lineRule="auto"/>
              <w:ind w:left="530"/>
              <w:rPr>
                <w:rFonts w:ascii="宋体" w:hAnsi="宋体" w:eastAsia="宋体" w:cs="宋体"/>
                <w:sz w:val="20"/>
                <w:szCs w:val="20"/>
              </w:rPr>
            </w:pPr>
            <w:r>
              <w:rPr>
                <w:rFonts w:ascii="宋体" w:hAnsi="宋体" w:eastAsia="宋体" w:cs="宋体"/>
                <w:spacing w:val="7"/>
                <w:sz w:val="20"/>
                <w:szCs w:val="20"/>
              </w:rPr>
              <w:t>成</w:t>
            </w:r>
            <w:r>
              <w:rPr>
                <w:rFonts w:ascii="宋体" w:hAnsi="宋体" w:eastAsia="宋体" w:cs="宋体"/>
                <w:spacing w:val="6"/>
                <w:sz w:val="20"/>
                <w:szCs w:val="20"/>
              </w:rPr>
              <w:t>品库</w:t>
            </w:r>
          </w:p>
        </w:tc>
        <w:tc>
          <w:tcPr>
            <w:tcW w:w="1809" w:type="dxa"/>
            <w:vAlign w:val="top"/>
          </w:tcPr>
          <w:p w14:paraId="5DC3143D">
            <w:pPr>
              <w:spacing w:before="76" w:line="228" w:lineRule="auto"/>
              <w:ind w:left="281"/>
              <w:rPr>
                <w:rFonts w:ascii="宋体" w:hAnsi="宋体" w:eastAsia="宋体" w:cs="宋体"/>
                <w:sz w:val="20"/>
                <w:szCs w:val="20"/>
              </w:rPr>
            </w:pPr>
            <w:r>
              <w:rPr>
                <w:rFonts w:ascii="宋体" w:hAnsi="宋体" w:eastAsia="宋体" w:cs="宋体"/>
                <w:spacing w:val="8"/>
                <w:sz w:val="20"/>
                <w:szCs w:val="20"/>
              </w:rPr>
              <w:t>再生塑料颗</w:t>
            </w:r>
            <w:r>
              <w:rPr>
                <w:rFonts w:ascii="宋体" w:hAnsi="宋体" w:eastAsia="宋体" w:cs="宋体"/>
                <w:spacing w:val="7"/>
                <w:sz w:val="20"/>
                <w:szCs w:val="20"/>
              </w:rPr>
              <w:t>粒</w:t>
            </w:r>
          </w:p>
        </w:tc>
        <w:tc>
          <w:tcPr>
            <w:tcW w:w="1809" w:type="dxa"/>
            <w:vAlign w:val="top"/>
          </w:tcPr>
          <w:p w14:paraId="691415B7">
            <w:pPr>
              <w:spacing w:before="75" w:line="228" w:lineRule="auto"/>
              <w:ind w:left="700"/>
              <w:rPr>
                <w:rFonts w:ascii="宋体" w:hAnsi="宋体" w:eastAsia="宋体" w:cs="宋体"/>
                <w:sz w:val="20"/>
                <w:szCs w:val="20"/>
              </w:rPr>
            </w:pPr>
            <w:r>
              <w:rPr>
                <w:rFonts w:ascii="宋体" w:hAnsi="宋体" w:eastAsia="宋体" w:cs="宋体"/>
                <w:spacing w:val="4"/>
                <w:sz w:val="20"/>
                <w:szCs w:val="20"/>
              </w:rPr>
              <w:t>火</w:t>
            </w:r>
            <w:r>
              <w:rPr>
                <w:rFonts w:ascii="宋体" w:hAnsi="宋体" w:eastAsia="宋体" w:cs="宋体"/>
                <w:spacing w:val="3"/>
                <w:sz w:val="20"/>
                <w:szCs w:val="20"/>
              </w:rPr>
              <w:t>灾</w:t>
            </w:r>
          </w:p>
        </w:tc>
        <w:tc>
          <w:tcPr>
            <w:tcW w:w="1809" w:type="dxa"/>
            <w:tcBorders>
              <w:right w:val="nil"/>
            </w:tcBorders>
            <w:vAlign w:val="top"/>
          </w:tcPr>
          <w:p w14:paraId="747120BE">
            <w:pPr>
              <w:spacing w:before="76" w:line="228" w:lineRule="auto"/>
              <w:ind w:left="491"/>
              <w:rPr>
                <w:rFonts w:ascii="宋体" w:hAnsi="宋体" w:eastAsia="宋体" w:cs="宋体"/>
                <w:sz w:val="20"/>
                <w:szCs w:val="20"/>
              </w:rPr>
            </w:pPr>
            <w:r>
              <w:rPr>
                <w:rFonts w:ascii="宋体" w:hAnsi="宋体" w:eastAsia="宋体" w:cs="宋体"/>
                <w:spacing w:val="7"/>
                <w:sz w:val="20"/>
                <w:szCs w:val="20"/>
              </w:rPr>
              <w:t>稍有危险</w:t>
            </w:r>
          </w:p>
        </w:tc>
      </w:tr>
    </w:tbl>
    <w:p w14:paraId="06DE0C5E">
      <w:pPr>
        <w:spacing w:before="267" w:line="225" w:lineRule="auto"/>
        <w:ind w:left="118"/>
        <w:outlineLvl w:val="1"/>
        <w:rPr>
          <w:rFonts w:ascii="宋体" w:hAnsi="宋体" w:eastAsia="宋体" w:cs="宋体"/>
          <w:sz w:val="31"/>
          <w:szCs w:val="31"/>
        </w:rPr>
      </w:pPr>
      <w:bookmarkStart w:id="32" w:name="_bookmark33"/>
      <w:bookmarkEnd w:id="32"/>
      <w:r>
        <w:rPr>
          <w:rFonts w:ascii="Times New Roman" w:hAnsi="Times New Roman" w:eastAsia="Times New Roman" w:cs="Times New Roman"/>
          <w:b/>
          <w:bCs/>
          <w:spacing w:val="16"/>
          <w:sz w:val="31"/>
          <w:szCs w:val="31"/>
        </w:rPr>
        <w:t>7</w:t>
      </w:r>
      <w:r>
        <w:rPr>
          <w:rFonts w:ascii="Times New Roman" w:hAnsi="Times New Roman" w:eastAsia="Times New Roman" w:cs="Times New Roman"/>
          <w:b/>
          <w:bCs/>
          <w:spacing w:val="8"/>
          <w:sz w:val="31"/>
          <w:szCs w:val="31"/>
        </w:rPr>
        <w:t>.4</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事故风险类型及危害方式、途径</w:t>
      </w:r>
    </w:p>
    <w:p w14:paraId="46C20E94">
      <w:pPr>
        <w:spacing w:line="249" w:lineRule="auto"/>
        <w:rPr>
          <w:rFonts w:ascii="Arial"/>
          <w:sz w:val="21"/>
        </w:rPr>
      </w:pPr>
    </w:p>
    <w:p w14:paraId="4CC114D4">
      <w:pPr>
        <w:spacing w:before="75" w:line="391" w:lineRule="auto"/>
        <w:ind w:left="116" w:right="107" w:firstLine="481"/>
        <w:rPr>
          <w:rFonts w:ascii="宋体" w:hAnsi="宋体" w:eastAsia="宋体" w:cs="宋体"/>
          <w:sz w:val="23"/>
          <w:szCs w:val="23"/>
        </w:rPr>
      </w:pPr>
      <w:r>
        <w:rPr>
          <w:rFonts w:ascii="宋体" w:hAnsi="宋体" w:eastAsia="宋体" w:cs="宋体"/>
          <w:spacing w:val="7"/>
          <w:sz w:val="23"/>
          <w:szCs w:val="23"/>
        </w:rPr>
        <w:t>本项目可能发生的事故风险类型为：聚乙烯、聚丙烯燃烧风险，三级沉淀</w:t>
      </w:r>
      <w:r>
        <w:rPr>
          <w:rFonts w:ascii="宋体" w:hAnsi="宋体" w:eastAsia="宋体" w:cs="宋体"/>
          <w:spacing w:val="2"/>
          <w:sz w:val="23"/>
          <w:szCs w:val="23"/>
        </w:rPr>
        <w:t>池</w:t>
      </w:r>
      <w:r>
        <w:rPr>
          <w:rFonts w:ascii="宋体" w:hAnsi="宋体" w:eastAsia="宋体" w:cs="宋体"/>
          <w:sz w:val="23"/>
          <w:szCs w:val="23"/>
        </w:rPr>
        <w:t xml:space="preserve"> </w:t>
      </w:r>
      <w:r>
        <w:rPr>
          <w:rFonts w:ascii="宋体" w:hAnsi="宋体" w:eastAsia="宋体" w:cs="宋体"/>
          <w:spacing w:val="9"/>
          <w:sz w:val="23"/>
          <w:szCs w:val="23"/>
        </w:rPr>
        <w:t>废</w:t>
      </w:r>
      <w:r>
        <w:rPr>
          <w:rFonts w:ascii="宋体" w:hAnsi="宋体" w:eastAsia="宋体" w:cs="宋体"/>
          <w:spacing w:val="7"/>
          <w:sz w:val="23"/>
          <w:szCs w:val="23"/>
        </w:rPr>
        <w:t>水泄漏造成地下水环境污染。聚乙烯、聚丙烯为无毒、无臭、无味的乳白色高</w:t>
      </w:r>
      <w:r>
        <w:rPr>
          <w:rFonts w:ascii="宋体" w:hAnsi="宋体" w:eastAsia="宋体" w:cs="宋体"/>
          <w:sz w:val="23"/>
          <w:szCs w:val="23"/>
        </w:rPr>
        <w:t xml:space="preserve"> </w:t>
      </w:r>
      <w:r>
        <w:rPr>
          <w:rFonts w:ascii="宋体" w:hAnsi="宋体" w:eastAsia="宋体" w:cs="宋体"/>
          <w:spacing w:val="9"/>
          <w:sz w:val="23"/>
          <w:szCs w:val="23"/>
        </w:rPr>
        <w:t>结</w:t>
      </w:r>
      <w:r>
        <w:rPr>
          <w:rFonts w:ascii="宋体" w:hAnsi="宋体" w:eastAsia="宋体" w:cs="宋体"/>
          <w:spacing w:val="7"/>
          <w:sz w:val="23"/>
          <w:szCs w:val="23"/>
        </w:rPr>
        <w:t>晶的聚合物，不含有卤素、苯、硫等有毒有害物质，燃烧时对外环境的主要影</w:t>
      </w:r>
    </w:p>
    <w:p w14:paraId="186200B9">
      <w:pPr>
        <w:sectPr>
          <w:headerReference r:id="rId297" w:type="default"/>
          <w:footerReference r:id="rId298" w:type="default"/>
          <w:pgSz w:w="11906" w:h="16839"/>
          <w:pgMar w:top="1132" w:right="1691" w:bottom="1182" w:left="1691" w:header="878" w:footer="1022" w:gutter="0"/>
          <w:cols w:space="720" w:num="1"/>
        </w:sectPr>
      </w:pPr>
    </w:p>
    <w:p w14:paraId="450CE19C">
      <w:pPr>
        <w:spacing w:line="408" w:lineRule="auto"/>
        <w:rPr>
          <w:rFonts w:ascii="Arial"/>
          <w:sz w:val="21"/>
        </w:rPr>
      </w:pPr>
      <w:r>
        <w:pict>
          <v:shape id="_x0000_s1363" o:spid="_x0000_s1363" style="position:absolute;left:0pt;margin-left:90pt;margin-top:57.35pt;height:0.75pt;width:415.3pt;mso-position-horizontal-relative:page;mso-position-vertical-relative:page;z-index:252055552;mso-width-relative:page;mso-height-relative:page;" fillcolor="#000000" filled="t" stroked="f" coordsize="8305,15" o:allowincell="f" path="m0,0l8305,0,8305,14,0,14,0,0xe">
            <v:path/>
            <v:fill on="t" focussize="0,0"/>
            <v:stroke on="f"/>
            <v:imagedata o:title=""/>
            <o:lock v:ext="edit"/>
          </v:shape>
        </w:pict>
      </w:r>
    </w:p>
    <w:p w14:paraId="451EF786">
      <w:pPr>
        <w:spacing w:before="75" w:line="227" w:lineRule="auto"/>
        <w:ind w:left="129"/>
        <w:rPr>
          <w:rFonts w:ascii="宋体" w:hAnsi="宋体" w:eastAsia="宋体" w:cs="宋体"/>
          <w:sz w:val="23"/>
          <w:szCs w:val="23"/>
        </w:rPr>
      </w:pPr>
      <w:r>
        <w:rPr>
          <w:rFonts w:ascii="宋体" w:hAnsi="宋体" w:eastAsia="宋体" w:cs="宋体"/>
          <w:spacing w:val="9"/>
          <w:sz w:val="23"/>
          <w:szCs w:val="23"/>
        </w:rPr>
        <w:t>响为燃烧热和烟尘，因此本项目火灾对区域大气环境影响有限</w:t>
      </w:r>
      <w:r>
        <w:rPr>
          <w:rFonts w:ascii="宋体" w:hAnsi="宋体" w:eastAsia="宋体" w:cs="宋体"/>
          <w:spacing w:val="5"/>
          <w:sz w:val="23"/>
          <w:szCs w:val="23"/>
        </w:rPr>
        <w:t>。</w:t>
      </w:r>
    </w:p>
    <w:p w14:paraId="03017432">
      <w:pPr>
        <w:spacing w:before="286" w:line="225" w:lineRule="auto"/>
        <w:ind w:left="118"/>
        <w:outlineLvl w:val="1"/>
        <w:rPr>
          <w:rFonts w:ascii="宋体" w:hAnsi="宋体" w:eastAsia="宋体" w:cs="宋体"/>
          <w:sz w:val="31"/>
          <w:szCs w:val="31"/>
        </w:rPr>
      </w:pPr>
      <w:bookmarkStart w:id="33" w:name="_bookmark34"/>
      <w:bookmarkEnd w:id="33"/>
      <w:r>
        <w:rPr>
          <w:rFonts w:ascii="Times New Roman" w:hAnsi="Times New Roman" w:eastAsia="Times New Roman" w:cs="Times New Roman"/>
          <w:b/>
          <w:bCs/>
          <w:spacing w:val="10"/>
          <w:sz w:val="31"/>
          <w:szCs w:val="31"/>
        </w:rPr>
        <w:t>7</w:t>
      </w:r>
      <w:r>
        <w:rPr>
          <w:rFonts w:ascii="Times New Roman" w:hAnsi="Times New Roman" w:eastAsia="Times New Roman" w:cs="Times New Roman"/>
          <w:b/>
          <w:bCs/>
          <w:spacing w:val="6"/>
          <w:sz w:val="31"/>
          <w:szCs w:val="31"/>
        </w:rPr>
        <w:t>.5</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环境风险分析</w:t>
      </w:r>
    </w:p>
    <w:p w14:paraId="36919F2C">
      <w:pPr>
        <w:spacing w:before="273"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6"/>
          <w:sz w:val="29"/>
          <w:szCs w:val="29"/>
        </w:rPr>
        <w:t>7.5.1</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最大可信事故</w:t>
      </w:r>
    </w:p>
    <w:p w14:paraId="03FD9D1E">
      <w:pPr>
        <w:spacing w:line="257" w:lineRule="auto"/>
        <w:rPr>
          <w:rFonts w:ascii="Arial"/>
          <w:sz w:val="21"/>
        </w:rPr>
      </w:pPr>
    </w:p>
    <w:p w14:paraId="6333E342">
      <w:pPr>
        <w:spacing w:before="74" w:line="227" w:lineRule="auto"/>
        <w:ind w:left="597"/>
        <w:rPr>
          <w:rFonts w:ascii="宋体" w:hAnsi="宋体" w:eastAsia="宋体" w:cs="宋体"/>
          <w:sz w:val="23"/>
          <w:szCs w:val="23"/>
        </w:rPr>
      </w:pPr>
      <w:r>
        <w:rPr>
          <w:rFonts w:ascii="宋体" w:hAnsi="宋体" w:eastAsia="宋体" w:cs="宋体"/>
          <w:spacing w:val="12"/>
          <w:sz w:val="23"/>
          <w:szCs w:val="23"/>
        </w:rPr>
        <w:t>根据国</w:t>
      </w:r>
      <w:r>
        <w:rPr>
          <w:rFonts w:ascii="宋体" w:hAnsi="宋体" w:eastAsia="宋体" w:cs="宋体"/>
          <w:spacing w:val="6"/>
          <w:sz w:val="23"/>
          <w:szCs w:val="23"/>
        </w:rPr>
        <w:t xml:space="preserve">内外类比情况调查，各类事故可能发生的概率见表 </w:t>
      </w:r>
      <w:r>
        <w:rPr>
          <w:rFonts w:ascii="Times New Roman" w:hAnsi="Times New Roman" w:eastAsia="Times New Roman" w:cs="Times New Roman"/>
          <w:spacing w:val="6"/>
          <w:sz w:val="23"/>
          <w:szCs w:val="23"/>
        </w:rPr>
        <w:t>7-8</w:t>
      </w:r>
      <w:r>
        <w:rPr>
          <w:rFonts w:ascii="宋体" w:hAnsi="宋体" w:eastAsia="宋体" w:cs="宋体"/>
          <w:spacing w:val="6"/>
          <w:sz w:val="23"/>
          <w:szCs w:val="23"/>
        </w:rPr>
        <w:t>。</w:t>
      </w:r>
    </w:p>
    <w:p w14:paraId="2C684A89">
      <w:pPr>
        <w:spacing w:line="276" w:lineRule="auto"/>
        <w:rPr>
          <w:rFonts w:ascii="Arial"/>
          <w:sz w:val="21"/>
        </w:rPr>
      </w:pPr>
    </w:p>
    <w:p w14:paraId="66972B6C">
      <w:pPr>
        <w:spacing w:before="75" w:line="227" w:lineRule="auto"/>
        <w:ind w:left="275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3"/>
          <w:sz w:val="23"/>
          <w:szCs w:val="23"/>
        </w:rPr>
        <w:t>7-8</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可能发生事故概率</w:t>
      </w:r>
    </w:p>
    <w:p w14:paraId="675719E8">
      <w:pPr>
        <w:spacing w:line="18" w:lineRule="exact"/>
      </w:pPr>
    </w:p>
    <w:tbl>
      <w:tblPr>
        <w:tblStyle w:val="4"/>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824"/>
        <w:gridCol w:w="1824"/>
        <w:gridCol w:w="4077"/>
      </w:tblGrid>
      <w:tr w14:paraId="5DB6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97" w:type="dxa"/>
            <w:tcBorders>
              <w:left w:val="nil"/>
            </w:tcBorders>
            <w:vAlign w:val="top"/>
          </w:tcPr>
          <w:p w14:paraId="38CE8BB3">
            <w:pPr>
              <w:spacing w:before="75" w:line="229" w:lineRule="auto"/>
              <w:ind w:left="19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824" w:type="dxa"/>
            <w:vAlign w:val="top"/>
          </w:tcPr>
          <w:p w14:paraId="7FF37F01">
            <w:pPr>
              <w:spacing w:before="75" w:line="228" w:lineRule="auto"/>
              <w:ind w:left="49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故类型</w:t>
            </w:r>
          </w:p>
        </w:tc>
        <w:tc>
          <w:tcPr>
            <w:tcW w:w="1824" w:type="dxa"/>
            <w:vAlign w:val="top"/>
          </w:tcPr>
          <w:p w14:paraId="56ADB210">
            <w:pPr>
              <w:spacing w:before="76" w:line="228" w:lineRule="auto"/>
              <w:ind w:left="60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发</w:t>
            </w:r>
            <w:r>
              <w:rPr>
                <w:rFonts w:ascii="宋体" w:hAnsi="宋体" w:eastAsia="宋体" w:cs="宋体"/>
                <w:spacing w:val="6"/>
                <w:sz w:val="20"/>
                <w:szCs w:val="20"/>
                <w14:textOutline w14:w="3795" w14:cap="sq" w14:cmpd="sng">
                  <w14:solidFill>
                    <w14:srgbClr w14:val="000000"/>
                  </w14:solidFill>
                  <w14:prstDash w14:val="solid"/>
                  <w14:bevel/>
                </w14:textOutline>
              </w:rPr>
              <w:t>生点</w:t>
            </w:r>
          </w:p>
        </w:tc>
        <w:tc>
          <w:tcPr>
            <w:tcW w:w="4077" w:type="dxa"/>
            <w:tcBorders>
              <w:right w:val="nil"/>
            </w:tcBorders>
            <w:vAlign w:val="top"/>
          </w:tcPr>
          <w:p w14:paraId="3EA2C209">
            <w:pPr>
              <w:spacing w:before="76" w:line="228" w:lineRule="auto"/>
              <w:ind w:left="1308"/>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事</w:t>
            </w:r>
            <w:r>
              <w:rPr>
                <w:rFonts w:ascii="宋体" w:hAnsi="宋体" w:eastAsia="宋体" w:cs="宋体"/>
                <w:spacing w:val="9"/>
                <w:sz w:val="20"/>
                <w:szCs w:val="20"/>
                <w14:textOutline w14:w="3795" w14:cap="sq" w14:cmpd="sng">
                  <w14:solidFill>
                    <w14:srgbClr w14:val="000000"/>
                  </w14:solidFill>
                  <w14:prstDash w14:val="solid"/>
                  <w14:bevel/>
                </w14:textOutline>
              </w:rPr>
              <w:t>故原因、概率</w:t>
            </w:r>
          </w:p>
        </w:tc>
      </w:tr>
      <w:tr w14:paraId="29395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97" w:type="dxa"/>
            <w:tcBorders>
              <w:left w:val="nil"/>
            </w:tcBorders>
            <w:vAlign w:val="top"/>
          </w:tcPr>
          <w:p w14:paraId="74FF9CC5">
            <w:pPr>
              <w:spacing w:before="88"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24" w:type="dxa"/>
            <w:vAlign w:val="top"/>
          </w:tcPr>
          <w:p w14:paraId="673A000F">
            <w:pPr>
              <w:spacing w:before="51" w:line="228" w:lineRule="auto"/>
              <w:ind w:left="710"/>
              <w:rPr>
                <w:rFonts w:ascii="宋体" w:hAnsi="宋体" w:eastAsia="宋体" w:cs="宋体"/>
                <w:sz w:val="20"/>
                <w:szCs w:val="20"/>
              </w:rPr>
            </w:pPr>
            <w:r>
              <w:rPr>
                <w:rFonts w:ascii="宋体" w:hAnsi="宋体" w:eastAsia="宋体" w:cs="宋体"/>
                <w:spacing w:val="4"/>
                <w:sz w:val="20"/>
                <w:szCs w:val="20"/>
              </w:rPr>
              <w:t>火</w:t>
            </w:r>
            <w:r>
              <w:rPr>
                <w:rFonts w:ascii="宋体" w:hAnsi="宋体" w:eastAsia="宋体" w:cs="宋体"/>
                <w:spacing w:val="3"/>
                <w:sz w:val="20"/>
                <w:szCs w:val="20"/>
              </w:rPr>
              <w:t>灾</w:t>
            </w:r>
          </w:p>
        </w:tc>
        <w:tc>
          <w:tcPr>
            <w:tcW w:w="1824" w:type="dxa"/>
            <w:vAlign w:val="top"/>
          </w:tcPr>
          <w:p w14:paraId="4EF3E21A">
            <w:pPr>
              <w:spacing w:before="51" w:line="228" w:lineRule="auto"/>
              <w:ind w:left="500"/>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备故障</w:t>
            </w:r>
          </w:p>
        </w:tc>
        <w:tc>
          <w:tcPr>
            <w:tcW w:w="4077" w:type="dxa"/>
            <w:tcBorders>
              <w:right w:val="nil"/>
            </w:tcBorders>
            <w:vAlign w:val="top"/>
          </w:tcPr>
          <w:p w14:paraId="72EC9894">
            <w:pPr>
              <w:spacing w:before="14" w:line="281" w:lineRule="exact"/>
              <w:ind w:left="119"/>
              <w:rPr>
                <w:rFonts w:ascii="宋体" w:hAnsi="宋体" w:eastAsia="宋体" w:cs="宋体"/>
                <w:sz w:val="20"/>
                <w:szCs w:val="20"/>
              </w:rPr>
            </w:pPr>
            <w:r>
              <w:rPr>
                <w:rFonts w:ascii="宋体" w:hAnsi="宋体" w:eastAsia="宋体" w:cs="宋体"/>
                <w:spacing w:val="10"/>
                <w:position w:val="1"/>
                <w:sz w:val="20"/>
                <w:szCs w:val="20"/>
              </w:rPr>
              <w:t>人</w:t>
            </w:r>
            <w:r>
              <w:rPr>
                <w:rFonts w:ascii="宋体" w:hAnsi="宋体" w:eastAsia="宋体" w:cs="宋体"/>
                <w:spacing w:val="7"/>
                <w:position w:val="1"/>
                <w:sz w:val="20"/>
                <w:szCs w:val="20"/>
              </w:rPr>
              <w:t>为</w:t>
            </w:r>
            <w:r>
              <w:rPr>
                <w:rFonts w:ascii="宋体" w:hAnsi="宋体" w:eastAsia="宋体" w:cs="宋体"/>
                <w:spacing w:val="5"/>
                <w:position w:val="1"/>
                <w:sz w:val="20"/>
                <w:szCs w:val="20"/>
              </w:rPr>
              <w:t xml:space="preserve">操作失误、设施维护不到位 </w:t>
            </w: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5"/>
                <w:position w:val="7"/>
                <w:sz w:val="13"/>
                <w:szCs w:val="13"/>
              </w:rPr>
              <w:t xml:space="preserve">7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年</w:t>
            </w:r>
          </w:p>
        </w:tc>
      </w:tr>
      <w:tr w14:paraId="6A6BD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97" w:type="dxa"/>
            <w:tcBorders>
              <w:left w:val="nil"/>
            </w:tcBorders>
            <w:vAlign w:val="top"/>
          </w:tcPr>
          <w:p w14:paraId="10742CDD">
            <w:pPr>
              <w:spacing w:before="9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24" w:type="dxa"/>
            <w:vAlign w:val="top"/>
          </w:tcPr>
          <w:p w14:paraId="02EB34BA">
            <w:pPr>
              <w:spacing w:before="55" w:line="228" w:lineRule="auto"/>
              <w:ind w:left="49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水泄露</w:t>
            </w:r>
          </w:p>
        </w:tc>
        <w:tc>
          <w:tcPr>
            <w:tcW w:w="1824" w:type="dxa"/>
            <w:vAlign w:val="top"/>
          </w:tcPr>
          <w:p w14:paraId="2201C339">
            <w:pPr>
              <w:spacing w:before="55" w:line="228" w:lineRule="auto"/>
              <w:ind w:left="500"/>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备故障</w:t>
            </w:r>
          </w:p>
        </w:tc>
        <w:tc>
          <w:tcPr>
            <w:tcW w:w="4077" w:type="dxa"/>
            <w:tcBorders>
              <w:right w:val="nil"/>
            </w:tcBorders>
            <w:vAlign w:val="top"/>
          </w:tcPr>
          <w:p w14:paraId="3EE255E6">
            <w:pPr>
              <w:spacing w:before="18" w:line="281" w:lineRule="exact"/>
              <w:ind w:left="119"/>
              <w:rPr>
                <w:rFonts w:ascii="宋体" w:hAnsi="宋体" w:eastAsia="宋体" w:cs="宋体"/>
                <w:sz w:val="20"/>
                <w:szCs w:val="20"/>
              </w:rPr>
            </w:pPr>
            <w:r>
              <w:rPr>
                <w:rFonts w:ascii="宋体" w:hAnsi="宋体" w:eastAsia="宋体" w:cs="宋体"/>
                <w:spacing w:val="10"/>
                <w:position w:val="1"/>
                <w:sz w:val="20"/>
                <w:szCs w:val="20"/>
              </w:rPr>
              <w:t>人</w:t>
            </w:r>
            <w:r>
              <w:rPr>
                <w:rFonts w:ascii="宋体" w:hAnsi="宋体" w:eastAsia="宋体" w:cs="宋体"/>
                <w:spacing w:val="7"/>
                <w:position w:val="1"/>
                <w:sz w:val="20"/>
                <w:szCs w:val="20"/>
              </w:rPr>
              <w:t>为</w:t>
            </w:r>
            <w:r>
              <w:rPr>
                <w:rFonts w:ascii="宋体" w:hAnsi="宋体" w:eastAsia="宋体" w:cs="宋体"/>
                <w:spacing w:val="5"/>
                <w:position w:val="1"/>
                <w:sz w:val="20"/>
                <w:szCs w:val="20"/>
              </w:rPr>
              <w:t xml:space="preserve">操作失误、设施维护不到位 </w:t>
            </w: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5"/>
                <w:position w:val="7"/>
                <w:sz w:val="13"/>
                <w:szCs w:val="13"/>
              </w:rPr>
              <w:t xml:space="preserve">7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年</w:t>
            </w:r>
          </w:p>
        </w:tc>
      </w:tr>
    </w:tbl>
    <w:p w14:paraId="7C62021C">
      <w:pPr>
        <w:spacing w:before="284"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12"/>
          <w:sz w:val="29"/>
          <w:szCs w:val="29"/>
        </w:rPr>
        <w:t>7</w:t>
      </w:r>
      <w:r>
        <w:rPr>
          <w:rFonts w:ascii="Times New Roman" w:hAnsi="Times New Roman" w:eastAsia="Times New Roman" w:cs="Times New Roman"/>
          <w:b/>
          <w:bCs/>
          <w:spacing w:val="10"/>
          <w:sz w:val="29"/>
          <w:szCs w:val="29"/>
        </w:rPr>
        <w:t>.</w:t>
      </w:r>
      <w:r>
        <w:rPr>
          <w:rFonts w:ascii="Times New Roman" w:hAnsi="Times New Roman" w:eastAsia="Times New Roman" w:cs="Times New Roman"/>
          <w:b/>
          <w:bCs/>
          <w:spacing w:val="6"/>
          <w:sz w:val="29"/>
          <w:szCs w:val="29"/>
        </w:rPr>
        <w:t>5.2</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大气环境影响分析</w:t>
      </w:r>
    </w:p>
    <w:p w14:paraId="119B8826">
      <w:pPr>
        <w:spacing w:line="253" w:lineRule="auto"/>
        <w:rPr>
          <w:rFonts w:ascii="Arial"/>
          <w:sz w:val="21"/>
        </w:rPr>
      </w:pPr>
    </w:p>
    <w:p w14:paraId="0D7DFE4C">
      <w:pPr>
        <w:spacing w:before="75" w:line="390" w:lineRule="auto"/>
        <w:ind w:left="116" w:right="53" w:firstLine="495"/>
        <w:rPr>
          <w:rFonts w:ascii="宋体" w:hAnsi="宋体" w:eastAsia="宋体" w:cs="宋体"/>
          <w:sz w:val="23"/>
          <w:szCs w:val="23"/>
        </w:rPr>
      </w:pPr>
      <w:r>
        <w:rPr>
          <w:rFonts w:ascii="宋体" w:hAnsi="宋体" w:eastAsia="宋体" w:cs="宋体"/>
          <w:spacing w:val="12"/>
          <w:sz w:val="23"/>
          <w:szCs w:val="23"/>
        </w:rPr>
        <w:t>当原</w:t>
      </w:r>
      <w:r>
        <w:rPr>
          <w:rFonts w:ascii="宋体" w:hAnsi="宋体" w:eastAsia="宋体" w:cs="宋体"/>
          <w:spacing w:val="7"/>
          <w:sz w:val="23"/>
          <w:szCs w:val="23"/>
        </w:rPr>
        <w:t>料</w:t>
      </w:r>
      <w:r>
        <w:rPr>
          <w:rFonts w:ascii="宋体" w:hAnsi="宋体" w:eastAsia="宋体" w:cs="宋体"/>
          <w:spacing w:val="6"/>
          <w:sz w:val="23"/>
          <w:szCs w:val="23"/>
        </w:rPr>
        <w:t>库、成品库塑料发生着火会放出一定的热量，根据《危险评价方法及</w:t>
      </w:r>
      <w:r>
        <w:rPr>
          <w:rFonts w:ascii="宋体" w:hAnsi="宋体" w:eastAsia="宋体" w:cs="宋体"/>
          <w:sz w:val="23"/>
          <w:szCs w:val="23"/>
        </w:rPr>
        <w:t xml:space="preserve"> </w:t>
      </w:r>
      <w:r>
        <w:rPr>
          <w:rFonts w:ascii="宋体" w:hAnsi="宋体" w:eastAsia="宋体" w:cs="宋体"/>
          <w:spacing w:val="6"/>
          <w:sz w:val="23"/>
          <w:szCs w:val="23"/>
        </w:rPr>
        <w:t xml:space="preserve">其应用》  </w:t>
      </w:r>
      <w:r>
        <w:rPr>
          <w:rFonts w:ascii="宋体" w:hAnsi="宋体" w:eastAsia="宋体" w:cs="宋体"/>
          <w:spacing w:val="3"/>
          <w:sz w:val="23"/>
          <w:szCs w:val="23"/>
        </w:rPr>
        <w:t>(吴宗之、高进东、魏利军编著) 点源模型分析可知，火焰辐射出的能</w:t>
      </w:r>
      <w:r>
        <w:rPr>
          <w:rFonts w:ascii="宋体" w:hAnsi="宋体" w:eastAsia="宋体" w:cs="宋体"/>
          <w:sz w:val="23"/>
          <w:szCs w:val="23"/>
        </w:rPr>
        <w:t xml:space="preserve"> </w:t>
      </w:r>
      <w:r>
        <w:rPr>
          <w:rFonts w:ascii="宋体" w:hAnsi="宋体" w:eastAsia="宋体" w:cs="宋体"/>
          <w:spacing w:val="16"/>
          <w:sz w:val="23"/>
          <w:szCs w:val="23"/>
        </w:rPr>
        <w:t>量为</w:t>
      </w:r>
      <w:r>
        <w:rPr>
          <w:rFonts w:ascii="宋体" w:hAnsi="宋体" w:eastAsia="宋体" w:cs="宋体"/>
          <w:spacing w:val="13"/>
          <w:sz w:val="23"/>
          <w:szCs w:val="23"/>
        </w:rPr>
        <w:t>燃</w:t>
      </w:r>
      <w:r>
        <w:rPr>
          <w:rFonts w:ascii="宋体" w:hAnsi="宋体" w:eastAsia="宋体" w:cs="宋体"/>
          <w:spacing w:val="8"/>
          <w:sz w:val="23"/>
          <w:szCs w:val="23"/>
        </w:rPr>
        <w:t>烧热的一部分，热辐射强度与燃烧速率成正比，与接收距离的平方反比。</w:t>
      </w:r>
      <w:r>
        <w:rPr>
          <w:rFonts w:ascii="宋体" w:hAnsi="宋体" w:eastAsia="宋体" w:cs="宋体"/>
          <w:sz w:val="23"/>
          <w:szCs w:val="23"/>
        </w:rPr>
        <w:t xml:space="preserve"> </w:t>
      </w:r>
      <w:r>
        <w:rPr>
          <w:rFonts w:ascii="宋体" w:hAnsi="宋体" w:eastAsia="宋体" w:cs="宋体"/>
          <w:spacing w:val="9"/>
          <w:sz w:val="23"/>
          <w:szCs w:val="23"/>
        </w:rPr>
        <w:t>当</w:t>
      </w:r>
      <w:r>
        <w:rPr>
          <w:rFonts w:ascii="宋体" w:hAnsi="宋体" w:eastAsia="宋体" w:cs="宋体"/>
          <w:spacing w:val="7"/>
          <w:sz w:val="23"/>
          <w:szCs w:val="23"/>
        </w:rPr>
        <w:t>火灾产生的热辐射强度足够大时，可使周围的物体燃烧或变形，更强烈的热辐</w:t>
      </w:r>
      <w:r>
        <w:rPr>
          <w:rFonts w:ascii="宋体" w:hAnsi="宋体" w:eastAsia="宋体" w:cs="宋体"/>
          <w:sz w:val="23"/>
          <w:szCs w:val="23"/>
        </w:rPr>
        <w:t xml:space="preserve"> </w:t>
      </w:r>
      <w:r>
        <w:rPr>
          <w:rFonts w:ascii="宋体" w:hAnsi="宋体" w:eastAsia="宋体" w:cs="宋体"/>
          <w:spacing w:val="9"/>
          <w:sz w:val="23"/>
          <w:szCs w:val="23"/>
        </w:rPr>
        <w:t>射</w:t>
      </w:r>
      <w:r>
        <w:rPr>
          <w:rFonts w:ascii="宋体" w:hAnsi="宋体" w:eastAsia="宋体" w:cs="宋体"/>
          <w:spacing w:val="7"/>
          <w:sz w:val="23"/>
          <w:szCs w:val="23"/>
        </w:rPr>
        <w:t>可能烧毁设备甚至造成人员伤亡等，热辐射的不同入射通量所造的损失如下表</w:t>
      </w:r>
      <w:r>
        <w:rPr>
          <w:rFonts w:ascii="宋体" w:hAnsi="宋体" w:eastAsia="宋体" w:cs="宋体"/>
          <w:sz w:val="23"/>
          <w:szCs w:val="23"/>
        </w:rPr>
        <w:t xml:space="preserve"> </w:t>
      </w:r>
      <w:r>
        <w:rPr>
          <w:rFonts w:ascii="宋体" w:hAnsi="宋体" w:eastAsia="宋体" w:cs="宋体"/>
          <w:spacing w:val="14"/>
          <w:sz w:val="23"/>
          <w:szCs w:val="23"/>
        </w:rPr>
        <w:t>所示。火灾除以直接产生的热量破坏形式外还会产生次生危害，产生有害气</w:t>
      </w:r>
      <w:r>
        <w:rPr>
          <w:rFonts w:ascii="宋体" w:hAnsi="宋体" w:eastAsia="宋体" w:cs="宋体"/>
          <w:spacing w:val="13"/>
          <w:sz w:val="23"/>
          <w:szCs w:val="23"/>
        </w:rPr>
        <w:t>体</w:t>
      </w:r>
      <w:r>
        <w:rPr>
          <w:rFonts w:ascii="宋体" w:hAnsi="宋体" w:eastAsia="宋体" w:cs="宋体"/>
          <w:sz w:val="23"/>
          <w:szCs w:val="23"/>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pacing w:val="8"/>
          <w:sz w:val="23"/>
          <w:szCs w:val="23"/>
        </w:rPr>
        <w:t xml:space="preserve"> </w:t>
      </w:r>
      <w:r>
        <w:rPr>
          <w:rFonts w:ascii="宋体" w:hAnsi="宋体" w:eastAsia="宋体" w:cs="宋体"/>
          <w:spacing w:val="5"/>
          <w:sz w:val="23"/>
          <w:szCs w:val="23"/>
        </w:rPr>
        <w:t>、</w:t>
      </w:r>
      <w:r>
        <w:rPr>
          <w:rFonts w:ascii="宋体" w:hAnsi="宋体" w:eastAsia="宋体" w:cs="宋体"/>
          <w:spacing w:val="4"/>
          <w:sz w:val="23"/>
          <w:szCs w:val="23"/>
        </w:rPr>
        <w:t>烟尘等，产生燃烧熔滴。</w:t>
      </w:r>
    </w:p>
    <w:p w14:paraId="2F628431">
      <w:pPr>
        <w:spacing w:before="118" w:line="383" w:lineRule="auto"/>
        <w:ind w:left="116" w:right="46" w:firstLine="480"/>
        <w:rPr>
          <w:rFonts w:ascii="宋体" w:hAnsi="宋体" w:eastAsia="宋体" w:cs="宋体"/>
          <w:sz w:val="23"/>
          <w:szCs w:val="23"/>
        </w:rPr>
      </w:pP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4"/>
          <w:sz w:val="23"/>
          <w:szCs w:val="23"/>
        </w:rPr>
        <w:t>的产生量与塑料的消耗量 (即燃烧速率) 、燃烧不完全值成正比。同时，</w:t>
      </w:r>
      <w:r>
        <w:rPr>
          <w:rFonts w:ascii="宋体" w:hAnsi="宋体" w:eastAsia="宋体" w:cs="宋体"/>
          <w:sz w:val="23"/>
          <w:szCs w:val="23"/>
        </w:rPr>
        <w:t xml:space="preserve"> </w:t>
      </w:r>
      <w:r>
        <w:rPr>
          <w:rFonts w:ascii="宋体" w:hAnsi="宋体" w:eastAsia="宋体" w:cs="宋体"/>
          <w:spacing w:val="9"/>
          <w:sz w:val="23"/>
          <w:szCs w:val="23"/>
        </w:rPr>
        <w:t>燃</w:t>
      </w:r>
      <w:r>
        <w:rPr>
          <w:rFonts w:ascii="宋体" w:hAnsi="宋体" w:eastAsia="宋体" w:cs="宋体"/>
          <w:spacing w:val="7"/>
          <w:sz w:val="23"/>
          <w:szCs w:val="23"/>
        </w:rPr>
        <w:t>烧形成的熔滴产生柏油一样的滴落物，会加速火势蔓延，对安全疏散及灭火都</w:t>
      </w:r>
      <w:r>
        <w:rPr>
          <w:rFonts w:ascii="宋体" w:hAnsi="宋体" w:eastAsia="宋体" w:cs="宋体"/>
          <w:sz w:val="23"/>
          <w:szCs w:val="23"/>
        </w:rPr>
        <w:t xml:space="preserve"> </w:t>
      </w:r>
      <w:r>
        <w:rPr>
          <w:rFonts w:ascii="宋体" w:hAnsi="宋体" w:eastAsia="宋体" w:cs="宋体"/>
          <w:spacing w:val="7"/>
          <w:sz w:val="23"/>
          <w:szCs w:val="23"/>
        </w:rPr>
        <w:t xml:space="preserve">有影响。经类比调查，当 </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的产生量为 </w:t>
      </w:r>
      <w:r>
        <w:rPr>
          <w:rFonts w:ascii="Times New Roman" w:hAnsi="Times New Roman" w:eastAsia="Times New Roman" w:cs="Times New Roman"/>
          <w:spacing w:val="7"/>
          <w:sz w:val="23"/>
          <w:szCs w:val="23"/>
        </w:rPr>
        <w:t>0.4456</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时，中毒距离</w:t>
      </w:r>
      <w:r>
        <w:rPr>
          <w:rFonts w:ascii="Times New Roman" w:hAnsi="Times New Roman" w:eastAsia="Times New Roman" w:cs="Times New Roman"/>
          <w:spacing w:val="7"/>
          <w:sz w:val="23"/>
          <w:szCs w:val="23"/>
        </w:rPr>
        <w:t>≤21</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，达</w:t>
      </w:r>
      <w:r>
        <w:rPr>
          <w:rFonts w:ascii="宋体" w:hAnsi="宋体" w:eastAsia="宋体" w:cs="宋体"/>
          <w:spacing w:val="4"/>
          <w:sz w:val="23"/>
          <w:szCs w:val="23"/>
        </w:rPr>
        <w:t>标</w:t>
      </w:r>
      <w:r>
        <w:rPr>
          <w:rFonts w:ascii="宋体" w:hAnsi="宋体" w:eastAsia="宋体" w:cs="宋体"/>
          <w:sz w:val="23"/>
          <w:szCs w:val="23"/>
        </w:rPr>
        <w:t xml:space="preserve"> </w:t>
      </w:r>
      <w:r>
        <w:rPr>
          <w:rFonts w:ascii="宋体" w:hAnsi="宋体" w:eastAsia="宋体" w:cs="宋体"/>
          <w:spacing w:val="10"/>
          <w:sz w:val="23"/>
          <w:szCs w:val="23"/>
        </w:rPr>
        <w:t>距离</w:t>
      </w:r>
      <w:r>
        <w:rPr>
          <w:rFonts w:ascii="Times New Roman" w:hAnsi="Times New Roman" w:eastAsia="Times New Roman" w:cs="Times New Roman"/>
          <w:spacing w:val="10"/>
          <w:sz w:val="23"/>
          <w:szCs w:val="23"/>
        </w:rPr>
        <w:t>&gt;305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。其中中毒距离指当 </w:t>
      </w:r>
      <w:r>
        <w:rPr>
          <w:rFonts w:ascii="Times New Roman" w:hAnsi="Times New Roman" w:eastAsia="Times New Roman" w:cs="Times New Roman"/>
          <w:sz w:val="23"/>
          <w:szCs w:val="23"/>
        </w:rPr>
        <w:t>CO</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在空气中体积浓度达 </w:t>
      </w:r>
      <w:r>
        <w:rPr>
          <w:rFonts w:ascii="Times New Roman" w:hAnsi="Times New Roman" w:eastAsia="Times New Roman" w:cs="Times New Roman"/>
          <w:spacing w:val="5"/>
          <w:sz w:val="23"/>
          <w:szCs w:val="23"/>
        </w:rPr>
        <w:t xml:space="preserve">0.01% </w:t>
      </w:r>
      <w:r>
        <w:rPr>
          <w:rFonts w:ascii="宋体" w:hAnsi="宋体" w:eastAsia="宋体" w:cs="宋体"/>
          <w:spacing w:val="5"/>
          <w:sz w:val="23"/>
          <w:szCs w:val="23"/>
        </w:rPr>
        <w:t xml:space="preserve">，使人呼吸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 xml:space="preserve">h </w:t>
      </w:r>
      <w:r>
        <w:rPr>
          <w:rFonts w:ascii="宋体" w:hAnsi="宋体" w:eastAsia="宋体" w:cs="宋体"/>
          <w:spacing w:val="18"/>
          <w:sz w:val="23"/>
          <w:szCs w:val="23"/>
        </w:rPr>
        <w:t>引起</w:t>
      </w:r>
      <w:r>
        <w:rPr>
          <w:rFonts w:ascii="宋体" w:hAnsi="宋体" w:eastAsia="宋体" w:cs="宋体"/>
          <w:spacing w:val="15"/>
          <w:sz w:val="23"/>
          <w:szCs w:val="23"/>
        </w:rPr>
        <w:t>头</w:t>
      </w:r>
      <w:r>
        <w:rPr>
          <w:rFonts w:ascii="宋体" w:hAnsi="宋体" w:eastAsia="宋体" w:cs="宋体"/>
          <w:spacing w:val="9"/>
          <w:sz w:val="23"/>
          <w:szCs w:val="23"/>
        </w:rPr>
        <w:t>痛呕吐的影响范围；达标距离指当</w:t>
      </w:r>
      <w:r>
        <w:rPr>
          <w:rFonts w:ascii="Times New Roman" w:hAnsi="Times New Roman" w:eastAsia="Times New Roman" w:cs="Times New Roman"/>
          <w:sz w:val="23"/>
          <w:szCs w:val="23"/>
        </w:rPr>
        <w:t>CO</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在空气中扩散浓度符合《居民区大</w:t>
      </w:r>
      <w:r>
        <w:rPr>
          <w:rFonts w:ascii="宋体" w:hAnsi="宋体" w:eastAsia="宋体" w:cs="宋体"/>
          <w:sz w:val="23"/>
          <w:szCs w:val="23"/>
        </w:rPr>
        <w:t xml:space="preserve"> </w:t>
      </w:r>
      <w:r>
        <w:rPr>
          <w:rFonts w:ascii="宋体" w:hAnsi="宋体" w:eastAsia="宋体" w:cs="宋体"/>
          <w:spacing w:val="11"/>
          <w:sz w:val="23"/>
          <w:szCs w:val="23"/>
        </w:rPr>
        <w:t>气</w:t>
      </w:r>
      <w:r>
        <w:rPr>
          <w:rFonts w:ascii="宋体" w:hAnsi="宋体" w:eastAsia="宋体" w:cs="宋体"/>
          <w:spacing w:val="6"/>
          <w:sz w:val="23"/>
          <w:szCs w:val="23"/>
        </w:rPr>
        <w:t xml:space="preserve">中有害物质的最高允许浓度》 中限值 </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3 </w:t>
      </w:r>
      <w:r>
        <w:rPr>
          <w:rFonts w:ascii="宋体" w:hAnsi="宋体" w:eastAsia="宋体" w:cs="宋体"/>
          <w:spacing w:val="6"/>
          <w:sz w:val="23"/>
          <w:szCs w:val="23"/>
        </w:rPr>
        <w:t>时的距离，一旦发生火灾，对</w:t>
      </w:r>
      <w:r>
        <w:rPr>
          <w:rFonts w:ascii="宋体" w:hAnsi="宋体" w:eastAsia="宋体" w:cs="宋体"/>
          <w:sz w:val="23"/>
          <w:szCs w:val="23"/>
        </w:rPr>
        <w:t xml:space="preserve"> </w:t>
      </w:r>
      <w:r>
        <w:rPr>
          <w:rFonts w:ascii="宋体" w:hAnsi="宋体" w:eastAsia="宋体" w:cs="宋体"/>
          <w:spacing w:val="12"/>
          <w:sz w:val="23"/>
          <w:szCs w:val="23"/>
        </w:rPr>
        <w:t>周</w:t>
      </w:r>
      <w:r>
        <w:rPr>
          <w:rFonts w:ascii="宋体" w:hAnsi="宋体" w:eastAsia="宋体" w:cs="宋体"/>
          <w:spacing w:val="9"/>
          <w:sz w:val="23"/>
          <w:szCs w:val="23"/>
        </w:rPr>
        <w:t>边居民安全以及身体健康均会产生一定的影响。</w:t>
      </w:r>
    </w:p>
    <w:p w14:paraId="1E98C54C">
      <w:pPr>
        <w:spacing w:before="123" w:line="226" w:lineRule="auto"/>
        <w:ind w:left="118"/>
        <w:outlineLvl w:val="2"/>
        <w:rPr>
          <w:rFonts w:ascii="宋体" w:hAnsi="宋体" w:eastAsia="宋体" w:cs="宋体"/>
          <w:sz w:val="29"/>
          <w:szCs w:val="29"/>
        </w:rPr>
      </w:pPr>
      <w:r>
        <w:rPr>
          <w:rFonts w:ascii="Times New Roman" w:hAnsi="Times New Roman" w:eastAsia="Times New Roman" w:cs="Times New Roman"/>
          <w:b/>
          <w:bCs/>
          <w:spacing w:val="12"/>
          <w:sz w:val="29"/>
          <w:szCs w:val="29"/>
        </w:rPr>
        <w:t>7</w:t>
      </w:r>
      <w:r>
        <w:rPr>
          <w:rFonts w:ascii="Times New Roman" w:hAnsi="Times New Roman" w:eastAsia="Times New Roman" w:cs="Times New Roman"/>
          <w:b/>
          <w:bCs/>
          <w:spacing w:val="6"/>
          <w:sz w:val="29"/>
          <w:szCs w:val="29"/>
        </w:rPr>
        <w:t>.5.3</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水环境影响分析</w:t>
      </w:r>
    </w:p>
    <w:p w14:paraId="224A4284">
      <w:pPr>
        <w:spacing w:line="257" w:lineRule="auto"/>
        <w:rPr>
          <w:rFonts w:ascii="Arial"/>
          <w:sz w:val="21"/>
        </w:rPr>
      </w:pPr>
    </w:p>
    <w:p w14:paraId="5974265B">
      <w:pPr>
        <w:spacing w:before="75" w:line="227" w:lineRule="auto"/>
        <w:ind w:left="608"/>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生产废</w:t>
      </w:r>
      <w:r>
        <w:rPr>
          <w:rFonts w:ascii="宋体" w:hAnsi="宋体" w:eastAsia="宋体" w:cs="宋体"/>
          <w:spacing w:val="19"/>
          <w:sz w:val="23"/>
          <w:szCs w:val="23"/>
        </w:rPr>
        <w:t>水</w:t>
      </w:r>
    </w:p>
    <w:p w14:paraId="7BDCE578">
      <w:pPr>
        <w:spacing w:line="275" w:lineRule="auto"/>
        <w:rPr>
          <w:rFonts w:ascii="Arial"/>
          <w:sz w:val="21"/>
        </w:rPr>
      </w:pPr>
    </w:p>
    <w:p w14:paraId="03A41F28">
      <w:pPr>
        <w:spacing w:before="76" w:line="227" w:lineRule="auto"/>
        <w:ind w:left="797"/>
        <w:rPr>
          <w:rFonts w:ascii="宋体" w:hAnsi="宋体" w:eastAsia="宋体" w:cs="宋体"/>
          <w:sz w:val="23"/>
          <w:szCs w:val="23"/>
        </w:rPr>
      </w:pPr>
      <w:r>
        <w:rPr>
          <w:rFonts w:ascii="宋体" w:hAnsi="宋体" w:eastAsia="宋体" w:cs="宋体"/>
          <w:spacing w:val="8"/>
          <w:sz w:val="23"/>
          <w:szCs w:val="23"/>
        </w:rPr>
        <w:t>本项目可能由于一体化污水预处理设备或水泵等设备故障，导致含有大量</w:t>
      </w:r>
    </w:p>
    <w:p w14:paraId="20455E51">
      <w:pPr>
        <w:sectPr>
          <w:headerReference r:id="rId299" w:type="default"/>
          <w:footerReference r:id="rId300" w:type="default"/>
          <w:pgSz w:w="11906" w:h="16839"/>
          <w:pgMar w:top="1132" w:right="1691" w:bottom="1182" w:left="1691" w:header="878" w:footer="1022" w:gutter="0"/>
          <w:cols w:space="720" w:num="1"/>
        </w:sectPr>
      </w:pPr>
    </w:p>
    <w:p w14:paraId="76B0E1DB">
      <w:pPr>
        <w:spacing w:line="409" w:lineRule="auto"/>
        <w:rPr>
          <w:rFonts w:ascii="Arial"/>
          <w:sz w:val="21"/>
        </w:rPr>
      </w:pPr>
      <w:r>
        <w:pict>
          <v:shape id="_x0000_s1364" o:spid="_x0000_s1364" style="position:absolute;left:0pt;margin-left:90pt;margin-top:57.35pt;height:0.75pt;width:415.3pt;mso-position-horizontal-relative:page;mso-position-vertical-relative:page;z-index:252056576;mso-width-relative:page;mso-height-relative:page;" fillcolor="#000000" filled="t" stroked="f" coordsize="8305,15" o:allowincell="f" path="m0,0l8305,0,8305,14,0,14,0,0xe">
            <v:path/>
            <v:fill on="t" focussize="0,0"/>
            <v:stroke on="f"/>
            <v:imagedata o:title=""/>
            <o:lock v:ext="edit"/>
          </v:shape>
        </w:pict>
      </w:r>
    </w:p>
    <w:p w14:paraId="32CD6CE4">
      <w:pPr>
        <w:spacing w:before="74" w:line="393" w:lineRule="auto"/>
        <w:ind w:left="221" w:right="101" w:firstLine="3"/>
        <w:rPr>
          <w:rFonts w:ascii="宋体" w:hAnsi="宋体" w:eastAsia="宋体" w:cs="宋体"/>
          <w:sz w:val="23"/>
          <w:szCs w:val="23"/>
        </w:rPr>
      </w:pPr>
      <w:r>
        <w:rPr>
          <w:rFonts w:ascii="宋体" w:hAnsi="宋体" w:eastAsia="宋体" w:cs="宋体"/>
          <w:spacing w:val="10"/>
          <w:sz w:val="23"/>
          <w:szCs w:val="23"/>
        </w:rPr>
        <w:t>悬</w:t>
      </w:r>
      <w:r>
        <w:rPr>
          <w:rFonts w:ascii="宋体" w:hAnsi="宋体" w:eastAsia="宋体" w:cs="宋体"/>
          <w:spacing w:val="8"/>
          <w:sz w:val="23"/>
          <w:szCs w:val="23"/>
        </w:rPr>
        <w:t>浮物的生产废水外溢，将会使废水中的污染物漫流出厂区，对周围土壤及地</w:t>
      </w:r>
      <w:r>
        <w:rPr>
          <w:rFonts w:ascii="宋体" w:hAnsi="宋体" w:eastAsia="宋体" w:cs="宋体"/>
          <w:sz w:val="23"/>
          <w:szCs w:val="23"/>
        </w:rPr>
        <w:t xml:space="preserve"> </w:t>
      </w:r>
      <w:r>
        <w:rPr>
          <w:rFonts w:ascii="宋体" w:hAnsi="宋体" w:eastAsia="宋体" w:cs="宋体"/>
          <w:spacing w:val="12"/>
          <w:sz w:val="23"/>
          <w:szCs w:val="23"/>
        </w:rPr>
        <w:t>表</w:t>
      </w:r>
      <w:r>
        <w:rPr>
          <w:rFonts w:ascii="宋体" w:hAnsi="宋体" w:eastAsia="宋体" w:cs="宋体"/>
          <w:spacing w:val="7"/>
          <w:sz w:val="23"/>
          <w:szCs w:val="23"/>
        </w:rPr>
        <w:t>水体造成影响。</w:t>
      </w:r>
    </w:p>
    <w:p w14:paraId="7D7B1285">
      <w:pPr>
        <w:spacing w:before="139" w:line="385" w:lineRule="auto"/>
        <w:ind w:left="221" w:right="101" w:firstLine="484"/>
        <w:rPr>
          <w:rFonts w:ascii="宋体" w:hAnsi="宋体" w:eastAsia="宋体" w:cs="宋体"/>
          <w:sz w:val="23"/>
          <w:szCs w:val="23"/>
        </w:rPr>
      </w:pPr>
      <w:r>
        <w:rPr>
          <w:rFonts w:ascii="宋体" w:hAnsi="宋体" w:eastAsia="宋体" w:cs="宋体"/>
          <w:spacing w:val="10"/>
          <w:sz w:val="23"/>
          <w:szCs w:val="23"/>
        </w:rPr>
        <w:t>该项目要求</w:t>
      </w:r>
      <w:r>
        <w:rPr>
          <w:rFonts w:ascii="宋体" w:hAnsi="宋体" w:eastAsia="宋体" w:cs="宋体"/>
          <w:spacing w:val="6"/>
          <w:sz w:val="23"/>
          <w:szCs w:val="23"/>
        </w:rPr>
        <w:t>厂</w:t>
      </w:r>
      <w:r>
        <w:rPr>
          <w:rFonts w:ascii="宋体" w:hAnsi="宋体" w:eastAsia="宋体" w:cs="宋体"/>
          <w:spacing w:val="5"/>
          <w:sz w:val="23"/>
          <w:szCs w:val="23"/>
        </w:rPr>
        <w:t xml:space="preserve">区内建设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座事故池。若本项目加工车间设备出现事故，选</w:t>
      </w:r>
      <w:r>
        <w:rPr>
          <w:rFonts w:ascii="宋体" w:hAnsi="宋体" w:eastAsia="宋体" w:cs="宋体"/>
          <w:sz w:val="23"/>
          <w:szCs w:val="23"/>
        </w:rPr>
        <w:t xml:space="preserve"> </w:t>
      </w:r>
      <w:r>
        <w:rPr>
          <w:rFonts w:ascii="宋体" w:hAnsi="宋体" w:eastAsia="宋体" w:cs="宋体"/>
          <w:spacing w:val="18"/>
          <w:sz w:val="23"/>
          <w:szCs w:val="23"/>
        </w:rPr>
        <w:t>矿废</w:t>
      </w:r>
      <w:r>
        <w:rPr>
          <w:rFonts w:ascii="宋体" w:hAnsi="宋体" w:eastAsia="宋体" w:cs="宋体"/>
          <w:spacing w:val="12"/>
          <w:sz w:val="23"/>
          <w:szCs w:val="23"/>
        </w:rPr>
        <w:t>水</w:t>
      </w:r>
      <w:r>
        <w:rPr>
          <w:rFonts w:ascii="宋体" w:hAnsi="宋体" w:eastAsia="宋体" w:cs="宋体"/>
          <w:spacing w:val="9"/>
          <w:sz w:val="23"/>
          <w:szCs w:val="23"/>
        </w:rPr>
        <w:t xml:space="preserve">可直接进入厂区内事故池，要求事故池可消纳 </w:t>
      </w:r>
      <w:r>
        <w:rPr>
          <w:rFonts w:ascii="Times New Roman" w:hAnsi="Times New Roman" w:eastAsia="Times New Roman" w:cs="Times New Roman"/>
          <w:spacing w:val="9"/>
          <w:sz w:val="23"/>
          <w:szCs w:val="23"/>
        </w:rPr>
        <w:t>2</w:t>
      </w:r>
      <w:r>
        <w:rPr>
          <w:rFonts w:ascii="Times New Roman" w:hAnsi="Times New Roman" w:eastAsia="Times New Roman" w:cs="Times New Roman"/>
          <w:sz w:val="23"/>
          <w:szCs w:val="23"/>
        </w:rPr>
        <w:t>h</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的事故排水量。当生</w:t>
      </w:r>
      <w:r>
        <w:rPr>
          <w:rFonts w:ascii="宋体" w:hAnsi="宋体" w:eastAsia="宋体" w:cs="宋体"/>
          <w:sz w:val="23"/>
          <w:szCs w:val="23"/>
        </w:rPr>
        <w:t xml:space="preserve"> </w:t>
      </w:r>
      <w:r>
        <w:rPr>
          <w:rFonts w:ascii="宋体" w:hAnsi="宋体" w:eastAsia="宋体" w:cs="宋体"/>
          <w:spacing w:val="14"/>
          <w:sz w:val="23"/>
          <w:szCs w:val="23"/>
        </w:rPr>
        <w:t>产</w:t>
      </w:r>
      <w:r>
        <w:rPr>
          <w:rFonts w:ascii="宋体" w:hAnsi="宋体" w:eastAsia="宋体" w:cs="宋体"/>
          <w:spacing w:val="8"/>
          <w:sz w:val="23"/>
          <w:szCs w:val="23"/>
        </w:rPr>
        <w:t>恢复正常后，由潜污泵将池内水回用于生产，一般不会进入外环境。要求企</w:t>
      </w:r>
      <w:r>
        <w:rPr>
          <w:rFonts w:ascii="宋体" w:hAnsi="宋体" w:eastAsia="宋体" w:cs="宋体"/>
          <w:sz w:val="23"/>
          <w:szCs w:val="23"/>
        </w:rPr>
        <w:t xml:space="preserve"> </w:t>
      </w:r>
      <w:r>
        <w:rPr>
          <w:rFonts w:ascii="宋体" w:hAnsi="宋体" w:eastAsia="宋体" w:cs="宋体"/>
          <w:spacing w:val="14"/>
          <w:sz w:val="23"/>
          <w:szCs w:val="23"/>
        </w:rPr>
        <w:t>业</w:t>
      </w:r>
      <w:r>
        <w:rPr>
          <w:rFonts w:ascii="宋体" w:hAnsi="宋体" w:eastAsia="宋体" w:cs="宋体"/>
          <w:spacing w:val="8"/>
          <w:sz w:val="23"/>
          <w:szCs w:val="23"/>
        </w:rPr>
        <w:t>认真落实本评估报告书提出的各项污染防治措施，规划管理，并做好定期管</w:t>
      </w:r>
      <w:r>
        <w:rPr>
          <w:rFonts w:ascii="宋体" w:hAnsi="宋体" w:eastAsia="宋体" w:cs="宋体"/>
          <w:sz w:val="23"/>
          <w:szCs w:val="23"/>
        </w:rPr>
        <w:t xml:space="preserve"> </w:t>
      </w:r>
      <w:r>
        <w:rPr>
          <w:rFonts w:ascii="宋体" w:hAnsi="宋体" w:eastAsia="宋体" w:cs="宋体"/>
          <w:spacing w:val="13"/>
          <w:sz w:val="23"/>
          <w:szCs w:val="23"/>
        </w:rPr>
        <w:t>线</w:t>
      </w:r>
      <w:r>
        <w:rPr>
          <w:rFonts w:ascii="宋体" w:hAnsi="宋体" w:eastAsia="宋体" w:cs="宋体"/>
          <w:spacing w:val="9"/>
          <w:sz w:val="23"/>
          <w:szCs w:val="23"/>
        </w:rPr>
        <w:t>检查及事故下的抢修工作，把风险影响降至最低。</w:t>
      </w:r>
    </w:p>
    <w:p w14:paraId="71A0BBF9">
      <w:pPr>
        <w:spacing w:before="155" w:line="227"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消防废</w:t>
      </w:r>
      <w:r>
        <w:rPr>
          <w:rFonts w:ascii="宋体" w:hAnsi="宋体" w:eastAsia="宋体" w:cs="宋体"/>
          <w:spacing w:val="19"/>
          <w:sz w:val="23"/>
          <w:szCs w:val="23"/>
        </w:rPr>
        <w:t>水</w:t>
      </w:r>
    </w:p>
    <w:p w14:paraId="750EA17C">
      <w:pPr>
        <w:spacing w:line="274" w:lineRule="auto"/>
        <w:rPr>
          <w:rFonts w:ascii="Arial"/>
          <w:sz w:val="21"/>
        </w:rPr>
      </w:pPr>
    </w:p>
    <w:p w14:paraId="5395CF20">
      <w:pPr>
        <w:spacing w:before="75" w:line="384" w:lineRule="auto"/>
        <w:ind w:left="22" w:firstLine="496"/>
        <w:rPr>
          <w:rFonts w:ascii="宋体" w:hAnsi="宋体" w:eastAsia="宋体" w:cs="宋体"/>
          <w:sz w:val="23"/>
          <w:szCs w:val="23"/>
        </w:rPr>
      </w:pPr>
      <w:r>
        <w:rPr>
          <w:rFonts w:ascii="宋体" w:hAnsi="宋体" w:eastAsia="宋体" w:cs="宋体"/>
          <w:spacing w:val="12"/>
          <w:sz w:val="23"/>
          <w:szCs w:val="23"/>
        </w:rPr>
        <w:t>当原</w:t>
      </w:r>
      <w:r>
        <w:rPr>
          <w:rFonts w:ascii="宋体" w:hAnsi="宋体" w:eastAsia="宋体" w:cs="宋体"/>
          <w:spacing w:val="7"/>
          <w:sz w:val="23"/>
          <w:szCs w:val="23"/>
        </w:rPr>
        <w:t>料</w:t>
      </w:r>
      <w:r>
        <w:rPr>
          <w:rFonts w:ascii="宋体" w:hAnsi="宋体" w:eastAsia="宋体" w:cs="宋体"/>
          <w:spacing w:val="6"/>
          <w:sz w:val="23"/>
          <w:szCs w:val="23"/>
        </w:rPr>
        <w:t>库、成品库塑料发生着火时，灭火将产生大量的消防废水。在风险发</w:t>
      </w:r>
      <w:r>
        <w:rPr>
          <w:rFonts w:ascii="宋体" w:hAnsi="宋体" w:eastAsia="宋体" w:cs="宋体"/>
          <w:sz w:val="23"/>
          <w:szCs w:val="23"/>
        </w:rPr>
        <w:t xml:space="preserve"> </w:t>
      </w:r>
      <w:r>
        <w:rPr>
          <w:rFonts w:ascii="宋体" w:hAnsi="宋体" w:eastAsia="宋体" w:cs="宋体"/>
          <w:spacing w:val="-2"/>
          <w:sz w:val="23"/>
          <w:szCs w:val="23"/>
        </w:rPr>
        <w:t>生时，须</w:t>
      </w:r>
      <w:r>
        <w:rPr>
          <w:rFonts w:ascii="宋体" w:hAnsi="宋体" w:eastAsia="宋体" w:cs="宋体"/>
          <w:spacing w:val="-1"/>
          <w:sz w:val="23"/>
          <w:szCs w:val="23"/>
        </w:rPr>
        <w:t>及时撤离周边居民。消防废水参考《建筑设计防火规范》(</w:t>
      </w:r>
      <w:r>
        <w:rPr>
          <w:rFonts w:ascii="Times New Roman" w:hAnsi="Times New Roman" w:eastAsia="Times New Roman" w:cs="Times New Roman"/>
          <w:spacing w:val="-1"/>
          <w:sz w:val="23"/>
          <w:szCs w:val="23"/>
        </w:rPr>
        <w:t>GB50016-2006</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0"/>
          <w:sz w:val="23"/>
          <w:szCs w:val="23"/>
        </w:rPr>
        <w:t>木</w:t>
      </w:r>
      <w:r>
        <w:rPr>
          <w:rFonts w:ascii="宋体" w:hAnsi="宋体" w:eastAsia="宋体" w:cs="宋体"/>
          <w:spacing w:val="7"/>
          <w:sz w:val="23"/>
          <w:szCs w:val="23"/>
        </w:rPr>
        <w:t xml:space="preserve">柴等可燃材料存储量在 </w:t>
      </w:r>
      <w:r>
        <w:rPr>
          <w:rFonts w:ascii="Times New Roman" w:hAnsi="Times New Roman" w:eastAsia="Times New Roman" w:cs="Times New Roman"/>
          <w:spacing w:val="7"/>
          <w:sz w:val="23"/>
          <w:szCs w:val="23"/>
        </w:rPr>
        <w:t>50</w:t>
      </w:r>
      <w:r>
        <w:rPr>
          <w:rFonts w:ascii="宋体" w:hAnsi="宋体" w:eastAsia="宋体" w:cs="宋体"/>
          <w:spacing w:val="7"/>
          <w:sz w:val="23"/>
          <w:szCs w:val="23"/>
        </w:rPr>
        <w:t>~</w:t>
      </w:r>
      <w:r>
        <w:rPr>
          <w:rFonts w:ascii="Times New Roman" w:hAnsi="Times New Roman" w:eastAsia="Times New Roman" w:cs="Times New Roman"/>
          <w:spacing w:val="7"/>
          <w:sz w:val="23"/>
          <w:szCs w:val="23"/>
        </w:rPr>
        <w:t>5000</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3"/>
          <w:szCs w:val="23"/>
        </w:rPr>
        <w:t xml:space="preserve">时消防用水量为 </w:t>
      </w:r>
      <w:r>
        <w:rPr>
          <w:rFonts w:ascii="Times New Roman" w:hAnsi="Times New Roman" w:eastAsia="Times New Roman" w:cs="Times New Roman"/>
          <w:spacing w:val="7"/>
          <w:sz w:val="23"/>
          <w:szCs w:val="23"/>
        </w:rPr>
        <w:t>20</w:t>
      </w:r>
      <w:r>
        <w:rPr>
          <w:rFonts w:ascii="Times New Roman" w:hAnsi="Times New Roman" w:eastAsia="Times New Roman" w:cs="Times New Roman"/>
          <w:sz w:val="23"/>
          <w:szCs w:val="23"/>
        </w:rPr>
        <w:t>L</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计， 以丙类上厂房</w:t>
      </w:r>
      <w:r>
        <w:rPr>
          <w:rFonts w:ascii="宋体" w:hAnsi="宋体" w:eastAsia="宋体" w:cs="宋体"/>
          <w:sz w:val="23"/>
          <w:szCs w:val="23"/>
        </w:rPr>
        <w:t xml:space="preserve"> </w:t>
      </w:r>
      <w:r>
        <w:rPr>
          <w:rFonts w:ascii="宋体" w:hAnsi="宋体" w:eastAsia="宋体" w:cs="宋体"/>
          <w:spacing w:val="14"/>
          <w:sz w:val="23"/>
          <w:szCs w:val="23"/>
        </w:rPr>
        <w:t>火灾持</w:t>
      </w:r>
      <w:r>
        <w:rPr>
          <w:rFonts w:ascii="宋体" w:hAnsi="宋体" w:eastAsia="宋体" w:cs="宋体"/>
          <w:spacing w:val="7"/>
          <w:sz w:val="23"/>
          <w:szCs w:val="23"/>
        </w:rPr>
        <w:t xml:space="preserve">续时间 </w:t>
      </w:r>
      <w:r>
        <w:rPr>
          <w:rFonts w:ascii="Times New Roman" w:hAnsi="Times New Roman" w:eastAsia="Times New Roman" w:cs="Times New Roman"/>
          <w:spacing w:val="7"/>
          <w:sz w:val="23"/>
          <w:szCs w:val="23"/>
        </w:rPr>
        <w:t>2.0</w:t>
      </w:r>
      <w:r>
        <w:rPr>
          <w:rFonts w:ascii="Times New Roman" w:hAnsi="Times New Roman" w:eastAsia="Times New Roman" w:cs="Times New Roman"/>
          <w:sz w:val="23"/>
          <w:szCs w:val="23"/>
        </w:rPr>
        <w:t>h</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计，不利情况下发生火灾时会产生 </w:t>
      </w:r>
      <w:r>
        <w:rPr>
          <w:rFonts w:ascii="Times New Roman" w:hAnsi="Times New Roman" w:eastAsia="Times New Roman" w:cs="Times New Roman"/>
          <w:spacing w:val="7"/>
          <w:sz w:val="23"/>
          <w:szCs w:val="23"/>
        </w:rPr>
        <w:t>144</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3"/>
          <w:szCs w:val="23"/>
        </w:rPr>
        <w:t>的消防废水。消防</w:t>
      </w:r>
      <w:r>
        <w:rPr>
          <w:rFonts w:ascii="宋体" w:hAnsi="宋体" w:eastAsia="宋体" w:cs="宋体"/>
          <w:sz w:val="23"/>
          <w:szCs w:val="23"/>
        </w:rPr>
        <w:t xml:space="preserve"> </w:t>
      </w:r>
      <w:r>
        <w:rPr>
          <w:rFonts w:ascii="宋体" w:hAnsi="宋体" w:eastAsia="宋体" w:cs="宋体"/>
          <w:spacing w:val="10"/>
          <w:sz w:val="23"/>
          <w:szCs w:val="23"/>
        </w:rPr>
        <w:t>废</w:t>
      </w:r>
      <w:r>
        <w:rPr>
          <w:rFonts w:ascii="宋体" w:hAnsi="宋体" w:eastAsia="宋体" w:cs="宋体"/>
          <w:spacing w:val="5"/>
          <w:sz w:val="23"/>
          <w:szCs w:val="23"/>
        </w:rPr>
        <w:t xml:space="preserve">水成分复杂，要求单位建设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座事故池，对消防废水进行有效收集，避免消防</w:t>
      </w:r>
      <w:r>
        <w:rPr>
          <w:rFonts w:ascii="宋体" w:hAnsi="宋体" w:eastAsia="宋体" w:cs="宋体"/>
          <w:sz w:val="23"/>
          <w:szCs w:val="23"/>
        </w:rPr>
        <w:t xml:space="preserve"> </w:t>
      </w:r>
      <w:r>
        <w:rPr>
          <w:rFonts w:ascii="宋体" w:hAnsi="宋体" w:eastAsia="宋体" w:cs="宋体"/>
          <w:spacing w:val="16"/>
          <w:sz w:val="23"/>
          <w:szCs w:val="23"/>
        </w:rPr>
        <w:t>废</w:t>
      </w:r>
      <w:r>
        <w:rPr>
          <w:rFonts w:ascii="宋体" w:hAnsi="宋体" w:eastAsia="宋体" w:cs="宋体"/>
          <w:spacing w:val="11"/>
          <w:sz w:val="23"/>
          <w:szCs w:val="23"/>
        </w:rPr>
        <w:t>水</w:t>
      </w:r>
      <w:r>
        <w:rPr>
          <w:rFonts w:ascii="宋体" w:hAnsi="宋体" w:eastAsia="宋体" w:cs="宋体"/>
          <w:spacing w:val="8"/>
          <w:sz w:val="23"/>
          <w:szCs w:val="23"/>
        </w:rPr>
        <w:t>进入雨水管道污染附近水体。</w:t>
      </w:r>
    </w:p>
    <w:p w14:paraId="530BA68D">
      <w:pPr>
        <w:sectPr>
          <w:headerReference r:id="rId301" w:type="default"/>
          <w:footerReference r:id="rId302" w:type="default"/>
          <w:pgSz w:w="11906" w:h="16839"/>
          <w:pgMar w:top="1132" w:right="1698" w:bottom="1182" w:left="1785" w:header="878" w:footer="1022" w:gutter="0"/>
          <w:cols w:space="720" w:num="1"/>
        </w:sectPr>
      </w:pPr>
    </w:p>
    <w:p w14:paraId="44E0CCAC">
      <w:r>
        <w:pict>
          <v:shape id="_x0000_s1365" o:spid="_x0000_s1365" style="position:absolute;left:0pt;margin-left:72pt;margin-top:57.35pt;height:0.75pt;width:1043.9pt;mso-position-horizontal-relative:page;mso-position-vertical-relative:page;z-index:252058624;mso-width-relative:page;mso-height-relative:page;" fillcolor="#000000" filled="t" stroked="f" coordsize="20878,15" o:allowincell="f" path="m0,0l20877,0,20877,14,0,14,0,0xe">
            <v:path/>
            <v:fill on="t" focussize="0,0"/>
            <v:stroke on="f"/>
            <v:imagedata o:title=""/>
            <o:lock v:ext="edit"/>
          </v:shape>
        </w:pict>
      </w:r>
    </w:p>
    <w:p w14:paraId="73E12F6E"/>
    <w:p w14:paraId="2A02B2D1"/>
    <w:p w14:paraId="408926C0"/>
    <w:p w14:paraId="7EF90F1F"/>
    <w:p w14:paraId="738E4376"/>
    <w:p w14:paraId="1CD0C27D">
      <w:pPr>
        <w:spacing w:line="58" w:lineRule="exact"/>
      </w:pPr>
    </w:p>
    <w:tbl>
      <w:tblPr>
        <w:tblStyle w:val="4"/>
        <w:tblW w:w="18954" w:type="dxa"/>
        <w:tblInd w:w="127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8954"/>
      </w:tblGrid>
      <w:tr w14:paraId="23518B3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760" w:hRule="atLeast"/>
        </w:trPr>
        <w:tc>
          <w:tcPr>
            <w:tcW w:w="18954" w:type="dxa"/>
            <w:vAlign w:val="top"/>
          </w:tcPr>
          <w:p w14:paraId="551BE03F">
            <w:pPr>
              <w:spacing w:before="25" w:line="1980" w:lineRule="exact"/>
              <w:ind w:firstLine="25"/>
              <w:textAlignment w:val="center"/>
            </w:pPr>
            <w:r>
              <w:drawing>
                <wp:anchor distT="0" distB="0" distL="0" distR="0" simplePos="0" relativeHeight="252063744" behindDoc="0" locked="0" layoutInCell="1" allowOverlap="1">
                  <wp:simplePos x="0" y="0"/>
                  <wp:positionH relativeFrom="rightMargin">
                    <wp:posOffset>-795655</wp:posOffset>
                  </wp:positionH>
                  <wp:positionV relativeFrom="topMargin">
                    <wp:posOffset>6144260</wp:posOffset>
                  </wp:positionV>
                  <wp:extent cx="600710" cy="52451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598"/>
                          <a:stretch>
                            <a:fillRect/>
                          </a:stretch>
                        </pic:blipFill>
                        <pic:spPr>
                          <a:xfrm>
                            <a:off x="0" y="0"/>
                            <a:ext cx="600456" cy="524255"/>
                          </a:xfrm>
                          <a:prstGeom prst="rect">
                            <a:avLst/>
                          </a:prstGeom>
                        </pic:spPr>
                      </pic:pic>
                    </a:graphicData>
                  </a:graphic>
                </wp:anchor>
              </w:drawing>
            </w:r>
            <w:r>
              <w:drawing>
                <wp:inline distT="0" distB="0" distL="0" distR="0">
                  <wp:extent cx="1228090" cy="1257300"/>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410"/>
                          <a:stretch>
                            <a:fillRect/>
                          </a:stretch>
                        </pic:blipFill>
                        <pic:spPr>
                          <a:xfrm>
                            <a:off x="0" y="0"/>
                            <a:ext cx="1228344" cy="1257300"/>
                          </a:xfrm>
                          <a:prstGeom prst="rect">
                            <a:avLst/>
                          </a:prstGeom>
                        </pic:spPr>
                      </pic:pic>
                    </a:graphicData>
                  </a:graphic>
                </wp:inline>
              </w:drawing>
            </w:r>
          </w:p>
          <w:p w14:paraId="37AFDF45">
            <w:pPr>
              <w:spacing w:line="248" w:lineRule="auto"/>
              <w:rPr>
                <w:rFonts w:ascii="Arial"/>
                <w:sz w:val="21"/>
              </w:rPr>
            </w:pPr>
          </w:p>
          <w:p w14:paraId="5D9D34CA">
            <w:pPr>
              <w:spacing w:line="248" w:lineRule="auto"/>
              <w:rPr>
                <w:rFonts w:ascii="Arial"/>
                <w:sz w:val="21"/>
              </w:rPr>
            </w:pPr>
          </w:p>
          <w:p w14:paraId="12A6D444">
            <w:pPr>
              <w:spacing w:line="248" w:lineRule="auto"/>
              <w:rPr>
                <w:rFonts w:ascii="Arial"/>
                <w:sz w:val="21"/>
              </w:rPr>
            </w:pPr>
          </w:p>
          <w:p w14:paraId="30C9BC09">
            <w:pPr>
              <w:spacing w:line="248" w:lineRule="auto"/>
              <w:rPr>
                <w:rFonts w:ascii="Arial"/>
                <w:sz w:val="21"/>
              </w:rPr>
            </w:pPr>
          </w:p>
          <w:p w14:paraId="02E237D4">
            <w:pPr>
              <w:spacing w:line="248" w:lineRule="auto"/>
              <w:rPr>
                <w:rFonts w:ascii="Arial"/>
                <w:sz w:val="21"/>
              </w:rPr>
            </w:pPr>
          </w:p>
          <w:p w14:paraId="4CB5F9DA">
            <w:pPr>
              <w:spacing w:line="248" w:lineRule="auto"/>
              <w:rPr>
                <w:rFonts w:ascii="Arial"/>
                <w:sz w:val="21"/>
              </w:rPr>
            </w:pPr>
          </w:p>
          <w:p w14:paraId="4BAB1A9B">
            <w:pPr>
              <w:spacing w:line="249" w:lineRule="auto"/>
              <w:rPr>
                <w:rFonts w:ascii="Arial"/>
                <w:sz w:val="21"/>
              </w:rPr>
            </w:pPr>
          </w:p>
          <w:p w14:paraId="02A71DB3">
            <w:pPr>
              <w:spacing w:line="249" w:lineRule="auto"/>
              <w:rPr>
                <w:rFonts w:ascii="Arial"/>
                <w:sz w:val="21"/>
              </w:rPr>
            </w:pPr>
          </w:p>
          <w:p w14:paraId="5A8573C6">
            <w:pPr>
              <w:spacing w:line="249" w:lineRule="auto"/>
              <w:rPr>
                <w:rFonts w:ascii="Arial"/>
                <w:sz w:val="21"/>
              </w:rPr>
            </w:pPr>
          </w:p>
          <w:p w14:paraId="7F112AB1">
            <w:pPr>
              <w:spacing w:line="249" w:lineRule="auto"/>
              <w:rPr>
                <w:rFonts w:ascii="Arial"/>
                <w:sz w:val="21"/>
              </w:rPr>
            </w:pPr>
          </w:p>
          <w:p w14:paraId="4B95D9E4">
            <w:pPr>
              <w:spacing w:line="249" w:lineRule="auto"/>
              <w:rPr>
                <w:rFonts w:ascii="Arial"/>
                <w:sz w:val="21"/>
              </w:rPr>
            </w:pPr>
          </w:p>
          <w:p w14:paraId="2FD86D7E">
            <w:pPr>
              <w:spacing w:line="249" w:lineRule="auto"/>
              <w:rPr>
                <w:rFonts w:ascii="Arial"/>
                <w:sz w:val="21"/>
              </w:rPr>
            </w:pPr>
          </w:p>
          <w:p w14:paraId="3DB6DE21">
            <w:pPr>
              <w:spacing w:line="249" w:lineRule="auto"/>
              <w:rPr>
                <w:rFonts w:ascii="Arial"/>
                <w:sz w:val="21"/>
              </w:rPr>
            </w:pPr>
          </w:p>
          <w:p w14:paraId="2D479110">
            <w:pPr>
              <w:spacing w:line="972" w:lineRule="exact"/>
              <w:ind w:firstLine="9348"/>
              <w:textAlignment w:val="center"/>
            </w:pPr>
            <w:r>
              <w:drawing>
                <wp:inline distT="0" distB="0" distL="0" distR="0">
                  <wp:extent cx="2917190" cy="61658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599"/>
                          <a:stretch>
                            <a:fillRect/>
                          </a:stretch>
                        </pic:blipFill>
                        <pic:spPr>
                          <a:xfrm>
                            <a:off x="0" y="0"/>
                            <a:ext cx="2917442" cy="617169"/>
                          </a:xfrm>
                          <a:prstGeom prst="rect">
                            <a:avLst/>
                          </a:prstGeom>
                        </pic:spPr>
                      </pic:pic>
                    </a:graphicData>
                  </a:graphic>
                </wp:inline>
              </w:drawing>
            </w:r>
          </w:p>
          <w:p w14:paraId="28C0A5D1"/>
          <w:p w14:paraId="624084E5"/>
          <w:p w14:paraId="5BF74069"/>
          <w:p w14:paraId="156882A6"/>
          <w:p w14:paraId="1F44B97C"/>
          <w:p w14:paraId="2192F5BD"/>
          <w:p w14:paraId="53174520"/>
          <w:p w14:paraId="3E82E2EA"/>
          <w:p w14:paraId="12722F39"/>
          <w:p w14:paraId="771F704B"/>
          <w:p w14:paraId="0658E68E"/>
          <w:p w14:paraId="76820586"/>
          <w:p w14:paraId="5A476C8E"/>
          <w:p w14:paraId="0700AB30">
            <w:pPr>
              <w:spacing w:line="129" w:lineRule="exact"/>
            </w:pPr>
          </w:p>
          <w:tbl>
            <w:tblPr>
              <w:tblStyle w:val="4"/>
              <w:tblW w:w="3112" w:type="dxa"/>
              <w:tblInd w:w="2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112"/>
            </w:tblGrid>
            <w:tr w14:paraId="182EC3B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192" w:hRule="atLeast"/>
              </w:trPr>
              <w:tc>
                <w:tcPr>
                  <w:tcW w:w="3112" w:type="dxa"/>
                  <w:shd w:val="clear" w:color="auto" w:fill="FFFFFF"/>
                  <w:vAlign w:val="top"/>
                </w:tcPr>
                <w:p w14:paraId="423E17C6">
                  <w:pPr>
                    <w:spacing w:before="118" w:line="229" w:lineRule="auto"/>
                    <w:ind w:left="1206"/>
                    <w:rPr>
                      <w:rFonts w:ascii="宋体" w:hAnsi="宋体" w:eastAsia="宋体" w:cs="宋体"/>
                      <w:sz w:val="20"/>
                      <w:szCs w:val="20"/>
                    </w:rPr>
                  </w:pPr>
                  <w:r>
                    <w:drawing>
                      <wp:anchor distT="0" distB="0" distL="0" distR="0" simplePos="0" relativeHeight="252057600" behindDoc="1" locked="0" layoutInCell="1" allowOverlap="1">
                        <wp:simplePos x="0" y="0"/>
                        <wp:positionH relativeFrom="column">
                          <wp:posOffset>3810</wp:posOffset>
                        </wp:positionH>
                        <wp:positionV relativeFrom="paragraph">
                          <wp:posOffset>-6018530</wp:posOffset>
                        </wp:positionV>
                        <wp:extent cx="11972290" cy="6781800"/>
                        <wp:effectExtent l="0" t="0" r="0" b="0"/>
                        <wp:wrapNone/>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600"/>
                                <a:stretch>
                                  <a:fillRect/>
                                </a:stretch>
                              </pic:blipFill>
                              <pic:spPr>
                                <a:xfrm>
                                  <a:off x="0" y="0"/>
                                  <a:ext cx="11972543" cy="6781800"/>
                                </a:xfrm>
                                <a:prstGeom prst="rect">
                                  <a:avLst/>
                                </a:prstGeom>
                              </pic:spPr>
                            </pic:pic>
                          </a:graphicData>
                        </a:graphic>
                      </wp:anchor>
                    </w:drawing>
                  </w:r>
                  <w:r>
                    <w:pict>
                      <v:shape id="_x0000_s1366" o:spid="_x0000_s1366" style="position:absolute;left:0pt;margin-left:58.85pt;margin-top:15.95pt;height:1pt;width:36.85pt;z-index:252060672;mso-width-relative:page;mso-height-relative:page;" filled="f" stroked="t" coordsize="736,20" path="m0,9l736,9e">
                        <v:fill on="f" focussize="0,0"/>
                        <v:stroke weight="0.96pt" color="#000000" miterlimit="2" joinstyle="bevel"/>
                        <v:imagedata o:title=""/>
                        <o:lock v:ext="edit"/>
                      </v:shape>
                    </w:pict>
                  </w:r>
                  <w:r>
                    <w:pict>
                      <v:rect id="_x0000_s1367" o:spid="_x0000_s1367" o:spt="1" style="position:absolute;left:0pt;margin-left:11.15pt;margin-top:23.75pt;height:11.3pt;width:17.05pt;mso-position-horizontal-relative:page;mso-position-vertical-relative:page;z-index:252062720;mso-width-relative:page;mso-height-relative:page;" fillcolor="#FF0000" filled="t" stroked="f" coordsize="21600,21600">
                        <v:path/>
                        <v:fill on="t" focussize="0,0"/>
                        <v:stroke on="f"/>
                        <v:imagedata o:title=""/>
                        <o:lock v:ext="edit"/>
                      </v:rect>
                    </w:pict>
                  </w:r>
                  <w:r>
                    <w:pict>
                      <v:shape id="_x0000_s1368" o:spid="_x0000_s1368" style="position:absolute;left:0pt;margin-left:10.75pt;margin-top:23.35pt;height:12.1pt;width:17.8pt;mso-position-horizontal-relative:page;mso-position-vertical-relative:page;z-index:252059648;mso-width-relative:page;mso-height-relative:page;" filled="f" stroked="t" coordsize="355,242" path="m0,0l0,241,355,241,355,0,0,0e">
                        <v:fill on="f" focussize="0,0"/>
                        <v:stroke weight="1.25pt" color="#000000" miterlimit="0" joinstyle="miter"/>
                        <v:imagedata o:title=""/>
                        <o:lock v:ext="edit"/>
                      </v:shape>
                    </w:pict>
                  </w:r>
                  <w:r>
                    <w:drawing>
                      <wp:anchor distT="0" distB="0" distL="0" distR="0" simplePos="0" relativeHeight="252061696" behindDoc="0" locked="0" layoutInCell="1" allowOverlap="1">
                        <wp:simplePos x="0" y="0"/>
                        <wp:positionH relativeFrom="rightMargin">
                          <wp:posOffset>-1804670</wp:posOffset>
                        </wp:positionH>
                        <wp:positionV relativeFrom="topMargin">
                          <wp:posOffset>492760</wp:posOffset>
                        </wp:positionV>
                        <wp:extent cx="189230" cy="18923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601"/>
                                <a:stretch>
                                  <a:fillRect/>
                                </a:stretch>
                              </pic:blipFill>
                              <pic:spPr>
                                <a:xfrm>
                                  <a:off x="0" y="0"/>
                                  <a:ext cx="189229" cy="189229"/>
                                </a:xfrm>
                                <a:prstGeom prst="rect">
                                  <a:avLst/>
                                </a:prstGeom>
                              </pic:spPr>
                            </pic:pic>
                          </a:graphicData>
                        </a:graphic>
                      </wp:anchor>
                    </w:drawing>
                  </w:r>
                  <w:r>
                    <w:rPr>
                      <w:rFonts w:ascii="宋体" w:hAnsi="宋体" w:eastAsia="宋体" w:cs="宋体"/>
                      <w:spacing w:val="1"/>
                      <w:sz w:val="20"/>
                      <w:szCs w:val="20"/>
                      <w14:textOutline w14:w="3795" w14:cap="sq" w14:cmpd="sng">
                        <w14:solidFill>
                          <w14:srgbClr w14:val="000000"/>
                        </w14:solidFill>
                        <w14:prstDash w14:val="solid"/>
                        <w14:bevel/>
                      </w14:textOutline>
                    </w:rPr>
                    <w:t>图</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例</w:t>
                  </w:r>
                </w:p>
                <w:p w14:paraId="13244C2F">
                  <w:pPr>
                    <w:spacing w:before="64" w:line="228" w:lineRule="auto"/>
                    <w:ind w:left="780"/>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设项目所在地</w:t>
                  </w:r>
                </w:p>
                <w:p w14:paraId="268EFC03">
                  <w:pPr>
                    <w:spacing w:before="64" w:line="226" w:lineRule="auto"/>
                    <w:ind w:left="777"/>
                    <w:rPr>
                      <w:rFonts w:ascii="宋体" w:hAnsi="宋体" w:eastAsia="宋体" w:cs="宋体"/>
                      <w:sz w:val="20"/>
                      <w:szCs w:val="20"/>
                    </w:rPr>
                  </w:pPr>
                  <w:r>
                    <w:rPr>
                      <w:rFonts w:ascii="宋体" w:hAnsi="宋体" w:eastAsia="宋体" w:cs="宋体"/>
                      <w:spacing w:val="9"/>
                      <w:sz w:val="20"/>
                      <w:szCs w:val="20"/>
                    </w:rPr>
                    <w:t>环境风险影响评价范</w:t>
                  </w:r>
                  <w:r>
                    <w:rPr>
                      <w:rFonts w:ascii="宋体" w:hAnsi="宋体" w:eastAsia="宋体" w:cs="宋体"/>
                      <w:spacing w:val="8"/>
                      <w:sz w:val="20"/>
                      <w:szCs w:val="20"/>
                    </w:rPr>
                    <w:t>围</w:t>
                  </w:r>
                </w:p>
              </w:tc>
            </w:tr>
          </w:tbl>
          <w:p w14:paraId="68BAEA0C">
            <w:pPr>
              <w:spacing w:line="28" w:lineRule="exact"/>
              <w:rPr>
                <w:rFonts w:ascii="Arial"/>
                <w:sz w:val="2"/>
              </w:rPr>
            </w:pPr>
          </w:p>
        </w:tc>
      </w:tr>
    </w:tbl>
    <w:p w14:paraId="7014FFE8">
      <w:pPr>
        <w:spacing w:before="142" w:line="226" w:lineRule="auto"/>
        <w:ind w:left="8376"/>
        <w:rPr>
          <w:rFonts w:ascii="宋体" w:hAnsi="宋体" w:eastAsia="宋体" w:cs="宋体"/>
          <w:sz w:val="23"/>
          <w:szCs w:val="23"/>
        </w:rPr>
      </w:pPr>
      <w:r>
        <w:rPr>
          <w:rFonts w:ascii="Times New Roman" w:hAnsi="Times New Roman" w:eastAsia="Times New Roman" w:cs="Times New Roman"/>
          <w:b/>
          <w:bCs/>
          <w:spacing w:val="24"/>
          <w:sz w:val="23"/>
          <w:szCs w:val="23"/>
        </w:rPr>
        <w:t>7</w:t>
      </w:r>
      <w:r>
        <w:rPr>
          <w:rFonts w:ascii="Times New Roman" w:hAnsi="Times New Roman" w:eastAsia="Times New Roman" w:cs="Times New Roman"/>
          <w:b/>
          <w:bCs/>
          <w:spacing w:val="17"/>
          <w:sz w:val="23"/>
          <w:szCs w:val="23"/>
        </w:rPr>
        <w:t>-</w:t>
      </w:r>
      <w:r>
        <w:rPr>
          <w:rFonts w:ascii="Times New Roman" w:hAnsi="Times New Roman" w:eastAsia="Times New Roman" w:cs="Times New Roman"/>
          <w:b/>
          <w:bCs/>
          <w:spacing w:val="12"/>
          <w:sz w:val="23"/>
          <w:szCs w:val="23"/>
        </w:rPr>
        <w:t>1</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建设项目环境风险评价范围图</w:t>
      </w:r>
    </w:p>
    <w:p w14:paraId="2BD2264F">
      <w:pPr>
        <w:sectPr>
          <w:headerReference r:id="rId303" w:type="default"/>
          <w:footerReference r:id="rId304" w:type="default"/>
          <w:pgSz w:w="23758" w:h="16783"/>
          <w:pgMar w:top="1132" w:right="1440" w:bottom="1183" w:left="1440" w:header="878" w:footer="1022" w:gutter="0"/>
          <w:cols w:space="720" w:num="1"/>
        </w:sectPr>
      </w:pPr>
    </w:p>
    <w:p w14:paraId="3A084461">
      <w:pPr>
        <w:spacing w:line="473" w:lineRule="auto"/>
        <w:rPr>
          <w:rFonts w:ascii="Arial"/>
          <w:sz w:val="21"/>
        </w:rPr>
      </w:pPr>
      <w:r>
        <w:pict>
          <v:shape id="_x0000_s1369" o:spid="_x0000_s1369" style="position:absolute;left:0pt;margin-left:90pt;margin-top:57.35pt;height:0.75pt;width:415.3pt;mso-position-horizontal-relative:page;mso-position-vertical-relative:page;z-index:252064768;mso-width-relative:page;mso-height-relative:page;" fillcolor="#000000" filled="t" stroked="f" coordsize="8305,15" o:allowincell="f" path="m0,0l8305,0,8305,14,0,14,0,0xe">
            <v:path/>
            <v:fill on="t" focussize="0,0"/>
            <v:stroke on="f"/>
            <v:imagedata o:title=""/>
            <o:lock v:ext="edit"/>
          </v:shape>
        </w:pict>
      </w:r>
    </w:p>
    <w:p w14:paraId="596BCBC5">
      <w:pPr>
        <w:spacing w:before="101" w:line="225" w:lineRule="auto"/>
        <w:ind w:left="24"/>
        <w:outlineLvl w:val="1"/>
        <w:rPr>
          <w:rFonts w:ascii="宋体" w:hAnsi="宋体" w:eastAsia="宋体" w:cs="宋体"/>
          <w:sz w:val="31"/>
          <w:szCs w:val="31"/>
        </w:rPr>
      </w:pPr>
      <w:bookmarkStart w:id="34" w:name="_bookmark35"/>
      <w:bookmarkEnd w:id="34"/>
      <w:r>
        <w:rPr>
          <w:rFonts w:ascii="Times New Roman" w:hAnsi="Times New Roman" w:eastAsia="Times New Roman" w:cs="Times New Roman"/>
          <w:b/>
          <w:bCs/>
          <w:spacing w:val="13"/>
          <w:sz w:val="31"/>
          <w:szCs w:val="31"/>
        </w:rPr>
        <w:t>7</w:t>
      </w:r>
      <w:r>
        <w:rPr>
          <w:rFonts w:ascii="Times New Roman" w:hAnsi="Times New Roman" w:eastAsia="Times New Roman" w:cs="Times New Roman"/>
          <w:b/>
          <w:bCs/>
          <w:spacing w:val="8"/>
          <w:sz w:val="31"/>
          <w:szCs w:val="31"/>
        </w:rPr>
        <w:t>.6</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环境风险防范措施及应急要求</w:t>
      </w:r>
    </w:p>
    <w:p w14:paraId="73B4ED3B">
      <w:pPr>
        <w:spacing w:line="254" w:lineRule="auto"/>
        <w:rPr>
          <w:rFonts w:ascii="Arial"/>
          <w:sz w:val="21"/>
        </w:rPr>
      </w:pPr>
    </w:p>
    <w:p w14:paraId="476D31ED">
      <w:pPr>
        <w:spacing w:before="75" w:line="227" w:lineRule="auto"/>
        <w:ind w:left="506"/>
        <w:rPr>
          <w:rFonts w:ascii="宋体" w:hAnsi="宋体" w:eastAsia="宋体" w:cs="宋体"/>
          <w:sz w:val="23"/>
          <w:szCs w:val="23"/>
        </w:rPr>
      </w:pPr>
      <w:r>
        <w:rPr>
          <w:rFonts w:ascii="宋体" w:hAnsi="宋体" w:eastAsia="宋体" w:cs="宋体"/>
          <w:spacing w:val="13"/>
          <w:sz w:val="23"/>
          <w:szCs w:val="23"/>
        </w:rPr>
        <w:t>为</w:t>
      </w:r>
      <w:r>
        <w:rPr>
          <w:rFonts w:ascii="宋体" w:hAnsi="宋体" w:eastAsia="宋体" w:cs="宋体"/>
          <w:spacing w:val="9"/>
          <w:sz w:val="23"/>
          <w:szCs w:val="23"/>
        </w:rPr>
        <w:t>了有效地防范厂区内事故的发生，该项目的防范措施如下：</w:t>
      </w:r>
    </w:p>
    <w:p w14:paraId="704F94DE">
      <w:pPr>
        <w:spacing w:line="281" w:lineRule="auto"/>
        <w:rPr>
          <w:rFonts w:ascii="Arial"/>
          <w:sz w:val="21"/>
        </w:rPr>
      </w:pPr>
    </w:p>
    <w:p w14:paraId="252467A5">
      <w:pPr>
        <w:spacing w:before="75" w:line="227" w:lineRule="auto"/>
        <w:ind w:left="522"/>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宋体" w:hAnsi="宋体" w:eastAsia="宋体" w:cs="宋体"/>
          <w:spacing w:val="17"/>
          <w:sz w:val="23"/>
          <w:szCs w:val="23"/>
        </w:rPr>
        <w:t>)</w:t>
      </w:r>
      <w:r>
        <w:rPr>
          <w:rFonts w:ascii="宋体" w:hAnsi="宋体" w:eastAsia="宋体" w:cs="宋体"/>
          <w:spacing w:val="9"/>
          <w:sz w:val="23"/>
          <w:szCs w:val="23"/>
        </w:rPr>
        <w:t xml:space="preserve"> 为防止火灾、爆炸事故产生的消防废水及事故情况下生产废水污染地下</w:t>
      </w:r>
    </w:p>
    <w:p w14:paraId="0B21CE95">
      <w:pPr>
        <w:spacing w:before="197" w:line="393" w:lineRule="auto"/>
        <w:ind w:left="24" w:right="61" w:firstLine="1"/>
        <w:rPr>
          <w:rFonts w:ascii="宋体" w:hAnsi="宋体" w:eastAsia="宋体" w:cs="宋体"/>
          <w:sz w:val="23"/>
          <w:szCs w:val="23"/>
        </w:rPr>
      </w:pPr>
      <w:r>
        <w:rPr>
          <w:rFonts w:ascii="宋体" w:hAnsi="宋体" w:eastAsia="宋体" w:cs="宋体"/>
          <w:spacing w:val="7"/>
          <w:sz w:val="23"/>
          <w:szCs w:val="23"/>
        </w:rPr>
        <w:t>水，要求根据《建筑设计防火规范》中的有关规定，应对厂区地面进行硬覆盖</w:t>
      </w:r>
      <w:r>
        <w:rPr>
          <w:rFonts w:ascii="宋体" w:hAnsi="宋体" w:eastAsia="宋体" w:cs="宋体"/>
          <w:spacing w:val="6"/>
          <w:sz w:val="23"/>
          <w:szCs w:val="23"/>
        </w:rPr>
        <w:t>并</w:t>
      </w:r>
      <w:r>
        <w:rPr>
          <w:rFonts w:ascii="宋体" w:hAnsi="宋体" w:eastAsia="宋体" w:cs="宋体"/>
          <w:sz w:val="23"/>
          <w:szCs w:val="23"/>
        </w:rPr>
        <w:t xml:space="preserve"> </w:t>
      </w:r>
      <w:r>
        <w:rPr>
          <w:rFonts w:ascii="宋体" w:hAnsi="宋体" w:eastAsia="宋体" w:cs="宋体"/>
          <w:spacing w:val="16"/>
          <w:sz w:val="23"/>
          <w:szCs w:val="23"/>
        </w:rPr>
        <w:t>作防</w:t>
      </w:r>
      <w:r>
        <w:rPr>
          <w:rFonts w:ascii="宋体" w:hAnsi="宋体" w:eastAsia="宋体" w:cs="宋体"/>
          <w:spacing w:val="11"/>
          <w:sz w:val="23"/>
          <w:szCs w:val="23"/>
        </w:rPr>
        <w:t>渗</w:t>
      </w:r>
      <w:r>
        <w:rPr>
          <w:rFonts w:ascii="宋体" w:hAnsi="宋体" w:eastAsia="宋体" w:cs="宋体"/>
          <w:spacing w:val="8"/>
          <w:sz w:val="23"/>
          <w:szCs w:val="23"/>
        </w:rPr>
        <w:t>处理，地坪可采取混凝土结构，并使其渗透系数小于</w:t>
      </w:r>
      <w:r>
        <w:rPr>
          <w:rFonts w:ascii="Times New Roman" w:hAnsi="Times New Roman" w:eastAsia="Times New Roman" w:cs="Times New Roman"/>
          <w:spacing w:val="8"/>
          <w:sz w:val="23"/>
          <w:szCs w:val="23"/>
        </w:rPr>
        <w:t>1.0×10</w:t>
      </w:r>
      <w:r>
        <w:rPr>
          <w:rFonts w:ascii="宋体" w:hAnsi="宋体" w:eastAsia="宋体" w:cs="宋体"/>
          <w:spacing w:val="8"/>
          <w:position w:val="10"/>
          <w:sz w:val="11"/>
          <w:szCs w:val="11"/>
        </w:rPr>
        <w:t>－</w:t>
      </w:r>
      <w:r>
        <w:rPr>
          <w:rFonts w:ascii="Times New Roman" w:hAnsi="Times New Roman" w:eastAsia="Times New Roman" w:cs="Times New Roman"/>
          <w:spacing w:val="8"/>
          <w:position w:val="10"/>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s</w:t>
      </w:r>
      <w:r>
        <w:rPr>
          <w:rFonts w:ascii="宋体" w:hAnsi="宋体" w:eastAsia="宋体" w:cs="宋体"/>
          <w:spacing w:val="8"/>
          <w:sz w:val="23"/>
          <w:szCs w:val="23"/>
        </w:rPr>
        <w:t>。</w:t>
      </w:r>
    </w:p>
    <w:p w14:paraId="691FC10D">
      <w:pPr>
        <w:spacing w:before="140" w:line="227" w:lineRule="auto"/>
        <w:ind w:left="499"/>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严格落实防雷、防电、消防等安全措施，科学布局</w:t>
      </w:r>
      <w:r>
        <w:rPr>
          <w:rFonts w:ascii="宋体" w:hAnsi="宋体" w:eastAsia="宋体" w:cs="宋体"/>
          <w:spacing w:val="4"/>
          <w:sz w:val="23"/>
          <w:szCs w:val="23"/>
        </w:rPr>
        <w:t>。</w:t>
      </w:r>
    </w:p>
    <w:p w14:paraId="4061A4A3">
      <w:pPr>
        <w:spacing w:line="278" w:lineRule="auto"/>
        <w:rPr>
          <w:rFonts w:ascii="Arial"/>
          <w:sz w:val="21"/>
        </w:rPr>
      </w:pPr>
    </w:p>
    <w:p w14:paraId="5BBFEAE4">
      <w:pPr>
        <w:spacing w:before="74" w:line="397" w:lineRule="auto"/>
        <w:ind w:left="42" w:right="111" w:firstLine="461"/>
        <w:rPr>
          <w:rFonts w:ascii="宋体" w:hAnsi="宋体" w:eastAsia="宋体" w:cs="宋体"/>
          <w:sz w:val="23"/>
          <w:szCs w:val="23"/>
        </w:rPr>
      </w:pPr>
      <w:r>
        <w:rPr>
          <w:rFonts w:ascii="Times New Roman" w:hAnsi="Times New Roman" w:eastAsia="Times New Roman" w:cs="Times New Roman"/>
          <w:spacing w:val="10"/>
          <w:sz w:val="23"/>
          <w:szCs w:val="23"/>
        </w:rPr>
        <w:t>3</w:t>
      </w:r>
      <w:r>
        <w:rPr>
          <w:rFonts w:ascii="宋体" w:hAnsi="宋体" w:eastAsia="宋体" w:cs="宋体"/>
          <w:spacing w:val="9"/>
          <w:sz w:val="23"/>
          <w:szCs w:val="23"/>
        </w:rPr>
        <w:t>) 原料库、成品库内严禁吸烟，并设置显著</w:t>
      </w:r>
      <w:r>
        <w:rPr>
          <w:rFonts w:ascii="Times New Roman" w:hAnsi="Times New Roman" w:eastAsia="Times New Roman" w:cs="Times New Roman"/>
          <w:spacing w:val="9"/>
          <w:sz w:val="23"/>
          <w:szCs w:val="23"/>
        </w:rPr>
        <w:t>“</w:t>
      </w:r>
      <w:r>
        <w:rPr>
          <w:rFonts w:ascii="宋体" w:hAnsi="宋体" w:eastAsia="宋体" w:cs="宋体"/>
          <w:spacing w:val="9"/>
          <w:sz w:val="23"/>
          <w:szCs w:val="23"/>
        </w:rPr>
        <w:t>严禁烟火</w:t>
      </w:r>
      <w:r>
        <w:rPr>
          <w:rFonts w:ascii="Times New Roman" w:hAnsi="Times New Roman" w:eastAsia="Times New Roman" w:cs="Times New Roman"/>
          <w:spacing w:val="9"/>
          <w:sz w:val="23"/>
          <w:szCs w:val="23"/>
        </w:rPr>
        <w:t>”</w:t>
      </w:r>
      <w:r>
        <w:rPr>
          <w:rFonts w:ascii="宋体" w:hAnsi="宋体" w:eastAsia="宋体" w:cs="宋体"/>
          <w:spacing w:val="9"/>
          <w:sz w:val="23"/>
          <w:szCs w:val="23"/>
        </w:rPr>
        <w:t>标识；原料堆周围</w:t>
      </w:r>
      <w:r>
        <w:rPr>
          <w:rFonts w:ascii="宋体" w:hAnsi="宋体" w:eastAsia="宋体" w:cs="宋体"/>
          <w:sz w:val="23"/>
          <w:szCs w:val="23"/>
        </w:rPr>
        <w:t xml:space="preserve"> </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10"/>
          <w:sz w:val="23"/>
          <w:szCs w:val="23"/>
        </w:rPr>
        <w:t>0</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内不得有明火作业，并应有禁火标识。</w:t>
      </w:r>
    </w:p>
    <w:p w14:paraId="2B5CDB9A">
      <w:pPr>
        <w:spacing w:before="138" w:line="227" w:lineRule="auto"/>
        <w:ind w:left="497"/>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厂区内配备种类适应的灭火器、砂箱或其他灭火工具</w:t>
      </w:r>
      <w:r>
        <w:rPr>
          <w:rFonts w:ascii="宋体" w:hAnsi="宋体" w:eastAsia="宋体" w:cs="宋体"/>
          <w:spacing w:val="7"/>
          <w:sz w:val="23"/>
          <w:szCs w:val="23"/>
        </w:rPr>
        <w:t>。</w:t>
      </w:r>
    </w:p>
    <w:p w14:paraId="1B080C1E">
      <w:pPr>
        <w:spacing w:line="278" w:lineRule="auto"/>
        <w:rPr>
          <w:rFonts w:ascii="Arial"/>
          <w:sz w:val="21"/>
        </w:rPr>
      </w:pPr>
    </w:p>
    <w:p w14:paraId="1950C4DB">
      <w:pPr>
        <w:spacing w:before="75" w:line="394" w:lineRule="auto"/>
        <w:ind w:left="24" w:right="7" w:firstLine="481"/>
        <w:rPr>
          <w:rFonts w:ascii="宋体" w:hAnsi="宋体" w:eastAsia="宋体" w:cs="宋体"/>
          <w:sz w:val="23"/>
          <w:szCs w:val="23"/>
        </w:rPr>
      </w:pPr>
      <w:r>
        <w:rPr>
          <w:rFonts w:ascii="Times New Roman" w:hAnsi="Times New Roman" w:eastAsia="Times New Roman" w:cs="Times New Roman"/>
          <w:spacing w:val="10"/>
          <w:sz w:val="23"/>
          <w:szCs w:val="23"/>
        </w:rPr>
        <w:t>5</w:t>
      </w:r>
      <w:r>
        <w:rPr>
          <w:rFonts w:ascii="宋体" w:hAnsi="宋体" w:eastAsia="宋体" w:cs="宋体"/>
          <w:spacing w:val="10"/>
          <w:sz w:val="23"/>
          <w:szCs w:val="23"/>
        </w:rPr>
        <w:t>) 为防止火灾、爆炸事故产生的消防废水漫溢出厂界，要求厂区内备有</w:t>
      </w:r>
      <w:r>
        <w:rPr>
          <w:rFonts w:ascii="宋体" w:hAnsi="宋体" w:eastAsia="宋体" w:cs="宋体"/>
          <w:spacing w:val="7"/>
          <w:sz w:val="23"/>
          <w:szCs w:val="23"/>
        </w:rPr>
        <w:t>一</w:t>
      </w:r>
      <w:r>
        <w:rPr>
          <w:rFonts w:ascii="宋体" w:hAnsi="宋体" w:eastAsia="宋体" w:cs="宋体"/>
          <w:sz w:val="23"/>
          <w:szCs w:val="23"/>
        </w:rPr>
        <w:t xml:space="preserve"> </w:t>
      </w:r>
      <w:r>
        <w:rPr>
          <w:rFonts w:ascii="宋体" w:hAnsi="宋体" w:eastAsia="宋体" w:cs="宋体"/>
          <w:spacing w:val="16"/>
          <w:sz w:val="23"/>
          <w:szCs w:val="23"/>
        </w:rPr>
        <w:t>定量</w:t>
      </w:r>
      <w:r>
        <w:rPr>
          <w:rFonts w:ascii="宋体" w:hAnsi="宋体" w:eastAsia="宋体" w:cs="宋体"/>
          <w:spacing w:val="11"/>
          <w:sz w:val="23"/>
          <w:szCs w:val="23"/>
        </w:rPr>
        <w:t>的</w:t>
      </w:r>
      <w:r>
        <w:rPr>
          <w:rFonts w:ascii="宋体" w:hAnsi="宋体" w:eastAsia="宋体" w:cs="宋体"/>
          <w:spacing w:val="8"/>
          <w:sz w:val="23"/>
          <w:szCs w:val="23"/>
        </w:rPr>
        <w:t>沙袋、土工布等应急物资，一旦发生火灾，产生消防废水，可利用沙袋、</w:t>
      </w:r>
      <w:r>
        <w:rPr>
          <w:rFonts w:ascii="宋体" w:hAnsi="宋体" w:eastAsia="宋体" w:cs="宋体"/>
          <w:sz w:val="23"/>
          <w:szCs w:val="23"/>
        </w:rPr>
        <w:t xml:space="preserve"> </w:t>
      </w:r>
      <w:r>
        <w:rPr>
          <w:rFonts w:ascii="宋体" w:hAnsi="宋体" w:eastAsia="宋体" w:cs="宋体"/>
          <w:spacing w:val="10"/>
          <w:sz w:val="23"/>
          <w:szCs w:val="23"/>
        </w:rPr>
        <w:t>土</w:t>
      </w:r>
      <w:r>
        <w:rPr>
          <w:rFonts w:ascii="宋体" w:hAnsi="宋体" w:eastAsia="宋体" w:cs="宋体"/>
          <w:spacing w:val="9"/>
          <w:sz w:val="23"/>
          <w:szCs w:val="23"/>
        </w:rPr>
        <w:t>工布等对消防废水进行拦堵，防止漫溢出厂界。</w:t>
      </w:r>
    </w:p>
    <w:p w14:paraId="72C04A19">
      <w:pPr>
        <w:spacing w:before="137" w:line="387" w:lineRule="auto"/>
        <w:ind w:left="23" w:firstLine="480"/>
        <w:rPr>
          <w:rFonts w:ascii="宋体" w:hAnsi="宋体" w:eastAsia="宋体" w:cs="宋体"/>
          <w:sz w:val="23"/>
          <w:szCs w:val="23"/>
        </w:rPr>
      </w:pPr>
      <w:r>
        <w:rPr>
          <w:rFonts w:ascii="Times New Roman" w:hAnsi="Times New Roman" w:eastAsia="Times New Roman" w:cs="Times New Roman"/>
          <w:spacing w:val="12"/>
          <w:sz w:val="23"/>
          <w:szCs w:val="23"/>
        </w:rPr>
        <w:t>6</w:t>
      </w:r>
      <w:r>
        <w:rPr>
          <w:rFonts w:ascii="宋体" w:hAnsi="宋体" w:eastAsia="宋体" w:cs="宋体"/>
          <w:spacing w:val="12"/>
          <w:sz w:val="23"/>
          <w:szCs w:val="23"/>
        </w:rPr>
        <w:t>)</w:t>
      </w:r>
      <w:r>
        <w:rPr>
          <w:rFonts w:ascii="宋体" w:hAnsi="宋体" w:eastAsia="宋体" w:cs="宋体"/>
          <w:spacing w:val="10"/>
          <w:sz w:val="23"/>
          <w:szCs w:val="23"/>
        </w:rPr>
        <w:t xml:space="preserve"> </w:t>
      </w:r>
      <w:r>
        <w:rPr>
          <w:rFonts w:ascii="宋体" w:hAnsi="宋体" w:eastAsia="宋体" w:cs="宋体"/>
          <w:spacing w:val="6"/>
          <w:sz w:val="23"/>
          <w:szCs w:val="23"/>
        </w:rPr>
        <w:t>为了更好地控制事故可能造成的污染，本评价要求在厂区北侧设置</w:t>
      </w:r>
      <w:r>
        <w:rPr>
          <w:rFonts w:ascii="Times New Roman" w:hAnsi="Times New Roman" w:eastAsia="Times New Roman" w:cs="Times New Roman"/>
          <w:spacing w:val="6"/>
          <w:sz w:val="23"/>
          <w:szCs w:val="23"/>
        </w:rPr>
        <w:t>1</w:t>
      </w:r>
      <w:r>
        <w:rPr>
          <w:rFonts w:ascii="宋体" w:hAnsi="宋体" w:eastAsia="宋体" w:cs="宋体"/>
          <w:spacing w:val="6"/>
          <w:sz w:val="23"/>
          <w:szCs w:val="23"/>
        </w:rPr>
        <w:t>座容</w:t>
      </w:r>
      <w:r>
        <w:rPr>
          <w:rFonts w:ascii="宋体" w:hAnsi="宋体" w:eastAsia="宋体" w:cs="宋体"/>
          <w:sz w:val="23"/>
          <w:szCs w:val="23"/>
        </w:rPr>
        <w:t xml:space="preserve"> </w:t>
      </w:r>
      <w:r>
        <w:rPr>
          <w:rFonts w:ascii="宋体" w:hAnsi="宋体" w:eastAsia="宋体" w:cs="宋体"/>
          <w:spacing w:val="8"/>
          <w:sz w:val="23"/>
          <w:szCs w:val="23"/>
        </w:rPr>
        <w:t>积为</w:t>
      </w:r>
      <w:r>
        <w:rPr>
          <w:rFonts w:ascii="Times New Roman" w:hAnsi="Times New Roman" w:eastAsia="Times New Roman" w:cs="Times New Roman"/>
          <w:spacing w:val="8"/>
          <w:sz w:val="23"/>
          <w:szCs w:val="23"/>
        </w:rPr>
        <w:t>160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宋体" w:hAnsi="宋体" w:eastAsia="宋体" w:cs="宋体"/>
          <w:spacing w:val="4"/>
          <w:sz w:val="23"/>
          <w:szCs w:val="23"/>
        </w:rPr>
        <w:t>事故池。事故池的作用是灭火结束后可将消防水全部收集在事故池中，</w:t>
      </w:r>
      <w:r>
        <w:rPr>
          <w:rFonts w:ascii="宋体" w:hAnsi="宋体" w:eastAsia="宋体" w:cs="宋体"/>
          <w:sz w:val="23"/>
          <w:szCs w:val="23"/>
        </w:rPr>
        <w:t xml:space="preserve"> </w:t>
      </w:r>
      <w:r>
        <w:rPr>
          <w:rFonts w:ascii="宋体" w:hAnsi="宋体" w:eastAsia="宋体" w:cs="宋体"/>
          <w:spacing w:val="9"/>
          <w:sz w:val="23"/>
          <w:szCs w:val="23"/>
        </w:rPr>
        <w:t>同</w:t>
      </w:r>
      <w:r>
        <w:rPr>
          <w:rFonts w:ascii="宋体" w:hAnsi="宋体" w:eastAsia="宋体" w:cs="宋体"/>
          <w:spacing w:val="7"/>
          <w:sz w:val="23"/>
          <w:szCs w:val="23"/>
        </w:rPr>
        <w:t>时可容纳</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h</w:t>
      </w:r>
      <w:r>
        <w:rPr>
          <w:rFonts w:ascii="宋体" w:hAnsi="宋体" w:eastAsia="宋体" w:cs="宋体"/>
          <w:spacing w:val="7"/>
          <w:sz w:val="23"/>
          <w:szCs w:val="23"/>
        </w:rPr>
        <w:t>的事故排水量，随后，根据有关规定和具体情况进行对事故池中的</w:t>
      </w:r>
      <w:r>
        <w:rPr>
          <w:rFonts w:ascii="宋体" w:hAnsi="宋体" w:eastAsia="宋体" w:cs="宋体"/>
          <w:sz w:val="23"/>
          <w:szCs w:val="23"/>
        </w:rPr>
        <w:t xml:space="preserve"> </w:t>
      </w:r>
      <w:r>
        <w:rPr>
          <w:rFonts w:ascii="宋体" w:hAnsi="宋体" w:eastAsia="宋体" w:cs="宋体"/>
          <w:spacing w:val="11"/>
          <w:sz w:val="23"/>
          <w:szCs w:val="23"/>
        </w:rPr>
        <w:t>水</w:t>
      </w:r>
      <w:r>
        <w:rPr>
          <w:rFonts w:ascii="宋体" w:hAnsi="宋体" w:eastAsia="宋体" w:cs="宋体"/>
          <w:spacing w:val="7"/>
          <w:sz w:val="23"/>
          <w:szCs w:val="23"/>
        </w:rPr>
        <w:t>进行相应处理。</w:t>
      </w:r>
    </w:p>
    <w:p w14:paraId="0F64F685">
      <w:pPr>
        <w:spacing w:before="164" w:line="393" w:lineRule="auto"/>
        <w:ind w:left="26" w:right="61" w:firstLine="476"/>
        <w:rPr>
          <w:rFonts w:ascii="宋体" w:hAnsi="宋体" w:eastAsia="宋体" w:cs="宋体"/>
          <w:sz w:val="23"/>
          <w:szCs w:val="23"/>
        </w:rPr>
      </w:pPr>
      <w:r>
        <w:rPr>
          <w:rFonts w:ascii="宋体" w:hAnsi="宋体" w:eastAsia="宋体" w:cs="宋体"/>
          <w:spacing w:val="7"/>
          <w:sz w:val="23"/>
          <w:szCs w:val="23"/>
        </w:rPr>
        <w:t>采取上述应急措施后，物料燃烧、泄漏事故产生的消防污水不会直接排漫</w:t>
      </w:r>
      <w:r>
        <w:rPr>
          <w:rFonts w:ascii="宋体" w:hAnsi="宋体" w:eastAsia="宋体" w:cs="宋体"/>
          <w:spacing w:val="3"/>
          <w:sz w:val="23"/>
          <w:szCs w:val="23"/>
        </w:rPr>
        <w:t>出</w:t>
      </w:r>
      <w:r>
        <w:rPr>
          <w:rFonts w:ascii="宋体" w:hAnsi="宋体" w:eastAsia="宋体" w:cs="宋体"/>
          <w:sz w:val="23"/>
          <w:szCs w:val="23"/>
        </w:rPr>
        <w:t xml:space="preserve"> </w:t>
      </w:r>
      <w:r>
        <w:rPr>
          <w:rFonts w:ascii="宋体" w:hAnsi="宋体" w:eastAsia="宋体" w:cs="宋体"/>
          <w:spacing w:val="7"/>
          <w:sz w:val="23"/>
          <w:szCs w:val="23"/>
        </w:rPr>
        <w:t>厂界，因此对地表水体影响较小。另外，在企业生产运营中，要经常对地面进</w:t>
      </w:r>
      <w:r>
        <w:rPr>
          <w:rFonts w:ascii="宋体" w:hAnsi="宋体" w:eastAsia="宋体" w:cs="宋体"/>
          <w:spacing w:val="6"/>
          <w:sz w:val="23"/>
          <w:szCs w:val="23"/>
        </w:rPr>
        <w:t>行</w:t>
      </w:r>
      <w:r>
        <w:rPr>
          <w:rFonts w:ascii="宋体" w:hAnsi="宋体" w:eastAsia="宋体" w:cs="宋体"/>
          <w:sz w:val="23"/>
          <w:szCs w:val="23"/>
        </w:rPr>
        <w:t xml:space="preserve"> </w:t>
      </w:r>
      <w:r>
        <w:rPr>
          <w:rFonts w:ascii="宋体" w:hAnsi="宋体" w:eastAsia="宋体" w:cs="宋体"/>
          <w:spacing w:val="16"/>
          <w:sz w:val="23"/>
          <w:szCs w:val="23"/>
        </w:rPr>
        <w:t>维</w:t>
      </w:r>
      <w:r>
        <w:rPr>
          <w:rFonts w:ascii="宋体" w:hAnsi="宋体" w:eastAsia="宋体" w:cs="宋体"/>
          <w:spacing w:val="11"/>
          <w:sz w:val="23"/>
          <w:szCs w:val="23"/>
        </w:rPr>
        <w:t>护</w:t>
      </w:r>
      <w:r>
        <w:rPr>
          <w:rFonts w:ascii="宋体" w:hAnsi="宋体" w:eastAsia="宋体" w:cs="宋体"/>
          <w:spacing w:val="8"/>
          <w:sz w:val="23"/>
          <w:szCs w:val="23"/>
        </w:rPr>
        <w:t>和及时修善，以保护地下水环境。</w:t>
      </w:r>
    </w:p>
    <w:p w14:paraId="5AA367EF">
      <w:pPr>
        <w:spacing w:before="138" w:line="228" w:lineRule="auto"/>
        <w:ind w:left="502"/>
        <w:rPr>
          <w:rFonts w:ascii="宋体" w:hAnsi="宋体" w:eastAsia="宋体" w:cs="宋体"/>
          <w:sz w:val="23"/>
          <w:szCs w:val="23"/>
        </w:rPr>
      </w:pPr>
      <w:r>
        <w:rPr>
          <w:rFonts w:ascii="Times New Roman" w:hAnsi="Times New Roman" w:eastAsia="Times New Roman" w:cs="Times New Roman"/>
          <w:spacing w:val="10"/>
          <w:sz w:val="23"/>
          <w:szCs w:val="23"/>
        </w:rPr>
        <w:t>7</w:t>
      </w:r>
      <w:r>
        <w:rPr>
          <w:rFonts w:ascii="宋体" w:hAnsi="宋体" w:eastAsia="宋体" w:cs="宋体"/>
          <w:spacing w:val="6"/>
          <w:sz w:val="23"/>
          <w:szCs w:val="23"/>
        </w:rPr>
        <w:t>)</w:t>
      </w:r>
      <w:r>
        <w:rPr>
          <w:rFonts w:ascii="宋体" w:hAnsi="宋体" w:eastAsia="宋体" w:cs="宋体"/>
          <w:spacing w:val="5"/>
          <w:sz w:val="23"/>
          <w:szCs w:val="23"/>
        </w:rPr>
        <w:t xml:space="preserve"> 三级防控：</w:t>
      </w:r>
    </w:p>
    <w:p w14:paraId="05E13417">
      <w:pPr>
        <w:spacing w:line="281" w:lineRule="auto"/>
        <w:rPr>
          <w:rFonts w:ascii="Arial"/>
          <w:sz w:val="21"/>
        </w:rPr>
      </w:pPr>
    </w:p>
    <w:p w14:paraId="59463A91">
      <w:pPr>
        <w:spacing w:before="75" w:line="393" w:lineRule="auto"/>
        <w:ind w:left="23" w:right="1" w:firstLine="482"/>
        <w:rPr>
          <w:rFonts w:ascii="宋体" w:hAnsi="宋体" w:eastAsia="宋体" w:cs="宋体"/>
          <w:sz w:val="23"/>
          <w:szCs w:val="23"/>
        </w:rPr>
      </w:pPr>
      <w:r>
        <w:rPr>
          <w:rFonts w:ascii="宋体" w:hAnsi="宋体" w:eastAsia="宋体" w:cs="宋体"/>
          <w:spacing w:val="2"/>
          <w:sz w:val="23"/>
          <w:szCs w:val="23"/>
        </w:rPr>
        <w:t>为进一步完善环境风险应急措施，拟将应急</w:t>
      </w:r>
      <w:r>
        <w:rPr>
          <w:rFonts w:ascii="宋体" w:hAnsi="宋体" w:eastAsia="宋体" w:cs="宋体"/>
          <w:spacing w:val="1"/>
          <w:sz w:val="23"/>
          <w:szCs w:val="23"/>
        </w:rPr>
        <w:t>防范措施分为三级防控体系，即：</w:t>
      </w:r>
      <w:r>
        <w:rPr>
          <w:rFonts w:ascii="宋体" w:hAnsi="宋体" w:eastAsia="宋体" w:cs="宋体"/>
          <w:sz w:val="23"/>
          <w:szCs w:val="23"/>
        </w:rPr>
        <w:t xml:space="preserve"> </w:t>
      </w:r>
      <w:r>
        <w:rPr>
          <w:rFonts w:ascii="宋体" w:hAnsi="宋体" w:eastAsia="宋体" w:cs="宋体"/>
          <w:spacing w:val="9"/>
          <w:sz w:val="23"/>
          <w:szCs w:val="23"/>
        </w:rPr>
        <w:t>一</w:t>
      </w:r>
      <w:r>
        <w:rPr>
          <w:rFonts w:ascii="宋体" w:hAnsi="宋体" w:eastAsia="宋体" w:cs="宋体"/>
          <w:spacing w:val="7"/>
          <w:sz w:val="23"/>
          <w:szCs w:val="23"/>
        </w:rPr>
        <w:t>级防控措施将污染物控制在事故发生的区域内；二级防控措施将污染物控制在</w:t>
      </w:r>
      <w:r>
        <w:rPr>
          <w:rFonts w:ascii="宋体" w:hAnsi="宋体" w:eastAsia="宋体" w:cs="宋体"/>
          <w:sz w:val="23"/>
          <w:szCs w:val="23"/>
        </w:rPr>
        <w:t xml:space="preserve"> </w:t>
      </w:r>
      <w:r>
        <w:rPr>
          <w:rFonts w:ascii="宋体" w:hAnsi="宋体" w:eastAsia="宋体" w:cs="宋体"/>
          <w:spacing w:val="18"/>
          <w:sz w:val="23"/>
          <w:szCs w:val="23"/>
        </w:rPr>
        <w:t>事</w:t>
      </w:r>
      <w:r>
        <w:rPr>
          <w:rFonts w:ascii="宋体" w:hAnsi="宋体" w:eastAsia="宋体" w:cs="宋体"/>
          <w:spacing w:val="14"/>
          <w:sz w:val="23"/>
          <w:szCs w:val="23"/>
        </w:rPr>
        <w:t>故</w:t>
      </w:r>
      <w:r>
        <w:rPr>
          <w:rFonts w:ascii="宋体" w:hAnsi="宋体" w:eastAsia="宋体" w:cs="宋体"/>
          <w:spacing w:val="9"/>
          <w:sz w:val="23"/>
          <w:szCs w:val="23"/>
        </w:rPr>
        <w:t>发生的生产车间内；三级防控措施将污染物控制在事故池内。具体如下：</w:t>
      </w:r>
    </w:p>
    <w:p w14:paraId="585B161F">
      <w:pPr>
        <w:spacing w:before="138" w:line="225" w:lineRule="auto"/>
        <w:ind w:left="502"/>
        <w:rPr>
          <w:rFonts w:ascii="宋体" w:hAnsi="宋体" w:eastAsia="宋体" w:cs="宋体"/>
          <w:sz w:val="23"/>
          <w:szCs w:val="23"/>
        </w:rPr>
      </w:pPr>
      <w:r>
        <w:rPr>
          <w:rFonts w:ascii="宋体" w:hAnsi="宋体" w:eastAsia="宋体" w:cs="宋体"/>
          <w:spacing w:val="7"/>
          <w:sz w:val="23"/>
          <w:szCs w:val="23"/>
        </w:rPr>
        <w:t>①一级防控措施：利用沙袋进行围挡，用于收集事故污水，将污染物控制</w:t>
      </w:r>
      <w:r>
        <w:rPr>
          <w:rFonts w:ascii="宋体" w:hAnsi="宋体" w:eastAsia="宋体" w:cs="宋体"/>
          <w:spacing w:val="3"/>
          <w:sz w:val="23"/>
          <w:szCs w:val="23"/>
        </w:rPr>
        <w:t>在</w:t>
      </w:r>
    </w:p>
    <w:p w14:paraId="60F1A325">
      <w:pPr>
        <w:sectPr>
          <w:headerReference r:id="rId305" w:type="default"/>
          <w:footerReference r:id="rId306" w:type="default"/>
          <w:pgSz w:w="11906" w:h="16839"/>
          <w:pgMar w:top="1132" w:right="1738" w:bottom="1182" w:left="1785" w:header="878" w:footer="1022" w:gutter="0"/>
          <w:cols w:space="720" w:num="1"/>
        </w:sectPr>
      </w:pPr>
    </w:p>
    <w:p w14:paraId="66F4200F">
      <w:pPr>
        <w:spacing w:line="411" w:lineRule="auto"/>
        <w:rPr>
          <w:rFonts w:ascii="Arial"/>
          <w:sz w:val="21"/>
        </w:rPr>
      </w:pPr>
      <w:r>
        <w:pict>
          <v:shape id="_x0000_s1370" o:spid="_x0000_s1370" style="position:absolute;left:0pt;margin-left:90pt;margin-top:57.35pt;height:0.75pt;width:415.3pt;mso-position-horizontal-relative:page;mso-position-vertical-relative:page;z-index:252065792;mso-width-relative:page;mso-height-relative:page;" fillcolor="#000000" filled="t" stroked="f" coordsize="8305,15" o:allowincell="f" path="m0,0l8305,0,8305,14,0,14,0,0xe">
            <v:path/>
            <v:fill on="t" focussize="0,0"/>
            <v:stroke on="f"/>
            <v:imagedata o:title=""/>
            <o:lock v:ext="edit"/>
          </v:shape>
        </w:pict>
      </w:r>
    </w:p>
    <w:p w14:paraId="33184D40">
      <w:pPr>
        <w:spacing w:before="75" w:line="227" w:lineRule="auto"/>
        <w:ind w:left="23"/>
        <w:rPr>
          <w:rFonts w:ascii="宋体" w:hAnsi="宋体" w:eastAsia="宋体" w:cs="宋体"/>
          <w:sz w:val="23"/>
          <w:szCs w:val="23"/>
        </w:rPr>
      </w:pPr>
      <w:r>
        <w:rPr>
          <w:rFonts w:ascii="宋体" w:hAnsi="宋体" w:eastAsia="宋体" w:cs="宋体"/>
          <w:spacing w:val="8"/>
          <w:sz w:val="23"/>
          <w:szCs w:val="23"/>
        </w:rPr>
        <w:t>事故发生的区域内</w:t>
      </w:r>
      <w:r>
        <w:rPr>
          <w:rFonts w:ascii="宋体" w:hAnsi="宋体" w:eastAsia="宋体" w:cs="宋体"/>
          <w:spacing w:val="6"/>
          <w:sz w:val="23"/>
          <w:szCs w:val="23"/>
        </w:rPr>
        <w:t>。</w:t>
      </w:r>
    </w:p>
    <w:p w14:paraId="2BA21F95">
      <w:pPr>
        <w:spacing w:line="282" w:lineRule="auto"/>
        <w:rPr>
          <w:rFonts w:ascii="Arial"/>
          <w:sz w:val="21"/>
        </w:rPr>
      </w:pPr>
    </w:p>
    <w:p w14:paraId="0F9B7852">
      <w:pPr>
        <w:spacing w:before="74" w:line="393" w:lineRule="auto"/>
        <w:ind w:left="24" w:right="13" w:firstLine="477"/>
        <w:rPr>
          <w:rFonts w:ascii="宋体" w:hAnsi="宋体" w:eastAsia="宋体" w:cs="宋体"/>
          <w:sz w:val="23"/>
          <w:szCs w:val="23"/>
        </w:rPr>
      </w:pPr>
      <w:r>
        <w:rPr>
          <w:rFonts w:ascii="宋体" w:hAnsi="宋体" w:eastAsia="宋体" w:cs="宋体"/>
          <w:spacing w:val="7"/>
          <w:sz w:val="23"/>
          <w:szCs w:val="23"/>
        </w:rPr>
        <w:t>②二级防控：该项目生产厂房、原料库、成品库均为封闭式库房，利用生</w:t>
      </w:r>
      <w:r>
        <w:rPr>
          <w:rFonts w:ascii="宋体" w:hAnsi="宋体" w:eastAsia="宋体" w:cs="宋体"/>
          <w:spacing w:val="4"/>
          <w:sz w:val="23"/>
          <w:szCs w:val="23"/>
        </w:rPr>
        <w:t>产</w:t>
      </w:r>
      <w:r>
        <w:rPr>
          <w:rFonts w:ascii="宋体" w:hAnsi="宋体" w:eastAsia="宋体" w:cs="宋体"/>
          <w:sz w:val="23"/>
          <w:szCs w:val="23"/>
        </w:rPr>
        <w:t xml:space="preserve"> </w:t>
      </w:r>
      <w:r>
        <w:rPr>
          <w:rFonts w:ascii="宋体" w:hAnsi="宋体" w:eastAsia="宋体" w:cs="宋体"/>
          <w:spacing w:val="8"/>
          <w:sz w:val="23"/>
          <w:szCs w:val="23"/>
        </w:rPr>
        <w:t>厂</w:t>
      </w:r>
      <w:r>
        <w:rPr>
          <w:rFonts w:ascii="宋体" w:hAnsi="宋体" w:eastAsia="宋体" w:cs="宋体"/>
          <w:spacing w:val="7"/>
          <w:sz w:val="23"/>
          <w:szCs w:val="23"/>
        </w:rPr>
        <w:t>房、原料库、成品库围墙作为二级防控措施，并利用沙袋进行围挡，防止污水</w:t>
      </w:r>
      <w:r>
        <w:rPr>
          <w:rFonts w:ascii="宋体" w:hAnsi="宋体" w:eastAsia="宋体" w:cs="宋体"/>
          <w:sz w:val="23"/>
          <w:szCs w:val="23"/>
        </w:rPr>
        <w:t xml:space="preserve"> </w:t>
      </w:r>
      <w:r>
        <w:rPr>
          <w:rFonts w:ascii="宋体" w:hAnsi="宋体" w:eastAsia="宋体" w:cs="宋体"/>
          <w:spacing w:val="7"/>
          <w:sz w:val="23"/>
          <w:szCs w:val="23"/>
        </w:rPr>
        <w:t>流出储存区域。</w:t>
      </w:r>
    </w:p>
    <w:p w14:paraId="7473FAC7">
      <w:pPr>
        <w:spacing w:before="137" w:line="397" w:lineRule="auto"/>
        <w:ind w:left="27" w:right="13" w:firstLine="474"/>
        <w:rPr>
          <w:rFonts w:ascii="宋体" w:hAnsi="宋体" w:eastAsia="宋体" w:cs="宋体"/>
          <w:sz w:val="23"/>
          <w:szCs w:val="23"/>
        </w:rPr>
      </w:pPr>
      <w:r>
        <w:rPr>
          <w:rFonts w:ascii="宋体" w:hAnsi="宋体" w:eastAsia="宋体" w:cs="宋体"/>
          <w:spacing w:val="7"/>
          <w:sz w:val="23"/>
          <w:szCs w:val="23"/>
        </w:rPr>
        <w:t>③三级防控：利用厂区内设置的应急事故池作为三级防控措施，用于收集</w:t>
      </w:r>
      <w:r>
        <w:rPr>
          <w:rFonts w:ascii="宋体" w:hAnsi="宋体" w:eastAsia="宋体" w:cs="宋体"/>
          <w:spacing w:val="4"/>
          <w:sz w:val="23"/>
          <w:szCs w:val="23"/>
        </w:rPr>
        <w:t>事</w:t>
      </w:r>
      <w:r>
        <w:rPr>
          <w:rFonts w:ascii="宋体" w:hAnsi="宋体" w:eastAsia="宋体" w:cs="宋体"/>
          <w:sz w:val="23"/>
          <w:szCs w:val="23"/>
        </w:rPr>
        <w:t xml:space="preserve"> </w:t>
      </w:r>
      <w:r>
        <w:rPr>
          <w:rFonts w:ascii="宋体" w:hAnsi="宋体" w:eastAsia="宋体" w:cs="宋体"/>
          <w:spacing w:val="16"/>
          <w:sz w:val="23"/>
          <w:szCs w:val="23"/>
        </w:rPr>
        <w:t>故</w:t>
      </w:r>
      <w:r>
        <w:rPr>
          <w:rFonts w:ascii="宋体" w:hAnsi="宋体" w:eastAsia="宋体" w:cs="宋体"/>
          <w:spacing w:val="12"/>
          <w:sz w:val="23"/>
          <w:szCs w:val="23"/>
        </w:rPr>
        <w:t>污</w:t>
      </w:r>
      <w:r>
        <w:rPr>
          <w:rFonts w:ascii="宋体" w:hAnsi="宋体" w:eastAsia="宋体" w:cs="宋体"/>
          <w:spacing w:val="8"/>
          <w:sz w:val="23"/>
          <w:szCs w:val="23"/>
        </w:rPr>
        <w:t>水，防止污水流出厂界，造成污染。</w:t>
      </w:r>
    </w:p>
    <w:p w14:paraId="6C3F4927">
      <w:pPr>
        <w:spacing w:before="134" w:line="228" w:lineRule="auto"/>
        <w:ind w:left="508"/>
        <w:rPr>
          <w:rFonts w:ascii="宋体" w:hAnsi="宋体" w:eastAsia="宋体" w:cs="宋体"/>
          <w:sz w:val="23"/>
          <w:szCs w:val="23"/>
        </w:rPr>
      </w:pPr>
      <w:r>
        <w:rPr>
          <w:rFonts w:ascii="Times New Roman" w:hAnsi="Times New Roman" w:eastAsia="Times New Roman" w:cs="Times New Roman"/>
          <w:spacing w:val="12"/>
          <w:sz w:val="23"/>
          <w:szCs w:val="23"/>
        </w:rPr>
        <w:t>8</w:t>
      </w:r>
      <w:r>
        <w:rPr>
          <w:rFonts w:ascii="宋体" w:hAnsi="宋体" w:eastAsia="宋体" w:cs="宋体"/>
          <w:spacing w:val="6"/>
          <w:sz w:val="23"/>
          <w:szCs w:val="23"/>
        </w:rPr>
        <w:t>) 风险应急预案</w:t>
      </w:r>
    </w:p>
    <w:p w14:paraId="14B10846">
      <w:pPr>
        <w:spacing w:line="277" w:lineRule="auto"/>
        <w:rPr>
          <w:rFonts w:ascii="Arial"/>
          <w:sz w:val="21"/>
        </w:rPr>
      </w:pPr>
    </w:p>
    <w:p w14:paraId="527FF167">
      <w:pPr>
        <w:spacing w:before="75" w:line="391" w:lineRule="auto"/>
        <w:ind w:left="22" w:right="13" w:firstLine="481"/>
        <w:rPr>
          <w:rFonts w:ascii="宋体" w:hAnsi="宋体" w:eastAsia="宋体" w:cs="宋体"/>
          <w:sz w:val="23"/>
          <w:szCs w:val="23"/>
        </w:rPr>
      </w:pPr>
      <w:r>
        <w:rPr>
          <w:rFonts w:ascii="宋体" w:hAnsi="宋体" w:eastAsia="宋体" w:cs="宋体"/>
          <w:spacing w:val="7"/>
          <w:sz w:val="23"/>
          <w:szCs w:val="23"/>
        </w:rPr>
        <w:t>风险事故应急预案主要包括事故处置程序和应急反应计划两部分。事故处</w:t>
      </w:r>
      <w:r>
        <w:rPr>
          <w:rFonts w:ascii="宋体" w:hAnsi="宋体" w:eastAsia="宋体" w:cs="宋体"/>
          <w:spacing w:val="2"/>
          <w:sz w:val="23"/>
          <w:szCs w:val="23"/>
        </w:rPr>
        <w:t>置</w:t>
      </w:r>
      <w:r>
        <w:rPr>
          <w:rFonts w:ascii="宋体" w:hAnsi="宋体" w:eastAsia="宋体" w:cs="宋体"/>
          <w:sz w:val="23"/>
          <w:szCs w:val="23"/>
        </w:rPr>
        <w:t xml:space="preserve"> </w:t>
      </w:r>
      <w:r>
        <w:rPr>
          <w:rFonts w:ascii="宋体" w:hAnsi="宋体" w:eastAsia="宋体" w:cs="宋体"/>
          <w:spacing w:val="9"/>
          <w:sz w:val="23"/>
          <w:szCs w:val="23"/>
        </w:rPr>
        <w:t>的</w:t>
      </w:r>
      <w:r>
        <w:rPr>
          <w:rFonts w:ascii="宋体" w:hAnsi="宋体" w:eastAsia="宋体" w:cs="宋体"/>
          <w:spacing w:val="7"/>
          <w:sz w:val="23"/>
          <w:szCs w:val="23"/>
        </w:rPr>
        <w:t>核心是及时报警、正确决策、迅速扑救，各部门充分配合、协调行动。环境风</w:t>
      </w:r>
      <w:r>
        <w:rPr>
          <w:rFonts w:ascii="宋体" w:hAnsi="宋体" w:eastAsia="宋体" w:cs="宋体"/>
          <w:sz w:val="23"/>
          <w:szCs w:val="23"/>
        </w:rPr>
        <w:t xml:space="preserve"> </w:t>
      </w:r>
      <w:r>
        <w:rPr>
          <w:rFonts w:ascii="宋体" w:hAnsi="宋体" w:eastAsia="宋体" w:cs="宋体"/>
          <w:spacing w:val="9"/>
          <w:sz w:val="23"/>
          <w:szCs w:val="23"/>
        </w:rPr>
        <w:t>险</w:t>
      </w:r>
      <w:r>
        <w:rPr>
          <w:rFonts w:ascii="宋体" w:hAnsi="宋体" w:eastAsia="宋体" w:cs="宋体"/>
          <w:spacing w:val="7"/>
          <w:sz w:val="23"/>
          <w:szCs w:val="23"/>
        </w:rPr>
        <w:t>事故应急计划一般应包括：应急计划区；应急组织机构、人员；预案分级响应</w:t>
      </w:r>
      <w:r>
        <w:rPr>
          <w:rFonts w:ascii="宋体" w:hAnsi="宋体" w:eastAsia="宋体" w:cs="宋体"/>
          <w:sz w:val="23"/>
          <w:szCs w:val="23"/>
        </w:rPr>
        <w:t xml:space="preserve"> </w:t>
      </w:r>
      <w:r>
        <w:rPr>
          <w:rFonts w:ascii="宋体" w:hAnsi="宋体" w:eastAsia="宋体" w:cs="宋体"/>
          <w:spacing w:val="9"/>
          <w:sz w:val="23"/>
          <w:szCs w:val="23"/>
        </w:rPr>
        <w:t>条</w:t>
      </w:r>
      <w:r>
        <w:rPr>
          <w:rFonts w:ascii="宋体" w:hAnsi="宋体" w:eastAsia="宋体" w:cs="宋体"/>
          <w:spacing w:val="7"/>
          <w:sz w:val="23"/>
          <w:szCs w:val="23"/>
        </w:rPr>
        <w:t>件；应急救援保障；报警通讯联络方式；应急环境监测、抢险、救援及控制措</w:t>
      </w:r>
      <w:r>
        <w:rPr>
          <w:rFonts w:ascii="宋体" w:hAnsi="宋体" w:eastAsia="宋体" w:cs="宋体"/>
          <w:sz w:val="23"/>
          <w:szCs w:val="23"/>
        </w:rPr>
        <w:t xml:space="preserve"> </w:t>
      </w:r>
      <w:r>
        <w:rPr>
          <w:rFonts w:ascii="宋体" w:hAnsi="宋体" w:eastAsia="宋体" w:cs="宋体"/>
          <w:spacing w:val="9"/>
          <w:sz w:val="23"/>
          <w:szCs w:val="23"/>
        </w:rPr>
        <w:t>施</w:t>
      </w:r>
      <w:r>
        <w:rPr>
          <w:rFonts w:ascii="宋体" w:hAnsi="宋体" w:eastAsia="宋体" w:cs="宋体"/>
          <w:spacing w:val="7"/>
          <w:sz w:val="23"/>
          <w:szCs w:val="23"/>
        </w:rPr>
        <w:t>；应急检测、防护措施、清除泄漏措施和器材；人员紧急撤离、疏散，应急剂</w:t>
      </w:r>
      <w:r>
        <w:rPr>
          <w:rFonts w:ascii="宋体" w:hAnsi="宋体" w:eastAsia="宋体" w:cs="宋体"/>
          <w:sz w:val="23"/>
          <w:szCs w:val="23"/>
        </w:rPr>
        <w:t xml:space="preserve"> </w:t>
      </w:r>
      <w:r>
        <w:rPr>
          <w:rFonts w:ascii="宋体" w:hAnsi="宋体" w:eastAsia="宋体" w:cs="宋体"/>
          <w:spacing w:val="9"/>
          <w:sz w:val="23"/>
          <w:szCs w:val="23"/>
        </w:rPr>
        <w:t>量</w:t>
      </w:r>
      <w:r>
        <w:rPr>
          <w:rFonts w:ascii="宋体" w:hAnsi="宋体" w:eastAsia="宋体" w:cs="宋体"/>
          <w:spacing w:val="7"/>
          <w:sz w:val="23"/>
          <w:szCs w:val="23"/>
        </w:rPr>
        <w:t>控制、撤离组织计划；事故应急救援关闭程序与恢复措施；应急培训计划；公</w:t>
      </w:r>
      <w:r>
        <w:rPr>
          <w:rFonts w:ascii="宋体" w:hAnsi="宋体" w:eastAsia="宋体" w:cs="宋体"/>
          <w:sz w:val="23"/>
          <w:szCs w:val="23"/>
        </w:rPr>
        <w:t xml:space="preserve"> </w:t>
      </w:r>
      <w:r>
        <w:rPr>
          <w:rFonts w:ascii="宋体" w:hAnsi="宋体" w:eastAsia="宋体" w:cs="宋体"/>
          <w:spacing w:val="9"/>
          <w:sz w:val="23"/>
          <w:szCs w:val="23"/>
        </w:rPr>
        <w:t>众</w:t>
      </w:r>
      <w:r>
        <w:rPr>
          <w:rFonts w:ascii="宋体" w:hAnsi="宋体" w:eastAsia="宋体" w:cs="宋体"/>
          <w:spacing w:val="7"/>
          <w:sz w:val="23"/>
          <w:szCs w:val="23"/>
        </w:rPr>
        <w:t>教育和信息。</w:t>
      </w:r>
    </w:p>
    <w:p w14:paraId="773C13ED">
      <w:pPr>
        <w:spacing w:before="137" w:line="389" w:lineRule="auto"/>
        <w:ind w:left="22" w:right="8" w:firstLine="480"/>
        <w:rPr>
          <w:rFonts w:ascii="宋体" w:hAnsi="宋体" w:eastAsia="宋体" w:cs="宋体"/>
          <w:sz w:val="23"/>
          <w:szCs w:val="23"/>
        </w:rPr>
      </w:pPr>
      <w:r>
        <w:rPr>
          <w:rFonts w:ascii="宋体" w:hAnsi="宋体" w:eastAsia="宋体" w:cs="宋体"/>
          <w:spacing w:val="11"/>
          <w:sz w:val="23"/>
          <w:szCs w:val="23"/>
        </w:rPr>
        <w:t>根</w:t>
      </w:r>
      <w:r>
        <w:rPr>
          <w:rFonts w:ascii="宋体" w:hAnsi="宋体" w:eastAsia="宋体" w:cs="宋体"/>
          <w:spacing w:val="10"/>
          <w:sz w:val="23"/>
          <w:szCs w:val="23"/>
        </w:rPr>
        <w:t>据《辽宁省企事业单位突发环境事件应急预案管理暂行办法》  (辽环发</w:t>
      </w:r>
      <w:r>
        <w:rPr>
          <w:rFonts w:ascii="宋体" w:hAnsi="宋体" w:eastAsia="宋体" w:cs="宋体"/>
          <w:sz w:val="23"/>
          <w:szCs w:val="23"/>
        </w:rPr>
        <w:t xml:space="preserve"> </w:t>
      </w:r>
      <w:r>
        <w:rPr>
          <w:rFonts w:ascii="Times New Roman" w:hAnsi="Times New Roman" w:eastAsia="Times New Roman" w:cs="Times New Roman"/>
          <w:spacing w:val="8"/>
          <w:sz w:val="23"/>
          <w:szCs w:val="23"/>
        </w:rPr>
        <w:t>[2013</w:t>
      </w:r>
      <w:r>
        <w:rPr>
          <w:rFonts w:ascii="Times New Roman" w:hAnsi="Times New Roman" w:eastAsia="Times New Roman" w:cs="Times New Roman"/>
          <w:spacing w:val="6"/>
          <w:sz w:val="23"/>
          <w:szCs w:val="23"/>
        </w:rPr>
        <w:t>]</w:t>
      </w:r>
      <w:r>
        <w:rPr>
          <w:rFonts w:ascii="Times New Roman" w:hAnsi="Times New Roman" w:eastAsia="Times New Roman" w:cs="Times New Roman"/>
          <w:spacing w:val="4"/>
          <w:sz w:val="23"/>
          <w:szCs w:val="23"/>
        </w:rPr>
        <w:t xml:space="preserve">53 </w:t>
      </w:r>
      <w:r>
        <w:rPr>
          <w:rFonts w:ascii="宋体" w:hAnsi="宋体" w:eastAsia="宋体" w:cs="宋体"/>
          <w:spacing w:val="4"/>
          <w:sz w:val="23"/>
          <w:szCs w:val="23"/>
        </w:rPr>
        <w:t>号，辽宁省环境保护厅，</w:t>
      </w:r>
      <w:r>
        <w:rPr>
          <w:rFonts w:ascii="Times New Roman" w:hAnsi="Times New Roman" w:eastAsia="Times New Roman" w:cs="Times New Roman"/>
          <w:spacing w:val="4"/>
          <w:sz w:val="23"/>
          <w:szCs w:val="23"/>
        </w:rPr>
        <w:t xml:space="preserve">2013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18 </w:t>
      </w:r>
      <w:r>
        <w:rPr>
          <w:rFonts w:ascii="宋体" w:hAnsi="宋体" w:eastAsia="宋体" w:cs="宋体"/>
          <w:spacing w:val="4"/>
          <w:sz w:val="23"/>
          <w:szCs w:val="23"/>
        </w:rPr>
        <w:t>日) ，建设单位应编制环境应</w:t>
      </w:r>
      <w:r>
        <w:rPr>
          <w:rFonts w:ascii="宋体" w:hAnsi="宋体" w:eastAsia="宋体" w:cs="宋体"/>
          <w:sz w:val="23"/>
          <w:szCs w:val="23"/>
        </w:rPr>
        <w:t xml:space="preserve"> </w:t>
      </w:r>
      <w:r>
        <w:rPr>
          <w:rFonts w:ascii="宋体" w:hAnsi="宋体" w:eastAsia="宋体" w:cs="宋体"/>
          <w:spacing w:val="15"/>
          <w:sz w:val="23"/>
          <w:szCs w:val="23"/>
        </w:rPr>
        <w:t>急</w:t>
      </w:r>
      <w:r>
        <w:rPr>
          <w:rFonts w:ascii="宋体" w:hAnsi="宋体" w:eastAsia="宋体" w:cs="宋体"/>
          <w:spacing w:val="14"/>
          <w:sz w:val="23"/>
          <w:szCs w:val="23"/>
        </w:rPr>
        <w:t>预案。企事业单位可以自行或者委托相关专业技术服务机构编制环境应急预</w:t>
      </w:r>
      <w:r>
        <w:rPr>
          <w:rFonts w:ascii="宋体" w:hAnsi="宋体" w:eastAsia="宋体" w:cs="宋体"/>
          <w:sz w:val="23"/>
          <w:szCs w:val="23"/>
        </w:rPr>
        <w:t xml:space="preserve"> </w:t>
      </w:r>
      <w:r>
        <w:rPr>
          <w:rFonts w:ascii="宋体" w:hAnsi="宋体" w:eastAsia="宋体" w:cs="宋体"/>
          <w:spacing w:val="16"/>
          <w:sz w:val="23"/>
          <w:szCs w:val="23"/>
        </w:rPr>
        <w:t>案</w:t>
      </w:r>
      <w:r>
        <w:rPr>
          <w:rFonts w:ascii="宋体" w:hAnsi="宋体" w:eastAsia="宋体" w:cs="宋体"/>
          <w:spacing w:val="9"/>
          <w:sz w:val="23"/>
          <w:szCs w:val="23"/>
        </w:rPr>
        <w:t>，</w:t>
      </w:r>
      <w:r>
        <w:rPr>
          <w:rFonts w:ascii="宋体" w:hAnsi="宋体" w:eastAsia="宋体" w:cs="宋体"/>
          <w:spacing w:val="8"/>
          <w:sz w:val="23"/>
          <w:szCs w:val="23"/>
        </w:rPr>
        <w:t xml:space="preserve">编制的环境应急预案应当在本单位主要负责人签署实施之日起 </w:t>
      </w:r>
      <w:r>
        <w:rPr>
          <w:rFonts w:ascii="Times New Roman" w:hAnsi="Times New Roman" w:eastAsia="Times New Roman" w:cs="Times New Roman"/>
          <w:spacing w:val="8"/>
          <w:sz w:val="23"/>
          <w:szCs w:val="23"/>
        </w:rPr>
        <w:t xml:space="preserve">30 </w:t>
      </w:r>
      <w:r>
        <w:rPr>
          <w:rFonts w:ascii="宋体" w:hAnsi="宋体" w:eastAsia="宋体" w:cs="宋体"/>
          <w:spacing w:val="8"/>
          <w:sz w:val="23"/>
          <w:szCs w:val="23"/>
        </w:rPr>
        <w:t>日内报本</w:t>
      </w:r>
      <w:r>
        <w:rPr>
          <w:rFonts w:ascii="宋体" w:hAnsi="宋体" w:eastAsia="宋体" w:cs="宋体"/>
          <w:sz w:val="23"/>
          <w:szCs w:val="23"/>
        </w:rPr>
        <w:t xml:space="preserve"> </w:t>
      </w:r>
      <w:r>
        <w:rPr>
          <w:rFonts w:ascii="宋体" w:hAnsi="宋体" w:eastAsia="宋体" w:cs="宋体"/>
          <w:spacing w:val="9"/>
          <w:sz w:val="23"/>
          <w:szCs w:val="23"/>
        </w:rPr>
        <w:t>溪</w:t>
      </w:r>
      <w:r>
        <w:rPr>
          <w:rFonts w:ascii="宋体" w:hAnsi="宋体" w:eastAsia="宋体" w:cs="宋体"/>
          <w:spacing w:val="7"/>
          <w:sz w:val="23"/>
          <w:szCs w:val="23"/>
        </w:rPr>
        <w:t>县环保部门备案。对没有环境应急预案备案手续的企事业单位，环保部门不得</w:t>
      </w:r>
      <w:r>
        <w:rPr>
          <w:rFonts w:ascii="宋体" w:hAnsi="宋体" w:eastAsia="宋体" w:cs="宋体"/>
          <w:sz w:val="23"/>
          <w:szCs w:val="23"/>
        </w:rPr>
        <w:t xml:space="preserve"> </w:t>
      </w:r>
      <w:r>
        <w:rPr>
          <w:rFonts w:ascii="宋体" w:hAnsi="宋体" w:eastAsia="宋体" w:cs="宋体"/>
          <w:spacing w:val="8"/>
          <w:sz w:val="23"/>
          <w:szCs w:val="23"/>
        </w:rPr>
        <w:t>批准其投入试生产</w:t>
      </w:r>
      <w:r>
        <w:rPr>
          <w:rFonts w:ascii="宋体" w:hAnsi="宋体" w:eastAsia="宋体" w:cs="宋体"/>
          <w:spacing w:val="7"/>
          <w:sz w:val="23"/>
          <w:szCs w:val="23"/>
        </w:rPr>
        <w:t>。</w:t>
      </w:r>
    </w:p>
    <w:p w14:paraId="34C81494">
      <w:pPr>
        <w:spacing w:before="86" w:line="225" w:lineRule="auto"/>
        <w:ind w:left="24"/>
        <w:outlineLvl w:val="1"/>
        <w:rPr>
          <w:rFonts w:ascii="宋体" w:hAnsi="宋体" w:eastAsia="宋体" w:cs="宋体"/>
          <w:sz w:val="31"/>
          <w:szCs w:val="31"/>
        </w:rPr>
      </w:pPr>
      <w:bookmarkStart w:id="35" w:name="_bookmark36"/>
      <w:bookmarkEnd w:id="35"/>
      <w:r>
        <w:rPr>
          <w:rFonts w:ascii="Times New Roman" w:hAnsi="Times New Roman" w:eastAsia="Times New Roman" w:cs="Times New Roman"/>
          <w:b/>
          <w:bCs/>
          <w:spacing w:val="10"/>
          <w:sz w:val="31"/>
          <w:szCs w:val="31"/>
        </w:rPr>
        <w:t>7</w:t>
      </w:r>
      <w:r>
        <w:rPr>
          <w:rFonts w:ascii="Times New Roman" w:hAnsi="Times New Roman" w:eastAsia="Times New Roman" w:cs="Times New Roman"/>
          <w:b/>
          <w:bCs/>
          <w:spacing w:val="6"/>
          <w:sz w:val="31"/>
          <w:szCs w:val="31"/>
        </w:rPr>
        <w:t>.7</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风险分析结论</w:t>
      </w:r>
    </w:p>
    <w:p w14:paraId="563DE2F8">
      <w:pPr>
        <w:spacing w:line="253" w:lineRule="auto"/>
        <w:rPr>
          <w:rFonts w:ascii="Arial"/>
          <w:sz w:val="21"/>
        </w:rPr>
      </w:pPr>
    </w:p>
    <w:p w14:paraId="78B67CEB">
      <w:pPr>
        <w:spacing w:before="75" w:line="392" w:lineRule="auto"/>
        <w:ind w:left="26" w:right="11" w:firstLine="480"/>
        <w:rPr>
          <w:rFonts w:ascii="宋体" w:hAnsi="宋体" w:eastAsia="宋体" w:cs="宋体"/>
          <w:sz w:val="23"/>
          <w:szCs w:val="23"/>
        </w:rPr>
      </w:pPr>
      <w:r>
        <w:rPr>
          <w:rFonts w:ascii="宋体" w:hAnsi="宋体" w:eastAsia="宋体" w:cs="宋体"/>
          <w:spacing w:val="7"/>
          <w:sz w:val="23"/>
          <w:szCs w:val="23"/>
        </w:rPr>
        <w:t>该项目可能发生事故的类型主要为在设备损坏、故障、人员操作失误时，</w:t>
      </w:r>
      <w:r>
        <w:rPr>
          <w:rFonts w:ascii="宋体" w:hAnsi="宋体" w:eastAsia="宋体" w:cs="宋体"/>
          <w:spacing w:val="1"/>
          <w:sz w:val="23"/>
          <w:szCs w:val="23"/>
        </w:rPr>
        <w:t>使</w:t>
      </w:r>
      <w:r>
        <w:rPr>
          <w:rFonts w:ascii="宋体" w:hAnsi="宋体" w:eastAsia="宋体" w:cs="宋体"/>
          <w:sz w:val="23"/>
          <w:szCs w:val="23"/>
        </w:rPr>
        <w:t xml:space="preserve"> </w:t>
      </w:r>
      <w:r>
        <w:rPr>
          <w:rFonts w:ascii="宋体" w:hAnsi="宋体" w:eastAsia="宋体" w:cs="宋体"/>
          <w:spacing w:val="7"/>
          <w:sz w:val="23"/>
          <w:szCs w:val="23"/>
        </w:rPr>
        <w:t>厂内物料遇明火引发火灾事故，在采取相应的预防措施，通过加强管理、落实</w:t>
      </w:r>
      <w:r>
        <w:rPr>
          <w:rFonts w:ascii="宋体" w:hAnsi="宋体" w:eastAsia="宋体" w:cs="宋体"/>
          <w:spacing w:val="6"/>
          <w:sz w:val="23"/>
          <w:szCs w:val="23"/>
        </w:rPr>
        <w:t>各</w:t>
      </w:r>
      <w:r>
        <w:rPr>
          <w:rFonts w:ascii="宋体" w:hAnsi="宋体" w:eastAsia="宋体" w:cs="宋体"/>
          <w:sz w:val="23"/>
          <w:szCs w:val="23"/>
        </w:rPr>
        <w:t xml:space="preserve"> </w:t>
      </w:r>
      <w:r>
        <w:rPr>
          <w:rFonts w:ascii="宋体" w:hAnsi="宋体" w:eastAsia="宋体" w:cs="宋体"/>
          <w:spacing w:val="7"/>
          <w:sz w:val="23"/>
          <w:szCs w:val="23"/>
        </w:rPr>
        <w:t>项防火防爆防泄露措施后可将风险降至可接受范围。该项目环境风险简单分析</w:t>
      </w:r>
      <w:r>
        <w:rPr>
          <w:rFonts w:ascii="宋体" w:hAnsi="宋体" w:eastAsia="宋体" w:cs="宋体"/>
          <w:spacing w:val="6"/>
          <w:sz w:val="23"/>
          <w:szCs w:val="23"/>
        </w:rPr>
        <w:t>内</w:t>
      </w:r>
      <w:r>
        <w:rPr>
          <w:rFonts w:ascii="宋体" w:hAnsi="宋体" w:eastAsia="宋体" w:cs="宋体"/>
          <w:sz w:val="23"/>
          <w:szCs w:val="23"/>
        </w:rPr>
        <w:t xml:space="preserve"> </w:t>
      </w:r>
      <w:r>
        <w:rPr>
          <w:rFonts w:ascii="宋体" w:hAnsi="宋体" w:eastAsia="宋体" w:cs="宋体"/>
          <w:spacing w:val="-2"/>
          <w:sz w:val="23"/>
          <w:szCs w:val="23"/>
        </w:rPr>
        <w:t xml:space="preserve">容表见表 </w:t>
      </w:r>
      <w:r>
        <w:rPr>
          <w:rFonts w:ascii="Times New Roman" w:hAnsi="Times New Roman" w:eastAsia="Times New Roman" w:cs="Times New Roman"/>
          <w:spacing w:val="-2"/>
          <w:sz w:val="23"/>
          <w:szCs w:val="23"/>
        </w:rPr>
        <w:t>7</w:t>
      </w:r>
      <w:r>
        <w:rPr>
          <w:rFonts w:ascii="Times New Roman" w:hAnsi="Times New Roman" w:eastAsia="Times New Roman" w:cs="Times New Roman"/>
          <w:spacing w:val="-1"/>
          <w:sz w:val="23"/>
          <w:szCs w:val="23"/>
        </w:rPr>
        <w:t>-9</w:t>
      </w:r>
      <w:r>
        <w:rPr>
          <w:rFonts w:ascii="宋体" w:hAnsi="宋体" w:eastAsia="宋体" w:cs="宋体"/>
          <w:spacing w:val="-1"/>
          <w:sz w:val="23"/>
          <w:szCs w:val="23"/>
        </w:rPr>
        <w:t>。</w:t>
      </w:r>
    </w:p>
    <w:p w14:paraId="6F3FA2F3">
      <w:pPr>
        <w:sectPr>
          <w:headerReference r:id="rId307" w:type="default"/>
          <w:footerReference r:id="rId308" w:type="default"/>
          <w:pgSz w:w="11906" w:h="16839"/>
          <w:pgMar w:top="1132" w:right="1785" w:bottom="1182" w:left="1785" w:header="878" w:footer="1022" w:gutter="0"/>
          <w:cols w:space="720" w:num="1"/>
        </w:sectPr>
      </w:pPr>
    </w:p>
    <w:p w14:paraId="4101BD47">
      <w:pPr>
        <w:spacing w:line="410" w:lineRule="auto"/>
        <w:rPr>
          <w:rFonts w:ascii="Arial"/>
          <w:sz w:val="21"/>
        </w:rPr>
      </w:pPr>
      <w:r>
        <w:pict>
          <v:shape id="_x0000_s1371" o:spid="_x0000_s1371" style="position:absolute;left:0pt;margin-left:90pt;margin-top:57.35pt;height:0.75pt;width:415.3pt;mso-position-horizontal-relative:page;mso-position-vertical-relative:page;z-index:252066816;mso-width-relative:page;mso-height-relative:page;" fillcolor="#000000" filled="t" stroked="f" coordsize="8305,15" o:allowincell="f" path="m0,0l8305,0,8305,14,0,14,0,0xe">
            <v:path/>
            <v:fill on="t" focussize="0,0"/>
            <v:stroke on="f"/>
            <v:imagedata o:title=""/>
            <o:lock v:ext="edit"/>
          </v:shape>
        </w:pict>
      </w:r>
    </w:p>
    <w:p w14:paraId="5F7D343A">
      <w:pPr>
        <w:spacing w:before="75" w:line="227" w:lineRule="auto"/>
        <w:ind w:left="183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7-9</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建设项目环境风险简单分析内容表</w:t>
      </w:r>
    </w:p>
    <w:p w14:paraId="248CFEB0">
      <w:pPr>
        <w:spacing w:line="20" w:lineRule="exact"/>
      </w:pPr>
    </w:p>
    <w:tbl>
      <w:tblPr>
        <w:tblStyle w:val="4"/>
        <w:tblW w:w="83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1156"/>
        <w:gridCol w:w="735"/>
        <w:gridCol w:w="474"/>
        <w:gridCol w:w="1080"/>
        <w:gridCol w:w="174"/>
        <w:gridCol w:w="803"/>
        <w:gridCol w:w="925"/>
        <w:gridCol w:w="1730"/>
      </w:tblGrid>
      <w:tr w14:paraId="2909F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13" w:type="dxa"/>
            <w:tcBorders>
              <w:left w:val="nil"/>
            </w:tcBorders>
            <w:vAlign w:val="top"/>
          </w:tcPr>
          <w:p w14:paraId="631F8788">
            <w:pPr>
              <w:spacing w:before="100" w:line="228" w:lineRule="auto"/>
              <w:ind w:left="72"/>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建设</w:t>
            </w:r>
            <w:r>
              <w:rPr>
                <w:rFonts w:ascii="宋体" w:hAnsi="宋体" w:eastAsia="宋体" w:cs="宋体"/>
                <w:spacing w:val="-1"/>
                <w:sz w:val="20"/>
                <w:szCs w:val="20"/>
                <w14:textOutline w14:w="3795" w14:cap="sq" w14:cmpd="sng">
                  <w14:solidFill>
                    <w14:srgbClr w14:val="000000"/>
                  </w14:solidFill>
                  <w14:prstDash w14:val="solid"/>
                  <w14:bevel/>
                </w14:textOutline>
              </w:rPr>
              <w:t>项目名称</w:t>
            </w:r>
          </w:p>
        </w:tc>
        <w:tc>
          <w:tcPr>
            <w:tcW w:w="7077" w:type="dxa"/>
            <w:gridSpan w:val="8"/>
            <w:tcBorders>
              <w:right w:val="nil"/>
            </w:tcBorders>
            <w:vAlign w:val="top"/>
          </w:tcPr>
          <w:p w14:paraId="1CE89B7A">
            <w:pPr>
              <w:spacing w:before="100" w:line="227" w:lineRule="auto"/>
              <w:ind w:left="2074"/>
              <w:rPr>
                <w:rFonts w:ascii="宋体" w:hAnsi="宋体" w:eastAsia="宋体" w:cs="宋体"/>
                <w:sz w:val="20"/>
                <w:szCs w:val="20"/>
              </w:rPr>
            </w:pPr>
            <w:r>
              <w:rPr>
                <w:rFonts w:ascii="宋体" w:hAnsi="宋体" w:eastAsia="宋体" w:cs="宋体"/>
                <w:spacing w:val="11"/>
                <w:sz w:val="20"/>
                <w:szCs w:val="20"/>
              </w:rPr>
              <w:t>本</w:t>
            </w:r>
            <w:r>
              <w:rPr>
                <w:rFonts w:ascii="宋体" w:hAnsi="宋体" w:eastAsia="宋体" w:cs="宋体"/>
                <w:spacing w:val="9"/>
                <w:sz w:val="20"/>
                <w:szCs w:val="20"/>
              </w:rPr>
              <w:t>溪弘福塑业有限公司新建项目</w:t>
            </w:r>
          </w:p>
        </w:tc>
      </w:tr>
      <w:tr w14:paraId="353F5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313" w:type="dxa"/>
            <w:tcBorders>
              <w:left w:val="nil"/>
            </w:tcBorders>
            <w:vAlign w:val="top"/>
          </w:tcPr>
          <w:p w14:paraId="7E74BFF0">
            <w:pPr>
              <w:spacing w:before="83" w:line="229" w:lineRule="auto"/>
              <w:ind w:left="24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建设地</w:t>
            </w:r>
            <w:r>
              <w:rPr>
                <w:rFonts w:ascii="宋体" w:hAnsi="宋体" w:eastAsia="宋体" w:cs="宋体"/>
                <w:spacing w:val="7"/>
                <w:sz w:val="20"/>
                <w:szCs w:val="20"/>
                <w14:textOutline w14:w="3795" w14:cap="sq" w14:cmpd="sng">
                  <w14:solidFill>
                    <w14:srgbClr w14:val="000000"/>
                  </w14:solidFill>
                  <w14:prstDash w14:val="solid"/>
                  <w14:bevel/>
                </w14:textOutline>
              </w:rPr>
              <w:t>点</w:t>
            </w:r>
          </w:p>
        </w:tc>
        <w:tc>
          <w:tcPr>
            <w:tcW w:w="1156" w:type="dxa"/>
            <w:vAlign w:val="top"/>
          </w:tcPr>
          <w:p w14:paraId="534C1698">
            <w:pPr>
              <w:spacing w:before="83" w:line="228" w:lineRule="auto"/>
              <w:ind w:left="6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22"/>
                <w:sz w:val="20"/>
                <w:szCs w:val="20"/>
              </w:rPr>
              <w:t>辽宁) 省</w:t>
            </w:r>
          </w:p>
        </w:tc>
        <w:tc>
          <w:tcPr>
            <w:tcW w:w="1209" w:type="dxa"/>
            <w:gridSpan w:val="2"/>
            <w:vAlign w:val="top"/>
          </w:tcPr>
          <w:p w14:paraId="75445585">
            <w:pPr>
              <w:spacing w:before="83" w:line="227" w:lineRule="auto"/>
              <w:ind w:left="94"/>
              <w:rPr>
                <w:rFonts w:ascii="宋体" w:hAnsi="宋体" w:eastAsia="宋体" w:cs="宋体"/>
                <w:sz w:val="20"/>
                <w:szCs w:val="20"/>
              </w:rPr>
            </w:pPr>
            <w:r>
              <w:rPr>
                <w:rFonts w:ascii="宋体" w:hAnsi="宋体" w:eastAsia="宋体" w:cs="宋体"/>
                <w:spacing w:val="25"/>
                <w:sz w:val="20"/>
                <w:szCs w:val="20"/>
              </w:rPr>
              <w:t>(</w:t>
            </w:r>
            <w:r>
              <w:rPr>
                <w:rFonts w:ascii="宋体" w:hAnsi="宋体" w:eastAsia="宋体" w:cs="宋体"/>
                <w:spacing w:val="22"/>
                <w:sz w:val="20"/>
                <w:szCs w:val="20"/>
              </w:rPr>
              <w:t>本溪) 市</w:t>
            </w:r>
          </w:p>
        </w:tc>
        <w:tc>
          <w:tcPr>
            <w:tcW w:w="1080" w:type="dxa"/>
            <w:vAlign w:val="top"/>
          </w:tcPr>
          <w:p w14:paraId="4110ECC3">
            <w:pPr>
              <w:spacing w:before="83" w:line="230" w:lineRule="auto"/>
              <w:ind w:left="37"/>
              <w:rPr>
                <w:rFonts w:ascii="宋体" w:hAnsi="宋体" w:eastAsia="宋体" w:cs="宋体"/>
                <w:sz w:val="20"/>
                <w:szCs w:val="20"/>
              </w:rPr>
            </w:pPr>
            <w:r>
              <w:rPr>
                <w:rFonts w:ascii="宋体" w:hAnsi="宋体" w:eastAsia="宋体" w:cs="宋体"/>
                <w:spacing w:val="22"/>
                <w:sz w:val="20"/>
                <w:szCs w:val="20"/>
              </w:rPr>
              <w:t xml:space="preserve">(溪湖) </w:t>
            </w:r>
            <w:r>
              <w:rPr>
                <w:rFonts w:ascii="宋体" w:hAnsi="宋体" w:eastAsia="宋体" w:cs="宋体"/>
                <w:spacing w:val="20"/>
                <w:sz w:val="20"/>
                <w:szCs w:val="20"/>
              </w:rPr>
              <w:t>区</w:t>
            </w:r>
          </w:p>
        </w:tc>
        <w:tc>
          <w:tcPr>
            <w:tcW w:w="977" w:type="dxa"/>
            <w:gridSpan w:val="2"/>
            <w:vAlign w:val="top"/>
          </w:tcPr>
          <w:p w14:paraId="6E87E8B4">
            <w:pPr>
              <w:spacing w:before="46" w:line="281" w:lineRule="exact"/>
              <w:ind w:left="159"/>
              <w:rPr>
                <w:rFonts w:ascii="宋体" w:hAnsi="宋体" w:eastAsia="宋体" w:cs="宋体"/>
                <w:sz w:val="20"/>
                <w:szCs w:val="20"/>
              </w:rPr>
            </w:pPr>
            <w:r>
              <w:rPr>
                <w:rFonts w:ascii="宋体" w:hAnsi="宋体" w:eastAsia="宋体" w:cs="宋体"/>
                <w:spacing w:val="24"/>
                <w:position w:val="1"/>
                <w:sz w:val="20"/>
                <w:szCs w:val="20"/>
              </w:rPr>
              <w:t>(</w:t>
            </w:r>
            <w:r>
              <w:rPr>
                <w:rFonts w:ascii="Times New Roman" w:hAnsi="Times New Roman" w:eastAsia="Times New Roman" w:cs="Times New Roman"/>
                <w:spacing w:val="22"/>
                <w:position w:val="1"/>
                <w:sz w:val="20"/>
                <w:szCs w:val="20"/>
              </w:rPr>
              <w:t>/</w:t>
            </w:r>
            <w:r>
              <w:rPr>
                <w:rFonts w:ascii="宋体" w:hAnsi="宋体" w:eastAsia="宋体" w:cs="宋体"/>
                <w:spacing w:val="22"/>
                <w:position w:val="1"/>
                <w:sz w:val="20"/>
                <w:szCs w:val="20"/>
              </w:rPr>
              <w:t>) 县</w:t>
            </w:r>
          </w:p>
        </w:tc>
        <w:tc>
          <w:tcPr>
            <w:tcW w:w="2655" w:type="dxa"/>
            <w:gridSpan w:val="2"/>
            <w:tcBorders>
              <w:right w:val="nil"/>
            </w:tcBorders>
            <w:vAlign w:val="top"/>
          </w:tcPr>
          <w:p w14:paraId="36A706FF">
            <w:pPr>
              <w:spacing w:before="83" w:line="227" w:lineRule="auto"/>
              <w:ind w:left="494"/>
              <w:rPr>
                <w:rFonts w:ascii="宋体" w:hAnsi="宋体" w:eastAsia="宋体" w:cs="宋体"/>
                <w:sz w:val="20"/>
                <w:szCs w:val="20"/>
              </w:rPr>
            </w:pPr>
            <w:r>
              <w:rPr>
                <w:rFonts w:ascii="宋体" w:hAnsi="宋体" w:eastAsia="宋体" w:cs="宋体"/>
                <w:spacing w:val="11"/>
                <w:sz w:val="20"/>
                <w:szCs w:val="20"/>
              </w:rPr>
              <w:t>火</w:t>
            </w:r>
            <w:r>
              <w:rPr>
                <w:rFonts w:ascii="宋体" w:hAnsi="宋体" w:eastAsia="宋体" w:cs="宋体"/>
                <w:spacing w:val="8"/>
                <w:sz w:val="20"/>
                <w:szCs w:val="20"/>
              </w:rPr>
              <w:t>连寨镇火连寨村</w:t>
            </w:r>
          </w:p>
        </w:tc>
      </w:tr>
      <w:tr w14:paraId="71CC0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13" w:type="dxa"/>
            <w:tcBorders>
              <w:left w:val="nil"/>
            </w:tcBorders>
            <w:vAlign w:val="top"/>
          </w:tcPr>
          <w:p w14:paraId="79D6A980">
            <w:pPr>
              <w:spacing w:before="93" w:line="228" w:lineRule="auto"/>
              <w:ind w:left="24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地</w:t>
            </w:r>
            <w:r>
              <w:rPr>
                <w:rFonts w:ascii="宋体" w:hAnsi="宋体" w:eastAsia="宋体" w:cs="宋体"/>
                <w:spacing w:val="8"/>
                <w:sz w:val="20"/>
                <w:szCs w:val="20"/>
                <w14:textOutline w14:w="3795" w14:cap="sq" w14:cmpd="sng">
                  <w14:solidFill>
                    <w14:srgbClr w14:val="000000"/>
                  </w14:solidFill>
                  <w14:prstDash w14:val="solid"/>
                  <w14:bevel/>
                </w14:textOutline>
              </w:rPr>
              <w:t>理坐标</w:t>
            </w:r>
          </w:p>
        </w:tc>
        <w:tc>
          <w:tcPr>
            <w:tcW w:w="1891" w:type="dxa"/>
            <w:gridSpan w:val="2"/>
            <w:vAlign w:val="top"/>
          </w:tcPr>
          <w:p w14:paraId="030E1A7C">
            <w:pPr>
              <w:spacing w:before="93" w:line="228" w:lineRule="auto"/>
              <w:ind w:left="742"/>
              <w:rPr>
                <w:rFonts w:ascii="宋体" w:hAnsi="宋体" w:eastAsia="宋体" w:cs="宋体"/>
                <w:sz w:val="20"/>
                <w:szCs w:val="20"/>
              </w:rPr>
            </w:pPr>
            <w:r>
              <w:rPr>
                <w:rFonts w:ascii="宋体" w:hAnsi="宋体" w:eastAsia="宋体" w:cs="宋体"/>
                <w:spacing w:val="4"/>
                <w:sz w:val="20"/>
                <w:szCs w:val="20"/>
              </w:rPr>
              <w:t>经</w:t>
            </w:r>
            <w:r>
              <w:rPr>
                <w:rFonts w:ascii="宋体" w:hAnsi="宋体" w:eastAsia="宋体" w:cs="宋体"/>
                <w:spacing w:val="3"/>
                <w:sz w:val="20"/>
                <w:szCs w:val="20"/>
              </w:rPr>
              <w:t>度</w:t>
            </w:r>
          </w:p>
        </w:tc>
        <w:tc>
          <w:tcPr>
            <w:tcW w:w="1728" w:type="dxa"/>
            <w:gridSpan w:val="3"/>
            <w:vAlign w:val="top"/>
          </w:tcPr>
          <w:p w14:paraId="45DD765B">
            <w:pPr>
              <w:spacing w:before="12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123°42′32.05640</w:t>
            </w:r>
            <w:r>
              <w:rPr>
                <w:rFonts w:ascii="Times New Roman" w:hAnsi="Times New Roman" w:eastAsia="Times New Roman" w:cs="Times New Roman"/>
                <w:spacing w:val="2"/>
                <w:sz w:val="20"/>
                <w:szCs w:val="20"/>
              </w:rPr>
              <w:t>″</w:t>
            </w:r>
          </w:p>
        </w:tc>
        <w:tc>
          <w:tcPr>
            <w:tcW w:w="1728" w:type="dxa"/>
            <w:gridSpan w:val="2"/>
            <w:vAlign w:val="top"/>
          </w:tcPr>
          <w:p w14:paraId="04D974F1">
            <w:pPr>
              <w:spacing w:before="93" w:line="228" w:lineRule="auto"/>
              <w:ind w:left="660"/>
              <w:rPr>
                <w:rFonts w:ascii="宋体" w:hAnsi="宋体" w:eastAsia="宋体" w:cs="宋体"/>
                <w:sz w:val="20"/>
                <w:szCs w:val="20"/>
              </w:rPr>
            </w:pPr>
            <w:r>
              <w:rPr>
                <w:rFonts w:ascii="宋体" w:hAnsi="宋体" w:eastAsia="宋体" w:cs="宋体"/>
                <w:spacing w:val="4"/>
                <w:sz w:val="20"/>
                <w:szCs w:val="20"/>
              </w:rPr>
              <w:t>纬度</w:t>
            </w:r>
          </w:p>
        </w:tc>
        <w:tc>
          <w:tcPr>
            <w:tcW w:w="1730" w:type="dxa"/>
            <w:tcBorders>
              <w:right w:val="nil"/>
            </w:tcBorders>
            <w:vAlign w:val="top"/>
          </w:tcPr>
          <w:p w14:paraId="5F8E6C3D">
            <w:pPr>
              <w:spacing w:before="12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1°21′55.05927″</w:t>
            </w:r>
          </w:p>
        </w:tc>
      </w:tr>
      <w:tr w14:paraId="1F81D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2" w:hRule="atLeast"/>
        </w:trPr>
        <w:tc>
          <w:tcPr>
            <w:tcW w:w="1313" w:type="dxa"/>
            <w:tcBorders>
              <w:left w:val="nil"/>
            </w:tcBorders>
            <w:vAlign w:val="top"/>
          </w:tcPr>
          <w:p w14:paraId="61823FD1">
            <w:pPr>
              <w:spacing w:line="252" w:lineRule="auto"/>
              <w:rPr>
                <w:rFonts w:ascii="Arial"/>
                <w:sz w:val="21"/>
              </w:rPr>
            </w:pPr>
          </w:p>
          <w:p w14:paraId="33DFA26C">
            <w:pPr>
              <w:spacing w:line="252" w:lineRule="auto"/>
              <w:rPr>
                <w:rFonts w:ascii="Arial"/>
                <w:sz w:val="21"/>
              </w:rPr>
            </w:pPr>
          </w:p>
          <w:p w14:paraId="1CC1D85D">
            <w:pPr>
              <w:spacing w:line="252" w:lineRule="auto"/>
              <w:rPr>
                <w:rFonts w:ascii="Arial"/>
                <w:sz w:val="21"/>
              </w:rPr>
            </w:pPr>
          </w:p>
          <w:p w14:paraId="46C660B6">
            <w:pPr>
              <w:spacing w:line="252" w:lineRule="auto"/>
              <w:rPr>
                <w:rFonts w:ascii="Arial"/>
                <w:sz w:val="21"/>
              </w:rPr>
            </w:pPr>
          </w:p>
          <w:p w14:paraId="7CB89AEE">
            <w:pPr>
              <w:spacing w:line="253" w:lineRule="auto"/>
              <w:rPr>
                <w:rFonts w:ascii="Arial"/>
                <w:sz w:val="21"/>
              </w:rPr>
            </w:pPr>
          </w:p>
          <w:p w14:paraId="1BA5DEDB">
            <w:pPr>
              <w:spacing w:line="253" w:lineRule="auto"/>
              <w:rPr>
                <w:rFonts w:ascii="Arial"/>
                <w:sz w:val="21"/>
              </w:rPr>
            </w:pPr>
          </w:p>
          <w:p w14:paraId="7AC3D769">
            <w:pPr>
              <w:spacing w:line="253" w:lineRule="auto"/>
              <w:rPr>
                <w:rFonts w:ascii="Arial"/>
                <w:sz w:val="21"/>
              </w:rPr>
            </w:pPr>
          </w:p>
          <w:p w14:paraId="772984E9">
            <w:pPr>
              <w:spacing w:line="253" w:lineRule="auto"/>
              <w:rPr>
                <w:rFonts w:ascii="Arial"/>
                <w:sz w:val="21"/>
              </w:rPr>
            </w:pPr>
          </w:p>
          <w:p w14:paraId="1F2BDB19">
            <w:pPr>
              <w:spacing w:line="253" w:lineRule="auto"/>
              <w:rPr>
                <w:rFonts w:ascii="Arial"/>
                <w:sz w:val="21"/>
              </w:rPr>
            </w:pPr>
          </w:p>
          <w:p w14:paraId="6EB79753">
            <w:pPr>
              <w:spacing w:line="253" w:lineRule="auto"/>
              <w:rPr>
                <w:rFonts w:ascii="Arial"/>
                <w:sz w:val="21"/>
              </w:rPr>
            </w:pPr>
          </w:p>
          <w:p w14:paraId="0C698B09">
            <w:pPr>
              <w:spacing w:line="253" w:lineRule="auto"/>
              <w:rPr>
                <w:rFonts w:ascii="Arial"/>
                <w:sz w:val="21"/>
              </w:rPr>
            </w:pPr>
          </w:p>
          <w:p w14:paraId="377FD3F0">
            <w:pPr>
              <w:spacing w:before="65" w:line="300" w:lineRule="auto"/>
              <w:ind w:left="139" w:right="128" w:firstLine="10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主要危险</w:t>
            </w:r>
            <w:r>
              <w:rPr>
                <w:rFonts w:ascii="宋体" w:hAnsi="宋体" w:eastAsia="宋体" w:cs="宋体"/>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质及分布</w:t>
            </w:r>
          </w:p>
        </w:tc>
        <w:tc>
          <w:tcPr>
            <w:tcW w:w="7077" w:type="dxa"/>
            <w:gridSpan w:val="8"/>
            <w:tcBorders>
              <w:right w:val="nil"/>
            </w:tcBorders>
            <w:vAlign w:val="top"/>
          </w:tcPr>
          <w:p w14:paraId="75631F08">
            <w:pPr>
              <w:spacing w:before="53" w:line="288" w:lineRule="auto"/>
              <w:ind w:left="27" w:right="5" w:firstLine="4"/>
              <w:rPr>
                <w:rFonts w:ascii="宋体" w:hAnsi="宋体" w:eastAsia="宋体" w:cs="宋体"/>
                <w:sz w:val="20"/>
                <w:szCs w:val="20"/>
              </w:rPr>
            </w:pPr>
            <w:r>
              <w:rPr>
                <w:rFonts w:ascii="宋体" w:hAnsi="宋体" w:eastAsia="宋体" w:cs="宋体"/>
                <w:spacing w:val="-8"/>
                <w:sz w:val="20"/>
                <w:szCs w:val="20"/>
              </w:rPr>
              <w:t>该项目主要原</w:t>
            </w:r>
            <w:r>
              <w:rPr>
                <w:rFonts w:ascii="宋体" w:hAnsi="宋体" w:eastAsia="宋体" w:cs="宋体"/>
                <w:spacing w:val="-4"/>
                <w:sz w:val="20"/>
                <w:szCs w:val="20"/>
              </w:rPr>
              <w:t>材料废旧塑料编织袋，主要成分为聚乙烯、聚丙烯，产品主要为聚丙</w:t>
            </w:r>
            <w:r>
              <w:rPr>
                <w:rFonts w:ascii="宋体" w:hAnsi="宋体" w:eastAsia="宋体" w:cs="宋体"/>
                <w:sz w:val="20"/>
                <w:szCs w:val="20"/>
              </w:rPr>
              <w:t xml:space="preserve"> </w:t>
            </w:r>
            <w:r>
              <w:rPr>
                <w:rFonts w:ascii="宋体" w:hAnsi="宋体" w:eastAsia="宋体" w:cs="宋体"/>
                <w:spacing w:val="-6"/>
                <w:sz w:val="20"/>
                <w:szCs w:val="20"/>
              </w:rPr>
              <w:t>烯颗粒、聚乙</w:t>
            </w:r>
            <w:r>
              <w:rPr>
                <w:rFonts w:ascii="宋体" w:hAnsi="宋体" w:eastAsia="宋体" w:cs="宋体"/>
                <w:spacing w:val="-4"/>
                <w:sz w:val="20"/>
                <w:szCs w:val="20"/>
              </w:rPr>
              <w:t>烯</w:t>
            </w:r>
            <w:r>
              <w:rPr>
                <w:rFonts w:ascii="宋体" w:hAnsi="宋体" w:eastAsia="宋体" w:cs="宋体"/>
                <w:spacing w:val="-3"/>
                <w:sz w:val="20"/>
                <w:szCs w:val="20"/>
              </w:rPr>
              <w:t>颗粒，对照《建设项目环境风险评价技术导则》 (</w:t>
            </w:r>
            <w:r>
              <w:rPr>
                <w:rFonts w:ascii="Times New Roman" w:hAnsi="Times New Roman" w:eastAsia="Times New Roman" w:cs="Times New Roman"/>
                <w:spacing w:val="-3"/>
                <w:sz w:val="20"/>
                <w:szCs w:val="20"/>
              </w:rPr>
              <w:t>HJ169-2018</w:t>
            </w:r>
            <w:r>
              <w:rPr>
                <w:rFonts w:ascii="宋体" w:hAnsi="宋体" w:eastAsia="宋体" w:cs="宋体"/>
                <w:spacing w:val="-3"/>
                <w:sz w:val="20"/>
                <w:szCs w:val="20"/>
              </w:rPr>
              <w:t>) 附</w:t>
            </w:r>
            <w:r>
              <w:rPr>
                <w:rFonts w:ascii="宋体" w:hAnsi="宋体" w:eastAsia="宋体" w:cs="宋体"/>
                <w:sz w:val="20"/>
                <w:szCs w:val="20"/>
              </w:rPr>
              <w:t xml:space="preserve"> </w:t>
            </w:r>
            <w:r>
              <w:rPr>
                <w:rFonts w:ascii="宋体" w:hAnsi="宋体" w:eastAsia="宋体" w:cs="宋体"/>
                <w:spacing w:val="-2"/>
                <w:sz w:val="20"/>
                <w:szCs w:val="20"/>
              </w:rPr>
              <w:t xml:space="preserve">录 </w:t>
            </w:r>
            <w:r>
              <w:rPr>
                <w:rFonts w:ascii="Times New Roman" w:hAnsi="Times New Roman" w:eastAsia="Times New Roman" w:cs="Times New Roman"/>
                <w:spacing w:val="-1"/>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重点关注的危险物质及</w:t>
            </w:r>
            <w:r>
              <w:rPr>
                <w:rFonts w:ascii="宋体" w:hAnsi="宋体" w:eastAsia="宋体" w:cs="宋体"/>
                <w:spacing w:val="-1"/>
                <w:sz w:val="20"/>
                <w:szCs w:val="20"/>
              </w:rPr>
              <w:t>临界量，上述原料及产品均不属于危险化学品和有毒</w:t>
            </w:r>
            <w:r>
              <w:rPr>
                <w:rFonts w:ascii="宋体" w:hAnsi="宋体" w:eastAsia="宋体" w:cs="宋体"/>
                <w:sz w:val="20"/>
                <w:szCs w:val="20"/>
              </w:rPr>
              <w:t xml:space="preserve"> </w:t>
            </w:r>
            <w:r>
              <w:rPr>
                <w:rFonts w:ascii="宋体" w:hAnsi="宋体" w:eastAsia="宋体" w:cs="宋体"/>
                <w:spacing w:val="-8"/>
                <w:sz w:val="20"/>
                <w:szCs w:val="20"/>
              </w:rPr>
              <w:t>有害物质，</w:t>
            </w:r>
            <w:r>
              <w:rPr>
                <w:rFonts w:ascii="宋体" w:hAnsi="宋体" w:eastAsia="宋体" w:cs="宋体"/>
                <w:spacing w:val="-4"/>
                <w:sz w:val="20"/>
                <w:szCs w:val="20"/>
              </w:rPr>
              <w:t>不具有易燃易爆等特性，不属于风险物质。但遇明火可燃，因此应按照</w:t>
            </w:r>
            <w:r>
              <w:rPr>
                <w:rFonts w:ascii="宋体" w:hAnsi="宋体" w:eastAsia="宋体" w:cs="宋体"/>
                <w:sz w:val="20"/>
                <w:szCs w:val="20"/>
              </w:rPr>
              <w:t xml:space="preserve"> </w:t>
            </w:r>
            <w:r>
              <w:rPr>
                <w:rFonts w:ascii="宋体" w:hAnsi="宋体" w:eastAsia="宋体" w:cs="宋体"/>
                <w:spacing w:val="-6"/>
                <w:sz w:val="20"/>
                <w:szCs w:val="20"/>
              </w:rPr>
              <w:t>《建设项目环境</w:t>
            </w:r>
            <w:r>
              <w:rPr>
                <w:rFonts w:ascii="宋体" w:hAnsi="宋体" w:eastAsia="宋体" w:cs="宋体"/>
                <w:spacing w:val="-3"/>
                <w:sz w:val="20"/>
                <w:szCs w:val="20"/>
              </w:rPr>
              <w:t>风险评价技术导则》 (</w:t>
            </w:r>
            <w:r>
              <w:rPr>
                <w:rFonts w:ascii="Times New Roman" w:hAnsi="Times New Roman" w:eastAsia="Times New Roman" w:cs="Times New Roman"/>
                <w:spacing w:val="-3"/>
                <w:sz w:val="20"/>
                <w:szCs w:val="20"/>
              </w:rPr>
              <w:t>HJ169-2018</w:t>
            </w:r>
            <w:r>
              <w:rPr>
                <w:rFonts w:ascii="宋体" w:hAnsi="宋体" w:eastAsia="宋体" w:cs="宋体"/>
                <w:spacing w:val="-3"/>
                <w:sz w:val="20"/>
                <w:szCs w:val="20"/>
              </w:rPr>
              <w:t>) 中相关要求，以突发性事故导</w:t>
            </w:r>
            <w:r>
              <w:rPr>
                <w:rFonts w:ascii="宋体" w:hAnsi="宋体" w:eastAsia="宋体" w:cs="宋体"/>
                <w:sz w:val="20"/>
                <w:szCs w:val="20"/>
              </w:rPr>
              <w:t xml:space="preserve"> </w:t>
            </w:r>
            <w:r>
              <w:rPr>
                <w:rFonts w:ascii="宋体" w:hAnsi="宋体" w:eastAsia="宋体" w:cs="宋体"/>
                <w:spacing w:val="-8"/>
                <w:sz w:val="20"/>
                <w:szCs w:val="20"/>
              </w:rPr>
              <w:t>致的危险物</w:t>
            </w:r>
            <w:r>
              <w:rPr>
                <w:rFonts w:ascii="宋体" w:hAnsi="宋体" w:eastAsia="宋体" w:cs="宋体"/>
                <w:spacing w:val="-6"/>
                <w:sz w:val="20"/>
                <w:szCs w:val="20"/>
              </w:rPr>
              <w:t>质</w:t>
            </w:r>
            <w:r>
              <w:rPr>
                <w:rFonts w:ascii="宋体" w:hAnsi="宋体" w:eastAsia="宋体" w:cs="宋体"/>
                <w:spacing w:val="-4"/>
                <w:sz w:val="20"/>
                <w:szCs w:val="20"/>
              </w:rPr>
              <w:t>环境记性损害防控为目标，对建设项目的环境风险进行分析、预测和</w:t>
            </w:r>
            <w:r>
              <w:rPr>
                <w:rFonts w:ascii="宋体" w:hAnsi="宋体" w:eastAsia="宋体" w:cs="宋体"/>
                <w:sz w:val="20"/>
                <w:szCs w:val="20"/>
              </w:rPr>
              <w:t xml:space="preserve"> </w:t>
            </w:r>
            <w:r>
              <w:rPr>
                <w:rFonts w:ascii="宋体" w:hAnsi="宋体" w:eastAsia="宋体" w:cs="宋体"/>
                <w:spacing w:val="-8"/>
                <w:sz w:val="20"/>
                <w:szCs w:val="20"/>
              </w:rPr>
              <w:t>评估，提出</w:t>
            </w:r>
            <w:r>
              <w:rPr>
                <w:rFonts w:ascii="宋体" w:hAnsi="宋体" w:eastAsia="宋体" w:cs="宋体"/>
                <w:spacing w:val="-4"/>
                <w:sz w:val="20"/>
                <w:szCs w:val="20"/>
              </w:rPr>
              <w:t>环境风险预防、控制、减缓措施，明确环境风险监控及应急要求，为建</w:t>
            </w:r>
            <w:r>
              <w:rPr>
                <w:rFonts w:ascii="宋体" w:hAnsi="宋体" w:eastAsia="宋体" w:cs="宋体"/>
                <w:sz w:val="20"/>
                <w:szCs w:val="20"/>
              </w:rPr>
              <w:t xml:space="preserve"> </w:t>
            </w:r>
            <w:r>
              <w:rPr>
                <w:rFonts w:ascii="宋体" w:hAnsi="宋体" w:eastAsia="宋体" w:cs="宋体"/>
                <w:spacing w:val="-2"/>
                <w:sz w:val="20"/>
                <w:szCs w:val="20"/>
              </w:rPr>
              <w:t>设项目环境风险防控提出</w:t>
            </w:r>
            <w:r>
              <w:rPr>
                <w:rFonts w:ascii="宋体" w:hAnsi="宋体" w:eastAsia="宋体" w:cs="宋体"/>
                <w:spacing w:val="-1"/>
                <w:sz w:val="20"/>
                <w:szCs w:val="20"/>
              </w:rPr>
              <w:t>科学依据。</w:t>
            </w:r>
          </w:p>
          <w:p w14:paraId="56352185">
            <w:pPr>
              <w:spacing w:line="288" w:lineRule="auto"/>
              <w:ind w:left="28" w:firstLine="3"/>
              <w:rPr>
                <w:rFonts w:ascii="宋体" w:hAnsi="宋体" w:eastAsia="宋体" w:cs="宋体"/>
                <w:sz w:val="20"/>
                <w:szCs w:val="20"/>
              </w:rPr>
            </w:pPr>
            <w:r>
              <w:rPr>
                <w:rFonts w:ascii="宋体" w:hAnsi="宋体" w:eastAsia="宋体" w:cs="宋体"/>
                <w:spacing w:val="22"/>
                <w:sz w:val="20"/>
                <w:szCs w:val="20"/>
              </w:rPr>
              <w:t>该项</w:t>
            </w:r>
            <w:r>
              <w:rPr>
                <w:rFonts w:ascii="宋体" w:hAnsi="宋体" w:eastAsia="宋体" w:cs="宋体"/>
                <w:spacing w:val="14"/>
                <w:sz w:val="20"/>
                <w:szCs w:val="20"/>
              </w:rPr>
              <w:t>目</w:t>
            </w:r>
            <w:r>
              <w:rPr>
                <w:rFonts w:ascii="宋体" w:hAnsi="宋体" w:eastAsia="宋体" w:cs="宋体"/>
                <w:spacing w:val="11"/>
                <w:sz w:val="20"/>
                <w:szCs w:val="20"/>
              </w:rPr>
              <w:t>生产设备不属于高温、高压设备，出现事故的可能性很小，可能存在</w:t>
            </w:r>
            <w:r>
              <w:rPr>
                <w:rFonts w:ascii="宋体" w:hAnsi="宋体" w:eastAsia="宋体" w:cs="宋体"/>
                <w:sz w:val="20"/>
                <w:szCs w:val="20"/>
              </w:rPr>
              <w:t xml:space="preserve"> </w:t>
            </w:r>
            <w:r>
              <w:rPr>
                <w:rFonts w:ascii="宋体" w:hAnsi="宋体" w:eastAsia="宋体" w:cs="宋体"/>
                <w:spacing w:val="14"/>
                <w:sz w:val="20"/>
                <w:szCs w:val="20"/>
              </w:rPr>
              <w:t>风</w:t>
            </w:r>
            <w:r>
              <w:rPr>
                <w:rFonts w:ascii="宋体" w:hAnsi="宋体" w:eastAsia="宋体" w:cs="宋体"/>
                <w:spacing w:val="8"/>
                <w:sz w:val="20"/>
                <w:szCs w:val="20"/>
              </w:rPr>
              <w:t>险</w:t>
            </w:r>
            <w:r>
              <w:rPr>
                <w:rFonts w:ascii="宋体" w:hAnsi="宋体" w:eastAsia="宋体" w:cs="宋体"/>
                <w:spacing w:val="7"/>
                <w:sz w:val="20"/>
                <w:szCs w:val="20"/>
              </w:rPr>
              <w:t>的设施主要为：贮运系统、环保设施。项目塑料采用密封箱式汽车运输，</w:t>
            </w:r>
            <w:r>
              <w:rPr>
                <w:rFonts w:ascii="宋体" w:hAnsi="宋体" w:eastAsia="宋体" w:cs="宋体"/>
                <w:sz w:val="20"/>
                <w:szCs w:val="20"/>
              </w:rPr>
              <w:t xml:space="preserve"> </w:t>
            </w:r>
            <w:r>
              <w:rPr>
                <w:rFonts w:ascii="宋体" w:hAnsi="宋体" w:eastAsia="宋体" w:cs="宋体"/>
                <w:spacing w:val="12"/>
                <w:sz w:val="20"/>
                <w:szCs w:val="20"/>
              </w:rPr>
              <w:t>运输过程过程风险事故发生概率较小。但一旦发生原料仓着火，火势会迅</w:t>
            </w:r>
            <w:r>
              <w:rPr>
                <w:rFonts w:ascii="宋体" w:hAnsi="宋体" w:eastAsia="宋体" w:cs="宋体"/>
                <w:spacing w:val="7"/>
                <w:sz w:val="20"/>
                <w:szCs w:val="20"/>
              </w:rPr>
              <w:t>速</w:t>
            </w:r>
            <w:r>
              <w:rPr>
                <w:rFonts w:ascii="宋体" w:hAnsi="宋体" w:eastAsia="宋体" w:cs="宋体"/>
                <w:sz w:val="20"/>
                <w:szCs w:val="20"/>
              </w:rPr>
              <w:t xml:space="preserve"> </w:t>
            </w:r>
            <w:r>
              <w:rPr>
                <w:rFonts w:ascii="宋体" w:hAnsi="宋体" w:eastAsia="宋体" w:cs="宋体"/>
                <w:spacing w:val="12"/>
                <w:sz w:val="20"/>
                <w:szCs w:val="20"/>
              </w:rPr>
              <w:t>蔓延，如果灾情控制不住，将会对项目造成一定的经济损失，严重可能危</w:t>
            </w:r>
            <w:r>
              <w:rPr>
                <w:rFonts w:ascii="宋体" w:hAnsi="宋体" w:eastAsia="宋体" w:cs="宋体"/>
                <w:spacing w:val="7"/>
                <w:sz w:val="20"/>
                <w:szCs w:val="20"/>
              </w:rPr>
              <w:t>及</w:t>
            </w:r>
            <w:r>
              <w:rPr>
                <w:rFonts w:ascii="宋体" w:hAnsi="宋体" w:eastAsia="宋体" w:cs="宋体"/>
                <w:sz w:val="20"/>
                <w:szCs w:val="20"/>
              </w:rPr>
              <w:t xml:space="preserve"> </w:t>
            </w:r>
            <w:r>
              <w:rPr>
                <w:rFonts w:ascii="宋体" w:hAnsi="宋体" w:eastAsia="宋体" w:cs="宋体"/>
                <w:spacing w:val="5"/>
                <w:sz w:val="20"/>
                <w:szCs w:val="20"/>
              </w:rPr>
              <w:t xml:space="preserve">周围的企业和附近的居民。同时燃烧产生大量的有害气体 </w:t>
            </w:r>
            <w:r>
              <w:rPr>
                <w:rFonts w:ascii="Times New Roman" w:hAnsi="Times New Roman" w:eastAsia="Times New Roman" w:cs="Times New Roman"/>
                <w:sz w:val="20"/>
                <w:szCs w:val="20"/>
              </w:rPr>
              <w:t>CO</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、烟尘，引发</w:t>
            </w:r>
            <w:r>
              <w:rPr>
                <w:rFonts w:ascii="宋体" w:hAnsi="宋体" w:eastAsia="宋体" w:cs="宋体"/>
                <w:spacing w:val="1"/>
                <w:sz w:val="20"/>
                <w:szCs w:val="20"/>
              </w:rPr>
              <w:t>一</w:t>
            </w:r>
            <w:r>
              <w:rPr>
                <w:rFonts w:ascii="宋体" w:hAnsi="宋体" w:eastAsia="宋体" w:cs="宋体"/>
                <w:sz w:val="20"/>
                <w:szCs w:val="20"/>
              </w:rPr>
              <w:t xml:space="preserve"> </w:t>
            </w:r>
            <w:r>
              <w:rPr>
                <w:rFonts w:ascii="宋体" w:hAnsi="宋体" w:eastAsia="宋体" w:cs="宋体"/>
                <w:spacing w:val="9"/>
                <w:sz w:val="20"/>
                <w:szCs w:val="20"/>
              </w:rPr>
              <w:t>系</w:t>
            </w:r>
            <w:r>
              <w:rPr>
                <w:rFonts w:ascii="宋体" w:hAnsi="宋体" w:eastAsia="宋体" w:cs="宋体"/>
                <w:spacing w:val="7"/>
                <w:sz w:val="20"/>
                <w:szCs w:val="20"/>
              </w:rPr>
              <w:t>列的次生环境问题。</w:t>
            </w:r>
          </w:p>
          <w:p w14:paraId="570F581A">
            <w:pPr>
              <w:tabs>
                <w:tab w:val="left" w:pos="138"/>
              </w:tabs>
              <w:spacing w:before="6" w:line="277" w:lineRule="auto"/>
              <w:ind w:left="28" w:right="24" w:firstLine="4"/>
              <w:rPr>
                <w:rFonts w:ascii="宋体" w:hAnsi="宋体" w:eastAsia="宋体" w:cs="宋体"/>
                <w:sz w:val="20"/>
                <w:szCs w:val="20"/>
              </w:rPr>
            </w:pPr>
            <w:r>
              <w:rPr>
                <w:rFonts w:ascii="宋体" w:hAnsi="宋体" w:eastAsia="宋体" w:cs="宋体"/>
                <w:spacing w:val="24"/>
                <w:sz w:val="20"/>
                <w:szCs w:val="20"/>
              </w:rPr>
              <w:t>正</w:t>
            </w:r>
            <w:r>
              <w:rPr>
                <w:rFonts w:ascii="宋体" w:hAnsi="宋体" w:eastAsia="宋体" w:cs="宋体"/>
                <w:spacing w:val="21"/>
                <w:sz w:val="20"/>
                <w:szCs w:val="20"/>
              </w:rPr>
              <w:t>常</w:t>
            </w:r>
            <w:r>
              <w:rPr>
                <w:rFonts w:ascii="宋体" w:hAnsi="宋体" w:eastAsia="宋体" w:cs="宋体"/>
                <w:spacing w:val="12"/>
                <w:sz w:val="20"/>
                <w:szCs w:val="20"/>
              </w:rPr>
              <w:t>情况下项目生产废水经处理后循环利用不外排，在事故情况下，生产废</w:t>
            </w:r>
            <w:r>
              <w:rPr>
                <w:rFonts w:ascii="宋体" w:hAnsi="宋体" w:eastAsia="宋体" w:cs="宋体"/>
                <w:sz w:val="20"/>
                <w:szCs w:val="20"/>
              </w:rPr>
              <w:t xml:space="preserve"> </w:t>
            </w:r>
            <w:r>
              <w:rPr>
                <w:rFonts w:ascii="宋体" w:hAnsi="宋体" w:eastAsia="宋体" w:cs="宋体"/>
                <w:spacing w:val="14"/>
                <w:sz w:val="20"/>
                <w:szCs w:val="20"/>
              </w:rPr>
              <w:t>水</w:t>
            </w:r>
            <w:r>
              <w:rPr>
                <w:rFonts w:ascii="宋体" w:hAnsi="宋体" w:eastAsia="宋体" w:cs="宋体"/>
                <w:spacing w:val="11"/>
                <w:sz w:val="20"/>
                <w:szCs w:val="20"/>
              </w:rPr>
              <w:t>泄</w:t>
            </w:r>
            <w:r>
              <w:rPr>
                <w:rFonts w:ascii="宋体" w:hAnsi="宋体" w:eastAsia="宋体" w:cs="宋体"/>
                <w:spacing w:val="7"/>
                <w:sz w:val="20"/>
                <w:szCs w:val="20"/>
              </w:rPr>
              <w:t xml:space="preserve">漏会影响地下水。因本项目废物污染物较为单一，主要为 </w:t>
            </w:r>
            <w:r>
              <w:rPr>
                <w:rFonts w:ascii="Times New Roman" w:hAnsi="Times New Roman" w:eastAsia="Times New Roman" w:cs="Times New Roman"/>
                <w:sz w:val="20"/>
                <w:szCs w:val="20"/>
              </w:rPr>
              <w:t>SS</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，因此，项</w:t>
            </w:r>
            <w:r>
              <w:rPr>
                <w:rFonts w:ascii="宋体" w:hAnsi="宋体" w:eastAsia="宋体" w:cs="宋体"/>
                <w:sz w:val="20"/>
                <w:szCs w:val="20"/>
              </w:rPr>
              <w:t xml:space="preserve"> </w:t>
            </w:r>
            <w:r>
              <w:rPr>
                <w:rFonts w:ascii="宋体" w:hAnsi="宋体" w:eastAsia="宋体" w:cs="宋体"/>
                <w:spacing w:val="24"/>
                <w:sz w:val="20"/>
                <w:szCs w:val="20"/>
              </w:rPr>
              <w:t>目只</w:t>
            </w:r>
            <w:r>
              <w:rPr>
                <w:rFonts w:ascii="宋体" w:hAnsi="宋体" w:eastAsia="宋体" w:cs="宋体"/>
                <w:spacing w:val="13"/>
                <w:sz w:val="20"/>
                <w:szCs w:val="20"/>
              </w:rPr>
              <w:t>要</w:t>
            </w:r>
            <w:r>
              <w:rPr>
                <w:rFonts w:ascii="宋体" w:hAnsi="宋体" w:eastAsia="宋体" w:cs="宋体"/>
                <w:spacing w:val="12"/>
                <w:sz w:val="20"/>
                <w:szCs w:val="20"/>
              </w:rPr>
              <w:t>做好循环水池的建设，杜绝清洗废水的外排，基本上可以杜绝对周边</w:t>
            </w:r>
            <w:r>
              <w:rPr>
                <w:rFonts w:ascii="宋体" w:hAnsi="宋体" w:eastAsia="宋体" w:cs="宋体"/>
                <w:sz w:val="20"/>
                <w:szCs w:val="20"/>
              </w:rPr>
              <w:t xml:space="preserve"> </w:t>
            </w:r>
            <w:r>
              <w:rPr>
                <w:rFonts w:ascii="宋体" w:hAnsi="宋体" w:eastAsia="宋体" w:cs="宋体"/>
                <w:spacing w:val="24"/>
                <w:sz w:val="20"/>
                <w:szCs w:val="20"/>
              </w:rPr>
              <w:t>地表</w:t>
            </w:r>
            <w:r>
              <w:rPr>
                <w:rFonts w:ascii="宋体" w:hAnsi="宋体" w:eastAsia="宋体" w:cs="宋体"/>
                <w:spacing w:val="13"/>
                <w:sz w:val="20"/>
                <w:szCs w:val="20"/>
              </w:rPr>
              <w:t>水</w:t>
            </w:r>
            <w:r>
              <w:rPr>
                <w:rFonts w:ascii="宋体" w:hAnsi="宋体" w:eastAsia="宋体" w:cs="宋体"/>
                <w:spacing w:val="12"/>
                <w:sz w:val="20"/>
                <w:szCs w:val="20"/>
              </w:rPr>
              <w:t>的影响。同时，环评要求项目对循环沉淀池做好防渗措施，等效黏土</w:t>
            </w:r>
            <w:r>
              <w:rPr>
                <w:rFonts w:ascii="宋体" w:hAnsi="宋体" w:eastAsia="宋体" w:cs="宋体"/>
                <w:sz w:val="20"/>
                <w:szCs w:val="20"/>
              </w:rPr>
              <w:t xml:space="preserve"> </w:t>
            </w:r>
            <w:r>
              <w:rPr>
                <w:rFonts w:ascii="宋体" w:hAnsi="宋体" w:eastAsia="宋体" w:cs="宋体"/>
                <w:spacing w:val="15"/>
                <w:sz w:val="20"/>
                <w:szCs w:val="20"/>
              </w:rPr>
              <w:t>防</w:t>
            </w:r>
            <w:r>
              <w:rPr>
                <w:rFonts w:ascii="宋体" w:hAnsi="宋体" w:eastAsia="宋体" w:cs="宋体"/>
                <w:spacing w:val="9"/>
                <w:sz w:val="20"/>
                <w:szCs w:val="20"/>
              </w:rPr>
              <w:t xml:space="preserve">渗层 </w:t>
            </w:r>
            <w:r>
              <w:rPr>
                <w:rFonts w:ascii="Times New Roman" w:hAnsi="Times New Roman" w:eastAsia="Times New Roman" w:cs="Times New Roman"/>
                <w:sz w:val="20"/>
                <w:szCs w:val="20"/>
              </w:rPr>
              <w:t>Mb</w:t>
            </w:r>
            <w:r>
              <w:rPr>
                <w:rFonts w:ascii="Times New Roman" w:hAnsi="Times New Roman" w:eastAsia="Times New Roman" w:cs="Times New Roman"/>
                <w:spacing w:val="9"/>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9"/>
                <w:sz w:val="20"/>
                <w:szCs w:val="20"/>
              </w:rPr>
              <w:t>≤ 1×10</w:t>
            </w:r>
            <w:r>
              <w:rPr>
                <w:rFonts w:ascii="Times New Roman" w:hAnsi="Times New Roman" w:eastAsia="Times New Roman" w:cs="Times New Roman"/>
                <w:spacing w:val="9"/>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或参 照《 生 活垃圾填埋场控制标准 》</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 xml:space="preserve">16889  </w:t>
            </w:r>
            <w:r>
              <w:rPr>
                <w:rFonts w:ascii="宋体" w:hAnsi="宋体" w:eastAsia="宋体" w:cs="宋体"/>
                <w:spacing w:val="7"/>
                <w:sz w:val="20"/>
                <w:szCs w:val="20"/>
              </w:rPr>
              <w:t>) 执行，防止对地下水的影响。</w:t>
            </w:r>
          </w:p>
        </w:tc>
      </w:tr>
      <w:tr w14:paraId="3E52E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3" w:hRule="atLeast"/>
        </w:trPr>
        <w:tc>
          <w:tcPr>
            <w:tcW w:w="1313" w:type="dxa"/>
            <w:tcBorders>
              <w:left w:val="nil"/>
            </w:tcBorders>
            <w:vAlign w:val="top"/>
          </w:tcPr>
          <w:p w14:paraId="688C327F">
            <w:pPr>
              <w:spacing w:line="257" w:lineRule="auto"/>
              <w:rPr>
                <w:rFonts w:ascii="Arial"/>
                <w:sz w:val="21"/>
              </w:rPr>
            </w:pPr>
          </w:p>
          <w:p w14:paraId="2D03CD26">
            <w:pPr>
              <w:spacing w:line="257" w:lineRule="auto"/>
              <w:rPr>
                <w:rFonts w:ascii="Arial"/>
                <w:sz w:val="21"/>
              </w:rPr>
            </w:pPr>
          </w:p>
          <w:p w14:paraId="226493AF">
            <w:pPr>
              <w:spacing w:line="257" w:lineRule="auto"/>
              <w:rPr>
                <w:rFonts w:ascii="Arial"/>
                <w:sz w:val="21"/>
              </w:rPr>
            </w:pPr>
          </w:p>
          <w:p w14:paraId="25B0078C">
            <w:pPr>
              <w:spacing w:line="257" w:lineRule="auto"/>
              <w:rPr>
                <w:rFonts w:ascii="Arial"/>
                <w:sz w:val="21"/>
              </w:rPr>
            </w:pPr>
          </w:p>
          <w:p w14:paraId="4373F4EE">
            <w:pPr>
              <w:spacing w:line="257" w:lineRule="auto"/>
              <w:rPr>
                <w:rFonts w:ascii="Arial"/>
                <w:sz w:val="21"/>
              </w:rPr>
            </w:pPr>
          </w:p>
          <w:p w14:paraId="4FC7CCA5">
            <w:pPr>
              <w:spacing w:line="257" w:lineRule="auto"/>
              <w:rPr>
                <w:rFonts w:ascii="Arial"/>
                <w:sz w:val="21"/>
              </w:rPr>
            </w:pPr>
          </w:p>
          <w:p w14:paraId="21E00FB5">
            <w:pPr>
              <w:spacing w:line="257" w:lineRule="auto"/>
              <w:rPr>
                <w:rFonts w:ascii="Arial"/>
                <w:sz w:val="21"/>
              </w:rPr>
            </w:pPr>
          </w:p>
          <w:p w14:paraId="0DD22711">
            <w:pPr>
              <w:spacing w:line="258" w:lineRule="auto"/>
              <w:rPr>
                <w:rFonts w:ascii="Arial"/>
                <w:sz w:val="21"/>
              </w:rPr>
            </w:pPr>
          </w:p>
          <w:p w14:paraId="04235DB2">
            <w:pPr>
              <w:spacing w:line="258" w:lineRule="auto"/>
              <w:rPr>
                <w:rFonts w:ascii="Arial"/>
                <w:sz w:val="21"/>
              </w:rPr>
            </w:pPr>
          </w:p>
          <w:p w14:paraId="0050D62C">
            <w:pPr>
              <w:spacing w:before="65" w:line="228" w:lineRule="auto"/>
              <w:ind w:left="3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环境影响途径</w:t>
            </w:r>
          </w:p>
          <w:p w14:paraId="43A6A29A">
            <w:pPr>
              <w:tabs>
                <w:tab w:val="left" w:pos="138"/>
              </w:tabs>
              <w:spacing w:before="66" w:line="311" w:lineRule="auto"/>
              <w:ind w:left="36" w:firstLine="97"/>
              <w:rPr>
                <w:rFonts w:ascii="宋体" w:hAnsi="宋体" w:eastAsia="宋体" w:cs="宋体"/>
                <w:sz w:val="19"/>
                <w:szCs w:val="19"/>
              </w:rPr>
            </w:pPr>
            <w:r>
              <w:rPr>
                <w:rFonts w:ascii="宋体" w:hAnsi="宋体" w:eastAsia="宋体" w:cs="宋体"/>
                <w:spacing w:val="9"/>
                <w:sz w:val="19"/>
                <w:szCs w:val="19"/>
                <w14:textOutline w14:w="3605" w14:cap="sq" w14:cmpd="sng">
                  <w14:solidFill>
                    <w14:srgbClr w14:val="000000"/>
                  </w14:solidFill>
                  <w14:prstDash w14:val="solid"/>
                  <w14:bevel/>
                </w14:textOutline>
              </w:rPr>
              <w:t>及</w:t>
            </w:r>
            <w:r>
              <w:rPr>
                <w:rFonts w:ascii="宋体" w:hAnsi="宋体" w:eastAsia="宋体" w:cs="宋体"/>
                <w:spacing w:val="8"/>
                <w:sz w:val="19"/>
                <w:szCs w:val="19"/>
                <w14:textOutline w14:w="3605" w14:cap="sq" w14:cmpd="sng">
                  <w14:solidFill>
                    <w14:srgbClr w14:val="000000"/>
                  </w14:solidFill>
                  <w14:prstDash w14:val="solid"/>
                  <w14:bevel/>
                </w14:textOutline>
              </w:rPr>
              <w:t>危害后果</w:t>
            </w:r>
            <w:r>
              <w:rPr>
                <w:rFonts w:ascii="宋体" w:hAnsi="宋体" w:eastAsia="宋体" w:cs="宋体"/>
                <w:sz w:val="19"/>
                <w:szCs w:val="19"/>
              </w:rPr>
              <w:t xml:space="preserve">  </w:t>
            </w:r>
            <w:r>
              <w:rPr>
                <w:rFonts w:ascii="宋体" w:hAnsi="宋体" w:eastAsia="宋体" w:cs="宋体"/>
                <w:b/>
                <w:bCs/>
                <w:sz w:val="19"/>
                <w:szCs w:val="19"/>
              </w:rPr>
              <w:tab/>
            </w:r>
            <w:r>
              <w:rPr>
                <w:rFonts w:ascii="宋体" w:hAnsi="宋体" w:eastAsia="宋体" w:cs="宋体"/>
                <w:spacing w:val="7"/>
                <w:sz w:val="19"/>
                <w:szCs w:val="19"/>
                <w14:textOutline w14:w="3605" w14:cap="sq" w14:cmpd="sng">
                  <w14:solidFill>
                    <w14:srgbClr w14:val="000000"/>
                  </w14:solidFill>
                  <w14:prstDash w14:val="solid"/>
                  <w14:bevel/>
                </w14:textOutline>
              </w:rPr>
              <w:t>(大气、地表</w:t>
            </w:r>
            <w:r>
              <w:rPr>
                <w:rFonts w:ascii="宋体" w:hAnsi="宋体" w:eastAsia="宋体" w:cs="宋体"/>
                <w:sz w:val="19"/>
                <w:szCs w:val="19"/>
              </w:rPr>
              <w:t xml:space="preserve"> </w:t>
            </w:r>
            <w:r>
              <w:rPr>
                <w:rFonts w:ascii="宋体" w:hAnsi="宋体" w:eastAsia="宋体" w:cs="宋体"/>
                <w:spacing w:val="-8"/>
                <w:sz w:val="19"/>
                <w:szCs w:val="19"/>
                <w14:textOutline w14:w="3605" w14:cap="sq" w14:cmpd="sng">
                  <w14:solidFill>
                    <w14:srgbClr w14:val="000000"/>
                  </w14:solidFill>
                  <w14:prstDash w14:val="solid"/>
                  <w14:bevel/>
                </w14:textOutline>
              </w:rPr>
              <w:t>水、地下水等)</w:t>
            </w:r>
          </w:p>
        </w:tc>
        <w:tc>
          <w:tcPr>
            <w:tcW w:w="7077" w:type="dxa"/>
            <w:gridSpan w:val="8"/>
            <w:tcBorders>
              <w:right w:val="nil"/>
            </w:tcBorders>
            <w:vAlign w:val="top"/>
          </w:tcPr>
          <w:p w14:paraId="161B23F9">
            <w:pPr>
              <w:spacing w:before="55" w:line="288" w:lineRule="auto"/>
              <w:ind w:left="27"/>
              <w:rPr>
                <w:rFonts w:ascii="宋体" w:hAnsi="宋体" w:eastAsia="宋体" w:cs="宋体"/>
                <w:sz w:val="20"/>
                <w:szCs w:val="20"/>
              </w:rPr>
            </w:pPr>
            <w:r>
              <w:rPr>
                <w:rFonts w:ascii="宋体" w:hAnsi="宋体" w:eastAsia="宋体" w:cs="宋体"/>
                <w:spacing w:val="12"/>
                <w:sz w:val="20"/>
                <w:szCs w:val="20"/>
              </w:rPr>
              <w:t>①大气环境：当原料库、成品库塑料发生着火会放出一定的热量，根据《</w:t>
            </w:r>
            <w:r>
              <w:rPr>
                <w:rFonts w:ascii="宋体" w:hAnsi="宋体" w:eastAsia="宋体" w:cs="宋体"/>
                <w:spacing w:val="6"/>
                <w:sz w:val="20"/>
                <w:szCs w:val="20"/>
              </w:rPr>
              <w:t>危</w:t>
            </w:r>
            <w:r>
              <w:rPr>
                <w:rFonts w:ascii="宋体" w:hAnsi="宋体" w:eastAsia="宋体" w:cs="宋体"/>
                <w:sz w:val="20"/>
                <w:szCs w:val="20"/>
              </w:rPr>
              <w:t xml:space="preserve"> </w:t>
            </w:r>
            <w:r>
              <w:rPr>
                <w:rFonts w:ascii="宋体" w:hAnsi="宋体" w:eastAsia="宋体" w:cs="宋体"/>
                <w:spacing w:val="4"/>
                <w:sz w:val="20"/>
                <w:szCs w:val="20"/>
              </w:rPr>
              <w:t>险评价方法及其应用》  (吴宗之、高进东、魏利军编著) 点源模型分析可知</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火焰辐射出的能量为燃烧热的一部分，热辐射强度与燃烧速率成正比，与</w:t>
            </w:r>
            <w:r>
              <w:rPr>
                <w:rFonts w:ascii="宋体" w:hAnsi="宋体" w:eastAsia="宋体" w:cs="宋体"/>
                <w:spacing w:val="6"/>
                <w:sz w:val="20"/>
                <w:szCs w:val="20"/>
              </w:rPr>
              <w:t>接</w:t>
            </w:r>
            <w:r>
              <w:rPr>
                <w:rFonts w:ascii="宋体" w:hAnsi="宋体" w:eastAsia="宋体" w:cs="宋体"/>
                <w:sz w:val="20"/>
                <w:szCs w:val="20"/>
              </w:rPr>
              <w:t xml:space="preserve"> </w:t>
            </w:r>
            <w:r>
              <w:rPr>
                <w:rFonts w:ascii="宋体" w:hAnsi="宋体" w:eastAsia="宋体" w:cs="宋体"/>
                <w:spacing w:val="12"/>
                <w:sz w:val="20"/>
                <w:szCs w:val="20"/>
              </w:rPr>
              <w:t>收距离的平方反比。当火灾产生的热辐射强度足够大时，可使周围的物体</w:t>
            </w:r>
            <w:r>
              <w:rPr>
                <w:rFonts w:ascii="宋体" w:hAnsi="宋体" w:eastAsia="宋体" w:cs="宋体"/>
                <w:spacing w:val="6"/>
                <w:sz w:val="20"/>
                <w:szCs w:val="20"/>
              </w:rPr>
              <w:t>燃</w:t>
            </w:r>
            <w:r>
              <w:rPr>
                <w:rFonts w:ascii="宋体" w:hAnsi="宋体" w:eastAsia="宋体" w:cs="宋体"/>
                <w:sz w:val="20"/>
                <w:szCs w:val="20"/>
              </w:rPr>
              <w:t xml:space="preserve"> </w:t>
            </w:r>
            <w:r>
              <w:rPr>
                <w:rFonts w:ascii="宋体" w:hAnsi="宋体" w:eastAsia="宋体" w:cs="宋体"/>
                <w:spacing w:val="12"/>
                <w:sz w:val="20"/>
                <w:szCs w:val="20"/>
              </w:rPr>
              <w:t>烧或变形，更强烈的热辐射可能烧毁设备甚至造成人员伤亡等，热辐射的</w:t>
            </w:r>
            <w:r>
              <w:rPr>
                <w:rFonts w:ascii="宋体" w:hAnsi="宋体" w:eastAsia="宋体" w:cs="宋体"/>
                <w:spacing w:val="6"/>
                <w:sz w:val="20"/>
                <w:szCs w:val="20"/>
              </w:rPr>
              <w:t>不</w:t>
            </w:r>
            <w:r>
              <w:rPr>
                <w:rFonts w:ascii="宋体" w:hAnsi="宋体" w:eastAsia="宋体" w:cs="宋体"/>
                <w:sz w:val="20"/>
                <w:szCs w:val="20"/>
              </w:rPr>
              <w:t xml:space="preserve"> </w:t>
            </w:r>
            <w:r>
              <w:rPr>
                <w:rFonts w:ascii="宋体" w:hAnsi="宋体" w:eastAsia="宋体" w:cs="宋体"/>
                <w:spacing w:val="12"/>
                <w:sz w:val="20"/>
                <w:szCs w:val="20"/>
              </w:rPr>
              <w:t>同入射通量所造的损失如下表所示。火灾除以直接产生的热量破坏形式外</w:t>
            </w:r>
            <w:r>
              <w:rPr>
                <w:rFonts w:ascii="宋体" w:hAnsi="宋体" w:eastAsia="宋体" w:cs="宋体"/>
                <w:spacing w:val="6"/>
                <w:sz w:val="20"/>
                <w:szCs w:val="20"/>
              </w:rPr>
              <w:t>还</w:t>
            </w:r>
            <w:r>
              <w:rPr>
                <w:rFonts w:ascii="宋体" w:hAnsi="宋体" w:eastAsia="宋体" w:cs="宋体"/>
                <w:sz w:val="20"/>
                <w:szCs w:val="20"/>
              </w:rPr>
              <w:t xml:space="preserve"> </w:t>
            </w:r>
            <w:r>
              <w:rPr>
                <w:rFonts w:ascii="宋体" w:hAnsi="宋体" w:eastAsia="宋体" w:cs="宋体"/>
                <w:spacing w:val="10"/>
                <w:sz w:val="20"/>
                <w:szCs w:val="20"/>
              </w:rPr>
              <w:t>会产生</w:t>
            </w:r>
            <w:r>
              <w:rPr>
                <w:rFonts w:ascii="宋体" w:hAnsi="宋体" w:eastAsia="宋体" w:cs="宋体"/>
                <w:spacing w:val="9"/>
                <w:sz w:val="20"/>
                <w:szCs w:val="20"/>
              </w:rPr>
              <w:t>次</w:t>
            </w:r>
            <w:r>
              <w:rPr>
                <w:rFonts w:ascii="宋体" w:hAnsi="宋体" w:eastAsia="宋体" w:cs="宋体"/>
                <w:spacing w:val="5"/>
                <w:sz w:val="20"/>
                <w:szCs w:val="20"/>
              </w:rPr>
              <w:t xml:space="preserve">生危害，产生有害气体 </w:t>
            </w:r>
            <w:r>
              <w:rPr>
                <w:rFonts w:ascii="Times New Roman" w:hAnsi="Times New Roman" w:eastAsia="Times New Roman" w:cs="Times New Roman"/>
                <w:sz w:val="20"/>
                <w:szCs w:val="20"/>
              </w:rPr>
              <w:t>CO</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、烟尘等，产生燃烧熔滴。</w:t>
            </w:r>
            <w:r>
              <w:rPr>
                <w:rFonts w:ascii="宋体" w:hAnsi="宋体" w:eastAsia="宋体" w:cs="宋体"/>
                <w:sz w:val="20"/>
                <w:szCs w:val="20"/>
              </w:rPr>
              <w:t xml:space="preserve">             </w:t>
            </w:r>
            <w:r>
              <w:rPr>
                <w:rFonts w:ascii="Times New Roman" w:hAnsi="Times New Roman" w:eastAsia="Times New Roman" w:cs="Times New Roman"/>
                <w:sz w:val="20"/>
                <w:szCs w:val="20"/>
              </w:rPr>
              <w:t>CO</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的产生量与塑料的消耗量 (即燃烧速率) 、燃烧不完全值成正比。同时</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2"/>
                <w:sz w:val="20"/>
                <w:szCs w:val="20"/>
              </w:rPr>
              <w:t>燃烧形成的熔滴产生柏油一样的滴落物，会加速火势蔓延，对安全疏散及</w:t>
            </w:r>
            <w:r>
              <w:rPr>
                <w:rFonts w:ascii="宋体" w:hAnsi="宋体" w:eastAsia="宋体" w:cs="宋体"/>
                <w:spacing w:val="6"/>
                <w:sz w:val="20"/>
                <w:szCs w:val="20"/>
              </w:rPr>
              <w:t>灭</w:t>
            </w:r>
            <w:r>
              <w:rPr>
                <w:rFonts w:ascii="宋体" w:hAnsi="宋体" w:eastAsia="宋体" w:cs="宋体"/>
                <w:sz w:val="20"/>
                <w:szCs w:val="20"/>
              </w:rPr>
              <w:t xml:space="preserve"> </w:t>
            </w:r>
            <w:r>
              <w:rPr>
                <w:rFonts w:ascii="宋体" w:hAnsi="宋体" w:eastAsia="宋体" w:cs="宋体"/>
                <w:spacing w:val="6"/>
                <w:sz w:val="20"/>
                <w:szCs w:val="20"/>
              </w:rPr>
              <w:t>火</w:t>
            </w:r>
            <w:r>
              <w:rPr>
                <w:rFonts w:ascii="宋体" w:hAnsi="宋体" w:eastAsia="宋体" w:cs="宋体"/>
                <w:spacing w:val="3"/>
                <w:sz w:val="20"/>
                <w:szCs w:val="20"/>
              </w:rPr>
              <w:t xml:space="preserve">都有影响。经类比调查，当 </w:t>
            </w:r>
            <w:r>
              <w:rPr>
                <w:rFonts w:ascii="Times New Roman" w:hAnsi="Times New Roman" w:eastAsia="Times New Roman" w:cs="Times New Roman"/>
                <w:sz w:val="20"/>
                <w:szCs w:val="20"/>
              </w:rPr>
              <w:t>CO</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的产生量为 </w:t>
            </w:r>
            <w:r>
              <w:rPr>
                <w:rFonts w:ascii="Times New Roman" w:hAnsi="Times New Roman" w:eastAsia="Times New Roman" w:cs="Times New Roman"/>
                <w:spacing w:val="3"/>
                <w:sz w:val="20"/>
                <w:szCs w:val="20"/>
              </w:rPr>
              <w:t>0.4456</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时，中毒距离</w:t>
            </w: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m</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8"/>
                <w:sz w:val="20"/>
                <w:szCs w:val="20"/>
              </w:rPr>
              <w:t>达标距离</w:t>
            </w:r>
            <w:r>
              <w:rPr>
                <w:rFonts w:ascii="Times New Roman" w:hAnsi="Times New Roman" w:eastAsia="Times New Roman" w:cs="Times New Roman"/>
                <w:spacing w:val="8"/>
                <w:sz w:val="20"/>
                <w:szCs w:val="20"/>
              </w:rPr>
              <w:t>&gt;</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4"/>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。其中中毒距离指当</w:t>
            </w:r>
            <w:r>
              <w:rPr>
                <w:rFonts w:ascii="Times New Roman" w:hAnsi="Times New Roman" w:eastAsia="Times New Roman" w:cs="Times New Roman"/>
                <w:sz w:val="20"/>
                <w:szCs w:val="20"/>
              </w:rPr>
              <w:t>CO</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在空气中体积浓度达 </w:t>
            </w:r>
            <w:r>
              <w:rPr>
                <w:rFonts w:ascii="Times New Roman" w:hAnsi="Times New Roman" w:eastAsia="Times New Roman" w:cs="Times New Roman"/>
                <w:spacing w:val="4"/>
                <w:sz w:val="20"/>
                <w:szCs w:val="20"/>
              </w:rPr>
              <w:t xml:space="preserve">0.01% </w:t>
            </w:r>
            <w:r>
              <w:rPr>
                <w:rFonts w:ascii="宋体" w:hAnsi="宋体" w:eastAsia="宋体" w:cs="宋体"/>
                <w:spacing w:val="4"/>
                <w:sz w:val="20"/>
                <w:szCs w:val="20"/>
              </w:rPr>
              <w:t>，使人呼</w:t>
            </w:r>
            <w:r>
              <w:rPr>
                <w:rFonts w:ascii="宋体" w:hAnsi="宋体" w:eastAsia="宋体" w:cs="宋体"/>
                <w:sz w:val="20"/>
                <w:szCs w:val="20"/>
              </w:rPr>
              <w:t xml:space="preserve"> </w:t>
            </w:r>
            <w:r>
              <w:rPr>
                <w:rFonts w:ascii="宋体" w:hAnsi="宋体" w:eastAsia="宋体" w:cs="宋体"/>
                <w:spacing w:val="6"/>
                <w:sz w:val="20"/>
                <w:szCs w:val="20"/>
              </w:rPr>
              <w:t xml:space="preserve">吸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h</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引起头痛呕吐的影响范围；达标距离指当</w:t>
            </w:r>
            <w:r>
              <w:rPr>
                <w:rFonts w:ascii="Times New Roman" w:hAnsi="Times New Roman" w:eastAsia="Times New Roman" w:cs="Times New Roman"/>
                <w:sz w:val="20"/>
                <w:szCs w:val="20"/>
              </w:rPr>
              <w:t>CO</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在空气中扩散浓度符合《居</w:t>
            </w:r>
            <w:r>
              <w:rPr>
                <w:rFonts w:ascii="宋体" w:hAnsi="宋体" w:eastAsia="宋体" w:cs="宋体"/>
                <w:sz w:val="20"/>
                <w:szCs w:val="20"/>
              </w:rPr>
              <w:t xml:space="preserve"> </w:t>
            </w:r>
            <w:r>
              <w:rPr>
                <w:rFonts w:ascii="宋体" w:hAnsi="宋体" w:eastAsia="宋体" w:cs="宋体"/>
                <w:spacing w:val="12"/>
                <w:sz w:val="20"/>
                <w:szCs w:val="20"/>
              </w:rPr>
              <w:t>民</w:t>
            </w:r>
            <w:r>
              <w:rPr>
                <w:rFonts w:ascii="宋体" w:hAnsi="宋体" w:eastAsia="宋体" w:cs="宋体"/>
                <w:spacing w:val="9"/>
                <w:sz w:val="20"/>
                <w:szCs w:val="20"/>
              </w:rPr>
              <w:t>区</w:t>
            </w:r>
            <w:r>
              <w:rPr>
                <w:rFonts w:ascii="宋体" w:hAnsi="宋体" w:eastAsia="宋体" w:cs="宋体"/>
                <w:spacing w:val="6"/>
                <w:sz w:val="20"/>
                <w:szCs w:val="20"/>
              </w:rPr>
              <w:t xml:space="preserve">大气中有害物质的最高允许浓度》中限值 </w:t>
            </w: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时的距离，一旦发生</w:t>
            </w:r>
            <w:r>
              <w:rPr>
                <w:rFonts w:ascii="宋体" w:hAnsi="宋体" w:eastAsia="宋体" w:cs="宋体"/>
                <w:sz w:val="20"/>
                <w:szCs w:val="20"/>
              </w:rPr>
              <w:t xml:space="preserve"> </w:t>
            </w:r>
            <w:r>
              <w:rPr>
                <w:rFonts w:ascii="宋体" w:hAnsi="宋体" w:eastAsia="宋体" w:cs="宋体"/>
                <w:spacing w:val="16"/>
                <w:sz w:val="20"/>
                <w:szCs w:val="20"/>
              </w:rPr>
              <w:t>火</w:t>
            </w:r>
            <w:r>
              <w:rPr>
                <w:rFonts w:ascii="宋体" w:hAnsi="宋体" w:eastAsia="宋体" w:cs="宋体"/>
                <w:spacing w:val="9"/>
                <w:sz w:val="20"/>
                <w:szCs w:val="20"/>
              </w:rPr>
              <w:t>灾</w:t>
            </w:r>
            <w:r>
              <w:rPr>
                <w:rFonts w:ascii="宋体" w:hAnsi="宋体" w:eastAsia="宋体" w:cs="宋体"/>
                <w:spacing w:val="8"/>
                <w:sz w:val="20"/>
                <w:szCs w:val="20"/>
              </w:rPr>
              <w:t>，对周边居民安全以及身体健康均会产生一定的影响。</w:t>
            </w:r>
          </w:p>
          <w:p w14:paraId="1ACAE388">
            <w:pPr>
              <w:spacing w:before="1" w:line="282" w:lineRule="auto"/>
              <w:ind w:left="27" w:hanging="1"/>
              <w:rPr>
                <w:rFonts w:ascii="宋体" w:hAnsi="宋体" w:eastAsia="宋体" w:cs="宋体"/>
                <w:sz w:val="20"/>
                <w:szCs w:val="20"/>
              </w:rPr>
            </w:pPr>
            <w:r>
              <w:rPr>
                <w:rFonts w:ascii="宋体" w:hAnsi="宋体" w:eastAsia="宋体" w:cs="宋体"/>
                <w:spacing w:val="9"/>
                <w:sz w:val="20"/>
                <w:szCs w:val="20"/>
              </w:rPr>
              <w:t>②</w:t>
            </w:r>
            <w:r>
              <w:rPr>
                <w:rFonts w:ascii="宋体" w:hAnsi="宋体" w:eastAsia="宋体" w:cs="宋体"/>
                <w:spacing w:val="7"/>
                <w:sz w:val="20"/>
                <w:szCs w:val="20"/>
              </w:rPr>
              <w:t>水环境：</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w:t>
            </w:r>
            <w:r>
              <w:rPr>
                <w:rFonts w:ascii="宋体" w:hAnsi="宋体" w:eastAsia="宋体" w:cs="宋体"/>
                <w:spacing w:val="7"/>
                <w:sz w:val="20"/>
                <w:szCs w:val="20"/>
              </w:rPr>
              <w:t>生产废水：本项目可能由于一体化污水预处理设备或水泵等设备</w:t>
            </w:r>
            <w:r>
              <w:rPr>
                <w:rFonts w:ascii="宋体" w:hAnsi="宋体" w:eastAsia="宋体" w:cs="宋体"/>
                <w:sz w:val="20"/>
                <w:szCs w:val="20"/>
              </w:rPr>
              <w:t xml:space="preserve"> </w:t>
            </w:r>
            <w:r>
              <w:rPr>
                <w:rFonts w:ascii="宋体" w:hAnsi="宋体" w:eastAsia="宋体" w:cs="宋体"/>
                <w:spacing w:val="22"/>
                <w:sz w:val="20"/>
                <w:szCs w:val="20"/>
              </w:rPr>
              <w:t>故</w:t>
            </w:r>
            <w:r>
              <w:rPr>
                <w:rFonts w:ascii="宋体" w:hAnsi="宋体" w:eastAsia="宋体" w:cs="宋体"/>
                <w:spacing w:val="12"/>
                <w:sz w:val="20"/>
                <w:szCs w:val="20"/>
              </w:rPr>
              <w:t>障</w:t>
            </w:r>
            <w:r>
              <w:rPr>
                <w:rFonts w:ascii="宋体" w:hAnsi="宋体" w:eastAsia="宋体" w:cs="宋体"/>
                <w:spacing w:val="11"/>
                <w:sz w:val="20"/>
                <w:szCs w:val="20"/>
              </w:rPr>
              <w:t>，导致含有大量悬浮物的生产废水外溢，将会使废水中的污染物漫流出</w:t>
            </w:r>
            <w:r>
              <w:rPr>
                <w:rFonts w:ascii="宋体" w:hAnsi="宋体" w:eastAsia="宋体" w:cs="宋体"/>
                <w:sz w:val="20"/>
                <w:szCs w:val="20"/>
              </w:rPr>
              <w:t xml:space="preserve"> </w:t>
            </w:r>
            <w:r>
              <w:rPr>
                <w:rFonts w:ascii="宋体" w:hAnsi="宋体" w:eastAsia="宋体" w:cs="宋体"/>
                <w:spacing w:val="10"/>
                <w:sz w:val="20"/>
                <w:szCs w:val="20"/>
              </w:rPr>
              <w:t>厂区，</w:t>
            </w:r>
            <w:r>
              <w:rPr>
                <w:rFonts w:ascii="宋体" w:hAnsi="宋体" w:eastAsia="宋体" w:cs="宋体"/>
                <w:spacing w:val="6"/>
                <w:sz w:val="20"/>
                <w:szCs w:val="20"/>
              </w:rPr>
              <w:t>对</w:t>
            </w:r>
            <w:r>
              <w:rPr>
                <w:rFonts w:ascii="宋体" w:hAnsi="宋体" w:eastAsia="宋体" w:cs="宋体"/>
                <w:spacing w:val="5"/>
                <w:sz w:val="20"/>
                <w:szCs w:val="20"/>
              </w:rPr>
              <w:t xml:space="preserve">周围土壤及地表水体造成影响。该项目要求厂区内建设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座事故池。</w:t>
            </w:r>
            <w:r>
              <w:rPr>
                <w:rFonts w:ascii="宋体" w:hAnsi="宋体" w:eastAsia="宋体" w:cs="宋体"/>
                <w:sz w:val="20"/>
                <w:szCs w:val="20"/>
              </w:rPr>
              <w:t xml:space="preserve"> </w:t>
            </w:r>
            <w:r>
              <w:rPr>
                <w:rFonts w:ascii="宋体" w:hAnsi="宋体" w:eastAsia="宋体" w:cs="宋体"/>
                <w:spacing w:val="22"/>
                <w:sz w:val="20"/>
                <w:szCs w:val="20"/>
              </w:rPr>
              <w:t>若</w:t>
            </w:r>
            <w:r>
              <w:rPr>
                <w:rFonts w:ascii="宋体" w:hAnsi="宋体" w:eastAsia="宋体" w:cs="宋体"/>
                <w:spacing w:val="12"/>
                <w:sz w:val="20"/>
                <w:szCs w:val="20"/>
              </w:rPr>
              <w:t>本</w:t>
            </w:r>
            <w:r>
              <w:rPr>
                <w:rFonts w:ascii="宋体" w:hAnsi="宋体" w:eastAsia="宋体" w:cs="宋体"/>
                <w:spacing w:val="11"/>
                <w:sz w:val="20"/>
                <w:szCs w:val="20"/>
              </w:rPr>
              <w:t>项目加工车间设备出现事故，选矿废水可直接进入厂区内事故池，要求</w:t>
            </w:r>
            <w:r>
              <w:rPr>
                <w:rFonts w:ascii="宋体" w:hAnsi="宋体" w:eastAsia="宋体" w:cs="宋体"/>
                <w:sz w:val="20"/>
                <w:szCs w:val="20"/>
              </w:rPr>
              <w:t xml:space="preserve"> </w:t>
            </w:r>
            <w:r>
              <w:rPr>
                <w:rFonts w:ascii="宋体" w:hAnsi="宋体" w:eastAsia="宋体" w:cs="宋体"/>
                <w:spacing w:val="12"/>
                <w:sz w:val="20"/>
                <w:szCs w:val="20"/>
              </w:rPr>
              <w:t>事故池</w:t>
            </w:r>
            <w:r>
              <w:rPr>
                <w:rFonts w:ascii="宋体" w:hAnsi="宋体" w:eastAsia="宋体" w:cs="宋体"/>
                <w:spacing w:val="6"/>
                <w:sz w:val="20"/>
                <w:szCs w:val="20"/>
              </w:rPr>
              <w:t xml:space="preserve">可消纳 </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的事故排水量。当生产恢复正常后，由潜污泵将池内水回用</w:t>
            </w:r>
          </w:p>
        </w:tc>
      </w:tr>
    </w:tbl>
    <w:p w14:paraId="325F0621">
      <w:pPr>
        <w:rPr>
          <w:rFonts w:ascii="Arial"/>
          <w:sz w:val="21"/>
        </w:rPr>
      </w:pPr>
    </w:p>
    <w:p w14:paraId="7A8CC669">
      <w:pPr>
        <w:sectPr>
          <w:headerReference r:id="rId309" w:type="default"/>
          <w:footerReference r:id="rId310" w:type="default"/>
          <w:pgSz w:w="11906" w:h="16839"/>
          <w:pgMar w:top="1132" w:right="1738" w:bottom="1182" w:left="1777" w:header="878" w:footer="1022" w:gutter="0"/>
          <w:cols w:space="720" w:num="1"/>
        </w:sectPr>
      </w:pPr>
    </w:p>
    <w:p w14:paraId="371A1300">
      <w:r>
        <w:pict>
          <v:rect id="_x0000_s1372" o:spid="_x0000_s1372" o:spt="1" style="position:absolute;left:0pt;margin-left:90pt;margin-top:57.35pt;height:0.75pt;width:415.3pt;mso-position-horizontal-relative:page;mso-position-vertical-relative:page;z-index:252067840;mso-width-relative:page;mso-height-relative:page;" fillcolor="#000000" filled="t" stroked="f" coordsize="21600,21600" o:allowincell="f">
            <v:path/>
            <v:fill on="t" focussize="0,0"/>
            <v:stroke on="f"/>
            <v:imagedata o:title=""/>
            <o:lock v:ext="edit"/>
          </v:rect>
        </w:pict>
      </w:r>
    </w:p>
    <w:p w14:paraId="2736C3E1">
      <w:pPr>
        <w:spacing w:line="65" w:lineRule="exact"/>
      </w:pPr>
    </w:p>
    <w:tbl>
      <w:tblPr>
        <w:tblStyle w:val="4"/>
        <w:tblW w:w="8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7076"/>
      </w:tblGrid>
      <w:tr w14:paraId="7E09D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1313" w:type="dxa"/>
            <w:tcBorders>
              <w:left w:val="nil"/>
            </w:tcBorders>
            <w:vAlign w:val="top"/>
          </w:tcPr>
          <w:p w14:paraId="6F279C22">
            <w:pPr>
              <w:rPr>
                <w:rFonts w:ascii="Arial"/>
                <w:sz w:val="21"/>
              </w:rPr>
            </w:pPr>
          </w:p>
        </w:tc>
        <w:tc>
          <w:tcPr>
            <w:tcW w:w="7076" w:type="dxa"/>
            <w:tcBorders>
              <w:right w:val="nil"/>
            </w:tcBorders>
            <w:vAlign w:val="top"/>
          </w:tcPr>
          <w:p w14:paraId="45119173">
            <w:pPr>
              <w:spacing w:before="56" w:line="268" w:lineRule="auto"/>
              <w:ind w:left="30" w:right="23" w:firstLine="1"/>
              <w:rPr>
                <w:rFonts w:ascii="宋体" w:hAnsi="宋体" w:eastAsia="宋体" w:cs="宋体"/>
                <w:sz w:val="20"/>
                <w:szCs w:val="20"/>
              </w:rPr>
            </w:pPr>
            <w:r>
              <w:rPr>
                <w:rFonts w:ascii="宋体" w:hAnsi="宋体" w:eastAsia="宋体" w:cs="宋体"/>
                <w:spacing w:val="24"/>
                <w:sz w:val="20"/>
                <w:szCs w:val="20"/>
              </w:rPr>
              <w:t>于</w:t>
            </w:r>
            <w:r>
              <w:rPr>
                <w:rFonts w:ascii="宋体" w:hAnsi="宋体" w:eastAsia="宋体" w:cs="宋体"/>
                <w:spacing w:val="22"/>
                <w:sz w:val="20"/>
                <w:szCs w:val="20"/>
              </w:rPr>
              <w:t>生</w:t>
            </w:r>
            <w:r>
              <w:rPr>
                <w:rFonts w:ascii="宋体" w:hAnsi="宋体" w:eastAsia="宋体" w:cs="宋体"/>
                <w:spacing w:val="12"/>
                <w:sz w:val="20"/>
                <w:szCs w:val="20"/>
              </w:rPr>
              <w:t>产，一般不会进入外环境。要求企业认真落实本评估报告书提出的各项</w:t>
            </w:r>
            <w:r>
              <w:rPr>
                <w:rFonts w:ascii="宋体" w:hAnsi="宋体" w:eastAsia="宋体" w:cs="宋体"/>
                <w:sz w:val="20"/>
                <w:szCs w:val="20"/>
              </w:rPr>
              <w:t xml:space="preserve"> </w:t>
            </w:r>
            <w:r>
              <w:rPr>
                <w:rFonts w:ascii="宋体" w:hAnsi="宋体" w:eastAsia="宋体" w:cs="宋体"/>
                <w:spacing w:val="24"/>
                <w:sz w:val="20"/>
                <w:szCs w:val="20"/>
              </w:rPr>
              <w:t>污</w:t>
            </w:r>
            <w:r>
              <w:rPr>
                <w:rFonts w:ascii="宋体" w:hAnsi="宋体" w:eastAsia="宋体" w:cs="宋体"/>
                <w:spacing w:val="23"/>
                <w:sz w:val="20"/>
                <w:szCs w:val="20"/>
              </w:rPr>
              <w:t>染</w:t>
            </w:r>
            <w:r>
              <w:rPr>
                <w:rFonts w:ascii="宋体" w:hAnsi="宋体" w:eastAsia="宋体" w:cs="宋体"/>
                <w:spacing w:val="12"/>
                <w:sz w:val="20"/>
                <w:szCs w:val="20"/>
              </w:rPr>
              <w:t>防治措施，规划管理，并做好定期管线检查及事故下的抢修工作，把风</w:t>
            </w:r>
            <w:r>
              <w:rPr>
                <w:rFonts w:ascii="宋体" w:hAnsi="宋体" w:eastAsia="宋体" w:cs="宋体"/>
                <w:sz w:val="20"/>
                <w:szCs w:val="20"/>
              </w:rPr>
              <w:t xml:space="preserve"> </w:t>
            </w:r>
            <w:r>
              <w:rPr>
                <w:rFonts w:ascii="宋体" w:hAnsi="宋体" w:eastAsia="宋体" w:cs="宋体"/>
                <w:spacing w:val="10"/>
                <w:sz w:val="20"/>
                <w:szCs w:val="20"/>
              </w:rPr>
              <w:t>险</w:t>
            </w:r>
            <w:r>
              <w:rPr>
                <w:rFonts w:ascii="宋体" w:hAnsi="宋体" w:eastAsia="宋体" w:cs="宋体"/>
                <w:spacing w:val="7"/>
                <w:sz w:val="20"/>
                <w:szCs w:val="20"/>
              </w:rPr>
              <w:t>影响降至最低。</w:t>
            </w:r>
          </w:p>
          <w:p w14:paraId="07B5BB54">
            <w:pPr>
              <w:tabs>
                <w:tab w:val="left" w:pos="136"/>
              </w:tabs>
              <w:spacing w:before="25" w:line="284" w:lineRule="auto"/>
              <w:ind w:left="24" w:hanging="4"/>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3"/>
                <w:sz w:val="20"/>
                <w:szCs w:val="20"/>
              </w:rPr>
              <w:t>.</w:t>
            </w:r>
            <w:r>
              <w:rPr>
                <w:rFonts w:ascii="宋体" w:hAnsi="宋体" w:eastAsia="宋体" w:cs="宋体"/>
                <w:spacing w:val="3"/>
                <w:sz w:val="20"/>
                <w:szCs w:val="20"/>
              </w:rPr>
              <w:t>消防废水：当原料库、成品库塑料发生着火时，灭火将产生大量的消防废水</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4"/>
                <w:sz w:val="20"/>
                <w:szCs w:val="20"/>
              </w:rPr>
              <w:t>在</w:t>
            </w:r>
            <w:r>
              <w:rPr>
                <w:rFonts w:ascii="宋体" w:hAnsi="宋体" w:eastAsia="宋体" w:cs="宋体"/>
                <w:spacing w:val="11"/>
                <w:sz w:val="20"/>
                <w:szCs w:val="20"/>
              </w:rPr>
              <w:t>风险发生时，须及时撤离周边居民。消防废水参考《建筑设计防火规范》</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5"/>
                <w:sz w:val="20"/>
                <w:szCs w:val="20"/>
              </w:rPr>
              <w:t>50016-2006</w:t>
            </w:r>
            <w:r>
              <w:rPr>
                <w:rFonts w:ascii="宋体" w:hAnsi="宋体" w:eastAsia="宋体" w:cs="宋体"/>
                <w:spacing w:val="15"/>
                <w:sz w:val="20"/>
                <w:szCs w:val="20"/>
              </w:rPr>
              <w:t xml:space="preserve">) 木柴等可燃材料存储量在 </w:t>
            </w:r>
            <w:r>
              <w:rPr>
                <w:rFonts w:ascii="Times New Roman" w:hAnsi="Times New Roman" w:eastAsia="Times New Roman" w:cs="Times New Roman"/>
                <w:spacing w:val="15"/>
                <w:sz w:val="20"/>
                <w:szCs w:val="20"/>
              </w:rPr>
              <w:t>50</w:t>
            </w:r>
            <w:r>
              <w:rPr>
                <w:rFonts w:ascii="宋体" w:hAnsi="宋体" w:eastAsia="宋体" w:cs="宋体"/>
                <w:spacing w:val="15"/>
                <w:sz w:val="20"/>
                <w:szCs w:val="20"/>
              </w:rPr>
              <w:t>~</w:t>
            </w:r>
            <w:r>
              <w:rPr>
                <w:rFonts w:ascii="Times New Roman" w:hAnsi="Times New Roman" w:eastAsia="Times New Roman" w:cs="Times New Roman"/>
                <w:spacing w:val="15"/>
                <w:sz w:val="20"/>
                <w:szCs w:val="20"/>
              </w:rPr>
              <w:t>5000</w:t>
            </w:r>
            <w:r>
              <w:rPr>
                <w:rFonts w:ascii="Times New Roman" w:hAnsi="Times New Roman" w:eastAsia="Times New Roman" w:cs="Times New Roman"/>
                <w:sz w:val="20"/>
                <w:szCs w:val="20"/>
              </w:rPr>
              <w:t>m</w:t>
            </w:r>
            <w:r>
              <w:rPr>
                <w:rFonts w:ascii="Times New Roman" w:hAnsi="Times New Roman" w:eastAsia="Times New Roman" w:cs="Times New Roman"/>
                <w:spacing w:val="15"/>
                <w:sz w:val="20"/>
                <w:szCs w:val="20"/>
              </w:rPr>
              <w:t xml:space="preserve">3 </w:t>
            </w:r>
            <w:r>
              <w:rPr>
                <w:rFonts w:ascii="宋体" w:hAnsi="宋体" w:eastAsia="宋体" w:cs="宋体"/>
                <w:spacing w:val="15"/>
                <w:sz w:val="20"/>
                <w:szCs w:val="20"/>
              </w:rPr>
              <w:t>时消防用水量为</w:t>
            </w:r>
            <w:r>
              <w:rPr>
                <w:rFonts w:ascii="宋体" w:hAnsi="宋体" w:eastAsia="宋体" w:cs="宋体"/>
                <w:sz w:val="20"/>
                <w:szCs w:val="20"/>
              </w:rPr>
              <w:t xml:space="preserve"> </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L</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计，</w:t>
            </w:r>
            <w:r>
              <w:rPr>
                <w:rFonts w:ascii="宋体" w:hAnsi="宋体" w:eastAsia="宋体" w:cs="宋体"/>
                <w:spacing w:val="5"/>
                <w:sz w:val="20"/>
                <w:szCs w:val="20"/>
              </w:rPr>
              <w:t>以</w:t>
            </w:r>
            <w:r>
              <w:rPr>
                <w:rFonts w:ascii="宋体" w:hAnsi="宋体" w:eastAsia="宋体" w:cs="宋体"/>
                <w:spacing w:val="4"/>
                <w:sz w:val="20"/>
                <w:szCs w:val="20"/>
              </w:rPr>
              <w:t xml:space="preserve">丙类上厂房火灾持续时间 </w:t>
            </w:r>
            <w:r>
              <w:rPr>
                <w:rFonts w:ascii="Times New Roman" w:hAnsi="Times New Roman" w:eastAsia="Times New Roman" w:cs="Times New Roman"/>
                <w:spacing w:val="4"/>
                <w:sz w:val="20"/>
                <w:szCs w:val="20"/>
              </w:rPr>
              <w:t>2.0</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计，不利情况下发生火灾时会产生</w:t>
            </w:r>
            <w:r>
              <w:rPr>
                <w:rFonts w:ascii="宋体" w:hAnsi="宋体" w:eastAsia="宋体" w:cs="宋体"/>
                <w:sz w:val="20"/>
                <w:szCs w:val="20"/>
              </w:rPr>
              <w:t xml:space="preserve"> </w:t>
            </w:r>
            <w:r>
              <w:rPr>
                <w:rFonts w:ascii="Times New Roman" w:hAnsi="Times New Roman" w:eastAsia="Times New Roman" w:cs="Times New Roman"/>
                <w:spacing w:val="8"/>
                <w:sz w:val="20"/>
                <w:szCs w:val="20"/>
              </w:rPr>
              <w:t>144</w:t>
            </w:r>
            <w:r>
              <w:rPr>
                <w:rFonts w:ascii="Times New Roman" w:hAnsi="Times New Roman" w:eastAsia="Times New Roman" w:cs="Times New Roman"/>
                <w:sz w:val="20"/>
                <w:szCs w:val="20"/>
              </w:rPr>
              <w:t>m</w:t>
            </w:r>
            <w:r>
              <w:rPr>
                <w:rFonts w:ascii="Times New Roman" w:hAnsi="Times New Roman" w:eastAsia="Times New Roman" w:cs="Times New Roman"/>
                <w:spacing w:val="8"/>
                <w:position w:val="6"/>
                <w:sz w:val="13"/>
                <w:szCs w:val="13"/>
              </w:rPr>
              <w:t xml:space="preserve">3 </w:t>
            </w:r>
            <w:r>
              <w:rPr>
                <w:rFonts w:ascii="宋体" w:hAnsi="宋体" w:eastAsia="宋体" w:cs="宋体"/>
                <w:spacing w:val="8"/>
                <w:sz w:val="20"/>
                <w:szCs w:val="20"/>
              </w:rPr>
              <w:t>的</w:t>
            </w:r>
            <w:r>
              <w:rPr>
                <w:rFonts w:ascii="宋体" w:hAnsi="宋体" w:eastAsia="宋体" w:cs="宋体"/>
                <w:spacing w:val="5"/>
                <w:sz w:val="20"/>
                <w:szCs w:val="20"/>
              </w:rPr>
              <w:t>消</w:t>
            </w:r>
            <w:r>
              <w:rPr>
                <w:rFonts w:ascii="宋体" w:hAnsi="宋体" w:eastAsia="宋体" w:cs="宋体"/>
                <w:spacing w:val="4"/>
                <w:sz w:val="20"/>
                <w:szCs w:val="20"/>
              </w:rPr>
              <w:t xml:space="preserve">防废水。消防废水成分复杂，要求单位建设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座事故池，对消防废</w:t>
            </w:r>
            <w:r>
              <w:rPr>
                <w:rFonts w:ascii="宋体" w:hAnsi="宋体" w:eastAsia="宋体" w:cs="宋体"/>
                <w:sz w:val="20"/>
                <w:szCs w:val="20"/>
              </w:rPr>
              <w:t xml:space="preserve"> </w:t>
            </w:r>
            <w:r>
              <w:rPr>
                <w:rFonts w:ascii="宋体" w:hAnsi="宋体" w:eastAsia="宋体" w:cs="宋体"/>
                <w:spacing w:val="8"/>
                <w:sz w:val="20"/>
                <w:szCs w:val="20"/>
              </w:rPr>
              <w:t>水进行有效收集，避免消防废水进入雨水管道污染附近水体。</w:t>
            </w:r>
          </w:p>
        </w:tc>
      </w:tr>
      <w:tr w14:paraId="416D2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1313" w:type="dxa"/>
            <w:tcBorders>
              <w:left w:val="nil"/>
            </w:tcBorders>
            <w:vAlign w:val="top"/>
          </w:tcPr>
          <w:p w14:paraId="6A18F26C">
            <w:pPr>
              <w:spacing w:line="254" w:lineRule="auto"/>
              <w:rPr>
                <w:rFonts w:ascii="Arial"/>
                <w:sz w:val="21"/>
              </w:rPr>
            </w:pPr>
          </w:p>
          <w:p w14:paraId="336CE7EA">
            <w:pPr>
              <w:spacing w:line="255" w:lineRule="auto"/>
              <w:rPr>
                <w:rFonts w:ascii="Arial"/>
                <w:sz w:val="21"/>
              </w:rPr>
            </w:pPr>
          </w:p>
          <w:p w14:paraId="646A4670">
            <w:pPr>
              <w:spacing w:line="255" w:lineRule="auto"/>
              <w:rPr>
                <w:rFonts w:ascii="Arial"/>
                <w:sz w:val="21"/>
              </w:rPr>
            </w:pPr>
          </w:p>
          <w:p w14:paraId="699A686B">
            <w:pPr>
              <w:spacing w:before="65" w:line="301" w:lineRule="auto"/>
              <w:ind w:left="244" w:right="23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险防范</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措</w:t>
            </w:r>
            <w:r>
              <w:rPr>
                <w:rFonts w:ascii="宋体" w:hAnsi="宋体" w:eastAsia="宋体" w:cs="宋体"/>
                <w:spacing w:val="8"/>
                <w:sz w:val="20"/>
                <w:szCs w:val="20"/>
                <w14:textOutline w14:w="3795" w14:cap="sq" w14:cmpd="sng">
                  <w14:solidFill>
                    <w14:srgbClr w14:val="000000"/>
                  </w14:solidFill>
                  <w14:prstDash w14:val="solid"/>
                  <w14:bevel/>
                </w14:textOutline>
              </w:rPr>
              <w:t>施要求</w:t>
            </w:r>
          </w:p>
        </w:tc>
        <w:tc>
          <w:tcPr>
            <w:tcW w:w="7076" w:type="dxa"/>
            <w:tcBorders>
              <w:right w:val="nil"/>
            </w:tcBorders>
            <w:vAlign w:val="top"/>
          </w:tcPr>
          <w:p w14:paraId="51C68BD8">
            <w:pPr>
              <w:spacing w:before="53" w:line="258" w:lineRule="auto"/>
              <w:ind w:left="27" w:right="23"/>
              <w:rPr>
                <w:rFonts w:ascii="宋体" w:hAnsi="宋体" w:eastAsia="宋体" w:cs="宋体"/>
                <w:sz w:val="20"/>
                <w:szCs w:val="20"/>
              </w:rPr>
            </w:pPr>
            <w:r>
              <w:rPr>
                <w:rFonts w:ascii="宋体" w:hAnsi="宋体" w:eastAsia="宋体" w:cs="宋体"/>
                <w:spacing w:val="24"/>
                <w:sz w:val="20"/>
                <w:szCs w:val="20"/>
              </w:rPr>
              <w:t>①一</w:t>
            </w:r>
            <w:r>
              <w:rPr>
                <w:rFonts w:ascii="宋体" w:hAnsi="宋体" w:eastAsia="宋体" w:cs="宋体"/>
                <w:spacing w:val="14"/>
                <w:sz w:val="20"/>
                <w:szCs w:val="20"/>
              </w:rPr>
              <w:t>级</w:t>
            </w:r>
            <w:r>
              <w:rPr>
                <w:rFonts w:ascii="宋体" w:hAnsi="宋体" w:eastAsia="宋体" w:cs="宋体"/>
                <w:spacing w:val="12"/>
                <w:sz w:val="20"/>
                <w:szCs w:val="20"/>
              </w:rPr>
              <w:t>防控措施：利用沙袋进行围挡，用于收集事故污水，将污染物控制在</w:t>
            </w:r>
            <w:r>
              <w:rPr>
                <w:rFonts w:ascii="宋体" w:hAnsi="宋体" w:eastAsia="宋体" w:cs="宋体"/>
                <w:sz w:val="20"/>
                <w:szCs w:val="20"/>
              </w:rPr>
              <w:t xml:space="preserve"> </w:t>
            </w:r>
            <w:r>
              <w:rPr>
                <w:rFonts w:ascii="宋体" w:hAnsi="宋体" w:eastAsia="宋体" w:cs="宋体"/>
                <w:spacing w:val="13"/>
                <w:sz w:val="20"/>
                <w:szCs w:val="20"/>
              </w:rPr>
              <w:t>事</w:t>
            </w:r>
            <w:r>
              <w:rPr>
                <w:rFonts w:ascii="宋体" w:hAnsi="宋体" w:eastAsia="宋体" w:cs="宋体"/>
                <w:spacing w:val="7"/>
                <w:sz w:val="20"/>
                <w:szCs w:val="20"/>
              </w:rPr>
              <w:t>故发生的区域内。</w:t>
            </w:r>
          </w:p>
          <w:p w14:paraId="51926692">
            <w:pPr>
              <w:spacing w:before="64" w:line="268" w:lineRule="auto"/>
              <w:ind w:left="29" w:right="23" w:hanging="3"/>
              <w:rPr>
                <w:rFonts w:ascii="宋体" w:hAnsi="宋体" w:eastAsia="宋体" w:cs="宋体"/>
                <w:sz w:val="20"/>
                <w:szCs w:val="20"/>
              </w:rPr>
            </w:pPr>
            <w:r>
              <w:rPr>
                <w:rFonts w:ascii="宋体" w:hAnsi="宋体" w:eastAsia="宋体" w:cs="宋体"/>
                <w:spacing w:val="13"/>
                <w:sz w:val="20"/>
                <w:szCs w:val="20"/>
              </w:rPr>
              <w:t>②二级防控：该项目生产厂房、原料库、成品库均为封闭式库房，利用生</w:t>
            </w:r>
            <w:r>
              <w:rPr>
                <w:rFonts w:ascii="宋体" w:hAnsi="宋体" w:eastAsia="宋体" w:cs="宋体"/>
                <w:spacing w:val="7"/>
                <w:sz w:val="20"/>
                <w:szCs w:val="20"/>
              </w:rPr>
              <w:t>产</w:t>
            </w:r>
            <w:r>
              <w:rPr>
                <w:rFonts w:ascii="宋体" w:hAnsi="宋体" w:eastAsia="宋体" w:cs="宋体"/>
                <w:sz w:val="20"/>
                <w:szCs w:val="20"/>
              </w:rPr>
              <w:t xml:space="preserve"> </w:t>
            </w:r>
            <w:r>
              <w:rPr>
                <w:rFonts w:ascii="宋体" w:hAnsi="宋体" w:eastAsia="宋体" w:cs="宋体"/>
                <w:spacing w:val="24"/>
                <w:sz w:val="20"/>
                <w:szCs w:val="20"/>
              </w:rPr>
              <w:t>厂</w:t>
            </w:r>
            <w:r>
              <w:rPr>
                <w:rFonts w:ascii="宋体" w:hAnsi="宋体" w:eastAsia="宋体" w:cs="宋体"/>
                <w:spacing w:val="23"/>
                <w:sz w:val="20"/>
                <w:szCs w:val="20"/>
              </w:rPr>
              <w:t>房</w:t>
            </w:r>
            <w:r>
              <w:rPr>
                <w:rFonts w:ascii="宋体" w:hAnsi="宋体" w:eastAsia="宋体" w:cs="宋体"/>
                <w:spacing w:val="12"/>
                <w:sz w:val="20"/>
                <w:szCs w:val="20"/>
              </w:rPr>
              <w:t>、原料库、成品库围墙作为二级防控措施，并利用沙袋进行围挡，防止</w:t>
            </w:r>
            <w:r>
              <w:rPr>
                <w:rFonts w:ascii="宋体" w:hAnsi="宋体" w:eastAsia="宋体" w:cs="宋体"/>
                <w:sz w:val="20"/>
                <w:szCs w:val="20"/>
              </w:rPr>
              <w:t xml:space="preserve"> </w:t>
            </w:r>
            <w:r>
              <w:rPr>
                <w:rFonts w:ascii="宋体" w:hAnsi="宋体" w:eastAsia="宋体" w:cs="宋体"/>
                <w:spacing w:val="11"/>
                <w:sz w:val="20"/>
                <w:szCs w:val="20"/>
              </w:rPr>
              <w:t>污</w:t>
            </w:r>
            <w:r>
              <w:rPr>
                <w:rFonts w:ascii="宋体" w:hAnsi="宋体" w:eastAsia="宋体" w:cs="宋体"/>
                <w:spacing w:val="7"/>
                <w:sz w:val="20"/>
                <w:szCs w:val="20"/>
              </w:rPr>
              <w:t>水流出储存区域。</w:t>
            </w:r>
          </w:p>
          <w:p w14:paraId="4E770BF0">
            <w:pPr>
              <w:spacing w:before="65" w:line="258" w:lineRule="auto"/>
              <w:ind w:left="31" w:right="23" w:hanging="5"/>
              <w:rPr>
                <w:rFonts w:ascii="宋体" w:hAnsi="宋体" w:eastAsia="宋体" w:cs="宋体"/>
                <w:sz w:val="20"/>
                <w:szCs w:val="20"/>
              </w:rPr>
            </w:pPr>
            <w:r>
              <w:rPr>
                <w:rFonts w:ascii="宋体" w:hAnsi="宋体" w:eastAsia="宋体" w:cs="宋体"/>
                <w:spacing w:val="13"/>
                <w:sz w:val="20"/>
                <w:szCs w:val="20"/>
              </w:rPr>
              <w:t>③三级防控：利用厂区内设置的应急事故池作为三级防控措施，用于收集</w:t>
            </w:r>
            <w:r>
              <w:rPr>
                <w:rFonts w:ascii="宋体" w:hAnsi="宋体" w:eastAsia="宋体" w:cs="宋体"/>
                <w:spacing w:val="7"/>
                <w:sz w:val="20"/>
                <w:szCs w:val="20"/>
              </w:rPr>
              <w:t>事</w:t>
            </w:r>
            <w:r>
              <w:rPr>
                <w:rFonts w:ascii="宋体" w:hAnsi="宋体" w:eastAsia="宋体" w:cs="宋体"/>
                <w:sz w:val="20"/>
                <w:szCs w:val="20"/>
              </w:rPr>
              <w:t xml:space="preserve"> </w:t>
            </w:r>
            <w:r>
              <w:rPr>
                <w:rFonts w:ascii="宋体" w:hAnsi="宋体" w:eastAsia="宋体" w:cs="宋体"/>
                <w:spacing w:val="16"/>
                <w:sz w:val="20"/>
                <w:szCs w:val="20"/>
              </w:rPr>
              <w:t>故</w:t>
            </w:r>
            <w:r>
              <w:rPr>
                <w:rFonts w:ascii="宋体" w:hAnsi="宋体" w:eastAsia="宋体" w:cs="宋体"/>
                <w:spacing w:val="13"/>
                <w:sz w:val="20"/>
                <w:szCs w:val="20"/>
              </w:rPr>
              <w:t>污</w:t>
            </w:r>
            <w:r>
              <w:rPr>
                <w:rFonts w:ascii="宋体" w:hAnsi="宋体" w:eastAsia="宋体" w:cs="宋体"/>
                <w:spacing w:val="8"/>
                <w:sz w:val="20"/>
                <w:szCs w:val="20"/>
              </w:rPr>
              <w:t>水，防止污水流出厂界，造成污染。</w:t>
            </w:r>
          </w:p>
        </w:tc>
      </w:tr>
      <w:tr w14:paraId="12B05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389" w:type="dxa"/>
            <w:gridSpan w:val="2"/>
            <w:tcBorders>
              <w:left w:val="nil"/>
              <w:right w:val="nil"/>
            </w:tcBorders>
            <w:vAlign w:val="top"/>
          </w:tcPr>
          <w:p w14:paraId="0F531E2B">
            <w:pPr>
              <w:spacing w:before="63" w:line="226" w:lineRule="auto"/>
              <w:ind w:left="32"/>
              <w:rPr>
                <w:rFonts w:ascii="宋体" w:hAnsi="宋体" w:eastAsia="宋体" w:cs="宋体"/>
                <w:sz w:val="20"/>
                <w:szCs w:val="20"/>
              </w:rPr>
            </w:pPr>
            <w:r>
              <w:rPr>
                <w:rFonts w:ascii="宋体" w:hAnsi="宋体" w:eastAsia="宋体" w:cs="宋体"/>
                <w:spacing w:val="11"/>
                <w:sz w:val="20"/>
                <w:szCs w:val="20"/>
              </w:rPr>
              <w:t>填</w:t>
            </w:r>
            <w:r>
              <w:rPr>
                <w:rFonts w:ascii="宋体" w:hAnsi="宋体" w:eastAsia="宋体" w:cs="宋体"/>
                <w:spacing w:val="8"/>
                <w:sz w:val="20"/>
                <w:szCs w:val="20"/>
              </w:rPr>
              <w:t>表说明 (列出项目相关信息及评价说明) ：</w:t>
            </w:r>
          </w:p>
          <w:p w14:paraId="6ADF7D09">
            <w:pPr>
              <w:spacing w:before="67" w:line="278" w:lineRule="auto"/>
              <w:ind w:left="32" w:right="21" w:firstLine="1"/>
              <w:rPr>
                <w:rFonts w:ascii="宋体" w:hAnsi="宋体" w:eastAsia="宋体" w:cs="宋体"/>
                <w:sz w:val="20"/>
                <w:szCs w:val="20"/>
              </w:rPr>
            </w:pPr>
            <w:r>
              <w:rPr>
                <w:rFonts w:ascii="宋体" w:hAnsi="宋体" w:eastAsia="宋体" w:cs="宋体"/>
                <w:spacing w:val="14"/>
                <w:sz w:val="20"/>
                <w:szCs w:val="20"/>
              </w:rPr>
              <w:t>该</w:t>
            </w:r>
            <w:r>
              <w:rPr>
                <w:rFonts w:ascii="宋体" w:hAnsi="宋体" w:eastAsia="宋体" w:cs="宋体"/>
                <w:spacing w:val="10"/>
                <w:sz w:val="20"/>
                <w:szCs w:val="20"/>
              </w:rPr>
              <w:t>项目环境风险潜势为</w:t>
            </w:r>
            <w:r>
              <w:rPr>
                <w:rFonts w:ascii="Times New Roman" w:hAnsi="Times New Roman" w:eastAsia="Times New Roman" w:cs="Times New Roman"/>
                <w:spacing w:val="10"/>
                <w:sz w:val="20"/>
                <w:szCs w:val="20"/>
              </w:rPr>
              <w:t xml:space="preserve">Ⅰ </w:t>
            </w:r>
            <w:r>
              <w:rPr>
                <w:rFonts w:ascii="宋体" w:hAnsi="宋体" w:eastAsia="宋体" w:cs="宋体"/>
                <w:spacing w:val="10"/>
                <w:sz w:val="20"/>
                <w:szCs w:val="20"/>
              </w:rPr>
              <w:t>，环境风险评价级别为简单分析，根据《建设项目环境风险评价技</w:t>
            </w:r>
            <w:r>
              <w:rPr>
                <w:rFonts w:ascii="宋体" w:hAnsi="宋体" w:eastAsia="宋体" w:cs="宋体"/>
                <w:sz w:val="20"/>
                <w:szCs w:val="20"/>
              </w:rPr>
              <w:t xml:space="preserve"> </w:t>
            </w:r>
            <w:r>
              <w:rPr>
                <w:rFonts w:ascii="宋体" w:hAnsi="宋体" w:eastAsia="宋体" w:cs="宋体"/>
                <w:spacing w:val="10"/>
                <w:sz w:val="20"/>
                <w:szCs w:val="20"/>
              </w:rPr>
              <w:t>术导则</w:t>
            </w:r>
            <w:r>
              <w:rPr>
                <w:rFonts w:ascii="宋体" w:hAnsi="宋体" w:eastAsia="宋体" w:cs="宋体"/>
                <w:spacing w:val="6"/>
                <w:sz w:val="20"/>
                <w:szCs w:val="20"/>
              </w:rPr>
              <w:t>》</w:t>
            </w:r>
            <w:r>
              <w:rPr>
                <w:rFonts w:ascii="宋体" w:hAnsi="宋体" w:eastAsia="宋体" w:cs="宋体"/>
                <w:spacing w:val="5"/>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169-2018</w:t>
            </w:r>
            <w:r>
              <w:rPr>
                <w:rFonts w:ascii="宋体" w:hAnsi="宋体" w:eastAsia="宋体" w:cs="宋体"/>
                <w:spacing w:val="5"/>
                <w:sz w:val="20"/>
                <w:szCs w:val="20"/>
              </w:rPr>
              <w:t>) ，未明确简单分析级别评价范围，因此该项目大气环境风险评价范</w:t>
            </w:r>
            <w:r>
              <w:rPr>
                <w:rFonts w:ascii="宋体" w:hAnsi="宋体" w:eastAsia="宋体" w:cs="宋体"/>
                <w:sz w:val="20"/>
                <w:szCs w:val="20"/>
              </w:rPr>
              <w:t xml:space="preserve"> </w:t>
            </w:r>
            <w:r>
              <w:rPr>
                <w:rFonts w:ascii="宋体" w:hAnsi="宋体" w:eastAsia="宋体" w:cs="宋体"/>
                <w:spacing w:val="7"/>
                <w:sz w:val="20"/>
                <w:szCs w:val="20"/>
              </w:rPr>
              <w:t xml:space="preserve">围参照三级评价范围，即距建设项目边界 </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km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的范围</w:t>
            </w:r>
            <w:r>
              <w:rPr>
                <w:rFonts w:ascii="宋体" w:hAnsi="宋体" w:eastAsia="宋体" w:cs="宋体"/>
                <w:spacing w:val="3"/>
                <w:sz w:val="20"/>
                <w:szCs w:val="20"/>
              </w:rPr>
              <w:t>。</w:t>
            </w:r>
          </w:p>
        </w:tc>
      </w:tr>
    </w:tbl>
    <w:p w14:paraId="317D6586">
      <w:pPr>
        <w:rPr>
          <w:rFonts w:ascii="Arial"/>
          <w:sz w:val="21"/>
        </w:rPr>
      </w:pPr>
    </w:p>
    <w:p w14:paraId="6872CAE7">
      <w:pPr>
        <w:sectPr>
          <w:headerReference r:id="rId311" w:type="default"/>
          <w:footerReference r:id="rId312" w:type="default"/>
          <w:pgSz w:w="11906" w:h="16839"/>
          <w:pgMar w:top="1132" w:right="1739" w:bottom="1182" w:left="1777" w:header="878" w:footer="1022" w:gutter="0"/>
          <w:cols w:space="720" w:num="1"/>
        </w:sectPr>
      </w:pPr>
    </w:p>
    <w:p w14:paraId="191753EE">
      <w:pPr>
        <w:spacing w:line="423" w:lineRule="auto"/>
        <w:rPr>
          <w:rFonts w:ascii="Arial"/>
          <w:sz w:val="21"/>
        </w:rPr>
      </w:pPr>
      <w:r>
        <w:pict>
          <v:shape id="_x0000_s1373" o:spid="_x0000_s1373" style="position:absolute;left:0pt;margin-left:90pt;margin-top:57.35pt;height:0.75pt;width:415.3pt;mso-position-horizontal-relative:page;mso-position-vertical-relative:page;z-index:252068864;mso-width-relative:page;mso-height-relative:page;" fillcolor="#000000" filled="t" stroked="f" coordsize="8305,15" o:allowincell="f" path="m0,0l8305,0,8305,14,0,14,0,0xe">
            <v:path/>
            <v:fill on="t" focussize="0,0"/>
            <v:stroke on="f"/>
            <v:imagedata o:title=""/>
            <o:lock v:ext="edit"/>
          </v:shape>
        </w:pict>
      </w:r>
    </w:p>
    <w:p w14:paraId="7E74123E">
      <w:pPr>
        <w:spacing w:before="113" w:line="225" w:lineRule="auto"/>
        <w:ind w:left="26"/>
        <w:outlineLvl w:val="0"/>
        <w:rPr>
          <w:rFonts w:ascii="宋体" w:hAnsi="宋体" w:eastAsia="宋体" w:cs="宋体"/>
          <w:sz w:val="35"/>
          <w:szCs w:val="35"/>
        </w:rPr>
      </w:pPr>
      <w:bookmarkStart w:id="36" w:name="_bookmark37"/>
      <w:bookmarkEnd w:id="36"/>
      <w:r>
        <w:rPr>
          <w:rFonts w:ascii="Times New Roman" w:hAnsi="Times New Roman" w:eastAsia="Times New Roman" w:cs="Times New Roman"/>
          <w:b/>
          <w:bCs/>
          <w:spacing w:val="13"/>
          <w:sz w:val="35"/>
          <w:szCs w:val="35"/>
        </w:rPr>
        <w:t>8</w:t>
      </w:r>
      <w:r>
        <w:rPr>
          <w:rFonts w:ascii="Times New Roman" w:hAnsi="Times New Roman" w:eastAsia="Times New Roman" w:cs="Times New Roman"/>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环境影响经济损益分析</w:t>
      </w:r>
    </w:p>
    <w:p w14:paraId="58F50214">
      <w:pPr>
        <w:spacing w:before="244" w:line="223" w:lineRule="auto"/>
        <w:ind w:left="25"/>
        <w:outlineLvl w:val="1"/>
        <w:rPr>
          <w:rFonts w:ascii="宋体" w:hAnsi="宋体" w:eastAsia="宋体" w:cs="宋体"/>
          <w:sz w:val="31"/>
          <w:szCs w:val="31"/>
        </w:rPr>
      </w:pPr>
      <w:bookmarkStart w:id="37" w:name="_bookmark38"/>
      <w:bookmarkEnd w:id="37"/>
      <w:r>
        <w:rPr>
          <w:rFonts w:ascii="Times New Roman" w:hAnsi="Times New Roman" w:eastAsia="Times New Roman" w:cs="Times New Roman"/>
          <w:b/>
          <w:bCs/>
          <w:spacing w:val="9"/>
          <w:sz w:val="31"/>
          <w:szCs w:val="31"/>
        </w:rPr>
        <w:t>8</w:t>
      </w:r>
      <w:r>
        <w:rPr>
          <w:rFonts w:ascii="Times New Roman" w:hAnsi="Times New Roman" w:eastAsia="Times New Roman" w:cs="Times New Roman"/>
          <w:b/>
          <w:bCs/>
          <w:spacing w:val="5"/>
          <w:sz w:val="31"/>
          <w:szCs w:val="31"/>
        </w:rPr>
        <w:t>.1</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评价目的</w:t>
      </w:r>
    </w:p>
    <w:p w14:paraId="6E3FA54D">
      <w:pPr>
        <w:spacing w:line="255" w:lineRule="auto"/>
        <w:rPr>
          <w:rFonts w:ascii="Arial"/>
          <w:sz w:val="21"/>
        </w:rPr>
      </w:pPr>
    </w:p>
    <w:p w14:paraId="66D5FEB1">
      <w:pPr>
        <w:spacing w:before="75" w:line="387" w:lineRule="auto"/>
        <w:ind w:left="23" w:right="13" w:firstLine="482"/>
        <w:rPr>
          <w:rFonts w:ascii="宋体" w:hAnsi="宋体" w:eastAsia="宋体" w:cs="宋体"/>
          <w:sz w:val="23"/>
          <w:szCs w:val="23"/>
        </w:rPr>
      </w:pPr>
      <w:r>
        <w:rPr>
          <w:rFonts w:ascii="宋体" w:hAnsi="宋体" w:eastAsia="宋体" w:cs="宋体"/>
          <w:spacing w:val="12"/>
          <w:sz w:val="23"/>
          <w:szCs w:val="23"/>
        </w:rPr>
        <w:t>建设项目</w:t>
      </w:r>
      <w:r>
        <w:rPr>
          <w:rFonts w:ascii="宋体" w:hAnsi="宋体" w:eastAsia="宋体" w:cs="宋体"/>
          <w:spacing w:val="8"/>
          <w:sz w:val="23"/>
          <w:szCs w:val="23"/>
        </w:rPr>
        <w:t>环</w:t>
      </w:r>
      <w:r>
        <w:rPr>
          <w:rFonts w:ascii="宋体" w:hAnsi="宋体" w:eastAsia="宋体" w:cs="宋体"/>
          <w:spacing w:val="6"/>
          <w:sz w:val="23"/>
          <w:szCs w:val="23"/>
        </w:rPr>
        <w:t>境影响评价有两个基本目标：一是要揭示建设项目所引起的环境</w:t>
      </w:r>
      <w:r>
        <w:rPr>
          <w:rFonts w:ascii="宋体" w:hAnsi="宋体" w:eastAsia="宋体" w:cs="宋体"/>
          <w:sz w:val="23"/>
          <w:szCs w:val="23"/>
        </w:rPr>
        <w:t xml:space="preserve"> </w:t>
      </w:r>
      <w:r>
        <w:rPr>
          <w:rFonts w:ascii="宋体" w:hAnsi="宋体" w:eastAsia="宋体" w:cs="宋体"/>
          <w:spacing w:val="9"/>
          <w:sz w:val="23"/>
          <w:szCs w:val="23"/>
        </w:rPr>
        <w:t>影</w:t>
      </w:r>
      <w:r>
        <w:rPr>
          <w:rFonts w:ascii="宋体" w:hAnsi="宋体" w:eastAsia="宋体" w:cs="宋体"/>
          <w:spacing w:val="7"/>
          <w:sz w:val="23"/>
          <w:szCs w:val="23"/>
        </w:rPr>
        <w:t>响，协调与环境目标一致的问题；二是要科学地评价建设项目所产生的经济效</w:t>
      </w:r>
      <w:r>
        <w:rPr>
          <w:rFonts w:ascii="宋体" w:hAnsi="宋体" w:eastAsia="宋体" w:cs="宋体"/>
          <w:sz w:val="23"/>
          <w:szCs w:val="23"/>
        </w:rPr>
        <w:t xml:space="preserve"> </w:t>
      </w:r>
      <w:r>
        <w:rPr>
          <w:rFonts w:ascii="宋体" w:hAnsi="宋体" w:eastAsia="宋体" w:cs="宋体"/>
          <w:spacing w:val="9"/>
          <w:sz w:val="23"/>
          <w:szCs w:val="23"/>
        </w:rPr>
        <w:t>益</w:t>
      </w:r>
      <w:r>
        <w:rPr>
          <w:rFonts w:ascii="宋体" w:hAnsi="宋体" w:eastAsia="宋体" w:cs="宋体"/>
          <w:spacing w:val="7"/>
          <w:sz w:val="23"/>
          <w:szCs w:val="23"/>
        </w:rPr>
        <w:t>和社会效益。因此，在建设项目环境影响评价工作中，除首先应注意那些由于</w:t>
      </w:r>
      <w:r>
        <w:rPr>
          <w:rFonts w:ascii="宋体" w:hAnsi="宋体" w:eastAsia="宋体" w:cs="宋体"/>
          <w:sz w:val="23"/>
          <w:szCs w:val="23"/>
        </w:rPr>
        <w:t xml:space="preserve"> </w:t>
      </w:r>
      <w:r>
        <w:rPr>
          <w:rFonts w:ascii="宋体" w:hAnsi="宋体" w:eastAsia="宋体" w:cs="宋体"/>
          <w:spacing w:val="9"/>
          <w:sz w:val="23"/>
          <w:szCs w:val="23"/>
        </w:rPr>
        <w:t>污</w:t>
      </w:r>
      <w:r>
        <w:rPr>
          <w:rFonts w:ascii="宋体" w:hAnsi="宋体" w:eastAsia="宋体" w:cs="宋体"/>
          <w:spacing w:val="7"/>
          <w:sz w:val="23"/>
          <w:szCs w:val="23"/>
        </w:rPr>
        <w:t>染对生态环境造成的影响外，应同时开展社会经济效益分析，把提高社会经济</w:t>
      </w:r>
      <w:r>
        <w:rPr>
          <w:rFonts w:ascii="宋体" w:hAnsi="宋体" w:eastAsia="宋体" w:cs="宋体"/>
          <w:sz w:val="23"/>
          <w:szCs w:val="23"/>
        </w:rPr>
        <w:t xml:space="preserve"> </w:t>
      </w:r>
      <w:r>
        <w:rPr>
          <w:rFonts w:ascii="宋体" w:hAnsi="宋体" w:eastAsia="宋体" w:cs="宋体"/>
          <w:spacing w:val="9"/>
          <w:sz w:val="23"/>
          <w:szCs w:val="23"/>
        </w:rPr>
        <w:t>效</w:t>
      </w:r>
      <w:r>
        <w:rPr>
          <w:rFonts w:ascii="宋体" w:hAnsi="宋体" w:eastAsia="宋体" w:cs="宋体"/>
          <w:spacing w:val="7"/>
          <w:sz w:val="23"/>
          <w:szCs w:val="23"/>
        </w:rPr>
        <w:t>益作为分析研究问题的一个出发点，把环境资源作为一种经济实体对待，选择</w:t>
      </w:r>
      <w:r>
        <w:rPr>
          <w:rFonts w:ascii="宋体" w:hAnsi="宋体" w:eastAsia="宋体" w:cs="宋体"/>
          <w:sz w:val="23"/>
          <w:szCs w:val="23"/>
        </w:rPr>
        <w:t xml:space="preserve"> </w:t>
      </w:r>
      <w:r>
        <w:rPr>
          <w:rFonts w:ascii="宋体" w:hAnsi="宋体" w:eastAsia="宋体" w:cs="宋体"/>
          <w:spacing w:val="9"/>
          <w:sz w:val="23"/>
          <w:szCs w:val="23"/>
        </w:rPr>
        <w:t>合</w:t>
      </w:r>
      <w:r>
        <w:rPr>
          <w:rFonts w:ascii="宋体" w:hAnsi="宋体" w:eastAsia="宋体" w:cs="宋体"/>
          <w:spacing w:val="7"/>
          <w:sz w:val="23"/>
          <w:szCs w:val="23"/>
        </w:rPr>
        <w:t>理的开发和保护措施，一方面尽可能做到近期和远期有显著的经济效益，另一</w:t>
      </w:r>
      <w:r>
        <w:rPr>
          <w:rFonts w:ascii="宋体" w:hAnsi="宋体" w:eastAsia="宋体" w:cs="宋体"/>
          <w:sz w:val="23"/>
          <w:szCs w:val="23"/>
        </w:rPr>
        <w:t xml:space="preserve"> </w:t>
      </w:r>
      <w:r>
        <w:rPr>
          <w:rFonts w:ascii="宋体" w:hAnsi="宋体" w:eastAsia="宋体" w:cs="宋体"/>
          <w:spacing w:val="12"/>
          <w:sz w:val="23"/>
          <w:szCs w:val="23"/>
        </w:rPr>
        <w:t>方</w:t>
      </w:r>
      <w:r>
        <w:rPr>
          <w:rFonts w:ascii="宋体" w:hAnsi="宋体" w:eastAsia="宋体" w:cs="宋体"/>
          <w:spacing w:val="8"/>
          <w:sz w:val="23"/>
          <w:szCs w:val="23"/>
        </w:rPr>
        <w:t>面付出的环境代价要小。</w:t>
      </w:r>
    </w:p>
    <w:p w14:paraId="70ED57C4">
      <w:pPr>
        <w:spacing w:before="140" w:line="389" w:lineRule="auto"/>
        <w:ind w:left="24" w:right="11" w:firstLine="484"/>
        <w:rPr>
          <w:rFonts w:ascii="宋体" w:hAnsi="宋体" w:eastAsia="宋体" w:cs="宋体"/>
          <w:sz w:val="23"/>
          <w:szCs w:val="23"/>
        </w:rPr>
      </w:pPr>
      <w:r>
        <w:rPr>
          <w:rFonts w:ascii="宋体" w:hAnsi="宋体" w:eastAsia="宋体" w:cs="宋体"/>
          <w:spacing w:val="12"/>
          <w:sz w:val="23"/>
          <w:szCs w:val="23"/>
        </w:rPr>
        <w:t>结合项目</w:t>
      </w:r>
      <w:r>
        <w:rPr>
          <w:rFonts w:ascii="宋体" w:hAnsi="宋体" w:eastAsia="宋体" w:cs="宋体"/>
          <w:spacing w:val="7"/>
          <w:sz w:val="23"/>
          <w:szCs w:val="23"/>
        </w:rPr>
        <w:t>的</w:t>
      </w:r>
      <w:r>
        <w:rPr>
          <w:rFonts w:ascii="宋体" w:hAnsi="宋体" w:eastAsia="宋体" w:cs="宋体"/>
          <w:spacing w:val="6"/>
          <w:sz w:val="23"/>
          <w:szCs w:val="23"/>
        </w:rPr>
        <w:t>实际情况，在发展经济的同时，应注意采用新工艺和新设备，体</w:t>
      </w:r>
      <w:r>
        <w:rPr>
          <w:rFonts w:ascii="宋体" w:hAnsi="宋体" w:eastAsia="宋体" w:cs="宋体"/>
          <w:sz w:val="23"/>
          <w:szCs w:val="23"/>
        </w:rPr>
        <w:t xml:space="preserve"> </w:t>
      </w:r>
      <w:r>
        <w:rPr>
          <w:rFonts w:ascii="宋体" w:hAnsi="宋体" w:eastAsia="宋体" w:cs="宋体"/>
          <w:spacing w:val="14"/>
          <w:sz w:val="23"/>
          <w:szCs w:val="23"/>
        </w:rPr>
        <w:t>现</w:t>
      </w:r>
      <w:r>
        <w:rPr>
          <w:rFonts w:ascii="Times New Roman" w:hAnsi="Times New Roman" w:eastAsia="Times New Roman" w:cs="Times New Roman"/>
          <w:spacing w:val="14"/>
          <w:sz w:val="23"/>
          <w:szCs w:val="23"/>
        </w:rPr>
        <w:t>“</w:t>
      </w:r>
      <w:r>
        <w:rPr>
          <w:rFonts w:ascii="宋体" w:hAnsi="宋体" w:eastAsia="宋体" w:cs="宋体"/>
          <w:spacing w:val="14"/>
          <w:sz w:val="23"/>
          <w:szCs w:val="23"/>
        </w:rPr>
        <w:t>以</w:t>
      </w:r>
      <w:r>
        <w:rPr>
          <w:rFonts w:ascii="宋体" w:hAnsi="宋体" w:eastAsia="宋体" w:cs="宋体"/>
          <w:spacing w:val="8"/>
          <w:sz w:val="23"/>
          <w:szCs w:val="23"/>
        </w:rPr>
        <w:t>新</w:t>
      </w:r>
      <w:r>
        <w:rPr>
          <w:rFonts w:ascii="宋体" w:hAnsi="宋体" w:eastAsia="宋体" w:cs="宋体"/>
          <w:spacing w:val="7"/>
          <w:sz w:val="23"/>
          <w:szCs w:val="23"/>
        </w:rPr>
        <w:t>带老</w:t>
      </w:r>
      <w:r>
        <w:rPr>
          <w:rFonts w:ascii="Times New Roman" w:hAnsi="Times New Roman" w:eastAsia="Times New Roman" w:cs="Times New Roman"/>
          <w:spacing w:val="7"/>
          <w:sz w:val="23"/>
          <w:szCs w:val="23"/>
        </w:rPr>
        <w:t>”</w:t>
      </w:r>
      <w:r>
        <w:rPr>
          <w:rFonts w:ascii="宋体" w:hAnsi="宋体" w:eastAsia="宋体" w:cs="宋体"/>
          <w:spacing w:val="7"/>
          <w:sz w:val="23"/>
          <w:szCs w:val="23"/>
        </w:rPr>
        <w:t>的污染治理原则，提高资源的利用率，减少浪费，结合建设单位的</w:t>
      </w:r>
      <w:r>
        <w:rPr>
          <w:rFonts w:ascii="宋体" w:hAnsi="宋体" w:eastAsia="宋体" w:cs="宋体"/>
          <w:sz w:val="23"/>
          <w:szCs w:val="23"/>
        </w:rPr>
        <w:t xml:space="preserve"> </w:t>
      </w:r>
      <w:r>
        <w:rPr>
          <w:rFonts w:ascii="宋体" w:hAnsi="宋体" w:eastAsia="宋体" w:cs="宋体"/>
          <w:spacing w:val="8"/>
          <w:sz w:val="23"/>
          <w:szCs w:val="23"/>
        </w:rPr>
        <w:t>情</w:t>
      </w:r>
      <w:r>
        <w:rPr>
          <w:rFonts w:ascii="宋体" w:hAnsi="宋体" w:eastAsia="宋体" w:cs="宋体"/>
          <w:spacing w:val="7"/>
          <w:sz w:val="23"/>
          <w:szCs w:val="23"/>
        </w:rPr>
        <w:t>况，采取切实可行的治理措施，有效地利用环境的自净能力，做到建设项目经</w:t>
      </w:r>
      <w:r>
        <w:rPr>
          <w:rFonts w:ascii="宋体" w:hAnsi="宋体" w:eastAsia="宋体" w:cs="宋体"/>
          <w:sz w:val="23"/>
          <w:szCs w:val="23"/>
        </w:rPr>
        <w:t xml:space="preserve"> </w:t>
      </w:r>
      <w:r>
        <w:rPr>
          <w:rFonts w:ascii="宋体" w:hAnsi="宋体" w:eastAsia="宋体" w:cs="宋体"/>
          <w:spacing w:val="9"/>
          <w:sz w:val="23"/>
          <w:szCs w:val="23"/>
        </w:rPr>
        <w:t>济效益、环境效益和社会效益的统一</w:t>
      </w:r>
      <w:r>
        <w:rPr>
          <w:rFonts w:ascii="宋体" w:hAnsi="宋体" w:eastAsia="宋体" w:cs="宋体"/>
          <w:spacing w:val="5"/>
          <w:sz w:val="23"/>
          <w:szCs w:val="23"/>
        </w:rPr>
        <w:t>。</w:t>
      </w:r>
    </w:p>
    <w:p w14:paraId="564877B3">
      <w:pPr>
        <w:spacing w:before="67" w:line="224" w:lineRule="auto"/>
        <w:ind w:left="25"/>
        <w:outlineLvl w:val="1"/>
        <w:rPr>
          <w:rFonts w:ascii="宋体" w:hAnsi="宋体" w:eastAsia="宋体" w:cs="宋体"/>
          <w:sz w:val="31"/>
          <w:szCs w:val="31"/>
        </w:rPr>
      </w:pPr>
      <w:bookmarkStart w:id="38" w:name="_bookmark39"/>
      <w:bookmarkEnd w:id="38"/>
      <w:r>
        <w:rPr>
          <w:rFonts w:ascii="Times New Roman" w:hAnsi="Times New Roman" w:eastAsia="Times New Roman" w:cs="Times New Roman"/>
          <w:b/>
          <w:bCs/>
          <w:spacing w:val="9"/>
          <w:sz w:val="31"/>
          <w:szCs w:val="31"/>
        </w:rPr>
        <w:t>8</w:t>
      </w:r>
      <w:r>
        <w:rPr>
          <w:rFonts w:ascii="Times New Roman" w:hAnsi="Times New Roman" w:eastAsia="Times New Roman" w:cs="Times New Roman"/>
          <w:b/>
          <w:bCs/>
          <w:spacing w:val="7"/>
          <w:sz w:val="31"/>
          <w:szCs w:val="31"/>
        </w:rPr>
        <w:t>.2</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项目社会效益情况</w:t>
      </w:r>
    </w:p>
    <w:p w14:paraId="5BFD9757">
      <w:pPr>
        <w:spacing w:line="251" w:lineRule="auto"/>
        <w:rPr>
          <w:rFonts w:ascii="Arial"/>
          <w:sz w:val="21"/>
        </w:rPr>
      </w:pPr>
    </w:p>
    <w:p w14:paraId="5056386A">
      <w:pPr>
        <w:spacing w:before="75" w:line="303" w:lineRule="exact"/>
        <w:ind w:left="522"/>
        <w:rPr>
          <w:rFonts w:ascii="宋体" w:hAnsi="宋体" w:eastAsia="宋体" w:cs="宋体"/>
          <w:sz w:val="23"/>
          <w:szCs w:val="23"/>
        </w:rPr>
      </w:pPr>
      <w:r>
        <w:rPr>
          <w:rFonts w:ascii="Times New Roman" w:hAnsi="Times New Roman" w:eastAsia="Times New Roman" w:cs="Times New Roman"/>
          <w:spacing w:val="8"/>
          <w:position w:val="1"/>
          <w:sz w:val="23"/>
          <w:szCs w:val="23"/>
        </w:rPr>
        <w:t>1</w:t>
      </w:r>
      <w:r>
        <w:rPr>
          <w:rFonts w:ascii="Times New Roman" w:hAnsi="Times New Roman" w:eastAsia="Times New Roman" w:cs="Times New Roman"/>
          <w:spacing w:val="7"/>
          <w:position w:val="1"/>
          <w:sz w:val="23"/>
          <w:szCs w:val="23"/>
        </w:rPr>
        <w:t xml:space="preserve"> </w:t>
      </w:r>
      <w:r>
        <w:rPr>
          <w:rFonts w:ascii="宋体" w:hAnsi="宋体" w:eastAsia="宋体" w:cs="宋体"/>
          <w:spacing w:val="4"/>
          <w:position w:val="1"/>
          <w:sz w:val="23"/>
          <w:szCs w:val="23"/>
        </w:rPr>
        <w:t>、对提高本地区经济发展水平的影响</w:t>
      </w:r>
    </w:p>
    <w:p w14:paraId="51A7E146">
      <w:pPr>
        <w:spacing w:line="255" w:lineRule="auto"/>
        <w:rPr>
          <w:rFonts w:ascii="Arial"/>
          <w:sz w:val="21"/>
        </w:rPr>
      </w:pPr>
    </w:p>
    <w:p w14:paraId="46F409D6">
      <w:pPr>
        <w:spacing w:before="76" w:line="391" w:lineRule="auto"/>
        <w:ind w:left="24" w:right="13" w:firstLine="482"/>
        <w:rPr>
          <w:rFonts w:ascii="宋体" w:hAnsi="宋体" w:eastAsia="宋体" w:cs="宋体"/>
          <w:sz w:val="23"/>
          <w:szCs w:val="23"/>
        </w:rPr>
      </w:pPr>
      <w:r>
        <w:rPr>
          <w:rFonts w:ascii="宋体" w:hAnsi="宋体" w:eastAsia="宋体" w:cs="宋体"/>
          <w:spacing w:val="12"/>
          <w:sz w:val="23"/>
          <w:szCs w:val="23"/>
        </w:rPr>
        <w:t>该项目是</w:t>
      </w:r>
      <w:r>
        <w:rPr>
          <w:rFonts w:ascii="宋体" w:hAnsi="宋体" w:eastAsia="宋体" w:cs="宋体"/>
          <w:spacing w:val="7"/>
          <w:sz w:val="23"/>
          <w:szCs w:val="23"/>
        </w:rPr>
        <w:t>在</w:t>
      </w:r>
      <w:r>
        <w:rPr>
          <w:rFonts w:ascii="宋体" w:hAnsi="宋体" w:eastAsia="宋体" w:cs="宋体"/>
          <w:spacing w:val="6"/>
          <w:sz w:val="23"/>
          <w:szCs w:val="23"/>
        </w:rPr>
        <w:t>符合国家产业政策的情况下设立的，具有较高的技术含量，市场</w:t>
      </w:r>
      <w:r>
        <w:rPr>
          <w:rFonts w:ascii="宋体" w:hAnsi="宋体" w:eastAsia="宋体" w:cs="宋体"/>
          <w:sz w:val="23"/>
          <w:szCs w:val="23"/>
        </w:rPr>
        <w:t xml:space="preserve"> </w:t>
      </w:r>
      <w:r>
        <w:rPr>
          <w:rFonts w:ascii="宋体" w:hAnsi="宋体" w:eastAsia="宋体" w:cs="宋体"/>
          <w:spacing w:val="8"/>
          <w:sz w:val="23"/>
          <w:szCs w:val="23"/>
        </w:rPr>
        <w:t>前</w:t>
      </w:r>
      <w:r>
        <w:rPr>
          <w:rFonts w:ascii="宋体" w:hAnsi="宋体" w:eastAsia="宋体" w:cs="宋体"/>
          <w:spacing w:val="7"/>
          <w:sz w:val="23"/>
          <w:szCs w:val="23"/>
        </w:rPr>
        <w:t>景广阔。作为创新性产品，该项目的投产对促进本溪地方经济建设将发挥重要</w:t>
      </w:r>
      <w:r>
        <w:rPr>
          <w:rFonts w:ascii="宋体" w:hAnsi="宋体" w:eastAsia="宋体" w:cs="宋体"/>
          <w:sz w:val="23"/>
          <w:szCs w:val="23"/>
        </w:rPr>
        <w:t xml:space="preserve"> </w:t>
      </w:r>
      <w:r>
        <w:rPr>
          <w:rFonts w:ascii="宋体" w:hAnsi="宋体" w:eastAsia="宋体" w:cs="宋体"/>
          <w:spacing w:val="9"/>
          <w:sz w:val="23"/>
          <w:szCs w:val="23"/>
        </w:rPr>
        <w:t>作用，对本地区经济发展有积极地推动作用</w:t>
      </w:r>
      <w:r>
        <w:rPr>
          <w:rFonts w:ascii="宋体" w:hAnsi="宋体" w:eastAsia="宋体" w:cs="宋体"/>
          <w:spacing w:val="8"/>
          <w:sz w:val="23"/>
          <w:szCs w:val="23"/>
        </w:rPr>
        <w:t>。</w:t>
      </w:r>
    </w:p>
    <w:p w14:paraId="5E879917">
      <w:pPr>
        <w:spacing w:before="135" w:line="303" w:lineRule="exact"/>
        <w:ind w:left="499"/>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2 </w:t>
      </w:r>
      <w:r>
        <w:rPr>
          <w:rFonts w:ascii="宋体" w:hAnsi="宋体" w:eastAsia="宋体" w:cs="宋体"/>
          <w:spacing w:val="2"/>
          <w:position w:val="1"/>
          <w:sz w:val="23"/>
          <w:szCs w:val="23"/>
        </w:rPr>
        <w:t>、</w:t>
      </w:r>
      <w:r>
        <w:rPr>
          <w:rFonts w:ascii="宋体" w:hAnsi="宋体" w:eastAsia="宋体" w:cs="宋体"/>
          <w:spacing w:val="1"/>
          <w:position w:val="1"/>
          <w:sz w:val="23"/>
          <w:szCs w:val="23"/>
        </w:rPr>
        <w:t>就业效益分析</w:t>
      </w:r>
    </w:p>
    <w:p w14:paraId="36158DBB">
      <w:pPr>
        <w:spacing w:line="258" w:lineRule="auto"/>
        <w:rPr>
          <w:rFonts w:ascii="Arial"/>
          <w:sz w:val="21"/>
        </w:rPr>
      </w:pPr>
    </w:p>
    <w:p w14:paraId="45EBB7B5">
      <w:pPr>
        <w:spacing w:before="75" w:line="390" w:lineRule="auto"/>
        <w:ind w:left="29" w:right="13" w:firstLine="477"/>
        <w:rPr>
          <w:rFonts w:ascii="宋体" w:hAnsi="宋体" w:eastAsia="宋体" w:cs="宋体"/>
          <w:sz w:val="23"/>
          <w:szCs w:val="23"/>
        </w:rPr>
      </w:pPr>
      <w:r>
        <w:rPr>
          <w:rFonts w:ascii="宋体" w:hAnsi="宋体" w:eastAsia="宋体" w:cs="宋体"/>
          <w:spacing w:val="8"/>
          <w:sz w:val="23"/>
          <w:szCs w:val="23"/>
        </w:rPr>
        <w:t xml:space="preserve">该项目的建成将提供 </w:t>
      </w:r>
      <w:r>
        <w:rPr>
          <w:rFonts w:ascii="Times New Roman" w:hAnsi="Times New Roman" w:eastAsia="Times New Roman" w:cs="Times New Roman"/>
          <w:spacing w:val="8"/>
          <w:sz w:val="23"/>
          <w:szCs w:val="23"/>
        </w:rPr>
        <w:t xml:space="preserve">80 </w:t>
      </w:r>
      <w:r>
        <w:rPr>
          <w:rFonts w:ascii="宋体" w:hAnsi="宋体" w:eastAsia="宋体" w:cs="宋体"/>
          <w:spacing w:val="8"/>
          <w:sz w:val="23"/>
          <w:szCs w:val="23"/>
        </w:rPr>
        <w:t>个就业岗位，可以解决部分剩余劳动力就业问题。</w:t>
      </w:r>
      <w:r>
        <w:rPr>
          <w:rFonts w:ascii="宋体" w:hAnsi="宋体" w:eastAsia="宋体" w:cs="宋体"/>
          <w:sz w:val="23"/>
          <w:szCs w:val="23"/>
        </w:rPr>
        <w:t xml:space="preserve"> </w:t>
      </w:r>
      <w:r>
        <w:rPr>
          <w:rFonts w:ascii="宋体" w:hAnsi="宋体" w:eastAsia="宋体" w:cs="宋体"/>
          <w:spacing w:val="7"/>
          <w:sz w:val="23"/>
          <w:szCs w:val="23"/>
        </w:rPr>
        <w:t>同时，建成的塑料颗粒产品的生产和销售可以带动周过地区的配套产业发展，</w:t>
      </w:r>
      <w:r>
        <w:rPr>
          <w:rFonts w:ascii="宋体" w:hAnsi="宋体" w:eastAsia="宋体" w:cs="宋体"/>
          <w:spacing w:val="2"/>
          <w:sz w:val="23"/>
          <w:szCs w:val="23"/>
        </w:rPr>
        <w:t>提</w:t>
      </w:r>
      <w:r>
        <w:rPr>
          <w:rFonts w:ascii="宋体" w:hAnsi="宋体" w:eastAsia="宋体" w:cs="宋体"/>
          <w:sz w:val="23"/>
          <w:szCs w:val="23"/>
        </w:rPr>
        <w:t xml:space="preserve"> </w:t>
      </w:r>
      <w:r>
        <w:rPr>
          <w:rFonts w:ascii="宋体" w:hAnsi="宋体" w:eastAsia="宋体" w:cs="宋体"/>
          <w:spacing w:val="8"/>
          <w:sz w:val="23"/>
          <w:szCs w:val="23"/>
        </w:rPr>
        <w:t>高</w:t>
      </w:r>
      <w:r>
        <w:rPr>
          <w:rFonts w:ascii="宋体" w:hAnsi="宋体" w:eastAsia="宋体" w:cs="宋体"/>
          <w:spacing w:val="7"/>
          <w:sz w:val="23"/>
          <w:szCs w:val="23"/>
        </w:rPr>
        <w:t>当地的经济效益。</w:t>
      </w:r>
    </w:p>
    <w:p w14:paraId="75A39EC1">
      <w:pPr>
        <w:spacing w:before="137" w:line="303" w:lineRule="exact"/>
        <w:ind w:left="503"/>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3 </w:t>
      </w:r>
      <w:r>
        <w:rPr>
          <w:rFonts w:ascii="宋体" w:hAnsi="宋体" w:eastAsia="宋体" w:cs="宋体"/>
          <w:spacing w:val="1"/>
          <w:position w:val="1"/>
          <w:sz w:val="23"/>
          <w:szCs w:val="23"/>
        </w:rPr>
        <w:t>、税收效益</w:t>
      </w:r>
      <w:r>
        <w:rPr>
          <w:rFonts w:ascii="宋体" w:hAnsi="宋体" w:eastAsia="宋体" w:cs="宋体"/>
          <w:position w:val="1"/>
          <w:sz w:val="23"/>
          <w:szCs w:val="23"/>
        </w:rPr>
        <w:t>分析</w:t>
      </w:r>
    </w:p>
    <w:p w14:paraId="52CF7D8D">
      <w:pPr>
        <w:spacing w:line="257" w:lineRule="auto"/>
        <w:rPr>
          <w:rFonts w:ascii="Arial"/>
          <w:sz w:val="21"/>
        </w:rPr>
      </w:pPr>
    </w:p>
    <w:p w14:paraId="099A9539">
      <w:pPr>
        <w:spacing w:before="75" w:line="227" w:lineRule="auto"/>
        <w:ind w:left="507"/>
        <w:rPr>
          <w:rFonts w:ascii="宋体" w:hAnsi="宋体" w:eastAsia="宋体" w:cs="宋体"/>
          <w:sz w:val="23"/>
          <w:szCs w:val="23"/>
        </w:rPr>
      </w:pPr>
      <w:r>
        <w:rPr>
          <w:rFonts w:ascii="宋体" w:hAnsi="宋体" w:eastAsia="宋体" w:cs="宋体"/>
          <w:spacing w:val="17"/>
          <w:sz w:val="23"/>
          <w:szCs w:val="23"/>
        </w:rPr>
        <w:t>该</w:t>
      </w:r>
      <w:r>
        <w:rPr>
          <w:rFonts w:ascii="宋体" w:hAnsi="宋体" w:eastAsia="宋体" w:cs="宋体"/>
          <w:spacing w:val="9"/>
          <w:sz w:val="23"/>
          <w:szCs w:val="23"/>
        </w:rPr>
        <w:t>项目的建设对增加地方财政收入、加快当地的建设发展具有正面影响。</w:t>
      </w:r>
    </w:p>
    <w:p w14:paraId="3966A02E">
      <w:pPr>
        <w:sectPr>
          <w:headerReference r:id="rId313" w:type="default"/>
          <w:footerReference r:id="rId314" w:type="default"/>
          <w:pgSz w:w="11906" w:h="16839"/>
          <w:pgMar w:top="1132" w:right="1785" w:bottom="1182" w:left="1785" w:header="878" w:footer="1022" w:gutter="0"/>
          <w:cols w:space="720" w:num="1"/>
        </w:sectPr>
      </w:pPr>
    </w:p>
    <w:p w14:paraId="48FF6593">
      <w:pPr>
        <w:spacing w:line="316" w:lineRule="auto"/>
        <w:rPr>
          <w:rFonts w:ascii="Arial"/>
          <w:sz w:val="21"/>
        </w:rPr>
      </w:pPr>
      <w:r>
        <w:pict>
          <v:shape id="_x0000_s1374" o:spid="_x0000_s1374" style="position:absolute;left:0pt;margin-left:90pt;margin-top:57.35pt;height:0.75pt;width:415.3pt;mso-position-horizontal-relative:page;mso-position-vertical-relative:page;z-index:252069888;mso-width-relative:page;mso-height-relative:page;" fillcolor="#000000" filled="t" stroked="f" coordsize="8305,15" o:allowincell="f" path="m0,0l8305,0,8305,14,0,14,0,0xe">
            <v:path/>
            <v:fill on="t" focussize="0,0"/>
            <v:stroke on="f"/>
            <v:imagedata o:title=""/>
            <o:lock v:ext="edit"/>
          </v:shape>
        </w:pict>
      </w:r>
    </w:p>
    <w:p w14:paraId="23B0E33F">
      <w:pPr>
        <w:spacing w:before="100" w:line="225" w:lineRule="auto"/>
        <w:ind w:left="53"/>
        <w:outlineLvl w:val="1"/>
        <w:rPr>
          <w:rFonts w:ascii="宋体" w:hAnsi="宋体" w:eastAsia="宋体" w:cs="宋体"/>
          <w:sz w:val="31"/>
          <w:szCs w:val="31"/>
        </w:rPr>
      </w:pPr>
      <w:bookmarkStart w:id="39" w:name="_bookmark40"/>
      <w:bookmarkEnd w:id="39"/>
      <w:r>
        <w:rPr>
          <w:rFonts w:ascii="Times New Roman" w:hAnsi="Times New Roman" w:eastAsia="Times New Roman" w:cs="Times New Roman"/>
          <w:b/>
          <w:bCs/>
          <w:spacing w:val="9"/>
          <w:sz w:val="31"/>
          <w:szCs w:val="31"/>
        </w:rPr>
        <w:t>8</w:t>
      </w:r>
      <w:r>
        <w:rPr>
          <w:rFonts w:ascii="Times New Roman" w:hAnsi="Times New Roman" w:eastAsia="Times New Roman" w:cs="Times New Roman"/>
          <w:b/>
          <w:bCs/>
          <w:spacing w:val="7"/>
          <w:sz w:val="31"/>
          <w:szCs w:val="31"/>
        </w:rPr>
        <w:t>.3</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项目经济效益情况</w:t>
      </w:r>
    </w:p>
    <w:p w14:paraId="190AF3A8">
      <w:pPr>
        <w:spacing w:line="250" w:lineRule="auto"/>
        <w:rPr>
          <w:rFonts w:ascii="Arial"/>
          <w:sz w:val="21"/>
        </w:rPr>
      </w:pPr>
    </w:p>
    <w:p w14:paraId="4CC534B9">
      <w:pPr>
        <w:tabs>
          <w:tab w:val="left" w:pos="177"/>
        </w:tabs>
        <w:spacing w:before="75" w:line="390" w:lineRule="auto"/>
        <w:ind w:left="54" w:firstLine="480"/>
        <w:rPr>
          <w:rFonts w:ascii="宋体" w:hAnsi="宋体" w:eastAsia="宋体" w:cs="宋体"/>
          <w:sz w:val="23"/>
          <w:szCs w:val="23"/>
        </w:rPr>
      </w:pPr>
      <w:r>
        <w:rPr>
          <w:rFonts w:ascii="宋体" w:hAnsi="宋体" w:eastAsia="宋体" w:cs="宋体"/>
          <w:spacing w:val="12"/>
          <w:sz w:val="23"/>
          <w:szCs w:val="23"/>
        </w:rPr>
        <w:t>项目经济</w:t>
      </w:r>
      <w:r>
        <w:rPr>
          <w:rFonts w:ascii="宋体" w:hAnsi="宋体" w:eastAsia="宋体" w:cs="宋体"/>
          <w:spacing w:val="7"/>
          <w:sz w:val="23"/>
          <w:szCs w:val="23"/>
        </w:rPr>
        <w:t>评</w:t>
      </w:r>
      <w:r>
        <w:rPr>
          <w:rFonts w:ascii="宋体" w:hAnsi="宋体" w:eastAsia="宋体" w:cs="宋体"/>
          <w:spacing w:val="6"/>
          <w:sz w:val="23"/>
          <w:szCs w:val="23"/>
        </w:rPr>
        <w:t>价执行国家计委和建设部发布的《建设项目经济评价方法和参数</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0"/>
          <w:sz w:val="23"/>
          <w:szCs w:val="23"/>
        </w:rPr>
        <w:t>(</w:t>
      </w:r>
      <w:r>
        <w:rPr>
          <w:rFonts w:ascii="宋体" w:hAnsi="宋体" w:eastAsia="宋体" w:cs="宋体"/>
          <w:spacing w:val="5"/>
          <w:sz w:val="23"/>
          <w:szCs w:val="23"/>
        </w:rPr>
        <w:t>第三版)》及国家现行的有关财务规定，项目投资利润率高于行业基本利润率，</w:t>
      </w:r>
      <w:r>
        <w:rPr>
          <w:rFonts w:ascii="宋体" w:hAnsi="宋体" w:eastAsia="宋体" w:cs="宋体"/>
          <w:sz w:val="23"/>
          <w:szCs w:val="23"/>
        </w:rPr>
        <w:t xml:space="preserve"> </w:t>
      </w:r>
      <w:r>
        <w:rPr>
          <w:rFonts w:ascii="宋体" w:hAnsi="宋体" w:eastAsia="宋体" w:cs="宋体"/>
          <w:spacing w:val="11"/>
          <w:sz w:val="23"/>
          <w:szCs w:val="23"/>
        </w:rPr>
        <w:t>投</w:t>
      </w:r>
      <w:r>
        <w:rPr>
          <w:rFonts w:ascii="宋体" w:hAnsi="宋体" w:eastAsia="宋体" w:cs="宋体"/>
          <w:spacing w:val="9"/>
          <w:sz w:val="23"/>
          <w:szCs w:val="23"/>
        </w:rPr>
        <w:t>资回收期较短，财务内部收益率较高，经济效益良好。</w:t>
      </w:r>
    </w:p>
    <w:p w14:paraId="2A100949">
      <w:pPr>
        <w:spacing w:before="38" w:line="225" w:lineRule="auto"/>
        <w:ind w:left="53"/>
        <w:outlineLvl w:val="1"/>
        <w:rPr>
          <w:rFonts w:ascii="宋体" w:hAnsi="宋体" w:eastAsia="宋体" w:cs="宋体"/>
          <w:sz w:val="31"/>
          <w:szCs w:val="31"/>
        </w:rPr>
      </w:pPr>
      <w:bookmarkStart w:id="40" w:name="_bookmark41"/>
      <w:bookmarkEnd w:id="40"/>
      <w:r>
        <w:rPr>
          <w:rFonts w:ascii="Times New Roman" w:hAnsi="Times New Roman" w:eastAsia="Times New Roman" w:cs="Times New Roman"/>
          <w:b/>
          <w:bCs/>
          <w:spacing w:val="9"/>
          <w:sz w:val="31"/>
          <w:szCs w:val="31"/>
        </w:rPr>
        <w:t>8</w:t>
      </w:r>
      <w:r>
        <w:rPr>
          <w:rFonts w:ascii="Times New Roman" w:hAnsi="Times New Roman" w:eastAsia="Times New Roman" w:cs="Times New Roman"/>
          <w:b/>
          <w:bCs/>
          <w:spacing w:val="7"/>
          <w:sz w:val="31"/>
          <w:szCs w:val="31"/>
        </w:rPr>
        <w:t>.4</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项目环境效益分析</w:t>
      </w:r>
    </w:p>
    <w:p w14:paraId="45CC7ED5">
      <w:pPr>
        <w:spacing w:before="243" w:line="224" w:lineRule="auto"/>
        <w:ind w:left="52"/>
        <w:outlineLvl w:val="2"/>
        <w:rPr>
          <w:rFonts w:ascii="宋体" w:hAnsi="宋体" w:eastAsia="宋体" w:cs="宋体"/>
          <w:sz w:val="29"/>
          <w:szCs w:val="29"/>
        </w:rPr>
      </w:pPr>
      <w:r>
        <w:rPr>
          <w:rFonts w:ascii="Times New Roman" w:hAnsi="Times New Roman" w:eastAsia="Times New Roman" w:cs="Times New Roman"/>
          <w:b/>
          <w:bCs/>
          <w:spacing w:val="8"/>
          <w:sz w:val="29"/>
          <w:szCs w:val="29"/>
        </w:rPr>
        <w:t>8.4.1</w:t>
      </w:r>
      <w:r>
        <w:rPr>
          <w:rFonts w:ascii="Times New Roman" w:hAnsi="Times New Roman" w:eastAsia="Times New Roman" w:cs="Times New Roman"/>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污染防治设施的投资估</w:t>
      </w:r>
      <w:r>
        <w:rPr>
          <w:rFonts w:ascii="宋体" w:hAnsi="宋体" w:eastAsia="宋体" w:cs="宋体"/>
          <w:spacing w:val="5"/>
          <w:sz w:val="29"/>
          <w:szCs w:val="29"/>
          <w14:textOutline w14:w="5448" w14:cap="sq" w14:cmpd="sng">
            <w14:solidFill>
              <w14:srgbClr w14:val="000000"/>
            </w14:solidFill>
            <w14:prstDash w14:val="solid"/>
            <w14:bevel/>
          </w14:textOutline>
        </w:rPr>
        <w:t>算</w:t>
      </w:r>
    </w:p>
    <w:p w14:paraId="57E18983">
      <w:pPr>
        <w:spacing w:before="261" w:line="395" w:lineRule="auto"/>
        <w:ind w:left="52" w:right="63" w:firstLine="482"/>
        <w:rPr>
          <w:rFonts w:ascii="宋体" w:hAnsi="宋体" w:eastAsia="宋体" w:cs="宋体"/>
          <w:sz w:val="23"/>
          <w:szCs w:val="23"/>
        </w:rPr>
      </w:pPr>
      <w:r>
        <w:rPr>
          <w:rFonts w:ascii="宋体" w:hAnsi="宋体" w:eastAsia="宋体" w:cs="宋体"/>
          <w:spacing w:val="-1"/>
          <w:sz w:val="23"/>
          <w:szCs w:val="23"/>
        </w:rPr>
        <w:t xml:space="preserve">项目总投资为 </w:t>
      </w:r>
      <w:r>
        <w:rPr>
          <w:rFonts w:ascii="Times New Roman" w:hAnsi="Times New Roman" w:eastAsia="Times New Roman" w:cs="Times New Roman"/>
          <w:spacing w:val="-1"/>
          <w:sz w:val="23"/>
          <w:szCs w:val="23"/>
        </w:rPr>
        <w:t xml:space="preserve">4300 </w:t>
      </w:r>
      <w:r>
        <w:rPr>
          <w:rFonts w:ascii="宋体" w:hAnsi="宋体" w:eastAsia="宋体" w:cs="宋体"/>
          <w:spacing w:val="-1"/>
          <w:sz w:val="23"/>
          <w:szCs w:val="23"/>
        </w:rPr>
        <w:t xml:space="preserve">万元，环保投资估算为 </w:t>
      </w:r>
      <w:r>
        <w:rPr>
          <w:rFonts w:ascii="Times New Roman" w:hAnsi="Times New Roman" w:eastAsia="Times New Roman" w:cs="Times New Roman"/>
          <w:spacing w:val="-1"/>
          <w:sz w:val="23"/>
          <w:szCs w:val="23"/>
        </w:rPr>
        <w:t>87.</w:t>
      </w:r>
      <w:r>
        <w:rPr>
          <w:rFonts w:ascii="Times New Roman" w:hAnsi="Times New Roman" w:eastAsia="Times New Roman" w:cs="Times New Roman"/>
          <w:sz w:val="23"/>
          <w:szCs w:val="23"/>
        </w:rPr>
        <w:t xml:space="preserve"> 1 </w:t>
      </w:r>
      <w:r>
        <w:rPr>
          <w:rFonts w:ascii="宋体" w:hAnsi="宋体" w:eastAsia="宋体" w:cs="宋体"/>
          <w:sz w:val="23"/>
          <w:szCs w:val="23"/>
        </w:rPr>
        <w:t xml:space="preserve">万元，占总投资的 </w:t>
      </w:r>
      <w:r>
        <w:rPr>
          <w:rFonts w:ascii="Times New Roman" w:hAnsi="Times New Roman" w:eastAsia="Times New Roman" w:cs="Times New Roman"/>
          <w:sz w:val="23"/>
          <w:szCs w:val="23"/>
        </w:rPr>
        <w:t>2.0%</w:t>
      </w:r>
      <w:r>
        <w:rPr>
          <w:rFonts w:ascii="宋体" w:hAnsi="宋体" w:eastAsia="宋体" w:cs="宋体"/>
          <w:sz w:val="23"/>
          <w:szCs w:val="23"/>
        </w:rPr>
        <w:t xml:space="preserve">。环 </w:t>
      </w:r>
      <w:r>
        <w:rPr>
          <w:rFonts w:ascii="宋体" w:hAnsi="宋体" w:eastAsia="宋体" w:cs="宋体"/>
          <w:spacing w:val="-4"/>
          <w:sz w:val="23"/>
          <w:szCs w:val="23"/>
        </w:rPr>
        <w:t>保</w:t>
      </w:r>
      <w:r>
        <w:rPr>
          <w:rFonts w:ascii="宋体" w:hAnsi="宋体" w:eastAsia="宋体" w:cs="宋体"/>
          <w:spacing w:val="-3"/>
          <w:sz w:val="23"/>
          <w:szCs w:val="23"/>
        </w:rPr>
        <w:t>投</w:t>
      </w:r>
      <w:r>
        <w:rPr>
          <w:rFonts w:ascii="宋体" w:hAnsi="宋体" w:eastAsia="宋体" w:cs="宋体"/>
          <w:spacing w:val="-2"/>
          <w:sz w:val="23"/>
          <w:szCs w:val="23"/>
        </w:rPr>
        <w:t xml:space="preserve">资估算详见表 </w:t>
      </w:r>
      <w:r>
        <w:rPr>
          <w:rFonts w:ascii="Times New Roman" w:hAnsi="Times New Roman" w:eastAsia="Times New Roman" w:cs="Times New Roman"/>
          <w:spacing w:val="-2"/>
          <w:sz w:val="23"/>
          <w:szCs w:val="23"/>
        </w:rPr>
        <w:t>8- 1</w:t>
      </w:r>
      <w:r>
        <w:rPr>
          <w:rFonts w:ascii="宋体" w:hAnsi="宋体" w:eastAsia="宋体" w:cs="宋体"/>
          <w:spacing w:val="-2"/>
          <w:sz w:val="23"/>
          <w:szCs w:val="23"/>
        </w:rPr>
        <w:t>。</w:t>
      </w:r>
    </w:p>
    <w:p w14:paraId="3C5E3CD4">
      <w:pPr>
        <w:spacing w:before="169" w:line="228" w:lineRule="auto"/>
        <w:ind w:left="333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3"/>
          <w:sz w:val="20"/>
          <w:szCs w:val="20"/>
        </w:rPr>
        <w:t>8-1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环保投资明细表</w:t>
      </w:r>
    </w:p>
    <w:p w14:paraId="16FDA7C0">
      <w:pPr>
        <w:spacing w:line="29" w:lineRule="exact"/>
      </w:pPr>
    </w:p>
    <w:tbl>
      <w:tblPr>
        <w:tblStyle w:val="4"/>
        <w:tblW w:w="83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596"/>
        <w:gridCol w:w="5321"/>
        <w:gridCol w:w="921"/>
      </w:tblGrid>
      <w:tr w14:paraId="1B59F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552" w:type="dxa"/>
            <w:tcBorders>
              <w:left w:val="nil"/>
            </w:tcBorders>
            <w:vAlign w:val="top"/>
          </w:tcPr>
          <w:p w14:paraId="486E6035">
            <w:pPr>
              <w:spacing w:before="266" w:line="229" w:lineRule="auto"/>
              <w:ind w:left="7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596" w:type="dxa"/>
            <w:vAlign w:val="top"/>
          </w:tcPr>
          <w:p w14:paraId="4B31DAE3">
            <w:pPr>
              <w:spacing w:before="267" w:line="228" w:lineRule="auto"/>
              <w:ind w:left="38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投资项</w:t>
            </w:r>
            <w:r>
              <w:rPr>
                <w:rFonts w:ascii="宋体" w:hAnsi="宋体" w:eastAsia="宋体" w:cs="宋体"/>
                <w:spacing w:val="7"/>
                <w:sz w:val="20"/>
                <w:szCs w:val="20"/>
                <w14:textOutline w14:w="3795" w14:cap="sq" w14:cmpd="sng">
                  <w14:solidFill>
                    <w14:srgbClr w14:val="000000"/>
                  </w14:solidFill>
                  <w14:prstDash w14:val="solid"/>
                  <w14:bevel/>
                </w14:textOutline>
              </w:rPr>
              <w:t>目</w:t>
            </w:r>
          </w:p>
        </w:tc>
        <w:tc>
          <w:tcPr>
            <w:tcW w:w="5321" w:type="dxa"/>
            <w:vAlign w:val="top"/>
          </w:tcPr>
          <w:p w14:paraId="0011086B">
            <w:pPr>
              <w:spacing w:before="266" w:line="228" w:lineRule="auto"/>
              <w:ind w:left="2003"/>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治</w:t>
            </w:r>
            <w:r>
              <w:rPr>
                <w:rFonts w:ascii="宋体" w:hAnsi="宋体" w:eastAsia="宋体" w:cs="宋体"/>
                <w:spacing w:val="18"/>
                <w:sz w:val="20"/>
                <w:szCs w:val="20"/>
                <w14:textOutline w14:w="3795" w14:cap="sq" w14:cmpd="sng">
                  <w14:solidFill>
                    <w14:srgbClr w14:val="000000"/>
                  </w14:solidFill>
                  <w14:prstDash w14:val="solid"/>
                  <w14:bevel/>
                </w14:textOutline>
              </w:rPr>
              <w:t>理设施内容</w:t>
            </w:r>
          </w:p>
        </w:tc>
        <w:tc>
          <w:tcPr>
            <w:tcW w:w="921" w:type="dxa"/>
            <w:tcBorders>
              <w:right w:val="nil"/>
            </w:tcBorders>
            <w:vAlign w:val="top"/>
          </w:tcPr>
          <w:p w14:paraId="0512187A">
            <w:pPr>
              <w:spacing w:before="101" w:line="262" w:lineRule="auto"/>
              <w:ind w:left="186" w:right="39" w:hanging="139"/>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投资估</w:t>
            </w:r>
            <w:r>
              <w:rPr>
                <w:rFonts w:ascii="宋体" w:hAnsi="宋体" w:eastAsia="宋体" w:cs="宋体"/>
                <w:spacing w:val="7"/>
                <w:sz w:val="20"/>
                <w:szCs w:val="20"/>
                <w14:textOutline w14:w="3795" w14:cap="sq" w14:cmpd="sng">
                  <w14:solidFill>
                    <w14:srgbClr w14:val="000000"/>
                  </w14:solidFill>
                  <w14:prstDash w14:val="solid"/>
                  <w14:bevel/>
                </w14:textOutline>
              </w:rPr>
              <w:t>算</w:t>
            </w:r>
            <w:r>
              <w:rPr>
                <w:rFonts w:ascii="宋体" w:hAnsi="宋体" w:eastAsia="宋体" w:cs="宋体"/>
                <w:sz w:val="20"/>
                <w:szCs w:val="20"/>
              </w:rPr>
              <w:t xml:space="preserve"> </w:t>
            </w:r>
            <w:r>
              <w:rPr>
                <w:rFonts w:ascii="Times New Roman" w:hAnsi="Times New Roman" w:eastAsia="Times New Roman" w:cs="Times New Roman"/>
                <w:b/>
                <w:bCs/>
                <w:spacing w:val="5"/>
                <w:sz w:val="20"/>
                <w:szCs w:val="20"/>
              </w:rPr>
              <w:t>(</w:t>
            </w:r>
            <w:r>
              <w:rPr>
                <w:rFonts w:ascii="宋体" w:hAnsi="宋体" w:eastAsia="宋体" w:cs="宋体"/>
                <w:spacing w:val="5"/>
                <w:sz w:val="20"/>
                <w:szCs w:val="20"/>
                <w14:textOutline w14:w="3795" w14:cap="sq" w14:cmpd="sng">
                  <w14:solidFill>
                    <w14:srgbClr w14:val="000000"/>
                  </w14:solidFill>
                  <w14:prstDash w14:val="solid"/>
                  <w14:bevel/>
                </w14:textOutline>
              </w:rPr>
              <w:t>万元</w:t>
            </w:r>
            <w:r>
              <w:rPr>
                <w:rFonts w:ascii="Times New Roman" w:hAnsi="Times New Roman" w:eastAsia="Times New Roman" w:cs="Times New Roman"/>
                <w:b/>
                <w:bCs/>
                <w:spacing w:val="5"/>
                <w:sz w:val="20"/>
                <w:szCs w:val="20"/>
              </w:rPr>
              <w:t>)</w:t>
            </w:r>
          </w:p>
        </w:tc>
      </w:tr>
      <w:tr w14:paraId="1D8F7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2" w:type="dxa"/>
            <w:tcBorders>
              <w:left w:val="nil"/>
            </w:tcBorders>
            <w:vAlign w:val="top"/>
          </w:tcPr>
          <w:p w14:paraId="29864885">
            <w:pPr>
              <w:spacing w:before="13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96" w:type="dxa"/>
            <w:vAlign w:val="top"/>
          </w:tcPr>
          <w:p w14:paraId="1BD5C1E5">
            <w:pPr>
              <w:spacing w:before="66" w:line="228" w:lineRule="auto"/>
              <w:ind w:left="56"/>
              <w:rPr>
                <w:rFonts w:ascii="宋体" w:hAnsi="宋体" w:eastAsia="宋体" w:cs="宋体"/>
                <w:sz w:val="20"/>
                <w:szCs w:val="20"/>
              </w:rPr>
            </w:pPr>
            <w:r>
              <w:rPr>
                <w:rFonts w:ascii="宋体" w:hAnsi="宋体" w:eastAsia="宋体" w:cs="宋体"/>
                <w:spacing w:val="11"/>
                <w:sz w:val="20"/>
                <w:szCs w:val="20"/>
              </w:rPr>
              <w:t>施</w:t>
            </w:r>
            <w:r>
              <w:rPr>
                <w:rFonts w:ascii="宋体" w:hAnsi="宋体" w:eastAsia="宋体" w:cs="宋体"/>
                <w:spacing w:val="10"/>
                <w:sz w:val="20"/>
                <w:szCs w:val="20"/>
              </w:rPr>
              <w:t>工期噪声治理</w:t>
            </w:r>
          </w:p>
        </w:tc>
        <w:tc>
          <w:tcPr>
            <w:tcW w:w="5321" w:type="dxa"/>
            <w:vAlign w:val="top"/>
          </w:tcPr>
          <w:p w14:paraId="7931D63B">
            <w:pPr>
              <w:spacing w:before="66" w:line="228" w:lineRule="auto"/>
              <w:ind w:left="1830"/>
              <w:rPr>
                <w:rFonts w:ascii="宋体" w:hAnsi="宋体" w:eastAsia="宋体" w:cs="宋体"/>
                <w:sz w:val="20"/>
                <w:szCs w:val="20"/>
              </w:rPr>
            </w:pPr>
            <w:r>
              <w:rPr>
                <w:rFonts w:ascii="宋体" w:hAnsi="宋体" w:eastAsia="宋体" w:cs="宋体"/>
                <w:spacing w:val="9"/>
                <w:sz w:val="20"/>
                <w:szCs w:val="20"/>
              </w:rPr>
              <w:t>消</w:t>
            </w:r>
            <w:r>
              <w:rPr>
                <w:rFonts w:ascii="宋体" w:hAnsi="宋体" w:eastAsia="宋体" w:cs="宋体"/>
                <w:spacing w:val="8"/>
                <w:sz w:val="20"/>
                <w:szCs w:val="20"/>
              </w:rPr>
              <w:t>声、隔声等措施</w:t>
            </w:r>
          </w:p>
        </w:tc>
        <w:tc>
          <w:tcPr>
            <w:tcW w:w="921" w:type="dxa"/>
            <w:tcBorders>
              <w:right w:val="nil"/>
            </w:tcBorders>
            <w:vAlign w:val="top"/>
          </w:tcPr>
          <w:p w14:paraId="0DDD1899">
            <w:pPr>
              <w:spacing w:before="101"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E3C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4252EF73">
            <w:pPr>
              <w:spacing w:before="12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96" w:type="dxa"/>
            <w:vAlign w:val="top"/>
          </w:tcPr>
          <w:p w14:paraId="4143B94F">
            <w:pPr>
              <w:spacing w:before="66" w:line="228" w:lineRule="auto"/>
              <w:ind w:left="56"/>
              <w:rPr>
                <w:rFonts w:ascii="宋体" w:hAnsi="宋体" w:eastAsia="宋体" w:cs="宋体"/>
                <w:sz w:val="20"/>
                <w:szCs w:val="20"/>
              </w:rPr>
            </w:pPr>
            <w:r>
              <w:rPr>
                <w:rFonts w:ascii="宋体" w:hAnsi="宋体" w:eastAsia="宋体" w:cs="宋体"/>
                <w:spacing w:val="11"/>
                <w:sz w:val="20"/>
                <w:szCs w:val="20"/>
              </w:rPr>
              <w:t>施</w:t>
            </w:r>
            <w:r>
              <w:rPr>
                <w:rFonts w:ascii="宋体" w:hAnsi="宋体" w:eastAsia="宋体" w:cs="宋体"/>
                <w:spacing w:val="10"/>
                <w:sz w:val="20"/>
                <w:szCs w:val="20"/>
              </w:rPr>
              <w:t>工期废水治理</w:t>
            </w:r>
          </w:p>
        </w:tc>
        <w:tc>
          <w:tcPr>
            <w:tcW w:w="5321" w:type="dxa"/>
            <w:vAlign w:val="top"/>
          </w:tcPr>
          <w:p w14:paraId="0CEDBDBF">
            <w:pPr>
              <w:spacing w:before="66" w:line="228" w:lineRule="auto"/>
              <w:ind w:left="1722"/>
              <w:rPr>
                <w:rFonts w:ascii="宋体" w:hAnsi="宋体" w:eastAsia="宋体" w:cs="宋体"/>
                <w:sz w:val="20"/>
                <w:szCs w:val="20"/>
              </w:rPr>
            </w:pPr>
            <w:r>
              <w:rPr>
                <w:rFonts w:ascii="宋体" w:hAnsi="宋体" w:eastAsia="宋体" w:cs="宋体"/>
                <w:spacing w:val="4"/>
                <w:sz w:val="20"/>
                <w:szCs w:val="20"/>
              </w:rPr>
              <w:t xml:space="preserve">建设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个临时沉淀池</w:t>
            </w:r>
          </w:p>
        </w:tc>
        <w:tc>
          <w:tcPr>
            <w:tcW w:w="921" w:type="dxa"/>
            <w:tcBorders>
              <w:right w:val="nil"/>
            </w:tcBorders>
            <w:vAlign w:val="top"/>
          </w:tcPr>
          <w:p w14:paraId="0AFAC313">
            <w:pPr>
              <w:spacing w:before="103"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B910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7BAAF441">
            <w:pPr>
              <w:spacing w:before="129"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96" w:type="dxa"/>
            <w:vAlign w:val="top"/>
          </w:tcPr>
          <w:p w14:paraId="0B6A7993">
            <w:pPr>
              <w:spacing w:before="67" w:line="228" w:lineRule="auto"/>
              <w:ind w:left="56"/>
              <w:rPr>
                <w:rFonts w:ascii="宋体" w:hAnsi="宋体" w:eastAsia="宋体" w:cs="宋体"/>
                <w:sz w:val="20"/>
                <w:szCs w:val="20"/>
              </w:rPr>
            </w:pPr>
            <w:r>
              <w:rPr>
                <w:rFonts w:ascii="宋体" w:hAnsi="宋体" w:eastAsia="宋体" w:cs="宋体"/>
                <w:spacing w:val="11"/>
                <w:sz w:val="20"/>
                <w:szCs w:val="20"/>
              </w:rPr>
              <w:t>施</w:t>
            </w:r>
            <w:r>
              <w:rPr>
                <w:rFonts w:ascii="宋体" w:hAnsi="宋体" w:eastAsia="宋体" w:cs="宋体"/>
                <w:spacing w:val="10"/>
                <w:sz w:val="20"/>
                <w:szCs w:val="20"/>
              </w:rPr>
              <w:t>工期废气治理</w:t>
            </w:r>
          </w:p>
        </w:tc>
        <w:tc>
          <w:tcPr>
            <w:tcW w:w="5321" w:type="dxa"/>
            <w:vAlign w:val="top"/>
          </w:tcPr>
          <w:p w14:paraId="346BB467">
            <w:pPr>
              <w:spacing w:before="67" w:line="228" w:lineRule="auto"/>
              <w:ind w:left="1510"/>
              <w:rPr>
                <w:rFonts w:ascii="宋体" w:hAnsi="宋体" w:eastAsia="宋体" w:cs="宋体"/>
                <w:sz w:val="20"/>
                <w:szCs w:val="20"/>
              </w:rPr>
            </w:pPr>
            <w:r>
              <w:rPr>
                <w:rFonts w:ascii="宋体" w:hAnsi="宋体" w:eastAsia="宋体" w:cs="宋体"/>
                <w:spacing w:val="11"/>
                <w:sz w:val="20"/>
                <w:szCs w:val="20"/>
              </w:rPr>
              <w:t>道</w:t>
            </w:r>
            <w:r>
              <w:rPr>
                <w:rFonts w:ascii="宋体" w:hAnsi="宋体" w:eastAsia="宋体" w:cs="宋体"/>
                <w:spacing w:val="9"/>
                <w:sz w:val="20"/>
                <w:szCs w:val="20"/>
              </w:rPr>
              <w:t>路洒水、原材料堆喷淋</w:t>
            </w:r>
          </w:p>
        </w:tc>
        <w:tc>
          <w:tcPr>
            <w:tcW w:w="921" w:type="dxa"/>
            <w:tcBorders>
              <w:right w:val="nil"/>
            </w:tcBorders>
            <w:vAlign w:val="top"/>
          </w:tcPr>
          <w:p w14:paraId="07747F26">
            <w:pPr>
              <w:spacing w:before="103"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5707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23957805">
            <w:pPr>
              <w:spacing w:before="130"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96" w:type="dxa"/>
            <w:vAlign w:val="top"/>
          </w:tcPr>
          <w:p w14:paraId="3CC665A6">
            <w:pPr>
              <w:spacing w:before="68" w:line="228" w:lineRule="auto"/>
              <w:ind w:left="56"/>
              <w:rPr>
                <w:rFonts w:ascii="宋体" w:hAnsi="宋体" w:eastAsia="宋体" w:cs="宋体"/>
                <w:sz w:val="20"/>
                <w:szCs w:val="20"/>
              </w:rPr>
            </w:pPr>
            <w:r>
              <w:rPr>
                <w:rFonts w:ascii="宋体" w:hAnsi="宋体" w:eastAsia="宋体" w:cs="宋体"/>
                <w:spacing w:val="11"/>
                <w:sz w:val="20"/>
                <w:szCs w:val="20"/>
              </w:rPr>
              <w:t>施</w:t>
            </w:r>
            <w:r>
              <w:rPr>
                <w:rFonts w:ascii="宋体" w:hAnsi="宋体" w:eastAsia="宋体" w:cs="宋体"/>
                <w:spacing w:val="10"/>
                <w:sz w:val="20"/>
                <w:szCs w:val="20"/>
              </w:rPr>
              <w:t>工期固废治理</w:t>
            </w:r>
          </w:p>
        </w:tc>
        <w:tc>
          <w:tcPr>
            <w:tcW w:w="5321" w:type="dxa"/>
            <w:vAlign w:val="top"/>
          </w:tcPr>
          <w:p w14:paraId="26950602">
            <w:pPr>
              <w:spacing w:before="67" w:line="228" w:lineRule="auto"/>
              <w:ind w:left="1974"/>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个垃圾收集箱</w:t>
            </w:r>
          </w:p>
        </w:tc>
        <w:tc>
          <w:tcPr>
            <w:tcW w:w="921" w:type="dxa"/>
            <w:tcBorders>
              <w:right w:val="nil"/>
            </w:tcBorders>
            <w:vAlign w:val="top"/>
          </w:tcPr>
          <w:p w14:paraId="41C6E647">
            <w:pPr>
              <w:spacing w:before="104"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14:paraId="40125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3" w:hRule="atLeast"/>
        </w:trPr>
        <w:tc>
          <w:tcPr>
            <w:tcW w:w="552" w:type="dxa"/>
            <w:tcBorders>
              <w:left w:val="nil"/>
            </w:tcBorders>
            <w:vAlign w:val="top"/>
          </w:tcPr>
          <w:p w14:paraId="54B358A1">
            <w:pPr>
              <w:spacing w:line="250" w:lineRule="auto"/>
              <w:rPr>
                <w:rFonts w:ascii="Arial"/>
                <w:sz w:val="21"/>
              </w:rPr>
            </w:pPr>
          </w:p>
          <w:p w14:paraId="0BC5A5B9">
            <w:pPr>
              <w:spacing w:line="250" w:lineRule="auto"/>
              <w:rPr>
                <w:rFonts w:ascii="Arial"/>
                <w:sz w:val="21"/>
              </w:rPr>
            </w:pPr>
          </w:p>
          <w:p w14:paraId="4C3113D5">
            <w:pPr>
              <w:spacing w:line="250" w:lineRule="auto"/>
              <w:rPr>
                <w:rFonts w:ascii="Arial"/>
                <w:sz w:val="21"/>
              </w:rPr>
            </w:pPr>
          </w:p>
          <w:p w14:paraId="4A06CC18">
            <w:pPr>
              <w:spacing w:line="251" w:lineRule="auto"/>
              <w:rPr>
                <w:rFonts w:ascii="Arial"/>
                <w:sz w:val="21"/>
              </w:rPr>
            </w:pPr>
          </w:p>
          <w:p w14:paraId="72490FB2">
            <w:pPr>
              <w:spacing w:line="251" w:lineRule="auto"/>
              <w:rPr>
                <w:rFonts w:ascii="Arial"/>
                <w:sz w:val="21"/>
              </w:rPr>
            </w:pPr>
          </w:p>
          <w:p w14:paraId="20996EAE">
            <w:pPr>
              <w:spacing w:line="251" w:lineRule="auto"/>
              <w:rPr>
                <w:rFonts w:ascii="Arial"/>
                <w:sz w:val="21"/>
              </w:rPr>
            </w:pPr>
          </w:p>
          <w:p w14:paraId="5C930F57">
            <w:pPr>
              <w:spacing w:line="251" w:lineRule="auto"/>
              <w:rPr>
                <w:rFonts w:ascii="Arial"/>
                <w:sz w:val="21"/>
              </w:rPr>
            </w:pPr>
          </w:p>
          <w:p w14:paraId="1CF08653">
            <w:pPr>
              <w:spacing w:before="58" w:line="192"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96" w:type="dxa"/>
            <w:vMerge w:val="restart"/>
            <w:tcBorders>
              <w:bottom w:val="nil"/>
            </w:tcBorders>
            <w:vAlign w:val="top"/>
          </w:tcPr>
          <w:p w14:paraId="118D49FD">
            <w:pPr>
              <w:spacing w:line="263" w:lineRule="auto"/>
              <w:rPr>
                <w:rFonts w:ascii="Arial"/>
                <w:sz w:val="21"/>
              </w:rPr>
            </w:pPr>
          </w:p>
          <w:p w14:paraId="7FAC71EE">
            <w:pPr>
              <w:spacing w:line="264" w:lineRule="auto"/>
              <w:rPr>
                <w:rFonts w:ascii="Arial"/>
                <w:sz w:val="21"/>
              </w:rPr>
            </w:pPr>
          </w:p>
          <w:p w14:paraId="27A546D7">
            <w:pPr>
              <w:spacing w:line="264" w:lineRule="auto"/>
              <w:rPr>
                <w:rFonts w:ascii="Arial"/>
                <w:sz w:val="21"/>
              </w:rPr>
            </w:pPr>
          </w:p>
          <w:p w14:paraId="07BEDD3F">
            <w:pPr>
              <w:spacing w:line="264" w:lineRule="auto"/>
              <w:rPr>
                <w:rFonts w:ascii="Arial"/>
                <w:sz w:val="21"/>
              </w:rPr>
            </w:pPr>
          </w:p>
          <w:p w14:paraId="285FC240">
            <w:pPr>
              <w:spacing w:line="264" w:lineRule="auto"/>
              <w:rPr>
                <w:rFonts w:ascii="Arial"/>
                <w:sz w:val="21"/>
              </w:rPr>
            </w:pPr>
          </w:p>
          <w:p w14:paraId="277163AD">
            <w:pPr>
              <w:spacing w:line="264" w:lineRule="auto"/>
              <w:rPr>
                <w:rFonts w:ascii="Arial"/>
                <w:sz w:val="21"/>
              </w:rPr>
            </w:pPr>
          </w:p>
          <w:p w14:paraId="38D36ABD">
            <w:pPr>
              <w:spacing w:line="264" w:lineRule="auto"/>
              <w:rPr>
                <w:rFonts w:ascii="Arial"/>
                <w:sz w:val="21"/>
              </w:rPr>
            </w:pPr>
          </w:p>
          <w:p w14:paraId="459293DE">
            <w:pPr>
              <w:spacing w:line="264" w:lineRule="auto"/>
              <w:rPr>
                <w:rFonts w:ascii="Arial"/>
                <w:sz w:val="21"/>
              </w:rPr>
            </w:pPr>
          </w:p>
          <w:p w14:paraId="5612E073">
            <w:pPr>
              <w:spacing w:line="264" w:lineRule="auto"/>
              <w:rPr>
                <w:rFonts w:ascii="Arial"/>
                <w:sz w:val="21"/>
              </w:rPr>
            </w:pPr>
          </w:p>
          <w:p w14:paraId="2E7180A6">
            <w:pPr>
              <w:spacing w:line="264" w:lineRule="auto"/>
              <w:rPr>
                <w:rFonts w:ascii="Arial"/>
                <w:sz w:val="21"/>
              </w:rPr>
            </w:pPr>
          </w:p>
          <w:p w14:paraId="1A134CB8">
            <w:pPr>
              <w:spacing w:before="65" w:line="228" w:lineRule="auto"/>
              <w:ind w:left="57"/>
              <w:rPr>
                <w:rFonts w:ascii="宋体" w:hAnsi="宋体" w:eastAsia="宋体" w:cs="宋体"/>
                <w:sz w:val="20"/>
                <w:szCs w:val="20"/>
              </w:rPr>
            </w:pPr>
            <w:r>
              <w:rPr>
                <w:rFonts w:ascii="宋体" w:hAnsi="宋体" w:eastAsia="宋体" w:cs="宋体"/>
                <w:spacing w:val="10"/>
                <w:sz w:val="20"/>
                <w:szCs w:val="20"/>
              </w:rPr>
              <w:t>运营期废气治理</w:t>
            </w:r>
          </w:p>
        </w:tc>
        <w:tc>
          <w:tcPr>
            <w:tcW w:w="5321" w:type="dxa"/>
            <w:vAlign w:val="top"/>
          </w:tcPr>
          <w:p w14:paraId="69490EE4">
            <w:pPr>
              <w:tabs>
                <w:tab w:val="left" w:pos="138"/>
              </w:tabs>
              <w:spacing w:before="72" w:line="286" w:lineRule="auto"/>
              <w:ind w:left="28" w:right="5" w:firstLine="3"/>
              <w:rPr>
                <w:rFonts w:ascii="宋体" w:hAnsi="宋体" w:eastAsia="宋体" w:cs="宋体"/>
                <w:sz w:val="20"/>
                <w:szCs w:val="20"/>
              </w:rPr>
            </w:pPr>
            <w:r>
              <w:rPr>
                <w:rFonts w:ascii="宋体" w:hAnsi="宋体" w:eastAsia="宋体" w:cs="宋体"/>
                <w:spacing w:val="16"/>
                <w:sz w:val="20"/>
                <w:szCs w:val="20"/>
              </w:rPr>
              <w:t xml:space="preserve">该项目在每条生产线的热熔造粒工序均设置 </w:t>
            </w:r>
            <w:r>
              <w:rPr>
                <w:rFonts w:ascii="Times New Roman" w:hAnsi="Times New Roman" w:eastAsia="Times New Roman" w:cs="Times New Roman"/>
                <w:spacing w:val="16"/>
                <w:sz w:val="20"/>
                <w:szCs w:val="20"/>
              </w:rPr>
              <w:t xml:space="preserve">1 </w:t>
            </w:r>
            <w:r>
              <w:rPr>
                <w:rFonts w:ascii="宋体" w:hAnsi="宋体" w:eastAsia="宋体" w:cs="宋体"/>
                <w:spacing w:val="16"/>
                <w:sz w:val="20"/>
                <w:szCs w:val="20"/>
              </w:rPr>
              <w:t>个集气</w:t>
            </w:r>
            <w:r>
              <w:rPr>
                <w:rFonts w:ascii="宋体" w:hAnsi="宋体" w:eastAsia="宋体" w:cs="宋体"/>
                <w:spacing w:val="13"/>
                <w:sz w:val="20"/>
                <w:szCs w:val="20"/>
              </w:rPr>
              <w:t>罩</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3"/>
                <w:sz w:val="20"/>
                <w:szCs w:val="20"/>
              </w:rPr>
              <w:t>(</w:t>
            </w:r>
            <w:r>
              <w:rPr>
                <w:rFonts w:ascii="宋体" w:hAnsi="宋体" w:eastAsia="宋体" w:cs="宋体"/>
                <w:spacing w:val="10"/>
                <w:sz w:val="20"/>
                <w:szCs w:val="20"/>
              </w:rPr>
              <w:t xml:space="preserve">集气罩采用伞形罩，在设备约 </w:t>
            </w:r>
            <w:r>
              <w:rPr>
                <w:rFonts w:ascii="Times New Roman" w:hAnsi="Times New Roman" w:eastAsia="Times New Roman" w:cs="Times New Roman"/>
                <w:spacing w:val="10"/>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的正上方，集气罩</w:t>
            </w:r>
            <w:r>
              <w:rPr>
                <w:rFonts w:ascii="宋体" w:hAnsi="宋体" w:eastAsia="宋体" w:cs="宋体"/>
                <w:sz w:val="20"/>
                <w:szCs w:val="20"/>
              </w:rPr>
              <w:t xml:space="preserve"> </w:t>
            </w:r>
            <w:r>
              <w:rPr>
                <w:rFonts w:ascii="宋体" w:hAnsi="宋体" w:eastAsia="宋体" w:cs="宋体"/>
                <w:spacing w:val="4"/>
                <w:sz w:val="20"/>
                <w:szCs w:val="20"/>
              </w:rPr>
              <w:t>集</w:t>
            </w:r>
            <w:r>
              <w:rPr>
                <w:rFonts w:ascii="宋体" w:hAnsi="宋体" w:eastAsia="宋体" w:cs="宋体"/>
                <w:spacing w:val="3"/>
                <w:sz w:val="20"/>
                <w:szCs w:val="20"/>
              </w:rPr>
              <w:t>气</w:t>
            </w:r>
            <w:r>
              <w:rPr>
                <w:rFonts w:ascii="宋体" w:hAnsi="宋体" w:eastAsia="宋体" w:cs="宋体"/>
                <w:spacing w:val="2"/>
                <w:sz w:val="20"/>
                <w:szCs w:val="20"/>
              </w:rPr>
              <w:t xml:space="preserve">效率为 </w:t>
            </w:r>
            <w:r>
              <w:rPr>
                <w:rFonts w:ascii="Times New Roman" w:hAnsi="Times New Roman" w:eastAsia="Times New Roman" w:cs="Times New Roman"/>
                <w:spacing w:val="2"/>
                <w:sz w:val="20"/>
                <w:szCs w:val="20"/>
              </w:rPr>
              <w:t>90%</w:t>
            </w:r>
            <w:r>
              <w:rPr>
                <w:rFonts w:ascii="宋体" w:hAnsi="宋体" w:eastAsia="宋体" w:cs="宋体"/>
                <w:spacing w:val="2"/>
                <w:sz w:val="20"/>
                <w:szCs w:val="20"/>
              </w:rPr>
              <w:t xml:space="preserve">) ，共计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个集气罩。与此同时，项目设</w:t>
            </w:r>
            <w:r>
              <w:rPr>
                <w:rFonts w:ascii="宋体" w:hAnsi="宋体" w:eastAsia="宋体" w:cs="宋体"/>
                <w:sz w:val="20"/>
                <w:szCs w:val="20"/>
              </w:rPr>
              <w:t xml:space="preserve"> </w:t>
            </w:r>
            <w:r>
              <w:rPr>
                <w:rFonts w:ascii="宋体" w:hAnsi="宋体" w:eastAsia="宋体" w:cs="宋体"/>
                <w:spacing w:val="8"/>
                <w:sz w:val="20"/>
                <w:szCs w:val="20"/>
              </w:rPr>
              <w:t xml:space="preserve">有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台 </w:t>
            </w:r>
            <w:r>
              <w:rPr>
                <w:rFonts w:ascii="Times New Roman" w:hAnsi="Times New Roman" w:eastAsia="Times New Roman" w:cs="Times New Roman"/>
                <w:sz w:val="20"/>
                <w:szCs w:val="20"/>
              </w:rPr>
              <w:t>UV</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光氧催化废气处理装置以及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台活性炭吸附装</w:t>
            </w:r>
          </w:p>
          <w:p w14:paraId="2A0003A5">
            <w:pPr>
              <w:spacing w:before="2" w:line="278" w:lineRule="auto"/>
              <w:ind w:left="26"/>
              <w:rPr>
                <w:rFonts w:ascii="宋体" w:hAnsi="宋体" w:eastAsia="宋体" w:cs="宋体"/>
                <w:sz w:val="20"/>
                <w:szCs w:val="20"/>
              </w:rPr>
            </w:pPr>
            <w:r>
              <w:rPr>
                <w:rFonts w:ascii="宋体" w:hAnsi="宋体" w:eastAsia="宋体" w:cs="宋体"/>
                <w:spacing w:val="-1"/>
                <w:sz w:val="20"/>
                <w:szCs w:val="20"/>
              </w:rPr>
              <w:t>置，</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台 </w:t>
            </w:r>
            <w:r>
              <w:rPr>
                <w:rFonts w:ascii="Times New Roman" w:hAnsi="Times New Roman" w:eastAsia="Times New Roman" w:cs="Times New Roman"/>
                <w:sz w:val="20"/>
                <w:szCs w:val="20"/>
              </w:rPr>
              <w:t xml:space="preserve">UV </w:t>
            </w:r>
            <w:r>
              <w:rPr>
                <w:rFonts w:ascii="宋体" w:hAnsi="宋体" w:eastAsia="宋体" w:cs="宋体"/>
                <w:sz w:val="20"/>
                <w:szCs w:val="20"/>
              </w:rPr>
              <w:t xml:space="preserve">光氧催化废气处理装置和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台活性炭吸附装置 </w:t>
            </w:r>
            <w:r>
              <w:rPr>
                <w:rFonts w:ascii="宋体" w:hAnsi="宋体" w:eastAsia="宋体" w:cs="宋体"/>
                <w:spacing w:val="-1"/>
                <w:sz w:val="20"/>
                <w:szCs w:val="20"/>
              </w:rPr>
              <w:t xml:space="preserve">组成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套废气治理装置</w:t>
            </w:r>
            <w:r>
              <w:rPr>
                <w:rFonts w:ascii="宋体" w:hAnsi="宋体" w:eastAsia="宋体" w:cs="宋体"/>
                <w:sz w:val="20"/>
                <w:szCs w:val="20"/>
              </w:rPr>
              <w:t xml:space="preserve">，则厂区内共计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套废气治理装置， </w:t>
            </w:r>
            <w:r>
              <w:rPr>
                <w:rFonts w:ascii="宋体" w:hAnsi="宋体" w:eastAsia="宋体" w:cs="宋体"/>
                <w:spacing w:val="7"/>
                <w:sz w:val="20"/>
                <w:szCs w:val="20"/>
              </w:rPr>
              <w:t xml:space="preserve">分别位于生产厂房东侧、西侧中部。该项目每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条生产</w:t>
            </w:r>
            <w:r>
              <w:rPr>
                <w:rFonts w:ascii="宋体" w:hAnsi="宋体" w:eastAsia="宋体" w:cs="宋体"/>
                <w:spacing w:val="2"/>
                <w:sz w:val="20"/>
                <w:szCs w:val="20"/>
              </w:rPr>
              <w:t>线</w:t>
            </w:r>
            <w:r>
              <w:rPr>
                <w:rFonts w:ascii="宋体" w:hAnsi="宋体" w:eastAsia="宋体" w:cs="宋体"/>
                <w:sz w:val="20"/>
                <w:szCs w:val="20"/>
              </w:rPr>
              <w:t xml:space="preserve"> </w:t>
            </w:r>
            <w:r>
              <w:rPr>
                <w:rFonts w:ascii="宋体" w:hAnsi="宋体" w:eastAsia="宋体" w:cs="宋体"/>
                <w:spacing w:val="7"/>
                <w:sz w:val="20"/>
                <w:szCs w:val="20"/>
              </w:rPr>
              <w:t xml:space="preserve">共用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套废气处理设施，集气罩收集后的有机废气经由</w:t>
            </w:r>
            <w:r>
              <w:rPr>
                <w:rFonts w:ascii="宋体" w:hAnsi="宋体" w:eastAsia="宋体" w:cs="宋体"/>
                <w:spacing w:val="2"/>
                <w:sz w:val="20"/>
                <w:szCs w:val="20"/>
              </w:rPr>
              <w:t>风</w:t>
            </w:r>
            <w:r>
              <w:rPr>
                <w:rFonts w:ascii="宋体" w:hAnsi="宋体" w:eastAsia="宋体" w:cs="宋体"/>
                <w:sz w:val="20"/>
                <w:szCs w:val="20"/>
              </w:rPr>
              <w:t xml:space="preserve"> </w:t>
            </w:r>
            <w:r>
              <w:rPr>
                <w:rFonts w:ascii="宋体" w:hAnsi="宋体" w:eastAsia="宋体" w:cs="宋体"/>
                <w:spacing w:val="11"/>
                <w:sz w:val="20"/>
                <w:szCs w:val="20"/>
              </w:rPr>
              <w:t xml:space="preserve">量为 </w:t>
            </w:r>
            <w:r>
              <w:rPr>
                <w:rFonts w:ascii="Times New Roman" w:hAnsi="Times New Roman" w:eastAsia="Times New Roman" w:cs="Times New Roman"/>
                <w:spacing w:val="11"/>
                <w:sz w:val="20"/>
                <w:szCs w:val="20"/>
              </w:rPr>
              <w:t>5000</w:t>
            </w:r>
            <w:r>
              <w:rPr>
                <w:rFonts w:ascii="Times New Roman" w:hAnsi="Times New Roman" w:eastAsia="Times New Roman" w:cs="Times New Roman"/>
                <w:sz w:val="20"/>
                <w:szCs w:val="20"/>
              </w:rPr>
              <w:t>m</w:t>
            </w:r>
            <w:r>
              <w:rPr>
                <w:rFonts w:ascii="Times New Roman" w:hAnsi="Times New Roman" w:eastAsia="Times New Roman" w:cs="Times New Roman"/>
                <w:spacing w:val="11"/>
                <w:position w:val="6"/>
                <w:sz w:val="13"/>
                <w:szCs w:val="13"/>
              </w:rPr>
              <w:t>3</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的引风机抽入每个厂房内各自设置的废气</w:t>
            </w:r>
            <w:r>
              <w:rPr>
                <w:rFonts w:ascii="宋体" w:hAnsi="宋体" w:eastAsia="宋体" w:cs="宋体"/>
                <w:sz w:val="20"/>
                <w:szCs w:val="20"/>
              </w:rPr>
              <w:t xml:space="preserve"> </w:t>
            </w:r>
            <w:r>
              <w:rPr>
                <w:rFonts w:ascii="宋体" w:hAnsi="宋体" w:eastAsia="宋体" w:cs="宋体"/>
                <w:spacing w:val="6"/>
                <w:sz w:val="20"/>
                <w:szCs w:val="20"/>
              </w:rPr>
              <w:t>治</w:t>
            </w:r>
            <w:r>
              <w:rPr>
                <w:rFonts w:ascii="宋体" w:hAnsi="宋体" w:eastAsia="宋体" w:cs="宋体"/>
                <w:spacing w:val="4"/>
                <w:sz w:val="20"/>
                <w:szCs w:val="20"/>
              </w:rPr>
              <w:t>理</w:t>
            </w:r>
            <w:r>
              <w:rPr>
                <w:rFonts w:ascii="宋体" w:hAnsi="宋体" w:eastAsia="宋体" w:cs="宋体"/>
                <w:spacing w:val="3"/>
                <w:sz w:val="20"/>
                <w:szCs w:val="20"/>
              </w:rPr>
              <w:t xml:space="preserve">装置中，经过 </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光氧催化废气处理装置</w:t>
            </w:r>
            <w:r>
              <w:rPr>
                <w:rFonts w:ascii="Times New Roman" w:hAnsi="Times New Roman" w:eastAsia="Times New Roman" w:cs="Times New Roman"/>
                <w:spacing w:val="3"/>
                <w:sz w:val="20"/>
                <w:szCs w:val="20"/>
              </w:rPr>
              <w:t>+</w:t>
            </w:r>
            <w:r>
              <w:rPr>
                <w:rFonts w:ascii="宋体" w:hAnsi="宋体" w:eastAsia="宋体" w:cs="宋体"/>
                <w:spacing w:val="3"/>
                <w:sz w:val="20"/>
                <w:szCs w:val="20"/>
              </w:rPr>
              <w:t>活性炭吸附</w:t>
            </w:r>
            <w:r>
              <w:rPr>
                <w:rFonts w:ascii="宋体" w:hAnsi="宋体" w:eastAsia="宋体" w:cs="宋体"/>
                <w:sz w:val="20"/>
                <w:szCs w:val="20"/>
              </w:rPr>
              <w:t xml:space="preserve"> </w:t>
            </w:r>
            <w:r>
              <w:rPr>
                <w:rFonts w:ascii="宋体" w:hAnsi="宋体" w:eastAsia="宋体" w:cs="宋体"/>
                <w:spacing w:val="4"/>
                <w:sz w:val="20"/>
                <w:szCs w:val="20"/>
              </w:rPr>
              <w:t xml:space="preserve">装置处理后通过 </w:t>
            </w: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高排气筒有组织排放，共计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个排气</w:t>
            </w:r>
            <w:r>
              <w:rPr>
                <w:rFonts w:ascii="宋体" w:hAnsi="宋体" w:eastAsia="宋体" w:cs="宋体"/>
                <w:sz w:val="20"/>
                <w:szCs w:val="20"/>
              </w:rPr>
              <w:t xml:space="preserve"> </w:t>
            </w:r>
            <w:r>
              <w:rPr>
                <w:rFonts w:ascii="宋体" w:hAnsi="宋体" w:eastAsia="宋体" w:cs="宋体"/>
                <w:spacing w:val="10"/>
                <w:sz w:val="20"/>
                <w:szCs w:val="20"/>
              </w:rPr>
              <w:t xml:space="preserve">筒 </w:t>
            </w:r>
            <w:r>
              <w:rPr>
                <w:rFonts w:ascii="宋体" w:hAnsi="宋体" w:eastAsia="宋体" w:cs="宋体"/>
                <w:spacing w:val="7"/>
                <w:sz w:val="20"/>
                <w:szCs w:val="20"/>
              </w:rPr>
              <w:t>(</w:t>
            </w:r>
            <w:r>
              <w:rPr>
                <w:rFonts w:ascii="Times New Roman" w:hAnsi="Times New Roman" w:eastAsia="Times New Roman" w:cs="Times New Roman"/>
                <w:spacing w:val="5"/>
                <w:sz w:val="20"/>
                <w:szCs w:val="20"/>
              </w:rPr>
              <w:t>1#</w:t>
            </w:r>
            <w:r>
              <w:rPr>
                <w:rFonts w:ascii="宋体" w:hAnsi="宋体" w:eastAsia="宋体" w:cs="宋体"/>
                <w:spacing w:val="5"/>
                <w:sz w:val="20"/>
                <w:szCs w:val="20"/>
              </w:rPr>
              <w:t>排气筒、</w:t>
            </w:r>
            <w:r>
              <w:rPr>
                <w:rFonts w:ascii="Times New Roman" w:hAnsi="Times New Roman" w:eastAsia="Times New Roman" w:cs="Times New Roman"/>
                <w:spacing w:val="5"/>
                <w:sz w:val="20"/>
                <w:szCs w:val="20"/>
              </w:rPr>
              <w:t>2#</w:t>
            </w:r>
            <w:r>
              <w:rPr>
                <w:rFonts w:ascii="宋体" w:hAnsi="宋体" w:eastAsia="宋体" w:cs="宋体"/>
                <w:spacing w:val="5"/>
                <w:sz w:val="20"/>
                <w:szCs w:val="20"/>
              </w:rPr>
              <w:t>排气筒) 。</w:t>
            </w:r>
          </w:p>
        </w:tc>
        <w:tc>
          <w:tcPr>
            <w:tcW w:w="921" w:type="dxa"/>
            <w:tcBorders>
              <w:right w:val="nil"/>
            </w:tcBorders>
            <w:vAlign w:val="top"/>
          </w:tcPr>
          <w:p w14:paraId="1C1A1039">
            <w:pPr>
              <w:spacing w:line="250" w:lineRule="auto"/>
              <w:rPr>
                <w:rFonts w:ascii="Arial"/>
                <w:sz w:val="21"/>
              </w:rPr>
            </w:pPr>
          </w:p>
          <w:p w14:paraId="52C54603">
            <w:pPr>
              <w:spacing w:line="250" w:lineRule="auto"/>
              <w:rPr>
                <w:rFonts w:ascii="Arial"/>
                <w:sz w:val="21"/>
              </w:rPr>
            </w:pPr>
          </w:p>
          <w:p w14:paraId="41255849">
            <w:pPr>
              <w:spacing w:line="250" w:lineRule="auto"/>
              <w:rPr>
                <w:rFonts w:ascii="Arial"/>
                <w:sz w:val="21"/>
              </w:rPr>
            </w:pPr>
          </w:p>
          <w:p w14:paraId="78694BAF">
            <w:pPr>
              <w:spacing w:line="250" w:lineRule="auto"/>
              <w:rPr>
                <w:rFonts w:ascii="Arial"/>
                <w:sz w:val="21"/>
              </w:rPr>
            </w:pPr>
          </w:p>
          <w:p w14:paraId="1619F2F3">
            <w:pPr>
              <w:spacing w:line="250" w:lineRule="auto"/>
              <w:rPr>
                <w:rFonts w:ascii="Arial"/>
                <w:sz w:val="21"/>
              </w:rPr>
            </w:pPr>
          </w:p>
          <w:p w14:paraId="293A21DE">
            <w:pPr>
              <w:spacing w:line="250" w:lineRule="auto"/>
              <w:rPr>
                <w:rFonts w:ascii="Arial"/>
                <w:sz w:val="21"/>
              </w:rPr>
            </w:pPr>
          </w:p>
          <w:p w14:paraId="72DF0228">
            <w:pPr>
              <w:spacing w:line="251" w:lineRule="auto"/>
              <w:rPr>
                <w:rFonts w:ascii="Arial"/>
                <w:sz w:val="21"/>
              </w:rPr>
            </w:pPr>
          </w:p>
          <w:p w14:paraId="36CDDA19">
            <w:pPr>
              <w:spacing w:before="58"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r>
      <w:tr w14:paraId="21FBE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552" w:type="dxa"/>
            <w:tcBorders>
              <w:left w:val="nil"/>
            </w:tcBorders>
            <w:vAlign w:val="top"/>
          </w:tcPr>
          <w:p w14:paraId="00C550EF">
            <w:pPr>
              <w:spacing w:line="276" w:lineRule="auto"/>
              <w:rPr>
                <w:rFonts w:ascii="Arial"/>
                <w:sz w:val="21"/>
              </w:rPr>
            </w:pPr>
          </w:p>
          <w:p w14:paraId="5FC6BBA9">
            <w:pPr>
              <w:spacing w:line="277" w:lineRule="auto"/>
              <w:rPr>
                <w:rFonts w:ascii="Arial"/>
                <w:sz w:val="21"/>
              </w:rPr>
            </w:pPr>
          </w:p>
          <w:p w14:paraId="1FD171C6">
            <w:pPr>
              <w:spacing w:line="277" w:lineRule="auto"/>
              <w:rPr>
                <w:rFonts w:ascii="Arial"/>
                <w:sz w:val="21"/>
              </w:rPr>
            </w:pPr>
          </w:p>
          <w:p w14:paraId="3E8A225E">
            <w:pPr>
              <w:spacing w:before="5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96" w:type="dxa"/>
            <w:vMerge w:val="continue"/>
            <w:tcBorders>
              <w:top w:val="nil"/>
            </w:tcBorders>
            <w:vAlign w:val="top"/>
          </w:tcPr>
          <w:p w14:paraId="4ECE00C2">
            <w:pPr>
              <w:rPr>
                <w:rFonts w:ascii="Arial"/>
                <w:sz w:val="21"/>
              </w:rPr>
            </w:pPr>
          </w:p>
        </w:tc>
        <w:tc>
          <w:tcPr>
            <w:tcW w:w="5321" w:type="dxa"/>
            <w:vAlign w:val="top"/>
          </w:tcPr>
          <w:p w14:paraId="65118822">
            <w:pPr>
              <w:tabs>
                <w:tab w:val="left" w:pos="138"/>
              </w:tabs>
              <w:spacing w:before="69" w:line="276" w:lineRule="auto"/>
              <w:ind w:left="24" w:right="15" w:firstLine="7"/>
              <w:rPr>
                <w:rFonts w:ascii="宋体" w:hAnsi="宋体" w:eastAsia="宋体" w:cs="宋体"/>
                <w:sz w:val="20"/>
                <w:szCs w:val="20"/>
              </w:rPr>
            </w:pPr>
            <w:r>
              <w:rPr>
                <w:rFonts w:ascii="宋体" w:hAnsi="宋体" w:eastAsia="宋体" w:cs="宋体"/>
                <w:spacing w:val="-16"/>
                <w:sz w:val="20"/>
                <w:szCs w:val="20"/>
              </w:rPr>
              <w:t xml:space="preserve">该 </w:t>
            </w:r>
            <w:r>
              <w:rPr>
                <w:rFonts w:ascii="宋体" w:hAnsi="宋体" w:eastAsia="宋体" w:cs="宋体"/>
                <w:spacing w:val="-11"/>
                <w:sz w:val="20"/>
                <w:szCs w:val="20"/>
              </w:rPr>
              <w:t>项</w:t>
            </w:r>
            <w:r>
              <w:rPr>
                <w:rFonts w:ascii="宋体" w:hAnsi="宋体" w:eastAsia="宋体" w:cs="宋体"/>
                <w:spacing w:val="-8"/>
                <w:sz w:val="20"/>
                <w:szCs w:val="20"/>
              </w:rPr>
              <w:t xml:space="preserve"> 目 洗 字 工 序 设 有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 xml:space="preserve">个 容 积 为 </w:t>
            </w:r>
            <w:r>
              <w:rPr>
                <w:rFonts w:ascii="Times New Roman" w:hAnsi="Times New Roman" w:eastAsia="Times New Roman" w:cs="Times New Roman"/>
                <w:spacing w:val="-8"/>
                <w:sz w:val="20"/>
                <w:szCs w:val="20"/>
              </w:rPr>
              <w:t>6m</w:t>
            </w:r>
            <w:r>
              <w:rPr>
                <w:rFonts w:ascii="Times New Roman" w:hAnsi="Times New Roman" w:eastAsia="Times New Roman" w:cs="Times New Roman"/>
                <w:spacing w:val="-8"/>
                <w:position w:val="6"/>
                <w:sz w:val="13"/>
                <w:szCs w:val="13"/>
              </w:rPr>
              <w:t xml:space="preserve">3   </w:t>
            </w:r>
            <w:r>
              <w:rPr>
                <w:rFonts w:ascii="宋体" w:hAnsi="宋体" w:eastAsia="宋体" w:cs="宋体"/>
                <w:spacing w:val="-8"/>
                <w:sz w:val="20"/>
                <w:szCs w:val="20"/>
              </w:rPr>
              <w:t>的 洗 字 槽</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2"/>
                <w:sz w:val="20"/>
                <w:szCs w:val="20"/>
              </w:rPr>
              <w:t>(</w:t>
            </w:r>
            <w:r>
              <w:rPr>
                <w:rFonts w:ascii="Times New Roman" w:hAnsi="Times New Roman" w:eastAsia="Times New Roman" w:cs="Times New Roman"/>
                <w:spacing w:val="2"/>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m</w:t>
            </w:r>
            <w:r>
              <w:rPr>
                <w:rFonts w:ascii="宋体" w:hAnsi="宋体" w:eastAsia="宋体" w:cs="宋体"/>
                <w:spacing w:val="2"/>
                <w:sz w:val="20"/>
                <w:szCs w:val="20"/>
              </w:rPr>
              <w:t xml:space="preserve">) ，配套设有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台 </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t</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w:t>
            </w:r>
            <w:r>
              <w:rPr>
                <w:rFonts w:ascii="宋体" w:hAnsi="宋体" w:eastAsia="宋体" w:cs="宋体"/>
                <w:spacing w:val="1"/>
                <w:sz w:val="20"/>
                <w:szCs w:val="20"/>
              </w:rPr>
              <w:t>热风炉，产生的</w:t>
            </w:r>
            <w:r>
              <w:rPr>
                <w:rFonts w:ascii="宋体" w:hAnsi="宋体" w:eastAsia="宋体" w:cs="宋体"/>
                <w:sz w:val="20"/>
                <w:szCs w:val="20"/>
              </w:rPr>
              <w:t xml:space="preserve"> </w:t>
            </w:r>
            <w:r>
              <w:rPr>
                <w:rFonts w:ascii="宋体" w:hAnsi="宋体" w:eastAsia="宋体" w:cs="宋体"/>
                <w:spacing w:val="8"/>
                <w:sz w:val="20"/>
                <w:szCs w:val="20"/>
              </w:rPr>
              <w:t>废</w:t>
            </w:r>
            <w:r>
              <w:rPr>
                <w:rFonts w:ascii="宋体" w:hAnsi="宋体" w:eastAsia="宋体" w:cs="宋体"/>
                <w:spacing w:val="4"/>
                <w:sz w:val="20"/>
                <w:szCs w:val="20"/>
              </w:rPr>
              <w:t xml:space="preserve">气经配套的布袋除尘器处理后，通过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个 </w:t>
            </w:r>
            <w:r>
              <w:rPr>
                <w:rFonts w:ascii="Times New Roman" w:hAnsi="Times New Roman" w:eastAsia="Times New Roman" w:cs="Times New Roman"/>
                <w:spacing w:val="4"/>
                <w:sz w:val="20"/>
                <w:szCs w:val="20"/>
              </w:rPr>
              <w:t>3#</w:t>
            </w:r>
            <w:r>
              <w:rPr>
                <w:rFonts w:ascii="宋体" w:hAnsi="宋体" w:eastAsia="宋体" w:cs="宋体"/>
                <w:spacing w:val="4"/>
                <w:sz w:val="20"/>
                <w:szCs w:val="20"/>
              </w:rPr>
              <w:t>排气筒进行</w:t>
            </w:r>
            <w:r>
              <w:rPr>
                <w:rFonts w:ascii="宋体" w:hAnsi="宋体" w:eastAsia="宋体" w:cs="宋体"/>
                <w:sz w:val="20"/>
                <w:szCs w:val="20"/>
              </w:rPr>
              <w:t xml:space="preserve"> </w:t>
            </w:r>
            <w:r>
              <w:rPr>
                <w:rFonts w:ascii="宋体" w:hAnsi="宋体" w:eastAsia="宋体" w:cs="宋体"/>
                <w:spacing w:val="23"/>
                <w:sz w:val="20"/>
                <w:szCs w:val="20"/>
              </w:rPr>
              <w:t>排</w:t>
            </w:r>
            <w:r>
              <w:rPr>
                <w:rFonts w:ascii="宋体" w:hAnsi="宋体" w:eastAsia="宋体" w:cs="宋体"/>
                <w:spacing w:val="15"/>
                <w:sz w:val="20"/>
                <w:szCs w:val="20"/>
              </w:rPr>
              <w:t xml:space="preserve">放，排气筒高度为 </w:t>
            </w:r>
            <w:r>
              <w:rPr>
                <w:rFonts w:ascii="Times New Roman" w:hAnsi="Times New Roman" w:eastAsia="Times New Roman" w:cs="Times New Roman"/>
                <w:spacing w:val="15"/>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15"/>
                <w:sz w:val="20"/>
                <w:szCs w:val="20"/>
              </w:rPr>
              <w:t xml:space="preserve">  </w:t>
            </w:r>
            <w:r>
              <w:rPr>
                <w:rFonts w:ascii="宋体" w:hAnsi="宋体" w:eastAsia="宋体" w:cs="宋体"/>
                <w:spacing w:val="15"/>
                <w:sz w:val="20"/>
                <w:szCs w:val="20"/>
              </w:rPr>
              <w:t>(新建锅炉房的烟囱周围半径</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200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 xml:space="preserve">距离内有建筑物时，其烟囱应高出最高建筑物 </w:t>
            </w: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以</w:t>
            </w:r>
            <w:r>
              <w:rPr>
                <w:rFonts w:ascii="宋体" w:hAnsi="宋体" w:eastAsia="宋体" w:cs="宋体"/>
                <w:sz w:val="20"/>
                <w:szCs w:val="20"/>
              </w:rPr>
              <w:t xml:space="preserve"> </w:t>
            </w:r>
            <w:r>
              <w:rPr>
                <w:rFonts w:ascii="宋体" w:hAnsi="宋体" w:eastAsia="宋体" w:cs="宋体"/>
                <w:spacing w:val="4"/>
                <w:sz w:val="20"/>
                <w:szCs w:val="20"/>
              </w:rPr>
              <w:t>上) 。</w:t>
            </w:r>
          </w:p>
        </w:tc>
        <w:tc>
          <w:tcPr>
            <w:tcW w:w="921" w:type="dxa"/>
            <w:tcBorders>
              <w:right w:val="nil"/>
            </w:tcBorders>
            <w:vAlign w:val="top"/>
          </w:tcPr>
          <w:p w14:paraId="5B9FA7E6">
            <w:pPr>
              <w:spacing w:line="277" w:lineRule="auto"/>
              <w:rPr>
                <w:rFonts w:ascii="Arial"/>
                <w:sz w:val="21"/>
              </w:rPr>
            </w:pPr>
          </w:p>
          <w:p w14:paraId="32280507">
            <w:pPr>
              <w:spacing w:line="278" w:lineRule="auto"/>
              <w:rPr>
                <w:rFonts w:ascii="Arial"/>
                <w:sz w:val="21"/>
              </w:rPr>
            </w:pPr>
          </w:p>
          <w:p w14:paraId="095B1591">
            <w:pPr>
              <w:spacing w:line="278" w:lineRule="auto"/>
              <w:rPr>
                <w:rFonts w:ascii="Arial"/>
                <w:sz w:val="21"/>
              </w:rPr>
            </w:pPr>
          </w:p>
          <w:p w14:paraId="4A671B62">
            <w:pPr>
              <w:spacing w:before="57" w:line="192"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0DB6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5A8F8B31">
            <w:pPr>
              <w:spacing w:before="135" w:line="192"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96" w:type="dxa"/>
            <w:vMerge w:val="restart"/>
            <w:tcBorders>
              <w:bottom w:val="nil"/>
            </w:tcBorders>
            <w:vAlign w:val="top"/>
          </w:tcPr>
          <w:p w14:paraId="5A2549C5">
            <w:pPr>
              <w:spacing w:line="249" w:lineRule="auto"/>
              <w:rPr>
                <w:rFonts w:ascii="Arial"/>
                <w:sz w:val="21"/>
              </w:rPr>
            </w:pPr>
          </w:p>
          <w:p w14:paraId="4A077FC3">
            <w:pPr>
              <w:spacing w:line="249" w:lineRule="auto"/>
              <w:rPr>
                <w:rFonts w:ascii="Arial"/>
                <w:sz w:val="21"/>
              </w:rPr>
            </w:pPr>
          </w:p>
          <w:p w14:paraId="7F5481E9">
            <w:pPr>
              <w:spacing w:before="65" w:line="228" w:lineRule="auto"/>
              <w:ind w:left="57"/>
              <w:rPr>
                <w:rFonts w:ascii="宋体" w:hAnsi="宋体" w:eastAsia="宋体" w:cs="宋体"/>
                <w:sz w:val="20"/>
                <w:szCs w:val="20"/>
              </w:rPr>
            </w:pPr>
            <w:r>
              <w:rPr>
                <w:rFonts w:ascii="宋体" w:hAnsi="宋体" w:eastAsia="宋体" w:cs="宋体"/>
                <w:spacing w:val="10"/>
                <w:sz w:val="20"/>
                <w:szCs w:val="20"/>
              </w:rPr>
              <w:t>运营期废水治理</w:t>
            </w:r>
          </w:p>
        </w:tc>
        <w:tc>
          <w:tcPr>
            <w:tcW w:w="5321" w:type="dxa"/>
            <w:vAlign w:val="top"/>
          </w:tcPr>
          <w:p w14:paraId="41C4B598">
            <w:pPr>
              <w:spacing w:before="86" w:line="228" w:lineRule="auto"/>
              <w:ind w:left="890"/>
              <w:rPr>
                <w:rFonts w:ascii="宋体" w:hAnsi="宋体" w:eastAsia="宋体" w:cs="宋体"/>
                <w:sz w:val="20"/>
                <w:szCs w:val="20"/>
              </w:rPr>
            </w:pPr>
            <w:r>
              <w:rPr>
                <w:rFonts w:ascii="宋体" w:hAnsi="宋体" w:eastAsia="宋体" w:cs="宋体"/>
                <w:spacing w:val="-4"/>
                <w:sz w:val="20"/>
                <w:szCs w:val="20"/>
              </w:rPr>
              <w:t>员工</w:t>
            </w:r>
            <w:r>
              <w:rPr>
                <w:rFonts w:ascii="宋体" w:hAnsi="宋体" w:eastAsia="宋体" w:cs="宋体"/>
                <w:spacing w:val="-2"/>
                <w:sz w:val="20"/>
                <w:szCs w:val="20"/>
              </w:rPr>
              <w:t>使用防渗旱厕，定期清掏，不外排。</w:t>
            </w:r>
          </w:p>
        </w:tc>
        <w:tc>
          <w:tcPr>
            <w:tcW w:w="921" w:type="dxa"/>
            <w:tcBorders>
              <w:right w:val="nil"/>
            </w:tcBorders>
            <w:vAlign w:val="top"/>
          </w:tcPr>
          <w:p w14:paraId="10028A7A">
            <w:pPr>
              <w:spacing w:before="132"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2B3C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52" w:type="dxa"/>
            <w:tcBorders>
              <w:left w:val="nil"/>
            </w:tcBorders>
            <w:vAlign w:val="top"/>
          </w:tcPr>
          <w:p w14:paraId="4B15BD12">
            <w:pPr>
              <w:spacing w:line="368" w:lineRule="auto"/>
              <w:rPr>
                <w:rFonts w:ascii="Arial"/>
                <w:sz w:val="21"/>
              </w:rPr>
            </w:pPr>
          </w:p>
          <w:p w14:paraId="137D63CE">
            <w:pPr>
              <w:spacing w:before="5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96" w:type="dxa"/>
            <w:vMerge w:val="continue"/>
            <w:tcBorders>
              <w:top w:val="nil"/>
            </w:tcBorders>
            <w:vAlign w:val="top"/>
          </w:tcPr>
          <w:p w14:paraId="3DDC6514">
            <w:pPr>
              <w:rPr>
                <w:rFonts w:ascii="Arial"/>
                <w:sz w:val="21"/>
              </w:rPr>
            </w:pPr>
          </w:p>
        </w:tc>
        <w:tc>
          <w:tcPr>
            <w:tcW w:w="5321" w:type="dxa"/>
            <w:vAlign w:val="top"/>
          </w:tcPr>
          <w:p w14:paraId="012B7592">
            <w:pPr>
              <w:spacing w:before="72" w:line="266" w:lineRule="auto"/>
              <w:ind w:left="29" w:firstLine="2"/>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w:t>
            </w:r>
            <w:r>
              <w:rPr>
                <w:rFonts w:ascii="宋体" w:hAnsi="宋体" w:eastAsia="宋体" w:cs="宋体"/>
                <w:spacing w:val="-4"/>
                <w:sz w:val="20"/>
                <w:szCs w:val="20"/>
              </w:rPr>
              <w:t xml:space="preserve">设有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座容积为 </w:t>
            </w:r>
            <w:r>
              <w:rPr>
                <w:rFonts w:ascii="Times New Roman" w:hAnsi="Times New Roman" w:eastAsia="Times New Roman" w:cs="Times New Roman"/>
                <w:spacing w:val="-4"/>
                <w:sz w:val="20"/>
                <w:szCs w:val="20"/>
              </w:rPr>
              <w:t>324m</w:t>
            </w:r>
            <w:r>
              <w:rPr>
                <w:rFonts w:ascii="Times New Roman" w:hAnsi="Times New Roman" w:eastAsia="Times New Roman" w:cs="Times New Roman"/>
                <w:spacing w:val="-4"/>
                <w:position w:val="6"/>
                <w:sz w:val="13"/>
                <w:szCs w:val="13"/>
              </w:rPr>
              <w:t xml:space="preserve">3 </w:t>
            </w:r>
            <w:r>
              <w:rPr>
                <w:rFonts w:ascii="宋体" w:hAnsi="宋体" w:eastAsia="宋体" w:cs="宋体"/>
                <w:spacing w:val="-4"/>
                <w:sz w:val="20"/>
                <w:szCs w:val="20"/>
              </w:rPr>
              <w:t>的三级沉淀池(</w:t>
            </w:r>
            <w:r>
              <w:rPr>
                <w:rFonts w:ascii="Times New Roman" w:hAnsi="Times New Roman" w:eastAsia="Times New Roman" w:cs="Times New Roman"/>
                <w:spacing w:val="-4"/>
                <w:sz w:val="20"/>
                <w:szCs w:val="20"/>
              </w:rPr>
              <w:t>12m×6m×4.5m</w:t>
            </w:r>
            <w:r>
              <w:rPr>
                <w:rFonts w:ascii="宋体" w:hAnsi="宋体" w:eastAsia="宋体" w:cs="宋体"/>
                <w:spacing w:val="-4"/>
                <w:sz w:val="20"/>
                <w:szCs w:val="20"/>
              </w:rPr>
              <w:t>) ，</w:t>
            </w:r>
            <w:r>
              <w:rPr>
                <w:rFonts w:ascii="宋体" w:hAnsi="宋体" w:eastAsia="宋体" w:cs="宋体"/>
                <w:sz w:val="20"/>
                <w:szCs w:val="20"/>
              </w:rPr>
              <w:t xml:space="preserve"> </w:t>
            </w:r>
            <w:r>
              <w:rPr>
                <w:rFonts w:ascii="宋体" w:hAnsi="宋体" w:eastAsia="宋体" w:cs="宋体"/>
                <w:spacing w:val="6"/>
                <w:sz w:val="20"/>
                <w:szCs w:val="20"/>
              </w:rPr>
              <w:t xml:space="preserve">同时配套设有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台一体化污水预处理设备，均位于生产</w:t>
            </w:r>
            <w:r>
              <w:rPr>
                <w:rFonts w:ascii="宋体" w:hAnsi="宋体" w:eastAsia="宋体" w:cs="宋体"/>
                <w:sz w:val="20"/>
                <w:szCs w:val="20"/>
              </w:rPr>
              <w:t xml:space="preserve">厂 </w:t>
            </w:r>
            <w:r>
              <w:rPr>
                <w:rFonts w:ascii="宋体" w:hAnsi="宋体" w:eastAsia="宋体" w:cs="宋体"/>
                <w:spacing w:val="14"/>
                <w:sz w:val="20"/>
                <w:szCs w:val="20"/>
              </w:rPr>
              <w:t>房</w:t>
            </w:r>
            <w:r>
              <w:rPr>
                <w:rFonts w:ascii="宋体" w:hAnsi="宋体" w:eastAsia="宋体" w:cs="宋体"/>
                <w:spacing w:val="8"/>
                <w:sz w:val="20"/>
                <w:szCs w:val="20"/>
              </w:rPr>
              <w:t>西南侧，产生的生产废水经一体化污水预处理设备处理</w:t>
            </w:r>
          </w:p>
        </w:tc>
        <w:tc>
          <w:tcPr>
            <w:tcW w:w="921" w:type="dxa"/>
            <w:tcBorders>
              <w:right w:val="nil"/>
            </w:tcBorders>
            <w:vAlign w:val="top"/>
          </w:tcPr>
          <w:p w14:paraId="384AF2E1">
            <w:pPr>
              <w:spacing w:line="368" w:lineRule="auto"/>
              <w:rPr>
                <w:rFonts w:ascii="Arial"/>
                <w:sz w:val="21"/>
              </w:rPr>
            </w:pPr>
          </w:p>
          <w:p w14:paraId="393EBACE">
            <w:pPr>
              <w:spacing w:before="5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r>
    </w:tbl>
    <w:p w14:paraId="0F679434">
      <w:pPr>
        <w:rPr>
          <w:rFonts w:ascii="Arial"/>
          <w:sz w:val="21"/>
        </w:rPr>
      </w:pPr>
    </w:p>
    <w:p w14:paraId="3A834C6B">
      <w:pPr>
        <w:sectPr>
          <w:headerReference r:id="rId315" w:type="default"/>
          <w:footerReference r:id="rId316" w:type="default"/>
          <w:pgSz w:w="11906" w:h="16839"/>
          <w:pgMar w:top="1132" w:right="1735" w:bottom="1182" w:left="1758" w:header="878" w:footer="1022" w:gutter="0"/>
          <w:cols w:space="720" w:num="1"/>
        </w:sectPr>
      </w:pPr>
    </w:p>
    <w:p w14:paraId="6A5CD3C9">
      <w:r>
        <w:pict>
          <v:shape id="_x0000_s1375" o:spid="_x0000_s1375" style="position:absolute;left:0pt;margin-left:90pt;margin-top:57.35pt;height:0.75pt;width:415.3pt;mso-position-horizontal-relative:page;mso-position-vertical-relative:page;z-index:252070912;mso-width-relative:page;mso-height-relative:page;" fillcolor="#000000" filled="t" stroked="f" coordsize="8305,15" o:allowincell="f" path="m0,0l8305,0,8305,14,0,14,0,0xe">
            <v:path/>
            <v:fill on="t" focussize="0,0"/>
            <v:stroke on="f"/>
            <v:imagedata o:title=""/>
            <o:lock v:ext="edit"/>
          </v:shape>
        </w:pict>
      </w:r>
    </w:p>
    <w:p w14:paraId="0B75BD5D">
      <w:pPr>
        <w:spacing w:line="65" w:lineRule="exact"/>
      </w:pPr>
    </w:p>
    <w:tbl>
      <w:tblPr>
        <w:tblStyle w:val="4"/>
        <w:tblW w:w="83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596"/>
        <w:gridCol w:w="5321"/>
        <w:gridCol w:w="921"/>
      </w:tblGrid>
      <w:tr w14:paraId="2C91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52" w:type="dxa"/>
            <w:tcBorders>
              <w:left w:val="nil"/>
            </w:tcBorders>
            <w:vAlign w:val="top"/>
          </w:tcPr>
          <w:p w14:paraId="1809B419">
            <w:pPr>
              <w:rPr>
                <w:rFonts w:ascii="Arial"/>
                <w:sz w:val="21"/>
              </w:rPr>
            </w:pPr>
          </w:p>
        </w:tc>
        <w:tc>
          <w:tcPr>
            <w:tcW w:w="1596" w:type="dxa"/>
            <w:vAlign w:val="top"/>
          </w:tcPr>
          <w:p w14:paraId="2C272818">
            <w:pPr>
              <w:rPr>
                <w:rFonts w:ascii="Arial"/>
                <w:sz w:val="21"/>
              </w:rPr>
            </w:pPr>
          </w:p>
        </w:tc>
        <w:tc>
          <w:tcPr>
            <w:tcW w:w="5321" w:type="dxa"/>
            <w:vAlign w:val="top"/>
          </w:tcPr>
          <w:p w14:paraId="4F5E30A4">
            <w:pPr>
              <w:spacing w:before="74" w:line="271" w:lineRule="auto"/>
              <w:ind w:left="27" w:right="8" w:firstLine="2"/>
              <w:rPr>
                <w:rFonts w:ascii="宋体" w:hAnsi="宋体" w:eastAsia="宋体" w:cs="宋体"/>
                <w:sz w:val="20"/>
                <w:szCs w:val="20"/>
              </w:rPr>
            </w:pPr>
            <w:r>
              <w:rPr>
                <w:rFonts w:ascii="宋体" w:hAnsi="宋体" w:eastAsia="宋体" w:cs="宋体"/>
                <w:spacing w:val="11"/>
                <w:sz w:val="20"/>
                <w:szCs w:val="20"/>
              </w:rPr>
              <w:t>后</w:t>
            </w:r>
            <w:r>
              <w:rPr>
                <w:rFonts w:ascii="宋体" w:hAnsi="宋体" w:eastAsia="宋体" w:cs="宋体"/>
                <w:spacing w:val="8"/>
                <w:sz w:val="20"/>
                <w:szCs w:val="20"/>
              </w:rPr>
              <w:t>排入三级沉淀池 (</w:t>
            </w:r>
            <w:r>
              <w:rPr>
                <w:rFonts w:ascii="Times New Roman" w:hAnsi="Times New Roman" w:eastAsia="Times New Roman" w:cs="Times New Roman"/>
                <w:spacing w:val="8"/>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×4.5</w:t>
            </w:r>
            <w:r>
              <w:rPr>
                <w:rFonts w:ascii="Times New Roman" w:hAnsi="Times New Roman" w:eastAsia="Times New Roman" w:cs="Times New Roman"/>
                <w:sz w:val="20"/>
                <w:szCs w:val="20"/>
              </w:rPr>
              <w:t>m</w:t>
            </w:r>
            <w:r>
              <w:rPr>
                <w:rFonts w:ascii="宋体" w:hAnsi="宋体" w:eastAsia="宋体" w:cs="宋体"/>
                <w:spacing w:val="8"/>
                <w:sz w:val="20"/>
                <w:szCs w:val="20"/>
              </w:rPr>
              <w:t>) 沉淀处理，随后循环</w:t>
            </w:r>
            <w:r>
              <w:rPr>
                <w:rFonts w:ascii="宋体" w:hAnsi="宋体" w:eastAsia="宋体" w:cs="宋体"/>
                <w:sz w:val="20"/>
                <w:szCs w:val="20"/>
              </w:rPr>
              <w:t xml:space="preserve"> </w:t>
            </w:r>
            <w:r>
              <w:rPr>
                <w:rFonts w:ascii="宋体" w:hAnsi="宋体" w:eastAsia="宋体" w:cs="宋体"/>
                <w:spacing w:val="1"/>
                <w:sz w:val="20"/>
                <w:szCs w:val="20"/>
              </w:rPr>
              <w:t xml:space="preserve">使用。污水处理设施废水每月更换 </w:t>
            </w:r>
            <w:r>
              <w:rPr>
                <w:rFonts w:ascii="Times New Roman" w:hAnsi="Times New Roman" w:eastAsia="Times New Roman" w:cs="Times New Roman"/>
                <w:spacing w:val="1"/>
                <w:sz w:val="20"/>
                <w:szCs w:val="20"/>
              </w:rPr>
              <w:t xml:space="preserve">1 </w:t>
            </w:r>
            <w:r>
              <w:rPr>
                <w:rFonts w:ascii="宋体" w:hAnsi="宋体" w:eastAsia="宋体" w:cs="宋体"/>
                <w:sz w:val="20"/>
                <w:szCs w:val="20"/>
              </w:rPr>
              <w:t xml:space="preserve">次，则该项目全年更换 </w:t>
            </w:r>
            <w:r>
              <w:rPr>
                <w:rFonts w:ascii="宋体" w:hAnsi="宋体" w:eastAsia="宋体" w:cs="宋体"/>
                <w:spacing w:val="4"/>
                <w:sz w:val="20"/>
                <w:szCs w:val="20"/>
              </w:rPr>
              <w:t xml:space="preserve">废水量为 </w:t>
            </w:r>
            <w:r>
              <w:rPr>
                <w:rFonts w:ascii="Times New Roman" w:hAnsi="Times New Roman" w:eastAsia="Times New Roman" w:cs="Times New Roman"/>
                <w:spacing w:val="4"/>
                <w:sz w:val="20"/>
                <w:szCs w:val="20"/>
              </w:rPr>
              <w:t>15</w:t>
            </w:r>
            <w:r>
              <w:rPr>
                <w:rFonts w:ascii="Times New Roman" w:hAnsi="Times New Roman" w:eastAsia="Times New Roman" w:cs="Times New Roman"/>
                <w:spacing w:val="2"/>
                <w:sz w:val="20"/>
                <w:szCs w:val="20"/>
              </w:rPr>
              <w:t>23.52</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，更换过程产生的废水经吸污车运送至</w:t>
            </w:r>
            <w:r>
              <w:rPr>
                <w:rFonts w:ascii="宋体" w:hAnsi="宋体" w:eastAsia="宋体" w:cs="宋体"/>
                <w:sz w:val="20"/>
                <w:szCs w:val="20"/>
              </w:rPr>
              <w:t xml:space="preserve"> </w:t>
            </w:r>
            <w:r>
              <w:rPr>
                <w:rFonts w:ascii="宋体" w:hAnsi="宋体" w:eastAsia="宋体" w:cs="宋体"/>
                <w:spacing w:val="-2"/>
                <w:sz w:val="20"/>
                <w:szCs w:val="20"/>
              </w:rPr>
              <w:t>本溪市科态污水处理有限责任公司</w:t>
            </w:r>
            <w:r>
              <w:rPr>
                <w:rFonts w:ascii="宋体" w:hAnsi="宋体" w:eastAsia="宋体" w:cs="宋体"/>
                <w:spacing w:val="-1"/>
                <w:sz w:val="20"/>
                <w:szCs w:val="20"/>
              </w:rPr>
              <w:t>统一处理。</w:t>
            </w:r>
          </w:p>
        </w:tc>
        <w:tc>
          <w:tcPr>
            <w:tcW w:w="921" w:type="dxa"/>
            <w:tcBorders>
              <w:right w:val="nil"/>
            </w:tcBorders>
            <w:vAlign w:val="top"/>
          </w:tcPr>
          <w:p w14:paraId="218F16CC">
            <w:pPr>
              <w:rPr>
                <w:rFonts w:ascii="Arial"/>
                <w:sz w:val="21"/>
              </w:rPr>
            </w:pPr>
          </w:p>
        </w:tc>
      </w:tr>
      <w:tr w14:paraId="07CBC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552" w:type="dxa"/>
            <w:tcBorders>
              <w:left w:val="nil"/>
            </w:tcBorders>
            <w:vAlign w:val="top"/>
          </w:tcPr>
          <w:p w14:paraId="1A7CF17F">
            <w:pPr>
              <w:spacing w:line="305" w:lineRule="auto"/>
              <w:rPr>
                <w:rFonts w:ascii="Arial"/>
                <w:sz w:val="21"/>
              </w:rPr>
            </w:pPr>
          </w:p>
          <w:p w14:paraId="201D48C7">
            <w:pPr>
              <w:spacing w:line="305" w:lineRule="auto"/>
              <w:rPr>
                <w:rFonts w:ascii="Arial"/>
                <w:sz w:val="21"/>
              </w:rPr>
            </w:pPr>
          </w:p>
          <w:p w14:paraId="1D89EB44">
            <w:pPr>
              <w:spacing w:line="306" w:lineRule="auto"/>
              <w:rPr>
                <w:rFonts w:ascii="Arial"/>
                <w:sz w:val="21"/>
              </w:rPr>
            </w:pPr>
          </w:p>
          <w:p w14:paraId="6B0652CD">
            <w:pPr>
              <w:spacing w:before="5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96" w:type="dxa"/>
            <w:vMerge w:val="restart"/>
            <w:tcBorders>
              <w:bottom w:val="nil"/>
            </w:tcBorders>
            <w:vAlign w:val="top"/>
          </w:tcPr>
          <w:p w14:paraId="3DFDD3F5">
            <w:pPr>
              <w:spacing w:line="259" w:lineRule="auto"/>
              <w:rPr>
                <w:rFonts w:ascii="Arial"/>
                <w:sz w:val="21"/>
              </w:rPr>
            </w:pPr>
          </w:p>
          <w:p w14:paraId="23350793">
            <w:pPr>
              <w:spacing w:line="260" w:lineRule="auto"/>
              <w:rPr>
                <w:rFonts w:ascii="Arial"/>
                <w:sz w:val="21"/>
              </w:rPr>
            </w:pPr>
          </w:p>
          <w:p w14:paraId="51EFC712">
            <w:pPr>
              <w:spacing w:line="260" w:lineRule="auto"/>
              <w:rPr>
                <w:rFonts w:ascii="Arial"/>
                <w:sz w:val="21"/>
              </w:rPr>
            </w:pPr>
          </w:p>
          <w:p w14:paraId="242EA8F6">
            <w:pPr>
              <w:spacing w:line="260" w:lineRule="auto"/>
              <w:rPr>
                <w:rFonts w:ascii="Arial"/>
                <w:sz w:val="21"/>
              </w:rPr>
            </w:pPr>
          </w:p>
          <w:p w14:paraId="0609F07D">
            <w:pPr>
              <w:spacing w:line="260" w:lineRule="auto"/>
              <w:rPr>
                <w:rFonts w:ascii="Arial"/>
                <w:sz w:val="21"/>
              </w:rPr>
            </w:pPr>
          </w:p>
          <w:p w14:paraId="743E08A2">
            <w:pPr>
              <w:spacing w:line="260" w:lineRule="auto"/>
              <w:rPr>
                <w:rFonts w:ascii="Arial"/>
                <w:sz w:val="21"/>
              </w:rPr>
            </w:pPr>
          </w:p>
          <w:p w14:paraId="083E8965">
            <w:pPr>
              <w:spacing w:before="65" w:line="339" w:lineRule="exact"/>
              <w:ind w:left="383"/>
              <w:rPr>
                <w:rFonts w:ascii="宋体" w:hAnsi="宋体" w:eastAsia="宋体" w:cs="宋体"/>
                <w:sz w:val="20"/>
                <w:szCs w:val="20"/>
              </w:rPr>
            </w:pPr>
            <w:r>
              <w:rPr>
                <w:rFonts w:ascii="宋体" w:hAnsi="宋体" w:eastAsia="宋体" w:cs="宋体"/>
                <w:spacing w:val="8"/>
                <w:position w:val="9"/>
                <w:sz w:val="20"/>
                <w:szCs w:val="20"/>
              </w:rPr>
              <w:t>运</w:t>
            </w:r>
            <w:r>
              <w:rPr>
                <w:rFonts w:ascii="宋体" w:hAnsi="宋体" w:eastAsia="宋体" w:cs="宋体"/>
                <w:spacing w:val="7"/>
                <w:position w:val="9"/>
                <w:sz w:val="20"/>
                <w:szCs w:val="20"/>
              </w:rPr>
              <w:t>营期地</w:t>
            </w:r>
          </w:p>
          <w:p w14:paraId="4BDB8113">
            <w:pPr>
              <w:spacing w:line="227" w:lineRule="auto"/>
              <w:ind w:left="378"/>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水治理</w:t>
            </w:r>
          </w:p>
        </w:tc>
        <w:tc>
          <w:tcPr>
            <w:tcW w:w="5321" w:type="dxa"/>
            <w:vAlign w:val="top"/>
          </w:tcPr>
          <w:p w14:paraId="25ECD793">
            <w:pPr>
              <w:tabs>
                <w:tab w:val="left" w:pos="138"/>
              </w:tabs>
              <w:spacing w:before="96" w:line="299" w:lineRule="auto"/>
              <w:ind w:left="28" w:right="10" w:firstLine="3"/>
              <w:rPr>
                <w:rFonts w:ascii="宋体" w:hAnsi="宋体" w:eastAsia="宋体" w:cs="宋体"/>
                <w:sz w:val="20"/>
                <w:szCs w:val="20"/>
              </w:rPr>
            </w:pPr>
            <w:r>
              <w:rPr>
                <w:rFonts w:ascii="宋体" w:hAnsi="宋体" w:eastAsia="宋体" w:cs="宋体"/>
                <w:spacing w:val="3"/>
                <w:sz w:val="20"/>
                <w:szCs w:val="20"/>
              </w:rPr>
              <w:t>项目生产厂房、成品库、原料库、三级沉淀池、旱厕、</w:t>
            </w:r>
            <w:r>
              <w:rPr>
                <w:rFonts w:ascii="宋体" w:hAnsi="宋体" w:eastAsia="宋体" w:cs="宋体"/>
                <w:spacing w:val="1"/>
                <w:sz w:val="20"/>
                <w:szCs w:val="20"/>
              </w:rPr>
              <w:t>危</w:t>
            </w:r>
            <w:r>
              <w:rPr>
                <w:rFonts w:ascii="宋体" w:hAnsi="宋体" w:eastAsia="宋体" w:cs="宋体"/>
                <w:sz w:val="20"/>
                <w:szCs w:val="20"/>
              </w:rPr>
              <w:t xml:space="preserve">废 </w:t>
            </w:r>
            <w:r>
              <w:rPr>
                <w:rFonts w:ascii="宋体" w:hAnsi="宋体" w:eastAsia="宋体" w:cs="宋体"/>
                <w:spacing w:val="6"/>
                <w:sz w:val="20"/>
                <w:szCs w:val="20"/>
              </w:rPr>
              <w:t>暂存间底部铺设</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300</w:t>
            </w:r>
            <w:r>
              <w:rPr>
                <w:rFonts w:ascii="Times New Roman" w:hAnsi="Times New Roman" w:eastAsia="Times New Roman" w:cs="Times New Roman"/>
                <w:sz w:val="20"/>
                <w:szCs w:val="20"/>
              </w:rPr>
              <w:t>mm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黏土层 (保护层，同时作为辅助防</w:t>
            </w:r>
            <w:r>
              <w:rPr>
                <w:rFonts w:ascii="宋体" w:hAnsi="宋体" w:eastAsia="宋体" w:cs="宋体"/>
                <w:sz w:val="20"/>
                <w:szCs w:val="20"/>
              </w:rPr>
              <w:t xml:space="preserve"> </w:t>
            </w:r>
            <w:r>
              <w:rPr>
                <w:rFonts w:ascii="宋体" w:hAnsi="宋体" w:eastAsia="宋体" w:cs="宋体"/>
                <w:spacing w:val="10"/>
                <w:sz w:val="20"/>
                <w:szCs w:val="20"/>
              </w:rPr>
              <w:t>渗层</w:t>
            </w:r>
            <w:r>
              <w:rPr>
                <w:rFonts w:ascii="宋体" w:hAnsi="宋体" w:eastAsia="宋体" w:cs="宋体"/>
                <w:spacing w:val="8"/>
                <w:sz w:val="20"/>
                <w:szCs w:val="20"/>
              </w:rPr>
              <w:t>)</w:t>
            </w:r>
            <w:r>
              <w:rPr>
                <w:rFonts w:ascii="宋体" w:hAnsi="宋体" w:eastAsia="宋体" w:cs="宋体"/>
                <w:spacing w:val="5"/>
                <w:sz w:val="20"/>
                <w:szCs w:val="20"/>
              </w:rPr>
              <w:t xml:space="preserve"> 压实平整，黏土层上铺设 </w:t>
            </w:r>
            <w:r>
              <w:rPr>
                <w:rFonts w:ascii="Times New Roman" w:hAnsi="Times New Roman" w:eastAsia="Times New Roman" w:cs="Times New Roman"/>
                <w:sz w:val="20"/>
                <w:szCs w:val="20"/>
              </w:rPr>
              <w:t>HDPE</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GCL</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复合防渗系统</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35"/>
                <w:sz w:val="20"/>
                <w:szCs w:val="20"/>
              </w:rPr>
              <w:t>(</w:t>
            </w:r>
            <w:r>
              <w:rPr>
                <w:rFonts w:ascii="Times New Roman" w:hAnsi="Times New Roman" w:eastAsia="Times New Roman" w:cs="Times New Roman"/>
                <w:spacing w:val="18"/>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8"/>
                <w:sz w:val="20"/>
                <w:szCs w:val="20"/>
              </w:rPr>
              <w:t xml:space="preserve"> </w:t>
            </w:r>
            <w:r>
              <w:rPr>
                <w:rFonts w:ascii="宋体" w:hAnsi="宋体" w:eastAsia="宋体" w:cs="宋体"/>
                <w:spacing w:val="18"/>
                <w:sz w:val="20"/>
                <w:szCs w:val="20"/>
              </w:rPr>
              <w:t>厚的高密度聚乙烯膜、</w:t>
            </w:r>
            <w:r>
              <w:rPr>
                <w:rFonts w:ascii="Times New Roman" w:hAnsi="Times New Roman" w:eastAsia="Times New Roman" w:cs="Times New Roman"/>
                <w:spacing w:val="18"/>
                <w:sz w:val="20"/>
                <w:szCs w:val="20"/>
              </w:rPr>
              <w:t>300</w:t>
            </w:r>
            <w:r>
              <w:rPr>
                <w:rFonts w:ascii="Times New Roman" w:hAnsi="Times New Roman" w:eastAsia="Times New Roman" w:cs="Times New Roman"/>
                <w:sz w:val="20"/>
                <w:szCs w:val="20"/>
              </w:rPr>
              <w:t>g</w:t>
            </w:r>
            <w:r>
              <w:rPr>
                <w:rFonts w:ascii="Times New Roman" w:hAnsi="Times New Roman" w:eastAsia="Times New Roman" w:cs="Times New Roman"/>
                <w:spacing w:val="18"/>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8"/>
                <w:position w:val="6"/>
                <w:sz w:val="13"/>
                <w:szCs w:val="13"/>
              </w:rPr>
              <w:t xml:space="preserve">2 </w:t>
            </w:r>
            <w:r>
              <w:rPr>
                <w:rFonts w:ascii="宋体" w:hAnsi="宋体" w:eastAsia="宋体" w:cs="宋体"/>
                <w:spacing w:val="18"/>
                <w:sz w:val="20"/>
                <w:szCs w:val="20"/>
              </w:rPr>
              <w:t>土工织物膨润土</w:t>
            </w:r>
            <w:r>
              <w:rPr>
                <w:rFonts w:ascii="宋体" w:hAnsi="宋体" w:eastAsia="宋体" w:cs="宋体"/>
                <w:sz w:val="20"/>
                <w:szCs w:val="20"/>
              </w:rPr>
              <w:t xml:space="preserve"> </w:t>
            </w:r>
            <w:r>
              <w:rPr>
                <w:rFonts w:ascii="宋体" w:hAnsi="宋体" w:eastAsia="宋体" w:cs="宋体"/>
                <w:spacing w:val="6"/>
                <w:sz w:val="20"/>
                <w:szCs w:val="20"/>
              </w:rPr>
              <w:t>垫</w:t>
            </w:r>
            <w:r>
              <w:rPr>
                <w:rFonts w:ascii="宋体" w:hAnsi="宋体" w:eastAsia="宋体" w:cs="宋体"/>
                <w:spacing w:val="4"/>
                <w:sz w:val="20"/>
                <w:szCs w:val="20"/>
              </w:rPr>
              <w:t xml:space="preserve">) ，上部外加耐腐蚀混凝土 </w:t>
            </w: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(保护层) 等防渗，侧</w:t>
            </w:r>
            <w:r>
              <w:rPr>
                <w:rFonts w:ascii="宋体" w:hAnsi="宋体" w:eastAsia="宋体" w:cs="宋体"/>
                <w:sz w:val="20"/>
                <w:szCs w:val="20"/>
              </w:rPr>
              <w:t xml:space="preserve"> </w:t>
            </w:r>
            <w:r>
              <w:rPr>
                <w:rFonts w:ascii="宋体" w:hAnsi="宋体" w:eastAsia="宋体" w:cs="宋体"/>
                <w:spacing w:val="6"/>
                <w:sz w:val="20"/>
                <w:szCs w:val="20"/>
              </w:rPr>
              <w:t>壁</w:t>
            </w:r>
            <w:r>
              <w:rPr>
                <w:rFonts w:ascii="宋体" w:hAnsi="宋体" w:eastAsia="宋体" w:cs="宋体"/>
                <w:spacing w:val="4"/>
                <w:sz w:val="20"/>
                <w:szCs w:val="20"/>
              </w:rPr>
              <w:t xml:space="preserve">均设防渗墙；总防渗面积 </w:t>
            </w:r>
            <w:r>
              <w:rPr>
                <w:rFonts w:ascii="Times New Roman" w:hAnsi="Times New Roman" w:eastAsia="Times New Roman" w:cs="Times New Roman"/>
                <w:spacing w:val="4"/>
                <w:sz w:val="20"/>
                <w:szCs w:val="20"/>
              </w:rPr>
              <w:t>1117</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w:t>
            </w:r>
          </w:p>
        </w:tc>
        <w:tc>
          <w:tcPr>
            <w:tcW w:w="921" w:type="dxa"/>
            <w:tcBorders>
              <w:right w:val="nil"/>
            </w:tcBorders>
            <w:vAlign w:val="top"/>
          </w:tcPr>
          <w:p w14:paraId="5E6017D1">
            <w:pPr>
              <w:spacing w:line="305" w:lineRule="auto"/>
              <w:rPr>
                <w:rFonts w:ascii="Arial"/>
                <w:sz w:val="21"/>
              </w:rPr>
            </w:pPr>
          </w:p>
          <w:p w14:paraId="45E4CDA3">
            <w:pPr>
              <w:spacing w:line="305" w:lineRule="auto"/>
              <w:rPr>
                <w:rFonts w:ascii="Arial"/>
                <w:sz w:val="21"/>
              </w:rPr>
            </w:pPr>
          </w:p>
          <w:p w14:paraId="35E9C38B">
            <w:pPr>
              <w:spacing w:line="306" w:lineRule="auto"/>
              <w:rPr>
                <w:rFonts w:ascii="Arial"/>
                <w:sz w:val="21"/>
              </w:rPr>
            </w:pPr>
          </w:p>
          <w:p w14:paraId="4DED93BB">
            <w:pPr>
              <w:spacing w:before="57"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r>
      <w:tr w14:paraId="2FAB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552" w:type="dxa"/>
            <w:tcBorders>
              <w:left w:val="nil"/>
            </w:tcBorders>
            <w:vAlign w:val="top"/>
          </w:tcPr>
          <w:p w14:paraId="3E9C2B9E">
            <w:pPr>
              <w:spacing w:line="411" w:lineRule="auto"/>
              <w:rPr>
                <w:rFonts w:ascii="Arial"/>
                <w:sz w:val="21"/>
              </w:rPr>
            </w:pPr>
          </w:p>
          <w:p w14:paraId="03A12FE7">
            <w:pPr>
              <w:spacing w:before="5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596" w:type="dxa"/>
            <w:vMerge w:val="continue"/>
            <w:tcBorders>
              <w:top w:val="nil"/>
              <w:bottom w:val="nil"/>
            </w:tcBorders>
            <w:vAlign w:val="top"/>
          </w:tcPr>
          <w:p w14:paraId="551EFEB7">
            <w:pPr>
              <w:rPr>
                <w:rFonts w:ascii="Arial"/>
                <w:sz w:val="21"/>
              </w:rPr>
            </w:pPr>
          </w:p>
        </w:tc>
        <w:tc>
          <w:tcPr>
            <w:tcW w:w="5321" w:type="dxa"/>
            <w:vAlign w:val="top"/>
          </w:tcPr>
          <w:p w14:paraId="066F3669">
            <w:pPr>
              <w:spacing w:before="56" w:line="297" w:lineRule="auto"/>
              <w:ind w:left="28" w:right="18" w:firstLine="4"/>
              <w:rPr>
                <w:rFonts w:ascii="宋体" w:hAnsi="宋体" w:eastAsia="宋体" w:cs="宋体"/>
                <w:sz w:val="20"/>
                <w:szCs w:val="20"/>
              </w:rPr>
            </w:pPr>
            <w:r>
              <w:rPr>
                <w:rFonts w:ascii="宋体" w:hAnsi="宋体" w:eastAsia="宋体" w:cs="宋体"/>
                <w:spacing w:val="18"/>
                <w:sz w:val="20"/>
                <w:szCs w:val="20"/>
              </w:rPr>
              <w:t>办</w:t>
            </w:r>
            <w:r>
              <w:rPr>
                <w:rFonts w:ascii="宋体" w:hAnsi="宋体" w:eastAsia="宋体" w:cs="宋体"/>
                <w:spacing w:val="17"/>
                <w:sz w:val="20"/>
                <w:szCs w:val="20"/>
              </w:rPr>
              <w:t>公</w:t>
            </w:r>
            <w:r>
              <w:rPr>
                <w:rFonts w:ascii="宋体" w:hAnsi="宋体" w:eastAsia="宋体" w:cs="宋体"/>
                <w:spacing w:val="9"/>
                <w:sz w:val="20"/>
                <w:szCs w:val="20"/>
              </w:rPr>
              <w:t>室、</w:t>
            </w:r>
            <w:r>
              <w:rPr>
                <w:rFonts w:ascii="Times New Roman" w:hAnsi="Times New Roman" w:eastAsia="Times New Roman" w:cs="Times New Roman"/>
                <w:spacing w:val="9"/>
                <w:sz w:val="20"/>
                <w:szCs w:val="20"/>
              </w:rPr>
              <w:t>1#</w:t>
            </w:r>
            <w:r>
              <w:rPr>
                <w:rFonts w:ascii="宋体" w:hAnsi="宋体" w:eastAsia="宋体" w:cs="宋体"/>
                <w:spacing w:val="9"/>
                <w:sz w:val="20"/>
                <w:szCs w:val="20"/>
              </w:rPr>
              <w:t>员工休息室、</w:t>
            </w:r>
            <w:r>
              <w:rPr>
                <w:rFonts w:ascii="Times New Roman" w:hAnsi="Times New Roman" w:eastAsia="Times New Roman" w:cs="Times New Roman"/>
                <w:spacing w:val="9"/>
                <w:sz w:val="20"/>
                <w:szCs w:val="20"/>
              </w:rPr>
              <w:t>2#</w:t>
            </w:r>
            <w:r>
              <w:rPr>
                <w:rFonts w:ascii="宋体" w:hAnsi="宋体" w:eastAsia="宋体" w:cs="宋体"/>
                <w:spacing w:val="9"/>
                <w:sz w:val="20"/>
                <w:szCs w:val="20"/>
              </w:rPr>
              <w:t>员工休息室、备品备件库底部</w:t>
            </w:r>
            <w:r>
              <w:rPr>
                <w:rFonts w:ascii="宋体" w:hAnsi="宋体" w:eastAsia="宋体" w:cs="宋体"/>
                <w:sz w:val="20"/>
                <w:szCs w:val="20"/>
              </w:rPr>
              <w:t xml:space="preserve"> </w:t>
            </w:r>
            <w:r>
              <w:rPr>
                <w:rFonts w:ascii="宋体" w:hAnsi="宋体" w:eastAsia="宋体" w:cs="宋体"/>
                <w:spacing w:val="8"/>
                <w:sz w:val="20"/>
                <w:szCs w:val="20"/>
              </w:rPr>
              <w:t>做基</w:t>
            </w:r>
            <w:r>
              <w:rPr>
                <w:rFonts w:ascii="宋体" w:hAnsi="宋体" w:eastAsia="宋体" w:cs="宋体"/>
                <w:spacing w:val="6"/>
                <w:sz w:val="20"/>
                <w:szCs w:val="20"/>
              </w:rPr>
              <w:t>础</w:t>
            </w:r>
            <w:r>
              <w:rPr>
                <w:rFonts w:ascii="宋体" w:hAnsi="宋体" w:eastAsia="宋体" w:cs="宋体"/>
                <w:spacing w:val="4"/>
                <w:sz w:val="20"/>
                <w:szCs w:val="20"/>
              </w:rPr>
              <w:t xml:space="preserve">防渗，铺设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厚黏土层，再用耐腐蚀混凝土 </w:t>
            </w: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cm </w:t>
            </w:r>
            <w:r>
              <w:rPr>
                <w:rFonts w:ascii="宋体" w:hAnsi="宋体" w:eastAsia="宋体" w:cs="宋体"/>
                <w:spacing w:val="6"/>
                <w:sz w:val="20"/>
                <w:szCs w:val="20"/>
              </w:rPr>
              <w:t xml:space="preserve">浇铸，上部铺设耐腐蚀砖；总防渗面积 </w:t>
            </w:r>
            <w:r>
              <w:rPr>
                <w:rFonts w:ascii="Times New Roman" w:hAnsi="Times New Roman" w:eastAsia="Times New Roman" w:cs="Times New Roman"/>
                <w:spacing w:val="6"/>
                <w:sz w:val="20"/>
                <w:szCs w:val="20"/>
              </w:rPr>
              <w:t>600</w:t>
            </w:r>
            <w:r>
              <w:rPr>
                <w:rFonts w:ascii="Times New Roman" w:hAnsi="Times New Roman" w:eastAsia="Times New Roman" w:cs="Times New Roman"/>
                <w:sz w:val="20"/>
                <w:szCs w:val="20"/>
              </w:rPr>
              <w:t>m</w:t>
            </w:r>
            <w:r>
              <w:rPr>
                <w:rFonts w:ascii="Times New Roman" w:hAnsi="Times New Roman" w:eastAsia="Times New Roman" w:cs="Times New Roman"/>
                <w:spacing w:val="6"/>
                <w:position w:val="6"/>
                <w:sz w:val="13"/>
                <w:szCs w:val="13"/>
              </w:rPr>
              <w:t>2</w:t>
            </w:r>
            <w:r>
              <w:rPr>
                <w:rFonts w:ascii="宋体" w:hAnsi="宋体" w:eastAsia="宋体" w:cs="宋体"/>
                <w:spacing w:val="6"/>
                <w:sz w:val="20"/>
                <w:szCs w:val="20"/>
              </w:rPr>
              <w:t>。</w:t>
            </w:r>
          </w:p>
        </w:tc>
        <w:tc>
          <w:tcPr>
            <w:tcW w:w="921" w:type="dxa"/>
            <w:tcBorders>
              <w:right w:val="nil"/>
            </w:tcBorders>
            <w:vAlign w:val="top"/>
          </w:tcPr>
          <w:p w14:paraId="0A2304E2">
            <w:pPr>
              <w:spacing w:line="411" w:lineRule="auto"/>
              <w:rPr>
                <w:rFonts w:ascii="Arial"/>
                <w:sz w:val="21"/>
              </w:rPr>
            </w:pPr>
          </w:p>
          <w:p w14:paraId="5A3EACF8">
            <w:pPr>
              <w:spacing w:before="58"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14:paraId="76B02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52" w:type="dxa"/>
            <w:tcBorders>
              <w:left w:val="nil"/>
            </w:tcBorders>
            <w:vAlign w:val="top"/>
          </w:tcPr>
          <w:p w14:paraId="200F8BE7">
            <w:pPr>
              <w:spacing w:line="243" w:lineRule="auto"/>
              <w:rPr>
                <w:rFonts w:ascii="Arial"/>
                <w:sz w:val="21"/>
              </w:rPr>
            </w:pPr>
          </w:p>
          <w:p w14:paraId="4939CA3A">
            <w:pPr>
              <w:spacing w:before="57"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596" w:type="dxa"/>
            <w:vMerge w:val="continue"/>
            <w:tcBorders>
              <w:top w:val="nil"/>
            </w:tcBorders>
            <w:vAlign w:val="top"/>
          </w:tcPr>
          <w:p w14:paraId="7E10A9CE">
            <w:pPr>
              <w:rPr>
                <w:rFonts w:ascii="Arial"/>
                <w:sz w:val="21"/>
              </w:rPr>
            </w:pPr>
          </w:p>
        </w:tc>
        <w:tc>
          <w:tcPr>
            <w:tcW w:w="5321" w:type="dxa"/>
            <w:vAlign w:val="top"/>
          </w:tcPr>
          <w:p w14:paraId="2FAC0A83">
            <w:pPr>
              <w:spacing w:before="96" w:line="271" w:lineRule="auto"/>
              <w:ind w:left="29" w:right="22" w:hanging="1"/>
              <w:rPr>
                <w:rFonts w:ascii="宋体" w:hAnsi="宋体" w:eastAsia="宋体" w:cs="宋体"/>
                <w:sz w:val="20"/>
                <w:szCs w:val="20"/>
              </w:rPr>
            </w:pPr>
            <w:r>
              <w:rPr>
                <w:rFonts w:ascii="宋体" w:hAnsi="宋体" w:eastAsia="宋体" w:cs="宋体"/>
                <w:spacing w:val="20"/>
                <w:sz w:val="20"/>
                <w:szCs w:val="20"/>
              </w:rPr>
              <w:t>全</w:t>
            </w:r>
            <w:r>
              <w:rPr>
                <w:rFonts w:ascii="宋体" w:hAnsi="宋体" w:eastAsia="宋体" w:cs="宋体"/>
                <w:spacing w:val="14"/>
                <w:sz w:val="20"/>
                <w:szCs w:val="20"/>
              </w:rPr>
              <w:t>场</w:t>
            </w:r>
            <w:r>
              <w:rPr>
                <w:rFonts w:ascii="宋体" w:hAnsi="宋体" w:eastAsia="宋体" w:cs="宋体"/>
                <w:spacing w:val="10"/>
                <w:sz w:val="20"/>
                <w:szCs w:val="20"/>
              </w:rPr>
              <w:t>区均需硬化防渗，采取混凝土地面，上涂耐磨环氧树</w:t>
            </w:r>
            <w:r>
              <w:rPr>
                <w:rFonts w:ascii="宋体" w:hAnsi="宋体" w:eastAsia="宋体" w:cs="宋体"/>
                <w:sz w:val="20"/>
                <w:szCs w:val="20"/>
              </w:rPr>
              <w:t xml:space="preserve"> </w:t>
            </w:r>
            <w:r>
              <w:rPr>
                <w:rFonts w:ascii="宋体" w:hAnsi="宋体" w:eastAsia="宋体" w:cs="宋体"/>
                <w:spacing w:val="8"/>
                <w:sz w:val="20"/>
                <w:szCs w:val="20"/>
              </w:rPr>
              <w:t>脂地</w:t>
            </w:r>
            <w:r>
              <w:rPr>
                <w:rFonts w:ascii="宋体" w:hAnsi="宋体" w:eastAsia="宋体" w:cs="宋体"/>
                <w:spacing w:val="6"/>
                <w:sz w:val="20"/>
                <w:szCs w:val="20"/>
              </w:rPr>
              <w:t>面</w:t>
            </w:r>
            <w:r>
              <w:rPr>
                <w:rFonts w:ascii="宋体" w:hAnsi="宋体" w:eastAsia="宋体" w:cs="宋体"/>
                <w:spacing w:val="4"/>
                <w:sz w:val="20"/>
                <w:szCs w:val="20"/>
              </w:rPr>
              <w:t xml:space="preserve">涂料；总防渗面积 </w:t>
            </w:r>
            <w:r>
              <w:rPr>
                <w:rFonts w:ascii="Times New Roman" w:hAnsi="Times New Roman" w:eastAsia="Times New Roman" w:cs="Times New Roman"/>
                <w:spacing w:val="4"/>
                <w:sz w:val="20"/>
                <w:szCs w:val="20"/>
              </w:rPr>
              <w:t>4338</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w:t>
            </w:r>
          </w:p>
        </w:tc>
        <w:tc>
          <w:tcPr>
            <w:tcW w:w="921" w:type="dxa"/>
            <w:tcBorders>
              <w:right w:val="nil"/>
            </w:tcBorders>
            <w:vAlign w:val="top"/>
          </w:tcPr>
          <w:p w14:paraId="0C5D4AB2">
            <w:pPr>
              <w:spacing w:line="243" w:lineRule="auto"/>
              <w:rPr>
                <w:rFonts w:ascii="Arial"/>
                <w:sz w:val="21"/>
              </w:rPr>
            </w:pPr>
          </w:p>
          <w:p w14:paraId="0DE099F1">
            <w:pPr>
              <w:spacing w:before="57" w:line="198"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.3</w:t>
            </w:r>
          </w:p>
        </w:tc>
      </w:tr>
      <w:tr w14:paraId="1D6C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0DB34163">
            <w:pPr>
              <w:spacing w:before="13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596" w:type="dxa"/>
            <w:vAlign w:val="top"/>
          </w:tcPr>
          <w:p w14:paraId="41C5C52D">
            <w:pPr>
              <w:spacing w:before="98" w:line="228" w:lineRule="auto"/>
              <w:ind w:left="57"/>
              <w:rPr>
                <w:rFonts w:ascii="宋体" w:hAnsi="宋体" w:eastAsia="宋体" w:cs="宋体"/>
                <w:sz w:val="20"/>
                <w:szCs w:val="20"/>
              </w:rPr>
            </w:pPr>
            <w:r>
              <w:rPr>
                <w:rFonts w:ascii="宋体" w:hAnsi="宋体" w:eastAsia="宋体" w:cs="宋体"/>
                <w:spacing w:val="10"/>
                <w:sz w:val="20"/>
                <w:szCs w:val="20"/>
              </w:rPr>
              <w:t>运营期噪声治理</w:t>
            </w:r>
          </w:p>
        </w:tc>
        <w:tc>
          <w:tcPr>
            <w:tcW w:w="5321" w:type="dxa"/>
            <w:vAlign w:val="top"/>
          </w:tcPr>
          <w:p w14:paraId="273A345C">
            <w:pPr>
              <w:spacing w:before="98" w:line="228" w:lineRule="auto"/>
              <w:ind w:left="569"/>
              <w:rPr>
                <w:rFonts w:ascii="宋体" w:hAnsi="宋体" w:eastAsia="宋体" w:cs="宋体"/>
                <w:sz w:val="20"/>
                <w:szCs w:val="20"/>
              </w:rPr>
            </w:pPr>
            <w:r>
              <w:rPr>
                <w:rFonts w:ascii="宋体" w:hAnsi="宋体" w:eastAsia="宋体" w:cs="宋体"/>
                <w:spacing w:val="15"/>
                <w:sz w:val="20"/>
                <w:szCs w:val="20"/>
              </w:rPr>
              <w:t>设</w:t>
            </w:r>
            <w:r>
              <w:rPr>
                <w:rFonts w:ascii="宋体" w:hAnsi="宋体" w:eastAsia="宋体" w:cs="宋体"/>
                <w:spacing w:val="9"/>
                <w:sz w:val="20"/>
                <w:szCs w:val="20"/>
              </w:rPr>
              <w:t>备基础减振、风机安装消声器、隔声材料等</w:t>
            </w:r>
          </w:p>
        </w:tc>
        <w:tc>
          <w:tcPr>
            <w:tcW w:w="921" w:type="dxa"/>
            <w:tcBorders>
              <w:right w:val="nil"/>
            </w:tcBorders>
            <w:vAlign w:val="top"/>
          </w:tcPr>
          <w:p w14:paraId="78766B14">
            <w:pPr>
              <w:spacing w:before="133"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.6</w:t>
            </w:r>
          </w:p>
        </w:tc>
      </w:tr>
      <w:tr w14:paraId="19A11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1013BF3D">
            <w:pPr>
              <w:spacing w:before="13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596" w:type="dxa"/>
            <w:vMerge w:val="restart"/>
            <w:tcBorders>
              <w:bottom w:val="nil"/>
            </w:tcBorders>
            <w:vAlign w:val="top"/>
          </w:tcPr>
          <w:p w14:paraId="52F9C647">
            <w:pPr>
              <w:spacing w:before="271" w:line="228" w:lineRule="auto"/>
              <w:ind w:left="57"/>
              <w:rPr>
                <w:rFonts w:ascii="宋体" w:hAnsi="宋体" w:eastAsia="宋体" w:cs="宋体"/>
                <w:sz w:val="20"/>
                <w:szCs w:val="20"/>
              </w:rPr>
            </w:pPr>
            <w:r>
              <w:rPr>
                <w:rFonts w:ascii="宋体" w:hAnsi="宋体" w:eastAsia="宋体" w:cs="宋体"/>
                <w:spacing w:val="10"/>
                <w:sz w:val="20"/>
                <w:szCs w:val="20"/>
              </w:rPr>
              <w:t>运营期固废治理</w:t>
            </w:r>
          </w:p>
        </w:tc>
        <w:tc>
          <w:tcPr>
            <w:tcW w:w="5321" w:type="dxa"/>
            <w:vAlign w:val="top"/>
          </w:tcPr>
          <w:p w14:paraId="4B0B9414">
            <w:pPr>
              <w:spacing w:before="98" w:line="228" w:lineRule="auto"/>
              <w:ind w:left="1868"/>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个封闭式垃圾箱</w:t>
            </w:r>
          </w:p>
        </w:tc>
        <w:tc>
          <w:tcPr>
            <w:tcW w:w="921" w:type="dxa"/>
            <w:tcBorders>
              <w:right w:val="nil"/>
            </w:tcBorders>
            <w:vAlign w:val="top"/>
          </w:tcPr>
          <w:p w14:paraId="39EEBF52">
            <w:pPr>
              <w:spacing w:before="134"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w:t>
            </w:r>
            <w:r>
              <w:rPr>
                <w:rFonts w:ascii="Times New Roman" w:hAnsi="Times New Roman" w:eastAsia="Times New Roman" w:cs="Times New Roman"/>
                <w:spacing w:val="7"/>
                <w:sz w:val="20"/>
                <w:szCs w:val="20"/>
              </w:rPr>
              <w:t>.1</w:t>
            </w:r>
          </w:p>
        </w:tc>
      </w:tr>
      <w:tr w14:paraId="25981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4614DE53">
            <w:pPr>
              <w:spacing w:before="13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596" w:type="dxa"/>
            <w:vMerge w:val="continue"/>
            <w:tcBorders>
              <w:top w:val="nil"/>
            </w:tcBorders>
            <w:vAlign w:val="top"/>
          </w:tcPr>
          <w:p w14:paraId="5C107939">
            <w:pPr>
              <w:rPr>
                <w:rFonts w:ascii="Arial"/>
                <w:sz w:val="21"/>
              </w:rPr>
            </w:pPr>
          </w:p>
        </w:tc>
        <w:tc>
          <w:tcPr>
            <w:tcW w:w="5321" w:type="dxa"/>
            <w:vAlign w:val="top"/>
          </w:tcPr>
          <w:p w14:paraId="6817ED4E">
            <w:pPr>
              <w:spacing w:before="96" w:line="228" w:lineRule="auto"/>
              <w:ind w:left="1763"/>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座危险废物暂存间</w:t>
            </w:r>
          </w:p>
        </w:tc>
        <w:tc>
          <w:tcPr>
            <w:tcW w:w="921" w:type="dxa"/>
            <w:tcBorders>
              <w:right w:val="nil"/>
            </w:tcBorders>
            <w:vAlign w:val="top"/>
          </w:tcPr>
          <w:p w14:paraId="112DC126">
            <w:pPr>
              <w:spacing w:before="132"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r>
      <w:tr w14:paraId="14C9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2" w:type="dxa"/>
            <w:tcBorders>
              <w:left w:val="nil"/>
            </w:tcBorders>
            <w:vAlign w:val="top"/>
          </w:tcPr>
          <w:p w14:paraId="3007C4ED">
            <w:pPr>
              <w:spacing w:before="13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596" w:type="dxa"/>
            <w:vAlign w:val="top"/>
          </w:tcPr>
          <w:p w14:paraId="7B8D30A2">
            <w:pPr>
              <w:spacing w:before="97" w:line="228" w:lineRule="auto"/>
              <w:ind w:left="384"/>
              <w:rPr>
                <w:rFonts w:ascii="宋体" w:hAnsi="宋体" w:eastAsia="宋体" w:cs="宋体"/>
                <w:sz w:val="20"/>
                <w:szCs w:val="20"/>
              </w:rPr>
            </w:pPr>
            <w:r>
              <w:rPr>
                <w:rFonts w:ascii="宋体" w:hAnsi="宋体" w:eastAsia="宋体" w:cs="宋体"/>
                <w:spacing w:val="7"/>
                <w:sz w:val="20"/>
                <w:szCs w:val="20"/>
              </w:rPr>
              <w:t>风险防控</w:t>
            </w:r>
          </w:p>
        </w:tc>
        <w:tc>
          <w:tcPr>
            <w:tcW w:w="5321" w:type="dxa"/>
            <w:vAlign w:val="top"/>
          </w:tcPr>
          <w:p w14:paraId="29AC0092">
            <w:pPr>
              <w:spacing w:before="96" w:line="228" w:lineRule="auto"/>
              <w:ind w:left="773"/>
              <w:rPr>
                <w:rFonts w:ascii="宋体" w:hAnsi="宋体" w:eastAsia="宋体" w:cs="宋体"/>
                <w:sz w:val="20"/>
                <w:szCs w:val="20"/>
              </w:rPr>
            </w:pPr>
            <w:r>
              <w:rPr>
                <w:rFonts w:ascii="宋体" w:hAnsi="宋体" w:eastAsia="宋体" w:cs="宋体"/>
                <w:spacing w:val="6"/>
                <w:sz w:val="20"/>
                <w:szCs w:val="20"/>
              </w:rPr>
              <w:t>在</w:t>
            </w:r>
            <w:r>
              <w:rPr>
                <w:rFonts w:ascii="宋体" w:hAnsi="宋体" w:eastAsia="宋体" w:cs="宋体"/>
                <w:spacing w:val="3"/>
                <w:sz w:val="20"/>
                <w:szCs w:val="20"/>
              </w:rPr>
              <w:t xml:space="preserve">厂区北侧设置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座容积为 </w:t>
            </w:r>
            <w:r>
              <w:rPr>
                <w:rFonts w:ascii="Times New Roman" w:hAnsi="Times New Roman" w:eastAsia="Times New Roman" w:cs="Times New Roman"/>
                <w:spacing w:val="3"/>
                <w:sz w:val="20"/>
                <w:szCs w:val="20"/>
              </w:rPr>
              <w:t>160</w:t>
            </w:r>
            <w:r>
              <w:rPr>
                <w:rFonts w:ascii="Times New Roman" w:hAnsi="Times New Roman" w:eastAsia="Times New Roman" w:cs="Times New Roman"/>
                <w:sz w:val="20"/>
                <w:szCs w:val="20"/>
              </w:rPr>
              <w:t>m</w:t>
            </w:r>
            <w:r>
              <w:rPr>
                <w:rFonts w:ascii="Times New Roman" w:hAnsi="Times New Roman" w:eastAsia="Times New Roman" w:cs="Times New Roman"/>
                <w:spacing w:val="3"/>
                <w:position w:val="6"/>
                <w:sz w:val="13"/>
                <w:szCs w:val="13"/>
              </w:rPr>
              <w:t xml:space="preserve">3 </w:t>
            </w:r>
            <w:r>
              <w:rPr>
                <w:rFonts w:ascii="宋体" w:hAnsi="宋体" w:eastAsia="宋体" w:cs="宋体"/>
                <w:spacing w:val="3"/>
                <w:sz w:val="20"/>
                <w:szCs w:val="20"/>
              </w:rPr>
              <w:t>事故池</w:t>
            </w:r>
          </w:p>
        </w:tc>
        <w:tc>
          <w:tcPr>
            <w:tcW w:w="921" w:type="dxa"/>
            <w:tcBorders>
              <w:right w:val="nil"/>
            </w:tcBorders>
            <w:vAlign w:val="top"/>
          </w:tcPr>
          <w:p w14:paraId="6C6A20C4">
            <w:pPr>
              <w:spacing w:before="132"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14:paraId="144F8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552" w:type="dxa"/>
            <w:tcBorders>
              <w:left w:val="nil"/>
            </w:tcBorders>
            <w:vAlign w:val="top"/>
          </w:tcPr>
          <w:p w14:paraId="3DFCE982">
            <w:pPr>
              <w:spacing w:before="97" w:line="229" w:lineRule="auto"/>
              <w:ind w:left="74"/>
              <w:rPr>
                <w:rFonts w:ascii="宋体" w:hAnsi="宋体" w:eastAsia="宋体" w:cs="宋体"/>
                <w:sz w:val="20"/>
                <w:szCs w:val="20"/>
              </w:rPr>
            </w:pPr>
            <w:r>
              <w:rPr>
                <w:rFonts w:ascii="宋体" w:hAnsi="宋体" w:eastAsia="宋体" w:cs="宋体"/>
                <w:spacing w:val="4"/>
                <w:sz w:val="20"/>
                <w:szCs w:val="20"/>
              </w:rPr>
              <w:t>合计</w:t>
            </w:r>
          </w:p>
        </w:tc>
        <w:tc>
          <w:tcPr>
            <w:tcW w:w="6917" w:type="dxa"/>
            <w:gridSpan w:val="2"/>
            <w:vAlign w:val="top"/>
          </w:tcPr>
          <w:p w14:paraId="1E146756">
            <w:pPr>
              <w:rPr>
                <w:rFonts w:ascii="Arial"/>
                <w:sz w:val="21"/>
              </w:rPr>
            </w:pPr>
          </w:p>
        </w:tc>
        <w:tc>
          <w:tcPr>
            <w:tcW w:w="921" w:type="dxa"/>
            <w:tcBorders>
              <w:right w:val="nil"/>
            </w:tcBorders>
            <w:vAlign w:val="top"/>
          </w:tcPr>
          <w:p w14:paraId="35E76029">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87. 1</w:t>
            </w:r>
          </w:p>
        </w:tc>
      </w:tr>
    </w:tbl>
    <w:p w14:paraId="407A2363">
      <w:pPr>
        <w:spacing w:before="284" w:line="226" w:lineRule="auto"/>
        <w:ind w:left="52"/>
        <w:outlineLvl w:val="2"/>
        <w:rPr>
          <w:rFonts w:ascii="宋体" w:hAnsi="宋体" w:eastAsia="宋体" w:cs="宋体"/>
          <w:sz w:val="29"/>
          <w:szCs w:val="29"/>
        </w:rPr>
      </w:pPr>
      <w:r>
        <w:rPr>
          <w:rFonts w:ascii="Times New Roman" w:hAnsi="Times New Roman" w:eastAsia="Times New Roman" w:cs="Times New Roman"/>
          <w:b/>
          <w:bCs/>
          <w:spacing w:val="14"/>
          <w:sz w:val="29"/>
          <w:szCs w:val="29"/>
        </w:rPr>
        <w:t>8</w:t>
      </w:r>
      <w:r>
        <w:rPr>
          <w:rFonts w:ascii="Times New Roman" w:hAnsi="Times New Roman" w:eastAsia="Times New Roman" w:cs="Times New Roman"/>
          <w:b/>
          <w:bCs/>
          <w:spacing w:val="9"/>
          <w:sz w:val="29"/>
          <w:szCs w:val="29"/>
        </w:rPr>
        <w:t>.</w:t>
      </w:r>
      <w:r>
        <w:rPr>
          <w:rFonts w:ascii="Times New Roman" w:hAnsi="Times New Roman" w:eastAsia="Times New Roman" w:cs="Times New Roman"/>
          <w:b/>
          <w:bCs/>
          <w:spacing w:val="7"/>
          <w:sz w:val="29"/>
          <w:szCs w:val="29"/>
        </w:rPr>
        <w:t>4.2</w:t>
      </w:r>
      <w:r>
        <w:rPr>
          <w:rFonts w:ascii="Times New Roman" w:hAnsi="Times New Roman" w:eastAsia="Times New Roman" w:cs="Times New Roman"/>
          <w:spacing w:val="7"/>
          <w:sz w:val="29"/>
          <w:szCs w:val="29"/>
        </w:rPr>
        <w:t xml:space="preserve">  </w:t>
      </w:r>
      <w:r>
        <w:rPr>
          <w:rFonts w:ascii="宋体" w:hAnsi="宋体" w:eastAsia="宋体" w:cs="宋体"/>
          <w:spacing w:val="7"/>
          <w:sz w:val="29"/>
          <w:szCs w:val="29"/>
          <w14:textOutline w14:w="5448" w14:cap="sq" w14:cmpd="sng">
            <w14:solidFill>
              <w14:srgbClr w14:val="000000"/>
            </w14:solidFill>
            <w14:prstDash w14:val="solid"/>
            <w14:bevel/>
          </w14:textOutline>
        </w:rPr>
        <w:t>环保措施的环境效益分析</w:t>
      </w:r>
    </w:p>
    <w:p w14:paraId="07603FEF">
      <w:pPr>
        <w:spacing w:line="256" w:lineRule="auto"/>
        <w:rPr>
          <w:rFonts w:ascii="Arial"/>
          <w:sz w:val="21"/>
        </w:rPr>
      </w:pPr>
    </w:p>
    <w:p w14:paraId="253F8D77">
      <w:pPr>
        <w:spacing w:before="75" w:line="389" w:lineRule="auto"/>
        <w:ind w:left="49" w:firstLine="485"/>
        <w:rPr>
          <w:rFonts w:ascii="宋体" w:hAnsi="宋体" w:eastAsia="宋体" w:cs="宋体"/>
          <w:sz w:val="23"/>
          <w:szCs w:val="23"/>
        </w:rPr>
      </w:pPr>
      <w:r>
        <w:rPr>
          <w:rFonts w:ascii="宋体" w:hAnsi="宋体" w:eastAsia="宋体" w:cs="宋体"/>
          <w:spacing w:val="12"/>
          <w:sz w:val="23"/>
          <w:szCs w:val="23"/>
        </w:rPr>
        <w:t>项目采取</w:t>
      </w:r>
      <w:r>
        <w:rPr>
          <w:rFonts w:ascii="宋体" w:hAnsi="宋体" w:eastAsia="宋体" w:cs="宋体"/>
          <w:spacing w:val="7"/>
          <w:sz w:val="23"/>
          <w:szCs w:val="23"/>
        </w:rPr>
        <w:t>的</w:t>
      </w:r>
      <w:r>
        <w:rPr>
          <w:rFonts w:ascii="宋体" w:hAnsi="宋体" w:eastAsia="宋体" w:cs="宋体"/>
          <w:spacing w:val="6"/>
          <w:sz w:val="23"/>
          <w:szCs w:val="23"/>
        </w:rPr>
        <w:t>环境保护措施比较完善，噪声控制技术及废气、废水处理实用有</w:t>
      </w:r>
      <w:r>
        <w:rPr>
          <w:rFonts w:ascii="宋体" w:hAnsi="宋体" w:eastAsia="宋体" w:cs="宋体"/>
          <w:sz w:val="23"/>
          <w:szCs w:val="23"/>
        </w:rPr>
        <w:t xml:space="preserve"> </w:t>
      </w:r>
      <w:r>
        <w:rPr>
          <w:rFonts w:ascii="宋体" w:hAnsi="宋体" w:eastAsia="宋体" w:cs="宋体"/>
          <w:spacing w:val="4"/>
          <w:sz w:val="23"/>
          <w:szCs w:val="23"/>
        </w:rPr>
        <w:t>效且经济。</w:t>
      </w:r>
      <w:r>
        <w:rPr>
          <w:rFonts w:ascii="宋体" w:hAnsi="宋体" w:eastAsia="宋体" w:cs="宋体"/>
          <w:spacing w:val="2"/>
          <w:sz w:val="23"/>
          <w:szCs w:val="23"/>
        </w:rPr>
        <w:t>项目虽然能够保证废气达标排放，固废有序处置处理，厂界噪声达标，</w:t>
      </w:r>
      <w:r>
        <w:rPr>
          <w:rFonts w:ascii="宋体" w:hAnsi="宋体" w:eastAsia="宋体" w:cs="宋体"/>
          <w:sz w:val="23"/>
          <w:szCs w:val="23"/>
        </w:rPr>
        <w:t xml:space="preserve"> </w:t>
      </w:r>
      <w:r>
        <w:rPr>
          <w:rFonts w:ascii="宋体" w:hAnsi="宋体" w:eastAsia="宋体" w:cs="宋体"/>
          <w:spacing w:val="4"/>
          <w:sz w:val="23"/>
          <w:szCs w:val="23"/>
        </w:rPr>
        <w:t>但项目实施</w:t>
      </w:r>
      <w:r>
        <w:rPr>
          <w:rFonts w:ascii="宋体" w:hAnsi="宋体" w:eastAsia="宋体" w:cs="宋体"/>
          <w:spacing w:val="2"/>
          <w:sz w:val="23"/>
          <w:szCs w:val="23"/>
        </w:rPr>
        <w:t>的同时增大了环境的纳污负荷。经预测，项目对周围环境的影响较小，</w:t>
      </w:r>
      <w:r>
        <w:rPr>
          <w:rFonts w:ascii="宋体" w:hAnsi="宋体" w:eastAsia="宋体" w:cs="宋体"/>
          <w:sz w:val="23"/>
          <w:szCs w:val="23"/>
        </w:rPr>
        <w:t xml:space="preserve"> </w:t>
      </w:r>
      <w:r>
        <w:rPr>
          <w:rFonts w:ascii="宋体" w:hAnsi="宋体" w:eastAsia="宋体" w:cs="宋体"/>
          <w:spacing w:val="12"/>
          <w:sz w:val="23"/>
          <w:szCs w:val="23"/>
        </w:rPr>
        <w:t>因</w:t>
      </w:r>
      <w:r>
        <w:rPr>
          <w:rFonts w:ascii="宋体" w:hAnsi="宋体" w:eastAsia="宋体" w:cs="宋体"/>
          <w:spacing w:val="8"/>
          <w:sz w:val="23"/>
          <w:szCs w:val="23"/>
        </w:rPr>
        <w:t>此环境效益比较显著。</w:t>
      </w:r>
    </w:p>
    <w:p w14:paraId="5B2DE8D6">
      <w:pPr>
        <w:spacing w:before="69" w:line="225" w:lineRule="auto"/>
        <w:ind w:left="53"/>
        <w:outlineLvl w:val="1"/>
        <w:rPr>
          <w:rFonts w:ascii="宋体" w:hAnsi="宋体" w:eastAsia="宋体" w:cs="宋体"/>
          <w:sz w:val="31"/>
          <w:szCs w:val="31"/>
        </w:rPr>
      </w:pPr>
      <w:bookmarkStart w:id="41" w:name="_bookmark42"/>
      <w:bookmarkEnd w:id="41"/>
      <w:r>
        <w:rPr>
          <w:rFonts w:ascii="Times New Roman" w:hAnsi="Times New Roman" w:eastAsia="Times New Roman" w:cs="Times New Roman"/>
          <w:b/>
          <w:bCs/>
          <w:spacing w:val="14"/>
          <w:sz w:val="31"/>
          <w:szCs w:val="31"/>
        </w:rPr>
        <w:t>8</w:t>
      </w:r>
      <w:r>
        <w:rPr>
          <w:rFonts w:ascii="Times New Roman" w:hAnsi="Times New Roman" w:eastAsia="Times New Roman" w:cs="Times New Roman"/>
          <w:b/>
          <w:bCs/>
          <w:spacing w:val="11"/>
          <w:sz w:val="31"/>
          <w:szCs w:val="31"/>
        </w:rPr>
        <w:t>.</w:t>
      </w:r>
      <w:r>
        <w:rPr>
          <w:rFonts w:ascii="Times New Roman" w:hAnsi="Times New Roman" w:eastAsia="Times New Roman" w:cs="Times New Roman"/>
          <w:b/>
          <w:bCs/>
          <w:spacing w:val="7"/>
          <w:sz w:val="31"/>
          <w:szCs w:val="31"/>
        </w:rPr>
        <w:t>5</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环境经济损益分析结论</w:t>
      </w:r>
    </w:p>
    <w:p w14:paraId="4585E0D4">
      <w:pPr>
        <w:spacing w:line="250" w:lineRule="auto"/>
        <w:rPr>
          <w:rFonts w:ascii="Arial"/>
          <w:sz w:val="21"/>
        </w:rPr>
      </w:pPr>
    </w:p>
    <w:p w14:paraId="1B6B8DB8">
      <w:pPr>
        <w:spacing w:before="75" w:line="390" w:lineRule="auto"/>
        <w:ind w:left="71" w:right="61" w:firstLine="461"/>
        <w:rPr>
          <w:rFonts w:ascii="宋体" w:hAnsi="宋体" w:eastAsia="宋体" w:cs="宋体"/>
          <w:sz w:val="23"/>
          <w:szCs w:val="23"/>
        </w:rPr>
      </w:pPr>
      <w:r>
        <w:rPr>
          <w:rFonts w:ascii="宋体" w:hAnsi="宋体" w:eastAsia="宋体" w:cs="宋体"/>
          <w:spacing w:val="7"/>
          <w:sz w:val="23"/>
          <w:szCs w:val="23"/>
        </w:rPr>
        <w:t>本项目工艺技术先进成熟，规模适当，技术力量有保障，市场前景广阔，</w:t>
      </w:r>
      <w:r>
        <w:rPr>
          <w:rFonts w:ascii="宋体" w:hAnsi="宋体" w:eastAsia="宋体" w:cs="宋体"/>
          <w:spacing w:val="4"/>
          <w:sz w:val="23"/>
          <w:szCs w:val="23"/>
        </w:rPr>
        <w:t>项</w:t>
      </w:r>
      <w:r>
        <w:rPr>
          <w:rFonts w:ascii="宋体" w:hAnsi="宋体" w:eastAsia="宋体" w:cs="宋体"/>
          <w:sz w:val="23"/>
          <w:szCs w:val="23"/>
        </w:rPr>
        <w:t xml:space="preserve"> </w:t>
      </w:r>
      <w:r>
        <w:rPr>
          <w:rFonts w:ascii="宋体" w:hAnsi="宋体" w:eastAsia="宋体" w:cs="宋体"/>
          <w:spacing w:val="12"/>
          <w:sz w:val="23"/>
          <w:szCs w:val="23"/>
        </w:rPr>
        <w:t>目本</w:t>
      </w:r>
      <w:r>
        <w:rPr>
          <w:rFonts w:ascii="宋体" w:hAnsi="宋体" w:eastAsia="宋体" w:cs="宋体"/>
          <w:spacing w:val="11"/>
          <w:sz w:val="23"/>
          <w:szCs w:val="23"/>
        </w:rPr>
        <w:t>身</w:t>
      </w:r>
      <w:r>
        <w:rPr>
          <w:rFonts w:ascii="宋体" w:hAnsi="宋体" w:eastAsia="宋体" w:cs="宋体"/>
          <w:spacing w:val="6"/>
          <w:sz w:val="23"/>
          <w:szCs w:val="23"/>
        </w:rPr>
        <w:t>具有较强的盈利能力和抗风险能力，经济、社会效益显著，产品具有广阔</w:t>
      </w:r>
      <w:r>
        <w:rPr>
          <w:rFonts w:ascii="宋体" w:hAnsi="宋体" w:eastAsia="宋体" w:cs="宋体"/>
          <w:sz w:val="23"/>
          <w:szCs w:val="23"/>
        </w:rPr>
        <w:t xml:space="preserve"> </w:t>
      </w:r>
      <w:r>
        <w:rPr>
          <w:rFonts w:ascii="宋体" w:hAnsi="宋体" w:eastAsia="宋体" w:cs="宋体"/>
          <w:spacing w:val="5"/>
          <w:sz w:val="23"/>
          <w:szCs w:val="23"/>
        </w:rPr>
        <w:t>的</w:t>
      </w:r>
      <w:r>
        <w:rPr>
          <w:rFonts w:ascii="宋体" w:hAnsi="宋体" w:eastAsia="宋体" w:cs="宋体"/>
          <w:spacing w:val="3"/>
          <w:sz w:val="23"/>
          <w:szCs w:val="23"/>
        </w:rPr>
        <w:t>市场前景。</w:t>
      </w:r>
    </w:p>
    <w:p w14:paraId="004F648A">
      <w:pPr>
        <w:sectPr>
          <w:footerReference r:id="rId317" w:type="default"/>
          <w:pgSz w:w="11906" w:h="16839"/>
          <w:pgMar w:top="1132" w:right="1735" w:bottom="1182" w:left="1758" w:header="878" w:footer="1022" w:gutter="0"/>
          <w:cols w:space="720" w:num="1"/>
        </w:sectPr>
      </w:pPr>
    </w:p>
    <w:p w14:paraId="6B278491">
      <w:pPr>
        <w:spacing w:line="421" w:lineRule="auto"/>
        <w:rPr>
          <w:rFonts w:ascii="Arial"/>
          <w:sz w:val="21"/>
        </w:rPr>
      </w:pPr>
      <w:r>
        <w:pict>
          <v:shape id="_x0000_s1376" o:spid="_x0000_s1376" style="position:absolute;left:0pt;margin-left:90pt;margin-top:57.35pt;height:0.75pt;width:415.3pt;mso-position-horizontal-relative:page;mso-position-vertical-relative:page;z-index:252071936;mso-width-relative:page;mso-height-relative:page;" fillcolor="#000000" filled="t" stroked="f" coordsize="8305,15" o:allowincell="f" path="m0,0l8305,0,8305,14,0,14,0,0xe">
            <v:path/>
            <v:fill on="t" focussize="0,0"/>
            <v:stroke on="f"/>
            <v:imagedata o:title=""/>
            <o:lock v:ext="edit"/>
          </v:shape>
        </w:pict>
      </w:r>
    </w:p>
    <w:p w14:paraId="49C11749">
      <w:pPr>
        <w:spacing w:before="114" w:line="225" w:lineRule="auto"/>
        <w:ind w:left="25"/>
        <w:outlineLvl w:val="0"/>
        <w:rPr>
          <w:rFonts w:ascii="宋体" w:hAnsi="宋体" w:eastAsia="宋体" w:cs="宋体"/>
          <w:sz w:val="35"/>
          <w:szCs w:val="35"/>
        </w:rPr>
      </w:pPr>
      <w:bookmarkStart w:id="42" w:name="_bookmark43"/>
      <w:bookmarkEnd w:id="42"/>
      <w:r>
        <w:rPr>
          <w:rFonts w:ascii="Times New Roman" w:hAnsi="Times New Roman" w:eastAsia="Times New Roman" w:cs="Times New Roman"/>
          <w:b/>
          <w:bCs/>
          <w:spacing w:val="12"/>
          <w:sz w:val="35"/>
          <w:szCs w:val="35"/>
        </w:rPr>
        <w:t>9</w:t>
      </w:r>
      <w:r>
        <w:rPr>
          <w:rFonts w:ascii="Times New Roman" w:hAnsi="Times New Roman" w:eastAsia="Times New Roman" w:cs="Times New Roman"/>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环境管理与监测计划</w:t>
      </w:r>
    </w:p>
    <w:p w14:paraId="722DBD94">
      <w:pPr>
        <w:spacing w:before="244" w:line="225" w:lineRule="auto"/>
        <w:ind w:left="23"/>
        <w:outlineLvl w:val="1"/>
        <w:rPr>
          <w:rFonts w:ascii="宋体" w:hAnsi="宋体" w:eastAsia="宋体" w:cs="宋体"/>
          <w:sz w:val="31"/>
          <w:szCs w:val="31"/>
        </w:rPr>
      </w:pPr>
      <w:bookmarkStart w:id="43" w:name="_bookmark44"/>
      <w:bookmarkEnd w:id="43"/>
      <w:r>
        <w:rPr>
          <w:rFonts w:ascii="Times New Roman" w:hAnsi="Times New Roman" w:eastAsia="Times New Roman" w:cs="Times New Roman"/>
          <w:b/>
          <w:bCs/>
          <w:spacing w:val="10"/>
          <w:sz w:val="31"/>
          <w:szCs w:val="31"/>
        </w:rPr>
        <w:t>9</w:t>
      </w:r>
      <w:r>
        <w:rPr>
          <w:rFonts w:ascii="Times New Roman" w:hAnsi="Times New Roman" w:eastAsia="Times New Roman" w:cs="Times New Roman"/>
          <w:b/>
          <w:bCs/>
          <w:spacing w:val="5"/>
          <w:sz w:val="31"/>
          <w:szCs w:val="31"/>
        </w:rPr>
        <w:t>.1</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环境管理</w:t>
      </w:r>
    </w:p>
    <w:p w14:paraId="5A27D86B">
      <w:pPr>
        <w:spacing w:line="249" w:lineRule="auto"/>
        <w:rPr>
          <w:rFonts w:ascii="Arial"/>
          <w:sz w:val="21"/>
        </w:rPr>
      </w:pPr>
    </w:p>
    <w:p w14:paraId="0234B05B">
      <w:pPr>
        <w:spacing w:before="75" w:line="391" w:lineRule="auto"/>
        <w:ind w:left="23" w:right="80" w:firstLine="480"/>
        <w:rPr>
          <w:rFonts w:ascii="宋体" w:hAnsi="宋体" w:eastAsia="宋体" w:cs="宋体"/>
          <w:sz w:val="23"/>
          <w:szCs w:val="23"/>
        </w:rPr>
      </w:pPr>
      <w:r>
        <w:rPr>
          <w:rFonts w:ascii="宋体" w:hAnsi="宋体" w:eastAsia="宋体" w:cs="宋体"/>
          <w:spacing w:val="7"/>
          <w:sz w:val="23"/>
          <w:szCs w:val="23"/>
        </w:rPr>
        <w:t>环境管理是以环境科学理论为基础，运用经济、法律、技术、行政、教育</w:t>
      </w:r>
      <w:r>
        <w:rPr>
          <w:rFonts w:ascii="宋体" w:hAnsi="宋体" w:eastAsia="宋体" w:cs="宋体"/>
          <w:spacing w:val="3"/>
          <w:sz w:val="23"/>
          <w:szCs w:val="23"/>
        </w:rPr>
        <w:t>等</w:t>
      </w:r>
      <w:r>
        <w:rPr>
          <w:rFonts w:ascii="宋体" w:hAnsi="宋体" w:eastAsia="宋体" w:cs="宋体"/>
          <w:sz w:val="23"/>
          <w:szCs w:val="23"/>
        </w:rPr>
        <w:t xml:space="preserve"> </w:t>
      </w:r>
      <w:r>
        <w:rPr>
          <w:rFonts w:ascii="宋体" w:hAnsi="宋体" w:eastAsia="宋体" w:cs="宋体"/>
          <w:spacing w:val="9"/>
          <w:sz w:val="23"/>
          <w:szCs w:val="23"/>
        </w:rPr>
        <w:t>手</w:t>
      </w:r>
      <w:r>
        <w:rPr>
          <w:rFonts w:ascii="宋体" w:hAnsi="宋体" w:eastAsia="宋体" w:cs="宋体"/>
          <w:spacing w:val="7"/>
          <w:sz w:val="23"/>
          <w:szCs w:val="23"/>
        </w:rPr>
        <w:t>段对经济、社会发展过程中施加给环境的污染和破坏影响进行调节控制，实现</w:t>
      </w:r>
      <w:r>
        <w:rPr>
          <w:rFonts w:ascii="宋体" w:hAnsi="宋体" w:eastAsia="宋体" w:cs="宋体"/>
          <w:sz w:val="23"/>
          <w:szCs w:val="23"/>
        </w:rPr>
        <w:t xml:space="preserve"> </w:t>
      </w:r>
      <w:r>
        <w:rPr>
          <w:rFonts w:ascii="宋体" w:hAnsi="宋体" w:eastAsia="宋体" w:cs="宋体"/>
          <w:spacing w:val="16"/>
          <w:sz w:val="23"/>
          <w:szCs w:val="23"/>
        </w:rPr>
        <w:t>经</w:t>
      </w:r>
      <w:r>
        <w:rPr>
          <w:rFonts w:ascii="宋体" w:hAnsi="宋体" w:eastAsia="宋体" w:cs="宋体"/>
          <w:spacing w:val="12"/>
          <w:sz w:val="23"/>
          <w:szCs w:val="23"/>
        </w:rPr>
        <w:t>济</w:t>
      </w:r>
      <w:r>
        <w:rPr>
          <w:rFonts w:ascii="宋体" w:hAnsi="宋体" w:eastAsia="宋体" w:cs="宋体"/>
          <w:spacing w:val="8"/>
          <w:sz w:val="23"/>
          <w:szCs w:val="23"/>
        </w:rPr>
        <w:t>、社会和环境效益的和谐统一。</w:t>
      </w:r>
    </w:p>
    <w:p w14:paraId="4833FD90">
      <w:pPr>
        <w:spacing w:before="136" w:line="390" w:lineRule="auto"/>
        <w:ind w:left="28" w:right="80" w:firstLine="478"/>
        <w:rPr>
          <w:rFonts w:ascii="宋体" w:hAnsi="宋体" w:eastAsia="宋体" w:cs="宋体"/>
          <w:sz w:val="23"/>
          <w:szCs w:val="23"/>
        </w:rPr>
      </w:pPr>
      <w:r>
        <w:rPr>
          <w:rFonts w:ascii="宋体" w:hAnsi="宋体" w:eastAsia="宋体" w:cs="宋体"/>
          <w:spacing w:val="12"/>
          <w:sz w:val="23"/>
          <w:szCs w:val="23"/>
        </w:rPr>
        <w:t>为全面贯</w:t>
      </w:r>
      <w:r>
        <w:rPr>
          <w:rFonts w:ascii="宋体" w:hAnsi="宋体" w:eastAsia="宋体" w:cs="宋体"/>
          <w:spacing w:val="8"/>
          <w:sz w:val="23"/>
          <w:szCs w:val="23"/>
        </w:rPr>
        <w:t>彻</w:t>
      </w:r>
      <w:r>
        <w:rPr>
          <w:rFonts w:ascii="宋体" w:hAnsi="宋体" w:eastAsia="宋体" w:cs="宋体"/>
          <w:spacing w:val="6"/>
          <w:sz w:val="23"/>
          <w:szCs w:val="23"/>
        </w:rPr>
        <w:t>和落实国家及地方环保法律、法规，加强企业内部污染物排放监</w:t>
      </w:r>
      <w:r>
        <w:rPr>
          <w:rFonts w:ascii="宋体" w:hAnsi="宋体" w:eastAsia="宋体" w:cs="宋体"/>
          <w:sz w:val="23"/>
          <w:szCs w:val="23"/>
        </w:rPr>
        <w:t xml:space="preserve"> </w:t>
      </w:r>
      <w:r>
        <w:rPr>
          <w:rFonts w:ascii="宋体" w:hAnsi="宋体" w:eastAsia="宋体" w:cs="宋体"/>
          <w:spacing w:val="7"/>
          <w:sz w:val="23"/>
          <w:szCs w:val="23"/>
        </w:rPr>
        <w:t>督控制，项目将环境保护纳入企业管理和生产计划之中，企业内部必须建立相</w:t>
      </w:r>
      <w:r>
        <w:rPr>
          <w:rFonts w:ascii="宋体" w:hAnsi="宋体" w:eastAsia="宋体" w:cs="宋体"/>
          <w:spacing w:val="4"/>
          <w:sz w:val="23"/>
          <w:szCs w:val="23"/>
        </w:rPr>
        <w:t>应</w:t>
      </w:r>
      <w:r>
        <w:rPr>
          <w:rFonts w:ascii="宋体" w:hAnsi="宋体" w:eastAsia="宋体" w:cs="宋体"/>
          <w:sz w:val="23"/>
          <w:szCs w:val="23"/>
        </w:rPr>
        <w:t xml:space="preserve"> </w:t>
      </w:r>
      <w:r>
        <w:rPr>
          <w:rFonts w:ascii="宋体" w:hAnsi="宋体" w:eastAsia="宋体" w:cs="宋体"/>
          <w:spacing w:val="9"/>
          <w:sz w:val="23"/>
          <w:szCs w:val="23"/>
        </w:rPr>
        <w:t>的</w:t>
      </w:r>
      <w:r>
        <w:rPr>
          <w:rFonts w:ascii="宋体" w:hAnsi="宋体" w:eastAsia="宋体" w:cs="宋体"/>
          <w:spacing w:val="8"/>
          <w:sz w:val="23"/>
          <w:szCs w:val="23"/>
        </w:rPr>
        <w:t>环境管理机构及监控计划。</w:t>
      </w:r>
    </w:p>
    <w:p w14:paraId="2611C8EC">
      <w:pPr>
        <w:spacing w:before="137" w:line="303" w:lineRule="exact"/>
        <w:ind w:left="522"/>
        <w:rPr>
          <w:rFonts w:ascii="宋体" w:hAnsi="宋体" w:eastAsia="宋体" w:cs="宋体"/>
          <w:sz w:val="23"/>
          <w:szCs w:val="23"/>
        </w:rPr>
      </w:pPr>
      <w:r>
        <w:rPr>
          <w:rFonts w:ascii="Times New Roman" w:hAnsi="Times New Roman" w:eastAsia="Times New Roman" w:cs="Times New Roman"/>
          <w:spacing w:val="-7"/>
          <w:position w:val="1"/>
          <w:sz w:val="23"/>
          <w:szCs w:val="23"/>
        </w:rPr>
        <w:t>1</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、管理机构</w:t>
      </w:r>
    </w:p>
    <w:p w14:paraId="3B053D19">
      <w:pPr>
        <w:spacing w:line="258" w:lineRule="auto"/>
        <w:rPr>
          <w:rFonts w:ascii="Arial"/>
          <w:sz w:val="21"/>
        </w:rPr>
      </w:pPr>
    </w:p>
    <w:p w14:paraId="392E57E6">
      <w:pPr>
        <w:spacing w:before="75" w:line="411" w:lineRule="auto"/>
        <w:ind w:left="23" w:firstLine="483"/>
        <w:rPr>
          <w:rFonts w:ascii="宋体" w:hAnsi="宋体" w:eastAsia="宋体" w:cs="宋体"/>
          <w:sz w:val="23"/>
          <w:szCs w:val="23"/>
        </w:rPr>
      </w:pPr>
      <w:r>
        <w:rPr>
          <w:rFonts w:ascii="宋体" w:hAnsi="宋体" w:eastAsia="宋体" w:cs="宋体"/>
          <w:spacing w:val="4"/>
          <w:sz w:val="23"/>
          <w:szCs w:val="23"/>
        </w:rPr>
        <w:t>企业</w:t>
      </w:r>
      <w:r>
        <w:rPr>
          <w:rFonts w:ascii="宋体" w:hAnsi="宋体" w:eastAsia="宋体" w:cs="宋体"/>
          <w:spacing w:val="3"/>
          <w:sz w:val="23"/>
          <w:szCs w:val="23"/>
        </w:rPr>
        <w:t>环</w:t>
      </w:r>
      <w:r>
        <w:rPr>
          <w:rFonts w:ascii="宋体" w:hAnsi="宋体" w:eastAsia="宋体" w:cs="宋体"/>
          <w:spacing w:val="2"/>
          <w:sz w:val="23"/>
          <w:szCs w:val="23"/>
        </w:rPr>
        <w:t>境管理，就是以管理工程和环境科学的理论为基础，运用技术、经济、</w:t>
      </w:r>
      <w:r>
        <w:rPr>
          <w:rFonts w:ascii="宋体" w:hAnsi="宋体" w:eastAsia="宋体" w:cs="宋体"/>
          <w:sz w:val="23"/>
          <w:szCs w:val="23"/>
        </w:rPr>
        <w:t xml:space="preserve"> </w:t>
      </w:r>
      <w:r>
        <w:rPr>
          <w:rFonts w:ascii="宋体" w:hAnsi="宋体" w:eastAsia="宋体" w:cs="宋体"/>
          <w:spacing w:val="9"/>
          <w:sz w:val="23"/>
          <w:szCs w:val="23"/>
        </w:rPr>
        <w:t>法</w:t>
      </w:r>
      <w:r>
        <w:rPr>
          <w:rFonts w:ascii="宋体" w:hAnsi="宋体" w:eastAsia="宋体" w:cs="宋体"/>
          <w:spacing w:val="7"/>
          <w:sz w:val="23"/>
          <w:szCs w:val="23"/>
        </w:rPr>
        <w:t>律、行政和教育手段，对损害环境质量的生产经营活动加以限制，协调发展生</w:t>
      </w:r>
      <w:r>
        <w:rPr>
          <w:rFonts w:ascii="宋体" w:hAnsi="宋体" w:eastAsia="宋体" w:cs="宋体"/>
          <w:sz w:val="23"/>
          <w:szCs w:val="23"/>
        </w:rPr>
        <w:t xml:space="preserve"> </w:t>
      </w:r>
      <w:r>
        <w:rPr>
          <w:rFonts w:ascii="宋体" w:hAnsi="宋体" w:eastAsia="宋体" w:cs="宋体"/>
          <w:spacing w:val="9"/>
          <w:sz w:val="23"/>
          <w:szCs w:val="23"/>
        </w:rPr>
        <w:t>产</w:t>
      </w:r>
      <w:r>
        <w:rPr>
          <w:rFonts w:ascii="宋体" w:hAnsi="宋体" w:eastAsia="宋体" w:cs="宋体"/>
          <w:spacing w:val="7"/>
          <w:sz w:val="23"/>
          <w:szCs w:val="23"/>
        </w:rPr>
        <w:t>与保护环境的关系，使生产目标与环境目标统一起来，经济效益与环境效益统</w:t>
      </w:r>
      <w:r>
        <w:rPr>
          <w:rFonts w:ascii="宋体" w:hAnsi="宋体" w:eastAsia="宋体" w:cs="宋体"/>
          <w:sz w:val="23"/>
          <w:szCs w:val="23"/>
        </w:rPr>
        <w:t xml:space="preserve"> </w:t>
      </w:r>
      <w:r>
        <w:rPr>
          <w:rFonts w:ascii="宋体" w:hAnsi="宋体" w:eastAsia="宋体" w:cs="宋体"/>
          <w:spacing w:val="5"/>
          <w:sz w:val="23"/>
          <w:szCs w:val="23"/>
        </w:rPr>
        <w:t>一起来。</w:t>
      </w:r>
    </w:p>
    <w:p w14:paraId="607AFE2D">
      <w:pPr>
        <w:spacing w:before="26" w:line="393" w:lineRule="auto"/>
        <w:ind w:left="24" w:right="80" w:firstLine="479"/>
        <w:rPr>
          <w:rFonts w:ascii="宋体" w:hAnsi="宋体" w:eastAsia="宋体" w:cs="宋体"/>
          <w:sz w:val="23"/>
          <w:szCs w:val="23"/>
        </w:rPr>
      </w:pPr>
      <w:r>
        <w:rPr>
          <w:rFonts w:ascii="宋体" w:hAnsi="宋体" w:eastAsia="宋体" w:cs="宋体"/>
          <w:spacing w:val="7"/>
          <w:sz w:val="23"/>
          <w:szCs w:val="23"/>
        </w:rPr>
        <w:t>根据项目的污染特点，建设单位应有一名副经理负责环保工作，设立环境</w:t>
      </w:r>
      <w:r>
        <w:rPr>
          <w:rFonts w:ascii="宋体" w:hAnsi="宋体" w:eastAsia="宋体" w:cs="宋体"/>
          <w:spacing w:val="3"/>
          <w:sz w:val="23"/>
          <w:szCs w:val="23"/>
        </w:rPr>
        <w:t>保</w:t>
      </w:r>
      <w:r>
        <w:rPr>
          <w:rFonts w:ascii="宋体" w:hAnsi="宋体" w:eastAsia="宋体" w:cs="宋体"/>
          <w:sz w:val="23"/>
          <w:szCs w:val="23"/>
        </w:rPr>
        <w:t xml:space="preserve"> </w:t>
      </w:r>
      <w:r>
        <w:rPr>
          <w:rFonts w:ascii="宋体" w:hAnsi="宋体" w:eastAsia="宋体" w:cs="宋体"/>
          <w:spacing w:val="9"/>
          <w:sz w:val="23"/>
          <w:szCs w:val="23"/>
        </w:rPr>
        <w:t>护管理机构，配备专职环保管理人员两人</w:t>
      </w:r>
      <w:r>
        <w:rPr>
          <w:rFonts w:ascii="宋体" w:hAnsi="宋体" w:eastAsia="宋体" w:cs="宋体"/>
          <w:spacing w:val="7"/>
          <w:sz w:val="23"/>
          <w:szCs w:val="23"/>
        </w:rPr>
        <w:t>。</w:t>
      </w:r>
    </w:p>
    <w:p w14:paraId="46F80750">
      <w:pPr>
        <w:spacing w:before="137" w:line="303" w:lineRule="exact"/>
        <w:ind w:left="499"/>
        <w:rPr>
          <w:rFonts w:ascii="宋体" w:hAnsi="宋体" w:eastAsia="宋体" w:cs="宋体"/>
          <w:sz w:val="23"/>
          <w:szCs w:val="23"/>
        </w:rPr>
      </w:pPr>
      <w:r>
        <w:rPr>
          <w:rFonts w:ascii="Times New Roman" w:hAnsi="Times New Roman" w:eastAsia="Times New Roman" w:cs="Times New Roman"/>
          <w:spacing w:val="6"/>
          <w:position w:val="1"/>
          <w:sz w:val="23"/>
          <w:szCs w:val="23"/>
        </w:rPr>
        <w:t xml:space="preserve">2 </w:t>
      </w:r>
      <w:r>
        <w:rPr>
          <w:rFonts w:ascii="宋体" w:hAnsi="宋体" w:eastAsia="宋体" w:cs="宋体"/>
          <w:spacing w:val="6"/>
          <w:position w:val="1"/>
          <w:sz w:val="23"/>
          <w:szCs w:val="23"/>
        </w:rPr>
        <w:t>、企业环境管理机构的基本职能与职</w:t>
      </w:r>
      <w:r>
        <w:rPr>
          <w:rFonts w:ascii="宋体" w:hAnsi="宋体" w:eastAsia="宋体" w:cs="宋体"/>
          <w:spacing w:val="4"/>
          <w:position w:val="1"/>
          <w:sz w:val="23"/>
          <w:szCs w:val="23"/>
        </w:rPr>
        <w:t>责</w:t>
      </w:r>
    </w:p>
    <w:p w14:paraId="57B1333D">
      <w:pPr>
        <w:spacing w:line="256" w:lineRule="auto"/>
        <w:rPr>
          <w:rFonts w:ascii="Arial"/>
          <w:sz w:val="21"/>
        </w:rPr>
      </w:pPr>
    </w:p>
    <w:p w14:paraId="2EFCBED9">
      <w:pPr>
        <w:spacing w:before="75" w:line="227"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基本职</w:t>
      </w:r>
      <w:r>
        <w:rPr>
          <w:rFonts w:ascii="宋体" w:hAnsi="宋体" w:eastAsia="宋体" w:cs="宋体"/>
          <w:spacing w:val="19"/>
          <w:sz w:val="23"/>
          <w:szCs w:val="23"/>
        </w:rPr>
        <w:t>能</w:t>
      </w:r>
    </w:p>
    <w:p w14:paraId="242E9005">
      <w:pPr>
        <w:spacing w:line="276" w:lineRule="auto"/>
        <w:rPr>
          <w:rFonts w:ascii="Arial"/>
          <w:sz w:val="21"/>
        </w:rPr>
      </w:pPr>
    </w:p>
    <w:p w14:paraId="503AA2CA">
      <w:pPr>
        <w:spacing w:before="76" w:line="227" w:lineRule="auto"/>
        <w:ind w:left="507"/>
        <w:rPr>
          <w:rFonts w:ascii="宋体" w:hAnsi="宋体" w:eastAsia="宋体" w:cs="宋体"/>
          <w:sz w:val="23"/>
          <w:szCs w:val="23"/>
        </w:rPr>
      </w:pPr>
      <w:r>
        <w:rPr>
          <w:rFonts w:ascii="宋体" w:hAnsi="宋体" w:eastAsia="宋体" w:cs="宋体"/>
          <w:spacing w:val="14"/>
          <w:sz w:val="23"/>
          <w:szCs w:val="23"/>
        </w:rPr>
        <w:t>企业环</w:t>
      </w:r>
      <w:r>
        <w:rPr>
          <w:rFonts w:ascii="宋体" w:hAnsi="宋体" w:eastAsia="宋体" w:cs="宋体"/>
          <w:spacing w:val="11"/>
          <w:sz w:val="23"/>
          <w:szCs w:val="23"/>
        </w:rPr>
        <w:t>境</w:t>
      </w:r>
      <w:r>
        <w:rPr>
          <w:rFonts w:ascii="宋体" w:hAnsi="宋体" w:eastAsia="宋体" w:cs="宋体"/>
          <w:spacing w:val="7"/>
          <w:sz w:val="23"/>
          <w:szCs w:val="23"/>
        </w:rPr>
        <w:t>管理机构是企业管理工作的职能部门，其基本职能有以下三方面：</w:t>
      </w:r>
    </w:p>
    <w:p w14:paraId="6E7D6C3C">
      <w:pPr>
        <w:spacing w:line="277" w:lineRule="auto"/>
        <w:rPr>
          <w:rFonts w:ascii="Arial"/>
          <w:sz w:val="21"/>
        </w:rPr>
      </w:pPr>
    </w:p>
    <w:p w14:paraId="7B1DCE3B">
      <w:pPr>
        <w:spacing w:before="75" w:line="225" w:lineRule="auto"/>
        <w:ind w:left="502"/>
        <w:rPr>
          <w:rFonts w:ascii="宋体" w:hAnsi="宋体" w:eastAsia="宋体" w:cs="宋体"/>
          <w:sz w:val="23"/>
          <w:szCs w:val="23"/>
        </w:rPr>
      </w:pPr>
      <w:r>
        <w:rPr>
          <w:rFonts w:ascii="宋体" w:hAnsi="宋体" w:eastAsia="宋体" w:cs="宋体"/>
          <w:spacing w:val="8"/>
          <w:sz w:val="23"/>
          <w:szCs w:val="23"/>
        </w:rPr>
        <w:t xml:space="preserve">①组织编制环境计划 (包括规划) </w:t>
      </w:r>
      <w:r>
        <w:rPr>
          <w:rFonts w:ascii="宋体" w:hAnsi="宋体" w:eastAsia="宋体" w:cs="宋体"/>
          <w:spacing w:val="6"/>
          <w:sz w:val="23"/>
          <w:szCs w:val="23"/>
        </w:rPr>
        <w:t>；</w:t>
      </w:r>
    </w:p>
    <w:p w14:paraId="53D82804">
      <w:pPr>
        <w:spacing w:line="279" w:lineRule="auto"/>
        <w:rPr>
          <w:rFonts w:ascii="Arial"/>
          <w:sz w:val="21"/>
        </w:rPr>
      </w:pPr>
    </w:p>
    <w:p w14:paraId="3EFBA40E">
      <w:pPr>
        <w:spacing w:before="75" w:line="225" w:lineRule="auto"/>
        <w:ind w:left="501"/>
        <w:rPr>
          <w:rFonts w:ascii="宋体" w:hAnsi="宋体" w:eastAsia="宋体" w:cs="宋体"/>
          <w:sz w:val="23"/>
          <w:szCs w:val="23"/>
        </w:rPr>
      </w:pPr>
      <w:r>
        <w:rPr>
          <w:rFonts w:ascii="宋体" w:hAnsi="宋体" w:eastAsia="宋体" w:cs="宋体"/>
          <w:spacing w:val="16"/>
          <w:sz w:val="23"/>
          <w:szCs w:val="23"/>
        </w:rPr>
        <w:t>②</w:t>
      </w:r>
      <w:r>
        <w:rPr>
          <w:rFonts w:ascii="宋体" w:hAnsi="宋体" w:eastAsia="宋体" w:cs="宋体"/>
          <w:spacing w:val="8"/>
          <w:sz w:val="23"/>
          <w:szCs w:val="23"/>
        </w:rPr>
        <w:t>组织环境保护工作的协调；</w:t>
      </w:r>
    </w:p>
    <w:p w14:paraId="00C6E526">
      <w:pPr>
        <w:spacing w:line="279" w:lineRule="auto"/>
        <w:rPr>
          <w:rFonts w:ascii="Arial"/>
          <w:sz w:val="21"/>
        </w:rPr>
      </w:pPr>
    </w:p>
    <w:p w14:paraId="135AF386">
      <w:pPr>
        <w:spacing w:before="75" w:line="225" w:lineRule="auto"/>
        <w:ind w:left="501"/>
        <w:rPr>
          <w:rFonts w:ascii="宋体" w:hAnsi="宋体" w:eastAsia="宋体" w:cs="宋体"/>
          <w:sz w:val="23"/>
          <w:szCs w:val="23"/>
        </w:rPr>
      </w:pPr>
      <w:r>
        <w:rPr>
          <w:rFonts w:ascii="宋体" w:hAnsi="宋体" w:eastAsia="宋体" w:cs="宋体"/>
          <w:spacing w:val="10"/>
          <w:sz w:val="23"/>
          <w:szCs w:val="23"/>
        </w:rPr>
        <w:t>③</w:t>
      </w:r>
      <w:r>
        <w:rPr>
          <w:rFonts w:ascii="宋体" w:hAnsi="宋体" w:eastAsia="宋体" w:cs="宋体"/>
          <w:spacing w:val="8"/>
          <w:sz w:val="23"/>
          <w:szCs w:val="23"/>
        </w:rPr>
        <w:t>实施企业环境监督。</w:t>
      </w:r>
    </w:p>
    <w:p w14:paraId="243D4493">
      <w:pPr>
        <w:spacing w:line="279" w:lineRule="auto"/>
        <w:rPr>
          <w:rFonts w:ascii="Arial"/>
          <w:sz w:val="21"/>
        </w:rPr>
      </w:pPr>
    </w:p>
    <w:p w14:paraId="13AEF260">
      <w:pPr>
        <w:spacing w:before="74" w:line="228" w:lineRule="auto"/>
        <w:ind w:left="51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2</w:t>
      </w:r>
      <w:r>
        <w:rPr>
          <w:rFonts w:ascii="宋体" w:hAnsi="宋体" w:eastAsia="宋体" w:cs="宋体"/>
          <w:spacing w:val="18"/>
          <w:sz w:val="23"/>
          <w:szCs w:val="23"/>
        </w:rPr>
        <w:t>) 主要工作职</w:t>
      </w:r>
      <w:r>
        <w:rPr>
          <w:rFonts w:ascii="宋体" w:hAnsi="宋体" w:eastAsia="宋体" w:cs="宋体"/>
          <w:spacing w:val="17"/>
          <w:sz w:val="23"/>
          <w:szCs w:val="23"/>
        </w:rPr>
        <w:t>责</w:t>
      </w:r>
    </w:p>
    <w:p w14:paraId="5956644A">
      <w:pPr>
        <w:spacing w:line="276" w:lineRule="auto"/>
        <w:rPr>
          <w:rFonts w:ascii="Arial"/>
          <w:sz w:val="21"/>
        </w:rPr>
      </w:pPr>
    </w:p>
    <w:p w14:paraId="3056C457">
      <w:pPr>
        <w:spacing w:before="76" w:line="393" w:lineRule="auto"/>
        <w:ind w:left="24" w:right="80" w:firstLine="478"/>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0"/>
          <w:sz w:val="23"/>
          <w:szCs w:val="23"/>
        </w:rPr>
        <w:t xml:space="preserve"> </w:t>
      </w:r>
      <w:r>
        <w:rPr>
          <w:rFonts w:ascii="宋体" w:hAnsi="宋体" w:eastAsia="宋体" w:cs="宋体"/>
          <w:spacing w:val="9"/>
          <w:sz w:val="23"/>
          <w:szCs w:val="23"/>
        </w:rPr>
        <w:t>、督促、检查本企业执行国家环境保护方针、政策、法规及本企业环境保</w:t>
      </w:r>
      <w:r>
        <w:rPr>
          <w:rFonts w:ascii="宋体" w:hAnsi="宋体" w:eastAsia="宋体" w:cs="宋体"/>
          <w:sz w:val="23"/>
          <w:szCs w:val="23"/>
        </w:rPr>
        <w:t xml:space="preserve"> </w:t>
      </w:r>
      <w:r>
        <w:rPr>
          <w:rFonts w:ascii="宋体" w:hAnsi="宋体" w:eastAsia="宋体" w:cs="宋体"/>
          <w:spacing w:val="5"/>
          <w:sz w:val="23"/>
          <w:szCs w:val="23"/>
        </w:rPr>
        <w:t>护制度</w:t>
      </w:r>
      <w:r>
        <w:rPr>
          <w:rFonts w:ascii="宋体" w:hAnsi="宋体" w:eastAsia="宋体" w:cs="宋体"/>
          <w:spacing w:val="4"/>
          <w:sz w:val="23"/>
          <w:szCs w:val="23"/>
        </w:rPr>
        <w:t>；</w:t>
      </w:r>
    </w:p>
    <w:p w14:paraId="5615C482">
      <w:pPr>
        <w:sectPr>
          <w:headerReference r:id="rId318" w:type="default"/>
          <w:footerReference r:id="rId319" w:type="default"/>
          <w:pgSz w:w="11906" w:h="16839"/>
          <w:pgMar w:top="1132" w:right="1719" w:bottom="1182" w:left="1785" w:header="878" w:footer="1022" w:gutter="0"/>
          <w:cols w:space="720" w:num="1"/>
        </w:sectPr>
      </w:pPr>
    </w:p>
    <w:p w14:paraId="37F2748B">
      <w:pPr>
        <w:spacing w:line="365" w:lineRule="auto"/>
        <w:rPr>
          <w:rFonts w:ascii="Arial"/>
          <w:sz w:val="21"/>
        </w:rPr>
      </w:pPr>
      <w:r>
        <w:pict>
          <v:shape id="_x0000_s1377" o:spid="_x0000_s1377" style="position:absolute;left:0pt;margin-left:90pt;margin-top:57.35pt;height:0.75pt;width:415.3pt;mso-position-horizontal-relative:page;mso-position-vertical-relative:page;z-index:252072960;mso-width-relative:page;mso-height-relative:page;" fillcolor="#000000" filled="t" stroked="f" coordsize="8305,15" o:allowincell="f" path="m0,0l8305,0,8305,14,0,14,0,0xe">
            <v:path/>
            <v:fill on="t" focussize="0,0"/>
            <v:stroke on="f"/>
            <v:imagedata o:title=""/>
            <o:lock v:ext="edit"/>
          </v:shape>
        </w:pict>
      </w:r>
    </w:p>
    <w:p w14:paraId="452B9A25">
      <w:pPr>
        <w:spacing w:before="75" w:line="396" w:lineRule="auto"/>
        <w:ind w:left="23" w:right="63" w:firstLine="470"/>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、拟定本企业环境管理办法，按照国家和地区的规定指定本企业污染物</w:t>
      </w:r>
      <w:r>
        <w:rPr>
          <w:rFonts w:ascii="宋体" w:hAnsi="宋体" w:eastAsia="宋体" w:cs="宋体"/>
          <w:spacing w:val="3"/>
          <w:sz w:val="23"/>
          <w:szCs w:val="23"/>
        </w:rPr>
        <w:t>排</w:t>
      </w:r>
      <w:r>
        <w:rPr>
          <w:rFonts w:ascii="宋体" w:hAnsi="宋体" w:eastAsia="宋体" w:cs="宋体"/>
          <w:sz w:val="23"/>
          <w:szCs w:val="23"/>
        </w:rPr>
        <w:t xml:space="preserve"> </w:t>
      </w:r>
      <w:r>
        <w:rPr>
          <w:rFonts w:ascii="宋体" w:hAnsi="宋体" w:eastAsia="宋体" w:cs="宋体"/>
          <w:spacing w:val="18"/>
          <w:sz w:val="23"/>
          <w:szCs w:val="23"/>
        </w:rPr>
        <w:t>放</w:t>
      </w:r>
      <w:r>
        <w:rPr>
          <w:rFonts w:ascii="宋体" w:hAnsi="宋体" w:eastAsia="宋体" w:cs="宋体"/>
          <w:spacing w:val="11"/>
          <w:sz w:val="23"/>
          <w:szCs w:val="23"/>
        </w:rPr>
        <w:t>指</w:t>
      </w:r>
      <w:r>
        <w:rPr>
          <w:rFonts w:ascii="宋体" w:hAnsi="宋体" w:eastAsia="宋体" w:cs="宋体"/>
          <w:spacing w:val="9"/>
          <w:sz w:val="23"/>
          <w:szCs w:val="23"/>
        </w:rPr>
        <w:t>标和污染综合防治的经济技术原则，做好企业升级环保考核工作；</w:t>
      </w:r>
    </w:p>
    <w:p w14:paraId="458F14E2">
      <w:pPr>
        <w:spacing w:before="172" w:line="303" w:lineRule="exact"/>
        <w:ind w:left="502"/>
        <w:rPr>
          <w:rFonts w:ascii="宋体" w:hAnsi="宋体" w:eastAsia="宋体" w:cs="宋体"/>
          <w:sz w:val="23"/>
          <w:szCs w:val="23"/>
        </w:rPr>
      </w:pPr>
      <w:r>
        <w:rPr>
          <w:rFonts w:ascii="Times New Roman" w:hAnsi="Times New Roman" w:eastAsia="Times New Roman" w:cs="Times New Roman"/>
          <w:position w:val="4"/>
          <w:sz w:val="23"/>
          <w:szCs w:val="23"/>
        </w:rPr>
        <w:t>c</w:t>
      </w:r>
      <w:r>
        <w:rPr>
          <w:rFonts w:ascii="Times New Roman" w:hAnsi="Times New Roman" w:eastAsia="Times New Roman" w:cs="Times New Roman"/>
          <w:spacing w:val="10"/>
          <w:position w:val="4"/>
          <w:sz w:val="23"/>
          <w:szCs w:val="23"/>
        </w:rPr>
        <w:t xml:space="preserve"> </w:t>
      </w:r>
      <w:r>
        <w:rPr>
          <w:rFonts w:ascii="宋体" w:hAnsi="宋体" w:eastAsia="宋体" w:cs="宋体"/>
          <w:spacing w:val="10"/>
          <w:position w:val="4"/>
          <w:sz w:val="23"/>
          <w:szCs w:val="23"/>
        </w:rPr>
        <w:t>、</w:t>
      </w:r>
      <w:r>
        <w:rPr>
          <w:rFonts w:ascii="宋体" w:hAnsi="宋体" w:eastAsia="宋体" w:cs="宋体"/>
          <w:spacing w:val="7"/>
          <w:position w:val="4"/>
          <w:sz w:val="23"/>
          <w:szCs w:val="23"/>
        </w:rPr>
        <w:t>负</w:t>
      </w:r>
      <w:r>
        <w:rPr>
          <w:rFonts w:ascii="宋体" w:hAnsi="宋体" w:eastAsia="宋体" w:cs="宋体"/>
          <w:spacing w:val="5"/>
          <w:position w:val="4"/>
          <w:sz w:val="23"/>
          <w:szCs w:val="23"/>
        </w:rPr>
        <w:t>责组织污染源调查，填写环保报表；</w:t>
      </w:r>
    </w:p>
    <w:p w14:paraId="6E589836">
      <w:pPr>
        <w:spacing w:before="289" w:line="396" w:lineRule="auto"/>
        <w:ind w:left="29" w:right="119" w:firstLine="472"/>
        <w:rPr>
          <w:rFonts w:ascii="宋体" w:hAnsi="宋体" w:eastAsia="宋体" w:cs="宋体"/>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w:t>
      </w:r>
      <w:r>
        <w:rPr>
          <w:rFonts w:ascii="宋体" w:hAnsi="宋体" w:eastAsia="宋体" w:cs="宋体"/>
          <w:spacing w:val="8"/>
          <w:sz w:val="23"/>
          <w:szCs w:val="23"/>
        </w:rPr>
        <w:t>组</w:t>
      </w:r>
      <w:r>
        <w:rPr>
          <w:rFonts w:ascii="宋体" w:hAnsi="宋体" w:eastAsia="宋体" w:cs="宋体"/>
          <w:spacing w:val="7"/>
          <w:sz w:val="23"/>
          <w:szCs w:val="23"/>
        </w:rPr>
        <w:t>织推动本企业在基本建设、技术改造中，贯彻执行</w:t>
      </w:r>
      <w:r>
        <w:rPr>
          <w:rFonts w:ascii="Times New Roman" w:hAnsi="Times New Roman" w:eastAsia="Times New Roman" w:cs="Times New Roman"/>
          <w:spacing w:val="7"/>
          <w:sz w:val="23"/>
          <w:szCs w:val="23"/>
        </w:rPr>
        <w:t>“</w:t>
      </w:r>
      <w:r>
        <w:rPr>
          <w:rFonts w:ascii="宋体" w:hAnsi="宋体" w:eastAsia="宋体" w:cs="宋体"/>
          <w:spacing w:val="7"/>
          <w:sz w:val="23"/>
          <w:szCs w:val="23"/>
        </w:rPr>
        <w:t>三同时</w:t>
      </w:r>
      <w:r>
        <w:rPr>
          <w:rFonts w:ascii="Times New Roman" w:hAnsi="Times New Roman" w:eastAsia="Times New Roman" w:cs="Times New Roman"/>
          <w:spacing w:val="7"/>
          <w:sz w:val="23"/>
          <w:szCs w:val="23"/>
        </w:rPr>
        <w:t>”</w:t>
      </w:r>
      <w:r>
        <w:rPr>
          <w:rFonts w:ascii="宋体" w:hAnsi="宋体" w:eastAsia="宋体" w:cs="宋体"/>
          <w:spacing w:val="7"/>
          <w:sz w:val="23"/>
          <w:szCs w:val="23"/>
        </w:rPr>
        <w:t>的规定，</w:t>
      </w:r>
      <w:r>
        <w:rPr>
          <w:rFonts w:ascii="宋体" w:hAnsi="宋体" w:eastAsia="宋体" w:cs="宋体"/>
          <w:sz w:val="23"/>
          <w:szCs w:val="23"/>
        </w:rPr>
        <w:t xml:space="preserve"> </w:t>
      </w:r>
      <w:r>
        <w:rPr>
          <w:rFonts w:ascii="宋体" w:hAnsi="宋体" w:eastAsia="宋体" w:cs="宋体"/>
          <w:spacing w:val="16"/>
          <w:sz w:val="23"/>
          <w:szCs w:val="23"/>
        </w:rPr>
        <w:t>并</w:t>
      </w:r>
      <w:r>
        <w:rPr>
          <w:rFonts w:ascii="宋体" w:hAnsi="宋体" w:eastAsia="宋体" w:cs="宋体"/>
          <w:spacing w:val="10"/>
          <w:sz w:val="23"/>
          <w:szCs w:val="23"/>
        </w:rPr>
        <w:t>参</w:t>
      </w:r>
      <w:r>
        <w:rPr>
          <w:rFonts w:ascii="宋体" w:hAnsi="宋体" w:eastAsia="宋体" w:cs="宋体"/>
          <w:spacing w:val="8"/>
          <w:sz w:val="23"/>
          <w:szCs w:val="23"/>
        </w:rPr>
        <w:t>加有关方案的审定及竣工验收工作；</w:t>
      </w:r>
    </w:p>
    <w:p w14:paraId="14C7C010">
      <w:pPr>
        <w:spacing w:before="172" w:line="393" w:lineRule="auto"/>
        <w:ind w:left="24" w:right="61" w:firstLine="478"/>
        <w:rPr>
          <w:rFonts w:ascii="宋体" w:hAnsi="宋体" w:eastAsia="宋体" w:cs="宋体"/>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、加强与主管环保部</w:t>
      </w:r>
      <w:r>
        <w:rPr>
          <w:rFonts w:hint="eastAsia" w:ascii="宋体" w:hAnsi="宋体" w:eastAsia="宋体" w:cs="宋体"/>
          <w:spacing w:val="9"/>
          <w:sz w:val="23"/>
          <w:szCs w:val="23"/>
          <w:lang w:eastAsia="zh-CN"/>
        </w:rPr>
        <w:t>门</w:t>
      </w:r>
      <w:r>
        <w:rPr>
          <w:rFonts w:ascii="宋体" w:hAnsi="宋体" w:eastAsia="宋体" w:cs="宋体"/>
          <w:spacing w:val="9"/>
          <w:sz w:val="23"/>
          <w:szCs w:val="23"/>
        </w:rPr>
        <w:t>的联系，会同有关单位做好环境预测，制定企业环</w:t>
      </w:r>
      <w:r>
        <w:rPr>
          <w:rFonts w:ascii="宋体" w:hAnsi="宋体" w:eastAsia="宋体" w:cs="宋体"/>
          <w:sz w:val="23"/>
          <w:szCs w:val="23"/>
        </w:rPr>
        <w:t xml:space="preserve"> </w:t>
      </w:r>
      <w:r>
        <w:rPr>
          <w:rFonts w:ascii="宋体" w:hAnsi="宋体" w:eastAsia="宋体" w:cs="宋体"/>
          <w:spacing w:val="9"/>
          <w:sz w:val="23"/>
          <w:szCs w:val="23"/>
        </w:rPr>
        <w:t>境保护长远规划和年度计划，并督促实施</w:t>
      </w:r>
      <w:r>
        <w:rPr>
          <w:rFonts w:ascii="宋体" w:hAnsi="宋体" w:eastAsia="宋体" w:cs="宋体"/>
          <w:spacing w:val="7"/>
          <w:sz w:val="23"/>
          <w:szCs w:val="23"/>
        </w:rPr>
        <w:t>；</w:t>
      </w:r>
    </w:p>
    <w:p w14:paraId="6550715C">
      <w:pPr>
        <w:spacing w:before="92" w:line="511" w:lineRule="auto"/>
        <w:ind w:left="501" w:right="1389" w:firstLine="2"/>
        <w:rPr>
          <w:rFonts w:ascii="宋体" w:hAnsi="宋体" w:eastAsia="宋体" w:cs="宋体"/>
          <w:sz w:val="23"/>
          <w:szCs w:val="23"/>
        </w:rPr>
      </w:pPr>
      <w:r>
        <w:rPr>
          <w:rFonts w:ascii="Times New Roman" w:hAnsi="Times New Roman" w:eastAsia="Times New Roman" w:cs="Times New Roman"/>
          <w:sz w:val="23"/>
          <w:szCs w:val="23"/>
        </w:rPr>
        <w:t>f</w:t>
      </w:r>
      <w:r>
        <w:rPr>
          <w:rFonts w:ascii="宋体" w:hAnsi="宋体" w:eastAsia="宋体" w:cs="宋体"/>
          <w:spacing w:val="14"/>
          <w:sz w:val="23"/>
          <w:szCs w:val="23"/>
        </w:rPr>
        <w:t>、</w:t>
      </w:r>
      <w:r>
        <w:rPr>
          <w:rFonts w:ascii="宋体" w:hAnsi="宋体" w:eastAsia="宋体" w:cs="宋体"/>
          <w:spacing w:val="13"/>
          <w:sz w:val="23"/>
          <w:szCs w:val="23"/>
        </w:rPr>
        <w:t>组</w:t>
      </w:r>
      <w:r>
        <w:rPr>
          <w:rFonts w:ascii="宋体" w:hAnsi="宋体" w:eastAsia="宋体" w:cs="宋体"/>
          <w:spacing w:val="7"/>
          <w:sz w:val="23"/>
          <w:szCs w:val="23"/>
        </w:rPr>
        <w:t>织有关部门和人员，检查企业环境质量状况及发展趋势；</w:t>
      </w:r>
      <w:r>
        <w:rPr>
          <w:rFonts w:ascii="宋体" w:hAnsi="宋体" w:eastAsia="宋体" w:cs="宋体"/>
          <w:sz w:val="23"/>
          <w:szCs w:val="23"/>
        </w:rPr>
        <w:t xml:space="preserve"> </w:t>
      </w:r>
      <w:r>
        <w:rPr>
          <w:rFonts w:ascii="Times New Roman" w:hAnsi="Times New Roman" w:eastAsia="Times New Roman" w:cs="Times New Roman"/>
          <w:sz w:val="23"/>
          <w:szCs w:val="23"/>
        </w:rPr>
        <w:t>g</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w:t>
      </w:r>
      <w:r>
        <w:rPr>
          <w:rFonts w:ascii="宋体" w:hAnsi="宋体" w:eastAsia="宋体" w:cs="宋体"/>
          <w:spacing w:val="6"/>
          <w:sz w:val="23"/>
          <w:szCs w:val="23"/>
        </w:rPr>
        <w:t>监督全厂环境保护设施的运行与污染物的排放；</w:t>
      </w:r>
    </w:p>
    <w:p w14:paraId="1C0AB0D9">
      <w:pPr>
        <w:spacing w:line="636" w:lineRule="exact"/>
        <w:ind w:left="495"/>
        <w:rPr>
          <w:rFonts w:ascii="宋体" w:hAnsi="宋体" w:eastAsia="宋体" w:cs="宋体"/>
          <w:sz w:val="23"/>
          <w:szCs w:val="23"/>
        </w:rPr>
      </w:pPr>
      <w:r>
        <w:rPr>
          <w:rFonts w:ascii="Times New Roman" w:hAnsi="Times New Roman" w:eastAsia="Times New Roman" w:cs="Times New Roman"/>
          <w:position w:val="27"/>
          <w:sz w:val="23"/>
          <w:szCs w:val="23"/>
        </w:rPr>
        <w:t>h</w:t>
      </w:r>
      <w:r>
        <w:rPr>
          <w:rFonts w:ascii="Times New Roman" w:hAnsi="Times New Roman" w:eastAsia="Times New Roman" w:cs="Times New Roman"/>
          <w:spacing w:val="12"/>
          <w:position w:val="27"/>
          <w:sz w:val="23"/>
          <w:szCs w:val="23"/>
        </w:rPr>
        <w:t xml:space="preserve"> </w:t>
      </w:r>
      <w:r>
        <w:rPr>
          <w:rFonts w:ascii="宋体" w:hAnsi="宋体" w:eastAsia="宋体" w:cs="宋体"/>
          <w:spacing w:val="12"/>
          <w:position w:val="27"/>
          <w:sz w:val="23"/>
          <w:szCs w:val="23"/>
        </w:rPr>
        <w:t>、</w:t>
      </w:r>
      <w:r>
        <w:rPr>
          <w:rFonts w:ascii="宋体" w:hAnsi="宋体" w:eastAsia="宋体" w:cs="宋体"/>
          <w:spacing w:val="8"/>
          <w:position w:val="27"/>
          <w:sz w:val="23"/>
          <w:szCs w:val="23"/>
        </w:rPr>
        <w:t>会</w:t>
      </w:r>
      <w:r>
        <w:rPr>
          <w:rFonts w:ascii="宋体" w:hAnsi="宋体" w:eastAsia="宋体" w:cs="宋体"/>
          <w:spacing w:val="6"/>
          <w:position w:val="27"/>
          <w:sz w:val="23"/>
          <w:szCs w:val="23"/>
        </w:rPr>
        <w:t>同有关单位组织和开展企业环境科研工作；</w:t>
      </w:r>
    </w:p>
    <w:p w14:paraId="6FBFBE82">
      <w:pPr>
        <w:spacing w:line="323" w:lineRule="exact"/>
        <w:ind w:left="501"/>
        <w:rPr>
          <w:rFonts w:ascii="宋体" w:hAnsi="宋体" w:eastAsia="宋体" w:cs="宋体"/>
          <w:sz w:val="23"/>
          <w:szCs w:val="23"/>
        </w:rPr>
      </w:pPr>
      <w:r>
        <w:rPr>
          <w:rFonts w:ascii="Times New Roman" w:hAnsi="Times New Roman" w:eastAsia="Times New Roman" w:cs="Times New Roman"/>
          <w:position w:val="2"/>
          <w:sz w:val="23"/>
          <w:szCs w:val="23"/>
        </w:rPr>
        <w:t>i</w:t>
      </w:r>
      <w:r>
        <w:rPr>
          <w:rFonts w:ascii="Times New Roman" w:hAnsi="Times New Roman" w:eastAsia="Times New Roman" w:cs="Times New Roman"/>
          <w:spacing w:val="6"/>
          <w:position w:val="2"/>
          <w:sz w:val="23"/>
          <w:szCs w:val="23"/>
        </w:rPr>
        <w:t xml:space="preserve"> </w:t>
      </w:r>
      <w:r>
        <w:rPr>
          <w:rFonts w:ascii="宋体" w:hAnsi="宋体" w:eastAsia="宋体" w:cs="宋体"/>
          <w:spacing w:val="6"/>
          <w:position w:val="2"/>
          <w:sz w:val="23"/>
          <w:szCs w:val="23"/>
        </w:rPr>
        <w:t>、负责组织本企业污染事故的调查与处理</w:t>
      </w:r>
      <w:r>
        <w:rPr>
          <w:rFonts w:ascii="宋体" w:hAnsi="宋体" w:eastAsia="宋体" w:cs="宋体"/>
          <w:spacing w:val="2"/>
          <w:position w:val="2"/>
          <w:sz w:val="23"/>
          <w:szCs w:val="23"/>
        </w:rPr>
        <w:t>；</w:t>
      </w:r>
    </w:p>
    <w:p w14:paraId="2BA6424A">
      <w:pPr>
        <w:spacing w:before="313" w:line="323" w:lineRule="exact"/>
        <w:ind w:left="475"/>
        <w:rPr>
          <w:rFonts w:ascii="宋体" w:hAnsi="宋体" w:eastAsia="宋体" w:cs="宋体"/>
          <w:sz w:val="23"/>
          <w:szCs w:val="23"/>
        </w:rPr>
      </w:pPr>
      <w:r>
        <w:rPr>
          <w:rFonts w:ascii="Times New Roman" w:hAnsi="Times New Roman" w:eastAsia="Times New Roman" w:cs="Times New Roman"/>
          <w:position w:val="4"/>
          <w:sz w:val="23"/>
          <w:szCs w:val="23"/>
        </w:rPr>
        <w:t>j</w:t>
      </w:r>
      <w:r>
        <w:rPr>
          <w:rFonts w:ascii="Times New Roman" w:hAnsi="Times New Roman" w:eastAsia="Times New Roman" w:cs="Times New Roman"/>
          <w:spacing w:val="14"/>
          <w:position w:val="4"/>
          <w:sz w:val="23"/>
          <w:szCs w:val="23"/>
        </w:rPr>
        <w:t xml:space="preserve"> </w:t>
      </w:r>
      <w:r>
        <w:rPr>
          <w:rFonts w:ascii="宋体" w:hAnsi="宋体" w:eastAsia="宋体" w:cs="宋体"/>
          <w:spacing w:val="7"/>
          <w:position w:val="4"/>
          <w:sz w:val="23"/>
          <w:szCs w:val="23"/>
        </w:rPr>
        <w:t>、做好企业环境统计工作，建立环境保护档案；</w:t>
      </w:r>
    </w:p>
    <w:p w14:paraId="13E3368E">
      <w:pPr>
        <w:spacing w:before="312" w:line="396" w:lineRule="auto"/>
        <w:ind w:left="22" w:firstLine="473"/>
        <w:rPr>
          <w:rFonts w:ascii="宋体" w:hAnsi="宋体" w:eastAsia="宋体" w:cs="宋体"/>
          <w:sz w:val="23"/>
          <w:szCs w:val="23"/>
        </w:rPr>
      </w:pPr>
      <w:r>
        <w:rPr>
          <w:rFonts w:ascii="Times New Roman" w:hAnsi="Times New Roman" w:eastAsia="Times New Roman" w:cs="Times New Roman"/>
          <w:sz w:val="23"/>
          <w:szCs w:val="23"/>
        </w:rPr>
        <w:t>k</w:t>
      </w:r>
      <w:r>
        <w:rPr>
          <w:rFonts w:ascii="宋体" w:hAnsi="宋体" w:eastAsia="宋体" w:cs="宋体"/>
          <w:spacing w:val="10"/>
          <w:sz w:val="23"/>
          <w:szCs w:val="23"/>
        </w:rPr>
        <w:t>、会同</w:t>
      </w:r>
      <w:r>
        <w:rPr>
          <w:rFonts w:ascii="宋体" w:hAnsi="宋体" w:eastAsia="宋体" w:cs="宋体"/>
          <w:spacing w:val="5"/>
          <w:sz w:val="23"/>
          <w:szCs w:val="23"/>
        </w:rPr>
        <w:t>有关单位组织开展清洁生产活动，负责广泛开展环境宣传教育活动，</w:t>
      </w:r>
      <w:r>
        <w:rPr>
          <w:rFonts w:ascii="宋体" w:hAnsi="宋体" w:eastAsia="宋体" w:cs="宋体"/>
          <w:sz w:val="23"/>
          <w:szCs w:val="23"/>
        </w:rPr>
        <w:t xml:space="preserve"> </w:t>
      </w:r>
      <w:r>
        <w:rPr>
          <w:rFonts w:ascii="宋体" w:hAnsi="宋体" w:eastAsia="宋体" w:cs="宋体"/>
          <w:spacing w:val="13"/>
          <w:sz w:val="23"/>
          <w:szCs w:val="23"/>
        </w:rPr>
        <w:t>普</w:t>
      </w:r>
      <w:r>
        <w:rPr>
          <w:rFonts w:ascii="宋体" w:hAnsi="宋体" w:eastAsia="宋体" w:cs="宋体"/>
          <w:spacing w:val="9"/>
          <w:sz w:val="23"/>
          <w:szCs w:val="23"/>
        </w:rPr>
        <w:t>及环境科学知识，推动清洁生产活动的深度开展。</w:t>
      </w:r>
    </w:p>
    <w:p w14:paraId="4F813218">
      <w:pPr>
        <w:spacing w:before="174" w:line="303" w:lineRule="exact"/>
        <w:ind w:left="503"/>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3 </w:t>
      </w:r>
      <w:r>
        <w:rPr>
          <w:rFonts w:ascii="宋体" w:hAnsi="宋体" w:eastAsia="宋体" w:cs="宋体"/>
          <w:spacing w:val="-2"/>
          <w:position w:val="1"/>
          <w:sz w:val="23"/>
          <w:szCs w:val="23"/>
        </w:rPr>
        <w:t>、企业管</w:t>
      </w:r>
      <w:r>
        <w:rPr>
          <w:rFonts w:ascii="宋体" w:hAnsi="宋体" w:eastAsia="宋体" w:cs="宋体"/>
          <w:spacing w:val="-1"/>
          <w:position w:val="1"/>
          <w:sz w:val="23"/>
          <w:szCs w:val="23"/>
        </w:rPr>
        <w:t>理</w:t>
      </w:r>
    </w:p>
    <w:p w14:paraId="303253CA">
      <w:pPr>
        <w:spacing w:line="256" w:lineRule="auto"/>
        <w:rPr>
          <w:rFonts w:ascii="Arial"/>
          <w:sz w:val="21"/>
        </w:rPr>
      </w:pPr>
    </w:p>
    <w:p w14:paraId="48587D4F">
      <w:pPr>
        <w:spacing w:before="75" w:line="394" w:lineRule="auto"/>
        <w:ind w:left="26" w:right="63" w:firstLine="488"/>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确保各项环保设施的正常运转，负责日常维护，并制定事故的应急处</w:t>
      </w:r>
      <w:r>
        <w:rPr>
          <w:rFonts w:ascii="宋体" w:hAnsi="宋体" w:eastAsia="宋体" w:cs="宋体"/>
          <w:sz w:val="23"/>
          <w:szCs w:val="23"/>
        </w:rPr>
        <w:t xml:space="preserve"> </w:t>
      </w:r>
      <w:r>
        <w:rPr>
          <w:rFonts w:ascii="宋体" w:hAnsi="宋体" w:eastAsia="宋体" w:cs="宋体"/>
          <w:spacing w:val="5"/>
          <w:sz w:val="23"/>
          <w:szCs w:val="23"/>
        </w:rPr>
        <w:t>理</w:t>
      </w:r>
      <w:r>
        <w:rPr>
          <w:rFonts w:ascii="宋体" w:hAnsi="宋体" w:eastAsia="宋体" w:cs="宋体"/>
          <w:spacing w:val="4"/>
          <w:sz w:val="23"/>
          <w:szCs w:val="23"/>
        </w:rPr>
        <w:t>方法；</w:t>
      </w:r>
    </w:p>
    <w:p w14:paraId="400BC820">
      <w:pPr>
        <w:spacing w:before="135" w:line="394" w:lineRule="auto"/>
        <w:ind w:left="23" w:right="63" w:firstLine="49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加强生产原材料管理，提出清洁生产方案，降低了污染物的可能产生</w:t>
      </w:r>
      <w:r>
        <w:rPr>
          <w:rFonts w:ascii="宋体" w:hAnsi="宋体" w:eastAsia="宋体" w:cs="宋体"/>
          <w:sz w:val="23"/>
          <w:szCs w:val="23"/>
        </w:rPr>
        <w:t xml:space="preserve"> 量；</w:t>
      </w:r>
    </w:p>
    <w:p w14:paraId="44F2DFE8">
      <w:pPr>
        <w:spacing w:before="134" w:line="227" w:lineRule="auto"/>
        <w:ind w:left="514"/>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加强对生产设备的管理和维护，杜绝跑、冒、滴、漏现象的发生；</w:t>
      </w:r>
    </w:p>
    <w:p w14:paraId="62B8FA14">
      <w:pPr>
        <w:spacing w:line="276" w:lineRule="auto"/>
        <w:rPr>
          <w:rFonts w:ascii="Arial"/>
          <w:sz w:val="21"/>
        </w:rPr>
      </w:pPr>
    </w:p>
    <w:p w14:paraId="79FAABFB">
      <w:pPr>
        <w:spacing w:before="76" w:line="227" w:lineRule="auto"/>
        <w:ind w:left="514"/>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4</w:t>
      </w:r>
      <w:r>
        <w:rPr>
          <w:rFonts w:ascii="宋体" w:hAnsi="宋体" w:eastAsia="宋体" w:cs="宋体"/>
          <w:spacing w:val="14"/>
          <w:sz w:val="23"/>
          <w:szCs w:val="23"/>
        </w:rPr>
        <w:t>) 负责企业的日常环境监测工作</w:t>
      </w:r>
      <w:r>
        <w:rPr>
          <w:rFonts w:ascii="宋体" w:hAnsi="宋体" w:eastAsia="宋体" w:cs="宋体"/>
          <w:spacing w:val="11"/>
          <w:sz w:val="23"/>
          <w:szCs w:val="23"/>
        </w:rPr>
        <w:t>。</w:t>
      </w:r>
    </w:p>
    <w:p w14:paraId="6325CA4B">
      <w:pPr>
        <w:spacing w:before="300" w:line="226" w:lineRule="auto"/>
        <w:ind w:left="23"/>
        <w:outlineLvl w:val="2"/>
        <w:rPr>
          <w:rFonts w:ascii="宋体" w:hAnsi="宋体" w:eastAsia="宋体" w:cs="宋体"/>
          <w:sz w:val="29"/>
          <w:szCs w:val="29"/>
        </w:rPr>
      </w:pPr>
      <w:r>
        <w:rPr>
          <w:rFonts w:ascii="Times New Roman" w:hAnsi="Times New Roman" w:eastAsia="Times New Roman" w:cs="Times New Roman"/>
          <w:b/>
          <w:bCs/>
          <w:spacing w:val="24"/>
          <w:sz w:val="29"/>
          <w:szCs w:val="29"/>
        </w:rPr>
        <w:t>9</w:t>
      </w:r>
      <w:r>
        <w:rPr>
          <w:rFonts w:ascii="Times New Roman" w:hAnsi="Times New Roman" w:eastAsia="Times New Roman" w:cs="Times New Roman"/>
          <w:b/>
          <w:bCs/>
          <w:spacing w:val="14"/>
          <w:sz w:val="29"/>
          <w:szCs w:val="29"/>
        </w:rPr>
        <w:t>.1.1</w:t>
      </w:r>
      <w:r>
        <w:rPr>
          <w:rFonts w:ascii="Times New Roman" w:hAnsi="Times New Roman" w:eastAsia="Times New Roman" w:cs="Times New Roman"/>
          <w:spacing w:val="14"/>
          <w:sz w:val="29"/>
          <w:szCs w:val="29"/>
        </w:rPr>
        <w:t xml:space="preserve">  </w:t>
      </w:r>
      <w:r>
        <w:rPr>
          <w:rFonts w:ascii="宋体" w:hAnsi="宋体" w:eastAsia="宋体" w:cs="宋体"/>
          <w:spacing w:val="14"/>
          <w:sz w:val="29"/>
          <w:szCs w:val="29"/>
          <w14:textOutline w14:w="5448" w14:cap="sq" w14:cmpd="sng">
            <w14:solidFill>
              <w14:srgbClr w14:val="000000"/>
            </w14:solidFill>
            <w14:prstDash w14:val="solid"/>
            <w14:bevel/>
          </w14:textOutline>
        </w:rPr>
        <w:t>运营期环境管理</w:t>
      </w:r>
    </w:p>
    <w:p w14:paraId="24E64976">
      <w:pPr>
        <w:spacing w:line="256" w:lineRule="auto"/>
        <w:rPr>
          <w:rFonts w:ascii="Arial"/>
          <w:sz w:val="21"/>
        </w:rPr>
      </w:pPr>
    </w:p>
    <w:p w14:paraId="1F97DE53">
      <w:pPr>
        <w:spacing w:before="75" w:line="227" w:lineRule="auto"/>
        <w:ind w:left="514"/>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环保管理机构对厂内环保统一管理，并对厂区的环境质量全面进行监</w:t>
      </w:r>
    </w:p>
    <w:p w14:paraId="08AD8AA0">
      <w:pPr>
        <w:sectPr>
          <w:headerReference r:id="rId320" w:type="default"/>
          <w:footerReference r:id="rId321" w:type="default"/>
          <w:pgSz w:w="11906" w:h="16839"/>
          <w:pgMar w:top="1132" w:right="1738" w:bottom="1182" w:left="1785" w:header="878" w:footer="1022" w:gutter="0"/>
          <w:cols w:space="720" w:num="1"/>
        </w:sectPr>
      </w:pPr>
    </w:p>
    <w:p w14:paraId="68F30301">
      <w:pPr>
        <w:spacing w:line="281" w:lineRule="auto"/>
        <w:rPr>
          <w:rFonts w:ascii="Arial"/>
          <w:sz w:val="21"/>
        </w:rPr>
      </w:pPr>
      <w:r>
        <w:pict>
          <v:shape id="_x0000_s1378" o:spid="_x0000_s1378" style="position:absolute;left:0pt;margin-left:90pt;margin-top:57.35pt;height:0.75pt;width:415.3pt;mso-position-horizontal-relative:page;mso-position-vertical-relative:page;z-index:252075008;mso-width-relative:page;mso-height-relative:page;" fillcolor="#000000" filled="t" stroked="f" coordsize="8305,15" o:allowincell="f" path="m0,0l8305,0,8305,14,0,14,0,0xe">
            <v:path/>
            <v:fill on="t" focussize="0,0"/>
            <v:stroke on="f"/>
            <v:imagedata o:title=""/>
            <o:lock v:ext="edit"/>
          </v:shape>
        </w:pict>
      </w:r>
    </w:p>
    <w:p w14:paraId="16CB23F7">
      <w:pPr>
        <w:spacing w:line="281" w:lineRule="auto"/>
        <w:rPr>
          <w:rFonts w:ascii="Arial"/>
          <w:sz w:val="21"/>
        </w:rPr>
      </w:pPr>
    </w:p>
    <w:p w14:paraId="641E2F53">
      <w:pPr>
        <w:spacing w:before="75" w:line="118" w:lineRule="exact"/>
        <w:ind w:left="295"/>
        <w:rPr>
          <w:rFonts w:ascii="宋体" w:hAnsi="宋体" w:eastAsia="宋体" w:cs="宋体"/>
          <w:sz w:val="23"/>
          <w:szCs w:val="23"/>
        </w:rPr>
      </w:pPr>
      <w:r>
        <w:pict>
          <v:shape id="_x0000_s1379" o:spid="_x0000_s1379" o:spt="202" type="#_x0000_t202" style="position:absolute;left:0pt;margin-left:0.65pt;margin-top:-4.95pt;height:16.3pt;width:13.5pt;z-index:252073984;mso-width-relative:page;mso-height-relative:page;" filled="f" stroked="f" coordsize="21600,21600">
            <v:path/>
            <v:fill on="f" focussize="0,0"/>
            <v:stroke on="f"/>
            <v:imagedata o:title=""/>
            <o:lock v:ext="edit" aspectratio="f"/>
            <v:textbox inset="0mm,0mm,0mm,0mm">
              <w:txbxContent>
                <w:p w14:paraId="2F0011A5">
                  <w:pPr>
                    <w:spacing w:before="19" w:line="229" w:lineRule="auto"/>
                    <w:ind w:left="20"/>
                    <w:rPr>
                      <w:rFonts w:ascii="宋体" w:hAnsi="宋体" w:eastAsia="宋体" w:cs="宋体"/>
                      <w:sz w:val="23"/>
                      <w:szCs w:val="23"/>
                    </w:rPr>
                  </w:pPr>
                  <w:r>
                    <w:rPr>
                      <w:rFonts w:ascii="宋体" w:hAnsi="宋体" w:eastAsia="宋体" w:cs="宋体"/>
                      <w:sz w:val="23"/>
                      <w:szCs w:val="23"/>
                    </w:rPr>
                    <w:t>测</w:t>
                  </w:r>
                </w:p>
              </w:txbxContent>
            </v:textbox>
          </v:shape>
        </w:pict>
      </w:r>
      <w:r>
        <w:rPr>
          <w:rFonts w:ascii="宋体" w:hAnsi="宋体" w:eastAsia="宋体" w:cs="宋体"/>
          <w:position w:val="1"/>
          <w:sz w:val="23"/>
          <w:szCs w:val="23"/>
        </w:rPr>
        <w:t>。</w:t>
      </w:r>
    </w:p>
    <w:p w14:paraId="60ACF377">
      <w:pPr>
        <w:spacing w:line="287" w:lineRule="auto"/>
        <w:rPr>
          <w:rFonts w:ascii="Arial"/>
          <w:sz w:val="21"/>
        </w:rPr>
      </w:pPr>
    </w:p>
    <w:p w14:paraId="19B91585">
      <w:pPr>
        <w:spacing w:before="75" w:line="391" w:lineRule="auto"/>
        <w:ind w:left="36" w:right="22" w:firstLine="487"/>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环保管理机构应做好日常环保设施与生产主体设备的统一管理，加强</w:t>
      </w:r>
      <w:r>
        <w:rPr>
          <w:rFonts w:ascii="宋体" w:hAnsi="宋体" w:eastAsia="宋体" w:cs="宋体"/>
          <w:sz w:val="23"/>
          <w:szCs w:val="23"/>
        </w:rPr>
        <w:t xml:space="preserve"> </w:t>
      </w:r>
      <w:r>
        <w:rPr>
          <w:rFonts w:ascii="宋体" w:hAnsi="宋体" w:eastAsia="宋体" w:cs="宋体"/>
          <w:spacing w:val="7"/>
          <w:sz w:val="23"/>
          <w:szCs w:val="23"/>
        </w:rPr>
        <w:t>维护、定期检查，确保污染治理设施与主体设备正常运行。当治理设施发生故</w:t>
      </w:r>
      <w:r>
        <w:rPr>
          <w:rFonts w:ascii="宋体" w:hAnsi="宋体" w:eastAsia="宋体" w:cs="宋体"/>
          <w:spacing w:val="5"/>
          <w:sz w:val="23"/>
          <w:szCs w:val="23"/>
        </w:rPr>
        <w:t>障</w:t>
      </w:r>
      <w:r>
        <w:rPr>
          <w:rFonts w:ascii="宋体" w:hAnsi="宋体" w:eastAsia="宋体" w:cs="宋体"/>
          <w:sz w:val="23"/>
          <w:szCs w:val="23"/>
        </w:rPr>
        <w:t xml:space="preserve"> </w:t>
      </w:r>
      <w:r>
        <w:rPr>
          <w:rFonts w:ascii="宋体" w:hAnsi="宋体" w:eastAsia="宋体" w:cs="宋体"/>
          <w:spacing w:val="9"/>
          <w:sz w:val="23"/>
          <w:szCs w:val="23"/>
        </w:rPr>
        <w:t>时，应启动应急预案，防止污染事故的发生</w:t>
      </w:r>
      <w:r>
        <w:rPr>
          <w:rFonts w:ascii="宋体" w:hAnsi="宋体" w:eastAsia="宋体" w:cs="宋体"/>
          <w:spacing w:val="5"/>
          <w:sz w:val="23"/>
          <w:szCs w:val="23"/>
        </w:rPr>
        <w:t>。</w:t>
      </w:r>
    </w:p>
    <w:p w14:paraId="3BF7166D">
      <w:pPr>
        <w:spacing w:before="134" w:line="393" w:lineRule="auto"/>
        <w:ind w:left="30" w:right="83" w:firstLine="493"/>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1"/>
          <w:sz w:val="23"/>
          <w:szCs w:val="23"/>
        </w:rPr>
        <w:t>3</w:t>
      </w:r>
      <w:r>
        <w:rPr>
          <w:rFonts w:ascii="宋体" w:hAnsi="宋体" w:eastAsia="宋体" w:cs="宋体"/>
          <w:spacing w:val="11"/>
          <w:sz w:val="23"/>
          <w:szCs w:val="23"/>
        </w:rPr>
        <w:t>) 定期对厂区的环保工作情况进行考核，制定考核与奖惩的具体办法，</w:t>
      </w:r>
      <w:r>
        <w:rPr>
          <w:rFonts w:ascii="宋体" w:hAnsi="宋体" w:eastAsia="宋体" w:cs="宋体"/>
          <w:sz w:val="23"/>
          <w:szCs w:val="23"/>
        </w:rPr>
        <w:t xml:space="preserve"> </w:t>
      </w:r>
      <w:r>
        <w:rPr>
          <w:rFonts w:ascii="宋体" w:hAnsi="宋体" w:eastAsia="宋体" w:cs="宋体"/>
          <w:spacing w:val="9"/>
          <w:sz w:val="23"/>
          <w:szCs w:val="23"/>
        </w:rPr>
        <w:t>将环保考核纳入生产考核的主要部分</w:t>
      </w:r>
      <w:r>
        <w:rPr>
          <w:rFonts w:ascii="宋体" w:hAnsi="宋体" w:eastAsia="宋体" w:cs="宋体"/>
          <w:spacing w:val="8"/>
          <w:sz w:val="23"/>
          <w:szCs w:val="23"/>
        </w:rPr>
        <w:t>。</w:t>
      </w:r>
    </w:p>
    <w:p w14:paraId="5396911F">
      <w:pPr>
        <w:spacing w:before="136" w:line="391" w:lineRule="auto"/>
        <w:ind w:left="32" w:right="22" w:firstLine="49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对主要污染源进行定期监测，建立污染源档案。发现污染物非正常排</w:t>
      </w:r>
      <w:r>
        <w:rPr>
          <w:rFonts w:ascii="宋体" w:hAnsi="宋体" w:eastAsia="宋体" w:cs="宋体"/>
          <w:sz w:val="23"/>
          <w:szCs w:val="23"/>
        </w:rPr>
        <w:t xml:space="preserve"> </w:t>
      </w:r>
      <w:r>
        <w:rPr>
          <w:rFonts w:ascii="宋体" w:hAnsi="宋体" w:eastAsia="宋体" w:cs="宋体"/>
          <w:spacing w:val="9"/>
          <w:sz w:val="23"/>
          <w:szCs w:val="23"/>
        </w:rPr>
        <w:t>放</w:t>
      </w:r>
      <w:r>
        <w:rPr>
          <w:rFonts w:ascii="宋体" w:hAnsi="宋体" w:eastAsia="宋体" w:cs="宋体"/>
          <w:spacing w:val="7"/>
          <w:sz w:val="23"/>
          <w:szCs w:val="23"/>
        </w:rPr>
        <w:t>时应分析原因，并及时采取相应措施，以控制污染，使污染物满足达标排放要</w:t>
      </w:r>
      <w:r>
        <w:rPr>
          <w:rFonts w:ascii="宋体" w:hAnsi="宋体" w:eastAsia="宋体" w:cs="宋体"/>
          <w:sz w:val="23"/>
          <w:szCs w:val="23"/>
        </w:rPr>
        <w:t xml:space="preserve"> 求。</w:t>
      </w:r>
    </w:p>
    <w:p w14:paraId="2062CE77">
      <w:pPr>
        <w:spacing w:before="91" w:line="323" w:lineRule="exact"/>
        <w:ind w:left="523"/>
        <w:rPr>
          <w:rFonts w:ascii="宋体" w:hAnsi="宋体" w:eastAsia="宋体" w:cs="宋体"/>
          <w:sz w:val="23"/>
          <w:szCs w:val="23"/>
        </w:rPr>
      </w:pPr>
      <w:r>
        <w:rPr>
          <w:rFonts w:ascii="宋体" w:hAnsi="宋体" w:eastAsia="宋体" w:cs="宋体"/>
          <w:spacing w:val="22"/>
          <w:position w:val="3"/>
          <w:sz w:val="23"/>
          <w:szCs w:val="23"/>
        </w:rPr>
        <w:t>(</w:t>
      </w:r>
      <w:r>
        <w:rPr>
          <w:rFonts w:ascii="Times New Roman" w:hAnsi="Times New Roman" w:eastAsia="Times New Roman" w:cs="Times New Roman"/>
          <w:spacing w:val="22"/>
          <w:position w:val="3"/>
          <w:sz w:val="23"/>
          <w:szCs w:val="23"/>
        </w:rPr>
        <w:t>5</w:t>
      </w:r>
      <w:r>
        <w:rPr>
          <w:rFonts w:ascii="Times New Roman" w:hAnsi="Times New Roman" w:eastAsia="Times New Roman" w:cs="Times New Roman"/>
          <w:spacing w:val="11"/>
          <w:position w:val="3"/>
          <w:sz w:val="23"/>
          <w:szCs w:val="23"/>
        </w:rPr>
        <w:t xml:space="preserve">)  </w:t>
      </w:r>
      <w:r>
        <w:rPr>
          <w:rFonts w:ascii="宋体" w:hAnsi="宋体" w:eastAsia="宋体" w:cs="宋体"/>
          <w:spacing w:val="11"/>
          <w:position w:val="3"/>
          <w:sz w:val="23"/>
          <w:szCs w:val="23"/>
        </w:rPr>
        <w:t>接受省市环保部门的检查、指导，参加有关会议及经验交流活动。</w:t>
      </w:r>
    </w:p>
    <w:p w14:paraId="71D3C830">
      <w:pPr>
        <w:spacing w:before="304" w:line="226" w:lineRule="auto"/>
        <w:ind w:left="32"/>
        <w:outlineLvl w:val="2"/>
        <w:rPr>
          <w:rFonts w:ascii="宋体" w:hAnsi="宋体" w:eastAsia="宋体" w:cs="宋体"/>
          <w:sz w:val="29"/>
          <w:szCs w:val="29"/>
        </w:rPr>
      </w:pPr>
      <w:r>
        <w:rPr>
          <w:rFonts w:ascii="Times New Roman" w:hAnsi="Times New Roman" w:eastAsia="Times New Roman" w:cs="Times New Roman"/>
          <w:b/>
          <w:bCs/>
          <w:spacing w:val="14"/>
          <w:sz w:val="29"/>
          <w:szCs w:val="29"/>
        </w:rPr>
        <w:t>9.1.2</w:t>
      </w:r>
      <w:r>
        <w:rPr>
          <w:rFonts w:ascii="Times New Roman" w:hAnsi="Times New Roman" w:eastAsia="Times New Roman" w:cs="Times New Roman"/>
          <w:spacing w:val="14"/>
          <w:sz w:val="29"/>
          <w:szCs w:val="29"/>
        </w:rPr>
        <w:t xml:space="preserve">  </w:t>
      </w:r>
      <w:r>
        <w:rPr>
          <w:rFonts w:ascii="宋体" w:hAnsi="宋体" w:eastAsia="宋体" w:cs="宋体"/>
          <w:spacing w:val="14"/>
          <w:sz w:val="29"/>
          <w:szCs w:val="29"/>
          <w14:textOutline w14:w="5448" w14:cap="sq" w14:cmpd="sng">
            <w14:solidFill>
              <w14:srgbClr w14:val="000000"/>
            </w14:solidFill>
            <w14:prstDash w14:val="solid"/>
            <w14:bevel/>
          </w14:textOutline>
        </w:rPr>
        <w:t>环境管理目标</w:t>
      </w:r>
    </w:p>
    <w:p w14:paraId="546090D9">
      <w:pPr>
        <w:spacing w:line="256" w:lineRule="auto"/>
        <w:rPr>
          <w:rFonts w:ascii="Arial"/>
          <w:sz w:val="21"/>
        </w:rPr>
      </w:pPr>
    </w:p>
    <w:p w14:paraId="70D117C1">
      <w:pPr>
        <w:spacing w:before="75" w:line="226" w:lineRule="auto"/>
        <w:ind w:left="511"/>
        <w:rPr>
          <w:rFonts w:ascii="宋体" w:hAnsi="宋体" w:eastAsia="宋体" w:cs="宋体"/>
          <w:sz w:val="23"/>
          <w:szCs w:val="23"/>
        </w:rPr>
      </w:pPr>
      <w:r>
        <w:rPr>
          <w:rFonts w:ascii="宋体" w:hAnsi="宋体" w:eastAsia="宋体" w:cs="宋体"/>
          <w:spacing w:val="23"/>
          <w:sz w:val="23"/>
          <w:szCs w:val="23"/>
        </w:rPr>
        <w:t>评</w:t>
      </w:r>
      <w:r>
        <w:rPr>
          <w:rFonts w:ascii="宋体" w:hAnsi="宋体" w:eastAsia="宋体" w:cs="宋体"/>
          <w:spacing w:val="14"/>
          <w:sz w:val="23"/>
          <w:szCs w:val="23"/>
        </w:rPr>
        <w:t>价对项目所带来的各种环境问题及所排污染物分别提出了有效的防治措</w:t>
      </w:r>
    </w:p>
    <w:p w14:paraId="6D1C06BD">
      <w:pPr>
        <w:spacing w:before="199" w:line="393" w:lineRule="auto"/>
        <w:ind w:left="34" w:right="22" w:hanging="3"/>
        <w:rPr>
          <w:rFonts w:ascii="宋体" w:hAnsi="宋体" w:eastAsia="宋体" w:cs="宋体"/>
          <w:sz w:val="23"/>
          <w:szCs w:val="23"/>
        </w:rPr>
      </w:pPr>
      <w:r>
        <w:rPr>
          <w:rFonts w:ascii="宋体" w:hAnsi="宋体" w:eastAsia="宋体" w:cs="宋体"/>
          <w:spacing w:val="9"/>
          <w:sz w:val="23"/>
          <w:szCs w:val="23"/>
        </w:rPr>
        <w:t>施</w:t>
      </w:r>
      <w:r>
        <w:rPr>
          <w:rFonts w:ascii="宋体" w:hAnsi="宋体" w:eastAsia="宋体" w:cs="宋体"/>
          <w:spacing w:val="7"/>
          <w:sz w:val="23"/>
          <w:szCs w:val="23"/>
        </w:rPr>
        <w:t>，建设单位应认真履行，落实并监督环境保护设施的运行情况并加强管理，定</w:t>
      </w:r>
      <w:r>
        <w:rPr>
          <w:rFonts w:ascii="宋体" w:hAnsi="宋体" w:eastAsia="宋体" w:cs="宋体"/>
          <w:sz w:val="23"/>
          <w:szCs w:val="23"/>
        </w:rPr>
        <w:t xml:space="preserve"> </w:t>
      </w:r>
      <w:r>
        <w:rPr>
          <w:rFonts w:ascii="宋体" w:hAnsi="宋体" w:eastAsia="宋体" w:cs="宋体"/>
          <w:spacing w:val="10"/>
          <w:sz w:val="23"/>
          <w:szCs w:val="23"/>
        </w:rPr>
        <w:t>期监</w:t>
      </w:r>
      <w:r>
        <w:rPr>
          <w:rFonts w:ascii="宋体" w:hAnsi="宋体" w:eastAsia="宋体" w:cs="宋体"/>
          <w:spacing w:val="7"/>
          <w:sz w:val="23"/>
          <w:szCs w:val="23"/>
        </w:rPr>
        <w:t>测</w:t>
      </w:r>
      <w:r>
        <w:rPr>
          <w:rFonts w:ascii="宋体" w:hAnsi="宋体" w:eastAsia="宋体" w:cs="宋体"/>
          <w:spacing w:val="5"/>
          <w:sz w:val="23"/>
          <w:szCs w:val="23"/>
        </w:rPr>
        <w:t xml:space="preserve">各污染物排放浓度以及达到预定的处理效果，具体管理目标见表 </w:t>
      </w:r>
      <w:r>
        <w:rPr>
          <w:rFonts w:ascii="Times New Roman" w:hAnsi="Times New Roman" w:eastAsia="Times New Roman" w:cs="Times New Roman"/>
          <w:spacing w:val="5"/>
          <w:sz w:val="23"/>
          <w:szCs w:val="23"/>
        </w:rPr>
        <w:t>9- 1</w:t>
      </w:r>
      <w:r>
        <w:rPr>
          <w:rFonts w:ascii="宋体" w:hAnsi="宋体" w:eastAsia="宋体" w:cs="宋体"/>
          <w:spacing w:val="5"/>
          <w:sz w:val="23"/>
          <w:szCs w:val="23"/>
        </w:rPr>
        <w:t>。</w:t>
      </w:r>
    </w:p>
    <w:p w14:paraId="23BE7154">
      <w:pPr>
        <w:spacing w:before="136" w:line="227" w:lineRule="auto"/>
        <w:ind w:left="267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3"/>
          <w:sz w:val="23"/>
          <w:szCs w:val="23"/>
        </w:rPr>
        <w:t>9-1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环保设施管理目标</w:t>
      </w:r>
    </w:p>
    <w:p w14:paraId="6AC9254F">
      <w:pPr>
        <w:spacing w:line="18"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1320"/>
        <w:gridCol w:w="1260"/>
        <w:gridCol w:w="3015"/>
        <w:gridCol w:w="2233"/>
      </w:tblGrid>
      <w:tr w14:paraId="773CA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23" w:type="dxa"/>
            <w:tcBorders>
              <w:left w:val="nil"/>
              <w:right w:val="single" w:color="000000" w:sz="4" w:space="0"/>
            </w:tcBorders>
            <w:vAlign w:val="top"/>
          </w:tcPr>
          <w:p w14:paraId="6195D04D">
            <w:pPr>
              <w:spacing w:before="140" w:line="228" w:lineRule="auto"/>
              <w:ind w:left="5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1320" w:type="dxa"/>
            <w:tcBorders>
              <w:left w:val="single" w:color="000000" w:sz="4" w:space="0"/>
              <w:right w:val="single" w:color="000000" w:sz="4" w:space="0"/>
            </w:tcBorders>
            <w:vAlign w:val="top"/>
          </w:tcPr>
          <w:p w14:paraId="5D46AAEC">
            <w:pPr>
              <w:spacing w:before="140" w:line="228" w:lineRule="auto"/>
              <w:ind w:left="34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污染源</w:t>
            </w:r>
          </w:p>
        </w:tc>
        <w:tc>
          <w:tcPr>
            <w:tcW w:w="1260" w:type="dxa"/>
            <w:tcBorders>
              <w:left w:val="single" w:color="000000" w:sz="4" w:space="0"/>
              <w:right w:val="single" w:color="000000" w:sz="4" w:space="0"/>
            </w:tcBorders>
            <w:vAlign w:val="top"/>
          </w:tcPr>
          <w:p w14:paraId="283CE409">
            <w:pPr>
              <w:spacing w:before="140" w:line="228" w:lineRule="auto"/>
              <w:ind w:left="10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要污染物</w:t>
            </w:r>
          </w:p>
        </w:tc>
        <w:tc>
          <w:tcPr>
            <w:tcW w:w="3015" w:type="dxa"/>
            <w:tcBorders>
              <w:left w:val="single" w:color="000000" w:sz="4" w:space="0"/>
              <w:right w:val="single" w:color="000000" w:sz="4" w:space="0"/>
            </w:tcBorders>
            <w:vAlign w:val="top"/>
          </w:tcPr>
          <w:p w14:paraId="44FAAC37">
            <w:pPr>
              <w:spacing w:before="140" w:line="228" w:lineRule="auto"/>
              <w:ind w:left="108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保设施</w:t>
            </w:r>
          </w:p>
        </w:tc>
        <w:tc>
          <w:tcPr>
            <w:tcW w:w="2233" w:type="dxa"/>
            <w:tcBorders>
              <w:left w:val="single" w:color="000000" w:sz="4" w:space="0"/>
              <w:right w:val="nil"/>
            </w:tcBorders>
            <w:vAlign w:val="top"/>
          </w:tcPr>
          <w:p w14:paraId="5846E05D">
            <w:pPr>
              <w:spacing w:before="140" w:line="228" w:lineRule="auto"/>
              <w:ind w:left="70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管</w:t>
            </w:r>
            <w:r>
              <w:rPr>
                <w:rFonts w:ascii="宋体" w:hAnsi="宋体" w:eastAsia="宋体" w:cs="宋体"/>
                <w:spacing w:val="7"/>
                <w:sz w:val="20"/>
                <w:szCs w:val="20"/>
                <w14:textOutline w14:w="3795" w14:cap="sq" w14:cmpd="sng">
                  <w14:solidFill>
                    <w14:srgbClr w14:val="000000"/>
                  </w14:solidFill>
                  <w14:prstDash w14:val="solid"/>
                  <w14:bevel/>
                </w14:textOutline>
              </w:rPr>
              <w:t>理目标</w:t>
            </w:r>
          </w:p>
        </w:tc>
      </w:tr>
      <w:tr w14:paraId="1B150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523" w:type="dxa"/>
            <w:vMerge w:val="restart"/>
            <w:tcBorders>
              <w:left w:val="nil"/>
              <w:bottom w:val="nil"/>
              <w:right w:val="single" w:color="000000" w:sz="4" w:space="0"/>
            </w:tcBorders>
            <w:vAlign w:val="top"/>
          </w:tcPr>
          <w:p w14:paraId="04D79864">
            <w:pPr>
              <w:spacing w:line="259" w:lineRule="auto"/>
              <w:rPr>
                <w:rFonts w:ascii="Arial"/>
                <w:sz w:val="21"/>
              </w:rPr>
            </w:pPr>
          </w:p>
          <w:p w14:paraId="7FBC9C00">
            <w:pPr>
              <w:spacing w:line="259" w:lineRule="auto"/>
              <w:rPr>
                <w:rFonts w:ascii="Arial"/>
                <w:sz w:val="21"/>
              </w:rPr>
            </w:pPr>
          </w:p>
          <w:p w14:paraId="45483EAB">
            <w:pPr>
              <w:spacing w:line="259" w:lineRule="auto"/>
              <w:rPr>
                <w:rFonts w:ascii="Arial"/>
                <w:sz w:val="21"/>
              </w:rPr>
            </w:pPr>
          </w:p>
          <w:p w14:paraId="1A8CFE2C">
            <w:pPr>
              <w:spacing w:line="259" w:lineRule="auto"/>
              <w:rPr>
                <w:rFonts w:ascii="Arial"/>
                <w:sz w:val="21"/>
              </w:rPr>
            </w:pPr>
          </w:p>
          <w:p w14:paraId="50233DF2">
            <w:pPr>
              <w:spacing w:line="259" w:lineRule="auto"/>
              <w:rPr>
                <w:rFonts w:ascii="Arial"/>
                <w:sz w:val="21"/>
              </w:rPr>
            </w:pPr>
          </w:p>
          <w:p w14:paraId="4F6AD076">
            <w:pPr>
              <w:spacing w:line="259" w:lineRule="auto"/>
              <w:rPr>
                <w:rFonts w:ascii="Arial"/>
                <w:sz w:val="21"/>
              </w:rPr>
            </w:pPr>
          </w:p>
          <w:p w14:paraId="466A21BC">
            <w:pPr>
              <w:spacing w:line="259" w:lineRule="auto"/>
              <w:rPr>
                <w:rFonts w:ascii="Arial"/>
                <w:sz w:val="21"/>
              </w:rPr>
            </w:pPr>
          </w:p>
          <w:p w14:paraId="0D5AE372">
            <w:pPr>
              <w:spacing w:line="259" w:lineRule="auto"/>
              <w:rPr>
                <w:rFonts w:ascii="Arial"/>
                <w:sz w:val="21"/>
              </w:rPr>
            </w:pPr>
          </w:p>
          <w:p w14:paraId="0E84C155">
            <w:pPr>
              <w:spacing w:line="260" w:lineRule="auto"/>
              <w:rPr>
                <w:rFonts w:ascii="Arial"/>
                <w:sz w:val="21"/>
              </w:rPr>
            </w:pPr>
          </w:p>
          <w:p w14:paraId="2B3B8B6B">
            <w:pPr>
              <w:spacing w:before="65" w:line="228" w:lineRule="auto"/>
              <w:ind w:left="59"/>
              <w:rPr>
                <w:rFonts w:ascii="宋体" w:hAnsi="宋体" w:eastAsia="宋体" w:cs="宋体"/>
                <w:sz w:val="20"/>
                <w:szCs w:val="20"/>
              </w:rPr>
            </w:pPr>
            <w:r>
              <w:rPr>
                <w:rFonts w:ascii="宋体" w:hAnsi="宋体" w:eastAsia="宋体" w:cs="宋体"/>
                <w:spacing w:val="5"/>
                <w:sz w:val="20"/>
                <w:szCs w:val="20"/>
              </w:rPr>
              <w:t>废气</w:t>
            </w:r>
          </w:p>
        </w:tc>
        <w:tc>
          <w:tcPr>
            <w:tcW w:w="1320" w:type="dxa"/>
            <w:tcBorders>
              <w:left w:val="single" w:color="000000" w:sz="4" w:space="0"/>
              <w:right w:val="single" w:color="000000" w:sz="4" w:space="0"/>
            </w:tcBorders>
            <w:vAlign w:val="top"/>
          </w:tcPr>
          <w:p w14:paraId="2FC7D35E">
            <w:pPr>
              <w:spacing w:line="304" w:lineRule="auto"/>
              <w:rPr>
                <w:rFonts w:ascii="Arial"/>
                <w:sz w:val="21"/>
              </w:rPr>
            </w:pPr>
          </w:p>
          <w:p w14:paraId="1E808106">
            <w:pPr>
              <w:spacing w:line="305" w:lineRule="auto"/>
              <w:rPr>
                <w:rFonts w:ascii="Arial"/>
                <w:sz w:val="21"/>
              </w:rPr>
            </w:pPr>
          </w:p>
          <w:p w14:paraId="09985FBE">
            <w:pPr>
              <w:spacing w:before="65" w:line="228" w:lineRule="auto"/>
              <w:ind w:left="244"/>
              <w:rPr>
                <w:rFonts w:ascii="宋体" w:hAnsi="宋体" w:eastAsia="宋体" w:cs="宋体"/>
                <w:sz w:val="20"/>
                <w:szCs w:val="20"/>
              </w:rPr>
            </w:pPr>
            <w:r>
              <w:rPr>
                <w:rFonts w:ascii="宋体" w:hAnsi="宋体" w:eastAsia="宋体" w:cs="宋体"/>
                <w:spacing w:val="9"/>
                <w:sz w:val="20"/>
                <w:szCs w:val="20"/>
              </w:rPr>
              <w:t>分</w:t>
            </w:r>
            <w:r>
              <w:rPr>
                <w:rFonts w:ascii="宋体" w:hAnsi="宋体" w:eastAsia="宋体" w:cs="宋体"/>
                <w:spacing w:val="6"/>
                <w:sz w:val="20"/>
                <w:szCs w:val="20"/>
              </w:rPr>
              <w:t>拣工序</w:t>
            </w:r>
          </w:p>
        </w:tc>
        <w:tc>
          <w:tcPr>
            <w:tcW w:w="1260" w:type="dxa"/>
            <w:tcBorders>
              <w:left w:val="single" w:color="000000" w:sz="4" w:space="0"/>
              <w:right w:val="single" w:color="000000" w:sz="4" w:space="0"/>
            </w:tcBorders>
            <w:vAlign w:val="top"/>
          </w:tcPr>
          <w:p w14:paraId="3E792103">
            <w:pPr>
              <w:spacing w:line="304" w:lineRule="auto"/>
              <w:rPr>
                <w:rFonts w:ascii="Arial"/>
                <w:sz w:val="21"/>
              </w:rPr>
            </w:pPr>
          </w:p>
          <w:p w14:paraId="378D8E7E">
            <w:pPr>
              <w:spacing w:line="305" w:lineRule="auto"/>
              <w:rPr>
                <w:rFonts w:ascii="Arial"/>
                <w:sz w:val="21"/>
              </w:rPr>
            </w:pPr>
          </w:p>
          <w:p w14:paraId="17FB6726">
            <w:pPr>
              <w:spacing w:before="65" w:line="228" w:lineRule="auto"/>
              <w:ind w:left="421"/>
              <w:rPr>
                <w:rFonts w:ascii="宋体" w:hAnsi="宋体" w:eastAsia="宋体" w:cs="宋体"/>
                <w:sz w:val="20"/>
                <w:szCs w:val="20"/>
              </w:rPr>
            </w:pPr>
            <w:r>
              <w:rPr>
                <w:rFonts w:ascii="宋体" w:hAnsi="宋体" w:eastAsia="宋体" w:cs="宋体"/>
                <w:spacing w:val="5"/>
                <w:sz w:val="20"/>
                <w:szCs w:val="20"/>
              </w:rPr>
              <w:t>粉尘</w:t>
            </w:r>
          </w:p>
        </w:tc>
        <w:tc>
          <w:tcPr>
            <w:tcW w:w="3015" w:type="dxa"/>
            <w:tcBorders>
              <w:left w:val="single" w:color="000000" w:sz="4" w:space="0"/>
              <w:right w:val="single" w:color="000000" w:sz="4" w:space="0"/>
            </w:tcBorders>
            <w:vAlign w:val="top"/>
          </w:tcPr>
          <w:p w14:paraId="2786598A">
            <w:pPr>
              <w:spacing w:line="304" w:lineRule="auto"/>
              <w:rPr>
                <w:rFonts w:ascii="Arial"/>
                <w:sz w:val="21"/>
              </w:rPr>
            </w:pPr>
          </w:p>
          <w:p w14:paraId="576C04E2">
            <w:pPr>
              <w:spacing w:line="305" w:lineRule="auto"/>
              <w:rPr>
                <w:rFonts w:ascii="Arial"/>
                <w:sz w:val="21"/>
              </w:rPr>
            </w:pPr>
          </w:p>
          <w:p w14:paraId="0772D33D">
            <w:pPr>
              <w:spacing w:before="65" w:line="228" w:lineRule="auto"/>
              <w:ind w:left="320"/>
              <w:rPr>
                <w:rFonts w:ascii="宋体" w:hAnsi="宋体" w:eastAsia="宋体" w:cs="宋体"/>
                <w:sz w:val="20"/>
                <w:szCs w:val="20"/>
              </w:rPr>
            </w:pPr>
            <w:r>
              <w:rPr>
                <w:rFonts w:ascii="宋体" w:hAnsi="宋体" w:eastAsia="宋体" w:cs="宋体"/>
                <w:spacing w:val="-2"/>
                <w:sz w:val="20"/>
                <w:szCs w:val="20"/>
              </w:rPr>
              <w:t>在生产厂房内无</w:t>
            </w:r>
            <w:r>
              <w:rPr>
                <w:rFonts w:ascii="宋体" w:hAnsi="宋体" w:eastAsia="宋体" w:cs="宋体"/>
                <w:spacing w:val="-1"/>
                <w:sz w:val="20"/>
                <w:szCs w:val="20"/>
              </w:rPr>
              <w:t>组织排放。</w:t>
            </w:r>
          </w:p>
        </w:tc>
        <w:tc>
          <w:tcPr>
            <w:tcW w:w="2233" w:type="dxa"/>
            <w:tcBorders>
              <w:left w:val="single" w:color="000000" w:sz="4" w:space="0"/>
              <w:right w:val="nil"/>
            </w:tcBorders>
            <w:vAlign w:val="top"/>
          </w:tcPr>
          <w:p w14:paraId="5D7C6602">
            <w:pPr>
              <w:spacing w:before="54" w:line="288" w:lineRule="auto"/>
              <w:ind w:left="594" w:right="69" w:hanging="520"/>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合成树脂工业污染物</w:t>
            </w:r>
            <w:r>
              <w:rPr>
                <w:rFonts w:ascii="宋体" w:hAnsi="宋体" w:eastAsia="宋体" w:cs="宋体"/>
                <w:sz w:val="20"/>
                <w:szCs w:val="20"/>
              </w:rPr>
              <w:t xml:space="preserve"> </w:t>
            </w:r>
            <w:r>
              <w:rPr>
                <w:rFonts w:ascii="宋体" w:hAnsi="宋体" w:eastAsia="宋体" w:cs="宋体"/>
                <w:spacing w:val="6"/>
                <w:sz w:val="20"/>
                <w:szCs w:val="20"/>
              </w:rPr>
              <w:t>排放标准</w:t>
            </w:r>
            <w:r>
              <w:rPr>
                <w:rFonts w:ascii="宋体" w:hAnsi="宋体" w:eastAsia="宋体" w:cs="宋体"/>
                <w:spacing w:val="5"/>
                <w:sz w:val="20"/>
                <w:szCs w:val="20"/>
              </w:rPr>
              <w:t>》</w:t>
            </w:r>
          </w:p>
          <w:p w14:paraId="057CF8C6">
            <w:pPr>
              <w:spacing w:line="229" w:lineRule="auto"/>
              <w:ind w:left="83"/>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31572-2015</w:t>
            </w:r>
            <w:r>
              <w:rPr>
                <w:rFonts w:ascii="宋体" w:hAnsi="宋体" w:eastAsia="宋体" w:cs="宋体"/>
                <w:spacing w:val="8"/>
                <w:sz w:val="20"/>
                <w:szCs w:val="20"/>
              </w:rPr>
              <w:t xml:space="preserve">) 表 </w:t>
            </w:r>
            <w:r>
              <w:rPr>
                <w:rFonts w:ascii="Times New Roman" w:hAnsi="Times New Roman" w:eastAsia="Times New Roman" w:cs="Times New Roman"/>
                <w:spacing w:val="8"/>
                <w:sz w:val="20"/>
                <w:szCs w:val="20"/>
              </w:rPr>
              <w:t>9</w:t>
            </w:r>
          </w:p>
          <w:p w14:paraId="3F4F5D44">
            <w:pPr>
              <w:spacing w:before="64" w:line="266" w:lineRule="auto"/>
              <w:ind w:left="318" w:right="172" w:hanging="124"/>
              <w:rPr>
                <w:rFonts w:ascii="宋体" w:hAnsi="宋体" w:eastAsia="宋体" w:cs="宋体"/>
                <w:sz w:val="20"/>
                <w:szCs w:val="20"/>
              </w:rPr>
            </w:pPr>
            <w:r>
              <w:rPr>
                <w:rFonts w:ascii="宋体" w:hAnsi="宋体" w:eastAsia="宋体" w:cs="宋体"/>
                <w:spacing w:val="7"/>
                <w:sz w:val="20"/>
                <w:szCs w:val="20"/>
              </w:rPr>
              <w:t>中</w:t>
            </w:r>
            <w:r>
              <w:rPr>
                <w:rFonts w:ascii="宋体" w:hAnsi="宋体" w:eastAsia="宋体" w:cs="宋体"/>
                <w:spacing w:val="6"/>
                <w:sz w:val="20"/>
                <w:szCs w:val="20"/>
              </w:rPr>
              <w:t>标准限值要求 (即</w:t>
            </w:r>
            <w:r>
              <w:rPr>
                <w:rFonts w:ascii="宋体" w:hAnsi="宋体" w:eastAsia="宋体" w:cs="宋体"/>
                <w:sz w:val="20"/>
                <w:szCs w:val="20"/>
              </w:rPr>
              <w:t xml:space="preserve"> </w:t>
            </w:r>
            <w:r>
              <w:rPr>
                <w:rFonts w:ascii="Times New Roman" w:hAnsi="Times New Roman" w:eastAsia="Times New Roman" w:cs="Times New Roman"/>
                <w:sz w:val="20"/>
                <w:szCs w:val="20"/>
              </w:rPr>
              <w:t>TSP</w:t>
            </w:r>
            <w:r>
              <w:rPr>
                <w:rFonts w:ascii="宋体" w:hAnsi="宋体" w:eastAsia="宋体" w:cs="宋体"/>
                <w:spacing w:val="8"/>
                <w:sz w:val="20"/>
                <w:szCs w:val="20"/>
              </w:rPr>
              <w:t>：</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w:t>
            </w:r>
          </w:p>
        </w:tc>
      </w:tr>
      <w:tr w14:paraId="1996E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523" w:type="dxa"/>
            <w:vMerge w:val="continue"/>
            <w:tcBorders>
              <w:top w:val="nil"/>
              <w:left w:val="nil"/>
              <w:bottom w:val="nil"/>
              <w:right w:val="single" w:color="000000" w:sz="4" w:space="0"/>
            </w:tcBorders>
            <w:vAlign w:val="top"/>
          </w:tcPr>
          <w:p w14:paraId="329084B3">
            <w:pPr>
              <w:rPr>
                <w:rFonts w:ascii="Arial"/>
                <w:sz w:val="21"/>
              </w:rPr>
            </w:pPr>
          </w:p>
        </w:tc>
        <w:tc>
          <w:tcPr>
            <w:tcW w:w="1320" w:type="dxa"/>
            <w:tcBorders>
              <w:left w:val="single" w:color="000000" w:sz="4" w:space="0"/>
              <w:right w:val="single" w:color="000000" w:sz="4" w:space="0"/>
            </w:tcBorders>
            <w:vAlign w:val="top"/>
          </w:tcPr>
          <w:p w14:paraId="363ED571">
            <w:pPr>
              <w:spacing w:line="246" w:lineRule="auto"/>
              <w:rPr>
                <w:rFonts w:ascii="Arial"/>
                <w:sz w:val="21"/>
              </w:rPr>
            </w:pPr>
          </w:p>
          <w:p w14:paraId="27F84779">
            <w:pPr>
              <w:spacing w:line="247" w:lineRule="auto"/>
              <w:rPr>
                <w:rFonts w:ascii="Arial"/>
                <w:sz w:val="21"/>
              </w:rPr>
            </w:pPr>
          </w:p>
          <w:p w14:paraId="2BABE7A5">
            <w:pPr>
              <w:spacing w:line="247" w:lineRule="auto"/>
              <w:rPr>
                <w:rFonts w:ascii="Arial"/>
                <w:sz w:val="21"/>
              </w:rPr>
            </w:pPr>
          </w:p>
          <w:p w14:paraId="53583EC3">
            <w:pPr>
              <w:spacing w:line="247" w:lineRule="auto"/>
              <w:rPr>
                <w:rFonts w:ascii="Arial"/>
                <w:sz w:val="21"/>
              </w:rPr>
            </w:pPr>
          </w:p>
          <w:p w14:paraId="2B718100">
            <w:pPr>
              <w:spacing w:line="247" w:lineRule="auto"/>
              <w:rPr>
                <w:rFonts w:ascii="Arial"/>
                <w:sz w:val="21"/>
              </w:rPr>
            </w:pPr>
          </w:p>
          <w:p w14:paraId="42BF3DC4">
            <w:pPr>
              <w:spacing w:before="65" w:line="228" w:lineRule="auto"/>
              <w:ind w:left="143"/>
              <w:rPr>
                <w:rFonts w:ascii="宋体" w:hAnsi="宋体" w:eastAsia="宋体" w:cs="宋体"/>
                <w:sz w:val="20"/>
                <w:szCs w:val="20"/>
              </w:rPr>
            </w:pPr>
            <w:r>
              <w:rPr>
                <w:rFonts w:ascii="宋体" w:hAnsi="宋体" w:eastAsia="宋体" w:cs="宋体"/>
                <w:spacing w:val="7"/>
                <w:sz w:val="20"/>
                <w:szCs w:val="20"/>
              </w:rPr>
              <w:t>热熔、造</w:t>
            </w:r>
            <w:r>
              <w:rPr>
                <w:rFonts w:ascii="宋体" w:hAnsi="宋体" w:eastAsia="宋体" w:cs="宋体"/>
                <w:spacing w:val="6"/>
                <w:sz w:val="20"/>
                <w:szCs w:val="20"/>
              </w:rPr>
              <w:t>粒</w:t>
            </w:r>
          </w:p>
        </w:tc>
        <w:tc>
          <w:tcPr>
            <w:tcW w:w="1260" w:type="dxa"/>
            <w:tcBorders>
              <w:left w:val="single" w:color="000000" w:sz="4" w:space="0"/>
              <w:right w:val="single" w:color="000000" w:sz="4" w:space="0"/>
            </w:tcBorders>
            <w:vAlign w:val="top"/>
          </w:tcPr>
          <w:p w14:paraId="4BF519FE">
            <w:pPr>
              <w:spacing w:line="246" w:lineRule="auto"/>
              <w:rPr>
                <w:rFonts w:ascii="Arial"/>
                <w:sz w:val="21"/>
              </w:rPr>
            </w:pPr>
          </w:p>
          <w:p w14:paraId="08B48ADB">
            <w:pPr>
              <w:spacing w:line="247" w:lineRule="auto"/>
              <w:rPr>
                <w:rFonts w:ascii="Arial"/>
                <w:sz w:val="21"/>
              </w:rPr>
            </w:pPr>
          </w:p>
          <w:p w14:paraId="77C1F836">
            <w:pPr>
              <w:spacing w:line="247" w:lineRule="auto"/>
              <w:rPr>
                <w:rFonts w:ascii="Arial"/>
                <w:sz w:val="21"/>
              </w:rPr>
            </w:pPr>
          </w:p>
          <w:p w14:paraId="395DB813">
            <w:pPr>
              <w:spacing w:line="247" w:lineRule="auto"/>
              <w:rPr>
                <w:rFonts w:ascii="Arial"/>
                <w:sz w:val="21"/>
              </w:rPr>
            </w:pPr>
          </w:p>
          <w:p w14:paraId="71ECE856">
            <w:pPr>
              <w:spacing w:line="247" w:lineRule="auto"/>
              <w:rPr>
                <w:rFonts w:ascii="Arial"/>
                <w:sz w:val="21"/>
              </w:rPr>
            </w:pPr>
          </w:p>
          <w:p w14:paraId="58F91D4B">
            <w:pPr>
              <w:spacing w:before="65" w:line="228" w:lineRule="auto"/>
              <w:ind w:left="111"/>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3015" w:type="dxa"/>
            <w:tcBorders>
              <w:left w:val="single" w:color="000000" w:sz="4" w:space="0"/>
              <w:right w:val="single" w:color="000000" w:sz="4" w:space="0"/>
            </w:tcBorders>
            <w:vAlign w:val="top"/>
          </w:tcPr>
          <w:p w14:paraId="13AD0D79">
            <w:pPr>
              <w:spacing w:before="56" w:line="283" w:lineRule="auto"/>
              <w:ind w:left="25" w:right="17" w:firstLine="4"/>
              <w:rPr>
                <w:rFonts w:ascii="宋体" w:hAnsi="宋体" w:eastAsia="宋体" w:cs="宋体"/>
                <w:sz w:val="20"/>
                <w:szCs w:val="20"/>
              </w:rPr>
            </w:pPr>
            <w:r>
              <w:rPr>
                <w:rFonts w:ascii="宋体" w:hAnsi="宋体" w:eastAsia="宋体" w:cs="宋体"/>
                <w:spacing w:val="6"/>
                <w:sz w:val="20"/>
                <w:szCs w:val="20"/>
              </w:rPr>
              <w:t>该</w:t>
            </w:r>
            <w:r>
              <w:rPr>
                <w:rFonts w:ascii="宋体" w:hAnsi="宋体" w:eastAsia="宋体" w:cs="宋体"/>
                <w:spacing w:val="3"/>
                <w:sz w:val="20"/>
                <w:szCs w:val="20"/>
              </w:rPr>
              <w:t xml:space="preserve">项目每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 xml:space="preserve">条生产线共用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套废</w:t>
            </w:r>
            <w:r>
              <w:rPr>
                <w:rFonts w:ascii="宋体" w:hAnsi="宋体" w:eastAsia="宋体" w:cs="宋体"/>
                <w:sz w:val="20"/>
                <w:szCs w:val="20"/>
              </w:rPr>
              <w:t xml:space="preserve"> </w:t>
            </w:r>
            <w:r>
              <w:rPr>
                <w:rFonts w:ascii="宋体" w:hAnsi="宋体" w:eastAsia="宋体" w:cs="宋体"/>
                <w:spacing w:val="16"/>
                <w:sz w:val="20"/>
                <w:szCs w:val="20"/>
              </w:rPr>
              <w:t>气</w:t>
            </w:r>
            <w:r>
              <w:rPr>
                <w:rFonts w:ascii="宋体" w:hAnsi="宋体" w:eastAsia="宋体" w:cs="宋体"/>
                <w:spacing w:val="11"/>
                <w:sz w:val="20"/>
                <w:szCs w:val="20"/>
              </w:rPr>
              <w:t>处理设施，集气罩收集后的有</w:t>
            </w:r>
            <w:r>
              <w:rPr>
                <w:rFonts w:ascii="宋体" w:hAnsi="宋体" w:eastAsia="宋体" w:cs="宋体"/>
                <w:sz w:val="20"/>
                <w:szCs w:val="20"/>
              </w:rPr>
              <w:t xml:space="preserve"> </w:t>
            </w:r>
            <w:r>
              <w:rPr>
                <w:rFonts w:ascii="宋体" w:hAnsi="宋体" w:eastAsia="宋体" w:cs="宋体"/>
                <w:spacing w:val="8"/>
                <w:sz w:val="20"/>
                <w:szCs w:val="20"/>
              </w:rPr>
              <w:t>机废气经由风量为</w:t>
            </w:r>
            <w:r>
              <w:rPr>
                <w:rFonts w:ascii="Times New Roman" w:hAnsi="Times New Roman" w:eastAsia="Times New Roman" w:cs="Times New Roman"/>
                <w:spacing w:val="8"/>
                <w:sz w:val="20"/>
                <w:szCs w:val="20"/>
              </w:rPr>
              <w:t>5000</w:t>
            </w:r>
            <w:r>
              <w:rPr>
                <w:rFonts w:ascii="Times New Roman" w:hAnsi="Times New Roman" w:eastAsia="Times New Roman" w:cs="Times New Roman"/>
                <w:sz w:val="20"/>
                <w:szCs w:val="20"/>
              </w:rPr>
              <w:t>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w:t>
            </w:r>
            <w:r>
              <w:rPr>
                <w:rFonts w:ascii="宋体" w:hAnsi="宋体" w:eastAsia="宋体" w:cs="宋体"/>
                <w:spacing w:val="7"/>
                <w:sz w:val="20"/>
                <w:szCs w:val="20"/>
              </w:rPr>
              <w:t>引</w:t>
            </w:r>
            <w:r>
              <w:rPr>
                <w:rFonts w:ascii="宋体" w:hAnsi="宋体" w:eastAsia="宋体" w:cs="宋体"/>
                <w:sz w:val="20"/>
                <w:szCs w:val="20"/>
              </w:rPr>
              <w:t xml:space="preserve"> </w:t>
            </w:r>
            <w:r>
              <w:rPr>
                <w:rFonts w:ascii="宋体" w:hAnsi="宋体" w:eastAsia="宋体" w:cs="宋体"/>
                <w:spacing w:val="16"/>
                <w:sz w:val="20"/>
                <w:szCs w:val="20"/>
              </w:rPr>
              <w:t>风</w:t>
            </w:r>
            <w:r>
              <w:rPr>
                <w:rFonts w:ascii="宋体" w:hAnsi="宋体" w:eastAsia="宋体" w:cs="宋体"/>
                <w:spacing w:val="11"/>
                <w:sz w:val="20"/>
                <w:szCs w:val="20"/>
              </w:rPr>
              <w:t>机抽入每个厂房内各自设置的</w:t>
            </w:r>
            <w:r>
              <w:rPr>
                <w:rFonts w:ascii="宋体" w:hAnsi="宋体" w:eastAsia="宋体" w:cs="宋体"/>
                <w:sz w:val="20"/>
                <w:szCs w:val="20"/>
              </w:rPr>
              <w:t xml:space="preserve"> </w:t>
            </w:r>
            <w:r>
              <w:rPr>
                <w:rFonts w:ascii="宋体" w:hAnsi="宋体" w:eastAsia="宋体" w:cs="宋体"/>
                <w:spacing w:val="16"/>
                <w:sz w:val="20"/>
                <w:szCs w:val="20"/>
              </w:rPr>
              <w:t>废</w:t>
            </w:r>
            <w:r>
              <w:rPr>
                <w:rFonts w:ascii="宋体" w:hAnsi="宋体" w:eastAsia="宋体" w:cs="宋体"/>
                <w:spacing w:val="10"/>
                <w:sz w:val="20"/>
                <w:szCs w:val="20"/>
              </w:rPr>
              <w:t>气</w:t>
            </w:r>
            <w:r>
              <w:rPr>
                <w:rFonts w:ascii="宋体" w:hAnsi="宋体" w:eastAsia="宋体" w:cs="宋体"/>
                <w:spacing w:val="8"/>
                <w:sz w:val="20"/>
                <w:szCs w:val="20"/>
              </w:rPr>
              <w:t xml:space="preserve">治理装置中，经过 </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光氧</w:t>
            </w:r>
            <w:r>
              <w:rPr>
                <w:rFonts w:ascii="宋体" w:hAnsi="宋体" w:eastAsia="宋体" w:cs="宋体"/>
                <w:sz w:val="20"/>
                <w:szCs w:val="20"/>
              </w:rPr>
              <w:t xml:space="preserve"> </w:t>
            </w:r>
            <w:r>
              <w:rPr>
                <w:rFonts w:ascii="宋体" w:hAnsi="宋体" w:eastAsia="宋体" w:cs="宋体"/>
                <w:spacing w:val="27"/>
                <w:sz w:val="20"/>
                <w:szCs w:val="20"/>
              </w:rPr>
              <w:t>催</w:t>
            </w:r>
            <w:r>
              <w:rPr>
                <w:rFonts w:ascii="宋体" w:hAnsi="宋体" w:eastAsia="宋体" w:cs="宋体"/>
                <w:spacing w:val="17"/>
                <w:sz w:val="20"/>
                <w:szCs w:val="20"/>
              </w:rPr>
              <w:t>化废气处理装置</w:t>
            </w:r>
            <w:r>
              <w:rPr>
                <w:rFonts w:ascii="Times New Roman" w:hAnsi="Times New Roman" w:eastAsia="Times New Roman" w:cs="Times New Roman"/>
                <w:spacing w:val="17"/>
                <w:sz w:val="20"/>
                <w:szCs w:val="20"/>
              </w:rPr>
              <w:t>+</w:t>
            </w:r>
            <w:r>
              <w:rPr>
                <w:rFonts w:ascii="宋体" w:hAnsi="宋体" w:eastAsia="宋体" w:cs="宋体"/>
                <w:spacing w:val="17"/>
                <w:sz w:val="20"/>
                <w:szCs w:val="20"/>
              </w:rPr>
              <w:t>活性炭吸附</w:t>
            </w:r>
            <w:r>
              <w:rPr>
                <w:rFonts w:ascii="宋体" w:hAnsi="宋体" w:eastAsia="宋体" w:cs="宋体"/>
                <w:sz w:val="20"/>
                <w:szCs w:val="20"/>
              </w:rPr>
              <w:t xml:space="preserve"> </w:t>
            </w:r>
            <w:r>
              <w:rPr>
                <w:rFonts w:ascii="宋体" w:hAnsi="宋体" w:eastAsia="宋体" w:cs="宋体"/>
                <w:spacing w:val="7"/>
                <w:sz w:val="20"/>
                <w:szCs w:val="20"/>
              </w:rPr>
              <w:t xml:space="preserve">装置处理后通过 </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m</w:t>
            </w:r>
            <w:r>
              <w:rPr>
                <w:rFonts w:ascii="宋体" w:hAnsi="宋体" w:eastAsia="宋体" w:cs="宋体"/>
                <w:spacing w:val="7"/>
                <w:sz w:val="20"/>
                <w:szCs w:val="20"/>
              </w:rPr>
              <w:t>高排气筒</w:t>
            </w:r>
            <w:r>
              <w:rPr>
                <w:rFonts w:ascii="宋体" w:hAnsi="宋体" w:eastAsia="宋体" w:cs="宋体"/>
                <w:spacing w:val="5"/>
                <w:sz w:val="20"/>
                <w:szCs w:val="20"/>
              </w:rPr>
              <w:t>有</w:t>
            </w:r>
            <w:r>
              <w:rPr>
                <w:rFonts w:ascii="宋体" w:hAnsi="宋体" w:eastAsia="宋体" w:cs="宋体"/>
                <w:sz w:val="20"/>
                <w:szCs w:val="20"/>
              </w:rPr>
              <w:t xml:space="preserve"> </w:t>
            </w:r>
            <w:r>
              <w:rPr>
                <w:rFonts w:ascii="宋体" w:hAnsi="宋体" w:eastAsia="宋体" w:cs="宋体"/>
                <w:spacing w:val="8"/>
                <w:sz w:val="20"/>
                <w:szCs w:val="20"/>
              </w:rPr>
              <w:t>组</w:t>
            </w:r>
            <w:r>
              <w:rPr>
                <w:rFonts w:ascii="宋体" w:hAnsi="宋体" w:eastAsia="宋体" w:cs="宋体"/>
                <w:spacing w:val="6"/>
                <w:sz w:val="20"/>
                <w:szCs w:val="20"/>
              </w:rPr>
              <w:t xml:space="preserve">织排放，共计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个排气筒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 xml:space="preserve"> </w:t>
            </w:r>
            <w:r>
              <w:rPr>
                <w:rFonts w:ascii="宋体" w:hAnsi="宋体" w:eastAsia="宋体" w:cs="宋体"/>
                <w:spacing w:val="7"/>
                <w:sz w:val="20"/>
                <w:szCs w:val="20"/>
              </w:rPr>
              <w:t>排气筒、</w:t>
            </w:r>
            <w:r>
              <w:rPr>
                <w:rFonts w:ascii="Times New Roman" w:hAnsi="Times New Roman" w:eastAsia="Times New Roman" w:cs="Times New Roman"/>
                <w:spacing w:val="7"/>
                <w:sz w:val="20"/>
                <w:szCs w:val="20"/>
              </w:rPr>
              <w:t>2#</w:t>
            </w:r>
            <w:r>
              <w:rPr>
                <w:rFonts w:ascii="宋体" w:hAnsi="宋体" w:eastAsia="宋体" w:cs="宋体"/>
                <w:spacing w:val="7"/>
                <w:sz w:val="20"/>
                <w:szCs w:val="20"/>
              </w:rPr>
              <w:t xml:space="preserve">排气筒) </w:t>
            </w:r>
            <w:r>
              <w:rPr>
                <w:rFonts w:ascii="宋体" w:hAnsi="宋体" w:eastAsia="宋体" w:cs="宋体"/>
                <w:spacing w:val="5"/>
                <w:sz w:val="20"/>
                <w:szCs w:val="20"/>
              </w:rPr>
              <w:t>。</w:t>
            </w:r>
          </w:p>
        </w:tc>
        <w:tc>
          <w:tcPr>
            <w:tcW w:w="2233" w:type="dxa"/>
            <w:tcBorders>
              <w:left w:val="single" w:color="000000" w:sz="4" w:space="0"/>
              <w:right w:val="nil"/>
            </w:tcBorders>
            <w:vAlign w:val="top"/>
          </w:tcPr>
          <w:p w14:paraId="2361E588">
            <w:pPr>
              <w:spacing w:line="306" w:lineRule="auto"/>
              <w:rPr>
                <w:rFonts w:ascii="Arial"/>
                <w:sz w:val="21"/>
              </w:rPr>
            </w:pPr>
          </w:p>
          <w:p w14:paraId="13DC1A52">
            <w:pPr>
              <w:spacing w:line="307" w:lineRule="auto"/>
              <w:rPr>
                <w:rFonts w:ascii="Arial"/>
                <w:sz w:val="21"/>
              </w:rPr>
            </w:pPr>
          </w:p>
          <w:p w14:paraId="6771D233">
            <w:pPr>
              <w:spacing w:before="65" w:line="228" w:lineRule="auto"/>
              <w:ind w:left="74"/>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合成树脂工业污染物</w:t>
            </w:r>
          </w:p>
          <w:p w14:paraId="1CA21C61">
            <w:pPr>
              <w:spacing w:before="67" w:line="294" w:lineRule="auto"/>
              <w:ind w:left="83" w:right="68" w:firstLine="510"/>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5"/>
                <w:sz w:val="20"/>
                <w:szCs w:val="20"/>
              </w:rPr>
              <w:t>放标准》</w:t>
            </w:r>
            <w:r>
              <w:rPr>
                <w:rFonts w:ascii="宋体" w:hAnsi="宋体" w:eastAsia="宋体" w:cs="宋体"/>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31572-2015</w:t>
            </w:r>
            <w:r>
              <w:rPr>
                <w:rFonts w:ascii="宋体" w:hAnsi="宋体" w:eastAsia="宋体" w:cs="宋体"/>
                <w:spacing w:val="8"/>
                <w:sz w:val="20"/>
                <w:szCs w:val="20"/>
              </w:rPr>
              <w:t xml:space="preserve">) 表 </w:t>
            </w:r>
            <w:r>
              <w:rPr>
                <w:rFonts w:ascii="Times New Roman" w:hAnsi="Times New Roman" w:eastAsia="Times New Roman" w:cs="Times New Roman"/>
                <w:spacing w:val="8"/>
                <w:sz w:val="20"/>
                <w:szCs w:val="20"/>
              </w:rPr>
              <w:t>4</w:t>
            </w:r>
            <w:r>
              <w:rPr>
                <w:rFonts w:ascii="Times New Roman" w:hAnsi="Times New Roman" w:eastAsia="Times New Roman" w:cs="Times New Roman"/>
                <w:sz w:val="20"/>
                <w:szCs w:val="20"/>
              </w:rPr>
              <w:t xml:space="preserve"> </w:t>
            </w:r>
            <w:r>
              <w:rPr>
                <w:rFonts w:ascii="宋体" w:hAnsi="宋体" w:eastAsia="宋体" w:cs="宋体"/>
                <w:spacing w:val="18"/>
                <w:sz w:val="20"/>
                <w:szCs w:val="20"/>
              </w:rPr>
              <w:t>中</w:t>
            </w:r>
            <w:r>
              <w:rPr>
                <w:rFonts w:ascii="宋体" w:hAnsi="宋体" w:eastAsia="宋体" w:cs="宋体"/>
                <w:spacing w:val="17"/>
                <w:sz w:val="20"/>
                <w:szCs w:val="20"/>
              </w:rPr>
              <w:t>标准限值要求 (即</w:t>
            </w:r>
            <w:r>
              <w:rPr>
                <w:rFonts w:ascii="宋体" w:hAnsi="宋体" w:eastAsia="宋体" w:cs="宋体"/>
                <w:sz w:val="20"/>
                <w:szCs w:val="20"/>
              </w:rPr>
              <w:t xml:space="preserve"> </w:t>
            </w:r>
            <w:r>
              <w:rPr>
                <w:rFonts w:ascii="Times New Roman" w:hAnsi="Times New Roman" w:eastAsia="Times New Roman" w:cs="Times New Roman"/>
                <w:sz w:val="20"/>
                <w:szCs w:val="20"/>
              </w:rPr>
              <w:t>NMHC</w:t>
            </w:r>
            <w:r>
              <w:rPr>
                <w:rFonts w:ascii="宋体" w:hAnsi="宋体" w:eastAsia="宋体" w:cs="宋体"/>
                <w:spacing w:val="21"/>
                <w:sz w:val="20"/>
                <w:szCs w:val="20"/>
              </w:rPr>
              <w:t>：</w:t>
            </w:r>
            <w:r>
              <w:rPr>
                <w:rFonts w:ascii="Times New Roman" w:hAnsi="Times New Roman" w:eastAsia="Times New Roman" w:cs="Times New Roman"/>
                <w:spacing w:val="18"/>
                <w:sz w:val="20"/>
                <w:szCs w:val="20"/>
              </w:rPr>
              <w:t>100</w:t>
            </w:r>
            <w:r>
              <w:rPr>
                <w:rFonts w:ascii="Times New Roman" w:hAnsi="Times New Roman" w:eastAsia="Times New Roman" w:cs="Times New Roman"/>
                <w:sz w:val="20"/>
                <w:szCs w:val="20"/>
              </w:rPr>
              <w:t>mg</w:t>
            </w:r>
            <w:r>
              <w:rPr>
                <w:rFonts w:ascii="Times New Roman" w:hAnsi="Times New Roman" w:eastAsia="Times New Roman" w:cs="Times New Roman"/>
                <w:spacing w:val="18"/>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8"/>
                <w:position w:val="6"/>
                <w:sz w:val="13"/>
                <w:szCs w:val="13"/>
              </w:rPr>
              <w:t xml:space="preserve">3 </w:t>
            </w:r>
            <w:r>
              <w:rPr>
                <w:rFonts w:ascii="宋体" w:hAnsi="宋体" w:eastAsia="宋体" w:cs="宋体"/>
                <w:spacing w:val="18"/>
                <w:sz w:val="20"/>
                <w:szCs w:val="20"/>
              </w:rPr>
              <w:t>)</w:t>
            </w:r>
          </w:p>
        </w:tc>
      </w:tr>
      <w:tr w14:paraId="15A2F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23" w:type="dxa"/>
            <w:vMerge w:val="continue"/>
            <w:tcBorders>
              <w:top w:val="nil"/>
              <w:left w:val="nil"/>
              <w:right w:val="single" w:color="000000" w:sz="4" w:space="0"/>
            </w:tcBorders>
            <w:vAlign w:val="top"/>
          </w:tcPr>
          <w:p w14:paraId="6CC14577">
            <w:pPr>
              <w:rPr>
                <w:rFonts w:ascii="Arial"/>
                <w:sz w:val="21"/>
              </w:rPr>
            </w:pPr>
          </w:p>
        </w:tc>
        <w:tc>
          <w:tcPr>
            <w:tcW w:w="1320" w:type="dxa"/>
            <w:tcBorders>
              <w:left w:val="single" w:color="000000" w:sz="4" w:space="0"/>
              <w:right w:val="single" w:color="000000" w:sz="4" w:space="0"/>
            </w:tcBorders>
            <w:vAlign w:val="top"/>
          </w:tcPr>
          <w:p w14:paraId="6FE85BC1">
            <w:pPr>
              <w:spacing w:before="216" w:line="228" w:lineRule="auto"/>
              <w:ind w:left="352"/>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1260" w:type="dxa"/>
            <w:tcBorders>
              <w:left w:val="single" w:color="000000" w:sz="4" w:space="0"/>
              <w:right w:val="single" w:color="000000" w:sz="4" w:space="0"/>
            </w:tcBorders>
            <w:vAlign w:val="top"/>
          </w:tcPr>
          <w:p w14:paraId="0A9DD75A">
            <w:pPr>
              <w:spacing w:before="95" w:line="248" w:lineRule="auto"/>
              <w:ind w:left="472" w:right="18" w:hanging="45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PM</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3"/>
                <w:position w:val="-1"/>
                <w:sz w:val="13"/>
                <w:szCs w:val="13"/>
              </w:rPr>
              <w:t xml:space="preserve">0 </w:t>
            </w:r>
            <w:r>
              <w:rPr>
                <w:rFonts w:ascii="宋体" w:hAnsi="宋体" w:eastAsia="宋体" w:cs="宋体"/>
                <w:spacing w:val="-3"/>
                <w:sz w:val="20"/>
                <w:szCs w:val="20"/>
              </w:rPr>
              <w:t>、</w:t>
            </w:r>
            <w:r>
              <w:rPr>
                <w:rFonts w:ascii="Times New Roman" w:hAnsi="Times New Roman" w:eastAsia="Times New Roman" w:cs="Times New Roman"/>
                <w:spacing w:val="-3"/>
                <w:sz w:val="20"/>
                <w:szCs w:val="20"/>
              </w:rPr>
              <w:t>NOx</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O</w:t>
            </w:r>
            <w:r>
              <w:rPr>
                <w:rFonts w:ascii="Times New Roman" w:hAnsi="Times New Roman" w:eastAsia="Times New Roman" w:cs="Times New Roman"/>
                <w:spacing w:val="-1"/>
                <w:position w:val="-1"/>
                <w:sz w:val="13"/>
                <w:szCs w:val="13"/>
              </w:rPr>
              <w:t>2</w:t>
            </w:r>
          </w:p>
        </w:tc>
        <w:tc>
          <w:tcPr>
            <w:tcW w:w="3015" w:type="dxa"/>
            <w:tcBorders>
              <w:left w:val="single" w:color="000000" w:sz="4" w:space="0"/>
              <w:right w:val="single" w:color="000000" w:sz="4" w:space="0"/>
            </w:tcBorders>
            <w:vAlign w:val="top"/>
          </w:tcPr>
          <w:p w14:paraId="40396C86">
            <w:pPr>
              <w:spacing w:before="59" w:line="258" w:lineRule="auto"/>
              <w:ind w:left="27" w:firstLine="2"/>
              <w:rPr>
                <w:rFonts w:ascii="宋体" w:hAnsi="宋体" w:eastAsia="宋体" w:cs="宋体"/>
                <w:sz w:val="20"/>
                <w:szCs w:val="20"/>
              </w:rPr>
            </w:pPr>
            <w:r>
              <w:rPr>
                <w:rFonts w:ascii="宋体" w:hAnsi="宋体" w:eastAsia="宋体" w:cs="宋体"/>
                <w:spacing w:val="2"/>
                <w:sz w:val="20"/>
                <w:szCs w:val="20"/>
              </w:rPr>
              <w:t xml:space="preserve">该项目洗字工序设有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个容积为</w:t>
            </w:r>
            <w:r>
              <w:rPr>
                <w:rFonts w:ascii="宋体" w:hAnsi="宋体" w:eastAsia="宋体" w:cs="宋体"/>
                <w:sz w:val="20"/>
                <w:szCs w:val="20"/>
              </w:rPr>
              <w:t xml:space="preserve"> </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4"/>
                <w:position w:val="6"/>
                <w:sz w:val="13"/>
                <w:szCs w:val="13"/>
              </w:rPr>
              <w:t xml:space="preserve">3 </w:t>
            </w:r>
            <w:r>
              <w:rPr>
                <w:rFonts w:ascii="宋体" w:hAnsi="宋体" w:eastAsia="宋体" w:cs="宋体"/>
                <w:spacing w:val="-4"/>
                <w:sz w:val="20"/>
                <w:szCs w:val="20"/>
              </w:rPr>
              <w:t>的洗字槽 (</w:t>
            </w:r>
            <w:r>
              <w:rPr>
                <w:rFonts w:ascii="Times New Roman" w:hAnsi="Times New Roman" w:eastAsia="Times New Roman" w:cs="Times New Roman"/>
                <w:spacing w:val="-2"/>
                <w:sz w:val="20"/>
                <w:szCs w:val="20"/>
              </w:rPr>
              <w:t>2.5m×1.2m×2m</w:t>
            </w:r>
            <w:r>
              <w:rPr>
                <w:rFonts w:ascii="宋体" w:hAnsi="宋体" w:eastAsia="宋体" w:cs="宋体"/>
                <w:spacing w:val="-2"/>
                <w:sz w:val="20"/>
                <w:szCs w:val="20"/>
              </w:rPr>
              <w:t>) ，</w:t>
            </w:r>
          </w:p>
        </w:tc>
        <w:tc>
          <w:tcPr>
            <w:tcW w:w="2233" w:type="dxa"/>
            <w:tcBorders>
              <w:left w:val="single" w:color="000000" w:sz="4" w:space="0"/>
              <w:right w:val="nil"/>
            </w:tcBorders>
            <w:vAlign w:val="top"/>
          </w:tcPr>
          <w:p w14:paraId="554748B9">
            <w:pPr>
              <w:spacing w:before="60" w:line="258" w:lineRule="auto"/>
              <w:ind w:left="28" w:firstLine="64"/>
              <w:rPr>
                <w:rFonts w:ascii="宋体" w:hAnsi="宋体" w:eastAsia="宋体" w:cs="宋体"/>
                <w:sz w:val="20"/>
                <w:szCs w:val="20"/>
              </w:rPr>
            </w:pPr>
            <w:r>
              <w:rPr>
                <w:rFonts w:ascii="宋体" w:hAnsi="宋体" w:eastAsia="宋体" w:cs="宋体"/>
                <w:spacing w:val="-2"/>
                <w:sz w:val="20"/>
                <w:szCs w:val="20"/>
              </w:rPr>
              <w:t>《锅</w:t>
            </w:r>
            <w:r>
              <w:rPr>
                <w:rFonts w:ascii="宋体" w:hAnsi="宋体" w:eastAsia="宋体" w:cs="宋体"/>
                <w:spacing w:val="-1"/>
                <w:sz w:val="20"/>
                <w:szCs w:val="20"/>
              </w:rPr>
              <w:t>炉大气污染物排放</w:t>
            </w:r>
            <w:r>
              <w:rPr>
                <w:rFonts w:ascii="宋体" w:hAnsi="宋体" w:eastAsia="宋体" w:cs="宋体"/>
                <w:sz w:val="20"/>
                <w:szCs w:val="20"/>
              </w:rPr>
              <w:t xml:space="preserve"> </w:t>
            </w:r>
            <w:r>
              <w:rPr>
                <w:rFonts w:ascii="宋体" w:hAnsi="宋体" w:eastAsia="宋体" w:cs="宋体"/>
                <w:spacing w:val="-14"/>
                <w:sz w:val="20"/>
                <w:szCs w:val="20"/>
              </w:rPr>
              <w:t>标</w:t>
            </w:r>
            <w:r>
              <w:rPr>
                <w:rFonts w:ascii="宋体" w:hAnsi="宋体" w:eastAsia="宋体" w:cs="宋体"/>
                <w:spacing w:val="-10"/>
                <w:sz w:val="20"/>
                <w:szCs w:val="20"/>
              </w:rPr>
              <w:t>准</w:t>
            </w:r>
            <w:r>
              <w:rPr>
                <w:rFonts w:ascii="宋体" w:hAnsi="宋体" w:eastAsia="宋体" w:cs="宋体"/>
                <w:spacing w:val="-7"/>
                <w:sz w:val="20"/>
                <w:szCs w:val="20"/>
              </w:rPr>
              <w:t>》  (</w:t>
            </w:r>
            <w:r>
              <w:rPr>
                <w:rFonts w:ascii="Times New Roman" w:hAnsi="Times New Roman" w:eastAsia="Times New Roman" w:cs="Times New Roman"/>
                <w:spacing w:val="-7"/>
                <w:sz w:val="20"/>
                <w:szCs w:val="20"/>
              </w:rPr>
              <w:t>GB13271-2014</w:t>
            </w:r>
            <w:r>
              <w:rPr>
                <w:rFonts w:ascii="宋体" w:hAnsi="宋体" w:eastAsia="宋体" w:cs="宋体"/>
                <w:spacing w:val="-7"/>
                <w:sz w:val="20"/>
                <w:szCs w:val="20"/>
              </w:rPr>
              <w:t>)</w:t>
            </w:r>
          </w:p>
        </w:tc>
      </w:tr>
    </w:tbl>
    <w:p w14:paraId="1EBA8A2F">
      <w:pPr>
        <w:rPr>
          <w:rFonts w:ascii="Arial"/>
          <w:sz w:val="21"/>
        </w:rPr>
      </w:pPr>
    </w:p>
    <w:p w14:paraId="7E12A1EB">
      <w:pPr>
        <w:sectPr>
          <w:headerReference r:id="rId322" w:type="default"/>
          <w:footerReference r:id="rId323" w:type="default"/>
          <w:pgSz w:w="11906" w:h="16839"/>
          <w:pgMar w:top="1132" w:right="1777" w:bottom="1182" w:left="1777" w:header="878" w:footer="1022" w:gutter="0"/>
          <w:cols w:space="720" w:num="1"/>
        </w:sectPr>
      </w:pPr>
    </w:p>
    <w:p w14:paraId="57E983A9">
      <w:r>
        <w:pict>
          <v:rect id="_x0000_s1380" o:spid="_x0000_s1380" o:spt="1" style="position:absolute;left:0pt;margin-left:90pt;margin-top:57.35pt;height:0.75pt;width:415.3pt;mso-position-horizontal-relative:page;mso-position-vertical-relative:page;z-index:252076032;mso-width-relative:page;mso-height-relative:page;" fillcolor="#000000" filled="t" stroked="f" coordsize="21600,21600" o:allowincell="f">
            <v:path/>
            <v:fill on="t" focussize="0,0"/>
            <v:stroke on="f"/>
            <v:imagedata o:title=""/>
            <o:lock v:ext="edit"/>
          </v:rect>
        </w:pict>
      </w:r>
    </w:p>
    <w:p w14:paraId="793A9FC0">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1320"/>
        <w:gridCol w:w="1260"/>
        <w:gridCol w:w="3015"/>
        <w:gridCol w:w="2233"/>
      </w:tblGrid>
      <w:tr w14:paraId="06D0A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523" w:type="dxa"/>
            <w:tcBorders>
              <w:left w:val="nil"/>
              <w:right w:val="single" w:color="000000" w:sz="4" w:space="0"/>
            </w:tcBorders>
            <w:vAlign w:val="top"/>
          </w:tcPr>
          <w:p w14:paraId="62BAABA5">
            <w:pPr>
              <w:rPr>
                <w:rFonts w:ascii="Arial"/>
                <w:sz w:val="21"/>
              </w:rPr>
            </w:pPr>
          </w:p>
        </w:tc>
        <w:tc>
          <w:tcPr>
            <w:tcW w:w="1320" w:type="dxa"/>
            <w:tcBorders>
              <w:left w:val="single" w:color="000000" w:sz="4" w:space="0"/>
              <w:right w:val="single" w:color="000000" w:sz="4" w:space="0"/>
            </w:tcBorders>
            <w:vAlign w:val="top"/>
          </w:tcPr>
          <w:p w14:paraId="7F05FBBE">
            <w:pPr>
              <w:rPr>
                <w:rFonts w:ascii="Arial"/>
                <w:sz w:val="21"/>
              </w:rPr>
            </w:pPr>
          </w:p>
        </w:tc>
        <w:tc>
          <w:tcPr>
            <w:tcW w:w="1260" w:type="dxa"/>
            <w:tcBorders>
              <w:left w:val="single" w:color="000000" w:sz="4" w:space="0"/>
              <w:right w:val="single" w:color="000000" w:sz="4" w:space="0"/>
            </w:tcBorders>
            <w:vAlign w:val="top"/>
          </w:tcPr>
          <w:p w14:paraId="75FA5B75">
            <w:pPr>
              <w:rPr>
                <w:rFonts w:ascii="Arial"/>
                <w:sz w:val="21"/>
              </w:rPr>
            </w:pPr>
          </w:p>
        </w:tc>
        <w:tc>
          <w:tcPr>
            <w:tcW w:w="3015" w:type="dxa"/>
            <w:tcBorders>
              <w:left w:val="single" w:color="000000" w:sz="4" w:space="0"/>
              <w:right w:val="single" w:color="000000" w:sz="4" w:space="0"/>
            </w:tcBorders>
            <w:vAlign w:val="top"/>
          </w:tcPr>
          <w:p w14:paraId="184C06F9">
            <w:pPr>
              <w:spacing w:before="26" w:line="284" w:lineRule="auto"/>
              <w:ind w:left="26" w:right="17"/>
              <w:rPr>
                <w:rFonts w:ascii="宋体" w:hAnsi="宋体" w:eastAsia="宋体" w:cs="宋体"/>
                <w:sz w:val="20"/>
                <w:szCs w:val="20"/>
              </w:rPr>
            </w:pPr>
            <w:r>
              <w:rPr>
                <w:rFonts w:ascii="宋体" w:hAnsi="宋体" w:eastAsia="宋体" w:cs="宋体"/>
                <w:spacing w:val="4"/>
                <w:sz w:val="20"/>
                <w:szCs w:val="20"/>
              </w:rPr>
              <w:t xml:space="preserve">配套设有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 xml:space="preserve">台 </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t</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的热风炉，产</w:t>
            </w:r>
            <w:r>
              <w:rPr>
                <w:rFonts w:ascii="宋体" w:hAnsi="宋体" w:eastAsia="宋体" w:cs="宋体"/>
                <w:sz w:val="20"/>
                <w:szCs w:val="20"/>
              </w:rPr>
              <w:t xml:space="preserve"> </w:t>
            </w:r>
            <w:r>
              <w:rPr>
                <w:rFonts w:ascii="宋体" w:hAnsi="宋体" w:eastAsia="宋体" w:cs="宋体"/>
                <w:spacing w:val="17"/>
                <w:sz w:val="20"/>
                <w:szCs w:val="20"/>
              </w:rPr>
              <w:t>生</w:t>
            </w:r>
            <w:r>
              <w:rPr>
                <w:rFonts w:ascii="宋体" w:hAnsi="宋体" w:eastAsia="宋体" w:cs="宋体"/>
                <w:spacing w:val="11"/>
                <w:sz w:val="20"/>
                <w:szCs w:val="20"/>
              </w:rPr>
              <w:t>的废气经配套的布袋除尘器处</w:t>
            </w:r>
            <w:r>
              <w:rPr>
                <w:rFonts w:ascii="宋体" w:hAnsi="宋体" w:eastAsia="宋体" w:cs="宋体"/>
                <w:sz w:val="20"/>
                <w:szCs w:val="20"/>
              </w:rPr>
              <w:t xml:space="preserve"> </w:t>
            </w:r>
            <w:r>
              <w:rPr>
                <w:rFonts w:ascii="宋体" w:hAnsi="宋体" w:eastAsia="宋体" w:cs="宋体"/>
                <w:spacing w:val="1"/>
                <w:sz w:val="20"/>
                <w:szCs w:val="20"/>
              </w:rPr>
              <w:t xml:space="preserve">理后，通过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个 </w:t>
            </w:r>
            <w:r>
              <w:rPr>
                <w:rFonts w:ascii="Times New Roman" w:hAnsi="Times New Roman" w:eastAsia="Times New Roman" w:cs="Times New Roman"/>
                <w:sz w:val="20"/>
                <w:szCs w:val="20"/>
              </w:rPr>
              <w:t>3#</w:t>
            </w:r>
            <w:r>
              <w:rPr>
                <w:rFonts w:ascii="宋体" w:hAnsi="宋体" w:eastAsia="宋体" w:cs="宋体"/>
                <w:sz w:val="20"/>
                <w:szCs w:val="20"/>
              </w:rPr>
              <w:t xml:space="preserve">排气筒进行排 </w:t>
            </w:r>
            <w:r>
              <w:rPr>
                <w:rFonts w:ascii="宋体" w:hAnsi="宋体" w:eastAsia="宋体" w:cs="宋体"/>
                <w:spacing w:val="6"/>
                <w:sz w:val="20"/>
                <w:szCs w:val="20"/>
              </w:rPr>
              <w:t xml:space="preserve">放，排气筒高度为 </w:t>
            </w: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(新建锅</w:t>
            </w:r>
            <w:r>
              <w:rPr>
                <w:rFonts w:ascii="宋体" w:hAnsi="宋体" w:eastAsia="宋体" w:cs="宋体"/>
                <w:sz w:val="20"/>
                <w:szCs w:val="20"/>
              </w:rPr>
              <w:t xml:space="preserve"> </w:t>
            </w:r>
            <w:r>
              <w:rPr>
                <w:rFonts w:ascii="宋体" w:hAnsi="宋体" w:eastAsia="宋体" w:cs="宋体"/>
                <w:spacing w:val="17"/>
                <w:sz w:val="20"/>
                <w:szCs w:val="20"/>
              </w:rPr>
              <w:t>炉</w:t>
            </w:r>
            <w:r>
              <w:rPr>
                <w:rFonts w:ascii="宋体" w:hAnsi="宋体" w:eastAsia="宋体" w:cs="宋体"/>
                <w:spacing w:val="9"/>
                <w:sz w:val="20"/>
                <w:szCs w:val="20"/>
              </w:rPr>
              <w:t xml:space="preserve">房的烟囱周围半径 </w:t>
            </w:r>
            <w:r>
              <w:rPr>
                <w:rFonts w:ascii="Times New Roman" w:hAnsi="Times New Roman" w:eastAsia="Times New Roman" w:cs="Times New Roman"/>
                <w:spacing w:val="9"/>
                <w:sz w:val="20"/>
                <w:szCs w:val="20"/>
              </w:rPr>
              <w:t>200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距离</w:t>
            </w:r>
            <w:r>
              <w:rPr>
                <w:rFonts w:ascii="宋体" w:hAnsi="宋体" w:eastAsia="宋体" w:cs="宋体"/>
                <w:sz w:val="20"/>
                <w:szCs w:val="20"/>
              </w:rPr>
              <w:t xml:space="preserve"> </w:t>
            </w:r>
            <w:r>
              <w:rPr>
                <w:rFonts w:ascii="宋体" w:hAnsi="宋体" w:eastAsia="宋体" w:cs="宋体"/>
                <w:spacing w:val="17"/>
                <w:sz w:val="20"/>
                <w:szCs w:val="20"/>
              </w:rPr>
              <w:t>内</w:t>
            </w:r>
            <w:r>
              <w:rPr>
                <w:rFonts w:ascii="宋体" w:hAnsi="宋体" w:eastAsia="宋体" w:cs="宋体"/>
                <w:spacing w:val="11"/>
                <w:sz w:val="20"/>
                <w:szCs w:val="20"/>
              </w:rPr>
              <w:t>有建筑物时，其烟囱应高出最</w:t>
            </w:r>
            <w:r>
              <w:rPr>
                <w:rFonts w:ascii="宋体" w:hAnsi="宋体" w:eastAsia="宋体" w:cs="宋体"/>
                <w:sz w:val="20"/>
                <w:szCs w:val="20"/>
              </w:rPr>
              <w:t xml:space="preserve"> </w:t>
            </w:r>
            <w:r>
              <w:rPr>
                <w:rFonts w:ascii="宋体" w:hAnsi="宋体" w:eastAsia="宋体" w:cs="宋体"/>
                <w:spacing w:val="4"/>
                <w:sz w:val="20"/>
                <w:szCs w:val="20"/>
              </w:rPr>
              <w:t>高建</w:t>
            </w:r>
            <w:r>
              <w:rPr>
                <w:rFonts w:ascii="宋体" w:hAnsi="宋体" w:eastAsia="宋体" w:cs="宋体"/>
                <w:spacing w:val="2"/>
                <w:sz w:val="20"/>
                <w:szCs w:val="20"/>
              </w:rPr>
              <w:t xml:space="preserve">筑物 </w:t>
            </w:r>
            <w:r>
              <w:rPr>
                <w:rFonts w:ascii="Times New Roman" w:hAnsi="Times New Roman" w:eastAsia="Times New Roman" w:cs="Times New Roman"/>
                <w:spacing w:val="2"/>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以上) 。</w:t>
            </w:r>
          </w:p>
        </w:tc>
        <w:tc>
          <w:tcPr>
            <w:tcW w:w="2233" w:type="dxa"/>
            <w:tcBorders>
              <w:left w:val="single" w:color="000000" w:sz="4" w:space="0"/>
              <w:right w:val="nil"/>
            </w:tcBorders>
            <w:vAlign w:val="top"/>
          </w:tcPr>
          <w:p w14:paraId="623A23B4">
            <w:pPr>
              <w:spacing w:before="61" w:line="228" w:lineRule="auto"/>
              <w:ind w:left="399"/>
              <w:rPr>
                <w:rFonts w:ascii="宋体" w:hAnsi="宋体" w:eastAsia="宋体" w:cs="宋体"/>
                <w:sz w:val="20"/>
                <w:szCs w:val="20"/>
              </w:rPr>
            </w:pPr>
            <w:r>
              <w:rPr>
                <w:rFonts w:ascii="宋体" w:hAnsi="宋体" w:eastAsia="宋体" w:cs="宋体"/>
                <w:spacing w:val="-2"/>
                <w:sz w:val="20"/>
                <w:szCs w:val="20"/>
              </w:rPr>
              <w:t xml:space="preserve">表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中标</w:t>
            </w:r>
            <w:r>
              <w:rPr>
                <w:rFonts w:ascii="宋体" w:hAnsi="宋体" w:eastAsia="宋体" w:cs="宋体"/>
                <w:spacing w:val="-1"/>
                <w:sz w:val="20"/>
                <w:szCs w:val="20"/>
              </w:rPr>
              <w:t>准要求</w:t>
            </w:r>
          </w:p>
        </w:tc>
      </w:tr>
      <w:tr w14:paraId="02647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23" w:type="dxa"/>
            <w:vMerge w:val="restart"/>
            <w:tcBorders>
              <w:left w:val="nil"/>
              <w:bottom w:val="nil"/>
              <w:right w:val="single" w:color="000000" w:sz="4" w:space="0"/>
            </w:tcBorders>
            <w:vAlign w:val="top"/>
          </w:tcPr>
          <w:p w14:paraId="31BF9909">
            <w:pPr>
              <w:spacing w:line="251" w:lineRule="auto"/>
              <w:rPr>
                <w:rFonts w:ascii="Arial"/>
                <w:sz w:val="21"/>
              </w:rPr>
            </w:pPr>
          </w:p>
          <w:p w14:paraId="1A724738">
            <w:pPr>
              <w:spacing w:line="251" w:lineRule="auto"/>
              <w:rPr>
                <w:rFonts w:ascii="Arial"/>
                <w:sz w:val="21"/>
              </w:rPr>
            </w:pPr>
          </w:p>
          <w:p w14:paraId="0EC9A1B1">
            <w:pPr>
              <w:spacing w:line="251" w:lineRule="auto"/>
              <w:rPr>
                <w:rFonts w:ascii="Arial"/>
                <w:sz w:val="21"/>
              </w:rPr>
            </w:pPr>
          </w:p>
          <w:p w14:paraId="0134098E">
            <w:pPr>
              <w:spacing w:line="251" w:lineRule="auto"/>
              <w:rPr>
                <w:rFonts w:ascii="Arial"/>
                <w:sz w:val="21"/>
              </w:rPr>
            </w:pPr>
          </w:p>
          <w:p w14:paraId="7C431BFD">
            <w:pPr>
              <w:spacing w:line="252" w:lineRule="auto"/>
              <w:rPr>
                <w:rFonts w:ascii="Arial"/>
                <w:sz w:val="21"/>
              </w:rPr>
            </w:pPr>
          </w:p>
          <w:p w14:paraId="42F1895A">
            <w:pPr>
              <w:spacing w:line="252" w:lineRule="auto"/>
              <w:rPr>
                <w:rFonts w:ascii="Arial"/>
                <w:sz w:val="21"/>
              </w:rPr>
            </w:pPr>
          </w:p>
          <w:p w14:paraId="52152CC0">
            <w:pPr>
              <w:spacing w:line="252" w:lineRule="auto"/>
              <w:rPr>
                <w:rFonts w:ascii="Arial"/>
                <w:sz w:val="21"/>
              </w:rPr>
            </w:pPr>
          </w:p>
          <w:p w14:paraId="6F9F0669">
            <w:pPr>
              <w:spacing w:line="252" w:lineRule="auto"/>
              <w:rPr>
                <w:rFonts w:ascii="Arial"/>
                <w:sz w:val="21"/>
              </w:rPr>
            </w:pPr>
          </w:p>
          <w:p w14:paraId="218C2278">
            <w:pPr>
              <w:spacing w:before="65" w:line="228" w:lineRule="auto"/>
              <w:ind w:left="59"/>
              <w:rPr>
                <w:rFonts w:ascii="宋体" w:hAnsi="宋体" w:eastAsia="宋体" w:cs="宋体"/>
                <w:sz w:val="20"/>
                <w:szCs w:val="20"/>
              </w:rPr>
            </w:pPr>
            <w:r>
              <w:rPr>
                <w:rFonts w:ascii="宋体" w:hAnsi="宋体" w:eastAsia="宋体" w:cs="宋体"/>
                <w:spacing w:val="5"/>
                <w:sz w:val="20"/>
                <w:szCs w:val="20"/>
              </w:rPr>
              <w:t>废水</w:t>
            </w:r>
          </w:p>
        </w:tc>
        <w:tc>
          <w:tcPr>
            <w:tcW w:w="1320" w:type="dxa"/>
            <w:tcBorders>
              <w:left w:val="single" w:color="000000" w:sz="4" w:space="0"/>
              <w:right w:val="single" w:color="000000" w:sz="4" w:space="0"/>
            </w:tcBorders>
            <w:vAlign w:val="top"/>
          </w:tcPr>
          <w:p w14:paraId="376E0C2B">
            <w:pPr>
              <w:spacing w:before="210" w:line="228" w:lineRule="auto"/>
              <w:ind w:left="352"/>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1260" w:type="dxa"/>
            <w:tcBorders>
              <w:left w:val="single" w:color="000000" w:sz="4" w:space="0"/>
              <w:right w:val="single" w:color="000000" w:sz="4" w:space="0"/>
            </w:tcBorders>
            <w:vAlign w:val="top"/>
          </w:tcPr>
          <w:p w14:paraId="65829FA7">
            <w:pPr>
              <w:spacing w:before="90" w:line="241" w:lineRule="auto"/>
              <w:ind w:left="201" w:right="194" w:firstLine="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CODc</w:t>
            </w:r>
            <w:r>
              <w:rPr>
                <w:rFonts w:ascii="Times New Roman" w:hAnsi="Times New Roman" w:eastAsia="Times New Roman" w:cs="Times New Roman"/>
                <w:sz w:val="20"/>
                <w:szCs w:val="20"/>
              </w:rPr>
              <w:t>r</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1"/>
                <w:sz w:val="20"/>
                <w:szCs w:val="20"/>
              </w:rPr>
              <w:t>氨</w:t>
            </w:r>
            <w:r>
              <w:rPr>
                <w:rFonts w:ascii="宋体" w:hAnsi="宋体" w:eastAsia="宋体" w:cs="宋体"/>
                <w:spacing w:val="10"/>
                <w:sz w:val="20"/>
                <w:szCs w:val="20"/>
              </w:rPr>
              <w:t>氮、</w:t>
            </w:r>
            <w:r>
              <w:rPr>
                <w:rFonts w:ascii="Times New Roman" w:hAnsi="Times New Roman" w:eastAsia="Times New Roman" w:cs="Times New Roman"/>
                <w:sz w:val="20"/>
                <w:szCs w:val="20"/>
              </w:rPr>
              <w:t>SS</w:t>
            </w:r>
          </w:p>
        </w:tc>
        <w:tc>
          <w:tcPr>
            <w:tcW w:w="3015" w:type="dxa"/>
            <w:tcBorders>
              <w:left w:val="single" w:color="000000" w:sz="4" w:space="0"/>
              <w:right w:val="single" w:color="000000" w:sz="4" w:space="0"/>
            </w:tcBorders>
            <w:vAlign w:val="top"/>
          </w:tcPr>
          <w:p w14:paraId="38AD9AEE">
            <w:pPr>
              <w:spacing w:before="54" w:line="258" w:lineRule="auto"/>
              <w:ind w:left="27" w:right="8" w:firstLine="2"/>
              <w:rPr>
                <w:rFonts w:ascii="宋体" w:hAnsi="宋体" w:eastAsia="宋体" w:cs="宋体"/>
                <w:sz w:val="20"/>
                <w:szCs w:val="20"/>
              </w:rPr>
            </w:pPr>
            <w:r>
              <w:rPr>
                <w:rFonts w:ascii="宋体" w:hAnsi="宋体" w:eastAsia="宋体" w:cs="宋体"/>
                <w:spacing w:val="-4"/>
                <w:sz w:val="20"/>
                <w:szCs w:val="20"/>
              </w:rPr>
              <w:t>项</w:t>
            </w:r>
            <w:r>
              <w:rPr>
                <w:rFonts w:ascii="宋体" w:hAnsi="宋体" w:eastAsia="宋体" w:cs="宋体"/>
                <w:spacing w:val="-3"/>
                <w:sz w:val="20"/>
                <w:szCs w:val="20"/>
              </w:rPr>
              <w:t>目</w:t>
            </w:r>
            <w:r>
              <w:rPr>
                <w:rFonts w:ascii="宋体" w:hAnsi="宋体" w:eastAsia="宋体" w:cs="宋体"/>
                <w:spacing w:val="-2"/>
                <w:sz w:val="20"/>
                <w:szCs w:val="20"/>
              </w:rPr>
              <w:t>在厂区东南侧设有旱厕，员工</w:t>
            </w:r>
            <w:r>
              <w:rPr>
                <w:rFonts w:ascii="宋体" w:hAnsi="宋体" w:eastAsia="宋体" w:cs="宋体"/>
                <w:sz w:val="20"/>
                <w:szCs w:val="20"/>
              </w:rPr>
              <w:t xml:space="preserve"> </w:t>
            </w:r>
            <w:r>
              <w:rPr>
                <w:rFonts w:ascii="宋体" w:hAnsi="宋体" w:eastAsia="宋体" w:cs="宋体"/>
                <w:spacing w:val="-2"/>
                <w:sz w:val="20"/>
                <w:szCs w:val="20"/>
              </w:rPr>
              <w:t>使用防渗旱厕，定期</w:t>
            </w:r>
            <w:r>
              <w:rPr>
                <w:rFonts w:ascii="宋体" w:hAnsi="宋体" w:eastAsia="宋体" w:cs="宋体"/>
                <w:spacing w:val="-1"/>
                <w:sz w:val="20"/>
                <w:szCs w:val="20"/>
              </w:rPr>
              <w:t>清掏。</w:t>
            </w:r>
          </w:p>
        </w:tc>
        <w:tc>
          <w:tcPr>
            <w:tcW w:w="2233" w:type="dxa"/>
            <w:tcBorders>
              <w:left w:val="single" w:color="000000" w:sz="4" w:space="0"/>
              <w:right w:val="nil"/>
            </w:tcBorders>
            <w:vAlign w:val="top"/>
          </w:tcPr>
          <w:p w14:paraId="6712E1AE">
            <w:pPr>
              <w:spacing w:before="211" w:line="228" w:lineRule="auto"/>
              <w:ind w:left="809"/>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6EA45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4" w:hRule="atLeast"/>
        </w:trPr>
        <w:tc>
          <w:tcPr>
            <w:tcW w:w="523" w:type="dxa"/>
            <w:vMerge w:val="continue"/>
            <w:tcBorders>
              <w:top w:val="nil"/>
              <w:left w:val="nil"/>
              <w:right w:val="single" w:color="000000" w:sz="4" w:space="0"/>
            </w:tcBorders>
            <w:vAlign w:val="top"/>
          </w:tcPr>
          <w:p w14:paraId="0E47B8BF">
            <w:pPr>
              <w:rPr>
                <w:rFonts w:ascii="Arial"/>
                <w:sz w:val="21"/>
              </w:rPr>
            </w:pPr>
          </w:p>
        </w:tc>
        <w:tc>
          <w:tcPr>
            <w:tcW w:w="1320" w:type="dxa"/>
            <w:tcBorders>
              <w:left w:val="single" w:color="000000" w:sz="4" w:space="0"/>
              <w:right w:val="single" w:color="000000" w:sz="4" w:space="0"/>
            </w:tcBorders>
            <w:vAlign w:val="top"/>
          </w:tcPr>
          <w:p w14:paraId="06458E7C">
            <w:pPr>
              <w:spacing w:line="242" w:lineRule="auto"/>
              <w:rPr>
                <w:rFonts w:ascii="Arial"/>
                <w:sz w:val="21"/>
              </w:rPr>
            </w:pPr>
          </w:p>
          <w:p w14:paraId="0E0BDF29">
            <w:pPr>
              <w:spacing w:line="242" w:lineRule="auto"/>
              <w:rPr>
                <w:rFonts w:ascii="Arial"/>
                <w:sz w:val="21"/>
              </w:rPr>
            </w:pPr>
          </w:p>
          <w:p w14:paraId="5DBC79A7">
            <w:pPr>
              <w:spacing w:line="242" w:lineRule="auto"/>
              <w:rPr>
                <w:rFonts w:ascii="Arial"/>
                <w:sz w:val="21"/>
              </w:rPr>
            </w:pPr>
          </w:p>
          <w:p w14:paraId="41FC1175">
            <w:pPr>
              <w:spacing w:line="242" w:lineRule="auto"/>
              <w:rPr>
                <w:rFonts w:ascii="Arial"/>
                <w:sz w:val="21"/>
              </w:rPr>
            </w:pPr>
          </w:p>
          <w:p w14:paraId="3667DC54">
            <w:pPr>
              <w:spacing w:line="242" w:lineRule="auto"/>
              <w:rPr>
                <w:rFonts w:ascii="Arial"/>
                <w:sz w:val="21"/>
              </w:rPr>
            </w:pPr>
          </w:p>
          <w:p w14:paraId="01BE4187">
            <w:pPr>
              <w:spacing w:line="243" w:lineRule="auto"/>
              <w:rPr>
                <w:rFonts w:ascii="Arial"/>
                <w:sz w:val="21"/>
              </w:rPr>
            </w:pPr>
          </w:p>
          <w:p w14:paraId="244D94A2">
            <w:pPr>
              <w:spacing w:line="243" w:lineRule="auto"/>
              <w:rPr>
                <w:rFonts w:ascii="Arial"/>
                <w:sz w:val="21"/>
              </w:rPr>
            </w:pPr>
          </w:p>
          <w:p w14:paraId="76F9DC9A">
            <w:pPr>
              <w:spacing w:before="65" w:line="228" w:lineRule="auto"/>
              <w:ind w:left="244"/>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p>
        </w:tc>
        <w:tc>
          <w:tcPr>
            <w:tcW w:w="1260" w:type="dxa"/>
            <w:tcBorders>
              <w:left w:val="single" w:color="000000" w:sz="4" w:space="0"/>
              <w:right w:val="single" w:color="000000" w:sz="4" w:space="0"/>
            </w:tcBorders>
            <w:vAlign w:val="top"/>
          </w:tcPr>
          <w:p w14:paraId="62E7CB6E">
            <w:pPr>
              <w:spacing w:line="257" w:lineRule="auto"/>
              <w:rPr>
                <w:rFonts w:ascii="Arial"/>
                <w:sz w:val="21"/>
              </w:rPr>
            </w:pPr>
          </w:p>
          <w:p w14:paraId="25C6028E">
            <w:pPr>
              <w:spacing w:line="257" w:lineRule="auto"/>
              <w:rPr>
                <w:rFonts w:ascii="Arial"/>
                <w:sz w:val="21"/>
              </w:rPr>
            </w:pPr>
          </w:p>
          <w:p w14:paraId="7826F04E">
            <w:pPr>
              <w:spacing w:line="257" w:lineRule="auto"/>
              <w:rPr>
                <w:rFonts w:ascii="Arial"/>
                <w:sz w:val="21"/>
              </w:rPr>
            </w:pPr>
          </w:p>
          <w:p w14:paraId="3B941739">
            <w:pPr>
              <w:spacing w:line="257" w:lineRule="auto"/>
              <w:rPr>
                <w:rFonts w:ascii="Arial"/>
                <w:sz w:val="21"/>
              </w:rPr>
            </w:pPr>
          </w:p>
          <w:p w14:paraId="06958F0D">
            <w:pPr>
              <w:spacing w:line="257" w:lineRule="auto"/>
              <w:rPr>
                <w:rFonts w:ascii="Arial"/>
                <w:sz w:val="21"/>
              </w:rPr>
            </w:pPr>
          </w:p>
          <w:p w14:paraId="77F6C95A">
            <w:pPr>
              <w:spacing w:line="258" w:lineRule="auto"/>
              <w:rPr>
                <w:rFonts w:ascii="Arial"/>
                <w:sz w:val="21"/>
              </w:rPr>
            </w:pPr>
          </w:p>
          <w:p w14:paraId="49908EAF">
            <w:pPr>
              <w:spacing w:before="65" w:line="301" w:lineRule="auto"/>
              <w:ind w:left="25" w:right="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CODcr</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宋体" w:hAnsi="宋体" w:eastAsia="宋体" w:cs="宋体"/>
                <w:spacing w:val="-3"/>
                <w:sz w:val="20"/>
                <w:szCs w:val="20"/>
              </w:rPr>
              <w:t>石</w:t>
            </w:r>
            <w:r>
              <w:rPr>
                <w:rFonts w:ascii="宋体" w:hAnsi="宋体" w:eastAsia="宋体" w:cs="宋体"/>
                <w:spacing w:val="-2"/>
                <w:sz w:val="20"/>
                <w:szCs w:val="20"/>
              </w:rPr>
              <w:t>油</w:t>
            </w:r>
            <w:r>
              <w:rPr>
                <w:rFonts w:ascii="宋体" w:hAnsi="宋体" w:eastAsia="宋体" w:cs="宋体"/>
                <w:sz w:val="20"/>
                <w:szCs w:val="20"/>
              </w:rPr>
              <w:t xml:space="preserve"> </w:t>
            </w:r>
            <w:r>
              <w:rPr>
                <w:rFonts w:ascii="宋体" w:hAnsi="宋体" w:eastAsia="宋体" w:cs="宋体"/>
                <w:spacing w:val="-4"/>
                <w:sz w:val="20"/>
                <w:szCs w:val="20"/>
              </w:rPr>
              <w:t>类、</w:t>
            </w:r>
            <w:r>
              <w:rPr>
                <w:rFonts w:ascii="宋体" w:hAnsi="宋体" w:eastAsia="宋体" w:cs="宋体"/>
                <w:spacing w:val="-2"/>
                <w:sz w:val="20"/>
                <w:szCs w:val="20"/>
              </w:rPr>
              <w:t>氨氮、</w:t>
            </w:r>
            <w:r>
              <w:rPr>
                <w:rFonts w:ascii="Times New Roman" w:hAnsi="Times New Roman" w:eastAsia="Times New Roman" w:cs="Times New Roman"/>
                <w:spacing w:val="-2"/>
                <w:sz w:val="20"/>
                <w:szCs w:val="20"/>
              </w:rPr>
              <w:t>SS</w:t>
            </w:r>
          </w:p>
        </w:tc>
        <w:tc>
          <w:tcPr>
            <w:tcW w:w="3015" w:type="dxa"/>
            <w:tcBorders>
              <w:left w:val="single" w:color="000000" w:sz="4" w:space="0"/>
              <w:right w:val="single" w:color="000000" w:sz="4" w:space="0"/>
            </w:tcBorders>
            <w:vAlign w:val="top"/>
          </w:tcPr>
          <w:p w14:paraId="6C6083B4">
            <w:pPr>
              <w:tabs>
                <w:tab w:val="left" w:pos="136"/>
              </w:tabs>
              <w:spacing w:before="58" w:line="283" w:lineRule="auto"/>
              <w:ind w:left="25" w:right="3" w:firstLine="4"/>
              <w:rPr>
                <w:rFonts w:ascii="宋体" w:hAnsi="宋体" w:eastAsia="宋体" w:cs="宋体"/>
                <w:sz w:val="20"/>
                <w:szCs w:val="20"/>
              </w:rPr>
            </w:pPr>
            <w:r>
              <w:rPr>
                <w:rFonts w:ascii="宋体" w:hAnsi="宋体" w:eastAsia="宋体" w:cs="宋体"/>
                <w:spacing w:val="-12"/>
                <w:sz w:val="20"/>
                <w:szCs w:val="20"/>
              </w:rPr>
              <w:t>项</w:t>
            </w:r>
            <w:r>
              <w:rPr>
                <w:rFonts w:ascii="宋体" w:hAnsi="宋体" w:eastAsia="宋体" w:cs="宋体"/>
                <w:spacing w:val="-8"/>
                <w:sz w:val="20"/>
                <w:szCs w:val="20"/>
              </w:rPr>
              <w:t>目</w:t>
            </w:r>
            <w:r>
              <w:rPr>
                <w:rFonts w:ascii="宋体" w:hAnsi="宋体" w:eastAsia="宋体" w:cs="宋体"/>
                <w:spacing w:val="-6"/>
                <w:sz w:val="20"/>
                <w:szCs w:val="20"/>
              </w:rPr>
              <w:t xml:space="preserve">设有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 xml:space="preserve">座容积为 </w:t>
            </w:r>
            <w:r>
              <w:rPr>
                <w:rFonts w:ascii="Times New Roman" w:hAnsi="Times New Roman" w:eastAsia="Times New Roman" w:cs="Times New Roman"/>
                <w:spacing w:val="-6"/>
                <w:sz w:val="20"/>
                <w:szCs w:val="20"/>
              </w:rPr>
              <w:t>324m</w:t>
            </w:r>
            <w:r>
              <w:rPr>
                <w:rFonts w:ascii="Times New Roman" w:hAnsi="Times New Roman" w:eastAsia="Times New Roman" w:cs="Times New Roman"/>
                <w:spacing w:val="-6"/>
                <w:position w:val="6"/>
                <w:sz w:val="13"/>
                <w:szCs w:val="13"/>
              </w:rPr>
              <w:t xml:space="preserve">3 </w:t>
            </w:r>
            <w:r>
              <w:rPr>
                <w:rFonts w:ascii="宋体" w:hAnsi="宋体" w:eastAsia="宋体" w:cs="宋体"/>
                <w:spacing w:val="-6"/>
                <w:sz w:val="20"/>
                <w:szCs w:val="20"/>
              </w:rPr>
              <w:t>的三级</w:t>
            </w:r>
            <w:r>
              <w:rPr>
                <w:rFonts w:ascii="宋体" w:hAnsi="宋体" w:eastAsia="宋体" w:cs="宋体"/>
                <w:sz w:val="20"/>
                <w:szCs w:val="20"/>
              </w:rPr>
              <w:t xml:space="preserve"> </w:t>
            </w:r>
            <w:r>
              <w:rPr>
                <w:rFonts w:ascii="宋体" w:hAnsi="宋体" w:eastAsia="宋体" w:cs="宋体"/>
                <w:spacing w:val="-4"/>
                <w:sz w:val="20"/>
                <w:szCs w:val="20"/>
              </w:rPr>
              <w:t>沉</w:t>
            </w:r>
            <w:r>
              <w:rPr>
                <w:rFonts w:ascii="宋体" w:hAnsi="宋体" w:eastAsia="宋体" w:cs="宋体"/>
                <w:spacing w:val="-3"/>
                <w:sz w:val="20"/>
                <w:szCs w:val="20"/>
              </w:rPr>
              <w:t>淀池 (</w:t>
            </w:r>
            <w:r>
              <w:rPr>
                <w:rFonts w:ascii="Times New Roman" w:hAnsi="Times New Roman" w:eastAsia="Times New Roman" w:cs="Times New Roman"/>
                <w:spacing w:val="-3"/>
                <w:sz w:val="20"/>
                <w:szCs w:val="20"/>
              </w:rPr>
              <w:t>12m×6m×4.5m</w:t>
            </w:r>
            <w:r>
              <w:rPr>
                <w:rFonts w:ascii="宋体" w:hAnsi="宋体" w:eastAsia="宋体" w:cs="宋体"/>
                <w:spacing w:val="-3"/>
                <w:sz w:val="20"/>
                <w:szCs w:val="20"/>
              </w:rPr>
              <w:t>) ，同时配</w:t>
            </w:r>
            <w:r>
              <w:rPr>
                <w:rFonts w:ascii="宋体" w:hAnsi="宋体" w:eastAsia="宋体" w:cs="宋体"/>
                <w:sz w:val="20"/>
                <w:szCs w:val="20"/>
              </w:rPr>
              <w:t xml:space="preserve"> </w:t>
            </w:r>
            <w:r>
              <w:rPr>
                <w:rFonts w:ascii="宋体" w:hAnsi="宋体" w:eastAsia="宋体" w:cs="宋体"/>
                <w:spacing w:val="14"/>
                <w:sz w:val="20"/>
                <w:szCs w:val="20"/>
              </w:rPr>
              <w:t>套</w:t>
            </w:r>
            <w:r>
              <w:rPr>
                <w:rFonts w:ascii="宋体" w:hAnsi="宋体" w:eastAsia="宋体" w:cs="宋体"/>
                <w:spacing w:val="11"/>
                <w:sz w:val="20"/>
                <w:szCs w:val="20"/>
              </w:rPr>
              <w:t>设</w:t>
            </w:r>
            <w:r>
              <w:rPr>
                <w:rFonts w:ascii="宋体" w:hAnsi="宋体" w:eastAsia="宋体" w:cs="宋体"/>
                <w:spacing w:val="7"/>
                <w:sz w:val="20"/>
                <w:szCs w:val="20"/>
              </w:rPr>
              <w:t xml:space="preserve">有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台一体化污水预处理设</w:t>
            </w:r>
            <w:r>
              <w:rPr>
                <w:rFonts w:ascii="宋体" w:hAnsi="宋体" w:eastAsia="宋体" w:cs="宋体"/>
                <w:sz w:val="20"/>
                <w:szCs w:val="20"/>
              </w:rPr>
              <w:t xml:space="preserve"> </w:t>
            </w:r>
            <w:r>
              <w:rPr>
                <w:rFonts w:ascii="宋体" w:hAnsi="宋体" w:eastAsia="宋体" w:cs="宋体"/>
                <w:spacing w:val="-2"/>
                <w:sz w:val="20"/>
                <w:szCs w:val="20"/>
              </w:rPr>
              <w:t>备，均位于生产厂房西南侧</w:t>
            </w:r>
            <w:r>
              <w:rPr>
                <w:rFonts w:ascii="宋体" w:hAnsi="宋体" w:eastAsia="宋体" w:cs="宋体"/>
                <w:spacing w:val="-1"/>
                <w:sz w:val="20"/>
                <w:szCs w:val="20"/>
              </w:rPr>
              <w:t>，产生</w:t>
            </w:r>
            <w:r>
              <w:rPr>
                <w:rFonts w:ascii="宋体" w:hAnsi="宋体" w:eastAsia="宋体" w:cs="宋体"/>
                <w:sz w:val="20"/>
                <w:szCs w:val="20"/>
              </w:rPr>
              <w:t xml:space="preserve"> </w:t>
            </w:r>
            <w:r>
              <w:rPr>
                <w:rFonts w:ascii="宋体" w:hAnsi="宋体" w:eastAsia="宋体" w:cs="宋体"/>
                <w:spacing w:val="15"/>
                <w:sz w:val="20"/>
                <w:szCs w:val="20"/>
              </w:rPr>
              <w:t>的</w:t>
            </w:r>
            <w:r>
              <w:rPr>
                <w:rFonts w:ascii="宋体" w:hAnsi="宋体" w:eastAsia="宋体" w:cs="宋体"/>
                <w:spacing w:val="12"/>
                <w:sz w:val="20"/>
                <w:szCs w:val="20"/>
              </w:rPr>
              <w:t>生产废水经一体化污水预处理</w:t>
            </w:r>
            <w:r>
              <w:rPr>
                <w:rFonts w:ascii="宋体" w:hAnsi="宋体" w:eastAsia="宋体" w:cs="宋体"/>
                <w:sz w:val="20"/>
                <w:szCs w:val="20"/>
              </w:rPr>
              <w:t xml:space="preserve"> </w:t>
            </w:r>
            <w:r>
              <w:rPr>
                <w:rFonts w:ascii="宋体" w:hAnsi="宋体" w:eastAsia="宋体" w:cs="宋体"/>
                <w:spacing w:val="-23"/>
                <w:sz w:val="20"/>
                <w:szCs w:val="20"/>
              </w:rPr>
              <w:t>设 备 处 理 后 排 入 三 级 沉 淀 池</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Times New Roman" w:hAnsi="Times New Roman" w:eastAsia="Times New Roman" w:cs="Times New Roman"/>
                <w:spacing w:val="-6"/>
                <w:sz w:val="20"/>
                <w:szCs w:val="20"/>
              </w:rPr>
              <w:t>12</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6</w:t>
            </w:r>
            <w:r>
              <w:rPr>
                <w:rFonts w:ascii="Times New Roman" w:hAnsi="Times New Roman" w:eastAsia="Times New Roman" w:cs="Times New Roman"/>
                <w:spacing w:val="-3"/>
                <w:sz w:val="20"/>
                <w:szCs w:val="20"/>
              </w:rPr>
              <w:t>m×4.5m</w:t>
            </w:r>
            <w:r>
              <w:rPr>
                <w:rFonts w:ascii="宋体" w:hAnsi="宋体" w:eastAsia="宋体" w:cs="宋体"/>
                <w:spacing w:val="-3"/>
                <w:sz w:val="20"/>
                <w:szCs w:val="20"/>
              </w:rPr>
              <w:t>) 沉淀处理，随后</w:t>
            </w:r>
            <w:r>
              <w:rPr>
                <w:rFonts w:ascii="宋体" w:hAnsi="宋体" w:eastAsia="宋体" w:cs="宋体"/>
                <w:sz w:val="20"/>
                <w:szCs w:val="20"/>
              </w:rPr>
              <w:t xml:space="preserve"> </w:t>
            </w:r>
            <w:r>
              <w:rPr>
                <w:rFonts w:ascii="宋体" w:hAnsi="宋体" w:eastAsia="宋体" w:cs="宋体"/>
                <w:spacing w:val="-2"/>
                <w:sz w:val="20"/>
                <w:szCs w:val="20"/>
              </w:rPr>
              <w:t>循环使用。污水处理设施废水每</w:t>
            </w:r>
            <w:r>
              <w:rPr>
                <w:rFonts w:ascii="宋体" w:hAnsi="宋体" w:eastAsia="宋体" w:cs="宋体"/>
                <w:spacing w:val="-1"/>
                <w:sz w:val="20"/>
                <w:szCs w:val="20"/>
              </w:rPr>
              <w:t>月</w:t>
            </w:r>
            <w:r>
              <w:rPr>
                <w:rFonts w:ascii="宋体" w:hAnsi="宋体" w:eastAsia="宋体" w:cs="宋体"/>
                <w:sz w:val="20"/>
                <w:szCs w:val="20"/>
              </w:rPr>
              <w:t xml:space="preserve"> </w:t>
            </w:r>
            <w:r>
              <w:rPr>
                <w:rFonts w:ascii="宋体" w:hAnsi="宋体" w:eastAsia="宋体" w:cs="宋体"/>
                <w:spacing w:val="-8"/>
                <w:sz w:val="20"/>
                <w:szCs w:val="20"/>
              </w:rPr>
              <w:t>更换</w:t>
            </w:r>
            <w:r>
              <w:rPr>
                <w:rFonts w:ascii="宋体" w:hAnsi="宋体" w:eastAsia="宋体" w:cs="宋体"/>
                <w:spacing w:val="-5"/>
                <w:sz w:val="20"/>
                <w:szCs w:val="20"/>
              </w:rPr>
              <w:t xml:space="preserve">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次，则该项目全年更换废水</w:t>
            </w:r>
            <w:r>
              <w:rPr>
                <w:rFonts w:ascii="宋体" w:hAnsi="宋体" w:eastAsia="宋体" w:cs="宋体"/>
                <w:sz w:val="20"/>
                <w:szCs w:val="20"/>
              </w:rPr>
              <w:t xml:space="preserve"> </w:t>
            </w:r>
            <w:r>
              <w:rPr>
                <w:rFonts w:ascii="宋体" w:hAnsi="宋体" w:eastAsia="宋体" w:cs="宋体"/>
                <w:spacing w:val="-2"/>
                <w:sz w:val="20"/>
                <w:szCs w:val="20"/>
              </w:rPr>
              <w:t xml:space="preserve">量为 </w:t>
            </w:r>
            <w:r>
              <w:rPr>
                <w:rFonts w:ascii="Times New Roman" w:hAnsi="Times New Roman" w:eastAsia="Times New Roman" w:cs="Times New Roman"/>
                <w:spacing w:val="-2"/>
                <w:sz w:val="20"/>
                <w:szCs w:val="20"/>
              </w:rPr>
              <w:t>1523.52</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1"/>
                <w:position w:val="6"/>
                <w:sz w:val="13"/>
                <w:szCs w:val="13"/>
              </w:rPr>
              <w:t xml:space="preserve"> </w:t>
            </w:r>
            <w:r>
              <w:rPr>
                <w:rFonts w:ascii="宋体" w:hAnsi="宋体" w:eastAsia="宋体" w:cs="宋体"/>
                <w:spacing w:val="-1"/>
                <w:sz w:val="20"/>
                <w:szCs w:val="20"/>
              </w:rPr>
              <w:t>，更换过程产生的</w:t>
            </w:r>
            <w:r>
              <w:rPr>
                <w:rFonts w:ascii="宋体" w:hAnsi="宋体" w:eastAsia="宋体" w:cs="宋体"/>
                <w:sz w:val="20"/>
                <w:szCs w:val="20"/>
              </w:rPr>
              <w:t xml:space="preserve"> </w:t>
            </w:r>
            <w:r>
              <w:rPr>
                <w:rFonts w:ascii="宋体" w:hAnsi="宋体" w:eastAsia="宋体" w:cs="宋体"/>
                <w:spacing w:val="17"/>
                <w:sz w:val="20"/>
                <w:szCs w:val="20"/>
              </w:rPr>
              <w:t>废</w:t>
            </w:r>
            <w:r>
              <w:rPr>
                <w:rFonts w:ascii="宋体" w:hAnsi="宋体" w:eastAsia="宋体" w:cs="宋体"/>
                <w:spacing w:val="12"/>
                <w:sz w:val="20"/>
                <w:szCs w:val="20"/>
              </w:rPr>
              <w:t>水经吸污车运送至本溪市科态</w:t>
            </w:r>
            <w:r>
              <w:rPr>
                <w:rFonts w:ascii="宋体" w:hAnsi="宋体" w:eastAsia="宋体" w:cs="宋体"/>
                <w:sz w:val="20"/>
                <w:szCs w:val="20"/>
              </w:rPr>
              <w:t xml:space="preserve"> </w:t>
            </w:r>
            <w:r>
              <w:rPr>
                <w:rFonts w:ascii="宋体" w:hAnsi="宋体" w:eastAsia="宋体" w:cs="宋体"/>
                <w:spacing w:val="-2"/>
                <w:sz w:val="20"/>
                <w:szCs w:val="20"/>
              </w:rPr>
              <w:t>污水处理有限责任公司统</w:t>
            </w:r>
            <w:r>
              <w:rPr>
                <w:rFonts w:ascii="宋体" w:hAnsi="宋体" w:eastAsia="宋体" w:cs="宋体"/>
                <w:spacing w:val="-1"/>
                <w:sz w:val="20"/>
                <w:szCs w:val="20"/>
              </w:rPr>
              <w:t>一处理。</w:t>
            </w:r>
          </w:p>
        </w:tc>
        <w:tc>
          <w:tcPr>
            <w:tcW w:w="2233" w:type="dxa"/>
            <w:tcBorders>
              <w:left w:val="single" w:color="000000" w:sz="4" w:space="0"/>
              <w:right w:val="nil"/>
            </w:tcBorders>
            <w:vAlign w:val="top"/>
          </w:tcPr>
          <w:p w14:paraId="48BD1B15">
            <w:pPr>
              <w:spacing w:line="256" w:lineRule="auto"/>
              <w:rPr>
                <w:rFonts w:ascii="Arial"/>
                <w:sz w:val="21"/>
              </w:rPr>
            </w:pPr>
          </w:p>
          <w:p w14:paraId="424A2783">
            <w:pPr>
              <w:spacing w:line="256" w:lineRule="auto"/>
              <w:rPr>
                <w:rFonts w:ascii="Arial"/>
                <w:sz w:val="21"/>
              </w:rPr>
            </w:pPr>
          </w:p>
          <w:p w14:paraId="3A2CCF17">
            <w:pPr>
              <w:spacing w:line="256" w:lineRule="auto"/>
              <w:rPr>
                <w:rFonts w:ascii="Arial"/>
                <w:sz w:val="21"/>
              </w:rPr>
            </w:pPr>
          </w:p>
          <w:p w14:paraId="3B03FFCF">
            <w:pPr>
              <w:spacing w:before="65" w:line="264" w:lineRule="exact"/>
              <w:ind w:left="46"/>
              <w:rPr>
                <w:rFonts w:ascii="宋体" w:hAnsi="宋体" w:eastAsia="宋体" w:cs="宋体"/>
                <w:sz w:val="20"/>
                <w:szCs w:val="20"/>
              </w:rPr>
            </w:pPr>
            <w:r>
              <w:rPr>
                <w:rFonts w:ascii="Times New Roman" w:hAnsi="Times New Roman" w:eastAsia="Times New Roman" w:cs="Times New Roman"/>
                <w:position w:val="1"/>
                <w:sz w:val="20"/>
                <w:szCs w:val="20"/>
              </w:rPr>
              <w:t>COD</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w:t>
            </w:r>
            <w:r>
              <w:rPr>
                <w:rFonts w:ascii="Times New Roman" w:hAnsi="Times New Roman" w:eastAsia="Times New Roman" w:cs="Times New Roman"/>
                <w:position w:val="1"/>
                <w:sz w:val="20"/>
                <w:szCs w:val="20"/>
              </w:rPr>
              <w:t>SS</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、氨氮、石油</w:t>
            </w:r>
          </w:p>
          <w:p w14:paraId="729D6F22">
            <w:pPr>
              <w:spacing w:before="48" w:line="258" w:lineRule="auto"/>
              <w:ind w:left="488" w:right="67" w:hanging="420"/>
              <w:rPr>
                <w:rFonts w:ascii="宋体" w:hAnsi="宋体" w:eastAsia="宋体" w:cs="宋体"/>
                <w:sz w:val="20"/>
                <w:szCs w:val="20"/>
              </w:rPr>
            </w:pPr>
            <w:r>
              <w:rPr>
                <w:rFonts w:ascii="宋体" w:hAnsi="宋体" w:eastAsia="宋体" w:cs="宋体"/>
                <w:spacing w:val="11"/>
                <w:sz w:val="20"/>
                <w:szCs w:val="20"/>
              </w:rPr>
              <w:t>类</w:t>
            </w:r>
            <w:r>
              <w:rPr>
                <w:rFonts w:ascii="宋体" w:hAnsi="宋体" w:eastAsia="宋体" w:cs="宋体"/>
                <w:spacing w:val="9"/>
                <w:sz w:val="20"/>
                <w:szCs w:val="20"/>
              </w:rPr>
              <w:t>执行《辽宁省污水综</w:t>
            </w:r>
            <w:r>
              <w:rPr>
                <w:rFonts w:ascii="宋体" w:hAnsi="宋体" w:eastAsia="宋体" w:cs="宋体"/>
                <w:sz w:val="20"/>
                <w:szCs w:val="20"/>
              </w:rPr>
              <w:t xml:space="preserve"> </w:t>
            </w:r>
            <w:r>
              <w:rPr>
                <w:rFonts w:ascii="宋体" w:hAnsi="宋体" w:eastAsia="宋体" w:cs="宋体"/>
                <w:spacing w:val="9"/>
                <w:sz w:val="20"/>
                <w:szCs w:val="20"/>
              </w:rPr>
              <w:t>合</w:t>
            </w:r>
            <w:r>
              <w:rPr>
                <w:rFonts w:ascii="宋体" w:hAnsi="宋体" w:eastAsia="宋体" w:cs="宋体"/>
                <w:spacing w:val="6"/>
                <w:sz w:val="20"/>
                <w:szCs w:val="20"/>
              </w:rPr>
              <w:t>排放标准》</w:t>
            </w:r>
          </w:p>
          <w:p w14:paraId="58562501">
            <w:pPr>
              <w:spacing w:before="26" w:line="288" w:lineRule="auto"/>
              <w:ind w:left="27" w:firstLine="79"/>
              <w:rPr>
                <w:rFonts w:ascii="宋体" w:hAnsi="宋体" w:eastAsia="宋体" w:cs="宋体"/>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1"/>
                <w:sz w:val="20"/>
                <w:szCs w:val="20"/>
              </w:rPr>
              <w:t>21/ 16</w:t>
            </w:r>
            <w:r>
              <w:rPr>
                <w:rFonts w:ascii="Times New Roman" w:hAnsi="Times New Roman" w:eastAsia="Times New Roman" w:cs="Times New Roman"/>
                <w:sz w:val="20"/>
                <w:szCs w:val="20"/>
              </w:rPr>
              <w:t xml:space="preserve">27-2008)  </w:t>
            </w:r>
            <w:r>
              <w:rPr>
                <w:rFonts w:ascii="宋体" w:hAnsi="宋体" w:eastAsia="宋体" w:cs="宋体"/>
                <w:sz w:val="20"/>
                <w:szCs w:val="20"/>
              </w:rPr>
              <w:t xml:space="preserve">(即 </w:t>
            </w:r>
            <w:r>
              <w:rPr>
                <w:rFonts w:ascii="Times New Roman" w:hAnsi="Times New Roman" w:eastAsia="Times New Roman" w:cs="Times New Roman"/>
                <w:spacing w:val="-9"/>
                <w:sz w:val="20"/>
                <w:szCs w:val="20"/>
              </w:rPr>
              <w:t>COD</w:t>
            </w:r>
            <w:r>
              <w:rPr>
                <w:rFonts w:ascii="宋体" w:hAnsi="宋体" w:eastAsia="宋体" w:cs="宋体"/>
                <w:spacing w:val="-18"/>
                <w:sz w:val="20"/>
                <w:szCs w:val="20"/>
              </w:rPr>
              <w:t>：</w:t>
            </w:r>
            <w:r>
              <w:rPr>
                <w:rFonts w:ascii="Times New Roman" w:hAnsi="Times New Roman" w:eastAsia="Times New Roman" w:cs="Times New Roman"/>
                <w:spacing w:val="-12"/>
                <w:sz w:val="20"/>
                <w:szCs w:val="20"/>
              </w:rPr>
              <w:t>3</w:t>
            </w:r>
            <w:r>
              <w:rPr>
                <w:rFonts w:ascii="Times New Roman" w:hAnsi="Times New Roman" w:eastAsia="Times New Roman" w:cs="Times New Roman"/>
                <w:spacing w:val="-9"/>
                <w:sz w:val="20"/>
                <w:szCs w:val="20"/>
              </w:rPr>
              <w:t>00mg/L</w:t>
            </w:r>
            <w:r>
              <w:rPr>
                <w:rFonts w:ascii="宋体" w:hAnsi="宋体" w:eastAsia="宋体" w:cs="宋体"/>
                <w:spacing w:val="-9"/>
                <w:sz w:val="20"/>
                <w:szCs w:val="20"/>
              </w:rPr>
              <w:t>；石油类：</w:t>
            </w:r>
          </w:p>
          <w:p w14:paraId="28AC14B2">
            <w:pPr>
              <w:spacing w:before="1" w:line="293" w:lineRule="auto"/>
              <w:ind w:left="305" w:hanging="281"/>
              <w:rPr>
                <w:rFonts w:ascii="宋体" w:hAnsi="宋体" w:eastAsia="宋体" w:cs="宋体"/>
                <w:sz w:val="20"/>
                <w:szCs w:val="20"/>
              </w:rPr>
            </w:pPr>
            <w:r>
              <w:rPr>
                <w:rFonts w:ascii="Times New Roman" w:hAnsi="Times New Roman" w:eastAsia="Times New Roman" w:cs="Times New Roman"/>
                <w:spacing w:val="-6"/>
                <w:sz w:val="20"/>
                <w:szCs w:val="20"/>
              </w:rPr>
              <w:t>20</w:t>
            </w:r>
            <w:r>
              <w:rPr>
                <w:rFonts w:ascii="Times New Roman" w:hAnsi="Times New Roman" w:eastAsia="Times New Roman" w:cs="Times New Roman"/>
                <w:spacing w:val="-3"/>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pacing w:val="-3"/>
                <w:sz w:val="20"/>
                <w:szCs w:val="20"/>
              </w:rPr>
              <w:t>L</w:t>
            </w:r>
            <w:r>
              <w:rPr>
                <w:rFonts w:ascii="宋体" w:hAnsi="宋体" w:eastAsia="宋体" w:cs="宋体"/>
                <w:spacing w:val="-6"/>
                <w:sz w:val="20"/>
                <w:szCs w:val="20"/>
              </w:rPr>
              <w:t>；</w:t>
            </w:r>
            <w:r>
              <w:rPr>
                <w:rFonts w:ascii="宋体" w:hAnsi="宋体" w:eastAsia="宋体" w:cs="宋体"/>
                <w:spacing w:val="-3"/>
                <w:sz w:val="20"/>
                <w:szCs w:val="20"/>
              </w:rPr>
              <w:t>氨氮：</w:t>
            </w:r>
            <w:r>
              <w:rPr>
                <w:rFonts w:ascii="Times New Roman" w:hAnsi="Times New Roman" w:eastAsia="Times New Roman" w:cs="Times New Roman"/>
                <w:spacing w:val="-3"/>
                <w:sz w:val="20"/>
                <w:szCs w:val="20"/>
              </w:rPr>
              <w:t>30mg/L</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SS</w:t>
            </w:r>
            <w:r>
              <w:rPr>
                <w:rFonts w:ascii="宋体" w:hAnsi="宋体" w:eastAsia="宋体" w:cs="宋体"/>
                <w:spacing w:val="6"/>
                <w:sz w:val="20"/>
                <w:szCs w:val="20"/>
              </w:rPr>
              <w:t>：</w:t>
            </w:r>
            <w:r>
              <w:rPr>
                <w:rFonts w:ascii="Times New Roman" w:hAnsi="Times New Roman" w:eastAsia="Times New Roman" w:cs="Times New Roman"/>
                <w:spacing w:val="4"/>
                <w:sz w:val="20"/>
                <w:szCs w:val="20"/>
              </w:rPr>
              <w:t>300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L</w:t>
            </w:r>
            <w:r>
              <w:rPr>
                <w:rFonts w:ascii="宋体" w:hAnsi="宋体" w:eastAsia="宋体" w:cs="宋体"/>
                <w:spacing w:val="4"/>
                <w:sz w:val="20"/>
                <w:szCs w:val="20"/>
              </w:rPr>
              <w:t>) ；</w:t>
            </w:r>
          </w:p>
        </w:tc>
      </w:tr>
      <w:tr w14:paraId="5A196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523" w:type="dxa"/>
            <w:vMerge w:val="restart"/>
            <w:tcBorders>
              <w:left w:val="nil"/>
              <w:bottom w:val="nil"/>
              <w:right w:val="single" w:color="000000" w:sz="4" w:space="0"/>
            </w:tcBorders>
            <w:textDirection w:val="tbRlV"/>
            <w:vAlign w:val="top"/>
          </w:tcPr>
          <w:p w14:paraId="16250BE6">
            <w:pPr>
              <w:spacing w:before="153" w:line="216" w:lineRule="auto"/>
              <w:ind w:left="2100"/>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6"/>
                <w:sz w:val="20"/>
                <w:szCs w:val="20"/>
              </w:rPr>
              <w:t xml:space="preserve"> 下 水</w:t>
            </w:r>
          </w:p>
        </w:tc>
        <w:tc>
          <w:tcPr>
            <w:tcW w:w="1320" w:type="dxa"/>
            <w:tcBorders>
              <w:left w:val="single" w:color="000000" w:sz="4" w:space="0"/>
              <w:right w:val="single" w:color="000000" w:sz="4" w:space="0"/>
            </w:tcBorders>
            <w:vAlign w:val="top"/>
          </w:tcPr>
          <w:p w14:paraId="5338D9C6">
            <w:pPr>
              <w:spacing w:line="256" w:lineRule="auto"/>
              <w:rPr>
                <w:rFonts w:ascii="Arial"/>
                <w:sz w:val="21"/>
              </w:rPr>
            </w:pPr>
          </w:p>
          <w:p w14:paraId="53CCADA5">
            <w:pPr>
              <w:spacing w:line="256" w:lineRule="auto"/>
              <w:rPr>
                <w:rFonts w:ascii="Arial"/>
                <w:sz w:val="21"/>
              </w:rPr>
            </w:pPr>
          </w:p>
          <w:p w14:paraId="5021DB64">
            <w:pPr>
              <w:spacing w:line="256" w:lineRule="auto"/>
              <w:rPr>
                <w:rFonts w:ascii="Arial"/>
                <w:sz w:val="21"/>
              </w:rPr>
            </w:pPr>
          </w:p>
          <w:p w14:paraId="28426DBD">
            <w:pPr>
              <w:spacing w:before="65" w:line="288" w:lineRule="auto"/>
              <w:ind w:left="43" w:firstLine="19"/>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9"/>
                <w:sz w:val="20"/>
                <w:szCs w:val="20"/>
              </w:rPr>
              <w:t>产厂房、成</w:t>
            </w:r>
            <w:r>
              <w:rPr>
                <w:rFonts w:ascii="宋体" w:hAnsi="宋体" w:eastAsia="宋体" w:cs="宋体"/>
                <w:sz w:val="20"/>
                <w:szCs w:val="20"/>
              </w:rPr>
              <w:t xml:space="preserve"> </w:t>
            </w:r>
            <w:r>
              <w:rPr>
                <w:rFonts w:ascii="宋体" w:hAnsi="宋体" w:eastAsia="宋体" w:cs="宋体"/>
                <w:spacing w:val="-20"/>
                <w:sz w:val="20"/>
                <w:szCs w:val="20"/>
              </w:rPr>
              <w:t>品</w:t>
            </w:r>
            <w:r>
              <w:rPr>
                <w:rFonts w:ascii="宋体" w:hAnsi="宋体" w:eastAsia="宋体" w:cs="宋体"/>
                <w:spacing w:val="-19"/>
                <w:sz w:val="20"/>
                <w:szCs w:val="20"/>
              </w:rPr>
              <w:t>库、原料库、</w:t>
            </w:r>
            <w:r>
              <w:rPr>
                <w:rFonts w:ascii="宋体" w:hAnsi="宋体" w:eastAsia="宋体" w:cs="宋体"/>
                <w:sz w:val="20"/>
                <w:szCs w:val="20"/>
              </w:rPr>
              <w:t xml:space="preserve"> </w:t>
            </w:r>
            <w:r>
              <w:rPr>
                <w:rFonts w:ascii="宋体" w:hAnsi="宋体" w:eastAsia="宋体" w:cs="宋体"/>
                <w:spacing w:val="-6"/>
                <w:sz w:val="20"/>
                <w:szCs w:val="20"/>
              </w:rPr>
              <w:t>三</w:t>
            </w:r>
            <w:r>
              <w:rPr>
                <w:rFonts w:ascii="宋体" w:hAnsi="宋体" w:eastAsia="宋体" w:cs="宋体"/>
                <w:spacing w:val="-3"/>
                <w:sz w:val="20"/>
                <w:szCs w:val="20"/>
              </w:rPr>
              <w:t>级沉淀池、</w:t>
            </w:r>
            <w:r>
              <w:rPr>
                <w:rFonts w:ascii="宋体" w:hAnsi="宋体" w:eastAsia="宋体" w:cs="宋体"/>
                <w:sz w:val="20"/>
                <w:szCs w:val="20"/>
              </w:rPr>
              <w:t xml:space="preserve"> </w:t>
            </w:r>
            <w:r>
              <w:rPr>
                <w:rFonts w:ascii="宋体" w:hAnsi="宋体" w:eastAsia="宋体" w:cs="宋体"/>
                <w:spacing w:val="-6"/>
                <w:sz w:val="20"/>
                <w:szCs w:val="20"/>
              </w:rPr>
              <w:t>旱</w:t>
            </w:r>
            <w:r>
              <w:rPr>
                <w:rFonts w:ascii="宋体" w:hAnsi="宋体" w:eastAsia="宋体" w:cs="宋体"/>
                <w:spacing w:val="-3"/>
                <w:sz w:val="20"/>
                <w:szCs w:val="20"/>
              </w:rPr>
              <w:t>厕、危废暂</w:t>
            </w:r>
          </w:p>
          <w:p w14:paraId="685977A3">
            <w:pPr>
              <w:spacing w:line="227" w:lineRule="auto"/>
              <w:ind w:left="464"/>
              <w:rPr>
                <w:rFonts w:ascii="宋体" w:hAnsi="宋体" w:eastAsia="宋体" w:cs="宋体"/>
                <w:sz w:val="20"/>
                <w:szCs w:val="20"/>
              </w:rPr>
            </w:pPr>
            <w:r>
              <w:rPr>
                <w:rFonts w:ascii="宋体" w:hAnsi="宋体" w:eastAsia="宋体" w:cs="宋体"/>
                <w:spacing w:val="1"/>
                <w:sz w:val="20"/>
                <w:szCs w:val="20"/>
              </w:rPr>
              <w:t>存</w:t>
            </w:r>
            <w:r>
              <w:rPr>
                <w:rFonts w:ascii="宋体" w:hAnsi="宋体" w:eastAsia="宋体" w:cs="宋体"/>
                <w:sz w:val="20"/>
                <w:szCs w:val="20"/>
              </w:rPr>
              <w:t>间</w:t>
            </w:r>
          </w:p>
        </w:tc>
        <w:tc>
          <w:tcPr>
            <w:tcW w:w="1260" w:type="dxa"/>
            <w:vMerge w:val="restart"/>
            <w:tcBorders>
              <w:left w:val="single" w:color="000000" w:sz="4" w:space="0"/>
              <w:bottom w:val="nil"/>
              <w:right w:val="single" w:color="000000" w:sz="4" w:space="0"/>
            </w:tcBorders>
            <w:vAlign w:val="top"/>
          </w:tcPr>
          <w:p w14:paraId="3AD3AE44">
            <w:pPr>
              <w:spacing w:line="257" w:lineRule="auto"/>
              <w:rPr>
                <w:rFonts w:ascii="Arial"/>
                <w:sz w:val="21"/>
              </w:rPr>
            </w:pPr>
          </w:p>
          <w:p w14:paraId="4254AB21">
            <w:pPr>
              <w:spacing w:line="257" w:lineRule="auto"/>
              <w:rPr>
                <w:rFonts w:ascii="Arial"/>
                <w:sz w:val="21"/>
              </w:rPr>
            </w:pPr>
          </w:p>
          <w:p w14:paraId="29439E85">
            <w:pPr>
              <w:spacing w:line="257" w:lineRule="auto"/>
              <w:rPr>
                <w:rFonts w:ascii="Arial"/>
                <w:sz w:val="21"/>
              </w:rPr>
            </w:pPr>
          </w:p>
          <w:p w14:paraId="7A97204D">
            <w:pPr>
              <w:spacing w:line="257" w:lineRule="auto"/>
              <w:rPr>
                <w:rFonts w:ascii="Arial"/>
                <w:sz w:val="21"/>
              </w:rPr>
            </w:pPr>
          </w:p>
          <w:p w14:paraId="304184E8">
            <w:pPr>
              <w:spacing w:line="257" w:lineRule="auto"/>
              <w:rPr>
                <w:rFonts w:ascii="Arial"/>
                <w:sz w:val="21"/>
              </w:rPr>
            </w:pPr>
          </w:p>
          <w:p w14:paraId="2061FDE6">
            <w:pPr>
              <w:spacing w:line="257" w:lineRule="auto"/>
              <w:rPr>
                <w:rFonts w:ascii="Arial"/>
                <w:sz w:val="21"/>
              </w:rPr>
            </w:pPr>
          </w:p>
          <w:p w14:paraId="6E6734DA">
            <w:pPr>
              <w:spacing w:line="258" w:lineRule="auto"/>
              <w:rPr>
                <w:rFonts w:ascii="Arial"/>
                <w:sz w:val="21"/>
              </w:rPr>
            </w:pPr>
          </w:p>
          <w:p w14:paraId="6A33D2A8">
            <w:pPr>
              <w:spacing w:line="258" w:lineRule="auto"/>
              <w:rPr>
                <w:rFonts w:ascii="Arial"/>
                <w:sz w:val="21"/>
              </w:rPr>
            </w:pPr>
          </w:p>
          <w:p w14:paraId="25337D24">
            <w:pPr>
              <w:spacing w:before="65" w:line="288" w:lineRule="auto"/>
              <w:ind w:left="95" w:right="124" w:firstLine="128"/>
              <w:rPr>
                <w:rFonts w:ascii="宋体" w:hAnsi="宋体" w:eastAsia="宋体" w:cs="宋体"/>
                <w:sz w:val="20"/>
                <w:szCs w:val="20"/>
              </w:rPr>
            </w:pPr>
            <w:r>
              <w:rPr>
                <w:rFonts w:ascii="Times New Roman" w:hAnsi="Times New Roman" w:eastAsia="Times New Roman" w:cs="Times New Roman"/>
                <w:spacing w:val="-1"/>
                <w:sz w:val="20"/>
                <w:szCs w:val="20"/>
              </w:rPr>
              <w:t>CODc</w:t>
            </w:r>
            <w:r>
              <w:rPr>
                <w:rFonts w:ascii="Times New Roman" w:hAnsi="Times New Roman" w:eastAsia="Times New Roman" w:cs="Times New Roman"/>
                <w:sz w:val="20"/>
                <w:szCs w:val="20"/>
              </w:rPr>
              <w:t>r</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2"/>
                <w:sz w:val="20"/>
                <w:szCs w:val="20"/>
              </w:rPr>
              <w:t>氨氮、</w:t>
            </w:r>
            <w:r>
              <w:rPr>
                <w:rFonts w:ascii="Times New Roman" w:hAnsi="Times New Roman" w:eastAsia="Times New Roman" w:cs="Times New Roman"/>
                <w:sz w:val="20"/>
                <w:szCs w:val="20"/>
              </w:rPr>
              <w:t>SS</w:t>
            </w:r>
            <w:r>
              <w:rPr>
                <w:rFonts w:ascii="宋体" w:hAnsi="宋体" w:eastAsia="宋体" w:cs="宋体"/>
                <w:spacing w:val="1"/>
                <w:sz w:val="20"/>
                <w:szCs w:val="20"/>
              </w:rPr>
              <w:t>、</w:t>
            </w:r>
          </w:p>
          <w:p w14:paraId="59EAAF33">
            <w:pPr>
              <w:spacing w:line="194"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BOD</w:t>
            </w:r>
          </w:p>
        </w:tc>
        <w:tc>
          <w:tcPr>
            <w:tcW w:w="3015" w:type="dxa"/>
            <w:vMerge w:val="restart"/>
            <w:tcBorders>
              <w:left w:val="single" w:color="000000" w:sz="4" w:space="0"/>
              <w:bottom w:val="nil"/>
              <w:right w:val="single" w:color="000000" w:sz="4" w:space="0"/>
            </w:tcBorders>
            <w:vAlign w:val="top"/>
          </w:tcPr>
          <w:p w14:paraId="16A2963D">
            <w:pPr>
              <w:spacing w:line="252" w:lineRule="auto"/>
              <w:rPr>
                <w:rFonts w:ascii="Arial"/>
                <w:sz w:val="21"/>
              </w:rPr>
            </w:pPr>
          </w:p>
          <w:p w14:paraId="5E2E75C1">
            <w:pPr>
              <w:spacing w:line="253" w:lineRule="auto"/>
              <w:rPr>
                <w:rFonts w:ascii="Arial"/>
                <w:sz w:val="21"/>
              </w:rPr>
            </w:pPr>
          </w:p>
          <w:p w14:paraId="62F8BC63">
            <w:pPr>
              <w:spacing w:line="253" w:lineRule="auto"/>
              <w:rPr>
                <w:rFonts w:ascii="Arial"/>
                <w:sz w:val="21"/>
              </w:rPr>
            </w:pPr>
          </w:p>
          <w:p w14:paraId="5A121B3F">
            <w:pPr>
              <w:spacing w:line="253" w:lineRule="auto"/>
              <w:rPr>
                <w:rFonts w:ascii="Arial"/>
                <w:sz w:val="21"/>
              </w:rPr>
            </w:pPr>
          </w:p>
          <w:p w14:paraId="326F3B1B">
            <w:pPr>
              <w:spacing w:line="253" w:lineRule="auto"/>
              <w:rPr>
                <w:rFonts w:ascii="Arial"/>
                <w:sz w:val="21"/>
              </w:rPr>
            </w:pPr>
          </w:p>
          <w:p w14:paraId="1BA0B342">
            <w:pPr>
              <w:spacing w:line="253" w:lineRule="auto"/>
              <w:rPr>
                <w:rFonts w:ascii="Arial"/>
                <w:sz w:val="21"/>
              </w:rPr>
            </w:pPr>
          </w:p>
          <w:p w14:paraId="5F9EDE0B">
            <w:pPr>
              <w:spacing w:line="253" w:lineRule="auto"/>
              <w:rPr>
                <w:rFonts w:ascii="Arial"/>
                <w:sz w:val="21"/>
              </w:rPr>
            </w:pPr>
          </w:p>
          <w:p w14:paraId="7FEEE8B2">
            <w:pPr>
              <w:spacing w:line="253" w:lineRule="auto"/>
              <w:rPr>
                <w:rFonts w:ascii="Arial"/>
                <w:sz w:val="21"/>
              </w:rPr>
            </w:pPr>
          </w:p>
          <w:p w14:paraId="135EC9FC">
            <w:pPr>
              <w:spacing w:before="65" w:line="228" w:lineRule="auto"/>
              <w:ind w:left="39"/>
              <w:rPr>
                <w:rFonts w:ascii="宋体" w:hAnsi="宋体" w:eastAsia="宋体" w:cs="宋体"/>
                <w:sz w:val="20"/>
                <w:szCs w:val="20"/>
              </w:rPr>
            </w:pPr>
            <w:r>
              <w:rPr>
                <w:rFonts w:ascii="宋体" w:hAnsi="宋体" w:eastAsia="宋体" w:cs="宋体"/>
                <w:spacing w:val="5"/>
                <w:sz w:val="20"/>
                <w:szCs w:val="20"/>
              </w:rPr>
              <w:t xml:space="preserve">在厂区上游、下游各设置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眼地</w:t>
            </w:r>
          </w:p>
          <w:p w14:paraId="589A75DE">
            <w:pPr>
              <w:spacing w:before="64" w:line="228" w:lineRule="auto"/>
              <w:ind w:left="47"/>
              <w:rPr>
                <w:rFonts w:ascii="宋体" w:hAnsi="宋体" w:eastAsia="宋体" w:cs="宋体"/>
                <w:sz w:val="20"/>
                <w:szCs w:val="20"/>
              </w:rPr>
            </w:pPr>
            <w:r>
              <w:rPr>
                <w:rFonts w:ascii="宋体" w:hAnsi="宋体" w:eastAsia="宋体" w:cs="宋体"/>
                <w:spacing w:val="16"/>
                <w:sz w:val="20"/>
                <w:szCs w:val="20"/>
              </w:rPr>
              <w:t>下</w:t>
            </w:r>
            <w:r>
              <w:rPr>
                <w:rFonts w:ascii="宋体" w:hAnsi="宋体" w:eastAsia="宋体" w:cs="宋体"/>
                <w:spacing w:val="11"/>
                <w:sz w:val="20"/>
                <w:szCs w:val="20"/>
              </w:rPr>
              <w:t>水</w:t>
            </w:r>
            <w:r>
              <w:rPr>
                <w:rFonts w:ascii="宋体" w:hAnsi="宋体" w:eastAsia="宋体" w:cs="宋体"/>
                <w:spacing w:val="8"/>
                <w:sz w:val="20"/>
                <w:szCs w:val="20"/>
              </w:rPr>
              <w:t>跟踪监测井，定期对地下水</w:t>
            </w:r>
          </w:p>
          <w:p w14:paraId="2A1A2549">
            <w:pPr>
              <w:spacing w:before="65" w:line="228" w:lineRule="auto"/>
              <w:ind w:left="880"/>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境进行监测</w:t>
            </w:r>
          </w:p>
        </w:tc>
        <w:tc>
          <w:tcPr>
            <w:tcW w:w="2233" w:type="dxa"/>
            <w:tcBorders>
              <w:left w:val="single" w:color="000000" w:sz="4" w:space="0"/>
              <w:right w:val="nil"/>
            </w:tcBorders>
            <w:vAlign w:val="top"/>
          </w:tcPr>
          <w:p w14:paraId="56A2E1DE">
            <w:pPr>
              <w:tabs>
                <w:tab w:val="left" w:pos="135"/>
              </w:tabs>
              <w:spacing w:before="57" w:line="282" w:lineRule="auto"/>
              <w:ind w:left="24" w:right="6"/>
              <w:rPr>
                <w:rFonts w:ascii="宋体" w:hAnsi="宋体" w:eastAsia="宋体" w:cs="宋体"/>
                <w:sz w:val="20"/>
                <w:szCs w:val="20"/>
              </w:rPr>
            </w:pPr>
            <w:r>
              <w:rPr>
                <w:rFonts w:ascii="宋体" w:hAnsi="宋体" w:eastAsia="宋体" w:cs="宋体"/>
                <w:spacing w:val="4"/>
                <w:sz w:val="20"/>
                <w:szCs w:val="20"/>
              </w:rPr>
              <w:t>底部铺设</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300</w:t>
            </w:r>
            <w:r>
              <w:rPr>
                <w:rFonts w:ascii="Times New Roman" w:hAnsi="Times New Roman" w:eastAsia="Times New Roman" w:cs="Times New Roman"/>
                <w:sz w:val="20"/>
                <w:szCs w:val="20"/>
              </w:rPr>
              <w:t>mm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黏土层</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2"/>
                <w:sz w:val="20"/>
                <w:szCs w:val="20"/>
              </w:rPr>
              <w:t>(保护层，同时作</w:t>
            </w:r>
            <w:r>
              <w:rPr>
                <w:rFonts w:ascii="宋体" w:hAnsi="宋体" w:eastAsia="宋体" w:cs="宋体"/>
                <w:spacing w:val="-1"/>
                <w:sz w:val="20"/>
                <w:szCs w:val="20"/>
              </w:rPr>
              <w:t>为辅助</w:t>
            </w:r>
            <w:r>
              <w:rPr>
                <w:rFonts w:ascii="宋体" w:hAnsi="宋体" w:eastAsia="宋体" w:cs="宋体"/>
                <w:sz w:val="20"/>
                <w:szCs w:val="20"/>
              </w:rPr>
              <w:t xml:space="preserve"> </w:t>
            </w:r>
            <w:r>
              <w:rPr>
                <w:rFonts w:ascii="宋体" w:hAnsi="宋体" w:eastAsia="宋体" w:cs="宋体"/>
                <w:spacing w:val="-1"/>
                <w:sz w:val="20"/>
                <w:szCs w:val="20"/>
              </w:rPr>
              <w:t>防渗层) 压实平</w:t>
            </w:r>
            <w:r>
              <w:rPr>
                <w:rFonts w:ascii="宋体" w:hAnsi="宋体" w:eastAsia="宋体" w:cs="宋体"/>
                <w:sz w:val="20"/>
                <w:szCs w:val="20"/>
              </w:rPr>
              <w:t xml:space="preserve">整，黏土 </w:t>
            </w:r>
            <w:r>
              <w:rPr>
                <w:rFonts w:ascii="宋体" w:hAnsi="宋体" w:eastAsia="宋体" w:cs="宋体"/>
                <w:spacing w:val="9"/>
                <w:sz w:val="20"/>
                <w:szCs w:val="20"/>
              </w:rPr>
              <w:t>层</w:t>
            </w:r>
            <w:r>
              <w:rPr>
                <w:rFonts w:ascii="宋体" w:hAnsi="宋体" w:eastAsia="宋体" w:cs="宋体"/>
                <w:spacing w:val="7"/>
                <w:sz w:val="20"/>
                <w:szCs w:val="20"/>
              </w:rPr>
              <w:t xml:space="preserve">上铺设 </w:t>
            </w:r>
            <w:r>
              <w:rPr>
                <w:rFonts w:ascii="Times New Roman" w:hAnsi="Times New Roman" w:eastAsia="Times New Roman" w:cs="Times New Roman"/>
                <w:sz w:val="20"/>
                <w:szCs w:val="20"/>
              </w:rPr>
              <w:t>HDPE</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GCL</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复</w:t>
            </w:r>
            <w:r>
              <w:rPr>
                <w:rFonts w:ascii="宋体" w:hAnsi="宋体" w:eastAsia="宋体" w:cs="宋体"/>
                <w:sz w:val="20"/>
                <w:szCs w:val="20"/>
              </w:rPr>
              <w:t xml:space="preserve"> </w:t>
            </w:r>
            <w:r>
              <w:rPr>
                <w:rFonts w:ascii="宋体" w:hAnsi="宋体" w:eastAsia="宋体" w:cs="宋体"/>
                <w:spacing w:val="11"/>
                <w:sz w:val="20"/>
                <w:szCs w:val="20"/>
              </w:rPr>
              <w:t>合</w:t>
            </w:r>
            <w:r>
              <w:rPr>
                <w:rFonts w:ascii="宋体" w:hAnsi="宋体" w:eastAsia="宋体" w:cs="宋体"/>
                <w:spacing w:val="8"/>
                <w:sz w:val="20"/>
                <w:szCs w:val="20"/>
              </w:rPr>
              <w:t>防渗系统(</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mm</w:t>
            </w:r>
            <w:r>
              <w:rPr>
                <w:rFonts w:ascii="宋体" w:hAnsi="宋体" w:eastAsia="宋体" w:cs="宋体"/>
                <w:spacing w:val="8"/>
                <w:sz w:val="20"/>
                <w:szCs w:val="20"/>
              </w:rPr>
              <w:t>厚的高</w:t>
            </w:r>
            <w:r>
              <w:rPr>
                <w:rFonts w:ascii="宋体" w:hAnsi="宋体" w:eastAsia="宋体" w:cs="宋体"/>
                <w:sz w:val="20"/>
                <w:szCs w:val="20"/>
              </w:rPr>
              <w:t xml:space="preserve"> </w:t>
            </w:r>
            <w:r>
              <w:rPr>
                <w:rFonts w:ascii="宋体" w:hAnsi="宋体" w:eastAsia="宋体" w:cs="宋体"/>
                <w:spacing w:val="13"/>
                <w:sz w:val="20"/>
                <w:szCs w:val="20"/>
              </w:rPr>
              <w:t>密</w:t>
            </w:r>
            <w:r>
              <w:rPr>
                <w:rFonts w:ascii="宋体" w:hAnsi="宋体" w:eastAsia="宋体" w:cs="宋体"/>
                <w:spacing w:val="9"/>
                <w:sz w:val="20"/>
                <w:szCs w:val="20"/>
              </w:rPr>
              <w:t>度聚乙烯膜、</w:t>
            </w:r>
            <w:r>
              <w:rPr>
                <w:rFonts w:ascii="Times New Roman" w:hAnsi="Times New Roman" w:eastAsia="Times New Roman" w:cs="Times New Roman"/>
                <w:spacing w:val="9"/>
                <w:sz w:val="20"/>
                <w:szCs w:val="20"/>
              </w:rPr>
              <w:t>300</w:t>
            </w:r>
            <w:r>
              <w:rPr>
                <w:rFonts w:ascii="Times New Roman" w:hAnsi="Times New Roman" w:eastAsia="Times New Roman" w:cs="Times New Roman"/>
                <w:sz w:val="20"/>
                <w:szCs w:val="20"/>
              </w:rPr>
              <w:t>g</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9"/>
                <w:position w:val="6"/>
                <w:sz w:val="13"/>
                <w:szCs w:val="13"/>
              </w:rPr>
              <w:t>2</w:t>
            </w:r>
            <w:r>
              <w:rPr>
                <w:rFonts w:ascii="Times New Roman" w:hAnsi="Times New Roman" w:eastAsia="Times New Roman" w:cs="Times New Roman"/>
                <w:position w:val="6"/>
                <w:sz w:val="13"/>
                <w:szCs w:val="13"/>
              </w:rPr>
              <w:t xml:space="preserve"> </w:t>
            </w:r>
            <w:r>
              <w:rPr>
                <w:rFonts w:ascii="宋体" w:hAnsi="宋体" w:eastAsia="宋体" w:cs="宋体"/>
                <w:spacing w:val="-1"/>
                <w:sz w:val="20"/>
                <w:szCs w:val="20"/>
              </w:rPr>
              <w:t>土工织物膨润土垫</w:t>
            </w:r>
            <w:r>
              <w:rPr>
                <w:rFonts w:ascii="宋体" w:hAnsi="宋体" w:eastAsia="宋体" w:cs="宋体"/>
                <w:sz w:val="20"/>
                <w:szCs w:val="20"/>
              </w:rPr>
              <w:t xml:space="preserve">) ，上 </w:t>
            </w:r>
            <w:r>
              <w:rPr>
                <w:rFonts w:ascii="宋体" w:hAnsi="宋体" w:eastAsia="宋体" w:cs="宋体"/>
                <w:spacing w:val="-24"/>
                <w:sz w:val="20"/>
                <w:szCs w:val="20"/>
              </w:rPr>
              <w:t>部 外 加 耐 腐 蚀 混 凝 土</w:t>
            </w:r>
            <w:r>
              <w:rPr>
                <w:rFonts w:ascii="宋体" w:hAnsi="宋体" w:eastAsia="宋体" w:cs="宋体"/>
                <w:sz w:val="20"/>
                <w:szCs w:val="20"/>
              </w:rPr>
              <w:t xml:space="preserve"> </w:t>
            </w:r>
            <w:r>
              <w:rPr>
                <w:rFonts w:ascii="Times New Roman" w:hAnsi="Times New Roman" w:eastAsia="Times New Roman" w:cs="Times New Roman"/>
                <w:spacing w:val="-3"/>
                <w:sz w:val="20"/>
                <w:szCs w:val="20"/>
              </w:rPr>
              <w:t xml:space="preserve">15cm  </w:t>
            </w:r>
            <w:r>
              <w:rPr>
                <w:rFonts w:ascii="宋体" w:hAnsi="宋体" w:eastAsia="宋体" w:cs="宋体"/>
                <w:spacing w:val="-3"/>
                <w:sz w:val="20"/>
                <w:szCs w:val="20"/>
              </w:rPr>
              <w:t>(保护层) 等防渗，</w:t>
            </w:r>
            <w:r>
              <w:rPr>
                <w:rFonts w:ascii="宋体" w:hAnsi="宋体" w:eastAsia="宋体" w:cs="宋体"/>
                <w:sz w:val="20"/>
                <w:szCs w:val="20"/>
              </w:rPr>
              <w:t xml:space="preserve"> </w:t>
            </w:r>
            <w:r>
              <w:rPr>
                <w:rFonts w:ascii="宋体" w:hAnsi="宋体" w:eastAsia="宋体" w:cs="宋体"/>
                <w:spacing w:val="-2"/>
                <w:sz w:val="20"/>
                <w:szCs w:val="20"/>
              </w:rPr>
              <w:t>侧壁</w:t>
            </w:r>
            <w:r>
              <w:rPr>
                <w:rFonts w:ascii="宋体" w:hAnsi="宋体" w:eastAsia="宋体" w:cs="宋体"/>
                <w:spacing w:val="-1"/>
                <w:sz w:val="20"/>
                <w:szCs w:val="20"/>
              </w:rPr>
              <w:t>均设防渗墙。</w:t>
            </w:r>
          </w:p>
        </w:tc>
      </w:tr>
      <w:tr w14:paraId="3B02D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523" w:type="dxa"/>
            <w:vMerge w:val="continue"/>
            <w:tcBorders>
              <w:top w:val="nil"/>
              <w:left w:val="nil"/>
              <w:bottom w:val="nil"/>
              <w:right w:val="single" w:color="000000" w:sz="4" w:space="0"/>
            </w:tcBorders>
            <w:textDirection w:val="tbRlV"/>
            <w:vAlign w:val="top"/>
          </w:tcPr>
          <w:p w14:paraId="336A3F1B">
            <w:pPr>
              <w:rPr>
                <w:rFonts w:ascii="Arial"/>
                <w:sz w:val="21"/>
              </w:rPr>
            </w:pPr>
          </w:p>
        </w:tc>
        <w:tc>
          <w:tcPr>
            <w:tcW w:w="1320" w:type="dxa"/>
            <w:tcBorders>
              <w:left w:val="single" w:color="000000" w:sz="4" w:space="0"/>
              <w:right w:val="single" w:color="000000" w:sz="4" w:space="0"/>
            </w:tcBorders>
            <w:vAlign w:val="top"/>
          </w:tcPr>
          <w:p w14:paraId="3DFAEF9F">
            <w:pPr>
              <w:spacing w:before="21" w:line="293" w:lineRule="auto"/>
              <w:ind w:left="36" w:right="25" w:firstLine="1"/>
              <w:rPr>
                <w:rFonts w:ascii="宋体" w:hAnsi="宋体" w:eastAsia="宋体" w:cs="宋体"/>
                <w:sz w:val="20"/>
                <w:szCs w:val="20"/>
              </w:rPr>
            </w:pPr>
            <w:r>
              <w:rPr>
                <w:rFonts w:ascii="宋体" w:hAnsi="宋体" w:eastAsia="宋体" w:cs="宋体"/>
                <w:spacing w:val="9"/>
                <w:sz w:val="20"/>
                <w:szCs w:val="20"/>
              </w:rPr>
              <w:t>办</w:t>
            </w:r>
            <w:r>
              <w:rPr>
                <w:rFonts w:ascii="宋体" w:hAnsi="宋体" w:eastAsia="宋体" w:cs="宋体"/>
                <w:spacing w:val="6"/>
                <w:sz w:val="20"/>
                <w:szCs w:val="20"/>
              </w:rPr>
              <w:t>公室、</w:t>
            </w:r>
            <w:r>
              <w:rPr>
                <w:rFonts w:ascii="Times New Roman" w:hAnsi="Times New Roman" w:eastAsia="Times New Roman" w:cs="Times New Roman"/>
                <w:spacing w:val="6"/>
                <w:sz w:val="20"/>
                <w:szCs w:val="20"/>
              </w:rPr>
              <w:t>1#</w:t>
            </w:r>
            <w:r>
              <w:rPr>
                <w:rFonts w:ascii="宋体" w:hAnsi="宋体" w:eastAsia="宋体" w:cs="宋体"/>
                <w:spacing w:val="6"/>
                <w:sz w:val="20"/>
                <w:szCs w:val="20"/>
              </w:rPr>
              <w:t>员</w:t>
            </w:r>
            <w:r>
              <w:rPr>
                <w:rFonts w:ascii="宋体" w:hAnsi="宋体" w:eastAsia="宋体" w:cs="宋体"/>
                <w:sz w:val="20"/>
                <w:szCs w:val="20"/>
              </w:rPr>
              <w:t xml:space="preserve"> </w:t>
            </w:r>
            <w:r>
              <w:rPr>
                <w:rFonts w:ascii="宋体" w:hAnsi="宋体" w:eastAsia="宋体" w:cs="宋体"/>
                <w:spacing w:val="7"/>
                <w:sz w:val="20"/>
                <w:szCs w:val="20"/>
              </w:rPr>
              <w:t>工休息室、</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员</w:t>
            </w:r>
            <w:r>
              <w:rPr>
                <w:rFonts w:ascii="宋体" w:hAnsi="宋体" w:eastAsia="宋体" w:cs="宋体"/>
                <w:spacing w:val="6"/>
                <w:sz w:val="20"/>
                <w:szCs w:val="20"/>
              </w:rPr>
              <w:t>工休息室、</w:t>
            </w:r>
          </w:p>
          <w:p w14:paraId="4FB22208">
            <w:pPr>
              <w:spacing w:before="20" w:line="228" w:lineRule="auto"/>
              <w:ind w:left="141"/>
              <w:rPr>
                <w:rFonts w:ascii="宋体" w:hAnsi="宋体" w:eastAsia="宋体" w:cs="宋体"/>
                <w:sz w:val="20"/>
                <w:szCs w:val="20"/>
              </w:rPr>
            </w:pPr>
            <w:r>
              <w:rPr>
                <w:rFonts w:ascii="宋体" w:hAnsi="宋体" w:eastAsia="宋体" w:cs="宋体"/>
                <w:spacing w:val="10"/>
                <w:sz w:val="20"/>
                <w:szCs w:val="20"/>
              </w:rPr>
              <w:t>备</w:t>
            </w:r>
            <w:r>
              <w:rPr>
                <w:rFonts w:ascii="宋体" w:hAnsi="宋体" w:eastAsia="宋体" w:cs="宋体"/>
                <w:spacing w:val="7"/>
                <w:sz w:val="20"/>
                <w:szCs w:val="20"/>
              </w:rPr>
              <w:t>品备件库</w:t>
            </w:r>
          </w:p>
        </w:tc>
        <w:tc>
          <w:tcPr>
            <w:tcW w:w="1260" w:type="dxa"/>
            <w:vMerge w:val="continue"/>
            <w:tcBorders>
              <w:top w:val="nil"/>
              <w:left w:val="single" w:color="000000" w:sz="4" w:space="0"/>
              <w:bottom w:val="nil"/>
              <w:right w:val="single" w:color="000000" w:sz="4" w:space="0"/>
            </w:tcBorders>
            <w:vAlign w:val="top"/>
          </w:tcPr>
          <w:p w14:paraId="0F7BD250">
            <w:pPr>
              <w:rPr>
                <w:rFonts w:ascii="Arial"/>
                <w:sz w:val="21"/>
              </w:rPr>
            </w:pPr>
          </w:p>
        </w:tc>
        <w:tc>
          <w:tcPr>
            <w:tcW w:w="3015" w:type="dxa"/>
            <w:vMerge w:val="continue"/>
            <w:tcBorders>
              <w:top w:val="nil"/>
              <w:left w:val="single" w:color="000000" w:sz="4" w:space="0"/>
              <w:bottom w:val="nil"/>
              <w:right w:val="single" w:color="000000" w:sz="4" w:space="0"/>
            </w:tcBorders>
            <w:vAlign w:val="top"/>
          </w:tcPr>
          <w:p w14:paraId="76543547">
            <w:pPr>
              <w:rPr>
                <w:rFonts w:ascii="Arial"/>
                <w:sz w:val="21"/>
              </w:rPr>
            </w:pPr>
          </w:p>
        </w:tc>
        <w:tc>
          <w:tcPr>
            <w:tcW w:w="2233" w:type="dxa"/>
            <w:tcBorders>
              <w:left w:val="single" w:color="000000" w:sz="4" w:space="0"/>
              <w:right w:val="nil"/>
            </w:tcBorders>
            <w:vAlign w:val="top"/>
          </w:tcPr>
          <w:p w14:paraId="72FC775A">
            <w:pPr>
              <w:spacing w:before="57" w:line="273" w:lineRule="auto"/>
              <w:ind w:left="24" w:right="9"/>
              <w:rPr>
                <w:rFonts w:ascii="宋体" w:hAnsi="宋体" w:eastAsia="宋体" w:cs="宋体"/>
                <w:sz w:val="20"/>
                <w:szCs w:val="20"/>
              </w:rPr>
            </w:pPr>
            <w:r>
              <w:rPr>
                <w:rFonts w:ascii="宋体" w:hAnsi="宋体" w:eastAsia="宋体" w:cs="宋体"/>
                <w:spacing w:val="-15"/>
                <w:sz w:val="20"/>
                <w:szCs w:val="20"/>
              </w:rPr>
              <w:t>底</w:t>
            </w:r>
            <w:r>
              <w:rPr>
                <w:rFonts w:ascii="宋体" w:hAnsi="宋体" w:eastAsia="宋体" w:cs="宋体"/>
                <w:spacing w:val="-13"/>
                <w:sz w:val="20"/>
                <w:szCs w:val="20"/>
              </w:rPr>
              <w:t xml:space="preserve">部做基础防渗，铺设 </w:t>
            </w:r>
            <w:r>
              <w:rPr>
                <w:rFonts w:ascii="Times New Roman" w:hAnsi="Times New Roman" w:eastAsia="Times New Roman" w:cs="Times New Roman"/>
                <w:spacing w:val="-13"/>
                <w:sz w:val="20"/>
                <w:szCs w:val="20"/>
              </w:rPr>
              <w:t>1m</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厚黏土层，再用耐腐</w:t>
            </w:r>
            <w:r>
              <w:rPr>
                <w:rFonts w:ascii="宋体" w:hAnsi="宋体" w:eastAsia="宋体" w:cs="宋体"/>
                <w:sz w:val="20"/>
                <w:szCs w:val="20"/>
              </w:rPr>
              <w:t xml:space="preserve">蚀混 </w:t>
            </w:r>
            <w:r>
              <w:rPr>
                <w:rFonts w:ascii="宋体" w:hAnsi="宋体" w:eastAsia="宋体" w:cs="宋体"/>
                <w:spacing w:val="-1"/>
                <w:sz w:val="20"/>
                <w:szCs w:val="20"/>
              </w:rPr>
              <w:t>凝</w:t>
            </w:r>
            <w:r>
              <w:rPr>
                <w:rFonts w:ascii="宋体" w:hAnsi="宋体" w:eastAsia="宋体" w:cs="宋体"/>
                <w:sz w:val="20"/>
                <w:szCs w:val="20"/>
              </w:rPr>
              <w:t xml:space="preserve">土 </w:t>
            </w:r>
            <w:r>
              <w:rPr>
                <w:rFonts w:ascii="Times New Roman" w:hAnsi="Times New Roman" w:eastAsia="Times New Roman" w:cs="Times New Roman"/>
                <w:sz w:val="20"/>
                <w:szCs w:val="20"/>
              </w:rPr>
              <w:t xml:space="preserve">15cm </w:t>
            </w:r>
            <w:r>
              <w:rPr>
                <w:rFonts w:ascii="宋体" w:hAnsi="宋体" w:eastAsia="宋体" w:cs="宋体"/>
                <w:sz w:val="20"/>
                <w:szCs w:val="20"/>
              </w:rPr>
              <w:t xml:space="preserve">浇铸，上部铺 </w:t>
            </w:r>
            <w:r>
              <w:rPr>
                <w:rFonts w:ascii="宋体" w:hAnsi="宋体" w:eastAsia="宋体" w:cs="宋体"/>
                <w:spacing w:val="-2"/>
                <w:sz w:val="20"/>
                <w:szCs w:val="20"/>
              </w:rPr>
              <w:t>设</w:t>
            </w:r>
            <w:r>
              <w:rPr>
                <w:rFonts w:ascii="宋体" w:hAnsi="宋体" w:eastAsia="宋体" w:cs="宋体"/>
                <w:spacing w:val="-1"/>
                <w:sz w:val="20"/>
                <w:szCs w:val="20"/>
              </w:rPr>
              <w:t>耐腐蚀砖。</w:t>
            </w:r>
          </w:p>
        </w:tc>
      </w:tr>
      <w:tr w14:paraId="5FCB8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23" w:type="dxa"/>
            <w:vMerge w:val="continue"/>
            <w:tcBorders>
              <w:top w:val="nil"/>
              <w:left w:val="nil"/>
              <w:right w:val="single" w:color="000000" w:sz="4" w:space="0"/>
            </w:tcBorders>
            <w:textDirection w:val="tbRlV"/>
            <w:vAlign w:val="top"/>
          </w:tcPr>
          <w:p w14:paraId="049C4B29">
            <w:pPr>
              <w:rPr>
                <w:rFonts w:ascii="Arial"/>
                <w:sz w:val="21"/>
              </w:rPr>
            </w:pPr>
          </w:p>
        </w:tc>
        <w:tc>
          <w:tcPr>
            <w:tcW w:w="1320" w:type="dxa"/>
            <w:tcBorders>
              <w:left w:val="single" w:color="000000" w:sz="4" w:space="0"/>
              <w:right w:val="single" w:color="000000" w:sz="4" w:space="0"/>
            </w:tcBorders>
            <w:vAlign w:val="top"/>
          </w:tcPr>
          <w:p w14:paraId="22E96493">
            <w:pPr>
              <w:spacing w:before="59" w:line="258" w:lineRule="auto"/>
              <w:ind w:left="139" w:right="26" w:hanging="106"/>
              <w:rPr>
                <w:rFonts w:ascii="宋体" w:hAnsi="宋体" w:eastAsia="宋体" w:cs="宋体"/>
                <w:sz w:val="20"/>
                <w:szCs w:val="20"/>
              </w:rPr>
            </w:pPr>
            <w:r>
              <w:rPr>
                <w:rFonts w:ascii="宋体" w:hAnsi="宋体" w:eastAsia="宋体" w:cs="宋体"/>
                <w:spacing w:val="9"/>
                <w:sz w:val="20"/>
                <w:szCs w:val="20"/>
              </w:rPr>
              <w:t>全</w:t>
            </w:r>
            <w:r>
              <w:rPr>
                <w:rFonts w:ascii="宋体" w:hAnsi="宋体" w:eastAsia="宋体" w:cs="宋体"/>
                <w:spacing w:val="8"/>
                <w:sz w:val="20"/>
                <w:szCs w:val="20"/>
              </w:rPr>
              <w:t>厂区绿地外</w:t>
            </w:r>
            <w:r>
              <w:rPr>
                <w:rFonts w:ascii="宋体" w:hAnsi="宋体" w:eastAsia="宋体" w:cs="宋体"/>
                <w:sz w:val="20"/>
                <w:szCs w:val="20"/>
              </w:rPr>
              <w:t xml:space="preserve"> </w:t>
            </w:r>
            <w:r>
              <w:rPr>
                <w:rFonts w:ascii="宋体" w:hAnsi="宋体" w:eastAsia="宋体" w:cs="宋体"/>
                <w:spacing w:val="8"/>
                <w:sz w:val="20"/>
                <w:szCs w:val="20"/>
              </w:rPr>
              <w:t>其他构筑</w:t>
            </w:r>
            <w:r>
              <w:rPr>
                <w:rFonts w:ascii="宋体" w:hAnsi="宋体" w:eastAsia="宋体" w:cs="宋体"/>
                <w:spacing w:val="7"/>
                <w:sz w:val="20"/>
                <w:szCs w:val="20"/>
              </w:rPr>
              <w:t>物</w:t>
            </w:r>
          </w:p>
        </w:tc>
        <w:tc>
          <w:tcPr>
            <w:tcW w:w="1260" w:type="dxa"/>
            <w:vMerge w:val="continue"/>
            <w:tcBorders>
              <w:top w:val="nil"/>
              <w:left w:val="single" w:color="000000" w:sz="4" w:space="0"/>
              <w:right w:val="single" w:color="000000" w:sz="4" w:space="0"/>
            </w:tcBorders>
            <w:vAlign w:val="top"/>
          </w:tcPr>
          <w:p w14:paraId="4113D307">
            <w:pPr>
              <w:rPr>
                <w:rFonts w:ascii="Arial"/>
                <w:sz w:val="21"/>
              </w:rPr>
            </w:pPr>
          </w:p>
        </w:tc>
        <w:tc>
          <w:tcPr>
            <w:tcW w:w="3015" w:type="dxa"/>
            <w:vMerge w:val="continue"/>
            <w:tcBorders>
              <w:top w:val="nil"/>
              <w:left w:val="single" w:color="000000" w:sz="4" w:space="0"/>
              <w:right w:val="single" w:color="000000" w:sz="4" w:space="0"/>
            </w:tcBorders>
            <w:vAlign w:val="top"/>
          </w:tcPr>
          <w:p w14:paraId="2EABB203">
            <w:pPr>
              <w:rPr>
                <w:rFonts w:ascii="Arial"/>
                <w:sz w:val="21"/>
              </w:rPr>
            </w:pPr>
          </w:p>
        </w:tc>
        <w:tc>
          <w:tcPr>
            <w:tcW w:w="2233" w:type="dxa"/>
            <w:tcBorders>
              <w:left w:val="single" w:color="000000" w:sz="4" w:space="0"/>
              <w:right w:val="nil"/>
            </w:tcBorders>
            <w:vAlign w:val="top"/>
          </w:tcPr>
          <w:p w14:paraId="45EB659E">
            <w:pPr>
              <w:spacing w:before="59" w:line="257" w:lineRule="auto"/>
              <w:ind w:left="27" w:right="11" w:hanging="3"/>
              <w:rPr>
                <w:rFonts w:ascii="宋体" w:hAnsi="宋体" w:eastAsia="宋体" w:cs="宋体"/>
                <w:sz w:val="20"/>
                <w:szCs w:val="20"/>
              </w:rPr>
            </w:pPr>
            <w:r>
              <w:rPr>
                <w:rFonts w:ascii="宋体" w:hAnsi="宋体" w:eastAsia="宋体" w:cs="宋体"/>
                <w:spacing w:val="-1"/>
                <w:sz w:val="20"/>
                <w:szCs w:val="20"/>
              </w:rPr>
              <w:t>采取混凝土地面，上</w:t>
            </w:r>
            <w:r>
              <w:rPr>
                <w:rFonts w:ascii="宋体" w:hAnsi="宋体" w:eastAsia="宋体" w:cs="宋体"/>
                <w:sz w:val="20"/>
                <w:szCs w:val="20"/>
              </w:rPr>
              <w:t xml:space="preserve">涂耐 </w:t>
            </w:r>
            <w:r>
              <w:rPr>
                <w:rFonts w:ascii="宋体" w:hAnsi="宋体" w:eastAsia="宋体" w:cs="宋体"/>
                <w:spacing w:val="-2"/>
                <w:sz w:val="20"/>
                <w:szCs w:val="20"/>
              </w:rPr>
              <w:t>磨环氧树脂地面涂</w:t>
            </w:r>
            <w:r>
              <w:rPr>
                <w:rFonts w:ascii="宋体" w:hAnsi="宋体" w:eastAsia="宋体" w:cs="宋体"/>
                <w:spacing w:val="-1"/>
                <w:sz w:val="20"/>
                <w:szCs w:val="20"/>
              </w:rPr>
              <w:t>料。</w:t>
            </w:r>
          </w:p>
        </w:tc>
      </w:tr>
      <w:tr w14:paraId="51CB8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523" w:type="dxa"/>
            <w:tcBorders>
              <w:left w:val="nil"/>
              <w:right w:val="single" w:color="000000" w:sz="4" w:space="0"/>
            </w:tcBorders>
            <w:vAlign w:val="top"/>
          </w:tcPr>
          <w:p w14:paraId="2C13D73D">
            <w:pPr>
              <w:spacing w:line="305" w:lineRule="auto"/>
              <w:rPr>
                <w:rFonts w:ascii="Arial"/>
                <w:sz w:val="21"/>
              </w:rPr>
            </w:pPr>
          </w:p>
          <w:p w14:paraId="1396E103">
            <w:pPr>
              <w:spacing w:before="65" w:line="228" w:lineRule="auto"/>
              <w:ind w:left="69"/>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1320" w:type="dxa"/>
            <w:tcBorders>
              <w:left w:val="single" w:color="000000" w:sz="4" w:space="0"/>
              <w:right w:val="single" w:color="000000" w:sz="4" w:space="0"/>
            </w:tcBorders>
            <w:vAlign w:val="top"/>
          </w:tcPr>
          <w:p w14:paraId="68167E7A">
            <w:pPr>
              <w:spacing w:before="217" w:line="300" w:lineRule="auto"/>
              <w:ind w:left="25" w:firstLine="71"/>
              <w:rPr>
                <w:rFonts w:ascii="宋体" w:hAnsi="宋体" w:eastAsia="宋体" w:cs="宋体"/>
                <w:sz w:val="20"/>
                <w:szCs w:val="20"/>
              </w:rPr>
            </w:pPr>
            <w:r>
              <w:rPr>
                <w:rFonts w:ascii="宋体" w:hAnsi="宋体" w:eastAsia="宋体" w:cs="宋体"/>
                <w:spacing w:val="-10"/>
                <w:sz w:val="20"/>
                <w:szCs w:val="20"/>
              </w:rPr>
              <w:t>粉碎机、喂料</w:t>
            </w:r>
            <w:r>
              <w:rPr>
                <w:rFonts w:ascii="宋体" w:hAnsi="宋体" w:eastAsia="宋体" w:cs="宋体"/>
                <w:sz w:val="20"/>
                <w:szCs w:val="20"/>
              </w:rPr>
              <w:t xml:space="preserve"> </w:t>
            </w:r>
            <w:r>
              <w:rPr>
                <w:rFonts w:ascii="宋体" w:hAnsi="宋体" w:eastAsia="宋体" w:cs="宋体"/>
                <w:spacing w:val="-20"/>
                <w:sz w:val="20"/>
                <w:szCs w:val="20"/>
              </w:rPr>
              <w:t>机</w:t>
            </w:r>
            <w:r>
              <w:rPr>
                <w:rFonts w:ascii="宋体" w:hAnsi="宋体" w:eastAsia="宋体" w:cs="宋体"/>
                <w:spacing w:val="-16"/>
                <w:sz w:val="20"/>
                <w:szCs w:val="20"/>
              </w:rPr>
              <w:t>、循环水泵等</w:t>
            </w:r>
          </w:p>
        </w:tc>
        <w:tc>
          <w:tcPr>
            <w:tcW w:w="1260" w:type="dxa"/>
            <w:tcBorders>
              <w:left w:val="single" w:color="000000" w:sz="4" w:space="0"/>
              <w:right w:val="single" w:color="000000" w:sz="4" w:space="0"/>
            </w:tcBorders>
            <w:vAlign w:val="top"/>
          </w:tcPr>
          <w:p w14:paraId="69535908">
            <w:pPr>
              <w:spacing w:line="305" w:lineRule="auto"/>
              <w:rPr>
                <w:rFonts w:ascii="Arial"/>
                <w:sz w:val="21"/>
              </w:rPr>
            </w:pPr>
          </w:p>
          <w:p w14:paraId="6F928887">
            <w:pPr>
              <w:spacing w:before="65" w:line="228" w:lineRule="auto"/>
              <w:ind w:left="432"/>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3015" w:type="dxa"/>
            <w:tcBorders>
              <w:left w:val="single" w:color="000000" w:sz="4" w:space="0"/>
              <w:right w:val="single" w:color="000000" w:sz="4" w:space="0"/>
            </w:tcBorders>
            <w:vAlign w:val="top"/>
          </w:tcPr>
          <w:p w14:paraId="121A1A9D">
            <w:pPr>
              <w:spacing w:line="305" w:lineRule="auto"/>
              <w:rPr>
                <w:rFonts w:ascii="Arial"/>
                <w:sz w:val="21"/>
              </w:rPr>
            </w:pPr>
          </w:p>
          <w:p w14:paraId="33A14EF8">
            <w:pPr>
              <w:spacing w:before="65" w:line="228" w:lineRule="auto"/>
              <w:ind w:left="717"/>
              <w:rPr>
                <w:rFonts w:ascii="宋体" w:hAnsi="宋体" w:eastAsia="宋体" w:cs="宋体"/>
                <w:sz w:val="20"/>
                <w:szCs w:val="20"/>
              </w:rPr>
            </w:pPr>
            <w:r>
              <w:rPr>
                <w:rFonts w:ascii="宋体" w:hAnsi="宋体" w:eastAsia="宋体" w:cs="宋体"/>
                <w:spacing w:val="-2"/>
                <w:sz w:val="20"/>
                <w:szCs w:val="20"/>
              </w:rPr>
              <w:t>减振、降</w:t>
            </w:r>
            <w:r>
              <w:rPr>
                <w:rFonts w:ascii="宋体" w:hAnsi="宋体" w:eastAsia="宋体" w:cs="宋体"/>
                <w:spacing w:val="-1"/>
                <w:sz w:val="20"/>
                <w:szCs w:val="20"/>
              </w:rPr>
              <w:t>噪、隔声</w:t>
            </w:r>
          </w:p>
        </w:tc>
        <w:tc>
          <w:tcPr>
            <w:tcW w:w="2233" w:type="dxa"/>
            <w:tcBorders>
              <w:left w:val="single" w:color="000000" w:sz="4" w:space="0"/>
              <w:right w:val="nil"/>
            </w:tcBorders>
            <w:vAlign w:val="top"/>
          </w:tcPr>
          <w:p w14:paraId="7DD2D059">
            <w:pPr>
              <w:spacing w:before="60" w:line="288" w:lineRule="auto"/>
              <w:ind w:left="624" w:right="16" w:hanging="589"/>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工</w:t>
            </w:r>
            <w:r>
              <w:rPr>
                <w:rFonts w:ascii="宋体" w:hAnsi="宋体" w:eastAsia="宋体" w:cs="宋体"/>
                <w:spacing w:val="-2"/>
                <w:sz w:val="20"/>
                <w:szCs w:val="20"/>
              </w:rPr>
              <w:t>业企业厂界环境噪声</w:t>
            </w:r>
            <w:r>
              <w:rPr>
                <w:rFonts w:ascii="宋体" w:hAnsi="宋体" w:eastAsia="宋体" w:cs="宋体"/>
                <w:sz w:val="20"/>
                <w:szCs w:val="20"/>
              </w:rPr>
              <w:t xml:space="preserve"> </w:t>
            </w:r>
            <w:r>
              <w:rPr>
                <w:rFonts w:ascii="宋体" w:hAnsi="宋体" w:eastAsia="宋体" w:cs="宋体"/>
                <w:spacing w:val="-2"/>
                <w:sz w:val="20"/>
                <w:szCs w:val="20"/>
              </w:rPr>
              <w:t>排放</w:t>
            </w:r>
            <w:r>
              <w:rPr>
                <w:rFonts w:ascii="宋体" w:hAnsi="宋体" w:eastAsia="宋体" w:cs="宋体"/>
                <w:spacing w:val="-1"/>
                <w:sz w:val="20"/>
                <w:szCs w:val="20"/>
              </w:rPr>
              <w:t>标准》</w:t>
            </w:r>
          </w:p>
          <w:p w14:paraId="69C4A50C">
            <w:pPr>
              <w:spacing w:line="227" w:lineRule="auto"/>
              <w:ind w:left="141"/>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3 </w:t>
            </w:r>
            <w:r>
              <w:rPr>
                <w:rFonts w:ascii="宋体" w:hAnsi="宋体" w:eastAsia="宋体" w:cs="宋体"/>
                <w:spacing w:val="2"/>
                <w:sz w:val="20"/>
                <w:szCs w:val="20"/>
              </w:rPr>
              <w:t>类</w:t>
            </w:r>
          </w:p>
        </w:tc>
      </w:tr>
      <w:tr w14:paraId="1B1C5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23" w:type="dxa"/>
            <w:vMerge w:val="restart"/>
            <w:tcBorders>
              <w:left w:val="nil"/>
              <w:bottom w:val="nil"/>
              <w:right w:val="single" w:color="000000" w:sz="4" w:space="0"/>
            </w:tcBorders>
            <w:vAlign w:val="top"/>
          </w:tcPr>
          <w:p w14:paraId="79463B08">
            <w:pPr>
              <w:spacing w:line="467" w:lineRule="auto"/>
              <w:rPr>
                <w:rFonts w:ascii="Arial"/>
                <w:sz w:val="21"/>
              </w:rPr>
            </w:pPr>
          </w:p>
          <w:p w14:paraId="1CB7F5A9">
            <w:pPr>
              <w:spacing w:before="65" w:line="228" w:lineRule="auto"/>
              <w:ind w:left="77"/>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tc>
        <w:tc>
          <w:tcPr>
            <w:tcW w:w="1320" w:type="dxa"/>
            <w:tcBorders>
              <w:left w:val="single" w:color="000000" w:sz="4" w:space="0"/>
              <w:right w:val="single" w:color="000000" w:sz="4" w:space="0"/>
            </w:tcBorders>
            <w:vAlign w:val="top"/>
          </w:tcPr>
          <w:p w14:paraId="010ADF03">
            <w:pPr>
              <w:spacing w:before="215" w:line="228" w:lineRule="auto"/>
              <w:ind w:left="352"/>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1260" w:type="dxa"/>
            <w:tcBorders>
              <w:left w:val="single" w:color="000000" w:sz="4" w:space="0"/>
              <w:right w:val="single" w:color="000000" w:sz="4" w:space="0"/>
            </w:tcBorders>
            <w:vAlign w:val="top"/>
          </w:tcPr>
          <w:p w14:paraId="780C77FA">
            <w:pPr>
              <w:spacing w:before="216" w:line="228" w:lineRule="auto"/>
              <w:ind w:left="215"/>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3015" w:type="dxa"/>
            <w:tcBorders>
              <w:left w:val="single" w:color="000000" w:sz="4" w:space="0"/>
              <w:right w:val="single" w:color="000000" w:sz="4" w:space="0"/>
            </w:tcBorders>
            <w:vAlign w:val="top"/>
          </w:tcPr>
          <w:p w14:paraId="6F5BE264">
            <w:pPr>
              <w:spacing w:before="215"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557383D3">
            <w:pPr>
              <w:spacing w:before="58" w:line="259" w:lineRule="auto"/>
              <w:ind w:left="704" w:right="69" w:hanging="637"/>
              <w:rPr>
                <w:rFonts w:ascii="宋体" w:hAnsi="宋体" w:eastAsia="宋体" w:cs="宋体"/>
                <w:sz w:val="20"/>
                <w:szCs w:val="20"/>
              </w:rPr>
            </w:pPr>
            <w:r>
              <w:rPr>
                <w:rFonts w:ascii="宋体" w:hAnsi="宋体" w:eastAsia="宋体" w:cs="宋体"/>
                <w:spacing w:val="10"/>
                <w:sz w:val="20"/>
                <w:szCs w:val="20"/>
              </w:rPr>
              <w:t>送</w:t>
            </w:r>
            <w:r>
              <w:rPr>
                <w:rFonts w:ascii="宋体" w:hAnsi="宋体" w:eastAsia="宋体" w:cs="宋体"/>
                <w:spacing w:val="9"/>
                <w:sz w:val="20"/>
                <w:szCs w:val="20"/>
              </w:rPr>
              <w:t>至环卫部门指定地点</w:t>
            </w:r>
            <w:r>
              <w:rPr>
                <w:rFonts w:ascii="宋体" w:hAnsi="宋体" w:eastAsia="宋体" w:cs="宋体"/>
                <w:sz w:val="20"/>
                <w:szCs w:val="20"/>
              </w:rPr>
              <w:t xml:space="preserve"> </w:t>
            </w:r>
            <w:r>
              <w:rPr>
                <w:rFonts w:ascii="宋体" w:hAnsi="宋体" w:eastAsia="宋体" w:cs="宋体"/>
                <w:spacing w:val="6"/>
                <w:sz w:val="20"/>
                <w:szCs w:val="20"/>
              </w:rPr>
              <w:t>统一处理</w:t>
            </w:r>
          </w:p>
        </w:tc>
      </w:tr>
      <w:tr w14:paraId="6486B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23" w:type="dxa"/>
            <w:vMerge w:val="continue"/>
            <w:tcBorders>
              <w:top w:val="nil"/>
              <w:left w:val="nil"/>
              <w:right w:val="single" w:color="000000" w:sz="4" w:space="0"/>
            </w:tcBorders>
            <w:vAlign w:val="top"/>
          </w:tcPr>
          <w:p w14:paraId="5FE785F3">
            <w:pPr>
              <w:rPr>
                <w:rFonts w:ascii="Arial"/>
                <w:sz w:val="21"/>
              </w:rPr>
            </w:pPr>
          </w:p>
        </w:tc>
        <w:tc>
          <w:tcPr>
            <w:tcW w:w="1320" w:type="dxa"/>
            <w:tcBorders>
              <w:left w:val="single" w:color="000000" w:sz="4" w:space="0"/>
              <w:right w:val="single" w:color="000000" w:sz="4" w:space="0"/>
            </w:tcBorders>
            <w:vAlign w:val="top"/>
          </w:tcPr>
          <w:p w14:paraId="71CEC965">
            <w:pPr>
              <w:spacing w:before="214" w:line="228" w:lineRule="auto"/>
              <w:ind w:left="244"/>
              <w:rPr>
                <w:rFonts w:ascii="宋体" w:hAnsi="宋体" w:eastAsia="宋体" w:cs="宋体"/>
                <w:sz w:val="20"/>
                <w:szCs w:val="20"/>
              </w:rPr>
            </w:pPr>
            <w:r>
              <w:rPr>
                <w:rFonts w:ascii="宋体" w:hAnsi="宋体" w:eastAsia="宋体" w:cs="宋体"/>
                <w:spacing w:val="9"/>
                <w:sz w:val="20"/>
                <w:szCs w:val="20"/>
              </w:rPr>
              <w:t>分</w:t>
            </w:r>
            <w:r>
              <w:rPr>
                <w:rFonts w:ascii="宋体" w:hAnsi="宋体" w:eastAsia="宋体" w:cs="宋体"/>
                <w:spacing w:val="6"/>
                <w:sz w:val="20"/>
                <w:szCs w:val="20"/>
              </w:rPr>
              <w:t>拣工序</w:t>
            </w:r>
          </w:p>
        </w:tc>
        <w:tc>
          <w:tcPr>
            <w:tcW w:w="1260" w:type="dxa"/>
            <w:tcBorders>
              <w:left w:val="single" w:color="000000" w:sz="4" w:space="0"/>
              <w:right w:val="single" w:color="000000" w:sz="4" w:space="0"/>
            </w:tcBorders>
            <w:vAlign w:val="top"/>
          </w:tcPr>
          <w:p w14:paraId="12BA0A17">
            <w:pPr>
              <w:spacing w:before="214" w:line="228" w:lineRule="auto"/>
              <w:ind w:left="424"/>
              <w:rPr>
                <w:rFonts w:ascii="宋体" w:hAnsi="宋体" w:eastAsia="宋体" w:cs="宋体"/>
                <w:sz w:val="20"/>
                <w:szCs w:val="20"/>
              </w:rPr>
            </w:pPr>
            <w:r>
              <w:rPr>
                <w:rFonts w:ascii="宋体" w:hAnsi="宋体" w:eastAsia="宋体" w:cs="宋体"/>
                <w:spacing w:val="4"/>
                <w:sz w:val="20"/>
                <w:szCs w:val="20"/>
              </w:rPr>
              <w:t>杂</w:t>
            </w:r>
            <w:r>
              <w:rPr>
                <w:rFonts w:ascii="宋体" w:hAnsi="宋体" w:eastAsia="宋体" w:cs="宋体"/>
                <w:spacing w:val="3"/>
                <w:sz w:val="20"/>
                <w:szCs w:val="20"/>
              </w:rPr>
              <w:t>质</w:t>
            </w:r>
          </w:p>
        </w:tc>
        <w:tc>
          <w:tcPr>
            <w:tcW w:w="3015" w:type="dxa"/>
            <w:tcBorders>
              <w:left w:val="single" w:color="000000" w:sz="4" w:space="0"/>
              <w:right w:val="single" w:color="000000" w:sz="4" w:space="0"/>
            </w:tcBorders>
            <w:vAlign w:val="top"/>
          </w:tcPr>
          <w:p w14:paraId="409D329B">
            <w:pPr>
              <w:spacing w:before="214"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05809503">
            <w:pPr>
              <w:spacing w:before="58" w:line="259" w:lineRule="auto"/>
              <w:ind w:left="704" w:right="69" w:hanging="637"/>
              <w:rPr>
                <w:rFonts w:ascii="宋体" w:hAnsi="宋体" w:eastAsia="宋体" w:cs="宋体"/>
                <w:sz w:val="20"/>
                <w:szCs w:val="20"/>
              </w:rPr>
            </w:pPr>
            <w:r>
              <w:rPr>
                <w:rFonts w:ascii="宋体" w:hAnsi="宋体" w:eastAsia="宋体" w:cs="宋体"/>
                <w:spacing w:val="10"/>
                <w:sz w:val="20"/>
                <w:szCs w:val="20"/>
              </w:rPr>
              <w:t>送</w:t>
            </w:r>
            <w:r>
              <w:rPr>
                <w:rFonts w:ascii="宋体" w:hAnsi="宋体" w:eastAsia="宋体" w:cs="宋体"/>
                <w:spacing w:val="9"/>
                <w:sz w:val="20"/>
                <w:szCs w:val="20"/>
              </w:rPr>
              <w:t>至环卫部门指定地点</w:t>
            </w:r>
            <w:r>
              <w:rPr>
                <w:rFonts w:ascii="宋体" w:hAnsi="宋体" w:eastAsia="宋体" w:cs="宋体"/>
                <w:sz w:val="20"/>
                <w:szCs w:val="20"/>
              </w:rPr>
              <w:t xml:space="preserve"> </w:t>
            </w:r>
            <w:r>
              <w:rPr>
                <w:rFonts w:ascii="宋体" w:hAnsi="宋体" w:eastAsia="宋体" w:cs="宋体"/>
                <w:spacing w:val="6"/>
                <w:sz w:val="20"/>
                <w:szCs w:val="20"/>
              </w:rPr>
              <w:t>统一处理</w:t>
            </w:r>
          </w:p>
        </w:tc>
      </w:tr>
    </w:tbl>
    <w:p w14:paraId="1B461D20">
      <w:pPr>
        <w:rPr>
          <w:rFonts w:ascii="Arial"/>
          <w:sz w:val="21"/>
        </w:rPr>
      </w:pPr>
    </w:p>
    <w:p w14:paraId="6A7009AC">
      <w:pPr>
        <w:sectPr>
          <w:footerReference r:id="rId324" w:type="default"/>
          <w:pgSz w:w="11906" w:h="16839"/>
          <w:pgMar w:top="1132" w:right="1777" w:bottom="1182" w:left="1777" w:header="878" w:footer="1022" w:gutter="0"/>
          <w:cols w:space="720" w:num="1"/>
        </w:sectPr>
      </w:pPr>
    </w:p>
    <w:p w14:paraId="4DD49735">
      <w:r>
        <w:pict>
          <v:rect id="_x0000_s1381" o:spid="_x0000_s1381" o:spt="1" style="position:absolute;left:0pt;margin-left:90pt;margin-top:57.35pt;height:0.75pt;width:415.3pt;mso-position-horizontal-relative:page;mso-position-vertical-relative:page;z-index:252077056;mso-width-relative:page;mso-height-relative:page;" fillcolor="#000000" filled="t" stroked="f" coordsize="21600,21600" o:allowincell="f">
            <v:path/>
            <v:fill on="t" focussize="0,0"/>
            <v:stroke on="f"/>
            <v:imagedata o:title=""/>
            <o:lock v:ext="edit"/>
          </v:rect>
        </w:pict>
      </w:r>
    </w:p>
    <w:p w14:paraId="54623E63">
      <w:pPr>
        <w:spacing w:line="65" w:lineRule="exact"/>
      </w:pPr>
    </w:p>
    <w:tbl>
      <w:tblPr>
        <w:tblStyle w:val="4"/>
        <w:tblW w:w="8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1320"/>
        <w:gridCol w:w="1260"/>
        <w:gridCol w:w="3015"/>
        <w:gridCol w:w="2233"/>
      </w:tblGrid>
      <w:tr w14:paraId="732F4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23" w:type="dxa"/>
            <w:vMerge w:val="restart"/>
            <w:tcBorders>
              <w:left w:val="nil"/>
              <w:bottom w:val="nil"/>
              <w:right w:val="single" w:color="000000" w:sz="4" w:space="0"/>
            </w:tcBorders>
            <w:vAlign w:val="top"/>
          </w:tcPr>
          <w:p w14:paraId="115AC562">
            <w:pPr>
              <w:rPr>
                <w:rFonts w:ascii="Arial"/>
                <w:sz w:val="21"/>
              </w:rPr>
            </w:pPr>
          </w:p>
        </w:tc>
        <w:tc>
          <w:tcPr>
            <w:tcW w:w="1320" w:type="dxa"/>
            <w:tcBorders>
              <w:left w:val="single" w:color="000000" w:sz="4" w:space="0"/>
              <w:right w:val="single" w:color="000000" w:sz="4" w:space="0"/>
            </w:tcBorders>
            <w:vAlign w:val="top"/>
          </w:tcPr>
          <w:p w14:paraId="013B3022">
            <w:pPr>
              <w:spacing w:before="231" w:line="228" w:lineRule="auto"/>
              <w:ind w:left="244"/>
              <w:rPr>
                <w:rFonts w:ascii="宋体" w:hAnsi="宋体" w:eastAsia="宋体" w:cs="宋体"/>
                <w:sz w:val="20"/>
                <w:szCs w:val="20"/>
              </w:rPr>
            </w:pPr>
            <w:r>
              <w:rPr>
                <w:rFonts w:ascii="宋体" w:hAnsi="宋体" w:eastAsia="宋体" w:cs="宋体"/>
                <w:spacing w:val="7"/>
                <w:sz w:val="20"/>
                <w:szCs w:val="20"/>
              </w:rPr>
              <w:t>污水处</w:t>
            </w:r>
            <w:r>
              <w:rPr>
                <w:rFonts w:ascii="宋体" w:hAnsi="宋体" w:eastAsia="宋体" w:cs="宋体"/>
                <w:spacing w:val="6"/>
                <w:sz w:val="20"/>
                <w:szCs w:val="20"/>
              </w:rPr>
              <w:t>理</w:t>
            </w:r>
          </w:p>
        </w:tc>
        <w:tc>
          <w:tcPr>
            <w:tcW w:w="1260" w:type="dxa"/>
            <w:tcBorders>
              <w:left w:val="single" w:color="000000" w:sz="4" w:space="0"/>
              <w:right w:val="single" w:color="000000" w:sz="4" w:space="0"/>
            </w:tcBorders>
            <w:vAlign w:val="top"/>
          </w:tcPr>
          <w:p w14:paraId="6C13574E">
            <w:pPr>
              <w:spacing w:before="231" w:line="230" w:lineRule="auto"/>
              <w:ind w:left="424"/>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3015" w:type="dxa"/>
            <w:tcBorders>
              <w:left w:val="single" w:color="000000" w:sz="4" w:space="0"/>
              <w:right w:val="single" w:color="000000" w:sz="4" w:space="0"/>
            </w:tcBorders>
            <w:vAlign w:val="top"/>
          </w:tcPr>
          <w:p w14:paraId="718BF188">
            <w:pPr>
              <w:spacing w:before="231"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220C01B0">
            <w:pPr>
              <w:spacing w:before="74" w:line="259" w:lineRule="auto"/>
              <w:ind w:left="704" w:right="69" w:hanging="637"/>
              <w:rPr>
                <w:rFonts w:ascii="宋体" w:hAnsi="宋体" w:eastAsia="宋体" w:cs="宋体"/>
                <w:sz w:val="20"/>
                <w:szCs w:val="20"/>
              </w:rPr>
            </w:pPr>
            <w:r>
              <w:rPr>
                <w:rFonts w:ascii="宋体" w:hAnsi="宋体" w:eastAsia="宋体" w:cs="宋体"/>
                <w:spacing w:val="10"/>
                <w:sz w:val="20"/>
                <w:szCs w:val="20"/>
              </w:rPr>
              <w:t>送</w:t>
            </w:r>
            <w:r>
              <w:rPr>
                <w:rFonts w:ascii="宋体" w:hAnsi="宋体" w:eastAsia="宋体" w:cs="宋体"/>
                <w:spacing w:val="9"/>
                <w:sz w:val="20"/>
                <w:szCs w:val="20"/>
              </w:rPr>
              <w:t>至环卫部门指定地点</w:t>
            </w:r>
            <w:r>
              <w:rPr>
                <w:rFonts w:ascii="宋体" w:hAnsi="宋体" w:eastAsia="宋体" w:cs="宋体"/>
                <w:sz w:val="20"/>
                <w:szCs w:val="20"/>
              </w:rPr>
              <w:t xml:space="preserve"> </w:t>
            </w:r>
            <w:r>
              <w:rPr>
                <w:rFonts w:ascii="宋体" w:hAnsi="宋体" w:eastAsia="宋体" w:cs="宋体"/>
                <w:spacing w:val="6"/>
                <w:sz w:val="20"/>
                <w:szCs w:val="20"/>
              </w:rPr>
              <w:t>统一处理</w:t>
            </w:r>
          </w:p>
        </w:tc>
      </w:tr>
      <w:tr w14:paraId="1854E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23" w:type="dxa"/>
            <w:vMerge w:val="continue"/>
            <w:tcBorders>
              <w:top w:val="nil"/>
              <w:left w:val="nil"/>
              <w:bottom w:val="nil"/>
              <w:right w:val="single" w:color="000000" w:sz="4" w:space="0"/>
            </w:tcBorders>
            <w:vAlign w:val="top"/>
          </w:tcPr>
          <w:p w14:paraId="1E52AACB">
            <w:pPr>
              <w:rPr>
                <w:rFonts w:ascii="Arial"/>
                <w:sz w:val="21"/>
              </w:rPr>
            </w:pPr>
          </w:p>
        </w:tc>
        <w:tc>
          <w:tcPr>
            <w:tcW w:w="1320" w:type="dxa"/>
            <w:tcBorders>
              <w:left w:val="single" w:color="000000" w:sz="4" w:space="0"/>
              <w:right w:val="single" w:color="000000" w:sz="4" w:space="0"/>
            </w:tcBorders>
            <w:vAlign w:val="top"/>
          </w:tcPr>
          <w:p w14:paraId="06084BE0">
            <w:pPr>
              <w:spacing w:before="56" w:line="229" w:lineRule="auto"/>
              <w:ind w:left="244"/>
              <w:rPr>
                <w:rFonts w:ascii="宋体" w:hAnsi="宋体" w:eastAsia="宋体" w:cs="宋体"/>
                <w:sz w:val="20"/>
                <w:szCs w:val="20"/>
              </w:rPr>
            </w:pPr>
            <w:r>
              <w:rPr>
                <w:rFonts w:ascii="宋体" w:hAnsi="宋体" w:eastAsia="宋体" w:cs="宋体"/>
                <w:spacing w:val="7"/>
                <w:sz w:val="20"/>
                <w:szCs w:val="20"/>
              </w:rPr>
              <w:t>拉丝工</w:t>
            </w:r>
            <w:r>
              <w:rPr>
                <w:rFonts w:ascii="宋体" w:hAnsi="宋体" w:eastAsia="宋体" w:cs="宋体"/>
                <w:spacing w:val="6"/>
                <w:sz w:val="20"/>
                <w:szCs w:val="20"/>
              </w:rPr>
              <w:t>序</w:t>
            </w:r>
          </w:p>
        </w:tc>
        <w:tc>
          <w:tcPr>
            <w:tcW w:w="1260" w:type="dxa"/>
            <w:tcBorders>
              <w:left w:val="single" w:color="000000" w:sz="4" w:space="0"/>
              <w:right w:val="single" w:color="000000" w:sz="4" w:space="0"/>
            </w:tcBorders>
            <w:vAlign w:val="top"/>
          </w:tcPr>
          <w:p w14:paraId="504B0576">
            <w:pPr>
              <w:spacing w:before="56" w:line="228" w:lineRule="auto"/>
              <w:ind w:left="318"/>
              <w:rPr>
                <w:rFonts w:ascii="宋体" w:hAnsi="宋体" w:eastAsia="宋体" w:cs="宋体"/>
                <w:sz w:val="20"/>
                <w:szCs w:val="20"/>
              </w:rPr>
            </w:pPr>
            <w:r>
              <w:rPr>
                <w:rFonts w:ascii="宋体" w:hAnsi="宋体" w:eastAsia="宋体" w:cs="宋体"/>
                <w:spacing w:val="7"/>
                <w:sz w:val="20"/>
                <w:szCs w:val="20"/>
              </w:rPr>
              <w:t>废滤网</w:t>
            </w:r>
          </w:p>
        </w:tc>
        <w:tc>
          <w:tcPr>
            <w:tcW w:w="3015" w:type="dxa"/>
            <w:tcBorders>
              <w:left w:val="single" w:color="000000" w:sz="4" w:space="0"/>
              <w:right w:val="single" w:color="000000" w:sz="4" w:space="0"/>
            </w:tcBorders>
            <w:vAlign w:val="top"/>
          </w:tcPr>
          <w:p w14:paraId="35C5A000">
            <w:pPr>
              <w:spacing w:before="56"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0FF58E57">
            <w:pPr>
              <w:spacing w:before="56" w:line="228" w:lineRule="auto"/>
              <w:ind w:left="491"/>
              <w:rPr>
                <w:rFonts w:ascii="宋体" w:hAnsi="宋体" w:eastAsia="宋体" w:cs="宋体"/>
                <w:sz w:val="20"/>
                <w:szCs w:val="20"/>
              </w:rPr>
            </w:pPr>
            <w:r>
              <w:rPr>
                <w:rFonts w:ascii="宋体" w:hAnsi="宋体" w:eastAsia="宋体" w:cs="宋体"/>
                <w:spacing w:val="8"/>
                <w:sz w:val="20"/>
                <w:szCs w:val="20"/>
              </w:rPr>
              <w:t>厂家回收处</w:t>
            </w:r>
            <w:r>
              <w:rPr>
                <w:rFonts w:ascii="宋体" w:hAnsi="宋体" w:eastAsia="宋体" w:cs="宋体"/>
                <w:spacing w:val="7"/>
                <w:sz w:val="20"/>
                <w:szCs w:val="20"/>
              </w:rPr>
              <w:t>理</w:t>
            </w:r>
          </w:p>
        </w:tc>
      </w:tr>
      <w:tr w14:paraId="7E767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23" w:type="dxa"/>
            <w:vMerge w:val="continue"/>
            <w:tcBorders>
              <w:top w:val="nil"/>
              <w:left w:val="nil"/>
              <w:bottom w:val="nil"/>
              <w:right w:val="single" w:color="000000" w:sz="4" w:space="0"/>
            </w:tcBorders>
            <w:vAlign w:val="top"/>
          </w:tcPr>
          <w:p w14:paraId="61064F84">
            <w:pPr>
              <w:rPr>
                <w:rFonts w:ascii="Arial"/>
                <w:sz w:val="21"/>
              </w:rPr>
            </w:pPr>
          </w:p>
        </w:tc>
        <w:tc>
          <w:tcPr>
            <w:tcW w:w="1320" w:type="dxa"/>
            <w:tcBorders>
              <w:left w:val="single" w:color="000000" w:sz="4" w:space="0"/>
              <w:right w:val="single" w:color="000000" w:sz="4" w:space="0"/>
            </w:tcBorders>
            <w:vAlign w:val="top"/>
          </w:tcPr>
          <w:p w14:paraId="430F3B63">
            <w:pPr>
              <w:spacing w:before="57" w:line="228" w:lineRule="auto"/>
              <w:ind w:left="24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气处理</w:t>
            </w:r>
          </w:p>
        </w:tc>
        <w:tc>
          <w:tcPr>
            <w:tcW w:w="1260" w:type="dxa"/>
            <w:tcBorders>
              <w:left w:val="single" w:color="000000" w:sz="4" w:space="0"/>
              <w:right w:val="single" w:color="000000" w:sz="4" w:space="0"/>
            </w:tcBorders>
            <w:vAlign w:val="top"/>
          </w:tcPr>
          <w:p w14:paraId="341E5676">
            <w:pPr>
              <w:spacing w:before="57" w:line="228" w:lineRule="auto"/>
              <w:ind w:left="212"/>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活性炭</w:t>
            </w:r>
          </w:p>
        </w:tc>
        <w:tc>
          <w:tcPr>
            <w:tcW w:w="3015" w:type="dxa"/>
            <w:tcBorders>
              <w:left w:val="single" w:color="000000" w:sz="4" w:space="0"/>
              <w:right w:val="single" w:color="000000" w:sz="4" w:space="0"/>
            </w:tcBorders>
            <w:vAlign w:val="top"/>
          </w:tcPr>
          <w:p w14:paraId="13F1AFD1">
            <w:pPr>
              <w:spacing w:before="56"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313616F1">
            <w:pPr>
              <w:spacing w:before="57" w:line="228" w:lineRule="auto"/>
              <w:ind w:left="178"/>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8"/>
                <w:sz w:val="20"/>
                <w:szCs w:val="20"/>
              </w:rPr>
              <w:t>由有资质单位处理</w:t>
            </w:r>
          </w:p>
        </w:tc>
      </w:tr>
      <w:tr w14:paraId="1BF1F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23" w:type="dxa"/>
            <w:vMerge w:val="continue"/>
            <w:tcBorders>
              <w:top w:val="nil"/>
              <w:left w:val="nil"/>
              <w:bottom w:val="nil"/>
              <w:right w:val="single" w:color="000000" w:sz="4" w:space="0"/>
            </w:tcBorders>
            <w:vAlign w:val="top"/>
          </w:tcPr>
          <w:p w14:paraId="04CC50F2">
            <w:pPr>
              <w:rPr>
                <w:rFonts w:ascii="Arial"/>
                <w:sz w:val="21"/>
              </w:rPr>
            </w:pPr>
          </w:p>
        </w:tc>
        <w:tc>
          <w:tcPr>
            <w:tcW w:w="1320" w:type="dxa"/>
            <w:tcBorders>
              <w:left w:val="single" w:color="000000" w:sz="4" w:space="0"/>
              <w:right w:val="single" w:color="000000" w:sz="4" w:space="0"/>
            </w:tcBorders>
            <w:vAlign w:val="top"/>
          </w:tcPr>
          <w:p w14:paraId="7CB4C1B2">
            <w:pPr>
              <w:spacing w:before="57" w:line="228" w:lineRule="auto"/>
              <w:ind w:left="24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气处理</w:t>
            </w:r>
          </w:p>
        </w:tc>
        <w:tc>
          <w:tcPr>
            <w:tcW w:w="1260" w:type="dxa"/>
            <w:tcBorders>
              <w:left w:val="single" w:color="000000" w:sz="4" w:space="0"/>
              <w:right w:val="single" w:color="000000" w:sz="4" w:space="0"/>
            </w:tcBorders>
            <w:vAlign w:val="top"/>
          </w:tcPr>
          <w:p w14:paraId="689A9D56">
            <w:pPr>
              <w:spacing w:before="56" w:line="228" w:lineRule="auto"/>
              <w:ind w:left="25"/>
              <w:rPr>
                <w:rFonts w:ascii="宋体" w:hAnsi="宋体" w:eastAsia="宋体" w:cs="宋体"/>
                <w:sz w:val="20"/>
                <w:szCs w:val="20"/>
              </w:rPr>
            </w:pPr>
            <w:r>
              <w:rPr>
                <w:rFonts w:ascii="宋体" w:hAnsi="宋体" w:eastAsia="宋体" w:cs="宋体"/>
                <w:spacing w:val="-5"/>
                <w:sz w:val="20"/>
                <w:szCs w:val="20"/>
              </w:rPr>
              <w:t>废</w:t>
            </w:r>
            <w:r>
              <w:rPr>
                <w:rFonts w:ascii="Times New Roman" w:hAnsi="Times New Roman" w:eastAsia="Times New Roman" w:cs="Times New Roman"/>
                <w:spacing w:val="-3"/>
                <w:sz w:val="20"/>
                <w:szCs w:val="20"/>
              </w:rPr>
              <w:t xml:space="preserve">uv </w:t>
            </w:r>
            <w:r>
              <w:rPr>
                <w:rFonts w:ascii="宋体" w:hAnsi="宋体" w:eastAsia="宋体" w:cs="宋体"/>
                <w:spacing w:val="-3"/>
                <w:sz w:val="20"/>
                <w:szCs w:val="20"/>
              </w:rPr>
              <w:t>光解灯管</w:t>
            </w:r>
          </w:p>
        </w:tc>
        <w:tc>
          <w:tcPr>
            <w:tcW w:w="3015" w:type="dxa"/>
            <w:tcBorders>
              <w:left w:val="single" w:color="000000" w:sz="4" w:space="0"/>
              <w:right w:val="single" w:color="000000" w:sz="4" w:space="0"/>
            </w:tcBorders>
            <w:vAlign w:val="top"/>
          </w:tcPr>
          <w:p w14:paraId="7D4EFBCA">
            <w:pPr>
              <w:spacing w:before="56"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267329B3">
            <w:pPr>
              <w:spacing w:before="57" w:line="228" w:lineRule="auto"/>
              <w:ind w:left="178"/>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8"/>
                <w:sz w:val="20"/>
                <w:szCs w:val="20"/>
              </w:rPr>
              <w:t>由有资质单位处理</w:t>
            </w:r>
          </w:p>
        </w:tc>
      </w:tr>
      <w:tr w14:paraId="05316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23" w:type="dxa"/>
            <w:vMerge w:val="continue"/>
            <w:tcBorders>
              <w:top w:val="nil"/>
              <w:left w:val="nil"/>
              <w:bottom w:val="nil"/>
              <w:right w:val="single" w:color="000000" w:sz="4" w:space="0"/>
            </w:tcBorders>
            <w:vAlign w:val="top"/>
          </w:tcPr>
          <w:p w14:paraId="0DA6407B">
            <w:pPr>
              <w:rPr>
                <w:rFonts w:ascii="Arial"/>
                <w:sz w:val="21"/>
              </w:rPr>
            </w:pPr>
          </w:p>
        </w:tc>
        <w:tc>
          <w:tcPr>
            <w:tcW w:w="1320" w:type="dxa"/>
            <w:tcBorders>
              <w:left w:val="single" w:color="000000" w:sz="4" w:space="0"/>
              <w:right w:val="single" w:color="000000" w:sz="4" w:space="0"/>
            </w:tcBorders>
            <w:vAlign w:val="top"/>
          </w:tcPr>
          <w:p w14:paraId="08C39D96">
            <w:pPr>
              <w:spacing w:before="214" w:line="228" w:lineRule="auto"/>
              <w:ind w:left="352"/>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1260" w:type="dxa"/>
            <w:tcBorders>
              <w:left w:val="single" w:color="000000" w:sz="4" w:space="0"/>
              <w:right w:val="single" w:color="000000" w:sz="4" w:space="0"/>
            </w:tcBorders>
            <w:vAlign w:val="top"/>
          </w:tcPr>
          <w:p w14:paraId="21D606E2">
            <w:pPr>
              <w:spacing w:before="214" w:line="228" w:lineRule="auto"/>
              <w:ind w:left="424"/>
              <w:rPr>
                <w:rFonts w:ascii="宋体" w:hAnsi="宋体" w:eastAsia="宋体" w:cs="宋体"/>
                <w:sz w:val="20"/>
                <w:szCs w:val="20"/>
              </w:rPr>
            </w:pPr>
            <w:r>
              <w:rPr>
                <w:rFonts w:ascii="宋体" w:hAnsi="宋体" w:eastAsia="宋体" w:cs="宋体"/>
                <w:spacing w:val="4"/>
                <w:sz w:val="20"/>
                <w:szCs w:val="20"/>
              </w:rPr>
              <w:t>炉</w:t>
            </w:r>
            <w:r>
              <w:rPr>
                <w:rFonts w:ascii="宋体" w:hAnsi="宋体" w:eastAsia="宋体" w:cs="宋体"/>
                <w:spacing w:val="3"/>
                <w:sz w:val="20"/>
                <w:szCs w:val="20"/>
              </w:rPr>
              <w:t>渣</w:t>
            </w:r>
          </w:p>
        </w:tc>
        <w:tc>
          <w:tcPr>
            <w:tcW w:w="3015" w:type="dxa"/>
            <w:tcBorders>
              <w:left w:val="single" w:color="000000" w:sz="4" w:space="0"/>
              <w:right w:val="single" w:color="000000" w:sz="4" w:space="0"/>
            </w:tcBorders>
            <w:vAlign w:val="top"/>
          </w:tcPr>
          <w:p w14:paraId="4244AAD4">
            <w:pPr>
              <w:spacing w:before="213"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3D1F9364">
            <w:pPr>
              <w:spacing w:before="57" w:line="312" w:lineRule="exact"/>
              <w:ind w:left="493"/>
              <w:rPr>
                <w:rFonts w:ascii="宋体" w:hAnsi="宋体" w:eastAsia="宋体" w:cs="宋体"/>
                <w:sz w:val="20"/>
                <w:szCs w:val="20"/>
              </w:rPr>
            </w:pPr>
            <w:r>
              <w:rPr>
                <w:rFonts w:ascii="宋体" w:hAnsi="宋体" w:eastAsia="宋体" w:cs="宋体"/>
                <w:spacing w:val="8"/>
                <w:position w:val="7"/>
                <w:sz w:val="20"/>
                <w:szCs w:val="20"/>
              </w:rPr>
              <w:t>外卖给农肥</w:t>
            </w:r>
            <w:r>
              <w:rPr>
                <w:rFonts w:ascii="宋体" w:hAnsi="宋体" w:eastAsia="宋体" w:cs="宋体"/>
                <w:spacing w:val="7"/>
                <w:position w:val="7"/>
                <w:sz w:val="20"/>
                <w:szCs w:val="20"/>
              </w:rPr>
              <w:t>厂</w:t>
            </w:r>
          </w:p>
          <w:p w14:paraId="11E2D483">
            <w:pPr>
              <w:spacing w:line="228" w:lineRule="auto"/>
              <w:ind w:left="487"/>
              <w:rPr>
                <w:rFonts w:ascii="宋体" w:hAnsi="宋体" w:eastAsia="宋体" w:cs="宋体"/>
                <w:sz w:val="20"/>
                <w:szCs w:val="20"/>
              </w:rPr>
            </w:pPr>
            <w:r>
              <w:rPr>
                <w:rFonts w:ascii="宋体" w:hAnsi="宋体" w:eastAsia="宋体" w:cs="宋体"/>
                <w:spacing w:val="11"/>
                <w:sz w:val="20"/>
                <w:szCs w:val="20"/>
              </w:rPr>
              <w:t>进</w:t>
            </w:r>
            <w:r>
              <w:rPr>
                <w:rFonts w:ascii="宋体" w:hAnsi="宋体" w:eastAsia="宋体" w:cs="宋体"/>
                <w:spacing w:val="8"/>
                <w:sz w:val="20"/>
                <w:szCs w:val="20"/>
              </w:rPr>
              <w:t>行综合利用</w:t>
            </w:r>
          </w:p>
        </w:tc>
      </w:tr>
      <w:tr w14:paraId="0491F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23" w:type="dxa"/>
            <w:vMerge w:val="continue"/>
            <w:tcBorders>
              <w:top w:val="nil"/>
              <w:left w:val="nil"/>
              <w:right w:val="single" w:color="000000" w:sz="4" w:space="0"/>
            </w:tcBorders>
            <w:vAlign w:val="top"/>
          </w:tcPr>
          <w:p w14:paraId="773AE123">
            <w:pPr>
              <w:rPr>
                <w:rFonts w:ascii="Arial"/>
                <w:sz w:val="21"/>
              </w:rPr>
            </w:pPr>
          </w:p>
        </w:tc>
        <w:tc>
          <w:tcPr>
            <w:tcW w:w="1320" w:type="dxa"/>
            <w:tcBorders>
              <w:left w:val="single" w:color="000000" w:sz="4" w:space="0"/>
              <w:right w:val="single" w:color="000000" w:sz="4" w:space="0"/>
            </w:tcBorders>
            <w:vAlign w:val="top"/>
          </w:tcPr>
          <w:p w14:paraId="11858955">
            <w:pPr>
              <w:spacing w:before="216" w:line="227" w:lineRule="auto"/>
              <w:ind w:left="139"/>
              <w:rPr>
                <w:rFonts w:ascii="宋体" w:hAnsi="宋体" w:eastAsia="宋体" w:cs="宋体"/>
                <w:sz w:val="20"/>
                <w:szCs w:val="20"/>
              </w:rPr>
            </w:pPr>
            <w:r>
              <w:rPr>
                <w:rFonts w:ascii="宋体" w:hAnsi="宋体" w:eastAsia="宋体" w:cs="宋体"/>
                <w:spacing w:val="8"/>
                <w:sz w:val="20"/>
                <w:szCs w:val="20"/>
              </w:rPr>
              <w:t>布袋除尘器</w:t>
            </w:r>
          </w:p>
        </w:tc>
        <w:tc>
          <w:tcPr>
            <w:tcW w:w="1260" w:type="dxa"/>
            <w:tcBorders>
              <w:left w:val="single" w:color="000000" w:sz="4" w:space="0"/>
              <w:right w:val="single" w:color="000000" w:sz="4" w:space="0"/>
            </w:tcBorders>
            <w:vAlign w:val="top"/>
          </w:tcPr>
          <w:p w14:paraId="6D0857E9">
            <w:pPr>
              <w:spacing w:before="216" w:line="228" w:lineRule="auto"/>
              <w:ind w:left="421"/>
              <w:rPr>
                <w:rFonts w:ascii="宋体" w:hAnsi="宋体" w:eastAsia="宋体" w:cs="宋体"/>
                <w:sz w:val="20"/>
                <w:szCs w:val="20"/>
              </w:rPr>
            </w:pPr>
            <w:r>
              <w:rPr>
                <w:rFonts w:ascii="宋体" w:hAnsi="宋体" w:eastAsia="宋体" w:cs="宋体"/>
                <w:spacing w:val="5"/>
                <w:sz w:val="20"/>
                <w:szCs w:val="20"/>
              </w:rPr>
              <w:t>粉尘</w:t>
            </w:r>
          </w:p>
        </w:tc>
        <w:tc>
          <w:tcPr>
            <w:tcW w:w="3015" w:type="dxa"/>
            <w:tcBorders>
              <w:left w:val="single" w:color="000000" w:sz="4" w:space="0"/>
              <w:right w:val="single" w:color="000000" w:sz="4" w:space="0"/>
            </w:tcBorders>
            <w:vAlign w:val="top"/>
          </w:tcPr>
          <w:p w14:paraId="34947CEA">
            <w:pPr>
              <w:spacing w:before="216" w:line="228" w:lineRule="auto"/>
              <w:ind w:left="1089"/>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中收集</w:t>
            </w:r>
          </w:p>
        </w:tc>
        <w:tc>
          <w:tcPr>
            <w:tcW w:w="2233" w:type="dxa"/>
            <w:tcBorders>
              <w:left w:val="single" w:color="000000" w:sz="4" w:space="0"/>
              <w:right w:val="nil"/>
            </w:tcBorders>
            <w:vAlign w:val="top"/>
          </w:tcPr>
          <w:p w14:paraId="49C8E66D">
            <w:pPr>
              <w:spacing w:before="60" w:line="312" w:lineRule="exact"/>
              <w:ind w:left="493"/>
              <w:rPr>
                <w:rFonts w:ascii="宋体" w:hAnsi="宋体" w:eastAsia="宋体" w:cs="宋体"/>
                <w:sz w:val="20"/>
                <w:szCs w:val="20"/>
              </w:rPr>
            </w:pPr>
            <w:r>
              <w:rPr>
                <w:rFonts w:ascii="宋体" w:hAnsi="宋体" w:eastAsia="宋体" w:cs="宋体"/>
                <w:spacing w:val="8"/>
                <w:position w:val="7"/>
                <w:sz w:val="20"/>
                <w:szCs w:val="20"/>
              </w:rPr>
              <w:t>外卖给农肥</w:t>
            </w:r>
            <w:r>
              <w:rPr>
                <w:rFonts w:ascii="宋体" w:hAnsi="宋体" w:eastAsia="宋体" w:cs="宋体"/>
                <w:spacing w:val="7"/>
                <w:position w:val="7"/>
                <w:sz w:val="20"/>
                <w:szCs w:val="20"/>
              </w:rPr>
              <w:t>厂</w:t>
            </w:r>
          </w:p>
          <w:p w14:paraId="385A65E7">
            <w:pPr>
              <w:spacing w:line="228" w:lineRule="auto"/>
              <w:ind w:left="487"/>
              <w:rPr>
                <w:rFonts w:ascii="宋体" w:hAnsi="宋体" w:eastAsia="宋体" w:cs="宋体"/>
                <w:sz w:val="20"/>
                <w:szCs w:val="20"/>
              </w:rPr>
            </w:pPr>
            <w:r>
              <w:rPr>
                <w:rFonts w:ascii="宋体" w:hAnsi="宋体" w:eastAsia="宋体" w:cs="宋体"/>
                <w:spacing w:val="11"/>
                <w:sz w:val="20"/>
                <w:szCs w:val="20"/>
              </w:rPr>
              <w:t>进</w:t>
            </w:r>
            <w:r>
              <w:rPr>
                <w:rFonts w:ascii="宋体" w:hAnsi="宋体" w:eastAsia="宋体" w:cs="宋体"/>
                <w:spacing w:val="8"/>
                <w:sz w:val="20"/>
                <w:szCs w:val="20"/>
              </w:rPr>
              <w:t>行综合利用</w:t>
            </w:r>
          </w:p>
        </w:tc>
      </w:tr>
    </w:tbl>
    <w:p w14:paraId="2C093DAE">
      <w:pPr>
        <w:spacing w:before="268" w:line="225" w:lineRule="auto"/>
        <w:ind w:left="32"/>
        <w:outlineLvl w:val="1"/>
        <w:rPr>
          <w:rFonts w:ascii="宋体" w:hAnsi="宋体" w:eastAsia="宋体" w:cs="宋体"/>
          <w:sz w:val="31"/>
          <w:szCs w:val="31"/>
        </w:rPr>
      </w:pPr>
      <w:bookmarkStart w:id="44" w:name="_bookmark45"/>
      <w:bookmarkEnd w:id="44"/>
      <w:r>
        <w:rPr>
          <w:rFonts w:ascii="Times New Roman" w:hAnsi="Times New Roman" w:eastAsia="Times New Roman" w:cs="Times New Roman"/>
          <w:b/>
          <w:bCs/>
          <w:spacing w:val="10"/>
          <w:sz w:val="31"/>
          <w:szCs w:val="31"/>
        </w:rPr>
        <w:t>9</w:t>
      </w:r>
      <w:r>
        <w:rPr>
          <w:rFonts w:ascii="Times New Roman" w:hAnsi="Times New Roman" w:eastAsia="Times New Roman" w:cs="Times New Roman"/>
          <w:b/>
          <w:bCs/>
          <w:spacing w:val="5"/>
          <w:sz w:val="31"/>
          <w:szCs w:val="31"/>
        </w:rPr>
        <w:t>.2</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环境监测</w:t>
      </w:r>
    </w:p>
    <w:p w14:paraId="2ADF0194">
      <w:pPr>
        <w:spacing w:line="251" w:lineRule="auto"/>
        <w:rPr>
          <w:rFonts w:ascii="Arial"/>
          <w:sz w:val="21"/>
        </w:rPr>
      </w:pPr>
    </w:p>
    <w:p w14:paraId="7310E4B7">
      <w:pPr>
        <w:spacing w:before="75" w:line="388" w:lineRule="auto"/>
        <w:ind w:left="33" w:right="47" w:firstLine="503"/>
        <w:rPr>
          <w:rFonts w:ascii="宋体" w:hAnsi="宋体" w:eastAsia="宋体" w:cs="宋体"/>
          <w:sz w:val="23"/>
          <w:szCs w:val="23"/>
        </w:rPr>
      </w:pPr>
      <w:r>
        <w:rPr>
          <w:rFonts w:ascii="宋体" w:hAnsi="宋体" w:eastAsia="宋体" w:cs="宋体"/>
          <w:spacing w:val="36"/>
          <w:sz w:val="23"/>
          <w:szCs w:val="23"/>
        </w:rPr>
        <w:t>环</w:t>
      </w:r>
      <w:r>
        <w:rPr>
          <w:rFonts w:ascii="宋体" w:hAnsi="宋体" w:eastAsia="宋体" w:cs="宋体"/>
          <w:spacing w:val="25"/>
          <w:sz w:val="23"/>
          <w:szCs w:val="23"/>
        </w:rPr>
        <w:t>境</w:t>
      </w:r>
      <w:r>
        <w:rPr>
          <w:rFonts w:ascii="宋体" w:hAnsi="宋体" w:eastAsia="宋体" w:cs="宋体"/>
          <w:spacing w:val="18"/>
          <w:sz w:val="23"/>
          <w:szCs w:val="23"/>
        </w:rPr>
        <w:t>监测是项目环境保护的</w:t>
      </w:r>
      <w:r>
        <w:rPr>
          <w:rFonts w:ascii="Times New Roman" w:hAnsi="Times New Roman" w:eastAsia="Times New Roman" w:cs="Times New Roman"/>
          <w:spacing w:val="18"/>
          <w:sz w:val="23"/>
          <w:szCs w:val="23"/>
        </w:rPr>
        <w:t>“</w:t>
      </w:r>
      <w:r>
        <w:rPr>
          <w:rFonts w:ascii="宋体" w:hAnsi="宋体" w:eastAsia="宋体" w:cs="宋体"/>
          <w:spacing w:val="18"/>
          <w:sz w:val="23"/>
          <w:szCs w:val="23"/>
        </w:rPr>
        <w:t>眼睛</w:t>
      </w:r>
      <w:r>
        <w:rPr>
          <w:rFonts w:ascii="Times New Roman" w:hAnsi="Times New Roman" w:eastAsia="Times New Roman" w:cs="Times New Roman"/>
          <w:spacing w:val="18"/>
          <w:sz w:val="23"/>
          <w:szCs w:val="23"/>
        </w:rPr>
        <w:t xml:space="preserve">” </w:t>
      </w:r>
      <w:r>
        <w:rPr>
          <w:rFonts w:ascii="宋体" w:hAnsi="宋体" w:eastAsia="宋体" w:cs="宋体"/>
          <w:spacing w:val="18"/>
          <w:sz w:val="23"/>
          <w:szCs w:val="23"/>
        </w:rPr>
        <w:t>，是基本的手段和信息基础，环境监</w:t>
      </w:r>
      <w:r>
        <w:rPr>
          <w:rFonts w:ascii="宋体" w:hAnsi="宋体" w:eastAsia="宋体" w:cs="宋体"/>
          <w:sz w:val="23"/>
          <w:szCs w:val="23"/>
        </w:rPr>
        <w:t xml:space="preserve"> </w:t>
      </w:r>
      <w:r>
        <w:rPr>
          <w:rFonts w:ascii="宋体" w:hAnsi="宋体" w:eastAsia="宋体" w:cs="宋体"/>
          <w:spacing w:val="22"/>
          <w:sz w:val="23"/>
          <w:szCs w:val="23"/>
        </w:rPr>
        <w:t>测</w:t>
      </w:r>
      <w:r>
        <w:rPr>
          <w:rFonts w:ascii="宋体" w:hAnsi="宋体" w:eastAsia="宋体" w:cs="宋体"/>
          <w:spacing w:val="21"/>
          <w:sz w:val="23"/>
          <w:szCs w:val="23"/>
        </w:rPr>
        <w:t>的特点是以样品的监测结果来推断总体环境质量。因此，必须把握好各个</w:t>
      </w:r>
      <w:r>
        <w:rPr>
          <w:rFonts w:ascii="宋体" w:hAnsi="宋体" w:eastAsia="宋体" w:cs="宋体"/>
          <w:sz w:val="23"/>
          <w:szCs w:val="23"/>
        </w:rPr>
        <w:t xml:space="preserve"> </w:t>
      </w:r>
      <w:r>
        <w:rPr>
          <w:rFonts w:ascii="宋体" w:hAnsi="宋体" w:eastAsia="宋体" w:cs="宋体"/>
          <w:spacing w:val="22"/>
          <w:sz w:val="23"/>
          <w:szCs w:val="23"/>
        </w:rPr>
        <w:t>技</w:t>
      </w:r>
      <w:r>
        <w:rPr>
          <w:rFonts w:ascii="宋体" w:hAnsi="宋体" w:eastAsia="宋体" w:cs="宋体"/>
          <w:spacing w:val="21"/>
          <w:sz w:val="23"/>
          <w:szCs w:val="23"/>
        </w:rPr>
        <w:t>术环节，包括确定环境监测的项目的范围，采样的位置和数量，采样的时</w:t>
      </w:r>
      <w:r>
        <w:rPr>
          <w:rFonts w:ascii="宋体" w:hAnsi="宋体" w:eastAsia="宋体" w:cs="宋体"/>
          <w:sz w:val="23"/>
          <w:szCs w:val="23"/>
        </w:rPr>
        <w:t xml:space="preserve"> </w:t>
      </w:r>
      <w:r>
        <w:rPr>
          <w:rFonts w:ascii="宋体" w:hAnsi="宋体" w:eastAsia="宋体" w:cs="宋体"/>
          <w:spacing w:val="22"/>
          <w:sz w:val="23"/>
          <w:szCs w:val="23"/>
        </w:rPr>
        <w:t>间</w:t>
      </w:r>
      <w:r>
        <w:rPr>
          <w:rFonts w:ascii="宋体" w:hAnsi="宋体" w:eastAsia="宋体" w:cs="宋体"/>
          <w:spacing w:val="21"/>
          <w:sz w:val="23"/>
          <w:szCs w:val="23"/>
        </w:rPr>
        <w:t>和方法，样品的分析和数据处理等及其质量保证工作。保证监测数据具有</w:t>
      </w:r>
      <w:r>
        <w:rPr>
          <w:rFonts w:ascii="宋体" w:hAnsi="宋体" w:eastAsia="宋体" w:cs="宋体"/>
          <w:sz w:val="23"/>
          <w:szCs w:val="23"/>
        </w:rPr>
        <w:t xml:space="preserve"> </w:t>
      </w:r>
      <w:r>
        <w:rPr>
          <w:rFonts w:ascii="宋体" w:hAnsi="宋体" w:eastAsia="宋体" w:cs="宋体"/>
          <w:spacing w:val="31"/>
          <w:sz w:val="23"/>
          <w:szCs w:val="23"/>
        </w:rPr>
        <w:t>完</w:t>
      </w:r>
      <w:r>
        <w:rPr>
          <w:rFonts w:ascii="宋体" w:hAnsi="宋体" w:eastAsia="宋体" w:cs="宋体"/>
          <w:spacing w:val="20"/>
          <w:sz w:val="23"/>
          <w:szCs w:val="23"/>
        </w:rPr>
        <w:t>整的质量特征，准确性、精密性、完整性、代表性和可比性。</w:t>
      </w:r>
    </w:p>
    <w:p w14:paraId="39E532A9">
      <w:pPr>
        <w:spacing w:before="85" w:line="226" w:lineRule="auto"/>
        <w:ind w:left="32"/>
        <w:outlineLvl w:val="2"/>
        <w:rPr>
          <w:rFonts w:ascii="宋体" w:hAnsi="宋体" w:eastAsia="宋体" w:cs="宋体"/>
          <w:sz w:val="29"/>
          <w:szCs w:val="29"/>
        </w:rPr>
      </w:pPr>
      <w:r>
        <w:rPr>
          <w:rFonts w:ascii="Times New Roman" w:hAnsi="Times New Roman" w:eastAsia="Times New Roman" w:cs="Times New Roman"/>
          <w:b/>
          <w:bCs/>
          <w:spacing w:val="18"/>
          <w:sz w:val="29"/>
          <w:szCs w:val="29"/>
        </w:rPr>
        <w:t>9</w:t>
      </w:r>
      <w:r>
        <w:rPr>
          <w:rFonts w:ascii="Times New Roman" w:hAnsi="Times New Roman" w:eastAsia="Times New Roman" w:cs="Times New Roman"/>
          <w:b/>
          <w:bCs/>
          <w:spacing w:val="15"/>
          <w:sz w:val="29"/>
          <w:szCs w:val="29"/>
        </w:rPr>
        <w:t>.2.1</w:t>
      </w:r>
      <w:r>
        <w:rPr>
          <w:rFonts w:ascii="Times New Roman" w:hAnsi="Times New Roman" w:eastAsia="Times New Roman" w:cs="Times New Roman"/>
          <w:spacing w:val="15"/>
          <w:sz w:val="29"/>
          <w:szCs w:val="29"/>
        </w:rPr>
        <w:t xml:space="preserve">  </w:t>
      </w:r>
      <w:r>
        <w:rPr>
          <w:rFonts w:ascii="宋体" w:hAnsi="宋体" w:eastAsia="宋体" w:cs="宋体"/>
          <w:spacing w:val="15"/>
          <w:sz w:val="29"/>
          <w:szCs w:val="29"/>
          <w14:textOutline w14:w="5448" w14:cap="sq" w14:cmpd="sng">
            <w14:solidFill>
              <w14:srgbClr w14:val="000000"/>
            </w14:solidFill>
            <w14:prstDash w14:val="solid"/>
            <w14:bevel/>
          </w14:textOutline>
        </w:rPr>
        <w:t>环境监测的必要性</w:t>
      </w:r>
    </w:p>
    <w:p w14:paraId="175F1271">
      <w:pPr>
        <w:spacing w:line="257" w:lineRule="auto"/>
        <w:rPr>
          <w:rFonts w:ascii="Arial"/>
          <w:sz w:val="21"/>
        </w:rPr>
      </w:pPr>
    </w:p>
    <w:p w14:paraId="50CE12F2">
      <w:pPr>
        <w:spacing w:before="75" w:line="389" w:lineRule="auto"/>
        <w:ind w:left="32" w:right="47" w:firstLine="503"/>
        <w:rPr>
          <w:rFonts w:ascii="宋体" w:hAnsi="宋体" w:eastAsia="宋体" w:cs="宋体"/>
          <w:sz w:val="23"/>
          <w:szCs w:val="23"/>
        </w:rPr>
      </w:pPr>
      <w:r>
        <w:rPr>
          <w:rFonts w:ascii="宋体" w:hAnsi="宋体" w:eastAsia="宋体" w:cs="宋体"/>
          <w:spacing w:val="21"/>
          <w:sz w:val="23"/>
          <w:szCs w:val="23"/>
        </w:rPr>
        <w:t>环境监测既是项目执行管理的需要，也是环保部门了解项目执行情况、</w:t>
      </w:r>
      <w:r>
        <w:rPr>
          <w:rFonts w:ascii="宋体" w:hAnsi="宋体" w:eastAsia="宋体" w:cs="宋体"/>
          <w:sz w:val="23"/>
          <w:szCs w:val="23"/>
        </w:rPr>
        <w:t xml:space="preserve"> </w:t>
      </w:r>
      <w:r>
        <w:rPr>
          <w:rFonts w:ascii="宋体" w:hAnsi="宋体" w:eastAsia="宋体" w:cs="宋体"/>
          <w:spacing w:val="19"/>
          <w:sz w:val="23"/>
          <w:szCs w:val="23"/>
        </w:rPr>
        <w:t>研</w:t>
      </w:r>
      <w:r>
        <w:rPr>
          <w:rFonts w:ascii="宋体" w:hAnsi="宋体" w:eastAsia="宋体" w:cs="宋体"/>
          <w:spacing w:val="17"/>
          <w:sz w:val="23"/>
          <w:szCs w:val="23"/>
        </w:rPr>
        <w:t>究对策，实行宏观指导的依据 。通过现厂监测，能及时发现问题和了解运</w:t>
      </w:r>
      <w:r>
        <w:rPr>
          <w:rFonts w:ascii="宋体" w:hAnsi="宋体" w:eastAsia="宋体" w:cs="宋体"/>
          <w:sz w:val="23"/>
          <w:szCs w:val="23"/>
        </w:rPr>
        <w:t xml:space="preserve"> </w:t>
      </w:r>
      <w:r>
        <w:rPr>
          <w:rFonts w:ascii="宋体" w:hAnsi="宋体" w:eastAsia="宋体" w:cs="宋体"/>
          <w:spacing w:val="19"/>
          <w:sz w:val="23"/>
          <w:szCs w:val="23"/>
        </w:rPr>
        <w:t>行</w:t>
      </w:r>
      <w:r>
        <w:rPr>
          <w:rFonts w:ascii="宋体" w:hAnsi="宋体" w:eastAsia="宋体" w:cs="宋体"/>
          <w:spacing w:val="17"/>
          <w:sz w:val="23"/>
          <w:szCs w:val="23"/>
        </w:rPr>
        <w:t>数据是否理想，达到总结经验、解决问题、改善管理的目的， 以确保项目</w:t>
      </w:r>
      <w:r>
        <w:rPr>
          <w:rFonts w:ascii="宋体" w:hAnsi="宋体" w:eastAsia="宋体" w:cs="宋体"/>
          <w:sz w:val="23"/>
          <w:szCs w:val="23"/>
        </w:rPr>
        <w:t xml:space="preserve"> </w:t>
      </w:r>
      <w:r>
        <w:rPr>
          <w:rFonts w:ascii="宋体" w:hAnsi="宋体" w:eastAsia="宋体" w:cs="宋体"/>
          <w:spacing w:val="18"/>
          <w:sz w:val="23"/>
          <w:szCs w:val="23"/>
        </w:rPr>
        <w:t>顺</w:t>
      </w:r>
      <w:r>
        <w:rPr>
          <w:rFonts w:ascii="宋体" w:hAnsi="宋体" w:eastAsia="宋体" w:cs="宋体"/>
          <w:spacing w:val="17"/>
          <w:sz w:val="23"/>
          <w:szCs w:val="23"/>
        </w:rPr>
        <w:t>利实现预期目的。</w:t>
      </w:r>
    </w:p>
    <w:p w14:paraId="27B947C3">
      <w:pPr>
        <w:spacing w:before="84" w:line="225" w:lineRule="auto"/>
        <w:ind w:left="32"/>
        <w:outlineLvl w:val="2"/>
        <w:rPr>
          <w:rFonts w:ascii="宋体" w:hAnsi="宋体" w:eastAsia="宋体" w:cs="宋体"/>
          <w:sz w:val="29"/>
          <w:szCs w:val="29"/>
        </w:rPr>
      </w:pPr>
      <w:r>
        <w:rPr>
          <w:rFonts w:ascii="Times New Roman" w:hAnsi="Times New Roman" w:eastAsia="Times New Roman" w:cs="Times New Roman"/>
          <w:b/>
          <w:bCs/>
          <w:spacing w:val="18"/>
          <w:sz w:val="29"/>
          <w:szCs w:val="29"/>
        </w:rPr>
        <w:t>9</w:t>
      </w:r>
      <w:r>
        <w:rPr>
          <w:rFonts w:ascii="Times New Roman" w:hAnsi="Times New Roman" w:eastAsia="Times New Roman" w:cs="Times New Roman"/>
          <w:b/>
          <w:bCs/>
          <w:spacing w:val="15"/>
          <w:sz w:val="29"/>
          <w:szCs w:val="29"/>
        </w:rPr>
        <w:t>.2.2</w:t>
      </w:r>
      <w:r>
        <w:rPr>
          <w:rFonts w:ascii="Times New Roman" w:hAnsi="Times New Roman" w:eastAsia="Times New Roman" w:cs="Times New Roman"/>
          <w:spacing w:val="15"/>
          <w:sz w:val="29"/>
          <w:szCs w:val="29"/>
        </w:rPr>
        <w:t xml:space="preserve">  </w:t>
      </w:r>
      <w:r>
        <w:rPr>
          <w:rFonts w:ascii="宋体" w:hAnsi="宋体" w:eastAsia="宋体" w:cs="宋体"/>
          <w:spacing w:val="15"/>
          <w:sz w:val="29"/>
          <w:szCs w:val="29"/>
          <w14:textOutline w14:w="5448" w14:cap="sq" w14:cmpd="sng">
            <w14:solidFill>
              <w14:srgbClr w14:val="000000"/>
            </w14:solidFill>
            <w14:prstDash w14:val="solid"/>
            <w14:bevel/>
          </w14:textOutline>
        </w:rPr>
        <w:t>环境监测机构设置</w:t>
      </w:r>
    </w:p>
    <w:p w14:paraId="215B1993">
      <w:pPr>
        <w:spacing w:line="258" w:lineRule="auto"/>
        <w:rPr>
          <w:rFonts w:ascii="Arial"/>
          <w:sz w:val="21"/>
        </w:rPr>
      </w:pPr>
    </w:p>
    <w:p w14:paraId="645D65E7">
      <w:pPr>
        <w:spacing w:before="74" w:line="393" w:lineRule="auto"/>
        <w:ind w:left="32" w:right="47" w:firstLine="506"/>
        <w:rPr>
          <w:rFonts w:ascii="宋体" w:hAnsi="宋体" w:eastAsia="宋体" w:cs="宋体"/>
          <w:sz w:val="23"/>
          <w:szCs w:val="23"/>
        </w:rPr>
      </w:pPr>
      <w:r>
        <w:rPr>
          <w:rFonts w:ascii="宋体" w:hAnsi="宋体" w:eastAsia="宋体" w:cs="宋体"/>
          <w:spacing w:val="27"/>
          <w:sz w:val="23"/>
          <w:szCs w:val="23"/>
        </w:rPr>
        <w:t>为</w:t>
      </w:r>
      <w:r>
        <w:rPr>
          <w:rFonts w:ascii="宋体" w:hAnsi="宋体" w:eastAsia="宋体" w:cs="宋体"/>
          <w:spacing w:val="20"/>
          <w:sz w:val="23"/>
          <w:szCs w:val="23"/>
        </w:rPr>
        <w:t>了及时准确地了解项 目 的污染物排放情况和污染物治理设施的运行</w:t>
      </w:r>
      <w:r>
        <w:rPr>
          <w:rFonts w:ascii="宋体" w:hAnsi="宋体" w:eastAsia="宋体" w:cs="宋体"/>
          <w:sz w:val="23"/>
          <w:szCs w:val="23"/>
        </w:rPr>
        <w:t xml:space="preserve"> </w:t>
      </w:r>
      <w:r>
        <w:rPr>
          <w:rFonts w:ascii="宋体" w:hAnsi="宋体" w:eastAsia="宋体" w:cs="宋体"/>
          <w:spacing w:val="22"/>
          <w:sz w:val="23"/>
          <w:szCs w:val="23"/>
        </w:rPr>
        <w:t>状</w:t>
      </w:r>
      <w:r>
        <w:rPr>
          <w:rFonts w:ascii="宋体" w:hAnsi="宋体" w:eastAsia="宋体" w:cs="宋体"/>
          <w:spacing w:val="20"/>
          <w:sz w:val="23"/>
          <w:szCs w:val="23"/>
        </w:rPr>
        <w:t>况，企业应委托有资质的监测机构进行常规监测。</w:t>
      </w:r>
    </w:p>
    <w:p w14:paraId="3BD7767C">
      <w:pPr>
        <w:spacing w:before="86" w:line="226" w:lineRule="auto"/>
        <w:ind w:left="32"/>
        <w:outlineLvl w:val="2"/>
        <w:rPr>
          <w:rFonts w:ascii="宋体" w:hAnsi="宋体" w:eastAsia="宋体" w:cs="宋体"/>
          <w:sz w:val="29"/>
          <w:szCs w:val="29"/>
        </w:rPr>
      </w:pPr>
      <w:r>
        <w:rPr>
          <w:rFonts w:ascii="Times New Roman" w:hAnsi="Times New Roman" w:eastAsia="Times New Roman" w:cs="Times New Roman"/>
          <w:b/>
          <w:bCs/>
          <w:spacing w:val="23"/>
          <w:sz w:val="29"/>
          <w:szCs w:val="29"/>
        </w:rPr>
        <w:t>9</w:t>
      </w:r>
      <w:r>
        <w:rPr>
          <w:rFonts w:ascii="Times New Roman" w:hAnsi="Times New Roman" w:eastAsia="Times New Roman" w:cs="Times New Roman"/>
          <w:b/>
          <w:bCs/>
          <w:spacing w:val="14"/>
          <w:sz w:val="29"/>
          <w:szCs w:val="29"/>
        </w:rPr>
        <w:t>.2.3</w:t>
      </w:r>
      <w:r>
        <w:rPr>
          <w:rFonts w:ascii="Times New Roman" w:hAnsi="Times New Roman" w:eastAsia="Times New Roman" w:cs="Times New Roman"/>
          <w:spacing w:val="14"/>
          <w:sz w:val="29"/>
          <w:szCs w:val="29"/>
        </w:rPr>
        <w:t xml:space="preserve">  </w:t>
      </w:r>
      <w:r>
        <w:rPr>
          <w:rFonts w:ascii="宋体" w:hAnsi="宋体" w:eastAsia="宋体" w:cs="宋体"/>
          <w:spacing w:val="14"/>
          <w:sz w:val="29"/>
          <w:szCs w:val="29"/>
          <w14:textOutline w14:w="5448" w14:cap="sq" w14:cmpd="sng">
            <w14:solidFill>
              <w14:srgbClr w14:val="000000"/>
            </w14:solidFill>
            <w14:prstDash w14:val="solid"/>
            <w14:bevel/>
          </w14:textOutline>
        </w:rPr>
        <w:t>设立排放口</w:t>
      </w:r>
      <w:r>
        <w:rPr>
          <w:rFonts w:ascii="宋体" w:hAnsi="宋体" w:eastAsia="宋体" w:cs="宋体"/>
          <w:spacing w:val="14"/>
          <w:sz w:val="29"/>
          <w:szCs w:val="29"/>
        </w:rPr>
        <w:t xml:space="preserve"> </w:t>
      </w:r>
      <w:r>
        <w:rPr>
          <w:rFonts w:ascii="宋体" w:hAnsi="宋体" w:eastAsia="宋体" w:cs="宋体"/>
          <w:spacing w:val="14"/>
          <w:sz w:val="29"/>
          <w:szCs w:val="29"/>
          <w14:textOutline w14:w="5448" w14:cap="sq" w14:cmpd="sng">
            <w14:solidFill>
              <w14:srgbClr w14:val="000000"/>
            </w14:solidFill>
            <w14:prstDash w14:val="solid"/>
            <w14:bevel/>
          </w14:textOutline>
        </w:rPr>
        <w:t>(源)</w:t>
      </w:r>
      <w:r>
        <w:rPr>
          <w:rFonts w:ascii="宋体" w:hAnsi="宋体" w:eastAsia="宋体" w:cs="宋体"/>
          <w:spacing w:val="14"/>
          <w:sz w:val="29"/>
          <w:szCs w:val="29"/>
        </w:rPr>
        <w:t xml:space="preserve"> </w:t>
      </w:r>
      <w:r>
        <w:rPr>
          <w:rFonts w:ascii="宋体" w:hAnsi="宋体" w:eastAsia="宋体" w:cs="宋体"/>
          <w:spacing w:val="14"/>
          <w:sz w:val="29"/>
          <w:szCs w:val="29"/>
          <w14:textOutline w14:w="5448" w14:cap="sq" w14:cmpd="sng">
            <w14:solidFill>
              <w14:srgbClr w14:val="000000"/>
            </w14:solidFill>
            <w14:prstDash w14:val="solid"/>
            <w14:bevel/>
          </w14:textOutline>
        </w:rPr>
        <w:t>标识</w:t>
      </w:r>
    </w:p>
    <w:p w14:paraId="21810216">
      <w:pPr>
        <w:spacing w:line="258" w:lineRule="auto"/>
        <w:rPr>
          <w:rFonts w:ascii="Arial"/>
          <w:sz w:val="21"/>
        </w:rPr>
      </w:pPr>
    </w:p>
    <w:p w14:paraId="62C7DE51">
      <w:pPr>
        <w:spacing w:before="75" w:line="388" w:lineRule="auto"/>
        <w:ind w:left="31" w:firstLine="484"/>
        <w:rPr>
          <w:rFonts w:ascii="宋体" w:hAnsi="宋体" w:eastAsia="宋体" w:cs="宋体"/>
          <w:sz w:val="23"/>
          <w:szCs w:val="23"/>
        </w:rPr>
      </w:pPr>
      <w:r>
        <w:rPr>
          <w:rFonts w:ascii="宋体" w:hAnsi="宋体" w:eastAsia="宋体" w:cs="宋体"/>
          <w:spacing w:val="12"/>
          <w:sz w:val="23"/>
          <w:szCs w:val="23"/>
        </w:rPr>
        <w:t>项目的各</w:t>
      </w:r>
      <w:r>
        <w:rPr>
          <w:rFonts w:ascii="宋体" w:hAnsi="宋体" w:eastAsia="宋体" w:cs="宋体"/>
          <w:spacing w:val="7"/>
          <w:sz w:val="23"/>
          <w:szCs w:val="23"/>
        </w:rPr>
        <w:t>排</w:t>
      </w:r>
      <w:r>
        <w:rPr>
          <w:rFonts w:ascii="宋体" w:hAnsi="宋体" w:eastAsia="宋体" w:cs="宋体"/>
          <w:spacing w:val="6"/>
          <w:sz w:val="23"/>
          <w:szCs w:val="23"/>
        </w:rPr>
        <w:t>污口按照环境管理要求，必须进行规范化建设，在项目的大气排</w:t>
      </w:r>
      <w:r>
        <w:rPr>
          <w:rFonts w:ascii="宋体" w:hAnsi="宋体" w:eastAsia="宋体" w:cs="宋体"/>
          <w:sz w:val="23"/>
          <w:szCs w:val="23"/>
        </w:rPr>
        <w:t xml:space="preserve"> </w:t>
      </w:r>
      <w:r>
        <w:rPr>
          <w:rFonts w:ascii="宋体" w:hAnsi="宋体" w:eastAsia="宋体" w:cs="宋体"/>
          <w:spacing w:val="9"/>
          <w:sz w:val="23"/>
          <w:szCs w:val="23"/>
        </w:rPr>
        <w:t>放</w:t>
      </w:r>
      <w:r>
        <w:rPr>
          <w:rFonts w:ascii="宋体" w:hAnsi="宋体" w:eastAsia="宋体" w:cs="宋体"/>
          <w:spacing w:val="7"/>
          <w:sz w:val="23"/>
          <w:szCs w:val="23"/>
        </w:rPr>
        <w:t>源、噪声排放源设立规范的环境保护图形标志，按照《环境保护图形标志</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 xml:space="preserve"> </w:t>
      </w:r>
      <w:r>
        <w:rPr>
          <w:rFonts w:ascii="宋体" w:hAnsi="宋体" w:eastAsia="宋体" w:cs="宋体"/>
          <w:spacing w:val="-2"/>
          <w:sz w:val="23"/>
          <w:szCs w:val="23"/>
        </w:rPr>
        <w:t xml:space="preserve">排放口 (源) </w:t>
      </w:r>
      <w:r>
        <w:rPr>
          <w:rFonts w:ascii="宋体" w:hAnsi="宋体" w:eastAsia="宋体" w:cs="宋体"/>
          <w:spacing w:val="-1"/>
          <w:sz w:val="23"/>
          <w:szCs w:val="23"/>
        </w:rPr>
        <w:t>》  (</w:t>
      </w:r>
      <w:r>
        <w:rPr>
          <w:rFonts w:ascii="Times New Roman" w:hAnsi="Times New Roman" w:eastAsia="Times New Roman" w:cs="Times New Roman"/>
          <w:spacing w:val="-1"/>
          <w:sz w:val="23"/>
          <w:szCs w:val="23"/>
        </w:rPr>
        <w:t xml:space="preserve">GB15562. 1- 1995 </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1996-07- 11 </w:t>
      </w:r>
      <w:r>
        <w:rPr>
          <w:rFonts w:ascii="宋体" w:hAnsi="宋体" w:eastAsia="宋体" w:cs="宋体"/>
          <w:spacing w:val="-1"/>
          <w:sz w:val="23"/>
          <w:szCs w:val="23"/>
        </w:rPr>
        <w:t>实施) 执行，以利于环境保护行</w:t>
      </w:r>
      <w:r>
        <w:rPr>
          <w:rFonts w:ascii="宋体" w:hAnsi="宋体" w:eastAsia="宋体" w:cs="宋体"/>
          <w:sz w:val="23"/>
          <w:szCs w:val="23"/>
        </w:rPr>
        <w:t xml:space="preserve"> </w:t>
      </w:r>
      <w:r>
        <w:rPr>
          <w:rFonts w:ascii="宋体" w:hAnsi="宋体" w:eastAsia="宋体" w:cs="宋体"/>
          <w:spacing w:val="11"/>
          <w:sz w:val="23"/>
          <w:szCs w:val="23"/>
        </w:rPr>
        <w:t>政</w:t>
      </w:r>
      <w:r>
        <w:rPr>
          <w:rFonts w:ascii="宋体" w:hAnsi="宋体" w:eastAsia="宋体" w:cs="宋体"/>
          <w:spacing w:val="8"/>
          <w:sz w:val="23"/>
          <w:szCs w:val="23"/>
        </w:rPr>
        <w:t>主管部门对各排放口的监督管理。标志牌制作由国家环境保护总局统一监制，</w:t>
      </w:r>
      <w:r>
        <w:rPr>
          <w:rFonts w:ascii="宋体" w:hAnsi="宋体" w:eastAsia="宋体" w:cs="宋体"/>
          <w:sz w:val="23"/>
          <w:szCs w:val="23"/>
        </w:rPr>
        <w:t xml:space="preserve"> </w:t>
      </w:r>
      <w:r>
        <w:rPr>
          <w:rFonts w:ascii="宋体" w:hAnsi="宋体" w:eastAsia="宋体" w:cs="宋体"/>
          <w:spacing w:val="8"/>
          <w:sz w:val="23"/>
          <w:szCs w:val="23"/>
        </w:rPr>
        <w:t>标志</w:t>
      </w:r>
      <w:r>
        <w:rPr>
          <w:rFonts w:ascii="宋体" w:hAnsi="宋体" w:eastAsia="宋体" w:cs="宋体"/>
          <w:spacing w:val="7"/>
          <w:sz w:val="23"/>
          <w:szCs w:val="23"/>
        </w:rPr>
        <w:t>牌</w:t>
      </w:r>
      <w:r>
        <w:rPr>
          <w:rFonts w:ascii="宋体" w:hAnsi="宋体" w:eastAsia="宋体" w:cs="宋体"/>
          <w:spacing w:val="4"/>
          <w:sz w:val="23"/>
          <w:szCs w:val="23"/>
        </w:rPr>
        <w:t xml:space="preserve">应设置在与之功能相应的醒目处，具体标识见图 </w:t>
      </w:r>
      <w:r>
        <w:rPr>
          <w:rFonts w:ascii="Times New Roman" w:hAnsi="Times New Roman" w:eastAsia="Times New Roman" w:cs="Times New Roman"/>
          <w:spacing w:val="4"/>
          <w:sz w:val="23"/>
          <w:szCs w:val="23"/>
        </w:rPr>
        <w:t>9- 1</w:t>
      </w:r>
      <w:r>
        <w:rPr>
          <w:rFonts w:ascii="宋体" w:hAnsi="宋体" w:eastAsia="宋体" w:cs="宋体"/>
          <w:spacing w:val="4"/>
          <w:sz w:val="23"/>
          <w:szCs w:val="23"/>
        </w:rPr>
        <w:t>。</w:t>
      </w:r>
    </w:p>
    <w:p w14:paraId="3D60F026">
      <w:pPr>
        <w:sectPr>
          <w:headerReference r:id="rId325" w:type="default"/>
          <w:footerReference r:id="rId326" w:type="default"/>
          <w:pgSz w:w="11906" w:h="16839"/>
          <w:pgMar w:top="1132" w:right="1764" w:bottom="1182" w:left="1777" w:header="878" w:footer="1022" w:gutter="0"/>
          <w:cols w:space="720" w:num="1"/>
        </w:sectPr>
      </w:pPr>
    </w:p>
    <w:p w14:paraId="57344F78">
      <w:pPr>
        <w:spacing w:line="350" w:lineRule="auto"/>
        <w:rPr>
          <w:rFonts w:ascii="Arial"/>
          <w:sz w:val="21"/>
        </w:rPr>
      </w:pPr>
      <w:r>
        <w:pict>
          <v:shape id="_x0000_s1382" o:spid="_x0000_s1382" style="position:absolute;left:0pt;margin-left:90pt;margin-top:57.35pt;height:0.75pt;width:415.3pt;mso-position-horizontal-relative:page;mso-position-vertical-relative:page;z-index:252078080;mso-width-relative:page;mso-height-relative:page;" fillcolor="#000000" filled="t" stroked="f" coordsize="8305,15" o:allowincell="f" path="m0,0l8305,0,8305,14,0,14,0,0xe">
            <v:path/>
            <v:fill on="t" focussize="0,0"/>
            <v:stroke on="f"/>
            <v:imagedata o:title=""/>
            <o:lock v:ext="edit"/>
          </v:shape>
        </w:pict>
      </w:r>
    </w:p>
    <w:p w14:paraId="1AC706EF">
      <w:pPr>
        <w:spacing w:line="3343" w:lineRule="exact"/>
        <w:ind w:firstLine="1324"/>
        <w:textAlignment w:val="center"/>
      </w:pPr>
      <w:r>
        <w:drawing>
          <wp:inline distT="0" distB="0" distL="0" distR="0">
            <wp:extent cx="3609975" cy="2122805"/>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602"/>
                    <a:stretch>
                      <a:fillRect/>
                    </a:stretch>
                  </pic:blipFill>
                  <pic:spPr>
                    <a:xfrm>
                      <a:off x="0" y="0"/>
                      <a:ext cx="3610355" cy="2122931"/>
                    </a:xfrm>
                    <a:prstGeom prst="rect">
                      <a:avLst/>
                    </a:prstGeom>
                  </pic:spPr>
                </pic:pic>
              </a:graphicData>
            </a:graphic>
          </wp:inline>
        </w:drawing>
      </w:r>
    </w:p>
    <w:p w14:paraId="2073DD86">
      <w:pPr>
        <w:spacing w:before="222" w:line="228" w:lineRule="auto"/>
        <w:ind w:left="2674"/>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图</w:t>
      </w:r>
      <w:r>
        <w:rPr>
          <w:rFonts w:ascii="宋体" w:hAnsi="宋体" w:eastAsia="宋体" w:cs="宋体"/>
          <w:spacing w:val="11"/>
          <w:sz w:val="23"/>
          <w:szCs w:val="23"/>
        </w:rPr>
        <w:t xml:space="preserve"> </w:t>
      </w:r>
      <w:r>
        <w:rPr>
          <w:rFonts w:ascii="Times New Roman" w:hAnsi="Times New Roman" w:eastAsia="Times New Roman" w:cs="Times New Roman"/>
          <w:b/>
          <w:bCs/>
          <w:spacing w:val="11"/>
          <w:sz w:val="23"/>
          <w:szCs w:val="23"/>
        </w:rPr>
        <w:t>9-1</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环境保护图形标志图</w:t>
      </w:r>
    </w:p>
    <w:p w14:paraId="6C063D35">
      <w:pPr>
        <w:spacing w:before="300" w:line="226" w:lineRule="auto"/>
        <w:ind w:left="23"/>
        <w:outlineLvl w:val="2"/>
        <w:rPr>
          <w:rFonts w:ascii="宋体" w:hAnsi="宋体" w:eastAsia="宋体" w:cs="宋体"/>
          <w:sz w:val="29"/>
          <w:szCs w:val="29"/>
        </w:rPr>
      </w:pPr>
      <w:r>
        <w:rPr>
          <w:rFonts w:ascii="Times New Roman" w:hAnsi="Times New Roman" w:eastAsia="Times New Roman" w:cs="Times New Roman"/>
          <w:b/>
          <w:bCs/>
          <w:spacing w:val="7"/>
          <w:sz w:val="29"/>
          <w:szCs w:val="29"/>
        </w:rPr>
        <w:t>9</w:t>
      </w:r>
      <w:r>
        <w:rPr>
          <w:rFonts w:ascii="Times New Roman" w:hAnsi="Times New Roman" w:eastAsia="Times New Roman" w:cs="Times New Roman"/>
          <w:b/>
          <w:bCs/>
          <w:spacing w:val="6"/>
          <w:sz w:val="29"/>
          <w:szCs w:val="29"/>
        </w:rPr>
        <w:t>.2.4</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环境监测计划</w:t>
      </w:r>
    </w:p>
    <w:p w14:paraId="730C2C9C">
      <w:pPr>
        <w:spacing w:line="256" w:lineRule="auto"/>
        <w:rPr>
          <w:rFonts w:ascii="Arial"/>
          <w:sz w:val="21"/>
        </w:rPr>
      </w:pPr>
    </w:p>
    <w:p w14:paraId="743B0070">
      <w:pPr>
        <w:spacing w:before="75" w:line="389" w:lineRule="auto"/>
        <w:ind w:left="26" w:firstLine="477"/>
        <w:rPr>
          <w:rFonts w:ascii="宋体" w:hAnsi="宋体" w:eastAsia="宋体" w:cs="宋体"/>
          <w:sz w:val="23"/>
          <w:szCs w:val="23"/>
        </w:rPr>
      </w:pPr>
      <w:r>
        <w:rPr>
          <w:rFonts w:ascii="宋体" w:hAnsi="宋体" w:eastAsia="宋体" w:cs="宋体"/>
          <w:spacing w:val="7"/>
          <w:sz w:val="23"/>
          <w:szCs w:val="23"/>
        </w:rPr>
        <w:t>根据工程的生产规模，污染排放的实际情况及企业发展规划，由环保科负</w:t>
      </w:r>
      <w:r>
        <w:rPr>
          <w:rFonts w:ascii="宋体" w:hAnsi="宋体" w:eastAsia="宋体" w:cs="宋体"/>
          <w:spacing w:val="3"/>
          <w:sz w:val="23"/>
          <w:szCs w:val="23"/>
        </w:rPr>
        <w:t>责</w:t>
      </w:r>
      <w:r>
        <w:rPr>
          <w:rFonts w:ascii="宋体" w:hAnsi="宋体" w:eastAsia="宋体" w:cs="宋体"/>
          <w:sz w:val="23"/>
          <w:szCs w:val="23"/>
        </w:rPr>
        <w:t xml:space="preserve"> </w:t>
      </w:r>
      <w:r>
        <w:rPr>
          <w:rFonts w:ascii="宋体" w:hAnsi="宋体" w:eastAsia="宋体" w:cs="宋体"/>
          <w:spacing w:val="8"/>
          <w:sz w:val="23"/>
          <w:szCs w:val="23"/>
        </w:rPr>
        <w:t>企业污染源和环境质量监测管理。环境质量监测可委托有资质的监测机构完成</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7"/>
          <w:sz w:val="23"/>
          <w:szCs w:val="23"/>
        </w:rPr>
        <w:t>具体监测时间、频率、点位服从环保部门的规定和要求，环境监测以企业生产</w:t>
      </w:r>
      <w:r>
        <w:rPr>
          <w:rFonts w:ascii="宋体" w:hAnsi="宋体" w:eastAsia="宋体" w:cs="宋体"/>
          <w:spacing w:val="6"/>
          <w:sz w:val="23"/>
          <w:szCs w:val="23"/>
        </w:rPr>
        <w:t>特</w:t>
      </w:r>
      <w:r>
        <w:rPr>
          <w:rFonts w:ascii="宋体" w:hAnsi="宋体" w:eastAsia="宋体" w:cs="宋体"/>
          <w:sz w:val="23"/>
          <w:szCs w:val="23"/>
        </w:rPr>
        <w:t xml:space="preserve"> </w:t>
      </w:r>
      <w:r>
        <w:rPr>
          <w:rFonts w:ascii="宋体" w:hAnsi="宋体" w:eastAsia="宋体" w:cs="宋体"/>
          <w:spacing w:val="10"/>
          <w:sz w:val="23"/>
          <w:szCs w:val="23"/>
        </w:rPr>
        <w:t>征</w:t>
      </w:r>
      <w:r>
        <w:rPr>
          <w:rFonts w:ascii="宋体" w:hAnsi="宋体" w:eastAsia="宋体" w:cs="宋体"/>
          <w:spacing w:val="9"/>
          <w:sz w:val="23"/>
          <w:szCs w:val="23"/>
        </w:rPr>
        <w:t>、污染物影响特性及测试手段的可靠性来进行确定。</w:t>
      </w:r>
    </w:p>
    <w:p w14:paraId="1457873C">
      <w:pPr>
        <w:spacing w:before="101" w:line="220" w:lineRule="auto"/>
        <w:ind w:left="22"/>
        <w:rPr>
          <w:rFonts w:ascii="宋体" w:hAnsi="宋体" w:eastAsia="宋体" w:cs="宋体"/>
          <w:sz w:val="28"/>
          <w:szCs w:val="28"/>
        </w:rPr>
      </w:pPr>
      <w:r>
        <w:rPr>
          <w:rFonts w:ascii="Times New Roman" w:hAnsi="Times New Roman" w:eastAsia="Times New Roman" w:cs="Times New Roman"/>
          <w:b/>
          <w:bCs/>
          <w:spacing w:val="-1"/>
          <w:sz w:val="28"/>
          <w:szCs w:val="28"/>
        </w:rPr>
        <w:t>9.</w:t>
      </w:r>
      <w:r>
        <w:rPr>
          <w:rFonts w:ascii="Times New Roman" w:hAnsi="Times New Roman" w:eastAsia="Times New Roman" w:cs="Times New Roman"/>
          <w:b/>
          <w:bCs/>
          <w:sz w:val="28"/>
          <w:szCs w:val="28"/>
        </w:rPr>
        <w:t>2.4.1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环境监测内容</w:t>
      </w:r>
    </w:p>
    <w:p w14:paraId="007360F8">
      <w:pPr>
        <w:spacing w:before="294" w:line="323" w:lineRule="exact"/>
        <w:ind w:left="503"/>
        <w:rPr>
          <w:rFonts w:ascii="宋体" w:hAnsi="宋体" w:eastAsia="宋体" w:cs="宋体"/>
          <w:sz w:val="23"/>
          <w:szCs w:val="23"/>
        </w:rPr>
      </w:pPr>
      <w:r>
        <w:rPr>
          <w:rFonts w:ascii="Times New Roman" w:hAnsi="Times New Roman" w:eastAsia="Times New Roman" w:cs="Times New Roman"/>
          <w:spacing w:val="-2"/>
          <w:position w:val="3"/>
          <w:sz w:val="23"/>
          <w:szCs w:val="23"/>
        </w:rPr>
        <w:t>( 1</w:t>
      </w:r>
      <w:r>
        <w:rPr>
          <w:rFonts w:ascii="Times New Roman" w:hAnsi="Times New Roman" w:eastAsia="Times New Roman" w:cs="Times New Roman"/>
          <w:spacing w:val="-1"/>
          <w:position w:val="3"/>
          <w:sz w:val="23"/>
          <w:szCs w:val="23"/>
        </w:rPr>
        <w:t xml:space="preserve">)  </w:t>
      </w:r>
      <w:r>
        <w:rPr>
          <w:rFonts w:ascii="宋体" w:hAnsi="宋体" w:eastAsia="宋体" w:cs="宋体"/>
          <w:spacing w:val="-1"/>
          <w:position w:val="3"/>
          <w:sz w:val="23"/>
          <w:szCs w:val="23"/>
        </w:rPr>
        <w:t>监测项目</w:t>
      </w:r>
    </w:p>
    <w:p w14:paraId="1F0B0998">
      <w:pPr>
        <w:spacing w:line="279" w:lineRule="auto"/>
        <w:rPr>
          <w:rFonts w:ascii="Arial"/>
          <w:sz w:val="21"/>
        </w:rPr>
      </w:pPr>
    </w:p>
    <w:p w14:paraId="140F6B11">
      <w:pPr>
        <w:spacing w:before="75" w:line="227" w:lineRule="auto"/>
        <w:ind w:left="480"/>
        <w:rPr>
          <w:rFonts w:ascii="宋体" w:hAnsi="宋体" w:eastAsia="宋体" w:cs="宋体"/>
          <w:sz w:val="23"/>
          <w:szCs w:val="23"/>
        </w:rPr>
      </w:pPr>
      <w:r>
        <w:rPr>
          <w:rFonts w:ascii="宋体" w:hAnsi="宋体" w:eastAsia="宋体" w:cs="宋体"/>
          <w:spacing w:val="-2"/>
          <w:sz w:val="23"/>
          <w:szCs w:val="23"/>
        </w:rPr>
        <w:t>重点监测企业各污染源和附近关心点、敏感点的污染物排放状况和污染动</w:t>
      </w:r>
      <w:r>
        <w:rPr>
          <w:rFonts w:ascii="宋体" w:hAnsi="宋体" w:eastAsia="宋体" w:cs="宋体"/>
          <w:spacing w:val="-1"/>
          <w:sz w:val="23"/>
          <w:szCs w:val="23"/>
        </w:rPr>
        <w:t>态</w:t>
      </w:r>
      <w:r>
        <w:rPr>
          <w:rFonts w:ascii="宋体" w:hAnsi="宋体" w:eastAsia="宋体" w:cs="宋体"/>
          <w:sz w:val="23"/>
          <w:szCs w:val="23"/>
        </w:rPr>
        <w:t>。</w:t>
      </w:r>
    </w:p>
    <w:p w14:paraId="039F1DD1">
      <w:pPr>
        <w:spacing w:before="311" w:line="323" w:lineRule="exact"/>
        <w:ind w:left="503"/>
        <w:rPr>
          <w:rFonts w:ascii="宋体" w:hAnsi="宋体" w:eastAsia="宋体" w:cs="宋体"/>
          <w:sz w:val="23"/>
          <w:szCs w:val="23"/>
        </w:rPr>
      </w:pPr>
      <w:r>
        <w:rPr>
          <w:rFonts w:ascii="Times New Roman" w:hAnsi="Times New Roman" w:eastAsia="Times New Roman" w:cs="Times New Roman"/>
          <w:spacing w:val="5"/>
          <w:position w:val="3"/>
          <w:sz w:val="23"/>
          <w:szCs w:val="23"/>
        </w:rPr>
        <w:t xml:space="preserve">(2)  </w:t>
      </w:r>
      <w:r>
        <w:rPr>
          <w:rFonts w:ascii="宋体" w:hAnsi="宋体" w:eastAsia="宋体" w:cs="宋体"/>
          <w:spacing w:val="5"/>
          <w:position w:val="3"/>
          <w:sz w:val="23"/>
          <w:szCs w:val="23"/>
        </w:rPr>
        <w:t>监测内容</w:t>
      </w:r>
    </w:p>
    <w:p w14:paraId="1461F602">
      <w:pPr>
        <w:spacing w:line="280" w:lineRule="auto"/>
        <w:rPr>
          <w:rFonts w:ascii="Arial"/>
          <w:sz w:val="21"/>
        </w:rPr>
      </w:pPr>
    </w:p>
    <w:p w14:paraId="3429503C">
      <w:pPr>
        <w:spacing w:before="74" w:line="228" w:lineRule="auto"/>
        <w:ind w:left="502"/>
        <w:rPr>
          <w:rFonts w:ascii="Times New Roman" w:hAnsi="Times New Roman" w:eastAsia="Times New Roman" w:cs="Times New Roman"/>
          <w:sz w:val="23"/>
          <w:szCs w:val="23"/>
        </w:rPr>
      </w:pPr>
      <w:r>
        <w:rPr>
          <w:rFonts w:ascii="宋体" w:hAnsi="宋体" w:eastAsia="宋体" w:cs="宋体"/>
          <w:spacing w:val="5"/>
          <w:sz w:val="23"/>
          <w:szCs w:val="23"/>
        </w:rPr>
        <w:t>废</w:t>
      </w:r>
      <w:r>
        <w:rPr>
          <w:rFonts w:ascii="宋体" w:hAnsi="宋体" w:eastAsia="宋体" w:cs="宋体"/>
          <w:spacing w:val="4"/>
          <w:sz w:val="23"/>
          <w:szCs w:val="23"/>
        </w:rPr>
        <w:t>气：颗粒物、</w:t>
      </w:r>
      <w:r>
        <w:rPr>
          <w:rFonts w:ascii="Times New Roman" w:hAnsi="Times New Roman" w:eastAsia="Times New Roman" w:cs="Times New Roman"/>
          <w:sz w:val="23"/>
          <w:szCs w:val="23"/>
        </w:rPr>
        <w:t>NMHC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4"/>
          <w:position w:val="-1"/>
          <w:sz w:val="15"/>
          <w:szCs w:val="15"/>
        </w:rPr>
        <w:t xml:space="preserve">2 </w:t>
      </w:r>
      <w:r>
        <w:rPr>
          <w:rFonts w:ascii="宋体" w:hAnsi="宋体" w:eastAsia="宋体" w:cs="宋体"/>
          <w:spacing w:val="4"/>
          <w:sz w:val="23"/>
          <w:szCs w:val="23"/>
        </w:rPr>
        <w:t>、</w:t>
      </w:r>
      <w:r>
        <w:rPr>
          <w:rFonts w:ascii="Times New Roman" w:hAnsi="Times New Roman" w:eastAsia="Times New Roman" w:cs="Times New Roman"/>
          <w:sz w:val="23"/>
          <w:szCs w:val="23"/>
        </w:rPr>
        <w:t>NOx</w:t>
      </w:r>
    </w:p>
    <w:p w14:paraId="72D3DFEE">
      <w:pPr>
        <w:spacing w:before="196" w:line="480" w:lineRule="exact"/>
        <w:ind w:left="502"/>
        <w:rPr>
          <w:rFonts w:ascii="Times New Roman" w:hAnsi="Times New Roman" w:eastAsia="Times New Roman" w:cs="Times New Roman"/>
          <w:sz w:val="23"/>
          <w:szCs w:val="23"/>
        </w:rPr>
      </w:pPr>
      <w:r>
        <w:rPr>
          <w:rFonts w:ascii="宋体" w:hAnsi="宋体" w:eastAsia="宋体" w:cs="宋体"/>
          <w:spacing w:val="19"/>
          <w:position w:val="18"/>
          <w:sz w:val="23"/>
          <w:szCs w:val="23"/>
        </w:rPr>
        <w:t>废水：动植物油、</w:t>
      </w:r>
      <w:r>
        <w:rPr>
          <w:rFonts w:ascii="Times New Roman" w:hAnsi="Times New Roman" w:eastAsia="Times New Roman" w:cs="Times New Roman"/>
          <w:position w:val="18"/>
          <w:sz w:val="23"/>
          <w:szCs w:val="23"/>
        </w:rPr>
        <w:t>CODcr</w:t>
      </w:r>
      <w:r>
        <w:rPr>
          <w:rFonts w:ascii="Times New Roman" w:hAnsi="Times New Roman" w:eastAsia="Times New Roman" w:cs="Times New Roman"/>
          <w:spacing w:val="19"/>
          <w:position w:val="18"/>
          <w:sz w:val="23"/>
          <w:szCs w:val="23"/>
        </w:rPr>
        <w:t xml:space="preserve"> </w:t>
      </w:r>
      <w:r>
        <w:rPr>
          <w:rFonts w:ascii="宋体" w:hAnsi="宋体" w:eastAsia="宋体" w:cs="宋体"/>
          <w:spacing w:val="19"/>
          <w:position w:val="18"/>
          <w:sz w:val="23"/>
          <w:szCs w:val="23"/>
        </w:rPr>
        <w:t>、石油类、氨氮</w:t>
      </w:r>
      <w:r>
        <w:rPr>
          <w:rFonts w:ascii="宋体" w:hAnsi="宋体" w:eastAsia="宋体" w:cs="宋体"/>
          <w:spacing w:val="18"/>
          <w:position w:val="18"/>
          <w:sz w:val="23"/>
          <w:szCs w:val="23"/>
        </w:rPr>
        <w:t>、</w:t>
      </w:r>
      <w:r>
        <w:rPr>
          <w:rFonts w:ascii="Times New Roman" w:hAnsi="Times New Roman" w:eastAsia="Times New Roman" w:cs="Times New Roman"/>
          <w:position w:val="18"/>
          <w:sz w:val="23"/>
          <w:szCs w:val="23"/>
        </w:rPr>
        <w:t>SS</w:t>
      </w:r>
    </w:p>
    <w:p w14:paraId="7D759356">
      <w:pPr>
        <w:spacing w:line="228" w:lineRule="auto"/>
        <w:ind w:left="514"/>
        <w:rPr>
          <w:rFonts w:ascii="宋体" w:hAnsi="宋体" w:eastAsia="宋体" w:cs="宋体"/>
          <w:sz w:val="23"/>
          <w:szCs w:val="23"/>
        </w:rPr>
      </w:pPr>
      <w:r>
        <w:rPr>
          <w:rFonts w:ascii="宋体" w:hAnsi="宋体" w:eastAsia="宋体" w:cs="宋体"/>
          <w:spacing w:val="13"/>
          <w:sz w:val="23"/>
          <w:szCs w:val="23"/>
        </w:rPr>
        <w:t>噪</w:t>
      </w:r>
      <w:r>
        <w:rPr>
          <w:rFonts w:ascii="宋体" w:hAnsi="宋体" w:eastAsia="宋体" w:cs="宋体"/>
          <w:spacing w:val="7"/>
          <w:sz w:val="23"/>
          <w:szCs w:val="23"/>
        </w:rPr>
        <w:t>声：厂界环境噪声</w:t>
      </w:r>
    </w:p>
    <w:p w14:paraId="639362BD">
      <w:pPr>
        <w:spacing w:before="196" w:line="221" w:lineRule="auto"/>
        <w:ind w:left="503"/>
        <w:rPr>
          <w:rFonts w:ascii="宋体" w:hAnsi="宋体" w:eastAsia="宋体" w:cs="宋体"/>
          <w:sz w:val="23"/>
          <w:szCs w:val="23"/>
        </w:rPr>
      </w:pPr>
      <w:r>
        <w:rPr>
          <w:rFonts w:ascii="宋体" w:hAnsi="宋体" w:eastAsia="宋体" w:cs="宋体"/>
          <w:spacing w:val="16"/>
          <w:sz w:val="23"/>
          <w:szCs w:val="23"/>
        </w:rPr>
        <w:t>地</w:t>
      </w:r>
      <w:r>
        <w:rPr>
          <w:rFonts w:ascii="宋体" w:hAnsi="宋体" w:eastAsia="宋体" w:cs="宋体"/>
          <w:spacing w:val="12"/>
          <w:sz w:val="23"/>
          <w:szCs w:val="23"/>
        </w:rPr>
        <w:t>下水：</w:t>
      </w:r>
      <w:r>
        <w:rPr>
          <w:rFonts w:ascii="Times New Roman" w:hAnsi="Times New Roman" w:eastAsia="Times New Roman" w:cs="Times New Roman"/>
          <w:sz w:val="23"/>
          <w:szCs w:val="23"/>
        </w:rPr>
        <w:t>pH</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CODcr</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BOD</w:t>
      </w:r>
      <w:r>
        <w:rPr>
          <w:rFonts w:ascii="Times New Roman" w:hAnsi="Times New Roman" w:eastAsia="Times New Roman" w:cs="Times New Roman"/>
          <w:spacing w:val="12"/>
          <w:position w:val="-1"/>
          <w:sz w:val="15"/>
          <w:szCs w:val="15"/>
        </w:rPr>
        <w:t xml:space="preserve">5 </w:t>
      </w:r>
      <w:r>
        <w:rPr>
          <w:rFonts w:ascii="宋体" w:hAnsi="宋体" w:eastAsia="宋体" w:cs="宋体"/>
          <w:spacing w:val="12"/>
          <w:sz w:val="23"/>
          <w:szCs w:val="23"/>
        </w:rPr>
        <w:t>、氨氮、</w:t>
      </w:r>
      <w:r>
        <w:rPr>
          <w:rFonts w:ascii="Times New Roman" w:hAnsi="Times New Roman" w:eastAsia="Times New Roman" w:cs="Times New Roman"/>
          <w:sz w:val="23"/>
          <w:szCs w:val="23"/>
        </w:rPr>
        <w:t>SS</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、总磷和粪大肠菌群</w:t>
      </w:r>
    </w:p>
    <w:p w14:paraId="306CF13B">
      <w:pPr>
        <w:spacing w:before="325" w:line="221" w:lineRule="auto"/>
        <w:ind w:left="22"/>
        <w:rPr>
          <w:rFonts w:ascii="宋体" w:hAnsi="宋体" w:eastAsia="宋体" w:cs="宋体"/>
          <w:sz w:val="28"/>
          <w:szCs w:val="28"/>
        </w:rPr>
      </w:pPr>
      <w:r>
        <w:rPr>
          <w:rFonts w:ascii="Times New Roman" w:hAnsi="Times New Roman" w:eastAsia="Times New Roman" w:cs="Times New Roman"/>
          <w:b/>
          <w:bCs/>
          <w:spacing w:val="-1"/>
          <w:sz w:val="28"/>
          <w:szCs w:val="28"/>
        </w:rPr>
        <w:t>9.</w:t>
      </w:r>
      <w:r>
        <w:rPr>
          <w:rFonts w:ascii="Times New Roman" w:hAnsi="Times New Roman" w:eastAsia="Times New Roman" w:cs="Times New Roman"/>
          <w:b/>
          <w:bCs/>
          <w:sz w:val="28"/>
          <w:szCs w:val="28"/>
        </w:rPr>
        <w:t>2.4.2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环境监测计划</w:t>
      </w:r>
    </w:p>
    <w:p w14:paraId="4FEF8AB8">
      <w:pPr>
        <w:spacing w:line="259" w:lineRule="auto"/>
        <w:rPr>
          <w:rFonts w:ascii="Arial"/>
          <w:sz w:val="21"/>
        </w:rPr>
      </w:pPr>
    </w:p>
    <w:p w14:paraId="09405260">
      <w:pPr>
        <w:spacing w:before="76" w:line="394" w:lineRule="auto"/>
        <w:ind w:left="25" w:right="35" w:firstLine="479"/>
        <w:rPr>
          <w:rFonts w:ascii="宋体" w:hAnsi="宋体" w:eastAsia="宋体" w:cs="宋体"/>
          <w:sz w:val="23"/>
          <w:szCs w:val="23"/>
        </w:rPr>
      </w:pPr>
      <w:r>
        <w:rPr>
          <w:rFonts w:ascii="宋体" w:hAnsi="宋体" w:eastAsia="宋体" w:cs="宋体"/>
          <w:spacing w:val="7"/>
          <w:sz w:val="23"/>
          <w:szCs w:val="23"/>
        </w:rPr>
        <w:t>监测和分析方法按国家有关规定进行。根据项目特点和企业监测能力，可</w:t>
      </w:r>
      <w:r>
        <w:rPr>
          <w:rFonts w:ascii="宋体" w:hAnsi="宋体" w:eastAsia="宋体" w:cs="宋体"/>
          <w:spacing w:val="2"/>
          <w:sz w:val="23"/>
          <w:szCs w:val="23"/>
        </w:rPr>
        <w:t>采</w:t>
      </w:r>
      <w:r>
        <w:rPr>
          <w:rFonts w:ascii="宋体" w:hAnsi="宋体" w:eastAsia="宋体" w:cs="宋体"/>
          <w:sz w:val="23"/>
          <w:szCs w:val="23"/>
        </w:rPr>
        <w:t xml:space="preserve"> </w:t>
      </w:r>
      <w:r>
        <w:rPr>
          <w:rFonts w:ascii="宋体" w:hAnsi="宋体" w:eastAsia="宋体" w:cs="宋体"/>
          <w:spacing w:val="5"/>
          <w:sz w:val="23"/>
          <w:szCs w:val="23"/>
        </w:rPr>
        <w:t xml:space="preserve">用委托监测的方式，监测计划见表 </w:t>
      </w:r>
      <w:r>
        <w:rPr>
          <w:rFonts w:ascii="Times New Roman" w:hAnsi="Times New Roman" w:eastAsia="Times New Roman" w:cs="Times New Roman"/>
          <w:spacing w:val="5"/>
          <w:sz w:val="23"/>
          <w:szCs w:val="23"/>
        </w:rPr>
        <w:t>9-2</w:t>
      </w:r>
      <w:r>
        <w:rPr>
          <w:rFonts w:ascii="宋体" w:hAnsi="宋体" w:eastAsia="宋体" w:cs="宋体"/>
          <w:spacing w:val="1"/>
          <w:sz w:val="23"/>
          <w:szCs w:val="23"/>
        </w:rPr>
        <w:t>。</w:t>
      </w:r>
    </w:p>
    <w:p w14:paraId="5FB4CAD5">
      <w:pPr>
        <w:sectPr>
          <w:headerReference r:id="rId327" w:type="default"/>
          <w:footerReference r:id="rId328" w:type="default"/>
          <w:pgSz w:w="11906" w:h="16839"/>
          <w:pgMar w:top="1132" w:right="1764" w:bottom="1182" w:left="1785" w:header="878" w:footer="1022" w:gutter="0"/>
          <w:cols w:space="720" w:num="1"/>
        </w:sectPr>
      </w:pPr>
    </w:p>
    <w:p w14:paraId="01FB7CAA">
      <w:pPr>
        <w:spacing w:line="408" w:lineRule="auto"/>
        <w:rPr>
          <w:rFonts w:ascii="Arial"/>
          <w:sz w:val="21"/>
        </w:rPr>
      </w:pPr>
      <w:r>
        <w:pict>
          <v:rect id="_x0000_s1383" o:spid="_x0000_s1383" o:spt="1" style="position:absolute;left:0pt;margin-left:369.3pt;margin-top:763.1pt;height:0.5pt;width:136pt;mso-position-horizontal-relative:page;mso-position-vertical-relative:page;z-index:252080128;mso-width-relative:page;mso-height-relative:page;" fillcolor="#000000" filled="t" stroked="f" coordsize="21600,21600" o:allowincell="f">
            <v:path/>
            <v:fill on="t" focussize="0,0"/>
            <v:stroke on="f"/>
            <v:imagedata o:title=""/>
            <o:lock v:ext="edit"/>
          </v:rect>
        </w:pict>
      </w:r>
      <w:r>
        <w:pict>
          <v:shape id="_x0000_s1384" o:spid="_x0000_s1384" style="position:absolute;left:0pt;margin-left:90pt;margin-top:57.35pt;height:0.75pt;width:415.3pt;mso-position-horizontal-relative:page;mso-position-vertical-relative:page;z-index:252079104;mso-width-relative:page;mso-height-relative:page;" fillcolor="#000000" filled="t" stroked="f" coordsize="8305,15" o:allowincell="f" path="m0,0l8305,0,8305,14,0,14,0,0xe">
            <v:path/>
            <v:fill on="t" focussize="0,0"/>
            <v:stroke on="f"/>
            <v:imagedata o:title=""/>
            <o:lock v:ext="edit"/>
          </v:shape>
        </w:pict>
      </w:r>
    </w:p>
    <w:p w14:paraId="22F451DB">
      <w:pPr>
        <w:spacing w:before="75" w:line="228" w:lineRule="auto"/>
        <w:ind w:left="311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9</w:t>
      </w:r>
      <w:r>
        <w:rPr>
          <w:rFonts w:ascii="Times New Roman" w:hAnsi="Times New Roman" w:eastAsia="Times New Roman" w:cs="Times New Roman"/>
          <w:b/>
          <w:bCs/>
          <w:spacing w:val="2"/>
          <w:sz w:val="23"/>
          <w:szCs w:val="23"/>
        </w:rPr>
        <w:t>-2</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环境监测计划</w:t>
      </w:r>
    </w:p>
    <w:p w14:paraId="2333F26B">
      <w:pPr>
        <w:spacing w:line="17" w:lineRule="exact"/>
      </w:pPr>
    </w:p>
    <w:tbl>
      <w:tblPr>
        <w:tblStyle w:val="4"/>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3910"/>
        <w:gridCol w:w="1597"/>
        <w:gridCol w:w="1114"/>
        <w:gridCol w:w="1142"/>
      </w:tblGrid>
      <w:tr w14:paraId="3EF3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58" w:type="dxa"/>
            <w:tcBorders>
              <w:left w:val="nil"/>
              <w:right w:val="single" w:color="000000" w:sz="4" w:space="0"/>
            </w:tcBorders>
            <w:vAlign w:val="top"/>
          </w:tcPr>
          <w:p w14:paraId="18E2F2B8">
            <w:pPr>
              <w:spacing w:before="96" w:line="228" w:lineRule="auto"/>
              <w:ind w:left="164"/>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要</w:t>
            </w:r>
            <w:r>
              <w:rPr>
                <w:rFonts w:ascii="宋体" w:hAnsi="宋体" w:eastAsia="宋体" w:cs="宋体"/>
                <w:spacing w:val="11"/>
                <w:sz w:val="20"/>
                <w:szCs w:val="20"/>
                <w14:textOutline w14:w="3795" w14:cap="sq" w14:cmpd="sng">
                  <w14:solidFill>
                    <w14:srgbClr w14:val="000000"/>
                  </w14:solidFill>
                  <w14:prstDash w14:val="solid"/>
                  <w14:bevel/>
                </w14:textOutline>
              </w:rPr>
              <w:t>素</w:t>
            </w:r>
          </w:p>
        </w:tc>
        <w:tc>
          <w:tcPr>
            <w:tcW w:w="3910" w:type="dxa"/>
            <w:tcBorders>
              <w:left w:val="single" w:color="000000" w:sz="4" w:space="0"/>
              <w:right w:val="single" w:color="000000" w:sz="4" w:space="0"/>
            </w:tcBorders>
            <w:vAlign w:val="top"/>
          </w:tcPr>
          <w:p w14:paraId="55C4681A">
            <w:pPr>
              <w:spacing w:before="97" w:line="228" w:lineRule="auto"/>
              <w:ind w:left="1513"/>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监</w:t>
            </w:r>
            <w:r>
              <w:rPr>
                <w:rFonts w:ascii="宋体" w:hAnsi="宋体" w:eastAsia="宋体" w:cs="宋体"/>
                <w:spacing w:val="17"/>
                <w:sz w:val="20"/>
                <w:szCs w:val="20"/>
                <w14:textOutline w14:w="3795" w14:cap="sq" w14:cmpd="sng">
                  <w14:solidFill>
                    <w14:srgbClr w14:val="000000"/>
                  </w14:solidFill>
                  <w14:prstDash w14:val="solid"/>
                  <w14:bevel/>
                </w14:textOutline>
              </w:rPr>
              <w:t>测项目</w:t>
            </w:r>
          </w:p>
        </w:tc>
        <w:tc>
          <w:tcPr>
            <w:tcW w:w="1597" w:type="dxa"/>
            <w:tcBorders>
              <w:left w:val="single" w:color="000000" w:sz="4" w:space="0"/>
              <w:right w:val="single" w:color="000000" w:sz="4" w:space="0"/>
            </w:tcBorders>
            <w:vAlign w:val="top"/>
          </w:tcPr>
          <w:p w14:paraId="4E59851D">
            <w:pPr>
              <w:spacing w:before="97" w:line="229" w:lineRule="auto"/>
              <w:ind w:left="46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监</w:t>
            </w:r>
            <w:r>
              <w:rPr>
                <w:rFonts w:ascii="宋体" w:hAnsi="宋体" w:eastAsia="宋体" w:cs="宋体"/>
                <w:spacing w:val="15"/>
                <w:sz w:val="20"/>
                <w:szCs w:val="20"/>
                <w14:textOutline w14:w="3795" w14:cap="sq" w14:cmpd="sng">
                  <w14:solidFill>
                    <w14:srgbClr w14:val="000000"/>
                  </w14:solidFill>
                  <w14:prstDash w14:val="solid"/>
                  <w14:bevel/>
                </w14:textOutline>
              </w:rPr>
              <w:t>测点</w:t>
            </w:r>
          </w:p>
        </w:tc>
        <w:tc>
          <w:tcPr>
            <w:tcW w:w="1114" w:type="dxa"/>
            <w:tcBorders>
              <w:left w:val="single" w:color="000000" w:sz="4" w:space="0"/>
              <w:right w:val="single" w:color="000000" w:sz="4" w:space="0"/>
            </w:tcBorders>
            <w:vAlign w:val="top"/>
          </w:tcPr>
          <w:p w14:paraId="76FB9E3A">
            <w:pPr>
              <w:spacing w:before="96" w:line="228" w:lineRule="auto"/>
              <w:ind w:left="118"/>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监</w:t>
            </w:r>
            <w:r>
              <w:rPr>
                <w:rFonts w:ascii="宋体" w:hAnsi="宋体" w:eastAsia="宋体" w:cs="宋体"/>
                <w:spacing w:val="17"/>
                <w:sz w:val="20"/>
                <w:szCs w:val="20"/>
                <w14:textOutline w14:w="3795" w14:cap="sq" w14:cmpd="sng">
                  <w14:solidFill>
                    <w14:srgbClr w14:val="000000"/>
                  </w14:solidFill>
                  <w14:prstDash w14:val="solid"/>
                  <w14:bevel/>
                </w14:textOutline>
              </w:rPr>
              <w:t>测频率</w:t>
            </w:r>
          </w:p>
        </w:tc>
        <w:tc>
          <w:tcPr>
            <w:tcW w:w="1142" w:type="dxa"/>
            <w:tcBorders>
              <w:left w:val="single" w:color="000000" w:sz="4" w:space="0"/>
              <w:right w:val="nil"/>
            </w:tcBorders>
            <w:vAlign w:val="top"/>
          </w:tcPr>
          <w:p w14:paraId="50A8D6CE">
            <w:pPr>
              <w:spacing w:before="97" w:line="229" w:lineRule="auto"/>
              <w:ind w:left="13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监</w:t>
            </w:r>
            <w:r>
              <w:rPr>
                <w:rFonts w:ascii="宋体" w:hAnsi="宋体" w:eastAsia="宋体" w:cs="宋体"/>
                <w:spacing w:val="17"/>
                <w:sz w:val="20"/>
                <w:szCs w:val="20"/>
                <w14:textOutline w14:w="3795" w14:cap="sq" w14:cmpd="sng">
                  <w14:solidFill>
                    <w14:srgbClr w14:val="000000"/>
                  </w14:solidFill>
                  <w14:prstDash w14:val="solid"/>
                  <w14:bevel/>
                </w14:textOutline>
              </w:rPr>
              <w:t>测方式</w:t>
            </w:r>
          </w:p>
        </w:tc>
      </w:tr>
      <w:tr w14:paraId="47C8D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58" w:type="dxa"/>
            <w:vMerge w:val="restart"/>
            <w:tcBorders>
              <w:left w:val="nil"/>
              <w:bottom w:val="nil"/>
              <w:right w:val="single" w:color="000000" w:sz="4" w:space="0"/>
            </w:tcBorders>
            <w:vAlign w:val="top"/>
          </w:tcPr>
          <w:p w14:paraId="4663F7F6">
            <w:pPr>
              <w:spacing w:line="470" w:lineRule="auto"/>
              <w:rPr>
                <w:rFonts w:ascii="Arial"/>
                <w:sz w:val="21"/>
              </w:rPr>
            </w:pPr>
          </w:p>
          <w:p w14:paraId="45563BFA">
            <w:pPr>
              <w:spacing w:before="65" w:line="228" w:lineRule="auto"/>
              <w:ind w:left="163"/>
              <w:rPr>
                <w:rFonts w:ascii="宋体" w:hAnsi="宋体" w:eastAsia="宋体" w:cs="宋体"/>
                <w:sz w:val="20"/>
                <w:szCs w:val="20"/>
              </w:rPr>
            </w:pPr>
            <w:r>
              <w:rPr>
                <w:rFonts w:ascii="宋体" w:hAnsi="宋体" w:eastAsia="宋体" w:cs="宋体"/>
                <w:spacing w:val="11"/>
                <w:sz w:val="20"/>
                <w:szCs w:val="20"/>
              </w:rPr>
              <w:t>废气</w:t>
            </w:r>
          </w:p>
        </w:tc>
        <w:tc>
          <w:tcPr>
            <w:tcW w:w="3910" w:type="dxa"/>
            <w:tcBorders>
              <w:left w:val="single" w:color="000000" w:sz="4" w:space="0"/>
              <w:right w:val="single" w:color="000000" w:sz="4" w:space="0"/>
            </w:tcBorders>
            <w:vAlign w:val="top"/>
          </w:tcPr>
          <w:p w14:paraId="74E687AC">
            <w:pPr>
              <w:spacing w:before="245" w:line="195" w:lineRule="auto"/>
              <w:ind w:left="16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597" w:type="dxa"/>
            <w:tcBorders>
              <w:left w:val="single" w:color="000000" w:sz="4" w:space="0"/>
              <w:right w:val="single" w:color="000000" w:sz="4" w:space="0"/>
            </w:tcBorders>
            <w:vAlign w:val="top"/>
          </w:tcPr>
          <w:p w14:paraId="3A425883">
            <w:pPr>
              <w:spacing w:before="15" w:line="312" w:lineRule="exact"/>
              <w:ind w:left="374"/>
              <w:rPr>
                <w:rFonts w:ascii="宋体" w:hAnsi="宋体" w:eastAsia="宋体" w:cs="宋体"/>
                <w:sz w:val="20"/>
                <w:szCs w:val="20"/>
              </w:rPr>
            </w:pPr>
            <w:r>
              <w:rPr>
                <w:rFonts w:ascii="Times New Roman" w:hAnsi="Times New Roman" w:eastAsia="Times New Roman" w:cs="Times New Roman"/>
                <w:spacing w:val="10"/>
                <w:position w:val="4"/>
                <w:sz w:val="20"/>
                <w:szCs w:val="20"/>
              </w:rPr>
              <w:t>1#</w:t>
            </w:r>
            <w:r>
              <w:rPr>
                <w:rFonts w:ascii="宋体" w:hAnsi="宋体" w:eastAsia="宋体" w:cs="宋体"/>
                <w:spacing w:val="10"/>
                <w:position w:val="4"/>
                <w:sz w:val="20"/>
                <w:szCs w:val="20"/>
              </w:rPr>
              <w:t>排气</w:t>
            </w:r>
            <w:r>
              <w:rPr>
                <w:rFonts w:ascii="宋体" w:hAnsi="宋体" w:eastAsia="宋体" w:cs="宋体"/>
                <w:spacing w:val="9"/>
                <w:position w:val="4"/>
                <w:sz w:val="20"/>
                <w:szCs w:val="20"/>
              </w:rPr>
              <w:t>筒</w:t>
            </w:r>
          </w:p>
          <w:p w14:paraId="365C4DD4">
            <w:pPr>
              <w:spacing w:line="281" w:lineRule="exact"/>
              <w:ind w:left="354"/>
              <w:rPr>
                <w:rFonts w:ascii="宋体" w:hAnsi="宋体" w:eastAsia="宋体" w:cs="宋体"/>
                <w:sz w:val="20"/>
                <w:szCs w:val="20"/>
              </w:rPr>
            </w:pPr>
            <w:r>
              <w:rPr>
                <w:rFonts w:ascii="Times New Roman" w:hAnsi="Times New Roman" w:eastAsia="Times New Roman" w:cs="Times New Roman"/>
                <w:spacing w:val="14"/>
                <w:position w:val="1"/>
                <w:sz w:val="20"/>
                <w:szCs w:val="20"/>
              </w:rPr>
              <w:t>2#</w:t>
            </w:r>
            <w:r>
              <w:rPr>
                <w:rFonts w:ascii="宋体" w:hAnsi="宋体" w:eastAsia="宋体" w:cs="宋体"/>
                <w:spacing w:val="14"/>
                <w:position w:val="1"/>
                <w:sz w:val="20"/>
                <w:szCs w:val="20"/>
              </w:rPr>
              <w:t>排气</w:t>
            </w:r>
            <w:r>
              <w:rPr>
                <w:rFonts w:ascii="宋体" w:hAnsi="宋体" w:eastAsia="宋体" w:cs="宋体"/>
                <w:spacing w:val="13"/>
                <w:position w:val="1"/>
                <w:sz w:val="20"/>
                <w:szCs w:val="20"/>
              </w:rPr>
              <w:t>筒</w:t>
            </w:r>
          </w:p>
        </w:tc>
        <w:tc>
          <w:tcPr>
            <w:tcW w:w="1114" w:type="dxa"/>
            <w:tcBorders>
              <w:left w:val="single" w:color="000000" w:sz="4" w:space="0"/>
              <w:right w:val="single" w:color="000000" w:sz="4" w:space="0"/>
            </w:tcBorders>
            <w:vAlign w:val="top"/>
          </w:tcPr>
          <w:p w14:paraId="559C7D27">
            <w:pPr>
              <w:spacing w:before="208" w:line="228" w:lineRule="auto"/>
              <w:ind w:left="144"/>
              <w:rPr>
                <w:rFonts w:ascii="宋体" w:hAnsi="宋体" w:eastAsia="宋体" w:cs="宋体"/>
                <w:sz w:val="20"/>
                <w:szCs w:val="20"/>
              </w:rPr>
            </w:pPr>
            <w:r>
              <w:rPr>
                <w:rFonts w:ascii="宋体" w:hAnsi="宋体" w:eastAsia="宋体" w:cs="宋体"/>
                <w:spacing w:val="-4"/>
                <w:sz w:val="20"/>
                <w:szCs w:val="20"/>
              </w:rPr>
              <w:t>半</w:t>
            </w:r>
            <w:r>
              <w:rPr>
                <w:rFonts w:ascii="宋体" w:hAnsi="宋体" w:eastAsia="宋体" w:cs="宋体"/>
                <w:spacing w:val="-3"/>
                <w:sz w:val="20"/>
                <w:szCs w:val="20"/>
              </w:rPr>
              <w:t xml:space="preserve">年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次</w:t>
            </w:r>
          </w:p>
        </w:tc>
        <w:tc>
          <w:tcPr>
            <w:tcW w:w="1142" w:type="dxa"/>
            <w:tcBorders>
              <w:left w:val="single" w:color="000000" w:sz="4" w:space="0"/>
              <w:right w:val="nil"/>
            </w:tcBorders>
            <w:vAlign w:val="top"/>
          </w:tcPr>
          <w:p w14:paraId="710D0CAA">
            <w:pPr>
              <w:spacing w:before="209" w:line="229" w:lineRule="auto"/>
              <w:ind w:left="130"/>
              <w:rPr>
                <w:rFonts w:ascii="宋体" w:hAnsi="宋体" w:eastAsia="宋体" w:cs="宋体"/>
                <w:sz w:val="20"/>
                <w:szCs w:val="20"/>
              </w:rPr>
            </w:pPr>
            <w:r>
              <w:rPr>
                <w:rFonts w:ascii="宋体" w:hAnsi="宋体" w:eastAsia="宋体" w:cs="宋体"/>
                <w:spacing w:val="18"/>
                <w:sz w:val="20"/>
                <w:szCs w:val="20"/>
              </w:rPr>
              <w:t>委</w:t>
            </w:r>
            <w:r>
              <w:rPr>
                <w:rFonts w:ascii="宋体" w:hAnsi="宋体" w:eastAsia="宋体" w:cs="宋体"/>
                <w:spacing w:val="16"/>
                <w:sz w:val="20"/>
                <w:szCs w:val="20"/>
              </w:rPr>
              <w:t>托监测</w:t>
            </w:r>
          </w:p>
        </w:tc>
      </w:tr>
      <w:tr w14:paraId="49F43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Merge w:val="continue"/>
            <w:tcBorders>
              <w:top w:val="nil"/>
              <w:left w:val="nil"/>
              <w:bottom w:val="nil"/>
              <w:right w:val="single" w:color="000000" w:sz="4" w:space="0"/>
            </w:tcBorders>
            <w:vAlign w:val="top"/>
          </w:tcPr>
          <w:p w14:paraId="04AE378E">
            <w:pPr>
              <w:rPr>
                <w:rFonts w:ascii="Arial"/>
                <w:sz w:val="21"/>
              </w:rPr>
            </w:pPr>
          </w:p>
        </w:tc>
        <w:tc>
          <w:tcPr>
            <w:tcW w:w="3910" w:type="dxa"/>
            <w:tcBorders>
              <w:left w:val="single" w:color="000000" w:sz="4" w:space="0"/>
              <w:right w:val="single" w:color="000000" w:sz="4" w:space="0"/>
            </w:tcBorders>
            <w:vAlign w:val="top"/>
          </w:tcPr>
          <w:p w14:paraId="5CB12F65">
            <w:pPr>
              <w:spacing w:before="41" w:line="224" w:lineRule="auto"/>
              <w:ind w:left="932"/>
              <w:rPr>
                <w:rFonts w:ascii="Times New Roman" w:hAnsi="Times New Roman" w:eastAsia="Times New Roman" w:cs="Times New Roman"/>
                <w:sz w:val="23"/>
                <w:szCs w:val="23"/>
              </w:rPr>
            </w:pPr>
            <w:r>
              <w:rPr>
                <w:rFonts w:ascii="宋体" w:hAnsi="宋体" w:eastAsia="宋体" w:cs="宋体"/>
                <w:spacing w:val="7"/>
                <w:sz w:val="23"/>
                <w:szCs w:val="23"/>
              </w:rPr>
              <w:t>颗</w:t>
            </w:r>
            <w:r>
              <w:rPr>
                <w:rFonts w:ascii="宋体" w:hAnsi="宋体" w:eastAsia="宋体" w:cs="宋体"/>
                <w:spacing w:val="5"/>
                <w:sz w:val="23"/>
                <w:szCs w:val="23"/>
              </w:rPr>
              <w:t>粒物、</w:t>
            </w:r>
            <w:r>
              <w:rPr>
                <w:rFonts w:ascii="Times New Roman" w:hAnsi="Times New Roman" w:eastAsia="Times New Roman" w:cs="Times New Roman"/>
                <w:sz w:val="23"/>
                <w:szCs w:val="23"/>
              </w:rPr>
              <w:t>SO</w:t>
            </w:r>
            <w:r>
              <w:rPr>
                <w:rFonts w:ascii="Times New Roman" w:hAnsi="Times New Roman" w:eastAsia="Times New Roman" w:cs="Times New Roman"/>
                <w:spacing w:val="5"/>
                <w:position w:val="-1"/>
                <w:sz w:val="15"/>
                <w:szCs w:val="15"/>
              </w:rPr>
              <w:t xml:space="preserve">2 </w:t>
            </w:r>
            <w:r>
              <w:rPr>
                <w:rFonts w:ascii="宋体" w:hAnsi="宋体" w:eastAsia="宋体" w:cs="宋体"/>
                <w:spacing w:val="5"/>
                <w:sz w:val="23"/>
                <w:szCs w:val="23"/>
              </w:rPr>
              <w:t>、</w:t>
            </w:r>
            <w:r>
              <w:rPr>
                <w:rFonts w:ascii="Times New Roman" w:hAnsi="Times New Roman" w:eastAsia="Times New Roman" w:cs="Times New Roman"/>
                <w:sz w:val="23"/>
                <w:szCs w:val="23"/>
              </w:rPr>
              <w:t>NOx</w:t>
            </w:r>
          </w:p>
        </w:tc>
        <w:tc>
          <w:tcPr>
            <w:tcW w:w="1597" w:type="dxa"/>
            <w:tcBorders>
              <w:left w:val="single" w:color="000000" w:sz="4" w:space="0"/>
              <w:right w:val="single" w:color="000000" w:sz="4" w:space="0"/>
            </w:tcBorders>
            <w:vAlign w:val="top"/>
          </w:tcPr>
          <w:p w14:paraId="34F04D7A">
            <w:pPr>
              <w:spacing w:before="18" w:line="281" w:lineRule="exact"/>
              <w:ind w:left="358"/>
              <w:rPr>
                <w:rFonts w:ascii="宋体" w:hAnsi="宋体" w:eastAsia="宋体" w:cs="宋体"/>
                <w:sz w:val="20"/>
                <w:szCs w:val="20"/>
              </w:rPr>
            </w:pPr>
            <w:r>
              <w:rPr>
                <w:rFonts w:ascii="Times New Roman" w:hAnsi="Times New Roman" w:eastAsia="Times New Roman" w:cs="Times New Roman"/>
                <w:spacing w:val="13"/>
                <w:position w:val="1"/>
                <w:sz w:val="20"/>
                <w:szCs w:val="20"/>
              </w:rPr>
              <w:t>3#</w:t>
            </w:r>
            <w:r>
              <w:rPr>
                <w:rFonts w:ascii="宋体" w:hAnsi="宋体" w:eastAsia="宋体" w:cs="宋体"/>
                <w:spacing w:val="13"/>
                <w:position w:val="1"/>
                <w:sz w:val="20"/>
                <w:szCs w:val="20"/>
              </w:rPr>
              <w:t>排气筒</w:t>
            </w:r>
          </w:p>
        </w:tc>
        <w:tc>
          <w:tcPr>
            <w:tcW w:w="1114" w:type="dxa"/>
            <w:tcBorders>
              <w:left w:val="single" w:color="000000" w:sz="4" w:space="0"/>
              <w:right w:val="single" w:color="000000" w:sz="4" w:space="0"/>
            </w:tcBorders>
            <w:vAlign w:val="top"/>
          </w:tcPr>
          <w:p w14:paraId="7F1A434E">
            <w:pPr>
              <w:spacing w:before="55" w:line="228" w:lineRule="auto"/>
              <w:ind w:left="144"/>
              <w:rPr>
                <w:rFonts w:ascii="宋体" w:hAnsi="宋体" w:eastAsia="宋体" w:cs="宋体"/>
                <w:sz w:val="20"/>
                <w:szCs w:val="20"/>
              </w:rPr>
            </w:pPr>
            <w:r>
              <w:rPr>
                <w:rFonts w:ascii="宋体" w:hAnsi="宋体" w:eastAsia="宋体" w:cs="宋体"/>
                <w:spacing w:val="-4"/>
                <w:sz w:val="20"/>
                <w:szCs w:val="20"/>
              </w:rPr>
              <w:t>半</w:t>
            </w:r>
            <w:r>
              <w:rPr>
                <w:rFonts w:ascii="宋体" w:hAnsi="宋体" w:eastAsia="宋体" w:cs="宋体"/>
                <w:spacing w:val="-3"/>
                <w:sz w:val="20"/>
                <w:szCs w:val="20"/>
              </w:rPr>
              <w:t xml:space="preserve">年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次</w:t>
            </w:r>
          </w:p>
        </w:tc>
        <w:tc>
          <w:tcPr>
            <w:tcW w:w="1142" w:type="dxa"/>
            <w:tcBorders>
              <w:left w:val="single" w:color="000000" w:sz="4" w:space="0"/>
              <w:right w:val="nil"/>
            </w:tcBorders>
            <w:vAlign w:val="top"/>
          </w:tcPr>
          <w:p w14:paraId="400105BA">
            <w:pPr>
              <w:spacing w:before="56" w:line="229" w:lineRule="auto"/>
              <w:ind w:left="130"/>
              <w:rPr>
                <w:rFonts w:ascii="宋体" w:hAnsi="宋体" w:eastAsia="宋体" w:cs="宋体"/>
                <w:sz w:val="20"/>
                <w:szCs w:val="20"/>
              </w:rPr>
            </w:pPr>
            <w:r>
              <w:rPr>
                <w:rFonts w:ascii="宋体" w:hAnsi="宋体" w:eastAsia="宋体" w:cs="宋体"/>
                <w:spacing w:val="18"/>
                <w:sz w:val="20"/>
                <w:szCs w:val="20"/>
              </w:rPr>
              <w:t>委</w:t>
            </w:r>
            <w:r>
              <w:rPr>
                <w:rFonts w:ascii="宋体" w:hAnsi="宋体" w:eastAsia="宋体" w:cs="宋体"/>
                <w:spacing w:val="16"/>
                <w:sz w:val="20"/>
                <w:szCs w:val="20"/>
              </w:rPr>
              <w:t>托监测</w:t>
            </w:r>
          </w:p>
        </w:tc>
      </w:tr>
      <w:tr w14:paraId="4F74E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Merge w:val="continue"/>
            <w:tcBorders>
              <w:top w:val="nil"/>
              <w:left w:val="nil"/>
              <w:right w:val="single" w:color="000000" w:sz="4" w:space="0"/>
            </w:tcBorders>
            <w:vAlign w:val="top"/>
          </w:tcPr>
          <w:p w14:paraId="5384C887">
            <w:pPr>
              <w:rPr>
                <w:rFonts w:ascii="Arial"/>
                <w:sz w:val="21"/>
              </w:rPr>
            </w:pPr>
          </w:p>
        </w:tc>
        <w:tc>
          <w:tcPr>
            <w:tcW w:w="3910" w:type="dxa"/>
            <w:tcBorders>
              <w:left w:val="single" w:color="000000" w:sz="4" w:space="0"/>
              <w:right w:val="single" w:color="000000" w:sz="4" w:space="0"/>
            </w:tcBorders>
            <w:vAlign w:val="top"/>
          </w:tcPr>
          <w:p w14:paraId="45E3DD77">
            <w:pPr>
              <w:spacing w:before="92" w:line="186" w:lineRule="auto"/>
              <w:ind w:left="1348"/>
              <w:rPr>
                <w:rFonts w:ascii="Times New Roman" w:hAnsi="Times New Roman" w:eastAsia="Times New Roman" w:cs="Times New Roman"/>
                <w:sz w:val="20"/>
                <w:szCs w:val="20"/>
              </w:rPr>
            </w:pPr>
            <w:r>
              <w:rPr>
                <w:rFonts w:ascii="Times New Roman" w:hAnsi="Times New Roman" w:eastAsia="Times New Roman" w:cs="Times New Roman"/>
                <w:sz w:val="20"/>
                <w:szCs w:val="20"/>
              </w:rPr>
              <w:t>NMHC</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TSP</w:t>
            </w:r>
          </w:p>
        </w:tc>
        <w:tc>
          <w:tcPr>
            <w:tcW w:w="1597" w:type="dxa"/>
            <w:tcBorders>
              <w:left w:val="single" w:color="000000" w:sz="4" w:space="0"/>
              <w:right w:val="single" w:color="000000" w:sz="4" w:space="0"/>
            </w:tcBorders>
            <w:vAlign w:val="top"/>
          </w:tcPr>
          <w:p w14:paraId="6D3D0513">
            <w:pPr>
              <w:spacing w:before="56" w:line="228" w:lineRule="auto"/>
              <w:ind w:left="360"/>
              <w:rPr>
                <w:rFonts w:ascii="宋体" w:hAnsi="宋体" w:eastAsia="宋体" w:cs="宋体"/>
                <w:sz w:val="20"/>
                <w:szCs w:val="20"/>
              </w:rPr>
            </w:pPr>
            <w:r>
              <w:rPr>
                <w:rFonts w:ascii="宋体" w:hAnsi="宋体" w:eastAsia="宋体" w:cs="宋体"/>
                <w:spacing w:val="18"/>
                <w:sz w:val="20"/>
                <w:szCs w:val="20"/>
              </w:rPr>
              <w:t>厂</w:t>
            </w:r>
            <w:r>
              <w:rPr>
                <w:rFonts w:ascii="宋体" w:hAnsi="宋体" w:eastAsia="宋体" w:cs="宋体"/>
                <w:spacing w:val="15"/>
                <w:sz w:val="20"/>
                <w:szCs w:val="20"/>
              </w:rPr>
              <w:t>界四周</w:t>
            </w:r>
          </w:p>
        </w:tc>
        <w:tc>
          <w:tcPr>
            <w:tcW w:w="1114" w:type="dxa"/>
            <w:tcBorders>
              <w:left w:val="single" w:color="000000" w:sz="4" w:space="0"/>
              <w:right w:val="single" w:color="000000" w:sz="4" w:space="0"/>
            </w:tcBorders>
            <w:vAlign w:val="top"/>
          </w:tcPr>
          <w:p w14:paraId="73A85AFD">
            <w:pPr>
              <w:spacing w:before="56" w:line="228" w:lineRule="auto"/>
              <w:ind w:left="141"/>
              <w:rPr>
                <w:rFonts w:ascii="宋体" w:hAnsi="宋体" w:eastAsia="宋体" w:cs="宋体"/>
                <w:sz w:val="20"/>
                <w:szCs w:val="20"/>
              </w:rPr>
            </w:pPr>
            <w:r>
              <w:rPr>
                <w:rFonts w:ascii="宋体" w:hAnsi="宋体" w:eastAsia="宋体" w:cs="宋体"/>
                <w:spacing w:val="-4"/>
                <w:sz w:val="20"/>
                <w:szCs w:val="20"/>
              </w:rPr>
              <w:t>每年</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次</w:t>
            </w:r>
          </w:p>
        </w:tc>
        <w:tc>
          <w:tcPr>
            <w:tcW w:w="1142" w:type="dxa"/>
            <w:tcBorders>
              <w:left w:val="single" w:color="000000" w:sz="4" w:space="0"/>
              <w:right w:val="nil"/>
            </w:tcBorders>
            <w:vAlign w:val="top"/>
          </w:tcPr>
          <w:p w14:paraId="6D3CD53A">
            <w:pPr>
              <w:spacing w:before="56" w:line="229" w:lineRule="auto"/>
              <w:ind w:left="130"/>
              <w:rPr>
                <w:rFonts w:ascii="宋体" w:hAnsi="宋体" w:eastAsia="宋体" w:cs="宋体"/>
                <w:sz w:val="20"/>
                <w:szCs w:val="20"/>
              </w:rPr>
            </w:pPr>
            <w:r>
              <w:rPr>
                <w:rFonts w:ascii="宋体" w:hAnsi="宋体" w:eastAsia="宋体" w:cs="宋体"/>
                <w:spacing w:val="18"/>
                <w:sz w:val="20"/>
                <w:szCs w:val="20"/>
              </w:rPr>
              <w:t>委</w:t>
            </w:r>
            <w:r>
              <w:rPr>
                <w:rFonts w:ascii="宋体" w:hAnsi="宋体" w:eastAsia="宋体" w:cs="宋体"/>
                <w:spacing w:val="16"/>
                <w:sz w:val="20"/>
                <w:szCs w:val="20"/>
              </w:rPr>
              <w:t>托监测</w:t>
            </w:r>
          </w:p>
        </w:tc>
      </w:tr>
      <w:tr w14:paraId="2F96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tcBorders>
              <w:left w:val="nil"/>
              <w:right w:val="single" w:color="000000" w:sz="4" w:space="0"/>
            </w:tcBorders>
            <w:vAlign w:val="top"/>
          </w:tcPr>
          <w:p w14:paraId="7AC65575">
            <w:pPr>
              <w:spacing w:before="56" w:line="228" w:lineRule="auto"/>
              <w:ind w:left="163"/>
              <w:rPr>
                <w:rFonts w:ascii="宋体" w:hAnsi="宋体" w:eastAsia="宋体" w:cs="宋体"/>
                <w:sz w:val="20"/>
                <w:szCs w:val="20"/>
              </w:rPr>
            </w:pPr>
            <w:r>
              <w:rPr>
                <w:rFonts w:ascii="宋体" w:hAnsi="宋体" w:eastAsia="宋体" w:cs="宋体"/>
                <w:spacing w:val="11"/>
                <w:sz w:val="20"/>
                <w:szCs w:val="20"/>
              </w:rPr>
              <w:t>废水</w:t>
            </w:r>
          </w:p>
        </w:tc>
        <w:tc>
          <w:tcPr>
            <w:tcW w:w="3910" w:type="dxa"/>
            <w:tcBorders>
              <w:left w:val="single" w:color="000000" w:sz="4" w:space="0"/>
              <w:right w:val="single" w:color="000000" w:sz="4" w:space="0"/>
            </w:tcBorders>
            <w:vAlign w:val="top"/>
          </w:tcPr>
          <w:p w14:paraId="3920FA00">
            <w:pPr>
              <w:spacing w:before="56" w:line="228" w:lineRule="auto"/>
              <w:ind w:left="76"/>
              <w:rPr>
                <w:rFonts w:ascii="Times New Roman" w:hAnsi="Times New Roman" w:eastAsia="Times New Roman" w:cs="Times New Roman"/>
                <w:sz w:val="20"/>
                <w:szCs w:val="20"/>
              </w:rPr>
            </w:pPr>
            <w:r>
              <w:rPr>
                <w:rFonts w:ascii="宋体" w:hAnsi="宋体" w:eastAsia="宋体" w:cs="宋体"/>
                <w:spacing w:val="24"/>
                <w:sz w:val="20"/>
                <w:szCs w:val="20"/>
              </w:rPr>
              <w:t>动</w:t>
            </w:r>
            <w:r>
              <w:rPr>
                <w:rFonts w:ascii="宋体" w:hAnsi="宋体" w:eastAsia="宋体" w:cs="宋体"/>
                <w:spacing w:val="21"/>
                <w:sz w:val="20"/>
                <w:szCs w:val="20"/>
              </w:rPr>
              <w:t>植物油、</w:t>
            </w:r>
            <w:r>
              <w:rPr>
                <w:rFonts w:ascii="Times New Roman" w:hAnsi="Times New Roman" w:eastAsia="Times New Roman" w:cs="Times New Roman"/>
                <w:sz w:val="20"/>
                <w:szCs w:val="20"/>
              </w:rPr>
              <w:t>CODcr</w:t>
            </w:r>
            <w:r>
              <w:rPr>
                <w:rFonts w:ascii="Times New Roman" w:hAnsi="Times New Roman" w:eastAsia="Times New Roman" w:cs="Times New Roman"/>
                <w:spacing w:val="21"/>
                <w:sz w:val="20"/>
                <w:szCs w:val="20"/>
              </w:rPr>
              <w:t xml:space="preserve"> </w:t>
            </w:r>
            <w:r>
              <w:rPr>
                <w:rFonts w:ascii="宋体" w:hAnsi="宋体" w:eastAsia="宋体" w:cs="宋体"/>
                <w:spacing w:val="21"/>
                <w:sz w:val="20"/>
                <w:szCs w:val="20"/>
              </w:rPr>
              <w:t>、石油类、氨氮、</w:t>
            </w:r>
            <w:r>
              <w:rPr>
                <w:rFonts w:ascii="Times New Roman" w:hAnsi="Times New Roman" w:eastAsia="Times New Roman" w:cs="Times New Roman"/>
                <w:sz w:val="20"/>
                <w:szCs w:val="20"/>
              </w:rPr>
              <w:t>SS</w:t>
            </w:r>
          </w:p>
        </w:tc>
        <w:tc>
          <w:tcPr>
            <w:tcW w:w="1597" w:type="dxa"/>
            <w:tcBorders>
              <w:left w:val="single" w:color="000000" w:sz="4" w:space="0"/>
              <w:right w:val="single" w:color="000000" w:sz="4" w:space="0"/>
            </w:tcBorders>
            <w:vAlign w:val="top"/>
          </w:tcPr>
          <w:p w14:paraId="04A1D6AB">
            <w:pPr>
              <w:spacing w:before="57" w:line="228" w:lineRule="auto"/>
              <w:ind w:left="250"/>
              <w:rPr>
                <w:rFonts w:ascii="宋体" w:hAnsi="宋体" w:eastAsia="宋体" w:cs="宋体"/>
                <w:sz w:val="20"/>
                <w:szCs w:val="20"/>
              </w:rPr>
            </w:pPr>
            <w:r>
              <w:rPr>
                <w:rFonts w:ascii="宋体" w:hAnsi="宋体" w:eastAsia="宋体" w:cs="宋体"/>
                <w:spacing w:val="18"/>
                <w:sz w:val="20"/>
                <w:szCs w:val="20"/>
              </w:rPr>
              <w:t>厂</w:t>
            </w:r>
            <w:r>
              <w:rPr>
                <w:rFonts w:ascii="宋体" w:hAnsi="宋体" w:eastAsia="宋体" w:cs="宋体"/>
                <w:spacing w:val="17"/>
                <w:sz w:val="20"/>
                <w:szCs w:val="20"/>
              </w:rPr>
              <w:t>区总排口</w:t>
            </w:r>
          </w:p>
        </w:tc>
        <w:tc>
          <w:tcPr>
            <w:tcW w:w="1114" w:type="dxa"/>
            <w:tcBorders>
              <w:left w:val="single" w:color="000000" w:sz="4" w:space="0"/>
              <w:right w:val="single" w:color="000000" w:sz="4" w:space="0"/>
            </w:tcBorders>
            <w:vAlign w:val="top"/>
          </w:tcPr>
          <w:p w14:paraId="4994E9DD">
            <w:pPr>
              <w:spacing w:before="56" w:line="228" w:lineRule="auto"/>
              <w:ind w:left="35"/>
              <w:rPr>
                <w:rFonts w:ascii="宋体" w:hAnsi="宋体" w:eastAsia="宋体" w:cs="宋体"/>
                <w:sz w:val="20"/>
                <w:szCs w:val="20"/>
              </w:rPr>
            </w:pPr>
            <w:r>
              <w:rPr>
                <w:rFonts w:ascii="宋体" w:hAnsi="宋体" w:eastAsia="宋体" w:cs="宋体"/>
                <w:spacing w:val="-1"/>
                <w:sz w:val="20"/>
                <w:szCs w:val="20"/>
              </w:rPr>
              <w:t xml:space="preserve">每季度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次</w:t>
            </w:r>
          </w:p>
        </w:tc>
        <w:tc>
          <w:tcPr>
            <w:tcW w:w="1142" w:type="dxa"/>
            <w:tcBorders>
              <w:left w:val="single" w:color="000000" w:sz="4" w:space="0"/>
              <w:right w:val="nil"/>
            </w:tcBorders>
            <w:vAlign w:val="top"/>
          </w:tcPr>
          <w:p w14:paraId="76CF97E3">
            <w:pPr>
              <w:spacing w:before="56" w:line="229" w:lineRule="auto"/>
              <w:ind w:left="130"/>
              <w:rPr>
                <w:rFonts w:ascii="宋体" w:hAnsi="宋体" w:eastAsia="宋体" w:cs="宋体"/>
                <w:sz w:val="20"/>
                <w:szCs w:val="20"/>
              </w:rPr>
            </w:pPr>
            <w:r>
              <w:rPr>
                <w:rFonts w:ascii="宋体" w:hAnsi="宋体" w:eastAsia="宋体" w:cs="宋体"/>
                <w:spacing w:val="18"/>
                <w:sz w:val="20"/>
                <w:szCs w:val="20"/>
              </w:rPr>
              <w:t>委</w:t>
            </w:r>
            <w:r>
              <w:rPr>
                <w:rFonts w:ascii="宋体" w:hAnsi="宋体" w:eastAsia="宋体" w:cs="宋体"/>
                <w:spacing w:val="16"/>
                <w:sz w:val="20"/>
                <w:szCs w:val="20"/>
              </w:rPr>
              <w:t>托监测</w:t>
            </w:r>
          </w:p>
        </w:tc>
      </w:tr>
      <w:tr w14:paraId="3C2DC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tcBorders>
              <w:left w:val="nil"/>
              <w:right w:val="single" w:color="000000" w:sz="4" w:space="0"/>
            </w:tcBorders>
            <w:vAlign w:val="top"/>
          </w:tcPr>
          <w:p w14:paraId="70F5B936">
            <w:pPr>
              <w:spacing w:before="57" w:line="228" w:lineRule="auto"/>
              <w:ind w:left="173"/>
              <w:rPr>
                <w:rFonts w:ascii="宋体" w:hAnsi="宋体" w:eastAsia="宋体" w:cs="宋体"/>
                <w:sz w:val="20"/>
                <w:szCs w:val="20"/>
              </w:rPr>
            </w:pPr>
            <w:r>
              <w:rPr>
                <w:rFonts w:ascii="宋体" w:hAnsi="宋体" w:eastAsia="宋体" w:cs="宋体"/>
                <w:spacing w:val="6"/>
                <w:sz w:val="20"/>
                <w:szCs w:val="20"/>
              </w:rPr>
              <w:t>噪</w:t>
            </w:r>
            <w:r>
              <w:rPr>
                <w:rFonts w:ascii="宋体" w:hAnsi="宋体" w:eastAsia="宋体" w:cs="宋体"/>
                <w:spacing w:val="5"/>
                <w:sz w:val="20"/>
                <w:szCs w:val="20"/>
              </w:rPr>
              <w:t>声</w:t>
            </w:r>
          </w:p>
        </w:tc>
        <w:tc>
          <w:tcPr>
            <w:tcW w:w="3910" w:type="dxa"/>
            <w:tcBorders>
              <w:left w:val="single" w:color="000000" w:sz="4" w:space="0"/>
              <w:right w:val="single" w:color="000000" w:sz="4" w:space="0"/>
            </w:tcBorders>
            <w:vAlign w:val="top"/>
          </w:tcPr>
          <w:p w14:paraId="56A84626">
            <w:pPr>
              <w:spacing w:before="57" w:line="228" w:lineRule="auto"/>
              <w:ind w:left="1746"/>
              <w:rPr>
                <w:rFonts w:ascii="宋体" w:hAnsi="宋体" w:eastAsia="宋体" w:cs="宋体"/>
                <w:sz w:val="20"/>
                <w:szCs w:val="20"/>
              </w:rPr>
            </w:pPr>
            <w:r>
              <w:rPr>
                <w:rFonts w:ascii="宋体" w:hAnsi="宋体" w:eastAsia="宋体" w:cs="宋体"/>
                <w:spacing w:val="6"/>
                <w:sz w:val="20"/>
                <w:szCs w:val="20"/>
              </w:rPr>
              <w:t>噪</w:t>
            </w:r>
            <w:r>
              <w:rPr>
                <w:rFonts w:ascii="宋体" w:hAnsi="宋体" w:eastAsia="宋体" w:cs="宋体"/>
                <w:spacing w:val="5"/>
                <w:sz w:val="20"/>
                <w:szCs w:val="20"/>
              </w:rPr>
              <w:t>声</w:t>
            </w:r>
          </w:p>
        </w:tc>
        <w:tc>
          <w:tcPr>
            <w:tcW w:w="1597" w:type="dxa"/>
            <w:tcBorders>
              <w:left w:val="single" w:color="000000" w:sz="4" w:space="0"/>
              <w:right w:val="single" w:color="000000" w:sz="4" w:space="0"/>
            </w:tcBorders>
            <w:vAlign w:val="top"/>
          </w:tcPr>
          <w:p w14:paraId="534FDD87">
            <w:pPr>
              <w:spacing w:before="57" w:line="228" w:lineRule="auto"/>
              <w:ind w:left="581"/>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9"/>
                <w:sz w:val="20"/>
                <w:szCs w:val="20"/>
              </w:rPr>
              <w:t>界</w:t>
            </w:r>
          </w:p>
        </w:tc>
        <w:tc>
          <w:tcPr>
            <w:tcW w:w="1114" w:type="dxa"/>
            <w:tcBorders>
              <w:left w:val="single" w:color="000000" w:sz="4" w:space="0"/>
              <w:right w:val="single" w:color="000000" w:sz="4" w:space="0"/>
            </w:tcBorders>
            <w:vAlign w:val="top"/>
          </w:tcPr>
          <w:p w14:paraId="6FA66C01">
            <w:pPr>
              <w:spacing w:before="56" w:line="228" w:lineRule="auto"/>
              <w:ind w:left="35"/>
              <w:rPr>
                <w:rFonts w:ascii="宋体" w:hAnsi="宋体" w:eastAsia="宋体" w:cs="宋体"/>
                <w:sz w:val="20"/>
                <w:szCs w:val="20"/>
              </w:rPr>
            </w:pPr>
            <w:r>
              <w:rPr>
                <w:rFonts w:ascii="宋体" w:hAnsi="宋体" w:eastAsia="宋体" w:cs="宋体"/>
                <w:spacing w:val="-1"/>
                <w:sz w:val="20"/>
                <w:szCs w:val="20"/>
              </w:rPr>
              <w:t xml:space="preserve">每季度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次</w:t>
            </w:r>
          </w:p>
        </w:tc>
        <w:tc>
          <w:tcPr>
            <w:tcW w:w="1142" w:type="dxa"/>
            <w:tcBorders>
              <w:left w:val="single" w:color="000000" w:sz="4" w:space="0"/>
              <w:right w:val="nil"/>
            </w:tcBorders>
            <w:vAlign w:val="top"/>
          </w:tcPr>
          <w:p w14:paraId="107E6F9A">
            <w:pPr>
              <w:spacing w:before="57" w:line="229" w:lineRule="auto"/>
              <w:ind w:left="130"/>
              <w:rPr>
                <w:rFonts w:ascii="宋体" w:hAnsi="宋体" w:eastAsia="宋体" w:cs="宋体"/>
                <w:sz w:val="20"/>
                <w:szCs w:val="20"/>
              </w:rPr>
            </w:pPr>
            <w:r>
              <w:rPr>
                <w:rFonts w:ascii="宋体" w:hAnsi="宋体" w:eastAsia="宋体" w:cs="宋体"/>
                <w:spacing w:val="18"/>
                <w:sz w:val="20"/>
                <w:szCs w:val="20"/>
              </w:rPr>
              <w:t>委</w:t>
            </w:r>
            <w:r>
              <w:rPr>
                <w:rFonts w:ascii="宋体" w:hAnsi="宋体" w:eastAsia="宋体" w:cs="宋体"/>
                <w:spacing w:val="16"/>
                <w:sz w:val="20"/>
                <w:szCs w:val="20"/>
              </w:rPr>
              <w:t>托监测</w:t>
            </w:r>
          </w:p>
        </w:tc>
      </w:tr>
      <w:tr w14:paraId="43892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758" w:type="dxa"/>
            <w:tcBorders>
              <w:left w:val="nil"/>
              <w:right w:val="single" w:color="000000" w:sz="4" w:space="0"/>
            </w:tcBorders>
            <w:vAlign w:val="top"/>
          </w:tcPr>
          <w:p w14:paraId="347FD0D3">
            <w:pPr>
              <w:spacing w:before="215" w:line="228" w:lineRule="auto"/>
              <w:ind w:left="53"/>
              <w:rPr>
                <w:rFonts w:ascii="宋体" w:hAnsi="宋体" w:eastAsia="宋体" w:cs="宋体"/>
                <w:sz w:val="20"/>
                <w:szCs w:val="20"/>
              </w:rPr>
            </w:pPr>
            <w:r>
              <w:rPr>
                <w:rFonts w:ascii="宋体" w:hAnsi="宋体" w:eastAsia="宋体" w:cs="宋体"/>
                <w:spacing w:val="15"/>
                <w:sz w:val="20"/>
                <w:szCs w:val="20"/>
              </w:rPr>
              <w:t>地下</w:t>
            </w:r>
            <w:r>
              <w:rPr>
                <w:rFonts w:ascii="宋体" w:hAnsi="宋体" w:eastAsia="宋体" w:cs="宋体"/>
                <w:spacing w:val="14"/>
                <w:sz w:val="20"/>
                <w:szCs w:val="20"/>
              </w:rPr>
              <w:t>水</w:t>
            </w:r>
          </w:p>
        </w:tc>
        <w:tc>
          <w:tcPr>
            <w:tcW w:w="3910" w:type="dxa"/>
            <w:tcBorders>
              <w:left w:val="single" w:color="000000" w:sz="4" w:space="0"/>
              <w:right w:val="single" w:color="000000" w:sz="4" w:space="0"/>
            </w:tcBorders>
            <w:vAlign w:val="top"/>
          </w:tcPr>
          <w:p w14:paraId="49118EE4">
            <w:pPr>
              <w:spacing w:before="59" w:line="258" w:lineRule="auto"/>
              <w:ind w:left="1404" w:right="26" w:hanging="1383"/>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2"/>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CODcr</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 xml:space="preserve">5 </w:t>
            </w:r>
            <w:r>
              <w:rPr>
                <w:rFonts w:ascii="宋体" w:hAnsi="宋体" w:eastAsia="宋体" w:cs="宋体"/>
                <w:spacing w:val="9"/>
                <w:sz w:val="20"/>
                <w:szCs w:val="20"/>
              </w:rPr>
              <w:t>、氨氮、</w:t>
            </w:r>
            <w:r>
              <w:rPr>
                <w:rFonts w:ascii="Times New Roman" w:hAnsi="Times New Roman" w:eastAsia="Times New Roman" w:cs="Times New Roman"/>
                <w:sz w:val="20"/>
                <w:szCs w:val="20"/>
              </w:rPr>
              <w:t>SS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、总磷和</w:t>
            </w:r>
            <w:r>
              <w:rPr>
                <w:rFonts w:ascii="宋体" w:hAnsi="宋体" w:eastAsia="宋体" w:cs="宋体"/>
                <w:sz w:val="20"/>
                <w:szCs w:val="20"/>
              </w:rPr>
              <w:t xml:space="preserve"> </w:t>
            </w:r>
            <w:r>
              <w:rPr>
                <w:rFonts w:ascii="宋体" w:hAnsi="宋体" w:eastAsia="宋体" w:cs="宋体"/>
                <w:spacing w:val="19"/>
                <w:sz w:val="20"/>
                <w:szCs w:val="20"/>
              </w:rPr>
              <w:t>粪</w:t>
            </w:r>
            <w:r>
              <w:rPr>
                <w:rFonts w:ascii="宋体" w:hAnsi="宋体" w:eastAsia="宋体" w:cs="宋体"/>
                <w:spacing w:val="17"/>
                <w:sz w:val="20"/>
                <w:szCs w:val="20"/>
              </w:rPr>
              <w:t>大肠菌群</w:t>
            </w:r>
          </w:p>
        </w:tc>
        <w:tc>
          <w:tcPr>
            <w:tcW w:w="1597" w:type="dxa"/>
            <w:tcBorders>
              <w:left w:val="single" w:color="000000" w:sz="4" w:space="0"/>
              <w:right w:val="single" w:color="000000" w:sz="4" w:space="0"/>
            </w:tcBorders>
            <w:vAlign w:val="top"/>
          </w:tcPr>
          <w:p w14:paraId="3EDC1FBF">
            <w:pPr>
              <w:spacing w:before="60" w:line="258" w:lineRule="auto"/>
              <w:ind w:left="254" w:right="250" w:firstLine="24"/>
              <w:rPr>
                <w:rFonts w:ascii="宋体" w:hAnsi="宋体" w:eastAsia="宋体" w:cs="宋体"/>
                <w:sz w:val="20"/>
                <w:szCs w:val="20"/>
              </w:rPr>
            </w:pPr>
            <w:r>
              <w:rPr>
                <w:rFonts w:ascii="宋体" w:hAnsi="宋体" w:eastAsia="宋体" w:cs="宋体"/>
                <w:spacing w:val="12"/>
                <w:sz w:val="20"/>
                <w:szCs w:val="20"/>
              </w:rPr>
              <w:t>厂</w:t>
            </w:r>
            <w:r>
              <w:rPr>
                <w:rFonts w:ascii="宋体" w:hAnsi="宋体" w:eastAsia="宋体" w:cs="宋体"/>
                <w:spacing w:val="10"/>
                <w:sz w:val="20"/>
                <w:szCs w:val="20"/>
              </w:rPr>
              <w:t>区上游、</w:t>
            </w:r>
            <w:r>
              <w:rPr>
                <w:rFonts w:ascii="宋体" w:hAnsi="宋体" w:eastAsia="宋体" w:cs="宋体"/>
                <w:sz w:val="20"/>
                <w:szCs w:val="20"/>
              </w:rPr>
              <w:t xml:space="preserve"> </w:t>
            </w:r>
            <w:r>
              <w:rPr>
                <w:rFonts w:ascii="宋体" w:hAnsi="宋体" w:eastAsia="宋体" w:cs="宋体"/>
                <w:spacing w:val="18"/>
                <w:sz w:val="20"/>
                <w:szCs w:val="20"/>
              </w:rPr>
              <w:t>下</w:t>
            </w:r>
            <w:r>
              <w:rPr>
                <w:rFonts w:ascii="宋体" w:hAnsi="宋体" w:eastAsia="宋体" w:cs="宋体"/>
                <w:spacing w:val="16"/>
                <w:sz w:val="20"/>
                <w:szCs w:val="20"/>
              </w:rPr>
              <w:t>游监测井</w:t>
            </w:r>
          </w:p>
        </w:tc>
        <w:tc>
          <w:tcPr>
            <w:tcW w:w="1114" w:type="dxa"/>
            <w:tcBorders>
              <w:left w:val="single" w:color="000000" w:sz="4" w:space="0"/>
              <w:right w:val="single" w:color="000000" w:sz="4" w:space="0"/>
            </w:tcBorders>
            <w:vAlign w:val="top"/>
          </w:tcPr>
          <w:p w14:paraId="422B15B1">
            <w:pPr>
              <w:spacing w:before="215" w:line="228" w:lineRule="auto"/>
              <w:ind w:left="141"/>
              <w:rPr>
                <w:rFonts w:ascii="宋体" w:hAnsi="宋体" w:eastAsia="宋体" w:cs="宋体"/>
                <w:sz w:val="20"/>
                <w:szCs w:val="20"/>
              </w:rPr>
            </w:pPr>
            <w:r>
              <w:rPr>
                <w:rFonts w:ascii="宋体" w:hAnsi="宋体" w:eastAsia="宋体" w:cs="宋体"/>
                <w:spacing w:val="-4"/>
                <w:sz w:val="20"/>
                <w:szCs w:val="20"/>
              </w:rPr>
              <w:t>每年</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次</w:t>
            </w:r>
          </w:p>
        </w:tc>
        <w:tc>
          <w:tcPr>
            <w:tcW w:w="1142" w:type="dxa"/>
            <w:tcBorders>
              <w:left w:val="single" w:color="000000" w:sz="4" w:space="0"/>
              <w:right w:val="nil"/>
            </w:tcBorders>
            <w:vAlign w:val="top"/>
          </w:tcPr>
          <w:p w14:paraId="23CE6833">
            <w:pPr>
              <w:spacing w:before="216" w:line="229" w:lineRule="auto"/>
              <w:ind w:left="130"/>
              <w:rPr>
                <w:rFonts w:ascii="宋体" w:hAnsi="宋体" w:eastAsia="宋体" w:cs="宋体"/>
                <w:sz w:val="20"/>
                <w:szCs w:val="20"/>
              </w:rPr>
            </w:pPr>
            <w:r>
              <w:rPr>
                <w:rFonts w:ascii="宋体" w:hAnsi="宋体" w:eastAsia="宋体" w:cs="宋体"/>
                <w:spacing w:val="18"/>
                <w:sz w:val="20"/>
                <w:szCs w:val="20"/>
              </w:rPr>
              <w:t>委</w:t>
            </w:r>
            <w:r>
              <w:rPr>
                <w:rFonts w:ascii="宋体" w:hAnsi="宋体" w:eastAsia="宋体" w:cs="宋体"/>
                <w:spacing w:val="16"/>
                <w:sz w:val="20"/>
                <w:szCs w:val="20"/>
              </w:rPr>
              <w:t>托监测</w:t>
            </w:r>
          </w:p>
        </w:tc>
      </w:tr>
    </w:tbl>
    <w:p w14:paraId="02237E83">
      <w:pPr>
        <w:spacing w:before="266" w:line="225" w:lineRule="auto"/>
        <w:ind w:left="117"/>
        <w:outlineLvl w:val="1"/>
        <w:rPr>
          <w:rFonts w:ascii="宋体" w:hAnsi="宋体" w:eastAsia="宋体" w:cs="宋体"/>
          <w:sz w:val="31"/>
          <w:szCs w:val="31"/>
        </w:rPr>
      </w:pPr>
      <w:bookmarkStart w:id="45" w:name="_bookmark46"/>
      <w:bookmarkEnd w:id="45"/>
      <w:r>
        <w:rPr>
          <w:rFonts w:ascii="Times New Roman" w:hAnsi="Times New Roman" w:eastAsia="Times New Roman" w:cs="Times New Roman"/>
          <w:b/>
          <w:bCs/>
          <w:spacing w:val="22"/>
          <w:sz w:val="31"/>
          <w:szCs w:val="31"/>
        </w:rPr>
        <w:t>9</w:t>
      </w:r>
      <w:r>
        <w:rPr>
          <w:rFonts w:ascii="Times New Roman" w:hAnsi="Times New Roman" w:eastAsia="Times New Roman" w:cs="Times New Roman"/>
          <w:b/>
          <w:bCs/>
          <w:spacing w:val="14"/>
          <w:sz w:val="31"/>
          <w:szCs w:val="31"/>
        </w:rPr>
        <w:t>.3</w:t>
      </w:r>
      <w:r>
        <w:rPr>
          <w:rFonts w:ascii="Times New Roman" w:hAnsi="Times New Roman" w:eastAsia="Times New Roman" w:cs="Times New Roman"/>
          <w:spacing w:val="14"/>
          <w:sz w:val="31"/>
          <w:szCs w:val="31"/>
        </w:rPr>
        <w:t xml:space="preserve">  </w:t>
      </w:r>
      <w:r>
        <w:rPr>
          <w:rFonts w:ascii="宋体" w:hAnsi="宋体" w:eastAsia="宋体" w:cs="宋体"/>
          <w:spacing w:val="14"/>
          <w:sz w:val="31"/>
          <w:szCs w:val="31"/>
          <w14:textOutline w14:w="5793" w14:cap="sq" w14:cmpd="sng">
            <w14:solidFill>
              <w14:srgbClr w14:val="000000"/>
            </w14:solidFill>
            <w14:prstDash w14:val="solid"/>
            <w14:bevel/>
          </w14:textOutline>
        </w:rPr>
        <w:t>环境保护验收</w:t>
      </w:r>
    </w:p>
    <w:p w14:paraId="5D136D61">
      <w:pPr>
        <w:spacing w:line="251" w:lineRule="auto"/>
        <w:rPr>
          <w:rFonts w:ascii="Arial"/>
          <w:sz w:val="21"/>
        </w:rPr>
      </w:pPr>
    </w:p>
    <w:p w14:paraId="153D9246">
      <w:pPr>
        <w:spacing w:before="74" w:line="389" w:lineRule="auto"/>
        <w:ind w:left="117" w:right="27" w:firstLine="483"/>
        <w:rPr>
          <w:rFonts w:ascii="宋体" w:hAnsi="宋体" w:eastAsia="宋体" w:cs="宋体"/>
          <w:sz w:val="23"/>
          <w:szCs w:val="23"/>
        </w:rPr>
      </w:pPr>
      <w:r>
        <w:rPr>
          <w:rFonts w:ascii="宋体" w:hAnsi="宋体" w:eastAsia="宋体" w:cs="宋体"/>
          <w:spacing w:val="4"/>
          <w:sz w:val="23"/>
          <w:szCs w:val="23"/>
        </w:rPr>
        <w:t>项目</w:t>
      </w:r>
      <w:r>
        <w:rPr>
          <w:rFonts w:ascii="宋体" w:hAnsi="宋体" w:eastAsia="宋体" w:cs="宋体"/>
          <w:spacing w:val="3"/>
          <w:sz w:val="23"/>
          <w:szCs w:val="23"/>
        </w:rPr>
        <w:t>中</w:t>
      </w:r>
      <w:r>
        <w:rPr>
          <w:rFonts w:ascii="宋体" w:hAnsi="宋体" w:eastAsia="宋体" w:cs="宋体"/>
          <w:spacing w:val="2"/>
          <w:sz w:val="23"/>
          <w:szCs w:val="23"/>
        </w:rPr>
        <w:t>的污染防治措施必须与主体工程同时设计、同时施工、同时投产使用。</w:t>
      </w:r>
      <w:r>
        <w:rPr>
          <w:rFonts w:ascii="宋体" w:hAnsi="宋体" w:eastAsia="宋体" w:cs="宋体"/>
          <w:sz w:val="23"/>
          <w:szCs w:val="23"/>
        </w:rPr>
        <w:t xml:space="preserve"> </w:t>
      </w:r>
      <w:r>
        <w:rPr>
          <w:rFonts w:ascii="宋体" w:hAnsi="宋体" w:eastAsia="宋体" w:cs="宋体"/>
          <w:spacing w:val="14"/>
          <w:sz w:val="23"/>
          <w:szCs w:val="23"/>
        </w:rPr>
        <w:t>防治污染的设施必须经原审批环境影响报告书的环境保护行政主管部门验收合</w:t>
      </w:r>
      <w:r>
        <w:rPr>
          <w:rFonts w:ascii="宋体" w:hAnsi="宋体" w:eastAsia="宋体" w:cs="宋体"/>
          <w:sz w:val="23"/>
          <w:szCs w:val="23"/>
        </w:rPr>
        <w:t xml:space="preserve"> </w:t>
      </w:r>
      <w:r>
        <w:rPr>
          <w:rFonts w:ascii="宋体" w:hAnsi="宋体" w:eastAsia="宋体" w:cs="宋体"/>
          <w:spacing w:val="9"/>
          <w:sz w:val="23"/>
          <w:szCs w:val="23"/>
        </w:rPr>
        <w:t>格</w:t>
      </w:r>
      <w:r>
        <w:rPr>
          <w:rFonts w:ascii="宋体" w:hAnsi="宋体" w:eastAsia="宋体" w:cs="宋体"/>
          <w:spacing w:val="7"/>
          <w:sz w:val="23"/>
          <w:szCs w:val="23"/>
        </w:rPr>
        <w:t>后，项目方可投入生产和使用。环境保护验收是环境影响评价制度的延伸。项</w:t>
      </w:r>
      <w:r>
        <w:rPr>
          <w:rFonts w:ascii="宋体" w:hAnsi="宋体" w:eastAsia="宋体" w:cs="宋体"/>
          <w:sz w:val="23"/>
          <w:szCs w:val="23"/>
        </w:rPr>
        <w:t xml:space="preserve"> </w:t>
      </w:r>
      <w:r>
        <w:rPr>
          <w:rFonts w:ascii="宋体" w:hAnsi="宋体" w:eastAsia="宋体" w:cs="宋体"/>
          <w:spacing w:val="4"/>
          <w:sz w:val="23"/>
          <w:szCs w:val="23"/>
        </w:rPr>
        <w:t xml:space="preserve">目环境保护验收内容详见表 </w:t>
      </w:r>
      <w:r>
        <w:rPr>
          <w:rFonts w:ascii="Times New Roman" w:hAnsi="Times New Roman" w:eastAsia="Times New Roman" w:cs="Times New Roman"/>
          <w:spacing w:val="4"/>
          <w:sz w:val="23"/>
          <w:szCs w:val="23"/>
        </w:rPr>
        <w:t>9-3</w:t>
      </w:r>
      <w:r>
        <w:rPr>
          <w:rFonts w:ascii="宋体" w:hAnsi="宋体" w:eastAsia="宋体" w:cs="宋体"/>
          <w:spacing w:val="4"/>
          <w:sz w:val="23"/>
          <w:szCs w:val="23"/>
        </w:rPr>
        <w:t>。</w:t>
      </w:r>
    </w:p>
    <w:p w14:paraId="43E3AD4A">
      <w:pPr>
        <w:spacing w:before="137" w:line="227" w:lineRule="auto"/>
        <w:ind w:left="203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9</w:t>
      </w:r>
      <w:r>
        <w:rPr>
          <w:rFonts w:ascii="Times New Roman" w:hAnsi="Times New Roman" w:eastAsia="Times New Roman" w:cs="Times New Roman"/>
          <w:b/>
          <w:bCs/>
          <w:spacing w:val="5"/>
          <w:sz w:val="23"/>
          <w:szCs w:val="23"/>
        </w:rPr>
        <w:t>-3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建设项目竣工环境保护验收一览表</w:t>
      </w:r>
    </w:p>
    <w:p w14:paraId="16AB9DFA">
      <w:pPr>
        <w:spacing w:line="19" w:lineRule="exact"/>
      </w:pPr>
    </w:p>
    <w:tbl>
      <w:tblPr>
        <w:tblStyle w:val="4"/>
        <w:tblW w:w="830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510"/>
        <w:gridCol w:w="1170"/>
        <w:gridCol w:w="645"/>
        <w:gridCol w:w="2781"/>
        <w:gridCol w:w="594"/>
        <w:gridCol w:w="2126"/>
      </w:tblGrid>
      <w:tr w14:paraId="06138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480" w:type="dxa"/>
            <w:tcBorders>
              <w:left w:val="nil"/>
              <w:right w:val="single" w:color="000000" w:sz="4" w:space="0"/>
            </w:tcBorders>
            <w:vAlign w:val="top"/>
          </w:tcPr>
          <w:p w14:paraId="1D2D8D49">
            <w:pPr>
              <w:spacing w:line="281" w:lineRule="auto"/>
              <w:rPr>
                <w:rFonts w:ascii="Arial"/>
                <w:sz w:val="21"/>
              </w:rPr>
            </w:pPr>
          </w:p>
          <w:p w14:paraId="3C5D12C2">
            <w:pPr>
              <w:spacing w:before="65" w:line="228" w:lineRule="auto"/>
              <w:ind w:left="3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类</w:t>
            </w:r>
            <w:r>
              <w:rPr>
                <w:rFonts w:ascii="宋体" w:hAnsi="宋体" w:eastAsia="宋体" w:cs="宋体"/>
                <w:spacing w:val="4"/>
                <w:sz w:val="20"/>
                <w:szCs w:val="20"/>
                <w14:textOutline w14:w="3795" w14:cap="sq" w14:cmpd="sng">
                  <w14:solidFill>
                    <w14:srgbClr w14:val="000000"/>
                  </w14:solidFill>
                  <w14:prstDash w14:val="solid"/>
                  <w14:bevel/>
                </w14:textOutline>
              </w:rPr>
              <w:t>型</w:t>
            </w:r>
          </w:p>
        </w:tc>
        <w:tc>
          <w:tcPr>
            <w:tcW w:w="510" w:type="dxa"/>
            <w:tcBorders>
              <w:left w:val="single" w:color="000000" w:sz="4" w:space="0"/>
              <w:right w:val="single" w:color="000000" w:sz="4" w:space="0"/>
            </w:tcBorders>
            <w:vAlign w:val="top"/>
          </w:tcPr>
          <w:p w14:paraId="7F7DD8EC">
            <w:pPr>
              <w:spacing w:line="281" w:lineRule="auto"/>
              <w:rPr>
                <w:rFonts w:ascii="Arial"/>
                <w:sz w:val="21"/>
              </w:rPr>
            </w:pPr>
          </w:p>
          <w:p w14:paraId="3E055E9F">
            <w:pPr>
              <w:spacing w:before="65" w:line="228" w:lineRule="auto"/>
              <w:ind w:left="4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1170" w:type="dxa"/>
            <w:tcBorders>
              <w:left w:val="single" w:color="000000" w:sz="4" w:space="0"/>
              <w:right w:val="single" w:color="000000" w:sz="4" w:space="0"/>
            </w:tcBorders>
            <w:vAlign w:val="top"/>
          </w:tcPr>
          <w:p w14:paraId="1FFF5876">
            <w:pPr>
              <w:spacing w:line="281" w:lineRule="auto"/>
              <w:rPr>
                <w:rFonts w:ascii="Arial"/>
                <w:sz w:val="21"/>
              </w:rPr>
            </w:pPr>
          </w:p>
          <w:p w14:paraId="6F94AA14">
            <w:pPr>
              <w:spacing w:before="65" w:line="228" w:lineRule="auto"/>
              <w:ind w:left="27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污染源</w:t>
            </w:r>
          </w:p>
        </w:tc>
        <w:tc>
          <w:tcPr>
            <w:tcW w:w="645" w:type="dxa"/>
            <w:tcBorders>
              <w:left w:val="single" w:color="000000" w:sz="4" w:space="0"/>
              <w:right w:val="single" w:color="000000" w:sz="4" w:space="0"/>
            </w:tcBorders>
            <w:vAlign w:val="top"/>
          </w:tcPr>
          <w:p w14:paraId="346517BB">
            <w:pPr>
              <w:spacing w:before="209" w:line="274" w:lineRule="auto"/>
              <w:ind w:left="218" w:right="107" w:hanging="10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污染</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物</w:t>
            </w:r>
          </w:p>
        </w:tc>
        <w:tc>
          <w:tcPr>
            <w:tcW w:w="2781" w:type="dxa"/>
            <w:tcBorders>
              <w:left w:val="single" w:color="000000" w:sz="4" w:space="0"/>
              <w:right w:val="single" w:color="000000" w:sz="4" w:space="0"/>
            </w:tcBorders>
            <w:vAlign w:val="top"/>
          </w:tcPr>
          <w:p w14:paraId="528AEDF1">
            <w:pPr>
              <w:spacing w:line="281" w:lineRule="auto"/>
              <w:rPr>
                <w:rFonts w:ascii="Arial"/>
                <w:sz w:val="21"/>
              </w:rPr>
            </w:pPr>
          </w:p>
          <w:p w14:paraId="6DB63B41">
            <w:pPr>
              <w:spacing w:before="65" w:line="228" w:lineRule="auto"/>
              <w:ind w:left="97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建设内</w:t>
            </w:r>
            <w:r>
              <w:rPr>
                <w:rFonts w:ascii="宋体" w:hAnsi="宋体" w:eastAsia="宋体" w:cs="宋体"/>
                <w:spacing w:val="7"/>
                <w:sz w:val="20"/>
                <w:szCs w:val="20"/>
                <w14:textOutline w14:w="3795" w14:cap="sq" w14:cmpd="sng">
                  <w14:solidFill>
                    <w14:srgbClr w14:val="000000"/>
                  </w14:solidFill>
                  <w14:prstDash w14:val="solid"/>
                  <w14:bevel/>
                </w14:textOutline>
              </w:rPr>
              <w:t>容</w:t>
            </w:r>
          </w:p>
        </w:tc>
        <w:tc>
          <w:tcPr>
            <w:tcW w:w="594" w:type="dxa"/>
            <w:tcBorders>
              <w:left w:val="single" w:color="000000" w:sz="4" w:space="0"/>
              <w:right w:val="single" w:color="000000" w:sz="4" w:space="0"/>
            </w:tcBorders>
            <w:vAlign w:val="top"/>
          </w:tcPr>
          <w:p w14:paraId="1FAA5756">
            <w:pPr>
              <w:spacing w:before="69" w:line="230" w:lineRule="auto"/>
              <w:ind w:left="9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排污</w:t>
            </w:r>
          </w:p>
          <w:p w14:paraId="3DFDAB85">
            <w:pPr>
              <w:spacing w:before="29" w:line="228" w:lineRule="auto"/>
              <w:ind w:left="12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口信</w:t>
            </w:r>
          </w:p>
          <w:p w14:paraId="35ECA3E8">
            <w:pPr>
              <w:spacing w:before="34" w:line="223" w:lineRule="auto"/>
              <w:ind w:left="20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息</w:t>
            </w:r>
          </w:p>
        </w:tc>
        <w:tc>
          <w:tcPr>
            <w:tcW w:w="2126" w:type="dxa"/>
            <w:tcBorders>
              <w:left w:val="single" w:color="000000" w:sz="4" w:space="0"/>
              <w:right w:val="nil"/>
            </w:tcBorders>
            <w:vAlign w:val="top"/>
          </w:tcPr>
          <w:p w14:paraId="58DAE824">
            <w:pPr>
              <w:spacing w:line="281" w:lineRule="auto"/>
              <w:rPr>
                <w:rFonts w:ascii="Arial"/>
                <w:sz w:val="21"/>
              </w:rPr>
            </w:pPr>
          </w:p>
          <w:p w14:paraId="16DFA963">
            <w:pPr>
              <w:spacing w:before="65" w:line="228" w:lineRule="auto"/>
              <w:ind w:left="64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验收标</w:t>
            </w:r>
            <w:r>
              <w:rPr>
                <w:rFonts w:ascii="宋体" w:hAnsi="宋体" w:eastAsia="宋体" w:cs="宋体"/>
                <w:spacing w:val="8"/>
                <w:sz w:val="20"/>
                <w:szCs w:val="20"/>
                <w14:textOutline w14:w="3795" w14:cap="sq" w14:cmpd="sng">
                  <w14:solidFill>
                    <w14:srgbClr w14:val="000000"/>
                  </w14:solidFill>
                  <w14:prstDash w14:val="solid"/>
                  <w14:bevel/>
                </w14:textOutline>
              </w:rPr>
              <w:t>准</w:t>
            </w:r>
          </w:p>
        </w:tc>
      </w:tr>
      <w:tr w14:paraId="5E319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480" w:type="dxa"/>
            <w:vMerge w:val="restart"/>
            <w:tcBorders>
              <w:left w:val="nil"/>
              <w:bottom w:val="nil"/>
              <w:right w:val="single" w:color="000000" w:sz="4" w:space="0"/>
            </w:tcBorders>
            <w:vAlign w:val="top"/>
          </w:tcPr>
          <w:p w14:paraId="5127822D">
            <w:pPr>
              <w:rPr>
                <w:rFonts w:ascii="Arial"/>
                <w:sz w:val="21"/>
              </w:rPr>
            </w:pPr>
          </w:p>
          <w:p w14:paraId="5242F48E">
            <w:pPr>
              <w:rPr>
                <w:rFonts w:ascii="Arial"/>
                <w:sz w:val="21"/>
              </w:rPr>
            </w:pPr>
          </w:p>
          <w:p w14:paraId="4E120A1A">
            <w:pPr>
              <w:rPr>
                <w:rFonts w:ascii="Arial"/>
                <w:sz w:val="21"/>
              </w:rPr>
            </w:pPr>
          </w:p>
          <w:p w14:paraId="5D3D2B37">
            <w:pPr>
              <w:rPr>
                <w:rFonts w:ascii="Arial"/>
                <w:sz w:val="21"/>
              </w:rPr>
            </w:pPr>
          </w:p>
          <w:p w14:paraId="7774BFC6">
            <w:pPr>
              <w:rPr>
                <w:rFonts w:ascii="Arial"/>
                <w:sz w:val="21"/>
              </w:rPr>
            </w:pPr>
          </w:p>
          <w:p w14:paraId="5369C276">
            <w:pPr>
              <w:rPr>
                <w:rFonts w:ascii="Arial"/>
                <w:sz w:val="21"/>
              </w:rPr>
            </w:pPr>
          </w:p>
          <w:p w14:paraId="6D141C0B">
            <w:pPr>
              <w:rPr>
                <w:rFonts w:ascii="Arial"/>
                <w:sz w:val="21"/>
              </w:rPr>
            </w:pPr>
          </w:p>
          <w:p w14:paraId="541062E7">
            <w:pPr>
              <w:rPr>
                <w:rFonts w:ascii="Arial"/>
                <w:sz w:val="21"/>
              </w:rPr>
            </w:pPr>
          </w:p>
          <w:p w14:paraId="579B8428">
            <w:pPr>
              <w:rPr>
                <w:rFonts w:ascii="Arial"/>
                <w:sz w:val="21"/>
              </w:rPr>
            </w:pPr>
          </w:p>
          <w:p w14:paraId="08E2891D">
            <w:pPr>
              <w:rPr>
                <w:rFonts w:ascii="Arial"/>
                <w:sz w:val="21"/>
              </w:rPr>
            </w:pPr>
          </w:p>
          <w:p w14:paraId="06313380">
            <w:pPr>
              <w:rPr>
                <w:rFonts w:ascii="Arial"/>
                <w:sz w:val="21"/>
              </w:rPr>
            </w:pPr>
          </w:p>
          <w:p w14:paraId="55B3E30F">
            <w:pPr>
              <w:spacing w:line="241" w:lineRule="auto"/>
              <w:rPr>
                <w:rFonts w:ascii="Arial"/>
                <w:sz w:val="21"/>
              </w:rPr>
            </w:pPr>
          </w:p>
          <w:p w14:paraId="34DC292E">
            <w:pPr>
              <w:spacing w:before="65" w:line="228" w:lineRule="auto"/>
              <w:ind w:left="33"/>
              <w:rPr>
                <w:rFonts w:ascii="宋体" w:hAnsi="宋体" w:eastAsia="宋体" w:cs="宋体"/>
                <w:sz w:val="20"/>
                <w:szCs w:val="20"/>
              </w:rPr>
            </w:pPr>
            <w:r>
              <w:rPr>
                <w:rFonts w:ascii="宋体" w:hAnsi="宋体" w:eastAsia="宋体" w:cs="宋体"/>
                <w:spacing w:val="5"/>
                <w:sz w:val="20"/>
                <w:szCs w:val="20"/>
              </w:rPr>
              <w:t>废气</w:t>
            </w:r>
          </w:p>
        </w:tc>
        <w:tc>
          <w:tcPr>
            <w:tcW w:w="510" w:type="dxa"/>
            <w:tcBorders>
              <w:left w:val="single" w:color="000000" w:sz="4" w:space="0"/>
              <w:right w:val="single" w:color="000000" w:sz="4" w:space="0"/>
            </w:tcBorders>
            <w:vAlign w:val="top"/>
          </w:tcPr>
          <w:p w14:paraId="3291E39F">
            <w:pPr>
              <w:spacing w:line="400" w:lineRule="auto"/>
              <w:rPr>
                <w:rFonts w:ascii="Arial"/>
                <w:sz w:val="21"/>
              </w:rPr>
            </w:pPr>
          </w:p>
          <w:p w14:paraId="01C2C567">
            <w:pPr>
              <w:spacing w:before="65" w:line="276" w:lineRule="auto"/>
              <w:ind w:left="52" w:right="41" w:hanging="5"/>
              <w:rPr>
                <w:rFonts w:ascii="宋体" w:hAnsi="宋体" w:eastAsia="宋体" w:cs="宋体"/>
                <w:sz w:val="20"/>
                <w:szCs w:val="20"/>
              </w:rPr>
            </w:pPr>
            <w:r>
              <w:rPr>
                <w:rFonts w:ascii="宋体" w:hAnsi="宋体" w:eastAsia="宋体" w:cs="宋体"/>
                <w:spacing w:val="5"/>
                <w:sz w:val="20"/>
                <w:szCs w:val="20"/>
              </w:rPr>
              <w:t>粉尘</w:t>
            </w:r>
            <w:r>
              <w:rPr>
                <w:rFonts w:ascii="宋体" w:hAnsi="宋体" w:eastAsia="宋体" w:cs="宋体"/>
                <w:sz w:val="20"/>
                <w:szCs w:val="20"/>
              </w:rPr>
              <w:t xml:space="preserve"> </w:t>
            </w:r>
            <w:r>
              <w:rPr>
                <w:rFonts w:ascii="宋体" w:hAnsi="宋体" w:eastAsia="宋体" w:cs="宋体"/>
                <w:spacing w:val="2"/>
                <w:sz w:val="20"/>
                <w:szCs w:val="20"/>
              </w:rPr>
              <w:t>治理</w:t>
            </w:r>
          </w:p>
        </w:tc>
        <w:tc>
          <w:tcPr>
            <w:tcW w:w="1170" w:type="dxa"/>
            <w:tcBorders>
              <w:left w:val="single" w:color="000000" w:sz="4" w:space="0"/>
              <w:right w:val="single" w:color="000000" w:sz="4" w:space="0"/>
            </w:tcBorders>
            <w:vAlign w:val="top"/>
          </w:tcPr>
          <w:p w14:paraId="0901E3EB">
            <w:pPr>
              <w:spacing w:line="269" w:lineRule="auto"/>
              <w:rPr>
                <w:rFonts w:ascii="Arial"/>
                <w:sz w:val="21"/>
              </w:rPr>
            </w:pPr>
          </w:p>
          <w:p w14:paraId="3DA355A9">
            <w:pPr>
              <w:spacing w:line="269" w:lineRule="auto"/>
              <w:rPr>
                <w:rFonts w:ascii="Arial"/>
                <w:sz w:val="21"/>
              </w:rPr>
            </w:pPr>
          </w:p>
          <w:p w14:paraId="726E4BCE">
            <w:pPr>
              <w:spacing w:before="65" w:line="228" w:lineRule="auto"/>
              <w:ind w:left="170"/>
              <w:rPr>
                <w:rFonts w:ascii="宋体" w:hAnsi="宋体" w:eastAsia="宋体" w:cs="宋体"/>
                <w:sz w:val="20"/>
                <w:szCs w:val="20"/>
              </w:rPr>
            </w:pPr>
            <w:r>
              <w:rPr>
                <w:rFonts w:ascii="宋体" w:hAnsi="宋体" w:eastAsia="宋体" w:cs="宋体"/>
                <w:spacing w:val="9"/>
                <w:sz w:val="20"/>
                <w:szCs w:val="20"/>
              </w:rPr>
              <w:t>分</w:t>
            </w:r>
            <w:r>
              <w:rPr>
                <w:rFonts w:ascii="宋体" w:hAnsi="宋体" w:eastAsia="宋体" w:cs="宋体"/>
                <w:spacing w:val="6"/>
                <w:sz w:val="20"/>
                <w:szCs w:val="20"/>
              </w:rPr>
              <w:t>拣工序</w:t>
            </w:r>
          </w:p>
        </w:tc>
        <w:tc>
          <w:tcPr>
            <w:tcW w:w="645" w:type="dxa"/>
            <w:tcBorders>
              <w:left w:val="single" w:color="000000" w:sz="4" w:space="0"/>
              <w:right w:val="single" w:color="000000" w:sz="4" w:space="0"/>
            </w:tcBorders>
            <w:vAlign w:val="top"/>
          </w:tcPr>
          <w:p w14:paraId="218CA035">
            <w:pPr>
              <w:spacing w:line="269" w:lineRule="auto"/>
              <w:rPr>
                <w:rFonts w:ascii="Arial"/>
                <w:sz w:val="21"/>
              </w:rPr>
            </w:pPr>
          </w:p>
          <w:p w14:paraId="7B9299BC">
            <w:pPr>
              <w:spacing w:line="269" w:lineRule="auto"/>
              <w:rPr>
                <w:rFonts w:ascii="Arial"/>
                <w:sz w:val="21"/>
              </w:rPr>
            </w:pPr>
          </w:p>
          <w:p w14:paraId="7D9AED45">
            <w:pPr>
              <w:spacing w:before="65" w:line="228" w:lineRule="auto"/>
              <w:ind w:left="115"/>
              <w:rPr>
                <w:rFonts w:ascii="宋体" w:hAnsi="宋体" w:eastAsia="宋体" w:cs="宋体"/>
                <w:sz w:val="20"/>
                <w:szCs w:val="20"/>
              </w:rPr>
            </w:pPr>
            <w:r>
              <w:rPr>
                <w:rFonts w:ascii="宋体" w:hAnsi="宋体" w:eastAsia="宋体" w:cs="宋体"/>
                <w:spacing w:val="5"/>
                <w:sz w:val="20"/>
                <w:szCs w:val="20"/>
              </w:rPr>
              <w:t>粉尘</w:t>
            </w:r>
          </w:p>
        </w:tc>
        <w:tc>
          <w:tcPr>
            <w:tcW w:w="2781" w:type="dxa"/>
            <w:tcBorders>
              <w:left w:val="single" w:color="000000" w:sz="4" w:space="0"/>
              <w:right w:val="single" w:color="000000" w:sz="4" w:space="0"/>
            </w:tcBorders>
            <w:vAlign w:val="top"/>
          </w:tcPr>
          <w:p w14:paraId="734638F6">
            <w:pPr>
              <w:spacing w:line="269" w:lineRule="auto"/>
              <w:rPr>
                <w:rFonts w:ascii="Arial"/>
                <w:sz w:val="21"/>
              </w:rPr>
            </w:pPr>
          </w:p>
          <w:p w14:paraId="59C7230D">
            <w:pPr>
              <w:spacing w:line="269" w:lineRule="auto"/>
              <w:rPr>
                <w:rFonts w:ascii="Arial"/>
                <w:sz w:val="21"/>
              </w:rPr>
            </w:pPr>
          </w:p>
          <w:p w14:paraId="687BE550">
            <w:pPr>
              <w:spacing w:before="65" w:line="228" w:lineRule="auto"/>
              <w:ind w:left="302"/>
              <w:rPr>
                <w:rFonts w:ascii="宋体" w:hAnsi="宋体" w:eastAsia="宋体" w:cs="宋体"/>
                <w:sz w:val="20"/>
                <w:szCs w:val="20"/>
              </w:rPr>
            </w:pPr>
            <w:r>
              <w:rPr>
                <w:rFonts w:ascii="宋体" w:hAnsi="宋体" w:eastAsia="宋体" w:cs="宋体"/>
                <w:spacing w:val="-2"/>
                <w:sz w:val="20"/>
                <w:szCs w:val="20"/>
              </w:rPr>
              <w:t>在生产厂房内无</w:t>
            </w:r>
            <w:r>
              <w:rPr>
                <w:rFonts w:ascii="宋体" w:hAnsi="宋体" w:eastAsia="宋体" w:cs="宋体"/>
                <w:spacing w:val="-1"/>
                <w:sz w:val="20"/>
                <w:szCs w:val="20"/>
              </w:rPr>
              <w:t>组织排放</w:t>
            </w:r>
          </w:p>
        </w:tc>
        <w:tc>
          <w:tcPr>
            <w:tcW w:w="594" w:type="dxa"/>
            <w:tcBorders>
              <w:left w:val="single" w:color="000000" w:sz="4" w:space="0"/>
              <w:right w:val="single" w:color="000000" w:sz="4" w:space="0"/>
            </w:tcBorders>
            <w:vAlign w:val="top"/>
          </w:tcPr>
          <w:p w14:paraId="5788B354">
            <w:pPr>
              <w:spacing w:line="269" w:lineRule="auto"/>
              <w:rPr>
                <w:rFonts w:ascii="Arial"/>
                <w:sz w:val="21"/>
              </w:rPr>
            </w:pPr>
          </w:p>
          <w:p w14:paraId="5A16F9D3">
            <w:pPr>
              <w:spacing w:line="270" w:lineRule="auto"/>
              <w:rPr>
                <w:rFonts w:ascii="Arial"/>
                <w:sz w:val="21"/>
              </w:rPr>
            </w:pPr>
          </w:p>
          <w:p w14:paraId="34E0B538">
            <w:pPr>
              <w:spacing w:before="65" w:line="228" w:lineRule="auto"/>
              <w:ind w:left="93"/>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界</w:t>
            </w:r>
          </w:p>
        </w:tc>
        <w:tc>
          <w:tcPr>
            <w:tcW w:w="2126" w:type="dxa"/>
            <w:tcBorders>
              <w:left w:val="single" w:color="000000" w:sz="4" w:space="0"/>
              <w:right w:val="nil"/>
            </w:tcBorders>
            <w:vAlign w:val="top"/>
          </w:tcPr>
          <w:p w14:paraId="3134AF95">
            <w:pPr>
              <w:spacing w:before="48" w:line="258" w:lineRule="auto"/>
              <w:ind w:left="542" w:right="11" w:hanging="517"/>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合成树脂工业污染物</w:t>
            </w:r>
            <w:r>
              <w:rPr>
                <w:rFonts w:ascii="宋体" w:hAnsi="宋体" w:eastAsia="宋体" w:cs="宋体"/>
                <w:sz w:val="20"/>
                <w:szCs w:val="20"/>
              </w:rPr>
              <w:t xml:space="preserve"> </w:t>
            </w:r>
            <w:r>
              <w:rPr>
                <w:rFonts w:ascii="宋体" w:hAnsi="宋体" w:eastAsia="宋体" w:cs="宋体"/>
                <w:spacing w:val="6"/>
                <w:sz w:val="20"/>
                <w:szCs w:val="20"/>
              </w:rPr>
              <w:t>排放标准</w:t>
            </w:r>
            <w:r>
              <w:rPr>
                <w:rFonts w:ascii="宋体" w:hAnsi="宋体" w:eastAsia="宋体" w:cs="宋体"/>
                <w:spacing w:val="5"/>
                <w:sz w:val="20"/>
                <w:szCs w:val="20"/>
              </w:rPr>
              <w:t>》</w:t>
            </w:r>
          </w:p>
          <w:p w14:paraId="339BABF3">
            <w:pPr>
              <w:spacing w:line="229" w:lineRule="auto"/>
              <w:ind w:left="20"/>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31572-2015</w:t>
            </w:r>
            <w:r>
              <w:rPr>
                <w:rFonts w:ascii="宋体" w:hAnsi="宋体" w:eastAsia="宋体" w:cs="宋体"/>
                <w:spacing w:val="8"/>
                <w:sz w:val="20"/>
                <w:szCs w:val="20"/>
              </w:rPr>
              <w:t xml:space="preserve">) 表 </w:t>
            </w:r>
            <w:r>
              <w:rPr>
                <w:rFonts w:ascii="Times New Roman" w:hAnsi="Times New Roman" w:eastAsia="Times New Roman" w:cs="Times New Roman"/>
                <w:spacing w:val="8"/>
                <w:sz w:val="20"/>
                <w:szCs w:val="20"/>
              </w:rPr>
              <w:t>9</w:t>
            </w:r>
          </w:p>
          <w:p w14:paraId="6C339593">
            <w:pPr>
              <w:spacing w:before="32"/>
              <w:ind w:left="266" w:right="116" w:hanging="124"/>
              <w:rPr>
                <w:rFonts w:ascii="宋体" w:hAnsi="宋体" w:eastAsia="宋体" w:cs="宋体"/>
                <w:sz w:val="20"/>
                <w:szCs w:val="20"/>
              </w:rPr>
            </w:pPr>
            <w:r>
              <w:rPr>
                <w:rFonts w:ascii="宋体" w:hAnsi="宋体" w:eastAsia="宋体" w:cs="宋体"/>
                <w:spacing w:val="7"/>
                <w:sz w:val="20"/>
                <w:szCs w:val="20"/>
              </w:rPr>
              <w:t>中</w:t>
            </w:r>
            <w:r>
              <w:rPr>
                <w:rFonts w:ascii="宋体" w:hAnsi="宋体" w:eastAsia="宋体" w:cs="宋体"/>
                <w:spacing w:val="6"/>
                <w:sz w:val="20"/>
                <w:szCs w:val="20"/>
              </w:rPr>
              <w:t>标准限值要求 (即</w:t>
            </w:r>
            <w:r>
              <w:rPr>
                <w:rFonts w:ascii="宋体" w:hAnsi="宋体" w:eastAsia="宋体" w:cs="宋体"/>
                <w:sz w:val="20"/>
                <w:szCs w:val="20"/>
              </w:rPr>
              <w:t xml:space="preserve"> </w:t>
            </w:r>
            <w:r>
              <w:rPr>
                <w:rFonts w:ascii="Times New Roman" w:hAnsi="Times New Roman" w:eastAsia="Times New Roman" w:cs="Times New Roman"/>
                <w:sz w:val="20"/>
                <w:szCs w:val="20"/>
              </w:rPr>
              <w:t>TSP</w:t>
            </w:r>
            <w:r>
              <w:rPr>
                <w:rFonts w:ascii="宋体" w:hAnsi="宋体" w:eastAsia="宋体" w:cs="宋体"/>
                <w:spacing w:val="8"/>
                <w:sz w:val="20"/>
                <w:szCs w:val="20"/>
              </w:rPr>
              <w:t>：</w:t>
            </w:r>
            <w:r>
              <w:rPr>
                <w:rFonts w:ascii="Times New Roman" w:hAnsi="Times New Roman" w:eastAsia="Times New Roman" w:cs="Times New Roman"/>
                <w:spacing w:val="7"/>
                <w:sz w:val="20"/>
                <w:szCs w:val="20"/>
              </w:rPr>
              <w:t>1 0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w:t>
            </w:r>
          </w:p>
        </w:tc>
      </w:tr>
      <w:tr w14:paraId="6F57D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480" w:type="dxa"/>
            <w:vMerge w:val="continue"/>
            <w:tcBorders>
              <w:top w:val="nil"/>
              <w:left w:val="nil"/>
              <w:bottom w:val="nil"/>
              <w:right w:val="single" w:color="000000" w:sz="4" w:space="0"/>
            </w:tcBorders>
            <w:vAlign w:val="top"/>
          </w:tcPr>
          <w:p w14:paraId="5CB8E90F">
            <w:pPr>
              <w:rPr>
                <w:rFonts w:ascii="Arial"/>
                <w:sz w:val="21"/>
              </w:rPr>
            </w:pPr>
          </w:p>
        </w:tc>
        <w:tc>
          <w:tcPr>
            <w:tcW w:w="510" w:type="dxa"/>
            <w:tcBorders>
              <w:left w:val="single" w:color="000000" w:sz="4" w:space="0"/>
              <w:right w:val="single" w:color="000000" w:sz="4" w:space="0"/>
            </w:tcBorders>
            <w:vAlign w:val="top"/>
          </w:tcPr>
          <w:p w14:paraId="3CF064EE">
            <w:pPr>
              <w:spacing w:line="275" w:lineRule="auto"/>
              <w:rPr>
                <w:rFonts w:ascii="Arial"/>
                <w:sz w:val="21"/>
              </w:rPr>
            </w:pPr>
          </w:p>
          <w:p w14:paraId="1DF811A5">
            <w:pPr>
              <w:spacing w:line="275" w:lineRule="auto"/>
              <w:rPr>
                <w:rFonts w:ascii="Arial"/>
                <w:sz w:val="21"/>
              </w:rPr>
            </w:pPr>
          </w:p>
          <w:p w14:paraId="2B196E3F">
            <w:pPr>
              <w:spacing w:line="276" w:lineRule="auto"/>
              <w:rPr>
                <w:rFonts w:ascii="Arial"/>
                <w:sz w:val="21"/>
              </w:rPr>
            </w:pPr>
          </w:p>
          <w:p w14:paraId="54890A82">
            <w:pPr>
              <w:spacing w:line="276" w:lineRule="auto"/>
              <w:rPr>
                <w:rFonts w:ascii="Arial"/>
                <w:sz w:val="21"/>
              </w:rPr>
            </w:pPr>
          </w:p>
          <w:p w14:paraId="0B7570A6">
            <w:pPr>
              <w:spacing w:before="65" w:line="276" w:lineRule="auto"/>
              <w:ind w:left="52" w:right="41" w:hanging="5"/>
              <w:rPr>
                <w:rFonts w:ascii="宋体" w:hAnsi="宋体" w:eastAsia="宋体" w:cs="宋体"/>
                <w:sz w:val="20"/>
                <w:szCs w:val="20"/>
              </w:rPr>
            </w:pPr>
            <w:r>
              <w:rPr>
                <w:rFonts w:ascii="宋体" w:hAnsi="宋体" w:eastAsia="宋体" w:cs="宋体"/>
                <w:spacing w:val="5"/>
                <w:sz w:val="20"/>
                <w:szCs w:val="20"/>
              </w:rPr>
              <w:t>废气</w:t>
            </w:r>
            <w:r>
              <w:rPr>
                <w:rFonts w:ascii="宋体" w:hAnsi="宋体" w:eastAsia="宋体" w:cs="宋体"/>
                <w:sz w:val="20"/>
                <w:szCs w:val="20"/>
              </w:rPr>
              <w:t xml:space="preserve"> </w:t>
            </w:r>
            <w:r>
              <w:rPr>
                <w:rFonts w:ascii="宋体" w:hAnsi="宋体" w:eastAsia="宋体" w:cs="宋体"/>
                <w:spacing w:val="2"/>
                <w:sz w:val="20"/>
                <w:szCs w:val="20"/>
              </w:rPr>
              <w:t>治理</w:t>
            </w:r>
          </w:p>
        </w:tc>
        <w:tc>
          <w:tcPr>
            <w:tcW w:w="1170" w:type="dxa"/>
            <w:tcBorders>
              <w:left w:val="single" w:color="000000" w:sz="4" w:space="0"/>
              <w:right w:val="single" w:color="000000" w:sz="4" w:space="0"/>
            </w:tcBorders>
            <w:vAlign w:val="top"/>
          </w:tcPr>
          <w:p w14:paraId="57A3E71A">
            <w:pPr>
              <w:spacing w:line="248" w:lineRule="auto"/>
              <w:rPr>
                <w:rFonts w:ascii="Arial"/>
                <w:sz w:val="21"/>
              </w:rPr>
            </w:pPr>
          </w:p>
          <w:p w14:paraId="20F21426">
            <w:pPr>
              <w:spacing w:line="248" w:lineRule="auto"/>
              <w:rPr>
                <w:rFonts w:ascii="Arial"/>
                <w:sz w:val="21"/>
              </w:rPr>
            </w:pPr>
          </w:p>
          <w:p w14:paraId="6F1342F6">
            <w:pPr>
              <w:spacing w:line="248" w:lineRule="auto"/>
              <w:rPr>
                <w:rFonts w:ascii="Arial"/>
                <w:sz w:val="21"/>
              </w:rPr>
            </w:pPr>
          </w:p>
          <w:p w14:paraId="26D90794">
            <w:pPr>
              <w:spacing w:line="248" w:lineRule="auto"/>
              <w:rPr>
                <w:rFonts w:ascii="Arial"/>
                <w:sz w:val="21"/>
              </w:rPr>
            </w:pPr>
          </w:p>
          <w:p w14:paraId="2CB69908">
            <w:pPr>
              <w:spacing w:line="249" w:lineRule="auto"/>
              <w:rPr>
                <w:rFonts w:ascii="Arial"/>
                <w:sz w:val="21"/>
              </w:rPr>
            </w:pPr>
          </w:p>
          <w:p w14:paraId="7A549AF7">
            <w:pPr>
              <w:spacing w:before="65" w:line="228" w:lineRule="auto"/>
              <w:ind w:left="171"/>
              <w:rPr>
                <w:rFonts w:ascii="宋体" w:hAnsi="宋体" w:eastAsia="宋体" w:cs="宋体"/>
                <w:sz w:val="20"/>
                <w:szCs w:val="20"/>
              </w:rPr>
            </w:pPr>
            <w:r>
              <w:rPr>
                <w:rFonts w:ascii="宋体" w:hAnsi="宋体" w:eastAsia="宋体" w:cs="宋体"/>
                <w:spacing w:val="7"/>
                <w:sz w:val="20"/>
                <w:szCs w:val="20"/>
              </w:rPr>
              <w:t>热</w:t>
            </w:r>
            <w:r>
              <w:rPr>
                <w:rFonts w:ascii="宋体" w:hAnsi="宋体" w:eastAsia="宋体" w:cs="宋体"/>
                <w:spacing w:val="6"/>
                <w:sz w:val="20"/>
                <w:szCs w:val="20"/>
              </w:rPr>
              <w:t>熔造粒</w:t>
            </w:r>
          </w:p>
        </w:tc>
        <w:tc>
          <w:tcPr>
            <w:tcW w:w="645" w:type="dxa"/>
            <w:tcBorders>
              <w:left w:val="single" w:color="000000" w:sz="4" w:space="0"/>
              <w:right w:val="single" w:color="000000" w:sz="4" w:space="0"/>
            </w:tcBorders>
            <w:vAlign w:val="top"/>
          </w:tcPr>
          <w:p w14:paraId="76551AAD">
            <w:pPr>
              <w:spacing w:line="275" w:lineRule="auto"/>
              <w:rPr>
                <w:rFonts w:ascii="Arial"/>
                <w:sz w:val="21"/>
              </w:rPr>
            </w:pPr>
          </w:p>
          <w:p w14:paraId="3F087CD7">
            <w:pPr>
              <w:spacing w:line="275" w:lineRule="auto"/>
              <w:rPr>
                <w:rFonts w:ascii="Arial"/>
                <w:sz w:val="21"/>
              </w:rPr>
            </w:pPr>
          </w:p>
          <w:p w14:paraId="38E1A29D">
            <w:pPr>
              <w:spacing w:line="276" w:lineRule="auto"/>
              <w:rPr>
                <w:rFonts w:ascii="Arial"/>
                <w:sz w:val="21"/>
              </w:rPr>
            </w:pPr>
          </w:p>
          <w:p w14:paraId="03C30534">
            <w:pPr>
              <w:spacing w:line="276" w:lineRule="auto"/>
              <w:rPr>
                <w:rFonts w:ascii="Arial"/>
                <w:sz w:val="21"/>
              </w:rPr>
            </w:pPr>
          </w:p>
          <w:p w14:paraId="7320D95D">
            <w:pPr>
              <w:spacing w:before="65" w:line="274" w:lineRule="auto"/>
              <w:ind w:left="120" w:right="3" w:hanging="107"/>
              <w:rPr>
                <w:rFonts w:ascii="宋体" w:hAnsi="宋体" w:eastAsia="宋体" w:cs="宋体"/>
                <w:sz w:val="20"/>
                <w:szCs w:val="20"/>
              </w:rPr>
            </w:pPr>
            <w:r>
              <w:rPr>
                <w:rFonts w:ascii="宋体" w:hAnsi="宋体" w:eastAsia="宋体" w:cs="宋体"/>
                <w:spacing w:val="6"/>
                <w:sz w:val="20"/>
                <w:szCs w:val="20"/>
              </w:rPr>
              <w:t>非甲</w:t>
            </w:r>
            <w:r>
              <w:rPr>
                <w:rFonts w:ascii="宋体" w:hAnsi="宋体" w:eastAsia="宋体" w:cs="宋体"/>
                <w:spacing w:val="5"/>
                <w:sz w:val="20"/>
                <w:szCs w:val="20"/>
              </w:rPr>
              <w:t>烷</w:t>
            </w:r>
            <w:r>
              <w:rPr>
                <w:rFonts w:ascii="宋体" w:hAnsi="宋体" w:eastAsia="宋体" w:cs="宋体"/>
                <w:sz w:val="20"/>
                <w:szCs w:val="20"/>
              </w:rPr>
              <w:t xml:space="preserve"> </w:t>
            </w:r>
            <w:r>
              <w:rPr>
                <w:rFonts w:ascii="宋体" w:hAnsi="宋体" w:eastAsia="宋体" w:cs="宋体"/>
                <w:spacing w:val="2"/>
                <w:sz w:val="20"/>
                <w:szCs w:val="20"/>
              </w:rPr>
              <w:t>总烃</w:t>
            </w:r>
          </w:p>
        </w:tc>
        <w:tc>
          <w:tcPr>
            <w:tcW w:w="2781" w:type="dxa"/>
            <w:tcBorders>
              <w:left w:val="single" w:color="000000" w:sz="4" w:space="0"/>
              <w:right w:val="single" w:color="000000" w:sz="4" w:space="0"/>
            </w:tcBorders>
            <w:vAlign w:val="top"/>
          </w:tcPr>
          <w:p w14:paraId="2FBE0EF7">
            <w:pPr>
              <w:spacing w:before="56" w:line="283" w:lineRule="auto"/>
              <w:ind w:left="9" w:firstLine="4"/>
              <w:rPr>
                <w:rFonts w:ascii="宋体" w:hAnsi="宋体" w:eastAsia="宋体" w:cs="宋体"/>
                <w:sz w:val="20"/>
                <w:szCs w:val="20"/>
              </w:rPr>
            </w:pPr>
            <w:r>
              <w:rPr>
                <w:rFonts w:ascii="宋体" w:hAnsi="宋体" w:eastAsia="宋体" w:cs="宋体"/>
                <w:spacing w:val="-8"/>
                <w:sz w:val="20"/>
                <w:szCs w:val="20"/>
              </w:rPr>
              <w:t xml:space="preserve">该项目每 </w:t>
            </w: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 xml:space="preserve">条生产线共用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套废</w:t>
            </w:r>
            <w:r>
              <w:rPr>
                <w:rFonts w:ascii="宋体" w:hAnsi="宋体" w:eastAsia="宋体" w:cs="宋体"/>
                <w:sz w:val="20"/>
                <w:szCs w:val="20"/>
              </w:rPr>
              <w:t xml:space="preserve"> </w:t>
            </w:r>
            <w:r>
              <w:rPr>
                <w:rFonts w:ascii="宋体" w:hAnsi="宋体" w:eastAsia="宋体" w:cs="宋体"/>
                <w:spacing w:val="-3"/>
                <w:sz w:val="20"/>
                <w:szCs w:val="20"/>
              </w:rPr>
              <w:t>气处理设施，集气罩收集后的</w:t>
            </w:r>
            <w:r>
              <w:rPr>
                <w:rFonts w:ascii="宋体" w:hAnsi="宋体" w:eastAsia="宋体" w:cs="宋体"/>
                <w:spacing w:val="-2"/>
                <w:sz w:val="20"/>
                <w:szCs w:val="20"/>
              </w:rPr>
              <w:t>有</w:t>
            </w:r>
            <w:r>
              <w:rPr>
                <w:rFonts w:ascii="宋体" w:hAnsi="宋体" w:eastAsia="宋体" w:cs="宋体"/>
                <w:sz w:val="20"/>
                <w:szCs w:val="20"/>
              </w:rPr>
              <w:t xml:space="preserve"> </w:t>
            </w:r>
            <w:r>
              <w:rPr>
                <w:rFonts w:ascii="宋体" w:hAnsi="宋体" w:eastAsia="宋体" w:cs="宋体"/>
                <w:spacing w:val="2"/>
                <w:sz w:val="20"/>
                <w:szCs w:val="20"/>
              </w:rPr>
              <w:t xml:space="preserve">机废气经由风量为 </w:t>
            </w:r>
            <w:r>
              <w:rPr>
                <w:rFonts w:ascii="Times New Roman" w:hAnsi="Times New Roman" w:eastAsia="Times New Roman" w:cs="Times New Roman"/>
                <w:spacing w:val="2"/>
                <w:sz w:val="20"/>
                <w:szCs w:val="20"/>
              </w:rPr>
              <w:t>5000</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 xml:space="preserve"> </w:t>
            </w:r>
            <w:r>
              <w:rPr>
                <w:rFonts w:ascii="宋体" w:hAnsi="宋体" w:eastAsia="宋体" w:cs="宋体"/>
                <w:spacing w:val="1"/>
                <w:sz w:val="20"/>
                <w:szCs w:val="20"/>
              </w:rPr>
              <w:t>的</w:t>
            </w:r>
            <w:r>
              <w:rPr>
                <w:rFonts w:ascii="宋体" w:hAnsi="宋体" w:eastAsia="宋体" w:cs="宋体"/>
                <w:sz w:val="20"/>
                <w:szCs w:val="20"/>
              </w:rPr>
              <w:t xml:space="preserve"> </w:t>
            </w:r>
            <w:r>
              <w:rPr>
                <w:rFonts w:ascii="宋体" w:hAnsi="宋体" w:eastAsia="宋体" w:cs="宋体"/>
                <w:spacing w:val="12"/>
                <w:sz w:val="20"/>
                <w:szCs w:val="20"/>
              </w:rPr>
              <w:t>引风机抽入每个厂房内各自设</w:t>
            </w:r>
            <w:r>
              <w:rPr>
                <w:rFonts w:ascii="宋体" w:hAnsi="宋体" w:eastAsia="宋体" w:cs="宋体"/>
                <w:sz w:val="20"/>
                <w:szCs w:val="20"/>
              </w:rPr>
              <w:t xml:space="preserve"> </w:t>
            </w:r>
            <w:r>
              <w:rPr>
                <w:rFonts w:ascii="宋体" w:hAnsi="宋体" w:eastAsia="宋体" w:cs="宋体"/>
                <w:spacing w:val="-4"/>
                <w:sz w:val="20"/>
                <w:szCs w:val="20"/>
              </w:rPr>
              <w:t>置</w:t>
            </w:r>
            <w:r>
              <w:rPr>
                <w:rFonts w:ascii="宋体" w:hAnsi="宋体" w:eastAsia="宋体" w:cs="宋体"/>
                <w:spacing w:val="-3"/>
                <w:sz w:val="20"/>
                <w:szCs w:val="20"/>
              </w:rPr>
              <w:t>的</w:t>
            </w:r>
            <w:r>
              <w:rPr>
                <w:rFonts w:ascii="宋体" w:hAnsi="宋体" w:eastAsia="宋体" w:cs="宋体"/>
                <w:spacing w:val="-2"/>
                <w:sz w:val="20"/>
                <w:szCs w:val="20"/>
              </w:rPr>
              <w:t xml:space="preserve">废气治理装置中，经过 </w:t>
            </w:r>
            <w:r>
              <w:rPr>
                <w:rFonts w:ascii="Times New Roman" w:hAnsi="Times New Roman" w:eastAsia="Times New Roman" w:cs="Times New Roman"/>
                <w:spacing w:val="-2"/>
                <w:sz w:val="20"/>
                <w:szCs w:val="20"/>
              </w:rPr>
              <w:t>UV</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光</w:t>
            </w:r>
            <w:r>
              <w:rPr>
                <w:rFonts w:ascii="宋体" w:hAnsi="宋体" w:eastAsia="宋体" w:cs="宋体"/>
                <w:spacing w:val="4"/>
                <w:sz w:val="20"/>
                <w:szCs w:val="20"/>
              </w:rPr>
              <w:t>氧</w:t>
            </w:r>
            <w:r>
              <w:rPr>
                <w:rFonts w:ascii="宋体" w:hAnsi="宋体" w:eastAsia="宋体" w:cs="宋体"/>
                <w:spacing w:val="3"/>
                <w:sz w:val="20"/>
                <w:szCs w:val="20"/>
              </w:rPr>
              <w:t>催化废气处理装置</w:t>
            </w:r>
            <w:r>
              <w:rPr>
                <w:rFonts w:ascii="Times New Roman" w:hAnsi="Times New Roman" w:eastAsia="Times New Roman" w:cs="Times New Roman"/>
                <w:spacing w:val="3"/>
                <w:sz w:val="20"/>
                <w:szCs w:val="20"/>
              </w:rPr>
              <w:t>+</w:t>
            </w:r>
            <w:r>
              <w:rPr>
                <w:rFonts w:ascii="宋体" w:hAnsi="宋体" w:eastAsia="宋体" w:cs="宋体"/>
                <w:spacing w:val="3"/>
                <w:sz w:val="20"/>
                <w:szCs w:val="20"/>
              </w:rPr>
              <w:t>活性炭</w:t>
            </w:r>
            <w:r>
              <w:rPr>
                <w:rFonts w:ascii="宋体" w:hAnsi="宋体" w:eastAsia="宋体" w:cs="宋体"/>
                <w:sz w:val="20"/>
                <w:szCs w:val="20"/>
              </w:rPr>
              <w:t xml:space="preserve"> </w:t>
            </w:r>
            <w:r>
              <w:rPr>
                <w:rFonts w:ascii="宋体" w:hAnsi="宋体" w:eastAsia="宋体" w:cs="宋体"/>
                <w:spacing w:val="6"/>
                <w:sz w:val="20"/>
                <w:szCs w:val="20"/>
              </w:rPr>
              <w:t>吸附装</w:t>
            </w:r>
            <w:r>
              <w:rPr>
                <w:rFonts w:ascii="宋体" w:hAnsi="宋体" w:eastAsia="宋体" w:cs="宋体"/>
                <w:spacing w:val="5"/>
                <w:sz w:val="20"/>
                <w:szCs w:val="20"/>
              </w:rPr>
              <w:t>置</w:t>
            </w:r>
            <w:r>
              <w:rPr>
                <w:rFonts w:ascii="宋体" w:hAnsi="宋体" w:eastAsia="宋体" w:cs="宋体"/>
                <w:spacing w:val="3"/>
                <w:sz w:val="20"/>
                <w:szCs w:val="20"/>
              </w:rPr>
              <w:t xml:space="preserve">处理后通过 </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高排</w:t>
            </w:r>
            <w:r>
              <w:rPr>
                <w:rFonts w:ascii="宋体" w:hAnsi="宋体" w:eastAsia="宋体" w:cs="宋体"/>
                <w:sz w:val="20"/>
                <w:szCs w:val="20"/>
              </w:rPr>
              <w:t xml:space="preserve"> </w:t>
            </w:r>
            <w:r>
              <w:rPr>
                <w:rFonts w:ascii="宋体" w:hAnsi="宋体" w:eastAsia="宋体" w:cs="宋体"/>
                <w:spacing w:val="-10"/>
                <w:sz w:val="20"/>
                <w:szCs w:val="20"/>
              </w:rPr>
              <w:t>气筒</w:t>
            </w:r>
            <w:r>
              <w:rPr>
                <w:rFonts w:ascii="宋体" w:hAnsi="宋体" w:eastAsia="宋体" w:cs="宋体"/>
                <w:spacing w:val="-6"/>
                <w:sz w:val="20"/>
                <w:szCs w:val="20"/>
              </w:rPr>
              <w:t>有</w:t>
            </w:r>
            <w:r>
              <w:rPr>
                <w:rFonts w:ascii="宋体" w:hAnsi="宋体" w:eastAsia="宋体" w:cs="宋体"/>
                <w:spacing w:val="-5"/>
                <w:sz w:val="20"/>
                <w:szCs w:val="20"/>
              </w:rPr>
              <w:t xml:space="preserve">组织排放，共计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个排气</w:t>
            </w:r>
            <w:r>
              <w:rPr>
                <w:rFonts w:ascii="宋体" w:hAnsi="宋体" w:eastAsia="宋体" w:cs="宋体"/>
                <w:sz w:val="20"/>
                <w:szCs w:val="20"/>
              </w:rPr>
              <w:t xml:space="preserve"> </w:t>
            </w:r>
            <w:r>
              <w:rPr>
                <w:rFonts w:ascii="宋体" w:hAnsi="宋体" w:eastAsia="宋体" w:cs="宋体"/>
                <w:spacing w:val="-4"/>
                <w:sz w:val="20"/>
                <w:szCs w:val="20"/>
              </w:rPr>
              <w:t xml:space="preserve">筒 </w:t>
            </w:r>
            <w:r>
              <w:rPr>
                <w:rFonts w:ascii="宋体" w:hAnsi="宋体" w:eastAsia="宋体" w:cs="宋体"/>
                <w:spacing w:val="-3"/>
                <w:sz w:val="20"/>
                <w:szCs w:val="20"/>
              </w:rPr>
              <w:t>(</w:t>
            </w:r>
            <w:r>
              <w:rPr>
                <w:rFonts w:ascii="Times New Roman" w:hAnsi="Times New Roman" w:eastAsia="Times New Roman" w:cs="Times New Roman"/>
                <w:spacing w:val="-2"/>
                <w:sz w:val="20"/>
                <w:szCs w:val="20"/>
              </w:rPr>
              <w:t>1#</w:t>
            </w:r>
            <w:r>
              <w:rPr>
                <w:rFonts w:ascii="宋体" w:hAnsi="宋体" w:eastAsia="宋体" w:cs="宋体"/>
                <w:spacing w:val="-2"/>
                <w:sz w:val="20"/>
                <w:szCs w:val="20"/>
              </w:rPr>
              <w:t>排气筒、</w:t>
            </w:r>
            <w:r>
              <w:rPr>
                <w:rFonts w:ascii="Times New Roman" w:hAnsi="Times New Roman" w:eastAsia="Times New Roman" w:cs="Times New Roman"/>
                <w:spacing w:val="-2"/>
                <w:sz w:val="20"/>
                <w:szCs w:val="20"/>
              </w:rPr>
              <w:t>2#</w:t>
            </w:r>
            <w:r>
              <w:rPr>
                <w:rFonts w:ascii="宋体" w:hAnsi="宋体" w:eastAsia="宋体" w:cs="宋体"/>
                <w:spacing w:val="-2"/>
                <w:sz w:val="20"/>
                <w:szCs w:val="20"/>
              </w:rPr>
              <w:t>排气筒) 。</w:t>
            </w:r>
          </w:p>
        </w:tc>
        <w:tc>
          <w:tcPr>
            <w:tcW w:w="594" w:type="dxa"/>
            <w:tcBorders>
              <w:left w:val="single" w:color="000000" w:sz="4" w:space="0"/>
              <w:right w:val="single" w:color="000000" w:sz="4" w:space="0"/>
            </w:tcBorders>
            <w:textDirection w:val="tbRlV"/>
            <w:vAlign w:val="top"/>
          </w:tcPr>
          <w:p w14:paraId="4F8BE7E6">
            <w:pPr>
              <w:spacing w:before="188" w:line="216" w:lineRule="auto"/>
              <w:ind w:left="1035"/>
              <w:rPr>
                <w:rFonts w:ascii="宋体" w:hAnsi="宋体" w:eastAsia="宋体" w:cs="宋体"/>
                <w:sz w:val="20"/>
                <w:szCs w:val="20"/>
              </w:rPr>
            </w:pPr>
            <w:r>
              <w:rPr>
                <w:rFonts w:ascii="宋体" w:hAnsi="宋体" w:eastAsia="宋体" w:cs="宋体"/>
                <w:spacing w:val="-9"/>
                <w:sz w:val="20"/>
                <w:szCs w:val="20"/>
              </w:rPr>
              <w:t>排</w:t>
            </w:r>
            <w:r>
              <w:rPr>
                <w:rFonts w:ascii="宋体" w:hAnsi="宋体" w:eastAsia="宋体" w:cs="宋体"/>
                <w:spacing w:val="-6"/>
                <w:sz w:val="20"/>
                <w:szCs w:val="20"/>
              </w:rPr>
              <w:t xml:space="preserve"> 气 筒</w:t>
            </w:r>
          </w:p>
        </w:tc>
        <w:tc>
          <w:tcPr>
            <w:tcW w:w="2126" w:type="dxa"/>
            <w:tcBorders>
              <w:left w:val="single" w:color="000000" w:sz="4" w:space="0"/>
              <w:right w:val="nil"/>
            </w:tcBorders>
            <w:vAlign w:val="top"/>
          </w:tcPr>
          <w:p w14:paraId="3CDD9B4F">
            <w:pPr>
              <w:spacing w:line="342" w:lineRule="auto"/>
              <w:rPr>
                <w:rFonts w:ascii="Arial"/>
                <w:sz w:val="21"/>
              </w:rPr>
            </w:pPr>
          </w:p>
          <w:p w14:paraId="58A90B76">
            <w:pPr>
              <w:spacing w:line="342" w:lineRule="auto"/>
              <w:rPr>
                <w:rFonts w:ascii="Arial"/>
                <w:sz w:val="21"/>
              </w:rPr>
            </w:pPr>
          </w:p>
          <w:p w14:paraId="7A7850BD">
            <w:pPr>
              <w:spacing w:before="65" w:line="228" w:lineRule="auto"/>
              <w:ind w:left="25"/>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合成树脂工业污染物</w:t>
            </w:r>
          </w:p>
          <w:p w14:paraId="61ECD301">
            <w:pPr>
              <w:spacing w:before="32" w:line="266" w:lineRule="auto"/>
              <w:ind w:left="20" w:right="24" w:firstLine="522"/>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5"/>
                <w:sz w:val="20"/>
                <w:szCs w:val="20"/>
              </w:rPr>
              <w:t>放标准》</w:t>
            </w:r>
            <w:r>
              <w:rPr>
                <w:rFonts w:ascii="宋体" w:hAnsi="宋体" w:eastAsia="宋体" w:cs="宋体"/>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31572-2015</w:t>
            </w:r>
            <w:r>
              <w:rPr>
                <w:rFonts w:ascii="宋体" w:hAnsi="宋体" w:eastAsia="宋体" w:cs="宋体"/>
                <w:spacing w:val="8"/>
                <w:sz w:val="20"/>
                <w:szCs w:val="20"/>
              </w:rPr>
              <w:t xml:space="preserve">) 表 </w:t>
            </w:r>
            <w:r>
              <w:rPr>
                <w:rFonts w:ascii="Times New Roman" w:hAnsi="Times New Roman" w:eastAsia="Times New Roman" w:cs="Times New Roman"/>
                <w:spacing w:val="8"/>
                <w:sz w:val="20"/>
                <w:szCs w:val="20"/>
              </w:rPr>
              <w:t>4</w:t>
            </w:r>
            <w:r>
              <w:rPr>
                <w:rFonts w:ascii="Times New Roman" w:hAnsi="Times New Roman" w:eastAsia="Times New Roman" w:cs="Times New Roman"/>
                <w:sz w:val="20"/>
                <w:szCs w:val="20"/>
              </w:rPr>
              <w:t xml:space="preserve"> </w:t>
            </w:r>
            <w:r>
              <w:rPr>
                <w:rFonts w:ascii="宋体" w:hAnsi="宋体" w:eastAsia="宋体" w:cs="宋体"/>
                <w:spacing w:val="21"/>
                <w:sz w:val="20"/>
                <w:szCs w:val="20"/>
              </w:rPr>
              <w:t>中</w:t>
            </w:r>
            <w:r>
              <w:rPr>
                <w:rFonts w:ascii="宋体" w:hAnsi="宋体" w:eastAsia="宋体" w:cs="宋体"/>
                <w:spacing w:val="18"/>
                <w:sz w:val="20"/>
                <w:szCs w:val="20"/>
              </w:rPr>
              <w:t>标准限值要求 (即</w:t>
            </w:r>
            <w:r>
              <w:rPr>
                <w:rFonts w:ascii="宋体" w:hAnsi="宋体" w:eastAsia="宋体" w:cs="宋体"/>
                <w:sz w:val="20"/>
                <w:szCs w:val="20"/>
              </w:rPr>
              <w:t xml:space="preserve"> </w:t>
            </w:r>
            <w:r>
              <w:rPr>
                <w:rFonts w:ascii="Times New Roman" w:hAnsi="Times New Roman" w:eastAsia="Times New Roman" w:cs="Times New Roman"/>
                <w:sz w:val="20"/>
                <w:szCs w:val="20"/>
              </w:rPr>
              <w:t>NMHC</w:t>
            </w:r>
            <w:r>
              <w:rPr>
                <w:rFonts w:ascii="宋体" w:hAnsi="宋体" w:eastAsia="宋体" w:cs="宋体"/>
                <w:spacing w:val="20"/>
                <w:sz w:val="20"/>
                <w:szCs w:val="20"/>
              </w:rPr>
              <w:t>：</w:t>
            </w:r>
            <w:r>
              <w:rPr>
                <w:rFonts w:ascii="Times New Roman" w:hAnsi="Times New Roman" w:eastAsia="Times New Roman" w:cs="Times New Roman"/>
                <w:spacing w:val="20"/>
                <w:sz w:val="20"/>
                <w:szCs w:val="20"/>
              </w:rPr>
              <w:t>100</w:t>
            </w:r>
            <w:r>
              <w:rPr>
                <w:rFonts w:ascii="Times New Roman" w:hAnsi="Times New Roman" w:eastAsia="Times New Roman" w:cs="Times New Roman"/>
                <w:sz w:val="20"/>
                <w:szCs w:val="20"/>
              </w:rPr>
              <w:t>mg</w:t>
            </w:r>
            <w:r>
              <w:rPr>
                <w:rFonts w:ascii="Times New Roman" w:hAnsi="Times New Roman" w:eastAsia="Times New Roman" w:cs="Times New Roman"/>
                <w:spacing w:val="20"/>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20"/>
                <w:position w:val="6"/>
                <w:sz w:val="13"/>
                <w:szCs w:val="13"/>
              </w:rPr>
              <w:t xml:space="preserve">3 </w:t>
            </w:r>
            <w:r>
              <w:rPr>
                <w:rFonts w:ascii="宋体" w:hAnsi="宋体" w:eastAsia="宋体" w:cs="宋体"/>
                <w:spacing w:val="19"/>
                <w:sz w:val="20"/>
                <w:szCs w:val="20"/>
              </w:rPr>
              <w:t>)</w:t>
            </w:r>
          </w:p>
        </w:tc>
      </w:tr>
      <w:tr w14:paraId="270B5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1" w:hRule="atLeast"/>
        </w:trPr>
        <w:tc>
          <w:tcPr>
            <w:tcW w:w="480" w:type="dxa"/>
            <w:vMerge w:val="continue"/>
            <w:tcBorders>
              <w:top w:val="nil"/>
              <w:left w:val="nil"/>
              <w:right w:val="single" w:color="000000" w:sz="4" w:space="0"/>
            </w:tcBorders>
            <w:vAlign w:val="top"/>
          </w:tcPr>
          <w:p w14:paraId="1B439EF6">
            <w:pPr>
              <w:rPr>
                <w:rFonts w:ascii="Arial"/>
                <w:sz w:val="21"/>
              </w:rPr>
            </w:pPr>
          </w:p>
        </w:tc>
        <w:tc>
          <w:tcPr>
            <w:tcW w:w="510" w:type="dxa"/>
            <w:tcBorders>
              <w:left w:val="single" w:color="000000" w:sz="4" w:space="0"/>
              <w:right w:val="single" w:color="000000" w:sz="4" w:space="0"/>
            </w:tcBorders>
            <w:vAlign w:val="top"/>
          </w:tcPr>
          <w:p w14:paraId="12CA5DDE">
            <w:pPr>
              <w:spacing w:line="319" w:lineRule="auto"/>
              <w:rPr>
                <w:rFonts w:ascii="Arial"/>
                <w:sz w:val="21"/>
              </w:rPr>
            </w:pPr>
          </w:p>
          <w:p w14:paraId="3473102A">
            <w:pPr>
              <w:spacing w:line="319" w:lineRule="auto"/>
              <w:rPr>
                <w:rFonts w:ascii="Arial"/>
                <w:sz w:val="21"/>
              </w:rPr>
            </w:pPr>
          </w:p>
          <w:p w14:paraId="422FE7AE">
            <w:pPr>
              <w:spacing w:before="65" w:line="276" w:lineRule="auto"/>
              <w:ind w:left="52" w:right="41" w:hanging="5"/>
              <w:rPr>
                <w:rFonts w:ascii="宋体" w:hAnsi="宋体" w:eastAsia="宋体" w:cs="宋体"/>
                <w:sz w:val="20"/>
                <w:szCs w:val="20"/>
              </w:rPr>
            </w:pPr>
            <w:r>
              <w:rPr>
                <w:rFonts w:ascii="宋体" w:hAnsi="宋体" w:eastAsia="宋体" w:cs="宋体"/>
                <w:spacing w:val="5"/>
                <w:sz w:val="20"/>
                <w:szCs w:val="20"/>
              </w:rPr>
              <w:t>废气</w:t>
            </w:r>
            <w:r>
              <w:rPr>
                <w:rFonts w:ascii="宋体" w:hAnsi="宋体" w:eastAsia="宋体" w:cs="宋体"/>
                <w:sz w:val="20"/>
                <w:szCs w:val="20"/>
              </w:rPr>
              <w:t xml:space="preserve"> </w:t>
            </w:r>
            <w:r>
              <w:rPr>
                <w:rFonts w:ascii="宋体" w:hAnsi="宋体" w:eastAsia="宋体" w:cs="宋体"/>
                <w:spacing w:val="2"/>
                <w:sz w:val="20"/>
                <w:szCs w:val="20"/>
              </w:rPr>
              <w:t>治理</w:t>
            </w:r>
          </w:p>
        </w:tc>
        <w:tc>
          <w:tcPr>
            <w:tcW w:w="1170" w:type="dxa"/>
            <w:tcBorders>
              <w:left w:val="single" w:color="000000" w:sz="4" w:space="0"/>
              <w:right w:val="single" w:color="000000" w:sz="4" w:space="0"/>
            </w:tcBorders>
            <w:vAlign w:val="top"/>
          </w:tcPr>
          <w:p w14:paraId="109593F2">
            <w:pPr>
              <w:spacing w:line="256" w:lineRule="auto"/>
              <w:rPr>
                <w:rFonts w:ascii="Arial"/>
                <w:sz w:val="21"/>
              </w:rPr>
            </w:pPr>
          </w:p>
          <w:p w14:paraId="31AA3ED8">
            <w:pPr>
              <w:spacing w:line="257" w:lineRule="auto"/>
              <w:rPr>
                <w:rFonts w:ascii="Arial"/>
                <w:sz w:val="21"/>
              </w:rPr>
            </w:pPr>
          </w:p>
          <w:p w14:paraId="29CDC670">
            <w:pPr>
              <w:spacing w:line="257" w:lineRule="auto"/>
              <w:rPr>
                <w:rFonts w:ascii="Arial"/>
                <w:sz w:val="21"/>
              </w:rPr>
            </w:pPr>
          </w:p>
          <w:p w14:paraId="0805B634">
            <w:pPr>
              <w:spacing w:before="65" w:line="228" w:lineRule="auto"/>
              <w:ind w:left="277"/>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645" w:type="dxa"/>
            <w:tcBorders>
              <w:left w:val="single" w:color="000000" w:sz="4" w:space="0"/>
              <w:right w:val="single" w:color="000000" w:sz="4" w:space="0"/>
            </w:tcBorders>
            <w:vAlign w:val="top"/>
          </w:tcPr>
          <w:p w14:paraId="162ACDDD">
            <w:pPr>
              <w:spacing w:line="249" w:lineRule="auto"/>
              <w:rPr>
                <w:rFonts w:ascii="Arial"/>
                <w:sz w:val="21"/>
              </w:rPr>
            </w:pPr>
          </w:p>
          <w:p w14:paraId="62CE701D">
            <w:pPr>
              <w:spacing w:line="250" w:lineRule="auto"/>
              <w:rPr>
                <w:rFonts w:ascii="Arial"/>
                <w:sz w:val="21"/>
              </w:rPr>
            </w:pPr>
          </w:p>
          <w:p w14:paraId="3B646904">
            <w:pPr>
              <w:spacing w:before="65" w:line="306" w:lineRule="auto"/>
              <w:ind w:left="10" w:right="26" w:hanging="5"/>
              <w:jc w:val="right"/>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PM</w:t>
            </w:r>
            <w:r>
              <w:rPr>
                <w:rFonts w:ascii="Times New Roman" w:hAnsi="Times New Roman" w:eastAsia="Times New Roman" w:cs="Times New Roman"/>
                <w:spacing w:val="-5"/>
                <w:position w:val="-1"/>
                <w:sz w:val="13"/>
                <w:szCs w:val="13"/>
              </w:rPr>
              <w:t>1</w:t>
            </w:r>
            <w:r>
              <w:rPr>
                <w:rFonts w:ascii="Times New Roman" w:hAnsi="Times New Roman" w:eastAsia="Times New Roman" w:cs="Times New Roman"/>
                <w:spacing w:val="-3"/>
                <w:position w:val="-1"/>
                <w:sz w:val="13"/>
                <w:szCs w:val="13"/>
              </w:rPr>
              <w:t>0</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NOx</w:t>
            </w:r>
            <w:r>
              <w:rPr>
                <w:rFonts w:ascii="宋体" w:hAnsi="宋体" w:eastAsia="宋体" w:cs="宋体"/>
                <w:spacing w:val="7"/>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O</w:t>
            </w:r>
            <w:r>
              <w:rPr>
                <w:rFonts w:ascii="Times New Roman" w:hAnsi="Times New Roman" w:eastAsia="Times New Roman" w:cs="Times New Roman"/>
                <w:spacing w:val="-1"/>
                <w:position w:val="-1"/>
                <w:sz w:val="13"/>
                <w:szCs w:val="13"/>
              </w:rPr>
              <w:t>2</w:t>
            </w:r>
          </w:p>
        </w:tc>
        <w:tc>
          <w:tcPr>
            <w:tcW w:w="2781" w:type="dxa"/>
            <w:tcBorders>
              <w:left w:val="single" w:color="000000" w:sz="4" w:space="0"/>
              <w:right w:val="single" w:color="000000" w:sz="4" w:space="0"/>
            </w:tcBorders>
            <w:vAlign w:val="top"/>
          </w:tcPr>
          <w:p w14:paraId="6FBCE8A7">
            <w:pPr>
              <w:spacing w:before="61" w:line="283" w:lineRule="auto"/>
              <w:ind w:left="10" w:firstLine="3"/>
              <w:rPr>
                <w:rFonts w:ascii="宋体" w:hAnsi="宋体" w:eastAsia="宋体" w:cs="宋体"/>
                <w:sz w:val="20"/>
                <w:szCs w:val="20"/>
              </w:rPr>
            </w:pPr>
            <w:r>
              <w:rPr>
                <w:rFonts w:ascii="宋体" w:hAnsi="宋体" w:eastAsia="宋体" w:cs="宋体"/>
                <w:spacing w:val="-12"/>
                <w:sz w:val="20"/>
                <w:szCs w:val="20"/>
              </w:rPr>
              <w:t xml:space="preserve">该项目洗字工序设有 </w:t>
            </w:r>
            <w:r>
              <w:rPr>
                <w:rFonts w:ascii="Times New Roman" w:hAnsi="Times New Roman" w:eastAsia="Times New Roman" w:cs="Times New Roman"/>
                <w:spacing w:val="-12"/>
                <w:sz w:val="20"/>
                <w:szCs w:val="20"/>
              </w:rPr>
              <w:t xml:space="preserve">1 </w:t>
            </w:r>
            <w:r>
              <w:rPr>
                <w:rFonts w:ascii="宋体" w:hAnsi="宋体" w:eastAsia="宋体" w:cs="宋体"/>
                <w:spacing w:val="-12"/>
                <w:sz w:val="20"/>
                <w:szCs w:val="20"/>
              </w:rPr>
              <w:t>个容积为</w:t>
            </w:r>
            <w:r>
              <w:rPr>
                <w:rFonts w:ascii="宋体" w:hAnsi="宋体" w:eastAsia="宋体" w:cs="宋体"/>
                <w:sz w:val="20"/>
                <w:szCs w:val="20"/>
              </w:rPr>
              <w:t xml:space="preserve"> </w:t>
            </w:r>
            <w:r>
              <w:rPr>
                <w:rFonts w:ascii="Times New Roman" w:hAnsi="Times New Roman" w:eastAsia="Times New Roman" w:cs="Times New Roman"/>
                <w:spacing w:val="-22"/>
                <w:sz w:val="20"/>
                <w:szCs w:val="20"/>
              </w:rPr>
              <w:t>6</w:t>
            </w:r>
            <w:r>
              <w:rPr>
                <w:rFonts w:ascii="Times New Roman" w:hAnsi="Times New Roman" w:eastAsia="Times New Roman" w:cs="Times New Roman"/>
                <w:spacing w:val="-11"/>
                <w:sz w:val="20"/>
                <w:szCs w:val="20"/>
              </w:rPr>
              <w:t>m</w:t>
            </w:r>
            <w:r>
              <w:rPr>
                <w:rFonts w:ascii="Times New Roman" w:hAnsi="Times New Roman" w:eastAsia="Times New Roman" w:cs="Times New Roman"/>
                <w:spacing w:val="-11"/>
                <w:position w:val="6"/>
                <w:sz w:val="13"/>
                <w:szCs w:val="13"/>
              </w:rPr>
              <w:t xml:space="preserve">3 </w:t>
            </w:r>
            <w:r>
              <w:rPr>
                <w:rFonts w:ascii="宋体" w:hAnsi="宋体" w:eastAsia="宋体" w:cs="宋体"/>
                <w:spacing w:val="-11"/>
                <w:sz w:val="20"/>
                <w:szCs w:val="20"/>
              </w:rPr>
              <w:t>的洗字槽 (</w:t>
            </w:r>
            <w:r>
              <w:rPr>
                <w:rFonts w:ascii="Times New Roman" w:hAnsi="Times New Roman" w:eastAsia="Times New Roman" w:cs="Times New Roman"/>
                <w:spacing w:val="-11"/>
                <w:sz w:val="20"/>
                <w:szCs w:val="20"/>
              </w:rPr>
              <w:t>2.5m×1.2m×2m</w:t>
            </w:r>
            <w:r>
              <w:rPr>
                <w:rFonts w:ascii="宋体" w:hAnsi="宋体" w:eastAsia="宋体" w:cs="宋体"/>
                <w:spacing w:val="-11"/>
                <w:sz w:val="20"/>
                <w:szCs w:val="20"/>
              </w:rPr>
              <w:t>) ，</w:t>
            </w:r>
            <w:r>
              <w:rPr>
                <w:rFonts w:ascii="宋体" w:hAnsi="宋体" w:eastAsia="宋体" w:cs="宋体"/>
                <w:sz w:val="20"/>
                <w:szCs w:val="20"/>
              </w:rPr>
              <w:t xml:space="preserve"> </w:t>
            </w:r>
            <w:r>
              <w:rPr>
                <w:rFonts w:ascii="宋体" w:hAnsi="宋体" w:eastAsia="宋体" w:cs="宋体"/>
                <w:spacing w:val="-20"/>
                <w:sz w:val="20"/>
                <w:szCs w:val="20"/>
              </w:rPr>
              <w:t>配</w:t>
            </w:r>
            <w:r>
              <w:rPr>
                <w:rFonts w:ascii="宋体" w:hAnsi="宋体" w:eastAsia="宋体" w:cs="宋体"/>
                <w:spacing w:val="-12"/>
                <w:sz w:val="20"/>
                <w:szCs w:val="20"/>
              </w:rPr>
              <w:t xml:space="preserve">套设有 </w:t>
            </w:r>
            <w:r>
              <w:rPr>
                <w:rFonts w:ascii="Times New Roman" w:hAnsi="Times New Roman" w:eastAsia="Times New Roman" w:cs="Times New Roman"/>
                <w:spacing w:val="-12"/>
                <w:sz w:val="20"/>
                <w:szCs w:val="20"/>
              </w:rPr>
              <w:t xml:space="preserve">1 </w:t>
            </w:r>
            <w:r>
              <w:rPr>
                <w:rFonts w:ascii="宋体" w:hAnsi="宋体" w:eastAsia="宋体" w:cs="宋体"/>
                <w:spacing w:val="-12"/>
                <w:sz w:val="20"/>
                <w:szCs w:val="20"/>
              </w:rPr>
              <w:t xml:space="preserve">台 </w:t>
            </w:r>
            <w:r>
              <w:rPr>
                <w:rFonts w:ascii="Times New Roman" w:hAnsi="Times New Roman" w:eastAsia="Times New Roman" w:cs="Times New Roman"/>
                <w:spacing w:val="-12"/>
                <w:sz w:val="20"/>
                <w:szCs w:val="20"/>
              </w:rPr>
              <w:t xml:space="preserve">2t/h </w:t>
            </w:r>
            <w:r>
              <w:rPr>
                <w:rFonts w:ascii="宋体" w:hAnsi="宋体" w:eastAsia="宋体" w:cs="宋体"/>
                <w:spacing w:val="-12"/>
                <w:sz w:val="20"/>
                <w:szCs w:val="20"/>
              </w:rPr>
              <w:t>的热风炉，产</w:t>
            </w:r>
            <w:r>
              <w:rPr>
                <w:rFonts w:ascii="宋体" w:hAnsi="宋体" w:eastAsia="宋体" w:cs="宋体"/>
                <w:sz w:val="20"/>
                <w:szCs w:val="20"/>
              </w:rPr>
              <w:t xml:space="preserve"> </w:t>
            </w:r>
            <w:r>
              <w:rPr>
                <w:rFonts w:ascii="宋体" w:hAnsi="宋体" w:eastAsia="宋体" w:cs="宋体"/>
                <w:spacing w:val="8"/>
                <w:sz w:val="20"/>
                <w:szCs w:val="20"/>
              </w:rPr>
              <w:t>生的</w:t>
            </w:r>
            <w:r>
              <w:rPr>
                <w:rFonts w:ascii="宋体" w:hAnsi="宋体" w:eastAsia="宋体" w:cs="宋体"/>
                <w:spacing w:val="5"/>
                <w:sz w:val="20"/>
                <w:szCs w:val="20"/>
              </w:rPr>
              <w:t>废</w:t>
            </w:r>
            <w:r>
              <w:rPr>
                <w:rFonts w:ascii="宋体" w:hAnsi="宋体" w:eastAsia="宋体" w:cs="宋体"/>
                <w:spacing w:val="4"/>
                <w:sz w:val="20"/>
                <w:szCs w:val="20"/>
              </w:rPr>
              <w:t>气经配套的布袋除尘器</w:t>
            </w:r>
            <w:r>
              <w:rPr>
                <w:rFonts w:ascii="宋体" w:hAnsi="宋体" w:eastAsia="宋体" w:cs="宋体"/>
                <w:sz w:val="20"/>
                <w:szCs w:val="20"/>
              </w:rPr>
              <w:t xml:space="preserve"> </w:t>
            </w:r>
            <w:r>
              <w:rPr>
                <w:rFonts w:ascii="宋体" w:hAnsi="宋体" w:eastAsia="宋体" w:cs="宋体"/>
                <w:spacing w:val="-17"/>
                <w:sz w:val="20"/>
                <w:szCs w:val="20"/>
              </w:rPr>
              <w:t>处</w:t>
            </w:r>
            <w:r>
              <w:rPr>
                <w:rFonts w:ascii="宋体" w:hAnsi="宋体" w:eastAsia="宋体" w:cs="宋体"/>
                <w:spacing w:val="-16"/>
                <w:sz w:val="20"/>
                <w:szCs w:val="20"/>
              </w:rPr>
              <w:t xml:space="preserve">理后，通过 </w:t>
            </w:r>
            <w:r>
              <w:rPr>
                <w:rFonts w:ascii="Times New Roman" w:hAnsi="Times New Roman" w:eastAsia="Times New Roman" w:cs="Times New Roman"/>
                <w:spacing w:val="-16"/>
                <w:sz w:val="20"/>
                <w:szCs w:val="20"/>
              </w:rPr>
              <w:t xml:space="preserve">1 </w:t>
            </w:r>
            <w:r>
              <w:rPr>
                <w:rFonts w:ascii="宋体" w:hAnsi="宋体" w:eastAsia="宋体" w:cs="宋体"/>
                <w:spacing w:val="-16"/>
                <w:sz w:val="20"/>
                <w:szCs w:val="20"/>
              </w:rPr>
              <w:t xml:space="preserve">个 </w:t>
            </w:r>
            <w:r>
              <w:rPr>
                <w:rFonts w:ascii="Times New Roman" w:hAnsi="Times New Roman" w:eastAsia="Times New Roman" w:cs="Times New Roman"/>
                <w:spacing w:val="-16"/>
                <w:sz w:val="20"/>
                <w:szCs w:val="20"/>
              </w:rPr>
              <w:t>3#</w:t>
            </w:r>
            <w:r>
              <w:rPr>
                <w:rFonts w:ascii="宋体" w:hAnsi="宋体" w:eastAsia="宋体" w:cs="宋体"/>
                <w:spacing w:val="-16"/>
                <w:sz w:val="20"/>
                <w:szCs w:val="20"/>
              </w:rPr>
              <w:t>排气筒进行</w:t>
            </w:r>
            <w:r>
              <w:rPr>
                <w:rFonts w:ascii="宋体" w:hAnsi="宋体" w:eastAsia="宋体" w:cs="宋体"/>
                <w:sz w:val="20"/>
                <w:szCs w:val="20"/>
              </w:rPr>
              <w:t xml:space="preserve"> </w:t>
            </w:r>
            <w:r>
              <w:rPr>
                <w:rFonts w:ascii="宋体" w:hAnsi="宋体" w:eastAsia="宋体" w:cs="宋体"/>
                <w:spacing w:val="-14"/>
                <w:sz w:val="20"/>
                <w:szCs w:val="20"/>
              </w:rPr>
              <w:t>排</w:t>
            </w:r>
            <w:r>
              <w:rPr>
                <w:rFonts w:ascii="宋体" w:hAnsi="宋体" w:eastAsia="宋体" w:cs="宋体"/>
                <w:spacing w:val="-10"/>
                <w:sz w:val="20"/>
                <w:szCs w:val="20"/>
              </w:rPr>
              <w:t xml:space="preserve">放，排气筒高度为 </w:t>
            </w:r>
            <w:r>
              <w:rPr>
                <w:rFonts w:ascii="Times New Roman" w:hAnsi="Times New Roman" w:eastAsia="Times New Roman" w:cs="Times New Roman"/>
                <w:spacing w:val="-10"/>
                <w:sz w:val="20"/>
                <w:szCs w:val="20"/>
              </w:rPr>
              <w:t xml:space="preserve">30m  </w:t>
            </w:r>
            <w:r>
              <w:rPr>
                <w:rFonts w:ascii="宋体" w:hAnsi="宋体" w:eastAsia="宋体" w:cs="宋体"/>
                <w:spacing w:val="-10"/>
                <w:sz w:val="20"/>
                <w:szCs w:val="20"/>
              </w:rPr>
              <w:t>(新建</w:t>
            </w:r>
          </w:p>
        </w:tc>
        <w:tc>
          <w:tcPr>
            <w:tcW w:w="594" w:type="dxa"/>
            <w:tcBorders>
              <w:left w:val="single" w:color="000000" w:sz="4" w:space="0"/>
              <w:bottom w:val="nil"/>
              <w:right w:val="single" w:color="000000" w:sz="4" w:space="0"/>
            </w:tcBorders>
            <w:textDirection w:val="tbRlV"/>
            <w:vAlign w:val="top"/>
          </w:tcPr>
          <w:p w14:paraId="760E87E8">
            <w:pPr>
              <w:spacing w:before="188" w:line="216" w:lineRule="auto"/>
              <w:ind w:left="568"/>
              <w:rPr>
                <w:rFonts w:ascii="宋体" w:hAnsi="宋体" w:eastAsia="宋体" w:cs="宋体"/>
                <w:sz w:val="20"/>
                <w:szCs w:val="20"/>
              </w:rPr>
            </w:pPr>
            <w:r>
              <w:rPr>
                <w:rFonts w:ascii="宋体" w:hAnsi="宋体" w:eastAsia="宋体" w:cs="宋体"/>
                <w:spacing w:val="-9"/>
                <w:sz w:val="20"/>
                <w:szCs w:val="20"/>
              </w:rPr>
              <w:t>排</w:t>
            </w:r>
            <w:r>
              <w:rPr>
                <w:rFonts w:ascii="宋体" w:hAnsi="宋体" w:eastAsia="宋体" w:cs="宋体"/>
                <w:spacing w:val="-6"/>
                <w:sz w:val="20"/>
                <w:szCs w:val="20"/>
              </w:rPr>
              <w:t xml:space="preserve"> 气 筒</w:t>
            </w:r>
          </w:p>
        </w:tc>
        <w:tc>
          <w:tcPr>
            <w:tcW w:w="2126" w:type="dxa"/>
            <w:tcBorders>
              <w:left w:val="single" w:color="000000" w:sz="4" w:space="0"/>
              <w:bottom w:val="nil"/>
              <w:right w:val="nil"/>
            </w:tcBorders>
            <w:vAlign w:val="top"/>
          </w:tcPr>
          <w:p w14:paraId="536B5EC4">
            <w:pPr>
              <w:spacing w:line="250" w:lineRule="auto"/>
              <w:rPr>
                <w:rFonts w:ascii="Arial"/>
                <w:sz w:val="21"/>
              </w:rPr>
            </w:pPr>
          </w:p>
          <w:p w14:paraId="14FB86B2">
            <w:pPr>
              <w:spacing w:line="250" w:lineRule="auto"/>
              <w:rPr>
                <w:rFonts w:ascii="Arial"/>
                <w:sz w:val="21"/>
              </w:rPr>
            </w:pPr>
          </w:p>
          <w:p w14:paraId="5AF235E8">
            <w:pPr>
              <w:spacing w:before="65" w:line="258" w:lineRule="auto"/>
              <w:ind w:left="11" w:firstLine="31"/>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锅</w:t>
            </w:r>
            <w:r>
              <w:rPr>
                <w:rFonts w:ascii="宋体" w:hAnsi="宋体" w:eastAsia="宋体" w:cs="宋体"/>
                <w:spacing w:val="-3"/>
                <w:sz w:val="20"/>
                <w:szCs w:val="20"/>
              </w:rPr>
              <w:t>炉大气污染物排放</w:t>
            </w:r>
            <w:r>
              <w:rPr>
                <w:rFonts w:ascii="宋体" w:hAnsi="宋体" w:eastAsia="宋体" w:cs="宋体"/>
                <w:sz w:val="20"/>
                <w:szCs w:val="20"/>
              </w:rPr>
              <w:t xml:space="preserve"> </w:t>
            </w:r>
            <w:r>
              <w:rPr>
                <w:rFonts w:ascii="宋体" w:hAnsi="宋体" w:eastAsia="宋体" w:cs="宋体"/>
                <w:spacing w:val="-2"/>
                <w:sz w:val="20"/>
                <w:szCs w:val="20"/>
              </w:rPr>
              <w:t>标准》(</w:t>
            </w:r>
            <w:r>
              <w:rPr>
                <w:rFonts w:ascii="Times New Roman" w:hAnsi="Times New Roman" w:eastAsia="Times New Roman" w:cs="Times New Roman"/>
                <w:spacing w:val="-1"/>
                <w:sz w:val="20"/>
                <w:szCs w:val="20"/>
              </w:rPr>
              <w:t>G</w:t>
            </w:r>
            <w:r>
              <w:rPr>
                <w:rFonts w:ascii="Times New Roman" w:hAnsi="Times New Roman" w:eastAsia="Times New Roman" w:cs="Times New Roman"/>
                <w:sz w:val="20"/>
                <w:szCs w:val="20"/>
              </w:rPr>
              <w:t>B</w:t>
            </w:r>
            <w:r>
              <w:rPr>
                <w:rFonts w:ascii="Times New Roman" w:hAnsi="Times New Roman" w:eastAsia="Times New Roman" w:cs="Times New Roman"/>
                <w:spacing w:val="-2"/>
                <w:sz w:val="20"/>
                <w:szCs w:val="20"/>
              </w:rPr>
              <w:t>13271-2014</w:t>
            </w:r>
            <w:r>
              <w:rPr>
                <w:rFonts w:ascii="宋体" w:hAnsi="宋体" w:eastAsia="宋体" w:cs="宋体"/>
                <w:spacing w:val="-2"/>
                <w:sz w:val="20"/>
                <w:szCs w:val="20"/>
              </w:rPr>
              <w:t>)</w:t>
            </w:r>
          </w:p>
          <w:p w14:paraId="2757D91E">
            <w:pPr>
              <w:spacing w:line="228" w:lineRule="auto"/>
              <w:ind w:left="347"/>
              <w:rPr>
                <w:rFonts w:ascii="宋体" w:hAnsi="宋体" w:eastAsia="宋体" w:cs="宋体"/>
                <w:sz w:val="20"/>
                <w:szCs w:val="20"/>
              </w:rPr>
            </w:pPr>
            <w:r>
              <w:rPr>
                <w:rFonts w:ascii="宋体" w:hAnsi="宋体" w:eastAsia="宋体" w:cs="宋体"/>
                <w:spacing w:val="-2"/>
                <w:sz w:val="20"/>
                <w:szCs w:val="20"/>
              </w:rPr>
              <w:t xml:space="preserve">表 </w:t>
            </w:r>
            <w:r>
              <w:rPr>
                <w:rFonts w:ascii="Times New Roman" w:hAnsi="Times New Roman" w:eastAsia="Times New Roman" w:cs="Times New Roman"/>
                <w:spacing w:val="-2"/>
                <w:sz w:val="20"/>
                <w:szCs w:val="20"/>
              </w:rPr>
              <w:t xml:space="preserve">3 </w:t>
            </w:r>
            <w:r>
              <w:rPr>
                <w:rFonts w:ascii="宋体" w:hAnsi="宋体" w:eastAsia="宋体" w:cs="宋体"/>
                <w:spacing w:val="-1"/>
                <w:sz w:val="20"/>
                <w:szCs w:val="20"/>
              </w:rPr>
              <w:t>中标准要求</w:t>
            </w:r>
          </w:p>
        </w:tc>
      </w:tr>
    </w:tbl>
    <w:p w14:paraId="15F11C1B">
      <w:pPr>
        <w:rPr>
          <w:rFonts w:ascii="Arial"/>
          <w:sz w:val="21"/>
        </w:rPr>
      </w:pPr>
    </w:p>
    <w:p w14:paraId="29B52E57">
      <w:pPr>
        <w:sectPr>
          <w:headerReference r:id="rId329" w:type="default"/>
          <w:footerReference r:id="rId330" w:type="default"/>
          <w:pgSz w:w="11906" w:h="16839"/>
          <w:pgMar w:top="1132" w:right="1691" w:bottom="1182" w:left="1691" w:header="878" w:footer="1022" w:gutter="0"/>
          <w:cols w:space="720" w:num="1"/>
        </w:sectPr>
      </w:pPr>
    </w:p>
    <w:p w14:paraId="34064AEF">
      <w:r>
        <w:pict>
          <v:rect id="_x0000_s1385" o:spid="_x0000_s1385" o:spt="1" style="position:absolute;left:0pt;margin-left:90pt;margin-top:57.35pt;height:0.75pt;width:415.3pt;mso-position-horizontal-relative:page;mso-position-vertical-relative:page;z-index:252081152;mso-width-relative:page;mso-height-relative:page;" fillcolor="#000000" filled="t" stroked="f" coordsize="21600,21600" o:allowincell="f">
            <v:path/>
            <v:fill on="t" focussize="0,0"/>
            <v:stroke on="f"/>
            <v:imagedata o:title=""/>
            <o:lock v:ext="edit"/>
          </v:rect>
        </w:pict>
      </w:r>
    </w:p>
    <w:p w14:paraId="25C49E7F">
      <w:pPr>
        <w:spacing w:line="65" w:lineRule="exact"/>
      </w:pPr>
    </w:p>
    <w:tbl>
      <w:tblPr>
        <w:tblStyle w:val="4"/>
        <w:tblW w:w="8320"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510"/>
        <w:gridCol w:w="1170"/>
        <w:gridCol w:w="645"/>
        <w:gridCol w:w="2780"/>
        <w:gridCol w:w="594"/>
        <w:gridCol w:w="2141"/>
      </w:tblGrid>
      <w:tr w14:paraId="532DF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480" w:type="dxa"/>
            <w:tcBorders>
              <w:left w:val="nil"/>
              <w:right w:val="single" w:color="000000" w:sz="4" w:space="0"/>
            </w:tcBorders>
            <w:vAlign w:val="top"/>
          </w:tcPr>
          <w:p w14:paraId="00E78718">
            <w:pPr>
              <w:rPr>
                <w:rFonts w:ascii="Arial"/>
                <w:sz w:val="21"/>
              </w:rPr>
            </w:pPr>
          </w:p>
        </w:tc>
        <w:tc>
          <w:tcPr>
            <w:tcW w:w="510" w:type="dxa"/>
            <w:tcBorders>
              <w:left w:val="single" w:color="000000" w:sz="4" w:space="0"/>
              <w:right w:val="single" w:color="000000" w:sz="4" w:space="0"/>
            </w:tcBorders>
            <w:vAlign w:val="top"/>
          </w:tcPr>
          <w:p w14:paraId="0A479071">
            <w:pPr>
              <w:rPr>
                <w:rFonts w:ascii="Arial"/>
                <w:sz w:val="21"/>
              </w:rPr>
            </w:pPr>
          </w:p>
        </w:tc>
        <w:tc>
          <w:tcPr>
            <w:tcW w:w="1170" w:type="dxa"/>
            <w:tcBorders>
              <w:left w:val="single" w:color="000000" w:sz="4" w:space="0"/>
              <w:right w:val="single" w:color="000000" w:sz="4" w:space="0"/>
            </w:tcBorders>
            <w:vAlign w:val="top"/>
          </w:tcPr>
          <w:p w14:paraId="44F81EBE">
            <w:pPr>
              <w:rPr>
                <w:rFonts w:ascii="Arial"/>
                <w:sz w:val="21"/>
              </w:rPr>
            </w:pPr>
          </w:p>
        </w:tc>
        <w:tc>
          <w:tcPr>
            <w:tcW w:w="645" w:type="dxa"/>
            <w:tcBorders>
              <w:left w:val="single" w:color="000000" w:sz="4" w:space="0"/>
              <w:right w:val="single" w:color="000000" w:sz="4" w:space="0"/>
            </w:tcBorders>
            <w:vAlign w:val="top"/>
          </w:tcPr>
          <w:p w14:paraId="59BAF737">
            <w:pPr>
              <w:rPr>
                <w:rFonts w:ascii="Arial"/>
                <w:sz w:val="21"/>
              </w:rPr>
            </w:pPr>
          </w:p>
        </w:tc>
        <w:tc>
          <w:tcPr>
            <w:tcW w:w="2780" w:type="dxa"/>
            <w:tcBorders>
              <w:left w:val="single" w:color="000000" w:sz="4" w:space="0"/>
              <w:right w:val="single" w:color="000000" w:sz="4" w:space="0"/>
            </w:tcBorders>
            <w:vAlign w:val="top"/>
          </w:tcPr>
          <w:p w14:paraId="46B4EDED">
            <w:pPr>
              <w:spacing w:before="60" w:line="268" w:lineRule="auto"/>
              <w:ind w:left="12" w:hanging="2"/>
              <w:rPr>
                <w:rFonts w:ascii="宋体" w:hAnsi="宋体" w:eastAsia="宋体" w:cs="宋体"/>
                <w:sz w:val="20"/>
                <w:szCs w:val="20"/>
              </w:rPr>
            </w:pPr>
            <w:r>
              <w:rPr>
                <w:rFonts w:ascii="宋体" w:hAnsi="宋体" w:eastAsia="宋体" w:cs="宋体"/>
                <w:spacing w:val="1"/>
                <w:sz w:val="20"/>
                <w:szCs w:val="20"/>
              </w:rPr>
              <w:t>锅炉房</w:t>
            </w:r>
            <w:r>
              <w:rPr>
                <w:rFonts w:ascii="宋体" w:hAnsi="宋体" w:eastAsia="宋体" w:cs="宋体"/>
                <w:sz w:val="20"/>
                <w:szCs w:val="20"/>
              </w:rPr>
              <w:t xml:space="preserve">的烟囱周围半径 </w:t>
            </w:r>
            <w:r>
              <w:rPr>
                <w:rFonts w:ascii="Times New Roman" w:hAnsi="Times New Roman" w:eastAsia="Times New Roman" w:cs="Times New Roman"/>
                <w:sz w:val="20"/>
                <w:szCs w:val="20"/>
              </w:rPr>
              <w:t>200m</w:t>
            </w:r>
            <w:r>
              <w:rPr>
                <w:rFonts w:ascii="宋体" w:hAnsi="宋体" w:eastAsia="宋体" w:cs="宋体"/>
                <w:sz w:val="20"/>
                <w:szCs w:val="20"/>
              </w:rPr>
              <w:t xml:space="preserve">距 </w:t>
            </w:r>
            <w:r>
              <w:rPr>
                <w:rFonts w:ascii="宋体" w:hAnsi="宋体" w:eastAsia="宋体" w:cs="宋体"/>
                <w:spacing w:val="-5"/>
                <w:sz w:val="20"/>
                <w:szCs w:val="20"/>
              </w:rPr>
              <w:t>离</w:t>
            </w:r>
            <w:r>
              <w:rPr>
                <w:rFonts w:ascii="宋体" w:hAnsi="宋体" w:eastAsia="宋体" w:cs="宋体"/>
                <w:spacing w:val="-3"/>
                <w:sz w:val="20"/>
                <w:szCs w:val="20"/>
              </w:rPr>
              <w:t>内有建筑物时，其烟囱应高出</w:t>
            </w:r>
            <w:r>
              <w:rPr>
                <w:rFonts w:ascii="宋体" w:hAnsi="宋体" w:eastAsia="宋体" w:cs="宋体"/>
                <w:sz w:val="20"/>
                <w:szCs w:val="20"/>
              </w:rPr>
              <w:t xml:space="preserve"> </w:t>
            </w:r>
            <w:r>
              <w:rPr>
                <w:rFonts w:ascii="宋体" w:hAnsi="宋体" w:eastAsia="宋体" w:cs="宋体"/>
                <w:spacing w:val="-8"/>
                <w:sz w:val="20"/>
                <w:szCs w:val="20"/>
              </w:rPr>
              <w:t>最</w:t>
            </w:r>
            <w:r>
              <w:rPr>
                <w:rFonts w:ascii="宋体" w:hAnsi="宋体" w:eastAsia="宋体" w:cs="宋体"/>
                <w:spacing w:val="-6"/>
                <w:sz w:val="20"/>
                <w:szCs w:val="20"/>
              </w:rPr>
              <w:t xml:space="preserve">高建筑物 </w:t>
            </w:r>
            <w:r>
              <w:rPr>
                <w:rFonts w:ascii="Times New Roman" w:hAnsi="Times New Roman" w:eastAsia="Times New Roman" w:cs="Times New Roman"/>
                <w:spacing w:val="-6"/>
                <w:sz w:val="20"/>
                <w:szCs w:val="20"/>
              </w:rPr>
              <w:t xml:space="preserve">3m </w:t>
            </w:r>
            <w:r>
              <w:rPr>
                <w:rFonts w:ascii="宋体" w:hAnsi="宋体" w:eastAsia="宋体" w:cs="宋体"/>
                <w:spacing w:val="-6"/>
                <w:sz w:val="20"/>
                <w:szCs w:val="20"/>
              </w:rPr>
              <w:t>以上) 。</w:t>
            </w:r>
          </w:p>
        </w:tc>
        <w:tc>
          <w:tcPr>
            <w:tcW w:w="594" w:type="dxa"/>
            <w:tcBorders>
              <w:left w:val="single" w:color="000000" w:sz="4" w:space="0"/>
              <w:right w:val="single" w:color="000000" w:sz="4" w:space="0"/>
            </w:tcBorders>
            <w:vAlign w:val="top"/>
          </w:tcPr>
          <w:p w14:paraId="081CE37E">
            <w:pPr>
              <w:rPr>
                <w:rFonts w:ascii="Arial"/>
                <w:sz w:val="21"/>
              </w:rPr>
            </w:pPr>
          </w:p>
        </w:tc>
        <w:tc>
          <w:tcPr>
            <w:tcW w:w="2141" w:type="dxa"/>
            <w:tcBorders>
              <w:left w:val="single" w:color="000000" w:sz="4" w:space="0"/>
              <w:right w:val="nil"/>
            </w:tcBorders>
            <w:vAlign w:val="top"/>
          </w:tcPr>
          <w:p w14:paraId="31248FAF">
            <w:pPr>
              <w:rPr>
                <w:rFonts w:ascii="Arial"/>
                <w:sz w:val="21"/>
              </w:rPr>
            </w:pPr>
          </w:p>
        </w:tc>
      </w:tr>
      <w:tr w14:paraId="01EFD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480" w:type="dxa"/>
            <w:vMerge w:val="restart"/>
            <w:tcBorders>
              <w:left w:val="nil"/>
              <w:bottom w:val="nil"/>
              <w:right w:val="single" w:color="000000" w:sz="4" w:space="0"/>
            </w:tcBorders>
            <w:vAlign w:val="top"/>
          </w:tcPr>
          <w:p w14:paraId="38C1D42D">
            <w:pPr>
              <w:spacing w:line="246" w:lineRule="auto"/>
              <w:rPr>
                <w:rFonts w:ascii="Arial"/>
                <w:sz w:val="21"/>
              </w:rPr>
            </w:pPr>
          </w:p>
          <w:p w14:paraId="02EE9CA1">
            <w:pPr>
              <w:spacing w:line="246" w:lineRule="auto"/>
              <w:rPr>
                <w:rFonts w:ascii="Arial"/>
                <w:sz w:val="21"/>
              </w:rPr>
            </w:pPr>
          </w:p>
          <w:p w14:paraId="170E5AA4">
            <w:pPr>
              <w:spacing w:line="246" w:lineRule="auto"/>
              <w:rPr>
                <w:rFonts w:ascii="Arial"/>
                <w:sz w:val="21"/>
              </w:rPr>
            </w:pPr>
          </w:p>
          <w:p w14:paraId="0127A62C">
            <w:pPr>
              <w:spacing w:line="246" w:lineRule="auto"/>
              <w:rPr>
                <w:rFonts w:ascii="Arial"/>
                <w:sz w:val="21"/>
              </w:rPr>
            </w:pPr>
          </w:p>
          <w:p w14:paraId="1AFA451D">
            <w:pPr>
              <w:spacing w:line="246" w:lineRule="auto"/>
              <w:rPr>
                <w:rFonts w:ascii="Arial"/>
                <w:sz w:val="21"/>
              </w:rPr>
            </w:pPr>
          </w:p>
          <w:p w14:paraId="349D1EEE">
            <w:pPr>
              <w:spacing w:line="246" w:lineRule="auto"/>
              <w:rPr>
                <w:rFonts w:ascii="Arial"/>
                <w:sz w:val="21"/>
              </w:rPr>
            </w:pPr>
          </w:p>
          <w:p w14:paraId="48D82F48">
            <w:pPr>
              <w:spacing w:line="246" w:lineRule="auto"/>
              <w:rPr>
                <w:rFonts w:ascii="Arial"/>
                <w:sz w:val="21"/>
              </w:rPr>
            </w:pPr>
          </w:p>
          <w:p w14:paraId="0FD93CF9">
            <w:pPr>
              <w:spacing w:line="246" w:lineRule="auto"/>
              <w:rPr>
                <w:rFonts w:ascii="Arial"/>
                <w:sz w:val="21"/>
              </w:rPr>
            </w:pPr>
          </w:p>
          <w:p w14:paraId="5D73EBC1">
            <w:pPr>
              <w:spacing w:line="247" w:lineRule="auto"/>
              <w:rPr>
                <w:rFonts w:ascii="Arial"/>
                <w:sz w:val="21"/>
              </w:rPr>
            </w:pPr>
          </w:p>
          <w:p w14:paraId="6330DDEC">
            <w:pPr>
              <w:spacing w:line="247" w:lineRule="auto"/>
              <w:rPr>
                <w:rFonts w:ascii="Arial"/>
                <w:sz w:val="21"/>
              </w:rPr>
            </w:pPr>
          </w:p>
          <w:p w14:paraId="0229BA4B">
            <w:pPr>
              <w:spacing w:line="247" w:lineRule="auto"/>
              <w:rPr>
                <w:rFonts w:ascii="Arial"/>
                <w:sz w:val="21"/>
              </w:rPr>
            </w:pPr>
          </w:p>
          <w:p w14:paraId="769E3B1C">
            <w:pPr>
              <w:spacing w:line="247" w:lineRule="auto"/>
              <w:rPr>
                <w:rFonts w:ascii="Arial"/>
                <w:sz w:val="21"/>
              </w:rPr>
            </w:pPr>
          </w:p>
          <w:p w14:paraId="390AB8F4">
            <w:pPr>
              <w:spacing w:line="247" w:lineRule="auto"/>
              <w:rPr>
                <w:rFonts w:ascii="Arial"/>
                <w:sz w:val="21"/>
              </w:rPr>
            </w:pPr>
          </w:p>
          <w:p w14:paraId="7E870E5F">
            <w:pPr>
              <w:spacing w:line="247" w:lineRule="auto"/>
              <w:rPr>
                <w:rFonts w:ascii="Arial"/>
                <w:sz w:val="21"/>
              </w:rPr>
            </w:pPr>
          </w:p>
          <w:p w14:paraId="48BF0056">
            <w:pPr>
              <w:spacing w:line="247" w:lineRule="auto"/>
              <w:rPr>
                <w:rFonts w:ascii="Arial"/>
                <w:sz w:val="21"/>
              </w:rPr>
            </w:pPr>
          </w:p>
          <w:p w14:paraId="3B28E212">
            <w:pPr>
              <w:spacing w:line="247" w:lineRule="auto"/>
              <w:rPr>
                <w:rFonts w:ascii="Arial"/>
                <w:sz w:val="21"/>
              </w:rPr>
            </w:pPr>
          </w:p>
          <w:p w14:paraId="405A7609">
            <w:pPr>
              <w:spacing w:line="247" w:lineRule="auto"/>
              <w:rPr>
                <w:rFonts w:ascii="Arial"/>
                <w:sz w:val="21"/>
              </w:rPr>
            </w:pPr>
          </w:p>
          <w:p w14:paraId="5CD4D1DF">
            <w:pPr>
              <w:spacing w:before="65" w:line="228" w:lineRule="auto"/>
              <w:ind w:left="33"/>
              <w:rPr>
                <w:rFonts w:ascii="宋体" w:hAnsi="宋体" w:eastAsia="宋体" w:cs="宋体"/>
                <w:sz w:val="20"/>
                <w:szCs w:val="20"/>
              </w:rPr>
            </w:pPr>
            <w:r>
              <w:rPr>
                <w:rFonts w:ascii="宋体" w:hAnsi="宋体" w:eastAsia="宋体" w:cs="宋体"/>
                <w:spacing w:val="5"/>
                <w:sz w:val="20"/>
                <w:szCs w:val="20"/>
              </w:rPr>
              <w:t>废水</w:t>
            </w:r>
          </w:p>
        </w:tc>
        <w:tc>
          <w:tcPr>
            <w:tcW w:w="510" w:type="dxa"/>
            <w:tcBorders>
              <w:left w:val="single" w:color="000000" w:sz="4" w:space="0"/>
              <w:right w:val="single" w:color="000000" w:sz="4" w:space="0"/>
            </w:tcBorders>
            <w:vAlign w:val="top"/>
          </w:tcPr>
          <w:p w14:paraId="4434B700">
            <w:pPr>
              <w:spacing w:before="188" w:line="271" w:lineRule="auto"/>
              <w:ind w:left="50" w:right="41"/>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活</w:t>
            </w:r>
            <w:r>
              <w:rPr>
                <w:rFonts w:ascii="宋体" w:hAnsi="宋体" w:eastAsia="宋体" w:cs="宋体"/>
                <w:sz w:val="20"/>
                <w:szCs w:val="20"/>
              </w:rPr>
              <w:t xml:space="preserve"> </w:t>
            </w:r>
            <w:r>
              <w:rPr>
                <w:rFonts w:ascii="宋体" w:hAnsi="宋体" w:eastAsia="宋体" w:cs="宋体"/>
                <w:spacing w:val="4"/>
                <w:sz w:val="20"/>
                <w:szCs w:val="20"/>
              </w:rPr>
              <w:t>污</w:t>
            </w:r>
            <w:r>
              <w:rPr>
                <w:rFonts w:ascii="宋体" w:hAnsi="宋体" w:eastAsia="宋体" w:cs="宋体"/>
                <w:spacing w:val="3"/>
                <w:sz w:val="20"/>
                <w:szCs w:val="20"/>
              </w:rPr>
              <w:t>水</w:t>
            </w:r>
          </w:p>
        </w:tc>
        <w:tc>
          <w:tcPr>
            <w:tcW w:w="1170" w:type="dxa"/>
            <w:tcBorders>
              <w:left w:val="single" w:color="000000" w:sz="4" w:space="0"/>
              <w:right w:val="single" w:color="000000" w:sz="4" w:space="0"/>
            </w:tcBorders>
            <w:vAlign w:val="top"/>
          </w:tcPr>
          <w:p w14:paraId="6D440C5A">
            <w:pPr>
              <w:spacing w:line="260" w:lineRule="auto"/>
              <w:rPr>
                <w:rFonts w:ascii="Arial"/>
                <w:sz w:val="21"/>
              </w:rPr>
            </w:pPr>
          </w:p>
          <w:p w14:paraId="5C08DEE3">
            <w:pPr>
              <w:spacing w:before="65" w:line="228" w:lineRule="auto"/>
              <w:ind w:left="277"/>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645" w:type="dxa"/>
            <w:tcBorders>
              <w:left w:val="single" w:color="000000" w:sz="4" w:space="0"/>
              <w:right w:val="single" w:color="000000" w:sz="4" w:space="0"/>
            </w:tcBorders>
            <w:vAlign w:val="top"/>
          </w:tcPr>
          <w:p w14:paraId="4D91A755">
            <w:pPr>
              <w:spacing w:before="82" w:line="195" w:lineRule="auto"/>
              <w:ind w:left="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p w14:paraId="77FC7749">
            <w:pPr>
              <w:spacing w:before="58" w:line="227" w:lineRule="auto"/>
              <w:ind w:left="115"/>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p w14:paraId="20D033D2">
            <w:pPr>
              <w:spacing w:before="7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2780" w:type="dxa"/>
            <w:tcBorders>
              <w:left w:val="single" w:color="000000" w:sz="4" w:space="0"/>
              <w:right w:val="single" w:color="000000" w:sz="4" w:space="0"/>
            </w:tcBorders>
            <w:vAlign w:val="top"/>
          </w:tcPr>
          <w:p w14:paraId="419076A2">
            <w:pPr>
              <w:spacing w:before="191" w:line="256" w:lineRule="auto"/>
              <w:ind w:left="13"/>
              <w:rPr>
                <w:rFonts w:ascii="宋体" w:hAnsi="宋体" w:eastAsia="宋体" w:cs="宋体"/>
                <w:sz w:val="20"/>
                <w:szCs w:val="20"/>
              </w:rPr>
            </w:pPr>
            <w:r>
              <w:rPr>
                <w:rFonts w:ascii="宋体" w:hAnsi="宋体" w:eastAsia="宋体" w:cs="宋体"/>
                <w:spacing w:val="-6"/>
                <w:sz w:val="20"/>
                <w:szCs w:val="20"/>
              </w:rPr>
              <w:t>项</w:t>
            </w:r>
            <w:r>
              <w:rPr>
                <w:rFonts w:ascii="宋体" w:hAnsi="宋体" w:eastAsia="宋体" w:cs="宋体"/>
                <w:spacing w:val="-3"/>
                <w:sz w:val="20"/>
                <w:szCs w:val="20"/>
              </w:rPr>
              <w:t>目在厂区东南侧设有旱厕，员</w:t>
            </w:r>
            <w:r>
              <w:rPr>
                <w:rFonts w:ascii="宋体" w:hAnsi="宋体" w:eastAsia="宋体" w:cs="宋体"/>
                <w:sz w:val="20"/>
                <w:szCs w:val="20"/>
              </w:rPr>
              <w:t xml:space="preserve"> </w:t>
            </w:r>
            <w:r>
              <w:rPr>
                <w:rFonts w:ascii="宋体" w:hAnsi="宋体" w:eastAsia="宋体" w:cs="宋体"/>
                <w:spacing w:val="-4"/>
                <w:sz w:val="20"/>
                <w:szCs w:val="20"/>
              </w:rPr>
              <w:t>工使用防</w:t>
            </w:r>
            <w:r>
              <w:rPr>
                <w:rFonts w:ascii="宋体" w:hAnsi="宋体" w:eastAsia="宋体" w:cs="宋体"/>
                <w:spacing w:val="-2"/>
                <w:sz w:val="20"/>
                <w:szCs w:val="20"/>
              </w:rPr>
              <w:t>渗旱厕，定期清掏。</w:t>
            </w:r>
          </w:p>
        </w:tc>
        <w:tc>
          <w:tcPr>
            <w:tcW w:w="594" w:type="dxa"/>
            <w:tcBorders>
              <w:left w:val="single" w:color="000000" w:sz="4" w:space="0"/>
              <w:right w:val="single" w:color="000000" w:sz="4" w:space="0"/>
            </w:tcBorders>
            <w:vAlign w:val="top"/>
          </w:tcPr>
          <w:p w14:paraId="6429AE40">
            <w:pPr>
              <w:spacing w:before="289" w:line="28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tcBorders>
              <w:left w:val="single" w:color="000000" w:sz="4" w:space="0"/>
              <w:right w:val="nil"/>
            </w:tcBorders>
            <w:vAlign w:val="top"/>
          </w:tcPr>
          <w:p w14:paraId="50FF6342">
            <w:pPr>
              <w:spacing w:line="261" w:lineRule="auto"/>
              <w:rPr>
                <w:rFonts w:ascii="Arial"/>
                <w:sz w:val="21"/>
              </w:rPr>
            </w:pPr>
          </w:p>
          <w:p w14:paraId="26198438">
            <w:pPr>
              <w:spacing w:before="65" w:line="228" w:lineRule="auto"/>
              <w:ind w:left="758"/>
              <w:rPr>
                <w:rFonts w:ascii="宋体" w:hAnsi="宋体" w:eastAsia="宋体" w:cs="宋体"/>
                <w:sz w:val="20"/>
                <w:szCs w:val="20"/>
              </w:rPr>
            </w:pPr>
            <w:r>
              <w:rPr>
                <w:rFonts w:ascii="宋体" w:hAnsi="宋体" w:eastAsia="宋体" w:cs="宋体"/>
                <w:spacing w:val="6"/>
                <w:sz w:val="20"/>
                <w:szCs w:val="20"/>
              </w:rPr>
              <w:t>不外</w:t>
            </w:r>
            <w:r>
              <w:rPr>
                <w:rFonts w:ascii="宋体" w:hAnsi="宋体" w:eastAsia="宋体" w:cs="宋体"/>
                <w:spacing w:val="5"/>
                <w:sz w:val="20"/>
                <w:szCs w:val="20"/>
              </w:rPr>
              <w:t>排</w:t>
            </w:r>
          </w:p>
        </w:tc>
      </w:tr>
      <w:tr w14:paraId="4865A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9" w:hRule="atLeast"/>
        </w:trPr>
        <w:tc>
          <w:tcPr>
            <w:tcW w:w="480" w:type="dxa"/>
            <w:vMerge w:val="continue"/>
            <w:tcBorders>
              <w:top w:val="nil"/>
              <w:left w:val="nil"/>
              <w:bottom w:val="nil"/>
              <w:right w:val="single" w:color="000000" w:sz="4" w:space="0"/>
            </w:tcBorders>
            <w:vAlign w:val="top"/>
          </w:tcPr>
          <w:p w14:paraId="65028791">
            <w:pPr>
              <w:rPr>
                <w:rFonts w:ascii="Arial"/>
                <w:sz w:val="21"/>
              </w:rPr>
            </w:pPr>
          </w:p>
        </w:tc>
        <w:tc>
          <w:tcPr>
            <w:tcW w:w="510" w:type="dxa"/>
            <w:tcBorders>
              <w:left w:val="single" w:color="000000" w:sz="4" w:space="0"/>
              <w:right w:val="single" w:color="000000" w:sz="4" w:space="0"/>
            </w:tcBorders>
            <w:vAlign w:val="top"/>
          </w:tcPr>
          <w:p w14:paraId="5781515A">
            <w:pPr>
              <w:spacing w:line="277" w:lineRule="auto"/>
              <w:rPr>
                <w:rFonts w:ascii="Arial"/>
                <w:sz w:val="21"/>
              </w:rPr>
            </w:pPr>
          </w:p>
          <w:p w14:paraId="01CF44F9">
            <w:pPr>
              <w:spacing w:line="277" w:lineRule="auto"/>
              <w:rPr>
                <w:rFonts w:ascii="Arial"/>
                <w:sz w:val="21"/>
              </w:rPr>
            </w:pPr>
          </w:p>
          <w:p w14:paraId="02D9CD29">
            <w:pPr>
              <w:spacing w:line="277" w:lineRule="auto"/>
              <w:rPr>
                <w:rFonts w:ascii="Arial"/>
                <w:sz w:val="21"/>
              </w:rPr>
            </w:pPr>
          </w:p>
          <w:p w14:paraId="3E14A40D">
            <w:pPr>
              <w:spacing w:line="277" w:lineRule="auto"/>
              <w:rPr>
                <w:rFonts w:ascii="Arial"/>
                <w:sz w:val="21"/>
              </w:rPr>
            </w:pPr>
          </w:p>
          <w:p w14:paraId="779A2585">
            <w:pPr>
              <w:spacing w:line="278" w:lineRule="auto"/>
              <w:rPr>
                <w:rFonts w:ascii="Arial"/>
                <w:sz w:val="21"/>
              </w:rPr>
            </w:pPr>
          </w:p>
          <w:p w14:paraId="14475B01">
            <w:pPr>
              <w:spacing w:before="65" w:line="273" w:lineRule="auto"/>
              <w:ind w:left="47" w:right="41" w:firstLine="2"/>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5"/>
                <w:sz w:val="20"/>
                <w:szCs w:val="20"/>
              </w:rPr>
              <w:t>废水</w:t>
            </w:r>
          </w:p>
        </w:tc>
        <w:tc>
          <w:tcPr>
            <w:tcW w:w="1170" w:type="dxa"/>
            <w:tcBorders>
              <w:left w:val="single" w:color="000000" w:sz="4" w:space="0"/>
              <w:right w:val="single" w:color="000000" w:sz="4" w:space="0"/>
            </w:tcBorders>
            <w:vAlign w:val="top"/>
          </w:tcPr>
          <w:p w14:paraId="2530D6FA">
            <w:pPr>
              <w:spacing w:line="253" w:lineRule="auto"/>
              <w:rPr>
                <w:rFonts w:ascii="Arial"/>
                <w:sz w:val="21"/>
              </w:rPr>
            </w:pPr>
          </w:p>
          <w:p w14:paraId="1F427E10">
            <w:pPr>
              <w:spacing w:line="254" w:lineRule="auto"/>
              <w:rPr>
                <w:rFonts w:ascii="Arial"/>
                <w:sz w:val="21"/>
              </w:rPr>
            </w:pPr>
          </w:p>
          <w:p w14:paraId="047EFDEE">
            <w:pPr>
              <w:spacing w:line="254" w:lineRule="auto"/>
              <w:rPr>
                <w:rFonts w:ascii="Arial"/>
                <w:sz w:val="21"/>
              </w:rPr>
            </w:pPr>
          </w:p>
          <w:p w14:paraId="7C89FFF5">
            <w:pPr>
              <w:spacing w:line="254" w:lineRule="auto"/>
              <w:rPr>
                <w:rFonts w:ascii="Arial"/>
                <w:sz w:val="21"/>
              </w:rPr>
            </w:pPr>
          </w:p>
          <w:p w14:paraId="78FCC23E">
            <w:pPr>
              <w:spacing w:line="254" w:lineRule="auto"/>
              <w:rPr>
                <w:rFonts w:ascii="Arial"/>
                <w:sz w:val="21"/>
              </w:rPr>
            </w:pPr>
          </w:p>
          <w:p w14:paraId="551F5D48">
            <w:pPr>
              <w:spacing w:line="254" w:lineRule="auto"/>
              <w:rPr>
                <w:rFonts w:ascii="Arial"/>
                <w:sz w:val="21"/>
              </w:rPr>
            </w:pPr>
          </w:p>
          <w:p w14:paraId="4F637D3C">
            <w:pPr>
              <w:spacing w:before="65" w:line="228" w:lineRule="auto"/>
              <w:ind w:left="169"/>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p>
        </w:tc>
        <w:tc>
          <w:tcPr>
            <w:tcW w:w="645" w:type="dxa"/>
            <w:tcBorders>
              <w:left w:val="single" w:color="000000" w:sz="4" w:space="0"/>
              <w:right w:val="single" w:color="000000" w:sz="4" w:space="0"/>
            </w:tcBorders>
            <w:vAlign w:val="top"/>
          </w:tcPr>
          <w:p w14:paraId="730B17C1">
            <w:pPr>
              <w:spacing w:line="286" w:lineRule="auto"/>
              <w:rPr>
                <w:rFonts w:ascii="Arial"/>
                <w:sz w:val="21"/>
              </w:rPr>
            </w:pPr>
          </w:p>
          <w:p w14:paraId="0777FAB6">
            <w:pPr>
              <w:spacing w:line="287" w:lineRule="auto"/>
              <w:rPr>
                <w:rFonts w:ascii="Arial"/>
                <w:sz w:val="21"/>
              </w:rPr>
            </w:pPr>
          </w:p>
          <w:p w14:paraId="6B6874CB">
            <w:pPr>
              <w:spacing w:line="287" w:lineRule="auto"/>
              <w:rPr>
                <w:rFonts w:ascii="Arial"/>
                <w:sz w:val="21"/>
              </w:rPr>
            </w:pPr>
          </w:p>
          <w:p w14:paraId="4ACD8E62">
            <w:pPr>
              <w:spacing w:line="287" w:lineRule="auto"/>
              <w:rPr>
                <w:rFonts w:ascii="Arial"/>
                <w:sz w:val="21"/>
              </w:rPr>
            </w:pPr>
          </w:p>
          <w:p w14:paraId="5A9B4A82">
            <w:pPr>
              <w:spacing w:before="58" w:line="267" w:lineRule="auto"/>
              <w:ind w:left="8" w:right="3" w:firstLine="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r>
              <w:rPr>
                <w:rFonts w:ascii="Times New Roman" w:hAnsi="Times New Roman" w:eastAsia="Times New Roman" w:cs="Times New Roman"/>
                <w:sz w:val="20"/>
                <w:szCs w:val="20"/>
              </w:rPr>
              <w:t xml:space="preserve"> </w:t>
            </w:r>
            <w:r>
              <w:rPr>
                <w:rFonts w:ascii="宋体" w:hAnsi="宋体" w:eastAsia="宋体" w:cs="宋体"/>
                <w:spacing w:val="8"/>
                <w:sz w:val="20"/>
                <w:szCs w:val="20"/>
              </w:rPr>
              <w:t>、</w:t>
            </w:r>
            <w:r>
              <w:rPr>
                <w:rFonts w:ascii="宋体" w:hAnsi="宋体" w:eastAsia="宋体" w:cs="宋体"/>
                <w:spacing w:val="6"/>
                <w:sz w:val="20"/>
                <w:szCs w:val="20"/>
              </w:rPr>
              <w:t>石油</w:t>
            </w:r>
            <w:r>
              <w:rPr>
                <w:rFonts w:ascii="宋体" w:hAnsi="宋体" w:eastAsia="宋体" w:cs="宋体"/>
                <w:sz w:val="20"/>
                <w:szCs w:val="20"/>
              </w:rPr>
              <w:t xml:space="preserve"> </w:t>
            </w:r>
            <w:r>
              <w:rPr>
                <w:rFonts w:ascii="宋体" w:hAnsi="宋体" w:eastAsia="宋体" w:cs="宋体"/>
                <w:spacing w:val="8"/>
                <w:sz w:val="20"/>
                <w:szCs w:val="20"/>
              </w:rPr>
              <w:t>类</w:t>
            </w:r>
            <w:r>
              <w:rPr>
                <w:rFonts w:ascii="宋体" w:hAnsi="宋体" w:eastAsia="宋体" w:cs="宋体"/>
                <w:spacing w:val="7"/>
                <w:sz w:val="20"/>
                <w:szCs w:val="20"/>
              </w:rPr>
              <w:t>、氨</w:t>
            </w:r>
            <w:r>
              <w:rPr>
                <w:rFonts w:ascii="宋体" w:hAnsi="宋体" w:eastAsia="宋体" w:cs="宋体"/>
                <w:sz w:val="20"/>
                <w:szCs w:val="20"/>
              </w:rPr>
              <w:t xml:space="preserve"> 氮、</w:t>
            </w:r>
            <w:r>
              <w:rPr>
                <w:rFonts w:ascii="Times New Roman" w:hAnsi="Times New Roman" w:eastAsia="Times New Roman" w:cs="Times New Roman"/>
                <w:sz w:val="20"/>
                <w:szCs w:val="20"/>
              </w:rPr>
              <w:t>SS</w:t>
            </w:r>
          </w:p>
        </w:tc>
        <w:tc>
          <w:tcPr>
            <w:tcW w:w="2780" w:type="dxa"/>
            <w:tcBorders>
              <w:left w:val="single" w:color="000000" w:sz="4" w:space="0"/>
              <w:right w:val="single" w:color="000000" w:sz="4" w:space="0"/>
            </w:tcBorders>
            <w:vAlign w:val="top"/>
          </w:tcPr>
          <w:p w14:paraId="35DDCA4B">
            <w:pPr>
              <w:spacing w:before="37" w:line="238" w:lineRule="auto"/>
              <w:ind w:left="9" w:firstLine="4"/>
              <w:rPr>
                <w:rFonts w:ascii="宋体" w:hAnsi="宋体" w:eastAsia="宋体" w:cs="宋体"/>
                <w:sz w:val="20"/>
                <w:szCs w:val="20"/>
              </w:rPr>
            </w:pPr>
            <w:r>
              <w:rPr>
                <w:rFonts w:ascii="宋体" w:hAnsi="宋体" w:eastAsia="宋体" w:cs="宋体"/>
                <w:spacing w:val="-14"/>
                <w:sz w:val="20"/>
                <w:szCs w:val="20"/>
              </w:rPr>
              <w:t>项</w:t>
            </w:r>
            <w:r>
              <w:rPr>
                <w:rFonts w:ascii="宋体" w:hAnsi="宋体" w:eastAsia="宋体" w:cs="宋体"/>
                <w:spacing w:val="-13"/>
                <w:sz w:val="20"/>
                <w:szCs w:val="20"/>
              </w:rPr>
              <w:t>目</w:t>
            </w:r>
            <w:r>
              <w:rPr>
                <w:rFonts w:ascii="宋体" w:hAnsi="宋体" w:eastAsia="宋体" w:cs="宋体"/>
                <w:spacing w:val="-7"/>
                <w:sz w:val="20"/>
                <w:szCs w:val="20"/>
              </w:rPr>
              <w:t xml:space="preserve">设有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 xml:space="preserve">座容积为 </w:t>
            </w:r>
            <w:r>
              <w:rPr>
                <w:rFonts w:ascii="Times New Roman" w:hAnsi="Times New Roman" w:eastAsia="Times New Roman" w:cs="Times New Roman"/>
                <w:spacing w:val="-7"/>
                <w:sz w:val="20"/>
                <w:szCs w:val="20"/>
              </w:rPr>
              <w:t>324m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的三</w:t>
            </w:r>
            <w:r>
              <w:rPr>
                <w:rFonts w:ascii="宋体" w:hAnsi="宋体" w:eastAsia="宋体" w:cs="宋体"/>
                <w:sz w:val="20"/>
                <w:szCs w:val="20"/>
              </w:rPr>
              <w:t xml:space="preserve"> </w:t>
            </w:r>
            <w:r>
              <w:rPr>
                <w:rFonts w:ascii="宋体" w:hAnsi="宋体" w:eastAsia="宋体" w:cs="宋体"/>
                <w:spacing w:val="-4"/>
                <w:sz w:val="20"/>
                <w:szCs w:val="20"/>
              </w:rPr>
              <w:t>级沉淀池 (</w:t>
            </w:r>
            <w:r>
              <w:rPr>
                <w:rFonts w:ascii="Times New Roman" w:hAnsi="Times New Roman" w:eastAsia="Times New Roman" w:cs="Times New Roman"/>
                <w:spacing w:val="-4"/>
                <w:sz w:val="20"/>
                <w:szCs w:val="20"/>
              </w:rPr>
              <w:t>12m×6m×4.5</w:t>
            </w:r>
            <w:r>
              <w:rPr>
                <w:rFonts w:ascii="Times New Roman" w:hAnsi="Times New Roman" w:eastAsia="Times New Roman" w:cs="Times New Roman"/>
                <w:spacing w:val="-2"/>
                <w:sz w:val="20"/>
                <w:szCs w:val="20"/>
              </w:rPr>
              <w:t>m</w:t>
            </w:r>
            <w:r>
              <w:rPr>
                <w:rFonts w:ascii="宋体" w:hAnsi="宋体" w:eastAsia="宋体" w:cs="宋体"/>
                <w:spacing w:val="-4"/>
                <w:sz w:val="20"/>
                <w:szCs w:val="20"/>
              </w:rPr>
              <w:t>) ，同</w:t>
            </w:r>
            <w:r>
              <w:rPr>
                <w:rFonts w:ascii="宋体" w:hAnsi="宋体" w:eastAsia="宋体" w:cs="宋体"/>
                <w:sz w:val="20"/>
                <w:szCs w:val="20"/>
              </w:rPr>
              <w:t xml:space="preserve"> </w:t>
            </w:r>
            <w:r>
              <w:rPr>
                <w:rFonts w:ascii="宋体" w:hAnsi="宋体" w:eastAsia="宋体" w:cs="宋体"/>
                <w:spacing w:val="-6"/>
                <w:sz w:val="20"/>
                <w:szCs w:val="20"/>
              </w:rPr>
              <w:t xml:space="preserve">时配套设有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台一体化污水预</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12"/>
                <w:sz w:val="20"/>
                <w:szCs w:val="20"/>
              </w:rPr>
              <w:t>理设备，均位于生产厂房西</w:t>
            </w:r>
            <w:r>
              <w:rPr>
                <w:rFonts w:ascii="宋体" w:hAnsi="宋体" w:eastAsia="宋体" w:cs="宋体"/>
                <w:spacing w:val="9"/>
                <w:sz w:val="20"/>
                <w:szCs w:val="20"/>
              </w:rPr>
              <w:t>南</w:t>
            </w:r>
            <w:r>
              <w:rPr>
                <w:rFonts w:ascii="宋体" w:hAnsi="宋体" w:eastAsia="宋体" w:cs="宋体"/>
                <w:sz w:val="20"/>
                <w:szCs w:val="20"/>
              </w:rPr>
              <w:t xml:space="preserve"> </w:t>
            </w:r>
            <w:r>
              <w:rPr>
                <w:rFonts w:ascii="宋体" w:hAnsi="宋体" w:eastAsia="宋体" w:cs="宋体"/>
                <w:spacing w:val="-6"/>
                <w:sz w:val="20"/>
                <w:szCs w:val="20"/>
              </w:rPr>
              <w:t>侧</w:t>
            </w:r>
            <w:r>
              <w:rPr>
                <w:rFonts w:ascii="宋体" w:hAnsi="宋体" w:eastAsia="宋体" w:cs="宋体"/>
                <w:spacing w:val="-3"/>
                <w:sz w:val="20"/>
                <w:szCs w:val="20"/>
              </w:rPr>
              <w:t>，产生的生产废水经一体化污</w:t>
            </w:r>
            <w:r>
              <w:rPr>
                <w:rFonts w:ascii="宋体" w:hAnsi="宋体" w:eastAsia="宋体" w:cs="宋体"/>
                <w:sz w:val="20"/>
                <w:szCs w:val="20"/>
              </w:rPr>
              <w:t xml:space="preserve"> </w:t>
            </w:r>
            <w:r>
              <w:rPr>
                <w:rFonts w:ascii="宋体" w:hAnsi="宋体" w:eastAsia="宋体" w:cs="宋体"/>
                <w:spacing w:val="12"/>
                <w:sz w:val="20"/>
                <w:szCs w:val="20"/>
              </w:rPr>
              <w:t>水预处理设备处理后排入三</w:t>
            </w:r>
            <w:r>
              <w:rPr>
                <w:rFonts w:ascii="宋体" w:hAnsi="宋体" w:eastAsia="宋体" w:cs="宋体"/>
                <w:spacing w:val="9"/>
                <w:sz w:val="20"/>
                <w:szCs w:val="20"/>
              </w:rPr>
              <w:t>级</w:t>
            </w:r>
            <w:r>
              <w:rPr>
                <w:rFonts w:ascii="宋体" w:hAnsi="宋体" w:eastAsia="宋体" w:cs="宋体"/>
                <w:sz w:val="20"/>
                <w:szCs w:val="20"/>
              </w:rPr>
              <w:t xml:space="preserve"> </w:t>
            </w:r>
            <w:r>
              <w:rPr>
                <w:rFonts w:ascii="宋体" w:hAnsi="宋体" w:eastAsia="宋体" w:cs="宋体"/>
                <w:spacing w:val="-4"/>
                <w:sz w:val="20"/>
                <w:szCs w:val="20"/>
              </w:rPr>
              <w:t>沉淀池 (</w:t>
            </w:r>
            <w:r>
              <w:rPr>
                <w:rFonts w:ascii="Times New Roman" w:hAnsi="Times New Roman" w:eastAsia="Times New Roman" w:cs="Times New Roman"/>
                <w:spacing w:val="-4"/>
                <w:sz w:val="20"/>
                <w:szCs w:val="20"/>
              </w:rPr>
              <w:t>12m×6m×4.5m</w:t>
            </w:r>
            <w:r>
              <w:rPr>
                <w:rFonts w:ascii="宋体" w:hAnsi="宋体" w:eastAsia="宋体" w:cs="宋体"/>
                <w:spacing w:val="-4"/>
                <w:sz w:val="20"/>
                <w:szCs w:val="20"/>
              </w:rPr>
              <w:t>) 沉淀处</w:t>
            </w:r>
            <w:r>
              <w:rPr>
                <w:rFonts w:ascii="宋体" w:hAnsi="宋体" w:eastAsia="宋体" w:cs="宋体"/>
                <w:sz w:val="20"/>
                <w:szCs w:val="20"/>
              </w:rPr>
              <w:t xml:space="preserve"> </w:t>
            </w:r>
            <w:r>
              <w:rPr>
                <w:rFonts w:ascii="宋体" w:hAnsi="宋体" w:eastAsia="宋体" w:cs="宋体"/>
                <w:spacing w:val="-6"/>
                <w:sz w:val="20"/>
                <w:szCs w:val="20"/>
              </w:rPr>
              <w:t>理</w:t>
            </w:r>
            <w:r>
              <w:rPr>
                <w:rFonts w:ascii="宋体" w:hAnsi="宋体" w:eastAsia="宋体" w:cs="宋体"/>
                <w:spacing w:val="-3"/>
                <w:sz w:val="20"/>
                <w:szCs w:val="20"/>
              </w:rPr>
              <w:t>，随后循环使用。污水处理设</w:t>
            </w:r>
            <w:r>
              <w:rPr>
                <w:rFonts w:ascii="宋体" w:hAnsi="宋体" w:eastAsia="宋体" w:cs="宋体"/>
                <w:sz w:val="20"/>
                <w:szCs w:val="20"/>
              </w:rPr>
              <w:t xml:space="preserve"> </w:t>
            </w:r>
            <w:r>
              <w:rPr>
                <w:rFonts w:ascii="宋体" w:hAnsi="宋体" w:eastAsia="宋体" w:cs="宋体"/>
                <w:spacing w:val="-10"/>
                <w:sz w:val="20"/>
                <w:szCs w:val="20"/>
              </w:rPr>
              <w:t>施废</w:t>
            </w:r>
            <w:r>
              <w:rPr>
                <w:rFonts w:ascii="宋体" w:hAnsi="宋体" w:eastAsia="宋体" w:cs="宋体"/>
                <w:spacing w:val="-7"/>
                <w:sz w:val="20"/>
                <w:szCs w:val="20"/>
              </w:rPr>
              <w:t>水</w:t>
            </w:r>
            <w:r>
              <w:rPr>
                <w:rFonts w:ascii="宋体" w:hAnsi="宋体" w:eastAsia="宋体" w:cs="宋体"/>
                <w:spacing w:val="-5"/>
                <w:sz w:val="20"/>
                <w:szCs w:val="20"/>
              </w:rPr>
              <w:t xml:space="preserve">每月更换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次，则该项目</w:t>
            </w:r>
            <w:r>
              <w:rPr>
                <w:rFonts w:ascii="宋体" w:hAnsi="宋体" w:eastAsia="宋体" w:cs="宋体"/>
                <w:sz w:val="20"/>
                <w:szCs w:val="20"/>
              </w:rPr>
              <w:t xml:space="preserve"> </w:t>
            </w:r>
            <w:r>
              <w:rPr>
                <w:rFonts w:ascii="宋体" w:hAnsi="宋体" w:eastAsia="宋体" w:cs="宋体"/>
                <w:spacing w:val="-4"/>
                <w:sz w:val="20"/>
                <w:szCs w:val="20"/>
              </w:rPr>
              <w:t>全</w:t>
            </w:r>
            <w:r>
              <w:rPr>
                <w:rFonts w:ascii="宋体" w:hAnsi="宋体" w:eastAsia="宋体" w:cs="宋体"/>
                <w:spacing w:val="-3"/>
                <w:sz w:val="20"/>
                <w:szCs w:val="20"/>
              </w:rPr>
              <w:t>年</w:t>
            </w:r>
            <w:r>
              <w:rPr>
                <w:rFonts w:ascii="宋体" w:hAnsi="宋体" w:eastAsia="宋体" w:cs="宋体"/>
                <w:spacing w:val="-2"/>
                <w:sz w:val="20"/>
                <w:szCs w:val="20"/>
              </w:rPr>
              <w:t xml:space="preserve">更换废水量为 </w:t>
            </w:r>
            <w:r>
              <w:rPr>
                <w:rFonts w:ascii="Times New Roman" w:hAnsi="Times New Roman" w:eastAsia="Times New Roman" w:cs="Times New Roman"/>
                <w:spacing w:val="-2"/>
                <w:sz w:val="20"/>
                <w:szCs w:val="20"/>
              </w:rPr>
              <w:t>1523.52m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更换过程产生的废水经吸污</w:t>
            </w:r>
            <w:r>
              <w:rPr>
                <w:rFonts w:ascii="宋体" w:hAnsi="宋体" w:eastAsia="宋体" w:cs="宋体"/>
                <w:spacing w:val="11"/>
                <w:sz w:val="20"/>
                <w:szCs w:val="20"/>
              </w:rPr>
              <w:t>车</w:t>
            </w:r>
            <w:r>
              <w:rPr>
                <w:rFonts w:ascii="宋体" w:hAnsi="宋体" w:eastAsia="宋体" w:cs="宋体"/>
                <w:sz w:val="20"/>
                <w:szCs w:val="20"/>
              </w:rPr>
              <w:t xml:space="preserve"> </w:t>
            </w:r>
            <w:r>
              <w:rPr>
                <w:rFonts w:ascii="宋体" w:hAnsi="宋体" w:eastAsia="宋体" w:cs="宋体"/>
                <w:spacing w:val="12"/>
                <w:sz w:val="20"/>
                <w:szCs w:val="20"/>
              </w:rPr>
              <w:t>运送至本溪市科态污水处理</w:t>
            </w:r>
            <w:r>
              <w:rPr>
                <w:rFonts w:ascii="宋体" w:hAnsi="宋体" w:eastAsia="宋体" w:cs="宋体"/>
                <w:spacing w:val="11"/>
                <w:sz w:val="20"/>
                <w:szCs w:val="20"/>
              </w:rPr>
              <w:t>有</w:t>
            </w:r>
            <w:r>
              <w:rPr>
                <w:rFonts w:ascii="宋体" w:hAnsi="宋体" w:eastAsia="宋体" w:cs="宋体"/>
                <w:sz w:val="20"/>
                <w:szCs w:val="20"/>
              </w:rPr>
              <w:t xml:space="preserve"> </w:t>
            </w:r>
            <w:r>
              <w:rPr>
                <w:rFonts w:ascii="宋体" w:hAnsi="宋体" w:eastAsia="宋体" w:cs="宋体"/>
                <w:spacing w:val="-4"/>
                <w:sz w:val="20"/>
                <w:szCs w:val="20"/>
              </w:rPr>
              <w:t>限</w:t>
            </w:r>
            <w:r>
              <w:rPr>
                <w:rFonts w:ascii="宋体" w:hAnsi="宋体" w:eastAsia="宋体" w:cs="宋体"/>
                <w:spacing w:val="-3"/>
                <w:sz w:val="20"/>
                <w:szCs w:val="20"/>
              </w:rPr>
              <w:t>责</w:t>
            </w:r>
            <w:r>
              <w:rPr>
                <w:rFonts w:ascii="宋体" w:hAnsi="宋体" w:eastAsia="宋体" w:cs="宋体"/>
                <w:spacing w:val="-2"/>
                <w:sz w:val="20"/>
                <w:szCs w:val="20"/>
              </w:rPr>
              <w:t>任公司统一处理。</w:t>
            </w:r>
          </w:p>
        </w:tc>
        <w:tc>
          <w:tcPr>
            <w:tcW w:w="594" w:type="dxa"/>
            <w:tcBorders>
              <w:left w:val="single" w:color="000000" w:sz="4" w:space="0"/>
              <w:right w:val="single" w:color="000000" w:sz="4" w:space="0"/>
            </w:tcBorders>
            <w:vAlign w:val="top"/>
          </w:tcPr>
          <w:p w14:paraId="06704AAD">
            <w:pPr>
              <w:spacing w:line="249" w:lineRule="auto"/>
              <w:rPr>
                <w:rFonts w:ascii="Arial"/>
                <w:sz w:val="21"/>
              </w:rPr>
            </w:pPr>
          </w:p>
          <w:p w14:paraId="10516CFF">
            <w:pPr>
              <w:spacing w:line="249" w:lineRule="auto"/>
              <w:rPr>
                <w:rFonts w:ascii="Arial"/>
                <w:sz w:val="21"/>
              </w:rPr>
            </w:pPr>
          </w:p>
          <w:p w14:paraId="70E4FD8A">
            <w:pPr>
              <w:spacing w:line="249" w:lineRule="auto"/>
              <w:rPr>
                <w:rFonts w:ascii="Arial"/>
                <w:sz w:val="21"/>
              </w:rPr>
            </w:pPr>
          </w:p>
          <w:p w14:paraId="5D000C33">
            <w:pPr>
              <w:spacing w:line="250" w:lineRule="auto"/>
              <w:rPr>
                <w:rFonts w:ascii="Arial"/>
                <w:sz w:val="21"/>
              </w:rPr>
            </w:pPr>
          </w:p>
          <w:p w14:paraId="6FD9620B">
            <w:pPr>
              <w:spacing w:line="250" w:lineRule="auto"/>
              <w:rPr>
                <w:rFonts w:ascii="Arial"/>
                <w:sz w:val="21"/>
              </w:rPr>
            </w:pPr>
          </w:p>
          <w:p w14:paraId="56B62652">
            <w:pPr>
              <w:spacing w:before="65" w:line="228" w:lineRule="auto"/>
              <w:ind w:left="94"/>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区</w:t>
            </w:r>
          </w:p>
          <w:p w14:paraId="16428C1C">
            <w:pPr>
              <w:spacing w:before="30" w:line="230" w:lineRule="auto"/>
              <w:ind w:left="97"/>
              <w:rPr>
                <w:rFonts w:ascii="宋体" w:hAnsi="宋体" w:eastAsia="宋体" w:cs="宋体"/>
                <w:sz w:val="20"/>
                <w:szCs w:val="20"/>
              </w:rPr>
            </w:pPr>
            <w:r>
              <w:rPr>
                <w:rFonts w:ascii="宋体" w:hAnsi="宋体" w:eastAsia="宋体" w:cs="宋体"/>
                <w:spacing w:val="2"/>
                <w:sz w:val="20"/>
                <w:szCs w:val="20"/>
              </w:rPr>
              <w:t>总排</w:t>
            </w:r>
          </w:p>
          <w:p w14:paraId="07B5078F">
            <w:pPr>
              <w:spacing w:before="31" w:line="266" w:lineRule="exact"/>
              <w:ind w:left="226"/>
              <w:rPr>
                <w:rFonts w:ascii="宋体" w:hAnsi="宋体" w:eastAsia="宋体" w:cs="宋体"/>
                <w:sz w:val="20"/>
                <w:szCs w:val="20"/>
              </w:rPr>
            </w:pPr>
            <w:r>
              <w:rPr>
                <w:rFonts w:ascii="宋体" w:hAnsi="宋体" w:eastAsia="宋体" w:cs="宋体"/>
                <w:position w:val="1"/>
                <w:sz w:val="20"/>
                <w:szCs w:val="20"/>
              </w:rPr>
              <w:t>口</w:t>
            </w:r>
          </w:p>
        </w:tc>
        <w:tc>
          <w:tcPr>
            <w:tcW w:w="2141" w:type="dxa"/>
            <w:tcBorders>
              <w:left w:val="single" w:color="000000" w:sz="4" w:space="0"/>
              <w:right w:val="nil"/>
            </w:tcBorders>
            <w:vAlign w:val="top"/>
          </w:tcPr>
          <w:p w14:paraId="601F73C0">
            <w:pPr>
              <w:spacing w:line="344" w:lineRule="auto"/>
              <w:rPr>
                <w:rFonts w:ascii="Arial"/>
                <w:sz w:val="21"/>
              </w:rPr>
            </w:pPr>
          </w:p>
          <w:p w14:paraId="22A0B9BC">
            <w:pPr>
              <w:spacing w:line="345" w:lineRule="auto"/>
              <w:rPr>
                <w:rFonts w:ascii="Arial"/>
                <w:sz w:val="21"/>
              </w:rPr>
            </w:pPr>
          </w:p>
          <w:p w14:paraId="1C1B88BD">
            <w:pPr>
              <w:spacing w:before="65" w:line="259" w:lineRule="auto"/>
              <w:ind w:left="20" w:right="15" w:hanging="7"/>
              <w:rPr>
                <w:rFonts w:ascii="宋体" w:hAnsi="宋体" w:eastAsia="宋体" w:cs="宋体"/>
                <w:sz w:val="20"/>
                <w:szCs w:val="20"/>
              </w:rPr>
            </w:pPr>
            <w:r>
              <w:rPr>
                <w:rFonts w:ascii="Times New Roman" w:hAnsi="Times New Roman" w:eastAsia="Times New Roman" w:cs="Times New Roman"/>
                <w:spacing w:val="-2"/>
                <w:sz w:val="20"/>
                <w:szCs w:val="20"/>
              </w:rPr>
              <w:t>COD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、氨</w:t>
            </w:r>
            <w:r>
              <w:rPr>
                <w:rFonts w:ascii="宋体" w:hAnsi="宋体" w:eastAsia="宋体" w:cs="宋体"/>
                <w:spacing w:val="-2"/>
                <w:sz w:val="20"/>
                <w:szCs w:val="20"/>
              </w:rPr>
              <w:t>氮、石油</w:t>
            </w:r>
            <w:r>
              <w:rPr>
                <w:rFonts w:ascii="宋体" w:hAnsi="宋体" w:eastAsia="宋体" w:cs="宋体"/>
                <w:sz w:val="20"/>
                <w:szCs w:val="20"/>
              </w:rPr>
              <w:t xml:space="preserve"> </w:t>
            </w:r>
            <w:r>
              <w:rPr>
                <w:rFonts w:ascii="宋体" w:hAnsi="宋体" w:eastAsia="宋体" w:cs="宋体"/>
                <w:spacing w:val="9"/>
                <w:sz w:val="20"/>
                <w:szCs w:val="20"/>
              </w:rPr>
              <w:t>类执行《辽宁省污水</w:t>
            </w:r>
            <w:r>
              <w:rPr>
                <w:rFonts w:ascii="宋体" w:hAnsi="宋体" w:eastAsia="宋体" w:cs="宋体"/>
                <w:spacing w:val="8"/>
                <w:sz w:val="20"/>
                <w:szCs w:val="20"/>
              </w:rPr>
              <w:t>综</w:t>
            </w:r>
          </w:p>
          <w:p w14:paraId="11EEAB65">
            <w:pPr>
              <w:spacing w:before="3" w:line="246" w:lineRule="auto"/>
              <w:ind w:left="44" w:right="47" w:firstLine="397"/>
              <w:rPr>
                <w:rFonts w:ascii="宋体" w:hAnsi="宋体" w:eastAsia="宋体" w:cs="宋体"/>
                <w:sz w:val="20"/>
                <w:szCs w:val="20"/>
              </w:rPr>
            </w:pPr>
            <w:r>
              <w:rPr>
                <w:rFonts w:ascii="宋体" w:hAnsi="宋体" w:eastAsia="宋体" w:cs="宋体"/>
                <w:spacing w:val="6"/>
                <w:sz w:val="20"/>
                <w:szCs w:val="20"/>
              </w:rPr>
              <w:t>合排放标准》</w:t>
            </w:r>
            <w:r>
              <w:rPr>
                <w:rFonts w:ascii="宋体" w:hAnsi="宋体" w:eastAsia="宋体" w:cs="宋体"/>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 xml:space="preserve">21/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627-2008)  </w:t>
            </w:r>
            <w:r>
              <w:rPr>
                <w:rFonts w:ascii="宋体" w:hAnsi="宋体" w:eastAsia="宋体" w:cs="宋体"/>
                <w:spacing w:val="2"/>
                <w:sz w:val="20"/>
                <w:szCs w:val="20"/>
              </w:rPr>
              <w:t>(即</w:t>
            </w:r>
            <w:r>
              <w:rPr>
                <w:rFonts w:ascii="宋体" w:hAnsi="宋体" w:eastAsia="宋体" w:cs="宋体"/>
                <w:sz w:val="20"/>
                <w:szCs w:val="20"/>
              </w:rPr>
              <w:t xml:space="preserve"> </w:t>
            </w:r>
            <w:r>
              <w:rPr>
                <w:rFonts w:ascii="Times New Roman" w:hAnsi="Times New Roman" w:eastAsia="Times New Roman" w:cs="Times New Roman"/>
                <w:sz w:val="20"/>
                <w:szCs w:val="20"/>
              </w:rPr>
              <w:t>COD</w:t>
            </w:r>
            <w:r>
              <w:rPr>
                <w:rFonts w:ascii="宋体" w:hAnsi="宋体" w:eastAsia="宋体" w:cs="宋体"/>
                <w:spacing w:val="12"/>
                <w:sz w:val="20"/>
                <w:szCs w:val="20"/>
              </w:rPr>
              <w:t>：</w:t>
            </w:r>
            <w:r>
              <w:rPr>
                <w:rFonts w:ascii="Times New Roman" w:hAnsi="Times New Roman" w:eastAsia="Times New Roman" w:cs="Times New Roman"/>
                <w:spacing w:val="11"/>
                <w:sz w:val="20"/>
                <w:szCs w:val="20"/>
              </w:rPr>
              <w:t>300</w:t>
            </w:r>
            <w:r>
              <w:rPr>
                <w:rFonts w:ascii="Times New Roman" w:hAnsi="Times New Roman" w:eastAsia="Times New Roman" w:cs="Times New Roman"/>
                <w:sz w:val="20"/>
                <w:szCs w:val="20"/>
              </w:rPr>
              <w:t>mg</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L</w:t>
            </w:r>
            <w:r>
              <w:rPr>
                <w:rFonts w:ascii="宋体" w:hAnsi="宋体" w:eastAsia="宋体" w:cs="宋体"/>
                <w:spacing w:val="11"/>
                <w:sz w:val="20"/>
                <w:szCs w:val="20"/>
              </w:rPr>
              <w:t>；石油</w:t>
            </w:r>
          </w:p>
          <w:p w14:paraId="2BAEF818">
            <w:pPr>
              <w:spacing w:line="265" w:lineRule="auto"/>
              <w:ind w:left="14" w:firstLine="90"/>
              <w:rPr>
                <w:rFonts w:ascii="宋体" w:hAnsi="宋体" w:eastAsia="宋体" w:cs="宋体"/>
                <w:sz w:val="20"/>
                <w:szCs w:val="20"/>
              </w:rPr>
            </w:pPr>
            <w:r>
              <w:rPr>
                <w:rFonts w:ascii="宋体" w:hAnsi="宋体" w:eastAsia="宋体" w:cs="宋体"/>
                <w:spacing w:val="2"/>
                <w:sz w:val="20"/>
                <w:szCs w:val="20"/>
              </w:rPr>
              <w:t>类：</w:t>
            </w:r>
            <w:r>
              <w:rPr>
                <w:rFonts w:ascii="Times New Roman" w:hAnsi="Times New Roman" w:eastAsia="Times New Roman" w:cs="Times New Roman"/>
                <w:spacing w:val="2"/>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L</w:t>
            </w:r>
            <w:r>
              <w:rPr>
                <w:rFonts w:ascii="宋体" w:hAnsi="宋体" w:eastAsia="宋体" w:cs="宋体"/>
                <w:spacing w:val="1"/>
                <w:sz w:val="20"/>
                <w:szCs w:val="20"/>
              </w:rPr>
              <w:t>；氨氮：</w:t>
            </w:r>
            <w:r>
              <w:rPr>
                <w:rFonts w:ascii="宋体" w:hAnsi="宋体" w:eastAsia="宋体" w:cs="宋体"/>
                <w:sz w:val="20"/>
                <w:szCs w:val="20"/>
              </w:rPr>
              <w:t xml:space="preserve">  </w:t>
            </w:r>
            <w:r>
              <w:rPr>
                <w:rFonts w:ascii="Times New Roman" w:hAnsi="Times New Roman" w:eastAsia="Times New Roman" w:cs="Times New Roman"/>
                <w:spacing w:val="-6"/>
                <w:sz w:val="20"/>
                <w:szCs w:val="20"/>
              </w:rPr>
              <w:t>30</w:t>
            </w:r>
            <w:r>
              <w:rPr>
                <w:rFonts w:ascii="Times New Roman" w:hAnsi="Times New Roman" w:eastAsia="Times New Roman" w:cs="Times New Roman"/>
                <w:spacing w:val="-3"/>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pacing w:val="-3"/>
                <w:sz w:val="20"/>
                <w:szCs w:val="20"/>
              </w:rPr>
              <w:t>L</w:t>
            </w:r>
            <w:r>
              <w:rPr>
                <w:rFonts w:ascii="宋体" w:hAnsi="宋体" w:eastAsia="宋体" w:cs="宋体"/>
                <w:spacing w:val="-4"/>
                <w:sz w:val="20"/>
                <w:szCs w:val="20"/>
              </w:rPr>
              <w:t>；</w:t>
            </w:r>
            <w:r>
              <w:rPr>
                <w:rFonts w:ascii="Times New Roman" w:hAnsi="Times New Roman" w:eastAsia="Times New Roman" w:cs="Times New Roman"/>
                <w:spacing w:val="-3"/>
                <w:sz w:val="20"/>
                <w:szCs w:val="20"/>
              </w:rPr>
              <w:t>SS</w:t>
            </w:r>
            <w:r>
              <w:rPr>
                <w:rFonts w:ascii="宋体" w:hAnsi="宋体" w:eastAsia="宋体" w:cs="宋体"/>
                <w:spacing w:val="-3"/>
                <w:sz w:val="20"/>
                <w:szCs w:val="20"/>
              </w:rPr>
              <w:t>：</w:t>
            </w:r>
            <w:r>
              <w:rPr>
                <w:rFonts w:ascii="Times New Roman" w:hAnsi="Times New Roman" w:eastAsia="Times New Roman" w:cs="Times New Roman"/>
                <w:spacing w:val="-3"/>
                <w:sz w:val="20"/>
                <w:szCs w:val="20"/>
              </w:rPr>
              <w:t>300mg/L</w:t>
            </w:r>
            <w:r>
              <w:rPr>
                <w:rFonts w:ascii="宋体" w:hAnsi="宋体" w:eastAsia="宋体" w:cs="宋体"/>
                <w:spacing w:val="-3"/>
                <w:sz w:val="20"/>
                <w:szCs w:val="20"/>
              </w:rPr>
              <w:t>)</w:t>
            </w:r>
          </w:p>
        </w:tc>
      </w:tr>
      <w:tr w14:paraId="063B2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8" w:hRule="atLeast"/>
        </w:trPr>
        <w:tc>
          <w:tcPr>
            <w:tcW w:w="480" w:type="dxa"/>
            <w:vMerge w:val="continue"/>
            <w:tcBorders>
              <w:top w:val="nil"/>
              <w:left w:val="nil"/>
              <w:bottom w:val="nil"/>
              <w:right w:val="single" w:color="000000" w:sz="4" w:space="0"/>
            </w:tcBorders>
            <w:vAlign w:val="top"/>
          </w:tcPr>
          <w:p w14:paraId="0CCD00AE">
            <w:pPr>
              <w:rPr>
                <w:rFonts w:ascii="Arial"/>
                <w:sz w:val="21"/>
              </w:rPr>
            </w:pPr>
          </w:p>
        </w:tc>
        <w:tc>
          <w:tcPr>
            <w:tcW w:w="510" w:type="dxa"/>
            <w:vMerge w:val="restart"/>
            <w:tcBorders>
              <w:left w:val="single" w:color="000000" w:sz="4" w:space="0"/>
              <w:bottom w:val="nil"/>
              <w:right w:val="single" w:color="000000" w:sz="4" w:space="0"/>
            </w:tcBorders>
            <w:textDirection w:val="tbRlV"/>
            <w:vAlign w:val="top"/>
          </w:tcPr>
          <w:p w14:paraId="55DCB26E">
            <w:pPr>
              <w:spacing w:before="146" w:line="216" w:lineRule="auto"/>
              <w:ind w:left="1881"/>
              <w:rPr>
                <w:rFonts w:ascii="宋体" w:hAnsi="宋体" w:eastAsia="宋体" w:cs="宋体"/>
                <w:sz w:val="20"/>
                <w:szCs w:val="20"/>
              </w:rPr>
            </w:pPr>
            <w:r>
              <w:rPr>
                <w:rFonts w:ascii="宋体" w:hAnsi="宋体" w:eastAsia="宋体" w:cs="宋体"/>
                <w:spacing w:val="-9"/>
                <w:sz w:val="20"/>
                <w:szCs w:val="20"/>
              </w:rPr>
              <w:t>地</w:t>
            </w:r>
            <w:r>
              <w:rPr>
                <w:rFonts w:ascii="宋体" w:hAnsi="宋体" w:eastAsia="宋体" w:cs="宋体"/>
                <w:spacing w:val="-6"/>
                <w:sz w:val="20"/>
                <w:szCs w:val="20"/>
              </w:rPr>
              <w:t xml:space="preserve"> 下 水</w:t>
            </w:r>
          </w:p>
        </w:tc>
        <w:tc>
          <w:tcPr>
            <w:tcW w:w="1170" w:type="dxa"/>
            <w:tcBorders>
              <w:left w:val="single" w:color="000000" w:sz="4" w:space="0"/>
              <w:right w:val="single" w:color="000000" w:sz="4" w:space="0"/>
            </w:tcBorders>
            <w:vAlign w:val="top"/>
          </w:tcPr>
          <w:p w14:paraId="145BD062">
            <w:pPr>
              <w:spacing w:line="254" w:lineRule="auto"/>
              <w:rPr>
                <w:rFonts w:ascii="Arial"/>
                <w:sz w:val="21"/>
              </w:rPr>
            </w:pPr>
          </w:p>
          <w:p w14:paraId="1FC35F15">
            <w:pPr>
              <w:spacing w:line="255" w:lineRule="auto"/>
              <w:rPr>
                <w:rFonts w:ascii="Arial"/>
                <w:sz w:val="21"/>
              </w:rPr>
            </w:pPr>
          </w:p>
          <w:p w14:paraId="4C891302">
            <w:pPr>
              <w:spacing w:before="65" w:line="228" w:lineRule="auto"/>
              <w:ind w:left="10"/>
              <w:rPr>
                <w:rFonts w:ascii="宋体" w:hAnsi="宋体" w:eastAsia="宋体" w:cs="宋体"/>
                <w:sz w:val="20"/>
                <w:szCs w:val="20"/>
              </w:rPr>
            </w:pPr>
            <w:r>
              <w:rPr>
                <w:rFonts w:ascii="宋体" w:hAnsi="宋体" w:eastAsia="宋体" w:cs="宋体"/>
                <w:spacing w:val="-13"/>
                <w:sz w:val="20"/>
                <w:szCs w:val="20"/>
              </w:rPr>
              <w:t>生</w:t>
            </w:r>
            <w:r>
              <w:rPr>
                <w:rFonts w:ascii="宋体" w:hAnsi="宋体" w:eastAsia="宋体" w:cs="宋体"/>
                <w:spacing w:val="-8"/>
                <w:sz w:val="20"/>
                <w:szCs w:val="20"/>
              </w:rPr>
              <w:t>产厂房、成</w:t>
            </w:r>
          </w:p>
          <w:p w14:paraId="5A6112C4">
            <w:pPr>
              <w:spacing w:before="64" w:line="228" w:lineRule="auto"/>
              <w:ind w:left="79"/>
              <w:rPr>
                <w:rFonts w:ascii="宋体" w:hAnsi="宋体" w:eastAsia="宋体" w:cs="宋体"/>
                <w:sz w:val="20"/>
                <w:szCs w:val="20"/>
              </w:rPr>
            </w:pPr>
            <w:r>
              <w:rPr>
                <w:rFonts w:ascii="宋体" w:hAnsi="宋体" w:eastAsia="宋体" w:cs="宋体"/>
                <w:spacing w:val="7"/>
                <w:sz w:val="20"/>
                <w:szCs w:val="20"/>
              </w:rPr>
              <w:t>品</w:t>
            </w:r>
            <w:r>
              <w:rPr>
                <w:rFonts w:ascii="宋体" w:hAnsi="宋体" w:eastAsia="宋体" w:cs="宋体"/>
                <w:spacing w:val="4"/>
                <w:sz w:val="20"/>
                <w:szCs w:val="20"/>
              </w:rPr>
              <w:t>库、原料</w:t>
            </w:r>
          </w:p>
          <w:p w14:paraId="75D92217">
            <w:pPr>
              <w:spacing w:before="65" w:line="228" w:lineRule="auto"/>
              <w:ind w:left="9"/>
              <w:rPr>
                <w:rFonts w:ascii="宋体" w:hAnsi="宋体" w:eastAsia="宋体" w:cs="宋体"/>
                <w:sz w:val="20"/>
                <w:szCs w:val="20"/>
              </w:rPr>
            </w:pPr>
            <w:r>
              <w:rPr>
                <w:rFonts w:ascii="宋体" w:hAnsi="宋体" w:eastAsia="宋体" w:cs="宋体"/>
                <w:spacing w:val="-10"/>
                <w:sz w:val="20"/>
                <w:szCs w:val="20"/>
              </w:rPr>
              <w:t>库</w:t>
            </w:r>
            <w:r>
              <w:rPr>
                <w:rFonts w:ascii="宋体" w:hAnsi="宋体" w:eastAsia="宋体" w:cs="宋体"/>
                <w:spacing w:val="-8"/>
                <w:sz w:val="20"/>
                <w:szCs w:val="20"/>
              </w:rPr>
              <w:t>、三级沉淀</w:t>
            </w:r>
          </w:p>
          <w:p w14:paraId="75FAE63B">
            <w:pPr>
              <w:spacing w:before="65" w:line="237" w:lineRule="auto"/>
              <w:ind w:left="9"/>
              <w:rPr>
                <w:rFonts w:ascii="宋体" w:hAnsi="宋体" w:eastAsia="宋体" w:cs="宋体"/>
                <w:sz w:val="20"/>
                <w:szCs w:val="20"/>
              </w:rPr>
            </w:pPr>
            <w:r>
              <w:rPr>
                <w:rFonts w:ascii="宋体" w:hAnsi="宋体" w:eastAsia="宋体" w:cs="宋体"/>
                <w:spacing w:val="-10"/>
                <w:sz w:val="20"/>
                <w:szCs w:val="20"/>
              </w:rPr>
              <w:t>池</w:t>
            </w:r>
            <w:r>
              <w:rPr>
                <w:rFonts w:ascii="宋体" w:hAnsi="宋体" w:eastAsia="宋体" w:cs="宋体"/>
                <w:spacing w:val="-8"/>
                <w:sz w:val="20"/>
                <w:szCs w:val="20"/>
              </w:rPr>
              <w:t>、旱厕、危</w:t>
            </w:r>
          </w:p>
          <w:p w14:paraId="44ACC0D8">
            <w:pPr>
              <w:spacing w:before="54" w:line="228" w:lineRule="auto"/>
              <w:ind w:left="190"/>
              <w:rPr>
                <w:rFonts w:ascii="宋体" w:hAnsi="宋体" w:eastAsia="宋体" w:cs="宋体"/>
                <w:sz w:val="20"/>
                <w:szCs w:val="20"/>
              </w:rPr>
            </w:pPr>
            <w:r>
              <w:rPr>
                <w:rFonts w:ascii="宋体" w:hAnsi="宋体" w:eastAsia="宋体" w:cs="宋体"/>
                <w:spacing w:val="-1"/>
                <w:sz w:val="20"/>
                <w:szCs w:val="20"/>
              </w:rPr>
              <w:t>废暂存</w:t>
            </w:r>
            <w:r>
              <w:rPr>
                <w:rFonts w:ascii="宋体" w:hAnsi="宋体" w:eastAsia="宋体" w:cs="宋体"/>
                <w:sz w:val="20"/>
                <w:szCs w:val="20"/>
              </w:rPr>
              <w:t>间</w:t>
            </w:r>
          </w:p>
        </w:tc>
        <w:tc>
          <w:tcPr>
            <w:tcW w:w="645" w:type="dxa"/>
            <w:vMerge w:val="restart"/>
            <w:tcBorders>
              <w:left w:val="single" w:color="000000" w:sz="4" w:space="0"/>
              <w:bottom w:val="nil"/>
              <w:right w:val="single" w:color="000000" w:sz="4" w:space="0"/>
            </w:tcBorders>
            <w:vAlign w:val="top"/>
          </w:tcPr>
          <w:p w14:paraId="1E9E40E4">
            <w:pPr>
              <w:spacing w:line="244" w:lineRule="auto"/>
              <w:rPr>
                <w:rFonts w:ascii="Arial"/>
                <w:sz w:val="21"/>
              </w:rPr>
            </w:pPr>
          </w:p>
          <w:p w14:paraId="40FD5918">
            <w:pPr>
              <w:spacing w:line="244" w:lineRule="auto"/>
              <w:rPr>
                <w:rFonts w:ascii="Arial"/>
                <w:sz w:val="21"/>
              </w:rPr>
            </w:pPr>
          </w:p>
          <w:p w14:paraId="1C576172">
            <w:pPr>
              <w:spacing w:line="244" w:lineRule="auto"/>
              <w:rPr>
                <w:rFonts w:ascii="Arial"/>
                <w:sz w:val="21"/>
              </w:rPr>
            </w:pPr>
          </w:p>
          <w:p w14:paraId="15E44FD9">
            <w:pPr>
              <w:spacing w:line="244" w:lineRule="auto"/>
              <w:rPr>
                <w:rFonts w:ascii="Arial"/>
                <w:sz w:val="21"/>
              </w:rPr>
            </w:pPr>
          </w:p>
          <w:p w14:paraId="7D3AC29C">
            <w:pPr>
              <w:spacing w:line="244" w:lineRule="auto"/>
              <w:rPr>
                <w:rFonts w:ascii="Arial"/>
                <w:sz w:val="21"/>
              </w:rPr>
            </w:pPr>
          </w:p>
          <w:p w14:paraId="174A1A03">
            <w:pPr>
              <w:spacing w:line="244" w:lineRule="auto"/>
              <w:rPr>
                <w:rFonts w:ascii="Arial"/>
                <w:sz w:val="21"/>
              </w:rPr>
            </w:pPr>
          </w:p>
          <w:p w14:paraId="6D3DD275">
            <w:pPr>
              <w:spacing w:line="245" w:lineRule="auto"/>
              <w:rPr>
                <w:rFonts w:ascii="Arial"/>
                <w:sz w:val="21"/>
              </w:rPr>
            </w:pPr>
          </w:p>
          <w:p w14:paraId="11DE2DE1">
            <w:pPr>
              <w:spacing w:before="58" w:line="195" w:lineRule="auto"/>
              <w:ind w:left="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p w14:paraId="2E79D26E">
            <w:pPr>
              <w:spacing w:before="55" w:line="227" w:lineRule="auto"/>
              <w:ind w:left="115"/>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p w14:paraId="7059FA4D">
            <w:pPr>
              <w:spacing w:before="7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p w14:paraId="46407E30">
            <w:pPr>
              <w:spacing w:before="93" w:line="195" w:lineRule="auto"/>
              <w:ind w:left="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BOD</w:t>
            </w:r>
          </w:p>
        </w:tc>
        <w:tc>
          <w:tcPr>
            <w:tcW w:w="2780" w:type="dxa"/>
            <w:vMerge w:val="restart"/>
            <w:tcBorders>
              <w:left w:val="single" w:color="000000" w:sz="4" w:space="0"/>
              <w:bottom w:val="nil"/>
              <w:right w:val="single" w:color="000000" w:sz="4" w:space="0"/>
            </w:tcBorders>
            <w:vAlign w:val="top"/>
          </w:tcPr>
          <w:p w14:paraId="3A40661A">
            <w:pPr>
              <w:spacing w:line="257" w:lineRule="auto"/>
              <w:rPr>
                <w:rFonts w:ascii="Arial"/>
                <w:sz w:val="21"/>
              </w:rPr>
            </w:pPr>
          </w:p>
          <w:p w14:paraId="6E6A2482">
            <w:pPr>
              <w:spacing w:line="258" w:lineRule="auto"/>
              <w:rPr>
                <w:rFonts w:ascii="Arial"/>
                <w:sz w:val="21"/>
              </w:rPr>
            </w:pPr>
          </w:p>
          <w:p w14:paraId="1BB7AC6E">
            <w:pPr>
              <w:spacing w:line="258" w:lineRule="auto"/>
              <w:rPr>
                <w:rFonts w:ascii="Arial"/>
                <w:sz w:val="21"/>
              </w:rPr>
            </w:pPr>
          </w:p>
          <w:p w14:paraId="36DF5A53">
            <w:pPr>
              <w:spacing w:line="258" w:lineRule="auto"/>
              <w:rPr>
                <w:rFonts w:ascii="Arial"/>
                <w:sz w:val="21"/>
              </w:rPr>
            </w:pPr>
          </w:p>
          <w:p w14:paraId="595C3D5C">
            <w:pPr>
              <w:spacing w:line="258" w:lineRule="auto"/>
              <w:rPr>
                <w:rFonts w:ascii="Arial"/>
                <w:sz w:val="21"/>
              </w:rPr>
            </w:pPr>
          </w:p>
          <w:p w14:paraId="7025FCA6">
            <w:pPr>
              <w:spacing w:line="258" w:lineRule="auto"/>
              <w:rPr>
                <w:rFonts w:ascii="Arial"/>
                <w:sz w:val="21"/>
              </w:rPr>
            </w:pPr>
          </w:p>
          <w:p w14:paraId="118CEF4F">
            <w:pPr>
              <w:spacing w:line="258" w:lineRule="auto"/>
              <w:rPr>
                <w:rFonts w:ascii="Arial"/>
                <w:sz w:val="21"/>
              </w:rPr>
            </w:pPr>
          </w:p>
          <w:p w14:paraId="37554871">
            <w:pPr>
              <w:spacing w:before="65" w:line="228" w:lineRule="auto"/>
              <w:ind w:left="29"/>
              <w:rPr>
                <w:rFonts w:ascii="宋体" w:hAnsi="宋体" w:eastAsia="宋体" w:cs="宋体"/>
                <w:sz w:val="20"/>
                <w:szCs w:val="20"/>
              </w:rPr>
            </w:pPr>
            <w:r>
              <w:rPr>
                <w:rFonts w:ascii="宋体" w:hAnsi="宋体" w:eastAsia="宋体" w:cs="宋体"/>
                <w:spacing w:val="10"/>
                <w:sz w:val="20"/>
                <w:szCs w:val="20"/>
              </w:rPr>
              <w:t>在</w:t>
            </w:r>
            <w:r>
              <w:rPr>
                <w:rFonts w:ascii="宋体" w:hAnsi="宋体" w:eastAsia="宋体" w:cs="宋体"/>
                <w:spacing w:val="9"/>
                <w:sz w:val="20"/>
                <w:szCs w:val="20"/>
              </w:rPr>
              <w:t>厂</w:t>
            </w:r>
            <w:r>
              <w:rPr>
                <w:rFonts w:ascii="宋体" w:hAnsi="宋体" w:eastAsia="宋体" w:cs="宋体"/>
                <w:spacing w:val="5"/>
                <w:sz w:val="20"/>
                <w:szCs w:val="20"/>
              </w:rPr>
              <w:t xml:space="preserve">区上游、下游各设置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眼</w:t>
            </w:r>
          </w:p>
          <w:p w14:paraId="12060D3E">
            <w:pPr>
              <w:spacing w:before="32" w:line="228" w:lineRule="auto"/>
              <w:ind w:left="27"/>
              <w:rPr>
                <w:rFonts w:ascii="宋体" w:hAnsi="宋体" w:eastAsia="宋体" w:cs="宋体"/>
                <w:sz w:val="20"/>
                <w:szCs w:val="20"/>
              </w:rPr>
            </w:pPr>
            <w:r>
              <w:rPr>
                <w:rFonts w:ascii="宋体" w:hAnsi="宋体" w:eastAsia="宋体" w:cs="宋体"/>
                <w:spacing w:val="12"/>
                <w:sz w:val="20"/>
                <w:szCs w:val="20"/>
              </w:rPr>
              <w:t>地</w:t>
            </w:r>
            <w:r>
              <w:rPr>
                <w:rFonts w:ascii="宋体" w:hAnsi="宋体" w:eastAsia="宋体" w:cs="宋体"/>
                <w:spacing w:val="9"/>
                <w:sz w:val="20"/>
                <w:szCs w:val="20"/>
              </w:rPr>
              <w:t>下水跟踪监测井，定期对地</w:t>
            </w:r>
          </w:p>
          <w:p w14:paraId="486EB9F9">
            <w:pPr>
              <w:spacing w:before="31" w:line="228" w:lineRule="auto"/>
              <w:ind w:left="559"/>
              <w:rPr>
                <w:rFonts w:ascii="宋体" w:hAnsi="宋体" w:eastAsia="宋体" w:cs="宋体"/>
                <w:sz w:val="20"/>
                <w:szCs w:val="20"/>
              </w:rPr>
            </w:pPr>
            <w:r>
              <w:rPr>
                <w:rFonts w:ascii="宋体" w:hAnsi="宋体" w:eastAsia="宋体" w:cs="宋体"/>
                <w:spacing w:val="8"/>
                <w:sz w:val="20"/>
                <w:szCs w:val="20"/>
              </w:rPr>
              <w:t>下水环境进行监</w:t>
            </w:r>
            <w:r>
              <w:rPr>
                <w:rFonts w:ascii="宋体" w:hAnsi="宋体" w:eastAsia="宋体" w:cs="宋体"/>
                <w:spacing w:val="7"/>
                <w:sz w:val="20"/>
                <w:szCs w:val="20"/>
              </w:rPr>
              <w:t>测</w:t>
            </w:r>
          </w:p>
        </w:tc>
        <w:tc>
          <w:tcPr>
            <w:tcW w:w="594" w:type="dxa"/>
            <w:vMerge w:val="restart"/>
            <w:tcBorders>
              <w:left w:val="single" w:color="000000" w:sz="4" w:space="0"/>
              <w:bottom w:val="nil"/>
              <w:right w:val="single" w:color="000000" w:sz="4" w:space="0"/>
            </w:tcBorders>
            <w:vAlign w:val="top"/>
          </w:tcPr>
          <w:p w14:paraId="0F00A30E">
            <w:pPr>
              <w:spacing w:line="256" w:lineRule="auto"/>
              <w:rPr>
                <w:rFonts w:ascii="Arial"/>
                <w:sz w:val="21"/>
              </w:rPr>
            </w:pPr>
          </w:p>
          <w:p w14:paraId="4E469DCF">
            <w:pPr>
              <w:spacing w:line="256" w:lineRule="auto"/>
              <w:rPr>
                <w:rFonts w:ascii="Arial"/>
                <w:sz w:val="21"/>
              </w:rPr>
            </w:pPr>
          </w:p>
          <w:p w14:paraId="6E0C7E5F">
            <w:pPr>
              <w:spacing w:line="257" w:lineRule="auto"/>
              <w:rPr>
                <w:rFonts w:ascii="Arial"/>
                <w:sz w:val="21"/>
              </w:rPr>
            </w:pPr>
          </w:p>
          <w:p w14:paraId="62BF9EE3">
            <w:pPr>
              <w:spacing w:line="257" w:lineRule="auto"/>
              <w:rPr>
                <w:rFonts w:ascii="Arial"/>
                <w:sz w:val="21"/>
              </w:rPr>
            </w:pPr>
          </w:p>
          <w:p w14:paraId="7CA56752">
            <w:pPr>
              <w:spacing w:line="257" w:lineRule="auto"/>
              <w:rPr>
                <w:rFonts w:ascii="Arial"/>
                <w:sz w:val="21"/>
              </w:rPr>
            </w:pPr>
          </w:p>
          <w:p w14:paraId="3F967A11">
            <w:pPr>
              <w:spacing w:line="257" w:lineRule="auto"/>
              <w:rPr>
                <w:rFonts w:ascii="Arial"/>
                <w:sz w:val="21"/>
              </w:rPr>
            </w:pPr>
          </w:p>
          <w:p w14:paraId="35EB0E1F">
            <w:pPr>
              <w:spacing w:line="257" w:lineRule="auto"/>
              <w:rPr>
                <w:rFonts w:ascii="Arial"/>
                <w:sz w:val="21"/>
              </w:rPr>
            </w:pPr>
          </w:p>
          <w:p w14:paraId="76FC1934">
            <w:pPr>
              <w:spacing w:line="257" w:lineRule="auto"/>
              <w:rPr>
                <w:rFonts w:ascii="Arial"/>
                <w:sz w:val="21"/>
              </w:rPr>
            </w:pPr>
          </w:p>
          <w:p w14:paraId="7A29FA79">
            <w:pPr>
              <w:spacing w:before="57" w:line="281"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tcBorders>
              <w:left w:val="single" w:color="000000" w:sz="4" w:space="0"/>
              <w:right w:val="nil"/>
            </w:tcBorders>
            <w:vAlign w:val="top"/>
          </w:tcPr>
          <w:p w14:paraId="5878DA29">
            <w:pPr>
              <w:tabs>
                <w:tab w:val="left" w:pos="120"/>
              </w:tabs>
              <w:spacing w:before="40" w:line="237" w:lineRule="auto"/>
              <w:ind w:left="10"/>
              <w:rPr>
                <w:rFonts w:ascii="宋体" w:hAnsi="宋体" w:eastAsia="宋体" w:cs="宋体"/>
                <w:sz w:val="20"/>
                <w:szCs w:val="20"/>
              </w:rPr>
            </w:pPr>
            <w:r>
              <w:rPr>
                <w:rFonts w:ascii="宋体" w:hAnsi="宋体" w:eastAsia="宋体" w:cs="宋体"/>
                <w:spacing w:val="-1"/>
                <w:sz w:val="20"/>
                <w:szCs w:val="20"/>
              </w:rPr>
              <w:t xml:space="preserve">底部铺设 </w:t>
            </w:r>
            <w:r>
              <w:rPr>
                <w:rFonts w:ascii="Times New Roman" w:hAnsi="Times New Roman" w:eastAsia="Times New Roman" w:cs="Times New Roman"/>
                <w:spacing w:val="-1"/>
                <w:sz w:val="20"/>
                <w:szCs w:val="20"/>
              </w:rPr>
              <w:t>300</w:t>
            </w:r>
            <w:r>
              <w:rPr>
                <w:rFonts w:ascii="Times New Roman" w:hAnsi="Times New Roman" w:eastAsia="Times New Roman" w:cs="Times New Roman"/>
                <w:sz w:val="20"/>
                <w:szCs w:val="20"/>
              </w:rPr>
              <w:t>mm</w:t>
            </w:r>
            <w:r>
              <w:rPr>
                <w:rFonts w:ascii="宋体" w:hAnsi="宋体" w:eastAsia="宋体" w:cs="宋体"/>
                <w:spacing w:val="-1"/>
                <w:sz w:val="20"/>
                <w:szCs w:val="20"/>
              </w:rPr>
              <w:t>黏</w:t>
            </w:r>
            <w:r>
              <w:rPr>
                <w:rFonts w:ascii="宋体" w:hAnsi="宋体" w:eastAsia="宋体" w:cs="宋体"/>
                <w:sz w:val="20"/>
                <w:szCs w:val="20"/>
              </w:rPr>
              <w:t xml:space="preserve">土层 </w:t>
            </w:r>
            <w:r>
              <w:rPr>
                <w:rFonts w:ascii="宋体" w:hAnsi="宋体" w:eastAsia="宋体" w:cs="宋体"/>
                <w:sz w:val="20"/>
                <w:szCs w:val="20"/>
              </w:rPr>
              <w:tab/>
            </w:r>
            <w:r>
              <w:rPr>
                <w:rFonts w:ascii="宋体" w:hAnsi="宋体" w:eastAsia="宋体" w:cs="宋体"/>
                <w:spacing w:val="-10"/>
                <w:sz w:val="20"/>
                <w:szCs w:val="20"/>
              </w:rPr>
              <w:t>(保护层，同时作为辅</w:t>
            </w:r>
            <w:r>
              <w:rPr>
                <w:rFonts w:ascii="宋体" w:hAnsi="宋体" w:eastAsia="宋体" w:cs="宋体"/>
                <w:spacing w:val="-9"/>
                <w:sz w:val="20"/>
                <w:szCs w:val="20"/>
              </w:rPr>
              <w:t>助</w:t>
            </w:r>
            <w:r>
              <w:rPr>
                <w:rFonts w:ascii="宋体" w:hAnsi="宋体" w:eastAsia="宋体" w:cs="宋体"/>
                <w:sz w:val="20"/>
                <w:szCs w:val="20"/>
              </w:rPr>
              <w:t xml:space="preserve"> </w:t>
            </w:r>
            <w:r>
              <w:rPr>
                <w:rFonts w:ascii="宋体" w:hAnsi="宋体" w:eastAsia="宋体" w:cs="宋体"/>
                <w:spacing w:val="-10"/>
                <w:sz w:val="20"/>
                <w:szCs w:val="20"/>
              </w:rPr>
              <w:t>防</w:t>
            </w:r>
            <w:r>
              <w:rPr>
                <w:rFonts w:ascii="宋体" w:hAnsi="宋体" w:eastAsia="宋体" w:cs="宋体"/>
                <w:spacing w:val="-8"/>
                <w:sz w:val="20"/>
                <w:szCs w:val="20"/>
              </w:rPr>
              <w:t>渗层) 压实平整，黏土</w:t>
            </w:r>
            <w:r>
              <w:rPr>
                <w:rFonts w:ascii="宋体" w:hAnsi="宋体" w:eastAsia="宋体" w:cs="宋体"/>
                <w:sz w:val="20"/>
                <w:szCs w:val="20"/>
              </w:rPr>
              <w:t xml:space="preserve"> </w:t>
            </w:r>
            <w:r>
              <w:rPr>
                <w:rFonts w:ascii="宋体" w:hAnsi="宋体" w:eastAsia="宋体" w:cs="宋体"/>
                <w:spacing w:val="-4"/>
                <w:sz w:val="20"/>
                <w:szCs w:val="20"/>
              </w:rPr>
              <w:t>层上</w:t>
            </w:r>
            <w:r>
              <w:rPr>
                <w:rFonts w:ascii="宋体" w:hAnsi="宋体" w:eastAsia="宋体" w:cs="宋体"/>
                <w:spacing w:val="-2"/>
                <w:sz w:val="20"/>
                <w:szCs w:val="20"/>
              </w:rPr>
              <w:t xml:space="preserve">铺设 </w:t>
            </w:r>
            <w:r>
              <w:rPr>
                <w:rFonts w:ascii="Times New Roman" w:hAnsi="Times New Roman" w:eastAsia="Times New Roman" w:cs="Times New Roman"/>
                <w:spacing w:val="-2"/>
                <w:sz w:val="20"/>
                <w:szCs w:val="20"/>
              </w:rPr>
              <w:t xml:space="preserve">HDPE-GCL </w:t>
            </w:r>
            <w:r>
              <w:rPr>
                <w:rFonts w:ascii="宋体" w:hAnsi="宋体" w:eastAsia="宋体" w:cs="宋体"/>
                <w:spacing w:val="-2"/>
                <w:sz w:val="20"/>
                <w:szCs w:val="20"/>
              </w:rPr>
              <w:t>复</w:t>
            </w:r>
            <w:r>
              <w:rPr>
                <w:rFonts w:ascii="宋体" w:hAnsi="宋体" w:eastAsia="宋体" w:cs="宋体"/>
                <w:sz w:val="20"/>
                <w:szCs w:val="20"/>
              </w:rPr>
              <w:t xml:space="preserve"> </w:t>
            </w:r>
            <w:r>
              <w:rPr>
                <w:rFonts w:ascii="宋体" w:hAnsi="宋体" w:eastAsia="宋体" w:cs="宋体"/>
                <w:spacing w:val="6"/>
                <w:sz w:val="20"/>
                <w:szCs w:val="20"/>
              </w:rPr>
              <w:t>合防</w:t>
            </w:r>
            <w:r>
              <w:rPr>
                <w:rFonts w:ascii="宋体" w:hAnsi="宋体" w:eastAsia="宋体" w:cs="宋体"/>
                <w:spacing w:val="3"/>
                <w:sz w:val="20"/>
                <w:szCs w:val="20"/>
              </w:rPr>
              <w:t>渗系统 (</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厚的</w:t>
            </w:r>
            <w:r>
              <w:rPr>
                <w:rFonts w:ascii="宋体" w:hAnsi="宋体" w:eastAsia="宋体" w:cs="宋体"/>
                <w:sz w:val="20"/>
                <w:szCs w:val="20"/>
              </w:rPr>
              <w:t xml:space="preserve"> </w:t>
            </w:r>
            <w:r>
              <w:rPr>
                <w:rFonts w:ascii="宋体" w:hAnsi="宋体" w:eastAsia="宋体" w:cs="宋体"/>
                <w:spacing w:val="-16"/>
                <w:sz w:val="20"/>
                <w:szCs w:val="20"/>
              </w:rPr>
              <w:t>高</w:t>
            </w:r>
            <w:r>
              <w:rPr>
                <w:rFonts w:ascii="宋体" w:hAnsi="宋体" w:eastAsia="宋体" w:cs="宋体"/>
                <w:spacing w:val="-12"/>
                <w:sz w:val="20"/>
                <w:szCs w:val="20"/>
              </w:rPr>
              <w:t xml:space="preserve"> 密 度 聚 乙 烯 膜 、</w:t>
            </w:r>
            <w:r>
              <w:rPr>
                <w:rFonts w:ascii="宋体" w:hAnsi="宋体" w:eastAsia="宋体" w:cs="宋体"/>
                <w:sz w:val="20"/>
                <w:szCs w:val="20"/>
              </w:rPr>
              <w:t xml:space="preserve"> </w:t>
            </w:r>
            <w:r>
              <w:rPr>
                <w:rFonts w:ascii="Times New Roman" w:hAnsi="Times New Roman" w:eastAsia="Times New Roman" w:cs="Times New Roman"/>
                <w:spacing w:val="-1"/>
                <w:sz w:val="20"/>
                <w:szCs w:val="20"/>
              </w:rPr>
              <w:t>300</w:t>
            </w:r>
            <w:r>
              <w:rPr>
                <w:rFonts w:ascii="Times New Roman" w:hAnsi="Times New Roman" w:eastAsia="Times New Roman" w:cs="Times New Roman"/>
                <w:sz w:val="20"/>
                <w:szCs w:val="20"/>
              </w:rPr>
              <w:t>g</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土工织</w:t>
            </w:r>
            <w:r>
              <w:rPr>
                <w:rFonts w:ascii="宋体" w:hAnsi="宋体" w:eastAsia="宋体" w:cs="宋体"/>
                <w:sz w:val="20"/>
                <w:szCs w:val="20"/>
              </w:rPr>
              <w:t xml:space="preserve">物膨润土 </w:t>
            </w:r>
            <w:r>
              <w:rPr>
                <w:rFonts w:ascii="宋体" w:hAnsi="宋体" w:eastAsia="宋体" w:cs="宋体"/>
                <w:spacing w:val="-10"/>
                <w:sz w:val="20"/>
                <w:szCs w:val="20"/>
              </w:rPr>
              <w:t>垫</w:t>
            </w:r>
            <w:r>
              <w:rPr>
                <w:rFonts w:ascii="宋体" w:hAnsi="宋体" w:eastAsia="宋体" w:cs="宋体"/>
                <w:spacing w:val="-8"/>
                <w:sz w:val="20"/>
                <w:szCs w:val="20"/>
              </w:rPr>
              <w:t>) ，上部外加耐腐蚀混</w:t>
            </w:r>
            <w:r>
              <w:rPr>
                <w:rFonts w:ascii="宋体" w:hAnsi="宋体" w:eastAsia="宋体" w:cs="宋体"/>
                <w:sz w:val="20"/>
                <w:szCs w:val="20"/>
              </w:rPr>
              <w:t xml:space="preserve"> </w:t>
            </w:r>
            <w:r>
              <w:rPr>
                <w:rFonts w:ascii="宋体" w:hAnsi="宋体" w:eastAsia="宋体" w:cs="宋体"/>
                <w:spacing w:val="-4"/>
                <w:sz w:val="20"/>
                <w:szCs w:val="20"/>
              </w:rPr>
              <w:t xml:space="preserve">凝土 </w:t>
            </w:r>
            <w:r>
              <w:rPr>
                <w:rFonts w:ascii="Times New Roman" w:hAnsi="Times New Roman" w:eastAsia="Times New Roman" w:cs="Times New Roman"/>
                <w:spacing w:val="-4"/>
                <w:sz w:val="20"/>
                <w:szCs w:val="20"/>
              </w:rPr>
              <w:t>15</w:t>
            </w:r>
            <w:r>
              <w:rPr>
                <w:rFonts w:ascii="Times New Roman" w:hAnsi="Times New Roman" w:eastAsia="Times New Roman" w:cs="Times New Roman"/>
                <w:spacing w:val="-2"/>
                <w:sz w:val="20"/>
                <w:szCs w:val="20"/>
              </w:rPr>
              <w:t xml:space="preserve">cm  </w:t>
            </w:r>
            <w:r>
              <w:rPr>
                <w:rFonts w:ascii="宋体" w:hAnsi="宋体" w:eastAsia="宋体" w:cs="宋体"/>
                <w:spacing w:val="-2"/>
                <w:sz w:val="20"/>
                <w:szCs w:val="20"/>
              </w:rPr>
              <w:t>(保护层) 等</w:t>
            </w:r>
            <w:r>
              <w:rPr>
                <w:rFonts w:ascii="宋体" w:hAnsi="宋体" w:eastAsia="宋体" w:cs="宋体"/>
                <w:sz w:val="20"/>
                <w:szCs w:val="20"/>
              </w:rPr>
              <w:t xml:space="preserve"> </w:t>
            </w:r>
            <w:r>
              <w:rPr>
                <w:rFonts w:ascii="宋体" w:hAnsi="宋体" w:eastAsia="宋体" w:cs="宋体"/>
                <w:spacing w:val="-12"/>
                <w:sz w:val="20"/>
                <w:szCs w:val="20"/>
              </w:rPr>
              <w:t>防</w:t>
            </w:r>
            <w:r>
              <w:rPr>
                <w:rFonts w:ascii="宋体" w:hAnsi="宋体" w:eastAsia="宋体" w:cs="宋体"/>
                <w:spacing w:val="-9"/>
                <w:sz w:val="20"/>
                <w:szCs w:val="20"/>
              </w:rPr>
              <w:t>渗</w:t>
            </w:r>
            <w:r>
              <w:rPr>
                <w:rFonts w:ascii="宋体" w:hAnsi="宋体" w:eastAsia="宋体" w:cs="宋体"/>
                <w:spacing w:val="-6"/>
                <w:sz w:val="20"/>
                <w:szCs w:val="20"/>
              </w:rPr>
              <w:t>，侧壁均设防渗墙。</w:t>
            </w:r>
          </w:p>
        </w:tc>
      </w:tr>
      <w:tr w14:paraId="78DE2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480" w:type="dxa"/>
            <w:vMerge w:val="continue"/>
            <w:tcBorders>
              <w:top w:val="nil"/>
              <w:left w:val="nil"/>
              <w:bottom w:val="nil"/>
              <w:right w:val="single" w:color="000000" w:sz="4" w:space="0"/>
            </w:tcBorders>
            <w:vAlign w:val="top"/>
          </w:tcPr>
          <w:p w14:paraId="312CDBDC">
            <w:pPr>
              <w:rPr>
                <w:rFonts w:ascii="Arial"/>
                <w:sz w:val="21"/>
              </w:rPr>
            </w:pPr>
          </w:p>
        </w:tc>
        <w:tc>
          <w:tcPr>
            <w:tcW w:w="510" w:type="dxa"/>
            <w:vMerge w:val="continue"/>
            <w:tcBorders>
              <w:top w:val="nil"/>
              <w:left w:val="single" w:color="000000" w:sz="4" w:space="0"/>
              <w:bottom w:val="nil"/>
              <w:right w:val="single" w:color="000000" w:sz="4" w:space="0"/>
            </w:tcBorders>
            <w:textDirection w:val="tbRlV"/>
            <w:vAlign w:val="top"/>
          </w:tcPr>
          <w:p w14:paraId="5887F819">
            <w:pPr>
              <w:rPr>
                <w:rFonts w:ascii="Arial"/>
                <w:sz w:val="21"/>
              </w:rPr>
            </w:pPr>
          </w:p>
        </w:tc>
        <w:tc>
          <w:tcPr>
            <w:tcW w:w="1170" w:type="dxa"/>
            <w:tcBorders>
              <w:left w:val="single" w:color="000000" w:sz="4" w:space="0"/>
              <w:right w:val="single" w:color="000000" w:sz="4" w:space="0"/>
            </w:tcBorders>
            <w:vAlign w:val="top"/>
          </w:tcPr>
          <w:p w14:paraId="39C3B22D">
            <w:pPr>
              <w:spacing w:before="23" w:line="293" w:lineRule="auto"/>
              <w:ind w:left="11" w:firstLine="1"/>
              <w:rPr>
                <w:rFonts w:ascii="宋体" w:hAnsi="宋体" w:eastAsia="宋体" w:cs="宋体"/>
                <w:sz w:val="20"/>
                <w:szCs w:val="20"/>
              </w:rPr>
            </w:pPr>
            <w:r>
              <w:rPr>
                <w:rFonts w:ascii="宋体" w:hAnsi="宋体" w:eastAsia="宋体" w:cs="宋体"/>
                <w:spacing w:val="-12"/>
                <w:sz w:val="20"/>
                <w:szCs w:val="20"/>
              </w:rPr>
              <w:t>办</w:t>
            </w:r>
            <w:r>
              <w:rPr>
                <w:rFonts w:ascii="宋体" w:hAnsi="宋体" w:eastAsia="宋体" w:cs="宋体"/>
                <w:spacing w:val="-7"/>
                <w:sz w:val="20"/>
                <w:szCs w:val="20"/>
              </w:rPr>
              <w:t>公室、</w:t>
            </w:r>
            <w:r>
              <w:rPr>
                <w:rFonts w:ascii="Times New Roman" w:hAnsi="Times New Roman" w:eastAsia="Times New Roman" w:cs="Times New Roman"/>
                <w:spacing w:val="-7"/>
                <w:sz w:val="20"/>
                <w:szCs w:val="20"/>
              </w:rPr>
              <w:t>1#</w:t>
            </w:r>
            <w:r>
              <w:rPr>
                <w:rFonts w:ascii="宋体" w:hAnsi="宋体" w:eastAsia="宋体" w:cs="宋体"/>
                <w:spacing w:val="-7"/>
                <w:sz w:val="20"/>
                <w:szCs w:val="20"/>
              </w:rPr>
              <w:t>员</w:t>
            </w:r>
            <w:r>
              <w:rPr>
                <w:rFonts w:ascii="宋体" w:hAnsi="宋体" w:eastAsia="宋体" w:cs="宋体"/>
                <w:sz w:val="20"/>
                <w:szCs w:val="20"/>
              </w:rPr>
              <w:t xml:space="preserve"> </w:t>
            </w:r>
            <w:r>
              <w:rPr>
                <w:rFonts w:ascii="宋体" w:hAnsi="宋体" w:eastAsia="宋体" w:cs="宋体"/>
                <w:spacing w:val="-8"/>
                <w:sz w:val="20"/>
                <w:szCs w:val="20"/>
              </w:rPr>
              <w:t>工休息室、</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员</w:t>
            </w:r>
            <w:r>
              <w:rPr>
                <w:rFonts w:ascii="宋体" w:hAnsi="宋体" w:eastAsia="宋体" w:cs="宋体"/>
                <w:spacing w:val="-9"/>
                <w:sz w:val="20"/>
                <w:szCs w:val="20"/>
              </w:rPr>
              <w:t>工休息室、</w:t>
            </w:r>
          </w:p>
          <w:p w14:paraId="043D9B23">
            <w:pPr>
              <w:spacing w:before="20" w:line="228" w:lineRule="auto"/>
              <w:ind w:left="95"/>
              <w:rPr>
                <w:rFonts w:ascii="宋体" w:hAnsi="宋体" w:eastAsia="宋体" w:cs="宋体"/>
                <w:sz w:val="20"/>
                <w:szCs w:val="20"/>
              </w:rPr>
            </w:pPr>
            <w:r>
              <w:rPr>
                <w:rFonts w:ascii="宋体" w:hAnsi="宋体" w:eastAsia="宋体" w:cs="宋体"/>
                <w:spacing w:val="-2"/>
                <w:sz w:val="20"/>
                <w:szCs w:val="20"/>
              </w:rPr>
              <w:t>备品备件</w:t>
            </w:r>
            <w:r>
              <w:rPr>
                <w:rFonts w:ascii="宋体" w:hAnsi="宋体" w:eastAsia="宋体" w:cs="宋体"/>
                <w:spacing w:val="-1"/>
                <w:sz w:val="20"/>
                <w:szCs w:val="20"/>
              </w:rPr>
              <w:t>库</w:t>
            </w:r>
          </w:p>
        </w:tc>
        <w:tc>
          <w:tcPr>
            <w:tcW w:w="645" w:type="dxa"/>
            <w:vMerge w:val="continue"/>
            <w:tcBorders>
              <w:top w:val="nil"/>
              <w:left w:val="single" w:color="000000" w:sz="4" w:space="0"/>
              <w:bottom w:val="nil"/>
              <w:right w:val="single" w:color="000000" w:sz="4" w:space="0"/>
            </w:tcBorders>
            <w:vAlign w:val="top"/>
          </w:tcPr>
          <w:p w14:paraId="7D9CC54E">
            <w:pPr>
              <w:rPr>
                <w:rFonts w:ascii="Arial"/>
                <w:sz w:val="21"/>
              </w:rPr>
            </w:pPr>
          </w:p>
        </w:tc>
        <w:tc>
          <w:tcPr>
            <w:tcW w:w="2780" w:type="dxa"/>
            <w:vMerge w:val="continue"/>
            <w:tcBorders>
              <w:top w:val="nil"/>
              <w:left w:val="single" w:color="000000" w:sz="4" w:space="0"/>
              <w:bottom w:val="nil"/>
              <w:right w:val="single" w:color="000000" w:sz="4" w:space="0"/>
            </w:tcBorders>
            <w:vAlign w:val="top"/>
          </w:tcPr>
          <w:p w14:paraId="7180B696">
            <w:pPr>
              <w:rPr>
                <w:rFonts w:ascii="Arial"/>
                <w:sz w:val="21"/>
              </w:rPr>
            </w:pPr>
          </w:p>
        </w:tc>
        <w:tc>
          <w:tcPr>
            <w:tcW w:w="594" w:type="dxa"/>
            <w:vMerge w:val="continue"/>
            <w:tcBorders>
              <w:top w:val="nil"/>
              <w:left w:val="single" w:color="000000" w:sz="4" w:space="0"/>
              <w:bottom w:val="nil"/>
              <w:right w:val="single" w:color="000000" w:sz="4" w:space="0"/>
            </w:tcBorders>
            <w:vAlign w:val="top"/>
          </w:tcPr>
          <w:p w14:paraId="01122B3A">
            <w:pPr>
              <w:rPr>
                <w:rFonts w:ascii="Arial"/>
                <w:sz w:val="21"/>
              </w:rPr>
            </w:pPr>
          </w:p>
        </w:tc>
        <w:tc>
          <w:tcPr>
            <w:tcW w:w="2141" w:type="dxa"/>
            <w:tcBorders>
              <w:left w:val="single" w:color="000000" w:sz="4" w:space="0"/>
              <w:right w:val="nil"/>
            </w:tcBorders>
            <w:vAlign w:val="top"/>
          </w:tcPr>
          <w:p w14:paraId="6D14E398">
            <w:pPr>
              <w:spacing w:before="117" w:line="263" w:lineRule="auto"/>
              <w:ind w:left="10" w:right="13"/>
              <w:rPr>
                <w:rFonts w:ascii="宋体" w:hAnsi="宋体" w:eastAsia="宋体" w:cs="宋体"/>
                <w:sz w:val="20"/>
                <w:szCs w:val="20"/>
              </w:rPr>
            </w:pPr>
            <w:r>
              <w:rPr>
                <w:rFonts w:ascii="宋体" w:hAnsi="宋体" w:eastAsia="宋体" w:cs="宋体"/>
                <w:spacing w:val="9"/>
                <w:sz w:val="20"/>
                <w:szCs w:val="20"/>
              </w:rPr>
              <w:t>底部做基础防渗，铺设</w:t>
            </w:r>
            <w:r>
              <w:rPr>
                <w:rFonts w:ascii="宋体" w:hAnsi="宋体" w:eastAsia="宋体" w:cs="宋体"/>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厚黏土层</w:t>
            </w:r>
            <w:r>
              <w:rPr>
                <w:rFonts w:ascii="宋体" w:hAnsi="宋体" w:eastAsia="宋体" w:cs="宋体"/>
                <w:sz w:val="20"/>
                <w:szCs w:val="20"/>
              </w:rPr>
              <w:t xml:space="preserve">，再用耐腐 </w:t>
            </w:r>
            <w:r>
              <w:rPr>
                <w:rFonts w:ascii="宋体" w:hAnsi="宋体" w:eastAsia="宋体" w:cs="宋体"/>
                <w:spacing w:val="17"/>
                <w:sz w:val="20"/>
                <w:szCs w:val="20"/>
              </w:rPr>
              <w:t>蚀</w:t>
            </w:r>
            <w:r>
              <w:rPr>
                <w:rFonts w:ascii="宋体" w:hAnsi="宋体" w:eastAsia="宋体" w:cs="宋体"/>
                <w:spacing w:val="10"/>
                <w:sz w:val="20"/>
                <w:szCs w:val="20"/>
              </w:rPr>
              <w:t xml:space="preserve">混凝土 </w:t>
            </w:r>
            <w:r>
              <w:rPr>
                <w:rFonts w:ascii="Times New Roman" w:hAnsi="Times New Roman" w:eastAsia="Times New Roman" w:cs="Times New Roman"/>
                <w:spacing w:val="10"/>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浇铸，</w:t>
            </w:r>
            <w:r>
              <w:rPr>
                <w:rFonts w:ascii="宋体" w:hAnsi="宋体" w:eastAsia="宋体" w:cs="宋体"/>
                <w:sz w:val="20"/>
                <w:szCs w:val="20"/>
              </w:rPr>
              <w:t xml:space="preserve"> </w:t>
            </w:r>
            <w:r>
              <w:rPr>
                <w:rFonts w:ascii="宋体" w:hAnsi="宋体" w:eastAsia="宋体" w:cs="宋体"/>
                <w:spacing w:val="8"/>
                <w:sz w:val="20"/>
                <w:szCs w:val="20"/>
              </w:rPr>
              <w:t>上部铺设耐腐蚀砖</w:t>
            </w:r>
            <w:r>
              <w:rPr>
                <w:rFonts w:ascii="宋体" w:hAnsi="宋体" w:eastAsia="宋体" w:cs="宋体"/>
                <w:spacing w:val="6"/>
                <w:sz w:val="20"/>
                <w:szCs w:val="20"/>
              </w:rPr>
              <w:t>。</w:t>
            </w:r>
          </w:p>
        </w:tc>
      </w:tr>
      <w:tr w14:paraId="1D7B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80" w:type="dxa"/>
            <w:vMerge w:val="continue"/>
            <w:tcBorders>
              <w:top w:val="nil"/>
              <w:left w:val="nil"/>
              <w:right w:val="single" w:color="000000" w:sz="4" w:space="0"/>
            </w:tcBorders>
            <w:vAlign w:val="top"/>
          </w:tcPr>
          <w:p w14:paraId="02959CEC">
            <w:pPr>
              <w:rPr>
                <w:rFonts w:ascii="Arial"/>
                <w:sz w:val="21"/>
              </w:rPr>
            </w:pPr>
          </w:p>
        </w:tc>
        <w:tc>
          <w:tcPr>
            <w:tcW w:w="510" w:type="dxa"/>
            <w:vMerge w:val="continue"/>
            <w:tcBorders>
              <w:top w:val="nil"/>
              <w:left w:val="single" w:color="000000" w:sz="4" w:space="0"/>
              <w:right w:val="single" w:color="000000" w:sz="4" w:space="0"/>
            </w:tcBorders>
            <w:textDirection w:val="tbRlV"/>
            <w:vAlign w:val="top"/>
          </w:tcPr>
          <w:p w14:paraId="2CC27BF5">
            <w:pPr>
              <w:rPr>
                <w:rFonts w:ascii="Arial"/>
                <w:sz w:val="21"/>
              </w:rPr>
            </w:pPr>
          </w:p>
        </w:tc>
        <w:tc>
          <w:tcPr>
            <w:tcW w:w="1170" w:type="dxa"/>
            <w:tcBorders>
              <w:left w:val="single" w:color="000000" w:sz="4" w:space="0"/>
              <w:right w:val="single" w:color="000000" w:sz="4" w:space="0"/>
            </w:tcBorders>
            <w:vAlign w:val="top"/>
          </w:tcPr>
          <w:p w14:paraId="78760C6F">
            <w:pPr>
              <w:spacing w:before="60" w:line="258" w:lineRule="auto"/>
              <w:ind w:left="117" w:hanging="94"/>
              <w:rPr>
                <w:rFonts w:ascii="宋体" w:hAnsi="宋体" w:eastAsia="宋体" w:cs="宋体"/>
                <w:sz w:val="20"/>
                <w:szCs w:val="20"/>
              </w:rPr>
            </w:pPr>
            <w:r>
              <w:rPr>
                <w:rFonts w:ascii="宋体" w:hAnsi="宋体" w:eastAsia="宋体" w:cs="宋体"/>
                <w:spacing w:val="-14"/>
                <w:sz w:val="20"/>
                <w:szCs w:val="20"/>
              </w:rPr>
              <w:t>全</w:t>
            </w:r>
            <w:r>
              <w:rPr>
                <w:rFonts w:ascii="宋体" w:hAnsi="宋体" w:eastAsia="宋体" w:cs="宋体"/>
                <w:spacing w:val="-10"/>
                <w:sz w:val="20"/>
                <w:szCs w:val="20"/>
              </w:rPr>
              <w:t>厂区绿地外</w:t>
            </w:r>
            <w:r>
              <w:rPr>
                <w:rFonts w:ascii="宋体" w:hAnsi="宋体" w:eastAsia="宋体" w:cs="宋体"/>
                <w:sz w:val="20"/>
                <w:szCs w:val="20"/>
              </w:rPr>
              <w:t xml:space="preserve"> </w:t>
            </w:r>
            <w:r>
              <w:rPr>
                <w:rFonts w:ascii="宋体" w:hAnsi="宋体" w:eastAsia="宋体" w:cs="宋体"/>
                <w:spacing w:val="-8"/>
                <w:sz w:val="20"/>
                <w:szCs w:val="20"/>
              </w:rPr>
              <w:t>其他构筑物</w:t>
            </w:r>
          </w:p>
        </w:tc>
        <w:tc>
          <w:tcPr>
            <w:tcW w:w="645" w:type="dxa"/>
            <w:vMerge w:val="continue"/>
            <w:tcBorders>
              <w:top w:val="nil"/>
              <w:left w:val="single" w:color="000000" w:sz="4" w:space="0"/>
              <w:right w:val="single" w:color="000000" w:sz="4" w:space="0"/>
            </w:tcBorders>
            <w:vAlign w:val="top"/>
          </w:tcPr>
          <w:p w14:paraId="32392481">
            <w:pPr>
              <w:rPr>
                <w:rFonts w:ascii="Arial"/>
                <w:sz w:val="21"/>
              </w:rPr>
            </w:pPr>
          </w:p>
        </w:tc>
        <w:tc>
          <w:tcPr>
            <w:tcW w:w="2780" w:type="dxa"/>
            <w:vMerge w:val="continue"/>
            <w:tcBorders>
              <w:top w:val="nil"/>
              <w:left w:val="single" w:color="000000" w:sz="4" w:space="0"/>
              <w:right w:val="single" w:color="000000" w:sz="4" w:space="0"/>
            </w:tcBorders>
            <w:vAlign w:val="top"/>
          </w:tcPr>
          <w:p w14:paraId="33A31CF5">
            <w:pPr>
              <w:rPr>
                <w:rFonts w:ascii="Arial"/>
                <w:sz w:val="21"/>
              </w:rPr>
            </w:pPr>
          </w:p>
        </w:tc>
        <w:tc>
          <w:tcPr>
            <w:tcW w:w="594" w:type="dxa"/>
            <w:vMerge w:val="continue"/>
            <w:tcBorders>
              <w:top w:val="nil"/>
              <w:left w:val="single" w:color="000000" w:sz="4" w:space="0"/>
              <w:right w:val="single" w:color="000000" w:sz="4" w:space="0"/>
            </w:tcBorders>
            <w:vAlign w:val="top"/>
          </w:tcPr>
          <w:p w14:paraId="51E03251">
            <w:pPr>
              <w:rPr>
                <w:rFonts w:ascii="Arial"/>
                <w:sz w:val="21"/>
              </w:rPr>
            </w:pPr>
          </w:p>
        </w:tc>
        <w:tc>
          <w:tcPr>
            <w:tcW w:w="2141" w:type="dxa"/>
            <w:tcBorders>
              <w:left w:val="single" w:color="000000" w:sz="4" w:space="0"/>
              <w:right w:val="nil"/>
            </w:tcBorders>
            <w:vAlign w:val="top"/>
          </w:tcPr>
          <w:p w14:paraId="567462CB">
            <w:pPr>
              <w:spacing w:before="84" w:line="243" w:lineRule="auto"/>
              <w:ind w:left="13" w:right="3" w:hanging="3"/>
              <w:rPr>
                <w:rFonts w:ascii="宋体" w:hAnsi="宋体" w:eastAsia="宋体" w:cs="宋体"/>
                <w:sz w:val="20"/>
                <w:szCs w:val="20"/>
              </w:rPr>
            </w:pPr>
            <w:r>
              <w:rPr>
                <w:rFonts w:ascii="宋体" w:hAnsi="宋体" w:eastAsia="宋体" w:cs="宋体"/>
                <w:spacing w:val="-9"/>
                <w:sz w:val="20"/>
                <w:szCs w:val="20"/>
              </w:rPr>
              <w:t>采</w:t>
            </w:r>
            <w:r>
              <w:rPr>
                <w:rFonts w:ascii="宋体" w:hAnsi="宋体" w:eastAsia="宋体" w:cs="宋体"/>
                <w:spacing w:val="-7"/>
                <w:sz w:val="20"/>
                <w:szCs w:val="20"/>
              </w:rPr>
              <w:t>取混凝土地面，上涂耐</w:t>
            </w:r>
            <w:r>
              <w:rPr>
                <w:rFonts w:ascii="宋体" w:hAnsi="宋体" w:eastAsia="宋体" w:cs="宋体"/>
                <w:sz w:val="20"/>
                <w:szCs w:val="20"/>
              </w:rPr>
              <w:t xml:space="preserve"> </w:t>
            </w:r>
            <w:r>
              <w:rPr>
                <w:rFonts w:ascii="宋体" w:hAnsi="宋体" w:eastAsia="宋体" w:cs="宋体"/>
                <w:spacing w:val="-2"/>
                <w:sz w:val="20"/>
                <w:szCs w:val="20"/>
              </w:rPr>
              <w:t>磨环氧树脂地面涂</w:t>
            </w:r>
            <w:r>
              <w:rPr>
                <w:rFonts w:ascii="宋体" w:hAnsi="宋体" w:eastAsia="宋体" w:cs="宋体"/>
                <w:spacing w:val="-1"/>
                <w:sz w:val="20"/>
                <w:szCs w:val="20"/>
              </w:rPr>
              <w:t>料。</w:t>
            </w:r>
          </w:p>
        </w:tc>
      </w:tr>
      <w:tr w14:paraId="00BE0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0" w:type="dxa"/>
            <w:tcBorders>
              <w:left w:val="nil"/>
              <w:right w:val="single" w:color="000000" w:sz="4" w:space="0"/>
            </w:tcBorders>
            <w:vAlign w:val="top"/>
          </w:tcPr>
          <w:p w14:paraId="6718D5A8">
            <w:pPr>
              <w:spacing w:line="266" w:lineRule="auto"/>
              <w:rPr>
                <w:rFonts w:ascii="Arial"/>
                <w:sz w:val="21"/>
              </w:rPr>
            </w:pPr>
          </w:p>
          <w:p w14:paraId="687626ED">
            <w:pPr>
              <w:spacing w:before="65" w:line="228" w:lineRule="auto"/>
              <w:ind w:left="44"/>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510" w:type="dxa"/>
            <w:tcBorders>
              <w:left w:val="single" w:color="000000" w:sz="4" w:space="0"/>
              <w:right w:val="single" w:color="000000" w:sz="4" w:space="0"/>
            </w:tcBorders>
            <w:vAlign w:val="top"/>
          </w:tcPr>
          <w:p w14:paraId="66E7D54B">
            <w:pPr>
              <w:spacing w:before="192" w:line="272" w:lineRule="auto"/>
              <w:ind w:left="47" w:right="41" w:firstLine="1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 xml:space="preserve">声 </w:t>
            </w:r>
            <w:r>
              <w:rPr>
                <w:rFonts w:ascii="宋体" w:hAnsi="宋体" w:eastAsia="宋体" w:cs="宋体"/>
                <w:spacing w:val="5"/>
                <w:sz w:val="20"/>
                <w:szCs w:val="20"/>
              </w:rPr>
              <w:t>控制</w:t>
            </w:r>
          </w:p>
        </w:tc>
        <w:tc>
          <w:tcPr>
            <w:tcW w:w="1170" w:type="dxa"/>
            <w:tcBorders>
              <w:left w:val="single" w:color="000000" w:sz="4" w:space="0"/>
              <w:right w:val="single" w:color="000000" w:sz="4" w:space="0"/>
            </w:tcBorders>
            <w:vAlign w:val="top"/>
          </w:tcPr>
          <w:p w14:paraId="38663A68">
            <w:pPr>
              <w:spacing w:before="51" w:line="227" w:lineRule="auto"/>
              <w:ind w:left="8"/>
              <w:rPr>
                <w:rFonts w:ascii="宋体" w:hAnsi="宋体" w:eastAsia="宋体" w:cs="宋体"/>
                <w:sz w:val="20"/>
                <w:szCs w:val="20"/>
              </w:rPr>
            </w:pPr>
            <w:r>
              <w:rPr>
                <w:rFonts w:ascii="宋体" w:hAnsi="宋体" w:eastAsia="宋体" w:cs="宋体"/>
                <w:spacing w:val="-13"/>
                <w:sz w:val="20"/>
                <w:szCs w:val="20"/>
              </w:rPr>
              <w:t>粉</w:t>
            </w:r>
            <w:r>
              <w:rPr>
                <w:rFonts w:ascii="宋体" w:hAnsi="宋体" w:eastAsia="宋体" w:cs="宋体"/>
                <w:spacing w:val="-8"/>
                <w:sz w:val="20"/>
                <w:szCs w:val="20"/>
              </w:rPr>
              <w:t>碎机、喂料</w:t>
            </w:r>
          </w:p>
          <w:p w14:paraId="31AEB644">
            <w:pPr>
              <w:spacing w:before="34" w:line="227" w:lineRule="auto"/>
              <w:ind w:left="8"/>
              <w:rPr>
                <w:rFonts w:ascii="宋体" w:hAnsi="宋体" w:eastAsia="宋体" w:cs="宋体"/>
                <w:sz w:val="20"/>
                <w:szCs w:val="20"/>
              </w:rPr>
            </w:pPr>
            <w:r>
              <w:rPr>
                <w:rFonts w:ascii="宋体" w:hAnsi="宋体" w:eastAsia="宋体" w:cs="宋体"/>
                <w:spacing w:val="-13"/>
                <w:sz w:val="20"/>
                <w:szCs w:val="20"/>
              </w:rPr>
              <w:t>机</w:t>
            </w:r>
            <w:r>
              <w:rPr>
                <w:rFonts w:ascii="宋体" w:hAnsi="宋体" w:eastAsia="宋体" w:cs="宋体"/>
                <w:spacing w:val="-8"/>
                <w:sz w:val="20"/>
                <w:szCs w:val="20"/>
              </w:rPr>
              <w:t>、循环水泵</w:t>
            </w:r>
          </w:p>
          <w:p w14:paraId="1C55AE8B">
            <w:pPr>
              <w:spacing w:before="34" w:line="219" w:lineRule="auto"/>
              <w:ind w:left="483"/>
              <w:rPr>
                <w:rFonts w:ascii="宋体" w:hAnsi="宋体" w:eastAsia="宋体" w:cs="宋体"/>
                <w:sz w:val="20"/>
                <w:szCs w:val="20"/>
              </w:rPr>
            </w:pPr>
            <w:r>
              <w:rPr>
                <w:rFonts w:ascii="宋体" w:hAnsi="宋体" w:eastAsia="宋体" w:cs="宋体"/>
                <w:sz w:val="20"/>
                <w:szCs w:val="20"/>
              </w:rPr>
              <w:t>等</w:t>
            </w:r>
          </w:p>
        </w:tc>
        <w:tc>
          <w:tcPr>
            <w:tcW w:w="645" w:type="dxa"/>
            <w:tcBorders>
              <w:left w:val="single" w:color="000000" w:sz="4" w:space="0"/>
              <w:right w:val="single" w:color="000000" w:sz="4" w:space="0"/>
            </w:tcBorders>
            <w:vAlign w:val="top"/>
          </w:tcPr>
          <w:p w14:paraId="6505EE5C">
            <w:pPr>
              <w:spacing w:line="266" w:lineRule="auto"/>
              <w:rPr>
                <w:rFonts w:ascii="Arial"/>
                <w:sz w:val="21"/>
              </w:rPr>
            </w:pPr>
          </w:p>
          <w:p w14:paraId="69A0BC47">
            <w:pPr>
              <w:spacing w:before="65" w:line="228" w:lineRule="auto"/>
              <w:ind w:left="125"/>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2780" w:type="dxa"/>
            <w:tcBorders>
              <w:left w:val="single" w:color="000000" w:sz="4" w:space="0"/>
              <w:right w:val="single" w:color="000000" w:sz="4" w:space="0"/>
            </w:tcBorders>
            <w:vAlign w:val="top"/>
          </w:tcPr>
          <w:p w14:paraId="23DA8CAF">
            <w:pPr>
              <w:spacing w:line="266" w:lineRule="auto"/>
              <w:rPr>
                <w:rFonts w:ascii="Arial"/>
                <w:sz w:val="21"/>
              </w:rPr>
            </w:pPr>
          </w:p>
          <w:p w14:paraId="4F37F170">
            <w:pPr>
              <w:spacing w:before="65" w:line="228" w:lineRule="auto"/>
              <w:ind w:left="553"/>
              <w:rPr>
                <w:rFonts w:ascii="宋体" w:hAnsi="宋体" w:eastAsia="宋体" w:cs="宋体"/>
                <w:sz w:val="20"/>
                <w:szCs w:val="20"/>
              </w:rPr>
            </w:pPr>
            <w:r>
              <w:rPr>
                <w:rFonts w:ascii="宋体" w:hAnsi="宋体" w:eastAsia="宋体" w:cs="宋体"/>
                <w:spacing w:val="13"/>
                <w:sz w:val="20"/>
                <w:szCs w:val="20"/>
              </w:rPr>
              <w:t>减</w:t>
            </w:r>
            <w:r>
              <w:rPr>
                <w:rFonts w:ascii="宋体" w:hAnsi="宋体" w:eastAsia="宋体" w:cs="宋体"/>
                <w:spacing w:val="8"/>
                <w:sz w:val="20"/>
                <w:szCs w:val="20"/>
              </w:rPr>
              <w:t>振、降噪、隔声</w:t>
            </w:r>
          </w:p>
        </w:tc>
        <w:tc>
          <w:tcPr>
            <w:tcW w:w="594" w:type="dxa"/>
            <w:tcBorders>
              <w:left w:val="single" w:color="000000" w:sz="4" w:space="0"/>
              <w:right w:val="single" w:color="000000" w:sz="4" w:space="0"/>
            </w:tcBorders>
            <w:vAlign w:val="top"/>
          </w:tcPr>
          <w:p w14:paraId="7A9E7794">
            <w:pPr>
              <w:spacing w:line="266" w:lineRule="auto"/>
              <w:rPr>
                <w:rFonts w:ascii="Arial"/>
                <w:sz w:val="21"/>
              </w:rPr>
            </w:pPr>
          </w:p>
          <w:p w14:paraId="61A35BC9">
            <w:pPr>
              <w:spacing w:before="65" w:line="228" w:lineRule="auto"/>
              <w:ind w:left="94"/>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界</w:t>
            </w:r>
          </w:p>
        </w:tc>
        <w:tc>
          <w:tcPr>
            <w:tcW w:w="2141" w:type="dxa"/>
            <w:tcBorders>
              <w:left w:val="single" w:color="000000" w:sz="4" w:space="0"/>
              <w:right w:val="nil"/>
            </w:tcBorders>
            <w:vAlign w:val="top"/>
          </w:tcPr>
          <w:p w14:paraId="3A108A1A">
            <w:pPr>
              <w:spacing w:before="52" w:line="259" w:lineRule="auto"/>
              <w:ind w:left="480" w:right="25" w:hanging="454"/>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工业企业厂界环境噪</w:t>
            </w:r>
            <w:r>
              <w:rPr>
                <w:rFonts w:ascii="宋体" w:hAnsi="宋体" w:eastAsia="宋体" w:cs="宋体"/>
                <w:sz w:val="20"/>
                <w:szCs w:val="20"/>
              </w:rPr>
              <w:t xml:space="preserve"> </w:t>
            </w:r>
            <w:r>
              <w:rPr>
                <w:rFonts w:ascii="宋体" w:hAnsi="宋体" w:eastAsia="宋体" w:cs="宋体"/>
                <w:spacing w:val="-2"/>
                <w:sz w:val="20"/>
                <w:szCs w:val="20"/>
              </w:rPr>
              <w:t>声排放标准》</w:t>
            </w:r>
          </w:p>
          <w:p w14:paraId="309A223D">
            <w:pPr>
              <w:spacing w:line="218" w:lineRule="auto"/>
              <w:ind w:left="93"/>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348-2008</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类</w:t>
            </w:r>
          </w:p>
        </w:tc>
      </w:tr>
      <w:tr w14:paraId="784B7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80" w:type="dxa"/>
            <w:vMerge w:val="restart"/>
            <w:tcBorders>
              <w:left w:val="nil"/>
              <w:bottom w:val="nil"/>
              <w:right w:val="single" w:color="000000" w:sz="4" w:space="0"/>
            </w:tcBorders>
            <w:vAlign w:val="top"/>
          </w:tcPr>
          <w:p w14:paraId="250FC49B">
            <w:pPr>
              <w:spacing w:line="243" w:lineRule="auto"/>
              <w:rPr>
                <w:rFonts w:ascii="Arial"/>
                <w:sz w:val="21"/>
              </w:rPr>
            </w:pPr>
          </w:p>
          <w:p w14:paraId="1577DFF7">
            <w:pPr>
              <w:spacing w:line="244" w:lineRule="auto"/>
              <w:rPr>
                <w:rFonts w:ascii="Arial"/>
                <w:sz w:val="21"/>
              </w:rPr>
            </w:pPr>
          </w:p>
          <w:p w14:paraId="18D058A6">
            <w:pPr>
              <w:spacing w:line="244" w:lineRule="auto"/>
              <w:rPr>
                <w:rFonts w:ascii="Arial"/>
                <w:sz w:val="21"/>
              </w:rPr>
            </w:pPr>
          </w:p>
          <w:p w14:paraId="1F3408A0">
            <w:pPr>
              <w:spacing w:line="244" w:lineRule="auto"/>
              <w:rPr>
                <w:rFonts w:ascii="Arial"/>
                <w:sz w:val="21"/>
              </w:rPr>
            </w:pPr>
          </w:p>
          <w:p w14:paraId="41C535C0">
            <w:pPr>
              <w:spacing w:line="244" w:lineRule="auto"/>
              <w:rPr>
                <w:rFonts w:ascii="Arial"/>
                <w:sz w:val="21"/>
              </w:rPr>
            </w:pPr>
          </w:p>
          <w:p w14:paraId="4B3E2F53">
            <w:pPr>
              <w:spacing w:line="244" w:lineRule="auto"/>
              <w:rPr>
                <w:rFonts w:ascii="Arial"/>
                <w:sz w:val="21"/>
              </w:rPr>
            </w:pPr>
          </w:p>
          <w:p w14:paraId="189DF0CA">
            <w:pPr>
              <w:spacing w:before="65" w:line="228" w:lineRule="auto"/>
              <w:ind w:left="52"/>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tc>
        <w:tc>
          <w:tcPr>
            <w:tcW w:w="510" w:type="dxa"/>
            <w:tcBorders>
              <w:left w:val="single" w:color="000000" w:sz="4" w:space="0"/>
              <w:right w:val="single" w:color="000000" w:sz="4" w:space="0"/>
            </w:tcBorders>
            <w:vAlign w:val="top"/>
          </w:tcPr>
          <w:p w14:paraId="1489DE62">
            <w:pPr>
              <w:spacing w:before="54" w:line="238" w:lineRule="auto"/>
              <w:ind w:left="51" w:right="41" w:hanging="1"/>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活</w:t>
            </w:r>
            <w:r>
              <w:rPr>
                <w:rFonts w:ascii="宋体" w:hAnsi="宋体" w:eastAsia="宋体" w:cs="宋体"/>
                <w:sz w:val="20"/>
                <w:szCs w:val="20"/>
              </w:rPr>
              <w:t xml:space="preserve"> </w:t>
            </w:r>
            <w:r>
              <w:rPr>
                <w:rFonts w:ascii="宋体" w:hAnsi="宋体" w:eastAsia="宋体" w:cs="宋体"/>
                <w:spacing w:val="3"/>
                <w:sz w:val="20"/>
                <w:szCs w:val="20"/>
              </w:rPr>
              <w:t>设施</w:t>
            </w:r>
          </w:p>
        </w:tc>
        <w:tc>
          <w:tcPr>
            <w:tcW w:w="1170" w:type="dxa"/>
            <w:tcBorders>
              <w:left w:val="single" w:color="000000" w:sz="4" w:space="0"/>
              <w:right w:val="single" w:color="000000" w:sz="4" w:space="0"/>
            </w:tcBorders>
            <w:vAlign w:val="top"/>
          </w:tcPr>
          <w:p w14:paraId="40DEB39C">
            <w:pPr>
              <w:spacing w:before="192" w:line="228" w:lineRule="auto"/>
              <w:ind w:left="277"/>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645" w:type="dxa"/>
            <w:tcBorders>
              <w:left w:val="single" w:color="000000" w:sz="4" w:space="0"/>
              <w:right w:val="single" w:color="000000" w:sz="4" w:space="0"/>
            </w:tcBorders>
            <w:vAlign w:val="top"/>
          </w:tcPr>
          <w:p w14:paraId="6F09C693">
            <w:pPr>
              <w:spacing w:before="54" w:line="238" w:lineRule="auto"/>
              <w:ind w:left="117" w:right="109"/>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活</w:t>
            </w:r>
            <w:r>
              <w:rPr>
                <w:rFonts w:ascii="宋体" w:hAnsi="宋体" w:eastAsia="宋体" w:cs="宋体"/>
                <w:sz w:val="20"/>
                <w:szCs w:val="20"/>
              </w:rPr>
              <w:t xml:space="preserve"> </w:t>
            </w:r>
            <w:r>
              <w:rPr>
                <w:rFonts w:ascii="宋体" w:hAnsi="宋体" w:eastAsia="宋体" w:cs="宋体"/>
                <w:spacing w:val="4"/>
                <w:sz w:val="20"/>
                <w:szCs w:val="20"/>
              </w:rPr>
              <w:t>垃</w:t>
            </w:r>
            <w:r>
              <w:rPr>
                <w:rFonts w:ascii="宋体" w:hAnsi="宋体" w:eastAsia="宋体" w:cs="宋体"/>
                <w:spacing w:val="3"/>
                <w:sz w:val="20"/>
                <w:szCs w:val="20"/>
              </w:rPr>
              <w:t>圾</w:t>
            </w:r>
          </w:p>
        </w:tc>
        <w:tc>
          <w:tcPr>
            <w:tcW w:w="2780" w:type="dxa"/>
            <w:tcBorders>
              <w:left w:val="single" w:color="000000" w:sz="4" w:space="0"/>
              <w:right w:val="single" w:color="000000" w:sz="4" w:space="0"/>
            </w:tcBorders>
            <w:vAlign w:val="top"/>
          </w:tcPr>
          <w:p w14:paraId="18746B98">
            <w:pPr>
              <w:spacing w:before="192" w:line="228" w:lineRule="auto"/>
              <w:ind w:left="553"/>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卫部门统一处理</w:t>
            </w:r>
          </w:p>
        </w:tc>
        <w:tc>
          <w:tcPr>
            <w:tcW w:w="594" w:type="dxa"/>
            <w:tcBorders>
              <w:left w:val="single" w:color="000000" w:sz="4" w:space="0"/>
              <w:right w:val="single" w:color="000000" w:sz="4" w:space="0"/>
            </w:tcBorders>
            <w:vAlign w:val="top"/>
          </w:tcPr>
          <w:p w14:paraId="70926062">
            <w:pPr>
              <w:spacing w:before="155" w:line="28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vMerge w:val="restart"/>
            <w:tcBorders>
              <w:left w:val="single" w:color="000000" w:sz="4" w:space="0"/>
              <w:bottom w:val="nil"/>
              <w:right w:val="nil"/>
            </w:tcBorders>
            <w:vAlign w:val="top"/>
          </w:tcPr>
          <w:p w14:paraId="50D65E87">
            <w:pPr>
              <w:spacing w:line="243" w:lineRule="auto"/>
              <w:rPr>
                <w:rFonts w:ascii="Arial"/>
                <w:sz w:val="21"/>
              </w:rPr>
            </w:pPr>
          </w:p>
          <w:p w14:paraId="09A900CE">
            <w:pPr>
              <w:spacing w:line="243" w:lineRule="auto"/>
              <w:rPr>
                <w:rFonts w:ascii="Arial"/>
                <w:sz w:val="21"/>
              </w:rPr>
            </w:pPr>
          </w:p>
          <w:p w14:paraId="509B1AE7">
            <w:pPr>
              <w:spacing w:line="244" w:lineRule="auto"/>
              <w:rPr>
                <w:rFonts w:ascii="Arial"/>
                <w:sz w:val="21"/>
              </w:rPr>
            </w:pPr>
          </w:p>
          <w:p w14:paraId="41C9FD1C">
            <w:pPr>
              <w:spacing w:line="244" w:lineRule="auto"/>
              <w:rPr>
                <w:rFonts w:ascii="Arial"/>
                <w:sz w:val="21"/>
              </w:rPr>
            </w:pPr>
          </w:p>
          <w:p w14:paraId="49A396ED">
            <w:pPr>
              <w:spacing w:line="244" w:lineRule="auto"/>
              <w:rPr>
                <w:rFonts w:ascii="Arial"/>
                <w:sz w:val="21"/>
              </w:rPr>
            </w:pPr>
          </w:p>
          <w:p w14:paraId="3B6795DA">
            <w:pPr>
              <w:spacing w:line="244" w:lineRule="auto"/>
              <w:rPr>
                <w:rFonts w:ascii="Arial"/>
                <w:sz w:val="21"/>
              </w:rPr>
            </w:pPr>
          </w:p>
          <w:p w14:paraId="3D09DCFA">
            <w:pPr>
              <w:spacing w:before="65" w:line="231" w:lineRule="auto"/>
              <w:ind w:left="650"/>
              <w:rPr>
                <w:rFonts w:ascii="宋体" w:hAnsi="宋体" w:eastAsia="宋体" w:cs="宋体"/>
                <w:sz w:val="20"/>
                <w:szCs w:val="20"/>
              </w:rPr>
            </w:pPr>
            <w:r>
              <w:rPr>
                <w:rFonts w:ascii="宋体" w:hAnsi="宋体" w:eastAsia="宋体" w:cs="宋体"/>
                <w:spacing w:val="7"/>
                <w:sz w:val="20"/>
                <w:szCs w:val="20"/>
              </w:rPr>
              <w:t>合理处置</w:t>
            </w:r>
          </w:p>
        </w:tc>
      </w:tr>
      <w:tr w14:paraId="3AF1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80" w:type="dxa"/>
            <w:vMerge w:val="continue"/>
            <w:tcBorders>
              <w:top w:val="nil"/>
              <w:left w:val="nil"/>
              <w:bottom w:val="nil"/>
              <w:right w:val="single" w:color="000000" w:sz="4" w:space="0"/>
            </w:tcBorders>
            <w:vAlign w:val="top"/>
          </w:tcPr>
          <w:p w14:paraId="4AF6F634">
            <w:pPr>
              <w:rPr>
                <w:rFonts w:ascii="Arial"/>
                <w:sz w:val="21"/>
              </w:rPr>
            </w:pPr>
          </w:p>
        </w:tc>
        <w:tc>
          <w:tcPr>
            <w:tcW w:w="510" w:type="dxa"/>
            <w:vMerge w:val="restart"/>
            <w:tcBorders>
              <w:left w:val="single" w:color="000000" w:sz="4" w:space="0"/>
              <w:bottom w:val="nil"/>
              <w:right w:val="single" w:color="000000" w:sz="4" w:space="0"/>
            </w:tcBorders>
            <w:vAlign w:val="top"/>
          </w:tcPr>
          <w:p w14:paraId="3BAAC0A2">
            <w:pPr>
              <w:spacing w:line="259" w:lineRule="auto"/>
              <w:rPr>
                <w:rFonts w:ascii="Arial"/>
                <w:sz w:val="21"/>
              </w:rPr>
            </w:pPr>
          </w:p>
          <w:p w14:paraId="03E00DC5">
            <w:pPr>
              <w:spacing w:line="259" w:lineRule="auto"/>
              <w:rPr>
                <w:rFonts w:ascii="Arial"/>
                <w:sz w:val="21"/>
              </w:rPr>
            </w:pPr>
          </w:p>
          <w:p w14:paraId="2F3D1213">
            <w:pPr>
              <w:spacing w:line="260" w:lineRule="auto"/>
              <w:rPr>
                <w:rFonts w:ascii="Arial"/>
                <w:sz w:val="21"/>
              </w:rPr>
            </w:pPr>
          </w:p>
          <w:p w14:paraId="3BECF900">
            <w:pPr>
              <w:spacing w:line="260" w:lineRule="auto"/>
              <w:rPr>
                <w:rFonts w:ascii="Arial"/>
                <w:sz w:val="21"/>
              </w:rPr>
            </w:pPr>
          </w:p>
          <w:p w14:paraId="6FDD1614">
            <w:pPr>
              <w:spacing w:before="65" w:line="274" w:lineRule="auto"/>
              <w:ind w:left="166" w:right="41" w:hanging="116"/>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区</w:t>
            </w:r>
          </w:p>
        </w:tc>
        <w:tc>
          <w:tcPr>
            <w:tcW w:w="1170" w:type="dxa"/>
            <w:tcBorders>
              <w:left w:val="single" w:color="000000" w:sz="4" w:space="0"/>
              <w:right w:val="single" w:color="000000" w:sz="4" w:space="0"/>
            </w:tcBorders>
            <w:vAlign w:val="top"/>
          </w:tcPr>
          <w:p w14:paraId="61EC8F63">
            <w:pPr>
              <w:spacing w:before="51" w:line="220" w:lineRule="auto"/>
              <w:ind w:left="170"/>
              <w:rPr>
                <w:rFonts w:ascii="宋体" w:hAnsi="宋体" w:eastAsia="宋体" w:cs="宋体"/>
                <w:sz w:val="20"/>
                <w:szCs w:val="20"/>
              </w:rPr>
            </w:pPr>
            <w:r>
              <w:rPr>
                <w:rFonts w:ascii="宋体" w:hAnsi="宋体" w:eastAsia="宋体" w:cs="宋体"/>
                <w:spacing w:val="9"/>
                <w:sz w:val="20"/>
                <w:szCs w:val="20"/>
              </w:rPr>
              <w:t>分</w:t>
            </w:r>
            <w:r>
              <w:rPr>
                <w:rFonts w:ascii="宋体" w:hAnsi="宋体" w:eastAsia="宋体" w:cs="宋体"/>
                <w:spacing w:val="6"/>
                <w:sz w:val="20"/>
                <w:szCs w:val="20"/>
              </w:rPr>
              <w:t>拣工序</w:t>
            </w:r>
          </w:p>
        </w:tc>
        <w:tc>
          <w:tcPr>
            <w:tcW w:w="645" w:type="dxa"/>
            <w:tcBorders>
              <w:left w:val="single" w:color="000000" w:sz="4" w:space="0"/>
              <w:right w:val="single" w:color="000000" w:sz="4" w:space="0"/>
            </w:tcBorders>
            <w:vAlign w:val="top"/>
          </w:tcPr>
          <w:p w14:paraId="541A303D">
            <w:pPr>
              <w:spacing w:before="51" w:line="220" w:lineRule="auto"/>
              <w:ind w:left="117"/>
              <w:rPr>
                <w:rFonts w:ascii="宋体" w:hAnsi="宋体" w:eastAsia="宋体" w:cs="宋体"/>
                <w:sz w:val="20"/>
                <w:szCs w:val="20"/>
              </w:rPr>
            </w:pPr>
            <w:r>
              <w:rPr>
                <w:rFonts w:ascii="宋体" w:hAnsi="宋体" w:eastAsia="宋体" w:cs="宋体"/>
                <w:spacing w:val="4"/>
                <w:sz w:val="20"/>
                <w:szCs w:val="20"/>
              </w:rPr>
              <w:t>杂</w:t>
            </w:r>
            <w:r>
              <w:rPr>
                <w:rFonts w:ascii="宋体" w:hAnsi="宋体" w:eastAsia="宋体" w:cs="宋体"/>
                <w:spacing w:val="3"/>
                <w:sz w:val="20"/>
                <w:szCs w:val="20"/>
              </w:rPr>
              <w:t>质</w:t>
            </w:r>
          </w:p>
        </w:tc>
        <w:tc>
          <w:tcPr>
            <w:tcW w:w="2780" w:type="dxa"/>
            <w:tcBorders>
              <w:left w:val="single" w:color="000000" w:sz="4" w:space="0"/>
              <w:right w:val="single" w:color="000000" w:sz="4" w:space="0"/>
            </w:tcBorders>
            <w:vAlign w:val="top"/>
          </w:tcPr>
          <w:p w14:paraId="4271BEEF">
            <w:pPr>
              <w:spacing w:before="51" w:line="220" w:lineRule="auto"/>
              <w:ind w:left="553"/>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卫部门统一处理</w:t>
            </w:r>
          </w:p>
        </w:tc>
        <w:tc>
          <w:tcPr>
            <w:tcW w:w="594" w:type="dxa"/>
            <w:tcBorders>
              <w:left w:val="single" w:color="000000" w:sz="4" w:space="0"/>
              <w:right w:val="single" w:color="000000" w:sz="4" w:space="0"/>
            </w:tcBorders>
            <w:vAlign w:val="top"/>
          </w:tcPr>
          <w:p w14:paraId="216F4E14">
            <w:pPr>
              <w:spacing w:before="14" w:line="276"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41" w:type="dxa"/>
            <w:vMerge w:val="continue"/>
            <w:tcBorders>
              <w:top w:val="nil"/>
              <w:left w:val="single" w:color="000000" w:sz="4" w:space="0"/>
              <w:bottom w:val="nil"/>
              <w:right w:val="nil"/>
            </w:tcBorders>
            <w:vAlign w:val="top"/>
          </w:tcPr>
          <w:p w14:paraId="544CE484">
            <w:pPr>
              <w:rPr>
                <w:rFonts w:ascii="Arial"/>
                <w:sz w:val="21"/>
              </w:rPr>
            </w:pPr>
          </w:p>
        </w:tc>
      </w:tr>
      <w:tr w14:paraId="33F3F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80" w:type="dxa"/>
            <w:vMerge w:val="continue"/>
            <w:tcBorders>
              <w:top w:val="nil"/>
              <w:left w:val="nil"/>
              <w:bottom w:val="nil"/>
              <w:right w:val="single" w:color="000000" w:sz="4" w:space="0"/>
            </w:tcBorders>
            <w:vAlign w:val="top"/>
          </w:tcPr>
          <w:p w14:paraId="05B3B38B">
            <w:pPr>
              <w:rPr>
                <w:rFonts w:ascii="Arial"/>
                <w:sz w:val="21"/>
              </w:rPr>
            </w:pPr>
          </w:p>
        </w:tc>
        <w:tc>
          <w:tcPr>
            <w:tcW w:w="510" w:type="dxa"/>
            <w:vMerge w:val="continue"/>
            <w:tcBorders>
              <w:top w:val="nil"/>
              <w:left w:val="single" w:color="000000" w:sz="4" w:space="0"/>
              <w:bottom w:val="nil"/>
              <w:right w:val="single" w:color="000000" w:sz="4" w:space="0"/>
            </w:tcBorders>
            <w:vAlign w:val="top"/>
          </w:tcPr>
          <w:p w14:paraId="41032256">
            <w:pPr>
              <w:rPr>
                <w:rFonts w:ascii="Arial"/>
                <w:sz w:val="21"/>
              </w:rPr>
            </w:pPr>
          </w:p>
        </w:tc>
        <w:tc>
          <w:tcPr>
            <w:tcW w:w="1170" w:type="dxa"/>
            <w:tcBorders>
              <w:left w:val="single" w:color="000000" w:sz="4" w:space="0"/>
              <w:right w:val="single" w:color="000000" w:sz="4" w:space="0"/>
            </w:tcBorders>
            <w:vAlign w:val="top"/>
          </w:tcPr>
          <w:p w14:paraId="50271188">
            <w:pPr>
              <w:spacing w:before="52" w:line="219" w:lineRule="auto"/>
              <w:ind w:left="169"/>
              <w:rPr>
                <w:rFonts w:ascii="宋体" w:hAnsi="宋体" w:eastAsia="宋体" w:cs="宋体"/>
                <w:sz w:val="20"/>
                <w:szCs w:val="20"/>
              </w:rPr>
            </w:pPr>
            <w:r>
              <w:rPr>
                <w:rFonts w:ascii="宋体" w:hAnsi="宋体" w:eastAsia="宋体" w:cs="宋体"/>
                <w:spacing w:val="7"/>
                <w:sz w:val="20"/>
                <w:szCs w:val="20"/>
              </w:rPr>
              <w:t>污水处</w:t>
            </w:r>
            <w:r>
              <w:rPr>
                <w:rFonts w:ascii="宋体" w:hAnsi="宋体" w:eastAsia="宋体" w:cs="宋体"/>
                <w:spacing w:val="6"/>
                <w:sz w:val="20"/>
                <w:szCs w:val="20"/>
              </w:rPr>
              <w:t>理</w:t>
            </w:r>
          </w:p>
        </w:tc>
        <w:tc>
          <w:tcPr>
            <w:tcW w:w="645" w:type="dxa"/>
            <w:tcBorders>
              <w:left w:val="single" w:color="000000" w:sz="4" w:space="0"/>
              <w:right w:val="single" w:color="000000" w:sz="4" w:space="0"/>
            </w:tcBorders>
            <w:vAlign w:val="top"/>
          </w:tcPr>
          <w:p w14:paraId="640DD130">
            <w:pPr>
              <w:spacing w:before="52" w:line="219" w:lineRule="auto"/>
              <w:ind w:left="117"/>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2780" w:type="dxa"/>
            <w:tcBorders>
              <w:left w:val="single" w:color="000000" w:sz="4" w:space="0"/>
              <w:right w:val="single" w:color="000000" w:sz="4" w:space="0"/>
            </w:tcBorders>
            <w:vAlign w:val="top"/>
          </w:tcPr>
          <w:p w14:paraId="295722B6">
            <w:pPr>
              <w:spacing w:before="52" w:line="219" w:lineRule="auto"/>
              <w:ind w:left="553"/>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卫部门统一处理</w:t>
            </w:r>
          </w:p>
        </w:tc>
        <w:tc>
          <w:tcPr>
            <w:tcW w:w="594" w:type="dxa"/>
            <w:tcBorders>
              <w:left w:val="single" w:color="000000" w:sz="4" w:space="0"/>
              <w:right w:val="single" w:color="000000" w:sz="4" w:space="0"/>
            </w:tcBorders>
            <w:vAlign w:val="top"/>
          </w:tcPr>
          <w:p w14:paraId="34BCDB39">
            <w:pPr>
              <w:spacing w:before="14" w:line="276"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41" w:type="dxa"/>
            <w:vMerge w:val="continue"/>
            <w:tcBorders>
              <w:top w:val="nil"/>
              <w:left w:val="single" w:color="000000" w:sz="4" w:space="0"/>
              <w:bottom w:val="nil"/>
              <w:right w:val="nil"/>
            </w:tcBorders>
            <w:vAlign w:val="top"/>
          </w:tcPr>
          <w:p w14:paraId="1B60AA10">
            <w:pPr>
              <w:rPr>
                <w:rFonts w:ascii="Arial"/>
                <w:sz w:val="21"/>
              </w:rPr>
            </w:pPr>
          </w:p>
        </w:tc>
      </w:tr>
      <w:tr w14:paraId="762B5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80" w:type="dxa"/>
            <w:vMerge w:val="continue"/>
            <w:tcBorders>
              <w:top w:val="nil"/>
              <w:left w:val="nil"/>
              <w:bottom w:val="nil"/>
              <w:right w:val="single" w:color="000000" w:sz="4" w:space="0"/>
            </w:tcBorders>
            <w:vAlign w:val="top"/>
          </w:tcPr>
          <w:p w14:paraId="14195E14">
            <w:pPr>
              <w:rPr>
                <w:rFonts w:ascii="Arial"/>
                <w:sz w:val="21"/>
              </w:rPr>
            </w:pPr>
          </w:p>
        </w:tc>
        <w:tc>
          <w:tcPr>
            <w:tcW w:w="510" w:type="dxa"/>
            <w:vMerge w:val="continue"/>
            <w:tcBorders>
              <w:top w:val="nil"/>
              <w:left w:val="single" w:color="000000" w:sz="4" w:space="0"/>
              <w:bottom w:val="nil"/>
              <w:right w:val="single" w:color="000000" w:sz="4" w:space="0"/>
            </w:tcBorders>
            <w:vAlign w:val="top"/>
          </w:tcPr>
          <w:p w14:paraId="1BC8A251">
            <w:pPr>
              <w:rPr>
                <w:rFonts w:ascii="Arial"/>
                <w:sz w:val="21"/>
              </w:rPr>
            </w:pPr>
          </w:p>
        </w:tc>
        <w:tc>
          <w:tcPr>
            <w:tcW w:w="1170" w:type="dxa"/>
            <w:tcBorders>
              <w:left w:val="single" w:color="000000" w:sz="4" w:space="0"/>
              <w:right w:val="single" w:color="000000" w:sz="4" w:space="0"/>
            </w:tcBorders>
            <w:vAlign w:val="top"/>
          </w:tcPr>
          <w:p w14:paraId="708973B8">
            <w:pPr>
              <w:spacing w:before="52" w:line="219" w:lineRule="auto"/>
              <w:ind w:left="169"/>
              <w:rPr>
                <w:rFonts w:ascii="宋体" w:hAnsi="宋体" w:eastAsia="宋体" w:cs="宋体"/>
                <w:sz w:val="20"/>
                <w:szCs w:val="20"/>
              </w:rPr>
            </w:pPr>
            <w:r>
              <w:rPr>
                <w:rFonts w:ascii="宋体" w:hAnsi="宋体" w:eastAsia="宋体" w:cs="宋体"/>
                <w:spacing w:val="7"/>
                <w:sz w:val="20"/>
                <w:szCs w:val="20"/>
              </w:rPr>
              <w:t>拉丝工</w:t>
            </w:r>
            <w:r>
              <w:rPr>
                <w:rFonts w:ascii="宋体" w:hAnsi="宋体" w:eastAsia="宋体" w:cs="宋体"/>
                <w:spacing w:val="6"/>
                <w:sz w:val="20"/>
                <w:szCs w:val="20"/>
              </w:rPr>
              <w:t>序</w:t>
            </w:r>
          </w:p>
        </w:tc>
        <w:tc>
          <w:tcPr>
            <w:tcW w:w="645" w:type="dxa"/>
            <w:tcBorders>
              <w:left w:val="single" w:color="000000" w:sz="4" w:space="0"/>
              <w:right w:val="single" w:color="000000" w:sz="4" w:space="0"/>
            </w:tcBorders>
            <w:vAlign w:val="top"/>
          </w:tcPr>
          <w:p w14:paraId="2FCF2A1B">
            <w:pPr>
              <w:spacing w:before="52" w:line="219" w:lineRule="auto"/>
              <w:ind w:left="9"/>
              <w:rPr>
                <w:rFonts w:ascii="宋体" w:hAnsi="宋体" w:eastAsia="宋体" w:cs="宋体"/>
                <w:sz w:val="20"/>
                <w:szCs w:val="20"/>
              </w:rPr>
            </w:pPr>
            <w:r>
              <w:rPr>
                <w:rFonts w:ascii="宋体" w:hAnsi="宋体" w:eastAsia="宋体" w:cs="宋体"/>
                <w:spacing w:val="7"/>
                <w:sz w:val="20"/>
                <w:szCs w:val="20"/>
              </w:rPr>
              <w:t>废滤网</w:t>
            </w:r>
          </w:p>
        </w:tc>
        <w:tc>
          <w:tcPr>
            <w:tcW w:w="2780" w:type="dxa"/>
            <w:tcBorders>
              <w:left w:val="single" w:color="000000" w:sz="4" w:space="0"/>
              <w:right w:val="single" w:color="000000" w:sz="4" w:space="0"/>
            </w:tcBorders>
            <w:vAlign w:val="top"/>
          </w:tcPr>
          <w:p w14:paraId="3A4A0A04">
            <w:pPr>
              <w:spacing w:before="52" w:line="219" w:lineRule="auto"/>
              <w:ind w:left="473"/>
              <w:rPr>
                <w:rFonts w:ascii="宋体" w:hAnsi="宋体" w:eastAsia="宋体" w:cs="宋体"/>
                <w:sz w:val="20"/>
                <w:szCs w:val="20"/>
              </w:rPr>
            </w:pPr>
            <w:r>
              <w:rPr>
                <w:rFonts w:ascii="宋体" w:hAnsi="宋体" w:eastAsia="宋体" w:cs="宋体"/>
                <w:spacing w:val="7"/>
                <w:sz w:val="20"/>
                <w:szCs w:val="20"/>
              </w:rPr>
              <w:t>由</w:t>
            </w:r>
            <w:r>
              <w:rPr>
                <w:rFonts w:ascii="宋体" w:hAnsi="宋体" w:eastAsia="宋体" w:cs="宋体"/>
                <w:spacing w:val="6"/>
                <w:sz w:val="20"/>
                <w:szCs w:val="20"/>
              </w:rPr>
              <w:t>厂家定期回收处理</w:t>
            </w:r>
          </w:p>
        </w:tc>
        <w:tc>
          <w:tcPr>
            <w:tcW w:w="594" w:type="dxa"/>
            <w:tcBorders>
              <w:left w:val="single" w:color="000000" w:sz="4" w:space="0"/>
              <w:right w:val="single" w:color="000000" w:sz="4" w:space="0"/>
            </w:tcBorders>
            <w:vAlign w:val="top"/>
          </w:tcPr>
          <w:p w14:paraId="0660908E">
            <w:pPr>
              <w:spacing w:before="14" w:line="276"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41" w:type="dxa"/>
            <w:vMerge w:val="continue"/>
            <w:tcBorders>
              <w:top w:val="nil"/>
              <w:left w:val="single" w:color="000000" w:sz="4" w:space="0"/>
              <w:bottom w:val="nil"/>
              <w:right w:val="nil"/>
            </w:tcBorders>
            <w:vAlign w:val="top"/>
          </w:tcPr>
          <w:p w14:paraId="5EBEE9D5">
            <w:pPr>
              <w:rPr>
                <w:rFonts w:ascii="Arial"/>
                <w:sz w:val="21"/>
              </w:rPr>
            </w:pPr>
          </w:p>
        </w:tc>
      </w:tr>
      <w:tr w14:paraId="4BD8B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80" w:type="dxa"/>
            <w:vMerge w:val="continue"/>
            <w:tcBorders>
              <w:top w:val="nil"/>
              <w:left w:val="nil"/>
              <w:bottom w:val="nil"/>
              <w:right w:val="single" w:color="000000" w:sz="4" w:space="0"/>
            </w:tcBorders>
            <w:vAlign w:val="top"/>
          </w:tcPr>
          <w:p w14:paraId="121F9180">
            <w:pPr>
              <w:rPr>
                <w:rFonts w:ascii="Arial"/>
                <w:sz w:val="21"/>
              </w:rPr>
            </w:pPr>
          </w:p>
        </w:tc>
        <w:tc>
          <w:tcPr>
            <w:tcW w:w="510" w:type="dxa"/>
            <w:vMerge w:val="continue"/>
            <w:tcBorders>
              <w:top w:val="nil"/>
              <w:left w:val="single" w:color="000000" w:sz="4" w:space="0"/>
              <w:bottom w:val="nil"/>
              <w:right w:val="single" w:color="000000" w:sz="4" w:space="0"/>
            </w:tcBorders>
            <w:vAlign w:val="top"/>
          </w:tcPr>
          <w:p w14:paraId="4CAAB780">
            <w:pPr>
              <w:rPr>
                <w:rFonts w:ascii="Arial"/>
                <w:sz w:val="21"/>
              </w:rPr>
            </w:pPr>
          </w:p>
        </w:tc>
        <w:tc>
          <w:tcPr>
            <w:tcW w:w="1170" w:type="dxa"/>
            <w:tcBorders>
              <w:left w:val="single" w:color="000000" w:sz="4" w:space="0"/>
              <w:right w:val="single" w:color="000000" w:sz="4" w:space="0"/>
            </w:tcBorders>
            <w:vAlign w:val="top"/>
          </w:tcPr>
          <w:p w14:paraId="403D8DE5">
            <w:pPr>
              <w:spacing w:before="192" w:line="228" w:lineRule="auto"/>
              <w:ind w:left="16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气处理</w:t>
            </w:r>
          </w:p>
        </w:tc>
        <w:tc>
          <w:tcPr>
            <w:tcW w:w="645" w:type="dxa"/>
            <w:tcBorders>
              <w:left w:val="single" w:color="000000" w:sz="4" w:space="0"/>
              <w:right w:val="single" w:color="000000" w:sz="4" w:space="0"/>
            </w:tcBorders>
            <w:vAlign w:val="top"/>
          </w:tcPr>
          <w:p w14:paraId="7F357D42">
            <w:pPr>
              <w:spacing w:before="52" w:line="239" w:lineRule="auto"/>
              <w:ind w:left="118" w:right="109" w:hanging="3"/>
              <w:rPr>
                <w:rFonts w:ascii="宋体" w:hAnsi="宋体" w:eastAsia="宋体" w:cs="宋体"/>
                <w:sz w:val="20"/>
                <w:szCs w:val="20"/>
              </w:rPr>
            </w:pPr>
            <w:r>
              <w:rPr>
                <w:rFonts w:ascii="宋体" w:hAnsi="宋体" w:eastAsia="宋体" w:cs="宋体"/>
                <w:spacing w:val="5"/>
                <w:sz w:val="20"/>
                <w:szCs w:val="20"/>
              </w:rPr>
              <w:t>废活</w:t>
            </w:r>
            <w:r>
              <w:rPr>
                <w:rFonts w:ascii="宋体" w:hAnsi="宋体" w:eastAsia="宋体" w:cs="宋体"/>
                <w:sz w:val="20"/>
                <w:szCs w:val="20"/>
              </w:rPr>
              <w:t xml:space="preserve"> </w:t>
            </w:r>
            <w:r>
              <w:rPr>
                <w:rFonts w:ascii="宋体" w:hAnsi="宋体" w:eastAsia="宋体" w:cs="宋体"/>
                <w:spacing w:val="4"/>
                <w:sz w:val="20"/>
                <w:szCs w:val="20"/>
              </w:rPr>
              <w:t>性</w:t>
            </w:r>
            <w:r>
              <w:rPr>
                <w:rFonts w:ascii="宋体" w:hAnsi="宋体" w:eastAsia="宋体" w:cs="宋体"/>
                <w:spacing w:val="3"/>
                <w:sz w:val="20"/>
                <w:szCs w:val="20"/>
              </w:rPr>
              <w:t>炭</w:t>
            </w:r>
          </w:p>
        </w:tc>
        <w:tc>
          <w:tcPr>
            <w:tcW w:w="2780" w:type="dxa"/>
            <w:tcBorders>
              <w:left w:val="single" w:color="000000" w:sz="4" w:space="0"/>
              <w:right w:val="single" w:color="000000" w:sz="4" w:space="0"/>
            </w:tcBorders>
            <w:vAlign w:val="top"/>
          </w:tcPr>
          <w:p w14:paraId="5C3B52E9">
            <w:pPr>
              <w:spacing w:before="192" w:line="228" w:lineRule="auto"/>
              <w:ind w:left="451"/>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8"/>
                <w:sz w:val="20"/>
                <w:szCs w:val="20"/>
              </w:rPr>
              <w:t>由有资质单位处理</w:t>
            </w:r>
          </w:p>
        </w:tc>
        <w:tc>
          <w:tcPr>
            <w:tcW w:w="594" w:type="dxa"/>
            <w:tcBorders>
              <w:left w:val="single" w:color="000000" w:sz="4" w:space="0"/>
              <w:right w:val="single" w:color="000000" w:sz="4" w:space="0"/>
            </w:tcBorders>
            <w:vAlign w:val="top"/>
          </w:tcPr>
          <w:p w14:paraId="4EA8D7E1">
            <w:pPr>
              <w:spacing w:before="154" w:line="28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vMerge w:val="continue"/>
            <w:tcBorders>
              <w:top w:val="nil"/>
              <w:left w:val="single" w:color="000000" w:sz="4" w:space="0"/>
              <w:bottom w:val="nil"/>
              <w:right w:val="nil"/>
            </w:tcBorders>
            <w:vAlign w:val="top"/>
          </w:tcPr>
          <w:p w14:paraId="55BCA6FB">
            <w:pPr>
              <w:rPr>
                <w:rFonts w:ascii="Arial"/>
                <w:sz w:val="21"/>
              </w:rPr>
            </w:pPr>
          </w:p>
        </w:tc>
      </w:tr>
      <w:tr w14:paraId="3AFA5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80" w:type="dxa"/>
            <w:vMerge w:val="continue"/>
            <w:tcBorders>
              <w:top w:val="nil"/>
              <w:left w:val="nil"/>
              <w:bottom w:val="nil"/>
              <w:right w:val="single" w:color="000000" w:sz="4" w:space="0"/>
            </w:tcBorders>
            <w:vAlign w:val="top"/>
          </w:tcPr>
          <w:p w14:paraId="02821986">
            <w:pPr>
              <w:rPr>
                <w:rFonts w:ascii="Arial"/>
                <w:sz w:val="21"/>
              </w:rPr>
            </w:pPr>
          </w:p>
        </w:tc>
        <w:tc>
          <w:tcPr>
            <w:tcW w:w="510" w:type="dxa"/>
            <w:vMerge w:val="continue"/>
            <w:tcBorders>
              <w:top w:val="nil"/>
              <w:left w:val="single" w:color="000000" w:sz="4" w:space="0"/>
              <w:bottom w:val="nil"/>
              <w:right w:val="single" w:color="000000" w:sz="4" w:space="0"/>
            </w:tcBorders>
            <w:vAlign w:val="top"/>
          </w:tcPr>
          <w:p w14:paraId="11AB500F">
            <w:pPr>
              <w:rPr>
                <w:rFonts w:ascii="Arial"/>
                <w:sz w:val="21"/>
              </w:rPr>
            </w:pPr>
          </w:p>
        </w:tc>
        <w:tc>
          <w:tcPr>
            <w:tcW w:w="1170" w:type="dxa"/>
            <w:tcBorders>
              <w:left w:val="single" w:color="000000" w:sz="4" w:space="0"/>
              <w:right w:val="single" w:color="000000" w:sz="4" w:space="0"/>
            </w:tcBorders>
            <w:vAlign w:val="top"/>
          </w:tcPr>
          <w:p w14:paraId="227B8E37">
            <w:pPr>
              <w:spacing w:before="193" w:line="228" w:lineRule="auto"/>
              <w:ind w:left="16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气处理</w:t>
            </w:r>
          </w:p>
        </w:tc>
        <w:tc>
          <w:tcPr>
            <w:tcW w:w="645" w:type="dxa"/>
            <w:tcBorders>
              <w:left w:val="single" w:color="000000" w:sz="4" w:space="0"/>
              <w:right w:val="single" w:color="000000" w:sz="4" w:space="0"/>
            </w:tcBorders>
            <w:vAlign w:val="top"/>
          </w:tcPr>
          <w:p w14:paraId="5435A7CF">
            <w:pPr>
              <w:spacing w:before="52" w:line="239" w:lineRule="auto"/>
              <w:ind w:left="41" w:hanging="32"/>
              <w:rPr>
                <w:rFonts w:ascii="宋体" w:hAnsi="宋体" w:eastAsia="宋体" w:cs="宋体"/>
                <w:sz w:val="20"/>
                <w:szCs w:val="20"/>
              </w:rPr>
            </w:pPr>
            <w:r>
              <w:rPr>
                <w:rFonts w:ascii="宋体" w:hAnsi="宋体" w:eastAsia="宋体" w:cs="宋体"/>
                <w:spacing w:val="-5"/>
                <w:sz w:val="20"/>
                <w:szCs w:val="20"/>
              </w:rPr>
              <w:t>废</w:t>
            </w:r>
            <w:r>
              <w:rPr>
                <w:rFonts w:ascii="Times New Roman" w:hAnsi="Times New Roman" w:eastAsia="Times New Roman" w:cs="Times New Roman"/>
                <w:spacing w:val="-5"/>
                <w:sz w:val="20"/>
                <w:szCs w:val="20"/>
              </w:rPr>
              <w:t xml:space="preserve">uv </w:t>
            </w:r>
            <w:r>
              <w:rPr>
                <w:rFonts w:ascii="宋体" w:hAnsi="宋体" w:eastAsia="宋体" w:cs="宋体"/>
                <w:spacing w:val="-5"/>
                <w:sz w:val="20"/>
                <w:szCs w:val="20"/>
              </w:rPr>
              <w:t>光</w:t>
            </w:r>
            <w:r>
              <w:rPr>
                <w:rFonts w:ascii="宋体" w:hAnsi="宋体" w:eastAsia="宋体" w:cs="宋体"/>
                <w:sz w:val="20"/>
                <w:szCs w:val="20"/>
              </w:rPr>
              <w:t xml:space="preserve"> </w:t>
            </w:r>
            <w:r>
              <w:rPr>
                <w:rFonts w:ascii="宋体" w:hAnsi="宋体" w:eastAsia="宋体" w:cs="宋体"/>
                <w:spacing w:val="-8"/>
                <w:sz w:val="20"/>
                <w:szCs w:val="20"/>
              </w:rPr>
              <w:t>解</w:t>
            </w:r>
            <w:r>
              <w:rPr>
                <w:rFonts w:ascii="宋体" w:hAnsi="宋体" w:eastAsia="宋体" w:cs="宋体"/>
                <w:spacing w:val="-7"/>
                <w:sz w:val="20"/>
                <w:szCs w:val="20"/>
              </w:rPr>
              <w:t>灯管</w:t>
            </w:r>
          </w:p>
        </w:tc>
        <w:tc>
          <w:tcPr>
            <w:tcW w:w="2780" w:type="dxa"/>
            <w:tcBorders>
              <w:left w:val="single" w:color="000000" w:sz="4" w:space="0"/>
              <w:right w:val="single" w:color="000000" w:sz="4" w:space="0"/>
            </w:tcBorders>
            <w:vAlign w:val="top"/>
          </w:tcPr>
          <w:p w14:paraId="25CE606D">
            <w:pPr>
              <w:spacing w:before="193" w:line="228" w:lineRule="auto"/>
              <w:ind w:left="451"/>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8"/>
                <w:sz w:val="20"/>
                <w:szCs w:val="20"/>
              </w:rPr>
              <w:t>由有资质单位处理</w:t>
            </w:r>
          </w:p>
        </w:tc>
        <w:tc>
          <w:tcPr>
            <w:tcW w:w="594" w:type="dxa"/>
            <w:tcBorders>
              <w:left w:val="single" w:color="000000" w:sz="4" w:space="0"/>
              <w:right w:val="single" w:color="000000" w:sz="4" w:space="0"/>
            </w:tcBorders>
            <w:vAlign w:val="top"/>
          </w:tcPr>
          <w:p w14:paraId="0A8B1B73">
            <w:pPr>
              <w:spacing w:before="155" w:line="28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vMerge w:val="continue"/>
            <w:tcBorders>
              <w:top w:val="nil"/>
              <w:left w:val="single" w:color="000000" w:sz="4" w:space="0"/>
              <w:bottom w:val="nil"/>
              <w:right w:val="nil"/>
            </w:tcBorders>
            <w:vAlign w:val="top"/>
          </w:tcPr>
          <w:p w14:paraId="779B71F1">
            <w:pPr>
              <w:rPr>
                <w:rFonts w:ascii="Arial"/>
                <w:sz w:val="21"/>
              </w:rPr>
            </w:pPr>
          </w:p>
        </w:tc>
      </w:tr>
      <w:tr w14:paraId="41FA6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80" w:type="dxa"/>
            <w:vMerge w:val="continue"/>
            <w:tcBorders>
              <w:top w:val="nil"/>
              <w:left w:val="nil"/>
              <w:bottom w:val="nil"/>
              <w:right w:val="single" w:color="000000" w:sz="4" w:space="0"/>
            </w:tcBorders>
            <w:vAlign w:val="top"/>
          </w:tcPr>
          <w:p w14:paraId="01CD67D0">
            <w:pPr>
              <w:rPr>
                <w:rFonts w:ascii="Arial"/>
                <w:sz w:val="21"/>
              </w:rPr>
            </w:pPr>
          </w:p>
        </w:tc>
        <w:tc>
          <w:tcPr>
            <w:tcW w:w="510" w:type="dxa"/>
            <w:vMerge w:val="continue"/>
            <w:tcBorders>
              <w:top w:val="nil"/>
              <w:left w:val="single" w:color="000000" w:sz="4" w:space="0"/>
              <w:bottom w:val="nil"/>
              <w:right w:val="single" w:color="000000" w:sz="4" w:space="0"/>
            </w:tcBorders>
            <w:vAlign w:val="top"/>
          </w:tcPr>
          <w:p w14:paraId="0D43BBFD">
            <w:pPr>
              <w:rPr>
                <w:rFonts w:ascii="Arial"/>
                <w:sz w:val="21"/>
              </w:rPr>
            </w:pPr>
          </w:p>
        </w:tc>
        <w:tc>
          <w:tcPr>
            <w:tcW w:w="1170" w:type="dxa"/>
            <w:tcBorders>
              <w:left w:val="single" w:color="000000" w:sz="4" w:space="0"/>
              <w:right w:val="single" w:color="000000" w:sz="4" w:space="0"/>
            </w:tcBorders>
            <w:vAlign w:val="top"/>
          </w:tcPr>
          <w:p w14:paraId="3EAB936D">
            <w:pPr>
              <w:spacing w:before="59" w:line="228" w:lineRule="auto"/>
              <w:ind w:left="277"/>
              <w:rPr>
                <w:rFonts w:ascii="宋体" w:hAnsi="宋体" w:eastAsia="宋体" w:cs="宋体"/>
                <w:sz w:val="20"/>
                <w:szCs w:val="20"/>
              </w:rPr>
            </w:pPr>
            <w:r>
              <w:rPr>
                <w:rFonts w:ascii="宋体" w:hAnsi="宋体" w:eastAsia="宋体" w:cs="宋体"/>
                <w:spacing w:val="6"/>
                <w:sz w:val="20"/>
                <w:szCs w:val="20"/>
              </w:rPr>
              <w:t>热</w:t>
            </w:r>
            <w:r>
              <w:rPr>
                <w:rFonts w:ascii="宋体" w:hAnsi="宋体" w:eastAsia="宋体" w:cs="宋体"/>
                <w:spacing w:val="5"/>
                <w:sz w:val="20"/>
                <w:szCs w:val="20"/>
              </w:rPr>
              <w:t>风炉</w:t>
            </w:r>
          </w:p>
        </w:tc>
        <w:tc>
          <w:tcPr>
            <w:tcW w:w="645" w:type="dxa"/>
            <w:tcBorders>
              <w:left w:val="single" w:color="000000" w:sz="4" w:space="0"/>
              <w:right w:val="single" w:color="000000" w:sz="4" w:space="0"/>
            </w:tcBorders>
            <w:vAlign w:val="top"/>
          </w:tcPr>
          <w:p w14:paraId="20CCC9D3">
            <w:pPr>
              <w:spacing w:before="59" w:line="228" w:lineRule="auto"/>
              <w:ind w:left="118"/>
              <w:rPr>
                <w:rFonts w:ascii="宋体" w:hAnsi="宋体" w:eastAsia="宋体" w:cs="宋体"/>
                <w:sz w:val="20"/>
                <w:szCs w:val="20"/>
              </w:rPr>
            </w:pPr>
            <w:r>
              <w:rPr>
                <w:rFonts w:ascii="宋体" w:hAnsi="宋体" w:eastAsia="宋体" w:cs="宋体"/>
                <w:spacing w:val="4"/>
                <w:sz w:val="20"/>
                <w:szCs w:val="20"/>
              </w:rPr>
              <w:t>炉</w:t>
            </w:r>
            <w:r>
              <w:rPr>
                <w:rFonts w:ascii="宋体" w:hAnsi="宋体" w:eastAsia="宋体" w:cs="宋体"/>
                <w:spacing w:val="3"/>
                <w:sz w:val="20"/>
                <w:szCs w:val="20"/>
              </w:rPr>
              <w:t>渣</w:t>
            </w:r>
          </w:p>
        </w:tc>
        <w:tc>
          <w:tcPr>
            <w:tcW w:w="2780" w:type="dxa"/>
            <w:tcBorders>
              <w:left w:val="single" w:color="000000" w:sz="4" w:space="0"/>
              <w:right w:val="single" w:color="000000" w:sz="4" w:space="0"/>
            </w:tcBorders>
            <w:vAlign w:val="top"/>
          </w:tcPr>
          <w:p w14:paraId="6718F85C">
            <w:pPr>
              <w:spacing w:before="59" w:line="227" w:lineRule="auto"/>
              <w:ind w:left="137"/>
              <w:rPr>
                <w:rFonts w:ascii="宋体" w:hAnsi="宋体" w:eastAsia="宋体" w:cs="宋体"/>
                <w:sz w:val="20"/>
                <w:szCs w:val="20"/>
              </w:rPr>
            </w:pPr>
            <w:r>
              <w:rPr>
                <w:rFonts w:ascii="宋体" w:hAnsi="宋体" w:eastAsia="宋体" w:cs="宋体"/>
                <w:spacing w:val="16"/>
                <w:sz w:val="20"/>
                <w:szCs w:val="20"/>
              </w:rPr>
              <w:t>外</w:t>
            </w:r>
            <w:r>
              <w:rPr>
                <w:rFonts w:ascii="宋体" w:hAnsi="宋体" w:eastAsia="宋体" w:cs="宋体"/>
                <w:spacing w:val="9"/>
                <w:sz w:val="20"/>
                <w:szCs w:val="20"/>
              </w:rPr>
              <w:t>卖</w:t>
            </w:r>
            <w:r>
              <w:rPr>
                <w:rFonts w:ascii="宋体" w:hAnsi="宋体" w:eastAsia="宋体" w:cs="宋体"/>
                <w:spacing w:val="8"/>
                <w:sz w:val="20"/>
                <w:szCs w:val="20"/>
              </w:rPr>
              <w:t>给农肥厂进行综合利用</w:t>
            </w:r>
          </w:p>
        </w:tc>
        <w:tc>
          <w:tcPr>
            <w:tcW w:w="594" w:type="dxa"/>
            <w:tcBorders>
              <w:left w:val="single" w:color="000000" w:sz="4" w:space="0"/>
              <w:right w:val="single" w:color="000000" w:sz="4" w:space="0"/>
            </w:tcBorders>
            <w:vAlign w:val="top"/>
          </w:tcPr>
          <w:p w14:paraId="433F2BFC">
            <w:pPr>
              <w:spacing w:before="31" w:line="28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vMerge w:val="continue"/>
            <w:tcBorders>
              <w:top w:val="nil"/>
              <w:left w:val="single" w:color="000000" w:sz="4" w:space="0"/>
              <w:bottom w:val="nil"/>
              <w:right w:val="nil"/>
            </w:tcBorders>
            <w:vAlign w:val="top"/>
          </w:tcPr>
          <w:p w14:paraId="40D9F04B">
            <w:pPr>
              <w:rPr>
                <w:rFonts w:ascii="Arial"/>
                <w:sz w:val="21"/>
              </w:rPr>
            </w:pPr>
          </w:p>
        </w:tc>
      </w:tr>
      <w:tr w14:paraId="57C8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80" w:type="dxa"/>
            <w:vMerge w:val="continue"/>
            <w:tcBorders>
              <w:top w:val="nil"/>
              <w:left w:val="nil"/>
              <w:right w:val="single" w:color="000000" w:sz="4" w:space="0"/>
            </w:tcBorders>
            <w:vAlign w:val="top"/>
          </w:tcPr>
          <w:p w14:paraId="2D2E4E7C">
            <w:pPr>
              <w:rPr>
                <w:rFonts w:ascii="Arial"/>
                <w:sz w:val="21"/>
              </w:rPr>
            </w:pPr>
          </w:p>
        </w:tc>
        <w:tc>
          <w:tcPr>
            <w:tcW w:w="510" w:type="dxa"/>
            <w:vMerge w:val="continue"/>
            <w:tcBorders>
              <w:top w:val="nil"/>
              <w:left w:val="single" w:color="000000" w:sz="4" w:space="0"/>
              <w:right w:val="single" w:color="000000" w:sz="4" w:space="0"/>
            </w:tcBorders>
            <w:vAlign w:val="top"/>
          </w:tcPr>
          <w:p w14:paraId="2C081A23">
            <w:pPr>
              <w:rPr>
                <w:rFonts w:ascii="Arial"/>
                <w:sz w:val="21"/>
              </w:rPr>
            </w:pPr>
          </w:p>
        </w:tc>
        <w:tc>
          <w:tcPr>
            <w:tcW w:w="1170" w:type="dxa"/>
            <w:tcBorders>
              <w:left w:val="single" w:color="000000" w:sz="4" w:space="0"/>
              <w:right w:val="single" w:color="000000" w:sz="4" w:space="0"/>
            </w:tcBorders>
            <w:vAlign w:val="top"/>
          </w:tcPr>
          <w:p w14:paraId="29E06832">
            <w:pPr>
              <w:spacing w:before="58" w:line="227" w:lineRule="auto"/>
              <w:ind w:left="61"/>
              <w:rPr>
                <w:rFonts w:ascii="宋体" w:hAnsi="宋体" w:eastAsia="宋体" w:cs="宋体"/>
                <w:sz w:val="20"/>
                <w:szCs w:val="20"/>
              </w:rPr>
            </w:pPr>
            <w:r>
              <w:rPr>
                <w:rFonts w:ascii="宋体" w:hAnsi="宋体" w:eastAsia="宋体" w:cs="宋体"/>
                <w:spacing w:val="8"/>
                <w:sz w:val="20"/>
                <w:szCs w:val="20"/>
              </w:rPr>
              <w:t>布袋除尘器</w:t>
            </w:r>
          </w:p>
        </w:tc>
        <w:tc>
          <w:tcPr>
            <w:tcW w:w="645" w:type="dxa"/>
            <w:tcBorders>
              <w:left w:val="single" w:color="000000" w:sz="4" w:space="0"/>
              <w:right w:val="single" w:color="000000" w:sz="4" w:space="0"/>
            </w:tcBorders>
            <w:vAlign w:val="top"/>
          </w:tcPr>
          <w:p w14:paraId="460B7E09">
            <w:pPr>
              <w:spacing w:before="58" w:line="228" w:lineRule="auto"/>
              <w:ind w:left="115"/>
              <w:rPr>
                <w:rFonts w:ascii="宋体" w:hAnsi="宋体" w:eastAsia="宋体" w:cs="宋体"/>
                <w:sz w:val="20"/>
                <w:szCs w:val="20"/>
              </w:rPr>
            </w:pPr>
            <w:r>
              <w:rPr>
                <w:rFonts w:ascii="宋体" w:hAnsi="宋体" w:eastAsia="宋体" w:cs="宋体"/>
                <w:spacing w:val="5"/>
                <w:sz w:val="20"/>
                <w:szCs w:val="20"/>
              </w:rPr>
              <w:t>粉尘</w:t>
            </w:r>
          </w:p>
        </w:tc>
        <w:tc>
          <w:tcPr>
            <w:tcW w:w="2780" w:type="dxa"/>
            <w:tcBorders>
              <w:left w:val="single" w:color="000000" w:sz="4" w:space="0"/>
              <w:right w:val="single" w:color="000000" w:sz="4" w:space="0"/>
            </w:tcBorders>
            <w:vAlign w:val="top"/>
          </w:tcPr>
          <w:p w14:paraId="36F19F01">
            <w:pPr>
              <w:spacing w:before="58" w:line="227" w:lineRule="auto"/>
              <w:ind w:left="137"/>
              <w:rPr>
                <w:rFonts w:ascii="宋体" w:hAnsi="宋体" w:eastAsia="宋体" w:cs="宋体"/>
                <w:sz w:val="20"/>
                <w:szCs w:val="20"/>
              </w:rPr>
            </w:pPr>
            <w:r>
              <w:rPr>
                <w:rFonts w:ascii="宋体" w:hAnsi="宋体" w:eastAsia="宋体" w:cs="宋体"/>
                <w:spacing w:val="16"/>
                <w:sz w:val="20"/>
                <w:szCs w:val="20"/>
              </w:rPr>
              <w:t>外</w:t>
            </w:r>
            <w:r>
              <w:rPr>
                <w:rFonts w:ascii="宋体" w:hAnsi="宋体" w:eastAsia="宋体" w:cs="宋体"/>
                <w:spacing w:val="9"/>
                <w:sz w:val="20"/>
                <w:szCs w:val="20"/>
              </w:rPr>
              <w:t>卖</w:t>
            </w:r>
            <w:r>
              <w:rPr>
                <w:rFonts w:ascii="宋体" w:hAnsi="宋体" w:eastAsia="宋体" w:cs="宋体"/>
                <w:spacing w:val="8"/>
                <w:sz w:val="20"/>
                <w:szCs w:val="20"/>
              </w:rPr>
              <w:t>给农肥厂进行综合利用</w:t>
            </w:r>
          </w:p>
        </w:tc>
        <w:tc>
          <w:tcPr>
            <w:tcW w:w="594" w:type="dxa"/>
            <w:tcBorders>
              <w:left w:val="single" w:color="000000" w:sz="4" w:space="0"/>
              <w:right w:val="single" w:color="000000" w:sz="4" w:space="0"/>
            </w:tcBorders>
            <w:vAlign w:val="top"/>
          </w:tcPr>
          <w:p w14:paraId="642F7DC0">
            <w:pPr>
              <w:spacing w:before="30" w:line="28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141" w:type="dxa"/>
            <w:vMerge w:val="continue"/>
            <w:tcBorders>
              <w:top w:val="nil"/>
              <w:left w:val="single" w:color="000000" w:sz="4" w:space="0"/>
              <w:right w:val="nil"/>
            </w:tcBorders>
            <w:vAlign w:val="top"/>
          </w:tcPr>
          <w:p w14:paraId="4A3D95A9">
            <w:pPr>
              <w:rPr>
                <w:rFonts w:ascii="Arial"/>
                <w:sz w:val="21"/>
              </w:rPr>
            </w:pPr>
          </w:p>
        </w:tc>
      </w:tr>
    </w:tbl>
    <w:p w14:paraId="4DDD5481">
      <w:pPr>
        <w:rPr>
          <w:rFonts w:ascii="Arial"/>
          <w:sz w:val="21"/>
        </w:rPr>
      </w:pPr>
    </w:p>
    <w:p w14:paraId="1DD92825">
      <w:pPr>
        <w:sectPr>
          <w:headerReference r:id="rId331" w:type="default"/>
          <w:footerReference r:id="rId332" w:type="default"/>
          <w:pgSz w:w="11906" w:h="16839"/>
          <w:pgMar w:top="1132" w:right="1784" w:bottom="1182" w:left="1785" w:header="878" w:footer="1022" w:gutter="0"/>
          <w:cols w:space="720" w:num="1"/>
        </w:sectPr>
      </w:pPr>
    </w:p>
    <w:p w14:paraId="06D7E376">
      <w:pPr>
        <w:spacing w:line="267" w:lineRule="auto"/>
        <w:rPr>
          <w:rFonts w:ascii="Arial"/>
          <w:sz w:val="21"/>
        </w:rPr>
      </w:pPr>
      <w:r>
        <w:pict>
          <v:shape id="_x0000_s1386" o:spid="_x0000_s1386" style="position:absolute;left:0pt;margin-left:90pt;margin-top:57.35pt;height:0.75pt;width:415.3pt;mso-position-horizontal-relative:page;mso-position-vertical-relative:page;z-index:252082176;mso-width-relative:page;mso-height-relative:page;" fillcolor="#000000" filled="t" stroked="f" coordsize="8305,15" o:allowincell="f" path="m0,0l8305,0,8305,14,0,14,0,0xe">
            <v:path/>
            <v:fill on="t" focussize="0,0"/>
            <v:stroke on="f"/>
            <v:imagedata o:title=""/>
            <o:lock v:ext="edit"/>
          </v:shape>
        </w:pict>
      </w:r>
    </w:p>
    <w:p w14:paraId="7E792AB1">
      <w:pPr>
        <w:spacing w:before="114" w:line="223" w:lineRule="auto"/>
        <w:ind w:left="66"/>
        <w:outlineLvl w:val="0"/>
        <w:rPr>
          <w:rFonts w:ascii="宋体" w:hAnsi="宋体" w:eastAsia="宋体" w:cs="宋体"/>
          <w:sz w:val="35"/>
          <w:szCs w:val="35"/>
        </w:rPr>
      </w:pPr>
      <w:bookmarkStart w:id="46" w:name="_bookmark47"/>
      <w:bookmarkEnd w:id="46"/>
      <w:r>
        <w:rPr>
          <w:rFonts w:ascii="Times New Roman" w:hAnsi="Times New Roman" w:eastAsia="Times New Roman" w:cs="Times New Roman"/>
          <w:b/>
          <w:bCs/>
          <w:spacing w:val="14"/>
          <w:sz w:val="35"/>
          <w:szCs w:val="35"/>
        </w:rPr>
        <w:t>1</w:t>
      </w:r>
      <w:r>
        <w:rPr>
          <w:rFonts w:ascii="Times New Roman" w:hAnsi="Times New Roman" w:eastAsia="Times New Roman" w:cs="Times New Roman"/>
          <w:b/>
          <w:bCs/>
          <w:spacing w:val="10"/>
          <w:sz w:val="35"/>
          <w:szCs w:val="35"/>
        </w:rPr>
        <w:t>0</w:t>
      </w:r>
      <w:r>
        <w:rPr>
          <w:rFonts w:ascii="Times New Roman" w:hAnsi="Times New Roman" w:eastAsia="Times New Roman" w:cs="Times New Roman"/>
          <w:spacing w:val="7"/>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环境影响评价结论与建议</w:t>
      </w:r>
    </w:p>
    <w:p w14:paraId="3F1FED15">
      <w:pPr>
        <w:spacing w:before="248" w:line="226" w:lineRule="auto"/>
        <w:ind w:left="64"/>
        <w:outlineLvl w:val="1"/>
        <w:rPr>
          <w:rFonts w:ascii="宋体" w:hAnsi="宋体" w:eastAsia="宋体" w:cs="宋体"/>
          <w:sz w:val="31"/>
          <w:szCs w:val="31"/>
        </w:rPr>
      </w:pPr>
      <w:bookmarkStart w:id="47" w:name="_bookmark48"/>
      <w:bookmarkEnd w:id="47"/>
      <w:r>
        <w:rPr>
          <w:rFonts w:ascii="Times New Roman" w:hAnsi="Times New Roman" w:eastAsia="Times New Roman" w:cs="Times New Roman"/>
          <w:b/>
          <w:bCs/>
          <w:spacing w:val="4"/>
          <w:sz w:val="31"/>
          <w:szCs w:val="31"/>
        </w:rPr>
        <w:t>10.</w:t>
      </w:r>
      <w:r>
        <w:rPr>
          <w:rFonts w:ascii="Times New Roman" w:hAnsi="Times New Roman" w:eastAsia="Times New Roman" w:cs="Times New Roman"/>
          <w:b/>
          <w:bCs/>
          <w:spacing w:val="2"/>
          <w:sz w:val="31"/>
          <w:szCs w:val="31"/>
        </w:rPr>
        <w:t>1</w:t>
      </w:r>
      <w:r>
        <w:rPr>
          <w:rFonts w:ascii="Times New Roman" w:hAnsi="Times New Roman" w:eastAsia="Times New Roman" w:cs="Times New Roman"/>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结论</w:t>
      </w:r>
    </w:p>
    <w:p w14:paraId="142483F8">
      <w:pPr>
        <w:spacing w:before="272" w:line="226" w:lineRule="auto"/>
        <w:ind w:left="62"/>
        <w:outlineLvl w:val="1"/>
        <w:rPr>
          <w:rFonts w:ascii="宋体" w:hAnsi="宋体" w:eastAsia="宋体" w:cs="宋体"/>
          <w:sz w:val="29"/>
          <w:szCs w:val="29"/>
        </w:rPr>
      </w:pPr>
      <w:r>
        <w:rPr>
          <w:rFonts w:ascii="Times New Roman" w:hAnsi="Times New Roman" w:eastAsia="Times New Roman" w:cs="Times New Roman"/>
          <w:b/>
          <w:bCs/>
          <w:spacing w:val="8"/>
          <w:sz w:val="29"/>
          <w:szCs w:val="29"/>
        </w:rPr>
        <w:t>1</w:t>
      </w:r>
      <w:r>
        <w:rPr>
          <w:rFonts w:ascii="Times New Roman" w:hAnsi="Times New Roman" w:eastAsia="Times New Roman" w:cs="Times New Roman"/>
          <w:b/>
          <w:bCs/>
          <w:spacing w:val="4"/>
          <w:sz w:val="29"/>
          <w:szCs w:val="29"/>
        </w:rPr>
        <w:t>0.1.1</w:t>
      </w:r>
      <w:r>
        <w:rPr>
          <w:rFonts w:ascii="Times New Roman" w:hAnsi="Times New Roman" w:eastAsia="Times New Roman" w:cs="Times New Roman"/>
          <w:spacing w:val="4"/>
          <w:sz w:val="29"/>
          <w:szCs w:val="29"/>
        </w:rPr>
        <w:t xml:space="preserve">  </w:t>
      </w:r>
      <w:r>
        <w:rPr>
          <w:rFonts w:ascii="宋体" w:hAnsi="宋体" w:eastAsia="宋体" w:cs="宋体"/>
          <w:spacing w:val="4"/>
          <w:sz w:val="29"/>
          <w:szCs w:val="29"/>
          <w14:textOutline w14:w="5448" w14:cap="sq" w14:cmpd="sng">
            <w14:solidFill>
              <w14:srgbClr w14:val="000000"/>
            </w14:solidFill>
            <w14:prstDash w14:val="solid"/>
            <w14:bevel/>
          </w14:textOutline>
        </w:rPr>
        <w:t>项目概况</w:t>
      </w:r>
    </w:p>
    <w:p w14:paraId="4A7F6C90">
      <w:pPr>
        <w:spacing w:line="258" w:lineRule="auto"/>
        <w:rPr>
          <w:rFonts w:ascii="Arial"/>
          <w:sz w:val="21"/>
        </w:rPr>
      </w:pPr>
    </w:p>
    <w:p w14:paraId="1DE66861">
      <w:pPr>
        <w:spacing w:before="75" w:line="386" w:lineRule="auto"/>
        <w:ind w:left="48" w:firstLine="485"/>
        <w:rPr>
          <w:rFonts w:ascii="宋体" w:hAnsi="宋体" w:eastAsia="宋体" w:cs="宋体"/>
          <w:sz w:val="23"/>
          <w:szCs w:val="23"/>
        </w:rPr>
      </w:pPr>
      <w:r>
        <w:rPr>
          <w:rFonts w:ascii="宋体" w:hAnsi="宋体" w:eastAsia="宋体" w:cs="宋体"/>
          <w:spacing w:val="19"/>
          <w:sz w:val="23"/>
          <w:szCs w:val="23"/>
        </w:rPr>
        <w:t>本</w:t>
      </w:r>
      <w:r>
        <w:rPr>
          <w:rFonts w:ascii="宋体" w:hAnsi="宋体" w:eastAsia="宋体" w:cs="宋体"/>
          <w:spacing w:val="14"/>
          <w:sz w:val="23"/>
          <w:szCs w:val="23"/>
        </w:rPr>
        <w:t>溪弘福塑业有限公司新建项目拟建于辽宁省本溪市溪湖区火连寨镇火连</w:t>
      </w:r>
      <w:r>
        <w:rPr>
          <w:rFonts w:ascii="宋体" w:hAnsi="宋体" w:eastAsia="宋体" w:cs="宋体"/>
          <w:sz w:val="23"/>
          <w:szCs w:val="23"/>
        </w:rPr>
        <w:t xml:space="preserve"> </w:t>
      </w:r>
      <w:r>
        <w:rPr>
          <w:rFonts w:ascii="宋体" w:hAnsi="宋体" w:eastAsia="宋体" w:cs="宋体"/>
          <w:spacing w:val="4"/>
          <w:sz w:val="23"/>
          <w:szCs w:val="23"/>
        </w:rPr>
        <w:t>寨村，地理位置坐</w:t>
      </w:r>
      <w:r>
        <w:rPr>
          <w:rFonts w:ascii="宋体" w:hAnsi="宋体" w:eastAsia="宋体" w:cs="宋体"/>
          <w:spacing w:val="2"/>
          <w:sz w:val="23"/>
          <w:szCs w:val="23"/>
        </w:rPr>
        <w:t xml:space="preserve">标为 </w:t>
      </w:r>
      <w:r>
        <w:rPr>
          <w:rFonts w:ascii="Times New Roman" w:hAnsi="Times New Roman" w:eastAsia="Times New Roman" w:cs="Times New Roman"/>
          <w:sz w:val="23"/>
          <w:szCs w:val="23"/>
        </w:rPr>
        <w:t>N</w:t>
      </w:r>
      <w:r>
        <w:rPr>
          <w:rFonts w:ascii="Times New Roman" w:hAnsi="Times New Roman" w:eastAsia="Times New Roman" w:cs="Times New Roman"/>
          <w:spacing w:val="2"/>
          <w:sz w:val="23"/>
          <w:szCs w:val="23"/>
        </w:rPr>
        <w:t>41°21′55.05927″</w:t>
      </w:r>
      <w:r>
        <w:rPr>
          <w:rFonts w:ascii="Times New Roman" w:hAnsi="Times New Roman" w:eastAsia="Times New Roman" w:cs="Times New Roman"/>
          <w:sz w:val="23"/>
          <w:szCs w:val="23"/>
        </w:rPr>
        <w:t>E</w:t>
      </w:r>
      <w:r>
        <w:rPr>
          <w:rFonts w:ascii="Times New Roman" w:hAnsi="Times New Roman" w:eastAsia="Times New Roman" w:cs="Times New Roman"/>
          <w:spacing w:val="2"/>
          <w:sz w:val="23"/>
          <w:szCs w:val="23"/>
        </w:rPr>
        <w:t xml:space="preserve">123°42′32.05640″ </w:t>
      </w:r>
      <w:r>
        <w:rPr>
          <w:rFonts w:ascii="宋体" w:hAnsi="宋体" w:eastAsia="宋体" w:cs="宋体"/>
          <w:spacing w:val="2"/>
          <w:sz w:val="23"/>
          <w:szCs w:val="23"/>
        </w:rPr>
        <w:t xml:space="preserve">，总投资 </w:t>
      </w:r>
      <w:r>
        <w:rPr>
          <w:rFonts w:ascii="Times New Roman" w:hAnsi="Times New Roman" w:eastAsia="Times New Roman" w:cs="Times New Roman"/>
          <w:spacing w:val="2"/>
          <w:sz w:val="23"/>
          <w:szCs w:val="23"/>
        </w:rPr>
        <w:t xml:space="preserve">4300 </w:t>
      </w:r>
      <w:r>
        <w:rPr>
          <w:rFonts w:ascii="宋体" w:hAnsi="宋体" w:eastAsia="宋体" w:cs="宋体"/>
          <w:spacing w:val="2"/>
          <w:sz w:val="23"/>
          <w:szCs w:val="23"/>
        </w:rPr>
        <w:t>万元。</w:t>
      </w:r>
      <w:r>
        <w:rPr>
          <w:rFonts w:ascii="宋体" w:hAnsi="宋体" w:eastAsia="宋体" w:cs="宋体"/>
          <w:sz w:val="23"/>
          <w:szCs w:val="23"/>
        </w:rPr>
        <w:t xml:space="preserve"> </w:t>
      </w:r>
      <w:r>
        <w:rPr>
          <w:rFonts w:ascii="宋体" w:hAnsi="宋体" w:eastAsia="宋体" w:cs="宋体"/>
          <w:spacing w:val="12"/>
          <w:sz w:val="23"/>
          <w:szCs w:val="23"/>
        </w:rPr>
        <w:t>该</w:t>
      </w:r>
      <w:r>
        <w:rPr>
          <w:rFonts w:ascii="宋体" w:hAnsi="宋体" w:eastAsia="宋体" w:cs="宋体"/>
          <w:spacing w:val="8"/>
          <w:sz w:val="23"/>
          <w:szCs w:val="23"/>
        </w:rPr>
        <w:t xml:space="preserve">项目地块原为辽宁公路水泥厂劳动服务公司，该地块从 </w:t>
      </w:r>
      <w:r>
        <w:rPr>
          <w:rFonts w:ascii="Times New Roman" w:hAnsi="Times New Roman" w:eastAsia="Times New Roman" w:cs="Times New Roman"/>
          <w:spacing w:val="8"/>
          <w:sz w:val="23"/>
          <w:szCs w:val="23"/>
        </w:rPr>
        <w:t xml:space="preserve">2000 </w:t>
      </w:r>
      <w:r>
        <w:rPr>
          <w:rFonts w:ascii="宋体" w:hAnsi="宋体" w:eastAsia="宋体" w:cs="宋体"/>
          <w:spacing w:val="8"/>
          <w:sz w:val="23"/>
          <w:szCs w:val="23"/>
        </w:rPr>
        <w:t>年闲置至今，总</w:t>
      </w:r>
      <w:r>
        <w:rPr>
          <w:rFonts w:ascii="宋体" w:hAnsi="宋体" w:eastAsia="宋体" w:cs="宋体"/>
          <w:sz w:val="23"/>
          <w:szCs w:val="23"/>
        </w:rPr>
        <w:t xml:space="preserve"> </w:t>
      </w:r>
      <w:r>
        <w:rPr>
          <w:rFonts w:ascii="宋体" w:hAnsi="宋体" w:eastAsia="宋体" w:cs="宋体"/>
          <w:spacing w:val="8"/>
          <w:sz w:val="23"/>
          <w:szCs w:val="23"/>
        </w:rPr>
        <w:t xml:space="preserve">占地面积为 </w:t>
      </w:r>
      <w:r>
        <w:rPr>
          <w:rFonts w:ascii="Times New Roman" w:hAnsi="Times New Roman" w:eastAsia="Times New Roman" w:cs="Times New Roman"/>
          <w:spacing w:val="8"/>
          <w:sz w:val="23"/>
          <w:szCs w:val="23"/>
        </w:rPr>
        <w:t>7000</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3"/>
          <w:szCs w:val="23"/>
        </w:rPr>
        <w:t>。该项目利用厂区内原有闲置辅助用房作为办公用房及成品</w:t>
      </w:r>
      <w:r>
        <w:rPr>
          <w:rFonts w:ascii="宋体" w:hAnsi="宋体" w:eastAsia="宋体" w:cs="宋体"/>
          <w:sz w:val="23"/>
          <w:szCs w:val="23"/>
        </w:rPr>
        <w:t xml:space="preserve"> </w:t>
      </w:r>
      <w:r>
        <w:rPr>
          <w:rFonts w:ascii="宋体" w:hAnsi="宋体" w:eastAsia="宋体" w:cs="宋体"/>
          <w:spacing w:val="11"/>
          <w:sz w:val="23"/>
          <w:szCs w:val="23"/>
        </w:rPr>
        <w:t>库</w:t>
      </w:r>
      <w:r>
        <w:rPr>
          <w:rFonts w:ascii="宋体" w:hAnsi="宋体" w:eastAsia="宋体" w:cs="宋体"/>
          <w:spacing w:val="8"/>
          <w:sz w:val="23"/>
          <w:szCs w:val="23"/>
        </w:rPr>
        <w:t xml:space="preserve">，并将原有生产厂房扩大作为该项目生产用房，总建筑面积为 </w:t>
      </w:r>
      <w:r>
        <w:rPr>
          <w:rFonts w:ascii="Times New Roman" w:hAnsi="Times New Roman" w:eastAsia="Times New Roman" w:cs="Times New Roman"/>
          <w:spacing w:val="8"/>
          <w:sz w:val="23"/>
          <w:szCs w:val="23"/>
        </w:rPr>
        <w:t>1600</w:t>
      </w:r>
      <w:r>
        <w:rPr>
          <w:rFonts w:ascii="Times New Roman" w:hAnsi="Times New Roman" w:eastAsia="Times New Roman" w:cs="Times New Roman"/>
          <w:sz w:val="23"/>
          <w:szCs w:val="23"/>
        </w:rPr>
        <w:t>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3"/>
          <w:szCs w:val="23"/>
        </w:rPr>
        <w:t>，主要</w:t>
      </w:r>
      <w:r>
        <w:rPr>
          <w:rFonts w:ascii="宋体" w:hAnsi="宋体" w:eastAsia="宋体" w:cs="宋体"/>
          <w:sz w:val="23"/>
          <w:szCs w:val="23"/>
        </w:rPr>
        <w:t xml:space="preserve"> </w:t>
      </w:r>
      <w:r>
        <w:rPr>
          <w:rFonts w:ascii="宋体" w:hAnsi="宋体" w:eastAsia="宋体" w:cs="宋体"/>
          <w:spacing w:val="-2"/>
          <w:sz w:val="23"/>
          <w:szCs w:val="23"/>
        </w:rPr>
        <w:t xml:space="preserve">建筑物为：生产厂房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栋，建筑面积为 </w:t>
      </w:r>
      <w:r>
        <w:rPr>
          <w:rFonts w:ascii="Times New Roman" w:hAnsi="Times New Roman" w:eastAsia="Times New Roman" w:cs="Times New Roman"/>
          <w:spacing w:val="-1"/>
          <w:sz w:val="23"/>
          <w:szCs w:val="23"/>
        </w:rPr>
        <w:t>600m</w:t>
      </w:r>
      <w:r>
        <w:rPr>
          <w:rFonts w:ascii="Times New Roman" w:hAnsi="Times New Roman" w:eastAsia="Times New Roman" w:cs="Times New Roman"/>
          <w:spacing w:val="-1"/>
          <w:position w:val="8"/>
          <w:sz w:val="15"/>
          <w:szCs w:val="15"/>
        </w:rPr>
        <w:t>2</w:t>
      </w:r>
      <w:r>
        <w:rPr>
          <w:rFonts w:ascii="宋体" w:hAnsi="宋体" w:eastAsia="宋体" w:cs="宋体"/>
          <w:spacing w:val="-1"/>
          <w:sz w:val="23"/>
          <w:szCs w:val="23"/>
        </w:rPr>
        <w:t xml:space="preserve">；成品库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栋，建筑面积为 </w:t>
      </w:r>
      <w:r>
        <w:rPr>
          <w:rFonts w:ascii="Times New Roman" w:hAnsi="Times New Roman" w:eastAsia="Times New Roman" w:cs="Times New Roman"/>
          <w:spacing w:val="-1"/>
          <w:sz w:val="23"/>
          <w:szCs w:val="23"/>
        </w:rPr>
        <w:t>200m</w:t>
      </w:r>
      <w:r>
        <w:rPr>
          <w:rFonts w:ascii="Times New Roman" w:hAnsi="Times New Roman" w:eastAsia="Times New Roman" w:cs="Times New Roman"/>
          <w:spacing w:val="-1"/>
          <w:position w:val="8"/>
          <w:sz w:val="15"/>
          <w:szCs w:val="15"/>
        </w:rPr>
        <w:t>2</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
          <w:sz w:val="23"/>
          <w:szCs w:val="23"/>
        </w:rPr>
        <w:t xml:space="preserve">原料库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栋，建筑面积为 </w:t>
      </w:r>
      <w:r>
        <w:rPr>
          <w:rFonts w:ascii="Times New Roman" w:hAnsi="Times New Roman" w:eastAsia="Times New Roman" w:cs="Times New Roman"/>
          <w:spacing w:val="1"/>
          <w:sz w:val="23"/>
          <w:szCs w:val="23"/>
        </w:rPr>
        <w:t>2</w:t>
      </w:r>
      <w:r>
        <w:rPr>
          <w:rFonts w:ascii="Times New Roman" w:hAnsi="Times New Roman" w:eastAsia="Times New Roman" w:cs="Times New Roman"/>
          <w:sz w:val="23"/>
          <w:szCs w:val="23"/>
        </w:rPr>
        <w:t>00m</w:t>
      </w:r>
      <w:r>
        <w:rPr>
          <w:rFonts w:ascii="Times New Roman" w:hAnsi="Times New Roman" w:eastAsia="Times New Roman" w:cs="Times New Roman"/>
          <w:position w:val="8"/>
          <w:sz w:val="15"/>
          <w:szCs w:val="15"/>
        </w:rPr>
        <w:t xml:space="preserve">2 </w:t>
      </w:r>
      <w:r>
        <w:rPr>
          <w:rFonts w:ascii="宋体" w:hAnsi="宋体" w:eastAsia="宋体" w:cs="宋体"/>
          <w:sz w:val="23"/>
          <w:szCs w:val="23"/>
        </w:rPr>
        <w:t xml:space="preserve">；办公室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栋，建筑面积为 </w:t>
      </w:r>
      <w:r>
        <w:rPr>
          <w:rFonts w:ascii="Times New Roman" w:hAnsi="Times New Roman" w:eastAsia="Times New Roman" w:cs="Times New Roman"/>
          <w:sz w:val="23"/>
          <w:szCs w:val="23"/>
        </w:rPr>
        <w:t>245m</w:t>
      </w:r>
      <w:r>
        <w:rPr>
          <w:rFonts w:ascii="Times New Roman" w:hAnsi="Times New Roman" w:eastAsia="Times New Roman" w:cs="Times New Roman"/>
          <w:position w:val="8"/>
          <w:sz w:val="15"/>
          <w:szCs w:val="15"/>
        </w:rPr>
        <w:t xml:space="preserve">2 </w:t>
      </w:r>
      <w:r>
        <w:rPr>
          <w:rFonts w:ascii="宋体" w:hAnsi="宋体" w:eastAsia="宋体" w:cs="宋体"/>
          <w:sz w:val="23"/>
          <w:szCs w:val="23"/>
        </w:rPr>
        <w:t xml:space="preserve">；员工休息室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栋，其中 </w:t>
      </w:r>
      <w:r>
        <w:rPr>
          <w:rFonts w:ascii="Times New Roman" w:hAnsi="Times New Roman" w:eastAsia="Times New Roman" w:cs="Times New Roman"/>
          <w:spacing w:val="4"/>
          <w:sz w:val="23"/>
          <w:szCs w:val="23"/>
        </w:rPr>
        <w:t>1#</w:t>
      </w:r>
      <w:r>
        <w:rPr>
          <w:rFonts w:ascii="宋体" w:hAnsi="宋体" w:eastAsia="宋体" w:cs="宋体"/>
          <w:spacing w:val="4"/>
          <w:sz w:val="23"/>
          <w:szCs w:val="23"/>
        </w:rPr>
        <w:t>员工休</w:t>
      </w:r>
      <w:r>
        <w:rPr>
          <w:rFonts w:ascii="宋体" w:hAnsi="宋体" w:eastAsia="宋体" w:cs="宋体"/>
          <w:spacing w:val="3"/>
          <w:sz w:val="23"/>
          <w:szCs w:val="23"/>
        </w:rPr>
        <w:t>息</w:t>
      </w:r>
      <w:r>
        <w:rPr>
          <w:rFonts w:ascii="宋体" w:hAnsi="宋体" w:eastAsia="宋体" w:cs="宋体"/>
          <w:spacing w:val="2"/>
          <w:sz w:val="23"/>
          <w:szCs w:val="23"/>
        </w:rPr>
        <w:t xml:space="preserve">室建筑面积为 </w:t>
      </w:r>
      <w:r>
        <w:rPr>
          <w:rFonts w:ascii="Times New Roman" w:hAnsi="Times New Roman" w:eastAsia="Times New Roman" w:cs="Times New Roman"/>
          <w:spacing w:val="2"/>
          <w:sz w:val="23"/>
          <w:szCs w:val="23"/>
        </w:rPr>
        <w:t>150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宋体" w:hAnsi="宋体" w:eastAsia="宋体" w:cs="宋体"/>
          <w:spacing w:val="2"/>
          <w:sz w:val="23"/>
          <w:szCs w:val="23"/>
        </w:rPr>
        <w:t xml:space="preserve">员工休息室建筑面积为 </w:t>
      </w:r>
      <w:r>
        <w:rPr>
          <w:rFonts w:ascii="Times New Roman" w:hAnsi="Times New Roman" w:eastAsia="Times New Roman" w:cs="Times New Roman"/>
          <w:spacing w:val="2"/>
          <w:sz w:val="23"/>
          <w:szCs w:val="23"/>
        </w:rPr>
        <w:t>175</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8"/>
          <w:sz w:val="23"/>
          <w:szCs w:val="23"/>
        </w:rPr>
        <w:t xml:space="preserve">备品备件库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栋，建筑面积为 </w:t>
      </w:r>
      <w:r>
        <w:rPr>
          <w:rFonts w:ascii="Times New Roman" w:hAnsi="Times New Roman" w:eastAsia="Times New Roman" w:cs="Times New Roman"/>
          <w:spacing w:val="4"/>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2 </w:t>
      </w:r>
      <w:r>
        <w:rPr>
          <w:rFonts w:ascii="宋体" w:hAnsi="宋体" w:eastAsia="宋体" w:cs="宋体"/>
          <w:spacing w:val="4"/>
          <w:sz w:val="23"/>
          <w:szCs w:val="23"/>
        </w:rPr>
        <w:t xml:space="preserve">；主要构筑物包括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个用于处理该项目生产</w:t>
      </w:r>
      <w:r>
        <w:rPr>
          <w:rFonts w:ascii="宋体" w:hAnsi="宋体" w:eastAsia="宋体" w:cs="宋体"/>
          <w:sz w:val="23"/>
          <w:szCs w:val="23"/>
        </w:rPr>
        <w:t xml:space="preserve"> </w:t>
      </w:r>
      <w:r>
        <w:rPr>
          <w:rFonts w:ascii="宋体" w:hAnsi="宋体" w:eastAsia="宋体" w:cs="宋体"/>
          <w:spacing w:val="18"/>
          <w:sz w:val="23"/>
          <w:szCs w:val="23"/>
        </w:rPr>
        <w:t>废</w:t>
      </w:r>
      <w:r>
        <w:rPr>
          <w:rFonts w:ascii="宋体" w:hAnsi="宋体" w:eastAsia="宋体" w:cs="宋体"/>
          <w:spacing w:val="17"/>
          <w:sz w:val="23"/>
          <w:szCs w:val="23"/>
        </w:rPr>
        <w:t>水</w:t>
      </w:r>
      <w:r>
        <w:rPr>
          <w:rFonts w:ascii="宋体" w:hAnsi="宋体" w:eastAsia="宋体" w:cs="宋体"/>
          <w:spacing w:val="9"/>
          <w:sz w:val="23"/>
          <w:szCs w:val="23"/>
        </w:rPr>
        <w:t>的三级沉淀池 (</w:t>
      </w:r>
      <w:r>
        <w:rPr>
          <w:rFonts w:ascii="Times New Roman" w:hAnsi="Times New Roman" w:eastAsia="Times New Roman" w:cs="Times New Roman"/>
          <w:spacing w:val="9"/>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×4.5</w:t>
      </w:r>
      <w:r>
        <w:rPr>
          <w:rFonts w:ascii="Times New Roman" w:hAnsi="Times New Roman" w:eastAsia="Times New Roman" w:cs="Times New Roman"/>
          <w:sz w:val="23"/>
          <w:szCs w:val="23"/>
        </w:rPr>
        <w:t>m</w:t>
      </w:r>
      <w:r>
        <w:rPr>
          <w:rFonts w:ascii="宋体" w:hAnsi="宋体" w:eastAsia="宋体" w:cs="宋体"/>
          <w:spacing w:val="9"/>
          <w:sz w:val="23"/>
          <w:szCs w:val="23"/>
        </w:rPr>
        <w:t xml:space="preserve">) ，同时配套设有 </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台一体化污水预处理设</w:t>
      </w:r>
      <w:r>
        <w:rPr>
          <w:rFonts w:ascii="宋体" w:hAnsi="宋体" w:eastAsia="宋体" w:cs="宋体"/>
          <w:sz w:val="23"/>
          <w:szCs w:val="23"/>
        </w:rPr>
        <w:t xml:space="preserve"> </w:t>
      </w:r>
      <w:r>
        <w:rPr>
          <w:rFonts w:ascii="宋体" w:hAnsi="宋体" w:eastAsia="宋体" w:cs="宋体"/>
          <w:spacing w:val="9"/>
          <w:sz w:val="23"/>
          <w:szCs w:val="23"/>
        </w:rPr>
        <w:t xml:space="preserve">备。该项目主要建设废旧塑料加工生产线 </w:t>
      </w:r>
      <w:r>
        <w:rPr>
          <w:rFonts w:ascii="Times New Roman" w:hAnsi="Times New Roman" w:eastAsia="Times New Roman" w:cs="Times New Roman"/>
          <w:spacing w:val="9"/>
          <w:sz w:val="23"/>
          <w:szCs w:val="23"/>
        </w:rPr>
        <w:t xml:space="preserve">10 </w:t>
      </w:r>
      <w:r>
        <w:rPr>
          <w:rFonts w:ascii="宋体" w:hAnsi="宋体" w:eastAsia="宋体" w:cs="宋体"/>
          <w:spacing w:val="9"/>
          <w:sz w:val="23"/>
          <w:szCs w:val="23"/>
        </w:rPr>
        <w:t>条，用于生产废旧塑料再生颗粒</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该项目建成后预计年产废旧塑料再生颗粒 </w:t>
      </w:r>
      <w:r>
        <w:rPr>
          <w:rFonts w:ascii="Times New Roman" w:hAnsi="Times New Roman" w:eastAsia="Times New Roman" w:cs="Times New Roman"/>
          <w:spacing w:val="6"/>
          <w:sz w:val="23"/>
          <w:szCs w:val="23"/>
        </w:rPr>
        <w:t xml:space="preserve">50000 </w:t>
      </w:r>
      <w:r>
        <w:rPr>
          <w:rFonts w:ascii="宋体" w:hAnsi="宋体" w:eastAsia="宋体" w:cs="宋体"/>
          <w:spacing w:val="6"/>
          <w:sz w:val="23"/>
          <w:szCs w:val="23"/>
        </w:rPr>
        <w:t>吨</w:t>
      </w:r>
      <w:r>
        <w:rPr>
          <w:rFonts w:ascii="宋体" w:hAnsi="宋体" w:eastAsia="宋体" w:cs="宋体"/>
          <w:spacing w:val="1"/>
          <w:sz w:val="23"/>
          <w:szCs w:val="23"/>
        </w:rPr>
        <w:t>。</w:t>
      </w:r>
    </w:p>
    <w:p w14:paraId="64761E8C">
      <w:pPr>
        <w:spacing w:before="91" w:line="226" w:lineRule="auto"/>
        <w:ind w:left="62"/>
        <w:outlineLvl w:val="1"/>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7"/>
          <w:sz w:val="29"/>
          <w:szCs w:val="29"/>
        </w:rPr>
        <w:t>0</w:t>
      </w:r>
      <w:r>
        <w:rPr>
          <w:rFonts w:ascii="Times New Roman" w:hAnsi="Times New Roman" w:eastAsia="Times New Roman" w:cs="Times New Roman"/>
          <w:b/>
          <w:bCs/>
          <w:spacing w:val="6"/>
          <w:sz w:val="29"/>
          <w:szCs w:val="29"/>
        </w:rPr>
        <w:t>.1.2</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产业政策符合性结论</w:t>
      </w:r>
    </w:p>
    <w:p w14:paraId="10A48E44">
      <w:pPr>
        <w:spacing w:line="249" w:lineRule="auto"/>
        <w:rPr>
          <w:rFonts w:ascii="Arial"/>
          <w:sz w:val="21"/>
        </w:rPr>
      </w:pPr>
    </w:p>
    <w:p w14:paraId="6DC4E65C">
      <w:pPr>
        <w:spacing w:before="75" w:line="386" w:lineRule="auto"/>
        <w:ind w:left="53" w:right="82" w:firstLine="479"/>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7"/>
          <w:sz w:val="23"/>
          <w:szCs w:val="23"/>
        </w:rPr>
        <w:t>产</w:t>
      </w:r>
      <w:r>
        <w:rPr>
          <w:rFonts w:ascii="宋体" w:hAnsi="宋体" w:eastAsia="宋体" w:cs="宋体"/>
          <w:spacing w:val="5"/>
          <w:sz w:val="23"/>
          <w:szCs w:val="23"/>
        </w:rPr>
        <w:t>业结构调整指导目录 (</w:t>
      </w:r>
      <w:r>
        <w:rPr>
          <w:rFonts w:ascii="Times New Roman" w:hAnsi="Times New Roman" w:eastAsia="Times New Roman" w:cs="Times New Roman"/>
          <w:spacing w:val="5"/>
          <w:sz w:val="23"/>
          <w:szCs w:val="23"/>
        </w:rPr>
        <w:t xml:space="preserve">2011 </w:t>
      </w:r>
      <w:r>
        <w:rPr>
          <w:rFonts w:ascii="宋体" w:hAnsi="宋体" w:eastAsia="宋体" w:cs="宋体"/>
          <w:spacing w:val="5"/>
          <w:sz w:val="23"/>
          <w:szCs w:val="23"/>
        </w:rPr>
        <w:t>年本，</w:t>
      </w:r>
      <w:r>
        <w:rPr>
          <w:rFonts w:ascii="Times New Roman" w:hAnsi="Times New Roman" w:eastAsia="Times New Roman" w:cs="Times New Roman"/>
          <w:spacing w:val="5"/>
          <w:sz w:val="23"/>
          <w:szCs w:val="23"/>
        </w:rPr>
        <w:t xml:space="preserve">2016 </w:t>
      </w:r>
      <w:r>
        <w:rPr>
          <w:rFonts w:ascii="宋体" w:hAnsi="宋体" w:eastAsia="宋体" w:cs="宋体"/>
          <w:spacing w:val="5"/>
          <w:sz w:val="23"/>
          <w:szCs w:val="23"/>
        </w:rPr>
        <w:t>年修订) 》  (中华人民共</w:t>
      </w:r>
      <w:r>
        <w:rPr>
          <w:rFonts w:ascii="宋体" w:hAnsi="宋体" w:eastAsia="宋体" w:cs="宋体"/>
          <w:sz w:val="23"/>
          <w:szCs w:val="23"/>
        </w:rPr>
        <w:t xml:space="preserve"> </w:t>
      </w:r>
      <w:r>
        <w:rPr>
          <w:rFonts w:ascii="宋体" w:hAnsi="宋体" w:eastAsia="宋体" w:cs="宋体"/>
          <w:spacing w:val="10"/>
          <w:sz w:val="23"/>
          <w:szCs w:val="23"/>
        </w:rPr>
        <w:t>和国国</w:t>
      </w:r>
      <w:r>
        <w:rPr>
          <w:rFonts w:ascii="宋体" w:hAnsi="宋体" w:eastAsia="宋体" w:cs="宋体"/>
          <w:spacing w:val="8"/>
          <w:sz w:val="23"/>
          <w:szCs w:val="23"/>
        </w:rPr>
        <w:t>家</w:t>
      </w:r>
      <w:r>
        <w:rPr>
          <w:rFonts w:ascii="宋体" w:hAnsi="宋体" w:eastAsia="宋体" w:cs="宋体"/>
          <w:spacing w:val="5"/>
          <w:sz w:val="23"/>
          <w:szCs w:val="23"/>
        </w:rPr>
        <w:t xml:space="preserve">发展和改革委员会第 </w:t>
      </w:r>
      <w:r>
        <w:rPr>
          <w:rFonts w:ascii="Times New Roman" w:hAnsi="Times New Roman" w:eastAsia="Times New Roman" w:cs="Times New Roman"/>
          <w:spacing w:val="5"/>
          <w:sz w:val="23"/>
          <w:szCs w:val="23"/>
        </w:rPr>
        <w:t xml:space="preserve">36 </w:t>
      </w:r>
      <w:r>
        <w:rPr>
          <w:rFonts w:ascii="宋体" w:hAnsi="宋体" w:eastAsia="宋体" w:cs="宋体"/>
          <w:spacing w:val="5"/>
          <w:sz w:val="23"/>
          <w:szCs w:val="23"/>
        </w:rPr>
        <w:t>号令，</w:t>
      </w:r>
      <w:r>
        <w:rPr>
          <w:rFonts w:ascii="Times New Roman" w:hAnsi="Times New Roman" w:eastAsia="Times New Roman" w:cs="Times New Roman"/>
          <w:spacing w:val="5"/>
          <w:sz w:val="23"/>
          <w:szCs w:val="23"/>
        </w:rPr>
        <w:t xml:space="preserve">2016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月 </w:t>
      </w:r>
      <w:r>
        <w:rPr>
          <w:rFonts w:ascii="Times New Roman" w:hAnsi="Times New Roman" w:eastAsia="Times New Roman" w:cs="Times New Roman"/>
          <w:spacing w:val="5"/>
          <w:sz w:val="23"/>
          <w:szCs w:val="23"/>
        </w:rPr>
        <w:t xml:space="preserve">25 </w:t>
      </w:r>
      <w:r>
        <w:rPr>
          <w:rFonts w:ascii="宋体" w:hAnsi="宋体" w:eastAsia="宋体" w:cs="宋体"/>
          <w:spacing w:val="5"/>
          <w:sz w:val="23"/>
          <w:szCs w:val="23"/>
        </w:rPr>
        <w:t>日) 中相关内容，该项</w:t>
      </w:r>
      <w:r>
        <w:rPr>
          <w:rFonts w:ascii="宋体" w:hAnsi="宋体" w:eastAsia="宋体" w:cs="宋体"/>
          <w:sz w:val="23"/>
          <w:szCs w:val="23"/>
        </w:rPr>
        <w:t xml:space="preserve"> </w:t>
      </w:r>
      <w:r>
        <w:rPr>
          <w:rFonts w:ascii="宋体" w:hAnsi="宋体" w:eastAsia="宋体" w:cs="宋体"/>
          <w:spacing w:val="9"/>
          <w:sz w:val="23"/>
          <w:szCs w:val="23"/>
        </w:rPr>
        <w:t>目属于</w:t>
      </w:r>
      <w:r>
        <w:rPr>
          <w:rFonts w:ascii="Times New Roman" w:hAnsi="Times New Roman" w:eastAsia="Times New Roman" w:cs="Times New Roman"/>
          <w:spacing w:val="9"/>
          <w:sz w:val="23"/>
          <w:szCs w:val="23"/>
        </w:rPr>
        <w:t>“</w:t>
      </w:r>
      <w:r>
        <w:rPr>
          <w:rFonts w:ascii="宋体" w:hAnsi="宋体" w:eastAsia="宋体" w:cs="宋体"/>
          <w:spacing w:val="9"/>
          <w:sz w:val="23"/>
          <w:szCs w:val="23"/>
        </w:rPr>
        <w:t>三十八、环境保护与资源节约综合利用产业</w:t>
      </w:r>
      <w:r>
        <w:rPr>
          <w:rFonts w:ascii="Times New Roman" w:hAnsi="Times New Roman" w:eastAsia="Times New Roman" w:cs="Times New Roman"/>
          <w:spacing w:val="9"/>
          <w:sz w:val="23"/>
          <w:szCs w:val="23"/>
        </w:rPr>
        <w:t>”</w:t>
      </w:r>
      <w:r>
        <w:rPr>
          <w:rFonts w:ascii="宋体" w:hAnsi="宋体" w:eastAsia="宋体" w:cs="宋体"/>
          <w:spacing w:val="9"/>
          <w:sz w:val="23"/>
          <w:szCs w:val="23"/>
        </w:rPr>
        <w:t>中的</w:t>
      </w:r>
      <w:r>
        <w:rPr>
          <w:rFonts w:ascii="Times New Roman" w:hAnsi="Times New Roman" w:eastAsia="Times New Roman" w:cs="Times New Roman"/>
          <w:spacing w:val="9"/>
          <w:sz w:val="23"/>
          <w:szCs w:val="23"/>
        </w:rPr>
        <w:t xml:space="preserve">“29 </w:t>
      </w:r>
      <w:r>
        <w:rPr>
          <w:rFonts w:ascii="宋体" w:hAnsi="宋体" w:eastAsia="宋体" w:cs="宋体"/>
          <w:spacing w:val="9"/>
          <w:sz w:val="23"/>
          <w:szCs w:val="23"/>
        </w:rPr>
        <w:t>、废旧电器电子产</w:t>
      </w:r>
      <w:r>
        <w:rPr>
          <w:rFonts w:ascii="宋体" w:hAnsi="宋体" w:eastAsia="宋体" w:cs="宋体"/>
          <w:sz w:val="23"/>
          <w:szCs w:val="23"/>
        </w:rPr>
        <w:t xml:space="preserve"> </w:t>
      </w:r>
      <w:r>
        <w:rPr>
          <w:rFonts w:ascii="宋体" w:hAnsi="宋体" w:eastAsia="宋体" w:cs="宋体"/>
          <w:spacing w:val="10"/>
          <w:sz w:val="23"/>
          <w:szCs w:val="23"/>
        </w:rPr>
        <w:t>品</w:t>
      </w:r>
      <w:r>
        <w:rPr>
          <w:rFonts w:ascii="宋体" w:hAnsi="宋体" w:eastAsia="宋体" w:cs="宋体"/>
          <w:spacing w:val="7"/>
          <w:sz w:val="23"/>
          <w:szCs w:val="23"/>
        </w:rPr>
        <w:t>、废印刷电路板、废旧电池、废旧船舶、废旧农机、废塑料、废橡胶、废弃油</w:t>
      </w:r>
      <w:r>
        <w:rPr>
          <w:rFonts w:ascii="宋体" w:hAnsi="宋体" w:eastAsia="宋体" w:cs="宋体"/>
          <w:sz w:val="23"/>
          <w:szCs w:val="23"/>
        </w:rPr>
        <w:t xml:space="preserve"> </w:t>
      </w:r>
      <w:r>
        <w:rPr>
          <w:rFonts w:ascii="宋体" w:hAnsi="宋体" w:eastAsia="宋体" w:cs="宋体"/>
          <w:spacing w:val="15"/>
          <w:sz w:val="23"/>
          <w:szCs w:val="23"/>
        </w:rPr>
        <w:t>脂</w:t>
      </w:r>
      <w:r>
        <w:rPr>
          <w:rFonts w:ascii="宋体" w:hAnsi="宋体" w:eastAsia="宋体" w:cs="宋体"/>
          <w:spacing w:val="9"/>
          <w:sz w:val="23"/>
          <w:szCs w:val="23"/>
        </w:rPr>
        <w:t>等再生资源循环利用</w:t>
      </w:r>
      <w:r>
        <w:rPr>
          <w:rFonts w:ascii="Times New Roman" w:hAnsi="Times New Roman" w:eastAsia="Times New Roman" w:cs="Times New Roman"/>
          <w:spacing w:val="9"/>
          <w:sz w:val="23"/>
          <w:szCs w:val="23"/>
        </w:rPr>
        <w:t>”</w:t>
      </w:r>
      <w:r>
        <w:rPr>
          <w:rFonts w:ascii="宋体" w:hAnsi="宋体" w:eastAsia="宋体" w:cs="宋体"/>
          <w:spacing w:val="9"/>
          <w:sz w:val="23"/>
          <w:szCs w:val="23"/>
        </w:rPr>
        <w:t>项目，为鼓励类项目，符合国家的相关产业政策。</w:t>
      </w:r>
    </w:p>
    <w:p w14:paraId="4E55A6AC">
      <w:pPr>
        <w:spacing w:before="134" w:line="388" w:lineRule="auto"/>
        <w:ind w:right="4" w:firstLine="532"/>
        <w:rPr>
          <w:rFonts w:ascii="宋体" w:hAnsi="宋体" w:eastAsia="宋体" w:cs="宋体"/>
          <w:sz w:val="23"/>
          <w:szCs w:val="23"/>
        </w:rPr>
      </w:pPr>
      <w:r>
        <w:rPr>
          <w:rFonts w:ascii="宋体" w:hAnsi="宋体" w:eastAsia="宋体" w:cs="宋体"/>
          <w:spacing w:val="8"/>
          <w:sz w:val="23"/>
          <w:szCs w:val="23"/>
        </w:rPr>
        <w:t>根</w:t>
      </w:r>
      <w:r>
        <w:rPr>
          <w:rFonts w:ascii="宋体" w:hAnsi="宋体" w:eastAsia="宋体" w:cs="宋体"/>
          <w:spacing w:val="7"/>
          <w:sz w:val="23"/>
          <w:szCs w:val="23"/>
        </w:rPr>
        <w:t>据</w:t>
      </w:r>
      <w:r>
        <w:rPr>
          <w:rFonts w:ascii="宋体" w:hAnsi="宋体" w:eastAsia="宋体" w:cs="宋体"/>
          <w:spacing w:val="4"/>
          <w:sz w:val="23"/>
          <w:szCs w:val="23"/>
        </w:rPr>
        <w:t>《辽宁省产业发展指导目录 (</w:t>
      </w:r>
      <w:r>
        <w:rPr>
          <w:rFonts w:ascii="Times New Roman" w:hAnsi="Times New Roman" w:eastAsia="Times New Roman" w:cs="Times New Roman"/>
          <w:spacing w:val="4"/>
          <w:sz w:val="23"/>
          <w:szCs w:val="23"/>
        </w:rPr>
        <w:t xml:space="preserve">2008 </w:t>
      </w:r>
      <w:r>
        <w:rPr>
          <w:rFonts w:ascii="宋体" w:hAnsi="宋体" w:eastAsia="宋体" w:cs="宋体"/>
          <w:spacing w:val="4"/>
          <w:sz w:val="23"/>
          <w:szCs w:val="23"/>
        </w:rPr>
        <w:t>年本) 》 (辽宁省经济委员会，</w:t>
      </w:r>
      <w:r>
        <w:rPr>
          <w:rFonts w:ascii="Times New Roman" w:hAnsi="Times New Roman" w:eastAsia="Times New Roman" w:cs="Times New Roman"/>
          <w:spacing w:val="4"/>
          <w:sz w:val="23"/>
          <w:szCs w:val="23"/>
        </w:rPr>
        <w:t>2008</w:t>
      </w:r>
      <w:r>
        <w:rPr>
          <w:rFonts w:ascii="Times New Roman" w:hAnsi="Times New Roman" w:eastAsia="Times New Roman" w:cs="Times New Roman"/>
          <w:sz w:val="23"/>
          <w:szCs w:val="23"/>
        </w:rPr>
        <w:t xml:space="preserve">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18 </w:t>
      </w:r>
      <w:r>
        <w:rPr>
          <w:rFonts w:ascii="宋体" w:hAnsi="宋体" w:eastAsia="宋体" w:cs="宋体"/>
          <w:spacing w:val="4"/>
          <w:sz w:val="23"/>
          <w:szCs w:val="23"/>
        </w:rPr>
        <w:t>日) ，该项目属于</w:t>
      </w:r>
      <w:r>
        <w:rPr>
          <w:rFonts w:ascii="Times New Roman" w:hAnsi="Times New Roman" w:eastAsia="Times New Roman" w:cs="Times New Roman"/>
          <w:spacing w:val="4"/>
          <w:sz w:val="23"/>
          <w:szCs w:val="23"/>
        </w:rPr>
        <w:t>“</w:t>
      </w:r>
      <w:r>
        <w:rPr>
          <w:rFonts w:ascii="宋体" w:hAnsi="宋体" w:eastAsia="宋体" w:cs="宋体"/>
          <w:spacing w:val="4"/>
          <w:sz w:val="23"/>
          <w:szCs w:val="23"/>
        </w:rPr>
        <w:t>第十二类环境保护与资源节约综合利用</w:t>
      </w:r>
      <w:r>
        <w:rPr>
          <w:rFonts w:ascii="Times New Roman" w:hAnsi="Times New Roman" w:eastAsia="Times New Roman" w:cs="Times New Roman"/>
          <w:spacing w:val="4"/>
          <w:sz w:val="23"/>
          <w:szCs w:val="23"/>
        </w:rPr>
        <w:t>”</w:t>
      </w:r>
      <w:r>
        <w:rPr>
          <w:rFonts w:ascii="宋体" w:hAnsi="宋体" w:eastAsia="宋体" w:cs="宋体"/>
          <w:spacing w:val="4"/>
          <w:sz w:val="23"/>
          <w:szCs w:val="23"/>
        </w:rPr>
        <w:t>中的</w:t>
      </w:r>
      <w:r>
        <w:rPr>
          <w:rFonts w:ascii="Times New Roman" w:hAnsi="Times New Roman" w:eastAsia="Times New Roman" w:cs="Times New Roman"/>
          <w:spacing w:val="4"/>
          <w:sz w:val="23"/>
          <w:szCs w:val="23"/>
        </w:rPr>
        <w:t>“32</w:t>
      </w:r>
      <w:r>
        <w:rPr>
          <w:rFonts w:ascii="宋体" w:hAnsi="宋体" w:eastAsia="宋体" w:cs="宋体"/>
          <w:spacing w:val="4"/>
          <w:sz w:val="23"/>
          <w:szCs w:val="23"/>
        </w:rPr>
        <w:t>、</w:t>
      </w:r>
      <w:r>
        <w:rPr>
          <w:rFonts w:ascii="宋体" w:hAnsi="宋体" w:eastAsia="宋体" w:cs="宋体"/>
          <w:sz w:val="23"/>
          <w:szCs w:val="23"/>
        </w:rPr>
        <w:t xml:space="preserve"> </w:t>
      </w:r>
      <w:r>
        <w:rPr>
          <w:rFonts w:ascii="Times New Roman" w:hAnsi="Times New Roman" w:eastAsia="Times New Roman" w:cs="Times New Roman"/>
          <w:spacing w:val="20"/>
          <w:sz w:val="23"/>
          <w:szCs w:val="23"/>
        </w:rPr>
        <w:t>“</w:t>
      </w:r>
      <w:r>
        <w:rPr>
          <w:rFonts w:ascii="宋体" w:hAnsi="宋体" w:eastAsia="宋体" w:cs="宋体"/>
          <w:spacing w:val="16"/>
          <w:sz w:val="23"/>
          <w:szCs w:val="23"/>
        </w:rPr>
        <w:t>三</w:t>
      </w:r>
      <w:r>
        <w:rPr>
          <w:rFonts w:ascii="宋体" w:hAnsi="宋体" w:eastAsia="宋体" w:cs="宋体"/>
          <w:spacing w:val="10"/>
          <w:sz w:val="23"/>
          <w:szCs w:val="23"/>
        </w:rPr>
        <w:t>废</w:t>
      </w:r>
      <w:r>
        <w:rPr>
          <w:rFonts w:ascii="Times New Roman" w:hAnsi="Times New Roman" w:eastAsia="Times New Roman" w:cs="Times New Roman"/>
          <w:spacing w:val="10"/>
          <w:sz w:val="23"/>
          <w:szCs w:val="23"/>
        </w:rPr>
        <w:t>”</w:t>
      </w:r>
      <w:r>
        <w:rPr>
          <w:rFonts w:ascii="宋体" w:hAnsi="宋体" w:eastAsia="宋体" w:cs="宋体"/>
          <w:spacing w:val="10"/>
          <w:sz w:val="23"/>
          <w:szCs w:val="23"/>
        </w:rPr>
        <w:t>综合利用及治理工程</w:t>
      </w:r>
      <w:r>
        <w:rPr>
          <w:rFonts w:ascii="Times New Roman" w:hAnsi="Times New Roman" w:eastAsia="Times New Roman" w:cs="Times New Roman"/>
          <w:spacing w:val="10"/>
          <w:sz w:val="23"/>
          <w:szCs w:val="23"/>
        </w:rPr>
        <w:t>”</w:t>
      </w:r>
      <w:r>
        <w:rPr>
          <w:rFonts w:ascii="宋体" w:hAnsi="宋体" w:eastAsia="宋体" w:cs="宋体"/>
          <w:spacing w:val="10"/>
          <w:sz w:val="23"/>
          <w:szCs w:val="23"/>
        </w:rPr>
        <w:t>项目，为鼓励类项目，符合辽宁省产业政策。</w:t>
      </w:r>
    </w:p>
    <w:p w14:paraId="0EE1C230">
      <w:pPr>
        <w:spacing w:before="138" w:line="393" w:lineRule="auto"/>
        <w:ind w:left="50" w:right="85" w:firstLine="482"/>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11"/>
          <w:sz w:val="23"/>
          <w:szCs w:val="23"/>
        </w:rPr>
        <w:t>溪市溪湖区发展和改革局以溪发改备【</w:t>
      </w:r>
      <w:r>
        <w:rPr>
          <w:rFonts w:ascii="Times New Roman" w:hAnsi="Times New Roman" w:eastAsia="Times New Roman" w:cs="Times New Roman"/>
          <w:spacing w:val="11"/>
          <w:sz w:val="23"/>
          <w:szCs w:val="23"/>
        </w:rPr>
        <w:t>2019</w:t>
      </w:r>
      <w:r>
        <w:rPr>
          <w:rFonts w:ascii="宋体" w:hAnsi="宋体" w:eastAsia="宋体" w:cs="宋体"/>
          <w:spacing w:val="11"/>
          <w:sz w:val="23"/>
          <w:szCs w:val="23"/>
        </w:rPr>
        <w:t>】</w:t>
      </w:r>
      <w:r>
        <w:rPr>
          <w:rFonts w:ascii="Times New Roman" w:hAnsi="Times New Roman" w:eastAsia="Times New Roman" w:cs="Times New Roman"/>
          <w:spacing w:val="11"/>
          <w:sz w:val="23"/>
          <w:szCs w:val="23"/>
        </w:rPr>
        <w:t xml:space="preserve">42 </w:t>
      </w:r>
      <w:r>
        <w:rPr>
          <w:rFonts w:ascii="宋体" w:hAnsi="宋体" w:eastAsia="宋体" w:cs="宋体"/>
          <w:spacing w:val="11"/>
          <w:sz w:val="23"/>
          <w:szCs w:val="23"/>
        </w:rPr>
        <w:t>号文件对该项目的建设</w:t>
      </w:r>
      <w:r>
        <w:rPr>
          <w:rFonts w:ascii="宋体" w:hAnsi="宋体" w:eastAsia="宋体" w:cs="宋体"/>
          <w:sz w:val="23"/>
          <w:szCs w:val="23"/>
        </w:rPr>
        <w:t xml:space="preserve"> </w:t>
      </w:r>
      <w:r>
        <w:rPr>
          <w:rFonts w:ascii="宋体" w:hAnsi="宋体" w:eastAsia="宋体" w:cs="宋体"/>
          <w:spacing w:val="8"/>
          <w:sz w:val="23"/>
          <w:szCs w:val="23"/>
        </w:rPr>
        <w:t>进</w:t>
      </w:r>
      <w:r>
        <w:rPr>
          <w:rFonts w:ascii="宋体" w:hAnsi="宋体" w:eastAsia="宋体" w:cs="宋体"/>
          <w:spacing w:val="7"/>
          <w:sz w:val="23"/>
          <w:szCs w:val="23"/>
        </w:rPr>
        <w:t>行</w:t>
      </w:r>
      <w:r>
        <w:rPr>
          <w:rFonts w:ascii="宋体" w:hAnsi="宋体" w:eastAsia="宋体" w:cs="宋体"/>
          <w:spacing w:val="4"/>
          <w:sz w:val="23"/>
          <w:szCs w:val="23"/>
        </w:rPr>
        <w:t xml:space="preserve">了备案确认 (文件见附件 </w:t>
      </w:r>
      <w:r>
        <w:rPr>
          <w:rFonts w:ascii="Times New Roman" w:hAnsi="Times New Roman" w:eastAsia="Times New Roman" w:cs="Times New Roman"/>
          <w:spacing w:val="4"/>
          <w:sz w:val="23"/>
          <w:szCs w:val="23"/>
        </w:rPr>
        <w:t>4</w:t>
      </w:r>
      <w:r>
        <w:rPr>
          <w:rFonts w:ascii="宋体" w:hAnsi="宋体" w:eastAsia="宋体" w:cs="宋体"/>
          <w:spacing w:val="4"/>
          <w:sz w:val="23"/>
          <w:szCs w:val="23"/>
        </w:rPr>
        <w:t>) 。</w:t>
      </w:r>
    </w:p>
    <w:p w14:paraId="3AFE6D6D">
      <w:pPr>
        <w:sectPr>
          <w:headerReference r:id="rId333" w:type="default"/>
          <w:footerReference r:id="rId334" w:type="default"/>
          <w:pgSz w:w="11906" w:h="16839"/>
          <w:pgMar w:top="1132" w:right="1714" w:bottom="1182" w:left="1756" w:header="878" w:footer="1022" w:gutter="0"/>
          <w:cols w:space="720" w:num="1"/>
        </w:sectPr>
      </w:pPr>
    </w:p>
    <w:p w14:paraId="7B302F1B">
      <w:pPr>
        <w:spacing w:line="338" w:lineRule="auto"/>
        <w:rPr>
          <w:rFonts w:ascii="Arial"/>
          <w:sz w:val="21"/>
        </w:rPr>
      </w:pPr>
      <w:r>
        <w:pict>
          <v:shape id="_x0000_s1387" o:spid="_x0000_s1387" style="position:absolute;left:0pt;margin-left:90pt;margin-top:57.35pt;height:0.75pt;width:415.3pt;mso-position-horizontal-relative:page;mso-position-vertical-relative:page;z-index:252083200;mso-width-relative:page;mso-height-relative:page;" fillcolor="#000000" filled="t" stroked="f" coordsize="8305,15" o:allowincell="f" path="m0,0l8305,0,8305,14,0,14,0,0xe">
            <v:path/>
            <v:fill on="t" focussize="0,0"/>
            <v:stroke on="f"/>
            <v:imagedata o:title=""/>
            <o:lock v:ext="edit"/>
          </v:shape>
        </w:pict>
      </w:r>
    </w:p>
    <w:p w14:paraId="42B6CD63">
      <w:pPr>
        <w:spacing w:before="94" w:line="225" w:lineRule="auto"/>
        <w:ind w:left="33"/>
        <w:outlineLvl w:val="2"/>
        <w:rPr>
          <w:rFonts w:ascii="宋体" w:hAnsi="宋体" w:eastAsia="宋体" w:cs="宋体"/>
          <w:sz w:val="29"/>
          <w:szCs w:val="29"/>
        </w:rPr>
      </w:pPr>
      <w:r>
        <w:rPr>
          <w:rFonts w:ascii="Times New Roman" w:hAnsi="Times New Roman" w:eastAsia="Times New Roman" w:cs="Times New Roman"/>
          <w:b/>
          <w:bCs/>
          <w:spacing w:val="7"/>
          <w:sz w:val="29"/>
          <w:szCs w:val="29"/>
        </w:rPr>
        <w:t>1</w:t>
      </w:r>
      <w:r>
        <w:rPr>
          <w:rFonts w:ascii="Times New Roman" w:hAnsi="Times New Roman" w:eastAsia="Times New Roman" w:cs="Times New Roman"/>
          <w:b/>
          <w:bCs/>
          <w:spacing w:val="6"/>
          <w:sz w:val="29"/>
          <w:szCs w:val="29"/>
        </w:rPr>
        <w:t>0.1.3</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公众参与采纳情况</w:t>
      </w:r>
    </w:p>
    <w:p w14:paraId="4361C0ED">
      <w:pPr>
        <w:spacing w:line="258" w:lineRule="auto"/>
        <w:rPr>
          <w:rFonts w:ascii="Arial"/>
          <w:sz w:val="21"/>
        </w:rPr>
      </w:pPr>
    </w:p>
    <w:p w14:paraId="7C4FD628">
      <w:pPr>
        <w:spacing w:before="75" w:line="391" w:lineRule="auto"/>
        <w:ind w:left="25" w:right="105" w:firstLine="478"/>
        <w:rPr>
          <w:rFonts w:ascii="宋体" w:hAnsi="宋体" w:eastAsia="宋体" w:cs="宋体"/>
          <w:sz w:val="23"/>
          <w:szCs w:val="23"/>
        </w:rPr>
      </w:pPr>
      <w:r>
        <w:rPr>
          <w:rFonts w:ascii="宋体" w:hAnsi="宋体" w:eastAsia="宋体" w:cs="宋体"/>
          <w:spacing w:val="7"/>
          <w:sz w:val="23"/>
          <w:szCs w:val="23"/>
        </w:rPr>
        <w:t>通过企业进行的环评公示及公众参与问卷调查整理分析可以看出，项目地</w:t>
      </w:r>
      <w:r>
        <w:rPr>
          <w:rFonts w:ascii="宋体" w:hAnsi="宋体" w:eastAsia="宋体" w:cs="宋体"/>
          <w:spacing w:val="3"/>
          <w:sz w:val="23"/>
          <w:szCs w:val="23"/>
        </w:rPr>
        <w:t>区</w:t>
      </w:r>
      <w:r>
        <w:rPr>
          <w:rFonts w:ascii="宋体" w:hAnsi="宋体" w:eastAsia="宋体" w:cs="宋体"/>
          <w:sz w:val="23"/>
          <w:szCs w:val="23"/>
        </w:rPr>
        <w:t xml:space="preserve"> </w:t>
      </w:r>
      <w:r>
        <w:rPr>
          <w:rFonts w:ascii="宋体" w:hAnsi="宋体" w:eastAsia="宋体" w:cs="宋体"/>
          <w:spacing w:val="7"/>
          <w:sz w:val="23"/>
          <w:szCs w:val="23"/>
        </w:rPr>
        <w:t>公众对项目的总体意见是大力支持的，他们认为该项目建设可以推动当地经济发</w:t>
      </w:r>
      <w:r>
        <w:rPr>
          <w:rFonts w:ascii="宋体" w:hAnsi="宋体" w:eastAsia="宋体" w:cs="宋体"/>
          <w:sz w:val="23"/>
          <w:szCs w:val="23"/>
        </w:rPr>
        <w:t xml:space="preserve"> </w:t>
      </w:r>
      <w:r>
        <w:rPr>
          <w:rFonts w:ascii="宋体" w:hAnsi="宋体" w:eastAsia="宋体" w:cs="宋体"/>
          <w:spacing w:val="12"/>
          <w:sz w:val="23"/>
          <w:szCs w:val="23"/>
        </w:rPr>
        <w:t>展</w:t>
      </w:r>
      <w:r>
        <w:rPr>
          <w:rFonts w:ascii="宋体" w:hAnsi="宋体" w:eastAsia="宋体" w:cs="宋体"/>
          <w:spacing w:val="7"/>
          <w:sz w:val="23"/>
          <w:szCs w:val="23"/>
        </w:rPr>
        <w:t>，提供就业机会。</w:t>
      </w:r>
    </w:p>
    <w:p w14:paraId="5FE736EA">
      <w:pPr>
        <w:spacing w:before="134" w:line="227" w:lineRule="auto"/>
        <w:ind w:left="506"/>
        <w:rPr>
          <w:rFonts w:ascii="宋体" w:hAnsi="宋体" w:eastAsia="宋体" w:cs="宋体"/>
          <w:sz w:val="23"/>
          <w:szCs w:val="23"/>
        </w:rPr>
      </w:pPr>
      <w:r>
        <w:rPr>
          <w:rFonts w:ascii="宋体" w:hAnsi="宋体" w:eastAsia="宋体" w:cs="宋体"/>
          <w:spacing w:val="9"/>
          <w:sz w:val="23"/>
          <w:szCs w:val="23"/>
        </w:rPr>
        <w:t>从总体上看，公众对该项目的建设是持肯定意见的。</w:t>
      </w:r>
    </w:p>
    <w:p w14:paraId="5AE825B2">
      <w:pPr>
        <w:spacing w:before="301" w:line="226" w:lineRule="auto"/>
        <w:ind w:left="33"/>
        <w:outlineLvl w:val="2"/>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7"/>
          <w:sz w:val="29"/>
          <w:szCs w:val="29"/>
        </w:rPr>
        <w:t>0</w:t>
      </w:r>
      <w:r>
        <w:rPr>
          <w:rFonts w:ascii="Times New Roman" w:hAnsi="Times New Roman" w:eastAsia="Times New Roman" w:cs="Times New Roman"/>
          <w:b/>
          <w:bCs/>
          <w:spacing w:val="6"/>
          <w:sz w:val="29"/>
          <w:szCs w:val="29"/>
        </w:rPr>
        <w:t>.1.4</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厂址选择合理性结论</w:t>
      </w:r>
    </w:p>
    <w:p w14:paraId="156F5F81">
      <w:pPr>
        <w:spacing w:line="256" w:lineRule="auto"/>
        <w:rPr>
          <w:rFonts w:ascii="Arial"/>
          <w:sz w:val="21"/>
        </w:rPr>
      </w:pPr>
    </w:p>
    <w:p w14:paraId="10826928">
      <w:pPr>
        <w:spacing w:before="75" w:line="390" w:lineRule="auto"/>
        <w:ind w:left="24" w:right="105" w:firstLine="482"/>
        <w:rPr>
          <w:rFonts w:ascii="宋体" w:hAnsi="宋体" w:eastAsia="宋体" w:cs="宋体"/>
          <w:sz w:val="23"/>
          <w:szCs w:val="23"/>
        </w:rPr>
      </w:pPr>
      <w:r>
        <w:rPr>
          <w:rFonts w:ascii="宋体" w:hAnsi="宋体" w:eastAsia="宋体" w:cs="宋体"/>
          <w:spacing w:val="12"/>
          <w:sz w:val="23"/>
          <w:szCs w:val="23"/>
        </w:rPr>
        <w:t>该项目选</w:t>
      </w:r>
      <w:r>
        <w:rPr>
          <w:rFonts w:ascii="宋体" w:hAnsi="宋体" w:eastAsia="宋体" w:cs="宋体"/>
          <w:spacing w:val="7"/>
          <w:sz w:val="23"/>
          <w:szCs w:val="23"/>
        </w:rPr>
        <w:t>址</w:t>
      </w:r>
      <w:r>
        <w:rPr>
          <w:rFonts w:ascii="宋体" w:hAnsi="宋体" w:eastAsia="宋体" w:cs="宋体"/>
          <w:spacing w:val="6"/>
          <w:sz w:val="23"/>
          <w:szCs w:val="23"/>
        </w:rPr>
        <w:t>用地不涉及自然保护区、风景名胜区、饮用水源保护区和其他需</w:t>
      </w:r>
      <w:r>
        <w:rPr>
          <w:rFonts w:ascii="宋体" w:hAnsi="宋体" w:eastAsia="宋体" w:cs="宋体"/>
          <w:sz w:val="23"/>
          <w:szCs w:val="23"/>
        </w:rPr>
        <w:t xml:space="preserve"> </w:t>
      </w:r>
      <w:r>
        <w:rPr>
          <w:rFonts w:ascii="宋体" w:hAnsi="宋体" w:eastAsia="宋体" w:cs="宋体"/>
          <w:spacing w:val="7"/>
          <w:sz w:val="23"/>
          <w:szCs w:val="23"/>
        </w:rPr>
        <w:t>要特殊保护的区域。根据本溪市溪湖区火连寨镇火连寨村村委会出具的证明 (</w:t>
      </w:r>
      <w:r>
        <w:rPr>
          <w:rFonts w:ascii="宋体" w:hAnsi="宋体" w:eastAsia="宋体" w:cs="宋体"/>
          <w:spacing w:val="1"/>
          <w:sz w:val="23"/>
          <w:szCs w:val="23"/>
        </w:rPr>
        <w:t>见</w:t>
      </w:r>
      <w:r>
        <w:rPr>
          <w:rFonts w:ascii="宋体" w:hAnsi="宋体" w:eastAsia="宋体" w:cs="宋体"/>
          <w:sz w:val="23"/>
          <w:szCs w:val="23"/>
        </w:rPr>
        <w:t xml:space="preserve"> </w:t>
      </w:r>
      <w:r>
        <w:rPr>
          <w:rFonts w:ascii="宋体" w:hAnsi="宋体" w:eastAsia="宋体" w:cs="宋体"/>
          <w:spacing w:val="11"/>
          <w:sz w:val="23"/>
          <w:szCs w:val="23"/>
        </w:rPr>
        <w:t>附件</w:t>
      </w:r>
      <w:r>
        <w:rPr>
          <w:rFonts w:ascii="Times New Roman" w:hAnsi="Times New Roman" w:eastAsia="Times New Roman" w:cs="Times New Roman"/>
          <w:spacing w:val="11"/>
          <w:sz w:val="23"/>
          <w:szCs w:val="23"/>
        </w:rPr>
        <w:t>6</w:t>
      </w:r>
      <w:r>
        <w:rPr>
          <w:rFonts w:ascii="宋体" w:hAnsi="宋体" w:eastAsia="宋体" w:cs="宋体"/>
          <w:spacing w:val="11"/>
          <w:sz w:val="23"/>
          <w:szCs w:val="23"/>
        </w:rPr>
        <w:t>) ，该地块现用地性质属于工业用地，符合当地规划要求</w:t>
      </w:r>
      <w:r>
        <w:rPr>
          <w:rFonts w:ascii="宋体" w:hAnsi="宋体" w:eastAsia="宋体" w:cs="宋体"/>
          <w:spacing w:val="5"/>
          <w:sz w:val="23"/>
          <w:szCs w:val="23"/>
        </w:rPr>
        <w:t>。</w:t>
      </w:r>
    </w:p>
    <w:p w14:paraId="1EE97FBB">
      <w:pPr>
        <w:spacing w:before="136" w:line="391" w:lineRule="auto"/>
        <w:ind w:left="27" w:right="51" w:firstLine="480"/>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13"/>
          <w:sz w:val="23"/>
          <w:szCs w:val="23"/>
        </w:rPr>
        <w:t>目</w:t>
      </w:r>
      <w:r>
        <w:rPr>
          <w:rFonts w:ascii="宋体" w:hAnsi="宋体" w:eastAsia="宋体" w:cs="宋体"/>
          <w:spacing w:val="8"/>
          <w:sz w:val="23"/>
          <w:szCs w:val="23"/>
        </w:rPr>
        <w:t>选址综合考虑了场地地形、地势、水源、当地气候条件、原材料供应、</w:t>
      </w:r>
      <w:r>
        <w:rPr>
          <w:rFonts w:ascii="宋体" w:hAnsi="宋体" w:eastAsia="宋体" w:cs="宋体"/>
          <w:sz w:val="23"/>
          <w:szCs w:val="23"/>
        </w:rPr>
        <w:t xml:space="preserve"> </w:t>
      </w:r>
      <w:r>
        <w:rPr>
          <w:rFonts w:ascii="宋体" w:hAnsi="宋体" w:eastAsia="宋体" w:cs="宋体"/>
          <w:spacing w:val="7"/>
          <w:sz w:val="23"/>
          <w:szCs w:val="23"/>
        </w:rPr>
        <w:t>交通运输及与周围居民点的距离，满足卫生防护距离要求，通过以上分析，拟</w:t>
      </w:r>
      <w:r>
        <w:rPr>
          <w:rFonts w:ascii="宋体" w:hAnsi="宋体" w:eastAsia="宋体" w:cs="宋体"/>
          <w:spacing w:val="5"/>
          <w:sz w:val="23"/>
          <w:szCs w:val="23"/>
        </w:rPr>
        <w:t>建</w:t>
      </w:r>
      <w:r>
        <w:rPr>
          <w:rFonts w:ascii="宋体" w:hAnsi="宋体" w:eastAsia="宋体" w:cs="宋体"/>
          <w:sz w:val="23"/>
          <w:szCs w:val="23"/>
        </w:rPr>
        <w:t xml:space="preserve"> </w:t>
      </w:r>
      <w:r>
        <w:rPr>
          <w:rFonts w:ascii="宋体" w:hAnsi="宋体" w:eastAsia="宋体" w:cs="宋体"/>
          <w:spacing w:val="10"/>
          <w:sz w:val="23"/>
          <w:szCs w:val="23"/>
        </w:rPr>
        <w:t>项</w:t>
      </w:r>
      <w:r>
        <w:rPr>
          <w:rFonts w:ascii="宋体" w:hAnsi="宋体" w:eastAsia="宋体" w:cs="宋体"/>
          <w:spacing w:val="7"/>
          <w:sz w:val="23"/>
          <w:szCs w:val="23"/>
        </w:rPr>
        <w:t>目选址是合理的。</w:t>
      </w:r>
    </w:p>
    <w:p w14:paraId="65AACC8B">
      <w:pPr>
        <w:spacing w:before="85" w:line="224" w:lineRule="auto"/>
        <w:ind w:left="33"/>
        <w:outlineLvl w:val="2"/>
        <w:rPr>
          <w:rFonts w:ascii="宋体" w:hAnsi="宋体" w:eastAsia="宋体" w:cs="宋体"/>
          <w:sz w:val="29"/>
          <w:szCs w:val="29"/>
        </w:rPr>
      </w:pPr>
      <w:r>
        <w:rPr>
          <w:rFonts w:ascii="Times New Roman" w:hAnsi="Times New Roman" w:eastAsia="Times New Roman" w:cs="Times New Roman"/>
          <w:b/>
          <w:bCs/>
          <w:spacing w:val="12"/>
          <w:sz w:val="29"/>
          <w:szCs w:val="29"/>
        </w:rPr>
        <w:t>1</w:t>
      </w:r>
      <w:r>
        <w:rPr>
          <w:rFonts w:ascii="Times New Roman" w:hAnsi="Times New Roman" w:eastAsia="Times New Roman" w:cs="Times New Roman"/>
          <w:b/>
          <w:bCs/>
          <w:spacing w:val="11"/>
          <w:sz w:val="29"/>
          <w:szCs w:val="29"/>
        </w:rPr>
        <w:t>0</w:t>
      </w:r>
      <w:r>
        <w:rPr>
          <w:rFonts w:ascii="Times New Roman" w:hAnsi="Times New Roman" w:eastAsia="Times New Roman" w:cs="Times New Roman"/>
          <w:b/>
          <w:bCs/>
          <w:spacing w:val="6"/>
          <w:sz w:val="29"/>
          <w:szCs w:val="29"/>
        </w:rPr>
        <w:t>.1.5</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环境质量现状评价结论</w:t>
      </w:r>
    </w:p>
    <w:p w14:paraId="559C26FC">
      <w:pPr>
        <w:spacing w:before="299" w:line="219" w:lineRule="auto"/>
        <w:ind w:left="32"/>
        <w:rPr>
          <w:rFonts w:ascii="宋体" w:hAnsi="宋体" w:eastAsia="宋体" w:cs="宋体"/>
          <w:sz w:val="28"/>
          <w:szCs w:val="28"/>
        </w:rPr>
      </w:pPr>
      <w:r>
        <w:rPr>
          <w:rFonts w:ascii="Times New Roman" w:hAnsi="Times New Roman" w:eastAsia="Times New Roman" w:cs="Times New Roman"/>
          <w:b/>
          <w:bCs/>
          <w:spacing w:val="-1"/>
          <w:sz w:val="28"/>
          <w:szCs w:val="28"/>
        </w:rPr>
        <w:t>10.1.5.1</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环境空气现状评价结论</w:t>
      </w:r>
    </w:p>
    <w:p w14:paraId="661BB418">
      <w:pPr>
        <w:spacing w:line="264" w:lineRule="auto"/>
        <w:rPr>
          <w:rFonts w:ascii="Arial"/>
          <w:sz w:val="21"/>
        </w:rPr>
      </w:pPr>
    </w:p>
    <w:p w14:paraId="3742A4D9">
      <w:pPr>
        <w:spacing w:before="75" w:line="388" w:lineRule="auto"/>
        <w:ind w:left="18" w:right="23" w:firstLine="486"/>
        <w:rPr>
          <w:rFonts w:ascii="宋体" w:hAnsi="宋体" w:eastAsia="宋体" w:cs="宋体"/>
          <w:sz w:val="23"/>
          <w:szCs w:val="23"/>
        </w:rPr>
      </w:pPr>
      <w:r>
        <w:rPr>
          <w:rFonts w:ascii="宋体" w:hAnsi="宋体" w:eastAsia="宋体" w:cs="宋体"/>
          <w:spacing w:val="10"/>
          <w:sz w:val="23"/>
          <w:szCs w:val="23"/>
        </w:rPr>
        <w:t>本次评价</w:t>
      </w:r>
      <w:r>
        <w:rPr>
          <w:rFonts w:ascii="宋体" w:hAnsi="宋体" w:eastAsia="宋体" w:cs="宋体"/>
          <w:spacing w:val="6"/>
          <w:sz w:val="23"/>
          <w:szCs w:val="23"/>
        </w:rPr>
        <w:t>优</w:t>
      </w:r>
      <w:r>
        <w:rPr>
          <w:rFonts w:ascii="宋体" w:hAnsi="宋体" w:eastAsia="宋体" w:cs="宋体"/>
          <w:spacing w:val="5"/>
          <w:sz w:val="23"/>
          <w:szCs w:val="23"/>
        </w:rPr>
        <w:t>先采用《本溪市环境质量简报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 xml:space="preserve">年) 》中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年本溪市环</w:t>
      </w:r>
      <w:r>
        <w:rPr>
          <w:rFonts w:ascii="宋体" w:hAnsi="宋体" w:eastAsia="宋体" w:cs="宋体"/>
          <w:sz w:val="23"/>
          <w:szCs w:val="23"/>
        </w:rPr>
        <w:t xml:space="preserve"> </w:t>
      </w:r>
      <w:r>
        <w:rPr>
          <w:rFonts w:ascii="宋体" w:hAnsi="宋体" w:eastAsia="宋体" w:cs="宋体"/>
          <w:spacing w:val="3"/>
          <w:sz w:val="23"/>
          <w:szCs w:val="23"/>
        </w:rPr>
        <w:t xml:space="preserve">境质量的相关数据进行评价，监测项目为 </w:t>
      </w:r>
      <w:r>
        <w:rPr>
          <w:rFonts w:ascii="Times New Roman" w:hAnsi="Times New Roman" w:eastAsia="Times New Roman" w:cs="Times New Roman"/>
          <w:sz w:val="23"/>
          <w:szCs w:val="23"/>
        </w:rPr>
        <w:t>SO</w:t>
      </w:r>
      <w:r>
        <w:rPr>
          <w:rFonts w:ascii="Times New Roman" w:hAnsi="Times New Roman" w:eastAsia="Times New Roman" w:cs="Times New Roman"/>
          <w:spacing w:val="3"/>
          <w:position w:val="-1"/>
          <w:sz w:val="15"/>
          <w:szCs w:val="15"/>
        </w:rPr>
        <w:t xml:space="preserve">2 </w:t>
      </w:r>
      <w:r>
        <w:rPr>
          <w:rFonts w:ascii="宋体" w:hAnsi="宋体" w:eastAsia="宋体" w:cs="宋体"/>
          <w:spacing w:val="3"/>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3"/>
          <w:position w:val="-1"/>
          <w:sz w:val="15"/>
          <w:szCs w:val="15"/>
        </w:rPr>
        <w:t xml:space="preserve">2 </w:t>
      </w:r>
      <w:r>
        <w:rPr>
          <w:rFonts w:ascii="宋体" w:hAnsi="宋体" w:eastAsia="宋体" w:cs="宋体"/>
          <w:spacing w:val="3"/>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3"/>
          <w:position w:val="-1"/>
          <w:sz w:val="15"/>
          <w:szCs w:val="15"/>
        </w:rPr>
        <w:t xml:space="preserve">10 </w:t>
      </w:r>
      <w:r>
        <w:rPr>
          <w:rFonts w:ascii="宋体" w:hAnsi="宋体" w:eastAsia="宋体" w:cs="宋体"/>
          <w:spacing w:val="3"/>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3"/>
          <w:position w:val="-1"/>
          <w:sz w:val="15"/>
          <w:szCs w:val="15"/>
        </w:rPr>
        <w:t xml:space="preserve">2.5 </w:t>
      </w:r>
      <w:r>
        <w:rPr>
          <w:rFonts w:ascii="宋体" w:hAnsi="宋体" w:eastAsia="宋体" w:cs="宋体"/>
          <w:spacing w:val="3"/>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position w:val="-1"/>
          <w:sz w:val="15"/>
          <w:szCs w:val="15"/>
        </w:rPr>
        <w:t xml:space="preserve"> </w:t>
      </w:r>
      <w:r>
        <w:rPr>
          <w:rFonts w:ascii="宋体" w:hAnsi="宋体" w:eastAsia="宋体" w:cs="宋体"/>
          <w:sz w:val="23"/>
          <w:szCs w:val="23"/>
        </w:rPr>
        <w:t xml:space="preserve">， </w:t>
      </w:r>
      <w:r>
        <w:rPr>
          <w:rFonts w:ascii="宋体" w:hAnsi="宋体" w:eastAsia="宋体" w:cs="宋体"/>
          <w:spacing w:val="4"/>
          <w:sz w:val="23"/>
          <w:szCs w:val="23"/>
        </w:rPr>
        <w:t>采</w:t>
      </w:r>
      <w:r>
        <w:rPr>
          <w:rFonts w:ascii="宋体" w:hAnsi="宋体" w:eastAsia="宋体" w:cs="宋体"/>
          <w:spacing w:val="2"/>
          <w:sz w:val="23"/>
          <w:szCs w:val="23"/>
        </w:rPr>
        <w:t>用《环境空气质量标准》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3095-2012</w:t>
      </w:r>
      <w:r>
        <w:rPr>
          <w:rFonts w:ascii="宋体" w:hAnsi="宋体" w:eastAsia="宋体" w:cs="宋体"/>
          <w:spacing w:val="2"/>
          <w:sz w:val="23"/>
          <w:szCs w:val="23"/>
        </w:rPr>
        <w:t>) 二级标准评价。统计结果可知，</w:t>
      </w:r>
      <w:r>
        <w:rPr>
          <w:rFonts w:ascii="Times New Roman" w:hAnsi="Times New Roman" w:eastAsia="Times New Roman" w:cs="Times New Roman"/>
          <w:spacing w:val="2"/>
          <w:sz w:val="23"/>
          <w:szCs w:val="23"/>
        </w:rPr>
        <w:t>2018</w:t>
      </w:r>
      <w:r>
        <w:rPr>
          <w:rFonts w:ascii="Times New Roman" w:hAnsi="Times New Roman" w:eastAsia="Times New Roman" w:cs="Times New Roman"/>
          <w:sz w:val="23"/>
          <w:szCs w:val="23"/>
        </w:rPr>
        <w:t xml:space="preserve"> </w:t>
      </w:r>
      <w:r>
        <w:rPr>
          <w:rFonts w:ascii="宋体" w:hAnsi="宋体" w:eastAsia="宋体" w:cs="宋体"/>
          <w:spacing w:val="7"/>
          <w:sz w:val="23"/>
          <w:szCs w:val="23"/>
        </w:rPr>
        <w:t>年</w:t>
      </w:r>
      <w:r>
        <w:rPr>
          <w:rFonts w:ascii="宋体" w:hAnsi="宋体" w:eastAsia="宋体" w:cs="宋体"/>
          <w:spacing w:val="5"/>
          <w:sz w:val="23"/>
          <w:szCs w:val="23"/>
        </w:rPr>
        <w:t>本溪市城区环境空气质量达</w:t>
      </w:r>
      <w:r>
        <w:rPr>
          <w:rFonts w:ascii="Times New Roman" w:hAnsi="Times New Roman" w:eastAsia="Times New Roman" w:cs="Times New Roman"/>
          <w:spacing w:val="5"/>
          <w:sz w:val="23"/>
          <w:szCs w:val="23"/>
        </w:rPr>
        <w:t>Ⅱ</w:t>
      </w:r>
      <w:r>
        <w:rPr>
          <w:rFonts w:ascii="宋体" w:hAnsi="宋体" w:eastAsia="宋体" w:cs="宋体"/>
          <w:spacing w:val="5"/>
          <w:sz w:val="23"/>
          <w:szCs w:val="23"/>
        </w:rPr>
        <w:t xml:space="preserve">级 (良) 以上天数为 </w:t>
      </w:r>
      <w:r>
        <w:rPr>
          <w:rFonts w:ascii="Times New Roman" w:hAnsi="Times New Roman" w:eastAsia="Times New Roman" w:cs="Times New Roman"/>
          <w:spacing w:val="5"/>
          <w:sz w:val="23"/>
          <w:szCs w:val="23"/>
        </w:rPr>
        <w:t xml:space="preserve">331 </w:t>
      </w:r>
      <w:r>
        <w:rPr>
          <w:rFonts w:ascii="宋体" w:hAnsi="宋体" w:eastAsia="宋体" w:cs="宋体"/>
          <w:spacing w:val="5"/>
          <w:sz w:val="23"/>
          <w:szCs w:val="23"/>
        </w:rPr>
        <w:t xml:space="preserve">天，达标率为 </w:t>
      </w:r>
      <w:r>
        <w:rPr>
          <w:rFonts w:ascii="Times New Roman" w:hAnsi="Times New Roman" w:eastAsia="Times New Roman" w:cs="Times New Roman"/>
          <w:spacing w:val="5"/>
          <w:sz w:val="23"/>
          <w:szCs w:val="23"/>
        </w:rPr>
        <w:t xml:space="preserve">90.7% </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
          <w:sz w:val="23"/>
          <w:szCs w:val="23"/>
        </w:rPr>
        <w:t xml:space="preserve">自然降尘平均浓度为 </w:t>
      </w:r>
      <w:r>
        <w:rPr>
          <w:rFonts w:ascii="Times New Roman" w:hAnsi="Times New Roman" w:eastAsia="Times New Roman" w:cs="Times New Roman"/>
          <w:spacing w:val="-1"/>
          <w:sz w:val="23"/>
          <w:szCs w:val="23"/>
        </w:rPr>
        <w:t xml:space="preserve">10.3 </w:t>
      </w:r>
      <w:r>
        <w:rPr>
          <w:rFonts w:ascii="宋体" w:hAnsi="宋体" w:eastAsia="宋体" w:cs="宋体"/>
          <w:spacing w:val="-1"/>
          <w:sz w:val="23"/>
          <w:szCs w:val="23"/>
        </w:rPr>
        <w:t>吨</w:t>
      </w:r>
      <w:r>
        <w:rPr>
          <w:rFonts w:ascii="Times New Roman" w:hAnsi="Times New Roman" w:eastAsia="Times New Roman" w:cs="Times New Roman"/>
          <w:spacing w:val="-1"/>
          <w:sz w:val="23"/>
          <w:szCs w:val="23"/>
        </w:rPr>
        <w:t>/</w:t>
      </w:r>
      <w:r>
        <w:rPr>
          <w:rFonts w:ascii="宋体" w:hAnsi="宋体" w:eastAsia="宋体" w:cs="宋体"/>
          <w:spacing w:val="-1"/>
          <w:sz w:val="23"/>
          <w:szCs w:val="23"/>
        </w:rPr>
        <w:t>平方公里</w:t>
      </w:r>
      <w:r>
        <w:rPr>
          <w:rFonts w:ascii="Times New Roman" w:hAnsi="Times New Roman" w:eastAsia="Times New Roman" w:cs="Times New Roman"/>
          <w:spacing w:val="-1"/>
          <w:sz w:val="23"/>
          <w:szCs w:val="23"/>
        </w:rPr>
        <w:t xml:space="preserve">· </w:t>
      </w:r>
      <w:r>
        <w:rPr>
          <w:rFonts w:ascii="宋体" w:hAnsi="宋体" w:eastAsia="宋体" w:cs="宋体"/>
          <w:sz w:val="23"/>
          <w:szCs w:val="23"/>
        </w:rPr>
        <w:t>月，</w:t>
      </w:r>
      <w:r>
        <w:rPr>
          <w:rFonts w:ascii="Times New Roman" w:hAnsi="Times New Roman" w:eastAsia="Times New Roman" w:cs="Times New Roman"/>
          <w:sz w:val="23"/>
          <w:szCs w:val="23"/>
        </w:rPr>
        <w:t xml:space="preserve">6 </w:t>
      </w:r>
      <w:r>
        <w:rPr>
          <w:rFonts w:ascii="宋体" w:hAnsi="宋体" w:eastAsia="宋体" w:cs="宋体"/>
          <w:sz w:val="23"/>
          <w:szCs w:val="23"/>
        </w:rPr>
        <w:t>项污染物年均浓度全部达标，</w:t>
      </w:r>
      <w:r>
        <w:rPr>
          <w:rFonts w:ascii="Times New Roman" w:hAnsi="Times New Roman" w:eastAsia="Times New Roman" w:cs="Times New Roman"/>
          <w:sz w:val="23"/>
          <w:szCs w:val="23"/>
        </w:rPr>
        <w:t>PM10</w:t>
      </w:r>
      <w:r>
        <w:rPr>
          <w:rFonts w:ascii="宋体" w:hAnsi="宋体" w:eastAsia="宋体" w:cs="宋体"/>
          <w:sz w:val="23"/>
          <w:szCs w:val="23"/>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pacing w:val="14"/>
          <w:sz w:val="23"/>
          <w:szCs w:val="23"/>
        </w:rPr>
        <w:t>2.</w:t>
      </w:r>
      <w:r>
        <w:rPr>
          <w:rFonts w:ascii="Times New Roman" w:hAnsi="Times New Roman" w:eastAsia="Times New Roman" w:cs="Times New Roman"/>
          <w:spacing w:val="9"/>
          <w:sz w:val="23"/>
          <w:szCs w:val="23"/>
        </w:rPr>
        <w:t>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年均浓度分别为 </w:t>
      </w:r>
      <w:r>
        <w:rPr>
          <w:rFonts w:ascii="Times New Roman" w:hAnsi="Times New Roman" w:eastAsia="Times New Roman" w:cs="Times New Roman"/>
          <w:spacing w:val="7"/>
          <w:sz w:val="23"/>
          <w:szCs w:val="23"/>
        </w:rPr>
        <w:t xml:space="preserve">65 </w:t>
      </w:r>
      <w:r>
        <w:rPr>
          <w:rFonts w:ascii="宋体" w:hAnsi="宋体" w:eastAsia="宋体" w:cs="宋体"/>
          <w:spacing w:val="7"/>
          <w:sz w:val="23"/>
          <w:szCs w:val="23"/>
        </w:rPr>
        <w:t>微克</w:t>
      </w:r>
      <w:r>
        <w:rPr>
          <w:rFonts w:ascii="Times New Roman" w:hAnsi="Times New Roman" w:eastAsia="Times New Roman" w:cs="Times New Roman"/>
          <w:spacing w:val="7"/>
          <w:sz w:val="23"/>
          <w:szCs w:val="23"/>
        </w:rPr>
        <w:t>/</w:t>
      </w:r>
      <w:r>
        <w:rPr>
          <w:rFonts w:ascii="宋体" w:hAnsi="宋体" w:eastAsia="宋体" w:cs="宋体"/>
          <w:spacing w:val="7"/>
          <w:sz w:val="23"/>
          <w:szCs w:val="23"/>
        </w:rPr>
        <w:t>立方米和</w:t>
      </w:r>
      <w:r>
        <w:rPr>
          <w:rFonts w:ascii="Times New Roman" w:hAnsi="Times New Roman" w:eastAsia="Times New Roman" w:cs="Times New Roman"/>
          <w:spacing w:val="7"/>
          <w:sz w:val="23"/>
          <w:szCs w:val="23"/>
        </w:rPr>
        <w:t xml:space="preserve">34 </w:t>
      </w:r>
      <w:r>
        <w:rPr>
          <w:rFonts w:ascii="宋体" w:hAnsi="宋体" w:eastAsia="宋体" w:cs="宋体"/>
          <w:spacing w:val="7"/>
          <w:sz w:val="23"/>
          <w:szCs w:val="23"/>
        </w:rPr>
        <w:t>微克</w:t>
      </w:r>
      <w:r>
        <w:rPr>
          <w:rFonts w:ascii="Times New Roman" w:hAnsi="Times New Roman" w:eastAsia="Times New Roman" w:cs="Times New Roman"/>
          <w:spacing w:val="7"/>
          <w:sz w:val="23"/>
          <w:szCs w:val="23"/>
        </w:rPr>
        <w:t>/</w:t>
      </w:r>
      <w:r>
        <w:rPr>
          <w:rFonts w:ascii="宋体" w:hAnsi="宋体" w:eastAsia="宋体" w:cs="宋体"/>
          <w:spacing w:val="7"/>
          <w:sz w:val="23"/>
          <w:szCs w:val="23"/>
        </w:rPr>
        <w:t>立方米。</w:t>
      </w:r>
    </w:p>
    <w:p w14:paraId="260C4ABB">
      <w:pPr>
        <w:spacing w:before="116" w:line="376" w:lineRule="auto"/>
        <w:ind w:left="24" w:firstLine="582"/>
        <w:rPr>
          <w:rFonts w:ascii="宋体" w:hAnsi="宋体" w:eastAsia="宋体" w:cs="宋体"/>
          <w:sz w:val="23"/>
          <w:szCs w:val="23"/>
        </w:rPr>
      </w:pPr>
      <w:r>
        <w:rPr>
          <w:rFonts w:ascii="宋体" w:hAnsi="宋体" w:eastAsia="宋体" w:cs="宋体"/>
          <w:spacing w:val="13"/>
          <w:sz w:val="23"/>
          <w:szCs w:val="23"/>
        </w:rPr>
        <w:t>根</w:t>
      </w:r>
      <w:r>
        <w:rPr>
          <w:rFonts w:ascii="宋体" w:hAnsi="宋体" w:eastAsia="宋体" w:cs="宋体"/>
          <w:spacing w:val="8"/>
          <w:sz w:val="23"/>
          <w:szCs w:val="23"/>
        </w:rPr>
        <w:t>据《环境影响评价技术导则</w:t>
      </w:r>
      <w:r>
        <w:rPr>
          <w:rFonts w:ascii="Times New Roman" w:hAnsi="Times New Roman" w:eastAsia="Times New Roman" w:cs="Times New Roman"/>
          <w:spacing w:val="8"/>
          <w:sz w:val="23"/>
          <w:szCs w:val="23"/>
        </w:rPr>
        <w:t>—</w:t>
      </w:r>
      <w:r>
        <w:rPr>
          <w:rFonts w:ascii="宋体" w:hAnsi="宋体" w:eastAsia="宋体" w:cs="宋体"/>
          <w:spacing w:val="8"/>
          <w:sz w:val="23"/>
          <w:szCs w:val="23"/>
        </w:rPr>
        <w:t>大气环境》  (</w:t>
      </w:r>
      <w:r>
        <w:rPr>
          <w:rFonts w:ascii="Times New Roman" w:hAnsi="Times New Roman" w:eastAsia="Times New Roman" w:cs="Times New Roman"/>
          <w:sz w:val="23"/>
          <w:szCs w:val="23"/>
        </w:rPr>
        <w:t>HJ</w:t>
      </w:r>
      <w:r>
        <w:rPr>
          <w:rFonts w:ascii="Times New Roman" w:hAnsi="Times New Roman" w:eastAsia="Times New Roman" w:cs="Times New Roman"/>
          <w:spacing w:val="8"/>
          <w:sz w:val="23"/>
          <w:szCs w:val="23"/>
        </w:rPr>
        <w:t>2.2-2018</w:t>
      </w:r>
      <w:r>
        <w:rPr>
          <w:rFonts w:ascii="宋体" w:hAnsi="宋体" w:eastAsia="宋体" w:cs="宋体"/>
          <w:spacing w:val="8"/>
          <w:sz w:val="23"/>
          <w:szCs w:val="23"/>
        </w:rPr>
        <w:t>) 要求，六项基</w:t>
      </w:r>
      <w:r>
        <w:rPr>
          <w:rFonts w:ascii="宋体" w:hAnsi="宋体" w:eastAsia="宋体" w:cs="宋体"/>
          <w:sz w:val="23"/>
          <w:szCs w:val="23"/>
        </w:rPr>
        <w:t xml:space="preserve"> </w:t>
      </w:r>
      <w:r>
        <w:rPr>
          <w:rFonts w:ascii="宋体" w:hAnsi="宋体" w:eastAsia="宋体" w:cs="宋体"/>
          <w:spacing w:val="14"/>
          <w:sz w:val="23"/>
          <w:szCs w:val="23"/>
        </w:rPr>
        <w:t>本污</w:t>
      </w:r>
      <w:r>
        <w:rPr>
          <w:rFonts w:ascii="宋体" w:hAnsi="宋体" w:eastAsia="宋体" w:cs="宋体"/>
          <w:spacing w:val="7"/>
          <w:sz w:val="23"/>
          <w:szCs w:val="23"/>
        </w:rPr>
        <w:t>染物全部达标为区域环境质量达标，从《本溪市环境质量简报 (</w:t>
      </w:r>
      <w:r>
        <w:rPr>
          <w:rFonts w:ascii="Times New Roman" w:hAnsi="Times New Roman" w:eastAsia="Times New Roman" w:cs="Times New Roman"/>
          <w:spacing w:val="7"/>
          <w:sz w:val="23"/>
          <w:szCs w:val="23"/>
        </w:rPr>
        <w:t xml:space="preserve">2018 </w:t>
      </w:r>
      <w:r>
        <w:rPr>
          <w:rFonts w:ascii="宋体" w:hAnsi="宋体" w:eastAsia="宋体" w:cs="宋体"/>
          <w:spacing w:val="7"/>
          <w:sz w:val="23"/>
          <w:szCs w:val="23"/>
        </w:rPr>
        <w:t>年) 》</w:t>
      </w:r>
      <w:r>
        <w:rPr>
          <w:rFonts w:ascii="宋体" w:hAnsi="宋体" w:eastAsia="宋体" w:cs="宋体"/>
          <w:sz w:val="23"/>
          <w:szCs w:val="23"/>
        </w:rPr>
        <w:t xml:space="preserve"> </w:t>
      </w:r>
      <w:r>
        <w:rPr>
          <w:rFonts w:ascii="宋体" w:hAnsi="宋体" w:eastAsia="宋体" w:cs="宋体"/>
          <w:spacing w:val="9"/>
          <w:sz w:val="23"/>
          <w:szCs w:val="23"/>
        </w:rPr>
        <w:t>结论可以看出该项目所在区域为达标区</w:t>
      </w:r>
      <w:r>
        <w:rPr>
          <w:rFonts w:ascii="宋体" w:hAnsi="宋体" w:eastAsia="宋体" w:cs="宋体"/>
          <w:spacing w:val="6"/>
          <w:sz w:val="23"/>
          <w:szCs w:val="23"/>
        </w:rPr>
        <w:t>。</w:t>
      </w:r>
    </w:p>
    <w:p w14:paraId="13CACCA8">
      <w:pPr>
        <w:spacing w:before="134" w:line="378" w:lineRule="auto"/>
        <w:ind w:left="41" w:right="41" w:firstLine="564"/>
        <w:rPr>
          <w:rFonts w:ascii="宋体" w:hAnsi="宋体" w:eastAsia="宋体" w:cs="宋体"/>
          <w:sz w:val="23"/>
          <w:szCs w:val="23"/>
        </w:rPr>
      </w:pPr>
      <w:r>
        <w:rPr>
          <w:rFonts w:ascii="宋体" w:hAnsi="宋体" w:eastAsia="宋体" w:cs="宋体"/>
          <w:spacing w:val="8"/>
          <w:sz w:val="23"/>
          <w:szCs w:val="23"/>
        </w:rPr>
        <w:t>评</w:t>
      </w:r>
      <w:r>
        <w:rPr>
          <w:rFonts w:ascii="宋体" w:hAnsi="宋体" w:eastAsia="宋体" w:cs="宋体"/>
          <w:spacing w:val="7"/>
          <w:sz w:val="23"/>
          <w:szCs w:val="23"/>
        </w:rPr>
        <w:t>价</w:t>
      </w:r>
      <w:r>
        <w:rPr>
          <w:rFonts w:ascii="宋体" w:hAnsi="宋体" w:eastAsia="宋体" w:cs="宋体"/>
          <w:spacing w:val="4"/>
          <w:sz w:val="23"/>
          <w:szCs w:val="23"/>
        </w:rPr>
        <w:t>区监测结果表明：各监测点位</w:t>
      </w:r>
      <w:r>
        <w:rPr>
          <w:rFonts w:ascii="Times New Roman" w:hAnsi="Times New Roman" w:eastAsia="Times New Roman" w:cs="Times New Roman"/>
          <w:sz w:val="23"/>
          <w:szCs w:val="23"/>
        </w:rPr>
        <w:t>NMHC</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日均值监测结果均满足标准要求，</w:t>
      </w:r>
      <w:r>
        <w:rPr>
          <w:rFonts w:ascii="宋体" w:hAnsi="宋体" w:eastAsia="宋体" w:cs="宋体"/>
          <w:sz w:val="23"/>
          <w:szCs w:val="23"/>
        </w:rPr>
        <w:t xml:space="preserve"> </w:t>
      </w:r>
      <w:r>
        <w:rPr>
          <w:rFonts w:ascii="宋体" w:hAnsi="宋体" w:eastAsia="宋体" w:cs="宋体"/>
          <w:spacing w:val="8"/>
          <w:sz w:val="23"/>
          <w:szCs w:val="23"/>
        </w:rPr>
        <w:t>区</w:t>
      </w:r>
      <w:r>
        <w:rPr>
          <w:rFonts w:ascii="宋体" w:hAnsi="宋体" w:eastAsia="宋体" w:cs="宋体"/>
          <w:spacing w:val="7"/>
          <w:sz w:val="23"/>
          <w:szCs w:val="23"/>
        </w:rPr>
        <w:t>域环境空气质量状况良好。</w:t>
      </w:r>
    </w:p>
    <w:p w14:paraId="3C1F8D92">
      <w:pPr>
        <w:sectPr>
          <w:headerReference r:id="rId335" w:type="default"/>
          <w:footerReference r:id="rId336" w:type="default"/>
          <w:pgSz w:w="11906" w:h="16839"/>
          <w:pgMar w:top="1132" w:right="1693" w:bottom="1182" w:left="1785" w:header="878" w:footer="1022" w:gutter="0"/>
          <w:cols w:space="720" w:num="1"/>
        </w:sectPr>
      </w:pPr>
    </w:p>
    <w:p w14:paraId="4B422649">
      <w:pPr>
        <w:spacing w:line="356" w:lineRule="auto"/>
        <w:rPr>
          <w:rFonts w:ascii="Arial"/>
          <w:sz w:val="21"/>
        </w:rPr>
      </w:pPr>
      <w:r>
        <w:pict>
          <v:shape id="_x0000_s1388" o:spid="_x0000_s1388" style="position:absolute;left:0pt;margin-left:90pt;margin-top:57.35pt;height:0.75pt;width:415.3pt;mso-position-horizontal-relative:page;mso-position-vertical-relative:page;z-index:252084224;mso-width-relative:page;mso-height-relative:page;" fillcolor="#000000" filled="t" stroked="f" coordsize="8305,15" o:allowincell="f" path="m0,0l8305,0,8305,14,0,14,0,0xe">
            <v:path/>
            <v:fill on="t" focussize="0,0"/>
            <v:stroke on="f"/>
            <v:imagedata o:title=""/>
            <o:lock v:ext="edit"/>
          </v:shape>
        </w:pict>
      </w:r>
    </w:p>
    <w:p w14:paraId="2D4563DB">
      <w:pPr>
        <w:spacing w:before="91" w:line="219" w:lineRule="auto"/>
        <w:ind w:left="32"/>
        <w:rPr>
          <w:rFonts w:ascii="宋体" w:hAnsi="宋体" w:eastAsia="宋体" w:cs="宋体"/>
          <w:sz w:val="28"/>
          <w:szCs w:val="28"/>
        </w:rPr>
      </w:pPr>
      <w:r>
        <w:rPr>
          <w:rFonts w:ascii="Times New Roman" w:hAnsi="Times New Roman" w:eastAsia="Times New Roman" w:cs="Times New Roman"/>
          <w:b/>
          <w:bCs/>
          <w:spacing w:val="-1"/>
          <w:sz w:val="28"/>
          <w:szCs w:val="28"/>
        </w:rPr>
        <w:t>10.1.5.2</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地下水环境现状评价结论</w:t>
      </w:r>
    </w:p>
    <w:p w14:paraId="0EC82D50">
      <w:pPr>
        <w:spacing w:line="264" w:lineRule="auto"/>
        <w:rPr>
          <w:rFonts w:ascii="Arial"/>
          <w:sz w:val="21"/>
        </w:rPr>
      </w:pPr>
    </w:p>
    <w:p w14:paraId="5C44E32A">
      <w:pPr>
        <w:spacing w:before="75" w:line="387" w:lineRule="auto"/>
        <w:ind w:left="22" w:firstLine="481"/>
        <w:rPr>
          <w:rFonts w:ascii="宋体" w:hAnsi="宋体" w:eastAsia="宋体" w:cs="宋体"/>
          <w:sz w:val="23"/>
          <w:szCs w:val="23"/>
        </w:rPr>
      </w:pPr>
      <w:r>
        <w:rPr>
          <w:rFonts w:ascii="宋体" w:hAnsi="宋体" w:eastAsia="宋体" w:cs="宋体"/>
          <w:spacing w:val="7"/>
          <w:sz w:val="23"/>
          <w:szCs w:val="23"/>
        </w:rPr>
        <w:t>监测结果表明，评价区域内地下水化学类型多为碳酸氢钙型，地下水中阴</w:t>
      </w:r>
      <w:r>
        <w:rPr>
          <w:rFonts w:ascii="宋体" w:hAnsi="宋体" w:eastAsia="宋体" w:cs="宋体"/>
          <w:spacing w:val="2"/>
          <w:sz w:val="23"/>
          <w:szCs w:val="23"/>
        </w:rPr>
        <w:t>离</w:t>
      </w:r>
      <w:r>
        <w:rPr>
          <w:rFonts w:ascii="宋体" w:hAnsi="宋体" w:eastAsia="宋体" w:cs="宋体"/>
          <w:sz w:val="23"/>
          <w:szCs w:val="23"/>
        </w:rPr>
        <w:t xml:space="preserve"> </w:t>
      </w:r>
      <w:r>
        <w:rPr>
          <w:rFonts w:ascii="宋体" w:hAnsi="宋体" w:eastAsia="宋体" w:cs="宋体"/>
          <w:spacing w:val="9"/>
          <w:sz w:val="23"/>
          <w:szCs w:val="23"/>
        </w:rPr>
        <w:t>子</w:t>
      </w:r>
      <w:r>
        <w:rPr>
          <w:rFonts w:ascii="宋体" w:hAnsi="宋体" w:eastAsia="宋体" w:cs="宋体"/>
          <w:spacing w:val="7"/>
          <w:sz w:val="23"/>
          <w:szCs w:val="23"/>
        </w:rPr>
        <w:t>以碳酸氢根为主；阳离子以钙离子为主。由上表可知，评价区域内各点位地下</w:t>
      </w:r>
      <w:r>
        <w:rPr>
          <w:rFonts w:ascii="宋体" w:hAnsi="宋体" w:eastAsia="宋体" w:cs="宋体"/>
          <w:sz w:val="23"/>
          <w:szCs w:val="23"/>
        </w:rPr>
        <w:t xml:space="preserve"> </w:t>
      </w:r>
      <w:r>
        <w:rPr>
          <w:rFonts w:ascii="宋体" w:hAnsi="宋体" w:eastAsia="宋体" w:cs="宋体"/>
          <w:spacing w:val="9"/>
          <w:sz w:val="23"/>
          <w:szCs w:val="23"/>
        </w:rPr>
        <w:t>水</w:t>
      </w:r>
      <w:r>
        <w:rPr>
          <w:rFonts w:ascii="宋体" w:hAnsi="宋体" w:eastAsia="宋体" w:cs="宋体"/>
          <w:spacing w:val="7"/>
          <w:sz w:val="23"/>
          <w:szCs w:val="23"/>
        </w:rPr>
        <w:t>各项因子中，建设项目所在地的氨氮、硝酸盐因子；榆树底的硝酸盐因子；火</w:t>
      </w:r>
      <w:r>
        <w:rPr>
          <w:rFonts w:ascii="宋体" w:hAnsi="宋体" w:eastAsia="宋体" w:cs="宋体"/>
          <w:sz w:val="23"/>
          <w:szCs w:val="23"/>
        </w:rPr>
        <w:t xml:space="preserve"> </w:t>
      </w:r>
      <w:r>
        <w:rPr>
          <w:rFonts w:ascii="宋体" w:hAnsi="宋体" w:eastAsia="宋体" w:cs="宋体"/>
          <w:spacing w:val="10"/>
          <w:sz w:val="23"/>
          <w:szCs w:val="23"/>
        </w:rPr>
        <w:t>连</w:t>
      </w:r>
      <w:r>
        <w:rPr>
          <w:rFonts w:ascii="宋体" w:hAnsi="宋体" w:eastAsia="宋体" w:cs="宋体"/>
          <w:spacing w:val="5"/>
          <w:sz w:val="23"/>
          <w:szCs w:val="23"/>
        </w:rPr>
        <w:t xml:space="preserve">寨村的总硬度、氨氮、硝酸盐因子标准指数值均大于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，其中建设项目所在地</w:t>
      </w:r>
      <w:r>
        <w:rPr>
          <w:rFonts w:ascii="宋体" w:hAnsi="宋体" w:eastAsia="宋体" w:cs="宋体"/>
          <w:sz w:val="23"/>
          <w:szCs w:val="23"/>
        </w:rPr>
        <w:t xml:space="preserve"> </w:t>
      </w:r>
      <w:r>
        <w:rPr>
          <w:rFonts w:ascii="宋体" w:hAnsi="宋体" w:eastAsia="宋体" w:cs="宋体"/>
          <w:spacing w:val="8"/>
          <w:sz w:val="23"/>
          <w:szCs w:val="23"/>
        </w:rPr>
        <w:t>的氨氮、硝酸盐</w:t>
      </w:r>
      <w:r>
        <w:rPr>
          <w:rFonts w:ascii="宋体" w:hAnsi="宋体" w:eastAsia="宋体" w:cs="宋体"/>
          <w:spacing w:val="6"/>
          <w:sz w:val="23"/>
          <w:szCs w:val="23"/>
        </w:rPr>
        <w:t>因</w:t>
      </w:r>
      <w:r>
        <w:rPr>
          <w:rFonts w:ascii="宋体" w:hAnsi="宋体" w:eastAsia="宋体" w:cs="宋体"/>
          <w:spacing w:val="4"/>
          <w:sz w:val="23"/>
          <w:szCs w:val="23"/>
        </w:rPr>
        <w:t xml:space="preserve">子最大超标倍数分别为 </w:t>
      </w:r>
      <w:r>
        <w:rPr>
          <w:rFonts w:ascii="Times New Roman" w:hAnsi="Times New Roman" w:eastAsia="Times New Roman" w:cs="Times New Roman"/>
          <w:spacing w:val="4"/>
          <w:sz w:val="23"/>
          <w:szCs w:val="23"/>
        </w:rPr>
        <w:t>068</w:t>
      </w:r>
      <w:r>
        <w:rPr>
          <w:rFonts w:ascii="宋体" w:hAnsi="宋体" w:eastAsia="宋体" w:cs="宋体"/>
          <w:spacing w:val="4"/>
          <w:sz w:val="23"/>
          <w:szCs w:val="23"/>
        </w:rPr>
        <w:t>、</w:t>
      </w:r>
      <w:r>
        <w:rPr>
          <w:rFonts w:ascii="Times New Roman" w:hAnsi="Times New Roman" w:eastAsia="Times New Roman" w:cs="Times New Roman"/>
          <w:spacing w:val="4"/>
          <w:sz w:val="23"/>
          <w:szCs w:val="23"/>
        </w:rPr>
        <w:t>0.002</w:t>
      </w:r>
      <w:r>
        <w:rPr>
          <w:rFonts w:ascii="宋体" w:hAnsi="宋体" w:eastAsia="宋体" w:cs="宋体"/>
          <w:spacing w:val="4"/>
          <w:sz w:val="23"/>
          <w:szCs w:val="23"/>
        </w:rPr>
        <w:t>；榆树底的硝酸盐因子最大</w:t>
      </w:r>
      <w:r>
        <w:rPr>
          <w:rFonts w:ascii="宋体" w:hAnsi="宋体" w:eastAsia="宋体" w:cs="宋体"/>
          <w:sz w:val="23"/>
          <w:szCs w:val="23"/>
        </w:rPr>
        <w:t xml:space="preserve"> </w:t>
      </w:r>
      <w:r>
        <w:rPr>
          <w:rFonts w:ascii="宋体" w:hAnsi="宋体" w:eastAsia="宋体" w:cs="宋体"/>
          <w:spacing w:val="5"/>
          <w:sz w:val="23"/>
          <w:szCs w:val="23"/>
        </w:rPr>
        <w:t xml:space="preserve">超标倍数分别为 </w:t>
      </w:r>
      <w:r>
        <w:rPr>
          <w:rFonts w:ascii="Times New Roman" w:hAnsi="Times New Roman" w:eastAsia="Times New Roman" w:cs="Times New Roman"/>
          <w:spacing w:val="5"/>
          <w:sz w:val="23"/>
          <w:szCs w:val="23"/>
        </w:rPr>
        <w:t>0.22</w:t>
      </w:r>
      <w:r>
        <w:rPr>
          <w:rFonts w:ascii="宋体" w:hAnsi="宋体" w:eastAsia="宋体" w:cs="宋体"/>
          <w:spacing w:val="5"/>
          <w:sz w:val="23"/>
          <w:szCs w:val="23"/>
        </w:rPr>
        <w:t>；火连寨村的总硬度、氨氮、硝酸盐因子最大超标倍数分别</w:t>
      </w:r>
      <w:r>
        <w:rPr>
          <w:rFonts w:ascii="宋体" w:hAnsi="宋体" w:eastAsia="宋体" w:cs="宋体"/>
          <w:sz w:val="23"/>
          <w:szCs w:val="23"/>
        </w:rPr>
        <w:t xml:space="preserve"> </w:t>
      </w:r>
      <w:r>
        <w:rPr>
          <w:rFonts w:ascii="宋体" w:hAnsi="宋体" w:eastAsia="宋体" w:cs="宋体"/>
          <w:spacing w:val="1"/>
          <w:sz w:val="23"/>
          <w:szCs w:val="23"/>
        </w:rPr>
        <w:t xml:space="preserve">为 </w:t>
      </w:r>
      <w:r>
        <w:rPr>
          <w:rFonts w:ascii="Times New Roman" w:hAnsi="Times New Roman" w:eastAsia="Times New Roman" w:cs="Times New Roman"/>
          <w:spacing w:val="1"/>
          <w:sz w:val="23"/>
          <w:szCs w:val="23"/>
        </w:rPr>
        <w:t>0.5</w:t>
      </w:r>
      <w:r>
        <w:rPr>
          <w:rFonts w:ascii="宋体" w:hAnsi="宋体" w:eastAsia="宋体" w:cs="宋体"/>
          <w:spacing w:val="1"/>
          <w:sz w:val="23"/>
          <w:szCs w:val="23"/>
        </w:rPr>
        <w:t>、</w:t>
      </w:r>
      <w:r>
        <w:rPr>
          <w:rFonts w:ascii="Times New Roman" w:hAnsi="Times New Roman" w:eastAsia="Times New Roman" w:cs="Times New Roman"/>
          <w:spacing w:val="1"/>
          <w:sz w:val="23"/>
          <w:szCs w:val="23"/>
        </w:rPr>
        <w:t>0.03</w:t>
      </w:r>
      <w:r>
        <w:rPr>
          <w:rFonts w:ascii="宋体" w:hAnsi="宋体" w:eastAsia="宋体" w:cs="宋体"/>
          <w:spacing w:val="1"/>
          <w:sz w:val="23"/>
          <w:szCs w:val="23"/>
        </w:rPr>
        <w:t>、</w:t>
      </w:r>
      <w:r>
        <w:rPr>
          <w:rFonts w:ascii="Times New Roman" w:hAnsi="Times New Roman" w:eastAsia="Times New Roman" w:cs="Times New Roman"/>
          <w:spacing w:val="1"/>
          <w:sz w:val="23"/>
          <w:szCs w:val="23"/>
        </w:rPr>
        <w:t>2.08</w:t>
      </w:r>
      <w:r>
        <w:rPr>
          <w:rFonts w:ascii="宋体" w:hAnsi="宋体" w:eastAsia="宋体" w:cs="宋体"/>
          <w:spacing w:val="1"/>
          <w:sz w:val="23"/>
          <w:szCs w:val="23"/>
        </w:rPr>
        <w:t>，分析以上超</w:t>
      </w:r>
      <w:r>
        <w:rPr>
          <w:rFonts w:ascii="宋体" w:hAnsi="宋体" w:eastAsia="宋体" w:cs="宋体"/>
          <w:sz w:val="23"/>
          <w:szCs w:val="23"/>
        </w:rPr>
        <w:t xml:space="preserve">标原因，总硬度超标是由于当地地质条件造成的， </w:t>
      </w:r>
      <w:r>
        <w:rPr>
          <w:rFonts w:ascii="宋体" w:hAnsi="宋体" w:eastAsia="宋体" w:cs="宋体"/>
          <w:spacing w:val="11"/>
          <w:sz w:val="23"/>
          <w:szCs w:val="23"/>
        </w:rPr>
        <w:t>氨</w:t>
      </w:r>
      <w:r>
        <w:rPr>
          <w:rFonts w:ascii="宋体" w:hAnsi="宋体" w:eastAsia="宋体" w:cs="宋体"/>
          <w:spacing w:val="9"/>
          <w:sz w:val="23"/>
          <w:szCs w:val="23"/>
        </w:rPr>
        <w:t>氮、硝酸盐超标是当地居民污水散排造成的。</w:t>
      </w:r>
    </w:p>
    <w:p w14:paraId="3501B84E">
      <w:pPr>
        <w:spacing w:before="137" w:line="383" w:lineRule="auto"/>
        <w:ind w:left="24" w:right="61" w:firstLine="481"/>
        <w:rPr>
          <w:rFonts w:ascii="宋体" w:hAnsi="宋体" w:eastAsia="宋体" w:cs="宋体"/>
          <w:sz w:val="23"/>
          <w:szCs w:val="23"/>
        </w:rPr>
      </w:pPr>
      <w:r>
        <w:rPr>
          <w:rFonts w:ascii="宋体" w:hAnsi="宋体" w:eastAsia="宋体" w:cs="宋体"/>
          <w:spacing w:val="8"/>
          <w:sz w:val="23"/>
          <w:szCs w:val="23"/>
        </w:rPr>
        <w:t>各点位地下水</w:t>
      </w:r>
      <w:r>
        <w:rPr>
          <w:rFonts w:ascii="宋体" w:hAnsi="宋体" w:eastAsia="宋体" w:cs="宋体"/>
          <w:spacing w:val="6"/>
          <w:sz w:val="23"/>
          <w:szCs w:val="23"/>
        </w:rPr>
        <w:t>中</w:t>
      </w:r>
      <w:r>
        <w:rPr>
          <w:rFonts w:ascii="宋体" w:hAnsi="宋体" w:eastAsia="宋体" w:cs="宋体"/>
          <w:spacing w:val="4"/>
          <w:sz w:val="23"/>
          <w:szCs w:val="23"/>
        </w:rPr>
        <w:t xml:space="preserve">其他各项因子标准指数值均小于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，能够满足《地下水质量</w:t>
      </w:r>
      <w:r>
        <w:rPr>
          <w:rFonts w:ascii="宋体" w:hAnsi="宋体" w:eastAsia="宋体" w:cs="宋体"/>
          <w:sz w:val="23"/>
          <w:szCs w:val="23"/>
        </w:rPr>
        <w:t xml:space="preserve"> </w:t>
      </w:r>
      <w:r>
        <w:rPr>
          <w:rFonts w:ascii="宋体" w:hAnsi="宋体" w:eastAsia="宋体" w:cs="宋体"/>
          <w:spacing w:val="7"/>
          <w:sz w:val="23"/>
          <w:szCs w:val="23"/>
        </w:rPr>
        <w:t>标准》</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14848-2017)</w:t>
      </w:r>
      <w:r>
        <w:rPr>
          <w:rFonts w:ascii="宋体" w:hAnsi="宋体" w:eastAsia="宋体" w:cs="宋体"/>
          <w:spacing w:val="7"/>
          <w:sz w:val="23"/>
          <w:szCs w:val="23"/>
        </w:rPr>
        <w:t>中</w:t>
      </w:r>
      <w:r>
        <w:rPr>
          <w:rFonts w:ascii="Times New Roman" w:hAnsi="Times New Roman" w:eastAsia="Times New Roman" w:cs="Times New Roman"/>
          <w:spacing w:val="7"/>
          <w:sz w:val="23"/>
          <w:szCs w:val="23"/>
        </w:rPr>
        <w:t>Ⅲ</w:t>
      </w:r>
      <w:r>
        <w:rPr>
          <w:rFonts w:ascii="宋体" w:hAnsi="宋体" w:eastAsia="宋体" w:cs="宋体"/>
          <w:spacing w:val="7"/>
          <w:sz w:val="23"/>
          <w:szCs w:val="23"/>
        </w:rPr>
        <w:t>类水质量标准。</w:t>
      </w:r>
    </w:p>
    <w:p w14:paraId="29F71F88">
      <w:pPr>
        <w:spacing w:before="125" w:line="219" w:lineRule="auto"/>
        <w:ind w:left="32"/>
        <w:rPr>
          <w:rFonts w:ascii="宋体" w:hAnsi="宋体" w:eastAsia="宋体" w:cs="宋体"/>
          <w:sz w:val="28"/>
          <w:szCs w:val="28"/>
        </w:rPr>
      </w:pPr>
      <w:r>
        <w:rPr>
          <w:rFonts w:ascii="Times New Roman" w:hAnsi="Times New Roman" w:eastAsia="Times New Roman" w:cs="Times New Roman"/>
          <w:b/>
          <w:bCs/>
          <w:spacing w:val="-1"/>
          <w:sz w:val="28"/>
          <w:szCs w:val="28"/>
        </w:rPr>
        <w:t>10.1.5.3</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声环境现状评价结论</w:t>
      </w:r>
    </w:p>
    <w:p w14:paraId="123CB3E7">
      <w:pPr>
        <w:spacing w:line="262" w:lineRule="auto"/>
        <w:rPr>
          <w:rFonts w:ascii="Arial"/>
          <w:sz w:val="21"/>
        </w:rPr>
      </w:pPr>
    </w:p>
    <w:p w14:paraId="2CF722B0">
      <w:pPr>
        <w:spacing w:before="76" w:line="393" w:lineRule="auto"/>
        <w:ind w:left="24" w:right="61" w:firstLine="480"/>
        <w:rPr>
          <w:rFonts w:ascii="宋体" w:hAnsi="宋体" w:eastAsia="宋体" w:cs="宋体"/>
          <w:sz w:val="23"/>
          <w:szCs w:val="23"/>
        </w:rPr>
      </w:pPr>
      <w:r>
        <w:rPr>
          <w:rFonts w:ascii="宋体" w:hAnsi="宋体" w:eastAsia="宋体" w:cs="宋体"/>
          <w:spacing w:val="5"/>
          <w:sz w:val="23"/>
          <w:szCs w:val="23"/>
        </w:rPr>
        <w:t xml:space="preserve">监测数据表明：厂区所处声环境现状监测值均优于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类标准要求，表明</w:t>
      </w:r>
      <w:r>
        <w:rPr>
          <w:rFonts w:ascii="宋体" w:hAnsi="宋体" w:eastAsia="宋体" w:cs="宋体"/>
          <w:spacing w:val="3"/>
          <w:sz w:val="23"/>
          <w:szCs w:val="23"/>
        </w:rPr>
        <w:t>该</w:t>
      </w:r>
      <w:r>
        <w:rPr>
          <w:rFonts w:ascii="宋体" w:hAnsi="宋体" w:eastAsia="宋体" w:cs="宋体"/>
          <w:sz w:val="23"/>
          <w:szCs w:val="23"/>
        </w:rPr>
        <w:t xml:space="preserve">区 </w:t>
      </w:r>
      <w:r>
        <w:rPr>
          <w:rFonts w:ascii="宋体" w:hAnsi="宋体" w:eastAsia="宋体" w:cs="宋体"/>
          <w:spacing w:val="8"/>
          <w:sz w:val="23"/>
          <w:szCs w:val="23"/>
        </w:rPr>
        <w:t>域声环境本底值较好</w:t>
      </w:r>
      <w:r>
        <w:rPr>
          <w:rFonts w:ascii="宋体" w:hAnsi="宋体" w:eastAsia="宋体" w:cs="宋体"/>
          <w:spacing w:val="7"/>
          <w:sz w:val="23"/>
          <w:szCs w:val="23"/>
        </w:rPr>
        <w:t>。</w:t>
      </w:r>
    </w:p>
    <w:p w14:paraId="529CC3C1">
      <w:pPr>
        <w:spacing w:before="101" w:line="219" w:lineRule="auto"/>
        <w:ind w:left="32"/>
        <w:rPr>
          <w:rFonts w:ascii="宋体" w:hAnsi="宋体" w:eastAsia="宋体" w:cs="宋体"/>
          <w:sz w:val="28"/>
          <w:szCs w:val="28"/>
        </w:rPr>
      </w:pPr>
      <w:r>
        <w:rPr>
          <w:rFonts w:ascii="Times New Roman" w:hAnsi="Times New Roman" w:eastAsia="Times New Roman" w:cs="Times New Roman"/>
          <w:b/>
          <w:bCs/>
          <w:spacing w:val="-1"/>
          <w:sz w:val="28"/>
          <w:szCs w:val="28"/>
        </w:rPr>
        <w:t>10.1.5</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壤环境质量现状评价结论</w:t>
      </w:r>
    </w:p>
    <w:p w14:paraId="3913A622">
      <w:pPr>
        <w:spacing w:line="264" w:lineRule="auto"/>
        <w:rPr>
          <w:rFonts w:ascii="Arial"/>
          <w:sz w:val="21"/>
        </w:rPr>
      </w:pPr>
    </w:p>
    <w:p w14:paraId="6E7A2FCE">
      <w:pPr>
        <w:spacing w:before="75" w:line="389" w:lineRule="auto"/>
        <w:ind w:left="23" w:right="26" w:firstLine="480"/>
        <w:rPr>
          <w:rFonts w:ascii="宋体" w:hAnsi="宋体" w:eastAsia="宋体" w:cs="宋体"/>
          <w:sz w:val="20"/>
          <w:szCs w:val="20"/>
        </w:rPr>
      </w:pPr>
      <w:r>
        <w:rPr>
          <w:rFonts w:ascii="宋体" w:hAnsi="宋体" w:eastAsia="宋体" w:cs="宋体"/>
          <w:spacing w:val="8"/>
          <w:sz w:val="23"/>
          <w:szCs w:val="23"/>
        </w:rPr>
        <w:t>监测数据表明：建设项目占地范围内土壤酸化、碱化强度为无酸化或碱化</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2"/>
          <w:sz w:val="23"/>
          <w:szCs w:val="23"/>
        </w:rPr>
        <w:t>盐化</w:t>
      </w:r>
      <w:r>
        <w:rPr>
          <w:rFonts w:ascii="宋体" w:hAnsi="宋体" w:eastAsia="宋体" w:cs="宋体"/>
          <w:spacing w:val="11"/>
          <w:sz w:val="23"/>
          <w:szCs w:val="23"/>
        </w:rPr>
        <w:t>等</w:t>
      </w:r>
      <w:r>
        <w:rPr>
          <w:rFonts w:ascii="宋体" w:hAnsi="宋体" w:eastAsia="宋体" w:cs="宋体"/>
          <w:spacing w:val="6"/>
          <w:sz w:val="23"/>
          <w:szCs w:val="23"/>
        </w:rPr>
        <w:t>级为中度盐化，</w:t>
      </w:r>
      <w:r>
        <w:rPr>
          <w:rFonts w:ascii="宋体" w:hAnsi="宋体" w:eastAsia="宋体" w:cs="宋体"/>
          <w:spacing w:val="6"/>
          <w:sz w:val="20"/>
          <w:szCs w:val="20"/>
        </w:rPr>
        <w:t xml:space="preserve">监测点位的土壤各项因子标准指数值均小于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，能够满足</w:t>
      </w:r>
      <w:r>
        <w:rPr>
          <w:rFonts w:ascii="宋体" w:hAnsi="宋体" w:eastAsia="宋体" w:cs="宋体"/>
          <w:spacing w:val="6"/>
          <w:sz w:val="23"/>
          <w:szCs w:val="23"/>
        </w:rPr>
        <w:t>《土壤</w:t>
      </w:r>
      <w:r>
        <w:rPr>
          <w:rFonts w:ascii="宋体" w:hAnsi="宋体" w:eastAsia="宋体" w:cs="宋体"/>
          <w:sz w:val="23"/>
          <w:szCs w:val="23"/>
        </w:rPr>
        <w:t xml:space="preserve"> </w:t>
      </w:r>
      <w:r>
        <w:rPr>
          <w:rFonts w:ascii="宋体" w:hAnsi="宋体" w:eastAsia="宋体" w:cs="宋体"/>
          <w:spacing w:val="8"/>
          <w:sz w:val="23"/>
          <w:szCs w:val="23"/>
        </w:rPr>
        <w:t xml:space="preserve">环境质量 </w:t>
      </w:r>
      <w:r>
        <w:rPr>
          <w:rFonts w:ascii="宋体" w:hAnsi="宋体" w:eastAsia="宋体" w:cs="宋体"/>
          <w:spacing w:val="6"/>
          <w:sz w:val="23"/>
          <w:szCs w:val="23"/>
        </w:rPr>
        <w:t>建</w:t>
      </w:r>
      <w:r>
        <w:rPr>
          <w:rFonts w:ascii="宋体" w:hAnsi="宋体" w:eastAsia="宋体" w:cs="宋体"/>
          <w:spacing w:val="4"/>
          <w:sz w:val="23"/>
          <w:szCs w:val="23"/>
        </w:rPr>
        <w:t>设用地土壤污染风险管控标准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36600-2018</w:t>
      </w:r>
      <w:r>
        <w:rPr>
          <w:rFonts w:ascii="宋体" w:hAnsi="宋体" w:eastAsia="宋体" w:cs="宋体"/>
          <w:spacing w:val="4"/>
          <w:sz w:val="23"/>
          <w:szCs w:val="23"/>
        </w:rPr>
        <w:t>) 中筛选</w:t>
      </w:r>
      <w:r>
        <w:rPr>
          <w:rFonts w:ascii="宋体" w:hAnsi="宋体" w:eastAsia="宋体" w:cs="宋体"/>
          <w:sz w:val="23"/>
          <w:szCs w:val="23"/>
        </w:rPr>
        <w:t xml:space="preserve"> </w:t>
      </w:r>
      <w:r>
        <w:rPr>
          <w:rFonts w:ascii="宋体" w:hAnsi="宋体" w:eastAsia="宋体" w:cs="宋体"/>
          <w:spacing w:val="10"/>
          <w:sz w:val="23"/>
          <w:szCs w:val="23"/>
        </w:rPr>
        <w:t>值</w:t>
      </w:r>
      <w:r>
        <w:rPr>
          <w:rFonts w:ascii="宋体" w:hAnsi="宋体" w:eastAsia="宋体" w:cs="宋体"/>
          <w:spacing w:val="9"/>
          <w:sz w:val="23"/>
          <w:szCs w:val="23"/>
        </w:rPr>
        <w:t>第二类标准</w:t>
      </w:r>
      <w:r>
        <w:rPr>
          <w:rFonts w:ascii="宋体" w:hAnsi="宋体" w:eastAsia="宋体" w:cs="宋体"/>
          <w:spacing w:val="9"/>
          <w:sz w:val="20"/>
          <w:szCs w:val="20"/>
        </w:rPr>
        <w:t>；说明评价区域内土壤环境质量较好。</w:t>
      </w:r>
    </w:p>
    <w:p w14:paraId="53B1CE09">
      <w:pPr>
        <w:spacing w:before="86" w:line="226" w:lineRule="auto"/>
        <w:ind w:left="33"/>
        <w:outlineLvl w:val="2"/>
        <w:rPr>
          <w:rFonts w:ascii="宋体" w:hAnsi="宋体" w:eastAsia="宋体" w:cs="宋体"/>
          <w:sz w:val="29"/>
          <w:szCs w:val="29"/>
        </w:rPr>
      </w:pPr>
      <w:r>
        <w:rPr>
          <w:rFonts w:ascii="Times New Roman" w:hAnsi="Times New Roman" w:eastAsia="Times New Roman" w:cs="Times New Roman"/>
          <w:b/>
          <w:bCs/>
          <w:spacing w:val="7"/>
          <w:sz w:val="29"/>
          <w:szCs w:val="29"/>
        </w:rPr>
        <w:t>1</w:t>
      </w:r>
      <w:r>
        <w:rPr>
          <w:rFonts w:ascii="Times New Roman" w:hAnsi="Times New Roman" w:eastAsia="Times New Roman" w:cs="Times New Roman"/>
          <w:b/>
          <w:bCs/>
          <w:spacing w:val="6"/>
          <w:sz w:val="29"/>
          <w:szCs w:val="29"/>
        </w:rPr>
        <w:t>0.1.6</w:t>
      </w:r>
      <w:r>
        <w:rPr>
          <w:rFonts w:ascii="Times New Roman" w:hAnsi="Times New Roman" w:eastAsia="Times New Roman" w:cs="Times New Roman"/>
          <w:spacing w:val="6"/>
          <w:sz w:val="29"/>
          <w:szCs w:val="29"/>
        </w:rPr>
        <w:t xml:space="preserve">  </w:t>
      </w:r>
      <w:r>
        <w:rPr>
          <w:rFonts w:ascii="宋体" w:hAnsi="宋体" w:eastAsia="宋体" w:cs="宋体"/>
          <w:spacing w:val="6"/>
          <w:sz w:val="29"/>
          <w:szCs w:val="29"/>
          <w14:textOutline w14:w="5448" w14:cap="sq" w14:cmpd="sng">
            <w14:solidFill>
              <w14:srgbClr w14:val="000000"/>
            </w14:solidFill>
            <w14:prstDash w14:val="solid"/>
            <w14:bevel/>
          </w14:textOutline>
        </w:rPr>
        <w:t>污染防治措施结论</w:t>
      </w:r>
    </w:p>
    <w:p w14:paraId="0232F3ED">
      <w:pPr>
        <w:spacing w:before="296" w:line="221" w:lineRule="auto"/>
        <w:ind w:left="32"/>
        <w:rPr>
          <w:rFonts w:ascii="宋体" w:hAnsi="宋体" w:eastAsia="宋体" w:cs="宋体"/>
          <w:sz w:val="28"/>
          <w:szCs w:val="28"/>
        </w:rPr>
      </w:pPr>
      <w:r>
        <w:rPr>
          <w:rFonts w:ascii="Times New Roman" w:hAnsi="Times New Roman" w:eastAsia="Times New Roman" w:cs="Times New Roman"/>
          <w:b/>
          <w:bCs/>
          <w:spacing w:val="-2"/>
          <w:sz w:val="28"/>
          <w:szCs w:val="28"/>
        </w:rPr>
        <w:t>10.1.6</w:t>
      </w:r>
      <w:r>
        <w:rPr>
          <w:rFonts w:ascii="Times New Roman" w:hAnsi="Times New Roman" w:eastAsia="Times New Roman" w:cs="Times New Roman"/>
          <w:b/>
          <w:bCs/>
          <w:spacing w:val="-1"/>
          <w:sz w:val="28"/>
          <w:szCs w:val="28"/>
        </w:rPr>
        <w:t>.1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废气</w:t>
      </w:r>
    </w:p>
    <w:p w14:paraId="5A328DE4">
      <w:pPr>
        <w:spacing w:line="260" w:lineRule="auto"/>
        <w:rPr>
          <w:rFonts w:ascii="Arial"/>
          <w:sz w:val="21"/>
        </w:rPr>
      </w:pPr>
    </w:p>
    <w:p w14:paraId="502CFDB2">
      <w:pPr>
        <w:spacing w:before="75" w:line="228" w:lineRule="auto"/>
        <w:ind w:left="502"/>
        <w:rPr>
          <w:rFonts w:ascii="宋体" w:hAnsi="宋体" w:eastAsia="宋体" w:cs="宋体"/>
          <w:sz w:val="23"/>
          <w:szCs w:val="23"/>
        </w:rPr>
      </w:pPr>
      <w:r>
        <w:rPr>
          <w:rFonts w:ascii="宋体" w:hAnsi="宋体" w:eastAsia="宋体" w:cs="宋体"/>
          <w:spacing w:val="18"/>
          <w:sz w:val="23"/>
          <w:szCs w:val="23"/>
        </w:rPr>
        <w:t>施</w:t>
      </w:r>
      <w:r>
        <w:rPr>
          <w:rFonts w:ascii="宋体" w:hAnsi="宋体" w:eastAsia="宋体" w:cs="宋体"/>
          <w:spacing w:val="11"/>
          <w:sz w:val="23"/>
          <w:szCs w:val="23"/>
        </w:rPr>
        <w:t>工</w:t>
      </w:r>
      <w:r>
        <w:rPr>
          <w:rFonts w:ascii="宋体" w:hAnsi="宋体" w:eastAsia="宋体" w:cs="宋体"/>
          <w:spacing w:val="9"/>
          <w:sz w:val="23"/>
          <w:szCs w:val="23"/>
        </w:rPr>
        <w:t>期：采取加强管理、厂界设置围挡、洒水等措施减少扬尘排放；</w:t>
      </w:r>
    </w:p>
    <w:p w14:paraId="5891A121">
      <w:pPr>
        <w:spacing w:line="274" w:lineRule="auto"/>
        <w:rPr>
          <w:rFonts w:ascii="Arial"/>
          <w:sz w:val="21"/>
        </w:rPr>
      </w:pPr>
    </w:p>
    <w:p w14:paraId="02BABD6C">
      <w:pPr>
        <w:spacing w:before="75" w:line="391" w:lineRule="auto"/>
        <w:ind w:left="22" w:right="61" w:firstLine="480"/>
        <w:rPr>
          <w:rFonts w:ascii="宋体" w:hAnsi="宋体" w:eastAsia="宋体" w:cs="宋体"/>
          <w:sz w:val="23"/>
          <w:szCs w:val="23"/>
        </w:rPr>
      </w:pPr>
      <w:r>
        <w:rPr>
          <w:rFonts w:ascii="宋体" w:hAnsi="宋体" w:eastAsia="宋体" w:cs="宋体"/>
          <w:spacing w:val="7"/>
          <w:sz w:val="23"/>
          <w:szCs w:val="23"/>
        </w:rPr>
        <w:t>运营期：①该项目项目无组织废气主要是生产过程中未被集气罩收集到而</w:t>
      </w:r>
      <w:r>
        <w:rPr>
          <w:rFonts w:ascii="宋体" w:hAnsi="宋体" w:eastAsia="宋体" w:cs="宋体"/>
          <w:spacing w:val="3"/>
          <w:sz w:val="23"/>
          <w:szCs w:val="23"/>
        </w:rPr>
        <w:t>逸</w:t>
      </w:r>
      <w:r>
        <w:rPr>
          <w:rFonts w:ascii="宋体" w:hAnsi="宋体" w:eastAsia="宋体" w:cs="宋体"/>
          <w:sz w:val="23"/>
          <w:szCs w:val="23"/>
        </w:rPr>
        <w:t xml:space="preserve"> </w:t>
      </w:r>
      <w:r>
        <w:rPr>
          <w:rFonts w:ascii="宋体" w:hAnsi="宋体" w:eastAsia="宋体" w:cs="宋体"/>
          <w:spacing w:val="9"/>
          <w:sz w:val="23"/>
          <w:szCs w:val="23"/>
        </w:rPr>
        <w:t>散</w:t>
      </w:r>
      <w:r>
        <w:rPr>
          <w:rFonts w:ascii="宋体" w:hAnsi="宋体" w:eastAsia="宋体" w:cs="宋体"/>
          <w:spacing w:val="7"/>
          <w:sz w:val="23"/>
          <w:szCs w:val="23"/>
        </w:rPr>
        <w:t>到空气中的有机废气和颗粒物，废气以无组织的形式扩散到周围大气中。对于</w:t>
      </w:r>
      <w:r>
        <w:rPr>
          <w:rFonts w:ascii="宋体" w:hAnsi="宋体" w:eastAsia="宋体" w:cs="宋体"/>
          <w:sz w:val="23"/>
          <w:szCs w:val="23"/>
        </w:rPr>
        <w:t xml:space="preserve"> </w:t>
      </w:r>
      <w:r>
        <w:rPr>
          <w:rFonts w:ascii="宋体" w:hAnsi="宋体" w:eastAsia="宋体" w:cs="宋体"/>
          <w:spacing w:val="9"/>
          <w:sz w:val="23"/>
          <w:szCs w:val="23"/>
        </w:rPr>
        <w:t>无</w:t>
      </w:r>
      <w:r>
        <w:rPr>
          <w:rFonts w:ascii="宋体" w:hAnsi="宋体" w:eastAsia="宋体" w:cs="宋体"/>
          <w:spacing w:val="7"/>
          <w:sz w:val="23"/>
          <w:szCs w:val="23"/>
        </w:rPr>
        <w:t>组织废气，要求加强车间通风，所有操作严格按照既定的规程进行，以减少无</w:t>
      </w:r>
    </w:p>
    <w:p w14:paraId="135B34E0">
      <w:pPr>
        <w:sectPr>
          <w:headerReference r:id="rId337" w:type="default"/>
          <w:footerReference r:id="rId338" w:type="default"/>
          <w:pgSz w:w="11906" w:h="16839"/>
          <w:pgMar w:top="1132" w:right="1738" w:bottom="1182" w:left="1785" w:header="878" w:footer="1022" w:gutter="0"/>
          <w:cols w:space="720" w:num="1"/>
        </w:sectPr>
      </w:pPr>
    </w:p>
    <w:p w14:paraId="4EFCD29E">
      <w:pPr>
        <w:spacing w:line="406" w:lineRule="auto"/>
        <w:rPr>
          <w:rFonts w:ascii="Arial"/>
          <w:sz w:val="21"/>
        </w:rPr>
      </w:pPr>
      <w:r>
        <w:pict>
          <v:shape id="_x0000_s1389" o:spid="_x0000_s1389" style="position:absolute;left:0pt;margin-left:90pt;margin-top:57.35pt;height:0.75pt;width:415.3pt;mso-position-horizontal-relative:page;mso-position-vertical-relative:page;z-index:252085248;mso-width-relative:page;mso-height-relative:page;" fillcolor="#000000" filled="t" stroked="f" coordsize="8305,15" o:allowincell="f" path="m0,0l8305,0,8305,14,0,14,0,0xe">
            <v:path/>
            <v:fill on="t" focussize="0,0"/>
            <v:stroke on="f"/>
            <v:imagedata o:title=""/>
            <o:lock v:ext="edit"/>
          </v:shape>
        </w:pict>
      </w:r>
    </w:p>
    <w:p w14:paraId="5B1377FC">
      <w:pPr>
        <w:spacing w:before="75" w:line="385" w:lineRule="auto"/>
        <w:ind w:left="15" w:firstLine="11"/>
        <w:rPr>
          <w:rFonts w:ascii="宋体" w:hAnsi="宋体" w:eastAsia="宋体" w:cs="宋体"/>
          <w:sz w:val="23"/>
          <w:szCs w:val="23"/>
        </w:rPr>
      </w:pPr>
      <w:r>
        <w:rPr>
          <w:rFonts w:ascii="宋体" w:hAnsi="宋体" w:eastAsia="宋体" w:cs="宋体"/>
          <w:spacing w:val="7"/>
          <w:sz w:val="23"/>
          <w:szCs w:val="23"/>
        </w:rPr>
        <w:t>组织废气排放；②该项目使用的原料均为无毒、无害物质，建设单位在每条生</w:t>
      </w:r>
      <w:r>
        <w:rPr>
          <w:rFonts w:ascii="宋体" w:hAnsi="宋体" w:eastAsia="宋体" w:cs="宋体"/>
          <w:spacing w:val="6"/>
          <w:sz w:val="23"/>
          <w:szCs w:val="23"/>
        </w:rPr>
        <w:t>产</w:t>
      </w:r>
      <w:r>
        <w:rPr>
          <w:rFonts w:ascii="宋体" w:hAnsi="宋体" w:eastAsia="宋体" w:cs="宋体"/>
          <w:sz w:val="23"/>
          <w:szCs w:val="23"/>
        </w:rPr>
        <w:t xml:space="preserve"> </w:t>
      </w:r>
      <w:r>
        <w:rPr>
          <w:rFonts w:ascii="宋体" w:hAnsi="宋体" w:eastAsia="宋体" w:cs="宋体"/>
          <w:spacing w:val="10"/>
          <w:sz w:val="23"/>
          <w:szCs w:val="23"/>
        </w:rPr>
        <w:t>线</w:t>
      </w:r>
      <w:r>
        <w:rPr>
          <w:rFonts w:ascii="宋体" w:hAnsi="宋体" w:eastAsia="宋体" w:cs="宋体"/>
          <w:spacing w:val="9"/>
          <w:sz w:val="23"/>
          <w:szCs w:val="23"/>
        </w:rPr>
        <w:t>的</w:t>
      </w:r>
      <w:r>
        <w:rPr>
          <w:rFonts w:ascii="宋体" w:hAnsi="宋体" w:eastAsia="宋体" w:cs="宋体"/>
          <w:spacing w:val="5"/>
          <w:sz w:val="23"/>
          <w:szCs w:val="23"/>
        </w:rPr>
        <w:t xml:space="preserve">热熔造粒工序均设置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个集气罩 (集气罩采用伞形罩，在设备约 </w:t>
      </w:r>
      <w:r>
        <w:rPr>
          <w:rFonts w:ascii="Times New Roman" w:hAnsi="Times New Roman" w:eastAsia="Times New Roman" w:cs="Times New Roman"/>
          <w:spacing w:val="5"/>
          <w:sz w:val="23"/>
          <w:szCs w:val="23"/>
        </w:rPr>
        <w:t>30</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的正</w:t>
      </w:r>
      <w:r>
        <w:rPr>
          <w:rFonts w:ascii="宋体" w:hAnsi="宋体" w:eastAsia="宋体" w:cs="宋体"/>
          <w:sz w:val="23"/>
          <w:szCs w:val="23"/>
        </w:rPr>
        <w:t xml:space="preserve"> </w:t>
      </w:r>
      <w:r>
        <w:rPr>
          <w:rFonts w:ascii="宋体" w:hAnsi="宋体" w:eastAsia="宋体" w:cs="宋体"/>
          <w:spacing w:val="3"/>
          <w:sz w:val="23"/>
          <w:szCs w:val="23"/>
        </w:rPr>
        <w:t xml:space="preserve">上方，集气罩集气效率为 </w:t>
      </w:r>
      <w:r>
        <w:rPr>
          <w:rFonts w:ascii="Times New Roman" w:hAnsi="Times New Roman" w:eastAsia="Times New Roman" w:cs="Times New Roman"/>
          <w:spacing w:val="3"/>
          <w:sz w:val="23"/>
          <w:szCs w:val="23"/>
        </w:rPr>
        <w:t>90%</w:t>
      </w:r>
      <w:r>
        <w:rPr>
          <w:rFonts w:ascii="宋体" w:hAnsi="宋体" w:eastAsia="宋体" w:cs="宋体"/>
          <w:spacing w:val="3"/>
          <w:sz w:val="23"/>
          <w:szCs w:val="23"/>
        </w:rPr>
        <w:t xml:space="preserve">) ，共计 </w:t>
      </w:r>
      <w:r>
        <w:rPr>
          <w:rFonts w:ascii="Times New Roman" w:hAnsi="Times New Roman" w:eastAsia="Times New Roman" w:cs="Times New Roman"/>
          <w:spacing w:val="3"/>
          <w:sz w:val="23"/>
          <w:szCs w:val="23"/>
        </w:rPr>
        <w:t xml:space="preserve">10 </w:t>
      </w:r>
      <w:r>
        <w:rPr>
          <w:rFonts w:ascii="宋体" w:hAnsi="宋体" w:eastAsia="宋体" w:cs="宋体"/>
          <w:spacing w:val="3"/>
          <w:sz w:val="23"/>
          <w:szCs w:val="23"/>
        </w:rPr>
        <w:t xml:space="preserve">个集气罩。与此同时，项目设有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1"/>
          <w:sz w:val="23"/>
          <w:szCs w:val="23"/>
        </w:rPr>
        <w:t xml:space="preserve"> </w:t>
      </w:r>
      <w:r>
        <w:rPr>
          <w:rFonts w:ascii="宋体" w:hAnsi="宋体" w:eastAsia="宋体" w:cs="宋体"/>
          <w:sz w:val="23"/>
          <w:szCs w:val="23"/>
        </w:rPr>
        <w:t xml:space="preserve">台 </w:t>
      </w:r>
      <w:r>
        <w:rPr>
          <w:rFonts w:ascii="Times New Roman" w:hAnsi="Times New Roman" w:eastAsia="Times New Roman" w:cs="Times New Roman"/>
          <w:sz w:val="23"/>
          <w:szCs w:val="23"/>
        </w:rPr>
        <w:t>UV</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光氧</w:t>
      </w:r>
      <w:r>
        <w:rPr>
          <w:rFonts w:ascii="宋体" w:hAnsi="宋体" w:eastAsia="宋体" w:cs="宋体"/>
          <w:spacing w:val="7"/>
          <w:sz w:val="23"/>
          <w:szCs w:val="23"/>
        </w:rPr>
        <w:t xml:space="preserve">催化废气处理装置以及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台活性炭吸附装置，</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 xml:space="preserve">台 </w:t>
      </w:r>
      <w:r>
        <w:rPr>
          <w:rFonts w:ascii="Times New Roman" w:hAnsi="Times New Roman" w:eastAsia="Times New Roman" w:cs="Times New Roman"/>
          <w:sz w:val="23"/>
          <w:szCs w:val="23"/>
        </w:rPr>
        <w:t>UV</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光氧催化废气处</w:t>
      </w:r>
      <w:r>
        <w:rPr>
          <w:rFonts w:ascii="宋体" w:hAnsi="宋体" w:eastAsia="宋体" w:cs="宋体"/>
          <w:sz w:val="23"/>
          <w:szCs w:val="23"/>
        </w:rPr>
        <w:t xml:space="preserve"> </w:t>
      </w:r>
      <w:r>
        <w:rPr>
          <w:rFonts w:ascii="宋体" w:hAnsi="宋体" w:eastAsia="宋体" w:cs="宋体"/>
          <w:spacing w:val="2"/>
          <w:sz w:val="23"/>
          <w:szCs w:val="23"/>
        </w:rPr>
        <w:t xml:space="preserve">理装置和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台活性炭吸附装置组成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套废气治理装置，则厂区内共计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套废气治</w:t>
      </w:r>
      <w:r>
        <w:rPr>
          <w:rFonts w:ascii="宋体" w:hAnsi="宋体" w:eastAsia="宋体" w:cs="宋体"/>
          <w:sz w:val="23"/>
          <w:szCs w:val="23"/>
        </w:rPr>
        <w:t xml:space="preserve"> </w:t>
      </w:r>
      <w:r>
        <w:rPr>
          <w:rFonts w:ascii="宋体" w:hAnsi="宋体" w:eastAsia="宋体" w:cs="宋体"/>
          <w:spacing w:val="6"/>
          <w:sz w:val="23"/>
          <w:szCs w:val="23"/>
        </w:rPr>
        <w:t>理装置，分别位</w:t>
      </w:r>
      <w:r>
        <w:rPr>
          <w:rFonts w:ascii="宋体" w:hAnsi="宋体" w:eastAsia="宋体" w:cs="宋体"/>
          <w:spacing w:val="5"/>
          <w:sz w:val="23"/>
          <w:szCs w:val="23"/>
        </w:rPr>
        <w:t>于</w:t>
      </w:r>
      <w:r>
        <w:rPr>
          <w:rFonts w:ascii="宋体" w:hAnsi="宋体" w:eastAsia="宋体" w:cs="宋体"/>
          <w:spacing w:val="3"/>
          <w:sz w:val="23"/>
          <w:szCs w:val="23"/>
        </w:rPr>
        <w:t xml:space="preserve">生产厂房东侧、西侧中部。该项目每 </w:t>
      </w:r>
      <w:r>
        <w:rPr>
          <w:rFonts w:ascii="Times New Roman" w:hAnsi="Times New Roman" w:eastAsia="Times New Roman" w:cs="Times New Roman"/>
          <w:spacing w:val="3"/>
          <w:sz w:val="23"/>
          <w:szCs w:val="23"/>
        </w:rPr>
        <w:t xml:space="preserve">5 </w:t>
      </w:r>
      <w:r>
        <w:rPr>
          <w:rFonts w:ascii="宋体" w:hAnsi="宋体" w:eastAsia="宋体" w:cs="宋体"/>
          <w:spacing w:val="3"/>
          <w:sz w:val="23"/>
          <w:szCs w:val="23"/>
        </w:rPr>
        <w:t xml:space="preserve">条生产线共用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套废气</w:t>
      </w:r>
      <w:r>
        <w:rPr>
          <w:rFonts w:ascii="宋体" w:hAnsi="宋体" w:eastAsia="宋体" w:cs="宋体"/>
          <w:sz w:val="23"/>
          <w:szCs w:val="23"/>
        </w:rPr>
        <w:t xml:space="preserve"> </w:t>
      </w:r>
      <w:r>
        <w:rPr>
          <w:rFonts w:ascii="宋体" w:hAnsi="宋体" w:eastAsia="宋体" w:cs="宋体"/>
          <w:spacing w:val="9"/>
          <w:sz w:val="23"/>
          <w:szCs w:val="23"/>
        </w:rPr>
        <w:t xml:space="preserve">处理设施，集气罩收集后的有机废气经由风量为 </w:t>
      </w:r>
      <w:r>
        <w:rPr>
          <w:rFonts w:ascii="Times New Roman" w:hAnsi="Times New Roman" w:eastAsia="Times New Roman" w:cs="Times New Roman"/>
          <w:spacing w:val="9"/>
          <w:sz w:val="23"/>
          <w:szCs w:val="23"/>
        </w:rPr>
        <w:t>5000</w:t>
      </w:r>
      <w:r>
        <w:rPr>
          <w:rFonts w:ascii="Times New Roman" w:hAnsi="Times New Roman" w:eastAsia="Times New Roman" w:cs="Times New Roman"/>
          <w:sz w:val="23"/>
          <w:szCs w:val="23"/>
        </w:rPr>
        <w:t>m</w:t>
      </w:r>
      <w:r>
        <w:rPr>
          <w:rFonts w:ascii="Times New Roman" w:hAnsi="Times New Roman" w:eastAsia="Times New Roman" w:cs="Times New Roman"/>
          <w:spacing w:val="9"/>
          <w:position w:val="8"/>
          <w:sz w:val="15"/>
          <w:szCs w:val="15"/>
        </w:rPr>
        <w:t>3</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的引风机抽入每个厂</w:t>
      </w:r>
      <w:r>
        <w:rPr>
          <w:rFonts w:ascii="宋体" w:hAnsi="宋体" w:eastAsia="宋体" w:cs="宋体"/>
          <w:sz w:val="23"/>
          <w:szCs w:val="23"/>
        </w:rPr>
        <w:t xml:space="preserve"> </w:t>
      </w:r>
      <w:r>
        <w:rPr>
          <w:rFonts w:ascii="宋体" w:hAnsi="宋体" w:eastAsia="宋体" w:cs="宋体"/>
          <w:spacing w:val="9"/>
          <w:sz w:val="23"/>
          <w:szCs w:val="23"/>
        </w:rPr>
        <w:t xml:space="preserve">房内各自设置的废气治理装置中，经过 </w:t>
      </w:r>
      <w:r>
        <w:rPr>
          <w:rFonts w:ascii="Times New Roman" w:hAnsi="Times New Roman" w:eastAsia="Times New Roman" w:cs="Times New Roman"/>
          <w:sz w:val="23"/>
          <w:szCs w:val="23"/>
        </w:rPr>
        <w:t>UV</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光氧催化废气处理装置</w:t>
      </w:r>
      <w:r>
        <w:rPr>
          <w:rFonts w:ascii="Times New Roman" w:hAnsi="Times New Roman" w:eastAsia="Times New Roman" w:cs="Times New Roman"/>
          <w:spacing w:val="9"/>
          <w:sz w:val="23"/>
          <w:szCs w:val="23"/>
        </w:rPr>
        <w:t>+</w:t>
      </w:r>
      <w:r>
        <w:rPr>
          <w:rFonts w:ascii="宋体" w:hAnsi="宋体" w:eastAsia="宋体" w:cs="宋体"/>
          <w:spacing w:val="9"/>
          <w:sz w:val="23"/>
          <w:szCs w:val="23"/>
        </w:rPr>
        <w:t>活性炭吸</w:t>
      </w:r>
      <w:r>
        <w:rPr>
          <w:rFonts w:ascii="宋体" w:hAnsi="宋体" w:eastAsia="宋体" w:cs="宋体"/>
          <w:spacing w:val="4"/>
          <w:sz w:val="23"/>
          <w:szCs w:val="23"/>
        </w:rPr>
        <w:t>附</w:t>
      </w:r>
      <w:r>
        <w:rPr>
          <w:rFonts w:ascii="宋体" w:hAnsi="宋体" w:eastAsia="宋体" w:cs="宋体"/>
          <w:sz w:val="23"/>
          <w:szCs w:val="23"/>
        </w:rPr>
        <w:t xml:space="preserve"> </w:t>
      </w:r>
      <w:r>
        <w:rPr>
          <w:rFonts w:ascii="宋体" w:hAnsi="宋体" w:eastAsia="宋体" w:cs="宋体"/>
          <w:spacing w:val="14"/>
          <w:sz w:val="23"/>
          <w:szCs w:val="23"/>
        </w:rPr>
        <w:t>装置</w:t>
      </w:r>
      <w:r>
        <w:rPr>
          <w:rFonts w:ascii="宋体" w:hAnsi="宋体" w:eastAsia="宋体" w:cs="宋体"/>
          <w:spacing w:val="12"/>
          <w:sz w:val="23"/>
          <w:szCs w:val="23"/>
        </w:rPr>
        <w:t>处</w:t>
      </w:r>
      <w:r>
        <w:rPr>
          <w:rFonts w:ascii="宋体" w:hAnsi="宋体" w:eastAsia="宋体" w:cs="宋体"/>
          <w:spacing w:val="7"/>
          <w:sz w:val="23"/>
          <w:szCs w:val="23"/>
        </w:rPr>
        <w:t xml:space="preserve">理后通过 </w:t>
      </w:r>
      <w:r>
        <w:rPr>
          <w:rFonts w:ascii="Times New Roman" w:hAnsi="Times New Roman" w:eastAsia="Times New Roman" w:cs="Times New Roman"/>
          <w:spacing w:val="7"/>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高排气筒有组织排放，共计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个排气筒 (</w:t>
      </w:r>
      <w:r>
        <w:rPr>
          <w:rFonts w:ascii="Times New Roman" w:hAnsi="Times New Roman" w:eastAsia="Times New Roman" w:cs="Times New Roman"/>
          <w:spacing w:val="7"/>
          <w:sz w:val="23"/>
          <w:szCs w:val="23"/>
        </w:rPr>
        <w:t>1#</w:t>
      </w:r>
      <w:r>
        <w:rPr>
          <w:rFonts w:ascii="宋体" w:hAnsi="宋体" w:eastAsia="宋体" w:cs="宋体"/>
          <w:spacing w:val="7"/>
          <w:sz w:val="23"/>
          <w:szCs w:val="23"/>
        </w:rPr>
        <w:t>排气筒、</w:t>
      </w:r>
      <w:r>
        <w:rPr>
          <w:rFonts w:ascii="Times New Roman" w:hAnsi="Times New Roman" w:eastAsia="Times New Roman" w:cs="Times New Roman"/>
          <w:spacing w:val="7"/>
          <w:sz w:val="23"/>
          <w:szCs w:val="23"/>
        </w:rPr>
        <w:t>2#</w:t>
      </w:r>
      <w:r>
        <w:rPr>
          <w:rFonts w:ascii="宋体" w:hAnsi="宋体" w:eastAsia="宋体" w:cs="宋体"/>
          <w:spacing w:val="7"/>
          <w:sz w:val="23"/>
          <w:szCs w:val="23"/>
        </w:rPr>
        <w:t>排</w:t>
      </w:r>
      <w:r>
        <w:rPr>
          <w:rFonts w:ascii="宋体" w:hAnsi="宋体" w:eastAsia="宋体" w:cs="宋体"/>
          <w:sz w:val="23"/>
          <w:szCs w:val="23"/>
        </w:rPr>
        <w:t xml:space="preserve"> </w:t>
      </w:r>
      <w:r>
        <w:rPr>
          <w:rFonts w:ascii="宋体" w:hAnsi="宋体" w:eastAsia="宋体" w:cs="宋体"/>
          <w:spacing w:val="17"/>
          <w:sz w:val="23"/>
          <w:szCs w:val="23"/>
        </w:rPr>
        <w:t>气</w:t>
      </w:r>
      <w:r>
        <w:rPr>
          <w:rFonts w:ascii="宋体" w:hAnsi="宋体" w:eastAsia="宋体" w:cs="宋体"/>
          <w:spacing w:val="12"/>
          <w:sz w:val="23"/>
          <w:szCs w:val="23"/>
        </w:rPr>
        <w:t>筒) 。</w:t>
      </w:r>
      <w:r>
        <w:rPr>
          <w:rFonts w:ascii="Times New Roman" w:hAnsi="Times New Roman" w:eastAsia="Times New Roman" w:cs="Times New Roman"/>
          <w:sz w:val="23"/>
          <w:szCs w:val="23"/>
        </w:rPr>
        <w:t>UV</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光氧催化废气处理装置</w:t>
      </w:r>
      <w:r>
        <w:rPr>
          <w:rFonts w:ascii="Times New Roman" w:hAnsi="Times New Roman" w:eastAsia="Times New Roman" w:cs="Times New Roman"/>
          <w:spacing w:val="12"/>
          <w:sz w:val="23"/>
          <w:szCs w:val="23"/>
        </w:rPr>
        <w:t>+</w:t>
      </w:r>
      <w:r>
        <w:rPr>
          <w:rFonts w:ascii="宋体" w:hAnsi="宋体" w:eastAsia="宋体" w:cs="宋体"/>
          <w:spacing w:val="12"/>
          <w:sz w:val="23"/>
          <w:szCs w:val="23"/>
        </w:rPr>
        <w:t>活性炭吸附装置对非甲烷总烃的处理效率</w:t>
      </w:r>
      <w:r>
        <w:rPr>
          <w:rFonts w:ascii="宋体" w:hAnsi="宋体" w:eastAsia="宋体" w:cs="宋体"/>
          <w:sz w:val="23"/>
          <w:szCs w:val="23"/>
        </w:rPr>
        <w:t xml:space="preserve"> </w:t>
      </w:r>
      <w:r>
        <w:rPr>
          <w:rFonts w:ascii="宋体" w:hAnsi="宋体" w:eastAsia="宋体" w:cs="宋体"/>
          <w:spacing w:val="5"/>
          <w:sz w:val="23"/>
          <w:szCs w:val="23"/>
        </w:rPr>
        <w:t xml:space="preserve">为 </w:t>
      </w:r>
      <w:r>
        <w:rPr>
          <w:rFonts w:ascii="Times New Roman" w:hAnsi="Times New Roman" w:eastAsia="Times New Roman" w:cs="Times New Roman"/>
          <w:spacing w:val="5"/>
          <w:sz w:val="23"/>
          <w:szCs w:val="23"/>
        </w:rPr>
        <w:t>85%</w:t>
      </w:r>
      <w:r>
        <w:rPr>
          <w:rFonts w:ascii="宋体" w:hAnsi="宋体" w:eastAsia="宋体" w:cs="宋体"/>
          <w:spacing w:val="5"/>
          <w:sz w:val="23"/>
          <w:szCs w:val="23"/>
        </w:rPr>
        <w:t>。废气处理后，颗粒物和非甲烷总烃排放浓度均满足《合成树脂工业</w:t>
      </w:r>
      <w:r>
        <w:rPr>
          <w:rFonts w:ascii="宋体" w:hAnsi="宋体" w:eastAsia="宋体" w:cs="宋体"/>
          <w:spacing w:val="3"/>
          <w:sz w:val="23"/>
          <w:szCs w:val="23"/>
        </w:rPr>
        <w:t>污</w:t>
      </w:r>
      <w:r>
        <w:rPr>
          <w:rFonts w:ascii="宋体" w:hAnsi="宋体" w:eastAsia="宋体" w:cs="宋体"/>
          <w:sz w:val="23"/>
          <w:szCs w:val="23"/>
        </w:rPr>
        <w:t xml:space="preserve">染 </w:t>
      </w:r>
      <w:r>
        <w:rPr>
          <w:rFonts w:ascii="宋体" w:hAnsi="宋体" w:eastAsia="宋体" w:cs="宋体"/>
          <w:spacing w:val="6"/>
          <w:sz w:val="23"/>
          <w:szCs w:val="23"/>
        </w:rPr>
        <w:t>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31572-2015</w:t>
      </w:r>
      <w:r>
        <w:rPr>
          <w:rFonts w:ascii="宋体" w:hAnsi="宋体" w:eastAsia="宋体" w:cs="宋体"/>
          <w:spacing w:val="6"/>
          <w:sz w:val="23"/>
          <w:szCs w:val="23"/>
        </w:rPr>
        <w:t xml:space="preserve">) 相关标准的要求。③该项目新建的 </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w:t>
      </w:r>
      <w:r>
        <w:rPr>
          <w:rFonts w:ascii="宋体" w:hAnsi="宋体" w:eastAsia="宋体" w:cs="宋体"/>
          <w:spacing w:val="5"/>
          <w:sz w:val="23"/>
          <w:szCs w:val="23"/>
        </w:rPr>
        <w:t>热</w:t>
      </w:r>
      <w:r>
        <w:rPr>
          <w:rFonts w:ascii="宋体" w:hAnsi="宋体" w:eastAsia="宋体" w:cs="宋体"/>
          <w:sz w:val="23"/>
          <w:szCs w:val="23"/>
        </w:rPr>
        <w:t xml:space="preserve">风 </w:t>
      </w:r>
      <w:r>
        <w:rPr>
          <w:rFonts w:ascii="宋体" w:hAnsi="宋体" w:eastAsia="宋体" w:cs="宋体"/>
          <w:spacing w:val="15"/>
          <w:sz w:val="23"/>
          <w:szCs w:val="23"/>
        </w:rPr>
        <w:t>炉</w:t>
      </w:r>
      <w:r>
        <w:rPr>
          <w:rFonts w:ascii="宋体" w:hAnsi="宋体" w:eastAsia="宋体" w:cs="宋体"/>
          <w:spacing w:val="9"/>
          <w:sz w:val="23"/>
          <w:szCs w:val="23"/>
        </w:rPr>
        <w:t xml:space="preserve">配备布袋除尘器，除尘效率大于 </w:t>
      </w:r>
      <w:r>
        <w:rPr>
          <w:rFonts w:ascii="Times New Roman" w:hAnsi="Times New Roman" w:eastAsia="Times New Roman" w:cs="Times New Roman"/>
          <w:spacing w:val="9"/>
          <w:sz w:val="23"/>
          <w:szCs w:val="23"/>
        </w:rPr>
        <w:t xml:space="preserve">99% </w:t>
      </w:r>
      <w:r>
        <w:rPr>
          <w:rFonts w:ascii="宋体" w:hAnsi="宋体" w:eastAsia="宋体" w:cs="宋体"/>
          <w:spacing w:val="9"/>
          <w:sz w:val="23"/>
          <w:szCs w:val="23"/>
        </w:rPr>
        <w:t>，热风炉产生的废气通过布袋除尘器处</w:t>
      </w:r>
      <w:r>
        <w:rPr>
          <w:rFonts w:ascii="宋体" w:hAnsi="宋体" w:eastAsia="宋体" w:cs="宋体"/>
          <w:sz w:val="23"/>
          <w:szCs w:val="23"/>
        </w:rPr>
        <w:t xml:space="preserve"> </w:t>
      </w:r>
      <w:r>
        <w:rPr>
          <w:rFonts w:ascii="宋体" w:hAnsi="宋体" w:eastAsia="宋体" w:cs="宋体"/>
          <w:spacing w:val="14"/>
          <w:sz w:val="23"/>
          <w:szCs w:val="23"/>
        </w:rPr>
        <w:t>理</w:t>
      </w:r>
      <w:r>
        <w:rPr>
          <w:rFonts w:ascii="宋体" w:hAnsi="宋体" w:eastAsia="宋体" w:cs="宋体"/>
          <w:spacing w:val="11"/>
          <w:sz w:val="23"/>
          <w:szCs w:val="23"/>
        </w:rPr>
        <w:t xml:space="preserve">后通过 </w:t>
      </w:r>
      <w:r>
        <w:rPr>
          <w:rFonts w:ascii="Times New Roman" w:hAnsi="Times New Roman" w:eastAsia="Times New Roman" w:cs="Times New Roman"/>
          <w:spacing w:val="11"/>
          <w:sz w:val="23"/>
          <w:szCs w:val="23"/>
        </w:rPr>
        <w:t xml:space="preserve">1 </w:t>
      </w:r>
      <w:r>
        <w:rPr>
          <w:rFonts w:ascii="宋体" w:hAnsi="宋体" w:eastAsia="宋体" w:cs="宋体"/>
          <w:spacing w:val="11"/>
          <w:sz w:val="23"/>
          <w:szCs w:val="23"/>
        </w:rPr>
        <w:t xml:space="preserve">个排气筒进行排放，设计排气筒高度为 </w:t>
      </w:r>
      <w:r>
        <w:rPr>
          <w:rFonts w:ascii="Times New Roman" w:hAnsi="Times New Roman" w:eastAsia="Times New Roman" w:cs="Times New Roman"/>
          <w:spacing w:val="11"/>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(新建锅炉房的烟囱周</w:t>
      </w:r>
      <w:r>
        <w:rPr>
          <w:rFonts w:ascii="宋体" w:hAnsi="宋体" w:eastAsia="宋体" w:cs="宋体"/>
          <w:sz w:val="23"/>
          <w:szCs w:val="23"/>
        </w:rPr>
        <w:t xml:space="preserve"> </w:t>
      </w:r>
      <w:r>
        <w:rPr>
          <w:rFonts w:ascii="宋体" w:hAnsi="宋体" w:eastAsia="宋体" w:cs="宋体"/>
          <w:spacing w:val="8"/>
          <w:sz w:val="23"/>
          <w:szCs w:val="23"/>
        </w:rPr>
        <w:t xml:space="preserve">围半径 </w:t>
      </w:r>
      <w:r>
        <w:rPr>
          <w:rFonts w:ascii="Times New Roman" w:hAnsi="Times New Roman" w:eastAsia="Times New Roman" w:cs="Times New Roman"/>
          <w:spacing w:val="8"/>
          <w:sz w:val="23"/>
          <w:szCs w:val="23"/>
        </w:rPr>
        <w:t>200</w:t>
      </w:r>
      <w:r>
        <w:rPr>
          <w:rFonts w:ascii="Times New Roman" w:hAnsi="Times New Roman" w:eastAsia="Times New Roman" w:cs="Times New Roman"/>
          <w:sz w:val="23"/>
          <w:szCs w:val="23"/>
        </w:rPr>
        <w:t>m</w:t>
      </w:r>
      <w:r>
        <w:rPr>
          <w:rFonts w:ascii="宋体" w:hAnsi="宋体" w:eastAsia="宋体" w:cs="宋体"/>
          <w:spacing w:val="8"/>
          <w:sz w:val="23"/>
          <w:szCs w:val="23"/>
        </w:rPr>
        <w:t xml:space="preserve">距离内有建筑物时，其烟囱应高出最高建筑物 </w:t>
      </w:r>
      <w:r>
        <w:rPr>
          <w:rFonts w:ascii="Times New Roman" w:hAnsi="Times New Roman" w:eastAsia="Times New Roman" w:cs="Times New Roman"/>
          <w:spacing w:val="8"/>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以上) 。废气</w:t>
      </w:r>
      <w:r>
        <w:rPr>
          <w:rFonts w:ascii="宋体" w:hAnsi="宋体" w:eastAsia="宋体" w:cs="宋体"/>
          <w:spacing w:val="3"/>
          <w:sz w:val="23"/>
          <w:szCs w:val="23"/>
        </w:rPr>
        <w:t>处</w:t>
      </w:r>
      <w:r>
        <w:rPr>
          <w:rFonts w:ascii="宋体" w:hAnsi="宋体" w:eastAsia="宋体" w:cs="宋体"/>
          <w:sz w:val="23"/>
          <w:szCs w:val="23"/>
        </w:rPr>
        <w:t xml:space="preserve"> </w:t>
      </w:r>
      <w:r>
        <w:rPr>
          <w:rFonts w:ascii="宋体" w:hAnsi="宋体" w:eastAsia="宋体" w:cs="宋体"/>
          <w:spacing w:val="15"/>
          <w:sz w:val="23"/>
          <w:szCs w:val="23"/>
        </w:rPr>
        <w:t>理</w:t>
      </w:r>
      <w:r>
        <w:rPr>
          <w:rFonts w:ascii="宋体" w:hAnsi="宋体" w:eastAsia="宋体" w:cs="宋体"/>
          <w:spacing w:val="11"/>
          <w:sz w:val="23"/>
          <w:szCs w:val="23"/>
        </w:rPr>
        <w:t>后，主要污染物烟尘、</w:t>
      </w:r>
      <w:r>
        <w:rPr>
          <w:rFonts w:ascii="Times New Roman" w:hAnsi="Times New Roman" w:eastAsia="Times New Roman" w:cs="Times New Roman"/>
          <w:sz w:val="23"/>
          <w:szCs w:val="23"/>
        </w:rPr>
        <w:t>NOx</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 xml:space="preserve">和 </w:t>
      </w:r>
      <w:r>
        <w:rPr>
          <w:rFonts w:ascii="Times New Roman" w:hAnsi="Times New Roman" w:eastAsia="Times New Roman" w:cs="Times New Roman"/>
          <w:sz w:val="23"/>
          <w:szCs w:val="23"/>
        </w:rPr>
        <w:t>SO</w:t>
      </w:r>
      <w:r>
        <w:rPr>
          <w:rFonts w:ascii="Times New Roman" w:hAnsi="Times New Roman" w:eastAsia="Times New Roman" w:cs="Times New Roman"/>
          <w:spacing w:val="11"/>
          <w:position w:val="-1"/>
          <w:sz w:val="15"/>
          <w:szCs w:val="15"/>
        </w:rPr>
        <w:t xml:space="preserve">2 </w:t>
      </w:r>
      <w:r>
        <w:rPr>
          <w:rFonts w:ascii="宋体" w:hAnsi="宋体" w:eastAsia="宋体" w:cs="宋体"/>
          <w:spacing w:val="11"/>
          <w:sz w:val="23"/>
          <w:szCs w:val="23"/>
        </w:rPr>
        <w:t>排放浓度可以达到《锅炉大气污染物排放</w:t>
      </w:r>
      <w:r>
        <w:rPr>
          <w:rFonts w:ascii="宋体" w:hAnsi="宋体" w:eastAsia="宋体" w:cs="宋体"/>
          <w:sz w:val="23"/>
          <w:szCs w:val="23"/>
        </w:rPr>
        <w:t xml:space="preserve"> </w:t>
      </w:r>
      <w:r>
        <w:rPr>
          <w:rFonts w:ascii="宋体" w:hAnsi="宋体" w:eastAsia="宋体" w:cs="宋体"/>
          <w:spacing w:val="1"/>
          <w:sz w:val="23"/>
          <w:szCs w:val="23"/>
        </w:rPr>
        <w:t>标准》(</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13271-2014</w:t>
      </w:r>
      <w:r>
        <w:rPr>
          <w:rFonts w:ascii="宋体" w:hAnsi="宋体" w:eastAsia="宋体" w:cs="宋体"/>
          <w:spacing w:val="1"/>
          <w:sz w:val="23"/>
          <w:szCs w:val="23"/>
        </w:rPr>
        <w:t xml:space="preserve">) 表 </w:t>
      </w:r>
      <w:r>
        <w:rPr>
          <w:rFonts w:ascii="Times New Roman" w:hAnsi="Times New Roman" w:eastAsia="Times New Roman" w:cs="Times New Roman"/>
          <w:spacing w:val="1"/>
          <w:sz w:val="23"/>
          <w:szCs w:val="23"/>
        </w:rPr>
        <w:t xml:space="preserve">3 </w:t>
      </w:r>
      <w:r>
        <w:rPr>
          <w:rFonts w:ascii="宋体" w:hAnsi="宋体" w:eastAsia="宋体" w:cs="宋体"/>
          <w:spacing w:val="1"/>
          <w:sz w:val="23"/>
          <w:szCs w:val="23"/>
        </w:rPr>
        <w:t>标准要求(颗粒物：</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mg/m</w:t>
      </w:r>
      <w:r>
        <w:rPr>
          <w:rFonts w:ascii="Times New Roman" w:hAnsi="Times New Roman" w:eastAsia="Times New Roman" w:cs="Times New Roman"/>
          <w:position w:val="8"/>
          <w:sz w:val="15"/>
          <w:szCs w:val="15"/>
        </w:rPr>
        <w:t>3</w:t>
      </w:r>
      <w:r>
        <w:rPr>
          <w:rFonts w:ascii="宋体" w:hAnsi="宋体" w:eastAsia="宋体" w:cs="宋体"/>
          <w:sz w:val="23"/>
          <w:szCs w:val="23"/>
        </w:rPr>
        <w:t>，氮氧化物：</w:t>
      </w:r>
      <w:r>
        <w:rPr>
          <w:rFonts w:ascii="Times New Roman" w:hAnsi="Times New Roman" w:eastAsia="Times New Roman" w:cs="Times New Roman"/>
          <w:sz w:val="23"/>
          <w:szCs w:val="23"/>
        </w:rPr>
        <w:t>200mg/m</w:t>
      </w:r>
      <w:r>
        <w:rPr>
          <w:rFonts w:ascii="Times New Roman" w:hAnsi="Times New Roman" w:eastAsia="Times New Roman" w:cs="Times New Roman"/>
          <w:position w:val="8"/>
          <w:sz w:val="15"/>
          <w:szCs w:val="15"/>
        </w:rPr>
        <w:t>3</w:t>
      </w:r>
      <w:r>
        <w:rPr>
          <w:rFonts w:ascii="宋体" w:hAnsi="宋体" w:eastAsia="宋体" w:cs="宋体"/>
          <w:sz w:val="23"/>
          <w:szCs w:val="23"/>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position w:val="-1"/>
          <w:sz w:val="15"/>
          <w:szCs w:val="15"/>
        </w:rPr>
        <w:t xml:space="preserve"> </w:t>
      </w:r>
      <w:r>
        <w:rPr>
          <w:rFonts w:ascii="宋体" w:hAnsi="宋体" w:eastAsia="宋体" w:cs="宋体"/>
          <w:sz w:val="23"/>
          <w:szCs w:val="23"/>
        </w:rPr>
        <w:t>：</w:t>
      </w:r>
      <w:r>
        <w:rPr>
          <w:rFonts w:ascii="Times New Roman" w:hAnsi="Times New Roman" w:eastAsia="Times New Roman" w:cs="Times New Roman"/>
          <w:sz w:val="23"/>
          <w:szCs w:val="23"/>
        </w:rPr>
        <w:t>200mg/m</w:t>
      </w:r>
      <w:r>
        <w:rPr>
          <w:rFonts w:ascii="Times New Roman" w:hAnsi="Times New Roman" w:eastAsia="Times New Roman" w:cs="Times New Roman"/>
          <w:position w:val="7"/>
          <w:sz w:val="15"/>
          <w:szCs w:val="15"/>
        </w:rPr>
        <w:t xml:space="preserve">3 </w:t>
      </w:r>
      <w:r>
        <w:rPr>
          <w:rFonts w:ascii="宋体" w:hAnsi="宋体" w:eastAsia="宋体" w:cs="宋体"/>
          <w:sz w:val="23"/>
          <w:szCs w:val="23"/>
        </w:rPr>
        <w:t>) 。</w:t>
      </w:r>
    </w:p>
    <w:p w14:paraId="7354E607">
      <w:pPr>
        <w:spacing w:before="129" w:line="220" w:lineRule="auto"/>
        <w:ind w:left="32"/>
        <w:rPr>
          <w:rFonts w:ascii="宋体" w:hAnsi="宋体" w:eastAsia="宋体" w:cs="宋体"/>
          <w:sz w:val="28"/>
          <w:szCs w:val="28"/>
        </w:rPr>
      </w:pPr>
      <w:r>
        <w:rPr>
          <w:rFonts w:ascii="Times New Roman" w:hAnsi="Times New Roman" w:eastAsia="Times New Roman" w:cs="Times New Roman"/>
          <w:b/>
          <w:bCs/>
          <w:spacing w:val="-2"/>
          <w:sz w:val="28"/>
          <w:szCs w:val="28"/>
        </w:rPr>
        <w:t>10.1.6</w:t>
      </w:r>
      <w:r>
        <w:rPr>
          <w:rFonts w:ascii="Times New Roman" w:hAnsi="Times New Roman" w:eastAsia="Times New Roman" w:cs="Times New Roman"/>
          <w:b/>
          <w:bCs/>
          <w:spacing w:val="-1"/>
          <w:sz w:val="28"/>
          <w:szCs w:val="28"/>
        </w:rPr>
        <w:t>.2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废水</w:t>
      </w:r>
    </w:p>
    <w:p w14:paraId="50D31CF3">
      <w:pPr>
        <w:spacing w:line="261" w:lineRule="auto"/>
        <w:rPr>
          <w:rFonts w:ascii="Arial"/>
          <w:sz w:val="21"/>
        </w:rPr>
      </w:pPr>
    </w:p>
    <w:p w14:paraId="01FE24DF">
      <w:pPr>
        <w:spacing w:before="75" w:line="228" w:lineRule="auto"/>
        <w:ind w:left="502"/>
        <w:rPr>
          <w:rFonts w:ascii="宋体" w:hAnsi="宋体" w:eastAsia="宋体" w:cs="宋体"/>
          <w:sz w:val="23"/>
          <w:szCs w:val="23"/>
        </w:rPr>
      </w:pPr>
      <w:r>
        <w:rPr>
          <w:rFonts w:ascii="宋体" w:hAnsi="宋体" w:eastAsia="宋体" w:cs="宋体"/>
          <w:spacing w:val="18"/>
          <w:sz w:val="23"/>
          <w:szCs w:val="23"/>
        </w:rPr>
        <w:t>施</w:t>
      </w:r>
      <w:r>
        <w:rPr>
          <w:rFonts w:ascii="宋体" w:hAnsi="宋体" w:eastAsia="宋体" w:cs="宋体"/>
          <w:spacing w:val="11"/>
          <w:sz w:val="23"/>
          <w:szCs w:val="23"/>
        </w:rPr>
        <w:t>工</w:t>
      </w:r>
      <w:r>
        <w:rPr>
          <w:rFonts w:ascii="宋体" w:hAnsi="宋体" w:eastAsia="宋体" w:cs="宋体"/>
          <w:spacing w:val="9"/>
          <w:sz w:val="23"/>
          <w:szCs w:val="23"/>
        </w:rPr>
        <w:t>期：生活污水排入临时旱厕，定期清掏；施工废水沉淀后回用；</w:t>
      </w:r>
    </w:p>
    <w:p w14:paraId="7F577F03">
      <w:pPr>
        <w:spacing w:line="273" w:lineRule="auto"/>
        <w:rPr>
          <w:rFonts w:ascii="Arial"/>
          <w:sz w:val="21"/>
        </w:rPr>
      </w:pPr>
    </w:p>
    <w:p w14:paraId="348262A9">
      <w:pPr>
        <w:spacing w:before="75" w:line="390" w:lineRule="auto"/>
        <w:ind w:left="23" w:right="73" w:firstLine="480"/>
        <w:rPr>
          <w:rFonts w:ascii="宋体" w:hAnsi="宋体" w:eastAsia="宋体" w:cs="宋体"/>
          <w:sz w:val="23"/>
          <w:szCs w:val="23"/>
        </w:rPr>
      </w:pPr>
      <w:r>
        <w:rPr>
          <w:rFonts w:ascii="宋体" w:hAnsi="宋体" w:eastAsia="宋体" w:cs="宋体"/>
          <w:spacing w:val="7"/>
          <w:sz w:val="23"/>
          <w:szCs w:val="23"/>
        </w:rPr>
        <w:t>运营期：该项目排水主要包括生活污水以及生产废水，其中生产废水主要</w:t>
      </w:r>
      <w:r>
        <w:rPr>
          <w:rFonts w:ascii="宋体" w:hAnsi="宋体" w:eastAsia="宋体" w:cs="宋体"/>
          <w:sz w:val="23"/>
          <w:szCs w:val="23"/>
        </w:rPr>
        <w:t xml:space="preserve">包 </w:t>
      </w:r>
      <w:r>
        <w:rPr>
          <w:rFonts w:ascii="宋体" w:hAnsi="宋体" w:eastAsia="宋体" w:cs="宋体"/>
          <w:spacing w:val="9"/>
          <w:sz w:val="23"/>
          <w:szCs w:val="23"/>
        </w:rPr>
        <w:t>括</w:t>
      </w:r>
      <w:r>
        <w:rPr>
          <w:rFonts w:ascii="宋体" w:hAnsi="宋体" w:eastAsia="宋体" w:cs="宋体"/>
          <w:spacing w:val="7"/>
          <w:sz w:val="23"/>
          <w:szCs w:val="23"/>
        </w:rPr>
        <w:t>破碎工序产生的废水，原料初洗工序、洗字工序、二次清洗工序产生的清洗废</w:t>
      </w:r>
      <w:r>
        <w:rPr>
          <w:rFonts w:ascii="宋体" w:hAnsi="宋体" w:eastAsia="宋体" w:cs="宋体"/>
          <w:sz w:val="23"/>
          <w:szCs w:val="23"/>
        </w:rPr>
        <w:t xml:space="preserve"> </w:t>
      </w:r>
      <w:r>
        <w:rPr>
          <w:rFonts w:ascii="宋体" w:hAnsi="宋体" w:eastAsia="宋体" w:cs="宋体"/>
          <w:spacing w:val="14"/>
          <w:sz w:val="23"/>
          <w:szCs w:val="23"/>
        </w:rPr>
        <w:t>水</w:t>
      </w:r>
      <w:r>
        <w:rPr>
          <w:rFonts w:ascii="宋体" w:hAnsi="宋体" w:eastAsia="宋体" w:cs="宋体"/>
          <w:spacing w:val="7"/>
          <w:sz w:val="23"/>
          <w:szCs w:val="23"/>
        </w:rPr>
        <w:t xml:space="preserve">、脱水工序产生的废水以及循环冷却废水，总排水量为 </w:t>
      </w:r>
      <w:r>
        <w:rPr>
          <w:rFonts w:ascii="Times New Roman" w:hAnsi="Times New Roman" w:eastAsia="Times New Roman" w:cs="Times New Roman"/>
          <w:spacing w:val="7"/>
          <w:sz w:val="23"/>
          <w:szCs w:val="23"/>
        </w:rPr>
        <w:t>2483.52</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。其中，</w:t>
      </w:r>
      <w:r>
        <w:rPr>
          <w:rFonts w:ascii="宋体" w:hAnsi="宋体" w:eastAsia="宋体" w:cs="宋体"/>
          <w:sz w:val="23"/>
          <w:szCs w:val="23"/>
        </w:rPr>
        <w:t xml:space="preserve"> </w:t>
      </w:r>
      <w:r>
        <w:rPr>
          <w:rFonts w:ascii="宋体" w:hAnsi="宋体" w:eastAsia="宋体" w:cs="宋体"/>
          <w:spacing w:val="4"/>
          <w:sz w:val="23"/>
          <w:szCs w:val="23"/>
        </w:rPr>
        <w:t>生活</w:t>
      </w:r>
      <w:r>
        <w:rPr>
          <w:rFonts w:ascii="宋体" w:hAnsi="宋体" w:eastAsia="宋体" w:cs="宋体"/>
          <w:spacing w:val="3"/>
          <w:sz w:val="23"/>
          <w:szCs w:val="23"/>
        </w:rPr>
        <w:t>污</w:t>
      </w:r>
      <w:r>
        <w:rPr>
          <w:rFonts w:ascii="宋体" w:hAnsi="宋体" w:eastAsia="宋体" w:cs="宋体"/>
          <w:spacing w:val="2"/>
          <w:sz w:val="23"/>
          <w:szCs w:val="23"/>
        </w:rPr>
        <w:t xml:space="preserve">水排放量为 </w:t>
      </w:r>
      <w:r>
        <w:rPr>
          <w:rFonts w:ascii="Times New Roman" w:hAnsi="Times New Roman" w:eastAsia="Times New Roman" w:cs="Times New Roman"/>
          <w:spacing w:val="2"/>
          <w:sz w:val="23"/>
          <w:szCs w:val="23"/>
        </w:rPr>
        <w:t>960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；生产废水排放量为 </w:t>
      </w:r>
      <w:r>
        <w:rPr>
          <w:rFonts w:ascii="Times New Roman" w:hAnsi="Times New Roman" w:eastAsia="Times New Roman" w:cs="Times New Roman"/>
          <w:spacing w:val="2"/>
          <w:sz w:val="23"/>
          <w:szCs w:val="23"/>
        </w:rPr>
        <w:t>1523.52</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p>
    <w:p w14:paraId="60C20706">
      <w:pPr>
        <w:spacing w:before="136" w:line="390" w:lineRule="auto"/>
        <w:ind w:left="27" w:right="7" w:firstLine="480"/>
        <w:rPr>
          <w:rFonts w:ascii="宋体" w:hAnsi="宋体" w:eastAsia="宋体" w:cs="宋体"/>
          <w:sz w:val="23"/>
          <w:szCs w:val="23"/>
        </w:rPr>
      </w:pPr>
      <w:r>
        <w:rPr>
          <w:rFonts w:ascii="宋体" w:hAnsi="宋体" w:eastAsia="宋体" w:cs="宋体"/>
          <w:spacing w:val="23"/>
          <w:sz w:val="23"/>
          <w:szCs w:val="23"/>
        </w:rPr>
        <w:t>该</w:t>
      </w:r>
      <w:r>
        <w:rPr>
          <w:rFonts w:ascii="宋体" w:hAnsi="宋体" w:eastAsia="宋体" w:cs="宋体"/>
          <w:spacing w:val="16"/>
          <w:sz w:val="23"/>
          <w:szCs w:val="23"/>
        </w:rPr>
        <w:t>项目在厂区东南侧设有旱厕，员工使用防渗旱厕，定期清掏，不外排；</w:t>
      </w:r>
      <w:r>
        <w:rPr>
          <w:rFonts w:ascii="宋体" w:hAnsi="宋体" w:eastAsia="宋体" w:cs="宋体"/>
          <w:sz w:val="23"/>
          <w:szCs w:val="23"/>
        </w:rPr>
        <w:t xml:space="preserve"> </w:t>
      </w:r>
      <w:r>
        <w:rPr>
          <w:rFonts w:ascii="宋体" w:hAnsi="宋体" w:eastAsia="宋体" w:cs="宋体"/>
          <w:spacing w:val="1"/>
          <w:sz w:val="23"/>
          <w:szCs w:val="23"/>
        </w:rPr>
        <w:t xml:space="preserve">项目设有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座容积为 </w:t>
      </w:r>
      <w:r>
        <w:rPr>
          <w:rFonts w:ascii="Times New Roman" w:hAnsi="Times New Roman" w:eastAsia="Times New Roman" w:cs="Times New Roman"/>
          <w:spacing w:val="1"/>
          <w:sz w:val="23"/>
          <w:szCs w:val="23"/>
        </w:rPr>
        <w:t>324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的三级</w:t>
      </w:r>
      <w:r>
        <w:rPr>
          <w:rFonts w:ascii="宋体" w:hAnsi="宋体" w:eastAsia="宋体" w:cs="宋体"/>
          <w:sz w:val="23"/>
          <w:szCs w:val="23"/>
        </w:rPr>
        <w:t>沉淀池 (</w:t>
      </w:r>
      <w:r>
        <w:rPr>
          <w:rFonts w:ascii="Times New Roman" w:hAnsi="Times New Roman" w:eastAsia="Times New Roman" w:cs="Times New Roman"/>
          <w:sz w:val="23"/>
          <w:szCs w:val="23"/>
        </w:rPr>
        <w:t>12m×6m×4.5m</w:t>
      </w:r>
      <w:r>
        <w:rPr>
          <w:rFonts w:ascii="宋体" w:hAnsi="宋体" w:eastAsia="宋体" w:cs="宋体"/>
          <w:sz w:val="23"/>
          <w:szCs w:val="23"/>
        </w:rPr>
        <w:t xml:space="preserve">) ，同时配套设有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台 </w:t>
      </w:r>
      <w:r>
        <w:rPr>
          <w:rFonts w:ascii="宋体" w:hAnsi="宋体" w:eastAsia="宋体" w:cs="宋体"/>
          <w:spacing w:val="7"/>
          <w:sz w:val="23"/>
          <w:szCs w:val="23"/>
        </w:rPr>
        <w:t>一体化污水预处理设备，均位于生产厂房西南侧，产生的生产废水经一体化污</w:t>
      </w:r>
      <w:r>
        <w:rPr>
          <w:rFonts w:ascii="宋体" w:hAnsi="宋体" w:eastAsia="宋体" w:cs="宋体"/>
          <w:spacing w:val="5"/>
          <w:sz w:val="23"/>
          <w:szCs w:val="23"/>
        </w:rPr>
        <w:t>水</w:t>
      </w:r>
    </w:p>
    <w:p w14:paraId="4FF570A7">
      <w:pPr>
        <w:sectPr>
          <w:headerReference r:id="rId339" w:type="default"/>
          <w:footerReference r:id="rId340" w:type="default"/>
          <w:pgSz w:w="11906" w:h="16839"/>
          <w:pgMar w:top="1132" w:right="1726" w:bottom="1182" w:left="1785" w:header="878" w:footer="1022" w:gutter="0"/>
          <w:cols w:space="720" w:num="1"/>
        </w:sectPr>
      </w:pPr>
    </w:p>
    <w:p w14:paraId="467527A7">
      <w:pPr>
        <w:spacing w:line="407" w:lineRule="auto"/>
        <w:rPr>
          <w:rFonts w:ascii="Arial"/>
          <w:sz w:val="21"/>
        </w:rPr>
      </w:pPr>
      <w:r>
        <w:pict>
          <v:shape id="_x0000_s1390" o:spid="_x0000_s1390" style="position:absolute;left:0pt;margin-left:90pt;margin-top:57.35pt;height:0.75pt;width:415.3pt;mso-position-horizontal-relative:page;mso-position-vertical-relative:page;z-index:252086272;mso-width-relative:page;mso-height-relative:page;" fillcolor="#000000" filled="t" stroked="f" coordsize="8305,15" o:allowincell="f" path="m0,0l8305,0,8305,14,0,14,0,0xe">
            <v:path/>
            <v:fill on="t" focussize="0,0"/>
            <v:stroke on="f"/>
            <v:imagedata o:title=""/>
            <o:lock v:ext="edit"/>
          </v:shape>
        </w:pict>
      </w:r>
    </w:p>
    <w:p w14:paraId="51622C43">
      <w:pPr>
        <w:spacing w:before="75" w:line="386" w:lineRule="auto"/>
        <w:ind w:left="22" w:right="1" w:firstLine="2"/>
        <w:rPr>
          <w:rFonts w:ascii="宋体" w:hAnsi="宋体" w:eastAsia="宋体" w:cs="宋体"/>
          <w:sz w:val="23"/>
          <w:szCs w:val="23"/>
        </w:rPr>
      </w:pPr>
      <w:r>
        <w:rPr>
          <w:rFonts w:ascii="宋体" w:hAnsi="宋体" w:eastAsia="宋体" w:cs="宋体"/>
          <w:spacing w:val="10"/>
          <w:sz w:val="23"/>
          <w:szCs w:val="23"/>
        </w:rPr>
        <w:t>预处</w:t>
      </w:r>
      <w:r>
        <w:rPr>
          <w:rFonts w:ascii="宋体" w:hAnsi="宋体" w:eastAsia="宋体" w:cs="宋体"/>
          <w:spacing w:val="8"/>
          <w:sz w:val="23"/>
          <w:szCs w:val="23"/>
        </w:rPr>
        <w:t>理</w:t>
      </w:r>
      <w:r>
        <w:rPr>
          <w:rFonts w:ascii="宋体" w:hAnsi="宋体" w:eastAsia="宋体" w:cs="宋体"/>
          <w:spacing w:val="5"/>
          <w:sz w:val="23"/>
          <w:szCs w:val="23"/>
        </w:rPr>
        <w:t>设备处理后排入三级沉淀池 (</w:t>
      </w:r>
      <w:r>
        <w:rPr>
          <w:rFonts w:ascii="Times New Roman" w:hAnsi="Times New Roman" w:eastAsia="Times New Roman" w:cs="Times New Roman"/>
          <w:spacing w:val="5"/>
          <w:sz w:val="23"/>
          <w:szCs w:val="23"/>
        </w:rPr>
        <w:t>12</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×6</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×4.5</w:t>
      </w:r>
      <w:r>
        <w:rPr>
          <w:rFonts w:ascii="Times New Roman" w:hAnsi="Times New Roman" w:eastAsia="Times New Roman" w:cs="Times New Roman"/>
          <w:sz w:val="23"/>
          <w:szCs w:val="23"/>
        </w:rPr>
        <w:t>m</w:t>
      </w:r>
      <w:r>
        <w:rPr>
          <w:rFonts w:ascii="宋体" w:hAnsi="宋体" w:eastAsia="宋体" w:cs="宋体"/>
          <w:spacing w:val="5"/>
          <w:sz w:val="23"/>
          <w:szCs w:val="23"/>
        </w:rPr>
        <w:t>) 沉淀处理，随后循环使用。</w:t>
      </w:r>
      <w:r>
        <w:rPr>
          <w:rFonts w:ascii="宋体" w:hAnsi="宋体" w:eastAsia="宋体" w:cs="宋体"/>
          <w:sz w:val="23"/>
          <w:szCs w:val="23"/>
        </w:rPr>
        <w:t xml:space="preserve"> </w:t>
      </w:r>
      <w:r>
        <w:rPr>
          <w:rFonts w:ascii="宋体" w:hAnsi="宋体" w:eastAsia="宋体" w:cs="宋体"/>
          <w:spacing w:val="1"/>
          <w:sz w:val="23"/>
          <w:szCs w:val="23"/>
        </w:rPr>
        <w:t>污水处理设施</w:t>
      </w:r>
      <w:r>
        <w:rPr>
          <w:rFonts w:ascii="宋体" w:hAnsi="宋体" w:eastAsia="宋体" w:cs="宋体"/>
          <w:sz w:val="23"/>
          <w:szCs w:val="23"/>
        </w:rPr>
        <w:t xml:space="preserve">废水每月更换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次，则该项目全年更换废水量为 </w:t>
      </w:r>
      <w:r>
        <w:rPr>
          <w:rFonts w:ascii="Times New Roman" w:hAnsi="Times New Roman" w:eastAsia="Times New Roman" w:cs="Times New Roman"/>
          <w:sz w:val="23"/>
          <w:szCs w:val="23"/>
        </w:rPr>
        <w:t>1523.52m</w:t>
      </w:r>
      <w:r>
        <w:rPr>
          <w:rFonts w:ascii="Times New Roman" w:hAnsi="Times New Roman" w:eastAsia="Times New Roman" w:cs="Times New Roman"/>
          <w:position w:val="8"/>
          <w:sz w:val="15"/>
          <w:szCs w:val="15"/>
        </w:rPr>
        <w:t>3</w:t>
      </w:r>
      <w:r>
        <w:rPr>
          <w:rFonts w:ascii="宋体" w:hAnsi="宋体" w:eastAsia="宋体" w:cs="宋体"/>
          <w:sz w:val="23"/>
          <w:szCs w:val="23"/>
        </w:rPr>
        <w:t xml:space="preserve">，更换过 </w:t>
      </w:r>
      <w:r>
        <w:rPr>
          <w:rFonts w:ascii="宋体" w:hAnsi="宋体" w:eastAsia="宋体" w:cs="宋体"/>
          <w:spacing w:val="-4"/>
          <w:sz w:val="23"/>
          <w:szCs w:val="23"/>
        </w:rPr>
        <w:t>程产生的废水经吸污车运送</w:t>
      </w:r>
      <w:r>
        <w:rPr>
          <w:rFonts w:ascii="宋体" w:hAnsi="宋体" w:eastAsia="宋体" w:cs="宋体"/>
          <w:spacing w:val="-2"/>
          <w:sz w:val="23"/>
          <w:szCs w:val="23"/>
        </w:rPr>
        <w:t>至本溪市科态污水处理有限责任公司统一处理。 由工程</w:t>
      </w:r>
      <w:r>
        <w:rPr>
          <w:rFonts w:ascii="宋体" w:hAnsi="宋体" w:eastAsia="宋体" w:cs="宋体"/>
          <w:sz w:val="23"/>
          <w:szCs w:val="23"/>
        </w:rPr>
        <w:t xml:space="preserve"> </w:t>
      </w:r>
      <w:r>
        <w:rPr>
          <w:rFonts w:ascii="宋体" w:hAnsi="宋体" w:eastAsia="宋体" w:cs="宋体"/>
          <w:spacing w:val="6"/>
          <w:sz w:val="23"/>
          <w:szCs w:val="23"/>
        </w:rPr>
        <w:t xml:space="preserve">分析章节可知，该部分更换的生产废水主要污染物为 </w:t>
      </w:r>
      <w:r>
        <w:rPr>
          <w:rFonts w:ascii="Times New Roman" w:hAnsi="Times New Roman" w:eastAsia="Times New Roman" w:cs="Times New Roman"/>
          <w:sz w:val="23"/>
          <w:szCs w:val="23"/>
        </w:rPr>
        <w:t>COD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、石油类，能</w:t>
      </w:r>
      <w:r>
        <w:rPr>
          <w:rFonts w:ascii="宋体" w:hAnsi="宋体" w:eastAsia="宋体" w:cs="宋体"/>
          <w:sz w:val="23"/>
          <w:szCs w:val="23"/>
        </w:rPr>
        <w:t xml:space="preserve">够 </w:t>
      </w:r>
      <w:r>
        <w:rPr>
          <w:rFonts w:ascii="宋体" w:hAnsi="宋体" w:eastAsia="宋体" w:cs="宋体"/>
          <w:spacing w:val="8"/>
          <w:sz w:val="23"/>
          <w:szCs w:val="23"/>
        </w:rPr>
        <w:t>达到《辽宁</w:t>
      </w:r>
      <w:r>
        <w:rPr>
          <w:rFonts w:ascii="宋体" w:hAnsi="宋体" w:eastAsia="宋体" w:cs="宋体"/>
          <w:spacing w:val="7"/>
          <w:sz w:val="23"/>
          <w:szCs w:val="23"/>
        </w:rPr>
        <w:t>省</w:t>
      </w:r>
      <w:r>
        <w:rPr>
          <w:rFonts w:ascii="宋体" w:hAnsi="宋体" w:eastAsia="宋体" w:cs="宋体"/>
          <w:spacing w:val="4"/>
          <w:sz w:val="23"/>
          <w:szCs w:val="23"/>
        </w:rPr>
        <w:t>污水综合排放标准》 (</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21/ 1627-2008</w:t>
      </w:r>
      <w:r>
        <w:rPr>
          <w:rFonts w:ascii="宋体" w:hAnsi="宋体" w:eastAsia="宋体" w:cs="宋体"/>
          <w:spacing w:val="4"/>
          <w:sz w:val="23"/>
          <w:szCs w:val="23"/>
        </w:rPr>
        <w:t>) 中排入污水处理厂的水污</w:t>
      </w:r>
      <w:r>
        <w:rPr>
          <w:rFonts w:ascii="宋体" w:hAnsi="宋体" w:eastAsia="宋体" w:cs="宋体"/>
          <w:sz w:val="23"/>
          <w:szCs w:val="23"/>
        </w:rPr>
        <w:t xml:space="preserve"> </w:t>
      </w:r>
      <w:r>
        <w:rPr>
          <w:rFonts w:ascii="宋体" w:hAnsi="宋体" w:eastAsia="宋体" w:cs="宋体"/>
          <w:spacing w:val="18"/>
          <w:sz w:val="23"/>
          <w:szCs w:val="23"/>
        </w:rPr>
        <w:t>染</w:t>
      </w:r>
      <w:r>
        <w:rPr>
          <w:rFonts w:ascii="宋体" w:hAnsi="宋体" w:eastAsia="宋体" w:cs="宋体"/>
          <w:spacing w:val="11"/>
          <w:sz w:val="23"/>
          <w:szCs w:val="23"/>
        </w:rPr>
        <w:t>物</w:t>
      </w:r>
      <w:r>
        <w:rPr>
          <w:rFonts w:ascii="宋体" w:hAnsi="宋体" w:eastAsia="宋体" w:cs="宋体"/>
          <w:spacing w:val="9"/>
          <w:sz w:val="23"/>
          <w:szCs w:val="23"/>
        </w:rPr>
        <w:t>最高允许排放浓度限制要求，对当地地表水环境质量影响不大。</w:t>
      </w:r>
    </w:p>
    <w:p w14:paraId="25B667CF">
      <w:pPr>
        <w:spacing w:before="115" w:line="221" w:lineRule="auto"/>
        <w:ind w:left="32"/>
        <w:rPr>
          <w:rFonts w:ascii="宋体" w:hAnsi="宋体" w:eastAsia="宋体" w:cs="宋体"/>
          <w:sz w:val="28"/>
          <w:szCs w:val="28"/>
        </w:rPr>
      </w:pPr>
      <w:r>
        <w:rPr>
          <w:rFonts w:ascii="Times New Roman" w:hAnsi="Times New Roman" w:eastAsia="Times New Roman" w:cs="Times New Roman"/>
          <w:b/>
          <w:bCs/>
          <w:spacing w:val="-2"/>
          <w:sz w:val="28"/>
          <w:szCs w:val="28"/>
        </w:rPr>
        <w:t>10.1.6</w:t>
      </w:r>
      <w:r>
        <w:rPr>
          <w:rFonts w:ascii="Times New Roman" w:hAnsi="Times New Roman" w:eastAsia="Times New Roman" w:cs="Times New Roman"/>
          <w:b/>
          <w:bCs/>
          <w:spacing w:val="-1"/>
          <w:sz w:val="28"/>
          <w:szCs w:val="28"/>
        </w:rPr>
        <w:t>.3</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噪声</w:t>
      </w:r>
    </w:p>
    <w:p w14:paraId="79DA4D40">
      <w:pPr>
        <w:spacing w:line="260" w:lineRule="auto"/>
        <w:rPr>
          <w:rFonts w:ascii="Arial"/>
          <w:sz w:val="21"/>
        </w:rPr>
      </w:pPr>
    </w:p>
    <w:p w14:paraId="07B2779D">
      <w:pPr>
        <w:spacing w:before="74" w:line="228" w:lineRule="auto"/>
        <w:ind w:left="502"/>
        <w:rPr>
          <w:rFonts w:ascii="宋体" w:hAnsi="宋体" w:eastAsia="宋体" w:cs="宋体"/>
          <w:sz w:val="23"/>
          <w:szCs w:val="23"/>
        </w:rPr>
      </w:pPr>
      <w:r>
        <w:rPr>
          <w:rFonts w:ascii="宋体" w:hAnsi="宋体" w:eastAsia="宋体" w:cs="宋体"/>
          <w:spacing w:val="12"/>
          <w:sz w:val="23"/>
          <w:szCs w:val="23"/>
        </w:rPr>
        <w:t>施</w:t>
      </w:r>
      <w:r>
        <w:rPr>
          <w:rFonts w:ascii="宋体" w:hAnsi="宋体" w:eastAsia="宋体" w:cs="宋体"/>
          <w:spacing w:val="9"/>
          <w:sz w:val="23"/>
          <w:szCs w:val="23"/>
        </w:rPr>
        <w:t>工期：加强管理，夜间禁止施工，远离居民区；</w:t>
      </w:r>
    </w:p>
    <w:p w14:paraId="4EEDEE90">
      <w:pPr>
        <w:spacing w:line="275" w:lineRule="auto"/>
        <w:rPr>
          <w:rFonts w:ascii="Arial"/>
          <w:sz w:val="21"/>
        </w:rPr>
      </w:pPr>
    </w:p>
    <w:p w14:paraId="325C8B84">
      <w:pPr>
        <w:spacing w:before="75" w:line="228" w:lineRule="auto"/>
        <w:ind w:left="503"/>
        <w:rPr>
          <w:rFonts w:ascii="宋体" w:hAnsi="宋体" w:eastAsia="宋体" w:cs="宋体"/>
          <w:sz w:val="23"/>
          <w:szCs w:val="23"/>
        </w:rPr>
      </w:pPr>
      <w:r>
        <w:rPr>
          <w:rFonts w:ascii="宋体" w:hAnsi="宋体" w:eastAsia="宋体" w:cs="宋体"/>
          <w:spacing w:val="17"/>
          <w:sz w:val="23"/>
          <w:szCs w:val="23"/>
        </w:rPr>
        <w:t>运</w:t>
      </w:r>
      <w:r>
        <w:rPr>
          <w:rFonts w:ascii="宋体" w:hAnsi="宋体" w:eastAsia="宋体" w:cs="宋体"/>
          <w:spacing w:val="9"/>
          <w:sz w:val="23"/>
          <w:szCs w:val="23"/>
        </w:rPr>
        <w:t>营期：合理布局，首选低噪声设备，减振、隔声，厂界达标。</w:t>
      </w:r>
    </w:p>
    <w:p w14:paraId="179B4471">
      <w:pPr>
        <w:spacing w:before="316" w:line="221" w:lineRule="auto"/>
        <w:ind w:left="32"/>
        <w:rPr>
          <w:rFonts w:ascii="宋体" w:hAnsi="宋体" w:eastAsia="宋体" w:cs="宋体"/>
          <w:sz w:val="28"/>
          <w:szCs w:val="28"/>
        </w:rPr>
      </w:pPr>
      <w:r>
        <w:rPr>
          <w:rFonts w:ascii="Times New Roman" w:hAnsi="Times New Roman" w:eastAsia="Times New Roman" w:cs="Times New Roman"/>
          <w:b/>
          <w:bCs/>
          <w:spacing w:val="-2"/>
          <w:sz w:val="28"/>
          <w:szCs w:val="28"/>
        </w:rPr>
        <w:t>10.</w:t>
      </w:r>
      <w:r>
        <w:rPr>
          <w:rFonts w:ascii="Times New Roman" w:hAnsi="Times New Roman" w:eastAsia="Times New Roman" w:cs="Times New Roman"/>
          <w:b/>
          <w:bCs/>
          <w:spacing w:val="-1"/>
          <w:sz w:val="28"/>
          <w:szCs w:val="28"/>
        </w:rPr>
        <w:t>1.6.4</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固体废物</w:t>
      </w:r>
    </w:p>
    <w:p w14:paraId="5BF91057">
      <w:pPr>
        <w:spacing w:line="260" w:lineRule="auto"/>
        <w:rPr>
          <w:rFonts w:ascii="Arial"/>
          <w:sz w:val="21"/>
        </w:rPr>
      </w:pPr>
    </w:p>
    <w:p w14:paraId="3586732F">
      <w:pPr>
        <w:spacing w:before="75" w:line="228" w:lineRule="auto"/>
        <w:ind w:left="502"/>
        <w:rPr>
          <w:rFonts w:ascii="宋体" w:hAnsi="宋体" w:eastAsia="宋体" w:cs="宋体"/>
          <w:sz w:val="23"/>
          <w:szCs w:val="23"/>
        </w:rPr>
      </w:pPr>
      <w:r>
        <w:rPr>
          <w:rFonts w:ascii="宋体" w:hAnsi="宋体" w:eastAsia="宋体" w:cs="宋体"/>
          <w:spacing w:val="18"/>
          <w:sz w:val="23"/>
          <w:szCs w:val="23"/>
        </w:rPr>
        <w:t>施</w:t>
      </w:r>
      <w:r>
        <w:rPr>
          <w:rFonts w:ascii="宋体" w:hAnsi="宋体" w:eastAsia="宋体" w:cs="宋体"/>
          <w:spacing w:val="12"/>
          <w:sz w:val="23"/>
          <w:szCs w:val="23"/>
        </w:rPr>
        <w:t>工</w:t>
      </w:r>
      <w:r>
        <w:rPr>
          <w:rFonts w:ascii="宋体" w:hAnsi="宋体" w:eastAsia="宋体" w:cs="宋体"/>
          <w:spacing w:val="9"/>
          <w:sz w:val="23"/>
          <w:szCs w:val="23"/>
        </w:rPr>
        <w:t>期：废弃砂石运往政府指定地点堆存，生活垃圾运往垃圾填埋场；</w:t>
      </w:r>
    </w:p>
    <w:p w14:paraId="30D64BC0">
      <w:pPr>
        <w:spacing w:line="270" w:lineRule="auto"/>
        <w:rPr>
          <w:rFonts w:ascii="Arial"/>
          <w:sz w:val="21"/>
        </w:rPr>
      </w:pPr>
    </w:p>
    <w:p w14:paraId="7191B8BE">
      <w:pPr>
        <w:spacing w:before="75" w:line="387" w:lineRule="auto"/>
        <w:ind w:left="22" w:right="4" w:firstLine="480"/>
        <w:rPr>
          <w:rFonts w:ascii="宋体" w:hAnsi="宋体" w:eastAsia="宋体" w:cs="宋体"/>
          <w:sz w:val="23"/>
          <w:szCs w:val="23"/>
        </w:rPr>
      </w:pPr>
      <w:r>
        <w:rPr>
          <w:rFonts w:ascii="宋体" w:hAnsi="宋体" w:eastAsia="宋体" w:cs="宋体"/>
          <w:spacing w:val="7"/>
          <w:sz w:val="23"/>
          <w:szCs w:val="23"/>
        </w:rPr>
        <w:t>运营期：该项目在厂区内设置集中收集垃圾箱，员工生活垃圾收集到指定</w:t>
      </w:r>
      <w:r>
        <w:rPr>
          <w:rFonts w:ascii="宋体" w:hAnsi="宋体" w:eastAsia="宋体" w:cs="宋体"/>
          <w:spacing w:val="3"/>
          <w:sz w:val="23"/>
          <w:szCs w:val="23"/>
        </w:rPr>
        <w:t>垃</w:t>
      </w:r>
      <w:r>
        <w:rPr>
          <w:rFonts w:ascii="宋体" w:hAnsi="宋体" w:eastAsia="宋体" w:cs="宋体"/>
          <w:sz w:val="23"/>
          <w:szCs w:val="23"/>
        </w:rPr>
        <w:t xml:space="preserve"> </w:t>
      </w:r>
      <w:r>
        <w:rPr>
          <w:rFonts w:ascii="宋体" w:hAnsi="宋体" w:eastAsia="宋体" w:cs="宋体"/>
          <w:spacing w:val="9"/>
          <w:sz w:val="23"/>
          <w:szCs w:val="23"/>
        </w:rPr>
        <w:t>圾</w:t>
      </w:r>
      <w:r>
        <w:rPr>
          <w:rFonts w:ascii="宋体" w:hAnsi="宋体" w:eastAsia="宋体" w:cs="宋体"/>
          <w:spacing w:val="7"/>
          <w:sz w:val="23"/>
          <w:szCs w:val="23"/>
        </w:rPr>
        <w:t>箱内，随后运送至环卫部门指定地点统一处理；产生的杂质集中收集后，与生</w:t>
      </w:r>
      <w:r>
        <w:rPr>
          <w:rFonts w:ascii="宋体" w:hAnsi="宋体" w:eastAsia="宋体" w:cs="宋体"/>
          <w:sz w:val="23"/>
          <w:szCs w:val="23"/>
        </w:rPr>
        <w:t xml:space="preserve"> </w:t>
      </w:r>
      <w:r>
        <w:rPr>
          <w:rFonts w:ascii="宋体" w:hAnsi="宋体" w:eastAsia="宋体" w:cs="宋体"/>
          <w:spacing w:val="9"/>
          <w:sz w:val="23"/>
          <w:szCs w:val="23"/>
        </w:rPr>
        <w:t>活</w:t>
      </w:r>
      <w:r>
        <w:rPr>
          <w:rFonts w:ascii="宋体" w:hAnsi="宋体" w:eastAsia="宋体" w:cs="宋体"/>
          <w:spacing w:val="7"/>
          <w:sz w:val="23"/>
          <w:szCs w:val="23"/>
        </w:rPr>
        <w:t>垃圾统一运送至环卫部门指定地点统一处理；生产废水处理过程中产生的污泥</w:t>
      </w:r>
      <w:r>
        <w:rPr>
          <w:rFonts w:ascii="宋体" w:hAnsi="宋体" w:eastAsia="宋体" w:cs="宋体"/>
          <w:sz w:val="23"/>
          <w:szCs w:val="23"/>
        </w:rPr>
        <w:t xml:space="preserve"> </w:t>
      </w:r>
      <w:r>
        <w:rPr>
          <w:rFonts w:ascii="宋体" w:hAnsi="宋体" w:eastAsia="宋体" w:cs="宋体"/>
          <w:spacing w:val="26"/>
          <w:sz w:val="23"/>
          <w:szCs w:val="23"/>
        </w:rPr>
        <w:t>经</w:t>
      </w:r>
      <w:r>
        <w:rPr>
          <w:rFonts w:ascii="宋体" w:hAnsi="宋体" w:eastAsia="宋体" w:cs="宋体"/>
          <w:spacing w:val="23"/>
          <w:sz w:val="23"/>
          <w:szCs w:val="23"/>
        </w:rPr>
        <w:t>压</w:t>
      </w:r>
      <w:r>
        <w:rPr>
          <w:rFonts w:ascii="宋体" w:hAnsi="宋体" w:eastAsia="宋体" w:cs="宋体"/>
          <w:spacing w:val="13"/>
          <w:sz w:val="23"/>
          <w:szCs w:val="23"/>
        </w:rPr>
        <w:t>滤后可与生活垃圾一起运送至环卫部门指定地点统一处理；热风炉燃烧生</w:t>
      </w:r>
      <w:r>
        <w:rPr>
          <w:rFonts w:ascii="宋体" w:hAnsi="宋体" w:eastAsia="宋体" w:cs="宋体"/>
          <w:sz w:val="23"/>
          <w:szCs w:val="23"/>
        </w:rPr>
        <w:t xml:space="preserve"> </w:t>
      </w:r>
      <w:r>
        <w:rPr>
          <w:rFonts w:ascii="宋体" w:hAnsi="宋体" w:eastAsia="宋体" w:cs="宋体"/>
          <w:spacing w:val="35"/>
          <w:sz w:val="23"/>
          <w:szCs w:val="23"/>
        </w:rPr>
        <w:t>物</w:t>
      </w:r>
      <w:r>
        <w:rPr>
          <w:rFonts w:ascii="宋体" w:hAnsi="宋体" w:eastAsia="宋体" w:cs="宋体"/>
          <w:spacing w:val="21"/>
          <w:sz w:val="23"/>
          <w:szCs w:val="23"/>
        </w:rPr>
        <w:t>质产生的炉渣及及除尘器收集的粉尘定期外卖给农肥厂进行综合利用；产</w:t>
      </w:r>
      <w:r>
        <w:rPr>
          <w:rFonts w:ascii="宋体" w:hAnsi="宋体" w:eastAsia="宋体" w:cs="宋体"/>
          <w:sz w:val="23"/>
          <w:szCs w:val="23"/>
        </w:rPr>
        <w:t xml:space="preserve"> </w:t>
      </w:r>
      <w:r>
        <w:rPr>
          <w:rFonts w:ascii="宋体" w:hAnsi="宋体" w:eastAsia="宋体" w:cs="宋体"/>
          <w:spacing w:val="12"/>
          <w:sz w:val="23"/>
          <w:szCs w:val="23"/>
        </w:rPr>
        <w:t>生的</w:t>
      </w:r>
      <w:r>
        <w:rPr>
          <w:rFonts w:ascii="宋体" w:hAnsi="宋体" w:eastAsia="宋体" w:cs="宋体"/>
          <w:spacing w:val="10"/>
          <w:sz w:val="23"/>
          <w:szCs w:val="23"/>
        </w:rPr>
        <w:t>废</w:t>
      </w:r>
      <w:r>
        <w:rPr>
          <w:rFonts w:ascii="宋体" w:hAnsi="宋体" w:eastAsia="宋体" w:cs="宋体"/>
          <w:spacing w:val="6"/>
          <w:sz w:val="23"/>
          <w:szCs w:val="23"/>
        </w:rPr>
        <w:t>滤网均由厂家定期回收；产生的废活性炭属于</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6"/>
          <w:sz w:val="23"/>
          <w:szCs w:val="23"/>
        </w:rPr>
        <w:t xml:space="preserve">49  </w:t>
      </w:r>
      <w:r>
        <w:rPr>
          <w:rFonts w:ascii="宋体" w:hAnsi="宋体" w:eastAsia="宋体" w:cs="宋体"/>
          <w:spacing w:val="6"/>
          <w:sz w:val="23"/>
          <w:szCs w:val="23"/>
        </w:rPr>
        <w:t>其他废物</w:t>
      </w:r>
      <w:r>
        <w:rPr>
          <w:rFonts w:ascii="Times New Roman" w:hAnsi="Times New Roman" w:eastAsia="Times New Roman" w:cs="Times New Roman"/>
          <w:spacing w:val="6"/>
          <w:sz w:val="23"/>
          <w:szCs w:val="23"/>
        </w:rPr>
        <w:t>”</w:t>
      </w:r>
      <w:r>
        <w:rPr>
          <w:rFonts w:ascii="宋体" w:hAnsi="宋体" w:eastAsia="宋体" w:cs="宋体"/>
          <w:spacing w:val="6"/>
          <w:sz w:val="23"/>
          <w:szCs w:val="23"/>
        </w:rPr>
        <w:t>，废物代</w:t>
      </w:r>
      <w:r>
        <w:rPr>
          <w:rFonts w:ascii="宋体" w:hAnsi="宋体" w:eastAsia="宋体" w:cs="宋体"/>
          <w:sz w:val="23"/>
          <w:szCs w:val="23"/>
        </w:rPr>
        <w:t xml:space="preserve"> </w:t>
      </w:r>
      <w:r>
        <w:rPr>
          <w:rFonts w:ascii="宋体" w:hAnsi="宋体" w:eastAsia="宋体" w:cs="宋体"/>
          <w:spacing w:val="7"/>
          <w:sz w:val="23"/>
          <w:szCs w:val="23"/>
        </w:rPr>
        <w:t xml:space="preserve">码为 </w:t>
      </w:r>
      <w:r>
        <w:rPr>
          <w:rFonts w:ascii="Times New Roman" w:hAnsi="Times New Roman" w:eastAsia="Times New Roman" w:cs="Times New Roman"/>
          <w:spacing w:val="7"/>
          <w:sz w:val="23"/>
          <w:szCs w:val="23"/>
        </w:rPr>
        <w:t xml:space="preserve">900-041-49 </w:t>
      </w:r>
      <w:r>
        <w:rPr>
          <w:rFonts w:ascii="宋体" w:hAnsi="宋体" w:eastAsia="宋体" w:cs="宋体"/>
          <w:spacing w:val="7"/>
          <w:sz w:val="23"/>
          <w:szCs w:val="23"/>
        </w:rPr>
        <w:t>，即</w:t>
      </w:r>
      <w:r>
        <w:rPr>
          <w:rFonts w:ascii="Times New Roman" w:hAnsi="Times New Roman" w:eastAsia="Times New Roman" w:cs="Times New Roman"/>
          <w:spacing w:val="7"/>
          <w:sz w:val="23"/>
          <w:szCs w:val="23"/>
        </w:rPr>
        <w:t>“</w:t>
      </w:r>
      <w:r>
        <w:rPr>
          <w:rFonts w:ascii="宋体" w:hAnsi="宋体" w:eastAsia="宋体" w:cs="宋体"/>
          <w:spacing w:val="7"/>
          <w:sz w:val="23"/>
          <w:szCs w:val="23"/>
        </w:rPr>
        <w:t>含有或沾染毒性、感染性危险废物的废弃包装物、容器</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3"/>
          <w:sz w:val="23"/>
          <w:szCs w:val="23"/>
        </w:rPr>
        <w:t>过滤吸附介质</w:t>
      </w:r>
      <w:r>
        <w:rPr>
          <w:rFonts w:ascii="Times New Roman" w:hAnsi="Times New Roman" w:eastAsia="Times New Roman" w:cs="Times New Roman"/>
          <w:spacing w:val="3"/>
          <w:sz w:val="23"/>
          <w:szCs w:val="23"/>
        </w:rPr>
        <w:t>”</w:t>
      </w:r>
      <w:r>
        <w:rPr>
          <w:rFonts w:ascii="宋体" w:hAnsi="宋体" w:eastAsia="宋体" w:cs="宋体"/>
          <w:spacing w:val="3"/>
          <w:sz w:val="23"/>
          <w:szCs w:val="23"/>
        </w:rPr>
        <w:t>，危险特性为</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宋体" w:hAnsi="宋体" w:eastAsia="宋体" w:cs="宋体"/>
          <w:spacing w:val="3"/>
          <w:sz w:val="23"/>
          <w:szCs w:val="23"/>
        </w:rPr>
        <w:t>(毒性)，</w:t>
      </w:r>
      <w:r>
        <w:rPr>
          <w:rFonts w:ascii="Times New Roman" w:hAnsi="Times New Roman" w:eastAsia="Times New Roman" w:cs="Times New Roman"/>
          <w:sz w:val="23"/>
          <w:szCs w:val="23"/>
        </w:rPr>
        <w:t>In</w:t>
      </w:r>
      <w:r>
        <w:rPr>
          <w:rFonts w:ascii="宋体" w:hAnsi="宋体" w:eastAsia="宋体" w:cs="宋体"/>
          <w:spacing w:val="3"/>
          <w:sz w:val="23"/>
          <w:szCs w:val="23"/>
        </w:rPr>
        <w:t>(感染性)</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，废 </w:t>
      </w:r>
      <w:r>
        <w:rPr>
          <w:rFonts w:ascii="Times New Roman" w:hAnsi="Times New Roman" w:eastAsia="Times New Roman" w:cs="Times New Roman"/>
          <w:sz w:val="23"/>
          <w:szCs w:val="23"/>
        </w:rPr>
        <w:t>uv</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光解灯管属于</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 xml:space="preserve">9 </w:t>
      </w:r>
      <w:r>
        <w:rPr>
          <w:rFonts w:ascii="宋体" w:hAnsi="宋体" w:eastAsia="宋体" w:cs="宋体"/>
          <w:spacing w:val="3"/>
          <w:sz w:val="23"/>
          <w:szCs w:val="23"/>
        </w:rPr>
        <w:t>含汞废物</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，废物代码为 </w:t>
      </w:r>
      <w:r>
        <w:rPr>
          <w:rFonts w:ascii="Times New Roman" w:hAnsi="Times New Roman" w:eastAsia="Times New Roman" w:cs="Times New Roman"/>
          <w:spacing w:val="3"/>
          <w:sz w:val="23"/>
          <w:szCs w:val="23"/>
        </w:rPr>
        <w:t xml:space="preserve">900-023-29 </w:t>
      </w:r>
      <w:r>
        <w:rPr>
          <w:rFonts w:ascii="宋体" w:hAnsi="宋体" w:eastAsia="宋体" w:cs="宋体"/>
          <w:spacing w:val="3"/>
          <w:sz w:val="23"/>
          <w:szCs w:val="23"/>
        </w:rPr>
        <w:t>，即</w:t>
      </w:r>
      <w:r>
        <w:rPr>
          <w:rFonts w:ascii="Times New Roman" w:hAnsi="Times New Roman" w:eastAsia="Times New Roman" w:cs="Times New Roman"/>
          <w:spacing w:val="3"/>
          <w:sz w:val="23"/>
          <w:szCs w:val="23"/>
        </w:rPr>
        <w:t>“</w:t>
      </w:r>
      <w:r>
        <w:rPr>
          <w:rFonts w:ascii="宋体" w:hAnsi="宋体" w:eastAsia="宋体" w:cs="宋体"/>
          <w:spacing w:val="3"/>
          <w:sz w:val="23"/>
          <w:szCs w:val="23"/>
        </w:rPr>
        <w:t>生产、销售及使用过程中产生的</w:t>
      </w:r>
      <w:r>
        <w:rPr>
          <w:rFonts w:ascii="宋体" w:hAnsi="宋体" w:eastAsia="宋体" w:cs="宋体"/>
          <w:spacing w:val="2"/>
          <w:sz w:val="23"/>
          <w:szCs w:val="23"/>
        </w:rPr>
        <w:t>废</w:t>
      </w:r>
      <w:r>
        <w:rPr>
          <w:rFonts w:ascii="宋体" w:hAnsi="宋体" w:eastAsia="宋体" w:cs="宋体"/>
          <w:sz w:val="23"/>
          <w:szCs w:val="23"/>
        </w:rPr>
        <w:t xml:space="preserve">含汞 </w:t>
      </w:r>
      <w:r>
        <w:rPr>
          <w:rFonts w:ascii="宋体" w:hAnsi="宋体" w:eastAsia="宋体" w:cs="宋体"/>
          <w:spacing w:val="6"/>
          <w:sz w:val="23"/>
          <w:szCs w:val="23"/>
        </w:rPr>
        <w:t>荧光灯管及其他废含</w:t>
      </w:r>
      <w:r>
        <w:rPr>
          <w:rFonts w:ascii="宋体" w:hAnsi="宋体" w:eastAsia="宋体" w:cs="宋体"/>
          <w:spacing w:val="4"/>
          <w:sz w:val="23"/>
          <w:szCs w:val="23"/>
        </w:rPr>
        <w:t>汞</w:t>
      </w:r>
      <w:r>
        <w:rPr>
          <w:rFonts w:ascii="宋体" w:hAnsi="宋体" w:eastAsia="宋体" w:cs="宋体"/>
          <w:spacing w:val="3"/>
          <w:sz w:val="23"/>
          <w:szCs w:val="23"/>
        </w:rPr>
        <w:t>电光源</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，危险特性为</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(毒性) </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，建设单位应将废活性</w:t>
      </w:r>
      <w:r>
        <w:rPr>
          <w:rFonts w:ascii="宋体" w:hAnsi="宋体" w:eastAsia="宋体" w:cs="宋体"/>
          <w:sz w:val="23"/>
          <w:szCs w:val="23"/>
        </w:rPr>
        <w:t xml:space="preserve"> </w:t>
      </w:r>
      <w:r>
        <w:rPr>
          <w:rFonts w:ascii="宋体" w:hAnsi="宋体" w:eastAsia="宋体" w:cs="宋体"/>
          <w:spacing w:val="16"/>
          <w:sz w:val="23"/>
          <w:szCs w:val="23"/>
        </w:rPr>
        <w:t>炭、</w:t>
      </w:r>
      <w:r>
        <w:rPr>
          <w:rFonts w:ascii="宋体" w:hAnsi="宋体" w:eastAsia="宋体" w:cs="宋体"/>
          <w:spacing w:val="15"/>
          <w:sz w:val="23"/>
          <w:szCs w:val="23"/>
        </w:rPr>
        <w:t>废</w:t>
      </w:r>
      <w:r>
        <w:rPr>
          <w:rFonts w:ascii="宋体" w:hAnsi="宋体" w:eastAsia="宋体" w:cs="宋体"/>
          <w:spacing w:val="8"/>
          <w:sz w:val="23"/>
          <w:szCs w:val="23"/>
        </w:rPr>
        <w:t xml:space="preserve"> </w:t>
      </w:r>
      <w:r>
        <w:rPr>
          <w:rFonts w:ascii="Times New Roman" w:hAnsi="Times New Roman" w:eastAsia="Times New Roman" w:cs="Times New Roman"/>
          <w:sz w:val="23"/>
          <w:szCs w:val="23"/>
        </w:rPr>
        <w:t>uv</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光解灯管集中收集后存放在固定容器中单独存放，积攒到一定数量后</w:t>
      </w:r>
      <w:r>
        <w:rPr>
          <w:rFonts w:ascii="宋体" w:hAnsi="宋体" w:eastAsia="宋体" w:cs="宋体"/>
          <w:sz w:val="23"/>
          <w:szCs w:val="23"/>
        </w:rPr>
        <w:t xml:space="preserve"> </w:t>
      </w:r>
      <w:r>
        <w:rPr>
          <w:rFonts w:ascii="宋体" w:hAnsi="宋体" w:eastAsia="宋体" w:cs="宋体"/>
          <w:spacing w:val="17"/>
          <w:sz w:val="23"/>
          <w:szCs w:val="23"/>
        </w:rPr>
        <w:t>交</w:t>
      </w:r>
      <w:r>
        <w:rPr>
          <w:rFonts w:ascii="宋体" w:hAnsi="宋体" w:eastAsia="宋体" w:cs="宋体"/>
          <w:spacing w:val="9"/>
          <w:sz w:val="23"/>
          <w:szCs w:val="23"/>
        </w:rPr>
        <w:t>由有资质单位处理，禁止作为一般固体废物随意丢弃排放。</w:t>
      </w:r>
    </w:p>
    <w:p w14:paraId="5532188F">
      <w:pPr>
        <w:spacing w:before="138" w:line="390" w:lineRule="auto"/>
        <w:ind w:left="24" w:right="13" w:firstLine="481"/>
        <w:rPr>
          <w:rFonts w:ascii="宋体" w:hAnsi="宋体" w:eastAsia="宋体" w:cs="宋体"/>
          <w:sz w:val="23"/>
          <w:szCs w:val="23"/>
        </w:rPr>
      </w:pPr>
      <w:r>
        <w:rPr>
          <w:rFonts w:ascii="宋体" w:hAnsi="宋体" w:eastAsia="宋体" w:cs="宋体"/>
          <w:spacing w:val="12"/>
          <w:sz w:val="23"/>
          <w:szCs w:val="23"/>
        </w:rPr>
        <w:t>综合分析</w:t>
      </w:r>
      <w:r>
        <w:rPr>
          <w:rFonts w:ascii="宋体" w:hAnsi="宋体" w:eastAsia="宋体" w:cs="宋体"/>
          <w:spacing w:val="8"/>
          <w:sz w:val="23"/>
          <w:szCs w:val="23"/>
        </w:rPr>
        <w:t>，</w:t>
      </w:r>
      <w:r>
        <w:rPr>
          <w:rFonts w:ascii="宋体" w:hAnsi="宋体" w:eastAsia="宋体" w:cs="宋体"/>
          <w:spacing w:val="6"/>
          <w:sz w:val="23"/>
          <w:szCs w:val="23"/>
        </w:rPr>
        <w:t>项目所采取的各项污染防治措施从技术经济角度分析均具有可行</w:t>
      </w:r>
      <w:r>
        <w:rPr>
          <w:rFonts w:ascii="宋体" w:hAnsi="宋体" w:eastAsia="宋体" w:cs="宋体"/>
          <w:sz w:val="23"/>
          <w:szCs w:val="23"/>
        </w:rPr>
        <w:t xml:space="preserve"> </w:t>
      </w:r>
      <w:r>
        <w:rPr>
          <w:rFonts w:ascii="宋体" w:hAnsi="宋体" w:eastAsia="宋体" w:cs="宋体"/>
          <w:spacing w:val="8"/>
          <w:sz w:val="23"/>
          <w:szCs w:val="23"/>
        </w:rPr>
        <w:t>性</w:t>
      </w:r>
      <w:r>
        <w:rPr>
          <w:rFonts w:ascii="宋体" w:hAnsi="宋体" w:eastAsia="宋体" w:cs="宋体"/>
          <w:spacing w:val="7"/>
          <w:sz w:val="23"/>
          <w:szCs w:val="23"/>
        </w:rPr>
        <w:t>，且在项目建设方认真落实报告所述各项污染防治措施后，可使区域环境质量</w:t>
      </w:r>
      <w:r>
        <w:rPr>
          <w:rFonts w:ascii="宋体" w:hAnsi="宋体" w:eastAsia="宋体" w:cs="宋体"/>
          <w:sz w:val="23"/>
          <w:szCs w:val="23"/>
        </w:rPr>
        <w:t xml:space="preserve"> </w:t>
      </w:r>
      <w:r>
        <w:rPr>
          <w:rFonts w:ascii="宋体" w:hAnsi="宋体" w:eastAsia="宋体" w:cs="宋体"/>
          <w:spacing w:val="7"/>
          <w:sz w:val="23"/>
          <w:szCs w:val="23"/>
        </w:rPr>
        <w:t>得到明显改善。</w:t>
      </w:r>
    </w:p>
    <w:p w14:paraId="3AE133DB">
      <w:pPr>
        <w:sectPr>
          <w:headerReference r:id="rId341" w:type="default"/>
          <w:footerReference r:id="rId342" w:type="default"/>
          <w:pgSz w:w="11906" w:h="16839"/>
          <w:pgMar w:top="1132" w:right="1785" w:bottom="1182" w:left="1785" w:header="878" w:footer="1022" w:gutter="0"/>
          <w:cols w:space="720" w:num="1"/>
        </w:sectPr>
      </w:pPr>
    </w:p>
    <w:p w14:paraId="3A1EB3E8">
      <w:pPr>
        <w:spacing w:line="338" w:lineRule="auto"/>
        <w:rPr>
          <w:rFonts w:ascii="Arial"/>
          <w:sz w:val="21"/>
        </w:rPr>
      </w:pPr>
      <w:r>
        <w:pict>
          <v:shape id="_x0000_s1391" o:spid="_x0000_s1391" style="position:absolute;left:0pt;margin-left:90pt;margin-top:57.35pt;height:0.75pt;width:415.3pt;mso-position-horizontal-relative:page;mso-position-vertical-relative:page;z-index:252087296;mso-width-relative:page;mso-height-relative:page;" fillcolor="#000000" filled="t" stroked="f" coordsize="8305,15" o:allowincell="f" path="m0,0l8305,0,8305,14,0,14,0,0xe">
            <v:path/>
            <v:fill on="t" focussize="0,0"/>
            <v:stroke on="f"/>
            <v:imagedata o:title=""/>
            <o:lock v:ext="edit"/>
          </v:shape>
        </w:pict>
      </w:r>
    </w:p>
    <w:p w14:paraId="18BC4531">
      <w:pPr>
        <w:spacing w:before="95" w:line="226" w:lineRule="auto"/>
        <w:ind w:left="33"/>
        <w:outlineLvl w:val="2"/>
        <w:rPr>
          <w:rFonts w:ascii="宋体" w:hAnsi="宋体" w:eastAsia="宋体" w:cs="宋体"/>
          <w:sz w:val="29"/>
          <w:szCs w:val="29"/>
        </w:rPr>
      </w:pPr>
      <w:r>
        <w:rPr>
          <w:rFonts w:ascii="Times New Roman" w:hAnsi="Times New Roman" w:eastAsia="Times New Roman" w:cs="Times New Roman"/>
          <w:b/>
          <w:bCs/>
          <w:spacing w:val="9"/>
          <w:sz w:val="29"/>
          <w:szCs w:val="29"/>
        </w:rPr>
        <w:t>1</w:t>
      </w:r>
      <w:r>
        <w:rPr>
          <w:rFonts w:ascii="Times New Roman" w:hAnsi="Times New Roman" w:eastAsia="Times New Roman" w:cs="Times New Roman"/>
          <w:b/>
          <w:bCs/>
          <w:spacing w:val="5"/>
          <w:sz w:val="29"/>
          <w:szCs w:val="29"/>
        </w:rPr>
        <w:t>0.1.7</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总量控制指标</w:t>
      </w:r>
    </w:p>
    <w:p w14:paraId="06E7D04B">
      <w:pPr>
        <w:spacing w:line="255" w:lineRule="auto"/>
        <w:rPr>
          <w:rFonts w:ascii="Arial"/>
          <w:sz w:val="21"/>
        </w:rPr>
      </w:pPr>
    </w:p>
    <w:p w14:paraId="3B8051FE">
      <w:pPr>
        <w:spacing w:before="75" w:line="228" w:lineRule="auto"/>
        <w:ind w:left="506"/>
        <w:rPr>
          <w:rFonts w:ascii="宋体" w:hAnsi="宋体" w:eastAsia="宋体" w:cs="宋体"/>
          <w:sz w:val="23"/>
          <w:szCs w:val="23"/>
        </w:rPr>
      </w:pPr>
      <w:r>
        <w:rPr>
          <w:rFonts w:ascii="宋体" w:hAnsi="宋体" w:eastAsia="宋体" w:cs="宋体"/>
          <w:spacing w:val="9"/>
          <w:sz w:val="23"/>
          <w:szCs w:val="23"/>
        </w:rPr>
        <w:t>建</w:t>
      </w:r>
      <w:r>
        <w:rPr>
          <w:rFonts w:ascii="宋体" w:hAnsi="宋体" w:eastAsia="宋体" w:cs="宋体"/>
          <w:spacing w:val="8"/>
          <w:sz w:val="23"/>
          <w:szCs w:val="23"/>
        </w:rPr>
        <w:t>议项目总量控制指标为：</w:t>
      </w:r>
    </w:p>
    <w:p w14:paraId="5149AE9F">
      <w:pPr>
        <w:spacing w:before="307" w:line="398" w:lineRule="auto"/>
        <w:ind w:left="17" w:right="56" w:firstLine="486"/>
        <w:rPr>
          <w:rFonts w:ascii="宋体" w:hAnsi="宋体" w:eastAsia="宋体" w:cs="宋体"/>
          <w:sz w:val="23"/>
          <w:szCs w:val="23"/>
        </w:rPr>
      </w:pPr>
      <w:r>
        <w:rPr>
          <w:rFonts w:ascii="宋体" w:hAnsi="宋体" w:eastAsia="宋体" w:cs="宋体"/>
          <w:spacing w:val="1"/>
          <w:sz w:val="23"/>
          <w:szCs w:val="23"/>
        </w:rPr>
        <w:t>烟粉尘：</w:t>
      </w:r>
      <w:r>
        <w:rPr>
          <w:rFonts w:ascii="Times New Roman" w:hAnsi="Times New Roman" w:eastAsia="Times New Roman" w:cs="Times New Roman"/>
          <w:spacing w:val="1"/>
          <w:sz w:val="23"/>
          <w:szCs w:val="23"/>
        </w:rPr>
        <w:t>1.023</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、二氧化硫：</w:t>
      </w:r>
      <w:r>
        <w:rPr>
          <w:rFonts w:ascii="Times New Roman" w:hAnsi="Times New Roman" w:eastAsia="Times New Roman" w:cs="Times New Roman"/>
          <w:spacing w:val="1"/>
          <w:sz w:val="23"/>
          <w:szCs w:val="23"/>
        </w:rPr>
        <w:t>1. 14</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、氮氧化物：</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 xml:space="preserve">69t/a </w:t>
      </w:r>
      <w:r>
        <w:rPr>
          <w:rFonts w:ascii="宋体" w:hAnsi="宋体" w:eastAsia="宋体" w:cs="宋体"/>
          <w:sz w:val="23"/>
          <w:szCs w:val="23"/>
        </w:rPr>
        <w:t xml:space="preserve">、挥发性有机物： </w:t>
      </w:r>
      <w:r>
        <w:rPr>
          <w:rFonts w:ascii="Times New Roman" w:hAnsi="Times New Roman" w:eastAsia="Times New Roman" w:cs="Times New Roman"/>
          <w:spacing w:val="1"/>
          <w:sz w:val="23"/>
          <w:szCs w:val="23"/>
        </w:rPr>
        <w:t>4.2</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、化学需氧量：</w:t>
      </w:r>
      <w:r>
        <w:rPr>
          <w:rFonts w:ascii="Times New Roman" w:hAnsi="Times New Roman" w:eastAsia="Times New Roman" w:cs="Times New Roman"/>
          <w:spacing w:val="1"/>
          <w:sz w:val="23"/>
          <w:szCs w:val="23"/>
        </w:rPr>
        <w:t>0.08</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.008t/a</w:t>
      </w:r>
      <w:r>
        <w:rPr>
          <w:rFonts w:ascii="宋体" w:hAnsi="宋体" w:eastAsia="宋体" w:cs="宋体"/>
          <w:sz w:val="23"/>
          <w:szCs w:val="23"/>
        </w:rPr>
        <w:t>。</w:t>
      </w:r>
    </w:p>
    <w:p w14:paraId="4E5EBC5E">
      <w:pPr>
        <w:spacing w:before="170" w:line="389" w:lineRule="auto"/>
        <w:ind w:left="22" w:right="35" w:firstLine="481"/>
        <w:rPr>
          <w:rFonts w:ascii="宋体" w:hAnsi="宋体" w:eastAsia="宋体" w:cs="宋体"/>
          <w:sz w:val="23"/>
          <w:szCs w:val="23"/>
        </w:rPr>
      </w:pPr>
      <w:r>
        <w:rPr>
          <w:rFonts w:ascii="宋体" w:hAnsi="宋体" w:eastAsia="宋体" w:cs="宋体"/>
          <w:spacing w:val="7"/>
          <w:sz w:val="23"/>
          <w:szCs w:val="23"/>
        </w:rPr>
        <w:t>其中，烟粉尘、二氧化硫、氮氧化物、挥发性有机物总量控制指标由本溪</w:t>
      </w:r>
      <w:r>
        <w:rPr>
          <w:rFonts w:ascii="宋体" w:hAnsi="宋体" w:eastAsia="宋体" w:cs="宋体"/>
          <w:spacing w:val="2"/>
          <w:sz w:val="23"/>
          <w:szCs w:val="23"/>
        </w:rPr>
        <w:t>弘</w:t>
      </w:r>
      <w:r>
        <w:rPr>
          <w:rFonts w:ascii="宋体" w:hAnsi="宋体" w:eastAsia="宋体" w:cs="宋体"/>
          <w:sz w:val="23"/>
          <w:szCs w:val="23"/>
        </w:rPr>
        <w:t xml:space="preserve"> </w:t>
      </w:r>
      <w:r>
        <w:rPr>
          <w:rFonts w:ascii="宋体" w:hAnsi="宋体" w:eastAsia="宋体" w:cs="宋体"/>
          <w:spacing w:val="9"/>
          <w:sz w:val="23"/>
          <w:szCs w:val="23"/>
        </w:rPr>
        <w:t>福</w:t>
      </w:r>
      <w:r>
        <w:rPr>
          <w:rFonts w:ascii="宋体" w:hAnsi="宋体" w:eastAsia="宋体" w:cs="宋体"/>
          <w:spacing w:val="7"/>
          <w:sz w:val="23"/>
          <w:szCs w:val="23"/>
        </w:rPr>
        <w:t>塑业有限公司按照上述指标向当地环保管理部门申请污染物总量控制指标；化</w:t>
      </w:r>
      <w:r>
        <w:rPr>
          <w:rFonts w:ascii="宋体" w:hAnsi="宋体" w:eastAsia="宋体" w:cs="宋体"/>
          <w:sz w:val="23"/>
          <w:szCs w:val="23"/>
        </w:rPr>
        <w:t xml:space="preserve"> </w:t>
      </w:r>
      <w:r>
        <w:rPr>
          <w:rFonts w:ascii="宋体" w:hAnsi="宋体" w:eastAsia="宋体" w:cs="宋体"/>
          <w:spacing w:val="7"/>
          <w:sz w:val="23"/>
          <w:szCs w:val="23"/>
        </w:rPr>
        <w:t>学需氧量、氨氮总量控制指标计入本溪市科态污水处理有限责任公司污染物总量</w:t>
      </w:r>
      <w:r>
        <w:rPr>
          <w:rFonts w:ascii="宋体" w:hAnsi="宋体" w:eastAsia="宋体" w:cs="宋体"/>
          <w:sz w:val="23"/>
          <w:szCs w:val="23"/>
        </w:rPr>
        <w:t xml:space="preserve"> </w:t>
      </w:r>
      <w:r>
        <w:rPr>
          <w:rFonts w:ascii="宋体" w:hAnsi="宋体" w:eastAsia="宋体" w:cs="宋体"/>
          <w:spacing w:val="15"/>
          <w:sz w:val="23"/>
          <w:szCs w:val="23"/>
        </w:rPr>
        <w:t>控</w:t>
      </w:r>
      <w:r>
        <w:rPr>
          <w:rFonts w:ascii="宋体" w:hAnsi="宋体" w:eastAsia="宋体" w:cs="宋体"/>
          <w:spacing w:val="9"/>
          <w:sz w:val="23"/>
          <w:szCs w:val="23"/>
        </w:rPr>
        <w:t>制指标中，最终总量控制指标以环保局下达指标为准。</w:t>
      </w:r>
    </w:p>
    <w:p w14:paraId="723DA12F">
      <w:pPr>
        <w:spacing w:before="84" w:line="226" w:lineRule="auto"/>
        <w:ind w:left="33"/>
        <w:outlineLvl w:val="2"/>
        <w:rPr>
          <w:rFonts w:ascii="宋体" w:hAnsi="宋体" w:eastAsia="宋体" w:cs="宋体"/>
          <w:sz w:val="29"/>
          <w:szCs w:val="29"/>
        </w:rPr>
      </w:pPr>
      <w:r>
        <w:rPr>
          <w:rFonts w:ascii="Times New Roman" w:hAnsi="Times New Roman" w:eastAsia="Times New Roman" w:cs="Times New Roman"/>
          <w:b/>
          <w:bCs/>
          <w:spacing w:val="9"/>
          <w:sz w:val="29"/>
          <w:szCs w:val="29"/>
        </w:rPr>
        <w:t>1</w:t>
      </w:r>
      <w:r>
        <w:rPr>
          <w:rFonts w:ascii="Times New Roman" w:hAnsi="Times New Roman" w:eastAsia="Times New Roman" w:cs="Times New Roman"/>
          <w:b/>
          <w:bCs/>
          <w:spacing w:val="5"/>
          <w:sz w:val="29"/>
          <w:szCs w:val="29"/>
        </w:rPr>
        <w:t>0.1.8</w:t>
      </w:r>
      <w:r>
        <w:rPr>
          <w:rFonts w:ascii="Times New Roman" w:hAnsi="Times New Roman" w:eastAsia="Times New Roman" w:cs="Times New Roman"/>
          <w:spacing w:val="5"/>
          <w:sz w:val="29"/>
          <w:szCs w:val="29"/>
        </w:rPr>
        <w:t xml:space="preserve">  </w:t>
      </w:r>
      <w:r>
        <w:rPr>
          <w:rFonts w:ascii="宋体" w:hAnsi="宋体" w:eastAsia="宋体" w:cs="宋体"/>
          <w:spacing w:val="5"/>
          <w:sz w:val="29"/>
          <w:szCs w:val="29"/>
          <w14:textOutline w14:w="5448" w14:cap="sq" w14:cmpd="sng">
            <w14:solidFill>
              <w14:srgbClr w14:val="000000"/>
            </w14:solidFill>
            <w14:prstDash w14:val="solid"/>
            <w14:bevel/>
          </w14:textOutline>
        </w:rPr>
        <w:t>环境风险分析</w:t>
      </w:r>
    </w:p>
    <w:p w14:paraId="3FB3C5A4">
      <w:pPr>
        <w:spacing w:line="255" w:lineRule="auto"/>
        <w:rPr>
          <w:rFonts w:ascii="Arial"/>
          <w:sz w:val="21"/>
        </w:rPr>
      </w:pPr>
    </w:p>
    <w:p w14:paraId="61E0B42E">
      <w:pPr>
        <w:spacing w:before="75" w:line="388" w:lineRule="auto"/>
        <w:ind w:left="22" w:firstLine="481"/>
        <w:rPr>
          <w:rFonts w:ascii="宋体" w:hAnsi="宋体" w:eastAsia="宋体" w:cs="宋体"/>
          <w:sz w:val="23"/>
          <w:szCs w:val="23"/>
        </w:rPr>
      </w:pPr>
      <w:r>
        <w:rPr>
          <w:rFonts w:ascii="宋体" w:hAnsi="宋体" w:eastAsia="宋体" w:cs="宋体"/>
          <w:spacing w:val="8"/>
          <w:sz w:val="23"/>
          <w:szCs w:val="23"/>
        </w:rPr>
        <w:t>本工程具有潜在的事故风险，但风险概率较小。为了防范事故和减少危害</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9"/>
          <w:sz w:val="23"/>
          <w:szCs w:val="23"/>
        </w:rPr>
        <w:t>企</w:t>
      </w:r>
      <w:r>
        <w:rPr>
          <w:rFonts w:ascii="宋体" w:hAnsi="宋体" w:eastAsia="宋体" w:cs="宋体"/>
          <w:spacing w:val="7"/>
          <w:sz w:val="23"/>
          <w:szCs w:val="23"/>
        </w:rPr>
        <w:t>业应制定事故应急预案。当出现事故时，要采取紧急的工程应急措施，如必要</w:t>
      </w:r>
      <w:r>
        <w:rPr>
          <w:rFonts w:ascii="宋体" w:hAnsi="宋体" w:eastAsia="宋体" w:cs="宋体"/>
          <w:sz w:val="23"/>
          <w:szCs w:val="23"/>
        </w:rPr>
        <w:t xml:space="preserve"> </w:t>
      </w:r>
      <w:r>
        <w:rPr>
          <w:rFonts w:ascii="宋体" w:hAnsi="宋体" w:eastAsia="宋体" w:cs="宋体"/>
          <w:spacing w:val="9"/>
          <w:sz w:val="23"/>
          <w:szCs w:val="23"/>
        </w:rPr>
        <w:t>时</w:t>
      </w:r>
      <w:r>
        <w:rPr>
          <w:rFonts w:ascii="宋体" w:hAnsi="宋体" w:eastAsia="宋体" w:cs="宋体"/>
          <w:spacing w:val="7"/>
          <w:sz w:val="23"/>
          <w:szCs w:val="23"/>
        </w:rPr>
        <w:t>，采取社会应急措施，以控制事故和减少对环境造成的危害；加强对全体员工</w:t>
      </w:r>
      <w:r>
        <w:rPr>
          <w:rFonts w:ascii="宋体" w:hAnsi="宋体" w:eastAsia="宋体" w:cs="宋体"/>
          <w:sz w:val="23"/>
          <w:szCs w:val="23"/>
        </w:rPr>
        <w:t xml:space="preserve"> </w:t>
      </w:r>
      <w:r>
        <w:rPr>
          <w:rFonts w:ascii="宋体" w:hAnsi="宋体" w:eastAsia="宋体" w:cs="宋体"/>
          <w:spacing w:val="9"/>
          <w:sz w:val="23"/>
          <w:szCs w:val="23"/>
        </w:rPr>
        <w:t>防</w:t>
      </w:r>
      <w:r>
        <w:rPr>
          <w:rFonts w:ascii="宋体" w:hAnsi="宋体" w:eastAsia="宋体" w:cs="宋体"/>
          <w:spacing w:val="7"/>
          <w:sz w:val="23"/>
          <w:szCs w:val="23"/>
        </w:rPr>
        <w:t>范事故风险能力的培训，制定应急预案并加强演练，可降低风险发生的几率和</w:t>
      </w:r>
      <w:r>
        <w:rPr>
          <w:rFonts w:ascii="宋体" w:hAnsi="宋体" w:eastAsia="宋体" w:cs="宋体"/>
          <w:sz w:val="23"/>
          <w:szCs w:val="23"/>
        </w:rPr>
        <w:t xml:space="preserve"> </w:t>
      </w:r>
      <w:r>
        <w:rPr>
          <w:rFonts w:ascii="宋体" w:hAnsi="宋体" w:eastAsia="宋体" w:cs="宋体"/>
          <w:spacing w:val="9"/>
          <w:sz w:val="23"/>
          <w:szCs w:val="23"/>
        </w:rPr>
        <w:t>造</w:t>
      </w:r>
      <w:r>
        <w:rPr>
          <w:rFonts w:ascii="宋体" w:hAnsi="宋体" w:eastAsia="宋体" w:cs="宋体"/>
          <w:spacing w:val="7"/>
          <w:sz w:val="23"/>
          <w:szCs w:val="23"/>
        </w:rPr>
        <w:t>成的影响。本项目风险处于可接受水平，风险管理措施有效、可靠，从风险角</w:t>
      </w:r>
      <w:r>
        <w:rPr>
          <w:rFonts w:ascii="宋体" w:hAnsi="宋体" w:eastAsia="宋体" w:cs="宋体"/>
          <w:sz w:val="23"/>
          <w:szCs w:val="23"/>
        </w:rPr>
        <w:t xml:space="preserve"> </w:t>
      </w:r>
      <w:r>
        <w:rPr>
          <w:rFonts w:ascii="宋体" w:hAnsi="宋体" w:eastAsia="宋体" w:cs="宋体"/>
          <w:spacing w:val="12"/>
          <w:sz w:val="23"/>
          <w:szCs w:val="23"/>
        </w:rPr>
        <w:t>度</w:t>
      </w:r>
      <w:r>
        <w:rPr>
          <w:rFonts w:ascii="宋体" w:hAnsi="宋体" w:eastAsia="宋体" w:cs="宋体"/>
          <w:spacing w:val="7"/>
          <w:sz w:val="23"/>
          <w:szCs w:val="23"/>
        </w:rPr>
        <w:t>而言是可行的。</w:t>
      </w:r>
    </w:p>
    <w:p w14:paraId="1C8821BF">
      <w:pPr>
        <w:spacing w:before="84" w:line="227" w:lineRule="auto"/>
        <w:ind w:left="33"/>
        <w:outlineLvl w:val="2"/>
        <w:rPr>
          <w:rFonts w:ascii="宋体" w:hAnsi="宋体" w:eastAsia="宋体" w:cs="宋体"/>
          <w:sz w:val="29"/>
          <w:szCs w:val="29"/>
        </w:rPr>
      </w:pPr>
      <w:r>
        <w:rPr>
          <w:rFonts w:ascii="Times New Roman" w:hAnsi="Times New Roman" w:eastAsia="Times New Roman" w:cs="Times New Roman"/>
          <w:b/>
          <w:bCs/>
          <w:spacing w:val="4"/>
          <w:sz w:val="29"/>
          <w:szCs w:val="29"/>
        </w:rPr>
        <w:t>10.1.9</w:t>
      </w:r>
      <w:r>
        <w:rPr>
          <w:rFonts w:ascii="Times New Roman" w:hAnsi="Times New Roman" w:eastAsia="Times New Roman" w:cs="Times New Roman"/>
          <w:spacing w:val="4"/>
          <w:sz w:val="29"/>
          <w:szCs w:val="29"/>
        </w:rPr>
        <w:t xml:space="preserve">  </w:t>
      </w:r>
      <w:r>
        <w:rPr>
          <w:rFonts w:ascii="宋体" w:hAnsi="宋体" w:eastAsia="宋体" w:cs="宋体"/>
          <w:spacing w:val="4"/>
          <w:sz w:val="29"/>
          <w:szCs w:val="29"/>
          <w14:textOutline w14:w="5448" w14:cap="sq" w14:cmpd="sng">
            <w14:solidFill>
              <w14:srgbClr w14:val="000000"/>
            </w14:solidFill>
            <w14:prstDash w14:val="solid"/>
            <w14:bevel/>
          </w14:textOutline>
        </w:rPr>
        <w:t>总结</w:t>
      </w:r>
      <w:r>
        <w:rPr>
          <w:rFonts w:ascii="宋体" w:hAnsi="宋体" w:eastAsia="宋体" w:cs="宋体"/>
          <w:spacing w:val="2"/>
          <w:sz w:val="29"/>
          <w:szCs w:val="29"/>
          <w14:textOutline w14:w="5448" w14:cap="sq" w14:cmpd="sng">
            <w14:solidFill>
              <w14:srgbClr w14:val="000000"/>
            </w14:solidFill>
            <w14:prstDash w14:val="solid"/>
            <w14:bevel/>
          </w14:textOutline>
        </w:rPr>
        <w:t>论</w:t>
      </w:r>
    </w:p>
    <w:p w14:paraId="66CD8A45">
      <w:pPr>
        <w:spacing w:line="254" w:lineRule="auto"/>
        <w:rPr>
          <w:rFonts w:ascii="Arial"/>
          <w:sz w:val="21"/>
        </w:rPr>
      </w:pPr>
    </w:p>
    <w:p w14:paraId="21BA3D04">
      <w:pPr>
        <w:spacing w:before="76" w:line="389" w:lineRule="auto"/>
        <w:ind w:left="23" w:right="35" w:firstLine="483"/>
        <w:rPr>
          <w:rFonts w:ascii="宋体" w:hAnsi="宋体" w:eastAsia="宋体" w:cs="宋体"/>
          <w:sz w:val="23"/>
          <w:szCs w:val="23"/>
        </w:rPr>
      </w:pPr>
      <w:r>
        <w:rPr>
          <w:rFonts w:ascii="宋体" w:hAnsi="宋体" w:eastAsia="宋体" w:cs="宋体"/>
          <w:spacing w:val="14"/>
          <w:sz w:val="23"/>
          <w:szCs w:val="23"/>
        </w:rPr>
        <w:t>该</w:t>
      </w:r>
      <w:r>
        <w:rPr>
          <w:rFonts w:ascii="宋体" w:hAnsi="宋体" w:eastAsia="宋体" w:cs="宋体"/>
          <w:spacing w:val="11"/>
          <w:sz w:val="23"/>
          <w:szCs w:val="23"/>
        </w:rPr>
        <w:t>项</w:t>
      </w:r>
      <w:r>
        <w:rPr>
          <w:rFonts w:ascii="宋体" w:hAnsi="宋体" w:eastAsia="宋体" w:cs="宋体"/>
          <w:spacing w:val="7"/>
          <w:sz w:val="23"/>
          <w:szCs w:val="23"/>
        </w:rPr>
        <w:t>目在认真落实</w:t>
      </w:r>
      <w:r>
        <w:rPr>
          <w:rFonts w:ascii="Times New Roman" w:hAnsi="Times New Roman" w:eastAsia="Times New Roman" w:cs="Times New Roman"/>
          <w:spacing w:val="7"/>
          <w:sz w:val="23"/>
          <w:szCs w:val="23"/>
        </w:rPr>
        <w:t>“</w:t>
      </w:r>
      <w:r>
        <w:rPr>
          <w:rFonts w:ascii="宋体" w:hAnsi="宋体" w:eastAsia="宋体" w:cs="宋体"/>
          <w:spacing w:val="7"/>
          <w:sz w:val="23"/>
          <w:szCs w:val="23"/>
        </w:rPr>
        <w:t>三同时</w:t>
      </w:r>
      <w:r>
        <w:rPr>
          <w:rFonts w:ascii="Times New Roman" w:hAnsi="Times New Roman" w:eastAsia="Times New Roman" w:cs="Times New Roman"/>
          <w:spacing w:val="7"/>
          <w:sz w:val="23"/>
          <w:szCs w:val="23"/>
        </w:rPr>
        <w:t>”</w:t>
      </w:r>
      <w:r>
        <w:rPr>
          <w:rFonts w:ascii="宋体" w:hAnsi="宋体" w:eastAsia="宋体" w:cs="宋体"/>
          <w:spacing w:val="7"/>
          <w:sz w:val="23"/>
          <w:szCs w:val="23"/>
        </w:rPr>
        <w:t>的前提下，运营过程中只要认真贯彻执行国家的</w:t>
      </w:r>
      <w:r>
        <w:rPr>
          <w:rFonts w:ascii="宋体" w:hAnsi="宋体" w:eastAsia="宋体" w:cs="宋体"/>
          <w:sz w:val="23"/>
          <w:szCs w:val="23"/>
        </w:rPr>
        <w:t xml:space="preserve"> </w:t>
      </w:r>
      <w:r>
        <w:rPr>
          <w:rFonts w:ascii="宋体" w:hAnsi="宋体" w:eastAsia="宋体" w:cs="宋体"/>
          <w:spacing w:val="9"/>
          <w:sz w:val="23"/>
          <w:szCs w:val="23"/>
        </w:rPr>
        <w:t>环</w:t>
      </w:r>
      <w:r>
        <w:rPr>
          <w:rFonts w:ascii="宋体" w:hAnsi="宋体" w:eastAsia="宋体" w:cs="宋体"/>
          <w:spacing w:val="7"/>
          <w:sz w:val="23"/>
          <w:szCs w:val="23"/>
        </w:rPr>
        <w:t>保法律、法规，切实落实本次环评提出的各项环保措施，对污染源采取各项治</w:t>
      </w:r>
      <w:r>
        <w:rPr>
          <w:rFonts w:ascii="宋体" w:hAnsi="宋体" w:eastAsia="宋体" w:cs="宋体"/>
          <w:sz w:val="23"/>
          <w:szCs w:val="23"/>
        </w:rPr>
        <w:t xml:space="preserve"> </w:t>
      </w:r>
      <w:r>
        <w:rPr>
          <w:rFonts w:ascii="宋体" w:hAnsi="宋体" w:eastAsia="宋体" w:cs="宋体"/>
          <w:spacing w:val="9"/>
          <w:sz w:val="23"/>
          <w:szCs w:val="23"/>
        </w:rPr>
        <w:t>理</w:t>
      </w:r>
      <w:r>
        <w:rPr>
          <w:rFonts w:ascii="宋体" w:hAnsi="宋体" w:eastAsia="宋体" w:cs="宋体"/>
          <w:spacing w:val="7"/>
          <w:sz w:val="23"/>
          <w:szCs w:val="23"/>
        </w:rPr>
        <w:t>措施后废气、噪声可达标排放，固体废物合理处置，对周围环境影响较小。从</w:t>
      </w:r>
      <w:r>
        <w:rPr>
          <w:rFonts w:ascii="宋体" w:hAnsi="宋体" w:eastAsia="宋体" w:cs="宋体"/>
          <w:sz w:val="23"/>
          <w:szCs w:val="23"/>
        </w:rPr>
        <w:t xml:space="preserve"> </w:t>
      </w:r>
      <w:r>
        <w:rPr>
          <w:rFonts w:ascii="宋体" w:hAnsi="宋体" w:eastAsia="宋体" w:cs="宋体"/>
          <w:spacing w:val="9"/>
          <w:sz w:val="23"/>
          <w:szCs w:val="23"/>
        </w:rPr>
        <w:t>环保角度出发，本项目的建设是可行的</w:t>
      </w:r>
      <w:r>
        <w:rPr>
          <w:rFonts w:ascii="宋体" w:hAnsi="宋体" w:eastAsia="宋体" w:cs="宋体"/>
          <w:spacing w:val="7"/>
          <w:sz w:val="23"/>
          <w:szCs w:val="23"/>
        </w:rPr>
        <w:t>。</w:t>
      </w:r>
    </w:p>
    <w:p w14:paraId="159E18A3">
      <w:pPr>
        <w:spacing w:before="70" w:line="225" w:lineRule="auto"/>
        <w:ind w:left="35"/>
        <w:outlineLvl w:val="1"/>
        <w:rPr>
          <w:rFonts w:ascii="宋体" w:hAnsi="宋体" w:eastAsia="宋体" w:cs="宋体"/>
          <w:sz w:val="31"/>
          <w:szCs w:val="31"/>
        </w:rPr>
      </w:pPr>
      <w:bookmarkStart w:id="48" w:name="_bookmark49"/>
      <w:bookmarkEnd w:id="48"/>
      <w:r>
        <w:rPr>
          <w:rFonts w:ascii="Times New Roman" w:hAnsi="Times New Roman" w:eastAsia="Times New Roman" w:cs="Times New Roman"/>
          <w:b/>
          <w:bCs/>
          <w:spacing w:val="4"/>
          <w:sz w:val="31"/>
          <w:szCs w:val="31"/>
        </w:rPr>
        <w:t>10.</w:t>
      </w:r>
      <w:r>
        <w:rPr>
          <w:rFonts w:ascii="Times New Roman" w:hAnsi="Times New Roman" w:eastAsia="Times New Roman" w:cs="Times New Roman"/>
          <w:b/>
          <w:bCs/>
          <w:spacing w:val="2"/>
          <w:sz w:val="31"/>
          <w:szCs w:val="31"/>
        </w:rPr>
        <w:t>2</w:t>
      </w:r>
      <w:r>
        <w:rPr>
          <w:rFonts w:ascii="Times New Roman" w:hAnsi="Times New Roman" w:eastAsia="Times New Roman" w:cs="Times New Roman"/>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建议</w:t>
      </w:r>
    </w:p>
    <w:p w14:paraId="73C4B9E7">
      <w:pPr>
        <w:spacing w:line="248" w:lineRule="auto"/>
        <w:rPr>
          <w:rFonts w:ascii="Arial"/>
          <w:sz w:val="21"/>
        </w:rPr>
      </w:pPr>
    </w:p>
    <w:p w14:paraId="3D34C32B">
      <w:pPr>
        <w:spacing w:before="75" w:line="391" w:lineRule="auto"/>
        <w:ind w:left="22" w:right="35" w:firstLine="492"/>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在厂区的管理机构中设立兼职环保人员，负责对整个厂区的环保监督</w:t>
      </w:r>
      <w:r>
        <w:rPr>
          <w:rFonts w:ascii="宋体" w:hAnsi="宋体" w:eastAsia="宋体" w:cs="宋体"/>
          <w:sz w:val="23"/>
          <w:szCs w:val="23"/>
        </w:rPr>
        <w:t xml:space="preserve"> </w:t>
      </w:r>
      <w:r>
        <w:rPr>
          <w:rFonts w:ascii="宋体" w:hAnsi="宋体" w:eastAsia="宋体" w:cs="宋体"/>
          <w:spacing w:val="9"/>
          <w:sz w:val="23"/>
          <w:szCs w:val="23"/>
        </w:rPr>
        <w:t>与</w:t>
      </w:r>
      <w:r>
        <w:rPr>
          <w:rFonts w:ascii="宋体" w:hAnsi="宋体" w:eastAsia="宋体" w:cs="宋体"/>
          <w:spacing w:val="7"/>
          <w:sz w:val="23"/>
          <w:szCs w:val="23"/>
        </w:rPr>
        <w:t>管理工作。健全环保制度，落实环保岗位责任制，环保设施的保养、维修应制</w:t>
      </w:r>
      <w:r>
        <w:rPr>
          <w:rFonts w:ascii="宋体" w:hAnsi="宋体" w:eastAsia="宋体" w:cs="宋体"/>
          <w:sz w:val="23"/>
          <w:szCs w:val="23"/>
        </w:rPr>
        <w:t xml:space="preserve"> </w:t>
      </w:r>
      <w:r>
        <w:rPr>
          <w:rFonts w:ascii="宋体" w:hAnsi="宋体" w:eastAsia="宋体" w:cs="宋体"/>
          <w:spacing w:val="15"/>
          <w:sz w:val="23"/>
          <w:szCs w:val="23"/>
        </w:rPr>
        <w:t>度</w:t>
      </w:r>
      <w:r>
        <w:rPr>
          <w:rFonts w:ascii="宋体" w:hAnsi="宋体" w:eastAsia="宋体" w:cs="宋体"/>
          <w:spacing w:val="8"/>
          <w:sz w:val="23"/>
          <w:szCs w:val="23"/>
        </w:rPr>
        <w:t>化，保证设备的正常运转。</w:t>
      </w:r>
    </w:p>
    <w:p w14:paraId="60B78BD6">
      <w:pPr>
        <w:spacing w:before="135" w:line="228" w:lineRule="auto"/>
        <w:ind w:left="514"/>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2"/>
          <w:sz w:val="23"/>
          <w:szCs w:val="23"/>
        </w:rPr>
        <w:t>2</w:t>
      </w:r>
      <w:r>
        <w:rPr>
          <w:rFonts w:ascii="宋体" w:hAnsi="宋体" w:eastAsia="宋体" w:cs="宋体"/>
          <w:spacing w:val="12"/>
          <w:sz w:val="23"/>
          <w:szCs w:val="23"/>
        </w:rPr>
        <w:t>) 厂区及厂界加强绿化，以降低噪声，净化空气，美化环境。</w:t>
      </w:r>
    </w:p>
    <w:p w14:paraId="0734A659">
      <w:pPr>
        <w:sectPr>
          <w:headerReference r:id="rId343" w:type="default"/>
          <w:footerReference r:id="rId344" w:type="default"/>
          <w:pgSz w:w="11906" w:h="16839"/>
          <w:pgMar w:top="1132" w:right="1764" w:bottom="1182" w:left="1785" w:header="878" w:footer="1022" w:gutter="0"/>
          <w:cols w:space="720" w:num="1"/>
        </w:sectPr>
      </w:pPr>
    </w:p>
    <w:p w14:paraId="20E4185C">
      <w:pPr>
        <w:spacing w:line="422" w:lineRule="auto"/>
        <w:rPr>
          <w:rFonts w:ascii="Arial"/>
          <w:sz w:val="21"/>
        </w:rPr>
      </w:pPr>
      <w:r>
        <w:pict>
          <v:shape id="_x0000_s1392" o:spid="_x0000_s1392" style="position:absolute;left:0pt;margin-left:90pt;margin-top:57.35pt;height:0.75pt;width:415.3pt;mso-position-horizontal-relative:page;mso-position-vertical-relative:page;z-index:252088320;mso-width-relative:page;mso-height-relative:page;" fillcolor="#000000" filled="t" stroked="f" coordsize="8305,15" o:allowincell="f" path="m0,0l8305,0,8305,14,0,14,0,0xe">
            <v:path/>
            <v:fill on="t" focussize="0,0"/>
            <v:stroke on="f"/>
            <v:imagedata o:title=""/>
            <o:lock v:ext="edit"/>
          </v:shape>
        </w:pict>
      </w:r>
    </w:p>
    <w:p w14:paraId="79D5FCB9">
      <w:pPr>
        <w:spacing w:before="114" w:line="224" w:lineRule="auto"/>
        <w:ind w:left="37"/>
        <w:outlineLvl w:val="0"/>
        <w:rPr>
          <w:rFonts w:ascii="宋体" w:hAnsi="宋体" w:eastAsia="宋体" w:cs="宋体"/>
          <w:sz w:val="35"/>
          <w:szCs w:val="35"/>
        </w:rPr>
      </w:pPr>
      <w:bookmarkStart w:id="49" w:name="_bookmark50"/>
      <w:bookmarkEnd w:id="49"/>
      <w:r>
        <w:rPr>
          <w:rFonts w:ascii="Times New Roman" w:hAnsi="Times New Roman" w:eastAsia="Times New Roman" w:cs="Times New Roman"/>
          <w:b/>
          <w:bCs/>
          <w:spacing w:val="2"/>
          <w:sz w:val="35"/>
          <w:szCs w:val="35"/>
        </w:rPr>
        <w:t>11</w:t>
      </w:r>
      <w:r>
        <w:rPr>
          <w:rFonts w:ascii="Times New Roman" w:hAnsi="Times New Roman" w:eastAsia="Times New Roman" w:cs="Times New Roman"/>
          <w:spacing w:val="2"/>
          <w:sz w:val="35"/>
          <w:szCs w:val="35"/>
        </w:rPr>
        <w:t xml:space="preserve"> </w:t>
      </w:r>
      <w:r>
        <w:rPr>
          <w:rFonts w:ascii="宋体" w:hAnsi="宋体" w:eastAsia="宋体" w:cs="宋体"/>
          <w:spacing w:val="2"/>
          <w:sz w:val="35"/>
          <w:szCs w:val="35"/>
          <w14:textOutline w14:w="6537" w14:cap="sq" w14:cmpd="sng">
            <w14:solidFill>
              <w14:srgbClr w14:val="000000"/>
            </w14:solidFill>
            <w14:prstDash w14:val="solid"/>
            <w14:bevel/>
          </w14:textOutline>
        </w:rPr>
        <w:t>附</w:t>
      </w:r>
      <w:r>
        <w:rPr>
          <w:rFonts w:ascii="宋体" w:hAnsi="宋体" w:eastAsia="宋体" w:cs="宋体"/>
          <w:spacing w:val="1"/>
          <w:sz w:val="35"/>
          <w:szCs w:val="35"/>
          <w14:textOutline w14:w="6537" w14:cap="sq" w14:cmpd="sng">
            <w14:solidFill>
              <w14:srgbClr w14:val="000000"/>
            </w14:solidFill>
            <w14:prstDash w14:val="solid"/>
            <w14:bevel/>
          </w14:textOutline>
        </w:rPr>
        <w:t>件</w:t>
      </w:r>
    </w:p>
    <w:p w14:paraId="1C4B5FEF">
      <w:pPr>
        <w:spacing w:before="314" w:line="303" w:lineRule="exact"/>
        <w:ind w:left="42"/>
        <w:rPr>
          <w:rFonts w:ascii="宋体" w:hAnsi="宋体" w:eastAsia="宋体" w:cs="宋体"/>
          <w:sz w:val="23"/>
          <w:szCs w:val="23"/>
        </w:rPr>
      </w:pPr>
      <w:r>
        <w:rPr>
          <w:rFonts w:ascii="Times New Roman" w:hAnsi="Times New Roman" w:eastAsia="Times New Roman" w:cs="Times New Roman"/>
          <w:spacing w:val="8"/>
          <w:position w:val="1"/>
          <w:sz w:val="23"/>
          <w:szCs w:val="23"/>
        </w:rPr>
        <w:t>1</w:t>
      </w:r>
      <w:r>
        <w:rPr>
          <w:rFonts w:ascii="Times New Roman" w:hAnsi="Times New Roman" w:eastAsia="Times New Roman" w:cs="Times New Roman"/>
          <w:spacing w:val="7"/>
          <w:position w:val="1"/>
          <w:sz w:val="23"/>
          <w:szCs w:val="23"/>
        </w:rPr>
        <w:t xml:space="preserve"> </w:t>
      </w:r>
      <w:r>
        <w:rPr>
          <w:rFonts w:ascii="宋体" w:hAnsi="宋体" w:eastAsia="宋体" w:cs="宋体"/>
          <w:spacing w:val="4"/>
          <w:position w:val="1"/>
          <w:sz w:val="23"/>
          <w:szCs w:val="23"/>
        </w:rPr>
        <w:t>、建设项目大气环境影响评价自查表</w:t>
      </w:r>
    </w:p>
    <w:p w14:paraId="6F42BCFF">
      <w:pPr>
        <w:spacing w:line="256" w:lineRule="auto"/>
        <w:rPr>
          <w:rFonts w:ascii="Arial"/>
          <w:sz w:val="21"/>
        </w:rPr>
      </w:pPr>
    </w:p>
    <w:p w14:paraId="624C17A2">
      <w:pPr>
        <w:spacing w:before="75" w:line="303" w:lineRule="exact"/>
        <w:ind w:left="19"/>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2 </w:t>
      </w:r>
      <w:r>
        <w:rPr>
          <w:rFonts w:ascii="宋体" w:hAnsi="宋体" w:eastAsia="宋体" w:cs="宋体"/>
          <w:spacing w:val="2"/>
          <w:position w:val="1"/>
          <w:sz w:val="23"/>
          <w:szCs w:val="23"/>
        </w:rPr>
        <w:t>、</w:t>
      </w:r>
      <w:r>
        <w:rPr>
          <w:rFonts w:ascii="宋体" w:hAnsi="宋体" w:eastAsia="宋体" w:cs="宋体"/>
          <w:spacing w:val="1"/>
          <w:position w:val="1"/>
          <w:sz w:val="23"/>
          <w:szCs w:val="23"/>
        </w:rPr>
        <w:t>土地使用证明</w:t>
      </w:r>
    </w:p>
    <w:p w14:paraId="7A601A67">
      <w:pPr>
        <w:spacing w:line="256" w:lineRule="auto"/>
        <w:rPr>
          <w:rFonts w:ascii="Arial"/>
          <w:sz w:val="21"/>
        </w:rPr>
      </w:pPr>
    </w:p>
    <w:p w14:paraId="3524750D">
      <w:pPr>
        <w:spacing w:before="75" w:line="303" w:lineRule="exact"/>
        <w:ind w:left="23"/>
        <w:rPr>
          <w:rFonts w:ascii="宋体" w:hAnsi="宋体" w:eastAsia="宋体" w:cs="宋体"/>
          <w:sz w:val="23"/>
          <w:szCs w:val="23"/>
        </w:rPr>
      </w:pPr>
      <w:r>
        <w:rPr>
          <w:rFonts w:ascii="Times New Roman" w:hAnsi="Times New Roman" w:eastAsia="Times New Roman" w:cs="Times New Roman"/>
          <w:spacing w:val="-6"/>
          <w:position w:val="1"/>
          <w:sz w:val="23"/>
          <w:szCs w:val="23"/>
        </w:rPr>
        <w:t>3</w:t>
      </w:r>
      <w:r>
        <w:rPr>
          <w:rFonts w:ascii="Times New Roman" w:hAnsi="Times New Roman" w:eastAsia="Times New Roman" w:cs="Times New Roman"/>
          <w:spacing w:val="-5"/>
          <w:position w:val="1"/>
          <w:sz w:val="23"/>
          <w:szCs w:val="23"/>
        </w:rPr>
        <w:t xml:space="preserve"> </w:t>
      </w:r>
      <w:r>
        <w:rPr>
          <w:rFonts w:ascii="宋体" w:hAnsi="宋体" w:eastAsia="宋体" w:cs="宋体"/>
          <w:spacing w:val="-3"/>
          <w:position w:val="1"/>
          <w:sz w:val="23"/>
          <w:szCs w:val="23"/>
        </w:rPr>
        <w:t>、委托书</w:t>
      </w:r>
    </w:p>
    <w:p w14:paraId="4498BA3C">
      <w:pPr>
        <w:spacing w:line="256" w:lineRule="auto"/>
        <w:rPr>
          <w:rFonts w:ascii="Arial"/>
          <w:sz w:val="21"/>
        </w:rPr>
      </w:pPr>
    </w:p>
    <w:p w14:paraId="15191A45">
      <w:pPr>
        <w:spacing w:before="75" w:line="303" w:lineRule="exact"/>
        <w:ind w:left="17"/>
        <w:rPr>
          <w:rFonts w:ascii="宋体" w:hAnsi="宋体" w:eastAsia="宋体" w:cs="宋体"/>
          <w:sz w:val="23"/>
          <w:szCs w:val="23"/>
        </w:rPr>
      </w:pPr>
      <w:r>
        <w:rPr>
          <w:rFonts w:ascii="Times New Roman" w:hAnsi="Times New Roman" w:eastAsia="Times New Roman" w:cs="Times New Roman"/>
          <w:spacing w:val="-1"/>
          <w:position w:val="1"/>
          <w:sz w:val="23"/>
          <w:szCs w:val="23"/>
        </w:rPr>
        <w:t xml:space="preserve">4 </w:t>
      </w:r>
      <w:r>
        <w:rPr>
          <w:rFonts w:ascii="宋体" w:hAnsi="宋体" w:eastAsia="宋体" w:cs="宋体"/>
          <w:spacing w:val="-1"/>
          <w:position w:val="1"/>
          <w:sz w:val="23"/>
          <w:szCs w:val="23"/>
        </w:rPr>
        <w:t>、备案文件</w:t>
      </w:r>
    </w:p>
    <w:p w14:paraId="5BB58121">
      <w:pPr>
        <w:spacing w:line="256" w:lineRule="auto"/>
        <w:rPr>
          <w:rFonts w:ascii="Arial"/>
          <w:sz w:val="21"/>
        </w:rPr>
      </w:pPr>
    </w:p>
    <w:p w14:paraId="1BF63134">
      <w:pPr>
        <w:spacing w:before="75" w:line="303" w:lineRule="exact"/>
        <w:ind w:left="25"/>
        <w:rPr>
          <w:rFonts w:ascii="宋体" w:hAnsi="宋体" w:eastAsia="宋体" w:cs="宋体"/>
          <w:sz w:val="23"/>
          <w:szCs w:val="23"/>
        </w:rPr>
      </w:pPr>
      <w:r>
        <w:rPr>
          <w:rFonts w:ascii="Times New Roman" w:hAnsi="Times New Roman" w:eastAsia="Times New Roman" w:cs="Times New Roman"/>
          <w:spacing w:val="-3"/>
          <w:position w:val="2"/>
          <w:sz w:val="23"/>
          <w:szCs w:val="23"/>
        </w:rPr>
        <w:t>5</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rPr>
        <w:t>、营业执照</w:t>
      </w:r>
    </w:p>
    <w:p w14:paraId="018124D9">
      <w:pPr>
        <w:spacing w:line="256" w:lineRule="auto"/>
        <w:rPr>
          <w:rFonts w:ascii="Arial"/>
          <w:sz w:val="21"/>
        </w:rPr>
      </w:pPr>
    </w:p>
    <w:p w14:paraId="16C2A9A8">
      <w:pPr>
        <w:spacing w:before="75" w:line="303" w:lineRule="exact"/>
        <w:ind w:left="24"/>
        <w:rPr>
          <w:rFonts w:ascii="宋体" w:hAnsi="宋体" w:eastAsia="宋体" w:cs="宋体"/>
          <w:sz w:val="23"/>
          <w:szCs w:val="23"/>
        </w:rPr>
      </w:pPr>
      <w:r>
        <w:rPr>
          <w:rFonts w:ascii="Times New Roman" w:hAnsi="Times New Roman" w:eastAsia="Times New Roman" w:cs="Times New Roman"/>
          <w:spacing w:val="-2"/>
          <w:position w:val="1"/>
          <w:sz w:val="23"/>
          <w:szCs w:val="23"/>
        </w:rPr>
        <w:t xml:space="preserve">6 </w:t>
      </w:r>
      <w:r>
        <w:rPr>
          <w:rFonts w:ascii="宋体" w:hAnsi="宋体" w:eastAsia="宋体" w:cs="宋体"/>
          <w:spacing w:val="-2"/>
          <w:position w:val="1"/>
          <w:sz w:val="23"/>
          <w:szCs w:val="23"/>
        </w:rPr>
        <w:t>、选址证</w:t>
      </w:r>
      <w:r>
        <w:rPr>
          <w:rFonts w:ascii="宋体" w:hAnsi="宋体" w:eastAsia="宋体" w:cs="宋体"/>
          <w:spacing w:val="-1"/>
          <w:position w:val="1"/>
          <w:sz w:val="23"/>
          <w:szCs w:val="23"/>
        </w:rPr>
        <w:t>明</w:t>
      </w:r>
    </w:p>
    <w:p w14:paraId="18265AF6">
      <w:pPr>
        <w:spacing w:line="256" w:lineRule="auto"/>
        <w:rPr>
          <w:rFonts w:ascii="Arial"/>
          <w:sz w:val="21"/>
        </w:rPr>
      </w:pPr>
    </w:p>
    <w:p w14:paraId="2985474D">
      <w:pPr>
        <w:spacing w:before="76" w:line="303" w:lineRule="exact"/>
        <w:ind w:left="22"/>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7 </w:t>
      </w:r>
      <w:r>
        <w:rPr>
          <w:rFonts w:ascii="宋体" w:hAnsi="宋体" w:eastAsia="宋体" w:cs="宋体"/>
          <w:spacing w:val="1"/>
          <w:position w:val="2"/>
          <w:sz w:val="23"/>
          <w:szCs w:val="23"/>
        </w:rPr>
        <w:t>、原料购买协</w:t>
      </w:r>
      <w:r>
        <w:rPr>
          <w:rFonts w:ascii="宋体" w:hAnsi="宋体" w:eastAsia="宋体" w:cs="宋体"/>
          <w:position w:val="2"/>
          <w:sz w:val="23"/>
          <w:szCs w:val="23"/>
        </w:rPr>
        <w:t>议</w:t>
      </w:r>
    </w:p>
    <w:p w14:paraId="45D29957">
      <w:pPr>
        <w:spacing w:line="256" w:lineRule="auto"/>
        <w:rPr>
          <w:rFonts w:ascii="Arial"/>
          <w:sz w:val="21"/>
        </w:rPr>
      </w:pPr>
    </w:p>
    <w:p w14:paraId="0F899CBB">
      <w:pPr>
        <w:spacing w:before="75" w:line="303" w:lineRule="exact"/>
        <w:ind w:left="28"/>
        <w:rPr>
          <w:rFonts w:ascii="宋体" w:hAnsi="宋体" w:eastAsia="宋体" w:cs="宋体"/>
          <w:sz w:val="23"/>
          <w:szCs w:val="23"/>
        </w:rPr>
      </w:pPr>
      <w:r>
        <w:rPr>
          <w:rFonts w:ascii="Times New Roman" w:hAnsi="Times New Roman" w:eastAsia="Times New Roman" w:cs="Times New Roman"/>
          <w:spacing w:val="-4"/>
          <w:position w:val="1"/>
          <w:sz w:val="23"/>
          <w:szCs w:val="23"/>
        </w:rPr>
        <w:t xml:space="preserve">8 </w:t>
      </w:r>
      <w:r>
        <w:rPr>
          <w:rFonts w:ascii="宋体" w:hAnsi="宋体" w:eastAsia="宋体" w:cs="宋体"/>
          <w:spacing w:val="-2"/>
          <w:position w:val="1"/>
          <w:sz w:val="23"/>
          <w:szCs w:val="23"/>
        </w:rPr>
        <w:t>、监测报告</w:t>
      </w:r>
    </w:p>
    <w:p w14:paraId="65F8CC2C">
      <w:pPr>
        <w:sectPr>
          <w:headerReference r:id="rId345" w:type="default"/>
          <w:footerReference r:id="rId346" w:type="default"/>
          <w:pgSz w:w="11906" w:h="16839"/>
          <w:pgMar w:top="1132" w:right="1785" w:bottom="1182" w:left="1785" w:header="878" w:footer="1022" w:gutter="0"/>
          <w:cols w:space="720" w:num="1"/>
        </w:sectPr>
      </w:pPr>
    </w:p>
    <w:p w14:paraId="1C7F4072">
      <w:pPr>
        <w:spacing w:line="261" w:lineRule="auto"/>
        <w:rPr>
          <w:rFonts w:ascii="Arial"/>
          <w:sz w:val="21"/>
        </w:rPr>
      </w:pPr>
    </w:p>
    <w:p w14:paraId="200C5E98">
      <w:pPr>
        <w:spacing w:line="261" w:lineRule="auto"/>
        <w:rPr>
          <w:rFonts w:ascii="Arial"/>
          <w:sz w:val="21"/>
        </w:rPr>
      </w:pPr>
    </w:p>
    <w:p w14:paraId="097E7FEF">
      <w:pPr>
        <w:spacing w:line="261" w:lineRule="auto"/>
        <w:rPr>
          <w:rFonts w:ascii="Arial"/>
          <w:sz w:val="21"/>
        </w:rPr>
      </w:pPr>
    </w:p>
    <w:p w14:paraId="0FD4B729">
      <w:pPr>
        <w:spacing w:line="261" w:lineRule="auto"/>
        <w:rPr>
          <w:rFonts w:ascii="Arial"/>
          <w:sz w:val="21"/>
        </w:rPr>
      </w:pPr>
    </w:p>
    <w:p w14:paraId="56CA0602">
      <w:pPr>
        <w:spacing w:line="261" w:lineRule="auto"/>
        <w:rPr>
          <w:rFonts w:ascii="Arial"/>
          <w:sz w:val="21"/>
        </w:rPr>
      </w:pPr>
    </w:p>
    <w:p w14:paraId="55DAAB69">
      <w:pPr>
        <w:spacing w:before="75" w:line="221" w:lineRule="auto"/>
        <w:ind w:left="305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附</w:t>
      </w:r>
      <w:r>
        <w:rPr>
          <w:rFonts w:ascii="宋体" w:hAnsi="宋体" w:eastAsia="宋体" w:cs="宋体"/>
          <w:spacing w:val="5"/>
          <w:sz w:val="23"/>
          <w:szCs w:val="23"/>
          <w14:textOutline w14:w="4358" w14:cap="sq" w14:cmpd="sng">
            <w14:solidFill>
              <w14:srgbClr w14:val="000000"/>
            </w14:solidFill>
            <w14:prstDash w14:val="solid"/>
            <w14:bevel/>
          </w14:textOutline>
        </w:rPr>
        <w:t>件</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建设项目大气环境影响评价自查表</w:t>
      </w:r>
    </w:p>
    <w:tbl>
      <w:tblPr>
        <w:tblStyle w:val="4"/>
        <w:tblW w:w="104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1792"/>
        <w:gridCol w:w="943"/>
        <w:gridCol w:w="199"/>
        <w:gridCol w:w="429"/>
        <w:gridCol w:w="319"/>
        <w:gridCol w:w="174"/>
        <w:gridCol w:w="455"/>
        <w:gridCol w:w="877"/>
        <w:gridCol w:w="384"/>
        <w:gridCol w:w="873"/>
        <w:gridCol w:w="386"/>
        <w:gridCol w:w="727"/>
        <w:gridCol w:w="1071"/>
        <w:gridCol w:w="738"/>
      </w:tblGrid>
      <w:tr w14:paraId="2D5E4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836" w:type="dxa"/>
            <w:gridSpan w:val="2"/>
            <w:tcBorders>
              <w:left w:val="single" w:color="000000" w:sz="10" w:space="0"/>
            </w:tcBorders>
            <w:vAlign w:val="top"/>
          </w:tcPr>
          <w:p w14:paraId="2CF5A4D6">
            <w:pPr>
              <w:spacing w:before="75" w:line="228" w:lineRule="auto"/>
              <w:ind w:left="993"/>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作内容</w:t>
            </w:r>
          </w:p>
        </w:tc>
        <w:tc>
          <w:tcPr>
            <w:tcW w:w="7575" w:type="dxa"/>
            <w:gridSpan w:val="13"/>
            <w:tcBorders>
              <w:right w:val="single" w:color="000000" w:sz="10" w:space="0"/>
            </w:tcBorders>
            <w:vAlign w:val="top"/>
          </w:tcPr>
          <w:p w14:paraId="3FFC57D4">
            <w:pPr>
              <w:spacing w:before="76" w:line="228" w:lineRule="auto"/>
              <w:ind w:left="3404"/>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查项目</w:t>
            </w:r>
          </w:p>
        </w:tc>
      </w:tr>
      <w:tr w14:paraId="1450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restart"/>
            <w:tcBorders>
              <w:left w:val="single" w:color="000000" w:sz="10" w:space="0"/>
              <w:bottom w:val="nil"/>
            </w:tcBorders>
            <w:vAlign w:val="top"/>
          </w:tcPr>
          <w:p w14:paraId="15B4F695">
            <w:pPr>
              <w:spacing w:before="58" w:line="258" w:lineRule="auto"/>
              <w:ind w:left="202" w:right="106" w:hanging="110"/>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价等级</w:t>
            </w:r>
            <w:r>
              <w:rPr>
                <w:rFonts w:ascii="宋体" w:hAnsi="宋体" w:eastAsia="宋体" w:cs="宋体"/>
                <w:sz w:val="20"/>
                <w:szCs w:val="20"/>
              </w:rPr>
              <w:t xml:space="preserve"> </w:t>
            </w:r>
            <w:r>
              <w:rPr>
                <w:rFonts w:ascii="宋体" w:hAnsi="宋体" w:eastAsia="宋体" w:cs="宋体"/>
                <w:spacing w:val="6"/>
                <w:sz w:val="20"/>
                <w:szCs w:val="20"/>
              </w:rPr>
              <w:t>与</w:t>
            </w:r>
            <w:r>
              <w:rPr>
                <w:rFonts w:ascii="宋体" w:hAnsi="宋体" w:eastAsia="宋体" w:cs="宋体"/>
                <w:spacing w:val="5"/>
                <w:sz w:val="20"/>
                <w:szCs w:val="20"/>
              </w:rPr>
              <w:t>范围</w:t>
            </w:r>
          </w:p>
        </w:tc>
        <w:tc>
          <w:tcPr>
            <w:tcW w:w="1792" w:type="dxa"/>
            <w:vAlign w:val="top"/>
          </w:tcPr>
          <w:p w14:paraId="1DC9FAC8">
            <w:pPr>
              <w:spacing w:before="51" w:line="226" w:lineRule="auto"/>
              <w:ind w:left="47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价等级</w:t>
            </w:r>
          </w:p>
        </w:tc>
        <w:tc>
          <w:tcPr>
            <w:tcW w:w="2519" w:type="dxa"/>
            <w:gridSpan w:val="6"/>
            <w:vAlign w:val="top"/>
          </w:tcPr>
          <w:p w14:paraId="3F44DB3C">
            <w:pPr>
              <w:spacing w:before="51" w:line="265" w:lineRule="exact"/>
              <w:ind w:left="993"/>
              <w:rPr>
                <w:rFonts w:ascii="Times New Roman" w:hAnsi="Times New Roman" w:eastAsia="Times New Roman" w:cs="Times New Roman"/>
                <w:sz w:val="20"/>
                <w:szCs w:val="20"/>
              </w:rPr>
            </w:pPr>
            <w:r>
              <w:rPr>
                <w:rFonts w:ascii="宋体" w:hAnsi="宋体" w:eastAsia="宋体" w:cs="宋体"/>
                <w:spacing w:val="9"/>
                <w:position w:val="3"/>
                <w:sz w:val="20"/>
                <w:szCs w:val="20"/>
              </w:rPr>
              <w:t>一</w:t>
            </w:r>
            <w:r>
              <w:rPr>
                <w:rFonts w:ascii="宋体" w:hAnsi="宋体" w:eastAsia="宋体" w:cs="宋体"/>
                <w:spacing w:val="7"/>
                <w:position w:val="3"/>
                <w:sz w:val="20"/>
                <w:szCs w:val="20"/>
              </w:rPr>
              <w:t>级</w:t>
            </w:r>
            <w:r>
              <w:rPr>
                <w:rFonts w:ascii="Times New Roman" w:hAnsi="Times New Roman" w:eastAsia="Times New Roman" w:cs="Times New Roman"/>
                <w:spacing w:val="7"/>
                <w:position w:val="3"/>
                <w:sz w:val="20"/>
                <w:szCs w:val="20"/>
              </w:rPr>
              <w:t>□</w:t>
            </w:r>
          </w:p>
        </w:tc>
        <w:tc>
          <w:tcPr>
            <w:tcW w:w="2520" w:type="dxa"/>
            <w:gridSpan w:val="4"/>
            <w:vAlign w:val="top"/>
          </w:tcPr>
          <w:p w14:paraId="4DAB9F94">
            <w:pPr>
              <w:spacing w:before="51" w:line="186" w:lineRule="auto"/>
              <w:ind w:left="967"/>
              <w:rPr>
                <w:rFonts w:ascii="微软雅黑" w:hAnsi="微软雅黑" w:eastAsia="微软雅黑" w:cs="微软雅黑"/>
                <w:sz w:val="20"/>
                <w:szCs w:val="20"/>
              </w:rPr>
            </w:pPr>
            <w:r>
              <w:rPr>
                <w:rFonts w:ascii="宋体" w:hAnsi="宋体" w:eastAsia="宋体" w:cs="宋体"/>
                <w:spacing w:val="2"/>
                <w:sz w:val="20"/>
                <w:szCs w:val="20"/>
              </w:rPr>
              <w:t>二级</w:t>
            </w:r>
            <w:r>
              <w:rPr>
                <w:rFonts w:ascii="微软雅黑" w:hAnsi="微软雅黑" w:eastAsia="微软雅黑" w:cs="微软雅黑"/>
                <w:spacing w:val="2"/>
                <w:sz w:val="20"/>
                <w:szCs w:val="20"/>
              </w:rPr>
              <w:t>团</w:t>
            </w:r>
          </w:p>
        </w:tc>
        <w:tc>
          <w:tcPr>
            <w:tcW w:w="2536" w:type="dxa"/>
            <w:gridSpan w:val="3"/>
            <w:tcBorders>
              <w:right w:val="single" w:color="000000" w:sz="10" w:space="0"/>
            </w:tcBorders>
            <w:vAlign w:val="top"/>
          </w:tcPr>
          <w:p w14:paraId="7BA68432">
            <w:pPr>
              <w:spacing w:before="51" w:line="230" w:lineRule="auto"/>
              <w:ind w:left="1002"/>
              <w:rPr>
                <w:rFonts w:ascii="Times New Roman" w:hAnsi="Times New Roman" w:eastAsia="Times New Roman" w:cs="Times New Roman"/>
                <w:sz w:val="20"/>
                <w:szCs w:val="20"/>
              </w:rPr>
            </w:pPr>
            <w:r>
              <w:rPr>
                <w:rFonts w:ascii="宋体" w:hAnsi="宋体" w:eastAsia="宋体" w:cs="宋体"/>
                <w:spacing w:val="7"/>
                <w:sz w:val="20"/>
                <w:szCs w:val="20"/>
              </w:rPr>
              <w:t>三</w:t>
            </w:r>
            <w:r>
              <w:rPr>
                <w:rFonts w:ascii="宋体" w:hAnsi="宋体" w:eastAsia="宋体" w:cs="宋体"/>
                <w:spacing w:val="5"/>
                <w:sz w:val="20"/>
                <w:szCs w:val="20"/>
              </w:rPr>
              <w:t>级</w:t>
            </w:r>
            <w:r>
              <w:rPr>
                <w:rFonts w:ascii="Times New Roman" w:hAnsi="Times New Roman" w:eastAsia="Times New Roman" w:cs="Times New Roman"/>
                <w:spacing w:val="5"/>
                <w:sz w:val="20"/>
                <w:szCs w:val="20"/>
              </w:rPr>
              <w:t>□</w:t>
            </w:r>
          </w:p>
        </w:tc>
      </w:tr>
      <w:tr w14:paraId="49927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tcBorders>
            <w:vAlign w:val="top"/>
          </w:tcPr>
          <w:p w14:paraId="00A6292F">
            <w:pPr>
              <w:rPr>
                <w:rFonts w:ascii="Arial"/>
                <w:sz w:val="21"/>
              </w:rPr>
            </w:pPr>
          </w:p>
        </w:tc>
        <w:tc>
          <w:tcPr>
            <w:tcW w:w="1792" w:type="dxa"/>
            <w:vAlign w:val="top"/>
          </w:tcPr>
          <w:p w14:paraId="02CABF7F">
            <w:pPr>
              <w:spacing w:before="53" w:line="226" w:lineRule="auto"/>
              <w:ind w:left="47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价范围</w:t>
            </w:r>
          </w:p>
        </w:tc>
        <w:tc>
          <w:tcPr>
            <w:tcW w:w="2519" w:type="dxa"/>
            <w:gridSpan w:val="6"/>
            <w:vAlign w:val="top"/>
          </w:tcPr>
          <w:p w14:paraId="4BA51546">
            <w:pPr>
              <w:spacing w:before="15" w:line="281" w:lineRule="exact"/>
              <w:ind w:left="691"/>
              <w:rPr>
                <w:rFonts w:ascii="Times New Roman" w:hAnsi="Times New Roman" w:eastAsia="Times New Roman" w:cs="Times New Roman"/>
                <w:sz w:val="20"/>
                <w:szCs w:val="20"/>
              </w:rPr>
            </w:pPr>
            <w:r>
              <w:rPr>
                <w:rFonts w:ascii="宋体" w:hAnsi="宋体" w:eastAsia="宋体" w:cs="宋体"/>
                <w:spacing w:val="9"/>
                <w:position w:val="1"/>
                <w:sz w:val="20"/>
                <w:szCs w:val="20"/>
              </w:rPr>
              <w:t>边</w:t>
            </w:r>
            <w:r>
              <w:rPr>
                <w:rFonts w:ascii="宋体" w:hAnsi="宋体" w:eastAsia="宋体" w:cs="宋体"/>
                <w:spacing w:val="7"/>
                <w:position w:val="1"/>
                <w:sz w:val="20"/>
                <w:szCs w:val="20"/>
              </w:rPr>
              <w:t>长</w:t>
            </w:r>
            <w:r>
              <w:rPr>
                <w:rFonts w:ascii="Times New Roman" w:hAnsi="Times New Roman" w:eastAsia="Times New Roman" w:cs="Times New Roman"/>
                <w:spacing w:val="7"/>
                <w:position w:val="1"/>
                <w:sz w:val="20"/>
                <w:szCs w:val="20"/>
              </w:rPr>
              <w:t>=50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2520" w:type="dxa"/>
            <w:gridSpan w:val="4"/>
            <w:vAlign w:val="top"/>
          </w:tcPr>
          <w:p w14:paraId="053B29B3">
            <w:pPr>
              <w:spacing w:before="15" w:line="211" w:lineRule="auto"/>
              <w:ind w:left="591"/>
              <w:rPr>
                <w:rFonts w:ascii="微软雅黑" w:hAnsi="微软雅黑" w:eastAsia="微软雅黑" w:cs="微软雅黑"/>
                <w:sz w:val="20"/>
                <w:szCs w:val="20"/>
              </w:rPr>
            </w:pPr>
            <w:r>
              <w:rPr>
                <w:rFonts w:ascii="宋体" w:hAnsi="宋体" w:eastAsia="宋体" w:cs="宋体"/>
                <w:spacing w:val="-5"/>
                <w:sz w:val="20"/>
                <w:szCs w:val="20"/>
              </w:rPr>
              <w:t>边</w:t>
            </w:r>
            <w:r>
              <w:rPr>
                <w:rFonts w:ascii="宋体" w:hAnsi="宋体" w:eastAsia="宋体" w:cs="宋体"/>
                <w:spacing w:val="-3"/>
                <w:sz w:val="20"/>
                <w:szCs w:val="20"/>
              </w:rPr>
              <w:t xml:space="preserve">长 </w:t>
            </w:r>
            <w:r>
              <w:rPr>
                <w:rFonts w:ascii="Times New Roman" w:hAnsi="Times New Roman" w:eastAsia="Times New Roman" w:cs="Times New Roman"/>
                <w:spacing w:val="-3"/>
                <w:sz w:val="20"/>
                <w:szCs w:val="20"/>
              </w:rPr>
              <w:t xml:space="preserve">5~50km </w:t>
            </w:r>
            <w:r>
              <w:rPr>
                <w:rFonts w:ascii="微软雅黑" w:hAnsi="微软雅黑" w:eastAsia="微软雅黑" w:cs="微软雅黑"/>
                <w:spacing w:val="-3"/>
                <w:sz w:val="20"/>
                <w:szCs w:val="20"/>
              </w:rPr>
              <w:t>团</w:t>
            </w:r>
          </w:p>
        </w:tc>
        <w:tc>
          <w:tcPr>
            <w:tcW w:w="2536" w:type="dxa"/>
            <w:gridSpan w:val="3"/>
            <w:tcBorders>
              <w:right w:val="single" w:color="000000" w:sz="10" w:space="0"/>
            </w:tcBorders>
            <w:vAlign w:val="top"/>
          </w:tcPr>
          <w:p w14:paraId="6B29AD00">
            <w:pPr>
              <w:spacing w:before="15" w:line="281" w:lineRule="exact"/>
              <w:ind w:left="725"/>
              <w:rPr>
                <w:sz w:val="20"/>
                <w:szCs w:val="20"/>
              </w:rPr>
            </w:pPr>
            <w:r>
              <w:rPr>
                <w:rFonts w:ascii="宋体" w:hAnsi="宋体" w:eastAsia="宋体" w:cs="宋体"/>
                <w:spacing w:val="1"/>
                <w:position w:val="1"/>
                <w:sz w:val="20"/>
                <w:szCs w:val="20"/>
              </w:rPr>
              <w:t>边长</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 xml:space="preserve">5km </w:t>
            </w:r>
            <w:r>
              <w:rPr>
                <w:position w:val="-3"/>
                <w:sz w:val="20"/>
                <w:szCs w:val="20"/>
              </w:rPr>
              <w:drawing>
                <wp:inline distT="0" distB="0" distL="0" distR="0">
                  <wp:extent cx="95885" cy="13970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535"/>
                          <a:stretch>
                            <a:fillRect/>
                          </a:stretch>
                        </pic:blipFill>
                        <pic:spPr>
                          <a:xfrm>
                            <a:off x="0" y="0"/>
                            <a:ext cx="95953" cy="139748"/>
                          </a:xfrm>
                          <a:prstGeom prst="rect">
                            <a:avLst/>
                          </a:prstGeom>
                        </pic:spPr>
                      </pic:pic>
                    </a:graphicData>
                  </a:graphic>
                </wp:inline>
              </w:drawing>
            </w:r>
          </w:p>
        </w:tc>
      </w:tr>
      <w:tr w14:paraId="6ECBF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restart"/>
            <w:tcBorders>
              <w:left w:val="single" w:color="000000" w:sz="10" w:space="0"/>
              <w:bottom w:val="nil"/>
            </w:tcBorders>
            <w:vAlign w:val="top"/>
          </w:tcPr>
          <w:p w14:paraId="68412385">
            <w:pPr>
              <w:spacing w:line="302" w:lineRule="auto"/>
              <w:rPr>
                <w:rFonts w:ascii="Arial"/>
                <w:sz w:val="21"/>
              </w:rPr>
            </w:pPr>
          </w:p>
          <w:p w14:paraId="1FCD0A7B">
            <w:pPr>
              <w:spacing w:before="65" w:line="226" w:lineRule="auto"/>
              <w:ind w:left="9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价因子</w:t>
            </w:r>
          </w:p>
        </w:tc>
        <w:tc>
          <w:tcPr>
            <w:tcW w:w="1792" w:type="dxa"/>
            <w:vAlign w:val="top"/>
          </w:tcPr>
          <w:p w14:paraId="2761650D">
            <w:pPr>
              <w:spacing w:before="15" w:line="281" w:lineRule="exact"/>
              <w:ind w:left="153"/>
              <w:rPr>
                <w:rFonts w:ascii="宋体" w:hAnsi="宋体" w:eastAsia="宋体" w:cs="宋体"/>
                <w:sz w:val="20"/>
                <w:szCs w:val="20"/>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2"/>
                <w:sz w:val="13"/>
                <w:szCs w:val="13"/>
              </w:rPr>
              <w:t>2</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NO</w:t>
            </w:r>
            <w:r>
              <w:rPr>
                <w:rFonts w:ascii="Times New Roman" w:hAnsi="Times New Roman" w:eastAsia="Times New Roman" w:cs="Times New Roman"/>
                <w:sz w:val="13"/>
                <w:szCs w:val="13"/>
              </w:rPr>
              <w:t>x</w:t>
            </w:r>
            <w:r>
              <w:rPr>
                <w:rFonts w:ascii="Times New Roman" w:hAnsi="Times New Roman" w:eastAsia="Times New Roman" w:cs="Times New Roman"/>
                <w:spacing w:val="9"/>
                <w:sz w:val="13"/>
                <w:szCs w:val="13"/>
              </w:rPr>
              <w:t xml:space="preserve"> </w:t>
            </w:r>
            <w:r>
              <w:rPr>
                <w:rFonts w:ascii="宋体" w:hAnsi="宋体" w:eastAsia="宋体" w:cs="宋体"/>
                <w:spacing w:val="9"/>
                <w:position w:val="1"/>
                <w:sz w:val="20"/>
                <w:szCs w:val="20"/>
              </w:rPr>
              <w:t>排放量</w:t>
            </w:r>
          </w:p>
        </w:tc>
        <w:tc>
          <w:tcPr>
            <w:tcW w:w="2519" w:type="dxa"/>
            <w:gridSpan w:val="6"/>
            <w:vAlign w:val="top"/>
          </w:tcPr>
          <w:p w14:paraId="7654112E">
            <w:pPr>
              <w:spacing w:before="15" w:line="281" w:lineRule="exact"/>
              <w:ind w:left="820"/>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w:t>
            </w:r>
            <w:r>
              <w:rPr>
                <w:rFonts w:ascii="Times New Roman" w:hAnsi="Times New Roman" w:eastAsia="Times New Roman" w:cs="Times New Roman"/>
                <w:spacing w:val="5"/>
                <w:position w:val="2"/>
                <w:sz w:val="20"/>
                <w:szCs w:val="20"/>
              </w:rPr>
              <w:t>2000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p>
        </w:tc>
        <w:tc>
          <w:tcPr>
            <w:tcW w:w="2520" w:type="dxa"/>
            <w:gridSpan w:val="4"/>
            <w:vAlign w:val="top"/>
          </w:tcPr>
          <w:p w14:paraId="413072BB">
            <w:pPr>
              <w:spacing w:before="15" w:line="281"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5</w:t>
            </w: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0~2000</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w:t>
            </w:r>
          </w:p>
        </w:tc>
        <w:tc>
          <w:tcPr>
            <w:tcW w:w="2536" w:type="dxa"/>
            <w:gridSpan w:val="3"/>
            <w:tcBorders>
              <w:right w:val="single" w:color="000000" w:sz="10" w:space="0"/>
            </w:tcBorders>
            <w:vAlign w:val="top"/>
          </w:tcPr>
          <w:p w14:paraId="554451DF">
            <w:pPr>
              <w:spacing w:before="15" w:line="211" w:lineRule="auto"/>
              <w:ind w:left="831"/>
              <w:rPr>
                <w:rFonts w:ascii="微软雅黑" w:hAnsi="微软雅黑" w:eastAsia="微软雅黑" w:cs="微软雅黑"/>
                <w:sz w:val="20"/>
                <w:szCs w:val="20"/>
              </w:rPr>
            </w:pPr>
            <w:r>
              <w:rPr>
                <w:rFonts w:ascii="宋体" w:hAnsi="宋体" w:eastAsia="宋体" w:cs="宋体"/>
                <w:spacing w:val="8"/>
                <w:sz w:val="20"/>
                <w:szCs w:val="20"/>
              </w:rPr>
              <w:t>＜</w:t>
            </w:r>
            <w:r>
              <w:rPr>
                <w:rFonts w:ascii="Times New Roman" w:hAnsi="Times New Roman" w:eastAsia="Times New Roman" w:cs="Times New Roman"/>
                <w:spacing w:val="4"/>
                <w:sz w:val="20"/>
                <w:szCs w:val="20"/>
              </w:rPr>
              <w:t>500</w:t>
            </w:r>
            <w:r>
              <w:rPr>
                <w:rFonts w:ascii="Times New Roman" w:hAnsi="Times New Roman" w:eastAsia="Times New Roman" w:cs="Times New Roman"/>
                <w:sz w:val="20"/>
                <w:szCs w:val="20"/>
              </w:rPr>
              <w:t>t</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a</w:t>
            </w:r>
            <w:r>
              <w:rPr>
                <w:rFonts w:ascii="微软雅黑" w:hAnsi="微软雅黑" w:eastAsia="微软雅黑" w:cs="微软雅黑"/>
                <w:spacing w:val="4"/>
                <w:sz w:val="20"/>
                <w:szCs w:val="20"/>
              </w:rPr>
              <w:t>团</w:t>
            </w:r>
          </w:p>
        </w:tc>
      </w:tr>
      <w:tr w14:paraId="3E2F7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44" w:type="dxa"/>
            <w:vMerge w:val="continue"/>
            <w:tcBorders>
              <w:top w:val="nil"/>
              <w:left w:val="single" w:color="000000" w:sz="10" w:space="0"/>
            </w:tcBorders>
            <w:vAlign w:val="top"/>
          </w:tcPr>
          <w:p w14:paraId="2D9A47F4">
            <w:pPr>
              <w:rPr>
                <w:rFonts w:ascii="Arial"/>
                <w:sz w:val="21"/>
              </w:rPr>
            </w:pPr>
          </w:p>
        </w:tc>
        <w:tc>
          <w:tcPr>
            <w:tcW w:w="1792" w:type="dxa"/>
            <w:vAlign w:val="top"/>
          </w:tcPr>
          <w:p w14:paraId="144843A8">
            <w:pPr>
              <w:spacing w:before="208" w:line="226" w:lineRule="auto"/>
              <w:ind w:left="47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价因子</w:t>
            </w:r>
          </w:p>
        </w:tc>
        <w:tc>
          <w:tcPr>
            <w:tcW w:w="3780" w:type="dxa"/>
            <w:gridSpan w:val="8"/>
            <w:vAlign w:val="top"/>
          </w:tcPr>
          <w:p w14:paraId="157B9D5B">
            <w:pPr>
              <w:spacing w:before="52" w:line="227" w:lineRule="auto"/>
              <w:ind w:left="358"/>
              <w:rPr>
                <w:rFonts w:ascii="宋体" w:hAnsi="宋体" w:eastAsia="宋体" w:cs="宋体"/>
                <w:sz w:val="20"/>
                <w:szCs w:val="20"/>
              </w:rPr>
            </w:pPr>
            <w:r>
              <w:rPr>
                <w:rFonts w:ascii="宋体" w:hAnsi="宋体" w:eastAsia="宋体" w:cs="宋体"/>
                <w:spacing w:val="4"/>
                <w:sz w:val="20"/>
                <w:szCs w:val="20"/>
              </w:rPr>
              <w:t>基本污染物 (</w:t>
            </w:r>
            <w:r>
              <w:rPr>
                <w:rFonts w:ascii="Times New Roman" w:hAnsi="Times New Roman" w:eastAsia="Times New Roman" w:cs="Times New Roman"/>
                <w:sz w:val="20"/>
                <w:szCs w:val="20"/>
              </w:rPr>
              <w:t>PM</w:t>
            </w:r>
            <w:r>
              <w:rPr>
                <w:rFonts w:ascii="Times New Roman" w:hAnsi="Times New Roman" w:eastAsia="Times New Roman" w:cs="Times New Roman"/>
                <w:spacing w:val="4"/>
                <w:position w:val="-1"/>
                <w:sz w:val="13"/>
                <w:szCs w:val="13"/>
              </w:rPr>
              <w:t xml:space="preserve">10 </w:t>
            </w:r>
            <w:r>
              <w:rPr>
                <w:rFonts w:ascii="宋体" w:hAnsi="宋体" w:eastAsia="宋体" w:cs="宋体"/>
                <w:spacing w:val="4"/>
                <w:sz w:val="20"/>
                <w:szCs w:val="20"/>
              </w:rPr>
              <w:t>、</w:t>
            </w:r>
            <w:r>
              <w:rPr>
                <w:rFonts w:ascii="Times New Roman" w:hAnsi="Times New Roman" w:eastAsia="Times New Roman" w:cs="Times New Roman"/>
                <w:sz w:val="20"/>
                <w:szCs w:val="20"/>
              </w:rPr>
              <w:t>SO</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w:t>
            </w:r>
            <w:r>
              <w:rPr>
                <w:rFonts w:ascii="Times New Roman" w:hAnsi="Times New Roman" w:eastAsia="Times New Roman" w:cs="Times New Roman"/>
                <w:sz w:val="20"/>
                <w:szCs w:val="20"/>
              </w:rPr>
              <w:t>NOx</w:t>
            </w:r>
            <w:r>
              <w:rPr>
                <w:rFonts w:ascii="宋体" w:hAnsi="宋体" w:eastAsia="宋体" w:cs="宋体"/>
                <w:spacing w:val="4"/>
                <w:sz w:val="20"/>
                <w:szCs w:val="20"/>
              </w:rPr>
              <w:t>)</w:t>
            </w:r>
          </w:p>
          <w:p w14:paraId="59C4F8D6">
            <w:pPr>
              <w:spacing w:before="66" w:line="228" w:lineRule="auto"/>
              <w:ind w:left="560"/>
              <w:rPr>
                <w:rFonts w:ascii="宋体" w:hAnsi="宋体" w:eastAsia="宋体" w:cs="宋体"/>
                <w:sz w:val="20"/>
                <w:szCs w:val="20"/>
              </w:rPr>
            </w:pPr>
            <w:r>
              <w:rPr>
                <w:rFonts w:ascii="宋体" w:hAnsi="宋体" w:eastAsia="宋体" w:cs="宋体"/>
                <w:spacing w:val="10"/>
                <w:sz w:val="20"/>
                <w:szCs w:val="20"/>
              </w:rPr>
              <w:t>其</w:t>
            </w:r>
            <w:r>
              <w:rPr>
                <w:rFonts w:ascii="宋体" w:hAnsi="宋体" w:eastAsia="宋体" w:cs="宋体"/>
                <w:spacing w:val="6"/>
                <w:sz w:val="20"/>
                <w:szCs w:val="20"/>
              </w:rPr>
              <w:t>他</w:t>
            </w:r>
            <w:r>
              <w:rPr>
                <w:rFonts w:ascii="宋体" w:hAnsi="宋体" w:eastAsia="宋体" w:cs="宋体"/>
                <w:spacing w:val="5"/>
                <w:sz w:val="20"/>
                <w:szCs w:val="20"/>
              </w:rPr>
              <w:t>污染物 (</w:t>
            </w:r>
            <w:r>
              <w:rPr>
                <w:rFonts w:ascii="Times New Roman" w:hAnsi="Times New Roman" w:eastAsia="Times New Roman" w:cs="Times New Roman"/>
                <w:sz w:val="20"/>
                <w:szCs w:val="20"/>
              </w:rPr>
              <w:t>TSP</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NMHC</w:t>
            </w:r>
            <w:r>
              <w:rPr>
                <w:rFonts w:ascii="宋体" w:hAnsi="宋体" w:eastAsia="宋体" w:cs="宋体"/>
                <w:spacing w:val="5"/>
                <w:sz w:val="20"/>
                <w:szCs w:val="20"/>
              </w:rPr>
              <w:t>)</w:t>
            </w:r>
          </w:p>
        </w:tc>
        <w:tc>
          <w:tcPr>
            <w:tcW w:w="3795" w:type="dxa"/>
            <w:gridSpan w:val="5"/>
            <w:tcBorders>
              <w:right w:val="single" w:color="000000" w:sz="10" w:space="0"/>
            </w:tcBorders>
            <w:vAlign w:val="top"/>
          </w:tcPr>
          <w:p w14:paraId="15DD2518">
            <w:pPr>
              <w:spacing w:before="52" w:line="312" w:lineRule="exact"/>
              <w:ind w:left="1114"/>
              <w:rPr>
                <w:rFonts w:ascii="Times New Roman" w:hAnsi="Times New Roman" w:eastAsia="Times New Roman" w:cs="Times New Roman"/>
                <w:sz w:val="20"/>
                <w:szCs w:val="20"/>
              </w:rPr>
            </w:pPr>
            <w:r>
              <w:rPr>
                <w:rFonts w:ascii="宋体" w:hAnsi="宋体" w:eastAsia="宋体" w:cs="宋体"/>
                <w:spacing w:val="2"/>
                <w:position w:val="7"/>
                <w:sz w:val="20"/>
                <w:szCs w:val="20"/>
              </w:rPr>
              <w:t xml:space="preserve">包括二次 </w:t>
            </w:r>
            <w:r>
              <w:rPr>
                <w:rFonts w:ascii="Times New Roman" w:hAnsi="Times New Roman" w:eastAsia="Times New Roman" w:cs="Times New Roman"/>
                <w:position w:val="7"/>
                <w:sz w:val="20"/>
                <w:szCs w:val="20"/>
              </w:rPr>
              <w:t>PM</w:t>
            </w:r>
            <w:r>
              <w:rPr>
                <w:rFonts w:ascii="Times New Roman" w:hAnsi="Times New Roman" w:eastAsia="Times New Roman" w:cs="Times New Roman"/>
                <w:spacing w:val="2"/>
                <w:position w:val="7"/>
                <w:sz w:val="20"/>
                <w:szCs w:val="20"/>
              </w:rPr>
              <w:t>2</w:t>
            </w:r>
            <w:r>
              <w:rPr>
                <w:rFonts w:ascii="Times New Roman" w:hAnsi="Times New Roman" w:eastAsia="Times New Roman" w:cs="Times New Roman"/>
                <w:spacing w:val="1"/>
                <w:position w:val="7"/>
                <w:sz w:val="20"/>
                <w:szCs w:val="20"/>
              </w:rPr>
              <w:t>.5□</w:t>
            </w:r>
          </w:p>
          <w:p w14:paraId="1A15DD78">
            <w:pPr>
              <w:spacing w:line="185" w:lineRule="auto"/>
              <w:ind w:left="981"/>
              <w:rPr>
                <w:rFonts w:ascii="微软雅黑" w:hAnsi="微软雅黑" w:eastAsia="微软雅黑" w:cs="微软雅黑"/>
                <w:sz w:val="20"/>
                <w:szCs w:val="20"/>
              </w:rPr>
            </w:pPr>
            <w:r>
              <w:rPr>
                <w:rFonts w:ascii="宋体" w:hAnsi="宋体" w:eastAsia="宋体" w:cs="宋体"/>
                <w:spacing w:val="2"/>
                <w:sz w:val="20"/>
                <w:szCs w:val="20"/>
              </w:rPr>
              <w:t xml:space="preserve">不包括二次 </w:t>
            </w:r>
            <w:r>
              <w:rPr>
                <w:rFonts w:ascii="Times New Roman" w:hAnsi="Times New Roman" w:eastAsia="Times New Roman" w:cs="Times New Roman"/>
                <w:sz w:val="20"/>
                <w:szCs w:val="20"/>
              </w:rPr>
              <w:t>PM</w:t>
            </w:r>
            <w:r>
              <w:rPr>
                <w:rFonts w:ascii="Times New Roman" w:hAnsi="Times New Roman" w:eastAsia="Times New Roman" w:cs="Times New Roman"/>
                <w:spacing w:val="1"/>
                <w:sz w:val="20"/>
                <w:szCs w:val="20"/>
              </w:rPr>
              <w:t>2.5</w:t>
            </w:r>
            <w:r>
              <w:rPr>
                <w:rFonts w:ascii="微软雅黑" w:hAnsi="微软雅黑" w:eastAsia="微软雅黑" w:cs="微软雅黑"/>
                <w:spacing w:val="1"/>
                <w:sz w:val="20"/>
                <w:szCs w:val="20"/>
              </w:rPr>
              <w:t>团</w:t>
            </w:r>
          </w:p>
        </w:tc>
      </w:tr>
      <w:tr w14:paraId="4EA2F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tcBorders>
              <w:left w:val="single" w:color="000000" w:sz="10" w:space="0"/>
            </w:tcBorders>
            <w:vAlign w:val="top"/>
          </w:tcPr>
          <w:p w14:paraId="5E9E5E24">
            <w:pPr>
              <w:spacing w:before="52" w:line="226" w:lineRule="auto"/>
              <w:ind w:left="9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价标准</w:t>
            </w:r>
          </w:p>
        </w:tc>
        <w:tc>
          <w:tcPr>
            <w:tcW w:w="1792" w:type="dxa"/>
            <w:vAlign w:val="top"/>
          </w:tcPr>
          <w:p w14:paraId="065B8868">
            <w:pPr>
              <w:spacing w:before="52" w:line="226" w:lineRule="auto"/>
              <w:ind w:left="47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价标准</w:t>
            </w:r>
          </w:p>
        </w:tc>
        <w:tc>
          <w:tcPr>
            <w:tcW w:w="1890" w:type="dxa"/>
            <w:gridSpan w:val="4"/>
            <w:vAlign w:val="top"/>
          </w:tcPr>
          <w:p w14:paraId="28730AA8">
            <w:pPr>
              <w:spacing w:before="52" w:line="185" w:lineRule="auto"/>
              <w:ind w:left="453"/>
              <w:rPr>
                <w:rFonts w:ascii="微软雅黑" w:hAnsi="微软雅黑" w:eastAsia="微软雅黑" w:cs="微软雅黑"/>
                <w:sz w:val="20"/>
                <w:szCs w:val="20"/>
              </w:rPr>
            </w:pPr>
            <w:r>
              <w:rPr>
                <w:rFonts w:ascii="宋体" w:hAnsi="宋体" w:eastAsia="宋体" w:cs="宋体"/>
                <w:spacing w:val="2"/>
                <w:sz w:val="20"/>
                <w:szCs w:val="20"/>
              </w:rPr>
              <w:t>国家标准</w:t>
            </w:r>
            <w:r>
              <w:rPr>
                <w:rFonts w:ascii="微软雅黑" w:hAnsi="微软雅黑" w:eastAsia="微软雅黑" w:cs="微软雅黑"/>
                <w:spacing w:val="1"/>
                <w:sz w:val="20"/>
                <w:szCs w:val="20"/>
              </w:rPr>
              <w:t>团</w:t>
            </w:r>
          </w:p>
        </w:tc>
        <w:tc>
          <w:tcPr>
            <w:tcW w:w="1890" w:type="dxa"/>
            <w:gridSpan w:val="4"/>
            <w:vAlign w:val="top"/>
          </w:tcPr>
          <w:p w14:paraId="5A9E4D70">
            <w:pPr>
              <w:spacing w:before="52" w:line="223" w:lineRule="auto"/>
              <w:ind w:left="438"/>
              <w:rPr>
                <w:sz w:val="20"/>
                <w:szCs w:val="20"/>
              </w:rPr>
            </w:pPr>
            <w:r>
              <w:rPr>
                <w:rFonts w:ascii="宋体" w:hAnsi="宋体" w:eastAsia="宋体" w:cs="宋体"/>
                <w:spacing w:val="8"/>
                <w:sz w:val="20"/>
                <w:szCs w:val="20"/>
              </w:rPr>
              <w:t>地</w:t>
            </w:r>
            <w:r>
              <w:rPr>
                <w:rFonts w:ascii="宋体" w:hAnsi="宋体" w:eastAsia="宋体" w:cs="宋体"/>
                <w:spacing w:val="7"/>
                <w:sz w:val="20"/>
                <w:szCs w:val="20"/>
              </w:rPr>
              <w:t>方标准</w:t>
            </w:r>
            <w:r>
              <w:rPr>
                <w:position w:val="-4"/>
                <w:sz w:val="20"/>
                <w:szCs w:val="20"/>
              </w:rPr>
              <w:drawing>
                <wp:inline distT="0" distB="0" distL="0" distR="0">
                  <wp:extent cx="107950" cy="139700"/>
                  <wp:effectExtent l="0" t="0" r="0" b="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603"/>
                          <a:stretch>
                            <a:fillRect/>
                          </a:stretch>
                        </pic:blipFill>
                        <pic:spPr>
                          <a:xfrm>
                            <a:off x="0" y="0"/>
                            <a:ext cx="108509" cy="139748"/>
                          </a:xfrm>
                          <a:prstGeom prst="rect">
                            <a:avLst/>
                          </a:prstGeom>
                        </pic:spPr>
                      </pic:pic>
                    </a:graphicData>
                  </a:graphic>
                </wp:inline>
              </w:drawing>
            </w:r>
          </w:p>
        </w:tc>
        <w:tc>
          <w:tcPr>
            <w:tcW w:w="1986" w:type="dxa"/>
            <w:gridSpan w:val="3"/>
            <w:vAlign w:val="top"/>
          </w:tcPr>
          <w:p w14:paraId="7B87F52D">
            <w:pPr>
              <w:spacing w:before="52" w:line="223" w:lineRule="auto"/>
              <w:ind w:left="614"/>
              <w:rPr>
                <w:sz w:val="20"/>
                <w:szCs w:val="20"/>
              </w:rPr>
            </w:pPr>
            <w:r>
              <w:rPr>
                <w:rFonts w:ascii="宋体" w:hAnsi="宋体" w:eastAsia="宋体" w:cs="宋体"/>
                <w:spacing w:val="27"/>
                <w:sz w:val="20"/>
                <w:szCs w:val="20"/>
              </w:rPr>
              <w:t>附录</w:t>
            </w:r>
            <w:r>
              <w:rPr>
                <w:rFonts w:ascii="Times New Roman" w:hAnsi="Times New Roman" w:eastAsia="Times New Roman" w:cs="Times New Roman"/>
                <w:sz w:val="20"/>
                <w:szCs w:val="20"/>
              </w:rPr>
              <w:t>D</w:t>
            </w:r>
            <w:r>
              <w:rPr>
                <w:position w:val="-4"/>
                <w:sz w:val="20"/>
                <w:szCs w:val="20"/>
              </w:rPr>
              <w:drawing>
                <wp:inline distT="0" distB="0" distL="0" distR="0">
                  <wp:extent cx="106680" cy="13970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540"/>
                          <a:stretch>
                            <a:fillRect/>
                          </a:stretch>
                        </pic:blipFill>
                        <pic:spPr>
                          <a:xfrm>
                            <a:off x="0" y="0"/>
                            <a:ext cx="107292" cy="139748"/>
                          </a:xfrm>
                          <a:prstGeom prst="rect">
                            <a:avLst/>
                          </a:prstGeom>
                        </pic:spPr>
                      </pic:pic>
                    </a:graphicData>
                  </a:graphic>
                </wp:inline>
              </w:drawing>
            </w:r>
          </w:p>
        </w:tc>
        <w:tc>
          <w:tcPr>
            <w:tcW w:w="1809" w:type="dxa"/>
            <w:gridSpan w:val="2"/>
            <w:tcBorders>
              <w:right w:val="single" w:color="000000" w:sz="10" w:space="0"/>
            </w:tcBorders>
            <w:vAlign w:val="top"/>
          </w:tcPr>
          <w:p w14:paraId="36C135CF">
            <w:pPr>
              <w:spacing w:before="52" w:line="228" w:lineRule="auto"/>
              <w:ind w:left="430"/>
              <w:rPr>
                <w:rFonts w:ascii="Times New Roman" w:hAnsi="Times New Roman" w:eastAsia="Times New Roman" w:cs="Times New Roman"/>
                <w:sz w:val="20"/>
                <w:szCs w:val="20"/>
              </w:rPr>
            </w:pPr>
            <w:r>
              <w:rPr>
                <w:rFonts w:ascii="宋体" w:hAnsi="宋体" w:eastAsia="宋体" w:cs="宋体"/>
                <w:spacing w:val="8"/>
                <w:sz w:val="20"/>
                <w:szCs w:val="20"/>
              </w:rPr>
              <w:t>其</w:t>
            </w:r>
            <w:r>
              <w:rPr>
                <w:rFonts w:ascii="宋体" w:hAnsi="宋体" w:eastAsia="宋体" w:cs="宋体"/>
                <w:spacing w:val="7"/>
                <w:sz w:val="20"/>
                <w:szCs w:val="20"/>
              </w:rPr>
              <w:t>他标准</w:t>
            </w:r>
            <w:r>
              <w:rPr>
                <w:rFonts w:ascii="Times New Roman" w:hAnsi="Times New Roman" w:eastAsia="Times New Roman" w:cs="Times New Roman"/>
                <w:spacing w:val="7"/>
                <w:sz w:val="20"/>
                <w:szCs w:val="20"/>
              </w:rPr>
              <w:t>□</w:t>
            </w:r>
          </w:p>
        </w:tc>
      </w:tr>
      <w:tr w14:paraId="59B90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restart"/>
            <w:tcBorders>
              <w:left w:val="single" w:color="000000" w:sz="10" w:space="0"/>
              <w:bottom w:val="nil"/>
            </w:tcBorders>
            <w:vAlign w:val="top"/>
          </w:tcPr>
          <w:p w14:paraId="1B05F476">
            <w:pPr>
              <w:spacing w:line="311" w:lineRule="auto"/>
              <w:rPr>
                <w:rFonts w:ascii="Arial"/>
                <w:sz w:val="21"/>
              </w:rPr>
            </w:pPr>
          </w:p>
          <w:p w14:paraId="7CB2EBC6">
            <w:pPr>
              <w:spacing w:line="312" w:lineRule="auto"/>
              <w:rPr>
                <w:rFonts w:ascii="Arial"/>
                <w:sz w:val="21"/>
              </w:rPr>
            </w:pPr>
          </w:p>
          <w:p w14:paraId="575C53FA">
            <w:pPr>
              <w:spacing w:before="65" w:line="226" w:lineRule="auto"/>
              <w:ind w:left="95"/>
              <w:rPr>
                <w:rFonts w:ascii="宋体" w:hAnsi="宋体" w:eastAsia="宋体" w:cs="宋体"/>
                <w:sz w:val="20"/>
                <w:szCs w:val="20"/>
              </w:rPr>
            </w:pPr>
            <w:r>
              <w:rPr>
                <w:rFonts w:ascii="宋体" w:hAnsi="宋体" w:eastAsia="宋体" w:cs="宋体"/>
                <w:spacing w:val="7"/>
                <w:sz w:val="20"/>
                <w:szCs w:val="20"/>
              </w:rPr>
              <w:t>现状评</w:t>
            </w:r>
            <w:r>
              <w:rPr>
                <w:rFonts w:ascii="宋体" w:hAnsi="宋体" w:eastAsia="宋体" w:cs="宋体"/>
                <w:spacing w:val="6"/>
                <w:sz w:val="20"/>
                <w:szCs w:val="20"/>
              </w:rPr>
              <w:t>价</w:t>
            </w:r>
          </w:p>
        </w:tc>
        <w:tc>
          <w:tcPr>
            <w:tcW w:w="1792" w:type="dxa"/>
            <w:vAlign w:val="top"/>
          </w:tcPr>
          <w:p w14:paraId="3BDFBCC1">
            <w:pPr>
              <w:spacing w:before="52" w:line="228" w:lineRule="auto"/>
              <w:ind w:left="367"/>
              <w:rPr>
                <w:rFonts w:ascii="宋体" w:hAnsi="宋体" w:eastAsia="宋体" w:cs="宋体"/>
                <w:sz w:val="20"/>
                <w:szCs w:val="20"/>
              </w:rPr>
            </w:pPr>
            <w:r>
              <w:rPr>
                <w:rFonts w:ascii="宋体" w:hAnsi="宋体" w:eastAsia="宋体" w:cs="宋体"/>
                <w:spacing w:val="8"/>
                <w:sz w:val="20"/>
                <w:szCs w:val="20"/>
              </w:rPr>
              <w:t>环境功能区</w:t>
            </w:r>
          </w:p>
        </w:tc>
        <w:tc>
          <w:tcPr>
            <w:tcW w:w="2519" w:type="dxa"/>
            <w:gridSpan w:val="6"/>
            <w:vAlign w:val="top"/>
          </w:tcPr>
          <w:p w14:paraId="345F70B7">
            <w:pPr>
              <w:spacing w:before="51" w:line="228" w:lineRule="auto"/>
              <w:ind w:left="887"/>
              <w:rPr>
                <w:rFonts w:ascii="Times New Roman" w:hAnsi="Times New Roman" w:eastAsia="Times New Roman" w:cs="Times New Roman"/>
                <w:sz w:val="20"/>
                <w:szCs w:val="20"/>
              </w:rPr>
            </w:pPr>
            <w:r>
              <w:rPr>
                <w:rFonts w:ascii="宋体" w:hAnsi="宋体" w:eastAsia="宋体" w:cs="宋体"/>
                <w:spacing w:val="7"/>
                <w:sz w:val="20"/>
                <w:szCs w:val="20"/>
              </w:rPr>
              <w:t>一</w:t>
            </w:r>
            <w:r>
              <w:rPr>
                <w:rFonts w:ascii="宋体" w:hAnsi="宋体" w:eastAsia="宋体" w:cs="宋体"/>
                <w:spacing w:val="6"/>
                <w:sz w:val="20"/>
                <w:szCs w:val="20"/>
              </w:rPr>
              <w:t>类区</w:t>
            </w:r>
            <w:r>
              <w:rPr>
                <w:rFonts w:ascii="Times New Roman" w:hAnsi="Times New Roman" w:eastAsia="Times New Roman" w:cs="Times New Roman"/>
                <w:spacing w:val="6"/>
                <w:sz w:val="20"/>
                <w:szCs w:val="20"/>
              </w:rPr>
              <w:t>□</w:t>
            </w:r>
          </w:p>
        </w:tc>
        <w:tc>
          <w:tcPr>
            <w:tcW w:w="2520" w:type="dxa"/>
            <w:gridSpan w:val="4"/>
            <w:vAlign w:val="top"/>
          </w:tcPr>
          <w:p w14:paraId="5F86DF95">
            <w:pPr>
              <w:spacing w:before="51" w:line="186" w:lineRule="auto"/>
              <w:ind w:left="864"/>
              <w:rPr>
                <w:rFonts w:ascii="微软雅黑" w:hAnsi="微软雅黑" w:eastAsia="微软雅黑" w:cs="微软雅黑"/>
                <w:sz w:val="20"/>
                <w:szCs w:val="20"/>
              </w:rPr>
            </w:pPr>
            <w:r>
              <w:rPr>
                <w:rFonts w:ascii="宋体" w:hAnsi="宋体" w:eastAsia="宋体" w:cs="宋体"/>
                <w:spacing w:val="5"/>
                <w:sz w:val="20"/>
                <w:szCs w:val="20"/>
              </w:rPr>
              <w:t>二</w:t>
            </w:r>
            <w:r>
              <w:rPr>
                <w:rFonts w:ascii="宋体" w:hAnsi="宋体" w:eastAsia="宋体" w:cs="宋体"/>
                <w:spacing w:val="4"/>
                <w:sz w:val="20"/>
                <w:szCs w:val="20"/>
              </w:rPr>
              <w:t>类区</w:t>
            </w:r>
            <w:r>
              <w:rPr>
                <w:rFonts w:ascii="微软雅黑" w:hAnsi="微软雅黑" w:eastAsia="微软雅黑" w:cs="微软雅黑"/>
                <w:spacing w:val="4"/>
                <w:sz w:val="20"/>
                <w:szCs w:val="20"/>
              </w:rPr>
              <w:t>团</w:t>
            </w:r>
          </w:p>
        </w:tc>
        <w:tc>
          <w:tcPr>
            <w:tcW w:w="2536" w:type="dxa"/>
            <w:gridSpan w:val="3"/>
            <w:tcBorders>
              <w:right w:val="single" w:color="000000" w:sz="10" w:space="0"/>
            </w:tcBorders>
            <w:vAlign w:val="top"/>
          </w:tcPr>
          <w:p w14:paraId="0DC8FDE6">
            <w:pPr>
              <w:spacing w:before="51" w:line="228" w:lineRule="auto"/>
              <w:ind w:left="482"/>
              <w:rPr>
                <w:rFonts w:ascii="Times New Roman" w:hAnsi="Times New Roman" w:eastAsia="Times New Roman" w:cs="Times New Roman"/>
                <w:sz w:val="20"/>
                <w:szCs w:val="20"/>
              </w:rPr>
            </w:pPr>
            <w:r>
              <w:rPr>
                <w:rFonts w:ascii="宋体" w:hAnsi="宋体" w:eastAsia="宋体" w:cs="宋体"/>
                <w:spacing w:val="8"/>
                <w:sz w:val="20"/>
                <w:szCs w:val="20"/>
              </w:rPr>
              <w:t>一类区和二类区</w:t>
            </w:r>
            <w:r>
              <w:rPr>
                <w:rFonts w:ascii="Times New Roman" w:hAnsi="Times New Roman" w:eastAsia="Times New Roman" w:cs="Times New Roman"/>
                <w:spacing w:val="6"/>
                <w:sz w:val="20"/>
                <w:szCs w:val="20"/>
              </w:rPr>
              <w:t>□</w:t>
            </w:r>
          </w:p>
        </w:tc>
      </w:tr>
      <w:tr w14:paraId="709B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bottom w:val="nil"/>
            </w:tcBorders>
            <w:vAlign w:val="top"/>
          </w:tcPr>
          <w:p w14:paraId="75D61606">
            <w:pPr>
              <w:rPr>
                <w:rFonts w:ascii="Arial"/>
                <w:sz w:val="21"/>
              </w:rPr>
            </w:pPr>
          </w:p>
        </w:tc>
        <w:tc>
          <w:tcPr>
            <w:tcW w:w="1792" w:type="dxa"/>
            <w:vAlign w:val="top"/>
          </w:tcPr>
          <w:p w14:paraId="3634BA83">
            <w:pPr>
              <w:spacing w:before="51" w:line="226" w:lineRule="auto"/>
              <w:ind w:left="366"/>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8"/>
                <w:sz w:val="20"/>
                <w:szCs w:val="20"/>
              </w:rPr>
              <w:t>价基准年</w:t>
            </w:r>
          </w:p>
        </w:tc>
        <w:tc>
          <w:tcPr>
            <w:tcW w:w="7575" w:type="dxa"/>
            <w:gridSpan w:val="13"/>
            <w:tcBorders>
              <w:right w:val="single" w:color="000000" w:sz="10" w:space="0"/>
            </w:tcBorders>
            <w:vAlign w:val="top"/>
          </w:tcPr>
          <w:p w14:paraId="18F98C4F">
            <w:pPr>
              <w:spacing w:before="50" w:line="228" w:lineRule="auto"/>
              <w:ind w:left="3275"/>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2018</w:t>
            </w:r>
            <w:r>
              <w:rPr>
                <w:rFonts w:ascii="宋体" w:hAnsi="宋体" w:eastAsia="宋体" w:cs="宋体"/>
                <w:spacing w:val="16"/>
                <w:sz w:val="20"/>
                <w:szCs w:val="20"/>
              </w:rPr>
              <w:t>) 年</w:t>
            </w:r>
          </w:p>
        </w:tc>
      </w:tr>
      <w:tr w14:paraId="26AB3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44" w:type="dxa"/>
            <w:vMerge w:val="continue"/>
            <w:tcBorders>
              <w:top w:val="nil"/>
              <w:left w:val="single" w:color="000000" w:sz="10" w:space="0"/>
              <w:bottom w:val="nil"/>
            </w:tcBorders>
            <w:vAlign w:val="top"/>
          </w:tcPr>
          <w:p w14:paraId="29E97839">
            <w:pPr>
              <w:rPr>
                <w:rFonts w:ascii="Arial"/>
                <w:sz w:val="21"/>
              </w:rPr>
            </w:pPr>
          </w:p>
        </w:tc>
        <w:tc>
          <w:tcPr>
            <w:tcW w:w="1792" w:type="dxa"/>
            <w:vAlign w:val="top"/>
          </w:tcPr>
          <w:p w14:paraId="65FA9384">
            <w:pPr>
              <w:spacing w:before="52" w:line="258" w:lineRule="auto"/>
              <w:ind w:left="264" w:right="64" w:hanging="212"/>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境空气质量现状</w:t>
            </w:r>
            <w:r>
              <w:rPr>
                <w:rFonts w:ascii="宋体" w:hAnsi="宋体" w:eastAsia="宋体" w:cs="宋体"/>
                <w:sz w:val="20"/>
                <w:szCs w:val="20"/>
              </w:rPr>
              <w:t xml:space="preserve"> </w:t>
            </w:r>
            <w:r>
              <w:rPr>
                <w:rFonts w:ascii="宋体" w:hAnsi="宋体" w:eastAsia="宋体" w:cs="宋体"/>
                <w:spacing w:val="8"/>
                <w:sz w:val="20"/>
                <w:szCs w:val="20"/>
              </w:rPr>
              <w:t>调查数据来</w:t>
            </w:r>
            <w:r>
              <w:rPr>
                <w:rFonts w:ascii="宋体" w:hAnsi="宋体" w:eastAsia="宋体" w:cs="宋体"/>
                <w:spacing w:val="7"/>
                <w:sz w:val="20"/>
                <w:szCs w:val="20"/>
              </w:rPr>
              <w:t>源</w:t>
            </w:r>
          </w:p>
        </w:tc>
        <w:tc>
          <w:tcPr>
            <w:tcW w:w="2519" w:type="dxa"/>
            <w:gridSpan w:val="6"/>
            <w:vAlign w:val="top"/>
          </w:tcPr>
          <w:p w14:paraId="7C433C2A">
            <w:pPr>
              <w:spacing w:before="209" w:line="192" w:lineRule="auto"/>
              <w:ind w:left="328"/>
              <w:rPr>
                <w:rFonts w:ascii="微软雅黑" w:hAnsi="微软雅黑" w:eastAsia="微软雅黑" w:cs="微软雅黑"/>
                <w:sz w:val="20"/>
                <w:szCs w:val="20"/>
              </w:rPr>
            </w:pPr>
            <w:r>
              <w:rPr>
                <w:rFonts w:ascii="宋体" w:hAnsi="宋体" w:eastAsia="宋体" w:cs="宋体"/>
                <w:spacing w:val="12"/>
                <w:sz w:val="20"/>
                <w:szCs w:val="20"/>
              </w:rPr>
              <w:t>长</w:t>
            </w:r>
            <w:r>
              <w:rPr>
                <w:rFonts w:ascii="宋体" w:hAnsi="宋体" w:eastAsia="宋体" w:cs="宋体"/>
                <w:spacing w:val="7"/>
                <w:sz w:val="20"/>
                <w:szCs w:val="20"/>
              </w:rPr>
              <w:t>期例行监测数据</w:t>
            </w:r>
            <w:r>
              <w:rPr>
                <w:rFonts w:ascii="微软雅黑" w:hAnsi="微软雅黑" w:eastAsia="微软雅黑" w:cs="微软雅黑"/>
                <w:spacing w:val="7"/>
                <w:sz w:val="20"/>
                <w:szCs w:val="20"/>
              </w:rPr>
              <w:t>团</w:t>
            </w:r>
          </w:p>
        </w:tc>
        <w:tc>
          <w:tcPr>
            <w:tcW w:w="2520" w:type="dxa"/>
            <w:gridSpan w:val="4"/>
            <w:vAlign w:val="top"/>
          </w:tcPr>
          <w:p w14:paraId="577B34D9">
            <w:pPr>
              <w:spacing w:before="209" w:line="221" w:lineRule="auto"/>
              <w:ind w:left="231"/>
              <w:rPr>
                <w:sz w:val="20"/>
                <w:szCs w:val="20"/>
              </w:rPr>
            </w:pPr>
            <w:r>
              <w:rPr>
                <w:rFonts w:ascii="宋体" w:hAnsi="宋体" w:eastAsia="宋体" w:cs="宋体"/>
                <w:spacing w:val="15"/>
                <w:sz w:val="20"/>
                <w:szCs w:val="20"/>
              </w:rPr>
              <w:t>主</w:t>
            </w:r>
            <w:r>
              <w:rPr>
                <w:rFonts w:ascii="宋体" w:hAnsi="宋体" w:eastAsia="宋体" w:cs="宋体"/>
                <w:spacing w:val="8"/>
                <w:sz w:val="20"/>
                <w:szCs w:val="20"/>
              </w:rPr>
              <w:t>管部门发布的数据</w:t>
            </w:r>
            <w:r>
              <w:rPr>
                <w:position w:val="-4"/>
                <w:sz w:val="20"/>
                <w:szCs w:val="20"/>
              </w:rPr>
              <w:drawing>
                <wp:inline distT="0" distB="0" distL="0" distR="0">
                  <wp:extent cx="107950" cy="139700"/>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536"/>
                          <a:stretch>
                            <a:fillRect/>
                          </a:stretch>
                        </pic:blipFill>
                        <pic:spPr>
                          <a:xfrm>
                            <a:off x="0" y="0"/>
                            <a:ext cx="108536" cy="139748"/>
                          </a:xfrm>
                          <a:prstGeom prst="rect">
                            <a:avLst/>
                          </a:prstGeom>
                        </pic:spPr>
                      </pic:pic>
                    </a:graphicData>
                  </a:graphic>
                </wp:inline>
              </w:drawing>
            </w:r>
          </w:p>
        </w:tc>
        <w:tc>
          <w:tcPr>
            <w:tcW w:w="2536" w:type="dxa"/>
            <w:gridSpan w:val="3"/>
            <w:tcBorders>
              <w:right w:val="single" w:color="000000" w:sz="10" w:space="0"/>
            </w:tcBorders>
            <w:vAlign w:val="top"/>
          </w:tcPr>
          <w:p w14:paraId="050B5537">
            <w:pPr>
              <w:spacing w:before="209" w:line="192" w:lineRule="auto"/>
              <w:ind w:left="553"/>
              <w:rPr>
                <w:rFonts w:ascii="微软雅黑" w:hAnsi="微软雅黑" w:eastAsia="微软雅黑" w:cs="微软雅黑"/>
                <w:sz w:val="20"/>
                <w:szCs w:val="20"/>
              </w:rPr>
            </w:pPr>
            <w:r>
              <w:rPr>
                <w:rFonts w:ascii="宋体" w:hAnsi="宋体" w:eastAsia="宋体" w:cs="宋体"/>
                <w:spacing w:val="7"/>
                <w:sz w:val="20"/>
                <w:szCs w:val="20"/>
              </w:rPr>
              <w:t>现状补充监测</w:t>
            </w:r>
            <w:r>
              <w:rPr>
                <w:rFonts w:ascii="微软雅黑" w:hAnsi="微软雅黑" w:eastAsia="微软雅黑" w:cs="微软雅黑"/>
                <w:spacing w:val="5"/>
                <w:sz w:val="20"/>
                <w:szCs w:val="20"/>
              </w:rPr>
              <w:t>团</w:t>
            </w:r>
          </w:p>
        </w:tc>
      </w:tr>
      <w:tr w14:paraId="5A9BD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tcBorders>
            <w:vAlign w:val="top"/>
          </w:tcPr>
          <w:p w14:paraId="5567D231">
            <w:pPr>
              <w:rPr>
                <w:rFonts w:ascii="Arial"/>
                <w:sz w:val="21"/>
              </w:rPr>
            </w:pPr>
          </w:p>
        </w:tc>
        <w:tc>
          <w:tcPr>
            <w:tcW w:w="1792" w:type="dxa"/>
            <w:vAlign w:val="top"/>
          </w:tcPr>
          <w:p w14:paraId="4648B038">
            <w:pPr>
              <w:spacing w:before="53" w:line="226" w:lineRule="auto"/>
              <w:ind w:left="474"/>
              <w:rPr>
                <w:rFonts w:ascii="宋体" w:hAnsi="宋体" w:eastAsia="宋体" w:cs="宋体"/>
                <w:sz w:val="20"/>
                <w:szCs w:val="20"/>
              </w:rPr>
            </w:pPr>
            <w:r>
              <w:rPr>
                <w:rFonts w:ascii="宋体" w:hAnsi="宋体" w:eastAsia="宋体" w:cs="宋体"/>
                <w:spacing w:val="7"/>
                <w:sz w:val="20"/>
                <w:szCs w:val="20"/>
              </w:rPr>
              <w:t>现状评</w:t>
            </w:r>
            <w:r>
              <w:rPr>
                <w:rFonts w:ascii="宋体" w:hAnsi="宋体" w:eastAsia="宋体" w:cs="宋体"/>
                <w:spacing w:val="6"/>
                <w:sz w:val="20"/>
                <w:szCs w:val="20"/>
              </w:rPr>
              <w:t>价</w:t>
            </w:r>
          </w:p>
        </w:tc>
        <w:tc>
          <w:tcPr>
            <w:tcW w:w="3780" w:type="dxa"/>
            <w:gridSpan w:val="8"/>
            <w:vAlign w:val="top"/>
          </w:tcPr>
          <w:p w14:paraId="5B74E13C">
            <w:pPr>
              <w:spacing w:before="52" w:line="185" w:lineRule="auto"/>
              <w:ind w:left="1485"/>
              <w:rPr>
                <w:rFonts w:ascii="微软雅黑" w:hAnsi="微软雅黑" w:eastAsia="微软雅黑" w:cs="微软雅黑"/>
                <w:sz w:val="20"/>
                <w:szCs w:val="20"/>
              </w:rPr>
            </w:pPr>
            <w:r>
              <w:rPr>
                <w:rFonts w:ascii="宋体" w:hAnsi="宋体" w:eastAsia="宋体" w:cs="宋体"/>
                <w:spacing w:val="6"/>
                <w:sz w:val="20"/>
                <w:szCs w:val="20"/>
              </w:rPr>
              <w:t>达</w:t>
            </w:r>
            <w:r>
              <w:rPr>
                <w:rFonts w:ascii="宋体" w:hAnsi="宋体" w:eastAsia="宋体" w:cs="宋体"/>
                <w:spacing w:val="5"/>
                <w:sz w:val="20"/>
                <w:szCs w:val="20"/>
              </w:rPr>
              <w:t>标区</w:t>
            </w:r>
            <w:r>
              <w:rPr>
                <w:rFonts w:ascii="微软雅黑" w:hAnsi="微软雅黑" w:eastAsia="微软雅黑" w:cs="微软雅黑"/>
                <w:spacing w:val="5"/>
                <w:sz w:val="20"/>
                <w:szCs w:val="20"/>
              </w:rPr>
              <w:t>团</w:t>
            </w:r>
          </w:p>
        </w:tc>
        <w:tc>
          <w:tcPr>
            <w:tcW w:w="3795" w:type="dxa"/>
            <w:gridSpan w:val="5"/>
            <w:tcBorders>
              <w:right w:val="single" w:color="000000" w:sz="10" w:space="0"/>
            </w:tcBorders>
            <w:vAlign w:val="top"/>
          </w:tcPr>
          <w:p w14:paraId="2645E048">
            <w:pPr>
              <w:spacing w:before="52" w:line="221" w:lineRule="auto"/>
              <w:ind w:left="1393"/>
              <w:rPr>
                <w:sz w:val="20"/>
                <w:szCs w:val="20"/>
              </w:rPr>
            </w:pPr>
            <w:r>
              <w:rPr>
                <w:rFonts w:ascii="宋体" w:hAnsi="宋体" w:eastAsia="宋体" w:cs="宋体"/>
                <w:spacing w:val="8"/>
                <w:sz w:val="20"/>
                <w:szCs w:val="20"/>
              </w:rPr>
              <w:t>不</w:t>
            </w:r>
            <w:r>
              <w:rPr>
                <w:rFonts w:ascii="宋体" w:hAnsi="宋体" w:eastAsia="宋体" w:cs="宋体"/>
                <w:spacing w:val="6"/>
                <w:sz w:val="20"/>
                <w:szCs w:val="20"/>
              </w:rPr>
              <w:t>达标区</w:t>
            </w:r>
            <w:r>
              <w:rPr>
                <w:position w:val="-4"/>
                <w:sz w:val="20"/>
                <w:szCs w:val="20"/>
              </w:rPr>
              <w:drawing>
                <wp:inline distT="0" distB="0" distL="0" distR="0">
                  <wp:extent cx="107950" cy="13970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535"/>
                          <a:stretch>
                            <a:fillRect/>
                          </a:stretch>
                        </pic:blipFill>
                        <pic:spPr>
                          <a:xfrm>
                            <a:off x="0" y="0"/>
                            <a:ext cx="108509" cy="139748"/>
                          </a:xfrm>
                          <a:prstGeom prst="rect">
                            <a:avLst/>
                          </a:prstGeom>
                        </pic:spPr>
                      </pic:pic>
                    </a:graphicData>
                  </a:graphic>
                </wp:inline>
              </w:drawing>
            </w:r>
          </w:p>
        </w:tc>
      </w:tr>
      <w:tr w14:paraId="2B6B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44" w:type="dxa"/>
            <w:tcBorders>
              <w:left w:val="single" w:color="000000" w:sz="10" w:space="0"/>
            </w:tcBorders>
            <w:vAlign w:val="top"/>
          </w:tcPr>
          <w:p w14:paraId="59319D57">
            <w:pPr>
              <w:spacing w:before="208" w:line="312" w:lineRule="exact"/>
              <w:ind w:left="200"/>
              <w:rPr>
                <w:rFonts w:ascii="宋体" w:hAnsi="宋体" w:eastAsia="宋体" w:cs="宋体"/>
                <w:sz w:val="20"/>
                <w:szCs w:val="20"/>
              </w:rPr>
            </w:pPr>
            <w:r>
              <w:rPr>
                <w:rFonts w:ascii="宋体" w:hAnsi="宋体" w:eastAsia="宋体" w:cs="宋体"/>
                <w:spacing w:val="7"/>
                <w:position w:val="7"/>
                <w:sz w:val="20"/>
                <w:szCs w:val="20"/>
              </w:rPr>
              <w:t>污</w:t>
            </w:r>
            <w:r>
              <w:rPr>
                <w:rFonts w:ascii="宋体" w:hAnsi="宋体" w:eastAsia="宋体" w:cs="宋体"/>
                <w:spacing w:val="6"/>
                <w:position w:val="7"/>
                <w:sz w:val="20"/>
                <w:szCs w:val="20"/>
              </w:rPr>
              <w:t>染源</w:t>
            </w:r>
          </w:p>
          <w:p w14:paraId="7304C157">
            <w:pPr>
              <w:spacing w:line="229" w:lineRule="auto"/>
              <w:ind w:left="306"/>
              <w:rPr>
                <w:rFonts w:ascii="宋体" w:hAnsi="宋体" w:eastAsia="宋体" w:cs="宋体"/>
                <w:sz w:val="20"/>
                <w:szCs w:val="20"/>
              </w:rPr>
            </w:pPr>
            <w:r>
              <w:rPr>
                <w:rFonts w:ascii="宋体" w:hAnsi="宋体" w:eastAsia="宋体" w:cs="宋体"/>
                <w:spacing w:val="4"/>
                <w:sz w:val="20"/>
                <w:szCs w:val="20"/>
              </w:rPr>
              <w:t>调</w:t>
            </w:r>
            <w:r>
              <w:rPr>
                <w:rFonts w:ascii="宋体" w:hAnsi="宋体" w:eastAsia="宋体" w:cs="宋体"/>
                <w:spacing w:val="3"/>
                <w:sz w:val="20"/>
                <w:szCs w:val="20"/>
              </w:rPr>
              <w:t>查</w:t>
            </w:r>
          </w:p>
        </w:tc>
        <w:tc>
          <w:tcPr>
            <w:tcW w:w="1792" w:type="dxa"/>
            <w:vAlign w:val="top"/>
          </w:tcPr>
          <w:p w14:paraId="43C65BAB">
            <w:pPr>
              <w:spacing w:line="297" w:lineRule="auto"/>
              <w:rPr>
                <w:rFonts w:ascii="Arial"/>
                <w:sz w:val="21"/>
              </w:rPr>
            </w:pPr>
          </w:p>
          <w:p w14:paraId="68238ED9">
            <w:pPr>
              <w:spacing w:before="65" w:line="228" w:lineRule="auto"/>
              <w:ind w:left="474"/>
              <w:rPr>
                <w:rFonts w:ascii="宋体" w:hAnsi="宋体" w:eastAsia="宋体" w:cs="宋体"/>
                <w:sz w:val="20"/>
                <w:szCs w:val="20"/>
              </w:rPr>
            </w:pPr>
            <w:r>
              <w:rPr>
                <w:rFonts w:ascii="宋体" w:hAnsi="宋体" w:eastAsia="宋体" w:cs="宋体"/>
                <w:spacing w:val="7"/>
                <w:sz w:val="20"/>
                <w:szCs w:val="20"/>
              </w:rPr>
              <w:t>调查内</w:t>
            </w:r>
            <w:r>
              <w:rPr>
                <w:rFonts w:ascii="宋体" w:hAnsi="宋体" w:eastAsia="宋体" w:cs="宋体"/>
                <w:spacing w:val="6"/>
                <w:sz w:val="20"/>
                <w:szCs w:val="20"/>
              </w:rPr>
              <w:t>容</w:t>
            </w:r>
          </w:p>
        </w:tc>
        <w:tc>
          <w:tcPr>
            <w:tcW w:w="2064" w:type="dxa"/>
            <w:gridSpan w:val="5"/>
            <w:vAlign w:val="top"/>
          </w:tcPr>
          <w:p w14:paraId="71128A9A">
            <w:pPr>
              <w:spacing w:before="53" w:line="242" w:lineRule="auto"/>
              <w:ind w:left="23" w:right="137"/>
              <w:rPr>
                <w:rFonts w:ascii="Times New Roman" w:hAnsi="Times New Roman" w:eastAsia="Times New Roman" w:cs="Times New Roman"/>
                <w:sz w:val="20"/>
                <w:szCs w:val="20"/>
              </w:rPr>
            </w:pPr>
            <w:r>
              <w:rPr>
                <w:rFonts w:ascii="宋体" w:hAnsi="宋体" w:eastAsia="宋体" w:cs="宋体"/>
                <w:spacing w:val="-7"/>
                <w:sz w:val="20"/>
                <w:szCs w:val="20"/>
              </w:rPr>
              <w:t>本</w:t>
            </w:r>
            <w:r>
              <w:rPr>
                <w:rFonts w:ascii="宋体" w:hAnsi="宋体" w:eastAsia="宋体" w:cs="宋体"/>
                <w:spacing w:val="-4"/>
                <w:sz w:val="20"/>
                <w:szCs w:val="20"/>
              </w:rPr>
              <w:t>项目正常排放源</w:t>
            </w:r>
            <w:r>
              <w:rPr>
                <w:rFonts w:ascii="微软雅黑" w:hAnsi="微软雅黑" w:eastAsia="微软雅黑" w:cs="微软雅黑"/>
                <w:spacing w:val="-4"/>
                <w:sz w:val="20"/>
                <w:szCs w:val="20"/>
              </w:rPr>
              <w:t>团</w:t>
            </w:r>
            <w:r>
              <w:rPr>
                <w:rFonts w:ascii="微软雅黑" w:hAnsi="微软雅黑" w:eastAsia="微软雅黑" w:cs="微软雅黑"/>
                <w:sz w:val="20"/>
                <w:szCs w:val="20"/>
              </w:rPr>
              <w:t xml:space="preserve">  </w:t>
            </w:r>
            <w:r>
              <w:rPr>
                <w:rFonts w:ascii="宋体" w:hAnsi="宋体" w:eastAsia="宋体" w:cs="宋体"/>
                <w:spacing w:val="-4"/>
                <w:sz w:val="20"/>
                <w:szCs w:val="20"/>
              </w:rPr>
              <w:t>本</w:t>
            </w:r>
            <w:r>
              <w:rPr>
                <w:rFonts w:ascii="宋体" w:hAnsi="宋体" w:eastAsia="宋体" w:cs="宋体"/>
                <w:spacing w:val="-3"/>
                <w:sz w:val="20"/>
                <w:szCs w:val="20"/>
              </w:rPr>
              <w:t>项</w:t>
            </w:r>
            <w:r>
              <w:rPr>
                <w:rFonts w:ascii="宋体" w:hAnsi="宋体" w:eastAsia="宋体" w:cs="宋体"/>
                <w:spacing w:val="-2"/>
                <w:sz w:val="20"/>
                <w:szCs w:val="20"/>
              </w:rPr>
              <w:t>目非正常排放源</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 xml:space="preserve"> </w:t>
            </w:r>
            <w:r>
              <w:rPr>
                <w:rFonts w:ascii="宋体" w:hAnsi="宋体" w:eastAsia="宋体" w:cs="宋体"/>
                <w:spacing w:val="-2"/>
                <w:sz w:val="20"/>
                <w:szCs w:val="20"/>
              </w:rPr>
              <w:t>现有污</w:t>
            </w:r>
            <w:r>
              <w:rPr>
                <w:rFonts w:ascii="宋体" w:hAnsi="宋体" w:eastAsia="宋体" w:cs="宋体"/>
                <w:spacing w:val="-1"/>
                <w:sz w:val="20"/>
                <w:szCs w:val="20"/>
              </w:rPr>
              <w:t>染源</w:t>
            </w:r>
            <w:r>
              <w:rPr>
                <w:rFonts w:ascii="Times New Roman" w:hAnsi="Times New Roman" w:eastAsia="Times New Roman" w:cs="Times New Roman"/>
                <w:spacing w:val="-1"/>
                <w:sz w:val="20"/>
                <w:szCs w:val="20"/>
              </w:rPr>
              <w:t>□</w:t>
            </w:r>
          </w:p>
        </w:tc>
        <w:tc>
          <w:tcPr>
            <w:tcW w:w="1716" w:type="dxa"/>
            <w:gridSpan w:val="3"/>
            <w:vAlign w:val="top"/>
          </w:tcPr>
          <w:p w14:paraId="13E48EBD">
            <w:pPr>
              <w:spacing w:line="297" w:lineRule="auto"/>
              <w:rPr>
                <w:rFonts w:ascii="Arial"/>
                <w:sz w:val="21"/>
              </w:rPr>
            </w:pPr>
          </w:p>
          <w:p w14:paraId="591C4CC2">
            <w:pPr>
              <w:spacing w:before="65" w:line="223" w:lineRule="auto"/>
              <w:ind w:left="36"/>
              <w:rPr>
                <w:sz w:val="20"/>
                <w:szCs w:val="20"/>
              </w:rPr>
            </w:pPr>
            <w:r>
              <w:rPr>
                <w:rFonts w:ascii="宋体" w:hAnsi="宋体" w:eastAsia="宋体" w:cs="宋体"/>
                <w:spacing w:val="12"/>
                <w:sz w:val="20"/>
                <w:szCs w:val="20"/>
              </w:rPr>
              <w:t>拟</w:t>
            </w:r>
            <w:r>
              <w:rPr>
                <w:rFonts w:ascii="宋体" w:hAnsi="宋体" w:eastAsia="宋体" w:cs="宋体"/>
                <w:spacing w:val="8"/>
                <w:sz w:val="20"/>
                <w:szCs w:val="20"/>
              </w:rPr>
              <w:t>替代的污染源</w:t>
            </w:r>
            <w:r>
              <w:rPr>
                <w:position w:val="-4"/>
                <w:sz w:val="20"/>
                <w:szCs w:val="20"/>
              </w:rPr>
              <w:drawing>
                <wp:inline distT="0" distB="0" distL="0" distR="0">
                  <wp:extent cx="106680" cy="139700"/>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540"/>
                          <a:stretch>
                            <a:fillRect/>
                          </a:stretch>
                        </pic:blipFill>
                        <pic:spPr>
                          <a:xfrm>
                            <a:off x="0" y="0"/>
                            <a:ext cx="106989" cy="139748"/>
                          </a:xfrm>
                          <a:prstGeom prst="rect">
                            <a:avLst/>
                          </a:prstGeom>
                        </pic:spPr>
                      </pic:pic>
                    </a:graphicData>
                  </a:graphic>
                </wp:inline>
              </w:drawing>
            </w:r>
          </w:p>
        </w:tc>
        <w:tc>
          <w:tcPr>
            <w:tcW w:w="1986" w:type="dxa"/>
            <w:gridSpan w:val="3"/>
            <w:vAlign w:val="top"/>
          </w:tcPr>
          <w:p w14:paraId="3810EE54">
            <w:pPr>
              <w:spacing w:before="209" w:line="298" w:lineRule="auto"/>
              <w:ind w:left="597" w:right="41" w:hanging="538"/>
              <w:rPr>
                <w:sz w:val="20"/>
                <w:szCs w:val="20"/>
              </w:rPr>
            </w:pPr>
            <w:r>
              <w:rPr>
                <w:rFonts w:ascii="宋体" w:hAnsi="宋体" w:eastAsia="宋体" w:cs="宋体"/>
                <w:spacing w:val="9"/>
                <w:sz w:val="20"/>
                <w:szCs w:val="20"/>
              </w:rPr>
              <w:t>其他在建、拟建项</w:t>
            </w:r>
            <w:r>
              <w:rPr>
                <w:rFonts w:ascii="宋体" w:hAnsi="宋体" w:eastAsia="宋体" w:cs="宋体"/>
                <w:spacing w:val="7"/>
                <w:sz w:val="20"/>
                <w:szCs w:val="20"/>
              </w:rPr>
              <w:t>目</w:t>
            </w:r>
            <w:r>
              <w:rPr>
                <w:rFonts w:ascii="宋体" w:hAnsi="宋体" w:eastAsia="宋体" w:cs="宋体"/>
                <w:sz w:val="20"/>
                <w:szCs w:val="20"/>
              </w:rPr>
              <w:t xml:space="preserve"> </w:t>
            </w:r>
            <w:r>
              <w:rPr>
                <w:rFonts w:ascii="宋体" w:hAnsi="宋体" w:eastAsia="宋体" w:cs="宋体"/>
                <w:spacing w:val="7"/>
                <w:sz w:val="20"/>
                <w:szCs w:val="20"/>
              </w:rPr>
              <w:t>污</w:t>
            </w:r>
            <w:r>
              <w:rPr>
                <w:rFonts w:ascii="宋体" w:hAnsi="宋体" w:eastAsia="宋体" w:cs="宋体"/>
                <w:spacing w:val="6"/>
                <w:sz w:val="20"/>
                <w:szCs w:val="20"/>
              </w:rPr>
              <w:t>染源</w:t>
            </w:r>
            <w:r>
              <w:rPr>
                <w:position w:val="-4"/>
                <w:sz w:val="20"/>
                <w:szCs w:val="20"/>
              </w:rPr>
              <w:drawing>
                <wp:inline distT="0" distB="0" distL="0" distR="0">
                  <wp:extent cx="107950" cy="13970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537"/>
                          <a:stretch>
                            <a:fillRect/>
                          </a:stretch>
                        </pic:blipFill>
                        <pic:spPr>
                          <a:xfrm>
                            <a:off x="0" y="0"/>
                            <a:ext cx="108507" cy="139748"/>
                          </a:xfrm>
                          <a:prstGeom prst="rect">
                            <a:avLst/>
                          </a:prstGeom>
                        </pic:spPr>
                      </pic:pic>
                    </a:graphicData>
                  </a:graphic>
                </wp:inline>
              </w:drawing>
            </w:r>
          </w:p>
        </w:tc>
        <w:tc>
          <w:tcPr>
            <w:tcW w:w="1809" w:type="dxa"/>
            <w:gridSpan w:val="2"/>
            <w:tcBorders>
              <w:right w:val="single" w:color="000000" w:sz="10" w:space="0"/>
            </w:tcBorders>
            <w:vAlign w:val="top"/>
          </w:tcPr>
          <w:p w14:paraId="7DBD1F5D">
            <w:pPr>
              <w:spacing w:line="297" w:lineRule="auto"/>
              <w:rPr>
                <w:rFonts w:ascii="Arial"/>
                <w:sz w:val="21"/>
              </w:rPr>
            </w:pPr>
          </w:p>
          <w:p w14:paraId="578305A5">
            <w:pPr>
              <w:spacing w:before="65" w:line="223" w:lineRule="auto"/>
              <w:ind w:left="310"/>
              <w:rPr>
                <w:sz w:val="20"/>
                <w:szCs w:val="20"/>
              </w:rPr>
            </w:pPr>
            <w:r>
              <w:rPr>
                <w:rFonts w:ascii="宋体" w:hAnsi="宋体" w:eastAsia="宋体" w:cs="宋体"/>
                <w:spacing w:val="5"/>
                <w:sz w:val="20"/>
                <w:szCs w:val="20"/>
              </w:rPr>
              <w:t>区域污染源</w:t>
            </w:r>
            <w:r>
              <w:rPr>
                <w:position w:val="-4"/>
                <w:sz w:val="20"/>
                <w:szCs w:val="20"/>
              </w:rPr>
              <w:drawing>
                <wp:inline distT="0" distB="0" distL="0" distR="0">
                  <wp:extent cx="107950" cy="139700"/>
                  <wp:effectExtent l="0" t="0" r="0" b="0"/>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540"/>
                          <a:stretch>
                            <a:fillRect/>
                          </a:stretch>
                        </pic:blipFill>
                        <pic:spPr>
                          <a:xfrm>
                            <a:off x="0" y="0"/>
                            <a:ext cx="108530" cy="139748"/>
                          </a:xfrm>
                          <a:prstGeom prst="rect">
                            <a:avLst/>
                          </a:prstGeom>
                        </pic:spPr>
                      </pic:pic>
                    </a:graphicData>
                  </a:graphic>
                </wp:inline>
              </w:drawing>
            </w:r>
          </w:p>
        </w:tc>
      </w:tr>
      <w:tr w14:paraId="23B01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restart"/>
            <w:tcBorders>
              <w:left w:val="single" w:color="000000" w:sz="10" w:space="0"/>
              <w:bottom w:val="nil"/>
            </w:tcBorders>
            <w:vAlign w:val="top"/>
          </w:tcPr>
          <w:p w14:paraId="13ADE6FD">
            <w:pPr>
              <w:spacing w:line="269" w:lineRule="auto"/>
              <w:rPr>
                <w:rFonts w:ascii="Arial"/>
                <w:sz w:val="21"/>
              </w:rPr>
            </w:pPr>
          </w:p>
          <w:p w14:paraId="4106B995">
            <w:pPr>
              <w:spacing w:line="270" w:lineRule="auto"/>
              <w:rPr>
                <w:rFonts w:ascii="Arial"/>
                <w:sz w:val="21"/>
              </w:rPr>
            </w:pPr>
          </w:p>
          <w:p w14:paraId="26598A72">
            <w:pPr>
              <w:spacing w:line="270" w:lineRule="auto"/>
              <w:rPr>
                <w:rFonts w:ascii="Arial"/>
                <w:sz w:val="21"/>
              </w:rPr>
            </w:pPr>
          </w:p>
          <w:p w14:paraId="3576CA6C">
            <w:pPr>
              <w:spacing w:line="270" w:lineRule="auto"/>
              <w:rPr>
                <w:rFonts w:ascii="Arial"/>
                <w:sz w:val="21"/>
              </w:rPr>
            </w:pPr>
          </w:p>
          <w:p w14:paraId="534964B1">
            <w:pPr>
              <w:spacing w:line="270" w:lineRule="auto"/>
              <w:rPr>
                <w:rFonts w:ascii="Arial"/>
                <w:sz w:val="21"/>
              </w:rPr>
            </w:pPr>
          </w:p>
          <w:p w14:paraId="00B1C7E5">
            <w:pPr>
              <w:spacing w:line="270" w:lineRule="auto"/>
              <w:rPr>
                <w:rFonts w:ascii="Arial"/>
                <w:sz w:val="21"/>
              </w:rPr>
            </w:pPr>
          </w:p>
          <w:p w14:paraId="2698A007">
            <w:pPr>
              <w:spacing w:line="270" w:lineRule="auto"/>
              <w:rPr>
                <w:rFonts w:ascii="Arial"/>
                <w:sz w:val="21"/>
              </w:rPr>
            </w:pPr>
          </w:p>
          <w:p w14:paraId="1509C4C8">
            <w:pPr>
              <w:spacing w:before="65" w:line="228" w:lineRule="auto"/>
              <w:ind w:left="95"/>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气环境</w:t>
            </w:r>
          </w:p>
          <w:p w14:paraId="6B241BAC">
            <w:pPr>
              <w:spacing w:before="64" w:line="228" w:lineRule="auto"/>
              <w:ind w:left="93"/>
              <w:rPr>
                <w:rFonts w:ascii="宋体" w:hAnsi="宋体" w:eastAsia="宋体" w:cs="宋体"/>
                <w:sz w:val="20"/>
                <w:szCs w:val="20"/>
              </w:rPr>
            </w:pPr>
            <w:r>
              <w:rPr>
                <w:rFonts w:ascii="宋体" w:hAnsi="宋体" w:eastAsia="宋体" w:cs="宋体"/>
                <w:spacing w:val="8"/>
                <w:sz w:val="20"/>
                <w:szCs w:val="20"/>
              </w:rPr>
              <w:t>影</w:t>
            </w:r>
            <w:r>
              <w:rPr>
                <w:rFonts w:ascii="宋体" w:hAnsi="宋体" w:eastAsia="宋体" w:cs="宋体"/>
                <w:spacing w:val="7"/>
                <w:sz w:val="20"/>
                <w:szCs w:val="20"/>
              </w:rPr>
              <w:t>响预测</w:t>
            </w:r>
          </w:p>
          <w:p w14:paraId="6E0C71F6">
            <w:pPr>
              <w:spacing w:before="64" w:line="226" w:lineRule="auto"/>
              <w:ind w:left="203"/>
              <w:rPr>
                <w:rFonts w:ascii="宋体" w:hAnsi="宋体" w:eastAsia="宋体" w:cs="宋体"/>
                <w:sz w:val="20"/>
                <w:szCs w:val="20"/>
              </w:rPr>
            </w:pPr>
            <w:r>
              <w:rPr>
                <w:rFonts w:ascii="宋体" w:hAnsi="宋体" w:eastAsia="宋体" w:cs="宋体"/>
                <w:spacing w:val="6"/>
                <w:sz w:val="20"/>
                <w:szCs w:val="20"/>
              </w:rPr>
              <w:t>与</w:t>
            </w:r>
            <w:r>
              <w:rPr>
                <w:rFonts w:ascii="宋体" w:hAnsi="宋体" w:eastAsia="宋体" w:cs="宋体"/>
                <w:spacing w:val="5"/>
                <w:sz w:val="20"/>
                <w:szCs w:val="20"/>
              </w:rPr>
              <w:t>评价</w:t>
            </w:r>
          </w:p>
        </w:tc>
        <w:tc>
          <w:tcPr>
            <w:tcW w:w="1792" w:type="dxa"/>
            <w:vAlign w:val="top"/>
          </w:tcPr>
          <w:p w14:paraId="141424F1">
            <w:pPr>
              <w:spacing w:before="52" w:line="228" w:lineRule="auto"/>
              <w:ind w:left="474"/>
              <w:rPr>
                <w:rFonts w:ascii="宋体" w:hAnsi="宋体" w:eastAsia="宋体" w:cs="宋体"/>
                <w:sz w:val="20"/>
                <w:szCs w:val="20"/>
              </w:rPr>
            </w:pPr>
            <w:r>
              <w:rPr>
                <w:rFonts w:ascii="宋体" w:hAnsi="宋体" w:eastAsia="宋体" w:cs="宋体"/>
                <w:spacing w:val="7"/>
                <w:sz w:val="20"/>
                <w:szCs w:val="20"/>
              </w:rPr>
              <w:t>预测模</w:t>
            </w:r>
            <w:r>
              <w:rPr>
                <w:rFonts w:ascii="宋体" w:hAnsi="宋体" w:eastAsia="宋体" w:cs="宋体"/>
                <w:spacing w:val="6"/>
                <w:sz w:val="20"/>
                <w:szCs w:val="20"/>
              </w:rPr>
              <w:t>型</w:t>
            </w:r>
          </w:p>
        </w:tc>
        <w:tc>
          <w:tcPr>
            <w:tcW w:w="1142" w:type="dxa"/>
            <w:gridSpan w:val="2"/>
            <w:vAlign w:val="top"/>
          </w:tcPr>
          <w:p w14:paraId="7D6CFBE7">
            <w:pPr>
              <w:spacing w:before="56" w:line="233" w:lineRule="auto"/>
              <w:ind w:left="18"/>
              <w:rPr>
                <w:sz w:val="20"/>
                <w:szCs w:val="20"/>
              </w:rPr>
            </w:pPr>
            <w:r>
              <w:rPr>
                <w:rFonts w:ascii="Times New Roman" w:hAnsi="Times New Roman" w:eastAsia="Times New Roman" w:cs="Times New Roman"/>
                <w:spacing w:val="8"/>
                <w:sz w:val="20"/>
                <w:szCs w:val="20"/>
              </w:rPr>
              <w:t>A</w:t>
            </w:r>
            <w:r>
              <w:rPr>
                <w:rFonts w:ascii="Times New Roman" w:hAnsi="Times New Roman" w:eastAsia="Times New Roman" w:cs="Times New Roman"/>
                <w:spacing w:val="6"/>
                <w:sz w:val="20"/>
                <w:szCs w:val="20"/>
              </w:rPr>
              <w:t>ERMOD</w:t>
            </w:r>
            <w:r>
              <w:rPr>
                <w:position w:val="-4"/>
                <w:sz w:val="20"/>
                <w:szCs w:val="20"/>
              </w:rPr>
              <w:drawing>
                <wp:inline distT="0" distB="0" distL="0" distR="0">
                  <wp:extent cx="108585" cy="13970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604"/>
                          <a:stretch>
                            <a:fillRect/>
                          </a:stretch>
                        </pic:blipFill>
                        <pic:spPr>
                          <a:xfrm>
                            <a:off x="0" y="0"/>
                            <a:ext cx="108854" cy="139748"/>
                          </a:xfrm>
                          <a:prstGeom prst="rect">
                            <a:avLst/>
                          </a:prstGeom>
                        </pic:spPr>
                      </pic:pic>
                    </a:graphicData>
                  </a:graphic>
                </wp:inline>
              </w:drawing>
            </w:r>
          </w:p>
        </w:tc>
        <w:tc>
          <w:tcPr>
            <w:tcW w:w="922" w:type="dxa"/>
            <w:gridSpan w:val="3"/>
            <w:vAlign w:val="top"/>
          </w:tcPr>
          <w:p w14:paraId="208775F4">
            <w:pPr>
              <w:spacing w:before="88"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ADMS</w:t>
            </w:r>
            <w:r>
              <w:rPr>
                <w:rFonts w:ascii="Times New Roman" w:hAnsi="Times New Roman" w:eastAsia="Times New Roman" w:cs="Times New Roman"/>
                <w:spacing w:val="30"/>
                <w:sz w:val="20"/>
                <w:szCs w:val="20"/>
              </w:rPr>
              <w:t>□</w:t>
            </w:r>
          </w:p>
        </w:tc>
        <w:tc>
          <w:tcPr>
            <w:tcW w:w="1332" w:type="dxa"/>
            <w:gridSpan w:val="2"/>
            <w:vAlign w:val="top"/>
          </w:tcPr>
          <w:p w14:paraId="1701F590">
            <w:pPr>
              <w:spacing w:before="89" w:line="195" w:lineRule="auto"/>
              <w:ind w:left="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AUSTAL2000□</w:t>
            </w:r>
          </w:p>
        </w:tc>
        <w:tc>
          <w:tcPr>
            <w:tcW w:w="1257" w:type="dxa"/>
            <w:gridSpan w:val="2"/>
            <w:vAlign w:val="top"/>
          </w:tcPr>
          <w:p w14:paraId="5AC649FF">
            <w:pPr>
              <w:spacing w:before="15" w:line="281" w:lineRule="exact"/>
              <w:ind w:left="5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EDMS</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spacing w:val="-8"/>
                <w:position w:val="2"/>
                <w:sz w:val="20"/>
                <w:szCs w:val="20"/>
              </w:rPr>
              <w:t>AEDT□</w:t>
            </w:r>
          </w:p>
        </w:tc>
        <w:tc>
          <w:tcPr>
            <w:tcW w:w="1113" w:type="dxa"/>
            <w:gridSpan w:val="2"/>
            <w:vAlign w:val="top"/>
          </w:tcPr>
          <w:p w14:paraId="3875C069">
            <w:pPr>
              <w:spacing w:before="89" w:line="195" w:lineRule="auto"/>
              <w:ind w:left="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CALPUFF</w:t>
            </w:r>
            <w:r>
              <w:rPr>
                <w:rFonts w:ascii="Times New Roman" w:hAnsi="Times New Roman" w:eastAsia="Times New Roman" w:cs="Times New Roman"/>
                <w:spacing w:val="-5"/>
                <w:sz w:val="20"/>
                <w:szCs w:val="20"/>
              </w:rPr>
              <w:t>□</w:t>
            </w:r>
          </w:p>
        </w:tc>
        <w:tc>
          <w:tcPr>
            <w:tcW w:w="1071" w:type="dxa"/>
            <w:vAlign w:val="top"/>
          </w:tcPr>
          <w:p w14:paraId="3DFD31F1">
            <w:pPr>
              <w:spacing w:before="52" w:line="228" w:lineRule="auto"/>
              <w:ind w:left="85"/>
              <w:rPr>
                <w:rFonts w:ascii="Times New Roman" w:hAnsi="Times New Roman" w:eastAsia="Times New Roman" w:cs="Times New Roman"/>
                <w:sz w:val="20"/>
                <w:szCs w:val="20"/>
              </w:rPr>
            </w:pPr>
            <w:r>
              <w:rPr>
                <w:rFonts w:ascii="宋体" w:hAnsi="宋体" w:eastAsia="宋体" w:cs="宋体"/>
                <w:spacing w:val="4"/>
                <w:sz w:val="20"/>
                <w:szCs w:val="20"/>
              </w:rPr>
              <w:t>网格模型</w:t>
            </w:r>
            <w:r>
              <w:rPr>
                <w:rFonts w:ascii="Times New Roman" w:hAnsi="Times New Roman" w:eastAsia="Times New Roman" w:cs="Times New Roman"/>
                <w:spacing w:val="4"/>
                <w:sz w:val="20"/>
                <w:szCs w:val="20"/>
              </w:rPr>
              <w:t>□</w:t>
            </w:r>
          </w:p>
        </w:tc>
        <w:tc>
          <w:tcPr>
            <w:tcW w:w="738" w:type="dxa"/>
            <w:tcBorders>
              <w:right w:val="single" w:color="000000" w:sz="10" w:space="0"/>
            </w:tcBorders>
            <w:vAlign w:val="top"/>
          </w:tcPr>
          <w:p w14:paraId="0F0AA5C6">
            <w:pPr>
              <w:spacing w:before="53" w:line="228" w:lineRule="auto"/>
              <w:ind w:left="107"/>
              <w:rPr>
                <w:rFonts w:ascii="Times New Roman" w:hAnsi="Times New Roman" w:eastAsia="Times New Roman" w:cs="Times New Roman"/>
                <w:sz w:val="20"/>
                <w:szCs w:val="20"/>
              </w:rPr>
            </w:pPr>
            <w:r>
              <w:rPr>
                <w:rFonts w:ascii="宋体" w:hAnsi="宋体" w:eastAsia="宋体" w:cs="宋体"/>
                <w:spacing w:val="6"/>
                <w:sz w:val="20"/>
                <w:szCs w:val="20"/>
              </w:rPr>
              <w:t>其</w:t>
            </w:r>
            <w:r>
              <w:rPr>
                <w:rFonts w:ascii="宋体" w:hAnsi="宋体" w:eastAsia="宋体" w:cs="宋体"/>
                <w:spacing w:val="5"/>
                <w:sz w:val="20"/>
                <w:szCs w:val="20"/>
              </w:rPr>
              <w:t>他</w:t>
            </w:r>
            <w:r>
              <w:rPr>
                <w:rFonts w:ascii="Times New Roman" w:hAnsi="Times New Roman" w:eastAsia="Times New Roman" w:cs="Times New Roman"/>
                <w:spacing w:val="5"/>
                <w:sz w:val="20"/>
                <w:szCs w:val="20"/>
              </w:rPr>
              <w:t>□</w:t>
            </w:r>
          </w:p>
        </w:tc>
      </w:tr>
      <w:tr w14:paraId="1EA2F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bottom w:val="nil"/>
            </w:tcBorders>
            <w:vAlign w:val="top"/>
          </w:tcPr>
          <w:p w14:paraId="4E0E3DA8">
            <w:pPr>
              <w:rPr>
                <w:rFonts w:ascii="Arial"/>
                <w:sz w:val="21"/>
              </w:rPr>
            </w:pPr>
          </w:p>
        </w:tc>
        <w:tc>
          <w:tcPr>
            <w:tcW w:w="1792" w:type="dxa"/>
            <w:vAlign w:val="top"/>
          </w:tcPr>
          <w:p w14:paraId="61B44E22">
            <w:pPr>
              <w:spacing w:before="53" w:line="228" w:lineRule="auto"/>
              <w:ind w:left="474"/>
              <w:rPr>
                <w:rFonts w:ascii="宋体" w:hAnsi="宋体" w:eastAsia="宋体" w:cs="宋体"/>
                <w:sz w:val="20"/>
                <w:szCs w:val="20"/>
              </w:rPr>
            </w:pPr>
            <w:r>
              <w:rPr>
                <w:rFonts w:ascii="宋体" w:hAnsi="宋体" w:eastAsia="宋体" w:cs="宋体"/>
                <w:spacing w:val="7"/>
                <w:sz w:val="20"/>
                <w:szCs w:val="20"/>
              </w:rPr>
              <w:t>预测范</w:t>
            </w:r>
            <w:r>
              <w:rPr>
                <w:rFonts w:ascii="宋体" w:hAnsi="宋体" w:eastAsia="宋体" w:cs="宋体"/>
                <w:spacing w:val="6"/>
                <w:sz w:val="20"/>
                <w:szCs w:val="20"/>
              </w:rPr>
              <w:t>围</w:t>
            </w:r>
          </w:p>
        </w:tc>
        <w:tc>
          <w:tcPr>
            <w:tcW w:w="2519" w:type="dxa"/>
            <w:gridSpan w:val="6"/>
            <w:vAlign w:val="top"/>
          </w:tcPr>
          <w:p w14:paraId="4667DA68">
            <w:pPr>
              <w:spacing w:before="15" w:line="281" w:lineRule="exact"/>
              <w:ind w:left="691"/>
              <w:rPr>
                <w:rFonts w:ascii="Times New Roman" w:hAnsi="Times New Roman" w:eastAsia="Times New Roman" w:cs="Times New Roman"/>
                <w:sz w:val="20"/>
                <w:szCs w:val="20"/>
              </w:rPr>
            </w:pPr>
            <w:r>
              <w:rPr>
                <w:rFonts w:ascii="宋体" w:hAnsi="宋体" w:eastAsia="宋体" w:cs="宋体"/>
                <w:spacing w:val="10"/>
                <w:position w:val="1"/>
                <w:sz w:val="20"/>
                <w:szCs w:val="20"/>
              </w:rPr>
              <w:t>边</w:t>
            </w:r>
            <w:r>
              <w:rPr>
                <w:rFonts w:ascii="宋体" w:hAnsi="宋体" w:eastAsia="宋体" w:cs="宋体"/>
                <w:spacing w:val="7"/>
                <w:position w:val="1"/>
                <w:sz w:val="20"/>
                <w:szCs w:val="20"/>
              </w:rPr>
              <w:t>长</w:t>
            </w:r>
            <w:r>
              <w:rPr>
                <w:rFonts w:ascii="Times New Roman" w:hAnsi="Times New Roman" w:eastAsia="Times New Roman" w:cs="Times New Roman"/>
                <w:spacing w:val="7"/>
                <w:position w:val="1"/>
                <w:sz w:val="20"/>
                <w:szCs w:val="20"/>
              </w:rPr>
              <w:t>≥50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p>
        </w:tc>
        <w:tc>
          <w:tcPr>
            <w:tcW w:w="2520" w:type="dxa"/>
            <w:gridSpan w:val="4"/>
            <w:vAlign w:val="top"/>
          </w:tcPr>
          <w:p w14:paraId="35F0AF73">
            <w:pPr>
              <w:spacing w:before="15" w:line="281" w:lineRule="exact"/>
              <w:ind w:left="622"/>
              <w:rPr>
                <w:rFonts w:ascii="Times New Roman" w:hAnsi="Times New Roman" w:eastAsia="Times New Roman" w:cs="Times New Roman"/>
                <w:sz w:val="20"/>
                <w:szCs w:val="20"/>
              </w:rPr>
            </w:pPr>
            <w:r>
              <w:rPr>
                <w:rFonts w:ascii="宋体" w:hAnsi="宋体" w:eastAsia="宋体" w:cs="宋体"/>
                <w:spacing w:val="1"/>
                <w:position w:val="1"/>
                <w:sz w:val="20"/>
                <w:szCs w:val="20"/>
              </w:rPr>
              <w:t xml:space="preserve">边长 </w:t>
            </w:r>
            <w:r>
              <w:rPr>
                <w:rFonts w:ascii="Times New Roman" w:hAnsi="Times New Roman" w:eastAsia="Times New Roman" w:cs="Times New Roman"/>
                <w:position w:val="1"/>
                <w:sz w:val="20"/>
                <w:szCs w:val="20"/>
              </w:rPr>
              <w:t>5~50km□</w:t>
            </w:r>
          </w:p>
        </w:tc>
        <w:tc>
          <w:tcPr>
            <w:tcW w:w="2536" w:type="dxa"/>
            <w:gridSpan w:val="3"/>
            <w:tcBorders>
              <w:right w:val="single" w:color="000000" w:sz="10" w:space="0"/>
            </w:tcBorders>
            <w:vAlign w:val="top"/>
          </w:tcPr>
          <w:p w14:paraId="59841D31">
            <w:pPr>
              <w:spacing w:before="15" w:line="281" w:lineRule="exact"/>
              <w:ind w:left="725"/>
              <w:rPr>
                <w:sz w:val="20"/>
                <w:szCs w:val="20"/>
              </w:rPr>
            </w:pPr>
            <w:r>
              <w:rPr>
                <w:rFonts w:ascii="宋体" w:hAnsi="宋体" w:eastAsia="宋体" w:cs="宋体"/>
                <w:spacing w:val="1"/>
                <w:position w:val="1"/>
                <w:sz w:val="20"/>
                <w:szCs w:val="20"/>
              </w:rPr>
              <w:t>边长</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 xml:space="preserve">5km </w:t>
            </w:r>
            <w:r>
              <w:rPr>
                <w:position w:val="-3"/>
                <w:sz w:val="20"/>
                <w:szCs w:val="20"/>
              </w:rPr>
              <w:drawing>
                <wp:inline distT="0" distB="0" distL="0" distR="0">
                  <wp:extent cx="95885" cy="139700"/>
                  <wp:effectExtent l="0" t="0" r="0" b="0"/>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535"/>
                          <a:stretch>
                            <a:fillRect/>
                          </a:stretch>
                        </pic:blipFill>
                        <pic:spPr>
                          <a:xfrm>
                            <a:off x="0" y="0"/>
                            <a:ext cx="95953" cy="139748"/>
                          </a:xfrm>
                          <a:prstGeom prst="rect">
                            <a:avLst/>
                          </a:prstGeom>
                        </pic:spPr>
                      </pic:pic>
                    </a:graphicData>
                  </a:graphic>
                </wp:inline>
              </w:drawing>
            </w:r>
          </w:p>
        </w:tc>
      </w:tr>
      <w:tr w14:paraId="765DF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44" w:type="dxa"/>
            <w:vMerge w:val="continue"/>
            <w:tcBorders>
              <w:top w:val="nil"/>
              <w:left w:val="single" w:color="000000" w:sz="10" w:space="0"/>
              <w:bottom w:val="nil"/>
            </w:tcBorders>
            <w:vAlign w:val="top"/>
          </w:tcPr>
          <w:p w14:paraId="428E138C">
            <w:pPr>
              <w:rPr>
                <w:rFonts w:ascii="Arial"/>
                <w:sz w:val="21"/>
              </w:rPr>
            </w:pPr>
          </w:p>
        </w:tc>
        <w:tc>
          <w:tcPr>
            <w:tcW w:w="1792" w:type="dxa"/>
            <w:vAlign w:val="top"/>
          </w:tcPr>
          <w:p w14:paraId="7286025C">
            <w:pPr>
              <w:spacing w:before="208" w:line="228" w:lineRule="auto"/>
              <w:ind w:left="474"/>
              <w:rPr>
                <w:rFonts w:ascii="宋体" w:hAnsi="宋体" w:eastAsia="宋体" w:cs="宋体"/>
                <w:sz w:val="20"/>
                <w:szCs w:val="20"/>
              </w:rPr>
            </w:pPr>
            <w:r>
              <w:rPr>
                <w:rFonts w:ascii="宋体" w:hAnsi="宋体" w:eastAsia="宋体" w:cs="宋体"/>
                <w:spacing w:val="7"/>
                <w:sz w:val="20"/>
                <w:szCs w:val="20"/>
              </w:rPr>
              <w:t>预测因</w:t>
            </w:r>
            <w:r>
              <w:rPr>
                <w:rFonts w:ascii="宋体" w:hAnsi="宋体" w:eastAsia="宋体" w:cs="宋体"/>
                <w:spacing w:val="6"/>
                <w:sz w:val="20"/>
                <w:szCs w:val="20"/>
              </w:rPr>
              <w:t>子</w:t>
            </w:r>
          </w:p>
        </w:tc>
        <w:tc>
          <w:tcPr>
            <w:tcW w:w="3780" w:type="dxa"/>
            <w:gridSpan w:val="8"/>
            <w:vAlign w:val="top"/>
          </w:tcPr>
          <w:p w14:paraId="364F9085">
            <w:pPr>
              <w:spacing w:before="208" w:line="228" w:lineRule="auto"/>
              <w:ind w:left="1161"/>
              <w:rPr>
                <w:rFonts w:ascii="宋体" w:hAnsi="宋体" w:eastAsia="宋体" w:cs="宋体"/>
                <w:sz w:val="20"/>
                <w:szCs w:val="20"/>
              </w:rPr>
            </w:pPr>
            <w:r>
              <w:rPr>
                <w:rFonts w:ascii="宋体" w:hAnsi="宋体" w:eastAsia="宋体" w:cs="宋体"/>
                <w:spacing w:val="9"/>
                <w:sz w:val="20"/>
                <w:szCs w:val="20"/>
              </w:rPr>
              <w:t xml:space="preserve">预测因子 (  </w:t>
            </w:r>
            <w:r>
              <w:rPr>
                <w:rFonts w:ascii="宋体" w:hAnsi="宋体" w:eastAsia="宋体" w:cs="宋体"/>
                <w:spacing w:val="8"/>
                <w:sz w:val="20"/>
                <w:szCs w:val="20"/>
              </w:rPr>
              <w:t>)</w:t>
            </w:r>
          </w:p>
        </w:tc>
        <w:tc>
          <w:tcPr>
            <w:tcW w:w="3795" w:type="dxa"/>
            <w:gridSpan w:val="5"/>
            <w:tcBorders>
              <w:right w:val="single" w:color="000000" w:sz="10" w:space="0"/>
            </w:tcBorders>
            <w:vAlign w:val="top"/>
          </w:tcPr>
          <w:p w14:paraId="76CCA1AA">
            <w:pPr>
              <w:spacing w:before="52" w:line="312" w:lineRule="exact"/>
              <w:ind w:left="1114"/>
              <w:rPr>
                <w:rFonts w:ascii="Times New Roman" w:hAnsi="Times New Roman" w:eastAsia="Times New Roman" w:cs="Times New Roman"/>
                <w:sz w:val="20"/>
                <w:szCs w:val="20"/>
              </w:rPr>
            </w:pPr>
            <w:r>
              <w:rPr>
                <w:rFonts w:ascii="宋体" w:hAnsi="宋体" w:eastAsia="宋体" w:cs="宋体"/>
                <w:spacing w:val="2"/>
                <w:position w:val="7"/>
                <w:sz w:val="20"/>
                <w:szCs w:val="20"/>
              </w:rPr>
              <w:t xml:space="preserve">包括二次 </w:t>
            </w:r>
            <w:r>
              <w:rPr>
                <w:rFonts w:ascii="Times New Roman" w:hAnsi="Times New Roman" w:eastAsia="Times New Roman" w:cs="Times New Roman"/>
                <w:position w:val="7"/>
                <w:sz w:val="20"/>
                <w:szCs w:val="20"/>
              </w:rPr>
              <w:t>PM</w:t>
            </w:r>
            <w:r>
              <w:rPr>
                <w:rFonts w:ascii="Times New Roman" w:hAnsi="Times New Roman" w:eastAsia="Times New Roman" w:cs="Times New Roman"/>
                <w:spacing w:val="2"/>
                <w:position w:val="7"/>
                <w:sz w:val="20"/>
                <w:szCs w:val="20"/>
              </w:rPr>
              <w:t>2</w:t>
            </w:r>
            <w:r>
              <w:rPr>
                <w:rFonts w:ascii="Times New Roman" w:hAnsi="Times New Roman" w:eastAsia="Times New Roman" w:cs="Times New Roman"/>
                <w:spacing w:val="1"/>
                <w:position w:val="7"/>
                <w:sz w:val="20"/>
                <w:szCs w:val="20"/>
              </w:rPr>
              <w:t>.5□</w:t>
            </w:r>
          </w:p>
          <w:p w14:paraId="6DF1F767">
            <w:pPr>
              <w:spacing w:before="1" w:line="222" w:lineRule="auto"/>
              <w:ind w:left="981"/>
              <w:rPr>
                <w:sz w:val="20"/>
                <w:szCs w:val="20"/>
              </w:rPr>
            </w:pPr>
            <w:r>
              <w:rPr>
                <w:rFonts w:ascii="宋体" w:hAnsi="宋体" w:eastAsia="宋体" w:cs="宋体"/>
                <w:spacing w:val="2"/>
                <w:sz w:val="20"/>
                <w:szCs w:val="20"/>
              </w:rPr>
              <w:t xml:space="preserve">不包括二次 </w:t>
            </w:r>
            <w:r>
              <w:rPr>
                <w:rFonts w:ascii="Times New Roman" w:hAnsi="Times New Roman" w:eastAsia="Times New Roman" w:cs="Times New Roman"/>
                <w:sz w:val="20"/>
                <w:szCs w:val="20"/>
              </w:rPr>
              <w:t>PM</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5</w:t>
            </w:r>
            <w:r>
              <w:rPr>
                <w:position w:val="-4"/>
                <w:sz w:val="20"/>
                <w:szCs w:val="20"/>
              </w:rPr>
              <w:drawing>
                <wp:inline distT="0" distB="0" distL="0" distR="0">
                  <wp:extent cx="107315" cy="13970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536"/>
                          <a:stretch>
                            <a:fillRect/>
                          </a:stretch>
                        </pic:blipFill>
                        <pic:spPr>
                          <a:xfrm>
                            <a:off x="0" y="0"/>
                            <a:ext cx="107807" cy="139748"/>
                          </a:xfrm>
                          <a:prstGeom prst="rect">
                            <a:avLst/>
                          </a:prstGeom>
                        </pic:spPr>
                      </pic:pic>
                    </a:graphicData>
                  </a:graphic>
                </wp:inline>
              </w:drawing>
            </w:r>
          </w:p>
        </w:tc>
      </w:tr>
      <w:tr w14:paraId="1C6B3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44" w:type="dxa"/>
            <w:vMerge w:val="continue"/>
            <w:tcBorders>
              <w:top w:val="nil"/>
              <w:left w:val="single" w:color="000000" w:sz="10" w:space="0"/>
              <w:bottom w:val="nil"/>
            </w:tcBorders>
            <w:vAlign w:val="top"/>
          </w:tcPr>
          <w:p w14:paraId="4C6F4C95">
            <w:pPr>
              <w:rPr>
                <w:rFonts w:ascii="Arial"/>
                <w:sz w:val="21"/>
              </w:rPr>
            </w:pPr>
          </w:p>
        </w:tc>
        <w:tc>
          <w:tcPr>
            <w:tcW w:w="1792" w:type="dxa"/>
            <w:vAlign w:val="top"/>
          </w:tcPr>
          <w:p w14:paraId="2B49BB2B">
            <w:pPr>
              <w:spacing w:before="54" w:line="258" w:lineRule="auto"/>
              <w:ind w:left="580" w:right="64" w:hanging="523"/>
              <w:rPr>
                <w:rFonts w:ascii="宋体" w:hAnsi="宋体" w:eastAsia="宋体" w:cs="宋体"/>
                <w:sz w:val="20"/>
                <w:szCs w:val="20"/>
              </w:rPr>
            </w:pPr>
            <w:r>
              <w:rPr>
                <w:rFonts w:ascii="宋体" w:hAnsi="宋体" w:eastAsia="宋体" w:cs="宋体"/>
                <w:spacing w:val="9"/>
                <w:sz w:val="20"/>
                <w:szCs w:val="20"/>
              </w:rPr>
              <w:t>正</w:t>
            </w:r>
            <w:r>
              <w:rPr>
                <w:rFonts w:ascii="宋体" w:hAnsi="宋体" w:eastAsia="宋体" w:cs="宋体"/>
                <w:spacing w:val="8"/>
                <w:sz w:val="20"/>
                <w:szCs w:val="20"/>
              </w:rPr>
              <w:t>常排放短期浓度</w:t>
            </w:r>
            <w:r>
              <w:rPr>
                <w:rFonts w:ascii="宋体" w:hAnsi="宋体" w:eastAsia="宋体" w:cs="宋体"/>
                <w:sz w:val="20"/>
                <w:szCs w:val="20"/>
              </w:rPr>
              <w:t xml:space="preserve"> </w:t>
            </w:r>
            <w:r>
              <w:rPr>
                <w:rFonts w:ascii="宋体" w:hAnsi="宋体" w:eastAsia="宋体" w:cs="宋体"/>
                <w:spacing w:val="6"/>
                <w:sz w:val="20"/>
                <w:szCs w:val="20"/>
              </w:rPr>
              <w:t>贡献值</w:t>
            </w:r>
          </w:p>
        </w:tc>
        <w:tc>
          <w:tcPr>
            <w:tcW w:w="3780" w:type="dxa"/>
            <w:gridSpan w:val="8"/>
            <w:vAlign w:val="top"/>
          </w:tcPr>
          <w:p w14:paraId="63DE10D1">
            <w:pPr>
              <w:spacing w:before="173" w:line="281" w:lineRule="exact"/>
              <w:ind w:left="720"/>
              <w:rPr>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2"/>
                <w:sz w:val="20"/>
                <w:szCs w:val="20"/>
              </w:rPr>
              <w:t xml:space="preserve"> </w:t>
            </w:r>
            <w:r>
              <w:rPr>
                <w:rFonts w:ascii="宋体" w:hAnsi="宋体" w:eastAsia="宋体" w:cs="宋体"/>
                <w:spacing w:val="9"/>
                <w:position w:val="-2"/>
                <w:sz w:val="10"/>
                <w:szCs w:val="10"/>
              </w:rPr>
              <w:t>本</w:t>
            </w:r>
            <w:r>
              <w:rPr>
                <w:rFonts w:ascii="宋体" w:hAnsi="宋体" w:eastAsia="宋体" w:cs="宋体"/>
                <w:spacing w:val="6"/>
                <w:position w:val="-2"/>
                <w:sz w:val="10"/>
                <w:szCs w:val="10"/>
              </w:rPr>
              <w:t>项目</w:t>
            </w:r>
            <w:r>
              <w:rPr>
                <w:rFonts w:ascii="宋体" w:hAnsi="宋体" w:eastAsia="宋体" w:cs="宋体"/>
                <w:spacing w:val="6"/>
                <w:sz w:val="20"/>
                <w:szCs w:val="20"/>
              </w:rPr>
              <w:t>最大占标率</w:t>
            </w:r>
            <w:r>
              <w:rPr>
                <w:rFonts w:ascii="Times New Roman" w:hAnsi="Times New Roman" w:eastAsia="Times New Roman" w:cs="Times New Roman"/>
                <w:spacing w:val="6"/>
                <w:sz w:val="20"/>
                <w:szCs w:val="20"/>
              </w:rPr>
              <w:t>≤100%</w:t>
            </w:r>
            <w:r>
              <w:rPr>
                <w:position w:val="-3"/>
                <w:sz w:val="20"/>
                <w:szCs w:val="20"/>
              </w:rPr>
              <w:drawing>
                <wp:inline distT="0" distB="0" distL="0" distR="0">
                  <wp:extent cx="107315" cy="139700"/>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535"/>
                          <a:stretch>
                            <a:fillRect/>
                          </a:stretch>
                        </pic:blipFill>
                        <pic:spPr>
                          <a:xfrm>
                            <a:off x="0" y="0"/>
                            <a:ext cx="107812" cy="139748"/>
                          </a:xfrm>
                          <a:prstGeom prst="rect">
                            <a:avLst/>
                          </a:prstGeom>
                        </pic:spPr>
                      </pic:pic>
                    </a:graphicData>
                  </a:graphic>
                </wp:inline>
              </w:drawing>
            </w:r>
          </w:p>
        </w:tc>
        <w:tc>
          <w:tcPr>
            <w:tcW w:w="3795" w:type="dxa"/>
            <w:gridSpan w:val="5"/>
            <w:tcBorders>
              <w:right w:val="single" w:color="000000" w:sz="10" w:space="0"/>
            </w:tcBorders>
            <w:vAlign w:val="top"/>
          </w:tcPr>
          <w:p w14:paraId="52DB2C61">
            <w:pPr>
              <w:spacing w:before="173" w:line="281"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sz w:val="10"/>
                <w:szCs w:val="10"/>
              </w:rPr>
              <w:t>本项目</w:t>
            </w:r>
            <w:r>
              <w:rPr>
                <w:rFonts w:ascii="宋体" w:hAnsi="宋体" w:eastAsia="宋体" w:cs="宋体"/>
                <w:spacing w:val="4"/>
                <w:position w:val="2"/>
                <w:sz w:val="20"/>
                <w:szCs w:val="20"/>
              </w:rPr>
              <w:t>最大占标率＞</w:t>
            </w:r>
            <w:r>
              <w:rPr>
                <w:rFonts w:ascii="Times New Roman" w:hAnsi="Times New Roman" w:eastAsia="Times New Roman" w:cs="Times New Roman"/>
                <w:spacing w:val="4"/>
                <w:position w:val="2"/>
                <w:sz w:val="20"/>
                <w:szCs w:val="20"/>
              </w:rPr>
              <w:t xml:space="preserve">100% </w:t>
            </w:r>
            <w:r>
              <w:rPr>
                <w:rFonts w:ascii="Times New Roman" w:hAnsi="Times New Roman" w:eastAsia="Times New Roman" w:cs="Times New Roman"/>
                <w:spacing w:val="3"/>
                <w:position w:val="2"/>
                <w:sz w:val="20"/>
                <w:szCs w:val="20"/>
              </w:rPr>
              <w:t>□</w:t>
            </w:r>
          </w:p>
        </w:tc>
      </w:tr>
      <w:tr w14:paraId="7D38B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bottom w:val="nil"/>
            </w:tcBorders>
            <w:vAlign w:val="top"/>
          </w:tcPr>
          <w:p w14:paraId="6FF037F8">
            <w:pPr>
              <w:rPr>
                <w:rFonts w:ascii="Arial"/>
                <w:sz w:val="21"/>
              </w:rPr>
            </w:pPr>
          </w:p>
        </w:tc>
        <w:tc>
          <w:tcPr>
            <w:tcW w:w="1792" w:type="dxa"/>
            <w:vMerge w:val="restart"/>
            <w:tcBorders>
              <w:bottom w:val="nil"/>
            </w:tcBorders>
            <w:vAlign w:val="top"/>
          </w:tcPr>
          <w:p w14:paraId="519E8707">
            <w:pPr>
              <w:spacing w:before="60" w:line="258" w:lineRule="auto"/>
              <w:ind w:left="580" w:right="64" w:hanging="523"/>
              <w:rPr>
                <w:rFonts w:ascii="宋体" w:hAnsi="宋体" w:eastAsia="宋体" w:cs="宋体"/>
                <w:sz w:val="20"/>
                <w:szCs w:val="20"/>
              </w:rPr>
            </w:pPr>
            <w:r>
              <w:rPr>
                <w:rFonts w:ascii="宋体" w:hAnsi="宋体" w:eastAsia="宋体" w:cs="宋体"/>
                <w:spacing w:val="9"/>
                <w:sz w:val="20"/>
                <w:szCs w:val="20"/>
              </w:rPr>
              <w:t>正</w:t>
            </w:r>
            <w:r>
              <w:rPr>
                <w:rFonts w:ascii="宋体" w:hAnsi="宋体" w:eastAsia="宋体" w:cs="宋体"/>
                <w:spacing w:val="8"/>
                <w:sz w:val="20"/>
                <w:szCs w:val="20"/>
              </w:rPr>
              <w:t>常排放年均浓度</w:t>
            </w:r>
            <w:r>
              <w:rPr>
                <w:rFonts w:ascii="宋体" w:hAnsi="宋体" w:eastAsia="宋体" w:cs="宋体"/>
                <w:sz w:val="20"/>
                <w:szCs w:val="20"/>
              </w:rPr>
              <w:t xml:space="preserve"> </w:t>
            </w:r>
            <w:r>
              <w:rPr>
                <w:rFonts w:ascii="宋体" w:hAnsi="宋体" w:eastAsia="宋体" w:cs="宋体"/>
                <w:spacing w:val="6"/>
                <w:sz w:val="20"/>
                <w:szCs w:val="20"/>
              </w:rPr>
              <w:t>贡献值</w:t>
            </w:r>
          </w:p>
        </w:tc>
        <w:tc>
          <w:tcPr>
            <w:tcW w:w="943" w:type="dxa"/>
            <w:vAlign w:val="top"/>
          </w:tcPr>
          <w:p w14:paraId="57A12C30">
            <w:pPr>
              <w:spacing w:before="55" w:line="228" w:lineRule="auto"/>
              <w:ind w:left="160"/>
              <w:rPr>
                <w:rFonts w:ascii="宋体" w:hAnsi="宋体" w:eastAsia="宋体" w:cs="宋体"/>
                <w:sz w:val="20"/>
                <w:szCs w:val="20"/>
              </w:rPr>
            </w:pPr>
            <w:r>
              <w:rPr>
                <w:rFonts w:ascii="宋体" w:hAnsi="宋体" w:eastAsia="宋体" w:cs="宋体"/>
                <w:spacing w:val="6"/>
                <w:sz w:val="20"/>
                <w:szCs w:val="20"/>
              </w:rPr>
              <w:t>一类</w:t>
            </w:r>
            <w:r>
              <w:rPr>
                <w:rFonts w:ascii="宋体" w:hAnsi="宋体" w:eastAsia="宋体" w:cs="宋体"/>
                <w:spacing w:val="5"/>
                <w:sz w:val="20"/>
                <w:szCs w:val="20"/>
              </w:rPr>
              <w:t>区</w:t>
            </w:r>
          </w:p>
        </w:tc>
        <w:tc>
          <w:tcPr>
            <w:tcW w:w="2837" w:type="dxa"/>
            <w:gridSpan w:val="7"/>
            <w:vAlign w:val="top"/>
          </w:tcPr>
          <w:p w14:paraId="601B0B6D">
            <w:pPr>
              <w:spacing w:before="18" w:line="281" w:lineRule="exact"/>
              <w:ind w:left="3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sz w:val="10"/>
                <w:szCs w:val="10"/>
              </w:rPr>
              <w:t>本项</w:t>
            </w:r>
            <w:r>
              <w:rPr>
                <w:rFonts w:ascii="宋体" w:hAnsi="宋体" w:eastAsia="宋体" w:cs="宋体"/>
                <w:spacing w:val="3"/>
                <w:sz w:val="10"/>
                <w:szCs w:val="10"/>
              </w:rPr>
              <w:t>目</w:t>
            </w:r>
            <w:r>
              <w:rPr>
                <w:rFonts w:ascii="宋体" w:hAnsi="宋体" w:eastAsia="宋体" w:cs="宋体"/>
                <w:spacing w:val="3"/>
                <w:position w:val="2"/>
                <w:sz w:val="20"/>
                <w:szCs w:val="20"/>
              </w:rPr>
              <w:t>最大占标率</w:t>
            </w:r>
            <w:r>
              <w:rPr>
                <w:rFonts w:ascii="Times New Roman" w:hAnsi="Times New Roman" w:eastAsia="Times New Roman" w:cs="Times New Roman"/>
                <w:spacing w:val="3"/>
                <w:position w:val="2"/>
                <w:sz w:val="20"/>
                <w:szCs w:val="20"/>
              </w:rPr>
              <w:t>≤10% □</w:t>
            </w:r>
          </w:p>
        </w:tc>
        <w:tc>
          <w:tcPr>
            <w:tcW w:w="3795" w:type="dxa"/>
            <w:gridSpan w:val="5"/>
            <w:tcBorders>
              <w:right w:val="single" w:color="000000" w:sz="10" w:space="0"/>
            </w:tcBorders>
            <w:vAlign w:val="top"/>
          </w:tcPr>
          <w:p w14:paraId="1C816890">
            <w:pPr>
              <w:spacing w:before="18" w:line="281" w:lineRule="exact"/>
              <w:ind w:left="7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sz w:val="10"/>
                <w:szCs w:val="10"/>
              </w:rPr>
              <w:t>本项目</w:t>
            </w:r>
            <w:r>
              <w:rPr>
                <w:rFonts w:ascii="宋体" w:hAnsi="宋体" w:eastAsia="宋体" w:cs="宋体"/>
                <w:spacing w:val="4"/>
                <w:position w:val="2"/>
                <w:sz w:val="20"/>
                <w:szCs w:val="20"/>
              </w:rPr>
              <w:t>最大占标率＞</w:t>
            </w:r>
            <w:r>
              <w:rPr>
                <w:rFonts w:ascii="Times New Roman" w:hAnsi="Times New Roman" w:eastAsia="Times New Roman" w:cs="Times New Roman"/>
                <w:spacing w:val="4"/>
                <w:position w:val="2"/>
                <w:sz w:val="20"/>
                <w:szCs w:val="20"/>
              </w:rPr>
              <w:t xml:space="preserve">10% </w:t>
            </w:r>
            <w:r>
              <w:rPr>
                <w:rFonts w:ascii="Times New Roman" w:hAnsi="Times New Roman" w:eastAsia="Times New Roman" w:cs="Times New Roman"/>
                <w:spacing w:val="1"/>
                <w:position w:val="2"/>
                <w:sz w:val="20"/>
                <w:szCs w:val="20"/>
              </w:rPr>
              <w:t>□</w:t>
            </w:r>
          </w:p>
        </w:tc>
      </w:tr>
      <w:tr w14:paraId="3DBE3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bottom w:val="nil"/>
            </w:tcBorders>
            <w:vAlign w:val="top"/>
          </w:tcPr>
          <w:p w14:paraId="5DBC6031">
            <w:pPr>
              <w:rPr>
                <w:rFonts w:ascii="Arial"/>
                <w:sz w:val="21"/>
              </w:rPr>
            </w:pPr>
          </w:p>
        </w:tc>
        <w:tc>
          <w:tcPr>
            <w:tcW w:w="1792" w:type="dxa"/>
            <w:vMerge w:val="continue"/>
            <w:tcBorders>
              <w:top w:val="nil"/>
            </w:tcBorders>
            <w:vAlign w:val="top"/>
          </w:tcPr>
          <w:p w14:paraId="22794269">
            <w:pPr>
              <w:rPr>
                <w:rFonts w:ascii="Arial"/>
                <w:sz w:val="21"/>
              </w:rPr>
            </w:pPr>
          </w:p>
        </w:tc>
        <w:tc>
          <w:tcPr>
            <w:tcW w:w="943" w:type="dxa"/>
            <w:vAlign w:val="top"/>
          </w:tcPr>
          <w:p w14:paraId="270C0C4A">
            <w:pPr>
              <w:spacing w:before="55" w:line="228" w:lineRule="auto"/>
              <w:ind w:left="160"/>
              <w:rPr>
                <w:rFonts w:ascii="宋体" w:hAnsi="宋体" w:eastAsia="宋体" w:cs="宋体"/>
                <w:sz w:val="20"/>
                <w:szCs w:val="20"/>
              </w:rPr>
            </w:pPr>
            <w:r>
              <w:rPr>
                <w:rFonts w:ascii="宋体" w:hAnsi="宋体" w:eastAsia="宋体" w:cs="宋体"/>
                <w:spacing w:val="6"/>
                <w:sz w:val="20"/>
                <w:szCs w:val="20"/>
              </w:rPr>
              <w:t>二类</w:t>
            </w:r>
            <w:r>
              <w:rPr>
                <w:rFonts w:ascii="宋体" w:hAnsi="宋体" w:eastAsia="宋体" w:cs="宋体"/>
                <w:spacing w:val="5"/>
                <w:sz w:val="20"/>
                <w:szCs w:val="20"/>
              </w:rPr>
              <w:t>区</w:t>
            </w:r>
          </w:p>
        </w:tc>
        <w:tc>
          <w:tcPr>
            <w:tcW w:w="2837" w:type="dxa"/>
            <w:gridSpan w:val="7"/>
            <w:vAlign w:val="top"/>
          </w:tcPr>
          <w:p w14:paraId="738FDCE2">
            <w:pPr>
              <w:spacing w:before="17" w:line="281" w:lineRule="exact"/>
              <w:ind w:left="302"/>
              <w:rPr>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12"/>
                <w:position w:val="1"/>
                <w:sz w:val="20"/>
                <w:szCs w:val="20"/>
              </w:rPr>
              <w:t xml:space="preserve"> </w:t>
            </w:r>
            <w:r>
              <w:rPr>
                <w:rFonts w:ascii="宋体" w:hAnsi="宋体" w:eastAsia="宋体" w:cs="宋体"/>
                <w:spacing w:val="10"/>
                <w:position w:val="-1"/>
                <w:sz w:val="10"/>
                <w:szCs w:val="10"/>
              </w:rPr>
              <w:t>本</w:t>
            </w:r>
            <w:r>
              <w:rPr>
                <w:rFonts w:ascii="宋体" w:hAnsi="宋体" w:eastAsia="宋体" w:cs="宋体"/>
                <w:spacing w:val="6"/>
                <w:position w:val="-1"/>
                <w:sz w:val="10"/>
                <w:szCs w:val="10"/>
              </w:rPr>
              <w:t>项目</w:t>
            </w:r>
            <w:r>
              <w:rPr>
                <w:rFonts w:ascii="宋体" w:hAnsi="宋体" w:eastAsia="宋体" w:cs="宋体"/>
                <w:spacing w:val="6"/>
                <w:position w:val="1"/>
                <w:sz w:val="20"/>
                <w:szCs w:val="20"/>
              </w:rPr>
              <w:t>最大占标率</w:t>
            </w:r>
            <w:r>
              <w:rPr>
                <w:rFonts w:ascii="Times New Roman" w:hAnsi="Times New Roman" w:eastAsia="Times New Roman" w:cs="Times New Roman"/>
                <w:spacing w:val="6"/>
                <w:position w:val="1"/>
                <w:sz w:val="20"/>
                <w:szCs w:val="20"/>
              </w:rPr>
              <w:t>≤30%</w:t>
            </w:r>
            <w:r>
              <w:rPr>
                <w:position w:val="-3"/>
                <w:sz w:val="20"/>
                <w:szCs w:val="20"/>
              </w:rPr>
              <w:drawing>
                <wp:inline distT="0" distB="0" distL="0" distR="0">
                  <wp:extent cx="107315" cy="13970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540"/>
                          <a:stretch>
                            <a:fillRect/>
                          </a:stretch>
                        </pic:blipFill>
                        <pic:spPr>
                          <a:xfrm>
                            <a:off x="0" y="0"/>
                            <a:ext cx="107808" cy="139748"/>
                          </a:xfrm>
                          <a:prstGeom prst="rect">
                            <a:avLst/>
                          </a:prstGeom>
                        </pic:spPr>
                      </pic:pic>
                    </a:graphicData>
                  </a:graphic>
                </wp:inline>
              </w:drawing>
            </w:r>
          </w:p>
        </w:tc>
        <w:tc>
          <w:tcPr>
            <w:tcW w:w="3795" w:type="dxa"/>
            <w:gridSpan w:val="5"/>
            <w:tcBorders>
              <w:right w:val="single" w:color="000000" w:sz="10" w:space="0"/>
            </w:tcBorders>
            <w:vAlign w:val="top"/>
          </w:tcPr>
          <w:p w14:paraId="50DC636E">
            <w:pPr>
              <w:spacing w:before="17" w:line="281" w:lineRule="exact"/>
              <w:ind w:left="7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sz w:val="10"/>
                <w:szCs w:val="10"/>
              </w:rPr>
              <w:t>本项目</w:t>
            </w:r>
            <w:r>
              <w:rPr>
                <w:rFonts w:ascii="宋体" w:hAnsi="宋体" w:eastAsia="宋体" w:cs="宋体"/>
                <w:spacing w:val="4"/>
                <w:position w:val="2"/>
                <w:sz w:val="20"/>
                <w:szCs w:val="20"/>
              </w:rPr>
              <w:t>最大占标率＞</w:t>
            </w:r>
            <w:r>
              <w:rPr>
                <w:rFonts w:ascii="Times New Roman" w:hAnsi="Times New Roman" w:eastAsia="Times New Roman" w:cs="Times New Roman"/>
                <w:spacing w:val="4"/>
                <w:position w:val="2"/>
                <w:sz w:val="20"/>
                <w:szCs w:val="20"/>
              </w:rPr>
              <w:t xml:space="preserve">30% </w:t>
            </w:r>
            <w:r>
              <w:rPr>
                <w:rFonts w:ascii="Times New Roman" w:hAnsi="Times New Roman" w:eastAsia="Times New Roman" w:cs="Times New Roman"/>
                <w:spacing w:val="1"/>
                <w:position w:val="2"/>
                <w:sz w:val="20"/>
                <w:szCs w:val="20"/>
              </w:rPr>
              <w:t>□</w:t>
            </w:r>
          </w:p>
        </w:tc>
      </w:tr>
      <w:tr w14:paraId="3FEA7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44" w:type="dxa"/>
            <w:vMerge w:val="continue"/>
            <w:tcBorders>
              <w:top w:val="nil"/>
              <w:left w:val="single" w:color="000000" w:sz="10" w:space="0"/>
              <w:bottom w:val="nil"/>
            </w:tcBorders>
            <w:vAlign w:val="top"/>
          </w:tcPr>
          <w:p w14:paraId="1C039252">
            <w:pPr>
              <w:rPr>
                <w:rFonts w:ascii="Arial"/>
                <w:sz w:val="21"/>
              </w:rPr>
            </w:pPr>
          </w:p>
        </w:tc>
        <w:tc>
          <w:tcPr>
            <w:tcW w:w="1792" w:type="dxa"/>
            <w:vAlign w:val="top"/>
          </w:tcPr>
          <w:p w14:paraId="4DDC37C2">
            <w:pPr>
              <w:spacing w:before="17" w:line="275" w:lineRule="auto"/>
              <w:ind w:left="580" w:right="28" w:hanging="558"/>
              <w:rPr>
                <w:rFonts w:ascii="宋体" w:hAnsi="宋体" w:eastAsia="宋体" w:cs="宋体"/>
                <w:sz w:val="20"/>
                <w:szCs w:val="20"/>
              </w:rPr>
            </w:pPr>
            <w:r>
              <w:rPr>
                <w:rFonts w:ascii="宋体" w:hAnsi="宋体" w:eastAsia="宋体" w:cs="宋体"/>
                <w:spacing w:val="-2"/>
                <w:sz w:val="20"/>
                <w:szCs w:val="20"/>
              </w:rPr>
              <w:t>非正常排</w:t>
            </w:r>
            <w:r>
              <w:rPr>
                <w:rFonts w:ascii="宋体" w:hAnsi="宋体" w:eastAsia="宋体" w:cs="宋体"/>
                <w:spacing w:val="-1"/>
                <w:sz w:val="20"/>
                <w:szCs w:val="20"/>
              </w:rPr>
              <w:t xml:space="preserve">放 </w:t>
            </w:r>
            <w:r>
              <w:rPr>
                <w:rFonts w:ascii="Times New Roman" w:hAnsi="Times New Roman" w:eastAsia="Times New Roman" w:cs="Times New Roman"/>
                <w:spacing w:val="-1"/>
                <w:sz w:val="20"/>
                <w:szCs w:val="20"/>
              </w:rPr>
              <w:t xml:space="preserve">1h </w:t>
            </w:r>
            <w:r>
              <w:rPr>
                <w:rFonts w:ascii="宋体" w:hAnsi="宋体" w:eastAsia="宋体" w:cs="宋体"/>
                <w:spacing w:val="-1"/>
                <w:sz w:val="20"/>
                <w:szCs w:val="20"/>
              </w:rPr>
              <w:t>浓度</w:t>
            </w:r>
            <w:r>
              <w:rPr>
                <w:rFonts w:ascii="宋体" w:hAnsi="宋体" w:eastAsia="宋体" w:cs="宋体"/>
                <w:sz w:val="20"/>
                <w:szCs w:val="20"/>
              </w:rPr>
              <w:t xml:space="preserve"> </w:t>
            </w:r>
            <w:r>
              <w:rPr>
                <w:rFonts w:ascii="宋体" w:hAnsi="宋体" w:eastAsia="宋体" w:cs="宋体"/>
                <w:spacing w:val="6"/>
                <w:sz w:val="20"/>
                <w:szCs w:val="20"/>
              </w:rPr>
              <w:t>贡献值</w:t>
            </w:r>
          </w:p>
        </w:tc>
        <w:tc>
          <w:tcPr>
            <w:tcW w:w="1571" w:type="dxa"/>
            <w:gridSpan w:val="3"/>
            <w:vAlign w:val="top"/>
          </w:tcPr>
          <w:p w14:paraId="2CFB7AE1">
            <w:pPr>
              <w:spacing w:before="54" w:line="265" w:lineRule="auto"/>
              <w:ind w:left="533" w:right="53" w:hanging="479"/>
              <w:rPr>
                <w:rFonts w:ascii="Times New Roman" w:hAnsi="Times New Roman" w:eastAsia="Times New Roman" w:cs="Times New Roman"/>
                <w:sz w:val="20"/>
                <w:szCs w:val="20"/>
              </w:rPr>
            </w:pPr>
            <w:r>
              <w:rPr>
                <w:rFonts w:ascii="宋体" w:hAnsi="宋体" w:eastAsia="宋体" w:cs="宋体"/>
                <w:spacing w:val="9"/>
                <w:sz w:val="20"/>
                <w:szCs w:val="20"/>
              </w:rPr>
              <w:t>非</w:t>
            </w:r>
            <w:r>
              <w:rPr>
                <w:rFonts w:ascii="宋体" w:hAnsi="宋体" w:eastAsia="宋体" w:cs="宋体"/>
                <w:spacing w:val="8"/>
                <w:sz w:val="20"/>
                <w:szCs w:val="20"/>
              </w:rPr>
              <w:t>正常持续时长</w:t>
            </w:r>
            <w:r>
              <w:rPr>
                <w:rFonts w:ascii="宋体" w:hAnsi="宋体" w:eastAsia="宋体" w:cs="宋体"/>
                <w:sz w:val="20"/>
                <w:szCs w:val="20"/>
              </w:rPr>
              <w:t xml:space="preserve"> </w:t>
            </w:r>
            <w:r>
              <w:rPr>
                <w:rFonts w:ascii="宋体" w:hAnsi="宋体" w:eastAsia="宋体" w:cs="宋体"/>
                <w:spacing w:val="36"/>
                <w:sz w:val="20"/>
                <w:szCs w:val="20"/>
              </w:rPr>
              <w:t>(</w:t>
            </w:r>
            <w:r>
              <w:rPr>
                <w:rFonts w:ascii="宋体" w:hAnsi="宋体" w:eastAsia="宋体" w:cs="宋体"/>
                <w:spacing w:val="35"/>
                <w:sz w:val="20"/>
                <w:szCs w:val="20"/>
              </w:rPr>
              <w:t xml:space="preserve">) </w:t>
            </w:r>
            <w:r>
              <w:rPr>
                <w:rFonts w:ascii="Times New Roman" w:hAnsi="Times New Roman" w:eastAsia="Times New Roman" w:cs="Times New Roman"/>
                <w:sz w:val="20"/>
                <w:szCs w:val="20"/>
              </w:rPr>
              <w:t>h</w:t>
            </w:r>
          </w:p>
        </w:tc>
        <w:tc>
          <w:tcPr>
            <w:tcW w:w="2209" w:type="dxa"/>
            <w:gridSpan w:val="5"/>
            <w:vAlign w:val="top"/>
          </w:tcPr>
          <w:p w14:paraId="1858EA2E">
            <w:pPr>
              <w:spacing w:before="173" w:line="281" w:lineRule="exact"/>
              <w:ind w:left="2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1"/>
                <w:position w:val="2"/>
                <w:sz w:val="20"/>
                <w:szCs w:val="20"/>
              </w:rPr>
              <w:t xml:space="preserve"> </w:t>
            </w:r>
            <w:r>
              <w:rPr>
                <w:rFonts w:ascii="宋体" w:hAnsi="宋体" w:eastAsia="宋体" w:cs="宋体"/>
                <w:spacing w:val="-1"/>
                <w:sz w:val="10"/>
                <w:szCs w:val="10"/>
              </w:rPr>
              <w:t xml:space="preserve">非正常 </w:t>
            </w:r>
            <w:r>
              <w:rPr>
                <w:rFonts w:ascii="宋体" w:hAnsi="宋体" w:eastAsia="宋体" w:cs="宋体"/>
                <w:spacing w:val="-1"/>
                <w:position w:val="2"/>
                <w:sz w:val="20"/>
                <w:szCs w:val="20"/>
              </w:rPr>
              <w:t>占标率</w:t>
            </w:r>
            <w:r>
              <w:rPr>
                <w:rFonts w:ascii="Times New Roman" w:hAnsi="Times New Roman" w:eastAsia="Times New Roman" w:cs="Times New Roman"/>
                <w:spacing w:val="-1"/>
                <w:position w:val="2"/>
                <w:sz w:val="20"/>
                <w:szCs w:val="20"/>
              </w:rPr>
              <w:t xml:space="preserve">≤100% </w:t>
            </w:r>
            <w:r>
              <w:rPr>
                <w:rFonts w:ascii="Times New Roman" w:hAnsi="Times New Roman" w:eastAsia="Times New Roman" w:cs="Times New Roman"/>
                <w:position w:val="2"/>
                <w:sz w:val="20"/>
                <w:szCs w:val="20"/>
              </w:rPr>
              <w:t>□</w:t>
            </w:r>
          </w:p>
        </w:tc>
        <w:tc>
          <w:tcPr>
            <w:tcW w:w="3795" w:type="dxa"/>
            <w:gridSpan w:val="5"/>
            <w:tcBorders>
              <w:right w:val="single" w:color="000000" w:sz="10" w:space="0"/>
            </w:tcBorders>
            <w:vAlign w:val="top"/>
          </w:tcPr>
          <w:p w14:paraId="0BCD431E">
            <w:pPr>
              <w:spacing w:before="173" w:line="281" w:lineRule="exact"/>
              <w:ind w:left="9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c</w:t>
            </w:r>
            <w:r>
              <w:rPr>
                <w:rFonts w:ascii="Times New Roman" w:hAnsi="Times New Roman" w:eastAsia="Times New Roman" w:cs="Times New Roman"/>
                <w:spacing w:val="-1"/>
                <w:position w:val="2"/>
                <w:sz w:val="20"/>
                <w:szCs w:val="20"/>
              </w:rPr>
              <w:t xml:space="preserve"> </w:t>
            </w:r>
            <w:r>
              <w:rPr>
                <w:rFonts w:ascii="宋体" w:hAnsi="宋体" w:eastAsia="宋体" w:cs="宋体"/>
                <w:spacing w:val="-1"/>
                <w:sz w:val="10"/>
                <w:szCs w:val="10"/>
              </w:rPr>
              <w:t xml:space="preserve">非正常 </w:t>
            </w:r>
            <w:r>
              <w:rPr>
                <w:rFonts w:ascii="宋体" w:hAnsi="宋体" w:eastAsia="宋体" w:cs="宋体"/>
                <w:spacing w:val="-1"/>
                <w:position w:val="2"/>
                <w:sz w:val="20"/>
                <w:szCs w:val="20"/>
              </w:rPr>
              <w:t>占标率</w:t>
            </w:r>
            <w:r>
              <w:rPr>
                <w:rFonts w:ascii="宋体" w:hAnsi="宋体" w:eastAsia="宋体" w:cs="宋体"/>
                <w:position w:val="2"/>
                <w:sz w:val="20"/>
                <w:szCs w:val="20"/>
              </w:rPr>
              <w:t>＞</w:t>
            </w:r>
            <w:r>
              <w:rPr>
                <w:rFonts w:ascii="Times New Roman" w:hAnsi="Times New Roman" w:eastAsia="Times New Roman" w:cs="Times New Roman"/>
                <w:position w:val="2"/>
                <w:sz w:val="20"/>
                <w:szCs w:val="20"/>
              </w:rPr>
              <w:t>100% □</w:t>
            </w:r>
          </w:p>
        </w:tc>
      </w:tr>
      <w:tr w14:paraId="1DA54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44" w:type="dxa"/>
            <w:vMerge w:val="continue"/>
            <w:tcBorders>
              <w:top w:val="nil"/>
              <w:left w:val="single" w:color="000000" w:sz="10" w:space="0"/>
              <w:bottom w:val="nil"/>
            </w:tcBorders>
            <w:vAlign w:val="top"/>
          </w:tcPr>
          <w:p w14:paraId="3806C277">
            <w:pPr>
              <w:rPr>
                <w:rFonts w:ascii="Arial"/>
                <w:sz w:val="21"/>
              </w:rPr>
            </w:pPr>
          </w:p>
        </w:tc>
        <w:tc>
          <w:tcPr>
            <w:tcW w:w="1792" w:type="dxa"/>
            <w:vAlign w:val="top"/>
          </w:tcPr>
          <w:p w14:paraId="440AC4EA">
            <w:pPr>
              <w:spacing w:before="54" w:line="228" w:lineRule="auto"/>
              <w:ind w:left="53"/>
              <w:rPr>
                <w:rFonts w:ascii="宋体" w:hAnsi="宋体" w:eastAsia="宋体" w:cs="宋体"/>
                <w:sz w:val="20"/>
                <w:szCs w:val="20"/>
              </w:rPr>
            </w:pPr>
            <w:r>
              <w:rPr>
                <w:rFonts w:ascii="宋体" w:hAnsi="宋体" w:eastAsia="宋体" w:cs="宋体"/>
                <w:spacing w:val="12"/>
                <w:sz w:val="20"/>
                <w:szCs w:val="20"/>
              </w:rPr>
              <w:t>保</w:t>
            </w:r>
            <w:r>
              <w:rPr>
                <w:rFonts w:ascii="宋体" w:hAnsi="宋体" w:eastAsia="宋体" w:cs="宋体"/>
                <w:spacing w:val="8"/>
                <w:sz w:val="20"/>
                <w:szCs w:val="20"/>
              </w:rPr>
              <w:t>证率日平均浓度</w:t>
            </w:r>
          </w:p>
          <w:p w14:paraId="79979EFC">
            <w:pPr>
              <w:spacing w:before="64" w:line="228" w:lineRule="auto"/>
              <w:ind w:left="53"/>
              <w:rPr>
                <w:rFonts w:ascii="宋体" w:hAnsi="宋体" w:eastAsia="宋体" w:cs="宋体"/>
                <w:sz w:val="20"/>
                <w:szCs w:val="20"/>
              </w:rPr>
            </w:pPr>
            <w:r>
              <w:rPr>
                <w:rFonts w:ascii="宋体" w:hAnsi="宋体" w:eastAsia="宋体" w:cs="宋体"/>
                <w:spacing w:val="12"/>
                <w:sz w:val="20"/>
                <w:szCs w:val="20"/>
              </w:rPr>
              <w:t>和</w:t>
            </w:r>
            <w:r>
              <w:rPr>
                <w:rFonts w:ascii="宋体" w:hAnsi="宋体" w:eastAsia="宋体" w:cs="宋体"/>
                <w:spacing w:val="8"/>
                <w:sz w:val="20"/>
                <w:szCs w:val="20"/>
              </w:rPr>
              <w:t>年平均浓度叠加</w:t>
            </w:r>
          </w:p>
          <w:p w14:paraId="1CEBF748">
            <w:pPr>
              <w:spacing w:before="65" w:line="228" w:lineRule="auto"/>
              <w:ind w:left="787"/>
              <w:rPr>
                <w:rFonts w:ascii="宋体" w:hAnsi="宋体" w:eastAsia="宋体" w:cs="宋体"/>
                <w:sz w:val="20"/>
                <w:szCs w:val="20"/>
              </w:rPr>
            </w:pPr>
            <w:r>
              <w:rPr>
                <w:rFonts w:ascii="宋体" w:hAnsi="宋体" w:eastAsia="宋体" w:cs="宋体"/>
                <w:sz w:val="20"/>
                <w:szCs w:val="20"/>
              </w:rPr>
              <w:t>值</w:t>
            </w:r>
          </w:p>
        </w:tc>
        <w:tc>
          <w:tcPr>
            <w:tcW w:w="3780" w:type="dxa"/>
            <w:gridSpan w:val="8"/>
            <w:vAlign w:val="top"/>
          </w:tcPr>
          <w:p w14:paraId="351DB082">
            <w:pPr>
              <w:spacing w:line="300" w:lineRule="auto"/>
              <w:rPr>
                <w:rFonts w:ascii="Arial"/>
                <w:sz w:val="21"/>
              </w:rPr>
            </w:pPr>
          </w:p>
          <w:p w14:paraId="27D3E052">
            <w:pPr>
              <w:spacing w:before="65" w:line="234" w:lineRule="auto"/>
              <w:ind w:left="1389"/>
              <w:rPr>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5"/>
                <w:position w:val="-2"/>
                <w:sz w:val="10"/>
                <w:szCs w:val="10"/>
              </w:rPr>
              <w:t>叠加</w:t>
            </w:r>
            <w:r>
              <w:rPr>
                <w:rFonts w:ascii="宋体" w:hAnsi="宋体" w:eastAsia="宋体" w:cs="宋体"/>
                <w:spacing w:val="5"/>
                <w:sz w:val="20"/>
                <w:szCs w:val="20"/>
              </w:rPr>
              <w:t>达标</w:t>
            </w:r>
            <w:r>
              <w:rPr>
                <w:position w:val="-3"/>
                <w:sz w:val="20"/>
                <w:szCs w:val="20"/>
              </w:rPr>
              <w:drawing>
                <wp:inline distT="0" distB="0" distL="0" distR="0">
                  <wp:extent cx="107950" cy="13970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536"/>
                          <a:stretch>
                            <a:fillRect/>
                          </a:stretch>
                        </pic:blipFill>
                        <pic:spPr>
                          <a:xfrm>
                            <a:off x="0" y="0"/>
                            <a:ext cx="108499" cy="139748"/>
                          </a:xfrm>
                          <a:prstGeom prst="rect">
                            <a:avLst/>
                          </a:prstGeom>
                        </pic:spPr>
                      </pic:pic>
                    </a:graphicData>
                  </a:graphic>
                </wp:inline>
              </w:drawing>
            </w:r>
          </w:p>
        </w:tc>
        <w:tc>
          <w:tcPr>
            <w:tcW w:w="3795" w:type="dxa"/>
            <w:gridSpan w:val="5"/>
            <w:tcBorders>
              <w:right w:val="single" w:color="000000" w:sz="10" w:space="0"/>
            </w:tcBorders>
            <w:vAlign w:val="top"/>
          </w:tcPr>
          <w:p w14:paraId="7C01E7D8">
            <w:pPr>
              <w:spacing w:line="299" w:lineRule="auto"/>
              <w:rPr>
                <w:rFonts w:ascii="Arial"/>
                <w:sz w:val="21"/>
              </w:rPr>
            </w:pPr>
          </w:p>
          <w:p w14:paraId="0BBF2E23">
            <w:pPr>
              <w:spacing w:before="65" w:line="236" w:lineRule="auto"/>
              <w:ind w:left="1325"/>
              <w:rPr>
                <w:rFonts w:ascii="Times New Roman" w:hAnsi="Times New Roman" w:eastAsia="Times New Roman" w:cs="Times New Roman"/>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0"/>
                <w:sz w:val="20"/>
                <w:szCs w:val="20"/>
              </w:rPr>
              <w:t xml:space="preserve"> </w:t>
            </w:r>
            <w:r>
              <w:rPr>
                <w:rFonts w:ascii="宋体" w:hAnsi="宋体" w:eastAsia="宋体" w:cs="宋体"/>
                <w:spacing w:val="6"/>
                <w:position w:val="-2"/>
                <w:sz w:val="10"/>
                <w:szCs w:val="10"/>
              </w:rPr>
              <w:t>叠加</w:t>
            </w:r>
            <w:r>
              <w:rPr>
                <w:rFonts w:ascii="宋体" w:hAnsi="宋体" w:eastAsia="宋体" w:cs="宋体"/>
                <w:spacing w:val="6"/>
                <w:sz w:val="20"/>
                <w:szCs w:val="20"/>
              </w:rPr>
              <w:t>不达标</w:t>
            </w:r>
            <w:r>
              <w:rPr>
                <w:rFonts w:ascii="Times New Roman" w:hAnsi="Times New Roman" w:eastAsia="Times New Roman" w:cs="Times New Roman"/>
                <w:spacing w:val="6"/>
                <w:sz w:val="20"/>
                <w:szCs w:val="20"/>
              </w:rPr>
              <w:t>□</w:t>
            </w:r>
          </w:p>
        </w:tc>
      </w:tr>
      <w:tr w14:paraId="2F21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44" w:type="dxa"/>
            <w:vMerge w:val="continue"/>
            <w:tcBorders>
              <w:top w:val="nil"/>
              <w:left w:val="single" w:color="000000" w:sz="10" w:space="0"/>
            </w:tcBorders>
            <w:vAlign w:val="top"/>
          </w:tcPr>
          <w:p w14:paraId="76DC49C7">
            <w:pPr>
              <w:rPr>
                <w:rFonts w:ascii="Arial"/>
                <w:sz w:val="21"/>
              </w:rPr>
            </w:pPr>
          </w:p>
        </w:tc>
        <w:tc>
          <w:tcPr>
            <w:tcW w:w="1792" w:type="dxa"/>
            <w:vAlign w:val="top"/>
          </w:tcPr>
          <w:p w14:paraId="7C562C03">
            <w:pPr>
              <w:spacing w:before="55" w:line="258" w:lineRule="auto"/>
              <w:ind w:left="366" w:right="64" w:hanging="298"/>
              <w:rPr>
                <w:rFonts w:ascii="宋体" w:hAnsi="宋体" w:eastAsia="宋体" w:cs="宋体"/>
                <w:sz w:val="20"/>
                <w:szCs w:val="20"/>
              </w:rPr>
            </w:pPr>
            <w:r>
              <w:rPr>
                <w:rFonts w:ascii="宋体" w:hAnsi="宋体" w:eastAsia="宋体" w:cs="宋体"/>
                <w:spacing w:val="12"/>
                <w:sz w:val="20"/>
                <w:szCs w:val="20"/>
              </w:rPr>
              <w:t>区</w:t>
            </w:r>
            <w:r>
              <w:rPr>
                <w:rFonts w:ascii="宋体" w:hAnsi="宋体" w:eastAsia="宋体" w:cs="宋体"/>
                <w:spacing w:val="6"/>
                <w:sz w:val="20"/>
                <w:szCs w:val="20"/>
              </w:rPr>
              <w:t>域环境质量的整</w:t>
            </w:r>
            <w:r>
              <w:rPr>
                <w:rFonts w:ascii="宋体" w:hAnsi="宋体" w:eastAsia="宋体" w:cs="宋体"/>
                <w:sz w:val="20"/>
                <w:szCs w:val="20"/>
              </w:rPr>
              <w:t xml:space="preserve"> </w:t>
            </w:r>
            <w:r>
              <w:rPr>
                <w:rFonts w:ascii="宋体" w:hAnsi="宋体" w:eastAsia="宋体" w:cs="宋体"/>
                <w:spacing w:val="8"/>
                <w:sz w:val="20"/>
                <w:szCs w:val="20"/>
              </w:rPr>
              <w:t>体变化情况</w:t>
            </w:r>
          </w:p>
        </w:tc>
        <w:tc>
          <w:tcPr>
            <w:tcW w:w="3780" w:type="dxa"/>
            <w:gridSpan w:val="8"/>
            <w:vAlign w:val="top"/>
          </w:tcPr>
          <w:p w14:paraId="0F57C9DB">
            <w:pPr>
              <w:spacing w:before="173" w:line="347" w:lineRule="exact"/>
              <w:ind w:left="1458"/>
              <w:rPr>
                <w:rFonts w:ascii="微软雅黑" w:hAnsi="微软雅黑" w:eastAsia="微软雅黑" w:cs="微软雅黑"/>
                <w:sz w:val="20"/>
                <w:szCs w:val="20"/>
              </w:rPr>
            </w:pPr>
            <w:r>
              <w:rPr>
                <w:rFonts w:ascii="Times New Roman" w:hAnsi="Times New Roman" w:eastAsia="Times New Roman" w:cs="Times New Roman"/>
                <w:position w:val="4"/>
                <w:sz w:val="20"/>
                <w:szCs w:val="20"/>
              </w:rPr>
              <w:t>k</w:t>
            </w:r>
            <w:r>
              <w:rPr>
                <w:rFonts w:ascii="Times New Roman" w:hAnsi="Times New Roman" w:eastAsia="Times New Roman" w:cs="Times New Roman"/>
                <w:spacing w:val="8"/>
                <w:position w:val="4"/>
                <w:sz w:val="20"/>
                <w:szCs w:val="20"/>
              </w:rPr>
              <w:t>≤-20%</w:t>
            </w:r>
            <w:r>
              <w:rPr>
                <w:rFonts w:ascii="微软雅黑" w:hAnsi="微软雅黑" w:eastAsia="微软雅黑" w:cs="微软雅黑"/>
                <w:spacing w:val="7"/>
                <w:position w:val="4"/>
                <w:sz w:val="20"/>
                <w:szCs w:val="20"/>
              </w:rPr>
              <w:t>团</w:t>
            </w:r>
          </w:p>
        </w:tc>
        <w:tc>
          <w:tcPr>
            <w:tcW w:w="3795" w:type="dxa"/>
            <w:gridSpan w:val="5"/>
            <w:tcBorders>
              <w:right w:val="single" w:color="000000" w:sz="10" w:space="0"/>
            </w:tcBorders>
            <w:vAlign w:val="top"/>
          </w:tcPr>
          <w:p w14:paraId="53C9EA6D">
            <w:pPr>
              <w:spacing w:before="173" w:line="281" w:lineRule="exact"/>
              <w:ind w:left="14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k</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-2</w:t>
            </w:r>
            <w:r>
              <w:rPr>
                <w:rFonts w:ascii="Times New Roman" w:hAnsi="Times New Roman" w:eastAsia="Times New Roman" w:cs="Times New Roman"/>
                <w:position w:val="2"/>
                <w:sz w:val="20"/>
                <w:szCs w:val="20"/>
              </w:rPr>
              <w:t>0% □</w:t>
            </w:r>
          </w:p>
        </w:tc>
      </w:tr>
      <w:tr w14:paraId="0F321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44" w:type="dxa"/>
            <w:vMerge w:val="restart"/>
            <w:tcBorders>
              <w:left w:val="single" w:color="000000" w:sz="10" w:space="0"/>
              <w:bottom w:val="nil"/>
            </w:tcBorders>
            <w:vAlign w:val="top"/>
          </w:tcPr>
          <w:p w14:paraId="4FE4DAB9">
            <w:pPr>
              <w:spacing w:line="308" w:lineRule="auto"/>
              <w:rPr>
                <w:rFonts w:ascii="Arial"/>
                <w:sz w:val="21"/>
              </w:rPr>
            </w:pPr>
          </w:p>
          <w:p w14:paraId="2419EA7D">
            <w:pPr>
              <w:spacing w:before="65" w:line="301" w:lineRule="auto"/>
              <w:ind w:left="304" w:right="106" w:hanging="211"/>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境监测</w:t>
            </w:r>
            <w:r>
              <w:rPr>
                <w:rFonts w:ascii="宋体" w:hAnsi="宋体" w:eastAsia="宋体" w:cs="宋体"/>
                <w:sz w:val="20"/>
                <w:szCs w:val="20"/>
              </w:rPr>
              <w:t xml:space="preserve"> </w:t>
            </w:r>
            <w:r>
              <w:rPr>
                <w:rFonts w:ascii="宋体" w:hAnsi="宋体" w:eastAsia="宋体" w:cs="宋体"/>
                <w:spacing w:val="5"/>
                <w:sz w:val="20"/>
                <w:szCs w:val="20"/>
              </w:rPr>
              <w:t>计</w:t>
            </w:r>
            <w:r>
              <w:rPr>
                <w:rFonts w:ascii="宋体" w:hAnsi="宋体" w:eastAsia="宋体" w:cs="宋体"/>
                <w:spacing w:val="4"/>
                <w:sz w:val="20"/>
                <w:szCs w:val="20"/>
              </w:rPr>
              <w:t>划</w:t>
            </w:r>
          </w:p>
        </w:tc>
        <w:tc>
          <w:tcPr>
            <w:tcW w:w="1792" w:type="dxa"/>
            <w:vAlign w:val="top"/>
          </w:tcPr>
          <w:p w14:paraId="10E311A3">
            <w:pPr>
              <w:spacing w:before="213" w:line="228" w:lineRule="auto"/>
              <w:ind w:left="369"/>
              <w:rPr>
                <w:rFonts w:ascii="宋体" w:hAnsi="宋体" w:eastAsia="宋体" w:cs="宋体"/>
                <w:sz w:val="20"/>
                <w:szCs w:val="20"/>
              </w:rPr>
            </w:pPr>
            <w:r>
              <w:rPr>
                <w:rFonts w:ascii="宋体" w:hAnsi="宋体" w:eastAsia="宋体" w:cs="宋体"/>
                <w:spacing w:val="8"/>
                <w:sz w:val="20"/>
                <w:szCs w:val="20"/>
              </w:rPr>
              <w:t>污染源监</w:t>
            </w:r>
            <w:r>
              <w:rPr>
                <w:rFonts w:ascii="宋体" w:hAnsi="宋体" w:eastAsia="宋体" w:cs="宋体"/>
                <w:spacing w:val="7"/>
                <w:sz w:val="20"/>
                <w:szCs w:val="20"/>
              </w:rPr>
              <w:t>测</w:t>
            </w:r>
          </w:p>
        </w:tc>
        <w:tc>
          <w:tcPr>
            <w:tcW w:w="2519" w:type="dxa"/>
            <w:gridSpan w:val="6"/>
            <w:vAlign w:val="top"/>
          </w:tcPr>
          <w:p w14:paraId="07010C7C">
            <w:pPr>
              <w:spacing w:before="57" w:line="259" w:lineRule="auto"/>
              <w:ind w:left="393" w:hanging="368"/>
              <w:rPr>
                <w:rFonts w:ascii="宋体" w:hAnsi="宋体" w:eastAsia="宋体" w:cs="宋体"/>
                <w:sz w:val="20"/>
                <w:szCs w:val="20"/>
              </w:rPr>
            </w:pPr>
            <w:r>
              <w:rPr>
                <w:rFonts w:ascii="宋体" w:hAnsi="宋体" w:eastAsia="宋体" w:cs="宋体"/>
                <w:spacing w:val="-2"/>
                <w:sz w:val="20"/>
                <w:szCs w:val="20"/>
              </w:rPr>
              <w:t>监测因子：(</w:t>
            </w:r>
            <w:r>
              <w:rPr>
                <w:rFonts w:ascii="Times New Roman" w:hAnsi="Times New Roman" w:eastAsia="Times New Roman" w:cs="Times New Roman"/>
                <w:spacing w:val="-2"/>
                <w:sz w:val="20"/>
                <w:szCs w:val="20"/>
              </w:rPr>
              <w:t>NMHC</w:t>
            </w:r>
            <w:r>
              <w:rPr>
                <w:rFonts w:ascii="宋体" w:hAnsi="宋体" w:eastAsia="宋体" w:cs="宋体"/>
                <w:spacing w:val="-2"/>
                <w:sz w:val="20"/>
                <w:szCs w:val="20"/>
              </w:rPr>
              <w:t>、</w:t>
            </w:r>
            <w:r>
              <w:rPr>
                <w:rFonts w:ascii="Times New Roman" w:hAnsi="Times New Roman" w:eastAsia="Times New Roman" w:cs="Times New Roman"/>
                <w:spacing w:val="-2"/>
                <w:sz w:val="20"/>
                <w:szCs w:val="20"/>
              </w:rPr>
              <w:t>P</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1"/>
                <w:sz w:val="13"/>
                <w:szCs w:val="13"/>
              </w:rPr>
              <w:t>10</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SO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NOx </w:t>
            </w:r>
            <w:r>
              <w:rPr>
                <w:rFonts w:ascii="宋体" w:hAnsi="宋体" w:eastAsia="宋体" w:cs="宋体"/>
                <w:spacing w:val="-4"/>
                <w:sz w:val="20"/>
                <w:szCs w:val="20"/>
              </w:rPr>
              <w:t>、</w:t>
            </w:r>
            <w:r>
              <w:rPr>
                <w:rFonts w:ascii="Times New Roman" w:hAnsi="Times New Roman" w:eastAsia="Times New Roman" w:cs="Times New Roman"/>
                <w:spacing w:val="-4"/>
                <w:sz w:val="20"/>
                <w:szCs w:val="20"/>
              </w:rPr>
              <w:t>TSP</w:t>
            </w:r>
            <w:r>
              <w:rPr>
                <w:rFonts w:ascii="宋体" w:hAnsi="宋体" w:eastAsia="宋体" w:cs="宋体"/>
                <w:spacing w:val="-4"/>
                <w:sz w:val="20"/>
                <w:szCs w:val="20"/>
              </w:rPr>
              <w:t>)</w:t>
            </w:r>
          </w:p>
        </w:tc>
        <w:tc>
          <w:tcPr>
            <w:tcW w:w="2520" w:type="dxa"/>
            <w:gridSpan w:val="4"/>
            <w:vAlign w:val="top"/>
          </w:tcPr>
          <w:p w14:paraId="3EFE8F4E">
            <w:pPr>
              <w:spacing w:before="56" w:line="200" w:lineRule="auto"/>
              <w:ind w:left="441" w:right="426"/>
              <w:rPr>
                <w:rFonts w:ascii="微软雅黑" w:hAnsi="微软雅黑" w:eastAsia="微软雅黑" w:cs="微软雅黑"/>
                <w:sz w:val="20"/>
                <w:szCs w:val="20"/>
              </w:rPr>
            </w:pPr>
            <w:r>
              <w:rPr>
                <w:rFonts w:ascii="宋体" w:hAnsi="宋体" w:eastAsia="宋体" w:cs="宋体"/>
                <w:spacing w:val="10"/>
                <w:sz w:val="20"/>
                <w:szCs w:val="20"/>
              </w:rPr>
              <w:t>有</w:t>
            </w:r>
            <w:r>
              <w:rPr>
                <w:rFonts w:ascii="宋体" w:hAnsi="宋体" w:eastAsia="宋体" w:cs="宋体"/>
                <w:spacing w:val="6"/>
                <w:sz w:val="20"/>
                <w:szCs w:val="20"/>
              </w:rPr>
              <w:t>组</w:t>
            </w:r>
            <w:r>
              <w:rPr>
                <w:rFonts w:ascii="宋体" w:hAnsi="宋体" w:eastAsia="宋体" w:cs="宋体"/>
                <w:spacing w:val="5"/>
                <w:sz w:val="20"/>
                <w:szCs w:val="20"/>
              </w:rPr>
              <w:t>织废气监测</w:t>
            </w:r>
            <w:r>
              <w:rPr>
                <w:rFonts w:ascii="微软雅黑" w:hAnsi="微软雅黑" w:eastAsia="微软雅黑" w:cs="微软雅黑"/>
                <w:spacing w:val="5"/>
                <w:sz w:val="20"/>
                <w:szCs w:val="20"/>
              </w:rPr>
              <w:t>团</w:t>
            </w:r>
            <w:r>
              <w:rPr>
                <w:rFonts w:ascii="微软雅黑" w:hAnsi="微软雅黑" w:eastAsia="微软雅黑" w:cs="微软雅黑"/>
                <w:sz w:val="20"/>
                <w:szCs w:val="20"/>
              </w:rPr>
              <w:t xml:space="preserve"> </w:t>
            </w:r>
            <w:r>
              <w:rPr>
                <w:rFonts w:ascii="宋体" w:hAnsi="宋体" w:eastAsia="宋体" w:cs="宋体"/>
                <w:spacing w:val="10"/>
                <w:sz w:val="20"/>
                <w:szCs w:val="20"/>
              </w:rPr>
              <w:t>无</w:t>
            </w:r>
            <w:r>
              <w:rPr>
                <w:rFonts w:ascii="宋体" w:hAnsi="宋体" w:eastAsia="宋体" w:cs="宋体"/>
                <w:spacing w:val="5"/>
                <w:sz w:val="20"/>
                <w:szCs w:val="20"/>
              </w:rPr>
              <w:t>组织废气监测</w:t>
            </w:r>
            <w:r>
              <w:rPr>
                <w:rFonts w:ascii="微软雅黑" w:hAnsi="微软雅黑" w:eastAsia="微软雅黑" w:cs="微软雅黑"/>
                <w:spacing w:val="5"/>
                <w:sz w:val="20"/>
                <w:szCs w:val="20"/>
              </w:rPr>
              <w:t>团</w:t>
            </w:r>
          </w:p>
        </w:tc>
        <w:tc>
          <w:tcPr>
            <w:tcW w:w="2536" w:type="dxa"/>
            <w:gridSpan w:val="3"/>
            <w:tcBorders>
              <w:right w:val="single" w:color="000000" w:sz="10" w:space="0"/>
            </w:tcBorders>
            <w:vAlign w:val="top"/>
          </w:tcPr>
          <w:p w14:paraId="2B8E4676">
            <w:pPr>
              <w:spacing w:before="213" w:line="228" w:lineRule="auto"/>
              <w:ind w:left="901"/>
              <w:rPr>
                <w:rFonts w:ascii="Times New Roman" w:hAnsi="Times New Roman" w:eastAsia="Times New Roman" w:cs="Times New Roman"/>
                <w:sz w:val="20"/>
                <w:szCs w:val="20"/>
              </w:rPr>
            </w:pPr>
            <w:r>
              <w:rPr>
                <w:rFonts w:ascii="宋体" w:hAnsi="宋体" w:eastAsia="宋体" w:cs="宋体"/>
                <w:spacing w:val="6"/>
                <w:sz w:val="20"/>
                <w:szCs w:val="20"/>
              </w:rPr>
              <w:t>无监测</w:t>
            </w:r>
            <w:r>
              <w:rPr>
                <w:rFonts w:ascii="Times New Roman" w:hAnsi="Times New Roman" w:eastAsia="Times New Roman" w:cs="Times New Roman"/>
                <w:spacing w:val="6"/>
                <w:sz w:val="20"/>
                <w:szCs w:val="20"/>
              </w:rPr>
              <w:t>□</w:t>
            </w:r>
          </w:p>
        </w:tc>
      </w:tr>
      <w:tr w14:paraId="1257B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44" w:type="dxa"/>
            <w:vMerge w:val="continue"/>
            <w:tcBorders>
              <w:top w:val="nil"/>
              <w:left w:val="single" w:color="000000" w:sz="10" w:space="0"/>
            </w:tcBorders>
            <w:vAlign w:val="top"/>
          </w:tcPr>
          <w:p w14:paraId="761447DB">
            <w:pPr>
              <w:rPr>
                <w:rFonts w:ascii="Arial"/>
                <w:sz w:val="21"/>
              </w:rPr>
            </w:pPr>
          </w:p>
        </w:tc>
        <w:tc>
          <w:tcPr>
            <w:tcW w:w="1792" w:type="dxa"/>
            <w:vAlign w:val="top"/>
          </w:tcPr>
          <w:p w14:paraId="6EF10C43">
            <w:pPr>
              <w:spacing w:before="214" w:line="228" w:lineRule="auto"/>
              <w:ind w:left="264"/>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境质量监测</w:t>
            </w:r>
          </w:p>
        </w:tc>
        <w:tc>
          <w:tcPr>
            <w:tcW w:w="2519" w:type="dxa"/>
            <w:gridSpan w:val="6"/>
            <w:vAlign w:val="top"/>
          </w:tcPr>
          <w:p w14:paraId="010DF614">
            <w:pPr>
              <w:spacing w:before="58" w:line="259" w:lineRule="auto"/>
              <w:ind w:left="393" w:hanging="368"/>
              <w:rPr>
                <w:rFonts w:ascii="宋体" w:hAnsi="宋体" w:eastAsia="宋体" w:cs="宋体"/>
                <w:sz w:val="20"/>
                <w:szCs w:val="20"/>
              </w:rPr>
            </w:pPr>
            <w:r>
              <w:rPr>
                <w:rFonts w:ascii="宋体" w:hAnsi="宋体" w:eastAsia="宋体" w:cs="宋体"/>
                <w:spacing w:val="-2"/>
                <w:sz w:val="20"/>
                <w:szCs w:val="20"/>
              </w:rPr>
              <w:t>监测因子：(</w:t>
            </w:r>
            <w:r>
              <w:rPr>
                <w:rFonts w:ascii="Times New Roman" w:hAnsi="Times New Roman" w:eastAsia="Times New Roman" w:cs="Times New Roman"/>
                <w:spacing w:val="-2"/>
                <w:sz w:val="20"/>
                <w:szCs w:val="20"/>
              </w:rPr>
              <w:t>NMHC</w:t>
            </w:r>
            <w:r>
              <w:rPr>
                <w:rFonts w:ascii="宋体" w:hAnsi="宋体" w:eastAsia="宋体" w:cs="宋体"/>
                <w:spacing w:val="-2"/>
                <w:sz w:val="20"/>
                <w:szCs w:val="20"/>
              </w:rPr>
              <w:t>、</w:t>
            </w:r>
            <w:r>
              <w:rPr>
                <w:rFonts w:ascii="Times New Roman" w:hAnsi="Times New Roman" w:eastAsia="Times New Roman" w:cs="Times New Roman"/>
                <w:spacing w:val="-2"/>
                <w:sz w:val="20"/>
                <w:szCs w:val="20"/>
              </w:rPr>
              <w:t>P</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1"/>
                <w:sz w:val="13"/>
                <w:szCs w:val="13"/>
              </w:rPr>
              <w:t>10</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SO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NOx </w:t>
            </w:r>
            <w:r>
              <w:rPr>
                <w:rFonts w:ascii="宋体" w:hAnsi="宋体" w:eastAsia="宋体" w:cs="宋体"/>
                <w:spacing w:val="-4"/>
                <w:sz w:val="20"/>
                <w:szCs w:val="20"/>
              </w:rPr>
              <w:t>、</w:t>
            </w:r>
            <w:r>
              <w:rPr>
                <w:rFonts w:ascii="Times New Roman" w:hAnsi="Times New Roman" w:eastAsia="Times New Roman" w:cs="Times New Roman"/>
                <w:spacing w:val="-4"/>
                <w:sz w:val="20"/>
                <w:szCs w:val="20"/>
              </w:rPr>
              <w:t>TSP</w:t>
            </w:r>
            <w:r>
              <w:rPr>
                <w:rFonts w:ascii="宋体" w:hAnsi="宋体" w:eastAsia="宋体" w:cs="宋体"/>
                <w:spacing w:val="-4"/>
                <w:sz w:val="20"/>
                <w:szCs w:val="20"/>
              </w:rPr>
              <w:t>)</w:t>
            </w:r>
          </w:p>
        </w:tc>
        <w:tc>
          <w:tcPr>
            <w:tcW w:w="2520" w:type="dxa"/>
            <w:gridSpan w:val="4"/>
            <w:vAlign w:val="top"/>
          </w:tcPr>
          <w:p w14:paraId="7B1DB007">
            <w:pPr>
              <w:spacing w:before="213" w:line="228" w:lineRule="auto"/>
              <w:ind w:left="350"/>
              <w:rPr>
                <w:rFonts w:ascii="宋体" w:hAnsi="宋体" w:eastAsia="宋体" w:cs="宋体"/>
                <w:sz w:val="20"/>
                <w:szCs w:val="20"/>
              </w:rPr>
            </w:pPr>
            <w:r>
              <w:rPr>
                <w:rFonts w:ascii="宋体" w:hAnsi="宋体" w:eastAsia="宋体" w:cs="宋体"/>
                <w:spacing w:val="8"/>
                <w:sz w:val="20"/>
                <w:szCs w:val="20"/>
              </w:rPr>
              <w:t>监</w:t>
            </w:r>
            <w:r>
              <w:rPr>
                <w:rFonts w:ascii="宋体" w:hAnsi="宋体" w:eastAsia="宋体" w:cs="宋体"/>
                <w:spacing w:val="6"/>
                <w:sz w:val="20"/>
                <w:szCs w:val="20"/>
              </w:rPr>
              <w:t>测点位数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个)</w:t>
            </w:r>
          </w:p>
        </w:tc>
        <w:tc>
          <w:tcPr>
            <w:tcW w:w="2536" w:type="dxa"/>
            <w:gridSpan w:val="3"/>
            <w:tcBorders>
              <w:right w:val="single" w:color="000000" w:sz="10" w:space="0"/>
            </w:tcBorders>
            <w:vAlign w:val="top"/>
          </w:tcPr>
          <w:p w14:paraId="0E771818">
            <w:pPr>
              <w:spacing w:before="213" w:line="221" w:lineRule="auto"/>
              <w:ind w:left="870"/>
              <w:rPr>
                <w:sz w:val="20"/>
                <w:szCs w:val="20"/>
              </w:rPr>
            </w:pPr>
            <w:r>
              <w:rPr>
                <w:rFonts w:ascii="宋体" w:hAnsi="宋体" w:eastAsia="宋体" w:cs="宋体"/>
                <w:spacing w:val="7"/>
                <w:sz w:val="20"/>
                <w:szCs w:val="20"/>
              </w:rPr>
              <w:t>无</w:t>
            </w:r>
            <w:r>
              <w:rPr>
                <w:rFonts w:ascii="宋体" w:hAnsi="宋体" w:eastAsia="宋体" w:cs="宋体"/>
                <w:spacing w:val="6"/>
                <w:sz w:val="20"/>
                <w:szCs w:val="20"/>
              </w:rPr>
              <w:t>监测</w:t>
            </w:r>
            <w:r>
              <w:rPr>
                <w:position w:val="-4"/>
                <w:sz w:val="20"/>
                <w:szCs w:val="20"/>
              </w:rPr>
              <w:drawing>
                <wp:inline distT="0" distB="0" distL="0" distR="0">
                  <wp:extent cx="106680" cy="13970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535"/>
                          <a:stretch>
                            <a:fillRect/>
                          </a:stretch>
                        </pic:blipFill>
                        <pic:spPr>
                          <a:xfrm>
                            <a:off x="0" y="0"/>
                            <a:ext cx="106983" cy="139749"/>
                          </a:xfrm>
                          <a:prstGeom prst="rect">
                            <a:avLst/>
                          </a:prstGeom>
                        </pic:spPr>
                      </pic:pic>
                    </a:graphicData>
                  </a:graphic>
                </wp:inline>
              </w:drawing>
            </w:r>
          </w:p>
        </w:tc>
      </w:tr>
      <w:tr w14:paraId="46B76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restart"/>
            <w:tcBorders>
              <w:left w:val="single" w:color="000000" w:sz="10" w:space="0"/>
              <w:bottom w:val="nil"/>
            </w:tcBorders>
            <w:vAlign w:val="top"/>
          </w:tcPr>
          <w:p w14:paraId="65E753BD">
            <w:pPr>
              <w:spacing w:line="312" w:lineRule="auto"/>
              <w:rPr>
                <w:rFonts w:ascii="Arial"/>
                <w:sz w:val="21"/>
              </w:rPr>
            </w:pPr>
          </w:p>
          <w:p w14:paraId="67C05806">
            <w:pPr>
              <w:spacing w:before="65" w:line="226" w:lineRule="auto"/>
              <w:ind w:left="92"/>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价结论</w:t>
            </w:r>
          </w:p>
        </w:tc>
        <w:tc>
          <w:tcPr>
            <w:tcW w:w="1792" w:type="dxa"/>
            <w:vAlign w:val="top"/>
          </w:tcPr>
          <w:p w14:paraId="3DDC7F42">
            <w:pPr>
              <w:spacing w:before="57" w:line="228" w:lineRule="auto"/>
              <w:ind w:left="472"/>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境影响</w:t>
            </w:r>
          </w:p>
        </w:tc>
        <w:tc>
          <w:tcPr>
            <w:tcW w:w="7575" w:type="dxa"/>
            <w:gridSpan w:val="13"/>
            <w:tcBorders>
              <w:right w:val="single" w:color="000000" w:sz="10" w:space="0"/>
            </w:tcBorders>
            <w:vAlign w:val="top"/>
          </w:tcPr>
          <w:p w14:paraId="42B72CF9">
            <w:pPr>
              <w:spacing w:before="56" w:line="182" w:lineRule="auto"/>
              <w:ind w:left="2426"/>
              <w:rPr>
                <w:rFonts w:ascii="Times New Roman" w:hAnsi="Times New Roman" w:eastAsia="Times New Roman" w:cs="Times New Roman"/>
                <w:sz w:val="20"/>
                <w:szCs w:val="20"/>
              </w:rPr>
            </w:pPr>
            <w:r>
              <w:rPr>
                <w:rFonts w:ascii="宋体" w:hAnsi="宋体" w:eastAsia="宋体" w:cs="宋体"/>
                <w:spacing w:val="6"/>
                <w:sz w:val="20"/>
                <w:szCs w:val="20"/>
              </w:rPr>
              <w:t>可</w:t>
            </w:r>
            <w:r>
              <w:rPr>
                <w:rFonts w:ascii="宋体" w:hAnsi="宋体" w:eastAsia="宋体" w:cs="宋体"/>
                <w:spacing w:val="4"/>
                <w:sz w:val="20"/>
                <w:szCs w:val="20"/>
              </w:rPr>
              <w:t>以</w:t>
            </w:r>
            <w:r>
              <w:rPr>
                <w:rFonts w:ascii="宋体" w:hAnsi="宋体" w:eastAsia="宋体" w:cs="宋体"/>
                <w:spacing w:val="3"/>
                <w:sz w:val="20"/>
                <w:szCs w:val="20"/>
              </w:rPr>
              <w:t>接受</w:t>
            </w:r>
            <w:r>
              <w:rPr>
                <w:rFonts w:ascii="微软雅黑" w:hAnsi="微软雅黑" w:eastAsia="微软雅黑" w:cs="微软雅黑"/>
                <w:spacing w:val="3"/>
                <w:sz w:val="20"/>
                <w:szCs w:val="20"/>
              </w:rPr>
              <w:t xml:space="preserve">团         </w:t>
            </w:r>
            <w:r>
              <w:rPr>
                <w:rFonts w:ascii="宋体" w:hAnsi="宋体" w:eastAsia="宋体" w:cs="宋体"/>
                <w:spacing w:val="3"/>
                <w:sz w:val="20"/>
                <w:szCs w:val="20"/>
              </w:rPr>
              <w:t>不可以接受</w:t>
            </w:r>
            <w:r>
              <w:rPr>
                <w:rFonts w:ascii="Times New Roman" w:hAnsi="Times New Roman" w:eastAsia="Times New Roman" w:cs="Times New Roman"/>
                <w:spacing w:val="3"/>
                <w:sz w:val="20"/>
                <w:szCs w:val="20"/>
              </w:rPr>
              <w:t>□</w:t>
            </w:r>
          </w:p>
        </w:tc>
      </w:tr>
      <w:tr w14:paraId="21890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bottom w:val="nil"/>
            </w:tcBorders>
            <w:vAlign w:val="top"/>
          </w:tcPr>
          <w:p w14:paraId="023CFB7E">
            <w:pPr>
              <w:rPr>
                <w:rFonts w:ascii="Arial"/>
                <w:sz w:val="21"/>
              </w:rPr>
            </w:pPr>
          </w:p>
        </w:tc>
        <w:tc>
          <w:tcPr>
            <w:tcW w:w="1792" w:type="dxa"/>
            <w:vAlign w:val="top"/>
          </w:tcPr>
          <w:p w14:paraId="72EB70BE">
            <w:pPr>
              <w:spacing w:before="57" w:line="228" w:lineRule="auto"/>
              <w:ind w:left="55"/>
              <w:rPr>
                <w:rFonts w:ascii="宋体" w:hAnsi="宋体" w:eastAsia="宋体" w:cs="宋体"/>
                <w:sz w:val="20"/>
                <w:szCs w:val="20"/>
              </w:rPr>
            </w:pPr>
            <w:r>
              <w:rPr>
                <w:rFonts w:ascii="宋体" w:hAnsi="宋体" w:eastAsia="宋体" w:cs="宋体"/>
                <w:spacing w:val="11"/>
                <w:sz w:val="20"/>
                <w:szCs w:val="20"/>
              </w:rPr>
              <w:t>大</w:t>
            </w:r>
            <w:r>
              <w:rPr>
                <w:rFonts w:ascii="宋体" w:hAnsi="宋体" w:eastAsia="宋体" w:cs="宋体"/>
                <w:spacing w:val="8"/>
                <w:sz w:val="20"/>
                <w:szCs w:val="20"/>
              </w:rPr>
              <w:t>气环境防护距离</w:t>
            </w:r>
          </w:p>
        </w:tc>
        <w:tc>
          <w:tcPr>
            <w:tcW w:w="7575" w:type="dxa"/>
            <w:gridSpan w:val="13"/>
            <w:tcBorders>
              <w:right w:val="single" w:color="000000" w:sz="10" w:space="0"/>
            </w:tcBorders>
            <w:vAlign w:val="top"/>
          </w:tcPr>
          <w:p w14:paraId="7B6A543A">
            <w:pPr>
              <w:spacing w:before="19" w:line="281" w:lineRule="exact"/>
              <w:ind w:left="2702"/>
              <w:rPr>
                <w:rFonts w:ascii="Times New Roman" w:hAnsi="Times New Roman" w:eastAsia="Times New Roman" w:cs="Times New Roman"/>
                <w:sz w:val="20"/>
                <w:szCs w:val="20"/>
              </w:rPr>
            </w:pPr>
            <w:r>
              <w:rPr>
                <w:rFonts w:ascii="宋体" w:hAnsi="宋体" w:eastAsia="宋体" w:cs="宋体"/>
                <w:spacing w:val="10"/>
                <w:position w:val="1"/>
                <w:sz w:val="20"/>
                <w:szCs w:val="20"/>
              </w:rPr>
              <w:t>距</w:t>
            </w:r>
            <w:r>
              <w:rPr>
                <w:rFonts w:ascii="宋体" w:hAnsi="宋体" w:eastAsia="宋体" w:cs="宋体"/>
                <w:spacing w:val="6"/>
                <w:position w:val="1"/>
                <w:sz w:val="20"/>
                <w:szCs w:val="20"/>
              </w:rPr>
              <w:t xml:space="preserve"> (</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 厂界最远 (</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 xml:space="preserve">) </w:t>
            </w:r>
            <w:r>
              <w:rPr>
                <w:rFonts w:ascii="Times New Roman" w:hAnsi="Times New Roman" w:eastAsia="Times New Roman" w:cs="Times New Roman"/>
                <w:position w:val="1"/>
                <w:sz w:val="20"/>
                <w:szCs w:val="20"/>
              </w:rPr>
              <w:t>m</w:t>
            </w:r>
          </w:p>
        </w:tc>
      </w:tr>
      <w:tr w14:paraId="197D2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44" w:type="dxa"/>
            <w:vMerge w:val="continue"/>
            <w:tcBorders>
              <w:top w:val="nil"/>
              <w:left w:val="single" w:color="000000" w:sz="10" w:space="0"/>
            </w:tcBorders>
            <w:vAlign w:val="top"/>
          </w:tcPr>
          <w:p w14:paraId="724FB035">
            <w:pPr>
              <w:rPr>
                <w:rFonts w:ascii="Arial"/>
                <w:sz w:val="21"/>
              </w:rPr>
            </w:pPr>
          </w:p>
        </w:tc>
        <w:tc>
          <w:tcPr>
            <w:tcW w:w="1792" w:type="dxa"/>
            <w:vAlign w:val="top"/>
          </w:tcPr>
          <w:p w14:paraId="7CB37043">
            <w:pPr>
              <w:spacing w:before="56" w:line="228" w:lineRule="auto"/>
              <w:ind w:left="160"/>
              <w:rPr>
                <w:rFonts w:ascii="宋体" w:hAnsi="宋体" w:eastAsia="宋体" w:cs="宋体"/>
                <w:sz w:val="20"/>
                <w:szCs w:val="20"/>
              </w:rPr>
            </w:pPr>
            <w:r>
              <w:rPr>
                <w:rFonts w:ascii="宋体" w:hAnsi="宋体" w:eastAsia="宋体" w:cs="宋体"/>
                <w:spacing w:val="11"/>
                <w:sz w:val="20"/>
                <w:szCs w:val="20"/>
              </w:rPr>
              <w:t>污</w:t>
            </w:r>
            <w:r>
              <w:rPr>
                <w:rFonts w:ascii="宋体" w:hAnsi="宋体" w:eastAsia="宋体" w:cs="宋体"/>
                <w:spacing w:val="8"/>
                <w:sz w:val="20"/>
                <w:szCs w:val="20"/>
              </w:rPr>
              <w:t>染源年排放量</w:t>
            </w:r>
          </w:p>
        </w:tc>
        <w:tc>
          <w:tcPr>
            <w:tcW w:w="1890" w:type="dxa"/>
            <w:gridSpan w:val="4"/>
            <w:vAlign w:val="top"/>
          </w:tcPr>
          <w:p w14:paraId="30DCAAF9">
            <w:pPr>
              <w:spacing w:before="19" w:line="281"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SO</w:t>
            </w:r>
            <w:r>
              <w:rPr>
                <w:rFonts w:ascii="Times New Roman" w:hAnsi="Times New Roman" w:eastAsia="Times New Roman" w:cs="Times New Roman"/>
                <w:spacing w:val="-7"/>
                <w:sz w:val="13"/>
                <w:szCs w:val="13"/>
              </w:rPr>
              <w:t xml:space="preserve">2 </w:t>
            </w:r>
            <w:r>
              <w:rPr>
                <w:rFonts w:ascii="宋体" w:hAnsi="宋体" w:eastAsia="宋体" w:cs="宋体"/>
                <w:spacing w:val="-7"/>
                <w:position w:val="1"/>
                <w:sz w:val="20"/>
                <w:szCs w:val="20"/>
              </w:rPr>
              <w:t>：  (</w:t>
            </w:r>
            <w:r>
              <w:rPr>
                <w:rFonts w:ascii="Times New Roman" w:hAnsi="Times New Roman" w:eastAsia="Times New Roman" w:cs="Times New Roman"/>
                <w:spacing w:val="-7"/>
                <w:position w:val="1"/>
                <w:sz w:val="20"/>
                <w:szCs w:val="20"/>
              </w:rPr>
              <w:t>1. 14</w:t>
            </w:r>
            <w:r>
              <w:rPr>
                <w:rFonts w:ascii="宋体" w:hAnsi="宋体" w:eastAsia="宋体" w:cs="宋体"/>
                <w:spacing w:val="-7"/>
                <w:position w:val="1"/>
                <w:sz w:val="20"/>
                <w:szCs w:val="20"/>
              </w:rPr>
              <w:t xml:space="preserve">) </w:t>
            </w:r>
            <w:r>
              <w:rPr>
                <w:rFonts w:ascii="Times New Roman" w:hAnsi="Times New Roman" w:eastAsia="Times New Roman" w:cs="Times New Roman"/>
                <w:spacing w:val="-7"/>
                <w:position w:val="1"/>
                <w:sz w:val="20"/>
                <w:szCs w:val="20"/>
              </w:rPr>
              <w:t>t/</w:t>
            </w:r>
            <w:r>
              <w:rPr>
                <w:rFonts w:ascii="Times New Roman" w:hAnsi="Times New Roman" w:eastAsia="Times New Roman" w:cs="Times New Roman"/>
                <w:spacing w:val="-6"/>
                <w:position w:val="1"/>
                <w:sz w:val="20"/>
                <w:szCs w:val="20"/>
              </w:rPr>
              <w:t>a</w:t>
            </w:r>
          </w:p>
        </w:tc>
        <w:tc>
          <w:tcPr>
            <w:tcW w:w="1890" w:type="dxa"/>
            <w:gridSpan w:val="4"/>
            <w:vAlign w:val="top"/>
          </w:tcPr>
          <w:p w14:paraId="76567EC8">
            <w:pPr>
              <w:spacing w:before="19" w:line="281"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NO</w:t>
            </w:r>
            <w:r>
              <w:rPr>
                <w:rFonts w:ascii="Times New Roman" w:hAnsi="Times New Roman" w:eastAsia="Times New Roman" w:cs="Times New Roman"/>
                <w:spacing w:val="-3"/>
                <w:sz w:val="13"/>
                <w:szCs w:val="13"/>
              </w:rPr>
              <w:t>x</w:t>
            </w:r>
            <w:r>
              <w:rPr>
                <w:rFonts w:ascii="Times New Roman" w:hAnsi="Times New Roman" w:eastAsia="Times New Roman" w:cs="Times New Roman"/>
                <w:spacing w:val="-6"/>
                <w:sz w:val="13"/>
                <w:szCs w:val="13"/>
              </w:rPr>
              <w:t xml:space="preserve"> </w:t>
            </w:r>
            <w:r>
              <w:rPr>
                <w:rFonts w:ascii="宋体" w:hAnsi="宋体" w:eastAsia="宋体" w:cs="宋体"/>
                <w:spacing w:val="-6"/>
                <w:position w:val="1"/>
                <w:sz w:val="20"/>
                <w:szCs w:val="20"/>
              </w:rPr>
              <w:t>：</w:t>
            </w:r>
            <w:r>
              <w:rPr>
                <w:rFonts w:ascii="宋体" w:hAnsi="宋体" w:eastAsia="宋体" w:cs="宋体"/>
                <w:spacing w:val="-4"/>
                <w:position w:val="1"/>
                <w:sz w:val="20"/>
                <w:szCs w:val="20"/>
              </w:rPr>
              <w:t xml:space="preserve"> </w:t>
            </w:r>
            <w:r>
              <w:rPr>
                <w:rFonts w:ascii="宋体" w:hAnsi="宋体" w:eastAsia="宋体" w:cs="宋体"/>
                <w:spacing w:val="-3"/>
                <w:position w:val="1"/>
                <w:sz w:val="20"/>
                <w:szCs w:val="20"/>
              </w:rPr>
              <w:t xml:space="preserve"> (</w:t>
            </w:r>
            <w:r>
              <w:rPr>
                <w:rFonts w:ascii="Times New Roman" w:hAnsi="Times New Roman" w:eastAsia="Times New Roman" w:cs="Times New Roman"/>
                <w:spacing w:val="-3"/>
                <w:position w:val="1"/>
                <w:sz w:val="20"/>
                <w:szCs w:val="20"/>
              </w:rPr>
              <w:t>0.69</w:t>
            </w:r>
            <w:r>
              <w:rPr>
                <w:rFonts w:ascii="宋体" w:hAnsi="宋体" w:eastAsia="宋体" w:cs="宋体"/>
                <w:spacing w:val="-3"/>
                <w:position w:val="1"/>
                <w:sz w:val="20"/>
                <w:szCs w:val="20"/>
              </w:rPr>
              <w:t xml:space="preserve">) </w:t>
            </w:r>
            <w:r>
              <w:rPr>
                <w:rFonts w:ascii="Times New Roman" w:hAnsi="Times New Roman" w:eastAsia="Times New Roman" w:cs="Times New Roman"/>
                <w:spacing w:val="-3"/>
                <w:position w:val="1"/>
                <w:sz w:val="20"/>
                <w:szCs w:val="20"/>
              </w:rPr>
              <w:t>t/a</w:t>
            </w:r>
          </w:p>
        </w:tc>
        <w:tc>
          <w:tcPr>
            <w:tcW w:w="1986" w:type="dxa"/>
            <w:gridSpan w:val="3"/>
            <w:vAlign w:val="top"/>
          </w:tcPr>
          <w:p w14:paraId="0E5C4491">
            <w:pPr>
              <w:spacing w:before="19" w:line="281" w:lineRule="exact"/>
              <w:ind w:left="33"/>
              <w:rPr>
                <w:rFonts w:ascii="Times New Roman" w:hAnsi="Times New Roman" w:eastAsia="Times New Roman" w:cs="Times New Roman"/>
                <w:sz w:val="20"/>
                <w:szCs w:val="20"/>
              </w:rPr>
            </w:pPr>
            <w:r>
              <w:rPr>
                <w:rFonts w:ascii="宋体" w:hAnsi="宋体" w:eastAsia="宋体" w:cs="宋体"/>
                <w:spacing w:val="-1"/>
                <w:position w:val="1"/>
                <w:sz w:val="20"/>
                <w:szCs w:val="20"/>
              </w:rPr>
              <w:t>颗粒物：  (</w:t>
            </w:r>
            <w:r>
              <w:rPr>
                <w:rFonts w:ascii="Times New Roman" w:hAnsi="Times New Roman" w:eastAsia="Times New Roman" w:cs="Times New Roman"/>
                <w:spacing w:val="-1"/>
                <w:position w:val="1"/>
                <w:sz w:val="20"/>
                <w:szCs w:val="20"/>
              </w:rPr>
              <w:t>1.023</w:t>
            </w:r>
            <w:r>
              <w:rPr>
                <w:rFonts w:ascii="宋体" w:hAnsi="宋体" w:eastAsia="宋体" w:cs="宋体"/>
                <w:spacing w:val="-1"/>
                <w:position w:val="1"/>
                <w:sz w:val="20"/>
                <w:szCs w:val="20"/>
              </w:rPr>
              <w:t xml:space="preserve">) </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a</w:t>
            </w:r>
          </w:p>
        </w:tc>
        <w:tc>
          <w:tcPr>
            <w:tcW w:w="1809" w:type="dxa"/>
            <w:gridSpan w:val="2"/>
            <w:tcBorders>
              <w:right w:val="single" w:color="000000" w:sz="10" w:space="0"/>
            </w:tcBorders>
            <w:vAlign w:val="top"/>
          </w:tcPr>
          <w:p w14:paraId="6FA20589">
            <w:pPr>
              <w:spacing w:before="19" w:line="281"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VOCs</w:t>
            </w:r>
            <w:r>
              <w:rPr>
                <w:rFonts w:ascii="宋体" w:hAnsi="宋体" w:eastAsia="宋体" w:cs="宋体"/>
                <w:spacing w:val="-2"/>
                <w:position w:val="1"/>
                <w:sz w:val="20"/>
                <w:szCs w:val="20"/>
              </w:rPr>
              <w:t>：  (</w:t>
            </w:r>
            <w:r>
              <w:rPr>
                <w:rFonts w:ascii="Times New Roman" w:hAnsi="Times New Roman" w:eastAsia="Times New Roman" w:cs="Times New Roman"/>
                <w:spacing w:val="-2"/>
                <w:position w:val="1"/>
                <w:sz w:val="20"/>
                <w:szCs w:val="20"/>
              </w:rPr>
              <w:t>4.2</w:t>
            </w:r>
            <w:r>
              <w:rPr>
                <w:rFonts w:ascii="宋体" w:hAnsi="宋体" w:eastAsia="宋体" w:cs="宋体"/>
                <w:spacing w:val="-2"/>
                <w:position w:val="1"/>
                <w:sz w:val="20"/>
                <w:szCs w:val="20"/>
              </w:rPr>
              <w:t xml:space="preserve">) </w:t>
            </w:r>
            <w:r>
              <w:rPr>
                <w:rFonts w:ascii="Times New Roman" w:hAnsi="Times New Roman" w:eastAsia="Times New Roman" w:cs="Times New Roman"/>
                <w:spacing w:val="-1"/>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1"/>
                <w:position w:val="1"/>
                <w:sz w:val="20"/>
                <w:szCs w:val="20"/>
              </w:rPr>
              <w:t>a</w:t>
            </w:r>
          </w:p>
        </w:tc>
      </w:tr>
      <w:tr w14:paraId="5AE8E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411" w:type="dxa"/>
            <w:gridSpan w:val="15"/>
            <w:tcBorders>
              <w:left w:val="single" w:color="000000" w:sz="10" w:space="0"/>
              <w:right w:val="single" w:color="000000" w:sz="10" w:space="0"/>
            </w:tcBorders>
            <w:vAlign w:val="top"/>
          </w:tcPr>
          <w:p w14:paraId="5E1F99AE">
            <w:pPr>
              <w:spacing w:before="18" w:line="281" w:lineRule="exact"/>
              <w:ind w:left="21"/>
              <w:rPr>
                <w:rFonts w:ascii="宋体" w:hAnsi="宋体" w:eastAsia="宋体" w:cs="宋体"/>
                <w:sz w:val="20"/>
                <w:szCs w:val="20"/>
              </w:rPr>
            </w:pPr>
            <w:r>
              <w:rPr>
                <w:rFonts w:ascii="宋体" w:hAnsi="宋体" w:eastAsia="宋体" w:cs="宋体"/>
                <w:spacing w:val="7"/>
                <w:sz w:val="20"/>
                <w:szCs w:val="20"/>
              </w:rPr>
              <w:t>注：</w:t>
            </w:r>
            <w:r>
              <w:rPr>
                <w:rFonts w:ascii="Times New Roman" w:hAnsi="Times New Roman" w:eastAsia="Times New Roman" w:cs="Times New Roman"/>
                <w:spacing w:val="7"/>
                <w:sz w:val="20"/>
                <w:szCs w:val="20"/>
              </w:rPr>
              <w:t>“□”</w:t>
            </w:r>
            <w:r>
              <w:rPr>
                <w:rFonts w:ascii="宋体" w:hAnsi="宋体" w:eastAsia="宋体" w:cs="宋体"/>
                <w:spacing w:val="7"/>
                <w:sz w:val="20"/>
                <w:szCs w:val="20"/>
              </w:rPr>
              <w:t>为勾选项，填</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w:t>
            </w:r>
            <w:r>
              <w:rPr>
                <w:rFonts w:ascii="宋体" w:hAnsi="宋体" w:eastAsia="宋体" w:cs="宋体"/>
                <w:spacing w:val="7"/>
                <w:sz w:val="20"/>
                <w:szCs w:val="20"/>
              </w:rPr>
              <w:t>为内容填写项</w:t>
            </w:r>
          </w:p>
        </w:tc>
      </w:tr>
    </w:tbl>
    <w:p w14:paraId="218A8B88">
      <w:pPr>
        <w:rPr>
          <w:rFonts w:ascii="Arial"/>
          <w:sz w:val="21"/>
        </w:rPr>
      </w:pPr>
    </w:p>
    <w:p w14:paraId="4891B422">
      <w:pPr>
        <w:sectPr>
          <w:headerReference r:id="rId347" w:type="default"/>
          <w:footerReference r:id="rId348" w:type="default"/>
          <w:pgSz w:w="11906" w:h="16839"/>
          <w:pgMar w:top="400" w:right="734" w:bottom="1182" w:left="734" w:header="0" w:footer="1022" w:gutter="0"/>
          <w:cols w:space="720" w:num="1"/>
        </w:sectPr>
      </w:pPr>
    </w:p>
    <w:p w14:paraId="362D9000">
      <w:pPr>
        <w:spacing w:line="265" w:lineRule="auto"/>
        <w:rPr>
          <w:rFonts w:ascii="Arial"/>
          <w:sz w:val="21"/>
        </w:rPr>
      </w:pPr>
    </w:p>
    <w:p w14:paraId="6CEFB651">
      <w:pPr>
        <w:spacing w:line="265" w:lineRule="auto"/>
        <w:rPr>
          <w:rFonts w:ascii="Arial"/>
          <w:sz w:val="21"/>
        </w:rPr>
      </w:pPr>
    </w:p>
    <w:p w14:paraId="6D73F4BD">
      <w:pPr>
        <w:spacing w:line="266" w:lineRule="auto"/>
        <w:rPr>
          <w:rFonts w:ascii="Arial"/>
          <w:sz w:val="21"/>
        </w:rPr>
      </w:pPr>
    </w:p>
    <w:p w14:paraId="09A74829">
      <w:pPr>
        <w:spacing w:line="266" w:lineRule="auto"/>
        <w:rPr>
          <w:rFonts w:ascii="Arial"/>
          <w:sz w:val="21"/>
        </w:rPr>
      </w:pPr>
    </w:p>
    <w:p w14:paraId="09F0D656">
      <w:pPr>
        <w:spacing w:line="11486" w:lineRule="exact"/>
        <w:ind w:firstLine="14"/>
        <w:textAlignment w:val="center"/>
      </w:pPr>
      <w:r>
        <w:drawing>
          <wp:inline distT="0" distB="0" distL="0" distR="0">
            <wp:extent cx="5273040" cy="7293610"/>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605"/>
                    <a:stretch>
                      <a:fillRect/>
                    </a:stretch>
                  </pic:blipFill>
                  <pic:spPr>
                    <a:xfrm>
                      <a:off x="0" y="0"/>
                      <a:ext cx="5273040" cy="7293864"/>
                    </a:xfrm>
                    <a:prstGeom prst="rect">
                      <a:avLst/>
                    </a:prstGeom>
                  </pic:spPr>
                </pic:pic>
              </a:graphicData>
            </a:graphic>
          </wp:inline>
        </w:drawing>
      </w:r>
    </w:p>
    <w:p w14:paraId="291BBFC0">
      <w:pPr>
        <w:sectPr>
          <w:footerReference r:id="rId349" w:type="default"/>
          <w:pgSz w:w="11906" w:h="16839"/>
          <w:pgMar w:top="400" w:right="1785" w:bottom="1182" w:left="1785" w:header="0" w:footer="1022" w:gutter="0"/>
          <w:cols w:space="720" w:num="1"/>
        </w:sectPr>
      </w:pPr>
    </w:p>
    <w:p w14:paraId="1737D16E">
      <w:pPr>
        <w:spacing w:line="267" w:lineRule="auto"/>
        <w:rPr>
          <w:rFonts w:ascii="Arial"/>
          <w:sz w:val="21"/>
        </w:rPr>
      </w:pPr>
    </w:p>
    <w:p w14:paraId="53274A2B">
      <w:pPr>
        <w:spacing w:line="267" w:lineRule="auto"/>
        <w:rPr>
          <w:rFonts w:ascii="Arial"/>
          <w:sz w:val="21"/>
        </w:rPr>
      </w:pPr>
    </w:p>
    <w:p w14:paraId="19920EA8">
      <w:pPr>
        <w:spacing w:line="267" w:lineRule="auto"/>
        <w:rPr>
          <w:rFonts w:ascii="Arial"/>
          <w:sz w:val="21"/>
        </w:rPr>
      </w:pPr>
    </w:p>
    <w:p w14:paraId="4AC1E890">
      <w:pPr>
        <w:spacing w:line="268" w:lineRule="auto"/>
        <w:rPr>
          <w:rFonts w:ascii="Arial"/>
          <w:sz w:val="21"/>
        </w:rPr>
      </w:pPr>
    </w:p>
    <w:p w14:paraId="28AD9023">
      <w:pPr>
        <w:spacing w:before="169" w:line="223" w:lineRule="auto"/>
        <w:ind w:left="3148"/>
        <w:rPr>
          <w:rFonts w:ascii="黑体" w:hAnsi="黑体" w:eastAsia="黑体" w:cs="黑体"/>
          <w:sz w:val="52"/>
          <w:szCs w:val="52"/>
        </w:rPr>
      </w:pPr>
      <w:r>
        <w:rPr>
          <w:rFonts w:ascii="黑体" w:hAnsi="黑体" w:eastAsia="黑体" w:cs="黑体"/>
          <w:spacing w:val="3"/>
          <w:sz w:val="52"/>
          <w:szCs w:val="52"/>
          <w14:textOutline w14:w="9461" w14:cap="sq" w14:cmpd="sng">
            <w14:solidFill>
              <w14:srgbClr w14:val="000000"/>
            </w14:solidFill>
            <w14:prstDash w14:val="solid"/>
            <w14:bevel/>
          </w14:textOutline>
        </w:rPr>
        <w:t>委</w:t>
      </w:r>
      <w:r>
        <w:rPr>
          <w:rFonts w:ascii="黑体" w:hAnsi="黑体" w:eastAsia="黑体" w:cs="黑体"/>
          <w:spacing w:val="3"/>
          <w:sz w:val="52"/>
          <w:szCs w:val="52"/>
        </w:rPr>
        <w:t xml:space="preserve"> </w:t>
      </w:r>
      <w:r>
        <w:rPr>
          <w:rFonts w:ascii="黑体" w:hAnsi="黑体" w:eastAsia="黑体" w:cs="黑体"/>
          <w:spacing w:val="3"/>
          <w:sz w:val="52"/>
          <w:szCs w:val="52"/>
          <w14:textOutline w14:w="9461" w14:cap="sq" w14:cmpd="sng">
            <w14:solidFill>
              <w14:srgbClr w14:val="000000"/>
            </w14:solidFill>
            <w14:prstDash w14:val="solid"/>
            <w14:bevel/>
          </w14:textOutline>
        </w:rPr>
        <w:t>托</w:t>
      </w:r>
      <w:r>
        <w:rPr>
          <w:rFonts w:ascii="黑体" w:hAnsi="黑体" w:eastAsia="黑体" w:cs="黑体"/>
          <w:spacing w:val="3"/>
          <w:sz w:val="52"/>
          <w:szCs w:val="52"/>
        </w:rPr>
        <w:t xml:space="preserve"> </w:t>
      </w:r>
      <w:r>
        <w:rPr>
          <w:rFonts w:ascii="黑体" w:hAnsi="黑体" w:eastAsia="黑体" w:cs="黑体"/>
          <w:spacing w:val="2"/>
          <w:sz w:val="52"/>
          <w:szCs w:val="52"/>
          <w14:textOutline w14:w="9461" w14:cap="sq" w14:cmpd="sng">
            <w14:solidFill>
              <w14:srgbClr w14:val="000000"/>
            </w14:solidFill>
            <w14:prstDash w14:val="solid"/>
            <w14:bevel/>
          </w14:textOutline>
        </w:rPr>
        <w:t>书</w:t>
      </w:r>
    </w:p>
    <w:p w14:paraId="5A89AF53">
      <w:pPr>
        <w:spacing w:line="299" w:lineRule="auto"/>
        <w:rPr>
          <w:rFonts w:ascii="Arial"/>
          <w:sz w:val="21"/>
        </w:rPr>
      </w:pPr>
    </w:p>
    <w:p w14:paraId="1BEEB568">
      <w:pPr>
        <w:spacing w:line="299" w:lineRule="auto"/>
        <w:rPr>
          <w:rFonts w:ascii="Arial"/>
          <w:sz w:val="21"/>
        </w:rPr>
      </w:pPr>
    </w:p>
    <w:p w14:paraId="2C02655B">
      <w:pPr>
        <w:spacing w:before="101" w:line="224" w:lineRule="auto"/>
        <w:ind w:left="25"/>
        <w:rPr>
          <w:rFonts w:ascii="宋体" w:hAnsi="宋体" w:eastAsia="宋体" w:cs="宋体"/>
          <w:sz w:val="31"/>
          <w:szCs w:val="31"/>
        </w:rPr>
      </w:pPr>
      <w:r>
        <w:rPr>
          <w:rFonts w:ascii="宋体" w:hAnsi="宋体" w:eastAsia="宋体" w:cs="宋体"/>
          <w:spacing w:val="14"/>
          <w:sz w:val="31"/>
          <w:szCs w:val="31"/>
        </w:rPr>
        <w:t>甘</w:t>
      </w:r>
      <w:r>
        <w:rPr>
          <w:rFonts w:ascii="宋体" w:hAnsi="宋体" w:eastAsia="宋体" w:cs="宋体"/>
          <w:spacing w:val="8"/>
          <w:sz w:val="31"/>
          <w:szCs w:val="31"/>
        </w:rPr>
        <w:t>肃宜洁环境工程科技有限公司：</w:t>
      </w:r>
    </w:p>
    <w:p w14:paraId="413E1BB4">
      <w:pPr>
        <w:spacing w:line="344" w:lineRule="auto"/>
        <w:rPr>
          <w:rFonts w:ascii="Arial"/>
          <w:sz w:val="21"/>
        </w:rPr>
      </w:pPr>
    </w:p>
    <w:p w14:paraId="0D88D522">
      <w:pPr>
        <w:spacing w:line="345" w:lineRule="auto"/>
        <w:rPr>
          <w:rFonts w:ascii="Arial"/>
          <w:sz w:val="21"/>
        </w:rPr>
      </w:pPr>
    </w:p>
    <w:p w14:paraId="2B3C5520">
      <w:pPr>
        <w:spacing w:before="100" w:line="375" w:lineRule="auto"/>
        <w:ind w:left="27" w:right="13" w:firstLine="639"/>
        <w:rPr>
          <w:rFonts w:ascii="宋体" w:hAnsi="宋体" w:eastAsia="宋体" w:cs="宋体"/>
          <w:sz w:val="31"/>
          <w:szCs w:val="31"/>
        </w:rPr>
      </w:pPr>
      <w:r>
        <w:rPr>
          <w:rFonts w:ascii="宋体" w:hAnsi="宋体" w:eastAsia="宋体" w:cs="宋体"/>
          <w:spacing w:val="5"/>
          <w:sz w:val="31"/>
          <w:szCs w:val="31"/>
        </w:rPr>
        <w:t xml:space="preserve">根据中华人民共和国国务院令第 </w:t>
      </w:r>
      <w:r>
        <w:rPr>
          <w:rFonts w:ascii="Times New Roman" w:hAnsi="Times New Roman" w:eastAsia="Times New Roman" w:cs="Times New Roman"/>
          <w:spacing w:val="5"/>
          <w:sz w:val="31"/>
          <w:szCs w:val="31"/>
        </w:rPr>
        <w:t xml:space="preserve">682 </w:t>
      </w:r>
      <w:r>
        <w:rPr>
          <w:rFonts w:ascii="宋体" w:hAnsi="宋体" w:eastAsia="宋体" w:cs="宋体"/>
          <w:spacing w:val="5"/>
          <w:sz w:val="31"/>
          <w:szCs w:val="31"/>
        </w:rPr>
        <w:t>号《建设项目环境</w:t>
      </w:r>
      <w:r>
        <w:rPr>
          <w:rFonts w:ascii="宋体" w:hAnsi="宋体" w:eastAsia="宋体" w:cs="宋体"/>
          <w:sz w:val="31"/>
          <w:szCs w:val="31"/>
        </w:rPr>
        <w:t xml:space="preserve"> </w:t>
      </w:r>
      <w:r>
        <w:rPr>
          <w:rFonts w:ascii="宋体" w:hAnsi="宋体" w:eastAsia="宋体" w:cs="宋体"/>
          <w:spacing w:val="9"/>
          <w:sz w:val="31"/>
          <w:szCs w:val="31"/>
        </w:rPr>
        <w:t>保护管理条例》的规定，我单位《本溪弘福塑业有限公司</w:t>
      </w:r>
      <w:r>
        <w:rPr>
          <w:rFonts w:ascii="宋体" w:hAnsi="宋体" w:eastAsia="宋体" w:cs="宋体"/>
          <w:spacing w:val="4"/>
          <w:sz w:val="31"/>
          <w:szCs w:val="31"/>
        </w:rPr>
        <w:t>新</w:t>
      </w:r>
      <w:r>
        <w:rPr>
          <w:rFonts w:ascii="宋体" w:hAnsi="宋体" w:eastAsia="宋体" w:cs="宋体"/>
          <w:sz w:val="31"/>
          <w:szCs w:val="31"/>
        </w:rPr>
        <w:t xml:space="preserve"> </w:t>
      </w:r>
      <w:r>
        <w:rPr>
          <w:rFonts w:ascii="宋体" w:hAnsi="宋体" w:eastAsia="宋体" w:cs="宋体"/>
          <w:spacing w:val="9"/>
          <w:sz w:val="31"/>
          <w:szCs w:val="31"/>
        </w:rPr>
        <w:t>建项目》需要进行环境影响评价，特委托贵公司进行该项</w:t>
      </w:r>
      <w:r>
        <w:rPr>
          <w:rFonts w:ascii="宋体" w:hAnsi="宋体" w:eastAsia="宋体" w:cs="宋体"/>
          <w:spacing w:val="4"/>
          <w:sz w:val="31"/>
          <w:szCs w:val="31"/>
        </w:rPr>
        <w:t>目</w:t>
      </w:r>
      <w:r>
        <w:rPr>
          <w:rFonts w:ascii="宋体" w:hAnsi="宋体" w:eastAsia="宋体" w:cs="宋体"/>
          <w:sz w:val="31"/>
          <w:szCs w:val="31"/>
        </w:rPr>
        <w:t xml:space="preserve"> </w:t>
      </w:r>
      <w:r>
        <w:rPr>
          <w:rFonts w:ascii="宋体" w:hAnsi="宋体" w:eastAsia="宋体" w:cs="宋体"/>
          <w:spacing w:val="14"/>
          <w:sz w:val="31"/>
          <w:szCs w:val="31"/>
        </w:rPr>
        <w:t>的环</w:t>
      </w:r>
      <w:r>
        <w:rPr>
          <w:rFonts w:ascii="宋体" w:hAnsi="宋体" w:eastAsia="宋体" w:cs="宋体"/>
          <w:spacing w:val="9"/>
          <w:sz w:val="31"/>
          <w:szCs w:val="31"/>
        </w:rPr>
        <w:t>境</w:t>
      </w:r>
      <w:r>
        <w:rPr>
          <w:rFonts w:ascii="宋体" w:hAnsi="宋体" w:eastAsia="宋体" w:cs="宋体"/>
          <w:spacing w:val="7"/>
          <w:sz w:val="31"/>
          <w:szCs w:val="31"/>
        </w:rPr>
        <w:t>影响评价工作，望接受委托后，尽早开展工作为盼！</w:t>
      </w:r>
    </w:p>
    <w:p w14:paraId="4980500B">
      <w:pPr>
        <w:spacing w:line="425" w:lineRule="auto"/>
        <w:rPr>
          <w:rFonts w:ascii="Arial"/>
          <w:sz w:val="21"/>
        </w:rPr>
      </w:pPr>
    </w:p>
    <w:p w14:paraId="2F79685E">
      <w:pPr>
        <w:spacing w:before="100" w:line="225" w:lineRule="auto"/>
        <w:ind w:left="2588"/>
        <w:rPr>
          <w:rFonts w:ascii="宋体" w:hAnsi="宋体" w:eastAsia="宋体" w:cs="宋体"/>
          <w:sz w:val="31"/>
          <w:szCs w:val="31"/>
        </w:rPr>
      </w:pPr>
      <w:r>
        <w:rPr>
          <w:rFonts w:ascii="宋体" w:hAnsi="宋体" w:eastAsia="宋体" w:cs="宋体"/>
          <w:spacing w:val="2"/>
          <w:sz w:val="31"/>
          <w:szCs w:val="31"/>
        </w:rPr>
        <w:t>此致</w:t>
      </w:r>
    </w:p>
    <w:p w14:paraId="7813C243">
      <w:pPr>
        <w:spacing w:before="244" w:line="225" w:lineRule="auto"/>
        <w:ind w:left="26"/>
        <w:rPr>
          <w:rFonts w:ascii="宋体" w:hAnsi="宋体" w:eastAsia="宋体" w:cs="宋体"/>
          <w:sz w:val="31"/>
          <w:szCs w:val="31"/>
        </w:rPr>
      </w:pPr>
      <w:r>
        <w:rPr>
          <w:rFonts w:ascii="宋体" w:hAnsi="宋体" w:eastAsia="宋体" w:cs="宋体"/>
          <w:spacing w:val="3"/>
          <w:sz w:val="31"/>
          <w:szCs w:val="31"/>
        </w:rPr>
        <w:t>敬</w:t>
      </w:r>
      <w:r>
        <w:rPr>
          <w:rFonts w:ascii="宋体" w:hAnsi="宋体" w:eastAsia="宋体" w:cs="宋体"/>
          <w:spacing w:val="2"/>
          <w:sz w:val="31"/>
          <w:szCs w:val="31"/>
        </w:rPr>
        <w:t>礼</w:t>
      </w:r>
    </w:p>
    <w:p w14:paraId="08994947">
      <w:pPr>
        <w:spacing w:line="243" w:lineRule="auto"/>
        <w:rPr>
          <w:rFonts w:ascii="Arial"/>
          <w:sz w:val="21"/>
        </w:rPr>
      </w:pPr>
    </w:p>
    <w:p w14:paraId="5E11616B">
      <w:pPr>
        <w:spacing w:line="244" w:lineRule="auto"/>
        <w:rPr>
          <w:rFonts w:ascii="Arial"/>
          <w:sz w:val="21"/>
        </w:rPr>
      </w:pPr>
    </w:p>
    <w:p w14:paraId="25CFDCD7">
      <w:pPr>
        <w:spacing w:line="244" w:lineRule="auto"/>
        <w:rPr>
          <w:rFonts w:ascii="Arial"/>
          <w:sz w:val="21"/>
        </w:rPr>
      </w:pPr>
    </w:p>
    <w:p w14:paraId="19B85228">
      <w:pPr>
        <w:spacing w:line="244" w:lineRule="auto"/>
        <w:rPr>
          <w:rFonts w:ascii="Arial"/>
          <w:sz w:val="21"/>
        </w:rPr>
      </w:pPr>
    </w:p>
    <w:p w14:paraId="54C96C64">
      <w:pPr>
        <w:spacing w:line="244" w:lineRule="auto"/>
        <w:rPr>
          <w:rFonts w:ascii="Arial"/>
          <w:sz w:val="21"/>
        </w:rPr>
      </w:pPr>
    </w:p>
    <w:p w14:paraId="2CADA0DA">
      <w:pPr>
        <w:spacing w:line="244" w:lineRule="auto"/>
        <w:rPr>
          <w:rFonts w:ascii="Arial"/>
          <w:sz w:val="21"/>
        </w:rPr>
      </w:pPr>
    </w:p>
    <w:p w14:paraId="4029A8CB">
      <w:pPr>
        <w:spacing w:line="244" w:lineRule="auto"/>
        <w:rPr>
          <w:rFonts w:ascii="Arial"/>
          <w:sz w:val="21"/>
        </w:rPr>
      </w:pPr>
    </w:p>
    <w:p w14:paraId="4D95E936">
      <w:pPr>
        <w:spacing w:line="244" w:lineRule="auto"/>
        <w:rPr>
          <w:rFonts w:ascii="Arial"/>
          <w:sz w:val="21"/>
        </w:rPr>
      </w:pPr>
    </w:p>
    <w:p w14:paraId="6E0D004A">
      <w:pPr>
        <w:spacing w:line="244" w:lineRule="auto"/>
        <w:rPr>
          <w:rFonts w:ascii="Arial"/>
          <w:sz w:val="21"/>
        </w:rPr>
      </w:pPr>
    </w:p>
    <w:p w14:paraId="009AC649">
      <w:pPr>
        <w:spacing w:line="244" w:lineRule="auto"/>
        <w:rPr>
          <w:rFonts w:ascii="Arial"/>
          <w:sz w:val="21"/>
        </w:rPr>
      </w:pPr>
    </w:p>
    <w:p w14:paraId="42BABFCA">
      <w:pPr>
        <w:spacing w:line="244" w:lineRule="auto"/>
        <w:rPr>
          <w:rFonts w:ascii="Arial"/>
          <w:sz w:val="21"/>
        </w:rPr>
      </w:pPr>
    </w:p>
    <w:p w14:paraId="200A9FEE">
      <w:pPr>
        <w:spacing w:before="102" w:line="323" w:lineRule="auto"/>
        <w:ind w:left="5139" w:right="167" w:hanging="1761"/>
        <w:rPr>
          <w:rFonts w:ascii="宋体" w:hAnsi="宋体" w:eastAsia="宋体" w:cs="宋体"/>
          <w:sz w:val="31"/>
          <w:szCs w:val="31"/>
        </w:rPr>
      </w:pPr>
      <w:r>
        <w:rPr>
          <w:rFonts w:ascii="宋体" w:hAnsi="宋体" w:eastAsia="宋体" w:cs="宋体"/>
          <w:spacing w:val="12"/>
          <w:sz w:val="31"/>
          <w:szCs w:val="31"/>
        </w:rPr>
        <w:t>委</w:t>
      </w:r>
      <w:r>
        <w:rPr>
          <w:rFonts w:ascii="宋体" w:hAnsi="宋体" w:eastAsia="宋体" w:cs="宋体"/>
          <w:spacing w:val="9"/>
          <w:sz w:val="31"/>
          <w:szCs w:val="31"/>
        </w:rPr>
        <w:t>托单位：本溪弘福塑业有限公司</w:t>
      </w:r>
      <w:r>
        <w:rPr>
          <w:rFonts w:ascii="宋体" w:hAnsi="宋体" w:eastAsia="宋体" w:cs="宋体"/>
          <w:sz w:val="31"/>
          <w:szCs w:val="31"/>
        </w:rPr>
        <w:t xml:space="preserve"> </w:t>
      </w:r>
      <w:r>
        <w:rPr>
          <w:rFonts w:ascii="Times New Roman" w:hAnsi="Times New Roman" w:eastAsia="Times New Roman" w:cs="Times New Roman"/>
          <w:spacing w:val="-2"/>
          <w:sz w:val="31"/>
          <w:szCs w:val="31"/>
        </w:rPr>
        <w:t xml:space="preserve">2019 </w:t>
      </w:r>
      <w:r>
        <w:rPr>
          <w:rFonts w:ascii="宋体" w:hAnsi="宋体" w:eastAsia="宋体" w:cs="宋体"/>
          <w:spacing w:val="-2"/>
          <w:sz w:val="31"/>
          <w:szCs w:val="31"/>
        </w:rPr>
        <w:t xml:space="preserve">年 </w:t>
      </w:r>
      <w:r>
        <w:rPr>
          <w:rFonts w:ascii="Times New Roman" w:hAnsi="Times New Roman" w:eastAsia="Times New Roman" w:cs="Times New Roman"/>
          <w:spacing w:val="-2"/>
          <w:sz w:val="31"/>
          <w:szCs w:val="31"/>
        </w:rPr>
        <w:t xml:space="preserve">6 </w:t>
      </w:r>
      <w:r>
        <w:rPr>
          <w:rFonts w:ascii="宋体" w:hAnsi="宋体" w:eastAsia="宋体" w:cs="宋体"/>
          <w:spacing w:val="-2"/>
          <w:sz w:val="31"/>
          <w:szCs w:val="31"/>
        </w:rPr>
        <w:t xml:space="preserve">月 </w:t>
      </w:r>
      <w:r>
        <w:rPr>
          <w:rFonts w:ascii="Times New Roman" w:hAnsi="Times New Roman" w:eastAsia="Times New Roman" w:cs="Times New Roman"/>
          <w:spacing w:val="-2"/>
          <w:sz w:val="31"/>
          <w:szCs w:val="31"/>
        </w:rPr>
        <w:t>2</w:t>
      </w:r>
      <w:r>
        <w:rPr>
          <w:rFonts w:ascii="Times New Roman" w:hAnsi="Times New Roman" w:eastAsia="Times New Roman" w:cs="Times New Roman"/>
          <w:spacing w:val="-1"/>
          <w:sz w:val="31"/>
          <w:szCs w:val="31"/>
        </w:rPr>
        <w:t xml:space="preserve">4 </w:t>
      </w:r>
      <w:r>
        <w:rPr>
          <w:rFonts w:ascii="宋体" w:hAnsi="宋体" w:eastAsia="宋体" w:cs="宋体"/>
          <w:spacing w:val="-1"/>
          <w:sz w:val="31"/>
          <w:szCs w:val="31"/>
        </w:rPr>
        <w:t>日</w:t>
      </w:r>
    </w:p>
    <w:p w14:paraId="2A84DAE1">
      <w:pPr>
        <w:sectPr>
          <w:footerReference r:id="rId350" w:type="default"/>
          <w:pgSz w:w="11906" w:h="16839"/>
          <w:pgMar w:top="400" w:right="1785" w:bottom="1156" w:left="1785" w:header="0" w:footer="996" w:gutter="0"/>
          <w:cols w:space="720" w:num="1"/>
        </w:sectPr>
      </w:pPr>
    </w:p>
    <w:p w14:paraId="755D8B84">
      <w:pPr>
        <w:spacing w:line="273" w:lineRule="auto"/>
        <w:rPr>
          <w:rFonts w:ascii="Arial"/>
          <w:sz w:val="21"/>
        </w:rPr>
      </w:pPr>
    </w:p>
    <w:p w14:paraId="1DC65B95">
      <w:pPr>
        <w:spacing w:line="273" w:lineRule="auto"/>
        <w:rPr>
          <w:rFonts w:ascii="Arial"/>
          <w:sz w:val="21"/>
        </w:rPr>
      </w:pPr>
    </w:p>
    <w:p w14:paraId="01E0771B">
      <w:pPr>
        <w:spacing w:line="273" w:lineRule="auto"/>
        <w:rPr>
          <w:rFonts w:ascii="Arial"/>
          <w:sz w:val="21"/>
        </w:rPr>
      </w:pPr>
    </w:p>
    <w:p w14:paraId="4C53C75D">
      <w:pPr>
        <w:spacing w:line="274" w:lineRule="auto"/>
        <w:rPr>
          <w:rFonts w:ascii="Arial"/>
          <w:sz w:val="21"/>
        </w:rPr>
      </w:pPr>
    </w:p>
    <w:p w14:paraId="5708D04F">
      <w:pPr>
        <w:spacing w:line="11733" w:lineRule="exact"/>
        <w:ind w:firstLine="14"/>
        <w:textAlignment w:val="center"/>
      </w:pPr>
      <w:r>
        <w:drawing>
          <wp:inline distT="0" distB="0" distL="0" distR="0">
            <wp:extent cx="5271135" cy="745045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606"/>
                    <a:stretch>
                      <a:fillRect/>
                    </a:stretch>
                  </pic:blipFill>
                  <pic:spPr>
                    <a:xfrm>
                      <a:off x="0" y="0"/>
                      <a:ext cx="5271515" cy="7450835"/>
                    </a:xfrm>
                    <a:prstGeom prst="rect">
                      <a:avLst/>
                    </a:prstGeom>
                  </pic:spPr>
                </pic:pic>
              </a:graphicData>
            </a:graphic>
          </wp:inline>
        </w:drawing>
      </w:r>
    </w:p>
    <w:p w14:paraId="01D31293">
      <w:pPr>
        <w:sectPr>
          <w:footerReference r:id="rId351" w:type="default"/>
          <w:pgSz w:w="11906" w:h="16839"/>
          <w:pgMar w:top="400" w:right="1785" w:bottom="1156" w:left="1785" w:header="0" w:footer="996" w:gutter="0"/>
          <w:cols w:space="720" w:num="1"/>
        </w:sectPr>
      </w:pPr>
    </w:p>
    <w:p w14:paraId="6B6929D0">
      <w:pPr>
        <w:spacing w:line="292" w:lineRule="auto"/>
        <w:rPr>
          <w:rFonts w:ascii="Arial"/>
          <w:sz w:val="21"/>
        </w:rPr>
      </w:pPr>
    </w:p>
    <w:p w14:paraId="7CD9AB2A">
      <w:pPr>
        <w:spacing w:line="292" w:lineRule="auto"/>
        <w:rPr>
          <w:rFonts w:ascii="Arial"/>
          <w:sz w:val="21"/>
        </w:rPr>
      </w:pPr>
    </w:p>
    <w:p w14:paraId="6AC46306">
      <w:pPr>
        <w:spacing w:line="292" w:lineRule="auto"/>
        <w:rPr>
          <w:rFonts w:ascii="Arial"/>
          <w:sz w:val="21"/>
        </w:rPr>
      </w:pPr>
    </w:p>
    <w:p w14:paraId="381AF473">
      <w:pPr>
        <w:spacing w:line="292" w:lineRule="auto"/>
        <w:rPr>
          <w:rFonts w:ascii="Arial"/>
          <w:sz w:val="21"/>
        </w:rPr>
      </w:pPr>
    </w:p>
    <w:p w14:paraId="057381B8">
      <w:pPr>
        <w:spacing w:line="12523" w:lineRule="exact"/>
        <w:ind w:firstLine="14"/>
        <w:textAlignment w:val="center"/>
      </w:pPr>
      <w:r>
        <w:drawing>
          <wp:inline distT="0" distB="0" distL="0" distR="0">
            <wp:extent cx="5626100" cy="7952105"/>
            <wp:effectExtent l="0" t="0" r="0" b="0"/>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607"/>
                    <a:stretch>
                      <a:fillRect/>
                    </a:stretch>
                  </pic:blipFill>
                  <pic:spPr>
                    <a:xfrm>
                      <a:off x="0" y="0"/>
                      <a:ext cx="5626608" cy="7952231"/>
                    </a:xfrm>
                    <a:prstGeom prst="rect">
                      <a:avLst/>
                    </a:prstGeom>
                  </pic:spPr>
                </pic:pic>
              </a:graphicData>
            </a:graphic>
          </wp:inline>
        </w:drawing>
      </w:r>
    </w:p>
    <w:p w14:paraId="3010D27E">
      <w:pPr>
        <w:sectPr>
          <w:footerReference r:id="rId352" w:type="default"/>
          <w:pgSz w:w="11906" w:h="16839"/>
          <w:pgMar w:top="400" w:right="1245" w:bottom="1156" w:left="1785" w:header="0" w:footer="996" w:gutter="0"/>
          <w:cols w:space="720" w:num="1"/>
        </w:sectPr>
      </w:pPr>
    </w:p>
    <w:p w14:paraId="2A441B28">
      <w:pPr>
        <w:spacing w:line="276" w:lineRule="auto"/>
        <w:rPr>
          <w:rFonts w:ascii="Arial"/>
          <w:sz w:val="21"/>
        </w:rPr>
      </w:pPr>
    </w:p>
    <w:p w14:paraId="4A883EA8">
      <w:pPr>
        <w:spacing w:line="276" w:lineRule="auto"/>
        <w:rPr>
          <w:rFonts w:ascii="Arial"/>
          <w:sz w:val="21"/>
        </w:rPr>
      </w:pPr>
    </w:p>
    <w:p w14:paraId="018278D6">
      <w:pPr>
        <w:spacing w:line="276" w:lineRule="auto"/>
        <w:rPr>
          <w:rFonts w:ascii="Arial"/>
          <w:sz w:val="21"/>
        </w:rPr>
      </w:pPr>
    </w:p>
    <w:p w14:paraId="0D4B696D">
      <w:pPr>
        <w:spacing w:line="277" w:lineRule="auto"/>
        <w:rPr>
          <w:rFonts w:ascii="Arial"/>
          <w:sz w:val="21"/>
        </w:rPr>
      </w:pPr>
    </w:p>
    <w:p w14:paraId="238B2E90">
      <w:pPr>
        <w:spacing w:line="12336" w:lineRule="exact"/>
        <w:ind w:firstLine="14"/>
        <w:textAlignment w:val="center"/>
      </w:pPr>
      <w:r>
        <w:drawing>
          <wp:inline distT="0" distB="0" distL="0" distR="0">
            <wp:extent cx="5217795" cy="783272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608"/>
                    <a:stretch>
                      <a:fillRect/>
                    </a:stretch>
                  </pic:blipFill>
                  <pic:spPr>
                    <a:xfrm>
                      <a:off x="0" y="0"/>
                      <a:ext cx="5218175" cy="7833359"/>
                    </a:xfrm>
                    <a:prstGeom prst="rect">
                      <a:avLst/>
                    </a:prstGeom>
                  </pic:spPr>
                </pic:pic>
              </a:graphicData>
            </a:graphic>
          </wp:inline>
        </w:drawing>
      </w:r>
    </w:p>
    <w:p w14:paraId="400A986F">
      <w:pPr>
        <w:sectPr>
          <w:footerReference r:id="rId353" w:type="default"/>
          <w:pgSz w:w="11906" w:h="16839"/>
          <w:pgMar w:top="400" w:right="1785" w:bottom="1156" w:left="1785" w:header="0" w:footer="996" w:gutter="0"/>
          <w:cols w:space="720" w:num="1"/>
        </w:sectPr>
      </w:pPr>
    </w:p>
    <w:p w14:paraId="7A9655F5">
      <w:pPr>
        <w:spacing w:line="273" w:lineRule="auto"/>
        <w:rPr>
          <w:rFonts w:ascii="Arial"/>
          <w:sz w:val="21"/>
        </w:rPr>
      </w:pPr>
    </w:p>
    <w:p w14:paraId="1EAAFD26">
      <w:pPr>
        <w:spacing w:line="273" w:lineRule="auto"/>
        <w:rPr>
          <w:rFonts w:ascii="Arial"/>
          <w:sz w:val="21"/>
        </w:rPr>
      </w:pPr>
    </w:p>
    <w:p w14:paraId="3FAEA949">
      <w:pPr>
        <w:spacing w:line="273" w:lineRule="auto"/>
        <w:rPr>
          <w:rFonts w:ascii="Arial"/>
          <w:sz w:val="21"/>
        </w:rPr>
      </w:pPr>
    </w:p>
    <w:p w14:paraId="1B7EE2F0">
      <w:pPr>
        <w:spacing w:line="274" w:lineRule="auto"/>
        <w:rPr>
          <w:rFonts w:ascii="Arial"/>
          <w:sz w:val="21"/>
        </w:rPr>
      </w:pPr>
    </w:p>
    <w:p w14:paraId="52BF6E9E">
      <w:pPr>
        <w:spacing w:line="11733" w:lineRule="exact"/>
        <w:ind w:firstLine="14"/>
        <w:textAlignment w:val="center"/>
      </w:pPr>
      <w:r>
        <w:drawing>
          <wp:inline distT="0" distB="0" distL="0" distR="0">
            <wp:extent cx="5271135" cy="7450455"/>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609"/>
                    <a:stretch>
                      <a:fillRect/>
                    </a:stretch>
                  </pic:blipFill>
                  <pic:spPr>
                    <a:xfrm>
                      <a:off x="0" y="0"/>
                      <a:ext cx="5271515" cy="7450835"/>
                    </a:xfrm>
                    <a:prstGeom prst="rect">
                      <a:avLst/>
                    </a:prstGeom>
                  </pic:spPr>
                </pic:pic>
              </a:graphicData>
            </a:graphic>
          </wp:inline>
        </w:drawing>
      </w:r>
    </w:p>
    <w:p w14:paraId="417F2D30">
      <w:pPr>
        <w:sectPr>
          <w:footerReference r:id="rId354" w:type="default"/>
          <w:pgSz w:w="11906" w:h="16839"/>
          <w:pgMar w:top="400" w:right="1785" w:bottom="1156" w:left="1785" w:header="0" w:footer="996" w:gutter="0"/>
          <w:cols w:space="720" w:num="1"/>
        </w:sectPr>
      </w:pPr>
    </w:p>
    <w:p w14:paraId="5DFCF71B">
      <w:pPr>
        <w:spacing w:line="273" w:lineRule="auto"/>
        <w:rPr>
          <w:rFonts w:ascii="Arial"/>
          <w:sz w:val="21"/>
        </w:rPr>
      </w:pPr>
    </w:p>
    <w:p w14:paraId="36940F11">
      <w:pPr>
        <w:spacing w:line="273" w:lineRule="auto"/>
        <w:rPr>
          <w:rFonts w:ascii="Arial"/>
          <w:sz w:val="21"/>
        </w:rPr>
      </w:pPr>
    </w:p>
    <w:p w14:paraId="6B613BB2">
      <w:pPr>
        <w:spacing w:line="273" w:lineRule="auto"/>
        <w:rPr>
          <w:rFonts w:ascii="Arial"/>
          <w:sz w:val="21"/>
        </w:rPr>
      </w:pPr>
    </w:p>
    <w:p w14:paraId="1E950242">
      <w:pPr>
        <w:spacing w:line="274" w:lineRule="auto"/>
        <w:rPr>
          <w:rFonts w:ascii="Arial"/>
          <w:sz w:val="21"/>
        </w:rPr>
      </w:pPr>
    </w:p>
    <w:p w14:paraId="378DCA99">
      <w:pPr>
        <w:spacing w:line="11733" w:lineRule="exact"/>
        <w:ind w:firstLine="14"/>
        <w:textAlignment w:val="center"/>
      </w:pPr>
      <w:r>
        <w:drawing>
          <wp:inline distT="0" distB="0" distL="0" distR="0">
            <wp:extent cx="5271135" cy="745045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610"/>
                    <a:stretch>
                      <a:fillRect/>
                    </a:stretch>
                  </pic:blipFill>
                  <pic:spPr>
                    <a:xfrm>
                      <a:off x="0" y="0"/>
                      <a:ext cx="5271515" cy="7450835"/>
                    </a:xfrm>
                    <a:prstGeom prst="rect">
                      <a:avLst/>
                    </a:prstGeom>
                  </pic:spPr>
                </pic:pic>
              </a:graphicData>
            </a:graphic>
          </wp:inline>
        </w:drawing>
      </w:r>
    </w:p>
    <w:p w14:paraId="5CEAACF0">
      <w:pPr>
        <w:sectPr>
          <w:footerReference r:id="rId355" w:type="default"/>
          <w:pgSz w:w="11906" w:h="16839"/>
          <w:pgMar w:top="400" w:right="1785" w:bottom="1156" w:left="1785" w:header="0" w:footer="996" w:gutter="0"/>
          <w:cols w:space="720" w:num="1"/>
        </w:sectPr>
      </w:pPr>
    </w:p>
    <w:p w14:paraId="1350B972">
      <w:pPr>
        <w:spacing w:line="273" w:lineRule="auto"/>
        <w:rPr>
          <w:rFonts w:ascii="Arial"/>
          <w:sz w:val="21"/>
        </w:rPr>
      </w:pPr>
    </w:p>
    <w:p w14:paraId="4A7012D0">
      <w:pPr>
        <w:spacing w:line="273" w:lineRule="auto"/>
        <w:rPr>
          <w:rFonts w:ascii="Arial"/>
          <w:sz w:val="21"/>
        </w:rPr>
      </w:pPr>
    </w:p>
    <w:p w14:paraId="33E5A8B3">
      <w:pPr>
        <w:spacing w:line="273" w:lineRule="auto"/>
        <w:rPr>
          <w:rFonts w:ascii="Arial"/>
          <w:sz w:val="21"/>
        </w:rPr>
      </w:pPr>
    </w:p>
    <w:p w14:paraId="3FCA69A9">
      <w:pPr>
        <w:spacing w:line="274" w:lineRule="auto"/>
        <w:rPr>
          <w:rFonts w:ascii="Arial"/>
          <w:sz w:val="21"/>
        </w:rPr>
      </w:pPr>
    </w:p>
    <w:p w14:paraId="044D9173">
      <w:pPr>
        <w:spacing w:line="11733" w:lineRule="exact"/>
        <w:ind w:firstLine="14"/>
        <w:textAlignment w:val="center"/>
      </w:pPr>
      <w:r>
        <w:drawing>
          <wp:inline distT="0" distB="0" distL="0" distR="0">
            <wp:extent cx="5271135" cy="7450455"/>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611"/>
                    <a:stretch>
                      <a:fillRect/>
                    </a:stretch>
                  </pic:blipFill>
                  <pic:spPr>
                    <a:xfrm>
                      <a:off x="0" y="0"/>
                      <a:ext cx="5271515" cy="7450835"/>
                    </a:xfrm>
                    <a:prstGeom prst="rect">
                      <a:avLst/>
                    </a:prstGeom>
                  </pic:spPr>
                </pic:pic>
              </a:graphicData>
            </a:graphic>
          </wp:inline>
        </w:drawing>
      </w:r>
    </w:p>
    <w:p w14:paraId="464BE534">
      <w:pPr>
        <w:sectPr>
          <w:footerReference r:id="rId356" w:type="default"/>
          <w:pgSz w:w="11906" w:h="16839"/>
          <w:pgMar w:top="400" w:right="1785" w:bottom="1156" w:left="1785" w:header="0" w:footer="996" w:gutter="0"/>
          <w:cols w:space="720" w:num="1"/>
        </w:sectPr>
      </w:pPr>
    </w:p>
    <w:p w14:paraId="54C70AFC">
      <w:pPr>
        <w:spacing w:line="273" w:lineRule="auto"/>
        <w:rPr>
          <w:rFonts w:ascii="Arial"/>
          <w:sz w:val="21"/>
        </w:rPr>
      </w:pPr>
    </w:p>
    <w:p w14:paraId="34C93DF1">
      <w:pPr>
        <w:spacing w:line="273" w:lineRule="auto"/>
        <w:rPr>
          <w:rFonts w:ascii="Arial"/>
          <w:sz w:val="21"/>
        </w:rPr>
      </w:pPr>
    </w:p>
    <w:p w14:paraId="26C8BAB4">
      <w:pPr>
        <w:spacing w:line="273" w:lineRule="auto"/>
        <w:rPr>
          <w:rFonts w:ascii="Arial"/>
          <w:sz w:val="21"/>
        </w:rPr>
      </w:pPr>
    </w:p>
    <w:p w14:paraId="607EBC77">
      <w:pPr>
        <w:spacing w:line="274" w:lineRule="auto"/>
        <w:rPr>
          <w:rFonts w:ascii="Arial"/>
          <w:sz w:val="21"/>
        </w:rPr>
      </w:pPr>
    </w:p>
    <w:p w14:paraId="020EDA87">
      <w:pPr>
        <w:spacing w:line="11733" w:lineRule="exact"/>
        <w:ind w:firstLine="14"/>
        <w:textAlignment w:val="center"/>
      </w:pPr>
      <w:r>
        <w:drawing>
          <wp:inline distT="0" distB="0" distL="0" distR="0">
            <wp:extent cx="5271135" cy="745045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612"/>
                    <a:stretch>
                      <a:fillRect/>
                    </a:stretch>
                  </pic:blipFill>
                  <pic:spPr>
                    <a:xfrm>
                      <a:off x="0" y="0"/>
                      <a:ext cx="5271515" cy="7450835"/>
                    </a:xfrm>
                    <a:prstGeom prst="rect">
                      <a:avLst/>
                    </a:prstGeom>
                  </pic:spPr>
                </pic:pic>
              </a:graphicData>
            </a:graphic>
          </wp:inline>
        </w:drawing>
      </w:r>
    </w:p>
    <w:p w14:paraId="48FF49C8">
      <w:pPr>
        <w:sectPr>
          <w:footerReference r:id="rId357" w:type="default"/>
          <w:pgSz w:w="11906" w:h="16839"/>
          <w:pgMar w:top="400" w:right="1785" w:bottom="1156" w:left="1785" w:header="0" w:footer="996" w:gutter="0"/>
          <w:cols w:space="720" w:num="1"/>
        </w:sectPr>
      </w:pPr>
    </w:p>
    <w:p w14:paraId="49E4A06E">
      <w:pPr>
        <w:spacing w:line="273" w:lineRule="auto"/>
        <w:rPr>
          <w:rFonts w:ascii="Arial"/>
          <w:sz w:val="21"/>
        </w:rPr>
      </w:pPr>
    </w:p>
    <w:p w14:paraId="2F1C106E">
      <w:pPr>
        <w:spacing w:line="273" w:lineRule="auto"/>
        <w:rPr>
          <w:rFonts w:ascii="Arial"/>
          <w:sz w:val="21"/>
        </w:rPr>
      </w:pPr>
    </w:p>
    <w:p w14:paraId="3676D7F5">
      <w:pPr>
        <w:spacing w:line="273" w:lineRule="auto"/>
        <w:rPr>
          <w:rFonts w:ascii="Arial"/>
          <w:sz w:val="21"/>
        </w:rPr>
      </w:pPr>
    </w:p>
    <w:p w14:paraId="40F7B3B6">
      <w:pPr>
        <w:spacing w:line="274" w:lineRule="auto"/>
        <w:rPr>
          <w:rFonts w:ascii="Arial"/>
          <w:sz w:val="21"/>
        </w:rPr>
      </w:pPr>
    </w:p>
    <w:p w14:paraId="6D2442C0">
      <w:pPr>
        <w:spacing w:line="11733" w:lineRule="exact"/>
        <w:ind w:firstLine="14"/>
        <w:textAlignment w:val="center"/>
      </w:pPr>
      <w:r>
        <w:drawing>
          <wp:inline distT="0" distB="0" distL="0" distR="0">
            <wp:extent cx="5271135" cy="7450455"/>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613"/>
                    <a:stretch>
                      <a:fillRect/>
                    </a:stretch>
                  </pic:blipFill>
                  <pic:spPr>
                    <a:xfrm>
                      <a:off x="0" y="0"/>
                      <a:ext cx="5271515" cy="7450835"/>
                    </a:xfrm>
                    <a:prstGeom prst="rect">
                      <a:avLst/>
                    </a:prstGeom>
                  </pic:spPr>
                </pic:pic>
              </a:graphicData>
            </a:graphic>
          </wp:inline>
        </w:drawing>
      </w:r>
    </w:p>
    <w:p w14:paraId="7AAE5751">
      <w:pPr>
        <w:sectPr>
          <w:footerReference r:id="rId358" w:type="default"/>
          <w:pgSz w:w="11906" w:h="16839"/>
          <w:pgMar w:top="400" w:right="1785" w:bottom="1156" w:left="1785" w:header="0" w:footer="996" w:gutter="0"/>
          <w:cols w:space="720" w:num="1"/>
        </w:sectPr>
      </w:pPr>
    </w:p>
    <w:p w14:paraId="35B084A9">
      <w:pPr>
        <w:spacing w:line="273" w:lineRule="auto"/>
        <w:rPr>
          <w:rFonts w:ascii="Arial"/>
          <w:sz w:val="21"/>
        </w:rPr>
      </w:pPr>
    </w:p>
    <w:p w14:paraId="1DD5B0CD">
      <w:pPr>
        <w:spacing w:line="273" w:lineRule="auto"/>
        <w:rPr>
          <w:rFonts w:ascii="Arial"/>
          <w:sz w:val="21"/>
        </w:rPr>
      </w:pPr>
    </w:p>
    <w:p w14:paraId="3A61B97C">
      <w:pPr>
        <w:spacing w:line="273" w:lineRule="auto"/>
        <w:rPr>
          <w:rFonts w:ascii="Arial"/>
          <w:sz w:val="21"/>
        </w:rPr>
      </w:pPr>
    </w:p>
    <w:p w14:paraId="3889032B">
      <w:pPr>
        <w:spacing w:line="274" w:lineRule="auto"/>
        <w:rPr>
          <w:rFonts w:ascii="Arial"/>
          <w:sz w:val="21"/>
        </w:rPr>
      </w:pPr>
    </w:p>
    <w:p w14:paraId="5B27C4AB">
      <w:pPr>
        <w:spacing w:line="11733" w:lineRule="exact"/>
        <w:ind w:firstLine="14"/>
        <w:textAlignment w:val="center"/>
      </w:pPr>
      <w:r>
        <w:drawing>
          <wp:inline distT="0" distB="0" distL="0" distR="0">
            <wp:extent cx="5271135" cy="745045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614"/>
                    <a:stretch>
                      <a:fillRect/>
                    </a:stretch>
                  </pic:blipFill>
                  <pic:spPr>
                    <a:xfrm>
                      <a:off x="0" y="0"/>
                      <a:ext cx="5271515" cy="7450835"/>
                    </a:xfrm>
                    <a:prstGeom prst="rect">
                      <a:avLst/>
                    </a:prstGeom>
                  </pic:spPr>
                </pic:pic>
              </a:graphicData>
            </a:graphic>
          </wp:inline>
        </w:drawing>
      </w:r>
    </w:p>
    <w:p w14:paraId="2AB0E42F">
      <w:pPr>
        <w:sectPr>
          <w:footerReference r:id="rId359" w:type="default"/>
          <w:pgSz w:w="11906" w:h="16839"/>
          <w:pgMar w:top="400" w:right="1785" w:bottom="1156" w:left="1785" w:header="0" w:footer="996" w:gutter="0"/>
          <w:cols w:space="720" w:num="1"/>
        </w:sectPr>
      </w:pPr>
    </w:p>
    <w:p w14:paraId="6CE2BA53">
      <w:pPr>
        <w:spacing w:line="273" w:lineRule="auto"/>
        <w:rPr>
          <w:rFonts w:ascii="Arial"/>
          <w:sz w:val="21"/>
        </w:rPr>
      </w:pPr>
    </w:p>
    <w:p w14:paraId="1EA3541D">
      <w:pPr>
        <w:spacing w:line="273" w:lineRule="auto"/>
        <w:rPr>
          <w:rFonts w:ascii="Arial"/>
          <w:sz w:val="21"/>
        </w:rPr>
      </w:pPr>
    </w:p>
    <w:p w14:paraId="1EBCEB8C">
      <w:pPr>
        <w:spacing w:line="273" w:lineRule="auto"/>
        <w:rPr>
          <w:rFonts w:ascii="Arial"/>
          <w:sz w:val="21"/>
        </w:rPr>
      </w:pPr>
    </w:p>
    <w:p w14:paraId="0E2029F9">
      <w:pPr>
        <w:spacing w:line="274" w:lineRule="auto"/>
        <w:rPr>
          <w:rFonts w:ascii="Arial"/>
          <w:sz w:val="21"/>
        </w:rPr>
      </w:pPr>
    </w:p>
    <w:p w14:paraId="75740BD1">
      <w:pPr>
        <w:spacing w:line="11733" w:lineRule="exact"/>
        <w:ind w:firstLine="14"/>
        <w:textAlignment w:val="center"/>
      </w:pPr>
      <w:r>
        <w:drawing>
          <wp:inline distT="0" distB="0" distL="0" distR="0">
            <wp:extent cx="5271135" cy="7450455"/>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615"/>
                    <a:stretch>
                      <a:fillRect/>
                    </a:stretch>
                  </pic:blipFill>
                  <pic:spPr>
                    <a:xfrm>
                      <a:off x="0" y="0"/>
                      <a:ext cx="5271515" cy="7450835"/>
                    </a:xfrm>
                    <a:prstGeom prst="rect">
                      <a:avLst/>
                    </a:prstGeom>
                  </pic:spPr>
                </pic:pic>
              </a:graphicData>
            </a:graphic>
          </wp:inline>
        </w:drawing>
      </w:r>
    </w:p>
    <w:p w14:paraId="286B25FC">
      <w:pPr>
        <w:sectPr>
          <w:footerReference r:id="rId360" w:type="default"/>
          <w:pgSz w:w="11906" w:h="16839"/>
          <w:pgMar w:top="400" w:right="1785" w:bottom="1156" w:left="1785" w:header="0" w:footer="996" w:gutter="0"/>
          <w:cols w:space="720" w:num="1"/>
        </w:sectPr>
      </w:pPr>
    </w:p>
    <w:p w14:paraId="0C12A334">
      <w:pPr>
        <w:spacing w:line="273" w:lineRule="auto"/>
        <w:rPr>
          <w:rFonts w:ascii="Arial"/>
          <w:sz w:val="21"/>
        </w:rPr>
      </w:pPr>
    </w:p>
    <w:p w14:paraId="343E35DB">
      <w:pPr>
        <w:spacing w:line="273" w:lineRule="auto"/>
        <w:rPr>
          <w:rFonts w:ascii="Arial"/>
          <w:sz w:val="21"/>
        </w:rPr>
      </w:pPr>
    </w:p>
    <w:p w14:paraId="3F48BE9E">
      <w:pPr>
        <w:spacing w:line="273" w:lineRule="auto"/>
        <w:rPr>
          <w:rFonts w:ascii="Arial"/>
          <w:sz w:val="21"/>
        </w:rPr>
      </w:pPr>
    </w:p>
    <w:p w14:paraId="387A4B2F">
      <w:pPr>
        <w:spacing w:line="274" w:lineRule="auto"/>
        <w:rPr>
          <w:rFonts w:ascii="Arial"/>
          <w:sz w:val="21"/>
        </w:rPr>
      </w:pPr>
    </w:p>
    <w:p w14:paraId="5FDE8C70">
      <w:pPr>
        <w:spacing w:line="11733" w:lineRule="exact"/>
        <w:ind w:firstLine="14"/>
        <w:textAlignment w:val="center"/>
      </w:pPr>
      <w:r>
        <w:drawing>
          <wp:inline distT="0" distB="0" distL="0" distR="0">
            <wp:extent cx="5271135" cy="745045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616"/>
                    <a:stretch>
                      <a:fillRect/>
                    </a:stretch>
                  </pic:blipFill>
                  <pic:spPr>
                    <a:xfrm>
                      <a:off x="0" y="0"/>
                      <a:ext cx="5271515" cy="7450835"/>
                    </a:xfrm>
                    <a:prstGeom prst="rect">
                      <a:avLst/>
                    </a:prstGeom>
                  </pic:spPr>
                </pic:pic>
              </a:graphicData>
            </a:graphic>
          </wp:inline>
        </w:drawing>
      </w:r>
    </w:p>
    <w:p w14:paraId="34100712">
      <w:pPr>
        <w:sectPr>
          <w:footerReference r:id="rId361" w:type="default"/>
          <w:pgSz w:w="11906" w:h="16839"/>
          <w:pgMar w:top="400" w:right="1785" w:bottom="1156" w:left="1785" w:header="0" w:footer="996" w:gutter="0"/>
          <w:cols w:space="720" w:num="1"/>
        </w:sectPr>
      </w:pPr>
    </w:p>
    <w:p w14:paraId="23F9B7FF">
      <w:pPr>
        <w:spacing w:line="273" w:lineRule="auto"/>
        <w:rPr>
          <w:rFonts w:ascii="Arial"/>
          <w:sz w:val="21"/>
        </w:rPr>
      </w:pPr>
    </w:p>
    <w:p w14:paraId="50648BAF">
      <w:pPr>
        <w:spacing w:line="273" w:lineRule="auto"/>
        <w:rPr>
          <w:rFonts w:ascii="Arial"/>
          <w:sz w:val="21"/>
        </w:rPr>
      </w:pPr>
    </w:p>
    <w:p w14:paraId="774CF0E7">
      <w:pPr>
        <w:spacing w:line="273" w:lineRule="auto"/>
        <w:rPr>
          <w:rFonts w:ascii="Arial"/>
          <w:sz w:val="21"/>
        </w:rPr>
      </w:pPr>
    </w:p>
    <w:p w14:paraId="23D60541">
      <w:pPr>
        <w:spacing w:line="274" w:lineRule="auto"/>
        <w:rPr>
          <w:rFonts w:ascii="Arial"/>
          <w:sz w:val="21"/>
        </w:rPr>
      </w:pPr>
    </w:p>
    <w:p w14:paraId="3BC42F86">
      <w:pPr>
        <w:spacing w:line="11733" w:lineRule="exact"/>
        <w:ind w:firstLine="14"/>
        <w:textAlignment w:val="center"/>
      </w:pPr>
      <w:r>
        <w:drawing>
          <wp:inline distT="0" distB="0" distL="0" distR="0">
            <wp:extent cx="5271135" cy="7450455"/>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617"/>
                    <a:stretch>
                      <a:fillRect/>
                    </a:stretch>
                  </pic:blipFill>
                  <pic:spPr>
                    <a:xfrm>
                      <a:off x="0" y="0"/>
                      <a:ext cx="5271515" cy="7450835"/>
                    </a:xfrm>
                    <a:prstGeom prst="rect">
                      <a:avLst/>
                    </a:prstGeom>
                  </pic:spPr>
                </pic:pic>
              </a:graphicData>
            </a:graphic>
          </wp:inline>
        </w:drawing>
      </w:r>
    </w:p>
    <w:p w14:paraId="744844F0">
      <w:pPr>
        <w:sectPr>
          <w:footerReference r:id="rId362" w:type="default"/>
          <w:pgSz w:w="11906" w:h="16839"/>
          <w:pgMar w:top="400" w:right="1785" w:bottom="1156" w:left="1785" w:header="0" w:footer="996" w:gutter="0"/>
          <w:cols w:space="720" w:num="1"/>
        </w:sectPr>
      </w:pPr>
    </w:p>
    <w:p w14:paraId="158E1443">
      <w:pPr>
        <w:spacing w:line="273" w:lineRule="auto"/>
        <w:rPr>
          <w:rFonts w:ascii="Arial"/>
          <w:sz w:val="21"/>
        </w:rPr>
      </w:pPr>
    </w:p>
    <w:p w14:paraId="03ED1CC6">
      <w:pPr>
        <w:spacing w:line="273" w:lineRule="auto"/>
        <w:rPr>
          <w:rFonts w:ascii="Arial"/>
          <w:sz w:val="21"/>
        </w:rPr>
      </w:pPr>
    </w:p>
    <w:p w14:paraId="19EF9272">
      <w:pPr>
        <w:spacing w:line="273" w:lineRule="auto"/>
        <w:rPr>
          <w:rFonts w:ascii="Arial"/>
          <w:sz w:val="21"/>
        </w:rPr>
      </w:pPr>
    </w:p>
    <w:p w14:paraId="4CF17274">
      <w:pPr>
        <w:spacing w:line="274" w:lineRule="auto"/>
        <w:rPr>
          <w:rFonts w:ascii="Arial"/>
          <w:sz w:val="21"/>
        </w:rPr>
      </w:pPr>
    </w:p>
    <w:p w14:paraId="389B85C5">
      <w:pPr>
        <w:spacing w:line="11733" w:lineRule="exact"/>
        <w:ind w:firstLine="14"/>
        <w:textAlignment w:val="center"/>
      </w:pPr>
      <w:r>
        <w:drawing>
          <wp:inline distT="0" distB="0" distL="0" distR="0">
            <wp:extent cx="5271135" cy="745045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618"/>
                    <a:stretch>
                      <a:fillRect/>
                    </a:stretch>
                  </pic:blipFill>
                  <pic:spPr>
                    <a:xfrm>
                      <a:off x="0" y="0"/>
                      <a:ext cx="5271515" cy="7450835"/>
                    </a:xfrm>
                    <a:prstGeom prst="rect">
                      <a:avLst/>
                    </a:prstGeom>
                  </pic:spPr>
                </pic:pic>
              </a:graphicData>
            </a:graphic>
          </wp:inline>
        </w:drawing>
      </w:r>
    </w:p>
    <w:p w14:paraId="1F319453">
      <w:pPr>
        <w:sectPr>
          <w:footerReference r:id="rId363" w:type="default"/>
          <w:pgSz w:w="11906" w:h="16839"/>
          <w:pgMar w:top="400" w:right="1785" w:bottom="1156" w:left="1785" w:header="0" w:footer="996" w:gutter="0"/>
          <w:cols w:space="720" w:num="1"/>
        </w:sectPr>
      </w:pPr>
    </w:p>
    <w:p w14:paraId="56E7C118">
      <w:pPr>
        <w:spacing w:line="273" w:lineRule="auto"/>
        <w:rPr>
          <w:rFonts w:ascii="Arial"/>
          <w:sz w:val="21"/>
        </w:rPr>
      </w:pPr>
    </w:p>
    <w:p w14:paraId="095C83C8">
      <w:pPr>
        <w:spacing w:line="273" w:lineRule="auto"/>
        <w:rPr>
          <w:rFonts w:ascii="Arial"/>
          <w:sz w:val="21"/>
        </w:rPr>
      </w:pPr>
    </w:p>
    <w:p w14:paraId="421B3EFA">
      <w:pPr>
        <w:spacing w:line="273" w:lineRule="auto"/>
        <w:rPr>
          <w:rFonts w:ascii="Arial"/>
          <w:sz w:val="21"/>
        </w:rPr>
      </w:pPr>
    </w:p>
    <w:p w14:paraId="2F26B1AB">
      <w:pPr>
        <w:spacing w:line="274" w:lineRule="auto"/>
        <w:rPr>
          <w:rFonts w:ascii="Arial"/>
          <w:sz w:val="21"/>
        </w:rPr>
      </w:pPr>
    </w:p>
    <w:p w14:paraId="09FE12C6">
      <w:pPr>
        <w:spacing w:line="11733" w:lineRule="exact"/>
        <w:ind w:firstLine="14"/>
        <w:textAlignment w:val="center"/>
      </w:pPr>
      <w:r>
        <w:drawing>
          <wp:inline distT="0" distB="0" distL="0" distR="0">
            <wp:extent cx="5271135" cy="7450455"/>
            <wp:effectExtent l="0" t="0" r="0" b="0"/>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619"/>
                    <a:stretch>
                      <a:fillRect/>
                    </a:stretch>
                  </pic:blipFill>
                  <pic:spPr>
                    <a:xfrm>
                      <a:off x="0" y="0"/>
                      <a:ext cx="5271515" cy="7450835"/>
                    </a:xfrm>
                    <a:prstGeom prst="rect">
                      <a:avLst/>
                    </a:prstGeom>
                  </pic:spPr>
                </pic:pic>
              </a:graphicData>
            </a:graphic>
          </wp:inline>
        </w:drawing>
      </w:r>
    </w:p>
    <w:p w14:paraId="79CCE42D">
      <w:pPr>
        <w:sectPr>
          <w:footerReference r:id="rId364" w:type="default"/>
          <w:pgSz w:w="11906" w:h="16839"/>
          <w:pgMar w:top="400" w:right="1785" w:bottom="1156" w:left="1785" w:header="0" w:footer="996" w:gutter="0"/>
          <w:cols w:space="720" w:num="1"/>
        </w:sectPr>
      </w:pPr>
    </w:p>
    <w:p w14:paraId="1D197558">
      <w:pPr>
        <w:spacing w:line="273" w:lineRule="auto"/>
        <w:rPr>
          <w:rFonts w:ascii="Arial"/>
          <w:sz w:val="21"/>
        </w:rPr>
      </w:pPr>
    </w:p>
    <w:p w14:paraId="4E770004">
      <w:pPr>
        <w:spacing w:line="273" w:lineRule="auto"/>
        <w:rPr>
          <w:rFonts w:ascii="Arial"/>
          <w:sz w:val="21"/>
        </w:rPr>
      </w:pPr>
    </w:p>
    <w:p w14:paraId="517C8121">
      <w:pPr>
        <w:spacing w:line="273" w:lineRule="auto"/>
        <w:rPr>
          <w:rFonts w:ascii="Arial"/>
          <w:sz w:val="21"/>
        </w:rPr>
      </w:pPr>
    </w:p>
    <w:p w14:paraId="6CD7AE2C">
      <w:pPr>
        <w:spacing w:line="274" w:lineRule="auto"/>
        <w:rPr>
          <w:rFonts w:ascii="Arial"/>
          <w:sz w:val="21"/>
        </w:rPr>
      </w:pPr>
    </w:p>
    <w:p w14:paraId="1A2F1B9D">
      <w:pPr>
        <w:spacing w:line="11733" w:lineRule="exact"/>
        <w:ind w:firstLine="14"/>
        <w:textAlignment w:val="center"/>
      </w:pPr>
      <w:r>
        <w:drawing>
          <wp:inline distT="0" distB="0" distL="0" distR="0">
            <wp:extent cx="5271135" cy="745045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620"/>
                    <a:stretch>
                      <a:fillRect/>
                    </a:stretch>
                  </pic:blipFill>
                  <pic:spPr>
                    <a:xfrm>
                      <a:off x="0" y="0"/>
                      <a:ext cx="5271515" cy="7450835"/>
                    </a:xfrm>
                    <a:prstGeom prst="rect">
                      <a:avLst/>
                    </a:prstGeom>
                  </pic:spPr>
                </pic:pic>
              </a:graphicData>
            </a:graphic>
          </wp:inline>
        </w:drawing>
      </w:r>
    </w:p>
    <w:p w14:paraId="5D95B2B0">
      <w:pPr>
        <w:sectPr>
          <w:footerReference r:id="rId365" w:type="default"/>
          <w:pgSz w:w="11906" w:h="16839"/>
          <w:pgMar w:top="400" w:right="1785" w:bottom="1156" w:left="1785" w:header="0" w:footer="996" w:gutter="0"/>
          <w:cols w:space="720" w:num="1"/>
        </w:sectPr>
      </w:pPr>
    </w:p>
    <w:p w14:paraId="1114940B">
      <w:pPr>
        <w:spacing w:line="273" w:lineRule="auto"/>
        <w:rPr>
          <w:rFonts w:ascii="Arial"/>
          <w:sz w:val="21"/>
        </w:rPr>
      </w:pPr>
    </w:p>
    <w:p w14:paraId="5776504C">
      <w:pPr>
        <w:spacing w:line="273" w:lineRule="auto"/>
        <w:rPr>
          <w:rFonts w:ascii="Arial"/>
          <w:sz w:val="21"/>
        </w:rPr>
      </w:pPr>
    </w:p>
    <w:p w14:paraId="78F5DB57">
      <w:pPr>
        <w:spacing w:line="273" w:lineRule="auto"/>
        <w:rPr>
          <w:rFonts w:ascii="Arial"/>
          <w:sz w:val="21"/>
        </w:rPr>
      </w:pPr>
    </w:p>
    <w:p w14:paraId="57182FF7">
      <w:pPr>
        <w:spacing w:line="274" w:lineRule="auto"/>
        <w:rPr>
          <w:rFonts w:ascii="Arial"/>
          <w:sz w:val="21"/>
        </w:rPr>
      </w:pPr>
    </w:p>
    <w:p w14:paraId="3A408B06">
      <w:pPr>
        <w:spacing w:line="11733" w:lineRule="exact"/>
        <w:ind w:firstLine="14"/>
        <w:textAlignment w:val="center"/>
      </w:pPr>
      <w:r>
        <w:drawing>
          <wp:inline distT="0" distB="0" distL="0" distR="0">
            <wp:extent cx="5271135" cy="7450455"/>
            <wp:effectExtent l="0" t="0" r="0" b="0"/>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621"/>
                    <a:stretch>
                      <a:fillRect/>
                    </a:stretch>
                  </pic:blipFill>
                  <pic:spPr>
                    <a:xfrm>
                      <a:off x="0" y="0"/>
                      <a:ext cx="5271515" cy="7450835"/>
                    </a:xfrm>
                    <a:prstGeom prst="rect">
                      <a:avLst/>
                    </a:prstGeom>
                  </pic:spPr>
                </pic:pic>
              </a:graphicData>
            </a:graphic>
          </wp:inline>
        </w:drawing>
      </w:r>
    </w:p>
    <w:p w14:paraId="0D1CE964">
      <w:pPr>
        <w:sectPr>
          <w:footerReference r:id="rId366" w:type="default"/>
          <w:pgSz w:w="11906" w:h="16839"/>
          <w:pgMar w:top="400" w:right="1785" w:bottom="1156" w:left="1785" w:header="0" w:footer="996" w:gutter="0"/>
          <w:cols w:space="720" w:num="1"/>
        </w:sectPr>
      </w:pPr>
    </w:p>
    <w:p w14:paraId="168CBBE1">
      <w:pPr>
        <w:spacing w:line="273" w:lineRule="auto"/>
        <w:rPr>
          <w:rFonts w:ascii="Arial"/>
          <w:sz w:val="21"/>
        </w:rPr>
      </w:pPr>
    </w:p>
    <w:p w14:paraId="707B4C3C">
      <w:pPr>
        <w:spacing w:line="273" w:lineRule="auto"/>
        <w:rPr>
          <w:rFonts w:ascii="Arial"/>
          <w:sz w:val="21"/>
        </w:rPr>
      </w:pPr>
    </w:p>
    <w:p w14:paraId="62708C95">
      <w:pPr>
        <w:spacing w:line="273" w:lineRule="auto"/>
        <w:rPr>
          <w:rFonts w:ascii="Arial"/>
          <w:sz w:val="21"/>
        </w:rPr>
      </w:pPr>
    </w:p>
    <w:p w14:paraId="52AF0C6C">
      <w:pPr>
        <w:spacing w:line="274" w:lineRule="auto"/>
        <w:rPr>
          <w:rFonts w:ascii="Arial"/>
          <w:sz w:val="21"/>
        </w:rPr>
      </w:pPr>
    </w:p>
    <w:p w14:paraId="26D5D35F">
      <w:pPr>
        <w:spacing w:line="11733" w:lineRule="exact"/>
        <w:ind w:firstLine="14"/>
        <w:textAlignment w:val="center"/>
      </w:pPr>
      <w:r>
        <w:drawing>
          <wp:inline distT="0" distB="0" distL="0" distR="0">
            <wp:extent cx="5271135" cy="745045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622"/>
                    <a:stretch>
                      <a:fillRect/>
                    </a:stretch>
                  </pic:blipFill>
                  <pic:spPr>
                    <a:xfrm>
                      <a:off x="0" y="0"/>
                      <a:ext cx="5271515" cy="7450835"/>
                    </a:xfrm>
                    <a:prstGeom prst="rect">
                      <a:avLst/>
                    </a:prstGeom>
                  </pic:spPr>
                </pic:pic>
              </a:graphicData>
            </a:graphic>
          </wp:inline>
        </w:drawing>
      </w:r>
    </w:p>
    <w:p w14:paraId="6671BD7D">
      <w:pPr>
        <w:sectPr>
          <w:footerReference r:id="rId367" w:type="default"/>
          <w:pgSz w:w="11906" w:h="16839"/>
          <w:pgMar w:top="400" w:right="1785" w:bottom="1156" w:left="1785" w:header="0" w:footer="996" w:gutter="0"/>
          <w:cols w:space="720" w:num="1"/>
        </w:sectPr>
      </w:pPr>
    </w:p>
    <w:p w14:paraId="319ACF65">
      <w:pPr>
        <w:spacing w:line="273" w:lineRule="auto"/>
        <w:rPr>
          <w:rFonts w:ascii="Arial"/>
          <w:sz w:val="21"/>
        </w:rPr>
      </w:pPr>
    </w:p>
    <w:p w14:paraId="6B856E50">
      <w:pPr>
        <w:spacing w:line="273" w:lineRule="auto"/>
        <w:rPr>
          <w:rFonts w:ascii="Arial"/>
          <w:sz w:val="21"/>
        </w:rPr>
      </w:pPr>
    </w:p>
    <w:p w14:paraId="13920E2B">
      <w:pPr>
        <w:spacing w:line="273" w:lineRule="auto"/>
        <w:rPr>
          <w:rFonts w:ascii="Arial"/>
          <w:sz w:val="21"/>
        </w:rPr>
      </w:pPr>
    </w:p>
    <w:p w14:paraId="34ED74B2">
      <w:pPr>
        <w:spacing w:line="274" w:lineRule="auto"/>
        <w:rPr>
          <w:rFonts w:ascii="Arial"/>
          <w:sz w:val="21"/>
        </w:rPr>
      </w:pPr>
    </w:p>
    <w:p w14:paraId="78973DF0">
      <w:pPr>
        <w:spacing w:line="11733" w:lineRule="exact"/>
        <w:ind w:firstLine="14"/>
        <w:textAlignment w:val="center"/>
      </w:pPr>
      <w:r>
        <w:drawing>
          <wp:inline distT="0" distB="0" distL="0" distR="0">
            <wp:extent cx="5271135" cy="7450455"/>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623"/>
                    <a:stretch>
                      <a:fillRect/>
                    </a:stretch>
                  </pic:blipFill>
                  <pic:spPr>
                    <a:xfrm>
                      <a:off x="0" y="0"/>
                      <a:ext cx="5271515" cy="7450835"/>
                    </a:xfrm>
                    <a:prstGeom prst="rect">
                      <a:avLst/>
                    </a:prstGeom>
                  </pic:spPr>
                </pic:pic>
              </a:graphicData>
            </a:graphic>
          </wp:inline>
        </w:drawing>
      </w:r>
    </w:p>
    <w:p w14:paraId="0E0AC5AC">
      <w:pPr>
        <w:sectPr>
          <w:footerReference r:id="rId368" w:type="default"/>
          <w:pgSz w:w="11906" w:h="16839"/>
          <w:pgMar w:top="400" w:right="1785" w:bottom="1156" w:left="1785" w:header="0" w:footer="996" w:gutter="0"/>
          <w:cols w:space="720" w:num="1"/>
        </w:sectPr>
      </w:pPr>
    </w:p>
    <w:p w14:paraId="30305282">
      <w:pPr>
        <w:spacing w:line="273" w:lineRule="auto"/>
        <w:rPr>
          <w:rFonts w:ascii="Arial"/>
          <w:sz w:val="21"/>
        </w:rPr>
      </w:pPr>
    </w:p>
    <w:p w14:paraId="71B684E4">
      <w:pPr>
        <w:spacing w:line="273" w:lineRule="auto"/>
        <w:rPr>
          <w:rFonts w:ascii="Arial"/>
          <w:sz w:val="21"/>
        </w:rPr>
      </w:pPr>
    </w:p>
    <w:p w14:paraId="1B77362D">
      <w:pPr>
        <w:spacing w:line="273" w:lineRule="auto"/>
        <w:rPr>
          <w:rFonts w:ascii="Arial"/>
          <w:sz w:val="21"/>
        </w:rPr>
      </w:pPr>
    </w:p>
    <w:p w14:paraId="43645972">
      <w:pPr>
        <w:spacing w:line="274" w:lineRule="auto"/>
        <w:rPr>
          <w:rFonts w:ascii="Arial"/>
          <w:sz w:val="21"/>
        </w:rPr>
      </w:pPr>
    </w:p>
    <w:p w14:paraId="45222301">
      <w:pPr>
        <w:spacing w:line="11733" w:lineRule="exact"/>
        <w:ind w:firstLine="14"/>
        <w:textAlignment w:val="center"/>
      </w:pPr>
      <w:r>
        <w:drawing>
          <wp:inline distT="0" distB="0" distL="0" distR="0">
            <wp:extent cx="5271135" cy="745045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624"/>
                    <a:stretch>
                      <a:fillRect/>
                    </a:stretch>
                  </pic:blipFill>
                  <pic:spPr>
                    <a:xfrm>
                      <a:off x="0" y="0"/>
                      <a:ext cx="5271515" cy="7450835"/>
                    </a:xfrm>
                    <a:prstGeom prst="rect">
                      <a:avLst/>
                    </a:prstGeom>
                  </pic:spPr>
                </pic:pic>
              </a:graphicData>
            </a:graphic>
          </wp:inline>
        </w:drawing>
      </w:r>
    </w:p>
    <w:p w14:paraId="133E70B7">
      <w:pPr>
        <w:sectPr>
          <w:footerReference r:id="rId369" w:type="default"/>
          <w:pgSz w:w="11906" w:h="16839"/>
          <w:pgMar w:top="400" w:right="1785" w:bottom="1156" w:left="1785" w:header="0" w:footer="996" w:gutter="0"/>
          <w:cols w:space="720" w:num="1"/>
        </w:sectPr>
      </w:pPr>
    </w:p>
    <w:p w14:paraId="3C839ADD">
      <w:pPr>
        <w:spacing w:line="273" w:lineRule="auto"/>
        <w:rPr>
          <w:rFonts w:ascii="Arial"/>
          <w:sz w:val="21"/>
        </w:rPr>
      </w:pPr>
    </w:p>
    <w:p w14:paraId="0E545F3F">
      <w:pPr>
        <w:spacing w:line="273" w:lineRule="auto"/>
        <w:rPr>
          <w:rFonts w:ascii="Arial"/>
          <w:sz w:val="21"/>
        </w:rPr>
      </w:pPr>
    </w:p>
    <w:p w14:paraId="575C66B6">
      <w:pPr>
        <w:spacing w:line="273" w:lineRule="auto"/>
        <w:rPr>
          <w:rFonts w:ascii="Arial"/>
          <w:sz w:val="21"/>
        </w:rPr>
      </w:pPr>
    </w:p>
    <w:p w14:paraId="060C953D">
      <w:pPr>
        <w:spacing w:line="274" w:lineRule="auto"/>
        <w:rPr>
          <w:rFonts w:ascii="Arial"/>
          <w:sz w:val="21"/>
        </w:rPr>
      </w:pPr>
    </w:p>
    <w:p w14:paraId="7AF1932B">
      <w:pPr>
        <w:spacing w:line="11733" w:lineRule="exact"/>
        <w:ind w:firstLine="14"/>
        <w:textAlignment w:val="center"/>
      </w:pPr>
      <w:r>
        <w:drawing>
          <wp:inline distT="0" distB="0" distL="0" distR="0">
            <wp:extent cx="5271135" cy="7450455"/>
            <wp:effectExtent l="0" t="0" r="0" b="0"/>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625"/>
                    <a:stretch>
                      <a:fillRect/>
                    </a:stretch>
                  </pic:blipFill>
                  <pic:spPr>
                    <a:xfrm>
                      <a:off x="0" y="0"/>
                      <a:ext cx="5271515" cy="7450835"/>
                    </a:xfrm>
                    <a:prstGeom prst="rect">
                      <a:avLst/>
                    </a:prstGeom>
                  </pic:spPr>
                </pic:pic>
              </a:graphicData>
            </a:graphic>
          </wp:inline>
        </w:drawing>
      </w:r>
    </w:p>
    <w:p w14:paraId="235FA041">
      <w:pPr>
        <w:sectPr>
          <w:footerReference r:id="rId370" w:type="default"/>
          <w:pgSz w:w="11906" w:h="16839"/>
          <w:pgMar w:top="400" w:right="1785" w:bottom="1156" w:left="1785" w:header="0" w:footer="996" w:gutter="0"/>
          <w:cols w:space="720" w:num="1"/>
        </w:sectPr>
      </w:pPr>
    </w:p>
    <w:p w14:paraId="6BC14E1E">
      <w:pPr>
        <w:spacing w:line="273" w:lineRule="auto"/>
        <w:rPr>
          <w:rFonts w:ascii="Arial"/>
          <w:sz w:val="21"/>
        </w:rPr>
      </w:pPr>
    </w:p>
    <w:p w14:paraId="42F5A240">
      <w:pPr>
        <w:spacing w:line="273" w:lineRule="auto"/>
        <w:rPr>
          <w:rFonts w:ascii="Arial"/>
          <w:sz w:val="21"/>
        </w:rPr>
      </w:pPr>
    </w:p>
    <w:p w14:paraId="68A3206D">
      <w:pPr>
        <w:spacing w:line="273" w:lineRule="auto"/>
        <w:rPr>
          <w:rFonts w:ascii="Arial"/>
          <w:sz w:val="21"/>
        </w:rPr>
      </w:pPr>
    </w:p>
    <w:p w14:paraId="4C701CF6">
      <w:pPr>
        <w:spacing w:line="274" w:lineRule="auto"/>
        <w:rPr>
          <w:rFonts w:ascii="Arial"/>
          <w:sz w:val="21"/>
        </w:rPr>
      </w:pPr>
    </w:p>
    <w:p w14:paraId="0FB80EEE">
      <w:pPr>
        <w:spacing w:line="11733" w:lineRule="exact"/>
        <w:ind w:firstLine="14"/>
        <w:textAlignment w:val="center"/>
      </w:pPr>
      <w:r>
        <w:drawing>
          <wp:inline distT="0" distB="0" distL="0" distR="0">
            <wp:extent cx="5271135" cy="745045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626"/>
                    <a:stretch>
                      <a:fillRect/>
                    </a:stretch>
                  </pic:blipFill>
                  <pic:spPr>
                    <a:xfrm>
                      <a:off x="0" y="0"/>
                      <a:ext cx="5271515" cy="7450835"/>
                    </a:xfrm>
                    <a:prstGeom prst="rect">
                      <a:avLst/>
                    </a:prstGeom>
                  </pic:spPr>
                </pic:pic>
              </a:graphicData>
            </a:graphic>
          </wp:inline>
        </w:drawing>
      </w:r>
    </w:p>
    <w:p w14:paraId="792AFE0B">
      <w:pPr>
        <w:sectPr>
          <w:footerReference r:id="rId371" w:type="default"/>
          <w:pgSz w:w="11906" w:h="16839"/>
          <w:pgMar w:top="400" w:right="1785" w:bottom="1156" w:left="1785" w:header="0" w:footer="996" w:gutter="0"/>
          <w:cols w:space="720" w:num="1"/>
        </w:sectPr>
      </w:pPr>
    </w:p>
    <w:p w14:paraId="77231B96">
      <w:pPr>
        <w:spacing w:line="273" w:lineRule="auto"/>
        <w:rPr>
          <w:rFonts w:ascii="Arial"/>
          <w:sz w:val="21"/>
        </w:rPr>
      </w:pPr>
    </w:p>
    <w:p w14:paraId="199B40FA">
      <w:pPr>
        <w:spacing w:line="273" w:lineRule="auto"/>
        <w:rPr>
          <w:rFonts w:ascii="Arial"/>
          <w:sz w:val="21"/>
        </w:rPr>
      </w:pPr>
    </w:p>
    <w:p w14:paraId="56FC7917">
      <w:pPr>
        <w:spacing w:line="273" w:lineRule="auto"/>
        <w:rPr>
          <w:rFonts w:ascii="Arial"/>
          <w:sz w:val="21"/>
        </w:rPr>
      </w:pPr>
    </w:p>
    <w:p w14:paraId="6DCF2F69">
      <w:pPr>
        <w:spacing w:line="274" w:lineRule="auto"/>
        <w:rPr>
          <w:rFonts w:ascii="Arial"/>
          <w:sz w:val="21"/>
        </w:rPr>
      </w:pPr>
    </w:p>
    <w:p w14:paraId="73F0E37F">
      <w:pPr>
        <w:spacing w:line="11733" w:lineRule="exact"/>
        <w:ind w:firstLine="14"/>
        <w:textAlignment w:val="center"/>
      </w:pPr>
      <w:r>
        <w:drawing>
          <wp:inline distT="0" distB="0" distL="0" distR="0">
            <wp:extent cx="5271135" cy="7450455"/>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627"/>
                    <a:stretch>
                      <a:fillRect/>
                    </a:stretch>
                  </pic:blipFill>
                  <pic:spPr>
                    <a:xfrm>
                      <a:off x="0" y="0"/>
                      <a:ext cx="5271515" cy="7450835"/>
                    </a:xfrm>
                    <a:prstGeom prst="rect">
                      <a:avLst/>
                    </a:prstGeom>
                  </pic:spPr>
                </pic:pic>
              </a:graphicData>
            </a:graphic>
          </wp:inline>
        </w:drawing>
      </w:r>
    </w:p>
    <w:p w14:paraId="12D4DC0C">
      <w:pPr>
        <w:sectPr>
          <w:footerReference r:id="rId372" w:type="default"/>
          <w:pgSz w:w="11906" w:h="16839"/>
          <w:pgMar w:top="400" w:right="1785" w:bottom="1156" w:left="1785" w:header="0" w:footer="996" w:gutter="0"/>
          <w:cols w:space="720" w:num="1"/>
        </w:sectPr>
      </w:pPr>
    </w:p>
    <w:p w14:paraId="1F9DD840">
      <w:pPr>
        <w:spacing w:line="273" w:lineRule="auto"/>
        <w:rPr>
          <w:rFonts w:ascii="Arial"/>
          <w:sz w:val="21"/>
        </w:rPr>
      </w:pPr>
    </w:p>
    <w:p w14:paraId="7A14616B">
      <w:pPr>
        <w:spacing w:line="273" w:lineRule="auto"/>
        <w:rPr>
          <w:rFonts w:ascii="Arial"/>
          <w:sz w:val="21"/>
        </w:rPr>
      </w:pPr>
    </w:p>
    <w:p w14:paraId="7B7629AB">
      <w:pPr>
        <w:spacing w:line="273" w:lineRule="auto"/>
        <w:rPr>
          <w:rFonts w:ascii="Arial"/>
          <w:sz w:val="21"/>
        </w:rPr>
      </w:pPr>
    </w:p>
    <w:p w14:paraId="1F3A4A20">
      <w:pPr>
        <w:spacing w:line="274" w:lineRule="auto"/>
        <w:rPr>
          <w:rFonts w:ascii="Arial"/>
          <w:sz w:val="21"/>
        </w:rPr>
      </w:pPr>
    </w:p>
    <w:p w14:paraId="335EF096">
      <w:pPr>
        <w:spacing w:line="11733" w:lineRule="exact"/>
        <w:ind w:firstLine="14"/>
        <w:textAlignment w:val="center"/>
      </w:pPr>
      <w:r>
        <w:drawing>
          <wp:inline distT="0" distB="0" distL="0" distR="0">
            <wp:extent cx="5271135" cy="745045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628"/>
                    <a:stretch>
                      <a:fillRect/>
                    </a:stretch>
                  </pic:blipFill>
                  <pic:spPr>
                    <a:xfrm>
                      <a:off x="0" y="0"/>
                      <a:ext cx="5271515" cy="7450835"/>
                    </a:xfrm>
                    <a:prstGeom prst="rect">
                      <a:avLst/>
                    </a:prstGeom>
                  </pic:spPr>
                </pic:pic>
              </a:graphicData>
            </a:graphic>
          </wp:inline>
        </w:drawing>
      </w:r>
    </w:p>
    <w:p w14:paraId="43FBF34D">
      <w:pPr>
        <w:sectPr>
          <w:footerReference r:id="rId373" w:type="default"/>
          <w:pgSz w:w="11906" w:h="16839"/>
          <w:pgMar w:top="400" w:right="1785" w:bottom="1156" w:left="1785" w:header="0" w:footer="996" w:gutter="0"/>
          <w:cols w:space="720" w:num="1"/>
        </w:sectPr>
      </w:pPr>
    </w:p>
    <w:p w14:paraId="1ED413DB">
      <w:pPr>
        <w:spacing w:line="273" w:lineRule="auto"/>
        <w:rPr>
          <w:rFonts w:ascii="Arial"/>
          <w:sz w:val="21"/>
        </w:rPr>
      </w:pPr>
    </w:p>
    <w:p w14:paraId="6EFF8F45">
      <w:pPr>
        <w:spacing w:line="273" w:lineRule="auto"/>
        <w:rPr>
          <w:rFonts w:ascii="Arial"/>
          <w:sz w:val="21"/>
        </w:rPr>
      </w:pPr>
    </w:p>
    <w:p w14:paraId="5F3A6D31">
      <w:pPr>
        <w:spacing w:line="273" w:lineRule="auto"/>
        <w:rPr>
          <w:rFonts w:ascii="Arial"/>
          <w:sz w:val="21"/>
        </w:rPr>
      </w:pPr>
    </w:p>
    <w:p w14:paraId="4B3CBF56">
      <w:pPr>
        <w:spacing w:line="274" w:lineRule="auto"/>
        <w:rPr>
          <w:rFonts w:ascii="Arial"/>
          <w:sz w:val="21"/>
        </w:rPr>
      </w:pPr>
    </w:p>
    <w:p w14:paraId="65BD164B">
      <w:pPr>
        <w:spacing w:line="11733" w:lineRule="exact"/>
        <w:ind w:firstLine="14"/>
        <w:textAlignment w:val="center"/>
      </w:pPr>
      <w:r>
        <w:drawing>
          <wp:inline distT="0" distB="0" distL="0" distR="0">
            <wp:extent cx="5271135" cy="7450455"/>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629"/>
                    <a:stretch>
                      <a:fillRect/>
                    </a:stretch>
                  </pic:blipFill>
                  <pic:spPr>
                    <a:xfrm>
                      <a:off x="0" y="0"/>
                      <a:ext cx="5271515" cy="7450835"/>
                    </a:xfrm>
                    <a:prstGeom prst="rect">
                      <a:avLst/>
                    </a:prstGeom>
                  </pic:spPr>
                </pic:pic>
              </a:graphicData>
            </a:graphic>
          </wp:inline>
        </w:drawing>
      </w:r>
    </w:p>
    <w:p w14:paraId="7460BFA8">
      <w:pPr>
        <w:sectPr>
          <w:footerReference r:id="rId374" w:type="default"/>
          <w:pgSz w:w="11906" w:h="16839"/>
          <w:pgMar w:top="400" w:right="1785" w:bottom="1156" w:left="1785" w:header="0" w:footer="996" w:gutter="0"/>
          <w:cols w:space="720" w:num="1"/>
        </w:sectPr>
      </w:pPr>
    </w:p>
    <w:p w14:paraId="50177B1A">
      <w:pPr>
        <w:spacing w:line="273" w:lineRule="auto"/>
        <w:rPr>
          <w:rFonts w:ascii="Arial"/>
          <w:sz w:val="21"/>
        </w:rPr>
      </w:pPr>
    </w:p>
    <w:p w14:paraId="18E2757E">
      <w:pPr>
        <w:spacing w:line="273" w:lineRule="auto"/>
        <w:rPr>
          <w:rFonts w:ascii="Arial"/>
          <w:sz w:val="21"/>
        </w:rPr>
      </w:pPr>
    </w:p>
    <w:p w14:paraId="0ACEFE12">
      <w:pPr>
        <w:spacing w:line="273" w:lineRule="auto"/>
        <w:rPr>
          <w:rFonts w:ascii="Arial"/>
          <w:sz w:val="21"/>
        </w:rPr>
      </w:pPr>
    </w:p>
    <w:p w14:paraId="2DA8F97D">
      <w:pPr>
        <w:spacing w:line="274" w:lineRule="auto"/>
        <w:rPr>
          <w:rFonts w:ascii="Arial"/>
          <w:sz w:val="21"/>
        </w:rPr>
      </w:pPr>
    </w:p>
    <w:p w14:paraId="58814C9D">
      <w:pPr>
        <w:spacing w:line="11733" w:lineRule="exact"/>
        <w:ind w:firstLine="14"/>
        <w:textAlignment w:val="center"/>
      </w:pPr>
      <w:r>
        <w:drawing>
          <wp:inline distT="0" distB="0" distL="0" distR="0">
            <wp:extent cx="5271135" cy="745045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630"/>
                    <a:stretch>
                      <a:fillRect/>
                    </a:stretch>
                  </pic:blipFill>
                  <pic:spPr>
                    <a:xfrm>
                      <a:off x="0" y="0"/>
                      <a:ext cx="5271515" cy="7450835"/>
                    </a:xfrm>
                    <a:prstGeom prst="rect">
                      <a:avLst/>
                    </a:prstGeom>
                  </pic:spPr>
                </pic:pic>
              </a:graphicData>
            </a:graphic>
          </wp:inline>
        </w:drawing>
      </w:r>
    </w:p>
    <w:p w14:paraId="7995670B">
      <w:pPr>
        <w:sectPr>
          <w:footerReference r:id="rId375" w:type="default"/>
          <w:pgSz w:w="11906" w:h="16839"/>
          <w:pgMar w:top="400" w:right="1785" w:bottom="1156" w:left="1785" w:header="0" w:footer="996" w:gutter="0"/>
          <w:cols w:space="720" w:num="1"/>
        </w:sectPr>
      </w:pPr>
    </w:p>
    <w:p w14:paraId="5BEE556F">
      <w:pPr>
        <w:spacing w:line="273" w:lineRule="auto"/>
        <w:rPr>
          <w:rFonts w:ascii="Arial"/>
          <w:sz w:val="21"/>
        </w:rPr>
      </w:pPr>
    </w:p>
    <w:p w14:paraId="1F13B58B">
      <w:pPr>
        <w:spacing w:line="273" w:lineRule="auto"/>
        <w:rPr>
          <w:rFonts w:ascii="Arial"/>
          <w:sz w:val="21"/>
        </w:rPr>
      </w:pPr>
    </w:p>
    <w:p w14:paraId="7147B41F">
      <w:pPr>
        <w:spacing w:line="273" w:lineRule="auto"/>
        <w:rPr>
          <w:rFonts w:ascii="Arial"/>
          <w:sz w:val="21"/>
        </w:rPr>
      </w:pPr>
    </w:p>
    <w:p w14:paraId="19435002">
      <w:pPr>
        <w:spacing w:line="274" w:lineRule="auto"/>
        <w:rPr>
          <w:rFonts w:ascii="Arial"/>
          <w:sz w:val="21"/>
        </w:rPr>
      </w:pPr>
    </w:p>
    <w:p w14:paraId="22385B62">
      <w:pPr>
        <w:spacing w:line="11733" w:lineRule="exact"/>
        <w:ind w:firstLine="14"/>
        <w:textAlignment w:val="center"/>
      </w:pPr>
      <w:r>
        <w:drawing>
          <wp:inline distT="0" distB="0" distL="0" distR="0">
            <wp:extent cx="5271135" cy="7450455"/>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631"/>
                    <a:stretch>
                      <a:fillRect/>
                    </a:stretch>
                  </pic:blipFill>
                  <pic:spPr>
                    <a:xfrm>
                      <a:off x="0" y="0"/>
                      <a:ext cx="5271515" cy="7450835"/>
                    </a:xfrm>
                    <a:prstGeom prst="rect">
                      <a:avLst/>
                    </a:prstGeom>
                  </pic:spPr>
                </pic:pic>
              </a:graphicData>
            </a:graphic>
          </wp:inline>
        </w:drawing>
      </w:r>
    </w:p>
    <w:p w14:paraId="152FA6C0">
      <w:pPr>
        <w:sectPr>
          <w:footerReference r:id="rId376" w:type="default"/>
          <w:pgSz w:w="11906" w:h="16839"/>
          <w:pgMar w:top="400" w:right="1785" w:bottom="1156" w:left="1785" w:header="0" w:footer="996" w:gutter="0"/>
          <w:cols w:space="720" w:num="1"/>
        </w:sectPr>
      </w:pPr>
    </w:p>
    <w:p w14:paraId="49A44F61">
      <w:pPr>
        <w:spacing w:line="273" w:lineRule="auto"/>
        <w:rPr>
          <w:rFonts w:ascii="Arial"/>
          <w:sz w:val="21"/>
        </w:rPr>
      </w:pPr>
    </w:p>
    <w:p w14:paraId="234AB66A">
      <w:pPr>
        <w:spacing w:line="273" w:lineRule="auto"/>
        <w:rPr>
          <w:rFonts w:ascii="Arial"/>
          <w:sz w:val="21"/>
        </w:rPr>
      </w:pPr>
    </w:p>
    <w:p w14:paraId="34D4A563">
      <w:pPr>
        <w:spacing w:line="273" w:lineRule="auto"/>
        <w:rPr>
          <w:rFonts w:ascii="Arial"/>
          <w:sz w:val="21"/>
        </w:rPr>
      </w:pPr>
    </w:p>
    <w:p w14:paraId="3A3CBC37">
      <w:pPr>
        <w:spacing w:line="274" w:lineRule="auto"/>
        <w:rPr>
          <w:rFonts w:ascii="Arial"/>
          <w:sz w:val="21"/>
        </w:rPr>
      </w:pPr>
    </w:p>
    <w:p w14:paraId="4E387A3C">
      <w:pPr>
        <w:spacing w:line="11733" w:lineRule="exact"/>
        <w:ind w:firstLine="14"/>
        <w:textAlignment w:val="center"/>
      </w:pPr>
      <w:r>
        <w:drawing>
          <wp:inline distT="0" distB="0" distL="0" distR="0">
            <wp:extent cx="5271135" cy="745045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632"/>
                    <a:stretch>
                      <a:fillRect/>
                    </a:stretch>
                  </pic:blipFill>
                  <pic:spPr>
                    <a:xfrm>
                      <a:off x="0" y="0"/>
                      <a:ext cx="5271515" cy="7450835"/>
                    </a:xfrm>
                    <a:prstGeom prst="rect">
                      <a:avLst/>
                    </a:prstGeom>
                  </pic:spPr>
                </pic:pic>
              </a:graphicData>
            </a:graphic>
          </wp:inline>
        </w:drawing>
      </w:r>
    </w:p>
    <w:p w14:paraId="64AF1791">
      <w:pPr>
        <w:sectPr>
          <w:footerReference r:id="rId377" w:type="default"/>
          <w:pgSz w:w="11906" w:h="16839"/>
          <w:pgMar w:top="400" w:right="1785" w:bottom="1156" w:left="1785" w:header="0" w:footer="996" w:gutter="0"/>
          <w:cols w:space="720" w:num="1"/>
        </w:sectPr>
      </w:pPr>
    </w:p>
    <w:p w14:paraId="14992D94">
      <w:pPr>
        <w:spacing w:line="261" w:lineRule="auto"/>
        <w:rPr>
          <w:rFonts w:ascii="Arial"/>
          <w:sz w:val="21"/>
        </w:rPr>
      </w:pPr>
    </w:p>
    <w:p w14:paraId="5C825D58">
      <w:pPr>
        <w:spacing w:line="261" w:lineRule="auto"/>
        <w:rPr>
          <w:rFonts w:ascii="Arial"/>
          <w:sz w:val="21"/>
        </w:rPr>
      </w:pPr>
    </w:p>
    <w:p w14:paraId="7EBAC6B9">
      <w:pPr>
        <w:spacing w:line="261" w:lineRule="auto"/>
        <w:rPr>
          <w:rFonts w:ascii="Arial"/>
          <w:sz w:val="21"/>
        </w:rPr>
      </w:pPr>
    </w:p>
    <w:p w14:paraId="6B21C0F3">
      <w:pPr>
        <w:spacing w:line="261" w:lineRule="auto"/>
        <w:rPr>
          <w:rFonts w:ascii="Arial"/>
          <w:sz w:val="21"/>
        </w:rPr>
      </w:pPr>
    </w:p>
    <w:p w14:paraId="06543890">
      <w:pPr>
        <w:spacing w:line="13390" w:lineRule="exact"/>
        <w:ind w:firstLine="14"/>
        <w:textAlignment w:val="center"/>
      </w:pPr>
      <w:r>
        <w:drawing>
          <wp:inline distT="0" distB="0" distL="0" distR="0">
            <wp:extent cx="5601970" cy="8502015"/>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633"/>
                    <a:stretch>
                      <a:fillRect/>
                    </a:stretch>
                  </pic:blipFill>
                  <pic:spPr>
                    <a:xfrm>
                      <a:off x="0" y="0"/>
                      <a:ext cx="5602223" cy="8502396"/>
                    </a:xfrm>
                    <a:prstGeom prst="rect">
                      <a:avLst/>
                    </a:prstGeom>
                  </pic:spPr>
                </pic:pic>
              </a:graphicData>
            </a:graphic>
          </wp:inline>
        </w:drawing>
      </w:r>
    </w:p>
    <w:p w14:paraId="513CB40D">
      <w:pPr>
        <w:sectPr>
          <w:footerReference r:id="rId378" w:type="default"/>
          <w:pgSz w:w="11906" w:h="16839"/>
          <w:pgMar w:top="400" w:right="1283" w:bottom="1156" w:left="1785" w:header="0" w:footer="996" w:gutter="0"/>
          <w:cols w:space="720" w:num="1"/>
        </w:sectPr>
      </w:pPr>
    </w:p>
    <w:p w14:paraId="76DE1F4B">
      <w:pPr>
        <w:spacing w:line="250" w:lineRule="auto"/>
        <w:rPr>
          <w:rFonts w:ascii="Arial"/>
          <w:sz w:val="21"/>
        </w:rPr>
      </w:pPr>
    </w:p>
    <w:p w14:paraId="3EE9143D">
      <w:pPr>
        <w:spacing w:line="250" w:lineRule="auto"/>
        <w:rPr>
          <w:rFonts w:ascii="Arial"/>
          <w:sz w:val="21"/>
        </w:rPr>
      </w:pPr>
    </w:p>
    <w:p w14:paraId="1BB0B8EE">
      <w:pPr>
        <w:spacing w:line="250" w:lineRule="auto"/>
        <w:rPr>
          <w:rFonts w:ascii="Arial"/>
          <w:sz w:val="21"/>
        </w:rPr>
      </w:pPr>
    </w:p>
    <w:p w14:paraId="223DFCB9">
      <w:pPr>
        <w:spacing w:line="251" w:lineRule="auto"/>
        <w:rPr>
          <w:rFonts w:ascii="Arial"/>
          <w:sz w:val="21"/>
        </w:rPr>
      </w:pPr>
    </w:p>
    <w:p w14:paraId="1E443C0C">
      <w:pPr>
        <w:spacing w:before="95" w:line="215" w:lineRule="auto"/>
        <w:ind w:left="849"/>
        <w:outlineLvl w:val="0"/>
        <w:rPr>
          <w:rFonts w:ascii="宋体" w:hAnsi="宋体" w:eastAsia="宋体" w:cs="宋体"/>
          <w:sz w:val="29"/>
          <w:szCs w:val="29"/>
        </w:rPr>
      </w:pPr>
      <w:r>
        <w:rPr>
          <w:rFonts w:ascii="宋体" w:hAnsi="宋体" w:eastAsia="宋体" w:cs="宋体"/>
          <w:spacing w:val="20"/>
          <w:sz w:val="29"/>
          <w:szCs w:val="29"/>
          <w14:textOutline w14:w="5448" w14:cap="sq" w14:cmpd="sng">
            <w14:solidFill>
              <w14:srgbClr w14:val="000000"/>
            </w14:solidFill>
            <w14:prstDash w14:val="solid"/>
            <w14:bevel/>
          </w14:textOutline>
        </w:rPr>
        <w:t>《</w:t>
      </w:r>
      <w:r>
        <w:rPr>
          <w:rFonts w:ascii="宋体" w:hAnsi="宋体" w:eastAsia="宋体" w:cs="宋体"/>
          <w:spacing w:val="13"/>
          <w:sz w:val="29"/>
          <w:szCs w:val="29"/>
          <w14:textOutline w14:w="5448" w14:cap="sq" w14:cmpd="sng">
            <w14:solidFill>
              <w14:srgbClr w14:val="000000"/>
            </w14:solidFill>
            <w14:prstDash w14:val="solid"/>
            <w14:bevel/>
          </w14:textOutline>
        </w:rPr>
        <w:t>本</w:t>
      </w:r>
      <w:r>
        <w:rPr>
          <w:rFonts w:ascii="宋体" w:hAnsi="宋体" w:eastAsia="宋体" w:cs="宋体"/>
          <w:spacing w:val="10"/>
          <w:sz w:val="29"/>
          <w:szCs w:val="29"/>
          <w14:textOutline w14:w="5448" w14:cap="sq" w14:cmpd="sng">
            <w14:solidFill>
              <w14:srgbClr w14:val="000000"/>
            </w14:solidFill>
            <w14:prstDash w14:val="solid"/>
            <w14:bevel/>
          </w14:textOutline>
        </w:rPr>
        <w:t>溪弘福塑业有限公司新建项目环境影响报告书》修改说明</w:t>
      </w:r>
    </w:p>
    <w:tbl>
      <w:tblPr>
        <w:tblStyle w:val="4"/>
        <w:tblW w:w="979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4155"/>
        <w:gridCol w:w="4952"/>
      </w:tblGrid>
      <w:tr w14:paraId="25B48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85" w:type="dxa"/>
            <w:tcBorders>
              <w:left w:val="nil"/>
              <w:right w:val="single" w:color="000000" w:sz="4" w:space="0"/>
            </w:tcBorders>
            <w:vAlign w:val="top"/>
          </w:tcPr>
          <w:p w14:paraId="06104020">
            <w:pPr>
              <w:spacing w:before="123" w:line="229" w:lineRule="auto"/>
              <w:ind w:left="122"/>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序</w:t>
            </w:r>
            <w:r>
              <w:rPr>
                <w:rFonts w:ascii="宋体" w:hAnsi="宋体" w:eastAsia="宋体" w:cs="宋体"/>
                <w:sz w:val="23"/>
                <w:szCs w:val="23"/>
                <w14:textOutline w14:w="4358" w14:cap="sq" w14:cmpd="sng">
                  <w14:solidFill>
                    <w14:srgbClr w14:val="000000"/>
                  </w14:solidFill>
                  <w14:prstDash w14:val="solid"/>
                  <w14:bevel/>
                </w14:textOutline>
              </w:rPr>
              <w:t>号</w:t>
            </w:r>
          </w:p>
        </w:tc>
        <w:tc>
          <w:tcPr>
            <w:tcW w:w="4155" w:type="dxa"/>
            <w:tcBorders>
              <w:left w:val="single" w:color="000000" w:sz="4" w:space="0"/>
              <w:right w:val="single" w:color="000000" w:sz="4" w:space="0"/>
            </w:tcBorders>
            <w:vAlign w:val="top"/>
          </w:tcPr>
          <w:p w14:paraId="4ED5F103">
            <w:pPr>
              <w:spacing w:before="124" w:line="227" w:lineRule="auto"/>
              <w:ind w:left="1397"/>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专家评审</w:t>
            </w:r>
            <w:r>
              <w:rPr>
                <w:rFonts w:ascii="宋体" w:hAnsi="宋体" w:eastAsia="宋体" w:cs="宋体"/>
                <w:sz w:val="23"/>
                <w:szCs w:val="23"/>
                <w14:textOutline w14:w="4358" w14:cap="sq" w14:cmpd="sng">
                  <w14:solidFill>
                    <w14:srgbClr w14:val="000000"/>
                  </w14:solidFill>
                  <w14:prstDash w14:val="solid"/>
                  <w14:bevel/>
                </w14:textOutline>
              </w:rPr>
              <w:t>意见</w:t>
            </w:r>
          </w:p>
        </w:tc>
        <w:tc>
          <w:tcPr>
            <w:tcW w:w="4952" w:type="dxa"/>
            <w:tcBorders>
              <w:left w:val="single" w:color="000000" w:sz="4" w:space="0"/>
              <w:right w:val="nil"/>
            </w:tcBorders>
            <w:vAlign w:val="top"/>
          </w:tcPr>
          <w:p w14:paraId="471C4682">
            <w:pPr>
              <w:spacing w:before="124" w:line="227" w:lineRule="auto"/>
              <w:ind w:left="2024"/>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修</w:t>
            </w:r>
            <w:r>
              <w:rPr>
                <w:rFonts w:ascii="宋体" w:hAnsi="宋体" w:eastAsia="宋体" w:cs="宋体"/>
                <w:sz w:val="23"/>
                <w:szCs w:val="23"/>
                <w14:textOutline w14:w="4358" w14:cap="sq" w14:cmpd="sng">
                  <w14:solidFill>
                    <w14:srgbClr w14:val="000000"/>
                  </w14:solidFill>
                  <w14:prstDash w14:val="solid"/>
                  <w14:bevel/>
                </w14:textOutline>
              </w:rPr>
              <w:t>改说明</w:t>
            </w:r>
          </w:p>
        </w:tc>
      </w:tr>
      <w:tr w14:paraId="3F469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685" w:type="dxa"/>
            <w:tcBorders>
              <w:left w:val="nil"/>
              <w:right w:val="single" w:color="000000" w:sz="4" w:space="0"/>
            </w:tcBorders>
            <w:vAlign w:val="top"/>
          </w:tcPr>
          <w:p w14:paraId="10A1BE2F">
            <w:pPr>
              <w:spacing w:line="277" w:lineRule="auto"/>
              <w:rPr>
                <w:rFonts w:ascii="Arial"/>
                <w:sz w:val="21"/>
              </w:rPr>
            </w:pPr>
          </w:p>
          <w:p w14:paraId="1DA5E0B8">
            <w:pPr>
              <w:spacing w:line="277" w:lineRule="auto"/>
              <w:rPr>
                <w:rFonts w:ascii="Arial"/>
                <w:sz w:val="21"/>
              </w:rPr>
            </w:pPr>
          </w:p>
          <w:p w14:paraId="683F7EA4">
            <w:pPr>
              <w:spacing w:line="277" w:lineRule="auto"/>
              <w:rPr>
                <w:rFonts w:ascii="Arial"/>
                <w:sz w:val="21"/>
              </w:rPr>
            </w:pPr>
          </w:p>
          <w:p w14:paraId="221E6BF5">
            <w:pPr>
              <w:spacing w:before="66" w:line="195" w:lineRule="auto"/>
              <w:ind w:left="300"/>
              <w:rPr>
                <w:rFonts w:ascii="Times New Roman" w:hAnsi="Times New Roman" w:eastAsia="Times New Roman" w:cs="Times New Roman"/>
                <w:sz w:val="23"/>
                <w:szCs w:val="23"/>
              </w:rPr>
            </w:pPr>
            <w:r>
              <w:rPr>
                <w:rFonts w:ascii="Times New Roman" w:hAnsi="Times New Roman" w:eastAsia="Times New Roman" w:cs="Times New Roman"/>
                <w:b/>
                <w:bCs/>
                <w:sz w:val="23"/>
                <w:szCs w:val="23"/>
              </w:rPr>
              <w:t>1</w:t>
            </w:r>
          </w:p>
        </w:tc>
        <w:tc>
          <w:tcPr>
            <w:tcW w:w="4155" w:type="dxa"/>
            <w:tcBorders>
              <w:left w:val="single" w:color="000000" w:sz="4" w:space="0"/>
              <w:right w:val="single" w:color="000000" w:sz="4" w:space="0"/>
            </w:tcBorders>
            <w:vAlign w:val="top"/>
          </w:tcPr>
          <w:p w14:paraId="6DD898F4">
            <w:pPr>
              <w:spacing w:before="294" w:line="311" w:lineRule="auto"/>
              <w:ind w:left="26" w:right="7"/>
              <w:rPr>
                <w:rFonts w:ascii="宋体" w:hAnsi="宋体" w:eastAsia="宋体" w:cs="宋体"/>
                <w:sz w:val="23"/>
                <w:szCs w:val="23"/>
              </w:rPr>
            </w:pPr>
            <w:r>
              <w:rPr>
                <w:rFonts w:ascii="宋体" w:hAnsi="宋体" w:eastAsia="宋体" w:cs="宋体"/>
                <w:spacing w:val="-2"/>
                <w:sz w:val="23"/>
                <w:szCs w:val="23"/>
              </w:rPr>
              <w:t>补充立项文件。明确项目</w:t>
            </w:r>
            <w:r>
              <w:rPr>
                <w:rFonts w:ascii="宋体" w:hAnsi="宋体" w:eastAsia="宋体" w:cs="宋体"/>
                <w:spacing w:val="-1"/>
                <w:sz w:val="23"/>
                <w:szCs w:val="23"/>
              </w:rPr>
              <w:t>用地性质，说明</w:t>
            </w:r>
            <w:r>
              <w:rPr>
                <w:rFonts w:ascii="宋体" w:hAnsi="宋体" w:eastAsia="宋体" w:cs="宋体"/>
                <w:sz w:val="23"/>
                <w:szCs w:val="23"/>
              </w:rPr>
              <w:t xml:space="preserve"> </w:t>
            </w:r>
            <w:r>
              <w:rPr>
                <w:rFonts w:ascii="宋体" w:hAnsi="宋体" w:eastAsia="宋体" w:cs="宋体"/>
                <w:spacing w:val="-2"/>
                <w:sz w:val="23"/>
                <w:szCs w:val="23"/>
              </w:rPr>
              <w:t>与项目所在区域的相关规划</w:t>
            </w:r>
            <w:r>
              <w:rPr>
                <w:rFonts w:ascii="宋体" w:hAnsi="宋体" w:eastAsia="宋体" w:cs="宋体"/>
                <w:spacing w:val="-1"/>
                <w:sz w:val="23"/>
                <w:szCs w:val="23"/>
              </w:rPr>
              <w:t>相符性。说明</w:t>
            </w:r>
            <w:r>
              <w:rPr>
                <w:rFonts w:ascii="宋体" w:hAnsi="宋体" w:eastAsia="宋体" w:cs="宋体"/>
                <w:sz w:val="23"/>
                <w:szCs w:val="23"/>
              </w:rPr>
              <w:t xml:space="preserve"> </w:t>
            </w:r>
            <w:r>
              <w:rPr>
                <w:rFonts w:ascii="宋体" w:hAnsi="宋体" w:eastAsia="宋体" w:cs="宋体"/>
                <w:spacing w:val="-2"/>
                <w:sz w:val="23"/>
                <w:szCs w:val="23"/>
              </w:rPr>
              <w:t>项目与辽宁省蓝天工程三年</w:t>
            </w:r>
            <w:r>
              <w:rPr>
                <w:rFonts w:ascii="宋体" w:hAnsi="宋体" w:eastAsia="宋体" w:cs="宋体"/>
                <w:spacing w:val="-1"/>
                <w:sz w:val="23"/>
                <w:szCs w:val="23"/>
              </w:rPr>
              <w:t>行动计划的符</w:t>
            </w:r>
            <w:r>
              <w:rPr>
                <w:rFonts w:ascii="宋体" w:hAnsi="宋体" w:eastAsia="宋体" w:cs="宋体"/>
                <w:sz w:val="23"/>
                <w:szCs w:val="23"/>
              </w:rPr>
              <w:t xml:space="preserve"> </w:t>
            </w:r>
            <w:r>
              <w:rPr>
                <w:rFonts w:ascii="宋体" w:hAnsi="宋体" w:eastAsia="宋体" w:cs="宋体"/>
                <w:spacing w:val="-1"/>
                <w:sz w:val="23"/>
                <w:szCs w:val="23"/>
              </w:rPr>
              <w:t>合性。</w:t>
            </w:r>
          </w:p>
        </w:tc>
        <w:tc>
          <w:tcPr>
            <w:tcW w:w="4952" w:type="dxa"/>
            <w:tcBorders>
              <w:left w:val="single" w:color="000000" w:sz="4" w:space="0"/>
              <w:right w:val="nil"/>
            </w:tcBorders>
            <w:vAlign w:val="top"/>
          </w:tcPr>
          <w:p w14:paraId="44B34021">
            <w:pPr>
              <w:spacing w:before="100" w:line="227" w:lineRule="auto"/>
              <w:ind w:left="46"/>
              <w:rPr>
                <w:rFonts w:ascii="宋体" w:hAnsi="宋体" w:eastAsia="宋体" w:cs="宋体"/>
                <w:sz w:val="23"/>
                <w:szCs w:val="23"/>
              </w:rPr>
            </w:pPr>
            <w:r>
              <w:rPr>
                <w:rFonts w:ascii="宋体" w:hAnsi="宋体" w:eastAsia="宋体" w:cs="宋体"/>
                <w:spacing w:val="-6"/>
                <w:sz w:val="23"/>
                <w:szCs w:val="23"/>
              </w:rPr>
              <w:t>附</w:t>
            </w:r>
            <w:r>
              <w:rPr>
                <w:rFonts w:ascii="宋体" w:hAnsi="宋体" w:eastAsia="宋体" w:cs="宋体"/>
                <w:spacing w:val="-5"/>
                <w:sz w:val="23"/>
                <w:szCs w:val="23"/>
              </w:rPr>
              <w:t>件</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补充了立项文件；</w:t>
            </w:r>
          </w:p>
          <w:p w14:paraId="574866D4">
            <w:pPr>
              <w:spacing w:before="100" w:line="304" w:lineRule="auto"/>
              <w:ind w:left="46" w:right="13" w:hanging="2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3"/>
                <w:sz w:val="23"/>
                <w:szCs w:val="23"/>
              </w:rPr>
              <w:t xml:space="preserve">13  </w:t>
            </w:r>
            <w:r>
              <w:rPr>
                <w:rFonts w:ascii="宋体" w:hAnsi="宋体" w:eastAsia="宋体" w:cs="宋体"/>
                <w:spacing w:val="3"/>
                <w:sz w:val="23"/>
                <w:szCs w:val="23"/>
              </w:rPr>
              <w:t>明确了项目用地性质，说明与项目所在区</w:t>
            </w:r>
            <w:r>
              <w:rPr>
                <w:rFonts w:ascii="宋体" w:hAnsi="宋体" w:eastAsia="宋体" w:cs="宋体"/>
                <w:spacing w:val="2"/>
                <w:sz w:val="23"/>
                <w:szCs w:val="23"/>
              </w:rPr>
              <w:t>域</w:t>
            </w:r>
            <w:r>
              <w:rPr>
                <w:rFonts w:ascii="宋体" w:hAnsi="宋体" w:eastAsia="宋体" w:cs="宋体"/>
                <w:sz w:val="23"/>
                <w:szCs w:val="23"/>
              </w:rPr>
              <w:t xml:space="preserve"> </w:t>
            </w:r>
            <w:r>
              <w:rPr>
                <w:rFonts w:ascii="宋体" w:hAnsi="宋体" w:eastAsia="宋体" w:cs="宋体"/>
                <w:spacing w:val="-6"/>
                <w:sz w:val="23"/>
                <w:szCs w:val="23"/>
              </w:rPr>
              <w:t>的相</w:t>
            </w:r>
            <w:r>
              <w:rPr>
                <w:rFonts w:ascii="宋体" w:hAnsi="宋体" w:eastAsia="宋体" w:cs="宋体"/>
                <w:spacing w:val="-4"/>
                <w:sz w:val="23"/>
                <w:szCs w:val="23"/>
              </w:rPr>
              <w:t>关</w:t>
            </w:r>
            <w:r>
              <w:rPr>
                <w:rFonts w:ascii="宋体" w:hAnsi="宋体" w:eastAsia="宋体" w:cs="宋体"/>
                <w:spacing w:val="-3"/>
                <w:sz w:val="23"/>
                <w:szCs w:val="23"/>
              </w:rPr>
              <w:t>规划相符性；</w:t>
            </w:r>
          </w:p>
          <w:p w14:paraId="010D9C43">
            <w:pPr>
              <w:spacing w:before="2" w:line="266" w:lineRule="auto"/>
              <w:ind w:left="27" w:right="10" w:hanging="5"/>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4"/>
                <w:sz w:val="23"/>
                <w:szCs w:val="23"/>
              </w:rPr>
              <w:t>14-</w:t>
            </w:r>
            <w:r>
              <w:rPr>
                <w:rFonts w:ascii="Times New Roman" w:hAnsi="Times New Roman" w:eastAsia="Times New Roman" w:cs="Times New Roman"/>
                <w:sz w:val="23"/>
                <w:szCs w:val="23"/>
              </w:rPr>
              <w:t>P</w:t>
            </w:r>
            <w:r>
              <w:rPr>
                <w:rFonts w:ascii="Times New Roman" w:hAnsi="Times New Roman" w:eastAsia="Times New Roman" w:cs="Times New Roman"/>
                <w:spacing w:val="4"/>
                <w:sz w:val="23"/>
                <w:szCs w:val="23"/>
              </w:rPr>
              <w:t xml:space="preserve">16  </w:t>
            </w:r>
            <w:r>
              <w:rPr>
                <w:rFonts w:ascii="宋体" w:hAnsi="宋体" w:eastAsia="宋体" w:cs="宋体"/>
                <w:spacing w:val="4"/>
                <w:sz w:val="23"/>
                <w:szCs w:val="23"/>
              </w:rPr>
              <w:t>说明了项目与辽宁省蓝天工程三年行</w:t>
            </w:r>
            <w:r>
              <w:rPr>
                <w:rFonts w:ascii="宋体" w:hAnsi="宋体" w:eastAsia="宋体" w:cs="宋体"/>
                <w:spacing w:val="3"/>
                <w:sz w:val="23"/>
                <w:szCs w:val="23"/>
              </w:rPr>
              <w:t>动</w:t>
            </w:r>
            <w:r>
              <w:rPr>
                <w:rFonts w:ascii="宋体" w:hAnsi="宋体" w:eastAsia="宋体" w:cs="宋体"/>
                <w:sz w:val="23"/>
                <w:szCs w:val="23"/>
              </w:rPr>
              <w:t xml:space="preserve"> </w:t>
            </w:r>
            <w:r>
              <w:rPr>
                <w:rFonts w:ascii="宋体" w:hAnsi="宋体" w:eastAsia="宋体" w:cs="宋体"/>
                <w:spacing w:val="-2"/>
                <w:sz w:val="23"/>
                <w:szCs w:val="23"/>
              </w:rPr>
              <w:t>计划的</w:t>
            </w:r>
            <w:r>
              <w:rPr>
                <w:rFonts w:ascii="宋体" w:hAnsi="宋体" w:eastAsia="宋体" w:cs="宋体"/>
                <w:spacing w:val="-1"/>
                <w:sz w:val="23"/>
                <w:szCs w:val="23"/>
              </w:rPr>
              <w:t>符合性。</w:t>
            </w:r>
          </w:p>
        </w:tc>
      </w:tr>
      <w:tr w14:paraId="568EC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85" w:type="dxa"/>
            <w:tcBorders>
              <w:left w:val="nil"/>
              <w:right w:val="single" w:color="000000" w:sz="4" w:space="0"/>
            </w:tcBorders>
            <w:vAlign w:val="top"/>
          </w:tcPr>
          <w:p w14:paraId="4FEB39F5">
            <w:pPr>
              <w:spacing w:line="450" w:lineRule="auto"/>
              <w:rPr>
                <w:rFonts w:ascii="Arial"/>
                <w:sz w:val="21"/>
              </w:rPr>
            </w:pPr>
          </w:p>
          <w:p w14:paraId="51D2A8DD">
            <w:pPr>
              <w:spacing w:before="66" w:line="195" w:lineRule="auto"/>
              <w:ind w:left="290"/>
              <w:rPr>
                <w:rFonts w:ascii="Times New Roman" w:hAnsi="Times New Roman" w:eastAsia="Times New Roman" w:cs="Times New Roman"/>
                <w:sz w:val="23"/>
                <w:szCs w:val="23"/>
              </w:rPr>
            </w:pPr>
            <w:r>
              <w:rPr>
                <w:rFonts w:ascii="Times New Roman" w:hAnsi="Times New Roman" w:eastAsia="Times New Roman" w:cs="Times New Roman"/>
                <w:b/>
                <w:bCs/>
                <w:sz w:val="23"/>
                <w:szCs w:val="23"/>
              </w:rPr>
              <w:t>2</w:t>
            </w:r>
          </w:p>
        </w:tc>
        <w:tc>
          <w:tcPr>
            <w:tcW w:w="4155" w:type="dxa"/>
            <w:tcBorders>
              <w:left w:val="single" w:color="000000" w:sz="4" w:space="0"/>
              <w:right w:val="single" w:color="000000" w:sz="4" w:space="0"/>
            </w:tcBorders>
            <w:vAlign w:val="top"/>
          </w:tcPr>
          <w:p w14:paraId="26BEEE8C">
            <w:pPr>
              <w:spacing w:before="100" w:line="279" w:lineRule="auto"/>
              <w:ind w:left="28" w:right="7"/>
              <w:rPr>
                <w:rFonts w:ascii="宋体" w:hAnsi="宋体" w:eastAsia="宋体" w:cs="宋体"/>
                <w:sz w:val="23"/>
                <w:szCs w:val="23"/>
              </w:rPr>
            </w:pPr>
            <w:r>
              <w:rPr>
                <w:rFonts w:ascii="宋体" w:hAnsi="宋体" w:eastAsia="宋体" w:cs="宋体"/>
                <w:spacing w:val="-2"/>
                <w:sz w:val="23"/>
                <w:szCs w:val="23"/>
              </w:rPr>
              <w:t>核实项目评价标准，补充挥发性</w:t>
            </w:r>
            <w:r>
              <w:rPr>
                <w:rFonts w:ascii="宋体" w:hAnsi="宋体" w:eastAsia="宋体" w:cs="宋体"/>
                <w:spacing w:val="-1"/>
                <w:sz w:val="23"/>
                <w:szCs w:val="23"/>
              </w:rPr>
              <w:t>有机物无</w:t>
            </w:r>
            <w:r>
              <w:rPr>
                <w:rFonts w:ascii="宋体" w:hAnsi="宋体" w:eastAsia="宋体" w:cs="宋体"/>
                <w:sz w:val="23"/>
                <w:szCs w:val="23"/>
              </w:rPr>
              <w:t xml:space="preserve"> </w:t>
            </w:r>
            <w:r>
              <w:rPr>
                <w:rFonts w:ascii="宋体" w:hAnsi="宋体" w:eastAsia="宋体" w:cs="宋体"/>
                <w:spacing w:val="-2"/>
                <w:sz w:val="23"/>
                <w:szCs w:val="23"/>
              </w:rPr>
              <w:t>组织排放标准。生物质锅炉应</w:t>
            </w:r>
            <w:r>
              <w:rPr>
                <w:rFonts w:ascii="宋体" w:hAnsi="宋体" w:eastAsia="宋体" w:cs="宋体"/>
                <w:spacing w:val="-1"/>
                <w:sz w:val="23"/>
                <w:szCs w:val="23"/>
              </w:rPr>
              <w:t>执行相应标</w:t>
            </w:r>
            <w:r>
              <w:rPr>
                <w:rFonts w:ascii="宋体" w:hAnsi="宋体" w:eastAsia="宋体" w:cs="宋体"/>
                <w:sz w:val="23"/>
                <w:szCs w:val="23"/>
              </w:rPr>
              <w:t xml:space="preserve"> </w:t>
            </w:r>
            <w:r>
              <w:rPr>
                <w:rFonts w:ascii="宋体" w:hAnsi="宋体" w:eastAsia="宋体" w:cs="宋体"/>
                <w:spacing w:val="-2"/>
                <w:sz w:val="23"/>
                <w:szCs w:val="23"/>
              </w:rPr>
              <w:t>准中的排放限</w:t>
            </w:r>
            <w:r>
              <w:rPr>
                <w:rFonts w:ascii="宋体" w:hAnsi="宋体" w:eastAsia="宋体" w:cs="宋体"/>
                <w:spacing w:val="-1"/>
                <w:sz w:val="23"/>
                <w:szCs w:val="23"/>
              </w:rPr>
              <w:t>值。</w:t>
            </w:r>
          </w:p>
        </w:tc>
        <w:tc>
          <w:tcPr>
            <w:tcW w:w="4952" w:type="dxa"/>
            <w:tcBorders>
              <w:left w:val="single" w:color="000000" w:sz="4" w:space="0"/>
              <w:right w:val="nil"/>
            </w:tcBorders>
            <w:vAlign w:val="top"/>
          </w:tcPr>
          <w:p w14:paraId="3E4A0FBF">
            <w:pPr>
              <w:spacing w:before="100" w:line="279" w:lineRule="auto"/>
              <w:ind w:left="28" w:right="10" w:firstLine="2"/>
              <w:rPr>
                <w:rFonts w:ascii="宋体" w:hAnsi="宋体" w:eastAsia="宋体" w:cs="宋体"/>
                <w:sz w:val="23"/>
                <w:szCs w:val="23"/>
              </w:rPr>
            </w:pPr>
            <w:r>
              <w:rPr>
                <w:rFonts w:ascii="宋体" w:hAnsi="宋体" w:eastAsia="宋体" w:cs="宋体"/>
                <w:spacing w:val="-6"/>
                <w:sz w:val="23"/>
                <w:szCs w:val="23"/>
              </w:rPr>
              <w:t>核实</w:t>
            </w:r>
            <w:r>
              <w:rPr>
                <w:rFonts w:ascii="宋体" w:hAnsi="宋体" w:eastAsia="宋体" w:cs="宋体"/>
                <w:spacing w:val="-4"/>
                <w:sz w:val="23"/>
                <w:szCs w:val="23"/>
              </w:rPr>
              <w:t>了</w:t>
            </w:r>
            <w:r>
              <w:rPr>
                <w:rFonts w:ascii="宋体" w:hAnsi="宋体" w:eastAsia="宋体" w:cs="宋体"/>
                <w:spacing w:val="-3"/>
                <w:sz w:val="23"/>
                <w:szCs w:val="23"/>
              </w:rPr>
              <w:t>项目评价标准，</w:t>
            </w:r>
            <w:r>
              <w:rPr>
                <w:rFonts w:ascii="Times New Roman" w:hAnsi="Times New Roman" w:eastAsia="Times New Roman" w:cs="Times New Roman"/>
                <w:spacing w:val="-3"/>
                <w:sz w:val="23"/>
                <w:szCs w:val="23"/>
              </w:rPr>
              <w:t xml:space="preserve">P28-P29 </w:t>
            </w:r>
            <w:r>
              <w:rPr>
                <w:rFonts w:ascii="宋体" w:hAnsi="宋体" w:eastAsia="宋体" w:cs="宋体"/>
                <w:spacing w:val="-3"/>
                <w:sz w:val="23"/>
                <w:szCs w:val="23"/>
              </w:rPr>
              <w:t>补充了挥发性有机</w:t>
            </w:r>
            <w:r>
              <w:rPr>
                <w:rFonts w:ascii="宋体" w:hAnsi="宋体" w:eastAsia="宋体" w:cs="宋体"/>
                <w:sz w:val="23"/>
                <w:szCs w:val="23"/>
              </w:rPr>
              <w:t xml:space="preserve"> </w:t>
            </w:r>
            <w:r>
              <w:rPr>
                <w:rFonts w:ascii="宋体" w:hAnsi="宋体" w:eastAsia="宋体" w:cs="宋体"/>
                <w:spacing w:val="-7"/>
                <w:sz w:val="23"/>
                <w:szCs w:val="23"/>
              </w:rPr>
              <w:t>物无组织排放标准，生物质锅炉应执行了相应标</w:t>
            </w:r>
            <w:r>
              <w:rPr>
                <w:rFonts w:ascii="宋体" w:hAnsi="宋体" w:eastAsia="宋体" w:cs="宋体"/>
                <w:spacing w:val="-5"/>
                <w:sz w:val="23"/>
                <w:szCs w:val="23"/>
              </w:rPr>
              <w:t>准</w:t>
            </w:r>
            <w:r>
              <w:rPr>
                <w:rFonts w:ascii="宋体" w:hAnsi="宋体" w:eastAsia="宋体" w:cs="宋体"/>
                <w:sz w:val="23"/>
                <w:szCs w:val="23"/>
              </w:rPr>
              <w:t xml:space="preserve"> </w:t>
            </w:r>
            <w:r>
              <w:rPr>
                <w:rFonts w:ascii="宋体" w:hAnsi="宋体" w:eastAsia="宋体" w:cs="宋体"/>
                <w:spacing w:val="-2"/>
                <w:sz w:val="23"/>
                <w:szCs w:val="23"/>
              </w:rPr>
              <w:t>中的排</w:t>
            </w:r>
            <w:r>
              <w:rPr>
                <w:rFonts w:ascii="宋体" w:hAnsi="宋体" w:eastAsia="宋体" w:cs="宋体"/>
                <w:spacing w:val="-1"/>
                <w:sz w:val="23"/>
                <w:szCs w:val="23"/>
              </w:rPr>
              <w:t>放限值。</w:t>
            </w:r>
          </w:p>
        </w:tc>
      </w:tr>
      <w:tr w14:paraId="562A3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685" w:type="dxa"/>
            <w:tcBorders>
              <w:left w:val="nil"/>
              <w:right w:val="single" w:color="000000" w:sz="4" w:space="0"/>
            </w:tcBorders>
            <w:vAlign w:val="top"/>
          </w:tcPr>
          <w:p w14:paraId="272C01C2">
            <w:pPr>
              <w:spacing w:line="263" w:lineRule="auto"/>
              <w:rPr>
                <w:rFonts w:ascii="Arial"/>
                <w:sz w:val="21"/>
              </w:rPr>
            </w:pPr>
          </w:p>
          <w:p w14:paraId="4E4525EC">
            <w:pPr>
              <w:spacing w:before="66" w:line="194" w:lineRule="auto"/>
              <w:ind w:left="288"/>
              <w:rPr>
                <w:rFonts w:ascii="Times New Roman" w:hAnsi="Times New Roman" w:eastAsia="Times New Roman" w:cs="Times New Roman"/>
                <w:sz w:val="23"/>
                <w:szCs w:val="23"/>
              </w:rPr>
            </w:pPr>
            <w:r>
              <w:rPr>
                <w:rFonts w:ascii="Times New Roman" w:hAnsi="Times New Roman" w:eastAsia="Times New Roman" w:cs="Times New Roman"/>
                <w:b/>
                <w:bCs/>
                <w:spacing w:val="1"/>
                <w:sz w:val="23"/>
                <w:szCs w:val="23"/>
              </w:rPr>
              <w:t>3</w:t>
            </w:r>
          </w:p>
        </w:tc>
        <w:tc>
          <w:tcPr>
            <w:tcW w:w="4155" w:type="dxa"/>
            <w:tcBorders>
              <w:left w:val="single" w:color="000000" w:sz="4" w:space="0"/>
              <w:right w:val="single" w:color="000000" w:sz="4" w:space="0"/>
            </w:tcBorders>
            <w:vAlign w:val="top"/>
          </w:tcPr>
          <w:p w14:paraId="0FD2322B">
            <w:pPr>
              <w:spacing w:before="99" w:line="267" w:lineRule="auto"/>
              <w:ind w:left="26" w:right="7" w:firstLine="1"/>
              <w:rPr>
                <w:rFonts w:ascii="宋体" w:hAnsi="宋体" w:eastAsia="宋体" w:cs="宋体"/>
                <w:sz w:val="23"/>
                <w:szCs w:val="23"/>
              </w:rPr>
            </w:pPr>
            <w:r>
              <w:rPr>
                <w:rFonts w:ascii="宋体" w:hAnsi="宋体" w:eastAsia="宋体" w:cs="宋体"/>
                <w:spacing w:val="-2"/>
                <w:sz w:val="23"/>
                <w:szCs w:val="23"/>
              </w:rPr>
              <w:t>完善项目组成表，明确原料来</w:t>
            </w:r>
            <w:r>
              <w:rPr>
                <w:rFonts w:ascii="宋体" w:hAnsi="宋体" w:eastAsia="宋体" w:cs="宋体"/>
                <w:spacing w:val="-1"/>
                <w:sz w:val="23"/>
                <w:szCs w:val="23"/>
              </w:rPr>
              <w:t>源，原辅材</w:t>
            </w:r>
            <w:r>
              <w:rPr>
                <w:rFonts w:ascii="宋体" w:hAnsi="宋体" w:eastAsia="宋体" w:cs="宋体"/>
                <w:sz w:val="23"/>
                <w:szCs w:val="23"/>
              </w:rPr>
              <w:t xml:space="preserve"> </w:t>
            </w:r>
            <w:r>
              <w:rPr>
                <w:rFonts w:ascii="宋体" w:hAnsi="宋体" w:eastAsia="宋体" w:cs="宋体"/>
                <w:spacing w:val="-2"/>
                <w:sz w:val="23"/>
                <w:szCs w:val="23"/>
              </w:rPr>
              <w:t>料暂存方式及</w:t>
            </w:r>
            <w:r>
              <w:rPr>
                <w:rFonts w:ascii="宋体" w:hAnsi="宋体" w:eastAsia="宋体" w:cs="宋体"/>
                <w:spacing w:val="-1"/>
                <w:sz w:val="23"/>
                <w:szCs w:val="23"/>
              </w:rPr>
              <w:t>储存量。</w:t>
            </w:r>
          </w:p>
        </w:tc>
        <w:tc>
          <w:tcPr>
            <w:tcW w:w="4952" w:type="dxa"/>
            <w:tcBorders>
              <w:left w:val="single" w:color="000000" w:sz="4" w:space="0"/>
              <w:right w:val="nil"/>
            </w:tcBorders>
            <w:vAlign w:val="top"/>
          </w:tcPr>
          <w:p w14:paraId="167C8EC1">
            <w:pPr>
              <w:spacing w:before="101" w:line="266" w:lineRule="auto"/>
              <w:ind w:left="29" w:right="8" w:hanging="7"/>
              <w:rPr>
                <w:rFonts w:ascii="宋体" w:hAnsi="宋体" w:eastAsia="宋体" w:cs="宋体"/>
                <w:sz w:val="23"/>
                <w:szCs w:val="23"/>
              </w:rPr>
            </w:pPr>
            <w:r>
              <w:rPr>
                <w:rFonts w:ascii="Times New Roman" w:hAnsi="Times New Roman" w:eastAsia="Times New Roman" w:cs="Times New Roman"/>
                <w:spacing w:val="-3"/>
                <w:sz w:val="23"/>
                <w:szCs w:val="23"/>
              </w:rPr>
              <w:t>P42-</w:t>
            </w:r>
            <w:r>
              <w:rPr>
                <w:rFonts w:ascii="Times New Roman" w:hAnsi="Times New Roman" w:eastAsia="Times New Roman" w:cs="Times New Roman"/>
                <w:sz w:val="23"/>
                <w:szCs w:val="23"/>
              </w:rPr>
              <w:t>P</w:t>
            </w:r>
            <w:r>
              <w:rPr>
                <w:rFonts w:ascii="Times New Roman" w:hAnsi="Times New Roman" w:eastAsia="Times New Roman" w:cs="Times New Roman"/>
                <w:spacing w:val="-3"/>
                <w:sz w:val="23"/>
                <w:szCs w:val="23"/>
              </w:rPr>
              <w:t xml:space="preserve">44 </w:t>
            </w:r>
            <w:r>
              <w:rPr>
                <w:rFonts w:ascii="宋体" w:hAnsi="宋体" w:eastAsia="宋体" w:cs="宋体"/>
                <w:spacing w:val="-3"/>
                <w:sz w:val="23"/>
                <w:szCs w:val="23"/>
              </w:rPr>
              <w:t>完善了项目组成表，明确了原料来源、原</w:t>
            </w:r>
            <w:r>
              <w:rPr>
                <w:rFonts w:ascii="宋体" w:hAnsi="宋体" w:eastAsia="宋体" w:cs="宋体"/>
                <w:sz w:val="23"/>
                <w:szCs w:val="23"/>
              </w:rPr>
              <w:t xml:space="preserve"> </w:t>
            </w:r>
            <w:r>
              <w:rPr>
                <w:rFonts w:ascii="宋体" w:hAnsi="宋体" w:eastAsia="宋体" w:cs="宋体"/>
                <w:spacing w:val="-2"/>
                <w:sz w:val="23"/>
                <w:szCs w:val="23"/>
              </w:rPr>
              <w:t>辅材料暂存方式及储存</w:t>
            </w:r>
            <w:r>
              <w:rPr>
                <w:rFonts w:ascii="宋体" w:hAnsi="宋体" w:eastAsia="宋体" w:cs="宋体"/>
                <w:spacing w:val="-1"/>
                <w:sz w:val="23"/>
                <w:szCs w:val="23"/>
              </w:rPr>
              <w:t>量。</w:t>
            </w:r>
          </w:p>
        </w:tc>
      </w:tr>
      <w:tr w14:paraId="79ACA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4" w:hRule="atLeast"/>
        </w:trPr>
        <w:tc>
          <w:tcPr>
            <w:tcW w:w="685" w:type="dxa"/>
            <w:tcBorders>
              <w:left w:val="nil"/>
              <w:right w:val="single" w:color="000000" w:sz="4" w:space="0"/>
            </w:tcBorders>
            <w:vAlign w:val="top"/>
          </w:tcPr>
          <w:p w14:paraId="122AFDC7">
            <w:pPr>
              <w:spacing w:line="241" w:lineRule="auto"/>
              <w:rPr>
                <w:rFonts w:ascii="Arial"/>
                <w:sz w:val="21"/>
              </w:rPr>
            </w:pPr>
          </w:p>
          <w:p w14:paraId="478C6CCE">
            <w:pPr>
              <w:spacing w:line="241" w:lineRule="auto"/>
              <w:rPr>
                <w:rFonts w:ascii="Arial"/>
                <w:sz w:val="21"/>
              </w:rPr>
            </w:pPr>
          </w:p>
          <w:p w14:paraId="07E87B03">
            <w:pPr>
              <w:spacing w:line="241" w:lineRule="auto"/>
              <w:rPr>
                <w:rFonts w:ascii="Arial"/>
                <w:sz w:val="21"/>
              </w:rPr>
            </w:pPr>
          </w:p>
          <w:p w14:paraId="2B5D5155">
            <w:pPr>
              <w:spacing w:line="242" w:lineRule="auto"/>
              <w:rPr>
                <w:rFonts w:ascii="Arial"/>
                <w:sz w:val="21"/>
              </w:rPr>
            </w:pPr>
          </w:p>
          <w:p w14:paraId="6748C8C5">
            <w:pPr>
              <w:spacing w:line="242" w:lineRule="auto"/>
              <w:rPr>
                <w:rFonts w:ascii="Arial"/>
                <w:sz w:val="21"/>
              </w:rPr>
            </w:pPr>
          </w:p>
          <w:p w14:paraId="68AC8518">
            <w:pPr>
              <w:spacing w:before="66" w:line="195" w:lineRule="auto"/>
              <w:ind w:left="290"/>
              <w:rPr>
                <w:rFonts w:ascii="Times New Roman" w:hAnsi="Times New Roman" w:eastAsia="Times New Roman" w:cs="Times New Roman"/>
                <w:sz w:val="23"/>
                <w:szCs w:val="23"/>
              </w:rPr>
            </w:pPr>
            <w:r>
              <w:rPr>
                <w:rFonts w:ascii="Times New Roman" w:hAnsi="Times New Roman" w:eastAsia="Times New Roman" w:cs="Times New Roman"/>
                <w:b/>
                <w:bCs/>
                <w:sz w:val="23"/>
                <w:szCs w:val="23"/>
              </w:rPr>
              <w:t>4</w:t>
            </w:r>
          </w:p>
        </w:tc>
        <w:tc>
          <w:tcPr>
            <w:tcW w:w="4155" w:type="dxa"/>
            <w:tcBorders>
              <w:left w:val="single" w:color="000000" w:sz="4" w:space="0"/>
              <w:right w:val="single" w:color="000000" w:sz="4" w:space="0"/>
            </w:tcBorders>
            <w:vAlign w:val="top"/>
          </w:tcPr>
          <w:p w14:paraId="62A1BC88">
            <w:pPr>
              <w:spacing w:before="290" w:line="309" w:lineRule="auto"/>
              <w:ind w:left="26" w:right="7" w:firstLine="2"/>
              <w:rPr>
                <w:rFonts w:ascii="宋体" w:hAnsi="宋体" w:eastAsia="宋体" w:cs="宋体"/>
                <w:sz w:val="23"/>
                <w:szCs w:val="23"/>
              </w:rPr>
            </w:pPr>
            <w:r>
              <w:rPr>
                <w:rFonts w:ascii="宋体" w:hAnsi="宋体" w:eastAsia="宋体" w:cs="宋体"/>
                <w:spacing w:val="-2"/>
                <w:sz w:val="23"/>
                <w:szCs w:val="23"/>
              </w:rPr>
              <w:t>核实项目工艺流程，细化工艺流</w:t>
            </w:r>
            <w:r>
              <w:rPr>
                <w:rFonts w:ascii="宋体" w:hAnsi="宋体" w:eastAsia="宋体" w:cs="宋体"/>
                <w:spacing w:val="-1"/>
                <w:sz w:val="23"/>
                <w:szCs w:val="23"/>
              </w:rPr>
              <w:t>程及排污</w:t>
            </w:r>
            <w:r>
              <w:rPr>
                <w:rFonts w:ascii="宋体" w:hAnsi="宋体" w:eastAsia="宋体" w:cs="宋体"/>
                <w:sz w:val="23"/>
                <w:szCs w:val="23"/>
              </w:rPr>
              <w:t xml:space="preserve"> </w:t>
            </w:r>
            <w:r>
              <w:rPr>
                <w:rFonts w:ascii="宋体" w:hAnsi="宋体" w:eastAsia="宋体" w:cs="宋体"/>
                <w:spacing w:val="-2"/>
                <w:sz w:val="23"/>
                <w:szCs w:val="23"/>
              </w:rPr>
              <w:t>节点图，说明各排污节点</w:t>
            </w:r>
            <w:r>
              <w:rPr>
                <w:rFonts w:ascii="宋体" w:hAnsi="宋体" w:eastAsia="宋体" w:cs="宋体"/>
                <w:spacing w:val="-1"/>
                <w:sz w:val="23"/>
                <w:szCs w:val="23"/>
              </w:rPr>
              <w:t>废气、废水产生</w:t>
            </w:r>
            <w:r>
              <w:rPr>
                <w:rFonts w:ascii="宋体" w:hAnsi="宋体" w:eastAsia="宋体" w:cs="宋体"/>
                <w:sz w:val="23"/>
                <w:szCs w:val="23"/>
              </w:rPr>
              <w:t xml:space="preserve"> </w:t>
            </w:r>
            <w:r>
              <w:rPr>
                <w:rFonts w:ascii="宋体" w:hAnsi="宋体" w:eastAsia="宋体" w:cs="宋体"/>
                <w:spacing w:val="-2"/>
                <w:sz w:val="23"/>
                <w:szCs w:val="23"/>
              </w:rPr>
              <w:t>情况，给出各节点废水产</w:t>
            </w:r>
            <w:r>
              <w:rPr>
                <w:rFonts w:ascii="宋体" w:hAnsi="宋体" w:eastAsia="宋体" w:cs="宋体"/>
                <w:spacing w:val="-1"/>
                <w:sz w:val="23"/>
                <w:szCs w:val="23"/>
              </w:rPr>
              <w:t>生量及污染物产</w:t>
            </w:r>
            <w:r>
              <w:rPr>
                <w:rFonts w:ascii="宋体" w:hAnsi="宋体" w:eastAsia="宋体" w:cs="宋体"/>
                <w:sz w:val="23"/>
                <w:szCs w:val="23"/>
              </w:rPr>
              <w:t xml:space="preserve"> </w:t>
            </w:r>
            <w:r>
              <w:rPr>
                <w:rFonts w:ascii="宋体" w:hAnsi="宋体" w:eastAsia="宋体" w:cs="宋体"/>
                <w:spacing w:val="-2"/>
                <w:sz w:val="23"/>
                <w:szCs w:val="23"/>
              </w:rPr>
              <w:t>生浓度。结合排污许可要</w:t>
            </w:r>
            <w:r>
              <w:rPr>
                <w:rFonts w:ascii="宋体" w:hAnsi="宋体" w:eastAsia="宋体" w:cs="宋体"/>
                <w:spacing w:val="-1"/>
                <w:sz w:val="23"/>
                <w:szCs w:val="23"/>
              </w:rPr>
              <w:t>求，核实项目污</w:t>
            </w:r>
            <w:r>
              <w:rPr>
                <w:rFonts w:ascii="宋体" w:hAnsi="宋体" w:eastAsia="宋体" w:cs="宋体"/>
                <w:sz w:val="23"/>
                <w:szCs w:val="23"/>
              </w:rPr>
              <w:t xml:space="preserve"> </w:t>
            </w:r>
            <w:r>
              <w:rPr>
                <w:rFonts w:ascii="宋体" w:hAnsi="宋体" w:eastAsia="宋体" w:cs="宋体"/>
                <w:spacing w:val="-2"/>
                <w:sz w:val="23"/>
                <w:szCs w:val="23"/>
              </w:rPr>
              <w:t>染物排放情况。并进行达</w:t>
            </w:r>
            <w:r>
              <w:rPr>
                <w:rFonts w:ascii="宋体" w:hAnsi="宋体" w:eastAsia="宋体" w:cs="宋体"/>
                <w:spacing w:val="-1"/>
                <w:sz w:val="23"/>
                <w:szCs w:val="23"/>
              </w:rPr>
              <w:t>标分析，明确排</w:t>
            </w:r>
            <w:r>
              <w:rPr>
                <w:rFonts w:ascii="宋体" w:hAnsi="宋体" w:eastAsia="宋体" w:cs="宋体"/>
                <w:sz w:val="23"/>
                <w:szCs w:val="23"/>
              </w:rPr>
              <w:t xml:space="preserve"> </w:t>
            </w:r>
            <w:r>
              <w:rPr>
                <w:rFonts w:ascii="宋体" w:hAnsi="宋体" w:eastAsia="宋体" w:cs="宋体"/>
                <w:spacing w:val="-2"/>
                <w:sz w:val="23"/>
                <w:szCs w:val="23"/>
              </w:rPr>
              <w:t>气筒个数及排气筒排放废气的执</w:t>
            </w:r>
            <w:r>
              <w:rPr>
                <w:rFonts w:ascii="宋体" w:hAnsi="宋体" w:eastAsia="宋体" w:cs="宋体"/>
                <w:spacing w:val="-1"/>
                <w:sz w:val="23"/>
                <w:szCs w:val="23"/>
              </w:rPr>
              <w:t>行标准。</w:t>
            </w:r>
          </w:p>
        </w:tc>
        <w:tc>
          <w:tcPr>
            <w:tcW w:w="4952" w:type="dxa"/>
            <w:tcBorders>
              <w:left w:val="single" w:color="000000" w:sz="4" w:space="0"/>
              <w:right w:val="nil"/>
            </w:tcBorders>
            <w:vAlign w:val="top"/>
          </w:tcPr>
          <w:p w14:paraId="66A15BF1">
            <w:pPr>
              <w:spacing w:before="101" w:line="305" w:lineRule="auto"/>
              <w:ind w:left="27" w:right="10" w:hanging="5"/>
              <w:rPr>
                <w:rFonts w:ascii="宋体" w:hAnsi="宋体" w:eastAsia="宋体" w:cs="宋体"/>
                <w:sz w:val="23"/>
                <w:szCs w:val="23"/>
              </w:rPr>
            </w:pPr>
            <w:r>
              <w:rPr>
                <w:rFonts w:ascii="Times New Roman" w:hAnsi="Times New Roman" w:eastAsia="Times New Roman" w:cs="Times New Roman"/>
                <w:spacing w:val="-3"/>
                <w:sz w:val="23"/>
                <w:szCs w:val="23"/>
              </w:rPr>
              <w:t>P55-</w:t>
            </w:r>
            <w:r>
              <w:rPr>
                <w:rFonts w:ascii="Times New Roman" w:hAnsi="Times New Roman" w:eastAsia="Times New Roman" w:cs="Times New Roman"/>
                <w:spacing w:val="-2"/>
                <w:sz w:val="23"/>
                <w:szCs w:val="23"/>
              </w:rPr>
              <w:t>P</w:t>
            </w:r>
            <w:r>
              <w:rPr>
                <w:rFonts w:ascii="Times New Roman" w:hAnsi="Times New Roman" w:eastAsia="Times New Roman" w:cs="Times New Roman"/>
                <w:spacing w:val="-3"/>
                <w:sz w:val="23"/>
                <w:szCs w:val="23"/>
              </w:rPr>
              <w:t xml:space="preserve">58 </w:t>
            </w:r>
            <w:r>
              <w:rPr>
                <w:rFonts w:ascii="宋体" w:hAnsi="宋体" w:eastAsia="宋体" w:cs="宋体"/>
                <w:spacing w:val="-3"/>
                <w:sz w:val="23"/>
                <w:szCs w:val="23"/>
              </w:rPr>
              <w:t>核实了项目工艺流程，细化了工艺流程及</w:t>
            </w:r>
            <w:r>
              <w:rPr>
                <w:rFonts w:ascii="宋体" w:hAnsi="宋体" w:eastAsia="宋体" w:cs="宋体"/>
                <w:sz w:val="23"/>
                <w:szCs w:val="23"/>
              </w:rPr>
              <w:t xml:space="preserve"> </w:t>
            </w:r>
            <w:r>
              <w:rPr>
                <w:rFonts w:ascii="宋体" w:hAnsi="宋体" w:eastAsia="宋体" w:cs="宋体"/>
                <w:spacing w:val="-2"/>
                <w:sz w:val="23"/>
                <w:szCs w:val="23"/>
              </w:rPr>
              <w:t>排污</w:t>
            </w:r>
            <w:r>
              <w:rPr>
                <w:rFonts w:ascii="宋体" w:hAnsi="宋体" w:eastAsia="宋体" w:cs="宋体"/>
                <w:spacing w:val="-1"/>
                <w:sz w:val="23"/>
                <w:szCs w:val="23"/>
              </w:rPr>
              <w:t>节点图；</w:t>
            </w:r>
          </w:p>
          <w:p w14:paraId="5826D8A5">
            <w:pPr>
              <w:spacing w:before="2" w:line="289" w:lineRule="auto"/>
              <w:ind w:left="25" w:right="10" w:hanging="3"/>
              <w:rPr>
                <w:rFonts w:ascii="宋体" w:hAnsi="宋体" w:eastAsia="宋体" w:cs="宋体"/>
                <w:sz w:val="23"/>
                <w:szCs w:val="23"/>
              </w:rPr>
            </w:pPr>
            <w:r>
              <w:rPr>
                <w:rFonts w:ascii="Times New Roman" w:hAnsi="Times New Roman" w:eastAsia="Times New Roman" w:cs="Times New Roman"/>
                <w:spacing w:val="-3"/>
                <w:sz w:val="23"/>
                <w:szCs w:val="23"/>
              </w:rPr>
              <w:t>P60-</w:t>
            </w:r>
            <w:r>
              <w:rPr>
                <w:rFonts w:ascii="Times New Roman" w:hAnsi="Times New Roman" w:eastAsia="Times New Roman" w:cs="Times New Roman"/>
                <w:spacing w:val="-2"/>
                <w:sz w:val="23"/>
                <w:szCs w:val="23"/>
              </w:rPr>
              <w:t>P</w:t>
            </w:r>
            <w:r>
              <w:rPr>
                <w:rFonts w:ascii="Times New Roman" w:hAnsi="Times New Roman" w:eastAsia="Times New Roman" w:cs="Times New Roman"/>
                <w:spacing w:val="-3"/>
                <w:sz w:val="23"/>
                <w:szCs w:val="23"/>
              </w:rPr>
              <w:t xml:space="preserve">68 </w:t>
            </w:r>
            <w:r>
              <w:rPr>
                <w:rFonts w:ascii="宋体" w:hAnsi="宋体" w:eastAsia="宋体" w:cs="宋体"/>
                <w:spacing w:val="-3"/>
                <w:sz w:val="23"/>
                <w:szCs w:val="23"/>
              </w:rPr>
              <w:t>说明了各排污节点废气、废水产生情况，</w:t>
            </w:r>
            <w:r>
              <w:rPr>
                <w:rFonts w:ascii="宋体" w:hAnsi="宋体" w:eastAsia="宋体" w:cs="宋体"/>
                <w:sz w:val="23"/>
                <w:szCs w:val="23"/>
              </w:rPr>
              <w:t xml:space="preserve"> </w:t>
            </w:r>
            <w:r>
              <w:rPr>
                <w:rFonts w:ascii="宋体" w:hAnsi="宋体" w:eastAsia="宋体" w:cs="宋体"/>
                <w:spacing w:val="-7"/>
                <w:sz w:val="23"/>
                <w:szCs w:val="23"/>
              </w:rPr>
              <w:t>给出了各节点废水产生量及污染物产生浓度。结</w:t>
            </w:r>
            <w:r>
              <w:rPr>
                <w:rFonts w:ascii="宋体" w:hAnsi="宋体" w:eastAsia="宋体" w:cs="宋体"/>
                <w:spacing w:val="-3"/>
                <w:sz w:val="23"/>
                <w:szCs w:val="23"/>
              </w:rPr>
              <w:t>合</w:t>
            </w:r>
            <w:r>
              <w:rPr>
                <w:rFonts w:ascii="宋体" w:hAnsi="宋体" w:eastAsia="宋体" w:cs="宋体"/>
                <w:sz w:val="23"/>
                <w:szCs w:val="23"/>
              </w:rPr>
              <w:t xml:space="preserve"> </w:t>
            </w:r>
            <w:r>
              <w:rPr>
                <w:rFonts w:ascii="宋体" w:hAnsi="宋体" w:eastAsia="宋体" w:cs="宋体"/>
                <w:spacing w:val="-7"/>
                <w:sz w:val="23"/>
                <w:szCs w:val="23"/>
              </w:rPr>
              <w:t>了排污许可要求，核实了项目污染物排放情况。</w:t>
            </w:r>
            <w:r>
              <w:rPr>
                <w:rFonts w:ascii="宋体" w:hAnsi="宋体" w:eastAsia="宋体" w:cs="宋体"/>
                <w:spacing w:val="-3"/>
                <w:sz w:val="23"/>
                <w:szCs w:val="23"/>
              </w:rPr>
              <w:t>并</w:t>
            </w:r>
            <w:r>
              <w:rPr>
                <w:rFonts w:ascii="宋体" w:hAnsi="宋体" w:eastAsia="宋体" w:cs="宋体"/>
                <w:sz w:val="23"/>
                <w:szCs w:val="23"/>
              </w:rPr>
              <w:t xml:space="preserve"> </w:t>
            </w:r>
            <w:r>
              <w:rPr>
                <w:rFonts w:ascii="宋体" w:hAnsi="宋体" w:eastAsia="宋体" w:cs="宋体"/>
                <w:spacing w:val="-7"/>
                <w:sz w:val="23"/>
                <w:szCs w:val="23"/>
              </w:rPr>
              <w:t>进行了达标分析，明确了排气筒个数及排气筒排</w:t>
            </w:r>
            <w:r>
              <w:rPr>
                <w:rFonts w:ascii="宋体" w:hAnsi="宋体" w:eastAsia="宋体" w:cs="宋体"/>
                <w:spacing w:val="-3"/>
                <w:sz w:val="23"/>
                <w:szCs w:val="23"/>
              </w:rPr>
              <w:t>放</w:t>
            </w:r>
            <w:r>
              <w:rPr>
                <w:rFonts w:ascii="宋体" w:hAnsi="宋体" w:eastAsia="宋体" w:cs="宋体"/>
                <w:sz w:val="23"/>
                <w:szCs w:val="23"/>
              </w:rPr>
              <w:t xml:space="preserve"> </w:t>
            </w:r>
            <w:r>
              <w:rPr>
                <w:rFonts w:ascii="宋体" w:hAnsi="宋体" w:eastAsia="宋体" w:cs="宋体"/>
                <w:spacing w:val="-2"/>
                <w:sz w:val="23"/>
                <w:szCs w:val="23"/>
              </w:rPr>
              <w:t>废气</w:t>
            </w:r>
            <w:r>
              <w:rPr>
                <w:rFonts w:ascii="宋体" w:hAnsi="宋体" w:eastAsia="宋体" w:cs="宋体"/>
                <w:spacing w:val="-1"/>
                <w:sz w:val="23"/>
                <w:szCs w:val="23"/>
              </w:rPr>
              <w:t>的执行标准。</w:t>
            </w:r>
          </w:p>
        </w:tc>
      </w:tr>
      <w:tr w14:paraId="48B07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685" w:type="dxa"/>
            <w:tcBorders>
              <w:left w:val="nil"/>
              <w:right w:val="single" w:color="000000" w:sz="4" w:space="0"/>
            </w:tcBorders>
            <w:vAlign w:val="top"/>
          </w:tcPr>
          <w:p w14:paraId="34B30C69">
            <w:pPr>
              <w:spacing w:line="323" w:lineRule="auto"/>
              <w:rPr>
                <w:rFonts w:ascii="Arial"/>
                <w:sz w:val="21"/>
              </w:rPr>
            </w:pPr>
          </w:p>
          <w:p w14:paraId="7517C289">
            <w:pPr>
              <w:spacing w:line="323" w:lineRule="auto"/>
              <w:rPr>
                <w:rFonts w:ascii="Arial"/>
                <w:sz w:val="21"/>
              </w:rPr>
            </w:pPr>
          </w:p>
          <w:p w14:paraId="417D9567">
            <w:pPr>
              <w:spacing w:before="66" w:line="191" w:lineRule="auto"/>
              <w:ind w:left="292"/>
              <w:rPr>
                <w:rFonts w:ascii="Times New Roman" w:hAnsi="Times New Roman" w:eastAsia="Times New Roman" w:cs="Times New Roman"/>
                <w:sz w:val="23"/>
                <w:szCs w:val="23"/>
              </w:rPr>
            </w:pPr>
            <w:r>
              <w:rPr>
                <w:rFonts w:ascii="Times New Roman" w:hAnsi="Times New Roman" w:eastAsia="Times New Roman" w:cs="Times New Roman"/>
                <w:b/>
                <w:bCs/>
                <w:sz w:val="23"/>
                <w:szCs w:val="23"/>
              </w:rPr>
              <w:t>5</w:t>
            </w:r>
          </w:p>
        </w:tc>
        <w:tc>
          <w:tcPr>
            <w:tcW w:w="4155" w:type="dxa"/>
            <w:tcBorders>
              <w:left w:val="single" w:color="000000" w:sz="4" w:space="0"/>
              <w:right w:val="single" w:color="000000" w:sz="4" w:space="0"/>
            </w:tcBorders>
            <w:vAlign w:val="top"/>
          </w:tcPr>
          <w:p w14:paraId="3389C91C">
            <w:pPr>
              <w:spacing w:before="103" w:line="285" w:lineRule="auto"/>
              <w:ind w:left="26" w:right="7" w:firstLine="3"/>
              <w:rPr>
                <w:rFonts w:ascii="宋体" w:hAnsi="宋体" w:eastAsia="宋体" w:cs="宋体"/>
                <w:sz w:val="23"/>
                <w:szCs w:val="23"/>
              </w:rPr>
            </w:pPr>
            <w:r>
              <w:rPr>
                <w:rFonts w:ascii="宋体" w:hAnsi="宋体" w:eastAsia="宋体" w:cs="宋体"/>
                <w:spacing w:val="-2"/>
                <w:sz w:val="23"/>
                <w:szCs w:val="23"/>
              </w:rPr>
              <w:t>项目设置废水处置设施，废水处理后</w:t>
            </w:r>
            <w:r>
              <w:rPr>
                <w:rFonts w:ascii="宋体" w:hAnsi="宋体" w:eastAsia="宋体" w:cs="宋体"/>
                <w:spacing w:val="-1"/>
                <w:sz w:val="23"/>
                <w:szCs w:val="23"/>
              </w:rPr>
              <w:t>应</w:t>
            </w:r>
            <w:r>
              <w:rPr>
                <w:rFonts w:ascii="宋体" w:hAnsi="宋体" w:eastAsia="宋体" w:cs="宋体"/>
                <w:sz w:val="23"/>
                <w:szCs w:val="23"/>
              </w:rPr>
              <w:t xml:space="preserve">回 </w:t>
            </w:r>
            <w:r>
              <w:rPr>
                <w:rFonts w:ascii="宋体" w:hAnsi="宋体" w:eastAsia="宋体" w:cs="宋体"/>
                <w:spacing w:val="-2"/>
                <w:sz w:val="23"/>
                <w:szCs w:val="23"/>
              </w:rPr>
              <w:t>用。补充废水处理工艺流</w:t>
            </w:r>
            <w:r>
              <w:rPr>
                <w:rFonts w:ascii="宋体" w:hAnsi="宋体" w:eastAsia="宋体" w:cs="宋体"/>
                <w:spacing w:val="-1"/>
                <w:sz w:val="23"/>
                <w:szCs w:val="23"/>
              </w:rPr>
              <w:t>程，明确废水排</w:t>
            </w:r>
            <w:r>
              <w:rPr>
                <w:rFonts w:ascii="宋体" w:hAnsi="宋体" w:eastAsia="宋体" w:cs="宋体"/>
                <w:sz w:val="23"/>
                <w:szCs w:val="23"/>
              </w:rPr>
              <w:t xml:space="preserve"> </w:t>
            </w:r>
            <w:r>
              <w:rPr>
                <w:rFonts w:ascii="宋体" w:hAnsi="宋体" w:eastAsia="宋体" w:cs="宋体"/>
                <w:spacing w:val="-2"/>
                <w:sz w:val="23"/>
                <w:szCs w:val="23"/>
              </w:rPr>
              <w:t>放去向及排放执行标准。</w:t>
            </w:r>
            <w:r>
              <w:rPr>
                <w:rFonts w:ascii="宋体" w:hAnsi="宋体" w:eastAsia="宋体" w:cs="宋体"/>
                <w:spacing w:val="-1"/>
                <w:sz w:val="23"/>
                <w:szCs w:val="23"/>
              </w:rPr>
              <w:t>进一步分析依托</w:t>
            </w:r>
            <w:r>
              <w:rPr>
                <w:rFonts w:ascii="宋体" w:hAnsi="宋体" w:eastAsia="宋体" w:cs="宋体"/>
                <w:sz w:val="23"/>
                <w:szCs w:val="23"/>
              </w:rPr>
              <w:t xml:space="preserve"> </w:t>
            </w:r>
            <w:r>
              <w:rPr>
                <w:rFonts w:ascii="宋体" w:hAnsi="宋体" w:eastAsia="宋体" w:cs="宋体"/>
                <w:spacing w:val="-2"/>
                <w:sz w:val="23"/>
                <w:szCs w:val="23"/>
              </w:rPr>
              <w:t>污水处理厂的</w:t>
            </w:r>
            <w:r>
              <w:rPr>
                <w:rFonts w:ascii="宋体" w:hAnsi="宋体" w:eastAsia="宋体" w:cs="宋体"/>
                <w:spacing w:val="-1"/>
                <w:sz w:val="23"/>
                <w:szCs w:val="23"/>
              </w:rPr>
              <w:t>可行性。</w:t>
            </w:r>
          </w:p>
        </w:tc>
        <w:tc>
          <w:tcPr>
            <w:tcW w:w="4952" w:type="dxa"/>
            <w:tcBorders>
              <w:left w:val="single" w:color="000000" w:sz="4" w:space="0"/>
              <w:right w:val="nil"/>
            </w:tcBorders>
            <w:vAlign w:val="top"/>
          </w:tcPr>
          <w:p w14:paraId="32EEBA93">
            <w:pPr>
              <w:spacing w:before="293" w:line="313" w:lineRule="auto"/>
              <w:ind w:left="27" w:right="8" w:hanging="5"/>
              <w:rPr>
                <w:rFonts w:ascii="宋体" w:hAnsi="宋体" w:eastAsia="宋体" w:cs="宋体"/>
                <w:sz w:val="23"/>
                <w:szCs w:val="23"/>
              </w:rPr>
            </w:pPr>
            <w:r>
              <w:rPr>
                <w:rFonts w:ascii="Times New Roman" w:hAnsi="Times New Roman" w:eastAsia="Times New Roman" w:cs="Times New Roman"/>
                <w:spacing w:val="-2"/>
                <w:sz w:val="23"/>
                <w:szCs w:val="23"/>
              </w:rPr>
              <w:t>P</w:t>
            </w:r>
            <w:r>
              <w:rPr>
                <w:rFonts w:ascii="Times New Roman" w:hAnsi="Times New Roman" w:eastAsia="Times New Roman" w:cs="Times New Roman"/>
                <w:spacing w:val="-4"/>
                <w:sz w:val="23"/>
                <w:szCs w:val="23"/>
              </w:rPr>
              <w:t>113-</w:t>
            </w:r>
            <w:r>
              <w:rPr>
                <w:rFonts w:ascii="Times New Roman" w:hAnsi="Times New Roman" w:eastAsia="Times New Roman" w:cs="Times New Roman"/>
                <w:spacing w:val="-2"/>
                <w:sz w:val="23"/>
                <w:szCs w:val="23"/>
              </w:rPr>
              <w:t>P</w:t>
            </w:r>
            <w:r>
              <w:rPr>
                <w:rFonts w:ascii="Times New Roman" w:hAnsi="Times New Roman" w:eastAsia="Times New Roman" w:cs="Times New Roman"/>
                <w:spacing w:val="-4"/>
                <w:sz w:val="23"/>
                <w:szCs w:val="23"/>
              </w:rPr>
              <w:t xml:space="preserve">114 </w:t>
            </w:r>
            <w:r>
              <w:rPr>
                <w:rFonts w:ascii="宋体" w:hAnsi="宋体" w:eastAsia="宋体" w:cs="宋体"/>
                <w:spacing w:val="-4"/>
                <w:sz w:val="23"/>
                <w:szCs w:val="23"/>
              </w:rPr>
              <w:t>补充</w:t>
            </w:r>
            <w:r>
              <w:rPr>
                <w:rFonts w:ascii="宋体" w:hAnsi="宋体" w:eastAsia="宋体" w:cs="宋体"/>
                <w:spacing w:val="-3"/>
                <w:sz w:val="23"/>
                <w:szCs w:val="23"/>
              </w:rPr>
              <w:t>了</w:t>
            </w:r>
            <w:r>
              <w:rPr>
                <w:rFonts w:ascii="宋体" w:hAnsi="宋体" w:eastAsia="宋体" w:cs="宋体"/>
                <w:spacing w:val="-2"/>
                <w:sz w:val="23"/>
                <w:szCs w:val="23"/>
              </w:rPr>
              <w:t>废水处理工艺流程，明确了废水</w:t>
            </w:r>
            <w:r>
              <w:rPr>
                <w:rFonts w:ascii="宋体" w:hAnsi="宋体" w:eastAsia="宋体" w:cs="宋体"/>
                <w:sz w:val="23"/>
                <w:szCs w:val="23"/>
              </w:rPr>
              <w:t xml:space="preserve"> </w:t>
            </w:r>
            <w:r>
              <w:rPr>
                <w:rFonts w:ascii="宋体" w:hAnsi="宋体" w:eastAsia="宋体" w:cs="宋体"/>
                <w:spacing w:val="-7"/>
                <w:sz w:val="23"/>
                <w:szCs w:val="23"/>
              </w:rPr>
              <w:t>排放去向及排放执行标准。进一步分析了依托污</w:t>
            </w:r>
            <w:r>
              <w:rPr>
                <w:rFonts w:ascii="宋体" w:hAnsi="宋体" w:eastAsia="宋体" w:cs="宋体"/>
                <w:spacing w:val="-5"/>
                <w:sz w:val="23"/>
                <w:szCs w:val="23"/>
              </w:rPr>
              <w:t>水</w:t>
            </w:r>
            <w:r>
              <w:rPr>
                <w:rFonts w:ascii="宋体" w:hAnsi="宋体" w:eastAsia="宋体" w:cs="宋体"/>
                <w:sz w:val="23"/>
                <w:szCs w:val="23"/>
              </w:rPr>
              <w:t xml:space="preserve"> </w:t>
            </w:r>
            <w:r>
              <w:rPr>
                <w:rFonts w:ascii="宋体" w:hAnsi="宋体" w:eastAsia="宋体" w:cs="宋体"/>
                <w:spacing w:val="-2"/>
                <w:sz w:val="23"/>
                <w:szCs w:val="23"/>
              </w:rPr>
              <w:t>处理厂的</w:t>
            </w:r>
            <w:r>
              <w:rPr>
                <w:rFonts w:ascii="宋体" w:hAnsi="宋体" w:eastAsia="宋体" w:cs="宋体"/>
                <w:spacing w:val="-1"/>
                <w:sz w:val="23"/>
                <w:szCs w:val="23"/>
              </w:rPr>
              <w:t>可行性。</w:t>
            </w:r>
          </w:p>
        </w:tc>
      </w:tr>
      <w:tr w14:paraId="3F914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85" w:type="dxa"/>
            <w:tcBorders>
              <w:left w:val="nil"/>
              <w:right w:val="single" w:color="000000" w:sz="4" w:space="0"/>
            </w:tcBorders>
            <w:vAlign w:val="top"/>
          </w:tcPr>
          <w:p w14:paraId="3F776C73">
            <w:pPr>
              <w:spacing w:line="453" w:lineRule="auto"/>
              <w:rPr>
                <w:rFonts w:ascii="Arial"/>
                <w:sz w:val="21"/>
              </w:rPr>
            </w:pPr>
          </w:p>
          <w:p w14:paraId="66DA7716">
            <w:pPr>
              <w:spacing w:before="66" w:line="195" w:lineRule="auto"/>
              <w:ind w:left="293"/>
              <w:rPr>
                <w:rFonts w:ascii="Times New Roman" w:hAnsi="Times New Roman" w:eastAsia="Times New Roman" w:cs="Times New Roman"/>
                <w:sz w:val="23"/>
                <w:szCs w:val="23"/>
              </w:rPr>
            </w:pPr>
            <w:r>
              <w:rPr>
                <w:rFonts w:ascii="Times New Roman" w:hAnsi="Times New Roman" w:eastAsia="Times New Roman" w:cs="Times New Roman"/>
                <w:b/>
                <w:bCs/>
                <w:sz w:val="23"/>
                <w:szCs w:val="23"/>
              </w:rPr>
              <w:t>6</w:t>
            </w:r>
          </w:p>
        </w:tc>
        <w:tc>
          <w:tcPr>
            <w:tcW w:w="4155" w:type="dxa"/>
            <w:tcBorders>
              <w:left w:val="single" w:color="000000" w:sz="4" w:space="0"/>
              <w:right w:val="single" w:color="000000" w:sz="4" w:space="0"/>
            </w:tcBorders>
            <w:vAlign w:val="top"/>
          </w:tcPr>
          <w:p w14:paraId="49D6DB02">
            <w:pPr>
              <w:spacing w:before="101" w:line="279" w:lineRule="auto"/>
              <w:ind w:left="27" w:right="7" w:hanging="3"/>
              <w:rPr>
                <w:rFonts w:ascii="宋体" w:hAnsi="宋体" w:eastAsia="宋体" w:cs="宋体"/>
                <w:sz w:val="23"/>
                <w:szCs w:val="23"/>
              </w:rPr>
            </w:pPr>
            <w:r>
              <w:rPr>
                <w:rFonts w:ascii="宋体" w:hAnsi="宋体" w:eastAsia="宋体" w:cs="宋体"/>
                <w:spacing w:val="-2"/>
                <w:sz w:val="23"/>
                <w:szCs w:val="23"/>
              </w:rPr>
              <w:t>进一步论证废气处理</w:t>
            </w:r>
            <w:r>
              <w:rPr>
                <w:rFonts w:ascii="宋体" w:hAnsi="宋体" w:eastAsia="宋体" w:cs="宋体"/>
                <w:spacing w:val="-1"/>
                <w:sz w:val="23"/>
                <w:szCs w:val="23"/>
              </w:rPr>
              <w:t>措施的可行性。核实</w:t>
            </w:r>
            <w:r>
              <w:rPr>
                <w:rFonts w:ascii="宋体" w:hAnsi="宋体" w:eastAsia="宋体" w:cs="宋体"/>
                <w:sz w:val="23"/>
                <w:szCs w:val="23"/>
              </w:rPr>
              <w:t xml:space="preserve"> </w:t>
            </w:r>
            <w:r>
              <w:rPr>
                <w:rFonts w:ascii="宋体" w:hAnsi="宋体" w:eastAsia="宋体" w:cs="宋体"/>
                <w:spacing w:val="-2"/>
                <w:sz w:val="23"/>
                <w:szCs w:val="23"/>
              </w:rPr>
              <w:t>无组织排放源强，计算卫生防</w:t>
            </w:r>
            <w:r>
              <w:rPr>
                <w:rFonts w:ascii="宋体" w:hAnsi="宋体" w:eastAsia="宋体" w:cs="宋体"/>
                <w:spacing w:val="-1"/>
                <w:sz w:val="23"/>
                <w:szCs w:val="23"/>
              </w:rPr>
              <w:t>护距离，给</w:t>
            </w:r>
            <w:r>
              <w:rPr>
                <w:rFonts w:ascii="宋体" w:hAnsi="宋体" w:eastAsia="宋体" w:cs="宋体"/>
                <w:sz w:val="23"/>
                <w:szCs w:val="23"/>
              </w:rPr>
              <w:t xml:space="preserve"> </w:t>
            </w:r>
            <w:r>
              <w:rPr>
                <w:rFonts w:ascii="宋体" w:hAnsi="宋体" w:eastAsia="宋体" w:cs="宋体"/>
                <w:spacing w:val="-2"/>
                <w:sz w:val="23"/>
                <w:szCs w:val="23"/>
              </w:rPr>
              <w:t>出包络线</w:t>
            </w:r>
            <w:r>
              <w:rPr>
                <w:rFonts w:ascii="宋体" w:hAnsi="宋体" w:eastAsia="宋体" w:cs="宋体"/>
                <w:spacing w:val="-1"/>
                <w:sz w:val="23"/>
                <w:szCs w:val="23"/>
              </w:rPr>
              <w:t>图。</w:t>
            </w:r>
          </w:p>
        </w:tc>
        <w:tc>
          <w:tcPr>
            <w:tcW w:w="4952" w:type="dxa"/>
            <w:tcBorders>
              <w:left w:val="single" w:color="000000" w:sz="4" w:space="0"/>
              <w:right w:val="nil"/>
            </w:tcBorders>
            <w:vAlign w:val="top"/>
          </w:tcPr>
          <w:p w14:paraId="6AA07F3A">
            <w:pPr>
              <w:spacing w:before="101" w:line="279" w:lineRule="auto"/>
              <w:ind w:left="30" w:hanging="8"/>
              <w:rPr>
                <w:rFonts w:ascii="宋体" w:hAnsi="宋体" w:eastAsia="宋体" w:cs="宋体"/>
                <w:sz w:val="23"/>
                <w:szCs w:val="23"/>
              </w:rPr>
            </w:pPr>
            <w:r>
              <w:rPr>
                <w:rFonts w:ascii="Times New Roman" w:hAnsi="Times New Roman" w:eastAsia="Times New Roman" w:cs="Times New Roman"/>
                <w:spacing w:val="-2"/>
                <w:sz w:val="23"/>
                <w:szCs w:val="23"/>
              </w:rPr>
              <w:t>P</w:t>
            </w:r>
            <w:r>
              <w:rPr>
                <w:rFonts w:ascii="Times New Roman" w:hAnsi="Times New Roman" w:eastAsia="Times New Roman" w:cs="Times New Roman"/>
                <w:spacing w:val="-4"/>
                <w:sz w:val="23"/>
                <w:szCs w:val="23"/>
              </w:rPr>
              <w:t>105-</w:t>
            </w:r>
            <w:r>
              <w:rPr>
                <w:rFonts w:ascii="Times New Roman" w:hAnsi="Times New Roman" w:eastAsia="Times New Roman" w:cs="Times New Roman"/>
                <w:spacing w:val="-2"/>
                <w:sz w:val="23"/>
                <w:szCs w:val="23"/>
              </w:rPr>
              <w:t>P</w:t>
            </w:r>
            <w:r>
              <w:rPr>
                <w:rFonts w:ascii="Times New Roman" w:hAnsi="Times New Roman" w:eastAsia="Times New Roman" w:cs="Times New Roman"/>
                <w:spacing w:val="-4"/>
                <w:sz w:val="23"/>
                <w:szCs w:val="23"/>
              </w:rPr>
              <w:t>11</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进一步论证了废气处理措施的可行性。</w:t>
            </w:r>
            <w:r>
              <w:rPr>
                <w:rFonts w:ascii="宋体" w:hAnsi="宋体" w:eastAsia="宋体" w:cs="宋体"/>
                <w:sz w:val="23"/>
                <w:szCs w:val="23"/>
              </w:rPr>
              <w:t xml:space="preserve"> </w:t>
            </w:r>
            <w:r>
              <w:rPr>
                <w:rFonts w:ascii="宋体" w:hAnsi="宋体" w:eastAsia="宋体" w:cs="宋体"/>
                <w:spacing w:val="-16"/>
                <w:sz w:val="23"/>
                <w:szCs w:val="23"/>
              </w:rPr>
              <w:t>核</w:t>
            </w:r>
            <w:r>
              <w:rPr>
                <w:rFonts w:ascii="宋体" w:hAnsi="宋体" w:eastAsia="宋体" w:cs="宋体"/>
                <w:spacing w:val="-10"/>
                <w:sz w:val="23"/>
                <w:szCs w:val="23"/>
              </w:rPr>
              <w:t>实</w:t>
            </w:r>
            <w:r>
              <w:rPr>
                <w:rFonts w:ascii="宋体" w:hAnsi="宋体" w:eastAsia="宋体" w:cs="宋体"/>
                <w:spacing w:val="-8"/>
                <w:sz w:val="23"/>
                <w:szCs w:val="23"/>
              </w:rPr>
              <w:t>了无组织排放源强，计算了卫生防护距离，给</w:t>
            </w:r>
            <w:r>
              <w:rPr>
                <w:rFonts w:ascii="宋体" w:hAnsi="宋体" w:eastAsia="宋体" w:cs="宋体"/>
                <w:sz w:val="23"/>
                <w:szCs w:val="23"/>
              </w:rPr>
              <w:t xml:space="preserve"> </w:t>
            </w:r>
            <w:r>
              <w:rPr>
                <w:rFonts w:ascii="宋体" w:hAnsi="宋体" w:eastAsia="宋体" w:cs="宋体"/>
                <w:spacing w:val="-3"/>
                <w:sz w:val="23"/>
                <w:szCs w:val="23"/>
              </w:rPr>
              <w:t>出了包络线图。</w:t>
            </w:r>
          </w:p>
        </w:tc>
      </w:tr>
      <w:tr w14:paraId="49FD4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685" w:type="dxa"/>
            <w:tcBorders>
              <w:left w:val="nil"/>
              <w:right w:val="single" w:color="000000" w:sz="4" w:space="0"/>
            </w:tcBorders>
            <w:vAlign w:val="top"/>
          </w:tcPr>
          <w:p w14:paraId="1159F975">
            <w:pPr>
              <w:spacing w:line="270" w:lineRule="auto"/>
              <w:rPr>
                <w:rFonts w:ascii="Arial"/>
                <w:sz w:val="21"/>
              </w:rPr>
            </w:pPr>
          </w:p>
          <w:p w14:paraId="5A325B1C">
            <w:pPr>
              <w:spacing w:before="66" w:line="191" w:lineRule="auto"/>
              <w:ind w:left="292"/>
              <w:rPr>
                <w:rFonts w:ascii="Times New Roman" w:hAnsi="Times New Roman" w:eastAsia="Times New Roman" w:cs="Times New Roman"/>
                <w:sz w:val="23"/>
                <w:szCs w:val="23"/>
              </w:rPr>
            </w:pPr>
            <w:r>
              <w:rPr>
                <w:rFonts w:ascii="Times New Roman" w:hAnsi="Times New Roman" w:eastAsia="Times New Roman" w:cs="Times New Roman"/>
                <w:b/>
                <w:bCs/>
                <w:sz w:val="23"/>
                <w:szCs w:val="23"/>
              </w:rPr>
              <w:t>7</w:t>
            </w:r>
          </w:p>
        </w:tc>
        <w:tc>
          <w:tcPr>
            <w:tcW w:w="4155" w:type="dxa"/>
            <w:tcBorders>
              <w:left w:val="single" w:color="000000" w:sz="4" w:space="0"/>
              <w:right w:val="single" w:color="000000" w:sz="4" w:space="0"/>
            </w:tcBorders>
            <w:vAlign w:val="top"/>
          </w:tcPr>
          <w:p w14:paraId="032C6102">
            <w:pPr>
              <w:spacing w:before="102" w:line="266" w:lineRule="auto"/>
              <w:ind w:left="26" w:right="7"/>
              <w:rPr>
                <w:rFonts w:ascii="宋体" w:hAnsi="宋体" w:eastAsia="宋体" w:cs="宋体"/>
                <w:sz w:val="23"/>
                <w:szCs w:val="23"/>
              </w:rPr>
            </w:pPr>
            <w:r>
              <w:rPr>
                <w:rFonts w:ascii="宋体" w:hAnsi="宋体" w:eastAsia="宋体" w:cs="宋体"/>
                <w:spacing w:val="-2"/>
                <w:sz w:val="23"/>
                <w:szCs w:val="23"/>
              </w:rPr>
              <w:t>补充土壤环境本底值检测</w:t>
            </w:r>
            <w:r>
              <w:rPr>
                <w:rFonts w:ascii="宋体" w:hAnsi="宋体" w:eastAsia="宋体" w:cs="宋体"/>
                <w:spacing w:val="-1"/>
                <w:sz w:val="23"/>
                <w:szCs w:val="23"/>
              </w:rPr>
              <w:t>数据及土壤环境</w:t>
            </w:r>
            <w:r>
              <w:rPr>
                <w:rFonts w:ascii="宋体" w:hAnsi="宋体" w:eastAsia="宋体" w:cs="宋体"/>
                <w:sz w:val="23"/>
                <w:szCs w:val="23"/>
              </w:rPr>
              <w:t xml:space="preserve"> </w:t>
            </w:r>
            <w:r>
              <w:rPr>
                <w:rFonts w:ascii="宋体" w:hAnsi="宋体" w:eastAsia="宋体" w:cs="宋体"/>
                <w:spacing w:val="-2"/>
                <w:sz w:val="23"/>
                <w:szCs w:val="23"/>
              </w:rPr>
              <w:t>影</w:t>
            </w:r>
            <w:r>
              <w:rPr>
                <w:rFonts w:ascii="宋体" w:hAnsi="宋体" w:eastAsia="宋体" w:cs="宋体"/>
                <w:spacing w:val="-1"/>
                <w:sz w:val="23"/>
                <w:szCs w:val="23"/>
              </w:rPr>
              <w:t>响分析。</w:t>
            </w:r>
          </w:p>
        </w:tc>
        <w:tc>
          <w:tcPr>
            <w:tcW w:w="4952" w:type="dxa"/>
            <w:tcBorders>
              <w:left w:val="single" w:color="000000" w:sz="4" w:space="0"/>
              <w:right w:val="nil"/>
            </w:tcBorders>
            <w:vAlign w:val="top"/>
          </w:tcPr>
          <w:p w14:paraId="2D11C653">
            <w:pPr>
              <w:spacing w:before="102" w:line="266" w:lineRule="auto"/>
              <w:ind w:left="22"/>
              <w:rPr>
                <w:rFonts w:ascii="宋体" w:hAnsi="宋体" w:eastAsia="宋体" w:cs="宋体"/>
                <w:sz w:val="23"/>
                <w:szCs w:val="23"/>
              </w:rPr>
            </w:pPr>
            <w:r>
              <w:rPr>
                <w:rFonts w:ascii="Times New Roman" w:hAnsi="Times New Roman" w:eastAsia="Times New Roman" w:cs="Times New Roman"/>
                <w:spacing w:val="-1"/>
                <w:sz w:val="23"/>
                <w:szCs w:val="23"/>
              </w:rPr>
              <w:t>P</w:t>
            </w:r>
            <w:r>
              <w:rPr>
                <w:rFonts w:ascii="Times New Roman" w:hAnsi="Times New Roman" w:eastAsia="Times New Roman" w:cs="Times New Roman"/>
                <w:spacing w:val="-2"/>
                <w:sz w:val="23"/>
                <w:szCs w:val="23"/>
              </w:rPr>
              <w:t>89-</w:t>
            </w:r>
            <w:r>
              <w:rPr>
                <w:rFonts w:ascii="Times New Roman" w:hAnsi="Times New Roman" w:eastAsia="Times New Roman" w:cs="Times New Roman"/>
                <w:spacing w:val="-1"/>
                <w:sz w:val="23"/>
                <w:szCs w:val="23"/>
              </w:rPr>
              <w:t>P</w:t>
            </w:r>
            <w:r>
              <w:rPr>
                <w:rFonts w:ascii="Times New Roman" w:hAnsi="Times New Roman" w:eastAsia="Times New Roman" w:cs="Times New Roman"/>
                <w:spacing w:val="-2"/>
                <w:sz w:val="23"/>
                <w:szCs w:val="23"/>
              </w:rPr>
              <w:t xml:space="preserve">98 </w:t>
            </w:r>
            <w:r>
              <w:rPr>
                <w:rFonts w:ascii="宋体" w:hAnsi="宋体" w:eastAsia="宋体" w:cs="宋体"/>
                <w:spacing w:val="-2"/>
                <w:sz w:val="23"/>
                <w:szCs w:val="23"/>
              </w:rPr>
              <w:t>补充</w:t>
            </w:r>
            <w:r>
              <w:rPr>
                <w:rFonts w:ascii="宋体" w:hAnsi="宋体" w:eastAsia="宋体" w:cs="宋体"/>
                <w:spacing w:val="-1"/>
                <w:sz w:val="23"/>
                <w:szCs w:val="23"/>
              </w:rPr>
              <w:t>了土壤环境本底值检测数据；</w:t>
            </w:r>
            <w:r>
              <w:rPr>
                <w:rFonts w:ascii="宋体" w:hAnsi="宋体" w:eastAsia="宋体" w:cs="宋体"/>
                <w:sz w:val="23"/>
                <w:szCs w:val="23"/>
              </w:rPr>
              <w:t xml:space="preserve">      </w:t>
            </w:r>
            <w:r>
              <w:rPr>
                <w:rFonts w:ascii="Times New Roman" w:hAnsi="Times New Roman" w:eastAsia="Times New Roman" w:cs="Times New Roman"/>
                <w:spacing w:val="-5"/>
                <w:sz w:val="23"/>
                <w:szCs w:val="23"/>
              </w:rPr>
              <w:t>P</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2</w:t>
            </w:r>
            <w:r>
              <w:rPr>
                <w:rFonts w:ascii="Times New Roman" w:hAnsi="Times New Roman" w:eastAsia="Times New Roman" w:cs="Times New Roman"/>
                <w:spacing w:val="-5"/>
                <w:sz w:val="23"/>
                <w:szCs w:val="23"/>
              </w:rPr>
              <w:t>7-P131</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P147-P148 </w:t>
            </w:r>
            <w:r>
              <w:rPr>
                <w:rFonts w:ascii="宋体" w:hAnsi="宋体" w:eastAsia="宋体" w:cs="宋体"/>
                <w:spacing w:val="-5"/>
                <w:sz w:val="23"/>
                <w:szCs w:val="23"/>
              </w:rPr>
              <w:t>补充了土壤环境影响分析。</w:t>
            </w:r>
          </w:p>
        </w:tc>
      </w:tr>
      <w:tr w14:paraId="72F0C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685" w:type="dxa"/>
            <w:tcBorders>
              <w:left w:val="nil"/>
              <w:right w:val="single" w:color="000000" w:sz="4" w:space="0"/>
            </w:tcBorders>
            <w:vAlign w:val="top"/>
          </w:tcPr>
          <w:p w14:paraId="7E7C7D28">
            <w:pPr>
              <w:spacing w:line="267" w:lineRule="auto"/>
              <w:rPr>
                <w:rFonts w:ascii="Arial"/>
                <w:sz w:val="21"/>
              </w:rPr>
            </w:pPr>
          </w:p>
          <w:p w14:paraId="2525BD6E">
            <w:pPr>
              <w:spacing w:before="66" w:line="194" w:lineRule="auto"/>
              <w:ind w:left="293"/>
              <w:rPr>
                <w:rFonts w:ascii="Times New Roman" w:hAnsi="Times New Roman" w:eastAsia="Times New Roman" w:cs="Times New Roman"/>
                <w:sz w:val="23"/>
                <w:szCs w:val="23"/>
              </w:rPr>
            </w:pPr>
            <w:r>
              <w:rPr>
                <w:rFonts w:ascii="Times New Roman" w:hAnsi="Times New Roman" w:eastAsia="Times New Roman" w:cs="Times New Roman"/>
                <w:b/>
                <w:bCs/>
                <w:sz w:val="23"/>
                <w:szCs w:val="23"/>
              </w:rPr>
              <w:t>8</w:t>
            </w:r>
          </w:p>
        </w:tc>
        <w:tc>
          <w:tcPr>
            <w:tcW w:w="4155" w:type="dxa"/>
            <w:tcBorders>
              <w:left w:val="single" w:color="000000" w:sz="4" w:space="0"/>
              <w:right w:val="single" w:color="000000" w:sz="4" w:space="0"/>
            </w:tcBorders>
            <w:vAlign w:val="top"/>
          </w:tcPr>
          <w:p w14:paraId="4C832620">
            <w:pPr>
              <w:spacing w:before="102" w:line="266" w:lineRule="auto"/>
              <w:ind w:left="28"/>
              <w:rPr>
                <w:rFonts w:ascii="宋体" w:hAnsi="宋体" w:eastAsia="宋体" w:cs="宋体"/>
                <w:sz w:val="23"/>
                <w:szCs w:val="23"/>
              </w:rPr>
            </w:pPr>
            <w:r>
              <w:rPr>
                <w:rFonts w:ascii="宋体" w:hAnsi="宋体" w:eastAsia="宋体" w:cs="宋体"/>
                <w:spacing w:val="-9"/>
                <w:sz w:val="23"/>
                <w:szCs w:val="23"/>
              </w:rPr>
              <w:t xml:space="preserve">按照 </w:t>
            </w:r>
            <w:r>
              <w:rPr>
                <w:rFonts w:ascii="Times New Roman" w:hAnsi="Times New Roman" w:eastAsia="Times New Roman" w:cs="Times New Roman"/>
                <w:spacing w:val="-9"/>
                <w:sz w:val="23"/>
                <w:szCs w:val="23"/>
              </w:rPr>
              <w:t xml:space="preserve">2018 </w:t>
            </w:r>
            <w:r>
              <w:rPr>
                <w:rFonts w:ascii="宋体" w:hAnsi="宋体" w:eastAsia="宋体" w:cs="宋体"/>
                <w:spacing w:val="-9"/>
                <w:sz w:val="23"/>
                <w:szCs w:val="23"/>
              </w:rPr>
              <w:t>风险导则，完善风险评价内容</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6"/>
                <w:sz w:val="23"/>
                <w:szCs w:val="23"/>
              </w:rPr>
              <w:t>完</w:t>
            </w:r>
            <w:r>
              <w:rPr>
                <w:rFonts w:ascii="宋体" w:hAnsi="宋体" w:eastAsia="宋体" w:cs="宋体"/>
                <w:spacing w:val="-4"/>
                <w:sz w:val="23"/>
                <w:szCs w:val="23"/>
              </w:rPr>
              <w:t>善事故废水防控措施等相关内容。</w:t>
            </w:r>
          </w:p>
        </w:tc>
        <w:tc>
          <w:tcPr>
            <w:tcW w:w="4952" w:type="dxa"/>
            <w:tcBorders>
              <w:left w:val="single" w:color="000000" w:sz="4" w:space="0"/>
              <w:right w:val="nil"/>
            </w:tcBorders>
            <w:vAlign w:val="top"/>
          </w:tcPr>
          <w:p w14:paraId="1CD64248">
            <w:pPr>
              <w:spacing w:before="102" w:line="266" w:lineRule="auto"/>
              <w:ind w:left="56" w:right="10" w:hanging="3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149-</w:t>
            </w: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 xml:space="preserve">160 </w:t>
            </w:r>
            <w:r>
              <w:rPr>
                <w:rFonts w:ascii="宋体" w:hAnsi="宋体" w:eastAsia="宋体" w:cs="宋体"/>
                <w:spacing w:val="-1"/>
                <w:sz w:val="23"/>
                <w:szCs w:val="23"/>
              </w:rPr>
              <w:t xml:space="preserve">按照 </w:t>
            </w:r>
            <w:r>
              <w:rPr>
                <w:rFonts w:ascii="Times New Roman" w:hAnsi="Times New Roman" w:eastAsia="Times New Roman" w:cs="Times New Roman"/>
                <w:spacing w:val="-1"/>
                <w:sz w:val="23"/>
                <w:szCs w:val="23"/>
              </w:rPr>
              <w:t xml:space="preserve">2018 </w:t>
            </w:r>
            <w:r>
              <w:rPr>
                <w:rFonts w:ascii="宋体" w:hAnsi="宋体" w:eastAsia="宋体" w:cs="宋体"/>
                <w:spacing w:val="-1"/>
                <w:sz w:val="23"/>
                <w:szCs w:val="23"/>
              </w:rPr>
              <w:t>风险导</w:t>
            </w:r>
            <w:r>
              <w:rPr>
                <w:rFonts w:ascii="宋体" w:hAnsi="宋体" w:eastAsia="宋体" w:cs="宋体"/>
                <w:sz w:val="23"/>
                <w:szCs w:val="23"/>
              </w:rPr>
              <w:t xml:space="preserve">则，完善了风险评价 </w:t>
            </w:r>
            <w:r>
              <w:rPr>
                <w:rFonts w:ascii="宋体" w:hAnsi="宋体" w:eastAsia="宋体" w:cs="宋体"/>
                <w:spacing w:val="-6"/>
                <w:sz w:val="23"/>
                <w:szCs w:val="23"/>
              </w:rPr>
              <w:t>内</w:t>
            </w:r>
            <w:r>
              <w:rPr>
                <w:rFonts w:ascii="宋体" w:hAnsi="宋体" w:eastAsia="宋体" w:cs="宋体"/>
                <w:spacing w:val="-5"/>
                <w:sz w:val="23"/>
                <w:szCs w:val="23"/>
              </w:rPr>
              <w:t>容</w:t>
            </w:r>
            <w:r>
              <w:rPr>
                <w:rFonts w:ascii="宋体" w:hAnsi="宋体" w:eastAsia="宋体" w:cs="宋体"/>
                <w:spacing w:val="-3"/>
                <w:sz w:val="23"/>
                <w:szCs w:val="23"/>
              </w:rPr>
              <w:t>，完善了事故废水防控措施等相关内容。</w:t>
            </w:r>
          </w:p>
        </w:tc>
      </w:tr>
      <w:tr w14:paraId="610A5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685" w:type="dxa"/>
            <w:tcBorders>
              <w:left w:val="nil"/>
              <w:right w:val="single" w:color="000000" w:sz="4" w:space="0"/>
            </w:tcBorders>
            <w:vAlign w:val="top"/>
          </w:tcPr>
          <w:p w14:paraId="4A4DF30A">
            <w:pPr>
              <w:spacing w:line="321" w:lineRule="auto"/>
              <w:rPr>
                <w:rFonts w:ascii="Arial"/>
                <w:sz w:val="21"/>
              </w:rPr>
            </w:pPr>
          </w:p>
          <w:p w14:paraId="1479A49A">
            <w:pPr>
              <w:spacing w:line="322" w:lineRule="auto"/>
              <w:rPr>
                <w:rFonts w:ascii="Arial"/>
                <w:sz w:val="21"/>
              </w:rPr>
            </w:pPr>
          </w:p>
          <w:p w14:paraId="39BAD150">
            <w:pPr>
              <w:spacing w:before="66" w:line="195" w:lineRule="auto"/>
              <w:ind w:left="292"/>
              <w:rPr>
                <w:rFonts w:ascii="Times New Roman" w:hAnsi="Times New Roman" w:eastAsia="Times New Roman" w:cs="Times New Roman"/>
                <w:sz w:val="23"/>
                <w:szCs w:val="23"/>
              </w:rPr>
            </w:pPr>
            <w:r>
              <w:rPr>
                <w:rFonts w:ascii="Times New Roman" w:hAnsi="Times New Roman" w:eastAsia="Times New Roman" w:cs="Times New Roman"/>
                <w:b/>
                <w:bCs/>
                <w:sz w:val="23"/>
                <w:szCs w:val="23"/>
              </w:rPr>
              <w:t>9</w:t>
            </w:r>
          </w:p>
        </w:tc>
        <w:tc>
          <w:tcPr>
            <w:tcW w:w="4155" w:type="dxa"/>
            <w:tcBorders>
              <w:left w:val="single" w:color="000000" w:sz="4" w:space="0"/>
              <w:right w:val="single" w:color="000000" w:sz="4" w:space="0"/>
            </w:tcBorders>
            <w:vAlign w:val="top"/>
          </w:tcPr>
          <w:p w14:paraId="7D8A183B">
            <w:pPr>
              <w:spacing w:before="103" w:line="285" w:lineRule="auto"/>
              <w:ind w:left="29" w:right="7"/>
              <w:rPr>
                <w:rFonts w:ascii="宋体" w:hAnsi="宋体" w:eastAsia="宋体" w:cs="宋体"/>
                <w:sz w:val="23"/>
                <w:szCs w:val="23"/>
              </w:rPr>
            </w:pPr>
            <w:r>
              <w:rPr>
                <w:rFonts w:ascii="宋体" w:hAnsi="宋体" w:eastAsia="宋体" w:cs="宋体"/>
                <w:spacing w:val="-2"/>
                <w:sz w:val="23"/>
                <w:szCs w:val="23"/>
              </w:rPr>
              <w:t>核实固废种类，给出危险废物类</w:t>
            </w:r>
            <w:r>
              <w:rPr>
                <w:rFonts w:ascii="宋体" w:hAnsi="宋体" w:eastAsia="宋体" w:cs="宋体"/>
                <w:spacing w:val="-1"/>
                <w:sz w:val="23"/>
                <w:szCs w:val="23"/>
              </w:rPr>
              <w:t>别，明确</w:t>
            </w:r>
            <w:r>
              <w:rPr>
                <w:rFonts w:ascii="宋体" w:hAnsi="宋体" w:eastAsia="宋体" w:cs="宋体"/>
                <w:sz w:val="23"/>
                <w:szCs w:val="23"/>
              </w:rPr>
              <w:t xml:space="preserve"> </w:t>
            </w:r>
            <w:r>
              <w:rPr>
                <w:rFonts w:ascii="宋体" w:hAnsi="宋体" w:eastAsia="宋体" w:cs="宋体"/>
                <w:spacing w:val="-2"/>
                <w:sz w:val="23"/>
                <w:szCs w:val="23"/>
              </w:rPr>
              <w:t>处置去向。补充危废暂存间建设情况</w:t>
            </w:r>
            <w:r>
              <w:rPr>
                <w:rFonts w:ascii="宋体" w:hAnsi="宋体" w:eastAsia="宋体" w:cs="宋体"/>
                <w:spacing w:val="-1"/>
                <w:sz w:val="23"/>
                <w:szCs w:val="23"/>
              </w:rPr>
              <w:t>及</w:t>
            </w:r>
            <w:r>
              <w:rPr>
                <w:rFonts w:ascii="宋体" w:hAnsi="宋体" w:eastAsia="宋体" w:cs="宋体"/>
                <w:sz w:val="23"/>
                <w:szCs w:val="23"/>
              </w:rPr>
              <w:t xml:space="preserve">相 </w:t>
            </w:r>
            <w:r>
              <w:rPr>
                <w:rFonts w:ascii="宋体" w:hAnsi="宋体" w:eastAsia="宋体" w:cs="宋体"/>
                <w:spacing w:val="-2"/>
                <w:sz w:val="23"/>
                <w:szCs w:val="23"/>
              </w:rPr>
              <w:t>关评价内容。并进一步完善地下水污</w:t>
            </w:r>
            <w:r>
              <w:rPr>
                <w:rFonts w:ascii="宋体" w:hAnsi="宋体" w:eastAsia="宋体" w:cs="宋体"/>
                <w:spacing w:val="-1"/>
                <w:sz w:val="23"/>
                <w:szCs w:val="23"/>
              </w:rPr>
              <w:t>染</w:t>
            </w:r>
            <w:r>
              <w:rPr>
                <w:rFonts w:ascii="宋体" w:hAnsi="宋体" w:eastAsia="宋体" w:cs="宋体"/>
                <w:sz w:val="23"/>
                <w:szCs w:val="23"/>
              </w:rPr>
              <w:t xml:space="preserve">防 </w:t>
            </w:r>
            <w:r>
              <w:rPr>
                <w:rFonts w:ascii="宋体" w:hAnsi="宋体" w:eastAsia="宋体" w:cs="宋体"/>
                <w:spacing w:val="-2"/>
                <w:sz w:val="23"/>
                <w:szCs w:val="23"/>
              </w:rPr>
              <w:t>治措施。</w:t>
            </w:r>
          </w:p>
        </w:tc>
        <w:tc>
          <w:tcPr>
            <w:tcW w:w="4952" w:type="dxa"/>
            <w:tcBorders>
              <w:left w:val="single" w:color="000000" w:sz="4" w:space="0"/>
              <w:right w:val="nil"/>
            </w:tcBorders>
            <w:vAlign w:val="top"/>
          </w:tcPr>
          <w:p w14:paraId="243A8EC2">
            <w:pPr>
              <w:spacing w:before="103" w:line="305" w:lineRule="auto"/>
              <w:ind w:left="31" w:hanging="9"/>
              <w:rPr>
                <w:rFonts w:ascii="宋体" w:hAnsi="宋体" w:eastAsia="宋体" w:cs="宋体"/>
                <w:sz w:val="23"/>
                <w:szCs w:val="23"/>
              </w:rPr>
            </w:pPr>
            <w:r>
              <w:rPr>
                <w:rFonts w:ascii="Times New Roman" w:hAnsi="Times New Roman" w:eastAsia="Times New Roman" w:cs="Times New Roman"/>
                <w:spacing w:val="-2"/>
                <w:sz w:val="23"/>
                <w:szCs w:val="23"/>
              </w:rPr>
              <w:t>P</w:t>
            </w:r>
            <w:r>
              <w:rPr>
                <w:rFonts w:ascii="Times New Roman" w:hAnsi="Times New Roman" w:eastAsia="Times New Roman" w:cs="Times New Roman"/>
                <w:spacing w:val="-4"/>
                <w:sz w:val="23"/>
                <w:szCs w:val="23"/>
              </w:rPr>
              <w:t>69-</w:t>
            </w:r>
            <w:r>
              <w:rPr>
                <w:rFonts w:ascii="Times New Roman" w:hAnsi="Times New Roman" w:eastAsia="Times New Roman" w:cs="Times New Roman"/>
                <w:spacing w:val="-2"/>
                <w:sz w:val="23"/>
                <w:szCs w:val="23"/>
              </w:rPr>
              <w:t>P</w:t>
            </w:r>
            <w:r>
              <w:rPr>
                <w:rFonts w:ascii="Times New Roman" w:hAnsi="Times New Roman" w:eastAsia="Times New Roman" w:cs="Times New Roman"/>
                <w:spacing w:val="-4"/>
                <w:sz w:val="23"/>
                <w:szCs w:val="23"/>
              </w:rPr>
              <w:t xml:space="preserve">72 </w:t>
            </w:r>
            <w:r>
              <w:rPr>
                <w:rFonts w:ascii="宋体" w:hAnsi="宋体" w:eastAsia="宋体" w:cs="宋体"/>
                <w:spacing w:val="-4"/>
                <w:sz w:val="23"/>
                <w:szCs w:val="23"/>
              </w:rPr>
              <w:t>核</w:t>
            </w:r>
            <w:r>
              <w:rPr>
                <w:rFonts w:ascii="宋体" w:hAnsi="宋体" w:eastAsia="宋体" w:cs="宋体"/>
                <w:spacing w:val="-2"/>
                <w:sz w:val="23"/>
                <w:szCs w:val="23"/>
              </w:rPr>
              <w:t>实了固废种类，给出了危险废物类别，</w:t>
            </w:r>
            <w:r>
              <w:rPr>
                <w:rFonts w:ascii="宋体" w:hAnsi="宋体" w:eastAsia="宋体" w:cs="宋体"/>
                <w:sz w:val="23"/>
                <w:szCs w:val="23"/>
              </w:rPr>
              <w:t xml:space="preserve"> </w:t>
            </w:r>
            <w:r>
              <w:rPr>
                <w:rFonts w:ascii="宋体" w:hAnsi="宋体" w:eastAsia="宋体" w:cs="宋体"/>
                <w:spacing w:val="-10"/>
                <w:sz w:val="23"/>
                <w:szCs w:val="23"/>
              </w:rPr>
              <w:t>明</w:t>
            </w:r>
            <w:r>
              <w:rPr>
                <w:rFonts w:ascii="宋体" w:hAnsi="宋体" w:eastAsia="宋体" w:cs="宋体"/>
                <w:spacing w:val="-8"/>
                <w:sz w:val="23"/>
                <w:szCs w:val="23"/>
              </w:rPr>
              <w:t>确了处置去向。补充了危废暂存间建设情况及相</w:t>
            </w:r>
            <w:r>
              <w:rPr>
                <w:rFonts w:ascii="宋体" w:hAnsi="宋体" w:eastAsia="宋体" w:cs="宋体"/>
                <w:sz w:val="23"/>
                <w:szCs w:val="23"/>
              </w:rPr>
              <w:t xml:space="preserve"> </w:t>
            </w:r>
            <w:r>
              <w:rPr>
                <w:rFonts w:ascii="宋体" w:hAnsi="宋体" w:eastAsia="宋体" w:cs="宋体"/>
                <w:spacing w:val="-4"/>
                <w:sz w:val="23"/>
                <w:szCs w:val="23"/>
              </w:rPr>
              <w:t>关评</w:t>
            </w:r>
            <w:r>
              <w:rPr>
                <w:rFonts w:ascii="宋体" w:hAnsi="宋体" w:eastAsia="宋体" w:cs="宋体"/>
                <w:spacing w:val="-3"/>
                <w:sz w:val="23"/>
                <w:szCs w:val="23"/>
              </w:rPr>
              <w:t>价</w:t>
            </w:r>
            <w:r>
              <w:rPr>
                <w:rFonts w:ascii="宋体" w:hAnsi="宋体" w:eastAsia="宋体" w:cs="宋体"/>
                <w:spacing w:val="-2"/>
                <w:sz w:val="23"/>
                <w:szCs w:val="23"/>
              </w:rPr>
              <w:t>内容。</w:t>
            </w:r>
          </w:p>
          <w:p w14:paraId="12519158">
            <w:pPr>
              <w:spacing w:line="225" w:lineRule="auto"/>
              <w:ind w:left="22"/>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141-</w:t>
            </w:r>
            <w:r>
              <w:rPr>
                <w:rFonts w:ascii="Times New Roman" w:hAnsi="Times New Roman" w:eastAsia="Times New Roman" w:cs="Times New Roman"/>
                <w:sz w:val="23"/>
                <w:szCs w:val="23"/>
              </w:rPr>
              <w:t>P</w:t>
            </w:r>
            <w:r>
              <w:rPr>
                <w:rFonts w:ascii="Times New Roman" w:hAnsi="Times New Roman" w:eastAsia="Times New Roman" w:cs="Times New Roman"/>
                <w:spacing w:val="1"/>
                <w:sz w:val="23"/>
                <w:szCs w:val="23"/>
              </w:rPr>
              <w:t xml:space="preserve">142 </w:t>
            </w:r>
            <w:r>
              <w:rPr>
                <w:rFonts w:ascii="宋体" w:hAnsi="宋体" w:eastAsia="宋体" w:cs="宋体"/>
                <w:spacing w:val="1"/>
                <w:sz w:val="23"/>
                <w:szCs w:val="23"/>
              </w:rPr>
              <w:t>进一步完善了地下</w:t>
            </w:r>
            <w:r>
              <w:rPr>
                <w:rFonts w:ascii="宋体" w:hAnsi="宋体" w:eastAsia="宋体" w:cs="宋体"/>
                <w:sz w:val="23"/>
                <w:szCs w:val="23"/>
              </w:rPr>
              <w:t>水污染防治措施。</w:t>
            </w:r>
          </w:p>
        </w:tc>
      </w:tr>
      <w:tr w14:paraId="0973F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85" w:type="dxa"/>
            <w:tcBorders>
              <w:left w:val="nil"/>
              <w:right w:val="single" w:color="000000" w:sz="4" w:space="0"/>
            </w:tcBorders>
            <w:vAlign w:val="top"/>
          </w:tcPr>
          <w:p w14:paraId="32CE89F8">
            <w:pPr>
              <w:spacing w:before="144" w:line="195" w:lineRule="auto"/>
              <w:ind w:left="242"/>
              <w:rPr>
                <w:rFonts w:ascii="Times New Roman" w:hAnsi="Times New Roman" w:eastAsia="Times New Roman" w:cs="Times New Roman"/>
                <w:sz w:val="23"/>
                <w:szCs w:val="23"/>
              </w:rPr>
            </w:pPr>
            <w:r>
              <w:rPr>
                <w:rFonts w:ascii="Times New Roman" w:hAnsi="Times New Roman" w:eastAsia="Times New Roman" w:cs="Times New Roman"/>
                <w:b/>
                <w:bCs/>
                <w:spacing w:val="-5"/>
                <w:sz w:val="23"/>
                <w:szCs w:val="23"/>
              </w:rPr>
              <w:t>1</w:t>
            </w:r>
            <w:r>
              <w:rPr>
                <w:rFonts w:ascii="Times New Roman" w:hAnsi="Times New Roman" w:eastAsia="Times New Roman" w:cs="Times New Roman"/>
                <w:b/>
                <w:bCs/>
                <w:spacing w:val="-4"/>
                <w:sz w:val="23"/>
                <w:szCs w:val="23"/>
              </w:rPr>
              <w:t>0</w:t>
            </w:r>
          </w:p>
        </w:tc>
        <w:tc>
          <w:tcPr>
            <w:tcW w:w="4155" w:type="dxa"/>
            <w:tcBorders>
              <w:left w:val="single" w:color="000000" w:sz="4" w:space="0"/>
              <w:right w:val="single" w:color="000000" w:sz="4" w:space="0"/>
            </w:tcBorders>
            <w:vAlign w:val="top"/>
          </w:tcPr>
          <w:p w14:paraId="12AD4B77">
            <w:pPr>
              <w:spacing w:before="105" w:line="226" w:lineRule="auto"/>
              <w:ind w:left="28"/>
              <w:rPr>
                <w:rFonts w:ascii="宋体" w:hAnsi="宋体" w:eastAsia="宋体" w:cs="宋体"/>
                <w:sz w:val="23"/>
                <w:szCs w:val="23"/>
              </w:rPr>
            </w:pPr>
            <w:r>
              <w:rPr>
                <w:rFonts w:ascii="宋体" w:hAnsi="宋体" w:eastAsia="宋体" w:cs="宋体"/>
                <w:spacing w:val="-2"/>
                <w:sz w:val="23"/>
                <w:szCs w:val="23"/>
              </w:rPr>
              <w:t>完善报告中的图</w:t>
            </w:r>
            <w:r>
              <w:rPr>
                <w:rFonts w:ascii="宋体" w:hAnsi="宋体" w:eastAsia="宋体" w:cs="宋体"/>
                <w:spacing w:val="-1"/>
                <w:sz w:val="23"/>
                <w:szCs w:val="23"/>
              </w:rPr>
              <w:t>件。</w:t>
            </w:r>
          </w:p>
        </w:tc>
        <w:tc>
          <w:tcPr>
            <w:tcW w:w="4952" w:type="dxa"/>
            <w:tcBorders>
              <w:left w:val="single" w:color="000000" w:sz="4" w:space="0"/>
              <w:right w:val="nil"/>
            </w:tcBorders>
            <w:vAlign w:val="top"/>
          </w:tcPr>
          <w:p w14:paraId="3AE06EF6">
            <w:pPr>
              <w:spacing w:before="105" w:line="226" w:lineRule="auto"/>
              <w:ind w:left="30"/>
              <w:rPr>
                <w:rFonts w:ascii="宋体" w:hAnsi="宋体" w:eastAsia="宋体" w:cs="宋体"/>
                <w:sz w:val="23"/>
                <w:szCs w:val="23"/>
              </w:rPr>
            </w:pPr>
            <w:r>
              <w:rPr>
                <w:rFonts w:ascii="宋体" w:hAnsi="宋体" w:eastAsia="宋体" w:cs="宋体"/>
                <w:spacing w:val="-2"/>
                <w:sz w:val="23"/>
                <w:szCs w:val="23"/>
              </w:rPr>
              <w:t>完善了报告中的图</w:t>
            </w:r>
            <w:r>
              <w:rPr>
                <w:rFonts w:ascii="宋体" w:hAnsi="宋体" w:eastAsia="宋体" w:cs="宋体"/>
                <w:spacing w:val="-1"/>
                <w:sz w:val="23"/>
                <w:szCs w:val="23"/>
              </w:rPr>
              <w:t>件。</w:t>
            </w:r>
          </w:p>
        </w:tc>
      </w:tr>
    </w:tbl>
    <w:p w14:paraId="63DBD867">
      <w:pPr>
        <w:rPr>
          <w:rFonts w:ascii="Arial"/>
          <w:sz w:val="21"/>
        </w:rPr>
      </w:pPr>
    </w:p>
    <w:sectPr>
      <w:footerReference r:id="rId379" w:type="default"/>
      <w:pgSz w:w="11906" w:h="16839"/>
      <w:pgMar w:top="400" w:right="1056" w:bottom="1156" w:left="1056" w:header="0" w:footer="99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UI Gothic">
    <w:panose1 w:val="020B0600070205080204"/>
    <w:charset w:val="80"/>
    <w:family w:val="auto"/>
    <w:pitch w:val="default"/>
    <w:sig w:usb0="E00002FF" w:usb1="6AC7FDFB" w:usb2="00000012" w:usb3="00000000" w:csb0="4002009F" w:csb1="DFD70000"/>
  </w:font>
  <w:font w:name="Malgun Gothic">
    <w:panose1 w:val="020B0503020000020004"/>
    <w:charset w:val="81"/>
    <w:family w:val="auto"/>
    <w:pitch w:val="default"/>
    <w:sig w:usb0="900002AF" w:usb1="01D77CFB" w:usb2="00000012" w:usb3="00000000" w:csb0="0008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83EB">
    <w:pPr>
      <w:spacing w:line="193" w:lineRule="auto"/>
      <w:ind w:left="4141"/>
      <w:rPr>
        <w:rFonts w:ascii="Times New Roman" w:hAnsi="Times New Roman" w:eastAsia="Times New Roman" w:cs="Times New Roman"/>
        <w:sz w:val="17"/>
        <w:szCs w:val="17"/>
      </w:rPr>
    </w:pPr>
    <w:r>
      <w:rPr>
        <w:rFonts w:ascii="Times New Roman" w:hAnsi="Times New Roman" w:eastAsia="Times New Roman" w:cs="Times New Roman"/>
        <w:sz w:val="17"/>
        <w:szCs w:val="17"/>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389D2">
    <w:pPr>
      <w:spacing w:line="196" w:lineRule="auto"/>
      <w:ind w:left="4170"/>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2E39F">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8</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06E56">
    <w:pPr>
      <w:spacing w:line="196" w:lineRule="auto"/>
      <w:ind w:left="690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9</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11C1">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7B7D">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01</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2A5C4">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02</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4E212">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03</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36ED1">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04</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64FF2">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05</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A370D">
    <w:pPr>
      <w:spacing w:line="196" w:lineRule="auto"/>
      <w:ind w:left="406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06</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E9A75">
    <w:pPr>
      <w:spacing w:line="196" w:lineRule="auto"/>
      <w:ind w:left="410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485D">
    <w:pPr>
      <w:spacing w:line="196" w:lineRule="auto"/>
      <w:ind w:left="4130"/>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4F896">
    <w:pPr>
      <w:spacing w:line="196" w:lineRule="auto"/>
      <w:ind w:left="414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08</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4DD71">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09</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C4EAB">
    <w:pPr>
      <w:spacing w:line="196" w:lineRule="auto"/>
      <w:ind w:left="415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10</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1C3A9">
    <w:pPr>
      <w:spacing w:line="196" w:lineRule="auto"/>
      <w:ind w:left="40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111</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9AF49">
    <w:pPr>
      <w:spacing w:line="196" w:lineRule="auto"/>
      <w:ind w:left="694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12</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6E89F">
    <w:pPr>
      <w:spacing w:line="196" w:lineRule="auto"/>
      <w:ind w:left="40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13</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327EA">
    <w:pPr>
      <w:spacing w:line="196" w:lineRule="auto"/>
      <w:ind w:left="40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14</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D2B38">
    <w:pPr>
      <w:spacing w:line="196" w:lineRule="auto"/>
      <w:ind w:left="405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15</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DE864">
    <w:pPr>
      <w:spacing w:line="196" w:lineRule="auto"/>
      <w:ind w:left="405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16</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BC672">
    <w:pPr>
      <w:spacing w:line="196" w:lineRule="auto"/>
      <w:ind w:left="415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83C77">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D46A4">
    <w:pPr>
      <w:spacing w:line="196" w:lineRule="auto"/>
      <w:ind w:left="68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18</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3759">
    <w:pPr>
      <w:spacing w:line="196" w:lineRule="auto"/>
      <w:ind w:left="414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19</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805E8">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20</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D8384">
    <w:pPr>
      <w:spacing w:line="196" w:lineRule="auto"/>
      <w:ind w:left="433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21</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B6870">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22</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EFCA7">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23</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2905A">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24</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BFA97">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25</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1DF3A">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26</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E7A71">
    <w:pPr>
      <w:spacing w:line="196" w:lineRule="auto"/>
      <w:ind w:left="415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ACC79">
    <w:pPr>
      <w:spacing w:line="196" w:lineRule="auto"/>
      <w:ind w:left="4100"/>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BAF66">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28</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5EA01">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29</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FFCBB">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30</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266D">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31</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1051F">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32</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3A105">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33</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90D62">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34</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E3E31">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35</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7959">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36</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30ACC">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87C83">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ACB75">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38</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E86C3">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39</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0FED6">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40</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56AA7">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41</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8A618">
    <w:pPr>
      <w:spacing w:line="196" w:lineRule="auto"/>
      <w:ind w:left="40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42</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1E99">
    <w:pPr>
      <w:spacing w:line="196" w:lineRule="auto"/>
      <w:ind w:left="406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43</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BC10C">
    <w:pPr>
      <w:spacing w:line="196" w:lineRule="auto"/>
      <w:ind w:left="68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44</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CD13F">
    <w:pPr>
      <w:spacing w:line="196" w:lineRule="auto"/>
      <w:ind w:left="68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45</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15EC">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46</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7F637">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09EBE">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FB860">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48</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159AE">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49</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3B0E1">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2785A">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51</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E101E">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52</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FE41A">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53</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4C15">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54</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B7353">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55</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C2A1F">
    <w:pPr>
      <w:spacing w:line="196" w:lineRule="auto"/>
      <w:ind w:left="1032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56</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177A5">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38E38">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DA6FD">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58</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06558">
    <w:pPr>
      <w:spacing w:line="196" w:lineRule="auto"/>
      <w:ind w:left="40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59</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6734F">
    <w:pPr>
      <w:spacing w:line="196" w:lineRule="auto"/>
      <w:ind w:left="40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60</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A72CE">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61</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E95F5">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62</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1AF41">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63</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183BD">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64</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DFBBF">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65</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324E9">
    <w:pPr>
      <w:spacing w:line="196" w:lineRule="auto"/>
      <w:ind w:left="40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66</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9D6F3">
    <w:pPr>
      <w:spacing w:line="196" w:lineRule="auto"/>
      <w:ind w:left="40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999B5">
    <w:pPr>
      <w:spacing w:line="196" w:lineRule="auto"/>
      <w:ind w:left="410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78F81">
    <w:pPr>
      <w:spacing w:line="196" w:lineRule="auto"/>
      <w:ind w:left="40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68</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04CE2">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69</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8170F">
    <w:pPr>
      <w:spacing w:line="196" w:lineRule="auto"/>
      <w:ind w:left="414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70</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45161">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71</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361B">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72</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53515">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73</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5184F">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74</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4B92">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75</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EFFEF">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76</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81355">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A70C2">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2BA8">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78</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18F8">
    <w:pPr>
      <w:spacing w:line="196" w:lineRule="auto"/>
      <w:ind w:left="510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79</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E1A7C">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80</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AD96">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81</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AA6F">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82</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61501">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83</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DCCB2">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84</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FAE2E">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85</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E5378">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86</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0C960">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410C6">
    <w:pPr>
      <w:spacing w:line="196" w:lineRule="auto"/>
      <w:ind w:left="694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AD913">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88</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6B1DC">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89</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B9BCA">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90</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F6E20">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91</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443B1">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92</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B525">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93</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4F28F">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94</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6C78">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95</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2668B">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96</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CC963">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76C0D">
    <w:pPr>
      <w:spacing w:line="193" w:lineRule="auto"/>
      <w:ind w:left="411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0B871">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93154">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98</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4D2F0">
    <w:pPr>
      <w:spacing w:line="196" w:lineRule="auto"/>
      <w:ind w:left="40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99</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2F9B0">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44CA">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01</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F1DE2">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02</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4E7C">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03</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EA8D4">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04</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FFF7">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05</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4A5F9">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06</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FC84">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78E0B">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FAFA5">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08</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CEC7A">
    <w:pPr>
      <w:spacing w:line="196" w:lineRule="auto"/>
      <w:ind w:left="40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09</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F4CD2">
    <w:pPr>
      <w:spacing w:line="196" w:lineRule="auto"/>
      <w:ind w:left="47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381F4">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073EC">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4D54D">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8A1E1">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6AD1F">
    <w:pPr>
      <w:spacing w:line="196" w:lineRule="auto"/>
      <w:ind w:left="40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D982">
    <w:pPr>
      <w:spacing w:line="196" w:lineRule="auto"/>
      <w:ind w:left="41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7B193">
    <w:pPr>
      <w:spacing w:line="196" w:lineRule="auto"/>
      <w:ind w:left="4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5D687">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B5FB6">
    <w:pPr>
      <w:spacing w:line="196" w:lineRule="auto"/>
      <w:ind w:left="414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4358">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805E">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3B9F1">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B7671">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272A1">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FBA5">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42038">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61C6E">
    <w:pPr>
      <w:spacing w:line="196" w:lineRule="auto"/>
      <w:ind w:left="4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8ED0C">
    <w:pPr>
      <w:spacing w:line="196" w:lineRule="auto"/>
      <w:ind w:left="41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AD65">
    <w:pPr>
      <w:spacing w:line="196" w:lineRule="auto"/>
      <w:ind w:left="40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51C48">
    <w:pPr>
      <w:spacing w:line="196" w:lineRule="auto"/>
      <w:ind w:left="412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02CBF">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947C8">
    <w:pPr>
      <w:spacing w:line="196" w:lineRule="auto"/>
      <w:ind w:left="41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7D5FC">
    <w:pPr>
      <w:spacing w:line="196" w:lineRule="auto"/>
      <w:ind w:left="103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62050">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3C65">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33576">
    <w:pPr>
      <w:spacing w:line="196" w:lineRule="auto"/>
      <w:ind w:left="410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3CF6">
    <w:pPr>
      <w:spacing w:line="196" w:lineRule="auto"/>
      <w:ind w:left="410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33019">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8FB84">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C4DFC">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CDD0C">
    <w:pPr>
      <w:spacing w:line="196" w:lineRule="auto"/>
      <w:ind w:left="4130"/>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F60A2">
    <w:pPr>
      <w:spacing w:line="196" w:lineRule="auto"/>
      <w:ind w:left="68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0E947">
    <w:pPr>
      <w:spacing w:line="196" w:lineRule="auto"/>
      <w:ind w:left="417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92E1A">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113AB">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F8753">
    <w:pPr>
      <w:spacing w:line="196" w:lineRule="auto"/>
      <w:ind w:left="417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E7E5A">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E08E">
    <w:pPr>
      <w:spacing w:line="196" w:lineRule="auto"/>
      <w:ind w:left="417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0390">
    <w:pPr>
      <w:spacing w:line="193"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0B07D">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E7539">
    <w:pPr>
      <w:spacing w:line="193"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4A081">
    <w:pPr>
      <w:spacing w:line="196" w:lineRule="auto"/>
      <w:ind w:left="415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EF2EB">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59528">
    <w:pPr>
      <w:spacing w:line="196" w:lineRule="auto"/>
      <w:ind w:left="417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3D476">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FEE1B">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637D">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AE3E3">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3</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1312">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4</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DF81B">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74D77">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6</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616E6">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01CAA">
    <w:pPr>
      <w:spacing w:line="193" w:lineRule="auto"/>
      <w:ind w:left="422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050C2">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8</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4039B">
    <w:pPr>
      <w:spacing w:line="196" w:lineRule="auto"/>
      <w:ind w:left="41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9</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6950E">
    <w:pPr>
      <w:spacing w:line="196" w:lineRule="auto"/>
      <w:ind w:left="40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0F960">
    <w:pPr>
      <w:spacing w:line="196" w:lineRule="auto"/>
      <w:ind w:left="417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71</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E6A76">
    <w:pPr>
      <w:spacing w:line="196" w:lineRule="auto"/>
      <w:ind w:left="417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72</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CB9E">
    <w:pPr>
      <w:spacing w:line="196" w:lineRule="auto"/>
      <w:ind w:left="40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73</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F3A7B">
    <w:pPr>
      <w:spacing w:line="196" w:lineRule="auto"/>
      <w:ind w:left="40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BEE58">
    <w:pPr>
      <w:spacing w:line="193" w:lineRule="auto"/>
      <w:ind w:left="40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B7165">
    <w:pPr>
      <w:spacing w:line="196" w:lineRule="auto"/>
      <w:ind w:left="40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A8102">
    <w:pPr>
      <w:spacing w:line="193" w:lineRule="auto"/>
      <w:ind w:left="40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FEC96">
    <w:pPr>
      <w:spacing w:line="196" w:lineRule="auto"/>
      <w:ind w:left="4224"/>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45D0">
    <w:pPr>
      <w:spacing w:line="196" w:lineRule="auto"/>
      <w:ind w:left="409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78</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B13E3">
    <w:pPr>
      <w:spacing w:line="196" w:lineRule="auto"/>
      <w:ind w:left="409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C6FFC">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z w:val="17"/>
        <w:szCs w:val="17"/>
      </w:rPr>
      <w:t>80</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29992">
    <w:pPr>
      <w:spacing w:line="196" w:lineRule="auto"/>
      <w:ind w:left="4097"/>
      <w:rPr>
        <w:rFonts w:ascii="Times New Roman" w:hAnsi="Times New Roman" w:eastAsia="Times New Roman" w:cs="Times New Roman"/>
        <w:sz w:val="17"/>
        <w:szCs w:val="17"/>
      </w:rPr>
    </w:pPr>
    <w:r>
      <w:rPr>
        <w:rFonts w:ascii="Times New Roman" w:hAnsi="Times New Roman" w:eastAsia="Times New Roman" w:cs="Times New Roman"/>
        <w:sz w:val="17"/>
        <w:szCs w:val="17"/>
      </w:rPr>
      <w:t>81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F7FD3">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z w:val="17"/>
        <w:szCs w:val="17"/>
      </w:rPr>
      <w:t>82</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6152">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z w:val="17"/>
        <w:szCs w:val="17"/>
      </w:rPr>
      <w:t>83</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3DB80">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z w:val="17"/>
        <w:szCs w:val="17"/>
      </w:rPr>
      <w:t>84</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CF322">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z w:val="17"/>
        <w:szCs w:val="17"/>
      </w:rPr>
      <w:t>85</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A65E">
    <w:pPr>
      <w:spacing w:line="196" w:lineRule="auto"/>
      <w:ind w:left="4097"/>
      <w:rPr>
        <w:rFonts w:ascii="Times New Roman" w:hAnsi="Times New Roman" w:eastAsia="Times New Roman" w:cs="Times New Roman"/>
        <w:sz w:val="17"/>
        <w:szCs w:val="17"/>
      </w:rPr>
    </w:pPr>
    <w:r>
      <w:rPr>
        <w:rFonts w:ascii="Times New Roman" w:hAnsi="Times New Roman" w:eastAsia="Times New Roman" w:cs="Times New Roman"/>
        <w:sz w:val="17"/>
        <w:szCs w:val="17"/>
      </w:rPr>
      <w:t>86</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4A211">
    <w:pPr>
      <w:spacing w:line="196" w:lineRule="auto"/>
      <w:ind w:left="4097"/>
      <w:rPr>
        <w:rFonts w:ascii="Times New Roman" w:hAnsi="Times New Roman" w:eastAsia="Times New Roman" w:cs="Times New Roman"/>
        <w:sz w:val="17"/>
        <w:szCs w:val="17"/>
      </w:rPr>
    </w:pPr>
    <w:r>
      <w:rPr>
        <w:rFonts w:ascii="Times New Roman" w:hAnsi="Times New Roman" w:eastAsia="Times New Roman" w:cs="Times New Roman"/>
        <w:sz w:val="17"/>
        <w:szCs w:val="17"/>
      </w:rPr>
      <w:t>87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83A06">
    <w:pPr>
      <w:spacing w:line="193" w:lineRule="auto"/>
      <w:ind w:left="4138"/>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998ED">
    <w:pPr>
      <w:spacing w:line="196" w:lineRule="auto"/>
      <w:ind w:left="4097"/>
      <w:rPr>
        <w:rFonts w:ascii="Times New Roman" w:hAnsi="Times New Roman" w:eastAsia="Times New Roman" w:cs="Times New Roman"/>
        <w:sz w:val="17"/>
        <w:szCs w:val="17"/>
      </w:rPr>
    </w:pPr>
    <w:r>
      <w:rPr>
        <w:rFonts w:ascii="Times New Roman" w:hAnsi="Times New Roman" w:eastAsia="Times New Roman" w:cs="Times New Roman"/>
        <w:sz w:val="17"/>
        <w:szCs w:val="17"/>
      </w:rPr>
      <w:t>88</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04AB2">
    <w:pPr>
      <w:spacing w:line="196" w:lineRule="auto"/>
      <w:ind w:left="4182"/>
      <w:rPr>
        <w:rFonts w:ascii="Times New Roman" w:hAnsi="Times New Roman" w:eastAsia="Times New Roman" w:cs="Times New Roman"/>
        <w:sz w:val="17"/>
        <w:szCs w:val="17"/>
      </w:rPr>
    </w:pPr>
    <w:r>
      <w:rPr>
        <w:rFonts w:ascii="Times New Roman" w:hAnsi="Times New Roman" w:eastAsia="Times New Roman" w:cs="Times New Roman"/>
        <w:sz w:val="17"/>
        <w:szCs w:val="17"/>
      </w:rPr>
      <w:t>89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0891E">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0</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F16FA">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31452">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2</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EE924">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3</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F6DDB">
    <w:pPr>
      <w:spacing w:line="196"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4</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E53B">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5</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1A9AD">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6</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B21B1">
    <w:pPr>
      <w:spacing w:line="196" w:lineRule="auto"/>
      <w:ind w:left="40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96A3E">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E4E3F9F">
    <w:pPr>
      <w:spacing w:before="14" w:line="29" w:lineRule="exact"/>
      <w:ind w:firstLine="14"/>
      <w:textAlignment w:val="center"/>
    </w:pPr>
    <w:r>
      <w:pict>
        <v:shape id="_x0000_s2049" o:spid="_x0000_s2049" style="height:1.45pt;width:415.3pt;" fillcolor="#000000" filled="t" stroked="f" coordsize="8305,29" path="m0,0l8305,0,8305,28,0,28,0,0xe">
          <v:path/>
          <v:fill on="t" focussize="0,0"/>
          <v:stroke on="f"/>
          <v:imagedata o:title=""/>
          <o:lock v:ext="edit"/>
          <w10:wrap type="none"/>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4322">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75B692A">
    <w:pPr>
      <w:spacing w:before="14" w:line="29" w:lineRule="exact"/>
      <w:ind w:firstLine="14"/>
      <w:textAlignment w:val="center"/>
    </w:pPr>
    <w:r>
      <w:pict>
        <v:shape id="_x0000_s2058" o:spid="_x0000_s2058" style="height:1.45pt;width:415.3pt;" fillcolor="#000000" filled="t" stroked="f" coordsize="8305,29" path="m0,0l8305,0,8305,28,0,28,0,0xe">
          <v:path/>
          <v:fill on="t" focussize="0,0"/>
          <v:stroke on="f"/>
          <v:imagedata o:title=""/>
          <o:lock v:ext="edit"/>
          <w10:wrap type="none"/>
          <w10:anchorlock/>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CED9B">
    <w:pPr>
      <w:spacing w:line="228" w:lineRule="auto"/>
      <w:ind w:left="23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48B2577">
    <w:pPr>
      <w:spacing w:before="14" w:line="29" w:lineRule="exact"/>
      <w:ind w:firstLine="115"/>
      <w:textAlignment w:val="center"/>
    </w:pPr>
    <w:r>
      <w:pict>
        <v:shape id="_x0000_s2147" o:spid="_x0000_s2147" style="height:1.45pt;width:415.3pt;" fillcolor="#000000" filled="t" stroked="f" coordsize="8305,29" path="m0,0l8305,0,8305,28,0,28,0,0xe">
          <v:path/>
          <v:fill on="t" focussize="0,0"/>
          <v:stroke on="f"/>
          <v:imagedata o:title=""/>
          <o:lock v:ext="edit"/>
          <w10:wrap type="none"/>
          <w10:anchorlock/>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0AA5B">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F23E9B6">
    <w:pPr>
      <w:spacing w:before="14" w:line="29" w:lineRule="exact"/>
      <w:ind w:firstLine="14"/>
      <w:textAlignment w:val="center"/>
    </w:pPr>
    <w:r>
      <w:pict>
        <v:shape id="_x0000_s2148" o:spid="_x0000_s2148" style="height:1.45pt;width:415.3pt;" fillcolor="#000000" filled="t" stroked="f" coordsize="8305,29" path="m0,0l8305,0,8305,28,0,28,0,0xe">
          <v:path/>
          <v:fill on="t" focussize="0,0"/>
          <v:stroke on="f"/>
          <v:imagedata o:title=""/>
          <o:lock v:ext="edit"/>
          <w10:wrap type="none"/>
          <w10:anchorlock/>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0A9E">
    <w:pPr>
      <w:spacing w:line="228" w:lineRule="auto"/>
      <w:ind w:left="5170"/>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5F0B146">
    <w:pPr>
      <w:spacing w:before="14" w:line="29" w:lineRule="exact"/>
      <w:ind w:firstLine="74"/>
      <w:textAlignment w:val="center"/>
    </w:pPr>
    <w:r>
      <w:pict>
        <v:shape id="_x0000_s2149" o:spid="_x0000_s2149" style="height:1.45pt;width:697.95pt;" fillcolor="#000000" filled="t" stroked="f" coordsize="13959,29" path="m0,0l13958,0,13958,28,0,28,0,0xe">
          <v:path/>
          <v:fill on="t" focussize="0,0"/>
          <v:stroke on="f"/>
          <v:imagedata o:title=""/>
          <o:lock v:ext="edit"/>
          <w10:wrap type="none"/>
          <w10:anchorlock/>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547B">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32E0585">
    <w:pPr>
      <w:spacing w:before="14" w:line="29" w:lineRule="exact"/>
      <w:ind w:firstLine="22"/>
      <w:textAlignment w:val="center"/>
    </w:pPr>
    <w:r>
      <w:pict>
        <v:shape id="_x0000_s2150" o:spid="_x0000_s2150" style="height:1.45pt;width:415.3pt;" fillcolor="#000000" filled="t" stroked="f" coordsize="8305,29" path="m0,0l8305,0,8305,28,0,28,0,0xe">
          <v:path/>
          <v:fill on="t" focussize="0,0"/>
          <v:stroke on="f"/>
          <v:imagedata o:title=""/>
          <o:lock v:ext="edit"/>
          <w10:wrap type="none"/>
          <w10:anchorlock/>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4EA7">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02A2D3A">
    <w:pPr>
      <w:spacing w:before="14" w:line="29" w:lineRule="exact"/>
      <w:ind w:firstLine="22"/>
      <w:textAlignment w:val="center"/>
    </w:pPr>
    <w:r>
      <w:pict>
        <v:shape id="_x0000_s2151" o:spid="_x0000_s2151" style="height:1.45pt;width:415.3pt;" fillcolor="#000000" filled="t" stroked="f" coordsize="8305,29" path="m0,0l8305,0,8305,28,0,28,0,0xe">
          <v:path/>
          <v:fill on="t" focussize="0,0"/>
          <v:stroke on="f"/>
          <v:imagedata o:title=""/>
          <o:lock v:ext="edit"/>
          <w10:wrap type="none"/>
          <w10:anchorlock/>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F9E6C">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129C63D">
    <w:pPr>
      <w:spacing w:before="14" w:line="29" w:lineRule="exact"/>
      <w:ind w:firstLine="14"/>
      <w:textAlignment w:val="center"/>
    </w:pPr>
    <w:r>
      <w:pict>
        <v:shape id="_x0000_s2152" o:spid="_x0000_s2152" style="height:1.45pt;width:415.3pt;" fillcolor="#000000" filled="t" stroked="f" coordsize="8305,29" path="m0,0l8305,0,8305,28,0,28,0,0xe">
          <v:path/>
          <v:fill on="t" focussize="0,0"/>
          <v:stroke on="f"/>
          <v:imagedata o:title=""/>
          <o:lock v:ext="edit"/>
          <w10:wrap type="none"/>
          <w10:anchorlock/>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870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2C19842">
    <w:pPr>
      <w:spacing w:before="14" w:line="29" w:lineRule="exact"/>
      <w:ind w:firstLine="14"/>
      <w:textAlignment w:val="center"/>
    </w:pPr>
    <w:r>
      <w:pict>
        <v:shape id="_x0000_s2153" o:spid="_x0000_s2153" style="height:1.45pt;width:415.3pt;" fillcolor="#000000" filled="t" stroked="f" coordsize="8305,29" path="m0,0l8305,0,8305,28,0,28,0,0xe">
          <v:path/>
          <v:fill on="t" focussize="0,0"/>
          <v:stroke on="f"/>
          <v:imagedata o:title=""/>
          <o:lock v:ext="edit"/>
          <w10:wrap type="none"/>
          <w10:anchorlock/>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9FD5E">
    <w:pPr>
      <w:spacing w:line="228" w:lineRule="auto"/>
      <w:ind w:left="2381"/>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C7F2339">
    <w:pPr>
      <w:spacing w:before="14" w:line="29" w:lineRule="exact"/>
      <w:ind w:firstLine="110"/>
      <w:textAlignment w:val="center"/>
    </w:pPr>
    <w:r>
      <w:pict>
        <v:shape id="_x0000_s2154" o:spid="_x0000_s2154" style="height:1.45pt;width:415.3pt;" fillcolor="#000000" filled="t" stroked="f" coordsize="8305,29" path="m0,0l8305,0,8305,28,0,28,0,0xe">
          <v:path/>
          <v:fill on="t" focussize="0,0"/>
          <v:stroke on="f"/>
          <v:imagedata o:title=""/>
          <o:lock v:ext="edit"/>
          <w10:wrap type="none"/>
          <w10:anchorlock/>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561C8">
    <w:pPr>
      <w:spacing w:line="228" w:lineRule="auto"/>
      <w:ind w:left="509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4092E39">
    <w:pPr>
      <w:spacing w:before="14" w:line="29" w:lineRule="exact"/>
      <w:textAlignment w:val="center"/>
    </w:pPr>
    <w:r>
      <w:pict>
        <v:shape id="_x0000_s2155" o:spid="_x0000_s2155" style="height:1.45pt;width:697.95pt;" fillcolor="#000000" filled="t" stroked="f" coordsize="13959,29" path="m0,0l13958,0,13958,28,0,28,0,0xe">
          <v:path/>
          <v:fill on="t" focussize="0,0"/>
          <v:stroke on="f"/>
          <v:imagedata o:title=""/>
          <o:lock v:ext="edit"/>
          <w10:wrap type="none"/>
          <w10:anchorlock/>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9761">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38EA18A">
    <w:pPr>
      <w:spacing w:before="14" w:line="29" w:lineRule="exact"/>
      <w:ind w:firstLine="108"/>
      <w:textAlignment w:val="center"/>
    </w:pPr>
    <w:r>
      <w:pict>
        <v:shape id="_x0000_s2156" o:spid="_x0000_s2156" style="height:1.45pt;width:415.3pt;" fillcolor="#000000" filled="t" stroked="f" coordsize="8305,29" path="m0,0l8305,0,8305,28,0,28,0,0xe">
          <v:path/>
          <v:fill on="t" focussize="0,0"/>
          <v:stroke on="f"/>
          <v:imagedata o:title=""/>
          <o:lock v:ext="edit"/>
          <w10:wrap type="non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1545B">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9199574">
    <w:pPr>
      <w:spacing w:before="14" w:line="29" w:lineRule="exact"/>
      <w:ind w:firstLine="14"/>
      <w:textAlignment w:val="center"/>
    </w:pPr>
    <w:r>
      <w:pict>
        <v:shape id="_x0000_s2059" o:spid="_x0000_s2059" style="height:1.45pt;width:415.3pt;" fillcolor="#000000" filled="t" stroked="f" coordsize="8305,29" path="m0,0l8305,0,8305,28,0,28,0,0xe">
          <v:path/>
          <v:fill on="t" focussize="0,0"/>
          <v:stroke on="f"/>
          <v:imagedata o:title=""/>
          <o:lock v:ext="edit"/>
          <w10:wrap type="none"/>
          <w10:anchorlock/>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CDCC">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56D2A83">
    <w:pPr>
      <w:spacing w:before="14" w:line="29" w:lineRule="exact"/>
      <w:ind w:firstLine="108"/>
      <w:textAlignment w:val="center"/>
    </w:pPr>
    <w:r>
      <w:pict>
        <v:shape id="_x0000_s2157" o:spid="_x0000_s2157" style="height:1.45pt;width:415.3pt;" fillcolor="#000000" filled="t" stroked="f" coordsize="8305,29" path="m0,0l8305,0,8305,28,0,28,0,0xe">
          <v:path/>
          <v:fill on="t" focussize="0,0"/>
          <v:stroke on="f"/>
          <v:imagedata o:title=""/>
          <o:lock v:ext="edit"/>
          <w10:wrap type="none"/>
          <w10:anchorlock/>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9DCCD">
    <w:pPr>
      <w:spacing w:line="228" w:lineRule="auto"/>
      <w:ind w:left="2570"/>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034AE42">
    <w:pPr>
      <w:spacing w:before="14" w:line="29" w:lineRule="exact"/>
      <w:ind w:firstLine="300"/>
      <w:textAlignment w:val="center"/>
    </w:pPr>
    <w:r>
      <w:pict>
        <v:shape id="_x0000_s2158" o:spid="_x0000_s2158" style="height:1.45pt;width:415.3pt;" fillcolor="#000000" filled="t" stroked="f" coordsize="8305,29" path="m0,0l8305,0,8305,28,0,28,0,0xe">
          <v:path/>
          <v:fill on="t" focussize="0,0"/>
          <v:stroke on="f"/>
          <v:imagedata o:title=""/>
          <o:lock v:ext="edit"/>
          <w10:wrap type="none"/>
          <w10:anchorlock/>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EAC3B">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50CC462">
    <w:pPr>
      <w:spacing w:before="14" w:line="29" w:lineRule="exact"/>
      <w:ind w:firstLine="108"/>
      <w:textAlignment w:val="center"/>
    </w:pPr>
    <w:r>
      <w:pict>
        <v:shape id="_x0000_s2159" o:spid="_x0000_s2159" style="height:1.45pt;width:415.3pt;" fillcolor="#000000" filled="t" stroked="f" coordsize="8305,29" path="m0,0l8305,0,8305,28,0,28,0,0xe">
          <v:path/>
          <v:fill on="t" focussize="0,0"/>
          <v:stroke on="f"/>
          <v:imagedata o:title=""/>
          <o:lock v:ext="edit"/>
          <w10:wrap type="none"/>
          <w10:anchorlock/>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DB1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50C6576">
    <w:pPr>
      <w:spacing w:before="14" w:line="29" w:lineRule="exact"/>
      <w:ind w:firstLine="14"/>
      <w:textAlignment w:val="center"/>
    </w:pPr>
    <w:r>
      <w:pict>
        <v:shape id="_x0000_s2160" o:spid="_x0000_s2160" style="height:1.45pt;width:415.3pt;" fillcolor="#000000" filled="t" stroked="f" coordsize="8305,29" path="m0,0l8305,0,8305,28,0,28,0,0xe">
          <v:path/>
          <v:fill on="t" focussize="0,0"/>
          <v:stroke on="f"/>
          <v:imagedata o:title=""/>
          <o:lock v:ext="edit"/>
          <w10:wrap type="none"/>
          <w10:anchorlock/>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49EC5">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F4FAEEA">
    <w:pPr>
      <w:spacing w:before="14" w:line="29" w:lineRule="exact"/>
      <w:ind w:firstLine="108"/>
      <w:textAlignment w:val="center"/>
    </w:pPr>
    <w:r>
      <w:pict>
        <v:shape id="_x0000_s2161" o:spid="_x0000_s2161" style="height:1.45pt;width:415.3pt;" fillcolor="#000000" filled="t" stroked="f" coordsize="8305,29" path="m0,0l8305,0,8305,28,0,28,0,0xe">
          <v:path/>
          <v:fill on="t" focussize="0,0"/>
          <v:stroke on="f"/>
          <v:imagedata o:title=""/>
          <o:lock v:ext="edit"/>
          <w10:wrap type="none"/>
          <w10:anchorlock/>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C326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C36C4EB">
    <w:pPr>
      <w:spacing w:before="14" w:line="29" w:lineRule="exact"/>
      <w:ind w:firstLine="14"/>
      <w:textAlignment w:val="center"/>
    </w:pPr>
    <w:r>
      <w:pict>
        <v:shape id="_x0000_s2162" o:spid="_x0000_s2162" style="height:1.45pt;width:415.3pt;" fillcolor="#000000" filled="t" stroked="f" coordsize="8305,29" path="m0,0l8305,0,8305,28,0,28,0,0xe">
          <v:path/>
          <v:fill on="t" focussize="0,0"/>
          <v:stroke on="f"/>
          <v:imagedata o:title=""/>
          <o:lock v:ext="edit"/>
          <w10:wrap type="none"/>
          <w10:anchorlock/>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43212">
    <w:pPr>
      <w:spacing w:line="228" w:lineRule="auto"/>
      <w:ind w:left="2386"/>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5D19C85">
    <w:pPr>
      <w:spacing w:before="14" w:line="29" w:lineRule="exact"/>
      <w:ind w:firstLine="115"/>
      <w:textAlignment w:val="center"/>
    </w:pPr>
    <w:r>
      <w:pict>
        <v:shape id="_x0000_s2163" o:spid="_x0000_s2163" style="height:1.45pt;width:415.3pt;" fillcolor="#000000" filled="t" stroked="f" coordsize="8305,29" path="m0,0l8305,0,8305,28,0,28,0,0xe">
          <v:path/>
          <v:fill on="t" focussize="0,0"/>
          <v:stroke on="f"/>
          <v:imagedata o:title=""/>
          <o:lock v:ext="edit"/>
          <w10:wrap type="none"/>
          <w10:anchorlock/>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8CF0">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1831658">
    <w:pPr>
      <w:spacing w:before="14" w:line="29" w:lineRule="exact"/>
      <w:ind w:firstLine="108"/>
      <w:textAlignment w:val="center"/>
    </w:pPr>
    <w:r>
      <w:pict>
        <v:shape id="_x0000_s2164" o:spid="_x0000_s2164" style="height:1.45pt;width:415.3pt;" fillcolor="#000000" filled="t" stroked="f" coordsize="8305,29" path="m0,0l8305,0,8305,28,0,28,0,0xe">
          <v:path/>
          <v:fill on="t" focussize="0,0"/>
          <v:stroke on="f"/>
          <v:imagedata o:title=""/>
          <o:lock v:ext="edit"/>
          <w10:wrap type="none"/>
          <w10:anchorlock/>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0007">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9C099D6">
    <w:pPr>
      <w:spacing w:before="14" w:line="29" w:lineRule="exact"/>
      <w:ind w:firstLine="14"/>
      <w:textAlignment w:val="center"/>
    </w:pPr>
    <w:r>
      <w:pict>
        <v:shape id="_x0000_s2165" o:spid="_x0000_s2165" style="height:1.45pt;width:415.3pt;" fillcolor="#000000" filled="t" stroked="f" coordsize="8305,29" path="m0,0l8305,0,8305,28,0,28,0,0xe">
          <v:path/>
          <v:fill on="t" focussize="0,0"/>
          <v:stroke on="f"/>
          <v:imagedata o:title=""/>
          <o:lock v:ext="edit"/>
          <w10:wrap type="none"/>
          <w10:anchorlock/>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F801">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6934BE7">
    <w:pPr>
      <w:spacing w:before="14" w:line="29" w:lineRule="exact"/>
      <w:ind w:firstLine="14"/>
      <w:textAlignment w:val="center"/>
    </w:pPr>
    <w:r>
      <w:pict>
        <v:shape id="_x0000_s2166" o:spid="_x0000_s2166" style="height:1.45pt;width:415.3pt;" fillcolor="#000000" filled="t" stroked="f" coordsize="8305,29" path="m0,0l8305,0,8305,28,0,28,0,0xe">
          <v:path/>
          <v:fill on="t" focussize="0,0"/>
          <v:stroke on="f"/>
          <v:imagedata o:title=""/>
          <o:lock v:ext="edit"/>
          <w10:wrap type="none"/>
          <w10:anchorlock/>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3B5C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DBD049F">
    <w:pPr>
      <w:spacing w:before="14" w:line="29" w:lineRule="exact"/>
      <w:ind w:firstLine="14"/>
      <w:textAlignment w:val="center"/>
    </w:pPr>
    <w:r>
      <w:pict>
        <v:shape id="_x0000_s2060" o:spid="_x0000_s2060" style="height:1.45pt;width:415.3pt;" fillcolor="#000000" filled="t" stroked="f" coordsize="8305,29" path="m0,0l8305,0,8305,28,0,28,0,0xe">
          <v:path/>
          <v:fill on="t" focussize="0,0"/>
          <v:stroke on="f"/>
          <v:imagedata o:title=""/>
          <o:lock v:ext="edit"/>
          <w10:wrap type="none"/>
          <w10:anchorlock/>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BD9CA">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E574837">
    <w:pPr>
      <w:spacing w:before="14" w:line="29" w:lineRule="exact"/>
      <w:ind w:firstLine="14"/>
      <w:textAlignment w:val="center"/>
    </w:pPr>
    <w:r>
      <w:pict>
        <v:shape id="_x0000_s2167" o:spid="_x0000_s2167" style="height:1.45pt;width:415.3pt;" fillcolor="#000000" filled="t" stroked="f" coordsize="8305,29" path="m0,0l8305,0,8305,28,0,28,0,0xe">
          <v:path/>
          <v:fill on="t" focussize="0,0"/>
          <v:stroke on="f"/>
          <v:imagedata o:title=""/>
          <o:lock v:ext="edit"/>
          <w10:wrap type="none"/>
          <w10:anchorlock/>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8E69C">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984E63E">
    <w:pPr>
      <w:spacing w:before="14" w:line="29" w:lineRule="exact"/>
      <w:ind w:firstLine="14"/>
      <w:textAlignment w:val="center"/>
    </w:pPr>
    <w:r>
      <w:pict>
        <v:shape id="_x0000_s2168" o:spid="_x0000_s2168" style="height:1.45pt;width:415.3pt;" fillcolor="#000000" filled="t" stroked="f" coordsize="8305,29" path="m0,0l8305,0,8305,28,0,28,0,0xe">
          <v:path/>
          <v:fill on="t" focussize="0,0"/>
          <v:stroke on="f"/>
          <v:imagedata o:title=""/>
          <o:lock v:ext="edit"/>
          <w10:wrap type="none"/>
          <w10:anchorlock/>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5E3C6">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4AFCEC7">
    <w:pPr>
      <w:spacing w:before="14" w:line="29" w:lineRule="exact"/>
      <w:ind w:firstLine="14"/>
      <w:textAlignment w:val="center"/>
    </w:pPr>
    <w:r>
      <w:pict>
        <v:shape id="_x0000_s2169" o:spid="_x0000_s2169" style="height:1.45pt;width:415.3pt;" fillcolor="#000000" filled="t" stroked="f" coordsize="8305,29" path="m0,0l8305,0,8305,28,0,28,0,0xe">
          <v:path/>
          <v:fill on="t" focussize="0,0"/>
          <v:stroke on="f"/>
          <v:imagedata o:title=""/>
          <o:lock v:ext="edit"/>
          <w10:wrap type="none"/>
          <w10:anchorlock/>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2C97D">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D339E29">
    <w:pPr>
      <w:spacing w:before="14" w:line="29" w:lineRule="exact"/>
      <w:ind w:firstLine="14"/>
      <w:textAlignment w:val="center"/>
    </w:pPr>
    <w:r>
      <w:pict>
        <v:shape id="_x0000_s2170" o:spid="_x0000_s2170" style="height:1.45pt;width:415.3pt;" fillcolor="#000000" filled="t" stroked="f" coordsize="8305,29" path="m0,0l8305,0,8305,28,0,28,0,0xe">
          <v:path/>
          <v:fill on="t" focussize="0,0"/>
          <v:stroke on="f"/>
          <v:imagedata o:title=""/>
          <o:lock v:ext="edit"/>
          <w10:wrap type="none"/>
          <w10:anchorlock/>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1D227">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66B0D66">
    <w:pPr>
      <w:spacing w:before="14" w:line="29" w:lineRule="exact"/>
      <w:ind w:firstLine="14"/>
      <w:textAlignment w:val="center"/>
    </w:pPr>
    <w:r>
      <w:pict>
        <v:shape id="_x0000_s2171" o:spid="_x0000_s2171" style="height:1.45pt;width:415.3pt;" fillcolor="#000000" filled="t" stroked="f" coordsize="8305,29" path="m0,0l8305,0,8305,28,0,28,0,0xe">
          <v:path/>
          <v:fill on="t" focussize="0,0"/>
          <v:stroke on="f"/>
          <v:imagedata o:title=""/>
          <o:lock v:ext="edit"/>
          <w10:wrap type="none"/>
          <w10:anchorlock/>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26175">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850792D">
    <w:pPr>
      <w:spacing w:before="14" w:line="29" w:lineRule="exact"/>
      <w:ind w:firstLine="14"/>
      <w:textAlignment w:val="center"/>
    </w:pPr>
    <w:r>
      <w:pict>
        <v:shape id="_x0000_s2172" o:spid="_x0000_s2172" style="height:1.45pt;width:415.3pt;" fillcolor="#000000" filled="t" stroked="f" coordsize="8305,29" path="m0,0l8305,0,8305,28,0,28,0,0xe">
          <v:path/>
          <v:fill on="t" focussize="0,0"/>
          <v:stroke on="f"/>
          <v:imagedata o:title=""/>
          <o:lock v:ext="edit"/>
          <w10:wrap type="none"/>
          <w10:anchorlock/>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A271">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54255B5">
    <w:pPr>
      <w:spacing w:before="14" w:line="29" w:lineRule="exact"/>
      <w:ind w:firstLine="14"/>
      <w:textAlignment w:val="center"/>
    </w:pPr>
    <w:r>
      <w:pict>
        <v:shape id="_x0000_s2173" o:spid="_x0000_s2173" style="height:1.45pt;width:415.3pt;" fillcolor="#000000" filled="t" stroked="f" coordsize="8305,29" path="m0,0l8305,0,8305,28,0,28,0,0xe">
          <v:path/>
          <v:fill on="t" focussize="0,0"/>
          <v:stroke on="f"/>
          <v:imagedata o:title=""/>
          <o:lock v:ext="edit"/>
          <w10:wrap type="none"/>
          <w10:anchorlock/>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F4DB">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E078E4D">
    <w:pPr>
      <w:spacing w:before="14" w:line="29" w:lineRule="exact"/>
      <w:ind w:firstLine="14"/>
      <w:textAlignment w:val="center"/>
    </w:pPr>
    <w:r>
      <w:pict>
        <v:shape id="_x0000_s2174" o:spid="_x0000_s2174" style="height:1.45pt;width:415.3pt;" fillcolor="#000000" filled="t" stroked="f" coordsize="8305,29" path="m0,0l8305,0,8305,28,0,28,0,0xe">
          <v:path/>
          <v:fill on="t" focussize="0,0"/>
          <v:stroke on="f"/>
          <v:imagedata o:title=""/>
          <o:lock v:ext="edit"/>
          <w10:wrap type="none"/>
          <w10:anchorlock/>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4DFBC">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401E8A6">
    <w:pPr>
      <w:spacing w:before="14" w:line="29" w:lineRule="exact"/>
      <w:ind w:firstLine="22"/>
      <w:textAlignment w:val="center"/>
    </w:pPr>
    <w:r>
      <w:pict>
        <v:shape id="_x0000_s2175" o:spid="_x0000_s2175" style="height:1.45pt;width:415.3pt;" fillcolor="#000000" filled="t" stroked="f" coordsize="8305,29" path="m0,0l8305,0,8305,28,0,28,0,0xe">
          <v:path/>
          <v:fill on="t" focussize="0,0"/>
          <v:stroke on="f"/>
          <v:imagedata o:title=""/>
          <o:lock v:ext="edit"/>
          <w10:wrap type="none"/>
          <w10:anchorlock/>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E9754">
    <w:pPr>
      <w:spacing w:line="228" w:lineRule="auto"/>
      <w:ind w:left="229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1F9654F">
    <w:pPr>
      <w:spacing w:before="14" w:line="29" w:lineRule="exact"/>
      <w:ind w:firstLine="28"/>
      <w:textAlignment w:val="center"/>
    </w:pPr>
    <w:r>
      <w:pict>
        <v:shape id="_x0000_s2176" o:spid="_x0000_s2176" style="height:1.45pt;width:415.3pt;" fillcolor="#000000" filled="t" stroked="f" coordsize="8305,29" path="m0,0l8305,0,8305,28,0,28,0,0xe">
          <v:path/>
          <v:fill on="t" focussize="0,0"/>
          <v:stroke on="f"/>
          <v:imagedata o:title=""/>
          <o:lock v:ext="edit"/>
          <w10:wrap type="none"/>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D736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2E8D5D6">
    <w:pPr>
      <w:spacing w:before="14" w:line="29" w:lineRule="exact"/>
      <w:ind w:firstLine="14"/>
      <w:textAlignment w:val="center"/>
    </w:pPr>
    <w:r>
      <w:pict>
        <v:shape id="_x0000_s2061" o:spid="_x0000_s2061" style="height:1.45pt;width:415.3pt;" fillcolor="#000000" filled="t" stroked="f" coordsize="8305,29" path="m0,0l8305,0,8305,28,0,28,0,0xe">
          <v:path/>
          <v:fill on="t" focussize="0,0"/>
          <v:stroke on="f"/>
          <v:imagedata o:title=""/>
          <o:lock v:ext="edit"/>
          <w10:wrap type="none"/>
          <w10:anchorlock/>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237D3">
    <w:pPr>
      <w:spacing w:line="228" w:lineRule="auto"/>
      <w:ind w:left="509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FD16BA7">
    <w:pPr>
      <w:spacing w:before="14" w:line="29" w:lineRule="exact"/>
      <w:textAlignment w:val="center"/>
    </w:pPr>
    <w:r>
      <w:pict>
        <v:shape id="_x0000_s2177" o:spid="_x0000_s2177" style="height:1.45pt;width:697.95pt;" fillcolor="#000000" filled="t" stroked="f" coordsize="13959,29" path="m0,0l13958,0,13958,28,0,28,0,0xe">
          <v:path/>
          <v:fill on="t" focussize="0,0"/>
          <v:stroke on="f"/>
          <v:imagedata o:title=""/>
          <o:lock v:ext="edit"/>
          <w10:wrap type="none"/>
          <w10:anchorlock/>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3609">
    <w:pPr>
      <w:spacing w:line="228" w:lineRule="auto"/>
      <w:ind w:left="509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8EA5CF4">
    <w:pPr>
      <w:spacing w:before="14" w:line="29" w:lineRule="exact"/>
      <w:textAlignment w:val="center"/>
    </w:pPr>
    <w:r>
      <w:pict>
        <v:shape id="_x0000_s2178" o:spid="_x0000_s2178" style="height:1.45pt;width:697.95pt;" fillcolor="#000000" filled="t" stroked="f" coordsize="13959,29" path="m0,0l13958,0,13958,28,0,28,0,0xe">
          <v:path/>
          <v:fill on="t" focussize="0,0"/>
          <v:stroke on="f"/>
          <v:imagedata o:title=""/>
          <o:lock v:ext="edit"/>
          <w10:wrap type="none"/>
          <w10:anchorlock/>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8CF8">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51C5EBB">
    <w:pPr>
      <w:spacing w:before="14" w:line="29" w:lineRule="exact"/>
      <w:ind w:firstLine="14"/>
      <w:textAlignment w:val="center"/>
    </w:pPr>
    <w:r>
      <w:pict>
        <v:shape id="_x0000_s2179" o:spid="_x0000_s2179" style="height:1.45pt;width:415.3pt;" fillcolor="#000000" filled="t" stroked="f" coordsize="8305,29" path="m0,0l8305,0,8305,28,0,28,0,0xe">
          <v:path/>
          <v:fill on="t" focussize="0,0"/>
          <v:stroke on="f"/>
          <v:imagedata o:title=""/>
          <o:lock v:ext="edit"/>
          <w10:wrap type="none"/>
          <w10:anchorlock/>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3DB2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3133DB3">
    <w:pPr>
      <w:spacing w:before="14" w:line="29" w:lineRule="exact"/>
      <w:ind w:firstLine="14"/>
      <w:textAlignment w:val="center"/>
    </w:pPr>
    <w:r>
      <w:pict>
        <v:shape id="_x0000_s2180" o:spid="_x0000_s2180" style="height:1.45pt;width:415.3pt;" fillcolor="#000000" filled="t" stroked="f" coordsize="8305,29" path="m0,0l8305,0,8305,28,0,28,0,0xe">
          <v:path/>
          <v:fill on="t" focussize="0,0"/>
          <v:stroke on="f"/>
          <v:imagedata o:title=""/>
          <o:lock v:ext="edit"/>
          <w10:wrap type="none"/>
          <w10:anchorlock/>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4736">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2FA5F1B">
    <w:pPr>
      <w:spacing w:before="14" w:line="29" w:lineRule="exact"/>
      <w:ind w:firstLine="14"/>
      <w:textAlignment w:val="center"/>
    </w:pPr>
    <w:r>
      <w:pict>
        <v:shape id="_x0000_s2181" o:spid="_x0000_s2181" style="height:1.45pt;width:415.3pt;" fillcolor="#000000" filled="t" stroked="f" coordsize="8305,29" path="m0,0l8305,0,8305,28,0,28,0,0xe">
          <v:path/>
          <v:fill on="t" focussize="0,0"/>
          <v:stroke on="f"/>
          <v:imagedata o:title=""/>
          <o:lock v:ext="edit"/>
          <w10:wrap type="none"/>
          <w10:anchorlock/>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DEC30">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A2F84A7">
    <w:pPr>
      <w:spacing w:before="14" w:line="29" w:lineRule="exact"/>
      <w:ind w:firstLine="14"/>
      <w:textAlignment w:val="center"/>
    </w:pPr>
    <w:r>
      <w:pict>
        <v:shape id="_x0000_s2182" o:spid="_x0000_s2182" style="height:1.45pt;width:415.3pt;" fillcolor="#000000" filled="t" stroked="f" coordsize="8305,29" path="m0,0l8305,0,8305,28,0,28,0,0xe">
          <v:path/>
          <v:fill on="t" focussize="0,0"/>
          <v:stroke on="f"/>
          <v:imagedata o:title=""/>
          <o:lock v:ext="edit"/>
          <w10:wrap type="none"/>
          <w10:anchorlock/>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7CC49">
    <w:pPr>
      <w:spacing w:line="228" w:lineRule="auto"/>
      <w:ind w:left="2312"/>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C042158">
    <w:pPr>
      <w:spacing w:before="14" w:line="29" w:lineRule="exact"/>
      <w:ind w:firstLine="41"/>
      <w:textAlignment w:val="center"/>
    </w:pPr>
    <w:r>
      <w:pict>
        <v:shape id="_x0000_s2183" o:spid="_x0000_s2183" style="height:1.45pt;width:415.3pt;" fillcolor="#000000" filled="t" stroked="f" coordsize="8305,29" path="m0,0l8305,0,8305,28,0,28,0,0xe">
          <v:path/>
          <v:fill on="t" focussize="0,0"/>
          <v:stroke on="f"/>
          <v:imagedata o:title=""/>
          <o:lock v:ext="edit"/>
          <w10:wrap type="none"/>
          <w10:anchorlock/>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FA013">
    <w:pPr>
      <w:spacing w:line="228" w:lineRule="auto"/>
      <w:ind w:left="2312"/>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AC5D04F">
    <w:pPr>
      <w:spacing w:before="14" w:line="29" w:lineRule="exact"/>
      <w:ind w:firstLine="41"/>
      <w:textAlignment w:val="center"/>
    </w:pPr>
    <w:r>
      <w:pict>
        <v:shape id="_x0000_s2184" o:spid="_x0000_s2184" style="height:1.45pt;width:415.3pt;" fillcolor="#000000" filled="t" stroked="f" coordsize="8305,29" path="m0,0l8305,0,8305,28,0,28,0,0xe">
          <v:path/>
          <v:fill on="t" focussize="0,0"/>
          <v:stroke on="f"/>
          <v:imagedata o:title=""/>
          <o:lock v:ext="edit"/>
          <w10:wrap type="none"/>
          <w10:anchorlock/>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EE7C">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1339951">
    <w:pPr>
      <w:spacing w:before="14" w:line="29" w:lineRule="exact"/>
      <w:ind w:firstLine="108"/>
      <w:textAlignment w:val="center"/>
    </w:pPr>
    <w:r>
      <w:pict>
        <v:shape id="_x0000_s2185" o:spid="_x0000_s2185" style="height:1.45pt;width:415.3pt;" fillcolor="#000000" filled="t" stroked="f" coordsize="8305,29" path="m0,0l8305,0,8305,28,0,28,0,0xe">
          <v:path/>
          <v:fill on="t" focussize="0,0"/>
          <v:stroke on="f"/>
          <v:imagedata o:title=""/>
          <o:lock v:ext="edit"/>
          <w10:wrap type="none"/>
          <w10:anchorlock/>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30F32">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28EF6F6">
    <w:pPr>
      <w:spacing w:before="14" w:line="29" w:lineRule="exact"/>
      <w:ind w:firstLine="108"/>
      <w:textAlignment w:val="center"/>
    </w:pPr>
    <w:r>
      <w:pict>
        <v:shape id="_x0000_s2186" o:spid="_x0000_s2186" style="height:1.45pt;width:415.3pt;" fillcolor="#000000" filled="t" stroked="f" coordsize="8305,29" path="m0,0l8305,0,8305,28,0,28,0,0xe">
          <v:path/>
          <v:fill on="t" focussize="0,0"/>
          <v:stroke on="f"/>
          <v:imagedata o:title=""/>
          <o:lock v:ext="edit"/>
          <w10:wrap type="none"/>
          <w10:anchorlock/>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654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99002A1">
    <w:pPr>
      <w:spacing w:before="14" w:line="29" w:lineRule="exact"/>
      <w:ind w:firstLine="14"/>
      <w:textAlignment w:val="center"/>
    </w:pPr>
    <w:r>
      <w:pict>
        <v:shape id="_x0000_s2062" o:spid="_x0000_s2062" style="height:1.45pt;width:415.3pt;" fillcolor="#000000" filled="t" stroked="f" coordsize="8305,29" path="m0,0l8305,0,8305,28,0,28,0,0xe">
          <v:path/>
          <v:fill on="t" focussize="0,0"/>
          <v:stroke on="f"/>
          <v:imagedata o:title=""/>
          <o:lock v:ext="edit"/>
          <w10:wrap type="none"/>
          <w10:anchorlock/>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79B5">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0F56BEB">
    <w:pPr>
      <w:spacing w:before="14" w:line="29" w:lineRule="exact"/>
      <w:ind w:firstLine="108"/>
      <w:textAlignment w:val="center"/>
    </w:pPr>
    <w:r>
      <w:pict>
        <v:shape id="_x0000_s2187" o:spid="_x0000_s2187" style="height:1.45pt;width:415.3pt;" fillcolor="#000000" filled="t" stroked="f" coordsize="8305,29" path="m0,0l8305,0,8305,28,0,28,0,0xe">
          <v:path/>
          <v:fill on="t" focussize="0,0"/>
          <v:stroke on="f"/>
          <v:imagedata o:title=""/>
          <o:lock v:ext="edit"/>
          <w10:wrap type="none"/>
          <w10:anchorlock/>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96AB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9D26795">
    <w:pPr>
      <w:spacing w:before="14" w:line="29" w:lineRule="exact"/>
      <w:ind w:firstLine="14"/>
      <w:textAlignment w:val="center"/>
    </w:pPr>
    <w:r>
      <w:pict>
        <v:shape id="_x0000_s2188" o:spid="_x0000_s2188" style="height:1.45pt;width:415.3pt;" fillcolor="#000000" filled="t" stroked="f" coordsize="8305,29" path="m0,0l8305,0,8305,28,0,28,0,0xe">
          <v:path/>
          <v:fill on="t" focussize="0,0"/>
          <v:stroke on="f"/>
          <v:imagedata o:title=""/>
          <o:lock v:ext="edit"/>
          <w10:wrap type="none"/>
          <w10:anchorlock/>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3A67">
    <w:pPr>
      <w:spacing w:line="228" w:lineRule="auto"/>
      <w:ind w:left="8556"/>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188447C">
    <w:pPr>
      <w:spacing w:before="14" w:line="29" w:lineRule="exact"/>
      <w:textAlignment w:val="center"/>
    </w:pPr>
    <w:r>
      <w:pict>
        <v:shape id="_x0000_s2189" o:spid="_x0000_s2189" style="height:1.45pt;width:1043.9pt;" fillcolor="#000000" filled="t" stroked="f" coordsize="20878,29" path="m0,0l20877,0,20877,28,0,28,0,0xe">
          <v:path/>
          <v:fill on="t" focussize="0,0"/>
          <v:stroke on="f"/>
          <v:imagedata o:title=""/>
          <o:lock v:ext="edit"/>
          <w10:wrap type="none"/>
          <w10:anchorlock/>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E422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209BCC8">
    <w:pPr>
      <w:spacing w:before="14" w:line="29" w:lineRule="exact"/>
      <w:ind w:firstLine="14"/>
      <w:textAlignment w:val="center"/>
    </w:pPr>
    <w:r>
      <w:pict>
        <v:shape id="_x0000_s2190" o:spid="_x0000_s2190" style="height:1.45pt;width:415.3pt;" fillcolor="#000000" filled="t" stroked="f" coordsize="8305,29" path="m0,0l8305,0,8305,28,0,28,0,0xe">
          <v:path/>
          <v:fill on="t" focussize="0,0"/>
          <v:stroke on="f"/>
          <v:imagedata o:title=""/>
          <o:lock v:ext="edit"/>
          <w10:wrap type="none"/>
          <w10:anchorlock/>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B820E">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1FC652C">
    <w:pPr>
      <w:spacing w:before="14" w:line="29" w:lineRule="exact"/>
      <w:ind w:firstLine="14"/>
      <w:textAlignment w:val="center"/>
    </w:pPr>
    <w:r>
      <w:pict>
        <v:shape id="_x0000_s2191" o:spid="_x0000_s2191" style="height:1.45pt;width:415.3pt;" fillcolor="#000000" filled="t" stroked="f" coordsize="8305,29" path="m0,0l8305,0,8305,28,0,28,0,0xe">
          <v:path/>
          <v:fill on="t" focussize="0,0"/>
          <v:stroke on="f"/>
          <v:imagedata o:title=""/>
          <o:lock v:ext="edit"/>
          <w10:wrap type="none"/>
          <w10:anchorlock/>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E7BFF">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63904E7">
    <w:pPr>
      <w:spacing w:before="14" w:line="29" w:lineRule="exact"/>
      <w:ind w:firstLine="22"/>
      <w:textAlignment w:val="center"/>
    </w:pPr>
    <w:r>
      <w:pict>
        <v:shape id="_x0000_s2192" o:spid="_x0000_s2192" style="height:1.45pt;width:415.3pt;" fillcolor="#000000" filled="t" stroked="f" coordsize="8305,29" path="m0,0l8305,0,8305,28,0,28,0,0xe">
          <v:path/>
          <v:fill on="t" focussize="0,0"/>
          <v:stroke on="f"/>
          <v:imagedata o:title=""/>
          <o:lock v:ext="edit"/>
          <w10:wrap type="none"/>
          <w10:anchorlock/>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8EA3B">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93D07E0">
    <w:pPr>
      <w:spacing w:before="14" w:line="29" w:lineRule="exact"/>
      <w:ind w:firstLine="22"/>
      <w:textAlignment w:val="center"/>
    </w:pPr>
    <w:r>
      <w:pict>
        <v:shape id="_x0000_s2193" o:spid="_x0000_s2193" style="height:1.45pt;width:415.3pt;" fillcolor="#000000" filled="t" stroked="f" coordsize="8305,29" path="m0,0l8305,0,8305,28,0,28,0,0xe">
          <v:path/>
          <v:fill on="t" focussize="0,0"/>
          <v:stroke on="f"/>
          <v:imagedata o:title=""/>
          <o:lock v:ext="edit"/>
          <w10:wrap type="none"/>
          <w10:anchorlock/>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BD63">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77A3A94">
    <w:pPr>
      <w:spacing w:before="14" w:line="29" w:lineRule="exact"/>
      <w:ind w:firstLine="14"/>
      <w:textAlignment w:val="center"/>
    </w:pPr>
    <w:r>
      <w:pict>
        <v:shape id="_x0000_s2194" o:spid="_x0000_s2194" style="height:1.45pt;width:415.3pt;" fillcolor="#000000" filled="t" stroked="f" coordsize="8305,29" path="m0,0l8305,0,8305,28,0,28,0,0xe">
          <v:path/>
          <v:fill on="t" focussize="0,0"/>
          <v:stroke on="f"/>
          <v:imagedata o:title=""/>
          <o:lock v:ext="edit"/>
          <w10:wrap type="none"/>
          <w10:anchorlock/>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C8598">
    <w:pPr>
      <w:spacing w:line="228" w:lineRule="auto"/>
      <w:ind w:left="2312"/>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926B59C">
    <w:pPr>
      <w:spacing w:before="14" w:line="29" w:lineRule="exact"/>
      <w:ind w:firstLine="41"/>
      <w:textAlignment w:val="center"/>
    </w:pPr>
    <w:r>
      <w:pict>
        <v:shape id="_x0000_s2195" o:spid="_x0000_s2195" style="height:1.45pt;width:415.3pt;" fillcolor="#000000" filled="t" stroked="f" coordsize="8305,29" path="m0,0l8305,0,8305,28,0,28,0,0xe">
          <v:path/>
          <v:fill on="t" focussize="0,0"/>
          <v:stroke on="f"/>
          <v:imagedata o:title=""/>
          <o:lock v:ext="edit"/>
          <w10:wrap type="none"/>
          <w10:anchorlock/>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70BA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F434AAA">
    <w:pPr>
      <w:spacing w:before="14" w:line="29" w:lineRule="exact"/>
      <w:ind w:firstLine="14"/>
      <w:textAlignment w:val="center"/>
    </w:pPr>
    <w:r>
      <w:pict>
        <v:shape id="_x0000_s2196" o:spid="_x0000_s2196" style="height:1.45pt;width:415.3pt;" fillcolor="#000000" filled="t" stroked="f" coordsize="8305,29" path="m0,0l8305,0,8305,28,0,28,0,0xe">
          <v:path/>
          <v:fill on="t" focussize="0,0"/>
          <v:stroke on="f"/>
          <v:imagedata o:title=""/>
          <o:lock v:ext="edit"/>
          <w10:wrap type="none"/>
          <w10:anchorlock/>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AF3B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84DD569">
    <w:pPr>
      <w:spacing w:before="14" w:line="29" w:lineRule="exact"/>
      <w:ind w:firstLine="14"/>
      <w:textAlignment w:val="center"/>
    </w:pPr>
    <w:r>
      <w:pict>
        <v:shape id="_x0000_s2063" o:spid="_x0000_s2063" style="height:1.45pt;width:415.3pt;" fillcolor="#000000" filled="t" stroked="f" coordsize="8305,29" path="m0,0l8305,0,8305,28,0,28,0,0xe">
          <v:path/>
          <v:fill on="t" focussize="0,0"/>
          <v:stroke on="f"/>
          <v:imagedata o:title=""/>
          <o:lock v:ext="edit"/>
          <w10:wrap type="none"/>
          <w10:anchorlock/>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E349D">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0C99CE5">
    <w:pPr>
      <w:spacing w:before="14" w:line="29" w:lineRule="exact"/>
      <w:ind w:firstLine="14"/>
      <w:textAlignment w:val="center"/>
    </w:pPr>
    <w:r>
      <w:pict>
        <v:shape id="_x0000_s2197" o:spid="_x0000_s2197" style="height:1.45pt;width:415.3pt;" fillcolor="#000000" filled="t" stroked="f" coordsize="8305,29" path="m0,0l8305,0,8305,28,0,28,0,0xe">
          <v:path/>
          <v:fill on="t" focussize="0,0"/>
          <v:stroke on="f"/>
          <v:imagedata o:title=""/>
          <o:lock v:ext="edit"/>
          <w10:wrap type="none"/>
          <w10:anchorlock/>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91A77">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A5DA042">
    <w:pPr>
      <w:spacing w:before="14" w:line="29" w:lineRule="exact"/>
      <w:ind w:firstLine="22"/>
      <w:textAlignment w:val="center"/>
    </w:pPr>
    <w:r>
      <w:pict>
        <v:shape id="_x0000_s2198" o:spid="_x0000_s2198" style="height:1.45pt;width:415.3pt;" fillcolor="#000000" filled="t" stroked="f" coordsize="8305,29" path="m0,0l8305,0,8305,28,0,28,0,0xe">
          <v:path/>
          <v:fill on="t" focussize="0,0"/>
          <v:stroke on="f"/>
          <v:imagedata o:title=""/>
          <o:lock v:ext="edit"/>
          <w10:wrap type="none"/>
          <w10:anchorlock/>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BB8B5">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00B80C3">
    <w:pPr>
      <w:spacing w:before="14" w:line="29" w:lineRule="exact"/>
      <w:ind w:firstLine="22"/>
      <w:textAlignment w:val="center"/>
    </w:pPr>
    <w:r>
      <w:pict>
        <v:shape id="_x0000_s2199" o:spid="_x0000_s2199" style="height:1.45pt;width:415.3pt;" fillcolor="#000000" filled="t" stroked="f" coordsize="8305,29" path="m0,0l8305,0,8305,28,0,28,0,0xe">
          <v:path/>
          <v:fill on="t" focussize="0,0"/>
          <v:stroke on="f"/>
          <v:imagedata o:title=""/>
          <o:lock v:ext="edit"/>
          <w10:wrap type="none"/>
          <w10:anchorlock/>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CB6F1">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A3C960B">
    <w:pPr>
      <w:spacing w:before="14" w:line="29" w:lineRule="exact"/>
      <w:ind w:firstLine="14"/>
      <w:textAlignment w:val="center"/>
    </w:pPr>
    <w:r>
      <w:pict>
        <v:shape id="_x0000_s2200" o:spid="_x0000_s2200" style="height:1.45pt;width:415.3pt;" fillcolor="#000000" filled="t" stroked="f" coordsize="8305,29" path="m0,0l8305,0,8305,28,0,28,0,0xe">
          <v:path/>
          <v:fill on="t" focussize="0,0"/>
          <v:stroke on="f"/>
          <v:imagedata o:title=""/>
          <o:lock v:ext="edit"/>
          <w10:wrap type="none"/>
          <w10:anchorlock/>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B4CF">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B800E46">
    <w:pPr>
      <w:spacing w:before="14" w:line="29" w:lineRule="exact"/>
      <w:ind w:firstLine="108"/>
      <w:textAlignment w:val="center"/>
    </w:pPr>
    <w:r>
      <w:pict>
        <v:shape id="_x0000_s2201" o:spid="_x0000_s2201" style="height:1.45pt;width:415.3pt;" fillcolor="#000000" filled="t" stroked="f" coordsize="8305,29" path="m0,0l8305,0,8305,28,0,28,0,0xe">
          <v:path/>
          <v:fill on="t" focussize="0,0"/>
          <v:stroke on="f"/>
          <v:imagedata o:title=""/>
          <o:lock v:ext="edit"/>
          <w10:wrap type="none"/>
          <w10:anchorlock/>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B4887">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EC10132">
    <w:pPr>
      <w:spacing w:before="14" w:line="29" w:lineRule="exact"/>
      <w:ind w:firstLine="14"/>
      <w:textAlignment w:val="center"/>
    </w:pPr>
    <w:r>
      <w:pict>
        <v:shape id="_x0000_s2202" o:spid="_x0000_s2202" style="height:1.45pt;width:415.3pt;" fillcolor="#000000" filled="t" stroked="f" coordsize="8305,29" path="m0,0l8305,0,8305,28,0,28,0,0xe">
          <v:path/>
          <v:fill on="t" focussize="0,0"/>
          <v:stroke on="f"/>
          <v:imagedata o:title=""/>
          <o:lock v:ext="edit"/>
          <w10:wrap type="none"/>
          <w10:anchorlock/>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FCA2">
    <w:pPr>
      <w:spacing w:line="228" w:lineRule="auto"/>
      <w:ind w:left="2314"/>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3BB2458">
    <w:pPr>
      <w:spacing w:before="14" w:line="29" w:lineRule="exact"/>
      <w:ind w:firstLine="43"/>
      <w:textAlignment w:val="center"/>
    </w:pPr>
    <w:r>
      <w:pict>
        <v:shape id="_x0000_s2203" o:spid="_x0000_s2203" style="height:1.45pt;width:415.3pt;" fillcolor="#000000" filled="t" stroked="f" coordsize="8305,29" path="m0,0l8305,0,8305,28,0,28,0,0xe">
          <v:path/>
          <v:fill on="t" focussize="0,0"/>
          <v:stroke on="f"/>
          <v:imagedata o:title=""/>
          <o:lock v:ext="edit"/>
          <w10:wrap type="none"/>
          <w10:anchorlock/>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35E52">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F6EFB8D">
    <w:pPr>
      <w:spacing w:before="14" w:line="29" w:lineRule="exact"/>
      <w:ind w:firstLine="14"/>
      <w:textAlignment w:val="center"/>
    </w:pPr>
    <w:r>
      <w:pict>
        <v:shape id="_x0000_s2204" o:spid="_x0000_s2204" style="height:1.45pt;width:415.3pt;" fillcolor="#000000" filled="t" stroked="f" coordsize="8305,29" path="m0,0l8305,0,8305,28,0,28,0,0xe">
          <v:path/>
          <v:fill on="t" focussize="0,0"/>
          <v:stroke on="f"/>
          <v:imagedata o:title=""/>
          <o:lock v:ext="edit"/>
          <w10:wrap type="none"/>
          <w10:anchorlock/>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63CB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1915AE4">
    <w:pPr>
      <w:spacing w:before="14" w:line="29" w:lineRule="exact"/>
      <w:ind w:firstLine="14"/>
      <w:textAlignment w:val="center"/>
    </w:pPr>
    <w:r>
      <w:pict>
        <v:shape id="_x0000_s2205" o:spid="_x0000_s2205" style="height:1.45pt;width:415.3pt;" fillcolor="#000000" filled="t" stroked="f" coordsize="8305,29" path="m0,0l8305,0,8305,28,0,28,0,0xe">
          <v:path/>
          <v:fill on="t" focussize="0,0"/>
          <v:stroke on="f"/>
          <v:imagedata o:title=""/>
          <o:lock v:ext="edit"/>
          <w10:wrap type="none"/>
          <w10:anchorlock/>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E748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6CDC873">
    <w:pPr>
      <w:spacing w:before="14" w:line="29" w:lineRule="exact"/>
      <w:ind w:firstLine="14"/>
      <w:textAlignment w:val="center"/>
    </w:pPr>
    <w:r>
      <w:pict>
        <v:shape id="_x0000_s2206" o:spid="_x0000_s2206" style="height:1.45pt;width:415.3pt;" fillcolor="#000000" filled="t" stroked="f" coordsize="8305,29" path="m0,0l8305,0,8305,28,0,28,0,0xe">
          <v:path/>
          <v:fill on="t" focussize="0,0"/>
          <v:stroke on="f"/>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98C2D">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6DC154C">
    <w:pPr>
      <w:spacing w:before="14" w:line="29" w:lineRule="exact"/>
      <w:ind w:firstLine="22"/>
      <w:textAlignment w:val="center"/>
    </w:pPr>
    <w:r>
      <w:pict>
        <v:shape id="_x0000_s2064" o:spid="_x0000_s2064" style="height:1.45pt;width:415.3pt;" fillcolor="#000000" filled="t" stroked="f" coordsize="8305,29" path="m0,0l8305,0,8305,28,0,28,0,0xe">
          <v:path/>
          <v:fill on="t" focussize="0,0"/>
          <v:stroke on="f"/>
          <v:imagedata o:title=""/>
          <o:lock v:ext="edit"/>
          <w10:wrap type="none"/>
          <w10:anchorlock/>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2DF12">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E72B803">
    <w:pPr>
      <w:spacing w:before="14" w:line="29" w:lineRule="exact"/>
      <w:ind w:firstLine="14"/>
      <w:textAlignment w:val="center"/>
    </w:pPr>
    <w:r>
      <w:pict>
        <v:shape id="_x0000_s2207" o:spid="_x0000_s2207" style="height:1.45pt;width:415.3pt;" fillcolor="#000000" filled="t" stroked="f" coordsize="8305,29" path="m0,0l8305,0,8305,28,0,28,0,0xe">
          <v:path/>
          <v:fill on="t" focussize="0,0"/>
          <v:stroke on="f"/>
          <v:imagedata o:title=""/>
          <o:lock v:ext="edit"/>
          <w10:wrap type="none"/>
          <w10:anchorlock/>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B748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9FD3EC3">
    <w:pPr>
      <w:spacing w:before="14" w:line="29" w:lineRule="exact"/>
      <w:ind w:firstLine="14"/>
      <w:textAlignment w:val="center"/>
    </w:pPr>
    <w:r>
      <w:pict>
        <v:shape id="_x0000_s2208" o:spid="_x0000_s2208" style="height:1.45pt;width:415.3pt;" fillcolor="#000000" filled="t" stroked="f" coordsize="8305,29" path="m0,0l8305,0,8305,28,0,28,0,0xe">
          <v:path/>
          <v:fill on="t" focussize="0,0"/>
          <v:stroke on="f"/>
          <v:imagedata o:title=""/>
          <o:lock v:ext="edit"/>
          <w10:wrap type="none"/>
          <w10:anchorlock/>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DCB3">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5B09289">
    <w:pPr>
      <w:spacing w:before="14" w:line="29" w:lineRule="exact"/>
      <w:ind w:firstLine="14"/>
      <w:textAlignment w:val="center"/>
    </w:pPr>
    <w:r>
      <w:pict>
        <v:shape id="_x0000_s2209" o:spid="_x0000_s2209" style="height:1.45pt;width:415.3pt;" fillcolor="#000000" filled="t" stroked="f" coordsize="8305,29" path="m0,0l8305,0,8305,28,0,28,0,0xe">
          <v:path/>
          <v:fill on="t" focussize="0,0"/>
          <v:stroke on="f"/>
          <v:imagedata o:title=""/>
          <o:lock v:ext="edit"/>
          <w10:wrap type="none"/>
          <w10:anchorlock/>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6147A">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7355A">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6B66A23">
    <w:pPr>
      <w:spacing w:before="14" w:line="29" w:lineRule="exact"/>
      <w:ind w:firstLine="14"/>
      <w:textAlignment w:val="center"/>
    </w:pPr>
    <w:r>
      <w:pict>
        <v:shape id="_x0000_s2065" o:spid="_x0000_s2065" style="height:1.45pt;width:415.3pt;" fillcolor="#000000" filled="t" stroked="f" coordsize="8305,29" path="m0,0l8305,0,8305,28,0,28,0,0xe">
          <v:path/>
          <v:fill on="t" focussize="0,0"/>
          <v:stroke on="f"/>
          <v:imagedata o:title=""/>
          <o:lock v:ext="edit"/>
          <w10:wrap type="none"/>
          <w10:anchorlock/>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D054D">
    <w:pPr>
      <w:spacing w:line="228" w:lineRule="auto"/>
      <w:ind w:left="5132"/>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A2F3762">
    <w:pPr>
      <w:spacing w:before="14" w:line="29" w:lineRule="exact"/>
      <w:ind w:firstLine="36"/>
      <w:textAlignment w:val="center"/>
    </w:pPr>
    <w:r>
      <w:pict>
        <v:shape id="_x0000_s2066" o:spid="_x0000_s2066" style="height:1.45pt;width:697.95pt;" fillcolor="#000000" filled="t" stroked="f" coordsize="13959,29" path="m0,0l13958,0,13958,28,0,28,0,0xe">
          <v:path/>
          <v:fill on="t" focussize="0,0"/>
          <v:stroke on="f"/>
          <v:imagedata o:title=""/>
          <o:lock v:ext="edit"/>
          <w10:wrap type="none"/>
          <w10:anchorlock/>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1D656">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53F75EB">
    <w:pPr>
      <w:spacing w:before="14" w:line="29" w:lineRule="exact"/>
      <w:ind w:firstLine="14"/>
      <w:textAlignment w:val="center"/>
    </w:pPr>
    <w:r>
      <w:pict>
        <v:shape id="_x0000_s2067" o:spid="_x0000_s2067" style="height:1.45pt;width:415.3pt;" fillcolor="#000000" filled="t" stroked="f" coordsize="8305,29" path="m0,0l8305,0,8305,28,0,28,0,0xe">
          <v:path/>
          <v:fill on="t" focussize="0,0"/>
          <v:stroke on="f"/>
          <v:imagedata o:title=""/>
          <o:lock v:ext="edi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919E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6021FF2">
    <w:pPr>
      <w:spacing w:before="14" w:line="29" w:lineRule="exact"/>
      <w:ind w:firstLine="14"/>
      <w:textAlignment w:val="center"/>
    </w:pPr>
    <w:r>
      <w:pict>
        <v:shape id="_x0000_s2050" o:spid="_x0000_s2050" style="height:1.45pt;width:415.3pt;" fillcolor="#000000" filled="t" stroked="f" coordsize="8305,29" path="m0,0l8305,0,8305,28,0,28,0,0xe">
          <v:path/>
          <v:fill on="t" focussize="0,0"/>
          <v:stroke on="f"/>
          <v:imagedata o:title=""/>
          <o:lock v:ext="edit"/>
          <w10:wrap type="none"/>
          <w10:anchorlock/>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C93A1">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16EE7DD">
    <w:pPr>
      <w:spacing w:before="14" w:line="29" w:lineRule="exact"/>
      <w:ind w:firstLine="14"/>
      <w:textAlignment w:val="center"/>
    </w:pPr>
    <w:r>
      <w:pict>
        <v:shape id="_x0000_s2068" o:spid="_x0000_s2068" style="height:1.45pt;width:415.3pt;" fillcolor="#000000" filled="t" stroked="f" coordsize="8305,29" path="m0,0l8305,0,8305,28,0,28,0,0xe">
          <v:path/>
          <v:fill on="t" focussize="0,0"/>
          <v:stroke on="f"/>
          <v:imagedata o:title=""/>
          <o:lock v:ext="edit"/>
          <w10:wrap type="none"/>
          <w10:anchorlock/>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0EFF">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2D47148">
    <w:pPr>
      <w:spacing w:before="14" w:line="29" w:lineRule="exact"/>
      <w:ind w:firstLine="14"/>
      <w:textAlignment w:val="center"/>
    </w:pPr>
    <w:r>
      <w:pict>
        <v:shape id="_x0000_s2069" o:spid="_x0000_s2069" style="height:1.45pt;width:415.3pt;" fillcolor="#000000" filled="t" stroked="f" coordsize="8305,29" path="m0,0l8305,0,8305,28,0,28,0,0xe">
          <v:path/>
          <v:fill on="t" focussize="0,0"/>
          <v:stroke on="f"/>
          <v:imagedata o:title=""/>
          <o:lock v:ext="edit"/>
          <w10:wrap type="none"/>
          <w10:anchorlock/>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55280">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64E23B2">
    <w:pPr>
      <w:spacing w:before="14" w:line="29" w:lineRule="exact"/>
      <w:ind w:firstLine="14"/>
      <w:textAlignment w:val="center"/>
    </w:pPr>
    <w:r>
      <w:pict>
        <v:shape id="_x0000_s2070" o:spid="_x0000_s2070" style="height:1.45pt;width:415.3pt;" fillcolor="#000000" filled="t" stroked="f" coordsize="8305,29" path="m0,0l8305,0,8305,28,0,28,0,0xe">
          <v:path/>
          <v:fill on="t" focussize="0,0"/>
          <v:stroke on="f"/>
          <v:imagedata o:title=""/>
          <o:lock v:ext="edit"/>
          <w10:wrap type="none"/>
          <w10:anchorlock/>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33876">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BDD3533">
    <w:pPr>
      <w:spacing w:before="14" w:line="29" w:lineRule="exact"/>
      <w:ind w:firstLine="14"/>
      <w:textAlignment w:val="center"/>
    </w:pPr>
    <w:r>
      <w:pict>
        <v:shape id="_x0000_s2071" o:spid="_x0000_s2071" style="height:1.45pt;width:415.3pt;" fillcolor="#000000" filled="t" stroked="f" coordsize="8305,29" path="m0,0l8305,0,8305,28,0,28,0,0xe">
          <v:path/>
          <v:fill on="t" focussize="0,0"/>
          <v:stroke on="f"/>
          <v:imagedata o:title=""/>
          <o:lock v:ext="edit"/>
          <w10:wrap type="none"/>
          <w10:anchorlock/>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EC16">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A0C5C2F">
    <w:pPr>
      <w:spacing w:before="14" w:line="29" w:lineRule="exact"/>
      <w:ind w:firstLine="14"/>
      <w:textAlignment w:val="center"/>
    </w:pPr>
    <w:r>
      <w:pict>
        <v:shape id="_x0000_s2072" o:spid="_x0000_s2072" style="height:1.45pt;width:415.3pt;" fillcolor="#000000" filled="t" stroked="f" coordsize="8305,29" path="m0,0l8305,0,8305,28,0,28,0,0xe">
          <v:path/>
          <v:fill on="t" focussize="0,0"/>
          <v:stroke on="f"/>
          <v:imagedata o:title=""/>
          <o:lock v:ext="edit"/>
          <w10:wrap type="none"/>
          <w10:anchorlock/>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4CB91">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31AD542">
    <w:pPr>
      <w:spacing w:before="14" w:line="29" w:lineRule="exact"/>
      <w:ind w:firstLine="22"/>
      <w:textAlignment w:val="center"/>
    </w:pPr>
    <w:r>
      <w:pict>
        <v:shape id="_x0000_s2073" o:spid="_x0000_s2073" style="height:1.45pt;width:415.3pt;" fillcolor="#000000" filled="t" stroked="f" coordsize="8305,29" path="m0,0l8305,0,8305,28,0,28,0,0xe">
          <v:path/>
          <v:fill on="t" focussize="0,0"/>
          <v:stroke on="f"/>
          <v:imagedata o:title=""/>
          <o:lock v:ext="edit"/>
          <w10:wrap type="none"/>
          <w10:anchorlock/>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49857">
    <w:pPr>
      <w:spacing w:line="228" w:lineRule="auto"/>
      <w:ind w:left="2321"/>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0468549">
    <w:pPr>
      <w:spacing w:before="14" w:line="29" w:lineRule="exact"/>
      <w:ind w:firstLine="50"/>
      <w:textAlignment w:val="center"/>
    </w:pPr>
    <w:r>
      <w:pict>
        <v:shape id="_x0000_s2074" o:spid="_x0000_s2074" style="height:1.45pt;width:415.3pt;" fillcolor="#000000" filled="t" stroked="f" coordsize="8305,29" path="m0,0l8305,0,8305,28,0,28,0,0xe">
          <v:path/>
          <v:fill on="t" focussize="0,0"/>
          <v:stroke on="f"/>
          <v:imagedata o:title=""/>
          <o:lock v:ext="edit"/>
          <w10:wrap type="none"/>
          <w10:anchorlock/>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B410E">
    <w:pPr>
      <w:spacing w:line="228" w:lineRule="auto"/>
      <w:ind w:left="238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2553499">
    <w:pPr>
      <w:spacing w:before="14" w:line="29" w:lineRule="exact"/>
      <w:ind w:firstLine="112"/>
      <w:textAlignment w:val="center"/>
    </w:pPr>
    <w:r>
      <w:pict>
        <v:shape id="_x0000_s2075" o:spid="_x0000_s2075" style="height:1.45pt;width:415.3pt;" fillcolor="#000000" filled="t" stroked="f" coordsize="8305,29" path="m0,0l8305,0,8305,28,0,28,0,0xe">
          <v:path/>
          <v:fill on="t" focussize="0,0"/>
          <v:stroke on="f"/>
          <v:imagedata o:title=""/>
          <o:lock v:ext="edit"/>
          <w10:wrap type="none"/>
          <w10:anchorlock/>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C7728">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4C633BE">
    <w:pPr>
      <w:spacing w:before="14" w:line="29" w:lineRule="exact"/>
      <w:ind w:firstLine="108"/>
      <w:textAlignment w:val="center"/>
    </w:pPr>
    <w:r>
      <w:pict>
        <v:shape id="_x0000_s2076" o:spid="_x0000_s2076" style="height:1.45pt;width:415.3pt;" fillcolor="#000000" filled="t" stroked="f" coordsize="8305,29" path="m0,0l8305,0,8305,28,0,28,0,0xe">
          <v:path/>
          <v:fill on="t" focussize="0,0"/>
          <v:stroke on="f"/>
          <v:imagedata o:title=""/>
          <o:lock v:ext="edit"/>
          <w10:wrap type="none"/>
          <w10:anchorlock/>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6CEF1">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A582465">
    <w:pPr>
      <w:spacing w:before="14" w:line="29" w:lineRule="exact"/>
      <w:ind w:firstLine="108"/>
      <w:textAlignment w:val="center"/>
    </w:pPr>
    <w:r>
      <w:pict>
        <v:shape id="_x0000_s2077" o:spid="_x0000_s2077" style="height:1.45pt;width:415.3pt;" fillcolor="#000000" filled="t" stroked="f" coordsize="8305,29" path="m0,0l8305,0,8305,28,0,28,0,0xe">
          <v:path/>
          <v:fill on="t" focussize="0,0"/>
          <v:stroke on="f"/>
          <v:imagedata o:title=""/>
          <o:lock v:ext="edit"/>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816F8">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94AA989">
    <w:pPr>
      <w:spacing w:before="14" w:line="29" w:lineRule="exact"/>
      <w:ind w:firstLine="14"/>
      <w:textAlignment w:val="center"/>
    </w:pPr>
    <w:r>
      <w:pict>
        <v:shape id="_x0000_s2051" o:spid="_x0000_s2051" style="height:1.45pt;width:415.3pt;" fillcolor="#000000" filled="t" stroked="f" coordsize="8305,29" path="m0,0l8305,0,8305,28,0,28,0,0xe">
          <v:path/>
          <v:fill on="t" focussize="0,0"/>
          <v:stroke on="f"/>
          <v:imagedata o:title=""/>
          <o:lock v:ext="edit"/>
          <w10:wrap type="none"/>
          <w10:anchorlock/>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EB8FA">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34BC369">
    <w:pPr>
      <w:spacing w:before="14" w:line="29" w:lineRule="exact"/>
      <w:ind w:firstLine="108"/>
      <w:textAlignment w:val="center"/>
    </w:pPr>
    <w:r>
      <w:pict>
        <v:shape id="_x0000_s2078" o:spid="_x0000_s2078" style="height:1.45pt;width:415.3pt;" fillcolor="#000000" filled="t" stroked="f" coordsize="8305,29" path="m0,0l8305,0,8305,28,0,28,0,0xe">
          <v:path/>
          <v:fill on="t" focussize="0,0"/>
          <v:stroke on="f"/>
          <v:imagedata o:title=""/>
          <o:lock v:ext="edit"/>
          <w10:wrap type="none"/>
          <w10:anchorlock/>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F8116">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49542E6">
    <w:pPr>
      <w:spacing w:before="14" w:line="29" w:lineRule="exact"/>
      <w:ind w:firstLine="108"/>
      <w:textAlignment w:val="center"/>
    </w:pPr>
    <w:r>
      <w:pict>
        <v:shape id="_x0000_s2079" o:spid="_x0000_s2079" style="height:1.45pt;width:415.3pt;" fillcolor="#000000" filled="t" stroked="f" coordsize="8305,29" path="m0,0l8305,0,8305,28,0,28,0,0xe">
          <v:path/>
          <v:fill on="t" focussize="0,0"/>
          <v:stroke on="f"/>
          <v:imagedata o:title=""/>
          <o:lock v:ext="edit"/>
          <w10:wrap type="none"/>
          <w10:anchorlock/>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2EDE5">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549FA6D">
    <w:pPr>
      <w:spacing w:before="14" w:line="29" w:lineRule="exact"/>
      <w:ind w:firstLine="108"/>
      <w:textAlignment w:val="center"/>
    </w:pPr>
    <w:r>
      <w:pict>
        <v:shape id="_x0000_s2080" o:spid="_x0000_s2080" style="height:1.45pt;width:415.3pt;" fillcolor="#000000" filled="t" stroked="f" coordsize="8305,29" path="m0,0l8305,0,8305,28,0,28,0,0xe">
          <v:path/>
          <v:fill on="t" focussize="0,0"/>
          <v:stroke on="f"/>
          <v:imagedata o:title=""/>
          <o:lock v:ext="edit"/>
          <w10:wrap type="none"/>
          <w10:anchorlock/>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CC8FE">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1EC7217">
    <w:pPr>
      <w:spacing w:before="14" w:line="29" w:lineRule="exact"/>
      <w:ind w:firstLine="108"/>
      <w:textAlignment w:val="center"/>
    </w:pPr>
    <w:r>
      <w:pict>
        <v:shape id="_x0000_s2081" o:spid="_x0000_s2081" style="height:1.45pt;width:415.3pt;" fillcolor="#000000" filled="t" stroked="f" coordsize="8305,29" path="m0,0l8305,0,8305,28,0,28,0,0xe">
          <v:path/>
          <v:fill on="t" focussize="0,0"/>
          <v:stroke on="f"/>
          <v:imagedata o:title=""/>
          <o:lock v:ext="edit"/>
          <w10:wrap type="none"/>
          <w10:anchorlock/>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F80D8">
    <w:pPr>
      <w:spacing w:line="228" w:lineRule="auto"/>
      <w:ind w:left="2386"/>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A98300E">
    <w:pPr>
      <w:spacing w:before="14" w:line="29" w:lineRule="exact"/>
      <w:ind w:firstLine="115"/>
      <w:textAlignment w:val="center"/>
    </w:pPr>
    <w:r>
      <w:pict>
        <v:shape id="_x0000_s2082" o:spid="_x0000_s2082" style="height:1.45pt;width:415.3pt;" fillcolor="#000000" filled="t" stroked="f" coordsize="8305,29" path="m0,0l8305,0,8305,28,0,28,0,0xe">
          <v:path/>
          <v:fill on="t" focussize="0,0"/>
          <v:stroke on="f"/>
          <v:imagedata o:title=""/>
          <o:lock v:ext="edit"/>
          <w10:wrap type="none"/>
          <w10:anchorlock/>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50FEC">
    <w:pPr>
      <w:spacing w:line="228" w:lineRule="auto"/>
      <w:ind w:left="2312"/>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2884852">
    <w:pPr>
      <w:spacing w:before="14" w:line="29" w:lineRule="exact"/>
      <w:ind w:firstLine="41"/>
      <w:textAlignment w:val="center"/>
    </w:pPr>
    <w:r>
      <w:pict>
        <v:shape id="_x0000_s2083" o:spid="_x0000_s2083" style="height:1.45pt;width:415.3pt;" fillcolor="#000000" filled="t" stroked="f" coordsize="8305,29" path="m0,0l8305,0,8305,28,0,28,0,0xe">
          <v:path/>
          <v:fill on="t" focussize="0,0"/>
          <v:stroke on="f"/>
          <v:imagedata o:title=""/>
          <o:lock v:ext="edit"/>
          <w10:wrap type="none"/>
          <w10:anchorlock/>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65618">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CDC77E8">
    <w:pPr>
      <w:spacing w:before="14" w:line="29" w:lineRule="exact"/>
      <w:ind w:firstLine="14"/>
      <w:textAlignment w:val="center"/>
    </w:pPr>
    <w:r>
      <w:pict>
        <v:shape id="_x0000_s2084" o:spid="_x0000_s2084" style="height:1.45pt;width:415.3pt;" fillcolor="#000000" filled="t" stroked="f" coordsize="8305,29" path="m0,0l8305,0,8305,28,0,28,0,0xe">
          <v:path/>
          <v:fill on="t" focussize="0,0"/>
          <v:stroke on="f"/>
          <v:imagedata o:title=""/>
          <o:lock v:ext="edit"/>
          <w10:wrap type="none"/>
          <w10:anchorlock/>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1E081">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12D6B63">
    <w:pPr>
      <w:spacing w:before="14" w:line="29" w:lineRule="exact"/>
      <w:ind w:firstLine="108"/>
      <w:textAlignment w:val="center"/>
    </w:pPr>
    <w:r>
      <w:pict>
        <v:shape id="_x0000_s2085" o:spid="_x0000_s2085" style="height:1.45pt;width:415.3pt;" fillcolor="#000000" filled="t" stroked="f" coordsize="8305,29" path="m0,0l8305,0,8305,28,0,28,0,0xe">
          <v:path/>
          <v:fill on="t" focussize="0,0"/>
          <v:stroke on="f"/>
          <v:imagedata o:title=""/>
          <o:lock v:ext="edit"/>
          <w10:wrap type="none"/>
          <w10:anchorlock/>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9022">
    <w:pPr>
      <w:spacing w:line="228" w:lineRule="auto"/>
      <w:ind w:left="2312"/>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B2282B8">
    <w:pPr>
      <w:spacing w:before="14" w:line="29" w:lineRule="exact"/>
      <w:ind w:firstLine="41"/>
      <w:textAlignment w:val="center"/>
    </w:pPr>
    <w:r>
      <w:pict>
        <v:shape id="_x0000_s2086" o:spid="_x0000_s2086" style="height:1.45pt;width:415.3pt;" fillcolor="#000000" filled="t" stroked="f" coordsize="8305,29" path="m0,0l8305,0,8305,28,0,28,0,0xe">
          <v:path/>
          <v:fill on="t" focussize="0,0"/>
          <v:stroke on="f"/>
          <v:imagedata o:title=""/>
          <o:lock v:ext="edit"/>
          <w10:wrap type="none"/>
          <w10:anchorlock/>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F359C">
    <w:pPr>
      <w:spacing w:line="228" w:lineRule="auto"/>
      <w:ind w:left="8556"/>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2D5D761">
    <w:pPr>
      <w:spacing w:before="14" w:line="29" w:lineRule="exact"/>
      <w:textAlignment w:val="center"/>
    </w:pPr>
    <w:r>
      <w:pict>
        <v:shape id="_x0000_s2087" o:spid="_x0000_s2087" style="height:1.45pt;width:1043.9pt;" fillcolor="#000000" filled="t" stroked="f" coordsize="20878,29" path="m0,0l20877,0,20877,28,0,28,0,0xe">
          <v:path/>
          <v:fill on="t" focussize="0,0"/>
          <v:stroke on="f"/>
          <v:imagedata o:title=""/>
          <o:lock v:ext="edit"/>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3C353">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E5CCDCE">
    <w:pPr>
      <w:spacing w:before="14" w:line="29" w:lineRule="exact"/>
      <w:ind w:firstLine="14"/>
      <w:textAlignment w:val="center"/>
    </w:pPr>
    <w:r>
      <w:pict>
        <v:shape id="_x0000_s2052" o:spid="_x0000_s2052" style="height:1.45pt;width:415.3pt;" fillcolor="#000000" filled="t" stroked="f" coordsize="8305,29" path="m0,0l8305,0,8305,28,0,28,0,0xe">
          <v:path/>
          <v:fill on="t" focussize="0,0"/>
          <v:stroke on="f"/>
          <v:imagedata o:title=""/>
          <o:lock v:ext="edit"/>
          <w10:wrap type="none"/>
          <w10:anchorlock/>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EAA36">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E9AE15B">
    <w:pPr>
      <w:spacing w:before="14" w:line="29" w:lineRule="exact"/>
      <w:ind w:firstLine="14"/>
      <w:textAlignment w:val="center"/>
    </w:pPr>
    <w:r>
      <w:pict>
        <v:shape id="_x0000_s2088" o:spid="_x0000_s2088" style="height:1.45pt;width:415.3pt;" fillcolor="#000000" filled="t" stroked="f" coordsize="8305,29" path="m0,0l8305,0,8305,28,0,28,0,0xe">
          <v:path/>
          <v:fill on="t" focussize="0,0"/>
          <v:stroke on="f"/>
          <v:imagedata o:title=""/>
          <o:lock v:ext="edit"/>
          <w10:wrap type="none"/>
          <w10:anchorlock/>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E917E">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023ABEC">
    <w:pPr>
      <w:spacing w:before="14" w:line="29" w:lineRule="exact"/>
      <w:ind w:firstLine="108"/>
      <w:textAlignment w:val="center"/>
    </w:pPr>
    <w:r>
      <w:pict>
        <v:shape id="_x0000_s2089" o:spid="_x0000_s2089" style="height:1.45pt;width:415.3pt;" fillcolor="#000000" filled="t" stroked="f" coordsize="8305,29" path="m0,0l8305,0,8305,28,0,28,0,0xe">
          <v:path/>
          <v:fill on="t" focussize="0,0"/>
          <v:stroke on="f"/>
          <v:imagedata o:title=""/>
          <o:lock v:ext="edit"/>
          <w10:wrap type="none"/>
          <w10:anchorlock/>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43690">
    <w:pPr>
      <w:spacing w:line="228" w:lineRule="auto"/>
      <w:ind w:left="2310"/>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5658024">
    <w:pPr>
      <w:spacing w:before="14" w:line="29" w:lineRule="exact"/>
      <w:ind w:firstLine="40"/>
      <w:textAlignment w:val="center"/>
    </w:pPr>
    <w:r>
      <w:pict>
        <v:shape id="_x0000_s2090" o:spid="_x0000_s2090" style="height:1.45pt;width:415.3pt;" fillcolor="#000000" filled="t" stroked="f" coordsize="8305,29" path="m0,0l8305,0,8305,28,0,28,0,0xe">
          <v:path/>
          <v:fill on="t" focussize="0,0"/>
          <v:stroke on="f"/>
          <v:imagedata o:title=""/>
          <o:lock v:ext="edit"/>
          <w10:wrap type="none"/>
          <w10:anchorlock/>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AF295">
    <w:pPr>
      <w:spacing w:line="228" w:lineRule="auto"/>
      <w:ind w:left="2310"/>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0EAB168">
    <w:pPr>
      <w:spacing w:before="14" w:line="29" w:lineRule="exact"/>
      <w:ind w:firstLine="40"/>
      <w:textAlignment w:val="center"/>
    </w:pPr>
    <w:r>
      <w:pict>
        <v:shape id="_x0000_s2091" o:spid="_x0000_s2091" style="height:1.45pt;width:415.3pt;" fillcolor="#000000" filled="t" stroked="f" coordsize="8305,29" path="m0,0l8305,0,8305,28,0,28,0,0xe">
          <v:path/>
          <v:fill on="t" focussize="0,0"/>
          <v:stroke on="f"/>
          <v:imagedata o:title=""/>
          <o:lock v:ext="edit"/>
          <w10:wrap type="none"/>
          <w10:anchorlock/>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23D9">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9C0CE24">
    <w:pPr>
      <w:spacing w:before="14" w:line="29" w:lineRule="exact"/>
      <w:ind w:firstLine="108"/>
      <w:textAlignment w:val="center"/>
    </w:pPr>
    <w:r>
      <w:pict>
        <v:shape id="_x0000_s2092" o:spid="_x0000_s2092" style="height:1.45pt;width:415.3pt;" fillcolor="#000000" filled="t" stroked="f" coordsize="8305,29" path="m0,0l8305,0,8305,28,0,28,0,0xe">
          <v:path/>
          <v:fill on="t" focussize="0,0"/>
          <v:stroke on="f"/>
          <v:imagedata o:title=""/>
          <o:lock v:ext="edit"/>
          <w10:wrap type="none"/>
          <w10:anchorlock/>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DC858">
    <w:pPr>
      <w:spacing w:line="228" w:lineRule="auto"/>
      <w:ind w:left="509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5FB26CF">
    <w:pPr>
      <w:spacing w:before="14" w:line="29" w:lineRule="exact"/>
      <w:textAlignment w:val="center"/>
    </w:pPr>
    <w:r>
      <w:pict>
        <v:shape id="_x0000_s2093" o:spid="_x0000_s2093" style="height:1.45pt;width:697.95pt;" fillcolor="#000000" filled="t" stroked="f" coordsize="13959,29" path="m0,0l13958,0,13958,28,0,28,0,0xe">
          <v:path/>
          <v:fill on="t" focussize="0,0"/>
          <v:stroke on="f"/>
          <v:imagedata o:title=""/>
          <o:lock v:ext="edit"/>
          <w10:wrap type="none"/>
          <w10:anchorlock/>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4189A">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E311A86">
    <w:pPr>
      <w:spacing w:before="14" w:line="29" w:lineRule="exact"/>
      <w:ind w:firstLine="108"/>
      <w:textAlignment w:val="center"/>
    </w:pPr>
    <w:r>
      <w:pict>
        <v:shape id="_x0000_s2094" o:spid="_x0000_s2094" style="height:1.45pt;width:415.3pt;" fillcolor="#000000" filled="t" stroked="f" coordsize="8305,29" path="m0,0l8305,0,8305,28,0,28,0,0xe">
          <v:path/>
          <v:fill on="t" focussize="0,0"/>
          <v:stroke on="f"/>
          <v:imagedata o:title=""/>
          <o:lock v:ext="edit"/>
          <w10:wrap type="none"/>
          <w10:anchorlock/>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2D58">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E955BA8">
    <w:pPr>
      <w:spacing w:before="14" w:line="29" w:lineRule="exact"/>
      <w:ind w:firstLine="14"/>
      <w:textAlignment w:val="center"/>
    </w:pPr>
    <w:r>
      <w:pict>
        <v:shape id="_x0000_s2095" o:spid="_x0000_s2095" style="height:1.45pt;width:415.3pt;" fillcolor="#000000" filled="t" stroked="f" coordsize="8305,29" path="m0,0l8305,0,8305,28,0,28,0,0xe">
          <v:path/>
          <v:fill on="t" focussize="0,0"/>
          <v:stroke on="f"/>
          <v:imagedata o:title=""/>
          <o:lock v:ext="edit"/>
          <w10:wrap type="none"/>
          <w10:anchorlock/>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8DC61">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FA0D541">
    <w:pPr>
      <w:spacing w:before="14" w:line="29" w:lineRule="exact"/>
      <w:ind w:firstLine="14"/>
      <w:textAlignment w:val="center"/>
    </w:pPr>
    <w:r>
      <w:pict>
        <v:shape id="_x0000_s2096" o:spid="_x0000_s2096" style="height:1.45pt;width:415.3pt;" fillcolor="#000000" filled="t" stroked="f" coordsize="8305,29" path="m0,0l8305,0,8305,28,0,28,0,0xe">
          <v:path/>
          <v:fill on="t" focussize="0,0"/>
          <v:stroke on="f"/>
          <v:imagedata o:title=""/>
          <o:lock v:ext="edit"/>
          <w10:wrap type="none"/>
          <w10:anchorlock/>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8E925">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F409BCB">
    <w:pPr>
      <w:spacing w:before="14" w:line="29" w:lineRule="exact"/>
      <w:ind w:firstLine="108"/>
      <w:textAlignment w:val="center"/>
    </w:pPr>
    <w:r>
      <w:pict>
        <v:shape id="_x0000_s2097" o:spid="_x0000_s2097" style="height:1.45pt;width:415.3pt;" fillcolor="#000000" filled="t" stroked="f" coordsize="8305,29" path="m0,0l8305,0,8305,28,0,28,0,0xe">
          <v:path/>
          <v:fill on="t" focussize="0,0"/>
          <v:stroke on="f"/>
          <v:imagedata o:title=""/>
          <o:lock v:ext="edit"/>
          <w10:wrap type="non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FB982">
    <w:pPr>
      <w:spacing w:line="228" w:lineRule="auto"/>
      <w:ind w:left="2314"/>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97EC889">
    <w:pPr>
      <w:spacing w:before="14" w:line="29" w:lineRule="exact"/>
      <w:ind w:firstLine="43"/>
      <w:textAlignment w:val="center"/>
    </w:pPr>
    <w:r>
      <w:pict>
        <v:shape id="_x0000_s2053" o:spid="_x0000_s2053" style="height:1.45pt;width:415.3pt;" fillcolor="#000000" filled="t" stroked="f" coordsize="8305,29" path="m0,0l8305,0,8305,28,0,28,0,0xe">
          <v:path/>
          <v:fill on="t" focussize="0,0"/>
          <v:stroke on="f"/>
          <v:imagedata o:title=""/>
          <o:lock v:ext="edit"/>
          <w10:wrap type="none"/>
          <w10:anchorlock/>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04524">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28C00F0">
    <w:pPr>
      <w:spacing w:before="14" w:line="29" w:lineRule="exact"/>
      <w:ind w:firstLine="14"/>
      <w:textAlignment w:val="center"/>
    </w:pPr>
    <w:r>
      <w:pict>
        <v:shape id="_x0000_s2098" o:spid="_x0000_s2098" style="height:1.45pt;width:415.3pt;" fillcolor="#000000" filled="t" stroked="f" coordsize="8305,29" path="m0,0l8305,0,8305,28,0,28,0,0xe">
          <v:path/>
          <v:fill on="t" focussize="0,0"/>
          <v:stroke on="f"/>
          <v:imagedata o:title=""/>
          <o:lock v:ext="edit"/>
          <w10:wrap type="none"/>
          <w10:anchorlock/>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B5BDD">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8446FE8">
    <w:pPr>
      <w:spacing w:before="14" w:line="29" w:lineRule="exact"/>
      <w:ind w:firstLine="108"/>
      <w:textAlignment w:val="center"/>
    </w:pPr>
    <w:r>
      <w:pict>
        <v:shape id="_x0000_s2099" o:spid="_x0000_s2099" style="height:1.45pt;width:415.3pt;" fillcolor="#000000" filled="t" stroked="f" coordsize="8305,29" path="m0,0l8305,0,8305,28,0,28,0,0xe">
          <v:path/>
          <v:fill on="t" focussize="0,0"/>
          <v:stroke on="f"/>
          <v:imagedata o:title=""/>
          <o:lock v:ext="edit"/>
          <w10:wrap type="none"/>
          <w10:anchorlock/>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5125D">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BCE8A7B">
    <w:pPr>
      <w:spacing w:before="14" w:line="29" w:lineRule="exact"/>
      <w:ind w:firstLine="14"/>
      <w:textAlignment w:val="center"/>
    </w:pPr>
    <w:r>
      <w:pict>
        <v:shape id="_x0000_s2100" o:spid="_x0000_s2100" style="height:1.45pt;width:415.3pt;" fillcolor="#000000" filled="t" stroked="f" coordsize="8305,29" path="m0,0l8305,0,8305,28,0,28,0,0xe">
          <v:path/>
          <v:fill on="t" focussize="0,0"/>
          <v:stroke on="f"/>
          <v:imagedata o:title=""/>
          <o:lock v:ext="edit"/>
          <w10:wrap type="none"/>
          <w10:anchorlock/>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BEEF9">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EC95765">
    <w:pPr>
      <w:spacing w:before="14" w:line="29" w:lineRule="exact"/>
      <w:ind w:firstLine="14"/>
      <w:textAlignment w:val="center"/>
    </w:pPr>
    <w:r>
      <w:pict>
        <v:shape id="_x0000_s2101" o:spid="_x0000_s2101" style="height:1.45pt;width:415.3pt;" fillcolor="#000000" filled="t" stroked="f" coordsize="8305,29" path="m0,0l8305,0,8305,28,0,28,0,0xe">
          <v:path/>
          <v:fill on="t" focussize="0,0"/>
          <v:stroke on="f"/>
          <v:imagedata o:title=""/>
          <o:lock v:ext="edit"/>
          <w10:wrap type="none"/>
          <w10:anchorlock/>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78A0">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37005B5">
    <w:pPr>
      <w:spacing w:before="14" w:line="29" w:lineRule="exact"/>
      <w:ind w:firstLine="14"/>
      <w:textAlignment w:val="center"/>
    </w:pPr>
    <w:r>
      <w:pict>
        <v:shape id="_x0000_s2102" o:spid="_x0000_s2102" style="height:1.45pt;width:415.3pt;" fillcolor="#000000" filled="t" stroked="f" coordsize="8305,29" path="m0,0l8305,0,8305,28,0,28,0,0xe">
          <v:path/>
          <v:fill on="t" focussize="0,0"/>
          <v:stroke on="f"/>
          <v:imagedata o:title=""/>
          <o:lock v:ext="edit"/>
          <w10:wrap type="none"/>
          <w10:anchorlock/>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CF6DA">
    <w:pPr>
      <w:spacing w:line="14" w:lineRule="auto"/>
      <w:rPr>
        <w:rFonts w:ascii="Arial"/>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AF1AA">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7351D14">
    <w:pPr>
      <w:spacing w:before="14" w:line="29" w:lineRule="exact"/>
      <w:ind w:firstLine="108"/>
      <w:textAlignment w:val="center"/>
    </w:pPr>
    <w:r>
      <w:pict>
        <v:shape id="_x0000_s2103" o:spid="_x0000_s2103" style="height:1.45pt;width:415.3pt;" fillcolor="#000000" filled="t" stroked="f" coordsize="8305,29" path="m0,0l8305,0,8305,28,0,28,0,0xe">
          <v:path/>
          <v:fill on="t" focussize="0,0"/>
          <v:stroke on="f"/>
          <v:imagedata o:title=""/>
          <o:lock v:ext="edit"/>
          <w10:wrap type="none"/>
          <w10:anchorlock/>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ECDF3">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CFD27C2">
    <w:pPr>
      <w:spacing w:before="14" w:line="29" w:lineRule="exact"/>
      <w:ind w:firstLine="14"/>
      <w:textAlignment w:val="center"/>
    </w:pPr>
    <w:r>
      <w:pict>
        <v:shape id="_x0000_s2104" o:spid="_x0000_s2104" style="height:1.45pt;width:415.3pt;" fillcolor="#000000" filled="t" stroked="f" coordsize="8305,29" path="m0,0l8305,0,8305,28,0,28,0,0xe">
          <v:path/>
          <v:fill on="t" focussize="0,0"/>
          <v:stroke on="f"/>
          <v:imagedata o:title=""/>
          <o:lock v:ext="edit"/>
          <w10:wrap type="none"/>
          <w10:anchorlock/>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96792">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570D13A">
    <w:pPr>
      <w:spacing w:before="14" w:line="29" w:lineRule="exact"/>
      <w:ind w:firstLine="14"/>
      <w:textAlignment w:val="center"/>
    </w:pPr>
    <w:r>
      <w:pict>
        <v:shape id="_x0000_s2105" o:spid="_x0000_s2105" style="height:1.45pt;width:415.3pt;" fillcolor="#000000" filled="t" stroked="f" coordsize="8305,29" path="m0,0l8305,0,8305,28,0,28,0,0xe">
          <v:path/>
          <v:fill on="t" focussize="0,0"/>
          <v:stroke on="f"/>
          <v:imagedata o:title=""/>
          <o:lock v:ext="edit"/>
          <w10:wrap type="none"/>
          <w10:anchorlock/>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646C8">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99765C7">
    <w:pPr>
      <w:spacing w:before="14" w:line="29" w:lineRule="exact"/>
      <w:ind w:firstLine="14"/>
      <w:textAlignment w:val="center"/>
    </w:pPr>
    <w:r>
      <w:pict>
        <v:shape id="_x0000_s2106" o:spid="_x0000_s2106" style="height:1.45pt;width:415.3pt;" fillcolor="#000000" filled="t" stroked="f" coordsize="8305,29" path="m0,0l8305,0,8305,28,0,28,0,0xe">
          <v:path/>
          <v:fill on="t" focussize="0,0"/>
          <v:stroke on="f"/>
          <v:imagedata o:title=""/>
          <o:lock v:ext="edit"/>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38387">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E5E2394">
    <w:pPr>
      <w:spacing w:before="14" w:line="29" w:lineRule="exact"/>
      <w:ind w:firstLine="108"/>
      <w:textAlignment w:val="center"/>
    </w:pPr>
    <w:r>
      <w:pict>
        <v:shape id="_x0000_s2054" o:spid="_x0000_s2054" style="height:1.45pt;width:415.3pt;" fillcolor="#000000" filled="t" stroked="f" coordsize="8305,29" path="m0,0l8305,0,8305,28,0,28,0,0xe">
          <v:path/>
          <v:fill on="t" focussize="0,0"/>
          <v:stroke on="f"/>
          <v:imagedata o:title=""/>
          <o:lock v:ext="edit"/>
          <w10:wrap type="none"/>
          <w10:anchorlock/>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31E9">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29BA9DC">
    <w:pPr>
      <w:spacing w:before="14" w:line="29" w:lineRule="exact"/>
      <w:ind w:firstLine="108"/>
      <w:textAlignment w:val="center"/>
    </w:pPr>
    <w:r>
      <w:pict>
        <v:shape id="_x0000_s2107" o:spid="_x0000_s2107" style="height:1.45pt;width:415.3pt;" fillcolor="#000000" filled="t" stroked="f" coordsize="8305,29" path="m0,0l8305,0,8305,28,0,28,0,0xe">
          <v:path/>
          <v:fill on="t" focussize="0,0"/>
          <v:stroke on="f"/>
          <v:imagedata o:title=""/>
          <o:lock v:ext="edit"/>
          <w10:wrap type="none"/>
          <w10:anchorlock/>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0E5A">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4FF482F">
    <w:pPr>
      <w:spacing w:before="14" w:line="29" w:lineRule="exact"/>
      <w:ind w:firstLine="15"/>
      <w:textAlignment w:val="center"/>
    </w:pPr>
    <w:r>
      <w:pict>
        <v:shape id="_x0000_s2108" o:spid="_x0000_s2108" style="height:1.45pt;width:415.3pt;" fillcolor="#000000" filled="t" stroked="f" coordsize="8305,29" path="m0,0l8305,0,8305,28,0,28,0,0xe">
          <v:path/>
          <v:fill on="t" focussize="0,0"/>
          <v:stroke on="f"/>
          <v:imagedata o:title=""/>
          <o:lock v:ext="edit"/>
          <w10:wrap type="none"/>
          <w10:anchorlock/>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00B1">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BD77185">
    <w:pPr>
      <w:spacing w:before="14" w:line="29" w:lineRule="exact"/>
      <w:ind w:firstLine="14"/>
      <w:textAlignment w:val="center"/>
    </w:pPr>
    <w:r>
      <w:pict>
        <v:shape id="_x0000_s2109" o:spid="_x0000_s2109" style="height:1.45pt;width:415.3pt;" fillcolor="#000000" filled="t" stroked="f" coordsize="8305,29" path="m0,0l8305,0,8305,28,0,28,0,0xe">
          <v:path/>
          <v:fill on="t" focussize="0,0"/>
          <v:stroke on="f"/>
          <v:imagedata o:title=""/>
          <o:lock v:ext="edit"/>
          <w10:wrap type="none"/>
          <w10:anchorlock/>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4925">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1ABEE8E">
    <w:pPr>
      <w:spacing w:before="14" w:line="29" w:lineRule="exact"/>
      <w:ind w:firstLine="14"/>
      <w:textAlignment w:val="center"/>
    </w:pPr>
    <w:r>
      <w:pict>
        <v:shape id="_x0000_s2110" o:spid="_x0000_s2110" style="height:1.45pt;width:415.3pt;" fillcolor="#000000" filled="t" stroked="f" coordsize="8305,29" path="m0,0l8305,0,8305,28,0,28,0,0xe">
          <v:path/>
          <v:fill on="t" focussize="0,0"/>
          <v:stroke on="f"/>
          <v:imagedata o:title=""/>
          <o:lock v:ext="edit"/>
          <w10:wrap type="none"/>
          <w10:anchorlock/>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BEFA">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485C9E8">
    <w:pPr>
      <w:spacing w:before="14" w:line="29" w:lineRule="exact"/>
      <w:ind w:firstLine="108"/>
      <w:textAlignment w:val="center"/>
    </w:pPr>
    <w:r>
      <w:pict>
        <v:shape id="_x0000_s2111" o:spid="_x0000_s2111" style="height:1.45pt;width:415.3pt;" fillcolor="#000000" filled="t" stroked="f" coordsize="8305,29" path="m0,0l8305,0,8305,28,0,28,0,0xe">
          <v:path/>
          <v:fill on="t" focussize="0,0"/>
          <v:stroke on="f"/>
          <v:imagedata o:title=""/>
          <o:lock v:ext="edit"/>
          <w10:wrap type="none"/>
          <w10:anchorlock/>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9508">
    <w:pPr>
      <w:spacing w:line="228" w:lineRule="auto"/>
      <w:ind w:left="238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7941524">
    <w:pPr>
      <w:spacing w:before="14" w:line="29" w:lineRule="exact"/>
      <w:ind w:firstLine="113"/>
      <w:textAlignment w:val="center"/>
    </w:pPr>
    <w:r>
      <w:pict>
        <v:shape id="_x0000_s2112" o:spid="_x0000_s2112" style="height:1.45pt;width:415.3pt;" fillcolor="#000000" filled="t" stroked="f" coordsize="8305,29" path="m0,0l8305,0,8305,28,0,28,0,0xe">
          <v:path/>
          <v:fill on="t" focussize="0,0"/>
          <v:stroke on="f"/>
          <v:imagedata o:title=""/>
          <o:lock v:ext="edit"/>
          <w10:wrap type="none"/>
          <w10:anchorlock/>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E333B">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A75554C">
    <w:pPr>
      <w:spacing w:before="14" w:line="29" w:lineRule="exact"/>
      <w:ind w:firstLine="14"/>
      <w:textAlignment w:val="center"/>
    </w:pPr>
    <w:r>
      <w:pict>
        <v:shape id="_x0000_s2113" o:spid="_x0000_s2113" style="height:1.45pt;width:415.3pt;" fillcolor="#000000" filled="t" stroked="f" coordsize="8305,29" path="m0,0l8305,0,8305,28,0,28,0,0xe">
          <v:path/>
          <v:fill on="t" focussize="0,0"/>
          <v:stroke on="f"/>
          <v:imagedata o:title=""/>
          <o:lock v:ext="edit"/>
          <w10:wrap type="none"/>
          <w10:anchorlock/>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59426">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C262349">
    <w:pPr>
      <w:spacing w:before="14" w:line="29" w:lineRule="exact"/>
      <w:ind w:firstLine="108"/>
      <w:textAlignment w:val="center"/>
    </w:pPr>
    <w:r>
      <w:pict>
        <v:shape id="_x0000_s2114" o:spid="_x0000_s2114" style="height:1.45pt;width:415.3pt;" fillcolor="#000000" filled="t" stroked="f" coordsize="8305,29" path="m0,0l8305,0,8305,28,0,28,0,0xe">
          <v:path/>
          <v:fill on="t" focussize="0,0"/>
          <v:stroke on="f"/>
          <v:imagedata o:title=""/>
          <o:lock v:ext="edit"/>
          <w10:wrap type="none"/>
          <w10:anchorlock/>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1345F">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C4306DA">
    <w:pPr>
      <w:spacing w:before="14" w:line="29" w:lineRule="exact"/>
      <w:ind w:firstLine="14"/>
      <w:textAlignment w:val="center"/>
    </w:pPr>
    <w:r>
      <w:pict>
        <v:shape id="_x0000_s2115" o:spid="_x0000_s2115" style="height:1.45pt;width:415.3pt;" fillcolor="#000000" filled="t" stroked="f" coordsize="8305,29" path="m0,0l8305,0,8305,28,0,28,0,0xe">
          <v:path/>
          <v:fill on="t" focussize="0,0"/>
          <v:stroke on="f"/>
          <v:imagedata o:title=""/>
          <o:lock v:ext="edit"/>
          <w10:wrap type="none"/>
          <w10:anchorlock/>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DC1C2">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3DE48FC">
    <w:pPr>
      <w:spacing w:before="14" w:line="29" w:lineRule="exact"/>
      <w:ind w:firstLine="14"/>
      <w:textAlignment w:val="center"/>
    </w:pPr>
    <w:r>
      <w:pict>
        <v:shape id="_x0000_s2116" o:spid="_x0000_s2116" style="height:1.45pt;width:415.3pt;" fillcolor="#000000" filled="t" stroked="f" coordsize="8305,29" path="m0,0l8305,0,8305,28,0,28,0,0xe">
          <v:path/>
          <v:fill on="t" focussize="0,0"/>
          <v:stroke on="f"/>
          <v:imagedata o:title=""/>
          <o:lock v:ext="edit"/>
          <w10:wrap type="non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E5B99">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A8A2DE8">
    <w:pPr>
      <w:spacing w:before="14" w:line="29" w:lineRule="exact"/>
      <w:ind w:firstLine="108"/>
      <w:textAlignment w:val="center"/>
    </w:pPr>
    <w:r>
      <w:pict>
        <v:shape id="_x0000_s2055" o:spid="_x0000_s2055" style="height:1.45pt;width:415.3pt;" fillcolor="#000000" filled="t" stroked="f" coordsize="8305,29" path="m0,0l8305,0,8305,28,0,28,0,0xe">
          <v:path/>
          <v:fill on="t" focussize="0,0"/>
          <v:stroke on="f"/>
          <v:imagedata o:title=""/>
          <o:lock v:ext="edit"/>
          <w10:wrap type="none"/>
          <w10:anchorlock/>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C7CBA">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A3052AB">
    <w:pPr>
      <w:spacing w:before="14" w:line="29" w:lineRule="exact"/>
      <w:ind w:firstLine="14"/>
      <w:textAlignment w:val="center"/>
    </w:pPr>
    <w:r>
      <w:pict>
        <v:shape id="_x0000_s2117" o:spid="_x0000_s2117" style="height:1.45pt;width:415.3pt;" fillcolor="#000000" filled="t" stroked="f" coordsize="8305,29" path="m0,0l8305,0,8305,28,0,28,0,0xe">
          <v:path/>
          <v:fill on="t" focussize="0,0"/>
          <v:stroke on="f"/>
          <v:imagedata o:title=""/>
          <o:lock v:ext="edit"/>
          <w10:wrap type="none"/>
          <w10:anchorlock/>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324BD">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6AD9BF5">
    <w:pPr>
      <w:spacing w:before="14" w:line="29" w:lineRule="exact"/>
      <w:ind w:firstLine="14"/>
      <w:textAlignment w:val="center"/>
    </w:pPr>
    <w:r>
      <w:pict>
        <v:shape id="_x0000_s2118" o:spid="_x0000_s2118" style="height:1.45pt;width:415.3pt;" fillcolor="#000000" filled="t" stroked="f" coordsize="8305,29" path="m0,0l8305,0,8305,28,0,28,0,0xe">
          <v:path/>
          <v:fill on="t" focussize="0,0"/>
          <v:stroke on="f"/>
          <v:imagedata o:title=""/>
          <o:lock v:ext="edit"/>
          <w10:wrap type="none"/>
          <w10:anchorlock/>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882C">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A62A00D">
    <w:pPr>
      <w:spacing w:before="14" w:line="29" w:lineRule="exact"/>
      <w:ind w:firstLine="14"/>
      <w:textAlignment w:val="center"/>
    </w:pPr>
    <w:r>
      <w:pict>
        <v:shape id="_x0000_s2119" o:spid="_x0000_s2119" style="height:1.45pt;width:415.3pt;" fillcolor="#000000" filled="t" stroked="f" coordsize="8305,29" path="m0,0l8305,0,8305,28,0,28,0,0xe">
          <v:path/>
          <v:fill on="t" focussize="0,0"/>
          <v:stroke on="f"/>
          <v:imagedata o:title=""/>
          <o:lock v:ext="edit"/>
          <w10:wrap type="none"/>
          <w10:anchorlock/>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551BA">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DC7067B">
    <w:pPr>
      <w:spacing w:before="14" w:line="29" w:lineRule="exact"/>
      <w:ind w:firstLine="22"/>
      <w:textAlignment w:val="center"/>
    </w:pPr>
    <w:r>
      <w:pict>
        <v:shape id="_x0000_s2120" o:spid="_x0000_s2120" style="height:1.45pt;width:415.3pt;" fillcolor="#000000" filled="t" stroked="f" coordsize="8305,29" path="m0,0l8305,0,8305,28,0,28,0,0xe">
          <v:path/>
          <v:fill on="t" focussize="0,0"/>
          <v:stroke on="f"/>
          <v:imagedata o:title=""/>
          <o:lock v:ext="edit"/>
          <w10:wrap type="none"/>
          <w10:anchorlock/>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E19BE">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98F7EAD">
    <w:pPr>
      <w:spacing w:before="14" w:line="29" w:lineRule="exact"/>
      <w:ind w:firstLine="22"/>
      <w:textAlignment w:val="center"/>
    </w:pPr>
    <w:r>
      <w:pict>
        <v:shape id="_x0000_s2121" o:spid="_x0000_s2121" style="height:1.45pt;width:415.3pt;" fillcolor="#000000" filled="t" stroked="f" coordsize="8305,29" path="m0,0l8305,0,8305,28,0,28,0,0xe">
          <v:path/>
          <v:fill on="t" focussize="0,0"/>
          <v:stroke on="f"/>
          <v:imagedata o:title=""/>
          <o:lock v:ext="edit"/>
          <w10:wrap type="none"/>
          <w10:anchorlock/>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43C8C">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E330F90">
    <w:pPr>
      <w:spacing w:before="14" w:line="29" w:lineRule="exact"/>
      <w:ind w:firstLine="108"/>
      <w:textAlignment w:val="center"/>
    </w:pPr>
    <w:r>
      <w:pict>
        <v:shape id="_x0000_s2122" o:spid="_x0000_s2122" style="height:1.45pt;width:415.3pt;" fillcolor="#000000" filled="t" stroked="f" coordsize="8305,29" path="m0,0l8305,0,8305,28,0,28,0,0xe">
          <v:path/>
          <v:fill on="t" focussize="0,0"/>
          <v:stroke on="f"/>
          <v:imagedata o:title=""/>
          <o:lock v:ext="edit"/>
          <w10:wrap type="none"/>
          <w10:anchorlock/>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A5A16">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FC6C877">
    <w:pPr>
      <w:spacing w:before="14" w:line="29" w:lineRule="exact"/>
      <w:ind w:firstLine="22"/>
      <w:textAlignment w:val="center"/>
    </w:pPr>
    <w:r>
      <w:pict>
        <v:shape id="_x0000_s2123" o:spid="_x0000_s2123" style="height:1.45pt;width:415.3pt;" fillcolor="#000000" filled="t" stroked="f" coordsize="8305,29" path="m0,0l8305,0,8305,28,0,28,0,0xe">
          <v:path/>
          <v:fill on="t" focussize="0,0"/>
          <v:stroke on="f"/>
          <v:imagedata o:title=""/>
          <o:lock v:ext="edit"/>
          <w10:wrap type="none"/>
          <w10:anchorlock/>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715C7">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75F4CF0">
    <w:pPr>
      <w:spacing w:before="14" w:line="29" w:lineRule="exact"/>
      <w:ind w:firstLine="108"/>
      <w:textAlignment w:val="center"/>
    </w:pPr>
    <w:r>
      <w:pict>
        <v:shape id="_x0000_s2124" o:spid="_x0000_s2124" style="height:1.45pt;width:415.3pt;" fillcolor="#000000" filled="t" stroked="f" coordsize="8305,29" path="m0,0l8305,0,8305,28,0,28,0,0xe">
          <v:path/>
          <v:fill on="t" focussize="0,0"/>
          <v:stroke on="f"/>
          <v:imagedata o:title=""/>
          <o:lock v:ext="edit"/>
          <w10:wrap type="none"/>
          <w10:anchorlock/>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4A50">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68F054C3">
    <w:pPr>
      <w:spacing w:before="14" w:line="29" w:lineRule="exact"/>
      <w:ind w:firstLine="108"/>
      <w:textAlignment w:val="center"/>
    </w:pPr>
    <w:r>
      <w:pict>
        <v:shape id="_x0000_s2125" o:spid="_x0000_s2125" style="height:1.45pt;width:415.3pt;" fillcolor="#000000" filled="t" stroked="f" coordsize="8305,29" path="m0,0l8305,0,8305,28,0,28,0,0xe">
          <v:path/>
          <v:fill on="t" focussize="0,0"/>
          <v:stroke on="f"/>
          <v:imagedata o:title=""/>
          <o:lock v:ext="edit"/>
          <w10:wrap type="none"/>
          <w10:anchorlock/>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4093E">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F1A56EB">
    <w:pPr>
      <w:spacing w:before="14" w:line="29" w:lineRule="exact"/>
      <w:ind w:firstLine="108"/>
      <w:textAlignment w:val="center"/>
    </w:pPr>
    <w:r>
      <w:pict>
        <v:shape id="_x0000_s2126" o:spid="_x0000_s2126" style="height:1.45pt;width:415.3pt;" fillcolor="#000000" filled="t" stroked="f" coordsize="8305,29" path="m0,0l8305,0,8305,28,0,28,0,0xe">
          <v:path/>
          <v:fill on="t" focussize="0,0"/>
          <v:stroke on="f"/>
          <v:imagedata o:title=""/>
          <o:lock v:ext="edit"/>
          <w10:wrap type="non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5F040">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462A9AC">
    <w:pPr>
      <w:spacing w:before="14" w:line="29" w:lineRule="exact"/>
      <w:ind w:firstLine="22"/>
      <w:textAlignment w:val="center"/>
    </w:pPr>
    <w:r>
      <w:pict>
        <v:shape id="_x0000_s2056" o:spid="_x0000_s2056" style="height:1.45pt;width:415.3pt;" fillcolor="#000000" filled="t" stroked="f" coordsize="8305,29" path="m0,0l8305,0,8305,28,0,28,0,0xe">
          <v:path/>
          <v:fill on="t" focussize="0,0"/>
          <v:stroke on="f"/>
          <v:imagedata o:title=""/>
          <o:lock v:ext="edit"/>
          <w10:wrap type="none"/>
          <w10:anchorlock/>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24B76">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B68CB56">
    <w:pPr>
      <w:spacing w:before="14" w:line="29" w:lineRule="exact"/>
      <w:ind w:firstLine="22"/>
      <w:textAlignment w:val="center"/>
    </w:pPr>
    <w:r>
      <w:pict>
        <v:shape id="_x0000_s2127" o:spid="_x0000_s2127" style="height:1.45pt;width:415.3pt;" fillcolor="#000000" filled="t" stroked="f" coordsize="8305,29" path="m0,0l8305,0,8305,28,0,28,0,0xe">
          <v:path/>
          <v:fill on="t" focussize="0,0"/>
          <v:stroke on="f"/>
          <v:imagedata o:title=""/>
          <o:lock v:ext="edit"/>
          <w10:wrap type="none"/>
          <w10:anchorlock/>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C9C4D">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94FD397">
    <w:pPr>
      <w:spacing w:before="14" w:line="29" w:lineRule="exact"/>
      <w:ind w:firstLine="22"/>
      <w:textAlignment w:val="center"/>
    </w:pPr>
    <w:r>
      <w:pict>
        <v:shape id="_x0000_s2128" o:spid="_x0000_s2128" style="height:1.45pt;width:415.3pt;" fillcolor="#000000" filled="t" stroked="f" coordsize="8305,29" path="m0,0l8305,0,8305,28,0,28,0,0xe">
          <v:path/>
          <v:fill on="t" focussize="0,0"/>
          <v:stroke on="f"/>
          <v:imagedata o:title=""/>
          <o:lock v:ext="edit"/>
          <w10:wrap type="none"/>
          <w10:anchorlock/>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2C50B">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FC167D6">
    <w:pPr>
      <w:spacing w:before="14" w:line="29" w:lineRule="exact"/>
      <w:ind w:firstLine="22"/>
      <w:textAlignment w:val="center"/>
    </w:pPr>
    <w:r>
      <w:pict>
        <v:shape id="_x0000_s2129" o:spid="_x0000_s2129" style="height:1.45pt;width:415.3pt;" fillcolor="#000000" filled="t" stroked="f" coordsize="8305,29" path="m0,0l8305,0,8305,28,0,28,0,0xe">
          <v:path/>
          <v:fill on="t" focussize="0,0"/>
          <v:stroke on="f"/>
          <v:imagedata o:title=""/>
          <o:lock v:ext="edit"/>
          <w10:wrap type="none"/>
          <w10:anchorlock/>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1270B">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2D80404C">
    <w:pPr>
      <w:spacing w:before="14" w:line="29" w:lineRule="exact"/>
      <w:ind w:firstLine="108"/>
      <w:textAlignment w:val="center"/>
    </w:pPr>
    <w:r>
      <w:pict>
        <v:shape id="_x0000_s2130" o:spid="_x0000_s2130" style="height:1.45pt;width:415.3pt;" fillcolor="#000000" filled="t" stroked="f" coordsize="8305,29" path="m0,0l8305,0,8305,28,0,28,0,0xe">
          <v:path/>
          <v:fill on="t" focussize="0,0"/>
          <v:stroke on="f"/>
          <v:imagedata o:title=""/>
          <o:lock v:ext="edit"/>
          <w10:wrap type="none"/>
          <w10:anchorlock/>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513F">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612B676">
    <w:pPr>
      <w:spacing w:before="14" w:line="29" w:lineRule="exact"/>
      <w:ind w:firstLine="23"/>
      <w:textAlignment w:val="center"/>
    </w:pPr>
    <w:r>
      <w:pict>
        <v:shape id="_x0000_s2131" o:spid="_x0000_s2131" style="height:1.45pt;width:415.3pt;" fillcolor="#000000" filled="t" stroked="f" coordsize="8305,29" path="m0,0l8305,0,8305,28,0,28,0,0xe">
          <v:path/>
          <v:fill on="t" focussize="0,0"/>
          <v:stroke on="f"/>
          <v:imagedata o:title=""/>
          <o:lock v:ext="edit"/>
          <w10:wrap type="none"/>
          <w10:anchorlock/>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E8D0E">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3EC4A2F">
    <w:pPr>
      <w:spacing w:before="14" w:line="29" w:lineRule="exact"/>
      <w:ind w:firstLine="22"/>
      <w:textAlignment w:val="center"/>
    </w:pPr>
    <w:r>
      <w:pict>
        <v:shape id="_x0000_s2132" o:spid="_x0000_s2132" style="height:1.45pt;width:415.3pt;" fillcolor="#000000" filled="t" stroked="f" coordsize="8305,29" path="m0,0l8305,0,8305,28,0,28,0,0xe">
          <v:path/>
          <v:fill on="t" focussize="0,0"/>
          <v:stroke on="f"/>
          <v:imagedata o:title=""/>
          <o:lock v:ext="edit"/>
          <w10:wrap type="none"/>
          <w10:anchorlock/>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AE40">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1048BCD8">
    <w:pPr>
      <w:spacing w:before="14" w:line="29" w:lineRule="exact"/>
      <w:ind w:firstLine="108"/>
      <w:textAlignment w:val="center"/>
    </w:pPr>
    <w:r>
      <w:pict>
        <v:shape id="_x0000_s2133" o:spid="_x0000_s2133" style="height:1.45pt;width:415.3pt;" fillcolor="#000000" filled="t" stroked="f" coordsize="8305,29" path="m0,0l8305,0,8305,28,0,28,0,0xe">
          <v:path/>
          <v:fill on="t" focussize="0,0"/>
          <v:stroke on="f"/>
          <v:imagedata o:title=""/>
          <o:lock v:ext="edit"/>
          <w10:wrap type="none"/>
          <w10:anchorlock/>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44A24">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79042A3">
    <w:pPr>
      <w:spacing w:before="14" w:line="29" w:lineRule="exact"/>
      <w:ind w:firstLine="23"/>
      <w:textAlignment w:val="center"/>
    </w:pPr>
    <w:r>
      <w:pict>
        <v:shape id="_x0000_s2134" o:spid="_x0000_s2134" style="height:1.45pt;width:415.3pt;" fillcolor="#000000" filled="t" stroked="f" coordsize="8305,29" path="m0,0l8305,0,8305,28,0,28,0,0xe">
          <v:path/>
          <v:fill on="t" focussize="0,0"/>
          <v:stroke on="f"/>
          <v:imagedata o:title=""/>
          <o:lock v:ext="edit"/>
          <w10:wrap type="none"/>
          <w10:anchorlock/>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BC36B">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5AE12E51">
    <w:pPr>
      <w:spacing w:before="14" w:line="29" w:lineRule="exact"/>
      <w:ind w:firstLine="22"/>
      <w:textAlignment w:val="center"/>
    </w:pPr>
    <w:r>
      <w:pict>
        <v:shape id="_x0000_s2135" o:spid="_x0000_s2135" style="height:1.45pt;width:415.3pt;" fillcolor="#000000" filled="t" stroked="f" coordsize="8305,29" path="m0,0l8305,0,8305,28,0,28,0,0xe">
          <v:path/>
          <v:fill on="t" focussize="0,0"/>
          <v:stroke on="f"/>
          <v:imagedata o:title=""/>
          <o:lock v:ext="edit"/>
          <w10:wrap type="none"/>
          <w10:anchorlock/>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0E57">
    <w:pPr>
      <w:spacing w:line="228" w:lineRule="auto"/>
      <w:ind w:left="2293"/>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11273FF">
    <w:pPr>
      <w:spacing w:before="14" w:line="29" w:lineRule="exact"/>
      <w:ind w:firstLine="22"/>
      <w:textAlignment w:val="center"/>
    </w:pPr>
    <w:r>
      <w:pict>
        <v:shape id="_x0000_s2136" o:spid="_x0000_s2136" style="height:1.45pt;width:415.3pt;" fillcolor="#000000" filled="t" stroked="f" coordsize="8305,29" path="m0,0l8305,0,8305,28,0,28,0,0xe">
          <v:path/>
          <v:fill on="t" focussize="0,0"/>
          <v:stroke on="f"/>
          <v:imagedata o:title=""/>
          <o:lock v:ext="edit"/>
          <w10:wrap type="non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D176D">
    <w:pPr>
      <w:spacing w:line="228" w:lineRule="auto"/>
      <w:ind w:left="2321"/>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9F1823E">
    <w:pPr>
      <w:spacing w:before="14" w:line="29" w:lineRule="exact"/>
      <w:ind w:firstLine="50"/>
      <w:textAlignment w:val="center"/>
    </w:pPr>
    <w:r>
      <w:pict>
        <v:shape id="_x0000_s2057" o:spid="_x0000_s2057" style="height:1.45pt;width:415.3pt;" fillcolor="#000000" filled="t" stroked="f" coordsize="8305,29" path="m0,0l8305,0,8305,28,0,28,0,0xe">
          <v:path/>
          <v:fill on="t" focussize="0,0"/>
          <v:stroke on="f"/>
          <v:imagedata o:title=""/>
          <o:lock v:ext="edit"/>
          <w10:wrap type="none"/>
          <w10:anchorlock/>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A86BE">
    <w:pPr>
      <w:spacing w:line="228" w:lineRule="auto"/>
      <w:ind w:left="5110"/>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0678669">
    <w:pPr>
      <w:spacing w:before="14" w:line="29" w:lineRule="exact"/>
      <w:ind w:firstLine="14"/>
      <w:textAlignment w:val="center"/>
    </w:pPr>
    <w:r>
      <w:pict>
        <v:shape id="_x0000_s2137" o:spid="_x0000_s2137" style="height:1.45pt;width:697.95pt;" fillcolor="#000000" filled="t" stroked="f" coordsize="13959,29" path="m0,0l13958,0,13958,28,0,28,0,0xe">
          <v:path/>
          <v:fill on="t" focussize="0,0"/>
          <v:stroke on="f"/>
          <v:imagedata o:title=""/>
          <o:lock v:ext="edit"/>
          <w10:wrap type="none"/>
          <w10:anchorlock/>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D770">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5ABB431">
    <w:pPr>
      <w:spacing w:before="14" w:line="29" w:lineRule="exact"/>
      <w:ind w:firstLine="14"/>
      <w:textAlignment w:val="center"/>
    </w:pPr>
    <w:r>
      <w:pict>
        <v:shape id="_x0000_s2138" o:spid="_x0000_s2138" style="height:1.45pt;width:415.3pt;" fillcolor="#000000" filled="t" stroked="f" coordsize="8305,29" path="m0,0l8305,0,8305,28,0,28,0,0xe">
          <v:path/>
          <v:fill on="t" focussize="0,0"/>
          <v:stroke on="f"/>
          <v:imagedata o:title=""/>
          <o:lock v:ext="edit"/>
          <w10:wrap type="none"/>
          <w10:anchorlock/>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1C963">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0BEC4F63">
    <w:pPr>
      <w:spacing w:before="14" w:line="29" w:lineRule="exact"/>
      <w:ind w:firstLine="108"/>
      <w:textAlignment w:val="center"/>
    </w:pPr>
    <w:r>
      <w:pict>
        <v:shape id="_x0000_s2139" o:spid="_x0000_s2139" style="height:1.45pt;width:415.3pt;" fillcolor="#000000" filled="t" stroked="f" coordsize="8305,29" path="m0,0l8305,0,8305,28,0,28,0,0xe">
          <v:path/>
          <v:fill on="t" focussize="0,0"/>
          <v:stroke on="f"/>
          <v:imagedata o:title=""/>
          <o:lock v:ext="edit"/>
          <w10:wrap type="none"/>
          <w10:anchorlock/>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4731D">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474D160">
    <w:pPr>
      <w:spacing w:before="14" w:line="29" w:lineRule="exact"/>
      <w:ind w:firstLine="108"/>
      <w:textAlignment w:val="center"/>
    </w:pPr>
    <w:r>
      <w:pict>
        <v:shape id="_x0000_s2140" o:spid="_x0000_s2140" style="height:1.45pt;width:415.3pt;" fillcolor="#000000" filled="t" stroked="f" coordsize="8305,29" path="m0,0l8305,0,8305,28,0,28,0,0xe">
          <v:path/>
          <v:fill on="t" focussize="0,0"/>
          <v:stroke on="f"/>
          <v:imagedata o:title=""/>
          <o:lock v:ext="edit"/>
          <w10:wrap type="none"/>
          <w10:anchorlock/>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73B87">
    <w:pPr>
      <w:spacing w:line="228" w:lineRule="auto"/>
      <w:ind w:left="228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81C217D">
    <w:pPr>
      <w:spacing w:before="14" w:line="29" w:lineRule="exact"/>
      <w:ind w:firstLine="14"/>
      <w:textAlignment w:val="center"/>
    </w:pPr>
    <w:r>
      <w:pict>
        <v:shape id="_x0000_s2141" o:spid="_x0000_s2141" style="height:1.45pt;width:415.3pt;" fillcolor="#000000" filled="t" stroked="f" coordsize="8305,29" path="m0,0l8305,0,8305,28,0,28,0,0xe">
          <v:path/>
          <v:fill on="t" focussize="0,0"/>
          <v:stroke on="f"/>
          <v:imagedata o:title=""/>
          <o:lock v:ext="edit"/>
          <w10:wrap type="none"/>
          <w10:anchorlock/>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B73F8">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EE60EA8">
    <w:pPr>
      <w:spacing w:before="14" w:line="29" w:lineRule="exact"/>
      <w:ind w:firstLine="108"/>
      <w:textAlignment w:val="center"/>
    </w:pPr>
    <w:r>
      <w:pict>
        <v:shape id="_x0000_s2142" o:spid="_x0000_s2142" style="height:1.45pt;width:415.3pt;" fillcolor="#000000" filled="t" stroked="f" coordsize="8305,29" path="m0,0l8305,0,8305,28,0,28,0,0xe">
          <v:path/>
          <v:fill on="t" focussize="0,0"/>
          <v:stroke on="f"/>
          <v:imagedata o:title=""/>
          <o:lock v:ext="edit"/>
          <w10:wrap type="none"/>
          <w10:anchorlock/>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FA8E9">
    <w:pPr>
      <w:spacing w:line="228" w:lineRule="auto"/>
      <w:ind w:left="229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0D3BBC0">
    <w:pPr>
      <w:spacing w:before="14" w:line="29" w:lineRule="exact"/>
      <w:ind w:firstLine="28"/>
      <w:textAlignment w:val="center"/>
    </w:pPr>
    <w:r>
      <w:pict>
        <v:shape id="_x0000_s2143" o:spid="_x0000_s2143" style="height:1.45pt;width:415.3pt;" fillcolor="#000000" filled="t" stroked="f" coordsize="8305,29" path="m0,0l8305,0,8305,28,0,28,0,0xe">
          <v:path/>
          <v:fill on="t" focussize="0,0"/>
          <v:stroke on="f"/>
          <v:imagedata o:title=""/>
          <o:lock v:ext="edit"/>
          <w10:wrap type="none"/>
          <w10:anchorlock/>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0C4C1">
    <w:pPr>
      <w:spacing w:line="228" w:lineRule="auto"/>
      <w:ind w:left="233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45FCC78D">
    <w:pPr>
      <w:spacing w:before="14" w:line="29" w:lineRule="exact"/>
      <w:ind w:firstLine="68"/>
      <w:textAlignment w:val="center"/>
    </w:pPr>
    <w:r>
      <w:pict>
        <v:shape id="_x0000_s2144" o:spid="_x0000_s2144" style="height:1.45pt;width:415.3pt;" fillcolor="#000000" filled="t" stroked="f" coordsize="8305,29" path="m0,0l8305,0,8305,28,0,28,0,0xe">
          <v:path/>
          <v:fill on="t" focussize="0,0"/>
          <v:stroke on="f"/>
          <v:imagedata o:title=""/>
          <o:lock v:ext="edit"/>
          <w10:wrap type="none"/>
          <w10:anchorlock/>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DCD42">
    <w:pPr>
      <w:spacing w:line="228" w:lineRule="auto"/>
      <w:ind w:left="2377"/>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374C916F">
    <w:pPr>
      <w:spacing w:before="14" w:line="29" w:lineRule="exact"/>
      <w:ind w:firstLine="106"/>
      <w:textAlignment w:val="center"/>
    </w:pPr>
    <w:r>
      <w:pict>
        <v:shape id="_x0000_s2145" o:spid="_x0000_s2145" style="height:1.45pt;width:415.3pt;" fillcolor="#000000" filled="t" stroked="f" coordsize="8305,29" path="m0,0l8305,0,8305,28,0,28,0,0xe">
          <v:path/>
          <v:fill on="t" focussize="0,0"/>
          <v:stroke on="f"/>
          <v:imagedata o:title=""/>
          <o:lock v:ext="edit"/>
          <w10:wrap type="none"/>
          <w10:anchorlock/>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41E67">
    <w:pPr>
      <w:spacing w:line="228" w:lineRule="auto"/>
      <w:ind w:left="237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3"/>
        <w:sz w:val="17"/>
        <w:szCs w:val="17"/>
      </w:rPr>
      <w:t>溪</w:t>
    </w:r>
    <w:r>
      <w:rPr>
        <w:rFonts w:ascii="宋体" w:hAnsi="宋体" w:eastAsia="宋体" w:cs="宋体"/>
        <w:spacing w:val="9"/>
        <w:sz w:val="17"/>
        <w:szCs w:val="17"/>
      </w:rPr>
      <w:t>弘福塑业有限公司新建项目环境影响报告书</w:t>
    </w:r>
  </w:p>
  <w:p w14:paraId="79B793DA">
    <w:pPr>
      <w:spacing w:before="14" w:line="29" w:lineRule="exact"/>
      <w:ind w:firstLine="108"/>
      <w:textAlignment w:val="center"/>
    </w:pPr>
    <w:r>
      <w:pict>
        <v:shape id="_x0000_s2146" o:spid="_x0000_s2146" style="height:1.45pt;width:415.3pt;" fillcolor="#000000" filled="t" stroked="f" coordsize="8305,29" path="m0,0l8305,0,8305,28,0,28,0,0xe">
          <v:path/>
          <v:fill on="t" focussize="0,0"/>
          <v:stroke on="f"/>
          <v:imagedata o:title=""/>
          <o:lock v:ext="edi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c1ZGVhNGRiMzU5N2I2YjZlOTMxYWQxNDAyMTlhNGIifQ=="/>
  </w:docVars>
  <w:rsids>
    <w:rsidRoot w:val="00000000"/>
    <w:rsid w:val="21FD65FC"/>
    <w:rsid w:val="68431DEA"/>
    <w:rsid w:val="6BC40BFC"/>
    <w:rsid w:val="742D1A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50.xml"/><Relationship Id="rId98" Type="http://schemas.openxmlformats.org/officeDocument/2006/relationships/header" Target="header45.xml"/><Relationship Id="rId97" Type="http://schemas.openxmlformats.org/officeDocument/2006/relationships/footer" Target="footer49.xml"/><Relationship Id="rId96" Type="http://schemas.openxmlformats.org/officeDocument/2006/relationships/footer" Target="footer48.xml"/><Relationship Id="rId95" Type="http://schemas.openxmlformats.org/officeDocument/2006/relationships/footer" Target="footer47.xml"/><Relationship Id="rId94" Type="http://schemas.openxmlformats.org/officeDocument/2006/relationships/header" Target="header44.xml"/><Relationship Id="rId93" Type="http://schemas.openxmlformats.org/officeDocument/2006/relationships/footer" Target="footer46.xml"/><Relationship Id="rId92" Type="http://schemas.openxmlformats.org/officeDocument/2006/relationships/header" Target="header43.xml"/><Relationship Id="rId91" Type="http://schemas.openxmlformats.org/officeDocument/2006/relationships/footer" Target="footer45.xml"/><Relationship Id="rId90" Type="http://schemas.openxmlformats.org/officeDocument/2006/relationships/header" Target="header42.xml"/><Relationship Id="rId9" Type="http://schemas.openxmlformats.org/officeDocument/2006/relationships/footer" Target="footer3.xml"/><Relationship Id="rId89" Type="http://schemas.openxmlformats.org/officeDocument/2006/relationships/footer" Target="footer44.xml"/><Relationship Id="rId88" Type="http://schemas.openxmlformats.org/officeDocument/2006/relationships/header" Target="header41.xml"/><Relationship Id="rId87" Type="http://schemas.openxmlformats.org/officeDocument/2006/relationships/footer" Target="footer43.xml"/><Relationship Id="rId86" Type="http://schemas.openxmlformats.org/officeDocument/2006/relationships/header" Target="header40.xml"/><Relationship Id="rId85" Type="http://schemas.openxmlformats.org/officeDocument/2006/relationships/footer" Target="footer42.xml"/><Relationship Id="rId84" Type="http://schemas.openxmlformats.org/officeDocument/2006/relationships/header" Target="header39.xml"/><Relationship Id="rId83" Type="http://schemas.openxmlformats.org/officeDocument/2006/relationships/footer" Target="footer41.xml"/><Relationship Id="rId82" Type="http://schemas.openxmlformats.org/officeDocument/2006/relationships/header" Target="header38.xml"/><Relationship Id="rId81" Type="http://schemas.openxmlformats.org/officeDocument/2006/relationships/footer" Target="footer40.xml"/><Relationship Id="rId80" Type="http://schemas.openxmlformats.org/officeDocument/2006/relationships/header" Target="header37.xml"/><Relationship Id="rId8" Type="http://schemas.openxmlformats.org/officeDocument/2006/relationships/header" Target="header2.xml"/><Relationship Id="rId79" Type="http://schemas.openxmlformats.org/officeDocument/2006/relationships/footer" Target="footer39.xml"/><Relationship Id="rId78" Type="http://schemas.openxmlformats.org/officeDocument/2006/relationships/header" Target="header36.xml"/><Relationship Id="rId77" Type="http://schemas.openxmlformats.org/officeDocument/2006/relationships/footer" Target="footer38.xml"/><Relationship Id="rId76" Type="http://schemas.openxmlformats.org/officeDocument/2006/relationships/header" Target="header35.xml"/><Relationship Id="rId75" Type="http://schemas.openxmlformats.org/officeDocument/2006/relationships/footer" Target="footer37.xml"/><Relationship Id="rId74" Type="http://schemas.openxmlformats.org/officeDocument/2006/relationships/header" Target="header34.xml"/><Relationship Id="rId73" Type="http://schemas.openxmlformats.org/officeDocument/2006/relationships/footer" Target="footer36.xml"/><Relationship Id="rId72" Type="http://schemas.openxmlformats.org/officeDocument/2006/relationships/header" Target="header33.xml"/><Relationship Id="rId71" Type="http://schemas.openxmlformats.org/officeDocument/2006/relationships/footer" Target="footer35.xml"/><Relationship Id="rId70" Type="http://schemas.openxmlformats.org/officeDocument/2006/relationships/footer" Target="footer34.xml"/><Relationship Id="rId7" Type="http://schemas.openxmlformats.org/officeDocument/2006/relationships/footer" Target="footer2.xml"/><Relationship Id="rId69" Type="http://schemas.openxmlformats.org/officeDocument/2006/relationships/header" Target="header32.xml"/><Relationship Id="rId68" Type="http://schemas.openxmlformats.org/officeDocument/2006/relationships/footer" Target="footer33.xml"/><Relationship Id="rId67" Type="http://schemas.openxmlformats.org/officeDocument/2006/relationships/header" Target="header31.xml"/><Relationship Id="rId66" Type="http://schemas.openxmlformats.org/officeDocument/2006/relationships/footer" Target="footer32.xml"/><Relationship Id="rId65" Type="http://schemas.openxmlformats.org/officeDocument/2006/relationships/footer" Target="footer31.xml"/><Relationship Id="rId64" Type="http://schemas.openxmlformats.org/officeDocument/2006/relationships/header" Target="header30.xml"/><Relationship Id="rId635" Type="http://schemas.openxmlformats.org/officeDocument/2006/relationships/fontTable" Target="fontTable.xml"/><Relationship Id="rId634" Type="http://schemas.openxmlformats.org/officeDocument/2006/relationships/customXml" Target="../customXml/item1.xml"/><Relationship Id="rId633" Type="http://schemas.openxmlformats.org/officeDocument/2006/relationships/image" Target="media/image253.png"/><Relationship Id="rId632" Type="http://schemas.openxmlformats.org/officeDocument/2006/relationships/image" Target="media/image252.jpeg"/><Relationship Id="rId631" Type="http://schemas.openxmlformats.org/officeDocument/2006/relationships/image" Target="media/image251.jpeg"/><Relationship Id="rId630" Type="http://schemas.openxmlformats.org/officeDocument/2006/relationships/image" Target="media/image250.jpeg"/><Relationship Id="rId63" Type="http://schemas.openxmlformats.org/officeDocument/2006/relationships/footer" Target="footer30.xml"/><Relationship Id="rId629" Type="http://schemas.openxmlformats.org/officeDocument/2006/relationships/image" Target="media/image249.jpeg"/><Relationship Id="rId628" Type="http://schemas.openxmlformats.org/officeDocument/2006/relationships/image" Target="media/image248.jpeg"/><Relationship Id="rId627" Type="http://schemas.openxmlformats.org/officeDocument/2006/relationships/image" Target="media/image247.jpeg"/><Relationship Id="rId626" Type="http://schemas.openxmlformats.org/officeDocument/2006/relationships/image" Target="media/image246.jpeg"/><Relationship Id="rId625" Type="http://schemas.openxmlformats.org/officeDocument/2006/relationships/image" Target="media/image245.jpeg"/><Relationship Id="rId624" Type="http://schemas.openxmlformats.org/officeDocument/2006/relationships/image" Target="media/image244.jpeg"/><Relationship Id="rId623" Type="http://schemas.openxmlformats.org/officeDocument/2006/relationships/image" Target="media/image243.jpeg"/><Relationship Id="rId622" Type="http://schemas.openxmlformats.org/officeDocument/2006/relationships/image" Target="media/image242.jpeg"/><Relationship Id="rId621" Type="http://schemas.openxmlformats.org/officeDocument/2006/relationships/image" Target="media/image241.jpeg"/><Relationship Id="rId620" Type="http://schemas.openxmlformats.org/officeDocument/2006/relationships/image" Target="media/image240.jpeg"/><Relationship Id="rId62" Type="http://schemas.openxmlformats.org/officeDocument/2006/relationships/header" Target="header29.xml"/><Relationship Id="rId619" Type="http://schemas.openxmlformats.org/officeDocument/2006/relationships/image" Target="media/image239.jpeg"/><Relationship Id="rId618" Type="http://schemas.openxmlformats.org/officeDocument/2006/relationships/image" Target="media/image238.jpeg"/><Relationship Id="rId617" Type="http://schemas.openxmlformats.org/officeDocument/2006/relationships/image" Target="media/image237.jpeg"/><Relationship Id="rId616" Type="http://schemas.openxmlformats.org/officeDocument/2006/relationships/image" Target="media/image236.jpeg"/><Relationship Id="rId615" Type="http://schemas.openxmlformats.org/officeDocument/2006/relationships/image" Target="media/image235.jpeg"/><Relationship Id="rId614" Type="http://schemas.openxmlformats.org/officeDocument/2006/relationships/image" Target="media/image234.jpeg"/><Relationship Id="rId613" Type="http://schemas.openxmlformats.org/officeDocument/2006/relationships/image" Target="media/image233.jpeg"/><Relationship Id="rId612" Type="http://schemas.openxmlformats.org/officeDocument/2006/relationships/image" Target="media/image232.jpeg"/><Relationship Id="rId611" Type="http://schemas.openxmlformats.org/officeDocument/2006/relationships/image" Target="media/image231.jpeg"/><Relationship Id="rId610" Type="http://schemas.openxmlformats.org/officeDocument/2006/relationships/image" Target="media/image230.jpeg"/><Relationship Id="rId61" Type="http://schemas.openxmlformats.org/officeDocument/2006/relationships/footer" Target="footer29.xml"/><Relationship Id="rId609" Type="http://schemas.openxmlformats.org/officeDocument/2006/relationships/image" Target="media/image229.jpeg"/><Relationship Id="rId608" Type="http://schemas.openxmlformats.org/officeDocument/2006/relationships/image" Target="media/image228.jpeg"/><Relationship Id="rId607" Type="http://schemas.openxmlformats.org/officeDocument/2006/relationships/image" Target="media/image227.jpeg"/><Relationship Id="rId606" Type="http://schemas.openxmlformats.org/officeDocument/2006/relationships/image" Target="media/image226.jpeg"/><Relationship Id="rId605" Type="http://schemas.openxmlformats.org/officeDocument/2006/relationships/image" Target="media/image225.jpeg"/><Relationship Id="rId604" Type="http://schemas.openxmlformats.org/officeDocument/2006/relationships/image" Target="media/image224.png"/><Relationship Id="rId603" Type="http://schemas.openxmlformats.org/officeDocument/2006/relationships/image" Target="media/image223.png"/><Relationship Id="rId602" Type="http://schemas.openxmlformats.org/officeDocument/2006/relationships/image" Target="media/image222.jpeg"/><Relationship Id="rId601" Type="http://schemas.openxmlformats.org/officeDocument/2006/relationships/image" Target="media/image221.png"/><Relationship Id="rId600" Type="http://schemas.openxmlformats.org/officeDocument/2006/relationships/image" Target="media/image220.jpeg"/><Relationship Id="rId60" Type="http://schemas.openxmlformats.org/officeDocument/2006/relationships/header" Target="header28.xml"/><Relationship Id="rId6" Type="http://schemas.openxmlformats.org/officeDocument/2006/relationships/footer" Target="footer1.xml"/><Relationship Id="rId599" Type="http://schemas.openxmlformats.org/officeDocument/2006/relationships/image" Target="media/image219.png"/><Relationship Id="rId598" Type="http://schemas.openxmlformats.org/officeDocument/2006/relationships/image" Target="media/image218.jpeg"/><Relationship Id="rId597" Type="http://schemas.openxmlformats.org/officeDocument/2006/relationships/image" Target="media/image217.png"/><Relationship Id="rId596" Type="http://schemas.openxmlformats.org/officeDocument/2006/relationships/image" Target="media/image216.png"/><Relationship Id="rId595" Type="http://schemas.openxmlformats.org/officeDocument/2006/relationships/image" Target="media/image215.png"/><Relationship Id="rId594" Type="http://schemas.openxmlformats.org/officeDocument/2006/relationships/image" Target="media/image214.png"/><Relationship Id="rId593" Type="http://schemas.openxmlformats.org/officeDocument/2006/relationships/image" Target="media/image213.png"/><Relationship Id="rId592" Type="http://schemas.openxmlformats.org/officeDocument/2006/relationships/image" Target="media/image212.jpeg"/><Relationship Id="rId591" Type="http://schemas.openxmlformats.org/officeDocument/2006/relationships/image" Target="media/image211.jpeg"/><Relationship Id="rId590" Type="http://schemas.openxmlformats.org/officeDocument/2006/relationships/image" Target="media/image210.png"/><Relationship Id="rId59" Type="http://schemas.openxmlformats.org/officeDocument/2006/relationships/footer" Target="footer28.xml"/><Relationship Id="rId589" Type="http://schemas.openxmlformats.org/officeDocument/2006/relationships/image" Target="media/image209.png"/><Relationship Id="rId588" Type="http://schemas.openxmlformats.org/officeDocument/2006/relationships/image" Target="media/image208.png"/><Relationship Id="rId587" Type="http://schemas.openxmlformats.org/officeDocument/2006/relationships/image" Target="media/image207.png"/><Relationship Id="rId586" Type="http://schemas.openxmlformats.org/officeDocument/2006/relationships/image" Target="media/image206.png"/><Relationship Id="rId585" Type="http://schemas.openxmlformats.org/officeDocument/2006/relationships/image" Target="media/image205.png"/><Relationship Id="rId584" Type="http://schemas.openxmlformats.org/officeDocument/2006/relationships/image" Target="media/image204.png"/><Relationship Id="rId583" Type="http://schemas.openxmlformats.org/officeDocument/2006/relationships/image" Target="media/image203.png"/><Relationship Id="rId582" Type="http://schemas.openxmlformats.org/officeDocument/2006/relationships/image" Target="media/image202.png"/><Relationship Id="rId581" Type="http://schemas.openxmlformats.org/officeDocument/2006/relationships/image" Target="media/image201.png"/><Relationship Id="rId580" Type="http://schemas.openxmlformats.org/officeDocument/2006/relationships/image" Target="media/image200.png"/><Relationship Id="rId58" Type="http://schemas.openxmlformats.org/officeDocument/2006/relationships/header" Target="header27.xml"/><Relationship Id="rId579" Type="http://schemas.openxmlformats.org/officeDocument/2006/relationships/image" Target="media/image199.png"/><Relationship Id="rId578" Type="http://schemas.openxmlformats.org/officeDocument/2006/relationships/image" Target="media/image198.png"/><Relationship Id="rId577" Type="http://schemas.openxmlformats.org/officeDocument/2006/relationships/image" Target="media/image197.png"/><Relationship Id="rId576" Type="http://schemas.openxmlformats.org/officeDocument/2006/relationships/image" Target="media/image196.png"/><Relationship Id="rId575" Type="http://schemas.openxmlformats.org/officeDocument/2006/relationships/image" Target="media/image195.png"/><Relationship Id="rId574" Type="http://schemas.openxmlformats.org/officeDocument/2006/relationships/image" Target="media/image194.png"/><Relationship Id="rId573" Type="http://schemas.openxmlformats.org/officeDocument/2006/relationships/image" Target="media/image193.png"/><Relationship Id="rId572" Type="http://schemas.openxmlformats.org/officeDocument/2006/relationships/image" Target="media/image192.png"/><Relationship Id="rId571" Type="http://schemas.openxmlformats.org/officeDocument/2006/relationships/image" Target="media/image191.png"/><Relationship Id="rId570" Type="http://schemas.openxmlformats.org/officeDocument/2006/relationships/image" Target="media/image190.png"/><Relationship Id="rId57" Type="http://schemas.openxmlformats.org/officeDocument/2006/relationships/footer" Target="footer27.xml"/><Relationship Id="rId569" Type="http://schemas.openxmlformats.org/officeDocument/2006/relationships/image" Target="media/image189.png"/><Relationship Id="rId568" Type="http://schemas.openxmlformats.org/officeDocument/2006/relationships/image" Target="media/image188.png"/><Relationship Id="rId567" Type="http://schemas.openxmlformats.org/officeDocument/2006/relationships/image" Target="media/image187.png"/><Relationship Id="rId566" Type="http://schemas.openxmlformats.org/officeDocument/2006/relationships/image" Target="media/image186.png"/><Relationship Id="rId565" Type="http://schemas.openxmlformats.org/officeDocument/2006/relationships/image" Target="media/image185.png"/><Relationship Id="rId564" Type="http://schemas.openxmlformats.org/officeDocument/2006/relationships/image" Target="media/image184.png"/><Relationship Id="rId563" Type="http://schemas.openxmlformats.org/officeDocument/2006/relationships/image" Target="media/image183.png"/><Relationship Id="rId562" Type="http://schemas.openxmlformats.org/officeDocument/2006/relationships/image" Target="media/image182.png"/><Relationship Id="rId561" Type="http://schemas.openxmlformats.org/officeDocument/2006/relationships/image" Target="media/image181.png"/><Relationship Id="rId560" Type="http://schemas.openxmlformats.org/officeDocument/2006/relationships/image" Target="media/image180.png"/><Relationship Id="rId56" Type="http://schemas.openxmlformats.org/officeDocument/2006/relationships/header" Target="header26.xml"/><Relationship Id="rId559" Type="http://schemas.openxmlformats.org/officeDocument/2006/relationships/image" Target="media/image179.png"/><Relationship Id="rId558" Type="http://schemas.openxmlformats.org/officeDocument/2006/relationships/image" Target="media/image178.png"/><Relationship Id="rId557" Type="http://schemas.openxmlformats.org/officeDocument/2006/relationships/image" Target="media/image177.png"/><Relationship Id="rId556" Type="http://schemas.openxmlformats.org/officeDocument/2006/relationships/image" Target="media/image176.png"/><Relationship Id="rId555" Type="http://schemas.openxmlformats.org/officeDocument/2006/relationships/image" Target="media/image175.png"/><Relationship Id="rId554" Type="http://schemas.openxmlformats.org/officeDocument/2006/relationships/image" Target="media/image174.png"/><Relationship Id="rId553" Type="http://schemas.openxmlformats.org/officeDocument/2006/relationships/image" Target="media/image173.png"/><Relationship Id="rId552" Type="http://schemas.openxmlformats.org/officeDocument/2006/relationships/image" Target="media/image172.png"/><Relationship Id="rId551" Type="http://schemas.openxmlformats.org/officeDocument/2006/relationships/image" Target="media/image171.png"/><Relationship Id="rId550" Type="http://schemas.openxmlformats.org/officeDocument/2006/relationships/image" Target="media/image170.png"/><Relationship Id="rId55" Type="http://schemas.openxmlformats.org/officeDocument/2006/relationships/footer" Target="footer26.xml"/><Relationship Id="rId549" Type="http://schemas.openxmlformats.org/officeDocument/2006/relationships/image" Target="media/image169.png"/><Relationship Id="rId548" Type="http://schemas.openxmlformats.org/officeDocument/2006/relationships/image" Target="media/image168.png"/><Relationship Id="rId547" Type="http://schemas.openxmlformats.org/officeDocument/2006/relationships/image" Target="media/image167.png"/><Relationship Id="rId546" Type="http://schemas.openxmlformats.org/officeDocument/2006/relationships/image" Target="media/image166.png"/><Relationship Id="rId545" Type="http://schemas.openxmlformats.org/officeDocument/2006/relationships/image" Target="media/image165.png"/><Relationship Id="rId544" Type="http://schemas.openxmlformats.org/officeDocument/2006/relationships/image" Target="media/image164.png"/><Relationship Id="rId543" Type="http://schemas.openxmlformats.org/officeDocument/2006/relationships/image" Target="media/image163.png"/><Relationship Id="rId542" Type="http://schemas.openxmlformats.org/officeDocument/2006/relationships/image" Target="media/image162.png"/><Relationship Id="rId541" Type="http://schemas.openxmlformats.org/officeDocument/2006/relationships/image" Target="media/image161.png"/><Relationship Id="rId540" Type="http://schemas.openxmlformats.org/officeDocument/2006/relationships/image" Target="media/image160.png"/><Relationship Id="rId54" Type="http://schemas.openxmlformats.org/officeDocument/2006/relationships/header" Target="header25.xml"/><Relationship Id="rId539" Type="http://schemas.openxmlformats.org/officeDocument/2006/relationships/image" Target="media/image159.png"/><Relationship Id="rId538" Type="http://schemas.openxmlformats.org/officeDocument/2006/relationships/image" Target="media/image158.png"/><Relationship Id="rId537" Type="http://schemas.openxmlformats.org/officeDocument/2006/relationships/image" Target="media/image157.png"/><Relationship Id="rId536" Type="http://schemas.openxmlformats.org/officeDocument/2006/relationships/image" Target="media/image156.png"/><Relationship Id="rId535" Type="http://schemas.openxmlformats.org/officeDocument/2006/relationships/image" Target="media/image155.png"/><Relationship Id="rId534" Type="http://schemas.openxmlformats.org/officeDocument/2006/relationships/image" Target="media/image154.png"/><Relationship Id="rId533" Type="http://schemas.openxmlformats.org/officeDocument/2006/relationships/image" Target="media/image153.png"/><Relationship Id="rId532" Type="http://schemas.openxmlformats.org/officeDocument/2006/relationships/image" Target="media/image152.png"/><Relationship Id="rId531" Type="http://schemas.openxmlformats.org/officeDocument/2006/relationships/image" Target="media/image151.png"/><Relationship Id="rId530" Type="http://schemas.openxmlformats.org/officeDocument/2006/relationships/image" Target="media/image150.png"/><Relationship Id="rId53" Type="http://schemas.openxmlformats.org/officeDocument/2006/relationships/footer" Target="footer25.xml"/><Relationship Id="rId529" Type="http://schemas.openxmlformats.org/officeDocument/2006/relationships/image" Target="media/image149.png"/><Relationship Id="rId528" Type="http://schemas.openxmlformats.org/officeDocument/2006/relationships/image" Target="media/image148.png"/><Relationship Id="rId527" Type="http://schemas.openxmlformats.org/officeDocument/2006/relationships/image" Target="media/image147.png"/><Relationship Id="rId526" Type="http://schemas.openxmlformats.org/officeDocument/2006/relationships/image" Target="media/image146.png"/><Relationship Id="rId525" Type="http://schemas.openxmlformats.org/officeDocument/2006/relationships/image" Target="media/image145.png"/><Relationship Id="rId524" Type="http://schemas.openxmlformats.org/officeDocument/2006/relationships/image" Target="media/image144.png"/><Relationship Id="rId523" Type="http://schemas.openxmlformats.org/officeDocument/2006/relationships/image" Target="media/image143.jpeg"/><Relationship Id="rId522" Type="http://schemas.openxmlformats.org/officeDocument/2006/relationships/image" Target="media/image142.jpeg"/><Relationship Id="rId521" Type="http://schemas.openxmlformats.org/officeDocument/2006/relationships/image" Target="media/image141.jpeg"/><Relationship Id="rId520" Type="http://schemas.openxmlformats.org/officeDocument/2006/relationships/image" Target="media/image140.png"/><Relationship Id="rId52" Type="http://schemas.openxmlformats.org/officeDocument/2006/relationships/header" Target="header24.xml"/><Relationship Id="rId519" Type="http://schemas.openxmlformats.org/officeDocument/2006/relationships/image" Target="media/image139.jpeg"/><Relationship Id="rId518" Type="http://schemas.openxmlformats.org/officeDocument/2006/relationships/image" Target="media/image138.jpeg"/><Relationship Id="rId517" Type="http://schemas.openxmlformats.org/officeDocument/2006/relationships/image" Target="media/image137.png"/><Relationship Id="rId516" Type="http://schemas.openxmlformats.org/officeDocument/2006/relationships/image" Target="media/image136.png"/><Relationship Id="rId515" Type="http://schemas.openxmlformats.org/officeDocument/2006/relationships/image" Target="media/image135.png"/><Relationship Id="rId514" Type="http://schemas.openxmlformats.org/officeDocument/2006/relationships/image" Target="media/image134.png"/><Relationship Id="rId513" Type="http://schemas.openxmlformats.org/officeDocument/2006/relationships/image" Target="media/image133.jpeg"/><Relationship Id="rId512" Type="http://schemas.openxmlformats.org/officeDocument/2006/relationships/image" Target="media/image132.jpeg"/><Relationship Id="rId511" Type="http://schemas.openxmlformats.org/officeDocument/2006/relationships/image" Target="media/image131.jpeg"/><Relationship Id="rId510" Type="http://schemas.openxmlformats.org/officeDocument/2006/relationships/image" Target="media/image130.png"/><Relationship Id="rId51" Type="http://schemas.openxmlformats.org/officeDocument/2006/relationships/footer" Target="footer24.xml"/><Relationship Id="rId509" Type="http://schemas.openxmlformats.org/officeDocument/2006/relationships/image" Target="media/image129.png"/><Relationship Id="rId508" Type="http://schemas.openxmlformats.org/officeDocument/2006/relationships/image" Target="media/image128.jpeg"/><Relationship Id="rId507" Type="http://schemas.openxmlformats.org/officeDocument/2006/relationships/image" Target="media/image127.png"/><Relationship Id="rId506" Type="http://schemas.openxmlformats.org/officeDocument/2006/relationships/image" Target="media/image126.png"/><Relationship Id="rId505" Type="http://schemas.openxmlformats.org/officeDocument/2006/relationships/image" Target="media/image125.png"/><Relationship Id="rId504" Type="http://schemas.openxmlformats.org/officeDocument/2006/relationships/image" Target="media/image124.png"/><Relationship Id="rId503" Type="http://schemas.openxmlformats.org/officeDocument/2006/relationships/image" Target="media/image123.png"/><Relationship Id="rId502" Type="http://schemas.openxmlformats.org/officeDocument/2006/relationships/image" Target="media/image122.jpeg"/><Relationship Id="rId501" Type="http://schemas.openxmlformats.org/officeDocument/2006/relationships/image" Target="media/image121.png"/><Relationship Id="rId500" Type="http://schemas.openxmlformats.org/officeDocument/2006/relationships/image" Target="media/image120.png"/><Relationship Id="rId50" Type="http://schemas.openxmlformats.org/officeDocument/2006/relationships/header" Target="header23.xml"/><Relationship Id="rId5" Type="http://schemas.openxmlformats.org/officeDocument/2006/relationships/header" Target="header1.xml"/><Relationship Id="rId499" Type="http://schemas.openxmlformats.org/officeDocument/2006/relationships/image" Target="media/image119.png"/><Relationship Id="rId498" Type="http://schemas.openxmlformats.org/officeDocument/2006/relationships/image" Target="media/image118.jpeg"/><Relationship Id="rId497" Type="http://schemas.openxmlformats.org/officeDocument/2006/relationships/image" Target="media/image117.png"/><Relationship Id="rId496" Type="http://schemas.openxmlformats.org/officeDocument/2006/relationships/image" Target="media/image116.png"/><Relationship Id="rId495" Type="http://schemas.openxmlformats.org/officeDocument/2006/relationships/image" Target="media/image115.png"/><Relationship Id="rId494" Type="http://schemas.openxmlformats.org/officeDocument/2006/relationships/image" Target="media/image114.jpeg"/><Relationship Id="rId493" Type="http://schemas.openxmlformats.org/officeDocument/2006/relationships/image" Target="media/image113.png"/><Relationship Id="rId492" Type="http://schemas.openxmlformats.org/officeDocument/2006/relationships/image" Target="media/image112.png"/><Relationship Id="rId491" Type="http://schemas.openxmlformats.org/officeDocument/2006/relationships/image" Target="media/image111.png"/><Relationship Id="rId490" Type="http://schemas.openxmlformats.org/officeDocument/2006/relationships/image" Target="media/image110.png"/><Relationship Id="rId49" Type="http://schemas.openxmlformats.org/officeDocument/2006/relationships/footer" Target="footer23.xml"/><Relationship Id="rId489" Type="http://schemas.openxmlformats.org/officeDocument/2006/relationships/image" Target="media/image109.png"/><Relationship Id="rId488" Type="http://schemas.openxmlformats.org/officeDocument/2006/relationships/image" Target="media/image108.png"/><Relationship Id="rId487" Type="http://schemas.openxmlformats.org/officeDocument/2006/relationships/image" Target="media/image107.png"/><Relationship Id="rId486" Type="http://schemas.openxmlformats.org/officeDocument/2006/relationships/image" Target="media/image106.png"/><Relationship Id="rId485" Type="http://schemas.openxmlformats.org/officeDocument/2006/relationships/image" Target="media/image105.png"/><Relationship Id="rId484" Type="http://schemas.openxmlformats.org/officeDocument/2006/relationships/image" Target="media/image104.png"/><Relationship Id="rId483" Type="http://schemas.openxmlformats.org/officeDocument/2006/relationships/image" Target="media/image103.png"/><Relationship Id="rId482" Type="http://schemas.openxmlformats.org/officeDocument/2006/relationships/image" Target="media/image102.png"/><Relationship Id="rId481" Type="http://schemas.openxmlformats.org/officeDocument/2006/relationships/image" Target="media/image101.png"/><Relationship Id="rId480" Type="http://schemas.openxmlformats.org/officeDocument/2006/relationships/image" Target="media/image100.png"/><Relationship Id="rId48" Type="http://schemas.openxmlformats.org/officeDocument/2006/relationships/header" Target="header22.xml"/><Relationship Id="rId479" Type="http://schemas.openxmlformats.org/officeDocument/2006/relationships/image" Target="media/image99.png"/><Relationship Id="rId478" Type="http://schemas.openxmlformats.org/officeDocument/2006/relationships/image" Target="media/image98.png"/><Relationship Id="rId477" Type="http://schemas.openxmlformats.org/officeDocument/2006/relationships/image" Target="media/image97.png"/><Relationship Id="rId476" Type="http://schemas.openxmlformats.org/officeDocument/2006/relationships/image" Target="media/image96.png"/><Relationship Id="rId475" Type="http://schemas.openxmlformats.org/officeDocument/2006/relationships/image" Target="media/image95.png"/><Relationship Id="rId474" Type="http://schemas.openxmlformats.org/officeDocument/2006/relationships/image" Target="media/image94.png"/><Relationship Id="rId473" Type="http://schemas.openxmlformats.org/officeDocument/2006/relationships/image" Target="media/image93.png"/><Relationship Id="rId472" Type="http://schemas.openxmlformats.org/officeDocument/2006/relationships/image" Target="media/image92.png"/><Relationship Id="rId471" Type="http://schemas.openxmlformats.org/officeDocument/2006/relationships/image" Target="media/image91.png"/><Relationship Id="rId470" Type="http://schemas.openxmlformats.org/officeDocument/2006/relationships/image" Target="media/image90.png"/><Relationship Id="rId47" Type="http://schemas.openxmlformats.org/officeDocument/2006/relationships/footer" Target="footer22.xml"/><Relationship Id="rId469" Type="http://schemas.openxmlformats.org/officeDocument/2006/relationships/image" Target="media/image89.png"/><Relationship Id="rId468" Type="http://schemas.openxmlformats.org/officeDocument/2006/relationships/image" Target="media/image88.png"/><Relationship Id="rId467" Type="http://schemas.openxmlformats.org/officeDocument/2006/relationships/image" Target="media/image87.png"/><Relationship Id="rId466" Type="http://schemas.openxmlformats.org/officeDocument/2006/relationships/image" Target="media/image86.png"/><Relationship Id="rId465" Type="http://schemas.openxmlformats.org/officeDocument/2006/relationships/image" Target="media/image85.png"/><Relationship Id="rId464" Type="http://schemas.openxmlformats.org/officeDocument/2006/relationships/image" Target="media/image84.png"/><Relationship Id="rId463" Type="http://schemas.openxmlformats.org/officeDocument/2006/relationships/image" Target="media/image83.png"/><Relationship Id="rId462" Type="http://schemas.openxmlformats.org/officeDocument/2006/relationships/image" Target="media/image82.png"/><Relationship Id="rId461" Type="http://schemas.openxmlformats.org/officeDocument/2006/relationships/image" Target="media/image81.png"/><Relationship Id="rId460" Type="http://schemas.openxmlformats.org/officeDocument/2006/relationships/image" Target="media/image80.png"/><Relationship Id="rId46" Type="http://schemas.openxmlformats.org/officeDocument/2006/relationships/header" Target="header21.xml"/><Relationship Id="rId459" Type="http://schemas.openxmlformats.org/officeDocument/2006/relationships/image" Target="media/image79.png"/><Relationship Id="rId458" Type="http://schemas.openxmlformats.org/officeDocument/2006/relationships/image" Target="media/image78.png"/><Relationship Id="rId457" Type="http://schemas.openxmlformats.org/officeDocument/2006/relationships/image" Target="media/image77.png"/><Relationship Id="rId456" Type="http://schemas.openxmlformats.org/officeDocument/2006/relationships/image" Target="media/image76.png"/><Relationship Id="rId455" Type="http://schemas.openxmlformats.org/officeDocument/2006/relationships/image" Target="media/image75.png"/><Relationship Id="rId454" Type="http://schemas.openxmlformats.org/officeDocument/2006/relationships/image" Target="media/image74.png"/><Relationship Id="rId453" Type="http://schemas.openxmlformats.org/officeDocument/2006/relationships/image" Target="media/image73.png"/><Relationship Id="rId452" Type="http://schemas.openxmlformats.org/officeDocument/2006/relationships/image" Target="media/image72.png"/><Relationship Id="rId451" Type="http://schemas.openxmlformats.org/officeDocument/2006/relationships/image" Target="media/image71.png"/><Relationship Id="rId450" Type="http://schemas.openxmlformats.org/officeDocument/2006/relationships/image" Target="media/image70.png"/><Relationship Id="rId45" Type="http://schemas.openxmlformats.org/officeDocument/2006/relationships/footer" Target="footer21.xml"/><Relationship Id="rId449" Type="http://schemas.openxmlformats.org/officeDocument/2006/relationships/image" Target="media/image69.png"/><Relationship Id="rId448" Type="http://schemas.openxmlformats.org/officeDocument/2006/relationships/image" Target="media/image68.png"/><Relationship Id="rId447" Type="http://schemas.openxmlformats.org/officeDocument/2006/relationships/image" Target="media/image67.png"/><Relationship Id="rId446" Type="http://schemas.openxmlformats.org/officeDocument/2006/relationships/image" Target="media/image66.png"/><Relationship Id="rId445" Type="http://schemas.openxmlformats.org/officeDocument/2006/relationships/image" Target="media/image65.png"/><Relationship Id="rId444" Type="http://schemas.openxmlformats.org/officeDocument/2006/relationships/image" Target="media/image64.png"/><Relationship Id="rId443" Type="http://schemas.openxmlformats.org/officeDocument/2006/relationships/image" Target="media/image63.png"/><Relationship Id="rId442" Type="http://schemas.openxmlformats.org/officeDocument/2006/relationships/image" Target="media/image62.png"/><Relationship Id="rId441" Type="http://schemas.openxmlformats.org/officeDocument/2006/relationships/image" Target="media/image61.png"/><Relationship Id="rId440" Type="http://schemas.openxmlformats.org/officeDocument/2006/relationships/image" Target="media/image60.png"/><Relationship Id="rId44" Type="http://schemas.openxmlformats.org/officeDocument/2006/relationships/header" Target="header20.xml"/><Relationship Id="rId439" Type="http://schemas.openxmlformats.org/officeDocument/2006/relationships/image" Target="media/image59.png"/><Relationship Id="rId438" Type="http://schemas.openxmlformats.org/officeDocument/2006/relationships/image" Target="media/image58.png"/><Relationship Id="rId437" Type="http://schemas.openxmlformats.org/officeDocument/2006/relationships/image" Target="media/image57.png"/><Relationship Id="rId436" Type="http://schemas.openxmlformats.org/officeDocument/2006/relationships/image" Target="media/image56.png"/><Relationship Id="rId435" Type="http://schemas.openxmlformats.org/officeDocument/2006/relationships/image" Target="media/image55.png"/><Relationship Id="rId434" Type="http://schemas.openxmlformats.org/officeDocument/2006/relationships/image" Target="media/image54.png"/><Relationship Id="rId433" Type="http://schemas.openxmlformats.org/officeDocument/2006/relationships/image" Target="media/image53.jpeg"/><Relationship Id="rId432" Type="http://schemas.openxmlformats.org/officeDocument/2006/relationships/image" Target="media/image52.png"/><Relationship Id="rId431" Type="http://schemas.openxmlformats.org/officeDocument/2006/relationships/image" Target="media/image51.png"/><Relationship Id="rId430" Type="http://schemas.openxmlformats.org/officeDocument/2006/relationships/image" Target="media/image50.jpeg"/><Relationship Id="rId43" Type="http://schemas.openxmlformats.org/officeDocument/2006/relationships/footer" Target="footer20.xml"/><Relationship Id="rId429" Type="http://schemas.openxmlformats.org/officeDocument/2006/relationships/image" Target="media/image49.jpeg"/><Relationship Id="rId428" Type="http://schemas.openxmlformats.org/officeDocument/2006/relationships/image" Target="media/image48.png"/><Relationship Id="rId427" Type="http://schemas.openxmlformats.org/officeDocument/2006/relationships/image" Target="media/image47.png"/><Relationship Id="rId426" Type="http://schemas.openxmlformats.org/officeDocument/2006/relationships/image" Target="media/image46.png"/><Relationship Id="rId425" Type="http://schemas.openxmlformats.org/officeDocument/2006/relationships/image" Target="media/image45.png"/><Relationship Id="rId424" Type="http://schemas.openxmlformats.org/officeDocument/2006/relationships/image" Target="media/image44.png"/><Relationship Id="rId423" Type="http://schemas.openxmlformats.org/officeDocument/2006/relationships/image" Target="media/image43.png"/><Relationship Id="rId422" Type="http://schemas.openxmlformats.org/officeDocument/2006/relationships/image" Target="media/image42.png"/><Relationship Id="rId421" Type="http://schemas.openxmlformats.org/officeDocument/2006/relationships/image" Target="media/image41.png"/><Relationship Id="rId420" Type="http://schemas.openxmlformats.org/officeDocument/2006/relationships/image" Target="media/image40.png"/><Relationship Id="rId42" Type="http://schemas.openxmlformats.org/officeDocument/2006/relationships/header" Target="header19.xml"/><Relationship Id="rId419" Type="http://schemas.openxmlformats.org/officeDocument/2006/relationships/image" Target="media/image39.jpeg"/><Relationship Id="rId418" Type="http://schemas.openxmlformats.org/officeDocument/2006/relationships/image" Target="media/image38.png"/><Relationship Id="rId417" Type="http://schemas.openxmlformats.org/officeDocument/2006/relationships/image" Target="media/image37.png"/><Relationship Id="rId416" Type="http://schemas.openxmlformats.org/officeDocument/2006/relationships/image" Target="media/image36.png"/><Relationship Id="rId415" Type="http://schemas.openxmlformats.org/officeDocument/2006/relationships/image" Target="media/image35.jpeg"/><Relationship Id="rId414" Type="http://schemas.openxmlformats.org/officeDocument/2006/relationships/image" Target="media/image34.png"/><Relationship Id="rId413" Type="http://schemas.openxmlformats.org/officeDocument/2006/relationships/image" Target="media/image33.png"/><Relationship Id="rId412" Type="http://schemas.openxmlformats.org/officeDocument/2006/relationships/image" Target="media/image32.png"/><Relationship Id="rId411" Type="http://schemas.openxmlformats.org/officeDocument/2006/relationships/image" Target="media/image31.png"/><Relationship Id="rId410" Type="http://schemas.openxmlformats.org/officeDocument/2006/relationships/image" Target="media/image30.jpeg"/><Relationship Id="rId41" Type="http://schemas.openxmlformats.org/officeDocument/2006/relationships/footer" Target="footer19.xml"/><Relationship Id="rId409" Type="http://schemas.openxmlformats.org/officeDocument/2006/relationships/image" Target="media/image29.png"/><Relationship Id="rId408" Type="http://schemas.openxmlformats.org/officeDocument/2006/relationships/image" Target="media/image28.png"/><Relationship Id="rId407" Type="http://schemas.openxmlformats.org/officeDocument/2006/relationships/image" Target="media/image27.png"/><Relationship Id="rId406" Type="http://schemas.openxmlformats.org/officeDocument/2006/relationships/image" Target="media/image26.png"/><Relationship Id="rId405" Type="http://schemas.openxmlformats.org/officeDocument/2006/relationships/image" Target="media/image25.png"/><Relationship Id="rId404" Type="http://schemas.openxmlformats.org/officeDocument/2006/relationships/image" Target="media/image24.png"/><Relationship Id="rId403" Type="http://schemas.openxmlformats.org/officeDocument/2006/relationships/image" Target="media/image23.png"/><Relationship Id="rId402" Type="http://schemas.openxmlformats.org/officeDocument/2006/relationships/image" Target="media/image22.png"/><Relationship Id="rId401" Type="http://schemas.openxmlformats.org/officeDocument/2006/relationships/image" Target="media/image21.png"/><Relationship Id="rId400" Type="http://schemas.openxmlformats.org/officeDocument/2006/relationships/image" Target="media/image20.png"/><Relationship Id="rId40" Type="http://schemas.openxmlformats.org/officeDocument/2006/relationships/header" Target="header18.xml"/><Relationship Id="rId4" Type="http://schemas.openxmlformats.org/officeDocument/2006/relationships/endnotes" Target="endnotes.xml"/><Relationship Id="rId399" Type="http://schemas.openxmlformats.org/officeDocument/2006/relationships/image" Target="media/image19.png"/><Relationship Id="rId398" Type="http://schemas.openxmlformats.org/officeDocument/2006/relationships/image" Target="media/image18.png"/><Relationship Id="rId397" Type="http://schemas.openxmlformats.org/officeDocument/2006/relationships/image" Target="media/image17.png"/><Relationship Id="rId396" Type="http://schemas.openxmlformats.org/officeDocument/2006/relationships/image" Target="media/image16.png"/><Relationship Id="rId395" Type="http://schemas.openxmlformats.org/officeDocument/2006/relationships/image" Target="media/image15.png"/><Relationship Id="rId394" Type="http://schemas.openxmlformats.org/officeDocument/2006/relationships/image" Target="media/image14.png"/><Relationship Id="rId393" Type="http://schemas.openxmlformats.org/officeDocument/2006/relationships/image" Target="media/image13.png"/><Relationship Id="rId392" Type="http://schemas.openxmlformats.org/officeDocument/2006/relationships/image" Target="media/image12.png"/><Relationship Id="rId391" Type="http://schemas.openxmlformats.org/officeDocument/2006/relationships/image" Target="media/image11.png"/><Relationship Id="rId390" Type="http://schemas.openxmlformats.org/officeDocument/2006/relationships/image" Target="media/image10.png"/><Relationship Id="rId39" Type="http://schemas.openxmlformats.org/officeDocument/2006/relationships/footer" Target="footer18.xml"/><Relationship Id="rId389" Type="http://schemas.openxmlformats.org/officeDocument/2006/relationships/image" Target="media/image9.png"/><Relationship Id="rId388" Type="http://schemas.openxmlformats.org/officeDocument/2006/relationships/image" Target="media/image8.png"/><Relationship Id="rId387" Type="http://schemas.openxmlformats.org/officeDocument/2006/relationships/image" Target="media/image7.png"/><Relationship Id="rId386" Type="http://schemas.openxmlformats.org/officeDocument/2006/relationships/image" Target="media/image6.png"/><Relationship Id="rId385" Type="http://schemas.openxmlformats.org/officeDocument/2006/relationships/image" Target="media/image5.png"/><Relationship Id="rId384" Type="http://schemas.openxmlformats.org/officeDocument/2006/relationships/image" Target="media/image4.png"/><Relationship Id="rId383" Type="http://schemas.openxmlformats.org/officeDocument/2006/relationships/image" Target="media/image3.png"/><Relationship Id="rId382" Type="http://schemas.openxmlformats.org/officeDocument/2006/relationships/image" Target="media/image2.png"/><Relationship Id="rId381" Type="http://schemas.openxmlformats.org/officeDocument/2006/relationships/image" Target="media/image1.png"/><Relationship Id="rId380" Type="http://schemas.openxmlformats.org/officeDocument/2006/relationships/theme" Target="theme/theme1.xml"/><Relationship Id="rId38" Type="http://schemas.openxmlformats.org/officeDocument/2006/relationships/header" Target="header17.xml"/><Relationship Id="rId379" Type="http://schemas.openxmlformats.org/officeDocument/2006/relationships/footer" Target="footer212.xml"/><Relationship Id="rId378" Type="http://schemas.openxmlformats.org/officeDocument/2006/relationships/footer" Target="footer211.xml"/><Relationship Id="rId377" Type="http://schemas.openxmlformats.org/officeDocument/2006/relationships/footer" Target="footer210.xml"/><Relationship Id="rId376" Type="http://schemas.openxmlformats.org/officeDocument/2006/relationships/footer" Target="footer209.xml"/><Relationship Id="rId375" Type="http://schemas.openxmlformats.org/officeDocument/2006/relationships/footer" Target="footer208.xml"/><Relationship Id="rId374" Type="http://schemas.openxmlformats.org/officeDocument/2006/relationships/footer" Target="footer207.xml"/><Relationship Id="rId373" Type="http://schemas.openxmlformats.org/officeDocument/2006/relationships/footer" Target="footer206.xml"/><Relationship Id="rId372" Type="http://schemas.openxmlformats.org/officeDocument/2006/relationships/footer" Target="footer205.xml"/><Relationship Id="rId371" Type="http://schemas.openxmlformats.org/officeDocument/2006/relationships/footer" Target="footer204.xml"/><Relationship Id="rId370" Type="http://schemas.openxmlformats.org/officeDocument/2006/relationships/footer" Target="footer203.xml"/><Relationship Id="rId37" Type="http://schemas.openxmlformats.org/officeDocument/2006/relationships/footer" Target="footer17.xml"/><Relationship Id="rId369" Type="http://schemas.openxmlformats.org/officeDocument/2006/relationships/footer" Target="footer202.xml"/><Relationship Id="rId368" Type="http://schemas.openxmlformats.org/officeDocument/2006/relationships/footer" Target="footer201.xml"/><Relationship Id="rId367" Type="http://schemas.openxmlformats.org/officeDocument/2006/relationships/footer" Target="footer200.xml"/><Relationship Id="rId366" Type="http://schemas.openxmlformats.org/officeDocument/2006/relationships/footer" Target="footer199.xml"/><Relationship Id="rId365" Type="http://schemas.openxmlformats.org/officeDocument/2006/relationships/footer" Target="footer198.xml"/><Relationship Id="rId364" Type="http://schemas.openxmlformats.org/officeDocument/2006/relationships/footer" Target="footer197.xml"/><Relationship Id="rId363" Type="http://schemas.openxmlformats.org/officeDocument/2006/relationships/footer" Target="footer196.xml"/><Relationship Id="rId362" Type="http://schemas.openxmlformats.org/officeDocument/2006/relationships/footer" Target="footer195.xml"/><Relationship Id="rId361" Type="http://schemas.openxmlformats.org/officeDocument/2006/relationships/footer" Target="footer194.xml"/><Relationship Id="rId360" Type="http://schemas.openxmlformats.org/officeDocument/2006/relationships/footer" Target="footer193.xml"/><Relationship Id="rId36" Type="http://schemas.openxmlformats.org/officeDocument/2006/relationships/header" Target="header16.xml"/><Relationship Id="rId359" Type="http://schemas.openxmlformats.org/officeDocument/2006/relationships/footer" Target="footer192.xml"/><Relationship Id="rId358" Type="http://schemas.openxmlformats.org/officeDocument/2006/relationships/footer" Target="footer191.xml"/><Relationship Id="rId357" Type="http://schemas.openxmlformats.org/officeDocument/2006/relationships/footer" Target="footer190.xml"/><Relationship Id="rId356" Type="http://schemas.openxmlformats.org/officeDocument/2006/relationships/footer" Target="footer189.xml"/><Relationship Id="rId355" Type="http://schemas.openxmlformats.org/officeDocument/2006/relationships/footer" Target="footer188.xml"/><Relationship Id="rId354" Type="http://schemas.openxmlformats.org/officeDocument/2006/relationships/footer" Target="footer187.xml"/><Relationship Id="rId353" Type="http://schemas.openxmlformats.org/officeDocument/2006/relationships/footer" Target="footer186.xml"/><Relationship Id="rId352" Type="http://schemas.openxmlformats.org/officeDocument/2006/relationships/footer" Target="footer185.xml"/><Relationship Id="rId351" Type="http://schemas.openxmlformats.org/officeDocument/2006/relationships/footer" Target="footer184.xml"/><Relationship Id="rId350" Type="http://schemas.openxmlformats.org/officeDocument/2006/relationships/footer" Target="footer183.xml"/><Relationship Id="rId35" Type="http://schemas.openxmlformats.org/officeDocument/2006/relationships/footer" Target="footer16.xml"/><Relationship Id="rId349" Type="http://schemas.openxmlformats.org/officeDocument/2006/relationships/footer" Target="footer182.xml"/><Relationship Id="rId348" Type="http://schemas.openxmlformats.org/officeDocument/2006/relationships/footer" Target="footer181.xml"/><Relationship Id="rId347" Type="http://schemas.openxmlformats.org/officeDocument/2006/relationships/header" Target="header163.xml"/><Relationship Id="rId346" Type="http://schemas.openxmlformats.org/officeDocument/2006/relationships/footer" Target="footer180.xml"/><Relationship Id="rId345" Type="http://schemas.openxmlformats.org/officeDocument/2006/relationships/header" Target="header162.xml"/><Relationship Id="rId344" Type="http://schemas.openxmlformats.org/officeDocument/2006/relationships/footer" Target="footer179.xml"/><Relationship Id="rId343" Type="http://schemas.openxmlformats.org/officeDocument/2006/relationships/header" Target="header161.xml"/><Relationship Id="rId342" Type="http://schemas.openxmlformats.org/officeDocument/2006/relationships/footer" Target="footer178.xml"/><Relationship Id="rId341" Type="http://schemas.openxmlformats.org/officeDocument/2006/relationships/header" Target="header160.xml"/><Relationship Id="rId340" Type="http://schemas.openxmlformats.org/officeDocument/2006/relationships/footer" Target="footer177.xml"/><Relationship Id="rId34" Type="http://schemas.openxmlformats.org/officeDocument/2006/relationships/header" Target="header15.xml"/><Relationship Id="rId339" Type="http://schemas.openxmlformats.org/officeDocument/2006/relationships/header" Target="header159.xml"/><Relationship Id="rId338" Type="http://schemas.openxmlformats.org/officeDocument/2006/relationships/footer" Target="footer176.xml"/><Relationship Id="rId337" Type="http://schemas.openxmlformats.org/officeDocument/2006/relationships/header" Target="header158.xml"/><Relationship Id="rId336" Type="http://schemas.openxmlformats.org/officeDocument/2006/relationships/footer" Target="footer175.xml"/><Relationship Id="rId335" Type="http://schemas.openxmlformats.org/officeDocument/2006/relationships/header" Target="header157.xml"/><Relationship Id="rId334" Type="http://schemas.openxmlformats.org/officeDocument/2006/relationships/footer" Target="footer174.xml"/><Relationship Id="rId333" Type="http://schemas.openxmlformats.org/officeDocument/2006/relationships/header" Target="header156.xml"/><Relationship Id="rId332" Type="http://schemas.openxmlformats.org/officeDocument/2006/relationships/footer" Target="footer173.xml"/><Relationship Id="rId331" Type="http://schemas.openxmlformats.org/officeDocument/2006/relationships/header" Target="header155.xml"/><Relationship Id="rId330" Type="http://schemas.openxmlformats.org/officeDocument/2006/relationships/footer" Target="footer172.xml"/><Relationship Id="rId33" Type="http://schemas.openxmlformats.org/officeDocument/2006/relationships/footer" Target="footer15.xml"/><Relationship Id="rId329" Type="http://schemas.openxmlformats.org/officeDocument/2006/relationships/header" Target="header154.xml"/><Relationship Id="rId328" Type="http://schemas.openxmlformats.org/officeDocument/2006/relationships/footer" Target="footer171.xml"/><Relationship Id="rId327" Type="http://schemas.openxmlformats.org/officeDocument/2006/relationships/header" Target="header153.xml"/><Relationship Id="rId326" Type="http://schemas.openxmlformats.org/officeDocument/2006/relationships/footer" Target="footer170.xml"/><Relationship Id="rId325" Type="http://schemas.openxmlformats.org/officeDocument/2006/relationships/header" Target="header152.xml"/><Relationship Id="rId324" Type="http://schemas.openxmlformats.org/officeDocument/2006/relationships/footer" Target="footer169.xml"/><Relationship Id="rId323" Type="http://schemas.openxmlformats.org/officeDocument/2006/relationships/footer" Target="footer168.xml"/><Relationship Id="rId322" Type="http://schemas.openxmlformats.org/officeDocument/2006/relationships/header" Target="header151.xml"/><Relationship Id="rId321" Type="http://schemas.openxmlformats.org/officeDocument/2006/relationships/footer" Target="footer167.xml"/><Relationship Id="rId320" Type="http://schemas.openxmlformats.org/officeDocument/2006/relationships/header" Target="header150.xml"/><Relationship Id="rId32" Type="http://schemas.openxmlformats.org/officeDocument/2006/relationships/header" Target="header14.xml"/><Relationship Id="rId319" Type="http://schemas.openxmlformats.org/officeDocument/2006/relationships/footer" Target="footer166.xml"/><Relationship Id="rId318" Type="http://schemas.openxmlformats.org/officeDocument/2006/relationships/header" Target="header149.xml"/><Relationship Id="rId317" Type="http://schemas.openxmlformats.org/officeDocument/2006/relationships/footer" Target="footer165.xml"/><Relationship Id="rId316" Type="http://schemas.openxmlformats.org/officeDocument/2006/relationships/footer" Target="footer164.xml"/><Relationship Id="rId315" Type="http://schemas.openxmlformats.org/officeDocument/2006/relationships/header" Target="header148.xml"/><Relationship Id="rId314" Type="http://schemas.openxmlformats.org/officeDocument/2006/relationships/footer" Target="footer163.xml"/><Relationship Id="rId313" Type="http://schemas.openxmlformats.org/officeDocument/2006/relationships/header" Target="header147.xml"/><Relationship Id="rId312" Type="http://schemas.openxmlformats.org/officeDocument/2006/relationships/footer" Target="footer162.xml"/><Relationship Id="rId311" Type="http://schemas.openxmlformats.org/officeDocument/2006/relationships/header" Target="header146.xml"/><Relationship Id="rId310" Type="http://schemas.openxmlformats.org/officeDocument/2006/relationships/footer" Target="footer161.xml"/><Relationship Id="rId31" Type="http://schemas.openxmlformats.org/officeDocument/2006/relationships/footer" Target="footer14.xml"/><Relationship Id="rId309" Type="http://schemas.openxmlformats.org/officeDocument/2006/relationships/header" Target="header145.xml"/><Relationship Id="rId308" Type="http://schemas.openxmlformats.org/officeDocument/2006/relationships/footer" Target="footer160.xml"/><Relationship Id="rId307" Type="http://schemas.openxmlformats.org/officeDocument/2006/relationships/header" Target="header144.xml"/><Relationship Id="rId306" Type="http://schemas.openxmlformats.org/officeDocument/2006/relationships/footer" Target="footer159.xml"/><Relationship Id="rId305" Type="http://schemas.openxmlformats.org/officeDocument/2006/relationships/header" Target="header143.xml"/><Relationship Id="rId304" Type="http://schemas.openxmlformats.org/officeDocument/2006/relationships/footer" Target="footer158.xml"/><Relationship Id="rId303" Type="http://schemas.openxmlformats.org/officeDocument/2006/relationships/header" Target="header142.xml"/><Relationship Id="rId302" Type="http://schemas.openxmlformats.org/officeDocument/2006/relationships/footer" Target="footer157.xml"/><Relationship Id="rId301" Type="http://schemas.openxmlformats.org/officeDocument/2006/relationships/header" Target="header141.xml"/><Relationship Id="rId300" Type="http://schemas.openxmlformats.org/officeDocument/2006/relationships/footer" Target="footer156.xml"/><Relationship Id="rId30" Type="http://schemas.openxmlformats.org/officeDocument/2006/relationships/header" Target="header13.xml"/><Relationship Id="rId3" Type="http://schemas.openxmlformats.org/officeDocument/2006/relationships/footnotes" Target="footnotes.xml"/><Relationship Id="rId299" Type="http://schemas.openxmlformats.org/officeDocument/2006/relationships/header" Target="header140.xml"/><Relationship Id="rId298" Type="http://schemas.openxmlformats.org/officeDocument/2006/relationships/footer" Target="footer155.xml"/><Relationship Id="rId297" Type="http://schemas.openxmlformats.org/officeDocument/2006/relationships/header" Target="header139.xml"/><Relationship Id="rId296" Type="http://schemas.openxmlformats.org/officeDocument/2006/relationships/footer" Target="footer154.xml"/><Relationship Id="rId295" Type="http://schemas.openxmlformats.org/officeDocument/2006/relationships/header" Target="header138.xml"/><Relationship Id="rId294" Type="http://schemas.openxmlformats.org/officeDocument/2006/relationships/footer" Target="footer153.xml"/><Relationship Id="rId293" Type="http://schemas.openxmlformats.org/officeDocument/2006/relationships/header" Target="header137.xml"/><Relationship Id="rId292" Type="http://schemas.openxmlformats.org/officeDocument/2006/relationships/footer" Target="footer152.xml"/><Relationship Id="rId291" Type="http://schemas.openxmlformats.org/officeDocument/2006/relationships/header" Target="header136.xml"/><Relationship Id="rId290" Type="http://schemas.openxmlformats.org/officeDocument/2006/relationships/footer" Target="footer151.xml"/><Relationship Id="rId29" Type="http://schemas.openxmlformats.org/officeDocument/2006/relationships/footer" Target="footer13.xml"/><Relationship Id="rId289" Type="http://schemas.openxmlformats.org/officeDocument/2006/relationships/header" Target="header135.xml"/><Relationship Id="rId288" Type="http://schemas.openxmlformats.org/officeDocument/2006/relationships/footer" Target="footer150.xml"/><Relationship Id="rId287" Type="http://schemas.openxmlformats.org/officeDocument/2006/relationships/header" Target="header134.xml"/><Relationship Id="rId286" Type="http://schemas.openxmlformats.org/officeDocument/2006/relationships/footer" Target="footer149.xml"/><Relationship Id="rId285" Type="http://schemas.openxmlformats.org/officeDocument/2006/relationships/header" Target="header133.xml"/><Relationship Id="rId284" Type="http://schemas.openxmlformats.org/officeDocument/2006/relationships/footer" Target="footer148.xml"/><Relationship Id="rId283" Type="http://schemas.openxmlformats.org/officeDocument/2006/relationships/header" Target="header132.xml"/><Relationship Id="rId282" Type="http://schemas.openxmlformats.org/officeDocument/2006/relationships/footer" Target="footer147.xml"/><Relationship Id="rId281" Type="http://schemas.openxmlformats.org/officeDocument/2006/relationships/header" Target="header131.xml"/><Relationship Id="rId280" Type="http://schemas.openxmlformats.org/officeDocument/2006/relationships/footer" Target="footer146.xml"/><Relationship Id="rId28" Type="http://schemas.openxmlformats.org/officeDocument/2006/relationships/header" Target="header12.xml"/><Relationship Id="rId279" Type="http://schemas.openxmlformats.org/officeDocument/2006/relationships/header" Target="header130.xml"/><Relationship Id="rId278" Type="http://schemas.openxmlformats.org/officeDocument/2006/relationships/footer" Target="footer145.xml"/><Relationship Id="rId277" Type="http://schemas.openxmlformats.org/officeDocument/2006/relationships/header" Target="header129.xml"/><Relationship Id="rId276" Type="http://schemas.openxmlformats.org/officeDocument/2006/relationships/footer" Target="footer144.xml"/><Relationship Id="rId275" Type="http://schemas.openxmlformats.org/officeDocument/2006/relationships/header" Target="header128.xml"/><Relationship Id="rId274" Type="http://schemas.openxmlformats.org/officeDocument/2006/relationships/footer" Target="footer143.xml"/><Relationship Id="rId273" Type="http://schemas.openxmlformats.org/officeDocument/2006/relationships/header" Target="header127.xml"/><Relationship Id="rId272" Type="http://schemas.openxmlformats.org/officeDocument/2006/relationships/footer" Target="footer142.xml"/><Relationship Id="rId271" Type="http://schemas.openxmlformats.org/officeDocument/2006/relationships/header" Target="header126.xml"/><Relationship Id="rId270" Type="http://schemas.openxmlformats.org/officeDocument/2006/relationships/footer" Target="footer141.xml"/><Relationship Id="rId27" Type="http://schemas.openxmlformats.org/officeDocument/2006/relationships/footer" Target="footer12.xml"/><Relationship Id="rId269" Type="http://schemas.openxmlformats.org/officeDocument/2006/relationships/header" Target="header125.xml"/><Relationship Id="rId268" Type="http://schemas.openxmlformats.org/officeDocument/2006/relationships/footer" Target="footer140.xml"/><Relationship Id="rId267" Type="http://schemas.openxmlformats.org/officeDocument/2006/relationships/footer" Target="footer139.xml"/><Relationship Id="rId266" Type="http://schemas.openxmlformats.org/officeDocument/2006/relationships/footer" Target="footer138.xml"/><Relationship Id="rId265" Type="http://schemas.openxmlformats.org/officeDocument/2006/relationships/header" Target="header124.xml"/><Relationship Id="rId264" Type="http://schemas.openxmlformats.org/officeDocument/2006/relationships/footer" Target="footer137.xml"/><Relationship Id="rId263" Type="http://schemas.openxmlformats.org/officeDocument/2006/relationships/header" Target="header123.xml"/><Relationship Id="rId262" Type="http://schemas.openxmlformats.org/officeDocument/2006/relationships/footer" Target="footer136.xml"/><Relationship Id="rId261" Type="http://schemas.openxmlformats.org/officeDocument/2006/relationships/header" Target="header122.xml"/><Relationship Id="rId260" Type="http://schemas.openxmlformats.org/officeDocument/2006/relationships/footer" Target="footer135.xml"/><Relationship Id="rId26" Type="http://schemas.openxmlformats.org/officeDocument/2006/relationships/header" Target="header11.xml"/><Relationship Id="rId259" Type="http://schemas.openxmlformats.org/officeDocument/2006/relationships/header" Target="header121.xml"/><Relationship Id="rId258" Type="http://schemas.openxmlformats.org/officeDocument/2006/relationships/footer" Target="footer134.xml"/><Relationship Id="rId257" Type="http://schemas.openxmlformats.org/officeDocument/2006/relationships/header" Target="header120.xml"/><Relationship Id="rId256" Type="http://schemas.openxmlformats.org/officeDocument/2006/relationships/footer" Target="footer133.xml"/><Relationship Id="rId255" Type="http://schemas.openxmlformats.org/officeDocument/2006/relationships/footer" Target="footer132.xml"/><Relationship Id="rId254" Type="http://schemas.openxmlformats.org/officeDocument/2006/relationships/header" Target="header119.xml"/><Relationship Id="rId253" Type="http://schemas.openxmlformats.org/officeDocument/2006/relationships/footer" Target="footer131.xml"/><Relationship Id="rId252" Type="http://schemas.openxmlformats.org/officeDocument/2006/relationships/header" Target="header118.xml"/><Relationship Id="rId251" Type="http://schemas.openxmlformats.org/officeDocument/2006/relationships/footer" Target="footer130.xml"/><Relationship Id="rId250" Type="http://schemas.openxmlformats.org/officeDocument/2006/relationships/header" Target="header117.xml"/><Relationship Id="rId25" Type="http://schemas.openxmlformats.org/officeDocument/2006/relationships/footer" Target="footer11.xml"/><Relationship Id="rId249" Type="http://schemas.openxmlformats.org/officeDocument/2006/relationships/footer" Target="footer129.xml"/><Relationship Id="rId248" Type="http://schemas.openxmlformats.org/officeDocument/2006/relationships/header" Target="header116.xml"/><Relationship Id="rId247" Type="http://schemas.openxmlformats.org/officeDocument/2006/relationships/footer" Target="footer128.xml"/><Relationship Id="rId246" Type="http://schemas.openxmlformats.org/officeDocument/2006/relationships/header" Target="header115.xml"/><Relationship Id="rId245" Type="http://schemas.openxmlformats.org/officeDocument/2006/relationships/footer" Target="footer127.xml"/><Relationship Id="rId244" Type="http://schemas.openxmlformats.org/officeDocument/2006/relationships/header" Target="header114.xml"/><Relationship Id="rId243" Type="http://schemas.openxmlformats.org/officeDocument/2006/relationships/footer" Target="footer126.xml"/><Relationship Id="rId242" Type="http://schemas.openxmlformats.org/officeDocument/2006/relationships/footer" Target="footer125.xml"/><Relationship Id="rId241" Type="http://schemas.openxmlformats.org/officeDocument/2006/relationships/header" Target="header113.xml"/><Relationship Id="rId240" Type="http://schemas.openxmlformats.org/officeDocument/2006/relationships/footer" Target="footer124.xml"/><Relationship Id="rId24" Type="http://schemas.openxmlformats.org/officeDocument/2006/relationships/header" Target="header10.xml"/><Relationship Id="rId239" Type="http://schemas.openxmlformats.org/officeDocument/2006/relationships/header" Target="header112.xml"/><Relationship Id="rId238" Type="http://schemas.openxmlformats.org/officeDocument/2006/relationships/footer" Target="footer123.xml"/><Relationship Id="rId237" Type="http://schemas.openxmlformats.org/officeDocument/2006/relationships/header" Target="header111.xml"/><Relationship Id="rId236" Type="http://schemas.openxmlformats.org/officeDocument/2006/relationships/footer" Target="footer122.xml"/><Relationship Id="rId235" Type="http://schemas.openxmlformats.org/officeDocument/2006/relationships/header" Target="header110.xml"/><Relationship Id="rId234" Type="http://schemas.openxmlformats.org/officeDocument/2006/relationships/footer" Target="footer121.xml"/><Relationship Id="rId233" Type="http://schemas.openxmlformats.org/officeDocument/2006/relationships/header" Target="header109.xml"/><Relationship Id="rId232" Type="http://schemas.openxmlformats.org/officeDocument/2006/relationships/footer" Target="footer120.xml"/><Relationship Id="rId231" Type="http://schemas.openxmlformats.org/officeDocument/2006/relationships/header" Target="header108.xml"/><Relationship Id="rId230" Type="http://schemas.openxmlformats.org/officeDocument/2006/relationships/footer" Target="footer119.xml"/><Relationship Id="rId23" Type="http://schemas.openxmlformats.org/officeDocument/2006/relationships/footer" Target="footer10.xml"/><Relationship Id="rId229" Type="http://schemas.openxmlformats.org/officeDocument/2006/relationships/header" Target="header107.xml"/><Relationship Id="rId228" Type="http://schemas.openxmlformats.org/officeDocument/2006/relationships/footer" Target="footer118.xml"/><Relationship Id="rId227" Type="http://schemas.openxmlformats.org/officeDocument/2006/relationships/header" Target="header106.xml"/><Relationship Id="rId226" Type="http://schemas.openxmlformats.org/officeDocument/2006/relationships/footer" Target="footer117.xml"/><Relationship Id="rId225" Type="http://schemas.openxmlformats.org/officeDocument/2006/relationships/header" Target="header105.xml"/><Relationship Id="rId224" Type="http://schemas.openxmlformats.org/officeDocument/2006/relationships/footer" Target="footer116.xml"/><Relationship Id="rId223" Type="http://schemas.openxmlformats.org/officeDocument/2006/relationships/header" Target="header104.xml"/><Relationship Id="rId222" Type="http://schemas.openxmlformats.org/officeDocument/2006/relationships/footer" Target="footer115.xml"/><Relationship Id="rId221" Type="http://schemas.openxmlformats.org/officeDocument/2006/relationships/header" Target="header103.xml"/><Relationship Id="rId220" Type="http://schemas.openxmlformats.org/officeDocument/2006/relationships/footer" Target="footer114.xml"/><Relationship Id="rId22" Type="http://schemas.openxmlformats.org/officeDocument/2006/relationships/header" Target="header9.xml"/><Relationship Id="rId219" Type="http://schemas.openxmlformats.org/officeDocument/2006/relationships/header" Target="header102.xml"/><Relationship Id="rId218" Type="http://schemas.openxmlformats.org/officeDocument/2006/relationships/footer" Target="footer113.xml"/><Relationship Id="rId217" Type="http://schemas.openxmlformats.org/officeDocument/2006/relationships/header" Target="header101.xml"/><Relationship Id="rId216" Type="http://schemas.openxmlformats.org/officeDocument/2006/relationships/footer" Target="footer112.xml"/><Relationship Id="rId215" Type="http://schemas.openxmlformats.org/officeDocument/2006/relationships/header" Target="header100.xml"/><Relationship Id="rId214" Type="http://schemas.openxmlformats.org/officeDocument/2006/relationships/footer" Target="footer111.xml"/><Relationship Id="rId213" Type="http://schemas.openxmlformats.org/officeDocument/2006/relationships/header" Target="header99.xml"/><Relationship Id="rId212" Type="http://schemas.openxmlformats.org/officeDocument/2006/relationships/footer" Target="footer110.xml"/><Relationship Id="rId211" Type="http://schemas.openxmlformats.org/officeDocument/2006/relationships/header" Target="header98.xml"/><Relationship Id="rId210" Type="http://schemas.openxmlformats.org/officeDocument/2006/relationships/footer" Target="footer109.xml"/><Relationship Id="rId21" Type="http://schemas.openxmlformats.org/officeDocument/2006/relationships/footer" Target="footer9.xml"/><Relationship Id="rId209" Type="http://schemas.openxmlformats.org/officeDocument/2006/relationships/header" Target="header97.xml"/><Relationship Id="rId208" Type="http://schemas.openxmlformats.org/officeDocument/2006/relationships/footer" Target="footer108.xml"/><Relationship Id="rId207" Type="http://schemas.openxmlformats.org/officeDocument/2006/relationships/header" Target="header96.xml"/><Relationship Id="rId206" Type="http://schemas.openxmlformats.org/officeDocument/2006/relationships/footer" Target="footer107.xml"/><Relationship Id="rId205" Type="http://schemas.openxmlformats.org/officeDocument/2006/relationships/footer" Target="footer106.xml"/><Relationship Id="rId204" Type="http://schemas.openxmlformats.org/officeDocument/2006/relationships/header" Target="header95.xml"/><Relationship Id="rId203" Type="http://schemas.openxmlformats.org/officeDocument/2006/relationships/footer" Target="footer105.xml"/><Relationship Id="rId202" Type="http://schemas.openxmlformats.org/officeDocument/2006/relationships/header" Target="header94.xml"/><Relationship Id="rId201" Type="http://schemas.openxmlformats.org/officeDocument/2006/relationships/footer" Target="footer104.xml"/><Relationship Id="rId200" Type="http://schemas.openxmlformats.org/officeDocument/2006/relationships/header" Target="header93.xml"/><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footer" Target="footer103.xml"/><Relationship Id="rId198" Type="http://schemas.openxmlformats.org/officeDocument/2006/relationships/header" Target="header92.xml"/><Relationship Id="rId197" Type="http://schemas.openxmlformats.org/officeDocument/2006/relationships/footer" Target="footer102.xml"/><Relationship Id="rId196" Type="http://schemas.openxmlformats.org/officeDocument/2006/relationships/header" Target="header91.xml"/><Relationship Id="rId195" Type="http://schemas.openxmlformats.org/officeDocument/2006/relationships/footer" Target="footer101.xml"/><Relationship Id="rId194" Type="http://schemas.openxmlformats.org/officeDocument/2006/relationships/header" Target="header90.xml"/><Relationship Id="rId193" Type="http://schemas.openxmlformats.org/officeDocument/2006/relationships/footer" Target="footer100.xml"/><Relationship Id="rId192" Type="http://schemas.openxmlformats.org/officeDocument/2006/relationships/header" Target="header89.xml"/><Relationship Id="rId191" Type="http://schemas.openxmlformats.org/officeDocument/2006/relationships/footer" Target="footer99.xml"/><Relationship Id="rId190" Type="http://schemas.openxmlformats.org/officeDocument/2006/relationships/footer" Target="footer98.xml"/><Relationship Id="rId19" Type="http://schemas.openxmlformats.org/officeDocument/2006/relationships/footer" Target="footer8.xml"/><Relationship Id="rId189" Type="http://schemas.openxmlformats.org/officeDocument/2006/relationships/header" Target="header88.xml"/><Relationship Id="rId188" Type="http://schemas.openxmlformats.org/officeDocument/2006/relationships/footer" Target="footer97.xml"/><Relationship Id="rId187" Type="http://schemas.openxmlformats.org/officeDocument/2006/relationships/header" Target="header87.xml"/><Relationship Id="rId186" Type="http://schemas.openxmlformats.org/officeDocument/2006/relationships/footer" Target="footer96.xml"/><Relationship Id="rId185" Type="http://schemas.openxmlformats.org/officeDocument/2006/relationships/header" Target="header86.xml"/><Relationship Id="rId184" Type="http://schemas.openxmlformats.org/officeDocument/2006/relationships/footer" Target="footer95.xml"/><Relationship Id="rId183" Type="http://schemas.openxmlformats.org/officeDocument/2006/relationships/footer" Target="footer94.xml"/><Relationship Id="rId182" Type="http://schemas.openxmlformats.org/officeDocument/2006/relationships/header" Target="header85.xml"/><Relationship Id="rId181" Type="http://schemas.openxmlformats.org/officeDocument/2006/relationships/footer" Target="footer93.xml"/><Relationship Id="rId180" Type="http://schemas.openxmlformats.org/officeDocument/2006/relationships/header" Target="header84.xml"/><Relationship Id="rId18" Type="http://schemas.openxmlformats.org/officeDocument/2006/relationships/header" Target="header7.xml"/><Relationship Id="rId179" Type="http://schemas.openxmlformats.org/officeDocument/2006/relationships/footer" Target="footer92.xml"/><Relationship Id="rId178" Type="http://schemas.openxmlformats.org/officeDocument/2006/relationships/footer" Target="footer91.xml"/><Relationship Id="rId177" Type="http://schemas.openxmlformats.org/officeDocument/2006/relationships/header" Target="header83.xml"/><Relationship Id="rId176" Type="http://schemas.openxmlformats.org/officeDocument/2006/relationships/footer" Target="footer90.xml"/><Relationship Id="rId175" Type="http://schemas.openxmlformats.org/officeDocument/2006/relationships/header" Target="header82.xml"/><Relationship Id="rId174" Type="http://schemas.openxmlformats.org/officeDocument/2006/relationships/footer" Target="footer89.xml"/><Relationship Id="rId173" Type="http://schemas.openxmlformats.org/officeDocument/2006/relationships/header" Target="header81.xml"/><Relationship Id="rId172" Type="http://schemas.openxmlformats.org/officeDocument/2006/relationships/footer" Target="footer88.xml"/><Relationship Id="rId171" Type="http://schemas.openxmlformats.org/officeDocument/2006/relationships/header" Target="header80.xml"/><Relationship Id="rId170" Type="http://schemas.openxmlformats.org/officeDocument/2006/relationships/footer" Target="footer87.xml"/><Relationship Id="rId17" Type="http://schemas.openxmlformats.org/officeDocument/2006/relationships/footer" Target="footer7.xml"/><Relationship Id="rId169" Type="http://schemas.openxmlformats.org/officeDocument/2006/relationships/header" Target="header79.xml"/><Relationship Id="rId168" Type="http://schemas.openxmlformats.org/officeDocument/2006/relationships/footer" Target="footer86.xml"/><Relationship Id="rId167" Type="http://schemas.openxmlformats.org/officeDocument/2006/relationships/header" Target="header78.xml"/><Relationship Id="rId166" Type="http://schemas.openxmlformats.org/officeDocument/2006/relationships/footer" Target="footer85.xml"/><Relationship Id="rId165" Type="http://schemas.openxmlformats.org/officeDocument/2006/relationships/footer" Target="footer84.xml"/><Relationship Id="rId164" Type="http://schemas.openxmlformats.org/officeDocument/2006/relationships/header" Target="header77.xml"/><Relationship Id="rId163" Type="http://schemas.openxmlformats.org/officeDocument/2006/relationships/footer" Target="footer83.xml"/><Relationship Id="rId162" Type="http://schemas.openxmlformats.org/officeDocument/2006/relationships/header" Target="header76.xml"/><Relationship Id="rId161" Type="http://schemas.openxmlformats.org/officeDocument/2006/relationships/footer" Target="footer82.xml"/><Relationship Id="rId160" Type="http://schemas.openxmlformats.org/officeDocument/2006/relationships/header" Target="header75.xml"/><Relationship Id="rId16" Type="http://schemas.openxmlformats.org/officeDocument/2006/relationships/header" Target="header6.xml"/><Relationship Id="rId159" Type="http://schemas.openxmlformats.org/officeDocument/2006/relationships/footer" Target="footer81.xml"/><Relationship Id="rId158" Type="http://schemas.openxmlformats.org/officeDocument/2006/relationships/header" Target="header74.xml"/><Relationship Id="rId157" Type="http://schemas.openxmlformats.org/officeDocument/2006/relationships/footer" Target="footer80.xml"/><Relationship Id="rId156" Type="http://schemas.openxmlformats.org/officeDocument/2006/relationships/header" Target="header73.xml"/><Relationship Id="rId155" Type="http://schemas.openxmlformats.org/officeDocument/2006/relationships/footer" Target="footer79.xml"/><Relationship Id="rId154" Type="http://schemas.openxmlformats.org/officeDocument/2006/relationships/header" Target="header72.xml"/><Relationship Id="rId153" Type="http://schemas.openxmlformats.org/officeDocument/2006/relationships/footer" Target="footer78.xml"/><Relationship Id="rId152" Type="http://schemas.openxmlformats.org/officeDocument/2006/relationships/header" Target="header71.xml"/><Relationship Id="rId151" Type="http://schemas.openxmlformats.org/officeDocument/2006/relationships/footer" Target="footer77.xml"/><Relationship Id="rId150" Type="http://schemas.openxmlformats.org/officeDocument/2006/relationships/header" Target="header70.xml"/><Relationship Id="rId15" Type="http://schemas.openxmlformats.org/officeDocument/2006/relationships/footer" Target="footer6.xml"/><Relationship Id="rId149" Type="http://schemas.openxmlformats.org/officeDocument/2006/relationships/footer" Target="footer76.xml"/><Relationship Id="rId148" Type="http://schemas.openxmlformats.org/officeDocument/2006/relationships/header" Target="header69.xml"/><Relationship Id="rId147" Type="http://schemas.openxmlformats.org/officeDocument/2006/relationships/footer" Target="footer75.xml"/><Relationship Id="rId146" Type="http://schemas.openxmlformats.org/officeDocument/2006/relationships/header" Target="header68.xml"/><Relationship Id="rId145" Type="http://schemas.openxmlformats.org/officeDocument/2006/relationships/footer" Target="footer74.xml"/><Relationship Id="rId144" Type="http://schemas.openxmlformats.org/officeDocument/2006/relationships/footer" Target="footer73.xml"/><Relationship Id="rId143" Type="http://schemas.openxmlformats.org/officeDocument/2006/relationships/header" Target="header67.xml"/><Relationship Id="rId142" Type="http://schemas.openxmlformats.org/officeDocument/2006/relationships/footer" Target="footer72.xml"/><Relationship Id="rId141" Type="http://schemas.openxmlformats.org/officeDocument/2006/relationships/header" Target="header66.xml"/><Relationship Id="rId140" Type="http://schemas.openxmlformats.org/officeDocument/2006/relationships/footer" Target="footer71.xml"/><Relationship Id="rId14" Type="http://schemas.openxmlformats.org/officeDocument/2006/relationships/header" Target="header5.xml"/><Relationship Id="rId139" Type="http://schemas.openxmlformats.org/officeDocument/2006/relationships/header" Target="header65.xml"/><Relationship Id="rId138" Type="http://schemas.openxmlformats.org/officeDocument/2006/relationships/footer" Target="footer70.xml"/><Relationship Id="rId137" Type="http://schemas.openxmlformats.org/officeDocument/2006/relationships/header" Target="header64.xml"/><Relationship Id="rId136" Type="http://schemas.openxmlformats.org/officeDocument/2006/relationships/footer" Target="footer69.xml"/><Relationship Id="rId135" Type="http://schemas.openxmlformats.org/officeDocument/2006/relationships/header" Target="header63.xml"/><Relationship Id="rId134" Type="http://schemas.openxmlformats.org/officeDocument/2006/relationships/footer" Target="footer68.xml"/><Relationship Id="rId133" Type="http://schemas.openxmlformats.org/officeDocument/2006/relationships/header" Target="header62.xml"/><Relationship Id="rId132" Type="http://schemas.openxmlformats.org/officeDocument/2006/relationships/footer" Target="footer67.xml"/><Relationship Id="rId131" Type="http://schemas.openxmlformats.org/officeDocument/2006/relationships/header" Target="header61.xml"/><Relationship Id="rId130" Type="http://schemas.openxmlformats.org/officeDocument/2006/relationships/footer" Target="footer66.xml"/><Relationship Id="rId13" Type="http://schemas.openxmlformats.org/officeDocument/2006/relationships/footer" Target="footer5.xml"/><Relationship Id="rId129" Type="http://schemas.openxmlformats.org/officeDocument/2006/relationships/header" Target="header60.xml"/><Relationship Id="rId128" Type="http://schemas.openxmlformats.org/officeDocument/2006/relationships/footer" Target="footer65.xml"/><Relationship Id="rId127" Type="http://schemas.openxmlformats.org/officeDocument/2006/relationships/header" Target="header59.xml"/><Relationship Id="rId126" Type="http://schemas.openxmlformats.org/officeDocument/2006/relationships/footer" Target="footer64.xml"/><Relationship Id="rId125" Type="http://schemas.openxmlformats.org/officeDocument/2006/relationships/header" Target="header58.xml"/><Relationship Id="rId124" Type="http://schemas.openxmlformats.org/officeDocument/2006/relationships/footer" Target="footer63.xml"/><Relationship Id="rId123" Type="http://schemas.openxmlformats.org/officeDocument/2006/relationships/header" Target="header57.xml"/><Relationship Id="rId122" Type="http://schemas.openxmlformats.org/officeDocument/2006/relationships/footer" Target="footer62.xml"/><Relationship Id="rId121" Type="http://schemas.openxmlformats.org/officeDocument/2006/relationships/footer" Target="footer61.xml"/><Relationship Id="rId120" Type="http://schemas.openxmlformats.org/officeDocument/2006/relationships/header" Target="header56.xml"/><Relationship Id="rId12" Type="http://schemas.openxmlformats.org/officeDocument/2006/relationships/header" Target="header4.xml"/><Relationship Id="rId119" Type="http://schemas.openxmlformats.org/officeDocument/2006/relationships/footer" Target="footer60.xml"/><Relationship Id="rId118" Type="http://schemas.openxmlformats.org/officeDocument/2006/relationships/header" Target="header55.xml"/><Relationship Id="rId117" Type="http://schemas.openxmlformats.org/officeDocument/2006/relationships/footer" Target="footer59.xml"/><Relationship Id="rId116" Type="http://schemas.openxmlformats.org/officeDocument/2006/relationships/header" Target="header54.xml"/><Relationship Id="rId115" Type="http://schemas.openxmlformats.org/officeDocument/2006/relationships/footer" Target="footer58.xml"/><Relationship Id="rId114" Type="http://schemas.openxmlformats.org/officeDocument/2006/relationships/header" Target="header53.xml"/><Relationship Id="rId113" Type="http://schemas.openxmlformats.org/officeDocument/2006/relationships/footer" Target="footer57.xml"/><Relationship Id="rId112" Type="http://schemas.openxmlformats.org/officeDocument/2006/relationships/header" Target="header52.xml"/><Relationship Id="rId111" Type="http://schemas.openxmlformats.org/officeDocument/2006/relationships/footer" Target="footer56.xml"/><Relationship Id="rId110" Type="http://schemas.openxmlformats.org/officeDocument/2006/relationships/header" Target="header51.xml"/><Relationship Id="rId11" Type="http://schemas.openxmlformats.org/officeDocument/2006/relationships/footer" Target="footer4.xml"/><Relationship Id="rId109" Type="http://schemas.openxmlformats.org/officeDocument/2006/relationships/footer" Target="footer55.xml"/><Relationship Id="rId108" Type="http://schemas.openxmlformats.org/officeDocument/2006/relationships/header" Target="header50.xml"/><Relationship Id="rId107" Type="http://schemas.openxmlformats.org/officeDocument/2006/relationships/footer" Target="footer54.xml"/><Relationship Id="rId106" Type="http://schemas.openxmlformats.org/officeDocument/2006/relationships/header" Target="header49.xml"/><Relationship Id="rId105" Type="http://schemas.openxmlformats.org/officeDocument/2006/relationships/footer" Target="footer53.xml"/><Relationship Id="rId104" Type="http://schemas.openxmlformats.org/officeDocument/2006/relationships/header" Target="header48.xml"/><Relationship Id="rId103" Type="http://schemas.openxmlformats.org/officeDocument/2006/relationships/footer" Target="footer52.xml"/><Relationship Id="rId102" Type="http://schemas.openxmlformats.org/officeDocument/2006/relationships/header" Target="header47.xml"/><Relationship Id="rId101" Type="http://schemas.openxmlformats.org/officeDocument/2006/relationships/footer" Target="footer51.xml"/><Relationship Id="rId100" Type="http://schemas.openxmlformats.org/officeDocument/2006/relationships/header" Target="header4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50"/>
    <customShpInfo spid="_x0000_s1051"/>
    <customShpInfo spid="_x0000_s1049"/>
    <customShpInfo spid="_x0000_s1053"/>
    <customShpInfo spid="_x0000_s1054"/>
    <customShpInfo spid="_x0000_s1052"/>
    <customShpInfo spid="_x0000_s1055"/>
    <customShpInfo spid="_x0000_s1057"/>
    <customShpInfo spid="_x0000_s1058"/>
    <customShpInfo spid="_x0000_s1056"/>
    <customShpInfo spid="_x0000_s1060"/>
    <customShpInfo spid="_x0000_s1061"/>
    <customShpInfo spid="_x0000_s1059"/>
    <customShpInfo spid="_x0000_s1062"/>
    <customShpInfo spid="_x0000_s1063"/>
    <customShpInfo spid="_x0000_s1064"/>
    <customShpInfo spid="_x0000_s1065"/>
    <customShpInfo spid="_x0000_s1066"/>
    <customShpInfo spid="_x0000_s1067"/>
    <customShpInfo spid="_x0000_s1069"/>
    <customShpInfo spid="_x0000_s1070"/>
    <customShpInfo spid="_x0000_s1071"/>
    <customShpInfo spid="_x0000_s1068"/>
    <customShpInfo spid="_x0000_s1072"/>
    <customShpInfo spid="_x0000_s1073"/>
    <customShpInfo spid="_x0000_s1075"/>
    <customShpInfo spid="_x0000_s1076"/>
    <customShpInfo spid="_x0000_s1074"/>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10"/>
    <customShpInfo spid="_x0000_s1111"/>
    <customShpInfo spid="_x0000_s1109"/>
    <customShpInfo spid="_x0000_s1113"/>
    <customShpInfo spid="_x0000_s1114"/>
    <customShpInfo spid="_x0000_s1112"/>
    <customShpInfo spid="_x0000_s1116"/>
    <customShpInfo spid="_x0000_s1117"/>
    <customShpInfo spid="_x0000_s1115"/>
    <customShpInfo spid="_x0000_s1119"/>
    <customShpInfo spid="_x0000_s1120"/>
    <customShpInfo spid="_x0000_s1118"/>
    <customShpInfo spid="_x0000_s1121"/>
    <customShpInfo spid="_x0000_s1123"/>
    <customShpInfo spid="_x0000_s1124"/>
    <customShpInfo spid="_x0000_s1122"/>
    <customShpInfo spid="_x0000_s1126"/>
    <customShpInfo spid="_x0000_s1127"/>
    <customShpInfo spid="_x0000_s1125"/>
    <customShpInfo spid="_x0000_s1128"/>
    <customShpInfo spid="_x0000_s1130"/>
    <customShpInfo spid="_x0000_s1131"/>
    <customShpInfo spid="_x0000_s1129"/>
    <customShpInfo spid="_x0000_s1132"/>
    <customShpInfo spid="_x0000_s1133"/>
    <customShpInfo spid="_x0000_s1134"/>
    <customShpInfo spid="_x0000_s1135"/>
    <customShpInfo spid="_x0000_s1136"/>
    <customShpInfo spid="_x0000_s1137"/>
    <customShpInfo spid="_x0000_s1138"/>
    <customShpInfo spid="_x0000_s1139"/>
    <customShpInfo spid="_x0000_s1141"/>
    <customShpInfo spid="_x0000_s1142"/>
    <customShpInfo spid="_x0000_s1143"/>
    <customShpInfo spid="_x0000_s1140"/>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9"/>
    <customShpInfo spid="_x0000_s1160"/>
    <customShpInfo spid="_x0000_s1161"/>
    <customShpInfo spid="_x0000_s1162"/>
    <customShpInfo spid="_x0000_s1163"/>
    <customShpInfo spid="_x0000_s1158"/>
    <customShpInfo spid="_x0000_s1165"/>
    <customShpInfo spid="_x0000_s1166"/>
    <customShpInfo spid="_x0000_s1167"/>
    <customShpInfo spid="_x0000_s1168"/>
    <customShpInfo spid="_x0000_s1169"/>
    <customShpInfo spid="_x0000_s1164"/>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5"/>
    <customShpInfo spid="_x0000_s1186"/>
    <customShpInfo spid="_x0000_s1184"/>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7"/>
    <customShpInfo spid="_x0000_s1198"/>
    <customShpInfo spid="_x0000_s1196"/>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5"/>
    <customShpInfo spid="_x0000_s1266"/>
    <customShpInfo spid="_x0000_s1267"/>
    <customShpInfo spid="_x0000_s1268"/>
    <customShpInfo spid="_x0000_s1269"/>
    <customShpInfo spid="_x0000_s1270"/>
    <customShpInfo spid="_x0000_s1264"/>
    <customShpInfo spid="_x0000_s1271"/>
    <customShpInfo spid="_x0000_s1272"/>
    <customShpInfo spid="_x0000_s1273"/>
    <customShpInfo spid="_x0000_s1274"/>
    <customShpInfo spid="_x0000_s1275"/>
    <customShpInfo spid="_x0000_s1276"/>
    <customShpInfo spid="_x0000_s1278"/>
    <customShpInfo spid="_x0000_s1279"/>
    <customShpInfo spid="_x0000_s1277"/>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6"/>
    <customShpInfo spid="_x0000_s1307"/>
    <customShpInfo spid="_x0000_s1305"/>
    <customShpInfo spid="_x0000_s1309"/>
    <customShpInfo spid="_x0000_s1310"/>
    <customShpInfo spid="_x0000_s1308"/>
    <customShpInfo spid="_x0000_s1312"/>
    <customShpInfo spid="_x0000_s1313"/>
    <customShpInfo spid="_x0000_s1311"/>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3"/>
    <customShpInfo spid="_x0000_s1334"/>
    <customShpInfo spid="_x0000_s1335"/>
    <customShpInfo spid="_x0000_s1332"/>
    <customShpInfo spid="_x0000_s1337"/>
    <customShpInfo spid="_x0000_s1338"/>
    <customShpInfo spid="_x0000_s1336"/>
    <customShpInfo spid="_x0000_s1340"/>
    <customShpInfo spid="_x0000_s1341"/>
    <customShpInfo spid="_x0000_s1339"/>
    <customShpInfo spid="_x0000_s1343"/>
    <customShpInfo spid="_x0000_s1344"/>
    <customShpInfo spid="_x0000_s1345"/>
    <customShpInfo spid="_x0000_s1342"/>
    <customShpInfo spid="_x0000_s1346"/>
    <customShpInfo spid="_x0000_s1347"/>
    <customShpInfo spid="_x0000_s1348"/>
    <customShpInfo spid="_x0000_s1350"/>
    <customShpInfo spid="_x0000_s1351"/>
    <customShpInfo spid="_x0000_s1349"/>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212</Pages>
  <Words>17041</Words>
  <Characters>19124</Characters>
  <TotalTime>3</TotalTime>
  <ScaleCrop>false</ScaleCrop>
  <LinksUpToDate>false</LinksUpToDate>
  <CharactersWithSpaces>21038</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2019-08-26T10:00:00Z</dcterms:created>
  <dc:creator>微软用户</dc:creator>
  <cp:lastModifiedBy>樹</cp:lastModifiedBy>
  <dcterms:modified xsi:type="dcterms:W3CDTF">2024-10-24T06:58:55Z</dcterms:modified>
  <dc:title>辽宁丰达食品有限公司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2023-04-21T10:37:10Z</vt:filetime>
  </property>
  <property fmtid="{D5CDD505-2E9C-101B-9397-08002B2CF9AE}" pid="4" name="KSOProductBuildVer">
    <vt:lpwstr>2052-12.1.0.18608</vt:lpwstr>
  </property>
  <property fmtid="{D5CDD505-2E9C-101B-9397-08002B2CF9AE}" pid="5" name="ICV">
    <vt:lpwstr>BF99FD0A7E3E4564A75DD165FA3473F9_13</vt:lpwstr>
  </property>
</Properties>
</file>